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D5280" w:rsidRPr="00D662C3" w:rsidP="004F5DF7">
      <w:pPr>
        <w:tabs>
          <w:tab w:val="left" w:pos="1440"/>
          <w:tab w:val="left" w:pos="4680"/>
          <w:tab w:val="center" w:pos="7200"/>
        </w:tabs>
        <w:spacing w:after="0"/>
        <w:jc w:val="center"/>
        <w:rPr>
          <w:sz w:val="36"/>
        </w:rPr>
      </w:pPr>
      <w:bookmarkStart w:id="0" w:name="MarkDocLoc"/>
      <w:bookmarkStart w:id="1" w:name="_Hlk87996004"/>
      <w:bookmarkEnd w:id="0"/>
      <w:r w:rsidRPr="00D662C3">
        <w:rPr>
          <w:b/>
          <w:sz w:val="36"/>
        </w:rPr>
        <w:t>IN THE SUPREME COURT OF CALIFORNIA</w:t>
      </w:r>
    </w:p>
    <w:p w:rsidR="004F5DF7" w:rsidRPr="00D662C3" w:rsidP="004F5DF7">
      <w:pPr>
        <w:tabs>
          <w:tab w:val="left" w:pos="1440"/>
          <w:tab w:val="left" w:pos="4680"/>
          <w:tab w:val="center" w:pos="7200"/>
        </w:tabs>
        <w:spacing w:after="0"/>
        <w:jc w:val="center"/>
      </w:pPr>
    </w:p>
    <w:p w:rsidR="004F5DF7" w:rsidRPr="00D662C3" w:rsidP="004F5DF7">
      <w:pPr>
        <w:tabs>
          <w:tab w:val="left" w:pos="1440"/>
          <w:tab w:val="left" w:pos="4680"/>
          <w:tab w:val="center" w:pos="7200"/>
        </w:tabs>
        <w:spacing w:after="0"/>
        <w:jc w:val="center"/>
      </w:pPr>
      <w:r w:rsidRPr="00D662C3">
        <w:t>THE PEOPLE,</w:t>
      </w:r>
    </w:p>
    <w:p w:rsidR="004F5DF7" w:rsidRPr="00D662C3" w:rsidP="004F5DF7">
      <w:pPr>
        <w:tabs>
          <w:tab w:val="left" w:pos="1440"/>
          <w:tab w:val="left" w:pos="4680"/>
          <w:tab w:val="center" w:pos="7200"/>
        </w:tabs>
        <w:spacing w:after="0"/>
        <w:jc w:val="center"/>
      </w:pPr>
      <w:r w:rsidRPr="00D662C3">
        <w:t>Plaintiff and Respondent,</w:t>
      </w:r>
    </w:p>
    <w:p w:rsidR="004F5DF7" w:rsidRPr="00D662C3" w:rsidP="004F5DF7">
      <w:pPr>
        <w:tabs>
          <w:tab w:val="left" w:pos="1440"/>
          <w:tab w:val="left" w:pos="4680"/>
          <w:tab w:val="center" w:pos="7200"/>
        </w:tabs>
        <w:spacing w:after="0"/>
        <w:jc w:val="center"/>
      </w:pPr>
      <w:r w:rsidRPr="00D662C3">
        <w:t>v.</w:t>
      </w:r>
    </w:p>
    <w:p w:rsidR="004F5DF7" w:rsidRPr="00D662C3" w:rsidP="004F5DF7">
      <w:pPr>
        <w:tabs>
          <w:tab w:val="left" w:pos="1440"/>
          <w:tab w:val="left" w:pos="4680"/>
          <w:tab w:val="center" w:pos="7200"/>
        </w:tabs>
        <w:spacing w:after="0"/>
        <w:jc w:val="center"/>
      </w:pPr>
      <w:r w:rsidRPr="00D662C3">
        <w:t>FRANK C</w:t>
      </w:r>
      <w:r w:rsidRPr="00D662C3" w:rsidR="00B738A3">
        <w:t>HRISTOPHER</w:t>
      </w:r>
      <w:r w:rsidRPr="00D662C3">
        <w:t xml:space="preserve"> GONZALEZ</w:t>
      </w:r>
      <w:r w:rsidRPr="00D662C3" w:rsidR="006054EA">
        <w:t>,</w:t>
      </w:r>
    </w:p>
    <w:p w:rsidR="004F5DF7" w:rsidRPr="00D662C3" w:rsidP="004F5DF7">
      <w:pPr>
        <w:tabs>
          <w:tab w:val="left" w:pos="1440"/>
          <w:tab w:val="left" w:pos="4680"/>
          <w:tab w:val="center" w:pos="7200"/>
        </w:tabs>
        <w:spacing w:after="0"/>
        <w:jc w:val="center"/>
      </w:pPr>
      <w:r w:rsidRPr="00D662C3">
        <w:t>Defendant and Appellant.</w:t>
      </w:r>
    </w:p>
    <w:p w:rsidR="004F5DF7" w:rsidRPr="00D662C3" w:rsidP="004F5DF7">
      <w:pPr>
        <w:tabs>
          <w:tab w:val="left" w:pos="1440"/>
          <w:tab w:val="left" w:pos="4680"/>
          <w:tab w:val="center" w:pos="7200"/>
        </w:tabs>
        <w:spacing w:after="0"/>
        <w:jc w:val="center"/>
      </w:pPr>
    </w:p>
    <w:p w:rsidR="004F5DF7" w:rsidRPr="00D662C3" w:rsidP="004F5DF7">
      <w:pPr>
        <w:tabs>
          <w:tab w:val="left" w:pos="1440"/>
          <w:tab w:val="left" w:pos="4680"/>
          <w:tab w:val="center" w:pos="7200"/>
        </w:tabs>
        <w:spacing w:after="0"/>
        <w:jc w:val="center"/>
      </w:pPr>
      <w:bookmarkStart w:id="2" w:name="_Hlk87907584"/>
      <w:r w:rsidRPr="00D662C3">
        <w:t>S163643</w:t>
      </w:r>
      <w:bookmarkEnd w:id="2"/>
    </w:p>
    <w:p w:rsidR="004F5DF7" w:rsidRPr="00D662C3" w:rsidP="004F5DF7">
      <w:pPr>
        <w:tabs>
          <w:tab w:val="left" w:pos="1440"/>
          <w:tab w:val="left" w:pos="4680"/>
          <w:tab w:val="center" w:pos="7200"/>
        </w:tabs>
        <w:spacing w:after="0"/>
        <w:jc w:val="center"/>
      </w:pPr>
    </w:p>
    <w:p w:rsidR="004F5DF7" w:rsidRPr="00D662C3" w:rsidP="004F5DF7">
      <w:pPr>
        <w:tabs>
          <w:tab w:val="left" w:pos="1440"/>
          <w:tab w:val="left" w:pos="4680"/>
          <w:tab w:val="center" w:pos="7200"/>
        </w:tabs>
        <w:spacing w:after="0"/>
        <w:jc w:val="center"/>
      </w:pPr>
      <w:r w:rsidRPr="00D662C3">
        <w:t>Los Angeles County Superior Court</w:t>
      </w:r>
    </w:p>
    <w:p w:rsidR="004F5DF7" w:rsidRPr="00D662C3" w:rsidP="004F5DF7">
      <w:pPr>
        <w:tabs>
          <w:tab w:val="left" w:pos="1440"/>
          <w:tab w:val="left" w:pos="4680"/>
          <w:tab w:val="center" w:pos="7200"/>
        </w:tabs>
        <w:spacing w:after="0"/>
        <w:jc w:val="center"/>
      </w:pPr>
      <w:r w:rsidRPr="00D662C3">
        <w:t>NA071779</w:t>
      </w:r>
    </w:p>
    <w:p w:rsidR="004F5DF7" w:rsidRPr="00D662C3" w:rsidP="004F5DF7">
      <w:pPr>
        <w:pBdr>
          <w:bottom w:val="single" w:sz="4" w:space="1" w:color="auto"/>
        </w:pBdr>
        <w:tabs>
          <w:tab w:val="left" w:pos="1440"/>
          <w:tab w:val="left" w:pos="4680"/>
          <w:tab w:val="center" w:pos="7200"/>
        </w:tabs>
        <w:spacing w:after="0"/>
        <w:jc w:val="center"/>
      </w:pPr>
    </w:p>
    <w:p w:rsidR="004F5DF7" w:rsidRPr="00D662C3" w:rsidP="004F5DF7">
      <w:pPr>
        <w:tabs>
          <w:tab w:val="left" w:pos="1440"/>
          <w:tab w:val="left" w:pos="4680"/>
          <w:tab w:val="center" w:pos="7200"/>
        </w:tabs>
        <w:spacing w:after="0"/>
        <w:jc w:val="center"/>
      </w:pPr>
    </w:p>
    <w:p w:rsidR="004F5DF7" w:rsidRPr="00D662C3" w:rsidP="004F5DF7">
      <w:pPr>
        <w:tabs>
          <w:tab w:val="left" w:pos="1440"/>
          <w:tab w:val="left" w:pos="4680"/>
          <w:tab w:val="center" w:pos="7200"/>
        </w:tabs>
        <w:spacing w:after="0"/>
        <w:jc w:val="center"/>
      </w:pPr>
      <w:r>
        <w:t>December 2</w:t>
      </w:r>
      <w:r w:rsidRPr="00D662C3">
        <w:t>, 2021</w:t>
      </w:r>
    </w:p>
    <w:p w:rsidR="004F5DF7" w:rsidRPr="00D662C3" w:rsidP="004F5DF7">
      <w:pPr>
        <w:tabs>
          <w:tab w:val="left" w:pos="1440"/>
          <w:tab w:val="left" w:pos="4680"/>
          <w:tab w:val="center" w:pos="7200"/>
        </w:tabs>
        <w:spacing w:after="0"/>
        <w:jc w:val="center"/>
      </w:pPr>
    </w:p>
    <w:p w:rsidR="004F5DF7" w:rsidRPr="00D662C3" w:rsidP="004F5DF7">
      <w:pPr>
        <w:tabs>
          <w:tab w:val="left" w:pos="1440"/>
          <w:tab w:val="left" w:pos="4680"/>
          <w:tab w:val="center" w:pos="7200"/>
        </w:tabs>
        <w:spacing w:after="0"/>
        <w:jc w:val="left"/>
        <w:rPr>
          <w:szCs w:val="26"/>
        </w:rPr>
      </w:pPr>
      <w:r>
        <w:t xml:space="preserve">Justice Groban authored the opinion of the Court, in which </w:t>
      </w:r>
      <w:r>
        <w:rPr>
          <w:szCs w:val="26"/>
        </w:rPr>
        <w:t>Chief Justice Cantil-Sakauye and Justices Corrigan, Liu, Kruger</w:t>
      </w:r>
      <w:r w:rsidR="00447640">
        <w:rPr>
          <w:szCs w:val="26"/>
        </w:rPr>
        <w:t>,</w:t>
      </w:r>
      <w:r>
        <w:rPr>
          <w:szCs w:val="26"/>
        </w:rPr>
        <w:t xml:space="preserve"> and Jenkins</w:t>
      </w:r>
      <w:r>
        <w:t xml:space="preserve"> concurred</w:t>
      </w:r>
      <w:r w:rsidRPr="00D662C3">
        <w:rPr>
          <w:szCs w:val="26"/>
        </w:rPr>
        <w:t>.</w:t>
      </w:r>
    </w:p>
    <w:p w:rsidR="004F5DF7" w:rsidRPr="00D662C3" w:rsidP="004F5DF7">
      <w:pPr>
        <w:pBdr>
          <w:bottom w:val="single" w:sz="4" w:space="1" w:color="auto"/>
        </w:pBdr>
        <w:tabs>
          <w:tab w:val="left" w:pos="1440"/>
          <w:tab w:val="left" w:pos="4680"/>
          <w:tab w:val="center" w:pos="7200"/>
        </w:tabs>
        <w:spacing w:line="480" w:lineRule="atLeast"/>
        <w:jc w:val="left"/>
      </w:pPr>
      <w:bookmarkStart w:id="3" w:name="Return"/>
      <w:bookmarkEnd w:id="3"/>
    </w:p>
    <w:p w:rsidR="004F5DF7" w:rsidRPr="00D662C3">
      <w:pPr>
        <w:tabs>
          <w:tab w:val="left" w:pos="1440"/>
          <w:tab w:val="left" w:pos="4680"/>
          <w:tab w:val="center" w:pos="7200"/>
        </w:tabs>
        <w:spacing w:line="480" w:lineRule="atLeast"/>
      </w:pPr>
    </w:p>
    <w:p w:rsidR="00026144" w:rsidRPr="00D662C3" w:rsidP="00026144"/>
    <w:p w:rsidR="00026144" w:rsidRPr="00D662C3" w:rsidP="00026144"/>
    <w:p w:rsidR="00026144" w:rsidRPr="00D662C3" w:rsidP="00026144">
      <w:pPr>
        <w:tabs>
          <w:tab w:val="left" w:pos="6495"/>
        </w:tabs>
      </w:pPr>
    </w:p>
    <w:p w:rsidR="00026144" w:rsidRPr="00D662C3" w:rsidP="00026144">
      <w:pPr>
        <w:tabs>
          <w:tab w:val="left" w:pos="6495"/>
        </w:tabs>
        <w:sectPr w:rsidSect="00003971">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4F5DF7" w:rsidRPr="00D662C3" w:rsidP="004F5DF7">
      <w:pPr>
        <w:tabs>
          <w:tab w:val="left" w:pos="1440"/>
          <w:tab w:val="left" w:pos="4680"/>
          <w:tab w:val="center" w:pos="7200"/>
        </w:tabs>
        <w:jc w:val="center"/>
      </w:pPr>
      <w:r w:rsidRPr="00D662C3">
        <w:t>PEOPLE v. GONZALEZ</w:t>
      </w:r>
    </w:p>
    <w:p w:rsidR="004F5DF7" w:rsidRPr="00D662C3" w:rsidP="004F5DF7">
      <w:pPr>
        <w:tabs>
          <w:tab w:val="left" w:pos="1440"/>
          <w:tab w:val="left" w:pos="4680"/>
          <w:tab w:val="center" w:pos="7200"/>
        </w:tabs>
        <w:jc w:val="center"/>
      </w:pPr>
      <w:bookmarkStart w:id="5" w:name="_Hlk86046125"/>
      <w:r w:rsidRPr="00D662C3">
        <w:t>S163643</w:t>
      </w:r>
      <w:bookmarkEnd w:id="5"/>
    </w:p>
    <w:p w:rsidR="004F5DF7" w:rsidRPr="00D662C3" w:rsidP="004F5DF7">
      <w:pPr>
        <w:tabs>
          <w:tab w:val="left" w:pos="1440"/>
          <w:tab w:val="left" w:pos="4680"/>
          <w:tab w:val="center" w:pos="7200"/>
        </w:tabs>
        <w:jc w:val="center"/>
      </w:pPr>
    </w:p>
    <w:p w:rsidR="004F5DF7" w:rsidRPr="00D662C3" w:rsidP="004F5DF7">
      <w:pPr>
        <w:tabs>
          <w:tab w:val="left" w:pos="1440"/>
          <w:tab w:val="left" w:pos="4680"/>
          <w:tab w:val="center" w:pos="7200"/>
        </w:tabs>
        <w:jc w:val="center"/>
      </w:pPr>
      <w:r w:rsidRPr="00D662C3">
        <w:t>Opinion of the Court by Groban, J.</w:t>
      </w:r>
    </w:p>
    <w:p w:rsidR="004F5DF7" w:rsidRPr="00D662C3" w:rsidP="004F5DF7">
      <w:pPr>
        <w:tabs>
          <w:tab w:val="left" w:pos="1440"/>
          <w:tab w:val="left" w:pos="4680"/>
          <w:tab w:val="center" w:pos="7200"/>
        </w:tabs>
        <w:jc w:val="center"/>
      </w:pPr>
    </w:p>
    <w:p w:rsidR="00E2314D" w:rsidRPr="00D662C3" w:rsidP="004F5DF7">
      <w:pPr>
        <w:rPr>
          <w:szCs w:val="26"/>
        </w:rPr>
      </w:pPr>
      <w:r w:rsidRPr="00D662C3">
        <w:tab/>
      </w:r>
      <w:r w:rsidRPr="00D662C3" w:rsidR="008D30CA">
        <w:t xml:space="preserve">A jury found defendant </w:t>
      </w:r>
      <w:r w:rsidRPr="00D662C3">
        <w:rPr>
          <w:szCs w:val="26"/>
        </w:rPr>
        <w:t xml:space="preserve">Frank Christopher Gonzalez </w:t>
      </w:r>
      <w:r w:rsidRPr="00D662C3" w:rsidR="008D30CA">
        <w:rPr>
          <w:szCs w:val="26"/>
        </w:rPr>
        <w:t>guilty of fi</w:t>
      </w:r>
      <w:r w:rsidRPr="00D662C3">
        <w:rPr>
          <w:szCs w:val="26"/>
        </w:rPr>
        <w:t>rst</w:t>
      </w:r>
      <w:r w:rsidRPr="00D662C3" w:rsidR="00F61A1F">
        <w:rPr>
          <w:szCs w:val="26"/>
        </w:rPr>
        <w:t xml:space="preserve"> </w:t>
      </w:r>
      <w:r w:rsidRPr="00D662C3">
        <w:rPr>
          <w:szCs w:val="26"/>
        </w:rPr>
        <w:t xml:space="preserve">degree murder and </w:t>
      </w:r>
      <w:r w:rsidRPr="00D662C3" w:rsidR="009E2A81">
        <w:rPr>
          <w:szCs w:val="26"/>
        </w:rPr>
        <w:t xml:space="preserve">attempted </w:t>
      </w:r>
      <w:r w:rsidRPr="00D662C3">
        <w:rPr>
          <w:szCs w:val="26"/>
        </w:rPr>
        <w:t>second degree robbery.  (</w:t>
      </w:r>
      <w:r w:rsidRPr="00D662C3" w:rsidR="0044084E">
        <w:rPr>
          <w:szCs w:val="26"/>
        </w:rPr>
        <w:t xml:space="preserve">See </w:t>
      </w:r>
      <w:r w:rsidRPr="00D662C3">
        <w:rPr>
          <w:szCs w:val="26"/>
        </w:rPr>
        <w:t>Pen. Code</w:t>
      </w:r>
      <w:r w:rsidRPr="00D662C3" w:rsidR="00B06EAE">
        <w:rPr>
          <w:szCs w:val="26"/>
        </w:rPr>
        <w:t>,</w:t>
      </w:r>
      <w:r w:rsidRPr="00D662C3">
        <w:rPr>
          <w:szCs w:val="26"/>
        </w:rPr>
        <w:t xml:space="preserve"> § 187, subd. (a), former §§ 189, 211, 664.)</w:t>
      </w:r>
      <w:r>
        <w:rPr>
          <w:rStyle w:val="FootnoteReference"/>
          <w:bCs/>
          <w:szCs w:val="26"/>
        </w:rPr>
        <w:footnoteReference w:id="3"/>
      </w:r>
      <w:r w:rsidRPr="00D662C3">
        <w:rPr>
          <w:szCs w:val="26"/>
        </w:rPr>
        <w:t xml:space="preserve">  The jury </w:t>
      </w:r>
      <w:r w:rsidRPr="00D662C3" w:rsidR="008D30CA">
        <w:rPr>
          <w:szCs w:val="26"/>
        </w:rPr>
        <w:t xml:space="preserve">also found </w:t>
      </w:r>
      <w:r w:rsidRPr="00D662C3">
        <w:rPr>
          <w:szCs w:val="26"/>
        </w:rPr>
        <w:t xml:space="preserve">true </w:t>
      </w:r>
      <w:r w:rsidRPr="00D662C3" w:rsidR="00C55F64">
        <w:rPr>
          <w:szCs w:val="26"/>
        </w:rPr>
        <w:t xml:space="preserve">a </w:t>
      </w:r>
      <w:r w:rsidRPr="00D662C3">
        <w:rPr>
          <w:szCs w:val="26"/>
        </w:rPr>
        <w:t xml:space="preserve">robbery-murder special-circumstance allegation and an allegation that defendant personally and intentionally discharged a firearm in committing the murder.  (Former §§ 190.2, subd. (a)(17), 12022.53, subds. (b), (c), (d).)  </w:t>
      </w:r>
      <w:r w:rsidRPr="00D662C3" w:rsidR="003C7AA7">
        <w:rPr>
          <w:szCs w:val="26"/>
        </w:rPr>
        <w:t>At the penalty phase, the jury returned a death verdict</w:t>
      </w:r>
      <w:r w:rsidRPr="00D662C3" w:rsidR="00F408D5">
        <w:rPr>
          <w:szCs w:val="26"/>
        </w:rPr>
        <w:t>,</w:t>
      </w:r>
      <w:r w:rsidRPr="00D662C3" w:rsidR="003C7AA7">
        <w:rPr>
          <w:szCs w:val="26"/>
        </w:rPr>
        <w:t xml:space="preserve"> and the trial court entered a judgment of death.  This appeal is automatic.  (Cal. Const., art. VI, § 11, subd. (a); § 1239, subd. (b).)</w:t>
      </w:r>
      <w:r w:rsidRPr="00D662C3">
        <w:rPr>
          <w:szCs w:val="26"/>
        </w:rPr>
        <w:t xml:space="preserve">  </w:t>
      </w:r>
      <w:r w:rsidRPr="00D662C3" w:rsidR="008E2181">
        <w:rPr>
          <w:szCs w:val="26"/>
        </w:rPr>
        <w:t>W</w:t>
      </w:r>
      <w:r w:rsidRPr="00D662C3" w:rsidR="000E7251">
        <w:rPr>
          <w:szCs w:val="26"/>
        </w:rPr>
        <w:t>e affirm the judgment.</w:t>
      </w:r>
    </w:p>
    <w:p w:rsidR="00197A1C" w:rsidRPr="00D662C3" w:rsidP="004F5DF7">
      <w:pPr>
        <w:pStyle w:val="ListParagraph"/>
        <w:numPr>
          <w:ilvl w:val="0"/>
          <w:numId w:val="2"/>
        </w:numPr>
        <w:tabs>
          <w:tab w:val="left" w:pos="1440"/>
        </w:tabs>
        <w:jc w:val="center"/>
        <w:rPr>
          <w:b/>
          <w:bCs/>
          <w:smallCaps/>
        </w:rPr>
      </w:pPr>
      <w:r w:rsidRPr="00D662C3">
        <w:rPr>
          <w:b/>
          <w:bCs/>
          <w:smallCaps/>
        </w:rPr>
        <w:t>Background</w:t>
      </w:r>
    </w:p>
    <w:p w:rsidR="00197A1C" w:rsidRPr="00D662C3" w:rsidP="004F5DF7">
      <w:pPr>
        <w:pStyle w:val="ListParagraph"/>
        <w:numPr>
          <w:ilvl w:val="0"/>
          <w:numId w:val="3"/>
        </w:numPr>
        <w:tabs>
          <w:tab w:val="left" w:pos="1440"/>
        </w:tabs>
        <w:rPr>
          <w:b/>
          <w:bCs/>
        </w:rPr>
      </w:pPr>
      <w:r w:rsidRPr="00D662C3">
        <w:rPr>
          <w:b/>
          <w:bCs/>
        </w:rPr>
        <w:t>Guilt Phase</w:t>
      </w:r>
    </w:p>
    <w:p w:rsidR="00544EF9" w:rsidRPr="00D662C3" w:rsidP="004F5DF7">
      <w:pPr>
        <w:pStyle w:val="ListParagraph"/>
        <w:numPr>
          <w:ilvl w:val="0"/>
          <w:numId w:val="10"/>
        </w:numPr>
        <w:tabs>
          <w:tab w:val="left" w:pos="1440"/>
        </w:tabs>
        <w:ind w:left="1080"/>
        <w:rPr>
          <w:i/>
          <w:iCs/>
        </w:rPr>
      </w:pPr>
      <w:r w:rsidRPr="00D662C3">
        <w:rPr>
          <w:i/>
          <w:iCs/>
          <w:szCs w:val="26"/>
        </w:rPr>
        <w:t>The shooting and initial investigation</w:t>
      </w:r>
    </w:p>
    <w:p w:rsidR="00544EF9" w:rsidRPr="00D662C3" w:rsidP="004F5DF7">
      <w:pPr>
        <w:ind w:firstLine="720"/>
        <w:rPr>
          <w:szCs w:val="26"/>
        </w:rPr>
      </w:pPr>
      <w:r w:rsidRPr="00D662C3">
        <w:rPr>
          <w:szCs w:val="26"/>
        </w:rPr>
        <w:t>At around 6:00 a.m. o</w:t>
      </w:r>
      <w:r w:rsidRPr="00D662C3" w:rsidR="00601E36">
        <w:rPr>
          <w:szCs w:val="26"/>
        </w:rPr>
        <w:t xml:space="preserve">n </w:t>
      </w:r>
      <w:r w:rsidRPr="00D662C3" w:rsidR="007A0F54">
        <w:rPr>
          <w:szCs w:val="26"/>
        </w:rPr>
        <w:t>March 28, 2006,</w:t>
      </w:r>
      <w:r w:rsidRPr="00D662C3" w:rsidR="00601E36">
        <w:rPr>
          <w:szCs w:val="26"/>
        </w:rPr>
        <w:t xml:space="preserve"> </w:t>
      </w:r>
      <w:r w:rsidRPr="00D662C3" w:rsidR="007A0F54">
        <w:rPr>
          <w:szCs w:val="26"/>
        </w:rPr>
        <w:t xml:space="preserve">Genaro Huizar </w:t>
      </w:r>
      <w:r w:rsidRPr="00D662C3" w:rsidR="00601E36">
        <w:rPr>
          <w:szCs w:val="26"/>
        </w:rPr>
        <w:t xml:space="preserve">arrived at his </w:t>
      </w:r>
      <w:r w:rsidRPr="00D662C3" w:rsidR="007A0F54">
        <w:rPr>
          <w:szCs w:val="26"/>
        </w:rPr>
        <w:t xml:space="preserve">home on Eucalyptus Avenue in Long Beach.  </w:t>
      </w:r>
      <w:r w:rsidRPr="00D662C3" w:rsidR="008E2181">
        <w:rPr>
          <w:szCs w:val="26"/>
        </w:rPr>
        <w:t xml:space="preserve">After </w:t>
      </w:r>
      <w:r w:rsidRPr="00D662C3" w:rsidR="00601E36">
        <w:rPr>
          <w:szCs w:val="26"/>
        </w:rPr>
        <w:t>parking his car</w:t>
      </w:r>
      <w:r w:rsidRPr="00D662C3">
        <w:rPr>
          <w:szCs w:val="26"/>
        </w:rPr>
        <w:t>,</w:t>
      </w:r>
      <w:r w:rsidRPr="00D662C3" w:rsidR="00601E36">
        <w:rPr>
          <w:szCs w:val="26"/>
        </w:rPr>
        <w:t xml:space="preserve"> he </w:t>
      </w:r>
      <w:r w:rsidRPr="00D662C3" w:rsidR="007A0F54">
        <w:rPr>
          <w:szCs w:val="26"/>
        </w:rPr>
        <w:t xml:space="preserve">observed two men </w:t>
      </w:r>
      <w:r w:rsidRPr="00D662C3" w:rsidR="00C43E33">
        <w:rPr>
          <w:szCs w:val="26"/>
        </w:rPr>
        <w:t>on</w:t>
      </w:r>
      <w:r w:rsidRPr="00D662C3" w:rsidR="007A0F54">
        <w:rPr>
          <w:szCs w:val="26"/>
        </w:rPr>
        <w:t xml:space="preserve"> bicycles</w:t>
      </w:r>
      <w:r w:rsidRPr="00D662C3" w:rsidR="00C43E33">
        <w:rPr>
          <w:szCs w:val="26"/>
        </w:rPr>
        <w:t xml:space="preserve"> ride</w:t>
      </w:r>
      <w:r w:rsidRPr="00D662C3" w:rsidR="007A0F54">
        <w:rPr>
          <w:szCs w:val="26"/>
        </w:rPr>
        <w:t xml:space="preserve"> past him. </w:t>
      </w:r>
      <w:r w:rsidRPr="00D662C3" w:rsidR="00C64049">
        <w:rPr>
          <w:szCs w:val="26"/>
        </w:rPr>
        <w:t xml:space="preserve"> </w:t>
      </w:r>
      <w:r w:rsidRPr="00D662C3" w:rsidR="007A0F54">
        <w:rPr>
          <w:szCs w:val="26"/>
        </w:rPr>
        <w:t>One of the bi</w:t>
      </w:r>
      <w:r w:rsidRPr="00D662C3">
        <w:rPr>
          <w:szCs w:val="26"/>
        </w:rPr>
        <w:t xml:space="preserve">cycles </w:t>
      </w:r>
      <w:r w:rsidRPr="00D662C3" w:rsidR="00781904">
        <w:rPr>
          <w:szCs w:val="26"/>
        </w:rPr>
        <w:t xml:space="preserve">looked like </w:t>
      </w:r>
      <w:r w:rsidRPr="00D662C3" w:rsidR="007A0F54">
        <w:rPr>
          <w:szCs w:val="26"/>
        </w:rPr>
        <w:t>a</w:t>
      </w:r>
      <w:r w:rsidRPr="00D662C3" w:rsidR="00C64049">
        <w:rPr>
          <w:szCs w:val="26"/>
        </w:rPr>
        <w:t xml:space="preserve"> “10-speed</w:t>
      </w:r>
      <w:r w:rsidRPr="00D662C3">
        <w:rPr>
          <w:szCs w:val="26"/>
        </w:rPr>
        <w:t xml:space="preserve">”; the </w:t>
      </w:r>
      <w:r w:rsidRPr="00D662C3" w:rsidR="007A0F54">
        <w:rPr>
          <w:szCs w:val="26"/>
        </w:rPr>
        <w:t>other</w:t>
      </w:r>
      <w:r w:rsidRPr="00D662C3">
        <w:rPr>
          <w:szCs w:val="26"/>
        </w:rPr>
        <w:t xml:space="preserve"> bike</w:t>
      </w:r>
      <w:r w:rsidRPr="00D662C3" w:rsidR="007A0F54">
        <w:rPr>
          <w:szCs w:val="26"/>
        </w:rPr>
        <w:t xml:space="preserve"> was </w:t>
      </w:r>
      <w:r w:rsidRPr="00D662C3" w:rsidR="00C64049">
        <w:rPr>
          <w:szCs w:val="26"/>
        </w:rPr>
        <w:t>smaller</w:t>
      </w:r>
      <w:r w:rsidRPr="00D662C3" w:rsidR="007A0F54">
        <w:rPr>
          <w:szCs w:val="26"/>
        </w:rPr>
        <w:t xml:space="preserve">. </w:t>
      </w:r>
      <w:r w:rsidRPr="00D662C3" w:rsidR="00C64049">
        <w:rPr>
          <w:szCs w:val="26"/>
        </w:rPr>
        <w:t xml:space="preserve"> </w:t>
      </w:r>
      <w:r w:rsidRPr="00D662C3" w:rsidR="007A0F54">
        <w:rPr>
          <w:szCs w:val="26"/>
        </w:rPr>
        <w:t xml:space="preserve">Huizar continued walking and entered his home.  Moments later he heard between three and five gunshots. </w:t>
      </w:r>
      <w:r w:rsidRPr="00D662C3" w:rsidR="00FB42AE">
        <w:rPr>
          <w:szCs w:val="26"/>
        </w:rPr>
        <w:t xml:space="preserve"> </w:t>
      </w:r>
      <w:r w:rsidRPr="00D662C3" w:rsidR="007A0F54">
        <w:rPr>
          <w:szCs w:val="26"/>
        </w:rPr>
        <w:t xml:space="preserve"> </w:t>
      </w:r>
      <w:r w:rsidRPr="00D662C3" w:rsidR="00B65D2F">
        <w:rPr>
          <w:szCs w:val="26"/>
        </w:rPr>
        <w:t xml:space="preserve"> </w:t>
      </w:r>
    </w:p>
    <w:p w:rsidR="007A0F54" w:rsidRPr="00D662C3" w:rsidP="004F5DF7">
      <w:pPr>
        <w:ind w:firstLine="720"/>
        <w:rPr>
          <w:szCs w:val="26"/>
        </w:rPr>
      </w:pPr>
      <w:r w:rsidRPr="00D662C3">
        <w:rPr>
          <w:szCs w:val="26"/>
        </w:rPr>
        <w:t>A</w:t>
      </w:r>
      <w:r w:rsidRPr="00D662C3" w:rsidR="00D9726C">
        <w:rPr>
          <w:szCs w:val="26"/>
        </w:rPr>
        <w:t>t a</w:t>
      </w:r>
      <w:r w:rsidRPr="00D662C3">
        <w:rPr>
          <w:szCs w:val="26"/>
        </w:rPr>
        <w:t>round 5:45</w:t>
      </w:r>
      <w:r w:rsidRPr="00D662C3" w:rsidR="006A1DCD">
        <w:rPr>
          <w:szCs w:val="26"/>
        </w:rPr>
        <w:t xml:space="preserve"> a.m. that same day</w:t>
      </w:r>
      <w:r w:rsidRPr="00D662C3">
        <w:rPr>
          <w:szCs w:val="26"/>
        </w:rPr>
        <w:t xml:space="preserve">, </w:t>
      </w:r>
      <w:r w:rsidRPr="00D662C3" w:rsidR="00936A6C">
        <w:rPr>
          <w:szCs w:val="26"/>
        </w:rPr>
        <w:t>two men</w:t>
      </w:r>
      <w:r w:rsidRPr="00D662C3">
        <w:rPr>
          <w:szCs w:val="26"/>
        </w:rPr>
        <w:t xml:space="preserve"> were delivering newspapers on Eucalyptus Avenue when they came upon a woman lying motionless on the ground</w:t>
      </w:r>
      <w:r w:rsidRPr="00D662C3" w:rsidR="00D9726C">
        <w:rPr>
          <w:szCs w:val="26"/>
        </w:rPr>
        <w:t xml:space="preserve"> lying in front of a car with its trunk open</w:t>
      </w:r>
      <w:r w:rsidRPr="00D662C3">
        <w:rPr>
          <w:szCs w:val="26"/>
        </w:rPr>
        <w:t xml:space="preserve">. </w:t>
      </w:r>
      <w:r w:rsidRPr="00D662C3" w:rsidR="00D9726C">
        <w:rPr>
          <w:szCs w:val="26"/>
        </w:rPr>
        <w:t xml:space="preserve"> </w:t>
      </w:r>
      <w:r w:rsidRPr="00D662C3">
        <w:rPr>
          <w:szCs w:val="26"/>
        </w:rPr>
        <w:t xml:space="preserve">They attempted to perform CPR on the woman, later identified as Los Angeles County Sheriff’s </w:t>
      </w:r>
      <w:r w:rsidR="00796A3D">
        <w:rPr>
          <w:szCs w:val="26"/>
        </w:rPr>
        <w:t xml:space="preserve">Department </w:t>
      </w:r>
      <w:r w:rsidRPr="00D662C3">
        <w:rPr>
          <w:szCs w:val="26"/>
        </w:rPr>
        <w:t>Deputy Maria Rosa</w:t>
      </w:r>
      <w:r w:rsidRPr="00D662C3" w:rsidR="00936A6C">
        <w:rPr>
          <w:szCs w:val="26"/>
        </w:rPr>
        <w:t>, and called 911</w:t>
      </w:r>
      <w:r w:rsidRPr="00D662C3">
        <w:rPr>
          <w:szCs w:val="26"/>
        </w:rPr>
        <w:t xml:space="preserve">.       </w:t>
      </w:r>
    </w:p>
    <w:p w:rsidR="00C8035F" w:rsidRPr="00D662C3" w:rsidP="004F5DF7">
      <w:pPr>
        <w:ind w:firstLine="720"/>
        <w:rPr>
          <w:szCs w:val="26"/>
        </w:rPr>
      </w:pPr>
      <w:r w:rsidRPr="00D662C3">
        <w:rPr>
          <w:szCs w:val="26"/>
        </w:rPr>
        <w:t xml:space="preserve">Officer </w:t>
      </w:r>
      <w:r w:rsidRPr="00D662C3" w:rsidR="00737551">
        <w:rPr>
          <w:szCs w:val="26"/>
        </w:rPr>
        <w:t>Rosa lived</w:t>
      </w:r>
      <w:r w:rsidRPr="00D662C3" w:rsidR="00C43E33">
        <w:rPr>
          <w:szCs w:val="26"/>
        </w:rPr>
        <w:t xml:space="preserve"> in a house</w:t>
      </w:r>
      <w:r w:rsidRPr="00D662C3" w:rsidR="00737551">
        <w:rPr>
          <w:szCs w:val="26"/>
        </w:rPr>
        <w:t xml:space="preserve"> </w:t>
      </w:r>
      <w:r w:rsidRPr="00D662C3" w:rsidR="003220E1">
        <w:rPr>
          <w:szCs w:val="26"/>
        </w:rPr>
        <w:t xml:space="preserve">on Eucalyptus Avenue </w:t>
      </w:r>
      <w:r w:rsidRPr="00D662C3" w:rsidR="00737551">
        <w:rPr>
          <w:szCs w:val="26"/>
        </w:rPr>
        <w:t xml:space="preserve">with her partner, </w:t>
      </w:r>
      <w:r w:rsidRPr="00D662C3">
        <w:rPr>
          <w:szCs w:val="26"/>
        </w:rPr>
        <w:t xml:space="preserve">Los Angeles County Sheriff’s </w:t>
      </w:r>
      <w:r w:rsidR="00796A3D">
        <w:rPr>
          <w:szCs w:val="26"/>
        </w:rPr>
        <w:t xml:space="preserve">Department </w:t>
      </w:r>
      <w:r w:rsidRPr="00D662C3">
        <w:rPr>
          <w:szCs w:val="26"/>
        </w:rPr>
        <w:t>Detective Jenny Martin</w:t>
      </w:r>
      <w:r w:rsidRPr="00D662C3" w:rsidR="00737551">
        <w:rPr>
          <w:szCs w:val="26"/>
        </w:rPr>
        <w:t xml:space="preserve">, and Martin’s </w:t>
      </w:r>
      <w:r w:rsidRPr="00D662C3" w:rsidR="0044084E">
        <w:rPr>
          <w:szCs w:val="26"/>
        </w:rPr>
        <w:t>nephew</w:t>
      </w:r>
      <w:r w:rsidRPr="00D662C3" w:rsidR="003220E1">
        <w:rPr>
          <w:szCs w:val="26"/>
        </w:rPr>
        <w:t>.</w:t>
      </w:r>
      <w:r w:rsidRPr="00D662C3" w:rsidR="007A0F54">
        <w:rPr>
          <w:szCs w:val="26"/>
        </w:rPr>
        <w:t xml:space="preserve">  </w:t>
      </w:r>
      <w:r w:rsidRPr="00D662C3" w:rsidR="00F10852">
        <w:rPr>
          <w:szCs w:val="26"/>
        </w:rPr>
        <w:t>On the morning of the shooting, Martin w</w:t>
      </w:r>
      <w:r w:rsidRPr="00D662C3">
        <w:rPr>
          <w:szCs w:val="26"/>
        </w:rPr>
        <w:t xml:space="preserve">as awakened by </w:t>
      </w:r>
      <w:r w:rsidRPr="00D662C3" w:rsidR="001B79E6">
        <w:rPr>
          <w:szCs w:val="26"/>
        </w:rPr>
        <w:t>her nephew</w:t>
      </w:r>
      <w:r w:rsidRPr="00D662C3" w:rsidR="007A0F54">
        <w:rPr>
          <w:szCs w:val="26"/>
        </w:rPr>
        <w:t xml:space="preserve">, who told her Rosa was “on the floor outside.”  </w:t>
      </w:r>
      <w:r w:rsidRPr="00D662C3">
        <w:rPr>
          <w:szCs w:val="26"/>
        </w:rPr>
        <w:t xml:space="preserve">Martin saw </w:t>
      </w:r>
      <w:r w:rsidRPr="00D662C3" w:rsidR="007A0F54">
        <w:rPr>
          <w:szCs w:val="26"/>
        </w:rPr>
        <w:t>Rosa lying on the ground</w:t>
      </w:r>
      <w:r w:rsidRPr="00D662C3">
        <w:rPr>
          <w:szCs w:val="26"/>
        </w:rPr>
        <w:t xml:space="preserve"> outside the house and </w:t>
      </w:r>
      <w:r w:rsidRPr="00D662C3" w:rsidR="007A0F54">
        <w:rPr>
          <w:szCs w:val="26"/>
        </w:rPr>
        <w:t>call</w:t>
      </w:r>
      <w:r w:rsidRPr="00D662C3">
        <w:rPr>
          <w:szCs w:val="26"/>
        </w:rPr>
        <w:t>ed</w:t>
      </w:r>
      <w:r w:rsidRPr="00D662C3" w:rsidR="007A0F54">
        <w:rPr>
          <w:szCs w:val="26"/>
        </w:rPr>
        <w:t xml:space="preserve"> 911.  </w:t>
      </w:r>
    </w:p>
    <w:p w:rsidR="00F10852" w:rsidRPr="00D662C3" w:rsidP="004F5DF7">
      <w:pPr>
        <w:ind w:firstLine="720"/>
        <w:rPr>
          <w:szCs w:val="26"/>
        </w:rPr>
      </w:pPr>
      <w:r w:rsidRPr="00D662C3">
        <w:rPr>
          <w:szCs w:val="26"/>
        </w:rPr>
        <w:t xml:space="preserve">Long Beach Police </w:t>
      </w:r>
      <w:r w:rsidR="00521B7F">
        <w:rPr>
          <w:szCs w:val="26"/>
        </w:rPr>
        <w:t xml:space="preserve">Department </w:t>
      </w:r>
      <w:r w:rsidRPr="00D662C3">
        <w:rPr>
          <w:szCs w:val="26"/>
        </w:rPr>
        <w:t xml:space="preserve">Officer Robert Davenport </w:t>
      </w:r>
      <w:r w:rsidRPr="00D662C3" w:rsidR="00C8035F">
        <w:rPr>
          <w:szCs w:val="26"/>
        </w:rPr>
        <w:t>responded to the 911 calls</w:t>
      </w:r>
      <w:r w:rsidRPr="00D662C3">
        <w:rPr>
          <w:szCs w:val="26"/>
        </w:rPr>
        <w:t xml:space="preserve">.  </w:t>
      </w:r>
      <w:r w:rsidRPr="00D662C3" w:rsidR="00D95868">
        <w:rPr>
          <w:szCs w:val="26"/>
        </w:rPr>
        <w:t xml:space="preserve">When Davenport </w:t>
      </w:r>
      <w:r w:rsidRPr="00D662C3" w:rsidR="00C8035F">
        <w:rPr>
          <w:szCs w:val="26"/>
        </w:rPr>
        <w:t xml:space="preserve">arrived </w:t>
      </w:r>
      <w:r w:rsidRPr="00D662C3" w:rsidR="006E794B">
        <w:rPr>
          <w:szCs w:val="26"/>
        </w:rPr>
        <w:t xml:space="preserve">at the scene </w:t>
      </w:r>
      <w:r w:rsidRPr="00D662C3" w:rsidR="00C8035F">
        <w:rPr>
          <w:szCs w:val="26"/>
        </w:rPr>
        <w:t xml:space="preserve">he saw </w:t>
      </w:r>
      <w:r w:rsidRPr="00D662C3" w:rsidR="00231C6B">
        <w:rPr>
          <w:szCs w:val="26"/>
        </w:rPr>
        <w:t xml:space="preserve">a </w:t>
      </w:r>
      <w:r w:rsidRPr="00D662C3">
        <w:rPr>
          <w:szCs w:val="26"/>
        </w:rPr>
        <w:t xml:space="preserve">red </w:t>
      </w:r>
      <w:r w:rsidRPr="00D662C3" w:rsidR="00231C6B">
        <w:rPr>
          <w:szCs w:val="26"/>
        </w:rPr>
        <w:t>BMX</w:t>
      </w:r>
      <w:r w:rsidR="001320FA">
        <w:rPr>
          <w:szCs w:val="26"/>
        </w:rPr>
        <w:t>-style</w:t>
      </w:r>
      <w:r w:rsidRPr="00D662C3" w:rsidR="00231C6B">
        <w:rPr>
          <w:szCs w:val="26"/>
        </w:rPr>
        <w:t xml:space="preserve"> bicycle </w:t>
      </w:r>
      <w:r w:rsidRPr="00D662C3">
        <w:rPr>
          <w:szCs w:val="26"/>
        </w:rPr>
        <w:t>near</w:t>
      </w:r>
      <w:r w:rsidRPr="00D662C3" w:rsidR="00231C6B">
        <w:rPr>
          <w:szCs w:val="26"/>
        </w:rPr>
        <w:t xml:space="preserve"> </w:t>
      </w:r>
      <w:r w:rsidRPr="00D662C3">
        <w:rPr>
          <w:szCs w:val="26"/>
        </w:rPr>
        <w:t>Rosa’s body</w:t>
      </w:r>
      <w:r w:rsidRPr="00D662C3">
        <w:rPr>
          <w:szCs w:val="26"/>
        </w:rPr>
        <w:t>, which</w:t>
      </w:r>
      <w:r w:rsidRPr="00D662C3" w:rsidR="00EA7CFD">
        <w:rPr>
          <w:szCs w:val="26"/>
        </w:rPr>
        <w:t xml:space="preserve"> appeared to have a gunshot wound. </w:t>
      </w:r>
      <w:r w:rsidRPr="00D662C3">
        <w:rPr>
          <w:szCs w:val="26"/>
        </w:rPr>
        <w:t xml:space="preserve"> </w:t>
      </w:r>
      <w:r w:rsidRPr="00D662C3" w:rsidR="00EA7CFD">
        <w:rPr>
          <w:szCs w:val="26"/>
        </w:rPr>
        <w:t xml:space="preserve">The body was lying </w:t>
      </w:r>
      <w:r w:rsidRPr="00D662C3">
        <w:rPr>
          <w:szCs w:val="26"/>
        </w:rPr>
        <w:t>in a driveway near a car with its trunk open</w:t>
      </w:r>
      <w:r w:rsidRPr="00D662C3">
        <w:rPr>
          <w:szCs w:val="26"/>
        </w:rPr>
        <w:t>.</w:t>
      </w:r>
      <w:r w:rsidRPr="00D662C3" w:rsidR="00231C6B">
        <w:rPr>
          <w:szCs w:val="26"/>
        </w:rPr>
        <w:t xml:space="preserve"> </w:t>
      </w:r>
      <w:r w:rsidRPr="00D662C3">
        <w:rPr>
          <w:szCs w:val="26"/>
        </w:rPr>
        <w:t xml:space="preserve"> </w:t>
      </w:r>
      <w:r w:rsidRPr="00D662C3">
        <w:rPr>
          <w:szCs w:val="26"/>
        </w:rPr>
        <w:t xml:space="preserve">Davenport looked inside the trunk and saw </w:t>
      </w:r>
      <w:r w:rsidRPr="00D662C3" w:rsidR="0044084E">
        <w:rPr>
          <w:szCs w:val="26"/>
        </w:rPr>
        <w:t>several items</w:t>
      </w:r>
      <w:r w:rsidRPr="00D662C3">
        <w:rPr>
          <w:szCs w:val="26"/>
        </w:rPr>
        <w:t xml:space="preserve"> including a gun, boots</w:t>
      </w:r>
      <w:r w:rsidRPr="00D662C3" w:rsidR="00EA7CFD">
        <w:rPr>
          <w:szCs w:val="26"/>
        </w:rPr>
        <w:t xml:space="preserve"> and a </w:t>
      </w:r>
      <w:r w:rsidRPr="00D662C3">
        <w:rPr>
          <w:szCs w:val="26"/>
        </w:rPr>
        <w:t>purse</w:t>
      </w:r>
      <w:r w:rsidRPr="00D662C3" w:rsidR="00EA7CFD">
        <w:rPr>
          <w:szCs w:val="26"/>
        </w:rPr>
        <w:t>.</w:t>
      </w:r>
      <w:r w:rsidRPr="00D662C3">
        <w:rPr>
          <w:szCs w:val="26"/>
        </w:rPr>
        <w:t xml:space="preserve"> </w:t>
      </w:r>
      <w:r w:rsidRPr="00D662C3" w:rsidR="00EA7CFD">
        <w:rPr>
          <w:szCs w:val="26"/>
        </w:rPr>
        <w:t xml:space="preserve"> The</w:t>
      </w:r>
      <w:r w:rsidRPr="00D662C3">
        <w:rPr>
          <w:szCs w:val="26"/>
        </w:rPr>
        <w:t xml:space="preserve"> purse was partially open. </w:t>
      </w:r>
      <w:r w:rsidRPr="00D662C3" w:rsidR="0044084E">
        <w:rPr>
          <w:szCs w:val="26"/>
        </w:rPr>
        <w:t xml:space="preserve"> </w:t>
      </w:r>
    </w:p>
    <w:p w:rsidR="007A0F54" w:rsidRPr="00D662C3" w:rsidP="004F5DF7">
      <w:pPr>
        <w:ind w:firstLine="720"/>
        <w:rPr>
          <w:szCs w:val="26"/>
        </w:rPr>
      </w:pPr>
      <w:r w:rsidRPr="00D662C3">
        <w:rPr>
          <w:szCs w:val="26"/>
        </w:rPr>
        <w:t xml:space="preserve">Long Beach Police Department </w:t>
      </w:r>
      <w:r w:rsidRPr="00D662C3">
        <w:rPr>
          <w:szCs w:val="26"/>
        </w:rPr>
        <w:t>Detective</w:t>
      </w:r>
      <w:r w:rsidRPr="00D662C3" w:rsidR="00C8035F">
        <w:rPr>
          <w:szCs w:val="26"/>
        </w:rPr>
        <w:t>s</w:t>
      </w:r>
      <w:r w:rsidRPr="00D662C3">
        <w:rPr>
          <w:szCs w:val="26"/>
        </w:rPr>
        <w:t xml:space="preserve"> Patrick O’Dowd </w:t>
      </w:r>
      <w:r w:rsidRPr="00D662C3" w:rsidR="00C8035F">
        <w:rPr>
          <w:szCs w:val="26"/>
        </w:rPr>
        <w:t xml:space="preserve">and Bryan McMahon </w:t>
      </w:r>
      <w:r w:rsidRPr="00D662C3">
        <w:rPr>
          <w:szCs w:val="26"/>
        </w:rPr>
        <w:t>inspected the trunk</w:t>
      </w:r>
      <w:r w:rsidRPr="00D662C3" w:rsidR="00C8035F">
        <w:rPr>
          <w:szCs w:val="26"/>
        </w:rPr>
        <w:t xml:space="preserve">, which contained </w:t>
      </w:r>
      <w:r w:rsidRPr="00D662C3">
        <w:rPr>
          <w:szCs w:val="26"/>
        </w:rPr>
        <w:t>a black gym bag</w:t>
      </w:r>
      <w:r w:rsidRPr="00D662C3" w:rsidR="00D95868">
        <w:rPr>
          <w:szCs w:val="26"/>
        </w:rPr>
        <w:t xml:space="preserve"> with a nine-millimeter Heckler and Koch handgun next to it, along with a purse and a wallet. </w:t>
      </w:r>
      <w:r w:rsidRPr="00D662C3">
        <w:rPr>
          <w:szCs w:val="26"/>
        </w:rPr>
        <w:t xml:space="preserve"> </w:t>
      </w:r>
      <w:r w:rsidRPr="00D662C3" w:rsidR="00D95868">
        <w:rPr>
          <w:szCs w:val="26"/>
        </w:rPr>
        <w:t>The k</w:t>
      </w:r>
      <w:r w:rsidRPr="00D662C3">
        <w:rPr>
          <w:szCs w:val="26"/>
        </w:rPr>
        <w:t xml:space="preserve">eys to the car were in the keyhole of the trunk.  They also </w:t>
      </w:r>
      <w:r w:rsidRPr="00D662C3" w:rsidR="00D95868">
        <w:rPr>
          <w:szCs w:val="26"/>
        </w:rPr>
        <w:t xml:space="preserve">found </w:t>
      </w:r>
      <w:r w:rsidR="001320FA">
        <w:rPr>
          <w:szCs w:val="26"/>
        </w:rPr>
        <w:t>Rosa’s</w:t>
      </w:r>
      <w:r w:rsidRPr="00D662C3">
        <w:rPr>
          <w:szCs w:val="26"/>
        </w:rPr>
        <w:t xml:space="preserve"> police badge</w:t>
      </w:r>
      <w:r w:rsidRPr="00D662C3" w:rsidR="00D95868">
        <w:rPr>
          <w:szCs w:val="26"/>
        </w:rPr>
        <w:t>, which was closed,</w:t>
      </w:r>
      <w:r w:rsidRPr="00D662C3">
        <w:rPr>
          <w:szCs w:val="26"/>
        </w:rPr>
        <w:t xml:space="preserve"> and a </w:t>
      </w:r>
      <w:r w:rsidRPr="00D662C3" w:rsidR="00D95868">
        <w:rPr>
          <w:szCs w:val="26"/>
        </w:rPr>
        <w:t xml:space="preserve">firearm </w:t>
      </w:r>
      <w:r w:rsidRPr="00D662C3">
        <w:rPr>
          <w:szCs w:val="26"/>
        </w:rPr>
        <w:t>holster</w:t>
      </w:r>
      <w:r w:rsidRPr="00D662C3" w:rsidR="00D95868">
        <w:rPr>
          <w:szCs w:val="26"/>
        </w:rPr>
        <w:t>.</w:t>
      </w:r>
      <w:r w:rsidRPr="00D662C3">
        <w:rPr>
          <w:szCs w:val="26"/>
        </w:rPr>
        <w:t xml:space="preserve">  Detective McMahon testified that </w:t>
      </w:r>
      <w:r w:rsidRPr="00D662C3" w:rsidR="00D95868">
        <w:rPr>
          <w:szCs w:val="26"/>
        </w:rPr>
        <w:t>the gun had a</w:t>
      </w:r>
      <w:r w:rsidRPr="00D662C3">
        <w:rPr>
          <w:szCs w:val="26"/>
        </w:rPr>
        <w:t xml:space="preserve"> live round jammed into it that obstructed the chamber.  He </w:t>
      </w:r>
      <w:r w:rsidR="001320FA">
        <w:rPr>
          <w:szCs w:val="26"/>
        </w:rPr>
        <w:t>believed</w:t>
      </w:r>
      <w:r w:rsidRPr="00D662C3">
        <w:rPr>
          <w:szCs w:val="26"/>
        </w:rPr>
        <w:t xml:space="preserve"> that the gun was jammed due to someone having tried to get a round in</w:t>
      </w:r>
      <w:r w:rsidR="001320FA">
        <w:rPr>
          <w:szCs w:val="26"/>
        </w:rPr>
        <w:t>to</w:t>
      </w:r>
      <w:r w:rsidRPr="00D662C3">
        <w:rPr>
          <w:szCs w:val="26"/>
        </w:rPr>
        <w:t xml:space="preserve"> the chamber. </w:t>
      </w:r>
      <w:r w:rsidRPr="00D662C3" w:rsidR="0058447D">
        <w:rPr>
          <w:szCs w:val="26"/>
        </w:rPr>
        <w:t xml:space="preserve"> </w:t>
      </w:r>
      <w:r w:rsidRPr="00D662C3">
        <w:rPr>
          <w:szCs w:val="26"/>
        </w:rPr>
        <w:t xml:space="preserve">Los Angeles County Sheriff’s Department </w:t>
      </w:r>
      <w:r w:rsidRPr="00D662C3">
        <w:rPr>
          <w:szCs w:val="26"/>
        </w:rPr>
        <w:t xml:space="preserve">Firearms Identification Expert Edmund Anderson agreed that the gun had malfunctioned, jammed, and failed to fire. </w:t>
      </w:r>
      <w:r w:rsidRPr="00D662C3" w:rsidR="0058447D">
        <w:rPr>
          <w:szCs w:val="26"/>
        </w:rPr>
        <w:t xml:space="preserve"> </w:t>
      </w:r>
    </w:p>
    <w:p w:rsidR="007A0F54" w:rsidRPr="00D662C3" w:rsidP="004F5DF7">
      <w:pPr>
        <w:ind w:firstLine="720"/>
        <w:rPr>
          <w:szCs w:val="26"/>
        </w:rPr>
      </w:pPr>
      <w:r w:rsidRPr="00D662C3">
        <w:rPr>
          <w:szCs w:val="26"/>
        </w:rPr>
        <w:t xml:space="preserve">Los Angeles County Medical Examiner Paul Gliniecki conducted an autopsy the day after the murder.  He identified two gunshot wounds, one to Rosa’s upper right shoulder and a fatal wound to her left side abdomen.  </w:t>
      </w:r>
      <w:r w:rsidRPr="00D662C3" w:rsidR="00716ABA">
        <w:rPr>
          <w:szCs w:val="26"/>
        </w:rPr>
        <w:t xml:space="preserve">Both bullets were </w:t>
      </w:r>
      <w:r w:rsidRPr="00D662C3" w:rsidR="00D95868">
        <w:rPr>
          <w:szCs w:val="26"/>
        </w:rPr>
        <w:t>.22-caliber munition</w:t>
      </w:r>
      <w:r w:rsidRPr="00D662C3" w:rsidR="00716ABA">
        <w:rPr>
          <w:szCs w:val="26"/>
        </w:rPr>
        <w:t>s</w:t>
      </w:r>
      <w:r w:rsidRPr="00D662C3" w:rsidR="00D95868">
        <w:rPr>
          <w:szCs w:val="26"/>
        </w:rPr>
        <w:t xml:space="preserve">. </w:t>
      </w:r>
      <w:r w:rsidRPr="00D662C3" w:rsidR="00CF25B1">
        <w:rPr>
          <w:szCs w:val="26"/>
        </w:rPr>
        <w:t xml:space="preserve"> </w:t>
      </w:r>
      <w:r w:rsidRPr="00D662C3">
        <w:rPr>
          <w:szCs w:val="26"/>
        </w:rPr>
        <w:t>Gliniecki concluded that Rosa</w:t>
      </w:r>
      <w:r w:rsidRPr="00D662C3" w:rsidR="00D95868">
        <w:rPr>
          <w:szCs w:val="26"/>
        </w:rPr>
        <w:t xml:space="preserve"> had</w:t>
      </w:r>
      <w:r w:rsidRPr="00D662C3">
        <w:rPr>
          <w:szCs w:val="26"/>
        </w:rPr>
        <w:t xml:space="preserve"> died from internal bleeding caused by the gunshots</w:t>
      </w:r>
      <w:r w:rsidRPr="00D662C3" w:rsidR="00EA7CFD">
        <w:rPr>
          <w:szCs w:val="26"/>
        </w:rPr>
        <w:t>.</w:t>
      </w:r>
      <w:r w:rsidRPr="00D662C3">
        <w:rPr>
          <w:szCs w:val="26"/>
        </w:rPr>
        <w:t xml:space="preserve"> </w:t>
      </w:r>
    </w:p>
    <w:p w:rsidR="007A0F54" w:rsidRPr="00D662C3" w:rsidP="004F5DF7">
      <w:pPr>
        <w:ind w:firstLine="720"/>
        <w:rPr>
          <w:szCs w:val="26"/>
        </w:rPr>
      </w:pPr>
      <w:r w:rsidRPr="00D662C3">
        <w:rPr>
          <w:szCs w:val="26"/>
        </w:rPr>
        <w:t xml:space="preserve">Long Beach Police </w:t>
      </w:r>
      <w:r w:rsidR="00521B7F">
        <w:rPr>
          <w:szCs w:val="26"/>
        </w:rPr>
        <w:t xml:space="preserve">Department </w:t>
      </w:r>
      <w:r w:rsidRPr="00D662C3">
        <w:rPr>
          <w:szCs w:val="26"/>
        </w:rPr>
        <w:t xml:space="preserve">Detective David Rios </w:t>
      </w:r>
      <w:r w:rsidRPr="00D662C3" w:rsidR="00716ABA">
        <w:rPr>
          <w:szCs w:val="26"/>
        </w:rPr>
        <w:t xml:space="preserve">secured </w:t>
      </w:r>
      <w:r w:rsidRPr="00D662C3">
        <w:rPr>
          <w:szCs w:val="26"/>
        </w:rPr>
        <w:t>surveillance video</w:t>
      </w:r>
      <w:r w:rsidRPr="00D662C3" w:rsidR="00716ABA">
        <w:rPr>
          <w:szCs w:val="26"/>
        </w:rPr>
        <w:t xml:space="preserve"> from a Bank of America located near the shooting</w:t>
      </w:r>
      <w:r w:rsidRPr="00D662C3" w:rsidR="006E794B">
        <w:rPr>
          <w:szCs w:val="26"/>
        </w:rPr>
        <w:t xml:space="preserve"> and reviewed footage</w:t>
      </w:r>
      <w:r w:rsidRPr="00D662C3" w:rsidR="00231C6B">
        <w:rPr>
          <w:szCs w:val="26"/>
        </w:rPr>
        <w:t xml:space="preserve"> that had been</w:t>
      </w:r>
      <w:r w:rsidRPr="00D662C3" w:rsidR="006E794B">
        <w:rPr>
          <w:szCs w:val="26"/>
        </w:rPr>
        <w:t xml:space="preserve"> </w:t>
      </w:r>
      <w:r w:rsidRPr="00D662C3">
        <w:rPr>
          <w:szCs w:val="26"/>
        </w:rPr>
        <w:t>captured between 4</w:t>
      </w:r>
      <w:r w:rsidRPr="00D662C3" w:rsidR="00370445">
        <w:rPr>
          <w:szCs w:val="26"/>
        </w:rPr>
        <w:t>:00</w:t>
      </w:r>
      <w:r w:rsidRPr="00D662C3">
        <w:rPr>
          <w:szCs w:val="26"/>
        </w:rPr>
        <w:t xml:space="preserve"> and 7</w:t>
      </w:r>
      <w:r w:rsidRPr="00D662C3" w:rsidR="00370445">
        <w:rPr>
          <w:szCs w:val="26"/>
        </w:rPr>
        <w:t>:00</w:t>
      </w:r>
      <w:r w:rsidRPr="00D662C3">
        <w:rPr>
          <w:szCs w:val="26"/>
        </w:rPr>
        <w:t xml:space="preserve"> a.m. </w:t>
      </w:r>
      <w:r w:rsidRPr="00D662C3" w:rsidR="006E794B">
        <w:rPr>
          <w:szCs w:val="26"/>
        </w:rPr>
        <w:t xml:space="preserve">on </w:t>
      </w:r>
      <w:r w:rsidRPr="00D662C3">
        <w:rPr>
          <w:szCs w:val="26"/>
        </w:rPr>
        <w:t xml:space="preserve">the </w:t>
      </w:r>
      <w:r w:rsidR="00521B7F">
        <w:rPr>
          <w:szCs w:val="26"/>
        </w:rPr>
        <w:t>day</w:t>
      </w:r>
      <w:r w:rsidRPr="00D662C3" w:rsidR="006E794B">
        <w:rPr>
          <w:szCs w:val="26"/>
        </w:rPr>
        <w:t xml:space="preserve"> </w:t>
      </w:r>
      <w:r w:rsidRPr="00D662C3">
        <w:rPr>
          <w:szCs w:val="26"/>
        </w:rPr>
        <w:t xml:space="preserve">of the murder. </w:t>
      </w:r>
      <w:r w:rsidRPr="00D662C3" w:rsidR="006E794B">
        <w:rPr>
          <w:szCs w:val="26"/>
        </w:rPr>
        <w:t xml:space="preserve"> The video showed </w:t>
      </w:r>
      <w:r w:rsidRPr="00D662C3" w:rsidR="00716ABA">
        <w:rPr>
          <w:szCs w:val="26"/>
        </w:rPr>
        <w:t xml:space="preserve">two men </w:t>
      </w:r>
      <w:r w:rsidRPr="00D662C3" w:rsidR="006E794B">
        <w:rPr>
          <w:szCs w:val="26"/>
        </w:rPr>
        <w:t xml:space="preserve">riding </w:t>
      </w:r>
      <w:r w:rsidRPr="00D662C3" w:rsidR="00716ABA">
        <w:rPr>
          <w:szCs w:val="26"/>
        </w:rPr>
        <w:t>on bicycles between 5:25 and 5:30 a.m.</w:t>
      </w:r>
      <w:r w:rsidRPr="00D662C3" w:rsidR="006E794B">
        <w:rPr>
          <w:szCs w:val="26"/>
        </w:rPr>
        <w:t xml:space="preserve">  Rios generated still images of the two men, </w:t>
      </w:r>
      <w:r w:rsidRPr="00D662C3">
        <w:rPr>
          <w:szCs w:val="26"/>
        </w:rPr>
        <w:t>which he turned over to investigating officers.</w:t>
      </w:r>
      <w:r w:rsidRPr="00D662C3" w:rsidR="00231C6B">
        <w:rPr>
          <w:szCs w:val="26"/>
        </w:rPr>
        <w:t xml:space="preserve"> </w:t>
      </w:r>
      <w:r w:rsidRPr="00D662C3" w:rsidR="00CF25B1">
        <w:rPr>
          <w:szCs w:val="26"/>
        </w:rPr>
        <w:t xml:space="preserve"> </w:t>
      </w:r>
      <w:r w:rsidRPr="00D662C3" w:rsidR="00E617CE">
        <w:rPr>
          <w:szCs w:val="26"/>
        </w:rPr>
        <w:t xml:space="preserve">Detective </w:t>
      </w:r>
      <w:r w:rsidRPr="00D662C3">
        <w:rPr>
          <w:szCs w:val="26"/>
        </w:rPr>
        <w:t xml:space="preserve">O’Dowd </w:t>
      </w:r>
      <w:r w:rsidRPr="00D662C3" w:rsidR="00716ABA">
        <w:rPr>
          <w:szCs w:val="26"/>
        </w:rPr>
        <w:t xml:space="preserve">used the images in a </w:t>
      </w:r>
      <w:r w:rsidRPr="00D662C3">
        <w:rPr>
          <w:szCs w:val="26"/>
        </w:rPr>
        <w:t>fl</w:t>
      </w:r>
      <w:r w:rsidRPr="00D662C3" w:rsidR="00CF25B1">
        <w:rPr>
          <w:szCs w:val="26"/>
        </w:rPr>
        <w:t>i</w:t>
      </w:r>
      <w:r w:rsidRPr="00D662C3">
        <w:rPr>
          <w:szCs w:val="26"/>
        </w:rPr>
        <w:t xml:space="preserve">er offering a reward for information about the suspects.  </w:t>
      </w:r>
    </w:p>
    <w:p w:rsidR="00716ABA" w:rsidRPr="00D662C3" w:rsidP="004F5DF7">
      <w:pPr>
        <w:pStyle w:val="ListParagraph"/>
        <w:numPr>
          <w:ilvl w:val="0"/>
          <w:numId w:val="10"/>
        </w:numPr>
        <w:ind w:left="1080"/>
        <w:rPr>
          <w:i/>
          <w:iCs/>
          <w:szCs w:val="26"/>
        </w:rPr>
      </w:pPr>
      <w:r w:rsidRPr="00D662C3">
        <w:rPr>
          <w:i/>
          <w:iCs/>
          <w:szCs w:val="26"/>
        </w:rPr>
        <w:t xml:space="preserve">The </w:t>
      </w:r>
      <w:r w:rsidRPr="00D662C3">
        <w:rPr>
          <w:i/>
          <w:iCs/>
          <w:szCs w:val="26"/>
        </w:rPr>
        <w:t xml:space="preserve">DNA </w:t>
      </w:r>
      <w:r w:rsidRPr="00D662C3">
        <w:rPr>
          <w:i/>
          <w:iCs/>
          <w:szCs w:val="26"/>
        </w:rPr>
        <w:t>e</w:t>
      </w:r>
      <w:r w:rsidRPr="00D662C3">
        <w:rPr>
          <w:i/>
          <w:iCs/>
          <w:szCs w:val="26"/>
        </w:rPr>
        <w:t>vidence</w:t>
      </w:r>
    </w:p>
    <w:p w:rsidR="000757D6" w:rsidRPr="00D662C3" w:rsidP="004F5DF7">
      <w:pPr>
        <w:ind w:firstLine="720"/>
        <w:rPr>
          <w:szCs w:val="26"/>
        </w:rPr>
      </w:pPr>
      <w:r w:rsidRPr="00D662C3">
        <w:rPr>
          <w:szCs w:val="26"/>
        </w:rPr>
        <w:t xml:space="preserve">Kari Yoshida, a criminalist for the Los Angeles County Sheriff’s </w:t>
      </w:r>
      <w:r w:rsidRPr="00D662C3" w:rsidR="0010334D">
        <w:rPr>
          <w:szCs w:val="26"/>
        </w:rPr>
        <w:t>Department</w:t>
      </w:r>
      <w:r w:rsidRPr="00D662C3">
        <w:rPr>
          <w:szCs w:val="26"/>
        </w:rPr>
        <w:t xml:space="preserve">, </w:t>
      </w:r>
      <w:r w:rsidRPr="00D662C3" w:rsidR="006E794B">
        <w:rPr>
          <w:szCs w:val="26"/>
        </w:rPr>
        <w:t xml:space="preserve">was able to </w:t>
      </w:r>
      <w:r w:rsidRPr="00D662C3" w:rsidR="00231C6B">
        <w:rPr>
          <w:szCs w:val="26"/>
        </w:rPr>
        <w:t>generate</w:t>
      </w:r>
      <w:r w:rsidRPr="00D662C3" w:rsidR="006E794B">
        <w:rPr>
          <w:szCs w:val="26"/>
        </w:rPr>
        <w:t xml:space="preserve"> a DNA profile from </w:t>
      </w:r>
      <w:r w:rsidRPr="00D662C3" w:rsidR="005D5C3B">
        <w:rPr>
          <w:szCs w:val="26"/>
        </w:rPr>
        <w:t xml:space="preserve">samples </w:t>
      </w:r>
      <w:r w:rsidRPr="00D662C3" w:rsidR="006E794B">
        <w:rPr>
          <w:szCs w:val="26"/>
        </w:rPr>
        <w:t xml:space="preserve">obtained </w:t>
      </w:r>
      <w:r w:rsidRPr="00D662C3" w:rsidR="005D5C3B">
        <w:rPr>
          <w:szCs w:val="26"/>
        </w:rPr>
        <w:t xml:space="preserve">from </w:t>
      </w:r>
      <w:r w:rsidRPr="00D662C3" w:rsidR="005B3BCF">
        <w:rPr>
          <w:szCs w:val="26"/>
        </w:rPr>
        <w:t>the</w:t>
      </w:r>
      <w:r w:rsidRPr="00D662C3" w:rsidR="005D5C3B">
        <w:rPr>
          <w:szCs w:val="26"/>
        </w:rPr>
        <w:t xml:space="preserve"> handlebar of the bicycle found at the scene of the crime</w:t>
      </w:r>
      <w:r w:rsidRPr="00D662C3">
        <w:rPr>
          <w:szCs w:val="26"/>
        </w:rPr>
        <w:t xml:space="preserve">. </w:t>
      </w:r>
      <w:r w:rsidRPr="00D662C3" w:rsidR="00CF25B1">
        <w:rPr>
          <w:szCs w:val="26"/>
        </w:rPr>
        <w:t xml:space="preserve"> </w:t>
      </w:r>
      <w:r w:rsidRPr="00D662C3" w:rsidR="005D5C3B">
        <w:rPr>
          <w:szCs w:val="26"/>
        </w:rPr>
        <w:t>The profile was entered into the “Combined DNA Index System (CODIS), a nationwide database that enables law enforcement to search DNA profiles collected from federal, state, and local collection programs.”  (</w:t>
      </w:r>
      <w:r w:rsidRPr="00D662C3" w:rsidR="005D5C3B">
        <w:rPr>
          <w:i/>
          <w:iCs/>
          <w:szCs w:val="26"/>
        </w:rPr>
        <w:t>People v. Buza</w:t>
      </w:r>
      <w:r w:rsidRPr="00D662C3" w:rsidR="005D5C3B">
        <w:rPr>
          <w:szCs w:val="26"/>
        </w:rPr>
        <w:t xml:space="preserve"> (2018) 4 Cal.5th 658, 666.)  </w:t>
      </w:r>
    </w:p>
    <w:p w:rsidR="005D5C3B" w:rsidRPr="00D662C3" w:rsidP="004F5DF7">
      <w:pPr>
        <w:ind w:firstLine="720"/>
        <w:rPr>
          <w:szCs w:val="26"/>
        </w:rPr>
      </w:pPr>
      <w:r w:rsidRPr="00D662C3">
        <w:rPr>
          <w:szCs w:val="26"/>
        </w:rPr>
        <w:t xml:space="preserve">In July of 2006, the California Department of Justice informed personnel investigating Rosa’s murder that Gonzalez was a potential match.  Yoshida’s colleague, Juli Watkins, obtained reference samples from Gonzalez and generated a </w:t>
      </w:r>
      <w:r w:rsidRPr="00D662C3" w:rsidR="00231C6B">
        <w:rPr>
          <w:szCs w:val="26"/>
        </w:rPr>
        <w:t>DNA</w:t>
      </w:r>
      <w:r w:rsidRPr="00D662C3">
        <w:rPr>
          <w:szCs w:val="26"/>
        </w:rPr>
        <w:t xml:space="preserve"> profile</w:t>
      </w:r>
      <w:r w:rsidRPr="00D662C3" w:rsidR="00A210DB">
        <w:rPr>
          <w:szCs w:val="26"/>
        </w:rPr>
        <w:t xml:space="preserve">. </w:t>
      </w:r>
      <w:r w:rsidRPr="00D662C3">
        <w:rPr>
          <w:szCs w:val="26"/>
        </w:rPr>
        <w:t xml:space="preserve"> She then compared </w:t>
      </w:r>
      <w:r w:rsidRPr="00D662C3" w:rsidR="00E437EC">
        <w:rPr>
          <w:szCs w:val="26"/>
        </w:rPr>
        <w:t>his</w:t>
      </w:r>
      <w:r w:rsidRPr="00D662C3">
        <w:rPr>
          <w:szCs w:val="26"/>
        </w:rPr>
        <w:t xml:space="preserve"> profile to the profile Yoshida had </w:t>
      </w:r>
      <w:r w:rsidRPr="00D662C3">
        <w:rPr>
          <w:szCs w:val="26"/>
        </w:rPr>
        <w:t xml:space="preserve">generated from the bicycle and concluded Gonzalez was a possible contributor.  </w:t>
      </w:r>
    </w:p>
    <w:p w:rsidR="007A4E7A" w:rsidRPr="00D662C3" w:rsidP="004F5DF7">
      <w:pPr>
        <w:ind w:firstLine="720"/>
        <w:rPr>
          <w:szCs w:val="26"/>
        </w:rPr>
      </w:pPr>
      <w:r w:rsidRPr="00D662C3">
        <w:rPr>
          <w:szCs w:val="26"/>
        </w:rPr>
        <w:t xml:space="preserve">At trial, </w:t>
      </w:r>
      <w:r w:rsidRPr="00D662C3">
        <w:rPr>
          <w:szCs w:val="26"/>
        </w:rPr>
        <w:t xml:space="preserve">Watkins testified </w:t>
      </w:r>
      <w:r w:rsidRPr="00D662C3">
        <w:rPr>
          <w:szCs w:val="26"/>
        </w:rPr>
        <w:t xml:space="preserve">about her and Yoshida’s DNA </w:t>
      </w:r>
      <w:r w:rsidRPr="00D662C3" w:rsidR="00231C6B">
        <w:rPr>
          <w:szCs w:val="26"/>
        </w:rPr>
        <w:t>analysis</w:t>
      </w:r>
      <w:r w:rsidRPr="00D662C3">
        <w:rPr>
          <w:szCs w:val="26"/>
        </w:rPr>
        <w:t>.  She</w:t>
      </w:r>
      <w:r w:rsidRPr="00D662C3" w:rsidR="00CD0894">
        <w:rPr>
          <w:szCs w:val="26"/>
        </w:rPr>
        <w:t xml:space="preserve"> further</w:t>
      </w:r>
      <w:r w:rsidRPr="00D662C3">
        <w:rPr>
          <w:szCs w:val="26"/>
        </w:rPr>
        <w:t xml:space="preserve"> testified that </w:t>
      </w:r>
      <w:r w:rsidRPr="00D662C3" w:rsidR="00EA51C0">
        <w:rPr>
          <w:szCs w:val="26"/>
        </w:rPr>
        <w:t>Gonzalez</w:t>
      </w:r>
      <w:r w:rsidRPr="00D662C3">
        <w:rPr>
          <w:szCs w:val="26"/>
        </w:rPr>
        <w:t xml:space="preserve"> could not be ruled out as a possible contributor to the sample found on the bike</w:t>
      </w:r>
      <w:r w:rsidRPr="00D662C3" w:rsidR="00A210DB">
        <w:rPr>
          <w:szCs w:val="26"/>
        </w:rPr>
        <w:t>.</w:t>
      </w:r>
      <w:r w:rsidRPr="00D662C3">
        <w:rPr>
          <w:szCs w:val="26"/>
        </w:rPr>
        <w:t xml:space="preserve"> </w:t>
      </w:r>
      <w:r w:rsidRPr="00D662C3" w:rsidR="0078579D">
        <w:rPr>
          <w:szCs w:val="26"/>
        </w:rPr>
        <w:t xml:space="preserve">Using </w:t>
      </w:r>
      <w:r w:rsidRPr="00D662C3">
        <w:rPr>
          <w:szCs w:val="26"/>
        </w:rPr>
        <w:t>a conservative e</w:t>
      </w:r>
      <w:r w:rsidRPr="00D662C3">
        <w:rPr>
          <w:szCs w:val="26"/>
        </w:rPr>
        <w:t xml:space="preserve">stimate, </w:t>
      </w:r>
      <w:r w:rsidRPr="00D662C3" w:rsidR="0078579D">
        <w:rPr>
          <w:szCs w:val="26"/>
        </w:rPr>
        <w:t xml:space="preserve">she testified </w:t>
      </w:r>
      <w:r w:rsidRPr="00D662C3">
        <w:rPr>
          <w:szCs w:val="26"/>
        </w:rPr>
        <w:t xml:space="preserve">there was a one in </w:t>
      </w:r>
      <w:r w:rsidRPr="00D662C3">
        <w:rPr>
          <w:szCs w:val="26"/>
        </w:rPr>
        <w:t xml:space="preserve">one </w:t>
      </w:r>
      <w:r w:rsidRPr="00D662C3">
        <w:rPr>
          <w:szCs w:val="26"/>
        </w:rPr>
        <w:t xml:space="preserve">billion chance that a random person would share the same DNA typing with the sample found on the handlebar. </w:t>
      </w:r>
    </w:p>
    <w:p w:rsidR="00432010" w:rsidRPr="00D662C3" w:rsidP="004F5DF7">
      <w:pPr>
        <w:pStyle w:val="ListParagraph"/>
        <w:numPr>
          <w:ilvl w:val="0"/>
          <w:numId w:val="10"/>
        </w:numPr>
        <w:ind w:left="1080"/>
        <w:rPr>
          <w:i/>
          <w:iCs/>
          <w:szCs w:val="26"/>
        </w:rPr>
      </w:pPr>
      <w:r w:rsidRPr="00D662C3">
        <w:rPr>
          <w:i/>
          <w:iCs/>
          <w:szCs w:val="26"/>
        </w:rPr>
        <w:t>Undercover operation</w:t>
      </w:r>
      <w:r w:rsidRPr="00D662C3" w:rsidR="00214574">
        <w:rPr>
          <w:i/>
          <w:iCs/>
          <w:szCs w:val="26"/>
        </w:rPr>
        <w:t xml:space="preserve"> </w:t>
      </w:r>
      <w:r w:rsidRPr="00D662C3" w:rsidR="005B3BCF">
        <w:rPr>
          <w:i/>
          <w:iCs/>
          <w:szCs w:val="26"/>
        </w:rPr>
        <w:t>targeting</w:t>
      </w:r>
      <w:r w:rsidRPr="00D662C3" w:rsidR="00214574">
        <w:rPr>
          <w:i/>
          <w:iCs/>
          <w:szCs w:val="26"/>
        </w:rPr>
        <w:t xml:space="preserve"> Gonzalez and </w:t>
      </w:r>
      <w:r w:rsidRPr="00D662C3" w:rsidR="00CD0894">
        <w:rPr>
          <w:i/>
          <w:iCs/>
          <w:szCs w:val="26"/>
        </w:rPr>
        <w:t xml:space="preserve">Justin </w:t>
      </w:r>
      <w:r w:rsidRPr="00D662C3" w:rsidR="00214574">
        <w:rPr>
          <w:i/>
          <w:iCs/>
          <w:szCs w:val="26"/>
        </w:rPr>
        <w:t>Flint</w:t>
      </w:r>
      <w:r w:rsidRPr="00D662C3">
        <w:rPr>
          <w:i/>
          <w:iCs/>
          <w:szCs w:val="26"/>
        </w:rPr>
        <w:t xml:space="preserve"> </w:t>
      </w:r>
    </w:p>
    <w:p w:rsidR="009F6FF0" w:rsidRPr="00D662C3" w:rsidP="004F5DF7">
      <w:pPr>
        <w:ind w:firstLine="720"/>
        <w:rPr>
          <w:szCs w:val="26"/>
        </w:rPr>
      </w:pPr>
      <w:r w:rsidRPr="00D662C3">
        <w:rPr>
          <w:szCs w:val="26"/>
        </w:rPr>
        <w:t xml:space="preserve">Based on </w:t>
      </w:r>
      <w:r w:rsidRPr="00D662C3" w:rsidR="00CD0894">
        <w:rPr>
          <w:szCs w:val="26"/>
        </w:rPr>
        <w:t xml:space="preserve">the </w:t>
      </w:r>
      <w:r w:rsidRPr="00D662C3" w:rsidR="00094D64">
        <w:rPr>
          <w:szCs w:val="26"/>
        </w:rPr>
        <w:t xml:space="preserve">DNA evidence and </w:t>
      </w:r>
      <w:r w:rsidRPr="00D662C3">
        <w:rPr>
          <w:szCs w:val="26"/>
        </w:rPr>
        <w:t>information obtained by confidential informants</w:t>
      </w:r>
      <w:r w:rsidRPr="00D662C3" w:rsidR="00094D64">
        <w:rPr>
          <w:szCs w:val="26"/>
        </w:rPr>
        <w:t xml:space="preserve">, </w:t>
      </w:r>
      <w:r w:rsidRPr="00D662C3" w:rsidR="0078579D">
        <w:rPr>
          <w:szCs w:val="26"/>
        </w:rPr>
        <w:t>law enforcement</w:t>
      </w:r>
      <w:r w:rsidRPr="00D662C3" w:rsidR="00E437EC">
        <w:rPr>
          <w:szCs w:val="26"/>
        </w:rPr>
        <w:t xml:space="preserve"> personnel began to </w:t>
      </w:r>
      <w:r w:rsidRPr="00D662C3" w:rsidR="0078579D">
        <w:rPr>
          <w:szCs w:val="26"/>
        </w:rPr>
        <w:t xml:space="preserve">focus </w:t>
      </w:r>
      <w:r w:rsidRPr="00D662C3" w:rsidR="00E437EC">
        <w:rPr>
          <w:szCs w:val="26"/>
        </w:rPr>
        <w:t xml:space="preserve">their </w:t>
      </w:r>
      <w:r w:rsidRPr="00D662C3" w:rsidR="0078579D">
        <w:rPr>
          <w:szCs w:val="26"/>
        </w:rPr>
        <w:t xml:space="preserve"> investigation on </w:t>
      </w:r>
      <w:r w:rsidRPr="00D662C3" w:rsidR="00DB6975">
        <w:rPr>
          <w:szCs w:val="26"/>
        </w:rPr>
        <w:t>Gonzalez and</w:t>
      </w:r>
      <w:r w:rsidRPr="00D662C3">
        <w:rPr>
          <w:szCs w:val="26"/>
        </w:rPr>
        <w:t xml:space="preserve"> </w:t>
      </w:r>
      <w:r w:rsidRPr="00D662C3" w:rsidR="0078579D">
        <w:rPr>
          <w:szCs w:val="26"/>
        </w:rPr>
        <w:t xml:space="preserve">a man named </w:t>
      </w:r>
      <w:r w:rsidRPr="00D662C3" w:rsidR="00987DD8">
        <w:rPr>
          <w:szCs w:val="26"/>
        </w:rPr>
        <w:t>Justin Flint</w:t>
      </w:r>
      <w:r w:rsidRPr="00D662C3" w:rsidR="00DB6975">
        <w:rPr>
          <w:szCs w:val="26"/>
        </w:rPr>
        <w:t xml:space="preserve">. </w:t>
      </w:r>
      <w:r w:rsidRPr="00D662C3" w:rsidR="00A210DB">
        <w:rPr>
          <w:szCs w:val="26"/>
        </w:rPr>
        <w:t xml:space="preserve"> </w:t>
      </w:r>
      <w:r w:rsidRPr="00D662C3" w:rsidR="007A0F54">
        <w:rPr>
          <w:szCs w:val="26"/>
        </w:rPr>
        <w:t>Detective O’Dowd</w:t>
      </w:r>
      <w:r w:rsidRPr="00D662C3" w:rsidR="00231C6B">
        <w:rPr>
          <w:szCs w:val="26"/>
        </w:rPr>
        <w:t xml:space="preserve"> aided </w:t>
      </w:r>
      <w:r w:rsidRPr="00D662C3" w:rsidR="0078579D">
        <w:rPr>
          <w:szCs w:val="26"/>
        </w:rPr>
        <w:t>the Los Angeles County Sheriff’s</w:t>
      </w:r>
      <w:r w:rsidRPr="00D662C3" w:rsidR="00094D64">
        <w:rPr>
          <w:szCs w:val="26"/>
        </w:rPr>
        <w:t xml:space="preserve"> </w:t>
      </w:r>
      <w:r w:rsidRPr="00D662C3" w:rsidR="0078579D">
        <w:rPr>
          <w:szCs w:val="26"/>
        </w:rPr>
        <w:t>Department</w:t>
      </w:r>
      <w:r w:rsidRPr="00D662C3" w:rsidR="00231C6B">
        <w:rPr>
          <w:szCs w:val="26"/>
        </w:rPr>
        <w:t xml:space="preserve"> in conducting </w:t>
      </w:r>
      <w:r w:rsidRPr="00D662C3" w:rsidR="0078579D">
        <w:rPr>
          <w:szCs w:val="26"/>
        </w:rPr>
        <w:t>an u</w:t>
      </w:r>
      <w:r w:rsidRPr="00D662C3" w:rsidR="007A0F54">
        <w:rPr>
          <w:szCs w:val="26"/>
        </w:rPr>
        <w:t xml:space="preserve">ndercover operation </w:t>
      </w:r>
      <w:r w:rsidRPr="00D662C3" w:rsidR="00231C6B">
        <w:rPr>
          <w:szCs w:val="26"/>
        </w:rPr>
        <w:t xml:space="preserve">involving the two suspects, who were both incarcerated on charges unrelated to Rosa’s shooting.  </w:t>
      </w:r>
      <w:r w:rsidRPr="00D662C3" w:rsidR="00ED5014">
        <w:rPr>
          <w:szCs w:val="26"/>
        </w:rPr>
        <w:t xml:space="preserve">As part of the operation, </w:t>
      </w:r>
      <w:r w:rsidRPr="00D662C3" w:rsidR="00231C6B">
        <w:rPr>
          <w:szCs w:val="26"/>
        </w:rPr>
        <w:t xml:space="preserve">a bus outfitted with recording devices </w:t>
      </w:r>
      <w:r w:rsidRPr="00D662C3" w:rsidR="00122541">
        <w:rPr>
          <w:szCs w:val="26"/>
        </w:rPr>
        <w:t>pick</w:t>
      </w:r>
      <w:r w:rsidRPr="00D662C3" w:rsidR="00ED5014">
        <w:rPr>
          <w:szCs w:val="26"/>
        </w:rPr>
        <w:t>ed</w:t>
      </w:r>
      <w:r w:rsidRPr="00D662C3" w:rsidR="00122541">
        <w:rPr>
          <w:szCs w:val="26"/>
        </w:rPr>
        <w:t xml:space="preserve"> up Gonzalez </w:t>
      </w:r>
      <w:r w:rsidRPr="00D662C3" w:rsidR="00ED5014">
        <w:rPr>
          <w:szCs w:val="26"/>
        </w:rPr>
        <w:t xml:space="preserve">and Flint </w:t>
      </w:r>
      <w:r w:rsidRPr="00D662C3" w:rsidR="00122541">
        <w:rPr>
          <w:szCs w:val="26"/>
        </w:rPr>
        <w:t>at</w:t>
      </w:r>
      <w:r w:rsidRPr="00D662C3" w:rsidR="00ED5014">
        <w:rPr>
          <w:szCs w:val="26"/>
        </w:rPr>
        <w:t xml:space="preserve"> their respective prisons along with two groups of undercover officers posing as inmates, and then transported them to th</w:t>
      </w:r>
      <w:r w:rsidRPr="00D662C3" w:rsidR="0078579D">
        <w:rPr>
          <w:szCs w:val="26"/>
        </w:rPr>
        <w:t xml:space="preserve">e </w:t>
      </w:r>
      <w:r w:rsidRPr="00D662C3">
        <w:rPr>
          <w:szCs w:val="26"/>
        </w:rPr>
        <w:t xml:space="preserve">Los </w:t>
      </w:r>
      <w:r w:rsidRPr="00D662C3" w:rsidR="007A0F54">
        <w:rPr>
          <w:szCs w:val="26"/>
        </w:rPr>
        <w:t xml:space="preserve">Angeles County </w:t>
      </w:r>
      <w:r w:rsidRPr="00D662C3" w:rsidR="005E6BC8">
        <w:rPr>
          <w:szCs w:val="26"/>
        </w:rPr>
        <w:t>j</w:t>
      </w:r>
      <w:r w:rsidRPr="00D662C3" w:rsidR="007A0F54">
        <w:rPr>
          <w:szCs w:val="26"/>
        </w:rPr>
        <w:t>ail</w:t>
      </w:r>
      <w:r w:rsidRPr="00D662C3" w:rsidR="0078579D">
        <w:rPr>
          <w:szCs w:val="26"/>
        </w:rPr>
        <w:t>.</w:t>
      </w:r>
      <w:r w:rsidRPr="00D662C3" w:rsidR="007A0F54">
        <w:rPr>
          <w:szCs w:val="26"/>
        </w:rPr>
        <w:t xml:space="preserve"> </w:t>
      </w:r>
      <w:r w:rsidRPr="00D662C3" w:rsidR="006C175E">
        <w:rPr>
          <w:szCs w:val="26"/>
        </w:rPr>
        <w:t xml:space="preserve"> </w:t>
      </w:r>
      <w:r w:rsidRPr="00D662C3" w:rsidR="00A2283A">
        <w:rPr>
          <w:szCs w:val="26"/>
        </w:rPr>
        <w:t>Once the bus arrived</w:t>
      </w:r>
      <w:r w:rsidRPr="00D662C3">
        <w:rPr>
          <w:szCs w:val="26"/>
        </w:rPr>
        <w:t xml:space="preserve"> at the county jail,</w:t>
      </w:r>
      <w:r w:rsidRPr="00D662C3" w:rsidR="00A2283A">
        <w:rPr>
          <w:szCs w:val="26"/>
        </w:rPr>
        <w:t xml:space="preserve"> </w:t>
      </w:r>
      <w:r w:rsidRPr="00D662C3">
        <w:rPr>
          <w:szCs w:val="26"/>
        </w:rPr>
        <w:t>Gonzalez and Flint were</w:t>
      </w:r>
      <w:r w:rsidRPr="00D662C3" w:rsidR="006D65A9">
        <w:rPr>
          <w:szCs w:val="26"/>
        </w:rPr>
        <w:t xml:space="preserve"> initially placed </w:t>
      </w:r>
      <w:r w:rsidRPr="00D662C3">
        <w:rPr>
          <w:szCs w:val="26"/>
        </w:rPr>
        <w:t>in separate cells that were</w:t>
      </w:r>
      <w:r w:rsidRPr="00D662C3" w:rsidR="00ED5014">
        <w:rPr>
          <w:szCs w:val="26"/>
        </w:rPr>
        <w:t xml:space="preserve"> also</w:t>
      </w:r>
      <w:r w:rsidRPr="00D662C3">
        <w:rPr>
          <w:szCs w:val="26"/>
        </w:rPr>
        <w:t xml:space="preserve"> </w:t>
      </w:r>
      <w:r w:rsidRPr="00D662C3" w:rsidR="006D65A9">
        <w:rPr>
          <w:szCs w:val="26"/>
        </w:rPr>
        <w:t>o</w:t>
      </w:r>
      <w:r w:rsidRPr="00D662C3">
        <w:rPr>
          <w:szCs w:val="26"/>
        </w:rPr>
        <w:t>utfitted with recording devices.  U</w:t>
      </w:r>
      <w:r w:rsidRPr="00D662C3" w:rsidR="00A2283A">
        <w:rPr>
          <w:szCs w:val="26"/>
        </w:rPr>
        <w:t>ndercover officers rotated in and out of</w:t>
      </w:r>
      <w:r w:rsidRPr="00D662C3">
        <w:rPr>
          <w:szCs w:val="26"/>
        </w:rPr>
        <w:t xml:space="preserve"> each </w:t>
      </w:r>
      <w:r w:rsidRPr="00D662C3" w:rsidR="00A2283A">
        <w:rPr>
          <w:szCs w:val="26"/>
        </w:rPr>
        <w:t xml:space="preserve">cell to create </w:t>
      </w:r>
      <w:r w:rsidRPr="00D662C3" w:rsidR="005B3BCF">
        <w:rPr>
          <w:szCs w:val="26"/>
        </w:rPr>
        <w:t>the</w:t>
      </w:r>
      <w:r w:rsidRPr="00D662C3" w:rsidR="00A2283A">
        <w:rPr>
          <w:szCs w:val="26"/>
        </w:rPr>
        <w:t xml:space="preserve"> impression that they were being processed. </w:t>
      </w:r>
      <w:r w:rsidRPr="00D662C3">
        <w:rPr>
          <w:szCs w:val="26"/>
        </w:rPr>
        <w:t xml:space="preserve">Eventually, Gonzalez and Flint were placed in the same cell.  </w:t>
      </w:r>
    </w:p>
    <w:p w:rsidR="0008740C" w:rsidRPr="00D662C3" w:rsidP="004F5DF7">
      <w:pPr>
        <w:ind w:firstLine="720"/>
        <w:rPr>
          <w:szCs w:val="26"/>
        </w:rPr>
      </w:pPr>
      <w:r w:rsidRPr="00D662C3">
        <w:rPr>
          <w:szCs w:val="26"/>
        </w:rPr>
        <w:t>An undercover agent</w:t>
      </w:r>
      <w:r w:rsidRPr="00D662C3" w:rsidR="009F6FF0">
        <w:rPr>
          <w:szCs w:val="26"/>
        </w:rPr>
        <w:t xml:space="preserve"> </w:t>
      </w:r>
      <w:r w:rsidRPr="00D662C3" w:rsidR="006D65A9">
        <w:rPr>
          <w:szCs w:val="26"/>
        </w:rPr>
        <w:t xml:space="preserve">that participated </w:t>
      </w:r>
      <w:r w:rsidRPr="00D662C3" w:rsidR="009F6FF0">
        <w:rPr>
          <w:szCs w:val="26"/>
        </w:rPr>
        <w:t xml:space="preserve">in the </w:t>
      </w:r>
      <w:r w:rsidRPr="00D662C3" w:rsidR="006D65A9">
        <w:rPr>
          <w:szCs w:val="26"/>
        </w:rPr>
        <w:t xml:space="preserve">operation </w:t>
      </w:r>
      <w:r w:rsidRPr="00D662C3">
        <w:rPr>
          <w:szCs w:val="26"/>
        </w:rPr>
        <w:t xml:space="preserve">testified that </w:t>
      </w:r>
      <w:r w:rsidRPr="00D662C3" w:rsidR="006D65A9">
        <w:rPr>
          <w:szCs w:val="26"/>
        </w:rPr>
        <w:t xml:space="preserve">when Gonzalez entered the bus and saw </w:t>
      </w:r>
      <w:r w:rsidRPr="00D662C3">
        <w:rPr>
          <w:szCs w:val="26"/>
        </w:rPr>
        <w:t>Flint</w:t>
      </w:r>
      <w:r w:rsidRPr="00D662C3">
        <w:rPr>
          <w:szCs w:val="26"/>
        </w:rPr>
        <w:t>,</w:t>
      </w:r>
      <w:r w:rsidRPr="00D662C3" w:rsidR="006D65A9">
        <w:rPr>
          <w:szCs w:val="26"/>
        </w:rPr>
        <w:t xml:space="preserve"> he</w:t>
      </w:r>
      <w:r w:rsidRPr="00D662C3">
        <w:rPr>
          <w:szCs w:val="26"/>
        </w:rPr>
        <w:t xml:space="preserve"> became</w:t>
      </w:r>
      <w:r w:rsidRPr="00D662C3">
        <w:rPr>
          <w:szCs w:val="26"/>
        </w:rPr>
        <w:t xml:space="preserve"> “excited in a bad way” and “almost lost control of his emotions.” </w:t>
      </w:r>
      <w:r w:rsidRPr="00D662C3" w:rsidR="00A210DB">
        <w:rPr>
          <w:szCs w:val="26"/>
        </w:rPr>
        <w:t xml:space="preserve"> </w:t>
      </w:r>
      <w:r w:rsidRPr="00D662C3" w:rsidR="00CD0894">
        <w:rPr>
          <w:szCs w:val="26"/>
        </w:rPr>
        <w:t>Another</w:t>
      </w:r>
      <w:r w:rsidRPr="00D662C3" w:rsidR="007B082B">
        <w:rPr>
          <w:szCs w:val="26"/>
        </w:rPr>
        <w:t xml:space="preserve"> agent</w:t>
      </w:r>
      <w:r w:rsidRPr="00D662C3" w:rsidR="006D65A9">
        <w:rPr>
          <w:szCs w:val="26"/>
        </w:rPr>
        <w:t xml:space="preserve"> who was</w:t>
      </w:r>
      <w:r w:rsidRPr="00D662C3" w:rsidR="007B082B">
        <w:rPr>
          <w:szCs w:val="26"/>
        </w:rPr>
        <w:t xml:space="preserve"> </w:t>
      </w:r>
      <w:r w:rsidRPr="00D662C3" w:rsidR="009F6FF0">
        <w:rPr>
          <w:szCs w:val="26"/>
        </w:rPr>
        <w:t xml:space="preserve">on the bus </w:t>
      </w:r>
      <w:r w:rsidRPr="00D662C3" w:rsidR="007B082B">
        <w:rPr>
          <w:szCs w:val="26"/>
        </w:rPr>
        <w:t>heard Gonza</w:t>
      </w:r>
      <w:r w:rsidRPr="00D662C3">
        <w:rPr>
          <w:szCs w:val="26"/>
        </w:rPr>
        <w:t xml:space="preserve">lez </w:t>
      </w:r>
      <w:r w:rsidRPr="00D662C3">
        <w:rPr>
          <w:szCs w:val="26"/>
        </w:rPr>
        <w:t>talking to</w:t>
      </w:r>
      <w:r w:rsidRPr="00D662C3" w:rsidR="00212D93">
        <w:rPr>
          <w:szCs w:val="26"/>
        </w:rPr>
        <w:t xml:space="preserve"> </w:t>
      </w:r>
      <w:r w:rsidRPr="00D662C3">
        <w:rPr>
          <w:szCs w:val="26"/>
        </w:rPr>
        <w:t>Flint about why they were</w:t>
      </w:r>
      <w:r w:rsidRPr="00D662C3" w:rsidR="007B082B">
        <w:rPr>
          <w:szCs w:val="26"/>
        </w:rPr>
        <w:t xml:space="preserve"> being</w:t>
      </w:r>
      <w:r w:rsidRPr="00D662C3">
        <w:rPr>
          <w:szCs w:val="26"/>
        </w:rPr>
        <w:t xml:space="preserve"> transported to Los Angeles County </w:t>
      </w:r>
      <w:r w:rsidRPr="00D662C3" w:rsidR="005E6BC8">
        <w:rPr>
          <w:szCs w:val="26"/>
        </w:rPr>
        <w:t>j</w:t>
      </w:r>
      <w:r w:rsidRPr="00D662C3">
        <w:rPr>
          <w:szCs w:val="26"/>
        </w:rPr>
        <w:t>ail and whether it was related to the “bicycle shit.”</w:t>
      </w:r>
      <w:r w:rsidRPr="00D662C3" w:rsidR="007864F7">
        <w:rPr>
          <w:szCs w:val="26"/>
        </w:rPr>
        <w:t xml:space="preserve"> </w:t>
      </w:r>
      <w:r w:rsidRPr="00D662C3" w:rsidR="00A210DB">
        <w:rPr>
          <w:szCs w:val="26"/>
        </w:rPr>
        <w:t xml:space="preserve"> </w:t>
      </w:r>
      <w:r w:rsidRPr="00D662C3">
        <w:rPr>
          <w:szCs w:val="26"/>
        </w:rPr>
        <w:t xml:space="preserve">In </w:t>
      </w:r>
      <w:r w:rsidRPr="00D662C3" w:rsidR="007B082B">
        <w:rPr>
          <w:szCs w:val="26"/>
        </w:rPr>
        <w:t xml:space="preserve">the </w:t>
      </w:r>
      <w:r w:rsidRPr="00D662C3">
        <w:rPr>
          <w:szCs w:val="26"/>
        </w:rPr>
        <w:t xml:space="preserve">holding cell, Gonzalez </w:t>
      </w:r>
      <w:r w:rsidRPr="00D662C3" w:rsidR="009F6FF0">
        <w:rPr>
          <w:szCs w:val="26"/>
        </w:rPr>
        <w:t xml:space="preserve">speculated </w:t>
      </w:r>
      <w:r w:rsidRPr="0018793C" w:rsidR="0018793C">
        <w:rPr>
          <w:szCs w:val="26"/>
        </w:rPr>
        <w:t xml:space="preserve">that the arrest might be related to a crime involving a car, which one of the undercover detectives understood to mean a “carjacking.”  Gonzalez also speculated </w:t>
      </w:r>
      <w:r w:rsidRPr="00D662C3" w:rsidR="009F6FF0">
        <w:rPr>
          <w:szCs w:val="26"/>
        </w:rPr>
        <w:t xml:space="preserve">whether </w:t>
      </w:r>
      <w:r w:rsidRPr="00D662C3">
        <w:rPr>
          <w:szCs w:val="26"/>
        </w:rPr>
        <w:t>the police could “squeeze” Flint</w:t>
      </w:r>
      <w:r w:rsidRPr="00D662C3" w:rsidR="00A2283A">
        <w:rPr>
          <w:szCs w:val="26"/>
        </w:rPr>
        <w:t xml:space="preserve"> into talking</w:t>
      </w:r>
      <w:r w:rsidRPr="00D662C3">
        <w:rPr>
          <w:szCs w:val="26"/>
        </w:rPr>
        <w:t xml:space="preserve"> about the crimes.</w:t>
      </w:r>
      <w:r w:rsidRPr="00D662C3" w:rsidR="007864F7">
        <w:rPr>
          <w:szCs w:val="26"/>
        </w:rPr>
        <w:t xml:space="preserve"> </w:t>
      </w:r>
    </w:p>
    <w:p w:rsidR="0008740C" w:rsidRPr="00D662C3" w:rsidP="004F5DF7">
      <w:pPr>
        <w:ind w:firstLine="720"/>
        <w:rPr>
          <w:szCs w:val="26"/>
        </w:rPr>
      </w:pPr>
      <w:r w:rsidRPr="00D662C3">
        <w:rPr>
          <w:szCs w:val="26"/>
        </w:rPr>
        <w:t>Detective Javier Clift initiated a conversation</w:t>
      </w:r>
      <w:r w:rsidRPr="00D662C3" w:rsidR="00541E3A">
        <w:rPr>
          <w:szCs w:val="26"/>
        </w:rPr>
        <w:t xml:space="preserve"> with Gonzalez</w:t>
      </w:r>
      <w:r w:rsidRPr="00D662C3" w:rsidR="00ED5014">
        <w:rPr>
          <w:szCs w:val="26"/>
        </w:rPr>
        <w:t xml:space="preserve"> and</w:t>
      </w:r>
      <w:r w:rsidRPr="00D662C3" w:rsidR="00541E3A">
        <w:rPr>
          <w:szCs w:val="26"/>
        </w:rPr>
        <w:t xml:space="preserve"> suggest</w:t>
      </w:r>
      <w:r w:rsidRPr="00D662C3" w:rsidR="00ED5014">
        <w:rPr>
          <w:szCs w:val="26"/>
        </w:rPr>
        <w:t>ed</w:t>
      </w:r>
      <w:r w:rsidRPr="00D662C3" w:rsidR="00541E3A">
        <w:rPr>
          <w:szCs w:val="26"/>
        </w:rPr>
        <w:t xml:space="preserve"> </w:t>
      </w:r>
      <w:r w:rsidRPr="00D662C3" w:rsidR="006D65A9">
        <w:rPr>
          <w:szCs w:val="26"/>
        </w:rPr>
        <w:t>that</w:t>
      </w:r>
      <w:r w:rsidRPr="00D662C3" w:rsidR="00ED5014">
        <w:rPr>
          <w:szCs w:val="26"/>
        </w:rPr>
        <w:t xml:space="preserve"> he must have been detained because evidence </w:t>
      </w:r>
      <w:r w:rsidRPr="00D662C3" w:rsidR="00D72652">
        <w:rPr>
          <w:szCs w:val="26"/>
        </w:rPr>
        <w:t xml:space="preserve">was </w:t>
      </w:r>
      <w:r w:rsidRPr="00D662C3" w:rsidR="006D65A9">
        <w:rPr>
          <w:szCs w:val="26"/>
        </w:rPr>
        <w:t>left</w:t>
      </w:r>
      <w:r w:rsidRPr="00D662C3">
        <w:rPr>
          <w:szCs w:val="26"/>
        </w:rPr>
        <w:t xml:space="preserve"> </w:t>
      </w:r>
      <w:r w:rsidRPr="00D662C3" w:rsidR="006D65A9">
        <w:rPr>
          <w:szCs w:val="26"/>
        </w:rPr>
        <w:t xml:space="preserve">at the </w:t>
      </w:r>
      <w:r w:rsidRPr="00D662C3" w:rsidR="00D72652">
        <w:rPr>
          <w:szCs w:val="26"/>
        </w:rPr>
        <w:t xml:space="preserve">crime </w:t>
      </w:r>
      <w:r w:rsidRPr="00D662C3" w:rsidR="006D65A9">
        <w:rPr>
          <w:szCs w:val="26"/>
        </w:rPr>
        <w:t>scene</w:t>
      </w:r>
      <w:r w:rsidRPr="00D662C3">
        <w:rPr>
          <w:szCs w:val="26"/>
        </w:rPr>
        <w:t>.  Gonzalez responded</w:t>
      </w:r>
      <w:r w:rsidRPr="00D662C3" w:rsidR="007864F7">
        <w:rPr>
          <w:szCs w:val="26"/>
        </w:rPr>
        <w:t>,</w:t>
      </w:r>
      <w:r w:rsidRPr="00D662C3">
        <w:rPr>
          <w:szCs w:val="26"/>
        </w:rPr>
        <w:t xml:space="preserve"> “No, I cleaned and wiped and everything. </w:t>
      </w:r>
      <w:r w:rsidRPr="00D662C3" w:rsidR="007864F7">
        <w:rPr>
          <w:szCs w:val="26"/>
        </w:rPr>
        <w:t xml:space="preserve"> </w:t>
      </w:r>
      <w:r w:rsidRPr="00D662C3">
        <w:rPr>
          <w:szCs w:val="26"/>
        </w:rPr>
        <w:t xml:space="preserve">It’s just going to be he say she say.” </w:t>
      </w:r>
      <w:r w:rsidRPr="00D662C3" w:rsidR="00C7058D">
        <w:rPr>
          <w:szCs w:val="26"/>
        </w:rPr>
        <w:t xml:space="preserve"> </w:t>
      </w:r>
      <w:r w:rsidRPr="00D662C3" w:rsidR="00541E3A">
        <w:rPr>
          <w:szCs w:val="26"/>
        </w:rPr>
        <w:t xml:space="preserve">When asked about the murder </w:t>
      </w:r>
      <w:r w:rsidRPr="00D662C3">
        <w:rPr>
          <w:szCs w:val="26"/>
        </w:rPr>
        <w:t xml:space="preserve">weapon, </w:t>
      </w:r>
      <w:r w:rsidRPr="00D662C3" w:rsidR="00541E3A">
        <w:rPr>
          <w:szCs w:val="26"/>
        </w:rPr>
        <w:t xml:space="preserve">Gonzalez told Clift </w:t>
      </w:r>
      <w:r w:rsidRPr="00D662C3">
        <w:rPr>
          <w:szCs w:val="26"/>
        </w:rPr>
        <w:t>the gun he used for the crime was “</w:t>
      </w:r>
      <w:r w:rsidRPr="00D662C3" w:rsidR="006D65A9">
        <w:rPr>
          <w:szCs w:val="26"/>
        </w:rPr>
        <w:t>swimmin</w:t>
      </w:r>
      <w:r w:rsidRPr="00D662C3">
        <w:rPr>
          <w:szCs w:val="26"/>
        </w:rPr>
        <w:t>”</w:t>
      </w:r>
      <w:r w:rsidRPr="00D662C3" w:rsidR="006D65A9">
        <w:rPr>
          <w:szCs w:val="26"/>
        </w:rPr>
        <w:t xml:space="preserve"> </w:t>
      </w:r>
      <w:r w:rsidRPr="00D662C3" w:rsidR="005E6BC8">
        <w:rPr>
          <w:szCs w:val="26"/>
        </w:rPr>
        <w:t>(</w:t>
      </w:r>
      <w:r w:rsidRPr="00466FB3" w:rsidR="006D65A9">
        <w:rPr>
          <w:i/>
          <w:iCs/>
          <w:szCs w:val="26"/>
        </w:rPr>
        <w:t>sic</w:t>
      </w:r>
      <w:r w:rsidRPr="00D662C3" w:rsidR="005E6BC8">
        <w:rPr>
          <w:szCs w:val="26"/>
        </w:rPr>
        <w:t>)</w:t>
      </w:r>
      <w:r w:rsidRPr="00D662C3" w:rsidR="00B757FC">
        <w:rPr>
          <w:szCs w:val="26"/>
        </w:rPr>
        <w:t xml:space="preserve"> and then inquired whether </w:t>
      </w:r>
      <w:r w:rsidRPr="00D662C3">
        <w:rPr>
          <w:szCs w:val="26"/>
        </w:rPr>
        <w:t xml:space="preserve">getting rid of the evidence was “a plus.”  </w:t>
      </w:r>
      <w:r w:rsidRPr="00D662C3" w:rsidR="00541E3A">
        <w:rPr>
          <w:szCs w:val="26"/>
        </w:rPr>
        <w:t>Gonzalez</w:t>
      </w:r>
      <w:r w:rsidRPr="00D662C3" w:rsidR="005B3BCF">
        <w:rPr>
          <w:szCs w:val="26"/>
        </w:rPr>
        <w:t xml:space="preserve"> </w:t>
      </w:r>
      <w:r w:rsidRPr="00D662C3" w:rsidR="00541E3A">
        <w:rPr>
          <w:szCs w:val="26"/>
        </w:rPr>
        <w:t xml:space="preserve">told </w:t>
      </w:r>
      <w:r w:rsidRPr="00D662C3">
        <w:rPr>
          <w:szCs w:val="26"/>
        </w:rPr>
        <w:t>Clift</w:t>
      </w:r>
      <w:r w:rsidRPr="00D662C3" w:rsidR="00541E3A">
        <w:rPr>
          <w:szCs w:val="26"/>
        </w:rPr>
        <w:t xml:space="preserve"> there were no footprints left </w:t>
      </w:r>
      <w:r w:rsidRPr="00D662C3" w:rsidR="00B757FC">
        <w:rPr>
          <w:szCs w:val="26"/>
        </w:rPr>
        <w:t xml:space="preserve">at the scene </w:t>
      </w:r>
      <w:r w:rsidRPr="00D662C3" w:rsidR="00541E3A">
        <w:rPr>
          <w:szCs w:val="26"/>
        </w:rPr>
        <w:t xml:space="preserve">because </w:t>
      </w:r>
      <w:r w:rsidRPr="00D662C3">
        <w:rPr>
          <w:szCs w:val="26"/>
        </w:rPr>
        <w:t xml:space="preserve">he </w:t>
      </w:r>
      <w:r w:rsidRPr="00D662C3" w:rsidR="00541E3A">
        <w:rPr>
          <w:szCs w:val="26"/>
        </w:rPr>
        <w:t>had been</w:t>
      </w:r>
      <w:r w:rsidRPr="00D662C3">
        <w:rPr>
          <w:szCs w:val="26"/>
        </w:rPr>
        <w:t xml:space="preserve"> on concrete. </w:t>
      </w:r>
      <w:r w:rsidRPr="0018793C" w:rsidR="0018793C">
        <w:rPr>
          <w:szCs w:val="26"/>
        </w:rPr>
        <w:t xml:space="preserve"> Gonzalez then spoke of another incident, which Clift described as a “carjacking.”  Gonzalez claimed he had left no evidence behind that would connect him to the stolen car.  </w:t>
      </w:r>
      <w:r w:rsidRPr="00D662C3" w:rsidR="00541E3A">
        <w:rPr>
          <w:szCs w:val="26"/>
        </w:rPr>
        <w:t>Gonzalez</w:t>
      </w:r>
      <w:r w:rsidRPr="00D662C3">
        <w:rPr>
          <w:szCs w:val="26"/>
        </w:rPr>
        <w:t xml:space="preserve"> also </w:t>
      </w:r>
      <w:r w:rsidRPr="00D662C3" w:rsidR="00541E3A">
        <w:rPr>
          <w:szCs w:val="26"/>
        </w:rPr>
        <w:t>d</w:t>
      </w:r>
      <w:r w:rsidRPr="00D662C3" w:rsidR="00950A4F">
        <w:rPr>
          <w:szCs w:val="26"/>
        </w:rPr>
        <w:t xml:space="preserve">escribed himself as a </w:t>
      </w:r>
      <w:r w:rsidRPr="00D662C3">
        <w:rPr>
          <w:szCs w:val="26"/>
        </w:rPr>
        <w:t xml:space="preserve">“cappa,” which Clift understood </w:t>
      </w:r>
      <w:r w:rsidRPr="00D662C3" w:rsidR="00AB62F6">
        <w:rPr>
          <w:szCs w:val="26"/>
        </w:rPr>
        <w:t xml:space="preserve">to </w:t>
      </w:r>
      <w:r w:rsidRPr="00D662C3">
        <w:rPr>
          <w:szCs w:val="26"/>
        </w:rPr>
        <w:t xml:space="preserve">refer to a person who had committed a crime that would subject him to capital punishment. </w:t>
      </w:r>
      <w:r w:rsidRPr="00D662C3" w:rsidR="00C7058D">
        <w:rPr>
          <w:szCs w:val="26"/>
        </w:rPr>
        <w:t xml:space="preserve"> </w:t>
      </w:r>
      <w:r w:rsidRPr="00D662C3">
        <w:rPr>
          <w:szCs w:val="26"/>
        </w:rPr>
        <w:t xml:space="preserve">Gonzalez mentioned disfiguring his face so </w:t>
      </w:r>
      <w:r w:rsidRPr="00D662C3" w:rsidR="00C7058D">
        <w:rPr>
          <w:szCs w:val="26"/>
        </w:rPr>
        <w:t>that he could not be identified in a lineup</w:t>
      </w:r>
      <w:r w:rsidRPr="00D662C3">
        <w:rPr>
          <w:szCs w:val="26"/>
        </w:rPr>
        <w:t xml:space="preserve">, and having “special privileges” among the inmates, which Clift understood to be a reference to </w:t>
      </w:r>
      <w:r w:rsidRPr="00D662C3" w:rsidR="006D65A9">
        <w:rPr>
          <w:szCs w:val="26"/>
        </w:rPr>
        <w:t>having</w:t>
      </w:r>
      <w:r w:rsidRPr="00D662C3">
        <w:rPr>
          <w:szCs w:val="26"/>
        </w:rPr>
        <w:t xml:space="preserve"> </w:t>
      </w:r>
      <w:r w:rsidRPr="00D662C3" w:rsidR="00C7058D">
        <w:rPr>
          <w:szCs w:val="26"/>
        </w:rPr>
        <w:t xml:space="preserve">committed a very serious crime such as </w:t>
      </w:r>
      <w:r w:rsidRPr="00D662C3">
        <w:rPr>
          <w:szCs w:val="26"/>
        </w:rPr>
        <w:t>kill</w:t>
      </w:r>
      <w:r w:rsidRPr="00D662C3" w:rsidR="00C7058D">
        <w:rPr>
          <w:szCs w:val="26"/>
        </w:rPr>
        <w:t>ing</w:t>
      </w:r>
      <w:r w:rsidRPr="00D662C3">
        <w:rPr>
          <w:szCs w:val="26"/>
        </w:rPr>
        <w:t xml:space="preserve"> a police officer. </w:t>
      </w:r>
      <w:r w:rsidRPr="00D662C3" w:rsidR="00970640">
        <w:rPr>
          <w:szCs w:val="26"/>
        </w:rPr>
        <w:t xml:space="preserve"> </w:t>
      </w:r>
    </w:p>
    <w:p w:rsidR="0008740C" w:rsidRPr="00D662C3" w:rsidP="004F5DF7">
      <w:pPr>
        <w:ind w:firstLine="720"/>
        <w:rPr>
          <w:szCs w:val="26"/>
        </w:rPr>
      </w:pPr>
      <w:r w:rsidRPr="00D662C3">
        <w:rPr>
          <w:szCs w:val="26"/>
        </w:rPr>
        <w:t xml:space="preserve">Detective Miguel Beltran also </w:t>
      </w:r>
      <w:r w:rsidRPr="00D662C3" w:rsidR="00FB3415">
        <w:rPr>
          <w:szCs w:val="26"/>
        </w:rPr>
        <w:t>spoke to</w:t>
      </w:r>
      <w:r w:rsidRPr="00D662C3">
        <w:rPr>
          <w:szCs w:val="26"/>
        </w:rPr>
        <w:t xml:space="preserve"> Gonzalez. </w:t>
      </w:r>
      <w:r w:rsidRPr="00D662C3" w:rsidR="00970640">
        <w:rPr>
          <w:szCs w:val="26"/>
        </w:rPr>
        <w:t xml:space="preserve"> </w:t>
      </w:r>
      <w:r w:rsidRPr="00D662C3">
        <w:rPr>
          <w:szCs w:val="26"/>
        </w:rPr>
        <w:t xml:space="preserve">When Beltran asked about a murder that </w:t>
      </w:r>
      <w:r w:rsidRPr="00D662C3" w:rsidR="00D72652">
        <w:rPr>
          <w:szCs w:val="26"/>
        </w:rPr>
        <w:t>Gonzalez</w:t>
      </w:r>
      <w:r w:rsidRPr="00D662C3">
        <w:rPr>
          <w:szCs w:val="26"/>
        </w:rPr>
        <w:t xml:space="preserve"> </w:t>
      </w:r>
      <w:r w:rsidRPr="00D662C3" w:rsidR="005B3BCF">
        <w:rPr>
          <w:szCs w:val="26"/>
        </w:rPr>
        <w:t xml:space="preserve">had </w:t>
      </w:r>
      <w:r w:rsidRPr="00D662C3">
        <w:rPr>
          <w:szCs w:val="26"/>
        </w:rPr>
        <w:t xml:space="preserve">supposedly committed, Gonzalez said “it was a hooda,” which </w:t>
      </w:r>
      <w:r w:rsidRPr="00D662C3" w:rsidR="00950A4F">
        <w:rPr>
          <w:szCs w:val="26"/>
        </w:rPr>
        <w:t xml:space="preserve">Beltran </w:t>
      </w:r>
      <w:r w:rsidRPr="00D662C3">
        <w:rPr>
          <w:szCs w:val="26"/>
        </w:rPr>
        <w:t>interpreted to be the slang for a police officer</w:t>
      </w:r>
      <w:r w:rsidR="00344DBF">
        <w:rPr>
          <w:szCs w:val="26"/>
        </w:rPr>
        <w:t>,</w:t>
      </w:r>
      <w:r w:rsidRPr="00D662C3" w:rsidR="00950A4F">
        <w:rPr>
          <w:szCs w:val="26"/>
        </w:rPr>
        <w:t xml:space="preserve"> and described the victim as a female</w:t>
      </w:r>
      <w:r w:rsidRPr="00D662C3">
        <w:rPr>
          <w:szCs w:val="26"/>
        </w:rPr>
        <w:t xml:space="preserve">. </w:t>
      </w:r>
      <w:r w:rsidRPr="00D662C3" w:rsidR="00C7058D">
        <w:rPr>
          <w:szCs w:val="26"/>
        </w:rPr>
        <w:t xml:space="preserve"> </w:t>
      </w:r>
      <w:r w:rsidRPr="00D662C3">
        <w:rPr>
          <w:rFonts w:hint="eastAsia"/>
          <w:szCs w:val="26"/>
        </w:rPr>
        <w:t>Gonzale</w:t>
      </w:r>
      <w:r w:rsidRPr="00D662C3">
        <w:rPr>
          <w:szCs w:val="26"/>
        </w:rPr>
        <w:t xml:space="preserve">z </w:t>
      </w:r>
      <w:r w:rsidRPr="00D662C3" w:rsidR="00950A4F">
        <w:rPr>
          <w:szCs w:val="26"/>
        </w:rPr>
        <w:t xml:space="preserve">also </w:t>
      </w:r>
      <w:r w:rsidRPr="00D662C3">
        <w:rPr>
          <w:szCs w:val="26"/>
        </w:rPr>
        <w:t xml:space="preserve">told Beltran about a bike that he </w:t>
      </w:r>
      <w:r w:rsidRPr="00D662C3" w:rsidR="00214574">
        <w:rPr>
          <w:szCs w:val="26"/>
        </w:rPr>
        <w:t xml:space="preserve">had </w:t>
      </w:r>
      <w:r w:rsidRPr="00D662C3">
        <w:rPr>
          <w:szCs w:val="26"/>
        </w:rPr>
        <w:t>left at the scene</w:t>
      </w:r>
      <w:r w:rsidRPr="00D662C3" w:rsidR="00B757FC">
        <w:rPr>
          <w:szCs w:val="26"/>
        </w:rPr>
        <w:t xml:space="preserve"> </w:t>
      </w:r>
      <w:r w:rsidRPr="00D662C3" w:rsidR="00214574">
        <w:rPr>
          <w:szCs w:val="26"/>
        </w:rPr>
        <w:t xml:space="preserve">and discussed creating an </w:t>
      </w:r>
      <w:r w:rsidRPr="00D662C3">
        <w:rPr>
          <w:szCs w:val="26"/>
        </w:rPr>
        <w:t xml:space="preserve">alibi to make the police believe the bike did not belong to him. </w:t>
      </w:r>
    </w:p>
    <w:p w:rsidR="0008740C" w:rsidRPr="00D662C3" w:rsidP="004F5DF7">
      <w:pPr>
        <w:ind w:firstLine="720"/>
        <w:rPr>
          <w:szCs w:val="26"/>
        </w:rPr>
      </w:pPr>
      <w:r w:rsidRPr="00D662C3">
        <w:rPr>
          <w:szCs w:val="26"/>
        </w:rPr>
        <w:t xml:space="preserve">Gonzalez told another undercover agent, </w:t>
      </w:r>
      <w:r w:rsidRPr="00D662C3">
        <w:rPr>
          <w:szCs w:val="26"/>
        </w:rPr>
        <w:t>Detective Noyola</w:t>
      </w:r>
      <w:r w:rsidRPr="00D662C3">
        <w:rPr>
          <w:szCs w:val="26"/>
        </w:rPr>
        <w:t xml:space="preserve">, </w:t>
      </w:r>
      <w:r w:rsidRPr="00D662C3">
        <w:rPr>
          <w:szCs w:val="26"/>
        </w:rPr>
        <w:t>that he shot a female police officer after she</w:t>
      </w:r>
      <w:r w:rsidRPr="00D662C3" w:rsidR="00D72652">
        <w:rPr>
          <w:szCs w:val="26"/>
        </w:rPr>
        <w:t xml:space="preserve"> had</w:t>
      </w:r>
      <w:r w:rsidRPr="00D662C3">
        <w:rPr>
          <w:szCs w:val="26"/>
        </w:rPr>
        <w:t xml:space="preserve"> showed him her badge.</w:t>
      </w:r>
      <w:r w:rsidRPr="00D662C3" w:rsidR="00970640">
        <w:rPr>
          <w:szCs w:val="26"/>
        </w:rPr>
        <w:t xml:space="preserve"> </w:t>
      </w:r>
      <w:r w:rsidRPr="00D662C3" w:rsidR="009D7D30">
        <w:rPr>
          <w:szCs w:val="26"/>
        </w:rPr>
        <w:t xml:space="preserve"> </w:t>
      </w:r>
      <w:r w:rsidRPr="00D662C3">
        <w:rPr>
          <w:szCs w:val="26"/>
        </w:rPr>
        <w:t xml:space="preserve">Noyola also testified that when he was in the holding cell, </w:t>
      </w:r>
      <w:r w:rsidRPr="00D662C3">
        <w:rPr>
          <w:szCs w:val="26"/>
        </w:rPr>
        <w:t xml:space="preserve">Gonzalez </w:t>
      </w:r>
      <w:r w:rsidRPr="00D662C3" w:rsidR="009D7D30">
        <w:rPr>
          <w:szCs w:val="26"/>
        </w:rPr>
        <w:t>told</w:t>
      </w:r>
      <w:r w:rsidRPr="00D662C3" w:rsidR="00212D93">
        <w:rPr>
          <w:szCs w:val="26"/>
        </w:rPr>
        <w:t xml:space="preserve"> </w:t>
      </w:r>
      <w:r w:rsidRPr="00D662C3">
        <w:rPr>
          <w:szCs w:val="26"/>
        </w:rPr>
        <w:t xml:space="preserve">Flint </w:t>
      </w:r>
      <w:r w:rsidRPr="00D662C3" w:rsidR="009D7D30">
        <w:rPr>
          <w:szCs w:val="26"/>
        </w:rPr>
        <w:t xml:space="preserve">not to talk to anyone </w:t>
      </w:r>
      <w:r w:rsidRPr="00D662C3">
        <w:rPr>
          <w:szCs w:val="26"/>
        </w:rPr>
        <w:t xml:space="preserve">“because [they </w:t>
      </w:r>
      <w:r w:rsidRPr="00D662C3" w:rsidR="00D95734">
        <w:rPr>
          <w:szCs w:val="26"/>
        </w:rPr>
        <w:t>were</w:t>
      </w:r>
      <w:r w:rsidRPr="00D662C3">
        <w:rPr>
          <w:szCs w:val="26"/>
        </w:rPr>
        <w:t>] going to ride this all the way out.”</w:t>
      </w:r>
      <w:r w:rsidRPr="00D662C3" w:rsidR="00970640">
        <w:rPr>
          <w:szCs w:val="26"/>
        </w:rPr>
        <w:t xml:space="preserve"> </w:t>
      </w:r>
      <w:r w:rsidRPr="00D662C3" w:rsidR="00D95734">
        <w:rPr>
          <w:szCs w:val="26"/>
        </w:rPr>
        <w:t xml:space="preserve">  While in the holding cell with Noyola, Flint said</w:t>
      </w:r>
      <w:r w:rsidRPr="00D662C3" w:rsidR="007E32EB">
        <w:rPr>
          <w:szCs w:val="26"/>
        </w:rPr>
        <w:t xml:space="preserve"> that</w:t>
      </w:r>
      <w:r w:rsidRPr="00D662C3" w:rsidR="00D95734">
        <w:rPr>
          <w:szCs w:val="26"/>
        </w:rPr>
        <w:t xml:space="preserve"> if the “bitch” had “given up her wallet she wouldn’t have been killed,” but Gonzalez “bet [the police] d[id]n’t have anything about [the] case.” </w:t>
      </w:r>
    </w:p>
    <w:p w:rsidR="0008740C" w:rsidRPr="00D662C3" w:rsidP="004F5DF7">
      <w:pPr>
        <w:ind w:firstLine="720"/>
        <w:rPr>
          <w:szCs w:val="26"/>
        </w:rPr>
      </w:pPr>
      <w:r w:rsidRPr="00D662C3">
        <w:rPr>
          <w:szCs w:val="26"/>
        </w:rPr>
        <w:t>After</w:t>
      </w:r>
      <w:r w:rsidRPr="00D662C3" w:rsidR="00212D93">
        <w:rPr>
          <w:szCs w:val="26"/>
        </w:rPr>
        <w:t xml:space="preserve"> </w:t>
      </w:r>
      <w:r w:rsidRPr="00D662C3">
        <w:rPr>
          <w:szCs w:val="26"/>
        </w:rPr>
        <w:t>Gonzalez and Flint were processed and</w:t>
      </w:r>
      <w:r w:rsidRPr="00D662C3" w:rsidR="00950A4F">
        <w:rPr>
          <w:szCs w:val="26"/>
        </w:rPr>
        <w:t xml:space="preserve"> provide</w:t>
      </w:r>
      <w:r w:rsidRPr="00D662C3" w:rsidR="009F5585">
        <w:rPr>
          <w:szCs w:val="26"/>
        </w:rPr>
        <w:t>d</w:t>
      </w:r>
      <w:r w:rsidRPr="00D662C3" w:rsidR="00950A4F">
        <w:rPr>
          <w:szCs w:val="26"/>
        </w:rPr>
        <w:t xml:space="preserve"> notice of the charges against them, </w:t>
      </w:r>
      <w:r w:rsidRPr="00D662C3">
        <w:rPr>
          <w:szCs w:val="26"/>
        </w:rPr>
        <w:t xml:space="preserve">including murder, they were put into a holding cell with </w:t>
      </w:r>
      <w:r w:rsidRPr="00D662C3" w:rsidR="00950A4F">
        <w:rPr>
          <w:szCs w:val="26"/>
        </w:rPr>
        <w:t>Detective</w:t>
      </w:r>
      <w:r w:rsidRPr="00D662C3">
        <w:rPr>
          <w:szCs w:val="26"/>
        </w:rPr>
        <w:t xml:space="preserve"> Manuel </w:t>
      </w:r>
      <w:r w:rsidRPr="00D662C3" w:rsidR="00D95734">
        <w:rPr>
          <w:szCs w:val="26"/>
        </w:rPr>
        <w:t>Av</w:t>
      </w:r>
      <w:r w:rsidRPr="00D662C3">
        <w:rPr>
          <w:szCs w:val="26"/>
        </w:rPr>
        <w:t xml:space="preserve">ina. </w:t>
      </w:r>
      <w:r w:rsidRPr="00D662C3" w:rsidR="00D95734">
        <w:rPr>
          <w:szCs w:val="26"/>
        </w:rPr>
        <w:t xml:space="preserve"> Av</w:t>
      </w:r>
      <w:r w:rsidRPr="00D662C3">
        <w:rPr>
          <w:szCs w:val="26"/>
        </w:rPr>
        <w:t>ina talked to Gonzalez about the worst sentence for</w:t>
      </w:r>
      <w:r w:rsidRPr="00D662C3" w:rsidR="00EB24E5">
        <w:rPr>
          <w:szCs w:val="26"/>
        </w:rPr>
        <w:t xml:space="preserve"> </w:t>
      </w:r>
      <w:r w:rsidRPr="00D662C3">
        <w:rPr>
          <w:szCs w:val="26"/>
        </w:rPr>
        <w:t xml:space="preserve">Flint, to which Gonzalez responded “life.” </w:t>
      </w:r>
      <w:r w:rsidRPr="00D662C3" w:rsidR="00D95734">
        <w:rPr>
          <w:szCs w:val="26"/>
        </w:rPr>
        <w:t xml:space="preserve"> </w:t>
      </w:r>
      <w:r w:rsidRPr="00D662C3">
        <w:rPr>
          <w:szCs w:val="26"/>
        </w:rPr>
        <w:t xml:space="preserve">Gonzalez and Flint wondered if someone was snitching and if they had to kill any witnesses </w:t>
      </w:r>
      <w:r w:rsidRPr="00D662C3" w:rsidR="00AB62F6">
        <w:rPr>
          <w:szCs w:val="26"/>
        </w:rPr>
        <w:t xml:space="preserve">who might </w:t>
      </w:r>
      <w:r w:rsidRPr="00D662C3">
        <w:rPr>
          <w:szCs w:val="26"/>
        </w:rPr>
        <w:t>testify.</w:t>
      </w:r>
      <w:r w:rsidRPr="00D662C3" w:rsidR="00970640">
        <w:rPr>
          <w:szCs w:val="26"/>
        </w:rPr>
        <w:t xml:space="preserve"> </w:t>
      </w:r>
      <w:r w:rsidRPr="00D662C3" w:rsidR="00D95734">
        <w:rPr>
          <w:szCs w:val="26"/>
        </w:rPr>
        <w:t xml:space="preserve"> </w:t>
      </w:r>
      <w:r w:rsidRPr="00D662C3">
        <w:rPr>
          <w:szCs w:val="26"/>
        </w:rPr>
        <w:t xml:space="preserve">Gonzalez wanted to “keep Justin Flint limited in his statements” and told him to “shut up” about the murder. They strategized </w:t>
      </w:r>
      <w:r w:rsidRPr="00D662C3" w:rsidR="00AB62F6">
        <w:rPr>
          <w:szCs w:val="26"/>
        </w:rPr>
        <w:t>about</w:t>
      </w:r>
      <w:r w:rsidRPr="00D662C3">
        <w:rPr>
          <w:szCs w:val="26"/>
        </w:rPr>
        <w:t xml:space="preserve"> how to behave during the investigation. </w:t>
      </w:r>
    </w:p>
    <w:p w:rsidR="00544EF9" w:rsidRPr="00D662C3" w:rsidP="004F5DF7">
      <w:pPr>
        <w:pStyle w:val="ListParagraph"/>
        <w:numPr>
          <w:ilvl w:val="0"/>
          <w:numId w:val="10"/>
        </w:numPr>
        <w:ind w:left="1080"/>
        <w:rPr>
          <w:i/>
          <w:iCs/>
          <w:szCs w:val="26"/>
        </w:rPr>
      </w:pPr>
      <w:r w:rsidRPr="00D662C3">
        <w:rPr>
          <w:i/>
          <w:iCs/>
          <w:szCs w:val="26"/>
        </w:rPr>
        <w:t xml:space="preserve">Investigation of </w:t>
      </w:r>
      <w:r w:rsidRPr="00D662C3" w:rsidR="009D1B3D">
        <w:rPr>
          <w:i/>
          <w:iCs/>
          <w:szCs w:val="26"/>
        </w:rPr>
        <w:t>Jess</w:t>
      </w:r>
      <w:r w:rsidRPr="00D662C3" w:rsidR="00214574">
        <w:rPr>
          <w:i/>
          <w:iCs/>
          <w:szCs w:val="26"/>
        </w:rPr>
        <w:t>i</w:t>
      </w:r>
      <w:r w:rsidRPr="00D662C3" w:rsidR="009D1B3D">
        <w:rPr>
          <w:i/>
          <w:iCs/>
          <w:szCs w:val="26"/>
        </w:rPr>
        <w:t>ca</w:t>
      </w:r>
      <w:r w:rsidRPr="00D662C3">
        <w:rPr>
          <w:i/>
          <w:iCs/>
          <w:szCs w:val="26"/>
        </w:rPr>
        <w:t xml:space="preserve"> Rowan and Celina Gonzalez</w:t>
      </w:r>
    </w:p>
    <w:p w:rsidR="00A0376A" w:rsidRPr="00D662C3" w:rsidP="004F5DF7">
      <w:pPr>
        <w:ind w:firstLine="720"/>
        <w:rPr>
          <w:szCs w:val="26"/>
        </w:rPr>
      </w:pPr>
      <w:r w:rsidRPr="00D662C3">
        <w:rPr>
          <w:szCs w:val="26"/>
        </w:rPr>
        <w:t>In</w:t>
      </w:r>
      <w:r w:rsidRPr="00D662C3" w:rsidR="00214574">
        <w:rPr>
          <w:szCs w:val="26"/>
        </w:rPr>
        <w:t xml:space="preserve"> addition to conducting the undercover operation, law enforcement obtained an order authorizing a </w:t>
      </w:r>
      <w:r w:rsidRPr="00D662C3">
        <w:rPr>
          <w:szCs w:val="26"/>
        </w:rPr>
        <w:t xml:space="preserve">wiretap </w:t>
      </w:r>
      <w:r w:rsidRPr="00D662C3" w:rsidR="00214574">
        <w:rPr>
          <w:szCs w:val="26"/>
        </w:rPr>
        <w:t xml:space="preserve">on </w:t>
      </w:r>
      <w:r w:rsidRPr="00D662C3">
        <w:rPr>
          <w:szCs w:val="26"/>
        </w:rPr>
        <w:t>six</w:t>
      </w:r>
      <w:r w:rsidRPr="00D662C3" w:rsidR="00214574">
        <w:rPr>
          <w:szCs w:val="26"/>
        </w:rPr>
        <w:t xml:space="preserve"> different</w:t>
      </w:r>
      <w:r w:rsidRPr="00D662C3">
        <w:rPr>
          <w:szCs w:val="26"/>
        </w:rPr>
        <w:t xml:space="preserve"> phone</w:t>
      </w:r>
      <w:r w:rsidRPr="00D662C3" w:rsidR="00EE10EA">
        <w:rPr>
          <w:szCs w:val="26"/>
        </w:rPr>
        <w:t xml:space="preserve"> lines that were affiliated with Gonzalez </w:t>
      </w:r>
      <w:r w:rsidRPr="00D662C3" w:rsidR="000B4213">
        <w:rPr>
          <w:szCs w:val="26"/>
        </w:rPr>
        <w:t xml:space="preserve">and his </w:t>
      </w:r>
      <w:r w:rsidRPr="00D662C3" w:rsidR="00B71039">
        <w:rPr>
          <w:szCs w:val="26"/>
        </w:rPr>
        <w:t>acquaintances</w:t>
      </w:r>
      <w:r w:rsidRPr="00D662C3">
        <w:rPr>
          <w:szCs w:val="26"/>
        </w:rPr>
        <w:t xml:space="preserve">.  </w:t>
      </w:r>
      <w:r w:rsidRPr="00D662C3" w:rsidR="00EE10EA">
        <w:rPr>
          <w:szCs w:val="26"/>
        </w:rPr>
        <w:t xml:space="preserve">Pursuant to those wiretaps, </w:t>
      </w:r>
      <w:r w:rsidRPr="00D662C3">
        <w:rPr>
          <w:szCs w:val="26"/>
        </w:rPr>
        <w:t xml:space="preserve">police intercepted conversations between </w:t>
      </w:r>
      <w:r w:rsidRPr="00D662C3" w:rsidR="00EB24E5">
        <w:rPr>
          <w:szCs w:val="26"/>
        </w:rPr>
        <w:t xml:space="preserve">Jessica Rowan, </w:t>
      </w:r>
      <w:r w:rsidRPr="00D662C3" w:rsidR="00EE10EA">
        <w:rPr>
          <w:szCs w:val="26"/>
        </w:rPr>
        <w:t xml:space="preserve">who </w:t>
      </w:r>
      <w:r w:rsidRPr="00D662C3" w:rsidR="00911268">
        <w:rPr>
          <w:szCs w:val="26"/>
        </w:rPr>
        <w:t xml:space="preserve">had been </w:t>
      </w:r>
      <w:r w:rsidRPr="00D662C3" w:rsidR="00EB24E5">
        <w:rPr>
          <w:szCs w:val="26"/>
        </w:rPr>
        <w:t>Gonzalez</w:t>
      </w:r>
      <w:r w:rsidRPr="00D662C3" w:rsidR="00EE10EA">
        <w:rPr>
          <w:szCs w:val="26"/>
        </w:rPr>
        <w:t>’s girlfriend</w:t>
      </w:r>
      <w:r w:rsidRPr="00D662C3" w:rsidR="00911268">
        <w:rPr>
          <w:szCs w:val="26"/>
        </w:rPr>
        <w:t xml:space="preserve"> for 12 years</w:t>
      </w:r>
      <w:r w:rsidRPr="00D662C3" w:rsidR="000B4213">
        <w:rPr>
          <w:szCs w:val="26"/>
        </w:rPr>
        <w:t xml:space="preserve"> and was the mother of his two children</w:t>
      </w:r>
      <w:r w:rsidRPr="00D662C3" w:rsidR="00EB24E5">
        <w:rPr>
          <w:szCs w:val="26"/>
        </w:rPr>
        <w:t>,</w:t>
      </w:r>
      <w:r w:rsidRPr="00D662C3">
        <w:rPr>
          <w:szCs w:val="26"/>
        </w:rPr>
        <w:t xml:space="preserve"> and Gonzalez’s sister, Celina Gonzalez. </w:t>
      </w:r>
      <w:r w:rsidRPr="00D662C3" w:rsidR="00F85CBB">
        <w:rPr>
          <w:szCs w:val="26"/>
        </w:rPr>
        <w:t xml:space="preserve"> </w:t>
      </w:r>
      <w:r w:rsidRPr="00D662C3">
        <w:rPr>
          <w:szCs w:val="26"/>
        </w:rPr>
        <w:t>During a phone</w:t>
      </w:r>
      <w:r w:rsidRPr="00D662C3" w:rsidR="00EE10EA">
        <w:rPr>
          <w:szCs w:val="26"/>
        </w:rPr>
        <w:t xml:space="preserve"> call</w:t>
      </w:r>
      <w:r w:rsidRPr="00D662C3">
        <w:rPr>
          <w:szCs w:val="26"/>
        </w:rPr>
        <w:t>, Rowan and Celina</w:t>
      </w:r>
      <w:r>
        <w:rPr>
          <w:rStyle w:val="FootnoteReference"/>
          <w:szCs w:val="26"/>
        </w:rPr>
        <w:footnoteReference w:id="4"/>
      </w:r>
      <w:r w:rsidRPr="00D662C3">
        <w:rPr>
          <w:szCs w:val="26"/>
        </w:rPr>
        <w:t xml:space="preserve"> discussed </w:t>
      </w:r>
      <w:r w:rsidRPr="00D662C3" w:rsidR="00EE10EA">
        <w:rPr>
          <w:szCs w:val="26"/>
        </w:rPr>
        <w:t xml:space="preserve">fabricating </w:t>
      </w:r>
      <w:r w:rsidRPr="00D662C3">
        <w:rPr>
          <w:szCs w:val="26"/>
        </w:rPr>
        <w:t xml:space="preserve">an alibi for Gonzalez. </w:t>
      </w:r>
      <w:r w:rsidRPr="00D662C3" w:rsidR="00F85CBB">
        <w:rPr>
          <w:szCs w:val="26"/>
        </w:rPr>
        <w:t xml:space="preserve"> </w:t>
      </w:r>
      <w:r w:rsidRPr="00D662C3">
        <w:rPr>
          <w:szCs w:val="26"/>
        </w:rPr>
        <w:t xml:space="preserve">They agreed that they would tell police they had been at a barbeque with Gonzalez the night before the shooting and that Gonzalez </w:t>
      </w:r>
      <w:r w:rsidRPr="00D662C3" w:rsidR="000D7551">
        <w:rPr>
          <w:szCs w:val="26"/>
        </w:rPr>
        <w:t xml:space="preserve">then </w:t>
      </w:r>
      <w:r w:rsidRPr="00D662C3">
        <w:rPr>
          <w:szCs w:val="26"/>
        </w:rPr>
        <w:t>slept</w:t>
      </w:r>
      <w:r w:rsidRPr="00D662C3" w:rsidR="000D7551">
        <w:rPr>
          <w:szCs w:val="26"/>
        </w:rPr>
        <w:t xml:space="preserve"> </w:t>
      </w:r>
      <w:r w:rsidRPr="00D662C3">
        <w:rPr>
          <w:szCs w:val="26"/>
        </w:rPr>
        <w:t>at Rowan’s h</w:t>
      </w:r>
      <w:r w:rsidRPr="00D662C3" w:rsidR="000D7551">
        <w:rPr>
          <w:szCs w:val="26"/>
        </w:rPr>
        <w:t xml:space="preserve">ouse and </w:t>
      </w:r>
      <w:r w:rsidRPr="00D662C3" w:rsidR="00EE10EA">
        <w:rPr>
          <w:szCs w:val="26"/>
        </w:rPr>
        <w:t xml:space="preserve">stayed </w:t>
      </w:r>
      <w:r w:rsidRPr="00D662C3" w:rsidR="000D7551">
        <w:rPr>
          <w:szCs w:val="26"/>
        </w:rPr>
        <w:t>with her the following morning.</w:t>
      </w:r>
      <w:r w:rsidRPr="00D662C3">
        <w:rPr>
          <w:szCs w:val="26"/>
        </w:rPr>
        <w:t xml:space="preserve">   </w:t>
      </w:r>
    </w:p>
    <w:p w:rsidR="00A0376A" w:rsidRPr="00D662C3" w:rsidP="004F5DF7">
      <w:pPr>
        <w:ind w:firstLine="720"/>
        <w:rPr>
          <w:szCs w:val="26"/>
        </w:rPr>
      </w:pPr>
      <w:r w:rsidRPr="00D662C3">
        <w:rPr>
          <w:szCs w:val="26"/>
        </w:rPr>
        <w:t xml:space="preserve">After having intercepted those communications, </w:t>
      </w:r>
      <w:r w:rsidRPr="00D662C3">
        <w:rPr>
          <w:szCs w:val="26"/>
        </w:rPr>
        <w:t>Detectives McMahon and O’Dowd interviewed Rowan</w:t>
      </w:r>
      <w:r w:rsidRPr="00D662C3">
        <w:rPr>
          <w:szCs w:val="26"/>
        </w:rPr>
        <w:t xml:space="preserve">, who told them she was at a </w:t>
      </w:r>
      <w:r w:rsidRPr="00D662C3">
        <w:rPr>
          <w:szCs w:val="26"/>
        </w:rPr>
        <w:t>barbeque</w:t>
      </w:r>
      <w:r w:rsidRPr="00D662C3">
        <w:rPr>
          <w:szCs w:val="26"/>
        </w:rPr>
        <w:t xml:space="preserve"> with Gonzalez the night before the </w:t>
      </w:r>
      <w:r w:rsidRPr="00D662C3" w:rsidR="00F85CBB">
        <w:rPr>
          <w:szCs w:val="26"/>
        </w:rPr>
        <w:t>shooting</w:t>
      </w:r>
      <w:r w:rsidRPr="00D662C3">
        <w:rPr>
          <w:szCs w:val="26"/>
        </w:rPr>
        <w:t xml:space="preserve"> and </w:t>
      </w:r>
      <w:r w:rsidRPr="00D662C3">
        <w:rPr>
          <w:szCs w:val="26"/>
        </w:rPr>
        <w:t xml:space="preserve">was in bed with </w:t>
      </w:r>
      <w:r w:rsidRPr="00D662C3">
        <w:rPr>
          <w:szCs w:val="26"/>
        </w:rPr>
        <w:t xml:space="preserve">him </w:t>
      </w:r>
      <w:r w:rsidRPr="00D662C3" w:rsidR="00F85CBB">
        <w:rPr>
          <w:szCs w:val="26"/>
        </w:rPr>
        <w:t>on the morning of the shooting</w:t>
      </w:r>
      <w:r w:rsidRPr="00D662C3">
        <w:rPr>
          <w:szCs w:val="26"/>
        </w:rPr>
        <w:t xml:space="preserve">. </w:t>
      </w:r>
      <w:r w:rsidRPr="00D662C3" w:rsidR="007E32EB">
        <w:rPr>
          <w:szCs w:val="26"/>
        </w:rPr>
        <w:t xml:space="preserve"> </w:t>
      </w:r>
      <w:r w:rsidRPr="00D662C3" w:rsidR="00EE10EA">
        <w:rPr>
          <w:szCs w:val="26"/>
        </w:rPr>
        <w:t xml:space="preserve">While in Rowan’s presence, </w:t>
      </w:r>
      <w:r w:rsidRPr="00D662C3">
        <w:rPr>
          <w:szCs w:val="26"/>
        </w:rPr>
        <w:t>O’Dowd</w:t>
      </w:r>
      <w:r w:rsidRPr="00D662C3">
        <w:rPr>
          <w:szCs w:val="26"/>
        </w:rPr>
        <w:t xml:space="preserve"> </w:t>
      </w:r>
      <w:r w:rsidRPr="00D662C3" w:rsidR="00997D8E">
        <w:rPr>
          <w:szCs w:val="26"/>
        </w:rPr>
        <w:t>acted as if he had received a call on his cell</w:t>
      </w:r>
      <w:r w:rsidRPr="00D662C3" w:rsidR="005E6BC8">
        <w:rPr>
          <w:szCs w:val="26"/>
        </w:rPr>
        <w:t xml:space="preserve"> </w:t>
      </w:r>
      <w:r w:rsidRPr="00D662C3" w:rsidR="00997D8E">
        <w:rPr>
          <w:szCs w:val="26"/>
        </w:rPr>
        <w:t>phone</w:t>
      </w:r>
      <w:r w:rsidRPr="00D662C3" w:rsidR="00F85CBB">
        <w:rPr>
          <w:szCs w:val="26"/>
        </w:rPr>
        <w:t xml:space="preserve"> and </w:t>
      </w:r>
      <w:r w:rsidRPr="00D662C3">
        <w:rPr>
          <w:szCs w:val="26"/>
        </w:rPr>
        <w:t>disc</w:t>
      </w:r>
      <w:r w:rsidRPr="00D662C3" w:rsidR="009D1B3D">
        <w:rPr>
          <w:szCs w:val="26"/>
        </w:rPr>
        <w:t xml:space="preserve">ussed </w:t>
      </w:r>
      <w:r w:rsidRPr="00D662C3" w:rsidR="00997D8E">
        <w:rPr>
          <w:szCs w:val="26"/>
        </w:rPr>
        <w:t>“</w:t>
      </w:r>
      <w:r w:rsidRPr="00D662C3" w:rsidR="009D1B3D">
        <w:rPr>
          <w:szCs w:val="26"/>
        </w:rPr>
        <w:t>divers going into the ocean.</w:t>
      </w:r>
      <w:r w:rsidRPr="00D662C3" w:rsidR="00997D8E">
        <w:rPr>
          <w:szCs w:val="26"/>
        </w:rPr>
        <w:t>”</w:t>
      </w:r>
      <w:r w:rsidRPr="00D662C3" w:rsidR="009D1B3D">
        <w:rPr>
          <w:szCs w:val="26"/>
        </w:rPr>
        <w:t xml:space="preserve"> </w:t>
      </w:r>
      <w:r w:rsidRPr="00D662C3">
        <w:rPr>
          <w:szCs w:val="26"/>
        </w:rPr>
        <w:t xml:space="preserve"> After</w:t>
      </w:r>
      <w:r w:rsidRPr="00D662C3" w:rsidR="009D1B3D">
        <w:rPr>
          <w:szCs w:val="26"/>
        </w:rPr>
        <w:t xml:space="preserve"> getting off the phone</w:t>
      </w:r>
      <w:r w:rsidRPr="00D662C3">
        <w:rPr>
          <w:szCs w:val="26"/>
        </w:rPr>
        <w:t>, O’Dowd told his partner “it was in pieces</w:t>
      </w:r>
      <w:r w:rsidRPr="00D662C3" w:rsidR="00997D8E">
        <w:rPr>
          <w:szCs w:val="26"/>
        </w:rPr>
        <w:t>,</w:t>
      </w:r>
      <w:r w:rsidRPr="00D662C3">
        <w:rPr>
          <w:szCs w:val="26"/>
        </w:rPr>
        <w:t>”</w:t>
      </w:r>
      <w:r w:rsidRPr="00D662C3" w:rsidR="00997D8E">
        <w:rPr>
          <w:szCs w:val="26"/>
        </w:rPr>
        <w:t xml:space="preserve"> but did not specify what object he was talking about.</w:t>
      </w:r>
      <w:r w:rsidRPr="00D662C3">
        <w:rPr>
          <w:szCs w:val="26"/>
        </w:rPr>
        <w:t xml:space="preserve">  Police also interviewed Celina, who likewise </w:t>
      </w:r>
      <w:r w:rsidRPr="00D662C3" w:rsidR="009D1B3D">
        <w:rPr>
          <w:szCs w:val="26"/>
        </w:rPr>
        <w:t>passed along the alibi that she and Rowan had discussed during their call</w:t>
      </w:r>
      <w:r w:rsidRPr="00D662C3">
        <w:rPr>
          <w:szCs w:val="26"/>
        </w:rPr>
        <w:t xml:space="preserve">.   </w:t>
      </w:r>
    </w:p>
    <w:p w:rsidR="00A0376A" w:rsidRPr="00D662C3" w:rsidP="004F5DF7">
      <w:pPr>
        <w:ind w:firstLine="720"/>
        <w:rPr>
          <w:szCs w:val="26"/>
        </w:rPr>
      </w:pPr>
      <w:r w:rsidRPr="00D662C3">
        <w:rPr>
          <w:szCs w:val="26"/>
        </w:rPr>
        <w:t xml:space="preserve">After </w:t>
      </w:r>
      <w:r w:rsidRPr="00D662C3" w:rsidR="009D1B3D">
        <w:rPr>
          <w:szCs w:val="26"/>
        </w:rPr>
        <w:t>her police interview</w:t>
      </w:r>
      <w:r w:rsidRPr="00D662C3">
        <w:rPr>
          <w:szCs w:val="26"/>
        </w:rPr>
        <w:t>, Rowan visited Gonzalez in jail</w:t>
      </w:r>
      <w:r w:rsidRPr="00D662C3" w:rsidR="00FF75FF">
        <w:rPr>
          <w:szCs w:val="26"/>
        </w:rPr>
        <w:t xml:space="preserve"> and held up a</w:t>
      </w:r>
      <w:r w:rsidRPr="00D662C3" w:rsidR="009D1B3D">
        <w:rPr>
          <w:szCs w:val="26"/>
        </w:rPr>
        <w:t xml:space="preserve"> </w:t>
      </w:r>
      <w:r w:rsidRPr="00D662C3">
        <w:rPr>
          <w:szCs w:val="26"/>
        </w:rPr>
        <w:t xml:space="preserve">note </w:t>
      </w:r>
      <w:r w:rsidRPr="00D662C3" w:rsidR="001113F7">
        <w:rPr>
          <w:szCs w:val="26"/>
        </w:rPr>
        <w:t xml:space="preserve">for him to read </w:t>
      </w:r>
      <w:r w:rsidRPr="00D662C3">
        <w:rPr>
          <w:szCs w:val="26"/>
        </w:rPr>
        <w:t xml:space="preserve">explaining the alibi she </w:t>
      </w:r>
      <w:r w:rsidRPr="00D662C3" w:rsidR="009D1B3D">
        <w:rPr>
          <w:szCs w:val="26"/>
        </w:rPr>
        <w:t xml:space="preserve">and Celina </w:t>
      </w:r>
      <w:r w:rsidRPr="00D662C3">
        <w:rPr>
          <w:szCs w:val="26"/>
        </w:rPr>
        <w:t xml:space="preserve">had created.  </w:t>
      </w:r>
      <w:r w:rsidRPr="00D662C3" w:rsidR="009D1B3D">
        <w:rPr>
          <w:szCs w:val="26"/>
        </w:rPr>
        <w:t>T</w:t>
      </w:r>
      <w:r w:rsidRPr="00D662C3">
        <w:rPr>
          <w:szCs w:val="26"/>
        </w:rPr>
        <w:t xml:space="preserve">he note </w:t>
      </w:r>
      <w:r w:rsidRPr="00D662C3" w:rsidR="009D1B3D">
        <w:rPr>
          <w:szCs w:val="26"/>
        </w:rPr>
        <w:t xml:space="preserve">also stated that divers were searching </w:t>
      </w:r>
      <w:r w:rsidRPr="00D662C3">
        <w:rPr>
          <w:szCs w:val="26"/>
        </w:rPr>
        <w:t xml:space="preserve">for a gun. </w:t>
      </w:r>
      <w:r w:rsidRPr="00D662C3" w:rsidR="00D93761">
        <w:rPr>
          <w:szCs w:val="26"/>
        </w:rPr>
        <w:t xml:space="preserve"> </w:t>
      </w:r>
      <w:r w:rsidRPr="00D662C3" w:rsidR="009D1B3D">
        <w:rPr>
          <w:szCs w:val="26"/>
        </w:rPr>
        <w:t xml:space="preserve">When </w:t>
      </w:r>
      <w:r w:rsidRPr="00D662C3">
        <w:rPr>
          <w:szCs w:val="26"/>
        </w:rPr>
        <w:t>Gonzalez</w:t>
      </w:r>
      <w:r w:rsidRPr="00D662C3" w:rsidR="009D1B3D">
        <w:rPr>
          <w:szCs w:val="26"/>
        </w:rPr>
        <w:t xml:space="preserve"> read the note, he exclaimed</w:t>
      </w:r>
      <w:r w:rsidRPr="00D662C3">
        <w:rPr>
          <w:szCs w:val="26"/>
        </w:rPr>
        <w:t>, “</w:t>
      </w:r>
      <w:r w:rsidRPr="00D662C3" w:rsidR="009D1B3D">
        <w:rPr>
          <w:szCs w:val="26"/>
        </w:rPr>
        <w:t>Oh f</w:t>
      </w:r>
      <w:r w:rsidRPr="00D662C3">
        <w:rPr>
          <w:szCs w:val="26"/>
        </w:rPr>
        <w:t xml:space="preserve">uck.”  </w:t>
      </w:r>
      <w:r w:rsidRPr="00D662C3" w:rsidR="00FF75FF">
        <w:rPr>
          <w:szCs w:val="26"/>
        </w:rPr>
        <w:t xml:space="preserve">During subsequent phone conversations, </w:t>
      </w:r>
      <w:r w:rsidRPr="00D662C3">
        <w:rPr>
          <w:szCs w:val="26"/>
        </w:rPr>
        <w:t>Gonzalez told Rowan he committed the crime with the “</w:t>
      </w:r>
      <w:r w:rsidRPr="00D662C3" w:rsidR="009B684E">
        <w:rPr>
          <w:szCs w:val="26"/>
        </w:rPr>
        <w:t>W</w:t>
      </w:r>
      <w:r w:rsidRPr="00D662C3">
        <w:rPr>
          <w:szCs w:val="26"/>
        </w:rPr>
        <w:t xml:space="preserve">hite boy” he had purchased a computer from, whom Rowan </w:t>
      </w:r>
      <w:r w:rsidRPr="00D662C3" w:rsidR="009D1B3D">
        <w:rPr>
          <w:szCs w:val="26"/>
        </w:rPr>
        <w:t xml:space="preserve">identified as </w:t>
      </w:r>
      <w:r w:rsidRPr="00D662C3">
        <w:rPr>
          <w:szCs w:val="26"/>
        </w:rPr>
        <w:t xml:space="preserve">Flint.  </w:t>
      </w:r>
      <w:r w:rsidRPr="00D662C3" w:rsidR="009D1B3D">
        <w:rPr>
          <w:szCs w:val="26"/>
        </w:rPr>
        <w:t xml:space="preserve">Gonzalez </w:t>
      </w:r>
      <w:r w:rsidRPr="00D662C3" w:rsidR="00FF75FF">
        <w:rPr>
          <w:szCs w:val="26"/>
        </w:rPr>
        <w:t xml:space="preserve">also </w:t>
      </w:r>
      <w:r w:rsidRPr="00D662C3" w:rsidR="009D1B3D">
        <w:rPr>
          <w:szCs w:val="26"/>
        </w:rPr>
        <w:t xml:space="preserve">directed Rowan to </w:t>
      </w:r>
      <w:r w:rsidRPr="00D662C3">
        <w:rPr>
          <w:szCs w:val="26"/>
        </w:rPr>
        <w:t xml:space="preserve">talk </w:t>
      </w:r>
      <w:r w:rsidRPr="00D662C3" w:rsidR="007E32EB">
        <w:rPr>
          <w:szCs w:val="26"/>
        </w:rPr>
        <w:t xml:space="preserve">to </w:t>
      </w:r>
      <w:r w:rsidRPr="00D662C3">
        <w:rPr>
          <w:szCs w:val="26"/>
        </w:rPr>
        <w:t xml:space="preserve">his friend “Psycho” and tell him to deal with any potential snitches.  Rowan understood this to mean that Psycho should kill any potential snitch.  As directed, Rowan called Psycho and told him, “If anything happens, you know what to do.”  Psycho responded “OK,” and </w:t>
      </w:r>
      <w:r w:rsidRPr="00D662C3" w:rsidR="00FF75FF">
        <w:rPr>
          <w:szCs w:val="26"/>
        </w:rPr>
        <w:t xml:space="preserve">told </w:t>
      </w:r>
      <w:r w:rsidRPr="00D662C3">
        <w:rPr>
          <w:szCs w:val="26"/>
        </w:rPr>
        <w:t xml:space="preserve">Rowan not to talk about anything related to the murder over the phone.   </w:t>
      </w:r>
    </w:p>
    <w:p w:rsidR="00A0376A" w:rsidRPr="00D662C3" w:rsidP="004F5DF7">
      <w:pPr>
        <w:ind w:firstLine="720"/>
        <w:rPr>
          <w:szCs w:val="26"/>
        </w:rPr>
      </w:pPr>
      <w:r w:rsidRPr="00D662C3">
        <w:rPr>
          <w:szCs w:val="26"/>
        </w:rPr>
        <w:t>P</w:t>
      </w:r>
      <w:r w:rsidRPr="00D662C3" w:rsidR="009D1B3D">
        <w:rPr>
          <w:szCs w:val="26"/>
        </w:rPr>
        <w:t>olice</w:t>
      </w:r>
      <w:r w:rsidRPr="00D662C3">
        <w:rPr>
          <w:szCs w:val="26"/>
        </w:rPr>
        <w:t xml:space="preserve"> eventually</w:t>
      </w:r>
      <w:r w:rsidRPr="00D662C3" w:rsidR="009D1B3D">
        <w:rPr>
          <w:szCs w:val="26"/>
        </w:rPr>
        <w:t xml:space="preserve"> arrested Rowan and Celina and charged them </w:t>
      </w:r>
      <w:r w:rsidRPr="00D662C3" w:rsidR="008048BB">
        <w:rPr>
          <w:szCs w:val="26"/>
        </w:rPr>
        <w:t xml:space="preserve">with </w:t>
      </w:r>
      <w:r w:rsidRPr="00D662C3" w:rsidR="009D1B3D">
        <w:rPr>
          <w:szCs w:val="26"/>
        </w:rPr>
        <w:t xml:space="preserve">obstruction of justice </w:t>
      </w:r>
      <w:r w:rsidRPr="00D662C3" w:rsidR="008048BB">
        <w:rPr>
          <w:szCs w:val="26"/>
        </w:rPr>
        <w:t xml:space="preserve">for having </w:t>
      </w:r>
      <w:r w:rsidRPr="00D662C3" w:rsidR="00D72652">
        <w:rPr>
          <w:szCs w:val="26"/>
        </w:rPr>
        <w:t xml:space="preserve">fabricated </w:t>
      </w:r>
      <w:r w:rsidRPr="00D662C3" w:rsidR="00F85CBB">
        <w:rPr>
          <w:szCs w:val="26"/>
        </w:rPr>
        <w:t xml:space="preserve">a </w:t>
      </w:r>
      <w:r w:rsidRPr="00D662C3" w:rsidR="008048BB">
        <w:rPr>
          <w:szCs w:val="26"/>
        </w:rPr>
        <w:t xml:space="preserve">false alibi.  </w:t>
      </w:r>
      <w:r w:rsidRPr="00D662C3">
        <w:rPr>
          <w:szCs w:val="26"/>
        </w:rPr>
        <w:t xml:space="preserve">Rowan and Celina </w:t>
      </w:r>
      <w:r w:rsidRPr="00D662C3" w:rsidR="008048BB">
        <w:rPr>
          <w:szCs w:val="26"/>
        </w:rPr>
        <w:t>both p</w:t>
      </w:r>
      <w:r w:rsidRPr="00D662C3">
        <w:rPr>
          <w:szCs w:val="26"/>
        </w:rPr>
        <w:t>le</w:t>
      </w:r>
      <w:r w:rsidRPr="00D662C3" w:rsidR="00F85CBB">
        <w:rPr>
          <w:szCs w:val="26"/>
        </w:rPr>
        <w:t>a</w:t>
      </w:r>
      <w:r w:rsidRPr="00D662C3">
        <w:rPr>
          <w:szCs w:val="26"/>
        </w:rPr>
        <w:t>d</w:t>
      </w:r>
      <w:r w:rsidRPr="00D662C3" w:rsidR="00F85CBB">
        <w:rPr>
          <w:szCs w:val="26"/>
        </w:rPr>
        <w:t>ed</w:t>
      </w:r>
      <w:r w:rsidRPr="00D662C3">
        <w:rPr>
          <w:szCs w:val="26"/>
        </w:rPr>
        <w:t xml:space="preserve"> guilty to conspiracy to obstruct justice </w:t>
      </w:r>
      <w:r w:rsidRPr="00D662C3" w:rsidR="008048BB">
        <w:rPr>
          <w:szCs w:val="26"/>
        </w:rPr>
        <w:t xml:space="preserve">and their </w:t>
      </w:r>
      <w:r w:rsidRPr="00D662C3">
        <w:rPr>
          <w:szCs w:val="26"/>
        </w:rPr>
        <w:t>plea</w:t>
      </w:r>
      <w:r w:rsidRPr="00D662C3" w:rsidR="008048BB">
        <w:rPr>
          <w:szCs w:val="26"/>
        </w:rPr>
        <w:t>s</w:t>
      </w:r>
      <w:r w:rsidRPr="00D662C3">
        <w:rPr>
          <w:szCs w:val="26"/>
        </w:rPr>
        <w:t xml:space="preserve"> included an agreement to testify against Gonzalez. </w:t>
      </w:r>
      <w:r w:rsidRPr="00D662C3" w:rsidR="00C748CF">
        <w:rPr>
          <w:szCs w:val="26"/>
        </w:rPr>
        <w:t xml:space="preserve"> </w:t>
      </w:r>
      <w:r w:rsidRPr="00D662C3">
        <w:rPr>
          <w:szCs w:val="26"/>
        </w:rPr>
        <w:t xml:space="preserve">Though their testimony would be considered in determining their sentence, the plea did not promise leniency in exchange for testifying. </w:t>
      </w:r>
    </w:p>
    <w:p w:rsidR="00623520" w:rsidRPr="00D662C3" w:rsidP="004F5DF7">
      <w:pPr>
        <w:ind w:firstLine="720"/>
        <w:rPr>
          <w:szCs w:val="26"/>
        </w:rPr>
      </w:pPr>
      <w:r w:rsidRPr="00D662C3">
        <w:rPr>
          <w:szCs w:val="26"/>
        </w:rPr>
        <w:t xml:space="preserve">At trial, </w:t>
      </w:r>
      <w:r w:rsidRPr="00D662C3" w:rsidR="00911268">
        <w:rPr>
          <w:szCs w:val="26"/>
        </w:rPr>
        <w:t xml:space="preserve">Rowan </w:t>
      </w:r>
      <w:r w:rsidRPr="00D662C3">
        <w:rPr>
          <w:szCs w:val="26"/>
        </w:rPr>
        <w:t xml:space="preserve">testified that </w:t>
      </w:r>
      <w:r w:rsidRPr="00D662C3" w:rsidR="00911268">
        <w:rPr>
          <w:szCs w:val="26"/>
        </w:rPr>
        <w:t>around the time of the shooting,</w:t>
      </w:r>
      <w:r w:rsidRPr="00D662C3" w:rsidR="00EB24E5">
        <w:rPr>
          <w:szCs w:val="26"/>
        </w:rPr>
        <w:t xml:space="preserve"> </w:t>
      </w:r>
      <w:r w:rsidRPr="00D662C3">
        <w:rPr>
          <w:szCs w:val="26"/>
        </w:rPr>
        <w:t xml:space="preserve">Gonzalez told </w:t>
      </w:r>
      <w:r w:rsidRPr="00D662C3" w:rsidR="00911268">
        <w:rPr>
          <w:szCs w:val="26"/>
        </w:rPr>
        <w:t xml:space="preserve">her </w:t>
      </w:r>
      <w:r w:rsidRPr="00D662C3">
        <w:rPr>
          <w:szCs w:val="26"/>
        </w:rPr>
        <w:t>he had “done something” in Long Beach and had to leave the city.  He explained that he and a friend had tried to rob a woman to get money for drugs</w:t>
      </w:r>
      <w:r w:rsidRPr="00D662C3" w:rsidR="00911268">
        <w:rPr>
          <w:szCs w:val="26"/>
        </w:rPr>
        <w:t xml:space="preserve"> and a gun went off</w:t>
      </w:r>
      <w:r w:rsidRPr="00D662C3">
        <w:rPr>
          <w:szCs w:val="26"/>
        </w:rPr>
        <w:t xml:space="preserve">.  He had demanded </w:t>
      </w:r>
      <w:r w:rsidRPr="00D662C3" w:rsidR="007121FC">
        <w:rPr>
          <w:szCs w:val="26"/>
        </w:rPr>
        <w:t>the victim’s</w:t>
      </w:r>
      <w:r w:rsidRPr="00D662C3">
        <w:rPr>
          <w:szCs w:val="26"/>
        </w:rPr>
        <w:t xml:space="preserve"> money and</w:t>
      </w:r>
      <w:r w:rsidRPr="00D662C3" w:rsidR="00911268">
        <w:rPr>
          <w:szCs w:val="26"/>
        </w:rPr>
        <w:t xml:space="preserve"> tried to </w:t>
      </w:r>
      <w:r w:rsidRPr="00D662C3">
        <w:rPr>
          <w:szCs w:val="26"/>
        </w:rPr>
        <w:t>grab her purse, but a struggle ensued.  During the struggle, the woman pulled out a gun and a police badge and a gun discharged.</w:t>
      </w:r>
      <w:r w:rsidRPr="00D662C3" w:rsidR="00911268">
        <w:rPr>
          <w:szCs w:val="26"/>
        </w:rPr>
        <w:t xml:space="preserve">  He then ran from the scene.</w:t>
      </w:r>
      <w:r w:rsidRPr="00D662C3">
        <w:rPr>
          <w:szCs w:val="26"/>
        </w:rPr>
        <w:t xml:space="preserve"> </w:t>
      </w:r>
    </w:p>
    <w:p w:rsidR="00297A59" w:rsidRPr="00D662C3" w:rsidP="004F5DF7">
      <w:pPr>
        <w:ind w:firstLine="720"/>
        <w:rPr>
          <w:szCs w:val="26"/>
        </w:rPr>
      </w:pPr>
      <w:r w:rsidRPr="00D662C3">
        <w:rPr>
          <w:szCs w:val="26"/>
        </w:rPr>
        <w:t>Rowan further testified that a</w:t>
      </w:r>
      <w:r w:rsidRPr="00D662C3" w:rsidR="008048BB">
        <w:rPr>
          <w:szCs w:val="26"/>
        </w:rPr>
        <w:t xml:space="preserve"> day or two </w:t>
      </w:r>
      <w:r w:rsidRPr="00D662C3" w:rsidR="00623520">
        <w:rPr>
          <w:szCs w:val="26"/>
        </w:rPr>
        <w:t>after the shooting</w:t>
      </w:r>
      <w:r w:rsidRPr="00D662C3" w:rsidR="008048BB">
        <w:rPr>
          <w:szCs w:val="26"/>
        </w:rPr>
        <w:t>,</w:t>
      </w:r>
      <w:r w:rsidRPr="00D662C3" w:rsidR="00623520">
        <w:rPr>
          <w:szCs w:val="26"/>
        </w:rPr>
        <w:t xml:space="preserve"> </w:t>
      </w:r>
      <w:r w:rsidRPr="00D662C3">
        <w:rPr>
          <w:szCs w:val="26"/>
        </w:rPr>
        <w:t xml:space="preserve">she </w:t>
      </w:r>
      <w:r w:rsidRPr="00D662C3" w:rsidR="00623520">
        <w:rPr>
          <w:szCs w:val="26"/>
        </w:rPr>
        <w:t xml:space="preserve">went to Celina’s house with Gonzalez.  Rowan stated that Gonzalez was acting nervous and strange and had said that he wanted to go to Long Beach immediately.  Gonzalez then retrieved </w:t>
      </w:r>
      <w:r w:rsidRPr="00D662C3" w:rsidR="007121FC">
        <w:rPr>
          <w:szCs w:val="26"/>
        </w:rPr>
        <w:t>a</w:t>
      </w:r>
      <w:r w:rsidRPr="00D662C3" w:rsidR="00623520">
        <w:rPr>
          <w:szCs w:val="26"/>
        </w:rPr>
        <w:t xml:space="preserve"> newspaper and showed them a story about the shooting of Rosa</w:t>
      </w:r>
      <w:r w:rsidRPr="00D662C3" w:rsidR="007B1654">
        <w:rPr>
          <w:szCs w:val="26"/>
        </w:rPr>
        <w:t xml:space="preserve">, which included her picture, </w:t>
      </w:r>
      <w:r w:rsidRPr="00D662C3" w:rsidR="00623520">
        <w:rPr>
          <w:szCs w:val="26"/>
        </w:rPr>
        <w:t>and stated, “I told you I had done something</w:t>
      </w:r>
      <w:r w:rsidRPr="00D662C3" w:rsidR="00C748CF">
        <w:rPr>
          <w:szCs w:val="26"/>
        </w:rPr>
        <w:t xml:space="preserve"> in Long Beach</w:t>
      </w:r>
      <w:r w:rsidRPr="00D662C3" w:rsidR="00623520">
        <w:rPr>
          <w:szCs w:val="26"/>
        </w:rPr>
        <w:t>.” A few days later</w:t>
      </w:r>
      <w:r w:rsidRPr="00D662C3" w:rsidR="007B1654">
        <w:rPr>
          <w:szCs w:val="26"/>
        </w:rPr>
        <w:t xml:space="preserve"> Gonzalez</w:t>
      </w:r>
      <w:r w:rsidRPr="00D662C3" w:rsidR="00623520">
        <w:rPr>
          <w:szCs w:val="26"/>
        </w:rPr>
        <w:t xml:space="preserve"> asked to borrow Rowan’s car, telling her he was driving to the beach to get rid of something.</w:t>
      </w:r>
      <w:r w:rsidRPr="00D662C3" w:rsidR="007B1654">
        <w:rPr>
          <w:szCs w:val="26"/>
        </w:rPr>
        <w:t xml:space="preserve"> </w:t>
      </w:r>
      <w:r w:rsidRPr="00D662C3" w:rsidR="00623520">
        <w:rPr>
          <w:szCs w:val="26"/>
        </w:rPr>
        <w:t xml:space="preserve"> When he returned, </w:t>
      </w:r>
      <w:r w:rsidRPr="00D662C3" w:rsidR="00F85CBB">
        <w:rPr>
          <w:szCs w:val="26"/>
        </w:rPr>
        <w:t>Gonzalez</w:t>
      </w:r>
      <w:r w:rsidRPr="00D662C3" w:rsidR="00623520">
        <w:rPr>
          <w:szCs w:val="26"/>
        </w:rPr>
        <w:t xml:space="preserve"> told her he had gotten rid of the gun, explaining </w:t>
      </w:r>
      <w:r w:rsidRPr="00D662C3" w:rsidR="00DB64C9">
        <w:rPr>
          <w:szCs w:val="26"/>
        </w:rPr>
        <w:t>t</w:t>
      </w:r>
      <w:r w:rsidRPr="00D662C3" w:rsidR="00623520">
        <w:rPr>
          <w:szCs w:val="26"/>
        </w:rPr>
        <w:t>hat</w:t>
      </w:r>
      <w:r w:rsidRPr="00D662C3" w:rsidR="00DB64C9">
        <w:rPr>
          <w:szCs w:val="26"/>
        </w:rPr>
        <w:t xml:space="preserve"> he had sanded it down and cut it into pieces</w:t>
      </w:r>
      <w:r w:rsidRPr="00D662C3" w:rsidR="00623520">
        <w:rPr>
          <w:szCs w:val="26"/>
        </w:rPr>
        <w:t xml:space="preserve">. </w:t>
      </w:r>
      <w:r w:rsidRPr="00D662C3">
        <w:rPr>
          <w:szCs w:val="26"/>
        </w:rPr>
        <w:t xml:space="preserve">  </w:t>
      </w:r>
    </w:p>
    <w:p w:rsidR="00297A59" w:rsidRPr="00D662C3" w:rsidP="004F5DF7">
      <w:pPr>
        <w:ind w:firstLine="720"/>
        <w:rPr>
          <w:szCs w:val="26"/>
        </w:rPr>
      </w:pPr>
      <w:r w:rsidRPr="00D662C3">
        <w:rPr>
          <w:szCs w:val="26"/>
        </w:rPr>
        <w:t>A</w:t>
      </w:r>
      <w:r w:rsidRPr="00D662C3" w:rsidR="007121FC">
        <w:rPr>
          <w:szCs w:val="26"/>
        </w:rPr>
        <w:t>t</w:t>
      </w:r>
      <w:r w:rsidRPr="00D662C3">
        <w:rPr>
          <w:szCs w:val="26"/>
        </w:rPr>
        <w:t xml:space="preserve"> some point after Gonzalez </w:t>
      </w:r>
      <w:r w:rsidRPr="00D662C3" w:rsidR="00D72652">
        <w:rPr>
          <w:szCs w:val="26"/>
        </w:rPr>
        <w:t>was</w:t>
      </w:r>
      <w:r w:rsidRPr="00D662C3" w:rsidR="007121FC">
        <w:rPr>
          <w:szCs w:val="26"/>
        </w:rPr>
        <w:t xml:space="preserve"> </w:t>
      </w:r>
      <w:r w:rsidRPr="00D662C3">
        <w:rPr>
          <w:szCs w:val="26"/>
        </w:rPr>
        <w:t>taken into custody, Celina showed Rowan an article</w:t>
      </w:r>
      <w:r w:rsidRPr="00D662C3" w:rsidR="009B503A">
        <w:rPr>
          <w:szCs w:val="26"/>
        </w:rPr>
        <w:t xml:space="preserve"> on the internet</w:t>
      </w:r>
      <w:r w:rsidRPr="00D662C3">
        <w:rPr>
          <w:szCs w:val="26"/>
        </w:rPr>
        <w:t xml:space="preserve"> about the murder that </w:t>
      </w:r>
      <w:r w:rsidR="00344DBF">
        <w:rPr>
          <w:szCs w:val="26"/>
        </w:rPr>
        <w:t>included</w:t>
      </w:r>
      <w:r w:rsidRPr="00D662C3">
        <w:rPr>
          <w:szCs w:val="26"/>
        </w:rPr>
        <w:t xml:space="preserve"> photographs of two men riding bicycles.  She and Celina were worried that people would be able to identify Gonzalez in the picture from his tattoos.   </w:t>
      </w:r>
    </w:p>
    <w:p w:rsidR="00DB64C9" w:rsidRPr="00D662C3" w:rsidP="004F5DF7">
      <w:pPr>
        <w:ind w:firstLine="720"/>
        <w:rPr>
          <w:szCs w:val="26"/>
        </w:rPr>
      </w:pPr>
      <w:r w:rsidRPr="00D662C3">
        <w:rPr>
          <w:szCs w:val="26"/>
        </w:rPr>
        <w:t xml:space="preserve">Rowan </w:t>
      </w:r>
      <w:r w:rsidRPr="00D662C3" w:rsidR="00297A59">
        <w:rPr>
          <w:szCs w:val="26"/>
        </w:rPr>
        <w:t xml:space="preserve">also </w:t>
      </w:r>
      <w:r w:rsidRPr="00D662C3">
        <w:rPr>
          <w:szCs w:val="26"/>
        </w:rPr>
        <w:t xml:space="preserve">acknowledged </w:t>
      </w:r>
      <w:r w:rsidRPr="00D662C3" w:rsidR="00297A59">
        <w:rPr>
          <w:szCs w:val="26"/>
        </w:rPr>
        <w:t xml:space="preserve">during her testimony that </w:t>
      </w:r>
      <w:r w:rsidRPr="00D662C3">
        <w:rPr>
          <w:szCs w:val="26"/>
        </w:rPr>
        <w:t xml:space="preserve">she had been charged with obstruction of justice and that she and Celina had fabricated an alibi that they passed along to the police.  She </w:t>
      </w:r>
      <w:r w:rsidRPr="00D662C3" w:rsidR="009868A3">
        <w:rPr>
          <w:szCs w:val="26"/>
        </w:rPr>
        <w:t>explained</w:t>
      </w:r>
      <w:r w:rsidRPr="00D662C3">
        <w:rPr>
          <w:szCs w:val="26"/>
        </w:rPr>
        <w:t xml:space="preserve"> that </w:t>
      </w:r>
      <w:r w:rsidRPr="00D662C3" w:rsidR="009868A3">
        <w:rPr>
          <w:szCs w:val="26"/>
        </w:rPr>
        <w:t xml:space="preserve">her </w:t>
      </w:r>
      <w:r w:rsidRPr="00D662C3" w:rsidR="009B503A">
        <w:rPr>
          <w:szCs w:val="26"/>
        </w:rPr>
        <w:t xml:space="preserve">phone </w:t>
      </w:r>
      <w:r w:rsidRPr="00D662C3">
        <w:rPr>
          <w:szCs w:val="26"/>
        </w:rPr>
        <w:t>conversation</w:t>
      </w:r>
      <w:r w:rsidRPr="00D662C3" w:rsidR="009B503A">
        <w:rPr>
          <w:szCs w:val="26"/>
        </w:rPr>
        <w:t>s</w:t>
      </w:r>
      <w:r w:rsidRPr="00D662C3" w:rsidR="009868A3">
        <w:rPr>
          <w:szCs w:val="26"/>
        </w:rPr>
        <w:t xml:space="preserve"> with </w:t>
      </w:r>
      <w:r w:rsidRPr="00D662C3">
        <w:rPr>
          <w:szCs w:val="26"/>
        </w:rPr>
        <w:t xml:space="preserve">Celina and her jailhouse conversations with Gonzalez had been </w:t>
      </w:r>
      <w:r w:rsidRPr="00D662C3" w:rsidR="009868A3">
        <w:rPr>
          <w:szCs w:val="26"/>
        </w:rPr>
        <w:t>surreptitiously</w:t>
      </w:r>
      <w:r w:rsidRPr="00D662C3" w:rsidR="007121FC">
        <w:rPr>
          <w:szCs w:val="26"/>
        </w:rPr>
        <w:t xml:space="preserve"> </w:t>
      </w:r>
      <w:r w:rsidRPr="00D662C3">
        <w:rPr>
          <w:szCs w:val="26"/>
        </w:rPr>
        <w:t xml:space="preserve">recorded. </w:t>
      </w:r>
      <w:r w:rsidRPr="00D662C3" w:rsidR="009B503A">
        <w:rPr>
          <w:szCs w:val="26"/>
        </w:rPr>
        <w:t xml:space="preserve"> She also acknowledged</w:t>
      </w:r>
      <w:r w:rsidRPr="00D662C3" w:rsidR="009868A3">
        <w:rPr>
          <w:szCs w:val="26"/>
        </w:rPr>
        <w:t xml:space="preserve"> that she had cooperated with </w:t>
      </w:r>
      <w:r w:rsidRPr="00D662C3" w:rsidR="009B503A">
        <w:rPr>
          <w:szCs w:val="26"/>
        </w:rPr>
        <w:t>law enforcement</w:t>
      </w:r>
      <w:r w:rsidRPr="00D662C3" w:rsidR="009868A3">
        <w:rPr>
          <w:szCs w:val="26"/>
        </w:rPr>
        <w:t xml:space="preserve">, </w:t>
      </w:r>
      <w:r w:rsidRPr="00D662C3" w:rsidR="009B503A">
        <w:rPr>
          <w:szCs w:val="26"/>
        </w:rPr>
        <w:t>sign</w:t>
      </w:r>
      <w:r w:rsidRPr="00D662C3" w:rsidR="009868A3">
        <w:rPr>
          <w:szCs w:val="26"/>
        </w:rPr>
        <w:t>ed</w:t>
      </w:r>
      <w:r w:rsidRPr="00D662C3" w:rsidR="009B503A">
        <w:rPr>
          <w:szCs w:val="26"/>
        </w:rPr>
        <w:t xml:space="preserve"> a proffered statement</w:t>
      </w:r>
      <w:r w:rsidRPr="00D662C3" w:rsidR="009868A3">
        <w:rPr>
          <w:szCs w:val="26"/>
        </w:rPr>
        <w:t xml:space="preserve"> attesting to statements Gonzalez had made</w:t>
      </w:r>
      <w:r w:rsidRPr="00D662C3" w:rsidR="007121FC">
        <w:rPr>
          <w:szCs w:val="26"/>
        </w:rPr>
        <w:t xml:space="preserve"> </w:t>
      </w:r>
      <w:r w:rsidRPr="00D662C3" w:rsidR="00D72652">
        <w:rPr>
          <w:szCs w:val="26"/>
        </w:rPr>
        <w:t>about</w:t>
      </w:r>
      <w:r w:rsidRPr="00D662C3" w:rsidR="007121FC">
        <w:rPr>
          <w:szCs w:val="26"/>
        </w:rPr>
        <w:t xml:space="preserve"> the crime</w:t>
      </w:r>
      <w:r w:rsidRPr="00D662C3" w:rsidR="009B503A">
        <w:rPr>
          <w:szCs w:val="26"/>
        </w:rPr>
        <w:t xml:space="preserve"> and </w:t>
      </w:r>
      <w:r w:rsidRPr="00D662C3" w:rsidR="009868A3">
        <w:rPr>
          <w:szCs w:val="26"/>
        </w:rPr>
        <w:t xml:space="preserve">entered into </w:t>
      </w:r>
      <w:r w:rsidRPr="00D662C3" w:rsidR="009B503A">
        <w:rPr>
          <w:szCs w:val="26"/>
        </w:rPr>
        <w:t xml:space="preserve">an agreement to tell the truth at trial. </w:t>
      </w:r>
    </w:p>
    <w:p w:rsidR="007121FC" w:rsidRPr="00D662C3" w:rsidP="004F5DF7">
      <w:pPr>
        <w:ind w:firstLine="720"/>
        <w:rPr>
          <w:szCs w:val="26"/>
        </w:rPr>
      </w:pPr>
      <w:r w:rsidRPr="00D662C3">
        <w:rPr>
          <w:szCs w:val="26"/>
        </w:rPr>
        <w:t xml:space="preserve">Celina provided testimony that </w:t>
      </w:r>
      <w:r w:rsidRPr="00D662C3" w:rsidR="009868A3">
        <w:rPr>
          <w:szCs w:val="26"/>
        </w:rPr>
        <w:t xml:space="preserve">was </w:t>
      </w:r>
      <w:r w:rsidRPr="00D662C3" w:rsidR="0029745F">
        <w:rPr>
          <w:szCs w:val="26"/>
        </w:rPr>
        <w:t>corroborat</w:t>
      </w:r>
      <w:r w:rsidRPr="00D662C3" w:rsidR="009868A3">
        <w:rPr>
          <w:szCs w:val="26"/>
        </w:rPr>
        <w:t xml:space="preserve">ive of </w:t>
      </w:r>
      <w:r w:rsidRPr="00D662C3" w:rsidR="0029745F">
        <w:rPr>
          <w:szCs w:val="26"/>
        </w:rPr>
        <w:t>much of Rowan</w:t>
      </w:r>
      <w:r w:rsidRPr="00D662C3">
        <w:rPr>
          <w:szCs w:val="26"/>
        </w:rPr>
        <w:t>’s testimony.  Like Rowan, Celina acknowledged she had been charged with obstruction of justice after the police intercepted a conversation in which she and Rowan had discussed fabricat</w:t>
      </w:r>
      <w:r w:rsidRPr="00D662C3" w:rsidR="00E928F8">
        <w:rPr>
          <w:szCs w:val="26"/>
        </w:rPr>
        <w:t xml:space="preserve">ing </w:t>
      </w:r>
      <w:r w:rsidRPr="00D662C3">
        <w:rPr>
          <w:szCs w:val="26"/>
        </w:rPr>
        <w:t>an alibi</w:t>
      </w:r>
      <w:r w:rsidRPr="00D662C3" w:rsidR="00E928F8">
        <w:rPr>
          <w:szCs w:val="26"/>
        </w:rPr>
        <w:t xml:space="preserve">. </w:t>
      </w:r>
      <w:r w:rsidRPr="00D662C3" w:rsidR="00C748CF">
        <w:rPr>
          <w:szCs w:val="26"/>
        </w:rPr>
        <w:t xml:space="preserve"> </w:t>
      </w:r>
      <w:r w:rsidRPr="00D662C3" w:rsidR="00E928F8">
        <w:rPr>
          <w:szCs w:val="26"/>
        </w:rPr>
        <w:t xml:space="preserve">She also </w:t>
      </w:r>
      <w:r w:rsidRPr="00D662C3">
        <w:rPr>
          <w:szCs w:val="26"/>
        </w:rPr>
        <w:t>testified about the incident involving the newspaper</w:t>
      </w:r>
      <w:r w:rsidRPr="00D662C3" w:rsidR="009868A3">
        <w:rPr>
          <w:szCs w:val="26"/>
        </w:rPr>
        <w:t xml:space="preserve"> that occurred</w:t>
      </w:r>
      <w:r w:rsidRPr="00D662C3" w:rsidR="0029745F">
        <w:rPr>
          <w:szCs w:val="26"/>
        </w:rPr>
        <w:t xml:space="preserve"> at her house</w:t>
      </w:r>
      <w:r w:rsidRPr="00D662C3">
        <w:rPr>
          <w:szCs w:val="26"/>
        </w:rPr>
        <w:t xml:space="preserve">, explaining that </w:t>
      </w:r>
      <w:r w:rsidRPr="00D662C3" w:rsidR="0029745F">
        <w:rPr>
          <w:szCs w:val="26"/>
        </w:rPr>
        <w:t xml:space="preserve">Rowan and </w:t>
      </w:r>
      <w:r w:rsidRPr="00D662C3" w:rsidR="00E928F8">
        <w:rPr>
          <w:szCs w:val="26"/>
        </w:rPr>
        <w:t>Gonzalez</w:t>
      </w:r>
      <w:r w:rsidRPr="00D662C3" w:rsidR="0029745F">
        <w:rPr>
          <w:szCs w:val="26"/>
        </w:rPr>
        <w:t xml:space="preserve"> </w:t>
      </w:r>
      <w:r w:rsidRPr="00D662C3" w:rsidR="007E32EB">
        <w:rPr>
          <w:szCs w:val="26"/>
        </w:rPr>
        <w:t>had been</w:t>
      </w:r>
      <w:r w:rsidRPr="00D662C3" w:rsidR="0029745F">
        <w:rPr>
          <w:szCs w:val="26"/>
        </w:rPr>
        <w:t xml:space="preserve"> visiting her and Gonzalez was “walking around nervous.”  He went outside</w:t>
      </w:r>
      <w:r w:rsidRPr="00D662C3" w:rsidR="00797A0C">
        <w:rPr>
          <w:szCs w:val="26"/>
        </w:rPr>
        <w:t>, retrieved a newspaper</w:t>
      </w:r>
      <w:r w:rsidRPr="00D662C3" w:rsidR="007E32EB">
        <w:rPr>
          <w:szCs w:val="26"/>
        </w:rPr>
        <w:t>,</w:t>
      </w:r>
      <w:r w:rsidRPr="00D662C3" w:rsidR="00797A0C">
        <w:rPr>
          <w:szCs w:val="26"/>
        </w:rPr>
        <w:t xml:space="preserve"> and started “flipping out.” </w:t>
      </w:r>
      <w:r w:rsidRPr="00D662C3" w:rsidR="0029745F">
        <w:rPr>
          <w:szCs w:val="26"/>
        </w:rPr>
        <w:t xml:space="preserve"> </w:t>
      </w:r>
      <w:r w:rsidRPr="00D662C3" w:rsidR="00797A0C">
        <w:rPr>
          <w:szCs w:val="26"/>
        </w:rPr>
        <w:t xml:space="preserve">There was a picture of Rosa on the front page of the paper.  Gonzalez then repeatedly stated, “this is her” and </w:t>
      </w:r>
      <w:r w:rsidRPr="00D662C3" w:rsidR="002B3CFB">
        <w:rPr>
          <w:szCs w:val="26"/>
        </w:rPr>
        <w:t>that</w:t>
      </w:r>
      <w:r w:rsidRPr="00D662C3">
        <w:rPr>
          <w:szCs w:val="26"/>
        </w:rPr>
        <w:t xml:space="preserve"> “it was a robbery that went wrong.”</w:t>
      </w:r>
      <w:r w:rsidRPr="00D662C3" w:rsidR="002B3CFB">
        <w:rPr>
          <w:szCs w:val="26"/>
        </w:rPr>
        <w:t xml:space="preserve">  </w:t>
      </w:r>
    </w:p>
    <w:p w:rsidR="008048BB" w:rsidRPr="00D662C3" w:rsidP="004F5DF7">
      <w:pPr>
        <w:ind w:firstLine="720"/>
        <w:rPr>
          <w:szCs w:val="26"/>
        </w:rPr>
      </w:pPr>
      <w:r w:rsidRPr="00D662C3">
        <w:rPr>
          <w:szCs w:val="26"/>
        </w:rPr>
        <w:t>Celina also testified that</w:t>
      </w:r>
      <w:r w:rsidRPr="00D662C3" w:rsidR="00797A0C">
        <w:rPr>
          <w:szCs w:val="26"/>
        </w:rPr>
        <w:t xml:space="preserve"> she </w:t>
      </w:r>
      <w:r w:rsidRPr="00D662C3" w:rsidR="009868A3">
        <w:rPr>
          <w:szCs w:val="26"/>
        </w:rPr>
        <w:t>told</w:t>
      </w:r>
      <w:r w:rsidRPr="00D662C3" w:rsidR="00797A0C">
        <w:rPr>
          <w:szCs w:val="26"/>
        </w:rPr>
        <w:t xml:space="preserve"> police </w:t>
      </w:r>
      <w:r w:rsidRPr="00D662C3">
        <w:rPr>
          <w:szCs w:val="26"/>
        </w:rPr>
        <w:t xml:space="preserve">Gonzalez </w:t>
      </w:r>
      <w:r w:rsidRPr="00D662C3" w:rsidR="00797A0C">
        <w:rPr>
          <w:szCs w:val="26"/>
        </w:rPr>
        <w:t xml:space="preserve">had said he thought he shot a female police officer.  He also </w:t>
      </w:r>
      <w:r w:rsidRPr="00D662C3" w:rsidR="009868A3">
        <w:rPr>
          <w:szCs w:val="26"/>
        </w:rPr>
        <w:t xml:space="preserve">stated </w:t>
      </w:r>
      <w:r w:rsidRPr="00D662C3" w:rsidR="00797A0C">
        <w:rPr>
          <w:szCs w:val="26"/>
        </w:rPr>
        <w:t>that the shooting</w:t>
      </w:r>
      <w:r w:rsidRPr="00D662C3">
        <w:rPr>
          <w:szCs w:val="26"/>
        </w:rPr>
        <w:t xml:space="preserve"> had occurred on “Eucalyptus” and that he approached the woman on his bicy</w:t>
      </w:r>
      <w:r w:rsidRPr="00D662C3" w:rsidR="00297A59">
        <w:rPr>
          <w:szCs w:val="26"/>
        </w:rPr>
        <w:t>c</w:t>
      </w:r>
      <w:r w:rsidRPr="00D662C3">
        <w:rPr>
          <w:szCs w:val="26"/>
        </w:rPr>
        <w:t>le</w:t>
      </w:r>
      <w:r w:rsidRPr="00D662C3" w:rsidR="00297A59">
        <w:rPr>
          <w:szCs w:val="26"/>
        </w:rPr>
        <w:t xml:space="preserve">.  He </w:t>
      </w:r>
      <w:r w:rsidRPr="00D662C3">
        <w:rPr>
          <w:szCs w:val="26"/>
        </w:rPr>
        <w:t>had tried to rob her because he needed money for drugs.</w:t>
      </w:r>
    </w:p>
    <w:p w:rsidR="00710BF5" w:rsidRPr="00D662C3" w:rsidP="004F5DF7">
      <w:pPr>
        <w:ind w:firstLine="720"/>
        <w:rPr>
          <w:szCs w:val="26"/>
        </w:rPr>
      </w:pPr>
      <w:r w:rsidRPr="00D662C3">
        <w:rPr>
          <w:szCs w:val="26"/>
        </w:rPr>
        <w:t>Gonzalez</w:t>
      </w:r>
      <w:r w:rsidRPr="00D662C3" w:rsidR="009868A3">
        <w:rPr>
          <w:szCs w:val="26"/>
        </w:rPr>
        <w:t xml:space="preserve"> did not present any evidence </w:t>
      </w:r>
      <w:r w:rsidRPr="00D662C3">
        <w:rPr>
          <w:szCs w:val="26"/>
        </w:rPr>
        <w:t>at the guilt stage.</w:t>
      </w:r>
    </w:p>
    <w:p w:rsidR="00197A1C" w:rsidRPr="00D662C3" w:rsidP="004F5DF7">
      <w:pPr>
        <w:pStyle w:val="ListParagraph"/>
        <w:numPr>
          <w:ilvl w:val="0"/>
          <w:numId w:val="3"/>
        </w:numPr>
        <w:rPr>
          <w:b/>
          <w:bCs/>
        </w:rPr>
      </w:pPr>
      <w:r w:rsidRPr="00D662C3">
        <w:rPr>
          <w:b/>
          <w:bCs/>
        </w:rPr>
        <w:t>Penalty Phase</w:t>
      </w:r>
    </w:p>
    <w:p w:rsidR="00EF08E0" w:rsidRPr="00D662C3" w:rsidP="004F5DF7">
      <w:pPr>
        <w:pStyle w:val="ListParagraph"/>
        <w:numPr>
          <w:ilvl w:val="0"/>
          <w:numId w:val="21"/>
        </w:numPr>
        <w:tabs>
          <w:tab w:val="left" w:pos="1440"/>
        </w:tabs>
        <w:ind w:left="1080"/>
        <w:rPr>
          <w:i/>
          <w:iCs/>
        </w:rPr>
      </w:pPr>
      <w:r w:rsidRPr="00D662C3">
        <w:rPr>
          <w:i/>
          <w:iCs/>
        </w:rPr>
        <w:t>Prosecution</w:t>
      </w:r>
      <w:r w:rsidRPr="00D662C3" w:rsidR="009868A3">
        <w:rPr>
          <w:i/>
          <w:iCs/>
        </w:rPr>
        <w:t>’s</w:t>
      </w:r>
      <w:r w:rsidRPr="00D662C3">
        <w:rPr>
          <w:i/>
          <w:iCs/>
        </w:rPr>
        <w:t xml:space="preserve"> </w:t>
      </w:r>
      <w:r w:rsidRPr="00D662C3" w:rsidR="00797A0C">
        <w:rPr>
          <w:i/>
          <w:iCs/>
        </w:rPr>
        <w:t>e</w:t>
      </w:r>
      <w:r w:rsidRPr="00D662C3">
        <w:rPr>
          <w:i/>
          <w:iCs/>
        </w:rPr>
        <w:t>vidence</w:t>
      </w:r>
    </w:p>
    <w:p w:rsidR="00EF08E0" w:rsidRPr="00D662C3" w:rsidP="004F5DF7">
      <w:r w:rsidRPr="00D662C3">
        <w:tab/>
      </w:r>
      <w:r w:rsidRPr="00D662C3" w:rsidR="00E2153A">
        <w:t>At the penalty phase, the prosecution presented evidence of a number of  robberies Gonzalez</w:t>
      </w:r>
      <w:r w:rsidRPr="00D662C3" w:rsidR="00371B1A">
        <w:t xml:space="preserve"> had</w:t>
      </w:r>
      <w:r w:rsidRPr="00D662C3" w:rsidR="00E2153A">
        <w:t xml:space="preserve"> allegedly committed in 1994.  A witness testified </w:t>
      </w:r>
      <w:r w:rsidRPr="00D662C3" w:rsidR="007121FC">
        <w:t>about</w:t>
      </w:r>
      <w:r w:rsidRPr="00D662C3" w:rsidR="00E2153A">
        <w:t xml:space="preserve"> an armed robbery</w:t>
      </w:r>
      <w:r w:rsidRPr="00D662C3" w:rsidR="003540FE">
        <w:t xml:space="preserve"> at a restaurant</w:t>
      </w:r>
      <w:r w:rsidRPr="00D662C3" w:rsidR="00E2153A">
        <w:t xml:space="preserve"> in Long Beach</w:t>
      </w:r>
      <w:r w:rsidRPr="00D662C3" w:rsidR="003540FE">
        <w:t xml:space="preserve"> during which a young Hispanic male </w:t>
      </w:r>
      <w:r w:rsidRPr="00D662C3" w:rsidR="007E32EB">
        <w:t xml:space="preserve">had </w:t>
      </w:r>
      <w:r w:rsidRPr="00D662C3" w:rsidR="003540FE">
        <w:t>pointed a firearm at her boyfriend and demanded his wallet</w:t>
      </w:r>
      <w:r w:rsidRPr="00D662C3" w:rsidR="00E2153A">
        <w:t xml:space="preserve">. Another witness testified that he and </w:t>
      </w:r>
      <w:r w:rsidRPr="00D662C3" w:rsidR="003540FE">
        <w:t>three</w:t>
      </w:r>
      <w:r w:rsidRPr="00D662C3" w:rsidR="00E2153A">
        <w:t xml:space="preserve"> </w:t>
      </w:r>
      <w:r w:rsidRPr="00D662C3" w:rsidR="003540FE">
        <w:t xml:space="preserve">others </w:t>
      </w:r>
      <w:r w:rsidRPr="00D662C3" w:rsidR="007E32EB">
        <w:t xml:space="preserve">had been </w:t>
      </w:r>
      <w:r w:rsidRPr="00D662C3" w:rsidR="003540FE">
        <w:t xml:space="preserve">in a parking lot located in Long Beach when </w:t>
      </w:r>
      <w:r w:rsidRPr="00D662C3" w:rsidR="00E2153A">
        <w:t xml:space="preserve">three individuals robbed them at gunpoint. </w:t>
      </w:r>
      <w:r w:rsidRPr="00D662C3" w:rsidR="003540FE">
        <w:t xml:space="preserve"> </w:t>
      </w:r>
      <w:r w:rsidRPr="00D662C3" w:rsidR="00E2153A">
        <w:t xml:space="preserve">A liquor store owner </w:t>
      </w:r>
      <w:r w:rsidRPr="00D662C3" w:rsidR="002F4841">
        <w:t>and his brother testified that they were robbed inside the</w:t>
      </w:r>
      <w:r w:rsidRPr="00D662C3" w:rsidR="00004CC6">
        <w:t>ir</w:t>
      </w:r>
      <w:r w:rsidRPr="00D662C3" w:rsidR="002F4841">
        <w:t xml:space="preserve"> store at gun point by</w:t>
      </w:r>
      <w:r w:rsidRPr="00D662C3" w:rsidR="003540FE">
        <w:t xml:space="preserve"> three individuals</w:t>
      </w:r>
      <w:r w:rsidRPr="00D662C3" w:rsidR="002F4841">
        <w:t>, one of whom fired a shotgun as he was fleeing</w:t>
      </w:r>
      <w:r w:rsidRPr="00D662C3" w:rsidR="00E2153A">
        <w:t>.  A man described being robbed at gunpoint</w:t>
      </w:r>
      <w:r w:rsidRPr="00D662C3" w:rsidR="002F4841">
        <w:t xml:space="preserve"> by three Latino men</w:t>
      </w:r>
      <w:r w:rsidRPr="00D662C3" w:rsidR="00E2153A">
        <w:t xml:space="preserve"> while wait</w:t>
      </w:r>
      <w:r w:rsidRPr="00D662C3" w:rsidR="002F4841">
        <w:t xml:space="preserve">ing </w:t>
      </w:r>
      <w:r w:rsidRPr="00D662C3" w:rsidR="00E2153A">
        <w:t>in his car</w:t>
      </w:r>
      <w:r w:rsidRPr="00D662C3" w:rsidR="002F4841">
        <w:t xml:space="preserve"> to use an ATM</w:t>
      </w:r>
      <w:r w:rsidRPr="00D662C3" w:rsidR="00E2153A">
        <w:t xml:space="preserve">.  Two Baskin Robbins employees described </w:t>
      </w:r>
      <w:r w:rsidRPr="00D662C3" w:rsidR="002F4841">
        <w:t>being robbed inside a Long Beach store by three armed men</w:t>
      </w:r>
      <w:r w:rsidRPr="00D662C3" w:rsidR="00E2153A">
        <w:t xml:space="preserve">. </w:t>
      </w:r>
      <w:r w:rsidR="00473FD9">
        <w:t xml:space="preserve"> </w:t>
      </w:r>
      <w:r w:rsidRPr="00D662C3" w:rsidR="00E2153A">
        <w:t>A police officer who</w:t>
      </w:r>
      <w:r w:rsidR="00473FD9">
        <w:t xml:space="preserve"> had</w:t>
      </w:r>
      <w:r w:rsidRPr="00D662C3" w:rsidR="00E2153A">
        <w:t xml:space="preserve"> investigated the string of robberies </w:t>
      </w:r>
      <w:r w:rsidRPr="00D662C3" w:rsidR="00CD0A3F">
        <w:t xml:space="preserve">testified that several of the victims had identified Gonzalez as the perpetrator.  A second investigating officer testified that </w:t>
      </w:r>
      <w:r w:rsidRPr="00D662C3" w:rsidR="00E2153A">
        <w:t>Gonzalez</w:t>
      </w:r>
      <w:r w:rsidRPr="00D662C3" w:rsidR="00CD0A3F">
        <w:t xml:space="preserve"> </w:t>
      </w:r>
      <w:r w:rsidRPr="00D662C3" w:rsidR="00E2153A">
        <w:t>admi</w:t>
      </w:r>
      <w:r w:rsidRPr="00D662C3" w:rsidR="00CD0A3F">
        <w:t>tted</w:t>
      </w:r>
      <w:r w:rsidRPr="00D662C3" w:rsidR="00E2153A">
        <w:t xml:space="preserve"> </w:t>
      </w:r>
      <w:r w:rsidRPr="00D662C3" w:rsidR="00CD0A3F">
        <w:t xml:space="preserve">he had committed the four </w:t>
      </w:r>
      <w:r w:rsidRPr="00D662C3" w:rsidR="00E2153A">
        <w:t>robberies</w:t>
      </w:r>
      <w:r w:rsidRPr="00D662C3" w:rsidR="00CD0A3F">
        <w:t xml:space="preserve"> and that he was “the one that usually holds the gun in the robbery.”  </w:t>
      </w:r>
      <w:r w:rsidRPr="00D662C3" w:rsidR="00E2153A">
        <w:t>A district attorney</w:t>
      </w:r>
      <w:r w:rsidRPr="00D662C3" w:rsidR="00C17093">
        <w:t>’s</w:t>
      </w:r>
      <w:r w:rsidRPr="00D662C3" w:rsidR="00E2153A">
        <w:t xml:space="preserve"> investigator described Gonzalez’s admission to additional robberies </w:t>
      </w:r>
      <w:r w:rsidRPr="00D662C3" w:rsidR="009868A3">
        <w:t xml:space="preserve">committed </w:t>
      </w:r>
      <w:r w:rsidRPr="00D662C3" w:rsidR="00E2153A">
        <w:t xml:space="preserve">during the same time period. </w:t>
      </w:r>
    </w:p>
    <w:p w:rsidR="00E555A5" w:rsidRPr="00D662C3" w:rsidP="004F5DF7">
      <w:r w:rsidRPr="00D662C3">
        <w:tab/>
        <w:t xml:space="preserve">The prosecution also presented evidence of violent crimes Gonzalez </w:t>
      </w:r>
      <w:r w:rsidRPr="00D662C3" w:rsidR="007121FC">
        <w:t xml:space="preserve">had </w:t>
      </w:r>
      <w:r w:rsidRPr="00D662C3">
        <w:t>allegedly committed in 2006.  A witness described a</w:t>
      </w:r>
      <w:r w:rsidRPr="00D662C3" w:rsidR="00371B1A">
        <w:t xml:space="preserve">n incident </w:t>
      </w:r>
      <w:r w:rsidRPr="00D662C3">
        <w:t>outside a restaurant in Downey</w:t>
      </w:r>
      <w:r w:rsidRPr="00D662C3" w:rsidR="00371B1A">
        <w:t xml:space="preserve"> </w:t>
      </w:r>
      <w:r w:rsidRPr="00D662C3" w:rsidR="00C17093">
        <w:t xml:space="preserve">in which </w:t>
      </w:r>
      <w:r w:rsidRPr="00D662C3" w:rsidR="00371B1A">
        <w:t xml:space="preserve">a </w:t>
      </w:r>
      <w:r w:rsidRPr="00D662C3" w:rsidR="00C17093">
        <w:t>person</w:t>
      </w:r>
      <w:r w:rsidRPr="00D662C3">
        <w:t xml:space="preserve"> </w:t>
      </w:r>
      <w:r w:rsidRPr="00D662C3" w:rsidR="00004CC6">
        <w:t xml:space="preserve">had </w:t>
      </w:r>
      <w:r w:rsidRPr="00D662C3">
        <w:t xml:space="preserve">fired </w:t>
      </w:r>
      <w:r w:rsidRPr="00D662C3" w:rsidR="00632117">
        <w:t>six or seven</w:t>
      </w:r>
      <w:r w:rsidRPr="00D662C3">
        <w:t xml:space="preserve"> </w:t>
      </w:r>
      <w:r w:rsidRPr="00D662C3" w:rsidR="00C17093">
        <w:t>gun</w:t>
      </w:r>
      <w:r w:rsidRPr="00D662C3">
        <w:t>shots in the direction of a vehicle</w:t>
      </w:r>
      <w:r w:rsidRPr="00D662C3" w:rsidR="00C17093">
        <w:t xml:space="preserve"> that was</w:t>
      </w:r>
      <w:r w:rsidRPr="00D662C3">
        <w:t xml:space="preserve"> driving away. </w:t>
      </w:r>
      <w:r w:rsidRPr="00D662C3" w:rsidR="00632117">
        <w:t xml:space="preserve"> </w:t>
      </w:r>
      <w:r w:rsidRPr="00D662C3">
        <w:t xml:space="preserve">Additional testimony </w:t>
      </w:r>
      <w:r w:rsidRPr="00D662C3" w:rsidR="00632117">
        <w:t xml:space="preserve">indicated that the person who was shot at was dating Rowan and that </w:t>
      </w:r>
      <w:r w:rsidRPr="00D662C3">
        <w:t xml:space="preserve">Gonzalez </w:t>
      </w:r>
      <w:r w:rsidRPr="00D662C3" w:rsidR="00632117">
        <w:t xml:space="preserve">had </w:t>
      </w:r>
      <w:r w:rsidRPr="00D662C3" w:rsidR="00004CC6">
        <w:t>coerced</w:t>
      </w:r>
      <w:r w:rsidRPr="00D662C3" w:rsidR="00632117">
        <w:t xml:space="preserve"> Rowan </w:t>
      </w:r>
      <w:r w:rsidRPr="00D662C3" w:rsidR="00004CC6">
        <w:t>in</w:t>
      </w:r>
      <w:r w:rsidRPr="00D662C3" w:rsidR="00632117">
        <w:t>to lur</w:t>
      </w:r>
      <w:r w:rsidRPr="00D662C3" w:rsidR="00004CC6">
        <w:t xml:space="preserve">ing </w:t>
      </w:r>
      <w:r w:rsidRPr="00D662C3" w:rsidR="00632117">
        <w:t xml:space="preserve">the man </w:t>
      </w:r>
      <w:r w:rsidRPr="00D662C3">
        <w:t xml:space="preserve">to the restaurant.  </w:t>
      </w:r>
    </w:p>
    <w:p w:rsidR="00E555A5" w:rsidRPr="00D662C3" w:rsidP="004F5DF7">
      <w:pPr>
        <w:ind w:firstLine="720"/>
      </w:pPr>
      <w:r w:rsidRPr="00D662C3">
        <w:t xml:space="preserve">Another witness described </w:t>
      </w:r>
      <w:r w:rsidRPr="00D662C3" w:rsidR="00C17093">
        <w:t xml:space="preserve">suffering </w:t>
      </w:r>
      <w:r w:rsidRPr="00D662C3" w:rsidR="009D1A85">
        <w:t>five</w:t>
      </w:r>
      <w:r w:rsidRPr="00D662C3" w:rsidR="00C17093">
        <w:t xml:space="preserve"> gunshot wounds during</w:t>
      </w:r>
      <w:r w:rsidRPr="00D662C3" w:rsidR="001F1BA1">
        <w:t xml:space="preserve"> </w:t>
      </w:r>
      <w:r w:rsidRPr="00D662C3">
        <w:t>a separate incident in Long Beach</w:t>
      </w:r>
      <w:r w:rsidRPr="00D662C3">
        <w:t>.</w:t>
      </w:r>
      <w:r w:rsidRPr="00D662C3">
        <w:t xml:space="preserve">  </w:t>
      </w:r>
      <w:r w:rsidRPr="00D662C3" w:rsidR="009D1A85">
        <w:t>The victim was sitting on his porch when two Hispanic men came around the corner</w:t>
      </w:r>
      <w:r w:rsidRPr="00D662C3" w:rsidR="00004CC6">
        <w:t>;</w:t>
      </w:r>
      <w:r w:rsidRPr="00D662C3" w:rsidR="009D1A85">
        <w:t xml:space="preserve"> one of them yelled “motherfucker this is BP</w:t>
      </w:r>
      <w:r w:rsidRPr="00D662C3" w:rsidR="00004CC6">
        <w:t>,</w:t>
      </w:r>
      <w:r w:rsidRPr="00D662C3" w:rsidR="009D1A85">
        <w:t>” a reference to “Barrio Pobre” street gang</w:t>
      </w:r>
      <w:r w:rsidR="00473FD9">
        <w:t>,</w:t>
      </w:r>
      <w:r w:rsidRPr="00D662C3" w:rsidR="00004CC6">
        <w:t xml:space="preserve"> and began shooting</w:t>
      </w:r>
      <w:r w:rsidRPr="00D662C3" w:rsidR="009D1A85">
        <w:t xml:space="preserve">.  </w:t>
      </w:r>
      <w:r w:rsidRPr="00D662C3">
        <w:t>An investigating</w:t>
      </w:r>
      <w:r w:rsidRPr="00D662C3">
        <w:t xml:space="preserve"> detective testified that the shooting was part of an ongoing gang </w:t>
      </w:r>
      <w:r w:rsidRPr="00D662C3" w:rsidR="00A77815">
        <w:t>dispute</w:t>
      </w:r>
      <w:r w:rsidRPr="00D662C3" w:rsidR="008F512A">
        <w:t>,</w:t>
      </w:r>
      <w:r w:rsidRPr="00D662C3">
        <w:t xml:space="preserve"> </w:t>
      </w:r>
      <w:r w:rsidRPr="00D662C3" w:rsidR="00A77815">
        <w:t xml:space="preserve">and </w:t>
      </w:r>
      <w:r w:rsidRPr="00D662C3">
        <w:t xml:space="preserve">that Gonzalez was a known member of </w:t>
      </w:r>
      <w:r w:rsidRPr="00D662C3" w:rsidR="009D1A85">
        <w:t>Barrio Pobre</w:t>
      </w:r>
      <w:r w:rsidRPr="00D662C3">
        <w:t xml:space="preserve">. </w:t>
      </w:r>
      <w:r w:rsidRPr="00D662C3" w:rsidR="00793021">
        <w:t xml:space="preserve"> </w:t>
      </w:r>
      <w:r w:rsidRPr="00D662C3">
        <w:t xml:space="preserve">A criminalist testified that shell casings from the Downey shooting, the Long Beach shooting, and a third shooting </w:t>
      </w:r>
      <w:r w:rsidRPr="00D662C3" w:rsidR="00532618">
        <w:t xml:space="preserve">had been fired from the same gun.   </w:t>
      </w:r>
    </w:p>
    <w:p w:rsidR="00F750C5" w:rsidRPr="00D662C3" w:rsidP="004F5DF7">
      <w:pPr>
        <w:ind w:firstLine="720"/>
      </w:pPr>
      <w:r w:rsidRPr="00D662C3">
        <w:t>A</w:t>
      </w:r>
      <w:r w:rsidRPr="00D662C3" w:rsidR="00E555A5">
        <w:t xml:space="preserve">n additional </w:t>
      </w:r>
      <w:r w:rsidRPr="00D662C3">
        <w:t xml:space="preserve">witness </w:t>
      </w:r>
      <w:r w:rsidRPr="00D662C3" w:rsidR="00C17093">
        <w:t xml:space="preserve">testified that </w:t>
      </w:r>
      <w:r w:rsidRPr="00D662C3">
        <w:t>Gonzalez had pointed a gun at him and t</w:t>
      </w:r>
      <w:r w:rsidR="007537F8">
        <w:t>aken</w:t>
      </w:r>
      <w:r w:rsidRPr="00D662C3">
        <w:t xml:space="preserve"> his keys </w:t>
      </w:r>
      <w:r w:rsidRPr="00D662C3" w:rsidR="007121FC">
        <w:t xml:space="preserve">during </w:t>
      </w:r>
      <w:r w:rsidRPr="00D662C3">
        <w:t xml:space="preserve">a carjacking. </w:t>
      </w:r>
      <w:r w:rsidR="007537F8">
        <w:t xml:space="preserve"> </w:t>
      </w:r>
      <w:r w:rsidRPr="00D662C3">
        <w:t xml:space="preserve">Rowan </w:t>
      </w:r>
      <w:r w:rsidR="00473FD9">
        <w:t>testified that Gonzalez had made</w:t>
      </w:r>
      <w:r w:rsidRPr="00D662C3">
        <w:t xml:space="preserve"> statements to her about stealing a car, which she had seen him drive</w:t>
      </w:r>
      <w:r w:rsidRPr="00D662C3" w:rsidR="006E1819">
        <w:t>.</w:t>
      </w:r>
      <w:r w:rsidRPr="00E073DD" w:rsidR="00E073DD">
        <w:t xml:space="preserve">  The statements that Gonzalez made </w:t>
      </w:r>
      <w:r w:rsidR="00473FD9">
        <w:t xml:space="preserve">to Rowan </w:t>
      </w:r>
      <w:r w:rsidRPr="00E073DD" w:rsidR="00E073DD">
        <w:t xml:space="preserve">about the car theft and the vehicle that </w:t>
      </w:r>
      <w:r w:rsidR="00473FD9">
        <w:t xml:space="preserve">she </w:t>
      </w:r>
      <w:r w:rsidRPr="00E073DD" w:rsidR="00E073DD">
        <w:t xml:space="preserve">had seen </w:t>
      </w:r>
      <w:r w:rsidR="00473FD9">
        <w:t xml:space="preserve">him </w:t>
      </w:r>
      <w:r w:rsidRPr="00E073DD" w:rsidR="00E073DD">
        <w:t>driving matched the victim’s description of the carjacking incident</w:t>
      </w:r>
      <w:r w:rsidR="00E073DD">
        <w:t>.</w:t>
      </w:r>
      <w:r w:rsidRPr="00E073DD" w:rsidR="00E073DD">
        <w:t xml:space="preserve"> </w:t>
      </w:r>
    </w:p>
    <w:p w:rsidR="00A006FC" w:rsidRPr="00D662C3" w:rsidP="004F5DF7">
      <w:r w:rsidRPr="00D662C3">
        <w:tab/>
        <w:t xml:space="preserve">The prosecution </w:t>
      </w:r>
      <w:r w:rsidRPr="00D662C3" w:rsidR="00922BF0">
        <w:t>presented</w:t>
      </w:r>
      <w:r w:rsidRPr="00D662C3">
        <w:t xml:space="preserve"> additional testimony about several incidents</w:t>
      </w:r>
      <w:r w:rsidRPr="00D662C3" w:rsidR="001F1BA1">
        <w:t xml:space="preserve"> that occurred</w:t>
      </w:r>
      <w:r w:rsidRPr="00D662C3">
        <w:t xml:space="preserve"> while Gonzalez was in</w:t>
      </w:r>
      <w:r w:rsidRPr="00D662C3" w:rsidR="005A0CE6">
        <w:t xml:space="preserve">carcerated </w:t>
      </w:r>
      <w:r w:rsidRPr="00D662C3">
        <w:t xml:space="preserve"> in 2007.  A deputy testified that when he was doing searches of inmates before they came to court, Gonzalez’s cell door was mistakenly left open</w:t>
      </w:r>
      <w:r w:rsidRPr="00D662C3" w:rsidR="008A0E20">
        <w:t>,</w:t>
      </w:r>
      <w:r w:rsidRPr="00D662C3">
        <w:t xml:space="preserve"> and he attacked the deputy. Another deputy described an incident where a new inmate shouted to Gonzalez that he wanted to attack a correctional officer, and Gonzalez shouted back that he would like to help “put another notch </w:t>
      </w:r>
      <w:r w:rsidRPr="00D662C3" w:rsidR="00793021">
        <w:t>o</w:t>
      </w:r>
      <w:r w:rsidRPr="00D662C3">
        <w:t xml:space="preserve">n my belt.”  </w:t>
      </w:r>
    </w:p>
    <w:p w:rsidR="00A006FC" w:rsidRPr="00D662C3" w:rsidP="004F5DF7">
      <w:r w:rsidRPr="00D662C3">
        <w:tab/>
      </w:r>
      <w:r w:rsidRPr="00D662C3" w:rsidR="00C14FFC">
        <w:t>T</w:t>
      </w:r>
      <w:r w:rsidRPr="00D662C3">
        <w:t>he prosecution</w:t>
      </w:r>
      <w:r w:rsidRPr="00D662C3" w:rsidR="00C14FFC">
        <w:t xml:space="preserve"> also</w:t>
      </w:r>
      <w:r w:rsidRPr="00D662C3">
        <w:t xml:space="preserve"> presented extensive victim impact evidence</w:t>
      </w:r>
      <w:r w:rsidRPr="00D662C3" w:rsidR="00C14FFC">
        <w:t xml:space="preserve"> that included testimony from several of Rosa’s friends and</w:t>
      </w:r>
      <w:r w:rsidRPr="00D662C3">
        <w:t xml:space="preserve"> colleagues.  </w:t>
      </w:r>
      <w:r w:rsidRPr="00D662C3" w:rsidR="005A0CE6">
        <w:t xml:space="preserve">An officer who worked with </w:t>
      </w:r>
      <w:r w:rsidRPr="00D662C3">
        <w:t xml:space="preserve">Rosa </w:t>
      </w:r>
      <w:r w:rsidRPr="00D662C3" w:rsidR="005A0CE6">
        <w:t xml:space="preserve">testified that  she was a caring person </w:t>
      </w:r>
      <w:r w:rsidRPr="00D662C3" w:rsidR="00C14FFC">
        <w:t>who took pride in her work</w:t>
      </w:r>
      <w:r w:rsidRPr="00D662C3" w:rsidR="00E555A5">
        <w:t xml:space="preserve">. </w:t>
      </w:r>
      <w:r w:rsidRPr="00D662C3">
        <w:t>Another</w:t>
      </w:r>
      <w:r w:rsidRPr="00D662C3" w:rsidR="00C14FFC">
        <w:t xml:space="preserve"> witness described an instance when</w:t>
      </w:r>
      <w:r w:rsidRPr="00D662C3">
        <w:t xml:space="preserve"> Rosa helped her after an accident as exemplary of Rosa’s willingness to help others.  </w:t>
      </w:r>
      <w:r w:rsidRPr="00D662C3" w:rsidR="00C14FFC">
        <w:t xml:space="preserve">Other friends and colleagues </w:t>
      </w:r>
      <w:r w:rsidRPr="00D662C3">
        <w:t xml:space="preserve">testified </w:t>
      </w:r>
      <w:r w:rsidRPr="00D662C3" w:rsidR="00C14FFC">
        <w:t xml:space="preserve">about </w:t>
      </w:r>
      <w:r w:rsidRPr="00D662C3">
        <w:t>Rosa’s dedication to her work, her bright</w:t>
      </w:r>
      <w:r w:rsidRPr="00D662C3" w:rsidR="00C14FFC">
        <w:t xml:space="preserve"> and kind</w:t>
      </w:r>
      <w:r w:rsidRPr="00D662C3">
        <w:t xml:space="preserve"> </w:t>
      </w:r>
      <w:r w:rsidRPr="00D662C3" w:rsidR="00C14FFC">
        <w:t>p</w:t>
      </w:r>
      <w:r w:rsidRPr="00D662C3">
        <w:t xml:space="preserve">ersonality, and the </w:t>
      </w:r>
      <w:r w:rsidRPr="00D662C3" w:rsidR="00C14FFC">
        <w:t>sense of loss</w:t>
      </w:r>
      <w:r w:rsidRPr="00D662C3" w:rsidR="00004CC6">
        <w:t xml:space="preserve"> they had felt</w:t>
      </w:r>
      <w:r w:rsidRPr="00D662C3" w:rsidR="00C14FFC">
        <w:t xml:space="preserve"> after </w:t>
      </w:r>
      <w:r w:rsidRPr="00D662C3">
        <w:t>Rosa’s</w:t>
      </w:r>
      <w:r w:rsidRPr="00D662C3" w:rsidR="00C14FFC">
        <w:t xml:space="preserve"> death.</w:t>
      </w:r>
      <w:r w:rsidRPr="00D662C3">
        <w:t xml:space="preserve">  </w:t>
      </w:r>
    </w:p>
    <w:p w:rsidR="00A006FC" w:rsidRPr="00D662C3" w:rsidP="004F5DF7">
      <w:r w:rsidRPr="00D662C3">
        <w:tab/>
        <w:t xml:space="preserve">The prosecution also presented two family members as witnesses. </w:t>
      </w:r>
      <w:r w:rsidRPr="00D662C3" w:rsidR="00C14FFC">
        <w:t xml:space="preserve"> </w:t>
      </w:r>
      <w:r w:rsidRPr="00D662C3" w:rsidR="005A0CE6">
        <w:t>Officer Martin, who was Rosa’s longtime partner, d</w:t>
      </w:r>
      <w:r w:rsidRPr="00D662C3">
        <w:t>escribed how they had met, their plans for adopting a child and Rosa’s early life in Mexico and then the United States.  She described</w:t>
      </w:r>
      <w:r w:rsidRPr="00D662C3" w:rsidR="00C14FFC">
        <w:t xml:space="preserve"> the effort Rosa had put in to </w:t>
      </w:r>
      <w:r w:rsidR="000A56F9">
        <w:t xml:space="preserve">get a college degree and to </w:t>
      </w:r>
      <w:r w:rsidRPr="00D662C3">
        <w:t xml:space="preserve">become a police officer.  </w:t>
      </w:r>
      <w:r w:rsidRPr="00D662C3" w:rsidR="005A0CE6">
        <w:t>S</w:t>
      </w:r>
      <w:r w:rsidRPr="00D662C3">
        <w:t xml:space="preserve">he </w:t>
      </w:r>
      <w:r w:rsidRPr="00D662C3" w:rsidR="005A0CE6">
        <w:t xml:space="preserve">also </w:t>
      </w:r>
      <w:r w:rsidRPr="00D662C3">
        <w:t xml:space="preserve">described her profound sense of loss when Rosa died. </w:t>
      </w:r>
      <w:r w:rsidR="00473FD9">
        <w:t xml:space="preserve"> </w:t>
      </w:r>
      <w:r w:rsidRPr="00D662C3" w:rsidR="005A0CE6">
        <w:t>R</w:t>
      </w:r>
      <w:r w:rsidRPr="00D662C3">
        <w:t xml:space="preserve">osa’s sister described their close sibling relationship and Rosa’s early life.  She also described a period of time when Rosa and </w:t>
      </w:r>
      <w:r w:rsidRPr="00D662C3" w:rsidR="005A0CE6">
        <w:t xml:space="preserve">Martin </w:t>
      </w:r>
      <w:r w:rsidRPr="00D662C3">
        <w:t>took care of the sister’s children so that the</w:t>
      </w:r>
      <w:r w:rsidRPr="00D662C3" w:rsidR="008A0E20">
        <w:t xml:space="preserve"> children</w:t>
      </w:r>
      <w:r w:rsidRPr="00D662C3">
        <w:t xml:space="preserve"> might have a better life. </w:t>
      </w:r>
    </w:p>
    <w:p w:rsidR="00A006FC" w:rsidRPr="00D662C3" w:rsidP="004F5DF7">
      <w:r w:rsidRPr="00D662C3">
        <w:tab/>
      </w:r>
      <w:r w:rsidRPr="00D662C3" w:rsidR="00A77815">
        <w:t xml:space="preserve">Finally, over </w:t>
      </w:r>
      <w:r w:rsidRPr="00D662C3" w:rsidR="005A0CE6">
        <w:t>a</w:t>
      </w:r>
      <w:r w:rsidRPr="00D662C3" w:rsidR="0054711B">
        <w:t>n objection from the</w:t>
      </w:r>
      <w:r w:rsidRPr="00D662C3" w:rsidR="005A0CE6">
        <w:t xml:space="preserve"> </w:t>
      </w:r>
      <w:r w:rsidRPr="00D662C3" w:rsidR="00A77815">
        <w:t>defense</w:t>
      </w:r>
      <w:r w:rsidRPr="00D662C3" w:rsidR="00FB3415">
        <w:t>, the</w:t>
      </w:r>
      <w:r w:rsidRPr="00D662C3">
        <w:t xml:space="preserve"> prosecution </w:t>
      </w:r>
      <w:r w:rsidR="00D665BD">
        <w:t>played</w:t>
      </w:r>
      <w:r w:rsidRPr="00D662C3">
        <w:t xml:space="preserve"> an eight-minute </w:t>
      </w:r>
      <w:r w:rsidRPr="00D662C3" w:rsidR="00E555A5">
        <w:t xml:space="preserve">victim impact </w:t>
      </w:r>
      <w:r w:rsidRPr="00D662C3">
        <w:t>video.</w:t>
      </w:r>
      <w:r w:rsidRPr="00D662C3" w:rsidR="00414C75">
        <w:t xml:space="preserve"> </w:t>
      </w:r>
      <w:r w:rsidRPr="00D662C3" w:rsidR="00793021">
        <w:t xml:space="preserve"> </w:t>
      </w:r>
      <w:r w:rsidRPr="00D662C3" w:rsidR="00710BF5">
        <w:t>T</w:t>
      </w:r>
      <w:r w:rsidRPr="00D662C3" w:rsidR="00FB3415">
        <w:t>he video</w:t>
      </w:r>
      <w:r w:rsidRPr="00D662C3" w:rsidR="00710BF5">
        <w:t xml:space="preserve"> included </w:t>
      </w:r>
      <w:r w:rsidRPr="00D662C3" w:rsidR="00414C75">
        <w:t xml:space="preserve"> emotional descriptions of Rosa by family, friends, and colleagues, some of whom had also testified.  At </w:t>
      </w:r>
      <w:r w:rsidR="00D665BD">
        <w:t>certain</w:t>
      </w:r>
      <w:r w:rsidRPr="00D662C3" w:rsidR="00710BF5">
        <w:t xml:space="preserve"> point</w:t>
      </w:r>
      <w:r w:rsidR="00D665BD">
        <w:t>s</w:t>
      </w:r>
      <w:r w:rsidRPr="00D662C3" w:rsidR="00710BF5">
        <w:t xml:space="preserve"> in the video, </w:t>
      </w:r>
      <w:r w:rsidRPr="00D662C3" w:rsidR="00414C75">
        <w:t>individuals</w:t>
      </w:r>
      <w:r w:rsidRPr="00D662C3" w:rsidR="00710BF5">
        <w:t xml:space="preserve"> were shown </w:t>
      </w:r>
      <w:r w:rsidRPr="00D662C3" w:rsidR="00414C75">
        <w:t>standing in a cemetery</w:t>
      </w:r>
      <w:r w:rsidRPr="00D662C3" w:rsidR="00710BF5">
        <w:t xml:space="preserve"> while</w:t>
      </w:r>
      <w:r w:rsidRPr="00D662C3" w:rsidR="00414C75">
        <w:t xml:space="preserve"> </w:t>
      </w:r>
      <w:r w:rsidR="00D665BD">
        <w:t xml:space="preserve">they </w:t>
      </w:r>
      <w:r w:rsidRPr="00D662C3" w:rsidR="00414C75">
        <w:t>describ</w:t>
      </w:r>
      <w:r w:rsidR="00D665BD">
        <w:t>ed</w:t>
      </w:r>
      <w:r w:rsidRPr="00D662C3" w:rsidR="00414C75">
        <w:t xml:space="preserve"> Rosa.  At other times, their description</w:t>
      </w:r>
      <w:r w:rsidRPr="00D662C3" w:rsidR="00A77815">
        <w:t>s</w:t>
      </w:r>
      <w:r w:rsidRPr="00D662C3" w:rsidR="00414C75">
        <w:t xml:space="preserve"> </w:t>
      </w:r>
      <w:r w:rsidRPr="00D662C3" w:rsidR="00A77815">
        <w:t xml:space="preserve">were played over </w:t>
      </w:r>
      <w:r w:rsidRPr="00D662C3" w:rsidR="00414C75">
        <w:t>photo montages of Rosa.  Soft music played in the background throughout.</w:t>
      </w:r>
    </w:p>
    <w:p w:rsidR="00EF08E0" w:rsidRPr="00D662C3" w:rsidP="004F5DF7">
      <w:pPr>
        <w:pStyle w:val="ListParagraph"/>
        <w:numPr>
          <w:ilvl w:val="0"/>
          <w:numId w:val="21"/>
        </w:numPr>
        <w:tabs>
          <w:tab w:val="left" w:pos="1440"/>
        </w:tabs>
        <w:ind w:left="1080"/>
        <w:rPr>
          <w:i/>
          <w:iCs/>
        </w:rPr>
      </w:pPr>
      <w:r w:rsidRPr="00D662C3">
        <w:rPr>
          <w:i/>
          <w:iCs/>
        </w:rPr>
        <w:t>Defense</w:t>
      </w:r>
      <w:r w:rsidRPr="00D662C3" w:rsidR="00991853">
        <w:rPr>
          <w:i/>
          <w:iCs/>
        </w:rPr>
        <w:t>’s</w:t>
      </w:r>
      <w:r w:rsidRPr="00D662C3">
        <w:rPr>
          <w:i/>
          <w:iCs/>
        </w:rPr>
        <w:t xml:space="preserve"> </w:t>
      </w:r>
      <w:r w:rsidRPr="00D662C3" w:rsidR="00E555A5">
        <w:rPr>
          <w:i/>
          <w:iCs/>
        </w:rPr>
        <w:t>e</w:t>
      </w:r>
      <w:r w:rsidRPr="00D662C3">
        <w:rPr>
          <w:i/>
          <w:iCs/>
        </w:rPr>
        <w:t>vidence</w:t>
      </w:r>
    </w:p>
    <w:p w:rsidR="00062EC4" w:rsidRPr="00D662C3" w:rsidP="004F5DF7">
      <w:pPr>
        <w:ind w:firstLine="720"/>
      </w:pPr>
      <w:r w:rsidRPr="00D662C3">
        <w:t xml:space="preserve">Gonzalez’s paternal aunt </w:t>
      </w:r>
      <w:r w:rsidRPr="00D662C3" w:rsidR="00710BF5">
        <w:t xml:space="preserve">testified that </w:t>
      </w:r>
      <w:r w:rsidRPr="00D662C3">
        <w:t>Gonzalez’s father had been in prison since Gonzalez was an infant and was currently incarcerated for murder.</w:t>
      </w:r>
      <w:r w:rsidRPr="00D662C3" w:rsidR="00710BF5">
        <w:t xml:space="preserve"> </w:t>
      </w:r>
      <w:r w:rsidRPr="00D662C3" w:rsidR="00E8044C">
        <w:t xml:space="preserve"> Two of her other brothers (Gonzalez’s uncles) </w:t>
      </w:r>
      <w:r w:rsidRPr="00D662C3" w:rsidR="00710BF5">
        <w:t>died in prison</w:t>
      </w:r>
      <w:r w:rsidRPr="00D662C3" w:rsidR="00E8044C">
        <w:t xml:space="preserve"> and a third was a gang member</w:t>
      </w:r>
      <w:r w:rsidRPr="00D662C3" w:rsidR="00710BF5">
        <w:t>.</w:t>
      </w:r>
      <w:r w:rsidRPr="00D662C3" w:rsidR="00E555A5">
        <w:t xml:space="preserve"> </w:t>
      </w:r>
      <w:r w:rsidRPr="00D662C3" w:rsidR="00E8044C">
        <w:t>When G</w:t>
      </w:r>
      <w:r w:rsidRPr="00D662C3">
        <w:t>onzalez</w:t>
      </w:r>
      <w:r w:rsidRPr="00D662C3" w:rsidR="00E8044C">
        <w:t xml:space="preserve"> was a child, his mother </w:t>
      </w:r>
      <w:r w:rsidRPr="00D662C3">
        <w:t xml:space="preserve">began a relationship with another man </w:t>
      </w:r>
      <w:r w:rsidRPr="00D662C3" w:rsidR="00E8044C">
        <w:t xml:space="preserve">who </w:t>
      </w:r>
      <w:r w:rsidRPr="00D662C3">
        <w:t xml:space="preserve">introduced her to heroin and </w:t>
      </w:r>
      <w:r w:rsidRPr="00D662C3" w:rsidR="00E8044C">
        <w:t xml:space="preserve">his mother eventually </w:t>
      </w:r>
      <w:r w:rsidRPr="00D662C3">
        <w:t xml:space="preserve">became </w:t>
      </w:r>
      <w:r w:rsidRPr="00D662C3" w:rsidR="00E8044C">
        <w:t xml:space="preserve">an </w:t>
      </w:r>
      <w:r w:rsidRPr="00D662C3">
        <w:t>addic</w:t>
      </w:r>
      <w:r w:rsidRPr="00D662C3" w:rsidR="00E8044C">
        <w:t>t</w:t>
      </w:r>
      <w:r w:rsidRPr="00D662C3">
        <w:t xml:space="preserve">. </w:t>
      </w:r>
      <w:r w:rsidRPr="00D662C3">
        <w:t xml:space="preserve"> </w:t>
      </w:r>
      <w:r w:rsidRPr="00D662C3" w:rsidR="00E8044C">
        <w:t xml:space="preserve">The aunt further testified that although she had not seen </w:t>
      </w:r>
      <w:r w:rsidRPr="00D662C3">
        <w:t>Gonzalez</w:t>
      </w:r>
      <w:r w:rsidRPr="00D662C3" w:rsidR="00E8044C">
        <w:t xml:space="preserve"> since he was a child, she loved </w:t>
      </w:r>
      <w:r w:rsidRPr="00D662C3" w:rsidR="004844D4">
        <w:t xml:space="preserve">him </w:t>
      </w:r>
      <w:r w:rsidRPr="00D662C3" w:rsidR="00E8044C">
        <w:t>and believe</w:t>
      </w:r>
      <w:r w:rsidRPr="00D662C3" w:rsidR="001A722D">
        <w:t>d</w:t>
      </w:r>
      <w:r w:rsidRPr="00D662C3" w:rsidR="00E8044C">
        <w:t xml:space="preserve"> he</w:t>
      </w:r>
      <w:r w:rsidRPr="00D662C3">
        <w:t xml:space="preserve"> was a </w:t>
      </w:r>
      <w:r w:rsidRPr="00D662C3" w:rsidR="001A722D">
        <w:t>“</w:t>
      </w:r>
      <w:r w:rsidRPr="00D662C3">
        <w:t>good kid.</w:t>
      </w:r>
      <w:r w:rsidRPr="00D662C3" w:rsidR="001A722D">
        <w:t>”</w:t>
      </w:r>
      <w:r w:rsidRPr="00D662C3">
        <w:t xml:space="preserve"> </w:t>
      </w:r>
      <w:r w:rsidRPr="00D662C3" w:rsidR="00793021">
        <w:t xml:space="preserve"> </w:t>
      </w:r>
      <w:r w:rsidRPr="00D662C3">
        <w:t xml:space="preserve">She </w:t>
      </w:r>
      <w:r w:rsidRPr="00D662C3" w:rsidR="00E8044C">
        <w:t xml:space="preserve">also </w:t>
      </w:r>
      <w:r w:rsidRPr="00D662C3">
        <w:t xml:space="preserve">showed a picture of Gonzalez’s three children.   </w:t>
      </w:r>
    </w:p>
    <w:p w:rsidR="00B36C78" w:rsidRPr="00D662C3" w:rsidP="004F5DF7">
      <w:pPr>
        <w:ind w:firstLine="720"/>
      </w:pPr>
      <w:r w:rsidRPr="00D662C3">
        <w:t xml:space="preserve">One of </w:t>
      </w:r>
      <w:r w:rsidRPr="00D662C3" w:rsidR="00FE7EBE">
        <w:t xml:space="preserve">Gonzalez’s </w:t>
      </w:r>
      <w:r w:rsidRPr="00D662C3" w:rsidR="00902789">
        <w:t>paternal uncle</w:t>
      </w:r>
      <w:r w:rsidRPr="00D662C3">
        <w:t>s</w:t>
      </w:r>
      <w:r w:rsidRPr="00D662C3" w:rsidR="00902789">
        <w:t xml:space="preserve"> described his criminal and family history.  </w:t>
      </w:r>
      <w:r w:rsidRPr="00D662C3">
        <w:t xml:space="preserve">The uncle </w:t>
      </w:r>
      <w:r w:rsidRPr="00D662C3" w:rsidR="00902789">
        <w:t xml:space="preserve">had gone to prison as an accessory to the murder Gonzalez’s father was incarcerated for. </w:t>
      </w:r>
      <w:r w:rsidRPr="00D662C3" w:rsidR="00793021">
        <w:t xml:space="preserve"> </w:t>
      </w:r>
      <w:r w:rsidRPr="00D662C3">
        <w:t>L</w:t>
      </w:r>
      <w:r w:rsidRPr="00D662C3" w:rsidR="00902789">
        <w:t xml:space="preserve">ike other members of the Gonzalez family, </w:t>
      </w:r>
      <w:r w:rsidRPr="00D662C3">
        <w:t xml:space="preserve">the uncle and Gonzalez’s father </w:t>
      </w:r>
      <w:r w:rsidRPr="00D662C3" w:rsidR="00902789">
        <w:t>were active gang members for many years.  The uncle saw Gonzalez recruited into a gang and was unable to stop it.</w:t>
      </w:r>
      <w:r w:rsidRPr="00D662C3" w:rsidR="00AD1E94">
        <w:t xml:space="preserve"> </w:t>
      </w:r>
      <w:r w:rsidRPr="00D662C3" w:rsidR="00902789">
        <w:t xml:space="preserve"> He believed that Gonzalez</w:t>
      </w:r>
      <w:r w:rsidRPr="00D662C3">
        <w:t xml:space="preserve"> had lacked a positive role model and that his </w:t>
      </w:r>
      <w:r w:rsidRPr="00D662C3" w:rsidR="00902789">
        <w:t>mother was indifferent to</w:t>
      </w:r>
      <w:r w:rsidRPr="00D662C3">
        <w:t xml:space="preserve"> whether</w:t>
      </w:r>
      <w:r w:rsidRPr="00D662C3" w:rsidR="00902789">
        <w:t xml:space="preserve"> her son spen</w:t>
      </w:r>
      <w:r w:rsidRPr="00D662C3">
        <w:t>t</w:t>
      </w:r>
      <w:r w:rsidRPr="00D662C3" w:rsidR="00902789">
        <w:t xml:space="preserve"> his childhood on the street. </w:t>
      </w:r>
    </w:p>
    <w:p w:rsidR="00902789" w:rsidRPr="00D662C3" w:rsidP="004F5DF7">
      <w:pPr>
        <w:ind w:firstLine="720"/>
      </w:pPr>
      <w:r w:rsidRPr="00D662C3">
        <w:t xml:space="preserve">Another paternal aunt testified that Gonzalez’s father had a drug problem </w:t>
      </w:r>
      <w:r w:rsidRPr="00D662C3" w:rsidR="00DA6F69">
        <w:t xml:space="preserve">that led to his incarceration </w:t>
      </w:r>
      <w:r w:rsidRPr="00D662C3">
        <w:t>when Gonzalez was three years old.  After Gonzalez’s father went to prison</w:t>
      </w:r>
      <w:r w:rsidRPr="00D662C3" w:rsidR="00E8044C">
        <w:t xml:space="preserve"> and his mother had started u</w:t>
      </w:r>
      <w:r w:rsidRPr="00D662C3" w:rsidR="00C01027">
        <w:t>sing heroin</w:t>
      </w:r>
      <w:r w:rsidRPr="00D662C3" w:rsidR="00E8044C">
        <w:t xml:space="preserve">, </w:t>
      </w:r>
      <w:r w:rsidRPr="00D662C3" w:rsidR="00C01027">
        <w:t xml:space="preserve">Gonzalez went to live with the aunt for about eight months and improved in school. </w:t>
      </w:r>
      <w:r w:rsidRPr="00D662C3" w:rsidR="00793021">
        <w:t xml:space="preserve"> </w:t>
      </w:r>
      <w:r w:rsidRPr="00D662C3" w:rsidR="00C76004">
        <w:t xml:space="preserve">But after that brief period, he returned to living with his mother in a roach-infested building controlled by gangs.  </w:t>
      </w:r>
      <w:r w:rsidRPr="00D662C3" w:rsidR="006D5381">
        <w:t>Gonzalez</w:t>
      </w:r>
      <w:r w:rsidRPr="00D662C3" w:rsidR="00C76004">
        <w:t xml:space="preserve"> was</w:t>
      </w:r>
      <w:r w:rsidRPr="00D662C3" w:rsidR="004844D4">
        <w:t xml:space="preserve"> </w:t>
      </w:r>
      <w:r w:rsidRPr="00D662C3" w:rsidR="00C76004">
        <w:t>sentenced to the California Youth Authority a few years after leaving his aunt’s care.  She told the jury that she did not want Gonzalez put to death, that she loved him</w:t>
      </w:r>
      <w:r w:rsidRPr="00D662C3" w:rsidR="00004CC6">
        <w:t>,</w:t>
      </w:r>
      <w:r w:rsidRPr="00D662C3" w:rsidR="00C76004">
        <w:t xml:space="preserve"> and that </w:t>
      </w:r>
      <w:r w:rsidRPr="00D662C3" w:rsidR="00DA6F69">
        <w:t xml:space="preserve">she felt </w:t>
      </w:r>
      <w:r w:rsidRPr="00D662C3" w:rsidR="00C76004">
        <w:t>he was a part of her.</w:t>
      </w:r>
    </w:p>
    <w:p w:rsidR="005D0B3D" w:rsidRPr="00D662C3" w:rsidP="004F5DF7">
      <w:pPr>
        <w:ind w:firstLine="720"/>
      </w:pPr>
      <w:r w:rsidRPr="00D662C3">
        <w:t xml:space="preserve">Gonzalez’s mother testified about her son’s upbringing.  His biological father had a drug problem but visited </w:t>
      </w:r>
      <w:r w:rsidRPr="00D662C3" w:rsidR="00FE353C">
        <w:t>Gonzalez</w:t>
      </w:r>
      <w:r w:rsidRPr="00D662C3" w:rsidR="00DA6F69">
        <w:t xml:space="preserve"> and seemed to love him</w:t>
      </w:r>
      <w:r w:rsidRPr="00D662C3" w:rsidR="00FE353C">
        <w:t xml:space="preserve">. </w:t>
      </w:r>
      <w:r w:rsidRPr="00D662C3" w:rsidR="00D30486">
        <w:t xml:space="preserve"> </w:t>
      </w:r>
      <w:r w:rsidRPr="00D662C3" w:rsidR="00FE353C">
        <w:t>She</w:t>
      </w:r>
      <w:r w:rsidRPr="00D662C3" w:rsidR="00E8044C">
        <w:t xml:space="preserve"> confirmed that she</w:t>
      </w:r>
      <w:r w:rsidRPr="00D662C3" w:rsidR="00FE353C">
        <w:t xml:space="preserve"> lived with another man after Gonzalez’s father went to prison</w:t>
      </w:r>
      <w:r w:rsidRPr="00D662C3" w:rsidR="00E8044C">
        <w:t xml:space="preserve"> and had started </w:t>
      </w:r>
      <w:r w:rsidRPr="00D662C3" w:rsidR="00DA6F69">
        <w:t xml:space="preserve">regularly </w:t>
      </w:r>
      <w:r w:rsidRPr="00D662C3" w:rsidR="00E8044C">
        <w:t xml:space="preserve">using </w:t>
      </w:r>
      <w:r w:rsidRPr="00D662C3" w:rsidR="00FE353C">
        <w:t>heroin</w:t>
      </w:r>
      <w:r w:rsidRPr="00D662C3" w:rsidR="00E8044C">
        <w:t xml:space="preserve"> with </w:t>
      </w:r>
      <w:r w:rsidRPr="00D662C3" w:rsidR="00A77815">
        <w:t>the</w:t>
      </w:r>
      <w:r w:rsidRPr="00D662C3" w:rsidR="00E8044C">
        <w:t xml:space="preserve"> man.</w:t>
      </w:r>
      <w:r w:rsidRPr="00D662C3" w:rsidR="00DA6F69">
        <w:t xml:space="preserve"> </w:t>
      </w:r>
      <w:r w:rsidRPr="00D662C3" w:rsidR="00FE353C">
        <w:t xml:space="preserve"> </w:t>
      </w:r>
      <w:r w:rsidRPr="00D662C3" w:rsidR="000A7B79">
        <w:t xml:space="preserve">The mother stated that </w:t>
      </w:r>
      <w:r w:rsidRPr="00D662C3" w:rsidR="00FE353C">
        <w:t xml:space="preserve">Gonzalez </w:t>
      </w:r>
      <w:r w:rsidRPr="00D662C3" w:rsidR="000A7B79">
        <w:t xml:space="preserve">had performed </w:t>
      </w:r>
      <w:r w:rsidRPr="00D662C3" w:rsidR="00FE353C">
        <w:t>well in school as a child but started getting in</w:t>
      </w:r>
      <w:r w:rsidRPr="00D662C3" w:rsidR="004844D4">
        <w:t>to</w:t>
      </w:r>
      <w:r w:rsidRPr="00D662C3" w:rsidR="00FE353C">
        <w:t xml:space="preserve"> trouble as a teenager</w:t>
      </w:r>
      <w:r w:rsidRPr="00D662C3" w:rsidR="004844D4">
        <w:t xml:space="preserve"> and </w:t>
      </w:r>
      <w:r w:rsidRPr="00D662C3" w:rsidR="00FE353C">
        <w:t>bec</w:t>
      </w:r>
      <w:r w:rsidRPr="00D662C3" w:rsidR="004844D4">
        <w:t xml:space="preserve">ame </w:t>
      </w:r>
      <w:r w:rsidRPr="00D662C3" w:rsidR="00FE353C">
        <w:t xml:space="preserve">an active gang member around </w:t>
      </w:r>
      <w:r w:rsidRPr="00D662C3" w:rsidR="00AD1E94">
        <w:t xml:space="preserve">the age of </w:t>
      </w:r>
      <w:r w:rsidRPr="00D662C3" w:rsidR="00FE353C">
        <w:t>12 or 13.  She told the jury that she loved her son</w:t>
      </w:r>
      <w:r w:rsidRPr="00D662C3" w:rsidR="00A77815">
        <w:t xml:space="preserve"> and </w:t>
      </w:r>
      <w:r w:rsidRPr="00D662C3" w:rsidR="00FE353C">
        <w:t xml:space="preserve">that </w:t>
      </w:r>
      <w:r w:rsidRPr="00D662C3" w:rsidR="00903554">
        <w:t>h</w:t>
      </w:r>
      <w:r w:rsidRPr="00D662C3" w:rsidR="00FE353C">
        <w:t>e was a good father and</w:t>
      </w:r>
      <w:r w:rsidRPr="00D662C3" w:rsidR="00DA6F69">
        <w:t xml:space="preserve"> </w:t>
      </w:r>
      <w:r w:rsidRPr="00D662C3" w:rsidR="00FE353C">
        <w:t xml:space="preserve">a good son. </w:t>
      </w:r>
    </w:p>
    <w:p w:rsidR="00FE353C" w:rsidRPr="00D662C3" w:rsidP="004F5DF7">
      <w:pPr>
        <w:ind w:firstLine="720"/>
      </w:pPr>
      <w:r w:rsidRPr="00D662C3">
        <w:t xml:space="preserve">Rowan described her history with Gonzalez and his drug problem.  They had </w:t>
      </w:r>
      <w:r w:rsidRPr="00D662C3" w:rsidR="00DA6F69">
        <w:t xml:space="preserve">raised </w:t>
      </w:r>
      <w:r w:rsidRPr="00D662C3">
        <w:t>three children</w:t>
      </w:r>
      <w:r w:rsidRPr="00D662C3" w:rsidR="0084322E">
        <w:t xml:space="preserve"> together</w:t>
      </w:r>
      <w:r w:rsidRPr="00D662C3">
        <w:t xml:space="preserve">, </w:t>
      </w:r>
      <w:r w:rsidRPr="00D662C3" w:rsidR="004844D4">
        <w:t xml:space="preserve">which included two children </w:t>
      </w:r>
      <w:r w:rsidRPr="00D662C3">
        <w:t xml:space="preserve">he </w:t>
      </w:r>
      <w:r w:rsidRPr="00D662C3" w:rsidR="004844D4">
        <w:t xml:space="preserve">had fathered </w:t>
      </w:r>
      <w:r w:rsidRPr="00D662C3">
        <w:t>and a third</w:t>
      </w:r>
      <w:r w:rsidRPr="00D662C3" w:rsidR="004844D4">
        <w:t xml:space="preserve"> child</w:t>
      </w:r>
      <w:r w:rsidRPr="00D662C3">
        <w:t xml:space="preserve"> </w:t>
      </w:r>
      <w:r w:rsidRPr="00D662C3" w:rsidR="004844D4">
        <w:t>who had a different</w:t>
      </w:r>
      <w:r w:rsidRPr="00D662C3">
        <w:t xml:space="preserve"> father</w:t>
      </w:r>
      <w:r w:rsidRPr="00D662C3" w:rsidR="00DA6F69">
        <w:t>;</w:t>
      </w:r>
      <w:r w:rsidRPr="00D662C3">
        <w:t xml:space="preserve"> Gonzalez treated </w:t>
      </w:r>
      <w:r w:rsidRPr="00D662C3" w:rsidR="000A7B79">
        <w:t>all</w:t>
      </w:r>
      <w:r w:rsidRPr="00D662C3" w:rsidR="004844D4">
        <w:t xml:space="preserve"> three of</w:t>
      </w:r>
      <w:r w:rsidRPr="00D662C3" w:rsidR="000A7B79">
        <w:t xml:space="preserve"> </w:t>
      </w:r>
      <w:r w:rsidRPr="00D662C3">
        <w:t>the</w:t>
      </w:r>
      <w:r w:rsidRPr="00D662C3" w:rsidR="004844D4">
        <w:t xml:space="preserve"> children</w:t>
      </w:r>
      <w:r w:rsidRPr="00D662C3">
        <w:t xml:space="preserve"> well.</w:t>
      </w:r>
      <w:r w:rsidRPr="00D662C3" w:rsidR="00D30486">
        <w:t xml:space="preserve"> </w:t>
      </w:r>
      <w:r w:rsidRPr="00D662C3">
        <w:t xml:space="preserve"> </w:t>
      </w:r>
      <w:r w:rsidRPr="00D662C3" w:rsidR="00DA6F69">
        <w:t>Rowan</w:t>
      </w:r>
      <w:r w:rsidR="00D665BD">
        <w:t xml:space="preserve"> explained that </w:t>
      </w:r>
      <w:r w:rsidRPr="00D662C3" w:rsidR="00D665BD">
        <w:t xml:space="preserve">after </w:t>
      </w:r>
      <w:r w:rsidR="00D665BD">
        <w:t xml:space="preserve">Gonzalez </w:t>
      </w:r>
      <w:r w:rsidRPr="00D662C3" w:rsidR="00D665BD">
        <w:t xml:space="preserve">was released from the California Youth Authority </w:t>
      </w:r>
      <w:r w:rsidR="00D665BD">
        <w:t>he</w:t>
      </w:r>
      <w:r w:rsidRPr="00D662C3">
        <w:t xml:space="preserve"> did not know how to get a job </w:t>
      </w:r>
      <w:r w:rsidRPr="00D662C3" w:rsidR="00BC0A02">
        <w:t>or</w:t>
      </w:r>
      <w:r w:rsidR="00D665BD">
        <w:t xml:space="preserve"> how to</w:t>
      </w:r>
      <w:r w:rsidRPr="00D662C3" w:rsidR="00BC0A02">
        <w:t xml:space="preserve"> get around on his own</w:t>
      </w:r>
      <w:r w:rsidRPr="00D662C3">
        <w:t xml:space="preserve">. </w:t>
      </w:r>
      <w:r w:rsidRPr="00D662C3" w:rsidR="00D30486">
        <w:t xml:space="preserve"> </w:t>
      </w:r>
      <w:r w:rsidRPr="00D662C3">
        <w:t xml:space="preserve">He had a serious drug problem that he supported </w:t>
      </w:r>
      <w:r w:rsidRPr="00D662C3" w:rsidR="00DA6F69">
        <w:t xml:space="preserve">through occasional jobs and </w:t>
      </w:r>
      <w:r w:rsidRPr="00D662C3">
        <w:t>by committing crimes.</w:t>
      </w:r>
      <w:r w:rsidRPr="00D662C3" w:rsidR="00DA6F69">
        <w:t xml:space="preserve"> </w:t>
      </w:r>
      <w:r w:rsidRPr="00D662C3" w:rsidR="000A7B79">
        <w:t xml:space="preserve"> On cross-examination, </w:t>
      </w:r>
      <w:r w:rsidRPr="00D662C3" w:rsidR="00DA6F69">
        <w:t xml:space="preserve">Rowan </w:t>
      </w:r>
      <w:r w:rsidRPr="00D662C3" w:rsidR="000A7B79">
        <w:t xml:space="preserve">admitted Gonzalez was often violent with her and stole purses as a means of supporting himself. </w:t>
      </w:r>
    </w:p>
    <w:p w:rsidR="00003971" w:rsidP="00003971">
      <w:pPr>
        <w:ind w:firstLine="720"/>
      </w:pPr>
      <w:r w:rsidRPr="00D662C3">
        <w:t>Gonzalez’s father testified that he had not seen his son since he went to prison when Gonzalez was three</w:t>
      </w:r>
      <w:r w:rsidRPr="00D662C3" w:rsidR="00AD1E94">
        <w:t xml:space="preserve"> years old</w:t>
      </w:r>
      <w:r w:rsidRPr="00D662C3">
        <w:t xml:space="preserve">. </w:t>
      </w:r>
      <w:r w:rsidRPr="00D662C3" w:rsidR="00DA6F69">
        <w:t xml:space="preserve"> </w:t>
      </w:r>
      <w:r w:rsidRPr="00D662C3" w:rsidR="00AD1E94">
        <w:t>Gonzalez’s</w:t>
      </w:r>
      <w:r w:rsidRPr="00D662C3" w:rsidR="00903554">
        <w:t xml:space="preserve"> father</w:t>
      </w:r>
      <w:r w:rsidRPr="00D662C3">
        <w:t xml:space="preserve"> had gone to the </w:t>
      </w:r>
      <w:r w:rsidRPr="00D662C3" w:rsidR="00ED6369">
        <w:t xml:space="preserve">California </w:t>
      </w:r>
      <w:r w:rsidRPr="00D662C3">
        <w:t xml:space="preserve">Youth Authority for armed robbery at </w:t>
      </w:r>
      <w:r w:rsidRPr="00D662C3" w:rsidR="00AD1E94">
        <w:t>the age of 17</w:t>
      </w:r>
      <w:r w:rsidRPr="00D662C3">
        <w:t>, had a drug problem</w:t>
      </w:r>
      <w:r w:rsidRPr="00D662C3" w:rsidR="00DA6F69">
        <w:t xml:space="preserve"> </w:t>
      </w:r>
      <w:r w:rsidRPr="00D662C3">
        <w:t xml:space="preserve">and was involved in gangs.  He had communicated occasionally with Gonzalez by mail but was never in a position to provide paternal guidance. </w:t>
      </w:r>
    </w:p>
    <w:p w:rsidR="00003971">
      <w:pPr>
        <w:spacing w:after="0" w:line="240" w:lineRule="auto"/>
        <w:jc w:val="left"/>
      </w:pPr>
      <w:r>
        <w:br w:type="page"/>
      </w:r>
    </w:p>
    <w:p w:rsidR="00197A1C" w:rsidRPr="00D662C3" w:rsidP="004F5DF7">
      <w:pPr>
        <w:pStyle w:val="ListParagraph"/>
        <w:numPr>
          <w:ilvl w:val="0"/>
          <w:numId w:val="2"/>
        </w:numPr>
        <w:tabs>
          <w:tab w:val="left" w:pos="1440"/>
        </w:tabs>
        <w:jc w:val="center"/>
        <w:rPr>
          <w:b/>
          <w:bCs/>
          <w:smallCaps/>
        </w:rPr>
      </w:pPr>
      <w:r w:rsidRPr="00D662C3">
        <w:rPr>
          <w:b/>
          <w:bCs/>
          <w:smallCaps/>
        </w:rPr>
        <w:t>Discussion</w:t>
      </w:r>
    </w:p>
    <w:p w:rsidR="00F67702" w:rsidRPr="00D662C3" w:rsidP="004F5DF7">
      <w:pPr>
        <w:pStyle w:val="ListParagraph"/>
        <w:numPr>
          <w:ilvl w:val="0"/>
          <w:numId w:val="5"/>
        </w:numPr>
        <w:tabs>
          <w:tab w:val="left" w:pos="1440"/>
        </w:tabs>
        <w:rPr>
          <w:b/>
          <w:bCs/>
          <w:smallCaps/>
        </w:rPr>
      </w:pPr>
      <w:r w:rsidRPr="00D662C3">
        <w:rPr>
          <w:b/>
          <w:bCs/>
        </w:rPr>
        <w:t>Guilt Phase Issues</w:t>
      </w:r>
    </w:p>
    <w:p w:rsidR="008C211E" w:rsidRPr="00D662C3" w:rsidP="004F5DF7">
      <w:pPr>
        <w:pStyle w:val="ListParagraph"/>
        <w:numPr>
          <w:ilvl w:val="0"/>
          <w:numId w:val="7"/>
        </w:numPr>
        <w:tabs>
          <w:tab w:val="left" w:pos="1440"/>
        </w:tabs>
        <w:rPr>
          <w:i/>
          <w:iCs/>
          <w:smallCaps/>
        </w:rPr>
      </w:pPr>
      <w:r w:rsidRPr="00D662C3">
        <w:rPr>
          <w:i/>
          <w:iCs/>
        </w:rPr>
        <w:t xml:space="preserve">Sufficient evidence supports the </w:t>
      </w:r>
      <w:r w:rsidRPr="00D662C3" w:rsidR="00DA6F69">
        <w:rPr>
          <w:i/>
          <w:iCs/>
        </w:rPr>
        <w:t>a</w:t>
      </w:r>
      <w:r w:rsidRPr="00D662C3">
        <w:rPr>
          <w:i/>
          <w:iCs/>
        </w:rPr>
        <w:t xml:space="preserve">ttempted </w:t>
      </w:r>
      <w:r w:rsidRPr="00D662C3" w:rsidR="001F1BA1">
        <w:rPr>
          <w:i/>
          <w:iCs/>
        </w:rPr>
        <w:t>r</w:t>
      </w:r>
      <w:r w:rsidRPr="00D662C3">
        <w:rPr>
          <w:i/>
          <w:iCs/>
        </w:rPr>
        <w:t>obbery</w:t>
      </w:r>
      <w:r w:rsidRPr="00D662C3" w:rsidR="00304C11">
        <w:rPr>
          <w:i/>
          <w:iCs/>
        </w:rPr>
        <w:t xml:space="preserve"> conviction</w:t>
      </w:r>
      <w:r w:rsidRPr="00D662C3">
        <w:rPr>
          <w:i/>
          <w:iCs/>
        </w:rPr>
        <w:t xml:space="preserve"> </w:t>
      </w:r>
    </w:p>
    <w:p w:rsidR="00C52922" w:rsidRPr="00D662C3" w:rsidP="004F5DF7">
      <w:pPr>
        <w:ind w:firstLine="720"/>
        <w:rPr>
          <w:szCs w:val="26"/>
        </w:rPr>
      </w:pPr>
      <w:r w:rsidRPr="00D662C3">
        <w:rPr>
          <w:szCs w:val="26"/>
        </w:rPr>
        <w:t xml:space="preserve">Gonzalez argues that </w:t>
      </w:r>
      <w:r w:rsidRPr="00D662C3">
        <w:rPr>
          <w:szCs w:val="26"/>
        </w:rPr>
        <w:t xml:space="preserve">his conviction for attempted robbery must be overturned </w:t>
      </w:r>
      <w:r w:rsidRPr="00D662C3" w:rsidR="00394717">
        <w:rPr>
          <w:szCs w:val="26"/>
        </w:rPr>
        <w:t>because there was insufficient evidence</w:t>
      </w:r>
      <w:r w:rsidRPr="00D662C3" w:rsidR="00304C11">
        <w:rPr>
          <w:szCs w:val="26"/>
        </w:rPr>
        <w:t xml:space="preserve"> apart from his own out-of-court statements</w:t>
      </w:r>
      <w:r w:rsidRPr="00D662C3" w:rsidR="00394717">
        <w:rPr>
          <w:szCs w:val="26"/>
        </w:rPr>
        <w:t xml:space="preserve"> to satisfy </w:t>
      </w:r>
      <w:r w:rsidRPr="00D662C3">
        <w:rPr>
          <w:szCs w:val="26"/>
        </w:rPr>
        <w:t xml:space="preserve">the corpus delicti rule. </w:t>
      </w:r>
      <w:r w:rsidRPr="00D662C3" w:rsidR="00D30486">
        <w:rPr>
          <w:szCs w:val="26"/>
        </w:rPr>
        <w:t xml:space="preserve"> </w:t>
      </w:r>
      <w:r w:rsidRPr="00D662C3">
        <w:rPr>
          <w:szCs w:val="26"/>
        </w:rPr>
        <w:t xml:space="preserve">This rule, which “has [its] roots in the common law” </w:t>
      </w:r>
      <w:bookmarkStart w:id="6" w:name="_Hlk86158635"/>
      <w:r w:rsidRPr="00D662C3">
        <w:rPr>
          <w:szCs w:val="26"/>
        </w:rPr>
        <w:t>(</w:t>
      </w:r>
      <w:r w:rsidRPr="00D662C3">
        <w:rPr>
          <w:i/>
          <w:iCs/>
          <w:szCs w:val="26"/>
        </w:rPr>
        <w:t xml:space="preserve">People v. Alvarez </w:t>
      </w:r>
      <w:r w:rsidRPr="00D662C3">
        <w:rPr>
          <w:szCs w:val="26"/>
        </w:rPr>
        <w:t>(2002) 27 Cal.4th 1161, 1169</w:t>
      </w:r>
      <w:r w:rsidRPr="00D662C3" w:rsidR="00394717">
        <w:rPr>
          <w:szCs w:val="26"/>
        </w:rPr>
        <w:t xml:space="preserve"> (</w:t>
      </w:r>
      <w:r w:rsidRPr="00D662C3" w:rsidR="00394717">
        <w:rPr>
          <w:i/>
          <w:iCs/>
          <w:szCs w:val="26"/>
        </w:rPr>
        <w:t>Alvarez</w:t>
      </w:r>
      <w:r w:rsidRPr="00D662C3" w:rsidR="00394717">
        <w:rPr>
          <w:szCs w:val="26"/>
        </w:rPr>
        <w:t>)</w:t>
      </w:r>
      <w:r w:rsidRPr="00D662C3">
        <w:rPr>
          <w:szCs w:val="26"/>
        </w:rPr>
        <w:t xml:space="preserve">), </w:t>
      </w:r>
      <w:bookmarkEnd w:id="6"/>
      <w:r w:rsidRPr="00D662C3">
        <w:rPr>
          <w:szCs w:val="26"/>
        </w:rPr>
        <w:t xml:space="preserve">precludes “convictions for criminal conduct not proven except by the uncorroborated extrajudicial statements of the accused. </w:t>
      </w:r>
      <w:r w:rsidRPr="00D662C3" w:rsidR="00394717">
        <w:rPr>
          <w:szCs w:val="26"/>
        </w:rPr>
        <w:t xml:space="preserve"> </w:t>
      </w:r>
      <w:r w:rsidRPr="00D662C3">
        <w:rPr>
          <w:szCs w:val="26"/>
        </w:rPr>
        <w:t>[Citations.]  [It] is intended to ensure that one will not be falsely convicted, by his or her untested words alone, of a crime that never happened.”  (</w:t>
      </w:r>
      <w:r w:rsidRPr="00D662C3">
        <w:rPr>
          <w:i/>
          <w:iCs/>
          <w:szCs w:val="26"/>
        </w:rPr>
        <w:t>Ibid</w:t>
      </w:r>
      <w:r w:rsidRPr="00D662C3">
        <w:rPr>
          <w:szCs w:val="26"/>
        </w:rPr>
        <w:t>.</w:t>
      </w:r>
      <w:r w:rsidRPr="00D662C3" w:rsidR="00ED6369">
        <w:rPr>
          <w:szCs w:val="26"/>
        </w:rPr>
        <w:t>, fn. omitted</w:t>
      </w:r>
      <w:r w:rsidRPr="00D662C3" w:rsidR="001A722D">
        <w:rPr>
          <w:szCs w:val="26"/>
        </w:rPr>
        <w:t>.</w:t>
      </w:r>
      <w:r w:rsidRPr="00D662C3">
        <w:rPr>
          <w:szCs w:val="26"/>
        </w:rPr>
        <w:t xml:space="preserve">)  “ ‘The amount of independent proof of a crime required [to satisfy the corpus delicti rule] is quite small.’  [Citation.]  The prosecution need not adduce ‘independent evidence of every physical act constituting an element of an offense.’ </w:t>
      </w:r>
      <w:r w:rsidRPr="00D662C3" w:rsidR="00A77815">
        <w:rPr>
          <w:szCs w:val="26"/>
        </w:rPr>
        <w:t xml:space="preserve"> </w:t>
      </w:r>
      <w:r w:rsidRPr="00D662C3">
        <w:rPr>
          <w:szCs w:val="26"/>
        </w:rPr>
        <w:t>[Citation.]  Instead, it need only make ‘some indication that the charged crime actually happened,’ so as to ensure ‘that the accused is not admitting to a crime that never occurred.’ ”  (</w:t>
      </w:r>
      <w:r w:rsidRPr="00D662C3">
        <w:rPr>
          <w:i/>
          <w:iCs/>
          <w:szCs w:val="26"/>
        </w:rPr>
        <w:t>People v. Krebs</w:t>
      </w:r>
      <w:r w:rsidRPr="00D662C3">
        <w:rPr>
          <w:szCs w:val="26"/>
        </w:rPr>
        <w:t xml:space="preserve"> (2019) 8 Cal.5th 265, 317</w:t>
      </w:r>
      <w:r w:rsidRPr="00D662C3" w:rsidR="001A722D">
        <w:rPr>
          <w:szCs w:val="26"/>
        </w:rPr>
        <w:t xml:space="preserve"> (</w:t>
      </w:r>
      <w:r w:rsidRPr="00D662C3" w:rsidR="001A722D">
        <w:rPr>
          <w:i/>
          <w:iCs/>
          <w:szCs w:val="26"/>
        </w:rPr>
        <w:t>Krebs</w:t>
      </w:r>
      <w:r w:rsidRPr="00D662C3" w:rsidR="001A722D">
        <w:rPr>
          <w:szCs w:val="26"/>
        </w:rPr>
        <w:t>)</w:t>
      </w:r>
      <w:r w:rsidRPr="00D662C3">
        <w:rPr>
          <w:szCs w:val="26"/>
        </w:rPr>
        <w:t>.) “The independent proof may be circumstantial and need not be beyond a reasonable doubt, but is sufficient if it permits an inference of criminal conduct, even if a noncriminal explanation is also plausible.</w:t>
      </w:r>
      <w:r w:rsidRPr="00D662C3" w:rsidR="00B234EA">
        <w:rPr>
          <w:szCs w:val="26"/>
        </w:rPr>
        <w:t xml:space="preserve">” </w:t>
      </w:r>
      <w:r w:rsidRPr="00D662C3">
        <w:rPr>
          <w:szCs w:val="26"/>
        </w:rPr>
        <w:t xml:space="preserve"> (</w:t>
      </w:r>
      <w:r w:rsidRPr="00D662C3">
        <w:rPr>
          <w:i/>
          <w:iCs/>
          <w:szCs w:val="26"/>
        </w:rPr>
        <w:t xml:space="preserve">Alvarez, </w:t>
      </w:r>
      <w:r w:rsidRPr="00D662C3">
        <w:rPr>
          <w:szCs w:val="26"/>
        </w:rPr>
        <w:t>at p. 1171.)</w:t>
      </w:r>
      <w:r w:rsidR="0007776E">
        <w:rPr>
          <w:szCs w:val="26"/>
        </w:rPr>
        <w:t xml:space="preserve">  </w:t>
      </w:r>
      <w:r w:rsidRPr="00C44BE2" w:rsidR="0007776E">
        <w:rPr>
          <w:szCs w:val="26"/>
        </w:rPr>
        <w:t xml:space="preserve">We have previously applied the corpus delicti rule to inchoate crimes such as attempted robbery. </w:t>
      </w:r>
      <w:r w:rsidR="0007776E">
        <w:rPr>
          <w:szCs w:val="26"/>
        </w:rPr>
        <w:t xml:space="preserve"> </w:t>
      </w:r>
      <w:r w:rsidRPr="00C44BE2" w:rsidR="0007776E">
        <w:rPr>
          <w:szCs w:val="26"/>
        </w:rPr>
        <w:t xml:space="preserve">(See </w:t>
      </w:r>
      <w:r w:rsidRPr="00ED7CA5" w:rsidR="0007776E">
        <w:rPr>
          <w:i/>
          <w:iCs/>
          <w:szCs w:val="26"/>
        </w:rPr>
        <w:t>People v. Ray</w:t>
      </w:r>
      <w:r w:rsidRPr="00C44BE2" w:rsidR="0007776E">
        <w:rPr>
          <w:szCs w:val="26"/>
        </w:rPr>
        <w:t xml:space="preserve"> (1996) 13 Cal.4th 313, 342</w:t>
      </w:r>
      <w:r w:rsidR="0007776E">
        <w:rPr>
          <w:szCs w:val="26"/>
        </w:rPr>
        <w:t xml:space="preserve"> (</w:t>
      </w:r>
      <w:r w:rsidRPr="00ED7CA5" w:rsidR="0007776E">
        <w:rPr>
          <w:i/>
          <w:iCs/>
          <w:szCs w:val="26"/>
        </w:rPr>
        <w:t>Ray</w:t>
      </w:r>
      <w:r w:rsidRPr="00D662C3" w:rsidR="0007776E">
        <w:rPr>
          <w:rStyle w:val="FootnoteReference"/>
          <w:szCs w:val="26"/>
        </w:rPr>
        <w:t xml:space="preserve"> </w:t>
      </w:r>
      <w:r w:rsidR="0007776E">
        <w:rPr>
          <w:szCs w:val="26"/>
        </w:rPr>
        <w:t>).)</w:t>
      </w:r>
      <w:r>
        <w:rPr>
          <w:rStyle w:val="FootnoteReference"/>
          <w:szCs w:val="26"/>
        </w:rPr>
        <w:footnoteReference w:id="5"/>
      </w:r>
      <w:r w:rsidRPr="00D662C3" w:rsidR="00466DB5">
        <w:rPr>
          <w:szCs w:val="26"/>
        </w:rPr>
        <w:t xml:space="preserve"> </w:t>
      </w:r>
      <w:r w:rsidRPr="00D662C3">
        <w:rPr>
          <w:szCs w:val="26"/>
        </w:rPr>
        <w:t xml:space="preserve"> </w:t>
      </w:r>
    </w:p>
    <w:p w:rsidR="00C52922" w:rsidRPr="00D662C3" w:rsidP="004F5DF7">
      <w:pPr>
        <w:ind w:firstLine="720"/>
        <w:rPr>
          <w:szCs w:val="26"/>
        </w:rPr>
      </w:pPr>
      <w:r w:rsidRPr="00D662C3">
        <w:rPr>
          <w:szCs w:val="26"/>
        </w:rPr>
        <w:t xml:space="preserve">Gonzalez contends that </w:t>
      </w:r>
      <w:r w:rsidRPr="00D662C3" w:rsidR="00B234EA">
        <w:rPr>
          <w:szCs w:val="26"/>
        </w:rPr>
        <w:t xml:space="preserve">apart from </w:t>
      </w:r>
      <w:r w:rsidRPr="00D662C3">
        <w:rPr>
          <w:szCs w:val="26"/>
        </w:rPr>
        <w:t xml:space="preserve">his own </w:t>
      </w:r>
      <w:r w:rsidRPr="00D662C3" w:rsidR="00466DB5">
        <w:rPr>
          <w:szCs w:val="26"/>
        </w:rPr>
        <w:t xml:space="preserve">extrajudicial </w:t>
      </w:r>
      <w:r w:rsidRPr="00D662C3">
        <w:rPr>
          <w:szCs w:val="26"/>
        </w:rPr>
        <w:t xml:space="preserve">statements, there was insufficient evidence to </w:t>
      </w:r>
      <w:r w:rsidRPr="00D662C3" w:rsidR="00B234EA">
        <w:rPr>
          <w:szCs w:val="26"/>
        </w:rPr>
        <w:t xml:space="preserve">permit an </w:t>
      </w:r>
      <w:r w:rsidRPr="00D662C3">
        <w:rPr>
          <w:szCs w:val="26"/>
        </w:rPr>
        <w:t xml:space="preserve">inference that </w:t>
      </w:r>
      <w:r w:rsidRPr="00D662C3" w:rsidR="00466DB5">
        <w:rPr>
          <w:szCs w:val="26"/>
        </w:rPr>
        <w:t>there was an attempt</w:t>
      </w:r>
      <w:r w:rsidRPr="00D662C3">
        <w:rPr>
          <w:szCs w:val="26"/>
        </w:rPr>
        <w:t xml:space="preserve"> to rob Rosa.  Robbery is defined as “the felonious taking of personal property in the possession of another, from his person or immediate presence, and against his will, accomplished by means of force or fear.”  (§ 211.) </w:t>
      </w:r>
      <w:r w:rsidRPr="00D662C3" w:rsidR="00B234EA">
        <w:rPr>
          <w:szCs w:val="26"/>
        </w:rPr>
        <w:t xml:space="preserve"> </w:t>
      </w:r>
      <w:r w:rsidRPr="00D662C3">
        <w:rPr>
          <w:szCs w:val="26"/>
        </w:rPr>
        <w:t>An attempted robbery consists of two elements: (1) the specific intent to commit the robbery, and (2) a direct, unequivocal, overt act (beyond mere preparation) toward its commission.  (</w:t>
      </w:r>
      <w:r w:rsidRPr="00D662C3">
        <w:rPr>
          <w:i/>
          <w:iCs/>
          <w:szCs w:val="26"/>
        </w:rPr>
        <w:t>People v. Dillon</w:t>
      </w:r>
      <w:r w:rsidRPr="00D662C3">
        <w:rPr>
          <w:szCs w:val="26"/>
        </w:rPr>
        <w:t xml:space="preserve"> (1983) 34 Cal.3d 441, 452–453.)  </w:t>
      </w:r>
    </w:p>
    <w:p w:rsidR="004C3310" w:rsidRPr="00D662C3" w:rsidP="004F5DF7">
      <w:pPr>
        <w:ind w:firstLine="720"/>
        <w:rPr>
          <w:szCs w:val="26"/>
        </w:rPr>
      </w:pPr>
      <w:r w:rsidRPr="00D662C3">
        <w:rPr>
          <w:szCs w:val="26"/>
        </w:rPr>
        <w:t>Given the low quantum of proof that is required</w:t>
      </w:r>
      <w:r w:rsidRPr="00D662C3" w:rsidR="00425308">
        <w:rPr>
          <w:szCs w:val="26"/>
        </w:rPr>
        <w:t xml:space="preserve">, </w:t>
      </w:r>
      <w:r w:rsidRPr="00D662C3" w:rsidR="00CE6C96">
        <w:rPr>
          <w:szCs w:val="26"/>
        </w:rPr>
        <w:t xml:space="preserve">we are satisfied that the </w:t>
      </w:r>
      <w:r w:rsidRPr="00D662C3" w:rsidR="005357A1">
        <w:rPr>
          <w:szCs w:val="26"/>
        </w:rPr>
        <w:t>prosecution provided the “</w:t>
      </w:r>
      <w:r w:rsidRPr="00D662C3" w:rsidR="00F154A4">
        <w:rPr>
          <w:szCs w:val="26"/>
        </w:rPr>
        <w:t> ‘</w:t>
      </w:r>
      <w:r w:rsidRPr="00D662C3" w:rsidR="005357A1">
        <w:rPr>
          <w:szCs w:val="26"/>
        </w:rPr>
        <w:t>minimal</w:t>
      </w:r>
      <w:r w:rsidRPr="00D662C3" w:rsidR="00396AC2">
        <w:rPr>
          <w:szCs w:val="26"/>
        </w:rPr>
        <w:t>’ </w:t>
      </w:r>
      <w:r w:rsidRPr="00D662C3" w:rsidR="005357A1">
        <w:rPr>
          <w:szCs w:val="26"/>
        </w:rPr>
        <w:t>” amount of independent evidence necessary to satisfy the corpus delicti rule.  (</w:t>
      </w:r>
      <w:r w:rsidRPr="00D662C3" w:rsidR="00F154A4">
        <w:rPr>
          <w:i/>
          <w:iCs/>
          <w:szCs w:val="26"/>
        </w:rPr>
        <w:t>People v. Jones</w:t>
      </w:r>
      <w:r w:rsidRPr="00D662C3" w:rsidR="00F154A4">
        <w:rPr>
          <w:szCs w:val="26"/>
        </w:rPr>
        <w:t xml:space="preserve"> (1998) 17 Cal.4th 279, 301 </w:t>
      </w:r>
      <w:r w:rsidRPr="00D662C3" w:rsidR="00396AC2">
        <w:rPr>
          <w:szCs w:val="26"/>
        </w:rPr>
        <w:t>[“</w:t>
      </w:r>
      <w:r w:rsidRPr="00D662C3" w:rsidR="00F154A4">
        <w:rPr>
          <w:szCs w:val="26"/>
        </w:rPr>
        <w:t xml:space="preserve">we have described </w:t>
      </w:r>
      <w:r w:rsidRPr="00D662C3" w:rsidR="00F6416E">
        <w:rPr>
          <w:szCs w:val="26"/>
        </w:rPr>
        <w:t xml:space="preserve">[the necessary] </w:t>
      </w:r>
      <w:r w:rsidRPr="00D662C3" w:rsidR="00F154A4">
        <w:rPr>
          <w:szCs w:val="26"/>
        </w:rPr>
        <w:t xml:space="preserve">quantum of evidence as </w:t>
      </w:r>
      <w:r w:rsidRPr="00D662C3" w:rsidR="00396AC2">
        <w:rPr>
          <w:szCs w:val="26"/>
        </w:rPr>
        <w:t>‘</w:t>
      </w:r>
      <w:r w:rsidRPr="00D662C3" w:rsidR="00F154A4">
        <w:rPr>
          <w:szCs w:val="26"/>
        </w:rPr>
        <w:t>slight</w:t>
      </w:r>
      <w:r w:rsidRPr="00D662C3" w:rsidR="00396AC2">
        <w:rPr>
          <w:szCs w:val="26"/>
        </w:rPr>
        <w:t>’ [citation] or ‘minimal’ ”</w:t>
      </w:r>
      <w:r w:rsidRPr="00D662C3" w:rsidR="005357A1">
        <w:rPr>
          <w:szCs w:val="26"/>
        </w:rPr>
        <w:t xml:space="preserve">].) </w:t>
      </w:r>
      <w:r w:rsidRPr="00D662C3" w:rsidR="00C52922">
        <w:rPr>
          <w:szCs w:val="26"/>
        </w:rPr>
        <w:t xml:space="preserve"> The evidence </w:t>
      </w:r>
      <w:r w:rsidRPr="00D662C3" w:rsidR="00C25B8D">
        <w:rPr>
          <w:szCs w:val="26"/>
        </w:rPr>
        <w:t xml:space="preserve">at trial </w:t>
      </w:r>
      <w:r w:rsidRPr="00D662C3" w:rsidR="00C52922">
        <w:rPr>
          <w:szCs w:val="26"/>
        </w:rPr>
        <w:t>showed</w:t>
      </w:r>
      <w:r w:rsidRPr="00D662C3" w:rsidR="00CE6C96">
        <w:rPr>
          <w:szCs w:val="26"/>
        </w:rPr>
        <w:t xml:space="preserve"> </w:t>
      </w:r>
      <w:r w:rsidRPr="00D662C3" w:rsidR="00BE4343">
        <w:rPr>
          <w:szCs w:val="26"/>
        </w:rPr>
        <w:t xml:space="preserve">two men were seen riding </w:t>
      </w:r>
      <w:r w:rsidRPr="00D662C3" w:rsidR="00CE6C96">
        <w:rPr>
          <w:szCs w:val="26"/>
        </w:rPr>
        <w:t>bicycle</w:t>
      </w:r>
      <w:r w:rsidRPr="00D662C3" w:rsidR="00BE4343">
        <w:rPr>
          <w:szCs w:val="26"/>
        </w:rPr>
        <w:t xml:space="preserve">s </w:t>
      </w:r>
      <w:r w:rsidRPr="00D662C3" w:rsidR="00CE6C96">
        <w:rPr>
          <w:szCs w:val="26"/>
        </w:rPr>
        <w:t xml:space="preserve">in a residential neighborhood </w:t>
      </w:r>
      <w:r w:rsidRPr="00D662C3" w:rsidR="00BC0A02">
        <w:rPr>
          <w:szCs w:val="26"/>
        </w:rPr>
        <w:t xml:space="preserve">early in the morning </w:t>
      </w:r>
      <w:r w:rsidRPr="00D662C3" w:rsidR="001604D7">
        <w:rPr>
          <w:szCs w:val="26"/>
        </w:rPr>
        <w:t>and</w:t>
      </w:r>
      <w:r w:rsidRPr="00D662C3" w:rsidR="00BE4343">
        <w:rPr>
          <w:szCs w:val="26"/>
        </w:rPr>
        <w:t xml:space="preserve"> gunshots were heard s</w:t>
      </w:r>
      <w:r w:rsidRPr="00D662C3" w:rsidR="00CE6C96">
        <w:rPr>
          <w:szCs w:val="26"/>
        </w:rPr>
        <w:t>hortly thereafter</w:t>
      </w:r>
      <w:r w:rsidRPr="00D662C3" w:rsidR="00BE4343">
        <w:rPr>
          <w:szCs w:val="26"/>
        </w:rPr>
        <w:t xml:space="preserve">.  Around that time, surveillance video in the area captured images of Gonzalez on a bicycle. </w:t>
      </w:r>
      <w:r w:rsidRPr="00D662C3" w:rsidR="00D30486">
        <w:rPr>
          <w:szCs w:val="26"/>
        </w:rPr>
        <w:t xml:space="preserve"> </w:t>
      </w:r>
      <w:r w:rsidRPr="00D662C3" w:rsidR="00C52922">
        <w:rPr>
          <w:szCs w:val="26"/>
        </w:rPr>
        <w:t xml:space="preserve">Rosa’s </w:t>
      </w:r>
      <w:r w:rsidRPr="00D662C3" w:rsidR="008C211E">
        <w:rPr>
          <w:szCs w:val="26"/>
        </w:rPr>
        <w:t xml:space="preserve">body was found near her car, which was </w:t>
      </w:r>
      <w:r w:rsidRPr="00D662C3" w:rsidR="00F6416E">
        <w:rPr>
          <w:szCs w:val="26"/>
        </w:rPr>
        <w:t xml:space="preserve">parked </w:t>
      </w:r>
      <w:r w:rsidRPr="00D662C3" w:rsidR="008C211E">
        <w:rPr>
          <w:szCs w:val="26"/>
        </w:rPr>
        <w:t>in the driveway of a residence with the trunk open</w:t>
      </w:r>
      <w:r w:rsidRPr="00D662C3" w:rsidR="00CE6C96">
        <w:rPr>
          <w:szCs w:val="26"/>
        </w:rPr>
        <w:t xml:space="preserve"> and the keys</w:t>
      </w:r>
      <w:r w:rsidRPr="00D662C3" w:rsidR="00C25B8D">
        <w:rPr>
          <w:szCs w:val="26"/>
        </w:rPr>
        <w:t xml:space="preserve"> hanging from </w:t>
      </w:r>
      <w:r w:rsidRPr="00D662C3" w:rsidR="00CE6C96">
        <w:rPr>
          <w:szCs w:val="26"/>
        </w:rPr>
        <w:t>the keyhole</w:t>
      </w:r>
      <w:r w:rsidRPr="00D662C3" w:rsidR="008C211E">
        <w:rPr>
          <w:szCs w:val="26"/>
        </w:rPr>
        <w:t>.</w:t>
      </w:r>
      <w:r w:rsidRPr="00D662C3" w:rsidR="00BE4343">
        <w:rPr>
          <w:szCs w:val="26"/>
        </w:rPr>
        <w:t xml:space="preserve">  A bicycle was lying on the ground nearby.</w:t>
      </w:r>
      <w:r w:rsidRPr="00D662C3" w:rsidR="00C52922">
        <w:rPr>
          <w:szCs w:val="26"/>
        </w:rPr>
        <w:t xml:space="preserve">  Several items </w:t>
      </w:r>
      <w:r w:rsidRPr="00D662C3" w:rsidR="00616AF8">
        <w:rPr>
          <w:szCs w:val="26"/>
        </w:rPr>
        <w:t>were</w:t>
      </w:r>
      <w:r w:rsidRPr="00D662C3" w:rsidR="00C52922">
        <w:rPr>
          <w:szCs w:val="26"/>
        </w:rPr>
        <w:t xml:space="preserve"> inside the trunk, including Rosa’s purse, which was partially open</w:t>
      </w:r>
      <w:r w:rsidRPr="00D662C3" w:rsidR="00616AF8">
        <w:rPr>
          <w:szCs w:val="26"/>
        </w:rPr>
        <w:t xml:space="preserve">, and a firearm with a bullet </w:t>
      </w:r>
      <w:r w:rsidRPr="00D662C3" w:rsidR="00564F5F">
        <w:rPr>
          <w:szCs w:val="26"/>
        </w:rPr>
        <w:t xml:space="preserve">that appeared to have been </w:t>
      </w:r>
      <w:r w:rsidRPr="00D662C3" w:rsidR="00616AF8">
        <w:rPr>
          <w:szCs w:val="26"/>
        </w:rPr>
        <w:t>jammed inside it</w:t>
      </w:r>
      <w:r w:rsidRPr="00D662C3" w:rsidR="00396AC2">
        <w:rPr>
          <w:szCs w:val="26"/>
        </w:rPr>
        <w:t>,</w:t>
      </w:r>
      <w:r w:rsidRPr="00D662C3" w:rsidR="00616AF8">
        <w:rPr>
          <w:szCs w:val="26"/>
        </w:rPr>
        <w:t xml:space="preserve"> and Rosa’s police badge</w:t>
      </w:r>
      <w:r w:rsidRPr="00D662C3" w:rsidR="00C52922">
        <w:rPr>
          <w:szCs w:val="26"/>
        </w:rPr>
        <w:t xml:space="preserve">. </w:t>
      </w:r>
      <w:r w:rsidRPr="00D662C3" w:rsidR="00B91949">
        <w:rPr>
          <w:szCs w:val="26"/>
        </w:rPr>
        <w:t xml:space="preserve"> </w:t>
      </w:r>
      <w:r w:rsidRPr="00D662C3" w:rsidR="00C25B8D">
        <w:rPr>
          <w:szCs w:val="26"/>
        </w:rPr>
        <w:t>T</w:t>
      </w:r>
      <w:r w:rsidRPr="00D662C3" w:rsidR="00564F5F">
        <w:rPr>
          <w:szCs w:val="26"/>
        </w:rPr>
        <w:t>here was no evidence of a</w:t>
      </w:r>
      <w:r w:rsidR="00E073DD">
        <w:rPr>
          <w:szCs w:val="26"/>
        </w:rPr>
        <w:t>ny</w:t>
      </w:r>
      <w:r w:rsidRPr="00D662C3" w:rsidR="00564F5F">
        <w:rPr>
          <w:szCs w:val="26"/>
        </w:rPr>
        <w:t xml:space="preserve"> sexual or other</w:t>
      </w:r>
      <w:r w:rsidRPr="00D662C3" w:rsidR="001604D7">
        <w:rPr>
          <w:szCs w:val="26"/>
        </w:rPr>
        <w:t xml:space="preserve"> form of</w:t>
      </w:r>
      <w:r w:rsidRPr="00D662C3" w:rsidR="00564F5F">
        <w:rPr>
          <w:szCs w:val="26"/>
        </w:rPr>
        <w:t xml:space="preserve"> motive</w:t>
      </w:r>
      <w:r w:rsidR="00BC6A6A">
        <w:rPr>
          <w:szCs w:val="26"/>
        </w:rPr>
        <w:t xml:space="preserve"> </w:t>
      </w:r>
      <w:r w:rsidRPr="00C44BE2" w:rsidR="00BC6A6A">
        <w:rPr>
          <w:szCs w:val="26"/>
        </w:rPr>
        <w:t>for the confrontation that led to Rosa’s death</w:t>
      </w:r>
      <w:r w:rsidRPr="00D662C3" w:rsidR="001604D7">
        <w:rPr>
          <w:szCs w:val="26"/>
        </w:rPr>
        <w:t>,</w:t>
      </w:r>
      <w:r w:rsidRPr="00D662C3" w:rsidR="00DB5644">
        <w:rPr>
          <w:szCs w:val="26"/>
        </w:rPr>
        <w:t xml:space="preserve"> nor was there any evidence that the perpetrators knew the victim</w:t>
      </w:r>
      <w:r w:rsidRPr="00D662C3" w:rsidR="00C52922">
        <w:rPr>
          <w:szCs w:val="26"/>
        </w:rPr>
        <w:t>.</w:t>
      </w:r>
      <w:r w:rsidRPr="00D662C3" w:rsidR="008C211E">
        <w:rPr>
          <w:szCs w:val="26"/>
        </w:rPr>
        <w:t xml:space="preserve"> </w:t>
      </w:r>
      <w:r w:rsidRPr="00D662C3" w:rsidR="00C25B8D">
        <w:rPr>
          <w:szCs w:val="26"/>
        </w:rPr>
        <w:t xml:space="preserve"> </w:t>
      </w:r>
      <w:r w:rsidRPr="00D662C3" w:rsidR="00DB5644">
        <w:rPr>
          <w:szCs w:val="26"/>
        </w:rPr>
        <w:t>A</w:t>
      </w:r>
      <w:r w:rsidRPr="00D662C3" w:rsidR="00C25B8D">
        <w:rPr>
          <w:szCs w:val="26"/>
        </w:rPr>
        <w:t xml:space="preserve"> jury might</w:t>
      </w:r>
      <w:r w:rsidRPr="00D662C3" w:rsidR="00DB5644">
        <w:rPr>
          <w:szCs w:val="26"/>
        </w:rPr>
        <w:t xml:space="preserve"> reasonably</w:t>
      </w:r>
      <w:r w:rsidRPr="00D662C3" w:rsidR="00C25B8D">
        <w:rPr>
          <w:szCs w:val="26"/>
        </w:rPr>
        <w:t xml:space="preserve"> </w:t>
      </w:r>
      <w:r w:rsidRPr="00D662C3" w:rsidR="00DB5644">
        <w:rPr>
          <w:szCs w:val="26"/>
        </w:rPr>
        <w:t>conclude this evidence provides at least “</w:t>
      </w:r>
      <w:r w:rsidRPr="00D662C3" w:rsidR="002A4D67">
        <w:rPr>
          <w:szCs w:val="26"/>
        </w:rPr>
        <w:t> </w:t>
      </w:r>
      <w:r w:rsidRPr="00D662C3" w:rsidR="00DB5644">
        <w:rPr>
          <w:szCs w:val="26"/>
        </w:rPr>
        <w:t>‘ “some indication” ’ ” (</w:t>
      </w:r>
      <w:bookmarkStart w:id="8" w:name="_Hlk86222230"/>
      <w:r w:rsidRPr="00D662C3" w:rsidR="00DB5644">
        <w:rPr>
          <w:i/>
          <w:iCs/>
          <w:szCs w:val="26"/>
        </w:rPr>
        <w:t xml:space="preserve">Krebs, supra, </w:t>
      </w:r>
      <w:r w:rsidRPr="00D662C3" w:rsidR="00DB5644">
        <w:rPr>
          <w:szCs w:val="26"/>
        </w:rPr>
        <w:t>8 Cal.5th at p. 317)</w:t>
      </w:r>
      <w:bookmarkEnd w:id="8"/>
      <w:r w:rsidRPr="00D662C3" w:rsidR="00DB5644">
        <w:rPr>
          <w:szCs w:val="26"/>
        </w:rPr>
        <w:t xml:space="preserve"> that </w:t>
      </w:r>
      <w:r w:rsidRPr="00D662C3" w:rsidR="00C25B8D">
        <w:rPr>
          <w:szCs w:val="26"/>
        </w:rPr>
        <w:t xml:space="preserve">the assailants surprised Rosa while she was </w:t>
      </w:r>
      <w:r w:rsidRPr="00D662C3" w:rsidR="001A722D">
        <w:rPr>
          <w:szCs w:val="26"/>
        </w:rPr>
        <w:t>standing near the open</w:t>
      </w:r>
      <w:r w:rsidRPr="00D662C3" w:rsidR="001A2565">
        <w:rPr>
          <w:szCs w:val="26"/>
        </w:rPr>
        <w:t xml:space="preserve"> </w:t>
      </w:r>
      <w:r w:rsidRPr="00D662C3" w:rsidR="00C25B8D">
        <w:rPr>
          <w:szCs w:val="26"/>
        </w:rPr>
        <w:t>trunk</w:t>
      </w:r>
      <w:r w:rsidRPr="00D662C3" w:rsidR="001A722D">
        <w:rPr>
          <w:szCs w:val="26"/>
        </w:rPr>
        <w:t xml:space="preserve"> of her car</w:t>
      </w:r>
      <w:r w:rsidRPr="00D662C3" w:rsidR="00C25B8D">
        <w:rPr>
          <w:szCs w:val="26"/>
        </w:rPr>
        <w:t xml:space="preserve">, </w:t>
      </w:r>
      <w:r w:rsidRPr="00D662C3">
        <w:rPr>
          <w:szCs w:val="26"/>
        </w:rPr>
        <w:t xml:space="preserve">which contained a partially open purse, </w:t>
      </w:r>
      <w:r w:rsidRPr="00D662C3" w:rsidR="00C25B8D">
        <w:rPr>
          <w:szCs w:val="26"/>
        </w:rPr>
        <w:t xml:space="preserve">and </w:t>
      </w:r>
      <w:r w:rsidRPr="00D662C3" w:rsidR="00DB5644">
        <w:rPr>
          <w:szCs w:val="26"/>
        </w:rPr>
        <w:t xml:space="preserve">then </w:t>
      </w:r>
      <w:r w:rsidRPr="00D662C3" w:rsidR="00C25B8D">
        <w:rPr>
          <w:szCs w:val="26"/>
        </w:rPr>
        <w:t xml:space="preserve">forcibly attempted to take </w:t>
      </w:r>
      <w:r w:rsidRPr="00D662C3" w:rsidR="00DB5644">
        <w:rPr>
          <w:szCs w:val="26"/>
        </w:rPr>
        <w:t>her property</w:t>
      </w:r>
      <w:r w:rsidRPr="00D662C3" w:rsidR="00396AC2">
        <w:rPr>
          <w:szCs w:val="26"/>
        </w:rPr>
        <w:t xml:space="preserve">, but </w:t>
      </w:r>
      <w:r w:rsidRPr="00D662C3" w:rsidR="00BE4343">
        <w:rPr>
          <w:szCs w:val="26"/>
        </w:rPr>
        <w:t>killed her in an ensuing struggle and then fled</w:t>
      </w:r>
      <w:r w:rsidRPr="00D662C3" w:rsidR="00DB5644">
        <w:rPr>
          <w:szCs w:val="26"/>
        </w:rPr>
        <w:t>.</w:t>
      </w:r>
      <w:r>
        <w:rPr>
          <w:rStyle w:val="FootnoteReference"/>
          <w:szCs w:val="26"/>
        </w:rPr>
        <w:footnoteReference w:id="6"/>
      </w:r>
      <w:r w:rsidRPr="00D662C3" w:rsidR="00DB5644">
        <w:rPr>
          <w:szCs w:val="26"/>
        </w:rPr>
        <w:t xml:space="preserve">     </w:t>
      </w:r>
      <w:r w:rsidRPr="00D662C3" w:rsidR="00C25B8D">
        <w:rPr>
          <w:szCs w:val="26"/>
        </w:rPr>
        <w:t xml:space="preserve"> </w:t>
      </w:r>
    </w:p>
    <w:p w:rsidR="00240BC6" w:rsidRPr="00D662C3" w:rsidP="004F5DF7">
      <w:pPr>
        <w:ind w:firstLine="720"/>
        <w:rPr>
          <w:szCs w:val="26"/>
        </w:rPr>
      </w:pPr>
      <w:r w:rsidRPr="00D662C3">
        <w:rPr>
          <w:szCs w:val="26"/>
        </w:rPr>
        <w:t>Our</w:t>
      </w:r>
      <w:r w:rsidRPr="00D662C3" w:rsidR="0042328A">
        <w:rPr>
          <w:szCs w:val="26"/>
        </w:rPr>
        <w:t xml:space="preserve"> conclusion finds support in </w:t>
      </w:r>
      <w:r w:rsidRPr="00D662C3">
        <w:rPr>
          <w:szCs w:val="26"/>
        </w:rPr>
        <w:t>prior cases</w:t>
      </w:r>
      <w:r w:rsidRPr="00D662C3" w:rsidR="001604D7">
        <w:rPr>
          <w:szCs w:val="26"/>
        </w:rPr>
        <w:t xml:space="preserve"> that addressed similar corpus delicti claims</w:t>
      </w:r>
      <w:r w:rsidRPr="00D662C3">
        <w:rPr>
          <w:szCs w:val="26"/>
        </w:rPr>
        <w:t xml:space="preserve">.  In </w:t>
      </w:r>
      <w:bookmarkStart w:id="9" w:name="_Hlk86222847"/>
      <w:r w:rsidRPr="00D662C3" w:rsidR="00C52922">
        <w:rPr>
          <w:i/>
          <w:iCs/>
          <w:szCs w:val="26"/>
        </w:rPr>
        <w:t>Ray</w:t>
      </w:r>
      <w:r w:rsidR="00E073DD">
        <w:rPr>
          <w:i/>
          <w:iCs/>
          <w:szCs w:val="26"/>
        </w:rPr>
        <w:t xml:space="preserve">, supra, </w:t>
      </w:r>
      <w:r w:rsidRPr="00D662C3" w:rsidR="00C52922">
        <w:rPr>
          <w:szCs w:val="26"/>
        </w:rPr>
        <w:t>13 Cal.4th 313</w:t>
      </w:r>
      <w:bookmarkEnd w:id="9"/>
      <w:r w:rsidRPr="00D662C3" w:rsidR="0042328A">
        <w:rPr>
          <w:szCs w:val="26"/>
        </w:rPr>
        <w:t>,</w:t>
      </w:r>
      <w:r w:rsidRPr="00D662C3" w:rsidR="00F6416E">
        <w:rPr>
          <w:szCs w:val="26"/>
        </w:rPr>
        <w:t xml:space="preserve"> for example,</w:t>
      </w:r>
      <w:r w:rsidRPr="00D662C3" w:rsidR="0042328A">
        <w:rPr>
          <w:szCs w:val="26"/>
        </w:rPr>
        <w:t xml:space="preserve"> </w:t>
      </w:r>
      <w:r w:rsidRPr="00D662C3" w:rsidR="00564F5F">
        <w:rPr>
          <w:szCs w:val="26"/>
        </w:rPr>
        <w:t>w</w:t>
      </w:r>
      <w:r w:rsidRPr="00D662C3">
        <w:rPr>
          <w:szCs w:val="26"/>
        </w:rPr>
        <w:t xml:space="preserve">e </w:t>
      </w:r>
      <w:r w:rsidRPr="00D662C3" w:rsidR="004C3310">
        <w:rPr>
          <w:szCs w:val="26"/>
        </w:rPr>
        <w:t xml:space="preserve">considered whether </w:t>
      </w:r>
      <w:r w:rsidRPr="00D662C3" w:rsidR="00C52922">
        <w:rPr>
          <w:szCs w:val="26"/>
        </w:rPr>
        <w:t>the</w:t>
      </w:r>
      <w:r w:rsidRPr="00D662C3" w:rsidR="00CB5ECC">
        <w:rPr>
          <w:szCs w:val="26"/>
        </w:rPr>
        <w:t>re was sufficient</w:t>
      </w:r>
      <w:r w:rsidRPr="00D662C3" w:rsidR="004C3310">
        <w:rPr>
          <w:szCs w:val="26"/>
        </w:rPr>
        <w:t xml:space="preserve"> </w:t>
      </w:r>
      <w:r w:rsidRPr="00D662C3" w:rsidR="001604D7">
        <w:rPr>
          <w:szCs w:val="26"/>
        </w:rPr>
        <w:t>evidence</w:t>
      </w:r>
      <w:r w:rsidRPr="00D662C3">
        <w:rPr>
          <w:szCs w:val="26"/>
        </w:rPr>
        <w:t xml:space="preserve"> </w:t>
      </w:r>
      <w:r w:rsidRPr="00D662C3" w:rsidR="001604D7">
        <w:rPr>
          <w:szCs w:val="26"/>
        </w:rPr>
        <w:t xml:space="preserve">independent of defendants’ statements </w:t>
      </w:r>
      <w:r w:rsidRPr="00D662C3" w:rsidR="00564F5F">
        <w:rPr>
          <w:szCs w:val="26"/>
        </w:rPr>
        <w:t xml:space="preserve">to </w:t>
      </w:r>
      <w:r w:rsidRPr="00D662C3" w:rsidR="00CB5ECC">
        <w:rPr>
          <w:szCs w:val="26"/>
        </w:rPr>
        <w:t>support the jury’s finding</w:t>
      </w:r>
      <w:r w:rsidRPr="00D662C3" w:rsidR="0042328A">
        <w:rPr>
          <w:szCs w:val="26"/>
        </w:rPr>
        <w:t xml:space="preserve"> that</w:t>
      </w:r>
      <w:r w:rsidRPr="00D662C3" w:rsidR="00C52922">
        <w:rPr>
          <w:szCs w:val="26"/>
        </w:rPr>
        <w:t xml:space="preserve"> an assault had occurred during an attempted robbery.  The evidence showed the </w:t>
      </w:r>
      <w:r w:rsidRPr="00D662C3" w:rsidR="00EE35BC">
        <w:rPr>
          <w:szCs w:val="26"/>
        </w:rPr>
        <w:t xml:space="preserve">two </w:t>
      </w:r>
      <w:r w:rsidRPr="00D662C3" w:rsidR="00C52922">
        <w:rPr>
          <w:szCs w:val="26"/>
        </w:rPr>
        <w:t>defendants</w:t>
      </w:r>
      <w:r w:rsidRPr="00D662C3" w:rsidR="004C3310">
        <w:rPr>
          <w:szCs w:val="26"/>
        </w:rPr>
        <w:t>,</w:t>
      </w:r>
      <w:r w:rsidRPr="00D662C3" w:rsidR="00EE35BC">
        <w:rPr>
          <w:szCs w:val="26"/>
        </w:rPr>
        <w:t xml:space="preserve"> both</w:t>
      </w:r>
      <w:r w:rsidRPr="00D662C3" w:rsidR="004C3310">
        <w:rPr>
          <w:szCs w:val="26"/>
        </w:rPr>
        <w:t xml:space="preserve"> </w:t>
      </w:r>
      <w:r w:rsidRPr="00D662C3" w:rsidR="00CB5ECC">
        <w:rPr>
          <w:szCs w:val="26"/>
        </w:rPr>
        <w:t xml:space="preserve">armed and dressed in </w:t>
      </w:r>
      <w:r w:rsidRPr="00D662C3">
        <w:rPr>
          <w:szCs w:val="26"/>
        </w:rPr>
        <w:t xml:space="preserve">fatigues, </w:t>
      </w:r>
      <w:r w:rsidRPr="00D662C3" w:rsidR="00564F5F">
        <w:rPr>
          <w:szCs w:val="26"/>
        </w:rPr>
        <w:t xml:space="preserve">had </w:t>
      </w:r>
      <w:r w:rsidRPr="00D662C3" w:rsidR="00C52922">
        <w:rPr>
          <w:szCs w:val="26"/>
        </w:rPr>
        <w:t xml:space="preserve">approached </w:t>
      </w:r>
      <w:r w:rsidRPr="00D662C3" w:rsidR="00EE35BC">
        <w:rPr>
          <w:szCs w:val="26"/>
        </w:rPr>
        <w:t>the</w:t>
      </w:r>
      <w:r w:rsidRPr="00D662C3" w:rsidR="00C52922">
        <w:rPr>
          <w:szCs w:val="26"/>
        </w:rPr>
        <w:t xml:space="preserve"> </w:t>
      </w:r>
      <w:r w:rsidRPr="00D662C3">
        <w:rPr>
          <w:szCs w:val="26"/>
        </w:rPr>
        <w:t xml:space="preserve">victims </w:t>
      </w:r>
      <w:r w:rsidRPr="00D662C3" w:rsidR="00C52922">
        <w:rPr>
          <w:szCs w:val="26"/>
        </w:rPr>
        <w:t>as they exited an entertainment venue</w:t>
      </w:r>
      <w:r w:rsidRPr="00D662C3">
        <w:rPr>
          <w:szCs w:val="26"/>
        </w:rPr>
        <w:t xml:space="preserve">.  The defendants </w:t>
      </w:r>
      <w:r w:rsidRPr="00D662C3" w:rsidR="00C52922">
        <w:rPr>
          <w:szCs w:val="26"/>
        </w:rPr>
        <w:t>then moved the</w:t>
      </w:r>
      <w:r w:rsidRPr="00D662C3">
        <w:rPr>
          <w:szCs w:val="26"/>
        </w:rPr>
        <w:t xml:space="preserve"> victims</w:t>
      </w:r>
      <w:r w:rsidRPr="00D662C3" w:rsidR="00C52922">
        <w:rPr>
          <w:szCs w:val="26"/>
        </w:rPr>
        <w:t xml:space="preserve"> “to a more obscure area of the parking lot.” </w:t>
      </w:r>
      <w:r w:rsidRPr="00D662C3">
        <w:rPr>
          <w:szCs w:val="26"/>
        </w:rPr>
        <w:t xml:space="preserve"> (</w:t>
      </w:r>
      <w:r w:rsidRPr="00D662C3">
        <w:rPr>
          <w:i/>
          <w:iCs/>
          <w:szCs w:val="26"/>
        </w:rPr>
        <w:t>Id</w:t>
      </w:r>
      <w:r w:rsidRPr="00D662C3">
        <w:rPr>
          <w:szCs w:val="26"/>
        </w:rPr>
        <w:t xml:space="preserve">. at p. 342.) </w:t>
      </w:r>
      <w:r w:rsidRPr="00D662C3" w:rsidR="00C52922">
        <w:rPr>
          <w:szCs w:val="26"/>
        </w:rPr>
        <w:t xml:space="preserve"> When one of the victims resisted, he was shot; the second victim then attempted to flee and was also shot.  We concluded the jury could reasonably infer from such evidence that “the perpetrators intended to steal the victims</w:t>
      </w:r>
      <w:r w:rsidRPr="00D662C3" w:rsidR="004C3310">
        <w:rPr>
          <w:szCs w:val="26"/>
        </w:rPr>
        <w:t xml:space="preserve">’ </w:t>
      </w:r>
      <w:r w:rsidRPr="00D662C3" w:rsidR="00C52922">
        <w:rPr>
          <w:szCs w:val="26"/>
        </w:rPr>
        <w:t xml:space="preserve">property at gunpoint” “even though the evidence </w:t>
      </w:r>
      <w:r w:rsidRPr="00D662C3" w:rsidR="004C3310">
        <w:rPr>
          <w:szCs w:val="26"/>
        </w:rPr>
        <w:t>[did]</w:t>
      </w:r>
      <w:r w:rsidRPr="00D662C3" w:rsidR="00C52922">
        <w:rPr>
          <w:szCs w:val="26"/>
        </w:rPr>
        <w:t xml:space="preserve"> not eliminate the inference that additional or different crimes were intended.”  (</w:t>
      </w:r>
      <w:r w:rsidRPr="00D662C3">
        <w:rPr>
          <w:i/>
          <w:iCs/>
          <w:szCs w:val="26"/>
        </w:rPr>
        <w:t>Ibid</w:t>
      </w:r>
      <w:r w:rsidRPr="00D662C3" w:rsidR="00C52922">
        <w:rPr>
          <w:szCs w:val="26"/>
        </w:rPr>
        <w:t xml:space="preserve">.)  </w:t>
      </w:r>
    </w:p>
    <w:p w:rsidR="00240BC6" w:rsidRPr="00D662C3" w:rsidP="004F5DF7">
      <w:pPr>
        <w:ind w:firstLine="720"/>
        <w:rPr>
          <w:szCs w:val="26"/>
        </w:rPr>
      </w:pPr>
      <w:r w:rsidRPr="00D662C3">
        <w:rPr>
          <w:szCs w:val="26"/>
        </w:rPr>
        <w:t xml:space="preserve">In </w:t>
      </w:r>
      <w:bookmarkStart w:id="10" w:name="_Hlk86223012"/>
      <w:r w:rsidRPr="00D662C3">
        <w:rPr>
          <w:i/>
          <w:iCs/>
          <w:szCs w:val="26"/>
        </w:rPr>
        <w:t>People v. Valencia</w:t>
      </w:r>
      <w:r w:rsidRPr="00D662C3">
        <w:rPr>
          <w:szCs w:val="26"/>
        </w:rPr>
        <w:t xml:space="preserve"> (2008) 43 Cal.4th 268</w:t>
      </w:r>
      <w:r w:rsidRPr="00D662C3" w:rsidR="00F6416E">
        <w:rPr>
          <w:szCs w:val="26"/>
        </w:rPr>
        <w:t xml:space="preserve"> (</w:t>
      </w:r>
      <w:r w:rsidRPr="00D662C3" w:rsidR="00F6416E">
        <w:rPr>
          <w:i/>
          <w:iCs/>
          <w:szCs w:val="26"/>
        </w:rPr>
        <w:t>Valencia</w:t>
      </w:r>
      <w:r w:rsidRPr="00D662C3" w:rsidR="00F6416E">
        <w:rPr>
          <w:szCs w:val="26"/>
        </w:rPr>
        <w:t>)</w:t>
      </w:r>
      <w:r w:rsidRPr="00D662C3">
        <w:rPr>
          <w:szCs w:val="26"/>
        </w:rPr>
        <w:t xml:space="preserve">, </w:t>
      </w:r>
      <w:bookmarkEnd w:id="10"/>
      <w:r w:rsidRPr="00D662C3">
        <w:rPr>
          <w:szCs w:val="26"/>
        </w:rPr>
        <w:t>we held that testimony showing an “apartment door had been broken open, and one of the persons inside was bleeding from a . . . head injury” was sufficient to “permit</w:t>
      </w:r>
      <w:r w:rsidRPr="00D662C3" w:rsidR="001A2565">
        <w:rPr>
          <w:szCs w:val="26"/>
        </w:rPr>
        <w:t>[]</w:t>
      </w:r>
      <w:r w:rsidRPr="00D662C3">
        <w:rPr>
          <w:szCs w:val="26"/>
        </w:rPr>
        <w:t xml:space="preserve"> an inference of robbery.”  (</w:t>
      </w:r>
      <w:r w:rsidRPr="00D662C3">
        <w:rPr>
          <w:i/>
          <w:iCs/>
          <w:szCs w:val="26"/>
        </w:rPr>
        <w:t>Id</w:t>
      </w:r>
      <w:r w:rsidRPr="00D662C3">
        <w:rPr>
          <w:szCs w:val="26"/>
        </w:rPr>
        <w:t>. at p. 29</w:t>
      </w:r>
      <w:r w:rsidRPr="00D662C3" w:rsidR="001A2565">
        <w:rPr>
          <w:szCs w:val="26"/>
        </w:rPr>
        <w:t>7</w:t>
      </w:r>
      <w:r w:rsidRPr="00D662C3">
        <w:rPr>
          <w:szCs w:val="26"/>
        </w:rPr>
        <w:t xml:space="preserve">.) </w:t>
      </w:r>
      <w:r w:rsidRPr="00D662C3" w:rsidR="00F6416E">
        <w:rPr>
          <w:szCs w:val="26"/>
        </w:rPr>
        <w:t xml:space="preserve"> </w:t>
      </w:r>
      <w:r w:rsidRPr="00D662C3">
        <w:rPr>
          <w:szCs w:val="26"/>
        </w:rPr>
        <w:t xml:space="preserve">We explained, “[a] broken-open apartment door and a man inside with a bleeding head wound suggest robbery, a very common purpose for a home invasion.  Indeed, few other possible explanations for these events come to mind, and none so likely as robbery. </w:t>
      </w:r>
      <w:r w:rsidRPr="00D662C3" w:rsidR="00F6416E">
        <w:rPr>
          <w:szCs w:val="26"/>
        </w:rPr>
        <w:t xml:space="preserve"> </w:t>
      </w:r>
      <w:r w:rsidRPr="00D662C3">
        <w:rPr>
          <w:szCs w:val="26"/>
        </w:rPr>
        <w:t>These might not be the only possible inferences, but they are certainly reasonable inferences, which is sufficient.”  (</w:t>
      </w:r>
      <w:r w:rsidRPr="00D662C3">
        <w:rPr>
          <w:i/>
          <w:iCs/>
          <w:szCs w:val="26"/>
        </w:rPr>
        <w:t>Ibid</w:t>
      </w:r>
      <w:r w:rsidRPr="00D662C3">
        <w:rPr>
          <w:szCs w:val="26"/>
        </w:rPr>
        <w:t>.</w:t>
      </w:r>
      <w:r w:rsidRPr="00D662C3" w:rsidR="001A2565">
        <w:rPr>
          <w:szCs w:val="26"/>
        </w:rPr>
        <w:t>, italics omitted</w:t>
      </w:r>
      <w:r w:rsidRPr="00D662C3" w:rsidR="001A722D">
        <w:rPr>
          <w:szCs w:val="26"/>
        </w:rPr>
        <w:t>.</w:t>
      </w:r>
      <w:r w:rsidRPr="00D662C3">
        <w:rPr>
          <w:szCs w:val="26"/>
        </w:rPr>
        <w:t xml:space="preserve">)  </w:t>
      </w:r>
    </w:p>
    <w:p w:rsidR="008C211E" w:rsidRPr="00D662C3" w:rsidP="004F5DF7">
      <w:pPr>
        <w:ind w:firstLine="720"/>
        <w:rPr>
          <w:szCs w:val="26"/>
        </w:rPr>
      </w:pPr>
      <w:r w:rsidRPr="00D662C3">
        <w:rPr>
          <w:szCs w:val="26"/>
        </w:rPr>
        <w:t>The evidence here</w:t>
      </w:r>
      <w:r w:rsidRPr="00D662C3" w:rsidR="00312C97">
        <w:rPr>
          <w:szCs w:val="26"/>
        </w:rPr>
        <w:t> </w:t>
      </w:r>
      <w:r w:rsidRPr="00D662C3">
        <w:rPr>
          <w:szCs w:val="26"/>
        </w:rPr>
        <w:t>— that two men</w:t>
      </w:r>
      <w:r w:rsidRPr="00D662C3" w:rsidR="00F6416E">
        <w:rPr>
          <w:szCs w:val="26"/>
        </w:rPr>
        <w:t xml:space="preserve"> with no</w:t>
      </w:r>
      <w:r w:rsidR="00D4476B">
        <w:rPr>
          <w:szCs w:val="26"/>
        </w:rPr>
        <w:t xml:space="preserve"> </w:t>
      </w:r>
      <w:r w:rsidRPr="00D662C3" w:rsidR="00F6416E">
        <w:rPr>
          <w:szCs w:val="26"/>
        </w:rPr>
        <w:t>relation to the victim</w:t>
      </w:r>
      <w:r w:rsidRPr="00D662C3">
        <w:rPr>
          <w:szCs w:val="26"/>
        </w:rPr>
        <w:t xml:space="preserve"> were seen </w:t>
      </w:r>
      <w:r w:rsidRPr="00D662C3" w:rsidR="00E31A1A">
        <w:rPr>
          <w:szCs w:val="26"/>
        </w:rPr>
        <w:t xml:space="preserve">riding bicycles </w:t>
      </w:r>
      <w:r w:rsidRPr="00D662C3" w:rsidR="00BA1550">
        <w:rPr>
          <w:szCs w:val="26"/>
        </w:rPr>
        <w:t xml:space="preserve">near the </w:t>
      </w:r>
      <w:r w:rsidRPr="00D662C3">
        <w:rPr>
          <w:szCs w:val="26"/>
        </w:rPr>
        <w:t>crime</w:t>
      </w:r>
      <w:r w:rsidRPr="00D662C3" w:rsidR="00396AC2">
        <w:rPr>
          <w:szCs w:val="26"/>
        </w:rPr>
        <w:t xml:space="preserve"> </w:t>
      </w:r>
      <w:r w:rsidRPr="00D662C3" w:rsidR="00E31A1A">
        <w:rPr>
          <w:szCs w:val="26"/>
        </w:rPr>
        <w:t xml:space="preserve">scene </w:t>
      </w:r>
      <w:r w:rsidRPr="00D662C3" w:rsidR="00396AC2">
        <w:rPr>
          <w:szCs w:val="26"/>
        </w:rPr>
        <w:t>early</w:t>
      </w:r>
      <w:r w:rsidRPr="00D662C3" w:rsidR="00CA286B">
        <w:rPr>
          <w:szCs w:val="26"/>
        </w:rPr>
        <w:t xml:space="preserve"> in the morning</w:t>
      </w:r>
      <w:r w:rsidRPr="00D662C3" w:rsidR="004C3310">
        <w:rPr>
          <w:szCs w:val="26"/>
        </w:rPr>
        <w:t>,</w:t>
      </w:r>
      <w:r w:rsidRPr="00D662C3" w:rsidR="00E31A1A">
        <w:rPr>
          <w:szCs w:val="26"/>
        </w:rPr>
        <w:t xml:space="preserve"> </w:t>
      </w:r>
      <w:r w:rsidR="00D4476B">
        <w:rPr>
          <w:szCs w:val="26"/>
        </w:rPr>
        <w:t xml:space="preserve">a bicycle was abandoned near </w:t>
      </w:r>
      <w:r w:rsidRPr="00D662C3" w:rsidR="004C3310">
        <w:rPr>
          <w:szCs w:val="26"/>
        </w:rPr>
        <w:t>the victim’s</w:t>
      </w:r>
      <w:r w:rsidR="00D4476B">
        <w:rPr>
          <w:szCs w:val="26"/>
        </w:rPr>
        <w:t xml:space="preserve"> body and her</w:t>
      </w:r>
      <w:r w:rsidRPr="00D662C3" w:rsidR="00396AC2">
        <w:rPr>
          <w:szCs w:val="26"/>
        </w:rPr>
        <w:t xml:space="preserve"> belongings, which included a jammed firearm and a police badge, were in an open car trunk </w:t>
      </w:r>
      <w:r w:rsidRPr="00D662C3" w:rsidR="004C3310">
        <w:rPr>
          <w:szCs w:val="26"/>
        </w:rPr>
        <w:t>and her purse was partially open</w:t>
      </w:r>
      <w:r w:rsidRPr="00D662C3" w:rsidR="009B3485">
        <w:rPr>
          <w:szCs w:val="26"/>
        </w:rPr>
        <w:t> </w:t>
      </w:r>
      <w:r w:rsidRPr="00D662C3">
        <w:rPr>
          <w:szCs w:val="26"/>
        </w:rPr>
        <w:t>— is</w:t>
      </w:r>
      <w:r w:rsidRPr="00D662C3" w:rsidR="004C3310">
        <w:rPr>
          <w:szCs w:val="26"/>
        </w:rPr>
        <w:t xml:space="preserve"> </w:t>
      </w:r>
      <w:r w:rsidRPr="00D662C3" w:rsidR="00BA1550">
        <w:rPr>
          <w:szCs w:val="26"/>
        </w:rPr>
        <w:t xml:space="preserve">at least </w:t>
      </w:r>
      <w:r w:rsidRPr="00D662C3" w:rsidR="00F6416E">
        <w:rPr>
          <w:szCs w:val="26"/>
        </w:rPr>
        <w:t>as</w:t>
      </w:r>
      <w:r w:rsidRPr="00D662C3" w:rsidR="004C3310">
        <w:rPr>
          <w:szCs w:val="26"/>
        </w:rPr>
        <w:t xml:space="preserve"> suggestive </w:t>
      </w:r>
      <w:r w:rsidRPr="00D662C3" w:rsidR="00F6416E">
        <w:rPr>
          <w:szCs w:val="26"/>
        </w:rPr>
        <w:t xml:space="preserve">of </w:t>
      </w:r>
      <w:r w:rsidRPr="00D662C3" w:rsidR="004C3310">
        <w:rPr>
          <w:szCs w:val="26"/>
        </w:rPr>
        <w:t xml:space="preserve">robbery </w:t>
      </w:r>
      <w:r w:rsidRPr="00D662C3" w:rsidR="00F6416E">
        <w:rPr>
          <w:szCs w:val="26"/>
        </w:rPr>
        <w:t xml:space="preserve">as the evidence at issue in </w:t>
      </w:r>
      <w:r w:rsidRPr="00D662C3" w:rsidR="00F6416E">
        <w:rPr>
          <w:i/>
          <w:iCs/>
          <w:szCs w:val="26"/>
        </w:rPr>
        <w:t>Ray</w:t>
      </w:r>
      <w:r w:rsidRPr="00D662C3" w:rsidR="00F6416E">
        <w:rPr>
          <w:szCs w:val="26"/>
        </w:rPr>
        <w:t xml:space="preserve"> and </w:t>
      </w:r>
      <w:r w:rsidRPr="00D662C3" w:rsidR="00F6416E">
        <w:rPr>
          <w:i/>
          <w:iCs/>
          <w:szCs w:val="26"/>
        </w:rPr>
        <w:t>Valencia</w:t>
      </w:r>
      <w:r w:rsidRPr="00D662C3" w:rsidR="004C3310">
        <w:rPr>
          <w:szCs w:val="26"/>
        </w:rPr>
        <w:t>.</w:t>
      </w:r>
      <w:r>
        <w:rPr>
          <w:rStyle w:val="FootnoteReference"/>
          <w:szCs w:val="26"/>
        </w:rPr>
        <w:footnoteReference w:id="7"/>
      </w:r>
      <w:r w:rsidRPr="00D662C3" w:rsidR="00BC6A6A">
        <w:rPr>
          <w:szCs w:val="26"/>
        </w:rPr>
        <w:t xml:space="preserve"> </w:t>
      </w:r>
      <w:r w:rsidRPr="00D662C3" w:rsidR="00240BC6">
        <w:rPr>
          <w:szCs w:val="26"/>
        </w:rPr>
        <w:t xml:space="preserve">  </w:t>
      </w:r>
      <w:r w:rsidRPr="00D662C3" w:rsidR="00F6416E">
        <w:rPr>
          <w:szCs w:val="26"/>
        </w:rPr>
        <w:t xml:space="preserve">While the evidence does not preclude that the perpetrators may have had </w:t>
      </w:r>
      <w:r w:rsidRPr="00D662C3" w:rsidR="00CA286B">
        <w:rPr>
          <w:szCs w:val="26"/>
        </w:rPr>
        <w:t xml:space="preserve">a </w:t>
      </w:r>
      <w:r w:rsidRPr="00D662C3" w:rsidR="00F6416E">
        <w:rPr>
          <w:szCs w:val="26"/>
        </w:rPr>
        <w:t xml:space="preserve">different motive, it </w:t>
      </w:r>
      <w:r w:rsidRPr="00D662C3" w:rsidR="00821C3A">
        <w:rPr>
          <w:szCs w:val="26"/>
        </w:rPr>
        <w:t>is nonetheless sufficient to support an inference of attempted robbery</w:t>
      </w:r>
      <w:r w:rsidRPr="00D662C3">
        <w:rPr>
          <w:szCs w:val="26"/>
        </w:rPr>
        <w:t>.</w:t>
      </w:r>
      <w:r>
        <w:rPr>
          <w:rStyle w:val="FootnoteReference"/>
          <w:szCs w:val="26"/>
        </w:rPr>
        <w:footnoteReference w:id="8"/>
      </w:r>
    </w:p>
    <w:p w:rsidR="0034301F" w:rsidRPr="00D662C3" w:rsidP="004F5DF7">
      <w:pPr>
        <w:pStyle w:val="ListParagraph"/>
        <w:numPr>
          <w:ilvl w:val="0"/>
          <w:numId w:val="7"/>
        </w:numPr>
        <w:tabs>
          <w:tab w:val="left" w:pos="1440"/>
        </w:tabs>
        <w:rPr>
          <w:i/>
          <w:iCs/>
          <w:smallCaps/>
        </w:rPr>
      </w:pPr>
      <w:r w:rsidRPr="00D662C3">
        <w:rPr>
          <w:i/>
          <w:iCs/>
        </w:rPr>
        <w:t xml:space="preserve">The trial court </w:t>
      </w:r>
      <w:r w:rsidRPr="00D662C3" w:rsidR="00BE2142">
        <w:rPr>
          <w:i/>
          <w:iCs/>
        </w:rPr>
        <w:t>did not err in</w:t>
      </w:r>
      <w:r w:rsidRPr="00D662C3">
        <w:rPr>
          <w:i/>
          <w:iCs/>
        </w:rPr>
        <w:t xml:space="preserve"> admitt</w:t>
      </w:r>
      <w:r w:rsidRPr="00D662C3" w:rsidR="00BE2142">
        <w:rPr>
          <w:i/>
          <w:iCs/>
        </w:rPr>
        <w:t>ing</w:t>
      </w:r>
      <w:r w:rsidRPr="00D662C3">
        <w:rPr>
          <w:i/>
          <w:iCs/>
        </w:rPr>
        <w:t xml:space="preserve"> s</w:t>
      </w:r>
      <w:r w:rsidRPr="00D662C3">
        <w:rPr>
          <w:i/>
          <w:iCs/>
        </w:rPr>
        <w:t xml:space="preserve">tatements </w:t>
      </w:r>
      <w:r w:rsidRPr="00D662C3" w:rsidR="00924F09">
        <w:rPr>
          <w:i/>
          <w:iCs/>
        </w:rPr>
        <w:t xml:space="preserve">obtained during the undercover operation </w:t>
      </w:r>
    </w:p>
    <w:p w:rsidR="0034301F" w:rsidRPr="00D662C3" w:rsidP="004F5DF7">
      <w:pPr>
        <w:ind w:firstLine="720"/>
      </w:pPr>
      <w:r w:rsidRPr="00D662C3">
        <w:t>Gonzalez</w:t>
      </w:r>
      <w:r w:rsidRPr="00D662C3" w:rsidR="00C52922">
        <w:t xml:space="preserve"> argues the trial court erred in admitting </w:t>
      </w:r>
      <w:r w:rsidRPr="00D662C3" w:rsidR="00EE35BC">
        <w:t xml:space="preserve">all </w:t>
      </w:r>
      <w:r w:rsidRPr="00D662C3">
        <w:t xml:space="preserve">statements obtained </w:t>
      </w:r>
      <w:r w:rsidRPr="00D662C3" w:rsidR="00025A6A">
        <w:t xml:space="preserve">during the </w:t>
      </w:r>
      <w:r w:rsidRPr="00D662C3">
        <w:t>undercover operation</w:t>
      </w:r>
      <w:r w:rsidRPr="00D662C3" w:rsidR="00924F09">
        <w:t xml:space="preserve"> that</w:t>
      </w:r>
      <w:r w:rsidRPr="00D662C3">
        <w:t xml:space="preserve"> </w:t>
      </w:r>
      <w:r w:rsidRPr="00D662C3" w:rsidR="001C3A3B">
        <w:t xml:space="preserve">law enforcement performed </w:t>
      </w:r>
      <w:r w:rsidRPr="00D662C3">
        <w:t>while he</w:t>
      </w:r>
      <w:r w:rsidRPr="00D662C3" w:rsidR="00025A6A">
        <w:t xml:space="preserve"> and Flint</w:t>
      </w:r>
      <w:r w:rsidRPr="00D662C3">
        <w:t xml:space="preserve"> w</w:t>
      </w:r>
      <w:r w:rsidRPr="00D662C3" w:rsidR="00025A6A">
        <w:t>ere being transported to, and then held at</w:t>
      </w:r>
      <w:r w:rsidRPr="00D662C3" w:rsidR="00924F09">
        <w:t>,</w:t>
      </w:r>
      <w:r w:rsidRPr="00D662C3" w:rsidR="00025A6A">
        <w:t xml:space="preserve"> </w:t>
      </w:r>
      <w:r w:rsidRPr="00D662C3">
        <w:t xml:space="preserve">the Los Angeles County </w:t>
      </w:r>
      <w:r w:rsidRPr="00D662C3" w:rsidR="001A2565">
        <w:t>j</w:t>
      </w:r>
      <w:r w:rsidRPr="00D662C3">
        <w:t>ail.</w:t>
      </w:r>
      <w:r>
        <w:rPr>
          <w:rStyle w:val="FootnoteReference"/>
        </w:rPr>
        <w:footnoteReference w:id="9"/>
      </w:r>
      <w:r w:rsidRPr="00D662C3" w:rsidR="00C52922">
        <w:t xml:space="preserve"> </w:t>
      </w:r>
      <w:r w:rsidRPr="00D662C3">
        <w:t xml:space="preserve">Gonzalez </w:t>
      </w:r>
      <w:r w:rsidRPr="00D662C3" w:rsidR="00343AF8">
        <w:t>contends</w:t>
      </w:r>
      <w:r w:rsidRPr="00D662C3">
        <w:t xml:space="preserve"> the statements were </w:t>
      </w:r>
      <w:r w:rsidRPr="00D662C3" w:rsidR="00C52922">
        <w:t xml:space="preserve">inadmissible because his </w:t>
      </w:r>
      <w:r w:rsidRPr="00D662C3">
        <w:t xml:space="preserve">Sixth </w:t>
      </w:r>
      <w:r w:rsidRPr="00D662C3" w:rsidR="00924F09">
        <w:t>A</w:t>
      </w:r>
      <w:r w:rsidRPr="00D662C3" w:rsidR="00C52922">
        <w:t>mendment right to counsel</w:t>
      </w:r>
      <w:r w:rsidRPr="00D662C3" w:rsidR="00EE35BC">
        <w:t xml:space="preserve"> had</w:t>
      </w:r>
      <w:r w:rsidRPr="00D662C3" w:rsidR="00C52922">
        <w:t xml:space="preserve"> </w:t>
      </w:r>
      <w:r w:rsidRPr="00D662C3">
        <w:t xml:space="preserve">attached at </w:t>
      </w:r>
      <w:r w:rsidRPr="00D662C3" w:rsidR="00EE35BC">
        <w:t>that time</w:t>
      </w:r>
      <w:r w:rsidRPr="00D662C3">
        <w:t>.  Alternatively, he argues the delay in bringing charges against him for Rosa’s murder violated his due process rights because</w:t>
      </w:r>
      <w:r w:rsidRPr="00D662C3" w:rsidR="00C52922">
        <w:t xml:space="preserve"> such conduct </w:t>
      </w:r>
      <w:r w:rsidRPr="00D662C3">
        <w:t xml:space="preserve">delayed appointment of counsel. </w:t>
      </w:r>
      <w:r w:rsidRPr="00D662C3" w:rsidR="00C52922">
        <w:t xml:space="preserve"> Both claims are without merit. </w:t>
      </w:r>
    </w:p>
    <w:p w:rsidR="0018793C" w:rsidP="004F5DF7">
      <w:pPr>
        <w:ind w:firstLine="720"/>
      </w:pPr>
      <w:r w:rsidRPr="00D662C3">
        <w:t>The</w:t>
      </w:r>
      <w:r w:rsidRPr="00D662C3" w:rsidR="00C52922">
        <w:t xml:space="preserve"> right to counsel guaranteed by the Sixth Amendment does not attach until “ ‘ “the initiation of adversary judicial criminal proceedings</w:t>
      </w:r>
      <w:r w:rsidRPr="00D662C3" w:rsidR="00343AF8">
        <w:t> </w:t>
      </w:r>
      <w:r w:rsidRPr="00D662C3" w:rsidR="00C52922">
        <w:t>—</w:t>
      </w:r>
      <w:r w:rsidRPr="00D662C3" w:rsidR="000C7735">
        <w:t xml:space="preserve"> </w:t>
      </w:r>
      <w:r w:rsidRPr="00D662C3" w:rsidR="00C52922">
        <w:t>whether by way of formal charge, preliminary hearing, indictment, information, or arraignment.” ’ ”  (</w:t>
      </w:r>
      <w:r w:rsidRPr="00D662C3" w:rsidR="00C52922">
        <w:rPr>
          <w:i/>
          <w:iCs/>
        </w:rPr>
        <w:t>Rothgery v. Gillespie County</w:t>
      </w:r>
      <w:r w:rsidRPr="00D662C3" w:rsidR="00C52922">
        <w:t xml:space="preserve"> (2008) 554 U.S. 191, 198; see </w:t>
      </w:r>
      <w:r w:rsidRPr="00D662C3" w:rsidR="00C52922">
        <w:rPr>
          <w:i/>
          <w:iCs/>
        </w:rPr>
        <w:t>People v. Slayton</w:t>
      </w:r>
      <w:r w:rsidRPr="00D662C3" w:rsidR="00C52922">
        <w:t xml:space="preserve"> (2001) 26 Cal.4th 1076, 1079.)  </w:t>
      </w:r>
      <w:r w:rsidRPr="00D662C3" w:rsidR="0034301F">
        <w:t>At that point, “the State’s relationship with the defendant has become solidly adversarial” (</w:t>
      </w:r>
      <w:r w:rsidRPr="00D662C3" w:rsidR="00924F09">
        <w:rPr>
          <w:i/>
          <w:iCs/>
        </w:rPr>
        <w:t>Rothgery</w:t>
      </w:r>
      <w:r w:rsidRPr="00D662C3" w:rsidR="00924F09">
        <w:t>,</w:t>
      </w:r>
      <w:r w:rsidRPr="00D662C3" w:rsidR="0034301F">
        <w:t xml:space="preserve"> at p. 20</w:t>
      </w:r>
      <w:r w:rsidRPr="00D662C3" w:rsidR="000C7735">
        <w:t>2</w:t>
      </w:r>
      <w:r w:rsidRPr="00D662C3" w:rsidR="0034301F">
        <w:t>)</w:t>
      </w:r>
      <w:r w:rsidRPr="00D662C3" w:rsidR="000C7735">
        <w:t> </w:t>
      </w:r>
      <w:r w:rsidRPr="00D662C3" w:rsidR="00924F09">
        <w:t>—</w:t>
      </w:r>
      <w:r w:rsidRPr="00D662C3" w:rsidR="0034301F">
        <w:t xml:space="preserve"> “</w:t>
      </w:r>
      <w:r w:rsidRPr="00D662C3" w:rsidR="000C7735">
        <w:t> </w:t>
      </w:r>
      <w:r w:rsidRPr="00D662C3" w:rsidR="0034301F">
        <w:t>‘the government has committed itself to prosecute, and . . . the adverse positions of government and defendant have solidified.  It is then that a defendant finds himself faced with the prosecutorial forces of organized society, and immersed in the intricacies of substantive and procedural criminal law.’</w:t>
      </w:r>
      <w:r w:rsidRPr="00D662C3" w:rsidR="000C7735">
        <w:t> </w:t>
      </w:r>
      <w:r w:rsidRPr="00D662C3" w:rsidR="0034301F">
        <w:t xml:space="preserve">”  </w:t>
      </w:r>
      <w:bookmarkStart w:id="11" w:name="_Hlk86223223"/>
      <w:r w:rsidRPr="00D662C3" w:rsidR="0034301F">
        <w:t>(</w:t>
      </w:r>
      <w:r w:rsidRPr="00D662C3" w:rsidR="0034301F">
        <w:rPr>
          <w:i/>
          <w:iCs/>
        </w:rPr>
        <w:t>United States v. Gouveia</w:t>
      </w:r>
      <w:r w:rsidRPr="00D662C3" w:rsidR="0034301F">
        <w:t xml:space="preserve"> (1984) 467 U.S. 180, 189 (</w:t>
      </w:r>
      <w:r w:rsidRPr="00D662C3" w:rsidR="0034301F">
        <w:rPr>
          <w:i/>
          <w:iCs/>
        </w:rPr>
        <w:t>Gouveia</w:t>
      </w:r>
      <w:r w:rsidRPr="00D662C3" w:rsidR="0034301F">
        <w:t xml:space="preserve">).)  </w:t>
      </w:r>
      <w:bookmarkEnd w:id="11"/>
      <w:r w:rsidRPr="00D662C3" w:rsidR="0034301F">
        <w:t>After the Sixth Amendment right has attached,</w:t>
      </w:r>
      <w:r w:rsidRPr="00D662C3" w:rsidR="00924F09">
        <w:t xml:space="preserve"> government</w:t>
      </w:r>
      <w:r w:rsidRPr="00D662C3" w:rsidR="0034301F">
        <w:t xml:space="preserve"> agents may not obtain incriminating statements from </w:t>
      </w:r>
      <w:r w:rsidR="0001540F">
        <w:t xml:space="preserve">a </w:t>
      </w:r>
      <w:r w:rsidRPr="00D662C3" w:rsidR="0034301F">
        <w:t>defendant about the charged crime outside the presence of defendant’s counsel absent an explicit waiver.  (See</w:t>
      </w:r>
      <w:r w:rsidRPr="00D662C3">
        <w:t xml:space="preserve"> </w:t>
      </w:r>
      <w:r w:rsidRPr="00D662C3" w:rsidR="0034301F">
        <w:rPr>
          <w:i/>
          <w:iCs/>
        </w:rPr>
        <w:t>Maine v. Moulton</w:t>
      </w:r>
      <w:r w:rsidRPr="00D662C3" w:rsidR="0034301F">
        <w:t xml:space="preserve"> (1985) 474 U.S. 159, 170–177.)</w:t>
      </w:r>
    </w:p>
    <w:p w:rsidR="00BA1550" w:rsidRPr="00D662C3" w:rsidP="004F5DF7">
      <w:pPr>
        <w:ind w:firstLine="720"/>
      </w:pPr>
      <w:r w:rsidRPr="0018793C">
        <w:t xml:space="preserve">Here, Gonzalez made the incriminating statements </w:t>
      </w:r>
      <w:r>
        <w:t xml:space="preserve">over a month before the complaint was filed against him.  </w:t>
      </w:r>
      <w:r w:rsidRPr="00D662C3" w:rsidR="00C52922">
        <w:t xml:space="preserve">Thus, under existing authority, Gonzalez’s Sixth Amendment rights had not yet attached </w:t>
      </w:r>
      <w:r w:rsidRPr="00D662C3" w:rsidR="000876FD">
        <w:t>(</w:t>
      </w:r>
      <w:r w:rsidRPr="00D662C3" w:rsidR="00C52922">
        <w:t>and could not have been violated</w:t>
      </w:r>
      <w:r w:rsidRPr="00D662C3" w:rsidR="000876FD">
        <w:t>)</w:t>
      </w:r>
      <w:r w:rsidRPr="00D662C3" w:rsidR="00C52922">
        <w:t xml:space="preserve"> when the undercover operations were performed.</w:t>
      </w:r>
      <w:r w:rsidRPr="00D662C3" w:rsidR="00025A6A">
        <w:t xml:space="preserve"> </w:t>
      </w:r>
      <w:r w:rsidRPr="00D662C3" w:rsidR="00396AC2">
        <w:t xml:space="preserve"> </w:t>
      </w:r>
      <w:r w:rsidRPr="00D662C3" w:rsidR="0047379D">
        <w:t>(</w:t>
      </w:r>
      <w:r w:rsidRPr="00D662C3" w:rsidR="001A722D">
        <w:t>Compare</w:t>
      </w:r>
      <w:r w:rsidRPr="00D662C3" w:rsidR="0047379D">
        <w:t xml:space="preserve"> </w:t>
      </w:r>
      <w:r w:rsidRPr="00D662C3" w:rsidR="0047379D">
        <w:rPr>
          <w:i/>
          <w:iCs/>
        </w:rPr>
        <w:t>People v. Clair</w:t>
      </w:r>
      <w:r w:rsidRPr="00D662C3" w:rsidR="0047379D">
        <w:t xml:space="preserve"> (1992) 2 Cal.4th 629, 658 [rejecting claim that use of undercover agent violated </w:t>
      </w:r>
      <w:r w:rsidRPr="00D662C3" w:rsidR="000C7735">
        <w:t>6</w:t>
      </w:r>
      <w:r w:rsidRPr="00D662C3" w:rsidR="0047379D">
        <w:t>th Amend</w:t>
      </w:r>
      <w:r w:rsidRPr="00D662C3" w:rsidR="000C7735">
        <w:t>.</w:t>
      </w:r>
      <w:r w:rsidRPr="00D662C3" w:rsidR="0047379D">
        <w:t xml:space="preserve"> right to counsel </w:t>
      </w:r>
      <w:r w:rsidRPr="00D662C3" w:rsidR="00E31A1A">
        <w:t>after the</w:t>
      </w:r>
      <w:r w:rsidRPr="00D662C3" w:rsidR="0047379D">
        <w:t xml:space="preserve"> defendant had become “focus of the investigation,” but</w:t>
      </w:r>
      <w:r w:rsidRPr="00D662C3" w:rsidR="00396AC2">
        <w:t xml:space="preserve"> had</w:t>
      </w:r>
      <w:r w:rsidRPr="00D662C3" w:rsidR="0047379D">
        <w:t xml:space="preserve"> not yet </w:t>
      </w:r>
      <w:r w:rsidRPr="00D662C3" w:rsidR="00396AC2">
        <w:t xml:space="preserve">been </w:t>
      </w:r>
      <w:r w:rsidRPr="00D662C3" w:rsidR="0047379D">
        <w:t>formally charged]</w:t>
      </w:r>
      <w:r w:rsidR="004E43DA">
        <w:t>,</w:t>
      </w:r>
      <w:r w:rsidRPr="00D662C3" w:rsidR="0047379D">
        <w:t xml:space="preserve"> </w:t>
      </w:r>
      <w:r w:rsidRPr="00D662C3" w:rsidR="001A722D">
        <w:t>with</w:t>
      </w:r>
      <w:r w:rsidRPr="00D662C3" w:rsidR="0047379D">
        <w:t xml:space="preserve"> </w:t>
      </w:r>
      <w:r w:rsidRPr="00D662C3" w:rsidR="0047379D">
        <w:rPr>
          <w:i/>
          <w:iCs/>
        </w:rPr>
        <w:t>Illinois v. Perkins</w:t>
      </w:r>
      <w:r w:rsidRPr="00D662C3" w:rsidR="0047379D">
        <w:t xml:space="preserve"> (1990) 496 U.S. 292, 299 [“the government may not use an undercover agent to circumvent the Sixth Amendment right to counsel once a suspect has been charged with the crime”].)</w:t>
      </w:r>
    </w:p>
    <w:p w:rsidR="00C52922" w:rsidRPr="00D662C3" w:rsidP="004F5DF7">
      <w:pPr>
        <w:ind w:firstLine="720"/>
      </w:pPr>
      <w:r w:rsidRPr="00D662C3">
        <w:t>Gonzalez</w:t>
      </w:r>
      <w:r w:rsidRPr="00D662C3" w:rsidR="00025A6A">
        <w:t xml:space="preserve"> does not contend otherwise.  Instead, he </w:t>
      </w:r>
      <w:r w:rsidRPr="00D662C3" w:rsidR="00EE35BC">
        <w:t xml:space="preserve">appears to </w:t>
      </w:r>
      <w:r w:rsidRPr="00D662C3">
        <w:t xml:space="preserve">argue we should adopt </w:t>
      </w:r>
      <w:r w:rsidRPr="00D662C3" w:rsidR="0014533D">
        <w:t>the</w:t>
      </w:r>
      <w:r w:rsidRPr="00D662C3" w:rsidR="000876FD">
        <w:t xml:space="preserve"> Sixth Amendment</w:t>
      </w:r>
      <w:r w:rsidRPr="00D662C3" w:rsidR="0014533D">
        <w:t xml:space="preserve"> test </w:t>
      </w:r>
      <w:r w:rsidRPr="00D662C3" w:rsidR="000876FD">
        <w:t xml:space="preserve">that </w:t>
      </w:r>
      <w:r w:rsidRPr="00D662C3" w:rsidR="0014533D">
        <w:t xml:space="preserve"> Justice Stevens articulated in </w:t>
      </w:r>
      <w:r w:rsidRPr="00D662C3" w:rsidR="000876FD">
        <w:t xml:space="preserve">his concurring opinion </w:t>
      </w:r>
      <w:r w:rsidRPr="00D662C3" w:rsidR="0014533D">
        <w:t xml:space="preserve">in </w:t>
      </w:r>
      <w:r w:rsidRPr="00D662C3">
        <w:rPr>
          <w:i/>
          <w:iCs/>
        </w:rPr>
        <w:t>Gouveia</w:t>
      </w:r>
      <w:r w:rsidRPr="00D662C3" w:rsidR="00025A6A">
        <w:rPr>
          <w:i/>
          <w:iCs/>
        </w:rPr>
        <w:t xml:space="preserve">, supra, </w:t>
      </w:r>
      <w:r w:rsidRPr="00D662C3">
        <w:t>467 U.S. 180.</w:t>
      </w:r>
      <w:r w:rsidRPr="00D662C3" w:rsidR="00025A6A">
        <w:t xml:space="preserve"> </w:t>
      </w:r>
      <w:r w:rsidRPr="00D662C3" w:rsidR="0014533D">
        <w:t xml:space="preserve"> Justice Stevens’s </w:t>
      </w:r>
      <w:r w:rsidRPr="00D662C3" w:rsidR="000876FD">
        <w:t>concurrence</w:t>
      </w:r>
      <w:r w:rsidRPr="00D662C3" w:rsidR="0014533D">
        <w:t xml:space="preserve"> argued that</w:t>
      </w:r>
      <w:r w:rsidRPr="00D662C3" w:rsidR="003448BA">
        <w:t xml:space="preserve"> “[i]f the authorities take a person into custody in order to interrogate him or to otherwise facilitate the process of making a case against him, . . . the person is sufficiently ‘accused’ to be entitled to the protections of the Sixth Amendment</w:t>
      </w:r>
      <w:r w:rsidRPr="00D662C3" w:rsidR="0014533D">
        <w:t>.</w:t>
      </w:r>
      <w:r w:rsidRPr="00D662C3" w:rsidR="003448BA">
        <w:t>”</w:t>
      </w:r>
      <w:r w:rsidRPr="00D662C3" w:rsidR="0014533D">
        <w:t xml:space="preserve">  (</w:t>
      </w:r>
      <w:r w:rsidRPr="00D662C3" w:rsidR="00B83ABF">
        <w:rPr>
          <w:i/>
          <w:iCs/>
        </w:rPr>
        <w:t>I</w:t>
      </w:r>
      <w:r w:rsidRPr="00D662C3" w:rsidR="0014533D">
        <w:rPr>
          <w:i/>
          <w:iCs/>
        </w:rPr>
        <w:t>d</w:t>
      </w:r>
      <w:r w:rsidRPr="00D662C3" w:rsidR="0014533D">
        <w:t>. at p. 197</w:t>
      </w:r>
      <w:r w:rsidRPr="00D662C3" w:rsidR="00B83ABF">
        <w:t xml:space="preserve"> (</w:t>
      </w:r>
      <w:r w:rsidRPr="00D662C3" w:rsidR="0014533D">
        <w:t>conc. opn. of Stevens, J.</w:t>
      </w:r>
      <w:r w:rsidRPr="00D662C3" w:rsidR="00025A6A">
        <w:t>)</w:t>
      </w:r>
      <w:r w:rsidRPr="00D662C3" w:rsidR="00B83ABF">
        <w:t>.)</w:t>
      </w:r>
      <w:r w:rsidRPr="00D662C3">
        <w:t xml:space="preserve">  </w:t>
      </w:r>
      <w:r w:rsidRPr="00D662C3" w:rsidR="0014533D">
        <w:t xml:space="preserve">If that concurrence reflected controlling law, Gonzalez would likely have a valid claim.  But it </w:t>
      </w:r>
      <w:r w:rsidRPr="00D662C3" w:rsidR="00EE35BC">
        <w:t>does</w:t>
      </w:r>
      <w:r w:rsidRPr="00D662C3" w:rsidR="0014533D">
        <w:t xml:space="preserve"> not.  To the extent Gonzalez is suggesting we</w:t>
      </w:r>
      <w:r w:rsidRPr="00D662C3" w:rsidR="00EE35BC">
        <w:t xml:space="preserve"> should </w:t>
      </w:r>
      <w:r w:rsidRPr="00D662C3">
        <w:t>revisit the “well established” (</w:t>
      </w:r>
      <w:r w:rsidRPr="00D662C3">
        <w:rPr>
          <w:i/>
          <w:iCs/>
        </w:rPr>
        <w:t>U</w:t>
      </w:r>
      <w:r w:rsidRPr="00D662C3" w:rsidR="00B83ABF">
        <w:rPr>
          <w:i/>
          <w:iCs/>
        </w:rPr>
        <w:t>.</w:t>
      </w:r>
      <w:r w:rsidRPr="00D662C3">
        <w:rPr>
          <w:i/>
          <w:iCs/>
        </w:rPr>
        <w:t>S</w:t>
      </w:r>
      <w:r w:rsidRPr="00D662C3" w:rsidR="00B83ABF">
        <w:rPr>
          <w:i/>
          <w:iCs/>
        </w:rPr>
        <w:t>.</w:t>
      </w:r>
      <w:r w:rsidRPr="00D662C3">
        <w:rPr>
          <w:i/>
          <w:iCs/>
        </w:rPr>
        <w:t xml:space="preserve"> v. Kourani</w:t>
      </w:r>
      <w:r w:rsidRPr="00D662C3">
        <w:t xml:space="preserve"> (2d Cir. 2021) 6 F.4th 345, 353) rules governing when the Sixth Amendment right to counsel commences</w:t>
      </w:r>
      <w:r w:rsidRPr="00D662C3" w:rsidR="0014533D">
        <w:t>, we decline to do so</w:t>
      </w:r>
      <w:r w:rsidRPr="00D662C3">
        <w:t xml:space="preserve">. </w:t>
      </w:r>
    </w:p>
    <w:p w:rsidR="0034301F" w:rsidRPr="00D662C3" w:rsidP="004F5DF7">
      <w:pPr>
        <w:ind w:firstLine="720"/>
      </w:pPr>
      <w:r w:rsidRPr="00D662C3">
        <w:t xml:space="preserve">Gonzalez alternatively argues that the delay in bringing charges against him violated his due process rights because </w:t>
      </w:r>
      <w:r w:rsidRPr="00D662C3" w:rsidR="00EE35BC">
        <w:t>the delay</w:t>
      </w:r>
      <w:r w:rsidRPr="00D662C3">
        <w:t xml:space="preserve"> was undertaken to gain a tactical advantage</w:t>
      </w:r>
      <w:r w:rsidRPr="00D662C3" w:rsidR="003448BA">
        <w:t xml:space="preserve"> over him</w:t>
      </w:r>
      <w:r w:rsidRPr="00D662C3">
        <w:t xml:space="preserve">. </w:t>
      </w:r>
      <w:r w:rsidRPr="00D662C3" w:rsidR="00CD27FF">
        <w:t xml:space="preserve"> </w:t>
      </w:r>
      <w:r w:rsidRPr="00D662C3">
        <w:t>“</w:t>
      </w:r>
      <w:r w:rsidRPr="00D662C3" w:rsidR="00CD27FF">
        <w:t>[T]</w:t>
      </w:r>
      <w:r w:rsidRPr="00D662C3">
        <w:t>he right of due process protects a criminal defendant’s interest in fair adjudication by preventing unjustified delays that weaken the defense through the dimming of memories, the death or disappearance of witnesses, and the loss or destruction of material physical evidence.”  (</w:t>
      </w:r>
      <w:r w:rsidRPr="00D662C3">
        <w:rPr>
          <w:i/>
          <w:iCs/>
        </w:rPr>
        <w:t>People v. Martinez</w:t>
      </w:r>
      <w:r w:rsidRPr="00D662C3">
        <w:t xml:space="preserve"> (2000) 22 Cal.4th 750, 767</w:t>
      </w:r>
      <w:r w:rsidRPr="00D662C3" w:rsidR="00C52922">
        <w:t xml:space="preserve">.)  As </w:t>
      </w:r>
      <w:r w:rsidRPr="00D662C3" w:rsidR="00CD27FF">
        <w:t xml:space="preserve">our high court has </w:t>
      </w:r>
      <w:r w:rsidRPr="00D662C3" w:rsidR="00C52922">
        <w:t xml:space="preserve">explained, </w:t>
      </w:r>
      <w:r w:rsidRPr="00D662C3" w:rsidR="00EE335D">
        <w:t xml:space="preserve">however, </w:t>
      </w:r>
      <w:r w:rsidRPr="00D662C3" w:rsidR="00C52922">
        <w:t>“</w:t>
      </w:r>
      <w:r w:rsidRPr="00D662C3" w:rsidR="006E029B">
        <w:t>L</w:t>
      </w:r>
      <w:r w:rsidRPr="00D662C3" w:rsidR="00C52922">
        <w:t>aw enforcement officers are under no constitutional duty to call a halt to a criminal investigation the moment they have the minimum evidence to establish probable cause, a quantum of evidence which may fall far short of the amount necessary to support a criminal conviction.”  (</w:t>
      </w:r>
      <w:r w:rsidRPr="00D662C3" w:rsidR="00C52922">
        <w:rPr>
          <w:i/>
          <w:iCs/>
        </w:rPr>
        <w:t>Hoffa v. U</w:t>
      </w:r>
      <w:r w:rsidRPr="00D662C3" w:rsidR="006E029B">
        <w:rPr>
          <w:i/>
          <w:iCs/>
        </w:rPr>
        <w:t xml:space="preserve">nited </w:t>
      </w:r>
      <w:r w:rsidRPr="00D662C3" w:rsidR="00C52922">
        <w:rPr>
          <w:i/>
          <w:iCs/>
        </w:rPr>
        <w:t>S</w:t>
      </w:r>
      <w:r w:rsidRPr="00D662C3" w:rsidR="006E029B">
        <w:rPr>
          <w:i/>
          <w:iCs/>
        </w:rPr>
        <w:t>tates</w:t>
      </w:r>
      <w:r w:rsidRPr="00D662C3" w:rsidR="00C52922">
        <w:t xml:space="preserve"> (1966) 385 U.S. 293, 310</w:t>
      </w:r>
      <w:r w:rsidRPr="00D662C3" w:rsidR="00EE335D">
        <w:t xml:space="preserve">; see </w:t>
      </w:r>
      <w:r w:rsidRPr="00D662C3" w:rsidR="00EE335D">
        <w:rPr>
          <w:i/>
          <w:iCs/>
        </w:rPr>
        <w:t>United States v. Lovasco</w:t>
      </w:r>
      <w:r w:rsidRPr="00D662C3" w:rsidR="00EE335D">
        <w:t xml:space="preserve"> (1977) 431 U.S. 783, 791 [prosecutors have “no duty to file charges as soon as probable cause exists but before they are satisfied they will be able to establish the suspect’s guilt beyond a reasonable doubt”].) </w:t>
      </w:r>
      <w:r w:rsidRPr="00D662C3" w:rsidR="00C52922">
        <w:t xml:space="preserve"> We find no merit in Gonzalez’s contention that </w:t>
      </w:r>
      <w:r w:rsidRPr="00D662C3" w:rsidR="00EE35BC">
        <w:t>law enforcement</w:t>
      </w:r>
      <w:r w:rsidRPr="00D662C3" w:rsidR="00C52922">
        <w:t>’s attempts to obtain further evidence of guilt after having probable cause</w:t>
      </w:r>
      <w:r w:rsidRPr="00D662C3" w:rsidR="00CD27FF">
        <w:t xml:space="preserve"> to arrest him</w:t>
      </w:r>
      <w:r w:rsidRPr="00D662C3" w:rsidR="00C52922">
        <w:t xml:space="preserve"> violated the Fifth Amendment right to due process.</w:t>
      </w:r>
    </w:p>
    <w:p w:rsidR="0056088D" w:rsidRPr="00D662C3" w:rsidP="004F5DF7">
      <w:pPr>
        <w:pStyle w:val="ListParagraph"/>
        <w:numPr>
          <w:ilvl w:val="0"/>
          <w:numId w:val="7"/>
        </w:numPr>
        <w:tabs>
          <w:tab w:val="left" w:pos="1440"/>
        </w:tabs>
        <w:rPr>
          <w:i/>
          <w:iCs/>
          <w:smallCaps/>
        </w:rPr>
      </w:pPr>
      <w:r w:rsidRPr="00D662C3">
        <w:rPr>
          <w:i/>
          <w:iCs/>
        </w:rPr>
        <w:t xml:space="preserve">There was no </w:t>
      </w:r>
      <w:r w:rsidRPr="00D662C3" w:rsidR="000876FD">
        <w:rPr>
          <w:i/>
          <w:iCs/>
        </w:rPr>
        <w:t>abuse of discretion</w:t>
      </w:r>
      <w:r w:rsidRPr="00D662C3">
        <w:rPr>
          <w:i/>
          <w:iCs/>
        </w:rPr>
        <w:t xml:space="preserve"> in denying</w:t>
      </w:r>
      <w:r w:rsidRPr="00D662C3" w:rsidR="00EE35BC">
        <w:rPr>
          <w:i/>
          <w:iCs/>
        </w:rPr>
        <w:t xml:space="preserve"> defense</w:t>
      </w:r>
      <w:r w:rsidRPr="00D662C3">
        <w:rPr>
          <w:i/>
          <w:iCs/>
        </w:rPr>
        <w:t xml:space="preserve"> counsel’s </w:t>
      </w:r>
      <w:r w:rsidRPr="00D662C3" w:rsidR="009E3B6F">
        <w:rPr>
          <w:i/>
          <w:iCs/>
        </w:rPr>
        <w:t xml:space="preserve">request for a </w:t>
      </w:r>
      <w:r w:rsidRPr="00D662C3">
        <w:rPr>
          <w:i/>
          <w:iCs/>
        </w:rPr>
        <w:t xml:space="preserve">second </w:t>
      </w:r>
      <w:r w:rsidRPr="00D662C3" w:rsidR="00D50269">
        <w:rPr>
          <w:i/>
          <w:iCs/>
        </w:rPr>
        <w:t>c</w:t>
      </w:r>
      <w:r w:rsidRPr="00D662C3">
        <w:rPr>
          <w:i/>
          <w:iCs/>
        </w:rPr>
        <w:t xml:space="preserve">ontinuance </w:t>
      </w:r>
    </w:p>
    <w:p w:rsidR="0034301F" w:rsidRPr="00D662C3" w:rsidP="004F5DF7">
      <w:pPr>
        <w:tabs>
          <w:tab w:val="left" w:pos="1440"/>
        </w:tabs>
        <w:ind w:firstLine="720"/>
      </w:pPr>
      <w:r w:rsidRPr="00D662C3">
        <w:t xml:space="preserve">Gonzalez </w:t>
      </w:r>
      <w:r w:rsidRPr="00D662C3" w:rsidR="00CD27FF">
        <w:t>argues</w:t>
      </w:r>
      <w:r w:rsidRPr="00D662C3">
        <w:t xml:space="preserve"> the court</w:t>
      </w:r>
      <w:r w:rsidRPr="00D662C3" w:rsidR="00CD27FF">
        <w:t xml:space="preserve"> erred in denying his </w:t>
      </w:r>
      <w:r w:rsidR="002C7F29">
        <w:t>attorney</w:t>
      </w:r>
      <w:r w:rsidRPr="00D662C3">
        <w:t xml:space="preserve">’s </w:t>
      </w:r>
      <w:r w:rsidRPr="00D662C3" w:rsidR="00C52922">
        <w:t>request for</w:t>
      </w:r>
      <w:r w:rsidRPr="00D662C3">
        <w:t xml:space="preserve"> a second continuance</w:t>
      </w:r>
      <w:r w:rsidRPr="00D662C3" w:rsidR="00EE335D">
        <w:t xml:space="preserve"> of the trial</w:t>
      </w:r>
      <w:r w:rsidRPr="00D662C3">
        <w:t xml:space="preserve">.  </w:t>
      </w:r>
    </w:p>
    <w:p w:rsidR="0034301F" w:rsidRPr="00D662C3" w:rsidP="004F5DF7">
      <w:pPr>
        <w:pStyle w:val="ListParagraph"/>
        <w:numPr>
          <w:ilvl w:val="1"/>
          <w:numId w:val="10"/>
        </w:numPr>
        <w:tabs>
          <w:tab w:val="left" w:pos="1440"/>
        </w:tabs>
        <w:rPr>
          <w:i/>
          <w:iCs/>
        </w:rPr>
      </w:pPr>
      <w:r w:rsidRPr="00D662C3">
        <w:rPr>
          <w:i/>
          <w:iCs/>
        </w:rPr>
        <w:t>Background</w:t>
      </w:r>
    </w:p>
    <w:p w:rsidR="0034301F" w:rsidRPr="00D662C3" w:rsidP="004F5DF7">
      <w:pPr>
        <w:ind w:firstLine="720"/>
      </w:pPr>
      <w:r w:rsidRPr="00D662C3">
        <w:t xml:space="preserve">Approximately one year after </w:t>
      </w:r>
      <w:r w:rsidRPr="00D662C3" w:rsidR="00C52922">
        <w:t xml:space="preserve">defense counsel </w:t>
      </w:r>
      <w:r w:rsidRPr="00D662C3">
        <w:t xml:space="preserve">was appointed, </w:t>
      </w:r>
      <w:r w:rsidRPr="00D662C3" w:rsidR="00C52922">
        <w:t xml:space="preserve">she </w:t>
      </w:r>
      <w:r w:rsidRPr="00D662C3">
        <w:t xml:space="preserve">filed a </w:t>
      </w:r>
      <w:r w:rsidRPr="00D662C3" w:rsidR="000876FD">
        <w:t xml:space="preserve">continuance </w:t>
      </w:r>
      <w:r w:rsidRPr="00D662C3">
        <w:t xml:space="preserve">motion </w:t>
      </w:r>
      <w:r w:rsidRPr="00D662C3" w:rsidR="000876FD">
        <w:t>seeking a four-month delay of</w:t>
      </w:r>
      <w:r w:rsidRPr="00D662C3">
        <w:t xml:space="preserve"> trial. </w:t>
      </w:r>
      <w:r w:rsidRPr="00D662C3" w:rsidR="00FC738E">
        <w:t xml:space="preserve"> </w:t>
      </w:r>
      <w:r w:rsidRPr="00D662C3">
        <w:t xml:space="preserve">The filing included a declaration describing counsel’s </w:t>
      </w:r>
      <w:r w:rsidRPr="00D662C3" w:rsidR="00C52922">
        <w:t xml:space="preserve">efforts </w:t>
      </w:r>
      <w:r w:rsidRPr="00D662C3">
        <w:t>in preparing</w:t>
      </w:r>
      <w:r w:rsidRPr="00D662C3" w:rsidR="00C52922">
        <w:t xml:space="preserve"> for trial</w:t>
      </w:r>
      <w:r w:rsidRPr="00D662C3" w:rsidR="00FC738E">
        <w:t xml:space="preserve">.  </w:t>
      </w:r>
      <w:r w:rsidRPr="00D662C3" w:rsidR="00C52922">
        <w:t xml:space="preserve">The declaration </w:t>
      </w:r>
      <w:r w:rsidRPr="00D662C3">
        <w:t>also described the need</w:t>
      </w:r>
      <w:r w:rsidRPr="00D662C3" w:rsidR="00C52922">
        <w:t xml:space="preserve"> for </w:t>
      </w:r>
      <w:r w:rsidRPr="00D662C3">
        <w:t>additional time to investigate recently disclosed aggravating factors and</w:t>
      </w:r>
      <w:r w:rsidR="00B0408F">
        <w:t xml:space="preserve"> </w:t>
      </w:r>
      <w:r w:rsidRPr="00D662C3">
        <w:t>DNA discovery.  The trial court held a hearing on the motion</w:t>
      </w:r>
      <w:r w:rsidRPr="00D662C3" w:rsidR="00CD27FF">
        <w:t xml:space="preserve"> and</w:t>
      </w:r>
      <w:r w:rsidRPr="00D662C3">
        <w:t xml:space="preserve"> learned that </w:t>
      </w:r>
      <w:r w:rsidRPr="00D662C3" w:rsidR="00EE335D">
        <w:t>Gonzalez</w:t>
      </w:r>
      <w:r w:rsidRPr="00D662C3">
        <w:t xml:space="preserve"> was not willing to waive time</w:t>
      </w:r>
      <w:r w:rsidRPr="00D662C3" w:rsidR="00CD27FF">
        <w:t xml:space="preserve">.  Despite Gonzalez’s desires, the trial court </w:t>
      </w:r>
      <w:r w:rsidRPr="00D662C3">
        <w:t xml:space="preserve">granted the motion, deciding that </w:t>
      </w:r>
      <w:r w:rsidRPr="00D662C3" w:rsidR="00CD27FF">
        <w:t xml:space="preserve">his </w:t>
      </w:r>
      <w:r w:rsidRPr="00D662C3">
        <w:t xml:space="preserve">right to effective assistance of counsel outweighed his statutory speedy trial right.  </w:t>
      </w:r>
    </w:p>
    <w:p w:rsidR="0034301F" w:rsidRPr="00D662C3" w:rsidP="004F5DF7">
      <w:pPr>
        <w:ind w:firstLine="720"/>
      </w:pPr>
      <w:r w:rsidRPr="00D662C3">
        <w:t xml:space="preserve">One month in advance of the new trial date, defense counsel filed </w:t>
      </w:r>
      <w:r w:rsidRPr="00D662C3" w:rsidR="00EE335D">
        <w:t>a</w:t>
      </w:r>
      <w:r w:rsidRPr="00D662C3" w:rsidR="00CA286B">
        <w:t xml:space="preserve"> </w:t>
      </w:r>
      <w:r w:rsidRPr="00D662C3">
        <w:t>motion to continue</w:t>
      </w:r>
      <w:r w:rsidRPr="00D662C3" w:rsidR="00EE335D">
        <w:t xml:space="preserve"> the trial</w:t>
      </w:r>
      <w:r w:rsidRPr="00D662C3" w:rsidR="007B4E9D">
        <w:t xml:space="preserve"> </w:t>
      </w:r>
      <w:r w:rsidRPr="00D662C3" w:rsidR="00EE335D">
        <w:t>for another four months</w:t>
      </w:r>
      <w:r w:rsidRPr="00D662C3">
        <w:t xml:space="preserve">. </w:t>
      </w:r>
      <w:r w:rsidRPr="00D662C3" w:rsidR="00FC738E">
        <w:t xml:space="preserve"> </w:t>
      </w:r>
      <w:r w:rsidRPr="00D662C3">
        <w:t xml:space="preserve">In the attached declaration, </w:t>
      </w:r>
      <w:r w:rsidRPr="00D662C3" w:rsidR="000876FD">
        <w:t xml:space="preserve">which was </w:t>
      </w:r>
      <w:r w:rsidRPr="00D662C3" w:rsidR="009433A3">
        <w:t xml:space="preserve">filed under seal to protect </w:t>
      </w:r>
      <w:r w:rsidRPr="00D662C3" w:rsidR="00CA286B">
        <w:t xml:space="preserve">the defense’s </w:t>
      </w:r>
      <w:r w:rsidRPr="00D662C3" w:rsidR="009433A3">
        <w:t xml:space="preserve">trial strategy, </w:t>
      </w:r>
      <w:r w:rsidRPr="00D662C3">
        <w:t xml:space="preserve">counsel explained </w:t>
      </w:r>
      <w:r w:rsidRPr="00D662C3" w:rsidR="009433A3">
        <w:t xml:space="preserve">there were </w:t>
      </w:r>
      <w:r w:rsidRPr="00D662C3" w:rsidR="00C70ADE">
        <w:t xml:space="preserve">three </w:t>
      </w:r>
      <w:r w:rsidRPr="00D662C3" w:rsidR="009433A3">
        <w:t>avenues of investigation she had not yet completed.  First,</w:t>
      </w:r>
      <w:r w:rsidRPr="00D662C3" w:rsidR="00CA286B">
        <w:t xml:space="preserve"> </w:t>
      </w:r>
      <w:r w:rsidRPr="00D662C3" w:rsidR="00C70ADE">
        <w:t>counsel stated she</w:t>
      </w:r>
      <w:r w:rsidRPr="00D662C3">
        <w:t xml:space="preserve"> had not </w:t>
      </w:r>
      <w:r w:rsidRPr="00D662C3" w:rsidR="009433A3">
        <w:t xml:space="preserve">yet received </w:t>
      </w:r>
      <w:r w:rsidRPr="00D662C3" w:rsidR="00C70ADE">
        <w:t>“</w:t>
      </w:r>
      <w:r w:rsidRPr="00D662C3" w:rsidR="009433A3">
        <w:t xml:space="preserve">any feedback </w:t>
      </w:r>
      <w:r w:rsidRPr="00D662C3">
        <w:t>from her DNA expert</w:t>
      </w:r>
      <w:r w:rsidRPr="00D662C3" w:rsidR="00C70ADE">
        <w:t xml:space="preserve">.” </w:t>
      </w:r>
      <w:r w:rsidRPr="00D662C3" w:rsidR="009433A3">
        <w:t xml:space="preserve"> The declaration provided no</w:t>
      </w:r>
      <w:r w:rsidRPr="00D662C3" w:rsidR="00CA286B">
        <w:t xml:space="preserve"> time</w:t>
      </w:r>
      <w:r w:rsidRPr="00D662C3" w:rsidR="009433A3">
        <w:t xml:space="preserve"> estimate </w:t>
      </w:r>
      <w:r w:rsidRPr="00D662C3" w:rsidR="00CA286B">
        <w:t xml:space="preserve">as to </w:t>
      </w:r>
      <w:r w:rsidRPr="00D662C3" w:rsidR="009433A3">
        <w:t xml:space="preserve">when she expected to hear from the expert </w:t>
      </w:r>
      <w:r w:rsidR="00B0408F">
        <w:t>n</w:t>
      </w:r>
      <w:r w:rsidRPr="00D662C3" w:rsidR="009433A3">
        <w:t>or</w:t>
      </w:r>
      <w:r w:rsidR="00B0408F">
        <w:t xml:space="preserve"> did it describe </w:t>
      </w:r>
      <w:r w:rsidRPr="00D662C3" w:rsidR="009433A3">
        <w:t xml:space="preserve">what exculpatory evidence she hoped to obtain (or the likelihood that such evidence would be obtained).  </w:t>
      </w:r>
      <w:r w:rsidRPr="00D662C3" w:rsidR="00C70ADE">
        <w:t>Second, c</w:t>
      </w:r>
      <w:r w:rsidRPr="00D662C3" w:rsidR="00CA286B">
        <w:t xml:space="preserve">ounsel </w:t>
      </w:r>
      <w:r w:rsidRPr="00D662C3" w:rsidR="00C70ADE">
        <w:t xml:space="preserve">stated that she needed </w:t>
      </w:r>
      <w:r w:rsidRPr="00D662C3" w:rsidR="009433A3">
        <w:t xml:space="preserve">to </w:t>
      </w:r>
      <w:r w:rsidRPr="00D662C3" w:rsidR="00B93B27">
        <w:t>“</w:t>
      </w:r>
      <w:r w:rsidRPr="00D662C3" w:rsidR="00C70ADE">
        <w:t xml:space="preserve">obtain </w:t>
      </w:r>
      <w:r w:rsidRPr="00D662C3">
        <w:t>the</w:t>
      </w:r>
      <w:r w:rsidRPr="00D662C3" w:rsidR="00C70ADE">
        <w:t xml:space="preserve"> services of both a psychiatrist and psychologist” </w:t>
      </w:r>
      <w:r w:rsidRPr="00D662C3">
        <w:t xml:space="preserve">for </w:t>
      </w:r>
      <w:r w:rsidRPr="00D662C3" w:rsidR="00C70ADE">
        <w:t>the penalty phase</w:t>
      </w:r>
      <w:r w:rsidRPr="00D662C3" w:rsidR="009433A3">
        <w:t xml:space="preserve">.  Again, however, </w:t>
      </w:r>
      <w:r w:rsidRPr="00D662C3" w:rsidR="00C70ADE">
        <w:t xml:space="preserve">counsel </w:t>
      </w:r>
      <w:r w:rsidRPr="00D662C3" w:rsidR="009433A3">
        <w:t>provided no</w:t>
      </w:r>
      <w:r w:rsidRPr="00D662C3" w:rsidR="00CA286B">
        <w:t xml:space="preserve"> details</w:t>
      </w:r>
      <w:r w:rsidRPr="00D662C3" w:rsidR="009433A3">
        <w:t xml:space="preserve"> regarding</w:t>
      </w:r>
      <w:r w:rsidRPr="00D662C3" w:rsidR="00CA286B">
        <w:t xml:space="preserve"> </w:t>
      </w:r>
      <w:r w:rsidRPr="00D662C3" w:rsidR="001A24AD">
        <w:t>the expected timetable</w:t>
      </w:r>
      <w:r w:rsidRPr="00D662C3" w:rsidR="009433A3">
        <w:t xml:space="preserve"> </w:t>
      </w:r>
      <w:r w:rsidRPr="00D662C3" w:rsidR="00C70ADE">
        <w:t xml:space="preserve">for obtaining such services </w:t>
      </w:r>
      <w:r w:rsidRPr="00D662C3" w:rsidR="009433A3">
        <w:t xml:space="preserve">or </w:t>
      </w:r>
      <w:r w:rsidRPr="00D662C3" w:rsidR="00CA286B">
        <w:t>the nature of the</w:t>
      </w:r>
      <w:r w:rsidRPr="00D662C3" w:rsidR="009433A3">
        <w:t xml:space="preserve"> evidence she hoped to gain.  Finally, </w:t>
      </w:r>
      <w:r w:rsidRPr="00D662C3" w:rsidR="00CA286B">
        <w:t xml:space="preserve">counsel </w:t>
      </w:r>
      <w:r w:rsidRPr="00D662C3" w:rsidR="009433A3">
        <w:t xml:space="preserve">asserted that there “remain[ed] other penalty phase witnesses that </w:t>
      </w:r>
      <w:r w:rsidRPr="00D662C3" w:rsidR="00C70ADE">
        <w:t xml:space="preserve">must be </w:t>
      </w:r>
      <w:r w:rsidRPr="00D662C3" w:rsidR="009433A3">
        <w:t xml:space="preserve"> located and interviewed.”  No details were provided </w:t>
      </w:r>
      <w:r w:rsidRPr="00D662C3" w:rsidR="001B2E82">
        <w:t>about the</w:t>
      </w:r>
      <w:r w:rsidRPr="00D662C3" w:rsidR="00971DFA">
        <w:t xml:space="preserve"> identity of</w:t>
      </w:r>
      <w:r w:rsidRPr="00D662C3" w:rsidR="001B2E82">
        <w:t xml:space="preserve"> those purported witnesses</w:t>
      </w:r>
      <w:r w:rsidRPr="00D662C3" w:rsidR="00971DFA">
        <w:t xml:space="preserve"> or </w:t>
      </w:r>
      <w:r w:rsidRPr="00D662C3" w:rsidR="001A24AD">
        <w:t>the type of</w:t>
      </w:r>
      <w:r w:rsidRPr="00D662C3" w:rsidR="00971DFA">
        <w:t xml:space="preserve"> information they might have</w:t>
      </w:r>
      <w:r w:rsidRPr="00D662C3" w:rsidR="001A24AD">
        <w:t xml:space="preserve"> that would be relevant to the penalty phase</w:t>
      </w:r>
      <w:r w:rsidRPr="00D662C3" w:rsidR="001B2E82">
        <w:t>.</w:t>
      </w:r>
      <w:r w:rsidRPr="00D662C3">
        <w:t xml:space="preserve"> </w:t>
      </w:r>
    </w:p>
    <w:p w:rsidR="0034301F" w:rsidRPr="00D662C3" w:rsidP="004F5DF7">
      <w:pPr>
        <w:ind w:firstLine="720"/>
      </w:pPr>
      <w:r w:rsidRPr="00D662C3">
        <w:t>At the motion hearing</w:t>
      </w:r>
      <w:r w:rsidRPr="00D662C3">
        <w:t xml:space="preserve">, defense counsel </w:t>
      </w:r>
      <w:r w:rsidRPr="00D662C3">
        <w:t>informed the court that</w:t>
      </w:r>
      <w:r w:rsidRPr="00D662C3">
        <w:t xml:space="preserve"> </w:t>
      </w:r>
      <w:r w:rsidRPr="00D662C3" w:rsidR="00EE335D">
        <w:t xml:space="preserve">although she had explained to </w:t>
      </w:r>
      <w:r w:rsidRPr="00D662C3">
        <w:t xml:space="preserve">Gonzalez </w:t>
      </w:r>
      <w:r w:rsidRPr="00D662C3" w:rsidR="00EE335D">
        <w:t xml:space="preserve">that a continuance was in his best interest, he </w:t>
      </w:r>
      <w:r w:rsidRPr="00D662C3" w:rsidR="001A24AD">
        <w:t>remained</w:t>
      </w:r>
      <w:r w:rsidRPr="00D662C3">
        <w:t xml:space="preserve"> unwilling </w:t>
      </w:r>
      <w:r w:rsidRPr="00D662C3">
        <w:t>to waiv</w:t>
      </w:r>
      <w:r w:rsidRPr="00D662C3">
        <w:t>e</w:t>
      </w:r>
      <w:r w:rsidRPr="00D662C3">
        <w:t xml:space="preserve"> time </w:t>
      </w:r>
      <w:r w:rsidRPr="00D662C3">
        <w:t xml:space="preserve">and </w:t>
      </w:r>
      <w:r w:rsidRPr="00D662C3" w:rsidR="007B4E9D">
        <w:t>had indicated he would seek</w:t>
      </w:r>
      <w:r w:rsidRPr="00D662C3">
        <w:t xml:space="preserve"> to represent himself if </w:t>
      </w:r>
      <w:r w:rsidRPr="00D662C3" w:rsidR="009E3B6F">
        <w:t>a second</w:t>
      </w:r>
      <w:r w:rsidRPr="00D662C3">
        <w:t xml:space="preserve"> continuance w</w:t>
      </w:r>
      <w:r w:rsidRPr="00D662C3" w:rsidR="0018000A">
        <w:t>ere</w:t>
      </w:r>
      <w:r w:rsidRPr="00D662C3">
        <w:t xml:space="preserve"> granted</w:t>
      </w:r>
      <w:r w:rsidRPr="00D662C3">
        <w:t>.</w:t>
      </w:r>
      <w:r w:rsidRPr="00D662C3">
        <w:t xml:space="preserve"> </w:t>
      </w:r>
      <w:r w:rsidRPr="00D662C3">
        <w:t xml:space="preserve"> </w:t>
      </w:r>
      <w:r w:rsidRPr="00D662C3" w:rsidR="00CE14F2">
        <w:t xml:space="preserve">In an exchange with the court, </w:t>
      </w:r>
      <w:r w:rsidRPr="00D662C3">
        <w:t xml:space="preserve">Gonzalez </w:t>
      </w:r>
      <w:r w:rsidRPr="00D662C3" w:rsidR="00CE14F2">
        <w:t>confirmed</w:t>
      </w:r>
      <w:r w:rsidRPr="00D662C3">
        <w:t xml:space="preserve"> </w:t>
      </w:r>
      <w:r w:rsidRPr="00D662C3">
        <w:t>that</w:t>
      </w:r>
      <w:r w:rsidRPr="00D662C3" w:rsidR="006A1666">
        <w:t xml:space="preserve"> while</w:t>
      </w:r>
      <w:r w:rsidRPr="00D662C3">
        <w:t xml:space="preserve"> </w:t>
      </w:r>
      <w:r w:rsidRPr="00D662C3">
        <w:t xml:space="preserve">he understood </w:t>
      </w:r>
      <w:r w:rsidRPr="00D662C3">
        <w:t xml:space="preserve">his </w:t>
      </w:r>
      <w:r w:rsidRPr="00D662C3" w:rsidR="009E3B6F">
        <w:t>attorney</w:t>
      </w:r>
      <w:r w:rsidRPr="00D662C3" w:rsidR="007B4E9D">
        <w:t>s</w:t>
      </w:r>
      <w:r w:rsidRPr="00D662C3" w:rsidR="009E3B6F">
        <w:t xml:space="preserve"> </w:t>
      </w:r>
      <w:r w:rsidRPr="00D662C3">
        <w:t xml:space="preserve">believed </w:t>
      </w:r>
      <w:r w:rsidRPr="00D662C3" w:rsidR="007B4E9D">
        <w:t>they</w:t>
      </w:r>
      <w:r w:rsidRPr="00D662C3">
        <w:t xml:space="preserve"> </w:t>
      </w:r>
      <w:r w:rsidRPr="00D662C3">
        <w:t xml:space="preserve">needed more time to </w:t>
      </w:r>
      <w:r w:rsidRPr="00D662C3">
        <w:t>prepare</w:t>
      </w:r>
      <w:r w:rsidRPr="00D662C3" w:rsidR="006A1666">
        <w:t>,</w:t>
      </w:r>
      <w:r w:rsidRPr="00D662C3" w:rsidR="00CD27FF">
        <w:t xml:space="preserve"> </w:t>
      </w:r>
      <w:r w:rsidRPr="00D662C3" w:rsidR="009E3B6F">
        <w:t xml:space="preserve">he was </w:t>
      </w:r>
      <w:r w:rsidRPr="00D662C3" w:rsidR="006A1666">
        <w:t xml:space="preserve">not willing </w:t>
      </w:r>
      <w:r w:rsidRPr="00D662C3">
        <w:t>to</w:t>
      </w:r>
      <w:r w:rsidRPr="00D662C3">
        <w:t xml:space="preserve"> waive time.  The prosecution did not object to a continuance</w:t>
      </w:r>
      <w:r w:rsidRPr="00D662C3" w:rsidR="00CE14F2">
        <w:t xml:space="preserve">, but noted that </w:t>
      </w:r>
      <w:r w:rsidRPr="00D662C3" w:rsidR="006A1666">
        <w:t>because of</w:t>
      </w:r>
      <w:r w:rsidRPr="00D662C3" w:rsidR="00CE14F2">
        <w:t xml:space="preserve"> conflicting schedules, any delay would </w:t>
      </w:r>
      <w:r w:rsidRPr="00D662C3" w:rsidR="006A1666">
        <w:t xml:space="preserve">need to </w:t>
      </w:r>
      <w:r w:rsidRPr="00D662C3" w:rsidR="00E31A1A">
        <w:t xml:space="preserve">be for </w:t>
      </w:r>
      <w:r w:rsidRPr="00D662C3" w:rsidR="00CE14F2">
        <w:t>at least</w:t>
      </w:r>
      <w:r w:rsidRPr="00D662C3" w:rsidR="00E31A1A">
        <w:t xml:space="preserve"> five months</w:t>
      </w:r>
      <w:r w:rsidRPr="00D662C3">
        <w:t xml:space="preserve">. </w:t>
      </w:r>
    </w:p>
    <w:p w:rsidR="0034301F" w:rsidRPr="00D662C3" w:rsidP="004F5DF7">
      <w:pPr>
        <w:ind w:firstLine="720"/>
      </w:pPr>
      <w:r w:rsidRPr="00D662C3">
        <w:t xml:space="preserve">The court </w:t>
      </w:r>
      <w:r w:rsidRPr="00D662C3" w:rsidR="00955D57">
        <w:t xml:space="preserve">questioned whether </w:t>
      </w:r>
      <w:r w:rsidRPr="00D662C3" w:rsidR="00CE14F2">
        <w:t xml:space="preserve"> it</w:t>
      </w:r>
      <w:r w:rsidRPr="00D662C3" w:rsidR="00CD27FF">
        <w:t xml:space="preserve"> could find good cause for a second lengthy </w:t>
      </w:r>
      <w:r w:rsidRPr="00D662C3" w:rsidR="00EE335D">
        <w:t>continuance</w:t>
      </w:r>
      <w:r w:rsidRPr="00D662C3" w:rsidR="00CE14F2">
        <w:t>, explaining:  “</w:t>
      </w:r>
      <w:r w:rsidRPr="00D662C3" w:rsidR="006E029B">
        <w:t>[T]</w:t>
      </w:r>
      <w:r w:rsidRPr="00D662C3" w:rsidR="00CE14F2">
        <w:t>he defendant appears to be an intelligent young man.  He understands what is going</w:t>
      </w:r>
      <w:r w:rsidRPr="00D662C3" w:rsidR="00955D57">
        <w:t xml:space="preserve"> </w:t>
      </w:r>
      <w:r w:rsidRPr="00D662C3" w:rsidR="00CE14F2">
        <w:t>on and he understand[s] the serious nature of this case.  And I found good cause in the past.  I don’t know if I can keep doing that in good conscience.  A defendant can waive whatever right that he has if he wishes to</w:t>
      </w:r>
      <w:r w:rsidR="00B0408F">
        <w:t> </w:t>
      </w:r>
      <w:r w:rsidRPr="00D662C3" w:rsidR="00364EE7">
        <w:t>. . .</w:t>
      </w:r>
      <w:r w:rsidRPr="00D662C3" w:rsidR="00CE14F2">
        <w:t xml:space="preserve"> </w:t>
      </w:r>
      <w:r w:rsidRPr="00D662C3" w:rsidR="00364EE7">
        <w:t>.</w:t>
      </w:r>
      <w:r w:rsidRPr="00D662C3" w:rsidR="00CE14F2">
        <w:t xml:space="preserve"> </w:t>
      </w:r>
      <w:r w:rsidRPr="00D662C3" w:rsidR="00364EE7">
        <w:t xml:space="preserve"> </w:t>
      </w:r>
      <w:r w:rsidRPr="00D662C3" w:rsidR="00CE14F2">
        <w:t xml:space="preserve">And I don’t know if I can keep finding good cause to put it over, especially for the amount of time that </w:t>
      </w:r>
      <w:r w:rsidRPr="00D662C3" w:rsidR="001A24AD">
        <w:t xml:space="preserve">[we are] </w:t>
      </w:r>
      <w:r w:rsidRPr="00D662C3" w:rsidR="00CE14F2">
        <w:t>talking about.</w:t>
      </w:r>
      <w:r w:rsidRPr="00D662C3" w:rsidR="00DD4240">
        <w:t xml:space="preserve"> [¶] . . . [¶] </w:t>
      </w:r>
      <w:r w:rsidRPr="00D662C3" w:rsidR="00B93B27">
        <w:t>. . . . </w:t>
      </w:r>
      <w:r w:rsidRPr="00D662C3" w:rsidR="001A24AD">
        <w:t xml:space="preserve">[We are] </w:t>
      </w:r>
      <w:r w:rsidRPr="00D662C3" w:rsidR="00DD4240">
        <w:t>talking about five months. . . .  I find that to be a difficult thing for me to do when he refuses to waive time.</w:t>
      </w:r>
      <w:r w:rsidRPr="00D662C3" w:rsidR="00CE14F2">
        <w:t xml:space="preserve">” </w:t>
      </w:r>
      <w:r w:rsidRPr="00D662C3">
        <w:t xml:space="preserve"> </w:t>
      </w:r>
      <w:r w:rsidRPr="00D662C3" w:rsidR="00E001F8">
        <w:t>In response, d</w:t>
      </w:r>
      <w:r w:rsidRPr="00D662C3" w:rsidR="00DD4240">
        <w:t xml:space="preserve">efense counsel </w:t>
      </w:r>
      <w:r w:rsidRPr="00D662C3" w:rsidR="00E001F8">
        <w:t xml:space="preserve">acknowledged </w:t>
      </w:r>
      <w:r w:rsidRPr="00D662C3" w:rsidR="00DD4240">
        <w:t xml:space="preserve">that </w:t>
      </w:r>
      <w:r w:rsidRPr="00D662C3" w:rsidR="00E001F8">
        <w:t>she</w:t>
      </w:r>
      <w:r w:rsidRPr="00D662C3" w:rsidR="00DD4240">
        <w:t xml:space="preserve"> “under</w:t>
      </w:r>
      <w:r w:rsidRPr="00D662C3" w:rsidR="00E001F8">
        <w:t>[</w:t>
      </w:r>
      <w:r w:rsidRPr="00D662C3" w:rsidR="00DD4240">
        <w:t>stood</w:t>
      </w:r>
      <w:r w:rsidRPr="00D662C3" w:rsidR="00E001F8">
        <w:t>]</w:t>
      </w:r>
      <w:r w:rsidRPr="00D662C3" w:rsidR="00DD4240">
        <w:t xml:space="preserve"> the court’s concern” but felt an “obligation” to seek a continuance because she did not feel she would be prepared on mitigation. </w:t>
      </w:r>
      <w:r w:rsidRPr="00D662C3" w:rsidR="00E001F8">
        <w:t xml:space="preserve"> </w:t>
      </w:r>
      <w:r w:rsidRPr="00D662C3" w:rsidR="00DD4240">
        <w:t>The court then denied the motion, explai</w:t>
      </w:r>
      <w:r w:rsidRPr="00D662C3" w:rsidR="00751842">
        <w:t>ni</w:t>
      </w:r>
      <w:r w:rsidRPr="00D662C3" w:rsidR="00DD4240">
        <w:t>ng</w:t>
      </w:r>
      <w:r w:rsidRPr="00D662C3" w:rsidR="006E029B">
        <w:t>,</w:t>
      </w:r>
      <w:r w:rsidRPr="00D662C3" w:rsidR="00DD4240">
        <w:t xml:space="preserve"> “I cannot find good cause for a five-month continuance when the defendant refuses to waive time.  All I can say is whatever needs to be done must be done expeditiously.”</w:t>
      </w:r>
      <w:r w:rsidRPr="00D662C3" w:rsidR="00BA1550">
        <w:t xml:space="preserve"> </w:t>
      </w:r>
    </w:p>
    <w:p w:rsidR="0034301F" w:rsidRPr="00D662C3" w:rsidP="004F5DF7">
      <w:pPr>
        <w:pStyle w:val="ListParagraph"/>
        <w:numPr>
          <w:ilvl w:val="1"/>
          <w:numId w:val="10"/>
        </w:numPr>
        <w:tabs>
          <w:tab w:val="left" w:pos="1440"/>
        </w:tabs>
        <w:rPr>
          <w:i/>
          <w:iCs/>
        </w:rPr>
      </w:pPr>
      <w:r w:rsidRPr="00D662C3">
        <w:rPr>
          <w:i/>
          <w:iCs/>
        </w:rPr>
        <w:t>Discussion</w:t>
      </w:r>
    </w:p>
    <w:p w:rsidR="0034301F" w:rsidRPr="00D662C3" w:rsidP="004F5DF7">
      <w:pPr>
        <w:ind w:firstLine="720"/>
      </w:pPr>
      <w:r w:rsidRPr="00D662C3">
        <w:t>We review a trial court’s</w:t>
      </w:r>
      <w:r w:rsidRPr="00D662C3" w:rsidR="0078080F">
        <w:t xml:space="preserve"> order denying </w:t>
      </w:r>
      <w:r w:rsidRPr="00D662C3">
        <w:t xml:space="preserve">a motion to continue for abuse of discretion.  (See </w:t>
      </w:r>
      <w:r w:rsidRPr="00D662C3">
        <w:rPr>
          <w:i/>
          <w:iCs/>
        </w:rPr>
        <w:t>People v. Jackson</w:t>
      </w:r>
      <w:r w:rsidRPr="00D662C3">
        <w:t xml:space="preserve"> (2009) 45 Cal.4th 662, 677–678</w:t>
      </w:r>
      <w:r w:rsidRPr="00D662C3" w:rsidR="0078080F">
        <w:t xml:space="preserve">; see </w:t>
      </w:r>
      <w:r w:rsidRPr="00D662C3" w:rsidR="00E001F8">
        <w:t xml:space="preserve">also </w:t>
      </w:r>
      <w:r w:rsidRPr="00D662C3" w:rsidR="0078080F">
        <w:rPr>
          <w:i/>
          <w:iCs/>
        </w:rPr>
        <w:t>People v. Beames</w:t>
      </w:r>
      <w:r w:rsidRPr="00D662C3" w:rsidR="0078080F">
        <w:t xml:space="preserve"> (2007) 40 Cal.4th 907, 920 [“[A</w:t>
      </w:r>
      <w:r w:rsidRPr="00D662C3" w:rsidR="00F23D3F">
        <w:t>]</w:t>
      </w:r>
      <w:r w:rsidRPr="00D662C3" w:rsidR="0078080F">
        <w:t xml:space="preserve">n order denying a continuance is seldom successfully attacked”]; Cal. Rules of Court, rule 4.113 [“Motions to continue the trial of a criminal case are disfavored”].)  </w:t>
      </w:r>
      <w:r w:rsidRPr="00D662C3">
        <w:t>A trial court’s discretion “may not be exercised so as to deprive the defendant or his attorney of a reasonable opportunity to prepare.”  (</w:t>
      </w:r>
      <w:r w:rsidRPr="00D662C3">
        <w:rPr>
          <w:i/>
          <w:iCs/>
        </w:rPr>
        <w:t>People v. Sakarias</w:t>
      </w:r>
      <w:r w:rsidRPr="00D662C3">
        <w:t xml:space="preserve"> (2000) 22 Cal.4th 596, 646.)  </w:t>
      </w:r>
      <w:r w:rsidRPr="00D662C3" w:rsidR="00D50269">
        <w:t>The</w:t>
      </w:r>
      <w:r w:rsidRPr="00D662C3">
        <w:t xml:space="preserve"> court “must consider ‘</w:t>
      </w:r>
      <w:r w:rsidRPr="00D662C3" w:rsidR="002A4D67">
        <w:t> </w:t>
      </w:r>
      <w:r w:rsidRPr="00D662C3">
        <w:t>“</w:t>
      </w:r>
      <w:r w:rsidRPr="00D662C3" w:rsidR="002A4D67">
        <w:t> </w:t>
      </w:r>
      <w:r w:rsidRPr="00D662C3">
        <w:t xml:space="preserve">‘not only the benefit which the moving party anticipates but also the likelihood that such benefit will result, the burden on other witnesses, jurors and the court and, above all, whether substantial justice will be accomplished or defeated by a granting of the motion.’ ” ’ ”  </w:t>
      </w:r>
      <w:bookmarkStart w:id="12" w:name="_Hlk86226916"/>
      <w:r w:rsidRPr="00D662C3">
        <w:t>(</w:t>
      </w:r>
      <w:r w:rsidRPr="00D662C3">
        <w:rPr>
          <w:i/>
          <w:iCs/>
        </w:rPr>
        <w:t>People v. Doolin</w:t>
      </w:r>
      <w:r w:rsidRPr="00D662C3">
        <w:t xml:space="preserve"> (2009) 45 Cal.4th 390, 450</w:t>
      </w:r>
      <w:r w:rsidRPr="00D662C3" w:rsidR="009E3B6F">
        <w:t xml:space="preserve"> (</w:t>
      </w:r>
      <w:r w:rsidRPr="00D662C3" w:rsidR="009E3B6F">
        <w:rPr>
          <w:i/>
          <w:iCs/>
        </w:rPr>
        <w:t>Doolin</w:t>
      </w:r>
      <w:r w:rsidRPr="00D662C3" w:rsidR="009E3B6F">
        <w:t>)</w:t>
      </w:r>
      <w:r w:rsidRPr="00D662C3">
        <w:t>.)</w:t>
      </w:r>
      <w:bookmarkEnd w:id="12"/>
      <w:r w:rsidRPr="00D662C3">
        <w:t xml:space="preserve">  </w:t>
      </w:r>
    </w:p>
    <w:p w:rsidR="00E001F8" w:rsidRPr="00D662C3" w:rsidP="004F5DF7">
      <w:pPr>
        <w:ind w:firstLine="720"/>
      </w:pPr>
      <w:r w:rsidRPr="00D662C3">
        <w:t xml:space="preserve">Under the unusual circumstances presented here, we conclude the </w:t>
      </w:r>
      <w:r w:rsidRPr="00D662C3" w:rsidR="0034301F">
        <w:t xml:space="preserve">trial court did not abuse its discretion in determining </w:t>
      </w:r>
      <w:r w:rsidRPr="00D662C3" w:rsidR="00D50269">
        <w:t xml:space="preserve">that </w:t>
      </w:r>
      <w:r w:rsidRPr="00D662C3" w:rsidR="0034301F">
        <w:t>substantial justice would not be accomplished by granting the</w:t>
      </w:r>
      <w:r w:rsidRPr="00D662C3" w:rsidR="00D50269">
        <w:t xml:space="preserve"> second</w:t>
      </w:r>
      <w:r w:rsidRPr="00D662C3" w:rsidR="0034301F">
        <w:t xml:space="preserve"> motion</w:t>
      </w:r>
      <w:r w:rsidRPr="00D662C3" w:rsidR="00D50269">
        <w:t xml:space="preserve"> for a continuance</w:t>
      </w:r>
      <w:r w:rsidRPr="00D662C3" w:rsidR="0034301F">
        <w:t xml:space="preserve">.  </w:t>
      </w:r>
      <w:r w:rsidRPr="00D662C3" w:rsidR="00D50269">
        <w:t>While a court facing a continuance request must normally weigh the an</w:t>
      </w:r>
      <w:r w:rsidRPr="00D662C3">
        <w:t>ticipated benefit to the defendant against</w:t>
      </w:r>
      <w:r w:rsidRPr="00D662C3" w:rsidR="00D4547C">
        <w:t xml:space="preserve"> the burdens the continuance would have on</w:t>
      </w:r>
      <w:r w:rsidRPr="00D662C3" w:rsidR="00D50269">
        <w:t xml:space="preserve"> other participants in the trial</w:t>
      </w:r>
      <w:r w:rsidRPr="00D662C3">
        <w:t xml:space="preserve"> (</w:t>
      </w:r>
      <w:r w:rsidRPr="00D662C3" w:rsidR="00D4547C">
        <w:t xml:space="preserve">see </w:t>
      </w:r>
      <w:r w:rsidRPr="00D662C3">
        <w:rPr>
          <w:i/>
          <w:iCs/>
        </w:rPr>
        <w:t>Doolin</w:t>
      </w:r>
      <w:r w:rsidRPr="00D662C3" w:rsidR="00161F9B">
        <w:rPr>
          <w:i/>
          <w:iCs/>
        </w:rPr>
        <w:t>, supra,</w:t>
      </w:r>
      <w:r w:rsidRPr="00D662C3">
        <w:t xml:space="preserve"> 45 Cal.4th </w:t>
      </w:r>
      <w:r w:rsidRPr="00D662C3" w:rsidR="00161F9B">
        <w:t xml:space="preserve">at p. </w:t>
      </w:r>
      <w:r w:rsidRPr="00D662C3">
        <w:t>450)</w:t>
      </w:r>
      <w:r w:rsidRPr="00D662C3" w:rsidR="00D50269">
        <w:t xml:space="preserve">, there was another factor to consider in this case:  </w:t>
      </w:r>
      <w:r w:rsidRPr="00D662C3" w:rsidR="00D4547C">
        <w:t xml:space="preserve">Gonzalez had repeatedly stated that he was against a continuance, implicating </w:t>
      </w:r>
      <w:r w:rsidRPr="00D662C3" w:rsidR="001B3E5B">
        <w:t xml:space="preserve">not only his statutory right to a speedy </w:t>
      </w:r>
      <w:r w:rsidRPr="00D662C3" w:rsidR="00F32CEF">
        <w:t xml:space="preserve">trial </w:t>
      </w:r>
      <w:r w:rsidRPr="00D662C3" w:rsidR="001B3E5B">
        <w:t>but his constitutional rights</w:t>
      </w:r>
      <w:r w:rsidRPr="00D662C3" w:rsidR="0034301F">
        <w:t>.  (See U.S. Const., 6th Amend.; Cal. Const., art. I, § 15</w:t>
      </w:r>
      <w:r w:rsidRPr="00D662C3" w:rsidR="001B3E5B">
        <w:t xml:space="preserve">; </w:t>
      </w:r>
      <w:bookmarkStart w:id="13" w:name="_Hlk86227028"/>
      <w:r w:rsidRPr="00D662C3" w:rsidR="001B3E5B">
        <w:rPr>
          <w:i/>
          <w:iCs/>
        </w:rPr>
        <w:t>Townsend v. Superior Court</w:t>
      </w:r>
      <w:r w:rsidRPr="00D662C3" w:rsidR="001B3E5B">
        <w:t xml:space="preserve"> (1975) 15 Cal.3d 774, 78</w:t>
      </w:r>
      <w:r w:rsidRPr="00D662C3" w:rsidR="00F32CEF">
        <w:t>1</w:t>
      </w:r>
      <w:r w:rsidRPr="00D662C3" w:rsidR="00161F9B">
        <w:t xml:space="preserve"> (</w:t>
      </w:r>
      <w:r w:rsidRPr="00D662C3" w:rsidR="00161F9B">
        <w:rPr>
          <w:i/>
          <w:iCs/>
        </w:rPr>
        <w:t>Townsend</w:t>
      </w:r>
      <w:r w:rsidRPr="00D662C3" w:rsidR="00161F9B">
        <w:t>)</w:t>
      </w:r>
      <w:r w:rsidRPr="00D662C3" w:rsidR="001B3E5B">
        <w:t xml:space="preserve"> </w:t>
      </w:r>
      <w:bookmarkEnd w:id="13"/>
      <w:r w:rsidRPr="00D662C3" w:rsidR="001B3E5B">
        <w:t>[“The right to a speedy trial is undeniably ‘as fundamental as any of the rights secured by the Sixth Amendment’ [citation], and . . . counsel may not waive this constitutional right over his client’s objections”</w:t>
      </w:r>
      <w:r w:rsidRPr="00D662C3" w:rsidR="00F32CEF">
        <w:t xml:space="preserve"> (italics omitted)</w:t>
      </w:r>
      <w:r w:rsidRPr="00D662C3" w:rsidR="001B3E5B">
        <w:t>]</w:t>
      </w:r>
      <w:r w:rsidRPr="00D662C3" w:rsidR="0034301F">
        <w:t xml:space="preserve">.)  </w:t>
      </w:r>
    </w:p>
    <w:p w:rsidR="00E001F8" w:rsidRPr="00D662C3" w:rsidP="00E001F8">
      <w:pPr>
        <w:ind w:firstLine="720"/>
      </w:pPr>
      <w:r w:rsidRPr="00D662C3">
        <w:t xml:space="preserve">Further complicating matters, </w:t>
      </w:r>
      <w:r w:rsidRPr="00D662C3" w:rsidR="00D50269">
        <w:t xml:space="preserve">defense counsel informed the court </w:t>
      </w:r>
      <w:r w:rsidRPr="00D662C3" w:rsidR="00D4547C">
        <w:t xml:space="preserve">that </w:t>
      </w:r>
      <w:r w:rsidRPr="00D662C3" w:rsidR="0034301F">
        <w:t>Gonzalez</w:t>
      </w:r>
      <w:r w:rsidRPr="00D662C3">
        <w:t xml:space="preserve"> </w:t>
      </w:r>
      <w:r w:rsidRPr="00D662C3" w:rsidR="00B3252F">
        <w:t xml:space="preserve">had indicated he would </w:t>
      </w:r>
      <w:r w:rsidRPr="00D662C3" w:rsidR="00D50269">
        <w:t>choose to represent himself</w:t>
      </w:r>
      <w:r w:rsidRPr="00D662C3">
        <w:t xml:space="preserve"> in the event of </w:t>
      </w:r>
      <w:r w:rsidRPr="00D662C3" w:rsidR="00D50269">
        <w:t>a</w:t>
      </w:r>
      <w:r w:rsidRPr="00D662C3" w:rsidR="00B3252F">
        <w:t xml:space="preserve"> second continua</w:t>
      </w:r>
      <w:r w:rsidR="0018793C">
        <w:t>nce</w:t>
      </w:r>
      <w:r w:rsidRPr="00D662C3" w:rsidR="0034301F">
        <w:t xml:space="preserve">.  </w:t>
      </w:r>
      <w:r w:rsidRPr="00D662C3" w:rsidR="001B2E82">
        <w:t>The trial court might reasonably conclude that whatever benefits</w:t>
      </w:r>
      <w:r w:rsidRPr="00D662C3" w:rsidR="00B3252F">
        <w:t xml:space="preserve"> could be gained </w:t>
      </w:r>
      <w:r w:rsidRPr="00D662C3" w:rsidR="001B2E82">
        <w:t>from a</w:t>
      </w:r>
      <w:r w:rsidRPr="00D662C3" w:rsidR="00B3252F">
        <w:t>n additional</w:t>
      </w:r>
      <w:r w:rsidRPr="00D662C3" w:rsidR="001B2E82">
        <w:t xml:space="preserve"> five-month delay were substantially outweighed by the risks </w:t>
      </w:r>
      <w:r w:rsidRPr="00D662C3" w:rsidR="00F03481">
        <w:t xml:space="preserve">associated with self-representation in a capital matter.  </w:t>
      </w:r>
      <w:r w:rsidRPr="00D662C3" w:rsidR="00B3252F">
        <w:t xml:space="preserve">Moreover, </w:t>
      </w:r>
      <w:r w:rsidRPr="00D662C3">
        <w:t xml:space="preserve">the declaration </w:t>
      </w:r>
      <w:r w:rsidRPr="00D662C3" w:rsidR="00B3252F">
        <w:t>defense counsel</w:t>
      </w:r>
      <w:r w:rsidRPr="00D662C3">
        <w:t xml:space="preserve"> provided</w:t>
      </w:r>
      <w:r w:rsidRPr="00D662C3" w:rsidR="003C0E22">
        <w:t xml:space="preserve"> in support of the continuance motion was</w:t>
      </w:r>
      <w:r w:rsidRPr="00D662C3" w:rsidR="00F03481">
        <w:t xml:space="preserve"> vague, </w:t>
      </w:r>
      <w:r w:rsidRPr="00D662C3" w:rsidR="003C0E22">
        <w:t xml:space="preserve">failing </w:t>
      </w:r>
      <w:r w:rsidRPr="00D662C3" w:rsidR="00F03481">
        <w:t xml:space="preserve">to explain </w:t>
      </w:r>
      <w:r w:rsidRPr="00D662C3">
        <w:t xml:space="preserve">with </w:t>
      </w:r>
      <w:r w:rsidRPr="00D662C3" w:rsidR="0054711B">
        <w:t xml:space="preserve">any </w:t>
      </w:r>
      <w:r w:rsidRPr="00D662C3" w:rsidR="003C0E22">
        <w:t>specific</w:t>
      </w:r>
      <w:r w:rsidRPr="00D662C3">
        <w:t>ity the</w:t>
      </w:r>
      <w:r w:rsidRPr="00D662C3" w:rsidR="003C0E22">
        <w:t xml:space="preserve"> </w:t>
      </w:r>
      <w:r w:rsidRPr="00D662C3" w:rsidR="00F03481">
        <w:t xml:space="preserve">type of exculpatory evidence she hoped to gain from her further investigation or the likelihood that she would in fact obtain such evidence.  (See </w:t>
      </w:r>
      <w:r w:rsidRPr="00D662C3" w:rsidR="00F03481">
        <w:rPr>
          <w:i/>
          <w:iCs/>
        </w:rPr>
        <w:t>Doolin, supra</w:t>
      </w:r>
      <w:r w:rsidRPr="00D662C3" w:rsidR="00F03481">
        <w:t>, 45 Cal.4th at p. 451 [“defendant’s vague</w:t>
      </w:r>
      <w:r w:rsidR="00B0408F">
        <w:t> . . . </w:t>
      </w:r>
      <w:r w:rsidRPr="00D662C3" w:rsidR="00F03481">
        <w:t xml:space="preserve">reasons for the continuance failed to support good cause”].) </w:t>
      </w:r>
    </w:p>
    <w:p w:rsidR="002804B5" w:rsidRPr="00D662C3" w:rsidP="00E001F8">
      <w:pPr>
        <w:ind w:firstLine="720"/>
      </w:pPr>
      <w:r w:rsidRPr="00D662C3">
        <w:t xml:space="preserve"> </w:t>
      </w:r>
      <w:r w:rsidRPr="00D662C3">
        <w:t xml:space="preserve">On the record presented here, we cannot conclude </w:t>
      </w:r>
      <w:r w:rsidRPr="00D662C3" w:rsidR="001B3E5B">
        <w:t xml:space="preserve">that the trial court abused its discretion in attempting to balance the right to effective counsel versus the asserted right to a speedy trial by granting one continuance over defendant’s objection, but not two. </w:t>
      </w:r>
      <w:r w:rsidRPr="00D662C3" w:rsidR="0034301F">
        <w:t xml:space="preserve"> (</w:t>
      </w:r>
      <w:r w:rsidRPr="00D662C3" w:rsidR="001B3E5B">
        <w:t xml:space="preserve">See </w:t>
      </w:r>
      <w:r w:rsidRPr="00D662C3" w:rsidR="00161F9B">
        <w:rPr>
          <w:i/>
          <w:iCs/>
        </w:rPr>
        <w:t xml:space="preserve">Townsend, supra, </w:t>
      </w:r>
      <w:r w:rsidRPr="00D662C3" w:rsidR="00161F9B">
        <w:t>15 Cal.3d</w:t>
      </w:r>
      <w:r w:rsidRPr="00D662C3" w:rsidR="001B3E5B">
        <w:rPr>
          <w:i/>
          <w:iCs/>
        </w:rPr>
        <w:t xml:space="preserve"> </w:t>
      </w:r>
      <w:r w:rsidRPr="00D662C3" w:rsidR="001B3E5B">
        <w:t>at p.</w:t>
      </w:r>
      <w:r w:rsidRPr="00D662C3" w:rsidR="001B3E5B">
        <w:rPr>
          <w:i/>
          <w:iCs/>
        </w:rPr>
        <w:t xml:space="preserve"> </w:t>
      </w:r>
      <w:r w:rsidRPr="00D662C3" w:rsidR="0034301F">
        <w:t>784</w:t>
      </w:r>
      <w:r w:rsidRPr="00D662C3">
        <w:t xml:space="preserve"> [</w:t>
      </w:r>
      <w:r w:rsidRPr="00D662C3" w:rsidR="001B3E5B">
        <w:t>“counsel [does not] possess</w:t>
      </w:r>
      <w:r w:rsidRPr="00D662C3" w:rsidR="00F32CEF">
        <w:t>[]</w:t>
      </w:r>
      <w:r w:rsidRPr="00D662C3" w:rsidR="001B3E5B">
        <w:t xml:space="preserve"> carte blanche under any and all conditions to postpone his client’s trial indefinitely”</w:t>
      </w:r>
      <w:r w:rsidRPr="00D662C3">
        <w:t>].)</w:t>
      </w:r>
      <w:r w:rsidRPr="00D662C3" w:rsidR="006F2791">
        <w:t xml:space="preserve"> </w:t>
      </w:r>
    </w:p>
    <w:p w:rsidR="00C70ADE" w:rsidRPr="00D662C3" w:rsidP="00B93B27">
      <w:pPr>
        <w:pStyle w:val="ListParagraph"/>
        <w:numPr>
          <w:ilvl w:val="0"/>
          <w:numId w:val="7"/>
        </w:numPr>
        <w:tabs>
          <w:tab w:val="left" w:pos="1440"/>
        </w:tabs>
        <w:rPr>
          <w:i/>
          <w:iCs/>
          <w:smallCaps/>
        </w:rPr>
      </w:pPr>
      <w:r w:rsidRPr="00D662C3">
        <w:rPr>
          <w:i/>
          <w:iCs/>
        </w:rPr>
        <w:t xml:space="preserve">The wiretap application was not facially invalid </w:t>
      </w:r>
    </w:p>
    <w:p w:rsidR="00D47768" w:rsidRPr="00D662C3" w:rsidP="004F5DF7">
      <w:pPr>
        <w:ind w:firstLine="720"/>
        <w:rPr>
          <w:szCs w:val="26"/>
        </w:rPr>
      </w:pPr>
      <w:r w:rsidRPr="00D662C3">
        <w:rPr>
          <w:szCs w:val="26"/>
        </w:rPr>
        <w:t xml:space="preserve">Gonzalez </w:t>
      </w:r>
      <w:r w:rsidRPr="00D662C3" w:rsidR="007E038C">
        <w:rPr>
          <w:szCs w:val="26"/>
        </w:rPr>
        <w:t xml:space="preserve">argues the trial court </w:t>
      </w:r>
      <w:r w:rsidRPr="00D662C3" w:rsidR="00332B7C">
        <w:rPr>
          <w:szCs w:val="26"/>
        </w:rPr>
        <w:t>should have suppressed any</w:t>
      </w:r>
      <w:r w:rsidRPr="00D662C3" w:rsidR="007557ED">
        <w:rPr>
          <w:szCs w:val="26"/>
        </w:rPr>
        <w:t xml:space="preserve"> evidence </w:t>
      </w:r>
      <w:r w:rsidRPr="00D662C3" w:rsidR="00332B7C">
        <w:rPr>
          <w:szCs w:val="26"/>
        </w:rPr>
        <w:t xml:space="preserve">derived from </w:t>
      </w:r>
      <w:r w:rsidRPr="00D662C3">
        <w:rPr>
          <w:szCs w:val="26"/>
        </w:rPr>
        <w:t>communications</w:t>
      </w:r>
      <w:r w:rsidRPr="00D662C3" w:rsidR="00332B7C">
        <w:rPr>
          <w:szCs w:val="26"/>
        </w:rPr>
        <w:t xml:space="preserve"> that</w:t>
      </w:r>
      <w:r w:rsidRPr="00D662C3" w:rsidR="00D944DC">
        <w:rPr>
          <w:szCs w:val="26"/>
        </w:rPr>
        <w:t xml:space="preserve"> law enforcement </w:t>
      </w:r>
      <w:r w:rsidRPr="00D662C3">
        <w:rPr>
          <w:szCs w:val="26"/>
        </w:rPr>
        <w:t>intercepted pursuant to</w:t>
      </w:r>
      <w:r w:rsidRPr="00D662C3" w:rsidR="00D944DC">
        <w:rPr>
          <w:szCs w:val="26"/>
        </w:rPr>
        <w:t xml:space="preserve"> the</w:t>
      </w:r>
      <w:r w:rsidRPr="00D662C3">
        <w:rPr>
          <w:szCs w:val="26"/>
        </w:rPr>
        <w:t xml:space="preserve"> wiretap order</w:t>
      </w:r>
      <w:r w:rsidRPr="00D662C3" w:rsidR="00332B7C">
        <w:rPr>
          <w:szCs w:val="26"/>
        </w:rPr>
        <w:t>.</w:t>
      </w:r>
      <w:r w:rsidRPr="00D662C3" w:rsidR="00F0559A">
        <w:rPr>
          <w:szCs w:val="26"/>
        </w:rPr>
        <w:t xml:space="preserve"> </w:t>
      </w:r>
      <w:r w:rsidRPr="00D662C3" w:rsidR="001B3E5B">
        <w:rPr>
          <w:szCs w:val="26"/>
        </w:rPr>
        <w:t xml:space="preserve">As discussed </w:t>
      </w:r>
      <w:r w:rsidRPr="00D662C3" w:rsidR="007557ED">
        <w:rPr>
          <w:szCs w:val="26"/>
        </w:rPr>
        <w:t xml:space="preserve">in more detail </w:t>
      </w:r>
      <w:r w:rsidRPr="00D662C3" w:rsidR="001B3E5B">
        <w:rPr>
          <w:szCs w:val="26"/>
        </w:rPr>
        <w:t>below, John Spillane</w:t>
      </w:r>
      <w:r w:rsidRPr="00D662C3" w:rsidR="00B81FD5">
        <w:rPr>
          <w:szCs w:val="26"/>
        </w:rPr>
        <w:t xml:space="preserve">, the chief deputy district attorney for Los Angeles County, </w:t>
      </w:r>
      <w:r w:rsidRPr="00D662C3" w:rsidR="001B3E5B">
        <w:rPr>
          <w:szCs w:val="26"/>
        </w:rPr>
        <w:t>signed th</w:t>
      </w:r>
      <w:r w:rsidRPr="00D662C3">
        <w:rPr>
          <w:szCs w:val="26"/>
        </w:rPr>
        <w:t>e wiretap application</w:t>
      </w:r>
      <w:r w:rsidRPr="00D662C3" w:rsidR="001B3E5B">
        <w:rPr>
          <w:szCs w:val="26"/>
        </w:rPr>
        <w:t xml:space="preserve"> and attested that he was</w:t>
      </w:r>
      <w:r w:rsidRPr="00D662C3" w:rsidR="00A6502D">
        <w:rPr>
          <w:szCs w:val="26"/>
        </w:rPr>
        <w:t xml:space="preserve"> </w:t>
      </w:r>
      <w:r w:rsidR="00BC6A6A">
        <w:rPr>
          <w:szCs w:val="26"/>
        </w:rPr>
        <w:t>“</w:t>
      </w:r>
      <w:r w:rsidRPr="00D662C3" w:rsidR="00A6502D">
        <w:rPr>
          <w:szCs w:val="26"/>
        </w:rPr>
        <w:t>the person</w:t>
      </w:r>
      <w:r w:rsidRPr="00D662C3" w:rsidR="001B3E5B">
        <w:rPr>
          <w:szCs w:val="26"/>
        </w:rPr>
        <w:t xml:space="preserve"> designated to act as </w:t>
      </w:r>
      <w:r w:rsidR="00BC6A6A">
        <w:rPr>
          <w:szCs w:val="26"/>
        </w:rPr>
        <w:t>D</w:t>
      </w:r>
      <w:r w:rsidRPr="00D662C3" w:rsidR="001B3E5B">
        <w:rPr>
          <w:szCs w:val="26"/>
        </w:rPr>
        <w:t xml:space="preserve">istrict </w:t>
      </w:r>
      <w:r w:rsidR="00BC6A6A">
        <w:rPr>
          <w:szCs w:val="26"/>
        </w:rPr>
        <w:t>A</w:t>
      </w:r>
      <w:r w:rsidRPr="00D662C3" w:rsidR="001B3E5B">
        <w:rPr>
          <w:szCs w:val="26"/>
        </w:rPr>
        <w:t xml:space="preserve">ttorney </w:t>
      </w:r>
      <w:r w:rsidR="00BC6A6A">
        <w:rPr>
          <w:szCs w:val="26"/>
        </w:rPr>
        <w:t>in</w:t>
      </w:r>
      <w:r w:rsidRPr="00D662C3" w:rsidR="00BC6A6A">
        <w:rPr>
          <w:szCs w:val="26"/>
        </w:rPr>
        <w:t xml:space="preserve"> </w:t>
      </w:r>
      <w:r w:rsidR="00BC6A6A">
        <w:rPr>
          <w:szCs w:val="26"/>
        </w:rPr>
        <w:t>[</w:t>
      </w:r>
      <w:r w:rsidRPr="00D662C3" w:rsidR="00B81FD5">
        <w:rPr>
          <w:szCs w:val="26"/>
        </w:rPr>
        <w:t xml:space="preserve">District Attorney </w:t>
      </w:r>
      <w:r w:rsidRPr="00D662C3" w:rsidR="001B3E5B">
        <w:rPr>
          <w:szCs w:val="26"/>
        </w:rPr>
        <w:t>Steve Cooley</w:t>
      </w:r>
      <w:r w:rsidR="00BC6A6A">
        <w:rPr>
          <w:szCs w:val="26"/>
        </w:rPr>
        <w:t>’s]</w:t>
      </w:r>
      <w:r w:rsidRPr="00D662C3" w:rsidR="00B81FD5">
        <w:rPr>
          <w:szCs w:val="26"/>
        </w:rPr>
        <w:t xml:space="preserve"> absen</w:t>
      </w:r>
      <w:r w:rsidR="00BC6A6A">
        <w:rPr>
          <w:szCs w:val="26"/>
        </w:rPr>
        <w:t>ce.”</w:t>
      </w:r>
      <w:r w:rsidRPr="00D662C3" w:rsidR="00DD2C50">
        <w:rPr>
          <w:szCs w:val="26"/>
        </w:rPr>
        <w:t xml:space="preserve"> </w:t>
      </w:r>
      <w:r w:rsidRPr="00D662C3" w:rsidR="00B91949">
        <w:rPr>
          <w:szCs w:val="26"/>
        </w:rPr>
        <w:t xml:space="preserve"> </w:t>
      </w:r>
      <w:r w:rsidRPr="00D662C3" w:rsidR="00D13F66">
        <w:rPr>
          <w:szCs w:val="26"/>
        </w:rPr>
        <w:t>Although</w:t>
      </w:r>
      <w:r w:rsidRPr="00D662C3" w:rsidR="00DD2C50">
        <w:rPr>
          <w:szCs w:val="26"/>
        </w:rPr>
        <w:t xml:space="preserve"> </w:t>
      </w:r>
      <w:r w:rsidRPr="00D662C3" w:rsidR="001B3E5B">
        <w:rPr>
          <w:szCs w:val="26"/>
        </w:rPr>
        <w:t>C</w:t>
      </w:r>
      <w:r w:rsidRPr="00D662C3" w:rsidR="00D944DC">
        <w:rPr>
          <w:szCs w:val="26"/>
        </w:rPr>
        <w:t>alifornia’s w</w:t>
      </w:r>
      <w:r w:rsidRPr="00D662C3">
        <w:rPr>
          <w:szCs w:val="26"/>
        </w:rPr>
        <w:t xml:space="preserve">iretap </w:t>
      </w:r>
      <w:r w:rsidRPr="00D662C3" w:rsidR="0055537C">
        <w:rPr>
          <w:szCs w:val="26"/>
        </w:rPr>
        <w:t>law</w:t>
      </w:r>
      <w:r w:rsidRPr="00D662C3">
        <w:rPr>
          <w:szCs w:val="26"/>
        </w:rPr>
        <w:t xml:space="preserve"> </w:t>
      </w:r>
      <w:r w:rsidRPr="00D662C3" w:rsidR="00B05DA6">
        <w:rPr>
          <w:szCs w:val="26"/>
        </w:rPr>
        <w:t xml:space="preserve">expressly </w:t>
      </w:r>
      <w:r w:rsidRPr="00D662C3" w:rsidR="001B3E5B">
        <w:rPr>
          <w:szCs w:val="26"/>
        </w:rPr>
        <w:t>allow</w:t>
      </w:r>
      <w:r w:rsidR="00DB0023">
        <w:rPr>
          <w:szCs w:val="26"/>
        </w:rPr>
        <w:t>s</w:t>
      </w:r>
      <w:r w:rsidRPr="00D662C3" w:rsidR="00D13F66">
        <w:rPr>
          <w:szCs w:val="26"/>
        </w:rPr>
        <w:t xml:space="preserve"> for such designation (see § 629.50, subd. (a)), Gonzalez</w:t>
      </w:r>
      <w:r w:rsidRPr="00D662C3" w:rsidR="001B3E5B">
        <w:rPr>
          <w:szCs w:val="26"/>
        </w:rPr>
        <w:t xml:space="preserve"> contends </w:t>
      </w:r>
      <w:r w:rsidRPr="00D662C3" w:rsidR="00D13F66">
        <w:rPr>
          <w:szCs w:val="26"/>
        </w:rPr>
        <w:t xml:space="preserve">the </w:t>
      </w:r>
      <w:r w:rsidRPr="00D662C3" w:rsidR="001B3E5B">
        <w:rPr>
          <w:szCs w:val="26"/>
        </w:rPr>
        <w:t>application</w:t>
      </w:r>
      <w:r w:rsidRPr="00D662C3" w:rsidR="00D13F66">
        <w:rPr>
          <w:szCs w:val="26"/>
        </w:rPr>
        <w:t xml:space="preserve"> </w:t>
      </w:r>
      <w:r w:rsidRPr="00D662C3" w:rsidR="007557ED">
        <w:rPr>
          <w:szCs w:val="26"/>
        </w:rPr>
        <w:t>w</w:t>
      </w:r>
      <w:r w:rsidRPr="00D662C3" w:rsidR="00D13F66">
        <w:rPr>
          <w:szCs w:val="26"/>
        </w:rPr>
        <w:t>as</w:t>
      </w:r>
      <w:r w:rsidRPr="00D662C3" w:rsidR="007557ED">
        <w:rPr>
          <w:szCs w:val="26"/>
        </w:rPr>
        <w:t xml:space="preserve"> nonetheless</w:t>
      </w:r>
      <w:r w:rsidRPr="00D662C3" w:rsidR="001B3E5B">
        <w:rPr>
          <w:szCs w:val="26"/>
        </w:rPr>
        <w:t xml:space="preserve"> invalid </w:t>
      </w:r>
      <w:r w:rsidRPr="00D662C3" w:rsidR="00DD2C50">
        <w:rPr>
          <w:szCs w:val="26"/>
        </w:rPr>
        <w:t>because</w:t>
      </w:r>
      <w:r w:rsidRPr="00D662C3" w:rsidR="00D944DC">
        <w:rPr>
          <w:szCs w:val="26"/>
        </w:rPr>
        <w:t xml:space="preserve"> </w:t>
      </w:r>
      <w:r w:rsidRPr="00D662C3" w:rsidR="007557ED">
        <w:rPr>
          <w:szCs w:val="26"/>
        </w:rPr>
        <w:t xml:space="preserve">it </w:t>
      </w:r>
      <w:r w:rsidRPr="00D662C3" w:rsidR="00B81FD5">
        <w:rPr>
          <w:szCs w:val="26"/>
        </w:rPr>
        <w:t xml:space="preserve">failed to </w:t>
      </w:r>
      <w:r w:rsidRPr="00D662C3" w:rsidR="00D944DC">
        <w:rPr>
          <w:szCs w:val="26"/>
        </w:rPr>
        <w:t>include information</w:t>
      </w:r>
      <w:r w:rsidRPr="00D662C3" w:rsidR="007557ED">
        <w:rPr>
          <w:szCs w:val="26"/>
        </w:rPr>
        <w:t xml:space="preserve"> describing</w:t>
      </w:r>
      <w:r w:rsidRPr="00D662C3">
        <w:rPr>
          <w:szCs w:val="26"/>
        </w:rPr>
        <w:t xml:space="preserve"> </w:t>
      </w:r>
      <w:r w:rsidRPr="00D662C3" w:rsidR="00D944DC">
        <w:rPr>
          <w:szCs w:val="26"/>
        </w:rPr>
        <w:t>th</w:t>
      </w:r>
      <w:r w:rsidRPr="00D662C3" w:rsidR="00D13F66">
        <w:rPr>
          <w:szCs w:val="26"/>
        </w:rPr>
        <w:t xml:space="preserve">e circumstances of </w:t>
      </w:r>
      <w:r w:rsidRPr="00D662C3" w:rsidR="00776A85">
        <w:rPr>
          <w:szCs w:val="26"/>
        </w:rPr>
        <w:t>District Attorney Cooley</w:t>
      </w:r>
      <w:r w:rsidRPr="00D662C3" w:rsidR="00D13F66">
        <w:rPr>
          <w:szCs w:val="26"/>
        </w:rPr>
        <w:t>’s absence</w:t>
      </w:r>
      <w:r w:rsidRPr="00D662C3" w:rsidR="00776A85">
        <w:rPr>
          <w:szCs w:val="26"/>
        </w:rPr>
        <w:t>.</w:t>
      </w:r>
      <w:r w:rsidRPr="00D662C3" w:rsidR="007557ED">
        <w:rPr>
          <w:szCs w:val="26"/>
        </w:rPr>
        <w:t xml:space="preserve">  Gonzalez </w:t>
      </w:r>
      <w:r w:rsidRPr="00D662C3" w:rsidR="00A6502D">
        <w:rPr>
          <w:szCs w:val="26"/>
        </w:rPr>
        <w:t xml:space="preserve">argues </w:t>
      </w:r>
      <w:r w:rsidRPr="00D662C3" w:rsidR="007557ED">
        <w:rPr>
          <w:szCs w:val="26"/>
        </w:rPr>
        <w:t>that without such information, there is no way to verify whether Cooley was truly absent</w:t>
      </w:r>
      <w:r w:rsidRPr="00D662C3" w:rsidR="00A6502D">
        <w:rPr>
          <w:szCs w:val="26"/>
        </w:rPr>
        <w:t xml:space="preserve"> at the time Spillane filed the application</w:t>
      </w:r>
      <w:r w:rsidRPr="00D662C3" w:rsidR="007557ED">
        <w:rPr>
          <w:szCs w:val="26"/>
        </w:rPr>
        <w:t xml:space="preserve">.  </w:t>
      </w:r>
      <w:r w:rsidRPr="00D662C3" w:rsidR="00B81FD5">
        <w:rPr>
          <w:szCs w:val="26"/>
        </w:rPr>
        <w:t>We find no</w:t>
      </w:r>
      <w:r w:rsidRPr="00D662C3" w:rsidR="007557ED">
        <w:rPr>
          <w:szCs w:val="26"/>
        </w:rPr>
        <w:t xml:space="preserve">thing in the wiretap statute that </w:t>
      </w:r>
      <w:r w:rsidRPr="00D662C3" w:rsidR="00332B7C">
        <w:rPr>
          <w:szCs w:val="26"/>
        </w:rPr>
        <w:t>impose</w:t>
      </w:r>
      <w:r w:rsidR="008F4D67">
        <w:rPr>
          <w:szCs w:val="26"/>
        </w:rPr>
        <w:t>s</w:t>
      </w:r>
      <w:r w:rsidRPr="00D662C3" w:rsidR="00332B7C">
        <w:rPr>
          <w:szCs w:val="26"/>
        </w:rPr>
        <w:t xml:space="preserve"> such a requirement</w:t>
      </w:r>
      <w:r w:rsidRPr="00D662C3" w:rsidR="007557ED">
        <w:rPr>
          <w:szCs w:val="26"/>
        </w:rPr>
        <w:t xml:space="preserve">. </w:t>
      </w:r>
      <w:r w:rsidRPr="00D662C3" w:rsidR="00776A85">
        <w:rPr>
          <w:szCs w:val="26"/>
        </w:rPr>
        <w:t xml:space="preserve"> </w:t>
      </w:r>
      <w:r w:rsidRPr="00D662C3">
        <w:rPr>
          <w:szCs w:val="26"/>
        </w:rPr>
        <w:t xml:space="preserve">  </w:t>
      </w:r>
    </w:p>
    <w:p w:rsidR="000E7251" w:rsidRPr="00D662C3" w:rsidP="004F5DF7">
      <w:pPr>
        <w:pStyle w:val="ListParagraph"/>
        <w:numPr>
          <w:ilvl w:val="0"/>
          <w:numId w:val="15"/>
        </w:numPr>
        <w:rPr>
          <w:i/>
          <w:iCs/>
          <w:szCs w:val="26"/>
        </w:rPr>
      </w:pPr>
      <w:r w:rsidRPr="00D662C3">
        <w:rPr>
          <w:i/>
          <w:iCs/>
          <w:szCs w:val="26"/>
        </w:rPr>
        <w:t>Background</w:t>
      </w:r>
    </w:p>
    <w:p w:rsidR="009C49C1" w:rsidRPr="00D662C3" w:rsidP="001A722D">
      <w:pPr>
        <w:pStyle w:val="ListParagraph"/>
        <w:ind w:left="1440"/>
        <w:rPr>
          <w:i/>
          <w:iCs/>
          <w:szCs w:val="26"/>
        </w:rPr>
      </w:pPr>
      <w:r w:rsidRPr="00D662C3">
        <w:rPr>
          <w:szCs w:val="26"/>
        </w:rPr>
        <w:t>(</w:t>
      </w:r>
      <w:r w:rsidRPr="00D662C3">
        <w:rPr>
          <w:i/>
          <w:iCs/>
          <w:szCs w:val="26"/>
        </w:rPr>
        <w:t>i</w:t>
      </w:r>
      <w:r w:rsidRPr="00D662C3">
        <w:rPr>
          <w:szCs w:val="26"/>
        </w:rPr>
        <w:t>)</w:t>
      </w:r>
      <w:r w:rsidRPr="00D662C3">
        <w:rPr>
          <w:i/>
          <w:iCs/>
          <w:szCs w:val="26"/>
        </w:rPr>
        <w:t xml:space="preserve">  The trial court proceedings</w:t>
      </w:r>
    </w:p>
    <w:p w:rsidR="009C49C1" w:rsidRPr="00D662C3" w:rsidP="004F5DF7">
      <w:pPr>
        <w:ind w:firstLine="720"/>
        <w:rPr>
          <w:szCs w:val="26"/>
        </w:rPr>
      </w:pPr>
      <w:r w:rsidRPr="00D662C3">
        <w:rPr>
          <w:szCs w:val="26"/>
        </w:rPr>
        <w:t xml:space="preserve">In August 2006, </w:t>
      </w:r>
      <w:r w:rsidRPr="00D662C3" w:rsidR="006343EA">
        <w:rPr>
          <w:szCs w:val="26"/>
        </w:rPr>
        <w:t xml:space="preserve">Chief Deputy District Attorney John Spillane </w:t>
      </w:r>
      <w:r w:rsidRPr="00D662C3" w:rsidR="00332B7C">
        <w:rPr>
          <w:szCs w:val="26"/>
        </w:rPr>
        <w:t>filed</w:t>
      </w:r>
      <w:r w:rsidRPr="00D662C3" w:rsidR="006343EA">
        <w:rPr>
          <w:szCs w:val="26"/>
        </w:rPr>
        <w:t xml:space="preserve"> an application for an order authorizing wiretaps on several phones affiliated with Gonzalez. </w:t>
      </w:r>
      <w:r w:rsidRPr="00D662C3" w:rsidR="00332B7C">
        <w:rPr>
          <w:szCs w:val="26"/>
        </w:rPr>
        <w:t>The application included a declaration</w:t>
      </w:r>
      <w:r w:rsidRPr="00A509B6" w:rsidR="00A509B6">
        <w:rPr>
          <w:szCs w:val="26"/>
        </w:rPr>
        <w:t>, made under penalty of perjury,</w:t>
      </w:r>
      <w:r w:rsidRPr="00D662C3" w:rsidR="00332B7C">
        <w:rPr>
          <w:szCs w:val="26"/>
        </w:rPr>
        <w:t xml:space="preserve"> from </w:t>
      </w:r>
      <w:r w:rsidRPr="00D662C3" w:rsidR="006343EA">
        <w:rPr>
          <w:szCs w:val="26"/>
        </w:rPr>
        <w:t>Spillane stating</w:t>
      </w:r>
      <w:r w:rsidRPr="00D662C3" w:rsidR="00332B7C">
        <w:rPr>
          <w:szCs w:val="26"/>
        </w:rPr>
        <w:t xml:space="preserve">, “Steve Cooley is the District Attorney of the County of Los Angeles and I am the </w:t>
      </w:r>
      <w:r w:rsidRPr="00D662C3" w:rsidR="006343EA">
        <w:rPr>
          <w:szCs w:val="26"/>
        </w:rPr>
        <w:t xml:space="preserve">person designated to act as District Attorney in </w:t>
      </w:r>
      <w:r w:rsidRPr="00D662C3" w:rsidR="00332B7C">
        <w:rPr>
          <w:szCs w:val="26"/>
        </w:rPr>
        <w:t>his absence pursuant to Penal Code [s]ection 629.50</w:t>
      </w:r>
      <w:r w:rsidRPr="00D662C3" w:rsidR="00CE3A8C">
        <w:rPr>
          <w:szCs w:val="26"/>
        </w:rPr>
        <w:t>[, subdivision ]</w:t>
      </w:r>
      <w:r w:rsidRPr="00D662C3" w:rsidR="00332B7C">
        <w:rPr>
          <w:szCs w:val="26"/>
        </w:rPr>
        <w:t xml:space="preserve">(a).” </w:t>
      </w:r>
      <w:r w:rsidRPr="00D662C3" w:rsidR="00B93B27">
        <w:rPr>
          <w:szCs w:val="26"/>
        </w:rPr>
        <w:t xml:space="preserve"> </w:t>
      </w:r>
      <w:r w:rsidRPr="00D662C3" w:rsidR="00332B7C">
        <w:rPr>
          <w:szCs w:val="26"/>
        </w:rPr>
        <w:t>The</w:t>
      </w:r>
      <w:r w:rsidRPr="00D662C3" w:rsidR="007557ED">
        <w:rPr>
          <w:szCs w:val="26"/>
        </w:rPr>
        <w:t xml:space="preserve"> declaration also </w:t>
      </w:r>
      <w:r w:rsidRPr="00D662C3" w:rsidR="00332B7C">
        <w:rPr>
          <w:szCs w:val="26"/>
        </w:rPr>
        <w:t xml:space="preserve">stated Spillane </w:t>
      </w:r>
      <w:r w:rsidRPr="00D662C3" w:rsidR="007557ED">
        <w:rPr>
          <w:szCs w:val="26"/>
        </w:rPr>
        <w:t>had review</w:t>
      </w:r>
      <w:r w:rsidRPr="00D662C3" w:rsidR="00332B7C">
        <w:rPr>
          <w:szCs w:val="26"/>
        </w:rPr>
        <w:t>ed</w:t>
      </w:r>
      <w:r w:rsidRPr="00D662C3" w:rsidR="007557ED">
        <w:rPr>
          <w:szCs w:val="26"/>
        </w:rPr>
        <w:t xml:space="preserve"> </w:t>
      </w:r>
      <w:r w:rsidRPr="00D662C3">
        <w:rPr>
          <w:szCs w:val="26"/>
        </w:rPr>
        <w:t>a</w:t>
      </w:r>
      <w:r w:rsidRPr="00D662C3" w:rsidR="0055537C">
        <w:rPr>
          <w:szCs w:val="26"/>
        </w:rPr>
        <w:t>n attached</w:t>
      </w:r>
      <w:r w:rsidRPr="00D662C3">
        <w:rPr>
          <w:szCs w:val="26"/>
        </w:rPr>
        <w:t xml:space="preserve"> 37-page affidavit </w:t>
      </w:r>
      <w:r w:rsidRPr="00D662C3" w:rsidR="006343EA">
        <w:rPr>
          <w:szCs w:val="26"/>
        </w:rPr>
        <w:t xml:space="preserve">from </w:t>
      </w:r>
      <w:r w:rsidRPr="00D662C3">
        <w:rPr>
          <w:szCs w:val="26"/>
        </w:rPr>
        <w:t xml:space="preserve">detective Thomas Kerfoot </w:t>
      </w:r>
      <w:r w:rsidRPr="00D662C3" w:rsidR="007557ED">
        <w:rPr>
          <w:szCs w:val="26"/>
        </w:rPr>
        <w:t xml:space="preserve">that </w:t>
      </w:r>
      <w:r w:rsidRPr="00D662C3">
        <w:rPr>
          <w:szCs w:val="26"/>
        </w:rPr>
        <w:t>provid</w:t>
      </w:r>
      <w:r w:rsidRPr="00D662C3" w:rsidR="007557ED">
        <w:rPr>
          <w:szCs w:val="26"/>
        </w:rPr>
        <w:t>ed background</w:t>
      </w:r>
      <w:r w:rsidRPr="00D662C3" w:rsidR="0055537C">
        <w:rPr>
          <w:szCs w:val="26"/>
        </w:rPr>
        <w:t xml:space="preserve"> information</w:t>
      </w:r>
      <w:r w:rsidRPr="00D662C3" w:rsidR="007557ED">
        <w:rPr>
          <w:szCs w:val="26"/>
        </w:rPr>
        <w:t xml:space="preserve"> regarding the investigation and explained the need for </w:t>
      </w:r>
      <w:r w:rsidRPr="00D662C3">
        <w:rPr>
          <w:szCs w:val="26"/>
        </w:rPr>
        <w:t xml:space="preserve">the wiretaps. </w:t>
      </w:r>
      <w:r w:rsidRPr="00D662C3" w:rsidR="00B93B27">
        <w:rPr>
          <w:szCs w:val="26"/>
        </w:rPr>
        <w:t xml:space="preserve"> </w:t>
      </w:r>
      <w:r w:rsidRPr="00D662C3">
        <w:rPr>
          <w:szCs w:val="26"/>
        </w:rPr>
        <w:t>Spillane</w:t>
      </w:r>
      <w:r w:rsidRPr="00D662C3" w:rsidR="006343EA">
        <w:rPr>
          <w:szCs w:val="26"/>
        </w:rPr>
        <w:t xml:space="preserve"> </w:t>
      </w:r>
      <w:r w:rsidRPr="00D662C3" w:rsidR="00A6502D">
        <w:rPr>
          <w:szCs w:val="26"/>
        </w:rPr>
        <w:t xml:space="preserve">further </w:t>
      </w:r>
      <w:r w:rsidRPr="00D662C3" w:rsidR="007557ED">
        <w:rPr>
          <w:szCs w:val="26"/>
        </w:rPr>
        <w:t xml:space="preserve">attested that he </w:t>
      </w:r>
      <w:r w:rsidRPr="00D662C3">
        <w:rPr>
          <w:szCs w:val="26"/>
        </w:rPr>
        <w:t>agreed the wiretaps were</w:t>
      </w:r>
      <w:r w:rsidRPr="00D662C3" w:rsidR="007557ED">
        <w:rPr>
          <w:szCs w:val="26"/>
        </w:rPr>
        <w:t xml:space="preserve"> both</w:t>
      </w:r>
      <w:r w:rsidRPr="00D662C3">
        <w:rPr>
          <w:szCs w:val="26"/>
        </w:rPr>
        <w:t xml:space="preserve"> necessary and likely to intercept communications related to Rosa’s murder. </w:t>
      </w:r>
      <w:r w:rsidRPr="00D662C3" w:rsidR="007557ED">
        <w:rPr>
          <w:szCs w:val="26"/>
        </w:rPr>
        <w:t xml:space="preserve"> </w:t>
      </w:r>
      <w:r w:rsidRPr="00D662C3">
        <w:rPr>
          <w:szCs w:val="26"/>
        </w:rPr>
        <w:t xml:space="preserve">The application also included a signed attestation from Long Beach Police Department Chief Anthony Betts confirming that he had reviewed Kerfoot’s affidavit and had approved the application.    </w:t>
      </w:r>
    </w:p>
    <w:p w:rsidR="00F0559A" w:rsidRPr="00D662C3" w:rsidP="004F5DF7">
      <w:pPr>
        <w:ind w:firstLine="720"/>
        <w:rPr>
          <w:szCs w:val="26"/>
        </w:rPr>
      </w:pPr>
      <w:r w:rsidRPr="00D662C3">
        <w:rPr>
          <w:szCs w:val="26"/>
        </w:rPr>
        <w:t xml:space="preserve">Prior to trial, Gonzalez filed a motion </w:t>
      </w:r>
      <w:r w:rsidRPr="00D662C3" w:rsidR="007557ED">
        <w:rPr>
          <w:szCs w:val="26"/>
        </w:rPr>
        <w:t>arguing that</w:t>
      </w:r>
      <w:r w:rsidRPr="00D662C3">
        <w:rPr>
          <w:szCs w:val="26"/>
        </w:rPr>
        <w:t xml:space="preserve"> any evidence derived from the wiretap</w:t>
      </w:r>
      <w:r w:rsidRPr="00D662C3" w:rsidR="007557ED">
        <w:rPr>
          <w:szCs w:val="26"/>
        </w:rPr>
        <w:t xml:space="preserve">s should be suppressed </w:t>
      </w:r>
      <w:r w:rsidRPr="00D662C3">
        <w:rPr>
          <w:szCs w:val="26"/>
        </w:rPr>
        <w:t xml:space="preserve">because </w:t>
      </w:r>
      <w:r w:rsidRPr="00D662C3" w:rsidR="007557ED">
        <w:rPr>
          <w:szCs w:val="26"/>
        </w:rPr>
        <w:t>Spillane’s a</w:t>
      </w:r>
      <w:r w:rsidRPr="00D662C3">
        <w:rPr>
          <w:szCs w:val="26"/>
        </w:rPr>
        <w:t xml:space="preserve">pplication </w:t>
      </w:r>
      <w:r w:rsidRPr="00D662C3" w:rsidR="00332B7C">
        <w:rPr>
          <w:szCs w:val="26"/>
        </w:rPr>
        <w:t>did not</w:t>
      </w:r>
      <w:r w:rsidRPr="00D662C3">
        <w:rPr>
          <w:szCs w:val="26"/>
        </w:rPr>
        <w:t xml:space="preserve"> </w:t>
      </w:r>
      <w:r w:rsidRPr="00D662C3" w:rsidR="007557ED">
        <w:rPr>
          <w:szCs w:val="26"/>
        </w:rPr>
        <w:t xml:space="preserve">include any information confirming that District Attorney Cooley was absent </w:t>
      </w:r>
      <w:r w:rsidRPr="00D662C3" w:rsidR="00332B7C">
        <w:rPr>
          <w:szCs w:val="26"/>
        </w:rPr>
        <w:t>when</w:t>
      </w:r>
      <w:r w:rsidRPr="00D662C3" w:rsidR="007557ED">
        <w:rPr>
          <w:szCs w:val="26"/>
        </w:rPr>
        <w:t xml:space="preserve"> Spillane</w:t>
      </w:r>
      <w:r w:rsidRPr="00D662C3">
        <w:rPr>
          <w:szCs w:val="26"/>
        </w:rPr>
        <w:t xml:space="preserve"> </w:t>
      </w:r>
      <w:r w:rsidRPr="00D662C3" w:rsidR="00F8213E">
        <w:rPr>
          <w:szCs w:val="26"/>
        </w:rPr>
        <w:t xml:space="preserve">had </w:t>
      </w:r>
      <w:r w:rsidRPr="00D662C3">
        <w:rPr>
          <w:szCs w:val="26"/>
        </w:rPr>
        <w:t>sought the order</w:t>
      </w:r>
      <w:r w:rsidRPr="00D662C3" w:rsidR="007557ED">
        <w:rPr>
          <w:szCs w:val="26"/>
        </w:rPr>
        <w:t>.</w:t>
      </w:r>
      <w:r w:rsidRPr="00D662C3">
        <w:rPr>
          <w:szCs w:val="26"/>
        </w:rPr>
        <w:t xml:space="preserve"> </w:t>
      </w:r>
      <w:r w:rsidRPr="00D662C3" w:rsidR="00B93B27">
        <w:rPr>
          <w:szCs w:val="26"/>
        </w:rPr>
        <w:t xml:space="preserve"> </w:t>
      </w:r>
      <w:r w:rsidRPr="00D662C3">
        <w:rPr>
          <w:szCs w:val="26"/>
        </w:rPr>
        <w:t>Gonzalez</w:t>
      </w:r>
      <w:r w:rsidRPr="00D662C3" w:rsidR="00DF3B3E">
        <w:rPr>
          <w:szCs w:val="26"/>
        </w:rPr>
        <w:t xml:space="preserve">’s motion contended that </w:t>
      </w:r>
      <w:r w:rsidRPr="00D662C3" w:rsidR="006E26DB">
        <w:rPr>
          <w:szCs w:val="26"/>
        </w:rPr>
        <w:t xml:space="preserve">the district attorney’s office had attempted to </w:t>
      </w:r>
      <w:r w:rsidRPr="00D662C3" w:rsidR="006343EA">
        <w:rPr>
          <w:szCs w:val="26"/>
        </w:rPr>
        <w:t>“take advantage of</w:t>
      </w:r>
      <w:r w:rsidRPr="00D662C3">
        <w:rPr>
          <w:szCs w:val="26"/>
        </w:rPr>
        <w:t xml:space="preserve"> </w:t>
      </w:r>
      <w:r w:rsidRPr="00D662C3" w:rsidR="006343EA">
        <w:rPr>
          <w:szCs w:val="26"/>
        </w:rPr>
        <w:t xml:space="preserve">an </w:t>
      </w:r>
      <w:r w:rsidRPr="00D662C3">
        <w:rPr>
          <w:szCs w:val="26"/>
        </w:rPr>
        <w:t>ambiguity</w:t>
      </w:r>
      <w:r w:rsidRPr="00D662C3" w:rsidR="00C439F0">
        <w:rPr>
          <w:szCs w:val="26"/>
        </w:rPr>
        <w:t xml:space="preserve">” </w:t>
      </w:r>
      <w:r w:rsidRPr="00D662C3" w:rsidR="006343EA">
        <w:rPr>
          <w:szCs w:val="26"/>
        </w:rPr>
        <w:t>in the statutory</w:t>
      </w:r>
      <w:r w:rsidRPr="00D662C3" w:rsidR="006E26DB">
        <w:rPr>
          <w:szCs w:val="26"/>
        </w:rPr>
        <w:t xml:space="preserve"> provision</w:t>
      </w:r>
      <w:r w:rsidRPr="00D662C3" w:rsidR="006343EA">
        <w:rPr>
          <w:szCs w:val="26"/>
        </w:rPr>
        <w:t xml:space="preserve"> </w:t>
      </w:r>
      <w:r w:rsidRPr="00D662C3" w:rsidR="00C439F0">
        <w:rPr>
          <w:szCs w:val="26"/>
        </w:rPr>
        <w:t xml:space="preserve">that </w:t>
      </w:r>
      <w:r w:rsidRPr="00D662C3">
        <w:rPr>
          <w:szCs w:val="26"/>
        </w:rPr>
        <w:t xml:space="preserve">authorizes </w:t>
      </w:r>
      <w:r w:rsidRPr="00D662C3" w:rsidR="00C439F0">
        <w:rPr>
          <w:szCs w:val="26"/>
        </w:rPr>
        <w:t xml:space="preserve">a </w:t>
      </w:r>
      <w:r w:rsidRPr="00D662C3">
        <w:rPr>
          <w:szCs w:val="26"/>
        </w:rPr>
        <w:t xml:space="preserve">person designated to act in the </w:t>
      </w:r>
      <w:r w:rsidRPr="00D662C3" w:rsidR="00C439F0">
        <w:rPr>
          <w:szCs w:val="26"/>
        </w:rPr>
        <w:t>d</w:t>
      </w:r>
      <w:r w:rsidRPr="00D662C3">
        <w:rPr>
          <w:szCs w:val="26"/>
        </w:rPr>
        <w:t xml:space="preserve">istrict </w:t>
      </w:r>
      <w:r w:rsidRPr="00D662C3" w:rsidR="00C439F0">
        <w:rPr>
          <w:szCs w:val="26"/>
        </w:rPr>
        <w:t>a</w:t>
      </w:r>
      <w:r w:rsidRPr="00D662C3">
        <w:rPr>
          <w:szCs w:val="26"/>
        </w:rPr>
        <w:t>ttorney’s absence</w:t>
      </w:r>
      <w:r w:rsidRPr="00D662C3" w:rsidR="00C439F0">
        <w:rPr>
          <w:szCs w:val="26"/>
        </w:rPr>
        <w:t xml:space="preserve"> to seek a wiretap application</w:t>
      </w:r>
      <w:r w:rsidRPr="00D662C3" w:rsidR="006E26DB">
        <w:rPr>
          <w:szCs w:val="26"/>
        </w:rPr>
        <w:t>.  That provision</w:t>
      </w:r>
      <w:r w:rsidRPr="00D662C3" w:rsidR="00DF3B3E">
        <w:rPr>
          <w:szCs w:val="26"/>
        </w:rPr>
        <w:t xml:space="preserve">, set forth in </w:t>
      </w:r>
      <w:bookmarkStart w:id="14" w:name="_Hlk86157061"/>
      <w:r w:rsidRPr="00D662C3" w:rsidR="00DF3B3E">
        <w:rPr>
          <w:szCs w:val="26"/>
        </w:rPr>
        <w:t>section 629.50, subdivision (a) (section 629.50(a))</w:t>
      </w:r>
      <w:r w:rsidRPr="00D662C3" w:rsidR="006E26DB">
        <w:rPr>
          <w:szCs w:val="26"/>
        </w:rPr>
        <w:t xml:space="preserve"> </w:t>
      </w:r>
      <w:bookmarkEnd w:id="14"/>
      <w:r w:rsidRPr="00D662C3" w:rsidR="006E26DB">
        <w:rPr>
          <w:szCs w:val="26"/>
        </w:rPr>
        <w:t>states</w:t>
      </w:r>
      <w:r w:rsidRPr="00D662C3" w:rsidR="00B05DA6">
        <w:rPr>
          <w:szCs w:val="26"/>
        </w:rPr>
        <w:t>, in relevant part</w:t>
      </w:r>
      <w:r w:rsidRPr="00D662C3" w:rsidR="006E26DB">
        <w:rPr>
          <w:szCs w:val="26"/>
        </w:rPr>
        <w:t>:</w:t>
      </w:r>
      <w:r w:rsidRPr="00D662C3" w:rsidR="00C439F0">
        <w:rPr>
          <w:szCs w:val="26"/>
        </w:rPr>
        <w:t xml:space="preserve"> </w:t>
      </w:r>
      <w:r w:rsidRPr="00D662C3">
        <w:rPr>
          <w:szCs w:val="26"/>
        </w:rPr>
        <w:t xml:space="preserve"> “Each application for an order authorizing the interception of a wire or electronic communication shall be made in writing upon the personal oath or affirmation of . . . a district attorney, or the person designated to act as district attorney in the district attorney’s absence.”   </w:t>
      </w:r>
      <w:r w:rsidRPr="00D662C3">
        <w:rPr>
          <w:szCs w:val="26"/>
        </w:rPr>
        <w:t xml:space="preserve"> </w:t>
      </w:r>
    </w:p>
    <w:p w:rsidR="00554CEC" w:rsidRPr="00D662C3" w:rsidP="004F5DF7">
      <w:pPr>
        <w:ind w:firstLine="720"/>
        <w:rPr>
          <w:szCs w:val="26"/>
        </w:rPr>
      </w:pPr>
      <w:r w:rsidRPr="00D662C3">
        <w:rPr>
          <w:szCs w:val="26"/>
        </w:rPr>
        <w:t>Gonzalez</w:t>
      </w:r>
      <w:r w:rsidRPr="00D662C3" w:rsidR="00C439F0">
        <w:rPr>
          <w:szCs w:val="26"/>
        </w:rPr>
        <w:t xml:space="preserve"> argued </w:t>
      </w:r>
      <w:r w:rsidRPr="00D662C3" w:rsidR="001A722D">
        <w:rPr>
          <w:szCs w:val="26"/>
        </w:rPr>
        <w:t xml:space="preserve">the </w:t>
      </w:r>
      <w:r w:rsidRPr="00D662C3" w:rsidR="00A33F57">
        <w:rPr>
          <w:szCs w:val="26"/>
        </w:rPr>
        <w:t>language</w:t>
      </w:r>
      <w:r w:rsidRPr="00D662C3" w:rsidR="006E26DB">
        <w:rPr>
          <w:szCs w:val="26"/>
        </w:rPr>
        <w:t xml:space="preserve"> </w:t>
      </w:r>
      <w:r w:rsidRPr="00D662C3" w:rsidR="00F32CEF">
        <w:rPr>
          <w:szCs w:val="26"/>
        </w:rPr>
        <w:t xml:space="preserve">in section 629.50(a) </w:t>
      </w:r>
      <w:r w:rsidRPr="00D662C3" w:rsidR="00C439F0">
        <w:rPr>
          <w:szCs w:val="26"/>
        </w:rPr>
        <w:t>could be construed</w:t>
      </w:r>
      <w:r w:rsidRPr="00D662C3" w:rsidR="00126540">
        <w:rPr>
          <w:szCs w:val="26"/>
        </w:rPr>
        <w:t xml:space="preserve"> </w:t>
      </w:r>
      <w:r w:rsidRPr="00D662C3" w:rsidR="006E26DB">
        <w:rPr>
          <w:szCs w:val="26"/>
        </w:rPr>
        <w:t xml:space="preserve">in one of two ways.  First, it could mean that </w:t>
      </w:r>
      <w:r w:rsidRPr="00D662C3" w:rsidR="00126540">
        <w:rPr>
          <w:szCs w:val="26"/>
        </w:rPr>
        <w:t>the person designated to act</w:t>
      </w:r>
      <w:r w:rsidRPr="00D662C3" w:rsidR="00FC7C7B">
        <w:rPr>
          <w:szCs w:val="26"/>
        </w:rPr>
        <w:t xml:space="preserve"> as district attorney</w:t>
      </w:r>
      <w:r w:rsidRPr="00D662C3" w:rsidR="006E26DB">
        <w:rPr>
          <w:szCs w:val="26"/>
        </w:rPr>
        <w:t xml:space="preserve"> in the district attorney’s absence</w:t>
      </w:r>
      <w:r w:rsidRPr="00D662C3" w:rsidR="00126540">
        <w:rPr>
          <w:szCs w:val="26"/>
        </w:rPr>
        <w:t xml:space="preserve"> </w:t>
      </w:r>
      <w:r w:rsidRPr="00D662C3" w:rsidR="006E26DB">
        <w:rPr>
          <w:szCs w:val="26"/>
        </w:rPr>
        <w:t>can only seek an application when the district attorney is actually absent; second</w:t>
      </w:r>
      <w:r w:rsidRPr="00D662C3" w:rsidR="00F32CEF">
        <w:rPr>
          <w:szCs w:val="26"/>
        </w:rPr>
        <w:t>,</w:t>
      </w:r>
      <w:r w:rsidRPr="00D662C3" w:rsidR="006E26DB">
        <w:rPr>
          <w:szCs w:val="26"/>
        </w:rPr>
        <w:t xml:space="preserve"> it could mean that </w:t>
      </w:r>
      <w:r w:rsidRPr="00D662C3" w:rsidR="00FC7C7B">
        <w:rPr>
          <w:szCs w:val="26"/>
        </w:rPr>
        <w:t xml:space="preserve">if a </w:t>
      </w:r>
      <w:r w:rsidRPr="00D662C3" w:rsidR="006E26DB">
        <w:rPr>
          <w:szCs w:val="26"/>
        </w:rPr>
        <w:t>person</w:t>
      </w:r>
      <w:r w:rsidRPr="00D662C3" w:rsidR="00FC7C7B">
        <w:rPr>
          <w:szCs w:val="26"/>
        </w:rPr>
        <w:t xml:space="preserve"> has been </w:t>
      </w:r>
      <w:r w:rsidRPr="00D662C3" w:rsidR="006E26DB">
        <w:rPr>
          <w:szCs w:val="26"/>
        </w:rPr>
        <w:t>designated to act</w:t>
      </w:r>
      <w:r w:rsidRPr="00D662C3" w:rsidR="00FC7C7B">
        <w:rPr>
          <w:szCs w:val="26"/>
        </w:rPr>
        <w:t xml:space="preserve"> as the district attorney when the district attorney is absent, </w:t>
      </w:r>
      <w:r w:rsidRPr="00D662C3" w:rsidR="006E26DB">
        <w:rPr>
          <w:szCs w:val="26"/>
        </w:rPr>
        <w:t xml:space="preserve">he or she </w:t>
      </w:r>
      <w:r w:rsidRPr="00D662C3" w:rsidR="00126540">
        <w:rPr>
          <w:szCs w:val="26"/>
        </w:rPr>
        <w:t>can seek an application even when the district attorney is present</w:t>
      </w:r>
      <w:r w:rsidRPr="00D662C3" w:rsidR="006E26DB">
        <w:rPr>
          <w:szCs w:val="26"/>
        </w:rPr>
        <w:t>.</w:t>
      </w:r>
      <w:r w:rsidRPr="00D662C3" w:rsidR="00F829EC">
        <w:rPr>
          <w:szCs w:val="26"/>
        </w:rPr>
        <w:t xml:space="preserve"> </w:t>
      </w:r>
      <w:r w:rsidRPr="00D662C3" w:rsidR="00A33F57">
        <w:rPr>
          <w:szCs w:val="26"/>
        </w:rPr>
        <w:t xml:space="preserve"> </w:t>
      </w:r>
      <w:r w:rsidRPr="00D662C3">
        <w:rPr>
          <w:szCs w:val="26"/>
        </w:rPr>
        <w:t>Gonzalez argued th</w:t>
      </w:r>
      <w:r w:rsidRPr="00D662C3" w:rsidR="00A33F57">
        <w:rPr>
          <w:szCs w:val="26"/>
        </w:rPr>
        <w:t xml:space="preserve">at the first interpretation was </w:t>
      </w:r>
      <w:r w:rsidRPr="00D662C3" w:rsidR="00F0559A">
        <w:rPr>
          <w:szCs w:val="26"/>
        </w:rPr>
        <w:t xml:space="preserve">the </w:t>
      </w:r>
      <w:r w:rsidRPr="00D662C3" w:rsidR="00A33F57">
        <w:rPr>
          <w:szCs w:val="26"/>
        </w:rPr>
        <w:t>correct</w:t>
      </w:r>
      <w:r w:rsidRPr="00D662C3" w:rsidR="00F0559A">
        <w:rPr>
          <w:szCs w:val="26"/>
        </w:rPr>
        <w:t xml:space="preserve"> reading</w:t>
      </w:r>
      <w:r w:rsidRPr="00D662C3" w:rsidR="00A33F57">
        <w:rPr>
          <w:szCs w:val="26"/>
        </w:rPr>
        <w:t>, explaining that “[w]</w:t>
      </w:r>
      <w:r w:rsidRPr="00D662C3">
        <w:rPr>
          <w:szCs w:val="26"/>
        </w:rPr>
        <w:t xml:space="preserve">hile the urgent nature of criminal investigations may explain why the legislature provided for a delegate in the case of the district attorney’s absence, there is no justification for allowing such delegation when the district attorney is present and capable of filing the application.” </w:t>
      </w:r>
      <w:r w:rsidRPr="00D662C3">
        <w:rPr>
          <w:szCs w:val="26"/>
        </w:rPr>
        <w:t xml:space="preserve"> </w:t>
      </w:r>
    </w:p>
    <w:p w:rsidR="009C49C1" w:rsidRPr="00D662C3" w:rsidP="004F5DF7">
      <w:pPr>
        <w:ind w:firstLine="720"/>
        <w:rPr>
          <w:szCs w:val="26"/>
        </w:rPr>
      </w:pPr>
      <w:r w:rsidRPr="00D662C3">
        <w:rPr>
          <w:szCs w:val="26"/>
        </w:rPr>
        <w:t>Gonzalez</w:t>
      </w:r>
      <w:r w:rsidRPr="00D662C3" w:rsidR="00554CEC">
        <w:rPr>
          <w:szCs w:val="26"/>
        </w:rPr>
        <w:t xml:space="preserve"> further contended that based on the </w:t>
      </w:r>
      <w:r w:rsidRPr="00D662C3">
        <w:rPr>
          <w:szCs w:val="26"/>
        </w:rPr>
        <w:t>wording</w:t>
      </w:r>
      <w:r w:rsidRPr="00D662C3" w:rsidR="00554CEC">
        <w:rPr>
          <w:szCs w:val="26"/>
        </w:rPr>
        <w:t xml:space="preserve"> of</w:t>
      </w:r>
      <w:r w:rsidRPr="00D662C3">
        <w:rPr>
          <w:szCs w:val="26"/>
        </w:rPr>
        <w:t xml:space="preserve"> the</w:t>
      </w:r>
      <w:r w:rsidRPr="00D662C3" w:rsidR="00554CEC">
        <w:rPr>
          <w:szCs w:val="26"/>
        </w:rPr>
        <w:t xml:space="preserve"> wiretap application, it was unclear whether District Attorney Cooley was </w:t>
      </w:r>
      <w:r w:rsidRPr="00D662C3">
        <w:rPr>
          <w:szCs w:val="26"/>
        </w:rPr>
        <w:t xml:space="preserve">truly </w:t>
      </w:r>
      <w:r w:rsidRPr="00D662C3" w:rsidR="00554CEC">
        <w:rPr>
          <w:szCs w:val="26"/>
        </w:rPr>
        <w:t>absent when Spillane</w:t>
      </w:r>
      <w:r w:rsidR="0006406E">
        <w:rPr>
          <w:szCs w:val="26"/>
        </w:rPr>
        <w:t xml:space="preserve"> had </w:t>
      </w:r>
      <w:r w:rsidRPr="00D662C3" w:rsidR="00554CEC">
        <w:rPr>
          <w:szCs w:val="26"/>
        </w:rPr>
        <w:t xml:space="preserve">sought the order.  </w:t>
      </w:r>
      <w:r w:rsidRPr="00D662C3" w:rsidR="00DF3B3E">
        <w:rPr>
          <w:szCs w:val="26"/>
        </w:rPr>
        <w:t xml:space="preserve">According to Gonzalez, </w:t>
      </w:r>
      <w:r w:rsidRPr="00D662C3" w:rsidR="00554CEC">
        <w:rPr>
          <w:szCs w:val="26"/>
        </w:rPr>
        <w:t xml:space="preserve">Spillane’s </w:t>
      </w:r>
      <w:r w:rsidRPr="00D662C3">
        <w:rPr>
          <w:szCs w:val="26"/>
        </w:rPr>
        <w:t xml:space="preserve">declaration </w:t>
      </w:r>
      <w:r w:rsidRPr="00D662C3" w:rsidR="00554CEC">
        <w:rPr>
          <w:szCs w:val="26"/>
        </w:rPr>
        <w:t>stated</w:t>
      </w:r>
      <w:r w:rsidRPr="00D662C3" w:rsidR="00DF3B3E">
        <w:rPr>
          <w:szCs w:val="26"/>
        </w:rPr>
        <w:t xml:space="preserve"> only</w:t>
      </w:r>
      <w:r w:rsidRPr="00D662C3" w:rsidR="00554CEC">
        <w:rPr>
          <w:szCs w:val="26"/>
        </w:rPr>
        <w:t xml:space="preserve"> t</w:t>
      </w:r>
      <w:r w:rsidRPr="00D662C3">
        <w:rPr>
          <w:szCs w:val="26"/>
        </w:rPr>
        <w:t>hat he was “</w:t>
      </w:r>
      <w:r w:rsidRPr="00D662C3" w:rsidR="002A4D67">
        <w:rPr>
          <w:szCs w:val="26"/>
        </w:rPr>
        <w:t> </w:t>
      </w:r>
      <w:r w:rsidRPr="00D662C3">
        <w:rPr>
          <w:szCs w:val="26"/>
        </w:rPr>
        <w:t>‘</w:t>
      </w:r>
      <w:r w:rsidRPr="00D662C3" w:rsidR="00B93B27">
        <w:rPr>
          <w:szCs w:val="26"/>
        </w:rPr>
        <w:t xml:space="preserve">the person </w:t>
      </w:r>
      <w:r w:rsidRPr="00D662C3">
        <w:rPr>
          <w:szCs w:val="26"/>
        </w:rPr>
        <w:t xml:space="preserve">designated to act as District Attorney in [Steve Cooley’s] absence,’ but ma[de] no assertion whatsoever regarding Cooley’s actual absence from his position.”  Gonzalez </w:t>
      </w:r>
      <w:r w:rsidRPr="00D662C3" w:rsidR="00554CEC">
        <w:rPr>
          <w:szCs w:val="26"/>
        </w:rPr>
        <w:t>further</w:t>
      </w:r>
      <w:r w:rsidRPr="00D662C3">
        <w:rPr>
          <w:szCs w:val="26"/>
        </w:rPr>
        <w:t xml:space="preserve"> argued that because the “government ha[d] made no showing that Cooley was, in fact, absent when the application</w:t>
      </w:r>
      <w:r w:rsidR="0006406E">
        <w:rPr>
          <w:szCs w:val="26"/>
        </w:rPr>
        <w:t> . . . </w:t>
      </w:r>
      <w:r w:rsidRPr="00D662C3">
        <w:rPr>
          <w:szCs w:val="26"/>
        </w:rPr>
        <w:t>was approved</w:t>
      </w:r>
      <w:r w:rsidR="0006406E">
        <w:rPr>
          <w:szCs w:val="26"/>
        </w:rPr>
        <w:t xml:space="preserve"> . . . , </w:t>
      </w:r>
      <w:r w:rsidRPr="00D662C3" w:rsidR="00EA1752">
        <w:rPr>
          <w:szCs w:val="26"/>
        </w:rPr>
        <w:t xml:space="preserve">that application and the ultimate </w:t>
      </w:r>
      <w:r w:rsidRPr="00D662C3">
        <w:rPr>
          <w:szCs w:val="26"/>
        </w:rPr>
        <w:t xml:space="preserve">wiretap authorization </w:t>
      </w:r>
      <w:r w:rsidRPr="00D662C3" w:rsidR="00EA1752">
        <w:rPr>
          <w:szCs w:val="26"/>
        </w:rPr>
        <w:t>are</w:t>
      </w:r>
      <w:r w:rsidRPr="00D662C3">
        <w:rPr>
          <w:szCs w:val="26"/>
        </w:rPr>
        <w:t xml:space="preserve"> invalid and illegal.”</w:t>
      </w:r>
      <w:r w:rsidRPr="00D662C3" w:rsidR="00EA1752">
        <w:rPr>
          <w:szCs w:val="26"/>
        </w:rPr>
        <w:t xml:space="preserve">  </w:t>
      </w:r>
      <w:r w:rsidRPr="00D662C3" w:rsidR="00554CEC">
        <w:rPr>
          <w:szCs w:val="26"/>
        </w:rPr>
        <w:t xml:space="preserve">Gonzalez </w:t>
      </w:r>
      <w:r w:rsidRPr="00D662C3">
        <w:rPr>
          <w:szCs w:val="26"/>
        </w:rPr>
        <w:t>did not present any argument as to the meaning of</w:t>
      </w:r>
      <w:r w:rsidRPr="00D662C3" w:rsidR="00554CEC">
        <w:rPr>
          <w:szCs w:val="26"/>
        </w:rPr>
        <w:t xml:space="preserve"> the </w:t>
      </w:r>
      <w:r w:rsidRPr="00D662C3" w:rsidR="00DF3B3E">
        <w:rPr>
          <w:szCs w:val="26"/>
        </w:rPr>
        <w:t>term</w:t>
      </w:r>
      <w:r w:rsidRPr="00D662C3">
        <w:rPr>
          <w:szCs w:val="26"/>
        </w:rPr>
        <w:t xml:space="preserve"> “absent” nor did</w:t>
      </w:r>
      <w:r w:rsidRPr="00D662C3" w:rsidR="00554CEC">
        <w:rPr>
          <w:szCs w:val="26"/>
        </w:rPr>
        <w:t xml:space="preserve"> he </w:t>
      </w:r>
      <w:r w:rsidRPr="00D662C3">
        <w:rPr>
          <w:szCs w:val="26"/>
        </w:rPr>
        <w:t xml:space="preserve">produce any evidence </w:t>
      </w:r>
      <w:r w:rsidR="00BC6A6A">
        <w:rPr>
          <w:szCs w:val="26"/>
        </w:rPr>
        <w:t>suggesting</w:t>
      </w:r>
      <w:r w:rsidRPr="00D662C3" w:rsidR="00BC6A6A">
        <w:rPr>
          <w:szCs w:val="26"/>
        </w:rPr>
        <w:t xml:space="preserve"> </w:t>
      </w:r>
      <w:r w:rsidRPr="00D662C3">
        <w:rPr>
          <w:szCs w:val="26"/>
        </w:rPr>
        <w:t>that District Attorney Cooley was not absent</w:t>
      </w:r>
      <w:r w:rsidR="00BC6A6A">
        <w:rPr>
          <w:szCs w:val="26"/>
        </w:rPr>
        <w:t xml:space="preserve"> </w:t>
      </w:r>
      <w:r w:rsidRPr="00BC6A6A" w:rsidR="00BC6A6A">
        <w:rPr>
          <w:szCs w:val="26"/>
        </w:rPr>
        <w:t>when Spillane signed the application as the person designated to act in Cooley’s absence</w:t>
      </w:r>
      <w:r w:rsidRPr="00D662C3">
        <w:rPr>
          <w:szCs w:val="26"/>
        </w:rPr>
        <w:t>.</w:t>
      </w:r>
      <w:r>
        <w:rPr>
          <w:rStyle w:val="FootnoteReference"/>
          <w:szCs w:val="26"/>
        </w:rPr>
        <w:footnoteReference w:id="10"/>
      </w:r>
      <w:r w:rsidRPr="00D662C3" w:rsidR="00DF3B3E">
        <w:rPr>
          <w:szCs w:val="26"/>
        </w:rPr>
        <w:t xml:space="preserve"> </w:t>
      </w:r>
      <w:r w:rsidRPr="00D662C3">
        <w:rPr>
          <w:szCs w:val="26"/>
        </w:rPr>
        <w:t xml:space="preserve"> </w:t>
      </w:r>
    </w:p>
    <w:p w:rsidR="009C49C1" w:rsidRPr="00D662C3" w:rsidP="004F5DF7">
      <w:pPr>
        <w:rPr>
          <w:szCs w:val="26"/>
        </w:rPr>
      </w:pPr>
      <w:r w:rsidRPr="00D662C3">
        <w:rPr>
          <w:szCs w:val="26"/>
        </w:rPr>
        <w:tab/>
        <w:t xml:space="preserve">In </w:t>
      </w:r>
      <w:r w:rsidRPr="00D662C3" w:rsidR="00DF3B3E">
        <w:rPr>
          <w:szCs w:val="26"/>
        </w:rPr>
        <w:t xml:space="preserve">its opposition to </w:t>
      </w:r>
      <w:r w:rsidRPr="00D662C3">
        <w:rPr>
          <w:szCs w:val="26"/>
        </w:rPr>
        <w:t xml:space="preserve">the </w:t>
      </w:r>
      <w:r w:rsidRPr="00D662C3" w:rsidR="00554CEC">
        <w:rPr>
          <w:szCs w:val="26"/>
        </w:rPr>
        <w:t>motion to suppress</w:t>
      </w:r>
      <w:r w:rsidRPr="00D662C3">
        <w:rPr>
          <w:szCs w:val="26"/>
        </w:rPr>
        <w:t xml:space="preserve">, the prosecution </w:t>
      </w:r>
      <w:r w:rsidRPr="00D662C3" w:rsidR="00554CEC">
        <w:rPr>
          <w:szCs w:val="26"/>
        </w:rPr>
        <w:t xml:space="preserve">did not dispute that </w:t>
      </w:r>
      <w:r w:rsidRPr="00D662C3">
        <w:rPr>
          <w:szCs w:val="26"/>
        </w:rPr>
        <w:t>section 629.50</w:t>
      </w:r>
      <w:r w:rsidRPr="00D662C3" w:rsidR="00554CEC">
        <w:rPr>
          <w:szCs w:val="26"/>
        </w:rPr>
        <w:t>(a)</w:t>
      </w:r>
      <w:r w:rsidRPr="00D662C3">
        <w:rPr>
          <w:szCs w:val="26"/>
        </w:rPr>
        <w:t xml:space="preserve"> </w:t>
      </w:r>
      <w:r w:rsidRPr="00D662C3" w:rsidR="00554CEC">
        <w:rPr>
          <w:szCs w:val="26"/>
        </w:rPr>
        <w:t xml:space="preserve">authorizes the </w:t>
      </w:r>
      <w:r w:rsidRPr="00D662C3" w:rsidR="00142F57">
        <w:rPr>
          <w:szCs w:val="26"/>
        </w:rPr>
        <w:t>designee to act only when the district attorney is absent</w:t>
      </w:r>
      <w:r w:rsidRPr="00D662C3">
        <w:rPr>
          <w:szCs w:val="26"/>
        </w:rPr>
        <w:t>.  Acknowledging that few cases</w:t>
      </w:r>
      <w:r w:rsidRPr="00D662C3" w:rsidR="00142F57">
        <w:rPr>
          <w:szCs w:val="26"/>
        </w:rPr>
        <w:t xml:space="preserve"> had</w:t>
      </w:r>
      <w:r w:rsidRPr="00D662C3">
        <w:rPr>
          <w:szCs w:val="26"/>
        </w:rPr>
        <w:t xml:space="preserve"> address</w:t>
      </w:r>
      <w:r w:rsidRPr="00D662C3" w:rsidR="00142F57">
        <w:rPr>
          <w:szCs w:val="26"/>
        </w:rPr>
        <w:t>ed</w:t>
      </w:r>
      <w:r w:rsidRPr="00D662C3">
        <w:rPr>
          <w:szCs w:val="26"/>
        </w:rPr>
        <w:t xml:space="preserve"> the requirements of section 629.50</w:t>
      </w:r>
      <w:r w:rsidRPr="00D662C3" w:rsidR="00DF3B3E">
        <w:rPr>
          <w:szCs w:val="26"/>
        </w:rPr>
        <w:t>(a)</w:t>
      </w:r>
      <w:r w:rsidRPr="00D662C3">
        <w:rPr>
          <w:szCs w:val="26"/>
        </w:rPr>
        <w:t>, the prosecution contended th</w:t>
      </w:r>
      <w:r w:rsidRPr="00D662C3" w:rsidR="00142F57">
        <w:rPr>
          <w:szCs w:val="26"/>
        </w:rPr>
        <w:t>at</w:t>
      </w:r>
      <w:r w:rsidRPr="00D662C3">
        <w:rPr>
          <w:szCs w:val="26"/>
        </w:rPr>
        <w:t xml:space="preserve"> </w:t>
      </w:r>
      <w:r w:rsidRPr="00D662C3" w:rsidR="00142F57">
        <w:rPr>
          <w:szCs w:val="26"/>
        </w:rPr>
        <w:t xml:space="preserve">the </w:t>
      </w:r>
      <w:r w:rsidRPr="00D662C3" w:rsidR="00DF3B3E">
        <w:rPr>
          <w:szCs w:val="26"/>
        </w:rPr>
        <w:t>designation provision</w:t>
      </w:r>
      <w:r w:rsidRPr="00D662C3" w:rsidR="00142F57">
        <w:rPr>
          <w:szCs w:val="26"/>
        </w:rPr>
        <w:t xml:space="preserve"> </w:t>
      </w:r>
      <w:r w:rsidR="00CB5E4D">
        <w:rPr>
          <w:szCs w:val="26"/>
        </w:rPr>
        <w:t>“</w:t>
      </w:r>
      <w:r w:rsidRPr="00CB5E4D" w:rsidR="00CB5E4D">
        <w:rPr>
          <w:szCs w:val="26"/>
        </w:rPr>
        <w:t>allows a District Attorney, whose responsib</w:t>
      </w:r>
      <w:r w:rsidR="00CB5E4D">
        <w:rPr>
          <w:szCs w:val="26"/>
        </w:rPr>
        <w:t>i</w:t>
      </w:r>
      <w:r w:rsidRPr="00CB5E4D" w:rsidR="00CB5E4D">
        <w:rPr>
          <w:szCs w:val="26"/>
        </w:rPr>
        <w:t>lities are many</w:t>
      </w:r>
      <w:r w:rsidR="00CB5E4D">
        <w:rPr>
          <w:szCs w:val="26"/>
        </w:rPr>
        <w:t xml:space="preserve">, </w:t>
      </w:r>
      <w:r w:rsidRPr="00CB5E4D" w:rsidR="00CB5E4D">
        <w:rPr>
          <w:szCs w:val="26"/>
        </w:rPr>
        <w:t>especially in a County the size of Los Angeles,</w:t>
      </w:r>
      <w:r w:rsidR="00CB5E4D">
        <w:rPr>
          <w:szCs w:val="26"/>
        </w:rPr>
        <w:t xml:space="preserve"> </w:t>
      </w:r>
      <w:r w:rsidRPr="00CB5E4D" w:rsidR="00CB5E4D">
        <w:rPr>
          <w:szCs w:val="26"/>
        </w:rPr>
        <w:t>to designate someone to act</w:t>
      </w:r>
      <w:r w:rsidR="00CB5E4D">
        <w:rPr>
          <w:szCs w:val="26"/>
        </w:rPr>
        <w:t>”</w:t>
      </w:r>
      <w:r w:rsidRPr="00CB5E4D" w:rsidR="00CB5E4D">
        <w:rPr>
          <w:szCs w:val="26"/>
        </w:rPr>
        <w:t xml:space="preserve"> in his</w:t>
      </w:r>
      <w:r w:rsidR="00CB5E4D">
        <w:rPr>
          <w:szCs w:val="26"/>
        </w:rPr>
        <w:t xml:space="preserve"> or her absence </w:t>
      </w:r>
      <w:r w:rsidR="00E324FC">
        <w:rPr>
          <w:szCs w:val="26"/>
        </w:rPr>
        <w:t xml:space="preserve">with respect to wiretap applications, and </w:t>
      </w:r>
      <w:r w:rsidRPr="00D662C3">
        <w:rPr>
          <w:szCs w:val="26"/>
        </w:rPr>
        <w:t>“recognize</w:t>
      </w:r>
      <w:r w:rsidRPr="00D662C3" w:rsidR="00FC7C7B">
        <w:rPr>
          <w:szCs w:val="26"/>
        </w:rPr>
        <w:t>s</w:t>
      </w:r>
      <w:r w:rsidRPr="00D662C3">
        <w:rPr>
          <w:szCs w:val="26"/>
        </w:rPr>
        <w:t xml:space="preserve"> the numerous and varied duties of a District Attorney</w:t>
      </w:r>
      <w:r w:rsidR="007F2756">
        <w:rPr>
          <w:szCs w:val="26"/>
        </w:rPr>
        <w:t> . . . </w:t>
      </w:r>
      <w:r w:rsidR="00EB638C">
        <w:rPr>
          <w:szCs w:val="26"/>
        </w:rPr>
        <w:t>[</w:t>
      </w:r>
      <w:r w:rsidRPr="00D662C3" w:rsidR="009038BE">
        <w:rPr>
          <w:szCs w:val="26"/>
        </w:rPr>
        <w:t>by</w:t>
      </w:r>
      <w:r w:rsidR="00EB638C">
        <w:rPr>
          <w:szCs w:val="26"/>
        </w:rPr>
        <w:t>]</w:t>
      </w:r>
      <w:r w:rsidRPr="00D662C3" w:rsidR="009038BE">
        <w:rPr>
          <w:szCs w:val="26"/>
        </w:rPr>
        <w:t xml:space="preserve"> allow</w:t>
      </w:r>
      <w:r w:rsidR="00EB638C">
        <w:rPr>
          <w:szCs w:val="26"/>
        </w:rPr>
        <w:t xml:space="preserve">[ing] </w:t>
      </w:r>
      <w:r w:rsidR="001320FA">
        <w:rPr>
          <w:szCs w:val="26"/>
        </w:rPr>
        <w:t xml:space="preserve">for </w:t>
      </w:r>
      <w:r w:rsidRPr="00D662C3">
        <w:rPr>
          <w:szCs w:val="26"/>
        </w:rPr>
        <w:t>another to take</w:t>
      </w:r>
      <w:r w:rsidR="001320FA">
        <w:rPr>
          <w:szCs w:val="26"/>
        </w:rPr>
        <w:t xml:space="preserve"> on</w:t>
      </w:r>
      <w:r w:rsidRPr="00D662C3">
        <w:rPr>
          <w:szCs w:val="26"/>
        </w:rPr>
        <w:t xml:space="preserve"> wiretap application responsibilities</w:t>
      </w:r>
      <w:r w:rsidR="00EB638C">
        <w:rPr>
          <w:szCs w:val="26"/>
        </w:rPr>
        <w:t>.</w:t>
      </w:r>
      <w:r w:rsidRPr="00D662C3">
        <w:rPr>
          <w:szCs w:val="26"/>
        </w:rPr>
        <w:t xml:space="preserve">” </w:t>
      </w:r>
      <w:r w:rsidR="00E324FC">
        <w:rPr>
          <w:szCs w:val="26"/>
        </w:rPr>
        <w:t xml:space="preserve"> The </w:t>
      </w:r>
      <w:r w:rsidRPr="00D662C3" w:rsidR="009038BE">
        <w:rPr>
          <w:szCs w:val="26"/>
        </w:rPr>
        <w:t>prosecution</w:t>
      </w:r>
      <w:r w:rsidR="00EB638C">
        <w:rPr>
          <w:szCs w:val="26"/>
        </w:rPr>
        <w:t xml:space="preserve"> </w:t>
      </w:r>
      <w:r w:rsidR="00494808">
        <w:rPr>
          <w:szCs w:val="26"/>
        </w:rPr>
        <w:t xml:space="preserve">then </w:t>
      </w:r>
      <w:r w:rsidR="001320FA">
        <w:rPr>
          <w:szCs w:val="26"/>
        </w:rPr>
        <w:t>quoted</w:t>
      </w:r>
      <w:r w:rsidR="00EB638C">
        <w:rPr>
          <w:szCs w:val="26"/>
        </w:rPr>
        <w:t xml:space="preserve"> three dictionary definitions of the term </w:t>
      </w:r>
      <w:r w:rsidR="001320FA">
        <w:rPr>
          <w:szCs w:val="26"/>
        </w:rPr>
        <w:t>“</w:t>
      </w:r>
      <w:r w:rsidR="00EB638C">
        <w:rPr>
          <w:szCs w:val="26"/>
        </w:rPr>
        <w:t>absence,</w:t>
      </w:r>
      <w:r w:rsidR="001320FA">
        <w:rPr>
          <w:szCs w:val="26"/>
        </w:rPr>
        <w:t>”</w:t>
      </w:r>
      <w:r w:rsidR="00EB638C">
        <w:rPr>
          <w:szCs w:val="26"/>
        </w:rPr>
        <w:t xml:space="preserve"> </w:t>
      </w:r>
      <w:r w:rsidR="001320FA">
        <w:rPr>
          <w:szCs w:val="26"/>
        </w:rPr>
        <w:t xml:space="preserve">which </w:t>
      </w:r>
      <w:r w:rsidR="00EB638C">
        <w:rPr>
          <w:szCs w:val="26"/>
        </w:rPr>
        <w:t>includ</w:t>
      </w:r>
      <w:r w:rsidR="001320FA">
        <w:rPr>
          <w:szCs w:val="26"/>
        </w:rPr>
        <w:t>ed</w:t>
      </w:r>
      <w:r w:rsidRPr="00D662C3" w:rsidR="009038BE">
        <w:rPr>
          <w:szCs w:val="26"/>
        </w:rPr>
        <w:t xml:space="preserve"> “ ‘the state of being away from place or person’ ”</w:t>
      </w:r>
      <w:r w:rsidR="00EB638C">
        <w:rPr>
          <w:szCs w:val="26"/>
        </w:rPr>
        <w:t>; “</w:t>
      </w:r>
      <w:r w:rsidR="005F79D8">
        <w:rPr>
          <w:szCs w:val="26"/>
        </w:rPr>
        <w:t> ‘the duration of being away’ ”</w:t>
      </w:r>
      <w:r w:rsidRPr="00D662C3" w:rsidR="009038BE">
        <w:rPr>
          <w:szCs w:val="26"/>
        </w:rPr>
        <w:t xml:space="preserve"> </w:t>
      </w:r>
      <w:r w:rsidR="005F79D8">
        <w:rPr>
          <w:szCs w:val="26"/>
        </w:rPr>
        <w:t xml:space="preserve">and </w:t>
      </w:r>
      <w:r w:rsidRPr="00D662C3">
        <w:rPr>
          <w:szCs w:val="26"/>
        </w:rPr>
        <w:t>“</w:t>
      </w:r>
      <w:r w:rsidRPr="00D662C3" w:rsidR="00142F57">
        <w:rPr>
          <w:szCs w:val="26"/>
        </w:rPr>
        <w:t> ‘</w:t>
      </w:r>
      <w:r w:rsidRPr="00D662C3">
        <w:rPr>
          <w:szCs w:val="26"/>
        </w:rPr>
        <w:t>not present.</w:t>
      </w:r>
      <w:r w:rsidRPr="00D662C3" w:rsidR="00142F57">
        <w:rPr>
          <w:szCs w:val="26"/>
        </w:rPr>
        <w:t>’ </w:t>
      </w:r>
      <w:r w:rsidRPr="00D662C3">
        <w:rPr>
          <w:szCs w:val="26"/>
        </w:rPr>
        <w:t>”</w:t>
      </w:r>
      <w:r w:rsidRPr="00D662C3" w:rsidR="00142F57">
        <w:rPr>
          <w:szCs w:val="26"/>
        </w:rPr>
        <w:t xml:space="preserve"> </w:t>
      </w:r>
      <w:r w:rsidRPr="00D662C3" w:rsidR="00EA1752">
        <w:rPr>
          <w:szCs w:val="26"/>
        </w:rPr>
        <w:t xml:space="preserve"> </w:t>
      </w:r>
      <w:r w:rsidRPr="00D662C3">
        <w:rPr>
          <w:szCs w:val="26"/>
        </w:rPr>
        <w:t>The prosecution further asserted</w:t>
      </w:r>
      <w:r w:rsidRPr="00D662C3" w:rsidR="00142F57">
        <w:rPr>
          <w:szCs w:val="26"/>
        </w:rPr>
        <w:t xml:space="preserve"> that Spillane’s </w:t>
      </w:r>
      <w:r w:rsidRPr="00D662C3" w:rsidR="00E17B30">
        <w:rPr>
          <w:szCs w:val="26"/>
        </w:rPr>
        <w:t xml:space="preserve">declaration </w:t>
      </w:r>
      <w:r w:rsidRPr="00D662C3" w:rsidR="00142F57">
        <w:rPr>
          <w:szCs w:val="26"/>
        </w:rPr>
        <w:t>made clear that the “District Attorney was absent and designated his responsibility for review</w:t>
      </w:r>
      <w:r w:rsidR="0001540F">
        <w:rPr>
          <w:szCs w:val="26"/>
        </w:rPr>
        <w:t xml:space="preserve"> [</w:t>
      </w:r>
      <w:r w:rsidRPr="004E43DA" w:rsidR="0001540F">
        <w:rPr>
          <w:i/>
          <w:iCs/>
          <w:szCs w:val="26"/>
        </w:rPr>
        <w:t>sic</w:t>
      </w:r>
      <w:r w:rsidR="0001540F">
        <w:rPr>
          <w:szCs w:val="26"/>
        </w:rPr>
        <w:t>]</w:t>
      </w:r>
      <w:r w:rsidRPr="00D662C3" w:rsidR="00142F57">
        <w:rPr>
          <w:szCs w:val="26"/>
        </w:rPr>
        <w:t xml:space="preserve">. . . . </w:t>
      </w:r>
      <w:r w:rsidRPr="00D662C3" w:rsidR="00F32CEF">
        <w:rPr>
          <w:szCs w:val="26"/>
        </w:rPr>
        <w:t xml:space="preserve"> </w:t>
      </w:r>
      <w:r w:rsidRPr="00D662C3" w:rsidR="00142F57">
        <w:rPr>
          <w:szCs w:val="26"/>
        </w:rPr>
        <w:t>The statute could have but did not require [</w:t>
      </w:r>
      <w:r w:rsidRPr="00D662C3" w:rsidR="009038BE">
        <w:rPr>
          <w:szCs w:val="26"/>
        </w:rPr>
        <w:t xml:space="preserve">District Attorney </w:t>
      </w:r>
      <w:r w:rsidRPr="00D662C3" w:rsidR="00142F57">
        <w:rPr>
          <w:szCs w:val="26"/>
        </w:rPr>
        <w:t xml:space="preserve">Cooley] or his designate to provide documentation or explanation.  In the absence of such statutory provision, we must presume the </w:t>
      </w:r>
      <w:r w:rsidRPr="00D662C3" w:rsidR="00F32CEF">
        <w:rPr>
          <w:szCs w:val="26"/>
        </w:rPr>
        <w:t>L</w:t>
      </w:r>
      <w:r w:rsidRPr="00D662C3" w:rsidR="00142F57">
        <w:rPr>
          <w:szCs w:val="26"/>
        </w:rPr>
        <w:t>egislature did not inten</w:t>
      </w:r>
      <w:r w:rsidR="0006406E">
        <w:rPr>
          <w:szCs w:val="26"/>
        </w:rPr>
        <w:t>d</w:t>
      </w:r>
      <w:r w:rsidRPr="00D662C3" w:rsidR="00142F57">
        <w:rPr>
          <w:szCs w:val="26"/>
        </w:rPr>
        <w:t xml:space="preserve"> to require such proof.” </w:t>
      </w:r>
    </w:p>
    <w:p w:rsidR="009C49C1" w:rsidRPr="00D662C3" w:rsidP="004F5DF7">
      <w:pPr>
        <w:ind w:firstLine="720"/>
        <w:rPr>
          <w:szCs w:val="26"/>
        </w:rPr>
      </w:pPr>
      <w:r w:rsidRPr="00D662C3">
        <w:rPr>
          <w:szCs w:val="26"/>
        </w:rPr>
        <w:t>At the suppression hearing, defense counsel argued “the problem”</w:t>
      </w:r>
      <w:r w:rsidRPr="00D662C3" w:rsidR="00ED4EAE">
        <w:rPr>
          <w:szCs w:val="26"/>
        </w:rPr>
        <w:t xml:space="preserve"> </w:t>
      </w:r>
      <w:r w:rsidRPr="00D662C3">
        <w:rPr>
          <w:szCs w:val="26"/>
        </w:rPr>
        <w:t xml:space="preserve">was that </w:t>
      </w:r>
      <w:r w:rsidRPr="00D662C3" w:rsidR="00F8213E">
        <w:rPr>
          <w:szCs w:val="26"/>
        </w:rPr>
        <w:t xml:space="preserve">although </w:t>
      </w:r>
      <w:r w:rsidRPr="00D662C3" w:rsidR="007B4BD3">
        <w:rPr>
          <w:szCs w:val="26"/>
        </w:rPr>
        <w:t>section 629.50(a)</w:t>
      </w:r>
      <w:r w:rsidRPr="00D662C3" w:rsidR="00F8213E">
        <w:rPr>
          <w:szCs w:val="26"/>
        </w:rPr>
        <w:t xml:space="preserve"> ma</w:t>
      </w:r>
      <w:r w:rsidRPr="00D662C3" w:rsidR="00C61766">
        <w:rPr>
          <w:szCs w:val="26"/>
        </w:rPr>
        <w:t>d</w:t>
      </w:r>
      <w:r w:rsidRPr="00D662C3" w:rsidR="00F8213E">
        <w:rPr>
          <w:szCs w:val="26"/>
        </w:rPr>
        <w:t>e</w:t>
      </w:r>
      <w:r w:rsidRPr="00D662C3">
        <w:rPr>
          <w:szCs w:val="26"/>
        </w:rPr>
        <w:t xml:space="preserve"> “clear that someone else c</w:t>
      </w:r>
      <w:r w:rsidRPr="00D662C3" w:rsidR="00C61766">
        <w:rPr>
          <w:szCs w:val="26"/>
        </w:rPr>
        <w:t>[ould]</w:t>
      </w:r>
      <w:r w:rsidRPr="00D662C3">
        <w:rPr>
          <w:szCs w:val="26"/>
        </w:rPr>
        <w:t xml:space="preserve"> only act if Cooley </w:t>
      </w:r>
      <w:r w:rsidRPr="00D662C3" w:rsidR="00C61766">
        <w:rPr>
          <w:szCs w:val="26"/>
        </w:rPr>
        <w:t>[wa]</w:t>
      </w:r>
      <w:r w:rsidRPr="00D662C3">
        <w:rPr>
          <w:szCs w:val="26"/>
        </w:rPr>
        <w:t>s absent,” the application contained “no</w:t>
      </w:r>
      <w:r w:rsidRPr="00D662C3" w:rsidR="00EA1752">
        <w:rPr>
          <w:szCs w:val="26"/>
        </w:rPr>
        <w:t>thing to</w:t>
      </w:r>
      <w:r w:rsidRPr="00D662C3">
        <w:rPr>
          <w:szCs w:val="26"/>
        </w:rPr>
        <w:t xml:space="preserve"> indicat</w:t>
      </w:r>
      <w:r w:rsidRPr="00D662C3" w:rsidR="00EA1752">
        <w:rPr>
          <w:szCs w:val="26"/>
        </w:rPr>
        <w:t>e</w:t>
      </w:r>
      <w:r w:rsidRPr="00D662C3">
        <w:rPr>
          <w:szCs w:val="26"/>
        </w:rPr>
        <w:t xml:space="preserve">” </w:t>
      </w:r>
      <w:r w:rsidRPr="00D662C3" w:rsidR="00364455">
        <w:rPr>
          <w:szCs w:val="26"/>
        </w:rPr>
        <w:t>Cooley</w:t>
      </w:r>
      <w:r w:rsidRPr="00D662C3">
        <w:rPr>
          <w:szCs w:val="26"/>
        </w:rPr>
        <w:t xml:space="preserve"> was</w:t>
      </w:r>
      <w:r w:rsidRPr="00D662C3" w:rsidR="00364455">
        <w:rPr>
          <w:szCs w:val="26"/>
        </w:rPr>
        <w:t xml:space="preserve"> actually</w:t>
      </w:r>
      <w:r w:rsidRPr="00D662C3">
        <w:rPr>
          <w:szCs w:val="26"/>
        </w:rPr>
        <w:t xml:space="preserve"> absent</w:t>
      </w:r>
      <w:r w:rsidRPr="00D662C3" w:rsidR="00FC7C7B">
        <w:rPr>
          <w:szCs w:val="26"/>
        </w:rPr>
        <w:t xml:space="preserve"> when Spillane sought the order</w:t>
      </w:r>
      <w:r w:rsidRPr="00D662C3">
        <w:rPr>
          <w:szCs w:val="26"/>
        </w:rPr>
        <w:t>.  Defense counsel contended that “every</w:t>
      </w:r>
      <w:r w:rsidRPr="00D662C3" w:rsidR="00EA1752">
        <w:rPr>
          <w:szCs w:val="26"/>
        </w:rPr>
        <w:t>body</w:t>
      </w:r>
      <w:r w:rsidRPr="00D662C3">
        <w:rPr>
          <w:szCs w:val="26"/>
        </w:rPr>
        <w:t xml:space="preserve"> knows what absent means</w:t>
      </w:r>
      <w:r w:rsidRPr="00D662C3" w:rsidR="00364455">
        <w:rPr>
          <w:szCs w:val="26"/>
        </w:rPr>
        <w:t>,</w:t>
      </w:r>
      <w:r w:rsidRPr="00D662C3">
        <w:rPr>
          <w:szCs w:val="26"/>
        </w:rPr>
        <w:t xml:space="preserve">” </w:t>
      </w:r>
      <w:r w:rsidRPr="00D662C3" w:rsidR="00364455">
        <w:rPr>
          <w:szCs w:val="26"/>
        </w:rPr>
        <w:t>n</w:t>
      </w:r>
      <w:r w:rsidRPr="00D662C3">
        <w:rPr>
          <w:szCs w:val="26"/>
        </w:rPr>
        <w:t>ot</w:t>
      </w:r>
      <w:r w:rsidRPr="00D662C3" w:rsidR="00364455">
        <w:rPr>
          <w:szCs w:val="26"/>
        </w:rPr>
        <w:t xml:space="preserve">ing </w:t>
      </w:r>
      <w:r w:rsidRPr="00D662C3">
        <w:rPr>
          <w:szCs w:val="26"/>
        </w:rPr>
        <w:t xml:space="preserve">that the prosecutor “went through in her opposition papers to explain the meaning and so forth.” </w:t>
      </w:r>
      <w:r w:rsidRPr="00D662C3" w:rsidR="00EA1752">
        <w:rPr>
          <w:szCs w:val="26"/>
        </w:rPr>
        <w:t xml:space="preserve"> </w:t>
      </w:r>
      <w:r w:rsidRPr="00D662C3" w:rsidR="00ED4EAE">
        <w:rPr>
          <w:szCs w:val="26"/>
        </w:rPr>
        <w:t xml:space="preserve">Counsel </w:t>
      </w:r>
      <w:r w:rsidRPr="00D662C3" w:rsidR="00364455">
        <w:rPr>
          <w:szCs w:val="26"/>
        </w:rPr>
        <w:t xml:space="preserve">acknowledged </w:t>
      </w:r>
      <w:r w:rsidRPr="00D662C3" w:rsidR="00ED4EAE">
        <w:rPr>
          <w:szCs w:val="26"/>
        </w:rPr>
        <w:t xml:space="preserve">that </w:t>
      </w:r>
      <w:r w:rsidRPr="00D662C3">
        <w:rPr>
          <w:szCs w:val="26"/>
        </w:rPr>
        <w:t>the “statute does not specifically”</w:t>
      </w:r>
      <w:r w:rsidRPr="00D662C3" w:rsidR="00ED4EAE">
        <w:rPr>
          <w:szCs w:val="26"/>
        </w:rPr>
        <w:t xml:space="preserve"> </w:t>
      </w:r>
      <w:r w:rsidRPr="00D662C3" w:rsidR="00F8213E">
        <w:rPr>
          <w:szCs w:val="26"/>
        </w:rPr>
        <w:t>require the applicant to include such information</w:t>
      </w:r>
      <w:r w:rsidR="0006406E">
        <w:rPr>
          <w:szCs w:val="26"/>
        </w:rPr>
        <w:t xml:space="preserve"> in the application</w:t>
      </w:r>
      <w:r w:rsidRPr="00D662C3">
        <w:rPr>
          <w:szCs w:val="26"/>
        </w:rPr>
        <w:t xml:space="preserve">, </w:t>
      </w:r>
      <w:r w:rsidRPr="00D662C3" w:rsidR="00364455">
        <w:rPr>
          <w:szCs w:val="26"/>
        </w:rPr>
        <w:t xml:space="preserve">but argued </w:t>
      </w:r>
      <w:r w:rsidRPr="00D662C3">
        <w:rPr>
          <w:szCs w:val="26"/>
        </w:rPr>
        <w:t>it was nonetheless “incumbent upon the prosecution, not the defense, to establish that he was absent.  So . . . with that application, it would be inappropriate absent showing that Cooley was, in fact absent</w:t>
      </w:r>
      <w:r w:rsidRPr="00D662C3" w:rsidR="00EA1752">
        <w:rPr>
          <w:szCs w:val="26"/>
        </w:rPr>
        <w:t> . . . </w:t>
      </w:r>
      <w:r w:rsidRPr="00D662C3">
        <w:rPr>
          <w:szCs w:val="26"/>
        </w:rPr>
        <w:t xml:space="preserve">before </w:t>
      </w:r>
      <w:r w:rsidRPr="00D662C3" w:rsidR="00EA1752">
        <w:rPr>
          <w:szCs w:val="26"/>
        </w:rPr>
        <w:t>[</w:t>
      </w:r>
      <w:r w:rsidRPr="00D662C3">
        <w:rPr>
          <w:szCs w:val="26"/>
        </w:rPr>
        <w:t>Spillane</w:t>
      </w:r>
      <w:r w:rsidRPr="00D662C3" w:rsidR="00EA1752">
        <w:rPr>
          <w:szCs w:val="26"/>
        </w:rPr>
        <w:t>]</w:t>
      </w:r>
      <w:r w:rsidRPr="00D662C3">
        <w:rPr>
          <w:szCs w:val="26"/>
        </w:rPr>
        <w:t xml:space="preserve"> could provide that application.” </w:t>
      </w:r>
    </w:p>
    <w:p w:rsidR="009C49C1" w:rsidRPr="00D662C3" w:rsidP="004F5DF7">
      <w:pPr>
        <w:ind w:firstLine="720"/>
        <w:rPr>
          <w:szCs w:val="26"/>
        </w:rPr>
      </w:pPr>
      <w:r w:rsidRPr="00D662C3">
        <w:rPr>
          <w:szCs w:val="26"/>
        </w:rPr>
        <w:t xml:space="preserve">In response, the prosecution argued </w:t>
      </w:r>
      <w:r w:rsidRPr="00D662C3" w:rsidR="00B05DA6">
        <w:rPr>
          <w:szCs w:val="26"/>
        </w:rPr>
        <w:t>defense counsel’s</w:t>
      </w:r>
      <w:r w:rsidRPr="00D662C3" w:rsidR="00364455">
        <w:rPr>
          <w:szCs w:val="26"/>
        </w:rPr>
        <w:t xml:space="preserve"> </w:t>
      </w:r>
      <w:r w:rsidRPr="00D662C3" w:rsidR="007B4BD3">
        <w:rPr>
          <w:szCs w:val="26"/>
        </w:rPr>
        <w:t>contention</w:t>
      </w:r>
      <w:r w:rsidRPr="00D662C3">
        <w:rPr>
          <w:szCs w:val="26"/>
        </w:rPr>
        <w:t xml:space="preserve"> </w:t>
      </w:r>
      <w:r w:rsidRPr="00D662C3" w:rsidR="00B05DA6">
        <w:rPr>
          <w:szCs w:val="26"/>
        </w:rPr>
        <w:t xml:space="preserve">that </w:t>
      </w:r>
      <w:r w:rsidRPr="00D662C3">
        <w:rPr>
          <w:szCs w:val="26"/>
        </w:rPr>
        <w:t xml:space="preserve">the district attorney </w:t>
      </w:r>
      <w:r w:rsidRPr="00D662C3">
        <w:rPr>
          <w:szCs w:val="26"/>
        </w:rPr>
        <w:t xml:space="preserve">must </w:t>
      </w:r>
      <w:r w:rsidRPr="00D662C3">
        <w:rPr>
          <w:szCs w:val="26"/>
        </w:rPr>
        <w:t>“prove [he was absent] and . . . need</w:t>
      </w:r>
      <w:r w:rsidRPr="00D662C3" w:rsidR="006254AA">
        <w:rPr>
          <w:szCs w:val="26"/>
        </w:rPr>
        <w:t>[</w:t>
      </w:r>
      <w:r w:rsidRPr="00D662C3">
        <w:rPr>
          <w:szCs w:val="26"/>
        </w:rPr>
        <w:t>s</w:t>
      </w:r>
      <w:r w:rsidRPr="00D662C3" w:rsidR="006254AA">
        <w:rPr>
          <w:szCs w:val="26"/>
        </w:rPr>
        <w:t>]</w:t>
      </w:r>
      <w:r w:rsidRPr="00D662C3">
        <w:rPr>
          <w:szCs w:val="26"/>
        </w:rPr>
        <w:t xml:space="preserve"> to document why he’s absent”</w:t>
      </w:r>
      <w:r w:rsidRPr="00D662C3">
        <w:rPr>
          <w:szCs w:val="26"/>
        </w:rPr>
        <w:t xml:space="preserve"> found no support </w:t>
      </w:r>
      <w:r w:rsidRPr="00D662C3">
        <w:rPr>
          <w:szCs w:val="26"/>
        </w:rPr>
        <w:t xml:space="preserve">“under the statute” or in the </w:t>
      </w:r>
      <w:r w:rsidRPr="00D662C3" w:rsidR="006254AA">
        <w:rPr>
          <w:szCs w:val="26"/>
        </w:rPr>
        <w:t>“</w:t>
      </w:r>
      <w:r w:rsidRPr="00D662C3">
        <w:rPr>
          <w:szCs w:val="26"/>
        </w:rPr>
        <w:t xml:space="preserve">case law.”  The prosecution further </w:t>
      </w:r>
      <w:r w:rsidRPr="00D662C3">
        <w:rPr>
          <w:szCs w:val="26"/>
        </w:rPr>
        <w:t>argued</w:t>
      </w:r>
      <w:r w:rsidRPr="00D662C3">
        <w:rPr>
          <w:szCs w:val="26"/>
        </w:rPr>
        <w:t xml:space="preserve"> that Spillane’s</w:t>
      </w:r>
      <w:r w:rsidRPr="00D662C3">
        <w:rPr>
          <w:szCs w:val="26"/>
        </w:rPr>
        <w:t xml:space="preserve"> under-oath statement</w:t>
      </w:r>
      <w:r w:rsidRPr="00D662C3">
        <w:rPr>
          <w:szCs w:val="26"/>
        </w:rPr>
        <w:t xml:space="preserve"> that he was the person designated to act as</w:t>
      </w:r>
      <w:r w:rsidRPr="00D662C3" w:rsidR="00EB7E87">
        <w:rPr>
          <w:szCs w:val="26"/>
        </w:rPr>
        <w:t xml:space="preserve"> district attorney when </w:t>
      </w:r>
      <w:r w:rsidRPr="00D662C3">
        <w:rPr>
          <w:szCs w:val="26"/>
        </w:rPr>
        <w:t>Cooley</w:t>
      </w:r>
      <w:r w:rsidRPr="00D662C3" w:rsidR="00EB7E87">
        <w:rPr>
          <w:szCs w:val="26"/>
        </w:rPr>
        <w:t xml:space="preserve"> was absent </w:t>
      </w:r>
      <w:r w:rsidRPr="00D662C3">
        <w:rPr>
          <w:szCs w:val="26"/>
        </w:rPr>
        <w:t>provide</w:t>
      </w:r>
      <w:r w:rsidRPr="00D662C3" w:rsidR="00EB7E87">
        <w:rPr>
          <w:szCs w:val="26"/>
        </w:rPr>
        <w:t>d</w:t>
      </w:r>
      <w:r w:rsidRPr="00D662C3">
        <w:rPr>
          <w:szCs w:val="26"/>
        </w:rPr>
        <w:t xml:space="preserve"> “prima facie evidence” that he was properly designated</w:t>
      </w:r>
      <w:r w:rsidRPr="00D662C3" w:rsidR="009038BE">
        <w:rPr>
          <w:szCs w:val="26"/>
        </w:rPr>
        <w:t>; the wiretap statute required nothing more</w:t>
      </w:r>
      <w:r w:rsidRPr="00D662C3">
        <w:rPr>
          <w:szCs w:val="26"/>
        </w:rPr>
        <w:t xml:space="preserve">. </w:t>
      </w:r>
    </w:p>
    <w:p w:rsidR="009C49C1" w:rsidRPr="00D662C3" w:rsidP="005C1D50">
      <w:pPr>
        <w:ind w:firstLine="720"/>
        <w:rPr>
          <w:i/>
          <w:iCs/>
          <w:szCs w:val="26"/>
        </w:rPr>
      </w:pPr>
      <w:r w:rsidRPr="00D662C3">
        <w:rPr>
          <w:szCs w:val="26"/>
        </w:rPr>
        <w:t xml:space="preserve">The trial court agreed with the prosecution, </w:t>
      </w:r>
      <w:r w:rsidRPr="00D662C3" w:rsidR="009038BE">
        <w:rPr>
          <w:szCs w:val="26"/>
        </w:rPr>
        <w:t>concluding</w:t>
      </w:r>
      <w:r w:rsidRPr="00D662C3">
        <w:rPr>
          <w:szCs w:val="26"/>
        </w:rPr>
        <w:t xml:space="preserve"> that section 629.50(a)</w:t>
      </w:r>
      <w:r w:rsidRPr="00D662C3">
        <w:rPr>
          <w:szCs w:val="26"/>
        </w:rPr>
        <w:t xml:space="preserve"> “provide</w:t>
      </w:r>
      <w:r w:rsidRPr="00D662C3">
        <w:rPr>
          <w:szCs w:val="26"/>
        </w:rPr>
        <w:t>[d]</w:t>
      </w:r>
      <w:r w:rsidRPr="00D662C3">
        <w:rPr>
          <w:szCs w:val="26"/>
        </w:rPr>
        <w:t xml:space="preserve"> for” </w:t>
      </w:r>
      <w:r w:rsidRPr="00D662C3" w:rsidR="009038BE">
        <w:rPr>
          <w:szCs w:val="26"/>
        </w:rPr>
        <w:t xml:space="preserve">exactly the </w:t>
      </w:r>
      <w:r w:rsidRPr="00D662C3">
        <w:rPr>
          <w:szCs w:val="26"/>
        </w:rPr>
        <w:t xml:space="preserve">type of </w:t>
      </w:r>
      <w:r w:rsidRPr="00D662C3" w:rsidR="00B05DA6">
        <w:rPr>
          <w:szCs w:val="26"/>
        </w:rPr>
        <w:t xml:space="preserve">oath </w:t>
      </w:r>
      <w:r w:rsidRPr="00D662C3" w:rsidR="009038BE">
        <w:rPr>
          <w:szCs w:val="26"/>
        </w:rPr>
        <w:t>Spillane had made in his declaration</w:t>
      </w:r>
      <w:r w:rsidR="00B90AA0">
        <w:rPr>
          <w:szCs w:val="26"/>
        </w:rPr>
        <w:t xml:space="preserve"> </w:t>
      </w:r>
      <w:r w:rsidRPr="00B90AA0" w:rsidR="00B90AA0">
        <w:rPr>
          <w:szCs w:val="26"/>
        </w:rPr>
        <w:t xml:space="preserve">and </w:t>
      </w:r>
      <w:bookmarkStart w:id="15" w:name="_Hlk87910675"/>
      <w:r w:rsidR="00B90AA0">
        <w:rPr>
          <w:szCs w:val="26"/>
        </w:rPr>
        <w:t>did not include any</w:t>
      </w:r>
      <w:r w:rsidRPr="00B90AA0" w:rsidR="00B90AA0">
        <w:rPr>
          <w:szCs w:val="26"/>
        </w:rPr>
        <w:t xml:space="preserve">  </w:t>
      </w:r>
      <w:r w:rsidR="0006406E">
        <w:rPr>
          <w:szCs w:val="26"/>
        </w:rPr>
        <w:t xml:space="preserve">further </w:t>
      </w:r>
      <w:r w:rsidR="00B90AA0">
        <w:rPr>
          <w:szCs w:val="26"/>
        </w:rPr>
        <w:t>“</w:t>
      </w:r>
      <w:r w:rsidRPr="00B90AA0" w:rsidR="00B90AA0">
        <w:rPr>
          <w:szCs w:val="26"/>
        </w:rPr>
        <w:t>requirement</w:t>
      </w:r>
      <w:r w:rsidR="00B90AA0">
        <w:rPr>
          <w:szCs w:val="26"/>
        </w:rPr>
        <w:t> . . . </w:t>
      </w:r>
      <w:r w:rsidRPr="00B90AA0" w:rsidR="00B90AA0">
        <w:rPr>
          <w:szCs w:val="26"/>
        </w:rPr>
        <w:t>that there be proof that [</w:t>
      </w:r>
      <w:r w:rsidR="000F706F">
        <w:rPr>
          <w:szCs w:val="26"/>
        </w:rPr>
        <w:t>the district attorney was</w:t>
      </w:r>
      <w:r w:rsidRPr="00B90AA0" w:rsidR="00B90AA0">
        <w:rPr>
          <w:szCs w:val="26"/>
        </w:rPr>
        <w:t>]</w:t>
      </w:r>
      <w:r w:rsidR="000F706F">
        <w:rPr>
          <w:szCs w:val="26"/>
        </w:rPr>
        <w:t xml:space="preserve"> </w:t>
      </w:r>
      <w:r w:rsidRPr="00B90AA0" w:rsidR="00B90AA0">
        <w:rPr>
          <w:szCs w:val="26"/>
        </w:rPr>
        <w:t>absent</w:t>
      </w:r>
      <w:r w:rsidRPr="00D662C3">
        <w:rPr>
          <w:szCs w:val="26"/>
        </w:rPr>
        <w:t>.</w:t>
      </w:r>
      <w:r w:rsidR="00B90AA0">
        <w:rPr>
          <w:szCs w:val="26"/>
        </w:rPr>
        <w:t>”</w:t>
      </w:r>
      <w:r w:rsidRPr="00D662C3">
        <w:rPr>
          <w:szCs w:val="26"/>
        </w:rPr>
        <w:t xml:space="preserve">  </w:t>
      </w:r>
      <w:bookmarkEnd w:id="15"/>
      <w:r w:rsidRPr="00D662C3">
        <w:rPr>
          <w:szCs w:val="26"/>
        </w:rPr>
        <w:t>The court further commented that it could</w:t>
      </w:r>
      <w:r w:rsidRPr="00D662C3">
        <w:rPr>
          <w:szCs w:val="26"/>
        </w:rPr>
        <w:t xml:space="preserve"> not “imagine the Legislature</w:t>
      </w:r>
      <w:r w:rsidRPr="00D662C3">
        <w:rPr>
          <w:szCs w:val="26"/>
        </w:rPr>
        <w:t>” requiring the district attorney or the designee to document the circumstances of the absence</w:t>
      </w:r>
      <w:r w:rsidR="00BC6A6A">
        <w:rPr>
          <w:szCs w:val="26"/>
        </w:rPr>
        <w:t xml:space="preserve"> “</w:t>
      </w:r>
      <w:r w:rsidRPr="00C44BE2" w:rsidR="00BC6A6A">
        <w:rPr>
          <w:szCs w:val="26"/>
        </w:rPr>
        <w:t>each time the chief of any agency is out of town</w:t>
      </w:r>
      <w:r w:rsidRPr="00D662C3">
        <w:rPr>
          <w:szCs w:val="26"/>
        </w:rPr>
        <w:t>,</w:t>
      </w:r>
      <w:r w:rsidR="00BC6A6A">
        <w:rPr>
          <w:szCs w:val="26"/>
        </w:rPr>
        <w:t>”</w:t>
      </w:r>
      <w:r w:rsidRPr="00D662C3">
        <w:rPr>
          <w:szCs w:val="26"/>
        </w:rPr>
        <w:t xml:space="preserve"> </w:t>
      </w:r>
      <w:r w:rsidRPr="00D662C3">
        <w:rPr>
          <w:szCs w:val="26"/>
        </w:rPr>
        <w:t xml:space="preserve">describing such a requirement as “onerous” and “unnecessary.”  </w:t>
      </w:r>
    </w:p>
    <w:p w:rsidR="009C49C1" w:rsidRPr="00D662C3" w:rsidP="004F5DF7">
      <w:pPr>
        <w:pStyle w:val="ListParagraph"/>
        <w:ind w:left="1440"/>
        <w:rPr>
          <w:i/>
          <w:iCs/>
          <w:szCs w:val="26"/>
        </w:rPr>
      </w:pPr>
      <w:r w:rsidRPr="00D662C3">
        <w:rPr>
          <w:szCs w:val="26"/>
        </w:rPr>
        <w:t>(</w:t>
      </w:r>
      <w:r w:rsidRPr="00D662C3">
        <w:rPr>
          <w:i/>
          <w:iCs/>
          <w:szCs w:val="26"/>
        </w:rPr>
        <w:t>ii</w:t>
      </w:r>
      <w:r w:rsidRPr="00D662C3">
        <w:rPr>
          <w:szCs w:val="26"/>
        </w:rPr>
        <w:t>)</w:t>
      </w:r>
      <w:r w:rsidRPr="00D662C3">
        <w:rPr>
          <w:i/>
          <w:iCs/>
          <w:szCs w:val="26"/>
        </w:rPr>
        <w:t xml:space="preserve">  Proceedings on appeal</w:t>
      </w:r>
    </w:p>
    <w:p w:rsidR="009D3422" w:rsidRPr="00D662C3" w:rsidP="004F5DF7">
      <w:pPr>
        <w:ind w:firstLine="720"/>
        <w:rPr>
          <w:szCs w:val="26"/>
        </w:rPr>
      </w:pPr>
      <w:r w:rsidRPr="00D662C3">
        <w:rPr>
          <w:szCs w:val="26"/>
        </w:rPr>
        <w:t xml:space="preserve">On appeal, Gonzalez </w:t>
      </w:r>
      <w:r w:rsidRPr="00D662C3" w:rsidR="00253C6C">
        <w:rPr>
          <w:szCs w:val="26"/>
        </w:rPr>
        <w:t xml:space="preserve">reiterates his argument </w:t>
      </w:r>
      <w:r w:rsidRPr="00D662C3">
        <w:rPr>
          <w:szCs w:val="26"/>
        </w:rPr>
        <w:t>that</w:t>
      </w:r>
      <w:r w:rsidRPr="00D662C3" w:rsidR="002669D9">
        <w:rPr>
          <w:szCs w:val="26"/>
        </w:rPr>
        <w:t xml:space="preserve"> the</w:t>
      </w:r>
      <w:r w:rsidRPr="00D662C3" w:rsidR="00253C6C">
        <w:rPr>
          <w:szCs w:val="26"/>
        </w:rPr>
        <w:t xml:space="preserve"> wiretap</w:t>
      </w:r>
      <w:r w:rsidRPr="00D662C3" w:rsidR="002669D9">
        <w:rPr>
          <w:szCs w:val="26"/>
        </w:rPr>
        <w:t xml:space="preserve"> application was invalid because</w:t>
      </w:r>
      <w:r w:rsidRPr="00D662C3">
        <w:rPr>
          <w:szCs w:val="26"/>
        </w:rPr>
        <w:t xml:space="preserve"> “there was no proof that the elected district attorney of Los Angeles County, Steven Cooley, was actually absent from his position when his Chief Deputy, John Spillane, made the application.”  His brief discusses</w:t>
      </w:r>
      <w:r w:rsidRPr="00D662C3" w:rsidR="002669D9">
        <w:rPr>
          <w:szCs w:val="26"/>
        </w:rPr>
        <w:t xml:space="preserve"> at length</w:t>
      </w:r>
      <w:r w:rsidRPr="00D662C3">
        <w:rPr>
          <w:szCs w:val="26"/>
        </w:rPr>
        <w:t xml:space="preserve"> </w:t>
      </w:r>
      <w:bookmarkStart w:id="16" w:name="_Hlk87992973"/>
      <w:bookmarkStart w:id="17" w:name="_Hlk86227124"/>
      <w:r w:rsidRPr="00D662C3">
        <w:rPr>
          <w:i/>
          <w:iCs/>
          <w:szCs w:val="26"/>
        </w:rPr>
        <w:t>U</w:t>
      </w:r>
      <w:r w:rsidR="00466FB3">
        <w:rPr>
          <w:i/>
          <w:iCs/>
          <w:szCs w:val="26"/>
        </w:rPr>
        <w:t xml:space="preserve">nited </w:t>
      </w:r>
      <w:r w:rsidRPr="00D662C3">
        <w:rPr>
          <w:i/>
          <w:iCs/>
          <w:szCs w:val="26"/>
        </w:rPr>
        <w:t>S</w:t>
      </w:r>
      <w:r w:rsidR="00466FB3">
        <w:rPr>
          <w:i/>
          <w:iCs/>
          <w:szCs w:val="26"/>
        </w:rPr>
        <w:t>tates</w:t>
      </w:r>
      <w:r w:rsidRPr="00D662C3">
        <w:rPr>
          <w:i/>
          <w:iCs/>
          <w:szCs w:val="26"/>
        </w:rPr>
        <w:t xml:space="preserve"> v. Perez-Valencia </w:t>
      </w:r>
      <w:r w:rsidRPr="00D662C3">
        <w:rPr>
          <w:szCs w:val="26"/>
        </w:rPr>
        <w:t>(9th Cir 2013) 727 F.3d 852</w:t>
      </w:r>
      <w:bookmarkEnd w:id="16"/>
      <w:r w:rsidRPr="00D662C3" w:rsidR="00253C6C">
        <w:rPr>
          <w:szCs w:val="26"/>
        </w:rPr>
        <w:t xml:space="preserve"> (</w:t>
      </w:r>
      <w:r w:rsidRPr="00D662C3" w:rsidR="00253C6C">
        <w:rPr>
          <w:i/>
          <w:iCs/>
          <w:szCs w:val="26"/>
        </w:rPr>
        <w:t>Perez-Valencia</w:t>
      </w:r>
      <w:r w:rsidRPr="00D662C3" w:rsidR="00253C6C">
        <w:rPr>
          <w:szCs w:val="26"/>
        </w:rPr>
        <w:t>)</w:t>
      </w:r>
      <w:r w:rsidRPr="00D662C3">
        <w:rPr>
          <w:szCs w:val="26"/>
        </w:rPr>
        <w:t xml:space="preserve">, </w:t>
      </w:r>
      <w:bookmarkEnd w:id="17"/>
      <w:r w:rsidRPr="00D662C3">
        <w:rPr>
          <w:szCs w:val="26"/>
        </w:rPr>
        <w:t xml:space="preserve">a </w:t>
      </w:r>
      <w:r w:rsidRPr="00D662C3" w:rsidR="00253C6C">
        <w:rPr>
          <w:szCs w:val="26"/>
        </w:rPr>
        <w:t xml:space="preserve">Ninth Circuit </w:t>
      </w:r>
      <w:r w:rsidRPr="00D662C3">
        <w:rPr>
          <w:szCs w:val="26"/>
        </w:rPr>
        <w:t>decision interpretating section 629.50(a)</w:t>
      </w:r>
      <w:r w:rsidRPr="00D662C3" w:rsidR="007B4BD3">
        <w:rPr>
          <w:szCs w:val="26"/>
        </w:rPr>
        <w:t>’s designation provision</w:t>
      </w:r>
      <w:r w:rsidRPr="00D662C3">
        <w:rPr>
          <w:szCs w:val="26"/>
        </w:rPr>
        <w:t xml:space="preserve"> that was decided</w:t>
      </w:r>
      <w:r w:rsidRPr="00D662C3" w:rsidR="00F76230">
        <w:rPr>
          <w:szCs w:val="26"/>
        </w:rPr>
        <w:t xml:space="preserve"> several</w:t>
      </w:r>
      <w:r w:rsidRPr="00D662C3">
        <w:rPr>
          <w:szCs w:val="26"/>
        </w:rPr>
        <w:t xml:space="preserve"> </w:t>
      </w:r>
      <w:r w:rsidRPr="00D662C3" w:rsidR="00253C6C">
        <w:rPr>
          <w:szCs w:val="26"/>
        </w:rPr>
        <w:t xml:space="preserve">years after </w:t>
      </w:r>
      <w:r w:rsidRPr="00D662C3" w:rsidR="00F8213E">
        <w:rPr>
          <w:szCs w:val="26"/>
        </w:rPr>
        <w:t>Gonzalez’s</w:t>
      </w:r>
      <w:r w:rsidRPr="00D662C3" w:rsidR="00253C6C">
        <w:rPr>
          <w:szCs w:val="26"/>
        </w:rPr>
        <w:t xml:space="preserve"> </w:t>
      </w:r>
      <w:r w:rsidRPr="00D662C3" w:rsidR="00F76230">
        <w:rPr>
          <w:szCs w:val="26"/>
        </w:rPr>
        <w:t>trial</w:t>
      </w:r>
      <w:r w:rsidRPr="00D662C3">
        <w:rPr>
          <w:szCs w:val="26"/>
        </w:rPr>
        <w:t xml:space="preserve">.  </w:t>
      </w:r>
      <w:r w:rsidRPr="00D662C3" w:rsidR="00253C6C">
        <w:rPr>
          <w:i/>
          <w:iCs/>
          <w:szCs w:val="26"/>
        </w:rPr>
        <w:t>Perez-Valencia</w:t>
      </w:r>
      <w:r w:rsidRPr="00D662C3" w:rsidR="00253C6C">
        <w:rPr>
          <w:szCs w:val="26"/>
        </w:rPr>
        <w:t xml:space="preserve"> addresses </w:t>
      </w:r>
      <w:bookmarkStart w:id="18" w:name="_Hlk87890202"/>
      <w:r w:rsidRPr="00BC6A6A" w:rsidR="00BC6A6A">
        <w:rPr>
          <w:szCs w:val="26"/>
        </w:rPr>
        <w:t xml:space="preserve">the scope of authority </w:t>
      </w:r>
      <w:r w:rsidR="000F706F">
        <w:rPr>
          <w:szCs w:val="26"/>
        </w:rPr>
        <w:t xml:space="preserve">a subordinate must be delegated </w:t>
      </w:r>
      <w:bookmarkStart w:id="19" w:name="_Hlk87890295"/>
      <w:r w:rsidR="000F706F">
        <w:rPr>
          <w:szCs w:val="26"/>
        </w:rPr>
        <w:t xml:space="preserve">in order to seek a wiretap </w:t>
      </w:r>
      <w:bookmarkEnd w:id="18"/>
      <w:r w:rsidR="000F706F">
        <w:rPr>
          <w:szCs w:val="26"/>
        </w:rPr>
        <w:t>in the district attorney’s absence</w:t>
      </w:r>
      <w:bookmarkEnd w:id="19"/>
      <w:r w:rsidRPr="00D662C3" w:rsidR="00C804AB">
        <w:rPr>
          <w:szCs w:val="26"/>
        </w:rPr>
        <w:t>,</w:t>
      </w:r>
      <w:r w:rsidRPr="00D662C3">
        <w:rPr>
          <w:szCs w:val="26"/>
        </w:rPr>
        <w:t xml:space="preserve"> an issue </w:t>
      </w:r>
      <w:r w:rsidR="004A3B45">
        <w:rPr>
          <w:szCs w:val="26"/>
        </w:rPr>
        <w:t>Gonzalez</w:t>
      </w:r>
      <w:r w:rsidRPr="00D662C3">
        <w:rPr>
          <w:szCs w:val="26"/>
        </w:rPr>
        <w:t xml:space="preserve"> did not </w:t>
      </w:r>
      <w:r w:rsidR="004A3B45">
        <w:rPr>
          <w:szCs w:val="26"/>
        </w:rPr>
        <w:t>raise</w:t>
      </w:r>
      <w:r w:rsidRPr="00D662C3" w:rsidR="004A3B45">
        <w:rPr>
          <w:szCs w:val="26"/>
        </w:rPr>
        <w:t xml:space="preserve"> </w:t>
      </w:r>
      <w:r w:rsidRPr="00D662C3">
        <w:rPr>
          <w:szCs w:val="26"/>
        </w:rPr>
        <w:t xml:space="preserve">in the trial court.  </w:t>
      </w:r>
      <w:r w:rsidRPr="00D662C3" w:rsidR="00BB0244">
        <w:rPr>
          <w:szCs w:val="26"/>
        </w:rPr>
        <w:t xml:space="preserve">The </w:t>
      </w:r>
      <w:r w:rsidRPr="00D662C3" w:rsidR="00F76230">
        <w:rPr>
          <w:szCs w:val="26"/>
        </w:rPr>
        <w:t xml:space="preserve">Ninth Circuit </w:t>
      </w:r>
      <w:r w:rsidRPr="00D662C3">
        <w:rPr>
          <w:szCs w:val="26"/>
        </w:rPr>
        <w:t>concluded that</w:t>
      </w:r>
      <w:r w:rsidRPr="00D662C3" w:rsidR="00BB0244">
        <w:rPr>
          <w:szCs w:val="26"/>
        </w:rPr>
        <w:t xml:space="preserve"> the phrase “the person designated to act as district attorney in the district attorney’s absence</w:t>
      </w:r>
      <w:bookmarkStart w:id="20" w:name="_Hlk85021317"/>
      <w:r w:rsidRPr="00D662C3" w:rsidR="00BB0244">
        <w:rPr>
          <w:szCs w:val="26"/>
        </w:rPr>
        <w:t xml:space="preserve">” </w:t>
      </w:r>
      <w:r w:rsidRPr="00D662C3">
        <w:rPr>
          <w:szCs w:val="26"/>
        </w:rPr>
        <w:t>requires that the designee “must be acting in the district attorney</w:t>
      </w:r>
      <w:r w:rsidRPr="00D662C3" w:rsidR="00253C6C">
        <w:rPr>
          <w:szCs w:val="26"/>
        </w:rPr>
        <w:t>’</w:t>
      </w:r>
      <w:r w:rsidRPr="00D662C3">
        <w:rPr>
          <w:szCs w:val="26"/>
        </w:rPr>
        <w:t xml:space="preserve">s absence not just as an assistant district attorney designated with the limited authority to apply for a wiretap order, but as an assistant district attorney duly designated to act for </w:t>
      </w:r>
      <w:r w:rsidRPr="00D662C3">
        <w:rPr>
          <w:i/>
          <w:iCs/>
          <w:szCs w:val="26"/>
        </w:rPr>
        <w:t>all</w:t>
      </w:r>
      <w:r w:rsidRPr="00D662C3">
        <w:rPr>
          <w:szCs w:val="26"/>
        </w:rPr>
        <w:t xml:space="preserve"> purposes as the district attorney of the political subdivision in question.”  (</w:t>
      </w:r>
      <w:r w:rsidRPr="00D662C3" w:rsidR="00F32CEF">
        <w:rPr>
          <w:i/>
          <w:iCs/>
          <w:szCs w:val="26"/>
        </w:rPr>
        <w:t>Perez-Valencia</w:t>
      </w:r>
      <w:r w:rsidRPr="00D662C3" w:rsidR="00F32CEF">
        <w:rPr>
          <w:szCs w:val="26"/>
        </w:rPr>
        <w:t xml:space="preserve">, </w:t>
      </w:r>
      <w:r w:rsidRPr="00D662C3" w:rsidR="00BB0244">
        <w:rPr>
          <w:szCs w:val="26"/>
        </w:rPr>
        <w:t>at p</w:t>
      </w:r>
      <w:r w:rsidRPr="00D662C3" w:rsidR="00F32CEF">
        <w:rPr>
          <w:szCs w:val="26"/>
        </w:rPr>
        <w:t>.</w:t>
      </w:r>
      <w:r w:rsidRPr="00D662C3" w:rsidR="00BB0244">
        <w:rPr>
          <w:szCs w:val="26"/>
        </w:rPr>
        <w:t xml:space="preserve"> </w:t>
      </w:r>
      <w:r w:rsidRPr="00D662C3">
        <w:rPr>
          <w:szCs w:val="26"/>
        </w:rPr>
        <w:t>855.)</w:t>
      </w:r>
      <w:bookmarkEnd w:id="20"/>
      <w:r w:rsidRPr="00D662C3">
        <w:rPr>
          <w:szCs w:val="26"/>
        </w:rPr>
        <w:t xml:space="preserve">  </w:t>
      </w:r>
      <w:r w:rsidRPr="00D662C3">
        <w:rPr>
          <w:szCs w:val="26"/>
        </w:rPr>
        <w:t>Noting that the</w:t>
      </w:r>
      <w:r w:rsidR="009B7204">
        <w:rPr>
          <w:szCs w:val="26"/>
        </w:rPr>
        <w:t xml:space="preserve"> prosecution’s opposition to the motion to suppress appear</w:t>
      </w:r>
      <w:r w:rsidR="007E04E1">
        <w:rPr>
          <w:szCs w:val="26"/>
        </w:rPr>
        <w:t xml:space="preserve">ed </w:t>
      </w:r>
      <w:r w:rsidR="009B7204">
        <w:rPr>
          <w:szCs w:val="26"/>
        </w:rPr>
        <w:t xml:space="preserve">to </w:t>
      </w:r>
      <w:r w:rsidRPr="00444E82" w:rsidR="00444E82">
        <w:rPr>
          <w:szCs w:val="26"/>
        </w:rPr>
        <w:t>interpret the requirements</w:t>
      </w:r>
      <w:r w:rsidR="00444E82">
        <w:rPr>
          <w:szCs w:val="26"/>
        </w:rPr>
        <w:t xml:space="preserve"> </w:t>
      </w:r>
      <w:r w:rsidRPr="00444E82" w:rsidR="00444E82">
        <w:rPr>
          <w:szCs w:val="26"/>
        </w:rPr>
        <w:t xml:space="preserve">of section 629.50(a) differently than </w:t>
      </w:r>
      <w:r w:rsidRPr="00D662C3" w:rsidR="009B1118">
        <w:rPr>
          <w:i/>
          <w:iCs/>
          <w:szCs w:val="26"/>
        </w:rPr>
        <w:t>Perez-Valencia</w:t>
      </w:r>
      <w:r w:rsidRPr="00D662C3" w:rsidR="00F76230">
        <w:rPr>
          <w:szCs w:val="26"/>
        </w:rPr>
        <w:t>,</w:t>
      </w:r>
      <w:r w:rsidRPr="00D662C3">
        <w:rPr>
          <w:szCs w:val="26"/>
        </w:rPr>
        <w:t xml:space="preserve"> Gonzalez argue</w:t>
      </w:r>
      <w:r w:rsidRPr="00D662C3" w:rsidR="00BB0244">
        <w:rPr>
          <w:szCs w:val="26"/>
        </w:rPr>
        <w:t>s</w:t>
      </w:r>
      <w:r w:rsidRPr="00D662C3" w:rsidR="009B1118">
        <w:rPr>
          <w:szCs w:val="26"/>
        </w:rPr>
        <w:t xml:space="preserve"> </w:t>
      </w:r>
      <w:r w:rsidRPr="00D662C3">
        <w:rPr>
          <w:szCs w:val="26"/>
        </w:rPr>
        <w:t>that</w:t>
      </w:r>
      <w:r w:rsidRPr="00D662C3" w:rsidR="00116159">
        <w:rPr>
          <w:szCs w:val="26"/>
        </w:rPr>
        <w:t xml:space="preserve"> the</w:t>
      </w:r>
      <w:r w:rsidRPr="00D662C3" w:rsidR="009B1118">
        <w:rPr>
          <w:szCs w:val="26"/>
        </w:rPr>
        <w:t xml:space="preserve"> application</w:t>
      </w:r>
      <w:r w:rsidRPr="00D662C3" w:rsidR="00C804AB">
        <w:rPr>
          <w:szCs w:val="26"/>
        </w:rPr>
        <w:t xml:space="preserve"> here</w:t>
      </w:r>
      <w:r w:rsidRPr="00D662C3" w:rsidR="009B1118">
        <w:rPr>
          <w:szCs w:val="26"/>
        </w:rPr>
        <w:t xml:space="preserve"> was invalid</w:t>
      </w:r>
      <w:r w:rsidRPr="00D662C3">
        <w:rPr>
          <w:szCs w:val="26"/>
        </w:rPr>
        <w:t xml:space="preserve"> because “there was no evidence presented</w:t>
      </w:r>
      <w:r w:rsidR="007E04E1">
        <w:rPr>
          <w:szCs w:val="26"/>
        </w:rPr>
        <w:t> . . . </w:t>
      </w:r>
      <w:r w:rsidRPr="00D662C3">
        <w:rPr>
          <w:szCs w:val="26"/>
        </w:rPr>
        <w:t xml:space="preserve">as to </w:t>
      </w:r>
      <w:r w:rsidRPr="00D662C3">
        <w:rPr>
          <w:szCs w:val="26"/>
        </w:rPr>
        <w:t xml:space="preserve">either </w:t>
      </w:r>
      <w:r w:rsidRPr="00D662C3" w:rsidR="009B1118">
        <w:rPr>
          <w:szCs w:val="26"/>
        </w:rPr>
        <w:t>t</w:t>
      </w:r>
      <w:r w:rsidRPr="00D662C3">
        <w:rPr>
          <w:szCs w:val="26"/>
        </w:rPr>
        <w:t xml:space="preserve">he nature of District Attorney Cooley’s absence or the nature of the authority of Chief Deputy Spillane.” </w:t>
      </w:r>
      <w:r w:rsidRPr="00D662C3" w:rsidR="00F76230">
        <w:rPr>
          <w:szCs w:val="26"/>
        </w:rPr>
        <w:t xml:space="preserve"> </w:t>
      </w:r>
    </w:p>
    <w:p w:rsidR="009C49C1" w:rsidRPr="00D662C3" w:rsidP="004F5DF7">
      <w:pPr>
        <w:ind w:firstLine="720"/>
        <w:rPr>
          <w:i/>
          <w:iCs/>
          <w:szCs w:val="26"/>
        </w:rPr>
      </w:pPr>
      <w:r w:rsidRPr="00D662C3">
        <w:rPr>
          <w:szCs w:val="26"/>
        </w:rPr>
        <w:t>At oral argument, Gonzalez’s counsel c</w:t>
      </w:r>
      <w:r w:rsidRPr="00D662C3" w:rsidR="00F76230">
        <w:rPr>
          <w:szCs w:val="26"/>
        </w:rPr>
        <w:t>onfirmed</w:t>
      </w:r>
      <w:r w:rsidRPr="00D662C3" w:rsidR="00147230">
        <w:rPr>
          <w:szCs w:val="26"/>
        </w:rPr>
        <w:t xml:space="preserve"> </w:t>
      </w:r>
      <w:r w:rsidRPr="00D662C3" w:rsidR="00F76230">
        <w:rPr>
          <w:szCs w:val="26"/>
        </w:rPr>
        <w:t xml:space="preserve"> </w:t>
      </w:r>
      <w:r w:rsidRPr="00D662C3" w:rsidR="009D3422">
        <w:rPr>
          <w:szCs w:val="26"/>
        </w:rPr>
        <w:t xml:space="preserve">defendant’s </w:t>
      </w:r>
      <w:r w:rsidRPr="00D662C3">
        <w:rPr>
          <w:szCs w:val="26"/>
        </w:rPr>
        <w:t xml:space="preserve">argument </w:t>
      </w:r>
      <w:r w:rsidRPr="00D662C3" w:rsidR="00116159">
        <w:rPr>
          <w:szCs w:val="26"/>
        </w:rPr>
        <w:t xml:space="preserve">with respect to the wiretap order </w:t>
      </w:r>
      <w:r w:rsidRPr="00D662C3" w:rsidR="00F76230">
        <w:rPr>
          <w:szCs w:val="26"/>
        </w:rPr>
        <w:t>is</w:t>
      </w:r>
      <w:r w:rsidRPr="00D662C3" w:rsidR="00116159">
        <w:rPr>
          <w:szCs w:val="26"/>
        </w:rPr>
        <w:t xml:space="preserve"> that the application was </w:t>
      </w:r>
      <w:r w:rsidRPr="00D662C3" w:rsidR="006D174C">
        <w:rPr>
          <w:szCs w:val="26"/>
        </w:rPr>
        <w:t xml:space="preserve">facially </w:t>
      </w:r>
      <w:r w:rsidRPr="00D662C3" w:rsidR="00116159">
        <w:rPr>
          <w:szCs w:val="26"/>
        </w:rPr>
        <w:t>invalid because it</w:t>
      </w:r>
      <w:r w:rsidRPr="00D662C3">
        <w:rPr>
          <w:szCs w:val="26"/>
        </w:rPr>
        <w:t xml:space="preserve"> failed to include information </w:t>
      </w:r>
      <w:r w:rsidRPr="00D662C3" w:rsidR="00F76230">
        <w:rPr>
          <w:szCs w:val="26"/>
        </w:rPr>
        <w:t>verifying that the district attorney was absent</w:t>
      </w:r>
      <w:r w:rsidRPr="00D662C3">
        <w:rPr>
          <w:szCs w:val="26"/>
        </w:rPr>
        <w:t>.</w:t>
      </w:r>
      <w:r>
        <w:rPr>
          <w:rStyle w:val="FootnoteReference"/>
          <w:szCs w:val="26"/>
        </w:rPr>
        <w:footnoteReference w:id="11"/>
      </w:r>
      <w:r w:rsidRPr="00D662C3" w:rsidR="00B40E67">
        <w:rPr>
          <w:szCs w:val="26"/>
        </w:rPr>
        <w:t xml:space="preserve"> </w:t>
      </w:r>
      <w:r w:rsidRPr="00D662C3" w:rsidR="00B40E67">
        <w:t xml:space="preserve"> </w:t>
      </w:r>
      <w:r w:rsidRPr="00D662C3" w:rsidR="00606DF7">
        <w:rPr>
          <w:szCs w:val="26"/>
        </w:rPr>
        <w:t xml:space="preserve">Thus, </w:t>
      </w:r>
      <w:r w:rsidR="00932FA1">
        <w:rPr>
          <w:szCs w:val="26"/>
        </w:rPr>
        <w:t>the issue we must</w:t>
      </w:r>
      <w:r w:rsidRPr="00D662C3" w:rsidR="00A21D9C">
        <w:rPr>
          <w:szCs w:val="26"/>
        </w:rPr>
        <w:t xml:space="preserve"> </w:t>
      </w:r>
      <w:r w:rsidRPr="00D662C3" w:rsidR="00606DF7">
        <w:rPr>
          <w:szCs w:val="26"/>
        </w:rPr>
        <w:t xml:space="preserve">decide </w:t>
      </w:r>
      <w:r w:rsidR="00932FA1">
        <w:rPr>
          <w:szCs w:val="26"/>
        </w:rPr>
        <w:t xml:space="preserve">is </w:t>
      </w:r>
      <w:r w:rsidRPr="00D662C3" w:rsidR="00606DF7">
        <w:rPr>
          <w:szCs w:val="26"/>
        </w:rPr>
        <w:t>whether</w:t>
      </w:r>
      <w:r w:rsidRPr="00D662C3" w:rsidR="00E950ED">
        <w:rPr>
          <w:szCs w:val="26"/>
        </w:rPr>
        <w:t xml:space="preserve"> </w:t>
      </w:r>
      <w:r w:rsidRPr="00D662C3" w:rsidR="00330CDB">
        <w:rPr>
          <w:szCs w:val="26"/>
        </w:rPr>
        <w:t>it is sufficient for a</w:t>
      </w:r>
      <w:r w:rsidRPr="00D662C3" w:rsidR="00A21D9C">
        <w:rPr>
          <w:szCs w:val="26"/>
        </w:rPr>
        <w:t xml:space="preserve"> wiretap </w:t>
      </w:r>
      <w:r w:rsidRPr="00D662C3" w:rsidR="00330CDB">
        <w:rPr>
          <w:szCs w:val="26"/>
        </w:rPr>
        <w:t xml:space="preserve">application to state, as here, that it has been submitted upon the oath of “the person designated to act as district </w:t>
      </w:r>
      <w:r w:rsidRPr="00D662C3" w:rsidR="00A21D9C">
        <w:rPr>
          <w:szCs w:val="26"/>
        </w:rPr>
        <w:t xml:space="preserve">attorney in the district </w:t>
      </w:r>
      <w:r w:rsidRPr="00D662C3" w:rsidR="00330CDB">
        <w:rPr>
          <w:szCs w:val="26"/>
        </w:rPr>
        <w:t>attorney’s absence” (§ 629.50(a)), or whether section 629.50 also requires that an application include information detailing the specific circumstances of the district attorney’s absence.</w:t>
      </w:r>
      <w:r w:rsidRPr="00D662C3" w:rsidR="00E950ED">
        <w:rPr>
          <w:szCs w:val="26"/>
        </w:rPr>
        <w:t xml:space="preserve">  </w:t>
      </w:r>
      <w:r w:rsidRPr="00D662C3" w:rsidR="00606DF7">
        <w:rPr>
          <w:szCs w:val="26"/>
        </w:rPr>
        <w:t xml:space="preserve"> </w:t>
      </w:r>
    </w:p>
    <w:p w:rsidR="0050263F" w:rsidRPr="00D662C3" w:rsidP="004F5DF7">
      <w:pPr>
        <w:pStyle w:val="ListParagraph"/>
        <w:numPr>
          <w:ilvl w:val="0"/>
          <w:numId w:val="15"/>
        </w:numPr>
        <w:rPr>
          <w:i/>
          <w:iCs/>
          <w:szCs w:val="26"/>
        </w:rPr>
      </w:pPr>
      <w:r w:rsidRPr="00D662C3">
        <w:rPr>
          <w:i/>
          <w:iCs/>
          <w:szCs w:val="26"/>
        </w:rPr>
        <w:t>Discussion</w:t>
      </w:r>
    </w:p>
    <w:p w:rsidR="00E6106B" w:rsidRPr="00D662C3" w:rsidP="00A32BE9">
      <w:pPr>
        <w:ind w:left="1440"/>
        <w:rPr>
          <w:szCs w:val="26"/>
        </w:rPr>
      </w:pPr>
      <w:r w:rsidRPr="00D662C3">
        <w:rPr>
          <w:szCs w:val="26"/>
        </w:rPr>
        <w:t>(</w:t>
      </w:r>
      <w:r w:rsidRPr="00D662C3">
        <w:rPr>
          <w:i/>
          <w:iCs/>
          <w:szCs w:val="26"/>
        </w:rPr>
        <w:t>i</w:t>
      </w:r>
      <w:r w:rsidRPr="00D662C3">
        <w:rPr>
          <w:szCs w:val="26"/>
        </w:rPr>
        <w:t xml:space="preserve">)  </w:t>
      </w:r>
      <w:r w:rsidRPr="00393C9F">
        <w:rPr>
          <w:i/>
          <w:iCs/>
          <w:szCs w:val="26"/>
        </w:rPr>
        <w:t>Summary</w:t>
      </w:r>
      <w:r w:rsidRPr="00D662C3">
        <w:rPr>
          <w:i/>
          <w:iCs/>
          <w:szCs w:val="26"/>
        </w:rPr>
        <w:t xml:space="preserve"> of federal and state wiretap law</w:t>
      </w:r>
      <w:r w:rsidR="00393C9F">
        <w:rPr>
          <w:i/>
          <w:iCs/>
          <w:szCs w:val="26"/>
        </w:rPr>
        <w:t>s</w:t>
      </w:r>
    </w:p>
    <w:p w:rsidR="008820A5" w:rsidRPr="00D662C3" w:rsidP="004F5DF7">
      <w:pPr>
        <w:ind w:firstLine="720"/>
        <w:rPr>
          <w:szCs w:val="26"/>
        </w:rPr>
      </w:pPr>
      <w:r w:rsidRPr="00D662C3">
        <w:rPr>
          <w:szCs w:val="26"/>
        </w:rPr>
        <w:t>Title III of the</w:t>
      </w:r>
      <w:r w:rsidRPr="00D662C3" w:rsidR="00DB7BEE">
        <w:rPr>
          <w:szCs w:val="26"/>
        </w:rPr>
        <w:t xml:space="preserve"> federal</w:t>
      </w:r>
      <w:r w:rsidRPr="00D662C3">
        <w:rPr>
          <w:szCs w:val="26"/>
        </w:rPr>
        <w:t xml:space="preserve"> Omnibus Crime Control and Safe Streets Act of 1968 (Title III) (18 U</w:t>
      </w:r>
      <w:r w:rsidRPr="00D662C3" w:rsidR="00B83ABF">
        <w:rPr>
          <w:szCs w:val="26"/>
        </w:rPr>
        <w:t>.</w:t>
      </w:r>
      <w:r w:rsidRPr="00D662C3">
        <w:rPr>
          <w:szCs w:val="26"/>
        </w:rPr>
        <w:t>S</w:t>
      </w:r>
      <w:r w:rsidRPr="00D662C3" w:rsidR="00B83ABF">
        <w:rPr>
          <w:szCs w:val="26"/>
        </w:rPr>
        <w:t>.</w:t>
      </w:r>
      <w:r w:rsidRPr="00D662C3">
        <w:rPr>
          <w:szCs w:val="26"/>
        </w:rPr>
        <w:t>C</w:t>
      </w:r>
      <w:r w:rsidRPr="00D662C3" w:rsidR="00B83ABF">
        <w:rPr>
          <w:szCs w:val="26"/>
        </w:rPr>
        <w:t>.</w:t>
      </w:r>
      <w:r w:rsidRPr="00D662C3">
        <w:rPr>
          <w:szCs w:val="26"/>
        </w:rPr>
        <w:t xml:space="preserve"> §§ 2510–2520) “</w:t>
      </w:r>
      <w:r w:rsidRPr="00D662C3" w:rsidR="00DB7BEE">
        <w:rPr>
          <w:szCs w:val="26"/>
        </w:rPr>
        <w:t> </w:t>
      </w:r>
      <w:r w:rsidRPr="00D662C3">
        <w:rPr>
          <w:szCs w:val="26"/>
        </w:rPr>
        <w:t>‘provides a “comprehensive scheme for the regulation of wiretapping and electronic surveillance.” ’ [Citation.]  As we have previously observed, Title III ‘establishes minimum standards for the admissibility of evidence procured through electronic surveillance; state law cannot be less protective of privacy than the federal Act.’</w:t>
      </w:r>
      <w:r w:rsidRPr="00D662C3" w:rsidR="00DB7BEE">
        <w:rPr>
          <w:szCs w:val="26"/>
        </w:rPr>
        <w:t> </w:t>
      </w:r>
      <w:bookmarkStart w:id="21" w:name="_Hlk86227267"/>
      <w:r w:rsidRPr="00D662C3">
        <w:rPr>
          <w:szCs w:val="26"/>
        </w:rPr>
        <w:t>”  (</w:t>
      </w:r>
      <w:r w:rsidRPr="00D662C3">
        <w:rPr>
          <w:i/>
          <w:iCs/>
          <w:szCs w:val="26"/>
        </w:rPr>
        <w:t>People v. Leon</w:t>
      </w:r>
      <w:r w:rsidRPr="00D662C3">
        <w:rPr>
          <w:szCs w:val="26"/>
        </w:rPr>
        <w:t xml:space="preserve"> (2007) 40 Cal.4th 376, 384 (</w:t>
      </w:r>
      <w:r w:rsidRPr="00D662C3">
        <w:rPr>
          <w:i/>
          <w:iCs/>
          <w:szCs w:val="26"/>
        </w:rPr>
        <w:t>Leon</w:t>
      </w:r>
      <w:r w:rsidRPr="00D662C3">
        <w:rPr>
          <w:szCs w:val="26"/>
        </w:rPr>
        <w:t>)</w:t>
      </w:r>
      <w:r w:rsidRPr="00D662C3" w:rsidR="00116159">
        <w:rPr>
          <w:szCs w:val="26"/>
        </w:rPr>
        <w:t xml:space="preserve">; see </w:t>
      </w:r>
      <w:r w:rsidRPr="00D662C3" w:rsidR="00116159">
        <w:rPr>
          <w:i/>
          <w:iCs/>
          <w:szCs w:val="26"/>
        </w:rPr>
        <w:t xml:space="preserve">Villa v. Maricopa County </w:t>
      </w:r>
      <w:r w:rsidRPr="00D662C3" w:rsidR="00116159">
        <w:rPr>
          <w:szCs w:val="26"/>
        </w:rPr>
        <w:t>(9th Cir. 2017) 865 F.3d 1224, 1230 (</w:t>
      </w:r>
      <w:r w:rsidRPr="00D662C3" w:rsidR="00116159">
        <w:rPr>
          <w:i/>
          <w:iCs/>
          <w:szCs w:val="26"/>
        </w:rPr>
        <w:t>Villa</w:t>
      </w:r>
      <w:r w:rsidRPr="00D662C3" w:rsidR="00116159">
        <w:rPr>
          <w:szCs w:val="26"/>
        </w:rPr>
        <w:t xml:space="preserve">) </w:t>
      </w:r>
      <w:bookmarkEnd w:id="21"/>
      <w:r w:rsidRPr="00D662C3" w:rsidR="00116159">
        <w:rPr>
          <w:szCs w:val="26"/>
        </w:rPr>
        <w:t>[</w:t>
      </w:r>
      <w:r w:rsidRPr="00D662C3">
        <w:rPr>
          <w:szCs w:val="26"/>
        </w:rPr>
        <w:t xml:space="preserve">“States may choose to enact wiretapping statutes imposing more stringent requirements, or </w:t>
      </w:r>
      <w:r w:rsidRPr="00D662C3" w:rsidR="00116159">
        <w:rPr>
          <w:szCs w:val="26"/>
        </w:rPr>
        <w:t xml:space="preserve">. . . </w:t>
      </w:r>
      <w:r w:rsidRPr="00D662C3">
        <w:rPr>
          <w:szCs w:val="26"/>
        </w:rPr>
        <w:t>choose to forego state-authorized wiretapping altogether”</w:t>
      </w:r>
      <w:r w:rsidRPr="00D662C3" w:rsidR="00116159">
        <w:rPr>
          <w:szCs w:val="26"/>
        </w:rPr>
        <w:t xml:space="preserve">].) </w:t>
      </w:r>
    </w:p>
    <w:p w:rsidR="00AA336E" w:rsidRPr="00D662C3" w:rsidP="004F5DF7">
      <w:pPr>
        <w:ind w:firstLine="720"/>
        <w:rPr>
          <w:szCs w:val="26"/>
        </w:rPr>
      </w:pPr>
      <w:r w:rsidRPr="00D662C3">
        <w:rPr>
          <w:szCs w:val="26"/>
        </w:rPr>
        <w:t>Title II</w:t>
      </w:r>
      <w:r w:rsidRPr="00D662C3" w:rsidR="00315913">
        <w:rPr>
          <w:szCs w:val="26"/>
        </w:rPr>
        <w:t>I</w:t>
      </w:r>
      <w:r w:rsidRPr="00D662C3" w:rsidR="00116159">
        <w:rPr>
          <w:szCs w:val="26"/>
        </w:rPr>
        <w:t xml:space="preserve"> </w:t>
      </w:r>
      <w:r w:rsidRPr="00D662C3" w:rsidR="00A26080">
        <w:rPr>
          <w:szCs w:val="26"/>
        </w:rPr>
        <w:t xml:space="preserve">allows </w:t>
      </w:r>
      <w:r w:rsidRPr="00D662C3" w:rsidR="00116159">
        <w:rPr>
          <w:szCs w:val="26"/>
        </w:rPr>
        <w:t xml:space="preserve">states </w:t>
      </w:r>
      <w:r w:rsidRPr="00D662C3" w:rsidR="003C5959">
        <w:rPr>
          <w:szCs w:val="26"/>
        </w:rPr>
        <w:t>to authorize</w:t>
      </w:r>
      <w:r w:rsidRPr="00D662C3" w:rsidR="00F8213E">
        <w:rPr>
          <w:szCs w:val="26"/>
        </w:rPr>
        <w:t xml:space="preserve"> only</w:t>
      </w:r>
      <w:r w:rsidRPr="00D662C3" w:rsidR="00A26080">
        <w:rPr>
          <w:szCs w:val="26"/>
        </w:rPr>
        <w:t xml:space="preserve"> the following categories </w:t>
      </w:r>
      <w:r w:rsidRPr="00D662C3">
        <w:rPr>
          <w:szCs w:val="26"/>
        </w:rPr>
        <w:t xml:space="preserve">of </w:t>
      </w:r>
      <w:r w:rsidRPr="00D662C3" w:rsidR="003C5959">
        <w:rPr>
          <w:szCs w:val="26"/>
        </w:rPr>
        <w:t xml:space="preserve">law </w:t>
      </w:r>
      <w:r w:rsidRPr="00D662C3">
        <w:rPr>
          <w:szCs w:val="26"/>
        </w:rPr>
        <w:t xml:space="preserve">enforcement </w:t>
      </w:r>
      <w:r w:rsidRPr="00D662C3" w:rsidR="00A26080">
        <w:rPr>
          <w:szCs w:val="26"/>
        </w:rPr>
        <w:t>officials</w:t>
      </w:r>
      <w:r w:rsidRPr="00D662C3">
        <w:rPr>
          <w:szCs w:val="26"/>
        </w:rPr>
        <w:t xml:space="preserve"> to seek a wiretap</w:t>
      </w:r>
      <w:r w:rsidRPr="00D662C3" w:rsidR="00E66E23">
        <w:rPr>
          <w:szCs w:val="26"/>
        </w:rPr>
        <w:t xml:space="preserve"> order</w:t>
      </w:r>
      <w:r w:rsidRPr="00D662C3">
        <w:rPr>
          <w:szCs w:val="26"/>
        </w:rPr>
        <w:t>:  “The principal prosecuting attorney of any State, or the principal prosecuting attorney of any political subdivision thereof, if such attorney is authorized by a statute of that State</w:t>
      </w:r>
      <w:r w:rsidRPr="00D662C3" w:rsidR="00DB7BEE">
        <w:rPr>
          <w:szCs w:val="26"/>
        </w:rPr>
        <w:t> </w:t>
      </w:r>
      <w:r w:rsidRPr="00D662C3" w:rsidR="00A21D9C">
        <w:rPr>
          <w:szCs w:val="26"/>
        </w:rPr>
        <w:t>.</w:t>
      </w:r>
      <w:r w:rsidRPr="00D662C3" w:rsidR="00DB7BEE">
        <w:rPr>
          <w:szCs w:val="26"/>
        </w:rPr>
        <w:t> . . .</w:t>
      </w:r>
      <w:r w:rsidRPr="00D662C3">
        <w:rPr>
          <w:szCs w:val="26"/>
        </w:rPr>
        <w:t>”  (</w:t>
      </w:r>
      <w:r w:rsidRPr="000350D4">
        <w:rPr>
          <w:szCs w:val="26"/>
        </w:rPr>
        <w:t>18 U.S.C.</w:t>
      </w:r>
      <w:r w:rsidRPr="00D662C3">
        <w:rPr>
          <w:szCs w:val="26"/>
        </w:rPr>
        <w:t xml:space="preserve"> </w:t>
      </w:r>
      <w:r w:rsidRPr="00D662C3" w:rsidR="00B83ABF">
        <w:rPr>
          <w:szCs w:val="26"/>
        </w:rPr>
        <w:t xml:space="preserve">§ </w:t>
      </w:r>
      <w:r w:rsidRPr="00D662C3">
        <w:rPr>
          <w:szCs w:val="26"/>
        </w:rPr>
        <w:t xml:space="preserve">2516(2).) </w:t>
      </w:r>
      <w:r w:rsidRPr="00D662C3" w:rsidR="00116159">
        <w:rPr>
          <w:szCs w:val="26"/>
        </w:rPr>
        <w:t xml:space="preserve"> Pursuant to that provision,</w:t>
      </w:r>
      <w:r w:rsidRPr="00D662C3">
        <w:rPr>
          <w:szCs w:val="26"/>
        </w:rPr>
        <w:t xml:space="preserve"> </w:t>
      </w:r>
      <w:r w:rsidRPr="00D662C3" w:rsidR="00E870E0">
        <w:rPr>
          <w:szCs w:val="26"/>
        </w:rPr>
        <w:t>California’s wiretap law</w:t>
      </w:r>
      <w:r w:rsidRPr="00D662C3" w:rsidR="00BE06D2">
        <w:rPr>
          <w:szCs w:val="26"/>
        </w:rPr>
        <w:t xml:space="preserve"> (</w:t>
      </w:r>
      <w:r w:rsidRPr="00D662C3" w:rsidR="00DB7BEE">
        <w:rPr>
          <w:szCs w:val="26"/>
        </w:rPr>
        <w:t xml:space="preserve">Pen. Code, </w:t>
      </w:r>
      <w:r w:rsidRPr="00D662C3" w:rsidR="00CE3A8C">
        <w:rPr>
          <w:szCs w:val="26"/>
        </w:rPr>
        <w:t xml:space="preserve">§ </w:t>
      </w:r>
      <w:r w:rsidRPr="00D662C3" w:rsidR="00BE06D2">
        <w:rPr>
          <w:szCs w:val="26"/>
        </w:rPr>
        <w:t>629.50 et seq.)</w:t>
      </w:r>
      <w:r w:rsidRPr="00D662C3" w:rsidR="00116159">
        <w:rPr>
          <w:szCs w:val="26"/>
        </w:rPr>
        <w:t xml:space="preserve"> </w:t>
      </w:r>
      <w:r w:rsidRPr="00D662C3" w:rsidR="003C5959">
        <w:rPr>
          <w:szCs w:val="26"/>
        </w:rPr>
        <w:t>provides</w:t>
      </w:r>
      <w:r w:rsidRPr="00D662C3" w:rsidR="00E870E0">
        <w:rPr>
          <w:szCs w:val="26"/>
        </w:rPr>
        <w:t xml:space="preserve"> that “[e]ach application for an order authorizing the interception of a wire or electronic communication shall be made in writing upon the personal oath or affirmation of </w:t>
      </w:r>
      <w:r w:rsidRPr="00D662C3" w:rsidR="003C5959">
        <w:rPr>
          <w:szCs w:val="26"/>
        </w:rPr>
        <w:t>the Attorney General</w:t>
      </w:r>
      <w:r w:rsidR="00393C9F">
        <w:rPr>
          <w:szCs w:val="26"/>
        </w:rPr>
        <w:t> . . .</w:t>
      </w:r>
      <w:r w:rsidRPr="00D662C3" w:rsidR="00E870E0">
        <w:rPr>
          <w:szCs w:val="26"/>
        </w:rPr>
        <w:t xml:space="preserve"> </w:t>
      </w:r>
      <w:r w:rsidRPr="00D662C3" w:rsidR="003C5959">
        <w:rPr>
          <w:szCs w:val="26"/>
        </w:rPr>
        <w:t>or</w:t>
      </w:r>
      <w:r w:rsidRPr="00D662C3" w:rsidR="00E870E0">
        <w:rPr>
          <w:szCs w:val="26"/>
        </w:rPr>
        <w:t xml:space="preserve"> a district attorney, or the person designated to act as district attorney in the district attorney’s absence.”  (§</w:t>
      </w:r>
      <w:r w:rsidRPr="00D662C3" w:rsidR="00BE06D2">
        <w:rPr>
          <w:szCs w:val="26"/>
        </w:rPr>
        <w:t> </w:t>
      </w:r>
      <w:r w:rsidRPr="00D662C3" w:rsidR="00E870E0">
        <w:rPr>
          <w:szCs w:val="26"/>
        </w:rPr>
        <w:t>629.50(a).)</w:t>
      </w:r>
      <w:r>
        <w:rPr>
          <w:rStyle w:val="FootnoteReference"/>
          <w:szCs w:val="26"/>
        </w:rPr>
        <w:footnoteReference w:id="12"/>
      </w:r>
    </w:p>
    <w:p w:rsidR="00E6106B" w:rsidRPr="00D662C3" w:rsidP="004F5DF7">
      <w:pPr>
        <w:ind w:firstLine="720"/>
        <w:rPr>
          <w:szCs w:val="26"/>
        </w:rPr>
      </w:pPr>
      <w:r w:rsidRPr="00D662C3">
        <w:rPr>
          <w:szCs w:val="26"/>
        </w:rPr>
        <w:t>Section 629.50</w:t>
      </w:r>
      <w:r w:rsidR="00393C9F">
        <w:rPr>
          <w:szCs w:val="26"/>
        </w:rPr>
        <w:t>(a)</w:t>
      </w:r>
      <w:r w:rsidRPr="00D662C3">
        <w:rPr>
          <w:szCs w:val="26"/>
        </w:rPr>
        <w:t xml:space="preserve"> </w:t>
      </w:r>
      <w:r w:rsidRPr="00D662C3" w:rsidR="00BE06D2">
        <w:rPr>
          <w:szCs w:val="26"/>
        </w:rPr>
        <w:t xml:space="preserve">sets forth </w:t>
      </w:r>
      <w:r w:rsidRPr="00D662C3" w:rsidR="00B8553E">
        <w:rPr>
          <w:szCs w:val="26"/>
        </w:rPr>
        <w:t>a detailed description of</w:t>
      </w:r>
      <w:r w:rsidRPr="00D662C3" w:rsidR="00BE06D2">
        <w:rPr>
          <w:szCs w:val="26"/>
        </w:rPr>
        <w:t xml:space="preserve"> </w:t>
      </w:r>
      <w:r w:rsidRPr="00D662C3" w:rsidR="000757D6">
        <w:rPr>
          <w:szCs w:val="26"/>
        </w:rPr>
        <w:t>additional categories of</w:t>
      </w:r>
      <w:r w:rsidRPr="00D662C3" w:rsidR="00B8553E">
        <w:rPr>
          <w:szCs w:val="26"/>
        </w:rPr>
        <w:t xml:space="preserve"> information a wiretap </w:t>
      </w:r>
      <w:r w:rsidRPr="00D662C3" w:rsidR="00E66E23">
        <w:rPr>
          <w:szCs w:val="26"/>
        </w:rPr>
        <w:t xml:space="preserve">application </w:t>
      </w:r>
      <w:r w:rsidRPr="00D662C3" w:rsidR="00B8553E">
        <w:rPr>
          <w:szCs w:val="26"/>
        </w:rPr>
        <w:t>must contain, including (among other things) the identity of the applicant, the identity of the agency that will carry out the wiretap</w:t>
      </w:r>
      <w:r w:rsidRPr="00D662C3" w:rsidR="00CE464C">
        <w:rPr>
          <w:szCs w:val="26"/>
        </w:rPr>
        <w:t>,</w:t>
      </w:r>
      <w:r w:rsidRPr="00D662C3" w:rsidR="00BE06D2">
        <w:rPr>
          <w:szCs w:val="26"/>
        </w:rPr>
        <w:t xml:space="preserve"> </w:t>
      </w:r>
      <w:r w:rsidRPr="00D662C3" w:rsidR="00CE464C">
        <w:rPr>
          <w:szCs w:val="26"/>
        </w:rPr>
        <w:t xml:space="preserve">the facts and circumstances demonstrating the need for the warrant </w:t>
      </w:r>
      <w:r w:rsidRPr="00D662C3">
        <w:rPr>
          <w:szCs w:val="26"/>
        </w:rPr>
        <w:t xml:space="preserve">and </w:t>
      </w:r>
      <w:r w:rsidRPr="00D662C3" w:rsidR="00B8553E">
        <w:rPr>
          <w:szCs w:val="26"/>
        </w:rPr>
        <w:t xml:space="preserve">the period of time </w:t>
      </w:r>
      <w:r w:rsidRPr="00D662C3" w:rsidR="00E66E23">
        <w:rPr>
          <w:szCs w:val="26"/>
        </w:rPr>
        <w:t>the wiretap</w:t>
      </w:r>
      <w:r w:rsidRPr="00D662C3" w:rsidR="00B8553E">
        <w:rPr>
          <w:szCs w:val="26"/>
        </w:rPr>
        <w:t xml:space="preserve"> </w:t>
      </w:r>
      <w:r w:rsidRPr="00D662C3" w:rsidR="00A21D9C">
        <w:rPr>
          <w:szCs w:val="26"/>
        </w:rPr>
        <w:t>will be used</w:t>
      </w:r>
      <w:r w:rsidRPr="00D662C3">
        <w:rPr>
          <w:szCs w:val="26"/>
        </w:rPr>
        <w:t xml:space="preserve">.  </w:t>
      </w:r>
      <w:r w:rsidRPr="00D662C3" w:rsidR="0022281B">
        <w:rPr>
          <w:szCs w:val="26"/>
        </w:rPr>
        <w:t>(See § 629</w:t>
      </w:r>
      <w:r w:rsidRPr="00D662C3" w:rsidR="00DB7BEE">
        <w:rPr>
          <w:szCs w:val="26"/>
        </w:rPr>
        <w:t>.50</w:t>
      </w:r>
      <w:r w:rsidRPr="00D662C3" w:rsidR="0022281B">
        <w:rPr>
          <w:szCs w:val="26"/>
        </w:rPr>
        <w:t>(</w:t>
      </w:r>
      <w:r w:rsidRPr="00D662C3" w:rsidR="00843D4E">
        <w:rPr>
          <w:szCs w:val="26"/>
        </w:rPr>
        <w:t>a)(1)–(4).)</w:t>
      </w:r>
    </w:p>
    <w:p w:rsidR="000F3977" w:rsidRPr="00D662C3" w:rsidP="00A32BE9">
      <w:pPr>
        <w:ind w:left="2160" w:hanging="720"/>
        <w:rPr>
          <w:szCs w:val="26"/>
        </w:rPr>
      </w:pPr>
      <w:r w:rsidRPr="00D662C3">
        <w:rPr>
          <w:szCs w:val="26"/>
        </w:rPr>
        <w:t>(</w:t>
      </w:r>
      <w:r w:rsidRPr="00D662C3">
        <w:rPr>
          <w:i/>
          <w:iCs/>
          <w:szCs w:val="26"/>
        </w:rPr>
        <w:t>ii</w:t>
      </w:r>
      <w:r w:rsidRPr="00D662C3">
        <w:rPr>
          <w:szCs w:val="26"/>
        </w:rPr>
        <w:t xml:space="preserve">)  </w:t>
      </w:r>
      <w:r w:rsidRPr="00D662C3" w:rsidR="009B1118">
        <w:rPr>
          <w:szCs w:val="26"/>
        </w:rPr>
        <w:t>Section</w:t>
      </w:r>
      <w:r w:rsidRPr="00D662C3" w:rsidR="009B1118">
        <w:rPr>
          <w:i/>
          <w:iCs/>
          <w:szCs w:val="26"/>
        </w:rPr>
        <w:t xml:space="preserve"> 629.50</w:t>
      </w:r>
      <w:r w:rsidR="006B7D23">
        <w:rPr>
          <w:i/>
          <w:iCs/>
          <w:szCs w:val="26"/>
        </w:rPr>
        <w:t>(a)</w:t>
      </w:r>
      <w:r w:rsidRPr="00D662C3" w:rsidR="009B1118">
        <w:rPr>
          <w:i/>
          <w:iCs/>
          <w:szCs w:val="26"/>
        </w:rPr>
        <w:t xml:space="preserve"> does not require </w:t>
      </w:r>
      <w:r w:rsidRPr="00D662C3" w:rsidR="00FC7426">
        <w:rPr>
          <w:i/>
          <w:iCs/>
          <w:szCs w:val="26"/>
        </w:rPr>
        <w:t xml:space="preserve">that the application describe </w:t>
      </w:r>
      <w:r w:rsidRPr="00D662C3" w:rsidR="009B1118">
        <w:rPr>
          <w:i/>
          <w:iCs/>
          <w:szCs w:val="26"/>
        </w:rPr>
        <w:t>the</w:t>
      </w:r>
      <w:r w:rsidRPr="00D662C3" w:rsidR="00FC7426">
        <w:rPr>
          <w:i/>
          <w:iCs/>
          <w:szCs w:val="26"/>
        </w:rPr>
        <w:t xml:space="preserve"> circumstances of the</w:t>
      </w:r>
      <w:r w:rsidRPr="00D662C3" w:rsidR="009B1118">
        <w:rPr>
          <w:i/>
          <w:iCs/>
          <w:szCs w:val="26"/>
        </w:rPr>
        <w:t xml:space="preserve"> district attorney’s absence  </w:t>
      </w:r>
    </w:p>
    <w:p w:rsidR="00FC7426" w:rsidRPr="00D662C3" w:rsidP="004F5DF7">
      <w:pPr>
        <w:ind w:firstLine="720"/>
        <w:rPr>
          <w:szCs w:val="26"/>
        </w:rPr>
      </w:pPr>
      <w:r w:rsidRPr="00D662C3">
        <w:rPr>
          <w:szCs w:val="26"/>
        </w:rPr>
        <w:t xml:space="preserve">Gonzalez argues that the </w:t>
      </w:r>
      <w:r w:rsidRPr="00D662C3" w:rsidR="003E7979">
        <w:rPr>
          <w:szCs w:val="26"/>
        </w:rPr>
        <w:t xml:space="preserve">wiretap </w:t>
      </w:r>
      <w:r w:rsidRPr="00D662C3">
        <w:rPr>
          <w:szCs w:val="26"/>
        </w:rPr>
        <w:t>application</w:t>
      </w:r>
      <w:r w:rsidRPr="00D662C3" w:rsidR="003E7979">
        <w:rPr>
          <w:szCs w:val="26"/>
        </w:rPr>
        <w:t xml:space="preserve"> filed in this case was invalid because it </w:t>
      </w:r>
      <w:r w:rsidRPr="00D662C3">
        <w:rPr>
          <w:szCs w:val="26"/>
        </w:rPr>
        <w:t>did not include any information</w:t>
      </w:r>
      <w:r w:rsidRPr="00D662C3" w:rsidR="003E7979">
        <w:rPr>
          <w:szCs w:val="26"/>
        </w:rPr>
        <w:t xml:space="preserve"> confirming the circumstances of District Attorney Steve Cooley’s absence.</w:t>
      </w:r>
      <w:r w:rsidRPr="00D662C3" w:rsidR="00B229F8">
        <w:rPr>
          <w:szCs w:val="26"/>
        </w:rPr>
        <w:t xml:space="preserve">  </w:t>
      </w:r>
      <w:r w:rsidRPr="00D662C3" w:rsidR="00EC7BF3">
        <w:rPr>
          <w:szCs w:val="26"/>
        </w:rPr>
        <w:t>But a</w:t>
      </w:r>
      <w:r w:rsidRPr="00D662C3">
        <w:rPr>
          <w:szCs w:val="26"/>
        </w:rPr>
        <w:t xml:space="preserve">s </w:t>
      </w:r>
      <w:r w:rsidRPr="00D662C3" w:rsidR="00843D4E">
        <w:rPr>
          <w:szCs w:val="26"/>
        </w:rPr>
        <w:t>defense</w:t>
      </w:r>
      <w:r w:rsidRPr="00D662C3" w:rsidR="00A26080">
        <w:rPr>
          <w:szCs w:val="26"/>
        </w:rPr>
        <w:t xml:space="preserve"> counsel</w:t>
      </w:r>
      <w:r w:rsidRPr="00D662C3">
        <w:rPr>
          <w:szCs w:val="26"/>
        </w:rPr>
        <w:t xml:space="preserve"> acknowledged at the suppression hearing, there is no language in California’s wiretap laws that imposes such a requirement.  Instead, the designation provision states </w:t>
      </w:r>
      <w:r w:rsidRPr="00D662C3" w:rsidR="00A26080">
        <w:rPr>
          <w:szCs w:val="26"/>
        </w:rPr>
        <w:t xml:space="preserve">only that an application for a wiretap order </w:t>
      </w:r>
      <w:r w:rsidRPr="00D662C3" w:rsidR="00B229F8">
        <w:rPr>
          <w:szCs w:val="26"/>
        </w:rPr>
        <w:t xml:space="preserve">“shall be made in writing upon the personal oath or affirmation of . . . a district attorney, or the person designated to act as district attorney in the district attorney’s absence.”  </w:t>
      </w:r>
      <w:r w:rsidRPr="00D662C3">
        <w:rPr>
          <w:szCs w:val="26"/>
        </w:rPr>
        <w:t xml:space="preserve">(§ 629.50(a).)  </w:t>
      </w:r>
    </w:p>
    <w:p w:rsidR="000757D6" w:rsidRPr="00D662C3" w:rsidP="004F5DF7">
      <w:pPr>
        <w:ind w:firstLine="720"/>
        <w:rPr>
          <w:szCs w:val="26"/>
        </w:rPr>
      </w:pPr>
      <w:r w:rsidRPr="00D662C3">
        <w:rPr>
          <w:szCs w:val="26"/>
        </w:rPr>
        <w:t xml:space="preserve">In contrast to </w:t>
      </w:r>
      <w:r w:rsidRPr="00D662C3" w:rsidR="00A26080">
        <w:rPr>
          <w:szCs w:val="26"/>
        </w:rPr>
        <w:t>section 629.50(a)’s</w:t>
      </w:r>
      <w:r w:rsidRPr="00D662C3" w:rsidR="00994EC9">
        <w:rPr>
          <w:szCs w:val="26"/>
        </w:rPr>
        <w:t xml:space="preserve"> </w:t>
      </w:r>
      <w:r w:rsidRPr="00D662C3">
        <w:rPr>
          <w:szCs w:val="26"/>
        </w:rPr>
        <w:t>designation provision, other sections of the</w:t>
      </w:r>
      <w:r w:rsidRPr="00D662C3" w:rsidR="00A26080">
        <w:rPr>
          <w:szCs w:val="26"/>
        </w:rPr>
        <w:t xml:space="preserve"> wiretap</w:t>
      </w:r>
      <w:r w:rsidRPr="00D662C3">
        <w:rPr>
          <w:szCs w:val="26"/>
        </w:rPr>
        <w:t xml:space="preserve"> statute </w:t>
      </w:r>
      <w:r w:rsidRPr="00D662C3">
        <w:rPr>
          <w:i/>
          <w:iCs/>
          <w:szCs w:val="26"/>
        </w:rPr>
        <w:t>do</w:t>
      </w:r>
      <w:r w:rsidRPr="00D662C3">
        <w:rPr>
          <w:szCs w:val="26"/>
        </w:rPr>
        <w:t xml:space="preserve"> require that the application include information verifying certain standards have been met.  In particular, section 629.50(a)(4) requires that the applicant provide a “full and complete statement of the facts and circumstances relied upon to justify his or her belief that an order should be issued.”  That “full and complete statement” must </w:t>
      </w:r>
      <w:r w:rsidRPr="00D662C3" w:rsidR="00646BF3">
        <w:rPr>
          <w:szCs w:val="26"/>
        </w:rPr>
        <w:t>includ</w:t>
      </w:r>
      <w:r w:rsidRPr="00D662C3" w:rsidR="00EC7BF3">
        <w:rPr>
          <w:szCs w:val="26"/>
        </w:rPr>
        <w:t>e, among other things,</w:t>
      </w:r>
      <w:r w:rsidRPr="00D662C3" w:rsidR="00994EC9">
        <w:rPr>
          <w:szCs w:val="26"/>
        </w:rPr>
        <w:t xml:space="preserve"> </w:t>
      </w:r>
      <w:r w:rsidRPr="00D662C3" w:rsidR="00A26080">
        <w:rPr>
          <w:szCs w:val="26"/>
        </w:rPr>
        <w:t>a description of the</w:t>
      </w:r>
      <w:r w:rsidRPr="00D662C3" w:rsidR="00646BF3">
        <w:rPr>
          <w:szCs w:val="26"/>
        </w:rPr>
        <w:t xml:space="preserve"> offense that is being investigated</w:t>
      </w:r>
      <w:r w:rsidRPr="00D662C3" w:rsidR="00EC7BF3">
        <w:rPr>
          <w:szCs w:val="26"/>
        </w:rPr>
        <w:t>,</w:t>
      </w:r>
      <w:r w:rsidRPr="00D662C3" w:rsidR="00646BF3">
        <w:rPr>
          <w:szCs w:val="26"/>
        </w:rPr>
        <w:t xml:space="preserve"> an explanation why conventional investigative techniques </w:t>
      </w:r>
      <w:r w:rsidRPr="00D662C3">
        <w:rPr>
          <w:szCs w:val="26"/>
        </w:rPr>
        <w:t>are insufficient</w:t>
      </w:r>
      <w:r w:rsidRPr="00D662C3" w:rsidR="00DE3D24">
        <w:rPr>
          <w:szCs w:val="26"/>
        </w:rPr>
        <w:t>,</w:t>
      </w:r>
      <w:r w:rsidRPr="00D662C3">
        <w:rPr>
          <w:szCs w:val="26"/>
        </w:rPr>
        <w:t xml:space="preserve"> a description of the type of communication</w:t>
      </w:r>
      <w:r w:rsidRPr="00D662C3" w:rsidR="00646BF3">
        <w:rPr>
          <w:szCs w:val="26"/>
        </w:rPr>
        <w:t xml:space="preserve">s that </w:t>
      </w:r>
      <w:r w:rsidRPr="00D662C3" w:rsidR="00DE3D24">
        <w:rPr>
          <w:szCs w:val="26"/>
        </w:rPr>
        <w:t xml:space="preserve">are </w:t>
      </w:r>
      <w:r w:rsidRPr="00D662C3" w:rsidR="00646BF3">
        <w:rPr>
          <w:szCs w:val="26"/>
        </w:rPr>
        <w:t>expected to be</w:t>
      </w:r>
      <w:r w:rsidRPr="00D662C3">
        <w:rPr>
          <w:szCs w:val="26"/>
        </w:rPr>
        <w:t xml:space="preserve"> intercepted</w:t>
      </w:r>
      <w:r w:rsidRPr="00D662C3" w:rsidR="00DE3D24">
        <w:rPr>
          <w:szCs w:val="26"/>
        </w:rPr>
        <w:t>,</w:t>
      </w:r>
      <w:r w:rsidRPr="00D662C3" w:rsidR="00646BF3">
        <w:rPr>
          <w:szCs w:val="26"/>
        </w:rPr>
        <w:t xml:space="preserve"> and the </w:t>
      </w:r>
      <w:r w:rsidRPr="00D662C3">
        <w:rPr>
          <w:szCs w:val="26"/>
        </w:rPr>
        <w:t>identity</w:t>
      </w:r>
      <w:r w:rsidRPr="00D662C3" w:rsidR="00646BF3">
        <w:rPr>
          <w:szCs w:val="26"/>
        </w:rPr>
        <w:t xml:space="preserve"> </w:t>
      </w:r>
      <w:r w:rsidRPr="00D662C3">
        <w:rPr>
          <w:szCs w:val="26"/>
        </w:rPr>
        <w:t>of the person</w:t>
      </w:r>
      <w:r w:rsidRPr="00D662C3" w:rsidR="00646BF3">
        <w:rPr>
          <w:szCs w:val="26"/>
        </w:rPr>
        <w:t>s</w:t>
      </w:r>
      <w:r w:rsidRPr="00D662C3">
        <w:rPr>
          <w:szCs w:val="26"/>
        </w:rPr>
        <w:t xml:space="preserve"> whose communications are</w:t>
      </w:r>
      <w:r w:rsidRPr="00D662C3" w:rsidR="00DE3D24">
        <w:rPr>
          <w:szCs w:val="26"/>
        </w:rPr>
        <w:t xml:space="preserve"> expected</w:t>
      </w:r>
      <w:r w:rsidRPr="00D662C3">
        <w:rPr>
          <w:szCs w:val="26"/>
        </w:rPr>
        <w:t xml:space="preserve"> to be intercepted.</w:t>
      </w:r>
      <w:r w:rsidRPr="00D662C3" w:rsidR="00DE3D24">
        <w:rPr>
          <w:szCs w:val="26"/>
        </w:rPr>
        <w:t xml:space="preserve">  (</w:t>
      </w:r>
      <w:r w:rsidRPr="00D662C3" w:rsidR="00DB7BEE">
        <w:rPr>
          <w:i/>
          <w:iCs/>
          <w:szCs w:val="26"/>
        </w:rPr>
        <w:t>Ibid</w:t>
      </w:r>
      <w:r w:rsidRPr="00D662C3" w:rsidR="00DE3D24">
        <w:rPr>
          <w:szCs w:val="26"/>
        </w:rPr>
        <w:t>.)</w:t>
      </w:r>
      <w:r w:rsidRPr="00D662C3">
        <w:rPr>
          <w:szCs w:val="26"/>
        </w:rPr>
        <w:t xml:space="preserve">  </w:t>
      </w:r>
    </w:p>
    <w:p w:rsidR="00D24E14" w:rsidRPr="00D662C3" w:rsidP="004F5DF7">
      <w:pPr>
        <w:ind w:firstLine="720"/>
        <w:rPr>
          <w:szCs w:val="26"/>
        </w:rPr>
      </w:pPr>
      <w:r w:rsidRPr="00D662C3">
        <w:rPr>
          <w:szCs w:val="26"/>
        </w:rPr>
        <w:t>Had the Legislature intended to impose a</w:t>
      </w:r>
      <w:r w:rsidRPr="00D662C3" w:rsidR="005734DB">
        <w:rPr>
          <w:szCs w:val="26"/>
        </w:rPr>
        <w:t xml:space="preserve"> </w:t>
      </w:r>
      <w:r w:rsidRPr="00D662C3">
        <w:rPr>
          <w:szCs w:val="26"/>
        </w:rPr>
        <w:t xml:space="preserve">similar </w:t>
      </w:r>
      <w:r w:rsidRPr="00D662C3" w:rsidR="005734DB">
        <w:rPr>
          <w:szCs w:val="26"/>
        </w:rPr>
        <w:t>requirement compelling</w:t>
      </w:r>
      <w:r w:rsidRPr="00D662C3">
        <w:rPr>
          <w:szCs w:val="26"/>
        </w:rPr>
        <w:t xml:space="preserve"> the application to include </w:t>
      </w:r>
      <w:r w:rsidRPr="00D662C3" w:rsidR="005734DB">
        <w:rPr>
          <w:szCs w:val="26"/>
        </w:rPr>
        <w:t xml:space="preserve">a “full and complete statement of the facts” </w:t>
      </w:r>
      <w:r w:rsidRPr="00D662C3" w:rsidR="00813B4E">
        <w:rPr>
          <w:szCs w:val="26"/>
        </w:rPr>
        <w:t xml:space="preserve">confirming the circumstances </w:t>
      </w:r>
      <w:r w:rsidRPr="00D662C3" w:rsidR="005734DB">
        <w:rPr>
          <w:szCs w:val="26"/>
        </w:rPr>
        <w:t>of the district attorney’s absence</w:t>
      </w:r>
      <w:r w:rsidRPr="00D662C3">
        <w:rPr>
          <w:szCs w:val="26"/>
        </w:rPr>
        <w:t>, it could have directed as much</w:t>
      </w:r>
      <w:r w:rsidRPr="00D662C3" w:rsidR="005734DB">
        <w:rPr>
          <w:szCs w:val="26"/>
        </w:rPr>
        <w:t>.</w:t>
      </w:r>
      <w:r w:rsidRPr="00D662C3">
        <w:rPr>
          <w:szCs w:val="26"/>
        </w:rPr>
        <w:t xml:space="preserve">  But that is not what the Legislature did.  Instead, it require</w:t>
      </w:r>
      <w:r w:rsidRPr="00D662C3" w:rsidR="005F7A45">
        <w:rPr>
          <w:szCs w:val="26"/>
        </w:rPr>
        <w:t>d</w:t>
      </w:r>
      <w:r w:rsidRPr="00D662C3">
        <w:rPr>
          <w:szCs w:val="26"/>
        </w:rPr>
        <w:t xml:space="preserve"> only that the application </w:t>
      </w:r>
      <w:r w:rsidRPr="00D662C3" w:rsidR="005F7A45">
        <w:rPr>
          <w:szCs w:val="26"/>
        </w:rPr>
        <w:t xml:space="preserve">must </w:t>
      </w:r>
      <w:r w:rsidRPr="00D662C3">
        <w:rPr>
          <w:szCs w:val="26"/>
        </w:rPr>
        <w:t xml:space="preserve">“be made in writing upon the personal oath or affirmation of . . . a district attorney, or the person designated to act as district attorney in the district attorney’s absence.”  (§ 629.50(a).) </w:t>
      </w:r>
      <w:r w:rsidRPr="00D662C3" w:rsidR="00DE3D24">
        <w:rPr>
          <w:szCs w:val="26"/>
        </w:rPr>
        <w:t xml:space="preserve"> </w:t>
      </w:r>
      <w:r w:rsidRPr="00D662C3" w:rsidR="00EC7BF3">
        <w:rPr>
          <w:szCs w:val="26"/>
        </w:rPr>
        <w:t>The</w:t>
      </w:r>
      <w:r w:rsidRPr="00D662C3">
        <w:rPr>
          <w:szCs w:val="26"/>
        </w:rPr>
        <w:t xml:space="preserve"> application</w:t>
      </w:r>
      <w:r w:rsidRPr="00D662C3" w:rsidR="005F7A45">
        <w:rPr>
          <w:szCs w:val="26"/>
        </w:rPr>
        <w:t xml:space="preserve"> from Chief Deputy Spillane</w:t>
      </w:r>
      <w:r w:rsidRPr="00D662C3" w:rsidR="00DE3D24">
        <w:rPr>
          <w:szCs w:val="26"/>
        </w:rPr>
        <w:t xml:space="preserve"> includes an oath that</w:t>
      </w:r>
      <w:r w:rsidRPr="00D662C3">
        <w:rPr>
          <w:szCs w:val="26"/>
        </w:rPr>
        <w:t xml:space="preserve"> incorporates that </w:t>
      </w:r>
      <w:r w:rsidRPr="00D662C3" w:rsidR="00DE3D24">
        <w:rPr>
          <w:szCs w:val="26"/>
        </w:rPr>
        <w:t xml:space="preserve">exact </w:t>
      </w:r>
      <w:r w:rsidRPr="00D662C3">
        <w:rPr>
          <w:szCs w:val="26"/>
        </w:rPr>
        <w:t>statutory language.  The express provisions of the wiretap statu</w:t>
      </w:r>
      <w:r w:rsidRPr="00D662C3" w:rsidR="009B684E">
        <w:rPr>
          <w:szCs w:val="26"/>
        </w:rPr>
        <w:t>t</w:t>
      </w:r>
      <w:r w:rsidRPr="00D662C3">
        <w:rPr>
          <w:szCs w:val="26"/>
        </w:rPr>
        <w:t xml:space="preserve">e </w:t>
      </w:r>
      <w:r w:rsidRPr="00D662C3" w:rsidR="004D2F1A">
        <w:rPr>
          <w:szCs w:val="26"/>
        </w:rPr>
        <w:t>require</w:t>
      </w:r>
      <w:r w:rsidRPr="00D662C3">
        <w:rPr>
          <w:szCs w:val="26"/>
        </w:rPr>
        <w:t xml:space="preserve"> nothing more.</w:t>
      </w:r>
    </w:p>
    <w:p w:rsidR="000350D4" w:rsidP="004F5DF7">
      <w:pPr>
        <w:ind w:firstLine="720"/>
        <w:rPr>
          <w:szCs w:val="26"/>
        </w:rPr>
      </w:pPr>
      <w:r w:rsidRPr="00D662C3">
        <w:rPr>
          <w:szCs w:val="26"/>
        </w:rPr>
        <w:t xml:space="preserve"> </w:t>
      </w:r>
      <w:r w:rsidRPr="00D662C3" w:rsidR="00D24E14">
        <w:rPr>
          <w:szCs w:val="26"/>
        </w:rPr>
        <w:t xml:space="preserve">Gonzalez has likewise cited no case </w:t>
      </w:r>
      <w:r w:rsidRPr="00D662C3" w:rsidR="00E66E23">
        <w:rPr>
          <w:szCs w:val="26"/>
        </w:rPr>
        <w:t xml:space="preserve">holding that </w:t>
      </w:r>
      <w:r w:rsidRPr="00D662C3" w:rsidR="00D24E14">
        <w:rPr>
          <w:szCs w:val="26"/>
        </w:rPr>
        <w:t xml:space="preserve">a wiretap applicant who claims to have been lawfully designated to seek the application </w:t>
      </w:r>
      <w:r w:rsidRPr="00D662C3" w:rsidR="00490153">
        <w:rPr>
          <w:szCs w:val="26"/>
        </w:rPr>
        <w:t xml:space="preserve">has a </w:t>
      </w:r>
      <w:r w:rsidRPr="00D662C3" w:rsidR="00C61766">
        <w:rPr>
          <w:szCs w:val="26"/>
        </w:rPr>
        <w:t>sua sponte</w:t>
      </w:r>
      <w:r w:rsidRPr="00D662C3" w:rsidR="00490153">
        <w:rPr>
          <w:szCs w:val="26"/>
        </w:rPr>
        <w:t xml:space="preserve"> duty</w:t>
      </w:r>
      <w:r w:rsidRPr="00D662C3" w:rsidR="00E263EF">
        <w:rPr>
          <w:szCs w:val="26"/>
        </w:rPr>
        <w:t xml:space="preserve"> </w:t>
      </w:r>
      <w:r w:rsidRPr="00D662C3" w:rsidR="00490153">
        <w:rPr>
          <w:szCs w:val="26"/>
        </w:rPr>
        <w:t xml:space="preserve">to </w:t>
      </w:r>
      <w:r w:rsidRPr="00D662C3" w:rsidR="00E263EF">
        <w:rPr>
          <w:szCs w:val="26"/>
        </w:rPr>
        <w:t xml:space="preserve">provide information </w:t>
      </w:r>
      <w:r w:rsidRPr="00D662C3" w:rsidR="00D24E14">
        <w:rPr>
          <w:szCs w:val="26"/>
        </w:rPr>
        <w:t xml:space="preserve">confirming the legality of that designation.  Indeed, the few cases we have </w:t>
      </w:r>
      <w:r w:rsidRPr="00D662C3" w:rsidR="000757D6">
        <w:rPr>
          <w:szCs w:val="26"/>
        </w:rPr>
        <w:t>found</w:t>
      </w:r>
      <w:r w:rsidRPr="00D662C3" w:rsidR="00D24E14">
        <w:rPr>
          <w:szCs w:val="26"/>
        </w:rPr>
        <w:t xml:space="preserve"> addressing similar claims have rejected such arguments.  (See </w:t>
      </w:r>
      <w:bookmarkStart w:id="23" w:name="_Hlk87911634"/>
      <w:r w:rsidRPr="00D662C3" w:rsidR="00D24E14">
        <w:rPr>
          <w:i/>
          <w:iCs/>
          <w:szCs w:val="26"/>
        </w:rPr>
        <w:t>U</w:t>
      </w:r>
      <w:r w:rsidRPr="00D662C3" w:rsidR="00B83ABF">
        <w:rPr>
          <w:i/>
          <w:iCs/>
          <w:szCs w:val="26"/>
        </w:rPr>
        <w:t>.</w:t>
      </w:r>
      <w:r w:rsidRPr="00D662C3" w:rsidR="00D24E14">
        <w:rPr>
          <w:i/>
          <w:iCs/>
          <w:szCs w:val="26"/>
        </w:rPr>
        <w:t>S</w:t>
      </w:r>
      <w:r w:rsidRPr="00D662C3" w:rsidR="00B83ABF">
        <w:rPr>
          <w:i/>
          <w:iCs/>
          <w:szCs w:val="26"/>
        </w:rPr>
        <w:t>.</w:t>
      </w:r>
      <w:r w:rsidRPr="00D662C3" w:rsidR="00D24E14">
        <w:rPr>
          <w:i/>
          <w:iCs/>
          <w:szCs w:val="26"/>
        </w:rPr>
        <w:t xml:space="preserve"> v. Terry</w:t>
      </w:r>
      <w:r w:rsidRPr="00D662C3" w:rsidR="00D24E14">
        <w:rPr>
          <w:szCs w:val="26"/>
        </w:rPr>
        <w:t xml:space="preserve"> (2d Cir. 1983) 702 F.2d 299</w:t>
      </w:r>
      <w:bookmarkEnd w:id="23"/>
      <w:r w:rsidRPr="00D662C3" w:rsidR="00D24E14">
        <w:rPr>
          <w:szCs w:val="26"/>
        </w:rPr>
        <w:t>, 311 [rejecting claim that application was invalid because it failed to include information showing that three assistant attorneys general with higher priority than the applicant “were absent or otherwise unavailable</w:t>
      </w:r>
      <w:r w:rsidRPr="00D4476B" w:rsidR="00D4476B">
        <w:rPr>
          <w:szCs w:val="26"/>
        </w:rPr>
        <w:t>”</w:t>
      </w:r>
      <w:r w:rsidRPr="00D662C3" w:rsidR="00D24E14">
        <w:rPr>
          <w:szCs w:val="26"/>
        </w:rPr>
        <w:t xml:space="preserve">]; </w:t>
      </w:r>
      <w:r w:rsidRPr="00D662C3" w:rsidR="00D24E14">
        <w:rPr>
          <w:i/>
          <w:iCs/>
          <w:szCs w:val="26"/>
        </w:rPr>
        <w:t>U</w:t>
      </w:r>
      <w:r w:rsidRPr="00D662C3" w:rsidR="00B83ABF">
        <w:rPr>
          <w:i/>
          <w:iCs/>
          <w:szCs w:val="26"/>
        </w:rPr>
        <w:t>.</w:t>
      </w:r>
      <w:r w:rsidRPr="00D662C3" w:rsidR="00D24E14">
        <w:rPr>
          <w:i/>
          <w:iCs/>
          <w:szCs w:val="26"/>
        </w:rPr>
        <w:t>S</w:t>
      </w:r>
      <w:r w:rsidRPr="00D662C3" w:rsidR="00B83ABF">
        <w:rPr>
          <w:i/>
          <w:iCs/>
          <w:szCs w:val="26"/>
        </w:rPr>
        <w:t>.</w:t>
      </w:r>
      <w:r w:rsidRPr="00D662C3" w:rsidR="00D24E14">
        <w:rPr>
          <w:i/>
          <w:iCs/>
          <w:szCs w:val="26"/>
        </w:rPr>
        <w:t xml:space="preserve"> v. Ruiz</w:t>
      </w:r>
      <w:r w:rsidRPr="00D662C3" w:rsidR="00D24E14">
        <w:rPr>
          <w:szCs w:val="26"/>
        </w:rPr>
        <w:t xml:space="preserve"> (S.D.N.Y., Nov. 19, 2010, </w:t>
      </w:r>
      <w:r w:rsidRPr="00D662C3" w:rsidR="00960FAE">
        <w:rPr>
          <w:szCs w:val="26"/>
        </w:rPr>
        <w:t xml:space="preserve">No. </w:t>
      </w:r>
      <w:r w:rsidRPr="00D662C3" w:rsidR="00D24E14">
        <w:rPr>
          <w:szCs w:val="26"/>
        </w:rPr>
        <w:t xml:space="preserve">09 CR. 719 </w:t>
      </w:r>
      <w:r w:rsidRPr="00D662C3" w:rsidR="00960FAE">
        <w:rPr>
          <w:szCs w:val="26"/>
        </w:rPr>
        <w:t>(</w:t>
      </w:r>
      <w:r w:rsidRPr="00D662C3" w:rsidR="00D24E14">
        <w:rPr>
          <w:szCs w:val="26"/>
        </w:rPr>
        <w:t>DAB)</w:t>
      </w:r>
      <w:r w:rsidRPr="00D662C3" w:rsidR="00960FAE">
        <w:rPr>
          <w:szCs w:val="26"/>
        </w:rPr>
        <w:t xml:space="preserve">) </w:t>
      </w:r>
      <w:r w:rsidRPr="00D662C3" w:rsidR="00D24E14">
        <w:rPr>
          <w:szCs w:val="26"/>
        </w:rPr>
        <w:t xml:space="preserve"> </w:t>
      </w:r>
      <w:r w:rsidRPr="00D662C3" w:rsidR="00960FAE">
        <w:rPr>
          <w:szCs w:val="26"/>
        </w:rPr>
        <w:t>2010 U.S. Dist. L</w:t>
      </w:r>
      <w:r w:rsidRPr="00D662C3" w:rsidR="00B83ABF">
        <w:rPr>
          <w:szCs w:val="26"/>
        </w:rPr>
        <w:t>exis</w:t>
      </w:r>
      <w:r w:rsidRPr="00D662C3" w:rsidR="00960FAE">
        <w:rPr>
          <w:szCs w:val="26"/>
        </w:rPr>
        <w:t xml:space="preserve"> 123991</w:t>
      </w:r>
      <w:r w:rsidRPr="00D662C3" w:rsidR="00D24E14">
        <w:rPr>
          <w:szCs w:val="26"/>
        </w:rPr>
        <w:t xml:space="preserve">, </w:t>
      </w:r>
      <w:r w:rsidRPr="00D662C3" w:rsidR="00B83ABF">
        <w:rPr>
          <w:szCs w:val="26"/>
        </w:rPr>
        <w:t xml:space="preserve">pp. </w:t>
      </w:r>
      <w:r w:rsidRPr="00D662C3" w:rsidR="00D24E14">
        <w:rPr>
          <w:szCs w:val="26"/>
        </w:rPr>
        <w:t>*</w:t>
      </w:r>
      <w:r w:rsidRPr="00D662C3" w:rsidR="00960FAE">
        <w:rPr>
          <w:szCs w:val="26"/>
        </w:rPr>
        <w:t>13–</w:t>
      </w:r>
      <w:r w:rsidRPr="00D662C3" w:rsidR="00B93202">
        <w:rPr>
          <w:szCs w:val="26"/>
        </w:rPr>
        <w:t>*</w:t>
      </w:r>
      <w:r w:rsidRPr="00D662C3" w:rsidR="00960FAE">
        <w:rPr>
          <w:szCs w:val="26"/>
        </w:rPr>
        <w:t>14</w:t>
      </w:r>
      <w:r w:rsidRPr="00D662C3" w:rsidR="00D24E14">
        <w:rPr>
          <w:szCs w:val="26"/>
        </w:rPr>
        <w:t xml:space="preserve"> [§ 629.50(a) does not “impose a burden on investigative agencies or prosecutors to</w:t>
      </w:r>
      <w:r w:rsidRPr="00D662C3" w:rsidR="00DE3D24">
        <w:rPr>
          <w:szCs w:val="26"/>
        </w:rPr>
        <w:t> . . .</w:t>
      </w:r>
      <w:r w:rsidRPr="00D662C3" w:rsidR="00D24E14">
        <w:rPr>
          <w:szCs w:val="26"/>
        </w:rPr>
        <w:t xml:space="preserve"> prove they were absent when a designee acts on their behalf”]; </w:t>
      </w:r>
      <w:r w:rsidRPr="00D662C3" w:rsidR="00D24E14">
        <w:rPr>
          <w:i/>
          <w:iCs/>
          <w:szCs w:val="26"/>
        </w:rPr>
        <w:t>U</w:t>
      </w:r>
      <w:r w:rsidRPr="00D662C3" w:rsidR="00B83ABF">
        <w:rPr>
          <w:i/>
          <w:iCs/>
          <w:szCs w:val="26"/>
        </w:rPr>
        <w:t>.</w:t>
      </w:r>
      <w:r w:rsidRPr="00D662C3" w:rsidR="00D24E14">
        <w:rPr>
          <w:i/>
          <w:iCs/>
          <w:szCs w:val="26"/>
        </w:rPr>
        <w:t>S</w:t>
      </w:r>
      <w:r w:rsidRPr="00D662C3" w:rsidR="00B83ABF">
        <w:rPr>
          <w:i/>
          <w:iCs/>
          <w:szCs w:val="26"/>
        </w:rPr>
        <w:t>.</w:t>
      </w:r>
      <w:r w:rsidRPr="00D662C3" w:rsidR="00D24E14">
        <w:rPr>
          <w:i/>
          <w:iCs/>
          <w:szCs w:val="26"/>
        </w:rPr>
        <w:t xml:space="preserve"> v. Mattingly</w:t>
      </w:r>
      <w:r w:rsidRPr="00D662C3" w:rsidR="00D24E14">
        <w:rPr>
          <w:szCs w:val="26"/>
        </w:rPr>
        <w:t xml:space="preserve"> (W.D.Ky., July 1, 2016, No. 3:15-CR-99-DJH) </w:t>
      </w:r>
      <w:r w:rsidRPr="00D662C3" w:rsidR="00960FAE">
        <w:rPr>
          <w:szCs w:val="26"/>
        </w:rPr>
        <w:t>2016 U.S. Dist. L</w:t>
      </w:r>
      <w:r w:rsidRPr="00D662C3" w:rsidR="00B83ABF">
        <w:rPr>
          <w:szCs w:val="26"/>
        </w:rPr>
        <w:t>exis</w:t>
      </w:r>
      <w:r w:rsidRPr="00D662C3" w:rsidR="00960FAE">
        <w:rPr>
          <w:szCs w:val="26"/>
        </w:rPr>
        <w:t xml:space="preserve"> 86489</w:t>
      </w:r>
      <w:r w:rsidRPr="00D662C3" w:rsidR="00D24E14">
        <w:rPr>
          <w:szCs w:val="26"/>
        </w:rPr>
        <w:t xml:space="preserve">, </w:t>
      </w:r>
      <w:r w:rsidRPr="00D662C3" w:rsidR="00B83ABF">
        <w:rPr>
          <w:szCs w:val="26"/>
        </w:rPr>
        <w:t xml:space="preserve">pp. </w:t>
      </w:r>
      <w:r w:rsidRPr="00D662C3" w:rsidR="00D24E14">
        <w:rPr>
          <w:szCs w:val="26"/>
        </w:rPr>
        <w:t>*</w:t>
      </w:r>
      <w:r w:rsidRPr="00D662C3" w:rsidR="000D3023">
        <w:rPr>
          <w:szCs w:val="26"/>
        </w:rPr>
        <w:t>19–</w:t>
      </w:r>
      <w:r w:rsidRPr="00D662C3" w:rsidR="00B93202">
        <w:rPr>
          <w:szCs w:val="26"/>
        </w:rPr>
        <w:t>*</w:t>
      </w:r>
      <w:r w:rsidRPr="00D662C3" w:rsidR="000D3023">
        <w:rPr>
          <w:szCs w:val="26"/>
        </w:rPr>
        <w:t>20</w:t>
      </w:r>
      <w:r w:rsidRPr="00D662C3" w:rsidR="00D24E14">
        <w:rPr>
          <w:szCs w:val="26"/>
        </w:rPr>
        <w:t xml:space="preserve"> [“Because [defendant] has failed to present competent and credible evidence, as opposed to mere speculation, that [district attorney] was in fact available and reachable when [the designated acting district attorney] submitted the application</w:t>
      </w:r>
      <w:r w:rsidRPr="00D662C3" w:rsidR="00DE3D24">
        <w:rPr>
          <w:szCs w:val="26"/>
        </w:rPr>
        <w:t> . . .</w:t>
      </w:r>
      <w:r w:rsidRPr="00D662C3" w:rsidR="00D24E14">
        <w:rPr>
          <w:szCs w:val="26"/>
        </w:rPr>
        <w:t xml:space="preserve">, suppression is not warranted on the ground that the wiretaps were improperly authorized”].)  </w:t>
      </w:r>
      <w:r w:rsidRPr="00D662C3" w:rsidR="00DE3D24">
        <w:rPr>
          <w:szCs w:val="26"/>
        </w:rPr>
        <w:t>These cases are in</w:t>
      </w:r>
      <w:r w:rsidRPr="00D662C3" w:rsidR="00D24E14">
        <w:rPr>
          <w:szCs w:val="26"/>
        </w:rPr>
        <w:t xml:space="preserve"> accord with the general principle </w:t>
      </w:r>
      <w:r w:rsidRPr="00D662C3" w:rsidR="00E263EF">
        <w:rPr>
          <w:szCs w:val="26"/>
        </w:rPr>
        <w:t>tha</w:t>
      </w:r>
      <w:r w:rsidRPr="00D662C3" w:rsidR="00DE3D24">
        <w:rPr>
          <w:szCs w:val="26"/>
        </w:rPr>
        <w:t>t</w:t>
      </w:r>
      <w:r w:rsidRPr="00D662C3" w:rsidR="00D24E14">
        <w:rPr>
          <w:szCs w:val="26"/>
        </w:rPr>
        <w:t>, “absen[t] . . . evidence to the contrary, it is presumed that official duty has been properly performed.”  (</w:t>
      </w:r>
      <w:r w:rsidRPr="00D662C3" w:rsidR="00D24E14">
        <w:rPr>
          <w:i/>
          <w:iCs/>
          <w:szCs w:val="26"/>
        </w:rPr>
        <w:t>Roelfsema v. Department of Motor Vehicles</w:t>
      </w:r>
      <w:r w:rsidRPr="00D662C3" w:rsidR="00D24E14">
        <w:rPr>
          <w:szCs w:val="26"/>
        </w:rPr>
        <w:t xml:space="preserve"> (1995) 41 Cal.App.4th 871, 879 [</w:t>
      </w:r>
      <w:r w:rsidRPr="00D662C3" w:rsidR="00B93202">
        <w:rPr>
          <w:szCs w:val="26"/>
        </w:rPr>
        <w:t xml:space="preserve">relying on </w:t>
      </w:r>
      <w:r w:rsidRPr="00D662C3" w:rsidR="00D24E14">
        <w:rPr>
          <w:szCs w:val="26"/>
        </w:rPr>
        <w:t>Evid. Code, §</w:t>
      </w:r>
      <w:r w:rsidRPr="00D662C3" w:rsidR="00B93202">
        <w:rPr>
          <w:szCs w:val="26"/>
        </w:rPr>
        <w:t> </w:t>
      </w:r>
      <w:r w:rsidRPr="00D662C3" w:rsidR="00D24E14">
        <w:rPr>
          <w:szCs w:val="26"/>
        </w:rPr>
        <w:t xml:space="preserve">664]; cf. </w:t>
      </w:r>
      <w:bookmarkStart w:id="24" w:name="_Hlk87911644"/>
      <w:r w:rsidRPr="00D662C3" w:rsidR="00393C9F">
        <w:rPr>
          <w:i/>
          <w:iCs/>
          <w:szCs w:val="26"/>
        </w:rPr>
        <w:t>Terry</w:t>
      </w:r>
      <w:r w:rsidR="00393C9F">
        <w:rPr>
          <w:i/>
          <w:iCs/>
          <w:szCs w:val="26"/>
        </w:rPr>
        <w:t xml:space="preserve">, supra, </w:t>
      </w:r>
      <w:r w:rsidRPr="00D662C3" w:rsidR="00393C9F">
        <w:rPr>
          <w:szCs w:val="26"/>
        </w:rPr>
        <w:t xml:space="preserve">702 F.2d </w:t>
      </w:r>
      <w:r w:rsidR="00393C9F">
        <w:rPr>
          <w:szCs w:val="26"/>
        </w:rPr>
        <w:t xml:space="preserve">at p. </w:t>
      </w:r>
      <w:r w:rsidRPr="00D662C3" w:rsidR="00393C9F">
        <w:rPr>
          <w:szCs w:val="26"/>
        </w:rPr>
        <w:t>311 [</w:t>
      </w:r>
      <w:r w:rsidRPr="00D4476B" w:rsidR="00393C9F">
        <w:rPr>
          <w:szCs w:val="26"/>
        </w:rPr>
        <w:t>“a named designee whose high office [gives] him statutory power to authorize electronic surveillance orders is presumed to have properly exercised that power and the condition[s] precedent [are] presumed to have been met unless the defendants offer evidence, apart from mere conjecture or speculation, to rebut this presumption”</w:t>
      </w:r>
      <w:r w:rsidRPr="00D662C3" w:rsidR="00393C9F">
        <w:rPr>
          <w:szCs w:val="26"/>
        </w:rPr>
        <w:t xml:space="preserve">]; </w:t>
      </w:r>
      <w:r w:rsidRPr="00D662C3" w:rsidR="00D24E14">
        <w:rPr>
          <w:i/>
          <w:iCs/>
          <w:szCs w:val="26"/>
        </w:rPr>
        <w:t>People v. Davis</w:t>
      </w:r>
      <w:r w:rsidRPr="00D662C3" w:rsidR="00D24E14">
        <w:rPr>
          <w:szCs w:val="26"/>
        </w:rPr>
        <w:t xml:space="preserve"> (2008) 168 Cal.App.4th 617, </w:t>
      </w:r>
      <w:bookmarkEnd w:id="24"/>
      <w:r w:rsidRPr="00D662C3" w:rsidR="00D24E14">
        <w:rPr>
          <w:szCs w:val="26"/>
        </w:rPr>
        <w:t>630 [</w:t>
      </w:r>
      <w:r w:rsidR="00444E82">
        <w:rPr>
          <w:szCs w:val="26"/>
        </w:rPr>
        <w:t xml:space="preserve">because the </w:t>
      </w:r>
      <w:r w:rsidRPr="00D662C3" w:rsidR="00D24E14">
        <w:rPr>
          <w:szCs w:val="26"/>
        </w:rPr>
        <w:t>“</w:t>
      </w:r>
      <w:r w:rsidRPr="00D662C3" w:rsidR="00E263EF">
        <w:rPr>
          <w:szCs w:val="26"/>
        </w:rPr>
        <w:t> </w:t>
      </w:r>
      <w:r w:rsidRPr="00D662C3" w:rsidR="00D24E14">
        <w:rPr>
          <w:szCs w:val="26"/>
        </w:rPr>
        <w:t>‘ defendant bears the burden of proving that a wiretap is invalid once it has been authorized</w:t>
      </w:r>
      <w:r w:rsidR="00444E82">
        <w:rPr>
          <w:szCs w:val="26"/>
        </w:rPr>
        <w:t>,</w:t>
      </w:r>
      <w:r w:rsidRPr="00D662C3" w:rsidR="00D24E14">
        <w:rPr>
          <w:szCs w:val="26"/>
        </w:rPr>
        <w:t>’</w:t>
      </w:r>
      <w:r w:rsidRPr="00D662C3" w:rsidR="00E263EF">
        <w:rPr>
          <w:szCs w:val="26"/>
        </w:rPr>
        <w:t> </w:t>
      </w:r>
      <w:r w:rsidRPr="00D662C3" w:rsidR="00D24E14">
        <w:rPr>
          <w:szCs w:val="26"/>
        </w:rPr>
        <w:t>”</w:t>
      </w:r>
      <w:r w:rsidR="00444E82">
        <w:rPr>
          <w:szCs w:val="26"/>
        </w:rPr>
        <w:t xml:space="preserve"> “</w:t>
      </w:r>
      <w:r w:rsidRPr="00444E82" w:rsidR="00444E82">
        <w:rPr>
          <w:szCs w:val="26"/>
        </w:rPr>
        <w:t>the failure to bring a timely challenge to wiretap evidence forfeits the claim”</w:t>
      </w:r>
      <w:r w:rsidRPr="00D662C3" w:rsidR="00D24E14">
        <w:rPr>
          <w:szCs w:val="26"/>
        </w:rPr>
        <w:t>].)</w:t>
      </w:r>
    </w:p>
    <w:p w:rsidR="000350D4" w:rsidP="004F5DF7">
      <w:pPr>
        <w:ind w:firstLine="720"/>
        <w:rPr>
          <w:szCs w:val="26"/>
        </w:rPr>
      </w:pPr>
      <w:r w:rsidRPr="000350D4">
        <w:rPr>
          <w:szCs w:val="26"/>
        </w:rPr>
        <w:t xml:space="preserve">The primary authority Gonzalez discusses in his appellate briefing is </w:t>
      </w:r>
      <w:r w:rsidRPr="000350D4">
        <w:rPr>
          <w:i/>
          <w:iCs/>
          <w:szCs w:val="26"/>
        </w:rPr>
        <w:t>Perez-Valencia, supra</w:t>
      </w:r>
      <w:r w:rsidRPr="000350D4">
        <w:rPr>
          <w:szCs w:val="26"/>
        </w:rPr>
        <w:t xml:space="preserve">, 727 F.3d 852, a case decided long after his trial was completed.  However, nothing in </w:t>
      </w:r>
      <w:r w:rsidRPr="000350D4">
        <w:rPr>
          <w:i/>
          <w:iCs/>
          <w:szCs w:val="26"/>
        </w:rPr>
        <w:t>Perez-Valencia</w:t>
      </w:r>
      <w:r w:rsidRPr="000350D4">
        <w:rPr>
          <w:szCs w:val="26"/>
        </w:rPr>
        <w:t xml:space="preserve"> suggests </w:t>
      </w:r>
      <w:r w:rsidR="00CB0BDE">
        <w:rPr>
          <w:szCs w:val="26"/>
        </w:rPr>
        <w:t xml:space="preserve">section 629.50(a) </w:t>
      </w:r>
      <w:r w:rsidRPr="000350D4">
        <w:rPr>
          <w:szCs w:val="26"/>
        </w:rPr>
        <w:t>require</w:t>
      </w:r>
      <w:r w:rsidR="00CB0BDE">
        <w:rPr>
          <w:szCs w:val="26"/>
        </w:rPr>
        <w:t xml:space="preserve">s that </w:t>
      </w:r>
      <w:r w:rsidRPr="000350D4">
        <w:rPr>
          <w:szCs w:val="26"/>
        </w:rPr>
        <w:t xml:space="preserve">an application submitted under the oath of a designated acting district attorney must include information verifying the circumstances of the district attorney’s absence.  </w:t>
      </w:r>
      <w:r w:rsidR="00E3641A">
        <w:rPr>
          <w:szCs w:val="26"/>
        </w:rPr>
        <w:t xml:space="preserve">Instead, as explained above, </w:t>
      </w:r>
      <w:r w:rsidRPr="000350D4">
        <w:rPr>
          <w:i/>
          <w:iCs/>
          <w:szCs w:val="26"/>
        </w:rPr>
        <w:t>Perez-Valencia</w:t>
      </w:r>
      <w:r w:rsidRPr="000350D4">
        <w:rPr>
          <w:szCs w:val="26"/>
        </w:rPr>
        <w:t xml:space="preserve"> interpreted </w:t>
      </w:r>
      <w:r w:rsidR="00CB0BDE">
        <w:rPr>
          <w:szCs w:val="26"/>
        </w:rPr>
        <w:t xml:space="preserve">the scope of authority that a designated subordinate must have in order to seek a wiretap order </w:t>
      </w:r>
      <w:r w:rsidRPr="000350D4" w:rsidR="00CB0BDE">
        <w:rPr>
          <w:szCs w:val="26"/>
        </w:rPr>
        <w:t>under section 629.50(a)</w:t>
      </w:r>
      <w:r w:rsidRPr="000350D4">
        <w:rPr>
          <w:szCs w:val="26"/>
        </w:rPr>
        <w:t>, concluding the provision only applies when the district attorney has “duly designated [a single subordinate] to act for all purposes as the district attorney of the political subdivision in question.”  (</w:t>
      </w:r>
      <w:r w:rsidRPr="000350D4">
        <w:rPr>
          <w:i/>
          <w:iCs/>
          <w:szCs w:val="26"/>
        </w:rPr>
        <w:t>Perez-Valencia</w:t>
      </w:r>
      <w:r w:rsidRPr="000350D4">
        <w:rPr>
          <w:szCs w:val="26"/>
        </w:rPr>
        <w:t>, at p 855, italics omitted.)  While that interpretation is consistent with both the wording of section 629.50(a)</w:t>
      </w:r>
      <w:r w:rsidR="00D90693">
        <w:rPr>
          <w:szCs w:val="26"/>
        </w:rPr>
        <w:t> </w:t>
      </w:r>
      <w:r w:rsidRPr="000350D4">
        <w:rPr>
          <w:szCs w:val="26"/>
        </w:rPr>
        <w:t xml:space="preserve">— the “district attorney or </w:t>
      </w:r>
      <w:r w:rsidRPr="00CB0BDE">
        <w:rPr>
          <w:i/>
          <w:iCs/>
          <w:szCs w:val="26"/>
        </w:rPr>
        <w:t>the person</w:t>
      </w:r>
      <w:r w:rsidRPr="000350D4">
        <w:rPr>
          <w:szCs w:val="26"/>
        </w:rPr>
        <w:t xml:space="preserve"> designated to act as district attorney” (italics added)</w:t>
      </w:r>
      <w:r w:rsidR="000E5C10">
        <w:rPr>
          <w:szCs w:val="26"/>
        </w:rPr>
        <w:t> </w:t>
      </w:r>
      <w:r w:rsidRPr="000350D4">
        <w:rPr>
          <w:szCs w:val="26"/>
        </w:rPr>
        <w:t>— and the language of Title III, which contemplates that only one “principal prosecuting attorney” will have wiretap authority at any given time (see 18 U.S.C. § 2516(2) [states may authorize “</w:t>
      </w:r>
      <w:r w:rsidRPr="00CB0BDE">
        <w:rPr>
          <w:i/>
          <w:iCs/>
          <w:szCs w:val="26"/>
        </w:rPr>
        <w:t>the principal prosecuting attorney</w:t>
      </w:r>
      <w:r w:rsidRPr="000350D4">
        <w:rPr>
          <w:szCs w:val="26"/>
        </w:rPr>
        <w:t xml:space="preserve"> of any political subdivision thereof” (italics added)]; </w:t>
      </w:r>
      <w:r w:rsidRPr="000350D4">
        <w:rPr>
          <w:i/>
          <w:iCs/>
          <w:szCs w:val="26"/>
        </w:rPr>
        <w:t>Fury, supra</w:t>
      </w:r>
      <w:r w:rsidRPr="000350D4">
        <w:rPr>
          <w:szCs w:val="26"/>
        </w:rPr>
        <w:t xml:space="preserve">, 554 F.2d at p. 527, fn. 4 [state law </w:t>
      </w:r>
      <w:r w:rsidR="00E3641A">
        <w:rPr>
          <w:szCs w:val="26"/>
        </w:rPr>
        <w:t xml:space="preserve">authorizing </w:t>
      </w:r>
      <w:r w:rsidRPr="000350D4">
        <w:rPr>
          <w:szCs w:val="26"/>
        </w:rPr>
        <w:t>district attorney to designate subordinate to act in his</w:t>
      </w:r>
      <w:r w:rsidR="00A75361">
        <w:rPr>
          <w:szCs w:val="26"/>
        </w:rPr>
        <w:t xml:space="preserve"> or her</w:t>
      </w:r>
      <w:r w:rsidRPr="000350D4">
        <w:rPr>
          <w:szCs w:val="26"/>
        </w:rPr>
        <w:t xml:space="preserve"> absence was permissible under Title III because “[t]here is still only one person who has the authority [to act]”]), it is not relevant to Gonzalez’s claim</w:t>
      </w:r>
      <w:r w:rsidR="00CB0BDE">
        <w:rPr>
          <w:szCs w:val="26"/>
        </w:rPr>
        <w:t xml:space="preserve"> </w:t>
      </w:r>
      <w:r w:rsidRPr="00CB0BDE" w:rsidR="00CB0BDE">
        <w:rPr>
          <w:szCs w:val="26"/>
        </w:rPr>
        <w:t xml:space="preserve">that </w:t>
      </w:r>
      <w:r w:rsidRPr="0021288F">
        <w:rPr>
          <w:szCs w:val="26"/>
        </w:rPr>
        <w:t xml:space="preserve">the government was required to submit “proof” beyond Spillane’s attestation confirming that “the elected district attorney . . . was actually absent from his position.”  </w:t>
      </w:r>
      <w:r w:rsidRPr="0021288F">
        <w:rPr>
          <w:i/>
          <w:iCs/>
          <w:szCs w:val="26"/>
        </w:rPr>
        <w:t>Perez-Valencia</w:t>
      </w:r>
      <w:r w:rsidRPr="0021288F">
        <w:rPr>
          <w:szCs w:val="26"/>
        </w:rPr>
        <w:t xml:space="preserve"> provides no guidance on that question.</w:t>
      </w:r>
      <w:r>
        <w:rPr>
          <w:rStyle w:val="FootnoteReference"/>
          <w:szCs w:val="26"/>
        </w:rPr>
        <w:footnoteReference w:id="13"/>
      </w:r>
    </w:p>
    <w:p w:rsidR="00B72F77" w:rsidRPr="00D662C3" w:rsidP="004F5DF7">
      <w:pPr>
        <w:ind w:firstLine="720"/>
        <w:rPr>
          <w:szCs w:val="26"/>
        </w:rPr>
      </w:pPr>
      <w:r w:rsidRPr="00D662C3">
        <w:rPr>
          <w:szCs w:val="26"/>
        </w:rPr>
        <w:t>Gonzalez</w:t>
      </w:r>
      <w:r w:rsidRPr="00D662C3" w:rsidR="00A321D2">
        <w:rPr>
          <w:szCs w:val="26"/>
        </w:rPr>
        <w:t xml:space="preserve"> appears to argue that we should require the application to</w:t>
      </w:r>
      <w:r w:rsidRPr="00D662C3" w:rsidR="005F7A45">
        <w:rPr>
          <w:szCs w:val="26"/>
        </w:rPr>
        <w:t xml:space="preserve"> </w:t>
      </w:r>
      <w:r w:rsidRPr="00D662C3" w:rsidR="00A321D2">
        <w:rPr>
          <w:szCs w:val="26"/>
        </w:rPr>
        <w:t xml:space="preserve">confirm the circumstances of the </w:t>
      </w:r>
      <w:r w:rsidRPr="00D662C3" w:rsidR="005F7A45">
        <w:rPr>
          <w:szCs w:val="26"/>
        </w:rPr>
        <w:t>district attorney’s absence</w:t>
      </w:r>
      <w:r w:rsidRPr="00D662C3" w:rsidR="00A321D2">
        <w:rPr>
          <w:szCs w:val="26"/>
        </w:rPr>
        <w:t xml:space="preserve"> because merely incorporating the </w:t>
      </w:r>
      <w:r w:rsidRPr="00D662C3" w:rsidR="000D6EB7">
        <w:rPr>
          <w:szCs w:val="26"/>
        </w:rPr>
        <w:t xml:space="preserve">designation </w:t>
      </w:r>
      <w:r w:rsidRPr="00D662C3" w:rsidR="00A321D2">
        <w:rPr>
          <w:szCs w:val="26"/>
        </w:rPr>
        <w:t xml:space="preserve">standard set forth in </w:t>
      </w:r>
      <w:r w:rsidRPr="00D662C3" w:rsidR="000D6EB7">
        <w:rPr>
          <w:szCs w:val="26"/>
        </w:rPr>
        <w:t>section 629.50(a)</w:t>
      </w:r>
      <w:r w:rsidRPr="00D662C3" w:rsidR="00A321D2">
        <w:rPr>
          <w:szCs w:val="26"/>
        </w:rPr>
        <w:t xml:space="preserve"> leaves ambiguity as </w:t>
      </w:r>
      <w:r w:rsidRPr="00D662C3" w:rsidR="0010334D">
        <w:rPr>
          <w:szCs w:val="26"/>
        </w:rPr>
        <w:t xml:space="preserve">to </w:t>
      </w:r>
      <w:r w:rsidRPr="00D662C3" w:rsidR="00A321D2">
        <w:rPr>
          <w:szCs w:val="26"/>
        </w:rPr>
        <w:t xml:space="preserve">whether the district attorney was </w:t>
      </w:r>
      <w:r w:rsidRPr="00D662C3" w:rsidR="00D83157">
        <w:rPr>
          <w:szCs w:val="26"/>
        </w:rPr>
        <w:t>truly</w:t>
      </w:r>
      <w:r w:rsidRPr="00D662C3" w:rsidR="00A321D2">
        <w:rPr>
          <w:szCs w:val="26"/>
        </w:rPr>
        <w:t xml:space="preserve"> absent.  </w:t>
      </w:r>
      <w:r w:rsidRPr="00D662C3" w:rsidR="00102219">
        <w:rPr>
          <w:szCs w:val="26"/>
        </w:rPr>
        <w:t xml:space="preserve">As we understand it, Gonzalez’s position is that </w:t>
      </w:r>
      <w:r w:rsidRPr="00D662C3" w:rsidR="00A321D2">
        <w:rPr>
          <w:szCs w:val="26"/>
        </w:rPr>
        <w:t xml:space="preserve">a statement like </w:t>
      </w:r>
      <w:r w:rsidRPr="00D662C3" w:rsidR="007B3061">
        <w:rPr>
          <w:szCs w:val="26"/>
        </w:rPr>
        <w:t xml:space="preserve">the one in </w:t>
      </w:r>
      <w:r w:rsidRPr="00D662C3" w:rsidR="00102219">
        <w:rPr>
          <w:szCs w:val="26"/>
        </w:rPr>
        <w:t xml:space="preserve">Spillane’s </w:t>
      </w:r>
      <w:r w:rsidRPr="00D662C3" w:rsidR="007B3061">
        <w:rPr>
          <w:szCs w:val="26"/>
        </w:rPr>
        <w:t xml:space="preserve">application </w:t>
      </w:r>
      <w:r w:rsidRPr="00D662C3" w:rsidR="00102219">
        <w:rPr>
          <w:szCs w:val="26"/>
        </w:rPr>
        <w:t>(which tracks the statutory language) doe</w:t>
      </w:r>
      <w:r w:rsidRPr="00D662C3" w:rsidR="005B0C9F">
        <w:rPr>
          <w:szCs w:val="26"/>
        </w:rPr>
        <w:t xml:space="preserve">s not attest that the district </w:t>
      </w:r>
      <w:r w:rsidRPr="00D662C3" w:rsidR="00102219">
        <w:rPr>
          <w:szCs w:val="26"/>
        </w:rPr>
        <w:t xml:space="preserve">attorney </w:t>
      </w:r>
      <w:r w:rsidRPr="00D662C3" w:rsidR="00102219">
        <w:rPr>
          <w:i/>
          <w:iCs/>
          <w:szCs w:val="26"/>
        </w:rPr>
        <w:t xml:space="preserve">was </w:t>
      </w:r>
      <w:r w:rsidRPr="00D662C3" w:rsidR="005B0C9F">
        <w:rPr>
          <w:i/>
          <w:iCs/>
          <w:szCs w:val="26"/>
        </w:rPr>
        <w:t>actually absent</w:t>
      </w:r>
      <w:r w:rsidRPr="00D662C3" w:rsidR="007B3061">
        <w:rPr>
          <w:szCs w:val="26"/>
        </w:rPr>
        <w:t>; instead, it attest</w:t>
      </w:r>
      <w:r w:rsidRPr="00D662C3" w:rsidR="000D6EB7">
        <w:rPr>
          <w:szCs w:val="26"/>
        </w:rPr>
        <w:t>s</w:t>
      </w:r>
      <w:r w:rsidRPr="00D662C3" w:rsidR="007B3061">
        <w:rPr>
          <w:szCs w:val="26"/>
        </w:rPr>
        <w:t xml:space="preserve"> only </w:t>
      </w:r>
      <w:r w:rsidRPr="00D662C3" w:rsidR="005B0C9F">
        <w:rPr>
          <w:szCs w:val="26"/>
        </w:rPr>
        <w:t>that</w:t>
      </w:r>
      <w:r w:rsidRPr="00D662C3" w:rsidR="00102219">
        <w:rPr>
          <w:szCs w:val="26"/>
        </w:rPr>
        <w:t xml:space="preserve"> </w:t>
      </w:r>
      <w:r w:rsidRPr="00D662C3" w:rsidR="000D6EB7">
        <w:rPr>
          <w:szCs w:val="26"/>
        </w:rPr>
        <w:t>the applicant</w:t>
      </w:r>
      <w:r w:rsidRPr="00D662C3" w:rsidR="00102219">
        <w:rPr>
          <w:szCs w:val="26"/>
        </w:rPr>
        <w:t xml:space="preserve"> </w:t>
      </w:r>
      <w:r w:rsidRPr="00D662C3" w:rsidR="007B3061">
        <w:rPr>
          <w:szCs w:val="26"/>
        </w:rPr>
        <w:t xml:space="preserve">is </w:t>
      </w:r>
      <w:r w:rsidRPr="00D662C3" w:rsidR="00102219">
        <w:rPr>
          <w:szCs w:val="26"/>
        </w:rPr>
        <w:t>the</w:t>
      </w:r>
      <w:r w:rsidRPr="00D662C3" w:rsidR="005B0C9F">
        <w:rPr>
          <w:szCs w:val="26"/>
        </w:rPr>
        <w:t xml:space="preserve"> person designated to act</w:t>
      </w:r>
      <w:r w:rsidRPr="00D662C3" w:rsidR="000D6EB7">
        <w:rPr>
          <w:szCs w:val="26"/>
        </w:rPr>
        <w:t xml:space="preserve"> as district attorney</w:t>
      </w:r>
      <w:r w:rsidRPr="00D662C3" w:rsidR="005B0C9F">
        <w:rPr>
          <w:szCs w:val="26"/>
        </w:rPr>
        <w:t xml:space="preserve"> when the district attorney is absent</w:t>
      </w:r>
      <w:r w:rsidRPr="00D662C3" w:rsidR="00102219">
        <w:rPr>
          <w:szCs w:val="26"/>
        </w:rPr>
        <w:t xml:space="preserve">.  </w:t>
      </w:r>
      <w:r w:rsidRPr="00D662C3" w:rsidR="000D6EB7">
        <w:rPr>
          <w:szCs w:val="26"/>
        </w:rPr>
        <w:t xml:space="preserve">Thus, it leaves open the possibility that the applicant is merely stating that he or she is the person who is designated to act when the district attorney is absent, not that the district attorney was absent when the application was filed.  </w:t>
      </w:r>
    </w:p>
    <w:p w:rsidR="00AF7BA2" w:rsidRPr="00D662C3" w:rsidP="004F5DF7">
      <w:pPr>
        <w:ind w:firstLine="720"/>
        <w:rPr>
          <w:szCs w:val="26"/>
        </w:rPr>
      </w:pPr>
      <w:r w:rsidRPr="00D662C3">
        <w:rPr>
          <w:szCs w:val="26"/>
        </w:rPr>
        <w:t>We think it clear, however, that</w:t>
      </w:r>
      <w:r w:rsidRPr="00D662C3" w:rsidR="007B3061">
        <w:rPr>
          <w:szCs w:val="26"/>
        </w:rPr>
        <w:t xml:space="preserve"> when </w:t>
      </w:r>
      <w:r w:rsidRPr="00D662C3" w:rsidR="000D6EB7">
        <w:rPr>
          <w:szCs w:val="26"/>
        </w:rPr>
        <w:t>an applicant such as Spillane attest</w:t>
      </w:r>
      <w:r w:rsidRPr="00D662C3" w:rsidR="00D92732">
        <w:rPr>
          <w:szCs w:val="26"/>
        </w:rPr>
        <w:t>s</w:t>
      </w:r>
      <w:r w:rsidRPr="00D662C3" w:rsidR="001849A3">
        <w:rPr>
          <w:szCs w:val="26"/>
        </w:rPr>
        <w:t>,</w:t>
      </w:r>
      <w:r w:rsidRPr="00D662C3" w:rsidR="00D92732">
        <w:rPr>
          <w:szCs w:val="26"/>
        </w:rPr>
        <w:t xml:space="preserve">  “Steve Cooley is the District Attorney of the County of Los Angeles</w:t>
      </w:r>
      <w:r w:rsidRPr="00D662C3" w:rsidR="006254AA">
        <w:rPr>
          <w:szCs w:val="26"/>
        </w:rPr>
        <w:t>,</w:t>
      </w:r>
      <w:r w:rsidRPr="00D662C3" w:rsidR="00D92732">
        <w:rPr>
          <w:szCs w:val="26"/>
        </w:rPr>
        <w:t xml:space="preserve"> and I am the person designated to act as District Attorney in his absence pursuant to Penal Code [s]ection 629.50(a),” that</w:t>
      </w:r>
      <w:r w:rsidRPr="00D662C3" w:rsidR="00593F41">
        <w:rPr>
          <w:szCs w:val="26"/>
        </w:rPr>
        <w:t xml:space="preserve"> </w:t>
      </w:r>
      <w:r w:rsidRPr="00D662C3" w:rsidR="00B03187">
        <w:rPr>
          <w:szCs w:val="26"/>
        </w:rPr>
        <w:t>statement</w:t>
      </w:r>
      <w:r w:rsidRPr="00D662C3" w:rsidR="001D7EB6">
        <w:rPr>
          <w:szCs w:val="26"/>
        </w:rPr>
        <w:t xml:space="preserve"> </w:t>
      </w:r>
      <w:r w:rsidRPr="00D662C3" w:rsidR="00593F41">
        <w:rPr>
          <w:szCs w:val="26"/>
        </w:rPr>
        <w:t xml:space="preserve">is </w:t>
      </w:r>
      <w:r w:rsidRPr="00D662C3" w:rsidR="001D7EB6">
        <w:rPr>
          <w:szCs w:val="26"/>
        </w:rPr>
        <w:t xml:space="preserve">most reasonably construed as a declaration </w:t>
      </w:r>
      <w:r w:rsidRPr="00D662C3" w:rsidR="00B03187">
        <w:rPr>
          <w:szCs w:val="26"/>
        </w:rPr>
        <w:t xml:space="preserve">that </w:t>
      </w:r>
      <w:r w:rsidRPr="00D662C3" w:rsidR="00D92732">
        <w:rPr>
          <w:szCs w:val="26"/>
        </w:rPr>
        <w:t xml:space="preserve">the </w:t>
      </w:r>
      <w:r w:rsidRPr="00D662C3" w:rsidR="001849A3">
        <w:rPr>
          <w:szCs w:val="26"/>
        </w:rPr>
        <w:t>d</w:t>
      </w:r>
      <w:r w:rsidRPr="00D662C3" w:rsidR="00D92732">
        <w:rPr>
          <w:szCs w:val="26"/>
        </w:rPr>
        <w:t xml:space="preserve">istrict </w:t>
      </w:r>
      <w:r w:rsidRPr="00D662C3" w:rsidR="001849A3">
        <w:rPr>
          <w:szCs w:val="26"/>
        </w:rPr>
        <w:t>a</w:t>
      </w:r>
      <w:r w:rsidRPr="00D662C3" w:rsidR="00D92732">
        <w:rPr>
          <w:szCs w:val="26"/>
        </w:rPr>
        <w:t>ttorney is</w:t>
      </w:r>
      <w:r w:rsidRPr="00D662C3" w:rsidR="001D7EB6">
        <w:rPr>
          <w:szCs w:val="26"/>
        </w:rPr>
        <w:t xml:space="preserve"> in fact</w:t>
      </w:r>
      <w:r w:rsidRPr="00D662C3" w:rsidR="00D92732">
        <w:rPr>
          <w:szCs w:val="26"/>
        </w:rPr>
        <w:t xml:space="preserve"> absent.  </w:t>
      </w:r>
      <w:r w:rsidRPr="00D662C3" w:rsidR="00892758">
        <w:rPr>
          <w:szCs w:val="26"/>
        </w:rPr>
        <w:t xml:space="preserve">Indeed, </w:t>
      </w:r>
      <w:r w:rsidRPr="00D662C3" w:rsidR="001D7EB6">
        <w:rPr>
          <w:szCs w:val="26"/>
        </w:rPr>
        <w:t xml:space="preserve">the wording of </w:t>
      </w:r>
      <w:r w:rsidRPr="00D662C3" w:rsidR="00B03187">
        <w:rPr>
          <w:szCs w:val="26"/>
        </w:rPr>
        <w:t>Spillane’s oath</w:t>
      </w:r>
      <w:r w:rsidRPr="00D662C3" w:rsidR="001D7EB6">
        <w:rPr>
          <w:szCs w:val="26"/>
        </w:rPr>
        <w:t xml:space="preserve"> </w:t>
      </w:r>
      <w:r w:rsidRPr="00D662C3" w:rsidR="00D92732">
        <w:rPr>
          <w:szCs w:val="26"/>
        </w:rPr>
        <w:t>quite logically tracked the language of section 629.50(a) almost verbatim</w:t>
      </w:r>
      <w:r w:rsidRPr="00D662C3" w:rsidR="007B67B8">
        <w:rPr>
          <w:szCs w:val="26"/>
        </w:rPr>
        <w:t xml:space="preserve"> </w:t>
      </w:r>
      <w:r w:rsidRPr="00D662C3" w:rsidR="001849A3">
        <w:rPr>
          <w:szCs w:val="26"/>
        </w:rPr>
        <w:t>(</w:t>
      </w:r>
      <w:r w:rsidRPr="00D662C3" w:rsidR="007B67B8">
        <w:rPr>
          <w:szCs w:val="26"/>
        </w:rPr>
        <w:t>s</w:t>
      </w:r>
      <w:r w:rsidRPr="00D662C3" w:rsidR="001849A3">
        <w:rPr>
          <w:szCs w:val="26"/>
        </w:rPr>
        <w:t xml:space="preserve">ee § 629.50(a) [application “shall be made in writing upon the personal oath or affirmation of </w:t>
      </w:r>
      <w:r w:rsidRPr="00D662C3" w:rsidR="0010334D">
        <w:rPr>
          <w:szCs w:val="26"/>
        </w:rPr>
        <w:t xml:space="preserve">the </w:t>
      </w:r>
      <w:r w:rsidRPr="00D662C3" w:rsidR="001849A3">
        <w:rPr>
          <w:szCs w:val="26"/>
        </w:rPr>
        <w:t xml:space="preserve">. . . district attorney, or </w:t>
      </w:r>
      <w:r w:rsidRPr="00D662C3" w:rsidR="001849A3">
        <w:rPr>
          <w:i/>
          <w:iCs/>
          <w:szCs w:val="26"/>
        </w:rPr>
        <w:t>the person designated to act as district attorney in the district attorney’s absence</w:t>
      </w:r>
      <w:r w:rsidRPr="00D662C3" w:rsidR="001849A3">
        <w:rPr>
          <w:szCs w:val="26"/>
        </w:rPr>
        <w:t>” (italics added)]</w:t>
      </w:r>
      <w:r w:rsidR="0098545B">
        <w:rPr>
          <w:szCs w:val="26"/>
        </w:rPr>
        <w:t>.</w:t>
      </w:r>
      <w:r w:rsidRPr="00D662C3" w:rsidR="001849A3">
        <w:rPr>
          <w:szCs w:val="26"/>
        </w:rPr>
        <w:t>)</w:t>
      </w:r>
      <w:r>
        <w:rPr>
          <w:rStyle w:val="FootnoteReference"/>
          <w:szCs w:val="26"/>
        </w:rPr>
        <w:footnoteReference w:id="14"/>
      </w:r>
      <w:r w:rsidRPr="00D662C3" w:rsidR="00C61766">
        <w:rPr>
          <w:szCs w:val="26"/>
        </w:rPr>
        <w:t xml:space="preserve"> </w:t>
      </w:r>
      <w:r w:rsidR="007F2756">
        <w:rPr>
          <w:szCs w:val="26"/>
        </w:rPr>
        <w:t xml:space="preserve"> </w:t>
      </w:r>
      <w:r w:rsidR="0098545B">
        <w:rPr>
          <w:szCs w:val="26"/>
        </w:rPr>
        <w:t>Moreover,</w:t>
      </w:r>
      <w:r w:rsidR="00771525">
        <w:rPr>
          <w:szCs w:val="26"/>
        </w:rPr>
        <w:t xml:space="preserve"> in this case,</w:t>
      </w:r>
      <w:r w:rsidRPr="00D662C3" w:rsidR="00C61766">
        <w:rPr>
          <w:szCs w:val="26"/>
        </w:rPr>
        <w:t xml:space="preserve"> </w:t>
      </w:r>
      <w:r w:rsidRPr="00D662C3" w:rsidR="00B6628C">
        <w:rPr>
          <w:szCs w:val="26"/>
        </w:rPr>
        <w:t>the</w:t>
      </w:r>
      <w:r w:rsidRPr="00D662C3" w:rsidR="00B03187">
        <w:rPr>
          <w:szCs w:val="26"/>
        </w:rPr>
        <w:t xml:space="preserve"> prosecution</w:t>
      </w:r>
      <w:r w:rsidRPr="00D662C3" w:rsidR="00490153">
        <w:rPr>
          <w:szCs w:val="26"/>
        </w:rPr>
        <w:t xml:space="preserve"> confirmed </w:t>
      </w:r>
      <w:r w:rsidRPr="00D662C3" w:rsidR="00CB2FB0">
        <w:rPr>
          <w:szCs w:val="26"/>
        </w:rPr>
        <w:t xml:space="preserve">to the trial court that </w:t>
      </w:r>
      <w:r w:rsidRPr="00D662C3" w:rsidR="00C61766">
        <w:rPr>
          <w:szCs w:val="26"/>
        </w:rPr>
        <w:t xml:space="preserve">the </w:t>
      </w:r>
      <w:r w:rsidRPr="00D662C3" w:rsidR="007B67B8">
        <w:rPr>
          <w:szCs w:val="26"/>
        </w:rPr>
        <w:t>statement was intended to convey</w:t>
      </w:r>
      <w:r w:rsidRPr="00D662C3" w:rsidR="00C61766">
        <w:rPr>
          <w:szCs w:val="26"/>
        </w:rPr>
        <w:t xml:space="preserve"> </w:t>
      </w:r>
      <w:r w:rsidRPr="00D662C3" w:rsidR="007B67B8">
        <w:rPr>
          <w:szCs w:val="26"/>
        </w:rPr>
        <w:t>the “District Attorney was absent and designated his responsibility for review.”</w:t>
      </w:r>
      <w:r w:rsidRPr="00D662C3" w:rsidR="00C61766">
        <w:rPr>
          <w:szCs w:val="26"/>
        </w:rPr>
        <w:t xml:space="preserve">  </w:t>
      </w:r>
      <w:r w:rsidRPr="00D662C3" w:rsidR="00B6628C">
        <w:rPr>
          <w:szCs w:val="26"/>
        </w:rPr>
        <w:t xml:space="preserve">Contrary to </w:t>
      </w:r>
      <w:r w:rsidRPr="00D662C3" w:rsidR="00AC3ADA">
        <w:rPr>
          <w:szCs w:val="26"/>
        </w:rPr>
        <w:t>Gonzalez</w:t>
      </w:r>
      <w:r w:rsidRPr="00D662C3" w:rsidR="00C61766">
        <w:rPr>
          <w:szCs w:val="26"/>
        </w:rPr>
        <w:t>’s</w:t>
      </w:r>
      <w:r w:rsidRPr="00D662C3" w:rsidR="00AC3ADA">
        <w:rPr>
          <w:szCs w:val="26"/>
        </w:rPr>
        <w:t xml:space="preserve"> suggestion</w:t>
      </w:r>
      <w:r w:rsidRPr="00D662C3" w:rsidR="00B6628C">
        <w:rPr>
          <w:szCs w:val="26"/>
        </w:rPr>
        <w:t>, we do not believe</w:t>
      </w:r>
      <w:r w:rsidRPr="00D662C3" w:rsidR="00AC3ADA">
        <w:rPr>
          <w:szCs w:val="26"/>
        </w:rPr>
        <w:t xml:space="preserve"> </w:t>
      </w:r>
      <w:r w:rsidRPr="00D662C3" w:rsidR="00B6628C">
        <w:rPr>
          <w:szCs w:val="26"/>
        </w:rPr>
        <w:t xml:space="preserve">Spillane’s use of the very </w:t>
      </w:r>
      <w:r w:rsidRPr="00D662C3" w:rsidR="00490153">
        <w:rPr>
          <w:szCs w:val="26"/>
        </w:rPr>
        <w:t xml:space="preserve">oath </w:t>
      </w:r>
      <w:r w:rsidRPr="00D662C3" w:rsidR="00B6628C">
        <w:rPr>
          <w:szCs w:val="26"/>
        </w:rPr>
        <w:t>that is</w:t>
      </w:r>
      <w:r w:rsidRPr="00D662C3" w:rsidR="00AC3ADA">
        <w:rPr>
          <w:szCs w:val="26"/>
        </w:rPr>
        <w:t xml:space="preserve"> </w:t>
      </w:r>
      <w:r w:rsidRPr="00D662C3" w:rsidR="00B6628C">
        <w:rPr>
          <w:szCs w:val="26"/>
        </w:rPr>
        <w:t>set forth in the wiretap statute cast</w:t>
      </w:r>
      <w:r w:rsidRPr="00D662C3" w:rsidR="00490153">
        <w:rPr>
          <w:szCs w:val="26"/>
        </w:rPr>
        <w:t>s</w:t>
      </w:r>
      <w:r w:rsidRPr="00D662C3" w:rsidR="00B6628C">
        <w:rPr>
          <w:szCs w:val="26"/>
        </w:rPr>
        <w:t xml:space="preserve"> doubt upon whether the district attorney</w:t>
      </w:r>
      <w:r w:rsidRPr="00D662C3" w:rsidR="00490153">
        <w:rPr>
          <w:szCs w:val="26"/>
        </w:rPr>
        <w:t xml:space="preserve"> truly</w:t>
      </w:r>
      <w:r w:rsidRPr="00D662C3" w:rsidR="00B6628C">
        <w:rPr>
          <w:szCs w:val="26"/>
        </w:rPr>
        <w:t xml:space="preserve"> was absent, thereby necessitating some further evidentiary </w:t>
      </w:r>
      <w:r w:rsidRPr="00D662C3" w:rsidR="0056692A">
        <w:rPr>
          <w:szCs w:val="26"/>
        </w:rPr>
        <w:t>showing</w:t>
      </w:r>
      <w:r w:rsidRPr="00D662C3" w:rsidR="00B6628C">
        <w:rPr>
          <w:szCs w:val="26"/>
        </w:rPr>
        <w:t>.</w:t>
      </w:r>
      <w:r w:rsidR="00B277A2">
        <w:rPr>
          <w:szCs w:val="26"/>
        </w:rPr>
        <w:t xml:space="preserve"> </w:t>
      </w:r>
    </w:p>
    <w:p w:rsidR="000E7251" w:rsidRPr="00D662C3" w:rsidP="004F5DF7">
      <w:pPr>
        <w:ind w:firstLine="720"/>
        <w:rPr>
          <w:i/>
          <w:iCs/>
          <w:smallCaps/>
        </w:rPr>
      </w:pPr>
      <w:r w:rsidRPr="00D662C3">
        <w:rPr>
          <w:szCs w:val="26"/>
        </w:rPr>
        <w:t xml:space="preserve">In sum, we decline to </w:t>
      </w:r>
      <w:r w:rsidRPr="00D662C3" w:rsidR="00C55F3F">
        <w:rPr>
          <w:szCs w:val="26"/>
        </w:rPr>
        <w:t>read into section 629.50(a) a</w:t>
      </w:r>
      <w:r w:rsidRPr="00D662C3" w:rsidR="00B72F77">
        <w:rPr>
          <w:szCs w:val="26"/>
        </w:rPr>
        <w:t xml:space="preserve"> requirement </w:t>
      </w:r>
      <w:r w:rsidRPr="00D662C3" w:rsidR="00C55F3F">
        <w:rPr>
          <w:szCs w:val="26"/>
        </w:rPr>
        <w:t xml:space="preserve">that when </w:t>
      </w:r>
      <w:r w:rsidRPr="00D662C3">
        <w:rPr>
          <w:szCs w:val="26"/>
        </w:rPr>
        <w:t xml:space="preserve">a person designated to act </w:t>
      </w:r>
      <w:r w:rsidR="00CB0BDE">
        <w:rPr>
          <w:szCs w:val="26"/>
        </w:rPr>
        <w:t>as district attorney in the</w:t>
      </w:r>
      <w:r w:rsidRPr="00D662C3">
        <w:rPr>
          <w:szCs w:val="26"/>
        </w:rPr>
        <w:t xml:space="preserve"> district attorney’s absence seeks </w:t>
      </w:r>
      <w:r w:rsidRPr="00D662C3" w:rsidR="00C55F3F">
        <w:rPr>
          <w:szCs w:val="26"/>
        </w:rPr>
        <w:t>a</w:t>
      </w:r>
      <w:r w:rsidRPr="00D662C3">
        <w:rPr>
          <w:szCs w:val="26"/>
        </w:rPr>
        <w:t xml:space="preserve"> </w:t>
      </w:r>
      <w:r w:rsidRPr="00D662C3" w:rsidR="00C55F3F">
        <w:rPr>
          <w:szCs w:val="26"/>
        </w:rPr>
        <w:t xml:space="preserve">wiretap </w:t>
      </w:r>
      <w:r w:rsidRPr="00D662C3" w:rsidR="000757D6">
        <w:rPr>
          <w:szCs w:val="26"/>
        </w:rPr>
        <w:t>order</w:t>
      </w:r>
      <w:r w:rsidRPr="00D662C3">
        <w:rPr>
          <w:szCs w:val="26"/>
        </w:rPr>
        <w:t xml:space="preserve">, </w:t>
      </w:r>
      <w:r w:rsidRPr="00D662C3" w:rsidR="00C55F3F">
        <w:rPr>
          <w:szCs w:val="26"/>
        </w:rPr>
        <w:t>t</w:t>
      </w:r>
      <w:r w:rsidRPr="00D662C3">
        <w:rPr>
          <w:szCs w:val="26"/>
        </w:rPr>
        <w:t xml:space="preserve">he </w:t>
      </w:r>
      <w:r w:rsidRPr="00D662C3" w:rsidR="00C55F3F">
        <w:rPr>
          <w:szCs w:val="26"/>
        </w:rPr>
        <w:t xml:space="preserve">application </w:t>
      </w:r>
      <w:r w:rsidRPr="00D662C3">
        <w:rPr>
          <w:szCs w:val="26"/>
        </w:rPr>
        <w:t xml:space="preserve">must </w:t>
      </w:r>
      <w:r w:rsidRPr="00D662C3" w:rsidR="00B72F77">
        <w:rPr>
          <w:szCs w:val="26"/>
        </w:rPr>
        <w:t xml:space="preserve">include information </w:t>
      </w:r>
      <w:r w:rsidRPr="00D662C3" w:rsidR="00BA6BE7">
        <w:rPr>
          <w:szCs w:val="26"/>
        </w:rPr>
        <w:t xml:space="preserve">that </w:t>
      </w:r>
      <w:r w:rsidRPr="00D662C3" w:rsidR="00B72F77">
        <w:rPr>
          <w:szCs w:val="26"/>
        </w:rPr>
        <w:t>explain</w:t>
      </w:r>
      <w:r w:rsidRPr="00D662C3" w:rsidR="00BA6BE7">
        <w:rPr>
          <w:szCs w:val="26"/>
        </w:rPr>
        <w:t>s</w:t>
      </w:r>
      <w:r w:rsidRPr="00D662C3" w:rsidR="00B72F77">
        <w:rPr>
          <w:szCs w:val="26"/>
        </w:rPr>
        <w:t xml:space="preserve"> </w:t>
      </w:r>
      <w:r w:rsidRPr="00D662C3">
        <w:rPr>
          <w:szCs w:val="26"/>
        </w:rPr>
        <w:t>the circumstances of the district attorney’s absence.  (</w:t>
      </w:r>
      <w:r w:rsidRPr="00D662C3" w:rsidR="00FA4830">
        <w:rPr>
          <w:szCs w:val="26"/>
        </w:rPr>
        <w:t xml:space="preserve">See </w:t>
      </w:r>
      <w:r w:rsidRPr="00D662C3">
        <w:rPr>
          <w:i/>
          <w:iCs/>
          <w:szCs w:val="26"/>
        </w:rPr>
        <w:t>People ex rel. Gwinn v. Kothari</w:t>
      </w:r>
      <w:r w:rsidRPr="00D662C3">
        <w:rPr>
          <w:szCs w:val="26"/>
        </w:rPr>
        <w:t xml:space="preserve"> (2000) 83 Cal.App.4th 759, 768 [“In construing a statute, we do not insert words into it as this would ‘violate the cardinal rule that courts may not add provisions to a statute’</w:t>
      </w:r>
      <w:r w:rsidRPr="00D662C3" w:rsidR="002A4D67">
        <w:rPr>
          <w:szCs w:val="26"/>
        </w:rPr>
        <w:t> </w:t>
      </w:r>
      <w:r w:rsidRPr="00D662C3">
        <w:rPr>
          <w:szCs w:val="26"/>
        </w:rPr>
        <w:t xml:space="preserve">” (quoting </w:t>
      </w:r>
      <w:r w:rsidRPr="00D662C3">
        <w:rPr>
          <w:i/>
          <w:iCs/>
          <w:szCs w:val="26"/>
        </w:rPr>
        <w:t>Adoption of Kelsey S.</w:t>
      </w:r>
      <w:r w:rsidRPr="00D662C3">
        <w:rPr>
          <w:szCs w:val="26"/>
        </w:rPr>
        <w:t xml:space="preserve"> (1992) 1 Cal.4th 816, 827)].)  If the Legislature believes these additional safeguards would be prudent to ensure that law enforcement is operating within the limitations of section 629.50(a), it is of course free to</w:t>
      </w:r>
      <w:r w:rsidRPr="00D662C3" w:rsidR="00A32BE9">
        <w:rPr>
          <w:szCs w:val="26"/>
        </w:rPr>
        <w:t xml:space="preserve"> amend the statute accordingly</w:t>
      </w:r>
      <w:r w:rsidRPr="00D662C3">
        <w:t>.</w:t>
      </w:r>
      <w:r w:rsidRPr="00D662C3" w:rsidR="008E7733">
        <w:rPr>
          <w:rStyle w:val="FootnoteReference"/>
          <w:szCs w:val="26"/>
        </w:rPr>
        <w:t xml:space="preserve"> </w:t>
      </w:r>
    </w:p>
    <w:p w:rsidR="00DD2752" w:rsidRPr="00D662C3" w:rsidP="004F5DF7">
      <w:pPr>
        <w:pStyle w:val="ListParagraph"/>
        <w:numPr>
          <w:ilvl w:val="0"/>
          <w:numId w:val="7"/>
        </w:numPr>
        <w:tabs>
          <w:tab w:val="left" w:pos="1440"/>
        </w:tabs>
        <w:rPr>
          <w:i/>
          <w:iCs/>
          <w:smallCaps/>
        </w:rPr>
      </w:pPr>
      <w:r w:rsidRPr="00D662C3">
        <w:rPr>
          <w:i/>
          <w:iCs/>
        </w:rPr>
        <w:t>Any violation of Gonzalez’s right to confrontation was harmless</w:t>
      </w:r>
      <w:r w:rsidRPr="00D662C3" w:rsidR="00975CE0">
        <w:rPr>
          <w:i/>
          <w:iCs/>
        </w:rPr>
        <w:t xml:space="preserve"> </w:t>
      </w:r>
    </w:p>
    <w:p w:rsidR="001C08F6" w:rsidRPr="00D662C3" w:rsidP="004F5DF7">
      <w:pPr>
        <w:ind w:firstLine="720"/>
        <w:rPr>
          <w:szCs w:val="26"/>
        </w:rPr>
      </w:pPr>
      <w:r w:rsidRPr="00D662C3">
        <w:rPr>
          <w:szCs w:val="26"/>
        </w:rPr>
        <w:t xml:space="preserve">Gonzalez </w:t>
      </w:r>
      <w:r w:rsidRPr="00D662C3" w:rsidR="007C0E57">
        <w:rPr>
          <w:szCs w:val="26"/>
        </w:rPr>
        <w:t>argues</w:t>
      </w:r>
      <w:r w:rsidRPr="00D662C3">
        <w:rPr>
          <w:szCs w:val="26"/>
        </w:rPr>
        <w:t xml:space="preserve"> </w:t>
      </w:r>
      <w:r w:rsidRPr="00D662C3" w:rsidR="009468A6">
        <w:rPr>
          <w:szCs w:val="26"/>
        </w:rPr>
        <w:t>the trial court’s admission of</w:t>
      </w:r>
      <w:r w:rsidRPr="00D662C3" w:rsidR="007C0E57">
        <w:rPr>
          <w:szCs w:val="26"/>
        </w:rPr>
        <w:t xml:space="preserve"> certain</w:t>
      </w:r>
      <w:r w:rsidRPr="00D662C3" w:rsidR="009468A6">
        <w:rPr>
          <w:szCs w:val="26"/>
        </w:rPr>
        <w:t xml:space="preserve"> </w:t>
      </w:r>
      <w:r w:rsidRPr="00D662C3" w:rsidR="00161F9B">
        <w:rPr>
          <w:szCs w:val="26"/>
        </w:rPr>
        <w:t xml:space="preserve">testimony related to the </w:t>
      </w:r>
      <w:r w:rsidRPr="00D662C3" w:rsidR="009468A6">
        <w:rPr>
          <w:szCs w:val="26"/>
        </w:rPr>
        <w:t>DNA evidence violated</w:t>
      </w:r>
      <w:r w:rsidRPr="00D662C3">
        <w:rPr>
          <w:szCs w:val="26"/>
        </w:rPr>
        <w:t xml:space="preserve"> his rights under the </w:t>
      </w:r>
      <w:r w:rsidRPr="00D662C3" w:rsidR="0010334D">
        <w:rPr>
          <w:szCs w:val="26"/>
        </w:rPr>
        <w:t>c</w:t>
      </w:r>
      <w:r w:rsidRPr="00D662C3">
        <w:rPr>
          <w:szCs w:val="26"/>
        </w:rPr>
        <w:t xml:space="preserve">onfrontation </w:t>
      </w:r>
      <w:r w:rsidRPr="00D662C3" w:rsidR="0010334D">
        <w:rPr>
          <w:szCs w:val="26"/>
        </w:rPr>
        <w:t>c</w:t>
      </w:r>
      <w:r w:rsidRPr="00D662C3">
        <w:rPr>
          <w:szCs w:val="26"/>
        </w:rPr>
        <w:t xml:space="preserve">lause of the Sixth Amendment to the United States Constitution. </w:t>
      </w:r>
      <w:r w:rsidRPr="00D662C3">
        <w:rPr>
          <w:szCs w:val="26"/>
        </w:rPr>
        <w:t xml:space="preserve"> </w:t>
      </w:r>
      <w:r w:rsidRPr="00D662C3" w:rsidR="007C0E57">
        <w:rPr>
          <w:szCs w:val="26"/>
        </w:rPr>
        <w:t xml:space="preserve">Although the merits of </w:t>
      </w:r>
      <w:r w:rsidRPr="00D662C3" w:rsidR="006824B3">
        <w:rPr>
          <w:szCs w:val="26"/>
        </w:rPr>
        <w:t>Gonzalez</w:t>
      </w:r>
      <w:r w:rsidRPr="00D662C3" w:rsidR="007C0E57">
        <w:rPr>
          <w:szCs w:val="26"/>
        </w:rPr>
        <w:t xml:space="preserve">’s claim </w:t>
      </w:r>
      <w:r w:rsidRPr="00D662C3" w:rsidR="00161F9B">
        <w:rPr>
          <w:szCs w:val="26"/>
        </w:rPr>
        <w:t>are</w:t>
      </w:r>
      <w:r w:rsidRPr="00D662C3" w:rsidR="007C0E57">
        <w:rPr>
          <w:szCs w:val="26"/>
        </w:rPr>
        <w:t xml:space="preserve"> difficult to assess </w:t>
      </w:r>
      <w:r w:rsidRPr="00D662C3" w:rsidR="00161F9B">
        <w:rPr>
          <w:szCs w:val="26"/>
        </w:rPr>
        <w:t>given</w:t>
      </w:r>
      <w:r w:rsidRPr="00D662C3" w:rsidR="007C0E57">
        <w:rPr>
          <w:szCs w:val="26"/>
        </w:rPr>
        <w:t xml:space="preserve"> the </w:t>
      </w:r>
      <w:r w:rsidRPr="00D662C3" w:rsidR="004D2F1A">
        <w:rPr>
          <w:szCs w:val="26"/>
        </w:rPr>
        <w:t>divided</w:t>
      </w:r>
      <w:r w:rsidRPr="00D662C3" w:rsidR="00084800">
        <w:rPr>
          <w:szCs w:val="26"/>
        </w:rPr>
        <w:t xml:space="preserve"> state of the </w:t>
      </w:r>
      <w:r w:rsidRPr="00D662C3" w:rsidR="0010334D">
        <w:rPr>
          <w:szCs w:val="26"/>
        </w:rPr>
        <w:t>high</w:t>
      </w:r>
      <w:r w:rsidRPr="00D662C3" w:rsidR="007C0E57">
        <w:rPr>
          <w:szCs w:val="26"/>
        </w:rPr>
        <w:t xml:space="preserve"> </w:t>
      </w:r>
      <w:r w:rsidRPr="00D662C3" w:rsidR="0010334D">
        <w:rPr>
          <w:szCs w:val="26"/>
        </w:rPr>
        <w:t>c</w:t>
      </w:r>
      <w:r w:rsidRPr="00D662C3" w:rsidR="007C0E57">
        <w:rPr>
          <w:szCs w:val="26"/>
        </w:rPr>
        <w:t>our</w:t>
      </w:r>
      <w:r w:rsidRPr="00D662C3" w:rsidR="006824B3">
        <w:rPr>
          <w:szCs w:val="26"/>
        </w:rPr>
        <w:t>t’s</w:t>
      </w:r>
      <w:r w:rsidRPr="00D662C3" w:rsidR="000757D6">
        <w:rPr>
          <w:szCs w:val="26"/>
        </w:rPr>
        <w:t xml:space="preserve"> </w:t>
      </w:r>
      <w:r w:rsidRPr="00D662C3" w:rsidR="004D2F1A">
        <w:rPr>
          <w:szCs w:val="26"/>
        </w:rPr>
        <w:t xml:space="preserve">current </w:t>
      </w:r>
      <w:r w:rsidRPr="00D662C3" w:rsidR="00212EFF">
        <w:rPr>
          <w:szCs w:val="26"/>
        </w:rPr>
        <w:t>c</w:t>
      </w:r>
      <w:r w:rsidRPr="00D662C3" w:rsidR="006824B3">
        <w:rPr>
          <w:szCs w:val="26"/>
        </w:rPr>
        <w:t xml:space="preserve">onfrontation </w:t>
      </w:r>
      <w:r w:rsidRPr="00D662C3" w:rsidR="00212EFF">
        <w:rPr>
          <w:szCs w:val="26"/>
        </w:rPr>
        <w:t>c</w:t>
      </w:r>
      <w:r w:rsidRPr="00D662C3" w:rsidR="006824B3">
        <w:rPr>
          <w:szCs w:val="26"/>
        </w:rPr>
        <w:t xml:space="preserve">lause jurisprudence, we conclude that </w:t>
      </w:r>
      <w:r w:rsidRPr="00D662C3" w:rsidR="00FD7943">
        <w:rPr>
          <w:szCs w:val="26"/>
        </w:rPr>
        <w:t xml:space="preserve">any </w:t>
      </w:r>
      <w:r w:rsidRPr="00D662C3" w:rsidR="007C0E57">
        <w:rPr>
          <w:szCs w:val="26"/>
        </w:rPr>
        <w:t xml:space="preserve">Sixth Amendment </w:t>
      </w:r>
      <w:r w:rsidRPr="00D662C3" w:rsidR="00FD7943">
        <w:rPr>
          <w:szCs w:val="26"/>
        </w:rPr>
        <w:t xml:space="preserve">violation that </w:t>
      </w:r>
      <w:r w:rsidRPr="00D662C3" w:rsidR="007C0E57">
        <w:rPr>
          <w:szCs w:val="26"/>
        </w:rPr>
        <w:t xml:space="preserve">may have </w:t>
      </w:r>
      <w:r w:rsidRPr="00D662C3" w:rsidR="00FD7943">
        <w:rPr>
          <w:szCs w:val="26"/>
        </w:rPr>
        <w:t xml:space="preserve">occurred in this case was </w:t>
      </w:r>
      <w:r w:rsidRPr="00D662C3">
        <w:rPr>
          <w:szCs w:val="26"/>
        </w:rPr>
        <w:t xml:space="preserve">harmless beyond a reasonable doubt. </w:t>
      </w:r>
      <w:r w:rsidRPr="00D662C3" w:rsidR="00C3414F">
        <w:rPr>
          <w:szCs w:val="26"/>
        </w:rPr>
        <w:t xml:space="preserve"> </w:t>
      </w:r>
      <w:r w:rsidRPr="00D662C3" w:rsidR="00FD7943">
        <w:rPr>
          <w:szCs w:val="26"/>
        </w:rPr>
        <w:t xml:space="preserve">(See </w:t>
      </w:r>
      <w:r w:rsidRPr="00D662C3" w:rsidR="00FD7943">
        <w:rPr>
          <w:i/>
          <w:iCs/>
          <w:szCs w:val="26"/>
        </w:rPr>
        <w:t>People v. Bryant, Smith, and Wheeler</w:t>
      </w:r>
      <w:r w:rsidRPr="00D662C3" w:rsidR="00FD7943">
        <w:rPr>
          <w:szCs w:val="26"/>
        </w:rPr>
        <w:t xml:space="preserve"> (2014) 60 Cal.4th 335, 395 </w:t>
      </w:r>
      <w:r w:rsidRPr="00D662C3" w:rsidR="00741821">
        <w:rPr>
          <w:szCs w:val="26"/>
        </w:rPr>
        <w:t>(</w:t>
      </w:r>
      <w:r w:rsidRPr="00D662C3" w:rsidR="00741821">
        <w:rPr>
          <w:i/>
          <w:iCs/>
          <w:szCs w:val="26"/>
        </w:rPr>
        <w:t>Bryant</w:t>
      </w:r>
      <w:r w:rsidRPr="00D662C3" w:rsidR="00741821">
        <w:rPr>
          <w:szCs w:val="26"/>
        </w:rPr>
        <w:t xml:space="preserve">) </w:t>
      </w:r>
      <w:r w:rsidRPr="00D662C3" w:rsidR="00FD7943">
        <w:rPr>
          <w:szCs w:val="26"/>
        </w:rPr>
        <w:t>[</w:t>
      </w:r>
      <w:r w:rsidRPr="00D662C3" w:rsidR="007C0E57">
        <w:rPr>
          <w:szCs w:val="26"/>
        </w:rPr>
        <w:t xml:space="preserve">confrontation clause </w:t>
      </w:r>
      <w:r w:rsidRPr="00D662C3" w:rsidR="00C3414F">
        <w:rPr>
          <w:szCs w:val="26"/>
        </w:rPr>
        <w:t xml:space="preserve">violations </w:t>
      </w:r>
      <w:r w:rsidRPr="00D662C3" w:rsidR="00FD7943">
        <w:rPr>
          <w:szCs w:val="26"/>
        </w:rPr>
        <w:t xml:space="preserve">are subject to federal harmless error </w:t>
      </w:r>
      <w:r w:rsidRPr="00D662C3" w:rsidR="00C3414F">
        <w:rPr>
          <w:szCs w:val="26"/>
        </w:rPr>
        <w:t xml:space="preserve">standard enunciated in </w:t>
      </w:r>
      <w:r w:rsidRPr="00D662C3" w:rsidR="00FD7943">
        <w:rPr>
          <w:i/>
          <w:iCs/>
          <w:szCs w:val="26"/>
        </w:rPr>
        <w:t>Chapman v. California</w:t>
      </w:r>
      <w:r w:rsidRPr="00D662C3" w:rsidR="00FD7943">
        <w:rPr>
          <w:szCs w:val="26"/>
        </w:rPr>
        <w:t xml:space="preserve"> (1967) 386 U.S. 18]</w:t>
      </w:r>
      <w:r w:rsidRPr="00D662C3" w:rsidR="00520B54">
        <w:rPr>
          <w:szCs w:val="26"/>
        </w:rPr>
        <w:t>.)</w:t>
      </w:r>
    </w:p>
    <w:p w:rsidR="00FD7943" w:rsidRPr="00D662C3" w:rsidP="004F5DF7">
      <w:pPr>
        <w:pStyle w:val="ListParagraph"/>
        <w:numPr>
          <w:ilvl w:val="1"/>
          <w:numId w:val="3"/>
        </w:numPr>
        <w:rPr>
          <w:i/>
          <w:iCs/>
          <w:szCs w:val="26"/>
        </w:rPr>
      </w:pPr>
      <w:r w:rsidRPr="00D662C3">
        <w:rPr>
          <w:i/>
          <w:iCs/>
          <w:szCs w:val="26"/>
        </w:rPr>
        <w:t>Background</w:t>
      </w:r>
    </w:p>
    <w:p w:rsidR="005D02F2" w:rsidRPr="00D662C3" w:rsidP="004F5DF7">
      <w:pPr>
        <w:ind w:firstLine="720"/>
        <w:rPr>
          <w:szCs w:val="26"/>
        </w:rPr>
      </w:pPr>
      <w:r w:rsidRPr="00D662C3">
        <w:rPr>
          <w:szCs w:val="26"/>
        </w:rPr>
        <w:t xml:space="preserve">Juli Watkins, a criminalist for the Los Angeles County Sheriff’s </w:t>
      </w:r>
      <w:r w:rsidRPr="00D662C3" w:rsidR="0010334D">
        <w:rPr>
          <w:szCs w:val="26"/>
        </w:rPr>
        <w:t>Department</w:t>
      </w:r>
      <w:r w:rsidRPr="00D662C3" w:rsidR="002953A1">
        <w:rPr>
          <w:szCs w:val="26"/>
        </w:rPr>
        <w:t xml:space="preserve">, </w:t>
      </w:r>
      <w:r w:rsidRPr="00D662C3" w:rsidR="006824B3">
        <w:rPr>
          <w:szCs w:val="26"/>
        </w:rPr>
        <w:t>obtained</w:t>
      </w:r>
      <w:r w:rsidRPr="00D662C3" w:rsidR="002953A1">
        <w:rPr>
          <w:szCs w:val="26"/>
        </w:rPr>
        <w:t xml:space="preserve"> </w:t>
      </w:r>
      <w:r w:rsidRPr="00D662C3" w:rsidR="006824B3">
        <w:rPr>
          <w:szCs w:val="26"/>
        </w:rPr>
        <w:t xml:space="preserve">genetic </w:t>
      </w:r>
      <w:r w:rsidRPr="00D662C3" w:rsidR="002953A1">
        <w:rPr>
          <w:szCs w:val="26"/>
        </w:rPr>
        <w:t xml:space="preserve">samples from the bicycle that </w:t>
      </w:r>
      <w:r w:rsidRPr="00D662C3" w:rsidR="00C3414F">
        <w:rPr>
          <w:szCs w:val="26"/>
        </w:rPr>
        <w:t>was</w:t>
      </w:r>
      <w:r w:rsidRPr="00D662C3" w:rsidR="002953A1">
        <w:rPr>
          <w:szCs w:val="26"/>
        </w:rPr>
        <w:t xml:space="preserve"> </w:t>
      </w:r>
      <w:r w:rsidRPr="00D662C3" w:rsidR="007C0E57">
        <w:rPr>
          <w:szCs w:val="26"/>
        </w:rPr>
        <w:t>left</w:t>
      </w:r>
      <w:r w:rsidRPr="00D662C3" w:rsidR="002953A1">
        <w:rPr>
          <w:szCs w:val="26"/>
        </w:rPr>
        <w:t xml:space="preserve"> near the scene of the shooting</w:t>
      </w:r>
      <w:r w:rsidRPr="00D662C3">
        <w:rPr>
          <w:szCs w:val="26"/>
        </w:rPr>
        <w:t xml:space="preserve">.  </w:t>
      </w:r>
      <w:r w:rsidRPr="00D662C3" w:rsidR="002953A1">
        <w:rPr>
          <w:szCs w:val="26"/>
        </w:rPr>
        <w:t xml:space="preserve">She also received a reference sample </w:t>
      </w:r>
      <w:r w:rsidRPr="00D662C3" w:rsidR="006824B3">
        <w:rPr>
          <w:szCs w:val="26"/>
        </w:rPr>
        <w:t>from</w:t>
      </w:r>
      <w:r w:rsidRPr="00D662C3" w:rsidR="002953A1">
        <w:rPr>
          <w:szCs w:val="26"/>
        </w:rPr>
        <w:t xml:space="preserve"> Rosa.  </w:t>
      </w:r>
      <w:r w:rsidRPr="00D662C3">
        <w:rPr>
          <w:szCs w:val="26"/>
        </w:rPr>
        <w:t>Watkins was able to generate a DNA profile of Rosa,</w:t>
      </w:r>
      <w:r w:rsidRPr="00D662C3" w:rsidR="007C0E57">
        <w:rPr>
          <w:szCs w:val="26"/>
        </w:rPr>
        <w:t xml:space="preserve"> but</w:t>
      </w:r>
      <w:r w:rsidRPr="00D662C3">
        <w:rPr>
          <w:szCs w:val="26"/>
        </w:rPr>
        <w:t xml:space="preserve"> t</w:t>
      </w:r>
      <w:r w:rsidRPr="00D662C3" w:rsidR="002953A1">
        <w:rPr>
          <w:szCs w:val="26"/>
        </w:rPr>
        <w:t>he samples</w:t>
      </w:r>
      <w:r w:rsidRPr="00D662C3">
        <w:rPr>
          <w:szCs w:val="26"/>
        </w:rPr>
        <w:t xml:space="preserve"> from the bicycle </w:t>
      </w:r>
      <w:r w:rsidRPr="00D662C3" w:rsidR="002953A1">
        <w:rPr>
          <w:szCs w:val="26"/>
        </w:rPr>
        <w:t>were</w:t>
      </w:r>
      <w:r w:rsidRPr="00D662C3">
        <w:rPr>
          <w:szCs w:val="26"/>
        </w:rPr>
        <w:t xml:space="preserve"> contaminated and </w:t>
      </w:r>
      <w:r w:rsidRPr="00D662C3" w:rsidR="002953A1">
        <w:rPr>
          <w:szCs w:val="26"/>
        </w:rPr>
        <w:t xml:space="preserve">unusable. </w:t>
      </w:r>
      <w:r w:rsidRPr="00D662C3" w:rsidR="00161F9B">
        <w:rPr>
          <w:szCs w:val="26"/>
        </w:rPr>
        <w:t xml:space="preserve"> </w:t>
      </w:r>
      <w:r w:rsidRPr="00D662C3" w:rsidR="002953A1">
        <w:rPr>
          <w:szCs w:val="26"/>
        </w:rPr>
        <w:t>Watkins’s colleague, Kari Yoshida</w:t>
      </w:r>
      <w:r w:rsidRPr="00D662C3" w:rsidR="00212EFF">
        <w:rPr>
          <w:szCs w:val="26"/>
        </w:rPr>
        <w:t>,</w:t>
      </w:r>
      <w:r w:rsidRPr="00D662C3" w:rsidR="002953A1">
        <w:rPr>
          <w:szCs w:val="26"/>
        </w:rPr>
        <w:t xml:space="preserve"> collected new samples from the bicycle and was able to generate a DNA profile </w:t>
      </w:r>
      <w:r w:rsidRPr="00D662C3" w:rsidR="007C0E57">
        <w:rPr>
          <w:szCs w:val="26"/>
        </w:rPr>
        <w:t xml:space="preserve">of </w:t>
      </w:r>
      <w:r w:rsidRPr="00D662C3" w:rsidR="006824B3">
        <w:rPr>
          <w:szCs w:val="26"/>
        </w:rPr>
        <w:t>a</w:t>
      </w:r>
      <w:r w:rsidRPr="00D662C3" w:rsidR="002953A1">
        <w:rPr>
          <w:szCs w:val="26"/>
        </w:rPr>
        <w:t xml:space="preserve"> contributor to one of those samp</w:t>
      </w:r>
      <w:r w:rsidRPr="00D662C3">
        <w:rPr>
          <w:szCs w:val="26"/>
        </w:rPr>
        <w:t>l</w:t>
      </w:r>
      <w:r w:rsidRPr="00D662C3" w:rsidR="002953A1">
        <w:rPr>
          <w:szCs w:val="26"/>
        </w:rPr>
        <w:t xml:space="preserve">es.  </w:t>
      </w:r>
      <w:r w:rsidRPr="00D662C3">
        <w:rPr>
          <w:szCs w:val="26"/>
        </w:rPr>
        <w:t xml:space="preserve">In July 2006, </w:t>
      </w:r>
      <w:r w:rsidRPr="00D662C3" w:rsidR="002953A1">
        <w:rPr>
          <w:szCs w:val="26"/>
        </w:rPr>
        <w:t xml:space="preserve">Watkins and Yoshida </w:t>
      </w:r>
      <w:r w:rsidRPr="00D662C3" w:rsidR="006824B3">
        <w:rPr>
          <w:szCs w:val="26"/>
        </w:rPr>
        <w:t xml:space="preserve">co-authored </w:t>
      </w:r>
      <w:r w:rsidRPr="00D662C3" w:rsidR="002953A1">
        <w:rPr>
          <w:szCs w:val="26"/>
        </w:rPr>
        <w:t>and signed a report describing the analyses</w:t>
      </w:r>
      <w:r w:rsidRPr="00D662C3">
        <w:rPr>
          <w:szCs w:val="26"/>
        </w:rPr>
        <w:t xml:space="preserve"> they had</w:t>
      </w:r>
      <w:r w:rsidRPr="00D662C3" w:rsidR="002953A1">
        <w:rPr>
          <w:szCs w:val="26"/>
        </w:rPr>
        <w:t xml:space="preserve"> each </w:t>
      </w:r>
      <w:r w:rsidRPr="00D662C3" w:rsidR="006824B3">
        <w:rPr>
          <w:szCs w:val="26"/>
        </w:rPr>
        <w:t>performed</w:t>
      </w:r>
      <w:r w:rsidRPr="00D662C3">
        <w:rPr>
          <w:szCs w:val="26"/>
        </w:rPr>
        <w:t xml:space="preserve"> </w:t>
      </w:r>
      <w:r w:rsidRPr="00D662C3" w:rsidR="007C0E57">
        <w:rPr>
          <w:szCs w:val="26"/>
        </w:rPr>
        <w:t>to date.</w:t>
      </w:r>
      <w:r w:rsidRPr="00D662C3" w:rsidR="002953A1">
        <w:rPr>
          <w:szCs w:val="26"/>
        </w:rPr>
        <w:t xml:space="preserve"> </w:t>
      </w:r>
    </w:p>
    <w:p w:rsidR="005D02F2" w:rsidRPr="00D662C3" w:rsidP="004F5DF7">
      <w:pPr>
        <w:ind w:firstLine="720"/>
        <w:rPr>
          <w:szCs w:val="26"/>
        </w:rPr>
      </w:pPr>
      <w:r w:rsidRPr="00D662C3">
        <w:rPr>
          <w:szCs w:val="26"/>
        </w:rPr>
        <w:t>After receiving notification that G</w:t>
      </w:r>
      <w:r w:rsidRPr="00D662C3">
        <w:rPr>
          <w:szCs w:val="26"/>
        </w:rPr>
        <w:t>onzalez</w:t>
      </w:r>
      <w:r w:rsidRPr="00D662C3">
        <w:rPr>
          <w:szCs w:val="26"/>
        </w:rPr>
        <w:t xml:space="preserve"> </w:t>
      </w:r>
      <w:r w:rsidRPr="00D662C3" w:rsidR="007C0E57">
        <w:rPr>
          <w:szCs w:val="26"/>
        </w:rPr>
        <w:t xml:space="preserve">was a possible </w:t>
      </w:r>
      <w:r w:rsidRPr="00D662C3">
        <w:rPr>
          <w:szCs w:val="26"/>
        </w:rPr>
        <w:t xml:space="preserve">match to the </w:t>
      </w:r>
      <w:r w:rsidRPr="00D662C3" w:rsidR="006D7605">
        <w:rPr>
          <w:szCs w:val="26"/>
        </w:rPr>
        <w:t xml:space="preserve">DNA </w:t>
      </w:r>
      <w:r w:rsidRPr="00D662C3">
        <w:rPr>
          <w:szCs w:val="26"/>
        </w:rPr>
        <w:t>from the bicycle</w:t>
      </w:r>
      <w:r w:rsidRPr="00D662C3" w:rsidR="007C0E57">
        <w:rPr>
          <w:szCs w:val="26"/>
        </w:rPr>
        <w:t xml:space="preserve"> sample</w:t>
      </w:r>
      <w:r w:rsidRPr="00D662C3">
        <w:rPr>
          <w:szCs w:val="26"/>
        </w:rPr>
        <w:t xml:space="preserve">, </w:t>
      </w:r>
      <w:r w:rsidRPr="00D662C3" w:rsidR="006D7605">
        <w:rPr>
          <w:szCs w:val="26"/>
        </w:rPr>
        <w:t>Watkins obtained a reference sample f</w:t>
      </w:r>
      <w:r w:rsidRPr="00D662C3" w:rsidR="007C0E57">
        <w:rPr>
          <w:szCs w:val="26"/>
        </w:rPr>
        <w:t xml:space="preserve">rom </w:t>
      </w:r>
      <w:r w:rsidRPr="00D662C3" w:rsidR="00BB5A34">
        <w:rPr>
          <w:szCs w:val="26"/>
        </w:rPr>
        <w:t xml:space="preserve">him </w:t>
      </w:r>
      <w:r w:rsidRPr="00D662C3" w:rsidR="006D7605">
        <w:rPr>
          <w:szCs w:val="26"/>
        </w:rPr>
        <w:t>and generated a DNA profile</w:t>
      </w:r>
      <w:r w:rsidRPr="00D662C3">
        <w:rPr>
          <w:szCs w:val="26"/>
        </w:rPr>
        <w:t>.  She then compared that profile to the profile Yoshida had generated from the</w:t>
      </w:r>
      <w:r w:rsidRPr="00D662C3" w:rsidR="007C0E57">
        <w:rPr>
          <w:szCs w:val="26"/>
        </w:rPr>
        <w:t xml:space="preserve"> bicycle</w:t>
      </w:r>
      <w:r w:rsidRPr="00D662C3">
        <w:rPr>
          <w:szCs w:val="26"/>
        </w:rPr>
        <w:t xml:space="preserve"> sample </w:t>
      </w:r>
      <w:r w:rsidRPr="00D662C3" w:rsidR="00306151">
        <w:rPr>
          <w:szCs w:val="26"/>
        </w:rPr>
        <w:t>and concluded Gonzalez was a possible contributor</w:t>
      </w:r>
      <w:r w:rsidRPr="00D662C3">
        <w:rPr>
          <w:szCs w:val="26"/>
        </w:rPr>
        <w:t xml:space="preserve">.  Watkins prepared a supplement report </w:t>
      </w:r>
      <w:r w:rsidRPr="00D662C3" w:rsidR="00306151">
        <w:rPr>
          <w:szCs w:val="26"/>
        </w:rPr>
        <w:t>that estimated the chances a randomly selected person would be a</w:t>
      </w:r>
      <w:r w:rsidRPr="00D662C3" w:rsidR="006D7605">
        <w:rPr>
          <w:szCs w:val="26"/>
        </w:rPr>
        <w:t xml:space="preserve"> possible contributor to the profile</w:t>
      </w:r>
      <w:r w:rsidRPr="00D662C3" w:rsidR="00BB5A34">
        <w:rPr>
          <w:szCs w:val="26"/>
        </w:rPr>
        <w:t xml:space="preserve"> generated</w:t>
      </w:r>
      <w:r w:rsidRPr="00D662C3" w:rsidR="006D7605">
        <w:rPr>
          <w:szCs w:val="26"/>
        </w:rPr>
        <w:t xml:space="preserve"> from the bicycle were</w:t>
      </w:r>
      <w:r w:rsidRPr="00D662C3" w:rsidR="00306151">
        <w:rPr>
          <w:szCs w:val="26"/>
        </w:rPr>
        <w:t xml:space="preserve"> </w:t>
      </w:r>
      <w:r w:rsidRPr="00D662C3">
        <w:rPr>
          <w:szCs w:val="26"/>
        </w:rPr>
        <w:t>one out of three billion Caucasian</w:t>
      </w:r>
      <w:r w:rsidRPr="00D662C3" w:rsidR="006D7605">
        <w:rPr>
          <w:szCs w:val="26"/>
        </w:rPr>
        <w:t>s</w:t>
      </w:r>
      <w:r w:rsidRPr="00D662C3">
        <w:rPr>
          <w:szCs w:val="26"/>
        </w:rPr>
        <w:t xml:space="preserve">, one out of </w:t>
      </w:r>
      <w:r w:rsidRPr="00D662C3" w:rsidR="001B3680">
        <w:rPr>
          <w:szCs w:val="26"/>
        </w:rPr>
        <w:t>14</w:t>
      </w:r>
      <w:r w:rsidR="0021288F">
        <w:rPr>
          <w:szCs w:val="26"/>
        </w:rPr>
        <w:t xml:space="preserve"> </w:t>
      </w:r>
      <w:r w:rsidRPr="00D662C3">
        <w:rPr>
          <w:szCs w:val="26"/>
        </w:rPr>
        <w:t xml:space="preserve">billion </w:t>
      </w:r>
      <w:r w:rsidRPr="00D662C3" w:rsidR="00BB5A34">
        <w:rPr>
          <w:szCs w:val="26"/>
        </w:rPr>
        <w:t xml:space="preserve">African-Americans </w:t>
      </w:r>
      <w:r w:rsidRPr="00D662C3">
        <w:rPr>
          <w:szCs w:val="26"/>
        </w:rPr>
        <w:t>and one out of one billion Hispanic</w:t>
      </w:r>
      <w:r w:rsidRPr="00D662C3" w:rsidR="00BB5A34">
        <w:rPr>
          <w:szCs w:val="26"/>
        </w:rPr>
        <w:t>s</w:t>
      </w:r>
      <w:r w:rsidRPr="00D662C3">
        <w:rPr>
          <w:szCs w:val="26"/>
        </w:rPr>
        <w:t xml:space="preserve">.  </w:t>
      </w:r>
      <w:r w:rsidR="0021288F">
        <w:rPr>
          <w:szCs w:val="26"/>
        </w:rPr>
        <w:t>A copy of the</w:t>
      </w:r>
      <w:r w:rsidRPr="00D662C3" w:rsidR="0021288F">
        <w:rPr>
          <w:szCs w:val="26"/>
        </w:rPr>
        <w:t xml:space="preserve"> </w:t>
      </w:r>
      <w:r w:rsidR="0021288F">
        <w:rPr>
          <w:szCs w:val="26"/>
        </w:rPr>
        <w:t xml:space="preserve">supplemental </w:t>
      </w:r>
      <w:r w:rsidRPr="00D662C3">
        <w:rPr>
          <w:szCs w:val="26"/>
        </w:rPr>
        <w:t xml:space="preserve">report </w:t>
      </w:r>
      <w:r w:rsidR="0021288F">
        <w:rPr>
          <w:szCs w:val="26"/>
        </w:rPr>
        <w:t>was</w:t>
      </w:r>
      <w:r w:rsidRPr="00D662C3">
        <w:rPr>
          <w:szCs w:val="26"/>
        </w:rPr>
        <w:t xml:space="preserve"> introduced at trial.    </w:t>
      </w:r>
    </w:p>
    <w:p w:rsidR="00FD7943" w:rsidRPr="00D662C3" w:rsidP="004F5DF7">
      <w:pPr>
        <w:ind w:firstLine="720"/>
        <w:rPr>
          <w:szCs w:val="26"/>
        </w:rPr>
      </w:pPr>
      <w:r w:rsidRPr="00D662C3">
        <w:rPr>
          <w:szCs w:val="26"/>
        </w:rPr>
        <w:t>Watkins testified</w:t>
      </w:r>
      <w:r w:rsidRPr="00D662C3" w:rsidR="00306151">
        <w:rPr>
          <w:szCs w:val="26"/>
        </w:rPr>
        <w:t xml:space="preserve"> </w:t>
      </w:r>
      <w:r w:rsidRPr="00D662C3" w:rsidR="00BE1727">
        <w:rPr>
          <w:szCs w:val="26"/>
        </w:rPr>
        <w:t xml:space="preserve">at the trial, </w:t>
      </w:r>
      <w:r w:rsidRPr="00D662C3" w:rsidR="00306151">
        <w:rPr>
          <w:szCs w:val="26"/>
        </w:rPr>
        <w:t xml:space="preserve">but Yoshida did not.  </w:t>
      </w:r>
      <w:r w:rsidRPr="00D662C3">
        <w:rPr>
          <w:szCs w:val="26"/>
        </w:rPr>
        <w:t xml:space="preserve">Watkins </w:t>
      </w:r>
      <w:r w:rsidRPr="00D662C3" w:rsidR="00306151">
        <w:rPr>
          <w:szCs w:val="26"/>
        </w:rPr>
        <w:t xml:space="preserve">explained </w:t>
      </w:r>
      <w:r w:rsidRPr="00D662C3">
        <w:rPr>
          <w:szCs w:val="26"/>
        </w:rPr>
        <w:t>th</w:t>
      </w:r>
      <w:r w:rsidRPr="00D662C3" w:rsidR="00306151">
        <w:rPr>
          <w:szCs w:val="26"/>
        </w:rPr>
        <w:t xml:space="preserve">e roles she and Yoshida had </w:t>
      </w:r>
      <w:r w:rsidRPr="00D662C3" w:rsidR="00BB5A34">
        <w:rPr>
          <w:szCs w:val="26"/>
        </w:rPr>
        <w:t xml:space="preserve">each </w:t>
      </w:r>
      <w:r w:rsidRPr="00D662C3" w:rsidR="00306151">
        <w:rPr>
          <w:szCs w:val="26"/>
        </w:rPr>
        <w:t>played in producing the relevant DNA evidence.  Watkins also testified as to</w:t>
      </w:r>
      <w:r w:rsidRPr="00D662C3">
        <w:rPr>
          <w:szCs w:val="26"/>
        </w:rPr>
        <w:t xml:space="preserve"> her determination that Gonzalez was a possible contributor to the bicycle sample.  </w:t>
      </w:r>
      <w:r w:rsidRPr="00D662C3" w:rsidR="00306151">
        <w:rPr>
          <w:szCs w:val="26"/>
        </w:rPr>
        <w:t>When asked</w:t>
      </w:r>
      <w:r w:rsidRPr="00D662C3" w:rsidR="00BB5A34">
        <w:rPr>
          <w:szCs w:val="26"/>
        </w:rPr>
        <w:t>,</w:t>
      </w:r>
      <w:r w:rsidRPr="00D662C3" w:rsidR="00306151">
        <w:rPr>
          <w:szCs w:val="26"/>
        </w:rPr>
        <w:t xml:space="preserve"> </w:t>
      </w:r>
      <w:r w:rsidRPr="00D662C3">
        <w:rPr>
          <w:szCs w:val="26"/>
        </w:rPr>
        <w:t>“How common would it be for a person to have been included as a possible contributor</w:t>
      </w:r>
      <w:r w:rsidRPr="00D662C3" w:rsidR="00161F9B">
        <w:rPr>
          <w:szCs w:val="26"/>
        </w:rPr>
        <w:t>,</w:t>
      </w:r>
      <w:r w:rsidRPr="00D662C3">
        <w:rPr>
          <w:szCs w:val="26"/>
        </w:rPr>
        <w:t xml:space="preserve">” Watkins answered, “A conservative statistic </w:t>
      </w:r>
      <w:r w:rsidRPr="00D662C3" w:rsidR="00BB5A34">
        <w:rPr>
          <w:szCs w:val="26"/>
        </w:rPr>
        <w:t xml:space="preserve">. . . </w:t>
      </w:r>
      <w:r w:rsidRPr="00D662C3">
        <w:rPr>
          <w:szCs w:val="26"/>
        </w:rPr>
        <w:t xml:space="preserve">was estimated to be one out of one billion.”  </w:t>
      </w:r>
      <w:r w:rsidRPr="00D662C3">
        <w:rPr>
          <w:szCs w:val="26"/>
        </w:rPr>
        <w:t xml:space="preserve"> </w:t>
      </w:r>
    </w:p>
    <w:p w:rsidR="00DD2752" w:rsidRPr="00D662C3" w:rsidP="004F5DF7">
      <w:pPr>
        <w:pStyle w:val="ListParagraph"/>
        <w:numPr>
          <w:ilvl w:val="1"/>
          <w:numId w:val="3"/>
        </w:numPr>
        <w:rPr>
          <w:i/>
          <w:iCs/>
          <w:szCs w:val="26"/>
        </w:rPr>
      </w:pPr>
      <w:r w:rsidRPr="00D662C3">
        <w:rPr>
          <w:i/>
          <w:iCs/>
          <w:szCs w:val="26"/>
        </w:rPr>
        <w:t>Any confrontation clause violation was harmless</w:t>
      </w:r>
      <w:r w:rsidRPr="00D662C3">
        <w:rPr>
          <w:i/>
          <w:iCs/>
          <w:szCs w:val="26"/>
        </w:rPr>
        <w:t xml:space="preserve">         </w:t>
      </w:r>
    </w:p>
    <w:p w:rsidR="00034A0A" w:rsidRPr="00D662C3" w:rsidP="004F5DF7">
      <w:pPr>
        <w:ind w:firstLine="720"/>
        <w:rPr>
          <w:szCs w:val="26"/>
        </w:rPr>
      </w:pPr>
      <w:r w:rsidRPr="00D662C3">
        <w:rPr>
          <w:szCs w:val="26"/>
        </w:rPr>
        <w:t>Gonzalez argue</w:t>
      </w:r>
      <w:r w:rsidRPr="00D662C3" w:rsidR="007C3A06">
        <w:rPr>
          <w:szCs w:val="26"/>
        </w:rPr>
        <w:t>s</w:t>
      </w:r>
      <w:r w:rsidRPr="00D662C3">
        <w:rPr>
          <w:szCs w:val="26"/>
        </w:rPr>
        <w:t xml:space="preserve"> the trial court committed two evidentiary errors that violated his rights under the </w:t>
      </w:r>
      <w:r w:rsidRPr="00D662C3" w:rsidR="0010334D">
        <w:rPr>
          <w:szCs w:val="26"/>
        </w:rPr>
        <w:t>c</w:t>
      </w:r>
      <w:r w:rsidRPr="00D662C3">
        <w:rPr>
          <w:szCs w:val="26"/>
        </w:rPr>
        <w:t xml:space="preserve">onfrontation </w:t>
      </w:r>
      <w:r w:rsidRPr="00D662C3" w:rsidR="0010334D">
        <w:rPr>
          <w:szCs w:val="26"/>
        </w:rPr>
        <w:t>c</w:t>
      </w:r>
      <w:r w:rsidRPr="00D662C3">
        <w:rPr>
          <w:szCs w:val="26"/>
        </w:rPr>
        <w:t>lause.  First, it allowed Watkins to testify about the DNA analysis that her colleague, Yoshida, had conducted on the bicycle, which</w:t>
      </w:r>
      <w:r w:rsidRPr="00D662C3" w:rsidR="007C3A06">
        <w:rPr>
          <w:szCs w:val="26"/>
        </w:rPr>
        <w:t xml:space="preserve"> resulted in the profile that Watkins ultimately determined to be a possible match with Gonzalez’s profile</w:t>
      </w:r>
      <w:r w:rsidRPr="00D662C3">
        <w:rPr>
          <w:szCs w:val="26"/>
        </w:rPr>
        <w:t>.  Second, the court admitted into evidence a report that included Yoshida’s analysis.</w:t>
      </w:r>
      <w:r w:rsidRPr="00D662C3" w:rsidR="00BB5A34">
        <w:rPr>
          <w:szCs w:val="26"/>
        </w:rPr>
        <w:t xml:space="preserve"> </w:t>
      </w:r>
    </w:p>
    <w:p w:rsidR="005D5881" w:rsidRPr="00D662C3" w:rsidP="004F5DF7">
      <w:pPr>
        <w:ind w:firstLine="720"/>
        <w:rPr>
          <w:szCs w:val="26"/>
        </w:rPr>
      </w:pPr>
      <w:r w:rsidRPr="00D662C3">
        <w:rPr>
          <w:szCs w:val="26"/>
        </w:rPr>
        <w:t>“The Sixth Amendment</w:t>
      </w:r>
      <w:r w:rsidRPr="00D662C3" w:rsidR="00BB5A34">
        <w:rPr>
          <w:szCs w:val="26"/>
        </w:rPr>
        <w:t>’</w:t>
      </w:r>
      <w:r w:rsidRPr="00D662C3">
        <w:rPr>
          <w:szCs w:val="26"/>
        </w:rPr>
        <w:t>s Confrontation Clause provides that, ‘[i]n all criminal prosecutions, the accused shall enjoy the right</w:t>
      </w:r>
      <w:r w:rsidRPr="00D662C3" w:rsidR="00212EFF">
        <w:rPr>
          <w:szCs w:val="26"/>
        </w:rPr>
        <w:t> . . . </w:t>
      </w:r>
      <w:r w:rsidRPr="00D662C3">
        <w:rPr>
          <w:szCs w:val="26"/>
        </w:rPr>
        <w:t>to be confronted with the witnesses against him.’</w:t>
      </w:r>
      <w:r w:rsidRPr="00D662C3" w:rsidR="003823D8">
        <w:rPr>
          <w:szCs w:val="26"/>
        </w:rPr>
        <w:t> </w:t>
      </w:r>
      <w:r w:rsidRPr="00D662C3">
        <w:rPr>
          <w:szCs w:val="26"/>
        </w:rPr>
        <w:t xml:space="preserve">” </w:t>
      </w:r>
      <w:r w:rsidRPr="00D662C3" w:rsidR="00DC7FF6">
        <w:rPr>
          <w:szCs w:val="26"/>
        </w:rPr>
        <w:t xml:space="preserve"> </w:t>
      </w:r>
      <w:bookmarkStart w:id="29" w:name="_Hlk86231589"/>
      <w:r w:rsidRPr="00D662C3">
        <w:rPr>
          <w:szCs w:val="26"/>
        </w:rPr>
        <w:t>(</w:t>
      </w:r>
      <w:r w:rsidRPr="00D662C3">
        <w:rPr>
          <w:i/>
          <w:iCs/>
          <w:szCs w:val="26"/>
        </w:rPr>
        <w:t>Crawford</w:t>
      </w:r>
      <w:r w:rsidRPr="00D662C3" w:rsidR="001B3680">
        <w:rPr>
          <w:i/>
          <w:iCs/>
          <w:szCs w:val="26"/>
        </w:rPr>
        <w:t xml:space="preserve"> v. Washington </w:t>
      </w:r>
      <w:r w:rsidRPr="00D662C3" w:rsidR="001B3680">
        <w:rPr>
          <w:szCs w:val="26"/>
        </w:rPr>
        <w:t>(2004)</w:t>
      </w:r>
      <w:r w:rsidRPr="00D662C3" w:rsidR="006D7605">
        <w:rPr>
          <w:i/>
          <w:iCs/>
          <w:szCs w:val="26"/>
        </w:rPr>
        <w:t xml:space="preserve"> </w:t>
      </w:r>
      <w:r w:rsidRPr="00D662C3">
        <w:rPr>
          <w:szCs w:val="26"/>
        </w:rPr>
        <w:t xml:space="preserve">541 U.S. </w:t>
      </w:r>
      <w:r w:rsidRPr="00D662C3" w:rsidR="001B3680">
        <w:rPr>
          <w:szCs w:val="26"/>
        </w:rPr>
        <w:t>36,</w:t>
      </w:r>
      <w:r w:rsidRPr="00D662C3" w:rsidR="006D7605">
        <w:rPr>
          <w:szCs w:val="26"/>
        </w:rPr>
        <w:t xml:space="preserve"> </w:t>
      </w:r>
      <w:r w:rsidRPr="00D662C3">
        <w:rPr>
          <w:szCs w:val="26"/>
        </w:rPr>
        <w:t xml:space="preserve">42.) </w:t>
      </w:r>
      <w:r w:rsidRPr="00D662C3" w:rsidR="00DC7FF6">
        <w:rPr>
          <w:szCs w:val="26"/>
        </w:rPr>
        <w:t xml:space="preserve"> </w:t>
      </w:r>
      <w:bookmarkEnd w:id="29"/>
      <w:r w:rsidRPr="00D662C3">
        <w:rPr>
          <w:szCs w:val="26"/>
        </w:rPr>
        <w:t>“</w:t>
      </w:r>
      <w:r w:rsidRPr="00D662C3">
        <w:rPr>
          <w:i/>
          <w:iCs/>
          <w:szCs w:val="26"/>
        </w:rPr>
        <w:t>Crawford</w:t>
      </w:r>
      <w:r w:rsidRPr="00D662C3">
        <w:rPr>
          <w:szCs w:val="26"/>
        </w:rPr>
        <w:t xml:space="preserve"> held that the clause bars introduction of ‘testimonial’ hearsay against a defendant unless the witness is unavailable and the defendant had a prior opportunity for cross-examination.</w:t>
      </w:r>
      <w:r w:rsidRPr="00D662C3" w:rsidR="003823D8">
        <w:rPr>
          <w:szCs w:val="26"/>
        </w:rPr>
        <w:t>”</w:t>
      </w:r>
      <w:r w:rsidRPr="00D662C3">
        <w:rPr>
          <w:szCs w:val="26"/>
        </w:rPr>
        <w:t xml:space="preserve">  </w:t>
      </w:r>
      <w:bookmarkStart w:id="30" w:name="_Hlk86231604"/>
      <w:r w:rsidRPr="00D662C3" w:rsidR="00EB2488">
        <w:rPr>
          <w:szCs w:val="26"/>
        </w:rPr>
        <w:t>(</w:t>
      </w:r>
      <w:r w:rsidRPr="00D662C3" w:rsidR="00212EFF">
        <w:rPr>
          <w:i/>
          <w:iCs/>
          <w:szCs w:val="26"/>
        </w:rPr>
        <w:t>People v.</w:t>
      </w:r>
      <w:r w:rsidRPr="00D662C3" w:rsidR="00212EFF">
        <w:rPr>
          <w:szCs w:val="26"/>
        </w:rPr>
        <w:t xml:space="preserve"> </w:t>
      </w:r>
      <w:r w:rsidRPr="00D662C3" w:rsidR="00EB2488">
        <w:rPr>
          <w:i/>
          <w:iCs/>
          <w:szCs w:val="26"/>
        </w:rPr>
        <w:t xml:space="preserve">Amezcua and Flores </w:t>
      </w:r>
      <w:r w:rsidRPr="00D662C3" w:rsidR="00212EFF">
        <w:rPr>
          <w:szCs w:val="26"/>
        </w:rPr>
        <w:t>(2019)</w:t>
      </w:r>
      <w:r w:rsidRPr="00D662C3" w:rsidR="00212EFF">
        <w:t xml:space="preserve"> </w:t>
      </w:r>
      <w:r w:rsidRPr="00D662C3" w:rsidR="00EB2488">
        <w:rPr>
          <w:szCs w:val="26"/>
        </w:rPr>
        <w:t xml:space="preserve">6 Cal.5th </w:t>
      </w:r>
      <w:r w:rsidRPr="00D662C3" w:rsidR="00212EFF">
        <w:rPr>
          <w:szCs w:val="26"/>
        </w:rPr>
        <w:t>886,</w:t>
      </w:r>
      <w:r w:rsidRPr="00D662C3" w:rsidR="00EB2488">
        <w:rPr>
          <w:szCs w:val="26"/>
        </w:rPr>
        <w:t xml:space="preserve"> 911–912</w:t>
      </w:r>
      <w:r w:rsidRPr="00D662C3" w:rsidR="00212EFF">
        <w:rPr>
          <w:szCs w:val="26"/>
        </w:rPr>
        <w:t xml:space="preserve"> (</w:t>
      </w:r>
      <w:r w:rsidRPr="00D662C3" w:rsidR="00212EFF">
        <w:rPr>
          <w:i/>
          <w:iCs/>
          <w:szCs w:val="26"/>
        </w:rPr>
        <w:t>Amezcua</w:t>
      </w:r>
      <w:r w:rsidRPr="00D662C3" w:rsidR="00212EFF">
        <w:rPr>
          <w:szCs w:val="26"/>
        </w:rPr>
        <w:t>).</w:t>
      </w:r>
      <w:r w:rsidRPr="00D662C3" w:rsidR="00EB2488">
        <w:rPr>
          <w:szCs w:val="26"/>
        </w:rPr>
        <w:t>)</w:t>
      </w:r>
      <w:bookmarkEnd w:id="30"/>
      <w:r w:rsidRPr="00D662C3" w:rsidR="00EB2488">
        <w:rPr>
          <w:szCs w:val="26"/>
        </w:rPr>
        <w:t xml:space="preserve">  The question of whether and when statements in technical reports qualify as “testimonial hearsay” </w:t>
      </w:r>
      <w:r w:rsidRPr="00D662C3">
        <w:rPr>
          <w:szCs w:val="26"/>
        </w:rPr>
        <w:t xml:space="preserve">remains an evolving area of the law.  (See </w:t>
      </w:r>
      <w:r w:rsidRPr="00D662C3" w:rsidR="003823D8">
        <w:rPr>
          <w:i/>
          <w:iCs/>
          <w:szCs w:val="26"/>
        </w:rPr>
        <w:t>id</w:t>
      </w:r>
      <w:r w:rsidRPr="00D662C3">
        <w:rPr>
          <w:szCs w:val="26"/>
        </w:rPr>
        <w:t>.</w:t>
      </w:r>
      <w:r w:rsidRPr="00D662C3" w:rsidR="00212EFF">
        <w:rPr>
          <w:szCs w:val="26"/>
        </w:rPr>
        <w:t xml:space="preserve"> at p. 912.</w:t>
      </w:r>
      <w:r w:rsidRPr="00D662C3">
        <w:rPr>
          <w:szCs w:val="26"/>
        </w:rPr>
        <w:t xml:space="preserve">)  </w:t>
      </w:r>
    </w:p>
    <w:p w:rsidR="005D5881" w:rsidRPr="00D662C3" w:rsidP="004F5DF7">
      <w:pPr>
        <w:ind w:firstLine="720"/>
        <w:rPr>
          <w:szCs w:val="26"/>
        </w:rPr>
      </w:pPr>
      <w:r w:rsidRPr="00D662C3">
        <w:rPr>
          <w:szCs w:val="26"/>
        </w:rPr>
        <w:t xml:space="preserve">In 2012, </w:t>
      </w:r>
      <w:r w:rsidRPr="00D662C3">
        <w:rPr>
          <w:szCs w:val="26"/>
        </w:rPr>
        <w:t xml:space="preserve">this court </w:t>
      </w:r>
      <w:r w:rsidRPr="00D662C3">
        <w:rPr>
          <w:szCs w:val="26"/>
        </w:rPr>
        <w:t xml:space="preserve">issued three companion cases that </w:t>
      </w:r>
      <w:r w:rsidRPr="00D662C3" w:rsidR="008306F6">
        <w:rPr>
          <w:szCs w:val="26"/>
        </w:rPr>
        <w:t>address</w:t>
      </w:r>
      <w:r w:rsidRPr="00D662C3">
        <w:rPr>
          <w:szCs w:val="26"/>
        </w:rPr>
        <w:t>ed</w:t>
      </w:r>
      <w:r w:rsidRPr="00D662C3">
        <w:rPr>
          <w:szCs w:val="26"/>
        </w:rPr>
        <w:t xml:space="preserve"> </w:t>
      </w:r>
      <w:r w:rsidRPr="00D662C3" w:rsidR="00212EFF">
        <w:rPr>
          <w:szCs w:val="26"/>
        </w:rPr>
        <w:t>c</w:t>
      </w:r>
      <w:r w:rsidRPr="00D662C3">
        <w:rPr>
          <w:szCs w:val="26"/>
        </w:rPr>
        <w:t xml:space="preserve">onfrontation </w:t>
      </w:r>
      <w:r w:rsidRPr="00D662C3" w:rsidR="00212EFF">
        <w:rPr>
          <w:szCs w:val="26"/>
        </w:rPr>
        <w:t>c</w:t>
      </w:r>
      <w:r w:rsidRPr="00D662C3">
        <w:rPr>
          <w:szCs w:val="26"/>
        </w:rPr>
        <w:t>lause claims involving testimony detailing the</w:t>
      </w:r>
      <w:r w:rsidRPr="00D662C3">
        <w:rPr>
          <w:szCs w:val="26"/>
        </w:rPr>
        <w:t xml:space="preserve"> results of </w:t>
      </w:r>
      <w:r w:rsidRPr="00D662C3" w:rsidR="00034A0A">
        <w:rPr>
          <w:szCs w:val="26"/>
        </w:rPr>
        <w:t xml:space="preserve">technical reports </w:t>
      </w:r>
      <w:r w:rsidRPr="00D662C3" w:rsidR="008306F6">
        <w:rPr>
          <w:szCs w:val="26"/>
        </w:rPr>
        <w:t xml:space="preserve">that </w:t>
      </w:r>
      <w:r w:rsidRPr="00D662C3">
        <w:rPr>
          <w:szCs w:val="26"/>
        </w:rPr>
        <w:t xml:space="preserve">had been </w:t>
      </w:r>
      <w:r w:rsidRPr="00D662C3" w:rsidR="008306F6">
        <w:rPr>
          <w:szCs w:val="26"/>
        </w:rPr>
        <w:t xml:space="preserve">prepared by </w:t>
      </w:r>
      <w:r w:rsidRPr="00D662C3">
        <w:rPr>
          <w:szCs w:val="26"/>
        </w:rPr>
        <w:t>a nontes</w:t>
      </w:r>
      <w:r w:rsidRPr="00D662C3" w:rsidR="008306F6">
        <w:rPr>
          <w:szCs w:val="26"/>
        </w:rPr>
        <w:t>t</w:t>
      </w:r>
      <w:r w:rsidRPr="00D662C3">
        <w:rPr>
          <w:szCs w:val="26"/>
        </w:rPr>
        <w:t xml:space="preserve">ifying </w:t>
      </w:r>
      <w:r w:rsidRPr="00D662C3" w:rsidR="008306F6">
        <w:rPr>
          <w:szCs w:val="26"/>
        </w:rPr>
        <w:t>witness</w:t>
      </w:r>
      <w:r w:rsidRPr="00D662C3">
        <w:rPr>
          <w:szCs w:val="26"/>
        </w:rPr>
        <w:t>.</w:t>
      </w:r>
      <w:r w:rsidRPr="00D662C3" w:rsidR="008306F6">
        <w:rPr>
          <w:szCs w:val="26"/>
        </w:rPr>
        <w:t xml:space="preserve"> </w:t>
      </w:r>
      <w:r w:rsidRPr="00D662C3">
        <w:rPr>
          <w:szCs w:val="26"/>
        </w:rPr>
        <w:t xml:space="preserve"> </w:t>
      </w:r>
      <w:r w:rsidRPr="00D662C3" w:rsidR="008306F6">
        <w:rPr>
          <w:szCs w:val="26"/>
        </w:rPr>
        <w:t>(</w:t>
      </w:r>
      <w:r w:rsidRPr="00D662C3">
        <w:rPr>
          <w:szCs w:val="26"/>
        </w:rPr>
        <w:t>S</w:t>
      </w:r>
      <w:r w:rsidRPr="00D662C3" w:rsidR="008306F6">
        <w:rPr>
          <w:szCs w:val="26"/>
        </w:rPr>
        <w:t xml:space="preserve">ee </w:t>
      </w:r>
      <w:r w:rsidRPr="00D662C3" w:rsidR="008306F6">
        <w:rPr>
          <w:i/>
          <w:iCs/>
          <w:szCs w:val="26"/>
        </w:rPr>
        <w:t>People v. Lopez</w:t>
      </w:r>
      <w:r w:rsidRPr="00D662C3" w:rsidR="008306F6">
        <w:rPr>
          <w:szCs w:val="26"/>
        </w:rPr>
        <w:t xml:space="preserve"> (2012) 55 Ca</w:t>
      </w:r>
      <w:r w:rsidRPr="00D662C3" w:rsidR="00212EFF">
        <w:rPr>
          <w:szCs w:val="26"/>
        </w:rPr>
        <w:t>l</w:t>
      </w:r>
      <w:r w:rsidRPr="00D662C3" w:rsidR="008306F6">
        <w:rPr>
          <w:szCs w:val="26"/>
        </w:rPr>
        <w:t xml:space="preserve">.4th 569; </w:t>
      </w:r>
      <w:bookmarkStart w:id="31" w:name="_Hlk86231769"/>
      <w:r w:rsidRPr="00D662C3" w:rsidR="008306F6">
        <w:rPr>
          <w:i/>
          <w:iCs/>
          <w:szCs w:val="26"/>
        </w:rPr>
        <w:t>People v. Dungo</w:t>
      </w:r>
      <w:r w:rsidRPr="00D662C3" w:rsidR="008306F6">
        <w:rPr>
          <w:szCs w:val="26"/>
        </w:rPr>
        <w:t xml:space="preserve"> (2012) 55 Ca</w:t>
      </w:r>
      <w:r w:rsidRPr="00D662C3" w:rsidR="00212EFF">
        <w:rPr>
          <w:szCs w:val="26"/>
        </w:rPr>
        <w:t>l</w:t>
      </w:r>
      <w:r w:rsidRPr="00D662C3" w:rsidR="008306F6">
        <w:rPr>
          <w:szCs w:val="26"/>
        </w:rPr>
        <w:t>.4th 608</w:t>
      </w:r>
      <w:r w:rsidRPr="00D662C3">
        <w:rPr>
          <w:szCs w:val="26"/>
        </w:rPr>
        <w:t xml:space="preserve"> (</w:t>
      </w:r>
      <w:r w:rsidRPr="00D662C3">
        <w:rPr>
          <w:i/>
          <w:iCs/>
          <w:szCs w:val="26"/>
        </w:rPr>
        <w:t>Dungo</w:t>
      </w:r>
      <w:r w:rsidRPr="00D662C3">
        <w:rPr>
          <w:szCs w:val="26"/>
        </w:rPr>
        <w:t>)</w:t>
      </w:r>
      <w:r w:rsidRPr="00D662C3" w:rsidR="008306F6">
        <w:rPr>
          <w:szCs w:val="26"/>
        </w:rPr>
        <w:t xml:space="preserve">; </w:t>
      </w:r>
      <w:r w:rsidRPr="00D662C3" w:rsidR="008306F6">
        <w:rPr>
          <w:i/>
          <w:iCs/>
          <w:szCs w:val="26"/>
        </w:rPr>
        <w:t>People v. Rutterschmidt</w:t>
      </w:r>
      <w:r w:rsidRPr="00D662C3" w:rsidR="008306F6">
        <w:rPr>
          <w:szCs w:val="26"/>
        </w:rPr>
        <w:t xml:space="preserve"> (2012) 55 Ca</w:t>
      </w:r>
      <w:r w:rsidRPr="00D662C3" w:rsidR="00212EFF">
        <w:rPr>
          <w:szCs w:val="26"/>
        </w:rPr>
        <w:t>l</w:t>
      </w:r>
      <w:r w:rsidRPr="00D662C3" w:rsidR="008306F6">
        <w:rPr>
          <w:szCs w:val="26"/>
        </w:rPr>
        <w:t>.4th 650</w:t>
      </w:r>
      <w:r w:rsidRPr="00D662C3">
        <w:rPr>
          <w:szCs w:val="26"/>
        </w:rPr>
        <w:t xml:space="preserve"> (</w:t>
      </w:r>
      <w:r w:rsidRPr="00D662C3">
        <w:rPr>
          <w:i/>
          <w:iCs/>
          <w:szCs w:val="26"/>
        </w:rPr>
        <w:t>Rutterschmidt</w:t>
      </w:r>
      <w:r w:rsidRPr="00D662C3" w:rsidR="008E2E82">
        <w:rPr>
          <w:szCs w:val="26"/>
        </w:rPr>
        <w:t>)</w:t>
      </w:r>
      <w:r w:rsidRPr="00D662C3">
        <w:rPr>
          <w:szCs w:val="26"/>
        </w:rPr>
        <w:t xml:space="preserve">.)  </w:t>
      </w:r>
      <w:bookmarkEnd w:id="31"/>
      <w:r w:rsidRPr="00D662C3">
        <w:rPr>
          <w:szCs w:val="26"/>
        </w:rPr>
        <w:t>Those</w:t>
      </w:r>
      <w:r w:rsidRPr="00D662C3">
        <w:rPr>
          <w:szCs w:val="26"/>
        </w:rPr>
        <w:t xml:space="preserve"> cases generated numerous separate opinions, </w:t>
      </w:r>
      <w:r w:rsidRPr="00D662C3">
        <w:rPr>
          <w:szCs w:val="26"/>
        </w:rPr>
        <w:t xml:space="preserve">reflecting the </w:t>
      </w:r>
      <w:r w:rsidRPr="00D662C3" w:rsidR="00BF20D3">
        <w:rPr>
          <w:szCs w:val="26"/>
        </w:rPr>
        <w:t>fragmented</w:t>
      </w:r>
      <w:r w:rsidRPr="00D662C3">
        <w:rPr>
          <w:szCs w:val="26"/>
        </w:rPr>
        <w:t xml:space="preserve"> nature of the </w:t>
      </w:r>
      <w:r w:rsidR="002A6882">
        <w:rPr>
          <w:szCs w:val="26"/>
        </w:rPr>
        <w:t>high court</w:t>
      </w:r>
      <w:r w:rsidRPr="00D662C3">
        <w:rPr>
          <w:szCs w:val="26"/>
        </w:rPr>
        <w:t xml:space="preserve">’s </w:t>
      </w:r>
      <w:r w:rsidRPr="00D662C3" w:rsidR="00BF20D3">
        <w:rPr>
          <w:szCs w:val="26"/>
        </w:rPr>
        <w:t>reasoning</w:t>
      </w:r>
      <w:r w:rsidRPr="00D662C3">
        <w:rPr>
          <w:szCs w:val="26"/>
        </w:rPr>
        <w:t xml:space="preserve"> in this area</w:t>
      </w:r>
      <w:r w:rsidRPr="00D662C3" w:rsidR="008E2E82">
        <w:rPr>
          <w:szCs w:val="26"/>
        </w:rPr>
        <w:t xml:space="preserve">. </w:t>
      </w:r>
      <w:r w:rsidRPr="00D662C3" w:rsidR="003622FD">
        <w:rPr>
          <w:szCs w:val="26"/>
        </w:rPr>
        <w:t xml:space="preserve"> </w:t>
      </w:r>
      <w:r w:rsidRPr="00D662C3">
        <w:rPr>
          <w:szCs w:val="26"/>
        </w:rPr>
        <w:t>(</w:t>
      </w:r>
      <w:r w:rsidRPr="00D662C3" w:rsidR="003622FD">
        <w:rPr>
          <w:szCs w:val="26"/>
        </w:rPr>
        <w:t xml:space="preserve">See </w:t>
      </w:r>
      <w:r w:rsidRPr="00D662C3" w:rsidR="003622FD">
        <w:rPr>
          <w:i/>
          <w:iCs/>
          <w:szCs w:val="26"/>
        </w:rPr>
        <w:t>Dungo</w:t>
      </w:r>
      <w:r w:rsidRPr="00D662C3" w:rsidR="003622FD">
        <w:rPr>
          <w:szCs w:val="26"/>
        </w:rPr>
        <w:t xml:space="preserve">, </w:t>
      </w:r>
      <w:r w:rsidRPr="00D662C3">
        <w:rPr>
          <w:szCs w:val="26"/>
        </w:rPr>
        <w:t xml:space="preserve">at </w:t>
      </w:r>
      <w:r w:rsidRPr="00D662C3" w:rsidR="003622FD">
        <w:rPr>
          <w:szCs w:val="26"/>
        </w:rPr>
        <w:t>p. 616 [“Sixth Amendment confrontation</w:t>
      </w:r>
      <w:r w:rsidRPr="00D662C3" w:rsidR="00BF20D3">
        <w:rPr>
          <w:szCs w:val="26"/>
        </w:rPr>
        <w:t xml:space="preserve"> right </w:t>
      </w:r>
      <w:r w:rsidRPr="00D662C3" w:rsidR="003622FD">
        <w:rPr>
          <w:szCs w:val="26"/>
        </w:rPr>
        <w:t xml:space="preserve">issue [was] far from easy to resolve in light of the widely divergent views expressed by the justices of the United States Supreme Court in . . . recent . . . cases”]; </w:t>
      </w:r>
      <w:r w:rsidRPr="00D662C3" w:rsidR="00A32BE9">
        <w:rPr>
          <w:i/>
          <w:iCs/>
          <w:szCs w:val="26"/>
        </w:rPr>
        <w:t>id.</w:t>
      </w:r>
      <w:r w:rsidRPr="00D662C3" w:rsidR="003622FD">
        <w:rPr>
          <w:i/>
          <w:iCs/>
          <w:szCs w:val="26"/>
        </w:rPr>
        <w:t xml:space="preserve"> </w:t>
      </w:r>
      <w:r w:rsidRPr="00D662C3" w:rsidR="003622FD">
        <w:rPr>
          <w:szCs w:val="26"/>
        </w:rPr>
        <w:t>at p. 6</w:t>
      </w:r>
      <w:r w:rsidRPr="00D662C3" w:rsidR="00BF20D3">
        <w:rPr>
          <w:szCs w:val="26"/>
        </w:rPr>
        <w:t>2</w:t>
      </w:r>
      <w:r w:rsidRPr="00D662C3" w:rsidR="003622FD">
        <w:rPr>
          <w:szCs w:val="26"/>
        </w:rPr>
        <w:t xml:space="preserve">8 (conc. opn. of Chin, J.) [concluding that it is “difficult to determine what to make” of high court’s </w:t>
      </w:r>
      <w:r w:rsidRPr="00D662C3" w:rsidR="00212EFF">
        <w:rPr>
          <w:szCs w:val="26"/>
        </w:rPr>
        <w:t>c</w:t>
      </w:r>
      <w:r w:rsidRPr="00D662C3">
        <w:rPr>
          <w:szCs w:val="26"/>
        </w:rPr>
        <w:t xml:space="preserve">onfrontation </w:t>
      </w:r>
      <w:r w:rsidRPr="00D662C3" w:rsidR="00212EFF">
        <w:rPr>
          <w:szCs w:val="26"/>
        </w:rPr>
        <w:t>c</w:t>
      </w:r>
      <w:r w:rsidRPr="00D662C3">
        <w:rPr>
          <w:szCs w:val="26"/>
        </w:rPr>
        <w:t xml:space="preserve">lause </w:t>
      </w:r>
      <w:r w:rsidRPr="00D662C3" w:rsidR="003622FD">
        <w:rPr>
          <w:szCs w:val="26"/>
        </w:rPr>
        <w:t xml:space="preserve">jurisprudence]; </w:t>
      </w:r>
      <w:r w:rsidRPr="00D662C3" w:rsidR="008E2E82">
        <w:rPr>
          <w:i/>
          <w:iCs/>
          <w:szCs w:val="26"/>
        </w:rPr>
        <w:t xml:space="preserve">Lopez, </w:t>
      </w:r>
      <w:r w:rsidRPr="00D662C3" w:rsidR="008E2E82">
        <w:rPr>
          <w:szCs w:val="26"/>
        </w:rPr>
        <w:t xml:space="preserve">at p. 590 (dis. opn. of Liu, J.) [the multitude of opinions in </w:t>
      </w:r>
      <w:r w:rsidRPr="00D662C3" w:rsidR="008E2E82">
        <w:rPr>
          <w:i/>
          <w:iCs/>
          <w:szCs w:val="26"/>
        </w:rPr>
        <w:t>Lopez</w:t>
      </w:r>
      <w:r w:rsidRPr="00D662C3" w:rsidR="008E2E82">
        <w:rPr>
          <w:szCs w:val="26"/>
        </w:rPr>
        <w:t xml:space="preserve">, </w:t>
      </w:r>
      <w:r w:rsidRPr="00D662C3" w:rsidR="008E2E82">
        <w:rPr>
          <w:i/>
          <w:iCs/>
          <w:szCs w:val="26"/>
        </w:rPr>
        <w:t>Dungo</w:t>
      </w:r>
      <w:r w:rsidRPr="00D662C3" w:rsidR="008E2E82">
        <w:rPr>
          <w:szCs w:val="26"/>
        </w:rPr>
        <w:t xml:space="preserve">, and </w:t>
      </w:r>
      <w:r w:rsidRPr="00D662C3" w:rsidR="008E2E82">
        <w:rPr>
          <w:i/>
          <w:iCs/>
          <w:szCs w:val="26"/>
        </w:rPr>
        <w:t>Rutterschmidt</w:t>
      </w:r>
      <w:r w:rsidRPr="00D662C3" w:rsidR="008E2E82">
        <w:rPr>
          <w:szCs w:val="26"/>
        </w:rPr>
        <w:t xml:space="preserve"> reflect</w:t>
      </w:r>
      <w:r w:rsidRPr="00D662C3" w:rsidR="005D5C3B">
        <w:rPr>
          <w:szCs w:val="26"/>
        </w:rPr>
        <w:t>ed</w:t>
      </w:r>
      <w:r w:rsidRPr="00D662C3" w:rsidR="008E2E82">
        <w:rPr>
          <w:szCs w:val="26"/>
        </w:rPr>
        <w:t xml:space="preserve"> “the muddled state of current doctrine concerning the Sixth Amendment right of criminal defendants to confront the state</w:t>
      </w:r>
      <w:r w:rsidRPr="00D662C3" w:rsidR="00BF20D3">
        <w:rPr>
          <w:szCs w:val="26"/>
        </w:rPr>
        <w:t>’</w:t>
      </w:r>
      <w:r w:rsidRPr="00D662C3" w:rsidR="008E2E82">
        <w:rPr>
          <w:szCs w:val="26"/>
        </w:rPr>
        <w:t>s witnesses against them”]</w:t>
      </w:r>
      <w:r w:rsidRPr="00D662C3">
        <w:rPr>
          <w:szCs w:val="26"/>
        </w:rPr>
        <w:t xml:space="preserve">.)  More recently, we </w:t>
      </w:r>
      <w:r w:rsidRPr="00D662C3" w:rsidR="00BF20D3">
        <w:rPr>
          <w:szCs w:val="26"/>
        </w:rPr>
        <w:t xml:space="preserve">have </w:t>
      </w:r>
      <w:r w:rsidRPr="00D662C3">
        <w:rPr>
          <w:szCs w:val="26"/>
        </w:rPr>
        <w:t>noted that “ ‘considerable flux’ [continues to] surround[] the high court’s Sixth Amendment jurisprudence” (</w:t>
      </w:r>
      <w:r w:rsidRPr="00D662C3" w:rsidR="009B2A8D">
        <w:rPr>
          <w:i/>
          <w:iCs/>
          <w:szCs w:val="26"/>
        </w:rPr>
        <w:t>People v. Schultz</w:t>
      </w:r>
      <w:r w:rsidRPr="00D662C3" w:rsidR="009B2A8D">
        <w:rPr>
          <w:szCs w:val="26"/>
        </w:rPr>
        <w:t xml:space="preserve"> (2020) 10 Cal.5th 623, 6</w:t>
      </w:r>
      <w:r w:rsidRPr="00D662C3" w:rsidR="00396201">
        <w:rPr>
          <w:szCs w:val="26"/>
        </w:rPr>
        <w:t>60</w:t>
      </w:r>
      <w:r w:rsidRPr="00D662C3" w:rsidR="009B2A8D">
        <w:rPr>
          <w:szCs w:val="26"/>
        </w:rPr>
        <w:t>, fn. 8</w:t>
      </w:r>
      <w:r w:rsidRPr="00D662C3">
        <w:rPr>
          <w:szCs w:val="26"/>
        </w:rPr>
        <w:t>)</w:t>
      </w:r>
      <w:r w:rsidRPr="00D662C3" w:rsidR="00BE1727">
        <w:rPr>
          <w:szCs w:val="26"/>
        </w:rPr>
        <w:t>,</w:t>
      </w:r>
      <w:r w:rsidRPr="00D662C3" w:rsidR="00BF20D3">
        <w:rPr>
          <w:szCs w:val="26"/>
        </w:rPr>
        <w:t xml:space="preserve"> and that “[a]</w:t>
      </w:r>
      <w:r w:rsidRPr="00D662C3">
        <w:rPr>
          <w:szCs w:val="26"/>
        </w:rPr>
        <w:t xml:space="preserve"> comprehensive definition of the term ‘testimonial’ awaits articulation.”  (</w:t>
      </w:r>
      <w:r w:rsidRPr="00D662C3">
        <w:rPr>
          <w:i/>
          <w:iCs/>
          <w:szCs w:val="26"/>
        </w:rPr>
        <w:t xml:space="preserve">Amezcua, supra, </w:t>
      </w:r>
      <w:r w:rsidRPr="00D662C3">
        <w:rPr>
          <w:szCs w:val="26"/>
        </w:rPr>
        <w:t>6 Cal.5th at p</w:t>
      </w:r>
      <w:r w:rsidRPr="00D662C3" w:rsidR="00BF20D3">
        <w:rPr>
          <w:szCs w:val="26"/>
        </w:rPr>
        <w:t xml:space="preserve">. </w:t>
      </w:r>
      <w:r w:rsidRPr="00D662C3">
        <w:rPr>
          <w:szCs w:val="26"/>
        </w:rPr>
        <w:t xml:space="preserve">912.)  </w:t>
      </w:r>
    </w:p>
    <w:p w:rsidR="00E875DF" w:rsidRPr="00D662C3" w:rsidP="004F5DF7">
      <w:pPr>
        <w:ind w:firstLine="720"/>
        <w:rPr>
          <w:szCs w:val="26"/>
        </w:rPr>
      </w:pPr>
      <w:r w:rsidRPr="00D662C3">
        <w:rPr>
          <w:szCs w:val="26"/>
        </w:rPr>
        <w:t xml:space="preserve">We need not delve further into the high court’s </w:t>
      </w:r>
      <w:r w:rsidRPr="00D662C3" w:rsidR="00084800">
        <w:rPr>
          <w:szCs w:val="26"/>
        </w:rPr>
        <w:t xml:space="preserve">divided </w:t>
      </w:r>
      <w:r w:rsidRPr="00D662C3" w:rsidR="00B71039">
        <w:rPr>
          <w:szCs w:val="26"/>
        </w:rPr>
        <w:t>c</w:t>
      </w:r>
      <w:r w:rsidRPr="00D662C3">
        <w:rPr>
          <w:szCs w:val="26"/>
        </w:rPr>
        <w:t xml:space="preserve">onfrontation </w:t>
      </w:r>
      <w:r w:rsidRPr="00D662C3" w:rsidR="00B71039">
        <w:rPr>
          <w:szCs w:val="26"/>
        </w:rPr>
        <w:t>c</w:t>
      </w:r>
      <w:r w:rsidRPr="00D662C3">
        <w:rPr>
          <w:szCs w:val="26"/>
        </w:rPr>
        <w:t>lause jurisprudence because</w:t>
      </w:r>
      <w:r w:rsidRPr="00D662C3" w:rsidR="00BF20D3">
        <w:rPr>
          <w:szCs w:val="26"/>
        </w:rPr>
        <w:t xml:space="preserve"> even if a Sixth Amendment violation is assumed, </w:t>
      </w:r>
      <w:r w:rsidRPr="00D662C3" w:rsidR="002B4B24">
        <w:rPr>
          <w:szCs w:val="26"/>
        </w:rPr>
        <w:t>“</w:t>
      </w:r>
      <w:r w:rsidRPr="00D662C3" w:rsidR="002E10A5">
        <w:rPr>
          <w:szCs w:val="26"/>
        </w:rPr>
        <w:t> ‘</w:t>
      </w:r>
      <w:r w:rsidRPr="00D662C3" w:rsidR="005D24CB">
        <w:rPr>
          <w:szCs w:val="26"/>
        </w:rPr>
        <w:t>it</w:t>
      </w:r>
      <w:r w:rsidRPr="00D662C3" w:rsidR="002B4B24">
        <w:rPr>
          <w:szCs w:val="26"/>
        </w:rPr>
        <w:t xml:space="preserve"> [is]</w:t>
      </w:r>
      <w:r w:rsidRPr="00D662C3" w:rsidR="005D24CB">
        <w:rPr>
          <w:szCs w:val="26"/>
        </w:rPr>
        <w:t xml:space="preserve"> clear beyond a reasonable doubt that a rational jury would have found the defendant guilty absent the error</w:t>
      </w:r>
      <w:r w:rsidRPr="00D662C3" w:rsidR="002B4B24">
        <w:rPr>
          <w:szCs w:val="26"/>
        </w:rPr>
        <w:t>.</w:t>
      </w:r>
      <w:r w:rsidRPr="00D662C3" w:rsidR="005D24CB">
        <w:rPr>
          <w:szCs w:val="26"/>
        </w:rPr>
        <w:t>’</w:t>
      </w:r>
      <w:r w:rsidRPr="00D662C3" w:rsidR="002E10A5">
        <w:rPr>
          <w:szCs w:val="26"/>
        </w:rPr>
        <w:t> </w:t>
      </w:r>
      <w:r w:rsidRPr="00D662C3" w:rsidR="005D24CB">
        <w:rPr>
          <w:szCs w:val="26"/>
        </w:rPr>
        <w:t>”  (</w:t>
      </w:r>
      <w:r w:rsidRPr="00D662C3" w:rsidR="005D24CB">
        <w:rPr>
          <w:i/>
          <w:iCs/>
          <w:szCs w:val="26"/>
        </w:rPr>
        <w:t>People v. Geier</w:t>
      </w:r>
      <w:r w:rsidRPr="00D662C3" w:rsidR="005D24CB">
        <w:rPr>
          <w:szCs w:val="26"/>
        </w:rPr>
        <w:t xml:space="preserve"> (2007) 41 Cal.4th 555, 608</w:t>
      </w:r>
      <w:r w:rsidRPr="00D662C3" w:rsidR="002B4B24">
        <w:rPr>
          <w:szCs w:val="26"/>
        </w:rPr>
        <w:t xml:space="preserve"> [describing the harmless error standard applicable </w:t>
      </w:r>
      <w:r w:rsidRPr="00D662C3" w:rsidR="003823D8">
        <w:rPr>
          <w:szCs w:val="26"/>
        </w:rPr>
        <w:t>to</w:t>
      </w:r>
      <w:r w:rsidR="007A6CDA">
        <w:rPr>
          <w:szCs w:val="26"/>
        </w:rPr>
        <w:t xml:space="preserve"> </w:t>
      </w:r>
      <w:r w:rsidRPr="007A6CDA" w:rsidR="007A6CDA">
        <w:rPr>
          <w:szCs w:val="26"/>
        </w:rPr>
        <w:t xml:space="preserve">a claim </w:t>
      </w:r>
      <w:r w:rsidR="007A6CDA">
        <w:rPr>
          <w:szCs w:val="26"/>
        </w:rPr>
        <w:t xml:space="preserve">challenging </w:t>
      </w:r>
      <w:r w:rsidRPr="007A6CDA" w:rsidR="007A6CDA">
        <w:rPr>
          <w:szCs w:val="26"/>
        </w:rPr>
        <w:t>the admission of</w:t>
      </w:r>
      <w:r w:rsidRPr="00D662C3" w:rsidR="002B00A6">
        <w:rPr>
          <w:szCs w:val="26"/>
        </w:rPr>
        <w:t xml:space="preserve"> </w:t>
      </w:r>
      <w:r w:rsidRPr="00D662C3" w:rsidR="002B4B24">
        <w:rPr>
          <w:szCs w:val="26"/>
        </w:rPr>
        <w:t>DNA</w:t>
      </w:r>
      <w:r w:rsidRPr="00D662C3" w:rsidR="002B00A6">
        <w:rPr>
          <w:szCs w:val="26"/>
        </w:rPr>
        <w:t xml:space="preserve"> evidence </w:t>
      </w:r>
      <w:r w:rsidR="007A6CDA">
        <w:rPr>
          <w:szCs w:val="26"/>
        </w:rPr>
        <w:t>under the</w:t>
      </w:r>
      <w:r w:rsidRPr="00D662C3" w:rsidR="00D662C3">
        <w:rPr>
          <w:szCs w:val="26"/>
        </w:rPr>
        <w:t xml:space="preserve"> </w:t>
      </w:r>
      <w:r w:rsidRPr="00D662C3" w:rsidR="002B00A6">
        <w:rPr>
          <w:szCs w:val="26"/>
        </w:rPr>
        <w:t>confrontation clause</w:t>
      </w:r>
      <w:r w:rsidRPr="00D662C3" w:rsidR="002B4B24">
        <w:rPr>
          <w:szCs w:val="26"/>
        </w:rPr>
        <w:t xml:space="preserve">]; </w:t>
      </w:r>
      <w:r w:rsidRPr="00D662C3" w:rsidR="005D24CB">
        <w:rPr>
          <w:szCs w:val="26"/>
        </w:rPr>
        <w:t xml:space="preserve">see </w:t>
      </w:r>
      <w:r w:rsidRPr="00D662C3" w:rsidR="005D24CB">
        <w:rPr>
          <w:i/>
          <w:iCs/>
          <w:szCs w:val="26"/>
        </w:rPr>
        <w:t>Rutterschmidt, supra</w:t>
      </w:r>
      <w:r w:rsidRPr="00D662C3" w:rsidR="005D24CB">
        <w:rPr>
          <w:szCs w:val="26"/>
        </w:rPr>
        <w:t>, 55 Cal.4th at p. 661 [“Violation of the Sixth Amendment’s confrontation right requires reversal of the judgment against a criminal defendant unless the prosecution can show ‘beyond a reasonable doubt’ that the error was harmless”].)</w:t>
      </w:r>
      <w:r w:rsidRPr="00D662C3" w:rsidR="002B4B24">
        <w:rPr>
          <w:szCs w:val="26"/>
        </w:rPr>
        <w:t xml:space="preserve">  </w:t>
      </w:r>
      <w:r w:rsidRPr="00D662C3" w:rsidR="00EC3A56">
        <w:rPr>
          <w:szCs w:val="26"/>
        </w:rPr>
        <w:t xml:space="preserve">As we have previously observed, </w:t>
      </w:r>
      <w:r w:rsidRPr="00D662C3" w:rsidR="00752C85">
        <w:rPr>
          <w:szCs w:val="26"/>
        </w:rPr>
        <w:t>DNA analysis is a powerful form of evidence that can</w:t>
      </w:r>
      <w:r w:rsidRPr="00D662C3" w:rsidR="004773E8">
        <w:rPr>
          <w:szCs w:val="26"/>
        </w:rPr>
        <w:t xml:space="preserve"> </w:t>
      </w:r>
      <w:r w:rsidRPr="00D662C3" w:rsidR="00752C85">
        <w:rPr>
          <w:szCs w:val="26"/>
        </w:rPr>
        <w:t xml:space="preserve">(and </w:t>
      </w:r>
      <w:r w:rsidRPr="00D662C3" w:rsidR="00EC3A56">
        <w:rPr>
          <w:szCs w:val="26"/>
        </w:rPr>
        <w:t xml:space="preserve">often will) </w:t>
      </w:r>
      <w:r w:rsidRPr="00D662C3" w:rsidR="004773E8">
        <w:rPr>
          <w:szCs w:val="26"/>
        </w:rPr>
        <w:t>be</w:t>
      </w:r>
      <w:r w:rsidRPr="00D662C3" w:rsidR="00752C85">
        <w:rPr>
          <w:szCs w:val="26"/>
        </w:rPr>
        <w:t xml:space="preserve"> highly prejudicial</w:t>
      </w:r>
      <w:r w:rsidRPr="00D662C3" w:rsidR="00EC3A56">
        <w:rPr>
          <w:szCs w:val="26"/>
        </w:rPr>
        <w:t xml:space="preserve"> to the defendant</w:t>
      </w:r>
      <w:r w:rsidRPr="00D662C3" w:rsidR="00752C85">
        <w:rPr>
          <w:szCs w:val="26"/>
        </w:rPr>
        <w:t xml:space="preserve">.  (See </w:t>
      </w:r>
      <w:r w:rsidRPr="00D662C3" w:rsidR="00752C85">
        <w:rPr>
          <w:i/>
          <w:iCs/>
          <w:szCs w:val="26"/>
        </w:rPr>
        <w:t>Dungo, supra</w:t>
      </w:r>
      <w:r w:rsidRPr="00D662C3" w:rsidR="00752C85">
        <w:rPr>
          <w:szCs w:val="26"/>
        </w:rPr>
        <w:t xml:space="preserve">, 55 Cal.4th </w:t>
      </w:r>
      <w:r w:rsidRPr="00D662C3" w:rsidR="00BF20D3">
        <w:rPr>
          <w:szCs w:val="26"/>
        </w:rPr>
        <w:t xml:space="preserve">at p. </w:t>
      </w:r>
      <w:r w:rsidRPr="00D662C3" w:rsidR="00752C85">
        <w:rPr>
          <w:szCs w:val="26"/>
        </w:rPr>
        <w:t>631 [“</w:t>
      </w:r>
      <w:r w:rsidRPr="00D662C3" w:rsidR="00555709">
        <w:rPr>
          <w:szCs w:val="26"/>
        </w:rPr>
        <w:t> </w:t>
      </w:r>
      <w:r w:rsidRPr="00D662C3" w:rsidR="00752C85">
        <w:rPr>
          <w:szCs w:val="26"/>
        </w:rPr>
        <w:t xml:space="preserve">‘a DNA profile may provide powerful incriminating evidence’ ” (quoting </w:t>
      </w:r>
      <w:r w:rsidRPr="00D662C3" w:rsidR="00752C85">
        <w:rPr>
          <w:i/>
          <w:iCs/>
          <w:szCs w:val="26"/>
        </w:rPr>
        <w:t>Williams v. Illinois</w:t>
      </w:r>
      <w:r w:rsidRPr="00D662C3" w:rsidR="00752C85">
        <w:rPr>
          <w:szCs w:val="26"/>
        </w:rPr>
        <w:t xml:space="preserve"> (2012) 567 U.S. 50, 85 (plur. opn. of Alito, J.)</w:t>
      </w:r>
      <w:r w:rsidRPr="00D662C3" w:rsidR="00BF20D3">
        <w:rPr>
          <w:szCs w:val="26"/>
        </w:rPr>
        <w:t>)</w:t>
      </w:r>
      <w:r w:rsidRPr="00D662C3" w:rsidR="00752C85">
        <w:rPr>
          <w:szCs w:val="26"/>
        </w:rPr>
        <w:t xml:space="preserve">]; </w:t>
      </w:r>
      <w:r w:rsidRPr="00D662C3" w:rsidR="00555709">
        <w:rPr>
          <w:szCs w:val="26"/>
        </w:rPr>
        <w:t xml:space="preserve">see also </w:t>
      </w:r>
      <w:r w:rsidRPr="00D662C3" w:rsidR="00752C85">
        <w:rPr>
          <w:i/>
          <w:iCs/>
          <w:szCs w:val="26"/>
        </w:rPr>
        <w:t>U</w:t>
      </w:r>
      <w:r w:rsidRPr="00D662C3" w:rsidR="00B83ABF">
        <w:rPr>
          <w:i/>
          <w:iCs/>
          <w:szCs w:val="26"/>
        </w:rPr>
        <w:t>.</w:t>
      </w:r>
      <w:r w:rsidRPr="00D662C3" w:rsidR="00752C85">
        <w:rPr>
          <w:i/>
          <w:iCs/>
          <w:szCs w:val="26"/>
        </w:rPr>
        <w:t>S</w:t>
      </w:r>
      <w:r w:rsidRPr="00D662C3" w:rsidR="00B83ABF">
        <w:rPr>
          <w:i/>
          <w:iCs/>
          <w:szCs w:val="26"/>
        </w:rPr>
        <w:t>.</w:t>
      </w:r>
      <w:r w:rsidRPr="00D662C3" w:rsidR="00752C85">
        <w:rPr>
          <w:i/>
          <w:iCs/>
          <w:szCs w:val="26"/>
        </w:rPr>
        <w:t xml:space="preserve"> v. Barton</w:t>
      </w:r>
      <w:r w:rsidRPr="00D662C3" w:rsidR="00752C85">
        <w:rPr>
          <w:szCs w:val="26"/>
        </w:rPr>
        <w:t xml:space="preserve"> (11th Cir. 2018) 909 F.3d 1323, 1338 [“DNA evidence is powerful and it could be highly prejudicial</w:t>
      </w:r>
      <w:r w:rsidRPr="00D662C3" w:rsidR="002520DA">
        <w:rPr>
          <w:szCs w:val="26"/>
        </w:rPr>
        <w:t>”].)</w:t>
      </w:r>
      <w:r w:rsidRPr="00D662C3" w:rsidR="00721E82">
        <w:rPr>
          <w:szCs w:val="26"/>
        </w:rPr>
        <w:t xml:space="preserve">  </w:t>
      </w:r>
      <w:r w:rsidRPr="00D662C3" w:rsidR="00BF20D3">
        <w:rPr>
          <w:szCs w:val="26"/>
        </w:rPr>
        <w:t>However, e</w:t>
      </w:r>
      <w:r w:rsidRPr="00D662C3" w:rsidR="00EC3A56">
        <w:rPr>
          <w:szCs w:val="26"/>
        </w:rPr>
        <w:t>ven when highly prejudicial,</w:t>
      </w:r>
      <w:r w:rsidRPr="00D662C3" w:rsidR="00BF20D3">
        <w:rPr>
          <w:szCs w:val="26"/>
        </w:rPr>
        <w:t xml:space="preserve"> </w:t>
      </w:r>
      <w:r w:rsidRPr="00D662C3" w:rsidR="00160943">
        <w:rPr>
          <w:szCs w:val="26"/>
        </w:rPr>
        <w:t>the erroneous admission of</w:t>
      </w:r>
      <w:r w:rsidRPr="00D662C3" w:rsidR="00EC3A56">
        <w:rPr>
          <w:szCs w:val="26"/>
        </w:rPr>
        <w:t xml:space="preserve"> </w:t>
      </w:r>
      <w:r w:rsidRPr="00D662C3" w:rsidR="00BF20D3">
        <w:rPr>
          <w:szCs w:val="26"/>
        </w:rPr>
        <w:t xml:space="preserve">DNA analysis </w:t>
      </w:r>
      <w:r w:rsidRPr="00D662C3" w:rsidR="00160943">
        <w:rPr>
          <w:szCs w:val="26"/>
        </w:rPr>
        <w:t xml:space="preserve">may </w:t>
      </w:r>
      <w:r w:rsidRPr="00D662C3" w:rsidR="003823D8">
        <w:rPr>
          <w:szCs w:val="26"/>
        </w:rPr>
        <w:t xml:space="preserve">still </w:t>
      </w:r>
      <w:r w:rsidRPr="00D662C3" w:rsidR="00160943">
        <w:rPr>
          <w:szCs w:val="26"/>
        </w:rPr>
        <w:t xml:space="preserve">be deemed harmless where the </w:t>
      </w:r>
      <w:r w:rsidRPr="00D662C3" w:rsidR="004248F0">
        <w:rPr>
          <w:szCs w:val="26"/>
        </w:rPr>
        <w:t>remaining</w:t>
      </w:r>
      <w:r w:rsidRPr="00D662C3" w:rsidR="00160943">
        <w:rPr>
          <w:szCs w:val="26"/>
        </w:rPr>
        <w:t xml:space="preserve"> evidence</w:t>
      </w:r>
      <w:r w:rsidRPr="00D662C3" w:rsidR="00BF20D3">
        <w:rPr>
          <w:szCs w:val="26"/>
        </w:rPr>
        <w:t xml:space="preserve"> </w:t>
      </w:r>
      <w:r w:rsidRPr="00D662C3" w:rsidR="004248F0">
        <w:rPr>
          <w:szCs w:val="26"/>
        </w:rPr>
        <w:t>is so overwhelming as to leave</w:t>
      </w:r>
      <w:r w:rsidRPr="00D662C3" w:rsidR="00732616">
        <w:rPr>
          <w:szCs w:val="26"/>
        </w:rPr>
        <w:t xml:space="preserve"> no reasonable doubt as to the defendant’s </w:t>
      </w:r>
      <w:r w:rsidRPr="00D662C3" w:rsidR="00160943">
        <w:rPr>
          <w:szCs w:val="26"/>
        </w:rPr>
        <w:t xml:space="preserve">guilt.  (See </w:t>
      </w:r>
      <w:r w:rsidRPr="00D662C3" w:rsidR="006723B3">
        <w:rPr>
          <w:i/>
          <w:iCs/>
          <w:szCs w:val="26"/>
        </w:rPr>
        <w:t>Geier, supra</w:t>
      </w:r>
      <w:r w:rsidRPr="00D662C3" w:rsidR="00160943">
        <w:rPr>
          <w:szCs w:val="26"/>
        </w:rPr>
        <w:t xml:space="preserve">, 41 Cal.4th at p. </w:t>
      </w:r>
      <w:r w:rsidRPr="00D662C3" w:rsidR="006723B3">
        <w:rPr>
          <w:szCs w:val="26"/>
        </w:rPr>
        <w:t>608 [“</w:t>
      </w:r>
      <w:r w:rsidRPr="00D662C3" w:rsidR="005C0321">
        <w:rPr>
          <w:szCs w:val="26"/>
        </w:rPr>
        <w:t xml:space="preserve">any error in the admission of DNA evidence was harmless beyond a reasonable </w:t>
      </w:r>
      <w:r w:rsidRPr="00D662C3" w:rsidR="000A5C87">
        <w:rPr>
          <w:szCs w:val="26"/>
        </w:rPr>
        <w:t>doubt</w:t>
      </w:r>
      <w:r w:rsidRPr="00D662C3" w:rsidR="006723B3">
        <w:rPr>
          <w:szCs w:val="26"/>
        </w:rPr>
        <w:t xml:space="preserve">”]; </w:t>
      </w:r>
      <w:r w:rsidRPr="00D662C3" w:rsidR="00555709">
        <w:rPr>
          <w:szCs w:val="26"/>
        </w:rPr>
        <w:t xml:space="preserve">cf. </w:t>
      </w:r>
      <w:r w:rsidRPr="00D662C3" w:rsidR="006723B3">
        <w:rPr>
          <w:i/>
          <w:iCs/>
          <w:szCs w:val="26"/>
        </w:rPr>
        <w:t>Doolin</w:t>
      </w:r>
      <w:r w:rsidRPr="00D662C3" w:rsidR="003823D8">
        <w:rPr>
          <w:i/>
          <w:iCs/>
          <w:szCs w:val="26"/>
        </w:rPr>
        <w:t xml:space="preserve">, supra, </w:t>
      </w:r>
      <w:r w:rsidRPr="00D662C3" w:rsidR="006723B3">
        <w:rPr>
          <w:szCs w:val="26"/>
        </w:rPr>
        <w:t xml:space="preserve">45 Cal.4th </w:t>
      </w:r>
      <w:r w:rsidRPr="00D662C3" w:rsidR="003823D8">
        <w:rPr>
          <w:szCs w:val="26"/>
        </w:rPr>
        <w:t xml:space="preserve">at p. </w:t>
      </w:r>
      <w:r w:rsidRPr="00D662C3" w:rsidR="006723B3">
        <w:rPr>
          <w:szCs w:val="26"/>
        </w:rPr>
        <w:t>448 [</w:t>
      </w:r>
      <w:r w:rsidRPr="00D662C3" w:rsidR="003823D8">
        <w:rPr>
          <w:szCs w:val="26"/>
        </w:rPr>
        <w:t>although</w:t>
      </w:r>
      <w:r w:rsidRPr="00D662C3" w:rsidR="00555709">
        <w:rPr>
          <w:szCs w:val="26"/>
        </w:rPr>
        <w:t xml:space="preserve"> </w:t>
      </w:r>
      <w:r w:rsidRPr="00D662C3" w:rsidR="00160943">
        <w:rPr>
          <w:szCs w:val="26"/>
        </w:rPr>
        <w:t>admission of DNA evidence</w:t>
      </w:r>
      <w:r w:rsidRPr="00D662C3" w:rsidR="003823D8">
        <w:rPr>
          <w:szCs w:val="26"/>
        </w:rPr>
        <w:t xml:space="preserve"> violated state</w:t>
      </w:r>
      <w:r w:rsidRPr="00D662C3" w:rsidR="00741821">
        <w:rPr>
          <w:szCs w:val="26"/>
        </w:rPr>
        <w:t xml:space="preserve"> evidentiary law</w:t>
      </w:r>
      <w:r w:rsidRPr="00D662C3" w:rsidR="003823D8">
        <w:rPr>
          <w:szCs w:val="26"/>
        </w:rPr>
        <w:t xml:space="preserve">, the error was </w:t>
      </w:r>
      <w:r w:rsidRPr="00D662C3" w:rsidR="00741821">
        <w:rPr>
          <w:szCs w:val="26"/>
        </w:rPr>
        <w:t>harmless</w:t>
      </w:r>
      <w:r w:rsidRPr="00D662C3" w:rsidR="00555709">
        <w:rPr>
          <w:szCs w:val="26"/>
        </w:rPr>
        <w:t xml:space="preserve"> </w:t>
      </w:r>
      <w:r w:rsidRPr="00D662C3" w:rsidR="00160943">
        <w:rPr>
          <w:szCs w:val="26"/>
        </w:rPr>
        <w:t xml:space="preserve">“in light of the overwhelming and uncontradicted evidence of defendant’s guilt”].)  We believe this is such a case.  </w:t>
      </w:r>
    </w:p>
    <w:p w:rsidR="00732616" w:rsidRPr="00D662C3" w:rsidP="004F5DF7">
      <w:pPr>
        <w:ind w:firstLine="720"/>
        <w:rPr>
          <w:szCs w:val="26"/>
        </w:rPr>
      </w:pPr>
      <w:r w:rsidRPr="00D662C3">
        <w:rPr>
          <w:szCs w:val="26"/>
        </w:rPr>
        <w:t>T</w:t>
      </w:r>
      <w:r w:rsidRPr="00D662C3" w:rsidR="00160943">
        <w:rPr>
          <w:szCs w:val="26"/>
        </w:rPr>
        <w:t>he prosecution’s case</w:t>
      </w:r>
      <w:r w:rsidRPr="00D662C3" w:rsidR="00626906">
        <w:rPr>
          <w:szCs w:val="26"/>
        </w:rPr>
        <w:t xml:space="preserve"> </w:t>
      </w:r>
      <w:r w:rsidRPr="00D662C3" w:rsidR="00B71039">
        <w:rPr>
          <w:szCs w:val="26"/>
        </w:rPr>
        <w:t xml:space="preserve">against Gonzalez </w:t>
      </w:r>
      <w:r w:rsidRPr="00D662C3" w:rsidR="00160943">
        <w:rPr>
          <w:szCs w:val="26"/>
        </w:rPr>
        <w:t xml:space="preserve">centered </w:t>
      </w:r>
      <w:r w:rsidRPr="00D662C3" w:rsidR="00555709">
        <w:rPr>
          <w:szCs w:val="26"/>
        </w:rPr>
        <w:t>on</w:t>
      </w:r>
      <w:r w:rsidRPr="00D662C3" w:rsidR="00160943">
        <w:rPr>
          <w:szCs w:val="26"/>
        </w:rPr>
        <w:t xml:space="preserve"> two categories of </w:t>
      </w:r>
      <w:r w:rsidRPr="00D662C3" w:rsidR="00555709">
        <w:rPr>
          <w:szCs w:val="26"/>
        </w:rPr>
        <w:t xml:space="preserve">highly incriminating </w:t>
      </w:r>
      <w:r w:rsidRPr="00D662C3" w:rsidR="00BC1EEC">
        <w:rPr>
          <w:szCs w:val="26"/>
        </w:rPr>
        <w:t>evidence</w:t>
      </w:r>
      <w:r w:rsidRPr="00D662C3" w:rsidR="00330CDB">
        <w:rPr>
          <w:szCs w:val="26"/>
        </w:rPr>
        <w:t xml:space="preserve"> that were independent of the DNA analysis</w:t>
      </w:r>
      <w:r w:rsidRPr="00D662C3" w:rsidR="00160943">
        <w:rPr>
          <w:szCs w:val="26"/>
        </w:rPr>
        <w:t xml:space="preserve">:  </w:t>
      </w:r>
      <w:r w:rsidRPr="00D662C3" w:rsidR="00757AE5">
        <w:rPr>
          <w:szCs w:val="26"/>
        </w:rPr>
        <w:t xml:space="preserve">(1) </w:t>
      </w:r>
      <w:r w:rsidRPr="00D662C3" w:rsidR="00160943">
        <w:rPr>
          <w:szCs w:val="26"/>
        </w:rPr>
        <w:t xml:space="preserve">statements </w:t>
      </w:r>
      <w:r w:rsidRPr="00D662C3">
        <w:rPr>
          <w:szCs w:val="26"/>
        </w:rPr>
        <w:t xml:space="preserve">that </w:t>
      </w:r>
      <w:r w:rsidRPr="00D662C3" w:rsidR="00160943">
        <w:rPr>
          <w:szCs w:val="26"/>
        </w:rPr>
        <w:t xml:space="preserve">Gonzalez and Flint made to </w:t>
      </w:r>
      <w:r w:rsidRPr="00D662C3">
        <w:rPr>
          <w:szCs w:val="26"/>
        </w:rPr>
        <w:t>law enforcement</w:t>
      </w:r>
      <w:r w:rsidRPr="00D662C3" w:rsidR="00BC1EEC">
        <w:rPr>
          <w:szCs w:val="26"/>
        </w:rPr>
        <w:t xml:space="preserve"> </w:t>
      </w:r>
      <w:r w:rsidRPr="00D662C3" w:rsidR="00160943">
        <w:rPr>
          <w:szCs w:val="26"/>
        </w:rPr>
        <w:t>agents</w:t>
      </w:r>
      <w:r w:rsidRPr="00D662C3" w:rsidR="00BC1EEC">
        <w:rPr>
          <w:szCs w:val="26"/>
        </w:rPr>
        <w:t xml:space="preserve"> </w:t>
      </w:r>
      <w:r w:rsidRPr="00D662C3" w:rsidR="00757AE5">
        <w:rPr>
          <w:szCs w:val="26"/>
        </w:rPr>
        <w:t xml:space="preserve">who were </w:t>
      </w:r>
      <w:r w:rsidRPr="00D662C3" w:rsidR="00BC1EEC">
        <w:rPr>
          <w:szCs w:val="26"/>
        </w:rPr>
        <w:t>posing as inmates</w:t>
      </w:r>
      <w:r w:rsidRPr="00D662C3">
        <w:rPr>
          <w:szCs w:val="26"/>
        </w:rPr>
        <w:t xml:space="preserve"> during a sophisticated</w:t>
      </w:r>
      <w:r w:rsidRPr="00D662C3" w:rsidR="004248F0">
        <w:rPr>
          <w:szCs w:val="26"/>
        </w:rPr>
        <w:t xml:space="preserve"> </w:t>
      </w:r>
      <w:r w:rsidRPr="00D662C3">
        <w:rPr>
          <w:szCs w:val="26"/>
        </w:rPr>
        <w:t>undercover operation</w:t>
      </w:r>
      <w:r w:rsidRPr="00D662C3" w:rsidR="002E10A5">
        <w:rPr>
          <w:szCs w:val="26"/>
        </w:rPr>
        <w:t>;</w:t>
      </w:r>
      <w:r w:rsidRPr="00D662C3" w:rsidR="00BC1EEC">
        <w:rPr>
          <w:szCs w:val="26"/>
        </w:rPr>
        <w:t xml:space="preserve"> </w:t>
      </w:r>
      <w:r w:rsidRPr="00D662C3" w:rsidR="004120D3">
        <w:rPr>
          <w:szCs w:val="26"/>
        </w:rPr>
        <w:t xml:space="preserve">and </w:t>
      </w:r>
      <w:r w:rsidRPr="00D662C3" w:rsidR="00757AE5">
        <w:rPr>
          <w:szCs w:val="26"/>
        </w:rPr>
        <w:t xml:space="preserve">(2) </w:t>
      </w:r>
      <w:r w:rsidRPr="00D662C3" w:rsidR="004248F0">
        <w:rPr>
          <w:szCs w:val="26"/>
        </w:rPr>
        <w:t>admissions that Gonzalez made to his</w:t>
      </w:r>
      <w:r w:rsidRPr="00D662C3">
        <w:rPr>
          <w:szCs w:val="26"/>
        </w:rPr>
        <w:t xml:space="preserve"> longtime girlfriend and sister</w:t>
      </w:r>
      <w:r w:rsidRPr="00D662C3" w:rsidR="004248F0">
        <w:rPr>
          <w:szCs w:val="26"/>
        </w:rPr>
        <w:t xml:space="preserve"> regarding his commission of the offense</w:t>
      </w:r>
      <w:r w:rsidRPr="00D662C3">
        <w:rPr>
          <w:szCs w:val="26"/>
        </w:rPr>
        <w:t>.</w:t>
      </w:r>
      <w:r w:rsidRPr="00D662C3" w:rsidR="004120D3">
        <w:rPr>
          <w:szCs w:val="26"/>
        </w:rPr>
        <w:t xml:space="preserve"> </w:t>
      </w:r>
      <w:r w:rsidRPr="00D662C3" w:rsidR="00757AE5">
        <w:rPr>
          <w:szCs w:val="26"/>
        </w:rPr>
        <w:t xml:space="preserve"> </w:t>
      </w:r>
      <w:r w:rsidRPr="00D662C3" w:rsidR="004120D3">
        <w:rPr>
          <w:szCs w:val="26"/>
        </w:rPr>
        <w:t xml:space="preserve">The quantity and quality of that evidence was </w:t>
      </w:r>
      <w:r w:rsidRPr="00D662C3" w:rsidR="004248F0">
        <w:rPr>
          <w:szCs w:val="26"/>
        </w:rPr>
        <w:t>prodigious</w:t>
      </w:r>
      <w:r w:rsidRPr="00D662C3" w:rsidR="004120D3">
        <w:rPr>
          <w:szCs w:val="26"/>
        </w:rPr>
        <w:t xml:space="preserve">.  </w:t>
      </w:r>
    </w:p>
    <w:p w:rsidR="00757AE5" w:rsidRPr="00D662C3" w:rsidP="004F5DF7">
      <w:pPr>
        <w:ind w:firstLine="720"/>
        <w:rPr>
          <w:szCs w:val="26"/>
        </w:rPr>
      </w:pPr>
      <w:r w:rsidRPr="00D662C3">
        <w:rPr>
          <w:szCs w:val="26"/>
        </w:rPr>
        <w:t xml:space="preserve">During the undercover operation, </w:t>
      </w:r>
      <w:r w:rsidRPr="00D662C3">
        <w:rPr>
          <w:szCs w:val="26"/>
        </w:rPr>
        <w:t xml:space="preserve">most of which was recorded, </w:t>
      </w:r>
      <w:r w:rsidRPr="00D662C3">
        <w:rPr>
          <w:szCs w:val="26"/>
        </w:rPr>
        <w:t xml:space="preserve">Gonzalez </w:t>
      </w:r>
      <w:r w:rsidRPr="00D662C3" w:rsidR="00741821">
        <w:rPr>
          <w:szCs w:val="26"/>
        </w:rPr>
        <w:t>informed</w:t>
      </w:r>
      <w:r w:rsidRPr="00D662C3" w:rsidR="003823D8">
        <w:rPr>
          <w:szCs w:val="26"/>
        </w:rPr>
        <w:t xml:space="preserve"> multiple</w:t>
      </w:r>
      <w:r w:rsidRPr="00D662C3" w:rsidR="00EF736A">
        <w:rPr>
          <w:szCs w:val="26"/>
        </w:rPr>
        <w:t xml:space="preserve"> </w:t>
      </w:r>
      <w:r w:rsidRPr="00D662C3" w:rsidR="00732616">
        <w:rPr>
          <w:szCs w:val="26"/>
        </w:rPr>
        <w:t>agent</w:t>
      </w:r>
      <w:r w:rsidRPr="00D662C3" w:rsidR="003823D8">
        <w:rPr>
          <w:szCs w:val="26"/>
        </w:rPr>
        <w:t>s</w:t>
      </w:r>
      <w:r w:rsidRPr="00D662C3">
        <w:rPr>
          <w:szCs w:val="26"/>
        </w:rPr>
        <w:t xml:space="preserve"> </w:t>
      </w:r>
      <w:r w:rsidRPr="00D662C3" w:rsidR="00EF736A">
        <w:rPr>
          <w:szCs w:val="26"/>
        </w:rPr>
        <w:t xml:space="preserve">that </w:t>
      </w:r>
      <w:r w:rsidRPr="00D662C3">
        <w:rPr>
          <w:szCs w:val="26"/>
        </w:rPr>
        <w:t>he had shot a female</w:t>
      </w:r>
      <w:r w:rsidRPr="00D662C3" w:rsidR="00D85B95">
        <w:rPr>
          <w:szCs w:val="26"/>
        </w:rPr>
        <w:t xml:space="preserve"> police officer</w:t>
      </w:r>
      <w:r w:rsidRPr="00D662C3" w:rsidR="007447A1">
        <w:rPr>
          <w:szCs w:val="26"/>
        </w:rPr>
        <w:t>.  Gonzalez</w:t>
      </w:r>
      <w:r w:rsidRPr="00D662C3" w:rsidR="00EF736A">
        <w:rPr>
          <w:szCs w:val="26"/>
        </w:rPr>
        <w:t xml:space="preserve"> also disclosed numerous details </w:t>
      </w:r>
      <w:r w:rsidRPr="00D662C3" w:rsidR="00BE1727">
        <w:rPr>
          <w:szCs w:val="26"/>
        </w:rPr>
        <w:t>about</w:t>
      </w:r>
      <w:r w:rsidRPr="00D662C3" w:rsidR="00EF736A">
        <w:rPr>
          <w:szCs w:val="26"/>
        </w:rPr>
        <w:t xml:space="preserve"> the crime, explaining (among other things) </w:t>
      </w:r>
      <w:r w:rsidRPr="00D662C3" w:rsidR="00823114">
        <w:rPr>
          <w:szCs w:val="26"/>
        </w:rPr>
        <w:t xml:space="preserve">that he had </w:t>
      </w:r>
      <w:r w:rsidRPr="00D662C3" w:rsidR="00EF736A">
        <w:rPr>
          <w:szCs w:val="26"/>
        </w:rPr>
        <w:t xml:space="preserve">left a bicycle at the scene, that he had </w:t>
      </w:r>
      <w:r w:rsidRPr="00D662C3" w:rsidR="00823114">
        <w:rPr>
          <w:szCs w:val="26"/>
        </w:rPr>
        <w:t>thrown the</w:t>
      </w:r>
      <w:r w:rsidRPr="00D662C3" w:rsidR="00EF736A">
        <w:rPr>
          <w:szCs w:val="26"/>
        </w:rPr>
        <w:t xml:space="preserve"> murder weapon </w:t>
      </w:r>
      <w:r w:rsidRPr="00D662C3" w:rsidR="00823114">
        <w:rPr>
          <w:szCs w:val="26"/>
        </w:rPr>
        <w:t>into the water</w:t>
      </w:r>
      <w:r w:rsidRPr="00D662C3" w:rsidR="00EF736A">
        <w:rPr>
          <w:szCs w:val="26"/>
        </w:rPr>
        <w:t xml:space="preserve"> and that he had not left any </w:t>
      </w:r>
      <w:r w:rsidRPr="00D662C3" w:rsidR="00823114">
        <w:rPr>
          <w:szCs w:val="26"/>
        </w:rPr>
        <w:t xml:space="preserve">footprints because the </w:t>
      </w:r>
      <w:r w:rsidRPr="00D662C3" w:rsidR="00BE1727">
        <w:rPr>
          <w:szCs w:val="26"/>
        </w:rPr>
        <w:t xml:space="preserve">crime </w:t>
      </w:r>
      <w:r w:rsidRPr="00D662C3" w:rsidR="00823114">
        <w:rPr>
          <w:szCs w:val="26"/>
        </w:rPr>
        <w:t>occurred on pavement</w:t>
      </w:r>
      <w:r w:rsidRPr="00D662C3" w:rsidR="00973754">
        <w:rPr>
          <w:szCs w:val="26"/>
        </w:rPr>
        <w:t xml:space="preserve">.  </w:t>
      </w:r>
      <w:r w:rsidRPr="00D662C3" w:rsidR="007447A1">
        <w:rPr>
          <w:szCs w:val="26"/>
        </w:rPr>
        <w:t xml:space="preserve">Gonzalez and Flint </w:t>
      </w:r>
      <w:r w:rsidRPr="00D662C3" w:rsidR="00EF736A">
        <w:rPr>
          <w:szCs w:val="26"/>
        </w:rPr>
        <w:t xml:space="preserve">were </w:t>
      </w:r>
      <w:r w:rsidR="002A6882">
        <w:rPr>
          <w:szCs w:val="26"/>
        </w:rPr>
        <w:t xml:space="preserve">also </w:t>
      </w:r>
      <w:r w:rsidRPr="00D662C3" w:rsidR="00EF736A">
        <w:rPr>
          <w:szCs w:val="26"/>
        </w:rPr>
        <w:t xml:space="preserve">heard </w:t>
      </w:r>
      <w:r w:rsidRPr="00D662C3" w:rsidR="007447A1">
        <w:rPr>
          <w:szCs w:val="26"/>
        </w:rPr>
        <w:t>discussing killing any witnesses to the murder</w:t>
      </w:r>
      <w:r w:rsidR="002A6882">
        <w:rPr>
          <w:szCs w:val="26"/>
        </w:rPr>
        <w:t xml:space="preserve">, and Flint </w:t>
      </w:r>
      <w:r w:rsidRPr="00D662C3" w:rsidR="00EF736A">
        <w:rPr>
          <w:szCs w:val="26"/>
        </w:rPr>
        <w:t>stat</w:t>
      </w:r>
      <w:r w:rsidR="002A6882">
        <w:rPr>
          <w:szCs w:val="26"/>
        </w:rPr>
        <w:t>ed</w:t>
      </w:r>
      <w:r w:rsidRPr="00D662C3" w:rsidR="00EF736A">
        <w:rPr>
          <w:szCs w:val="26"/>
        </w:rPr>
        <w:t xml:space="preserve"> that th</w:t>
      </w:r>
      <w:r w:rsidRPr="00D662C3" w:rsidR="007447A1">
        <w:rPr>
          <w:szCs w:val="26"/>
        </w:rPr>
        <w:t>e victim</w:t>
      </w:r>
      <w:r w:rsidRPr="00D662C3" w:rsidR="00C27721">
        <w:rPr>
          <w:szCs w:val="26"/>
        </w:rPr>
        <w:t xml:space="preserve"> would</w:t>
      </w:r>
      <w:r w:rsidRPr="00D662C3" w:rsidR="00E76FF3">
        <w:rPr>
          <w:szCs w:val="26"/>
        </w:rPr>
        <w:t xml:space="preserve"> </w:t>
      </w:r>
      <w:r w:rsidRPr="00D662C3" w:rsidR="00EF736A">
        <w:rPr>
          <w:szCs w:val="26"/>
        </w:rPr>
        <w:t xml:space="preserve">not have been </w:t>
      </w:r>
      <w:r w:rsidRPr="00D662C3" w:rsidR="00E76FF3">
        <w:rPr>
          <w:szCs w:val="26"/>
        </w:rPr>
        <w:t xml:space="preserve">killed </w:t>
      </w:r>
      <w:r w:rsidRPr="00D662C3" w:rsidR="00C27721">
        <w:rPr>
          <w:szCs w:val="26"/>
        </w:rPr>
        <w:t xml:space="preserve">if she had given </w:t>
      </w:r>
      <w:r w:rsidRPr="00D662C3">
        <w:rPr>
          <w:szCs w:val="26"/>
        </w:rPr>
        <w:t>up her wallet</w:t>
      </w:r>
      <w:r w:rsidRPr="00D662C3" w:rsidR="00C27721">
        <w:rPr>
          <w:szCs w:val="26"/>
        </w:rPr>
        <w:t>.</w:t>
      </w:r>
      <w:r w:rsidRPr="00D662C3" w:rsidR="00D2180E">
        <w:rPr>
          <w:szCs w:val="26"/>
        </w:rPr>
        <w:t xml:space="preserve">  </w:t>
      </w:r>
    </w:p>
    <w:p w:rsidR="00823114" w:rsidRPr="00D662C3" w:rsidP="004F5DF7">
      <w:pPr>
        <w:ind w:firstLine="720"/>
        <w:rPr>
          <w:szCs w:val="26"/>
        </w:rPr>
      </w:pPr>
      <w:r w:rsidRPr="00D662C3">
        <w:rPr>
          <w:szCs w:val="26"/>
        </w:rPr>
        <w:t xml:space="preserve">Gonzalez’s </w:t>
      </w:r>
      <w:r w:rsidRPr="00D662C3" w:rsidR="00741821">
        <w:rPr>
          <w:szCs w:val="26"/>
        </w:rPr>
        <w:t xml:space="preserve">girlfriend and </w:t>
      </w:r>
      <w:r w:rsidRPr="00D662C3">
        <w:rPr>
          <w:szCs w:val="26"/>
        </w:rPr>
        <w:t xml:space="preserve">sister </w:t>
      </w:r>
      <w:r w:rsidRPr="00D662C3" w:rsidR="00E76FF3">
        <w:rPr>
          <w:szCs w:val="26"/>
        </w:rPr>
        <w:t>provided additional</w:t>
      </w:r>
      <w:r w:rsidRPr="00D662C3" w:rsidR="00EF736A">
        <w:rPr>
          <w:szCs w:val="26"/>
        </w:rPr>
        <w:t xml:space="preserve">, </w:t>
      </w:r>
      <w:r w:rsidRPr="00D662C3" w:rsidR="00E76FF3">
        <w:rPr>
          <w:szCs w:val="26"/>
        </w:rPr>
        <w:t xml:space="preserve">highly incriminating testimony. </w:t>
      </w:r>
      <w:r w:rsidRPr="00D662C3" w:rsidR="00EF736A">
        <w:rPr>
          <w:szCs w:val="26"/>
        </w:rPr>
        <w:t xml:space="preserve"> Rowan and Celina both </w:t>
      </w:r>
      <w:r w:rsidRPr="00D662C3" w:rsidR="00757AE5">
        <w:rPr>
          <w:szCs w:val="26"/>
        </w:rPr>
        <w:t xml:space="preserve">explained they had pleaded guilty to obstruction of justice after law enforcement intercepted conversations in which they were </w:t>
      </w:r>
      <w:r w:rsidRPr="00D662C3" w:rsidR="00741821">
        <w:rPr>
          <w:szCs w:val="26"/>
        </w:rPr>
        <w:t xml:space="preserve">heard fabricating an </w:t>
      </w:r>
      <w:r w:rsidRPr="00D662C3" w:rsidR="00757AE5">
        <w:rPr>
          <w:szCs w:val="26"/>
        </w:rPr>
        <w:t xml:space="preserve">alibi for Gonzalez.  They both testified that </w:t>
      </w:r>
      <w:r w:rsidRPr="00D662C3" w:rsidR="00EF736A">
        <w:rPr>
          <w:szCs w:val="26"/>
        </w:rPr>
        <w:t xml:space="preserve">Gonzalez had admitted he shot a female police officer and showed them a newspaper with a story about the crime.  Rowan also </w:t>
      </w:r>
      <w:r w:rsidRPr="00D662C3" w:rsidR="00757AE5">
        <w:rPr>
          <w:szCs w:val="26"/>
        </w:rPr>
        <w:t xml:space="preserve">testified </w:t>
      </w:r>
      <w:r w:rsidRPr="00D662C3" w:rsidR="00EF736A">
        <w:rPr>
          <w:szCs w:val="26"/>
        </w:rPr>
        <w:t xml:space="preserve">that Gonzalez told her he left a bicycle at the scene of the crime and had </w:t>
      </w:r>
      <w:r w:rsidRPr="00D662C3" w:rsidR="00757AE5">
        <w:rPr>
          <w:szCs w:val="26"/>
        </w:rPr>
        <w:t xml:space="preserve">thrown the </w:t>
      </w:r>
      <w:r w:rsidRPr="00D662C3" w:rsidR="00EF736A">
        <w:rPr>
          <w:szCs w:val="26"/>
        </w:rPr>
        <w:t xml:space="preserve">murder weapon into </w:t>
      </w:r>
      <w:r w:rsidRPr="00D662C3" w:rsidR="00757AE5">
        <w:rPr>
          <w:szCs w:val="26"/>
        </w:rPr>
        <w:t>the</w:t>
      </w:r>
      <w:r w:rsidRPr="00D662C3" w:rsidR="00EF736A">
        <w:rPr>
          <w:szCs w:val="26"/>
        </w:rPr>
        <w:t xml:space="preserve"> ocean. </w:t>
      </w:r>
      <w:r w:rsidRPr="00D662C3" w:rsidR="00BD2926">
        <w:rPr>
          <w:szCs w:val="26"/>
        </w:rPr>
        <w:t xml:space="preserve"> </w:t>
      </w:r>
      <w:r w:rsidRPr="00D662C3" w:rsidR="00A96B73">
        <w:rPr>
          <w:szCs w:val="26"/>
        </w:rPr>
        <w:t xml:space="preserve">Rowan </w:t>
      </w:r>
      <w:r w:rsidRPr="00D662C3" w:rsidR="00741821">
        <w:rPr>
          <w:szCs w:val="26"/>
        </w:rPr>
        <w:t xml:space="preserve">further acknowledged </w:t>
      </w:r>
      <w:r w:rsidRPr="00D662C3" w:rsidR="00A96B73">
        <w:rPr>
          <w:szCs w:val="26"/>
        </w:rPr>
        <w:t>that l</w:t>
      </w:r>
      <w:r w:rsidRPr="00D662C3" w:rsidR="00BD2926">
        <w:rPr>
          <w:szCs w:val="26"/>
        </w:rPr>
        <w:t xml:space="preserve">aw enforcement </w:t>
      </w:r>
      <w:r w:rsidRPr="00D662C3" w:rsidR="00A96B73">
        <w:rPr>
          <w:szCs w:val="26"/>
        </w:rPr>
        <w:t>had re</w:t>
      </w:r>
      <w:r w:rsidRPr="00D662C3" w:rsidR="00BD2926">
        <w:rPr>
          <w:szCs w:val="26"/>
        </w:rPr>
        <w:t xml:space="preserve">corded </w:t>
      </w:r>
      <w:r w:rsidRPr="00D662C3" w:rsidR="003823D8">
        <w:rPr>
          <w:szCs w:val="26"/>
        </w:rPr>
        <w:t xml:space="preserve">incriminating </w:t>
      </w:r>
      <w:r w:rsidRPr="00D662C3" w:rsidR="00BD2926">
        <w:rPr>
          <w:szCs w:val="26"/>
        </w:rPr>
        <w:t xml:space="preserve">conversations </w:t>
      </w:r>
      <w:r w:rsidRPr="00D662C3" w:rsidR="00A96B73">
        <w:rPr>
          <w:szCs w:val="26"/>
        </w:rPr>
        <w:t xml:space="preserve">she had with </w:t>
      </w:r>
      <w:r w:rsidRPr="00D662C3" w:rsidR="00BD2926">
        <w:rPr>
          <w:szCs w:val="26"/>
        </w:rPr>
        <w:t xml:space="preserve">Gonzalez while visiting him in prison.  </w:t>
      </w:r>
      <w:r w:rsidRPr="00D662C3" w:rsidR="00A96B73">
        <w:rPr>
          <w:szCs w:val="26"/>
        </w:rPr>
        <w:t xml:space="preserve">During those recorded conversations, </w:t>
      </w:r>
      <w:r w:rsidRPr="00D662C3" w:rsidR="00BD2926">
        <w:rPr>
          <w:szCs w:val="26"/>
        </w:rPr>
        <w:t>Gonzalez instructed her to contact an acquaintance and ask him to take care of any possible s</w:t>
      </w:r>
      <w:r w:rsidRPr="00D662C3" w:rsidR="00A96B73">
        <w:rPr>
          <w:szCs w:val="26"/>
        </w:rPr>
        <w:t>nitches; he also exclaimed “oh fuck” after Rowan informed him that police divers were searching for the murder weapon</w:t>
      </w:r>
      <w:r w:rsidRPr="00D662C3" w:rsidR="00BD2926">
        <w:rPr>
          <w:szCs w:val="26"/>
        </w:rPr>
        <w:t xml:space="preserve">.   </w:t>
      </w:r>
      <w:r w:rsidRPr="00D662C3" w:rsidR="00EF736A">
        <w:rPr>
          <w:szCs w:val="26"/>
        </w:rPr>
        <w:t xml:space="preserve">   </w:t>
      </w:r>
      <w:r w:rsidRPr="00D662C3" w:rsidR="00973754">
        <w:rPr>
          <w:szCs w:val="26"/>
        </w:rPr>
        <w:t xml:space="preserve"> </w:t>
      </w:r>
    </w:p>
    <w:p w:rsidR="00C53F47" w:rsidRPr="00D662C3" w:rsidP="004F5DF7">
      <w:pPr>
        <w:ind w:firstLine="720"/>
      </w:pPr>
      <w:r w:rsidRPr="00D662C3">
        <w:rPr>
          <w:szCs w:val="26"/>
        </w:rPr>
        <w:t xml:space="preserve">Given </w:t>
      </w:r>
      <w:r w:rsidRPr="00D662C3" w:rsidR="005E0837">
        <w:rPr>
          <w:szCs w:val="26"/>
        </w:rPr>
        <w:t>th</w:t>
      </w:r>
      <w:r w:rsidRPr="00D662C3" w:rsidR="00A96B73">
        <w:rPr>
          <w:szCs w:val="26"/>
        </w:rPr>
        <w:t xml:space="preserve">is </w:t>
      </w:r>
      <w:r w:rsidRPr="00D662C3" w:rsidR="003823D8">
        <w:rPr>
          <w:szCs w:val="26"/>
        </w:rPr>
        <w:t xml:space="preserve">highly incriminating </w:t>
      </w:r>
      <w:r w:rsidRPr="00D662C3" w:rsidR="00A96B73">
        <w:rPr>
          <w:szCs w:val="26"/>
        </w:rPr>
        <w:t xml:space="preserve">additional </w:t>
      </w:r>
      <w:r w:rsidRPr="00D662C3" w:rsidR="002C1381">
        <w:rPr>
          <w:szCs w:val="26"/>
        </w:rPr>
        <w:t>evidence</w:t>
      </w:r>
      <w:r w:rsidRPr="00D662C3" w:rsidR="00A96B73">
        <w:rPr>
          <w:szCs w:val="26"/>
        </w:rPr>
        <w:t xml:space="preserve"> of guilt</w:t>
      </w:r>
      <w:r w:rsidRPr="00D662C3" w:rsidR="002C1381">
        <w:rPr>
          <w:szCs w:val="26"/>
        </w:rPr>
        <w:t xml:space="preserve">, we are persuaded beyond a reasonable doubt that the jury would have returned </w:t>
      </w:r>
      <w:r w:rsidRPr="00D662C3" w:rsidR="00A96B73">
        <w:rPr>
          <w:szCs w:val="26"/>
        </w:rPr>
        <w:t xml:space="preserve">the same </w:t>
      </w:r>
      <w:r w:rsidRPr="00D662C3" w:rsidR="002C1381">
        <w:rPr>
          <w:szCs w:val="26"/>
        </w:rPr>
        <w:t>verdict even in the absence of the DNA evidence.</w:t>
      </w:r>
      <w:r w:rsidRPr="00D662C3" w:rsidR="0008740C">
        <w:rPr>
          <w:szCs w:val="26"/>
        </w:rPr>
        <w:t xml:space="preserve">  </w:t>
      </w:r>
    </w:p>
    <w:p w:rsidR="001B4BA0" w:rsidRPr="00D662C3" w:rsidP="004F5DF7">
      <w:pPr>
        <w:pStyle w:val="ListParagraph"/>
        <w:numPr>
          <w:ilvl w:val="0"/>
          <w:numId w:val="7"/>
        </w:numPr>
        <w:tabs>
          <w:tab w:val="left" w:pos="1440"/>
        </w:tabs>
        <w:rPr>
          <w:i/>
          <w:iCs/>
          <w:smallCaps/>
        </w:rPr>
      </w:pPr>
      <w:r w:rsidRPr="00D662C3">
        <w:rPr>
          <w:i/>
          <w:iCs/>
        </w:rPr>
        <w:t>Gonzalez has failed to establish prosecutorial or judicial misconduct</w:t>
      </w:r>
      <w:r w:rsidRPr="00D662C3">
        <w:rPr>
          <w:i/>
          <w:iCs/>
        </w:rPr>
        <w:t xml:space="preserve"> </w:t>
      </w:r>
    </w:p>
    <w:p w:rsidR="00D04FBF" w:rsidRPr="00D662C3" w:rsidP="004F5DF7">
      <w:pPr>
        <w:ind w:firstLine="720"/>
      </w:pPr>
      <w:r w:rsidRPr="00D662C3">
        <w:t>Gonzalez</w:t>
      </w:r>
      <w:r w:rsidRPr="00D662C3">
        <w:t xml:space="preserve"> argues the prosecution</w:t>
      </w:r>
      <w:r w:rsidRPr="00D662C3" w:rsidR="00745920">
        <w:t xml:space="preserve"> violated his due process rights by asking two key witnesses</w:t>
      </w:r>
      <w:r w:rsidRPr="00D662C3" w:rsidR="00CF0A7C">
        <w:t> —</w:t>
      </w:r>
      <w:r w:rsidRPr="00D662C3" w:rsidR="002A4D67">
        <w:t xml:space="preserve"> </w:t>
      </w:r>
      <w:r w:rsidRPr="00D662C3">
        <w:t>Rowan and</w:t>
      </w:r>
      <w:r w:rsidRPr="00D662C3" w:rsidR="00BF2809">
        <w:t xml:space="preserve"> </w:t>
      </w:r>
      <w:r w:rsidRPr="00D662C3">
        <w:t>Celina</w:t>
      </w:r>
      <w:r w:rsidRPr="00D662C3" w:rsidR="00CF0A7C">
        <w:t> —</w:t>
      </w:r>
      <w:r w:rsidRPr="00D662C3" w:rsidR="00745920">
        <w:t xml:space="preserve"> a series of leading questions.  </w:t>
      </w:r>
      <w:r w:rsidRPr="00D662C3" w:rsidR="00BF2809">
        <w:t xml:space="preserve">He </w:t>
      </w:r>
      <w:r w:rsidRPr="00D662C3" w:rsidR="00745920">
        <w:t xml:space="preserve">contends the </w:t>
      </w:r>
      <w:r w:rsidRPr="00D662C3" w:rsidR="00BF2809">
        <w:t>prosecut</w:t>
      </w:r>
      <w:r w:rsidRPr="00D662C3" w:rsidR="00745920">
        <w:t xml:space="preserve">ion </w:t>
      </w:r>
      <w:r w:rsidRPr="00D662C3" w:rsidR="00BF2809">
        <w:t xml:space="preserve">and the </w:t>
      </w:r>
      <w:r w:rsidRPr="00D662C3">
        <w:t xml:space="preserve">trial </w:t>
      </w:r>
      <w:r w:rsidRPr="00D662C3" w:rsidR="00BF2809">
        <w:t>court</w:t>
      </w:r>
      <w:r w:rsidRPr="00D662C3" w:rsidR="00A96B73">
        <w:t xml:space="preserve"> committed a second due process violation by </w:t>
      </w:r>
      <w:r w:rsidRPr="00D662C3" w:rsidR="00BF2809">
        <w:t>coerc</w:t>
      </w:r>
      <w:r w:rsidRPr="00D662C3" w:rsidR="00A96B73">
        <w:t xml:space="preserve">ing </w:t>
      </w:r>
      <w:r w:rsidRPr="00D662C3">
        <w:t>t</w:t>
      </w:r>
      <w:r w:rsidRPr="00D662C3" w:rsidR="00CF0A7C">
        <w:t xml:space="preserve">hose </w:t>
      </w:r>
      <w:r w:rsidRPr="00D662C3" w:rsidR="00BF2809">
        <w:t xml:space="preserve">witnesses to </w:t>
      </w:r>
      <w:r w:rsidRPr="00D662C3" w:rsidR="00EA4669">
        <w:t>say</w:t>
      </w:r>
      <w:r w:rsidRPr="00D662C3" w:rsidR="00E97098">
        <w:t xml:space="preserve"> </w:t>
      </w:r>
      <w:r w:rsidRPr="00D662C3" w:rsidR="00EA4669">
        <w:t xml:space="preserve">what </w:t>
      </w:r>
      <w:r w:rsidRPr="00D662C3">
        <w:t>t</w:t>
      </w:r>
      <w:r w:rsidRPr="00D662C3" w:rsidR="00E97098">
        <w:t xml:space="preserve">he prosecutor wanted </w:t>
      </w:r>
      <w:r w:rsidRPr="00D662C3" w:rsidR="00EA4669">
        <w:t>them to say</w:t>
      </w:r>
      <w:r w:rsidRPr="00D662C3" w:rsidR="00E97098">
        <w:t>.</w:t>
      </w:r>
      <w:r w:rsidRPr="00D662C3" w:rsidR="00745920">
        <w:t xml:space="preserve">  Both claims lack merit.</w:t>
      </w:r>
      <w:r w:rsidRPr="00D662C3" w:rsidR="00E97098">
        <w:t xml:space="preserve">  </w:t>
      </w:r>
    </w:p>
    <w:p w:rsidR="00424EE3" w:rsidRPr="00D662C3" w:rsidP="004F5DF7">
      <w:pPr>
        <w:pStyle w:val="ListParagraph"/>
        <w:numPr>
          <w:ilvl w:val="0"/>
          <w:numId w:val="9"/>
        </w:numPr>
        <w:rPr>
          <w:i/>
          <w:iCs/>
        </w:rPr>
      </w:pPr>
      <w:r w:rsidRPr="00D662C3">
        <w:rPr>
          <w:i/>
          <w:iCs/>
        </w:rPr>
        <w:t>Background</w:t>
      </w:r>
    </w:p>
    <w:p w:rsidR="00424EE3" w:rsidRPr="00D662C3" w:rsidP="004F5DF7">
      <w:pPr>
        <w:ind w:firstLine="720"/>
      </w:pPr>
      <w:r w:rsidRPr="00D662C3">
        <w:t xml:space="preserve">Rowan and </w:t>
      </w:r>
      <w:r w:rsidRPr="00D662C3" w:rsidR="00C52922">
        <w:t xml:space="preserve">Celina </w:t>
      </w:r>
      <w:r w:rsidRPr="00D662C3" w:rsidR="00A96B73">
        <w:t>were both charged with conspiracy to obstruct justice for</w:t>
      </w:r>
      <w:r w:rsidRPr="00D662C3" w:rsidR="00FE2DE2">
        <w:t xml:space="preserve"> having falsified an </w:t>
      </w:r>
      <w:r w:rsidRPr="00D662C3">
        <w:t xml:space="preserve">alibi for Gonzalez. </w:t>
      </w:r>
      <w:r w:rsidRPr="00D662C3" w:rsidR="00840F08">
        <w:t xml:space="preserve"> </w:t>
      </w:r>
      <w:r w:rsidRPr="00D662C3">
        <w:t>Rowan entered a guilty plea with</w:t>
      </w:r>
      <w:r w:rsidRPr="00D662C3" w:rsidR="00745920">
        <w:t xml:space="preserve"> an agreed upon sentence of </w:t>
      </w:r>
      <w:r w:rsidRPr="00D662C3" w:rsidR="0079631E">
        <w:t xml:space="preserve">up to three years depending on the judge’s assessment of her veracity in testifying at Gonzalez’s trial. </w:t>
      </w:r>
      <w:r w:rsidRPr="00D662C3" w:rsidR="00CF0D62">
        <w:t xml:space="preserve"> </w:t>
      </w:r>
      <w:r w:rsidRPr="00D662C3" w:rsidR="00C52922">
        <w:t>Celina</w:t>
      </w:r>
      <w:r w:rsidRPr="00D662C3" w:rsidR="00CF0D62">
        <w:t xml:space="preserve"> </w:t>
      </w:r>
      <w:r w:rsidRPr="00D662C3" w:rsidR="004A49FA">
        <w:t>likewise plead</w:t>
      </w:r>
      <w:r w:rsidRPr="00D662C3" w:rsidR="00EA4669">
        <w:t>ed</w:t>
      </w:r>
      <w:r w:rsidRPr="00D662C3" w:rsidR="004A49FA">
        <w:t xml:space="preserve"> guilty with her agreed upon sentence contingent on testifying truthfully at trial</w:t>
      </w:r>
      <w:r w:rsidRPr="00D662C3" w:rsidR="00CF0D62">
        <w:t xml:space="preserve">. </w:t>
      </w:r>
    </w:p>
    <w:p w:rsidR="00B36552" w:rsidRPr="00D662C3" w:rsidP="004F5DF7">
      <w:pPr>
        <w:ind w:firstLine="720"/>
      </w:pPr>
      <w:r w:rsidRPr="00D662C3">
        <w:t>During her direct examination a</w:t>
      </w:r>
      <w:r w:rsidRPr="00D662C3">
        <w:t xml:space="preserve">t trial, </w:t>
      </w:r>
      <w:r w:rsidRPr="00D662C3" w:rsidR="008D56CF">
        <w:t xml:space="preserve">Rowan </w:t>
      </w:r>
      <w:r w:rsidRPr="00D662C3" w:rsidR="00745920">
        <w:t xml:space="preserve">acknowledged that </w:t>
      </w:r>
      <w:r w:rsidRPr="00D662C3" w:rsidR="008D56CF">
        <w:t>she had previously testified</w:t>
      </w:r>
      <w:r w:rsidRPr="00D662C3" w:rsidR="00745920">
        <w:t xml:space="preserve"> </w:t>
      </w:r>
      <w:r w:rsidRPr="00D662C3">
        <w:t xml:space="preserve">in the case </w:t>
      </w:r>
      <w:r w:rsidRPr="00D662C3" w:rsidR="008D56CF">
        <w:t xml:space="preserve">and was facing sentencing </w:t>
      </w:r>
      <w:r w:rsidRPr="00D662C3">
        <w:t>for her obstruction charge</w:t>
      </w:r>
      <w:r w:rsidRPr="00D662C3" w:rsidR="008D56CF">
        <w:t>.  T</w:t>
      </w:r>
      <w:r w:rsidRPr="00D662C3" w:rsidR="00C52922">
        <w:t xml:space="preserve">hrough much of the examination, the </w:t>
      </w:r>
      <w:r w:rsidRPr="00D662C3" w:rsidR="008D56CF">
        <w:t xml:space="preserve">prosecutor </w:t>
      </w:r>
      <w:r w:rsidRPr="00D662C3" w:rsidR="00C52922">
        <w:t xml:space="preserve">asked </w:t>
      </w:r>
      <w:r w:rsidRPr="00D662C3" w:rsidR="008D56CF">
        <w:t>questions consisting of declarative statement</w:t>
      </w:r>
      <w:r w:rsidRPr="00D662C3" w:rsidR="00C52922">
        <w:t>s</w:t>
      </w:r>
      <w:r w:rsidRPr="00D662C3" w:rsidR="008D56CF">
        <w:t xml:space="preserve"> followed by</w:t>
      </w:r>
      <w:r w:rsidRPr="00D662C3" w:rsidR="00C52922">
        <w:t>,</w:t>
      </w:r>
      <w:r w:rsidRPr="00D662C3" w:rsidR="008D56CF">
        <w:t xml:space="preserve"> “isn’t that correct</w:t>
      </w:r>
      <w:r w:rsidRPr="00D662C3" w:rsidR="00745920">
        <w:t>?</w:t>
      </w:r>
      <w:r w:rsidRPr="00D662C3" w:rsidR="008D56CF">
        <w:t xml:space="preserve">”  The prosecutor and the judge also repeatedly admonished </w:t>
      </w:r>
      <w:r w:rsidRPr="00D662C3" w:rsidR="00EA4669">
        <w:t>Rowan</w:t>
      </w:r>
      <w:r w:rsidRPr="00D662C3" w:rsidR="008D56CF">
        <w:t xml:space="preserve"> that </w:t>
      </w:r>
      <w:r w:rsidRPr="00D662C3" w:rsidR="00AD6C7D">
        <w:t>she should answer the question</w:t>
      </w:r>
      <w:r w:rsidRPr="00D662C3" w:rsidR="00CF0A7C">
        <w:t xml:space="preserve">s that had been </w:t>
      </w:r>
      <w:r w:rsidRPr="00D662C3" w:rsidR="00CF0D62">
        <w:t>asked,</w:t>
      </w:r>
      <w:r w:rsidRPr="00D662C3" w:rsidR="00AD6C7D">
        <w:t xml:space="preserve"> and </w:t>
      </w:r>
      <w:r w:rsidRPr="00D662C3" w:rsidR="00CF0D62">
        <w:t xml:space="preserve">the judge </w:t>
      </w:r>
      <w:r w:rsidRPr="00D662C3" w:rsidR="00EA4669">
        <w:t>gave</w:t>
      </w:r>
      <w:r w:rsidRPr="00D662C3" w:rsidR="00CF0D62">
        <w:t xml:space="preserve"> </w:t>
      </w:r>
      <w:r w:rsidRPr="00D662C3" w:rsidR="00EA4669">
        <w:t>Rowan’s</w:t>
      </w:r>
      <w:r w:rsidRPr="00D662C3" w:rsidR="00CF0D62">
        <w:t xml:space="preserve"> attorney </w:t>
      </w:r>
      <w:r w:rsidRPr="00D662C3" w:rsidR="00EA4669">
        <w:t>an opportunity</w:t>
      </w:r>
      <w:r w:rsidRPr="00D662C3" w:rsidR="00CF0D62">
        <w:t xml:space="preserve"> to remind her of the </w:t>
      </w:r>
      <w:r w:rsidRPr="00D662C3" w:rsidR="00F43EAD">
        <w:t>importance of testifying truthfully</w:t>
      </w:r>
      <w:r w:rsidRPr="00D662C3" w:rsidR="008D56CF">
        <w:t xml:space="preserve">. </w:t>
      </w:r>
    </w:p>
    <w:p w:rsidR="00D874FB" w:rsidRPr="00D662C3" w:rsidP="004F5DF7">
      <w:pPr>
        <w:ind w:firstLine="720"/>
      </w:pPr>
      <w:r w:rsidRPr="00D662C3">
        <w:t>Similarly, i</w:t>
      </w:r>
      <w:r w:rsidRPr="00D662C3" w:rsidR="00224C6A">
        <w:t xml:space="preserve">n questioning </w:t>
      </w:r>
      <w:r w:rsidRPr="00D662C3" w:rsidR="00C52922">
        <w:t>Celina</w:t>
      </w:r>
      <w:r w:rsidRPr="00D662C3" w:rsidR="00224C6A">
        <w:t xml:space="preserve">, the prosecutor </w:t>
      </w:r>
      <w:r w:rsidRPr="00D662C3" w:rsidR="00A22A5A">
        <w:t xml:space="preserve">asked </w:t>
      </w:r>
      <w:r w:rsidRPr="00D662C3" w:rsidR="006D3789">
        <w:t>a</w:t>
      </w:r>
      <w:r w:rsidRPr="00D662C3">
        <w:t xml:space="preserve"> series of narrative questions which she answered through “yes” or </w:t>
      </w:r>
      <w:r w:rsidRPr="00D662C3" w:rsidR="006D3789">
        <w:t xml:space="preserve">“no” </w:t>
      </w:r>
      <w:r w:rsidRPr="00D662C3">
        <w:t>answers</w:t>
      </w:r>
      <w:r w:rsidRPr="00D662C3" w:rsidR="006D3789">
        <w:t xml:space="preserve">.  </w:t>
      </w:r>
      <w:r w:rsidRPr="00D662C3">
        <w:t>Among other topics, t</w:t>
      </w:r>
      <w:r w:rsidRPr="00D662C3" w:rsidR="006D3789">
        <w:t xml:space="preserve">he prosecutor asked </w:t>
      </w:r>
      <w:r w:rsidRPr="00D662C3" w:rsidR="00F43EAD">
        <w:t xml:space="preserve">Celina </w:t>
      </w:r>
      <w:r w:rsidRPr="00D662C3" w:rsidR="00A22A5A">
        <w:t>about her conversations with police following her arrest</w:t>
      </w:r>
      <w:r w:rsidRPr="00D662C3" w:rsidR="00EA4669">
        <w:t xml:space="preserve"> and</w:t>
      </w:r>
      <w:r w:rsidRPr="00D662C3" w:rsidR="00A22A5A">
        <w:t xml:space="preserve"> </w:t>
      </w:r>
      <w:r w:rsidRPr="00D662C3" w:rsidR="00EA4669">
        <w:t xml:space="preserve">repeatedly </w:t>
      </w:r>
      <w:r w:rsidRPr="00D662C3" w:rsidR="00A22A5A">
        <w:t xml:space="preserve">reminded her that she was under oath and had to tell the truth. </w:t>
      </w:r>
      <w:r w:rsidRPr="00D662C3" w:rsidR="00A64FC2">
        <w:t xml:space="preserve"> </w:t>
      </w:r>
      <w:r w:rsidRPr="00D662C3" w:rsidR="00806B77">
        <w:t xml:space="preserve"> </w:t>
      </w:r>
      <w:r w:rsidRPr="00D662C3" w:rsidR="00A22A5A">
        <w:t xml:space="preserve">When </w:t>
      </w:r>
      <w:r w:rsidRPr="00D662C3" w:rsidR="00C52922">
        <w:t xml:space="preserve">Celina </w:t>
      </w:r>
      <w:r w:rsidRPr="00D662C3" w:rsidR="00A22A5A">
        <w:t xml:space="preserve">answered one </w:t>
      </w:r>
      <w:r w:rsidRPr="00D662C3" w:rsidR="00C52922">
        <w:t xml:space="preserve">such </w:t>
      </w:r>
      <w:r w:rsidRPr="00D662C3" w:rsidR="00A22A5A">
        <w:t>question with a question</w:t>
      </w:r>
      <w:r w:rsidRPr="00D662C3" w:rsidR="00806B77">
        <w:t> </w:t>
      </w:r>
      <w:r w:rsidRPr="00D662C3" w:rsidR="00A22A5A">
        <w:t>—</w:t>
      </w:r>
      <w:r w:rsidRPr="00D662C3" w:rsidR="002A4D67">
        <w:t xml:space="preserve"> </w:t>
      </w:r>
      <w:r w:rsidRPr="00D662C3" w:rsidR="00A22A5A">
        <w:t>“Why do you keep asking me? He didn’t tell me directly”</w:t>
      </w:r>
      <w:r w:rsidRPr="00D662C3" w:rsidR="00806B77">
        <w:t> </w:t>
      </w:r>
      <w:r w:rsidRPr="00D662C3" w:rsidR="00A22A5A">
        <w:t>—</w:t>
      </w:r>
      <w:r w:rsidRPr="00D662C3" w:rsidR="002A4D67">
        <w:t xml:space="preserve"> </w:t>
      </w:r>
      <w:r w:rsidRPr="00D662C3" w:rsidR="00A22A5A">
        <w:t>the trial court admonished her not to ask questions</w:t>
      </w:r>
      <w:r w:rsidRPr="00D662C3">
        <w:t xml:space="preserve"> and</w:t>
      </w:r>
      <w:r w:rsidRPr="00D662C3" w:rsidR="00A22A5A">
        <w:t xml:space="preserve"> invited </w:t>
      </w:r>
      <w:r w:rsidRPr="00D662C3" w:rsidR="00671EF2">
        <w:t>Celina’s</w:t>
      </w:r>
      <w:r w:rsidRPr="00D662C3" w:rsidR="00A22A5A">
        <w:t xml:space="preserve"> counsel to talk with</w:t>
      </w:r>
      <w:r w:rsidRPr="00D662C3" w:rsidR="00671EF2">
        <w:t xml:space="preserve"> her</w:t>
      </w:r>
      <w:r w:rsidRPr="00D662C3">
        <w:t>.  Outside the presence of the jury, the court also reminded Celin</w:t>
      </w:r>
      <w:r w:rsidRPr="00D662C3" w:rsidR="00FE2DE2">
        <w:t>a</w:t>
      </w:r>
      <w:r w:rsidRPr="00D662C3">
        <w:t xml:space="preserve"> that she was </w:t>
      </w:r>
      <w:r w:rsidRPr="00D662C3" w:rsidR="00A22A5A">
        <w:t xml:space="preserve">under oath and then encouraged the prosecutor to refresh </w:t>
      </w:r>
      <w:r w:rsidRPr="00D662C3" w:rsidR="00C52922">
        <w:t>Celina</w:t>
      </w:r>
      <w:r w:rsidRPr="00D662C3" w:rsidR="00A22A5A">
        <w:t>’s memory</w:t>
      </w:r>
      <w:r w:rsidRPr="00D662C3">
        <w:t>.</w:t>
      </w:r>
      <w:r w:rsidRPr="00D662C3" w:rsidR="00A22A5A">
        <w:t xml:space="preserve"> </w:t>
      </w:r>
      <w:r w:rsidRPr="00D662C3" w:rsidR="00806B77">
        <w:t xml:space="preserve"> </w:t>
      </w:r>
      <w:r w:rsidRPr="00D662C3" w:rsidR="00D14EB7">
        <w:t xml:space="preserve">When defense counsel objected that the court was intimidating </w:t>
      </w:r>
      <w:r w:rsidRPr="00D662C3" w:rsidR="00C52922">
        <w:t>Celina</w:t>
      </w:r>
      <w:r w:rsidRPr="00D662C3" w:rsidR="00D14EB7">
        <w:t xml:space="preserve">, the judge replied, “Number </w:t>
      </w:r>
      <w:r w:rsidRPr="00D662C3" w:rsidR="00806B77">
        <w:t>o</w:t>
      </w:r>
      <w:r w:rsidRPr="00D662C3" w:rsidR="00D14EB7">
        <w:t xml:space="preserve">ne, she will not ask questions of anybody. </w:t>
      </w:r>
      <w:r w:rsidRPr="00D662C3" w:rsidR="004D2FAD">
        <w:t xml:space="preserve"> </w:t>
      </w:r>
      <w:r w:rsidRPr="00D662C3" w:rsidR="00D14EB7">
        <w:t xml:space="preserve">And </w:t>
      </w:r>
      <w:r w:rsidRPr="00D662C3" w:rsidR="00806B77">
        <w:t>number two</w:t>
      </w:r>
      <w:r w:rsidRPr="00D662C3" w:rsidR="00D14EB7">
        <w:t xml:space="preserve">, she shall tell the truth, period. </w:t>
      </w:r>
      <w:r w:rsidRPr="00D662C3" w:rsidR="004D2FAD">
        <w:t xml:space="preserve"> </w:t>
      </w:r>
      <w:r w:rsidRPr="00D662C3" w:rsidR="00D14EB7">
        <w:t xml:space="preserve">It’s that simple. </w:t>
      </w:r>
      <w:r w:rsidRPr="00D662C3" w:rsidR="004D2FAD">
        <w:t xml:space="preserve"> </w:t>
      </w:r>
      <w:r w:rsidRPr="00D662C3" w:rsidR="00D14EB7">
        <w:t xml:space="preserve">That’s not intimidation. </w:t>
      </w:r>
      <w:r w:rsidRPr="00D662C3" w:rsidR="004D2FAD">
        <w:t xml:space="preserve"> </w:t>
      </w:r>
      <w:r w:rsidRPr="00D662C3" w:rsidR="00D14EB7">
        <w:t xml:space="preserve">That’s doing what’s right.” </w:t>
      </w:r>
      <w:r w:rsidRPr="00D662C3" w:rsidR="00806B77">
        <w:t xml:space="preserve"> </w:t>
      </w:r>
      <w:r w:rsidRPr="00D662C3" w:rsidR="00D14EB7">
        <w:t xml:space="preserve">Following the exchange, </w:t>
      </w:r>
      <w:r w:rsidRPr="00D662C3" w:rsidR="00C52922">
        <w:t xml:space="preserve">Celina </w:t>
      </w:r>
      <w:r w:rsidRPr="00D662C3" w:rsidR="00EA4669">
        <w:t xml:space="preserve">repeatedly </w:t>
      </w:r>
      <w:r w:rsidRPr="00D662C3" w:rsidR="00D14EB7">
        <w:t xml:space="preserve">responded “yes” to a series of questions about what </w:t>
      </w:r>
      <w:r w:rsidRPr="00D662C3" w:rsidR="00C52922">
        <w:t xml:space="preserve">she </w:t>
      </w:r>
      <w:r w:rsidRPr="00D662C3" w:rsidR="00D14EB7">
        <w:t xml:space="preserve">had </w:t>
      </w:r>
      <w:r w:rsidRPr="00D662C3" w:rsidR="00FE2DE2">
        <w:t xml:space="preserve">previously </w:t>
      </w:r>
      <w:r w:rsidRPr="00D662C3" w:rsidR="00671EF2">
        <w:t>told law enforcement</w:t>
      </w:r>
      <w:r w:rsidRPr="00D662C3" w:rsidR="00D14EB7">
        <w:t xml:space="preserve"> about the crime.  </w:t>
      </w:r>
    </w:p>
    <w:p w:rsidR="00424EE3" w:rsidRPr="00D662C3" w:rsidP="004F5DF7">
      <w:pPr>
        <w:pStyle w:val="ListParagraph"/>
        <w:numPr>
          <w:ilvl w:val="0"/>
          <w:numId w:val="9"/>
        </w:numPr>
        <w:rPr>
          <w:i/>
          <w:iCs/>
        </w:rPr>
      </w:pPr>
      <w:r w:rsidRPr="00D662C3">
        <w:rPr>
          <w:i/>
          <w:iCs/>
        </w:rPr>
        <w:t>Discussion</w:t>
      </w:r>
    </w:p>
    <w:p w:rsidR="00C50AF0" w:rsidRPr="00D662C3" w:rsidP="00AD2DDF">
      <w:pPr>
        <w:ind w:left="1440"/>
        <w:rPr>
          <w:i/>
          <w:iCs/>
        </w:rPr>
      </w:pPr>
      <w:r w:rsidRPr="00D662C3">
        <w:t>(</w:t>
      </w:r>
      <w:r w:rsidRPr="00D662C3">
        <w:rPr>
          <w:i/>
          <w:iCs/>
        </w:rPr>
        <w:t>i</w:t>
      </w:r>
      <w:r w:rsidRPr="00D662C3">
        <w:t xml:space="preserve">)  </w:t>
      </w:r>
      <w:r w:rsidRPr="00D662C3">
        <w:rPr>
          <w:i/>
          <w:iCs/>
        </w:rPr>
        <w:t>The prosecution’s use of leading questions</w:t>
      </w:r>
    </w:p>
    <w:p w:rsidR="00D54915" w:rsidRPr="00D662C3" w:rsidP="004F5DF7">
      <w:pPr>
        <w:ind w:firstLine="720"/>
      </w:pPr>
      <w:r w:rsidRPr="00D662C3">
        <w:t xml:space="preserve">  </w:t>
      </w:r>
      <w:r w:rsidRPr="00D662C3" w:rsidR="00472612">
        <w:t xml:space="preserve">Gonzalez first argues that the prosecution’s decision to rely on leading questions during the direct examination of Rowan and Celina constituted prosecutorial misconduct.  </w:t>
      </w:r>
      <w:r w:rsidRPr="00D662C3">
        <w:t>“A prosecutor</w:t>
      </w:r>
      <w:r w:rsidRPr="00D662C3" w:rsidR="00FE2DE2">
        <w:t>’</w:t>
      </w:r>
      <w:r w:rsidRPr="00D662C3">
        <w:t xml:space="preserve">s conduct violates the Fourteenth Amendment to the federal Constitution when it infects the trial with such unfairness as to make the conviction a denial of due process. </w:t>
      </w:r>
      <w:r w:rsidRPr="00D662C3" w:rsidR="00C50AF0">
        <w:t xml:space="preserve"> </w:t>
      </w:r>
      <w:r w:rsidRPr="00D662C3">
        <w:t>Conduct by a prosecutor that does not render a criminal trial fundamentally unfair is prosecutorial misconduct under state law only if it involves the use of deceptive or reprehensible methods to attempt to persuade either the trial court or the jury.”  (</w:t>
      </w:r>
      <w:r w:rsidRPr="00D662C3">
        <w:rPr>
          <w:i/>
          <w:iCs/>
        </w:rPr>
        <w:t>People v. Morales</w:t>
      </w:r>
      <w:r w:rsidRPr="00D662C3">
        <w:t xml:space="preserve"> (2001) 25 Cal.4th 34, 44</w:t>
      </w:r>
      <w:r w:rsidRPr="00D662C3" w:rsidR="00AD2DDF">
        <w:t xml:space="preserve"> (</w:t>
      </w:r>
      <w:r w:rsidRPr="00D662C3" w:rsidR="00AD2DDF">
        <w:rPr>
          <w:i/>
          <w:iCs/>
        </w:rPr>
        <w:t>Morales</w:t>
      </w:r>
      <w:r w:rsidRPr="00D662C3" w:rsidR="00AD2DDF">
        <w:t>)</w:t>
      </w:r>
      <w:r w:rsidRPr="00D662C3">
        <w:t xml:space="preserve">.) </w:t>
      </w:r>
      <w:r w:rsidRPr="00D662C3" w:rsidR="00472612">
        <w:t xml:space="preserve"> A trial court’s decision to allow leading questions is reviewed for abuse of discretion.  (See </w:t>
      </w:r>
      <w:r w:rsidRPr="00D662C3" w:rsidR="00472612">
        <w:rPr>
          <w:i/>
          <w:iCs/>
        </w:rPr>
        <w:t>People v. Friend</w:t>
      </w:r>
      <w:r w:rsidRPr="00D662C3" w:rsidR="00472612">
        <w:t xml:space="preserve"> (2009) 47 Cal.4th 1, 39.)</w:t>
      </w:r>
      <w:r>
        <w:rPr>
          <w:rStyle w:val="FootnoteReference"/>
        </w:rPr>
        <w:footnoteReference w:id="15"/>
      </w:r>
      <w:r w:rsidRPr="00D662C3" w:rsidR="00472612">
        <w:t xml:space="preserve"> </w:t>
      </w:r>
    </w:p>
    <w:p w:rsidR="00873FE1" w:rsidRPr="00D662C3" w:rsidP="004F5DF7">
      <w:pPr>
        <w:ind w:firstLine="720"/>
      </w:pPr>
      <w:r w:rsidRPr="00D662C3">
        <w:t>As a general matter, a “leading question may not be asked of a witness on direct or redirect examination.”  (Evid. Code, § 767, subd. (a)(1).)  “</w:t>
      </w:r>
      <w:r w:rsidRPr="00D662C3" w:rsidR="00F43EAD">
        <w:t> </w:t>
      </w:r>
      <w:r w:rsidRPr="00D662C3">
        <w:t>‘</w:t>
      </w:r>
      <w:r w:rsidRPr="00D662C3" w:rsidR="00F43EAD">
        <w:t> </w:t>
      </w:r>
      <w:r w:rsidRPr="00D662C3">
        <w:t xml:space="preserve">“A ‘leading question’ is a question that suggests to the witness the answer that the examining party desires.” </w:t>
      </w:r>
      <w:r w:rsidRPr="00D662C3" w:rsidR="00671EF2">
        <w:t xml:space="preserve"> </w:t>
      </w:r>
      <w:r w:rsidRPr="00D662C3">
        <w:t>[Citation.]  Questions calling for a “yes” or “no” answer are not leading unless they are unduly suggestive under the circumstances.</w:t>
      </w:r>
      <w:r w:rsidRPr="00D662C3" w:rsidR="00F43EAD">
        <w:t>’ ” </w:t>
      </w:r>
      <w:r w:rsidRPr="00D662C3">
        <w:t xml:space="preserve"> (</w:t>
      </w:r>
      <w:r w:rsidRPr="00D662C3">
        <w:rPr>
          <w:i/>
          <w:iCs/>
        </w:rPr>
        <w:t>People v. Collins</w:t>
      </w:r>
      <w:r w:rsidRPr="00D662C3">
        <w:t xml:space="preserve"> (2010) 49 Cal.4th 175, 214.)  However, “</w:t>
      </w:r>
      <w:r w:rsidRPr="00D662C3" w:rsidR="002E10A5">
        <w:t> ‘ “</w:t>
      </w:r>
      <w:r w:rsidRPr="00D662C3">
        <w:t>leading questions are not always impermissible on direct examination.</w:t>
      </w:r>
      <w:r w:rsidRPr="00D662C3" w:rsidR="002E10A5">
        <w:t>” ’ </w:t>
      </w:r>
      <w:r w:rsidRPr="00D662C3">
        <w:t>”  (</w:t>
      </w:r>
      <w:r w:rsidRPr="00D662C3">
        <w:rPr>
          <w:i/>
          <w:iCs/>
        </w:rPr>
        <w:t>Ibid</w:t>
      </w:r>
      <w:r w:rsidRPr="00D662C3">
        <w:t xml:space="preserve">.)  The Evidence Code permits their use </w:t>
      </w:r>
      <w:r w:rsidRPr="00D662C3" w:rsidR="00FB4ADD">
        <w:t xml:space="preserve">“under special circumstances where the interests of justice otherwise require.”  (Evid. Code, § 767, subd. (a)(1).)  </w:t>
      </w:r>
      <w:r w:rsidRPr="00D662C3" w:rsidR="00741821">
        <w:t>Applying that exception, w</w:t>
      </w:r>
      <w:r w:rsidRPr="00D662C3" w:rsidR="00F65963">
        <w:t>e have previously held</w:t>
      </w:r>
      <w:r w:rsidRPr="00D662C3" w:rsidR="00CF0A7C">
        <w:t xml:space="preserve"> </w:t>
      </w:r>
      <w:r w:rsidRPr="00D662C3" w:rsidR="00F65963">
        <w:t xml:space="preserve">that </w:t>
      </w:r>
      <w:r w:rsidRPr="00D662C3" w:rsidR="00741821">
        <w:t xml:space="preserve">leading </w:t>
      </w:r>
      <w:r w:rsidRPr="00D662C3" w:rsidR="00CF0A7C">
        <w:t>questions are permissible when they “serve[] ‘to stimulate or revive [the witness’s] recollection’ ” (</w:t>
      </w:r>
      <w:r w:rsidRPr="00D662C3" w:rsidR="00CF0A7C">
        <w:rPr>
          <w:i/>
          <w:iCs/>
        </w:rPr>
        <w:t>People v. Williams</w:t>
      </w:r>
      <w:r w:rsidRPr="00D662C3" w:rsidR="00CF0A7C">
        <w:t xml:space="preserve"> (1997) 16 Ca</w:t>
      </w:r>
      <w:r w:rsidRPr="00D662C3" w:rsidR="002E10A5">
        <w:t>l</w:t>
      </w:r>
      <w:r w:rsidRPr="00D662C3" w:rsidR="00CF0A7C">
        <w:t>.4th 635, 672</w:t>
      </w:r>
      <w:r w:rsidRPr="00D662C3" w:rsidR="0070468A">
        <w:t>)</w:t>
      </w:r>
      <w:r w:rsidRPr="00D662C3" w:rsidR="00F65963">
        <w:t>,</w:t>
      </w:r>
      <w:r w:rsidRPr="00D662C3" w:rsidR="00CF0A7C">
        <w:t xml:space="preserve"> or when the examining party is faced with a hostile witness.  (See </w:t>
      </w:r>
      <w:r w:rsidRPr="00D662C3" w:rsidR="00CF0A7C">
        <w:rPr>
          <w:i/>
          <w:iCs/>
        </w:rPr>
        <w:t>People v. Seumanu</w:t>
      </w:r>
      <w:r w:rsidRPr="00D662C3" w:rsidR="00CF0A7C">
        <w:t xml:space="preserve"> (2015) 61 Cal.4th 1293, 1319 [prosecutor’s “use of leading questions, which necessarily included stating facts she assumed the witness would affirm or deny, was justified because [</w:t>
      </w:r>
      <w:r w:rsidRPr="00D662C3" w:rsidR="0070468A">
        <w:t xml:space="preserve">the </w:t>
      </w:r>
      <w:r w:rsidRPr="00D662C3" w:rsidR="00CF0A7C">
        <w:t>witness] was . . . obviously hostile”].)  T</w:t>
      </w:r>
      <w:r w:rsidRPr="00D662C3">
        <w:t>rial courts have</w:t>
      </w:r>
      <w:r w:rsidRPr="00D662C3" w:rsidR="001745CC">
        <w:t xml:space="preserve"> </w:t>
      </w:r>
      <w:r w:rsidRPr="00D662C3">
        <w:t>broad discretion to decide when such special circumstances are present</w:t>
      </w:r>
      <w:r w:rsidRPr="00D662C3">
        <w:t xml:space="preserve">.  </w:t>
      </w:r>
      <w:r w:rsidRPr="00D662C3">
        <w:t>(</w:t>
      </w:r>
      <w:r w:rsidRPr="00D662C3">
        <w:t xml:space="preserve">See </w:t>
      </w:r>
      <w:r w:rsidRPr="00D662C3">
        <w:rPr>
          <w:i/>
          <w:iCs/>
        </w:rPr>
        <w:t>Williams</w:t>
      </w:r>
      <w:r w:rsidRPr="00D662C3">
        <w:rPr>
          <w:i/>
          <w:iCs/>
        </w:rPr>
        <w:t xml:space="preserve">, </w:t>
      </w:r>
      <w:r w:rsidRPr="00D662C3">
        <w:t xml:space="preserve">at p. </w:t>
      </w:r>
      <w:r w:rsidRPr="00D662C3">
        <w:t>672</w:t>
      </w:r>
      <w:r w:rsidRPr="00D662C3" w:rsidR="00CF0A7C">
        <w:t>.)</w:t>
      </w:r>
    </w:p>
    <w:p w:rsidR="0070468A" w:rsidRPr="00D662C3" w:rsidP="004F5DF7">
      <w:pPr>
        <w:ind w:firstLine="720"/>
      </w:pPr>
      <w:r w:rsidRPr="00D662C3">
        <w:t>While</w:t>
      </w:r>
      <w:r w:rsidRPr="00D662C3" w:rsidR="006E4B7D">
        <w:t xml:space="preserve"> some</w:t>
      </w:r>
      <w:r w:rsidRPr="00D662C3" w:rsidR="00472612">
        <w:t xml:space="preserve"> of the prosecutor’s</w:t>
      </w:r>
      <w:r w:rsidRPr="00D662C3" w:rsidR="006E4B7D">
        <w:t xml:space="preserve"> questions were leading</w:t>
      </w:r>
      <w:r w:rsidRPr="00D662C3" w:rsidR="00FB4ADD">
        <w:t xml:space="preserve">, we find </w:t>
      </w:r>
      <w:r w:rsidRPr="00D662C3">
        <w:t>that the method of questioning did not constitute misconduct</w:t>
      </w:r>
      <w:r w:rsidRPr="00D662C3">
        <w:t xml:space="preserve"> n</w:t>
      </w:r>
      <w:r w:rsidRPr="00D662C3" w:rsidR="00741821">
        <w:t xml:space="preserve">or did the </w:t>
      </w:r>
      <w:r w:rsidRPr="00D662C3">
        <w:t xml:space="preserve">trial court </w:t>
      </w:r>
      <w:r w:rsidRPr="00D662C3" w:rsidR="00E116C9">
        <w:t xml:space="preserve">abuse </w:t>
      </w:r>
      <w:r w:rsidRPr="00D662C3">
        <w:t>its</w:t>
      </w:r>
      <w:r w:rsidRPr="00D662C3" w:rsidR="00E116C9">
        <w:t xml:space="preserve"> discretion in allow</w:t>
      </w:r>
      <w:r w:rsidRPr="00D662C3">
        <w:t>ing the interrogation to</w:t>
      </w:r>
      <w:r w:rsidRPr="00D662C3" w:rsidR="00E116C9">
        <w:t xml:space="preserve"> proceed in such a manner</w:t>
      </w:r>
      <w:r w:rsidRPr="00D662C3" w:rsidR="00FB4ADD">
        <w:t xml:space="preserve">.  </w:t>
      </w:r>
      <w:r w:rsidRPr="00D662C3" w:rsidR="008C3898">
        <w:t>The transcript</w:t>
      </w:r>
      <w:r w:rsidRPr="00D662C3" w:rsidR="00E116C9">
        <w:t xml:space="preserve"> shows</w:t>
      </w:r>
      <w:r w:rsidRPr="00D662C3" w:rsidR="008C3898">
        <w:t xml:space="preserve"> </w:t>
      </w:r>
      <w:r w:rsidRPr="00D662C3" w:rsidR="00E116C9">
        <w:t xml:space="preserve">that </w:t>
      </w:r>
      <w:r w:rsidRPr="00D662C3">
        <w:t xml:space="preserve">on many occasions, Rowan and Celina claimed </w:t>
      </w:r>
      <w:r w:rsidRPr="00D662C3" w:rsidR="00FB4ADD">
        <w:t>not</w:t>
      </w:r>
      <w:r w:rsidRPr="00D662C3">
        <w:t xml:space="preserve"> to</w:t>
      </w:r>
      <w:r w:rsidRPr="00D662C3" w:rsidR="00FB4ADD">
        <w:t xml:space="preserve"> remember</w:t>
      </w:r>
      <w:r w:rsidRPr="00D662C3">
        <w:t xml:space="preserve"> (</w:t>
      </w:r>
      <w:r w:rsidRPr="00D662C3" w:rsidR="008C3898">
        <w:t xml:space="preserve">or were willfully </w:t>
      </w:r>
      <w:r w:rsidRPr="00D662C3" w:rsidR="00FB4ADD">
        <w:t>refusing to recall</w:t>
      </w:r>
      <w:r w:rsidRPr="00D662C3">
        <w:t>)</w:t>
      </w:r>
      <w:r w:rsidRPr="00D662C3" w:rsidR="00FB4ADD">
        <w:t xml:space="preserve"> details</w:t>
      </w:r>
      <w:r w:rsidRPr="00D662C3" w:rsidR="008C3898">
        <w:t xml:space="preserve"> </w:t>
      </w:r>
      <w:r w:rsidRPr="00D662C3" w:rsidR="00771140">
        <w:t xml:space="preserve">about </w:t>
      </w:r>
      <w:r w:rsidRPr="00D662C3">
        <w:t xml:space="preserve">the </w:t>
      </w:r>
      <w:r w:rsidRPr="00D662C3" w:rsidR="00771140">
        <w:t xml:space="preserve">prior </w:t>
      </w:r>
      <w:r w:rsidRPr="00D662C3" w:rsidR="008C3898">
        <w:t>statements</w:t>
      </w:r>
      <w:r w:rsidRPr="00D662C3" w:rsidR="00771140">
        <w:t xml:space="preserve"> they had</w:t>
      </w:r>
      <w:r w:rsidRPr="00D662C3">
        <w:t xml:space="preserve"> </w:t>
      </w:r>
      <w:r w:rsidRPr="00D662C3" w:rsidR="00771140">
        <w:t xml:space="preserve">made </w:t>
      </w:r>
      <w:r w:rsidRPr="00D662C3">
        <w:t>regarding t</w:t>
      </w:r>
      <w:r w:rsidRPr="00D662C3" w:rsidR="00771140">
        <w:t>he crime</w:t>
      </w:r>
      <w:r w:rsidRPr="00D662C3" w:rsidR="001745CC">
        <w:t xml:space="preserve">. </w:t>
      </w:r>
      <w:r w:rsidRPr="00D662C3" w:rsidR="00FB4ADD">
        <w:t xml:space="preserve"> </w:t>
      </w:r>
      <w:r w:rsidRPr="00D662C3" w:rsidR="00E116C9">
        <w:t xml:space="preserve">Indeed, </w:t>
      </w:r>
      <w:r w:rsidRPr="00D662C3" w:rsidR="00806B77">
        <w:t xml:space="preserve">at one point, </w:t>
      </w:r>
      <w:r w:rsidRPr="00D662C3" w:rsidR="00FB4ADD">
        <w:t>Gonzalez’s</w:t>
      </w:r>
      <w:r w:rsidRPr="00D662C3" w:rsidR="00E116C9">
        <w:t xml:space="preserve"> own</w:t>
      </w:r>
      <w:r w:rsidRPr="00D662C3" w:rsidR="00FB4ADD">
        <w:t xml:space="preserve"> counsel</w:t>
      </w:r>
      <w:r w:rsidRPr="00D662C3" w:rsidR="00E116C9">
        <w:t xml:space="preserve"> acknowledged </w:t>
      </w:r>
      <w:r w:rsidRPr="00D662C3" w:rsidR="00806B77">
        <w:t>Celina</w:t>
      </w:r>
      <w:r w:rsidRPr="00D662C3" w:rsidR="00E116C9">
        <w:t xml:space="preserve"> appeared to have difficulty </w:t>
      </w:r>
      <w:r w:rsidRPr="00D662C3" w:rsidR="00FB4ADD">
        <w:t>remember</w:t>
      </w:r>
      <w:r w:rsidRPr="00D662C3" w:rsidR="00E116C9">
        <w:t>ing</w:t>
      </w:r>
      <w:r w:rsidRPr="00D662C3" w:rsidR="00FB4ADD">
        <w:t xml:space="preserve"> precise details of events that had happened </w:t>
      </w:r>
      <w:r w:rsidRPr="00D662C3" w:rsidR="00E116C9">
        <w:t>several years ago.</w:t>
      </w:r>
      <w:r w:rsidRPr="00D662C3" w:rsidR="00FB4ADD">
        <w:t xml:space="preserve"> </w:t>
      </w:r>
    </w:p>
    <w:p w:rsidR="0066370A" w:rsidRPr="00D662C3" w:rsidP="004F5DF7">
      <w:pPr>
        <w:ind w:firstLine="720"/>
      </w:pPr>
      <w:r w:rsidRPr="00D662C3">
        <w:t xml:space="preserve">The </w:t>
      </w:r>
      <w:r w:rsidRPr="00D662C3" w:rsidR="00E116C9">
        <w:t>record also supports an inference that Rowan and Celina</w:t>
      </w:r>
      <w:r w:rsidRPr="00D662C3">
        <w:t xml:space="preserve"> were sufficiently </w:t>
      </w:r>
      <w:r w:rsidRPr="00D662C3" w:rsidR="00E116C9">
        <w:t>“</w:t>
      </w:r>
      <w:r w:rsidRPr="00D662C3">
        <w:t>hostile</w:t>
      </w:r>
      <w:r w:rsidRPr="00D662C3" w:rsidR="00E116C9">
        <w:t>”</w:t>
      </w:r>
      <w:r w:rsidRPr="00D662C3">
        <w:t xml:space="preserve"> to permit leading questioning.  Indeed, </w:t>
      </w:r>
      <w:r w:rsidRPr="00D662C3" w:rsidR="00806B77">
        <w:t xml:space="preserve">both </w:t>
      </w:r>
      <w:r w:rsidRPr="00D662C3">
        <w:t xml:space="preserve">witnesses acknowledged at the outset that it </w:t>
      </w:r>
      <w:r w:rsidRPr="00D662C3" w:rsidR="006E4B7D">
        <w:t xml:space="preserve">was difficult for them to testify.  </w:t>
      </w:r>
      <w:r w:rsidRPr="00D662C3">
        <w:t xml:space="preserve">Moreover, both witnesses had a close relationship with </w:t>
      </w:r>
      <w:r w:rsidRPr="00D662C3" w:rsidR="00F65963">
        <w:t xml:space="preserve">Gonzalez </w:t>
      </w:r>
      <w:r w:rsidRPr="00D662C3">
        <w:t>and had previously lied to police to protect him.</w:t>
      </w:r>
      <w:r w:rsidRPr="00D662C3" w:rsidR="00F76BB6">
        <w:t xml:space="preserve">  Given </w:t>
      </w:r>
      <w:r w:rsidRPr="00D662C3" w:rsidR="00CF740A">
        <w:t>the witness</w:t>
      </w:r>
      <w:r w:rsidRPr="00D662C3" w:rsidR="00E116C9">
        <w:t>es</w:t>
      </w:r>
      <w:r w:rsidRPr="00D662C3" w:rsidR="00CF740A">
        <w:t>’ purported difficulty in remembering what had occurred</w:t>
      </w:r>
      <w:r w:rsidRPr="00D662C3" w:rsidR="00E116C9">
        <w:t xml:space="preserve">, the obvious </w:t>
      </w:r>
      <w:r w:rsidRPr="00D662C3" w:rsidR="00CF740A">
        <w:t>inconsistencies</w:t>
      </w:r>
      <w:r w:rsidRPr="00D662C3" w:rsidR="00E116C9">
        <w:t xml:space="preserve"> between their </w:t>
      </w:r>
      <w:r w:rsidRPr="00D662C3" w:rsidR="00F65963">
        <w:t xml:space="preserve">trial </w:t>
      </w:r>
      <w:r w:rsidRPr="00D662C3" w:rsidR="00E116C9">
        <w:t>testimony and</w:t>
      </w:r>
      <w:r w:rsidRPr="00D662C3" w:rsidR="00CF740A">
        <w:t xml:space="preserve"> their prior statements</w:t>
      </w:r>
      <w:r w:rsidRPr="00D662C3" w:rsidR="00F65963">
        <w:t xml:space="preserve"> to police</w:t>
      </w:r>
      <w:r w:rsidRPr="00D662C3" w:rsidR="00E116C9">
        <w:t xml:space="preserve"> and their close relationship to Gonzalez</w:t>
      </w:r>
      <w:r w:rsidRPr="00D662C3" w:rsidR="00CF740A">
        <w:t>, we</w:t>
      </w:r>
      <w:r w:rsidRPr="00D662C3" w:rsidR="005C25E9">
        <w:t xml:space="preserve"> find no error in either the trial court’s decision to allow leading questions or the prosecution’s use</w:t>
      </w:r>
      <w:r w:rsidRPr="00D662C3" w:rsidR="00655A6B">
        <w:t xml:space="preserve"> of such questions</w:t>
      </w:r>
      <w:r w:rsidRPr="00D662C3" w:rsidR="00D70475">
        <w:t>.</w:t>
      </w:r>
      <w:r w:rsidRPr="00D662C3" w:rsidR="002900A1">
        <w:t xml:space="preserve">  </w:t>
      </w:r>
      <w:r w:rsidRPr="00D662C3" w:rsidR="00655A6B">
        <w:t xml:space="preserve"> </w:t>
      </w:r>
    </w:p>
    <w:p w:rsidR="00C50AF0" w:rsidRPr="00D662C3" w:rsidP="00AD2DDF">
      <w:pPr>
        <w:ind w:left="1440"/>
        <w:rPr>
          <w:i/>
          <w:iCs/>
        </w:rPr>
      </w:pPr>
      <w:r w:rsidRPr="00D662C3">
        <w:t>(</w:t>
      </w:r>
      <w:r w:rsidRPr="00D662C3">
        <w:rPr>
          <w:i/>
          <w:iCs/>
        </w:rPr>
        <w:t>ii</w:t>
      </w:r>
      <w:r w:rsidRPr="00D662C3">
        <w:t xml:space="preserve">)  </w:t>
      </w:r>
      <w:r w:rsidRPr="00D662C3" w:rsidR="00746832">
        <w:rPr>
          <w:i/>
          <w:iCs/>
        </w:rPr>
        <w:t>Admonishments to tell the truth</w:t>
      </w:r>
      <w:r w:rsidRPr="00D662C3" w:rsidR="00746832">
        <w:rPr>
          <w:i/>
          <w:iCs/>
        </w:rPr>
        <w:tab/>
      </w:r>
    </w:p>
    <w:p w:rsidR="00486A8A" w:rsidRPr="00D662C3" w:rsidP="004F5DF7">
      <w:pPr>
        <w:ind w:firstLine="720"/>
      </w:pPr>
      <w:r w:rsidRPr="00D662C3">
        <w:t>Gonzalez</w:t>
      </w:r>
      <w:r w:rsidRPr="00D662C3" w:rsidR="00E116C9">
        <w:t xml:space="preserve"> next contends that </w:t>
      </w:r>
      <w:r w:rsidRPr="00D662C3">
        <w:t>the</w:t>
      </w:r>
      <w:r w:rsidRPr="00D662C3" w:rsidR="005B251D">
        <w:t xml:space="preserve"> trial court and the prosecution</w:t>
      </w:r>
      <w:r w:rsidRPr="00D662C3" w:rsidR="00E116C9">
        <w:t xml:space="preserve"> unlawfully</w:t>
      </w:r>
      <w:r w:rsidRPr="00D662C3" w:rsidR="00CE6572">
        <w:t xml:space="preserve"> </w:t>
      </w:r>
      <w:r w:rsidRPr="00D662C3">
        <w:t>coerced Rowan</w:t>
      </w:r>
      <w:r w:rsidRPr="00D662C3" w:rsidR="00CF740A">
        <w:t xml:space="preserve"> </w:t>
      </w:r>
      <w:r w:rsidRPr="00D662C3" w:rsidR="00F65963">
        <w:t>and</w:t>
      </w:r>
      <w:r w:rsidRPr="00D662C3" w:rsidR="00CF740A">
        <w:t xml:space="preserve"> Celina into providing testimony favorable to the </w:t>
      </w:r>
      <w:r w:rsidRPr="00D662C3" w:rsidR="00B866CE">
        <w:t>prosecution</w:t>
      </w:r>
      <w:r w:rsidRPr="00D662C3">
        <w:t>.</w:t>
      </w:r>
      <w:r w:rsidRPr="00D662C3" w:rsidR="00E116C9">
        <w:t xml:space="preserve"> </w:t>
      </w:r>
      <w:r w:rsidRPr="00D662C3" w:rsidR="00B866CE">
        <w:t xml:space="preserve"> </w:t>
      </w:r>
      <w:r w:rsidRPr="00D662C3" w:rsidR="00E116C9">
        <w:t xml:space="preserve">He </w:t>
      </w:r>
      <w:r w:rsidRPr="00D662C3" w:rsidR="00B866CE">
        <w:t>identifies</w:t>
      </w:r>
      <w:r w:rsidRPr="00D662C3" w:rsidR="00CF740A">
        <w:t xml:space="preserve"> several </w:t>
      </w:r>
      <w:r w:rsidRPr="00D662C3" w:rsidR="00161133">
        <w:t xml:space="preserve">distinct </w:t>
      </w:r>
      <w:r w:rsidRPr="00D662C3" w:rsidR="00CF740A">
        <w:t xml:space="preserve">categories of </w:t>
      </w:r>
      <w:r w:rsidRPr="00D662C3" w:rsidR="00416B31">
        <w:t>alleged</w:t>
      </w:r>
      <w:r w:rsidRPr="00D662C3" w:rsidR="00161133">
        <w:t xml:space="preserve"> mis</w:t>
      </w:r>
      <w:r w:rsidRPr="00D662C3" w:rsidR="00CF740A">
        <w:t>conduct</w:t>
      </w:r>
      <w:r w:rsidRPr="00D662C3" w:rsidR="00B866CE">
        <w:t xml:space="preserve">, including:  </w:t>
      </w:r>
      <w:r w:rsidRPr="00D662C3" w:rsidR="00741C16">
        <w:t>(1)</w:t>
      </w:r>
      <w:r w:rsidRPr="00D662C3" w:rsidR="00703F42">
        <w:t xml:space="preserve"> </w:t>
      </w:r>
      <w:r w:rsidRPr="00D662C3" w:rsidR="007309F9">
        <w:t xml:space="preserve">on multiple occasions, both </w:t>
      </w:r>
      <w:r w:rsidRPr="00D662C3" w:rsidR="005B251D">
        <w:t>the trial court and the prosecution</w:t>
      </w:r>
      <w:r w:rsidRPr="00D662C3" w:rsidR="007309F9">
        <w:t xml:space="preserve"> </w:t>
      </w:r>
      <w:r w:rsidRPr="00D662C3" w:rsidR="005B251D">
        <w:t xml:space="preserve">reminded the witnesses they were testifying under oath and were required to tell the truth; (2) </w:t>
      </w:r>
      <w:r w:rsidRPr="00D662C3" w:rsidR="00225C9A">
        <w:t xml:space="preserve">after the witnesses </w:t>
      </w:r>
      <w:r w:rsidRPr="00D662C3" w:rsidR="007309F9">
        <w:t xml:space="preserve">had </w:t>
      </w:r>
      <w:r w:rsidRPr="00D662C3" w:rsidR="00225C9A">
        <w:t xml:space="preserve">repeatedly </w:t>
      </w:r>
      <w:r w:rsidRPr="00D662C3" w:rsidR="007309F9">
        <w:t xml:space="preserve">claimed </w:t>
      </w:r>
      <w:r w:rsidRPr="00D662C3" w:rsidR="00225C9A">
        <w:t xml:space="preserve">they could not remember an event, </w:t>
      </w:r>
      <w:r w:rsidRPr="00D662C3" w:rsidR="005B251D">
        <w:t xml:space="preserve">the court invited </w:t>
      </w:r>
      <w:r w:rsidRPr="00D662C3" w:rsidR="00225C9A">
        <w:t xml:space="preserve">their attorneys to </w:t>
      </w:r>
      <w:r w:rsidRPr="00D662C3" w:rsidR="00B866CE">
        <w:t xml:space="preserve">speak with them </w:t>
      </w:r>
      <w:r w:rsidRPr="00D662C3" w:rsidR="00416B31">
        <w:t>about</w:t>
      </w:r>
      <w:r w:rsidRPr="00D662C3" w:rsidR="00225C9A">
        <w:t xml:space="preserve"> answering questions truthfully;</w:t>
      </w:r>
      <w:r>
        <w:rPr>
          <w:rStyle w:val="FootnoteReference"/>
        </w:rPr>
        <w:footnoteReference w:id="16"/>
      </w:r>
      <w:r w:rsidRPr="00D662C3" w:rsidR="005B251D">
        <w:t xml:space="preserve"> </w:t>
      </w:r>
      <w:r w:rsidRPr="00D662C3" w:rsidR="00225C9A">
        <w:t xml:space="preserve">(3) the prosecutor </w:t>
      </w:r>
      <w:r w:rsidRPr="00D662C3" w:rsidR="00741C16">
        <w:t xml:space="preserve">reminded Rowan of </w:t>
      </w:r>
      <w:r w:rsidRPr="00D662C3" w:rsidR="00225C9A">
        <w:t>prior statements she had made during the investigation</w:t>
      </w:r>
      <w:r w:rsidRPr="00D662C3" w:rsidR="00741C16">
        <w:t>;</w:t>
      </w:r>
      <w:r w:rsidRPr="00D662C3">
        <w:t xml:space="preserve"> </w:t>
      </w:r>
      <w:r w:rsidRPr="00D662C3" w:rsidR="00741C16">
        <w:t>(</w:t>
      </w:r>
      <w:r w:rsidRPr="00D662C3" w:rsidR="00225C9A">
        <w:t>4</w:t>
      </w:r>
      <w:r w:rsidRPr="00D662C3" w:rsidR="00741C16">
        <w:t>) when presented with</w:t>
      </w:r>
      <w:r w:rsidRPr="00D662C3" w:rsidR="00703F42">
        <w:t xml:space="preserve"> testimony that was </w:t>
      </w:r>
      <w:r w:rsidRPr="00D662C3" w:rsidR="00741C16">
        <w:t xml:space="preserve">inconsistent </w:t>
      </w:r>
      <w:r w:rsidRPr="00D662C3" w:rsidR="00703F42">
        <w:t>with prior statements</w:t>
      </w:r>
      <w:r w:rsidRPr="00D662C3" w:rsidR="00147092">
        <w:t xml:space="preserve"> made during the investigation</w:t>
      </w:r>
      <w:r w:rsidRPr="00D662C3" w:rsidR="00741C16">
        <w:t xml:space="preserve">, the prosecution </w:t>
      </w:r>
      <w:r w:rsidRPr="00D662C3" w:rsidR="00225C9A">
        <w:t xml:space="preserve">asked </w:t>
      </w:r>
      <w:r w:rsidRPr="00D662C3">
        <w:t xml:space="preserve">Rowan </w:t>
      </w:r>
      <w:r w:rsidRPr="00D662C3" w:rsidR="00225C9A">
        <w:t xml:space="preserve">if she understood that she was looking at three years in </w:t>
      </w:r>
      <w:r w:rsidRPr="00D662C3" w:rsidR="00C7075F">
        <w:t>prison</w:t>
      </w:r>
      <w:r w:rsidRPr="00D662C3" w:rsidR="00225C9A">
        <w:t>.</w:t>
      </w:r>
    </w:p>
    <w:p w:rsidR="00403E81" w:rsidRPr="00D662C3" w:rsidP="004F5DF7">
      <w:pPr>
        <w:ind w:firstLine="720"/>
      </w:pPr>
      <w:r w:rsidRPr="00D662C3">
        <w:t xml:space="preserve">We first consider whether the trial court engaged in unlawful coercion by reminding </w:t>
      </w:r>
      <w:r w:rsidRPr="00D662C3" w:rsidR="00C76561">
        <w:t xml:space="preserve"> </w:t>
      </w:r>
      <w:r w:rsidRPr="00D662C3" w:rsidR="003521CA">
        <w:t>the witnesses</w:t>
      </w:r>
      <w:r w:rsidRPr="00D662C3">
        <w:t xml:space="preserve"> they</w:t>
      </w:r>
      <w:r w:rsidRPr="00D662C3" w:rsidR="00416B31">
        <w:t xml:space="preserve"> </w:t>
      </w:r>
      <w:r w:rsidRPr="00D662C3" w:rsidR="003521CA">
        <w:t>were</w:t>
      </w:r>
      <w:r w:rsidRPr="00D662C3" w:rsidR="00486A8A">
        <w:t xml:space="preserve"> under</w:t>
      </w:r>
      <w:r w:rsidRPr="00D662C3">
        <w:t xml:space="preserve"> oath and inviting their respective attorneys to </w:t>
      </w:r>
      <w:r w:rsidRPr="00D662C3" w:rsidR="007309F9">
        <w:t>talk to them about testifying truthfully</w:t>
      </w:r>
      <w:r w:rsidRPr="00D662C3">
        <w:t xml:space="preserve">. </w:t>
      </w:r>
      <w:r w:rsidRPr="00D662C3" w:rsidR="00D50CF4">
        <w:t xml:space="preserve"> </w:t>
      </w:r>
      <w:r w:rsidRPr="00D662C3" w:rsidR="00514E62">
        <w:t xml:space="preserve">Gonzalez cites no case </w:t>
      </w:r>
      <w:r w:rsidRPr="00D662C3" w:rsidR="007309F9">
        <w:t xml:space="preserve">holding that </w:t>
      </w:r>
      <w:r w:rsidRPr="00D662C3" w:rsidR="00CF1500">
        <w:t xml:space="preserve">the mere act of </w:t>
      </w:r>
      <w:r w:rsidRPr="00D662C3" w:rsidR="00514E62">
        <w:t xml:space="preserve">reminding </w:t>
      </w:r>
      <w:r w:rsidRPr="00D662C3" w:rsidR="0054640C">
        <w:t xml:space="preserve">a </w:t>
      </w:r>
      <w:r w:rsidRPr="00D662C3" w:rsidR="00514E62">
        <w:t>witness</w:t>
      </w:r>
      <w:r w:rsidRPr="00D662C3" w:rsidR="0054640C">
        <w:t xml:space="preserve"> she has </w:t>
      </w:r>
      <w:r w:rsidRPr="00D662C3" w:rsidR="00514E62">
        <w:t>an obligation to testify truthfully</w:t>
      </w:r>
      <w:r w:rsidR="00466FB3">
        <w:t>,</w:t>
      </w:r>
      <w:r w:rsidRPr="00D662C3" w:rsidR="007309F9">
        <w:t xml:space="preserve"> or </w:t>
      </w:r>
      <w:r w:rsidRPr="00D662C3" w:rsidR="00225C9A">
        <w:t xml:space="preserve">inviting a witness’s counsel </w:t>
      </w:r>
      <w:r w:rsidRPr="00D662C3">
        <w:t xml:space="preserve">to discuss </w:t>
      </w:r>
      <w:r w:rsidRPr="00D662C3" w:rsidR="007309F9">
        <w:t xml:space="preserve">the consequences of perjury with her </w:t>
      </w:r>
      <w:r w:rsidRPr="00D662C3">
        <w:t>client,</w:t>
      </w:r>
      <w:r w:rsidRPr="00D662C3" w:rsidR="00771140">
        <w:t xml:space="preserve"> </w:t>
      </w:r>
      <w:r w:rsidRPr="00D662C3" w:rsidR="0070468A">
        <w:t xml:space="preserve">qualifies as a due process violation </w:t>
      </w:r>
      <w:r w:rsidRPr="00D662C3" w:rsidR="00771140">
        <w:t>or otherwise constitute</w:t>
      </w:r>
      <w:r w:rsidRPr="00D662C3" w:rsidR="0070468A">
        <w:t>s</w:t>
      </w:r>
      <w:r w:rsidRPr="00D662C3" w:rsidR="00771140">
        <w:t xml:space="preserve"> misconduct</w:t>
      </w:r>
      <w:r w:rsidRPr="00D662C3" w:rsidR="00261FFE">
        <w:t xml:space="preserve">.  Indeed, the </w:t>
      </w:r>
      <w:r w:rsidRPr="00D662C3" w:rsidR="004A37A3">
        <w:t>case law is to the contrary.  (</w:t>
      </w:r>
      <w:r w:rsidRPr="00D662C3" w:rsidR="00AC4FEA">
        <w:t xml:space="preserve">Cf. </w:t>
      </w:r>
      <w:r w:rsidRPr="00D662C3" w:rsidR="00ED6237">
        <w:rPr>
          <w:i/>
          <w:iCs/>
        </w:rPr>
        <w:t>People v. Harbolt</w:t>
      </w:r>
      <w:r w:rsidRPr="00D662C3" w:rsidR="00955740">
        <w:t xml:space="preserve"> (1988)</w:t>
      </w:r>
      <w:r w:rsidRPr="00D662C3" w:rsidR="00ED6237">
        <w:t xml:space="preserve"> 206 Cal.App.3d 140, 1</w:t>
      </w:r>
      <w:r w:rsidRPr="00D662C3" w:rsidR="002E10A5">
        <w:t>55</w:t>
      </w:r>
      <w:r w:rsidRPr="00D662C3" w:rsidR="00ED6237">
        <w:t xml:space="preserve"> [no misconduct where prosecutor’s “comments</w:t>
      </w:r>
      <w:r w:rsidRPr="00D662C3" w:rsidR="007309F9">
        <w:t> . . . </w:t>
      </w:r>
      <w:r w:rsidRPr="00D662C3" w:rsidR="00ED6237">
        <w:t>amounted to a ‘mere warning’ about the dangers of perjury”]</w:t>
      </w:r>
      <w:r w:rsidRPr="00D662C3" w:rsidR="00955740">
        <w:t xml:space="preserve">; </w:t>
      </w:r>
      <w:r w:rsidRPr="00D662C3" w:rsidR="00955740">
        <w:rPr>
          <w:i/>
          <w:iCs/>
        </w:rPr>
        <w:t>Williams v. Woodford</w:t>
      </w:r>
      <w:r w:rsidRPr="00D662C3" w:rsidR="00955740">
        <w:t xml:space="preserve"> (9th Cir. 2004) 384 F.3d 567, 603 [</w:t>
      </w:r>
      <w:r w:rsidRPr="00D662C3" w:rsidR="004A37A3">
        <w:t>“</w:t>
      </w:r>
      <w:r w:rsidRPr="00D662C3" w:rsidR="002E10A5">
        <w:t> </w:t>
      </w:r>
      <w:r w:rsidRPr="00D662C3" w:rsidR="00955740">
        <w:t>‘</w:t>
      </w:r>
      <w:r w:rsidRPr="00D662C3" w:rsidR="004A37A3">
        <w:t>merely warning a witness of the consequences of perjury</w:t>
      </w:r>
      <w:r w:rsidRPr="00D662C3" w:rsidR="00955740">
        <w:t>’</w:t>
      </w:r>
      <w:r w:rsidRPr="00D662C3" w:rsidR="004A37A3">
        <w:t xml:space="preserve"> does not unduly pressure the witness</w:t>
      </w:r>
      <w:r w:rsidRPr="00D662C3" w:rsidR="003F4914">
        <w:t>’</w:t>
      </w:r>
      <w:r w:rsidRPr="00D662C3" w:rsidR="004A37A3">
        <w:t>s choice to testify or violate the defendant</w:t>
      </w:r>
      <w:r w:rsidRPr="00D662C3" w:rsidR="007309F9">
        <w:t>’</w:t>
      </w:r>
      <w:r w:rsidRPr="00D662C3" w:rsidR="004A37A3">
        <w:t xml:space="preserve">s right to due </w:t>
      </w:r>
      <w:r w:rsidRPr="00D662C3" w:rsidR="00AC4FEA">
        <w:t>process</w:t>
      </w:r>
      <w:r w:rsidRPr="00D662C3" w:rsidR="00955740">
        <w:t>”].)</w:t>
      </w:r>
      <w:r w:rsidRPr="00D662C3" w:rsidR="00261FFE">
        <w:t xml:space="preserve">  </w:t>
      </w:r>
    </w:p>
    <w:p w:rsidR="00BF7DD2" w:rsidRPr="00D662C3" w:rsidP="004F5DF7">
      <w:pPr>
        <w:ind w:firstLine="720"/>
      </w:pPr>
      <w:r w:rsidRPr="00D662C3">
        <w:t>The primary authority Gonzalez relies on</w:t>
      </w:r>
      <w:r w:rsidRPr="00D662C3" w:rsidR="00675D64">
        <w:t xml:space="preserve">, </w:t>
      </w:r>
      <w:r w:rsidRPr="00D662C3" w:rsidR="00261FFE">
        <w:rPr>
          <w:i/>
          <w:iCs/>
        </w:rPr>
        <w:t>Webb v. Texas</w:t>
      </w:r>
      <w:r w:rsidRPr="00D662C3" w:rsidR="00261FFE">
        <w:t xml:space="preserve"> (1972) 409 U.S. 95</w:t>
      </w:r>
      <w:r w:rsidRPr="00D662C3" w:rsidR="001B3680">
        <w:t xml:space="preserve"> (</w:t>
      </w:r>
      <w:r w:rsidRPr="00D662C3" w:rsidR="001B3680">
        <w:rPr>
          <w:i/>
          <w:iCs/>
        </w:rPr>
        <w:t>Webb</w:t>
      </w:r>
      <w:r w:rsidRPr="00D662C3" w:rsidR="001B3680">
        <w:t>)</w:t>
      </w:r>
      <w:r w:rsidRPr="00D662C3" w:rsidR="00261FFE">
        <w:t xml:space="preserve">, </w:t>
      </w:r>
      <w:r w:rsidRPr="00D662C3" w:rsidR="00675D64">
        <w:t xml:space="preserve">has little in common with this case.  </w:t>
      </w:r>
      <w:r w:rsidRPr="00D662C3" w:rsidR="00EC0153">
        <w:t>In</w:t>
      </w:r>
      <w:r w:rsidRPr="00D662C3" w:rsidR="00261FFE">
        <w:t xml:space="preserve"> </w:t>
      </w:r>
      <w:r w:rsidRPr="00D662C3" w:rsidR="00261FFE">
        <w:rPr>
          <w:i/>
          <w:iCs/>
        </w:rPr>
        <w:t>Webb</w:t>
      </w:r>
      <w:r w:rsidRPr="00D662C3" w:rsidR="00EC0153">
        <w:t xml:space="preserve">, </w:t>
      </w:r>
      <w:r w:rsidRPr="00D662C3" w:rsidR="00261FFE">
        <w:t xml:space="preserve">the </w:t>
      </w:r>
      <w:r w:rsidRPr="00D662C3" w:rsidR="006121BD">
        <w:t>trial court</w:t>
      </w:r>
      <w:r w:rsidRPr="00D662C3" w:rsidR="00675D64">
        <w:t xml:space="preserve">, </w:t>
      </w:r>
      <w:r w:rsidRPr="00D662C3" w:rsidR="00771140">
        <w:t>acting</w:t>
      </w:r>
      <w:r w:rsidRPr="00D662C3" w:rsidR="00675D64">
        <w:t xml:space="preserve"> in the presence of the jury,</w:t>
      </w:r>
      <w:r w:rsidRPr="00D662C3" w:rsidR="006121BD">
        <w:t xml:space="preserve"> </w:t>
      </w:r>
      <w:r w:rsidRPr="00D662C3" w:rsidR="00675D64">
        <w:t xml:space="preserve">told </w:t>
      </w:r>
      <w:r w:rsidRPr="00D662C3" w:rsidR="006121BD">
        <w:t>the defense’s only</w:t>
      </w:r>
      <w:r w:rsidRPr="00D662C3" w:rsidR="00261FFE">
        <w:t xml:space="preserve"> witness </w:t>
      </w:r>
      <w:r w:rsidRPr="00D662C3" w:rsidR="006121BD">
        <w:t xml:space="preserve">that </w:t>
      </w:r>
      <w:r w:rsidRPr="00D662C3" w:rsidR="0054640C">
        <w:t>he</w:t>
      </w:r>
      <w:r w:rsidRPr="00D662C3" w:rsidR="006121BD">
        <w:t xml:space="preserve"> did not have to testify and</w:t>
      </w:r>
      <w:r w:rsidRPr="00D662C3" w:rsidR="00D50CF4">
        <w:t xml:space="preserve"> further directed</w:t>
      </w:r>
      <w:r w:rsidRPr="00D662C3" w:rsidR="006121BD">
        <w:t xml:space="preserve"> that if he lied under oath, the court would “</w:t>
      </w:r>
      <w:r w:rsidRPr="00D662C3" w:rsidR="00261FFE">
        <w:t>personally see</w:t>
      </w:r>
      <w:r w:rsidRPr="00D662C3" w:rsidR="006121BD">
        <w:t>”</w:t>
      </w:r>
      <w:r w:rsidRPr="00D662C3" w:rsidR="00675D64">
        <w:t xml:space="preserve"> to it</w:t>
      </w:r>
      <w:r w:rsidRPr="00D662C3" w:rsidR="00261FFE">
        <w:t xml:space="preserve"> that the grand jury </w:t>
      </w:r>
      <w:r w:rsidRPr="00D662C3" w:rsidR="0054640C">
        <w:t xml:space="preserve">would </w:t>
      </w:r>
      <w:r w:rsidRPr="00D662C3" w:rsidR="00261FFE">
        <w:t xml:space="preserve">indict </w:t>
      </w:r>
      <w:r w:rsidRPr="00D662C3" w:rsidR="0054640C">
        <w:t xml:space="preserve">him </w:t>
      </w:r>
      <w:r w:rsidRPr="00D662C3" w:rsidR="00EC0153">
        <w:t>f</w:t>
      </w:r>
      <w:r w:rsidRPr="00D662C3" w:rsidR="00261FFE">
        <w:t>or perjury</w:t>
      </w:r>
      <w:r w:rsidRPr="00D662C3" w:rsidR="00EC0153">
        <w:t xml:space="preserve"> and t</w:t>
      </w:r>
      <w:r w:rsidRPr="00D662C3" w:rsidR="008E18F5">
        <w:t xml:space="preserve">hat </w:t>
      </w:r>
      <w:r w:rsidRPr="00D662C3" w:rsidR="0054640C">
        <w:t xml:space="preserve">he </w:t>
      </w:r>
      <w:r w:rsidRPr="00D662C3" w:rsidR="008E18F5">
        <w:t>would likely be convicted and</w:t>
      </w:r>
      <w:r w:rsidRPr="00D662C3" w:rsidR="00261FFE">
        <w:t xml:space="preserve"> </w:t>
      </w:r>
      <w:r w:rsidRPr="00D662C3" w:rsidR="003D21DA">
        <w:t>sentenced to several years in prison</w:t>
      </w:r>
      <w:r w:rsidRPr="00D662C3" w:rsidR="00EC0153">
        <w:t xml:space="preserve"> (and </w:t>
      </w:r>
      <w:r w:rsidRPr="00D662C3" w:rsidR="0054640C">
        <w:t xml:space="preserve">also </w:t>
      </w:r>
      <w:r w:rsidRPr="00D662C3" w:rsidR="003D21DA">
        <w:t xml:space="preserve">impair </w:t>
      </w:r>
      <w:r w:rsidRPr="00D662C3" w:rsidR="008E18F5">
        <w:t>his chances for parole</w:t>
      </w:r>
      <w:r w:rsidRPr="00D662C3" w:rsidR="00EC0153">
        <w:t>).</w:t>
      </w:r>
      <w:r w:rsidRPr="00D662C3" w:rsidR="00261FFE">
        <w:t xml:space="preserve"> </w:t>
      </w:r>
      <w:r w:rsidRPr="00D662C3" w:rsidR="00EC0153">
        <w:t xml:space="preserve"> </w:t>
      </w:r>
      <w:r w:rsidRPr="00D662C3" w:rsidR="00261FFE">
        <w:t>(</w:t>
      </w:r>
      <w:r w:rsidRPr="00D662C3" w:rsidR="00261FFE">
        <w:rPr>
          <w:i/>
          <w:iCs/>
        </w:rPr>
        <w:t>Id.</w:t>
      </w:r>
      <w:r w:rsidRPr="00D662C3" w:rsidR="00261FFE">
        <w:t xml:space="preserve"> at pp. 95</w:t>
      </w:r>
      <w:r w:rsidRPr="00D662C3" w:rsidR="0054640C">
        <w:t>–</w:t>
      </w:r>
      <w:r w:rsidRPr="00D662C3" w:rsidR="00261FFE">
        <w:t>96</w:t>
      </w:r>
      <w:r w:rsidRPr="00D662C3" w:rsidR="006121BD">
        <w:t xml:space="preserve">.) </w:t>
      </w:r>
      <w:r w:rsidRPr="00D662C3" w:rsidR="00675D64">
        <w:t xml:space="preserve"> After </w:t>
      </w:r>
      <w:r w:rsidRPr="00D662C3" w:rsidR="00416B31">
        <w:t xml:space="preserve">receiving this </w:t>
      </w:r>
      <w:r w:rsidRPr="00D662C3" w:rsidR="003151B0">
        <w:t>warning</w:t>
      </w:r>
      <w:r w:rsidRPr="00D662C3" w:rsidR="00675D64">
        <w:t xml:space="preserve">, the witness chose not to testify.  </w:t>
      </w:r>
      <w:r w:rsidRPr="00D662C3" w:rsidR="008E18F5">
        <w:t>The S</w:t>
      </w:r>
      <w:r w:rsidRPr="00D662C3" w:rsidR="00261FFE">
        <w:t>upreme Court</w:t>
      </w:r>
      <w:r w:rsidRPr="00D662C3" w:rsidR="00B032B4">
        <w:t xml:space="preserve"> found that such conduct </w:t>
      </w:r>
      <w:r w:rsidRPr="00D662C3" w:rsidR="003D21DA">
        <w:t>violat</w:t>
      </w:r>
      <w:r w:rsidRPr="00D662C3">
        <w:t>ed</w:t>
      </w:r>
      <w:r w:rsidRPr="00D662C3" w:rsidR="003D21DA">
        <w:t xml:space="preserve"> </w:t>
      </w:r>
      <w:r w:rsidRPr="00D662C3" w:rsidR="0054640C">
        <w:t xml:space="preserve">the </w:t>
      </w:r>
      <w:r w:rsidRPr="00D662C3">
        <w:t xml:space="preserve">defendant’s </w:t>
      </w:r>
      <w:r w:rsidRPr="00D662C3" w:rsidR="00B032B4">
        <w:t xml:space="preserve">right to </w:t>
      </w:r>
      <w:r w:rsidRPr="00D662C3" w:rsidR="003D21DA">
        <w:t>due process</w:t>
      </w:r>
      <w:r w:rsidRPr="00D662C3" w:rsidR="00B032B4">
        <w:t xml:space="preserve">, explaining that the “lengthy admonition” </w:t>
      </w:r>
      <w:r w:rsidRPr="00D662C3">
        <w:t>had gone f</w:t>
      </w:r>
      <w:r w:rsidRPr="00D662C3" w:rsidR="008E18F5">
        <w:t xml:space="preserve">ar beyond </w:t>
      </w:r>
      <w:r w:rsidRPr="00D662C3">
        <w:t xml:space="preserve">merely </w:t>
      </w:r>
      <w:r w:rsidRPr="00D662C3" w:rsidR="008E18F5">
        <w:t>warning the witness of the “necessity to tell the truth</w:t>
      </w:r>
      <w:r w:rsidRPr="00D662C3" w:rsidR="00D50CF4">
        <w:t>,</w:t>
      </w:r>
      <w:r w:rsidRPr="00D662C3">
        <w:t>”</w:t>
      </w:r>
      <w:r w:rsidRPr="00D662C3" w:rsidR="00B032B4">
        <w:t xml:space="preserve"> and</w:t>
      </w:r>
      <w:r w:rsidRPr="00D662C3" w:rsidR="0054640C">
        <w:t xml:space="preserve"> had</w:t>
      </w:r>
      <w:r w:rsidRPr="00D662C3" w:rsidR="00B032B4">
        <w:t xml:space="preserve"> instead </w:t>
      </w:r>
      <w:r w:rsidRPr="00D662C3">
        <w:t>used “</w:t>
      </w:r>
      <w:r w:rsidRPr="00D662C3" w:rsidR="00675D64">
        <w:t>unnecessarily</w:t>
      </w:r>
      <w:r w:rsidRPr="00D662C3">
        <w:t xml:space="preserve"> strong terms [that] could well have exerted such duress on the witness’ mind as to preclude him from making a free and voluntary choice whether or not to testify.”  (</w:t>
      </w:r>
      <w:r w:rsidRPr="00D662C3">
        <w:rPr>
          <w:i/>
          <w:iCs/>
        </w:rPr>
        <w:t>Id</w:t>
      </w:r>
      <w:r w:rsidRPr="00D662C3">
        <w:t>. at pp. 97</w:t>
      </w:r>
      <w:r w:rsidRPr="00D662C3" w:rsidR="002E10A5">
        <w:t xml:space="preserve">, </w:t>
      </w:r>
      <w:r w:rsidRPr="00D662C3">
        <w:t xml:space="preserve">98.) </w:t>
      </w:r>
    </w:p>
    <w:p w:rsidR="00225C9A" w:rsidRPr="00D662C3" w:rsidP="004F5DF7">
      <w:pPr>
        <w:ind w:firstLine="720"/>
      </w:pPr>
      <w:r w:rsidRPr="00D662C3">
        <w:t xml:space="preserve">Nothing similar occurred here.  </w:t>
      </w:r>
      <w:r w:rsidRPr="00D662C3" w:rsidR="0054640C">
        <w:t>T</w:t>
      </w:r>
      <w:r w:rsidRPr="00D662C3">
        <w:t xml:space="preserve">he </w:t>
      </w:r>
      <w:r w:rsidRPr="00D662C3" w:rsidR="00EC0153">
        <w:t xml:space="preserve">trial </w:t>
      </w:r>
      <w:r w:rsidRPr="00D662C3">
        <w:t xml:space="preserve">court </w:t>
      </w:r>
      <w:r w:rsidRPr="00D662C3" w:rsidR="00EC0153">
        <w:t xml:space="preserve">in this case </w:t>
      </w:r>
      <w:r w:rsidRPr="00D662C3">
        <w:t>merely called the witness’s attention to the importan</w:t>
      </w:r>
      <w:r w:rsidRPr="00D662C3" w:rsidR="00EC0153">
        <w:t>ce</w:t>
      </w:r>
      <w:r w:rsidRPr="00D662C3">
        <w:t xml:space="preserve"> of testifying in a truthful manner</w:t>
      </w:r>
      <w:r w:rsidRPr="00D662C3" w:rsidR="003151B0">
        <w:t xml:space="preserve"> and, outside the presence of the jury, invited each witness’s counsel to consult with their client </w:t>
      </w:r>
      <w:r w:rsidRPr="00D662C3" w:rsidR="00612B9A">
        <w:t xml:space="preserve"> about “telling the truth and volunteering answers without the prosecutor having to constantly remind her of what her statement</w:t>
      </w:r>
      <w:r w:rsidRPr="00D662C3" w:rsidR="0054640C">
        <w:t>s</w:t>
      </w:r>
      <w:r w:rsidRPr="00D662C3" w:rsidR="00612B9A">
        <w:t xml:space="preserve"> have been in the past.”  We see nothing in th</w:t>
      </w:r>
      <w:r w:rsidRPr="00D662C3" w:rsidR="00EC0153">
        <w:t>ese</w:t>
      </w:r>
      <w:r w:rsidRPr="00D662C3" w:rsidR="00612B9A">
        <w:t xml:space="preserve"> admonition</w:t>
      </w:r>
      <w:r w:rsidRPr="00D662C3" w:rsidR="00675D64">
        <w:t>s</w:t>
      </w:r>
      <w:r w:rsidRPr="00D662C3" w:rsidR="00612B9A">
        <w:t xml:space="preserve"> that </w:t>
      </w:r>
      <w:r w:rsidRPr="00D662C3" w:rsidR="003151B0">
        <w:t>wa</w:t>
      </w:r>
      <w:r w:rsidRPr="00D662C3" w:rsidR="00612B9A">
        <w:t xml:space="preserve">s so extreme as to amount to a due process violation. </w:t>
      </w:r>
      <w:r w:rsidRPr="00D662C3">
        <w:t xml:space="preserve"> </w:t>
      </w:r>
      <w:r w:rsidRPr="00D662C3" w:rsidR="00B5775F">
        <w:t xml:space="preserve">  </w:t>
      </w:r>
    </w:p>
    <w:p w:rsidR="00A57963" w:rsidRPr="00D662C3" w:rsidP="004F5DF7">
      <w:pPr>
        <w:ind w:firstLine="720"/>
      </w:pPr>
      <w:r w:rsidRPr="00D662C3">
        <w:t>We likewise find that Gonzalez has failed to establish that the prosecut</w:t>
      </w:r>
      <w:r w:rsidRPr="00D662C3">
        <w:t xml:space="preserve">ion engaged in </w:t>
      </w:r>
      <w:r w:rsidRPr="00D662C3" w:rsidR="00852401">
        <w:t>unlawful coercion</w:t>
      </w:r>
      <w:r w:rsidRPr="00D662C3">
        <w:t xml:space="preserve"> by reminding the witnesses they were under oath, referencing </w:t>
      </w:r>
      <w:r w:rsidRPr="00D662C3">
        <w:t>prior statements</w:t>
      </w:r>
      <w:r w:rsidRPr="00D662C3">
        <w:t xml:space="preserve"> they had made to law enforcement and, </w:t>
      </w:r>
      <w:r w:rsidRPr="00D662C3" w:rsidR="003151B0">
        <w:t xml:space="preserve">on a single </w:t>
      </w:r>
      <w:r w:rsidRPr="00D662C3">
        <w:t xml:space="preserve"> occasion, inquiring whether Rowan was aware that she was facing a three</w:t>
      </w:r>
      <w:r w:rsidRPr="00D662C3" w:rsidR="00D50CF4">
        <w:t>-</w:t>
      </w:r>
      <w:r w:rsidRPr="00D662C3">
        <w:t xml:space="preserve">year jail sentence.  Again, Gonzalez </w:t>
      </w:r>
      <w:r w:rsidRPr="00D662C3" w:rsidR="00852401">
        <w:t>cites</w:t>
      </w:r>
      <w:r w:rsidRPr="00D662C3">
        <w:t xml:space="preserve"> no authority in which similar </w:t>
      </w:r>
      <w:r w:rsidRPr="00D662C3" w:rsidR="0054640C">
        <w:t xml:space="preserve">statements were </w:t>
      </w:r>
      <w:r w:rsidRPr="00D662C3" w:rsidR="00852401">
        <w:t xml:space="preserve">found to constitute prosecutorial misconduct.  The primary authority he cites is </w:t>
      </w:r>
      <w:r w:rsidRPr="00D662C3" w:rsidR="00852401">
        <w:rPr>
          <w:i/>
          <w:iCs/>
        </w:rPr>
        <w:t>U</w:t>
      </w:r>
      <w:r w:rsidR="00466FB3">
        <w:rPr>
          <w:i/>
          <w:iCs/>
        </w:rPr>
        <w:t>nited States</w:t>
      </w:r>
      <w:r w:rsidRPr="00D662C3" w:rsidR="00852401">
        <w:rPr>
          <w:i/>
          <w:iCs/>
        </w:rPr>
        <w:t xml:space="preserve"> v. Juan</w:t>
      </w:r>
      <w:r w:rsidRPr="00D662C3" w:rsidR="00852401">
        <w:t xml:space="preserve"> (9th Cir</w:t>
      </w:r>
      <w:r w:rsidRPr="00D662C3" w:rsidR="0054640C">
        <w:t>.</w:t>
      </w:r>
      <w:r w:rsidRPr="00D662C3" w:rsidR="00852401">
        <w:t xml:space="preserve"> 2013) 704 F.3d 1137, </w:t>
      </w:r>
      <w:r w:rsidRPr="00D662C3" w:rsidR="007929A6">
        <w:t>1142</w:t>
      </w:r>
      <w:r w:rsidRPr="00D662C3" w:rsidR="00AD2DDF">
        <w:t xml:space="preserve"> (</w:t>
      </w:r>
      <w:r w:rsidRPr="00D662C3" w:rsidR="00AD2DDF">
        <w:rPr>
          <w:i/>
          <w:iCs/>
        </w:rPr>
        <w:t>Juan</w:t>
      </w:r>
      <w:r w:rsidRPr="00D662C3" w:rsidR="00AD2DDF">
        <w:t>)</w:t>
      </w:r>
      <w:r w:rsidRPr="00D662C3" w:rsidR="007929A6">
        <w:t xml:space="preserve">, </w:t>
      </w:r>
      <w:r w:rsidRPr="00D662C3" w:rsidR="00852401">
        <w:t xml:space="preserve">which held that </w:t>
      </w:r>
      <w:r w:rsidRPr="00D662C3" w:rsidR="00EF4C7D">
        <w:t xml:space="preserve">under the </w:t>
      </w:r>
      <w:r w:rsidRPr="00D662C3" w:rsidR="00676E23">
        <w:t xml:space="preserve">“principles </w:t>
      </w:r>
      <w:r w:rsidRPr="00D662C3" w:rsidR="003151B0">
        <w:t>of</w:t>
      </w:r>
      <w:r w:rsidRPr="00D662C3" w:rsidR="00852401">
        <w:t xml:space="preserve"> </w:t>
      </w:r>
      <w:r w:rsidRPr="00D662C3" w:rsidR="00852401">
        <w:rPr>
          <w:i/>
          <w:iCs/>
        </w:rPr>
        <w:t>Webb</w:t>
      </w:r>
      <w:r w:rsidRPr="00D662C3" w:rsidR="003151B0">
        <w:t>[</w:t>
      </w:r>
      <w:r w:rsidRPr="00D662C3" w:rsidR="00852401">
        <w:rPr>
          <w:i/>
          <w:iCs/>
        </w:rPr>
        <w:t>, supra</w:t>
      </w:r>
      <w:r w:rsidRPr="00D662C3" w:rsidR="00852401">
        <w:t xml:space="preserve">, 409 U.S. </w:t>
      </w:r>
      <w:r w:rsidRPr="00D662C3" w:rsidR="001B3680">
        <w:t xml:space="preserve">at page </w:t>
      </w:r>
      <w:r w:rsidRPr="00D662C3" w:rsidR="00852401">
        <w:t>95</w:t>
      </w:r>
      <w:r w:rsidRPr="00D662C3" w:rsidR="003151B0">
        <w:t>]</w:t>
      </w:r>
      <w:r w:rsidRPr="00D662C3" w:rsidR="00EF4C7D">
        <w:t>,”</w:t>
      </w:r>
      <w:r w:rsidRPr="00D662C3" w:rsidR="003151B0">
        <w:t xml:space="preserve"> </w:t>
      </w:r>
      <w:r w:rsidRPr="00D662C3" w:rsidR="00EF4C7D">
        <w:t xml:space="preserve">a </w:t>
      </w:r>
      <w:r w:rsidRPr="00D662C3" w:rsidR="00852401">
        <w:t>prosecutor</w:t>
      </w:r>
      <w:r w:rsidRPr="00D662C3" w:rsidR="005F3F15">
        <w:t>’</w:t>
      </w:r>
      <w:r w:rsidRPr="00D662C3" w:rsidR="00852401">
        <w:t>s</w:t>
      </w:r>
      <w:r w:rsidRPr="00D662C3" w:rsidR="00EF4C7D">
        <w:t xml:space="preserve"> </w:t>
      </w:r>
      <w:r w:rsidRPr="00D662C3" w:rsidR="00852401">
        <w:t>“</w:t>
      </w:r>
      <w:r w:rsidRPr="00D662C3" w:rsidR="00EF4C7D">
        <w:t xml:space="preserve">substantial and </w:t>
      </w:r>
      <w:r w:rsidRPr="00D662C3" w:rsidR="00676E23">
        <w:t>wrongful interference with a</w:t>
      </w:r>
      <w:r w:rsidRPr="00D662C3" w:rsidR="0054640C">
        <w:t> . . . </w:t>
      </w:r>
      <w:r w:rsidRPr="00D662C3" w:rsidR="00676E23">
        <w:t>witness that</w:t>
      </w:r>
      <w:r w:rsidRPr="00D662C3" w:rsidR="003151B0">
        <w:t> </w:t>
      </w:r>
      <w:r w:rsidRPr="00D662C3" w:rsidR="00676E23">
        <w:t>.</w:t>
      </w:r>
      <w:r w:rsidRPr="00D662C3" w:rsidR="003151B0">
        <w:t> </w:t>
      </w:r>
      <w:r w:rsidRPr="00D662C3" w:rsidR="00676E23">
        <w:t>.</w:t>
      </w:r>
      <w:r w:rsidRPr="00D662C3" w:rsidR="003151B0">
        <w:t> </w:t>
      </w:r>
      <w:r w:rsidRPr="00D662C3" w:rsidR="00676E23">
        <w:t>.</w:t>
      </w:r>
      <w:r w:rsidRPr="00D662C3" w:rsidR="003151B0">
        <w:t> </w:t>
      </w:r>
      <w:r w:rsidRPr="00D662C3" w:rsidR="00676E23">
        <w:t>leads the witness to materially change his or her prior trial testimony can . . . violate due process.</w:t>
      </w:r>
      <w:r w:rsidRPr="00D662C3" w:rsidR="00EF4C7D">
        <w:t>”</w:t>
      </w:r>
      <w:r w:rsidRPr="00D662C3" w:rsidR="006B5B2D">
        <w:t xml:space="preserve"> </w:t>
      </w:r>
      <w:r w:rsidRPr="00D662C3" w:rsidR="00EF4C7D">
        <w:t xml:space="preserve"> (</w:t>
      </w:r>
      <w:r w:rsidRPr="00D662C3" w:rsidR="00EF4C7D">
        <w:rPr>
          <w:i/>
          <w:iCs/>
        </w:rPr>
        <w:t>Ibid</w:t>
      </w:r>
      <w:r w:rsidRPr="00D662C3" w:rsidR="00EF4C7D">
        <w:t>.)</w:t>
      </w:r>
      <w:r>
        <w:rPr>
          <w:rStyle w:val="FootnoteReference"/>
        </w:rPr>
        <w:footnoteReference w:id="17"/>
      </w:r>
      <w:r w:rsidRPr="00D662C3" w:rsidR="00676E23">
        <w:t xml:space="preserve"> </w:t>
      </w:r>
    </w:p>
    <w:p w:rsidR="00003971" w:rsidP="004F5DF7">
      <w:pPr>
        <w:ind w:firstLine="720"/>
      </w:pPr>
      <w:r w:rsidRPr="00D662C3">
        <w:t>W</w:t>
      </w:r>
      <w:r w:rsidRPr="00D662C3" w:rsidR="00EF4C7D">
        <w:t xml:space="preserve">e find nothing </w:t>
      </w:r>
      <w:r w:rsidRPr="00D662C3" w:rsidR="00942603">
        <w:t>in the prosecution’s conduct that amounted to “substantial and wrongful interference”</w:t>
      </w:r>
      <w:r w:rsidRPr="00D662C3" w:rsidR="00BE3C9F">
        <w:t xml:space="preserve"> with </w:t>
      </w:r>
      <w:r w:rsidRPr="00D662C3" w:rsidR="0054640C">
        <w:t xml:space="preserve">the </w:t>
      </w:r>
      <w:r w:rsidRPr="00D662C3" w:rsidR="00BE3C9F">
        <w:t>witness</w:t>
      </w:r>
      <w:r w:rsidRPr="00D662C3" w:rsidR="0054640C">
        <w:t>es’</w:t>
      </w:r>
      <w:r w:rsidRPr="00D662C3" w:rsidR="00BE3C9F">
        <w:t xml:space="preserve"> testimony.</w:t>
      </w:r>
      <w:r w:rsidRPr="00D662C3" w:rsidR="00942603">
        <w:t xml:space="preserve">  </w:t>
      </w:r>
      <w:r w:rsidRPr="00D662C3" w:rsidR="007929A6">
        <w:t>(</w:t>
      </w:r>
      <w:r w:rsidRPr="00D662C3" w:rsidR="007929A6">
        <w:rPr>
          <w:i/>
          <w:iCs/>
        </w:rPr>
        <w:t>Juan</w:t>
      </w:r>
      <w:r w:rsidRPr="00D662C3" w:rsidR="007929A6">
        <w:t xml:space="preserve">, </w:t>
      </w:r>
      <w:r w:rsidRPr="00D662C3" w:rsidR="007929A6">
        <w:rPr>
          <w:i/>
          <w:iCs/>
        </w:rPr>
        <w:t>supra</w:t>
      </w:r>
      <w:r w:rsidRPr="00D662C3" w:rsidR="007929A6">
        <w:t xml:space="preserve">, 704 F.3d at p. 1142.)  </w:t>
      </w:r>
      <w:r w:rsidRPr="00D662C3" w:rsidR="00676E23">
        <w:t xml:space="preserve">When faced with </w:t>
      </w:r>
      <w:r w:rsidRPr="00D662C3" w:rsidR="00BE3C9F">
        <w:t xml:space="preserve">two </w:t>
      </w:r>
      <w:r w:rsidRPr="00D662C3" w:rsidR="005F3F15">
        <w:t xml:space="preserve">hostile </w:t>
      </w:r>
      <w:r w:rsidRPr="00D662C3" w:rsidR="00676E23">
        <w:t>witnesses who had provided testimony that was inconsistent with the</w:t>
      </w:r>
      <w:r w:rsidRPr="00D662C3" w:rsidR="0066192A">
        <w:t xml:space="preserve">ir prior </w:t>
      </w:r>
      <w:r w:rsidRPr="00D662C3" w:rsidR="00676E23">
        <w:t>statements</w:t>
      </w:r>
      <w:r w:rsidRPr="00D662C3" w:rsidR="0066192A">
        <w:t xml:space="preserve"> to law enforcement</w:t>
      </w:r>
      <w:r w:rsidRPr="00D662C3" w:rsidR="003F348D">
        <w:t>,</w:t>
      </w:r>
      <w:r w:rsidRPr="00D662C3" w:rsidR="0066192A">
        <w:t xml:space="preserve"> </w:t>
      </w:r>
      <w:r w:rsidRPr="00D662C3" w:rsidR="00676E23">
        <w:t>or</w:t>
      </w:r>
      <w:r w:rsidRPr="00D662C3" w:rsidR="00942603">
        <w:t xml:space="preserve"> otherwise </w:t>
      </w:r>
      <w:r w:rsidRPr="00D662C3" w:rsidR="00676E23">
        <w:t>claim</w:t>
      </w:r>
      <w:r w:rsidRPr="00D662C3" w:rsidR="00942603">
        <w:t>ed</w:t>
      </w:r>
      <w:r w:rsidRPr="00D662C3" w:rsidR="00676E23">
        <w:t xml:space="preserve"> not to remember </w:t>
      </w:r>
      <w:r w:rsidRPr="00D662C3" w:rsidR="00942603">
        <w:t xml:space="preserve">key aspects of </w:t>
      </w:r>
      <w:r w:rsidRPr="00D662C3" w:rsidR="005B363E">
        <w:t xml:space="preserve">what they </w:t>
      </w:r>
      <w:r w:rsidRPr="00D662C3" w:rsidR="0066192A">
        <w:t>had told police</w:t>
      </w:r>
      <w:r w:rsidRPr="00D662C3" w:rsidR="00942603">
        <w:t xml:space="preserve">, </w:t>
      </w:r>
      <w:r w:rsidRPr="00D662C3" w:rsidR="005B363E">
        <w:t>the prosecution reminded them of their prior statements or their duty to testify truthfully.</w:t>
      </w:r>
      <w:r w:rsidRPr="00D662C3" w:rsidR="0066192A">
        <w:t xml:space="preserve">  Those reminders do not qualify as misconduct.  Likewise, t</w:t>
      </w:r>
      <w:r w:rsidRPr="00D662C3" w:rsidR="005B363E">
        <w:t xml:space="preserve">he isolated </w:t>
      </w:r>
      <w:r w:rsidRPr="00D662C3" w:rsidR="0066192A">
        <w:t xml:space="preserve">question the prosecution asked </w:t>
      </w:r>
      <w:r w:rsidRPr="00D662C3" w:rsidR="005B363E">
        <w:t xml:space="preserve">Rowan </w:t>
      </w:r>
      <w:r w:rsidRPr="00D662C3" w:rsidR="0066192A">
        <w:t xml:space="preserve">about whether she wanted to </w:t>
      </w:r>
      <w:r w:rsidRPr="00D662C3" w:rsidR="005B363E">
        <w:t>receiv</w:t>
      </w:r>
      <w:r w:rsidRPr="00D662C3" w:rsidR="0066192A">
        <w:t>e</w:t>
      </w:r>
      <w:r w:rsidRPr="00D662C3" w:rsidR="005B363E">
        <w:t xml:space="preserve"> a three-year sentence was not so extreme as to</w:t>
      </w:r>
      <w:r w:rsidRPr="00D662C3" w:rsidR="00676E23">
        <w:t xml:space="preserve"> </w:t>
      </w:r>
      <w:r w:rsidRPr="00D662C3" w:rsidR="005B363E">
        <w:t>substantially interfere with her testimony or otherwise “involve</w:t>
      </w:r>
      <w:r w:rsidRPr="00D662C3" w:rsidR="0066192A">
        <w:t>[]</w:t>
      </w:r>
      <w:r w:rsidRPr="00D662C3" w:rsidR="005B363E">
        <w:t xml:space="preserve"> the use of deceptive or reprehensible</w:t>
      </w:r>
      <w:r w:rsidRPr="00D662C3" w:rsidR="0054640C">
        <w:t xml:space="preserve"> methods</w:t>
      </w:r>
      <w:r w:rsidRPr="00D662C3" w:rsidR="005B363E">
        <w:t>.”  (</w:t>
      </w:r>
      <w:r w:rsidRPr="00D662C3" w:rsidR="005B363E">
        <w:rPr>
          <w:i/>
          <w:iCs/>
        </w:rPr>
        <w:t xml:space="preserve">Morales, supra, </w:t>
      </w:r>
      <w:r w:rsidRPr="00D662C3" w:rsidR="005B363E">
        <w:t xml:space="preserve">25 Cal.4th at p. 44.)  Under </w:t>
      </w:r>
      <w:r w:rsidRPr="00D662C3" w:rsidR="003F348D">
        <w:t>“</w:t>
      </w:r>
      <w:r w:rsidRPr="00D662C3" w:rsidR="005B363E">
        <w:t xml:space="preserve">the </w:t>
      </w:r>
      <w:r w:rsidRPr="00D662C3" w:rsidR="0066192A">
        <w:t xml:space="preserve">totality </w:t>
      </w:r>
      <w:r w:rsidRPr="00D662C3" w:rsidR="007929A6">
        <w:t xml:space="preserve">of the </w:t>
      </w:r>
      <w:r w:rsidRPr="00D662C3" w:rsidR="005B363E">
        <w:t>circumstances</w:t>
      </w:r>
      <w:r w:rsidRPr="00D662C3" w:rsidR="003F348D">
        <w:t>”</w:t>
      </w:r>
      <w:r w:rsidRPr="00D662C3" w:rsidR="005B363E">
        <w:t xml:space="preserve"> presented here</w:t>
      </w:r>
      <w:r w:rsidRPr="00D662C3" w:rsidR="003F348D">
        <w:t xml:space="preserve"> (</w:t>
      </w:r>
      <w:r w:rsidRPr="00D662C3" w:rsidR="003F348D">
        <w:rPr>
          <w:i/>
          <w:iCs/>
        </w:rPr>
        <w:t>Juan, supra</w:t>
      </w:r>
      <w:r w:rsidRPr="00D662C3" w:rsidR="003F348D">
        <w:t>, 704 F.3d at p. 1142 [“substantial interference inquiry is [assessed]</w:t>
      </w:r>
      <w:r w:rsidRPr="00D662C3" w:rsidR="006B5B2D">
        <w:t> </w:t>
      </w:r>
      <w:r w:rsidRPr="00D662C3" w:rsidR="003F348D">
        <w:t>under the totality of the circumstances”])</w:t>
      </w:r>
      <w:r w:rsidRPr="00D662C3" w:rsidR="005B363E">
        <w:t>, we find no</w:t>
      </w:r>
      <w:r w:rsidRPr="00D662C3" w:rsidR="005F3F15">
        <w:t xml:space="preserve"> witness interference nor any </w:t>
      </w:r>
      <w:r w:rsidRPr="00D662C3" w:rsidR="005B363E">
        <w:t>misconduct in the prosecutor’s limited admonitions to the witnesses.</w:t>
      </w:r>
      <w:r>
        <w:rPr>
          <w:rStyle w:val="FootnoteReference"/>
        </w:rPr>
        <w:footnoteReference w:id="18"/>
      </w:r>
      <w:r w:rsidRPr="00D662C3" w:rsidR="00676E23">
        <w:t xml:space="preserve"> </w:t>
      </w:r>
      <w:r w:rsidRPr="00D662C3" w:rsidR="00A57963">
        <w:t xml:space="preserve"> </w:t>
      </w:r>
      <w:r w:rsidRPr="00D662C3" w:rsidR="00D04FBF">
        <w:tab/>
      </w:r>
      <w:r w:rsidRPr="00D662C3" w:rsidR="00221A31">
        <w:t xml:space="preserve">  </w:t>
      </w:r>
    </w:p>
    <w:p w:rsidR="00003971">
      <w:pPr>
        <w:spacing w:after="0" w:line="240" w:lineRule="auto"/>
        <w:jc w:val="left"/>
      </w:pPr>
      <w:r>
        <w:br w:type="page"/>
      </w:r>
    </w:p>
    <w:p w:rsidR="00221A31" w:rsidRPr="00D662C3" w:rsidP="004F5DF7">
      <w:pPr>
        <w:ind w:firstLine="720"/>
      </w:pPr>
    </w:p>
    <w:p w:rsidR="001B4BA0" w:rsidRPr="00D662C3" w:rsidP="004F5DF7">
      <w:pPr>
        <w:pStyle w:val="ListParagraph"/>
        <w:numPr>
          <w:ilvl w:val="0"/>
          <w:numId w:val="7"/>
        </w:numPr>
        <w:tabs>
          <w:tab w:val="left" w:pos="1440"/>
        </w:tabs>
        <w:rPr>
          <w:i/>
          <w:iCs/>
          <w:smallCaps/>
        </w:rPr>
      </w:pPr>
      <w:r w:rsidRPr="00D662C3">
        <w:rPr>
          <w:i/>
          <w:iCs/>
        </w:rPr>
        <w:t xml:space="preserve">The court did not </w:t>
      </w:r>
      <w:r w:rsidRPr="00D662C3" w:rsidR="004578D7">
        <w:rPr>
          <w:i/>
          <w:iCs/>
        </w:rPr>
        <w:t>improperly</w:t>
      </w:r>
      <w:r w:rsidRPr="00D662C3">
        <w:rPr>
          <w:i/>
          <w:iCs/>
        </w:rPr>
        <w:t xml:space="preserve"> r</w:t>
      </w:r>
      <w:r w:rsidRPr="00D662C3">
        <w:rPr>
          <w:i/>
          <w:iCs/>
        </w:rPr>
        <w:t>estric</w:t>
      </w:r>
      <w:r w:rsidRPr="00D662C3" w:rsidR="004578D7">
        <w:rPr>
          <w:i/>
          <w:iCs/>
        </w:rPr>
        <w:t>t</w:t>
      </w:r>
      <w:r w:rsidRPr="00D662C3">
        <w:rPr>
          <w:i/>
          <w:iCs/>
        </w:rPr>
        <w:t xml:space="preserve"> </w:t>
      </w:r>
      <w:r w:rsidRPr="00D662C3" w:rsidR="00675D64">
        <w:rPr>
          <w:i/>
          <w:iCs/>
        </w:rPr>
        <w:t>c</w:t>
      </w:r>
      <w:r w:rsidRPr="00D662C3">
        <w:rPr>
          <w:i/>
          <w:iCs/>
        </w:rPr>
        <w:t>ross</w:t>
      </w:r>
      <w:r w:rsidRPr="00D662C3" w:rsidR="00675D64">
        <w:rPr>
          <w:i/>
          <w:iCs/>
        </w:rPr>
        <w:t>-e</w:t>
      </w:r>
      <w:r w:rsidRPr="00D662C3">
        <w:rPr>
          <w:i/>
          <w:iCs/>
        </w:rPr>
        <w:t xml:space="preserve">xamination </w:t>
      </w:r>
    </w:p>
    <w:p w:rsidR="00846692" w:rsidRPr="00D662C3" w:rsidP="004F5DF7">
      <w:pPr>
        <w:ind w:firstLine="720"/>
        <w:rPr>
          <w:szCs w:val="26"/>
        </w:rPr>
      </w:pPr>
      <w:r w:rsidRPr="00D662C3">
        <w:rPr>
          <w:szCs w:val="26"/>
        </w:rPr>
        <w:t>Gonzalez also argues the trial court violated his right</w:t>
      </w:r>
      <w:r w:rsidRPr="00D662C3" w:rsidR="00612B9A">
        <w:rPr>
          <w:szCs w:val="26"/>
        </w:rPr>
        <w:t xml:space="preserve"> to </w:t>
      </w:r>
      <w:r w:rsidRPr="00D662C3" w:rsidR="00F57E05">
        <w:rPr>
          <w:szCs w:val="26"/>
        </w:rPr>
        <w:t>confrontation</w:t>
      </w:r>
      <w:r w:rsidRPr="00D662C3">
        <w:rPr>
          <w:szCs w:val="26"/>
        </w:rPr>
        <w:t xml:space="preserve"> when it sustained objections during the cross-examinations of Rowan and </w:t>
      </w:r>
      <w:r w:rsidRPr="00D662C3" w:rsidR="00612B9A">
        <w:rPr>
          <w:szCs w:val="26"/>
        </w:rPr>
        <w:t>Celina</w:t>
      </w:r>
      <w:r w:rsidRPr="00D662C3">
        <w:rPr>
          <w:szCs w:val="26"/>
        </w:rPr>
        <w:t xml:space="preserve">.  </w:t>
      </w:r>
      <w:r w:rsidRPr="00D662C3" w:rsidR="00B5775F">
        <w:rPr>
          <w:szCs w:val="26"/>
        </w:rPr>
        <w:t xml:space="preserve">We </w:t>
      </w:r>
      <w:r w:rsidRPr="00D662C3" w:rsidR="00612B9A">
        <w:rPr>
          <w:szCs w:val="26"/>
        </w:rPr>
        <w:t>find no error</w:t>
      </w:r>
      <w:r w:rsidRPr="00D662C3" w:rsidR="00B5775F">
        <w:rPr>
          <w:szCs w:val="26"/>
        </w:rPr>
        <w:t xml:space="preserve">. </w:t>
      </w:r>
      <w:r w:rsidRPr="00D662C3">
        <w:rPr>
          <w:szCs w:val="26"/>
        </w:rPr>
        <w:t xml:space="preserve"> </w:t>
      </w:r>
    </w:p>
    <w:p w:rsidR="00846692" w:rsidRPr="00D662C3" w:rsidP="004F5DF7">
      <w:pPr>
        <w:pStyle w:val="ListParagraph"/>
        <w:numPr>
          <w:ilvl w:val="1"/>
          <w:numId w:val="16"/>
        </w:numPr>
        <w:rPr>
          <w:i/>
          <w:iCs/>
          <w:szCs w:val="26"/>
        </w:rPr>
      </w:pPr>
      <w:r w:rsidRPr="00D662C3">
        <w:rPr>
          <w:i/>
          <w:iCs/>
          <w:szCs w:val="26"/>
        </w:rPr>
        <w:t>Background</w:t>
      </w:r>
    </w:p>
    <w:p w:rsidR="00B342F4" w:rsidRPr="00D662C3" w:rsidP="004F5DF7">
      <w:pPr>
        <w:ind w:firstLine="720"/>
        <w:rPr>
          <w:szCs w:val="26"/>
        </w:rPr>
      </w:pPr>
      <w:r w:rsidRPr="00D662C3">
        <w:rPr>
          <w:szCs w:val="26"/>
        </w:rPr>
        <w:t xml:space="preserve">During </w:t>
      </w:r>
      <w:r w:rsidRPr="00D662C3" w:rsidR="00B5775F">
        <w:rPr>
          <w:szCs w:val="26"/>
        </w:rPr>
        <w:t>c</w:t>
      </w:r>
      <w:r w:rsidRPr="00D662C3">
        <w:rPr>
          <w:szCs w:val="26"/>
        </w:rPr>
        <w:t xml:space="preserve">ross-examination, defense counsel asked Rowan </w:t>
      </w:r>
      <w:r w:rsidRPr="00D662C3">
        <w:rPr>
          <w:szCs w:val="26"/>
        </w:rPr>
        <w:t>if she was concerned “whether or not [she was]</w:t>
      </w:r>
      <w:r w:rsidRPr="00D662C3" w:rsidR="00675D64">
        <w:rPr>
          <w:szCs w:val="26"/>
        </w:rPr>
        <w:t xml:space="preserve"> </w:t>
      </w:r>
      <w:r w:rsidRPr="00D662C3">
        <w:rPr>
          <w:szCs w:val="26"/>
        </w:rPr>
        <w:t xml:space="preserve">going to get a deal on [her] case” and if </w:t>
      </w:r>
      <w:r w:rsidRPr="00D662C3">
        <w:rPr>
          <w:szCs w:val="26"/>
        </w:rPr>
        <w:t>she</w:t>
      </w:r>
      <w:r w:rsidRPr="00D662C3">
        <w:rPr>
          <w:szCs w:val="26"/>
        </w:rPr>
        <w:t xml:space="preserve"> was afraid of going to prison for three years.</w:t>
      </w:r>
      <w:r w:rsidRPr="00D662C3" w:rsidR="004D2FAD">
        <w:rPr>
          <w:szCs w:val="26"/>
        </w:rPr>
        <w:t xml:space="preserve"> </w:t>
      </w:r>
      <w:r w:rsidRPr="00D662C3">
        <w:rPr>
          <w:szCs w:val="26"/>
        </w:rPr>
        <w:t xml:space="preserve"> </w:t>
      </w:r>
      <w:r w:rsidRPr="00D662C3">
        <w:rPr>
          <w:szCs w:val="26"/>
        </w:rPr>
        <w:t>She responded</w:t>
      </w:r>
      <w:r w:rsidRPr="00D662C3" w:rsidR="00675D64">
        <w:rPr>
          <w:szCs w:val="26"/>
        </w:rPr>
        <w:t xml:space="preserve"> yes.</w:t>
      </w:r>
      <w:r w:rsidRPr="00D662C3">
        <w:rPr>
          <w:szCs w:val="26"/>
        </w:rPr>
        <w:t xml:space="preserve">  </w:t>
      </w:r>
      <w:r w:rsidRPr="00D662C3">
        <w:rPr>
          <w:szCs w:val="26"/>
        </w:rPr>
        <w:t>Defense counsel</w:t>
      </w:r>
      <w:r w:rsidRPr="00D662C3">
        <w:rPr>
          <w:szCs w:val="26"/>
        </w:rPr>
        <w:t xml:space="preserve"> then asked, “You don’t want to go to prison for three years, do you?”  </w:t>
      </w:r>
      <w:r w:rsidRPr="00D662C3">
        <w:rPr>
          <w:szCs w:val="26"/>
        </w:rPr>
        <w:t>Rowan</w:t>
      </w:r>
      <w:r w:rsidRPr="00D662C3">
        <w:rPr>
          <w:szCs w:val="26"/>
        </w:rPr>
        <w:t xml:space="preserve"> responded no.</w:t>
      </w:r>
    </w:p>
    <w:p w:rsidR="00DE1AB7" w:rsidRPr="00D662C3" w:rsidP="004F5DF7">
      <w:pPr>
        <w:ind w:firstLine="720"/>
        <w:rPr>
          <w:szCs w:val="26"/>
        </w:rPr>
      </w:pPr>
      <w:r w:rsidRPr="00D662C3">
        <w:rPr>
          <w:szCs w:val="26"/>
        </w:rPr>
        <w:t xml:space="preserve">Defense counsel </w:t>
      </w:r>
      <w:r w:rsidRPr="00D662C3" w:rsidR="00B342F4">
        <w:rPr>
          <w:szCs w:val="26"/>
        </w:rPr>
        <w:t>then asked Rowan,</w:t>
      </w:r>
      <w:r w:rsidRPr="00D662C3" w:rsidR="00846692">
        <w:rPr>
          <w:szCs w:val="26"/>
        </w:rPr>
        <w:t xml:space="preserve"> “So you’re trying to make sure that you say everything that the prosecutor wants you to say, aren’t you?”  </w:t>
      </w:r>
      <w:r w:rsidRPr="00D662C3" w:rsidR="004D2FAD">
        <w:rPr>
          <w:szCs w:val="26"/>
        </w:rPr>
        <w:t xml:space="preserve"> </w:t>
      </w:r>
      <w:r w:rsidRPr="00D662C3" w:rsidR="00846692">
        <w:rPr>
          <w:szCs w:val="26"/>
        </w:rPr>
        <w:t>The prosecution objected to th</w:t>
      </w:r>
      <w:r w:rsidRPr="00D662C3">
        <w:rPr>
          <w:szCs w:val="26"/>
        </w:rPr>
        <w:t>e</w:t>
      </w:r>
      <w:r w:rsidRPr="00D662C3" w:rsidR="00846692">
        <w:rPr>
          <w:szCs w:val="26"/>
        </w:rPr>
        <w:t xml:space="preserve"> question </w:t>
      </w:r>
      <w:r w:rsidRPr="00D662C3" w:rsidR="00675D64">
        <w:rPr>
          <w:szCs w:val="26"/>
        </w:rPr>
        <w:t>as argumentative</w:t>
      </w:r>
      <w:r w:rsidRPr="00D662C3" w:rsidR="00D50CF4">
        <w:rPr>
          <w:szCs w:val="26"/>
        </w:rPr>
        <w:t>,</w:t>
      </w:r>
      <w:r w:rsidRPr="00D662C3" w:rsidR="00675D64">
        <w:rPr>
          <w:szCs w:val="26"/>
        </w:rPr>
        <w:t xml:space="preserve"> </w:t>
      </w:r>
      <w:r w:rsidRPr="00D662C3" w:rsidR="00846692">
        <w:rPr>
          <w:szCs w:val="26"/>
        </w:rPr>
        <w:t xml:space="preserve">and the trial court sustained the objection. </w:t>
      </w:r>
      <w:r w:rsidRPr="00D662C3" w:rsidR="00B342F4">
        <w:rPr>
          <w:szCs w:val="26"/>
        </w:rPr>
        <w:t xml:space="preserve"> </w:t>
      </w:r>
      <w:r w:rsidRPr="00D662C3" w:rsidR="00846692">
        <w:rPr>
          <w:szCs w:val="26"/>
        </w:rPr>
        <w:t xml:space="preserve">Defense counsel </w:t>
      </w:r>
      <w:r w:rsidRPr="00D662C3" w:rsidR="00B342F4">
        <w:rPr>
          <w:szCs w:val="26"/>
        </w:rPr>
        <w:t xml:space="preserve">attempted to reframe </w:t>
      </w:r>
      <w:r w:rsidRPr="00D662C3" w:rsidR="00771140">
        <w:rPr>
          <w:szCs w:val="26"/>
        </w:rPr>
        <w:t>her</w:t>
      </w:r>
      <w:r w:rsidRPr="00D662C3" w:rsidR="00B342F4">
        <w:rPr>
          <w:szCs w:val="26"/>
        </w:rPr>
        <w:t xml:space="preserve"> question</w:t>
      </w:r>
      <w:r w:rsidRPr="00D662C3" w:rsidR="00B90C19">
        <w:rPr>
          <w:szCs w:val="26"/>
        </w:rPr>
        <w:t xml:space="preserve"> several times</w:t>
      </w:r>
      <w:r w:rsidRPr="00D662C3" w:rsidR="00B342F4">
        <w:rPr>
          <w:szCs w:val="26"/>
        </w:rPr>
        <w:t xml:space="preserve">, asking Rowan </w:t>
      </w:r>
      <w:r w:rsidRPr="00D662C3" w:rsidR="00846692">
        <w:rPr>
          <w:szCs w:val="26"/>
        </w:rPr>
        <w:t xml:space="preserve">if she was giving testimony </w:t>
      </w:r>
      <w:r w:rsidRPr="00D662C3">
        <w:rPr>
          <w:szCs w:val="26"/>
        </w:rPr>
        <w:t xml:space="preserve">that </w:t>
      </w:r>
      <w:r w:rsidRPr="00D662C3" w:rsidR="00846692">
        <w:rPr>
          <w:szCs w:val="26"/>
        </w:rPr>
        <w:t>she thought</w:t>
      </w:r>
      <w:r w:rsidRPr="00D662C3">
        <w:rPr>
          <w:szCs w:val="26"/>
        </w:rPr>
        <w:t xml:space="preserve"> would</w:t>
      </w:r>
      <w:r w:rsidRPr="00D662C3" w:rsidR="00846692">
        <w:rPr>
          <w:szCs w:val="26"/>
        </w:rPr>
        <w:t xml:space="preserve"> “be pleasing to the prosecutor”</w:t>
      </w:r>
      <w:r w:rsidRPr="00D662C3" w:rsidR="00B90C19">
        <w:rPr>
          <w:szCs w:val="26"/>
        </w:rPr>
        <w:t xml:space="preserve">; whether </w:t>
      </w:r>
      <w:r w:rsidRPr="00D662C3">
        <w:rPr>
          <w:szCs w:val="26"/>
        </w:rPr>
        <w:t xml:space="preserve">she </w:t>
      </w:r>
      <w:r w:rsidRPr="00D662C3" w:rsidR="00B90C19">
        <w:rPr>
          <w:szCs w:val="26"/>
        </w:rPr>
        <w:t xml:space="preserve">was </w:t>
      </w:r>
      <w:r w:rsidRPr="00D662C3" w:rsidR="00DA5C93">
        <w:rPr>
          <w:szCs w:val="26"/>
        </w:rPr>
        <w:t>“</w:t>
      </w:r>
      <w:r w:rsidRPr="00D662C3" w:rsidR="00B90C19">
        <w:rPr>
          <w:szCs w:val="26"/>
        </w:rPr>
        <w:t xml:space="preserve">trying to make sure </w:t>
      </w:r>
      <w:r w:rsidRPr="00D662C3" w:rsidR="00DA5C93">
        <w:rPr>
          <w:szCs w:val="26"/>
        </w:rPr>
        <w:t>[</w:t>
      </w:r>
      <w:r w:rsidRPr="00D662C3" w:rsidR="00B90C19">
        <w:rPr>
          <w:szCs w:val="26"/>
        </w:rPr>
        <w:t>she said</w:t>
      </w:r>
      <w:r w:rsidRPr="00D662C3" w:rsidR="00DA5C93">
        <w:rPr>
          <w:szCs w:val="26"/>
        </w:rPr>
        <w:t xml:space="preserve">] </w:t>
      </w:r>
      <w:r w:rsidRPr="00D662C3" w:rsidR="00B90C19">
        <w:rPr>
          <w:szCs w:val="26"/>
        </w:rPr>
        <w:t>anything that the prosecution want</w:t>
      </w:r>
      <w:r w:rsidRPr="00D662C3" w:rsidR="00DA5C93">
        <w:rPr>
          <w:szCs w:val="26"/>
        </w:rPr>
        <w:t>[</w:t>
      </w:r>
      <w:r w:rsidRPr="00D662C3" w:rsidR="00B90C19">
        <w:rPr>
          <w:szCs w:val="26"/>
        </w:rPr>
        <w:t>ed</w:t>
      </w:r>
      <w:r w:rsidRPr="00D662C3" w:rsidR="00DA5C93">
        <w:rPr>
          <w:szCs w:val="26"/>
        </w:rPr>
        <w:t>]</w:t>
      </w:r>
      <w:r w:rsidRPr="00D662C3" w:rsidR="00B90C19">
        <w:rPr>
          <w:szCs w:val="26"/>
        </w:rPr>
        <w:t xml:space="preserve"> [her] to say”</w:t>
      </w:r>
      <w:r w:rsidRPr="00D662C3">
        <w:rPr>
          <w:szCs w:val="26"/>
        </w:rPr>
        <w:t>;</w:t>
      </w:r>
      <w:r w:rsidRPr="00D662C3" w:rsidR="00B90C19">
        <w:rPr>
          <w:szCs w:val="26"/>
        </w:rPr>
        <w:t xml:space="preserve"> and </w:t>
      </w:r>
      <w:r w:rsidRPr="00D662C3" w:rsidR="008D4AE9">
        <w:rPr>
          <w:szCs w:val="26"/>
        </w:rPr>
        <w:t xml:space="preserve">whether </w:t>
      </w:r>
      <w:r w:rsidRPr="00D662C3" w:rsidR="00B90C19">
        <w:rPr>
          <w:szCs w:val="26"/>
        </w:rPr>
        <w:t>she was concerned that she would spend three years in prison if the prosecution “is not in agreement with what [she] said</w:t>
      </w:r>
      <w:r w:rsidRPr="00D662C3">
        <w:rPr>
          <w:szCs w:val="26"/>
        </w:rPr>
        <w:t>.</w:t>
      </w:r>
      <w:r w:rsidRPr="00D662C3" w:rsidR="00B90C19">
        <w:rPr>
          <w:szCs w:val="26"/>
        </w:rPr>
        <w:t xml:space="preserve">” </w:t>
      </w:r>
      <w:r w:rsidRPr="00D662C3" w:rsidR="00DA5C93">
        <w:rPr>
          <w:szCs w:val="26"/>
        </w:rPr>
        <w:t xml:space="preserve"> </w:t>
      </w:r>
      <w:r w:rsidRPr="00D662C3" w:rsidR="00B90C19">
        <w:rPr>
          <w:szCs w:val="26"/>
        </w:rPr>
        <w:t>T</w:t>
      </w:r>
      <w:r w:rsidRPr="00D662C3" w:rsidR="00846692">
        <w:rPr>
          <w:szCs w:val="26"/>
        </w:rPr>
        <w:t xml:space="preserve">he </w:t>
      </w:r>
      <w:r w:rsidRPr="00D662C3">
        <w:rPr>
          <w:szCs w:val="26"/>
        </w:rPr>
        <w:t>trial court sustained objections to all the</w:t>
      </w:r>
      <w:r w:rsidRPr="00D662C3" w:rsidR="00EC0153">
        <w:rPr>
          <w:szCs w:val="26"/>
        </w:rPr>
        <w:t>se</w:t>
      </w:r>
      <w:r w:rsidRPr="00D662C3">
        <w:rPr>
          <w:szCs w:val="26"/>
        </w:rPr>
        <w:t xml:space="preserve"> questions. </w:t>
      </w:r>
    </w:p>
    <w:p w:rsidR="00846692" w:rsidRPr="00D662C3" w:rsidP="004F5DF7">
      <w:pPr>
        <w:ind w:firstLine="720"/>
        <w:rPr>
          <w:szCs w:val="26"/>
        </w:rPr>
      </w:pPr>
      <w:r w:rsidRPr="00D662C3">
        <w:rPr>
          <w:szCs w:val="26"/>
        </w:rPr>
        <w:t xml:space="preserve">During a sidebar, defense counsel </w:t>
      </w:r>
      <w:r w:rsidRPr="00D662C3" w:rsidR="00B90C19">
        <w:rPr>
          <w:szCs w:val="26"/>
        </w:rPr>
        <w:t>explained she</w:t>
      </w:r>
      <w:r w:rsidRPr="00D662C3">
        <w:rPr>
          <w:szCs w:val="26"/>
        </w:rPr>
        <w:t xml:space="preserve"> w</w:t>
      </w:r>
      <w:r w:rsidRPr="00D662C3" w:rsidR="00B90C19">
        <w:rPr>
          <w:szCs w:val="26"/>
        </w:rPr>
        <w:t>as</w:t>
      </w:r>
      <w:r w:rsidRPr="00D662C3">
        <w:rPr>
          <w:szCs w:val="26"/>
        </w:rPr>
        <w:t xml:space="preserve"> trying to ask Rowan if </w:t>
      </w:r>
      <w:r w:rsidRPr="00D662C3" w:rsidR="00DE1AB7">
        <w:rPr>
          <w:szCs w:val="26"/>
        </w:rPr>
        <w:t xml:space="preserve">the </w:t>
      </w:r>
      <w:r w:rsidRPr="00D662C3">
        <w:rPr>
          <w:szCs w:val="26"/>
        </w:rPr>
        <w:t xml:space="preserve">testimony </w:t>
      </w:r>
      <w:r w:rsidRPr="00D662C3" w:rsidR="00DE1AB7">
        <w:rPr>
          <w:szCs w:val="26"/>
        </w:rPr>
        <w:t xml:space="preserve">she had provided </w:t>
      </w:r>
      <w:r w:rsidRPr="00D662C3" w:rsidR="00EC0153">
        <w:rPr>
          <w:szCs w:val="26"/>
        </w:rPr>
        <w:t xml:space="preserve">on direct examination </w:t>
      </w:r>
      <w:r w:rsidRPr="00D662C3" w:rsidR="00DE1AB7">
        <w:rPr>
          <w:szCs w:val="26"/>
        </w:rPr>
        <w:t>was</w:t>
      </w:r>
      <w:r w:rsidRPr="00D662C3">
        <w:rPr>
          <w:szCs w:val="26"/>
        </w:rPr>
        <w:t xml:space="preserve"> “tainted by the fact that if the prosecutor</w:t>
      </w:r>
      <w:r w:rsidRPr="00D662C3" w:rsidR="00DA5C93">
        <w:rPr>
          <w:szCs w:val="26"/>
        </w:rPr>
        <w:t xml:space="preserve"> [is]</w:t>
      </w:r>
      <w:r w:rsidRPr="00D662C3">
        <w:rPr>
          <w:szCs w:val="26"/>
        </w:rPr>
        <w:t xml:space="preserve"> not in agreement, she will get her three years.” </w:t>
      </w:r>
      <w:r w:rsidRPr="00D662C3" w:rsidR="00C377F0">
        <w:rPr>
          <w:szCs w:val="26"/>
        </w:rPr>
        <w:t xml:space="preserve"> </w:t>
      </w:r>
      <w:r w:rsidRPr="00D662C3">
        <w:rPr>
          <w:szCs w:val="26"/>
        </w:rPr>
        <w:t>The trial court stated</w:t>
      </w:r>
      <w:r w:rsidRPr="00D662C3" w:rsidR="004D2FAD">
        <w:rPr>
          <w:szCs w:val="26"/>
        </w:rPr>
        <w:t>,</w:t>
      </w:r>
      <w:r w:rsidRPr="00D662C3">
        <w:rPr>
          <w:szCs w:val="26"/>
        </w:rPr>
        <w:t xml:space="preserve"> </w:t>
      </w:r>
      <w:r w:rsidRPr="00D662C3" w:rsidR="00C377F0">
        <w:rPr>
          <w:szCs w:val="26"/>
        </w:rPr>
        <w:t>“</w:t>
      </w:r>
      <w:r w:rsidRPr="00D662C3">
        <w:rPr>
          <w:szCs w:val="26"/>
        </w:rPr>
        <w:t xml:space="preserve">You can ask her that. </w:t>
      </w:r>
      <w:r w:rsidRPr="00D662C3" w:rsidR="00DA5C93">
        <w:rPr>
          <w:szCs w:val="26"/>
        </w:rPr>
        <w:t xml:space="preserve"> </w:t>
      </w:r>
      <w:r w:rsidRPr="00D662C3">
        <w:rPr>
          <w:szCs w:val="26"/>
        </w:rPr>
        <w:t>That’s a different question. You can certainly ask her that, yes.”  Following the sidebar, defense counsel asked Rowan, “</w:t>
      </w:r>
      <w:r w:rsidRPr="00D662C3" w:rsidR="00675D64">
        <w:rPr>
          <w:szCs w:val="26"/>
        </w:rPr>
        <w:t>I</w:t>
      </w:r>
      <w:r w:rsidRPr="00D662C3">
        <w:rPr>
          <w:szCs w:val="26"/>
        </w:rPr>
        <w:t>s your testimony here today given in such a way that you feel will cause you not to get three years in state prison?”  Rowan answered yes.</w:t>
      </w:r>
      <w:r w:rsidRPr="00D662C3" w:rsidR="004D2FAD">
        <w:rPr>
          <w:szCs w:val="26"/>
        </w:rPr>
        <w:t xml:space="preserve"> </w:t>
      </w:r>
      <w:r w:rsidRPr="00D662C3" w:rsidR="00DA5C93">
        <w:rPr>
          <w:szCs w:val="26"/>
        </w:rPr>
        <w:t xml:space="preserve"> </w:t>
      </w:r>
      <w:r w:rsidRPr="00D662C3">
        <w:rPr>
          <w:szCs w:val="26"/>
        </w:rPr>
        <w:t xml:space="preserve">Defense counsel then asked Rowan, “So you are concerned about what you say here today may affect you in terms of getting the three years in state prison?”  Again, Rowan answered yes. </w:t>
      </w:r>
    </w:p>
    <w:p w:rsidR="001B4BA0" w:rsidRPr="00D662C3" w:rsidP="004F5DF7">
      <w:pPr>
        <w:ind w:firstLine="720"/>
        <w:rPr>
          <w:szCs w:val="26"/>
        </w:rPr>
      </w:pPr>
      <w:r w:rsidRPr="00D662C3">
        <w:rPr>
          <w:szCs w:val="26"/>
        </w:rPr>
        <w:t xml:space="preserve">When </w:t>
      </w:r>
      <w:r w:rsidRPr="00D662C3" w:rsidR="00846692">
        <w:rPr>
          <w:szCs w:val="26"/>
        </w:rPr>
        <w:t>cross-examin</w:t>
      </w:r>
      <w:r w:rsidRPr="00D662C3">
        <w:rPr>
          <w:szCs w:val="26"/>
        </w:rPr>
        <w:t>ing Celina</w:t>
      </w:r>
      <w:r w:rsidRPr="00D662C3" w:rsidR="00846692">
        <w:rPr>
          <w:szCs w:val="26"/>
        </w:rPr>
        <w:t xml:space="preserve">, defense counsel </w:t>
      </w:r>
      <w:r w:rsidRPr="00D662C3">
        <w:rPr>
          <w:szCs w:val="26"/>
        </w:rPr>
        <w:t>engaged in a similar line of questioning, inquiring whether she was “</w:t>
      </w:r>
      <w:r w:rsidRPr="00D662C3" w:rsidR="00846692">
        <w:rPr>
          <w:szCs w:val="26"/>
        </w:rPr>
        <w:t xml:space="preserve">concerned about [what] sentence </w:t>
      </w:r>
      <w:r w:rsidRPr="00D662C3">
        <w:rPr>
          <w:szCs w:val="26"/>
        </w:rPr>
        <w:t>[she]</w:t>
      </w:r>
      <w:r w:rsidRPr="00D662C3" w:rsidR="00846692">
        <w:rPr>
          <w:szCs w:val="26"/>
        </w:rPr>
        <w:t xml:space="preserve"> might get</w:t>
      </w:r>
      <w:r w:rsidRPr="00D662C3">
        <w:rPr>
          <w:szCs w:val="26"/>
        </w:rPr>
        <w:t>.</w:t>
      </w:r>
      <w:r w:rsidRPr="00D662C3" w:rsidR="00846692">
        <w:rPr>
          <w:szCs w:val="26"/>
        </w:rPr>
        <w:t xml:space="preserve">”  </w:t>
      </w:r>
      <w:r w:rsidRPr="00D662C3" w:rsidR="00DA5C93">
        <w:rPr>
          <w:szCs w:val="26"/>
        </w:rPr>
        <w:t>C</w:t>
      </w:r>
      <w:r w:rsidRPr="00D662C3">
        <w:rPr>
          <w:szCs w:val="26"/>
        </w:rPr>
        <w:t xml:space="preserve">elina </w:t>
      </w:r>
      <w:r w:rsidRPr="00D662C3" w:rsidR="00846692">
        <w:rPr>
          <w:szCs w:val="26"/>
        </w:rPr>
        <w:t xml:space="preserve">answered </w:t>
      </w:r>
      <w:r w:rsidRPr="00D662C3" w:rsidR="00DA5C93">
        <w:rPr>
          <w:szCs w:val="26"/>
        </w:rPr>
        <w:t>y</w:t>
      </w:r>
      <w:r w:rsidRPr="00D662C3" w:rsidR="00846692">
        <w:rPr>
          <w:szCs w:val="26"/>
        </w:rPr>
        <w:t xml:space="preserve">es. </w:t>
      </w:r>
      <w:r w:rsidRPr="00D662C3" w:rsidR="00C377F0">
        <w:rPr>
          <w:szCs w:val="26"/>
        </w:rPr>
        <w:t xml:space="preserve"> </w:t>
      </w:r>
      <w:r w:rsidRPr="00D662C3" w:rsidR="00846692">
        <w:rPr>
          <w:szCs w:val="26"/>
        </w:rPr>
        <w:t xml:space="preserve">Defense counsel then asked, “And you want to agree with the prosecutor; isn’t that right?”  The </w:t>
      </w:r>
      <w:r w:rsidRPr="00D662C3" w:rsidR="00DE1AB7">
        <w:rPr>
          <w:szCs w:val="26"/>
        </w:rPr>
        <w:t xml:space="preserve">prosecution objected to the question </w:t>
      </w:r>
      <w:r w:rsidRPr="00D662C3" w:rsidR="00675D64">
        <w:rPr>
          <w:szCs w:val="26"/>
        </w:rPr>
        <w:t>as argumentative</w:t>
      </w:r>
      <w:r w:rsidRPr="00D662C3" w:rsidR="008D4AE9">
        <w:rPr>
          <w:szCs w:val="26"/>
        </w:rPr>
        <w:t>,</w:t>
      </w:r>
      <w:r w:rsidRPr="00D662C3" w:rsidR="00675D64">
        <w:rPr>
          <w:szCs w:val="26"/>
        </w:rPr>
        <w:t xml:space="preserve"> </w:t>
      </w:r>
      <w:r w:rsidRPr="00D662C3" w:rsidR="00DE1AB7">
        <w:rPr>
          <w:szCs w:val="26"/>
        </w:rPr>
        <w:t xml:space="preserve">and the </w:t>
      </w:r>
      <w:r w:rsidRPr="00D662C3" w:rsidR="00846692">
        <w:rPr>
          <w:szCs w:val="26"/>
        </w:rPr>
        <w:t xml:space="preserve">trial court sustained the </w:t>
      </w:r>
      <w:r w:rsidRPr="00D662C3" w:rsidR="00DE1AB7">
        <w:rPr>
          <w:szCs w:val="26"/>
        </w:rPr>
        <w:t>objection</w:t>
      </w:r>
      <w:r w:rsidRPr="00D662C3" w:rsidR="00846692">
        <w:rPr>
          <w:szCs w:val="26"/>
        </w:rPr>
        <w:t xml:space="preserve">. </w:t>
      </w:r>
      <w:r w:rsidRPr="00D662C3" w:rsidR="00C377F0">
        <w:rPr>
          <w:szCs w:val="26"/>
        </w:rPr>
        <w:t xml:space="preserve"> </w:t>
      </w:r>
      <w:r w:rsidRPr="00D662C3" w:rsidR="00846692">
        <w:rPr>
          <w:szCs w:val="26"/>
        </w:rPr>
        <w:t xml:space="preserve">Defense counsel asked </w:t>
      </w:r>
      <w:r w:rsidRPr="00D662C3">
        <w:rPr>
          <w:szCs w:val="26"/>
        </w:rPr>
        <w:t xml:space="preserve">Celina </w:t>
      </w:r>
      <w:r w:rsidRPr="00D662C3" w:rsidR="00846692">
        <w:rPr>
          <w:szCs w:val="26"/>
        </w:rPr>
        <w:t xml:space="preserve">if the prosecution “has some control over what kind of sentence you get?”  The prosecution objected </w:t>
      </w:r>
      <w:r w:rsidRPr="00D662C3" w:rsidR="00675D64">
        <w:rPr>
          <w:szCs w:val="26"/>
        </w:rPr>
        <w:t xml:space="preserve">on relevance grounds </w:t>
      </w:r>
      <w:r w:rsidRPr="00D662C3" w:rsidR="00846692">
        <w:rPr>
          <w:szCs w:val="26"/>
        </w:rPr>
        <w:t>and the trial court sustained</w:t>
      </w:r>
      <w:r w:rsidRPr="00D662C3" w:rsidR="00C377F0">
        <w:rPr>
          <w:szCs w:val="26"/>
        </w:rPr>
        <w:t xml:space="preserve"> the objection</w:t>
      </w:r>
      <w:r w:rsidRPr="00D662C3" w:rsidR="00846692">
        <w:rPr>
          <w:szCs w:val="26"/>
        </w:rPr>
        <w:t xml:space="preserve">. </w:t>
      </w:r>
      <w:r w:rsidRPr="00D662C3" w:rsidR="00C377F0">
        <w:rPr>
          <w:szCs w:val="26"/>
        </w:rPr>
        <w:t xml:space="preserve"> </w:t>
      </w:r>
      <w:r w:rsidRPr="00D662C3" w:rsidR="00846692">
        <w:rPr>
          <w:szCs w:val="26"/>
        </w:rPr>
        <w:t xml:space="preserve">Defense counsel then asked </w:t>
      </w:r>
      <w:r w:rsidRPr="00D662C3">
        <w:rPr>
          <w:szCs w:val="26"/>
        </w:rPr>
        <w:t>Celina</w:t>
      </w:r>
      <w:r w:rsidRPr="00D662C3" w:rsidR="00846692">
        <w:rPr>
          <w:szCs w:val="26"/>
        </w:rPr>
        <w:t>, “Do you feel that the prosecutor may make an argument at your sentencing time with respect to what sentence you may get</w:t>
      </w:r>
      <w:r w:rsidRPr="00D662C3" w:rsidR="0078668E">
        <w:rPr>
          <w:szCs w:val="26"/>
        </w:rPr>
        <w:t>?</w:t>
      </w:r>
      <w:r w:rsidRPr="00D662C3" w:rsidR="00846692">
        <w:rPr>
          <w:szCs w:val="26"/>
        </w:rPr>
        <w:t xml:space="preserve">” </w:t>
      </w:r>
      <w:r w:rsidRPr="00D662C3" w:rsidR="0078668E">
        <w:rPr>
          <w:szCs w:val="26"/>
        </w:rPr>
        <w:t xml:space="preserve">Celina responded yes.  Counsel </w:t>
      </w:r>
      <w:r w:rsidRPr="00D662C3" w:rsidR="008D4AE9">
        <w:rPr>
          <w:szCs w:val="26"/>
        </w:rPr>
        <w:t xml:space="preserve">also </w:t>
      </w:r>
      <w:r w:rsidRPr="00D662C3" w:rsidR="0078668E">
        <w:rPr>
          <w:szCs w:val="26"/>
        </w:rPr>
        <w:t xml:space="preserve">asked her </w:t>
      </w:r>
      <w:r w:rsidRPr="00D662C3" w:rsidR="00846692">
        <w:rPr>
          <w:szCs w:val="26"/>
        </w:rPr>
        <w:t xml:space="preserve">if </w:t>
      </w:r>
      <w:r w:rsidRPr="00D662C3" w:rsidR="0078668E">
        <w:rPr>
          <w:szCs w:val="26"/>
        </w:rPr>
        <w:t>she</w:t>
      </w:r>
      <w:r w:rsidRPr="00D662C3" w:rsidR="002E2BC0">
        <w:rPr>
          <w:szCs w:val="26"/>
        </w:rPr>
        <w:t xml:space="preserve"> </w:t>
      </w:r>
      <w:r w:rsidRPr="00D662C3" w:rsidR="00846692">
        <w:rPr>
          <w:szCs w:val="26"/>
        </w:rPr>
        <w:t>“want[</w:t>
      </w:r>
      <w:r w:rsidRPr="00D662C3" w:rsidR="00DA5C93">
        <w:rPr>
          <w:szCs w:val="26"/>
        </w:rPr>
        <w:t>ed</w:t>
      </w:r>
      <w:r w:rsidRPr="00D662C3" w:rsidR="00846692">
        <w:rPr>
          <w:szCs w:val="26"/>
        </w:rPr>
        <w:t xml:space="preserve">] to give testimony that will help [her] out at [her] sentencing.”  </w:t>
      </w:r>
      <w:r w:rsidRPr="00D662C3" w:rsidR="0078668E">
        <w:rPr>
          <w:szCs w:val="26"/>
        </w:rPr>
        <w:t xml:space="preserve">Celina again </w:t>
      </w:r>
      <w:r w:rsidRPr="00D662C3" w:rsidR="00846692">
        <w:rPr>
          <w:szCs w:val="26"/>
        </w:rPr>
        <w:t>answered yes</w:t>
      </w:r>
      <w:r w:rsidRPr="00D662C3" w:rsidR="0078668E">
        <w:rPr>
          <w:szCs w:val="26"/>
        </w:rPr>
        <w:t>.</w:t>
      </w:r>
      <w:r w:rsidRPr="00D662C3" w:rsidR="00846692">
        <w:rPr>
          <w:szCs w:val="26"/>
        </w:rPr>
        <w:t xml:space="preserve"> </w:t>
      </w:r>
    </w:p>
    <w:p w:rsidR="00846692" w:rsidRPr="00D662C3" w:rsidP="004F5DF7">
      <w:pPr>
        <w:pStyle w:val="ListParagraph"/>
        <w:numPr>
          <w:ilvl w:val="1"/>
          <w:numId w:val="16"/>
        </w:numPr>
        <w:rPr>
          <w:i/>
          <w:iCs/>
          <w:szCs w:val="26"/>
        </w:rPr>
      </w:pPr>
      <w:r w:rsidRPr="00D662C3">
        <w:rPr>
          <w:i/>
          <w:iCs/>
          <w:szCs w:val="26"/>
        </w:rPr>
        <w:t>Discussion</w:t>
      </w:r>
    </w:p>
    <w:p w:rsidR="00846692" w:rsidRPr="00D662C3" w:rsidP="004F5DF7">
      <w:pPr>
        <w:ind w:firstLine="720"/>
        <w:rPr>
          <w:szCs w:val="26"/>
        </w:rPr>
      </w:pPr>
      <w:r w:rsidRPr="00D662C3">
        <w:rPr>
          <w:szCs w:val="26"/>
        </w:rPr>
        <w:t xml:space="preserve">Gonzalez contends the trial court violated his right to confrontation by improperly limiting the cross-examination </w:t>
      </w:r>
      <w:r w:rsidRPr="00D662C3" w:rsidR="008D4AE9">
        <w:rPr>
          <w:szCs w:val="26"/>
        </w:rPr>
        <w:t xml:space="preserve">of </w:t>
      </w:r>
      <w:r w:rsidRPr="00D662C3">
        <w:rPr>
          <w:szCs w:val="26"/>
        </w:rPr>
        <w:t xml:space="preserve">Rowan and Celina.  (See </w:t>
      </w:r>
      <w:r w:rsidRPr="00D662C3">
        <w:rPr>
          <w:i/>
          <w:iCs/>
          <w:szCs w:val="26"/>
        </w:rPr>
        <w:t>People v. Mora and Rangel</w:t>
      </w:r>
      <w:r w:rsidRPr="00D662C3">
        <w:rPr>
          <w:szCs w:val="26"/>
        </w:rPr>
        <w:t xml:space="preserve"> (2018) 5 Cal.5th 442, 476 [</w:t>
      </w:r>
      <w:r w:rsidRPr="00D662C3" w:rsidR="007929A6">
        <w:rPr>
          <w:szCs w:val="26"/>
        </w:rPr>
        <w:t xml:space="preserve">a </w:t>
      </w:r>
      <w:r w:rsidRPr="00D662C3">
        <w:rPr>
          <w:szCs w:val="26"/>
        </w:rPr>
        <w:t>d</w:t>
      </w:r>
      <w:r w:rsidRPr="00D662C3">
        <w:rPr>
          <w:szCs w:val="26"/>
        </w:rPr>
        <w:t xml:space="preserve">efendant “possesses a fundamental right to confront the witnesses against </w:t>
      </w:r>
      <w:r w:rsidRPr="00D662C3" w:rsidR="007929A6">
        <w:rPr>
          <w:szCs w:val="26"/>
        </w:rPr>
        <w:t>[</w:t>
      </w:r>
      <w:r w:rsidRPr="00D662C3">
        <w:rPr>
          <w:szCs w:val="26"/>
        </w:rPr>
        <w:t>him</w:t>
      </w:r>
      <w:r w:rsidRPr="00D662C3" w:rsidR="007929A6">
        <w:rPr>
          <w:szCs w:val="26"/>
        </w:rPr>
        <w:t>]</w:t>
      </w:r>
      <w:r w:rsidRPr="00D662C3">
        <w:rPr>
          <w:szCs w:val="26"/>
        </w:rPr>
        <w:t xml:space="preserve">. </w:t>
      </w:r>
      <w:r w:rsidRPr="00D662C3" w:rsidR="004D2FAD">
        <w:rPr>
          <w:szCs w:val="26"/>
        </w:rPr>
        <w:t xml:space="preserve"> </w:t>
      </w:r>
      <w:r w:rsidRPr="00D662C3">
        <w:rPr>
          <w:szCs w:val="26"/>
        </w:rPr>
        <w:t>[Citations</w:t>
      </w:r>
      <w:r w:rsidRPr="00D662C3" w:rsidR="004D2FAD">
        <w:rPr>
          <w:szCs w:val="26"/>
        </w:rPr>
        <w:t>.</w:t>
      </w:r>
      <w:r w:rsidRPr="00D662C3">
        <w:rPr>
          <w:szCs w:val="26"/>
        </w:rPr>
        <w:t xml:space="preserve">] </w:t>
      </w:r>
      <w:r w:rsidRPr="00D662C3" w:rsidR="004D2FAD">
        <w:rPr>
          <w:szCs w:val="26"/>
        </w:rPr>
        <w:t xml:space="preserve"> </w:t>
      </w:r>
      <w:r w:rsidRPr="00D662C3">
        <w:rPr>
          <w:szCs w:val="26"/>
        </w:rPr>
        <w:t>Cross-examination is a cornerstone of that fundamental right”</w:t>
      </w:r>
      <w:r w:rsidRPr="00D662C3">
        <w:rPr>
          <w:szCs w:val="26"/>
        </w:rPr>
        <w:t xml:space="preserve">].) </w:t>
      </w:r>
      <w:r w:rsidRPr="00D662C3" w:rsidR="00C377F0">
        <w:rPr>
          <w:szCs w:val="26"/>
        </w:rPr>
        <w:t xml:space="preserve"> </w:t>
      </w:r>
      <w:r w:rsidRPr="00D662C3">
        <w:rPr>
          <w:szCs w:val="26"/>
        </w:rPr>
        <w:t xml:space="preserve">To </w:t>
      </w:r>
      <w:r w:rsidRPr="00D662C3">
        <w:rPr>
          <w:szCs w:val="26"/>
        </w:rPr>
        <w:t xml:space="preserve">establish such a claim, </w:t>
      </w:r>
      <w:r w:rsidRPr="00D662C3">
        <w:rPr>
          <w:szCs w:val="26"/>
        </w:rPr>
        <w:t xml:space="preserve">Gonzalez must show he was “prohibited from engaging in otherwise appropriate cross-examination designed to show a prototypical form of bias on the part of the witness.” </w:t>
      </w:r>
      <w:r w:rsidRPr="00D662C3" w:rsidR="00C377F0">
        <w:rPr>
          <w:szCs w:val="26"/>
        </w:rPr>
        <w:t xml:space="preserve"> </w:t>
      </w:r>
      <w:r w:rsidRPr="00D662C3">
        <w:rPr>
          <w:szCs w:val="26"/>
        </w:rPr>
        <w:t>(</w:t>
      </w:r>
      <w:bookmarkStart w:id="32" w:name="_Hlk86232598"/>
      <w:r w:rsidRPr="00D662C3">
        <w:rPr>
          <w:i/>
          <w:iCs/>
          <w:szCs w:val="26"/>
        </w:rPr>
        <w:t>Delaware v. Van Arsdall</w:t>
      </w:r>
      <w:r w:rsidRPr="00D662C3">
        <w:rPr>
          <w:szCs w:val="26"/>
        </w:rPr>
        <w:t xml:space="preserve"> (1986) 475 U.S. 673, 680 (</w:t>
      </w:r>
      <w:r w:rsidRPr="00D662C3">
        <w:rPr>
          <w:i/>
          <w:iCs/>
          <w:szCs w:val="26"/>
        </w:rPr>
        <w:t>Van Arsdall</w:t>
      </w:r>
      <w:r w:rsidRPr="00D662C3">
        <w:rPr>
          <w:szCs w:val="26"/>
        </w:rPr>
        <w:t>).)</w:t>
      </w:r>
      <w:bookmarkEnd w:id="32"/>
      <w:r w:rsidRPr="00D662C3">
        <w:rPr>
          <w:szCs w:val="26"/>
        </w:rPr>
        <w:t xml:space="preserve">  A trial court maintains “</w:t>
      </w:r>
      <w:r w:rsidRPr="00D662C3" w:rsidR="00A0393C">
        <w:rPr>
          <w:szCs w:val="26"/>
        </w:rPr>
        <w:t> ‘</w:t>
      </w:r>
      <w:r w:rsidRPr="00D662C3">
        <w:rPr>
          <w:szCs w:val="26"/>
        </w:rPr>
        <w:t>wide latitude insofar as the Confrontation Clause is concerned to impose limits</w:t>
      </w:r>
      <w:r w:rsidRPr="00D662C3" w:rsidR="00A0393C">
        <w:rPr>
          <w:szCs w:val="26"/>
        </w:rPr>
        <w:t>’ </w:t>
      </w:r>
      <w:r w:rsidRPr="00D662C3">
        <w:rPr>
          <w:szCs w:val="26"/>
        </w:rPr>
        <w:t xml:space="preserve">” on cross-examination. </w:t>
      </w:r>
      <w:r w:rsidRPr="00D662C3" w:rsidR="00EF2A4D">
        <w:rPr>
          <w:szCs w:val="26"/>
        </w:rPr>
        <w:t xml:space="preserve"> </w:t>
      </w:r>
      <w:r w:rsidRPr="00D662C3">
        <w:rPr>
          <w:szCs w:val="26"/>
        </w:rPr>
        <w:t>(</w:t>
      </w:r>
      <w:r w:rsidRPr="00D662C3" w:rsidR="00A0393C">
        <w:rPr>
          <w:i/>
          <w:iCs/>
          <w:szCs w:val="26"/>
        </w:rPr>
        <w:t>People v. Mendez</w:t>
      </w:r>
      <w:r w:rsidRPr="00D662C3" w:rsidR="00A0393C">
        <w:rPr>
          <w:szCs w:val="26"/>
        </w:rPr>
        <w:t xml:space="preserve"> (2019) 7 Cal.5th 680, 703</w:t>
      </w:r>
      <w:r w:rsidRPr="00D662C3">
        <w:rPr>
          <w:szCs w:val="26"/>
        </w:rPr>
        <w:t xml:space="preserve">)  </w:t>
      </w:r>
      <w:r w:rsidRPr="00D662C3">
        <w:rPr>
          <w:szCs w:val="26"/>
        </w:rPr>
        <w:t xml:space="preserve">“ ‘ “[U]nless the defendant can show that the prohibited cross-examination would have produced ‘a significantly different impression of [the witness’s] credibility’ </w:t>
      </w:r>
      <w:r w:rsidRPr="00D662C3" w:rsidR="00F931E3">
        <w:rPr>
          <w:szCs w:val="26"/>
        </w:rPr>
        <w:t>[citation]</w:t>
      </w:r>
      <w:r w:rsidRPr="00D662C3">
        <w:rPr>
          <w:szCs w:val="26"/>
        </w:rPr>
        <w:t>, the trial court</w:t>
      </w:r>
      <w:r w:rsidRPr="00D662C3" w:rsidR="00F931E3">
        <w:rPr>
          <w:szCs w:val="26"/>
        </w:rPr>
        <w:t>’</w:t>
      </w:r>
      <w:r w:rsidRPr="00D662C3">
        <w:rPr>
          <w:szCs w:val="26"/>
        </w:rPr>
        <w:t>s exercise of its discretion in this regard does not violate the Sixth Amendment.</w:t>
      </w:r>
      <w:r w:rsidRPr="00D662C3" w:rsidR="00F931E3">
        <w:rPr>
          <w:szCs w:val="26"/>
        </w:rPr>
        <w:t>”</w:t>
      </w:r>
      <w:r w:rsidRPr="00D662C3" w:rsidR="001B3680">
        <w:rPr>
          <w:szCs w:val="26"/>
        </w:rPr>
        <w:t> </w:t>
      </w:r>
      <w:r w:rsidRPr="00D662C3" w:rsidR="00F931E3">
        <w:rPr>
          <w:szCs w:val="26"/>
        </w:rPr>
        <w:t>’</w:t>
      </w:r>
      <w:r w:rsidRPr="00D662C3" w:rsidR="001B3680">
        <w:rPr>
          <w:szCs w:val="26"/>
        </w:rPr>
        <w:t> </w:t>
      </w:r>
      <w:r w:rsidRPr="00D662C3" w:rsidR="00F931E3">
        <w:rPr>
          <w:szCs w:val="26"/>
        </w:rPr>
        <w:t xml:space="preserve">”  </w:t>
      </w:r>
      <w:r w:rsidRPr="00D662C3">
        <w:rPr>
          <w:szCs w:val="26"/>
        </w:rPr>
        <w:t>(</w:t>
      </w:r>
      <w:r w:rsidRPr="00D662C3" w:rsidR="00EF2A4D">
        <w:rPr>
          <w:i/>
          <w:iCs/>
          <w:szCs w:val="26"/>
        </w:rPr>
        <w:t>P</w:t>
      </w:r>
      <w:r w:rsidRPr="00D662C3" w:rsidR="004B69E8">
        <w:rPr>
          <w:i/>
          <w:iCs/>
          <w:szCs w:val="26"/>
        </w:rPr>
        <w:t>eople v. P</w:t>
      </w:r>
      <w:r w:rsidRPr="00D662C3" w:rsidR="00EF2A4D">
        <w:rPr>
          <w:i/>
          <w:iCs/>
          <w:szCs w:val="26"/>
        </w:rPr>
        <w:t>earson</w:t>
      </w:r>
      <w:r w:rsidRPr="00D662C3" w:rsidR="004B69E8">
        <w:rPr>
          <w:szCs w:val="26"/>
        </w:rPr>
        <w:t xml:space="preserve"> (2013) 56 Cal.4th 393, </w:t>
      </w:r>
      <w:r w:rsidRPr="00D662C3" w:rsidR="00EF2A4D">
        <w:rPr>
          <w:szCs w:val="26"/>
        </w:rPr>
        <w:t>455</w:t>
      </w:r>
      <w:r w:rsidRPr="00D662C3" w:rsidR="007929A6">
        <w:t>–456</w:t>
      </w:r>
      <w:r w:rsidRPr="00D662C3" w:rsidR="00FC6423">
        <w:rPr>
          <w:szCs w:val="26"/>
        </w:rPr>
        <w:t xml:space="preserve">.) </w:t>
      </w:r>
      <w:r w:rsidRPr="00D662C3">
        <w:rPr>
          <w:szCs w:val="26"/>
        </w:rPr>
        <w:t xml:space="preserve"> </w:t>
      </w:r>
    </w:p>
    <w:p w:rsidR="003342A4" w:rsidRPr="00D662C3" w:rsidP="004F5DF7">
      <w:pPr>
        <w:ind w:firstLine="720"/>
        <w:rPr>
          <w:szCs w:val="26"/>
        </w:rPr>
      </w:pPr>
      <w:r w:rsidRPr="00D662C3">
        <w:rPr>
          <w:szCs w:val="26"/>
        </w:rPr>
        <w:t>Gonzalez</w:t>
      </w:r>
      <w:r w:rsidRPr="00D662C3" w:rsidR="00647F2B">
        <w:rPr>
          <w:szCs w:val="26"/>
        </w:rPr>
        <w:t xml:space="preserve"> </w:t>
      </w:r>
      <w:r w:rsidRPr="00D662C3" w:rsidR="004A106F">
        <w:rPr>
          <w:szCs w:val="26"/>
        </w:rPr>
        <w:t xml:space="preserve">argues the </w:t>
      </w:r>
      <w:r w:rsidRPr="00D662C3">
        <w:rPr>
          <w:szCs w:val="26"/>
        </w:rPr>
        <w:t xml:space="preserve">trial court improperly </w:t>
      </w:r>
      <w:r w:rsidRPr="00D662C3" w:rsidR="001E6431">
        <w:rPr>
          <w:szCs w:val="26"/>
        </w:rPr>
        <w:t xml:space="preserve">prevented </w:t>
      </w:r>
      <w:r w:rsidRPr="00D662C3" w:rsidR="00EF2A4D">
        <w:rPr>
          <w:szCs w:val="26"/>
        </w:rPr>
        <w:t>counsel</w:t>
      </w:r>
      <w:r w:rsidRPr="00D662C3" w:rsidR="001E6431">
        <w:rPr>
          <w:szCs w:val="26"/>
        </w:rPr>
        <w:t xml:space="preserve"> from asking</w:t>
      </w:r>
      <w:r w:rsidRPr="00D662C3" w:rsidR="00BF0A49">
        <w:rPr>
          <w:szCs w:val="26"/>
        </w:rPr>
        <w:t xml:space="preserve"> </w:t>
      </w:r>
      <w:r w:rsidRPr="00D662C3" w:rsidR="001E6431">
        <w:rPr>
          <w:szCs w:val="26"/>
        </w:rPr>
        <w:t>questions that were intended to show</w:t>
      </w:r>
      <w:r w:rsidRPr="00D662C3">
        <w:rPr>
          <w:szCs w:val="26"/>
        </w:rPr>
        <w:t xml:space="preserve"> </w:t>
      </w:r>
      <w:r w:rsidRPr="00D662C3" w:rsidR="00675D64">
        <w:rPr>
          <w:szCs w:val="26"/>
        </w:rPr>
        <w:t xml:space="preserve">the testimony </w:t>
      </w:r>
      <w:r w:rsidRPr="00D662C3">
        <w:rPr>
          <w:szCs w:val="26"/>
        </w:rPr>
        <w:t>Rowan</w:t>
      </w:r>
      <w:r w:rsidRPr="00D662C3" w:rsidR="00BF0A49">
        <w:rPr>
          <w:szCs w:val="26"/>
        </w:rPr>
        <w:t xml:space="preserve"> and Celina</w:t>
      </w:r>
      <w:r w:rsidRPr="00D662C3" w:rsidR="00675D64">
        <w:rPr>
          <w:szCs w:val="26"/>
        </w:rPr>
        <w:t xml:space="preserve"> provided on direct examination </w:t>
      </w:r>
      <w:r w:rsidRPr="00D662C3" w:rsidR="001E6431">
        <w:rPr>
          <w:szCs w:val="26"/>
        </w:rPr>
        <w:t xml:space="preserve">was meant to </w:t>
      </w:r>
      <w:r w:rsidRPr="00D662C3" w:rsidR="003A7571">
        <w:rPr>
          <w:szCs w:val="26"/>
        </w:rPr>
        <w:t>“please the prosecutor” so</w:t>
      </w:r>
      <w:r w:rsidRPr="00D662C3" w:rsidR="00F57E05">
        <w:rPr>
          <w:szCs w:val="26"/>
        </w:rPr>
        <w:t xml:space="preserve"> that</w:t>
      </w:r>
      <w:r w:rsidRPr="00D662C3" w:rsidR="003A7571">
        <w:rPr>
          <w:szCs w:val="26"/>
        </w:rPr>
        <w:t xml:space="preserve"> the prosecutor “would not incarcerate</w:t>
      </w:r>
      <w:r w:rsidRPr="00D662C3" w:rsidR="001E6431">
        <w:rPr>
          <w:szCs w:val="26"/>
        </w:rPr>
        <w:t xml:space="preserve"> them</w:t>
      </w:r>
      <w:r w:rsidRPr="00D662C3" w:rsidR="003A7571">
        <w:rPr>
          <w:szCs w:val="26"/>
        </w:rPr>
        <w:t xml:space="preserve"> for three years.”  </w:t>
      </w:r>
      <w:r w:rsidRPr="00D662C3" w:rsidR="001E6431">
        <w:rPr>
          <w:szCs w:val="26"/>
        </w:rPr>
        <w:t xml:space="preserve">The record shows, however, that the defense </w:t>
      </w:r>
      <w:r w:rsidRPr="00D662C3" w:rsidR="001E6431">
        <w:rPr>
          <w:i/>
          <w:iCs/>
          <w:szCs w:val="26"/>
        </w:rPr>
        <w:t>was</w:t>
      </w:r>
      <w:r w:rsidRPr="00D662C3" w:rsidR="001E6431">
        <w:rPr>
          <w:szCs w:val="26"/>
        </w:rPr>
        <w:t xml:space="preserve"> permitted to ask questions that elicited that very information. </w:t>
      </w:r>
      <w:r w:rsidRPr="00D662C3" w:rsidR="004B69E8">
        <w:rPr>
          <w:szCs w:val="26"/>
        </w:rPr>
        <w:t xml:space="preserve"> After a sidebar, defense counsel was permitted to ask</w:t>
      </w:r>
      <w:r w:rsidRPr="00D662C3">
        <w:rPr>
          <w:szCs w:val="26"/>
        </w:rPr>
        <w:t xml:space="preserve"> </w:t>
      </w:r>
      <w:r w:rsidRPr="00D662C3" w:rsidR="004B69E8">
        <w:rPr>
          <w:szCs w:val="26"/>
        </w:rPr>
        <w:t xml:space="preserve">Rowan whether she was </w:t>
      </w:r>
      <w:r w:rsidRPr="00D662C3" w:rsidR="00662C4B">
        <w:rPr>
          <w:szCs w:val="26"/>
        </w:rPr>
        <w:t>worried that her answers</w:t>
      </w:r>
      <w:r w:rsidRPr="00D662C3" w:rsidR="00DE1AB7">
        <w:rPr>
          <w:szCs w:val="26"/>
        </w:rPr>
        <w:t xml:space="preserve"> to the prosecutor’s questions </w:t>
      </w:r>
      <w:r w:rsidRPr="00D662C3" w:rsidR="00662C4B">
        <w:rPr>
          <w:szCs w:val="26"/>
        </w:rPr>
        <w:t xml:space="preserve">might affect her “in terms of getting three years in state prison” and </w:t>
      </w:r>
      <w:r w:rsidRPr="00D662C3" w:rsidR="004B69E8">
        <w:rPr>
          <w:szCs w:val="26"/>
        </w:rPr>
        <w:t xml:space="preserve">whether she </w:t>
      </w:r>
      <w:r w:rsidRPr="00D662C3" w:rsidR="00662C4B">
        <w:rPr>
          <w:szCs w:val="26"/>
        </w:rPr>
        <w:t>had “given [</w:t>
      </w:r>
      <w:r w:rsidRPr="00D662C3" w:rsidR="004B69E8">
        <w:rPr>
          <w:szCs w:val="26"/>
        </w:rPr>
        <w:t xml:space="preserve">her </w:t>
      </w:r>
      <w:r w:rsidRPr="00D662C3" w:rsidR="00662C4B">
        <w:rPr>
          <w:szCs w:val="26"/>
        </w:rPr>
        <w:t xml:space="preserve">testimony] in such a way that </w:t>
      </w:r>
      <w:r w:rsidRPr="00D662C3">
        <w:rPr>
          <w:szCs w:val="26"/>
        </w:rPr>
        <w:t xml:space="preserve">. . . [would] </w:t>
      </w:r>
      <w:r w:rsidRPr="00D662C3" w:rsidR="00662C4B">
        <w:rPr>
          <w:szCs w:val="26"/>
        </w:rPr>
        <w:t xml:space="preserve">cause </w:t>
      </w:r>
      <w:r w:rsidRPr="00D662C3">
        <w:rPr>
          <w:szCs w:val="26"/>
        </w:rPr>
        <w:t>[her]</w:t>
      </w:r>
      <w:r w:rsidRPr="00D662C3" w:rsidR="00662C4B">
        <w:rPr>
          <w:szCs w:val="26"/>
        </w:rPr>
        <w:t xml:space="preserve"> not to get three years in prison</w:t>
      </w:r>
      <w:r w:rsidRPr="00D662C3">
        <w:rPr>
          <w:szCs w:val="26"/>
        </w:rPr>
        <w:t>.”</w:t>
      </w:r>
      <w:r w:rsidRPr="00D662C3" w:rsidR="004B69E8">
        <w:rPr>
          <w:szCs w:val="26"/>
        </w:rPr>
        <w:t xml:space="preserve">  She responded affirmatively to both questions.</w:t>
      </w:r>
      <w:r w:rsidRPr="00D662C3">
        <w:rPr>
          <w:szCs w:val="26"/>
        </w:rPr>
        <w:t xml:space="preserve"> </w:t>
      </w:r>
      <w:r w:rsidRPr="00D662C3" w:rsidR="004B69E8">
        <w:rPr>
          <w:szCs w:val="26"/>
        </w:rPr>
        <w:t xml:space="preserve"> </w:t>
      </w:r>
      <w:r w:rsidRPr="00D662C3">
        <w:rPr>
          <w:szCs w:val="26"/>
        </w:rPr>
        <w:t>Counsel was permitted to elicit similar testimony from Celina</w:t>
      </w:r>
      <w:r w:rsidRPr="00D662C3" w:rsidR="00D40EB8">
        <w:rPr>
          <w:szCs w:val="26"/>
        </w:rPr>
        <w:t xml:space="preserve">, inquiring </w:t>
      </w:r>
      <w:r w:rsidRPr="00D662C3">
        <w:rPr>
          <w:szCs w:val="26"/>
        </w:rPr>
        <w:t xml:space="preserve">whether </w:t>
      </w:r>
      <w:r w:rsidRPr="00D662C3" w:rsidR="00D40EB8">
        <w:rPr>
          <w:szCs w:val="26"/>
        </w:rPr>
        <w:t xml:space="preserve">the answers Celina had </w:t>
      </w:r>
      <w:r w:rsidRPr="00D662C3" w:rsidR="002974DB">
        <w:rPr>
          <w:szCs w:val="26"/>
        </w:rPr>
        <w:t>provided</w:t>
      </w:r>
      <w:r w:rsidRPr="00D662C3">
        <w:rPr>
          <w:szCs w:val="26"/>
        </w:rPr>
        <w:t xml:space="preserve"> on direct examination had been made </w:t>
      </w:r>
      <w:r w:rsidRPr="00D662C3" w:rsidR="00F57E05">
        <w:rPr>
          <w:szCs w:val="26"/>
        </w:rPr>
        <w:t>“</w:t>
      </w:r>
      <w:r w:rsidRPr="00D662C3">
        <w:rPr>
          <w:szCs w:val="26"/>
        </w:rPr>
        <w:t xml:space="preserve">to help [her]self out at </w:t>
      </w:r>
      <w:r w:rsidRPr="00D662C3" w:rsidR="002974DB">
        <w:rPr>
          <w:szCs w:val="26"/>
        </w:rPr>
        <w:t xml:space="preserve">[her] </w:t>
      </w:r>
      <w:r w:rsidRPr="00D662C3">
        <w:rPr>
          <w:szCs w:val="26"/>
        </w:rPr>
        <w:t xml:space="preserve">sentencing.”  </w:t>
      </w:r>
      <w:r w:rsidRPr="00D662C3" w:rsidR="002974DB">
        <w:rPr>
          <w:szCs w:val="26"/>
        </w:rPr>
        <w:t xml:space="preserve">Counsel </w:t>
      </w:r>
      <w:r w:rsidRPr="00D662C3" w:rsidR="00D40EB8">
        <w:rPr>
          <w:szCs w:val="26"/>
        </w:rPr>
        <w:t xml:space="preserve">was also permitted to ask </w:t>
      </w:r>
      <w:r w:rsidRPr="00D662C3" w:rsidR="002974DB">
        <w:rPr>
          <w:szCs w:val="26"/>
        </w:rPr>
        <w:t>Celina</w:t>
      </w:r>
      <w:r w:rsidRPr="00D662C3" w:rsidR="00D40EB8">
        <w:rPr>
          <w:szCs w:val="26"/>
        </w:rPr>
        <w:t xml:space="preserve"> whether she</w:t>
      </w:r>
      <w:r w:rsidRPr="00D662C3">
        <w:rPr>
          <w:szCs w:val="26"/>
        </w:rPr>
        <w:t xml:space="preserve"> “want[</w:t>
      </w:r>
      <w:r w:rsidRPr="00D662C3" w:rsidR="00F57E05">
        <w:rPr>
          <w:szCs w:val="26"/>
        </w:rPr>
        <w:t>ed</w:t>
      </w:r>
      <w:r w:rsidRPr="00D662C3">
        <w:rPr>
          <w:szCs w:val="26"/>
        </w:rPr>
        <w:t xml:space="preserve">] to give testimony that </w:t>
      </w:r>
      <w:r w:rsidRPr="00D662C3" w:rsidR="00F57E05">
        <w:rPr>
          <w:szCs w:val="26"/>
        </w:rPr>
        <w:t xml:space="preserve">[would] </w:t>
      </w:r>
      <w:r w:rsidRPr="00D662C3">
        <w:rPr>
          <w:szCs w:val="26"/>
        </w:rPr>
        <w:t>help [her] out at [her] sentencing</w:t>
      </w:r>
      <w:r w:rsidRPr="00D662C3" w:rsidR="00F57E05">
        <w:rPr>
          <w:szCs w:val="26"/>
        </w:rPr>
        <w:t>.</w:t>
      </w:r>
      <w:r w:rsidRPr="00D662C3">
        <w:rPr>
          <w:szCs w:val="26"/>
        </w:rPr>
        <w:t xml:space="preserve">” </w:t>
      </w:r>
    </w:p>
    <w:p w:rsidR="003342A4" w:rsidRPr="00D662C3" w:rsidP="004F5DF7">
      <w:pPr>
        <w:ind w:firstLine="720"/>
      </w:pPr>
      <w:r w:rsidRPr="00D662C3">
        <w:rPr>
          <w:szCs w:val="26"/>
        </w:rPr>
        <w:t>Thus</w:t>
      </w:r>
      <w:r w:rsidRPr="00D662C3" w:rsidR="0074444F">
        <w:rPr>
          <w:szCs w:val="26"/>
        </w:rPr>
        <w:t>, the record makes clear defense</w:t>
      </w:r>
      <w:r w:rsidRPr="00D662C3" w:rsidR="00D40EB8">
        <w:rPr>
          <w:szCs w:val="26"/>
        </w:rPr>
        <w:t xml:space="preserve"> counsel </w:t>
      </w:r>
      <w:r w:rsidRPr="00D662C3" w:rsidR="00BF0A49">
        <w:rPr>
          <w:szCs w:val="26"/>
        </w:rPr>
        <w:t xml:space="preserve">was allowed to ask </w:t>
      </w:r>
      <w:r w:rsidRPr="00D662C3" w:rsidR="0074444F">
        <w:rPr>
          <w:szCs w:val="26"/>
        </w:rPr>
        <w:t>Rowan and Celina qu</w:t>
      </w:r>
      <w:r w:rsidRPr="00D662C3" w:rsidR="00BF0A49">
        <w:rPr>
          <w:szCs w:val="26"/>
        </w:rPr>
        <w:t xml:space="preserve">estions </w:t>
      </w:r>
      <w:r w:rsidRPr="00D662C3" w:rsidR="0074444F">
        <w:rPr>
          <w:szCs w:val="26"/>
        </w:rPr>
        <w:t xml:space="preserve">that were intended to </w:t>
      </w:r>
      <w:r w:rsidRPr="00D662C3" w:rsidR="00D40EB8">
        <w:rPr>
          <w:szCs w:val="26"/>
        </w:rPr>
        <w:t>examin</w:t>
      </w:r>
      <w:r w:rsidRPr="00D662C3" w:rsidR="0074444F">
        <w:rPr>
          <w:szCs w:val="26"/>
        </w:rPr>
        <w:t>e</w:t>
      </w:r>
      <w:r w:rsidRPr="00D662C3" w:rsidR="00D40EB8">
        <w:rPr>
          <w:szCs w:val="26"/>
        </w:rPr>
        <w:t xml:space="preserve"> whether </w:t>
      </w:r>
      <w:r w:rsidRPr="00D662C3" w:rsidR="0074444F">
        <w:rPr>
          <w:szCs w:val="26"/>
        </w:rPr>
        <w:t xml:space="preserve">the answers they provided on direct examination were </w:t>
      </w:r>
      <w:r w:rsidRPr="00D662C3" w:rsidR="002974DB">
        <w:rPr>
          <w:szCs w:val="26"/>
        </w:rPr>
        <w:t>tainted by the</w:t>
      </w:r>
      <w:r w:rsidRPr="00D662C3" w:rsidR="00D40EB8">
        <w:rPr>
          <w:szCs w:val="26"/>
        </w:rPr>
        <w:t>ir</w:t>
      </w:r>
      <w:r w:rsidRPr="00D662C3" w:rsidR="002974DB">
        <w:rPr>
          <w:szCs w:val="26"/>
        </w:rPr>
        <w:t xml:space="preserve"> desire to secure a lesser sentence</w:t>
      </w:r>
      <w:r w:rsidRPr="00D662C3" w:rsidR="0074444F">
        <w:rPr>
          <w:szCs w:val="26"/>
        </w:rPr>
        <w:t>.  While the trial court prohibited the defense from asking d</w:t>
      </w:r>
      <w:r w:rsidRPr="00D662C3" w:rsidR="002974DB">
        <w:rPr>
          <w:szCs w:val="26"/>
        </w:rPr>
        <w:t>ifferently phrased questions</w:t>
      </w:r>
      <w:r w:rsidRPr="00D662C3" w:rsidR="00D40EB8">
        <w:rPr>
          <w:szCs w:val="26"/>
        </w:rPr>
        <w:t xml:space="preserve"> that were</w:t>
      </w:r>
      <w:r w:rsidRPr="00D662C3" w:rsidR="0074444F">
        <w:rPr>
          <w:szCs w:val="26"/>
        </w:rPr>
        <w:t xml:space="preserve"> meant </w:t>
      </w:r>
      <w:r w:rsidRPr="00D662C3" w:rsidR="00D40EB8">
        <w:rPr>
          <w:szCs w:val="26"/>
        </w:rPr>
        <w:t>to examine that same issue</w:t>
      </w:r>
      <w:r w:rsidRPr="00D662C3" w:rsidR="0074444F">
        <w:rPr>
          <w:szCs w:val="26"/>
        </w:rPr>
        <w:t xml:space="preserve">, we fail to see how those questions would have produced </w:t>
      </w:r>
      <w:r w:rsidRPr="00D662C3" w:rsidR="00BF0A49">
        <w:rPr>
          <w:szCs w:val="26"/>
        </w:rPr>
        <w:t>“a significantly different impression” (</w:t>
      </w:r>
      <w:r w:rsidRPr="00D662C3" w:rsidR="00BF0A49">
        <w:rPr>
          <w:i/>
          <w:iCs/>
          <w:szCs w:val="26"/>
        </w:rPr>
        <w:t>Van Arsdall, supra</w:t>
      </w:r>
      <w:r w:rsidRPr="00D662C3" w:rsidR="00BF0A49">
        <w:rPr>
          <w:szCs w:val="26"/>
        </w:rPr>
        <w:t xml:space="preserve">, 475 U.S. at p. 680) of </w:t>
      </w:r>
      <w:r w:rsidRPr="00D662C3" w:rsidR="002974DB">
        <w:rPr>
          <w:szCs w:val="26"/>
        </w:rPr>
        <w:t>the witness</w:t>
      </w:r>
      <w:r w:rsidRPr="00D662C3" w:rsidR="00D40EB8">
        <w:rPr>
          <w:szCs w:val="26"/>
        </w:rPr>
        <w:t>es</w:t>
      </w:r>
      <w:r w:rsidRPr="00D662C3" w:rsidR="002974DB">
        <w:rPr>
          <w:szCs w:val="26"/>
        </w:rPr>
        <w:t>’</w:t>
      </w:r>
      <w:r w:rsidRPr="00D662C3" w:rsidR="00BF0A49">
        <w:rPr>
          <w:szCs w:val="26"/>
        </w:rPr>
        <w:t xml:space="preserve"> credibility.</w:t>
      </w:r>
    </w:p>
    <w:p w:rsidR="00E11693" w:rsidRPr="00D662C3" w:rsidP="004F5DF7">
      <w:pPr>
        <w:pStyle w:val="ListParagraph"/>
        <w:numPr>
          <w:ilvl w:val="0"/>
          <w:numId w:val="7"/>
        </w:numPr>
      </w:pPr>
      <w:bookmarkStart w:id="33" w:name="_Hlk85637941"/>
      <w:r w:rsidRPr="00D662C3">
        <w:rPr>
          <w:i/>
          <w:iCs/>
        </w:rPr>
        <w:t>The trial court did not err in admitting</w:t>
      </w:r>
      <w:r w:rsidRPr="00D662C3" w:rsidR="00FE2E9F">
        <w:rPr>
          <w:i/>
          <w:iCs/>
        </w:rPr>
        <w:t xml:space="preserve"> Gonzalez’s</w:t>
      </w:r>
      <w:r w:rsidRPr="00D662C3">
        <w:rPr>
          <w:i/>
          <w:iCs/>
        </w:rPr>
        <w:t xml:space="preserve"> </w:t>
      </w:r>
      <w:r w:rsidRPr="00D662C3" w:rsidR="0074444F">
        <w:rPr>
          <w:i/>
          <w:iCs/>
        </w:rPr>
        <w:t>statements</w:t>
      </w:r>
      <w:r w:rsidRPr="00D662C3">
        <w:rPr>
          <w:i/>
          <w:iCs/>
        </w:rPr>
        <w:t xml:space="preserve"> regarding a </w:t>
      </w:r>
      <w:r w:rsidR="00716C11">
        <w:rPr>
          <w:i/>
          <w:iCs/>
        </w:rPr>
        <w:t>crime involving a Mercedes</w:t>
      </w:r>
      <w:r w:rsidRPr="00D662C3" w:rsidR="00FE2E9F">
        <w:rPr>
          <w:i/>
          <w:iCs/>
        </w:rPr>
        <w:t xml:space="preserve"> </w:t>
      </w:r>
      <w:bookmarkEnd w:id="33"/>
    </w:p>
    <w:p w:rsidR="00FB79B3" w:rsidRPr="00D662C3" w:rsidP="00CF1500">
      <w:r w:rsidRPr="00D662C3">
        <w:tab/>
      </w:r>
      <w:r w:rsidRPr="00D662C3">
        <w:t xml:space="preserve">Gonzalez </w:t>
      </w:r>
      <w:r w:rsidRPr="00D662C3" w:rsidR="0074444F">
        <w:t xml:space="preserve">argues </w:t>
      </w:r>
      <w:r w:rsidRPr="00D662C3">
        <w:t xml:space="preserve">the trial court should have excluded a video clip in which he and undercover </w:t>
      </w:r>
      <w:r w:rsidRPr="00D662C3" w:rsidR="008B5507">
        <w:t>detective Javier Clift</w:t>
      </w:r>
      <w:r w:rsidRPr="00D662C3">
        <w:t xml:space="preserve"> </w:t>
      </w:r>
      <w:r w:rsidRPr="00D662C3" w:rsidR="00157C7B">
        <w:t xml:space="preserve">were </w:t>
      </w:r>
      <w:r w:rsidRPr="00D662C3">
        <w:t xml:space="preserve">shown discussing </w:t>
      </w:r>
      <w:r w:rsidRPr="00D662C3" w:rsidR="008D2450">
        <w:t xml:space="preserve">a </w:t>
      </w:r>
      <w:r w:rsidRPr="00D662C3" w:rsidR="00AD2DDF">
        <w:t xml:space="preserve">crime </w:t>
      </w:r>
      <w:r w:rsidRPr="00D662C3">
        <w:t>involving a Mercedes.</w:t>
      </w:r>
      <w:r w:rsidRPr="00D662C3" w:rsidR="008B5507">
        <w:t xml:space="preserve">  </w:t>
      </w:r>
      <w:r w:rsidRPr="00D662C3" w:rsidR="00157C7B">
        <w:t>In an earlier portion of their</w:t>
      </w:r>
      <w:r w:rsidRPr="00D662C3" w:rsidR="00F26DE7">
        <w:t xml:space="preserve"> recorded</w:t>
      </w:r>
      <w:r w:rsidRPr="00D662C3" w:rsidR="00157C7B">
        <w:t xml:space="preserve"> </w:t>
      </w:r>
      <w:r w:rsidRPr="00D662C3" w:rsidR="008B5507">
        <w:t>conversation</w:t>
      </w:r>
      <w:r w:rsidRPr="00D662C3" w:rsidR="00615EE9">
        <w:t xml:space="preserve"> (the admission of which Gonzalez </w:t>
      </w:r>
      <w:r w:rsidRPr="00D662C3" w:rsidR="00F26DE7">
        <w:t>has not contested</w:t>
      </w:r>
      <w:r w:rsidRPr="00D662C3" w:rsidR="00615EE9">
        <w:t>)</w:t>
      </w:r>
      <w:r w:rsidRPr="00D662C3" w:rsidR="008B5507">
        <w:t>,</w:t>
      </w:r>
      <w:r w:rsidRPr="00D662C3" w:rsidR="00157C7B">
        <w:t xml:space="preserve"> </w:t>
      </w:r>
      <w:r w:rsidRPr="00D662C3" w:rsidR="00615EE9">
        <w:t xml:space="preserve">Clift and Gonzalez </w:t>
      </w:r>
      <w:r w:rsidRPr="00D662C3" w:rsidR="00157C7B">
        <w:t xml:space="preserve"> discussed G</w:t>
      </w:r>
      <w:r w:rsidRPr="00D662C3" w:rsidR="00F8329B">
        <w:t>onzalez</w:t>
      </w:r>
      <w:r w:rsidRPr="00D662C3" w:rsidR="00157C7B">
        <w:t xml:space="preserve">’s participation in </w:t>
      </w:r>
      <w:r w:rsidRPr="00D662C3" w:rsidR="00F8329B">
        <w:t xml:space="preserve">a serious, possibly capital, </w:t>
      </w:r>
      <w:r w:rsidRPr="00D662C3" w:rsidR="009F219B">
        <w:t>offense</w:t>
      </w:r>
      <w:r w:rsidRPr="00D662C3" w:rsidR="00F8329B">
        <w:t xml:space="preserve"> </w:t>
      </w:r>
      <w:r w:rsidRPr="00D662C3" w:rsidR="009F219B">
        <w:t xml:space="preserve">that appeared to match </w:t>
      </w:r>
      <w:r w:rsidRPr="00D662C3" w:rsidR="00F8329B">
        <w:t xml:space="preserve">the circumstances of Rosa’s murder. </w:t>
      </w:r>
      <w:r w:rsidR="00D90693">
        <w:t xml:space="preserve"> </w:t>
      </w:r>
      <w:r w:rsidRPr="00D662C3" w:rsidR="008B5507">
        <w:t>In the</w:t>
      </w:r>
      <w:r w:rsidRPr="00D662C3" w:rsidR="00F8329B">
        <w:t xml:space="preserve"> </w:t>
      </w:r>
      <w:r w:rsidRPr="00D662C3" w:rsidR="008B5507">
        <w:t>clip</w:t>
      </w:r>
      <w:r w:rsidRPr="00D662C3" w:rsidR="00F8329B">
        <w:t xml:space="preserve"> </w:t>
      </w:r>
      <w:r w:rsidRPr="00D662C3" w:rsidR="008B5507">
        <w:t>Gonzalez challenges</w:t>
      </w:r>
      <w:r w:rsidRPr="00D662C3" w:rsidR="009F219B">
        <w:t xml:space="preserve"> here</w:t>
      </w:r>
      <w:r w:rsidRPr="00D662C3" w:rsidR="008B5507">
        <w:t>, Clift</w:t>
      </w:r>
      <w:r w:rsidRPr="00D662C3">
        <w:t xml:space="preserve"> asks Gonzalez why he was transferred from prison.  Gonzalez </w:t>
      </w:r>
      <w:r w:rsidRPr="00D662C3" w:rsidR="008B5507">
        <w:t xml:space="preserve">responded, “I hope it’s for the Mercedes.  I’ll be like, I’ll take it Your Honor.  Give it to me.  How much 7, 10, 15, 20? </w:t>
      </w:r>
      <w:r w:rsidRPr="00D662C3" w:rsidR="008D4AE9">
        <w:t xml:space="preserve"> </w:t>
      </w:r>
      <w:r w:rsidRPr="00D662C3" w:rsidR="008B5507">
        <w:t xml:space="preserve">Anything else.” </w:t>
      </w:r>
      <w:r w:rsidRPr="00D662C3">
        <w:t xml:space="preserve"> </w:t>
      </w:r>
      <w:r w:rsidRPr="0018793C" w:rsidR="0018793C">
        <w:t>Clift and another detective who also heard Gonzalez discussing this crime both described it as a “carjacking.”</w:t>
      </w:r>
    </w:p>
    <w:p w:rsidR="00FB79B3" w:rsidRPr="00D662C3" w:rsidP="004F5DF7">
      <w:pPr>
        <w:ind w:firstLine="720"/>
      </w:pPr>
      <w:r w:rsidRPr="00D662C3">
        <w:t xml:space="preserve">Defense counsel argued the </w:t>
      </w:r>
      <w:r w:rsidRPr="00D662C3" w:rsidR="006B4B38">
        <w:t>statements</w:t>
      </w:r>
      <w:r w:rsidRPr="00D662C3" w:rsidR="0078668E">
        <w:t xml:space="preserve"> Gonzalez made</w:t>
      </w:r>
      <w:r w:rsidRPr="00D662C3" w:rsidR="006B4B38">
        <w:t xml:space="preserve"> in the </w:t>
      </w:r>
      <w:r w:rsidRPr="00D662C3" w:rsidR="009F219B">
        <w:t>clip w</w:t>
      </w:r>
      <w:r w:rsidRPr="00D662C3" w:rsidR="006B4B38">
        <w:t xml:space="preserve">ere </w:t>
      </w:r>
      <w:r w:rsidRPr="00D662C3" w:rsidR="00157C7B">
        <w:t xml:space="preserve">inadmissible because </w:t>
      </w:r>
      <w:r w:rsidRPr="00D662C3" w:rsidR="009F219B">
        <w:t>they</w:t>
      </w:r>
      <w:r w:rsidRPr="00D662C3" w:rsidR="00157C7B">
        <w:t xml:space="preserve"> referenced </w:t>
      </w:r>
      <w:r w:rsidRPr="00D662C3" w:rsidR="004C203D">
        <w:t>another crime</w:t>
      </w:r>
      <w:r w:rsidRPr="00D662C3" w:rsidR="00157C7B">
        <w:t xml:space="preserve"> that was unrelated to </w:t>
      </w:r>
      <w:r w:rsidRPr="00D662C3" w:rsidR="0078668E">
        <w:t>Rosa’s</w:t>
      </w:r>
      <w:r w:rsidRPr="00D662C3" w:rsidR="00157C7B">
        <w:t xml:space="preserve"> murder</w:t>
      </w:r>
      <w:r w:rsidRPr="00D662C3">
        <w:t xml:space="preserve">.  The prosecution, however, contended the statements </w:t>
      </w:r>
      <w:r w:rsidRPr="00D662C3" w:rsidR="006B4B38">
        <w:t xml:space="preserve">qualified </w:t>
      </w:r>
      <w:r w:rsidRPr="00D662C3" w:rsidR="004C203D">
        <w:t>as a “form of admission.”</w:t>
      </w:r>
      <w:r w:rsidRPr="00D662C3">
        <w:t xml:space="preserve"> </w:t>
      </w:r>
      <w:r w:rsidRPr="00D662C3" w:rsidR="004C203D">
        <w:t xml:space="preserve"> The</w:t>
      </w:r>
      <w:r w:rsidRPr="00D662C3" w:rsidR="00B3239F">
        <w:t xml:space="preserve"> trial</w:t>
      </w:r>
      <w:r w:rsidRPr="00D662C3" w:rsidR="004C203D">
        <w:t xml:space="preserve"> court</w:t>
      </w:r>
      <w:r w:rsidRPr="00D662C3" w:rsidR="00157C7B">
        <w:t xml:space="preserve"> agreed, concluding that </w:t>
      </w:r>
      <w:r w:rsidRPr="00D662C3" w:rsidR="004C203D">
        <w:t>the evidence was intended to show “</w:t>
      </w:r>
      <w:r w:rsidRPr="00D662C3">
        <w:t xml:space="preserve">a guilty </w:t>
      </w:r>
      <w:r w:rsidRPr="00D662C3" w:rsidR="004C203D">
        <w:t xml:space="preserve">frame </w:t>
      </w:r>
      <w:r w:rsidRPr="00D662C3">
        <w:t>of mind</w:t>
      </w:r>
      <w:r w:rsidRPr="00D662C3" w:rsidR="004C203D">
        <w:t xml:space="preserve"> in that he’s hoping his current incarceration is not for the murder of the named victim in this case, but for a car theft instead.  So that the other crimes evidence can be instructed away in the sense that the jury would be advised they are not to consider it, but only consider it as to his state of mind with respect to his knowledge of this crime.” In response, defense counsel argued the clip might be admissible if Gonzalez had referenced the murder, but </w:t>
      </w:r>
      <w:r w:rsidRPr="00D662C3" w:rsidR="008F405E">
        <w:t>he</w:t>
      </w:r>
      <w:r w:rsidRPr="00D662C3" w:rsidR="00157C7B">
        <w:t xml:space="preserve"> had</w:t>
      </w:r>
      <w:r w:rsidRPr="00D662C3" w:rsidR="008F405E">
        <w:t xml:space="preserve"> only mentioned the carjacking.  </w:t>
      </w:r>
      <w:r w:rsidRPr="00D662C3">
        <w:t>The trial court</w:t>
      </w:r>
      <w:r w:rsidRPr="00D662C3" w:rsidR="008F405E">
        <w:t xml:space="preserve"> disagreed, explaining</w:t>
      </w:r>
      <w:r w:rsidRPr="00D662C3" w:rsidR="006B4B38">
        <w:t>,</w:t>
      </w:r>
      <w:r w:rsidRPr="00D662C3" w:rsidR="008F405E">
        <w:t xml:space="preserve"> “Well its implicit.  It’s an adoptive admission.  Even if Gonzalez is not mentioning the murder, it is implicit that that is what the discussion is about.”</w:t>
      </w:r>
      <w:r w:rsidRPr="00D662C3">
        <w:t xml:space="preserve"> </w:t>
      </w:r>
    </w:p>
    <w:p w:rsidR="004034B7" w:rsidRPr="00D662C3" w:rsidP="004F5DF7">
      <w:pPr>
        <w:tabs>
          <w:tab w:val="left" w:pos="1440"/>
        </w:tabs>
        <w:ind w:firstLine="720"/>
      </w:pPr>
      <w:r w:rsidRPr="00D662C3">
        <w:t xml:space="preserve">On appeal, </w:t>
      </w:r>
      <w:r w:rsidRPr="00D662C3" w:rsidR="00FB79B3">
        <w:t xml:space="preserve">Gonzalez argues that the clip </w:t>
      </w:r>
      <w:r w:rsidRPr="00D662C3" w:rsidR="006B4B38">
        <w:t xml:space="preserve">should </w:t>
      </w:r>
      <w:r w:rsidRPr="00D662C3" w:rsidR="00B3239F">
        <w:t xml:space="preserve">have </w:t>
      </w:r>
      <w:r w:rsidRPr="00D662C3" w:rsidR="006B4B38">
        <w:t>been excluded</w:t>
      </w:r>
      <w:r w:rsidRPr="00D662C3" w:rsidR="00FB79B3">
        <w:t xml:space="preserve"> </w:t>
      </w:r>
      <w:r w:rsidRPr="00D662C3" w:rsidR="008F405E">
        <w:t xml:space="preserve">because: (1) it was not relevant to the charged crime; (2) </w:t>
      </w:r>
      <w:r w:rsidRPr="00D662C3" w:rsidR="00650FAF">
        <w:t>the sole purpose of the evidence was to show Gonzalez’s bad character (see Evid. Code, § 1101, subd. (a)); (3) Gonzalez’s statement</w:t>
      </w:r>
      <w:r w:rsidRPr="00D662C3">
        <w:t>s</w:t>
      </w:r>
      <w:r w:rsidRPr="00D662C3" w:rsidR="00650FAF">
        <w:t xml:space="preserve"> </w:t>
      </w:r>
      <w:r w:rsidRPr="00D662C3" w:rsidR="008F405E">
        <w:t>did not qualify as adoptive admission</w:t>
      </w:r>
      <w:r w:rsidRPr="00D662C3">
        <w:t>s</w:t>
      </w:r>
      <w:r w:rsidRPr="00D662C3" w:rsidR="008F405E">
        <w:t xml:space="preserve"> and therefore should have </w:t>
      </w:r>
      <w:r w:rsidRPr="00D662C3" w:rsidR="00FB79B3">
        <w:t>been excluded as hearsay</w:t>
      </w:r>
      <w:r w:rsidRPr="00D662C3" w:rsidR="008F405E">
        <w:t>; and (</w:t>
      </w:r>
      <w:r w:rsidRPr="00D662C3" w:rsidR="00650FAF">
        <w:t>4</w:t>
      </w:r>
      <w:r w:rsidRPr="00D662C3" w:rsidR="008F405E">
        <w:t>) even if otherwise admissible, the evidence was more prejudicial than probative,</w:t>
      </w:r>
      <w:r w:rsidRPr="00D662C3" w:rsidR="00FB79B3">
        <w:t xml:space="preserve"> </w:t>
      </w:r>
      <w:r w:rsidRPr="00D662C3" w:rsidR="00F26DE7">
        <w:t>and thus inadmissible under Evidence Code section 352.</w:t>
      </w:r>
      <w:r w:rsidRPr="00D662C3" w:rsidR="00FB79B3">
        <w:t xml:space="preserve">  </w:t>
      </w:r>
      <w:r w:rsidRPr="00D662C3">
        <w:t>We review each of these claims under the abuse of discretion standard.  (</w:t>
      </w:r>
      <w:r w:rsidRPr="00D662C3">
        <w:rPr>
          <w:i/>
          <w:iCs/>
        </w:rPr>
        <w:t>People v. McKinnon</w:t>
      </w:r>
      <w:r w:rsidRPr="00D662C3">
        <w:t xml:space="preserve"> (2011) 52 Cal.4th 610, 655</w:t>
      </w:r>
      <w:r w:rsidRPr="00D662C3" w:rsidR="00B55A2A">
        <w:t xml:space="preserve"> [“On appeal, we review for abuse of discretion a trial court</w:t>
      </w:r>
      <w:r w:rsidRPr="00D662C3" w:rsidR="00157C7B">
        <w:t>’</w:t>
      </w:r>
      <w:r w:rsidRPr="00D662C3" w:rsidR="00B55A2A">
        <w:t>s ruling on whether evidence is relevant, not unduly prejudicial, and thus admissible”]</w:t>
      </w:r>
      <w:r w:rsidRPr="00D662C3">
        <w:t xml:space="preserve">; </w:t>
      </w:r>
      <w:r w:rsidRPr="00D662C3" w:rsidR="007947FD">
        <w:rPr>
          <w:i/>
          <w:iCs/>
        </w:rPr>
        <w:t>People v. Memro</w:t>
      </w:r>
      <w:r w:rsidRPr="00D662C3" w:rsidR="007947FD">
        <w:t xml:space="preserve"> (1995) 11 Cal.4th 786, 864 [“We review the admission of evidence under Evidence Code section 1101 for an abuse of discretion”];</w:t>
      </w:r>
      <w:r w:rsidRPr="00D662C3" w:rsidR="00F26DE7">
        <w:t xml:space="preserve"> </w:t>
      </w:r>
      <w:r w:rsidRPr="00D662C3" w:rsidR="00F26DE7">
        <w:rPr>
          <w:i/>
          <w:iCs/>
        </w:rPr>
        <w:t>People v. Rogers</w:t>
      </w:r>
      <w:r w:rsidRPr="00D662C3" w:rsidR="00F26DE7">
        <w:t xml:space="preserve"> (2013) 57 Cal.4th 296, 326 </w:t>
      </w:r>
      <w:r w:rsidRPr="00D662C3" w:rsidR="00B10A82">
        <w:t>(</w:t>
      </w:r>
      <w:r w:rsidRPr="00D662C3" w:rsidR="00B10A82">
        <w:rPr>
          <w:i/>
          <w:iCs/>
        </w:rPr>
        <w:t>Rogers</w:t>
      </w:r>
      <w:r w:rsidRPr="00D662C3" w:rsidR="00B10A82">
        <w:t xml:space="preserve">) </w:t>
      </w:r>
      <w:r w:rsidRPr="00D662C3" w:rsidR="00F26DE7">
        <w:t>[“</w:t>
      </w:r>
      <w:r w:rsidRPr="00D662C3" w:rsidR="007929A6">
        <w:t> </w:t>
      </w:r>
      <w:r w:rsidRPr="00D662C3" w:rsidR="00F26DE7">
        <w:t>‘ “Rulings made under [Evidence Code sections 1101 and 352, including those made at the guilt phase of a capital trial] are reviewed for an abuse of discretion” ’ ”];</w:t>
      </w:r>
      <w:r w:rsidRPr="00D662C3" w:rsidR="007947FD">
        <w:t xml:space="preserve"> </w:t>
      </w:r>
      <w:r w:rsidRPr="00D662C3">
        <w:rPr>
          <w:i/>
          <w:iCs/>
        </w:rPr>
        <w:t>People v. Martinez</w:t>
      </w:r>
      <w:r w:rsidRPr="00D662C3" w:rsidR="00B55A2A">
        <w:t xml:space="preserve"> (2000)</w:t>
      </w:r>
      <w:r w:rsidRPr="00D662C3">
        <w:t xml:space="preserve"> 22 Cal.4th 106, 139</w:t>
      </w:r>
      <w:r w:rsidRPr="00D662C3" w:rsidR="00B55A2A">
        <w:t xml:space="preserve"> [“we</w:t>
      </w:r>
      <w:r w:rsidRPr="00D662C3">
        <w:t xml:space="preserve"> apply the abuse of discretion standard when reviewing a trial court</w:t>
      </w:r>
      <w:r w:rsidRPr="00D662C3" w:rsidR="00B55A2A">
        <w:t>’</w:t>
      </w:r>
      <w:r w:rsidRPr="00D662C3">
        <w:t>s decision that evidence falls within a hearsay exception</w:t>
      </w:r>
      <w:r w:rsidRPr="00D662C3" w:rsidR="00B55A2A">
        <w:t>”].)</w:t>
      </w:r>
    </w:p>
    <w:p w:rsidR="009F219B" w:rsidRPr="00D662C3" w:rsidP="004F5DF7">
      <w:pPr>
        <w:tabs>
          <w:tab w:val="left" w:pos="1440"/>
        </w:tabs>
        <w:ind w:firstLine="720"/>
      </w:pPr>
      <w:r w:rsidRPr="00D662C3">
        <w:t>“Relevant evidence is evidence ‘having any tendency in reason to prove or disprove any disputed fact that is of consequence to the determination of the action.’ [Citation.] ‘ “The test of relevance is whether the evidence tends, ‘logically, naturally, and by reasonable inference’ to establish material facts such as identity, intent, or motive.” ’</w:t>
      </w:r>
      <w:r w:rsidRPr="00D662C3" w:rsidR="007929A6">
        <w:t> </w:t>
      </w:r>
      <w:r w:rsidRPr="00D662C3">
        <w:t>”  (</w:t>
      </w:r>
      <w:r w:rsidRPr="00D662C3">
        <w:rPr>
          <w:i/>
          <w:iCs/>
        </w:rPr>
        <w:t>People v. Wilson</w:t>
      </w:r>
      <w:r w:rsidRPr="00D662C3">
        <w:t xml:space="preserve"> (2006) 38 Cal.4th 1237, 1245.)  We find no abuse of discretion in the trial court’s determination that</w:t>
      </w:r>
      <w:r w:rsidRPr="00D662C3" w:rsidR="00157C7B">
        <w:t>, understood in context,</w:t>
      </w:r>
      <w:r w:rsidRPr="00D662C3" w:rsidR="00FB79B3">
        <w:t xml:space="preserve"> </w:t>
      </w:r>
      <w:r w:rsidRPr="00D662C3" w:rsidR="00B3239F">
        <w:t>Gonzalez’s</w:t>
      </w:r>
      <w:r w:rsidRPr="00D662C3" w:rsidR="00FB79B3">
        <w:t xml:space="preserve"> </w:t>
      </w:r>
      <w:r w:rsidRPr="00D662C3" w:rsidR="006B4B38">
        <w:t xml:space="preserve">statements regarding </w:t>
      </w:r>
      <w:r w:rsidRPr="00D662C3" w:rsidR="00FB79B3">
        <w:t xml:space="preserve">the </w:t>
      </w:r>
      <w:r w:rsidRPr="00D662C3" w:rsidR="00B3239F">
        <w:t xml:space="preserve">carjacking </w:t>
      </w:r>
      <w:r w:rsidRPr="00D662C3" w:rsidR="00FB79B3">
        <w:t xml:space="preserve">tended to establish </w:t>
      </w:r>
      <w:r w:rsidRPr="00D662C3" w:rsidR="00B3239F">
        <w:t xml:space="preserve">his </w:t>
      </w:r>
      <w:r w:rsidRPr="00D662C3">
        <w:t xml:space="preserve">identity as a participant in </w:t>
      </w:r>
      <w:r w:rsidRPr="00D662C3" w:rsidR="006B4B38">
        <w:t>Rosa’s</w:t>
      </w:r>
      <w:r w:rsidRPr="00D662C3">
        <w:t xml:space="preserve"> murder</w:t>
      </w:r>
      <w:r w:rsidRPr="00D662C3" w:rsidR="00FB79B3">
        <w:t xml:space="preserve">.  </w:t>
      </w:r>
      <w:r w:rsidRPr="00D662C3">
        <w:t xml:space="preserve">As explained above, </w:t>
      </w:r>
      <w:r w:rsidRPr="00D662C3" w:rsidR="0078668E">
        <w:t>the recordings showed that before Gonzalez referenced the carjacking,</w:t>
      </w:r>
      <w:r w:rsidRPr="00D662C3">
        <w:t xml:space="preserve"> Clift and Gonzalez</w:t>
      </w:r>
      <w:r w:rsidRPr="00D662C3" w:rsidR="0078668E">
        <w:t xml:space="preserve"> had been</w:t>
      </w:r>
      <w:r w:rsidRPr="00D662C3">
        <w:t xml:space="preserve"> discussing a</w:t>
      </w:r>
      <w:r w:rsidRPr="00D662C3" w:rsidR="00650FAF">
        <w:t xml:space="preserve"> serious</w:t>
      </w:r>
      <w:r w:rsidRPr="00D662C3">
        <w:t xml:space="preserve"> crime that </w:t>
      </w:r>
      <w:r w:rsidRPr="00D662C3" w:rsidR="00650FAF">
        <w:t xml:space="preserve">matched the circumstances of Rosa’s murder.  The fact that Gonzalez </w:t>
      </w:r>
      <w:r w:rsidRPr="00D662C3" w:rsidR="007947FD">
        <w:t>subsequently</w:t>
      </w:r>
      <w:r w:rsidRPr="00D662C3" w:rsidR="00650FAF">
        <w:t xml:space="preserve"> expressed hope that he had been transferred to the prison for a</w:t>
      </w:r>
      <w:r w:rsidRPr="00D662C3" w:rsidR="007947FD">
        <w:t>n unrelated</w:t>
      </w:r>
      <w:r w:rsidRPr="00D662C3" w:rsidR="00650FAF">
        <w:t xml:space="preserve"> carjacking </w:t>
      </w:r>
      <w:r w:rsidRPr="00D662C3" w:rsidR="007947FD">
        <w:t xml:space="preserve">and would be pleased to be facing </w:t>
      </w:r>
      <w:r w:rsidRPr="00D662C3" w:rsidR="00650FAF">
        <w:t xml:space="preserve">a sentence of </w:t>
      </w:r>
      <w:r w:rsidRPr="00D662C3" w:rsidR="007947FD">
        <w:t xml:space="preserve">only </w:t>
      </w:r>
      <w:r w:rsidRPr="00D662C3" w:rsidR="00650FAF">
        <w:t>20 years</w:t>
      </w:r>
      <w:r w:rsidRPr="00D662C3" w:rsidR="007947FD">
        <w:t xml:space="preserve"> in prison</w:t>
      </w:r>
      <w:r w:rsidRPr="00D662C3" w:rsidR="00650FAF">
        <w:t>, raise</w:t>
      </w:r>
      <w:r w:rsidRPr="00D662C3" w:rsidR="00B3239F">
        <w:t>s</w:t>
      </w:r>
      <w:r w:rsidRPr="00D662C3" w:rsidR="00650FAF">
        <w:t xml:space="preserve"> an inference that he committed </w:t>
      </w:r>
      <w:r w:rsidRPr="00D662C3" w:rsidR="006B4B38">
        <w:t>the more serious</w:t>
      </w:r>
      <w:r w:rsidRPr="00D662C3" w:rsidR="00650FAF">
        <w:t xml:space="preserve"> crime</w:t>
      </w:r>
      <w:r w:rsidRPr="00D662C3" w:rsidR="006B4B38">
        <w:t xml:space="preserve"> he had been discussing with Clift</w:t>
      </w:r>
      <w:r w:rsidRPr="00D662C3" w:rsidR="00650FAF">
        <w:t>.</w:t>
      </w:r>
      <w:r w:rsidRPr="00D662C3">
        <w:t xml:space="preserve">  </w:t>
      </w:r>
    </w:p>
    <w:p w:rsidR="00FB79B3" w:rsidRPr="00D662C3" w:rsidP="004F5DF7">
      <w:pPr>
        <w:tabs>
          <w:tab w:val="left" w:pos="1440"/>
        </w:tabs>
        <w:ind w:firstLine="720"/>
      </w:pPr>
      <w:r w:rsidRPr="00D662C3">
        <w:t>Moreover,</w:t>
      </w:r>
      <w:r w:rsidRPr="00D662C3" w:rsidR="00FD018F">
        <w:t xml:space="preserve"> contrary to Gonzalez’s assertions,</w:t>
      </w:r>
      <w:r w:rsidRPr="00D662C3">
        <w:t xml:space="preserve"> </w:t>
      </w:r>
      <w:r w:rsidRPr="00D662C3" w:rsidR="009F219B">
        <w:t xml:space="preserve">the record makes clear there was a purpose for introducing </w:t>
      </w:r>
      <w:r w:rsidRPr="00D662C3" w:rsidR="00FD018F">
        <w:t>his statements about the carjacking o</w:t>
      </w:r>
      <w:r w:rsidRPr="00D662C3" w:rsidR="006B4B38">
        <w:t xml:space="preserve">ther than to show bad character or disposition to commit the charged </w:t>
      </w:r>
      <w:r w:rsidRPr="00D662C3" w:rsidR="0078668E">
        <w:t>offense</w:t>
      </w:r>
      <w:r w:rsidRPr="00D662C3" w:rsidR="009F219B">
        <w:t xml:space="preserve">.  As the trial court explained, the statements </w:t>
      </w:r>
      <w:r w:rsidRPr="00D662C3" w:rsidR="00FD018F">
        <w:t xml:space="preserve">tended </w:t>
      </w:r>
      <w:r w:rsidRPr="00D662C3">
        <w:t xml:space="preserve">to show </w:t>
      </w:r>
      <w:r w:rsidRPr="00D662C3" w:rsidR="00FD018F">
        <w:t xml:space="preserve">that </w:t>
      </w:r>
      <w:r w:rsidRPr="00D662C3" w:rsidR="009F219B">
        <w:t>Gonzalez believed the other crime he had committed, which matched the circumstances of Rosa’s shooting, was a more serious crime</w:t>
      </w:r>
      <w:r w:rsidRPr="00D662C3">
        <w:t xml:space="preserve">.  </w:t>
      </w:r>
      <w:r w:rsidRPr="00D662C3">
        <w:t>(See Evid. Code, § 1101, subd. (b)</w:t>
      </w:r>
      <w:r w:rsidRPr="00D662C3" w:rsidR="00A10120">
        <w:t xml:space="preserve"> [</w:t>
      </w:r>
      <w:r w:rsidRPr="00D662C3" w:rsidR="0078668E">
        <w:t>“</w:t>
      </w:r>
      <w:r w:rsidRPr="00D662C3" w:rsidR="00A10120">
        <w:t>Nothing in this section prohibits the admission of evidence that a person committed a crime</w:t>
      </w:r>
      <w:r w:rsidRPr="00D662C3" w:rsidR="008D4AE9">
        <w:t> . . . </w:t>
      </w:r>
      <w:r w:rsidRPr="00D662C3" w:rsidR="00A10120">
        <w:t>when relevant to prove some fact (such as motive,</w:t>
      </w:r>
      <w:r w:rsidRPr="00D662C3" w:rsidR="006B4B38">
        <w:t> . . .</w:t>
      </w:r>
      <w:r w:rsidRPr="00D662C3" w:rsidR="00FD018F">
        <w:t> </w:t>
      </w:r>
      <w:r w:rsidRPr="00D662C3" w:rsidR="00A10120">
        <w:t>knowledge, [or] identity</w:t>
      </w:r>
      <w:r w:rsidRPr="00D662C3" w:rsidR="008D4AE9">
        <w:t> . . . </w:t>
      </w:r>
      <w:r w:rsidRPr="00D662C3" w:rsidR="00A10120">
        <w:t>) other than his or her disposition to commit such an act”]</w:t>
      </w:r>
      <w:r w:rsidRPr="00D662C3">
        <w:t xml:space="preserve">.)  </w:t>
      </w:r>
    </w:p>
    <w:p w:rsidR="00FB79B3" w:rsidRPr="00D662C3" w:rsidP="004F5DF7">
      <w:pPr>
        <w:tabs>
          <w:tab w:val="left" w:pos="1440"/>
        </w:tabs>
        <w:ind w:firstLine="720"/>
      </w:pPr>
      <w:r w:rsidRPr="00D662C3">
        <w:t>We likewise</w:t>
      </w:r>
      <w:r w:rsidRPr="00D662C3">
        <w:t xml:space="preserve"> find no abuse of discretion in the trial court’s decision to admit the statement as a form of admission.  While perhaps </w:t>
      </w:r>
      <w:r w:rsidRPr="00D662C3" w:rsidR="00FD018F">
        <w:t>in</w:t>
      </w:r>
      <w:r w:rsidRPr="00D662C3" w:rsidR="001F3FB5">
        <w:t xml:space="preserve">accurately </w:t>
      </w:r>
      <w:r w:rsidRPr="00D662C3" w:rsidR="00FD018F">
        <w:t xml:space="preserve">described </w:t>
      </w:r>
      <w:r w:rsidRPr="00D662C3" w:rsidR="001F3FB5">
        <w:t xml:space="preserve">as </w:t>
      </w:r>
      <w:r w:rsidRPr="00D662C3">
        <w:t xml:space="preserve">an </w:t>
      </w:r>
      <w:r w:rsidRPr="00D662C3">
        <w:rPr>
          <w:i/>
          <w:iCs/>
        </w:rPr>
        <w:t>adoptive</w:t>
      </w:r>
      <w:r w:rsidRPr="00D662C3">
        <w:t xml:space="preserve"> admission (which </w:t>
      </w:r>
      <w:r w:rsidRPr="00D662C3" w:rsidR="0078668E">
        <w:t xml:space="preserve">is </w:t>
      </w:r>
      <w:r w:rsidRPr="00D662C3">
        <w:t>generally</w:t>
      </w:r>
      <w:r w:rsidRPr="00D662C3" w:rsidR="00FD018F">
        <w:t xml:space="preserve"> understood to mean</w:t>
      </w:r>
      <w:r w:rsidRPr="00D662C3">
        <w:t xml:space="preserve"> </w:t>
      </w:r>
      <w:r w:rsidRPr="00D662C3" w:rsidR="00B10A82">
        <w:t xml:space="preserve">a </w:t>
      </w:r>
      <w:r w:rsidRPr="00D662C3">
        <w:t xml:space="preserve">“statement </w:t>
      </w:r>
      <w:r w:rsidRPr="00D662C3" w:rsidR="0078668E">
        <w:t xml:space="preserve">[made] </w:t>
      </w:r>
      <w:r w:rsidRPr="00D662C3">
        <w:t>by someone other than the defendant</w:t>
      </w:r>
      <w:r w:rsidRPr="00D662C3" w:rsidR="00FD018F">
        <w:t> . . . </w:t>
      </w:r>
      <w:r w:rsidRPr="00D662C3">
        <w:t>if the defendant ‘with knowledge of the content thereof, has by words or other conduct manifested his adoption [of] or his belief in its truth’ ” (</w:t>
      </w:r>
      <w:r w:rsidRPr="00D662C3">
        <w:rPr>
          <w:i/>
          <w:iCs/>
        </w:rPr>
        <w:t>People v. Davis</w:t>
      </w:r>
      <w:r w:rsidRPr="00D662C3">
        <w:t xml:space="preserve"> (2005) 36 Cal. 4th 510, 535)</w:t>
      </w:r>
      <w:r w:rsidRPr="00D662C3" w:rsidR="001F3FB5">
        <w:t>)</w:t>
      </w:r>
      <w:r w:rsidRPr="00D662C3">
        <w:t xml:space="preserve">, the statement was </w:t>
      </w:r>
      <w:r w:rsidRPr="00D662C3" w:rsidR="00907D6B">
        <w:t xml:space="preserve">clearly </w:t>
      </w:r>
      <w:r w:rsidRPr="00D662C3">
        <w:t xml:space="preserve">admissible </w:t>
      </w:r>
      <w:r w:rsidRPr="00D662C3" w:rsidR="00A10120">
        <w:t xml:space="preserve">under Evidence Code section 1220 as a </w:t>
      </w:r>
      <w:r w:rsidRPr="00D662C3">
        <w:t>“statement</w:t>
      </w:r>
      <w:r w:rsidRPr="00D662C3" w:rsidR="00A10120">
        <w:t>[]</w:t>
      </w:r>
      <w:r w:rsidRPr="00D662C3">
        <w:t xml:space="preserve"> of a party</w:t>
      </w:r>
      <w:r w:rsidRPr="00D662C3" w:rsidR="00736F43">
        <w:t>.”  (</w:t>
      </w:r>
      <w:bookmarkStart w:id="34" w:name="_Hlk86235076"/>
      <w:r w:rsidRPr="00D662C3" w:rsidR="00736F43">
        <w:rPr>
          <w:i/>
          <w:iCs/>
        </w:rPr>
        <w:t>People v. Horning</w:t>
      </w:r>
      <w:r w:rsidRPr="00D662C3" w:rsidR="00736F43">
        <w:t xml:space="preserve"> (2004) 34 Cal.4th 871, </w:t>
      </w:r>
      <w:r w:rsidRPr="00D662C3" w:rsidR="00B61637">
        <w:t>898</w:t>
      </w:r>
      <w:r w:rsidRPr="00D662C3" w:rsidR="002D1860">
        <w:t xml:space="preserve"> (</w:t>
      </w:r>
      <w:r w:rsidRPr="00D662C3" w:rsidR="002D1860">
        <w:rPr>
          <w:i/>
          <w:iCs/>
        </w:rPr>
        <w:t>Horning</w:t>
      </w:r>
      <w:r w:rsidRPr="00D662C3" w:rsidR="002D1860">
        <w:t>);</w:t>
      </w:r>
      <w:bookmarkEnd w:id="34"/>
      <w:r w:rsidRPr="00D662C3" w:rsidR="002D1860">
        <w:t xml:space="preserve"> see </w:t>
      </w:r>
      <w:r w:rsidRPr="00D662C3" w:rsidR="002D1860">
        <w:rPr>
          <w:i/>
          <w:iCs/>
        </w:rPr>
        <w:t>i</w:t>
      </w:r>
      <w:r w:rsidRPr="00D662C3" w:rsidR="007929A6">
        <w:rPr>
          <w:i/>
          <w:iCs/>
        </w:rPr>
        <w:t>bi</w:t>
      </w:r>
      <w:r w:rsidRPr="00D662C3" w:rsidR="002D1860">
        <w:rPr>
          <w:i/>
          <w:iCs/>
        </w:rPr>
        <w:t>d.</w:t>
      </w:r>
      <w:r w:rsidRPr="00D662C3" w:rsidR="002D1860">
        <w:t xml:space="preserve"> [declining to consider </w:t>
      </w:r>
      <w:r w:rsidRPr="00D662C3" w:rsidR="007929A6">
        <w:t xml:space="preserve">the </w:t>
      </w:r>
      <w:r w:rsidRPr="00D662C3" w:rsidR="002D1860">
        <w:t>defendant’s assertion that statement did not qualify as a “statement</w:t>
      </w:r>
      <w:r w:rsidRPr="00D662C3" w:rsidR="007929A6">
        <w:t>[]</w:t>
      </w:r>
      <w:r w:rsidRPr="00D662C3" w:rsidR="002D1860">
        <w:t xml:space="preserve"> against interest” because the statement was “clearly” admissible as the “statement[] of a party”]</w:t>
      </w:r>
      <w:r w:rsidRPr="00D662C3" w:rsidR="00A10120">
        <w:t>.)  W</w:t>
      </w:r>
      <w:r w:rsidRPr="00D662C3" w:rsidR="00736F43">
        <w:t>hile “</w:t>
      </w:r>
      <w:r w:rsidRPr="00D662C3">
        <w:t>sometimes referred to as the exception for admissions of a party</w:t>
      </w:r>
      <w:r w:rsidRPr="00D662C3" w:rsidR="00736F43">
        <w:t>,</w:t>
      </w:r>
      <w:r w:rsidRPr="00D662C3">
        <w:t>”</w:t>
      </w:r>
      <w:r w:rsidRPr="00D662C3" w:rsidR="00736F43">
        <w:t xml:space="preserve"> Evid</w:t>
      </w:r>
      <w:r w:rsidRPr="00D662C3" w:rsidR="00A10120">
        <w:t xml:space="preserve">ence </w:t>
      </w:r>
      <w:r w:rsidRPr="00D662C3" w:rsidR="00736F43">
        <w:t>Code</w:t>
      </w:r>
      <w:r w:rsidRPr="00D662C3" w:rsidR="00A10120">
        <w:t xml:space="preserve"> section</w:t>
      </w:r>
      <w:r w:rsidRPr="00D662C3" w:rsidR="00736F43">
        <w:t xml:space="preserve"> 1220 “covers all statements of a party, whether or not they might otherwise be characterized as admissions</w:t>
      </w:r>
      <w:r w:rsidRPr="00D662C3" w:rsidR="00A10120">
        <w:t>.</w:t>
      </w:r>
      <w:r w:rsidRPr="00D662C3" w:rsidR="00736F43">
        <w:t>”</w:t>
      </w:r>
      <w:r w:rsidRPr="00D662C3" w:rsidR="00A10120">
        <w:t xml:space="preserve">  (</w:t>
      </w:r>
      <w:r w:rsidRPr="00D662C3" w:rsidR="00A10120">
        <w:rPr>
          <w:i/>
          <w:iCs/>
        </w:rPr>
        <w:t>Horn</w:t>
      </w:r>
      <w:r w:rsidRPr="00D662C3" w:rsidR="0058567C">
        <w:rPr>
          <w:i/>
          <w:iCs/>
        </w:rPr>
        <w:t>i</w:t>
      </w:r>
      <w:r w:rsidRPr="00D662C3" w:rsidR="00A10120">
        <w:rPr>
          <w:i/>
          <w:iCs/>
        </w:rPr>
        <w:t xml:space="preserve">ng, </w:t>
      </w:r>
      <w:r w:rsidRPr="00D662C3" w:rsidR="00A10120">
        <w:t>at p. 898</w:t>
      </w:r>
      <w:r w:rsidRPr="00D662C3" w:rsidR="007929A6">
        <w:t>, fn. 5, italics omitted</w:t>
      </w:r>
      <w:r w:rsidRPr="00D662C3" w:rsidR="005E4A15">
        <w:t xml:space="preserve">; see </w:t>
      </w:r>
      <w:r w:rsidRPr="00D662C3" w:rsidR="005E4A15">
        <w:rPr>
          <w:i/>
          <w:iCs/>
        </w:rPr>
        <w:t xml:space="preserve">Davis, </w:t>
      </w:r>
      <w:r w:rsidRPr="00D662C3" w:rsidR="005E4A15">
        <w:t>at p. 535 [“</w:t>
      </w:r>
      <w:r w:rsidRPr="00D662C3" w:rsidR="007929A6">
        <w:t xml:space="preserve">[a] </w:t>
      </w:r>
      <w:r w:rsidRPr="00D662C3" w:rsidR="005E4A15">
        <w:t>defendant’s own hearsay statements are admissible”]</w:t>
      </w:r>
      <w:r w:rsidRPr="00D662C3" w:rsidR="00A10120">
        <w:t xml:space="preserve">.)  </w:t>
      </w:r>
      <w:r w:rsidRPr="00D662C3" w:rsidR="00736F43">
        <w:t xml:space="preserve">Because </w:t>
      </w:r>
      <w:r w:rsidRPr="00D662C3" w:rsidR="00300D4C">
        <w:t xml:space="preserve">Gonzalez </w:t>
      </w:r>
      <w:r w:rsidRPr="00D662C3" w:rsidR="00B61637">
        <w:t xml:space="preserve">was the declarant of the statement and the statement was offered against him, it was not inadmissible under the hearsay rules. </w:t>
      </w:r>
      <w:r w:rsidRPr="00D662C3" w:rsidR="00300D4C">
        <w:t xml:space="preserve"> </w:t>
      </w:r>
      <w:r w:rsidRPr="00D662C3" w:rsidR="00B61637">
        <w:t>(</w:t>
      </w:r>
      <w:r w:rsidRPr="00D662C3" w:rsidR="005E4A15">
        <w:t xml:space="preserve">See </w:t>
      </w:r>
      <w:r w:rsidRPr="00D662C3" w:rsidR="002D1860">
        <w:rPr>
          <w:i/>
          <w:iCs/>
        </w:rPr>
        <w:t xml:space="preserve">Horning, </w:t>
      </w:r>
      <w:r w:rsidRPr="00D662C3" w:rsidR="002D1860">
        <w:t>at p. 898</w:t>
      </w:r>
      <w:r w:rsidRPr="00D662C3" w:rsidR="00B61637">
        <w:t xml:space="preserve"> [hearsay rule does not bar statements when the “</w:t>
      </w:r>
      <w:r w:rsidRPr="00D662C3" w:rsidR="007929A6">
        <w:t> ‘</w:t>
      </w:r>
      <w:r w:rsidRPr="00D662C3" w:rsidR="00B61637">
        <w:t>defendant was the declarant, the statements were offered against him, and he was a party to the action</w:t>
      </w:r>
      <w:r w:rsidRPr="00D662C3" w:rsidR="007929A6">
        <w:t>’ </w:t>
      </w:r>
      <w:r w:rsidRPr="00D662C3" w:rsidR="00B61637">
        <w:t>”</w:t>
      </w:r>
      <w:r w:rsidRPr="00D662C3" w:rsidR="00300D4C">
        <w:t>].</w:t>
      </w:r>
      <w:r w:rsidRPr="00D662C3" w:rsidR="001D1683">
        <w:t>)</w:t>
      </w:r>
    </w:p>
    <w:p w:rsidR="005E4A15" w:rsidRPr="00D662C3" w:rsidP="004F5DF7">
      <w:pPr>
        <w:tabs>
          <w:tab w:val="left" w:pos="1440"/>
        </w:tabs>
        <w:ind w:firstLine="720"/>
      </w:pPr>
      <w:r w:rsidRPr="00D662C3">
        <w:t>Finally</w:t>
      </w:r>
      <w:r w:rsidRPr="00D662C3" w:rsidR="007947FD">
        <w:t xml:space="preserve">, we find no abuse of discretion in </w:t>
      </w:r>
      <w:r w:rsidRPr="00D662C3" w:rsidR="00A10120">
        <w:t xml:space="preserve">the trial court’s </w:t>
      </w:r>
      <w:r w:rsidRPr="00D662C3" w:rsidR="007947FD">
        <w:t>determin</w:t>
      </w:r>
      <w:r w:rsidRPr="00D662C3" w:rsidR="00A10120">
        <w:t xml:space="preserve">ation </w:t>
      </w:r>
      <w:r w:rsidRPr="00D662C3" w:rsidR="007947FD">
        <w:t xml:space="preserve">that the evidence </w:t>
      </w:r>
      <w:r w:rsidRPr="00D662C3" w:rsidR="00FD018F">
        <w:t>was</w:t>
      </w:r>
      <w:r w:rsidRPr="00D662C3" w:rsidR="007947FD">
        <w:t xml:space="preserve"> more probative than prejudicial.  (See </w:t>
      </w:r>
      <w:r w:rsidRPr="00D662C3" w:rsidR="007947FD">
        <w:rPr>
          <w:i/>
          <w:iCs/>
        </w:rPr>
        <w:t>Rogers</w:t>
      </w:r>
      <w:r w:rsidRPr="00D662C3" w:rsidR="00EC1A69">
        <w:rPr>
          <w:i/>
          <w:iCs/>
        </w:rPr>
        <w:t>,</w:t>
      </w:r>
      <w:r w:rsidRPr="00D662C3" w:rsidR="00FD018F">
        <w:rPr>
          <w:i/>
        </w:rPr>
        <w:t xml:space="preserve"> </w:t>
      </w:r>
      <w:r w:rsidRPr="00D662C3" w:rsidR="00FD018F">
        <w:rPr>
          <w:i/>
          <w:iCs/>
        </w:rPr>
        <w:t>supra</w:t>
      </w:r>
      <w:r w:rsidRPr="00D662C3" w:rsidR="00FD018F">
        <w:t>,</w:t>
      </w:r>
      <w:r w:rsidRPr="00D662C3" w:rsidR="007947FD">
        <w:t xml:space="preserve"> 57 Cal.4th </w:t>
      </w:r>
      <w:r w:rsidRPr="00D662C3" w:rsidR="00EC1A69">
        <w:t xml:space="preserve">at p. </w:t>
      </w:r>
      <w:r w:rsidRPr="00D662C3" w:rsidR="007947FD">
        <w:t>326.)  “</w:t>
      </w:r>
      <w:r w:rsidRPr="00D662C3" w:rsidR="00FD018F">
        <w:t> </w:t>
      </w:r>
      <w:r w:rsidRPr="00D662C3" w:rsidR="007947FD">
        <w:t>‘Prejudice for purposes of Evidence Code section 352 means evidence that tends to evoke an emotional bias against the defendant with very little effect on issues, not evidence that is probative of a defendant</w:t>
      </w:r>
      <w:r w:rsidRPr="00D662C3" w:rsidR="002D1860">
        <w:t>’</w:t>
      </w:r>
      <w:r w:rsidRPr="00D662C3" w:rsidR="007947FD">
        <w:t>s guilt.’</w:t>
      </w:r>
      <w:r w:rsidRPr="00D662C3" w:rsidR="002A4D67">
        <w:t> </w:t>
      </w:r>
      <w:r w:rsidRPr="00D662C3" w:rsidR="007947FD">
        <w:t>” (</w:t>
      </w:r>
      <w:r w:rsidRPr="00D662C3" w:rsidR="007947FD">
        <w:rPr>
          <w:i/>
          <w:iCs/>
        </w:rPr>
        <w:t>People v. Valdez</w:t>
      </w:r>
      <w:r w:rsidRPr="00D662C3" w:rsidR="007947FD">
        <w:t xml:space="preserve"> (2012) 55 Cal.4th 82, 133.)  Our courts have acknowledged that “[a] limiting instruction can ameliorate section 352 prejudice by eliminating the danger the jury could consider the evidence for an improper purpose.”  (</w:t>
      </w:r>
      <w:r w:rsidRPr="00D662C3" w:rsidR="007947FD">
        <w:rPr>
          <w:i/>
          <w:iCs/>
        </w:rPr>
        <w:t>People v. Hendrix</w:t>
      </w:r>
      <w:r w:rsidRPr="00D662C3" w:rsidR="007947FD">
        <w:t xml:space="preserve"> (2013) 214 Cal.App.4th 216, 247</w:t>
      </w:r>
      <w:r w:rsidRPr="00D662C3" w:rsidR="00657F05">
        <w:t xml:space="preserve">; </w:t>
      </w:r>
      <w:r w:rsidRPr="00D662C3" w:rsidR="00FD018F">
        <w:t xml:space="preserve">see </w:t>
      </w:r>
      <w:r w:rsidRPr="00D662C3" w:rsidR="00657F05">
        <w:rPr>
          <w:i/>
          <w:iCs/>
        </w:rPr>
        <w:t>People v. Coffman and Marlow</w:t>
      </w:r>
      <w:r w:rsidRPr="00D662C3" w:rsidR="00657F05">
        <w:t xml:space="preserve"> (2004) 34 Cal.4th 1, 83 [juries are presumed to follow the trial court</w:t>
      </w:r>
      <w:r w:rsidRPr="00D662C3" w:rsidR="007501DE">
        <w:t>’</w:t>
      </w:r>
      <w:r w:rsidRPr="00D662C3" w:rsidR="00657F05">
        <w:t xml:space="preserve">s instructions].)  </w:t>
      </w:r>
    </w:p>
    <w:p w:rsidR="007947FD" w:rsidRPr="00D662C3" w:rsidP="004F5DF7">
      <w:pPr>
        <w:tabs>
          <w:tab w:val="left" w:pos="1440"/>
        </w:tabs>
        <w:ind w:firstLine="720"/>
      </w:pPr>
      <w:r w:rsidRPr="00D662C3">
        <w:t xml:space="preserve">In this case, the trial court acknowledged it would </w:t>
      </w:r>
      <w:r w:rsidRPr="00D662C3" w:rsidR="00300D4C">
        <w:t>provide a</w:t>
      </w:r>
      <w:r w:rsidRPr="00D662C3" w:rsidR="00A10120">
        <w:t xml:space="preserve"> </w:t>
      </w:r>
      <w:r w:rsidRPr="00D662C3" w:rsidR="00300D4C">
        <w:t>limiting instruction directing the jury that</w:t>
      </w:r>
      <w:r w:rsidRPr="00D662C3">
        <w:t xml:space="preserve"> evidence of other crimes was</w:t>
      </w:r>
      <w:r w:rsidRPr="00D662C3" w:rsidR="00300D4C">
        <w:t xml:space="preserve"> not relevant for bad character or predisposition. </w:t>
      </w:r>
      <w:r w:rsidRPr="00D662C3" w:rsidR="00657F05">
        <w:t xml:space="preserve"> Moreover, </w:t>
      </w:r>
      <w:r w:rsidRPr="00D662C3">
        <w:t xml:space="preserve">the “other crime” referenced </w:t>
      </w:r>
      <w:r w:rsidRPr="00D662C3" w:rsidR="00657F05">
        <w:t xml:space="preserve">in the video clip </w:t>
      </w:r>
      <w:r w:rsidRPr="00D662C3">
        <w:t xml:space="preserve">was far less </w:t>
      </w:r>
      <w:r w:rsidRPr="00D662C3" w:rsidR="000D2658">
        <w:t>inflammatory</w:t>
      </w:r>
      <w:r w:rsidRPr="00D662C3">
        <w:t xml:space="preserve"> than the murder Gonzalez was being </w:t>
      </w:r>
      <w:r w:rsidRPr="00D662C3" w:rsidR="00A10120">
        <w:t xml:space="preserve">tried </w:t>
      </w:r>
      <w:r w:rsidRPr="00D662C3">
        <w:t>for</w:t>
      </w:r>
      <w:r w:rsidRPr="00D662C3" w:rsidR="00657F05">
        <w:t>; indeed, Gonzalez’s</w:t>
      </w:r>
      <w:r w:rsidRPr="00D662C3" w:rsidR="00A10120">
        <w:t xml:space="preserve"> </w:t>
      </w:r>
      <w:r w:rsidRPr="00D662C3" w:rsidR="005E4A15">
        <w:t xml:space="preserve">videotaped </w:t>
      </w:r>
      <w:r w:rsidRPr="00D662C3" w:rsidR="00A10120">
        <w:t>statements d</w:t>
      </w:r>
      <w:r w:rsidRPr="00D662C3" w:rsidR="00657F05">
        <w:t>escri</w:t>
      </w:r>
      <w:r w:rsidRPr="00D662C3" w:rsidR="00A10120">
        <w:t xml:space="preserve">bed </w:t>
      </w:r>
      <w:r w:rsidRPr="00D662C3" w:rsidR="00657F05">
        <w:t xml:space="preserve">the </w:t>
      </w:r>
      <w:r w:rsidR="00716C11">
        <w:t>incident involving the Mercedes</w:t>
      </w:r>
      <w:r w:rsidRPr="00D662C3" w:rsidR="00657F05">
        <w:t xml:space="preserve"> </w:t>
      </w:r>
      <w:r w:rsidRPr="00D662C3" w:rsidR="00A10120">
        <w:t>as merely</w:t>
      </w:r>
      <w:r w:rsidRPr="00D662C3" w:rsidR="00657F05">
        <w:t xml:space="preserve"> </w:t>
      </w:r>
      <w:r w:rsidRPr="00D662C3">
        <w:t xml:space="preserve">taking someone </w:t>
      </w:r>
      <w:r w:rsidRPr="00D662C3" w:rsidR="00657F05">
        <w:t>“</w:t>
      </w:r>
      <w:r w:rsidRPr="00D662C3">
        <w:t>for a little ride.</w:t>
      </w:r>
      <w:r w:rsidRPr="00D662C3" w:rsidR="00657F05">
        <w:t>”</w:t>
      </w:r>
      <w:r w:rsidRPr="00D662C3">
        <w:t xml:space="preserve"> </w:t>
      </w:r>
      <w:r w:rsidRPr="00D662C3" w:rsidR="00657F05">
        <w:t xml:space="preserve"> </w:t>
      </w:r>
      <w:r w:rsidRPr="00D662C3" w:rsidR="000D2658">
        <w:t xml:space="preserve">(See </w:t>
      </w:r>
      <w:r w:rsidRPr="00D662C3" w:rsidR="000D2658">
        <w:rPr>
          <w:i/>
          <w:iCs/>
        </w:rPr>
        <w:t>People v. Case</w:t>
      </w:r>
      <w:r w:rsidRPr="00D662C3" w:rsidR="000D2658">
        <w:t xml:space="preserve"> (2018) 5 Cal.5th 1, 41 [“The danger of undue prejudice is . . . lessened if evidence of the uncharged acts was ‘no more inflammatory than the testimony concerning the charged offenses’ ”].)  Gonzalez, in turn, has provided no </w:t>
      </w:r>
      <w:r w:rsidRPr="00D662C3" w:rsidR="00BE54D7">
        <w:t xml:space="preserve">explanation </w:t>
      </w:r>
      <w:r w:rsidRPr="00D662C3" w:rsidR="000D2658">
        <w:t>why the probative value of this other crimes evidence was substantially outweighed by the probability that it would create a substantial danger of undue prejudice.  Instead, he merely states in conclusory fashion that</w:t>
      </w:r>
      <w:r w:rsidRPr="00D662C3" w:rsidR="00F852CA">
        <w:t xml:space="preserve"> the other crimes evidence would </w:t>
      </w:r>
      <w:r w:rsidRPr="00D662C3" w:rsidR="007501DE">
        <w:t>be more prejudicial than probative</w:t>
      </w:r>
      <w:r w:rsidRPr="00D662C3" w:rsidR="00F852CA">
        <w:t xml:space="preserve">.  (Cf. </w:t>
      </w:r>
      <w:r w:rsidRPr="00D662C3" w:rsidR="00F852CA">
        <w:rPr>
          <w:i/>
          <w:iCs/>
        </w:rPr>
        <w:t>Bryant,</w:t>
      </w:r>
      <w:r w:rsidRPr="00D662C3" w:rsidR="00741821">
        <w:rPr>
          <w:i/>
          <w:iCs/>
        </w:rPr>
        <w:t xml:space="preserve"> supra,</w:t>
      </w:r>
      <w:r w:rsidRPr="00D662C3" w:rsidR="00F852CA">
        <w:t xml:space="preserve"> 60 Cal.4th </w:t>
      </w:r>
      <w:r w:rsidRPr="00D662C3" w:rsidR="00741821">
        <w:t xml:space="preserve">at p. </w:t>
      </w:r>
      <w:r w:rsidRPr="00D662C3" w:rsidR="00F852CA">
        <w:t>382 [“reject[ing] . . . conclusory</w:t>
      </w:r>
      <w:r w:rsidRPr="00D662C3" w:rsidR="007501DE">
        <w:t xml:space="preserve">” arguments raised in defendant’s brief]; </w:t>
      </w:r>
      <w:r w:rsidRPr="00D662C3" w:rsidR="007501DE">
        <w:rPr>
          <w:i/>
          <w:iCs/>
        </w:rPr>
        <w:t>People v. Sanghera</w:t>
      </w:r>
      <w:r w:rsidRPr="00D662C3" w:rsidR="007501DE">
        <w:t xml:space="preserve"> (2006) 139 Cal.App.4th 1567, 1573 [“Perhaps the most fundamental rule of appellate law is that the judgment challenged on appeal is presumed correct, and it is the appellant’s burden to affirmatively demonstrate error”].) </w:t>
      </w:r>
      <w:r w:rsidRPr="00D662C3" w:rsidR="00F852CA">
        <w:t xml:space="preserve"> For all those reasons, </w:t>
      </w:r>
      <w:r w:rsidRPr="00D662C3" w:rsidR="007501DE">
        <w:t xml:space="preserve">Gonzalez has failed to establish </w:t>
      </w:r>
      <w:r w:rsidRPr="00D662C3" w:rsidR="00F852CA">
        <w:t xml:space="preserve">the trial court abused its discretion </w:t>
      </w:r>
      <w:r w:rsidRPr="00D662C3">
        <w:t xml:space="preserve">in </w:t>
      </w:r>
      <w:r w:rsidRPr="00D662C3" w:rsidR="00BE54D7">
        <w:t>admitting the clip</w:t>
      </w:r>
      <w:r w:rsidRPr="00D662C3">
        <w:t xml:space="preserve">. </w:t>
      </w:r>
    </w:p>
    <w:p w:rsidR="00FE2E9F" w:rsidRPr="00D662C3" w:rsidP="00FE2E9F">
      <w:pPr>
        <w:pStyle w:val="ListParagraph"/>
        <w:numPr>
          <w:ilvl w:val="0"/>
          <w:numId w:val="7"/>
        </w:numPr>
      </w:pPr>
      <w:bookmarkStart w:id="35" w:name="_Hlk85637877"/>
      <w:bookmarkStart w:id="36" w:name="_Hlk85637424"/>
      <w:r w:rsidRPr="00D662C3">
        <w:rPr>
          <w:i/>
          <w:iCs/>
        </w:rPr>
        <w:t xml:space="preserve">Gonzalez has failed to establish any error regarding the admission of </w:t>
      </w:r>
      <w:r w:rsidRPr="00D662C3">
        <w:rPr>
          <w:i/>
          <w:iCs/>
        </w:rPr>
        <w:t xml:space="preserve">oral testimony describing </w:t>
      </w:r>
      <w:r w:rsidRPr="00D662C3">
        <w:rPr>
          <w:i/>
          <w:iCs/>
        </w:rPr>
        <w:t xml:space="preserve">the </w:t>
      </w:r>
      <w:r w:rsidRPr="00D662C3">
        <w:rPr>
          <w:i/>
          <w:iCs/>
        </w:rPr>
        <w:t xml:space="preserve">conversations depicted in </w:t>
      </w:r>
      <w:r w:rsidRPr="00D662C3">
        <w:rPr>
          <w:i/>
          <w:iCs/>
        </w:rPr>
        <w:t xml:space="preserve">the </w:t>
      </w:r>
      <w:r w:rsidRPr="00D662C3">
        <w:rPr>
          <w:i/>
          <w:iCs/>
        </w:rPr>
        <w:t xml:space="preserve">video clips </w:t>
      </w:r>
      <w:bookmarkEnd w:id="35"/>
    </w:p>
    <w:p w:rsidR="00EE5336" w:rsidRPr="00D662C3" w:rsidP="004F5DF7">
      <w:pPr>
        <w:tabs>
          <w:tab w:val="left" w:pos="1440"/>
        </w:tabs>
        <w:ind w:firstLine="720"/>
      </w:pPr>
      <w:bookmarkEnd w:id="36"/>
      <w:r w:rsidRPr="00D662C3">
        <w:t>Gonzalez argues the trial court erred</w:t>
      </w:r>
      <w:r w:rsidRPr="00D662C3" w:rsidR="006615F8">
        <w:t xml:space="preserve"> when it allowed </w:t>
      </w:r>
      <w:r w:rsidRPr="00D662C3" w:rsidR="007501DE">
        <w:t xml:space="preserve">several of the </w:t>
      </w:r>
      <w:r w:rsidRPr="00D662C3" w:rsidR="00B57DBD">
        <w:t>detectives</w:t>
      </w:r>
      <w:r w:rsidRPr="00D662C3" w:rsidR="00374F70">
        <w:t xml:space="preserve"> </w:t>
      </w:r>
      <w:r w:rsidRPr="00D662C3" w:rsidR="006615F8">
        <w:t xml:space="preserve">who </w:t>
      </w:r>
      <w:r w:rsidRPr="00D662C3" w:rsidR="00FE7AEE">
        <w:t xml:space="preserve">participated in the undercover operation to </w:t>
      </w:r>
      <w:r w:rsidRPr="00D662C3" w:rsidR="006615F8">
        <w:t>testify about the</w:t>
      </w:r>
      <w:r w:rsidRPr="00D662C3" w:rsidR="00374F70">
        <w:t xml:space="preserve"> conversations depicted </w:t>
      </w:r>
      <w:r w:rsidRPr="00D662C3" w:rsidR="006615F8">
        <w:t>in the video</w:t>
      </w:r>
      <w:r w:rsidRPr="00D662C3" w:rsidR="00FE7AEE">
        <w:t xml:space="preserve"> clip</w:t>
      </w:r>
      <w:r w:rsidRPr="00D662C3" w:rsidR="006615F8">
        <w:t>s</w:t>
      </w:r>
      <w:r w:rsidRPr="00D662C3">
        <w:t xml:space="preserve"> that were shown to the jury</w:t>
      </w:r>
      <w:r w:rsidRPr="00D662C3">
        <w:t xml:space="preserve">.  </w:t>
      </w:r>
      <w:r w:rsidRPr="00D662C3" w:rsidR="00B57DBD">
        <w:t>The testimony was intended to</w:t>
      </w:r>
      <w:r w:rsidRPr="00D662C3" w:rsidR="00FE7AEE">
        <w:t xml:space="preserve"> </w:t>
      </w:r>
      <w:r w:rsidRPr="00D662C3" w:rsidR="00B57DBD">
        <w:t>provide context about how the conversations arose, clarify what was being discussed</w:t>
      </w:r>
      <w:r w:rsidRPr="00D662C3" w:rsidR="007501DE">
        <w:t xml:space="preserve">, </w:t>
      </w:r>
      <w:r w:rsidRPr="00D662C3" w:rsidR="00FE7AEE">
        <w:t xml:space="preserve">and </w:t>
      </w:r>
      <w:r w:rsidRPr="00D662C3" w:rsidR="00B57DBD">
        <w:t xml:space="preserve">explain the meaning of </w:t>
      </w:r>
      <w:r w:rsidRPr="00D662C3" w:rsidR="00FE7AEE">
        <w:t>certain slang terms.</w:t>
      </w:r>
      <w:r w:rsidRPr="00D662C3" w:rsidR="00E30979">
        <w:t xml:space="preserve"> </w:t>
      </w:r>
      <w:bookmarkStart w:id="37" w:name="_Hlk85636822"/>
      <w:r w:rsidRPr="00D662C3" w:rsidR="00D268A2">
        <w:t xml:space="preserve"> </w:t>
      </w:r>
      <w:r w:rsidRPr="00D662C3">
        <w:t>As one example</w:t>
      </w:r>
      <w:bookmarkEnd w:id="37"/>
      <w:r w:rsidRPr="00D662C3">
        <w:t xml:space="preserve">, </w:t>
      </w:r>
      <w:bookmarkStart w:id="38" w:name="_Hlk85636836"/>
      <w:r w:rsidRPr="00D662C3">
        <w:t xml:space="preserve">the prosecution asked a testifying detective to identify who he understood Gonzalez to be talking about in a video clip where </w:t>
      </w:r>
      <w:r w:rsidRPr="00D662C3" w:rsidR="00435364">
        <w:t>Gonzalez</w:t>
      </w:r>
      <w:r w:rsidRPr="00D662C3">
        <w:t xml:space="preserve"> references “the </w:t>
      </w:r>
      <w:r w:rsidRPr="00D662C3" w:rsidR="009B684E">
        <w:t>W</w:t>
      </w:r>
      <w:r w:rsidRPr="00D662C3">
        <w:t>hite boy.”</w:t>
      </w:r>
      <w:r w:rsidRPr="00D662C3" w:rsidR="00435364">
        <w:t xml:space="preserve"> </w:t>
      </w:r>
      <w:bookmarkEnd w:id="38"/>
      <w:r w:rsidRPr="00D662C3">
        <w:t xml:space="preserve"> The detective </w:t>
      </w:r>
      <w:r w:rsidRPr="00D662C3" w:rsidR="00435364">
        <w:t xml:space="preserve">testified </w:t>
      </w:r>
      <w:r w:rsidRPr="00D662C3">
        <w:t xml:space="preserve">that Gonzalez was referring to Flint and then explained </w:t>
      </w:r>
      <w:r w:rsidRPr="00D662C3" w:rsidR="00DC554C">
        <w:t>his</w:t>
      </w:r>
      <w:r w:rsidRPr="00D662C3">
        <w:t xml:space="preserve"> basis for that belief.  In another exchange, a detective was asked what he was referring </w:t>
      </w:r>
      <w:r w:rsidRPr="00D662C3" w:rsidR="00435364">
        <w:t>to i</w:t>
      </w:r>
      <w:bookmarkStart w:id="39" w:name="_Hlk85637659"/>
      <w:r w:rsidRPr="00D662C3" w:rsidR="00435364">
        <w:t>n a portion of a video where the detective was heard saying</w:t>
      </w:r>
      <w:bookmarkEnd w:id="39"/>
      <w:r w:rsidRPr="00D662C3" w:rsidR="00435364">
        <w:t xml:space="preserve">, </w:t>
      </w:r>
      <w:r w:rsidRPr="00D662C3">
        <w:t xml:space="preserve">“it’s got to come out sooner or later.” </w:t>
      </w:r>
      <w:r w:rsidRPr="00D662C3" w:rsidR="00A11B3F">
        <w:t xml:space="preserve"> </w:t>
      </w:r>
      <w:r w:rsidRPr="00D662C3">
        <w:t>The detective responded</w:t>
      </w:r>
      <w:r w:rsidRPr="00D662C3" w:rsidR="00435364">
        <w:t xml:space="preserve"> that he was referring to</w:t>
      </w:r>
      <w:r w:rsidRPr="00D662C3">
        <w:t xml:space="preserve"> “the murder of Rosa</w:t>
      </w:r>
      <w:r w:rsidRPr="00D662C3" w:rsidR="00435364">
        <w:t>,</w:t>
      </w:r>
      <w:r w:rsidRPr="00D662C3">
        <w:t xml:space="preserve">” </w:t>
      </w:r>
      <w:r w:rsidRPr="00D662C3" w:rsidR="00435364">
        <w:t xml:space="preserve">and </w:t>
      </w:r>
      <w:r w:rsidRPr="00D662C3">
        <w:t>then explained that he had been talking about that subject with Gonzalez for the entire day.</w:t>
      </w:r>
      <w:r w:rsidRPr="00D662C3" w:rsidR="003C7AA7">
        <w:t xml:space="preserve">   The detectives also explained the meaning of certain slang terms like “hooda” (</w:t>
      </w:r>
      <w:bookmarkStart w:id="40" w:name="_Hlk85637761"/>
      <w:r w:rsidRPr="00D662C3" w:rsidR="003C7AA7">
        <w:t xml:space="preserve">a police officer (see </w:t>
      </w:r>
      <w:r w:rsidRPr="00D662C3" w:rsidR="003C7AA7">
        <w:rPr>
          <w:i/>
          <w:iCs/>
        </w:rPr>
        <w:t>ante</w:t>
      </w:r>
      <w:r w:rsidRPr="00D662C3" w:rsidR="003C7AA7">
        <w:t xml:space="preserve">, at p. </w:t>
      </w:r>
      <w:r w:rsidR="001F0D22">
        <w:t>5</w:t>
      </w:r>
      <w:r w:rsidRPr="00D662C3" w:rsidR="003C7AA7">
        <w:t xml:space="preserve">))  </w:t>
      </w:r>
      <w:bookmarkEnd w:id="40"/>
      <w:r w:rsidRPr="00D662C3" w:rsidR="003C7AA7">
        <w:t>and “cappa” (</w:t>
      </w:r>
      <w:bookmarkStart w:id="41" w:name="_Hlk85637779"/>
      <w:r w:rsidRPr="00D662C3" w:rsidR="003C7AA7">
        <w:t xml:space="preserve">a </w:t>
      </w:r>
      <w:r w:rsidRPr="00D662C3" w:rsidR="003C7AA7">
        <w:rPr>
          <w:szCs w:val="26"/>
        </w:rPr>
        <w:t>person who has committed a crime that would subject him to capital punishment (</w:t>
      </w:r>
      <w:r w:rsidRPr="00D662C3" w:rsidR="00A11B3F">
        <w:rPr>
          <w:i/>
          <w:iCs/>
          <w:szCs w:val="26"/>
        </w:rPr>
        <w:t>ibid.</w:t>
      </w:r>
      <w:r w:rsidRPr="00D662C3" w:rsidR="003C7AA7">
        <w:rPr>
          <w:szCs w:val="26"/>
        </w:rPr>
        <w:t>)</w:t>
      </w:r>
      <w:r w:rsidRPr="00D662C3" w:rsidR="00DC554C">
        <w:rPr>
          <w:szCs w:val="26"/>
        </w:rPr>
        <w:t>)</w:t>
      </w:r>
      <w:r w:rsidRPr="00D662C3" w:rsidR="003C7AA7">
        <w:rPr>
          <w:szCs w:val="26"/>
        </w:rPr>
        <w:t>.</w:t>
      </w:r>
      <w:bookmarkEnd w:id="41"/>
    </w:p>
    <w:p w:rsidR="002B6397" w:rsidRPr="00D662C3" w:rsidP="004F5DF7">
      <w:pPr>
        <w:tabs>
          <w:tab w:val="left" w:pos="1440"/>
        </w:tabs>
        <w:ind w:firstLine="720"/>
      </w:pPr>
      <w:r w:rsidRPr="00D662C3">
        <w:t xml:space="preserve">Gonzalez </w:t>
      </w:r>
      <w:r w:rsidRPr="00D662C3" w:rsidR="00435364">
        <w:t xml:space="preserve">initially </w:t>
      </w:r>
      <w:r w:rsidRPr="00D662C3" w:rsidR="00B57DBD">
        <w:t>contends</w:t>
      </w:r>
      <w:r w:rsidRPr="00D662C3">
        <w:t xml:space="preserve"> </w:t>
      </w:r>
      <w:r w:rsidRPr="00D662C3" w:rsidR="00B600D8">
        <w:t xml:space="preserve">that </w:t>
      </w:r>
      <w:r w:rsidRPr="00D662C3">
        <w:t xml:space="preserve">the </w:t>
      </w:r>
      <w:r w:rsidRPr="00D662C3" w:rsidR="00EE5336">
        <w:t xml:space="preserve">detectives’ </w:t>
      </w:r>
      <w:r w:rsidRPr="00D662C3" w:rsidR="00F557CA">
        <w:t xml:space="preserve">testimony </w:t>
      </w:r>
      <w:r w:rsidRPr="00D662C3">
        <w:t>violated</w:t>
      </w:r>
      <w:r w:rsidRPr="00D662C3" w:rsidR="00374F70">
        <w:t xml:space="preserve"> </w:t>
      </w:r>
      <w:r w:rsidRPr="00D662C3" w:rsidR="002117E0">
        <w:t>the “</w:t>
      </w:r>
      <w:r w:rsidRPr="00D662C3" w:rsidR="00F557CA">
        <w:t xml:space="preserve">secondary evidence </w:t>
      </w:r>
      <w:r w:rsidRPr="00D662C3" w:rsidR="002117E0">
        <w:t>rule</w:t>
      </w:r>
      <w:r w:rsidRPr="00D662C3" w:rsidR="00F557CA">
        <w:t>”</w:t>
      </w:r>
      <w:r w:rsidRPr="00D662C3">
        <w:t xml:space="preserve"> </w:t>
      </w:r>
      <w:r w:rsidRPr="00D662C3" w:rsidR="00F557CA">
        <w:t>(</w:t>
      </w:r>
      <w:r w:rsidRPr="00D662C3" w:rsidR="00F557CA">
        <w:rPr>
          <w:i/>
          <w:iCs/>
        </w:rPr>
        <w:t>People v. Goldsmith</w:t>
      </w:r>
      <w:r w:rsidRPr="00D662C3" w:rsidR="00F557CA">
        <w:t xml:space="preserve"> (2014) 59 Cal.4th 258, 269</w:t>
      </w:r>
      <w:r w:rsidRPr="00D662C3" w:rsidR="007501DE">
        <w:t>), which</w:t>
      </w:r>
      <w:r w:rsidRPr="00D662C3" w:rsidR="00435364">
        <w:t xml:space="preserve"> generally </w:t>
      </w:r>
      <w:r w:rsidRPr="00D662C3" w:rsidR="007501DE">
        <w:t xml:space="preserve">prohibits the admission of oral testimony to prove the content of writings.  (See </w:t>
      </w:r>
      <w:r w:rsidRPr="00D662C3">
        <w:t xml:space="preserve">Evid. Code, §§ 1521, 1523; </w:t>
      </w:r>
      <w:bookmarkStart w:id="42" w:name="_Hlk86235242"/>
      <w:r w:rsidRPr="00D662C3">
        <w:rPr>
          <w:i/>
          <w:iCs/>
        </w:rPr>
        <w:t>People v. Panah</w:t>
      </w:r>
      <w:r w:rsidRPr="00D662C3">
        <w:t xml:space="preserve"> (2005) 35 Cal.4th 395, 475</w:t>
      </w:r>
      <w:r w:rsidRPr="00D662C3" w:rsidR="00F709D9">
        <w:t xml:space="preserve"> (</w:t>
      </w:r>
      <w:r w:rsidRPr="00D662C3" w:rsidR="00F709D9">
        <w:rPr>
          <w:i/>
          <w:iCs/>
        </w:rPr>
        <w:t>Panah</w:t>
      </w:r>
      <w:r w:rsidRPr="00D662C3" w:rsidR="00F709D9">
        <w:t>)</w:t>
      </w:r>
      <w:r w:rsidRPr="00D662C3">
        <w:t xml:space="preserve"> </w:t>
      </w:r>
      <w:bookmarkEnd w:id="42"/>
      <w:r w:rsidRPr="00D662C3">
        <w:t>[</w:t>
      </w:r>
      <w:r w:rsidRPr="00D662C3" w:rsidR="00435364">
        <w:t xml:space="preserve">a </w:t>
      </w:r>
      <w:r w:rsidRPr="00D662C3">
        <w:t xml:space="preserve">videotape is </w:t>
      </w:r>
      <w:r w:rsidRPr="00D662C3" w:rsidR="00435364">
        <w:t xml:space="preserve">a </w:t>
      </w:r>
      <w:r w:rsidRPr="00D662C3">
        <w:t>writing for purposes of</w:t>
      </w:r>
      <w:r w:rsidRPr="00D662C3" w:rsidR="00435364">
        <w:t xml:space="preserve"> the</w:t>
      </w:r>
      <w:r w:rsidRPr="00D662C3">
        <w:t xml:space="preserve"> </w:t>
      </w:r>
      <w:r w:rsidRPr="00D662C3" w:rsidR="00F557CA">
        <w:t>secondary evidence</w:t>
      </w:r>
      <w:r w:rsidRPr="00D662C3">
        <w:t xml:space="preserve"> rules].)</w:t>
      </w:r>
      <w:r w:rsidRPr="00D662C3">
        <w:t xml:space="preserve">  </w:t>
      </w:r>
      <w:r w:rsidRPr="00D662C3" w:rsidR="00435364">
        <w:t xml:space="preserve">We disagree.  </w:t>
      </w:r>
    </w:p>
    <w:p w:rsidR="00963114" w:rsidRPr="00D662C3" w:rsidP="004F5DF7">
      <w:pPr>
        <w:tabs>
          <w:tab w:val="left" w:pos="1440"/>
        </w:tabs>
        <w:ind w:firstLine="720"/>
      </w:pPr>
      <w:r w:rsidRPr="00D662C3">
        <w:t>First, i</w:t>
      </w:r>
      <w:r w:rsidRPr="00D662C3" w:rsidR="00B57DBD">
        <w:t xml:space="preserve">t is undisputed that </w:t>
      </w:r>
      <w:r w:rsidRPr="00D662C3" w:rsidR="00C65060">
        <w:t xml:space="preserve">the jury was shown </w:t>
      </w:r>
      <w:r w:rsidRPr="00D662C3" w:rsidR="00435364">
        <w:t>the</w:t>
      </w:r>
      <w:r w:rsidRPr="00D662C3" w:rsidR="00C65060">
        <w:t xml:space="preserve"> writing</w:t>
      </w:r>
      <w:r w:rsidRPr="00D662C3" w:rsidR="00435364">
        <w:t>s in question</w:t>
      </w:r>
      <w:r w:rsidRPr="00D662C3" w:rsidR="00C65060">
        <w:t xml:space="preserve"> (in this case video</w:t>
      </w:r>
      <w:r w:rsidRPr="00D662C3" w:rsidR="00435364">
        <w:t>s</w:t>
      </w:r>
      <w:r w:rsidRPr="00D662C3" w:rsidR="00C65060">
        <w:t>)</w:t>
      </w:r>
      <w:r w:rsidRPr="00D662C3" w:rsidR="00435364">
        <w:t>,</w:t>
      </w:r>
      <w:r w:rsidRPr="00D662C3" w:rsidR="00C65060">
        <w:t xml:space="preserve"> and Gonzalez</w:t>
      </w:r>
      <w:r w:rsidRPr="00D662C3" w:rsidR="005F2F2E">
        <w:t xml:space="preserve"> has </w:t>
      </w:r>
      <w:r w:rsidRPr="00D662C3" w:rsidR="00435364">
        <w:t xml:space="preserve">cited </w:t>
      </w:r>
      <w:r w:rsidRPr="00D662C3" w:rsidR="00F557CA">
        <w:t xml:space="preserve">no </w:t>
      </w:r>
      <w:r w:rsidRPr="00D662C3" w:rsidR="005F2F2E">
        <w:t xml:space="preserve">case in which the secondary evidence rule was applied </w:t>
      </w:r>
      <w:r w:rsidRPr="00D662C3" w:rsidR="00B57DBD">
        <w:t xml:space="preserve">when </w:t>
      </w:r>
      <w:r w:rsidRPr="00D662C3" w:rsidR="005F2F2E">
        <w:t>the writing itself was admitted into evidenc</w:t>
      </w:r>
      <w:r w:rsidRPr="00D662C3" w:rsidR="00C65060">
        <w:t xml:space="preserve">e.  </w:t>
      </w:r>
      <w:r w:rsidRPr="00D662C3" w:rsidR="00F709D9">
        <w:t xml:space="preserve">(See </w:t>
      </w:r>
      <w:r w:rsidRPr="00D662C3" w:rsidR="00F709D9">
        <w:rPr>
          <w:i/>
          <w:iCs/>
        </w:rPr>
        <w:t>Panah</w:t>
      </w:r>
      <w:r w:rsidRPr="00D662C3" w:rsidR="00F709D9">
        <w:t xml:space="preserve">, </w:t>
      </w:r>
      <w:r w:rsidRPr="00D662C3" w:rsidR="00F709D9">
        <w:rPr>
          <w:i/>
          <w:iCs/>
        </w:rPr>
        <w:t>supra</w:t>
      </w:r>
      <w:r w:rsidRPr="00D662C3" w:rsidR="00F709D9">
        <w:t>, 35 Cal.4th at p. 475 [“The purpose of the best evidence rule is ‘to minimize the possibilities of misinterpretation of writings by requiring the production of the original writings themselves, if available’</w:t>
      </w:r>
      <w:r w:rsidRPr="00D662C3" w:rsidR="009846E4">
        <w:t> </w:t>
      </w:r>
      <w:r w:rsidRPr="00D662C3" w:rsidR="00F709D9">
        <w:t>”]</w:t>
      </w:r>
      <w:r w:rsidRPr="00D662C3" w:rsidR="00B84D09">
        <w:t xml:space="preserve">; </w:t>
      </w:r>
      <w:r w:rsidRPr="00D662C3" w:rsidR="00B84D09">
        <w:rPr>
          <w:i/>
          <w:iCs/>
        </w:rPr>
        <w:t>People v. Son</w:t>
      </w:r>
      <w:r w:rsidRPr="00D662C3" w:rsidR="00B84D09">
        <w:t xml:space="preserve"> (2020) 5</w:t>
      </w:r>
      <w:r w:rsidRPr="00D662C3" w:rsidR="009846E4">
        <w:t>6</w:t>
      </w:r>
      <w:r w:rsidRPr="00D662C3" w:rsidR="00B84D09">
        <w:t xml:space="preserve"> Cal.App.5th </w:t>
      </w:r>
      <w:r w:rsidRPr="00D662C3" w:rsidR="009846E4">
        <w:t>689</w:t>
      </w:r>
      <w:r w:rsidRPr="00D662C3" w:rsidR="00B84D09">
        <w:t xml:space="preserve">, </w:t>
      </w:r>
      <w:r w:rsidRPr="00D662C3" w:rsidR="009846E4">
        <w:t>696</w:t>
      </w:r>
      <w:r w:rsidRPr="00D662C3" w:rsidR="00B84D09">
        <w:t xml:space="preserve"> [“Defendant has not pointed to any case in which the secondary evidence rule was applied even though the writing itself was admitted into evidence, nor are we aware of any such case”].) </w:t>
      </w:r>
      <w:r w:rsidRPr="00D662C3" w:rsidR="001F3FB5">
        <w:t xml:space="preserve"> </w:t>
      </w:r>
      <w:r w:rsidRPr="00D662C3" w:rsidR="00C65060">
        <w:t xml:space="preserve">Second, </w:t>
      </w:r>
      <w:r w:rsidRPr="00D662C3" w:rsidR="00F557CA">
        <w:t xml:space="preserve">as the trial court observed, </w:t>
      </w:r>
      <w:r w:rsidRPr="00D662C3" w:rsidR="00C65060">
        <w:t>t</w:t>
      </w:r>
      <w:r w:rsidRPr="00D662C3" w:rsidR="005F2F2E">
        <w:t>he purpose of the detectives’ testimony was not to</w:t>
      </w:r>
      <w:r w:rsidRPr="00D662C3" w:rsidR="009A61BF">
        <w:t xml:space="preserve"> prove the actual words that were said</w:t>
      </w:r>
      <w:r w:rsidRPr="00D662C3" w:rsidR="005F2F2E">
        <w:t xml:space="preserve"> </w:t>
      </w:r>
      <w:r w:rsidRPr="00D662C3" w:rsidR="009A61BF">
        <w:t xml:space="preserve">in </w:t>
      </w:r>
      <w:r w:rsidRPr="00D662C3" w:rsidR="005F2F2E">
        <w:t xml:space="preserve">the video, but rather to </w:t>
      </w:r>
      <w:r w:rsidRPr="00D662C3" w:rsidR="007C39CC">
        <w:t xml:space="preserve">give </w:t>
      </w:r>
      <w:r w:rsidRPr="00D662C3" w:rsidR="00887388">
        <w:t xml:space="preserve">general </w:t>
      </w:r>
      <w:r w:rsidRPr="00D662C3" w:rsidR="00EC1A69">
        <w:t xml:space="preserve">context </w:t>
      </w:r>
      <w:r w:rsidRPr="00D662C3" w:rsidR="007C39CC">
        <w:t>as to the</w:t>
      </w:r>
      <w:r w:rsidRPr="00D662C3" w:rsidR="009A61BF">
        <w:t xml:space="preserve"> subject matter of the</w:t>
      </w:r>
      <w:r w:rsidRPr="00D662C3" w:rsidR="007C39CC">
        <w:t xml:space="preserve"> conversations that were depicted in the</w:t>
      </w:r>
      <w:r w:rsidRPr="00D662C3" w:rsidR="009A61BF">
        <w:t xml:space="preserve"> recording</w:t>
      </w:r>
      <w:r w:rsidRPr="00D662C3" w:rsidR="005F3F15">
        <w:t xml:space="preserve"> </w:t>
      </w:r>
      <w:r w:rsidRPr="00D662C3" w:rsidR="007C39CC">
        <w:t xml:space="preserve">and </w:t>
      </w:r>
      <w:r w:rsidRPr="00D662C3" w:rsidR="005F2F2E">
        <w:t xml:space="preserve">explain the meaning of </w:t>
      </w:r>
      <w:r w:rsidRPr="00D662C3" w:rsidR="009A61BF">
        <w:t xml:space="preserve">some of the </w:t>
      </w:r>
      <w:r w:rsidRPr="00D662C3" w:rsidR="007C39CC">
        <w:t xml:space="preserve">terms </w:t>
      </w:r>
      <w:r w:rsidRPr="00D662C3" w:rsidR="00446223">
        <w:t xml:space="preserve">the </w:t>
      </w:r>
      <w:r w:rsidRPr="00D662C3" w:rsidR="007C39CC">
        <w:t>speakers used</w:t>
      </w:r>
      <w:r w:rsidRPr="00D662C3" w:rsidR="005F2F2E">
        <w:t xml:space="preserve">.  (See </w:t>
      </w:r>
      <w:r w:rsidRPr="00D662C3" w:rsidR="00C65060">
        <w:rPr>
          <w:i/>
          <w:iCs/>
        </w:rPr>
        <w:t>Son</w:t>
      </w:r>
      <w:r w:rsidRPr="00D662C3" w:rsidR="00B84D09">
        <w:rPr>
          <w:i/>
          <w:iCs/>
        </w:rPr>
        <w:t xml:space="preserve">, </w:t>
      </w:r>
      <w:r w:rsidRPr="00D662C3" w:rsidR="00B84D09">
        <w:t xml:space="preserve">at p. </w:t>
      </w:r>
      <w:r w:rsidRPr="00D662C3" w:rsidR="00C65060">
        <w:t>1170 [</w:t>
      </w:r>
      <w:r w:rsidRPr="00D662C3" w:rsidR="00FB251C">
        <w:t>o</w:t>
      </w:r>
      <w:r w:rsidRPr="00D662C3" w:rsidR="00C65060">
        <w:t>fficer</w:t>
      </w:r>
      <w:r w:rsidRPr="00D662C3" w:rsidR="00FB251C">
        <w:t>’s testimony</w:t>
      </w:r>
      <w:r w:rsidRPr="00D662C3" w:rsidR="00C65060">
        <w:t xml:space="preserve"> “highlight[ing] important details” of a video </w:t>
      </w:r>
      <w:r w:rsidRPr="00D662C3" w:rsidR="00FB251C">
        <w:t xml:space="preserve">were not intended to prove the content of the writing and thus </w:t>
      </w:r>
      <w:r w:rsidRPr="00D662C3" w:rsidR="00C65060">
        <w:t>did not violate secondary evidence</w:t>
      </w:r>
      <w:r w:rsidRPr="00D662C3" w:rsidR="00B57DBD">
        <w:t xml:space="preserve"> rule</w:t>
      </w:r>
      <w:r w:rsidRPr="00D662C3" w:rsidR="00FB251C">
        <w:t>]</w:t>
      </w:r>
      <w:r w:rsidRPr="00D662C3" w:rsidR="00C65060">
        <w:t xml:space="preserve">.)  </w:t>
      </w:r>
    </w:p>
    <w:p w:rsidR="009C00A3" w:rsidRPr="00D662C3" w:rsidP="009C00A3">
      <w:pPr>
        <w:tabs>
          <w:tab w:val="left" w:pos="1440"/>
        </w:tabs>
        <w:ind w:firstLine="720"/>
      </w:pPr>
      <w:bookmarkStart w:id="43" w:name="_Hlk87977658"/>
      <w:r w:rsidRPr="00D662C3">
        <w:t xml:space="preserve">Gonzalez separately contends that even if the secondary evidence rule is inapplicable, </w:t>
      </w:r>
      <w:r w:rsidRPr="00E038F1" w:rsidR="00E038F1">
        <w:t xml:space="preserve">the detectives’ testimony describing the nature of the conversations </w:t>
      </w:r>
      <w:r w:rsidR="007A6CDA">
        <w:t>shown</w:t>
      </w:r>
      <w:r w:rsidRPr="00E038F1" w:rsidR="00E038F1">
        <w:t xml:space="preserve"> on the videos “served only to ‘invade the province of the jury,’ which was perfectly capable of drawing their own conclusion” about the subject matter of those conversations. </w:t>
      </w:r>
      <w:r w:rsidR="006C01B9">
        <w:t xml:space="preserve"> </w:t>
      </w:r>
      <w:r w:rsidR="007A6CDA">
        <w:t xml:space="preserve">Although </w:t>
      </w:r>
      <w:r w:rsidR="006C3A5B">
        <w:t>Gonzalez</w:t>
      </w:r>
      <w:r w:rsidR="006C01B9">
        <w:t xml:space="preserve"> has not identified </w:t>
      </w:r>
      <w:r w:rsidR="006C3A5B">
        <w:t xml:space="preserve">exactly which statements he </w:t>
      </w:r>
      <w:r w:rsidR="006C01B9">
        <w:t xml:space="preserve">believes should have been excluded, we understand his claim to challenge those </w:t>
      </w:r>
      <w:r w:rsidR="006C3A5B">
        <w:t>portions of the detectives’ testimony in which they conveyed what they underst</w:t>
      </w:r>
      <w:r w:rsidRPr="00E038F1" w:rsidR="00E038F1">
        <w:t xml:space="preserve">ood Gonzalez to be discussing </w:t>
      </w:r>
      <w:r w:rsidR="006C3A5B">
        <w:t xml:space="preserve">during </w:t>
      </w:r>
      <w:r w:rsidRPr="00E038F1" w:rsidR="00E038F1">
        <w:t xml:space="preserve">certain parts </w:t>
      </w:r>
      <w:r w:rsidR="006C01B9">
        <w:t xml:space="preserve">of </w:t>
      </w:r>
      <w:r w:rsidRPr="00E038F1" w:rsidR="00E038F1">
        <w:t>the video</w:t>
      </w:r>
      <w:bookmarkEnd w:id="43"/>
      <w:r w:rsidRPr="00E038F1" w:rsidR="00E038F1">
        <w:t>.</w:t>
      </w:r>
      <w:r>
        <w:rPr>
          <w:rStyle w:val="FootnoteReference"/>
        </w:rPr>
        <w:footnoteReference w:id="19"/>
      </w:r>
      <w:r w:rsidRPr="00E038F1" w:rsidR="006C01B9">
        <w:t xml:space="preserve"> </w:t>
      </w:r>
      <w:r w:rsidRPr="00D662C3">
        <w:t xml:space="preserve">  </w:t>
      </w:r>
    </w:p>
    <w:p w:rsidR="008D230F" w:rsidRPr="00D662C3" w:rsidP="00626906">
      <w:pPr>
        <w:tabs>
          <w:tab w:val="left" w:pos="1440"/>
        </w:tabs>
        <w:ind w:firstLine="720"/>
      </w:pPr>
      <w:r>
        <w:t xml:space="preserve">We will assume </w:t>
      </w:r>
      <w:r w:rsidRPr="00D662C3">
        <w:t>Gonzalez</w:t>
      </w:r>
      <w:r>
        <w:t xml:space="preserve"> has preserved th</w:t>
      </w:r>
      <w:r w:rsidR="006C01B9">
        <w:t xml:space="preserve">is </w:t>
      </w:r>
      <w:r>
        <w:t xml:space="preserve">claim and reject </w:t>
      </w:r>
      <w:r w:rsidR="00AB5986">
        <w:t xml:space="preserve">the argument </w:t>
      </w:r>
      <w:r>
        <w:t xml:space="preserve">on </w:t>
      </w:r>
      <w:r w:rsidR="00AB5986">
        <w:t>its</w:t>
      </w:r>
      <w:r>
        <w:t xml:space="preserve"> merits.</w:t>
      </w:r>
      <w:r>
        <w:rPr>
          <w:rStyle w:val="FootnoteReference"/>
        </w:rPr>
        <w:footnoteReference w:id="20"/>
      </w:r>
      <w:r w:rsidRPr="00E81E3B">
        <w:t xml:space="preserve">  “A lay witness may testify to an opinion if it is rationally based on the witness’s perception and if it is helpful to a clear understanding of his testimony.”  (</w:t>
      </w:r>
      <w:r w:rsidRPr="00E81E3B">
        <w:rPr>
          <w:i/>
          <w:iCs/>
        </w:rPr>
        <w:t>People v. Farnam</w:t>
      </w:r>
      <w:r w:rsidRPr="00E81E3B">
        <w:t xml:space="preserve"> (2002) 28 Cal.4th 107, 153</w:t>
      </w:r>
      <w:r w:rsidR="0060470D">
        <w:t xml:space="preserve">, </w:t>
      </w:r>
      <w:r w:rsidRPr="00E81E3B">
        <w:t>citing Evid</w:t>
      </w:r>
      <w:r w:rsidR="004E43DA">
        <w:t>.</w:t>
      </w:r>
      <w:r w:rsidRPr="00E81E3B">
        <w:t xml:space="preserve"> Cod</w:t>
      </w:r>
      <w:r w:rsidR="004E43DA">
        <w:t>e</w:t>
      </w:r>
      <w:r w:rsidRPr="00E81E3B">
        <w:t xml:space="preserve">, § 800.)  </w:t>
      </w:r>
      <w:r w:rsidR="002210D3">
        <w:t>“</w:t>
      </w:r>
      <w:r w:rsidRPr="00E81E3B">
        <w:t>A trial court’s ruling on the admission or exclusion of [such] evidence is reviewed for abuse of discretion.”   (</w:t>
      </w:r>
      <w:r w:rsidRPr="00247568">
        <w:rPr>
          <w:i/>
          <w:iCs/>
        </w:rPr>
        <w:t>People v. DeHoyos</w:t>
      </w:r>
      <w:r w:rsidRPr="00E81E3B">
        <w:t xml:space="preserve"> (2013) 57 Cal.4th 79, 131.)  </w:t>
      </w:r>
      <w:r w:rsidR="00AB5986">
        <w:t>T</w:t>
      </w:r>
      <w:r>
        <w:t>he</w:t>
      </w:r>
      <w:r w:rsidRPr="00E81E3B">
        <w:t xml:space="preserve"> detectives’ </w:t>
      </w:r>
      <w:r w:rsidR="00AB5986">
        <w:t xml:space="preserve">description of </w:t>
      </w:r>
      <w:r>
        <w:t xml:space="preserve">what they understood Gonzalez to be discussing </w:t>
      </w:r>
      <w:r w:rsidR="00AB5986">
        <w:t>was</w:t>
      </w:r>
      <w:r w:rsidR="00DB6ADD">
        <w:t xml:space="preserve"> based</w:t>
      </w:r>
      <w:r w:rsidR="00AB5986">
        <w:t xml:space="preserve"> on the </w:t>
      </w:r>
      <w:r>
        <w:t>prior conversations they had overheard in the holding cell</w:t>
      </w:r>
      <w:r w:rsidR="00AB5986">
        <w:t xml:space="preserve">.  Thus, the testimony </w:t>
      </w:r>
      <w:r w:rsidR="00DB6ADD">
        <w:t xml:space="preserve">was </w:t>
      </w:r>
      <w:r w:rsidR="00AB5986">
        <w:t>clearly pred</w:t>
      </w:r>
      <w:r w:rsidR="00DB6ADD">
        <w:t>icated</w:t>
      </w:r>
      <w:r w:rsidRPr="00E81E3B">
        <w:t xml:space="preserve"> on their </w:t>
      </w:r>
      <w:r>
        <w:t xml:space="preserve">personal </w:t>
      </w:r>
      <w:r w:rsidRPr="00E81E3B">
        <w:t xml:space="preserve">observations.  </w:t>
      </w:r>
      <w:r>
        <w:t>Moreover, the trial court could reasonably conclude such</w:t>
      </w:r>
      <w:r w:rsidRPr="00E81E3B">
        <w:t xml:space="preserve"> testimony </w:t>
      </w:r>
      <w:r>
        <w:t xml:space="preserve">aided </w:t>
      </w:r>
      <w:r w:rsidRPr="00E81E3B">
        <w:t xml:space="preserve">the jury </w:t>
      </w:r>
      <w:r>
        <w:t xml:space="preserve">in </w:t>
      </w:r>
      <w:r w:rsidRPr="00E81E3B">
        <w:t>understand</w:t>
      </w:r>
      <w:r>
        <w:t xml:space="preserve">ing </w:t>
      </w:r>
      <w:r w:rsidRPr="00E81E3B">
        <w:t xml:space="preserve">what the </w:t>
      </w:r>
      <w:r>
        <w:t>detectives</w:t>
      </w:r>
      <w:r w:rsidRPr="00E81E3B">
        <w:t xml:space="preserve"> believed they had observed.  Gonzalez has cited no authority finding similar testimony</w:t>
      </w:r>
      <w:r>
        <w:t> </w:t>
      </w:r>
      <w:r w:rsidRPr="00E81E3B">
        <w:t xml:space="preserve">— i.e., </w:t>
      </w:r>
      <w:r w:rsidR="00DB6ADD">
        <w:t xml:space="preserve">witness </w:t>
      </w:r>
      <w:r w:rsidRPr="00E81E3B">
        <w:t>statements that merely explain the context of a conversation</w:t>
      </w:r>
      <w:r w:rsidR="00DB6ADD">
        <w:t> </w:t>
      </w:r>
      <w:r w:rsidRPr="00E81E3B">
        <w:t xml:space="preserve">— to be inadmissible.  We find no abuse of discretion in the trial court’s decision to admit </w:t>
      </w:r>
      <w:r w:rsidR="00DB6ADD">
        <w:t xml:space="preserve">what amounted to lay opinion </w:t>
      </w:r>
      <w:r w:rsidRPr="00E81E3B">
        <w:t>testimony.</w:t>
      </w:r>
      <w:r w:rsidRPr="00D662C3" w:rsidR="008A4EA1">
        <w:tab/>
      </w:r>
      <w:r w:rsidRPr="00D662C3" w:rsidR="0058567C">
        <w:t xml:space="preserve"> </w:t>
      </w:r>
    </w:p>
    <w:p w:rsidR="00F67702" w:rsidRPr="00D662C3" w:rsidP="004F5DF7">
      <w:pPr>
        <w:pStyle w:val="ListParagraph"/>
        <w:numPr>
          <w:ilvl w:val="0"/>
          <w:numId w:val="5"/>
        </w:numPr>
        <w:tabs>
          <w:tab w:val="left" w:pos="1440"/>
        </w:tabs>
        <w:rPr>
          <w:b/>
          <w:bCs/>
          <w:smallCaps/>
        </w:rPr>
      </w:pPr>
      <w:r w:rsidRPr="00D662C3">
        <w:rPr>
          <w:b/>
          <w:bCs/>
        </w:rPr>
        <w:t>Penalty Phase Issues</w:t>
      </w:r>
    </w:p>
    <w:p w:rsidR="00D449ED" w:rsidRPr="00D662C3" w:rsidP="004F5DF7">
      <w:pPr>
        <w:pStyle w:val="ListParagraph"/>
        <w:numPr>
          <w:ilvl w:val="0"/>
          <w:numId w:val="8"/>
        </w:numPr>
        <w:tabs>
          <w:tab w:val="left" w:pos="1440"/>
        </w:tabs>
        <w:rPr>
          <w:i/>
          <w:iCs/>
          <w:smallCaps/>
        </w:rPr>
      </w:pPr>
      <w:r w:rsidRPr="00D662C3">
        <w:rPr>
          <w:i/>
          <w:iCs/>
        </w:rPr>
        <w:t>Gonzalez</w:t>
      </w:r>
      <w:r w:rsidRPr="00D662C3" w:rsidR="00991853">
        <w:rPr>
          <w:i/>
          <w:iCs/>
        </w:rPr>
        <w:t xml:space="preserve"> has failed to establish error with respect to the admission of his s</w:t>
      </w:r>
      <w:r w:rsidRPr="00D662C3" w:rsidR="00305D5B">
        <w:rPr>
          <w:i/>
          <w:iCs/>
        </w:rPr>
        <w:t>tatements</w:t>
      </w:r>
      <w:r w:rsidRPr="00D662C3" w:rsidR="00991853">
        <w:rPr>
          <w:i/>
          <w:iCs/>
        </w:rPr>
        <w:t xml:space="preserve"> referencing other crimes</w:t>
      </w:r>
      <w:r w:rsidRPr="00D662C3" w:rsidR="00975CE0">
        <w:rPr>
          <w:i/>
          <w:iCs/>
        </w:rPr>
        <w:t xml:space="preserve"> </w:t>
      </w:r>
    </w:p>
    <w:p w:rsidR="00D449ED" w:rsidRPr="00D662C3" w:rsidP="004F5DF7">
      <w:pPr>
        <w:tabs>
          <w:tab w:val="left" w:pos="720"/>
          <w:tab w:val="left" w:pos="1440"/>
        </w:tabs>
        <w:rPr>
          <w:i/>
          <w:iCs/>
          <w:smallCaps/>
        </w:rPr>
      </w:pPr>
      <w:r w:rsidRPr="00D662C3">
        <w:tab/>
        <w:t xml:space="preserve">Gonzalez challenges the admission at the penalty phase of two video clips recorded during the undercover operation.  </w:t>
      </w:r>
    </w:p>
    <w:p w:rsidR="00D449ED" w:rsidRPr="00D662C3" w:rsidP="004F5DF7">
      <w:pPr>
        <w:pStyle w:val="ListParagraph"/>
        <w:numPr>
          <w:ilvl w:val="0"/>
          <w:numId w:val="24"/>
        </w:numPr>
        <w:tabs>
          <w:tab w:val="left" w:pos="1440"/>
        </w:tabs>
        <w:rPr>
          <w:i/>
          <w:iCs/>
        </w:rPr>
      </w:pPr>
      <w:r w:rsidRPr="00D662C3">
        <w:rPr>
          <w:i/>
          <w:iCs/>
        </w:rPr>
        <w:t xml:space="preserve">Background </w:t>
      </w:r>
    </w:p>
    <w:p w:rsidR="00284775" w:rsidRPr="00D662C3" w:rsidP="00DB6ADD">
      <w:pPr>
        <w:ind w:firstLine="720"/>
      </w:pPr>
      <w:r w:rsidRPr="00D662C3">
        <w:t>Gonzalez</w:t>
      </w:r>
      <w:r w:rsidRPr="00D662C3" w:rsidR="00602EF5">
        <w:t xml:space="preserve"> sought to exclude a </w:t>
      </w:r>
      <w:r w:rsidRPr="00D662C3" w:rsidR="00C4121F">
        <w:t xml:space="preserve">video </w:t>
      </w:r>
      <w:r w:rsidRPr="00D662C3" w:rsidR="00602EF5">
        <w:t>clip in which he</w:t>
      </w:r>
      <w:r w:rsidRPr="00D662C3">
        <w:t xml:space="preserve"> made statements</w:t>
      </w:r>
      <w:r w:rsidR="00DB6ADD">
        <w:t xml:space="preserve"> “concerning his participation in some otherwise unspecified carjacking involving a Mercedes.”</w:t>
      </w:r>
      <w:r w:rsidRPr="00D662C3" w:rsidR="002B6397">
        <w:t xml:space="preserve"> </w:t>
      </w:r>
      <w:r w:rsidRPr="00D662C3" w:rsidR="004F088E">
        <w:t xml:space="preserve"> </w:t>
      </w:r>
      <w:r w:rsidRPr="00D662C3">
        <w:t xml:space="preserve">The defense objected on the grounds that: (1) the video was cumulative of evidence the prosecution had presented </w:t>
      </w:r>
      <w:r w:rsidRPr="00D662C3" w:rsidR="00D449ED">
        <w:t>during</w:t>
      </w:r>
      <w:r w:rsidRPr="00D662C3">
        <w:t xml:space="preserve"> the guilt phase; and (2) the evidence only tended to prove a general propensity to commit crime.  The prosecution argued the video was admissible as evidence of criminal activity involving the use of force (see § 190.3, </w:t>
      </w:r>
      <w:r w:rsidRPr="00D662C3" w:rsidR="00C4121F">
        <w:t>factor</w:t>
      </w:r>
      <w:r w:rsidRPr="00D662C3">
        <w:t xml:space="preserve"> (b)). </w:t>
      </w:r>
      <w:r w:rsidRPr="00D662C3" w:rsidR="00A76203">
        <w:t xml:space="preserve"> </w:t>
      </w:r>
      <w:r w:rsidRPr="00D662C3">
        <w:t>The trial court overruled the objection.</w:t>
      </w:r>
    </w:p>
    <w:p w:rsidR="00A76203" w:rsidP="004F5DF7">
      <w:pPr>
        <w:ind w:firstLine="720"/>
      </w:pPr>
      <w:r w:rsidRPr="00D662C3">
        <w:t>Gonzalez</w:t>
      </w:r>
      <w:r w:rsidRPr="00D662C3" w:rsidR="00602EF5">
        <w:t xml:space="preserve"> also challenged the admission of a </w:t>
      </w:r>
      <w:r w:rsidRPr="00D662C3" w:rsidR="00C4121F">
        <w:t xml:space="preserve">video </w:t>
      </w:r>
      <w:r w:rsidRPr="00D662C3" w:rsidR="00602EF5">
        <w:t>clip in which he</w:t>
      </w:r>
      <w:r w:rsidRPr="00D662C3">
        <w:t xml:space="preserve"> told an undercover officer he had been involved in 27 armed robberies as a juvenile. </w:t>
      </w:r>
      <w:r w:rsidRPr="00D662C3" w:rsidR="004F088E">
        <w:t xml:space="preserve"> </w:t>
      </w:r>
      <w:r w:rsidRPr="00D662C3" w:rsidR="003F534A">
        <w:t xml:space="preserve">Defense counsel objected that although the video contained a statement in which Gonzalez referenced having committed 27 robberies, the prosecution only intended to introduce corroborating evidence of </w:t>
      </w:r>
      <w:r w:rsidRPr="00D662C3" w:rsidR="001F3FB5">
        <w:t>some of those</w:t>
      </w:r>
      <w:r w:rsidRPr="00D662C3" w:rsidR="003F534A">
        <w:t xml:space="preserve"> incidents.  Counsel argued that because the prosecution had provided no “foundation</w:t>
      </w:r>
      <w:r w:rsidRPr="00D662C3" w:rsidR="004F088E">
        <w:t xml:space="preserve"> for these so</w:t>
      </w:r>
      <w:r w:rsidRPr="00D662C3" w:rsidR="00C4121F">
        <w:t>-</w:t>
      </w:r>
      <w:r w:rsidRPr="00D662C3" w:rsidR="004F088E">
        <w:t>called</w:t>
      </w:r>
      <w:r w:rsidRPr="00D662C3" w:rsidR="003F534A">
        <w:t xml:space="preserve"> 27 robberies</w:t>
      </w:r>
      <w:r w:rsidRPr="00D662C3" w:rsidR="004F088E">
        <w:t>,”</w:t>
      </w:r>
      <w:r w:rsidRPr="00D662C3" w:rsidR="003F534A">
        <w:t xml:space="preserve"> and could not “prove</w:t>
      </w:r>
      <w:r w:rsidRPr="00D662C3" w:rsidR="004F088E">
        <w:t xml:space="preserve"> </w:t>
      </w:r>
      <w:r w:rsidRPr="00D662C3" w:rsidR="003F534A">
        <w:t xml:space="preserve">the corpus </w:t>
      </w:r>
      <w:r w:rsidRPr="00D662C3" w:rsidR="004F088E">
        <w:t xml:space="preserve">on </w:t>
      </w:r>
      <w:r w:rsidRPr="00D662C3" w:rsidR="003F534A">
        <w:t xml:space="preserve">all </w:t>
      </w:r>
      <w:r w:rsidRPr="00D662C3" w:rsidR="004F088E">
        <w:t xml:space="preserve">of </w:t>
      </w:r>
      <w:r w:rsidRPr="00D662C3" w:rsidR="003F534A">
        <w:t>these 27 robberies</w:t>
      </w:r>
      <w:r w:rsidRPr="00D662C3" w:rsidR="004F088E">
        <w:t>,</w:t>
      </w:r>
      <w:r w:rsidRPr="00D662C3" w:rsidR="003F534A">
        <w:t xml:space="preserve">” it was improper to admit a statement referencing that number of robberies. </w:t>
      </w:r>
      <w:r w:rsidRPr="00D662C3" w:rsidR="00630F72">
        <w:t xml:space="preserve"> The trial court agreed it was improper to include the portion of the statement referencing 27 robberies since the prosecution did not actually intend to prove each of those robberies.  The court provided the</w:t>
      </w:r>
      <w:r w:rsidRPr="00D662C3" w:rsidR="00D449ED">
        <w:t xml:space="preserve"> prosecution the</w:t>
      </w:r>
      <w:r w:rsidRPr="00D662C3" w:rsidR="00630F72">
        <w:t xml:space="preserve"> option of deleting the reference to the number of robberies or excluding the clip altogether.  The prosecution explained that it intended to </w:t>
      </w:r>
      <w:r w:rsidRPr="00D662C3" w:rsidR="00B10A82">
        <w:t>remove the portion of the clip referencing</w:t>
      </w:r>
      <w:r w:rsidRPr="00D662C3" w:rsidR="00630F72">
        <w:t xml:space="preserve"> the number of robberies and defense counsel posited no further objection.</w:t>
      </w:r>
      <w:r w:rsidRPr="00D662C3">
        <w:t xml:space="preserve">  The prosecution thereafter played the two clips and presented several witnesses who testified about a carjacking involving Gonzalez and numerous robberies that he</w:t>
      </w:r>
      <w:r w:rsidRPr="00D662C3" w:rsidR="001F3FB5">
        <w:t xml:space="preserve"> was believed to have</w:t>
      </w:r>
      <w:r w:rsidRPr="00D662C3">
        <w:t xml:space="preserve"> committed.</w:t>
      </w:r>
    </w:p>
    <w:p w:rsidR="00A76203" w:rsidRPr="00D662C3" w:rsidP="004F5DF7">
      <w:pPr>
        <w:pStyle w:val="ListParagraph"/>
        <w:numPr>
          <w:ilvl w:val="0"/>
          <w:numId w:val="25"/>
        </w:numPr>
        <w:rPr>
          <w:i/>
          <w:iCs/>
        </w:rPr>
      </w:pPr>
      <w:r w:rsidRPr="00D662C3">
        <w:rPr>
          <w:i/>
          <w:iCs/>
        </w:rPr>
        <w:t xml:space="preserve">  Discussion</w:t>
      </w:r>
    </w:p>
    <w:p w:rsidR="00BA5F5B" w:rsidRPr="00D662C3" w:rsidP="004F5DF7">
      <w:pPr>
        <w:ind w:firstLine="720"/>
      </w:pPr>
      <w:r w:rsidRPr="00D662C3">
        <w:t xml:space="preserve">On appeal, </w:t>
      </w:r>
      <w:r w:rsidRPr="00D662C3" w:rsidR="00DC4F39">
        <w:t xml:space="preserve">Gonzalez </w:t>
      </w:r>
      <w:r w:rsidRPr="00D662C3">
        <w:t xml:space="preserve">argues that </w:t>
      </w:r>
      <w:r w:rsidRPr="00D662C3" w:rsidR="00A76203">
        <w:t>that while</w:t>
      </w:r>
      <w:r w:rsidRPr="00D662C3">
        <w:t xml:space="preserve"> evidence of </w:t>
      </w:r>
      <w:r w:rsidRPr="00D662C3" w:rsidR="00A76203">
        <w:t xml:space="preserve">criminal activity </w:t>
      </w:r>
      <w:r w:rsidRPr="00D662C3" w:rsidR="00602EF5">
        <w:t xml:space="preserve">involving </w:t>
      </w:r>
      <w:r w:rsidRPr="00D662C3" w:rsidR="00A76203">
        <w:t xml:space="preserve">the use of force is generally admissible at the penalty phase (see § 190.3, factor (b)), the trial court should have excluded the video clips referencing the carjacking and the string of robberies under the corpus delicti rule, which applies to the use of factor </w:t>
      </w:r>
      <w:r w:rsidRPr="00D662C3" w:rsidR="00C4121F">
        <w:t xml:space="preserve">(b) </w:t>
      </w:r>
      <w:r w:rsidRPr="00D662C3" w:rsidR="00A76203">
        <w:t xml:space="preserve">crimes.  (See </w:t>
      </w:r>
      <w:r w:rsidRPr="00D662C3" w:rsidR="00312C97">
        <w:rPr>
          <w:i/>
          <w:iCs/>
        </w:rPr>
        <w:t>Valencia</w:t>
      </w:r>
      <w:r w:rsidRPr="00D662C3" w:rsidR="001F3FB5">
        <w:rPr>
          <w:i/>
          <w:iCs/>
        </w:rPr>
        <w:t xml:space="preserve">, supra, </w:t>
      </w:r>
      <w:r w:rsidRPr="00D662C3" w:rsidR="00A76203">
        <w:t>43 Ca</w:t>
      </w:r>
      <w:r w:rsidRPr="00D662C3" w:rsidR="001F3FB5">
        <w:t>l</w:t>
      </w:r>
      <w:r w:rsidRPr="00D662C3" w:rsidR="00A76203">
        <w:t xml:space="preserve">.4th </w:t>
      </w:r>
      <w:r w:rsidRPr="00D662C3" w:rsidR="001F3FB5">
        <w:t xml:space="preserve">at pp. </w:t>
      </w:r>
      <w:r w:rsidRPr="00D662C3" w:rsidR="00A76203">
        <w:t>296</w:t>
      </w:r>
      <w:r w:rsidRPr="00D662C3" w:rsidR="001F3FB5">
        <w:t>–</w:t>
      </w:r>
      <w:r w:rsidRPr="00D662C3" w:rsidR="00A76203">
        <w:t xml:space="preserve">297; see </w:t>
      </w:r>
      <w:r w:rsidRPr="00D662C3" w:rsidR="00A76203">
        <w:rPr>
          <w:i/>
          <w:iCs/>
        </w:rPr>
        <w:t>ante</w:t>
      </w:r>
      <w:r w:rsidRPr="00D662C3" w:rsidR="00A76203">
        <w:t xml:space="preserve">, </w:t>
      </w:r>
      <w:r w:rsidRPr="00D662C3" w:rsidR="00CF7178">
        <w:t xml:space="preserve">at </w:t>
      </w:r>
      <w:r w:rsidRPr="00D662C3" w:rsidR="00A76203">
        <w:t>p</w:t>
      </w:r>
      <w:r w:rsidRPr="00D662C3" w:rsidR="004F088E">
        <w:t>p</w:t>
      </w:r>
      <w:r w:rsidRPr="00D662C3" w:rsidR="00A76203">
        <w:t>.</w:t>
      </w:r>
      <w:r w:rsidRPr="00D662C3" w:rsidR="004F088E">
        <w:t xml:space="preserve"> 1</w:t>
      </w:r>
      <w:r w:rsidR="001F0D22">
        <w:t>5</w:t>
      </w:r>
      <w:r w:rsidRPr="00D662C3" w:rsidR="004F088E">
        <w:t>–1</w:t>
      </w:r>
      <w:r w:rsidR="001F0D22">
        <w:t>6</w:t>
      </w:r>
      <w:r w:rsidRPr="00D662C3" w:rsidR="00A76203">
        <w:t xml:space="preserve">  [explaining the corpus delicti rule].)  According to Gonzalez, the prosecution failed to identify any evidence apart from </w:t>
      </w:r>
      <w:r w:rsidRPr="00D662C3" w:rsidR="00602EF5">
        <w:t xml:space="preserve">his </w:t>
      </w:r>
      <w:r w:rsidRPr="00D662C3" w:rsidR="00A76203">
        <w:t>own statements indicating that the carjacking or the robberies actually occurred.</w:t>
      </w:r>
    </w:p>
    <w:p w:rsidR="00602EF5" w:rsidRPr="00D662C3" w:rsidP="004F5DF7">
      <w:pPr>
        <w:ind w:firstLine="720"/>
      </w:pPr>
      <w:r w:rsidRPr="00D662C3">
        <w:t xml:space="preserve">The Attorney General argues that Gonzalez has forfeited any argument that such evidence was inadmissible under the corpus delicti rule because he failed to raise any </w:t>
      </w:r>
      <w:r w:rsidRPr="00D662C3">
        <w:t xml:space="preserve">such </w:t>
      </w:r>
      <w:r w:rsidRPr="00D662C3">
        <w:t>objection at the trial court.  We agree</w:t>
      </w:r>
      <w:r w:rsidRPr="00D662C3" w:rsidR="00090A12">
        <w:t xml:space="preserve"> that Gonzalez has forfeited the </w:t>
      </w:r>
      <w:r w:rsidRPr="00D662C3" w:rsidR="00564137">
        <w:t xml:space="preserve">particular </w:t>
      </w:r>
      <w:r w:rsidRPr="00D662C3" w:rsidR="00090A12">
        <w:t>claims</w:t>
      </w:r>
      <w:r w:rsidRPr="00D662C3" w:rsidR="00564137">
        <w:t xml:space="preserve"> he raises here</w:t>
      </w:r>
      <w:r w:rsidRPr="00D662C3">
        <w:t>.</w:t>
      </w:r>
      <w:r w:rsidRPr="00D662C3" w:rsidR="00090A12">
        <w:t xml:space="preserve">  Regarding the </w:t>
      </w:r>
      <w:r w:rsidRPr="00D662C3" w:rsidR="00564137">
        <w:t>recorded statements</w:t>
      </w:r>
      <w:r w:rsidRPr="00D662C3" w:rsidR="00090A12">
        <w:t xml:space="preserve"> referenc</w:t>
      </w:r>
      <w:r w:rsidRPr="00D662C3" w:rsidR="00564137">
        <w:t>ing a</w:t>
      </w:r>
      <w:r w:rsidRPr="00D662C3" w:rsidR="00090A12">
        <w:t xml:space="preserve"> carjacking, defense counsel never raised a corpus delicti objection. </w:t>
      </w:r>
      <w:r w:rsidRPr="00D662C3">
        <w:t xml:space="preserve"> (</w:t>
      </w:r>
      <w:r w:rsidRPr="00D662C3" w:rsidR="00564137">
        <w:t xml:space="preserve">See </w:t>
      </w:r>
      <w:r w:rsidRPr="00D662C3">
        <w:rPr>
          <w:i/>
          <w:iCs/>
        </w:rPr>
        <w:t>Horn</w:t>
      </w:r>
      <w:r w:rsidRPr="00D662C3" w:rsidR="00CF7178">
        <w:rPr>
          <w:i/>
          <w:iCs/>
        </w:rPr>
        <w:t>i</w:t>
      </w:r>
      <w:r w:rsidRPr="00D662C3">
        <w:rPr>
          <w:i/>
          <w:iCs/>
        </w:rPr>
        <w:t>ng, supra</w:t>
      </w:r>
      <w:r w:rsidRPr="00D662C3">
        <w:t>,</w:t>
      </w:r>
      <w:r w:rsidRPr="00D662C3" w:rsidR="00CF7178">
        <w:t xml:space="preserve"> 34 Cal.4th </w:t>
      </w:r>
      <w:r w:rsidRPr="00D662C3">
        <w:t xml:space="preserve">at p. </w:t>
      </w:r>
      <w:r w:rsidRPr="00D662C3">
        <w:t>899 [defendant forfeited argument that “the prosecution did not establish the corpus delicti of the [uncharged offense]</w:t>
      </w:r>
      <w:r w:rsidRPr="00D662C3" w:rsidR="00090A12">
        <w:t>”]</w:t>
      </w:r>
      <w:r w:rsidRPr="00D662C3">
        <w:t xml:space="preserve">.)  </w:t>
      </w:r>
    </w:p>
    <w:p w:rsidR="0014014E" w:rsidRPr="00D662C3" w:rsidP="004F5DF7">
      <w:pPr>
        <w:ind w:firstLine="720"/>
      </w:pPr>
      <w:r w:rsidRPr="00D662C3">
        <w:t xml:space="preserve">Regarding the video referencing the robberies, defense counsel made it clear he was objecting to the portion of the video in which Gonzalez stated that he had committed 27 </w:t>
      </w:r>
      <w:r w:rsidRPr="00D662C3" w:rsidR="002B7E1A">
        <w:t>robberies</w:t>
      </w:r>
      <w:r w:rsidRPr="00D662C3">
        <w:t>.  Such evidence was improper, defense counsel asserted, because the prosecution only intended to pre</w:t>
      </w:r>
      <w:r w:rsidR="00852A1A">
        <w:t>s</w:t>
      </w:r>
      <w:r w:rsidRPr="00D662C3">
        <w:t xml:space="preserve">ent independent evidence of </w:t>
      </w:r>
      <w:r w:rsidRPr="00D662C3" w:rsidR="00602EF5">
        <w:t xml:space="preserve">some of those </w:t>
      </w:r>
      <w:r w:rsidRPr="00D662C3">
        <w:t xml:space="preserve">robberies, and thus “could not prove the corpus on all . . . 27 robberies.” </w:t>
      </w:r>
      <w:r w:rsidRPr="00D662C3" w:rsidR="00586F9D">
        <w:t xml:space="preserve"> </w:t>
      </w:r>
      <w:r w:rsidRPr="00D662C3">
        <w:t xml:space="preserve">The trial court agreed and made the prosecution remove the reference to the number of robberies.  If defense counsel believed this was an insufficient remedy, and that the video clip should be excluded even with that modification, it had a duty to </w:t>
      </w:r>
      <w:r w:rsidRPr="00D662C3">
        <w:t>raise that argument with the court.</w:t>
      </w:r>
      <w:r w:rsidRPr="00D662C3">
        <w:t xml:space="preserve">   </w:t>
      </w:r>
      <w:r w:rsidRPr="00D662C3">
        <w:t xml:space="preserve"> </w:t>
      </w:r>
    </w:p>
    <w:p w:rsidR="005A73D1" w:rsidRPr="00D662C3" w:rsidP="004F5DF7">
      <w:pPr>
        <w:ind w:firstLine="720"/>
      </w:pPr>
      <w:r w:rsidRPr="00D662C3">
        <w:t xml:space="preserve">Moreover, </w:t>
      </w:r>
      <w:r w:rsidRPr="00D662C3">
        <w:t xml:space="preserve">the prosecution presented sufficient evidence to establish the corpus delicti of both a carjacking and </w:t>
      </w:r>
      <w:r w:rsidRPr="00D662C3" w:rsidR="00056706">
        <w:t xml:space="preserve">multiple </w:t>
      </w:r>
      <w:r w:rsidRPr="00D662C3">
        <w:t xml:space="preserve">robberies.  Regarding the carjacking, the prosecution presented testimony from a victim who stated that he had been taken to a house where he was carjacked.  A detective testified the victim of the carjacking had picked Gonzalez out of a photo array.  </w:t>
      </w:r>
      <w:r w:rsidRPr="00D662C3" w:rsidR="00056706">
        <w:t>W</w:t>
      </w:r>
      <w:r w:rsidRPr="00D662C3">
        <w:t>hen describing the carjacking incident to undercover agents, Gonzalez had stated that the carjacking victim had been brought to a house</w:t>
      </w:r>
      <w:r w:rsidRPr="00D662C3" w:rsidR="00056706">
        <w:t>, which matched the victim’s description of the incident</w:t>
      </w:r>
      <w:r w:rsidRPr="00D662C3">
        <w:t xml:space="preserve">.  </w:t>
      </w:r>
      <w:r w:rsidRPr="00D662C3" w:rsidR="00056706">
        <w:t>Finally,</w:t>
      </w:r>
      <w:r w:rsidRPr="00D662C3">
        <w:t xml:space="preserve"> Row</w:t>
      </w:r>
      <w:r w:rsidRPr="00D662C3" w:rsidR="00056706">
        <w:t>a</w:t>
      </w:r>
      <w:r w:rsidRPr="00D662C3">
        <w:t>n testified</w:t>
      </w:r>
      <w:r w:rsidRPr="00D662C3" w:rsidR="00056706">
        <w:t xml:space="preserve"> that after Gonzalez had told her about the carjacking,</w:t>
      </w:r>
      <w:r w:rsidRPr="00D662C3">
        <w:t xml:space="preserve"> she had seen </w:t>
      </w:r>
      <w:r w:rsidRPr="00D662C3" w:rsidR="00056706">
        <w:t>him d</w:t>
      </w:r>
      <w:r w:rsidRPr="00D662C3">
        <w:t xml:space="preserve">riving a car </w:t>
      </w:r>
      <w:r w:rsidRPr="00D662C3" w:rsidR="00056706">
        <w:t xml:space="preserve">that was </w:t>
      </w:r>
      <w:r w:rsidRPr="00D662C3">
        <w:t>similar</w:t>
      </w:r>
      <w:r w:rsidRPr="00D662C3" w:rsidR="00056706">
        <w:t xml:space="preserve"> in appearance</w:t>
      </w:r>
      <w:r w:rsidRPr="00D662C3">
        <w:t xml:space="preserve"> to the one he had described </w:t>
      </w:r>
      <w:r w:rsidRPr="00D662C3" w:rsidR="00056706">
        <w:t>to her</w:t>
      </w:r>
      <w:r w:rsidRPr="00D662C3">
        <w:t xml:space="preserve">. </w:t>
      </w:r>
      <w:r w:rsidRPr="00D662C3" w:rsidR="00586F9D">
        <w:t xml:space="preserve"> </w:t>
      </w:r>
    </w:p>
    <w:p w:rsidR="00D5677F" w:rsidRPr="00D662C3" w:rsidP="004F5DF7">
      <w:pPr>
        <w:ind w:firstLine="720"/>
      </w:pPr>
      <w:r w:rsidRPr="00D662C3">
        <w:t>Regarding Gonzalez</w:t>
      </w:r>
      <w:r w:rsidRPr="00D662C3" w:rsidR="00056706">
        <w:t xml:space="preserve">’s admission </w:t>
      </w:r>
      <w:r w:rsidRPr="00D662C3" w:rsidR="00564137">
        <w:t xml:space="preserve">that </w:t>
      </w:r>
      <w:r w:rsidRPr="00D662C3" w:rsidR="00056706">
        <w:t>he had committed robberies as a juvenile</w:t>
      </w:r>
      <w:r w:rsidRPr="00D662C3">
        <w:t xml:space="preserve">, the prosecution presented testimony from numerous victims </w:t>
      </w:r>
      <w:r w:rsidRPr="00D662C3" w:rsidR="00FC1E73">
        <w:t>who were robbed at gunpoint</w:t>
      </w:r>
      <w:r w:rsidRPr="00D662C3">
        <w:t xml:space="preserve"> </w:t>
      </w:r>
      <w:r w:rsidRPr="00D662C3" w:rsidR="00FC1E73">
        <w:t xml:space="preserve">along with  testimony from an investigating officer verifying that several of the </w:t>
      </w:r>
      <w:r w:rsidRPr="00D662C3" w:rsidR="00F629D2">
        <w:t xml:space="preserve">victims had identified Gonzalez as the perpetrator. </w:t>
      </w:r>
      <w:r w:rsidR="003F70FA">
        <w:t xml:space="preserve"> </w:t>
      </w:r>
      <w:r w:rsidRPr="00D662C3" w:rsidR="003F70FA">
        <w:t xml:space="preserve">(See </w:t>
      </w:r>
      <w:r w:rsidRPr="00D662C3" w:rsidR="003F70FA">
        <w:rPr>
          <w:i/>
          <w:iCs/>
        </w:rPr>
        <w:t>ante</w:t>
      </w:r>
      <w:r w:rsidRPr="00D662C3" w:rsidR="003F70FA">
        <w:t>, at p. 1</w:t>
      </w:r>
      <w:r w:rsidR="001F0D22">
        <w:t>0</w:t>
      </w:r>
      <w:r w:rsidRPr="00D662C3" w:rsidR="003F70FA">
        <w:t>.)</w:t>
      </w:r>
      <w:r w:rsidRPr="00D662C3">
        <w:t xml:space="preserve"> </w:t>
      </w:r>
      <w:r w:rsidR="003F70FA">
        <w:t xml:space="preserve"> </w:t>
      </w:r>
      <w:r w:rsidRPr="00D662C3" w:rsidR="00F629D2">
        <w:t>This evidence j</w:t>
      </w:r>
      <w:r w:rsidRPr="00D662C3">
        <w:t>ustif</w:t>
      </w:r>
      <w:r w:rsidRPr="00D662C3" w:rsidR="00F629D2">
        <w:t xml:space="preserve">ied </w:t>
      </w:r>
      <w:r w:rsidRPr="00D662C3">
        <w:t xml:space="preserve">the admission of </w:t>
      </w:r>
      <w:r w:rsidRPr="00D662C3" w:rsidR="00F629D2">
        <w:t xml:space="preserve">Gonzalez’s </w:t>
      </w:r>
      <w:r w:rsidRPr="00D662C3">
        <w:t xml:space="preserve">statement that he had committed </w:t>
      </w:r>
      <w:r w:rsidRPr="00D662C3" w:rsidR="00056706">
        <w:t>multiple</w:t>
      </w:r>
      <w:r w:rsidRPr="00D662C3">
        <w:t xml:space="preserve"> robberies.</w:t>
      </w:r>
      <w:r>
        <w:rPr>
          <w:rStyle w:val="FootnoteReference"/>
        </w:rPr>
        <w:footnoteReference w:id="21"/>
      </w:r>
    </w:p>
    <w:p w:rsidR="00305D5B" w:rsidRPr="00D662C3" w:rsidP="004F5DF7">
      <w:pPr>
        <w:pStyle w:val="ListParagraph"/>
        <w:numPr>
          <w:ilvl w:val="0"/>
          <w:numId w:val="8"/>
        </w:numPr>
        <w:tabs>
          <w:tab w:val="left" w:pos="1440"/>
        </w:tabs>
        <w:rPr>
          <w:i/>
          <w:iCs/>
          <w:smallCaps/>
        </w:rPr>
      </w:pPr>
      <w:r>
        <w:rPr>
          <w:i/>
          <w:iCs/>
        </w:rPr>
        <w:t xml:space="preserve">The improper aspects of </w:t>
      </w:r>
      <w:r w:rsidRPr="00D662C3" w:rsidR="00CF7178">
        <w:rPr>
          <w:i/>
          <w:iCs/>
        </w:rPr>
        <w:t xml:space="preserve">the </w:t>
      </w:r>
      <w:r w:rsidRPr="00D662C3" w:rsidR="0001374C">
        <w:rPr>
          <w:i/>
          <w:iCs/>
        </w:rPr>
        <w:t>v</w:t>
      </w:r>
      <w:r w:rsidRPr="00D662C3">
        <w:rPr>
          <w:i/>
          <w:iCs/>
        </w:rPr>
        <w:t xml:space="preserve">ictim </w:t>
      </w:r>
      <w:r w:rsidRPr="00D662C3" w:rsidR="0001374C">
        <w:rPr>
          <w:i/>
          <w:iCs/>
        </w:rPr>
        <w:t>i</w:t>
      </w:r>
      <w:r w:rsidRPr="00D662C3">
        <w:rPr>
          <w:i/>
          <w:iCs/>
        </w:rPr>
        <w:t xml:space="preserve">mpact </w:t>
      </w:r>
      <w:r w:rsidRPr="00D662C3" w:rsidR="00CF7178">
        <w:rPr>
          <w:i/>
          <w:iCs/>
        </w:rPr>
        <w:t>video w</w:t>
      </w:r>
      <w:r>
        <w:rPr>
          <w:i/>
          <w:iCs/>
        </w:rPr>
        <w:t>ere</w:t>
      </w:r>
      <w:r w:rsidRPr="00D662C3" w:rsidR="00CF7178">
        <w:rPr>
          <w:i/>
          <w:iCs/>
        </w:rPr>
        <w:t xml:space="preserve"> harmless</w:t>
      </w:r>
      <w:r w:rsidRPr="00D662C3">
        <w:rPr>
          <w:i/>
          <w:iCs/>
        </w:rPr>
        <w:t xml:space="preserve"> </w:t>
      </w:r>
    </w:p>
    <w:p w:rsidR="00B556D9" w:rsidRPr="00D662C3" w:rsidP="004F5DF7">
      <w:pPr>
        <w:tabs>
          <w:tab w:val="left" w:pos="1440"/>
        </w:tabs>
        <w:ind w:firstLine="720"/>
      </w:pPr>
      <w:r w:rsidRPr="00D662C3">
        <w:t>Gonzalez challenges the admission of a</w:t>
      </w:r>
      <w:r w:rsidRPr="00D662C3" w:rsidR="002D79C1">
        <w:t xml:space="preserve">n eight-minute </w:t>
      </w:r>
      <w:r w:rsidRPr="00D662C3">
        <w:t>video</w:t>
      </w:r>
      <w:r w:rsidRPr="00D662C3" w:rsidR="002D79C1">
        <w:t xml:space="preserve"> in which</w:t>
      </w:r>
      <w:r w:rsidRPr="00D662C3" w:rsidR="00845C0E">
        <w:t xml:space="preserve"> </w:t>
      </w:r>
      <w:r w:rsidRPr="00D662C3" w:rsidR="002F7B37">
        <w:t xml:space="preserve">Rosa’s </w:t>
      </w:r>
      <w:r w:rsidRPr="00D662C3" w:rsidR="002D79C1">
        <w:t xml:space="preserve">friends </w:t>
      </w:r>
      <w:r w:rsidRPr="00D662C3" w:rsidR="0001374C">
        <w:t>and</w:t>
      </w:r>
      <w:r w:rsidRPr="00D662C3" w:rsidR="002D79C1">
        <w:t xml:space="preserve"> colleagues provided emotional statements lauding their relationship with </w:t>
      </w:r>
      <w:r w:rsidRPr="00D662C3" w:rsidR="002F7B37">
        <w:t>her</w:t>
      </w:r>
      <w:r w:rsidRPr="00D662C3" w:rsidR="00BA71F1">
        <w:t xml:space="preserve"> and describing the pain and loss they experienced from her death.</w:t>
      </w:r>
      <w:r w:rsidRPr="00D662C3" w:rsidR="002D79C1">
        <w:t xml:space="preserve">  Many of the participants spoke from a cemetery with music playing in the background. </w:t>
      </w:r>
      <w:r w:rsidRPr="00D662C3" w:rsidR="00CF7178">
        <w:t xml:space="preserve"> </w:t>
      </w:r>
      <w:r w:rsidRPr="00D662C3" w:rsidR="002D79C1">
        <w:t>At times, the audio of the participant’s tributes w</w:t>
      </w:r>
      <w:r w:rsidRPr="00D662C3" w:rsidR="0001374C">
        <w:t xml:space="preserve">as </w:t>
      </w:r>
      <w:r w:rsidRPr="00D662C3" w:rsidR="002D79C1">
        <w:t>juxtaposed with photos of Rosa</w:t>
      </w:r>
      <w:r w:rsidRPr="00D662C3" w:rsidR="00586F9D">
        <w:t xml:space="preserve">.  </w:t>
      </w:r>
      <w:r w:rsidRPr="00D662C3" w:rsidR="002D79C1">
        <w:t>Several of the participants in the video also provided victim impact testimony during the penalty phase of the trial.</w:t>
      </w:r>
      <w:r w:rsidRPr="00D662C3" w:rsidR="00036413">
        <w:t xml:space="preserve">  </w:t>
      </w:r>
    </w:p>
    <w:p w:rsidR="005029D2" w:rsidRPr="00D662C3" w:rsidP="004F5DF7">
      <w:r w:rsidRPr="00D662C3">
        <w:tab/>
      </w:r>
      <w:r w:rsidRPr="00D662C3" w:rsidR="002D79C1">
        <w:t>In assessing Gonzalez’s objection to the video, t</w:t>
      </w:r>
      <w:r w:rsidRPr="00D662C3">
        <w:t>he trial</w:t>
      </w:r>
      <w:r w:rsidRPr="00D662C3" w:rsidR="002D79C1">
        <w:t xml:space="preserve"> court explained that it did “</w:t>
      </w:r>
      <w:r w:rsidRPr="00D662C3">
        <w:t xml:space="preserve">not find </w:t>
      </w:r>
      <w:r w:rsidRPr="00D662C3" w:rsidR="002D79C1">
        <w:t>[the video]</w:t>
      </w:r>
      <w:r w:rsidRPr="00D662C3">
        <w:t xml:space="preserve"> dramatic or of the sort that would cause one to cry</w:t>
      </w:r>
      <w:r w:rsidRPr="00D662C3" w:rsidR="00BF5F94">
        <w:t>,” nor did the video contain “</w:t>
      </w:r>
      <w:r w:rsidRPr="00D662C3">
        <w:t>irrelevant information or inflammatory rhetoric that diverted the jury’s attention from its proper role or invite an irrational, purely subjective response.</w:t>
      </w:r>
      <w:r w:rsidRPr="00D662C3" w:rsidR="00BF5F94">
        <w:t>”  In the court’s view, the video was not “</w:t>
      </w:r>
      <w:r w:rsidRPr="00D662C3">
        <w:t xml:space="preserve">highly emotional in any sense.  None of </w:t>
      </w:r>
      <w:r w:rsidRPr="00D662C3" w:rsidR="002F7B37">
        <w:t>[the people in the video]</w:t>
      </w:r>
      <w:r w:rsidRPr="00D662C3">
        <w:t xml:space="preserve"> seemed anything other than smiling and happy reminiscing about a lost friend or lost relative depending upon who was talking.”  The court also rejected the argument that individuals in the video were cumulative of those same witnesses testifying in court.  </w:t>
      </w:r>
    </w:p>
    <w:p w:rsidR="009F3EB4" w:rsidRPr="00D662C3" w:rsidP="004F5DF7">
      <w:pPr>
        <w:ind w:firstLine="720"/>
      </w:pPr>
      <w:r w:rsidRPr="00D662C3">
        <w:t xml:space="preserve">Although we have not adopted any “bright-line rules” </w:t>
      </w:r>
      <w:r w:rsidRPr="00D662C3" w:rsidR="0014014E">
        <w:t>(</w:t>
      </w:r>
      <w:r w:rsidRPr="00D662C3" w:rsidR="0014014E">
        <w:rPr>
          <w:i/>
          <w:iCs/>
        </w:rPr>
        <w:t>People v. Prince</w:t>
      </w:r>
      <w:r w:rsidRPr="00D662C3" w:rsidR="0014014E">
        <w:t xml:space="preserve"> (2007) 40 Cal.4th 1179, 1288) </w:t>
      </w:r>
      <w:r w:rsidRPr="00D662C3">
        <w:t>“pertaining to the admissibility of videotape recordings of victim interviews”</w:t>
      </w:r>
      <w:r w:rsidRPr="00D662C3">
        <w:rPr>
          <w:b/>
          <w:bCs/>
        </w:rPr>
        <w:t xml:space="preserve"> </w:t>
      </w:r>
      <w:r w:rsidRPr="00D662C3">
        <w:t>(</w:t>
      </w:r>
      <w:r w:rsidRPr="00D662C3" w:rsidR="0014014E">
        <w:rPr>
          <w:i/>
          <w:iCs/>
        </w:rPr>
        <w:t>i</w:t>
      </w:r>
      <w:r w:rsidRPr="00D662C3" w:rsidR="002F7B37">
        <w:rPr>
          <w:i/>
          <w:iCs/>
        </w:rPr>
        <w:t>bi</w:t>
      </w:r>
      <w:r w:rsidRPr="00D662C3" w:rsidR="0014014E">
        <w:rPr>
          <w:i/>
          <w:iCs/>
        </w:rPr>
        <w:t>d.</w:t>
      </w:r>
      <w:r w:rsidRPr="00D662C3">
        <w:t>), we have warned that “</w:t>
      </w:r>
      <w:r w:rsidRPr="00D662C3" w:rsidR="003E6531">
        <w:t>courts must exercise great caution in permitting the prosecution to present victim-impact evidence in the form of a lengthy videotaped or filmed tribute to the victim</w:t>
      </w:r>
      <w:r w:rsidRPr="00D662C3" w:rsidR="003A7456">
        <w:t>”</w:t>
      </w:r>
      <w:r w:rsidRPr="00D662C3" w:rsidR="00F629D2">
        <w:t xml:space="preserve"> </w:t>
      </w:r>
      <w:r w:rsidRPr="00D662C3" w:rsidR="003E6531">
        <w:t>(</w:t>
      </w:r>
      <w:r w:rsidRPr="00D662C3" w:rsidR="002F7B37">
        <w:rPr>
          <w:i/>
          <w:iCs/>
        </w:rPr>
        <w:t>i</w:t>
      </w:r>
      <w:r w:rsidRPr="00D662C3" w:rsidR="003E6531">
        <w:rPr>
          <w:i/>
          <w:iCs/>
        </w:rPr>
        <w:t>d</w:t>
      </w:r>
      <w:r w:rsidRPr="00D662C3" w:rsidR="003E6531">
        <w:t>.</w:t>
      </w:r>
      <w:r w:rsidRPr="00D662C3" w:rsidR="002F7B37">
        <w:t xml:space="preserve"> at p. 1289</w:t>
      </w:r>
      <w:r w:rsidRPr="00D662C3" w:rsidR="003E6531">
        <w:t>)</w:t>
      </w:r>
      <w:r w:rsidRPr="00D662C3" w:rsidR="002F7B37">
        <w:t>.</w:t>
      </w:r>
      <w:r w:rsidRPr="00D662C3" w:rsidR="003E6531">
        <w:t xml:space="preserve"> </w:t>
      </w:r>
      <w:r w:rsidRPr="00D662C3" w:rsidR="006A27D3">
        <w:t xml:space="preserve"> </w:t>
      </w:r>
      <w:r w:rsidRPr="00D662C3" w:rsidR="003E6531">
        <w:t>W</w:t>
      </w:r>
      <w:r w:rsidRPr="00D662C3" w:rsidR="006A27D3">
        <w:t xml:space="preserve">hile it is appropriate to use a video </w:t>
      </w:r>
      <w:bookmarkStart w:id="44" w:name="_Hlk86674257"/>
      <w:r w:rsidRPr="00D662C3" w:rsidR="003E6531">
        <w:t>“</w:t>
      </w:r>
      <w:r w:rsidRPr="00D662C3" w:rsidR="006A27D3">
        <w:t> </w:t>
      </w:r>
      <w:r w:rsidRPr="00D662C3" w:rsidR="003E6531">
        <w:t>‘</w:t>
      </w:r>
      <w:r w:rsidRPr="00D662C3" w:rsidR="00845C0E">
        <w:t> “ ‘</w:t>
      </w:r>
      <w:bookmarkEnd w:id="44"/>
      <w:r w:rsidRPr="00D662C3" w:rsidR="003E6531">
        <w:t>reminding the sentencer . . . [that] the victim is an individual whose death represents a unique loss to society’ ” [citation], . . . the prosecution may not introduce irrelevant or inflammatory material that “ ‘diverts the jury</w:t>
      </w:r>
      <w:r w:rsidRPr="00D662C3" w:rsidR="003A7456">
        <w:t>’</w:t>
      </w:r>
      <w:r w:rsidRPr="00D662C3" w:rsidR="003E6531">
        <w:t>s attention from its proper role or invites an irrational, purely subjective response.’ ”</w:t>
      </w:r>
      <w:r w:rsidRPr="00D662C3" w:rsidR="001B3680">
        <w:t> </w:t>
      </w:r>
      <w:r w:rsidRPr="00D662C3" w:rsidR="003E6531">
        <w:t>’</w:t>
      </w:r>
      <w:r w:rsidRPr="00D662C3" w:rsidR="001B3680">
        <w:t> </w:t>
      </w:r>
      <w:r w:rsidRPr="00D662C3" w:rsidR="003E6531">
        <w:t xml:space="preserve">” </w:t>
      </w:r>
      <w:bookmarkStart w:id="45" w:name="_Hlk86236101"/>
      <w:r w:rsidRPr="00D662C3" w:rsidR="003E6531">
        <w:t>(</w:t>
      </w:r>
      <w:r w:rsidRPr="00D662C3" w:rsidR="0014014E">
        <w:rPr>
          <w:i/>
          <w:iCs/>
        </w:rPr>
        <w:t>P</w:t>
      </w:r>
      <w:r w:rsidRPr="00D662C3" w:rsidR="003E6531">
        <w:rPr>
          <w:i/>
          <w:iCs/>
        </w:rPr>
        <w:t>eople v. Kelly</w:t>
      </w:r>
      <w:r w:rsidRPr="00D662C3" w:rsidR="003E6531">
        <w:t xml:space="preserve"> (2007) 42 Cal.4th 763, 79</w:t>
      </w:r>
      <w:r w:rsidRPr="00D662C3" w:rsidR="002F7B37">
        <w:t>4</w:t>
      </w:r>
      <w:r w:rsidRPr="00D662C3" w:rsidR="003E6531">
        <w:t xml:space="preserve"> (</w:t>
      </w:r>
      <w:r w:rsidRPr="00D662C3" w:rsidR="003E6531">
        <w:rPr>
          <w:i/>
          <w:iCs/>
        </w:rPr>
        <w:t>Kelly</w:t>
      </w:r>
      <w:r w:rsidRPr="00D662C3" w:rsidR="003E6531">
        <w:t>).)</w:t>
      </w:r>
      <w:bookmarkEnd w:id="45"/>
      <w:r w:rsidRPr="00D662C3" w:rsidR="003E6531">
        <w:t xml:space="preserve">  </w:t>
      </w:r>
      <w:r w:rsidRPr="00D662C3" w:rsidR="003A7456">
        <w:t xml:space="preserve">We have </w:t>
      </w:r>
      <w:r w:rsidRPr="00D662C3" w:rsidR="006A27D3">
        <w:t xml:space="preserve">highlighted </w:t>
      </w:r>
      <w:r w:rsidRPr="00D662C3" w:rsidR="003A7456">
        <w:t>some characteristics</w:t>
      </w:r>
      <w:r w:rsidRPr="00D662C3" w:rsidR="00845C0E">
        <w:t xml:space="preserve"> of </w:t>
      </w:r>
      <w:r w:rsidRPr="00D662C3" w:rsidR="00F629D2">
        <w:t xml:space="preserve">victim impact </w:t>
      </w:r>
      <w:r w:rsidRPr="00D662C3" w:rsidR="00845C0E">
        <w:t xml:space="preserve">videos </w:t>
      </w:r>
      <w:r w:rsidRPr="00D662C3" w:rsidR="003A7456">
        <w:t xml:space="preserve">that can </w:t>
      </w:r>
      <w:r w:rsidRPr="00D662C3" w:rsidR="0001374C">
        <w:t xml:space="preserve">be </w:t>
      </w:r>
      <w:r w:rsidRPr="00D662C3" w:rsidR="003A7456">
        <w:t>especially problematic:  “Particularly if the presentation lasts beyond a few moments, or emphasizes the childhood of an adult victim, or is accompanied by stirring music, the medium itself may assist in creating an emotional impact upon the jury that goes beyond what the jury might experience by viewing still photographs of the victim or listening to the victim</w:t>
      </w:r>
      <w:r w:rsidR="00447110">
        <w:t>’</w:t>
      </w:r>
      <w:r w:rsidRPr="00D662C3" w:rsidR="003A7456">
        <w:t>s bereaved parents.”  (</w:t>
      </w:r>
      <w:r w:rsidRPr="00D662C3" w:rsidR="003A7456">
        <w:rPr>
          <w:i/>
          <w:iCs/>
        </w:rPr>
        <w:t>Prince</w:t>
      </w:r>
      <w:r w:rsidRPr="00D662C3" w:rsidR="003A7456">
        <w:t>, at p. 1289</w:t>
      </w:r>
      <w:r w:rsidRPr="00D662C3" w:rsidR="006A27D3">
        <w:t xml:space="preserve">.)  </w:t>
      </w:r>
      <w:r w:rsidRPr="00D662C3" w:rsidR="003E6531">
        <w:t xml:space="preserve">Whether the admission of such evidence constitutes error must be considered “under </w:t>
      </w:r>
      <w:r w:rsidRPr="00D662C3" w:rsidR="00DC0693">
        <w:t>the circumstances</w:t>
      </w:r>
      <w:r w:rsidRPr="00D662C3" w:rsidR="003E6531">
        <w:t xml:space="preserve">” of each </w:t>
      </w:r>
      <w:r w:rsidRPr="00D662C3" w:rsidR="00DC0693">
        <w:t>case.  (</w:t>
      </w:r>
      <w:r w:rsidRPr="00D662C3" w:rsidR="00FB7A82">
        <w:rPr>
          <w:i/>
          <w:iCs/>
        </w:rPr>
        <w:t>Ibid</w:t>
      </w:r>
      <w:r w:rsidRPr="00D662C3" w:rsidR="00DC0693">
        <w:t xml:space="preserve">.)  </w:t>
      </w:r>
    </w:p>
    <w:p w:rsidR="005029D2" w:rsidRPr="00D662C3" w:rsidP="004F5DF7">
      <w:pPr>
        <w:ind w:firstLine="720"/>
      </w:pPr>
      <w:r w:rsidRPr="00D662C3">
        <w:t>W</w:t>
      </w:r>
      <w:r w:rsidRPr="00D662C3" w:rsidR="00FB7A82">
        <w:t>hil</w:t>
      </w:r>
      <w:r w:rsidRPr="00D662C3">
        <w:t xml:space="preserve">e </w:t>
      </w:r>
      <w:r w:rsidRPr="00D662C3" w:rsidR="00FB7A82">
        <w:t xml:space="preserve">we </w:t>
      </w:r>
      <w:r w:rsidRPr="00D662C3" w:rsidR="008E57D3">
        <w:t>normally</w:t>
      </w:r>
      <w:r w:rsidRPr="00D662C3" w:rsidR="00ED286D">
        <w:t xml:space="preserve"> </w:t>
      </w:r>
      <w:r w:rsidRPr="00D662C3" w:rsidR="008E57D3">
        <w:t>re</w:t>
      </w:r>
      <w:r w:rsidRPr="00D662C3" w:rsidR="00ED286D">
        <w:t>view</w:t>
      </w:r>
      <w:r w:rsidRPr="00D662C3" w:rsidR="00F629D2">
        <w:t xml:space="preserve"> for ourselves</w:t>
      </w:r>
      <w:r w:rsidRPr="00D662C3" w:rsidR="00ED286D">
        <w:t xml:space="preserve"> </w:t>
      </w:r>
      <w:r w:rsidRPr="00D662C3" w:rsidR="008E57D3">
        <w:t xml:space="preserve">the content of </w:t>
      </w:r>
      <w:r w:rsidRPr="00D662C3" w:rsidR="004C74FD">
        <w:t>such videos</w:t>
      </w:r>
      <w:r w:rsidRPr="00D662C3" w:rsidR="0001374C">
        <w:t>,</w:t>
      </w:r>
      <w:r w:rsidRPr="00D662C3" w:rsidR="00ED286D">
        <w:t xml:space="preserve"> </w:t>
      </w:r>
      <w:r w:rsidRPr="00D662C3" w:rsidR="00FB7A82">
        <w:t xml:space="preserve">we </w:t>
      </w:r>
      <w:r w:rsidRPr="00D662C3" w:rsidR="004C74FD">
        <w:t>accord</w:t>
      </w:r>
      <w:r w:rsidRPr="00D662C3">
        <w:t xml:space="preserve"> </w:t>
      </w:r>
      <w:r w:rsidRPr="00D662C3" w:rsidR="004C74FD">
        <w:t>some deference</w:t>
      </w:r>
      <w:r w:rsidRPr="00D662C3">
        <w:t xml:space="preserve"> to the trial court</w:t>
      </w:r>
      <w:r w:rsidRPr="00D662C3" w:rsidR="00FB7A82">
        <w:t xml:space="preserve">’s decision to </w:t>
      </w:r>
      <w:r w:rsidRPr="00D662C3" w:rsidR="004C74FD">
        <w:t>admit the tape</w:t>
      </w:r>
      <w:r w:rsidRPr="00D662C3">
        <w:t xml:space="preserve"> </w:t>
      </w:r>
      <w:r w:rsidRPr="00D662C3" w:rsidR="00FB7A82">
        <w:t>when, as here,</w:t>
      </w:r>
      <w:r w:rsidRPr="00D662C3">
        <w:t xml:space="preserve"> the </w:t>
      </w:r>
      <w:r w:rsidRPr="00D662C3" w:rsidR="00FB7A82">
        <w:t xml:space="preserve">record confirms </w:t>
      </w:r>
      <w:r w:rsidRPr="00D662C3" w:rsidR="008E57D3">
        <w:t xml:space="preserve">that </w:t>
      </w:r>
      <w:r w:rsidRPr="00D662C3" w:rsidR="00FB7A82">
        <w:t xml:space="preserve">the </w:t>
      </w:r>
      <w:r w:rsidRPr="00D662C3">
        <w:t>court view</w:t>
      </w:r>
      <w:r w:rsidRPr="00D662C3" w:rsidR="00FB7A82">
        <w:t>ed</w:t>
      </w:r>
      <w:r w:rsidRPr="00D662C3">
        <w:t xml:space="preserve"> the videotape, consider</w:t>
      </w:r>
      <w:r w:rsidRPr="00D662C3" w:rsidR="00FB7A82">
        <w:t>ed its</w:t>
      </w:r>
      <w:r w:rsidRPr="00D662C3">
        <w:t xml:space="preserve"> possible improper emotional effects and exercise</w:t>
      </w:r>
      <w:r w:rsidRPr="00D662C3" w:rsidR="00FB7A82">
        <w:t>d</w:t>
      </w:r>
      <w:r w:rsidRPr="00D662C3">
        <w:t xml:space="preserve"> its discretion to allow it.  (</w:t>
      </w:r>
      <w:r w:rsidRPr="00D662C3" w:rsidR="003F7110">
        <w:t xml:space="preserve">See </w:t>
      </w:r>
      <w:r w:rsidRPr="00D662C3" w:rsidR="003F7110">
        <w:rPr>
          <w:i/>
          <w:iCs/>
        </w:rPr>
        <w:t>People v. Zamudio</w:t>
      </w:r>
      <w:r w:rsidRPr="00D662C3" w:rsidR="003F7110">
        <w:t xml:space="preserve"> (2008) 43 Cal.4th 327, 366</w:t>
      </w:r>
      <w:r w:rsidRPr="00D662C3" w:rsidR="00E4209B">
        <w:t xml:space="preserve"> (</w:t>
      </w:r>
      <w:r w:rsidRPr="00D662C3" w:rsidR="00E4209B">
        <w:rPr>
          <w:i/>
          <w:iCs/>
        </w:rPr>
        <w:t>Zamudio</w:t>
      </w:r>
      <w:r w:rsidRPr="00D662C3" w:rsidR="00E4209B">
        <w:t>)</w:t>
      </w:r>
      <w:r w:rsidRPr="00D662C3" w:rsidR="003F7110">
        <w:t>.)</w:t>
      </w:r>
      <w:r w:rsidRPr="00D662C3" w:rsidR="00ED286D">
        <w:t xml:space="preserve">  Where the videotape includes impermissible elements, we assess whether those elements separated from the permissible features of the videotape prejudiced defendant.  (</w:t>
      </w:r>
      <w:bookmarkStart w:id="46" w:name="_Hlk86853956"/>
      <w:r w:rsidRPr="00D662C3" w:rsidR="00ED286D">
        <w:t xml:space="preserve">See </w:t>
      </w:r>
      <w:bookmarkEnd w:id="46"/>
      <w:r w:rsidRPr="00D662C3" w:rsidR="00ED286D">
        <w:rPr>
          <w:i/>
          <w:iCs/>
        </w:rPr>
        <w:t>Kelly</w:t>
      </w:r>
      <w:r w:rsidRPr="00D662C3" w:rsidR="00ED286D">
        <w:t xml:space="preserve">, </w:t>
      </w:r>
      <w:r w:rsidRPr="00D662C3" w:rsidR="00ED286D">
        <w:rPr>
          <w:i/>
          <w:iCs/>
        </w:rPr>
        <w:t>supra</w:t>
      </w:r>
      <w:r w:rsidRPr="00D662C3" w:rsidR="00ED286D">
        <w:t xml:space="preserve">, </w:t>
      </w:r>
      <w:r w:rsidRPr="00D662C3" w:rsidR="00B10A82">
        <w:t>42</w:t>
      </w:r>
      <w:r w:rsidRPr="00D662C3" w:rsidR="00ED286D">
        <w:t xml:space="preserve"> Cal.</w:t>
      </w:r>
      <w:r w:rsidRPr="00D662C3" w:rsidR="00B10A82">
        <w:t>4th</w:t>
      </w:r>
      <w:r w:rsidRPr="00D662C3" w:rsidR="00ED286D">
        <w:t xml:space="preserve"> at pp. 798–799.)  </w:t>
      </w:r>
    </w:p>
    <w:p w:rsidR="00EF7019" w:rsidRPr="00D662C3" w:rsidP="004F5DF7">
      <w:pPr>
        <w:ind w:firstLine="720"/>
      </w:pPr>
      <w:r w:rsidRPr="00D662C3">
        <w:t xml:space="preserve">We have viewed the </w:t>
      </w:r>
      <w:r w:rsidRPr="00D662C3" w:rsidR="00B070FE">
        <w:t xml:space="preserve">videotape </w:t>
      </w:r>
      <w:r w:rsidRPr="00D662C3">
        <w:t xml:space="preserve">and find that </w:t>
      </w:r>
      <w:r w:rsidR="00C1528F">
        <w:t xml:space="preserve">it </w:t>
      </w:r>
      <w:r w:rsidR="00E86732">
        <w:t xml:space="preserve">does </w:t>
      </w:r>
      <w:r w:rsidRPr="00D662C3">
        <w:t xml:space="preserve">contain </w:t>
      </w:r>
      <w:r w:rsidR="009C36E5">
        <w:t>some</w:t>
      </w:r>
      <w:r w:rsidR="00E86732">
        <w:t xml:space="preserve"> improper</w:t>
      </w:r>
      <w:r w:rsidR="009C36E5">
        <w:t xml:space="preserve"> features</w:t>
      </w:r>
      <w:r w:rsidR="00E86732">
        <w:t>.</w:t>
      </w:r>
      <w:r w:rsidRPr="00D662C3" w:rsidR="00E4209B">
        <w:t xml:space="preserve"> </w:t>
      </w:r>
      <w:r w:rsidR="00D90693">
        <w:t xml:space="preserve"> </w:t>
      </w:r>
      <w:r w:rsidRPr="00D662C3" w:rsidR="00E4209B">
        <w:t>The music in the video</w:t>
      </w:r>
      <w:r w:rsidRPr="00D662C3">
        <w:t xml:space="preserve"> ha</w:t>
      </w:r>
      <w:r w:rsidRPr="00D662C3" w:rsidR="00FB7A82">
        <w:t>s</w:t>
      </w:r>
      <w:r w:rsidRPr="00D662C3">
        <w:t xml:space="preserve"> no apparent relevance </w:t>
      </w:r>
      <w:r w:rsidRPr="00D662C3" w:rsidR="00FB7A82">
        <w:t xml:space="preserve">other than to </w:t>
      </w:r>
      <w:r w:rsidRPr="00D662C3" w:rsidR="00E4209B">
        <w:t>enhanc</w:t>
      </w:r>
      <w:r w:rsidRPr="00D662C3" w:rsidR="00FB7A82">
        <w:t>e</w:t>
      </w:r>
      <w:r w:rsidRPr="00D662C3" w:rsidR="00E4209B">
        <w:t xml:space="preserve"> the emotional effect of the video.  (See </w:t>
      </w:r>
      <w:r w:rsidRPr="00100EC8" w:rsidR="00C1528F">
        <w:rPr>
          <w:i/>
          <w:iCs/>
        </w:rPr>
        <w:t>People v. Sandoval</w:t>
      </w:r>
      <w:r w:rsidRPr="00C1528F" w:rsidR="00C1528F">
        <w:t xml:space="preserve"> (2015) 62 Cal.4th 394, 442</w:t>
      </w:r>
      <w:r w:rsidR="00C1528F">
        <w:t xml:space="preserve"> </w:t>
      </w:r>
      <w:r w:rsidR="009C36E5">
        <w:t>(</w:t>
      </w:r>
      <w:r w:rsidRPr="009C36E5" w:rsidR="009C36E5">
        <w:rPr>
          <w:i/>
          <w:iCs/>
        </w:rPr>
        <w:t>Sandoval</w:t>
      </w:r>
      <w:r w:rsidR="009C36E5">
        <w:t xml:space="preserve">) </w:t>
      </w:r>
      <w:r w:rsidR="00C1528F">
        <w:t>[</w:t>
      </w:r>
      <w:r w:rsidRPr="00C1528F" w:rsidR="00C1528F">
        <w:t>“because background music in victim impact presentations provides no relevant information and is potentially prejudicial, it is never permitted”</w:t>
      </w:r>
      <w:r w:rsidR="00100EC8">
        <w:t xml:space="preserve">]; </w:t>
      </w:r>
      <w:r w:rsidRPr="00D662C3" w:rsidR="00E4209B">
        <w:rPr>
          <w:i/>
          <w:iCs/>
        </w:rPr>
        <w:t>Kelly</w:t>
      </w:r>
      <w:r w:rsidRPr="00D662C3" w:rsidR="00E4209B">
        <w:t xml:space="preserve">, </w:t>
      </w:r>
      <w:r w:rsidRPr="00D662C3" w:rsidR="00447110">
        <w:rPr>
          <w:i/>
          <w:iCs/>
        </w:rPr>
        <w:t>supra</w:t>
      </w:r>
      <w:r w:rsidRPr="00D662C3" w:rsidR="00447110">
        <w:t xml:space="preserve">, 42 Cal.4th at </w:t>
      </w:r>
      <w:r w:rsidRPr="00D662C3" w:rsidR="00E4209B">
        <w:t xml:space="preserve">p. 798.)  Many of the individuals in the video offering testimonials </w:t>
      </w:r>
      <w:r w:rsidRPr="00D662C3" w:rsidR="007574C9">
        <w:t xml:space="preserve">are in a cemetery, and the camera moves toward them </w:t>
      </w:r>
      <w:r w:rsidRPr="00D662C3" w:rsidR="007A4A55">
        <w:t xml:space="preserve">at times </w:t>
      </w:r>
      <w:r w:rsidRPr="00D662C3" w:rsidR="007574C9">
        <w:t>to draw attention to their emotional response</w:t>
      </w:r>
      <w:r w:rsidRPr="00D662C3" w:rsidR="00D73F41">
        <w:t>s.</w:t>
      </w:r>
      <w:r w:rsidR="00274634">
        <w:t xml:space="preserve">  </w:t>
      </w:r>
      <w:r w:rsidR="00100EC8">
        <w:t>(</w:t>
      </w:r>
      <w:r w:rsidRPr="00274634" w:rsidR="00274634">
        <w:t>See</w:t>
      </w:r>
      <w:r w:rsidR="00274634">
        <w:rPr>
          <w:i/>
          <w:iCs/>
        </w:rPr>
        <w:t xml:space="preserve"> i</w:t>
      </w:r>
      <w:r w:rsidRPr="00100EC8" w:rsidR="00100EC8">
        <w:rPr>
          <w:i/>
          <w:iCs/>
        </w:rPr>
        <w:t>bid</w:t>
      </w:r>
      <w:r w:rsidR="00100EC8">
        <w:t>. [“</w:t>
      </w:r>
      <w:r w:rsidRPr="00100EC8" w:rsidR="00100EC8">
        <w:t>Trial courts must not permit irrelevant</w:t>
      </w:r>
      <w:r w:rsidR="00274634">
        <w:t> . . .</w:t>
      </w:r>
      <w:r w:rsidRPr="00100EC8" w:rsidR="00100EC8">
        <w:t xml:space="preserve"> video techniques that enhance the emotion of the factual presentation</w:t>
      </w:r>
      <w:r w:rsidR="00100EC8">
        <w:t>”</w:t>
      </w:r>
      <w:r w:rsidR="00274634">
        <w:t>; “</w:t>
      </w:r>
      <w:r w:rsidRPr="00274634" w:rsidR="00274634">
        <w:t>The videotape must</w:t>
      </w:r>
      <w:r w:rsidR="00274634">
        <w:t> . . . </w:t>
      </w:r>
      <w:r w:rsidRPr="00274634" w:rsidR="00274634">
        <w:t xml:space="preserve">not present a </w:t>
      </w:r>
      <w:r w:rsidR="00274634">
        <w:t>‘</w:t>
      </w:r>
      <w:r w:rsidRPr="00274634" w:rsidR="00274634">
        <w:t>staged and contrived presentation</w:t>
      </w:r>
      <w:r w:rsidR="00274634">
        <w:t>’ </w:t>
      </w:r>
      <w:r w:rsidRPr="00274634" w:rsidR="00274634">
        <w:t>”</w:t>
      </w:r>
      <w:r w:rsidR="00100EC8">
        <w:t>]</w:t>
      </w:r>
      <w:r w:rsidRPr="00100EC8" w:rsidR="00100EC8">
        <w:t>.</w:t>
      </w:r>
      <w:r w:rsidR="00100EC8">
        <w:t>)</w:t>
      </w:r>
      <w:r w:rsidRPr="00D662C3" w:rsidR="007574C9">
        <w:t xml:space="preserve">  </w:t>
      </w:r>
      <w:r w:rsidR="009C36E5">
        <w:t xml:space="preserve">Because </w:t>
      </w:r>
      <w:r w:rsidRPr="00D662C3" w:rsidR="00D73F41">
        <w:t xml:space="preserve">these </w:t>
      </w:r>
      <w:r w:rsidRPr="00D662C3" w:rsidR="00BA71F1">
        <w:t>features of the video</w:t>
      </w:r>
      <w:r w:rsidR="009C36E5">
        <w:t xml:space="preserve"> had no apparent purpose</w:t>
      </w:r>
      <w:r w:rsidRPr="00D662C3" w:rsidR="00BA71F1">
        <w:t xml:space="preserve"> </w:t>
      </w:r>
      <w:r w:rsidRPr="00D662C3" w:rsidR="00D73F41">
        <w:t>other than to increase the viewer’s emotional response</w:t>
      </w:r>
      <w:r w:rsidR="009C36E5">
        <w:t xml:space="preserve">, the trial </w:t>
      </w:r>
      <w:r w:rsidRPr="009C36E5" w:rsidR="009C36E5">
        <w:t xml:space="preserve">court </w:t>
      </w:r>
      <w:r w:rsidR="009C36E5">
        <w:t xml:space="preserve">should have </w:t>
      </w:r>
      <w:r w:rsidRPr="009C36E5" w:rsidR="009C36E5">
        <w:t>order</w:t>
      </w:r>
      <w:r w:rsidR="009C36E5">
        <w:t>ed</w:t>
      </w:r>
      <w:r w:rsidRPr="009C36E5" w:rsidR="009C36E5">
        <w:t xml:space="preserve"> the</w:t>
      </w:r>
      <w:r w:rsidR="009C36E5">
        <w:t xml:space="preserve"> prosecution</w:t>
      </w:r>
      <w:r w:rsidRPr="009C36E5" w:rsidR="009C36E5">
        <w:t xml:space="preserve"> </w:t>
      </w:r>
      <w:r w:rsidR="009C36E5">
        <w:t>to remove them</w:t>
      </w:r>
      <w:r w:rsidRPr="00D662C3" w:rsidR="007574C9">
        <w:t>.</w:t>
      </w:r>
      <w:r w:rsidRPr="00D662C3" w:rsidR="00D87D38">
        <w:t xml:space="preserve">  </w:t>
      </w:r>
    </w:p>
    <w:p w:rsidR="00ED286D" w:rsidRPr="00D662C3" w:rsidP="004F5DF7">
      <w:pPr>
        <w:ind w:firstLine="720"/>
      </w:pPr>
      <w:r w:rsidRPr="009C36E5">
        <w:t xml:space="preserve">However, </w:t>
      </w:r>
      <w:r>
        <w:t>“</w:t>
      </w:r>
      <w:r w:rsidRPr="009C36E5">
        <w:t xml:space="preserve">we find </w:t>
      </w:r>
      <w:r>
        <w:t>‘</w:t>
      </w:r>
      <w:r w:rsidRPr="009C36E5">
        <w:t>no reasonable possibility</w:t>
      </w:r>
      <w:r>
        <w:t>’</w:t>
      </w:r>
      <w:r w:rsidRPr="009C36E5">
        <w:t xml:space="preserve"> that the jury would have reached a different penalty verdict if </w:t>
      </w:r>
      <w:r>
        <w:t xml:space="preserve">[these objectionable features] </w:t>
      </w:r>
      <w:r w:rsidRPr="009C36E5">
        <w:t>had been omitted</w:t>
      </w:r>
      <w:r>
        <w:t>.”  (</w:t>
      </w:r>
      <w:r w:rsidRPr="009C36E5">
        <w:rPr>
          <w:i/>
          <w:iCs/>
        </w:rPr>
        <w:t>Sandoval, supra</w:t>
      </w:r>
      <w:r>
        <w:t>, 62 Cal. 4th at p. 442.)</w:t>
      </w:r>
      <w:r w:rsidRPr="00D662C3" w:rsidR="000310C6">
        <w:t xml:space="preserve">  During the penalty phase, t</w:t>
      </w:r>
      <w:r w:rsidRPr="00D662C3" w:rsidR="00EF7019">
        <w:t>he prosecution presented</w:t>
      </w:r>
      <w:r w:rsidRPr="00D662C3" w:rsidR="000310C6">
        <w:t xml:space="preserve"> </w:t>
      </w:r>
      <w:r w:rsidRPr="00D662C3" w:rsidR="0044084E">
        <w:t xml:space="preserve">voluminous </w:t>
      </w:r>
      <w:r w:rsidRPr="00D662C3" w:rsidR="000310C6">
        <w:t xml:space="preserve">testimony from many witnesses describing </w:t>
      </w:r>
      <w:r w:rsidRPr="00D662C3" w:rsidR="008E57D3">
        <w:t xml:space="preserve">numerous </w:t>
      </w:r>
      <w:r w:rsidRPr="00D662C3" w:rsidR="000310C6">
        <w:t xml:space="preserve">violent crimes that </w:t>
      </w:r>
      <w:r w:rsidRPr="00D662C3" w:rsidR="0038020D">
        <w:t xml:space="preserve">Gonzalez had </w:t>
      </w:r>
      <w:r w:rsidRPr="00D662C3" w:rsidR="00FB7A82">
        <w:t>perpetrated</w:t>
      </w:r>
      <w:r w:rsidRPr="00D662C3" w:rsidR="000310C6">
        <w:t xml:space="preserve"> against them.  </w:t>
      </w:r>
      <w:r w:rsidRPr="00D662C3" w:rsidR="0065423F">
        <w:t xml:space="preserve">Those crimes involved a string of armed robberies that occurred in 1994, two shootings that occurred in 2006 (one </w:t>
      </w:r>
      <w:r w:rsidRPr="00D662C3" w:rsidR="007A4A55">
        <w:t>of</w:t>
      </w:r>
      <w:r w:rsidRPr="00D662C3" w:rsidR="0065423F">
        <w:t xml:space="preserve"> which left the victim with five bullet wounds)</w:t>
      </w:r>
      <w:r w:rsidRPr="00D662C3" w:rsidR="00A36292">
        <w:t>,</w:t>
      </w:r>
      <w:r w:rsidRPr="00D662C3" w:rsidR="0065423F">
        <w:t xml:space="preserve"> an armed carjacking </w:t>
      </w:r>
      <w:r w:rsidRPr="00D662C3" w:rsidR="004A6D59">
        <w:t xml:space="preserve">and an attack on a prison guard.  (See </w:t>
      </w:r>
      <w:r w:rsidRPr="00D662C3" w:rsidR="004A6D59">
        <w:rPr>
          <w:i/>
          <w:iCs/>
        </w:rPr>
        <w:t>ante</w:t>
      </w:r>
      <w:r w:rsidRPr="00D662C3" w:rsidR="004A6D59">
        <w:t xml:space="preserve">, at pp. </w:t>
      </w:r>
      <w:r w:rsidRPr="00D662C3" w:rsidR="00B91949">
        <w:t>1</w:t>
      </w:r>
      <w:r w:rsidR="001F0D22">
        <w:t>0</w:t>
      </w:r>
      <w:r w:rsidRPr="00D662C3" w:rsidR="00B91949">
        <w:t>–1</w:t>
      </w:r>
      <w:r w:rsidR="001F0D22">
        <w:t>1</w:t>
      </w:r>
      <w:r w:rsidRPr="00D662C3" w:rsidR="004A6D59">
        <w:t>.)</w:t>
      </w:r>
      <w:r w:rsidRPr="00D662C3" w:rsidR="0065423F">
        <w:t xml:space="preserve"> </w:t>
      </w:r>
      <w:r w:rsidRPr="00D662C3" w:rsidR="004A6D59">
        <w:t xml:space="preserve"> </w:t>
      </w:r>
      <w:r w:rsidRPr="00D662C3" w:rsidR="000310C6">
        <w:t xml:space="preserve">Moreover, </w:t>
      </w:r>
      <w:r w:rsidRPr="00D662C3" w:rsidR="004A6D59">
        <w:t>apart from the victim impact video, the jury heard extensive in-person victim impact testimony from coworkers, friends and family members</w:t>
      </w:r>
      <w:r w:rsidRPr="00D662C3" w:rsidR="00BA71F1">
        <w:t>, some of whom also appeared in the video</w:t>
      </w:r>
      <w:r w:rsidRPr="00D662C3" w:rsidR="004A6D59">
        <w:t xml:space="preserve">.  Those witnesses described, among other things, Rosa’s strong work ethic, her bright and kind personality, her willingness to help other people and their profound sense of loss when she was killed.  Rosa’s partner described how they met, their life together and their plans for adopting a child.  Rosa’s sister described their close relationship and Rosa’s early life.  (See </w:t>
      </w:r>
      <w:r w:rsidRPr="00D662C3" w:rsidR="004A6D59">
        <w:rPr>
          <w:i/>
          <w:iCs/>
        </w:rPr>
        <w:t>ante</w:t>
      </w:r>
      <w:r w:rsidRPr="00D662C3" w:rsidR="004A6D59">
        <w:t xml:space="preserve">, at p. </w:t>
      </w:r>
      <w:r w:rsidRPr="00D662C3" w:rsidR="00B91949">
        <w:t>1</w:t>
      </w:r>
      <w:r w:rsidR="001F0D22">
        <w:t>2</w:t>
      </w:r>
      <w:r w:rsidRPr="00D662C3" w:rsidR="004A6D59">
        <w:t>.)</w:t>
      </w:r>
      <w:r w:rsidRPr="00D662C3" w:rsidR="000310C6">
        <w:t xml:space="preserve">  </w:t>
      </w:r>
      <w:r w:rsidRPr="00D662C3" w:rsidR="00FB7A82">
        <w:t xml:space="preserve">Accordingly, </w:t>
      </w:r>
      <w:r w:rsidRPr="00D662C3" w:rsidR="00826A48">
        <w:t xml:space="preserve">even without the video, </w:t>
      </w:r>
      <w:r w:rsidRPr="00D662C3" w:rsidR="00FB7A82">
        <w:t xml:space="preserve">the jury would have heard </w:t>
      </w:r>
      <w:r w:rsidRPr="00D662C3" w:rsidR="004A6D59">
        <w:t xml:space="preserve">much of the same type of emotional </w:t>
      </w:r>
      <w:r w:rsidRPr="00D662C3" w:rsidR="00FB7A82">
        <w:t xml:space="preserve">testimony.  </w:t>
      </w:r>
      <w:r w:rsidRPr="00D662C3" w:rsidR="000310C6">
        <w:t xml:space="preserve">Given all this evidence, “we see no reasonable possibility </w:t>
      </w:r>
      <w:r w:rsidRPr="00D662C3" w:rsidR="0044084E">
        <w:t>[</w:t>
      </w:r>
      <w:r w:rsidRPr="00D662C3" w:rsidR="007A4A55">
        <w:t xml:space="preserve">that </w:t>
      </w:r>
      <w:r w:rsidRPr="00D662C3" w:rsidR="0044084E">
        <w:t xml:space="preserve">the objectionable] </w:t>
      </w:r>
      <w:r w:rsidRPr="00D662C3" w:rsidR="000310C6">
        <w:t>portions of the videotape affected the penalty determination.”  (</w:t>
      </w:r>
      <w:r w:rsidRPr="00D662C3" w:rsidR="000310C6">
        <w:rPr>
          <w:i/>
          <w:iCs/>
        </w:rPr>
        <w:t>Kelly, supra</w:t>
      </w:r>
      <w:r w:rsidRPr="00D662C3" w:rsidR="000310C6">
        <w:t>, 42 Cal.4th at p. 799.)</w:t>
      </w:r>
      <w:r>
        <w:rPr>
          <w:rStyle w:val="FootnoteReference"/>
        </w:rPr>
        <w:footnoteReference w:id="22"/>
      </w:r>
      <w:r w:rsidRPr="00D662C3">
        <w:tab/>
      </w:r>
    </w:p>
    <w:p w:rsidR="00305D5B" w:rsidRPr="00D662C3" w:rsidP="004F5DF7">
      <w:pPr>
        <w:pStyle w:val="ListParagraph"/>
        <w:numPr>
          <w:ilvl w:val="0"/>
          <w:numId w:val="8"/>
        </w:numPr>
        <w:tabs>
          <w:tab w:val="left" w:pos="1440"/>
        </w:tabs>
        <w:rPr>
          <w:i/>
          <w:iCs/>
          <w:smallCaps/>
        </w:rPr>
      </w:pPr>
      <w:r w:rsidRPr="00D662C3">
        <w:rPr>
          <w:i/>
          <w:iCs/>
        </w:rPr>
        <w:t xml:space="preserve">Constitutionality of the </w:t>
      </w:r>
      <w:r w:rsidRPr="00D662C3" w:rsidR="00FB7A82">
        <w:rPr>
          <w:i/>
          <w:iCs/>
        </w:rPr>
        <w:t>d</w:t>
      </w:r>
      <w:r w:rsidRPr="00D662C3" w:rsidR="00EF08E0">
        <w:rPr>
          <w:i/>
          <w:iCs/>
        </w:rPr>
        <w:t xml:space="preserve">eath </w:t>
      </w:r>
      <w:r w:rsidRPr="00D662C3" w:rsidR="00FB7A82">
        <w:rPr>
          <w:i/>
          <w:iCs/>
        </w:rPr>
        <w:t>p</w:t>
      </w:r>
      <w:r w:rsidRPr="00D662C3" w:rsidR="00EF08E0">
        <w:rPr>
          <w:i/>
          <w:iCs/>
        </w:rPr>
        <w:t>enalty</w:t>
      </w:r>
      <w:r w:rsidRPr="00D662C3">
        <w:rPr>
          <w:i/>
          <w:iCs/>
        </w:rPr>
        <w:t xml:space="preserve"> </w:t>
      </w:r>
    </w:p>
    <w:p w:rsidR="00332111" w:rsidRPr="00D662C3" w:rsidP="004F5DF7">
      <w:pPr>
        <w:tabs>
          <w:tab w:val="left" w:pos="1440"/>
        </w:tabs>
        <w:ind w:firstLine="720"/>
      </w:pPr>
      <w:r w:rsidRPr="00D662C3">
        <w:t>Gonzalez challenges the constitutionality of California’s death penalty</w:t>
      </w:r>
      <w:r w:rsidRPr="00D662C3">
        <w:t xml:space="preserve"> statute and implementing statutes</w:t>
      </w:r>
      <w:r w:rsidRPr="00D662C3">
        <w:t xml:space="preserve"> on numerous grounds that we have previously rejected.  </w:t>
      </w:r>
      <w:r w:rsidRPr="00D662C3">
        <w:t xml:space="preserve">We decline to reconsider our previous holdings that: </w:t>
      </w:r>
    </w:p>
    <w:p w:rsidR="00332111" w:rsidRPr="00D662C3" w:rsidP="004F5DF7">
      <w:pPr>
        <w:tabs>
          <w:tab w:val="left" w:pos="1440"/>
        </w:tabs>
        <w:ind w:firstLine="720"/>
      </w:pPr>
      <w:r w:rsidRPr="00D662C3">
        <w:t xml:space="preserve">(i) </w:t>
      </w:r>
      <w:r w:rsidRPr="00D662C3" w:rsidR="00731EF9">
        <w:t>“</w:t>
      </w:r>
      <w:r w:rsidR="002E43BB">
        <w:t> </w:t>
      </w:r>
      <w:r w:rsidRPr="00D662C3" w:rsidR="00731EF9">
        <w:t>‘[T]he California death penalty statute is not impermissibly broad, whether considered on its face or as interpreted by this court’</w:t>
      </w:r>
      <w:r w:rsidR="002E43BB">
        <w:t> </w:t>
      </w:r>
      <w:r w:rsidRPr="00D662C3" w:rsidR="00731EF9">
        <w:t>”</w:t>
      </w:r>
      <w:r w:rsidRPr="00D662C3">
        <w:t xml:space="preserve">  (</w:t>
      </w:r>
      <w:r w:rsidRPr="00D662C3">
        <w:rPr>
          <w:i/>
          <w:iCs/>
        </w:rPr>
        <w:t>People v. Dalton</w:t>
      </w:r>
      <w:r w:rsidRPr="00D662C3">
        <w:t xml:space="preserve"> (2019) 7 Cal.5th 166, 267 (</w:t>
      </w:r>
      <w:r w:rsidRPr="00DB6ADD">
        <w:rPr>
          <w:i/>
          <w:iCs/>
        </w:rPr>
        <w:t>Dalton</w:t>
      </w:r>
      <w:r w:rsidRPr="00D662C3">
        <w:t>))</w:t>
      </w:r>
      <w:r w:rsidRPr="00D662C3" w:rsidR="004E55E1">
        <w:t xml:space="preserve">; </w:t>
      </w:r>
    </w:p>
    <w:p w:rsidR="00332111" w:rsidRPr="00D662C3" w:rsidP="004F5DF7">
      <w:pPr>
        <w:tabs>
          <w:tab w:val="left" w:pos="1440"/>
        </w:tabs>
        <w:ind w:firstLine="720"/>
      </w:pPr>
      <w:r w:rsidRPr="00D662C3">
        <w:t xml:space="preserve">(ii) </w:t>
      </w:r>
      <w:r w:rsidRPr="00D662C3" w:rsidR="00731EF9">
        <w:t>“</w:t>
      </w:r>
      <w:r w:rsidR="002E43BB">
        <w:t> ‘</w:t>
      </w:r>
      <w:r w:rsidR="00055725">
        <w:t>s</w:t>
      </w:r>
      <w:r w:rsidRPr="00D662C3" w:rsidR="00731EF9">
        <w:t xml:space="preserve">ection 190.3, factor (a), on its face or as interpreted and applied, </w:t>
      </w:r>
      <w:r w:rsidRPr="00D662C3">
        <w:t xml:space="preserve">[does not] </w:t>
      </w:r>
      <w:r w:rsidRPr="00D662C3" w:rsidR="00731EF9">
        <w:t>permit arbitrary and capricious imposition of a sentence of death</w:t>
      </w:r>
      <w:r w:rsidRPr="00D662C3" w:rsidR="008D30CA">
        <w:t>’ </w:t>
      </w:r>
      <w:r w:rsidRPr="00D662C3" w:rsidR="00731EF9">
        <w:t>”</w:t>
      </w:r>
      <w:r w:rsidRPr="00D662C3">
        <w:t xml:space="preserve"> (</w:t>
      </w:r>
      <w:r w:rsidRPr="00D662C3">
        <w:rPr>
          <w:i/>
          <w:iCs/>
        </w:rPr>
        <w:t xml:space="preserve">Dalton, supra, </w:t>
      </w:r>
      <w:r w:rsidRPr="00D662C3">
        <w:t>7 Cal.5th at p. 267)</w:t>
      </w:r>
      <w:r w:rsidRPr="00D662C3" w:rsidR="004E55E1">
        <w:t xml:space="preserve">; </w:t>
      </w:r>
    </w:p>
    <w:p w:rsidR="00332111" w:rsidRPr="00D662C3" w:rsidP="004F5DF7">
      <w:pPr>
        <w:tabs>
          <w:tab w:val="left" w:pos="1440"/>
        </w:tabs>
        <w:ind w:firstLine="720"/>
      </w:pPr>
      <w:r w:rsidRPr="00D662C3">
        <w:t xml:space="preserve">(iii) </w:t>
      </w:r>
      <w:r w:rsidRPr="00D662C3" w:rsidR="007A4A55">
        <w:t>“</w:t>
      </w:r>
      <w:r w:rsidRPr="00D662C3" w:rsidR="0042654F">
        <w:t> </w:t>
      </w:r>
      <w:r w:rsidRPr="00D662C3" w:rsidR="007A4A55">
        <w:t>‘</w:t>
      </w:r>
      <w:r w:rsidR="00055725">
        <w:t>[t]</w:t>
      </w:r>
      <w:r w:rsidRPr="00D662C3" w:rsidR="007A4A55">
        <w:t xml:space="preserve">he death penalty statute does not lack safeguards to avoid arbitrary and capricious sentencing . . . or constitute cruel and unusual punishment on the ground that it does not require either unanimity as to the truth of aggravating circumstances or findings beyond a reasonable doubt that an aggravating circumstance (other than Pen. Code, § 190.3, factor (b) or (c) evidence) has been proved, that the aggravating factors outweighed the mitigating factors, or that death is the appropriate sentence.’ </w:t>
      </w:r>
      <w:r w:rsidRPr="00D662C3" w:rsidR="00F629D2">
        <w:t xml:space="preserve"> </w:t>
      </w:r>
      <w:r w:rsidRPr="00D662C3" w:rsidR="007A4A55">
        <w:t xml:space="preserve">[Citation] </w:t>
      </w:r>
      <w:r w:rsidRPr="00D662C3" w:rsidR="00F629D2">
        <w:t xml:space="preserve"> </w:t>
      </w:r>
      <w:r w:rsidRPr="00D662C3" w:rsidR="007A4A55">
        <w:t xml:space="preserve">Nothing in </w:t>
      </w:r>
      <w:r w:rsidRPr="00D662C3" w:rsidR="007A4A55">
        <w:rPr>
          <w:i/>
          <w:iCs/>
        </w:rPr>
        <w:t>Hurst v. Florida</w:t>
      </w:r>
      <w:r w:rsidRPr="00D662C3" w:rsidR="007A4A55">
        <w:t xml:space="preserve"> (2016) 577 U.S. </w:t>
      </w:r>
      <w:r w:rsidRPr="00D662C3" w:rsidR="00731EF9">
        <w:t>[92]</w:t>
      </w:r>
      <w:r w:rsidRPr="00D662C3" w:rsidR="008D30CA">
        <w:t> . . . </w:t>
      </w:r>
      <w:r w:rsidRPr="00D662C3" w:rsidR="007A4A55">
        <w:t xml:space="preserve">, </w:t>
      </w:r>
      <w:r w:rsidRPr="00D662C3" w:rsidR="007A4A55">
        <w:rPr>
          <w:i/>
          <w:iCs/>
        </w:rPr>
        <w:t>Cunningham v. California</w:t>
      </w:r>
      <w:r w:rsidRPr="00D662C3" w:rsidR="007A4A55">
        <w:t xml:space="preserve"> (2007) 549 U.S. 270</w:t>
      </w:r>
      <w:r w:rsidRPr="00D662C3" w:rsidR="008D30CA">
        <w:t> . . . , </w:t>
      </w:r>
      <w:r w:rsidRPr="00D662C3" w:rsidR="007A4A55">
        <w:rPr>
          <w:i/>
          <w:iCs/>
        </w:rPr>
        <w:t>Blakely v. Washington</w:t>
      </w:r>
      <w:r w:rsidRPr="00D662C3" w:rsidR="007A4A55">
        <w:t xml:space="preserve"> (2004) 542 U.S. 296,</w:t>
      </w:r>
      <w:r w:rsidRPr="00D662C3" w:rsidR="008D30CA">
        <w:t> . . . , </w:t>
      </w:r>
      <w:r w:rsidRPr="00D662C3" w:rsidR="007A4A55">
        <w:rPr>
          <w:i/>
          <w:iCs/>
        </w:rPr>
        <w:t>Ring v. Arizona</w:t>
      </w:r>
      <w:r w:rsidRPr="00D662C3" w:rsidR="007A4A55">
        <w:rPr>
          <w:i/>
        </w:rPr>
        <w:t xml:space="preserve"> </w:t>
      </w:r>
      <w:r w:rsidRPr="00D662C3" w:rsidR="007A4A55">
        <w:t>(2002) 536 U.S. 584</w:t>
      </w:r>
      <w:r w:rsidRPr="00D662C3" w:rsidR="008D30CA">
        <w:t> . . . .,</w:t>
      </w:r>
      <w:r w:rsidRPr="00D662C3" w:rsidR="007A4A55">
        <w:t xml:space="preserve"> or </w:t>
      </w:r>
      <w:r w:rsidRPr="00D662C3" w:rsidR="007A4A55">
        <w:rPr>
          <w:i/>
          <w:iCs/>
        </w:rPr>
        <w:t>Apprendi v. New Jersey</w:t>
      </w:r>
      <w:r w:rsidRPr="00D662C3" w:rsidR="007A4A55">
        <w:t xml:space="preserve"> (2000) 530 U.S. 466</w:t>
      </w:r>
      <w:r w:rsidRPr="00D662C3" w:rsidR="008D30CA">
        <w:t> . . . </w:t>
      </w:r>
      <w:r w:rsidRPr="00D662C3" w:rsidR="007A4A55">
        <w:t>, affects our conclusions in this regard</w:t>
      </w:r>
      <w:r w:rsidRPr="00D662C3" w:rsidR="00731EF9">
        <w:t>”</w:t>
      </w:r>
      <w:r w:rsidRPr="00D662C3">
        <w:t xml:space="preserve"> (</w:t>
      </w:r>
      <w:r w:rsidRPr="00D662C3">
        <w:rPr>
          <w:i/>
          <w:iCs/>
        </w:rPr>
        <w:t xml:space="preserve">Dalton, supra, </w:t>
      </w:r>
      <w:r w:rsidRPr="00D662C3">
        <w:t>7 Cal.5th at p. 267);</w:t>
      </w:r>
    </w:p>
    <w:p w:rsidR="0060693E" w:rsidRPr="00D662C3" w:rsidP="004F5DF7">
      <w:pPr>
        <w:tabs>
          <w:tab w:val="left" w:pos="1440"/>
        </w:tabs>
        <w:ind w:firstLine="720"/>
      </w:pPr>
      <w:r w:rsidRPr="00D662C3">
        <w:t xml:space="preserve"> </w:t>
      </w:r>
      <w:r w:rsidRPr="00D662C3" w:rsidR="00C936CF">
        <w:t xml:space="preserve">(iv) </w:t>
      </w:r>
      <w:r w:rsidRPr="00D662C3" w:rsidR="00731EF9">
        <w:t>“ ‘</w:t>
      </w:r>
      <w:r w:rsidR="00055725">
        <w:t>[w]</w:t>
      </w:r>
      <w:r w:rsidRPr="00D662C3" w:rsidR="00731EF9">
        <w:t>ritten findings by the jury during the penalty phase are not constitutionally required, and their absence does not deprive defendant of meaningful appellate review’ ”</w:t>
      </w:r>
      <w:r w:rsidRPr="00D662C3">
        <w:t xml:space="preserve"> (</w:t>
      </w:r>
      <w:r w:rsidRPr="00D662C3">
        <w:rPr>
          <w:i/>
          <w:iCs/>
        </w:rPr>
        <w:t xml:space="preserve">Dalton, supra, </w:t>
      </w:r>
      <w:r w:rsidRPr="00D662C3">
        <w:t>7 Cal.5th at p. 268)</w:t>
      </w:r>
      <w:r w:rsidRPr="00D662C3" w:rsidR="00880494">
        <w:t xml:space="preserve">; </w:t>
      </w:r>
    </w:p>
    <w:p w:rsidR="0060693E" w:rsidRPr="00D662C3" w:rsidP="004F5DF7">
      <w:pPr>
        <w:tabs>
          <w:tab w:val="left" w:pos="1440"/>
        </w:tabs>
        <w:ind w:firstLine="720"/>
      </w:pPr>
      <w:r w:rsidRPr="00D662C3">
        <w:t xml:space="preserve">(v) </w:t>
      </w:r>
      <w:r w:rsidRPr="00D662C3" w:rsidR="00731EF9">
        <w:t>“ ‘</w:t>
      </w:r>
      <w:r w:rsidR="00055725">
        <w:t>[t]</w:t>
      </w:r>
      <w:r w:rsidRPr="00D662C3" w:rsidR="00731EF9">
        <w:t>he federal constitutional guarantees of due process and equal protection, and against cruel and unusual punishment [citations], do not require intercase proportionality review on appeal’ ”</w:t>
      </w:r>
      <w:r w:rsidRPr="00D662C3">
        <w:t xml:space="preserve"> (</w:t>
      </w:r>
      <w:r w:rsidRPr="00D662C3">
        <w:rPr>
          <w:i/>
          <w:iCs/>
        </w:rPr>
        <w:t xml:space="preserve">Dalton, supra, </w:t>
      </w:r>
      <w:r w:rsidRPr="00D662C3">
        <w:t>7 Cal.5th at p. 268)</w:t>
      </w:r>
      <w:r w:rsidRPr="00D662C3" w:rsidR="00880494">
        <w:t xml:space="preserve">; </w:t>
      </w:r>
    </w:p>
    <w:p w:rsidR="0060693E" w:rsidRPr="00D662C3" w:rsidP="004F5DF7">
      <w:pPr>
        <w:tabs>
          <w:tab w:val="left" w:pos="1440"/>
        </w:tabs>
        <w:ind w:firstLine="720"/>
      </w:pPr>
      <w:r w:rsidRPr="00D662C3">
        <w:t xml:space="preserve">(vi) </w:t>
      </w:r>
      <w:r w:rsidRPr="00D662C3" w:rsidR="00731EF9">
        <w:t>“ ‘ “</w:t>
      </w:r>
      <w:r w:rsidR="00055725">
        <w:t>c</w:t>
      </w:r>
      <w:r w:rsidRPr="00D662C3" w:rsidR="00731EF9">
        <w:t>apital and noncapital defendants are not similarly situated and therefore may be treated differently without violating” a defendant’s right to equal protection of the laws, due process of law, or freedom from cruel and unusual punishment’ ”</w:t>
      </w:r>
      <w:r w:rsidRPr="00D662C3">
        <w:t xml:space="preserve"> (</w:t>
      </w:r>
      <w:r w:rsidRPr="00D662C3">
        <w:rPr>
          <w:i/>
          <w:iCs/>
        </w:rPr>
        <w:t xml:space="preserve">Dalton, supra, </w:t>
      </w:r>
      <w:r w:rsidRPr="00D662C3">
        <w:t>7 Cal.5th at p. 268)</w:t>
      </w:r>
      <w:r w:rsidRPr="00D662C3" w:rsidR="00880494">
        <w:t xml:space="preserve">; </w:t>
      </w:r>
    </w:p>
    <w:p w:rsidR="0060693E" w:rsidRPr="00D662C3" w:rsidP="004F5DF7">
      <w:pPr>
        <w:tabs>
          <w:tab w:val="left" w:pos="1440"/>
        </w:tabs>
        <w:ind w:firstLine="720"/>
      </w:pPr>
      <w:r w:rsidRPr="00D662C3">
        <w:t xml:space="preserve">(vii) </w:t>
      </w:r>
      <w:r w:rsidRPr="00D662C3" w:rsidR="00731EF9">
        <w:t>“ ‘ “</w:t>
      </w:r>
      <w:r w:rsidR="00055725">
        <w:t>[t]</w:t>
      </w:r>
      <w:r w:rsidRPr="00D662C3" w:rsidR="00731EF9">
        <w:t>he death penalty as applied in this state is not rendered unconstitutional through operation of international laws and treaties” ’ ”</w:t>
      </w:r>
      <w:r w:rsidRPr="00D662C3">
        <w:t xml:space="preserve"> (</w:t>
      </w:r>
      <w:r w:rsidRPr="00D662C3">
        <w:rPr>
          <w:i/>
          <w:iCs/>
        </w:rPr>
        <w:t xml:space="preserve">Dalton, supra, </w:t>
      </w:r>
      <w:r w:rsidRPr="00D662C3">
        <w:t>7 Cal.5th at p. 268)</w:t>
      </w:r>
      <w:r w:rsidRPr="00D662C3" w:rsidR="00880494">
        <w:t xml:space="preserve">; </w:t>
      </w:r>
    </w:p>
    <w:p w:rsidR="00B61290" w:rsidRPr="00D662C3" w:rsidP="004F5DF7">
      <w:pPr>
        <w:tabs>
          <w:tab w:val="left" w:pos="1440"/>
        </w:tabs>
        <w:ind w:firstLine="720"/>
      </w:pPr>
      <w:r w:rsidRPr="00D662C3">
        <w:t xml:space="preserve">(viii) </w:t>
      </w:r>
      <w:r w:rsidRPr="00D662C3" w:rsidR="00D87309">
        <w:t>“</w:t>
      </w:r>
      <w:r w:rsidR="00055725">
        <w:t>t</w:t>
      </w:r>
      <w:r w:rsidRPr="00D662C3" w:rsidR="00880494">
        <w:t xml:space="preserve">he trial court </w:t>
      </w:r>
      <w:r w:rsidRPr="00D662C3" w:rsidR="00D87309">
        <w:t>[i</w:t>
      </w:r>
      <w:r w:rsidRPr="00D662C3" w:rsidR="00880494">
        <w:t>s not</w:t>
      </w:r>
      <w:r w:rsidRPr="00D662C3" w:rsidR="00D87309">
        <w:t>]</w:t>
      </w:r>
      <w:r w:rsidRPr="00D662C3" w:rsidR="00880494">
        <w:t xml:space="preserve"> constitutionally required to instruct the jury that </w:t>
      </w:r>
      <w:r w:rsidRPr="00D662C3" w:rsidR="00D87309">
        <w:t xml:space="preserve">section 190.3’s </w:t>
      </w:r>
      <w:r w:rsidRPr="00D662C3" w:rsidR="00880494">
        <w:t xml:space="preserve">mitigating factors </w:t>
      </w:r>
      <w:r w:rsidRPr="00D662C3" w:rsidR="00D87309">
        <w:t>[</w:t>
      </w:r>
      <w:r w:rsidRPr="00D662C3" w:rsidR="00880494">
        <w:t>c</w:t>
      </w:r>
      <w:r w:rsidRPr="00D662C3" w:rsidR="00D87309">
        <w:t>an]</w:t>
      </w:r>
      <w:r w:rsidRPr="00D662C3" w:rsidR="00880494">
        <w:t xml:space="preserve"> be considered only as mitigating factors and the absence of evidence supporting any one should not be viewed as an aggravating factor</w:t>
      </w:r>
      <w:r w:rsidRPr="00D662C3" w:rsidR="00D87309">
        <w:t>”</w:t>
      </w:r>
      <w:r w:rsidRPr="00D662C3">
        <w:t xml:space="preserve"> (</w:t>
      </w:r>
      <w:r w:rsidRPr="00D662C3">
        <w:rPr>
          <w:i/>
          <w:iCs/>
        </w:rPr>
        <w:t>People v. Duff</w:t>
      </w:r>
      <w:r w:rsidRPr="00D662C3">
        <w:t xml:space="preserve"> (2014) 58 Cal.4th 527, 570</w:t>
      </w:r>
      <w:r w:rsidRPr="00D662C3" w:rsidR="00880494">
        <w:t>)</w:t>
      </w:r>
      <w:r w:rsidRPr="00D662C3">
        <w:t>.</w:t>
      </w:r>
    </w:p>
    <w:p w:rsidR="00305D5B" w:rsidRPr="00D662C3" w:rsidP="00991853">
      <w:pPr>
        <w:pStyle w:val="ListParagraph"/>
        <w:numPr>
          <w:ilvl w:val="0"/>
          <w:numId w:val="5"/>
        </w:numPr>
        <w:tabs>
          <w:tab w:val="left" w:pos="1440"/>
        </w:tabs>
        <w:rPr>
          <w:b/>
          <w:bCs/>
          <w:smallCaps/>
        </w:rPr>
      </w:pPr>
      <w:r w:rsidRPr="00D662C3">
        <w:rPr>
          <w:b/>
          <w:bCs/>
        </w:rPr>
        <w:t xml:space="preserve">Cumulative </w:t>
      </w:r>
      <w:r w:rsidRPr="00D662C3" w:rsidR="00991853">
        <w:rPr>
          <w:b/>
          <w:bCs/>
        </w:rPr>
        <w:t>E</w:t>
      </w:r>
      <w:r w:rsidRPr="00D662C3">
        <w:rPr>
          <w:b/>
          <w:bCs/>
        </w:rPr>
        <w:t>rror</w:t>
      </w:r>
      <w:r w:rsidRPr="00D662C3">
        <w:rPr>
          <w:i/>
          <w:iCs/>
        </w:rPr>
        <w:t xml:space="preserve"> </w:t>
      </w:r>
    </w:p>
    <w:p w:rsidR="00707AC5" w:rsidRPr="00D662C3" w:rsidP="004F5DF7">
      <w:pPr>
        <w:tabs>
          <w:tab w:val="left" w:pos="1440"/>
        </w:tabs>
        <w:ind w:firstLine="720"/>
      </w:pPr>
      <w:r w:rsidRPr="00D662C3">
        <w:t xml:space="preserve">Gonzalez </w:t>
      </w:r>
      <w:r w:rsidRPr="00D662C3" w:rsidR="006F7FC4">
        <w:t xml:space="preserve">contends the cumulative effect of errors at the guilt and penalty phase requires reversal.  </w:t>
      </w:r>
      <w:r w:rsidRPr="00D662C3" w:rsidR="000310C6">
        <w:t xml:space="preserve">As discussed above, </w:t>
      </w:r>
      <w:r w:rsidRPr="00D662C3" w:rsidR="008D30CA">
        <w:t xml:space="preserve">for purposes of the guilt phase, </w:t>
      </w:r>
      <w:r w:rsidRPr="00D662C3" w:rsidR="000310C6">
        <w:t>w</w:t>
      </w:r>
      <w:r w:rsidRPr="00D662C3" w:rsidR="006F7FC4">
        <w:t xml:space="preserve">e </w:t>
      </w:r>
      <w:r w:rsidRPr="00D662C3" w:rsidR="00FB7A82">
        <w:t xml:space="preserve">have </w:t>
      </w:r>
      <w:r w:rsidRPr="00D662C3" w:rsidR="006F7FC4">
        <w:t>assumed that</w:t>
      </w:r>
      <w:r w:rsidRPr="00D662C3" w:rsidR="00FB7A82">
        <w:t xml:space="preserve"> the</w:t>
      </w:r>
      <w:r w:rsidRPr="00D662C3" w:rsidR="006F7FC4">
        <w:t xml:space="preserve"> admission of</w:t>
      </w:r>
      <w:r w:rsidRPr="00D662C3" w:rsidR="00FB7A82">
        <w:t xml:space="preserve"> portions of Juli Watkins’s testimony regarding the </w:t>
      </w:r>
      <w:r w:rsidRPr="00D662C3" w:rsidR="006F7FC4">
        <w:t xml:space="preserve">DNA evidence was error but conclude that any such error was harmless beyond a reasonable doubt. </w:t>
      </w:r>
      <w:r w:rsidRPr="00D662C3">
        <w:t xml:space="preserve"> </w:t>
      </w:r>
      <w:r w:rsidRPr="00D662C3" w:rsidR="008D30CA">
        <w:t>There are no other errors to cumulate with respect to guilt.</w:t>
      </w:r>
    </w:p>
    <w:p w:rsidR="006054EA" w:rsidRPr="00D662C3" w:rsidP="0060693E">
      <w:pPr>
        <w:tabs>
          <w:tab w:val="left" w:pos="1440"/>
        </w:tabs>
        <w:ind w:firstLine="720"/>
      </w:pPr>
      <w:r w:rsidRPr="00D662C3">
        <w:t>For purposes of the penalty phase,</w:t>
      </w:r>
      <w:r w:rsidRPr="00D662C3" w:rsidR="00E529BF">
        <w:t xml:space="preserve"> we have found that certain aspects of the </w:t>
      </w:r>
      <w:r w:rsidRPr="00D662C3" w:rsidR="00FB7A82">
        <w:t>victim</w:t>
      </w:r>
      <w:r w:rsidRPr="00D662C3" w:rsidR="0042654F">
        <w:t xml:space="preserve"> </w:t>
      </w:r>
      <w:r w:rsidRPr="00D662C3" w:rsidR="00FB7A82">
        <w:t xml:space="preserve">impact </w:t>
      </w:r>
      <w:r w:rsidRPr="00D662C3" w:rsidR="00E529BF">
        <w:t>video</w:t>
      </w:r>
      <w:r w:rsidRPr="00D662C3" w:rsidR="00FB7A82">
        <w:t xml:space="preserve"> submitted at the penalty phase </w:t>
      </w:r>
      <w:r w:rsidRPr="00D662C3" w:rsidR="00E529BF">
        <w:t>may have been unduly emotional</w:t>
      </w:r>
      <w:r w:rsidRPr="00D662C3" w:rsidR="001F1AE2">
        <w:t xml:space="preserve"> or cumulative of other testimony</w:t>
      </w:r>
      <w:r w:rsidRPr="00D662C3" w:rsidR="00E529BF">
        <w:t xml:space="preserve"> </w:t>
      </w:r>
      <w:r w:rsidRPr="00D662C3">
        <w:t xml:space="preserve">but </w:t>
      </w:r>
      <w:r w:rsidRPr="00D662C3" w:rsidR="00E529BF">
        <w:t xml:space="preserve">conclude that any error was harmless beyond a reasonable doubt. </w:t>
      </w:r>
      <w:r w:rsidRPr="00D662C3">
        <w:t xml:space="preserve"> </w:t>
      </w:r>
      <w:r w:rsidRPr="00D662C3" w:rsidR="00E529BF">
        <w:t xml:space="preserve">There are no other errors </w:t>
      </w:r>
      <w:r w:rsidRPr="00D662C3" w:rsidR="005D69B3">
        <w:t xml:space="preserve">to cumulate with respect to </w:t>
      </w:r>
      <w:r w:rsidRPr="00D662C3" w:rsidR="00FB7A82">
        <w:t>penalty</w:t>
      </w:r>
      <w:r w:rsidRPr="00D662C3" w:rsidR="005D69B3">
        <w:t>.</w:t>
      </w:r>
      <w:r>
        <w:rPr>
          <w:rStyle w:val="FootnoteReference"/>
        </w:rPr>
        <w:footnoteReference w:id="23"/>
      </w:r>
    </w:p>
    <w:p w:rsidR="00197A1C" w:rsidRPr="00D662C3" w:rsidP="004F5DF7">
      <w:pPr>
        <w:pStyle w:val="ListParagraph"/>
        <w:numPr>
          <w:ilvl w:val="0"/>
          <w:numId w:val="2"/>
        </w:numPr>
        <w:tabs>
          <w:tab w:val="left" w:pos="1440"/>
        </w:tabs>
        <w:jc w:val="center"/>
        <w:rPr>
          <w:b/>
          <w:bCs/>
          <w:smallCaps/>
        </w:rPr>
      </w:pPr>
      <w:r w:rsidRPr="00D662C3">
        <w:rPr>
          <w:b/>
          <w:bCs/>
          <w:smallCaps/>
        </w:rPr>
        <w:t>Dispositio</w:t>
      </w:r>
      <w:r w:rsidRPr="00D662C3" w:rsidR="00880494">
        <w:rPr>
          <w:b/>
          <w:bCs/>
          <w:smallCaps/>
        </w:rPr>
        <w:t>n</w:t>
      </w:r>
    </w:p>
    <w:p w:rsidR="004F5DF7" w:rsidRPr="00D662C3" w:rsidP="004F5DF7">
      <w:r w:rsidRPr="00D662C3">
        <w:rPr>
          <w:b/>
          <w:bCs/>
          <w:smallCaps/>
        </w:rPr>
        <w:tab/>
      </w:r>
      <w:r w:rsidRPr="00D662C3" w:rsidR="0038020D">
        <w:t>The judgment of the superior court is affirmed.</w:t>
      </w:r>
      <w:r w:rsidRPr="00D662C3" w:rsidR="00E02E4E">
        <w:t xml:space="preserve"> </w:t>
      </w:r>
    </w:p>
    <w:p w:rsidR="004F5DF7" w:rsidRPr="00D662C3" w:rsidP="004F5DF7"/>
    <w:p w:rsidR="00E60059" w:rsidRPr="00D662C3" w:rsidP="004F5DF7">
      <w:pPr>
        <w:jc w:val="right"/>
      </w:pPr>
      <w:r w:rsidRPr="00D662C3">
        <w:rPr>
          <w:b/>
          <w:szCs w:val="26"/>
        </w:rPr>
        <w:t>GROBAN</w:t>
      </w:r>
      <w:r w:rsidRPr="00D662C3">
        <w:rPr>
          <w:b/>
          <w:szCs w:val="26"/>
        </w:rPr>
        <w:t>, J.</w:t>
      </w:r>
    </w:p>
    <w:p w:rsidR="00E02E4E" w:rsidRPr="00D662C3" w:rsidP="004F5DF7"/>
    <w:p w:rsidR="00863E90" w:rsidP="00863E90">
      <w:pPr>
        <w:rPr>
          <w:b/>
          <w:szCs w:val="26"/>
        </w:rPr>
      </w:pPr>
      <w:bookmarkEnd w:id="1"/>
      <w:r>
        <w:rPr>
          <w:b/>
          <w:szCs w:val="26"/>
        </w:rPr>
        <w:t>We Concur:</w:t>
      </w:r>
    </w:p>
    <w:p w:rsidR="00863E90" w:rsidP="00863E90">
      <w:pPr>
        <w:spacing w:after="0" w:line="240" w:lineRule="auto"/>
        <w:jc w:val="left"/>
        <w:rPr>
          <w:b/>
          <w:bCs/>
        </w:rPr>
      </w:pPr>
      <w:r>
        <w:rPr>
          <w:b/>
          <w:bCs/>
        </w:rPr>
        <w:t>CANTIL-SAKAUYE, C.</w:t>
      </w:r>
      <w:r w:rsidR="00CC0174">
        <w:rPr>
          <w:b/>
          <w:bCs/>
        </w:rPr>
        <w:t> </w:t>
      </w:r>
      <w:r>
        <w:rPr>
          <w:b/>
          <w:bCs/>
        </w:rPr>
        <w:t>J.</w:t>
      </w:r>
    </w:p>
    <w:p w:rsidR="00863E90" w:rsidP="00863E90">
      <w:pPr>
        <w:spacing w:after="0" w:line="240" w:lineRule="auto"/>
        <w:jc w:val="left"/>
        <w:rPr>
          <w:b/>
          <w:bCs/>
        </w:rPr>
      </w:pPr>
      <w:r>
        <w:rPr>
          <w:b/>
          <w:bCs/>
        </w:rPr>
        <w:t>CORRIGAN, J.</w:t>
      </w:r>
      <w:r>
        <w:rPr>
          <w:b/>
          <w:bCs/>
        </w:rPr>
        <w:br/>
        <w:t>LIU, J.</w:t>
      </w:r>
    </w:p>
    <w:p w:rsidR="00863E90" w:rsidP="00863E90">
      <w:pPr>
        <w:spacing w:after="0" w:line="240" w:lineRule="auto"/>
        <w:jc w:val="left"/>
        <w:rPr>
          <w:b/>
          <w:bCs/>
        </w:rPr>
      </w:pPr>
      <w:r>
        <w:rPr>
          <w:b/>
          <w:bCs/>
        </w:rPr>
        <w:t>KRUGER, J.</w:t>
      </w:r>
    </w:p>
    <w:p w:rsidR="00863E90" w:rsidRPr="0081313F" w:rsidP="00863E90">
      <w:pPr>
        <w:rPr>
          <w:b/>
          <w:szCs w:val="26"/>
        </w:rPr>
      </w:pPr>
      <w:r>
        <w:rPr>
          <w:b/>
          <w:szCs w:val="26"/>
        </w:rPr>
        <w:t>JENKINS, J.</w:t>
      </w:r>
    </w:p>
    <w:p w:rsidR="00131091" w:rsidP="00863E90">
      <w:pPr>
        <w:rPr>
          <w:b/>
          <w:szCs w:val="26"/>
        </w:rPr>
        <w:sectPr w:rsidSect="00863E90">
          <w:footerReference w:type="default" r:id="rId11"/>
          <w:footerReference w:type="first" r:id="rId12"/>
          <w:pgSz w:w="12240" w:h="15840"/>
          <w:pgMar w:top="1800" w:right="2160" w:bottom="1440" w:left="2160" w:header="720" w:footer="720" w:gutter="0"/>
          <w:pgNumType w:start="1"/>
          <w:cols w:space="720"/>
          <w:titlePg/>
          <w:docGrid w:linePitch="367"/>
        </w:sectPr>
      </w:pPr>
    </w:p>
    <w:p w:rsidR="00F33CDB" w:rsidRPr="00F33CDB" w:rsidP="00F33CDB">
      <w:pPr>
        <w:spacing w:after="0" w:line="240" w:lineRule="auto"/>
        <w:jc w:val="left"/>
        <w:rPr>
          <w:i/>
          <w:sz w:val="24"/>
          <w:szCs w:val="24"/>
        </w:rPr>
      </w:pPr>
      <w:r w:rsidRPr="00F33CDB">
        <w:rPr>
          <w:i/>
          <w:sz w:val="24"/>
          <w:szCs w:val="24"/>
        </w:rPr>
        <w:t>See next page for addresses and telephone numbers for counsel who argued in Supreme Court.</w:t>
      </w:r>
    </w:p>
    <w:p w:rsidR="00F33CDB" w:rsidRPr="00F33CDB" w:rsidP="00F33CDB">
      <w:pPr>
        <w:spacing w:after="0" w:line="240" w:lineRule="auto"/>
        <w:jc w:val="left"/>
        <w:rPr>
          <w:i/>
          <w:sz w:val="24"/>
          <w:szCs w:val="24"/>
        </w:rPr>
      </w:pPr>
    </w:p>
    <w:p w:rsidR="00F33CDB" w:rsidRPr="00F33CDB" w:rsidP="00F33CDB">
      <w:pPr>
        <w:spacing w:after="0" w:line="240" w:lineRule="auto"/>
        <w:jc w:val="left"/>
        <w:rPr>
          <w:b/>
          <w:sz w:val="24"/>
          <w:szCs w:val="24"/>
        </w:rPr>
      </w:pPr>
      <w:r w:rsidRPr="00F33CDB">
        <w:rPr>
          <w:b/>
          <w:sz w:val="24"/>
          <w:szCs w:val="24"/>
        </w:rPr>
        <w:t xml:space="preserve">Name of Opinion  </w:t>
      </w:r>
      <w:r w:rsidRPr="00F33CDB">
        <w:rPr>
          <w:bCs/>
          <w:sz w:val="24"/>
          <w:szCs w:val="24"/>
        </w:rPr>
        <w:t xml:space="preserve">People v. Gonzalez </w:t>
      </w:r>
      <w:r w:rsidRPr="00F33CDB">
        <w:rPr>
          <w:b/>
          <w:sz w:val="24"/>
          <w:szCs w:val="24"/>
        </w:rPr>
        <w:t xml:space="preserve">__________________________________________________________ </w:t>
      </w:r>
    </w:p>
    <w:p w:rsidR="00F33CDB" w:rsidRPr="00F33CDB" w:rsidP="00F33CDB">
      <w:pPr>
        <w:spacing w:after="0" w:line="240" w:lineRule="auto"/>
        <w:jc w:val="left"/>
        <w:rPr>
          <w:b/>
          <w:sz w:val="24"/>
          <w:szCs w:val="24"/>
        </w:rPr>
      </w:pPr>
    </w:p>
    <w:p w:rsidR="00F33CDB" w:rsidRPr="00F33CDB" w:rsidP="00F33CDB">
      <w:pPr>
        <w:spacing w:after="0" w:line="240" w:lineRule="auto"/>
        <w:jc w:val="left"/>
        <w:rPr>
          <w:sz w:val="24"/>
          <w:szCs w:val="24"/>
        </w:rPr>
      </w:pPr>
      <w:r w:rsidRPr="00F33CDB">
        <w:rPr>
          <w:b/>
          <w:bCs/>
          <w:sz w:val="24"/>
          <w:szCs w:val="24"/>
          <w:u w:val="single"/>
        </w:rPr>
        <w:t>Procedural Posture</w:t>
      </w:r>
      <w:r w:rsidRPr="00F33CDB">
        <w:rPr>
          <w:b/>
          <w:bCs/>
          <w:sz w:val="24"/>
          <w:szCs w:val="24"/>
        </w:rPr>
        <w:t xml:space="preserve"> </w:t>
      </w:r>
      <w:r w:rsidRPr="00F33CDB">
        <w:rPr>
          <w:sz w:val="24"/>
          <w:szCs w:val="24"/>
        </w:rPr>
        <w:t>(see XX below)</w:t>
      </w:r>
    </w:p>
    <w:p w:rsidR="00F33CDB" w:rsidRPr="00F33CDB" w:rsidP="00F33CDB">
      <w:pPr>
        <w:spacing w:after="0" w:line="240" w:lineRule="auto"/>
        <w:jc w:val="left"/>
        <w:rPr>
          <w:sz w:val="24"/>
          <w:szCs w:val="24"/>
        </w:rPr>
      </w:pPr>
      <w:r w:rsidRPr="00F33CDB">
        <w:rPr>
          <w:b/>
          <w:bCs/>
          <w:sz w:val="24"/>
          <w:szCs w:val="24"/>
        </w:rPr>
        <w:t>Original Appeal</w:t>
      </w:r>
      <w:r w:rsidRPr="00F33CDB">
        <w:rPr>
          <w:sz w:val="24"/>
          <w:szCs w:val="24"/>
        </w:rPr>
        <w:t xml:space="preserve"> XX</w:t>
      </w:r>
    </w:p>
    <w:p w:rsidR="00F33CDB" w:rsidRPr="00F33CDB" w:rsidP="00F33CDB">
      <w:pPr>
        <w:spacing w:after="0" w:line="240" w:lineRule="auto"/>
        <w:jc w:val="left"/>
        <w:rPr>
          <w:b/>
          <w:bCs/>
          <w:sz w:val="24"/>
          <w:szCs w:val="24"/>
        </w:rPr>
      </w:pPr>
      <w:r w:rsidRPr="00F33CDB">
        <w:rPr>
          <w:b/>
          <w:bCs/>
          <w:sz w:val="24"/>
          <w:szCs w:val="24"/>
        </w:rPr>
        <w:t>Original Proceeding</w:t>
      </w:r>
    </w:p>
    <w:p w:rsidR="00F33CDB" w:rsidRPr="00F33CDB" w:rsidP="00F33CDB">
      <w:pPr>
        <w:spacing w:after="0" w:line="240" w:lineRule="auto"/>
        <w:jc w:val="left"/>
        <w:rPr>
          <w:sz w:val="24"/>
          <w:szCs w:val="24"/>
        </w:rPr>
      </w:pPr>
      <w:r w:rsidRPr="00F33CDB">
        <w:rPr>
          <w:b/>
          <w:bCs/>
          <w:sz w:val="24"/>
          <w:szCs w:val="24"/>
        </w:rPr>
        <w:t>Review Granted</w:t>
      </w:r>
      <w:r w:rsidRPr="00F33CDB">
        <w:rPr>
          <w:sz w:val="24"/>
          <w:szCs w:val="24"/>
        </w:rPr>
        <w:t xml:space="preserve"> </w:t>
      </w:r>
      <w:r w:rsidRPr="00F33CDB">
        <w:rPr>
          <w:b/>
          <w:bCs/>
          <w:sz w:val="24"/>
          <w:szCs w:val="24"/>
        </w:rPr>
        <w:t xml:space="preserve">(published) </w:t>
      </w:r>
    </w:p>
    <w:p w:rsidR="00F33CDB" w:rsidRPr="00F33CDB" w:rsidP="00F33CDB">
      <w:pPr>
        <w:spacing w:after="0" w:line="240" w:lineRule="auto"/>
        <w:jc w:val="left"/>
        <w:rPr>
          <w:sz w:val="24"/>
          <w:szCs w:val="24"/>
        </w:rPr>
      </w:pPr>
      <w:r w:rsidRPr="00F33CDB">
        <w:rPr>
          <w:b/>
          <w:bCs/>
          <w:sz w:val="24"/>
          <w:szCs w:val="24"/>
        </w:rPr>
        <w:t xml:space="preserve">Review Granted (unpublished) </w:t>
      </w:r>
    </w:p>
    <w:p w:rsidR="00F33CDB" w:rsidRPr="00F33CDB" w:rsidP="00F33CDB">
      <w:pPr>
        <w:spacing w:after="0" w:line="240" w:lineRule="auto"/>
        <w:jc w:val="left"/>
        <w:rPr>
          <w:b/>
          <w:bCs/>
          <w:sz w:val="24"/>
          <w:szCs w:val="24"/>
        </w:rPr>
      </w:pPr>
      <w:r w:rsidRPr="00F33CDB">
        <w:rPr>
          <w:b/>
          <w:bCs/>
          <w:sz w:val="24"/>
          <w:szCs w:val="24"/>
        </w:rPr>
        <w:t>Rehearing Granted</w:t>
      </w:r>
    </w:p>
    <w:p w:rsidR="00F33CDB" w:rsidRPr="00F33CDB" w:rsidP="00F33CDB">
      <w:pPr>
        <w:spacing w:after="0" w:line="240" w:lineRule="auto"/>
        <w:jc w:val="left"/>
        <w:rPr>
          <w:b/>
          <w:sz w:val="24"/>
          <w:szCs w:val="24"/>
        </w:rPr>
      </w:pPr>
    </w:p>
    <w:p w:rsidR="00F33CDB" w:rsidRPr="00F33CDB" w:rsidP="00F33CDB">
      <w:pPr>
        <w:spacing w:after="0" w:line="240" w:lineRule="auto"/>
        <w:jc w:val="left"/>
        <w:rPr>
          <w:b/>
          <w:sz w:val="24"/>
          <w:szCs w:val="24"/>
        </w:rPr>
      </w:pPr>
      <w:r w:rsidRPr="00F33CDB">
        <w:rPr>
          <w:b/>
          <w:sz w:val="24"/>
          <w:szCs w:val="24"/>
        </w:rPr>
        <w:t xml:space="preserve">__________________________________________________________ </w:t>
      </w:r>
    </w:p>
    <w:p w:rsidR="00F33CDB" w:rsidRPr="00F33CDB" w:rsidP="00F33CDB">
      <w:pPr>
        <w:spacing w:after="0" w:line="240" w:lineRule="auto"/>
        <w:jc w:val="left"/>
        <w:rPr>
          <w:b/>
          <w:sz w:val="24"/>
          <w:szCs w:val="24"/>
        </w:rPr>
      </w:pPr>
    </w:p>
    <w:p w:rsidR="00F33CDB" w:rsidRPr="00F33CDB" w:rsidP="00F33CDB">
      <w:pPr>
        <w:spacing w:after="0" w:line="240" w:lineRule="auto"/>
        <w:jc w:val="left"/>
        <w:rPr>
          <w:bCs/>
          <w:sz w:val="24"/>
          <w:szCs w:val="24"/>
        </w:rPr>
      </w:pPr>
      <w:r w:rsidRPr="00F33CDB">
        <w:rPr>
          <w:b/>
          <w:sz w:val="24"/>
          <w:szCs w:val="24"/>
        </w:rPr>
        <w:t>Opinion No.</w:t>
      </w:r>
      <w:r w:rsidRPr="00F33CDB">
        <w:rPr>
          <w:sz w:val="24"/>
          <w:szCs w:val="24"/>
        </w:rPr>
        <w:t xml:space="preserve"> S163643</w:t>
      </w:r>
    </w:p>
    <w:p w:rsidR="00F33CDB" w:rsidRPr="00F33CDB" w:rsidP="00F33CDB">
      <w:pPr>
        <w:spacing w:after="0" w:line="240" w:lineRule="auto"/>
        <w:jc w:val="left"/>
        <w:rPr>
          <w:bCs/>
          <w:i/>
          <w:iCs/>
          <w:sz w:val="24"/>
          <w:szCs w:val="24"/>
        </w:rPr>
      </w:pPr>
      <w:r w:rsidRPr="00F33CDB">
        <w:rPr>
          <w:b/>
          <w:sz w:val="24"/>
          <w:szCs w:val="24"/>
        </w:rPr>
        <w:t>Date Filed:</w:t>
      </w:r>
      <w:r w:rsidRPr="00F33CDB">
        <w:rPr>
          <w:sz w:val="24"/>
          <w:szCs w:val="24"/>
        </w:rPr>
        <w:t xml:space="preserve">  December 2, 2021</w:t>
      </w:r>
    </w:p>
    <w:p w:rsidR="00F33CDB" w:rsidRPr="00F33CDB" w:rsidP="00F33CDB">
      <w:pPr>
        <w:spacing w:after="0" w:line="240" w:lineRule="auto"/>
        <w:jc w:val="left"/>
        <w:rPr>
          <w:b/>
          <w:sz w:val="24"/>
          <w:szCs w:val="24"/>
        </w:rPr>
      </w:pPr>
      <w:r w:rsidRPr="00F33CDB">
        <w:rPr>
          <w:b/>
          <w:sz w:val="24"/>
          <w:szCs w:val="24"/>
        </w:rPr>
        <w:t xml:space="preserve">__________________________________________________________ </w:t>
      </w:r>
    </w:p>
    <w:p w:rsidR="00F33CDB" w:rsidRPr="00F33CDB" w:rsidP="00F33CDB">
      <w:pPr>
        <w:spacing w:after="0" w:line="240" w:lineRule="auto"/>
        <w:jc w:val="left"/>
        <w:rPr>
          <w:b/>
          <w:sz w:val="24"/>
          <w:szCs w:val="24"/>
        </w:rPr>
      </w:pPr>
    </w:p>
    <w:p w:rsidR="00F33CDB" w:rsidRPr="00F33CDB" w:rsidP="00F33CDB">
      <w:pPr>
        <w:spacing w:after="0" w:line="240" w:lineRule="auto"/>
        <w:jc w:val="left"/>
        <w:rPr>
          <w:bCs/>
          <w:sz w:val="24"/>
          <w:szCs w:val="24"/>
        </w:rPr>
      </w:pPr>
      <w:r w:rsidRPr="00F33CDB">
        <w:rPr>
          <w:b/>
          <w:sz w:val="24"/>
          <w:szCs w:val="24"/>
        </w:rPr>
        <w:t xml:space="preserve">Court:  </w:t>
      </w:r>
      <w:r w:rsidRPr="00F33CDB">
        <w:rPr>
          <w:bCs/>
          <w:sz w:val="24"/>
          <w:szCs w:val="24"/>
        </w:rPr>
        <w:t>Superior</w:t>
      </w:r>
    </w:p>
    <w:p w:rsidR="00F33CDB" w:rsidRPr="00F33CDB" w:rsidP="00F33CDB">
      <w:pPr>
        <w:spacing w:after="0" w:line="240" w:lineRule="auto"/>
        <w:jc w:val="left"/>
        <w:rPr>
          <w:bCs/>
          <w:sz w:val="24"/>
          <w:szCs w:val="24"/>
        </w:rPr>
      </w:pPr>
      <w:r w:rsidRPr="00F33CDB">
        <w:rPr>
          <w:b/>
          <w:sz w:val="24"/>
          <w:szCs w:val="24"/>
        </w:rPr>
        <w:t xml:space="preserve">County: </w:t>
      </w:r>
      <w:r w:rsidRPr="00F33CDB">
        <w:rPr>
          <w:bCs/>
          <w:sz w:val="24"/>
          <w:szCs w:val="24"/>
        </w:rPr>
        <w:t xml:space="preserve">Los Angeles </w:t>
      </w:r>
    </w:p>
    <w:p w:rsidR="00F33CDB" w:rsidRPr="00F33CDB" w:rsidP="00F33CDB">
      <w:pPr>
        <w:spacing w:after="0" w:line="240" w:lineRule="auto"/>
        <w:ind w:left="720" w:hanging="720"/>
        <w:jc w:val="left"/>
        <w:rPr>
          <w:bCs/>
          <w:sz w:val="24"/>
          <w:szCs w:val="24"/>
        </w:rPr>
      </w:pPr>
      <w:r w:rsidRPr="00F33CDB">
        <w:rPr>
          <w:b/>
          <w:sz w:val="24"/>
          <w:szCs w:val="24"/>
        </w:rPr>
        <w:t xml:space="preserve">Judge: </w:t>
      </w:r>
      <w:r w:rsidRPr="00F33CDB">
        <w:rPr>
          <w:bCs/>
          <w:sz w:val="24"/>
          <w:szCs w:val="24"/>
        </w:rPr>
        <w:t>Joan Comparet-Cassani</w:t>
      </w:r>
    </w:p>
    <w:p w:rsidR="00F33CDB" w:rsidRPr="00F33CDB" w:rsidP="00F33CDB">
      <w:pPr>
        <w:spacing w:after="0" w:line="240" w:lineRule="auto"/>
        <w:jc w:val="left"/>
        <w:rPr>
          <w:b/>
          <w:sz w:val="24"/>
          <w:szCs w:val="24"/>
        </w:rPr>
      </w:pPr>
    </w:p>
    <w:p w:rsidR="00F33CDB" w:rsidRPr="00F33CDB" w:rsidP="00F33CDB">
      <w:pPr>
        <w:spacing w:after="0" w:line="240" w:lineRule="auto"/>
        <w:jc w:val="left"/>
        <w:rPr>
          <w:b/>
          <w:sz w:val="24"/>
          <w:szCs w:val="24"/>
        </w:rPr>
      </w:pPr>
      <w:r w:rsidRPr="00F33CDB">
        <w:rPr>
          <w:b/>
          <w:sz w:val="24"/>
          <w:szCs w:val="24"/>
        </w:rPr>
        <w:t xml:space="preserve">__________________________________________________________  </w:t>
      </w:r>
    </w:p>
    <w:p w:rsidR="00F33CDB" w:rsidRPr="00F33CDB" w:rsidP="00F33CDB">
      <w:pPr>
        <w:spacing w:after="0" w:line="240" w:lineRule="auto"/>
        <w:jc w:val="left"/>
        <w:rPr>
          <w:b/>
          <w:sz w:val="24"/>
          <w:szCs w:val="24"/>
        </w:rPr>
      </w:pPr>
    </w:p>
    <w:p w:rsidR="00F33CDB" w:rsidRPr="00F33CDB" w:rsidP="00F33CDB">
      <w:pPr>
        <w:spacing w:after="0" w:line="240" w:lineRule="auto"/>
        <w:jc w:val="left"/>
        <w:rPr>
          <w:b/>
          <w:sz w:val="24"/>
          <w:szCs w:val="24"/>
        </w:rPr>
      </w:pPr>
      <w:r w:rsidRPr="00F33CDB">
        <w:rPr>
          <w:b/>
          <w:sz w:val="24"/>
          <w:szCs w:val="24"/>
        </w:rPr>
        <w:t>Counsel:</w:t>
      </w:r>
    </w:p>
    <w:p w:rsidR="00F33CDB" w:rsidRPr="00F33CDB" w:rsidP="00F33CDB">
      <w:pPr>
        <w:spacing w:after="0" w:line="240" w:lineRule="auto"/>
        <w:jc w:val="left"/>
        <w:rPr>
          <w:b/>
          <w:sz w:val="24"/>
          <w:szCs w:val="24"/>
        </w:rPr>
      </w:pPr>
    </w:p>
    <w:p w:rsidR="00F33CDB" w:rsidRPr="00F33CDB" w:rsidP="00F33CDB">
      <w:pPr>
        <w:spacing w:after="0" w:line="240" w:lineRule="auto"/>
        <w:jc w:val="left"/>
        <w:rPr>
          <w:sz w:val="24"/>
          <w:szCs w:val="24"/>
        </w:rPr>
      </w:pPr>
      <w:r w:rsidRPr="00F33CDB">
        <w:rPr>
          <w:sz w:val="24"/>
          <w:szCs w:val="24"/>
        </w:rPr>
        <w:t>Glen Niemy, under appointment by the Supreme Court, for Defendant and Appellant.</w:t>
      </w:r>
    </w:p>
    <w:p w:rsidR="00F33CDB" w:rsidRPr="00F33CDB" w:rsidP="00F33CDB">
      <w:pPr>
        <w:spacing w:after="0" w:line="240" w:lineRule="auto"/>
        <w:jc w:val="left"/>
        <w:rPr>
          <w:sz w:val="24"/>
          <w:szCs w:val="24"/>
        </w:rPr>
      </w:pPr>
    </w:p>
    <w:p w:rsidR="00F33CDB" w:rsidRPr="00F33CDB" w:rsidP="00F33CDB">
      <w:pPr>
        <w:spacing w:after="0" w:line="240" w:lineRule="auto"/>
        <w:jc w:val="left"/>
        <w:rPr>
          <w:sz w:val="24"/>
          <w:szCs w:val="24"/>
        </w:rPr>
      </w:pPr>
      <w:r w:rsidRPr="00F33CDB">
        <w:rPr>
          <w:sz w:val="24"/>
          <w:szCs w:val="24"/>
        </w:rPr>
        <w:t>Kamala D. Harris and Rob Bonta, Attorneys General, Lance E. Winters, Assistant Attorney General, Keith H. Borjon, Jaime L. Fuster, Eric J. Kohm and Lindsay Boyd, Deputy Attorneys General, for Plaintiff and Respondent.</w:t>
      </w:r>
    </w:p>
    <w:p w:rsidR="00F33CDB" w:rsidRPr="00F33CDB" w:rsidP="00F33CDB">
      <w:pPr>
        <w:spacing w:after="0" w:line="240" w:lineRule="auto"/>
        <w:jc w:val="left"/>
        <w:rPr>
          <w:sz w:val="24"/>
          <w:szCs w:val="24"/>
          <w:bdr w:val="none" w:sz="0" w:space="0" w:color="auto" w:frame="1"/>
        </w:rPr>
      </w:pPr>
    </w:p>
    <w:p w:rsidR="00F33CDB" w:rsidRPr="00F33CDB" w:rsidP="00F33CDB">
      <w:pPr>
        <w:spacing w:after="0" w:line="240" w:lineRule="auto"/>
        <w:jc w:val="left"/>
        <w:rPr>
          <w:b/>
          <w:sz w:val="24"/>
          <w:szCs w:val="24"/>
        </w:rPr>
      </w:pPr>
    </w:p>
    <w:p w:rsidR="00F33CDB" w:rsidRPr="00F33CDB" w:rsidP="00F33CDB">
      <w:pPr>
        <w:spacing w:after="0" w:line="240" w:lineRule="auto"/>
        <w:jc w:val="left"/>
        <w:rPr>
          <w:b/>
          <w:sz w:val="24"/>
          <w:szCs w:val="24"/>
        </w:rPr>
      </w:pPr>
      <w:r w:rsidRPr="00F33CDB">
        <w:rPr>
          <w:color w:val="212121"/>
          <w:sz w:val="24"/>
          <w:szCs w:val="24"/>
          <w:shd w:val="clear" w:color="auto" w:fill="FFFFFF"/>
        </w:rPr>
        <w:br w:type="page"/>
      </w:r>
      <w:r w:rsidRPr="00F33CDB">
        <w:rPr>
          <w:b/>
          <w:sz w:val="24"/>
          <w:szCs w:val="24"/>
        </w:rPr>
        <w:t>Counsel who argued in Supreme Court (not intended for publication with opinion):</w:t>
      </w:r>
    </w:p>
    <w:p w:rsidR="00F33CDB" w:rsidRPr="00F33CDB" w:rsidP="00F33CDB">
      <w:pPr>
        <w:spacing w:after="0" w:line="240" w:lineRule="auto"/>
        <w:jc w:val="left"/>
        <w:rPr>
          <w:b/>
          <w:sz w:val="24"/>
          <w:szCs w:val="24"/>
        </w:rPr>
      </w:pPr>
    </w:p>
    <w:p w:rsidR="00F33CDB" w:rsidRPr="00F33CDB" w:rsidP="00F33CDB">
      <w:pPr>
        <w:spacing w:after="0" w:line="240" w:lineRule="auto"/>
        <w:jc w:val="left"/>
        <w:rPr>
          <w:sz w:val="24"/>
          <w:szCs w:val="24"/>
        </w:rPr>
      </w:pPr>
      <w:r w:rsidRPr="00F33CDB">
        <w:rPr>
          <w:sz w:val="24"/>
          <w:szCs w:val="24"/>
        </w:rPr>
        <w:t>Glen Niemy</w:t>
      </w:r>
    </w:p>
    <w:p w:rsidR="00F33CDB" w:rsidRPr="00F33CDB" w:rsidP="00F33CDB">
      <w:pPr>
        <w:spacing w:after="0" w:line="240" w:lineRule="auto"/>
        <w:jc w:val="left"/>
        <w:rPr>
          <w:sz w:val="24"/>
          <w:szCs w:val="24"/>
        </w:rPr>
      </w:pPr>
      <w:r w:rsidRPr="00F33CDB">
        <w:rPr>
          <w:sz w:val="24"/>
          <w:szCs w:val="24"/>
        </w:rPr>
        <w:t>11 Prescott Street #2</w:t>
      </w:r>
    </w:p>
    <w:p w:rsidR="00F33CDB" w:rsidRPr="00F33CDB" w:rsidP="00F33CDB">
      <w:pPr>
        <w:spacing w:after="0" w:line="240" w:lineRule="auto"/>
        <w:jc w:val="left"/>
        <w:rPr>
          <w:sz w:val="24"/>
          <w:szCs w:val="24"/>
        </w:rPr>
      </w:pPr>
      <w:r w:rsidRPr="00F33CDB">
        <w:rPr>
          <w:sz w:val="24"/>
          <w:szCs w:val="24"/>
        </w:rPr>
        <w:t>Salem, MA 01970</w:t>
      </w:r>
    </w:p>
    <w:p w:rsidR="00F33CDB" w:rsidRPr="00F33CDB" w:rsidP="00F33CDB">
      <w:pPr>
        <w:spacing w:after="0" w:line="240" w:lineRule="auto"/>
        <w:jc w:val="left"/>
        <w:rPr>
          <w:sz w:val="24"/>
          <w:szCs w:val="24"/>
        </w:rPr>
      </w:pPr>
      <w:r w:rsidRPr="00F33CDB">
        <w:rPr>
          <w:sz w:val="24"/>
          <w:szCs w:val="24"/>
        </w:rPr>
        <w:t>(207) 699-9713</w:t>
      </w:r>
    </w:p>
    <w:p w:rsidR="00F33CDB" w:rsidRPr="00F33CDB" w:rsidP="00F33CDB">
      <w:pPr>
        <w:spacing w:after="0" w:line="240" w:lineRule="auto"/>
        <w:jc w:val="left"/>
        <w:rPr>
          <w:sz w:val="24"/>
          <w:szCs w:val="24"/>
        </w:rPr>
      </w:pPr>
    </w:p>
    <w:p w:rsidR="00F33CDB" w:rsidRPr="00F33CDB" w:rsidP="00F33CDB">
      <w:pPr>
        <w:spacing w:after="0" w:line="240" w:lineRule="auto"/>
        <w:jc w:val="left"/>
        <w:rPr>
          <w:sz w:val="24"/>
          <w:szCs w:val="24"/>
        </w:rPr>
      </w:pPr>
      <w:r w:rsidRPr="00F33CDB">
        <w:rPr>
          <w:sz w:val="24"/>
          <w:szCs w:val="24"/>
        </w:rPr>
        <w:t>Lindsay Boyd</w:t>
      </w:r>
    </w:p>
    <w:p w:rsidR="00F33CDB" w:rsidRPr="00F33CDB" w:rsidP="00F33CDB">
      <w:pPr>
        <w:spacing w:after="0" w:line="240" w:lineRule="auto"/>
        <w:jc w:val="left"/>
        <w:rPr>
          <w:sz w:val="24"/>
          <w:szCs w:val="24"/>
        </w:rPr>
      </w:pPr>
      <w:r w:rsidRPr="00F33CDB">
        <w:rPr>
          <w:sz w:val="24"/>
          <w:szCs w:val="24"/>
        </w:rPr>
        <w:t>Deputy Attorney General</w:t>
      </w:r>
    </w:p>
    <w:p w:rsidR="00F33CDB" w:rsidRPr="00F33CDB" w:rsidP="00F33CDB">
      <w:pPr>
        <w:spacing w:after="0" w:line="240" w:lineRule="auto"/>
        <w:jc w:val="left"/>
        <w:rPr>
          <w:sz w:val="24"/>
          <w:szCs w:val="24"/>
        </w:rPr>
      </w:pPr>
      <w:r w:rsidRPr="00F33CDB">
        <w:rPr>
          <w:sz w:val="24"/>
          <w:szCs w:val="24"/>
        </w:rPr>
        <w:t>300 S. Spring Street, Suite 1702</w:t>
      </w:r>
    </w:p>
    <w:p w:rsidR="00F33CDB" w:rsidRPr="00F33CDB" w:rsidP="00F33CDB">
      <w:pPr>
        <w:spacing w:after="0" w:line="240" w:lineRule="auto"/>
        <w:jc w:val="left"/>
        <w:rPr>
          <w:sz w:val="24"/>
          <w:szCs w:val="24"/>
        </w:rPr>
      </w:pPr>
      <w:r w:rsidRPr="00F33CDB">
        <w:rPr>
          <w:sz w:val="24"/>
          <w:szCs w:val="24"/>
        </w:rPr>
        <w:t>Los Angeles, CA 90013</w:t>
      </w:r>
    </w:p>
    <w:p w:rsidR="00F33CDB" w:rsidRPr="00F33CDB" w:rsidP="00F33CDB">
      <w:pPr>
        <w:spacing w:after="0" w:line="240" w:lineRule="auto"/>
        <w:jc w:val="left"/>
        <w:rPr>
          <w:sz w:val="24"/>
          <w:szCs w:val="24"/>
        </w:rPr>
      </w:pPr>
      <w:r w:rsidRPr="00F33CDB">
        <w:rPr>
          <w:sz w:val="24"/>
          <w:szCs w:val="24"/>
        </w:rPr>
        <w:t>(213) 269-6012</w:t>
      </w:r>
    </w:p>
    <w:p w:rsidR="004F5DF7" w:rsidP="00863E90">
      <w:pPr>
        <w:rPr>
          <w:b/>
          <w:szCs w:val="26"/>
        </w:rPr>
      </w:pPr>
    </w:p>
    <w:sectPr w:rsidSect="00863E90">
      <w:headerReference w:type="default" r:id="rId13"/>
      <w:footerReference w:type="default" r:id="rId14"/>
      <w:footerReference w:type="first" r:id="rId15"/>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FFF">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5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971">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DF7">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CDB" w:rsidRPr="00F33CDB" w:rsidP="00F33C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CDB" w:rsidRPr="00F33CDB" w:rsidP="00F33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F1B">
      <w:r>
        <w:separator/>
      </w:r>
    </w:p>
  </w:footnote>
  <w:footnote w:type="continuationSeparator" w:id="1">
    <w:p w:rsidR="00B13F1B">
      <w:pPr>
        <w:rPr>
          <w:sz w:val="22"/>
        </w:rPr>
      </w:pPr>
      <w:r>
        <w:continuationSeparator/>
      </w:r>
    </w:p>
  </w:footnote>
  <w:footnote w:type="continuationNotice" w:id="2">
    <w:p w:rsidR="00B13F1B">
      <w:pPr>
        <w:jc w:val="right"/>
        <w:rPr>
          <w:i/>
          <w:sz w:val="20"/>
        </w:rPr>
      </w:pPr>
    </w:p>
  </w:footnote>
  <w:footnote w:id="3">
    <w:p w:rsidR="006E794B" w:rsidP="006E794B">
      <w:pPr>
        <w:pStyle w:val="FootnoteText"/>
      </w:pPr>
      <w:r w:rsidRPr="00B06EAE">
        <w:rPr>
          <w:rStyle w:val="FootnoteReference"/>
          <w:bCs/>
          <w:szCs w:val="26"/>
        </w:rPr>
        <w:footnoteRef/>
      </w:r>
      <w:r w:rsidRPr="00B06EAE">
        <w:rPr>
          <w:bCs/>
          <w:szCs w:val="26"/>
        </w:rPr>
        <w:t xml:space="preserve"> </w:t>
      </w:r>
      <w:r>
        <w:rPr>
          <w:b/>
          <w:szCs w:val="26"/>
        </w:rPr>
        <w:tab/>
      </w:r>
      <w:r>
        <w:rPr>
          <w:bCs/>
          <w:szCs w:val="26"/>
        </w:rPr>
        <w:t>Unless otherwise noted, a</w:t>
      </w:r>
      <w:r w:rsidRPr="00C168C3">
        <w:rPr>
          <w:szCs w:val="26"/>
        </w:rPr>
        <w:t>ll further</w:t>
      </w:r>
      <w:r>
        <w:rPr>
          <w:szCs w:val="26"/>
        </w:rPr>
        <w:t xml:space="preserve"> statutory citations are to the Penal Code</w:t>
      </w:r>
      <w:r w:rsidRPr="00C168C3">
        <w:rPr>
          <w:szCs w:val="26"/>
        </w:rPr>
        <w:t>.</w:t>
      </w:r>
    </w:p>
  </w:footnote>
  <w:footnote w:id="4">
    <w:p w:rsidR="004D4FFF" w:rsidP="004F5DF7">
      <w:pPr>
        <w:pStyle w:val="FootnoteText"/>
      </w:pPr>
      <w:r>
        <w:rPr>
          <w:rStyle w:val="FootnoteReference"/>
        </w:rPr>
        <w:footnoteRef/>
      </w:r>
      <w:r>
        <w:t xml:space="preserve"> </w:t>
      </w:r>
      <w:r>
        <w:tab/>
        <w:t>Because Celina Gonzalez has the same last name as the defendant, for purposes of clarity and simplicity we refer to her by her first name.</w:t>
      </w:r>
    </w:p>
  </w:footnote>
  <w:footnote w:id="5">
    <w:p w:rsidR="004D4FFF" w:rsidP="001F0C6F">
      <w:pPr>
        <w:spacing w:line="300" w:lineRule="exact"/>
      </w:pPr>
      <w:r>
        <w:rPr>
          <w:rStyle w:val="FootnoteReference"/>
        </w:rPr>
        <w:footnoteRef/>
      </w:r>
      <w:r>
        <w:t xml:space="preserve"> </w:t>
      </w:r>
      <w:r>
        <w:tab/>
      </w:r>
      <w:r>
        <w:rPr>
          <w:shd w:val="clear" w:color="auto" w:fill="FFFFFF"/>
        </w:rPr>
        <w:t>Under</w:t>
      </w:r>
      <w:r w:rsidRPr="00450567">
        <w:rPr>
          <w:shd w:val="clear" w:color="auto" w:fill="FFFFFF"/>
        </w:rPr>
        <w:t xml:space="preserve"> the common law, the </w:t>
      </w:r>
      <w:r w:rsidR="00BC0A02">
        <w:rPr>
          <w:shd w:val="clear" w:color="auto" w:fill="FFFFFF"/>
        </w:rPr>
        <w:t xml:space="preserve">corpus delicti </w:t>
      </w:r>
      <w:r w:rsidRPr="00450567">
        <w:rPr>
          <w:shd w:val="clear" w:color="auto" w:fill="FFFFFF"/>
        </w:rPr>
        <w:t>rule had both an evidentiary and a substantive component.  As an evidentiary matter, the defendant’s extrajudicial statements were inadmissible to show a crime had been committed until some additional quantum of evidence was supplied.  As a substantive matter, the rule was as state</w:t>
      </w:r>
      <w:r>
        <w:rPr>
          <w:shd w:val="clear" w:color="auto" w:fill="FFFFFF"/>
        </w:rPr>
        <w:t>d</w:t>
      </w:r>
      <w:r w:rsidRPr="00450567">
        <w:rPr>
          <w:shd w:val="clear" w:color="auto" w:fill="FFFFFF"/>
        </w:rPr>
        <w:t xml:space="preserve"> above</w:t>
      </w:r>
      <w:r>
        <w:rPr>
          <w:shd w:val="clear" w:color="auto" w:fill="FFFFFF"/>
        </w:rPr>
        <w:t>, i.e., “</w:t>
      </w:r>
      <w:r w:rsidRPr="00466DB5">
        <w:rPr>
          <w:shd w:val="clear" w:color="auto" w:fill="FFFFFF"/>
        </w:rPr>
        <w:t xml:space="preserve">every conviction must be supported by some proof of the corpus delicti aside from or in addition to </w:t>
      </w:r>
      <w:r>
        <w:rPr>
          <w:shd w:val="clear" w:color="auto" w:fill="FFFFFF"/>
        </w:rPr>
        <w:t>[</w:t>
      </w:r>
      <w:r w:rsidR="001A2565">
        <w:rPr>
          <w:shd w:val="clear" w:color="auto" w:fill="FFFFFF"/>
        </w:rPr>
        <w:t xml:space="preserve">the </w:t>
      </w:r>
      <w:r>
        <w:rPr>
          <w:shd w:val="clear" w:color="auto" w:fill="FFFFFF"/>
        </w:rPr>
        <w:t>defendant’s own]</w:t>
      </w:r>
      <w:r w:rsidRPr="00466DB5">
        <w:rPr>
          <w:shd w:val="clear" w:color="auto" w:fill="FFFFFF"/>
        </w:rPr>
        <w:t xml:space="preserve"> statements, and that the jury must be so instructed</w:t>
      </w:r>
      <w:r w:rsidRPr="00450567">
        <w:rPr>
          <w:shd w:val="clear" w:color="auto" w:fill="FFFFFF"/>
        </w:rPr>
        <w:t>.</w:t>
      </w:r>
      <w:r>
        <w:rPr>
          <w:shd w:val="clear" w:color="auto" w:fill="FFFFFF"/>
        </w:rPr>
        <w:t>”</w:t>
      </w:r>
      <w:r w:rsidRPr="00450567">
        <w:rPr>
          <w:shd w:val="clear" w:color="auto" w:fill="FFFFFF"/>
        </w:rPr>
        <w:t xml:space="preserve"> </w:t>
      </w:r>
      <w:r>
        <w:rPr>
          <w:shd w:val="clear" w:color="auto" w:fill="FFFFFF"/>
        </w:rPr>
        <w:t xml:space="preserve"> </w:t>
      </w:r>
      <w:r w:rsidRPr="00450567">
        <w:rPr>
          <w:shd w:val="clear" w:color="auto" w:fill="FFFFFF"/>
        </w:rPr>
        <w:t>(</w:t>
      </w:r>
      <w:r w:rsidRPr="00450567">
        <w:rPr>
          <w:i/>
        </w:rPr>
        <w:t>Alvarez</w:t>
      </w:r>
      <w:r>
        <w:t xml:space="preserve">, </w:t>
      </w:r>
      <w:r w:rsidRPr="00304C11">
        <w:rPr>
          <w:i/>
          <w:iCs/>
        </w:rPr>
        <w:t>supra</w:t>
      </w:r>
      <w:r>
        <w:t xml:space="preserve">, </w:t>
      </w:r>
      <w:r w:rsidRPr="00450567">
        <w:t xml:space="preserve">27 Cal.4th </w:t>
      </w:r>
      <w:r>
        <w:t>at p. 1165</w:t>
      </w:r>
      <w:r w:rsidR="001A2565">
        <w:t>, italics omitted</w:t>
      </w:r>
      <w:r>
        <w:t xml:space="preserve">; see </w:t>
      </w:r>
      <w:r w:rsidRPr="00466DB5">
        <w:rPr>
          <w:i/>
          <w:iCs/>
        </w:rPr>
        <w:t>id</w:t>
      </w:r>
      <w:r>
        <w:t xml:space="preserve">. at pp. </w:t>
      </w:r>
      <w:r w:rsidRPr="00450567">
        <w:t>1168–1170.)  In</w:t>
      </w:r>
      <w:r>
        <w:t xml:space="preserve"> </w:t>
      </w:r>
      <w:r w:rsidRPr="00B234EA">
        <w:rPr>
          <w:i/>
          <w:iCs/>
        </w:rPr>
        <w:t>Alvarez</w:t>
      </w:r>
      <w:r>
        <w:t xml:space="preserve">, we held that </w:t>
      </w:r>
      <w:r w:rsidRPr="001F0C6F" w:rsidR="001F0C6F">
        <w:t xml:space="preserve">the </w:t>
      </w:r>
      <w:r w:rsidR="001F0C6F">
        <w:t>“</w:t>
      </w:r>
      <w:r w:rsidR="001A2565">
        <w:t> </w:t>
      </w:r>
      <w:r w:rsidR="001F0C6F">
        <w:t>‘</w:t>
      </w:r>
      <w:r w:rsidRPr="001F0C6F" w:rsidR="001F0C6F">
        <w:t>Right to Truth-in-Evidence</w:t>
      </w:r>
      <w:r w:rsidR="001F0C6F">
        <w:t>’</w:t>
      </w:r>
      <w:r w:rsidRPr="001F0C6F" w:rsidR="001F0C6F">
        <w:t xml:space="preserve"> provision of the Constitution</w:t>
      </w:r>
      <w:r w:rsidR="001F0C6F">
        <w:t>[,]</w:t>
      </w:r>
      <w:r w:rsidRPr="001F0C6F" w:rsidR="001F0C6F">
        <w:t xml:space="preserve"> </w:t>
      </w:r>
      <w:r w:rsidR="001F0C6F">
        <w:t>[e]</w:t>
      </w:r>
      <w:r w:rsidRPr="001F0C6F" w:rsidR="001F0C6F">
        <w:t>nacted as part of Proposition 8 in 1982</w:t>
      </w:r>
      <w:r w:rsidR="001F0C6F">
        <w:t xml:space="preserve">” </w:t>
      </w:r>
      <w:bookmarkStart w:id="7" w:name="_Hlk86222272"/>
      <w:r w:rsidR="001F0C6F">
        <w:t>(</w:t>
      </w:r>
      <w:r w:rsidRPr="001F0C6F" w:rsidR="001F0C6F">
        <w:rPr>
          <w:i/>
          <w:iCs/>
        </w:rPr>
        <w:t>People v. Guzman</w:t>
      </w:r>
      <w:r w:rsidR="001F0C6F">
        <w:t xml:space="preserve"> (2019) 8 Cal.5th 673, 677</w:t>
      </w:r>
      <w:r w:rsidR="00564137">
        <w:t xml:space="preserve"> (</w:t>
      </w:r>
      <w:r w:rsidRPr="00564137" w:rsidR="00564137">
        <w:rPr>
          <w:i/>
          <w:iCs/>
        </w:rPr>
        <w:t>Guzman</w:t>
      </w:r>
      <w:r w:rsidR="00564137">
        <w:t>)</w:t>
      </w:r>
      <w:r w:rsidR="001F0C6F">
        <w:t>)</w:t>
      </w:r>
      <w:bookmarkEnd w:id="7"/>
      <w:r w:rsidR="001F0C6F">
        <w:t xml:space="preserve">, </w:t>
      </w:r>
      <w:r>
        <w:t xml:space="preserve">abrogated the evidentiary aspect of the corpus delicti rule, but not its substantive aspect nor its requirement that when the prosecution relies on </w:t>
      </w:r>
      <w:r w:rsidR="001F0C6F">
        <w:t xml:space="preserve">a </w:t>
      </w:r>
      <w:r>
        <w:t xml:space="preserve">defendant’s extrajudicial statements, the jury must be instructed </w:t>
      </w:r>
      <w:r w:rsidRPr="00A2623F">
        <w:t>on the requirement of independent proof</w:t>
      </w:r>
      <w:r>
        <w:t>.  (</w:t>
      </w:r>
      <w:r>
        <w:rPr>
          <w:i/>
          <w:iCs/>
        </w:rPr>
        <w:t>Alvarez,</w:t>
      </w:r>
      <w:r>
        <w:t xml:space="preserve"> at p. 1165.)  </w:t>
      </w:r>
      <w:r w:rsidR="00954313">
        <w:t xml:space="preserve">Thus, even after Proposition 8, </w:t>
      </w:r>
      <w:r w:rsidR="00F154A4">
        <w:t xml:space="preserve">the corpus delicti </w:t>
      </w:r>
      <w:r w:rsidR="00954313">
        <w:t xml:space="preserve">rule </w:t>
      </w:r>
      <w:r w:rsidRPr="00954313" w:rsidR="00954313">
        <w:t xml:space="preserve">requires </w:t>
      </w:r>
      <w:r w:rsidR="00954313">
        <w:t>“</w:t>
      </w:r>
      <w:r w:rsidRPr="00954313" w:rsidR="00954313">
        <w:t>an instruction to the jury that no person may be convicted absent evidence of the crime independent of his or her out-of-court statements</w:t>
      </w:r>
      <w:r w:rsidR="00954313">
        <w:t>” and “</w:t>
      </w:r>
      <w:r w:rsidRPr="00954313" w:rsidR="00954313">
        <w:t>allows the defendant, on appeal, directly to attack the sufficiency of the prosecution</w:t>
      </w:r>
      <w:r w:rsidR="00F154A4">
        <w:t>’</w:t>
      </w:r>
      <w:r w:rsidRPr="00954313" w:rsidR="00954313">
        <w:t>s independent showing.</w:t>
      </w:r>
      <w:r w:rsidR="00954313">
        <w:t>”  (</w:t>
      </w:r>
      <w:r w:rsidRPr="00C25B8D" w:rsidR="00954313">
        <w:rPr>
          <w:i/>
          <w:iCs/>
        </w:rPr>
        <w:t>Id</w:t>
      </w:r>
      <w:r w:rsidR="00954313">
        <w:t xml:space="preserve">. at p. 1180.)  </w:t>
      </w:r>
      <w:r>
        <w:t>There is no dispute that the jury in this case received an appropriate instruction</w:t>
      </w:r>
      <w:r w:rsidR="001F0C6F">
        <w:t xml:space="preserve"> regarding the rule</w:t>
      </w:r>
      <w:r>
        <w:t xml:space="preserve">. </w:t>
      </w:r>
    </w:p>
    <w:p w:rsidR="00954313" w:rsidP="00466DB5"/>
  </w:footnote>
  <w:footnote w:id="6">
    <w:p w:rsidR="00DB5644" w:rsidP="004F5DF7">
      <w:pPr>
        <w:pStyle w:val="FootnoteText"/>
      </w:pPr>
      <w:r>
        <w:rPr>
          <w:rStyle w:val="FootnoteReference"/>
        </w:rPr>
        <w:footnoteRef/>
      </w:r>
      <w:r>
        <w:t xml:space="preserve"> </w:t>
      </w:r>
      <w:r>
        <w:tab/>
        <w:t>At trial, the prosecution presented evidence that Flint told an undercover agent Rosa would be alive if she had given up her wallet.  Although this statement provides clear corroboration that the murder occurred during an attempted robbery, multiple courts have held that “the corpus delicti [cannot] be established by the extrajudicial statements of a codefendant.”  (</w:t>
      </w:r>
      <w:r w:rsidRPr="007B00A5">
        <w:rPr>
          <w:i/>
          <w:iCs/>
        </w:rPr>
        <w:t>Munoz v. Superior Court</w:t>
      </w:r>
      <w:r>
        <w:t xml:space="preserve"> (2020) 45 Cal.App.5th 774, 779; see </w:t>
      </w:r>
      <w:r w:rsidRPr="00C248D6">
        <w:rPr>
          <w:i/>
          <w:iCs/>
        </w:rPr>
        <w:t>Jones v. Superior Court</w:t>
      </w:r>
      <w:r>
        <w:t xml:space="preserve"> (1979) 96 Cal.App.3d 390, 397.)  Because we conclude there was sufficient evidence to satisfy the corpus delicti rule without reliance on Flint’s statement, we need not address whether an accomplice or codefendant’s extrajudicial statements may satisfy the corpus delicti rule.   </w:t>
      </w:r>
    </w:p>
  </w:footnote>
  <w:footnote w:id="7">
    <w:p w:rsidR="00BC6A6A" w:rsidP="00BC6A6A">
      <w:pPr>
        <w:pStyle w:val="FootnoteText"/>
      </w:pPr>
      <w:r w:rsidRPr="00E073DD">
        <w:rPr>
          <w:rStyle w:val="FootnoteReference"/>
        </w:rPr>
        <w:footnoteRef/>
      </w:r>
      <w:r w:rsidRPr="00E073DD">
        <w:t xml:space="preserve"> </w:t>
      </w:r>
      <w:r w:rsidRPr="00E073DD">
        <w:tab/>
        <w:t xml:space="preserve">Gonzalez argues that the fact </w:t>
      </w:r>
      <w:r w:rsidR="00E073DD">
        <w:t xml:space="preserve">none of </w:t>
      </w:r>
      <w:r w:rsidRPr="00E073DD">
        <w:t xml:space="preserve">Rosa’s belongings were </w:t>
      </w:r>
      <w:r w:rsidR="00E073DD">
        <w:t>removed from</w:t>
      </w:r>
      <w:r w:rsidRPr="00E073DD">
        <w:t xml:space="preserve"> the </w:t>
      </w:r>
      <w:r w:rsidR="00E073DD">
        <w:t xml:space="preserve">car </w:t>
      </w:r>
      <w:r w:rsidRPr="00E073DD">
        <w:t xml:space="preserve">trunk weighs against any finding of attempted robbery.  However, as in </w:t>
      </w:r>
      <w:r w:rsidR="00E073DD">
        <w:t xml:space="preserve">both </w:t>
      </w:r>
      <w:r w:rsidRPr="00E073DD">
        <w:rPr>
          <w:i/>
          <w:iCs/>
        </w:rPr>
        <w:t>Ray</w:t>
      </w:r>
      <w:r w:rsidRPr="00E073DD">
        <w:t xml:space="preserve">, </w:t>
      </w:r>
      <w:r w:rsidRPr="00E073DD">
        <w:rPr>
          <w:i/>
          <w:iCs/>
        </w:rPr>
        <w:t>supra</w:t>
      </w:r>
      <w:r w:rsidRPr="00E073DD">
        <w:t xml:space="preserve">, 13 Cal.4th at pp. 341–342, and </w:t>
      </w:r>
      <w:r w:rsidRPr="00E073DD">
        <w:rPr>
          <w:i/>
          <w:iCs/>
        </w:rPr>
        <w:t xml:space="preserve">Valencia, supra, </w:t>
      </w:r>
      <w:r w:rsidRPr="00E073DD">
        <w:t>43 Cal.4th at p. 297, while there was no evidence the perpetrators actually stole any property from the victims, there was nonetheless sufficient evidence to support the inference that the perpetrators’ motive was robbery.</w:t>
      </w:r>
      <w:r>
        <w:t xml:space="preserve">  </w:t>
      </w:r>
    </w:p>
  </w:footnote>
  <w:footnote w:id="8">
    <w:p w:rsidR="004D4FFF" w:rsidP="00394717">
      <w:pPr>
        <w:pStyle w:val="FootnoteText"/>
      </w:pPr>
      <w:r>
        <w:rPr>
          <w:rStyle w:val="FootnoteReference"/>
        </w:rPr>
        <w:footnoteRef/>
      </w:r>
      <w:r>
        <w:t xml:space="preserve"> </w:t>
      </w:r>
      <w:r>
        <w:tab/>
        <w:t xml:space="preserve">In his opening brief, </w:t>
      </w:r>
      <w:r w:rsidRPr="00C52922">
        <w:t xml:space="preserve">Gonzalez </w:t>
      </w:r>
      <w:r>
        <w:t xml:space="preserve">also argued that because </w:t>
      </w:r>
      <w:r w:rsidRPr="00C52922">
        <w:t>“the prosecution did not prove the corpus delicti of the underlying felony of attempted robbery</w:t>
      </w:r>
      <w:r>
        <w:t>,</w:t>
      </w:r>
      <w:r w:rsidRPr="00C52922">
        <w:t xml:space="preserve">” </w:t>
      </w:r>
      <w:r>
        <w:t xml:space="preserve">it had likewise failed to prove “the felony murder charged based on that felony.”  However, in his reply brief, Gonzalez acknowledges that for crimes committed after the adoption of section 190.41 (added by </w:t>
      </w:r>
      <w:r w:rsidR="001A2565">
        <w:t xml:space="preserve">Prop. 115, Primary Elec. </w:t>
      </w:r>
      <w:r>
        <w:t xml:space="preserve"> </w:t>
      </w:r>
      <w:r w:rsidR="001A2565">
        <w:t>(</w:t>
      </w:r>
      <w:r w:rsidRPr="001C3A3B">
        <w:t>June 5, 1990</w:t>
      </w:r>
      <w:r>
        <w:t>)</w:t>
      </w:r>
      <w:r w:rsidR="001A2565">
        <w:t xml:space="preserve"> </w:t>
      </w:r>
      <w:r w:rsidRPr="004F5DF7" w:rsidR="001A2565">
        <w:rPr>
          <w:szCs w:val="26"/>
        </w:rPr>
        <w:t>§</w:t>
      </w:r>
      <w:r w:rsidR="001A2565">
        <w:rPr>
          <w:szCs w:val="26"/>
        </w:rPr>
        <w:t xml:space="preserve"> 11)</w:t>
      </w:r>
      <w:r>
        <w:t>, “</w:t>
      </w:r>
      <w:r w:rsidR="002A4D67">
        <w:t> </w:t>
      </w:r>
      <w:r>
        <w:t>‘the corpus delicti of a felony-based special circumstance . . . need not be proved independently of a defendant’s extrajudicial statement.’</w:t>
      </w:r>
      <w:r w:rsidR="001604D7">
        <w:t> </w:t>
      </w:r>
      <w:r>
        <w:t>”  (</w:t>
      </w:r>
      <w:r w:rsidRPr="00C52922">
        <w:rPr>
          <w:i/>
          <w:iCs/>
        </w:rPr>
        <w:t>People v. Musselwhite</w:t>
      </w:r>
      <w:r>
        <w:t xml:space="preserve"> (1998) 17 Cal.4th 1216, 1263</w:t>
      </w:r>
      <w:r w:rsidR="00B83ABF">
        <w:t>,</w:t>
      </w:r>
      <w:r>
        <w:t xml:space="preserve"> </w:t>
      </w:r>
      <w:r w:rsidR="001A2565">
        <w:t xml:space="preserve">fn. 1, </w:t>
      </w:r>
      <w:r>
        <w:t xml:space="preserve">quoting § 190.41.)  </w:t>
      </w:r>
    </w:p>
  </w:footnote>
  <w:footnote w:id="9">
    <w:p w:rsidR="004D4FFF" w:rsidP="004F5DF7">
      <w:pPr>
        <w:pStyle w:val="FootnoteText"/>
      </w:pPr>
      <w:r>
        <w:rPr>
          <w:rStyle w:val="FootnoteReference"/>
        </w:rPr>
        <w:footnoteRef/>
      </w:r>
      <w:r>
        <w:t xml:space="preserve"> </w:t>
      </w:r>
      <w:r>
        <w:tab/>
        <w:t xml:space="preserve">At trial, Gonzalez  filed a motion to suppress any evidence obtained during the undercover operation, arguing that law enforcement’s conduct violated his Fifth and Sixth Amendment rights. </w:t>
      </w:r>
      <w:r w:rsidR="00B91949">
        <w:t xml:space="preserve"> </w:t>
      </w:r>
      <w:r>
        <w:t xml:space="preserve">The trial court denied the motion.  </w:t>
      </w:r>
    </w:p>
  </w:footnote>
  <w:footnote w:id="10">
    <w:p w:rsidR="004D4FFF" w:rsidP="004F5DF7">
      <w:pPr>
        <w:pStyle w:val="FootnoteText"/>
      </w:pPr>
      <w:r>
        <w:rPr>
          <w:rStyle w:val="FootnoteReference"/>
        </w:rPr>
        <w:footnoteRef/>
      </w:r>
      <w:r>
        <w:t xml:space="preserve"> </w:t>
      </w:r>
      <w:r>
        <w:tab/>
        <w:t xml:space="preserve">Gonzalez also argued the application was invalid because there were factual inconsistencies regarding the date on which </w:t>
      </w:r>
      <w:r w:rsidRPr="00142F57">
        <w:t xml:space="preserve">Long Beach Police Department Chief Anthony Betts </w:t>
      </w:r>
      <w:r>
        <w:t xml:space="preserve">signed his affidavit stating that he had reviewed and approved the application.  Gonzalez has not raised that claim on appeal. </w:t>
      </w:r>
    </w:p>
  </w:footnote>
  <w:footnote w:id="11">
    <w:p w:rsidR="004D4FFF" w:rsidP="004F5DF7">
      <w:pPr>
        <w:pStyle w:val="FootnoteText"/>
      </w:pPr>
      <w:r>
        <w:rPr>
          <w:rStyle w:val="FootnoteReference"/>
        </w:rPr>
        <w:footnoteRef/>
      </w:r>
      <w:r>
        <w:t xml:space="preserve"> </w:t>
      </w:r>
      <w:r>
        <w:tab/>
        <w:t xml:space="preserve">Appellate counsel acknowledged that if </w:t>
      </w:r>
      <w:r w:rsidR="007E04E1">
        <w:t>this</w:t>
      </w:r>
      <w:r>
        <w:t xml:space="preserve"> court did not accept the “argument </w:t>
      </w:r>
      <w:r w:rsidRPr="0050263F">
        <w:t>that more had to be said on the face of the application itself,</w:t>
      </w:r>
      <w:r>
        <w:t xml:space="preserve">” there was no basis for relief.  Counsel also confirmed that Gonzalez’s argument was not related to anything the prosecution said “in [its] response to the motion to suppress or [at the suppression] hearing.”  </w:t>
      </w:r>
    </w:p>
  </w:footnote>
  <w:footnote w:id="12">
    <w:p w:rsidR="004D4FFF" w:rsidP="004F5DF7">
      <w:pPr>
        <w:pStyle w:val="FootnoteText"/>
      </w:pPr>
      <w:r>
        <w:rPr>
          <w:rStyle w:val="FootnoteReference"/>
        </w:rPr>
        <w:footnoteRef/>
      </w:r>
      <w:r>
        <w:t xml:space="preserve"> </w:t>
      </w:r>
      <w:r>
        <w:tab/>
      </w:r>
      <w:r w:rsidR="00B14AB9">
        <w:t xml:space="preserve">Although </w:t>
      </w:r>
      <w:r w:rsidRPr="00B14AB9" w:rsidR="00B14AB9">
        <w:t>18 U</w:t>
      </w:r>
      <w:r w:rsidR="00B83ABF">
        <w:t xml:space="preserve">nited </w:t>
      </w:r>
      <w:r w:rsidRPr="00B14AB9" w:rsidR="00B14AB9">
        <w:t>S</w:t>
      </w:r>
      <w:r w:rsidR="00B83ABF">
        <w:t xml:space="preserve">tates </w:t>
      </w:r>
      <w:r w:rsidRPr="00B14AB9" w:rsidR="00B14AB9">
        <w:t>C</w:t>
      </w:r>
      <w:r w:rsidR="00B83ABF">
        <w:t>ode</w:t>
      </w:r>
      <w:r w:rsidRPr="00B14AB9" w:rsidR="00B14AB9">
        <w:t xml:space="preserve"> </w:t>
      </w:r>
      <w:r w:rsidR="00B83ABF">
        <w:t xml:space="preserve">section </w:t>
      </w:r>
      <w:r w:rsidRPr="00B14AB9" w:rsidR="00B14AB9">
        <w:t>2516(2)</w:t>
      </w:r>
      <w:r w:rsidR="00B14AB9">
        <w:t xml:space="preserve"> only refers to “</w:t>
      </w:r>
      <w:r w:rsidRPr="003C5959" w:rsidR="00B14AB9">
        <w:t>the principal prosecuting attorney</w:t>
      </w:r>
      <w:r w:rsidR="00B14AB9">
        <w:t xml:space="preserve"> </w:t>
      </w:r>
      <w:r w:rsidRPr="00B14AB9" w:rsidR="00B14AB9">
        <w:t>of any political subdivision</w:t>
      </w:r>
      <w:r w:rsidR="00B14AB9">
        <w:t xml:space="preserve">,” courts have held that </w:t>
      </w:r>
      <w:r w:rsidR="00FF40DD">
        <w:t>this language</w:t>
      </w:r>
      <w:r w:rsidR="00B14AB9">
        <w:t xml:space="preserve"> does not preclude states from authorizing a district attorney to delegate</w:t>
      </w:r>
      <w:r w:rsidR="00FF40DD">
        <w:t xml:space="preserve"> wiretap authority to a</w:t>
      </w:r>
      <w:r w:rsidR="00B14AB9">
        <w:t xml:space="preserve"> subordinate </w:t>
      </w:r>
      <w:r w:rsidR="00FF40DD">
        <w:t xml:space="preserve">when absent.  (See </w:t>
      </w:r>
      <w:bookmarkStart w:id="22" w:name="_Hlk86228079"/>
      <w:r w:rsidRPr="00656151" w:rsidR="00FF40DD">
        <w:rPr>
          <w:i/>
          <w:iCs/>
        </w:rPr>
        <w:t>U</w:t>
      </w:r>
      <w:r w:rsidR="00B83ABF">
        <w:rPr>
          <w:i/>
          <w:iCs/>
        </w:rPr>
        <w:t>.</w:t>
      </w:r>
      <w:r w:rsidRPr="00656151" w:rsidR="00FF40DD">
        <w:rPr>
          <w:i/>
          <w:iCs/>
        </w:rPr>
        <w:t>S</w:t>
      </w:r>
      <w:r w:rsidR="00B83ABF">
        <w:rPr>
          <w:i/>
          <w:iCs/>
        </w:rPr>
        <w:t>.</w:t>
      </w:r>
      <w:r w:rsidRPr="00656151" w:rsidR="00FF40DD">
        <w:rPr>
          <w:i/>
          <w:iCs/>
        </w:rPr>
        <w:t xml:space="preserve"> v. Fury</w:t>
      </w:r>
      <w:r w:rsidR="00FF40DD">
        <w:t xml:space="preserve"> (2d Cir.1977) 554 F.2d 522, 527, </w:t>
      </w:r>
      <w:r w:rsidR="00B83ABF">
        <w:t>f</w:t>
      </w:r>
      <w:r w:rsidR="00FF40DD">
        <w:t>n. 4</w:t>
      </w:r>
      <w:r w:rsidR="002525F7">
        <w:t xml:space="preserve"> (</w:t>
      </w:r>
      <w:r w:rsidRPr="00B6628C" w:rsidR="002525F7">
        <w:rPr>
          <w:i/>
          <w:iCs/>
        </w:rPr>
        <w:t>Fury</w:t>
      </w:r>
      <w:r w:rsidR="002525F7">
        <w:t xml:space="preserve">) </w:t>
      </w:r>
      <w:bookmarkEnd w:id="22"/>
      <w:r w:rsidR="002525F7">
        <w:t xml:space="preserve">[“ ‘Congress simply could not have intended that local wiretap activity would be completely suspended during the absence or disability of the official specifically named </w:t>
      </w:r>
      <w:r w:rsidR="00DB7BEE">
        <w:t>[</w:t>
      </w:r>
      <w:r w:rsidR="002525F7">
        <w:t>in § 2516(2)</w:t>
      </w:r>
      <w:r w:rsidR="00DB7BEE">
        <w:t>]</w:t>
      </w:r>
      <w:r w:rsidR="002525F7">
        <w:t>’ ”</w:t>
      </w:r>
      <w:r w:rsidR="00FF40DD">
        <w:t>]</w:t>
      </w:r>
      <w:r w:rsidR="002525F7">
        <w:t>;</w:t>
      </w:r>
      <w:r>
        <w:t xml:space="preserve"> </w:t>
      </w:r>
      <w:r w:rsidRPr="000F3977">
        <w:rPr>
          <w:i/>
          <w:iCs/>
        </w:rPr>
        <w:t>Perez-Valencia</w:t>
      </w:r>
      <w:r>
        <w:t xml:space="preserve">, </w:t>
      </w:r>
      <w:r w:rsidRPr="00A26080">
        <w:rPr>
          <w:i/>
          <w:iCs/>
        </w:rPr>
        <w:t>supra</w:t>
      </w:r>
      <w:r>
        <w:t xml:space="preserve">, </w:t>
      </w:r>
      <w:r w:rsidRPr="00A26080">
        <w:t xml:space="preserve">727 F.3d </w:t>
      </w:r>
      <w:r>
        <w:t xml:space="preserve">at p. 854.)  </w:t>
      </w:r>
    </w:p>
  </w:footnote>
  <w:footnote w:id="13">
    <w:p w:rsidR="00A97682" w:rsidP="008E2C67">
      <w:pPr>
        <w:pStyle w:val="FootnoteText"/>
      </w:pPr>
      <w:r>
        <w:rPr>
          <w:rStyle w:val="FootnoteReference"/>
        </w:rPr>
        <w:footnoteRef/>
      </w:r>
      <w:r>
        <w:t xml:space="preserve">  </w:t>
      </w:r>
      <w:r>
        <w:tab/>
      </w:r>
      <w:r w:rsidR="00CB0BDE">
        <w:t xml:space="preserve">At the suppression hearing, the trial court commented that it did not believe the term “absent” in section 629.50(a) was limited to situations where the district attorney was “out [of] town [or] out of state,” but </w:t>
      </w:r>
      <w:r w:rsidR="000072FB">
        <w:t>could</w:t>
      </w:r>
      <w:r w:rsidR="00CB0BDE">
        <w:t xml:space="preserve"> also apply where the district attorney was</w:t>
      </w:r>
      <w:r w:rsidR="002A5CA2">
        <w:t xml:space="preserve"> </w:t>
      </w:r>
      <w:bookmarkStart w:id="25" w:name="_Hlk87974946"/>
      <w:r w:rsidR="002A5CA2">
        <w:t>“</w:t>
      </w:r>
      <w:r w:rsidRPr="002A5CA2" w:rsidR="002A5CA2">
        <w:t>involved in doing other things</w:t>
      </w:r>
      <w:r w:rsidR="002A5CA2">
        <w:t xml:space="preserve">” </w:t>
      </w:r>
      <w:bookmarkEnd w:id="25"/>
      <w:r w:rsidR="002A5CA2">
        <w:t>and</w:t>
      </w:r>
      <w:r w:rsidR="00CB0BDE">
        <w:t xml:space="preserve"> “not available to do this type of work.”  The prosecution agreed, asserting that the statute “simply means </w:t>
      </w:r>
      <w:r w:rsidRPr="00ED7CA5" w:rsidR="00CB0BDE">
        <w:t xml:space="preserve">not present and not available, but it </w:t>
      </w:r>
      <w:r w:rsidR="00CB0BDE">
        <w:t xml:space="preserve">doesn’t mean physically in another jurisdiction.”  </w:t>
      </w:r>
      <w:r>
        <w:t>I</w:t>
      </w:r>
      <w:r w:rsidR="00E3641A">
        <w:t>n its opposition to the motion to suppress</w:t>
      </w:r>
      <w:r>
        <w:t xml:space="preserve">, the prosecution also asserted, among other things, </w:t>
      </w:r>
      <w:r w:rsidRPr="00A97682">
        <w:t>that the statute “recognizes the numerous and varied duties of a District Attorney . . . [by] allow[ing] for another to take on wiretap application responsibilities</w:t>
      </w:r>
      <w:r w:rsidR="00816D46">
        <w:t>.</w:t>
      </w:r>
      <w:r>
        <w:t>”</w:t>
      </w:r>
      <w:r w:rsidR="00816D46">
        <w:t xml:space="preserve">  (See </w:t>
      </w:r>
      <w:r w:rsidRPr="00816D46" w:rsidR="00816D46">
        <w:rPr>
          <w:i/>
          <w:iCs/>
        </w:rPr>
        <w:t>ante</w:t>
      </w:r>
      <w:r w:rsidR="00816D46">
        <w:t xml:space="preserve">, at p. </w:t>
      </w:r>
      <w:r w:rsidR="001F0D22">
        <w:t>29</w:t>
      </w:r>
      <w:r w:rsidR="00816D46">
        <w:t>.)</w:t>
      </w:r>
      <w:r w:rsidR="00E3641A">
        <w:t xml:space="preserve"> </w:t>
      </w:r>
      <w:r w:rsidR="004E704D">
        <w:t xml:space="preserve"> </w:t>
      </w:r>
    </w:p>
    <w:p w:rsidR="00030F47" w:rsidP="00A97682">
      <w:pPr>
        <w:pStyle w:val="FootnoteText"/>
        <w:ind w:firstLine="720"/>
      </w:pPr>
      <w:r>
        <w:t>While</w:t>
      </w:r>
      <w:r w:rsidR="00A97682">
        <w:t xml:space="preserve"> some of</w:t>
      </w:r>
      <w:r>
        <w:t xml:space="preserve"> </w:t>
      </w:r>
      <w:r w:rsidR="000072FB">
        <w:t>those</w:t>
      </w:r>
      <w:r>
        <w:t xml:space="preserve"> comments could be </w:t>
      </w:r>
      <w:bookmarkStart w:id="26" w:name="_Hlk87859092"/>
      <w:r>
        <w:t xml:space="preserve">construed to endorse a broader interpretation of section 629.50(a) than the Ninth Circuit articulated in </w:t>
      </w:r>
      <w:r w:rsidRPr="009638C1">
        <w:rPr>
          <w:i/>
          <w:iCs/>
        </w:rPr>
        <w:t>Perez-Valencia</w:t>
      </w:r>
      <w:bookmarkEnd w:id="26"/>
      <w:r>
        <w:t xml:space="preserve">, </w:t>
      </w:r>
      <w:r w:rsidRPr="009638C1">
        <w:rPr>
          <w:i/>
          <w:iCs/>
        </w:rPr>
        <w:t>supra</w:t>
      </w:r>
      <w:r>
        <w:t xml:space="preserve">, </w:t>
      </w:r>
      <w:r w:rsidRPr="00682990">
        <w:t>727 F.3d 852</w:t>
      </w:r>
      <w:r>
        <w:t xml:space="preserve">, </w:t>
      </w:r>
      <w:r w:rsidR="00A97682">
        <w:t xml:space="preserve">their meaning is not entirely clear in context.  In any event, </w:t>
      </w:r>
      <w:r>
        <w:t xml:space="preserve">defense counsel did not voice any objection to </w:t>
      </w:r>
      <w:r w:rsidR="000072FB">
        <w:t xml:space="preserve">the trial court’s statements (or the prosecution’s statements) </w:t>
      </w:r>
      <w:r>
        <w:t>regarding what “absent” means</w:t>
      </w:r>
      <w:r w:rsidR="000072FB">
        <w:t xml:space="preserve">, nor did counsel </w:t>
      </w:r>
      <w:r>
        <w:t xml:space="preserve">offer an alternative interpretation.  Instead, counsel argued only that the wiretap application was invalid because it did not contain any information substantiating </w:t>
      </w:r>
      <w:r w:rsidR="000072FB">
        <w:t xml:space="preserve">that </w:t>
      </w:r>
      <w:r>
        <w:t>the district attorney was absent.  A</w:t>
      </w:r>
      <w:r w:rsidR="000072FB">
        <w:t>t oral argument, a</w:t>
      </w:r>
      <w:r>
        <w:t xml:space="preserve">ppellate counsel confirmed that Gonzalez raises the same challenge </w:t>
      </w:r>
      <w:r w:rsidR="005841BA">
        <w:t>before this court</w:t>
      </w:r>
      <w:r>
        <w:t xml:space="preserve">.  Accordingly, we have no occasion to consider the </w:t>
      </w:r>
      <w:r w:rsidR="00A97682">
        <w:t xml:space="preserve">precise circumstances under which a district attorney is considered </w:t>
      </w:r>
      <w:r>
        <w:t xml:space="preserve">“absent” </w:t>
      </w:r>
      <w:r w:rsidR="00A97682">
        <w:t xml:space="preserve">under </w:t>
      </w:r>
      <w:r>
        <w:t xml:space="preserve">section 629.50(a) </w:t>
      </w:r>
      <w:bookmarkStart w:id="27" w:name="_Hlk87911541"/>
      <w:r>
        <w:t xml:space="preserve">or otherwise address the scope of authority that the statute requires the district attorney to </w:t>
      </w:r>
      <w:r w:rsidR="00A024EC">
        <w:t xml:space="preserve">delegate </w:t>
      </w:r>
      <w:r>
        <w:t>to a subordinate</w:t>
      </w:r>
      <w:r w:rsidR="00A024EC">
        <w:t xml:space="preserve"> when absent</w:t>
      </w:r>
      <w:r>
        <w:t>.</w:t>
      </w:r>
      <w:r w:rsidR="008D3E5D">
        <w:t xml:space="preserve"> </w:t>
      </w:r>
      <w:r w:rsidR="008E2C67">
        <w:t xml:space="preserve"> </w:t>
      </w:r>
    </w:p>
  </w:footnote>
  <w:footnote w:id="14">
    <w:p w:rsidR="0098545B">
      <w:pPr>
        <w:pStyle w:val="FootnoteText"/>
      </w:pPr>
      <w:bookmarkEnd w:id="27"/>
      <w:r>
        <w:rPr>
          <w:rStyle w:val="FootnoteReference"/>
        </w:rPr>
        <w:footnoteRef/>
      </w:r>
      <w:r>
        <w:t xml:space="preserve"> </w:t>
      </w:r>
      <w:r>
        <w:tab/>
        <w:t xml:space="preserve">Especially when read </w:t>
      </w:r>
      <w:r w:rsidRPr="0098545B">
        <w:t xml:space="preserve">against the backdrop of the federal law it implements, </w:t>
      </w:r>
      <w:r w:rsidR="00A024EC">
        <w:t xml:space="preserve">the language of </w:t>
      </w:r>
      <w:r>
        <w:t>s</w:t>
      </w:r>
      <w:r w:rsidRPr="0098545B">
        <w:t>ection 629.50</w:t>
      </w:r>
      <w:r>
        <w:t>(a</w:t>
      </w:r>
      <w:bookmarkStart w:id="28" w:name="_Hlk87909862"/>
      <w:r>
        <w:t>)</w:t>
      </w:r>
      <w:r w:rsidRPr="0098545B">
        <w:t xml:space="preserve"> is naturally understood to require </w:t>
      </w:r>
      <w:r w:rsidR="00483E6F">
        <w:t xml:space="preserve">that </w:t>
      </w:r>
      <w:r w:rsidRPr="0098545B">
        <w:t xml:space="preserve">the affirmation </w:t>
      </w:r>
      <w:r w:rsidR="00483E6F">
        <w:t xml:space="preserve">come from </w:t>
      </w:r>
      <w:r>
        <w:t xml:space="preserve">either </w:t>
      </w:r>
      <w:r w:rsidRPr="0098545B">
        <w:t>the “principal prosecuting attorney” in the relevant jurisdiction (18 U.S.C. § 2516(2)) or the person who is acting as principal prosecuting attorney</w:t>
      </w:r>
      <w:r w:rsidR="00D95088">
        <w:t xml:space="preserve"> </w:t>
      </w:r>
      <w:r w:rsidRPr="00D95088" w:rsidR="00D95088">
        <w:t xml:space="preserve">during the principal prosecuting attorney’s period of absence.  </w:t>
      </w:r>
      <w:bookmarkEnd w:id="28"/>
      <w:r>
        <w:t xml:space="preserve">(See </w:t>
      </w:r>
      <w:r w:rsidRPr="0098545B">
        <w:rPr>
          <w:i/>
          <w:iCs/>
        </w:rPr>
        <w:t>Fury, supra</w:t>
      </w:r>
      <w:r w:rsidRPr="0098545B">
        <w:t>, 554 F.2d at p. 527, fn. 4</w:t>
      </w:r>
      <w:r>
        <w:t>.)</w:t>
      </w:r>
    </w:p>
  </w:footnote>
  <w:footnote w:id="15">
    <w:p w:rsidR="00AD56E7" w:rsidP="004F5DF7">
      <w:pPr>
        <w:pStyle w:val="FootnoteText"/>
      </w:pPr>
      <w:r>
        <w:rPr>
          <w:rStyle w:val="FootnoteReference"/>
        </w:rPr>
        <w:footnoteRef/>
      </w:r>
      <w:r>
        <w:t xml:space="preserve"> </w:t>
      </w:r>
      <w:r>
        <w:tab/>
      </w:r>
      <w:r w:rsidR="00161133">
        <w:t xml:space="preserve">It is unclear from </w:t>
      </w:r>
      <w:r>
        <w:t xml:space="preserve">Gonzalez’s briefing whether he is </w:t>
      </w:r>
      <w:r w:rsidR="00655A6B">
        <w:t>arguing that the use of leading questions constituted a form of prosecutorial misconduct or that the trial court erred in permitting such questioning</w:t>
      </w:r>
      <w:r w:rsidR="00D70475">
        <w:t xml:space="preserve"> or both</w:t>
      </w:r>
      <w:r w:rsidR="00655A6B">
        <w:t xml:space="preserve">.  </w:t>
      </w:r>
      <w:r w:rsidR="00161133">
        <w:t>However, a</w:t>
      </w:r>
      <w:r w:rsidR="00D70475">
        <w:t>s discussed below,</w:t>
      </w:r>
      <w:r w:rsidR="00BE2E32">
        <w:t xml:space="preserve"> </w:t>
      </w:r>
      <w:r w:rsidR="00D70475">
        <w:t>r</w:t>
      </w:r>
      <w:r w:rsidR="00655A6B">
        <w:t>egardless of the specific nature of his claim, we find no</w:t>
      </w:r>
      <w:r w:rsidR="00D70475">
        <w:t xml:space="preserve"> error on the part of either the trial court or the prosecution with respect to the use of leading questions</w:t>
      </w:r>
      <w:r w:rsidR="00655A6B">
        <w:t xml:space="preserve">.  </w:t>
      </w:r>
      <w:r>
        <w:t xml:space="preserve"> </w:t>
      </w:r>
    </w:p>
  </w:footnote>
  <w:footnote w:id="16">
    <w:p w:rsidR="003D1C12" w:rsidP="004F5DF7">
      <w:pPr>
        <w:pStyle w:val="FootnoteText"/>
      </w:pPr>
      <w:r>
        <w:rPr>
          <w:rStyle w:val="FootnoteReference"/>
        </w:rPr>
        <w:footnoteRef/>
      </w:r>
      <w:r>
        <w:t xml:space="preserve"> </w:t>
      </w:r>
      <w:r>
        <w:tab/>
        <w:t xml:space="preserve">The court invited Rowan’s attorney to remind her client she was “supposed to be telling the truth and volunteering answers without the prosecutor having to constantly remind her of what her statements have been in the past.”  </w:t>
      </w:r>
      <w:r w:rsidR="000E2AE4">
        <w:t xml:space="preserve">After </w:t>
      </w:r>
      <w:r>
        <w:t>Celina</w:t>
      </w:r>
      <w:r w:rsidR="000E2AE4">
        <w:t xml:space="preserve"> repeatedly testified </w:t>
      </w:r>
      <w:r w:rsidR="00806B77">
        <w:t xml:space="preserve">that </w:t>
      </w:r>
      <w:r w:rsidR="000E2AE4">
        <w:t>s</w:t>
      </w:r>
      <w:r>
        <w:t>he could not remember whether Gonzalez had said he was carrying a gun at the time of the murder,</w:t>
      </w:r>
      <w:r w:rsidR="000E2AE4">
        <w:t xml:space="preserve"> and then asked the prosecutor why he kept asking her that question, the trial court directed her not to ask </w:t>
      </w:r>
      <w:r w:rsidR="00416B31">
        <w:t xml:space="preserve">the prosecution </w:t>
      </w:r>
      <w:r w:rsidR="000E2AE4">
        <w:t>questions</w:t>
      </w:r>
      <w:r w:rsidR="007309F9">
        <w:t xml:space="preserve"> </w:t>
      </w:r>
      <w:r w:rsidR="000E2AE4">
        <w:t>and then asked Celina’s attorney whether she would “wish to talk to [her] client</w:t>
      </w:r>
      <w:r w:rsidR="0070468A">
        <w:t>.</w:t>
      </w:r>
      <w:r w:rsidR="000E2AE4">
        <w:t xml:space="preserve">”    </w:t>
      </w:r>
      <w:r>
        <w:t xml:space="preserve">  </w:t>
      </w:r>
    </w:p>
  </w:footnote>
  <w:footnote w:id="17">
    <w:p w:rsidR="006B5B2D" w:rsidP="00C7075F">
      <w:pPr>
        <w:pStyle w:val="FootnoteText"/>
      </w:pPr>
      <w:r>
        <w:rPr>
          <w:rStyle w:val="FootnoteReference"/>
        </w:rPr>
        <w:footnoteRef/>
      </w:r>
      <w:r>
        <w:t xml:space="preserve"> </w:t>
      </w:r>
      <w:r>
        <w:tab/>
        <w:t>Gonzalez also cite</w:t>
      </w:r>
      <w:r w:rsidR="0073697B">
        <w:t>s</w:t>
      </w:r>
      <w:r>
        <w:t xml:space="preserve"> </w:t>
      </w:r>
      <w:r w:rsidRPr="00C7075F">
        <w:rPr>
          <w:i/>
          <w:iCs/>
        </w:rPr>
        <w:t>People v. Medina</w:t>
      </w:r>
      <w:r>
        <w:t xml:space="preserve"> (1974) 41  Cal.App.3d 438, which held that an immunity agreement requiring the cooperating witness to provide testimony that was materially identical to the statements he had previously made to police was constitutionally impermissible. </w:t>
      </w:r>
      <w:r w:rsidR="0073697B">
        <w:t xml:space="preserve"> We </w:t>
      </w:r>
      <w:r w:rsidR="00C7075F">
        <w:t>have</w:t>
      </w:r>
      <w:r w:rsidR="0073697B">
        <w:t xml:space="preserve"> </w:t>
      </w:r>
      <w:r w:rsidR="00C7075F">
        <w:t xml:space="preserve">clarified </w:t>
      </w:r>
      <w:r w:rsidR="0054640C">
        <w:t xml:space="preserve">that </w:t>
      </w:r>
      <w:r w:rsidR="00C7075F">
        <w:t xml:space="preserve">the principles of </w:t>
      </w:r>
      <w:r w:rsidRPr="00AC4FEA" w:rsidR="00C7075F">
        <w:rPr>
          <w:i/>
          <w:iCs/>
        </w:rPr>
        <w:t>Medina</w:t>
      </w:r>
      <w:r w:rsidR="00C7075F">
        <w:t xml:space="preserve"> are implicated only when “</w:t>
      </w:r>
      <w:r>
        <w:t>the bargain is expressly contingent on the witness sticking to a particular version</w:t>
      </w:r>
      <w:r w:rsidR="007929A6">
        <w:t> . . . </w:t>
      </w:r>
      <w:r w:rsidR="00C7075F">
        <w:t xml:space="preserve">.” </w:t>
      </w:r>
      <w:r>
        <w:t xml:space="preserve"> (</w:t>
      </w:r>
      <w:r w:rsidRPr="00C7075F">
        <w:rPr>
          <w:i/>
          <w:iCs/>
        </w:rPr>
        <w:t>People v. Garrison</w:t>
      </w:r>
      <w:r>
        <w:t xml:space="preserve"> (1989) 47 Ca</w:t>
      </w:r>
      <w:r w:rsidR="00C7075F">
        <w:t>l</w:t>
      </w:r>
      <w:r>
        <w:t xml:space="preserve">.3d 746, 771.) </w:t>
      </w:r>
      <w:r w:rsidR="00C7075F">
        <w:t xml:space="preserve"> </w:t>
      </w:r>
      <w:r>
        <w:t xml:space="preserve">Rowan and Celina were not subject to any such </w:t>
      </w:r>
      <w:r w:rsidR="00C7075F">
        <w:t xml:space="preserve">requirement.  Instead, their plea agreements provided only that </w:t>
      </w:r>
      <w:r w:rsidR="007E392E">
        <w:t>the</w:t>
      </w:r>
      <w:r w:rsidR="00FD07C6">
        <w:t>y would testify truthfully</w:t>
      </w:r>
      <w:r w:rsidR="00C7075F">
        <w:t>.  (</w:t>
      </w:r>
      <w:r w:rsidR="00AC4FEA">
        <w:t xml:space="preserve">See </w:t>
      </w:r>
      <w:r w:rsidRPr="00AC4FEA" w:rsidR="00C7075F">
        <w:rPr>
          <w:i/>
          <w:iCs/>
        </w:rPr>
        <w:t>People v. Allen</w:t>
      </w:r>
      <w:r w:rsidR="00C7075F">
        <w:t xml:space="preserve"> (1986) 42 Ca</w:t>
      </w:r>
      <w:r w:rsidR="007929A6">
        <w:t>l</w:t>
      </w:r>
      <w:r w:rsidR="00C7075F">
        <w:t>.3d 1222, 1252 [“</w:t>
      </w:r>
      <w:r w:rsidRPr="00FD07C6" w:rsidR="00FD07C6">
        <w:t>although there is a certain degree of compulsion inherent in any plea agreement or grant of immunity, it is clear that an agreement requiring only that the witness testify fully and truthfully is valid</w:t>
      </w:r>
      <w:r w:rsidR="00C7075F">
        <w:t xml:space="preserve">”].) </w:t>
      </w:r>
    </w:p>
  </w:footnote>
  <w:footnote w:id="18">
    <w:p w:rsidR="005B363E" w:rsidP="004F5DF7">
      <w:pPr>
        <w:pStyle w:val="FootnoteText"/>
      </w:pPr>
      <w:r>
        <w:rPr>
          <w:rStyle w:val="FootnoteReference"/>
        </w:rPr>
        <w:footnoteRef/>
      </w:r>
      <w:r>
        <w:t xml:space="preserve"> </w:t>
      </w:r>
      <w:r>
        <w:tab/>
      </w:r>
      <w:r w:rsidRPr="005B363E">
        <w:t xml:space="preserve">It is also unclear </w:t>
      </w:r>
      <w:r w:rsidR="003F348D">
        <w:t xml:space="preserve">what prejudice </w:t>
      </w:r>
      <w:r w:rsidRPr="005B363E">
        <w:t xml:space="preserve">Gonzalez </w:t>
      </w:r>
      <w:r w:rsidR="003F348D">
        <w:t>could have suffered from such conduct</w:t>
      </w:r>
      <w:r w:rsidRPr="005B363E">
        <w:t>.  Gonzalez’s central contention seems to be that in the absence of the prosecution’s admonitions about providing</w:t>
      </w:r>
      <w:r w:rsidR="003F348D">
        <w:t xml:space="preserve"> truthful </w:t>
      </w:r>
      <w:r w:rsidRPr="005B363E">
        <w:t xml:space="preserve">answers, the witnesses might have provided testimony that differed from what </w:t>
      </w:r>
      <w:r w:rsidR="0066192A">
        <w:t>they</w:t>
      </w:r>
      <w:r w:rsidRPr="005B363E">
        <w:t xml:space="preserve"> had previously told the police.  But as the witnesses acknowledged at trial, they had made several recorded statements to </w:t>
      </w:r>
      <w:r w:rsidR="00446223">
        <w:t xml:space="preserve">law enforcement along with </w:t>
      </w:r>
      <w:r w:rsidRPr="005B363E">
        <w:t>“a proffer under oath about things that occurred.”  Thus, had the</w:t>
      </w:r>
      <w:r w:rsidR="00446223">
        <w:t xml:space="preserve"> witnesses</w:t>
      </w:r>
      <w:r w:rsidRPr="005B363E">
        <w:t xml:space="preserve"> testified in a manner that was inconsistent with what they told police,</w:t>
      </w:r>
      <w:r w:rsidR="00446223">
        <w:t xml:space="preserve"> which is apparently what Gonzalez contends they would have done had the court and prosecutor not “interfered”</w:t>
      </w:r>
      <w:r w:rsidR="005F3F15">
        <w:t xml:space="preserve"> with them,</w:t>
      </w:r>
      <w:r w:rsidRPr="005B363E">
        <w:t xml:space="preserve"> the prosecution would have been able to cross-examine them with their prior conflicting statements, </w:t>
      </w:r>
      <w:r w:rsidR="00446223">
        <w:t xml:space="preserve">many </w:t>
      </w:r>
      <w:r w:rsidRPr="005B363E">
        <w:t xml:space="preserve">of which were made under oath.  </w:t>
      </w:r>
      <w:r w:rsidR="0066192A">
        <w:t xml:space="preserve">The jury would therefore know their current testimony conflicted with </w:t>
      </w:r>
      <w:r w:rsidR="004578D7">
        <w:t>prior statements they had made to law enforcement</w:t>
      </w:r>
      <w:r w:rsidR="0066192A">
        <w:t>.</w:t>
      </w:r>
    </w:p>
  </w:footnote>
  <w:footnote w:id="19">
    <w:p w:rsidR="006C01B9" w:rsidP="006C01B9">
      <w:pPr>
        <w:pStyle w:val="FootnoteText"/>
      </w:pPr>
      <w:r>
        <w:rPr>
          <w:rStyle w:val="FootnoteReference"/>
        </w:rPr>
        <w:footnoteRef/>
      </w:r>
      <w:r>
        <w:t xml:space="preserve"> </w:t>
      </w:r>
      <w:r>
        <w:tab/>
      </w:r>
      <w:r w:rsidRPr="006C3A5B">
        <w:t>Gonzalez</w:t>
      </w:r>
      <w:r>
        <w:t>’s brief clarif</w:t>
      </w:r>
      <w:r w:rsidR="002210D3">
        <w:t>ies</w:t>
      </w:r>
      <w:r>
        <w:t xml:space="preserve"> t</w:t>
      </w:r>
      <w:r w:rsidRPr="006C3A5B">
        <w:t xml:space="preserve">hat he is not challenging the </w:t>
      </w:r>
      <w:r w:rsidR="002210D3">
        <w:t xml:space="preserve">portion of the </w:t>
      </w:r>
      <w:r>
        <w:t>detectives’</w:t>
      </w:r>
      <w:r w:rsidR="002210D3">
        <w:t xml:space="preserve"> testimony</w:t>
      </w:r>
      <w:r>
        <w:t xml:space="preserve"> </w:t>
      </w:r>
      <w:r w:rsidR="002210D3">
        <w:t>explaining</w:t>
      </w:r>
      <w:r>
        <w:t xml:space="preserve"> </w:t>
      </w:r>
      <w:r w:rsidRPr="006C3A5B">
        <w:t xml:space="preserve">“certain gang terms that had to be translated so that the jury could understand their meaning.”  </w:t>
      </w:r>
    </w:p>
  </w:footnote>
  <w:footnote w:id="20">
    <w:p w:rsidR="000B36A9" w:rsidP="0060470D">
      <w:pPr>
        <w:pStyle w:val="FootnoteText"/>
      </w:pPr>
      <w:r>
        <w:rPr>
          <w:rStyle w:val="FootnoteReference"/>
        </w:rPr>
        <w:footnoteRef/>
      </w:r>
      <w:r>
        <w:t xml:space="preserve"> </w:t>
      </w:r>
      <w:r>
        <w:tab/>
      </w:r>
      <w:r w:rsidR="006C01B9">
        <w:t>Although Gonzalez’s brief</w:t>
      </w:r>
      <w:r w:rsidRPr="008A2A1E">
        <w:t xml:space="preserve"> cit</w:t>
      </w:r>
      <w:r w:rsidR="006C01B9">
        <w:t>es</w:t>
      </w:r>
      <w:r w:rsidR="00D90693">
        <w:t xml:space="preserve"> to</w:t>
      </w:r>
      <w:r w:rsidR="006C01B9">
        <w:t xml:space="preserve"> numerous </w:t>
      </w:r>
      <w:r w:rsidR="002210D3">
        <w:t>pages in</w:t>
      </w:r>
      <w:r w:rsidR="006C01B9">
        <w:t xml:space="preserve"> the trial </w:t>
      </w:r>
      <w:r w:rsidRPr="008A2A1E">
        <w:t>transcript where</w:t>
      </w:r>
      <w:r w:rsidR="006C01B9">
        <w:t xml:space="preserve"> defense</w:t>
      </w:r>
      <w:r w:rsidRPr="008A2A1E">
        <w:t xml:space="preserve"> counsel</w:t>
      </w:r>
      <w:r w:rsidR="00AB5986">
        <w:t xml:space="preserve"> made objections during the </w:t>
      </w:r>
      <w:r w:rsidRPr="008A2A1E">
        <w:t xml:space="preserve">detectives’ testimony, </w:t>
      </w:r>
      <w:r w:rsidR="00D90693">
        <w:t xml:space="preserve">the record shows that </w:t>
      </w:r>
      <w:r>
        <w:t>m</w:t>
      </w:r>
      <w:r w:rsidR="006C01B9">
        <w:t xml:space="preserve">ost </w:t>
      </w:r>
      <w:r>
        <w:t xml:space="preserve">of those objections </w:t>
      </w:r>
      <w:r w:rsidR="002210D3">
        <w:t xml:space="preserve">are unrelated </w:t>
      </w:r>
      <w:r>
        <w:t>to the argument he presents here </w:t>
      </w:r>
      <w:r w:rsidR="006C01B9">
        <w:t>(</w:t>
      </w:r>
      <w:r w:rsidRPr="00B91303">
        <w:t xml:space="preserve">“objection, that’s vague”; “objection, that would be speculation”; </w:t>
      </w:r>
      <w:r>
        <w:t xml:space="preserve">“[this testimony] is cumulative”; </w:t>
      </w:r>
      <w:r w:rsidRPr="00B91303">
        <w:t>“objection, leading”</w:t>
      </w:r>
      <w:r w:rsidR="006C01B9">
        <w:t>)</w:t>
      </w:r>
      <w:r w:rsidR="00AB5986">
        <w:t>.</w:t>
      </w:r>
      <w:r>
        <w:t xml:space="preserve">  In only one instance did Gonzalez object to a statement on the basis that the</w:t>
      </w:r>
      <w:r w:rsidR="00AB5986">
        <w:t xml:space="preserve"> </w:t>
      </w:r>
      <w:r>
        <w:t>witness had improperly conveyed “</w:t>
      </w:r>
      <w:r w:rsidRPr="00B91303">
        <w:t>a conclusion</w:t>
      </w:r>
      <w:r w:rsidR="00AB5986">
        <w:t>.</w:t>
      </w:r>
      <w:r w:rsidRPr="00B91303">
        <w:t xml:space="preserve">” </w:t>
      </w:r>
      <w:r>
        <w:t xml:space="preserve"> </w:t>
      </w:r>
      <w:r w:rsidRPr="00B91303">
        <w:t xml:space="preserve">(See </w:t>
      </w:r>
      <w:r w:rsidRPr="0060470D" w:rsidR="0060470D">
        <w:rPr>
          <w:i/>
          <w:iCs/>
        </w:rPr>
        <w:t>People v. Marks</w:t>
      </w:r>
      <w:r w:rsidR="0060470D">
        <w:t xml:space="preserve"> (2003) 31 Cal.4th 197, 228 [“A general objection to the admission . . . of evidence, or one based on a different ground from that advanced at trial, does not preserve the claim for appeal”].) </w:t>
      </w:r>
    </w:p>
  </w:footnote>
  <w:footnote w:id="21">
    <w:p w:rsidR="005A73D1" w:rsidP="004F5DF7">
      <w:pPr>
        <w:pStyle w:val="FootnoteText"/>
      </w:pPr>
      <w:r>
        <w:rPr>
          <w:rStyle w:val="FootnoteReference"/>
        </w:rPr>
        <w:footnoteRef/>
      </w:r>
      <w:r>
        <w:t xml:space="preserve"> </w:t>
      </w:r>
      <w:r>
        <w:tab/>
      </w:r>
      <w:r w:rsidRPr="005A73D1">
        <w:t>Gonzalez</w:t>
      </w:r>
      <w:r w:rsidR="00056706">
        <w:t>’s contention that his admissions regarding the carjacking and his prior robberies</w:t>
      </w:r>
      <w:r w:rsidRPr="005A73D1">
        <w:t xml:space="preserve"> </w:t>
      </w:r>
      <w:r w:rsidR="00056706">
        <w:t xml:space="preserve">should have been excluded </w:t>
      </w:r>
      <w:r>
        <w:t xml:space="preserve">also appears to rely </w:t>
      </w:r>
      <w:r w:rsidRPr="005A73D1">
        <w:t xml:space="preserve">on an aspect of the </w:t>
      </w:r>
      <w:r>
        <w:t xml:space="preserve">corpus delicti </w:t>
      </w:r>
      <w:r w:rsidRPr="005A73D1">
        <w:t xml:space="preserve">rule that has been abrogated.  </w:t>
      </w:r>
      <w:r w:rsidR="00564137">
        <w:t xml:space="preserve">As noted above (see </w:t>
      </w:r>
      <w:r w:rsidRPr="00564137" w:rsidR="00564137">
        <w:rPr>
          <w:i/>
          <w:iCs/>
        </w:rPr>
        <w:t>ante</w:t>
      </w:r>
      <w:r w:rsidR="00564137">
        <w:t xml:space="preserve">, at p. </w:t>
      </w:r>
      <w:r w:rsidR="00586F9D">
        <w:t>16</w:t>
      </w:r>
      <w:r w:rsidR="00845C0E">
        <w:t xml:space="preserve">, </w:t>
      </w:r>
      <w:r w:rsidR="00564137">
        <w:t xml:space="preserve">fn. </w:t>
      </w:r>
      <w:r w:rsidR="00845C0E">
        <w:t>3</w:t>
      </w:r>
      <w:r w:rsidR="00564137">
        <w:t xml:space="preserve">), we have previously held that </w:t>
      </w:r>
      <w:r w:rsidR="002F7B37">
        <w:t>article I, section 28, subdivision (d) of the California Constitution</w:t>
      </w:r>
      <w:r w:rsidR="00564137">
        <w:t xml:space="preserve"> </w:t>
      </w:r>
      <w:r w:rsidRPr="005A73D1">
        <w:t xml:space="preserve">abrogated the corpus delicti rule “insofar as [it] restricts the </w:t>
      </w:r>
      <w:r w:rsidRPr="005F66B1">
        <w:rPr>
          <w:i/>
        </w:rPr>
        <w:t>admissibility</w:t>
      </w:r>
      <w:r w:rsidRPr="005A73D1">
        <w:t xml:space="preserve"> of incriminatory extrajudicial statements by the accused.”  (</w:t>
      </w:r>
      <w:r w:rsidRPr="002D07C5">
        <w:rPr>
          <w:i/>
          <w:iCs/>
        </w:rPr>
        <w:t>Valencia</w:t>
      </w:r>
      <w:r w:rsidR="00056706">
        <w:rPr>
          <w:i/>
          <w:iCs/>
        </w:rPr>
        <w:t xml:space="preserve">, supra, </w:t>
      </w:r>
      <w:r w:rsidRPr="005A73D1">
        <w:t xml:space="preserve">43 Cal.4th </w:t>
      </w:r>
      <w:r w:rsidR="00056706">
        <w:t xml:space="preserve">at p. </w:t>
      </w:r>
      <w:r w:rsidRPr="005A73D1">
        <w:t>297</w:t>
      </w:r>
      <w:r w:rsidR="00564137">
        <w:t>, italics added</w:t>
      </w:r>
      <w:r w:rsidRPr="005A73D1">
        <w:t xml:space="preserve">.) </w:t>
      </w:r>
      <w:r w:rsidR="00564137">
        <w:t xml:space="preserve"> </w:t>
      </w:r>
      <w:r w:rsidR="00056706">
        <w:t>Thus, the r</w:t>
      </w:r>
      <w:r w:rsidR="00845C0E">
        <w:t>ule no longer operates to exclude evidence of a defendant’s extrajudicial statements</w:t>
      </w:r>
      <w:r w:rsidR="00056706">
        <w:t>.  (</w:t>
      </w:r>
      <w:r w:rsidR="00845C0E">
        <w:rPr>
          <w:i/>
          <w:iCs/>
        </w:rPr>
        <w:t>Ibid.</w:t>
      </w:r>
      <w:r w:rsidRPr="005F66B1" w:rsidR="00845C0E">
        <w:rPr>
          <w:i/>
        </w:rPr>
        <w:t xml:space="preserve"> </w:t>
      </w:r>
      <w:r w:rsidR="00056706">
        <w:t>[“</w:t>
      </w:r>
      <w:r w:rsidRPr="00056706" w:rsidR="00056706">
        <w:t>the corpus delicti rule no longer prevents admission of the confession</w:t>
      </w:r>
      <w:r w:rsidR="00056706">
        <w:t>”]</w:t>
      </w:r>
      <w:r w:rsidRPr="00056706" w:rsidR="00056706">
        <w:t>.</w:t>
      </w:r>
      <w:r w:rsidR="00056706">
        <w:t xml:space="preserve">) </w:t>
      </w:r>
    </w:p>
  </w:footnote>
  <w:footnote w:id="22">
    <w:p w:rsidR="004D4FFF" w:rsidP="004F5DF7">
      <w:pPr>
        <w:pStyle w:val="FootnoteText"/>
      </w:pPr>
      <w:r>
        <w:rPr>
          <w:rStyle w:val="FootnoteReference"/>
        </w:rPr>
        <w:footnoteRef/>
      </w:r>
      <w:r>
        <w:t xml:space="preserve"> </w:t>
      </w:r>
      <w:r>
        <w:tab/>
      </w:r>
      <w:r w:rsidRPr="0038020D">
        <w:t xml:space="preserve">Gonzalez also argues that the video impermissibly called for vengeance. </w:t>
      </w:r>
      <w:r w:rsidR="007A4A55">
        <w:t>Because t</w:t>
      </w:r>
      <w:r w:rsidRPr="0038020D">
        <w:t xml:space="preserve">he video contains no explicit calls for vengeance, </w:t>
      </w:r>
      <w:r w:rsidR="007A4A55">
        <w:t xml:space="preserve">we </w:t>
      </w:r>
      <w:r w:rsidRPr="0038020D">
        <w:t xml:space="preserve">reject the claim.  (See </w:t>
      </w:r>
      <w:r w:rsidRPr="0038020D">
        <w:rPr>
          <w:i/>
          <w:iCs/>
        </w:rPr>
        <w:t>Kelly, supra</w:t>
      </w:r>
      <w:r w:rsidRPr="0038020D">
        <w:t xml:space="preserve">, </w:t>
      </w:r>
      <w:r w:rsidR="00055725">
        <w:t>42</w:t>
      </w:r>
      <w:r w:rsidRPr="0038020D">
        <w:t xml:space="preserve"> Cal.4th at p. 79</w:t>
      </w:r>
      <w:r w:rsidR="00055725">
        <w:t>7</w:t>
      </w:r>
      <w:r w:rsidRPr="0038020D">
        <w:t xml:space="preserve"> [“the tape expressed no outrage over her death, just implied sadness. </w:t>
      </w:r>
      <w:r w:rsidR="00F629D2">
        <w:t xml:space="preserve"> </w:t>
      </w:r>
      <w:r w:rsidRPr="0038020D">
        <w:t>It contained no clarion call for vengeance”].)</w:t>
      </w:r>
    </w:p>
  </w:footnote>
  <w:footnote w:id="23">
    <w:p w:rsidR="004D4FFF" w:rsidP="004F5DF7">
      <w:pPr>
        <w:pStyle w:val="FootnoteText"/>
      </w:pPr>
      <w:r>
        <w:rPr>
          <w:rStyle w:val="FootnoteReference"/>
        </w:rPr>
        <w:footnoteRef/>
      </w:r>
      <w:r>
        <w:t xml:space="preserve">  </w:t>
      </w:r>
      <w:r>
        <w:tab/>
        <w:t xml:space="preserve">Although Gonzalez’s opening brief asserts that “guilt phase errors that may not be prejudicial to the guilt phase may nevertheless improperly and adversely impact the jury’s penalty determination,” he has provided no argument or explanation regarding how any of the purported errors that he contends were committed in the guilt phase impacted the penalty determination.  (See </w:t>
      </w:r>
      <w:r w:rsidRPr="005D69B3">
        <w:rPr>
          <w:i/>
          <w:iCs/>
        </w:rPr>
        <w:t>People v. Gamache</w:t>
      </w:r>
      <w:r>
        <w:t xml:space="preserve"> </w:t>
      </w:r>
      <w:r w:rsidR="00E70317">
        <w:t>(2010)</w:t>
      </w:r>
      <w:r>
        <w:t xml:space="preserve"> 48 Cal.4th 347, 378 [rejective cumulative error claim where defendant failed to show how error that “had no impact on the guilt verdict</w:t>
      </w:r>
      <w:r w:rsidR="0042654F">
        <w:t>”</w:t>
      </w:r>
      <w:r>
        <w:t xml:space="preserve"> </w:t>
      </w:r>
      <w:r w:rsidR="0042654F">
        <w:t>“</w:t>
      </w:r>
      <w:r>
        <w:t xml:space="preserve">could have affected the penalty phase verdict”].)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DF7">
    <w:pPr>
      <w:pStyle w:val="Header"/>
    </w:pPr>
    <w:bookmarkStart w:id="4" w:name="_Hlk86047290"/>
    <w:r>
      <w:t>PEOPLE v. GONZALEZ</w:t>
    </w:r>
  </w:p>
  <w:p w:rsidR="004F5DF7">
    <w:pPr>
      <w:pStyle w:val="Header"/>
    </w:pPr>
    <w:r>
      <w:t>Opinion of the Court by Groban, J.</w:t>
    </w:r>
  </w:p>
  <w:p w:rsidR="004F5DF7">
    <w:pPr>
      <w:pStyle w:val="Header"/>
    </w:pP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5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CDB" w:rsidRPr="00F33CDB" w:rsidP="00F33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8626F"/>
    <w:multiLevelType w:val="hybridMultilevel"/>
    <w:tmpl w:val="E7C296A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7F3910"/>
    <w:multiLevelType w:val="hybridMultilevel"/>
    <w:tmpl w:val="EA7E8A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F64E9"/>
    <w:multiLevelType w:val="hybridMultilevel"/>
    <w:tmpl w:val="DE60B7AA"/>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09552E"/>
    <w:multiLevelType w:val="hybridMultilevel"/>
    <w:tmpl w:val="31FAC2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2BE32B7"/>
    <w:multiLevelType w:val="hybridMultilevel"/>
    <w:tmpl w:val="466E4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D40B2"/>
    <w:multiLevelType w:val="hybridMultilevel"/>
    <w:tmpl w:val="1960F09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C53406A"/>
    <w:multiLevelType w:val="hybridMultilevel"/>
    <w:tmpl w:val="3BBABC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FDD101B"/>
    <w:multiLevelType w:val="hybridMultilevel"/>
    <w:tmpl w:val="2B1891DC"/>
    <w:lvl w:ilvl="0">
      <w:start w:val="1"/>
      <w:numFmt w:val="lowerLetter"/>
      <w:lvlText w:val="%1."/>
      <w:lvlJc w:val="left"/>
      <w:pPr>
        <w:ind w:left="1440" w:hanging="360"/>
      </w:pPr>
    </w:lvl>
    <w:lvl w:ilvl="1">
      <w:start w:val="1"/>
      <w:numFmt w:val="low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D9C7D99"/>
    <w:multiLevelType w:val="hybridMultilevel"/>
    <w:tmpl w:val="C68C62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24C4510"/>
    <w:multiLevelType w:val="hybridMultilevel"/>
    <w:tmpl w:val="2EFCE8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1357F4"/>
    <w:multiLevelType w:val="hybridMultilevel"/>
    <w:tmpl w:val="D8C8F688"/>
    <w:lvl w:ilvl="0">
      <w:start w:val="1"/>
      <w:numFmt w:val="lowerRoman"/>
      <w:lvlText w:val="%1."/>
      <w:lvlJc w:val="righ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A74587"/>
    <w:multiLevelType w:val="hybridMultilevel"/>
    <w:tmpl w:val="07DA75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17F4BA0"/>
    <w:multiLevelType w:val="hybridMultilevel"/>
    <w:tmpl w:val="DD7A205C"/>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3896679"/>
    <w:multiLevelType w:val="hybridMultilevel"/>
    <w:tmpl w:val="B09492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3E93613"/>
    <w:multiLevelType w:val="hybridMultilevel"/>
    <w:tmpl w:val="59489B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5344E6D"/>
    <w:multiLevelType w:val="hybridMultilevel"/>
    <w:tmpl w:val="048CCCAE"/>
    <w:lvl w:ilvl="0">
      <w:start w:val="2"/>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9634DF"/>
    <w:multiLevelType w:val="hybridMultilevel"/>
    <w:tmpl w:val="6FC8DF86"/>
    <w:lvl w:ilvl="0">
      <w:start w:val="1"/>
      <w:numFmt w:val="lowerRoman"/>
      <w:lvlText w:val="%1."/>
      <w:lvlJc w:val="righ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91721E"/>
    <w:multiLevelType w:val="hybridMultilevel"/>
    <w:tmpl w:val="C50CFDE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8">
    <w:nsid w:val="6CCE6456"/>
    <w:multiLevelType w:val="hybridMultilevel"/>
    <w:tmpl w:val="E848BD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113BDD"/>
    <w:multiLevelType w:val="hybridMultilevel"/>
    <w:tmpl w:val="29284518"/>
    <w:lvl w:ilvl="0">
      <w:start w:val="1"/>
      <w:numFmt w:val="decimal"/>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16907EE"/>
    <w:multiLevelType w:val="hybridMultilevel"/>
    <w:tmpl w:val="07A82A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A42BE3"/>
    <w:multiLevelType w:val="hybridMultilevel"/>
    <w:tmpl w:val="A2180ED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8F587C"/>
    <w:multiLevelType w:val="hybridMultilevel"/>
    <w:tmpl w:val="002AA9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A457E84"/>
    <w:multiLevelType w:val="hybridMultilevel"/>
    <w:tmpl w:val="A0E63D8A"/>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A8516E4"/>
    <w:multiLevelType w:val="hybridMultilevel"/>
    <w:tmpl w:val="DE60B7AA"/>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0"/>
  </w:num>
  <w:num w:numId="3">
    <w:abstractNumId w:val="14"/>
  </w:num>
  <w:num w:numId="4">
    <w:abstractNumId w:val="6"/>
  </w:num>
  <w:num w:numId="5">
    <w:abstractNumId w:val="9"/>
  </w:num>
  <w:num w:numId="6">
    <w:abstractNumId w:val="8"/>
  </w:num>
  <w:num w:numId="7">
    <w:abstractNumId w:val="19"/>
  </w:num>
  <w:num w:numId="8">
    <w:abstractNumId w:val="22"/>
  </w:num>
  <w:num w:numId="9">
    <w:abstractNumId w:val="7"/>
  </w:num>
  <w:num w:numId="10">
    <w:abstractNumId w:val="18"/>
  </w:num>
  <w:num w:numId="11">
    <w:abstractNumId w:val="5"/>
  </w:num>
  <w:num w:numId="12">
    <w:abstractNumId w:val="0"/>
  </w:num>
  <w:num w:numId="13">
    <w:abstractNumId w:val="3"/>
  </w:num>
  <w:num w:numId="14">
    <w:abstractNumId w:val="17"/>
  </w:num>
  <w:num w:numId="15">
    <w:abstractNumId w:val="13"/>
  </w:num>
  <w:num w:numId="16">
    <w:abstractNumId w:val="4"/>
  </w:num>
  <w:num w:numId="17">
    <w:abstractNumId w:val="23"/>
  </w:num>
  <w:num w:numId="18">
    <w:abstractNumId w:val="24"/>
  </w:num>
  <w:num w:numId="19">
    <w:abstractNumId w:val="2"/>
  </w:num>
  <w:num w:numId="20">
    <w:abstractNumId w:val="11"/>
  </w:num>
  <w:num w:numId="21">
    <w:abstractNumId w:val="1"/>
  </w:num>
  <w:num w:numId="22">
    <w:abstractNumId w:val="16"/>
  </w:num>
  <w:num w:numId="23">
    <w:abstractNumId w:val="1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DF7"/>
    <w:pPr>
      <w:spacing w:after="100" w:line="400" w:lineRule="exact"/>
      <w:jc w:val="both"/>
    </w:pPr>
    <w:rPr>
      <w:rFonts w:ascii="Century Schoolbook" w:hAnsi="Century Schoolbook"/>
      <w:sz w:val="27"/>
    </w:rPr>
  </w:style>
  <w:style w:type="paragraph" w:styleId="Heading1">
    <w:name w:val="heading 1"/>
    <w:basedOn w:val="Normal"/>
    <w:next w:val="Normal"/>
    <w:qFormat/>
    <w:rsid w:val="004F5DF7"/>
    <w:pPr>
      <w:keepNext/>
      <w:spacing w:before="140" w:line="240" w:lineRule="atLeast"/>
      <w:jc w:val="center"/>
      <w:outlineLvl w:val="0"/>
    </w:pPr>
    <w:rPr>
      <w:b/>
      <w:smallCaps/>
    </w:rPr>
  </w:style>
  <w:style w:type="paragraph" w:styleId="Heading2">
    <w:name w:val="heading 2"/>
    <w:basedOn w:val="Normal"/>
    <w:next w:val="Normal"/>
    <w:qFormat/>
    <w:rsid w:val="004F5DF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F5DF7"/>
    <w:pPr>
      <w:keepNext/>
      <w:tabs>
        <w:tab w:val="left" w:pos="1584"/>
      </w:tabs>
      <w:spacing w:before="140" w:line="240" w:lineRule="atLeast"/>
      <w:ind w:left="1584" w:hanging="432"/>
      <w:jc w:val="left"/>
      <w:outlineLvl w:val="2"/>
    </w:pPr>
    <w:rPr>
      <w:i/>
    </w:rPr>
  </w:style>
  <w:style w:type="paragraph" w:styleId="Heading4">
    <w:name w:val="heading 4"/>
    <w:basedOn w:val="Normal"/>
    <w:rsid w:val="004F5DF7"/>
    <w:pPr>
      <w:keepNext/>
      <w:tabs>
        <w:tab w:val="left" w:pos="2016"/>
      </w:tabs>
      <w:spacing w:before="140" w:line="240" w:lineRule="atLeast"/>
      <w:ind w:left="2016" w:hanging="432"/>
      <w:jc w:val="left"/>
      <w:outlineLvl w:val="3"/>
    </w:pPr>
    <w:rPr>
      <w:i/>
    </w:rPr>
  </w:style>
  <w:style w:type="paragraph" w:styleId="Heading5">
    <w:name w:val="heading 5"/>
    <w:basedOn w:val="Normal"/>
    <w:rsid w:val="004F5DF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F5DF7"/>
    <w:pPr>
      <w:ind w:left="720"/>
    </w:pPr>
  </w:style>
  <w:style w:type="paragraph" w:styleId="Footer">
    <w:name w:val="footer"/>
    <w:basedOn w:val="Normal"/>
    <w:qFormat/>
    <w:rsid w:val="004F5DF7"/>
    <w:pPr>
      <w:tabs>
        <w:tab w:val="center" w:pos="3960"/>
        <w:tab w:val="right" w:pos="10080"/>
      </w:tabs>
      <w:spacing w:after="0" w:line="240" w:lineRule="auto"/>
      <w:jc w:val="center"/>
    </w:pPr>
    <w:rPr>
      <w:sz w:val="22"/>
    </w:rPr>
  </w:style>
  <w:style w:type="paragraph" w:styleId="Header">
    <w:name w:val="header"/>
    <w:basedOn w:val="Normal"/>
    <w:qFormat/>
    <w:rsid w:val="004F5DF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F5DF7"/>
    <w:rPr>
      <w:rFonts w:ascii="Century Schoolbook" w:hAnsi="Century Schoolbook"/>
      <w:b/>
      <w:i w:val="0"/>
      <w:position w:val="4"/>
      <w:sz w:val="27"/>
      <w:vertAlign w:val="superscript"/>
    </w:rPr>
  </w:style>
  <w:style w:type="paragraph" w:styleId="FootnoteText">
    <w:name w:val="footnote text"/>
    <w:basedOn w:val="Normal"/>
    <w:link w:val="FootnoteTextChar"/>
    <w:rsid w:val="004F5DF7"/>
    <w:pPr>
      <w:spacing w:line="300" w:lineRule="exact"/>
    </w:pPr>
  </w:style>
  <w:style w:type="paragraph" w:customStyle="1" w:styleId="Title1">
    <w:name w:val="Title1"/>
    <w:basedOn w:val="Normal"/>
    <w:rsid w:val="004F5DF7"/>
    <w:pPr>
      <w:tabs>
        <w:tab w:val="left" w:pos="5760"/>
        <w:tab w:val="left" w:pos="6480"/>
      </w:tabs>
      <w:spacing w:line="240" w:lineRule="atLeast"/>
    </w:pPr>
  </w:style>
  <w:style w:type="paragraph" w:customStyle="1" w:styleId="Recommend">
    <w:name w:val="Recommend"/>
    <w:basedOn w:val="Normal"/>
    <w:rsid w:val="004F5DF7"/>
  </w:style>
  <w:style w:type="paragraph" w:customStyle="1" w:styleId="Summary">
    <w:name w:val="Summary"/>
    <w:basedOn w:val="Normal"/>
    <w:rsid w:val="004F5DF7"/>
    <w:pPr>
      <w:ind w:left="2160" w:hanging="2160"/>
    </w:pPr>
  </w:style>
  <w:style w:type="paragraph" w:customStyle="1" w:styleId="Text">
    <w:name w:val="Text"/>
    <w:basedOn w:val="Normal"/>
    <w:rsid w:val="004F5DF7"/>
    <w:pPr>
      <w:tabs>
        <w:tab w:val="left" w:pos="720"/>
        <w:tab w:val="left" w:pos="1440"/>
        <w:tab w:val="left" w:pos="2160"/>
        <w:tab w:val="center" w:pos="4320"/>
      </w:tabs>
      <w:spacing w:line="480" w:lineRule="atLeast"/>
      <w:ind w:firstLine="540"/>
    </w:pPr>
  </w:style>
  <w:style w:type="paragraph" w:styleId="Date">
    <w:name w:val="Date"/>
    <w:basedOn w:val="Normal"/>
    <w:semiHidden/>
    <w:rsid w:val="004F5DF7"/>
    <w:pPr>
      <w:jc w:val="right"/>
    </w:pPr>
  </w:style>
  <w:style w:type="character" w:styleId="PageNumber">
    <w:name w:val="page number"/>
    <w:basedOn w:val="DefaultParagraphFont"/>
    <w:semiHidden/>
    <w:rsid w:val="004F5DF7"/>
  </w:style>
  <w:style w:type="paragraph" w:customStyle="1" w:styleId="subject">
    <w:name w:val="subject"/>
    <w:basedOn w:val="Normal"/>
    <w:rsid w:val="004F5DF7"/>
    <w:pPr>
      <w:tabs>
        <w:tab w:val="left" w:pos="1008"/>
      </w:tabs>
      <w:ind w:left="990" w:hanging="990"/>
    </w:pPr>
    <w:rPr>
      <w:b/>
    </w:rPr>
  </w:style>
  <w:style w:type="paragraph" w:customStyle="1" w:styleId="Titles">
    <w:name w:val="Titles"/>
    <w:basedOn w:val="Normal"/>
    <w:rsid w:val="004F5DF7"/>
    <w:pPr>
      <w:tabs>
        <w:tab w:val="left" w:pos="2160"/>
      </w:tabs>
      <w:ind w:left="2160" w:hanging="2160"/>
    </w:pPr>
    <w:rPr>
      <w:b/>
    </w:rPr>
  </w:style>
  <w:style w:type="paragraph" w:styleId="TOAHeading">
    <w:name w:val="toa heading"/>
    <w:basedOn w:val="Normal"/>
    <w:next w:val="Normal"/>
    <w:semiHidden/>
    <w:rsid w:val="004F5DF7"/>
    <w:pPr>
      <w:spacing w:before="120"/>
    </w:pPr>
    <w:rPr>
      <w:b/>
    </w:rPr>
  </w:style>
  <w:style w:type="paragraph" w:styleId="TOC1">
    <w:name w:val="toc 1"/>
    <w:basedOn w:val="Normal"/>
    <w:next w:val="Normal"/>
    <w:autoRedefine/>
    <w:semiHidden/>
    <w:rsid w:val="004F5DF7"/>
  </w:style>
  <w:style w:type="paragraph" w:styleId="TOC2">
    <w:name w:val="toc 2"/>
    <w:basedOn w:val="Normal"/>
    <w:next w:val="Normal"/>
    <w:autoRedefine/>
    <w:semiHidden/>
    <w:rsid w:val="004F5DF7"/>
    <w:pPr>
      <w:ind w:left="259"/>
    </w:pPr>
  </w:style>
  <w:style w:type="paragraph" w:styleId="TOC3">
    <w:name w:val="toc 3"/>
    <w:basedOn w:val="Normal"/>
    <w:next w:val="Normal"/>
    <w:autoRedefine/>
    <w:semiHidden/>
    <w:rsid w:val="004F5DF7"/>
    <w:pPr>
      <w:ind w:left="520"/>
    </w:pPr>
  </w:style>
  <w:style w:type="paragraph" w:styleId="TOC4">
    <w:name w:val="toc 4"/>
    <w:basedOn w:val="Normal"/>
    <w:next w:val="Normal"/>
    <w:autoRedefine/>
    <w:semiHidden/>
    <w:rsid w:val="004F5DF7"/>
    <w:pPr>
      <w:ind w:left="780"/>
    </w:pPr>
  </w:style>
  <w:style w:type="paragraph" w:styleId="TOC5">
    <w:name w:val="toc 5"/>
    <w:basedOn w:val="Normal"/>
    <w:next w:val="Normal"/>
    <w:autoRedefine/>
    <w:semiHidden/>
    <w:rsid w:val="004F5DF7"/>
    <w:pPr>
      <w:ind w:left="1040"/>
    </w:pPr>
  </w:style>
  <w:style w:type="paragraph" w:styleId="TOC6">
    <w:name w:val="toc 6"/>
    <w:basedOn w:val="Normal"/>
    <w:next w:val="Normal"/>
    <w:autoRedefine/>
    <w:semiHidden/>
    <w:rsid w:val="004F5DF7"/>
    <w:pPr>
      <w:ind w:left="1300"/>
    </w:pPr>
  </w:style>
  <w:style w:type="paragraph" w:styleId="TOC7">
    <w:name w:val="toc 7"/>
    <w:basedOn w:val="Normal"/>
    <w:next w:val="Normal"/>
    <w:autoRedefine/>
    <w:semiHidden/>
    <w:rsid w:val="004F5DF7"/>
    <w:pPr>
      <w:ind w:left="1560"/>
    </w:pPr>
  </w:style>
  <w:style w:type="paragraph" w:styleId="TOC8">
    <w:name w:val="toc 8"/>
    <w:basedOn w:val="Normal"/>
    <w:next w:val="Normal"/>
    <w:autoRedefine/>
    <w:semiHidden/>
    <w:rsid w:val="004F5DF7"/>
    <w:pPr>
      <w:ind w:left="1820"/>
    </w:pPr>
  </w:style>
  <w:style w:type="paragraph" w:styleId="TOC9">
    <w:name w:val="toc 9"/>
    <w:basedOn w:val="Normal"/>
    <w:next w:val="Normal"/>
    <w:autoRedefine/>
    <w:semiHidden/>
    <w:rsid w:val="004F5DF7"/>
    <w:pPr>
      <w:ind w:left="2080"/>
    </w:pPr>
  </w:style>
  <w:style w:type="paragraph" w:customStyle="1" w:styleId="Contents">
    <w:name w:val="Contents"/>
    <w:basedOn w:val="Normal"/>
    <w:rsid w:val="004F5DF7"/>
    <w:pPr>
      <w:jc w:val="center"/>
    </w:pPr>
    <w:rPr>
      <w:b/>
      <w:spacing w:val="100"/>
    </w:rPr>
  </w:style>
  <w:style w:type="paragraph" w:styleId="ListParagraph">
    <w:name w:val="List Paragraph"/>
    <w:basedOn w:val="Normal"/>
    <w:uiPriority w:val="34"/>
    <w:qFormat/>
    <w:rsid w:val="00E2314D"/>
    <w:pPr>
      <w:ind w:left="720"/>
      <w:contextualSpacing/>
    </w:pPr>
  </w:style>
  <w:style w:type="paragraph" w:styleId="BalloonText">
    <w:name w:val="Balloon Text"/>
    <w:basedOn w:val="Normal"/>
    <w:link w:val="BalloonTextChar"/>
    <w:uiPriority w:val="99"/>
    <w:semiHidden/>
    <w:unhideWhenUsed/>
    <w:rsid w:val="0019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1C"/>
    <w:rPr>
      <w:rFonts w:ascii="Segoe UI" w:hAnsi="Segoe UI" w:cs="Segoe UI"/>
      <w:sz w:val="18"/>
      <w:szCs w:val="18"/>
    </w:rPr>
  </w:style>
  <w:style w:type="character" w:customStyle="1" w:styleId="costarpage">
    <w:name w:val="co_starpage"/>
    <w:basedOn w:val="DefaultParagraphFont"/>
    <w:rsid w:val="004A49FA"/>
  </w:style>
  <w:style w:type="character" w:styleId="Emphasis">
    <w:name w:val="Emphasis"/>
    <w:basedOn w:val="DefaultParagraphFont"/>
    <w:uiPriority w:val="20"/>
    <w:qFormat/>
    <w:rsid w:val="00EF08E0"/>
    <w:rPr>
      <w:i/>
      <w:iCs/>
    </w:rPr>
  </w:style>
  <w:style w:type="character" w:styleId="Hyperlink">
    <w:name w:val="Hyperlink"/>
    <w:basedOn w:val="DefaultParagraphFont"/>
    <w:uiPriority w:val="99"/>
    <w:unhideWhenUsed/>
    <w:rsid w:val="00B61290"/>
    <w:rPr>
      <w:color w:val="0000FF"/>
      <w:u w:val="single"/>
    </w:rPr>
  </w:style>
  <w:style w:type="character" w:customStyle="1" w:styleId="coinlinekeyciteflag">
    <w:name w:val="co_inlinekeyciteflag"/>
    <w:basedOn w:val="DefaultParagraphFont"/>
    <w:rsid w:val="00B61290"/>
  </w:style>
  <w:style w:type="character" w:styleId="CommentReference">
    <w:name w:val="annotation reference"/>
    <w:basedOn w:val="DefaultParagraphFont"/>
    <w:uiPriority w:val="99"/>
    <w:semiHidden/>
    <w:unhideWhenUsed/>
    <w:rsid w:val="0008740C"/>
    <w:rPr>
      <w:sz w:val="16"/>
      <w:szCs w:val="16"/>
    </w:rPr>
  </w:style>
  <w:style w:type="paragraph" w:styleId="CommentText">
    <w:name w:val="annotation text"/>
    <w:basedOn w:val="Normal"/>
    <w:link w:val="CommentTextChar"/>
    <w:uiPriority w:val="99"/>
    <w:unhideWhenUsed/>
    <w:rsid w:val="0008740C"/>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8740C"/>
    <w:rPr>
      <w:rFonts w:asciiTheme="minorHAnsi" w:eastAsiaTheme="minorHAnsi" w:hAnsiTheme="minorHAnsi" w:cstheme="minorBidi"/>
    </w:rPr>
  </w:style>
  <w:style w:type="character" w:customStyle="1" w:styleId="FootnoteTextChar">
    <w:name w:val="Footnote Text Char"/>
    <w:basedOn w:val="DefaultParagraphFont"/>
    <w:link w:val="FootnoteText"/>
    <w:rsid w:val="00996902"/>
    <w:rPr>
      <w:rFonts w:ascii="Century Schoolbook" w:hAnsi="Century Schoolbook"/>
      <w:sz w:val="27"/>
    </w:rPr>
  </w:style>
  <w:style w:type="character" w:customStyle="1" w:styleId="Heading3Char">
    <w:name w:val="Heading 3 Char"/>
    <w:basedOn w:val="DefaultParagraphFont"/>
    <w:link w:val="Heading3"/>
    <w:rsid w:val="007A0F54"/>
    <w:rPr>
      <w:rFonts w:ascii="Century Schoolbook" w:hAnsi="Century Schoolbook"/>
      <w:i/>
      <w:sz w:val="27"/>
    </w:rPr>
  </w:style>
  <w:style w:type="character" w:customStyle="1" w:styleId="UnresolvedMention">
    <w:name w:val="Unresolved Mention"/>
    <w:basedOn w:val="DefaultParagraphFont"/>
    <w:uiPriority w:val="99"/>
    <w:semiHidden/>
    <w:unhideWhenUsed/>
    <w:rsid w:val="00603D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1A1F"/>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61A1F"/>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0E7251"/>
    <w:rPr>
      <w:color w:val="800080" w:themeColor="followedHyperlink"/>
      <w:u w:val="single"/>
    </w:rPr>
  </w:style>
  <w:style w:type="paragraph" w:styleId="Revision">
    <w:name w:val="Revision"/>
    <w:hidden/>
    <w:uiPriority w:val="99"/>
    <w:semiHidden/>
    <w:rsid w:val="003F6A56"/>
    <w:rPr>
      <w:sz w:val="26"/>
    </w:rPr>
  </w:style>
  <w:style w:type="character" w:customStyle="1" w:styleId="apple-converted-space">
    <w:name w:val="apple-converted-space"/>
    <w:basedOn w:val="DefaultParagraphFont"/>
    <w:rsid w:val="00C52922"/>
  </w:style>
  <w:style w:type="paragraph" w:styleId="NormalWeb">
    <w:name w:val="Normal (Web)"/>
    <w:basedOn w:val="Normal"/>
    <w:uiPriority w:val="99"/>
    <w:semiHidden/>
    <w:unhideWhenUsed/>
    <w:rsid w:val="00BF7DD2"/>
    <w:rPr>
      <w:sz w:val="24"/>
      <w:szCs w:val="24"/>
    </w:rPr>
  </w:style>
  <w:style w:type="paragraph" w:styleId="BodyText">
    <w:name w:val="Body Text"/>
    <w:basedOn w:val="Normal"/>
    <w:link w:val="BodyTextChar"/>
    <w:qFormat/>
    <w:rsid w:val="004F5DF7"/>
  </w:style>
  <w:style w:type="character" w:customStyle="1" w:styleId="BodyTextChar">
    <w:name w:val="Body Text Char"/>
    <w:basedOn w:val="DefaultParagraphFont"/>
    <w:link w:val="BodyText"/>
    <w:rsid w:val="004F5DF7"/>
    <w:rPr>
      <w:rFonts w:ascii="Century Schoolbook" w:hAnsi="Century Schoolbook"/>
      <w:sz w:val="27"/>
    </w:rPr>
  </w:style>
  <w:style w:type="paragraph" w:customStyle="1" w:styleId="ParenBodyText">
    <w:name w:val="ParenBodyText"/>
    <w:rsid w:val="00B83ABF"/>
    <w:pPr>
      <w:widowControl w:val="0"/>
      <w:autoSpaceDE w:val="0"/>
      <w:autoSpaceDN w:val="0"/>
      <w:adjustRightInd w:val="0"/>
      <w:ind w:left="1080" w:right="720" w:hanging="360"/>
    </w:pPr>
    <w:rPr>
      <w:rFonts w:ascii="Arial" w:hAnsi="Arial" w:cs="Arial"/>
      <w:sz w:val="18"/>
      <w:szCs w:val="18"/>
    </w:rPr>
  </w:style>
  <w:style w:type="paragraph" w:customStyle="1" w:styleId="Default">
    <w:name w:val="Default"/>
    <w:rsid w:val="00F635D9"/>
    <w:pPr>
      <w:autoSpaceDE w:val="0"/>
      <w:autoSpaceDN w:val="0"/>
      <w:adjustRightInd w:val="0"/>
    </w:pPr>
    <w:rPr>
      <w:rFonts w:ascii="Century Schoolbook" w:hAnsi="Century Schoolbook" w:eastAsiaTheme="minorHAnsi"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17510</Words>
  <Characters>99807</Characters>
  <Application>Microsoft Office Word</Application>
  <DocSecurity>0</DocSecurity>
  <Lines>831</Lines>
  <Paragraphs>234</Paragraphs>
  <ScaleCrop>false</ScaleCrop>
  <Company/>
  <LinksUpToDate>false</LinksUpToDate>
  <CharactersWithSpaces>117083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2021-12-02T17:19:41Z</dcterms:created>
  <dcterms:modified xsi:type="dcterms:W3CDTF">2021-12-02T17:19:41Z</dcterms:modified>
</cp:coreProperties>
</file>