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F8E19" w14:textId="679883A9" w:rsidR="00D27A18" w:rsidRDefault="00B323C8" w:rsidP="00B323C8">
      <w:pPr>
        <w:tabs>
          <w:tab w:val="left" w:pos="1440"/>
          <w:tab w:val="left" w:pos="4680"/>
          <w:tab w:val="center" w:pos="7200"/>
        </w:tabs>
        <w:spacing w:after="0"/>
        <w:jc w:val="center"/>
        <w:rPr>
          <w:sz w:val="36"/>
        </w:rPr>
      </w:pPr>
      <w:bookmarkStart w:id="0" w:name="_Hlk80108645"/>
      <w:r>
        <w:rPr>
          <w:b/>
          <w:sz w:val="36"/>
        </w:rPr>
        <w:t>IN THE SUPREME COURT OF CALIFORNIA</w:t>
      </w:r>
    </w:p>
    <w:p w14:paraId="29C63C90" w14:textId="350E18E2" w:rsidR="00B323C8" w:rsidRDefault="00B323C8" w:rsidP="00B323C8">
      <w:pPr>
        <w:tabs>
          <w:tab w:val="left" w:pos="1440"/>
          <w:tab w:val="left" w:pos="4680"/>
          <w:tab w:val="center" w:pos="7200"/>
        </w:tabs>
        <w:spacing w:after="0"/>
        <w:jc w:val="center"/>
      </w:pPr>
    </w:p>
    <w:p w14:paraId="78DD7542" w14:textId="17145751" w:rsidR="00B323C8" w:rsidRDefault="00B323C8" w:rsidP="00B323C8">
      <w:pPr>
        <w:tabs>
          <w:tab w:val="left" w:pos="1440"/>
          <w:tab w:val="left" w:pos="4680"/>
          <w:tab w:val="center" w:pos="7200"/>
        </w:tabs>
        <w:spacing w:after="0"/>
        <w:jc w:val="center"/>
      </w:pPr>
      <w:r>
        <w:t>THE PEOPLE</w:t>
      </w:r>
      <w:r w:rsidR="00E20C98">
        <w:t>,</w:t>
      </w:r>
    </w:p>
    <w:p w14:paraId="2BC4D193" w14:textId="3F0871AE" w:rsidR="00B323C8" w:rsidRDefault="00B323C8" w:rsidP="00B323C8">
      <w:pPr>
        <w:tabs>
          <w:tab w:val="left" w:pos="1440"/>
          <w:tab w:val="left" w:pos="4680"/>
          <w:tab w:val="center" w:pos="7200"/>
        </w:tabs>
        <w:spacing w:after="0"/>
        <w:jc w:val="center"/>
      </w:pPr>
      <w:r>
        <w:t>Plaintiff and Respondent,</w:t>
      </w:r>
    </w:p>
    <w:p w14:paraId="41FDE91E" w14:textId="1E62FECB" w:rsidR="00B323C8" w:rsidRDefault="00B323C8" w:rsidP="00B323C8">
      <w:pPr>
        <w:tabs>
          <w:tab w:val="left" w:pos="1440"/>
          <w:tab w:val="left" w:pos="4680"/>
          <w:tab w:val="center" w:pos="7200"/>
        </w:tabs>
        <w:spacing w:after="0"/>
        <w:jc w:val="center"/>
      </w:pPr>
      <w:r>
        <w:t>v.</w:t>
      </w:r>
    </w:p>
    <w:p w14:paraId="56D57807" w14:textId="026689F5" w:rsidR="00B323C8" w:rsidRDefault="00B323C8" w:rsidP="00B323C8">
      <w:pPr>
        <w:tabs>
          <w:tab w:val="left" w:pos="1440"/>
          <w:tab w:val="left" w:pos="4680"/>
          <w:tab w:val="center" w:pos="7200"/>
        </w:tabs>
        <w:spacing w:after="0"/>
        <w:jc w:val="center"/>
      </w:pPr>
      <w:r>
        <w:t>EDWARD MATTHEW WYCOFF</w:t>
      </w:r>
      <w:r w:rsidR="00E20C98">
        <w:t>,</w:t>
      </w:r>
    </w:p>
    <w:p w14:paraId="153A609C" w14:textId="3942204B" w:rsidR="00B323C8" w:rsidRDefault="00B323C8" w:rsidP="00B323C8">
      <w:pPr>
        <w:tabs>
          <w:tab w:val="left" w:pos="1440"/>
          <w:tab w:val="left" w:pos="4680"/>
          <w:tab w:val="center" w:pos="7200"/>
        </w:tabs>
        <w:spacing w:after="0"/>
        <w:jc w:val="center"/>
      </w:pPr>
      <w:r>
        <w:t>Defendant and Appellant.</w:t>
      </w:r>
    </w:p>
    <w:p w14:paraId="38DDA1A8" w14:textId="298F7DA7" w:rsidR="00B323C8" w:rsidRDefault="00B323C8" w:rsidP="00B323C8">
      <w:pPr>
        <w:tabs>
          <w:tab w:val="left" w:pos="1440"/>
          <w:tab w:val="left" w:pos="4680"/>
          <w:tab w:val="center" w:pos="7200"/>
        </w:tabs>
        <w:spacing w:after="0"/>
        <w:jc w:val="center"/>
      </w:pPr>
    </w:p>
    <w:p w14:paraId="00D43E6C" w14:textId="58100620" w:rsidR="00B323C8" w:rsidRDefault="00B323C8" w:rsidP="00B323C8">
      <w:pPr>
        <w:tabs>
          <w:tab w:val="left" w:pos="1440"/>
          <w:tab w:val="left" w:pos="4680"/>
          <w:tab w:val="center" w:pos="7200"/>
        </w:tabs>
        <w:spacing w:after="0"/>
        <w:jc w:val="center"/>
      </w:pPr>
      <w:r>
        <w:t>S178669</w:t>
      </w:r>
    </w:p>
    <w:p w14:paraId="79C7E897" w14:textId="0532E970" w:rsidR="00B323C8" w:rsidRDefault="00B323C8" w:rsidP="00B323C8">
      <w:pPr>
        <w:tabs>
          <w:tab w:val="left" w:pos="1440"/>
          <w:tab w:val="left" w:pos="4680"/>
          <w:tab w:val="center" w:pos="7200"/>
        </w:tabs>
        <w:spacing w:after="0"/>
        <w:jc w:val="center"/>
      </w:pPr>
    </w:p>
    <w:p w14:paraId="63A07F10" w14:textId="77777777" w:rsidR="008A5856" w:rsidRDefault="008A5856" w:rsidP="008A5856">
      <w:pPr>
        <w:tabs>
          <w:tab w:val="left" w:pos="1440"/>
          <w:tab w:val="left" w:pos="4680"/>
          <w:tab w:val="center" w:pos="7200"/>
        </w:tabs>
        <w:spacing w:after="0"/>
        <w:jc w:val="center"/>
      </w:pPr>
      <w:r>
        <w:t>Contra Costa County Superior Court</w:t>
      </w:r>
    </w:p>
    <w:p w14:paraId="1F377204" w14:textId="200D6453" w:rsidR="008A5856" w:rsidRDefault="008A5856" w:rsidP="008A5856">
      <w:pPr>
        <w:tabs>
          <w:tab w:val="left" w:pos="1440"/>
          <w:tab w:val="left" w:pos="4680"/>
          <w:tab w:val="center" w:pos="7200"/>
        </w:tabs>
        <w:spacing w:after="0"/>
        <w:jc w:val="center"/>
      </w:pPr>
      <w:r>
        <w:t>5-071529</w:t>
      </w:r>
      <w:r w:rsidR="006005BE">
        <w:t>-2</w:t>
      </w:r>
    </w:p>
    <w:p w14:paraId="2D1DB7D4" w14:textId="77777777" w:rsidR="008A5856" w:rsidRDefault="008A5856" w:rsidP="008A5856">
      <w:pPr>
        <w:pBdr>
          <w:bottom w:val="single" w:sz="4" w:space="1" w:color="auto"/>
        </w:pBdr>
        <w:tabs>
          <w:tab w:val="left" w:pos="1440"/>
          <w:tab w:val="left" w:pos="4680"/>
          <w:tab w:val="center" w:pos="7200"/>
        </w:tabs>
        <w:spacing w:after="0"/>
        <w:jc w:val="center"/>
      </w:pPr>
    </w:p>
    <w:p w14:paraId="68221894" w14:textId="77777777" w:rsidR="008A5856" w:rsidRDefault="008A5856" w:rsidP="008A5856">
      <w:pPr>
        <w:tabs>
          <w:tab w:val="left" w:pos="1440"/>
          <w:tab w:val="left" w:pos="4680"/>
          <w:tab w:val="center" w:pos="7200"/>
        </w:tabs>
        <w:spacing w:after="0"/>
        <w:jc w:val="center"/>
      </w:pPr>
    </w:p>
    <w:p w14:paraId="3CF968B3" w14:textId="4C7A056A" w:rsidR="00126565" w:rsidRDefault="00126565" w:rsidP="00126565">
      <w:pPr>
        <w:spacing w:after="0"/>
        <w:jc w:val="center"/>
      </w:pPr>
      <w:bookmarkStart w:id="1" w:name="Return"/>
      <w:bookmarkEnd w:id="1"/>
      <w:r>
        <w:t>August 23, 2021</w:t>
      </w:r>
    </w:p>
    <w:p w14:paraId="47326ECC" w14:textId="77777777" w:rsidR="00126565" w:rsidRDefault="00126565" w:rsidP="00126565">
      <w:pPr>
        <w:spacing w:after="0"/>
        <w:jc w:val="center"/>
      </w:pPr>
    </w:p>
    <w:p w14:paraId="74D164CB" w14:textId="77777777" w:rsidR="00126565" w:rsidRPr="00373FF4" w:rsidRDefault="00126565" w:rsidP="00126565">
      <w:pPr>
        <w:tabs>
          <w:tab w:val="left" w:pos="1440"/>
          <w:tab w:val="left" w:pos="4680"/>
          <w:tab w:val="center" w:pos="7200"/>
        </w:tabs>
        <w:spacing w:after="0"/>
        <w:jc w:val="left"/>
      </w:pPr>
      <w:r w:rsidRPr="006A434A">
        <w:t xml:space="preserve">Justice </w:t>
      </w:r>
      <w:r>
        <w:t>Jenkins</w:t>
      </w:r>
      <w:r w:rsidRPr="006A434A">
        <w:t xml:space="preserve"> authored the opinion of the Court, </w:t>
      </w:r>
      <w:r>
        <w:t>in which Chief Justice Cantil-Sakauye and Justices Corrigan, Liu, Cuéllar, Kruger, and Groban concurred.</w:t>
      </w:r>
    </w:p>
    <w:p w14:paraId="3CB3DB53" w14:textId="77777777" w:rsidR="00B323C8" w:rsidRPr="00B323C8" w:rsidRDefault="00B323C8" w:rsidP="00B323C8">
      <w:pPr>
        <w:pBdr>
          <w:bottom w:val="single" w:sz="4" w:space="1" w:color="auto"/>
        </w:pBdr>
        <w:tabs>
          <w:tab w:val="left" w:pos="1440"/>
          <w:tab w:val="left" w:pos="4680"/>
          <w:tab w:val="center" w:pos="7200"/>
        </w:tabs>
        <w:spacing w:line="480" w:lineRule="atLeast"/>
        <w:jc w:val="left"/>
      </w:pPr>
    </w:p>
    <w:p w14:paraId="08BEC875" w14:textId="77777777" w:rsidR="00B323C8" w:rsidRDefault="00B323C8">
      <w:pPr>
        <w:tabs>
          <w:tab w:val="left" w:pos="1440"/>
          <w:tab w:val="left" w:pos="4680"/>
          <w:tab w:val="center" w:pos="7200"/>
        </w:tabs>
        <w:spacing w:line="480" w:lineRule="atLeast"/>
        <w:sectPr w:rsidR="00B323C8" w:rsidSect="00B323C8">
          <w:headerReference w:type="default" r:id="rId8"/>
          <w:footerReference w:type="default" r:id="rId9"/>
          <w:pgSz w:w="12240" w:h="15840"/>
          <w:pgMar w:top="1800" w:right="2160" w:bottom="1440" w:left="2160" w:header="720" w:footer="720" w:gutter="0"/>
          <w:cols w:space="720"/>
          <w:titlePg/>
          <w:docGrid w:linePitch="367"/>
        </w:sectPr>
      </w:pPr>
    </w:p>
    <w:p w14:paraId="7696BF14" w14:textId="358F72A7" w:rsidR="00B323C8" w:rsidRDefault="00B323C8" w:rsidP="00B323C8">
      <w:pPr>
        <w:tabs>
          <w:tab w:val="left" w:pos="1440"/>
          <w:tab w:val="left" w:pos="4680"/>
          <w:tab w:val="center" w:pos="7200"/>
        </w:tabs>
        <w:jc w:val="center"/>
      </w:pPr>
      <w:r>
        <w:lastRenderedPageBreak/>
        <w:t>PEOPLE v. WYCOFF</w:t>
      </w:r>
    </w:p>
    <w:p w14:paraId="00FEE88A" w14:textId="79D4D156" w:rsidR="00B323C8" w:rsidRDefault="00B323C8" w:rsidP="00B323C8">
      <w:pPr>
        <w:tabs>
          <w:tab w:val="left" w:pos="1440"/>
          <w:tab w:val="left" w:pos="4680"/>
          <w:tab w:val="center" w:pos="7200"/>
        </w:tabs>
        <w:jc w:val="center"/>
      </w:pPr>
      <w:r>
        <w:t>S178669</w:t>
      </w:r>
    </w:p>
    <w:p w14:paraId="746FCBCC" w14:textId="7FEA3F2D" w:rsidR="00B323C8" w:rsidRDefault="00B323C8" w:rsidP="00B323C8">
      <w:pPr>
        <w:tabs>
          <w:tab w:val="left" w:pos="1440"/>
          <w:tab w:val="left" w:pos="4680"/>
          <w:tab w:val="center" w:pos="7200"/>
        </w:tabs>
        <w:jc w:val="center"/>
      </w:pPr>
    </w:p>
    <w:p w14:paraId="58869B1B" w14:textId="7A5CCADA" w:rsidR="00B323C8" w:rsidRDefault="00B323C8" w:rsidP="00B323C8">
      <w:pPr>
        <w:tabs>
          <w:tab w:val="left" w:pos="1440"/>
          <w:tab w:val="left" w:pos="4680"/>
          <w:tab w:val="center" w:pos="7200"/>
        </w:tabs>
        <w:jc w:val="center"/>
      </w:pPr>
      <w:r>
        <w:t>Opinion of the Court by Jenkins, J.</w:t>
      </w:r>
    </w:p>
    <w:p w14:paraId="54DF03CE" w14:textId="77777777" w:rsidR="00B323C8" w:rsidRPr="00B323C8" w:rsidRDefault="00B323C8" w:rsidP="00B323C8">
      <w:pPr>
        <w:tabs>
          <w:tab w:val="left" w:pos="1440"/>
          <w:tab w:val="left" w:pos="4680"/>
          <w:tab w:val="center" w:pos="7200"/>
        </w:tabs>
        <w:jc w:val="center"/>
      </w:pPr>
    </w:p>
    <w:p w14:paraId="6DD46D31" w14:textId="1F64FC73" w:rsidR="004F60E6" w:rsidRPr="00B323C8" w:rsidRDefault="004D5B70" w:rsidP="00B323C8">
      <w:pPr>
        <w:tabs>
          <w:tab w:val="left" w:pos="1440"/>
        </w:tabs>
        <w:ind w:firstLine="720"/>
      </w:pPr>
      <w:r w:rsidRPr="00B323C8">
        <w:t>D</w:t>
      </w:r>
      <w:r w:rsidR="00D31C93" w:rsidRPr="00B323C8">
        <w:t>efendant was charged</w:t>
      </w:r>
      <w:r w:rsidR="00DE36DD" w:rsidRPr="00B323C8">
        <w:t xml:space="preserve"> </w:t>
      </w:r>
      <w:r w:rsidR="00D31C93" w:rsidRPr="00B323C8">
        <w:t>with the first degree murders of his sister and brother-in-law.  (Pen. Code, § 187.)</w:t>
      </w:r>
      <w:r w:rsidR="00D31C93" w:rsidRPr="00B323C8">
        <w:rPr>
          <w:rStyle w:val="FootnoteReference"/>
        </w:rPr>
        <w:footnoteReference w:id="2"/>
      </w:r>
      <w:r w:rsidR="00D31C93" w:rsidRPr="00B323C8">
        <w:t xml:space="preserve"> </w:t>
      </w:r>
      <w:r w:rsidR="006E253B" w:rsidRPr="00B323C8">
        <w:t xml:space="preserve"> </w:t>
      </w:r>
      <w:r w:rsidR="00921FE2" w:rsidRPr="00B323C8">
        <w:t xml:space="preserve">The </w:t>
      </w:r>
      <w:r w:rsidR="008376C3" w:rsidRPr="00B323C8">
        <w:t xml:space="preserve">information </w:t>
      </w:r>
      <w:r w:rsidR="00921FE2" w:rsidRPr="00B323C8">
        <w:t>also alleged</w:t>
      </w:r>
      <w:r w:rsidR="00D31C93" w:rsidRPr="00B323C8">
        <w:t xml:space="preserve">, as to </w:t>
      </w:r>
      <w:r w:rsidR="001222C6" w:rsidRPr="00B323C8">
        <w:t>each</w:t>
      </w:r>
      <w:r w:rsidR="00D31C93" w:rsidRPr="00B323C8">
        <w:t xml:space="preserve"> murder, a multiple-murder special circumstance allegation (§ 190.2, subd. (a)(3)) and enhancement allegation</w:t>
      </w:r>
      <w:r w:rsidR="00FC7B75" w:rsidRPr="00B323C8">
        <w:t>s</w:t>
      </w:r>
      <w:r w:rsidR="00D31C93" w:rsidRPr="00B323C8">
        <w:t xml:space="preserve"> based on the use of a deadly or dangerous weapon </w:t>
      </w:r>
      <w:r w:rsidR="009D306E" w:rsidRPr="00B323C8">
        <w:t xml:space="preserve">(a knife and a wheelbarrow handle) </w:t>
      </w:r>
      <w:r w:rsidR="00D31C93" w:rsidRPr="00B323C8">
        <w:t>(§ 12022, subd. (b)(1)).</w:t>
      </w:r>
      <w:r w:rsidR="009469CF" w:rsidRPr="00B323C8">
        <w:t xml:space="preserve">  </w:t>
      </w:r>
      <w:r w:rsidR="00921FE2" w:rsidRPr="00B323C8">
        <w:t>During pretrial proceedings, a</w:t>
      </w:r>
      <w:r w:rsidR="00D31C93" w:rsidRPr="00B323C8">
        <w:t xml:space="preserve"> </w:t>
      </w:r>
      <w:r w:rsidR="006C654C" w:rsidRPr="00B323C8">
        <w:t xml:space="preserve">psychologist </w:t>
      </w:r>
      <w:r w:rsidR="00921FE2" w:rsidRPr="00B323C8">
        <w:t xml:space="preserve">examined defendant at the </w:t>
      </w:r>
      <w:r w:rsidR="006E253B" w:rsidRPr="00B323C8">
        <w:t xml:space="preserve">request of the </w:t>
      </w:r>
      <w:r w:rsidR="00921FE2" w:rsidRPr="00B323C8">
        <w:t>court</w:t>
      </w:r>
      <w:r w:rsidR="006E253B" w:rsidRPr="00B323C8">
        <w:t xml:space="preserve"> </w:t>
      </w:r>
      <w:r w:rsidR="00921FE2" w:rsidRPr="00B323C8">
        <w:t xml:space="preserve">and </w:t>
      </w:r>
      <w:r w:rsidR="00D31C93" w:rsidRPr="00B323C8">
        <w:t>issued a report</w:t>
      </w:r>
      <w:r w:rsidR="00921FE2" w:rsidRPr="00B323C8">
        <w:t xml:space="preserve"> </w:t>
      </w:r>
      <w:r w:rsidR="00D31C93" w:rsidRPr="00B323C8">
        <w:t>stating that</w:t>
      </w:r>
      <w:r w:rsidR="00F56DF3" w:rsidRPr="00B323C8">
        <w:t xml:space="preserve">, due to </w:t>
      </w:r>
      <w:r w:rsidR="00EC26CD" w:rsidRPr="00B323C8">
        <w:t>“</w:t>
      </w:r>
      <w:r w:rsidR="0006413E" w:rsidRPr="00B323C8">
        <w:t>severe mental illness</w:t>
      </w:r>
      <w:r w:rsidR="00F56DF3" w:rsidRPr="00B323C8">
        <w:t>,</w:t>
      </w:r>
      <w:r w:rsidR="00EC26CD" w:rsidRPr="00B323C8">
        <w:t>”</w:t>
      </w:r>
      <w:r w:rsidR="00F56DF3" w:rsidRPr="00B323C8">
        <w:t xml:space="preserve"> defendant had “a misperception of [his lawyers</w:t>
      </w:r>
      <w:r w:rsidR="00D61F82" w:rsidRPr="00B323C8">
        <w:t>’</w:t>
      </w:r>
      <w:r w:rsidR="00F56DF3" w:rsidRPr="00B323C8">
        <w:t>] motives, a misunderstanding of the risk involved [in his case], a minimizing of the precariousness of his predicament, and impaired judgment.”</w:t>
      </w:r>
      <w:r w:rsidR="0006413E" w:rsidRPr="00B323C8">
        <w:t xml:space="preserve">  The </w:t>
      </w:r>
      <w:r w:rsidR="006C654C" w:rsidRPr="00B323C8">
        <w:t>psychologist</w:t>
      </w:r>
      <w:r w:rsidR="00D61F82" w:rsidRPr="00B323C8">
        <w:t>’</w:t>
      </w:r>
      <w:r w:rsidR="006C654C" w:rsidRPr="00B323C8">
        <w:t xml:space="preserve">s </w:t>
      </w:r>
      <w:r w:rsidR="0006413E" w:rsidRPr="00B323C8">
        <w:t xml:space="preserve">report added:  “Because of his grandiosity, [defendant] is not able to rationally consider </w:t>
      </w:r>
      <w:r w:rsidR="00D61F82" w:rsidRPr="00B323C8">
        <w:t>‘</w:t>
      </w:r>
      <w:r w:rsidR="0006413E" w:rsidRPr="00B323C8">
        <w:t>telling his story</w:t>
      </w:r>
      <w:r w:rsidR="00D61F82" w:rsidRPr="00B323C8">
        <w:t>’</w:t>
      </w:r>
      <w:r w:rsidR="0006413E" w:rsidRPr="00B323C8">
        <w:t xml:space="preserve"> with the assistance of an attorney.  On this ground, I find him incompetent to stand trial.”</w:t>
      </w:r>
      <w:r w:rsidR="00C337F7" w:rsidRPr="00B323C8">
        <w:t xml:space="preserve">  There was no expert evidence in the record contradicting that conclusion.  </w:t>
      </w:r>
      <w:r w:rsidR="006E253B" w:rsidRPr="00B323C8">
        <w:t>The trial court</w:t>
      </w:r>
      <w:r w:rsidR="00ED3E3C" w:rsidRPr="00B323C8">
        <w:t>, however,</w:t>
      </w:r>
      <w:r w:rsidR="00975161" w:rsidRPr="00B323C8">
        <w:t xml:space="preserve"> </w:t>
      </w:r>
      <w:r w:rsidR="006E253B" w:rsidRPr="00B323C8">
        <w:t>r</w:t>
      </w:r>
      <w:r w:rsidR="00921FE2" w:rsidRPr="00B323C8">
        <w:t>eject</w:t>
      </w:r>
      <w:r w:rsidR="00975161" w:rsidRPr="00B323C8">
        <w:t>ed</w:t>
      </w:r>
      <w:r w:rsidR="00921FE2" w:rsidRPr="00B323C8">
        <w:t xml:space="preserve"> th</w:t>
      </w:r>
      <w:r w:rsidR="006E253B" w:rsidRPr="00B323C8">
        <w:t>e</w:t>
      </w:r>
      <w:r w:rsidR="00921FE2" w:rsidRPr="00B323C8">
        <w:t xml:space="preserve"> </w:t>
      </w:r>
      <w:r w:rsidR="006C654C" w:rsidRPr="00B323C8">
        <w:t>psychologist</w:t>
      </w:r>
      <w:r w:rsidR="00D61F82" w:rsidRPr="00B323C8">
        <w:t>’</w:t>
      </w:r>
      <w:r w:rsidR="006C654C" w:rsidRPr="00B323C8">
        <w:t>s</w:t>
      </w:r>
      <w:r w:rsidR="004F60E6" w:rsidRPr="00B323C8">
        <w:t xml:space="preserve"> </w:t>
      </w:r>
      <w:r w:rsidR="00921FE2" w:rsidRPr="00B323C8">
        <w:t>opinion</w:t>
      </w:r>
      <w:r w:rsidR="00975161" w:rsidRPr="00B323C8">
        <w:t xml:space="preserve"> without </w:t>
      </w:r>
      <w:r w:rsidR="004F60E6" w:rsidRPr="00B323C8">
        <w:t>initiating the competency procedures set forth in sections 1368 and 1369</w:t>
      </w:r>
      <w:r w:rsidR="00975161" w:rsidRPr="00B323C8">
        <w:t xml:space="preserve">, </w:t>
      </w:r>
      <w:r w:rsidR="00DE36DD" w:rsidRPr="00B323C8">
        <w:t>concluding</w:t>
      </w:r>
      <w:r w:rsidR="008B6EB5" w:rsidRPr="00B323C8">
        <w:t xml:space="preserve"> </w:t>
      </w:r>
      <w:r w:rsidR="004F60E6" w:rsidRPr="00B323C8">
        <w:t xml:space="preserve">instead </w:t>
      </w:r>
      <w:r w:rsidR="00921FE2" w:rsidRPr="00B323C8">
        <w:t xml:space="preserve">that defendant was </w:t>
      </w:r>
      <w:r w:rsidR="00F2028C" w:rsidRPr="00B323C8">
        <w:t xml:space="preserve">mentally </w:t>
      </w:r>
      <w:r w:rsidR="00921FE2" w:rsidRPr="00B323C8">
        <w:t>competent.</w:t>
      </w:r>
    </w:p>
    <w:p w14:paraId="3F64DACA" w14:textId="3B70022E" w:rsidR="00F2028C" w:rsidRPr="00B323C8" w:rsidRDefault="00F42D22" w:rsidP="00B323C8">
      <w:pPr>
        <w:tabs>
          <w:tab w:val="left" w:pos="1440"/>
        </w:tabs>
        <w:ind w:firstLine="720"/>
      </w:pPr>
      <w:r w:rsidRPr="00B323C8">
        <w:lastRenderedPageBreak/>
        <w:t>A</w:t>
      </w:r>
      <w:r w:rsidR="001062E9" w:rsidRPr="00B323C8">
        <w:t>t h</w:t>
      </w:r>
      <w:r w:rsidR="00CC3401" w:rsidRPr="00B323C8">
        <w:t>is</w:t>
      </w:r>
      <w:r w:rsidR="001062E9" w:rsidRPr="00B323C8">
        <w:t xml:space="preserve"> guilt trial, </w:t>
      </w:r>
      <w:r w:rsidR="006A0721" w:rsidRPr="00B323C8">
        <w:t>defendant</w:t>
      </w:r>
      <w:r w:rsidR="004F60E6" w:rsidRPr="00B323C8">
        <w:t xml:space="preserve"> </w:t>
      </w:r>
      <w:r w:rsidR="006A0721" w:rsidRPr="00B323C8">
        <w:t>waiv</w:t>
      </w:r>
      <w:r w:rsidR="004F60E6" w:rsidRPr="00B323C8">
        <w:t xml:space="preserve">ed </w:t>
      </w:r>
      <w:r w:rsidR="006A0721" w:rsidRPr="00B323C8">
        <w:t xml:space="preserve">his right to counsel, </w:t>
      </w:r>
      <w:r w:rsidR="00BC607E" w:rsidRPr="00B323C8">
        <w:t>represented himself</w:t>
      </w:r>
      <w:r w:rsidR="00FF05DC" w:rsidRPr="00B323C8">
        <w:t>,</w:t>
      </w:r>
      <w:r w:rsidR="004F60E6" w:rsidRPr="00B323C8">
        <w:t xml:space="preserve"> and </w:t>
      </w:r>
      <w:r w:rsidR="00BC607E" w:rsidRPr="00B323C8">
        <w:t>testified</w:t>
      </w:r>
      <w:r w:rsidR="008B6EB5" w:rsidRPr="00B323C8">
        <w:t xml:space="preserve"> in his own defense</w:t>
      </w:r>
      <w:r w:rsidR="004F60E6" w:rsidRPr="00B323C8">
        <w:t xml:space="preserve">.  He </w:t>
      </w:r>
      <w:r w:rsidR="001062E9" w:rsidRPr="00B323C8">
        <w:t xml:space="preserve">treated the </w:t>
      </w:r>
      <w:r w:rsidR="004F60E6" w:rsidRPr="00B323C8">
        <w:t xml:space="preserve">trial </w:t>
      </w:r>
      <w:r w:rsidR="001062E9" w:rsidRPr="00B323C8">
        <w:t xml:space="preserve">like </w:t>
      </w:r>
      <w:r w:rsidR="00DE36DD" w:rsidRPr="00B323C8">
        <w:t>a</w:t>
      </w:r>
      <w:r w:rsidR="008B6EB5" w:rsidRPr="00B323C8">
        <w:t xml:space="preserve">n </w:t>
      </w:r>
      <w:r w:rsidR="00DE36DD" w:rsidRPr="00B323C8">
        <w:t>entertainment</w:t>
      </w:r>
      <w:r w:rsidR="008B6EB5" w:rsidRPr="00B323C8">
        <w:t xml:space="preserve"> show</w:t>
      </w:r>
      <w:r w:rsidR="00DE36DD" w:rsidRPr="00B323C8">
        <w:t xml:space="preserve">, </w:t>
      </w:r>
      <w:r w:rsidR="002219C8" w:rsidRPr="00B323C8">
        <w:t xml:space="preserve">made </w:t>
      </w:r>
      <w:r w:rsidR="00873E2D" w:rsidRPr="00B323C8">
        <w:t xml:space="preserve">numerous </w:t>
      </w:r>
      <w:r w:rsidR="002219C8" w:rsidRPr="00B323C8">
        <w:t xml:space="preserve">jokes, </w:t>
      </w:r>
      <w:r w:rsidR="00BC607E" w:rsidRPr="00B323C8">
        <w:t xml:space="preserve">and </w:t>
      </w:r>
      <w:r w:rsidR="006F655D" w:rsidRPr="00B323C8">
        <w:t xml:space="preserve">admitted </w:t>
      </w:r>
      <w:r w:rsidR="008B6EB5" w:rsidRPr="00B323C8">
        <w:t xml:space="preserve">all </w:t>
      </w:r>
      <w:r w:rsidR="00BC607E" w:rsidRPr="00B323C8">
        <w:t xml:space="preserve">the </w:t>
      </w:r>
      <w:r w:rsidR="006F655D" w:rsidRPr="00B323C8">
        <w:t xml:space="preserve">facts underlying the </w:t>
      </w:r>
      <w:r w:rsidR="00BC607E" w:rsidRPr="00B323C8">
        <w:t>charges</w:t>
      </w:r>
      <w:r w:rsidR="001062E9" w:rsidRPr="00B323C8">
        <w:t xml:space="preserve">.  After deliberating for less than two hours, the </w:t>
      </w:r>
      <w:r w:rsidRPr="00B323C8">
        <w:t xml:space="preserve">jury convicted </w:t>
      </w:r>
      <w:r w:rsidR="00FF05DC" w:rsidRPr="00B323C8">
        <w:t xml:space="preserve">him </w:t>
      </w:r>
      <w:r w:rsidRPr="00B323C8">
        <w:t xml:space="preserve">of </w:t>
      </w:r>
      <w:r w:rsidR="00DE36DD" w:rsidRPr="00B323C8">
        <w:t xml:space="preserve">both counts of </w:t>
      </w:r>
      <w:r w:rsidRPr="00B323C8">
        <w:t xml:space="preserve">first degree murder </w:t>
      </w:r>
      <w:r w:rsidR="006E253B" w:rsidRPr="00B323C8">
        <w:t xml:space="preserve">and </w:t>
      </w:r>
      <w:r w:rsidR="00F019F8" w:rsidRPr="00B323C8">
        <w:t xml:space="preserve">found true, as to both murders, </w:t>
      </w:r>
      <w:r w:rsidR="006E253B" w:rsidRPr="00B323C8">
        <w:t>the</w:t>
      </w:r>
      <w:r w:rsidR="0006413E" w:rsidRPr="00B323C8">
        <w:t xml:space="preserve"> </w:t>
      </w:r>
      <w:r w:rsidRPr="00B323C8">
        <w:t xml:space="preserve">special circumstance allegation </w:t>
      </w:r>
      <w:r w:rsidR="006E253B" w:rsidRPr="00B323C8">
        <w:t xml:space="preserve">and the </w:t>
      </w:r>
      <w:r w:rsidRPr="00B323C8">
        <w:t>enhancement allegation</w:t>
      </w:r>
      <w:r w:rsidR="001062E9" w:rsidRPr="00B323C8">
        <w:t>s</w:t>
      </w:r>
      <w:r w:rsidRPr="00B323C8">
        <w:t>.</w:t>
      </w:r>
    </w:p>
    <w:p w14:paraId="36AEA957" w14:textId="430F0E5A" w:rsidR="00EC26CD" w:rsidRPr="00B323C8" w:rsidRDefault="006F655D" w:rsidP="00B323C8">
      <w:pPr>
        <w:tabs>
          <w:tab w:val="left" w:pos="1440"/>
        </w:tabs>
        <w:ind w:firstLine="720"/>
      </w:pPr>
      <w:r w:rsidRPr="00B323C8">
        <w:t xml:space="preserve">Defendant again represented himself at </w:t>
      </w:r>
      <w:r w:rsidR="0006413E" w:rsidRPr="00B323C8">
        <w:t xml:space="preserve">the </w:t>
      </w:r>
      <w:r w:rsidR="00DE1D70" w:rsidRPr="00B323C8">
        <w:t xml:space="preserve">penalty </w:t>
      </w:r>
      <w:r w:rsidR="0006413E" w:rsidRPr="00B323C8">
        <w:t>phase</w:t>
      </w:r>
      <w:r w:rsidR="000D3714" w:rsidRPr="00B323C8">
        <w:t>.</w:t>
      </w:r>
      <w:r w:rsidR="00113E05" w:rsidRPr="00B323C8">
        <w:t xml:space="preserve">  </w:t>
      </w:r>
      <w:r w:rsidR="00A108CA" w:rsidRPr="00B323C8">
        <w:t>He continued to</w:t>
      </w:r>
      <w:r w:rsidR="00D6057F" w:rsidRPr="00B323C8">
        <w:t xml:space="preserve"> engage the jury in ways that illustrated his </w:t>
      </w:r>
      <w:r w:rsidR="00EC26CD" w:rsidRPr="00B323C8">
        <w:t>mental illness and grandiosity</w:t>
      </w:r>
      <w:r w:rsidR="00FD49BB" w:rsidRPr="00B323C8">
        <w:t>.</w:t>
      </w:r>
      <w:r w:rsidR="00DD36B6" w:rsidRPr="00B323C8">
        <w:t xml:space="preserve">  </w:t>
      </w:r>
      <w:r w:rsidR="00F04340" w:rsidRPr="00B323C8">
        <w:t>T</w:t>
      </w:r>
      <w:r w:rsidR="00DE1D70" w:rsidRPr="00B323C8">
        <w:t xml:space="preserve">he jury </w:t>
      </w:r>
      <w:r w:rsidR="00873E2D" w:rsidRPr="00B323C8">
        <w:t xml:space="preserve">took about an hour to </w:t>
      </w:r>
      <w:r w:rsidR="00DE1D70" w:rsidRPr="00B323C8">
        <w:t>return a verdict of death</w:t>
      </w:r>
      <w:r w:rsidR="0006413E" w:rsidRPr="00B323C8">
        <w:t>.</w:t>
      </w:r>
    </w:p>
    <w:p w14:paraId="39D20B9D" w14:textId="2E19A540" w:rsidR="00EC26CD" w:rsidRPr="00B323C8" w:rsidRDefault="00716B03" w:rsidP="00B323C8">
      <w:pPr>
        <w:tabs>
          <w:tab w:val="left" w:pos="1440"/>
        </w:tabs>
        <w:ind w:firstLine="720"/>
      </w:pPr>
      <w:r w:rsidRPr="00B323C8">
        <w:t>Defendant</w:t>
      </w:r>
      <w:r w:rsidR="00D61F82" w:rsidRPr="00B323C8">
        <w:t>’</w:t>
      </w:r>
      <w:r w:rsidRPr="00B323C8">
        <w:t xml:space="preserve">s jocularity continued at sentencing.  </w:t>
      </w:r>
      <w:r w:rsidR="0006413E" w:rsidRPr="00B323C8">
        <w:t>A</w:t>
      </w:r>
      <w:r w:rsidR="006E253B" w:rsidRPr="00B323C8">
        <w:t>t defen</w:t>
      </w:r>
      <w:r w:rsidR="00C95BF0" w:rsidRPr="00B323C8">
        <w:t>d</w:t>
      </w:r>
      <w:r w:rsidR="006E253B" w:rsidRPr="00B323C8">
        <w:t>ant</w:t>
      </w:r>
      <w:r w:rsidR="00D61F82" w:rsidRPr="00B323C8">
        <w:t>’</w:t>
      </w:r>
      <w:r w:rsidR="006E253B" w:rsidRPr="00B323C8">
        <w:t xml:space="preserve">s request, the </w:t>
      </w:r>
      <w:r w:rsidR="00F2028C" w:rsidRPr="00B323C8">
        <w:t xml:space="preserve">court held the </w:t>
      </w:r>
      <w:r w:rsidR="006E253B" w:rsidRPr="00B323C8">
        <w:t>sentencing on defen</w:t>
      </w:r>
      <w:r w:rsidR="00C95BF0" w:rsidRPr="00B323C8">
        <w:t>d</w:t>
      </w:r>
      <w:r w:rsidR="006E253B" w:rsidRPr="00B323C8">
        <w:t>ant</w:t>
      </w:r>
      <w:r w:rsidR="00D61F82" w:rsidRPr="00B323C8">
        <w:t>’</w:t>
      </w:r>
      <w:r w:rsidR="006E253B" w:rsidRPr="00B323C8">
        <w:t>s birthday</w:t>
      </w:r>
      <w:r w:rsidRPr="00B323C8">
        <w:t>.  On that day, d</w:t>
      </w:r>
      <w:r w:rsidR="00F2028C" w:rsidRPr="00B323C8">
        <w:t>efendant</w:t>
      </w:r>
      <w:r w:rsidRPr="00B323C8">
        <w:t xml:space="preserve"> </w:t>
      </w:r>
      <w:r w:rsidR="00A72B45" w:rsidRPr="00B323C8">
        <w:t>said</w:t>
      </w:r>
      <w:r w:rsidR="006F1050" w:rsidRPr="00B323C8">
        <w:t>:  “Welcome to my birthday party.  [¶]  Is everyone having fun?  Is everyone having a good time?”  T</w:t>
      </w:r>
      <w:r w:rsidR="00F2028C" w:rsidRPr="00B323C8">
        <w:t xml:space="preserve">he court </w:t>
      </w:r>
      <w:r w:rsidR="00CC3401" w:rsidRPr="00B323C8">
        <w:t xml:space="preserve">then </w:t>
      </w:r>
      <w:r w:rsidR="00F2028C" w:rsidRPr="00B323C8">
        <w:t>sentenced d</w:t>
      </w:r>
      <w:r w:rsidR="00A108CA" w:rsidRPr="00B323C8">
        <w:t>efendant</w:t>
      </w:r>
      <w:r w:rsidR="00F2028C" w:rsidRPr="00B323C8">
        <w:t xml:space="preserve"> to death</w:t>
      </w:r>
      <w:r w:rsidR="00CC3401" w:rsidRPr="00B323C8">
        <w:t xml:space="preserve"> for each of the murders</w:t>
      </w:r>
      <w:r w:rsidR="00F2028C" w:rsidRPr="00B323C8">
        <w:t>.</w:t>
      </w:r>
    </w:p>
    <w:p w14:paraId="743497B2" w14:textId="21AD0709" w:rsidR="0057100E" w:rsidRPr="00B323C8" w:rsidRDefault="00FD49BB" w:rsidP="00B323C8">
      <w:pPr>
        <w:tabs>
          <w:tab w:val="left" w:pos="1440"/>
        </w:tabs>
        <w:ind w:firstLine="720"/>
      </w:pPr>
      <w:r w:rsidRPr="00B323C8">
        <w:t>T</w:t>
      </w:r>
      <w:r w:rsidR="00DE1D70" w:rsidRPr="00B323C8">
        <w:t>his appeal is automatic.  (§ 1239.)</w:t>
      </w:r>
      <w:r w:rsidR="00EC26CD" w:rsidRPr="00B323C8">
        <w:t xml:space="preserve">  </w:t>
      </w:r>
      <w:r w:rsidR="00356D9B" w:rsidRPr="00B323C8">
        <w:t>W</w:t>
      </w:r>
      <w:r w:rsidR="00207497" w:rsidRPr="00B323C8">
        <w:t xml:space="preserve">e </w:t>
      </w:r>
      <w:r w:rsidR="00F50FB7" w:rsidRPr="00B323C8">
        <w:t>reverse the</w:t>
      </w:r>
      <w:r w:rsidR="003C652D" w:rsidRPr="00B323C8">
        <w:t xml:space="preserve"> j</w:t>
      </w:r>
      <w:r w:rsidR="00F50FB7" w:rsidRPr="00B323C8">
        <w:t>udgment</w:t>
      </w:r>
      <w:r w:rsidR="003C652D" w:rsidRPr="00B323C8">
        <w:t xml:space="preserve"> as to both guilt and penalty</w:t>
      </w:r>
      <w:r w:rsidR="0006413E" w:rsidRPr="00B323C8">
        <w:t xml:space="preserve"> on the ground that, before the guilt trial, the court was presented with substantial evidence of defendant</w:t>
      </w:r>
      <w:r w:rsidR="00D61F82" w:rsidRPr="00B323C8">
        <w:t>’</w:t>
      </w:r>
      <w:r w:rsidR="0006413E" w:rsidRPr="00B323C8">
        <w:t>s mental incompetence</w:t>
      </w:r>
      <w:r w:rsidR="00385390" w:rsidRPr="00B323C8">
        <w:t> </w:t>
      </w:r>
      <w:r w:rsidR="005059C2" w:rsidRPr="00B323C8">
        <w:t>—</w:t>
      </w:r>
      <w:r w:rsidR="00385390" w:rsidRPr="00B323C8">
        <w:t xml:space="preserve"> </w:t>
      </w:r>
      <w:r w:rsidR="005059C2" w:rsidRPr="00B323C8">
        <w:t xml:space="preserve">specifically, </w:t>
      </w:r>
      <w:r w:rsidR="00F428C3" w:rsidRPr="00B323C8">
        <w:t>his inability</w:t>
      </w:r>
      <w:r w:rsidR="006067AC" w:rsidRPr="00B323C8">
        <w:t xml:space="preserve">, due to mental illness, </w:t>
      </w:r>
      <w:r w:rsidR="00962BD6" w:rsidRPr="00B323C8">
        <w:t xml:space="preserve">to </w:t>
      </w:r>
      <w:r w:rsidR="00EC26CD" w:rsidRPr="00B323C8">
        <w:t xml:space="preserve">consult </w:t>
      </w:r>
      <w:r w:rsidR="00160EC3" w:rsidRPr="00B323C8">
        <w:t xml:space="preserve">rationally </w:t>
      </w:r>
      <w:r w:rsidR="00EC26CD" w:rsidRPr="00B323C8">
        <w:t xml:space="preserve">with </w:t>
      </w:r>
      <w:r w:rsidR="00962BD6" w:rsidRPr="00B323C8">
        <w:t>counsel</w:t>
      </w:r>
      <w:r w:rsidR="00385390" w:rsidRPr="00B323C8">
        <w:t> </w:t>
      </w:r>
      <w:r w:rsidR="005059C2" w:rsidRPr="00B323C8">
        <w:t>—</w:t>
      </w:r>
      <w:r w:rsidR="00385390" w:rsidRPr="00B323C8">
        <w:t xml:space="preserve"> </w:t>
      </w:r>
      <w:r w:rsidR="0006413E" w:rsidRPr="00B323C8">
        <w:t xml:space="preserve">and therefore </w:t>
      </w:r>
      <w:r w:rsidR="006067AC" w:rsidRPr="00B323C8">
        <w:t xml:space="preserve">the court was </w:t>
      </w:r>
      <w:r w:rsidR="0006413E" w:rsidRPr="00B323C8">
        <w:t xml:space="preserve">obligated to </w:t>
      </w:r>
      <w:r w:rsidR="00FF05DC" w:rsidRPr="00B323C8">
        <w:t>initiate the competency procedures set forth in sections 1368 and 1369</w:t>
      </w:r>
      <w:r w:rsidR="006067AC" w:rsidRPr="00B323C8">
        <w:t>, which it failed to do</w:t>
      </w:r>
      <w:r w:rsidR="00F04340" w:rsidRPr="00B323C8">
        <w:t>.</w:t>
      </w:r>
      <w:r w:rsidR="00475709" w:rsidRPr="00B323C8">
        <w:t xml:space="preserve">  </w:t>
      </w:r>
      <w:r w:rsidR="00611904" w:rsidRPr="00B323C8">
        <w:t xml:space="preserve">In light of </w:t>
      </w:r>
      <w:r w:rsidR="00EC26CD" w:rsidRPr="00B323C8">
        <w:t>th</w:t>
      </w:r>
      <w:r w:rsidR="00C20582" w:rsidRPr="00B323C8">
        <w:t>is</w:t>
      </w:r>
      <w:r w:rsidR="00EC26CD" w:rsidRPr="00B323C8">
        <w:t xml:space="preserve"> </w:t>
      </w:r>
      <w:r w:rsidR="00611904" w:rsidRPr="00B323C8">
        <w:t xml:space="preserve">conclusion, </w:t>
      </w:r>
      <w:r w:rsidR="00492CD8" w:rsidRPr="00B323C8">
        <w:t xml:space="preserve">we do not address the remaining issues defendant raises </w:t>
      </w:r>
      <w:r w:rsidR="00F577F2" w:rsidRPr="00B323C8">
        <w:t>on appeal.</w:t>
      </w:r>
    </w:p>
    <w:p w14:paraId="20AC7895" w14:textId="659EC1C1" w:rsidR="000434D8" w:rsidRPr="00B323C8" w:rsidRDefault="008F20C3" w:rsidP="00B323C8">
      <w:pPr>
        <w:pStyle w:val="Heading1"/>
      </w:pPr>
      <w:bookmarkStart w:id="2" w:name="_Toc66715085"/>
      <w:r w:rsidRPr="00B323C8">
        <w:lastRenderedPageBreak/>
        <w:t xml:space="preserve">I. </w:t>
      </w:r>
      <w:r w:rsidR="000434D8" w:rsidRPr="00B323C8">
        <w:t>Facts</w:t>
      </w:r>
      <w:bookmarkEnd w:id="2"/>
    </w:p>
    <w:p w14:paraId="139ABBC8" w14:textId="51795C90" w:rsidR="00DF18C9" w:rsidRPr="00B323C8" w:rsidRDefault="00F62DC6" w:rsidP="00B323C8">
      <w:pPr>
        <w:pStyle w:val="Heading2"/>
      </w:pPr>
      <w:bookmarkStart w:id="3" w:name="_Toc66715086"/>
      <w:r w:rsidRPr="00B323C8">
        <w:t>A</w:t>
      </w:r>
      <w:r w:rsidR="00DF18C9" w:rsidRPr="00B323C8">
        <w:t>. Guilt Phase</w:t>
      </w:r>
      <w:bookmarkEnd w:id="3"/>
    </w:p>
    <w:p w14:paraId="32229E5B" w14:textId="7003EDBC" w:rsidR="0055763A" w:rsidRPr="00B323C8" w:rsidRDefault="00F62DC6" w:rsidP="00B323C8">
      <w:pPr>
        <w:pStyle w:val="Heading3"/>
      </w:pPr>
      <w:bookmarkStart w:id="4" w:name="_Toc66715087"/>
      <w:r w:rsidRPr="00B323C8">
        <w:t>1</w:t>
      </w:r>
      <w:r w:rsidR="0055763A" w:rsidRPr="00B323C8">
        <w:t>. The Prosecution</w:t>
      </w:r>
      <w:r w:rsidR="00D61F82" w:rsidRPr="00B323C8">
        <w:t>’</w:t>
      </w:r>
      <w:r w:rsidR="0055763A" w:rsidRPr="00B323C8">
        <w:t>s Case</w:t>
      </w:r>
      <w:r w:rsidR="00E80FB7">
        <w:t>-</w:t>
      </w:r>
      <w:r w:rsidR="0055763A" w:rsidRPr="00B323C8">
        <w:t>in</w:t>
      </w:r>
      <w:r w:rsidR="00E80FB7">
        <w:t>-</w:t>
      </w:r>
      <w:r w:rsidR="0055763A" w:rsidRPr="00B323C8">
        <w:t>Chief</w:t>
      </w:r>
      <w:bookmarkEnd w:id="4"/>
    </w:p>
    <w:p w14:paraId="5CE44BFB" w14:textId="0BF95D8F" w:rsidR="00F52141" w:rsidRPr="00B323C8" w:rsidRDefault="000434D8" w:rsidP="00B323C8">
      <w:pPr>
        <w:tabs>
          <w:tab w:val="left" w:pos="1440"/>
        </w:tabs>
        <w:ind w:firstLine="720"/>
      </w:pPr>
      <w:r w:rsidRPr="00B323C8">
        <w:t>Julie and Paul Rogers were murdered in their ho</w:t>
      </w:r>
      <w:r w:rsidR="00B765F9" w:rsidRPr="00B323C8">
        <w:t xml:space="preserve">me </w:t>
      </w:r>
      <w:r w:rsidRPr="00B323C8">
        <w:t>in El Cerrito in the early morning hours of January 31, 2006</w:t>
      </w:r>
      <w:r w:rsidR="00F42D22" w:rsidRPr="00B323C8">
        <w:t xml:space="preserve">.  </w:t>
      </w:r>
      <w:r w:rsidRPr="00B323C8">
        <w:t>Two of their children</w:t>
      </w:r>
      <w:r w:rsidR="00385390" w:rsidRPr="00B323C8">
        <w:t> </w:t>
      </w:r>
      <w:r w:rsidR="002C5397" w:rsidRPr="00B323C8">
        <w:t>—</w:t>
      </w:r>
      <w:r w:rsidR="00385390" w:rsidRPr="00B323C8">
        <w:t xml:space="preserve"> </w:t>
      </w:r>
      <w:r w:rsidRPr="00B323C8">
        <w:t>Eric</w:t>
      </w:r>
      <w:r w:rsidR="00F2333F" w:rsidRPr="00B323C8">
        <w:t xml:space="preserve"> (</w:t>
      </w:r>
      <w:r w:rsidRPr="00B323C8">
        <w:t>age 17</w:t>
      </w:r>
      <w:r w:rsidR="00F2333F" w:rsidRPr="00B323C8">
        <w:t xml:space="preserve">) </w:t>
      </w:r>
      <w:r w:rsidRPr="00B323C8">
        <w:t>and Laurel</w:t>
      </w:r>
      <w:r w:rsidR="00F2333F" w:rsidRPr="00B323C8">
        <w:t xml:space="preserve"> (</w:t>
      </w:r>
      <w:r w:rsidRPr="00B323C8">
        <w:t>age 12</w:t>
      </w:r>
      <w:r w:rsidR="00F2333F" w:rsidRPr="00B323C8">
        <w:t>)</w:t>
      </w:r>
      <w:r w:rsidR="00385390" w:rsidRPr="00B323C8">
        <w:t> </w:t>
      </w:r>
      <w:r w:rsidR="002C5397" w:rsidRPr="00B323C8">
        <w:t>—</w:t>
      </w:r>
      <w:r w:rsidR="00385390" w:rsidRPr="00B323C8">
        <w:t xml:space="preserve"> </w:t>
      </w:r>
      <w:r w:rsidRPr="00B323C8">
        <w:t xml:space="preserve">were </w:t>
      </w:r>
      <w:r w:rsidR="00B765F9" w:rsidRPr="00B323C8">
        <w:t xml:space="preserve">also </w:t>
      </w:r>
      <w:r w:rsidRPr="00B323C8">
        <w:t>home at the time</w:t>
      </w:r>
      <w:r w:rsidR="009D4E00" w:rsidRPr="00B323C8">
        <w:t>.</w:t>
      </w:r>
      <w:r w:rsidR="00EC5166" w:rsidRPr="00B323C8">
        <w:t xml:space="preserve">  A third child, Alex, was away.</w:t>
      </w:r>
      <w:r w:rsidR="00976770" w:rsidRPr="00B323C8">
        <w:t xml:space="preserve">  </w:t>
      </w:r>
      <w:r w:rsidR="009D4E00" w:rsidRPr="00B323C8">
        <w:t>The</w:t>
      </w:r>
      <w:r w:rsidR="00B765F9" w:rsidRPr="00B323C8">
        <w:t xml:space="preserve"> children </w:t>
      </w:r>
      <w:r w:rsidR="00F2333F" w:rsidRPr="00B323C8">
        <w:t>a</w:t>
      </w:r>
      <w:r w:rsidR="009D4E00" w:rsidRPr="00B323C8">
        <w:t xml:space="preserve">woke to </w:t>
      </w:r>
      <w:r w:rsidRPr="00B323C8">
        <w:t xml:space="preserve">the </w:t>
      </w:r>
      <w:r w:rsidR="00343584" w:rsidRPr="00B323C8">
        <w:t>sound of a struggle</w:t>
      </w:r>
      <w:r w:rsidR="00F42D22" w:rsidRPr="00B323C8">
        <w:t>.</w:t>
      </w:r>
      <w:r w:rsidR="002C3394" w:rsidRPr="00B323C8">
        <w:t xml:space="preserve">  </w:t>
      </w:r>
      <w:r w:rsidR="00A07C60" w:rsidRPr="00B323C8">
        <w:t xml:space="preserve">Eric </w:t>
      </w:r>
      <w:r w:rsidR="006979F5" w:rsidRPr="00B323C8">
        <w:t>looked into the hallway</w:t>
      </w:r>
      <w:r w:rsidR="00D12219" w:rsidRPr="00B323C8">
        <w:t xml:space="preserve"> and </w:t>
      </w:r>
      <w:r w:rsidR="006979F5" w:rsidRPr="00B323C8">
        <w:t>saw</w:t>
      </w:r>
      <w:r w:rsidR="00F2333F" w:rsidRPr="00B323C8">
        <w:t xml:space="preserve"> </w:t>
      </w:r>
      <w:r w:rsidR="00D12219" w:rsidRPr="00B323C8">
        <w:t xml:space="preserve">a </w:t>
      </w:r>
      <w:r w:rsidR="002C4643" w:rsidRPr="00B323C8">
        <w:t xml:space="preserve">large-framed </w:t>
      </w:r>
      <w:r w:rsidR="00E81CA6" w:rsidRPr="00B323C8">
        <w:t>person,</w:t>
      </w:r>
      <w:r w:rsidR="00180CA8" w:rsidRPr="00B323C8">
        <w:rPr>
          <w:rStyle w:val="FootnoteReference"/>
        </w:rPr>
        <w:footnoteReference w:id="3"/>
      </w:r>
      <w:r w:rsidR="00E81CA6" w:rsidRPr="00B323C8">
        <w:t xml:space="preserve"> </w:t>
      </w:r>
      <w:r w:rsidR="006979F5" w:rsidRPr="00B323C8">
        <w:t>dressed in black</w:t>
      </w:r>
      <w:r w:rsidR="00211C35" w:rsidRPr="00B323C8">
        <w:t>,</w:t>
      </w:r>
      <w:r w:rsidR="006979F5" w:rsidRPr="00B323C8">
        <w:t xml:space="preserve"> wearing a motorcycle helmet</w:t>
      </w:r>
      <w:r w:rsidR="00B61788" w:rsidRPr="00B323C8">
        <w:t>.</w:t>
      </w:r>
      <w:r w:rsidR="002C3394" w:rsidRPr="00B323C8">
        <w:t xml:space="preserve">  </w:t>
      </w:r>
      <w:r w:rsidR="00B61788" w:rsidRPr="00B323C8">
        <w:t>Th</w:t>
      </w:r>
      <w:r w:rsidR="002C4643" w:rsidRPr="00B323C8">
        <w:t>e</w:t>
      </w:r>
      <w:r w:rsidR="00B61788" w:rsidRPr="00B323C8">
        <w:t xml:space="preserve"> </w:t>
      </w:r>
      <w:r w:rsidR="000075BF" w:rsidRPr="00B323C8">
        <w:t xml:space="preserve">person </w:t>
      </w:r>
      <w:r w:rsidR="00B61788" w:rsidRPr="00B323C8">
        <w:t xml:space="preserve">was </w:t>
      </w:r>
      <w:r w:rsidR="006979F5" w:rsidRPr="00B323C8">
        <w:t>struggling with</w:t>
      </w:r>
      <w:r w:rsidR="000356DA" w:rsidRPr="00B323C8">
        <w:t xml:space="preserve"> someone</w:t>
      </w:r>
      <w:r w:rsidR="00BB3178" w:rsidRPr="00B323C8">
        <w:t>, whom Eric took to be one of his parents</w:t>
      </w:r>
      <w:r w:rsidR="00F2333F" w:rsidRPr="00B323C8">
        <w:t>.</w:t>
      </w:r>
      <w:r w:rsidR="00981C9C" w:rsidRPr="00B323C8">
        <w:t xml:space="preserve">  Eric went into Laurel’s room and called the police.</w:t>
      </w:r>
      <w:r w:rsidR="00171D71" w:rsidRPr="00B323C8">
        <w:t xml:space="preserve">  </w:t>
      </w:r>
      <w:r w:rsidR="00E62847" w:rsidRPr="00B323C8">
        <w:t xml:space="preserve">When the </w:t>
      </w:r>
      <w:r w:rsidR="002C4643" w:rsidRPr="00B323C8">
        <w:t>noise of the struggle subsided</w:t>
      </w:r>
      <w:r w:rsidR="00160CF8" w:rsidRPr="00B323C8">
        <w:t xml:space="preserve">, </w:t>
      </w:r>
      <w:r w:rsidR="004C141B" w:rsidRPr="00B323C8">
        <w:t xml:space="preserve">Eric and </w:t>
      </w:r>
      <w:r w:rsidR="006979F5" w:rsidRPr="00B323C8">
        <w:t>Laurel</w:t>
      </w:r>
      <w:r w:rsidR="00B61788" w:rsidRPr="00B323C8">
        <w:t xml:space="preserve"> </w:t>
      </w:r>
      <w:r w:rsidR="008C39A0" w:rsidRPr="00B323C8">
        <w:t xml:space="preserve">found </w:t>
      </w:r>
      <w:r w:rsidR="004C141B" w:rsidRPr="00B323C8">
        <w:t>their</w:t>
      </w:r>
      <w:r w:rsidR="008C39A0" w:rsidRPr="00B323C8">
        <w:t xml:space="preserve"> father, </w:t>
      </w:r>
      <w:r w:rsidR="006979F5" w:rsidRPr="00B323C8">
        <w:t>Paul</w:t>
      </w:r>
      <w:r w:rsidR="008C39A0" w:rsidRPr="00B323C8">
        <w:t xml:space="preserve">, </w:t>
      </w:r>
      <w:r w:rsidR="006979F5" w:rsidRPr="00B323C8">
        <w:t>face down on the floor in the</w:t>
      </w:r>
      <w:r w:rsidR="00D407B6" w:rsidRPr="00B323C8">
        <w:t xml:space="preserve"> </w:t>
      </w:r>
      <w:r w:rsidR="006979F5" w:rsidRPr="00B323C8">
        <w:t>master bedroom</w:t>
      </w:r>
      <w:r w:rsidR="00731CFC" w:rsidRPr="00B323C8">
        <w:t xml:space="preserve">, with a knife in his back.  </w:t>
      </w:r>
      <w:r w:rsidR="006979F5" w:rsidRPr="00B323C8">
        <w:t>Paul</w:t>
      </w:r>
      <w:r w:rsidR="00731CFC" w:rsidRPr="00B323C8">
        <w:t xml:space="preserve"> told</w:t>
      </w:r>
      <w:r w:rsidR="00DC3CFB" w:rsidRPr="00B323C8">
        <w:t xml:space="preserve"> </w:t>
      </w:r>
      <w:r w:rsidR="006979F5" w:rsidRPr="00B323C8">
        <w:t xml:space="preserve">Laurel, “It was your uncle.” </w:t>
      </w:r>
      <w:r w:rsidR="008700ED" w:rsidRPr="00B323C8">
        <w:t xml:space="preserve"> </w:t>
      </w:r>
      <w:r w:rsidR="00DC3CFB" w:rsidRPr="00B323C8">
        <w:t xml:space="preserve">When </w:t>
      </w:r>
      <w:r w:rsidR="006979F5" w:rsidRPr="00B323C8">
        <w:t>Laurel asked</w:t>
      </w:r>
      <w:r w:rsidR="00DC3CFB" w:rsidRPr="00B323C8">
        <w:t xml:space="preserve"> if he meant her </w:t>
      </w:r>
      <w:r w:rsidR="00E121E1" w:rsidRPr="00B323C8">
        <w:t>U</w:t>
      </w:r>
      <w:r w:rsidR="00DC3CFB" w:rsidRPr="00B323C8">
        <w:t xml:space="preserve">ncle </w:t>
      </w:r>
      <w:r w:rsidR="006979F5" w:rsidRPr="00B323C8">
        <w:t>Ted</w:t>
      </w:r>
      <w:r w:rsidR="00DC3CFB" w:rsidRPr="00B323C8">
        <w:t xml:space="preserve">, </w:t>
      </w:r>
      <w:r w:rsidR="006979F5" w:rsidRPr="00B323C8">
        <w:t>Paul nodded in agreement</w:t>
      </w:r>
      <w:r w:rsidR="00F42D22" w:rsidRPr="00B323C8">
        <w:t>.</w:t>
      </w:r>
      <w:r w:rsidR="00D97C41" w:rsidRPr="00B323C8">
        <w:rPr>
          <w:rStyle w:val="FootnoteReference"/>
        </w:rPr>
        <w:footnoteReference w:id="4"/>
      </w:r>
    </w:p>
    <w:p w14:paraId="0C661536" w14:textId="02C070AE" w:rsidR="006979F5" w:rsidRPr="00B323C8" w:rsidRDefault="00807885" w:rsidP="00B323C8">
      <w:pPr>
        <w:tabs>
          <w:tab w:val="left" w:pos="1440"/>
        </w:tabs>
        <w:ind w:firstLine="720"/>
      </w:pPr>
      <w:r w:rsidRPr="00B323C8">
        <w:t xml:space="preserve">About this time, </w:t>
      </w:r>
      <w:r w:rsidR="001C6F37" w:rsidRPr="00B323C8">
        <w:t>police arrived.</w:t>
      </w:r>
      <w:r w:rsidR="00D201DD" w:rsidRPr="00B323C8">
        <w:t xml:space="preserve">  </w:t>
      </w:r>
      <w:r w:rsidR="006979F5" w:rsidRPr="00B323C8">
        <w:t xml:space="preserve">In the master bedroom, </w:t>
      </w:r>
      <w:r w:rsidR="001C6F37" w:rsidRPr="00B323C8">
        <w:t>they</w:t>
      </w:r>
      <w:r w:rsidR="006979F5" w:rsidRPr="00B323C8">
        <w:t xml:space="preserve"> found Paul, still alive, </w:t>
      </w:r>
      <w:r w:rsidR="0035333F" w:rsidRPr="00B323C8">
        <w:t xml:space="preserve">lying </w:t>
      </w:r>
      <w:r w:rsidR="006979F5" w:rsidRPr="00B323C8">
        <w:t>on his stomach</w:t>
      </w:r>
      <w:r w:rsidR="00F42D22" w:rsidRPr="00B323C8">
        <w:t xml:space="preserve">.  </w:t>
      </w:r>
      <w:r w:rsidR="006979F5" w:rsidRPr="00B323C8">
        <w:t>He had a bump</w:t>
      </w:r>
      <w:r w:rsidR="0070283D" w:rsidRPr="00B323C8">
        <w:t xml:space="preserve"> </w:t>
      </w:r>
      <w:r w:rsidR="006979F5" w:rsidRPr="00B323C8">
        <w:t>on his forehead and stab wounds in his back</w:t>
      </w:r>
      <w:r w:rsidR="00F42D22" w:rsidRPr="00B323C8">
        <w:t>.</w:t>
      </w:r>
      <w:r w:rsidR="00E9062D" w:rsidRPr="00B323C8">
        <w:t xml:space="preserve">  </w:t>
      </w:r>
      <w:r w:rsidR="001C6F37" w:rsidRPr="00B323C8">
        <w:t>One of the officers</w:t>
      </w:r>
      <w:r w:rsidR="006979F5" w:rsidRPr="00B323C8">
        <w:t xml:space="preserve"> asked Paul who had </w:t>
      </w:r>
      <w:r w:rsidR="0035333F" w:rsidRPr="00B323C8">
        <w:t xml:space="preserve">attacked him, and </w:t>
      </w:r>
      <w:r w:rsidR="006979F5" w:rsidRPr="00B323C8">
        <w:t xml:space="preserve">Paul </w:t>
      </w:r>
      <w:r w:rsidR="005979A8" w:rsidRPr="00B323C8">
        <w:t xml:space="preserve">answered:  </w:t>
      </w:r>
      <w:r w:rsidR="006979F5" w:rsidRPr="00B323C8">
        <w:t>“My brother-in-law</w:t>
      </w:r>
      <w:r w:rsidR="0035333F" w:rsidRPr="00B323C8">
        <w:t xml:space="preserve"> </w:t>
      </w:r>
      <w:r w:rsidR="006979F5" w:rsidRPr="00B323C8">
        <w:t>Ted.”</w:t>
      </w:r>
      <w:r w:rsidR="00193659" w:rsidRPr="00B323C8">
        <w:t xml:space="preserve">  </w:t>
      </w:r>
      <w:r w:rsidR="0035333F" w:rsidRPr="00B323C8">
        <w:t xml:space="preserve">Paul </w:t>
      </w:r>
      <w:r w:rsidR="0070283D" w:rsidRPr="00B323C8">
        <w:t xml:space="preserve">was not able to give any more details before </w:t>
      </w:r>
      <w:r w:rsidR="002775BF" w:rsidRPr="00B323C8">
        <w:t>he died</w:t>
      </w:r>
      <w:r w:rsidR="0035333F" w:rsidRPr="00B323C8">
        <w:t>.</w:t>
      </w:r>
      <w:r w:rsidR="00D201DD" w:rsidRPr="00B323C8">
        <w:t xml:space="preserve">  </w:t>
      </w:r>
      <w:r w:rsidR="006979F5" w:rsidRPr="00B323C8">
        <w:t>Another officer followed a trail of blood down the hallway, through</w:t>
      </w:r>
      <w:r w:rsidR="0035333F" w:rsidRPr="00B323C8">
        <w:t xml:space="preserve"> </w:t>
      </w:r>
      <w:r w:rsidR="006979F5" w:rsidRPr="00B323C8">
        <w:t>the kitchen, and out the sliding</w:t>
      </w:r>
      <w:r w:rsidR="007474ED">
        <w:t xml:space="preserve"> </w:t>
      </w:r>
      <w:r w:rsidR="006979F5" w:rsidRPr="00B323C8">
        <w:t>glass door</w:t>
      </w:r>
      <w:r w:rsidR="00F42D22" w:rsidRPr="00B323C8">
        <w:t>.</w:t>
      </w:r>
      <w:r w:rsidR="00F250B0" w:rsidRPr="00B323C8">
        <w:t xml:space="preserve">  </w:t>
      </w:r>
      <w:r w:rsidR="002775BF" w:rsidRPr="00B323C8">
        <w:t xml:space="preserve">He located </w:t>
      </w:r>
      <w:r w:rsidR="0035333F" w:rsidRPr="00B323C8">
        <w:t>Julie</w:t>
      </w:r>
      <w:r w:rsidR="002775BF" w:rsidRPr="00B323C8">
        <w:t xml:space="preserve"> </w:t>
      </w:r>
      <w:r w:rsidR="006979F5" w:rsidRPr="00B323C8">
        <w:t xml:space="preserve">near the </w:t>
      </w:r>
      <w:r w:rsidR="003D4201" w:rsidRPr="00B323C8">
        <w:t xml:space="preserve">swimming </w:t>
      </w:r>
      <w:r w:rsidR="006979F5" w:rsidRPr="00B323C8">
        <w:t>pool</w:t>
      </w:r>
      <w:r w:rsidR="00F42D22" w:rsidRPr="00B323C8">
        <w:t xml:space="preserve">.  </w:t>
      </w:r>
      <w:r w:rsidR="006979F5" w:rsidRPr="00B323C8">
        <w:t>She was bleeding profusely but breathing</w:t>
      </w:r>
      <w:r w:rsidR="00F42D22" w:rsidRPr="00B323C8">
        <w:t xml:space="preserve">.  </w:t>
      </w:r>
      <w:r w:rsidR="0035333F" w:rsidRPr="00B323C8">
        <w:t xml:space="preserve">She had </w:t>
      </w:r>
      <w:r w:rsidR="00014F7E" w:rsidRPr="00B323C8">
        <w:t xml:space="preserve">a </w:t>
      </w:r>
      <w:r w:rsidR="0035333F" w:rsidRPr="00B323C8">
        <w:t xml:space="preserve">large </w:t>
      </w:r>
      <w:r w:rsidR="00BD1286" w:rsidRPr="00B323C8">
        <w:t xml:space="preserve">wound </w:t>
      </w:r>
      <w:r w:rsidR="00731CFC" w:rsidRPr="00B323C8">
        <w:t>to</w:t>
      </w:r>
      <w:r w:rsidR="0035333F" w:rsidRPr="00B323C8">
        <w:t xml:space="preserve"> her abdomen</w:t>
      </w:r>
      <w:r w:rsidR="00014F7E" w:rsidRPr="00B323C8">
        <w:t>,</w:t>
      </w:r>
      <w:r w:rsidR="0035333F" w:rsidRPr="00B323C8">
        <w:t xml:space="preserve"> </w:t>
      </w:r>
      <w:r w:rsidR="0035333F" w:rsidRPr="00B323C8">
        <w:lastRenderedPageBreak/>
        <w:t>exposing her intestines.</w:t>
      </w:r>
      <w:r w:rsidR="00F250B0" w:rsidRPr="00B323C8">
        <w:t xml:space="preserve">  </w:t>
      </w:r>
      <w:r w:rsidR="00584ACC" w:rsidRPr="00B323C8">
        <w:t xml:space="preserve">She was </w:t>
      </w:r>
      <w:r w:rsidR="00C378E2" w:rsidRPr="00B323C8">
        <w:t xml:space="preserve">transported </w:t>
      </w:r>
      <w:r w:rsidR="00584ACC" w:rsidRPr="00B323C8">
        <w:t>to the hospital, but efforts to save her life were unsuccessful.</w:t>
      </w:r>
    </w:p>
    <w:p w14:paraId="3E7F2E9F" w14:textId="5122D4FE" w:rsidR="00CB5A12" w:rsidRPr="00B323C8" w:rsidRDefault="008F6ADF" w:rsidP="00B323C8">
      <w:pPr>
        <w:tabs>
          <w:tab w:val="left" w:pos="1440"/>
        </w:tabs>
        <w:ind w:firstLine="720"/>
      </w:pPr>
      <w:r w:rsidRPr="00B323C8">
        <w:t>Defendant</w:t>
      </w:r>
      <w:r w:rsidR="00127849" w:rsidRPr="00B323C8">
        <w:t xml:space="preserve"> </w:t>
      </w:r>
      <w:r w:rsidR="002775BF" w:rsidRPr="00B323C8">
        <w:t xml:space="preserve">was </w:t>
      </w:r>
      <w:r w:rsidRPr="00B323C8">
        <w:t xml:space="preserve">arrested </w:t>
      </w:r>
      <w:r w:rsidR="00DA1DA5" w:rsidRPr="00B323C8">
        <w:t xml:space="preserve">a few hours after the </w:t>
      </w:r>
      <w:r w:rsidR="00B453F6" w:rsidRPr="00B323C8">
        <w:t>murders</w:t>
      </w:r>
      <w:r w:rsidRPr="00B323C8">
        <w:t>,</w:t>
      </w:r>
      <w:r w:rsidR="00DA1DA5" w:rsidRPr="00B323C8">
        <w:t xml:space="preserve"> </w:t>
      </w:r>
      <w:r w:rsidRPr="00B323C8">
        <w:t>at a hospital near his ho</w:t>
      </w:r>
      <w:r w:rsidR="005110F5" w:rsidRPr="00B323C8">
        <w:t>me</w:t>
      </w:r>
      <w:r w:rsidRPr="00B323C8">
        <w:t xml:space="preserve"> in Citrus Heights.</w:t>
      </w:r>
      <w:r w:rsidR="005B78E4" w:rsidRPr="00B323C8">
        <w:t xml:space="preserve">  </w:t>
      </w:r>
      <w:r w:rsidR="00773E6B" w:rsidRPr="00B323C8">
        <w:t>At the time of arrest, h</w:t>
      </w:r>
      <w:r w:rsidRPr="00B323C8">
        <w:t xml:space="preserve">e had </w:t>
      </w:r>
      <w:r w:rsidR="002A51B9" w:rsidRPr="00B323C8">
        <w:t xml:space="preserve">a cut on </w:t>
      </w:r>
      <w:r w:rsidRPr="00B323C8">
        <w:t xml:space="preserve">his left </w:t>
      </w:r>
      <w:r w:rsidR="00DA1DA5" w:rsidRPr="00B323C8">
        <w:t>hand</w:t>
      </w:r>
      <w:r w:rsidR="002A51B9" w:rsidRPr="00B323C8">
        <w:t xml:space="preserve"> and a large cut </w:t>
      </w:r>
      <w:r w:rsidRPr="00B323C8">
        <w:t>on his right leg</w:t>
      </w:r>
      <w:r w:rsidR="002A51B9" w:rsidRPr="00B323C8">
        <w:t xml:space="preserve">.  He also had various </w:t>
      </w:r>
      <w:r w:rsidRPr="00B323C8">
        <w:t xml:space="preserve">scratches and abrasions on his chin and hands.  </w:t>
      </w:r>
      <w:r w:rsidR="00731CFC" w:rsidRPr="00B323C8">
        <w:t xml:space="preserve">Items that matched debris at the murder site were found in his van and home.  </w:t>
      </w:r>
      <w:r w:rsidR="001C6F37" w:rsidRPr="00B323C8">
        <w:t xml:space="preserve">The next day, </w:t>
      </w:r>
      <w:r w:rsidR="00226630" w:rsidRPr="00B323C8">
        <w:t xml:space="preserve">February 1, 2006, </w:t>
      </w:r>
      <w:r w:rsidR="00D51CF9" w:rsidRPr="00B323C8">
        <w:t>o</w:t>
      </w:r>
      <w:r w:rsidR="006979F5" w:rsidRPr="00B323C8">
        <w:t xml:space="preserve">fficers interviewed </w:t>
      </w:r>
      <w:r w:rsidR="00D51CF9" w:rsidRPr="00B323C8">
        <w:t>d</w:t>
      </w:r>
      <w:r w:rsidR="006979F5" w:rsidRPr="00B323C8">
        <w:t>efendant</w:t>
      </w:r>
      <w:r w:rsidR="00042108" w:rsidRPr="00B323C8">
        <w:t xml:space="preserve"> after </w:t>
      </w:r>
      <w:r w:rsidR="00226630" w:rsidRPr="00B323C8">
        <w:t>advising him of his</w:t>
      </w:r>
      <w:r w:rsidR="0062343F" w:rsidRPr="00B323C8">
        <w:t xml:space="preserve"> </w:t>
      </w:r>
      <w:r w:rsidR="00AE1CB8" w:rsidRPr="00B323C8">
        <w:t>rights</w:t>
      </w:r>
      <w:r w:rsidR="00F42D22" w:rsidRPr="00B323C8">
        <w:t xml:space="preserve">.  </w:t>
      </w:r>
      <w:r w:rsidR="00163D2E" w:rsidRPr="00B323C8">
        <w:t xml:space="preserve">(See </w:t>
      </w:r>
      <w:r w:rsidR="00163D2E" w:rsidRPr="00B323C8">
        <w:rPr>
          <w:i/>
        </w:rPr>
        <w:t>Miranda v. Arizona</w:t>
      </w:r>
      <w:r w:rsidR="00163D2E" w:rsidRPr="00B323C8">
        <w:t xml:space="preserve"> (1966) 384 U.S. 436.)</w:t>
      </w:r>
      <w:r w:rsidR="00193659" w:rsidRPr="00B323C8">
        <w:t xml:space="preserve">  </w:t>
      </w:r>
      <w:r w:rsidR="006979F5" w:rsidRPr="00B323C8">
        <w:t>The interview was</w:t>
      </w:r>
      <w:r w:rsidR="00FA35E8" w:rsidRPr="00B323C8">
        <w:t xml:space="preserve"> recorded </w:t>
      </w:r>
      <w:r w:rsidR="006979F5" w:rsidRPr="00B323C8">
        <w:t>and</w:t>
      </w:r>
      <w:r w:rsidR="001868CF" w:rsidRPr="00B323C8">
        <w:t xml:space="preserve"> </w:t>
      </w:r>
      <w:r w:rsidR="006979F5" w:rsidRPr="00B323C8">
        <w:t xml:space="preserve">admitted </w:t>
      </w:r>
      <w:r w:rsidR="001868CF" w:rsidRPr="00B323C8">
        <w:t>into evidence</w:t>
      </w:r>
      <w:r w:rsidR="00F42D22" w:rsidRPr="00B323C8">
        <w:t>.</w:t>
      </w:r>
      <w:r w:rsidR="00C5325B" w:rsidRPr="00B323C8">
        <w:t xml:space="preserve">  </w:t>
      </w:r>
      <w:r w:rsidR="006979F5" w:rsidRPr="00B323C8">
        <w:t>In the interview,</w:t>
      </w:r>
      <w:r w:rsidR="001868CF" w:rsidRPr="00B323C8">
        <w:t xml:space="preserve"> d</w:t>
      </w:r>
      <w:r w:rsidR="006979F5" w:rsidRPr="00B323C8">
        <w:t xml:space="preserve">efendant </w:t>
      </w:r>
      <w:r w:rsidR="00BD5945" w:rsidRPr="00B323C8">
        <w:t xml:space="preserve">confessed </w:t>
      </w:r>
      <w:r w:rsidR="001868CF" w:rsidRPr="00B323C8">
        <w:t xml:space="preserve">that </w:t>
      </w:r>
      <w:r w:rsidR="006979F5" w:rsidRPr="00B323C8">
        <w:t xml:space="preserve">he </w:t>
      </w:r>
      <w:r w:rsidR="00BD5945" w:rsidRPr="00B323C8">
        <w:t xml:space="preserve">had </w:t>
      </w:r>
      <w:r w:rsidR="006979F5" w:rsidRPr="00B323C8">
        <w:t>committed the murders and</w:t>
      </w:r>
      <w:r w:rsidR="001868CF" w:rsidRPr="00B323C8">
        <w:t xml:space="preserve"> </w:t>
      </w:r>
      <w:r w:rsidR="00477488" w:rsidRPr="00B323C8">
        <w:t xml:space="preserve">also </w:t>
      </w:r>
      <w:r w:rsidR="001868CF" w:rsidRPr="00B323C8">
        <w:t xml:space="preserve">that he </w:t>
      </w:r>
      <w:r w:rsidR="00BD5945" w:rsidRPr="00B323C8">
        <w:t xml:space="preserve">had </w:t>
      </w:r>
      <w:r w:rsidR="006979F5" w:rsidRPr="00B323C8">
        <w:t>planned them in advance</w:t>
      </w:r>
      <w:r w:rsidR="00F42D22" w:rsidRPr="00B323C8">
        <w:t>.</w:t>
      </w:r>
      <w:r w:rsidR="00163760" w:rsidRPr="00B323C8">
        <w:t xml:space="preserve">  He explained that Julie and Paul “were really bad, rotten people.”</w:t>
      </w:r>
      <w:r w:rsidR="005B78E4" w:rsidRPr="00B323C8">
        <w:t xml:space="preserve">  </w:t>
      </w:r>
      <w:r w:rsidR="00163760" w:rsidRPr="00B323C8">
        <w:t xml:space="preserve">Paul was a “communist” </w:t>
      </w:r>
      <w:r w:rsidR="00FC73E1" w:rsidRPr="00B323C8">
        <w:t xml:space="preserve">and </w:t>
      </w:r>
      <w:r w:rsidR="00163760" w:rsidRPr="00B323C8">
        <w:t>“way over to the left</w:t>
      </w:r>
      <w:r w:rsidR="00731CFC" w:rsidRPr="00B323C8">
        <w:t>.</w:t>
      </w:r>
      <w:r w:rsidR="00163760" w:rsidRPr="00B323C8">
        <w:t>”</w:t>
      </w:r>
      <w:r w:rsidR="00EF7A9D">
        <w:t xml:space="preserve">  </w:t>
      </w:r>
      <w:r w:rsidR="00261908" w:rsidRPr="00B323C8">
        <w:t>Julie and Paul w</w:t>
      </w:r>
      <w:r w:rsidR="00FC73E1" w:rsidRPr="00B323C8">
        <w:t xml:space="preserve">ere lax parents </w:t>
      </w:r>
      <w:r w:rsidR="00AC44E2" w:rsidRPr="00B323C8">
        <w:t xml:space="preserve">who </w:t>
      </w:r>
      <w:r w:rsidR="00C400F7" w:rsidRPr="00B323C8">
        <w:t xml:space="preserve">drank </w:t>
      </w:r>
      <w:r w:rsidR="00AC44E2" w:rsidRPr="00B323C8">
        <w:t>in front of the</w:t>
      </w:r>
      <w:r w:rsidR="00261908" w:rsidRPr="00B323C8">
        <w:t xml:space="preserve">ir </w:t>
      </w:r>
      <w:r w:rsidR="00936583" w:rsidRPr="00B323C8">
        <w:t>children</w:t>
      </w:r>
      <w:r w:rsidR="00261908" w:rsidRPr="00B323C8">
        <w:t xml:space="preserve">, </w:t>
      </w:r>
      <w:r w:rsidR="00C400F7" w:rsidRPr="00B323C8">
        <w:t>maintained a filthy home</w:t>
      </w:r>
      <w:r w:rsidR="00261908" w:rsidRPr="00B323C8">
        <w:t>, and neglected their dogs</w:t>
      </w:r>
      <w:r w:rsidR="00C400F7" w:rsidRPr="00B323C8">
        <w:t>.</w:t>
      </w:r>
      <w:r w:rsidR="00AC44E2" w:rsidRPr="00B323C8">
        <w:t xml:space="preserve">  As a result</w:t>
      </w:r>
      <w:r w:rsidR="00FC73E1" w:rsidRPr="00B323C8">
        <w:t xml:space="preserve">, </w:t>
      </w:r>
      <w:r w:rsidR="00163760" w:rsidRPr="00B323C8">
        <w:t xml:space="preserve">the children </w:t>
      </w:r>
      <w:r w:rsidR="00FC73E1" w:rsidRPr="00B323C8">
        <w:t>were un</w:t>
      </w:r>
      <w:r w:rsidR="00163760" w:rsidRPr="00B323C8">
        <w:t>discipline</w:t>
      </w:r>
      <w:r w:rsidR="00FC73E1" w:rsidRPr="00B323C8">
        <w:t xml:space="preserve">d and </w:t>
      </w:r>
      <w:r w:rsidR="00E341D4" w:rsidRPr="00B323C8">
        <w:t>disobedient</w:t>
      </w:r>
      <w:r w:rsidR="00C400F7" w:rsidRPr="00B323C8">
        <w:t>.</w:t>
      </w:r>
      <w:r w:rsidR="00EF7A9D">
        <w:t xml:space="preserve">  </w:t>
      </w:r>
      <w:r w:rsidR="00163760" w:rsidRPr="00B323C8">
        <w:t xml:space="preserve">Defendant thought that </w:t>
      </w:r>
      <w:r w:rsidR="00B60A11" w:rsidRPr="00B323C8">
        <w:t xml:space="preserve">after </w:t>
      </w:r>
      <w:r w:rsidR="00163760" w:rsidRPr="00B323C8">
        <w:t xml:space="preserve">killing Julie and Paul, he could </w:t>
      </w:r>
      <w:r w:rsidR="000713E7" w:rsidRPr="00B323C8">
        <w:t>“offer the kids to come live with</w:t>
      </w:r>
      <w:r w:rsidR="0038594A" w:rsidRPr="00B323C8">
        <w:t xml:space="preserve"> [him]” and </w:t>
      </w:r>
      <w:r w:rsidR="00163760" w:rsidRPr="00B323C8">
        <w:t xml:space="preserve">“raise </w:t>
      </w:r>
      <w:r w:rsidR="000305B5" w:rsidRPr="00B323C8">
        <w:t>the</w:t>
      </w:r>
      <w:r w:rsidR="008D73DB" w:rsidRPr="00B323C8">
        <w:t>m</w:t>
      </w:r>
      <w:r w:rsidR="00163760" w:rsidRPr="00B323C8">
        <w:t xml:space="preserve"> right</w:t>
      </w:r>
      <w:r w:rsidR="005B78E4" w:rsidRPr="00B323C8">
        <w:t>.</w:t>
      </w:r>
      <w:r w:rsidR="00163760" w:rsidRPr="00B323C8">
        <w:t>”</w:t>
      </w:r>
    </w:p>
    <w:p w14:paraId="2C3433BE" w14:textId="3097F9A3" w:rsidR="006979F5" w:rsidRPr="00B323C8" w:rsidRDefault="00CB5A12" w:rsidP="00B323C8">
      <w:pPr>
        <w:tabs>
          <w:tab w:val="left" w:pos="1440"/>
        </w:tabs>
        <w:ind w:firstLine="720"/>
      </w:pPr>
      <w:r w:rsidRPr="00B323C8">
        <w:t>Defendant</w:t>
      </w:r>
      <w:r w:rsidR="003917B6" w:rsidRPr="00B323C8">
        <w:t xml:space="preserve"> </w:t>
      </w:r>
      <w:r w:rsidR="00125CBD" w:rsidRPr="00B323C8">
        <w:t xml:space="preserve">chose </w:t>
      </w:r>
      <w:r w:rsidR="006979F5" w:rsidRPr="00B323C8">
        <w:t>January 31</w:t>
      </w:r>
      <w:r w:rsidR="00143620" w:rsidRPr="00B323C8">
        <w:t>, 2006</w:t>
      </w:r>
      <w:r w:rsidR="00125CBD" w:rsidRPr="00B323C8">
        <w:t xml:space="preserve"> as the day for the murders</w:t>
      </w:r>
      <w:r w:rsidR="006979F5" w:rsidRPr="00B323C8">
        <w:t xml:space="preserve">, </w:t>
      </w:r>
      <w:r w:rsidR="001868CF" w:rsidRPr="00B323C8">
        <w:t xml:space="preserve">because that was </w:t>
      </w:r>
      <w:r w:rsidR="006979F5" w:rsidRPr="00B323C8">
        <w:t xml:space="preserve">the </w:t>
      </w:r>
      <w:r w:rsidR="00770BBB" w:rsidRPr="00B323C8">
        <w:t>20th</w:t>
      </w:r>
      <w:r w:rsidR="00125CBD" w:rsidRPr="00B323C8">
        <w:t xml:space="preserve"> </w:t>
      </w:r>
      <w:r w:rsidR="006979F5" w:rsidRPr="00B323C8">
        <w:t>anniversary</w:t>
      </w:r>
      <w:r w:rsidR="001868CF" w:rsidRPr="00B323C8">
        <w:t xml:space="preserve"> </w:t>
      </w:r>
      <w:r w:rsidR="006979F5" w:rsidRPr="00B323C8">
        <w:t>of the day</w:t>
      </w:r>
      <w:r w:rsidR="001D1A3A">
        <w:t xml:space="preserve"> </w:t>
      </w:r>
      <w:r w:rsidR="000305B5" w:rsidRPr="00B323C8">
        <w:t xml:space="preserve">his father </w:t>
      </w:r>
      <w:r w:rsidR="00084623" w:rsidRPr="00B323C8">
        <w:t xml:space="preserve">had </w:t>
      </w:r>
      <w:r w:rsidRPr="00B323C8">
        <w:t xml:space="preserve">knocked down </w:t>
      </w:r>
      <w:r w:rsidR="000305B5" w:rsidRPr="00B323C8">
        <w:t xml:space="preserve">his grandmother, </w:t>
      </w:r>
      <w:r w:rsidR="002E1722" w:rsidRPr="00B323C8">
        <w:t>causing her to break her hip</w:t>
      </w:r>
      <w:r w:rsidR="000305B5" w:rsidRPr="00B323C8">
        <w:t>.</w:t>
      </w:r>
      <w:r w:rsidR="003917B6" w:rsidRPr="00B323C8">
        <w:t xml:space="preserve">  </w:t>
      </w:r>
      <w:r w:rsidR="00163D2E" w:rsidRPr="00B323C8">
        <w:t xml:space="preserve">He </w:t>
      </w:r>
      <w:r w:rsidR="0085408E" w:rsidRPr="00B323C8">
        <w:t>decided</w:t>
      </w:r>
      <w:r w:rsidR="006979F5" w:rsidRPr="00B323C8">
        <w:t xml:space="preserve"> </w:t>
      </w:r>
      <w:r w:rsidR="005B2E37" w:rsidRPr="00B323C8">
        <w:t xml:space="preserve">against </w:t>
      </w:r>
      <w:r w:rsidR="006979F5" w:rsidRPr="00B323C8">
        <w:t>us</w:t>
      </w:r>
      <w:r w:rsidR="005B2E37" w:rsidRPr="00B323C8">
        <w:t xml:space="preserve">ing </w:t>
      </w:r>
      <w:r w:rsidR="006979F5" w:rsidRPr="00B323C8">
        <w:t xml:space="preserve">a gun </w:t>
      </w:r>
      <w:r w:rsidR="00270B23" w:rsidRPr="00B323C8">
        <w:t xml:space="preserve">for </w:t>
      </w:r>
      <w:r w:rsidR="006979F5" w:rsidRPr="00B323C8">
        <w:t>the murders</w:t>
      </w:r>
      <w:r w:rsidR="00163D2E" w:rsidRPr="00B323C8">
        <w:t xml:space="preserve">, because he </w:t>
      </w:r>
      <w:r w:rsidR="00901E44">
        <w:t>did not</w:t>
      </w:r>
      <w:r w:rsidR="00270B23" w:rsidRPr="00B323C8">
        <w:t xml:space="preserve"> </w:t>
      </w:r>
      <w:r w:rsidR="00163D2E" w:rsidRPr="00B323C8">
        <w:t xml:space="preserve">want the murders to be “another statistic </w:t>
      </w:r>
      <w:r w:rsidR="005B2E37" w:rsidRPr="00B323C8">
        <w:t xml:space="preserve">that </w:t>
      </w:r>
      <w:r w:rsidR="00163D2E" w:rsidRPr="00B323C8">
        <w:t>liberals could use</w:t>
      </w:r>
      <w:r w:rsidR="003A743C" w:rsidRPr="00B323C8">
        <w:t>”</w:t>
      </w:r>
      <w:r w:rsidR="00163D2E" w:rsidRPr="00B323C8">
        <w:t xml:space="preserve"> to argue </w:t>
      </w:r>
      <w:r w:rsidR="00D8334C" w:rsidRPr="00B323C8">
        <w:t>in favor of gun control</w:t>
      </w:r>
      <w:r w:rsidR="005B2E37" w:rsidRPr="00B323C8">
        <w:t>.</w:t>
      </w:r>
      <w:r w:rsidR="00457359" w:rsidRPr="00B323C8">
        <w:t xml:space="preserve"> </w:t>
      </w:r>
      <w:r w:rsidR="00A94E07" w:rsidRPr="00B323C8">
        <w:t xml:space="preserve"> </w:t>
      </w:r>
      <w:r w:rsidR="00D6335E" w:rsidRPr="00B323C8">
        <w:t xml:space="preserve">Therefore, </w:t>
      </w:r>
      <w:r w:rsidR="000C4672" w:rsidRPr="00B323C8">
        <w:t xml:space="preserve">he </w:t>
      </w:r>
      <w:r w:rsidR="006979F5" w:rsidRPr="00B323C8">
        <w:t xml:space="preserve">chose </w:t>
      </w:r>
      <w:r w:rsidR="000C4672" w:rsidRPr="00B323C8">
        <w:t xml:space="preserve">to commit the murders with </w:t>
      </w:r>
      <w:r w:rsidR="006979F5" w:rsidRPr="00B323C8">
        <w:t>a knife</w:t>
      </w:r>
      <w:r w:rsidR="000C4672" w:rsidRPr="00B323C8">
        <w:t xml:space="preserve">, although he also </w:t>
      </w:r>
      <w:r w:rsidR="006979F5" w:rsidRPr="00B323C8">
        <w:t>bought a wheelbarrow</w:t>
      </w:r>
      <w:r w:rsidR="00163D2E" w:rsidRPr="00B323C8">
        <w:t xml:space="preserve"> </w:t>
      </w:r>
      <w:r w:rsidR="006979F5" w:rsidRPr="00B323C8">
        <w:t>handle</w:t>
      </w:r>
      <w:r w:rsidR="00F42D22" w:rsidRPr="00B323C8">
        <w:t>.</w:t>
      </w:r>
    </w:p>
    <w:p w14:paraId="37699A1B" w14:textId="378792CD" w:rsidR="00F40DB8" w:rsidRPr="00B323C8" w:rsidRDefault="00BC7155" w:rsidP="00B323C8">
      <w:pPr>
        <w:tabs>
          <w:tab w:val="left" w:pos="1440"/>
        </w:tabs>
        <w:ind w:firstLine="720"/>
      </w:pPr>
      <w:r w:rsidRPr="00B323C8">
        <w:t xml:space="preserve">When he arrived at Julie and Paul’s house to commit the murders, </w:t>
      </w:r>
      <w:r w:rsidR="004F7F2B" w:rsidRPr="00B323C8">
        <w:t xml:space="preserve">defendant </w:t>
      </w:r>
      <w:r w:rsidR="006979F5" w:rsidRPr="00B323C8">
        <w:t>began to have second thoughts.</w:t>
      </w:r>
      <w:r w:rsidR="00E82CBA" w:rsidRPr="00B323C8">
        <w:t xml:space="preserve">  </w:t>
      </w:r>
      <w:r w:rsidR="007E04FC" w:rsidRPr="00B323C8">
        <w:t xml:space="preserve">He </w:t>
      </w:r>
      <w:r w:rsidR="007E04FC" w:rsidRPr="00B323C8">
        <w:lastRenderedPageBreak/>
        <w:t xml:space="preserve">explained to his police </w:t>
      </w:r>
      <w:r w:rsidR="007E5E65" w:rsidRPr="00B323C8">
        <w:t>interview</w:t>
      </w:r>
      <w:r w:rsidR="007E04FC" w:rsidRPr="00B323C8">
        <w:t>ers</w:t>
      </w:r>
      <w:r w:rsidR="007E5E65" w:rsidRPr="00B323C8">
        <w:t xml:space="preserve">:  </w:t>
      </w:r>
      <w:r w:rsidR="00E82CBA" w:rsidRPr="00B323C8">
        <w:t>“</w:t>
      </w:r>
      <w:r w:rsidR="006979F5" w:rsidRPr="00B323C8">
        <w:t>For like several minutes, I was going through my mind, okay, this is</w:t>
      </w:r>
      <w:r w:rsidR="00E82CBA" w:rsidRPr="00B323C8">
        <w:t xml:space="preserve"> </w:t>
      </w:r>
      <w:r w:rsidR="006979F5" w:rsidRPr="00B323C8">
        <w:t>what I</w:t>
      </w:r>
      <w:r w:rsidR="00D61F82" w:rsidRPr="00B323C8">
        <w:t>’</w:t>
      </w:r>
      <w:r w:rsidR="006979F5" w:rsidRPr="00B323C8">
        <w:t>m gonna do, this is where I</w:t>
      </w:r>
      <w:r w:rsidR="00D61F82" w:rsidRPr="00B323C8">
        <w:t>’</w:t>
      </w:r>
      <w:r w:rsidR="006979F5" w:rsidRPr="00B323C8">
        <w:t>m gonna go, rehearsing it in my</w:t>
      </w:r>
      <w:r w:rsidR="00E82CBA" w:rsidRPr="00B323C8">
        <w:t xml:space="preserve"> </w:t>
      </w:r>
      <w:r w:rsidR="006979F5" w:rsidRPr="00B323C8">
        <w:t>mind</w:t>
      </w:r>
      <w:r w:rsidR="00F42D22" w:rsidRPr="00B323C8">
        <w:t xml:space="preserve">.  </w:t>
      </w:r>
      <w:r w:rsidR="006979F5" w:rsidRPr="00B323C8">
        <w:t>And I</w:t>
      </w:r>
      <w:r w:rsidR="00E82CBA" w:rsidRPr="00B323C8">
        <w:t xml:space="preserve"> </w:t>
      </w:r>
      <w:r w:rsidR="006979F5" w:rsidRPr="00B323C8">
        <w:t>just really didn</w:t>
      </w:r>
      <w:r w:rsidR="00D61F82" w:rsidRPr="00B323C8">
        <w:t>’</w:t>
      </w:r>
      <w:r w:rsidR="006979F5" w:rsidRPr="00B323C8">
        <w:t>t want to do it, but I told myself this is</w:t>
      </w:r>
      <w:r w:rsidR="00E82CBA" w:rsidRPr="00B323C8">
        <w:t xml:space="preserve"> </w:t>
      </w:r>
      <w:r w:rsidR="006979F5" w:rsidRPr="00B323C8">
        <w:t>something that has to be done</w:t>
      </w:r>
      <w:r w:rsidR="00F42D22" w:rsidRPr="00B323C8">
        <w:t xml:space="preserve">.  </w:t>
      </w:r>
      <w:r w:rsidR="006979F5" w:rsidRPr="00B323C8">
        <w:t>These are horrible, rotten people</w:t>
      </w:r>
      <w:r w:rsidR="001D0508" w:rsidRPr="00B323C8">
        <w:t>,</w:t>
      </w:r>
      <w:r w:rsidR="006979F5" w:rsidRPr="00B323C8">
        <w:t xml:space="preserve"> and,</w:t>
      </w:r>
      <w:r w:rsidR="00E82CBA" w:rsidRPr="00B323C8">
        <w:t xml:space="preserve"> </w:t>
      </w:r>
      <w:r w:rsidR="006979F5" w:rsidRPr="00B323C8">
        <w:t>you know, what they</w:t>
      </w:r>
      <w:r w:rsidR="00D61F82" w:rsidRPr="00B323C8">
        <w:t>’</w:t>
      </w:r>
      <w:r w:rsidR="006979F5" w:rsidRPr="00B323C8">
        <w:t>re doing to their kids</w:t>
      </w:r>
      <w:r w:rsidR="00F42D22" w:rsidRPr="00B323C8">
        <w:t xml:space="preserve">.  </w:t>
      </w:r>
      <w:r w:rsidR="006979F5" w:rsidRPr="00B323C8">
        <w:t>It</w:t>
      </w:r>
      <w:r w:rsidR="00D61F82" w:rsidRPr="00B323C8">
        <w:t>’</w:t>
      </w:r>
      <w:r w:rsidR="006979F5" w:rsidRPr="00B323C8">
        <w:t>s just something that</w:t>
      </w:r>
      <w:r w:rsidR="00E82CBA" w:rsidRPr="00B323C8">
        <w:t xml:space="preserve"> </w:t>
      </w:r>
      <w:r w:rsidR="006979F5" w:rsidRPr="00B323C8">
        <w:t>has to be done</w:t>
      </w:r>
      <w:r w:rsidR="00F42D22" w:rsidRPr="00B323C8">
        <w:t xml:space="preserve">.  </w:t>
      </w:r>
      <w:r w:rsidR="006979F5" w:rsidRPr="00B323C8">
        <w:t>And I forced myself to do what had to be done.</w:t>
      </w:r>
      <w:r w:rsidR="00E82CBA" w:rsidRPr="00B323C8">
        <w:t>”</w:t>
      </w:r>
      <w:r w:rsidR="00070432" w:rsidRPr="00B323C8">
        <w:t xml:space="preserve">  </w:t>
      </w:r>
      <w:r w:rsidR="006979F5" w:rsidRPr="00B323C8">
        <w:t xml:space="preserve">Defendant </w:t>
      </w:r>
      <w:r w:rsidR="00D51CF9" w:rsidRPr="00B323C8">
        <w:t xml:space="preserve">then entered </w:t>
      </w:r>
      <w:r w:rsidR="00E25EC6" w:rsidRPr="00B323C8">
        <w:t xml:space="preserve">the house by smashing </w:t>
      </w:r>
      <w:r w:rsidR="006979F5" w:rsidRPr="00B323C8">
        <w:t>the window</w:t>
      </w:r>
      <w:r w:rsidR="002D2423" w:rsidRPr="00B323C8">
        <w:t xml:space="preserve"> next to the front door</w:t>
      </w:r>
      <w:r w:rsidR="00673F82" w:rsidRPr="00B323C8">
        <w:t xml:space="preserve">.  As a result, the wheelbarrow handle broke in half.  Defendant </w:t>
      </w:r>
      <w:r w:rsidR="006979F5" w:rsidRPr="00B323C8">
        <w:t>found Julie and Paul awake</w:t>
      </w:r>
      <w:r w:rsidR="00F42D22" w:rsidRPr="00B323C8">
        <w:t>.</w:t>
      </w:r>
      <w:r w:rsidR="00A94E07" w:rsidRPr="00B323C8">
        <w:t xml:space="preserve">  </w:t>
      </w:r>
      <w:r w:rsidR="00673F82" w:rsidRPr="00B323C8">
        <w:t xml:space="preserve">He </w:t>
      </w:r>
      <w:r w:rsidR="006979F5" w:rsidRPr="00B323C8">
        <w:t>stabbed Paul</w:t>
      </w:r>
      <w:r w:rsidR="00BC2EC9" w:rsidRPr="00B323C8">
        <w:t>,</w:t>
      </w:r>
      <w:r w:rsidR="006979F5" w:rsidRPr="00B323C8">
        <w:t xml:space="preserve"> </w:t>
      </w:r>
      <w:r w:rsidR="005C3892" w:rsidRPr="00B323C8">
        <w:t xml:space="preserve">but </w:t>
      </w:r>
      <w:r w:rsidR="00C128F1" w:rsidRPr="00B323C8">
        <w:t>the knife got stuck</w:t>
      </w:r>
      <w:r w:rsidR="00F42D22" w:rsidRPr="00B323C8">
        <w:t>.</w:t>
      </w:r>
      <w:r w:rsidR="00F42470" w:rsidRPr="00B323C8">
        <w:t xml:space="preserve">  </w:t>
      </w:r>
      <w:r w:rsidR="00673F82" w:rsidRPr="00B323C8">
        <w:t xml:space="preserve">He </w:t>
      </w:r>
      <w:r w:rsidR="005C3892" w:rsidRPr="00B323C8">
        <w:t xml:space="preserve">then </w:t>
      </w:r>
      <w:r w:rsidR="00D90C24" w:rsidRPr="00B323C8">
        <w:t>went after Julie</w:t>
      </w:r>
      <w:r w:rsidR="00673F82" w:rsidRPr="00B323C8">
        <w:t xml:space="preserve">, following her </w:t>
      </w:r>
      <w:r w:rsidR="006979F5" w:rsidRPr="00B323C8">
        <w:t>out the backdoor.</w:t>
      </w:r>
      <w:r w:rsidR="00AC7572" w:rsidRPr="00B323C8">
        <w:t xml:space="preserve">  H</w:t>
      </w:r>
      <w:r w:rsidR="006979F5" w:rsidRPr="00B323C8">
        <w:t xml:space="preserve">e hit </w:t>
      </w:r>
      <w:r w:rsidR="00AC7572" w:rsidRPr="00B323C8">
        <w:t xml:space="preserve">her </w:t>
      </w:r>
      <w:r w:rsidR="0006269A" w:rsidRPr="00B323C8">
        <w:t xml:space="preserve">and </w:t>
      </w:r>
      <w:r w:rsidR="006979F5" w:rsidRPr="00B323C8">
        <w:t xml:space="preserve">stabbed her </w:t>
      </w:r>
      <w:r w:rsidR="0006269A" w:rsidRPr="00B323C8">
        <w:t xml:space="preserve">with the broken </w:t>
      </w:r>
      <w:r w:rsidR="00673F82" w:rsidRPr="00B323C8">
        <w:t xml:space="preserve">wheelbarrow </w:t>
      </w:r>
      <w:r w:rsidR="0006269A" w:rsidRPr="00B323C8">
        <w:t>handle</w:t>
      </w:r>
      <w:r w:rsidR="00F40DB8" w:rsidRPr="00B323C8">
        <w:t xml:space="preserve">.  </w:t>
      </w:r>
      <w:r w:rsidR="00731CFC" w:rsidRPr="00B323C8">
        <w:t>Then</w:t>
      </w:r>
      <w:r w:rsidR="0065537A" w:rsidRPr="00B323C8">
        <w:t xml:space="preserve">, </w:t>
      </w:r>
      <w:r w:rsidR="00070432" w:rsidRPr="00B323C8">
        <w:t xml:space="preserve">he </w:t>
      </w:r>
      <w:r w:rsidR="00F40DB8" w:rsidRPr="00B323C8">
        <w:t>fled.</w:t>
      </w:r>
    </w:p>
    <w:p w14:paraId="57AC5E94" w14:textId="7A71C766" w:rsidR="00FC73E1" w:rsidRPr="00B323C8" w:rsidRDefault="00F12C8B" w:rsidP="00B323C8">
      <w:pPr>
        <w:tabs>
          <w:tab w:val="left" w:pos="1440"/>
        </w:tabs>
        <w:ind w:firstLine="720"/>
      </w:pPr>
      <w:r w:rsidRPr="00B323C8">
        <w:t xml:space="preserve">Defendant </w:t>
      </w:r>
      <w:r w:rsidR="00731CFC" w:rsidRPr="00B323C8">
        <w:t xml:space="preserve">also </w:t>
      </w:r>
      <w:r w:rsidR="00070432" w:rsidRPr="00B323C8">
        <w:t xml:space="preserve">described </w:t>
      </w:r>
      <w:r w:rsidR="00DE50AA" w:rsidRPr="00B323C8">
        <w:t xml:space="preserve">for the police </w:t>
      </w:r>
      <w:r w:rsidRPr="00B323C8">
        <w:t xml:space="preserve">various </w:t>
      </w:r>
      <w:r w:rsidR="00936583" w:rsidRPr="00B323C8">
        <w:t>grievances he had against his sister</w:t>
      </w:r>
      <w:r w:rsidR="00070432" w:rsidRPr="00B323C8">
        <w:t xml:space="preserve">, including the </w:t>
      </w:r>
      <w:r w:rsidR="00936583" w:rsidRPr="00B323C8">
        <w:t>division of their father</w:t>
      </w:r>
      <w:r w:rsidR="00D61F82" w:rsidRPr="00B323C8">
        <w:t>’</w:t>
      </w:r>
      <w:r w:rsidR="00936583" w:rsidRPr="00B323C8">
        <w:t>s estate</w:t>
      </w:r>
      <w:r w:rsidR="00070432" w:rsidRPr="00B323C8">
        <w:t xml:space="preserve"> and the care being provided for an elderly aunt, but m</w:t>
      </w:r>
      <w:r w:rsidR="00C400F7" w:rsidRPr="00B323C8">
        <w:t>ore generally, defendant</w:t>
      </w:r>
      <w:r w:rsidR="00B53436" w:rsidRPr="00B323C8">
        <w:t xml:space="preserve"> believed </w:t>
      </w:r>
      <w:r w:rsidR="00FC73E1" w:rsidRPr="00B323C8">
        <w:t>that Julie and Paul were</w:t>
      </w:r>
      <w:r w:rsidR="00B53436" w:rsidRPr="00B323C8">
        <w:t xml:space="preserve"> evil </w:t>
      </w:r>
      <w:r w:rsidR="00FC73E1" w:rsidRPr="00B323C8">
        <w:t xml:space="preserve">people.  </w:t>
      </w:r>
      <w:r w:rsidR="00156849" w:rsidRPr="00B323C8">
        <w:t>He said</w:t>
      </w:r>
      <w:r w:rsidR="007272E7" w:rsidRPr="00B323C8">
        <w:t xml:space="preserve">:  </w:t>
      </w:r>
      <w:r w:rsidR="00156849" w:rsidRPr="00B323C8">
        <w:t>“I set out to make the world a better place.  And I set out</w:t>
      </w:r>
      <w:r w:rsidR="00BA6831" w:rsidRPr="00B323C8">
        <w:t> . . . </w:t>
      </w:r>
      <w:r w:rsidR="00156849" w:rsidRPr="00B323C8">
        <w:t>, you know, to</w:t>
      </w:r>
      <w:r w:rsidR="00390A70" w:rsidRPr="00B323C8">
        <w:t> </w:t>
      </w:r>
      <w:r w:rsidR="00156849" w:rsidRPr="00B323C8">
        <w:t>[¶] . . . [¶] fight against evil.”</w:t>
      </w:r>
      <w:r w:rsidR="00021389" w:rsidRPr="00B323C8">
        <w:t xml:space="preserve">  </w:t>
      </w:r>
      <w:r w:rsidR="00390A70" w:rsidRPr="00B323C8">
        <w:t>About killing people, he said</w:t>
      </w:r>
      <w:r w:rsidR="009F0E57" w:rsidRPr="00B323C8">
        <w:t xml:space="preserve">, </w:t>
      </w:r>
      <w:r w:rsidR="00FC73E1" w:rsidRPr="00B323C8">
        <w:t>“</w:t>
      </w:r>
      <w:r w:rsidR="00390A70" w:rsidRPr="00B323C8">
        <w:t>It</w:t>
      </w:r>
      <w:r w:rsidR="00D61F82" w:rsidRPr="00B323C8">
        <w:t>’</w:t>
      </w:r>
      <w:r w:rsidR="00390A70" w:rsidRPr="00B323C8">
        <w:t>s murder.  It</w:t>
      </w:r>
      <w:r w:rsidR="00D61F82" w:rsidRPr="00B323C8">
        <w:t>’</w:t>
      </w:r>
      <w:r w:rsidR="00390A70" w:rsidRPr="00B323C8">
        <w:t>s wrong</w:t>
      </w:r>
      <w:r w:rsidR="00021389" w:rsidRPr="00B323C8">
        <w:t>,</w:t>
      </w:r>
      <w:r w:rsidR="007733E0" w:rsidRPr="00B323C8">
        <w:t>”</w:t>
      </w:r>
      <w:r w:rsidR="00021389" w:rsidRPr="00B323C8">
        <w:t xml:space="preserve"> </w:t>
      </w:r>
      <w:r w:rsidR="007272E7" w:rsidRPr="00B323C8">
        <w:t xml:space="preserve">but </w:t>
      </w:r>
      <w:r w:rsidR="007733E0" w:rsidRPr="00B323C8">
        <w:t>he added</w:t>
      </w:r>
      <w:r w:rsidR="007272E7" w:rsidRPr="00B323C8">
        <w:t xml:space="preserve">:  </w:t>
      </w:r>
      <w:r w:rsidR="007733E0" w:rsidRPr="00B323C8">
        <w:t>“W</w:t>
      </w:r>
      <w:r w:rsidR="00FC73E1" w:rsidRPr="00B323C8">
        <w:t>hat I did, I don</w:t>
      </w:r>
      <w:r w:rsidR="00D61F82" w:rsidRPr="00B323C8">
        <w:t>’</w:t>
      </w:r>
      <w:r w:rsidR="00FC73E1" w:rsidRPr="00B323C8">
        <w:t>t</w:t>
      </w:r>
      <w:r w:rsidR="007733E0" w:rsidRPr="00B323C8">
        <w:t xml:space="preserve"> . . . </w:t>
      </w:r>
      <w:r w:rsidR="00FC73E1" w:rsidRPr="00B323C8">
        <w:t>see it as murder, you know.  I see it as something, you know, a bunch of moral steps that had to be taken.</w:t>
      </w:r>
      <w:r w:rsidR="007B2A38" w:rsidRPr="00B323C8">
        <w:t xml:space="preserve">  [¶] . . . [¶]  </w:t>
      </w:r>
      <w:r w:rsidR="00FC73E1" w:rsidRPr="00B323C8">
        <w:t xml:space="preserve">I felt that </w:t>
      </w:r>
      <w:r w:rsidR="00156849" w:rsidRPr="00B323C8">
        <w:t>[Julie</w:t>
      </w:r>
      <w:r w:rsidR="00D61F82" w:rsidRPr="00B323C8">
        <w:t>’</w:t>
      </w:r>
      <w:r w:rsidR="00156849" w:rsidRPr="00B323C8">
        <w:t xml:space="preserve">s] </w:t>
      </w:r>
      <w:r w:rsidR="00FC73E1" w:rsidRPr="00B323C8">
        <w:t xml:space="preserve">life was getting </w:t>
      </w:r>
      <w:proofErr w:type="gramStart"/>
      <w:r w:rsidR="00FC73E1" w:rsidRPr="00B323C8">
        <w:t>more and more</w:t>
      </w:r>
      <w:proofErr w:type="gramEnd"/>
      <w:r w:rsidR="00FC73E1" w:rsidRPr="00B323C8">
        <w:t xml:space="preserve"> screwed up</w:t>
      </w:r>
      <w:r w:rsidR="00B53436" w:rsidRPr="00B323C8">
        <w:t>,</w:t>
      </w:r>
      <w:r w:rsidR="00FC73E1" w:rsidRPr="00B323C8">
        <w:t xml:space="preserve"> and she was screwing up her kids.  And she was screwing up everyone else, everything around her.  And they had just turned into some really evil people.</w:t>
      </w:r>
      <w:r w:rsidR="007B2A38" w:rsidRPr="00B323C8">
        <w:t xml:space="preserve">  [¶] . . . [¶]  </w:t>
      </w:r>
      <w:r w:rsidR="00FC73E1" w:rsidRPr="00B323C8">
        <w:t>I do believe in self</w:t>
      </w:r>
      <w:r w:rsidR="007E27C5" w:rsidRPr="00B323C8">
        <w:t>-</w:t>
      </w:r>
      <w:r w:rsidR="00FC73E1" w:rsidRPr="00B323C8">
        <w:t>defense.  And I think it</w:t>
      </w:r>
      <w:r w:rsidR="00D61F82" w:rsidRPr="00B323C8">
        <w:t>’</w:t>
      </w:r>
      <w:r w:rsidR="00FC73E1" w:rsidRPr="00B323C8">
        <w:t>s okay to, you know, do something like this in self</w:t>
      </w:r>
      <w:r w:rsidR="007E27C5" w:rsidRPr="00B323C8">
        <w:t>-</w:t>
      </w:r>
      <w:r w:rsidR="00FC73E1" w:rsidRPr="00B323C8">
        <w:t xml:space="preserve">defense.” </w:t>
      </w:r>
      <w:r w:rsidR="00021389" w:rsidRPr="00B323C8">
        <w:t xml:space="preserve"> </w:t>
      </w:r>
      <w:r w:rsidR="00B53436" w:rsidRPr="00B323C8">
        <w:t xml:space="preserve">He </w:t>
      </w:r>
      <w:r w:rsidR="007272E7" w:rsidRPr="00B323C8">
        <w:t>further explained</w:t>
      </w:r>
      <w:r w:rsidR="00B53436" w:rsidRPr="00B323C8">
        <w:t xml:space="preserve">:  </w:t>
      </w:r>
      <w:r w:rsidR="00FC73E1" w:rsidRPr="00B323C8">
        <w:t>“This is something you do to somebody when they deserve it, you know.  I don</w:t>
      </w:r>
      <w:r w:rsidR="00D61F82" w:rsidRPr="00B323C8">
        <w:t>’</w:t>
      </w:r>
      <w:r w:rsidR="00FC73E1" w:rsidRPr="00B323C8">
        <w:t xml:space="preserve">t like this kind of stuff.”  </w:t>
      </w:r>
      <w:r w:rsidR="007733E0" w:rsidRPr="00B323C8">
        <w:t xml:space="preserve">In the same vein, he said:  </w:t>
      </w:r>
      <w:r w:rsidR="00FC73E1" w:rsidRPr="00B323C8">
        <w:t>“Well, you know, I</w:t>
      </w:r>
      <w:r w:rsidR="00D61F82" w:rsidRPr="00B323C8">
        <w:t>’</w:t>
      </w:r>
      <w:r w:rsidR="00FC73E1" w:rsidRPr="00B323C8">
        <w:t xml:space="preserve">m kind of happy because, you know, I guess </w:t>
      </w:r>
      <w:r w:rsidR="00FC73E1" w:rsidRPr="00B323C8">
        <w:lastRenderedPageBreak/>
        <w:t>you could call it leveling.  I may have leveled some karma, you know.  I stopped an evil person in this world that had too much power.  [¶]  I mean some people like, you know, Adolf Hitler, you know . . . , if you could just kill Adolf Hitler before he did what he did.”</w:t>
      </w:r>
    </w:p>
    <w:p w14:paraId="57E72898" w14:textId="41E9C303" w:rsidR="006979F5" w:rsidRPr="00B323C8" w:rsidRDefault="00DE50AA" w:rsidP="00B323C8">
      <w:pPr>
        <w:tabs>
          <w:tab w:val="left" w:pos="1440"/>
        </w:tabs>
        <w:ind w:firstLine="720"/>
      </w:pPr>
      <w:r w:rsidRPr="00B323C8">
        <w:t>Other prosecution evidence included notes taken by a reporter from t</w:t>
      </w:r>
      <w:r w:rsidRPr="00486D6E">
        <w:t xml:space="preserve">he Contra Costa Times.  </w:t>
      </w:r>
      <w:r w:rsidR="006979F5" w:rsidRPr="00B323C8">
        <w:t>The parties stipulated that if called as a witness</w:t>
      </w:r>
      <w:r w:rsidR="00035E9F" w:rsidRPr="00B323C8">
        <w:t>,</w:t>
      </w:r>
      <w:r w:rsidR="006979F5" w:rsidRPr="00B323C8">
        <w:t xml:space="preserve"> </w:t>
      </w:r>
      <w:r w:rsidRPr="00B323C8">
        <w:t xml:space="preserve">the </w:t>
      </w:r>
      <w:r w:rsidR="006979F5" w:rsidRPr="00B323C8">
        <w:t>reporter</w:t>
      </w:r>
      <w:r w:rsidRPr="00B323C8">
        <w:t xml:space="preserve"> </w:t>
      </w:r>
      <w:r w:rsidR="006979F5" w:rsidRPr="00B323C8">
        <w:t xml:space="preserve">would testify that he </w:t>
      </w:r>
      <w:r w:rsidR="005478FC" w:rsidRPr="00B323C8">
        <w:t xml:space="preserve">visited </w:t>
      </w:r>
      <w:r w:rsidR="006979F5" w:rsidRPr="00B323C8">
        <w:t>the</w:t>
      </w:r>
      <w:r w:rsidR="006F731E" w:rsidRPr="00B323C8">
        <w:t xml:space="preserve"> </w:t>
      </w:r>
      <w:r w:rsidR="005478FC" w:rsidRPr="00B323C8">
        <w:t xml:space="preserve">Martinez </w:t>
      </w:r>
      <w:r w:rsidR="006F731E" w:rsidRPr="00B323C8">
        <w:t xml:space="preserve">jail </w:t>
      </w:r>
      <w:r w:rsidR="006979F5" w:rsidRPr="00B323C8">
        <w:t xml:space="preserve">on </w:t>
      </w:r>
      <w:r w:rsidR="00910C17" w:rsidRPr="00B323C8">
        <w:t xml:space="preserve">Friday, </w:t>
      </w:r>
      <w:r w:rsidR="006979F5" w:rsidRPr="00B323C8">
        <w:t>February 3, 2006, and</w:t>
      </w:r>
      <w:r w:rsidR="005110F5" w:rsidRPr="00B323C8">
        <w:t xml:space="preserve"> </w:t>
      </w:r>
      <w:r w:rsidR="0068429B" w:rsidRPr="00B323C8">
        <w:t>d</w:t>
      </w:r>
      <w:r w:rsidR="006979F5" w:rsidRPr="00B323C8">
        <w:t xml:space="preserve">efendant </w:t>
      </w:r>
      <w:r w:rsidR="00FD4A6C" w:rsidRPr="00B323C8">
        <w:t>confessed to him</w:t>
      </w:r>
      <w:r w:rsidRPr="00B323C8">
        <w:t>.  According to the</w:t>
      </w:r>
      <w:r w:rsidR="005110F5" w:rsidRPr="00B323C8">
        <w:t xml:space="preserve"> reporter’s n</w:t>
      </w:r>
      <w:r w:rsidRPr="00B323C8">
        <w:t xml:space="preserve">otes, defendant </w:t>
      </w:r>
      <w:r w:rsidR="002F7852" w:rsidRPr="00B323C8">
        <w:t>repeat</w:t>
      </w:r>
      <w:r w:rsidR="002F7852">
        <w:t>ed</w:t>
      </w:r>
      <w:r w:rsidR="002F7852" w:rsidRPr="00B323C8">
        <w:t xml:space="preserve"> </w:t>
      </w:r>
      <w:r w:rsidR="005E7E0A" w:rsidRPr="00B323C8">
        <w:t xml:space="preserve">several of the things </w:t>
      </w:r>
      <w:r w:rsidR="00731CFC" w:rsidRPr="00B323C8">
        <w:t xml:space="preserve">he </w:t>
      </w:r>
      <w:r w:rsidR="005E7E0A" w:rsidRPr="00B323C8">
        <w:t>had</w:t>
      </w:r>
      <w:r w:rsidR="00E30654" w:rsidRPr="00B323C8">
        <w:t xml:space="preserve"> </w:t>
      </w:r>
      <w:r w:rsidR="005E7E0A" w:rsidRPr="00B323C8">
        <w:t>told the police</w:t>
      </w:r>
      <w:r w:rsidR="00E30654" w:rsidRPr="00B323C8">
        <w:t>,</w:t>
      </w:r>
      <w:r w:rsidR="005E7E0A" w:rsidRPr="00B323C8">
        <w:t xml:space="preserve"> including </w:t>
      </w:r>
      <w:r w:rsidR="00E30654" w:rsidRPr="00B323C8">
        <w:t xml:space="preserve">his </w:t>
      </w:r>
      <w:r w:rsidR="00B63ECE" w:rsidRPr="00B323C8">
        <w:t xml:space="preserve">opinion that </w:t>
      </w:r>
      <w:r w:rsidR="005E7E0A" w:rsidRPr="00B323C8">
        <w:t xml:space="preserve">the murders were necessary to </w:t>
      </w:r>
      <w:r w:rsidR="00E30654" w:rsidRPr="00B323C8">
        <w:t xml:space="preserve">eliminate “bad </w:t>
      </w:r>
      <w:r w:rsidR="005E7E0A" w:rsidRPr="00B323C8">
        <w:t>people</w:t>
      </w:r>
      <w:r w:rsidR="00E30654" w:rsidRPr="00B323C8">
        <w:t>” who were politically “liberal</w:t>
      </w:r>
      <w:r w:rsidR="00BC2EC9" w:rsidRPr="00B323C8">
        <w:t>,</w:t>
      </w:r>
      <w:r w:rsidR="00E30654" w:rsidRPr="00B323C8">
        <w:t>”</w:t>
      </w:r>
      <w:r w:rsidR="000E646B" w:rsidRPr="00B323C8">
        <w:t xml:space="preserve"> thus “mak</w:t>
      </w:r>
      <w:r w:rsidR="00BC2EC9" w:rsidRPr="00B323C8">
        <w:t>[ing]</w:t>
      </w:r>
      <w:r w:rsidR="000E646B" w:rsidRPr="00B323C8">
        <w:t xml:space="preserve"> the world a better place.”</w:t>
      </w:r>
      <w:r w:rsidR="00E30654" w:rsidRPr="00B323C8">
        <w:t xml:space="preserve">  </w:t>
      </w:r>
      <w:r w:rsidR="0012447B" w:rsidRPr="00B323C8">
        <w:t>In addition, o</w:t>
      </w:r>
      <w:r w:rsidR="006979F5" w:rsidRPr="00B323C8">
        <w:t>n June 4</w:t>
      </w:r>
      <w:r w:rsidR="000356DA" w:rsidRPr="00B323C8">
        <w:t>, 2</w:t>
      </w:r>
      <w:r w:rsidR="006979F5" w:rsidRPr="00B323C8">
        <w:t>009</w:t>
      </w:r>
      <w:r w:rsidR="00BC2EC9" w:rsidRPr="00B323C8">
        <w:t xml:space="preserve"> (shortly before jury selection)</w:t>
      </w:r>
      <w:r w:rsidR="006979F5" w:rsidRPr="00B323C8">
        <w:t xml:space="preserve">, officers searched </w:t>
      </w:r>
      <w:r w:rsidR="00C20013" w:rsidRPr="00B323C8">
        <w:t>d</w:t>
      </w:r>
      <w:r w:rsidR="006979F5" w:rsidRPr="00B323C8">
        <w:t>efendant</w:t>
      </w:r>
      <w:r w:rsidR="00486D6E">
        <w:t>’</w:t>
      </w:r>
      <w:r w:rsidR="006979F5" w:rsidRPr="00B323C8">
        <w:t>s jail cell and found</w:t>
      </w:r>
      <w:r w:rsidR="00C20013" w:rsidRPr="00B323C8">
        <w:t xml:space="preserve"> </w:t>
      </w:r>
      <w:r w:rsidR="006979F5" w:rsidRPr="00B323C8">
        <w:t>handwritten poetry</w:t>
      </w:r>
      <w:r w:rsidR="007733E0" w:rsidRPr="00B323C8">
        <w:t xml:space="preserve">.  </w:t>
      </w:r>
      <w:r w:rsidR="000E646B" w:rsidRPr="00B323C8">
        <w:t>The poems were in the form of confessions, describing the murders in a triumphant tone and with gruesome detail.</w:t>
      </w:r>
    </w:p>
    <w:p w14:paraId="5A0D2E27" w14:textId="470FE62A" w:rsidR="006979F5" w:rsidRPr="00B323C8" w:rsidRDefault="00F62DC6" w:rsidP="00B323C8">
      <w:pPr>
        <w:pStyle w:val="Heading3"/>
      </w:pPr>
      <w:bookmarkStart w:id="5" w:name="_Toc66715088"/>
      <w:r w:rsidRPr="00B323C8">
        <w:t>2</w:t>
      </w:r>
      <w:r w:rsidR="00F42D22" w:rsidRPr="00B323C8">
        <w:t xml:space="preserve">. </w:t>
      </w:r>
      <w:r w:rsidR="0055763A" w:rsidRPr="00B323C8">
        <w:t xml:space="preserve">The </w:t>
      </w:r>
      <w:r w:rsidR="006979F5" w:rsidRPr="00B323C8">
        <w:t>Defense Case</w:t>
      </w:r>
      <w:bookmarkEnd w:id="5"/>
    </w:p>
    <w:p w14:paraId="46B06D54" w14:textId="536DA5B4" w:rsidR="00BC607E" w:rsidRPr="00B323C8" w:rsidRDefault="00F62DC6" w:rsidP="00B323C8">
      <w:pPr>
        <w:pStyle w:val="Heading4"/>
      </w:pPr>
      <w:r w:rsidRPr="00B323C8">
        <w:t>a</w:t>
      </w:r>
      <w:r w:rsidR="00BC607E" w:rsidRPr="00B323C8">
        <w:t>. Defendant</w:t>
      </w:r>
      <w:r w:rsidR="00D61F82" w:rsidRPr="00B323C8">
        <w:t>’</w:t>
      </w:r>
      <w:r w:rsidR="00BC607E" w:rsidRPr="00B323C8">
        <w:t>s Testimony</w:t>
      </w:r>
    </w:p>
    <w:p w14:paraId="2F03466F" w14:textId="2E6A680E" w:rsidR="0096087F" w:rsidRPr="00B323C8" w:rsidRDefault="006E654D" w:rsidP="00B323C8">
      <w:pPr>
        <w:tabs>
          <w:tab w:val="left" w:pos="1440"/>
        </w:tabs>
        <w:ind w:firstLine="720"/>
      </w:pPr>
      <w:r w:rsidRPr="00B323C8">
        <w:t xml:space="preserve">As noted, defendant represented himself </w:t>
      </w:r>
      <w:r w:rsidR="001B65ED" w:rsidRPr="00B323C8">
        <w:t>and testified during his trial.</w:t>
      </w:r>
      <w:r w:rsidR="00C375C8" w:rsidRPr="00B323C8">
        <w:t xml:space="preserve">  </w:t>
      </w:r>
      <w:r w:rsidR="005B248D" w:rsidRPr="00B323C8">
        <w:t xml:space="preserve">His </w:t>
      </w:r>
      <w:r w:rsidR="0065537A" w:rsidRPr="00B323C8">
        <w:t xml:space="preserve">apparent </w:t>
      </w:r>
      <w:r w:rsidR="005B248D" w:rsidRPr="00B323C8">
        <w:t xml:space="preserve">strategy was to </w:t>
      </w:r>
      <w:r w:rsidR="00D353DD" w:rsidRPr="00B323C8">
        <w:t>relate</w:t>
      </w:r>
      <w:r w:rsidR="001B65ED" w:rsidRPr="00B323C8">
        <w:t xml:space="preserve"> </w:t>
      </w:r>
      <w:r w:rsidR="00481F57" w:rsidRPr="00B323C8">
        <w:t xml:space="preserve">the entire story of his </w:t>
      </w:r>
      <w:r w:rsidR="00BE07FB" w:rsidRPr="00B323C8">
        <w:t xml:space="preserve">lifelong </w:t>
      </w:r>
      <w:r w:rsidR="00481F57" w:rsidRPr="00B323C8">
        <w:t>relationship with his sister</w:t>
      </w:r>
      <w:r w:rsidR="00D8737A" w:rsidRPr="00B323C8">
        <w:t>, hoping</w:t>
      </w:r>
      <w:r w:rsidR="006D2323" w:rsidRPr="00B323C8">
        <w:t xml:space="preserve"> </w:t>
      </w:r>
      <w:r w:rsidR="007733EC" w:rsidRPr="00B323C8">
        <w:t xml:space="preserve">to persuade the jury that he </w:t>
      </w:r>
      <w:r w:rsidR="006D2323" w:rsidRPr="00B323C8">
        <w:t xml:space="preserve">only </w:t>
      </w:r>
      <w:r w:rsidR="007733EC" w:rsidRPr="00B323C8">
        <w:t xml:space="preserve">did what </w:t>
      </w:r>
      <w:r w:rsidR="00657EE5" w:rsidRPr="00B323C8">
        <w:t xml:space="preserve">needed </w:t>
      </w:r>
      <w:r w:rsidR="007733EC" w:rsidRPr="00B323C8">
        <w:t>to be done</w:t>
      </w:r>
      <w:r w:rsidR="00D8737A" w:rsidRPr="00B323C8">
        <w:t xml:space="preserve">.  </w:t>
      </w:r>
      <w:r w:rsidR="00C14F59" w:rsidRPr="00B323C8">
        <w:t>T</w:t>
      </w:r>
      <w:r w:rsidR="00976799" w:rsidRPr="00B323C8">
        <w:t>he trial court allowed the testimony</w:t>
      </w:r>
      <w:r w:rsidR="00385390" w:rsidRPr="00B323C8">
        <w:t> </w:t>
      </w:r>
      <w:r w:rsidR="002C5397" w:rsidRPr="00B323C8">
        <w:t>—</w:t>
      </w:r>
      <w:r w:rsidR="00385390" w:rsidRPr="00B323C8">
        <w:t xml:space="preserve"> </w:t>
      </w:r>
      <w:r w:rsidR="008C1BE9" w:rsidRPr="00B323C8">
        <w:t xml:space="preserve">which </w:t>
      </w:r>
      <w:r w:rsidR="00976799" w:rsidRPr="00B323C8">
        <w:t>includ</w:t>
      </w:r>
      <w:r w:rsidR="008C1BE9" w:rsidRPr="00B323C8">
        <w:t>ed</w:t>
      </w:r>
      <w:r w:rsidR="00976799" w:rsidRPr="00B323C8">
        <w:t xml:space="preserve"> </w:t>
      </w:r>
      <w:r w:rsidR="004161EB" w:rsidRPr="00B323C8">
        <w:t xml:space="preserve">lots of </w:t>
      </w:r>
      <w:r w:rsidR="00C14F59" w:rsidRPr="00B323C8">
        <w:t>side</w:t>
      </w:r>
      <w:r w:rsidR="001C4489" w:rsidRPr="00B323C8">
        <w:t xml:space="preserve"> </w:t>
      </w:r>
      <w:r w:rsidR="00C14F59" w:rsidRPr="00B323C8">
        <w:t xml:space="preserve">stories, </w:t>
      </w:r>
      <w:r w:rsidR="00976799" w:rsidRPr="00B323C8">
        <w:t>hearsay</w:t>
      </w:r>
      <w:r w:rsidR="00C14F59" w:rsidRPr="00B323C8">
        <w:t>,</w:t>
      </w:r>
      <w:r w:rsidR="00976799" w:rsidRPr="00B323C8">
        <w:t xml:space="preserve"> and </w:t>
      </w:r>
      <w:r w:rsidR="0096087F" w:rsidRPr="00B323C8">
        <w:t>s</w:t>
      </w:r>
      <w:r w:rsidR="00976799" w:rsidRPr="00B323C8">
        <w:t>peculation</w:t>
      </w:r>
      <w:r w:rsidR="00385390" w:rsidRPr="00B323C8">
        <w:t> </w:t>
      </w:r>
      <w:r w:rsidR="002C5397" w:rsidRPr="00B323C8">
        <w:t>—</w:t>
      </w:r>
      <w:r w:rsidR="00385390" w:rsidRPr="00B323C8">
        <w:t xml:space="preserve"> </w:t>
      </w:r>
      <w:r w:rsidR="00976799" w:rsidRPr="00B323C8">
        <w:t xml:space="preserve">for the limited purpose of </w:t>
      </w:r>
      <w:r w:rsidR="00E55787" w:rsidRPr="00B323C8">
        <w:t xml:space="preserve">enabling the </w:t>
      </w:r>
      <w:r w:rsidR="00976799" w:rsidRPr="00B323C8">
        <w:t xml:space="preserve">jury to evaluate </w:t>
      </w:r>
      <w:r w:rsidR="005444FA" w:rsidRPr="00B323C8">
        <w:t>defendant</w:t>
      </w:r>
      <w:r w:rsidR="00D61F82" w:rsidRPr="00B323C8">
        <w:t>’</w:t>
      </w:r>
      <w:r w:rsidR="005444FA" w:rsidRPr="00B323C8">
        <w:t xml:space="preserve">s </w:t>
      </w:r>
      <w:r w:rsidR="00976799" w:rsidRPr="00B323C8">
        <w:t>state of mind at the time of the murders.</w:t>
      </w:r>
      <w:r w:rsidR="001C4489" w:rsidRPr="00B323C8">
        <w:t xml:space="preserve">  </w:t>
      </w:r>
      <w:r w:rsidR="00E55787" w:rsidRPr="00B323C8">
        <w:t>Defendant</w:t>
      </w:r>
      <w:r w:rsidR="00D61F82" w:rsidRPr="00B323C8">
        <w:t>’</w:t>
      </w:r>
      <w:r w:rsidR="000E646B" w:rsidRPr="00B323C8">
        <w:t xml:space="preserve">s testimony repeated the details </w:t>
      </w:r>
      <w:r w:rsidR="00AB6562" w:rsidRPr="00B323C8">
        <w:t>that he had described in his police interview</w:t>
      </w:r>
      <w:r w:rsidR="000E646B" w:rsidRPr="00B323C8">
        <w:t xml:space="preserve">.  </w:t>
      </w:r>
      <w:r w:rsidR="00976799" w:rsidRPr="00B323C8">
        <w:t xml:space="preserve">He generally portrayed </w:t>
      </w:r>
      <w:r w:rsidR="0096087F" w:rsidRPr="00B323C8">
        <w:t xml:space="preserve">Julie </w:t>
      </w:r>
      <w:r w:rsidR="00976799" w:rsidRPr="00B323C8">
        <w:t xml:space="preserve">as </w:t>
      </w:r>
      <w:r w:rsidR="00D353DD" w:rsidRPr="00B323C8">
        <w:t xml:space="preserve">manipulative </w:t>
      </w:r>
      <w:r w:rsidR="00976799" w:rsidRPr="00B323C8">
        <w:t xml:space="preserve">and selfish, </w:t>
      </w:r>
      <w:r w:rsidR="00E55787" w:rsidRPr="00B323C8">
        <w:t xml:space="preserve">seeking to cheat </w:t>
      </w:r>
      <w:r w:rsidR="00E55787" w:rsidRPr="00B323C8">
        <w:lastRenderedPageBreak/>
        <w:t xml:space="preserve">him out of his inheritance, </w:t>
      </w:r>
      <w:r w:rsidR="00976799" w:rsidRPr="00B323C8">
        <w:t xml:space="preserve">and he portrayed Paul as </w:t>
      </w:r>
      <w:r w:rsidR="008C1BE9" w:rsidRPr="00B323C8">
        <w:t xml:space="preserve">weak </w:t>
      </w:r>
      <w:r w:rsidR="00E55787" w:rsidRPr="00B323C8">
        <w:t>and closely allied with Julie in her effort to cheat him.</w:t>
      </w:r>
    </w:p>
    <w:p w14:paraId="2B5A1B69" w14:textId="5793AA9E" w:rsidR="006979F5" w:rsidRPr="00B323C8" w:rsidRDefault="00061474" w:rsidP="00B323C8">
      <w:pPr>
        <w:tabs>
          <w:tab w:val="left" w:pos="1440"/>
        </w:tabs>
        <w:ind w:firstLine="720"/>
      </w:pPr>
      <w:r w:rsidRPr="00B323C8">
        <w:t xml:space="preserve">Eventually, defendant decided to kill his sister, but he </w:t>
      </w:r>
      <w:r w:rsidR="00261824" w:rsidRPr="00B323C8">
        <w:t>thought it was a “big thing”</w:t>
      </w:r>
      <w:r w:rsidR="00D60CE2" w:rsidRPr="00B323C8">
        <w:t xml:space="preserve"> to do,</w:t>
      </w:r>
      <w:r w:rsidRPr="00B323C8">
        <w:t xml:space="preserve"> </w:t>
      </w:r>
      <w:r w:rsidR="00261824" w:rsidRPr="00B323C8">
        <w:t xml:space="preserve">so he climbed </w:t>
      </w:r>
      <w:r w:rsidR="001961ED" w:rsidRPr="00B323C8">
        <w:t xml:space="preserve">a hill </w:t>
      </w:r>
      <w:r w:rsidR="00DF654B" w:rsidRPr="00B323C8">
        <w:t xml:space="preserve">in the desert near Mojave </w:t>
      </w:r>
      <w:r w:rsidR="00261824" w:rsidRPr="00B323C8">
        <w:t>and prayed about it.</w:t>
      </w:r>
      <w:r w:rsidR="00860350" w:rsidRPr="00B323C8">
        <w:t xml:space="preserve">  </w:t>
      </w:r>
      <w:r w:rsidR="00261824" w:rsidRPr="00B323C8">
        <w:t xml:space="preserve">He asked God to </w:t>
      </w:r>
      <w:r w:rsidR="00766CE2" w:rsidRPr="00B323C8">
        <w:t>intervene</w:t>
      </w:r>
      <w:r w:rsidR="006E0FD6" w:rsidRPr="00B323C8">
        <w:t xml:space="preserve"> to stop him</w:t>
      </w:r>
      <w:r w:rsidR="00385390" w:rsidRPr="00B323C8">
        <w:t> </w:t>
      </w:r>
      <w:r w:rsidR="002C5397" w:rsidRPr="00B323C8">
        <w:t>—</w:t>
      </w:r>
      <w:r w:rsidR="00385390" w:rsidRPr="00B323C8">
        <w:t xml:space="preserve"> </w:t>
      </w:r>
      <w:r w:rsidR="00AC6E07" w:rsidRPr="00B323C8">
        <w:t xml:space="preserve">perhaps </w:t>
      </w:r>
      <w:r w:rsidR="00DF654B" w:rsidRPr="00B323C8">
        <w:t xml:space="preserve">by creating a </w:t>
      </w:r>
      <w:r w:rsidR="00AC6E07" w:rsidRPr="00B323C8">
        <w:t>traffic accident</w:t>
      </w:r>
      <w:r w:rsidR="00385390" w:rsidRPr="00B323C8">
        <w:t> </w:t>
      </w:r>
      <w:r w:rsidR="002C5397" w:rsidRPr="00B323C8">
        <w:t>—</w:t>
      </w:r>
      <w:r w:rsidR="00385390" w:rsidRPr="00B323C8">
        <w:t xml:space="preserve"> </w:t>
      </w:r>
      <w:r w:rsidR="00261824" w:rsidRPr="00B323C8">
        <w:t xml:space="preserve">if </w:t>
      </w:r>
      <w:r w:rsidR="00B1230D" w:rsidRPr="00B323C8">
        <w:t xml:space="preserve">God did not want him to </w:t>
      </w:r>
      <w:r w:rsidR="0096087F" w:rsidRPr="00B323C8">
        <w:t>follow through with his plan</w:t>
      </w:r>
      <w:r w:rsidR="00261824" w:rsidRPr="00B323C8">
        <w:t xml:space="preserve">.  </w:t>
      </w:r>
      <w:r w:rsidR="00AC6E07" w:rsidRPr="00B323C8">
        <w:t>T</w:t>
      </w:r>
      <w:r w:rsidR="00261824" w:rsidRPr="00B323C8">
        <w:t xml:space="preserve">hen </w:t>
      </w:r>
      <w:r w:rsidR="00766CE2" w:rsidRPr="00B323C8">
        <w:t xml:space="preserve">he </w:t>
      </w:r>
      <w:r w:rsidR="00261824" w:rsidRPr="00B323C8">
        <w:t xml:space="preserve">heard a rumbling sound in the sky.  </w:t>
      </w:r>
      <w:r w:rsidR="00AC6E07" w:rsidRPr="00B323C8">
        <w:t xml:space="preserve">(Edwards Air Force Base is </w:t>
      </w:r>
      <w:r w:rsidR="00766CE2" w:rsidRPr="00B323C8">
        <w:t>located near Mojave</w:t>
      </w:r>
      <w:r w:rsidR="004D621E" w:rsidRPr="00B323C8">
        <w:t xml:space="preserve">.)  </w:t>
      </w:r>
      <w:r w:rsidR="00AC6E07" w:rsidRPr="00B323C8">
        <w:t>Defendant understood the rumble to mean “prayer received</w:t>
      </w:r>
      <w:r w:rsidR="004D621E" w:rsidRPr="00B323C8">
        <w:t>,</w:t>
      </w:r>
      <w:r w:rsidR="00AC6E07" w:rsidRPr="00B323C8">
        <w:t>”</w:t>
      </w:r>
      <w:r w:rsidR="004D621E" w:rsidRPr="00B323C8">
        <w:t xml:space="preserve"> and during </w:t>
      </w:r>
      <w:r w:rsidR="00AC6E07" w:rsidRPr="00B323C8">
        <w:t xml:space="preserve">the </w:t>
      </w:r>
      <w:r w:rsidR="00C719A5" w:rsidRPr="00B323C8">
        <w:t xml:space="preserve">next </w:t>
      </w:r>
      <w:r w:rsidR="00AC6E07" w:rsidRPr="00B323C8">
        <w:t>week</w:t>
      </w:r>
      <w:r w:rsidR="004D621E" w:rsidRPr="00B323C8">
        <w:t>, everything was normal</w:t>
      </w:r>
      <w:r w:rsidR="00385390" w:rsidRPr="00B323C8">
        <w:t> </w:t>
      </w:r>
      <w:r w:rsidR="00F50941" w:rsidRPr="00B323C8">
        <w:t>—</w:t>
      </w:r>
      <w:r w:rsidR="00385390" w:rsidRPr="00B323C8">
        <w:t xml:space="preserve"> </w:t>
      </w:r>
      <w:r w:rsidR="00F50941" w:rsidRPr="00B323C8">
        <w:t xml:space="preserve">that is, there was no unusual circumstance that </w:t>
      </w:r>
      <w:r w:rsidR="00F5174C" w:rsidRPr="00B323C8">
        <w:t>obstructed defendant</w:t>
      </w:r>
      <w:r w:rsidR="00D61F82" w:rsidRPr="00B323C8">
        <w:t>’</w:t>
      </w:r>
      <w:r w:rsidR="00F5174C" w:rsidRPr="00B323C8">
        <w:t>s plan</w:t>
      </w:r>
      <w:r w:rsidR="004D621E" w:rsidRPr="00B323C8">
        <w:t xml:space="preserve">.  </w:t>
      </w:r>
      <w:r w:rsidR="00C719A5" w:rsidRPr="00B323C8">
        <w:t>T</w:t>
      </w:r>
      <w:r w:rsidR="00AC6E07" w:rsidRPr="00B323C8">
        <w:t>hen</w:t>
      </w:r>
      <w:r w:rsidR="00C719A5" w:rsidRPr="00B323C8">
        <w:t>,</w:t>
      </w:r>
      <w:r w:rsidR="00AC6E07" w:rsidRPr="00B323C8">
        <w:t xml:space="preserve"> Julie, who was having her house renovated and needed to store excess furniture, arranged to have a piano shipped to </w:t>
      </w:r>
      <w:r w:rsidR="005110F5" w:rsidRPr="00B323C8">
        <w:t>defendant’s home in</w:t>
      </w:r>
      <w:r w:rsidR="00AC6E07" w:rsidRPr="00B323C8">
        <w:t xml:space="preserve"> Citrus Heights.  Defendant recalled that 20 years before, when his father </w:t>
      </w:r>
      <w:r w:rsidR="006146B6" w:rsidRPr="00B323C8">
        <w:t xml:space="preserve">had </w:t>
      </w:r>
      <w:r w:rsidR="00AC6E07" w:rsidRPr="00B323C8">
        <w:t xml:space="preserve">knocked down his grandmother, the underlying </w:t>
      </w:r>
      <w:r w:rsidR="00D60CE2" w:rsidRPr="00B323C8">
        <w:t>dispute</w:t>
      </w:r>
      <w:r w:rsidR="00AC6E07" w:rsidRPr="00B323C8">
        <w:t xml:space="preserve"> </w:t>
      </w:r>
      <w:r w:rsidR="00B85F03" w:rsidRPr="00B323C8">
        <w:t xml:space="preserve">between his father and his grandmother </w:t>
      </w:r>
      <w:r w:rsidR="00AC6E07" w:rsidRPr="00B323C8">
        <w:t>had been about moving a piece of furniture.</w:t>
      </w:r>
      <w:r w:rsidR="00263384" w:rsidRPr="00B323C8">
        <w:t xml:space="preserve">  </w:t>
      </w:r>
      <w:r w:rsidR="00B1230D" w:rsidRPr="00B323C8">
        <w:t xml:space="preserve">In </w:t>
      </w:r>
      <w:r w:rsidR="00AC6E07" w:rsidRPr="00B323C8">
        <w:t>defendant</w:t>
      </w:r>
      <w:r w:rsidR="00D61F82" w:rsidRPr="00B323C8">
        <w:t>’</w:t>
      </w:r>
      <w:r w:rsidR="00B1230D" w:rsidRPr="00B323C8">
        <w:t>s mind</w:t>
      </w:r>
      <w:r w:rsidR="00AC6E07" w:rsidRPr="00B323C8">
        <w:t>, Julie</w:t>
      </w:r>
      <w:r w:rsidR="00D61F82" w:rsidRPr="00B323C8">
        <w:t>’</w:t>
      </w:r>
      <w:r w:rsidR="00AC6E07" w:rsidRPr="00B323C8">
        <w:t xml:space="preserve">s decision to </w:t>
      </w:r>
      <w:r w:rsidR="004D621E" w:rsidRPr="00B323C8">
        <w:t xml:space="preserve">move </w:t>
      </w:r>
      <w:r w:rsidR="00AC6E07" w:rsidRPr="00B323C8">
        <w:t xml:space="preserve">the piano </w:t>
      </w:r>
      <w:r w:rsidR="00263384" w:rsidRPr="00B323C8">
        <w:t>“match</w:t>
      </w:r>
      <w:r w:rsidR="004D621E" w:rsidRPr="00B323C8">
        <w:t>ed.</w:t>
      </w:r>
      <w:r w:rsidR="00263384" w:rsidRPr="00B323C8">
        <w:t>”</w:t>
      </w:r>
      <w:r w:rsidR="00860350" w:rsidRPr="00B323C8">
        <w:t xml:space="preserve">  </w:t>
      </w:r>
      <w:r w:rsidR="00B1230D" w:rsidRPr="00B323C8">
        <w:t>D</w:t>
      </w:r>
      <w:r w:rsidR="004D621E" w:rsidRPr="00B323C8">
        <w:t xml:space="preserve">efendant </w:t>
      </w:r>
      <w:r w:rsidR="00255536" w:rsidRPr="00B323C8">
        <w:t>told the jury</w:t>
      </w:r>
      <w:r w:rsidR="00AC6E07" w:rsidRPr="00B323C8">
        <w:t>:  “Now, if that is not a sign from God to kill Julie and Paul, then I don</w:t>
      </w:r>
      <w:r w:rsidR="00D61F82" w:rsidRPr="00B323C8">
        <w:t>’</w:t>
      </w:r>
      <w:r w:rsidR="00AC6E07" w:rsidRPr="00B323C8">
        <w:t>t know what is.”</w:t>
      </w:r>
    </w:p>
    <w:p w14:paraId="3ADA491C" w14:textId="1ECCFC95" w:rsidR="006979F5" w:rsidRPr="00B323C8" w:rsidRDefault="00F62DC6" w:rsidP="00B323C8">
      <w:pPr>
        <w:pStyle w:val="Heading4"/>
      </w:pPr>
      <w:r w:rsidRPr="00B323C8">
        <w:t>b</w:t>
      </w:r>
      <w:r w:rsidR="00F42D22" w:rsidRPr="00B323C8">
        <w:t xml:space="preserve">. </w:t>
      </w:r>
      <w:r w:rsidR="006979F5" w:rsidRPr="00B323C8">
        <w:t>Cross-examination</w:t>
      </w:r>
    </w:p>
    <w:p w14:paraId="6E721266" w14:textId="78D51F94" w:rsidR="007B73EF" w:rsidRPr="00B323C8" w:rsidRDefault="006979F5" w:rsidP="00B323C8">
      <w:pPr>
        <w:tabs>
          <w:tab w:val="left" w:pos="1440"/>
        </w:tabs>
        <w:ind w:firstLine="720"/>
      </w:pPr>
      <w:r w:rsidRPr="00B323C8">
        <w:t>On cross-examination,</w:t>
      </w:r>
      <w:r w:rsidR="008A1D7A" w:rsidRPr="00B323C8">
        <w:t xml:space="preserve"> </w:t>
      </w:r>
      <w:r w:rsidR="00BC607E" w:rsidRPr="00B323C8">
        <w:t>d</w:t>
      </w:r>
      <w:r w:rsidRPr="00B323C8">
        <w:t xml:space="preserve">efendant </w:t>
      </w:r>
      <w:r w:rsidR="00B47A54" w:rsidRPr="00B323C8">
        <w:t xml:space="preserve">readily admitted that he planned and intended </w:t>
      </w:r>
      <w:r w:rsidR="00731CFC" w:rsidRPr="00B323C8">
        <w:t xml:space="preserve">both </w:t>
      </w:r>
      <w:r w:rsidR="00B47A54" w:rsidRPr="00B323C8">
        <w:t xml:space="preserve">murders, and he </w:t>
      </w:r>
      <w:r w:rsidR="007B73EF" w:rsidRPr="00B323C8">
        <w:t xml:space="preserve">added </w:t>
      </w:r>
      <w:r w:rsidR="00B47A54" w:rsidRPr="00B323C8">
        <w:t xml:space="preserve">that he would celebrate </w:t>
      </w:r>
      <w:r w:rsidR="00731CFC" w:rsidRPr="00B323C8">
        <w:t>them</w:t>
      </w:r>
      <w:r w:rsidR="00B47A54" w:rsidRPr="00B323C8">
        <w:t>.  The prosecutor asked:  “You mean the fact that they died on January 31st, you</w:t>
      </w:r>
      <w:r w:rsidR="00D61F82" w:rsidRPr="00B323C8">
        <w:t>’</w:t>
      </w:r>
      <w:r w:rsidR="00B47A54" w:rsidRPr="00B323C8">
        <w:t xml:space="preserve">re going to celebrate that?” </w:t>
      </w:r>
      <w:r w:rsidR="00860350" w:rsidRPr="00B323C8">
        <w:t xml:space="preserve"> </w:t>
      </w:r>
      <w:r w:rsidR="00B47A54" w:rsidRPr="00B323C8">
        <w:t>Defendant responded:  “Oh, of course.  You know, . . . it</w:t>
      </w:r>
      <w:r w:rsidR="00D61F82" w:rsidRPr="00B323C8">
        <w:t>’</w:t>
      </w:r>
      <w:r w:rsidR="00B47A54" w:rsidRPr="00B323C8">
        <w:t xml:space="preserve">s not a good thing to have to do, but, you know, it had to be done.  But, you know, it is something to celebrate when you get some </w:t>
      </w:r>
      <w:r w:rsidR="00B47A54" w:rsidRPr="00B323C8">
        <w:lastRenderedPageBreak/>
        <w:t>awful person that is ruining people</w:t>
      </w:r>
      <w:r w:rsidR="00D61F82" w:rsidRPr="00B323C8">
        <w:t>’</w:t>
      </w:r>
      <w:r w:rsidR="00B47A54" w:rsidRPr="00B323C8">
        <w:t>s lives, . . . and you make a correction like that.”</w:t>
      </w:r>
    </w:p>
    <w:p w14:paraId="4D8E0368" w14:textId="3D91C974" w:rsidR="006979F5" w:rsidRPr="00B323C8" w:rsidRDefault="007B73EF" w:rsidP="00B323C8">
      <w:pPr>
        <w:tabs>
          <w:tab w:val="left" w:pos="1440"/>
        </w:tabs>
        <w:ind w:firstLine="720"/>
      </w:pPr>
      <w:r w:rsidRPr="00B323C8">
        <w:t xml:space="preserve">Defendant also </w:t>
      </w:r>
      <w:r w:rsidR="00061474" w:rsidRPr="00B323C8">
        <w:t>said a</w:t>
      </w:r>
      <w:r w:rsidR="00D13A20" w:rsidRPr="00B323C8">
        <w:t xml:space="preserve">bout </w:t>
      </w:r>
      <w:r w:rsidR="00730E94" w:rsidRPr="00B323C8">
        <w:t>Julie and Paul</w:t>
      </w:r>
      <w:r w:rsidR="00D61F82" w:rsidRPr="00B323C8">
        <w:t>’</w:t>
      </w:r>
      <w:r w:rsidR="00730E94" w:rsidRPr="00B323C8">
        <w:t xml:space="preserve">s </w:t>
      </w:r>
      <w:r w:rsidR="00D13A20" w:rsidRPr="00B323C8">
        <w:t>deaths:  “I</w:t>
      </w:r>
      <w:r w:rsidR="00D61F82" w:rsidRPr="00B323C8">
        <w:t>’</w:t>
      </w:r>
      <w:r w:rsidR="00D13A20" w:rsidRPr="00B323C8">
        <w:t xml:space="preserve">m proud of that.  I accomplished something.”  </w:t>
      </w:r>
      <w:r w:rsidR="00192C97" w:rsidRPr="00B323C8">
        <w:t xml:space="preserve">He </w:t>
      </w:r>
      <w:r w:rsidR="0069066E" w:rsidRPr="00B323C8">
        <w:t xml:space="preserve">expressed anger </w:t>
      </w:r>
      <w:r w:rsidR="00192C97" w:rsidRPr="00B323C8">
        <w:t xml:space="preserve">that </w:t>
      </w:r>
      <w:r w:rsidR="00B67E4E" w:rsidRPr="00B323C8">
        <w:t xml:space="preserve">Julie </w:t>
      </w:r>
      <w:r w:rsidR="00901E44">
        <w:t>did not</w:t>
      </w:r>
      <w:r w:rsidR="00B67E4E" w:rsidRPr="00B323C8">
        <w:t xml:space="preserve"> work</w:t>
      </w:r>
      <w:r w:rsidR="00A97C6D" w:rsidRPr="00B323C8">
        <w:t xml:space="preserve">, </w:t>
      </w:r>
      <w:r w:rsidR="00724520" w:rsidRPr="00B323C8">
        <w:t xml:space="preserve">though </w:t>
      </w:r>
      <w:r w:rsidR="00192C97" w:rsidRPr="00B323C8">
        <w:t xml:space="preserve">his parents </w:t>
      </w:r>
      <w:r w:rsidR="005D1A56" w:rsidRPr="00B323C8">
        <w:t xml:space="preserve">had </w:t>
      </w:r>
      <w:r w:rsidR="00192C97" w:rsidRPr="00B323C8">
        <w:t>paid for Julie to go to college</w:t>
      </w:r>
      <w:r w:rsidR="00A27042" w:rsidRPr="00B323C8">
        <w:t xml:space="preserve">, </w:t>
      </w:r>
      <w:r w:rsidR="00192C97" w:rsidRPr="00B323C8">
        <w:t xml:space="preserve">whereas he </w:t>
      </w:r>
      <w:r w:rsidR="00B67E4E" w:rsidRPr="00B323C8">
        <w:t>worked</w:t>
      </w:r>
      <w:r w:rsidR="00C94ED1" w:rsidRPr="00B323C8">
        <w:t xml:space="preserve">, </w:t>
      </w:r>
      <w:r w:rsidR="00B67E4E" w:rsidRPr="00B323C8">
        <w:t xml:space="preserve">and he had </w:t>
      </w:r>
      <w:r w:rsidR="00192C97" w:rsidRPr="00B323C8">
        <w:t xml:space="preserve">paid </w:t>
      </w:r>
      <w:r w:rsidR="00724520" w:rsidRPr="00B323C8">
        <w:t xml:space="preserve">his own way through </w:t>
      </w:r>
      <w:r w:rsidR="00192C97" w:rsidRPr="00B323C8">
        <w:t>trucking school.</w:t>
      </w:r>
      <w:r w:rsidR="006E377F" w:rsidRPr="00B323C8">
        <w:t xml:space="preserve">  </w:t>
      </w:r>
    </w:p>
    <w:p w14:paraId="4BDCB5B2" w14:textId="0D690B92" w:rsidR="002F6508" w:rsidRPr="00B323C8" w:rsidRDefault="00F62DC6" w:rsidP="00B323C8">
      <w:pPr>
        <w:pStyle w:val="Heading3"/>
      </w:pPr>
      <w:bookmarkStart w:id="6" w:name="_Toc66715089"/>
      <w:r w:rsidRPr="00B323C8">
        <w:t>3</w:t>
      </w:r>
      <w:r w:rsidR="002F6508" w:rsidRPr="00B323C8">
        <w:t>. Closing Argument</w:t>
      </w:r>
      <w:bookmarkEnd w:id="6"/>
    </w:p>
    <w:p w14:paraId="3CE1BC47" w14:textId="2C3DDE55" w:rsidR="003B2CB9" w:rsidRPr="00B323C8" w:rsidRDefault="00686ECF" w:rsidP="00B323C8">
      <w:pPr>
        <w:tabs>
          <w:tab w:val="left" w:pos="1440"/>
        </w:tabs>
        <w:ind w:firstLine="720"/>
      </w:pPr>
      <w:r w:rsidRPr="00B323C8">
        <w:t>Defendant began his closing argument by asserting that the prosecutor was a “bad little man”</w:t>
      </w:r>
      <w:r w:rsidR="00A07290" w:rsidRPr="00B323C8">
        <w:t xml:space="preserve"> for </w:t>
      </w:r>
      <w:r w:rsidR="00B4709C" w:rsidRPr="00B323C8">
        <w:t>present</w:t>
      </w:r>
      <w:r w:rsidR="00A07290" w:rsidRPr="00B323C8">
        <w:t>ing</w:t>
      </w:r>
      <w:r w:rsidR="00B4709C" w:rsidRPr="00B323C8">
        <w:t xml:space="preserve"> </w:t>
      </w:r>
      <w:r w:rsidRPr="00B323C8">
        <w:t>trial exhibits that depicted Julie</w:t>
      </w:r>
      <w:r w:rsidR="00D61F82" w:rsidRPr="00B323C8">
        <w:t>’</w:t>
      </w:r>
      <w:r w:rsidRPr="00B323C8">
        <w:t xml:space="preserve">s naked </w:t>
      </w:r>
      <w:r w:rsidR="005D56E5" w:rsidRPr="00B323C8">
        <w:t xml:space="preserve">dead </w:t>
      </w:r>
      <w:r w:rsidRPr="00B323C8">
        <w:t>body.</w:t>
      </w:r>
      <w:r w:rsidR="00C6442C" w:rsidRPr="00B323C8">
        <w:t xml:space="preserve">  </w:t>
      </w:r>
      <w:r w:rsidR="00B413FF" w:rsidRPr="00B323C8">
        <w:t xml:space="preserve">He </w:t>
      </w:r>
      <w:r w:rsidR="00A07290" w:rsidRPr="00B323C8">
        <w:t xml:space="preserve">also </w:t>
      </w:r>
      <w:r w:rsidR="00B413FF" w:rsidRPr="00B323C8">
        <w:t>called the prosecutor the “persecutor</w:t>
      </w:r>
      <w:r w:rsidR="00C6442C" w:rsidRPr="00B323C8">
        <w:t>,</w:t>
      </w:r>
      <w:r w:rsidR="00B413FF" w:rsidRPr="00B323C8">
        <w:t>”</w:t>
      </w:r>
      <w:r w:rsidR="008B65FC" w:rsidRPr="00B323C8">
        <w:t xml:space="preserve"> </w:t>
      </w:r>
      <w:r w:rsidR="005D1A56" w:rsidRPr="00B323C8">
        <w:t xml:space="preserve">which </w:t>
      </w:r>
      <w:r w:rsidR="00B4709C" w:rsidRPr="00B323C8">
        <w:t xml:space="preserve">was </w:t>
      </w:r>
      <w:r w:rsidR="005D1A56" w:rsidRPr="00B323C8">
        <w:t xml:space="preserve">a nickname </w:t>
      </w:r>
      <w:r w:rsidR="00B4709C" w:rsidRPr="00B323C8">
        <w:t xml:space="preserve">he </w:t>
      </w:r>
      <w:r w:rsidR="00A07290" w:rsidRPr="00B323C8">
        <w:t xml:space="preserve">used </w:t>
      </w:r>
      <w:r w:rsidR="00E21E86" w:rsidRPr="00B323C8">
        <w:t xml:space="preserve">several times </w:t>
      </w:r>
      <w:r w:rsidR="00D5066D" w:rsidRPr="00B323C8">
        <w:t>throughout the trial</w:t>
      </w:r>
      <w:r w:rsidR="000006DF" w:rsidRPr="00B323C8">
        <w:t>.</w:t>
      </w:r>
      <w:r w:rsidR="00B413FF" w:rsidRPr="00B323C8">
        <w:t xml:space="preserve">  </w:t>
      </w:r>
      <w:r w:rsidR="00A07290" w:rsidRPr="00B323C8">
        <w:t xml:space="preserve">Defendant had </w:t>
      </w:r>
      <w:r w:rsidR="00E21E86" w:rsidRPr="00B323C8">
        <w:t xml:space="preserve">earlier </w:t>
      </w:r>
      <w:r w:rsidR="00A07290" w:rsidRPr="00B323C8">
        <w:t xml:space="preserve">joked </w:t>
      </w:r>
      <w:r w:rsidR="00EA50B4" w:rsidRPr="00B323C8">
        <w:t>that</w:t>
      </w:r>
      <w:r w:rsidR="00E21E86" w:rsidRPr="00B323C8">
        <w:t>,</w:t>
      </w:r>
      <w:r w:rsidR="00EA50B4" w:rsidRPr="00B323C8">
        <w:t xml:space="preserve"> </w:t>
      </w:r>
      <w:r w:rsidR="008B65FC" w:rsidRPr="00B323C8">
        <w:t xml:space="preserve">whereas </w:t>
      </w:r>
      <w:r w:rsidR="00EA50B4" w:rsidRPr="00B323C8">
        <w:t>the prosecutor represent</w:t>
      </w:r>
      <w:r w:rsidR="005D1A56" w:rsidRPr="00B323C8">
        <w:t>ed</w:t>
      </w:r>
      <w:r w:rsidR="00EA50B4" w:rsidRPr="00B323C8">
        <w:t xml:space="preserve"> </w:t>
      </w:r>
      <w:r w:rsidR="00A07290" w:rsidRPr="00B323C8">
        <w:t>“</w:t>
      </w:r>
      <w:r w:rsidR="00EA50B4" w:rsidRPr="00B323C8">
        <w:t>the People</w:t>
      </w:r>
      <w:r w:rsidR="008B65FC" w:rsidRPr="00B323C8">
        <w:t>,</w:t>
      </w:r>
      <w:r w:rsidR="00A07290" w:rsidRPr="00B323C8">
        <w:t>”</w:t>
      </w:r>
      <w:r w:rsidR="008B65FC" w:rsidRPr="00B323C8">
        <w:t xml:space="preserve"> </w:t>
      </w:r>
      <w:r w:rsidR="00EA50B4" w:rsidRPr="00B323C8">
        <w:t>he represent</w:t>
      </w:r>
      <w:r w:rsidR="005D1A56" w:rsidRPr="00B323C8">
        <w:t>ed</w:t>
      </w:r>
      <w:r w:rsidR="00EA50B4" w:rsidRPr="00B323C8">
        <w:t xml:space="preserve"> “the person.”  </w:t>
      </w:r>
      <w:r w:rsidR="001E7C33" w:rsidRPr="00B323C8">
        <w:t xml:space="preserve">During </w:t>
      </w:r>
      <w:r w:rsidR="005E0D45" w:rsidRPr="00B323C8">
        <w:t>closing argumen</w:t>
      </w:r>
      <w:r w:rsidR="005D1A56" w:rsidRPr="00B323C8">
        <w:t xml:space="preserve">t, </w:t>
      </w:r>
      <w:r w:rsidR="00E21E86" w:rsidRPr="00B323C8">
        <w:t xml:space="preserve">defendant </w:t>
      </w:r>
      <w:r w:rsidR="00A07290" w:rsidRPr="00B323C8">
        <w:t xml:space="preserve">repeated this </w:t>
      </w:r>
      <w:r w:rsidR="005D1A56" w:rsidRPr="00B323C8">
        <w:t>joke, saying</w:t>
      </w:r>
      <w:r w:rsidR="00EA50B4" w:rsidRPr="00B323C8">
        <w:t>:  “Well, anyway, [the prosecutor] doesn</w:t>
      </w:r>
      <w:r w:rsidR="00D61F82" w:rsidRPr="00B323C8">
        <w:t>’</w:t>
      </w:r>
      <w:r w:rsidR="00EA50B4" w:rsidRPr="00B323C8">
        <w:t xml:space="preserve">t represent the People.  The person represents the </w:t>
      </w:r>
      <w:r w:rsidR="00D5066D" w:rsidRPr="00B323C8">
        <w:t>P</w:t>
      </w:r>
      <w:r w:rsidR="00EA50B4" w:rsidRPr="00B323C8">
        <w:t xml:space="preserve">eople. . . .  </w:t>
      </w:r>
      <w:r w:rsidR="008B65FC" w:rsidRPr="00B323C8">
        <w:t>T</w:t>
      </w:r>
      <w:r w:rsidR="00EA50B4" w:rsidRPr="00B323C8">
        <w:t xml:space="preserve">he person represents the People more than the People do.”  </w:t>
      </w:r>
      <w:r w:rsidR="008B65FC" w:rsidRPr="00B323C8">
        <w:t>About the poems he had written describing the murders, he argued that “it</w:t>
      </w:r>
      <w:r w:rsidR="00D61F82" w:rsidRPr="00B323C8">
        <w:t>’</w:t>
      </w:r>
      <w:r w:rsidR="008B65FC" w:rsidRPr="00B323C8">
        <w:t xml:space="preserve">s good to write songs and dance about tyrants getting beaten,” and he </w:t>
      </w:r>
      <w:r w:rsidR="00E21E86" w:rsidRPr="00B323C8">
        <w:t xml:space="preserve">offered </w:t>
      </w:r>
      <w:r w:rsidR="008B65FC" w:rsidRPr="00B323C8">
        <w:t>the Star</w:t>
      </w:r>
      <w:r w:rsidR="00BD2821" w:rsidRPr="00B323C8">
        <w:t>-</w:t>
      </w:r>
      <w:r w:rsidR="008B65FC" w:rsidRPr="00B323C8">
        <w:t>Spangle</w:t>
      </w:r>
      <w:r w:rsidR="00BD2821" w:rsidRPr="00B323C8">
        <w:t>d</w:t>
      </w:r>
      <w:r w:rsidR="008B65FC" w:rsidRPr="00B323C8">
        <w:t xml:space="preserve"> Banner as an example.</w:t>
      </w:r>
      <w:r w:rsidR="00C6442C" w:rsidRPr="00B323C8">
        <w:t xml:space="preserve">  </w:t>
      </w:r>
      <w:r w:rsidR="009A3B98" w:rsidRPr="00B323C8">
        <w:t xml:space="preserve">Later in his argument, </w:t>
      </w:r>
      <w:r w:rsidR="009B7393" w:rsidRPr="00B323C8">
        <w:t xml:space="preserve">he </w:t>
      </w:r>
      <w:r w:rsidR="003B2CB9" w:rsidRPr="00B323C8">
        <w:t>said:  “I do not deserve punishment for this.  I deserve award and reward and to live a beautiful, peaceful life for this.  You know, people need to look up at me and appreciate me for this . . . .”</w:t>
      </w:r>
      <w:r w:rsidR="00C6442C" w:rsidRPr="00B323C8">
        <w:t xml:space="preserve">  </w:t>
      </w:r>
      <w:r w:rsidR="009B7393" w:rsidRPr="00B323C8">
        <w:t xml:space="preserve">He also </w:t>
      </w:r>
      <w:r w:rsidR="00986FD0" w:rsidRPr="00B323C8">
        <w:t xml:space="preserve">characterized himself as a heroic vindicator of good over evil.  He </w:t>
      </w:r>
      <w:r w:rsidR="009B7393" w:rsidRPr="00B323C8">
        <w:t xml:space="preserve">said:  </w:t>
      </w:r>
      <w:r w:rsidR="00BD2821" w:rsidRPr="00B323C8">
        <w:t xml:space="preserve">“A favorite saying of mine is, The only thing necessary for the triumph of evil is for good </w:t>
      </w:r>
      <w:r w:rsidR="00297CA1" w:rsidRPr="00B323C8">
        <w:t xml:space="preserve">men </w:t>
      </w:r>
      <w:r w:rsidR="00BD2821" w:rsidRPr="00B323C8">
        <w:t xml:space="preserve">to do nothing.  </w:t>
      </w:r>
      <w:r w:rsidR="00297CA1" w:rsidRPr="00B323C8">
        <w:t>Well, I am a good man, and I sure as hell did do something.”</w:t>
      </w:r>
    </w:p>
    <w:p w14:paraId="21766CA9" w14:textId="1228FD65" w:rsidR="002F6508" w:rsidRPr="00B323C8" w:rsidRDefault="00F62DC6" w:rsidP="00B323C8">
      <w:pPr>
        <w:pStyle w:val="Heading3"/>
      </w:pPr>
      <w:bookmarkStart w:id="7" w:name="_Toc66715090"/>
      <w:r w:rsidRPr="00B323C8">
        <w:lastRenderedPageBreak/>
        <w:t>4</w:t>
      </w:r>
      <w:r w:rsidR="002F6508" w:rsidRPr="00B323C8">
        <w:t>. Verdict</w:t>
      </w:r>
      <w:bookmarkEnd w:id="7"/>
    </w:p>
    <w:p w14:paraId="5C258917" w14:textId="66D6F041" w:rsidR="00ED7DBA" w:rsidRPr="00B323C8" w:rsidRDefault="003B2CB9" w:rsidP="00B323C8">
      <w:pPr>
        <w:tabs>
          <w:tab w:val="left" w:pos="1440"/>
        </w:tabs>
        <w:ind w:firstLine="720"/>
      </w:pPr>
      <w:r w:rsidRPr="00B323C8">
        <w:t xml:space="preserve">The jury deliberated for </w:t>
      </w:r>
      <w:r w:rsidR="00107BDF" w:rsidRPr="00B323C8">
        <w:t>less than two hours</w:t>
      </w:r>
      <w:r w:rsidR="000D789E" w:rsidRPr="00B323C8">
        <w:t xml:space="preserve">.  It </w:t>
      </w:r>
      <w:r w:rsidR="00ED7DBA" w:rsidRPr="00B323C8">
        <w:t>found defendant guilty</w:t>
      </w:r>
      <w:r w:rsidR="000D789E" w:rsidRPr="00B323C8">
        <w:t xml:space="preserve"> of both counts of first degree murder.  It </w:t>
      </w:r>
      <w:r w:rsidR="00A26BE2" w:rsidRPr="00B323C8">
        <w:t xml:space="preserve">also </w:t>
      </w:r>
      <w:r w:rsidR="000D789E" w:rsidRPr="00B323C8">
        <w:t>found true, as to both murders,</w:t>
      </w:r>
      <w:r w:rsidR="00A26BE2" w:rsidRPr="00B323C8">
        <w:t xml:space="preserve"> </w:t>
      </w:r>
      <w:r w:rsidR="000D789E" w:rsidRPr="00B323C8">
        <w:t>the multiple-murder special circumstance allegation</w:t>
      </w:r>
      <w:r w:rsidR="00A26BE2" w:rsidRPr="00B323C8">
        <w:t>s and the deadly weapon enhancement allegations</w:t>
      </w:r>
      <w:r w:rsidR="000D789E" w:rsidRPr="00B323C8">
        <w:t>.</w:t>
      </w:r>
    </w:p>
    <w:p w14:paraId="27092F2B" w14:textId="33FFB8C9" w:rsidR="006979F5" w:rsidRPr="00B323C8" w:rsidRDefault="00F62DC6" w:rsidP="00B323C8">
      <w:pPr>
        <w:pStyle w:val="Heading2"/>
      </w:pPr>
      <w:bookmarkStart w:id="8" w:name="_Toc66715091"/>
      <w:r w:rsidRPr="00B323C8">
        <w:t>B</w:t>
      </w:r>
      <w:r w:rsidR="00F42D22" w:rsidRPr="00B323C8">
        <w:t xml:space="preserve">. </w:t>
      </w:r>
      <w:r w:rsidR="006979F5" w:rsidRPr="00B323C8">
        <w:t>P</w:t>
      </w:r>
      <w:r w:rsidR="00DF18C9" w:rsidRPr="00B323C8">
        <w:t>enalty Phase</w:t>
      </w:r>
      <w:bookmarkEnd w:id="8"/>
    </w:p>
    <w:p w14:paraId="0643A27C" w14:textId="710D06DD" w:rsidR="001E7C33" w:rsidRPr="00B323C8" w:rsidRDefault="001E7C33" w:rsidP="00B323C8">
      <w:pPr>
        <w:pStyle w:val="Heading3"/>
      </w:pPr>
      <w:bookmarkStart w:id="9" w:name="_Toc66715092"/>
      <w:r w:rsidRPr="00B323C8">
        <w:t>1. Defendant</w:t>
      </w:r>
      <w:r w:rsidR="00D61F82" w:rsidRPr="00B323C8">
        <w:t>’</w:t>
      </w:r>
      <w:r w:rsidRPr="00B323C8">
        <w:t>s Opening Statement</w:t>
      </w:r>
      <w:bookmarkEnd w:id="9"/>
    </w:p>
    <w:p w14:paraId="6546B26F" w14:textId="30BB17C0" w:rsidR="001E7C33" w:rsidRPr="00B323C8" w:rsidRDefault="001E7C33" w:rsidP="00B323C8">
      <w:pPr>
        <w:tabs>
          <w:tab w:val="left" w:pos="1440"/>
        </w:tabs>
        <w:ind w:firstLine="720"/>
      </w:pPr>
      <w:r w:rsidRPr="00B323C8">
        <w:t>Defendant began his opening statement with this comment:  “For the wrong decision that was made yesterday, when do I get to beat the amoral tar out of these lumpers?”</w:t>
      </w:r>
      <w:r w:rsidR="00E90F94" w:rsidRPr="00B323C8">
        <w:rPr>
          <w:rStyle w:val="FootnoteReference"/>
        </w:rPr>
        <w:footnoteReference w:id="5"/>
      </w:r>
      <w:r w:rsidRPr="00B323C8">
        <w:t xml:space="preserve">  </w:t>
      </w:r>
      <w:r w:rsidR="003733A8" w:rsidRPr="00B323C8">
        <w:t xml:space="preserve">Then, discussing </w:t>
      </w:r>
      <w:r w:rsidRPr="00B323C8">
        <w:t>the murder of Julie and Paul, he said:  “I played judge, jury</w:t>
      </w:r>
      <w:r w:rsidR="008A11E3" w:rsidRPr="00B323C8">
        <w:t>,</w:t>
      </w:r>
      <w:r w:rsidRPr="00B323C8">
        <w:t xml:space="preserve"> and executioner.  It was cheap.  It was, you know, not millions of dollars like all of this.”</w:t>
      </w:r>
    </w:p>
    <w:p w14:paraId="2663491C" w14:textId="2EF35E09" w:rsidR="006979F5" w:rsidRPr="00B323C8" w:rsidRDefault="001E7C33" w:rsidP="00B323C8">
      <w:pPr>
        <w:pStyle w:val="Heading3"/>
      </w:pPr>
      <w:bookmarkStart w:id="10" w:name="_Toc66715093"/>
      <w:r w:rsidRPr="00B323C8">
        <w:t>2</w:t>
      </w:r>
      <w:r w:rsidR="00F42D22" w:rsidRPr="00B323C8">
        <w:t xml:space="preserve">. </w:t>
      </w:r>
      <w:r w:rsidR="00DF18C9" w:rsidRPr="00B323C8">
        <w:t xml:space="preserve">The </w:t>
      </w:r>
      <w:r w:rsidR="006979F5" w:rsidRPr="00B323C8">
        <w:t>Prosecution</w:t>
      </w:r>
      <w:r w:rsidR="00D61F82" w:rsidRPr="00B323C8">
        <w:t>’</w:t>
      </w:r>
      <w:r w:rsidR="00DF18C9" w:rsidRPr="00B323C8">
        <w:t>s</w:t>
      </w:r>
      <w:r w:rsidR="006979F5" w:rsidRPr="00B323C8">
        <w:t xml:space="preserve"> Case</w:t>
      </w:r>
      <w:r w:rsidR="00702135" w:rsidRPr="00B323C8">
        <w:t xml:space="preserve"> in Aggravation</w:t>
      </w:r>
      <w:bookmarkEnd w:id="10"/>
    </w:p>
    <w:p w14:paraId="49F86B66" w14:textId="0361DD02" w:rsidR="006979F5" w:rsidRPr="00B323C8" w:rsidRDefault="006979F5" w:rsidP="00B323C8">
      <w:pPr>
        <w:tabs>
          <w:tab w:val="left" w:pos="1440"/>
        </w:tabs>
        <w:ind w:firstLine="720"/>
      </w:pPr>
      <w:r w:rsidRPr="00B323C8">
        <w:t xml:space="preserve">The People introduced </w:t>
      </w:r>
      <w:r w:rsidR="008A633F" w:rsidRPr="00B323C8">
        <w:t xml:space="preserve">out-of-court </w:t>
      </w:r>
      <w:r w:rsidRPr="00B323C8">
        <w:t xml:space="preserve">statements </w:t>
      </w:r>
      <w:r w:rsidR="00DF18C9" w:rsidRPr="00B323C8">
        <w:t xml:space="preserve">defendant </w:t>
      </w:r>
      <w:r w:rsidR="00A26BE2" w:rsidRPr="00B323C8">
        <w:t xml:space="preserve">had </w:t>
      </w:r>
      <w:r w:rsidR="00DF18C9" w:rsidRPr="00B323C8">
        <w:t xml:space="preserve">made </w:t>
      </w:r>
      <w:r w:rsidRPr="00B323C8">
        <w:t>on January</w:t>
      </w:r>
      <w:r w:rsidR="00DF18C9" w:rsidRPr="00B323C8">
        <w:t xml:space="preserve"> </w:t>
      </w:r>
      <w:r w:rsidRPr="00B323C8">
        <w:t>31</w:t>
      </w:r>
      <w:r w:rsidR="00DF18C9" w:rsidRPr="00B323C8">
        <w:t>, 2006,</w:t>
      </w:r>
      <w:r w:rsidRPr="00B323C8">
        <w:t xml:space="preserve"> and February 1</w:t>
      </w:r>
      <w:r w:rsidR="000356DA" w:rsidRPr="00B323C8">
        <w:t>, 2</w:t>
      </w:r>
      <w:r w:rsidRPr="00B323C8">
        <w:t>006</w:t>
      </w:r>
      <w:r w:rsidR="00DF18C9" w:rsidRPr="00B323C8">
        <w:t>, when being booked</w:t>
      </w:r>
      <w:r w:rsidR="00F42D22" w:rsidRPr="00B323C8">
        <w:t>.</w:t>
      </w:r>
      <w:r w:rsidR="000A04E6" w:rsidRPr="00B323C8">
        <w:t xml:space="preserve">  </w:t>
      </w:r>
      <w:r w:rsidR="00DC4CBE" w:rsidRPr="00B323C8">
        <w:t>During booking, d</w:t>
      </w:r>
      <w:r w:rsidRPr="00B323C8">
        <w:t>efendant asked</w:t>
      </w:r>
      <w:r w:rsidR="008A633F" w:rsidRPr="00B323C8">
        <w:t xml:space="preserve">:  </w:t>
      </w:r>
      <w:r w:rsidRPr="00B323C8">
        <w:t>“How often do</w:t>
      </w:r>
      <w:r w:rsidR="00B864F7" w:rsidRPr="00B323C8">
        <w:t xml:space="preserve"> </w:t>
      </w:r>
      <w:r w:rsidRPr="00B323C8">
        <w:t>you get some</w:t>
      </w:r>
      <w:r w:rsidR="00BB5AED" w:rsidRPr="00B323C8">
        <w:t xml:space="preserve">thing </w:t>
      </w:r>
      <w:r w:rsidRPr="00B323C8">
        <w:t>like me in here that does something like that?”</w:t>
      </w:r>
      <w:r w:rsidR="000A04E6" w:rsidRPr="00B323C8">
        <w:t xml:space="preserve">  </w:t>
      </w:r>
      <w:r w:rsidR="008A633F" w:rsidRPr="00B323C8">
        <w:t xml:space="preserve">He also </w:t>
      </w:r>
      <w:r w:rsidR="00F12DB9" w:rsidRPr="00B323C8">
        <w:t>commented</w:t>
      </w:r>
      <w:r w:rsidR="008A633F" w:rsidRPr="00B323C8">
        <w:t xml:space="preserve">:  </w:t>
      </w:r>
      <w:r w:rsidR="00B864F7" w:rsidRPr="00B323C8">
        <w:t>“</w:t>
      </w:r>
      <w:r w:rsidRPr="00B323C8">
        <w:t>You know, I should be executed for this</w:t>
      </w:r>
      <w:r w:rsidR="00F42D22" w:rsidRPr="00B323C8">
        <w:t xml:space="preserve">.  </w:t>
      </w:r>
      <w:r w:rsidRPr="00B323C8">
        <w:t>I believe in the death</w:t>
      </w:r>
      <w:r w:rsidR="00B864F7" w:rsidRPr="00B323C8">
        <w:t xml:space="preserve"> </w:t>
      </w:r>
      <w:r w:rsidRPr="00B323C8">
        <w:t>penalty</w:t>
      </w:r>
      <w:r w:rsidR="00F42D22" w:rsidRPr="00B323C8">
        <w:t xml:space="preserve">.  </w:t>
      </w:r>
      <w:r w:rsidRPr="00B323C8">
        <w:t>That</w:t>
      </w:r>
      <w:r w:rsidR="00D61F82" w:rsidRPr="00B323C8">
        <w:t>’</w:t>
      </w:r>
      <w:r w:rsidRPr="00B323C8">
        <w:t>s the way it should go down</w:t>
      </w:r>
      <w:r w:rsidR="00F42D22" w:rsidRPr="00B323C8">
        <w:t xml:space="preserve">.  </w:t>
      </w:r>
      <w:r w:rsidRPr="00B323C8">
        <w:t>I</w:t>
      </w:r>
      <w:r w:rsidR="008A633F" w:rsidRPr="00B323C8">
        <w:t xml:space="preserve"> . . . </w:t>
      </w:r>
      <w:r w:rsidRPr="00B323C8">
        <w:t>believe in the death</w:t>
      </w:r>
      <w:r w:rsidR="00B864F7" w:rsidRPr="00B323C8">
        <w:t xml:space="preserve"> </w:t>
      </w:r>
      <w:r w:rsidRPr="00B323C8">
        <w:t>penalty</w:t>
      </w:r>
      <w:r w:rsidR="00F42D22" w:rsidRPr="00B323C8">
        <w:t xml:space="preserve">.  </w:t>
      </w:r>
      <w:r w:rsidRPr="00B323C8">
        <w:t>And I should be executed</w:t>
      </w:r>
      <w:r w:rsidR="00F42D22" w:rsidRPr="00B323C8">
        <w:t xml:space="preserve">.  </w:t>
      </w:r>
      <w:r w:rsidRPr="00B323C8">
        <w:t>I mean I think it would make</w:t>
      </w:r>
      <w:r w:rsidR="00B864F7" w:rsidRPr="00B323C8">
        <w:t xml:space="preserve"> </w:t>
      </w:r>
      <w:r w:rsidRPr="00B323C8">
        <w:t xml:space="preserve">society a more moral place if this </w:t>
      </w:r>
      <w:proofErr w:type="gramStart"/>
      <w:r w:rsidRPr="00B323C8">
        <w:t>was</w:t>
      </w:r>
      <w:proofErr w:type="gramEnd"/>
      <w:r w:rsidRPr="00B323C8">
        <w:t xml:space="preserve"> handled the way it should be</w:t>
      </w:r>
      <w:r w:rsidR="00B864F7" w:rsidRPr="00B323C8">
        <w:t xml:space="preserve"> </w:t>
      </w:r>
      <w:r w:rsidRPr="00B323C8">
        <w:t>handled.</w:t>
      </w:r>
      <w:r w:rsidR="00B864F7" w:rsidRPr="00B323C8">
        <w:t>”</w:t>
      </w:r>
    </w:p>
    <w:p w14:paraId="3986E3F0" w14:textId="03FC94A7" w:rsidR="00034EF0" w:rsidRPr="00B323C8" w:rsidRDefault="006979F5" w:rsidP="00B323C8">
      <w:pPr>
        <w:tabs>
          <w:tab w:val="left" w:pos="1440"/>
        </w:tabs>
        <w:ind w:firstLine="720"/>
      </w:pPr>
      <w:r w:rsidRPr="00B323C8">
        <w:t xml:space="preserve">The </w:t>
      </w:r>
      <w:r w:rsidR="00F12DB9" w:rsidRPr="00B323C8">
        <w:t>p</w:t>
      </w:r>
      <w:r w:rsidR="00B864F7" w:rsidRPr="00B323C8">
        <w:t xml:space="preserve">rosecution also </w:t>
      </w:r>
      <w:r w:rsidRPr="00B323C8">
        <w:t xml:space="preserve">introduced </w:t>
      </w:r>
      <w:r w:rsidR="00B864F7" w:rsidRPr="00B323C8">
        <w:t xml:space="preserve">recordings of </w:t>
      </w:r>
      <w:r w:rsidR="00770BBB" w:rsidRPr="00B323C8">
        <w:t>10</w:t>
      </w:r>
      <w:r w:rsidR="000A04E6" w:rsidRPr="00B323C8">
        <w:t xml:space="preserve"> </w:t>
      </w:r>
      <w:r w:rsidR="00B864F7" w:rsidRPr="00B323C8">
        <w:t xml:space="preserve">telephone </w:t>
      </w:r>
      <w:r w:rsidRPr="00B323C8">
        <w:t xml:space="preserve">calls </w:t>
      </w:r>
      <w:r w:rsidR="00B864F7" w:rsidRPr="00B323C8">
        <w:t>defendant</w:t>
      </w:r>
      <w:r w:rsidR="003733A8" w:rsidRPr="00B323C8">
        <w:t xml:space="preserve"> </w:t>
      </w:r>
      <w:r w:rsidR="00B864F7" w:rsidRPr="00B323C8">
        <w:t xml:space="preserve">made while </w:t>
      </w:r>
      <w:r w:rsidRPr="00B323C8">
        <w:t>in custody</w:t>
      </w:r>
      <w:r w:rsidR="00F42D22" w:rsidRPr="00B323C8">
        <w:t xml:space="preserve">.  </w:t>
      </w:r>
      <w:r w:rsidRPr="00B323C8">
        <w:t xml:space="preserve">In one call, </w:t>
      </w:r>
      <w:r w:rsidR="007818A3" w:rsidRPr="00B323C8">
        <w:t>d</w:t>
      </w:r>
      <w:r w:rsidRPr="00B323C8">
        <w:t xml:space="preserve">efendant </w:t>
      </w:r>
      <w:r w:rsidRPr="00B323C8">
        <w:lastRenderedPageBreak/>
        <w:t>said he did not want to receive</w:t>
      </w:r>
      <w:r w:rsidR="007818A3" w:rsidRPr="00B323C8">
        <w:t xml:space="preserve"> any </w:t>
      </w:r>
      <w:r w:rsidRPr="00B323C8">
        <w:t>psychological treatment:</w:t>
      </w:r>
      <w:r w:rsidR="007818A3" w:rsidRPr="00B323C8">
        <w:t xml:space="preserve">  “</w:t>
      </w:r>
      <w:r w:rsidRPr="00B323C8">
        <w:t>I do not want to go that route</w:t>
      </w:r>
      <w:r w:rsidR="00F42D22" w:rsidRPr="00B323C8">
        <w:t xml:space="preserve">.  </w:t>
      </w:r>
      <w:r w:rsidRPr="00B323C8">
        <w:t>And</w:t>
      </w:r>
      <w:r w:rsidR="00DC4CBE" w:rsidRPr="00B323C8">
        <w:t>,</w:t>
      </w:r>
      <w:r w:rsidRPr="00B323C8">
        <w:t xml:space="preserve"> uh, I don</w:t>
      </w:r>
      <w:r w:rsidR="00D61F82" w:rsidRPr="00B323C8">
        <w:t>’</w:t>
      </w:r>
      <w:r w:rsidRPr="00B323C8">
        <w:t>t want to believe that.</w:t>
      </w:r>
      <w:r w:rsidR="008D1F84" w:rsidRPr="00B323C8">
        <w:t xml:space="preserve">  </w:t>
      </w:r>
      <w:r w:rsidRPr="00B323C8">
        <w:t>Because, uh, the thing is</w:t>
      </w:r>
      <w:r w:rsidR="001264F4" w:rsidRPr="00B323C8">
        <w:t> </w:t>
      </w:r>
      <w:r w:rsidR="008D1F84" w:rsidRPr="00B323C8">
        <w:t xml:space="preserve">— </w:t>
      </w:r>
      <w:r w:rsidRPr="00B323C8">
        <w:t>I made a moral choice</w:t>
      </w:r>
      <w:r w:rsidR="000C2AB6" w:rsidRPr="00B323C8">
        <w:t>,</w:t>
      </w:r>
      <w:r w:rsidRPr="00B323C8">
        <w:t xml:space="preserve"> and I don</w:t>
      </w:r>
      <w:r w:rsidR="00D61F82" w:rsidRPr="00B323C8">
        <w:t>’</w:t>
      </w:r>
      <w:r w:rsidRPr="00B323C8">
        <w:t>t think</w:t>
      </w:r>
      <w:r w:rsidR="008D1F84" w:rsidRPr="00B323C8">
        <w:t xml:space="preserve"> </w:t>
      </w:r>
      <w:r w:rsidRPr="00B323C8">
        <w:t>there</w:t>
      </w:r>
      <w:r w:rsidR="00D61F82" w:rsidRPr="00B323C8">
        <w:t>’</w:t>
      </w:r>
      <w:r w:rsidRPr="00B323C8">
        <w:t>s nothing sick about making a</w:t>
      </w:r>
      <w:r w:rsidR="00DC4CBE" w:rsidRPr="00B323C8">
        <w:t>,</w:t>
      </w:r>
      <w:r w:rsidRPr="00B323C8">
        <w:t xml:space="preserve"> uh, moral decision</w:t>
      </w:r>
      <w:r w:rsidR="00F42D22" w:rsidRPr="00B323C8">
        <w:t xml:space="preserve">.  </w:t>
      </w:r>
      <w:r w:rsidRPr="00B323C8">
        <w:t xml:space="preserve">I mean, </w:t>
      </w:r>
      <w:r w:rsidR="00CA03D1" w:rsidRPr="00B323C8">
        <w:t>I</w:t>
      </w:r>
      <w:r w:rsidR="00DC4CBE" w:rsidRPr="00B323C8">
        <w:t>,</w:t>
      </w:r>
      <w:r w:rsidR="00CA03D1" w:rsidRPr="00B323C8">
        <w:t xml:space="preserve"> </w:t>
      </w:r>
      <w:r w:rsidRPr="00B323C8">
        <w:t>uh,</w:t>
      </w:r>
      <w:r w:rsidR="008D1F84" w:rsidRPr="00B323C8">
        <w:t xml:space="preserve"> </w:t>
      </w:r>
      <w:r w:rsidRPr="00B323C8">
        <w:t>believe that</w:t>
      </w:r>
      <w:r w:rsidR="00DC4CBE" w:rsidRPr="00B323C8">
        <w:t>,</w:t>
      </w:r>
      <w:r w:rsidRPr="00B323C8">
        <w:t xml:space="preserve"> uh, my sister and brother</w:t>
      </w:r>
      <w:r w:rsidR="00BB5AED" w:rsidRPr="00B323C8">
        <w:t>-</w:t>
      </w:r>
      <w:r w:rsidRPr="00B323C8">
        <w:t>in</w:t>
      </w:r>
      <w:r w:rsidR="00BB5AED" w:rsidRPr="00B323C8">
        <w:t>-</w:t>
      </w:r>
      <w:r w:rsidRPr="00B323C8">
        <w:t>law were evil and needed to</w:t>
      </w:r>
      <w:r w:rsidR="008D1F84" w:rsidRPr="00B323C8">
        <w:t xml:space="preserve"> </w:t>
      </w:r>
      <w:r w:rsidRPr="00B323C8">
        <w:t>be taken out</w:t>
      </w:r>
      <w:r w:rsidR="00F42D22" w:rsidRPr="00B323C8">
        <w:t xml:space="preserve">.  </w:t>
      </w:r>
      <w:r w:rsidRPr="00B323C8">
        <w:t>And</w:t>
      </w:r>
      <w:r w:rsidR="00DC4CBE" w:rsidRPr="00B323C8">
        <w:t>,</w:t>
      </w:r>
      <w:r w:rsidRPr="00B323C8">
        <w:t xml:space="preserve"> uh, that</w:t>
      </w:r>
      <w:r w:rsidR="00D61F82" w:rsidRPr="00B323C8">
        <w:t>’</w:t>
      </w:r>
      <w:r w:rsidRPr="00B323C8">
        <w:t>s that</w:t>
      </w:r>
      <w:r w:rsidR="00F42D22" w:rsidRPr="00B323C8">
        <w:t>.</w:t>
      </w:r>
      <w:r w:rsidR="008D1F84" w:rsidRPr="00B323C8">
        <w:t xml:space="preserve">  </w:t>
      </w:r>
      <w:r w:rsidRPr="00B323C8">
        <w:t>I had it all planned out</w:t>
      </w:r>
      <w:r w:rsidR="00F42D22" w:rsidRPr="00B323C8">
        <w:t xml:space="preserve">.  </w:t>
      </w:r>
      <w:r w:rsidRPr="00B323C8">
        <w:t>I planned</w:t>
      </w:r>
      <w:r w:rsidR="008D1F84" w:rsidRPr="00B323C8">
        <w:t xml:space="preserve"> </w:t>
      </w:r>
      <w:r w:rsidRPr="00B323C8">
        <w:t>to raise their kids</w:t>
      </w:r>
      <w:r w:rsidR="00F42D22" w:rsidRPr="00B323C8">
        <w:t xml:space="preserve">.  </w:t>
      </w:r>
      <w:r w:rsidRPr="00B323C8">
        <w:t>And take care of everything</w:t>
      </w:r>
      <w:r w:rsidR="00F42D22" w:rsidRPr="00B323C8">
        <w:t>.</w:t>
      </w:r>
      <w:r w:rsidR="008D1F84" w:rsidRPr="00B323C8">
        <w:t xml:space="preserve">  </w:t>
      </w:r>
      <w:r w:rsidRPr="00B323C8">
        <w:t>But</w:t>
      </w:r>
      <w:r w:rsidR="00DC4CBE" w:rsidRPr="00B323C8">
        <w:t>,</w:t>
      </w:r>
      <w:r w:rsidRPr="00B323C8">
        <w:t xml:space="preserve"> uh, it</w:t>
      </w:r>
      <w:r w:rsidR="00B50810" w:rsidRPr="00B323C8">
        <w:t>,</w:t>
      </w:r>
      <w:r w:rsidR="008D1F84" w:rsidRPr="00B323C8">
        <w:t xml:space="preserve"> </w:t>
      </w:r>
      <w:r w:rsidRPr="00B323C8">
        <w:t>it</w:t>
      </w:r>
      <w:r w:rsidR="00B50810" w:rsidRPr="00B323C8">
        <w:t>,</w:t>
      </w:r>
      <w:r w:rsidR="008D1F84" w:rsidRPr="00B323C8">
        <w:t xml:space="preserve"> </w:t>
      </w:r>
      <w:r w:rsidRPr="00B323C8">
        <w:t>it</w:t>
      </w:r>
      <w:r w:rsidR="00B50810" w:rsidRPr="00B323C8">
        <w:t>,</w:t>
      </w:r>
      <w:r w:rsidR="008D1F84" w:rsidRPr="00B323C8">
        <w:t xml:space="preserve"> </w:t>
      </w:r>
      <w:r w:rsidRPr="00B323C8">
        <w:t>uh,</w:t>
      </w:r>
      <w:r w:rsidR="008D1F84" w:rsidRPr="00B323C8">
        <w:t xml:space="preserve"> </w:t>
      </w:r>
      <w:r w:rsidRPr="00B323C8">
        <w:t>didn</w:t>
      </w:r>
      <w:r w:rsidR="00D61F82" w:rsidRPr="00B323C8">
        <w:t>’</w:t>
      </w:r>
      <w:r w:rsidRPr="00B323C8">
        <w:t>t tu</w:t>
      </w:r>
      <w:r w:rsidR="00BB5AED" w:rsidRPr="00B323C8">
        <w:t>rn</w:t>
      </w:r>
      <w:r w:rsidRPr="00B323C8">
        <w:t xml:space="preserve"> out right.</w:t>
      </w:r>
      <w:r w:rsidR="008D1F84" w:rsidRPr="00B323C8">
        <w:t xml:space="preserve">”  </w:t>
      </w:r>
      <w:r w:rsidRPr="00B323C8">
        <w:t xml:space="preserve">In </w:t>
      </w:r>
      <w:r w:rsidR="00DE4737" w:rsidRPr="00B323C8">
        <w:t>a</w:t>
      </w:r>
      <w:r w:rsidR="000C2AB6" w:rsidRPr="00B323C8">
        <w:t>nother</w:t>
      </w:r>
      <w:r w:rsidR="00DE4737" w:rsidRPr="00B323C8">
        <w:t xml:space="preserve"> </w:t>
      </w:r>
      <w:r w:rsidRPr="00B323C8">
        <w:t>call</w:t>
      </w:r>
      <w:r w:rsidR="00DE4737" w:rsidRPr="00B323C8">
        <w:t>,</w:t>
      </w:r>
      <w:r w:rsidR="000C2AB6" w:rsidRPr="00B323C8">
        <w:t xml:space="preserve"> </w:t>
      </w:r>
      <w:r w:rsidR="00DE4737" w:rsidRPr="00B323C8">
        <w:t>d</w:t>
      </w:r>
      <w:r w:rsidRPr="00B323C8">
        <w:t xml:space="preserve">efendant said </w:t>
      </w:r>
      <w:r w:rsidR="00DE4737" w:rsidRPr="00B323C8">
        <w:t xml:space="preserve">that </w:t>
      </w:r>
      <w:r w:rsidRPr="00B323C8">
        <w:t xml:space="preserve">Julie </w:t>
      </w:r>
      <w:r w:rsidR="00DE4737" w:rsidRPr="00B323C8">
        <w:t xml:space="preserve">had </w:t>
      </w:r>
      <w:r w:rsidRPr="00B323C8">
        <w:t xml:space="preserve">married into a “screwed up” family </w:t>
      </w:r>
      <w:r w:rsidR="00C95EF5" w:rsidRPr="00B323C8">
        <w:t>of “faggots</w:t>
      </w:r>
      <w:r w:rsidR="0036048B" w:rsidRPr="00B323C8">
        <w:t>.</w:t>
      </w:r>
      <w:r w:rsidR="00C95EF5" w:rsidRPr="00B323C8">
        <w:t>”</w:t>
      </w:r>
      <w:r w:rsidR="00F42D22" w:rsidRPr="00B323C8">
        <w:t xml:space="preserve">  </w:t>
      </w:r>
      <w:r w:rsidR="000C2AB6" w:rsidRPr="00B323C8">
        <w:t xml:space="preserve">In a third call, </w:t>
      </w:r>
      <w:r w:rsidR="00EE1590" w:rsidRPr="00B323C8">
        <w:t>d</w:t>
      </w:r>
      <w:r w:rsidRPr="00B323C8">
        <w:t>efendant said</w:t>
      </w:r>
      <w:r w:rsidR="00F22328" w:rsidRPr="00B323C8">
        <w:t>:  “I</w:t>
      </w:r>
      <w:r w:rsidR="00D61F82" w:rsidRPr="00B323C8">
        <w:t>’</w:t>
      </w:r>
      <w:r w:rsidR="00F22328" w:rsidRPr="00B323C8">
        <w:t>m just one trait away from being a serial killer.”  He added:  “I have the ability to go out into the world and . . . just kill people.</w:t>
      </w:r>
      <w:r w:rsidR="006E0A1A" w:rsidRPr="00B323C8">
        <w:t xml:space="preserve">  And enjoy doing it.  [¶] . . . [¶]</w:t>
      </w:r>
      <w:r w:rsidR="0036048B" w:rsidRPr="00B323C8">
        <w:t xml:space="preserve"> . . .  </w:t>
      </w:r>
      <w:r w:rsidR="006E0A1A" w:rsidRPr="00B323C8">
        <w:t>There</w:t>
      </w:r>
      <w:r w:rsidR="00D61F82" w:rsidRPr="00B323C8">
        <w:t>’</w:t>
      </w:r>
      <w:r w:rsidR="006E0A1A" w:rsidRPr="00B323C8">
        <w:t>s just one thing, though.  I have moral values.  And . . . that</w:t>
      </w:r>
      <w:r w:rsidR="00D61F82" w:rsidRPr="00B323C8">
        <w:t>’</w:t>
      </w:r>
      <w:r w:rsidR="006E0A1A" w:rsidRPr="00B323C8">
        <w:t>s the thing that keeps me in check is I have morals</w:t>
      </w:r>
      <w:r w:rsidR="00DC4CBE" w:rsidRPr="00B323C8">
        <w:t>,</w:t>
      </w:r>
      <w:r w:rsidR="006E0A1A" w:rsidRPr="00B323C8">
        <w:t xml:space="preserve"> and I try to do good, do good, do good.  And . . . it keeps that in check.  Now the thing is, I screw up from time to time.  You know. . . . [¶] . . . [¶]  And it doesn</w:t>
      </w:r>
      <w:r w:rsidR="00D61F82" w:rsidRPr="00B323C8">
        <w:t>’</w:t>
      </w:r>
      <w:r w:rsidR="006E0A1A" w:rsidRPr="00B323C8">
        <w:t>t affect me at all.”</w:t>
      </w:r>
      <w:r w:rsidR="000A04E6" w:rsidRPr="00B323C8">
        <w:t xml:space="preserve">  </w:t>
      </w:r>
      <w:r w:rsidR="006E0A1A" w:rsidRPr="00B323C8">
        <w:t>Then he repeated:  “I</w:t>
      </w:r>
      <w:r w:rsidR="00D61F82" w:rsidRPr="00B323C8">
        <w:t>’</w:t>
      </w:r>
      <w:r w:rsidR="006E0A1A" w:rsidRPr="00B323C8">
        <w:t>m just one trait away from being a real serial killer that just kills people for the fun of it.”</w:t>
      </w:r>
    </w:p>
    <w:p w14:paraId="61C1A8E0" w14:textId="2F5D4828" w:rsidR="00354288" w:rsidRPr="00B323C8" w:rsidRDefault="00C96E17" w:rsidP="00B323C8">
      <w:pPr>
        <w:tabs>
          <w:tab w:val="left" w:pos="1440"/>
        </w:tabs>
        <w:ind w:firstLine="720"/>
      </w:pPr>
      <w:r w:rsidRPr="00B323C8">
        <w:t>Later in the same conversation</w:t>
      </w:r>
      <w:r w:rsidR="00707BFE" w:rsidRPr="00B323C8">
        <w:t>,</w:t>
      </w:r>
      <w:r w:rsidRPr="00B323C8">
        <w:t xml:space="preserve"> </w:t>
      </w:r>
      <w:r w:rsidR="00034EF0" w:rsidRPr="00B323C8">
        <w:t xml:space="preserve">defendant </w:t>
      </w:r>
      <w:r w:rsidRPr="00B323C8">
        <w:t xml:space="preserve">commented about </w:t>
      </w:r>
      <w:r w:rsidR="0036048B" w:rsidRPr="00B323C8">
        <w:t>his frequent involvement in</w:t>
      </w:r>
      <w:r w:rsidR="00B50810" w:rsidRPr="00B323C8">
        <w:t xml:space="preserve"> vehicle </w:t>
      </w:r>
      <w:r w:rsidR="00707BFE" w:rsidRPr="00B323C8">
        <w:t xml:space="preserve">accidents like </w:t>
      </w:r>
      <w:r w:rsidR="002654C9" w:rsidRPr="00B323C8">
        <w:t xml:space="preserve">a </w:t>
      </w:r>
      <w:r w:rsidR="00707BFE" w:rsidRPr="00B323C8">
        <w:t>“truck</w:t>
      </w:r>
      <w:r w:rsidR="002654C9" w:rsidRPr="00B323C8">
        <w:t>[]</w:t>
      </w:r>
      <w:r w:rsidR="00707BFE" w:rsidRPr="00B323C8">
        <w:t xml:space="preserve"> getting hit by a train” and “a truck get[ting] burned.”  </w:t>
      </w:r>
      <w:r w:rsidRPr="00B323C8">
        <w:t>He said:</w:t>
      </w:r>
      <w:r w:rsidR="00707BFE" w:rsidRPr="00B323C8">
        <w:t xml:space="preserve">  “Now, I didn</w:t>
      </w:r>
      <w:r w:rsidR="00D61F82" w:rsidRPr="00B323C8">
        <w:t>’</w:t>
      </w:r>
      <w:r w:rsidR="00707BFE" w:rsidRPr="00B323C8">
        <w:t>t do these things on purpose.  [¶] . . . [¶] . . .  But the thing is, I wonder . . . if my subconscious mind makes these things happen.  I enjoy these things.  I mean, the serial killer in me enjoys these things, but I don</w:t>
      </w:r>
      <w:r w:rsidR="00D61F82" w:rsidRPr="00B323C8">
        <w:t>’</w:t>
      </w:r>
      <w:r w:rsidR="00707BFE" w:rsidRPr="00B323C8">
        <w:t xml:space="preserve">t do </w:t>
      </w:r>
      <w:r w:rsidR="00524227" w:rsidRPr="00B323C8">
        <w:t>’</w:t>
      </w:r>
      <w:r w:rsidR="00707BFE" w:rsidRPr="00B323C8">
        <w:t>em on purpose.  I don</w:t>
      </w:r>
      <w:r w:rsidR="00D61F82" w:rsidRPr="00B323C8">
        <w:t>’</w:t>
      </w:r>
      <w:r w:rsidR="00707BFE" w:rsidRPr="00B323C8">
        <w:t>t, you know, screw all that stuff up on purpose</w:t>
      </w:r>
      <w:r w:rsidR="00DC4CBE" w:rsidRPr="00B323C8">
        <w:t>,</w:t>
      </w:r>
      <w:r w:rsidR="00707BFE" w:rsidRPr="00B323C8">
        <w:t xml:space="preserve"> but . . . since I do enjoy </w:t>
      </w:r>
      <w:r w:rsidR="00524227" w:rsidRPr="00B323C8">
        <w:t>’</w:t>
      </w:r>
      <w:r w:rsidR="00707BFE" w:rsidRPr="00B323C8">
        <w:t>em, I wonder if my subconscious mind kinda makes it happen every now and then.  [¶] . . . [¶]</w:t>
      </w:r>
      <w:r w:rsidR="00354288" w:rsidRPr="00B323C8">
        <w:t xml:space="preserve">  No,</w:t>
      </w:r>
      <w:r w:rsidR="00707BFE" w:rsidRPr="00B323C8">
        <w:t> . . .</w:t>
      </w:r>
      <w:r w:rsidR="00AF4F8D" w:rsidRPr="00B323C8">
        <w:t xml:space="preserve"> I don</w:t>
      </w:r>
      <w:r w:rsidR="00D61F82" w:rsidRPr="00B323C8">
        <w:t>’</w:t>
      </w:r>
      <w:r w:rsidR="00AF4F8D" w:rsidRPr="00B323C8">
        <w:t xml:space="preserve">t </w:t>
      </w:r>
      <w:r w:rsidR="00354288" w:rsidRPr="00B323C8">
        <w:t>try to screw that stuff up.  But w</w:t>
      </w:r>
      <w:r w:rsidR="00707BFE" w:rsidRPr="00B323C8">
        <w:t xml:space="preserve">hen it happens, I get out </w:t>
      </w:r>
      <w:r w:rsidR="00707BFE" w:rsidRPr="00B323C8">
        <w:lastRenderedPageBreak/>
        <w:t>the video camera</w:t>
      </w:r>
      <w:r w:rsidR="00DC4CBE" w:rsidRPr="00B323C8">
        <w:t>,</w:t>
      </w:r>
      <w:r w:rsidR="00707BFE" w:rsidRPr="00B323C8">
        <w:t xml:space="preserve"> and I videotape it and explain what happens and show the damage</w:t>
      </w:r>
      <w:r w:rsidR="00AA7650" w:rsidRPr="00B323C8">
        <w:t> . . . </w:t>
      </w:r>
      <w:r w:rsidR="00707BFE" w:rsidRPr="00B323C8">
        <w:t>, and believe me, there</w:t>
      </w:r>
      <w:r w:rsidR="00D61F82" w:rsidRPr="00B323C8">
        <w:t>’</w:t>
      </w:r>
      <w:r w:rsidR="00707BFE" w:rsidRPr="00B323C8">
        <w:t>s a hell of a lot of videotapes of that.  I mean, . . . it would just blow you away, the videotapes of damage and destruction on the road</w:t>
      </w:r>
      <w:r w:rsidR="00354288" w:rsidRPr="00B323C8">
        <w:t>.  [¶] . . . [¶] . . .</w:t>
      </w:r>
      <w:r w:rsidR="00AA7650" w:rsidRPr="00B323C8">
        <w:t xml:space="preserve">  </w:t>
      </w:r>
      <w:r w:rsidR="00354288" w:rsidRPr="00B323C8">
        <w:t>I</w:t>
      </w:r>
      <w:r w:rsidR="00D61F82" w:rsidRPr="00B323C8">
        <w:t>’</w:t>
      </w:r>
      <w:r w:rsidR="00354288" w:rsidRPr="00B323C8">
        <w:t>m talking hours, hours, hours.”</w:t>
      </w:r>
      <w:r w:rsidR="00722F8B" w:rsidRPr="00B323C8">
        <w:t xml:space="preserve">  </w:t>
      </w:r>
      <w:r w:rsidR="0036048B" w:rsidRPr="00B323C8">
        <w:t>W</w:t>
      </w:r>
      <w:r w:rsidR="00AA7650" w:rsidRPr="00B323C8">
        <w:t xml:space="preserve">ith </w:t>
      </w:r>
      <w:r w:rsidR="0036048B" w:rsidRPr="00B323C8">
        <w:t xml:space="preserve">specific </w:t>
      </w:r>
      <w:r w:rsidR="00AA7650" w:rsidRPr="00B323C8">
        <w:t xml:space="preserve">reference to </w:t>
      </w:r>
      <w:r w:rsidR="003733A8" w:rsidRPr="00B323C8">
        <w:t>his</w:t>
      </w:r>
      <w:r w:rsidR="002654C9" w:rsidRPr="00B323C8">
        <w:t xml:space="preserve"> </w:t>
      </w:r>
      <w:r w:rsidR="00DC4CBE" w:rsidRPr="00B323C8">
        <w:t>v</w:t>
      </w:r>
      <w:r w:rsidR="00354288" w:rsidRPr="00B323C8">
        <w:t xml:space="preserve">ideo of </w:t>
      </w:r>
      <w:r w:rsidR="003733A8" w:rsidRPr="00B323C8">
        <w:t xml:space="preserve">the </w:t>
      </w:r>
      <w:r w:rsidR="00B50810" w:rsidRPr="00B323C8">
        <w:t xml:space="preserve">collision between a </w:t>
      </w:r>
      <w:r w:rsidR="00354288" w:rsidRPr="00B323C8">
        <w:t xml:space="preserve">train </w:t>
      </w:r>
      <w:r w:rsidR="00B50810" w:rsidRPr="00B323C8">
        <w:t xml:space="preserve">and a truck, </w:t>
      </w:r>
      <w:r w:rsidR="00DC4CBE" w:rsidRPr="00B323C8">
        <w:t xml:space="preserve">defendant </w:t>
      </w:r>
      <w:r w:rsidR="00354288" w:rsidRPr="00B323C8">
        <w:t>said:  “When I see people watching the videotape with their mouths agape, I know that I made a good videotape.  I know that I</w:t>
      </w:r>
      <w:r w:rsidR="00D61F82" w:rsidRPr="00B323C8">
        <w:t>’</w:t>
      </w:r>
      <w:r w:rsidR="00354288" w:rsidRPr="00B323C8">
        <w:t>m doing something right.”</w:t>
      </w:r>
    </w:p>
    <w:p w14:paraId="18676353" w14:textId="6E995C89" w:rsidR="006979F5" w:rsidRPr="00B323C8" w:rsidRDefault="006979F5" w:rsidP="00B323C8">
      <w:pPr>
        <w:tabs>
          <w:tab w:val="left" w:pos="1440"/>
        </w:tabs>
        <w:ind w:firstLine="720"/>
      </w:pPr>
      <w:r w:rsidRPr="00B323C8">
        <w:t>The prosecut</w:t>
      </w:r>
      <w:r w:rsidR="0088776C" w:rsidRPr="00B323C8">
        <w:t>i</w:t>
      </w:r>
      <w:r w:rsidRPr="00B323C8">
        <w:t>o</w:t>
      </w:r>
      <w:r w:rsidR="0088776C" w:rsidRPr="00B323C8">
        <w:t xml:space="preserve">n also </w:t>
      </w:r>
      <w:r w:rsidR="00167D07" w:rsidRPr="00B323C8">
        <w:t xml:space="preserve">read into the record </w:t>
      </w:r>
      <w:r w:rsidRPr="00B323C8">
        <w:t xml:space="preserve">two letters </w:t>
      </w:r>
      <w:r w:rsidR="0088776C" w:rsidRPr="00B323C8">
        <w:t>d</w:t>
      </w:r>
      <w:r w:rsidRPr="00B323C8">
        <w:t xml:space="preserve">efendant </w:t>
      </w:r>
      <w:r w:rsidR="003733A8" w:rsidRPr="00B323C8">
        <w:t>wrote</w:t>
      </w:r>
      <w:r w:rsidR="0088776C" w:rsidRPr="00B323C8">
        <w:t xml:space="preserve"> while in custody</w:t>
      </w:r>
      <w:r w:rsidR="00F42D22" w:rsidRPr="00B323C8">
        <w:t>.</w:t>
      </w:r>
      <w:r w:rsidR="00722F8B" w:rsidRPr="00B323C8">
        <w:t xml:space="preserve">  </w:t>
      </w:r>
      <w:r w:rsidRPr="00B323C8">
        <w:t xml:space="preserve">In the first letter, </w:t>
      </w:r>
      <w:r w:rsidR="002654C9" w:rsidRPr="00B323C8">
        <w:t xml:space="preserve">dated </w:t>
      </w:r>
      <w:r w:rsidRPr="00B323C8">
        <w:t xml:space="preserve">April 6, 2006, </w:t>
      </w:r>
      <w:r w:rsidR="0088776C" w:rsidRPr="00B323C8">
        <w:t>d</w:t>
      </w:r>
      <w:r w:rsidRPr="00B323C8">
        <w:t xml:space="preserve">efendant </w:t>
      </w:r>
      <w:r w:rsidR="00167D07" w:rsidRPr="00B323C8">
        <w:t xml:space="preserve">wrote that </w:t>
      </w:r>
      <w:r w:rsidRPr="00B323C8">
        <w:t>he was not like Ted Bundy or the Unabomber</w:t>
      </w:r>
      <w:r w:rsidR="005979A8" w:rsidRPr="00B323C8">
        <w:t>, because the</w:t>
      </w:r>
      <w:r w:rsidR="001E0D4D" w:rsidRPr="00B323C8">
        <w:t xml:space="preserve">y are </w:t>
      </w:r>
      <w:r w:rsidRPr="00B323C8">
        <w:t>“serial murderers</w:t>
      </w:r>
      <w:r w:rsidR="0077364C" w:rsidRPr="00B323C8">
        <w:t xml:space="preserve">, two bad people </w:t>
      </w:r>
      <w:r w:rsidRPr="00B323C8">
        <w:t>who like to harm others.”</w:t>
      </w:r>
      <w:r w:rsidR="00722F8B" w:rsidRPr="00B323C8">
        <w:t xml:space="preserve">  </w:t>
      </w:r>
      <w:r w:rsidR="00034EF0" w:rsidRPr="00B323C8">
        <w:t>H</w:t>
      </w:r>
      <w:r w:rsidR="0088776C" w:rsidRPr="00B323C8">
        <w:t xml:space="preserve">e </w:t>
      </w:r>
      <w:r w:rsidR="002654C9" w:rsidRPr="00B323C8">
        <w:t>added</w:t>
      </w:r>
      <w:r w:rsidR="00034EF0" w:rsidRPr="00B323C8">
        <w:t xml:space="preserve">:  </w:t>
      </w:r>
      <w:r w:rsidRPr="00B323C8">
        <w:t>“I</w:t>
      </w:r>
      <w:r w:rsidR="00D61F82" w:rsidRPr="00B323C8">
        <w:t>’</w:t>
      </w:r>
      <w:r w:rsidRPr="00B323C8">
        <w:t>m a good person</w:t>
      </w:r>
      <w:r w:rsidR="0088776C" w:rsidRPr="00B323C8">
        <w:t xml:space="preserve"> </w:t>
      </w:r>
      <w:r w:rsidRPr="00B323C8">
        <w:t>who killed two bad people who liked to harm others.”</w:t>
      </w:r>
      <w:r w:rsidR="00722F8B" w:rsidRPr="00B323C8">
        <w:t xml:space="preserve">  </w:t>
      </w:r>
      <w:r w:rsidRPr="00B323C8">
        <w:t xml:space="preserve">Defendant </w:t>
      </w:r>
      <w:r w:rsidR="00DB28EC" w:rsidRPr="00B323C8">
        <w:t xml:space="preserve">also </w:t>
      </w:r>
      <w:r w:rsidRPr="00B323C8">
        <w:t>wrote that in most murders, the killer is evil</w:t>
      </w:r>
      <w:r w:rsidR="009F4305" w:rsidRPr="00B323C8">
        <w:t>,</w:t>
      </w:r>
      <w:r w:rsidRPr="00B323C8">
        <w:t xml:space="preserve"> and the</w:t>
      </w:r>
      <w:r w:rsidR="00A66F77" w:rsidRPr="00B323C8">
        <w:t xml:space="preserve"> </w:t>
      </w:r>
      <w:r w:rsidRPr="00B323C8">
        <w:t>victim is good</w:t>
      </w:r>
      <w:r w:rsidR="00F42D22" w:rsidRPr="00B323C8">
        <w:t xml:space="preserve">.  </w:t>
      </w:r>
      <w:r w:rsidRPr="00B323C8">
        <w:t xml:space="preserve">In </w:t>
      </w:r>
      <w:r w:rsidR="00B4141A" w:rsidRPr="00B323C8">
        <w:t xml:space="preserve">his case, </w:t>
      </w:r>
      <w:r w:rsidRPr="00B323C8">
        <w:t>however, he was the “good guy</w:t>
      </w:r>
      <w:r w:rsidR="0088776C" w:rsidRPr="00B323C8">
        <w:t>.</w:t>
      </w:r>
      <w:r w:rsidRPr="00B323C8">
        <w:t>”</w:t>
      </w:r>
      <w:r w:rsidR="0088776C" w:rsidRPr="00B323C8">
        <w:t xml:space="preserve">  </w:t>
      </w:r>
      <w:r w:rsidR="00A612CD" w:rsidRPr="00B323C8">
        <w:t xml:space="preserve">He said:  </w:t>
      </w:r>
      <w:r w:rsidR="0077364C" w:rsidRPr="00B323C8">
        <w:t>“I am the victim, not the criminal.”</w:t>
      </w:r>
    </w:p>
    <w:p w14:paraId="515A1AC7" w14:textId="2DD61378" w:rsidR="006979F5" w:rsidRPr="00B323C8" w:rsidRDefault="006979F5" w:rsidP="00B323C8">
      <w:pPr>
        <w:tabs>
          <w:tab w:val="left" w:pos="1440"/>
        </w:tabs>
        <w:ind w:firstLine="720"/>
      </w:pPr>
      <w:r w:rsidRPr="00B323C8">
        <w:t>Defendant began the second letter</w:t>
      </w:r>
      <w:r w:rsidR="00A66F77" w:rsidRPr="00B323C8">
        <w:t xml:space="preserve"> </w:t>
      </w:r>
      <w:r w:rsidRPr="00B323C8">
        <w:t>on August 1</w:t>
      </w:r>
      <w:r w:rsidR="000356DA" w:rsidRPr="00B323C8">
        <w:t>, 2</w:t>
      </w:r>
      <w:r w:rsidRPr="00B323C8">
        <w:t xml:space="preserve">006, and </w:t>
      </w:r>
      <w:r w:rsidR="00A66F77" w:rsidRPr="00B323C8">
        <w:t xml:space="preserve">he </w:t>
      </w:r>
      <w:r w:rsidRPr="00B323C8">
        <w:t>completed it</w:t>
      </w:r>
      <w:r w:rsidR="00A66F77" w:rsidRPr="00B323C8">
        <w:t xml:space="preserve"> </w:t>
      </w:r>
      <w:r w:rsidRPr="00B323C8">
        <w:t>on September 11, 2006</w:t>
      </w:r>
      <w:r w:rsidR="00F42D22" w:rsidRPr="00B323C8">
        <w:t xml:space="preserve">. </w:t>
      </w:r>
      <w:r w:rsidR="00A66F77" w:rsidRPr="00B323C8">
        <w:t xml:space="preserve"> </w:t>
      </w:r>
      <w:r w:rsidR="00B741DA" w:rsidRPr="00B323C8">
        <w:t>In the letter, h</w:t>
      </w:r>
      <w:r w:rsidR="003F476D" w:rsidRPr="00B323C8">
        <w:t xml:space="preserve">e argued that he should be rewarded with paradise for what he </w:t>
      </w:r>
      <w:r w:rsidR="00B741DA" w:rsidRPr="00B323C8">
        <w:t>had done</w:t>
      </w:r>
      <w:r w:rsidR="003F476D" w:rsidRPr="00B323C8">
        <w:t xml:space="preserve">.  He then described </w:t>
      </w:r>
      <w:r w:rsidR="006F12A0" w:rsidRPr="00B323C8">
        <w:t>paradise</w:t>
      </w:r>
      <w:r w:rsidR="0077364C" w:rsidRPr="00B323C8">
        <w:t xml:space="preserve"> as a place</w:t>
      </w:r>
      <w:r w:rsidR="005979A8" w:rsidRPr="00B323C8">
        <w:t xml:space="preserve"> </w:t>
      </w:r>
      <w:r w:rsidR="000C7AF7" w:rsidRPr="00B323C8">
        <w:t xml:space="preserve">where </w:t>
      </w:r>
      <w:r w:rsidR="006F12A0" w:rsidRPr="00B323C8">
        <w:t xml:space="preserve">he would “spend [his] time playing with explosives and blowing stuff up.”  </w:t>
      </w:r>
      <w:r w:rsidR="00B50810" w:rsidRPr="00B323C8">
        <w:t xml:space="preserve">At several points in </w:t>
      </w:r>
      <w:r w:rsidR="006F12A0" w:rsidRPr="00B323C8">
        <w:t>the letter</w:t>
      </w:r>
      <w:r w:rsidR="00DB28EC" w:rsidRPr="00B323C8">
        <w:t>,</w:t>
      </w:r>
      <w:r w:rsidR="006F12A0" w:rsidRPr="00B323C8">
        <w:t xml:space="preserve"> he wrote </w:t>
      </w:r>
      <w:r w:rsidR="0077364C" w:rsidRPr="00B323C8">
        <w:t xml:space="preserve">the words </w:t>
      </w:r>
      <w:r w:rsidR="006F12A0" w:rsidRPr="00B323C8">
        <w:t>“Red rum</w:t>
      </w:r>
      <w:r w:rsidR="00717298" w:rsidRPr="00B323C8">
        <w:t>,</w:t>
      </w:r>
      <w:r w:rsidR="006F12A0" w:rsidRPr="00B323C8">
        <w:t>” and at the end of the letter, he revealed that “Red rum” was “murder” spelled backwards.</w:t>
      </w:r>
      <w:r w:rsidR="0077364C" w:rsidRPr="00B323C8">
        <w:t xml:space="preserve">  </w:t>
      </w:r>
      <w:r w:rsidR="00792B0A" w:rsidRPr="00B323C8">
        <w:t>D</w:t>
      </w:r>
      <w:r w:rsidRPr="00B323C8">
        <w:t xml:space="preserve">efendant </w:t>
      </w:r>
      <w:r w:rsidR="00792B0A" w:rsidRPr="00B323C8">
        <w:t>also wrote</w:t>
      </w:r>
      <w:r w:rsidR="00A66F77" w:rsidRPr="00B323C8">
        <w:t>:</w:t>
      </w:r>
      <w:r w:rsidR="0077364C" w:rsidRPr="00B323C8">
        <w:t xml:space="preserve">  </w:t>
      </w:r>
      <w:r w:rsidR="00A66F77" w:rsidRPr="00B323C8">
        <w:t>“</w:t>
      </w:r>
      <w:r w:rsidRPr="00B323C8">
        <w:t>I am facing first degree multiple murder charges, and I</w:t>
      </w:r>
      <w:r w:rsidR="00570617" w:rsidRPr="00B323C8">
        <w:t xml:space="preserve"> </w:t>
      </w:r>
      <w:r w:rsidRPr="00B323C8">
        <w:t>am facing the death penalty</w:t>
      </w:r>
      <w:r w:rsidR="00F42D22" w:rsidRPr="00B323C8">
        <w:t xml:space="preserve">.  </w:t>
      </w:r>
      <w:r w:rsidRPr="00B323C8">
        <w:t>This is the ultimate charge and the</w:t>
      </w:r>
      <w:r w:rsidR="00570617" w:rsidRPr="00B323C8">
        <w:t xml:space="preserve"> </w:t>
      </w:r>
      <w:r w:rsidRPr="00B323C8">
        <w:t>maximum punishment</w:t>
      </w:r>
      <w:r w:rsidR="00F42D22" w:rsidRPr="00B323C8">
        <w:t>.</w:t>
      </w:r>
      <w:r w:rsidR="0077364C" w:rsidRPr="00B323C8">
        <w:t>  </w:t>
      </w:r>
      <w:r w:rsidR="00570617" w:rsidRPr="00B323C8">
        <w:t>[¶]</w:t>
      </w:r>
      <w:r w:rsidR="0077364C" w:rsidRPr="00B323C8">
        <w:t xml:space="preserve">  </w:t>
      </w:r>
      <w:r w:rsidR="00570617" w:rsidRPr="00B323C8">
        <w:t>R</w:t>
      </w:r>
      <w:r w:rsidRPr="00B323C8">
        <w:t>ight now I can rob a bank, steal a car</w:t>
      </w:r>
      <w:r w:rsidR="002654C9" w:rsidRPr="00B323C8">
        <w:t>,</w:t>
      </w:r>
      <w:r w:rsidRPr="00B323C8">
        <w:t xml:space="preserve"> or</w:t>
      </w:r>
      <w:r w:rsidR="00570617" w:rsidRPr="00B323C8">
        <w:t xml:space="preserve"> </w:t>
      </w:r>
      <w:r w:rsidRPr="00B323C8">
        <w:t>even kill again, and this state couldn</w:t>
      </w:r>
      <w:r w:rsidR="00D61F82" w:rsidRPr="00B323C8">
        <w:t>’</w:t>
      </w:r>
      <w:r w:rsidRPr="00B323C8">
        <w:t>t punish me one bit more</w:t>
      </w:r>
      <w:r w:rsidR="00F42D22" w:rsidRPr="00B323C8">
        <w:t xml:space="preserve">.  </w:t>
      </w:r>
      <w:r w:rsidRPr="00B323C8">
        <w:t>I have</w:t>
      </w:r>
      <w:r w:rsidR="00570617" w:rsidRPr="00B323C8">
        <w:t xml:space="preserve"> </w:t>
      </w:r>
      <w:r w:rsidRPr="00B323C8">
        <w:t>achieved the ultimate.</w:t>
      </w:r>
      <w:r w:rsidR="00570617" w:rsidRPr="00B323C8">
        <w:t>”</w:t>
      </w:r>
    </w:p>
    <w:p w14:paraId="157C81E1" w14:textId="75B951B4" w:rsidR="006979F5" w:rsidRPr="00B323C8" w:rsidRDefault="0073679F" w:rsidP="00B323C8">
      <w:pPr>
        <w:tabs>
          <w:tab w:val="left" w:pos="1440"/>
        </w:tabs>
        <w:ind w:firstLine="720"/>
      </w:pPr>
      <w:r w:rsidRPr="00B323C8">
        <w:lastRenderedPageBreak/>
        <w:t>In addition, t</w:t>
      </w:r>
      <w:r w:rsidR="00570617" w:rsidRPr="00B323C8">
        <w:t>he prosecution presented v</w:t>
      </w:r>
      <w:r w:rsidR="006979F5" w:rsidRPr="00B323C8">
        <w:t>ictim</w:t>
      </w:r>
      <w:r w:rsidR="00204841">
        <w:t xml:space="preserve"> </w:t>
      </w:r>
      <w:r w:rsidR="006979F5" w:rsidRPr="00B323C8">
        <w:t>impact evidence</w:t>
      </w:r>
      <w:r w:rsidR="00570617" w:rsidRPr="00B323C8">
        <w:t xml:space="preserve">.  </w:t>
      </w:r>
      <w:r w:rsidR="006979F5" w:rsidRPr="00B323C8">
        <w:t>Paul</w:t>
      </w:r>
      <w:r w:rsidR="00D61F82" w:rsidRPr="00B323C8">
        <w:t>’</w:t>
      </w:r>
      <w:r w:rsidR="006979F5" w:rsidRPr="00B323C8">
        <w:t xml:space="preserve">s brother Kent discussed the difficulty of </w:t>
      </w:r>
      <w:r w:rsidR="006C7B1D" w:rsidRPr="00B323C8">
        <w:t xml:space="preserve">caring for </w:t>
      </w:r>
      <w:r w:rsidR="006979F5" w:rsidRPr="00B323C8">
        <w:t>Paul</w:t>
      </w:r>
      <w:r w:rsidR="00D61F82" w:rsidRPr="00B323C8">
        <w:t>’</w:t>
      </w:r>
      <w:r w:rsidR="006979F5" w:rsidRPr="00B323C8">
        <w:t>s children</w:t>
      </w:r>
      <w:r w:rsidR="006D2804" w:rsidRPr="00B323C8">
        <w:t xml:space="preserve"> </w:t>
      </w:r>
      <w:r w:rsidR="006979F5" w:rsidRPr="00B323C8">
        <w:t>after the murder</w:t>
      </w:r>
      <w:r w:rsidR="007E5E66" w:rsidRPr="00B323C8">
        <w:t xml:space="preserve"> of their parents.  </w:t>
      </w:r>
      <w:r w:rsidR="006979F5" w:rsidRPr="00B323C8">
        <w:t>Doug Bowman testified that he had grown up with Paul</w:t>
      </w:r>
      <w:r w:rsidR="006C7B1D" w:rsidRPr="00B323C8">
        <w:t xml:space="preserve"> and described the many noble qualities of both Julie and Paul. </w:t>
      </w:r>
      <w:r w:rsidR="006979F5" w:rsidRPr="00B323C8">
        <w:t>Julie and Paul “didn</w:t>
      </w:r>
      <w:r w:rsidR="00D61F82" w:rsidRPr="00B323C8">
        <w:t>’</w:t>
      </w:r>
      <w:r w:rsidR="006979F5" w:rsidRPr="00B323C8">
        <w:t>t see people as bad,</w:t>
      </w:r>
      <w:r w:rsidR="00740B3F" w:rsidRPr="00B323C8">
        <w:t xml:space="preserve"> </w:t>
      </w:r>
      <w:r w:rsidR="006979F5" w:rsidRPr="00B323C8">
        <w:t>they saw them as what they were</w:t>
      </w:r>
      <w:r w:rsidR="00E55E58" w:rsidRPr="00B323C8">
        <w:t>,</w:t>
      </w:r>
      <w:r w:rsidR="006979F5" w:rsidRPr="00B323C8">
        <w:t xml:space="preserve"> and they really cared for other people</w:t>
      </w:r>
      <w:r w:rsidR="00B42BAA" w:rsidRPr="00B323C8">
        <w:t>,</w:t>
      </w:r>
      <w:r w:rsidR="006979F5" w:rsidRPr="00B323C8">
        <w:t xml:space="preserve"> and</w:t>
      </w:r>
      <w:r w:rsidR="00740B3F" w:rsidRPr="00B323C8">
        <w:t xml:space="preserve"> </w:t>
      </w:r>
      <w:r w:rsidR="006979F5" w:rsidRPr="00B323C8">
        <w:t>that was the people they were.”</w:t>
      </w:r>
    </w:p>
    <w:p w14:paraId="536A8FAA" w14:textId="75771E0A" w:rsidR="006979F5" w:rsidRPr="00B323C8" w:rsidRDefault="006979F5" w:rsidP="00B323C8">
      <w:pPr>
        <w:tabs>
          <w:tab w:val="left" w:pos="1440"/>
        </w:tabs>
        <w:ind w:firstLine="720"/>
      </w:pPr>
      <w:r w:rsidRPr="00B323C8">
        <w:t xml:space="preserve">Eric </w:t>
      </w:r>
      <w:r w:rsidR="00167D07" w:rsidRPr="00B323C8">
        <w:t xml:space="preserve">and Laurel also </w:t>
      </w:r>
      <w:r w:rsidRPr="00B323C8">
        <w:t>testified</w:t>
      </w:r>
      <w:r w:rsidR="006C7B1D" w:rsidRPr="00B323C8">
        <w:t>, describing their parents in positive terms</w:t>
      </w:r>
      <w:r w:rsidR="00204841">
        <w:t>,</w:t>
      </w:r>
      <w:r w:rsidR="006C7B1D" w:rsidRPr="00B323C8">
        <w:t xml:space="preserve"> and</w:t>
      </w:r>
      <w:r w:rsidR="005D56E5" w:rsidRPr="00B323C8">
        <w:t xml:space="preserve"> also </w:t>
      </w:r>
      <w:r w:rsidR="006C7B1D" w:rsidRPr="00B323C8">
        <w:t xml:space="preserve">relating the personal difficulties they faced after the murders.  </w:t>
      </w:r>
      <w:r w:rsidR="00E55E58" w:rsidRPr="00B323C8">
        <w:t xml:space="preserve">Eric </w:t>
      </w:r>
      <w:r w:rsidR="006C7B1D" w:rsidRPr="00B323C8">
        <w:t xml:space="preserve">said:  </w:t>
      </w:r>
      <w:r w:rsidR="00740B3F" w:rsidRPr="00B323C8">
        <w:t>“</w:t>
      </w:r>
      <w:r w:rsidRPr="00B323C8">
        <w:t xml:space="preserve">Something that is really important in describing both of them is </w:t>
      </w:r>
      <w:proofErr w:type="gramStart"/>
      <w:r w:rsidRPr="00B323C8">
        <w:t>that</w:t>
      </w:r>
      <w:r w:rsidR="00CD1D4E">
        <w:t>,</w:t>
      </w:r>
      <w:proofErr w:type="gramEnd"/>
      <w:r w:rsidRPr="00B323C8">
        <w:t xml:space="preserve"> they didn</w:t>
      </w:r>
      <w:r w:rsidR="00D61F82" w:rsidRPr="00B323C8">
        <w:t>’</w:t>
      </w:r>
      <w:r w:rsidRPr="00B323C8">
        <w:t>t believe in</w:t>
      </w:r>
      <w:r w:rsidR="003733A8" w:rsidRPr="00B323C8">
        <w:t>,</w:t>
      </w:r>
      <w:r w:rsidRPr="00B323C8">
        <w:t xml:space="preserve"> like</w:t>
      </w:r>
      <w:r w:rsidR="003733A8" w:rsidRPr="00B323C8">
        <w:t>,</w:t>
      </w:r>
      <w:r w:rsidRPr="00B323C8">
        <w:t xml:space="preserve"> bad people, like</w:t>
      </w:r>
      <w:r w:rsidR="003733A8" w:rsidRPr="00B323C8">
        <w:t>,</w:t>
      </w:r>
      <w:r w:rsidRPr="00B323C8">
        <w:t xml:space="preserve"> we struggled growing up,</w:t>
      </w:r>
      <w:r w:rsidR="00740B3F" w:rsidRPr="00B323C8">
        <w:t xml:space="preserve"> </w:t>
      </w:r>
      <w:r w:rsidRPr="00B323C8">
        <w:t>we got in a lot of trouble</w:t>
      </w:r>
      <w:r w:rsidR="00B42BAA" w:rsidRPr="00B323C8">
        <w:t>,</w:t>
      </w:r>
      <w:r w:rsidRPr="00B323C8">
        <w:t xml:space="preserve"> and they never thought that we were bad,</w:t>
      </w:r>
      <w:r w:rsidR="00740B3F" w:rsidRPr="00B323C8">
        <w:t xml:space="preserve"> </w:t>
      </w:r>
      <w:r w:rsidRPr="00B323C8">
        <w:t>just that our actions maybe needed adjusting, an</w:t>
      </w:r>
      <w:r w:rsidR="001E544A" w:rsidRPr="00B323C8">
        <w:t>d</w:t>
      </w:r>
      <w:r w:rsidRPr="00B323C8">
        <w:t xml:space="preserve"> they were not</w:t>
      </w:r>
      <w:r w:rsidR="00740B3F" w:rsidRPr="00B323C8">
        <w:t xml:space="preserve"> </w:t>
      </w:r>
      <w:r w:rsidRPr="00B323C8">
        <w:t>vengeful</w:t>
      </w:r>
      <w:r w:rsidR="00F42D22" w:rsidRPr="00B323C8">
        <w:t xml:space="preserve">.  </w:t>
      </w:r>
      <w:r w:rsidRPr="00B323C8">
        <w:t>They wouldn</w:t>
      </w:r>
      <w:r w:rsidR="00D61F82" w:rsidRPr="00B323C8">
        <w:t>’</w:t>
      </w:r>
      <w:r w:rsidRPr="00B323C8">
        <w:t>t react out of anger</w:t>
      </w:r>
      <w:r w:rsidR="00167D07" w:rsidRPr="00B323C8">
        <w:t> . . . .</w:t>
      </w:r>
      <w:r w:rsidR="00740B3F" w:rsidRPr="00B323C8">
        <w:t>”</w:t>
      </w:r>
      <w:r w:rsidR="006C7B1D" w:rsidRPr="00B323C8">
        <w:t xml:space="preserve">  On cross-examination, defendant asked </w:t>
      </w:r>
      <w:r w:rsidR="00B11EA0" w:rsidRPr="00B323C8">
        <w:t>Eric about the penalty decision then before the jury</w:t>
      </w:r>
      <w:r w:rsidRPr="00B323C8">
        <w:t xml:space="preserve">, </w:t>
      </w:r>
      <w:r w:rsidR="002654DD" w:rsidRPr="00B323C8">
        <w:t xml:space="preserve">and </w:t>
      </w:r>
      <w:r w:rsidRPr="00B323C8">
        <w:t xml:space="preserve">Eric </w:t>
      </w:r>
      <w:r w:rsidR="00B11EA0" w:rsidRPr="00B323C8">
        <w:t>said</w:t>
      </w:r>
      <w:r w:rsidRPr="00B323C8">
        <w:t>:</w:t>
      </w:r>
      <w:r w:rsidR="001E544A" w:rsidRPr="00B323C8">
        <w:t xml:space="preserve">  “</w:t>
      </w:r>
      <w:r w:rsidRPr="00B323C8">
        <w:t>It would be wrong for you to get the death penalty, you specifically,</w:t>
      </w:r>
      <w:r w:rsidR="001E544A" w:rsidRPr="00B323C8">
        <w:t xml:space="preserve"> </w:t>
      </w:r>
      <w:r w:rsidRPr="00B323C8">
        <w:t>because you</w:t>
      </w:r>
      <w:r w:rsidR="00D61F82" w:rsidRPr="00B323C8">
        <w:t>’</w:t>
      </w:r>
      <w:r w:rsidRPr="00B323C8">
        <w:t>re mentally childish</w:t>
      </w:r>
      <w:r w:rsidR="00F42D22" w:rsidRPr="00B323C8">
        <w:t xml:space="preserve">.  </w:t>
      </w:r>
      <w:r w:rsidRPr="00B323C8">
        <w:t>You</w:t>
      </w:r>
      <w:r w:rsidR="00D61F82" w:rsidRPr="00B323C8">
        <w:t>’</w:t>
      </w:r>
      <w:r w:rsidRPr="00B323C8">
        <w:t>re very immature for your age.</w:t>
      </w:r>
      <w:r w:rsidR="001E544A" w:rsidRPr="00B323C8">
        <w:t xml:space="preserve">  [¶]  </w:t>
      </w:r>
      <w:r w:rsidRPr="00B323C8">
        <w:t>I know people who have known you for a long time, and they say</w:t>
      </w:r>
      <w:r w:rsidR="001E544A" w:rsidRPr="00B323C8">
        <w:t xml:space="preserve"> </w:t>
      </w:r>
      <w:r w:rsidRPr="00B323C8">
        <w:t>you haven</w:t>
      </w:r>
      <w:r w:rsidR="00D61F82" w:rsidRPr="00B323C8">
        <w:t>’</w:t>
      </w:r>
      <w:r w:rsidRPr="00B323C8">
        <w:t>t changed much since you were about nine years old.</w:t>
      </w:r>
      <w:r w:rsidR="001E544A" w:rsidRPr="00B323C8">
        <w:t>”</w:t>
      </w:r>
      <w:r w:rsidR="003733A8" w:rsidRPr="00B323C8">
        <w:rPr>
          <w:rStyle w:val="FootnoteReference"/>
        </w:rPr>
        <w:footnoteReference w:id="6"/>
      </w:r>
    </w:p>
    <w:p w14:paraId="3A1652A9" w14:textId="3B72AE9C" w:rsidR="006979F5" w:rsidRPr="00B323C8" w:rsidRDefault="00717BC7" w:rsidP="00B323C8">
      <w:pPr>
        <w:pStyle w:val="Heading3"/>
      </w:pPr>
      <w:bookmarkStart w:id="11" w:name="_Toc66715094"/>
      <w:r w:rsidRPr="00B323C8">
        <w:t>3</w:t>
      </w:r>
      <w:r w:rsidR="00F42D22" w:rsidRPr="00B323C8">
        <w:t xml:space="preserve">. </w:t>
      </w:r>
      <w:r w:rsidR="00702135" w:rsidRPr="00B323C8">
        <w:t xml:space="preserve">The </w:t>
      </w:r>
      <w:r w:rsidR="006979F5" w:rsidRPr="00B323C8">
        <w:t>Defense Case in Mitigation</w:t>
      </w:r>
      <w:bookmarkEnd w:id="11"/>
    </w:p>
    <w:p w14:paraId="5E1D3400" w14:textId="4936AA99" w:rsidR="002F6508" w:rsidRPr="00B323C8" w:rsidRDefault="00F62DC6" w:rsidP="00B323C8">
      <w:pPr>
        <w:pStyle w:val="Heading4"/>
      </w:pPr>
      <w:r w:rsidRPr="00B323C8">
        <w:t>a</w:t>
      </w:r>
      <w:r w:rsidR="002F6508" w:rsidRPr="00B323C8">
        <w:t xml:space="preserve">. </w:t>
      </w:r>
      <w:r w:rsidRPr="00B323C8">
        <w:t>Direct Examination of Defendant</w:t>
      </w:r>
    </w:p>
    <w:p w14:paraId="51119867" w14:textId="006BFFE8" w:rsidR="005809B6" w:rsidRPr="00B323C8" w:rsidRDefault="00FF5347" w:rsidP="00B323C8">
      <w:pPr>
        <w:tabs>
          <w:tab w:val="left" w:pos="1440"/>
        </w:tabs>
        <w:ind w:firstLine="720"/>
      </w:pPr>
      <w:r w:rsidRPr="00B323C8">
        <w:t xml:space="preserve">Throughout his testimony, </w:t>
      </w:r>
      <w:r w:rsidR="00692E3E" w:rsidRPr="00B323C8">
        <w:t xml:space="preserve">defendant </w:t>
      </w:r>
      <w:r w:rsidR="007C3D44" w:rsidRPr="00B323C8">
        <w:t xml:space="preserve">continued his habit of calling </w:t>
      </w:r>
      <w:r w:rsidR="00CE72D2" w:rsidRPr="00B323C8">
        <w:t xml:space="preserve">the prosecutor </w:t>
      </w:r>
      <w:r w:rsidR="00551ADC" w:rsidRPr="00B323C8">
        <w:t xml:space="preserve">the </w:t>
      </w:r>
      <w:r w:rsidR="00CE72D2" w:rsidRPr="00B323C8">
        <w:t>“persecutor</w:t>
      </w:r>
      <w:r w:rsidR="00BD5094" w:rsidRPr="00B323C8">
        <w:t>,</w:t>
      </w:r>
      <w:r w:rsidR="00CE72D2" w:rsidRPr="00B323C8">
        <w:t>”</w:t>
      </w:r>
      <w:r w:rsidR="00BD5094" w:rsidRPr="00B323C8">
        <w:t xml:space="preserve"> </w:t>
      </w:r>
      <w:r w:rsidR="00E155F1" w:rsidRPr="00B323C8">
        <w:t>and h</w:t>
      </w:r>
      <w:r w:rsidR="007C3D44" w:rsidRPr="00B323C8">
        <w:t>e</w:t>
      </w:r>
      <w:r w:rsidR="00167D07" w:rsidRPr="00B323C8">
        <w:t xml:space="preserve"> said that he </w:t>
      </w:r>
      <w:r w:rsidR="00167D07" w:rsidRPr="00B323C8">
        <w:lastRenderedPageBreak/>
        <w:t xml:space="preserve">(defendant) had </w:t>
      </w:r>
      <w:r w:rsidR="00EF2C3B" w:rsidRPr="00B323C8">
        <w:t>“won that free trip to Prisneyland</w:t>
      </w:r>
      <w:r w:rsidRPr="00B323C8">
        <w:t>,</w:t>
      </w:r>
      <w:r w:rsidR="00EF2C3B" w:rsidRPr="00B323C8">
        <w:t>” a play on the word “prison</w:t>
      </w:r>
      <w:r w:rsidR="00BD5094" w:rsidRPr="00B323C8">
        <w:t>.</w:t>
      </w:r>
      <w:r w:rsidR="00EF2C3B" w:rsidRPr="00B323C8">
        <w:t>”</w:t>
      </w:r>
      <w:r w:rsidR="00E155F1" w:rsidRPr="00B323C8">
        <w:t xml:space="preserve">  H</w:t>
      </w:r>
      <w:r w:rsidR="003355DF" w:rsidRPr="00B323C8">
        <w:t xml:space="preserve">e </w:t>
      </w:r>
      <w:r w:rsidR="00E155F1" w:rsidRPr="00B323C8">
        <w:t xml:space="preserve">then </w:t>
      </w:r>
      <w:r w:rsidR="00EF2C3B" w:rsidRPr="00B323C8">
        <w:t>comment</w:t>
      </w:r>
      <w:r w:rsidR="003355DF" w:rsidRPr="00B323C8">
        <w:t>ed</w:t>
      </w:r>
      <w:r w:rsidR="00EF2C3B" w:rsidRPr="00B323C8">
        <w:t xml:space="preserve"> that </w:t>
      </w:r>
      <w:r w:rsidR="00D66D38" w:rsidRPr="00B323C8">
        <w:t xml:space="preserve">“this audience </w:t>
      </w:r>
      <w:r w:rsidR="00692E3E" w:rsidRPr="00B323C8">
        <w:t>wa</w:t>
      </w:r>
      <w:r w:rsidR="00D66D38" w:rsidRPr="00B323C8">
        <w:t xml:space="preserve">s </w:t>
      </w:r>
      <w:r w:rsidR="00EF2C3B" w:rsidRPr="00B323C8">
        <w:t>comically challenged</w:t>
      </w:r>
      <w:r w:rsidR="00BD5094" w:rsidRPr="00B323C8">
        <w:t>,</w:t>
      </w:r>
      <w:r w:rsidR="00EF2C3B" w:rsidRPr="00B323C8">
        <w:t>”</w:t>
      </w:r>
      <w:r w:rsidR="00CE0602" w:rsidRPr="00B323C8">
        <w:t xml:space="preserve"> and h</w:t>
      </w:r>
      <w:r w:rsidR="00245C11" w:rsidRPr="00B323C8">
        <w:t xml:space="preserve">e specifically mentioned the fact that </w:t>
      </w:r>
      <w:r w:rsidR="003355DF" w:rsidRPr="00B323C8">
        <w:t>his tie was t</w:t>
      </w:r>
      <w:r w:rsidR="00245C11" w:rsidRPr="00B323C8">
        <w:t>ied in the shape of a hangman</w:t>
      </w:r>
      <w:r w:rsidR="00D61F82" w:rsidRPr="00B323C8">
        <w:t>’</w:t>
      </w:r>
      <w:r w:rsidR="00245C11" w:rsidRPr="00B323C8">
        <w:t xml:space="preserve">s noose.  </w:t>
      </w:r>
      <w:r w:rsidR="00EF2C3B" w:rsidRPr="00B323C8">
        <w:t xml:space="preserve">He </w:t>
      </w:r>
      <w:r w:rsidR="00245C11" w:rsidRPr="00B323C8">
        <w:t xml:space="preserve">next </w:t>
      </w:r>
      <w:r w:rsidR="00EF2C3B" w:rsidRPr="00B323C8">
        <w:t>complimented Eric</w:t>
      </w:r>
      <w:r w:rsidR="00503D1F" w:rsidRPr="00B323C8">
        <w:t>, adding</w:t>
      </w:r>
      <w:r w:rsidR="00EF2C3B" w:rsidRPr="00B323C8">
        <w:t>:  “I did a good job in getting rid of the parents, it was a good thing to do, it helped a lot.”</w:t>
      </w:r>
      <w:r w:rsidR="005A0A15" w:rsidRPr="00B323C8">
        <w:t xml:space="preserve">  He also said:  “Some people think I</w:t>
      </w:r>
      <w:r w:rsidR="00D61F82" w:rsidRPr="00B323C8">
        <w:t>’</w:t>
      </w:r>
      <w:r w:rsidR="005A0A15" w:rsidRPr="00B323C8">
        <w:t xml:space="preserve">m a bad man or an evil man, but you know, if I </w:t>
      </w:r>
      <w:proofErr w:type="gramStart"/>
      <w:r w:rsidR="005A0A15" w:rsidRPr="00B323C8">
        <w:t>was</w:t>
      </w:r>
      <w:proofErr w:type="gramEnd"/>
      <w:r w:rsidR="005A0A15" w:rsidRPr="00B323C8">
        <w:t> . . . really an evil man, I would have killed the kids right there, but I didn</w:t>
      </w:r>
      <w:r w:rsidR="00D61F82" w:rsidRPr="00B323C8">
        <w:t>’</w:t>
      </w:r>
      <w:r w:rsidR="005A0A15" w:rsidRPr="00B323C8">
        <w:t>t do that, see.  So, I am a good person for that.”</w:t>
      </w:r>
    </w:p>
    <w:p w14:paraId="69E6C4F2" w14:textId="6D41FEDF" w:rsidR="005809B6" w:rsidRPr="00B323C8" w:rsidRDefault="001279BC" w:rsidP="00B323C8">
      <w:pPr>
        <w:tabs>
          <w:tab w:val="left" w:pos="1440"/>
        </w:tabs>
        <w:ind w:firstLine="720"/>
      </w:pPr>
      <w:r w:rsidRPr="00B323C8">
        <w:t>Referencing his</w:t>
      </w:r>
      <w:r w:rsidR="00A27D58" w:rsidRPr="00B323C8">
        <w:t xml:space="preserve"> </w:t>
      </w:r>
      <w:r w:rsidR="00FF5347" w:rsidRPr="00B323C8">
        <w:t xml:space="preserve">statement that </w:t>
      </w:r>
      <w:r w:rsidR="00EF2C3B" w:rsidRPr="00B323C8">
        <w:t xml:space="preserve">he was </w:t>
      </w:r>
      <w:r w:rsidR="0099091D" w:rsidRPr="00B323C8">
        <w:t>“</w:t>
      </w:r>
      <w:r w:rsidR="00EF2C3B" w:rsidRPr="00B323C8">
        <w:t xml:space="preserve">one trait away </w:t>
      </w:r>
      <w:r w:rsidR="00873E2D" w:rsidRPr="00B323C8">
        <w:t xml:space="preserve">from </w:t>
      </w:r>
      <w:r w:rsidR="00EF2C3B" w:rsidRPr="00B323C8">
        <w:t>being a serial killer</w:t>
      </w:r>
      <w:r w:rsidR="00BD5094" w:rsidRPr="00B323C8">
        <w:t>,</w:t>
      </w:r>
      <w:r w:rsidR="0099091D" w:rsidRPr="00B323C8">
        <w:t>”</w:t>
      </w:r>
      <w:r w:rsidR="00C67650" w:rsidRPr="00B323C8">
        <w:t xml:space="preserve"> </w:t>
      </w:r>
      <w:r w:rsidR="00CE0602" w:rsidRPr="00B323C8">
        <w:t xml:space="preserve">defendant conceded that it was true, arguing </w:t>
      </w:r>
      <w:r w:rsidR="00EF2C3B" w:rsidRPr="00B323C8">
        <w:t>that he “used it positively” by killing only when</w:t>
      </w:r>
      <w:r w:rsidR="00CE0602" w:rsidRPr="00B323C8">
        <w:t xml:space="preserve"> </w:t>
      </w:r>
      <w:r w:rsidR="00EF2C3B" w:rsidRPr="00B323C8">
        <w:t xml:space="preserve">necessary.  </w:t>
      </w:r>
      <w:r w:rsidR="00FF5347" w:rsidRPr="00B323C8">
        <w:t>H</w:t>
      </w:r>
      <w:r w:rsidR="0051671E" w:rsidRPr="00B323C8">
        <w:t>e said:  “What I meant was, you know . . . , I can do stuff like this, you know, I got the ability, but my wanting to do good, my morals keep me in check. . . .  But w</w:t>
      </w:r>
      <w:r w:rsidR="00C01F22" w:rsidRPr="00B323C8">
        <w:t>hat proves that I</w:t>
      </w:r>
      <w:r w:rsidR="00D61F82" w:rsidRPr="00B323C8">
        <w:t>’</w:t>
      </w:r>
      <w:r w:rsidR="00C01F22" w:rsidRPr="00B323C8">
        <w:t>m a real man is that</w:t>
      </w:r>
      <w:r w:rsidR="00CE0602" w:rsidRPr="00B323C8">
        <w:t>,</w:t>
      </w:r>
      <w:r w:rsidR="00C01F22" w:rsidRPr="00B323C8">
        <w:t xml:space="preserve"> if I have to do something like this</w:t>
      </w:r>
      <w:r w:rsidR="00CE0602" w:rsidRPr="00B323C8">
        <w:t>,</w:t>
      </w:r>
      <w:r w:rsidR="00C01F22" w:rsidRPr="00B323C8">
        <w:t xml:space="preserve"> I will do it.”  </w:t>
      </w:r>
      <w:r w:rsidR="001555E4">
        <w:t>Then, a</w:t>
      </w:r>
      <w:r w:rsidR="00C01F22" w:rsidRPr="00B323C8">
        <w:t>bout the death penalty</w:t>
      </w:r>
      <w:r w:rsidR="00B71649" w:rsidRPr="00B323C8">
        <w:t>, he said</w:t>
      </w:r>
      <w:r w:rsidR="00C01F22" w:rsidRPr="00B323C8">
        <w:t>:  “It</w:t>
      </w:r>
      <w:r w:rsidR="00D61F82" w:rsidRPr="00B323C8">
        <w:t>’</w:t>
      </w:r>
      <w:r w:rsidR="00C01F22" w:rsidRPr="00B323C8">
        <w:t>s wrong to just throw a person away like that.”</w:t>
      </w:r>
    </w:p>
    <w:p w14:paraId="727F9131" w14:textId="66F9BD27" w:rsidR="008E13D9" w:rsidRPr="00B323C8" w:rsidRDefault="005809B6" w:rsidP="00B323C8">
      <w:pPr>
        <w:tabs>
          <w:tab w:val="left" w:pos="1440"/>
        </w:tabs>
        <w:ind w:firstLine="720"/>
      </w:pPr>
      <w:r w:rsidRPr="00B323C8">
        <w:t>Defendant a</w:t>
      </w:r>
      <w:r w:rsidR="003355DF" w:rsidRPr="00B323C8">
        <w:t xml:space="preserve">lso </w:t>
      </w:r>
      <w:r w:rsidRPr="00B323C8">
        <w:t xml:space="preserve">testified </w:t>
      </w:r>
      <w:r w:rsidR="008E13D9" w:rsidRPr="00B323C8">
        <w:t xml:space="preserve">that he </w:t>
      </w:r>
      <w:r w:rsidR="003355DF" w:rsidRPr="00B323C8">
        <w:t xml:space="preserve">had </w:t>
      </w:r>
      <w:r w:rsidR="008E13D9" w:rsidRPr="00B323C8">
        <w:t xml:space="preserve">saved </w:t>
      </w:r>
      <w:r w:rsidR="003355DF" w:rsidRPr="00B323C8">
        <w:t xml:space="preserve">the state </w:t>
      </w:r>
      <w:r w:rsidR="008E13D9" w:rsidRPr="00B323C8">
        <w:t>money by killing bad people without the need for a costly trial</w:t>
      </w:r>
      <w:r w:rsidRPr="00B323C8">
        <w:t xml:space="preserve">, saying that </w:t>
      </w:r>
      <w:r w:rsidR="008E13D9" w:rsidRPr="00B323C8">
        <w:t xml:space="preserve">he </w:t>
      </w:r>
      <w:r w:rsidR="003355DF" w:rsidRPr="00B323C8">
        <w:t xml:space="preserve">had </w:t>
      </w:r>
      <w:r w:rsidR="008E13D9" w:rsidRPr="00B323C8">
        <w:t>“played judge, jury</w:t>
      </w:r>
      <w:r w:rsidR="00CC5F58" w:rsidRPr="00B323C8">
        <w:t>,</w:t>
      </w:r>
      <w:r w:rsidR="008E13D9" w:rsidRPr="00B323C8">
        <w:t xml:space="preserve"> and executioner.”  </w:t>
      </w:r>
      <w:r w:rsidR="00B66C32" w:rsidRPr="00B323C8">
        <w:t>In addition, h</w:t>
      </w:r>
      <w:r w:rsidR="001542B4" w:rsidRPr="00B323C8">
        <w:t>e pointed out the humor in the recording of him talking to his uncle on the telephone while a cuckoo clock sounded in the background</w:t>
      </w:r>
      <w:r w:rsidR="00CC5F58" w:rsidRPr="00B323C8">
        <w:t>.  He said</w:t>
      </w:r>
      <w:r w:rsidR="001542B4" w:rsidRPr="00B323C8">
        <w:t>:  “</w:t>
      </w:r>
      <w:r w:rsidR="00842E89" w:rsidRPr="00B323C8">
        <w:t>I was telling him what happened</w:t>
      </w:r>
      <w:r w:rsidR="00CC5F58" w:rsidRPr="00B323C8">
        <w:t>” and “w</w:t>
      </w:r>
      <w:r w:rsidR="001542B4" w:rsidRPr="00B323C8">
        <w:t>hile I am talking about all this crazy stuff, you hear this dome, cuckoo, dome, cuckoo, dome</w:t>
      </w:r>
      <w:r w:rsidR="00842E89" w:rsidRPr="00B323C8">
        <w:t>,</w:t>
      </w:r>
      <w:r w:rsidR="001542B4" w:rsidRPr="00B323C8">
        <w:t xml:space="preserve"> cuckoo.</w:t>
      </w:r>
      <w:r w:rsidR="00842E89" w:rsidRPr="00B323C8">
        <w:t xml:space="preserve"> . . .  Uncle Charlie probably heard that and thought, </w:t>
      </w:r>
      <w:proofErr w:type="gramStart"/>
      <w:r w:rsidR="00842E89" w:rsidRPr="00B323C8">
        <w:t>yeah</w:t>
      </w:r>
      <w:proofErr w:type="gramEnd"/>
      <w:r w:rsidR="00842E89" w:rsidRPr="00B323C8">
        <w:t xml:space="preserve">, he is cuckoo.”  </w:t>
      </w:r>
      <w:r w:rsidRPr="00B323C8">
        <w:t xml:space="preserve">Defendant </w:t>
      </w:r>
      <w:r w:rsidR="00C26402" w:rsidRPr="00B323C8">
        <w:t xml:space="preserve">also </w:t>
      </w:r>
      <w:r w:rsidRPr="00B323C8">
        <w:t>mentioned his usefulness to society:</w:t>
      </w:r>
      <w:r w:rsidR="00AE0EEB" w:rsidRPr="00B323C8">
        <w:t xml:space="preserve">  “The world out there could really use a man like me.  They need a man like me to protect America</w:t>
      </w:r>
      <w:r w:rsidR="00D61F82" w:rsidRPr="00B323C8">
        <w:t>’</w:t>
      </w:r>
      <w:r w:rsidR="00AE0EEB" w:rsidRPr="00B323C8">
        <w:t xml:space="preserve">s explosive </w:t>
      </w:r>
      <w:proofErr w:type="gramStart"/>
      <w:r w:rsidR="00AE0EEB" w:rsidRPr="00B323C8">
        <w:t>supply and stuff.</w:t>
      </w:r>
      <w:proofErr w:type="gramEnd"/>
      <w:r w:rsidR="00AE0EEB" w:rsidRPr="00B323C8">
        <w:t>”</w:t>
      </w:r>
    </w:p>
    <w:p w14:paraId="510E3ED6" w14:textId="1839AF25" w:rsidR="005809B6" w:rsidRPr="00B323C8" w:rsidRDefault="00430025" w:rsidP="00B323C8">
      <w:pPr>
        <w:tabs>
          <w:tab w:val="left" w:pos="1440"/>
        </w:tabs>
        <w:ind w:firstLine="720"/>
      </w:pPr>
      <w:r w:rsidRPr="00B323C8">
        <w:lastRenderedPageBreak/>
        <w:t>Defendant</w:t>
      </w:r>
      <w:r w:rsidR="00C26402" w:rsidRPr="00B323C8">
        <w:t xml:space="preserve"> next </w:t>
      </w:r>
      <w:r w:rsidRPr="00B323C8">
        <w:t xml:space="preserve">introduced </w:t>
      </w:r>
      <w:r w:rsidR="0074401E" w:rsidRPr="00B323C8">
        <w:t xml:space="preserve">into evidence </w:t>
      </w:r>
      <w:r w:rsidRPr="00B323C8">
        <w:t>25 homemade video</w:t>
      </w:r>
      <w:r w:rsidR="0074401E" w:rsidRPr="00B323C8">
        <w:t xml:space="preserve"> recordings</w:t>
      </w:r>
      <w:r w:rsidR="00FF60AE" w:rsidRPr="00B323C8">
        <w:t>,</w:t>
      </w:r>
      <w:r w:rsidR="00DF1BB7" w:rsidRPr="00B323C8">
        <w:t xml:space="preserve"> </w:t>
      </w:r>
      <w:r w:rsidR="00A97F09" w:rsidRPr="00B323C8">
        <w:t>showing his various adventures</w:t>
      </w:r>
      <w:r w:rsidR="00F62915" w:rsidRPr="00B323C8">
        <w:t>.</w:t>
      </w:r>
      <w:r w:rsidR="0092058F" w:rsidRPr="00B323C8">
        <w:t xml:space="preserve">  </w:t>
      </w:r>
      <w:r w:rsidR="00B11303" w:rsidRPr="00B323C8">
        <w:t xml:space="preserve">While the </w:t>
      </w:r>
      <w:r w:rsidR="008E0494" w:rsidRPr="00B323C8">
        <w:t>video</w:t>
      </w:r>
      <w:r w:rsidR="00CC5F58" w:rsidRPr="00B323C8">
        <w:t>-</w:t>
      </w:r>
      <w:r w:rsidR="00B11303" w:rsidRPr="00B323C8">
        <w:t xml:space="preserve">player was being </w:t>
      </w:r>
      <w:r w:rsidR="001E1441" w:rsidRPr="00B323C8">
        <w:t>set up</w:t>
      </w:r>
      <w:r w:rsidR="00B11303" w:rsidRPr="00B323C8">
        <w:t>, defendant</w:t>
      </w:r>
      <w:r w:rsidR="00B71649" w:rsidRPr="00B323C8">
        <w:t xml:space="preserve"> coughed and then </w:t>
      </w:r>
      <w:r w:rsidR="00B11303" w:rsidRPr="00B323C8">
        <w:t>joked:  “</w:t>
      </w:r>
      <w:r w:rsidR="00E42D32" w:rsidRPr="00B323C8">
        <w:t>Wow, I almost choked to death on this water.  I almost saved this state thousands of dollars in death penalty fees.</w:t>
      </w:r>
      <w:r w:rsidR="001E1441" w:rsidRPr="00B323C8">
        <w:t>  </w:t>
      </w:r>
      <w:r w:rsidR="00E42D32" w:rsidRPr="00B323C8">
        <w:t>[¶]</w:t>
      </w:r>
      <w:r w:rsidR="001E1441" w:rsidRPr="00B323C8">
        <w:t xml:space="preserve">  </w:t>
      </w:r>
      <w:r w:rsidR="00E42D32" w:rsidRPr="00B323C8">
        <w:t>Oh, well, I guess there will still have to be an execution.”</w:t>
      </w:r>
    </w:p>
    <w:p w14:paraId="5CD5EB9B" w14:textId="436EB9BD" w:rsidR="00FE14E3" w:rsidRPr="00B323C8" w:rsidRDefault="00E42D32" w:rsidP="00B323C8">
      <w:pPr>
        <w:tabs>
          <w:tab w:val="left" w:pos="1440"/>
        </w:tabs>
        <w:ind w:firstLine="720"/>
      </w:pPr>
      <w:r w:rsidRPr="00B323C8">
        <w:t xml:space="preserve">The videos were then played for the jury.  </w:t>
      </w:r>
      <w:bookmarkStart w:id="12" w:name="_Hlk43561346"/>
      <w:r w:rsidR="00061575" w:rsidRPr="00B323C8">
        <w:t>Several of t</w:t>
      </w:r>
      <w:r w:rsidR="0074401E" w:rsidRPr="00B323C8">
        <w:t xml:space="preserve">he </w:t>
      </w:r>
      <w:r w:rsidR="0092058F" w:rsidRPr="00B323C8">
        <w:t xml:space="preserve">videos </w:t>
      </w:r>
      <w:r w:rsidR="00430025" w:rsidRPr="00B323C8">
        <w:t>show</w:t>
      </w:r>
      <w:r w:rsidR="002B68EA" w:rsidRPr="00B323C8">
        <w:t>ed</w:t>
      </w:r>
      <w:r w:rsidR="00430025" w:rsidRPr="00B323C8">
        <w:t xml:space="preserve"> defendant enjoy</w:t>
      </w:r>
      <w:r w:rsidR="00061575" w:rsidRPr="00B323C8">
        <w:t xml:space="preserve">ing </w:t>
      </w:r>
      <w:r w:rsidR="00430025" w:rsidRPr="00B323C8">
        <w:t>nature</w:t>
      </w:r>
      <w:r w:rsidR="00061575" w:rsidRPr="00B323C8">
        <w:t xml:space="preserve"> and </w:t>
      </w:r>
      <w:r w:rsidR="0092058F" w:rsidRPr="00B323C8">
        <w:t xml:space="preserve">socializing </w:t>
      </w:r>
      <w:r w:rsidR="00430025" w:rsidRPr="00B323C8">
        <w:t>with friends and family</w:t>
      </w:r>
      <w:r w:rsidR="00FE14E3" w:rsidRPr="00B323C8">
        <w:t xml:space="preserve">, including </w:t>
      </w:r>
      <w:r w:rsidR="00071843" w:rsidRPr="00B323C8">
        <w:t xml:space="preserve">with </w:t>
      </w:r>
      <w:r w:rsidR="00FE14E3" w:rsidRPr="00B323C8">
        <w:t>Julie and Paul and their children</w:t>
      </w:r>
      <w:r w:rsidR="00430025" w:rsidRPr="00B323C8">
        <w:t>.</w:t>
      </w:r>
      <w:r w:rsidR="00FE14E3" w:rsidRPr="00B323C8">
        <w:t xml:space="preserve">  </w:t>
      </w:r>
      <w:r w:rsidR="00061575" w:rsidRPr="00B323C8">
        <w:t xml:space="preserve">Other </w:t>
      </w:r>
      <w:r w:rsidR="00430025" w:rsidRPr="00B323C8">
        <w:t>video</w:t>
      </w:r>
      <w:r w:rsidR="00061575" w:rsidRPr="00B323C8">
        <w:t xml:space="preserve">s </w:t>
      </w:r>
      <w:r w:rsidR="00690E5C" w:rsidRPr="00B323C8">
        <w:t xml:space="preserve">demonstrated </w:t>
      </w:r>
      <w:r w:rsidR="007D4B17" w:rsidRPr="00B323C8">
        <w:t xml:space="preserve">that </w:t>
      </w:r>
      <w:r w:rsidR="00061575" w:rsidRPr="00B323C8">
        <w:t>defendant</w:t>
      </w:r>
      <w:r w:rsidR="007D4B17" w:rsidRPr="00B323C8">
        <w:t xml:space="preserve"> was </w:t>
      </w:r>
      <w:r w:rsidR="00430025" w:rsidRPr="00B323C8">
        <w:t>a</w:t>
      </w:r>
      <w:r w:rsidR="00CD4C4C" w:rsidRPr="00B323C8">
        <w:t xml:space="preserve">n experienced </w:t>
      </w:r>
      <w:r w:rsidR="002900A5" w:rsidRPr="00B323C8">
        <w:t xml:space="preserve">and resourceful </w:t>
      </w:r>
      <w:r w:rsidR="00430025" w:rsidRPr="00B323C8">
        <w:t>truck driver</w:t>
      </w:r>
      <w:r w:rsidR="00820A15" w:rsidRPr="00B323C8">
        <w:t>.</w:t>
      </w:r>
      <w:r w:rsidR="00FE14E3" w:rsidRPr="00B323C8">
        <w:t xml:space="preserve">  Generally speaking, the videos </w:t>
      </w:r>
      <w:r w:rsidRPr="00B323C8">
        <w:t>present</w:t>
      </w:r>
      <w:r w:rsidR="002B68EA" w:rsidRPr="00B323C8">
        <w:t>ed</w:t>
      </w:r>
      <w:r w:rsidRPr="00B323C8">
        <w:t xml:space="preserve"> </w:t>
      </w:r>
      <w:r w:rsidR="00FE14E3" w:rsidRPr="00B323C8">
        <w:t xml:space="preserve">defendant </w:t>
      </w:r>
      <w:r w:rsidRPr="00B323C8">
        <w:t xml:space="preserve">as </w:t>
      </w:r>
      <w:r w:rsidR="004A20A9" w:rsidRPr="00B323C8">
        <w:t>a</w:t>
      </w:r>
      <w:r w:rsidR="00536DB9" w:rsidRPr="00B323C8">
        <w:t xml:space="preserve">n amiable </w:t>
      </w:r>
      <w:r w:rsidR="004A20A9" w:rsidRPr="00B323C8">
        <w:t xml:space="preserve">person with a </w:t>
      </w:r>
      <w:r w:rsidR="00A34A72" w:rsidRPr="00B323C8">
        <w:t xml:space="preserve">keen </w:t>
      </w:r>
      <w:r w:rsidR="004A20A9" w:rsidRPr="00B323C8">
        <w:t>sense of humor</w:t>
      </w:r>
      <w:bookmarkEnd w:id="12"/>
      <w:r w:rsidRPr="00B323C8">
        <w:t>,</w:t>
      </w:r>
      <w:r w:rsidR="00961649" w:rsidRPr="00B323C8">
        <w:t xml:space="preserve"> </w:t>
      </w:r>
      <w:r w:rsidRPr="00B323C8">
        <w:t xml:space="preserve">although one </w:t>
      </w:r>
      <w:r w:rsidR="00CC0C7F" w:rsidRPr="00B323C8">
        <w:t xml:space="preserve">who finds </w:t>
      </w:r>
      <w:r w:rsidR="00245D67" w:rsidRPr="00B323C8">
        <w:t xml:space="preserve">entertainment </w:t>
      </w:r>
      <w:r w:rsidR="00FE14E3" w:rsidRPr="00B323C8">
        <w:t xml:space="preserve">in things that are </w:t>
      </w:r>
      <w:r w:rsidR="00764B9E" w:rsidRPr="00B323C8">
        <w:t>dangerous</w:t>
      </w:r>
      <w:r w:rsidR="00FE14E3" w:rsidRPr="00B323C8">
        <w:t>, transgressive, or out of the ordinary.</w:t>
      </w:r>
      <w:r w:rsidR="00951228" w:rsidRPr="00B323C8">
        <w:t xml:space="preserve">  </w:t>
      </w:r>
      <w:r w:rsidR="008439AE" w:rsidRPr="00B323C8">
        <w:t>For example</w:t>
      </w:r>
      <w:r w:rsidR="00FB62CE" w:rsidRPr="00B323C8">
        <w:t>,</w:t>
      </w:r>
      <w:r w:rsidR="008439AE" w:rsidRPr="00B323C8">
        <w:t xml:space="preserve"> one video </w:t>
      </w:r>
      <w:r w:rsidR="00FB62CE" w:rsidRPr="00B323C8">
        <w:t>depict</w:t>
      </w:r>
      <w:r w:rsidR="002B68EA" w:rsidRPr="00B323C8">
        <w:t>ed</w:t>
      </w:r>
      <w:r w:rsidR="00FB62CE" w:rsidRPr="00B323C8">
        <w:t xml:space="preserve"> defendant lighting bottle rockets indoors and playing recklessly with a blowtorch.  Another show</w:t>
      </w:r>
      <w:r w:rsidR="002B68EA" w:rsidRPr="00B323C8">
        <w:t>ed</w:t>
      </w:r>
      <w:r w:rsidR="00FB62CE" w:rsidRPr="00B323C8">
        <w:t xml:space="preserve"> defendant </w:t>
      </w:r>
      <w:r w:rsidR="00A34A72" w:rsidRPr="00B323C8">
        <w:t xml:space="preserve">gleefully </w:t>
      </w:r>
      <w:r w:rsidR="00FB62CE" w:rsidRPr="00B323C8">
        <w:t xml:space="preserve">giggling </w:t>
      </w:r>
      <w:r w:rsidR="00A34A72" w:rsidRPr="00B323C8">
        <w:t xml:space="preserve">about </w:t>
      </w:r>
      <w:r w:rsidR="00FB62CE" w:rsidRPr="00B323C8">
        <w:t xml:space="preserve">the danger of </w:t>
      </w:r>
      <w:r w:rsidR="0053698D" w:rsidRPr="00B323C8">
        <w:t xml:space="preserve">working with </w:t>
      </w:r>
      <w:r w:rsidR="00FB62CE" w:rsidRPr="00B323C8">
        <w:t>explosives.</w:t>
      </w:r>
      <w:r w:rsidR="00DF1BB7" w:rsidRPr="00B323C8">
        <w:t xml:space="preserve">  </w:t>
      </w:r>
      <w:r w:rsidR="00056029" w:rsidRPr="00B323C8">
        <w:t xml:space="preserve">Several </w:t>
      </w:r>
      <w:r w:rsidR="001077E5" w:rsidRPr="00B323C8">
        <w:t xml:space="preserve">videos </w:t>
      </w:r>
      <w:r w:rsidR="00FB62CE" w:rsidRPr="00B323C8">
        <w:t>show</w:t>
      </w:r>
      <w:r w:rsidR="002B68EA" w:rsidRPr="00B323C8">
        <w:t>ed</w:t>
      </w:r>
      <w:r w:rsidR="00FB62CE" w:rsidRPr="00B323C8">
        <w:t xml:space="preserve"> defendant explaining truck accidents </w:t>
      </w:r>
      <w:r w:rsidR="004B59FC" w:rsidRPr="00B323C8">
        <w:t xml:space="preserve">that had just </w:t>
      </w:r>
      <w:r w:rsidR="00927DAB" w:rsidRPr="00B323C8">
        <w:t>occurr</w:t>
      </w:r>
      <w:r w:rsidR="002B68EA" w:rsidRPr="00B323C8">
        <w:t>ed</w:t>
      </w:r>
      <w:r w:rsidR="00FB62CE" w:rsidRPr="00B323C8">
        <w:t>,</w:t>
      </w:r>
      <w:r w:rsidR="00927DAB" w:rsidRPr="00B323C8">
        <w:t xml:space="preserve"> </w:t>
      </w:r>
      <w:r w:rsidR="002B68EA" w:rsidRPr="00B323C8">
        <w:t>defendant</w:t>
      </w:r>
      <w:r w:rsidR="00332491" w:rsidRPr="00B323C8">
        <w:t xml:space="preserve"> usually </w:t>
      </w:r>
      <w:r w:rsidR="00056029" w:rsidRPr="00B323C8">
        <w:t xml:space="preserve">taking great </w:t>
      </w:r>
      <w:r w:rsidR="001077E5" w:rsidRPr="00B323C8">
        <w:t xml:space="preserve">delight </w:t>
      </w:r>
      <w:r w:rsidR="00056029" w:rsidRPr="00B323C8">
        <w:t xml:space="preserve">in </w:t>
      </w:r>
      <w:r w:rsidR="00A34A72" w:rsidRPr="00B323C8">
        <w:t xml:space="preserve">the </w:t>
      </w:r>
      <w:r w:rsidR="00FB62CE" w:rsidRPr="00B323C8">
        <w:t>drama of the accident.</w:t>
      </w:r>
      <w:r w:rsidR="00B71649" w:rsidRPr="00B323C8">
        <w:t xml:space="preserve">  </w:t>
      </w:r>
      <w:r w:rsidR="00056029" w:rsidRPr="00B323C8">
        <w:t xml:space="preserve">One video </w:t>
      </w:r>
      <w:r w:rsidR="00A34A72" w:rsidRPr="00B323C8">
        <w:t>depict</w:t>
      </w:r>
      <w:r w:rsidR="007F5F46" w:rsidRPr="00B323C8">
        <w:t>ed</w:t>
      </w:r>
      <w:r w:rsidR="00A34A72" w:rsidRPr="00B323C8">
        <w:t xml:space="preserve"> </w:t>
      </w:r>
      <w:r w:rsidR="00FB62CE" w:rsidRPr="00B323C8">
        <w:t xml:space="preserve">events that transpired </w:t>
      </w:r>
      <w:r w:rsidR="00056029" w:rsidRPr="00B323C8">
        <w:t xml:space="preserve">immediately </w:t>
      </w:r>
      <w:r w:rsidR="00FB62CE" w:rsidRPr="00B323C8">
        <w:t xml:space="preserve">after </w:t>
      </w:r>
      <w:r w:rsidR="00A34A72" w:rsidRPr="00B323C8">
        <w:t>defendant</w:t>
      </w:r>
      <w:r w:rsidR="00D61F82" w:rsidRPr="00B323C8">
        <w:t>’</w:t>
      </w:r>
      <w:r w:rsidR="00A34A72" w:rsidRPr="00B323C8">
        <w:t xml:space="preserve">s </w:t>
      </w:r>
      <w:r w:rsidR="00FB62CE" w:rsidRPr="00B323C8">
        <w:t xml:space="preserve">truck </w:t>
      </w:r>
      <w:r w:rsidR="00A34A72" w:rsidRPr="00B323C8">
        <w:t xml:space="preserve">engine </w:t>
      </w:r>
      <w:r w:rsidR="00FB62CE" w:rsidRPr="00B323C8">
        <w:t xml:space="preserve">caught fire.  Although the fire </w:t>
      </w:r>
      <w:r w:rsidR="00056029" w:rsidRPr="00B323C8">
        <w:t xml:space="preserve">was </w:t>
      </w:r>
      <w:r w:rsidR="00D900D1" w:rsidRPr="00B323C8">
        <w:t xml:space="preserve">relatively </w:t>
      </w:r>
      <w:r w:rsidR="00FB62CE" w:rsidRPr="00B323C8">
        <w:t>small</w:t>
      </w:r>
      <w:r w:rsidR="0053698D" w:rsidRPr="00B323C8">
        <w:t xml:space="preserve"> and manageable</w:t>
      </w:r>
      <w:r w:rsidR="00056029" w:rsidRPr="00B323C8">
        <w:t xml:space="preserve"> </w:t>
      </w:r>
      <w:r w:rsidR="00B34293" w:rsidRPr="00B323C8">
        <w:t>when it began</w:t>
      </w:r>
      <w:r w:rsidR="00FB62CE" w:rsidRPr="00B323C8">
        <w:t xml:space="preserve">, defendant </w:t>
      </w:r>
      <w:r w:rsidR="00B34293" w:rsidRPr="00B323C8">
        <w:t xml:space="preserve">did not retrieve the fire extinguisher from his truck, instead getting his </w:t>
      </w:r>
      <w:r w:rsidR="00FB62CE" w:rsidRPr="00B323C8">
        <w:t xml:space="preserve">video camera.  </w:t>
      </w:r>
      <w:r w:rsidR="00FA2023" w:rsidRPr="00B323C8">
        <w:t>D</w:t>
      </w:r>
      <w:r w:rsidR="00A34A72" w:rsidRPr="00B323C8">
        <w:t>efendant</w:t>
      </w:r>
      <w:r w:rsidR="00D61F82" w:rsidRPr="00B323C8">
        <w:t>’</w:t>
      </w:r>
      <w:r w:rsidR="00A34A72" w:rsidRPr="00B323C8">
        <w:t>s failure to extinguish the fire resulted in the destruction of</w:t>
      </w:r>
      <w:r w:rsidR="00FA2023" w:rsidRPr="00B323C8">
        <w:t xml:space="preserve"> his </w:t>
      </w:r>
      <w:r w:rsidR="00B34293" w:rsidRPr="00B323C8">
        <w:t xml:space="preserve">truck, </w:t>
      </w:r>
      <w:r w:rsidR="00A34A72" w:rsidRPr="00B323C8">
        <w:t xml:space="preserve">and </w:t>
      </w:r>
      <w:r w:rsidR="00B34293" w:rsidRPr="00B323C8">
        <w:t xml:space="preserve">it </w:t>
      </w:r>
      <w:r w:rsidR="00FB62CE" w:rsidRPr="00B323C8">
        <w:t>nearly caused a major brush fire</w:t>
      </w:r>
      <w:r w:rsidR="00A34A72" w:rsidRPr="00B323C8">
        <w:t>.</w:t>
      </w:r>
    </w:p>
    <w:p w14:paraId="78422B0C" w14:textId="1674F7F8" w:rsidR="0074401E" w:rsidRPr="00B323C8" w:rsidRDefault="0008575F" w:rsidP="00B323C8">
      <w:pPr>
        <w:tabs>
          <w:tab w:val="left" w:pos="1440"/>
        </w:tabs>
        <w:ind w:firstLine="720"/>
      </w:pPr>
      <w:r w:rsidRPr="00B323C8">
        <w:t>D</w:t>
      </w:r>
      <w:r w:rsidR="0074401E" w:rsidRPr="00B323C8">
        <w:t xml:space="preserve">efendant </w:t>
      </w:r>
      <w:r w:rsidR="004D43BB" w:rsidRPr="00B323C8">
        <w:t xml:space="preserve">ended by </w:t>
      </w:r>
      <w:r w:rsidR="00B2290E" w:rsidRPr="00B323C8">
        <w:t>reiterat</w:t>
      </w:r>
      <w:r w:rsidR="004D43BB" w:rsidRPr="00B323C8">
        <w:t xml:space="preserve">ing </w:t>
      </w:r>
      <w:r w:rsidR="0069173B" w:rsidRPr="00B323C8">
        <w:t xml:space="preserve">that </w:t>
      </w:r>
      <w:r w:rsidR="0074401E" w:rsidRPr="00B323C8">
        <w:t>he was the true victim</w:t>
      </w:r>
      <w:r w:rsidR="003E569D" w:rsidRPr="00B323C8">
        <w:t xml:space="preserve"> even though “society” was going to condemn him</w:t>
      </w:r>
      <w:r w:rsidR="0074401E" w:rsidRPr="00B323C8">
        <w:t>:  “I looked at everything</w:t>
      </w:r>
      <w:r w:rsidR="00B23358" w:rsidRPr="00B323C8">
        <w:t>,</w:t>
      </w:r>
      <w:r w:rsidR="0074401E" w:rsidRPr="00B323C8">
        <w:t xml:space="preserve"> and I realized no one is going to care about me, no one is going to care that I was truly the victim in this.  </w:t>
      </w:r>
      <w:r w:rsidR="0074401E" w:rsidRPr="00B323C8">
        <w:lastRenderedPageBreak/>
        <w:t>They were going to say they were the victims, Julie and Paul were the victims . . . they are not going to see me as the victim . . .</w:t>
      </w:r>
      <w:r w:rsidR="00332491" w:rsidRPr="00B323C8">
        <w:t> </w:t>
      </w:r>
      <w:r w:rsidR="0074401E" w:rsidRPr="00B323C8">
        <w:t>.</w:t>
      </w:r>
      <w:r w:rsidR="00C332DF" w:rsidRPr="00B323C8">
        <w:t xml:space="preserve">  [¶]  </w:t>
      </w:r>
      <w:r w:rsidR="0074401E" w:rsidRPr="00B323C8">
        <w:t>And</w:t>
      </w:r>
      <w:r w:rsidR="00C332DF" w:rsidRPr="00B323C8">
        <w:t> . . .</w:t>
      </w:r>
      <w:r w:rsidR="006B5CEF" w:rsidRPr="00B323C8">
        <w:t xml:space="preserve"> </w:t>
      </w:r>
      <w:r w:rsidR="0074401E" w:rsidRPr="00B323C8">
        <w:t>it just hit me, wow, from the way society sees it</w:t>
      </w:r>
      <w:r w:rsidR="00B23358" w:rsidRPr="00B323C8">
        <w:t>,</w:t>
      </w:r>
      <w:r w:rsidR="0074401E" w:rsidRPr="00B323C8">
        <w:t xml:space="preserve"> I should get executed for this.  And I saw it coming.  I knew this trial was coming.  Four years ago, </w:t>
      </w:r>
      <w:r w:rsidR="00B23358" w:rsidRPr="00B323C8">
        <w:t>[four]</w:t>
      </w:r>
      <w:r w:rsidR="0074401E" w:rsidRPr="00B323C8">
        <w:t xml:space="preserve"> years in the making</w:t>
      </w:r>
      <w:r w:rsidR="00B23358" w:rsidRPr="00B323C8">
        <w:t>,</w:t>
      </w:r>
      <w:r w:rsidR="0074401E" w:rsidRPr="00B323C8">
        <w:t xml:space="preserve"> I seen it coming, and it just hit me.  My God, the way society sees this</w:t>
      </w:r>
      <w:r w:rsidR="00B23358" w:rsidRPr="00B323C8">
        <w:t>,</w:t>
      </w:r>
      <w:r w:rsidR="0074401E" w:rsidRPr="00B323C8">
        <w:t xml:space="preserve"> I should get executed</w:t>
      </w:r>
      <w:r w:rsidR="00C332DF" w:rsidRPr="00B323C8">
        <w:t> . . . .</w:t>
      </w:r>
      <w:r w:rsidR="0074401E" w:rsidRPr="00B323C8">
        <w:t xml:space="preserve">”  He </w:t>
      </w:r>
      <w:r w:rsidR="0066798D" w:rsidRPr="00B323C8">
        <w:t>added</w:t>
      </w:r>
      <w:r w:rsidR="00061575" w:rsidRPr="00B323C8">
        <w:t xml:space="preserve">:  </w:t>
      </w:r>
      <w:r w:rsidR="00A428AD" w:rsidRPr="00B323C8">
        <w:t>“These people of El Cerrito should thank me and be happy with me as a person for removing two crooks, two rip-off artists from th</w:t>
      </w:r>
      <w:r w:rsidR="00061575" w:rsidRPr="00B323C8">
        <w:t>e</w:t>
      </w:r>
      <w:r w:rsidR="00A428AD" w:rsidRPr="00B323C8">
        <w:t>ir city.  [¶] . . .  I don</w:t>
      </w:r>
      <w:r w:rsidR="00D61F82" w:rsidRPr="00B323C8">
        <w:t>’</w:t>
      </w:r>
      <w:r w:rsidR="00A428AD" w:rsidRPr="00B323C8">
        <w:t>t like to kill, but when I have to kill, I will kill.  Sometimes it</w:t>
      </w:r>
      <w:r w:rsidR="00D61F82" w:rsidRPr="00B323C8">
        <w:t>’</w:t>
      </w:r>
      <w:r w:rsidR="00A428AD" w:rsidRPr="00B323C8">
        <w:t>s something that needs to be done, and I will do it.”</w:t>
      </w:r>
    </w:p>
    <w:p w14:paraId="0CD3F0A4" w14:textId="4A76E84F" w:rsidR="006979F5" w:rsidRPr="00B323C8" w:rsidRDefault="00F62DC6" w:rsidP="00B323C8">
      <w:pPr>
        <w:pStyle w:val="Heading4"/>
      </w:pPr>
      <w:r w:rsidRPr="00B323C8">
        <w:t>b</w:t>
      </w:r>
      <w:r w:rsidR="00F42D22" w:rsidRPr="00B323C8">
        <w:t xml:space="preserve">. </w:t>
      </w:r>
      <w:r w:rsidR="006979F5" w:rsidRPr="00B323C8">
        <w:t>Cross-</w:t>
      </w:r>
      <w:r w:rsidR="002F6508" w:rsidRPr="00B323C8">
        <w:t>e</w:t>
      </w:r>
      <w:r w:rsidR="006979F5" w:rsidRPr="00B323C8">
        <w:t>xamination</w:t>
      </w:r>
      <w:r w:rsidRPr="00B323C8">
        <w:t xml:space="preserve"> of Defendant</w:t>
      </w:r>
      <w:r w:rsidR="00475DB1" w:rsidRPr="00B323C8">
        <w:t xml:space="preserve"> and Rebuttal Evidence</w:t>
      </w:r>
    </w:p>
    <w:p w14:paraId="1C05B6E3" w14:textId="4B54F87A" w:rsidR="003B0209" w:rsidRPr="00B323C8" w:rsidRDefault="006979F5" w:rsidP="00B323C8">
      <w:pPr>
        <w:tabs>
          <w:tab w:val="left" w:pos="1440"/>
        </w:tabs>
        <w:ind w:firstLine="720"/>
      </w:pPr>
      <w:r w:rsidRPr="00B323C8">
        <w:t xml:space="preserve">The prosecutor cross-examined </w:t>
      </w:r>
      <w:r w:rsidR="007417A0" w:rsidRPr="00B323C8">
        <w:t>d</w:t>
      </w:r>
      <w:r w:rsidRPr="00B323C8">
        <w:t xml:space="preserve">efendant extensively </w:t>
      </w:r>
      <w:r w:rsidR="007417A0" w:rsidRPr="00B323C8">
        <w:t xml:space="preserve">regarding </w:t>
      </w:r>
      <w:r w:rsidRPr="00B323C8">
        <w:t xml:space="preserve">the </w:t>
      </w:r>
      <w:r w:rsidR="00F24035" w:rsidRPr="00B323C8">
        <w:t xml:space="preserve">video </w:t>
      </w:r>
      <w:r w:rsidR="00330DD0" w:rsidRPr="00B323C8">
        <w:t xml:space="preserve">recordings </w:t>
      </w:r>
      <w:r w:rsidR="007417A0" w:rsidRPr="00B323C8">
        <w:t xml:space="preserve">defendant </w:t>
      </w:r>
      <w:r w:rsidR="003E569D" w:rsidRPr="00B323C8">
        <w:t xml:space="preserve">had </w:t>
      </w:r>
      <w:r w:rsidRPr="00B323C8">
        <w:t xml:space="preserve">introduced, </w:t>
      </w:r>
      <w:r w:rsidR="004748B8" w:rsidRPr="00B323C8">
        <w:t xml:space="preserve">probing whether </w:t>
      </w:r>
      <w:r w:rsidR="0043346E" w:rsidRPr="00B323C8">
        <w:t>d</w:t>
      </w:r>
      <w:r w:rsidRPr="00B323C8">
        <w:t>efendant</w:t>
      </w:r>
      <w:r w:rsidR="006B5CEF" w:rsidRPr="00B323C8">
        <w:t xml:space="preserve"> </w:t>
      </w:r>
      <w:r w:rsidR="003E569D" w:rsidRPr="00B323C8">
        <w:t xml:space="preserve">was in fact </w:t>
      </w:r>
      <w:r w:rsidR="00B23358" w:rsidRPr="00B323C8">
        <w:t xml:space="preserve">the cause of </w:t>
      </w:r>
      <w:r w:rsidRPr="00B323C8">
        <w:t xml:space="preserve">the </w:t>
      </w:r>
      <w:r w:rsidR="002E3938" w:rsidRPr="00B323C8">
        <w:t xml:space="preserve">various </w:t>
      </w:r>
      <w:r w:rsidRPr="00B323C8">
        <w:t xml:space="preserve">problems he purported to </w:t>
      </w:r>
      <w:r w:rsidR="00A428AD" w:rsidRPr="00B323C8">
        <w:t>be fixing</w:t>
      </w:r>
      <w:r w:rsidR="00F42D22" w:rsidRPr="00B323C8">
        <w:t xml:space="preserve">.  </w:t>
      </w:r>
      <w:r w:rsidR="004748B8" w:rsidRPr="00B323C8">
        <w:t xml:space="preserve">In response to a question about whether defendant </w:t>
      </w:r>
      <w:proofErr w:type="gramStart"/>
      <w:r w:rsidR="00B23358" w:rsidRPr="00B323C8">
        <w:t>made an effort</w:t>
      </w:r>
      <w:proofErr w:type="gramEnd"/>
      <w:r w:rsidR="00B23358" w:rsidRPr="00B323C8">
        <w:t xml:space="preserve"> </w:t>
      </w:r>
      <w:r w:rsidR="004748B8" w:rsidRPr="00B323C8">
        <w:t>to avoid damage to his vehicles, defendant said:  “I</w:t>
      </w:r>
      <w:r w:rsidR="00D61F82" w:rsidRPr="00B323C8">
        <w:t>’</w:t>
      </w:r>
      <w:r w:rsidR="004748B8" w:rsidRPr="00B323C8">
        <w:t xml:space="preserve">ve got a little bit of that serial killer in me.  When something breaks, I enjoy it.  I have fun with it.  I videotape it.”  </w:t>
      </w:r>
      <w:r w:rsidR="003E569D" w:rsidRPr="00B323C8">
        <w:t xml:space="preserve">Defendant also stated more than once that </w:t>
      </w:r>
      <w:r w:rsidR="00A463D8" w:rsidRPr="00B323C8">
        <w:t xml:space="preserve">it was his prerogative to </w:t>
      </w:r>
      <w:r w:rsidR="00F74237" w:rsidRPr="00B323C8">
        <w:t xml:space="preserve">decide </w:t>
      </w:r>
      <w:r w:rsidR="003E569D" w:rsidRPr="00B323C8">
        <w:t xml:space="preserve">between </w:t>
      </w:r>
      <w:r w:rsidR="00F74237" w:rsidRPr="00B323C8">
        <w:t xml:space="preserve">what was moral and what was </w:t>
      </w:r>
      <w:r w:rsidR="003E569D" w:rsidRPr="00B323C8">
        <w:t>imm</w:t>
      </w:r>
      <w:r w:rsidR="00681B35" w:rsidRPr="00B323C8">
        <w:t xml:space="preserve">oral, </w:t>
      </w:r>
      <w:r w:rsidR="00F74237" w:rsidRPr="00B323C8">
        <w:t>and that if someone wronged him, he was entitled to get even</w:t>
      </w:r>
      <w:r w:rsidR="00A463D8" w:rsidRPr="00B323C8">
        <w:t xml:space="preserve"> by stealing </w:t>
      </w:r>
      <w:r w:rsidR="003E569D" w:rsidRPr="00B323C8">
        <w:t xml:space="preserve">from that person </w:t>
      </w:r>
      <w:r w:rsidR="00A463D8" w:rsidRPr="00B323C8">
        <w:t xml:space="preserve">or </w:t>
      </w:r>
      <w:r w:rsidR="003E569D" w:rsidRPr="00B323C8">
        <w:t>resorting to other forms of self-help</w:t>
      </w:r>
      <w:r w:rsidR="00A463D8" w:rsidRPr="00B323C8">
        <w:t>.</w:t>
      </w:r>
      <w:r w:rsidR="00681B35" w:rsidRPr="00B323C8">
        <w:t xml:space="preserve">  </w:t>
      </w:r>
      <w:r w:rsidR="00A463D8" w:rsidRPr="00B323C8">
        <w:t>“I</w:t>
      </w:r>
      <w:r w:rsidR="00D61F82" w:rsidRPr="00B323C8">
        <w:t>’</w:t>
      </w:r>
      <w:r w:rsidR="00A463D8" w:rsidRPr="00B323C8">
        <w:t>ll pay evil for evil</w:t>
      </w:r>
      <w:r w:rsidR="003E569D" w:rsidRPr="00B323C8">
        <w:t>,</w:t>
      </w:r>
      <w:r w:rsidR="00A463D8" w:rsidRPr="00B323C8">
        <w:t>”</w:t>
      </w:r>
      <w:r w:rsidR="003E569D" w:rsidRPr="00B323C8">
        <w:t xml:space="preserve"> he </w:t>
      </w:r>
      <w:r w:rsidR="00CC0791" w:rsidRPr="00B323C8">
        <w:t>asserted</w:t>
      </w:r>
      <w:r w:rsidR="003E569D" w:rsidRPr="00B323C8">
        <w:t>.</w:t>
      </w:r>
      <w:r w:rsidR="00A463D8" w:rsidRPr="00B323C8">
        <w:t xml:space="preserve">  </w:t>
      </w:r>
      <w:r w:rsidR="003F080C" w:rsidRPr="00B323C8">
        <w:t>In that context, defendant admitted several incidents of petty criminal behavior and hooliganism.</w:t>
      </w:r>
    </w:p>
    <w:p w14:paraId="2245EE4B" w14:textId="6DCC81CF" w:rsidR="006979F5" w:rsidRPr="00B323C8" w:rsidRDefault="00F24035" w:rsidP="00B323C8">
      <w:pPr>
        <w:tabs>
          <w:tab w:val="left" w:pos="1440"/>
        </w:tabs>
        <w:ind w:firstLine="720"/>
      </w:pPr>
      <w:r w:rsidRPr="00B323C8">
        <w:t xml:space="preserve">The prosecutor also offered into evidence </w:t>
      </w:r>
      <w:r w:rsidR="006979F5" w:rsidRPr="00B323C8">
        <w:t xml:space="preserve">a </w:t>
      </w:r>
      <w:r w:rsidRPr="00B323C8">
        <w:t xml:space="preserve">video </w:t>
      </w:r>
      <w:r w:rsidR="00330DD0" w:rsidRPr="00B323C8">
        <w:t xml:space="preserve">of </w:t>
      </w:r>
      <w:r w:rsidR="003B0209" w:rsidRPr="00B323C8">
        <w:t>d</w:t>
      </w:r>
      <w:r w:rsidR="006979F5" w:rsidRPr="00B323C8">
        <w:t xml:space="preserve">efendant </w:t>
      </w:r>
      <w:r w:rsidR="001A1830" w:rsidRPr="00B323C8">
        <w:t xml:space="preserve">displaying </w:t>
      </w:r>
      <w:r w:rsidR="003E569D" w:rsidRPr="00B323C8">
        <w:t xml:space="preserve">a </w:t>
      </w:r>
      <w:r w:rsidR="006979F5" w:rsidRPr="00B323C8">
        <w:t xml:space="preserve">dead cat and describing </w:t>
      </w:r>
      <w:r w:rsidR="003D1C0B" w:rsidRPr="00B323C8">
        <w:t xml:space="preserve">the fact that </w:t>
      </w:r>
      <w:r w:rsidR="006979F5" w:rsidRPr="00B323C8">
        <w:t xml:space="preserve">he </w:t>
      </w:r>
      <w:r w:rsidR="001A1830" w:rsidRPr="00B323C8">
        <w:t xml:space="preserve">shot </w:t>
      </w:r>
      <w:r w:rsidR="003F080C" w:rsidRPr="00B323C8">
        <w:t>the cat</w:t>
      </w:r>
      <w:r w:rsidR="001A1830" w:rsidRPr="00B323C8">
        <w:t xml:space="preserve"> twice and then beat it to death with a stick</w:t>
      </w:r>
      <w:r w:rsidR="00F42D22" w:rsidRPr="00B323C8">
        <w:t xml:space="preserve">.  </w:t>
      </w:r>
      <w:r w:rsidRPr="00B323C8">
        <w:t xml:space="preserve">In the </w:t>
      </w:r>
      <w:r w:rsidR="00330DD0" w:rsidRPr="00B323C8">
        <w:t>video</w:t>
      </w:r>
      <w:r w:rsidRPr="00B323C8">
        <w:t>, d</w:t>
      </w:r>
      <w:r w:rsidR="006979F5" w:rsidRPr="00B323C8">
        <w:t xml:space="preserve">efendant </w:t>
      </w:r>
      <w:r w:rsidR="001A1830" w:rsidRPr="00B323C8">
        <w:t xml:space="preserve">related </w:t>
      </w:r>
      <w:r w:rsidR="003E569D" w:rsidRPr="00B323C8">
        <w:t xml:space="preserve">that </w:t>
      </w:r>
      <w:r w:rsidR="006979F5" w:rsidRPr="00B323C8">
        <w:t>the cat belonged</w:t>
      </w:r>
      <w:r w:rsidR="003B0209" w:rsidRPr="00B323C8">
        <w:t xml:space="preserve"> </w:t>
      </w:r>
      <w:r w:rsidR="006979F5" w:rsidRPr="00B323C8">
        <w:t xml:space="preserve">to a neighbor, </w:t>
      </w:r>
      <w:r w:rsidR="006979F5" w:rsidRPr="00B323C8">
        <w:lastRenderedPageBreak/>
        <w:t xml:space="preserve">Curtis, and </w:t>
      </w:r>
      <w:r w:rsidR="00330DD0" w:rsidRPr="00B323C8">
        <w:t>defendant</w:t>
      </w:r>
      <w:r w:rsidR="003F080C" w:rsidRPr="00B323C8">
        <w:t xml:space="preserve"> </w:t>
      </w:r>
      <w:r w:rsidR="006979F5" w:rsidRPr="00B323C8">
        <w:t>said it was the second of Curtis</w:t>
      </w:r>
      <w:r w:rsidR="00D61F82" w:rsidRPr="00B323C8">
        <w:t>’</w:t>
      </w:r>
      <w:r w:rsidR="006979F5" w:rsidRPr="00B323C8">
        <w:t xml:space="preserve">s cats </w:t>
      </w:r>
      <w:r w:rsidR="001A1830" w:rsidRPr="00B323C8">
        <w:t xml:space="preserve">that </w:t>
      </w:r>
      <w:r w:rsidR="00B23358" w:rsidRPr="00B323C8">
        <w:t xml:space="preserve">defendant </w:t>
      </w:r>
      <w:r w:rsidR="003B0209" w:rsidRPr="00B323C8">
        <w:t xml:space="preserve">had </w:t>
      </w:r>
      <w:r w:rsidR="006979F5" w:rsidRPr="00B323C8">
        <w:t>killed.</w:t>
      </w:r>
      <w:r w:rsidR="003B0209" w:rsidRPr="00B323C8">
        <w:t xml:space="preserve">  </w:t>
      </w:r>
      <w:r w:rsidR="006979F5" w:rsidRPr="00B323C8">
        <w:t>Later</w:t>
      </w:r>
      <w:r w:rsidRPr="00B323C8">
        <w:t xml:space="preserve"> in the same </w:t>
      </w:r>
      <w:r w:rsidR="00330DD0" w:rsidRPr="00B323C8">
        <w:t>video</w:t>
      </w:r>
      <w:r w:rsidR="006979F5" w:rsidRPr="00B323C8">
        <w:t>,</w:t>
      </w:r>
      <w:r w:rsidR="003B0209" w:rsidRPr="00B323C8">
        <w:t xml:space="preserve"> d</w:t>
      </w:r>
      <w:r w:rsidR="006979F5" w:rsidRPr="00B323C8">
        <w:t xml:space="preserve">efendant described </w:t>
      </w:r>
      <w:r w:rsidR="00807AA5" w:rsidRPr="00B323C8">
        <w:t>“</w:t>
      </w:r>
      <w:r w:rsidR="00895BE6" w:rsidRPr="00B323C8">
        <w:t>cat war one</w:t>
      </w:r>
      <w:r w:rsidR="00807AA5" w:rsidRPr="00B323C8">
        <w:t>”</w:t>
      </w:r>
      <w:r w:rsidR="00895BE6" w:rsidRPr="00B323C8">
        <w:t xml:space="preserve"> and </w:t>
      </w:r>
      <w:r w:rsidR="00807AA5" w:rsidRPr="00B323C8">
        <w:t>“</w:t>
      </w:r>
      <w:r w:rsidR="00895BE6" w:rsidRPr="00B323C8">
        <w:t>cat war two</w:t>
      </w:r>
      <w:r w:rsidR="00807AA5" w:rsidRPr="00B323C8">
        <w:t>,” which together included 17 “confirmed cat kills” and many other possible “cat kills.”</w:t>
      </w:r>
    </w:p>
    <w:p w14:paraId="0B2D1C39" w14:textId="48C2DC23" w:rsidR="00341D82" w:rsidRPr="00B323C8" w:rsidRDefault="00277C1C" w:rsidP="00B323C8">
      <w:pPr>
        <w:tabs>
          <w:tab w:val="left" w:pos="1440"/>
        </w:tabs>
        <w:ind w:firstLine="720"/>
      </w:pPr>
      <w:r>
        <w:t>In addition, t</w:t>
      </w:r>
      <w:r w:rsidR="001C2881" w:rsidRPr="00B323C8">
        <w:t>he prosecutor</w:t>
      </w:r>
      <w:r>
        <w:t xml:space="preserve"> </w:t>
      </w:r>
      <w:r w:rsidR="001C2881" w:rsidRPr="00B323C8">
        <w:t>offered</w:t>
      </w:r>
      <w:r>
        <w:t xml:space="preserve"> </w:t>
      </w:r>
      <w:r w:rsidR="001C2881" w:rsidRPr="00B323C8">
        <w:t>a video in which defendant lamented</w:t>
      </w:r>
      <w:r w:rsidR="00DD1F21" w:rsidRPr="00B323C8">
        <w:t xml:space="preserve"> </w:t>
      </w:r>
      <w:r w:rsidR="001C2881" w:rsidRPr="00B323C8">
        <w:t>graffiti and garbage</w:t>
      </w:r>
      <w:r w:rsidR="00FD046F" w:rsidRPr="00B323C8">
        <w:t xml:space="preserve"> b</w:t>
      </w:r>
      <w:r w:rsidR="006905AE" w:rsidRPr="00B323C8">
        <w:t xml:space="preserve">ehind a </w:t>
      </w:r>
      <w:r w:rsidR="003944A0" w:rsidRPr="00B323C8">
        <w:t xml:space="preserve">strip mall </w:t>
      </w:r>
      <w:r w:rsidR="001C2881" w:rsidRPr="00B323C8">
        <w:t xml:space="preserve">near </w:t>
      </w:r>
      <w:r w:rsidR="00FD046F" w:rsidRPr="00B323C8">
        <w:t>his house</w:t>
      </w:r>
      <w:r w:rsidR="001C2881" w:rsidRPr="00B323C8">
        <w:t xml:space="preserve">.  In the video, defendant </w:t>
      </w:r>
      <w:r w:rsidR="00B74C5B" w:rsidRPr="00B323C8">
        <w:t xml:space="preserve">explained that he used the private </w:t>
      </w:r>
      <w:r w:rsidR="00FD046F" w:rsidRPr="00B323C8">
        <w:t xml:space="preserve">road that accessed the loading docks </w:t>
      </w:r>
      <w:r w:rsidR="00B74C5B" w:rsidRPr="00B323C8">
        <w:t>behind the strip mall,</w:t>
      </w:r>
      <w:r w:rsidR="00B23358" w:rsidRPr="00B323C8">
        <w:t xml:space="preserve"> </w:t>
      </w:r>
      <w:r w:rsidR="00B74C5B" w:rsidRPr="00B323C8">
        <w:t xml:space="preserve">and he was angry that, due to the graffiti and </w:t>
      </w:r>
      <w:r w:rsidR="00680183" w:rsidRPr="00B323C8">
        <w:t xml:space="preserve">the </w:t>
      </w:r>
      <w:r w:rsidR="00B74C5B" w:rsidRPr="00B323C8">
        <w:t>dumping</w:t>
      </w:r>
      <w:r w:rsidR="00B23358" w:rsidRPr="00B323C8">
        <w:t xml:space="preserve"> of garbage</w:t>
      </w:r>
      <w:r w:rsidR="00B74C5B" w:rsidRPr="00B323C8">
        <w:t xml:space="preserve">, the owner had installed gates </w:t>
      </w:r>
      <w:r w:rsidR="00644B05" w:rsidRPr="00B323C8">
        <w:t xml:space="preserve">at </w:t>
      </w:r>
      <w:r w:rsidR="00B74C5B" w:rsidRPr="00B323C8">
        <w:t>either end</w:t>
      </w:r>
      <w:r w:rsidR="00FD046F" w:rsidRPr="00B323C8">
        <w:t xml:space="preserve"> of the private road</w:t>
      </w:r>
      <w:r w:rsidR="00B74C5B" w:rsidRPr="00B323C8">
        <w:t xml:space="preserve">.  </w:t>
      </w:r>
      <w:r w:rsidR="00644B05" w:rsidRPr="00B323C8">
        <w:t>Defendant expressed an intent to vandalize the gates.  In his view, installing the gates punished innocent people</w:t>
      </w:r>
      <w:r w:rsidR="00B23358" w:rsidRPr="00B323C8">
        <w:t xml:space="preserve"> </w:t>
      </w:r>
      <w:r w:rsidR="00644B05" w:rsidRPr="00B323C8">
        <w:t xml:space="preserve">who used the private road as a shortcut, and the better solution was for the owner to shoot and kill the immoral people who were </w:t>
      </w:r>
      <w:r w:rsidR="00680183" w:rsidRPr="00B323C8">
        <w:t xml:space="preserve">vandalizing the area and </w:t>
      </w:r>
      <w:r w:rsidR="00644B05" w:rsidRPr="00B323C8">
        <w:t xml:space="preserve">dumping </w:t>
      </w:r>
      <w:r w:rsidR="006B5CEF" w:rsidRPr="00B323C8">
        <w:t xml:space="preserve">the </w:t>
      </w:r>
      <w:r w:rsidR="00644B05" w:rsidRPr="00B323C8">
        <w:t xml:space="preserve">garbage.  </w:t>
      </w:r>
      <w:r w:rsidR="001C2881" w:rsidRPr="00B323C8">
        <w:t xml:space="preserve">He also said that he </w:t>
      </w:r>
      <w:r w:rsidR="00644B05" w:rsidRPr="00B323C8">
        <w:t xml:space="preserve">hated </w:t>
      </w:r>
      <w:r w:rsidR="001C2881" w:rsidRPr="00B323C8">
        <w:t xml:space="preserve">a </w:t>
      </w:r>
      <w:r w:rsidR="00B23358" w:rsidRPr="00B323C8">
        <w:t xml:space="preserve">particular </w:t>
      </w:r>
      <w:r w:rsidR="001C2881" w:rsidRPr="00B323C8">
        <w:t xml:space="preserve">woman who was feeding cats behind the </w:t>
      </w:r>
      <w:r w:rsidR="00644B05" w:rsidRPr="00B323C8">
        <w:t>strip mall</w:t>
      </w:r>
      <w:r w:rsidR="001C2881" w:rsidRPr="00B323C8">
        <w:t>, and he said</w:t>
      </w:r>
      <w:r w:rsidR="00644B05" w:rsidRPr="00B323C8">
        <w:t xml:space="preserve"> </w:t>
      </w:r>
      <w:r w:rsidR="001C2881" w:rsidRPr="00B323C8">
        <w:t>he would kill her.</w:t>
      </w:r>
    </w:p>
    <w:p w14:paraId="4FFB7825" w14:textId="1E02BA85" w:rsidR="00294D60" w:rsidRPr="00B323C8" w:rsidRDefault="00277E1C" w:rsidP="00B323C8">
      <w:pPr>
        <w:tabs>
          <w:tab w:val="left" w:pos="1440"/>
        </w:tabs>
        <w:ind w:firstLine="720"/>
      </w:pPr>
      <w:r w:rsidRPr="00B323C8">
        <w:t>Finally, t</w:t>
      </w:r>
      <w:r w:rsidR="00582F64" w:rsidRPr="00B323C8">
        <w:t>he prosecutor</w:t>
      </w:r>
      <w:r w:rsidRPr="00B323C8">
        <w:t xml:space="preserve"> </w:t>
      </w:r>
      <w:r w:rsidR="00582F64" w:rsidRPr="00B323C8">
        <w:t xml:space="preserve">elicited </w:t>
      </w:r>
      <w:r w:rsidR="006905AE" w:rsidRPr="00B323C8">
        <w:t xml:space="preserve">from </w:t>
      </w:r>
      <w:r w:rsidR="00582F64" w:rsidRPr="00B323C8">
        <w:t>defendant</w:t>
      </w:r>
      <w:r w:rsidR="006905AE" w:rsidRPr="00B323C8">
        <w:t xml:space="preserve"> that he </w:t>
      </w:r>
      <w:r w:rsidR="00644B05" w:rsidRPr="00B323C8">
        <w:t xml:space="preserve">saw himself as </w:t>
      </w:r>
      <w:r w:rsidR="006905AE" w:rsidRPr="00B323C8">
        <w:t>an executioner, not a murderer</w:t>
      </w:r>
      <w:r w:rsidR="00644B05" w:rsidRPr="00B323C8">
        <w:t>.  Defendant said</w:t>
      </w:r>
      <w:r w:rsidR="00582F64" w:rsidRPr="00B323C8">
        <w:t>:  “Should the executioner be executed?  No.  The executioner is doing a job.”</w:t>
      </w:r>
      <w:r w:rsidR="00AD5BEF" w:rsidRPr="00B323C8">
        <w:t xml:space="preserve">  </w:t>
      </w:r>
      <w:r w:rsidR="00644B05" w:rsidRPr="00B323C8">
        <w:t xml:space="preserve">Defendant </w:t>
      </w:r>
      <w:r w:rsidR="006D6161" w:rsidRPr="00B323C8">
        <w:t xml:space="preserve">also </w:t>
      </w:r>
      <w:r w:rsidR="00FF380D" w:rsidRPr="00B323C8">
        <w:t>explained t</w:t>
      </w:r>
      <w:r w:rsidR="00582F64" w:rsidRPr="00B323C8">
        <w:t xml:space="preserve">hat he </w:t>
      </w:r>
      <w:r w:rsidR="006905AE" w:rsidRPr="00B323C8">
        <w:t xml:space="preserve">was </w:t>
      </w:r>
      <w:proofErr w:type="gramStart"/>
      <w:r w:rsidR="006905AE" w:rsidRPr="00B323C8">
        <w:t>well qualified</w:t>
      </w:r>
      <w:proofErr w:type="gramEnd"/>
      <w:r w:rsidR="006905AE" w:rsidRPr="00B323C8">
        <w:t xml:space="preserve"> </w:t>
      </w:r>
      <w:r w:rsidR="00582F64" w:rsidRPr="00B323C8">
        <w:t xml:space="preserve">to decide who should be punished </w:t>
      </w:r>
      <w:r w:rsidR="006905AE" w:rsidRPr="00B323C8">
        <w:t xml:space="preserve">and who should not be, </w:t>
      </w:r>
      <w:r w:rsidR="00582F64" w:rsidRPr="00B323C8">
        <w:t xml:space="preserve">because his mind was “not cluttered” and </w:t>
      </w:r>
      <w:r w:rsidR="006905AE" w:rsidRPr="00B323C8">
        <w:t>“</w:t>
      </w:r>
      <w:r w:rsidR="00582F64" w:rsidRPr="00B323C8">
        <w:t>not polluted” by education.</w:t>
      </w:r>
      <w:r w:rsidR="00AD5BEF" w:rsidRPr="00B323C8">
        <w:t xml:space="preserve">  </w:t>
      </w:r>
      <w:r w:rsidR="008353F8" w:rsidRPr="00B323C8">
        <w:t>T</w:t>
      </w:r>
      <w:r w:rsidR="00294D60" w:rsidRPr="00B323C8">
        <w:t>he prosecutor closed his cross-examination with this question:  “But you might kill somebody if they left trash behind the warehouse or fed cats, correct?”  Defendant answered:  “Well, I might do that, yes.”</w:t>
      </w:r>
    </w:p>
    <w:p w14:paraId="78D1E769" w14:textId="75554B3D" w:rsidR="002F6508" w:rsidRPr="00B323C8" w:rsidRDefault="00F62DC6" w:rsidP="00B323C8">
      <w:pPr>
        <w:pStyle w:val="Heading4"/>
      </w:pPr>
      <w:r w:rsidRPr="00B323C8">
        <w:lastRenderedPageBreak/>
        <w:t>c</w:t>
      </w:r>
      <w:r w:rsidR="002F6508" w:rsidRPr="00B323C8">
        <w:t xml:space="preserve">. </w:t>
      </w:r>
      <w:r w:rsidR="00301838" w:rsidRPr="00B323C8">
        <w:t xml:space="preserve">Redirect Examination of </w:t>
      </w:r>
      <w:r w:rsidRPr="00B323C8">
        <w:t>Defendant</w:t>
      </w:r>
    </w:p>
    <w:p w14:paraId="6FD38630" w14:textId="6A9FAC52" w:rsidR="000B79E6" w:rsidRPr="00B323C8" w:rsidRDefault="00330DD0" w:rsidP="00B323C8">
      <w:pPr>
        <w:tabs>
          <w:tab w:val="left" w:pos="1440"/>
        </w:tabs>
        <w:ind w:firstLine="720"/>
      </w:pPr>
      <w:r w:rsidRPr="00B323C8">
        <w:t xml:space="preserve">On redirect, </w:t>
      </w:r>
      <w:r w:rsidR="002D417F" w:rsidRPr="00B323C8">
        <w:t>d</w:t>
      </w:r>
      <w:r w:rsidR="006979F5" w:rsidRPr="00B323C8">
        <w:t xml:space="preserve">efendant </w:t>
      </w:r>
      <w:r w:rsidR="007F0019" w:rsidRPr="00B323C8">
        <w:t xml:space="preserve">quoted a newspaper horoscope urging him to defend his </w:t>
      </w:r>
      <w:r w:rsidR="0096117E" w:rsidRPr="00B323C8">
        <w:t xml:space="preserve">past </w:t>
      </w:r>
      <w:r w:rsidR="007F0019" w:rsidRPr="00B323C8">
        <w:t>actions</w:t>
      </w:r>
      <w:r w:rsidR="004864F7" w:rsidRPr="00B323C8">
        <w:t>:</w:t>
      </w:r>
      <w:r w:rsidR="007F0019" w:rsidRPr="00B323C8">
        <w:t xml:space="preserve">  </w:t>
      </w:r>
      <w:r w:rsidR="004864F7" w:rsidRPr="00B323C8">
        <w:t>“</w:t>
      </w:r>
      <w:r w:rsidR="006B5CEF" w:rsidRPr="00B323C8">
        <w:t> ‘</w:t>
      </w:r>
      <w:r w:rsidR="004864F7" w:rsidRPr="00B323C8">
        <w:t>Stick up for what you have done in the past.</w:t>
      </w:r>
      <w:r w:rsidR="00D61F82" w:rsidRPr="00B323C8">
        <w:t>’</w:t>
      </w:r>
      <w:r w:rsidR="004864F7" w:rsidRPr="00B323C8">
        <w:t xml:space="preserve">  That</w:t>
      </w:r>
      <w:r w:rsidR="00D61F82" w:rsidRPr="00B323C8">
        <w:t>’</w:t>
      </w:r>
      <w:r w:rsidR="004864F7" w:rsidRPr="00B323C8">
        <w:t>s what my horoscope said in yesterday</w:t>
      </w:r>
      <w:r w:rsidR="00D61F82" w:rsidRPr="00B323C8">
        <w:t>’</w:t>
      </w:r>
      <w:r w:rsidR="004864F7" w:rsidRPr="00B323C8">
        <w:t>s newspaper.  No joke.  Sagittarius.</w:t>
      </w:r>
      <w:r w:rsidR="004D43BB" w:rsidRPr="00B323C8">
        <w:t>”</w:t>
      </w:r>
    </w:p>
    <w:p w14:paraId="2F3ED68B" w14:textId="4E4C5F98" w:rsidR="002F6508" w:rsidRPr="00B323C8" w:rsidRDefault="00717BC7" w:rsidP="00B323C8">
      <w:pPr>
        <w:pStyle w:val="Heading3"/>
      </w:pPr>
      <w:bookmarkStart w:id="13" w:name="_Toc66715095"/>
      <w:r w:rsidRPr="00B323C8">
        <w:t>4</w:t>
      </w:r>
      <w:r w:rsidR="002F6508" w:rsidRPr="00B323C8">
        <w:t xml:space="preserve">. </w:t>
      </w:r>
      <w:r w:rsidR="00301838" w:rsidRPr="00B323C8">
        <w:t>Defendant</w:t>
      </w:r>
      <w:r w:rsidR="00D61F82" w:rsidRPr="00B323C8">
        <w:t>’</w:t>
      </w:r>
      <w:r w:rsidR="00301838" w:rsidRPr="00B323C8">
        <w:t xml:space="preserve">s </w:t>
      </w:r>
      <w:r w:rsidR="002F6508" w:rsidRPr="00B323C8">
        <w:t>Closing Argument</w:t>
      </w:r>
      <w:bookmarkEnd w:id="13"/>
    </w:p>
    <w:p w14:paraId="37290681" w14:textId="7883F852" w:rsidR="00BE38E1" w:rsidRPr="00B323C8" w:rsidRDefault="00C0360C" w:rsidP="00B323C8">
      <w:pPr>
        <w:tabs>
          <w:tab w:val="left" w:pos="1440"/>
        </w:tabs>
        <w:ind w:firstLine="720"/>
      </w:pPr>
      <w:r w:rsidRPr="00B323C8">
        <w:t xml:space="preserve">During closing argument, defendant repeated familiar themes about Julie and Paul </w:t>
      </w:r>
      <w:r w:rsidR="00F95372" w:rsidRPr="00B323C8">
        <w:t>being bad people and bad parent</w:t>
      </w:r>
      <w:r w:rsidR="006C7EC7" w:rsidRPr="00B323C8">
        <w:t>s</w:t>
      </w:r>
      <w:r w:rsidR="007F0019" w:rsidRPr="00B323C8">
        <w:t>, and about how he had solved the problems and thus helped the children</w:t>
      </w:r>
      <w:r w:rsidRPr="00B323C8">
        <w:t>.</w:t>
      </w:r>
      <w:r w:rsidR="00F95372" w:rsidRPr="00B323C8">
        <w:t xml:space="preserve">  </w:t>
      </w:r>
      <w:r w:rsidR="00CE5C14" w:rsidRPr="00B323C8">
        <w:t>He said:  “I chose to better everyone else around me, you know.  That</w:t>
      </w:r>
      <w:r w:rsidR="00D61F82" w:rsidRPr="00B323C8">
        <w:t>’</w:t>
      </w:r>
      <w:r w:rsidR="00CE5C14" w:rsidRPr="00B323C8">
        <w:t>s what I</w:t>
      </w:r>
      <w:r w:rsidR="00D61F82" w:rsidRPr="00B323C8">
        <w:t>’</w:t>
      </w:r>
      <w:r w:rsidR="00CE5C14" w:rsidRPr="00B323C8">
        <w:t>m doing.  I</w:t>
      </w:r>
      <w:r w:rsidR="00D61F82" w:rsidRPr="00B323C8">
        <w:t>’</w:t>
      </w:r>
      <w:r w:rsidR="00CE5C14" w:rsidRPr="00B323C8">
        <w:t>m trying to better everyone.  Trying to make everyone happy.</w:t>
      </w:r>
      <w:r w:rsidR="00A63F96" w:rsidRPr="00B323C8">
        <w:t xml:space="preserve">  I tell these wonderful jokes, and I</w:t>
      </w:r>
      <w:r w:rsidR="00D61F82" w:rsidRPr="00B323C8">
        <w:t>’</w:t>
      </w:r>
      <w:r w:rsidR="00A63F96" w:rsidRPr="00B323C8">
        <w:t>m a good person for that, see.</w:t>
      </w:r>
      <w:r w:rsidR="00CE5C14" w:rsidRPr="00B323C8">
        <w:t xml:space="preserve">”  </w:t>
      </w:r>
      <w:r w:rsidR="002E73E0" w:rsidRPr="00B323C8">
        <w:t xml:space="preserve">Defendant </w:t>
      </w:r>
      <w:r w:rsidR="007F0019" w:rsidRPr="00B323C8">
        <w:t xml:space="preserve">also </w:t>
      </w:r>
      <w:r w:rsidR="00CE5C14" w:rsidRPr="00B323C8">
        <w:t xml:space="preserve">argued that he </w:t>
      </w:r>
      <w:r w:rsidR="007F0019" w:rsidRPr="00B323C8">
        <w:t xml:space="preserve">had </w:t>
      </w:r>
      <w:r w:rsidR="00CE5C14" w:rsidRPr="00B323C8">
        <w:t xml:space="preserve">helped </w:t>
      </w:r>
      <w:r w:rsidR="00A63F96" w:rsidRPr="00B323C8">
        <w:t>Julie and Paul</w:t>
      </w:r>
      <w:r w:rsidR="00D61F82" w:rsidRPr="00B323C8">
        <w:t>’</w:t>
      </w:r>
      <w:r w:rsidR="00A63F96" w:rsidRPr="00B323C8">
        <w:t xml:space="preserve">s </w:t>
      </w:r>
      <w:r w:rsidR="00CE5C14" w:rsidRPr="00B323C8">
        <w:t xml:space="preserve">children by making them </w:t>
      </w:r>
      <w:r w:rsidR="002E73E0" w:rsidRPr="00B323C8">
        <w:t xml:space="preserve">less </w:t>
      </w:r>
      <w:r w:rsidR="00CE5C14" w:rsidRPr="00B323C8">
        <w:t>trustful.</w:t>
      </w:r>
    </w:p>
    <w:p w14:paraId="5F92C11F" w14:textId="3BAE0473" w:rsidR="00BE38E1" w:rsidRPr="00B323C8" w:rsidRDefault="00BE38E1" w:rsidP="00B323C8">
      <w:pPr>
        <w:tabs>
          <w:tab w:val="left" w:pos="1440"/>
        </w:tabs>
        <w:ind w:firstLine="720"/>
      </w:pPr>
      <w:r w:rsidRPr="00B323C8">
        <w:t xml:space="preserve">Defendant </w:t>
      </w:r>
      <w:r w:rsidR="004D43BB" w:rsidRPr="00B323C8">
        <w:t xml:space="preserve">described the </w:t>
      </w:r>
      <w:r w:rsidR="007E3482" w:rsidRPr="00B323C8">
        <w:t xml:space="preserve">trial as a </w:t>
      </w:r>
      <w:r w:rsidR="00B66C32" w:rsidRPr="00B323C8">
        <w:t xml:space="preserve">“satirical </w:t>
      </w:r>
      <w:r w:rsidR="007E3482" w:rsidRPr="00B323C8">
        <w:t>comedy</w:t>
      </w:r>
      <w:r w:rsidR="00B66C32" w:rsidRPr="00B323C8">
        <w:t>”</w:t>
      </w:r>
      <w:r w:rsidR="007E3482" w:rsidRPr="00B323C8">
        <w:t xml:space="preserve"> in which his role was that of </w:t>
      </w:r>
      <w:r w:rsidRPr="00B323C8">
        <w:t>court jester</w:t>
      </w:r>
      <w:r w:rsidR="00745246" w:rsidRPr="00B323C8">
        <w:t>.  He said</w:t>
      </w:r>
      <w:r w:rsidR="007E3482" w:rsidRPr="00B323C8">
        <w:t>:  “Yesterday, you know, yesterday the mood in this courtroom got grim towards the end.  It was unlike the other day where I livened it up with the videos and everything.  I talked first</w:t>
      </w:r>
      <w:r w:rsidR="00745246" w:rsidRPr="00B323C8">
        <w:t>,</w:t>
      </w:r>
      <w:r w:rsidR="007E3482" w:rsidRPr="00B323C8">
        <w:t xml:space="preserve"> and then [the prosecutor] got in there, but the mood got pretty grim at the end of yesterday.  And then it was over, we all went home.  And you didn</w:t>
      </w:r>
      <w:r w:rsidR="00D61F82" w:rsidRPr="00B323C8">
        <w:t>’</w:t>
      </w:r>
      <w:r w:rsidR="007E3482" w:rsidRPr="00B323C8">
        <w:t>t have Uncle Edward to liven it up, but I</w:t>
      </w:r>
      <w:r w:rsidR="00D61F82" w:rsidRPr="00B323C8">
        <w:t>’</w:t>
      </w:r>
      <w:r w:rsidR="007E3482" w:rsidRPr="00B323C8">
        <w:t>m not the one that broke down the attitude and the moods in this courtroom, I</w:t>
      </w:r>
      <w:r w:rsidR="00D61F82" w:rsidRPr="00B323C8">
        <w:t>’</w:t>
      </w:r>
      <w:r w:rsidR="007E3482" w:rsidRPr="00B323C8">
        <w:t>m not the one that broke it down.  This man put on this show and depressed everybody, not me, where a couple of days ago . . . I picked it back up with my show.  I livened it up.  I turned the satirical comedy into a better happy comedy.”</w:t>
      </w:r>
    </w:p>
    <w:p w14:paraId="5464FC44" w14:textId="023F60A9" w:rsidR="007514E2" w:rsidRPr="00B323C8" w:rsidRDefault="00BE38E1" w:rsidP="00B323C8">
      <w:pPr>
        <w:tabs>
          <w:tab w:val="left" w:pos="1440"/>
        </w:tabs>
        <w:ind w:firstLine="720"/>
      </w:pPr>
      <w:r w:rsidRPr="00B323C8">
        <w:t xml:space="preserve">Defendant </w:t>
      </w:r>
      <w:r w:rsidR="00787B06" w:rsidRPr="00B323C8">
        <w:t xml:space="preserve">then </w:t>
      </w:r>
      <w:r w:rsidR="006C7EC7" w:rsidRPr="00B323C8">
        <w:t>said</w:t>
      </w:r>
      <w:r w:rsidR="00CE5C14" w:rsidRPr="00B323C8">
        <w:t>:  “All of the kids</w:t>
      </w:r>
      <w:r w:rsidR="00787B06" w:rsidRPr="00B323C8">
        <w:t xml:space="preserve"> </w:t>
      </w:r>
      <w:r w:rsidR="00CE5C14" w:rsidRPr="00B323C8">
        <w:t>were messed up, but I fixed them.  I</w:t>
      </w:r>
      <w:r w:rsidR="00D61F82" w:rsidRPr="00B323C8">
        <w:t>’</w:t>
      </w:r>
      <w:r w:rsidR="00CE5C14" w:rsidRPr="00B323C8">
        <w:t>m . . . the fixer.  I</w:t>
      </w:r>
      <w:r w:rsidR="00D61F82" w:rsidRPr="00B323C8">
        <w:t>’</w:t>
      </w:r>
      <w:r w:rsidR="00CE5C14" w:rsidRPr="00B323C8">
        <w:t xml:space="preserve">m the corrector.  I corrected </w:t>
      </w:r>
      <w:r w:rsidR="00CE5C14" w:rsidRPr="00B323C8">
        <w:lastRenderedPageBreak/>
        <w:t xml:space="preserve">this.”  </w:t>
      </w:r>
      <w:r w:rsidR="00787B06" w:rsidRPr="00B323C8">
        <w:t>Finally</w:t>
      </w:r>
      <w:r w:rsidRPr="00B323C8">
        <w:t>, a</w:t>
      </w:r>
      <w:r w:rsidR="006C7EC7" w:rsidRPr="00B323C8">
        <w:t xml:space="preserve">fter </w:t>
      </w:r>
      <w:r w:rsidR="00032541" w:rsidRPr="00B323C8">
        <w:t>threaten</w:t>
      </w:r>
      <w:r w:rsidR="006C7EC7" w:rsidRPr="00B323C8">
        <w:t xml:space="preserve">ing </w:t>
      </w:r>
      <w:r w:rsidR="00032541" w:rsidRPr="00B323C8">
        <w:t>the prosecutor</w:t>
      </w:r>
      <w:r w:rsidR="006C7EC7" w:rsidRPr="00B323C8">
        <w:t xml:space="preserve">, </w:t>
      </w:r>
      <w:r w:rsidR="00745246" w:rsidRPr="00B323C8">
        <w:t xml:space="preserve">defendant </w:t>
      </w:r>
      <w:r w:rsidR="00032541" w:rsidRPr="00B323C8">
        <w:t>c</w:t>
      </w:r>
      <w:r w:rsidR="006C7EC7" w:rsidRPr="00B323C8">
        <w:t xml:space="preserve">oncluded his argument </w:t>
      </w:r>
      <w:r w:rsidR="00032541" w:rsidRPr="00B323C8">
        <w:t xml:space="preserve">by </w:t>
      </w:r>
      <w:r w:rsidR="006C7EC7" w:rsidRPr="00B323C8">
        <w:t xml:space="preserve">reminding the jury of </w:t>
      </w:r>
      <w:r w:rsidR="00032541" w:rsidRPr="00B323C8">
        <w:t>Eric</w:t>
      </w:r>
      <w:r w:rsidR="00D61F82" w:rsidRPr="00B323C8">
        <w:t>’</w:t>
      </w:r>
      <w:r w:rsidR="00032541" w:rsidRPr="00B323C8">
        <w:t xml:space="preserve">s </w:t>
      </w:r>
      <w:r w:rsidR="00745246" w:rsidRPr="00B323C8">
        <w:t>statement that he (defendant) should not receive the death penalty</w:t>
      </w:r>
      <w:r w:rsidR="00032541" w:rsidRPr="00B323C8">
        <w:t>, adding:  “I</w:t>
      </w:r>
      <w:r w:rsidR="00D61F82" w:rsidRPr="00B323C8">
        <w:t>’</w:t>
      </w:r>
      <w:r w:rsidR="00032541" w:rsidRPr="00B323C8">
        <w:t>m his favorite uncle</w:t>
      </w:r>
      <w:r w:rsidR="00745246" w:rsidRPr="00B323C8">
        <w:t>,</w:t>
      </w:r>
      <w:r w:rsidR="00032541" w:rsidRPr="00B323C8">
        <w:t xml:space="preserve"> and he appreciates everything I done for him.”</w:t>
      </w:r>
    </w:p>
    <w:p w14:paraId="75652C90" w14:textId="3FDCEEE5" w:rsidR="002F6508" w:rsidRPr="00B323C8" w:rsidRDefault="00717BC7" w:rsidP="00B323C8">
      <w:pPr>
        <w:pStyle w:val="Heading3"/>
      </w:pPr>
      <w:bookmarkStart w:id="14" w:name="_Toc66715096"/>
      <w:r w:rsidRPr="00B323C8">
        <w:t>5</w:t>
      </w:r>
      <w:r w:rsidR="002F6508" w:rsidRPr="00B323C8">
        <w:t>. Verdict</w:t>
      </w:r>
      <w:bookmarkEnd w:id="14"/>
      <w:r w:rsidR="00781697" w:rsidRPr="00B323C8">
        <w:t xml:space="preserve"> and Sentencing</w:t>
      </w:r>
    </w:p>
    <w:p w14:paraId="5C0F56DA" w14:textId="5B8A37C6" w:rsidR="00781697" w:rsidRPr="00B323C8" w:rsidRDefault="006B5CEF" w:rsidP="00B323C8">
      <w:pPr>
        <w:tabs>
          <w:tab w:val="left" w:pos="1440"/>
        </w:tabs>
        <w:ind w:firstLine="720"/>
      </w:pPr>
      <w:r w:rsidRPr="00B323C8">
        <w:t xml:space="preserve">After </w:t>
      </w:r>
      <w:r w:rsidR="00407EF6" w:rsidRPr="00B323C8">
        <w:t>deliberat</w:t>
      </w:r>
      <w:r w:rsidRPr="00B323C8">
        <w:t xml:space="preserve">ing </w:t>
      </w:r>
      <w:r w:rsidR="00407EF6" w:rsidRPr="00B323C8">
        <w:t xml:space="preserve">for </w:t>
      </w:r>
      <w:r w:rsidR="00BE38E1" w:rsidRPr="00B323C8">
        <w:t>about a</w:t>
      </w:r>
      <w:r w:rsidR="00407EF6" w:rsidRPr="00B323C8">
        <w:t>n hour</w:t>
      </w:r>
      <w:r w:rsidRPr="00B323C8">
        <w:t xml:space="preserve">, the jury </w:t>
      </w:r>
      <w:r w:rsidR="00786ED3" w:rsidRPr="00B323C8">
        <w:t>returned a verdict of death</w:t>
      </w:r>
      <w:r w:rsidR="006C7EC7" w:rsidRPr="00B323C8">
        <w:t xml:space="preserve"> </w:t>
      </w:r>
      <w:r w:rsidR="002F6508" w:rsidRPr="00B323C8">
        <w:t>as to both counts</w:t>
      </w:r>
      <w:r w:rsidR="006C7EC7" w:rsidRPr="00B323C8">
        <w:t>.</w:t>
      </w:r>
      <w:bookmarkStart w:id="15" w:name="_Toc66715097"/>
      <w:r w:rsidR="00781697" w:rsidRPr="00B323C8">
        <w:t xml:space="preserve">  </w:t>
      </w:r>
      <w:bookmarkEnd w:id="15"/>
      <w:r w:rsidR="002A4518" w:rsidRPr="00B323C8">
        <w:t>At defendant</w:t>
      </w:r>
      <w:r w:rsidR="00D61F82" w:rsidRPr="00B323C8">
        <w:t>’</w:t>
      </w:r>
      <w:r w:rsidR="002A4518" w:rsidRPr="00B323C8">
        <w:t>s request, s</w:t>
      </w:r>
      <w:r w:rsidR="0028373C" w:rsidRPr="00B323C8">
        <w:t>entencing took place on defendant</w:t>
      </w:r>
      <w:r w:rsidR="00D61F82" w:rsidRPr="00B323C8">
        <w:t>’</w:t>
      </w:r>
      <w:r w:rsidR="0028373C" w:rsidRPr="00B323C8">
        <w:t>s birthday.</w:t>
      </w:r>
    </w:p>
    <w:p w14:paraId="4190FE9E" w14:textId="095CDD8F" w:rsidR="00497400" w:rsidRPr="00B323C8" w:rsidRDefault="00895624" w:rsidP="00B323C8">
      <w:pPr>
        <w:tabs>
          <w:tab w:val="left" w:pos="1440"/>
        </w:tabs>
        <w:ind w:firstLine="720"/>
      </w:pPr>
      <w:r w:rsidRPr="00B323C8">
        <w:t>In regard to the auto</w:t>
      </w:r>
      <w:r w:rsidR="00CD28BB" w:rsidRPr="00B323C8">
        <w:t>matic motion to modify the death verdict (§ 190.4, subd. (e)), d</w:t>
      </w:r>
      <w:r w:rsidR="00A96335" w:rsidRPr="00B323C8">
        <w:t>efe</w:t>
      </w:r>
      <w:r w:rsidR="0028373C" w:rsidRPr="00B323C8">
        <w:t xml:space="preserve">ndant </w:t>
      </w:r>
      <w:r w:rsidR="00A96335" w:rsidRPr="00B323C8">
        <w:t xml:space="preserve">addressed the court, saying:  </w:t>
      </w:r>
      <w:r w:rsidR="00497400" w:rsidRPr="00B323C8">
        <w:t>“You should not sentence me to punishment.  Instead</w:t>
      </w:r>
      <w:r w:rsidR="00EA3734">
        <w:t>,</w:t>
      </w:r>
      <w:r w:rsidR="00497400" w:rsidRPr="00B323C8">
        <w:t xml:space="preserve"> you should set me free.  You know, just</w:t>
      </w:r>
      <w:r w:rsidR="00B00C5F" w:rsidRPr="00B323C8">
        <w:t xml:space="preserve"> . . . </w:t>
      </w:r>
      <w:r w:rsidR="00497400" w:rsidRPr="00B323C8">
        <w:t>walk out of here, be done with this.  And I can get back to truck driving and making videotapes and running people off the road and things, and, you know, get on with my life, what I was doing before, blowing stuff up and things, and everyone can be happy.  I</w:t>
      </w:r>
      <w:r w:rsidR="00D61F82" w:rsidRPr="00B323C8">
        <w:t>’</w:t>
      </w:r>
      <w:r w:rsidR="00497400" w:rsidRPr="00B323C8">
        <w:t>ll be a happy person in society again.”</w:t>
      </w:r>
      <w:r w:rsidR="00CD28BB" w:rsidRPr="00B323C8">
        <w:t xml:space="preserve">  The trial court</w:t>
      </w:r>
      <w:r w:rsidR="00F153DE" w:rsidRPr="00B323C8">
        <w:t xml:space="preserve"> </w:t>
      </w:r>
      <w:r w:rsidR="00CD28BB" w:rsidRPr="00B323C8">
        <w:t>denied the automatic motion.</w:t>
      </w:r>
    </w:p>
    <w:p w14:paraId="1663B175" w14:textId="70A01F4F" w:rsidR="005178C0" w:rsidRPr="00B323C8" w:rsidRDefault="00B00C5F" w:rsidP="00B323C8">
      <w:pPr>
        <w:tabs>
          <w:tab w:val="left" w:pos="1440"/>
        </w:tabs>
        <w:ind w:firstLine="720"/>
      </w:pPr>
      <w:r w:rsidRPr="00B323C8">
        <w:t>In regard to defendant</w:t>
      </w:r>
      <w:r w:rsidR="00D61F82" w:rsidRPr="00B323C8">
        <w:t>’</w:t>
      </w:r>
      <w:r w:rsidRPr="00B323C8">
        <w:t xml:space="preserve">s sentence, </w:t>
      </w:r>
      <w:r w:rsidR="00083041" w:rsidRPr="00B323C8">
        <w:t>Julie and Paul</w:t>
      </w:r>
      <w:r w:rsidR="00D61F82" w:rsidRPr="00B323C8">
        <w:t>’</w:t>
      </w:r>
      <w:r w:rsidR="00083041" w:rsidRPr="00B323C8">
        <w:t xml:space="preserve">s son </w:t>
      </w:r>
      <w:r w:rsidR="00CD28BB" w:rsidRPr="00B323C8">
        <w:t>Eric</w:t>
      </w:r>
      <w:r w:rsidR="00083041" w:rsidRPr="00B323C8">
        <w:t xml:space="preserve"> </w:t>
      </w:r>
      <w:r w:rsidR="00CD28BB" w:rsidRPr="00B323C8">
        <w:t>addressed the court, making a</w:t>
      </w:r>
      <w:r w:rsidR="00DA54C2" w:rsidRPr="00B323C8">
        <w:t xml:space="preserve"> </w:t>
      </w:r>
      <w:r w:rsidR="00083041" w:rsidRPr="00B323C8">
        <w:t>statement</w:t>
      </w:r>
      <w:r w:rsidR="00CD28BB" w:rsidRPr="00B323C8">
        <w:t xml:space="preserve"> </w:t>
      </w:r>
      <w:r w:rsidRPr="00B323C8">
        <w:t xml:space="preserve">in opposition to </w:t>
      </w:r>
      <w:r w:rsidR="00CD28BB" w:rsidRPr="00B323C8">
        <w:t xml:space="preserve">the death penalty.  </w:t>
      </w:r>
      <w:r w:rsidR="006B5CEF" w:rsidRPr="00B323C8">
        <w:t xml:space="preserve">Eric </w:t>
      </w:r>
      <w:r w:rsidR="00CD28BB" w:rsidRPr="00B323C8">
        <w:t>said:  “I think it</w:t>
      </w:r>
      <w:r w:rsidR="00D61F82" w:rsidRPr="00B323C8">
        <w:t>’</w:t>
      </w:r>
      <w:r w:rsidR="00CD28BB" w:rsidRPr="00B323C8">
        <w:t>s very apparent [defendant</w:t>
      </w:r>
      <w:r w:rsidR="00B66C32" w:rsidRPr="00B323C8">
        <w:t xml:space="preserve"> i</w:t>
      </w:r>
      <w:r w:rsidR="00CD28BB" w:rsidRPr="00B323C8">
        <w:t>s] not a normal person, that he struggles with mental issues even if he didn</w:t>
      </w:r>
      <w:r w:rsidR="00D61F82" w:rsidRPr="00B323C8">
        <w:t>’</w:t>
      </w:r>
      <w:r w:rsidR="00CD28BB" w:rsidRPr="00B323C8">
        <w:t>t make that argument.</w:t>
      </w:r>
      <w:r w:rsidRPr="00B323C8">
        <w:t> . . .  </w:t>
      </w:r>
      <w:r w:rsidR="00CD28BB" w:rsidRPr="00B323C8">
        <w:t xml:space="preserve">[¶]  For us to kill a crazy person, I think would be wrong.  As a society, I would hope that we can set a better example . . . .”  </w:t>
      </w:r>
      <w:r w:rsidRPr="00B323C8">
        <w:t xml:space="preserve">Eric </w:t>
      </w:r>
      <w:r w:rsidR="005178C0" w:rsidRPr="00B323C8">
        <w:t xml:space="preserve">closed by </w:t>
      </w:r>
      <w:r w:rsidRPr="00B323C8">
        <w:t xml:space="preserve">addressing </w:t>
      </w:r>
      <w:r w:rsidR="005178C0" w:rsidRPr="00B323C8">
        <w:t>defendant</w:t>
      </w:r>
      <w:r w:rsidRPr="00B323C8">
        <w:t xml:space="preserve"> directly</w:t>
      </w:r>
      <w:r w:rsidR="005178C0" w:rsidRPr="00B323C8">
        <w:t>:  “Ted, I</w:t>
      </w:r>
      <w:r w:rsidR="00D61F82" w:rsidRPr="00B323C8">
        <w:t>’</w:t>
      </w:r>
      <w:r w:rsidR="005178C0" w:rsidRPr="00B323C8">
        <w:t>m not on your side at all. . . .  It</w:t>
      </w:r>
      <w:r w:rsidR="00D61F82" w:rsidRPr="00B323C8">
        <w:t>’</w:t>
      </w:r>
      <w:r w:rsidR="005178C0" w:rsidRPr="00B323C8">
        <w:t>s not because I have a particular affinity for you</w:t>
      </w:r>
      <w:r w:rsidRPr="00B323C8">
        <w:t xml:space="preserve"> [that I am opposing the death penalty]</w:t>
      </w:r>
      <w:r w:rsidR="005178C0" w:rsidRPr="00B323C8">
        <w:t>.  It</w:t>
      </w:r>
      <w:r w:rsidR="00D61F82" w:rsidRPr="00B323C8">
        <w:t>’</w:t>
      </w:r>
      <w:r w:rsidR="005178C0" w:rsidRPr="00B323C8">
        <w:t>s because I think it would be irresponsible for us to be a punishing and condemning society.  [¶]  I would hate to see that done in my parents</w:t>
      </w:r>
      <w:r w:rsidR="00D61F82" w:rsidRPr="00B323C8">
        <w:t>’</w:t>
      </w:r>
      <w:r w:rsidR="005178C0" w:rsidRPr="00B323C8">
        <w:t xml:space="preserve"> name.”</w:t>
      </w:r>
    </w:p>
    <w:p w14:paraId="471A4B66" w14:textId="607B5DFC" w:rsidR="001928E5" w:rsidRPr="00B323C8" w:rsidRDefault="006B5CEF" w:rsidP="00B323C8">
      <w:pPr>
        <w:tabs>
          <w:tab w:val="left" w:pos="1440"/>
        </w:tabs>
        <w:ind w:firstLine="720"/>
      </w:pPr>
      <w:r w:rsidRPr="00B323C8">
        <w:lastRenderedPageBreak/>
        <w:t xml:space="preserve">Finally, </w:t>
      </w:r>
      <w:r w:rsidR="0053268A" w:rsidRPr="00B323C8">
        <w:t>d</w:t>
      </w:r>
      <w:r w:rsidR="00845D48" w:rsidRPr="00B323C8">
        <w:t>efendant addressed the court</w:t>
      </w:r>
      <w:r w:rsidR="00B00C5F" w:rsidRPr="00B323C8">
        <w:t>.  He said</w:t>
      </w:r>
      <w:r w:rsidR="00845D48" w:rsidRPr="00B323C8">
        <w:t xml:space="preserve">:  </w:t>
      </w:r>
      <w:r w:rsidR="00A72B45" w:rsidRPr="00B323C8">
        <w:t>“W</w:t>
      </w:r>
      <w:r w:rsidR="00845D48" w:rsidRPr="00B323C8">
        <w:t xml:space="preserve">elcome to my birthday party.  [¶]  Is everyone having fun?  Is everyone having a good time?”  </w:t>
      </w:r>
      <w:r w:rsidR="00E32291" w:rsidRPr="00B323C8">
        <w:t>H</w:t>
      </w:r>
      <w:r w:rsidR="00845D48" w:rsidRPr="00B323C8">
        <w:t>e</w:t>
      </w:r>
      <w:r w:rsidR="00B00C5F" w:rsidRPr="00B323C8">
        <w:t xml:space="preserve"> </w:t>
      </w:r>
      <w:r w:rsidR="00AF1B7C" w:rsidRPr="00B323C8">
        <w:t xml:space="preserve">then </w:t>
      </w:r>
      <w:r w:rsidR="00B00C5F" w:rsidRPr="00B323C8">
        <w:t>complained that</w:t>
      </w:r>
      <w:r w:rsidR="001928E5" w:rsidRPr="00B323C8">
        <w:t xml:space="preserve"> he </w:t>
      </w:r>
      <w:r w:rsidR="00901E44">
        <w:t>did not</w:t>
      </w:r>
      <w:r w:rsidR="001928E5" w:rsidRPr="00B323C8">
        <w:t xml:space="preserve"> have the celebrity status that he wanted</w:t>
      </w:r>
      <w:r w:rsidR="00845D48" w:rsidRPr="00B323C8">
        <w:t>:</w:t>
      </w:r>
      <w:r w:rsidR="00E32291" w:rsidRPr="00B323C8">
        <w:t xml:space="preserve">  “</w:t>
      </w:r>
      <w:r w:rsidR="00600A79" w:rsidRPr="00B323C8">
        <w:t>When this trial got started, I . . . gave a little speech, and at the end, I asked if anyone wants any autographs . . . .  And not one person, not one single person approached me for an autograph in this whole trial.”</w:t>
      </w:r>
      <w:r w:rsidR="00776591" w:rsidRPr="00B323C8">
        <w:t xml:space="preserve">  What followed was a long</w:t>
      </w:r>
      <w:r w:rsidR="00AF1B7C" w:rsidRPr="00B323C8">
        <w:t>,</w:t>
      </w:r>
      <w:r w:rsidR="00776591" w:rsidRPr="00B323C8">
        <w:t xml:space="preserve"> meandering </w:t>
      </w:r>
      <w:r w:rsidR="00A72B45" w:rsidRPr="00B323C8">
        <w:t xml:space="preserve">statement </w:t>
      </w:r>
      <w:r w:rsidR="00776591" w:rsidRPr="00B323C8">
        <w:t>in which defendant showed little respect for the court.  He read poetry</w:t>
      </w:r>
      <w:r w:rsidR="001928E5" w:rsidRPr="00B323C8">
        <w:t xml:space="preserve"> that </w:t>
      </w:r>
      <w:r w:rsidR="00776591" w:rsidRPr="00B323C8">
        <w:t>described the murders</w:t>
      </w:r>
      <w:r w:rsidR="00CC7404" w:rsidRPr="00B323C8">
        <w:t xml:space="preserve"> in graphic detail</w:t>
      </w:r>
      <w:r w:rsidR="00776591" w:rsidRPr="00B323C8">
        <w:t>.</w:t>
      </w:r>
      <w:r w:rsidR="00CC7404" w:rsidRPr="00B323C8">
        <w:t xml:space="preserve">  </w:t>
      </w:r>
      <w:r w:rsidR="00776591" w:rsidRPr="00B323C8">
        <w:t>He joked about Julie and Paul</w:t>
      </w:r>
      <w:r w:rsidR="00D61F82" w:rsidRPr="00B323C8">
        <w:t>’</w:t>
      </w:r>
      <w:r w:rsidR="00776591" w:rsidRPr="00B323C8">
        <w:t xml:space="preserve">s wedding, at which the wedding march had become </w:t>
      </w:r>
      <w:r w:rsidR="001928E5" w:rsidRPr="00B323C8">
        <w:t xml:space="preserve">a </w:t>
      </w:r>
      <w:r w:rsidR="00776591" w:rsidRPr="00B323C8">
        <w:t xml:space="preserve">funeral march.  He </w:t>
      </w:r>
      <w:r w:rsidR="00787B06" w:rsidRPr="00B323C8">
        <w:t>implied that he had lied in his testimony, saying</w:t>
      </w:r>
      <w:r w:rsidR="00CC7404" w:rsidRPr="00B323C8">
        <w:t xml:space="preserve">:  </w:t>
      </w:r>
      <w:r w:rsidR="00776591" w:rsidRPr="00B323C8">
        <w:t>“I don</w:t>
      </w:r>
      <w:r w:rsidR="00D61F82" w:rsidRPr="00B323C8">
        <w:t>’</w:t>
      </w:r>
      <w:r w:rsidR="00776591" w:rsidRPr="00B323C8">
        <w:t>t know if any of the jurors noticed</w:t>
      </w:r>
      <w:r w:rsidR="00385390" w:rsidRPr="00B323C8">
        <w:t> </w:t>
      </w:r>
      <w:r w:rsidR="002C5397" w:rsidRPr="00B323C8">
        <w:t>—</w:t>
      </w:r>
      <w:r w:rsidR="00385390" w:rsidRPr="00B323C8">
        <w:t xml:space="preserve"> </w:t>
      </w:r>
      <w:r w:rsidR="00776591" w:rsidRPr="00B323C8">
        <w:t>some of them are here today</w:t>
      </w:r>
      <w:r w:rsidR="00385390" w:rsidRPr="00B323C8">
        <w:t> </w:t>
      </w:r>
      <w:r w:rsidR="002C5397" w:rsidRPr="00B323C8">
        <w:t>—</w:t>
      </w:r>
      <w:r w:rsidR="00385390" w:rsidRPr="00B323C8">
        <w:t xml:space="preserve"> </w:t>
      </w:r>
      <w:r w:rsidR="00776591" w:rsidRPr="00B323C8">
        <w:t>but you know, when I was taking the oath, I crossed my fingers behind my back with the other hand.</w:t>
      </w:r>
      <w:r w:rsidR="00CC7404" w:rsidRPr="00B323C8">
        <w:t xml:space="preserve">  </w:t>
      </w:r>
      <w:r w:rsidR="00776591" w:rsidRPr="00B323C8">
        <w:t>Nobody else could see that, but there were some juro</w:t>
      </w:r>
      <w:r w:rsidR="00CC7404" w:rsidRPr="00B323C8">
        <w:t>r</w:t>
      </w:r>
      <w:r w:rsidR="00776591" w:rsidRPr="00B323C8">
        <w:t>s standing behind me.  I thought it would be funny, I did that.  S</w:t>
      </w:r>
      <w:r w:rsidR="00CC7404" w:rsidRPr="00B323C8">
        <w:t>o</w:t>
      </w:r>
      <w:r w:rsidR="00776591" w:rsidRPr="00B323C8">
        <w:t xml:space="preserve"> they could see it.”  </w:t>
      </w:r>
      <w:r w:rsidR="001928E5" w:rsidRPr="00B323C8">
        <w:t xml:space="preserve">Defendant also </w:t>
      </w:r>
      <w:r w:rsidR="00CC7404" w:rsidRPr="00B323C8">
        <w:t xml:space="preserve">asked to use the overhead projector, and </w:t>
      </w:r>
      <w:r w:rsidR="001928E5" w:rsidRPr="00B323C8">
        <w:t xml:space="preserve">he </w:t>
      </w:r>
      <w:r w:rsidR="00CC7404" w:rsidRPr="00B323C8">
        <w:t>handed the person operating the projector a picture of a woman</w:t>
      </w:r>
      <w:r w:rsidR="00D61F82" w:rsidRPr="00B323C8">
        <w:t>’</w:t>
      </w:r>
      <w:r w:rsidR="00CC7404" w:rsidRPr="00B323C8">
        <w:t>s genitals.</w:t>
      </w:r>
    </w:p>
    <w:p w14:paraId="0F1CB8C8" w14:textId="6F69C5DE" w:rsidR="0028373C" w:rsidRPr="00B323C8" w:rsidRDefault="001928E5" w:rsidP="00B323C8">
      <w:pPr>
        <w:tabs>
          <w:tab w:val="left" w:pos="1440"/>
        </w:tabs>
        <w:ind w:firstLine="720"/>
      </w:pPr>
      <w:r w:rsidRPr="00B323C8">
        <w:t xml:space="preserve">When defendant finished, </w:t>
      </w:r>
      <w:r w:rsidR="002943C7" w:rsidRPr="00B323C8">
        <w:t>the trial court sentenced him to death</w:t>
      </w:r>
      <w:r w:rsidR="00E56F14" w:rsidRPr="00B323C8">
        <w:t xml:space="preserve"> for each </w:t>
      </w:r>
      <w:r w:rsidRPr="00B323C8">
        <w:t xml:space="preserve">of the </w:t>
      </w:r>
      <w:r w:rsidR="00E56F14" w:rsidRPr="00B323C8">
        <w:t>murder</w:t>
      </w:r>
      <w:r w:rsidRPr="00B323C8">
        <w:t>s</w:t>
      </w:r>
      <w:r w:rsidR="002943C7" w:rsidRPr="00B323C8">
        <w:t>.</w:t>
      </w:r>
      <w:r w:rsidR="00E54A5A" w:rsidRPr="00B323C8">
        <w:t xml:space="preserve">  </w:t>
      </w:r>
      <w:r w:rsidR="00E56F14" w:rsidRPr="00B323C8">
        <w:t xml:space="preserve">It </w:t>
      </w:r>
      <w:r w:rsidR="00B532B1" w:rsidRPr="00B323C8">
        <w:t xml:space="preserve">also </w:t>
      </w:r>
      <w:r w:rsidR="00E56F14" w:rsidRPr="00B323C8">
        <w:t xml:space="preserve">sentenced </w:t>
      </w:r>
      <w:r w:rsidR="00787B06" w:rsidRPr="00B323C8">
        <w:t>him</w:t>
      </w:r>
      <w:r w:rsidR="0050504D" w:rsidRPr="00B323C8">
        <w:t xml:space="preserve"> </w:t>
      </w:r>
      <w:r w:rsidR="00E56F14" w:rsidRPr="00B323C8">
        <w:t>to one year</w:t>
      </w:r>
      <w:r w:rsidR="00E82695" w:rsidRPr="00B323C8">
        <w:t xml:space="preserve"> </w:t>
      </w:r>
      <w:r w:rsidR="00E56F14" w:rsidRPr="00B323C8">
        <w:t>for each</w:t>
      </w:r>
      <w:r w:rsidR="00E019AE" w:rsidRPr="00B323C8">
        <w:t xml:space="preserve"> </w:t>
      </w:r>
      <w:r w:rsidR="00E56F14" w:rsidRPr="00B323C8">
        <w:t>deadly weapon enhancement</w:t>
      </w:r>
      <w:r w:rsidR="00B532B1" w:rsidRPr="00B323C8">
        <w:t xml:space="preserve"> involving </w:t>
      </w:r>
      <w:r w:rsidR="00E82695" w:rsidRPr="00B323C8">
        <w:t xml:space="preserve">use of </w:t>
      </w:r>
      <w:r w:rsidR="00B532B1" w:rsidRPr="00B323C8">
        <w:t>a knife</w:t>
      </w:r>
      <w:r w:rsidR="00E82695" w:rsidRPr="00B323C8">
        <w:t>, th</w:t>
      </w:r>
      <w:r w:rsidR="0050504D" w:rsidRPr="00B323C8">
        <w:t>o</w:t>
      </w:r>
      <w:r w:rsidR="00E82695" w:rsidRPr="00B323C8">
        <w:t>se sentences to be served consecutively.</w:t>
      </w:r>
      <w:r w:rsidR="00B532B1" w:rsidRPr="00B323C8">
        <w:t xml:space="preserve">  </w:t>
      </w:r>
      <w:r w:rsidR="000B1598" w:rsidRPr="00B323C8">
        <w:t>I</w:t>
      </w:r>
      <w:r w:rsidR="00E82695" w:rsidRPr="00B323C8">
        <w:t xml:space="preserve">t sentenced </w:t>
      </w:r>
      <w:r w:rsidR="0096117E" w:rsidRPr="00B323C8">
        <w:t xml:space="preserve">him </w:t>
      </w:r>
      <w:r w:rsidR="00E82695" w:rsidRPr="00B323C8">
        <w:t xml:space="preserve">to </w:t>
      </w:r>
      <w:r w:rsidR="000B1598" w:rsidRPr="00B323C8">
        <w:t>a</w:t>
      </w:r>
      <w:r w:rsidR="00E82695" w:rsidRPr="00B323C8">
        <w:t xml:space="preserve"> year for each deadly weapon enhancement involving use of a wheelbarrow handle, but </w:t>
      </w:r>
      <w:r w:rsidR="008D5C08" w:rsidRPr="00B323C8">
        <w:t xml:space="preserve">the court </w:t>
      </w:r>
      <w:r w:rsidR="00E82695" w:rsidRPr="00B323C8">
        <w:t>stayed th</w:t>
      </w:r>
      <w:r w:rsidR="000B1598" w:rsidRPr="00B323C8">
        <w:t xml:space="preserve">ose </w:t>
      </w:r>
      <w:r w:rsidR="00787B06" w:rsidRPr="00B323C8">
        <w:t>enhancements</w:t>
      </w:r>
      <w:r w:rsidR="00E82695" w:rsidRPr="00B323C8">
        <w:t>.</w:t>
      </w:r>
    </w:p>
    <w:p w14:paraId="6233835B" w14:textId="24D8E049" w:rsidR="002D417F" w:rsidRPr="00B323C8" w:rsidRDefault="008F20C3" w:rsidP="00B323C8">
      <w:pPr>
        <w:pStyle w:val="Heading1"/>
      </w:pPr>
      <w:bookmarkStart w:id="16" w:name="_Toc66715098"/>
      <w:r w:rsidRPr="00B323C8">
        <w:t xml:space="preserve">II. </w:t>
      </w:r>
      <w:r w:rsidR="002D417F" w:rsidRPr="00B323C8">
        <w:t>Discussion</w:t>
      </w:r>
      <w:bookmarkEnd w:id="16"/>
    </w:p>
    <w:p w14:paraId="6D431A1D" w14:textId="14B3F40A" w:rsidR="002D417F" w:rsidRPr="00B323C8" w:rsidRDefault="00335FF0" w:rsidP="00B323C8">
      <w:pPr>
        <w:tabs>
          <w:tab w:val="left" w:pos="1440"/>
        </w:tabs>
        <w:ind w:firstLine="720"/>
      </w:pPr>
      <w:bookmarkStart w:id="17" w:name="_Toc66715099"/>
      <w:r w:rsidRPr="00B323C8">
        <w:t>On appeal, d</w:t>
      </w:r>
      <w:r w:rsidR="008F329B" w:rsidRPr="00B323C8">
        <w:t xml:space="preserve">efendant raises several guilt and penalty phase issues.  We </w:t>
      </w:r>
      <w:r w:rsidRPr="00B323C8">
        <w:t xml:space="preserve">address only the issue of his </w:t>
      </w:r>
      <w:bookmarkStart w:id="18" w:name="_Toc66715100"/>
      <w:bookmarkEnd w:id="17"/>
      <w:r w:rsidRPr="00B323C8">
        <w:t>mental c</w:t>
      </w:r>
      <w:r w:rsidR="002D417F" w:rsidRPr="00B323C8">
        <w:t xml:space="preserve">ompetence to </w:t>
      </w:r>
      <w:r w:rsidRPr="00B323C8">
        <w:t>s</w:t>
      </w:r>
      <w:r w:rsidR="002D417F" w:rsidRPr="00B323C8">
        <w:t xml:space="preserve">tand </w:t>
      </w:r>
      <w:r w:rsidRPr="00B323C8">
        <w:t>t</w:t>
      </w:r>
      <w:r w:rsidR="002D417F" w:rsidRPr="00B323C8">
        <w:t>rial</w:t>
      </w:r>
      <w:bookmarkEnd w:id="18"/>
      <w:r w:rsidR="00781697" w:rsidRPr="00B323C8">
        <w:t xml:space="preserve"> and </w:t>
      </w:r>
      <w:r w:rsidRPr="00B323C8">
        <w:t>t</w:t>
      </w:r>
      <w:r w:rsidR="00781697" w:rsidRPr="00B323C8">
        <w:t xml:space="preserve">o </w:t>
      </w:r>
      <w:r w:rsidRPr="00B323C8">
        <w:t>w</w:t>
      </w:r>
      <w:r w:rsidR="00781697" w:rsidRPr="00B323C8">
        <w:t xml:space="preserve">aive </w:t>
      </w:r>
      <w:r w:rsidRPr="00B323C8">
        <w:t>c</w:t>
      </w:r>
      <w:r w:rsidR="00781697" w:rsidRPr="00B323C8">
        <w:t>ounsel</w:t>
      </w:r>
      <w:r w:rsidRPr="00B323C8">
        <w:t xml:space="preserve">, and because we </w:t>
      </w:r>
      <w:r w:rsidRPr="00B323C8">
        <w:lastRenderedPageBreak/>
        <w:t>conclude, based on our analysis of that issue, that the judgment must be reversed in its entirety, we d</w:t>
      </w:r>
      <w:r w:rsidR="00A44388" w:rsidRPr="00B323C8">
        <w:t>ecline t</w:t>
      </w:r>
      <w:r w:rsidRPr="00B323C8">
        <w:t>o address the other issues.</w:t>
      </w:r>
    </w:p>
    <w:p w14:paraId="54B0EE43" w14:textId="07E0115F" w:rsidR="00BA5EB8" w:rsidRPr="00B323C8" w:rsidRDefault="002F0159" w:rsidP="00B323C8">
      <w:pPr>
        <w:pStyle w:val="Heading2"/>
      </w:pPr>
      <w:r w:rsidRPr="00B323C8">
        <w:t>A</w:t>
      </w:r>
      <w:r w:rsidR="00BA5EB8" w:rsidRPr="00B323C8">
        <w:t>. Fact</w:t>
      </w:r>
      <w:r w:rsidR="000B1598" w:rsidRPr="00B323C8">
        <w:t xml:space="preserve">s Related to </w:t>
      </w:r>
      <w:r w:rsidR="00A44388" w:rsidRPr="00B323C8">
        <w:t xml:space="preserve">Defendant’s </w:t>
      </w:r>
      <w:r w:rsidR="00335FF0" w:rsidRPr="00B323C8">
        <w:t>Mental Competence</w:t>
      </w:r>
    </w:p>
    <w:p w14:paraId="6E1E3292" w14:textId="3B5FF337" w:rsidR="00996B25" w:rsidRPr="00B323C8" w:rsidRDefault="004441B8" w:rsidP="00B323C8">
      <w:pPr>
        <w:tabs>
          <w:tab w:val="left" w:pos="1440"/>
        </w:tabs>
        <w:ind w:firstLine="720"/>
      </w:pPr>
      <w:proofErr w:type="gramStart"/>
      <w:r w:rsidRPr="00B323C8">
        <w:t>Defendant was initially represented by Michael Kotin of the Contra Costa County Public Defender</w:t>
      </w:r>
      <w:r w:rsidR="00D61F82" w:rsidRPr="00B323C8">
        <w:t>’</w:t>
      </w:r>
      <w:r w:rsidRPr="00B323C8">
        <w:t>s Office</w:t>
      </w:r>
      <w:proofErr w:type="gramEnd"/>
      <w:r w:rsidRPr="00B323C8">
        <w:t>.  Due to a conflict, defen</w:t>
      </w:r>
      <w:r w:rsidR="007E5AD4" w:rsidRPr="00B323C8">
        <w:t>dant</w:t>
      </w:r>
      <w:r w:rsidR="00D61F82" w:rsidRPr="00B323C8">
        <w:t>’</w:t>
      </w:r>
      <w:r w:rsidR="007E5AD4" w:rsidRPr="00B323C8">
        <w:t xml:space="preserve">s case </w:t>
      </w:r>
      <w:r w:rsidRPr="00B323C8">
        <w:t xml:space="preserve">was reassigned to the Alternate Defender Office, and Daniel Cook </w:t>
      </w:r>
      <w:r w:rsidR="007E5AD4" w:rsidRPr="00B323C8">
        <w:t xml:space="preserve">took over </w:t>
      </w:r>
      <w:r w:rsidR="007F4BBD" w:rsidRPr="00B323C8">
        <w:t xml:space="preserve">as </w:t>
      </w:r>
      <w:r w:rsidR="00844BED" w:rsidRPr="00B323C8">
        <w:t>defendant</w:t>
      </w:r>
      <w:r w:rsidR="00D61F82" w:rsidRPr="00B323C8">
        <w:t>’</w:t>
      </w:r>
      <w:r w:rsidR="00844BED" w:rsidRPr="00B323C8">
        <w:t xml:space="preserve">s </w:t>
      </w:r>
      <w:r w:rsidR="007F4BBD" w:rsidRPr="00B323C8">
        <w:t xml:space="preserve">counsel, making his first appearance </w:t>
      </w:r>
      <w:r w:rsidR="00B94B69" w:rsidRPr="00B323C8">
        <w:t>on March 27, 2006</w:t>
      </w:r>
      <w:r w:rsidR="007F4BBD" w:rsidRPr="00B323C8">
        <w:t>.</w:t>
      </w:r>
      <w:r w:rsidR="00B94B69" w:rsidRPr="00B323C8">
        <w:t xml:space="preserve"> </w:t>
      </w:r>
      <w:r w:rsidR="007F4BBD" w:rsidRPr="00B323C8">
        <w:t xml:space="preserve"> </w:t>
      </w:r>
      <w:r w:rsidR="0003618E" w:rsidRPr="00B323C8">
        <w:t xml:space="preserve">A few months later, </w:t>
      </w:r>
      <w:r w:rsidR="00EE3591" w:rsidRPr="00B323C8">
        <w:t xml:space="preserve">Cook </w:t>
      </w:r>
      <w:r w:rsidR="007F4BBD" w:rsidRPr="00B323C8">
        <w:t xml:space="preserve">associated </w:t>
      </w:r>
      <w:r w:rsidRPr="00B323C8">
        <w:t xml:space="preserve">David Briggs as </w:t>
      </w:r>
      <w:r w:rsidRPr="00B323C8">
        <w:rPr>
          <w:i/>
        </w:rPr>
        <w:t>Keenan</w:t>
      </w:r>
      <w:r w:rsidRPr="00B323C8">
        <w:t xml:space="preserve"> counsel</w:t>
      </w:r>
      <w:r w:rsidR="007F4BBD" w:rsidRPr="00B323C8">
        <w:t>.</w:t>
      </w:r>
      <w:r w:rsidR="00B94B69" w:rsidRPr="00B323C8">
        <w:t xml:space="preserve"> </w:t>
      </w:r>
      <w:r w:rsidR="007F4BBD" w:rsidRPr="00B323C8">
        <w:t xml:space="preserve"> </w:t>
      </w:r>
      <w:r w:rsidRPr="00B323C8">
        <w:t>(</w:t>
      </w:r>
      <w:r w:rsidR="007E5AD4" w:rsidRPr="00B323C8">
        <w:t xml:space="preserve">See </w:t>
      </w:r>
      <w:r w:rsidRPr="00B323C8">
        <w:rPr>
          <w:i/>
        </w:rPr>
        <w:t>Keenan v. Superior Court</w:t>
      </w:r>
      <w:r w:rsidRPr="00B323C8">
        <w:t xml:space="preserve"> (1982) 31 Cal.3d 424</w:t>
      </w:r>
      <w:r w:rsidR="00E80B8B" w:rsidRPr="00B323C8">
        <w:t xml:space="preserve"> [</w:t>
      </w:r>
      <w:r w:rsidR="002454CD" w:rsidRPr="00B323C8">
        <w:t>trial court has discretion to appoint a second defense attorney in a capital case</w:t>
      </w:r>
      <w:r w:rsidR="00E80B8B" w:rsidRPr="00B323C8">
        <w:t>]</w:t>
      </w:r>
      <w:r w:rsidRPr="00B323C8">
        <w:t xml:space="preserve">.)  </w:t>
      </w:r>
      <w:r w:rsidR="006F608A" w:rsidRPr="00B323C8">
        <w:t>Defendant clashed with Cook</w:t>
      </w:r>
      <w:r w:rsidR="001F0050" w:rsidRPr="00B323C8">
        <w:t>,</w:t>
      </w:r>
      <w:r w:rsidR="006F608A" w:rsidRPr="00B323C8">
        <w:t xml:space="preserve"> and</w:t>
      </w:r>
      <w:r w:rsidR="00D942D1" w:rsidRPr="00B323C8">
        <w:t xml:space="preserve"> on November 30, 2006, </w:t>
      </w:r>
      <w:r w:rsidR="001F0050" w:rsidRPr="00B323C8">
        <w:t xml:space="preserve">defendant </w:t>
      </w:r>
      <w:r w:rsidR="006F608A" w:rsidRPr="00B323C8">
        <w:t>brought a</w:t>
      </w:r>
      <w:r w:rsidR="00D942D1" w:rsidRPr="00B323C8">
        <w:t>n</w:t>
      </w:r>
      <w:r w:rsidR="006F608A" w:rsidRPr="00B323C8">
        <w:t xml:space="preserve"> </w:t>
      </w:r>
      <w:r w:rsidR="00D942D1" w:rsidRPr="00B323C8">
        <w:t xml:space="preserve">unsuccessful </w:t>
      </w:r>
      <w:r w:rsidR="006F608A" w:rsidRPr="00B323C8">
        <w:rPr>
          <w:i/>
        </w:rPr>
        <w:t>Marsden</w:t>
      </w:r>
      <w:r w:rsidR="006F608A" w:rsidRPr="00B323C8">
        <w:t xml:space="preserve"> motion, seeking to re</w:t>
      </w:r>
      <w:r w:rsidR="001F0050" w:rsidRPr="00B323C8">
        <w:t xml:space="preserve">place </w:t>
      </w:r>
      <w:r w:rsidR="00994989" w:rsidRPr="00B323C8">
        <w:t>Cook</w:t>
      </w:r>
      <w:r w:rsidR="00322C90" w:rsidRPr="00B323C8">
        <w:t xml:space="preserve">.  (See </w:t>
      </w:r>
      <w:r w:rsidR="00322C90" w:rsidRPr="00B323C8">
        <w:rPr>
          <w:i/>
        </w:rPr>
        <w:t>People v. Marsden</w:t>
      </w:r>
      <w:r w:rsidR="00322C90" w:rsidRPr="00B323C8">
        <w:t xml:space="preserve"> (1970) 2 Cal.3d 118.)  Defendant</w:t>
      </w:r>
      <w:r w:rsidR="00D61F82" w:rsidRPr="00B323C8">
        <w:t>’</w:t>
      </w:r>
      <w:r w:rsidR="007F4BBD" w:rsidRPr="00B323C8">
        <w:t>s</w:t>
      </w:r>
      <w:r w:rsidR="00322C90" w:rsidRPr="00B323C8">
        <w:t xml:space="preserve"> </w:t>
      </w:r>
      <w:r w:rsidR="00C64DE5" w:rsidRPr="00B323C8">
        <w:t xml:space="preserve">main </w:t>
      </w:r>
      <w:r w:rsidR="00322C90" w:rsidRPr="00B323C8">
        <w:t>complain</w:t>
      </w:r>
      <w:r w:rsidR="007F4BBD" w:rsidRPr="00B323C8">
        <w:t>t</w:t>
      </w:r>
      <w:r w:rsidR="00C64DE5" w:rsidRPr="00B323C8">
        <w:t>s</w:t>
      </w:r>
      <w:r w:rsidR="007F4BBD" w:rsidRPr="00B323C8">
        <w:t xml:space="preserve"> </w:t>
      </w:r>
      <w:r w:rsidR="009A33A2" w:rsidRPr="00B323C8">
        <w:t xml:space="preserve">against Cook </w:t>
      </w:r>
      <w:r w:rsidR="007F4BBD" w:rsidRPr="00B323C8">
        <w:t>w</w:t>
      </w:r>
      <w:r w:rsidR="00C64DE5" w:rsidRPr="00B323C8">
        <w:t xml:space="preserve">ere </w:t>
      </w:r>
      <w:r w:rsidR="007F4BBD" w:rsidRPr="00B323C8">
        <w:t xml:space="preserve">that </w:t>
      </w:r>
      <w:r w:rsidR="00322C90" w:rsidRPr="00B323C8">
        <w:t xml:space="preserve">Cook </w:t>
      </w:r>
      <w:r w:rsidR="007F4BBD" w:rsidRPr="00B323C8">
        <w:t xml:space="preserve">had gone </w:t>
      </w:r>
      <w:r w:rsidR="00322C90" w:rsidRPr="00B323C8">
        <w:t>to defendant</w:t>
      </w:r>
      <w:r w:rsidR="00D61F82" w:rsidRPr="00B323C8">
        <w:t>’</w:t>
      </w:r>
      <w:r w:rsidR="00322C90" w:rsidRPr="00B323C8">
        <w:t xml:space="preserve">s house </w:t>
      </w:r>
      <w:r w:rsidR="00DF5C4D" w:rsidRPr="00B323C8">
        <w:t xml:space="preserve">in Citrus Heights </w:t>
      </w:r>
      <w:r w:rsidR="00322C90" w:rsidRPr="00B323C8">
        <w:t xml:space="preserve">without </w:t>
      </w:r>
      <w:r w:rsidR="007F4BBD" w:rsidRPr="00B323C8">
        <w:t>letting defendant know</w:t>
      </w:r>
      <w:r w:rsidR="00322C90" w:rsidRPr="00B323C8">
        <w:t xml:space="preserve">, that </w:t>
      </w:r>
      <w:r w:rsidR="007F4BBD" w:rsidRPr="00B323C8">
        <w:t xml:space="preserve">Cook had </w:t>
      </w:r>
      <w:r w:rsidR="00322C90" w:rsidRPr="00B323C8">
        <w:t xml:space="preserve">only met with defendant </w:t>
      </w:r>
      <w:r w:rsidR="007F4BBD" w:rsidRPr="00B323C8">
        <w:t xml:space="preserve">about </w:t>
      </w:r>
      <w:r w:rsidR="00322C90" w:rsidRPr="00B323C8">
        <w:t xml:space="preserve">once per month, and that </w:t>
      </w:r>
      <w:r w:rsidR="007F4BBD" w:rsidRPr="00B323C8">
        <w:t xml:space="preserve">Cook </w:t>
      </w:r>
      <w:r w:rsidR="00C62DAB" w:rsidRPr="00B323C8">
        <w:t xml:space="preserve">had </w:t>
      </w:r>
      <w:r w:rsidR="00322C90" w:rsidRPr="00B323C8">
        <w:t>unnecessarily delay</w:t>
      </w:r>
      <w:r w:rsidR="00C62DAB" w:rsidRPr="00B323C8">
        <w:t>ed</w:t>
      </w:r>
      <w:r w:rsidR="00322C90" w:rsidRPr="00B323C8">
        <w:t xml:space="preserve"> the case.</w:t>
      </w:r>
      <w:r w:rsidR="006F608A" w:rsidRPr="00B323C8">
        <w:t xml:space="preserve">  </w:t>
      </w:r>
      <w:r w:rsidR="00C64DE5" w:rsidRPr="00B323C8">
        <w:t xml:space="preserve">A couple of months </w:t>
      </w:r>
      <w:r w:rsidR="00994989" w:rsidRPr="00B323C8">
        <w:t xml:space="preserve">after that </w:t>
      </w:r>
      <w:r w:rsidR="00AD1A23" w:rsidRPr="00B323C8">
        <w:t xml:space="preserve">unsuccessful </w:t>
      </w:r>
      <w:r w:rsidR="00B14FC2" w:rsidRPr="00B323C8">
        <w:rPr>
          <w:i/>
          <w:iCs/>
        </w:rPr>
        <w:t>Marsden</w:t>
      </w:r>
      <w:r w:rsidR="00B14FC2" w:rsidRPr="00B323C8">
        <w:t xml:space="preserve"> </w:t>
      </w:r>
      <w:r w:rsidR="00994989" w:rsidRPr="00B323C8">
        <w:t>motion</w:t>
      </w:r>
      <w:r w:rsidR="00C64DE5" w:rsidRPr="00B323C8">
        <w:t xml:space="preserve">, </w:t>
      </w:r>
      <w:r w:rsidRPr="00B323C8">
        <w:t xml:space="preserve">Cook </w:t>
      </w:r>
      <w:r w:rsidR="00D942D1" w:rsidRPr="00B323C8">
        <w:t xml:space="preserve">resigned from </w:t>
      </w:r>
      <w:r w:rsidRPr="00B323C8">
        <w:t xml:space="preserve">the </w:t>
      </w:r>
      <w:r w:rsidR="00C64DE5" w:rsidRPr="00B323C8">
        <w:t>Alternate Defender Of</w:t>
      </w:r>
      <w:r w:rsidRPr="00B323C8">
        <w:t xml:space="preserve">fice, </w:t>
      </w:r>
      <w:r w:rsidR="00994989" w:rsidRPr="00B323C8">
        <w:t xml:space="preserve">and </w:t>
      </w:r>
      <w:r w:rsidRPr="00B323C8">
        <w:t xml:space="preserve">Roberto Najera </w:t>
      </w:r>
      <w:r w:rsidR="002538FC" w:rsidRPr="00B323C8">
        <w:t xml:space="preserve">became </w:t>
      </w:r>
      <w:r w:rsidRPr="00B323C8">
        <w:t>defendant</w:t>
      </w:r>
      <w:r w:rsidR="00D61F82" w:rsidRPr="00B323C8">
        <w:t>’</w:t>
      </w:r>
      <w:r w:rsidRPr="00B323C8">
        <w:t>s lead attorney</w:t>
      </w:r>
      <w:r w:rsidR="00994989" w:rsidRPr="00B323C8">
        <w:t>.</w:t>
      </w:r>
    </w:p>
    <w:p w14:paraId="079B4187" w14:textId="2FC94CA5" w:rsidR="00B82D7C" w:rsidRPr="00B323C8" w:rsidRDefault="00994989" w:rsidP="00B323C8">
      <w:pPr>
        <w:tabs>
          <w:tab w:val="left" w:pos="1440"/>
        </w:tabs>
        <w:ind w:firstLine="720"/>
      </w:pPr>
      <w:r w:rsidRPr="00B323C8">
        <w:t>A</w:t>
      </w:r>
      <w:r w:rsidR="00EE3591" w:rsidRPr="00B323C8">
        <w:t xml:space="preserve">lthough the relationship </w:t>
      </w:r>
      <w:r w:rsidR="004441B8" w:rsidRPr="00B323C8">
        <w:t>between defendant and Najera</w:t>
      </w:r>
      <w:r w:rsidR="00EE3591" w:rsidRPr="00B323C8">
        <w:t xml:space="preserve"> began well, it eventually broke down</w:t>
      </w:r>
      <w:r w:rsidR="00461039" w:rsidRPr="00B323C8">
        <w:t>, and o</w:t>
      </w:r>
      <w:r w:rsidR="00B562BE" w:rsidRPr="00B323C8">
        <w:t>n January 18, 2008, defendant brought an</w:t>
      </w:r>
      <w:r w:rsidR="00212849" w:rsidRPr="00B323C8">
        <w:t>other</w:t>
      </w:r>
      <w:r w:rsidR="00B562BE" w:rsidRPr="00B323C8">
        <w:t xml:space="preserve"> unsuccessful </w:t>
      </w:r>
      <w:r w:rsidR="00B562BE" w:rsidRPr="00B323C8">
        <w:rPr>
          <w:i/>
        </w:rPr>
        <w:t>Marsden</w:t>
      </w:r>
      <w:r w:rsidR="00B562BE" w:rsidRPr="00B323C8">
        <w:t xml:space="preserve"> motion,</w:t>
      </w:r>
      <w:r w:rsidR="00787EBD" w:rsidRPr="00B323C8">
        <w:t xml:space="preserve"> </w:t>
      </w:r>
      <w:r w:rsidR="00F32028" w:rsidRPr="00B323C8">
        <w:t xml:space="preserve">this time </w:t>
      </w:r>
      <w:r w:rsidR="00B562BE" w:rsidRPr="00B323C8">
        <w:t>see</w:t>
      </w:r>
      <w:r w:rsidRPr="00B323C8">
        <w:t>k</w:t>
      </w:r>
      <w:r w:rsidR="00B562BE" w:rsidRPr="00B323C8">
        <w:t>ing to re</w:t>
      </w:r>
      <w:r w:rsidR="001F0050" w:rsidRPr="00B323C8">
        <w:t xml:space="preserve">place </w:t>
      </w:r>
      <w:r w:rsidR="00B562BE" w:rsidRPr="00B323C8">
        <w:t xml:space="preserve">Najera.  </w:t>
      </w:r>
      <w:r w:rsidR="00E97FD2" w:rsidRPr="00B323C8">
        <w:t xml:space="preserve">Briggs, by contrast, </w:t>
      </w:r>
      <w:r w:rsidR="00EE3591" w:rsidRPr="00B323C8">
        <w:t xml:space="preserve">had </w:t>
      </w:r>
      <w:r w:rsidR="00E97FD2" w:rsidRPr="00B323C8">
        <w:t>gained defendant</w:t>
      </w:r>
      <w:r w:rsidR="00D61F82" w:rsidRPr="00B323C8">
        <w:t>’</w:t>
      </w:r>
      <w:r w:rsidR="00E97FD2" w:rsidRPr="00B323C8">
        <w:t>s trust</w:t>
      </w:r>
      <w:r w:rsidR="001F0050" w:rsidRPr="00B323C8">
        <w:t>, but a</w:t>
      </w:r>
      <w:r w:rsidR="00B562BE" w:rsidRPr="00B323C8">
        <w:t xml:space="preserve">fter </w:t>
      </w:r>
      <w:r w:rsidR="007F4BBD" w:rsidRPr="00B323C8">
        <w:t xml:space="preserve">Briggs </w:t>
      </w:r>
      <w:r w:rsidRPr="00B323C8">
        <w:t xml:space="preserve">advised </w:t>
      </w:r>
      <w:r w:rsidR="007F4BBD" w:rsidRPr="00B323C8">
        <w:t xml:space="preserve">Najera and </w:t>
      </w:r>
      <w:r w:rsidR="00380D0F" w:rsidRPr="00B323C8">
        <w:t>Susan Hutch</w:t>
      </w:r>
      <w:r w:rsidR="0008672B" w:rsidRPr="00B323C8">
        <w:t>er</w:t>
      </w:r>
      <w:r w:rsidR="00380D0F" w:rsidRPr="00B323C8">
        <w:t xml:space="preserve"> (</w:t>
      </w:r>
      <w:r w:rsidR="007F4BBD" w:rsidRPr="00B323C8">
        <w:t>Najera</w:t>
      </w:r>
      <w:r w:rsidR="00D61F82" w:rsidRPr="00B323C8">
        <w:t>’</w:t>
      </w:r>
      <w:r w:rsidR="007F4BBD" w:rsidRPr="00B323C8">
        <w:t>s supervisor</w:t>
      </w:r>
      <w:r w:rsidR="00380D0F" w:rsidRPr="00B323C8">
        <w:t>)</w:t>
      </w:r>
      <w:r w:rsidR="007F4BBD" w:rsidRPr="00B323C8">
        <w:t xml:space="preserve"> </w:t>
      </w:r>
      <w:r w:rsidRPr="00B323C8">
        <w:t xml:space="preserve">about </w:t>
      </w:r>
      <w:r w:rsidR="00712E6A" w:rsidRPr="00B323C8">
        <w:t xml:space="preserve">the importance of meeting often </w:t>
      </w:r>
      <w:r w:rsidR="007F4BBD" w:rsidRPr="00B323C8">
        <w:t xml:space="preserve">with </w:t>
      </w:r>
      <w:r w:rsidR="006F222A" w:rsidRPr="00B323C8">
        <w:t xml:space="preserve">defendant, </w:t>
      </w:r>
      <w:r w:rsidR="00380D0F" w:rsidRPr="00B323C8">
        <w:t>Hutch</w:t>
      </w:r>
      <w:r w:rsidR="0008672B" w:rsidRPr="00B323C8">
        <w:t>er</w:t>
      </w:r>
      <w:r w:rsidR="00380D0F" w:rsidRPr="00B323C8">
        <w:t xml:space="preserve"> </w:t>
      </w:r>
      <w:r w:rsidR="00B677D9" w:rsidRPr="00B323C8">
        <w:t xml:space="preserve">dismissed </w:t>
      </w:r>
      <w:r w:rsidR="007F4BBD" w:rsidRPr="00B323C8">
        <w:t>Briggs</w:t>
      </w:r>
      <w:r w:rsidR="00932CD4" w:rsidRPr="00B323C8">
        <w:t xml:space="preserve"> (it is unclear why)</w:t>
      </w:r>
      <w:r w:rsidR="00B677D9" w:rsidRPr="00B323C8">
        <w:t xml:space="preserve">.  </w:t>
      </w:r>
      <w:r w:rsidR="00E97FD2" w:rsidRPr="00B323C8">
        <w:t xml:space="preserve">Defendant </w:t>
      </w:r>
      <w:r w:rsidR="006F222A" w:rsidRPr="00B323C8">
        <w:t xml:space="preserve">then </w:t>
      </w:r>
      <w:r w:rsidR="00E97FD2" w:rsidRPr="00B323C8">
        <w:t xml:space="preserve">brought </w:t>
      </w:r>
      <w:r w:rsidR="005329B6" w:rsidRPr="00B323C8">
        <w:t xml:space="preserve">yet </w:t>
      </w:r>
      <w:r w:rsidR="001F0050" w:rsidRPr="00B323C8">
        <w:t xml:space="preserve">another unsuccessful </w:t>
      </w:r>
      <w:r w:rsidR="00E97FD2" w:rsidRPr="00B323C8">
        <w:rPr>
          <w:i/>
        </w:rPr>
        <w:lastRenderedPageBreak/>
        <w:t>Marsden</w:t>
      </w:r>
      <w:r w:rsidR="00E97FD2" w:rsidRPr="00B323C8">
        <w:t xml:space="preserve"> motion</w:t>
      </w:r>
      <w:r w:rsidR="001F0050" w:rsidRPr="00B323C8">
        <w:t xml:space="preserve">, again </w:t>
      </w:r>
      <w:r w:rsidR="00E97FD2" w:rsidRPr="00B323C8">
        <w:t>seeking to replace Najera</w:t>
      </w:r>
      <w:r w:rsidR="006F222A" w:rsidRPr="00B323C8">
        <w:t>.  H</w:t>
      </w:r>
      <w:r w:rsidR="001F0050" w:rsidRPr="00B323C8">
        <w:t xml:space="preserve">is </w:t>
      </w:r>
      <w:r w:rsidR="00D7422C" w:rsidRPr="00B323C8">
        <w:t xml:space="preserve">complaints about Najera </w:t>
      </w:r>
      <w:r w:rsidR="001F0050" w:rsidRPr="00B323C8">
        <w:t xml:space="preserve">were </w:t>
      </w:r>
      <w:r w:rsidR="00D7422C" w:rsidRPr="00B323C8">
        <w:t xml:space="preserve">similar to those he </w:t>
      </w:r>
      <w:r w:rsidR="006F222A" w:rsidRPr="00B323C8">
        <w:t xml:space="preserve">had </w:t>
      </w:r>
      <w:r w:rsidRPr="00B323C8">
        <w:t xml:space="preserve">previously </w:t>
      </w:r>
      <w:r w:rsidR="00D7422C" w:rsidRPr="00B323C8">
        <w:t>made about Cook</w:t>
      </w:r>
      <w:r w:rsidR="00B562BE" w:rsidRPr="00B323C8">
        <w:t xml:space="preserve"> (</w:t>
      </w:r>
      <w:r w:rsidR="00245D67" w:rsidRPr="00B323C8">
        <w:t xml:space="preserve">i.e., </w:t>
      </w:r>
      <w:r w:rsidR="00B562BE" w:rsidRPr="00B323C8">
        <w:t>failure to share discovery</w:t>
      </w:r>
      <w:r w:rsidR="00245D67" w:rsidRPr="00B323C8">
        <w:t xml:space="preserve"> with defendant</w:t>
      </w:r>
      <w:r w:rsidR="00B562BE" w:rsidRPr="00B323C8">
        <w:t>,</w:t>
      </w:r>
      <w:r w:rsidR="00E16132" w:rsidRPr="00B323C8">
        <w:rPr>
          <w:rStyle w:val="FootnoteReference"/>
        </w:rPr>
        <w:footnoteReference w:id="7"/>
      </w:r>
      <w:r w:rsidR="00B562BE" w:rsidRPr="00B323C8">
        <w:t xml:space="preserve"> </w:t>
      </w:r>
      <w:r w:rsidR="00B936D4" w:rsidRPr="00B323C8">
        <w:t xml:space="preserve">failure to meet </w:t>
      </w:r>
      <w:r w:rsidR="00245D67" w:rsidRPr="00B323C8">
        <w:t xml:space="preserve">with defendant </w:t>
      </w:r>
      <w:r w:rsidR="00B936D4" w:rsidRPr="00B323C8">
        <w:t xml:space="preserve">regularly, </w:t>
      </w:r>
      <w:r w:rsidR="00B562BE" w:rsidRPr="00B323C8">
        <w:t xml:space="preserve">failure to </w:t>
      </w:r>
      <w:r w:rsidR="00C25249" w:rsidRPr="00B323C8">
        <w:t xml:space="preserve">involve defendant in </w:t>
      </w:r>
      <w:r w:rsidR="00B562BE" w:rsidRPr="00B323C8">
        <w:t>important strategy</w:t>
      </w:r>
      <w:r w:rsidR="001F0050" w:rsidRPr="00B323C8">
        <w:t xml:space="preserve"> decisions</w:t>
      </w:r>
      <w:r w:rsidR="00B562BE" w:rsidRPr="00B323C8">
        <w:t>)</w:t>
      </w:r>
      <w:r w:rsidR="00E97FD2" w:rsidRPr="00B323C8">
        <w:t xml:space="preserve">. </w:t>
      </w:r>
      <w:r w:rsidR="00B677D9" w:rsidRPr="00B323C8">
        <w:t xml:space="preserve"> </w:t>
      </w:r>
      <w:r w:rsidR="007D1A0E" w:rsidRPr="00B323C8">
        <w:t>Eventually, d</w:t>
      </w:r>
      <w:r w:rsidR="00E97FD2" w:rsidRPr="00B323C8">
        <w:t xml:space="preserve">efendant </w:t>
      </w:r>
      <w:r w:rsidRPr="00B323C8">
        <w:t>refused to cooperate with N</w:t>
      </w:r>
      <w:r w:rsidR="00E97FD2" w:rsidRPr="00B323C8">
        <w:t>ajera</w:t>
      </w:r>
      <w:r w:rsidR="00245D67" w:rsidRPr="00B323C8">
        <w:t xml:space="preserve">, even taking steps to sabotage </w:t>
      </w:r>
      <w:r w:rsidR="00B82D7C" w:rsidRPr="00B323C8">
        <w:t xml:space="preserve">the defense </w:t>
      </w:r>
      <w:r w:rsidR="00245D67" w:rsidRPr="00B323C8">
        <w:t xml:space="preserve">case </w:t>
      </w:r>
      <w:r w:rsidRPr="00B323C8">
        <w:t xml:space="preserve">as a way of punishing </w:t>
      </w:r>
      <w:r w:rsidR="00245D67" w:rsidRPr="00B323C8">
        <w:t>Najera</w:t>
      </w:r>
      <w:r w:rsidR="002D0E9B" w:rsidRPr="00B323C8">
        <w:t>.</w:t>
      </w:r>
    </w:p>
    <w:p w14:paraId="660C3899" w14:textId="32B9AFC1" w:rsidR="005D2181" w:rsidRPr="00B323C8" w:rsidRDefault="007C69DF" w:rsidP="00B323C8">
      <w:pPr>
        <w:tabs>
          <w:tab w:val="left" w:pos="1440"/>
        </w:tabs>
        <w:ind w:firstLine="720"/>
      </w:pPr>
      <w:r w:rsidRPr="00B323C8">
        <w:t>D</w:t>
      </w:r>
      <w:r w:rsidR="00E97FD2" w:rsidRPr="00B323C8">
        <w:t xml:space="preserve">efendant </w:t>
      </w:r>
      <w:r w:rsidRPr="00B323C8">
        <w:t xml:space="preserve">then </w:t>
      </w:r>
      <w:r w:rsidR="00E97FD2" w:rsidRPr="00B323C8">
        <w:t xml:space="preserve">brought a </w:t>
      </w:r>
      <w:r w:rsidR="00E97FD2" w:rsidRPr="00B323C8">
        <w:rPr>
          <w:i/>
        </w:rPr>
        <w:t>Faretta</w:t>
      </w:r>
      <w:r w:rsidR="00E97FD2" w:rsidRPr="00B323C8">
        <w:t xml:space="preserve"> motion</w:t>
      </w:r>
      <w:r w:rsidR="008A20F1" w:rsidRPr="00B323C8">
        <w:t>, seeking to represent himself.</w:t>
      </w:r>
      <w:r w:rsidR="00DA54C2" w:rsidRPr="00B323C8">
        <w:t xml:space="preserve">  </w:t>
      </w:r>
      <w:r w:rsidR="008A20F1" w:rsidRPr="00B323C8">
        <w:t>(</w:t>
      </w:r>
      <w:r w:rsidR="008A20F1" w:rsidRPr="00B323C8">
        <w:rPr>
          <w:i/>
        </w:rPr>
        <w:t>Faretta v. California</w:t>
      </w:r>
      <w:r w:rsidR="008A20F1" w:rsidRPr="00B323C8">
        <w:t xml:space="preserve"> (1975) 422 U.S. 806.)  </w:t>
      </w:r>
      <w:r w:rsidR="00B82D7C" w:rsidRPr="00B323C8">
        <w:t>In</w:t>
      </w:r>
      <w:r w:rsidR="00787EBD" w:rsidRPr="00B323C8">
        <w:t xml:space="preserve"> </w:t>
      </w:r>
      <w:r w:rsidR="00407F47" w:rsidRPr="00B323C8">
        <w:t>presenting</w:t>
      </w:r>
      <w:r w:rsidR="00787EBD" w:rsidRPr="00B323C8">
        <w:t xml:space="preserve"> </w:t>
      </w:r>
      <w:r w:rsidR="00B82D7C" w:rsidRPr="00B323C8">
        <w:t>th</w:t>
      </w:r>
      <w:r w:rsidR="004748E7" w:rsidRPr="00B323C8">
        <w:t>e</w:t>
      </w:r>
      <w:r w:rsidR="00B82D7C" w:rsidRPr="00B323C8">
        <w:t xml:space="preserve"> motion, d</w:t>
      </w:r>
      <w:r w:rsidR="003F185E" w:rsidRPr="00B323C8">
        <w:t xml:space="preserve">efendant made clear that he </w:t>
      </w:r>
      <w:r w:rsidR="00994989" w:rsidRPr="00B323C8">
        <w:t>had brought the motion</w:t>
      </w:r>
      <w:r w:rsidR="003F185E" w:rsidRPr="00B323C8">
        <w:t xml:space="preserve"> </w:t>
      </w:r>
      <w:r w:rsidR="00500F94" w:rsidRPr="00B323C8">
        <w:t xml:space="preserve">primarily </w:t>
      </w:r>
      <w:r w:rsidR="003F185E" w:rsidRPr="00B323C8">
        <w:t>because he couldn</w:t>
      </w:r>
      <w:r w:rsidR="00D61F82" w:rsidRPr="00B323C8">
        <w:t>’</w:t>
      </w:r>
      <w:r w:rsidR="003F185E" w:rsidRPr="00B323C8">
        <w:t>t work with Najera</w:t>
      </w:r>
      <w:r w:rsidR="00994989" w:rsidRPr="00B323C8">
        <w:t xml:space="preserve">, not because he </w:t>
      </w:r>
      <w:proofErr w:type="gramStart"/>
      <w:r w:rsidR="00994989" w:rsidRPr="00B323C8">
        <w:t>truly wanted</w:t>
      </w:r>
      <w:proofErr w:type="gramEnd"/>
      <w:r w:rsidR="00994989" w:rsidRPr="00B323C8">
        <w:t xml:space="preserve"> to represent himself</w:t>
      </w:r>
      <w:r w:rsidR="003F185E" w:rsidRPr="00B323C8">
        <w:t xml:space="preserve">.  He said:  “I just got to get rid of </w:t>
      </w:r>
      <w:r w:rsidR="00D60846" w:rsidRPr="00B323C8">
        <w:t>[Najera]</w:t>
      </w:r>
      <w:r w:rsidR="003F185E" w:rsidRPr="00B323C8">
        <w:t>.”</w:t>
      </w:r>
      <w:r w:rsidR="00DA54C2" w:rsidRPr="00B323C8">
        <w:t xml:space="preserve">  </w:t>
      </w:r>
      <w:r w:rsidR="003F185E" w:rsidRPr="00B323C8">
        <w:t>He added:  “I</w:t>
      </w:r>
      <w:r w:rsidR="00D61F82" w:rsidRPr="00B323C8">
        <w:t>’</w:t>
      </w:r>
      <w:r w:rsidR="003F185E" w:rsidRPr="00B323C8">
        <w:t xml:space="preserve">m willing to represent myself to get [Najera] off my case.”  </w:t>
      </w:r>
      <w:r w:rsidR="004748E7" w:rsidRPr="00B323C8">
        <w:t>The crux of his concern with Najera</w:t>
      </w:r>
      <w:r w:rsidR="00D61F82" w:rsidRPr="00B323C8">
        <w:t>’</w:t>
      </w:r>
      <w:r w:rsidR="004748E7" w:rsidRPr="00B323C8">
        <w:t xml:space="preserve">s representation centered upon his disagreement with </w:t>
      </w:r>
      <w:r w:rsidR="00927430" w:rsidRPr="00B323C8">
        <w:t xml:space="preserve">Najera </w:t>
      </w:r>
      <w:r w:rsidR="004748E7" w:rsidRPr="00B323C8">
        <w:t xml:space="preserve">over </w:t>
      </w:r>
      <w:r w:rsidR="004E0C87" w:rsidRPr="00B323C8">
        <w:t xml:space="preserve">whether to assert </w:t>
      </w:r>
      <w:r w:rsidR="004748E7" w:rsidRPr="00B323C8">
        <w:t>an insanity defense.</w:t>
      </w:r>
      <w:r w:rsidR="00197531" w:rsidRPr="00B323C8">
        <w:t xml:space="preserve">  </w:t>
      </w:r>
      <w:r w:rsidR="00927430" w:rsidRPr="00B323C8">
        <w:t>The trial court denied d</w:t>
      </w:r>
      <w:r w:rsidR="004E7083" w:rsidRPr="00B323C8">
        <w:t>efendant</w:t>
      </w:r>
      <w:r w:rsidR="00D61F82" w:rsidRPr="00B323C8">
        <w:t>’</w:t>
      </w:r>
      <w:r w:rsidR="004E7083" w:rsidRPr="00B323C8">
        <w:t xml:space="preserve">s </w:t>
      </w:r>
      <w:r w:rsidR="00245D67" w:rsidRPr="00B323C8">
        <w:rPr>
          <w:i/>
        </w:rPr>
        <w:t>Faretta</w:t>
      </w:r>
      <w:r w:rsidR="00245D67" w:rsidRPr="00B323C8">
        <w:t xml:space="preserve"> </w:t>
      </w:r>
      <w:r w:rsidR="00A330F7" w:rsidRPr="00B323C8">
        <w:t>motion</w:t>
      </w:r>
      <w:r w:rsidR="00927430" w:rsidRPr="00B323C8">
        <w:t xml:space="preserve"> </w:t>
      </w:r>
      <w:r w:rsidR="00500F94" w:rsidRPr="00B323C8">
        <w:t>on the gr</w:t>
      </w:r>
      <w:r w:rsidR="005D2181" w:rsidRPr="00B323C8">
        <w:t>o</w:t>
      </w:r>
      <w:r w:rsidR="00500F94" w:rsidRPr="00B323C8">
        <w:t xml:space="preserve">und that </w:t>
      </w:r>
      <w:r w:rsidR="00927430" w:rsidRPr="00B323C8">
        <w:t xml:space="preserve">defendant </w:t>
      </w:r>
      <w:r w:rsidR="00500F94" w:rsidRPr="00B323C8">
        <w:t xml:space="preserve">was </w:t>
      </w:r>
      <w:r w:rsidR="00245D67" w:rsidRPr="00B323C8">
        <w:t xml:space="preserve">using </w:t>
      </w:r>
      <w:r w:rsidR="00B82D7C" w:rsidRPr="00B323C8">
        <w:t>the</w:t>
      </w:r>
      <w:r w:rsidR="00587CED" w:rsidRPr="00B323C8">
        <w:t xml:space="preserve"> </w:t>
      </w:r>
      <w:r w:rsidR="00B82D7C" w:rsidRPr="00B323C8">
        <w:t xml:space="preserve">motion </w:t>
      </w:r>
      <w:r w:rsidR="00245D67" w:rsidRPr="00B323C8">
        <w:t xml:space="preserve">to </w:t>
      </w:r>
      <w:r w:rsidR="00500F94" w:rsidRPr="00B323C8">
        <w:t>relitigate</w:t>
      </w:r>
      <w:r w:rsidR="00245D67" w:rsidRPr="00B323C8">
        <w:t xml:space="preserve"> the denial of</w:t>
      </w:r>
      <w:r w:rsidR="00500F94" w:rsidRPr="00B323C8">
        <w:t xml:space="preserve"> his </w:t>
      </w:r>
      <w:r w:rsidR="00500F94" w:rsidRPr="00B323C8">
        <w:rPr>
          <w:i/>
        </w:rPr>
        <w:t>Marsden</w:t>
      </w:r>
      <w:r w:rsidR="00500F94" w:rsidRPr="00B323C8">
        <w:t xml:space="preserve"> motion</w:t>
      </w:r>
      <w:r w:rsidR="005D2181" w:rsidRPr="00B323C8">
        <w:t>s</w:t>
      </w:r>
      <w:r w:rsidR="00A330F7" w:rsidRPr="00B323C8">
        <w:t xml:space="preserve">.  </w:t>
      </w:r>
      <w:r w:rsidR="00B82D7C" w:rsidRPr="00B323C8">
        <w:t>T</w:t>
      </w:r>
      <w:r w:rsidR="009A5A4B" w:rsidRPr="00B323C8">
        <w:t xml:space="preserve">wo months later, however, </w:t>
      </w:r>
      <w:r w:rsidR="005D2181" w:rsidRPr="00B323C8">
        <w:t>Najera resigned from the Alternate Defender Office</w:t>
      </w:r>
      <w:r w:rsidR="00B82D7C" w:rsidRPr="00B323C8">
        <w:t xml:space="preserve">.  </w:t>
      </w:r>
      <w:r w:rsidR="005D2181" w:rsidRPr="00B323C8">
        <w:t>David Headley</w:t>
      </w:r>
      <w:r w:rsidR="00B82D7C" w:rsidRPr="00B323C8">
        <w:t xml:space="preserve"> then took over </w:t>
      </w:r>
      <w:r w:rsidR="005D2181" w:rsidRPr="00B323C8">
        <w:t>as defendant</w:t>
      </w:r>
      <w:r w:rsidR="00D61F82" w:rsidRPr="00B323C8">
        <w:t>’</w:t>
      </w:r>
      <w:r w:rsidR="005D2181" w:rsidRPr="00B323C8">
        <w:t>s lead counsel.</w:t>
      </w:r>
    </w:p>
    <w:p w14:paraId="51350AE3" w14:textId="78D2BD31" w:rsidR="003F185E" w:rsidRPr="00B323C8" w:rsidRDefault="00B82D7C" w:rsidP="00B323C8">
      <w:pPr>
        <w:tabs>
          <w:tab w:val="left" w:pos="1440"/>
        </w:tabs>
        <w:ind w:firstLine="720"/>
      </w:pPr>
      <w:r w:rsidRPr="00B323C8">
        <w:t xml:space="preserve">At that point, David </w:t>
      </w:r>
      <w:r w:rsidR="00500F94" w:rsidRPr="00B323C8">
        <w:t>Briggs</w:t>
      </w:r>
      <w:r w:rsidR="0021476C" w:rsidRPr="00B323C8">
        <w:t>, whom Hutcher had dismissed,</w:t>
      </w:r>
      <w:r w:rsidR="00500F94" w:rsidRPr="00B323C8">
        <w:t xml:space="preserve"> </w:t>
      </w:r>
      <w:r w:rsidR="00245D67" w:rsidRPr="00B323C8">
        <w:t>brought a</w:t>
      </w:r>
      <w:r w:rsidR="002A75CC" w:rsidRPr="00B323C8">
        <w:t xml:space="preserve"> </w:t>
      </w:r>
      <w:r w:rsidR="009822EF" w:rsidRPr="00B323C8">
        <w:rPr>
          <w:i/>
          <w:iCs/>
        </w:rPr>
        <w:t>Harris</w:t>
      </w:r>
      <w:r w:rsidR="009822EF" w:rsidRPr="00B323C8">
        <w:t xml:space="preserve"> </w:t>
      </w:r>
      <w:r w:rsidR="00245D67" w:rsidRPr="00B323C8">
        <w:t>motion</w:t>
      </w:r>
      <w:r w:rsidR="009822EF" w:rsidRPr="00B323C8">
        <w:t xml:space="preserve"> </w:t>
      </w:r>
      <w:r w:rsidR="00A15804" w:rsidRPr="00B323C8">
        <w:t xml:space="preserve">seeking </w:t>
      </w:r>
      <w:r w:rsidR="00500F94" w:rsidRPr="00B323C8">
        <w:t>appoint</w:t>
      </w:r>
      <w:r w:rsidR="00A15804" w:rsidRPr="00B323C8">
        <w:t xml:space="preserve">ment </w:t>
      </w:r>
      <w:r w:rsidR="00500F94" w:rsidRPr="00B323C8">
        <w:t xml:space="preserve">as </w:t>
      </w:r>
      <w:r w:rsidR="00927430" w:rsidRPr="00B323C8">
        <w:t>defendant</w:t>
      </w:r>
      <w:r w:rsidR="00D61F82" w:rsidRPr="00B323C8">
        <w:t>’</w:t>
      </w:r>
      <w:r w:rsidR="00927430" w:rsidRPr="00B323C8">
        <w:t xml:space="preserve">s </w:t>
      </w:r>
      <w:r w:rsidR="00500F94" w:rsidRPr="00B323C8">
        <w:t xml:space="preserve">counsel.  </w:t>
      </w:r>
      <w:r w:rsidR="00A15804" w:rsidRPr="00B323C8">
        <w:t>(</w:t>
      </w:r>
      <w:r w:rsidRPr="00B323C8">
        <w:t xml:space="preserve">See </w:t>
      </w:r>
      <w:r w:rsidR="00A15804" w:rsidRPr="00B323C8">
        <w:rPr>
          <w:i/>
        </w:rPr>
        <w:t>Harris v. Superior Court</w:t>
      </w:r>
      <w:r w:rsidR="00A15804" w:rsidRPr="00B323C8">
        <w:t xml:space="preserve"> (1977) 19 Cal.3d 786</w:t>
      </w:r>
      <w:r w:rsidR="002454CD" w:rsidRPr="00B323C8">
        <w:t xml:space="preserve"> [trial court has discretion </w:t>
      </w:r>
      <w:r w:rsidR="005D7A0E" w:rsidRPr="00B323C8">
        <w:t xml:space="preserve">in certain circumstances </w:t>
      </w:r>
      <w:r w:rsidR="002454CD" w:rsidRPr="00B323C8">
        <w:t xml:space="preserve">to </w:t>
      </w:r>
      <w:r w:rsidR="00E32105" w:rsidRPr="00B323C8">
        <w:t>replace appointed counsel with counsel of defendant</w:t>
      </w:r>
      <w:r w:rsidR="00D61F82" w:rsidRPr="00B323C8">
        <w:t>’</w:t>
      </w:r>
      <w:r w:rsidR="00E32105" w:rsidRPr="00B323C8">
        <w:t>s choice</w:t>
      </w:r>
      <w:r w:rsidR="002454CD" w:rsidRPr="00B323C8">
        <w:t>]</w:t>
      </w:r>
      <w:r w:rsidR="00A15804" w:rsidRPr="00B323C8">
        <w:t>.)</w:t>
      </w:r>
      <w:r w:rsidRPr="00B323C8">
        <w:t xml:space="preserve">  </w:t>
      </w:r>
      <w:r w:rsidR="00500F94" w:rsidRPr="00B323C8">
        <w:t xml:space="preserve">The motion was supported by </w:t>
      </w:r>
      <w:r w:rsidR="00932CD4" w:rsidRPr="00B323C8">
        <w:t xml:space="preserve">defendant’s </w:t>
      </w:r>
      <w:r w:rsidR="00927430" w:rsidRPr="00B323C8">
        <w:t xml:space="preserve">declaration </w:t>
      </w:r>
      <w:r w:rsidR="00500F94" w:rsidRPr="00B323C8">
        <w:t xml:space="preserve">stating that he was prepared to cooperate with Briggs.  </w:t>
      </w:r>
      <w:r w:rsidR="009822EF" w:rsidRPr="00B323C8">
        <w:t>But w</w:t>
      </w:r>
      <w:r w:rsidR="009A5A4B" w:rsidRPr="00B323C8">
        <w:t xml:space="preserve">hile </w:t>
      </w:r>
      <w:r w:rsidR="0021476C" w:rsidRPr="00B323C8">
        <w:t xml:space="preserve">Headley was </w:t>
      </w:r>
      <w:r w:rsidR="0021476C" w:rsidRPr="00B323C8">
        <w:lastRenderedPageBreak/>
        <w:t xml:space="preserve">still representing defendant and while </w:t>
      </w:r>
      <w:r w:rsidR="009A5A4B" w:rsidRPr="00B323C8">
        <w:t>Briggs</w:t>
      </w:r>
      <w:r w:rsidR="00D61F82" w:rsidRPr="00B323C8">
        <w:t>’</w:t>
      </w:r>
      <w:r w:rsidR="009A5A4B" w:rsidRPr="00B323C8">
        <w:t>s</w:t>
      </w:r>
      <w:r w:rsidR="00A15804" w:rsidRPr="00B323C8">
        <w:t xml:space="preserve"> </w:t>
      </w:r>
      <w:r w:rsidR="00A15804" w:rsidRPr="00B323C8">
        <w:rPr>
          <w:i/>
        </w:rPr>
        <w:t>Harris</w:t>
      </w:r>
      <w:r w:rsidR="009A5A4B" w:rsidRPr="00B323C8">
        <w:t xml:space="preserve"> motion </w:t>
      </w:r>
      <w:r w:rsidR="00A15804" w:rsidRPr="00B323C8">
        <w:t xml:space="preserve">remained </w:t>
      </w:r>
      <w:r w:rsidR="005F3988" w:rsidRPr="00B323C8">
        <w:t xml:space="preserve">unresolved, </w:t>
      </w:r>
      <w:r w:rsidR="009A5A4B" w:rsidRPr="00B323C8">
        <w:t xml:space="preserve">defendant brought a </w:t>
      </w:r>
      <w:r w:rsidR="0077482F" w:rsidRPr="00B323C8">
        <w:t>second</w:t>
      </w:r>
      <w:r w:rsidR="00927430" w:rsidRPr="00B323C8">
        <w:t xml:space="preserve"> </w:t>
      </w:r>
      <w:r w:rsidR="009A5A4B" w:rsidRPr="00B323C8">
        <w:rPr>
          <w:i/>
        </w:rPr>
        <w:t>Faretta</w:t>
      </w:r>
      <w:r w:rsidR="009A5A4B" w:rsidRPr="00B323C8">
        <w:t xml:space="preserve"> motion.  </w:t>
      </w:r>
      <w:r w:rsidR="00C1080D" w:rsidRPr="00B323C8">
        <w:t>Defendant</w:t>
      </w:r>
      <w:r w:rsidR="0077482F" w:rsidRPr="00B323C8">
        <w:t xml:space="preserve"> still</w:t>
      </w:r>
      <w:r w:rsidR="008C661C" w:rsidRPr="00B323C8">
        <w:t xml:space="preserve"> </w:t>
      </w:r>
      <w:r w:rsidR="00901E44">
        <w:t>did not</w:t>
      </w:r>
      <w:r w:rsidR="00C1080D" w:rsidRPr="00B323C8">
        <w:t xml:space="preserve"> feel he was getting the respect </w:t>
      </w:r>
      <w:r w:rsidR="008C661C" w:rsidRPr="00B323C8">
        <w:t xml:space="preserve">and deference </w:t>
      </w:r>
      <w:r w:rsidR="00C1080D" w:rsidRPr="00B323C8">
        <w:t>he deserved</w:t>
      </w:r>
      <w:r w:rsidR="008C661C" w:rsidRPr="00B323C8">
        <w:t xml:space="preserve">.  </w:t>
      </w:r>
      <w:r w:rsidR="009822EF" w:rsidRPr="00B323C8">
        <w:t xml:space="preserve">He </w:t>
      </w:r>
      <w:r w:rsidRPr="00B323C8">
        <w:t xml:space="preserve">also </w:t>
      </w:r>
      <w:r w:rsidR="005A1DAC" w:rsidRPr="00B323C8">
        <w:t>explained</w:t>
      </w:r>
      <w:r w:rsidRPr="00B323C8">
        <w:t xml:space="preserve"> that he </w:t>
      </w:r>
      <w:r w:rsidR="0021476C" w:rsidRPr="00B323C8">
        <w:t xml:space="preserve">planned to </w:t>
      </w:r>
      <w:r w:rsidRPr="00B323C8">
        <w:t>punish his attorneys, bec</w:t>
      </w:r>
      <w:r w:rsidR="008C661C" w:rsidRPr="00B323C8">
        <w:t xml:space="preserve">ause </w:t>
      </w:r>
      <w:r w:rsidRPr="00B323C8">
        <w:t xml:space="preserve">they </w:t>
      </w:r>
      <w:r w:rsidR="008C661C" w:rsidRPr="00B323C8">
        <w:t xml:space="preserve">would not allow </w:t>
      </w:r>
      <w:r w:rsidRPr="00B323C8">
        <w:t xml:space="preserve">him </w:t>
      </w:r>
      <w:r w:rsidR="008C661C" w:rsidRPr="00B323C8">
        <w:t>to make strategic decisions</w:t>
      </w:r>
      <w:r w:rsidRPr="00B323C8">
        <w:t xml:space="preserve"> in his case.  </w:t>
      </w:r>
      <w:r w:rsidR="005A1DAC" w:rsidRPr="00B323C8">
        <w:t>In his moving papers, he wrote</w:t>
      </w:r>
      <w:r w:rsidRPr="00B323C8">
        <w:t xml:space="preserve">:  </w:t>
      </w:r>
      <w:r w:rsidR="00C1080D" w:rsidRPr="00B323C8">
        <w:t>“I will work against my att</w:t>
      </w:r>
      <w:r w:rsidR="008C661C" w:rsidRPr="00B323C8">
        <w:t>u</w:t>
      </w:r>
      <w:r w:rsidR="00C1080D" w:rsidRPr="00B323C8">
        <w:t>rney</w:t>
      </w:r>
      <w:r w:rsidR="008C661C" w:rsidRPr="00B323C8">
        <w:t xml:space="preserve">s </w:t>
      </w:r>
      <w:r w:rsidRPr="00B323C8">
        <w:t>[</w:t>
      </w:r>
      <w:r w:rsidRPr="00B323C8">
        <w:rPr>
          <w:i/>
        </w:rPr>
        <w:t>sic</w:t>
      </w:r>
      <w:r w:rsidRPr="00B323C8">
        <w:t xml:space="preserve">] </w:t>
      </w:r>
      <w:r w:rsidR="008C661C" w:rsidRPr="00B323C8">
        <w:t>even if it hurts my case.  I will do this to make a point, I said no!”</w:t>
      </w:r>
      <w:r w:rsidR="00197531" w:rsidRPr="00B323C8">
        <w:t xml:space="preserve">  </w:t>
      </w:r>
      <w:r w:rsidR="00FA2848" w:rsidRPr="00B323C8">
        <w:t xml:space="preserve">Defendant </w:t>
      </w:r>
      <w:r w:rsidR="00D0364C" w:rsidRPr="00B323C8">
        <w:t xml:space="preserve">also </w:t>
      </w:r>
      <w:r w:rsidR="00FA2848" w:rsidRPr="00B323C8">
        <w:t>stated that he no longer trusted lawyers</w:t>
      </w:r>
      <w:r w:rsidR="002D308A" w:rsidRPr="00B323C8">
        <w:t xml:space="preserve"> and </w:t>
      </w:r>
      <w:r w:rsidR="00FA2848" w:rsidRPr="00B323C8">
        <w:t>that he did not think Headley would be any different</w:t>
      </w:r>
      <w:r w:rsidR="002D308A" w:rsidRPr="00B323C8">
        <w:t xml:space="preserve"> from </w:t>
      </w:r>
      <w:r w:rsidR="000B4A76" w:rsidRPr="00B323C8">
        <w:t>the others</w:t>
      </w:r>
      <w:r w:rsidR="00FA2848" w:rsidRPr="00B323C8">
        <w:t>.  “I don</w:t>
      </w:r>
      <w:r w:rsidR="00D61F82" w:rsidRPr="00B323C8">
        <w:t>’</w:t>
      </w:r>
      <w:r w:rsidR="00FA2848" w:rsidRPr="00B323C8">
        <w:t>t even want Briggs on the case,”</w:t>
      </w:r>
      <w:r w:rsidR="00E55815" w:rsidRPr="00B323C8">
        <w:t xml:space="preserve"> defendant </w:t>
      </w:r>
      <w:r w:rsidR="005A7EA5" w:rsidRPr="00B323C8">
        <w:t>added</w:t>
      </w:r>
      <w:r w:rsidR="00FA2848" w:rsidRPr="00B323C8">
        <w:t xml:space="preserve">.  “This is something I got to do myself.”  </w:t>
      </w:r>
      <w:r w:rsidR="00C25249" w:rsidRPr="00B323C8">
        <w:t>Defendant</w:t>
      </w:r>
      <w:r w:rsidR="00D61F82" w:rsidRPr="00B323C8">
        <w:t>’</w:t>
      </w:r>
      <w:r w:rsidR="000B4A76" w:rsidRPr="00B323C8">
        <w:t>s</w:t>
      </w:r>
      <w:r w:rsidR="00C25249" w:rsidRPr="00B323C8">
        <w:t xml:space="preserve"> </w:t>
      </w:r>
      <w:r w:rsidR="002D308A" w:rsidRPr="00B323C8">
        <w:t>primary concern was that he</w:t>
      </w:r>
      <w:r w:rsidR="00D0364C" w:rsidRPr="00B323C8">
        <w:t xml:space="preserve"> </w:t>
      </w:r>
      <w:r w:rsidR="00235782" w:rsidRPr="00B323C8">
        <w:t xml:space="preserve">maintain strategic </w:t>
      </w:r>
      <w:r w:rsidR="00C25249" w:rsidRPr="00B323C8">
        <w:t xml:space="preserve">control over </w:t>
      </w:r>
      <w:r w:rsidR="000B4A76" w:rsidRPr="00B323C8">
        <w:t>the case</w:t>
      </w:r>
      <w:r w:rsidR="002D308A" w:rsidRPr="00B323C8">
        <w:t xml:space="preserve">, and he </w:t>
      </w:r>
      <w:r w:rsidR="00901E44">
        <w:t>did not</w:t>
      </w:r>
      <w:r w:rsidR="002D308A" w:rsidRPr="00B323C8">
        <w:t xml:space="preserve"> feel that his attorneys gave him that control</w:t>
      </w:r>
      <w:r w:rsidR="00C25249" w:rsidRPr="00B323C8">
        <w:t>.</w:t>
      </w:r>
    </w:p>
    <w:p w14:paraId="701FF4AE" w14:textId="3D88A289" w:rsidR="00FB3937" w:rsidRPr="00B323C8" w:rsidRDefault="009206F0" w:rsidP="00B323C8">
      <w:pPr>
        <w:tabs>
          <w:tab w:val="left" w:pos="1440"/>
        </w:tabs>
        <w:ind w:firstLine="720"/>
      </w:pPr>
      <w:r w:rsidRPr="00B323C8">
        <w:t xml:space="preserve">The court </w:t>
      </w:r>
      <w:r w:rsidR="00C232DF" w:rsidRPr="00B323C8">
        <w:t xml:space="preserve">decided </w:t>
      </w:r>
      <w:r w:rsidR="00235782" w:rsidRPr="00B323C8">
        <w:t xml:space="preserve">that, in light of </w:t>
      </w:r>
      <w:r w:rsidR="00766A7B" w:rsidRPr="00B323C8">
        <w:t>the high court</w:t>
      </w:r>
      <w:r w:rsidR="00D61F82" w:rsidRPr="00B323C8">
        <w:t>’</w:t>
      </w:r>
      <w:r w:rsidR="00766A7B" w:rsidRPr="00B323C8">
        <w:t xml:space="preserve">s then-recent decision in </w:t>
      </w:r>
      <w:bookmarkStart w:id="19" w:name="_Hlk42688938"/>
      <w:r w:rsidR="004E0C87" w:rsidRPr="00B323C8">
        <w:rPr>
          <w:i/>
          <w:iCs/>
        </w:rPr>
        <w:t>Indiana v. Edwards</w:t>
      </w:r>
      <w:r w:rsidR="004E0C87" w:rsidRPr="00B323C8">
        <w:t xml:space="preserve"> (2008) 554 U.S. 164 (</w:t>
      </w:r>
      <w:r w:rsidR="004E0C87" w:rsidRPr="00B323C8">
        <w:rPr>
          <w:i/>
          <w:iCs/>
        </w:rPr>
        <w:t>Edwards</w:t>
      </w:r>
      <w:r w:rsidR="004E0C87" w:rsidRPr="00B323C8">
        <w:t xml:space="preserve">), </w:t>
      </w:r>
      <w:bookmarkEnd w:id="19"/>
      <w:r w:rsidRPr="00B323C8">
        <w:t>it could not rule on defendant</w:t>
      </w:r>
      <w:r w:rsidR="00D61F82" w:rsidRPr="00B323C8">
        <w:t>’</w:t>
      </w:r>
      <w:r w:rsidRPr="00B323C8">
        <w:t xml:space="preserve">s </w:t>
      </w:r>
      <w:r w:rsidRPr="00B323C8">
        <w:rPr>
          <w:i/>
        </w:rPr>
        <w:t>Faretta</w:t>
      </w:r>
      <w:r w:rsidRPr="00B323C8">
        <w:t xml:space="preserve"> motion without an opinion from a mental health expert as to defendant</w:t>
      </w:r>
      <w:r w:rsidR="00D61F82" w:rsidRPr="00B323C8">
        <w:t>’</w:t>
      </w:r>
      <w:r w:rsidRPr="00B323C8">
        <w:t>s competence to represent himself.</w:t>
      </w:r>
      <w:r w:rsidR="00766A7B" w:rsidRPr="00B323C8">
        <w:t xml:space="preserve">  </w:t>
      </w:r>
      <w:r w:rsidR="00A2292A" w:rsidRPr="00B323C8">
        <w:t xml:space="preserve">The court said that it had </w:t>
      </w:r>
      <w:r w:rsidR="005D4BF4" w:rsidRPr="00B323C8">
        <w:t>“</w:t>
      </w:r>
      <w:r w:rsidR="00A2292A" w:rsidRPr="00B323C8">
        <w:t>not seen</w:t>
      </w:r>
      <w:r w:rsidR="005D4BF4" w:rsidRPr="00B323C8">
        <w:t xml:space="preserve"> any evidence at all that [defendant] would not be competent to stand trial</w:t>
      </w:r>
      <w:r w:rsidR="00197531" w:rsidRPr="00B323C8">
        <w:t>,</w:t>
      </w:r>
      <w:r w:rsidR="005D4BF4" w:rsidRPr="00B323C8">
        <w:t xml:space="preserve">” but the high court in </w:t>
      </w:r>
      <w:r w:rsidR="005D4BF4" w:rsidRPr="00B323C8">
        <w:rPr>
          <w:i/>
        </w:rPr>
        <w:t>Edwards</w:t>
      </w:r>
      <w:r w:rsidR="005D4BF4" w:rsidRPr="00B323C8">
        <w:t xml:space="preserve"> </w:t>
      </w:r>
      <w:r w:rsidR="000B4A76" w:rsidRPr="00B323C8">
        <w:t xml:space="preserve">had </w:t>
      </w:r>
      <w:r w:rsidR="005D4BF4" w:rsidRPr="00B323C8">
        <w:t>distinguished between competence to stand trial and competence to represent oneself at trial, and the trial court explained that</w:t>
      </w:r>
      <w:r w:rsidR="000B4A76" w:rsidRPr="00B323C8">
        <w:t xml:space="preserve"> </w:t>
      </w:r>
      <w:r w:rsidR="005D4BF4" w:rsidRPr="00B323C8">
        <w:t>it was not sure defendant possessed the latter competency</w:t>
      </w:r>
      <w:r w:rsidR="000B4A76" w:rsidRPr="00B323C8">
        <w:t>.</w:t>
      </w:r>
      <w:r w:rsidR="007576FA" w:rsidRPr="00B323C8">
        <w:t xml:space="preserve">  </w:t>
      </w:r>
      <w:r w:rsidR="008A20F1" w:rsidRPr="00B323C8">
        <w:t>The court therefore obtained a report from</w:t>
      </w:r>
      <w:r w:rsidR="00F02F1F" w:rsidRPr="00B323C8">
        <w:t xml:space="preserve"> </w:t>
      </w:r>
      <w:r w:rsidR="00B677D9" w:rsidRPr="00B323C8">
        <w:t xml:space="preserve">Paul </w:t>
      </w:r>
      <w:r w:rsidR="008A20F1" w:rsidRPr="00B323C8">
        <w:t>Good</w:t>
      </w:r>
      <w:r w:rsidR="00F02F1F" w:rsidRPr="00B323C8">
        <w:t>, Ph.D.</w:t>
      </w:r>
      <w:r w:rsidR="000B4A76" w:rsidRPr="00B323C8">
        <w:t>, an expert in forensic psychology.</w:t>
      </w:r>
      <w:r w:rsidR="004D0728" w:rsidRPr="00B323C8">
        <w:t xml:space="preserve">  </w:t>
      </w:r>
      <w:r w:rsidR="007576FA" w:rsidRPr="00B323C8">
        <w:t xml:space="preserve">In deciding that a mental health evaluation of defendant was needed, the court </w:t>
      </w:r>
      <w:r w:rsidR="00225D4D" w:rsidRPr="00B323C8">
        <w:t xml:space="preserve">specifically </w:t>
      </w:r>
      <w:r w:rsidR="007576FA" w:rsidRPr="00B323C8">
        <w:t>referenced defendant</w:t>
      </w:r>
      <w:r w:rsidR="00D61F82" w:rsidRPr="00B323C8">
        <w:t>’</w:t>
      </w:r>
      <w:r w:rsidR="007576FA" w:rsidRPr="00B323C8">
        <w:t xml:space="preserve">s “grandiosity” and </w:t>
      </w:r>
      <w:r w:rsidR="00225D4D" w:rsidRPr="00B323C8">
        <w:t xml:space="preserve">his </w:t>
      </w:r>
      <w:r w:rsidR="007576FA" w:rsidRPr="00B323C8">
        <w:t>“fairly high level of paranoia.”</w:t>
      </w:r>
    </w:p>
    <w:p w14:paraId="161AB5F2" w14:textId="18398A59" w:rsidR="00E66B85" w:rsidRPr="00B323C8" w:rsidRDefault="008A20F1" w:rsidP="00B323C8">
      <w:pPr>
        <w:tabs>
          <w:tab w:val="left" w:pos="1440"/>
        </w:tabs>
        <w:ind w:firstLine="720"/>
      </w:pPr>
      <w:r w:rsidRPr="00B323C8">
        <w:t>Dr. Good</w:t>
      </w:r>
      <w:r w:rsidR="00D61F82" w:rsidRPr="00B323C8">
        <w:t>’</w:t>
      </w:r>
      <w:r w:rsidR="00E66B85" w:rsidRPr="00B323C8">
        <w:t xml:space="preserve">s report stated </w:t>
      </w:r>
      <w:r w:rsidR="00C657F6" w:rsidRPr="00B323C8">
        <w:t xml:space="preserve">that he </w:t>
      </w:r>
      <w:r w:rsidR="00E66B85" w:rsidRPr="00B323C8">
        <w:t xml:space="preserve">had </w:t>
      </w:r>
      <w:r w:rsidR="00C657F6" w:rsidRPr="00B323C8">
        <w:t>interviewed defendant on three occasions</w:t>
      </w:r>
      <w:r w:rsidR="007576FA" w:rsidRPr="00B323C8">
        <w:t>, and h</w:t>
      </w:r>
      <w:r w:rsidR="00E66B85" w:rsidRPr="00B323C8">
        <w:t xml:space="preserve">e found </w:t>
      </w:r>
      <w:r w:rsidR="00C657F6" w:rsidRPr="00B323C8">
        <w:t>“defendant</w:t>
      </w:r>
      <w:r w:rsidR="00D61F82" w:rsidRPr="00B323C8">
        <w:t>’</w:t>
      </w:r>
      <w:r w:rsidR="00C657F6" w:rsidRPr="00B323C8">
        <w:t xml:space="preserve">s thought </w:t>
      </w:r>
      <w:r w:rsidR="00C657F6" w:rsidRPr="00B323C8">
        <w:lastRenderedPageBreak/>
        <w:t>process . . . clear, coherent and goal directed.</w:t>
      </w:r>
      <w:r w:rsidR="00E66B85" w:rsidRPr="00B323C8">
        <w:t>”  Defendant “</w:t>
      </w:r>
      <w:r w:rsidR="00C657F6" w:rsidRPr="00B323C8">
        <w:t>displayed a concrete ability for abstract thought.”</w:t>
      </w:r>
      <w:r w:rsidR="00197531" w:rsidRPr="00B323C8">
        <w:t xml:space="preserve">  </w:t>
      </w:r>
      <w:r w:rsidR="00652FE8" w:rsidRPr="00B323C8">
        <w:t xml:space="preserve">Nonetheless, </w:t>
      </w:r>
      <w:r w:rsidR="00E66B85" w:rsidRPr="00B323C8">
        <w:t xml:space="preserve">Dr. Good </w:t>
      </w:r>
      <w:r w:rsidR="00C657F6" w:rsidRPr="00B323C8">
        <w:t>diagnosed defendant as “most probably suffering from Paranoid Schizophrenia</w:t>
      </w:r>
      <w:r w:rsidR="00E66B85" w:rsidRPr="00B323C8">
        <w:t>,</w:t>
      </w:r>
      <w:r w:rsidR="00C657F6" w:rsidRPr="00B323C8">
        <w:t>”</w:t>
      </w:r>
      <w:r w:rsidR="00E66B85" w:rsidRPr="00B323C8">
        <w:t xml:space="preserve"> and in any case suffering from </w:t>
      </w:r>
      <w:r w:rsidR="00117A15" w:rsidRPr="00B323C8">
        <w:t>“</w:t>
      </w:r>
      <w:r w:rsidR="00E66B85" w:rsidRPr="00B323C8">
        <w:t>severe mental illness.</w:t>
      </w:r>
      <w:r w:rsidR="00117A15" w:rsidRPr="00B323C8">
        <w:t>”</w:t>
      </w:r>
      <w:r w:rsidR="00C657F6" w:rsidRPr="00B323C8">
        <w:t xml:space="preserve">  He based that conclusion “on the presence of paranoid and grandiose delusions, negative symptoms of flattened affect, and long</w:t>
      </w:r>
      <w:r w:rsidR="00E66B85" w:rsidRPr="00B323C8">
        <w:t>-</w:t>
      </w:r>
      <w:r w:rsidR="00C657F6" w:rsidRPr="00B323C8">
        <w:t>standing interpersonal alienation.”</w:t>
      </w:r>
    </w:p>
    <w:p w14:paraId="466381CD" w14:textId="3F06E29D" w:rsidR="006E4C3E" w:rsidRPr="00B323C8" w:rsidRDefault="001C1031" w:rsidP="00B323C8">
      <w:pPr>
        <w:tabs>
          <w:tab w:val="left" w:pos="1440"/>
        </w:tabs>
        <w:ind w:firstLine="720"/>
      </w:pPr>
      <w:r w:rsidRPr="00B323C8">
        <w:t xml:space="preserve">Although Dr. Good </w:t>
      </w:r>
      <w:r w:rsidR="00A01F08" w:rsidRPr="00B323C8">
        <w:t xml:space="preserve">had been </w:t>
      </w:r>
      <w:r w:rsidRPr="00B323C8">
        <w:t>appointed to address defendant</w:t>
      </w:r>
      <w:r w:rsidR="00D61F82" w:rsidRPr="00B323C8">
        <w:t>’</w:t>
      </w:r>
      <w:r w:rsidRPr="00B323C8">
        <w:t>s competence to represent himself, h</w:t>
      </w:r>
      <w:r w:rsidR="002542AB" w:rsidRPr="00B323C8">
        <w:t xml:space="preserve">is report </w:t>
      </w:r>
      <w:r w:rsidR="00D44164" w:rsidRPr="00B323C8">
        <w:t>al</w:t>
      </w:r>
      <w:r w:rsidR="00407F47" w:rsidRPr="00B323C8">
        <w:t xml:space="preserve">so </w:t>
      </w:r>
      <w:r w:rsidR="002542AB" w:rsidRPr="00B323C8">
        <w:t>addressed</w:t>
      </w:r>
      <w:r w:rsidR="00407F47" w:rsidRPr="00B323C8">
        <w:t>,</w:t>
      </w:r>
      <w:r w:rsidR="002542AB" w:rsidRPr="00B323C8">
        <w:t xml:space="preserve"> in detail</w:t>
      </w:r>
      <w:r w:rsidR="00407F47" w:rsidRPr="00B323C8">
        <w:t>,</w:t>
      </w:r>
      <w:r w:rsidR="002542AB" w:rsidRPr="00B323C8">
        <w:t xml:space="preserve"> </w:t>
      </w:r>
      <w:r w:rsidRPr="00B323C8">
        <w:t>defendant</w:t>
      </w:r>
      <w:r w:rsidR="00D61F82" w:rsidRPr="00B323C8">
        <w:t>’</w:t>
      </w:r>
      <w:r w:rsidRPr="00B323C8">
        <w:t>s competence to stand trial.</w:t>
      </w:r>
      <w:r w:rsidR="00197BC2" w:rsidRPr="00B323C8">
        <w:t xml:space="preserve">  </w:t>
      </w:r>
      <w:r w:rsidR="000D3DB3" w:rsidRPr="00B323C8">
        <w:t xml:space="preserve">On the latter point, Dr. Good </w:t>
      </w:r>
      <w:r w:rsidR="00D06D9D" w:rsidRPr="00B323C8">
        <w:t>observed</w:t>
      </w:r>
      <w:r w:rsidRPr="00B323C8">
        <w:t xml:space="preserve"> that defendant had “a factual understanding of the proceedings and intellectually under</w:t>
      </w:r>
      <w:r w:rsidR="00E66B85" w:rsidRPr="00B323C8">
        <w:t xml:space="preserve">[stood] </w:t>
      </w:r>
      <w:r w:rsidRPr="00B323C8">
        <w:t>the relationship between attorney and client.</w:t>
      </w:r>
      <w:r w:rsidR="00E66B85" w:rsidRPr="00B323C8">
        <w:t xml:space="preserve">”  </w:t>
      </w:r>
      <w:r w:rsidR="000D3DB3" w:rsidRPr="00B323C8">
        <w:t>Moreover, h</w:t>
      </w:r>
      <w:r w:rsidR="00E66B85" w:rsidRPr="00B323C8">
        <w:t>e added:  “</w:t>
      </w:r>
      <w:r w:rsidRPr="00B323C8">
        <w:t>Based on the 14 dimensions of the CAI</w:t>
      </w:r>
      <w:r w:rsidR="00E66B85" w:rsidRPr="00B323C8">
        <w:noBreakHyphen/>
      </w:r>
      <w:r w:rsidRPr="00B323C8">
        <w:t xml:space="preserve">R, [defendant] would be found competent to stand trial </w:t>
      </w:r>
      <w:r w:rsidRPr="00B323C8">
        <w:rPr>
          <w:i/>
          <w:iCs/>
        </w:rPr>
        <w:t>were he to proceed with counsel</w:t>
      </w:r>
      <w:r w:rsidRPr="00B323C8">
        <w:t>.”</w:t>
      </w:r>
      <w:r w:rsidR="00D44164" w:rsidRPr="00B323C8">
        <w:t xml:space="preserve">  (Italics added.)</w:t>
      </w:r>
      <w:r w:rsidR="00197BC2" w:rsidRPr="00B323C8">
        <w:rPr>
          <w:rStyle w:val="FootnoteReference"/>
        </w:rPr>
        <w:footnoteReference w:id="8"/>
      </w:r>
      <w:r w:rsidR="00A148C4" w:rsidRPr="00B323C8">
        <w:t xml:space="preserve">  </w:t>
      </w:r>
      <w:r w:rsidR="00AE4649" w:rsidRPr="00B323C8">
        <w:t xml:space="preserve">Dr. Good then </w:t>
      </w:r>
      <w:r w:rsidR="006B5E80" w:rsidRPr="00B323C8">
        <w:t xml:space="preserve">described </w:t>
      </w:r>
      <w:r w:rsidR="00897E99" w:rsidRPr="00B323C8">
        <w:t>e</w:t>
      </w:r>
      <w:r w:rsidR="00AE4649" w:rsidRPr="00B323C8">
        <w:t xml:space="preserve">verything that defendant understood about the legal proceeding he was </w:t>
      </w:r>
      <w:r w:rsidR="00D44164" w:rsidRPr="00B323C8">
        <w:t xml:space="preserve">then </w:t>
      </w:r>
      <w:r w:rsidR="00AE4649" w:rsidRPr="00B323C8">
        <w:t>facing</w:t>
      </w:r>
      <w:r w:rsidR="00357E8A" w:rsidRPr="00B323C8">
        <w:t xml:space="preserve">.  This section of </w:t>
      </w:r>
      <w:r w:rsidR="006E4C3E" w:rsidRPr="00B323C8">
        <w:t>Dr. Good</w:t>
      </w:r>
      <w:r w:rsidR="00D61F82" w:rsidRPr="00B323C8">
        <w:t>’</w:t>
      </w:r>
      <w:r w:rsidR="006E4C3E" w:rsidRPr="00B323C8">
        <w:t xml:space="preserve">s </w:t>
      </w:r>
      <w:r w:rsidR="00357E8A" w:rsidRPr="00B323C8">
        <w:t xml:space="preserve">report makes clear that defendant had a </w:t>
      </w:r>
      <w:r w:rsidR="00AE4649" w:rsidRPr="00B323C8">
        <w:t xml:space="preserve">relatively sophisticated grasp of </w:t>
      </w:r>
      <w:r w:rsidR="00357E8A" w:rsidRPr="00B323C8">
        <w:t xml:space="preserve">criminal </w:t>
      </w:r>
      <w:r w:rsidR="00AE4649" w:rsidRPr="00B323C8">
        <w:t>procedure.</w:t>
      </w:r>
    </w:p>
    <w:p w14:paraId="3EA88A42" w14:textId="2E3F441B" w:rsidR="00CC5FA6" w:rsidRPr="00B323C8" w:rsidRDefault="00AE4649" w:rsidP="00B323C8">
      <w:pPr>
        <w:tabs>
          <w:tab w:val="left" w:pos="1440"/>
        </w:tabs>
        <w:ind w:firstLine="720"/>
      </w:pPr>
      <w:r w:rsidRPr="00B323C8">
        <w:t xml:space="preserve">Dr. Good next </w:t>
      </w:r>
      <w:r w:rsidR="004A02A2" w:rsidRPr="00B323C8">
        <w:t xml:space="preserve">related </w:t>
      </w:r>
      <w:r w:rsidRPr="00B323C8">
        <w:t>the history of defendant</w:t>
      </w:r>
      <w:r w:rsidR="00D61F82" w:rsidRPr="00B323C8">
        <w:t>’</w:t>
      </w:r>
      <w:r w:rsidRPr="00B323C8">
        <w:t>s contentious relationships with counsel.</w:t>
      </w:r>
      <w:r w:rsidR="00197BC2" w:rsidRPr="00B323C8">
        <w:t xml:space="preserve">  </w:t>
      </w:r>
      <w:r w:rsidR="009C55AF" w:rsidRPr="00B323C8">
        <w:t xml:space="preserve">Defendant </w:t>
      </w:r>
      <w:r w:rsidR="006E4C3E" w:rsidRPr="00B323C8">
        <w:t xml:space="preserve">told Dr. Good that </w:t>
      </w:r>
      <w:r w:rsidR="009C55AF" w:rsidRPr="00B323C8">
        <w:t xml:space="preserve">counsel wanted to pursue an insanity defense, </w:t>
      </w:r>
      <w:r w:rsidR="00125135" w:rsidRPr="00B323C8">
        <w:t>but</w:t>
      </w:r>
      <w:r w:rsidR="009C55AF" w:rsidRPr="00B323C8">
        <w:t xml:space="preserve"> </w:t>
      </w:r>
      <w:r w:rsidR="006E4C3E" w:rsidRPr="00B323C8">
        <w:t xml:space="preserve">defendant </w:t>
      </w:r>
      <w:r w:rsidR="009C55AF" w:rsidRPr="00B323C8">
        <w:t>saw that as a “small victory</w:t>
      </w:r>
      <w:r w:rsidR="00E57CF2" w:rsidRPr="00B323C8">
        <w:t>,</w:t>
      </w:r>
      <w:r w:rsidR="009C55AF" w:rsidRPr="00B323C8">
        <w:t xml:space="preserve">” </w:t>
      </w:r>
      <w:r w:rsidR="00E57CF2" w:rsidRPr="00B323C8">
        <w:t xml:space="preserve">one </w:t>
      </w:r>
      <w:r w:rsidR="009C55AF" w:rsidRPr="00B323C8">
        <w:t>not worth pursuing.</w:t>
      </w:r>
      <w:r w:rsidR="00932CD4" w:rsidRPr="00B323C8">
        <w:t xml:space="preserve">  He believed his attorneys were “the enemy” and “</w:t>
      </w:r>
      <w:r w:rsidR="0081365A" w:rsidRPr="00B323C8">
        <w:t xml:space="preserve">were locking [him] away so that no one would discover [he] was really sane.”  </w:t>
      </w:r>
      <w:r w:rsidR="006E4C3E" w:rsidRPr="00B323C8">
        <w:t xml:space="preserve">Significantly, defendant </w:t>
      </w:r>
      <w:r w:rsidR="009C55AF" w:rsidRPr="00B323C8">
        <w:t xml:space="preserve">did not </w:t>
      </w:r>
      <w:r w:rsidR="006E4C3E" w:rsidRPr="00B323C8">
        <w:t xml:space="preserve">give as much importance as his </w:t>
      </w:r>
      <w:r w:rsidR="006E4C3E" w:rsidRPr="00B323C8">
        <w:lastRenderedPageBreak/>
        <w:t xml:space="preserve">lawyers did to the goal of </w:t>
      </w:r>
      <w:r w:rsidR="009C55AF" w:rsidRPr="00B323C8">
        <w:t xml:space="preserve">avoiding </w:t>
      </w:r>
      <w:r w:rsidR="00E57CF2" w:rsidRPr="00B323C8">
        <w:t>a death sentence</w:t>
      </w:r>
      <w:r w:rsidR="009C55AF" w:rsidRPr="00B323C8">
        <w:t xml:space="preserve">.  </w:t>
      </w:r>
      <w:r w:rsidR="006E4C3E" w:rsidRPr="00B323C8">
        <w:t xml:space="preserve">Defendant </w:t>
      </w:r>
      <w:r w:rsidR="009C55AF" w:rsidRPr="00B323C8">
        <w:t xml:space="preserve">doubted that a death sentence would ever result in his execution, and if it did, </w:t>
      </w:r>
      <w:r w:rsidR="006E4C3E" w:rsidRPr="00B323C8">
        <w:t xml:space="preserve">he did not think the execution would occur </w:t>
      </w:r>
      <w:r w:rsidR="00C216AA" w:rsidRPr="00B323C8">
        <w:t xml:space="preserve">for a long time.  Pointing out that both his parents had died from cancer and that he was overweight, </w:t>
      </w:r>
      <w:r w:rsidR="006E4C3E" w:rsidRPr="00B323C8">
        <w:t xml:space="preserve">defendant </w:t>
      </w:r>
      <w:r w:rsidR="00C216AA" w:rsidRPr="00B323C8">
        <w:t xml:space="preserve">thought </w:t>
      </w:r>
      <w:r w:rsidR="009C55AF" w:rsidRPr="00B323C8">
        <w:t xml:space="preserve">he would </w:t>
      </w:r>
      <w:r w:rsidR="00C216AA" w:rsidRPr="00B323C8">
        <w:t xml:space="preserve">be much more likely to live out his normal lifespan in prison than </w:t>
      </w:r>
      <w:r w:rsidR="00897E99" w:rsidRPr="00B323C8">
        <w:t xml:space="preserve">to </w:t>
      </w:r>
      <w:r w:rsidR="00C216AA" w:rsidRPr="00B323C8">
        <w:t xml:space="preserve">be executed.  </w:t>
      </w:r>
      <w:r w:rsidR="002E1089" w:rsidRPr="00B323C8">
        <w:t xml:space="preserve">He also felt that the evidence against him was </w:t>
      </w:r>
      <w:proofErr w:type="gramStart"/>
      <w:r w:rsidR="002E1089" w:rsidRPr="00B323C8">
        <w:t>very strong</w:t>
      </w:r>
      <w:proofErr w:type="gramEnd"/>
      <w:r w:rsidR="002E1089" w:rsidRPr="00B323C8">
        <w:t xml:space="preserve">, and therefore there was not much chance of </w:t>
      </w:r>
      <w:r w:rsidR="006E4C3E" w:rsidRPr="00B323C8">
        <w:t xml:space="preserve">winning </w:t>
      </w:r>
      <w:r w:rsidR="002E1089" w:rsidRPr="00B323C8">
        <w:t>a major victory</w:t>
      </w:r>
      <w:r w:rsidR="0086631C" w:rsidRPr="00B323C8">
        <w:t xml:space="preserve">.  </w:t>
      </w:r>
      <w:r w:rsidR="00C216AA" w:rsidRPr="00B323C8">
        <w:t>Given th</w:t>
      </w:r>
      <w:r w:rsidR="002E1089" w:rsidRPr="00B323C8">
        <w:t xml:space="preserve">ose </w:t>
      </w:r>
      <w:r w:rsidR="00C216AA" w:rsidRPr="00B323C8">
        <w:t>circumstance</w:t>
      </w:r>
      <w:r w:rsidR="002E1089" w:rsidRPr="00B323C8">
        <w:t>s</w:t>
      </w:r>
      <w:r w:rsidR="00C216AA" w:rsidRPr="00B323C8">
        <w:t xml:space="preserve">, he thought the dignity of handling his own </w:t>
      </w:r>
      <w:r w:rsidR="00125135" w:rsidRPr="00B323C8">
        <w:t>defens</w:t>
      </w:r>
      <w:r w:rsidR="00C216AA" w:rsidRPr="00B323C8">
        <w:t xml:space="preserve">e and telling </w:t>
      </w:r>
      <w:r w:rsidR="002E1089" w:rsidRPr="00B323C8">
        <w:t xml:space="preserve">the world </w:t>
      </w:r>
      <w:r w:rsidR="00C216AA" w:rsidRPr="00B323C8">
        <w:t xml:space="preserve">his story was more valuable </w:t>
      </w:r>
      <w:r w:rsidR="007342D9" w:rsidRPr="00B323C8">
        <w:t xml:space="preserve">to him </w:t>
      </w:r>
      <w:r w:rsidR="009C55AF" w:rsidRPr="00B323C8">
        <w:t xml:space="preserve">than </w:t>
      </w:r>
      <w:r w:rsidR="002E1089" w:rsidRPr="00B323C8">
        <w:t xml:space="preserve">the indignity of </w:t>
      </w:r>
      <w:r w:rsidR="00C216AA" w:rsidRPr="00B323C8">
        <w:t xml:space="preserve">submitting to </w:t>
      </w:r>
      <w:r w:rsidR="007342D9" w:rsidRPr="00B323C8">
        <w:t xml:space="preserve">the legal maneuvering of </w:t>
      </w:r>
      <w:r w:rsidR="00C216AA" w:rsidRPr="00B323C8">
        <w:t>his lawyers</w:t>
      </w:r>
      <w:r w:rsidR="00CC5FA6" w:rsidRPr="00B323C8">
        <w:t>, with chances of success uncertai</w:t>
      </w:r>
      <w:r w:rsidR="003741FA" w:rsidRPr="00B323C8">
        <w:t>n</w:t>
      </w:r>
      <w:r w:rsidR="002E1089" w:rsidRPr="00B323C8">
        <w:t>.</w:t>
      </w:r>
    </w:p>
    <w:p w14:paraId="1CBF167D" w14:textId="2A52FD7F" w:rsidR="008340DE" w:rsidRPr="00B323C8" w:rsidRDefault="002E1089" w:rsidP="00B323C8">
      <w:pPr>
        <w:tabs>
          <w:tab w:val="left" w:pos="1440"/>
        </w:tabs>
        <w:ind w:firstLine="720"/>
      </w:pPr>
      <w:r w:rsidRPr="00B323C8">
        <w:t xml:space="preserve">Although </w:t>
      </w:r>
      <w:r w:rsidR="006E4C3E" w:rsidRPr="00B323C8">
        <w:t xml:space="preserve">defendant </w:t>
      </w:r>
      <w:r w:rsidR="00046FB6" w:rsidRPr="00B323C8">
        <w:t xml:space="preserve">conceded </w:t>
      </w:r>
      <w:r w:rsidR="0091310B" w:rsidRPr="00B323C8">
        <w:t xml:space="preserve">to Dr. Good </w:t>
      </w:r>
      <w:r w:rsidRPr="00B323C8">
        <w:t>that it was “possible” that a jury would accept an insanity defense, he thought it was “very unlikely</w:t>
      </w:r>
      <w:r w:rsidR="006E4C3E" w:rsidRPr="00B323C8">
        <w:t>.</w:t>
      </w:r>
      <w:r w:rsidRPr="00B323C8">
        <w:t>”</w:t>
      </w:r>
      <w:r w:rsidR="0086631C" w:rsidRPr="00B323C8">
        <w:t xml:space="preserve">  </w:t>
      </w:r>
      <w:r w:rsidRPr="00B323C8">
        <w:t xml:space="preserve">He </w:t>
      </w:r>
      <w:r w:rsidR="0074439B" w:rsidRPr="00B323C8">
        <w:t xml:space="preserve">argued </w:t>
      </w:r>
      <w:r w:rsidRPr="00B323C8">
        <w:t xml:space="preserve">that he </w:t>
      </w:r>
      <w:r w:rsidR="0074439B" w:rsidRPr="00B323C8">
        <w:t>wa</w:t>
      </w:r>
      <w:r w:rsidRPr="00B323C8">
        <w:t xml:space="preserve">s </w:t>
      </w:r>
      <w:r w:rsidR="0074439B" w:rsidRPr="00B323C8">
        <w:t>“</w:t>
      </w:r>
      <w:r w:rsidRPr="00B323C8">
        <w:t xml:space="preserve">too competent, too sane” to persuade a jury that he </w:t>
      </w:r>
      <w:r w:rsidR="005311E4" w:rsidRPr="00B323C8">
        <w:t xml:space="preserve">had </w:t>
      </w:r>
      <w:r w:rsidR="0074439B" w:rsidRPr="00B323C8">
        <w:t>committed the offense</w:t>
      </w:r>
      <w:r w:rsidR="00A30445" w:rsidRPr="00B323C8">
        <w:t>s</w:t>
      </w:r>
      <w:r w:rsidR="0074439B" w:rsidRPr="00B323C8">
        <w:t xml:space="preserve"> while </w:t>
      </w:r>
      <w:r w:rsidR="00BE6C15" w:rsidRPr="00B323C8">
        <w:t>insane</w:t>
      </w:r>
      <w:r w:rsidR="00A30445" w:rsidRPr="00B323C8">
        <w:t xml:space="preserve">.  In this regard, he pointed out </w:t>
      </w:r>
      <w:r w:rsidR="00BE6C15" w:rsidRPr="00B323C8">
        <w:t xml:space="preserve">that he had </w:t>
      </w:r>
      <w:r w:rsidR="008340DE" w:rsidRPr="00B323C8">
        <w:t xml:space="preserve">worked in </w:t>
      </w:r>
      <w:r w:rsidR="00A30445" w:rsidRPr="00B323C8">
        <w:t xml:space="preserve">difficult </w:t>
      </w:r>
      <w:r w:rsidR="00BE6C15" w:rsidRPr="00B323C8">
        <w:t xml:space="preserve">jobs all his life, that a successful insanity defense </w:t>
      </w:r>
      <w:r w:rsidR="00D82B95" w:rsidRPr="00B323C8">
        <w:t>wa</w:t>
      </w:r>
      <w:r w:rsidR="00BE6C15" w:rsidRPr="00B323C8">
        <w:t xml:space="preserve">s statistically rare, and that the jury </w:t>
      </w:r>
      <w:r w:rsidR="008340DE" w:rsidRPr="00B323C8">
        <w:t xml:space="preserve">in his case would be </w:t>
      </w:r>
      <w:r w:rsidR="00BE6C15" w:rsidRPr="00B323C8">
        <w:t xml:space="preserve">death qualified </w:t>
      </w:r>
      <w:r w:rsidR="0086631C" w:rsidRPr="00B323C8">
        <w:t xml:space="preserve">(see </w:t>
      </w:r>
      <w:r w:rsidR="00BE6C15" w:rsidRPr="00B323C8">
        <w:rPr>
          <w:i/>
        </w:rPr>
        <w:t>Wainwright v. Witt</w:t>
      </w:r>
      <w:r w:rsidR="00BE6C15" w:rsidRPr="00B323C8">
        <w:t xml:space="preserve"> (1985) 469 U.S. 412, 424</w:t>
      </w:r>
      <w:r w:rsidR="0086631C" w:rsidRPr="00B323C8">
        <w:t>)</w:t>
      </w:r>
      <w:r w:rsidR="00BE6C15" w:rsidRPr="00B323C8">
        <w:t xml:space="preserve">, </w:t>
      </w:r>
      <w:r w:rsidR="008340DE" w:rsidRPr="00B323C8">
        <w:t xml:space="preserve">which </w:t>
      </w:r>
      <w:r w:rsidR="00D82B95" w:rsidRPr="00B323C8">
        <w:t xml:space="preserve">in his view </w:t>
      </w:r>
      <w:r w:rsidR="008340DE" w:rsidRPr="00B323C8">
        <w:t>meant that it would be</w:t>
      </w:r>
      <w:r w:rsidR="000E529F" w:rsidRPr="00B323C8">
        <w:t xml:space="preserve"> </w:t>
      </w:r>
      <w:r w:rsidR="008340DE" w:rsidRPr="00B323C8">
        <w:t xml:space="preserve">less </w:t>
      </w:r>
      <w:r w:rsidR="0086631C" w:rsidRPr="00B323C8">
        <w:t xml:space="preserve">likely to accept </w:t>
      </w:r>
      <w:r w:rsidR="00BE6C15" w:rsidRPr="00B323C8">
        <w:t>an insanity defense.</w:t>
      </w:r>
      <w:r w:rsidRPr="00B323C8">
        <w:t xml:space="preserve"> </w:t>
      </w:r>
      <w:r w:rsidR="0086631C" w:rsidRPr="00B323C8">
        <w:t xml:space="preserve"> Given all that, h</w:t>
      </w:r>
      <w:r w:rsidRPr="00B323C8">
        <w:t xml:space="preserve">e thought it was a better strategy “to try to pick a jury that believes in vigilante justice” </w:t>
      </w:r>
      <w:r w:rsidR="0086631C" w:rsidRPr="00B323C8">
        <w:t xml:space="preserve">and </w:t>
      </w:r>
      <w:r w:rsidR="008340DE" w:rsidRPr="00B323C8">
        <w:t xml:space="preserve">then </w:t>
      </w:r>
      <w:r w:rsidR="0086631C" w:rsidRPr="00B323C8">
        <w:t xml:space="preserve">explain </w:t>
      </w:r>
      <w:r w:rsidR="0091310B" w:rsidRPr="00B323C8">
        <w:t xml:space="preserve">to the jury </w:t>
      </w:r>
      <w:r w:rsidR="0086631C" w:rsidRPr="00B323C8">
        <w:t xml:space="preserve">why he </w:t>
      </w:r>
      <w:r w:rsidR="00B35D21" w:rsidRPr="00B323C8">
        <w:t xml:space="preserve">had </w:t>
      </w:r>
      <w:r w:rsidR="00125135" w:rsidRPr="00B323C8">
        <w:t>killed Julie and Paul</w:t>
      </w:r>
      <w:r w:rsidR="0086631C" w:rsidRPr="00B323C8">
        <w:t xml:space="preserve">.  He also </w:t>
      </w:r>
      <w:r w:rsidR="008340DE" w:rsidRPr="00B323C8">
        <w:t xml:space="preserve">commented </w:t>
      </w:r>
      <w:r w:rsidR="0086631C" w:rsidRPr="00B323C8">
        <w:t xml:space="preserve">that if he took the insanity route, he would be </w:t>
      </w:r>
      <w:r w:rsidR="005E71F0" w:rsidRPr="00B323C8">
        <w:t xml:space="preserve">admitting </w:t>
      </w:r>
      <w:r w:rsidR="0086631C" w:rsidRPr="00B323C8">
        <w:t xml:space="preserve">that what he did was wrong </w:t>
      </w:r>
      <w:r w:rsidR="005E71F0" w:rsidRPr="00B323C8">
        <w:t xml:space="preserve">and asserting </w:t>
      </w:r>
      <w:r w:rsidR="0086631C" w:rsidRPr="00B323C8">
        <w:t xml:space="preserve">that he was too </w:t>
      </w:r>
      <w:r w:rsidR="00D44164" w:rsidRPr="00B323C8">
        <w:t xml:space="preserve">insane </w:t>
      </w:r>
      <w:r w:rsidR="0086631C" w:rsidRPr="00B323C8">
        <w:t xml:space="preserve">to appreciate </w:t>
      </w:r>
      <w:r w:rsidR="008340DE" w:rsidRPr="00B323C8">
        <w:t>its wrongfulness</w:t>
      </w:r>
      <w:r w:rsidR="0086631C" w:rsidRPr="00B323C8">
        <w:t xml:space="preserve">.  </w:t>
      </w:r>
      <w:r w:rsidR="00502467" w:rsidRPr="00B323C8">
        <w:t xml:space="preserve">Defendant </w:t>
      </w:r>
      <w:r w:rsidR="0086631C" w:rsidRPr="00B323C8">
        <w:t xml:space="preserve">felt very strongly that what he did was </w:t>
      </w:r>
      <w:r w:rsidR="008340DE" w:rsidRPr="00B323C8">
        <w:rPr>
          <w:i/>
        </w:rPr>
        <w:t>not</w:t>
      </w:r>
      <w:r w:rsidR="008340DE" w:rsidRPr="00B323C8">
        <w:t xml:space="preserve"> wrong</w:t>
      </w:r>
      <w:r w:rsidR="0086631C" w:rsidRPr="00B323C8">
        <w:t>.</w:t>
      </w:r>
    </w:p>
    <w:p w14:paraId="68F479B9" w14:textId="5903A2DA" w:rsidR="00F93D68" w:rsidRPr="00B323C8" w:rsidRDefault="00EC5363" w:rsidP="00B323C8">
      <w:pPr>
        <w:tabs>
          <w:tab w:val="left" w:pos="1440"/>
        </w:tabs>
        <w:ind w:firstLine="720"/>
      </w:pPr>
      <w:r w:rsidRPr="00B323C8">
        <w:t xml:space="preserve">Dr. Good concluded this section of his report </w:t>
      </w:r>
      <w:r w:rsidR="000F65D1" w:rsidRPr="00B323C8">
        <w:t xml:space="preserve">by </w:t>
      </w:r>
      <w:r w:rsidR="004911D7" w:rsidRPr="00B323C8">
        <w:t xml:space="preserve">giving his opinion that defendant was </w:t>
      </w:r>
      <w:r w:rsidR="00897E99" w:rsidRPr="00B323C8">
        <w:t xml:space="preserve">not </w:t>
      </w:r>
      <w:r w:rsidR="004911D7" w:rsidRPr="00B323C8">
        <w:t xml:space="preserve">competent </w:t>
      </w:r>
      <w:r w:rsidR="000F65D1" w:rsidRPr="00B323C8">
        <w:t xml:space="preserve">to stand trial.  </w:t>
      </w:r>
      <w:r w:rsidR="006B05DE" w:rsidRPr="00B323C8">
        <w:t>T</w:t>
      </w:r>
      <w:r w:rsidR="004911D7" w:rsidRPr="00B323C8">
        <w:t xml:space="preserve">he </w:t>
      </w:r>
      <w:r w:rsidR="004911D7" w:rsidRPr="00B323C8">
        <w:lastRenderedPageBreak/>
        <w:t>report</w:t>
      </w:r>
      <w:r w:rsidR="0011393C" w:rsidRPr="00B323C8">
        <w:t xml:space="preserve"> </w:t>
      </w:r>
      <w:proofErr w:type="gramStart"/>
      <w:r w:rsidR="0011393C" w:rsidRPr="00B323C8">
        <w:t>made</w:t>
      </w:r>
      <w:r w:rsidR="004911D7" w:rsidRPr="00B323C8">
        <w:t xml:space="preserve"> </w:t>
      </w:r>
      <w:r w:rsidR="0011393C" w:rsidRPr="00B323C8">
        <w:t>refer</w:t>
      </w:r>
      <w:r w:rsidR="0048447F" w:rsidRPr="00B323C8">
        <w:t>e</w:t>
      </w:r>
      <w:r w:rsidR="0011393C" w:rsidRPr="00B323C8">
        <w:t>nce</w:t>
      </w:r>
      <w:proofErr w:type="gramEnd"/>
      <w:r w:rsidR="0011393C" w:rsidRPr="00B323C8">
        <w:t xml:space="preserve"> to the</w:t>
      </w:r>
      <w:r w:rsidR="004911D7" w:rsidRPr="00B323C8">
        <w:t xml:space="preserve"> legal </w:t>
      </w:r>
      <w:r w:rsidR="0011393C" w:rsidRPr="00B323C8">
        <w:t>standard that governs competence to stand trial</w:t>
      </w:r>
      <w:r w:rsidR="004911D7" w:rsidRPr="00B323C8">
        <w:t xml:space="preserve">, noting </w:t>
      </w:r>
      <w:r w:rsidR="00897E99" w:rsidRPr="00B323C8">
        <w:t xml:space="preserve">in particular </w:t>
      </w:r>
      <w:r w:rsidR="004911D7" w:rsidRPr="00B323C8">
        <w:t xml:space="preserve">that </w:t>
      </w:r>
      <w:r w:rsidR="0011393C" w:rsidRPr="00B323C8">
        <w:t xml:space="preserve">a </w:t>
      </w:r>
      <w:r w:rsidR="00D44164" w:rsidRPr="00B323C8">
        <w:t xml:space="preserve">defendant’s </w:t>
      </w:r>
      <w:r w:rsidR="00510039" w:rsidRPr="00B323C8">
        <w:t>“</w:t>
      </w:r>
      <w:r w:rsidR="00F365D3">
        <w:t> ‘</w:t>
      </w:r>
      <w:r w:rsidR="00510039" w:rsidRPr="00B323C8">
        <w:t>rational as well as factual understanding of the proceedings against him</w:t>
      </w:r>
      <w:r w:rsidR="00F365D3">
        <w:t>’ </w:t>
      </w:r>
      <w:r w:rsidR="00D44164" w:rsidRPr="00B323C8">
        <w:t xml:space="preserve">” is not the sole consideration; a </w:t>
      </w:r>
      <w:r w:rsidR="0011393C" w:rsidRPr="00B323C8">
        <w:t xml:space="preserve">defendant </w:t>
      </w:r>
      <w:r w:rsidR="00510039" w:rsidRPr="00B323C8">
        <w:t>must also have “</w:t>
      </w:r>
      <w:r w:rsidR="00F365D3">
        <w:t> ‘</w:t>
      </w:r>
      <w:r w:rsidR="00510039" w:rsidRPr="00B323C8">
        <w:t>sufficient present ability to</w:t>
      </w:r>
      <w:bookmarkStart w:id="20" w:name="_Hlk73802816"/>
      <w:r w:rsidR="00510039" w:rsidRPr="00B323C8">
        <w:t xml:space="preserve"> consult with his lawyer with a reasonable degree of rational understanding</w:t>
      </w:r>
      <w:bookmarkEnd w:id="20"/>
      <w:r w:rsidR="00510039" w:rsidRPr="00B323C8">
        <w:t>.</w:t>
      </w:r>
      <w:r w:rsidR="00F365D3">
        <w:t>’ </w:t>
      </w:r>
      <w:r w:rsidR="00510039" w:rsidRPr="00B323C8">
        <w:t xml:space="preserve">”  </w:t>
      </w:r>
      <w:r w:rsidR="0011393C" w:rsidRPr="00B323C8">
        <w:t>(</w:t>
      </w:r>
      <w:r w:rsidR="002F6977" w:rsidRPr="00B323C8">
        <w:rPr>
          <w:i/>
        </w:rPr>
        <w:t>Dusky v. U</w:t>
      </w:r>
      <w:r w:rsidR="00F365D3">
        <w:rPr>
          <w:i/>
        </w:rPr>
        <w:t xml:space="preserve">nited </w:t>
      </w:r>
      <w:r w:rsidR="00A844ED" w:rsidRPr="00B323C8">
        <w:rPr>
          <w:i/>
        </w:rPr>
        <w:t>S</w:t>
      </w:r>
      <w:r w:rsidR="00F365D3">
        <w:rPr>
          <w:i/>
        </w:rPr>
        <w:t>tates</w:t>
      </w:r>
      <w:r w:rsidR="002F6977" w:rsidRPr="00B323C8">
        <w:t> (1960) 362 U.S. 402</w:t>
      </w:r>
      <w:r w:rsidR="00AE434E" w:rsidRPr="00B323C8">
        <w:t xml:space="preserve"> (</w:t>
      </w:r>
      <w:r w:rsidR="00AE434E" w:rsidRPr="00B323C8">
        <w:rPr>
          <w:i/>
          <w:iCs/>
        </w:rPr>
        <w:t>Dusky</w:t>
      </w:r>
      <w:r w:rsidR="00AE434E" w:rsidRPr="00B323C8">
        <w:t>)</w:t>
      </w:r>
      <w:r w:rsidR="00510039" w:rsidRPr="00B323C8">
        <w:t xml:space="preserve">; see § 1367, subd. (a) [incorporating the </w:t>
      </w:r>
      <w:r w:rsidR="00510039" w:rsidRPr="00B323C8">
        <w:rPr>
          <w:i/>
          <w:iCs/>
        </w:rPr>
        <w:t>Dusky</w:t>
      </w:r>
      <w:r w:rsidR="00510039" w:rsidRPr="00B323C8">
        <w:t xml:space="preserve"> standard]</w:t>
      </w:r>
      <w:r w:rsidR="0011393C" w:rsidRPr="00B323C8">
        <w:t>.)</w:t>
      </w:r>
      <w:r w:rsidR="004911D7" w:rsidRPr="00B323C8">
        <w:t xml:space="preserve">  </w:t>
      </w:r>
      <w:bookmarkStart w:id="21" w:name="_Hlk64962000"/>
      <w:r w:rsidR="005C4A18" w:rsidRPr="00B323C8">
        <w:t xml:space="preserve">Dr. Good explained </w:t>
      </w:r>
      <w:r w:rsidR="009B6AC7" w:rsidRPr="00B323C8">
        <w:t>that due to defendant</w:t>
      </w:r>
      <w:r w:rsidR="00D61F82" w:rsidRPr="00B323C8">
        <w:t>’</w:t>
      </w:r>
      <w:r w:rsidR="009B6AC7" w:rsidRPr="00B323C8">
        <w:t>s “[s]</w:t>
      </w:r>
      <w:r w:rsidRPr="00B323C8">
        <w:t>elf-importance</w:t>
      </w:r>
      <w:r w:rsidR="005C4A18" w:rsidRPr="00B323C8">
        <w:t>,” “</w:t>
      </w:r>
      <w:r w:rsidRPr="00B323C8">
        <w:t>prideful independence</w:t>
      </w:r>
      <w:r w:rsidR="005C4A18" w:rsidRPr="00B323C8">
        <w:t>,</w:t>
      </w:r>
      <w:r w:rsidR="009B6AC7" w:rsidRPr="00B323C8">
        <w:t xml:space="preserve">” </w:t>
      </w:r>
      <w:r w:rsidR="005C4A18" w:rsidRPr="00B323C8">
        <w:t xml:space="preserve">and </w:t>
      </w:r>
      <w:r w:rsidR="009B6AC7" w:rsidRPr="00B323C8">
        <w:t>“</w:t>
      </w:r>
      <w:r w:rsidRPr="00B323C8">
        <w:t>grandiosity,</w:t>
      </w:r>
      <w:r w:rsidR="009B6AC7" w:rsidRPr="00B323C8">
        <w:t>” he “</w:t>
      </w:r>
      <w:r w:rsidRPr="00B323C8">
        <w:t xml:space="preserve">is </w:t>
      </w:r>
      <w:bookmarkStart w:id="22" w:name="_Hlk40717875"/>
      <w:r w:rsidRPr="00B323C8">
        <w:t xml:space="preserve">not able to rationally consider </w:t>
      </w:r>
      <w:r w:rsidR="00D61F82" w:rsidRPr="00B323C8">
        <w:t>‘</w:t>
      </w:r>
      <w:r w:rsidRPr="00B323C8">
        <w:t>telling his story</w:t>
      </w:r>
      <w:r w:rsidR="00D61F82" w:rsidRPr="00B323C8">
        <w:t>’</w:t>
      </w:r>
      <w:r w:rsidRPr="00B323C8">
        <w:t xml:space="preserve"> with the assistance of an attorney</w:t>
      </w:r>
      <w:bookmarkEnd w:id="22"/>
      <w:r w:rsidRPr="00B323C8">
        <w:t>.</w:t>
      </w:r>
      <w:r w:rsidR="009B6AC7" w:rsidRPr="00B323C8">
        <w:t>”</w:t>
      </w:r>
      <w:r w:rsidR="00197BC2" w:rsidRPr="00B323C8">
        <w:t xml:space="preserve">  </w:t>
      </w:r>
      <w:r w:rsidR="009B6AC7" w:rsidRPr="00B323C8">
        <w:t xml:space="preserve">Dr. Good </w:t>
      </w:r>
      <w:r w:rsidR="00EF4C65" w:rsidRPr="00B323C8">
        <w:t>added</w:t>
      </w:r>
      <w:r w:rsidR="009B6AC7" w:rsidRPr="00B323C8">
        <w:t>:  “</w:t>
      </w:r>
      <w:r w:rsidRPr="00B323C8">
        <w:t>On this ground, I find him incompetent to stand trial.”</w:t>
      </w:r>
      <w:r w:rsidR="00897E99" w:rsidRPr="00B323C8">
        <w:t xml:space="preserve">  Thus</w:t>
      </w:r>
      <w:r w:rsidR="00CF673F" w:rsidRPr="00B323C8">
        <w:t xml:space="preserve">, Dr. Good based his finding of mental incompetence </w:t>
      </w:r>
      <w:r w:rsidR="00897E99" w:rsidRPr="00B323C8">
        <w:t xml:space="preserve">specifically </w:t>
      </w:r>
      <w:r w:rsidR="00CF673F" w:rsidRPr="00B323C8">
        <w:t>on defendant</w:t>
      </w:r>
      <w:r w:rsidR="00D61F82" w:rsidRPr="00B323C8">
        <w:t>’</w:t>
      </w:r>
      <w:r w:rsidR="00CF673F" w:rsidRPr="00B323C8">
        <w:t xml:space="preserve">s inability to rationally </w:t>
      </w:r>
      <w:r w:rsidR="00510039" w:rsidRPr="00B323C8">
        <w:t xml:space="preserve">consult with </w:t>
      </w:r>
      <w:r w:rsidR="00CF673F" w:rsidRPr="00B323C8">
        <w:t>counsel</w:t>
      </w:r>
      <w:r w:rsidR="00F93D68" w:rsidRPr="00B323C8">
        <w:t>.</w:t>
      </w:r>
    </w:p>
    <w:p w14:paraId="19E15FEF" w14:textId="30C72E02" w:rsidR="00AB3A54" w:rsidRPr="00B323C8" w:rsidRDefault="00C57494" w:rsidP="00B323C8">
      <w:pPr>
        <w:tabs>
          <w:tab w:val="left" w:pos="1440"/>
        </w:tabs>
        <w:ind w:firstLine="720"/>
      </w:pPr>
      <w:r w:rsidRPr="00B323C8">
        <w:t>Dr. Good</w:t>
      </w:r>
      <w:r w:rsidR="004D5D60" w:rsidRPr="00B323C8">
        <w:t xml:space="preserve"> </w:t>
      </w:r>
      <w:r w:rsidR="005F5E0A" w:rsidRPr="00B323C8">
        <w:t xml:space="preserve">further elaborated </w:t>
      </w:r>
      <w:r w:rsidR="004D5D60" w:rsidRPr="00B323C8">
        <w:t xml:space="preserve">the basis for his opinion.  </w:t>
      </w:r>
      <w:r w:rsidR="008A003A" w:rsidRPr="00B323C8">
        <w:t xml:space="preserve">First, </w:t>
      </w:r>
      <w:r w:rsidR="00984775" w:rsidRPr="00B323C8">
        <w:t xml:space="preserve">Dr. </w:t>
      </w:r>
      <w:r w:rsidR="004D5D60" w:rsidRPr="00B323C8">
        <w:t xml:space="preserve">Good </w:t>
      </w:r>
      <w:proofErr w:type="gramStart"/>
      <w:r w:rsidRPr="00B323C8">
        <w:t>directly linked</w:t>
      </w:r>
      <w:proofErr w:type="gramEnd"/>
      <w:r w:rsidRPr="00B323C8">
        <w:t xml:space="preserve"> defendant</w:t>
      </w:r>
      <w:r w:rsidR="00D61F82" w:rsidRPr="00B323C8">
        <w:t>’</w:t>
      </w:r>
      <w:r w:rsidRPr="00B323C8">
        <w:t xml:space="preserve">s tumultuous relationships with counsel to his “paranoid mental disorder,” </w:t>
      </w:r>
      <w:r w:rsidR="00A06297" w:rsidRPr="00B323C8">
        <w:t>explaining that the disorder c</w:t>
      </w:r>
      <w:r w:rsidRPr="00B323C8">
        <w:t xml:space="preserve">aused </w:t>
      </w:r>
      <w:r w:rsidR="00A06297" w:rsidRPr="00B323C8">
        <w:t>defendant t</w:t>
      </w:r>
      <w:r w:rsidRPr="00B323C8">
        <w:t xml:space="preserve">o have a “hypercritical and suspicious stance towards his attorneys.”  </w:t>
      </w:r>
      <w:r w:rsidR="003646F5" w:rsidRPr="00B323C8">
        <w:t xml:space="preserve">Second, </w:t>
      </w:r>
      <w:r w:rsidRPr="00B323C8">
        <w:t>Dr. Good explain</w:t>
      </w:r>
      <w:r w:rsidR="004D5D60" w:rsidRPr="00B323C8">
        <w:t xml:space="preserve">ed </w:t>
      </w:r>
      <w:r w:rsidR="00F93D68" w:rsidRPr="00B323C8">
        <w:t xml:space="preserve">that </w:t>
      </w:r>
      <w:r w:rsidRPr="00B323C8">
        <w:t>defendant had “a misperception of [his lawyers</w:t>
      </w:r>
      <w:r w:rsidR="00D61F82" w:rsidRPr="00B323C8">
        <w:t>’</w:t>
      </w:r>
      <w:r w:rsidRPr="00B323C8">
        <w:t xml:space="preserve">] motives, a misunderstanding of the risk involved [in his case], a minimizing of the precariousness of his predicament, and impaired judgment, all of which </w:t>
      </w:r>
      <w:r w:rsidR="00ED3E3C" w:rsidRPr="00B323C8">
        <w:t>a</w:t>
      </w:r>
      <w:r w:rsidRPr="00B323C8">
        <w:t>re symptoms of his paranoid mental state.”</w:t>
      </w:r>
      <w:r w:rsidR="00197BC2" w:rsidRPr="00B323C8">
        <w:t xml:space="preserve">  </w:t>
      </w:r>
      <w:r w:rsidRPr="00B323C8">
        <w:t xml:space="preserve">Dr. Good </w:t>
      </w:r>
      <w:r w:rsidR="00EF4C65" w:rsidRPr="00B323C8">
        <w:t>further stated</w:t>
      </w:r>
      <w:r w:rsidRPr="00B323C8">
        <w:t>:  “Clinically, I believe [defendant] is in denial about the danger he faces, and he substitutes hostility at those who take seriously his predicament.”</w:t>
      </w:r>
      <w:bookmarkEnd w:id="21"/>
    </w:p>
    <w:p w14:paraId="7D34DEE6" w14:textId="7B84FA45" w:rsidR="00EC5363" w:rsidRPr="00B323C8" w:rsidRDefault="00495AA5" w:rsidP="00B323C8">
      <w:pPr>
        <w:tabs>
          <w:tab w:val="left" w:pos="1440"/>
        </w:tabs>
        <w:ind w:firstLine="720"/>
      </w:pPr>
      <w:r w:rsidRPr="00B323C8">
        <w:t xml:space="preserve">A redacted version of </w:t>
      </w:r>
      <w:r w:rsidR="00AB3A54" w:rsidRPr="00B323C8">
        <w:t>Dr. Good</w:t>
      </w:r>
      <w:r w:rsidR="00D61F82" w:rsidRPr="00B323C8">
        <w:t>’</w:t>
      </w:r>
      <w:r w:rsidR="00AB3A54" w:rsidRPr="00B323C8">
        <w:t xml:space="preserve">s </w:t>
      </w:r>
      <w:r w:rsidRPr="00B323C8">
        <w:t>report</w:t>
      </w:r>
      <w:r w:rsidR="004B6B34" w:rsidRPr="00B323C8">
        <w:t xml:space="preserve"> </w:t>
      </w:r>
      <w:r w:rsidRPr="00B323C8">
        <w:t>was provided to</w:t>
      </w:r>
      <w:r w:rsidR="00B345BE" w:rsidRPr="00B323C8">
        <w:t xml:space="preserve"> </w:t>
      </w:r>
      <w:r w:rsidRPr="00B323C8">
        <w:t>defense counsel and the prosecution</w:t>
      </w:r>
      <w:r w:rsidR="000D5E99" w:rsidRPr="00B323C8">
        <w:t xml:space="preserve"> on the day of </w:t>
      </w:r>
      <w:r w:rsidR="00D55A10" w:rsidRPr="00B323C8">
        <w:t xml:space="preserve">defendant’s </w:t>
      </w:r>
      <w:r w:rsidR="000D5E99" w:rsidRPr="00B323C8">
        <w:rPr>
          <w:i/>
        </w:rPr>
        <w:t>Faretta</w:t>
      </w:r>
      <w:r w:rsidR="000D5E99" w:rsidRPr="00B323C8">
        <w:t xml:space="preserve"> hearing</w:t>
      </w:r>
      <w:r w:rsidR="004B6B34" w:rsidRPr="00B323C8">
        <w:t xml:space="preserve">.  </w:t>
      </w:r>
      <w:r w:rsidR="001C4A0C" w:rsidRPr="00B323C8">
        <w:t xml:space="preserve">Although Dr. Good had opined about </w:t>
      </w:r>
      <w:r w:rsidR="001C4A0C" w:rsidRPr="00B323C8">
        <w:lastRenderedPageBreak/>
        <w:t>defendant</w:t>
      </w:r>
      <w:r w:rsidR="00D61F82" w:rsidRPr="00B323C8">
        <w:t>’</w:t>
      </w:r>
      <w:r w:rsidR="001C4A0C" w:rsidRPr="00B323C8">
        <w:t>s mental competence to stand trial, t</w:t>
      </w:r>
      <w:r w:rsidR="004B6B34" w:rsidRPr="00B323C8">
        <w:t xml:space="preserve">he trial court </w:t>
      </w:r>
      <w:r w:rsidR="008A003A" w:rsidRPr="00B323C8">
        <w:t xml:space="preserve">limited its discussion with </w:t>
      </w:r>
      <w:r w:rsidR="003646F5" w:rsidRPr="00B323C8">
        <w:t xml:space="preserve">defense </w:t>
      </w:r>
      <w:r w:rsidR="008A003A" w:rsidRPr="00B323C8">
        <w:t xml:space="preserve">counsel to the subject of </w:t>
      </w:r>
      <w:r w:rsidR="005B0C8B" w:rsidRPr="00B323C8">
        <w:t>defendant</w:t>
      </w:r>
      <w:r w:rsidR="00D61F82" w:rsidRPr="00B323C8">
        <w:t>’</w:t>
      </w:r>
      <w:r w:rsidR="005B0C8B" w:rsidRPr="00B323C8">
        <w:t xml:space="preserve">s </w:t>
      </w:r>
      <w:r w:rsidR="006C045C" w:rsidRPr="00B323C8">
        <w:t xml:space="preserve">mental </w:t>
      </w:r>
      <w:r w:rsidR="005B0C8B" w:rsidRPr="00B323C8">
        <w:t>competence</w:t>
      </w:r>
      <w:r w:rsidR="00D772A5" w:rsidRPr="00B323C8">
        <w:t xml:space="preserve"> to conduct his own defense </w:t>
      </w:r>
      <w:r w:rsidR="00633C75" w:rsidRPr="00B323C8">
        <w:t xml:space="preserve">in the event that the court granted the </w:t>
      </w:r>
      <w:r w:rsidR="00633C75" w:rsidRPr="00B323C8">
        <w:rPr>
          <w:i/>
          <w:iCs/>
        </w:rPr>
        <w:t>Faretta</w:t>
      </w:r>
      <w:r w:rsidR="00633C75" w:rsidRPr="00B323C8">
        <w:t xml:space="preserve"> motion</w:t>
      </w:r>
      <w:r w:rsidR="001C4A0C" w:rsidRPr="00B323C8">
        <w:t xml:space="preserve"> and relieved</w:t>
      </w:r>
      <w:r w:rsidR="00CE24E4" w:rsidRPr="00B323C8">
        <w:t xml:space="preserve"> </w:t>
      </w:r>
      <w:r w:rsidR="001C4A0C" w:rsidRPr="00B323C8">
        <w:t>counsel</w:t>
      </w:r>
      <w:r w:rsidR="00160EA6" w:rsidRPr="00B323C8">
        <w:t>.</w:t>
      </w:r>
    </w:p>
    <w:p w14:paraId="404248CC" w14:textId="0D9557E7" w:rsidR="00AC3B09" w:rsidRPr="00B323C8" w:rsidRDefault="008A003A" w:rsidP="00B323C8">
      <w:pPr>
        <w:tabs>
          <w:tab w:val="left" w:pos="1440"/>
        </w:tabs>
        <w:ind w:firstLine="720"/>
      </w:pPr>
      <w:r w:rsidRPr="00B323C8">
        <w:t>T</w:t>
      </w:r>
      <w:r w:rsidR="001E154D" w:rsidRPr="00B323C8">
        <w:t>he court</w:t>
      </w:r>
      <w:r w:rsidR="00AB3A54" w:rsidRPr="00B323C8">
        <w:t xml:space="preserve"> </w:t>
      </w:r>
      <w:r w:rsidR="003646F5" w:rsidRPr="00B323C8">
        <w:t xml:space="preserve">then </w:t>
      </w:r>
      <w:r w:rsidR="001E154D" w:rsidRPr="00B323C8">
        <w:t>granted defendant</w:t>
      </w:r>
      <w:r w:rsidR="00D61F82" w:rsidRPr="00B323C8">
        <w:t>’</w:t>
      </w:r>
      <w:r w:rsidR="001E154D" w:rsidRPr="00B323C8">
        <w:t xml:space="preserve">s </w:t>
      </w:r>
      <w:r w:rsidR="001E154D" w:rsidRPr="00B323C8">
        <w:rPr>
          <w:i/>
        </w:rPr>
        <w:t>Faretta</w:t>
      </w:r>
      <w:r w:rsidR="001E154D" w:rsidRPr="00B323C8">
        <w:t xml:space="preserve"> motion.</w:t>
      </w:r>
      <w:r w:rsidR="00197BC2" w:rsidRPr="00B323C8">
        <w:t xml:space="preserve">  </w:t>
      </w:r>
      <w:r w:rsidRPr="00B323C8">
        <w:t>In its ruling the</w:t>
      </w:r>
      <w:r w:rsidR="001E154D" w:rsidRPr="00B323C8">
        <w:t xml:space="preserve"> court said:  “On review of Dr. Good</w:t>
      </w:r>
      <w:r w:rsidR="00D61F82" w:rsidRPr="00B323C8">
        <w:t>’</w:t>
      </w:r>
      <w:r w:rsidR="001E154D" w:rsidRPr="00B323C8">
        <w:t xml:space="preserve">s report, and again particularly since I think the standards applicable here under </w:t>
      </w:r>
      <w:r w:rsidR="001E154D" w:rsidRPr="00B323C8">
        <w:rPr>
          <w:i/>
        </w:rPr>
        <w:t>Edwards</w:t>
      </w:r>
      <w:r w:rsidR="00942152" w:rsidRPr="00B323C8">
        <w:t xml:space="preserve"> </w:t>
      </w:r>
      <w:r w:rsidR="001E154D" w:rsidRPr="00B323C8">
        <w:t>are less than clear, it does appear to me</w:t>
      </w:r>
      <w:r w:rsidR="00DE223F" w:rsidRPr="00B323C8">
        <w:t xml:space="preserve"> </w:t>
      </w:r>
      <w:r w:rsidR="001E154D" w:rsidRPr="00B323C8">
        <w:t>t</w:t>
      </w:r>
      <w:r w:rsidR="00DE223F" w:rsidRPr="00B323C8">
        <w:t>h</w:t>
      </w:r>
      <w:r w:rsidR="001E154D" w:rsidRPr="00B323C8">
        <w:t>at while there is a diagnosis of paranoia</w:t>
      </w:r>
      <w:r w:rsidR="001A018C" w:rsidRPr="00B323C8">
        <w:t>,</w:t>
      </w:r>
      <w:r w:rsidR="001E154D" w:rsidRPr="00B323C8">
        <w:t xml:space="preserve"> and </w:t>
      </w:r>
      <w:r w:rsidR="00D93865" w:rsidRPr="00B323C8">
        <w:t xml:space="preserve">[it] </w:t>
      </w:r>
      <w:r w:rsidR="001E154D" w:rsidRPr="00B323C8">
        <w:t>appears to be consistent with the court</w:t>
      </w:r>
      <w:r w:rsidR="00D61F82" w:rsidRPr="00B323C8">
        <w:t>’</w:t>
      </w:r>
      <w:r w:rsidR="001E154D" w:rsidRPr="00B323C8">
        <w:t xml:space="preserve">s own </w:t>
      </w:r>
      <w:r w:rsidR="00210EA1" w:rsidRPr="00B323C8">
        <w:t>observations of [defendant], I frankly do not think it rises to the level that would preclude [defendant] from electing to represent himself should he choose to do so.</w:t>
      </w:r>
      <w:r w:rsidR="00BD486D" w:rsidRPr="00B323C8">
        <w:t>”</w:t>
      </w:r>
      <w:r w:rsidR="00210EA1" w:rsidRPr="00B323C8">
        <w:t xml:space="preserve">  </w:t>
      </w:r>
      <w:r w:rsidR="007808BB" w:rsidRPr="00B323C8">
        <w:t xml:space="preserve">When </w:t>
      </w:r>
      <w:r w:rsidR="001A018C" w:rsidRPr="00B323C8">
        <w:t xml:space="preserve">defense counsel was </w:t>
      </w:r>
      <w:r w:rsidR="007808BB" w:rsidRPr="00B323C8">
        <w:t xml:space="preserve">prompted </w:t>
      </w:r>
      <w:r w:rsidR="00AE1789" w:rsidRPr="00B323C8">
        <w:t xml:space="preserve">by the court </w:t>
      </w:r>
      <w:r w:rsidR="00647AC4" w:rsidRPr="00B323C8">
        <w:t xml:space="preserve">to discuss </w:t>
      </w:r>
      <w:r w:rsidRPr="00B323C8">
        <w:t xml:space="preserve">his views regarding </w:t>
      </w:r>
      <w:r w:rsidR="007808BB" w:rsidRPr="00B323C8">
        <w:t>Dr. Good</w:t>
      </w:r>
      <w:r w:rsidR="00D61F82" w:rsidRPr="00B323C8">
        <w:t>’</w:t>
      </w:r>
      <w:r w:rsidR="007808BB" w:rsidRPr="00B323C8">
        <w:t xml:space="preserve">s report, counsel </w:t>
      </w:r>
      <w:r w:rsidR="00C70FDE" w:rsidRPr="00B323C8">
        <w:t>told the court</w:t>
      </w:r>
      <w:r w:rsidR="007808BB" w:rsidRPr="00B323C8">
        <w:t>:  “We trust your reading of it</w:t>
      </w:r>
      <w:r w:rsidR="0094210F" w:rsidRPr="00B323C8">
        <w:t>.</w:t>
      </w:r>
      <w:r w:rsidR="007808BB" w:rsidRPr="00B323C8">
        <w:t>”</w:t>
      </w:r>
      <w:r w:rsidR="003646F5" w:rsidRPr="00B323C8">
        <w:rPr>
          <w:rStyle w:val="FootnoteReference"/>
        </w:rPr>
        <w:footnoteReference w:id="9"/>
      </w:r>
    </w:p>
    <w:p w14:paraId="4EE87D20" w14:textId="336AC748" w:rsidR="006D44AF" w:rsidRPr="00B323C8" w:rsidRDefault="00412DC2" w:rsidP="00B323C8">
      <w:pPr>
        <w:tabs>
          <w:tab w:val="left" w:pos="1440"/>
        </w:tabs>
        <w:ind w:firstLine="720"/>
      </w:pPr>
      <w:r w:rsidRPr="00B323C8">
        <w:t xml:space="preserve">On </w:t>
      </w:r>
      <w:r w:rsidR="009977DB" w:rsidRPr="00B323C8">
        <w:t>December 17</w:t>
      </w:r>
      <w:r w:rsidRPr="00B323C8">
        <w:t xml:space="preserve">, 2008, </w:t>
      </w:r>
      <w:r w:rsidR="009977DB" w:rsidRPr="00B323C8">
        <w:t xml:space="preserve">about a month </w:t>
      </w:r>
      <w:r w:rsidRPr="00B323C8">
        <w:t>a</w:t>
      </w:r>
      <w:r w:rsidR="004433B6" w:rsidRPr="00B323C8">
        <w:t>fter granting defendant</w:t>
      </w:r>
      <w:r w:rsidR="00D61F82" w:rsidRPr="00B323C8">
        <w:t>’</w:t>
      </w:r>
      <w:r w:rsidR="004433B6" w:rsidRPr="00B323C8">
        <w:t xml:space="preserve">s </w:t>
      </w:r>
      <w:r w:rsidR="004433B6" w:rsidRPr="00B323C8">
        <w:rPr>
          <w:i/>
        </w:rPr>
        <w:t>Faretta</w:t>
      </w:r>
      <w:r w:rsidR="004433B6" w:rsidRPr="00B323C8">
        <w:t xml:space="preserve"> motion, the court appointed </w:t>
      </w:r>
      <w:r w:rsidR="00402C63" w:rsidRPr="00B323C8">
        <w:t xml:space="preserve">David </w:t>
      </w:r>
      <w:r w:rsidR="004433B6" w:rsidRPr="00B323C8">
        <w:t xml:space="preserve">Briggs as </w:t>
      </w:r>
      <w:r w:rsidR="008B40D9" w:rsidRPr="00B323C8">
        <w:t>“</w:t>
      </w:r>
      <w:r w:rsidR="004433B6" w:rsidRPr="00B323C8">
        <w:t>advisory counsel</w:t>
      </w:r>
      <w:r w:rsidR="008B40D9" w:rsidRPr="00B323C8">
        <w:t>”</w:t>
      </w:r>
      <w:r w:rsidR="009E269A" w:rsidRPr="00B323C8">
        <w:t xml:space="preserve"> </w:t>
      </w:r>
      <w:r w:rsidR="009977DB" w:rsidRPr="00B323C8">
        <w:t>for defendant</w:t>
      </w:r>
      <w:r w:rsidR="00D90D3A" w:rsidRPr="00B323C8">
        <w:t>.</w:t>
      </w:r>
      <w:r w:rsidR="009977DB" w:rsidRPr="00B323C8">
        <w:t xml:space="preserve"> </w:t>
      </w:r>
      <w:r w:rsidR="00D90D3A" w:rsidRPr="00B323C8">
        <w:t xml:space="preserve"> </w:t>
      </w:r>
      <w:r w:rsidR="004C6C3D" w:rsidRPr="00B323C8">
        <w:t>(</w:t>
      </w:r>
      <w:r w:rsidR="004C6C3D" w:rsidRPr="00B323C8">
        <w:rPr>
          <w:i/>
          <w:iCs/>
        </w:rPr>
        <w:t>People v. Mattson</w:t>
      </w:r>
      <w:r w:rsidR="004C6C3D" w:rsidRPr="00B323C8">
        <w:t xml:space="preserve"> (1954) 51 Cal.2d 777, 797 [trial court has discretion to </w:t>
      </w:r>
      <w:r w:rsidR="00E07EA9">
        <w:t>“</w:t>
      </w:r>
      <w:r w:rsidR="004C6C3D" w:rsidRPr="00B323C8">
        <w:t>appoint an attorney . . . to render . . . advisory services to an indigent defendant who wishes to represent himself”].)</w:t>
      </w:r>
      <w:r w:rsidR="00197BC2" w:rsidRPr="00B323C8">
        <w:t xml:space="preserve">  </w:t>
      </w:r>
      <w:r w:rsidR="006D44AF" w:rsidRPr="00B323C8">
        <w:t>A month after that, o</w:t>
      </w:r>
      <w:r w:rsidR="008F0976" w:rsidRPr="00B323C8">
        <w:t>n January 27, 2009, a new deputy district attorney made his first appearance in the case, taking over as lead attorney for the prosecution</w:t>
      </w:r>
      <w:r w:rsidR="0092556D" w:rsidRPr="00B323C8">
        <w:t>, and o</w:t>
      </w:r>
      <w:r w:rsidR="008F0976" w:rsidRPr="00B323C8">
        <w:t xml:space="preserve">n June 26, 2009, the case was reassigned for all purposes to a new </w:t>
      </w:r>
      <w:r w:rsidR="0092556D" w:rsidRPr="00B323C8">
        <w:t>judge</w:t>
      </w:r>
      <w:r w:rsidR="006D44AF" w:rsidRPr="00B323C8">
        <w:t>.</w:t>
      </w:r>
    </w:p>
    <w:p w14:paraId="5EC2AE1E" w14:textId="67C2747F" w:rsidR="00657006" w:rsidRPr="00B323C8" w:rsidRDefault="00DA6D66" w:rsidP="00B323C8">
      <w:pPr>
        <w:tabs>
          <w:tab w:val="left" w:pos="1440"/>
        </w:tabs>
        <w:ind w:firstLine="720"/>
      </w:pPr>
      <w:r w:rsidRPr="00B323C8">
        <w:lastRenderedPageBreak/>
        <w:t xml:space="preserve">On September 10, 2009, </w:t>
      </w:r>
      <w:r w:rsidR="004C5322" w:rsidRPr="00B323C8">
        <w:t xml:space="preserve">as the parties prepared for </w:t>
      </w:r>
      <w:r w:rsidRPr="00B323C8">
        <w:t xml:space="preserve">jury selection, </w:t>
      </w:r>
      <w:r w:rsidR="004C5322" w:rsidRPr="00B323C8">
        <w:t xml:space="preserve">the prosecutor </w:t>
      </w:r>
      <w:r w:rsidRPr="00B323C8">
        <w:t>came across a file labeled “1368 issue</w:t>
      </w:r>
      <w:r w:rsidR="00AE1074" w:rsidRPr="00B323C8">
        <w:t>,</w:t>
      </w:r>
      <w:r w:rsidRPr="00B323C8">
        <w:t>”</w:t>
      </w:r>
      <w:r w:rsidR="00AE1074" w:rsidRPr="00B323C8">
        <w:t xml:space="preserve"> a reference to section 1368, which governs situations in which a doubt </w:t>
      </w:r>
      <w:r w:rsidR="000E5AEB">
        <w:t xml:space="preserve">has </w:t>
      </w:r>
      <w:r w:rsidR="00AE1074" w:rsidRPr="00B323C8">
        <w:t>arise</w:t>
      </w:r>
      <w:r w:rsidR="000E5AEB">
        <w:t>n</w:t>
      </w:r>
      <w:r w:rsidR="00AE1074" w:rsidRPr="00B323C8">
        <w:t xml:space="preserve"> about a defendant’s competence to stand trial.</w:t>
      </w:r>
      <w:r w:rsidRPr="00B323C8">
        <w:t xml:space="preserve">  </w:t>
      </w:r>
      <w:r w:rsidR="00AE1074" w:rsidRPr="00B323C8">
        <w:t xml:space="preserve">The prosecutor </w:t>
      </w:r>
      <w:r w:rsidR="008A63DA" w:rsidRPr="00B323C8">
        <w:t xml:space="preserve">viewed </w:t>
      </w:r>
      <w:r w:rsidR="00FC6775" w:rsidRPr="00B323C8">
        <w:t>Dr. Good</w:t>
      </w:r>
      <w:r w:rsidR="00D61F82" w:rsidRPr="00B323C8">
        <w:t>’</w:t>
      </w:r>
      <w:r w:rsidR="00FC6775" w:rsidRPr="00B323C8">
        <w:t xml:space="preserve">s report as a potential problem because it </w:t>
      </w:r>
      <w:r w:rsidR="00F1779E" w:rsidRPr="00B323C8">
        <w:t>d</w:t>
      </w:r>
      <w:r w:rsidR="00FC6775" w:rsidRPr="00B323C8">
        <w:t xml:space="preserve">eclared defendant to be </w:t>
      </w:r>
      <w:r w:rsidR="00C3575C" w:rsidRPr="00B323C8">
        <w:t xml:space="preserve">mentally </w:t>
      </w:r>
      <w:r w:rsidR="00FC6775" w:rsidRPr="00B323C8">
        <w:t xml:space="preserve">incompetent to stand trial and </w:t>
      </w:r>
      <w:r w:rsidR="006D44AF" w:rsidRPr="00B323C8">
        <w:t xml:space="preserve">because </w:t>
      </w:r>
      <w:r w:rsidR="00FC6775" w:rsidRPr="00B323C8">
        <w:t>there was no expert evidence in the record contradicting that conclusion</w:t>
      </w:r>
      <w:r w:rsidR="001D2458" w:rsidRPr="00B323C8">
        <w:t>, meaning that there was no expert evidence to support the trial court</w:t>
      </w:r>
      <w:r w:rsidR="00D61F82" w:rsidRPr="00B323C8">
        <w:t>’</w:t>
      </w:r>
      <w:r w:rsidR="001D2458" w:rsidRPr="00B323C8">
        <w:t xml:space="preserve">s </w:t>
      </w:r>
      <w:r w:rsidR="003646F5" w:rsidRPr="00B323C8">
        <w:t xml:space="preserve">implicit </w:t>
      </w:r>
      <w:r w:rsidR="008552A5" w:rsidRPr="00B323C8">
        <w:t>finding of c</w:t>
      </w:r>
      <w:r w:rsidR="001D2458" w:rsidRPr="00B323C8">
        <w:t>ompeten</w:t>
      </w:r>
      <w:r w:rsidR="008552A5" w:rsidRPr="00B323C8">
        <w:t>ce</w:t>
      </w:r>
      <w:r w:rsidR="00FC6775" w:rsidRPr="00B323C8">
        <w:t xml:space="preserve">.  The </w:t>
      </w:r>
      <w:r w:rsidR="006D41C1" w:rsidRPr="00B323C8">
        <w:t xml:space="preserve">prosecutor </w:t>
      </w:r>
      <w:r w:rsidR="00FC6775" w:rsidRPr="00B323C8">
        <w:t xml:space="preserve">therefore </w:t>
      </w:r>
      <w:r w:rsidR="006D41C1" w:rsidRPr="00B323C8">
        <w:t xml:space="preserve">asked the </w:t>
      </w:r>
      <w:r w:rsidR="007F3A19" w:rsidRPr="00B323C8">
        <w:t xml:space="preserve">trial </w:t>
      </w:r>
      <w:r w:rsidR="006D41C1" w:rsidRPr="00B323C8">
        <w:t xml:space="preserve">court to </w:t>
      </w:r>
      <w:r w:rsidR="00C337F7" w:rsidRPr="00B323C8">
        <w:t xml:space="preserve">address </w:t>
      </w:r>
      <w:r w:rsidR="006D41C1" w:rsidRPr="00B323C8">
        <w:t>the matter</w:t>
      </w:r>
      <w:r w:rsidR="004C5322" w:rsidRPr="00B323C8">
        <w:t>.</w:t>
      </w:r>
      <w:r w:rsidR="00FC6775" w:rsidRPr="00B323C8">
        <w:t xml:space="preserve">  </w:t>
      </w:r>
      <w:r w:rsidR="00651C31" w:rsidRPr="00B323C8">
        <w:t>T</w:t>
      </w:r>
      <w:r w:rsidR="00955281" w:rsidRPr="00B323C8">
        <w:t xml:space="preserve">he prosecutor </w:t>
      </w:r>
      <w:r w:rsidR="004C5322" w:rsidRPr="00B323C8">
        <w:t xml:space="preserve">pointed out </w:t>
      </w:r>
      <w:r w:rsidR="00955281" w:rsidRPr="00B323C8">
        <w:t>that Dr. Good had only been appointed to address defendant</w:t>
      </w:r>
      <w:r w:rsidR="00D61F82" w:rsidRPr="00B323C8">
        <w:t>’</w:t>
      </w:r>
      <w:r w:rsidR="00955281" w:rsidRPr="00B323C8">
        <w:t>s competence to represent himself</w:t>
      </w:r>
      <w:r w:rsidR="000F0BE9" w:rsidRPr="00B323C8">
        <w:t xml:space="preserve">. </w:t>
      </w:r>
      <w:r w:rsidR="00651C31" w:rsidRPr="00B323C8">
        <w:t xml:space="preserve"> </w:t>
      </w:r>
      <w:r w:rsidR="000F0BE9" w:rsidRPr="00B323C8">
        <w:t>Nevertheless,</w:t>
      </w:r>
      <w:r w:rsidR="00651C31" w:rsidRPr="00B323C8">
        <w:t xml:space="preserve"> </w:t>
      </w:r>
      <w:r w:rsidR="00C337F7" w:rsidRPr="00B323C8">
        <w:t xml:space="preserve">Dr. Good had </w:t>
      </w:r>
      <w:r w:rsidR="006D41C1" w:rsidRPr="00B323C8">
        <w:t xml:space="preserve">volunteered his opinion that </w:t>
      </w:r>
      <w:r w:rsidR="00955281" w:rsidRPr="00B323C8">
        <w:t xml:space="preserve">defendant was </w:t>
      </w:r>
      <w:r w:rsidR="007F3A19" w:rsidRPr="00B323C8">
        <w:t xml:space="preserve">not </w:t>
      </w:r>
      <w:r w:rsidR="0000094A" w:rsidRPr="00B323C8">
        <w:t xml:space="preserve">mentally </w:t>
      </w:r>
      <w:r w:rsidR="00955281" w:rsidRPr="00B323C8">
        <w:t>competent to stand trial.</w:t>
      </w:r>
      <w:r w:rsidR="00651C31" w:rsidRPr="00B323C8">
        <w:t xml:space="preserve">  </w:t>
      </w:r>
      <w:r w:rsidR="00890BB8" w:rsidRPr="00B323C8">
        <w:t xml:space="preserve">The prosecutor </w:t>
      </w:r>
      <w:r w:rsidR="004C5322" w:rsidRPr="00B323C8">
        <w:t xml:space="preserve">then </w:t>
      </w:r>
      <w:r w:rsidR="00CB70B9" w:rsidRPr="00B323C8">
        <w:t xml:space="preserve">expressed his own views </w:t>
      </w:r>
      <w:r w:rsidR="00AE1074" w:rsidRPr="00B323C8">
        <w:t xml:space="preserve">regarding </w:t>
      </w:r>
      <w:r w:rsidR="00CB70B9" w:rsidRPr="00B323C8">
        <w:t>defendant</w:t>
      </w:r>
      <w:r w:rsidR="00D61F82" w:rsidRPr="00B323C8">
        <w:t>’</w:t>
      </w:r>
      <w:r w:rsidR="00FD1971" w:rsidRPr="00B323C8">
        <w:t xml:space="preserve">s mental </w:t>
      </w:r>
      <w:r w:rsidR="00EB3547" w:rsidRPr="00B323C8">
        <w:t>condition</w:t>
      </w:r>
      <w:r w:rsidR="00CB70B9" w:rsidRPr="00B323C8">
        <w:t>:  “I certainly think [defendant] is competent to stand trial from what I have seen.</w:t>
      </w:r>
      <w:r w:rsidR="00657006" w:rsidRPr="00B323C8">
        <w:t xml:space="preserve"> . . .  But with this record I am concerned about any possible issues on appeal.”  </w:t>
      </w:r>
      <w:r w:rsidR="005A6194" w:rsidRPr="00B323C8">
        <w:t xml:space="preserve">The prosecutor added:  </w:t>
      </w:r>
      <w:r w:rsidR="00657006" w:rsidRPr="00B323C8">
        <w:t>“I should note that [defendant has] participated very competently since I have been in this case.  He has filed a motion to suppress, which in fact portions of it have been granted.  He has raised objections to questions in the [juror] questionnaire.  So</w:t>
      </w:r>
      <w:r w:rsidR="00CB1100" w:rsidRPr="00B323C8">
        <w:t>,</w:t>
      </w:r>
      <w:r w:rsidR="00657006" w:rsidRPr="00B323C8">
        <w:t xml:space="preserve"> I think time and his participation in these proceedings have further illustrated his competency to stand trial. . . .  But I want</w:t>
      </w:r>
      <w:r w:rsidR="006B235A" w:rsidRPr="00B323C8">
        <w:t xml:space="preserve"> to make sure the record is clear</w:t>
      </w:r>
      <w:r w:rsidR="004433B6" w:rsidRPr="00B323C8">
        <w:t xml:space="preserve"> and that this issue is addressed.”</w:t>
      </w:r>
    </w:p>
    <w:p w14:paraId="496D44F6" w14:textId="47363A5D" w:rsidR="00335ADD" w:rsidRPr="00B323C8" w:rsidRDefault="004433B6" w:rsidP="00B323C8">
      <w:pPr>
        <w:tabs>
          <w:tab w:val="left" w:pos="1440"/>
        </w:tabs>
        <w:ind w:firstLine="720"/>
      </w:pPr>
      <w:r w:rsidRPr="00B323C8">
        <w:t>Defendant</w:t>
      </w:r>
      <w:r w:rsidR="009A69BF" w:rsidRPr="00B323C8">
        <w:t xml:space="preserve">, who </w:t>
      </w:r>
      <w:r w:rsidR="00AE1074" w:rsidRPr="00B323C8">
        <w:t xml:space="preserve">at this point </w:t>
      </w:r>
      <w:r w:rsidR="009A69BF" w:rsidRPr="00B323C8">
        <w:t xml:space="preserve">was </w:t>
      </w:r>
      <w:r w:rsidR="00AE1074" w:rsidRPr="00B323C8">
        <w:t>proceeding pro se</w:t>
      </w:r>
      <w:r w:rsidR="009A69BF" w:rsidRPr="00B323C8">
        <w:t xml:space="preserve">, </w:t>
      </w:r>
      <w:r w:rsidR="00210F44" w:rsidRPr="00B323C8">
        <w:t>then</w:t>
      </w:r>
      <w:r w:rsidR="0000094A" w:rsidRPr="00B323C8">
        <w:t xml:space="preserve"> </w:t>
      </w:r>
      <w:r w:rsidR="004C5322" w:rsidRPr="00B323C8">
        <w:t xml:space="preserve">explained </w:t>
      </w:r>
      <w:r w:rsidR="00D958CF" w:rsidRPr="00B323C8">
        <w:t xml:space="preserve">to the court that he was </w:t>
      </w:r>
      <w:r w:rsidRPr="00B323C8">
        <w:t xml:space="preserve">forced into representing himself only because his attorneys would not share discovery with him and would not </w:t>
      </w:r>
      <w:r w:rsidR="0048178C" w:rsidRPr="00B323C8">
        <w:t xml:space="preserve">involve him in </w:t>
      </w:r>
      <w:r w:rsidR="00210F44" w:rsidRPr="00B323C8">
        <w:t>strategic decisions</w:t>
      </w:r>
      <w:r w:rsidR="0048178C" w:rsidRPr="00B323C8">
        <w:t>.  Defendant said</w:t>
      </w:r>
      <w:r w:rsidRPr="00B323C8">
        <w:t>:</w:t>
      </w:r>
      <w:r w:rsidR="0048178C" w:rsidRPr="00B323C8">
        <w:t xml:space="preserve">  </w:t>
      </w:r>
      <w:r w:rsidRPr="00B323C8">
        <w:t>“For . . . a little more than two years</w:t>
      </w:r>
      <w:r w:rsidR="00DD3B57" w:rsidRPr="00B323C8">
        <w:t>,</w:t>
      </w:r>
      <w:r w:rsidRPr="00B323C8">
        <w:t xml:space="preserve"> I have </w:t>
      </w:r>
      <w:r w:rsidRPr="00B323C8">
        <w:lastRenderedPageBreak/>
        <w:t xml:space="preserve">tried </w:t>
      </w:r>
      <w:r w:rsidRPr="00B323C8">
        <w:rPr>
          <w:i/>
        </w:rPr>
        <w:t>Faretta</w:t>
      </w:r>
      <w:r w:rsidR="00D958CF" w:rsidRPr="00B323C8">
        <w:t>[</w:t>
      </w:r>
      <w:r w:rsidR="00651C31" w:rsidRPr="00B323C8">
        <w:t> </w:t>
      </w:r>
      <w:r w:rsidR="00D958CF" w:rsidRPr="00B323C8">
        <w:t>motion]</w:t>
      </w:r>
      <w:r w:rsidRPr="00B323C8">
        <w:t xml:space="preserve">s, </w:t>
      </w:r>
      <w:r w:rsidRPr="00B323C8">
        <w:rPr>
          <w:i/>
        </w:rPr>
        <w:t>Marsden</w:t>
      </w:r>
      <w:r w:rsidR="00D958CF" w:rsidRPr="00B323C8">
        <w:t>[</w:t>
      </w:r>
      <w:r w:rsidR="007F3A19" w:rsidRPr="00B323C8">
        <w:t xml:space="preserve"> </w:t>
      </w:r>
      <w:r w:rsidR="00D958CF" w:rsidRPr="00B323C8">
        <w:t>motion]</w:t>
      </w:r>
      <w:r w:rsidRPr="00B323C8">
        <w:t xml:space="preserve">s, and I would talk to </w:t>
      </w:r>
      <w:r w:rsidR="0008672B" w:rsidRPr="00B323C8">
        <w:t>Susan Hutcher</w:t>
      </w:r>
      <w:r w:rsidRPr="00B323C8">
        <w:t xml:space="preserve"> and</w:t>
      </w:r>
      <w:r w:rsidR="00DD3B57" w:rsidRPr="00B323C8">
        <w:t>,</w:t>
      </w:r>
      <w:r w:rsidRPr="00B323C8">
        <w:t xml:space="preserve"> you know, try and get respect, try and get my things, try and</w:t>
      </w:r>
      <w:r w:rsidR="00291ADE">
        <w:t> </w:t>
      </w:r>
      <w:r w:rsidRPr="00B323C8">
        <w:t>—</w:t>
      </w:r>
      <w:r w:rsidR="00385390" w:rsidRPr="00B323C8">
        <w:t xml:space="preserve">  </w:t>
      </w:r>
      <w:r w:rsidR="00A01AB9" w:rsidRPr="00B323C8">
        <w:t>A</w:t>
      </w:r>
      <w:r w:rsidRPr="00B323C8">
        <w:t>nd I was just constantly, I was at war with the Alternate Defender</w:t>
      </w:r>
      <w:r w:rsidR="00A71390" w:rsidRPr="00B323C8">
        <w:t>[]</w:t>
      </w:r>
      <w:r w:rsidRPr="00B323C8">
        <w:t xml:space="preserve"> Office.  They are the ones that really screwed all of this up, I was at war with them.</w:t>
      </w:r>
      <w:r w:rsidR="00125E1C" w:rsidRPr="00B323C8">
        <w:t xml:space="preserve">  </w:t>
      </w:r>
      <w:r w:rsidRPr="00B323C8">
        <w:t>And finally</w:t>
      </w:r>
      <w:r w:rsidR="00FD5B48" w:rsidRPr="00B323C8">
        <w:t>,</w:t>
      </w:r>
      <w:r w:rsidRPr="00B323C8">
        <w:t xml:space="preserve"> after all these </w:t>
      </w:r>
      <w:r w:rsidRPr="00B323C8">
        <w:rPr>
          <w:i/>
        </w:rPr>
        <w:t>Marsden</w:t>
      </w:r>
      <w:r w:rsidR="00D958CF" w:rsidRPr="00B323C8">
        <w:t>[</w:t>
      </w:r>
      <w:r w:rsidR="007F3A19" w:rsidRPr="00B323C8">
        <w:t xml:space="preserve"> </w:t>
      </w:r>
      <w:r w:rsidR="00D958CF" w:rsidRPr="00B323C8">
        <w:t>motion]</w:t>
      </w:r>
      <w:r w:rsidRPr="00B323C8">
        <w:t xml:space="preserve">s, and all of these . . . </w:t>
      </w:r>
      <w:r w:rsidRPr="00B323C8">
        <w:rPr>
          <w:i/>
        </w:rPr>
        <w:t>Faretta</w:t>
      </w:r>
      <w:r w:rsidR="00D958CF" w:rsidRPr="00B323C8">
        <w:t>[</w:t>
      </w:r>
      <w:r w:rsidR="007F3A19" w:rsidRPr="00B323C8">
        <w:t xml:space="preserve"> </w:t>
      </w:r>
      <w:r w:rsidR="00D958CF" w:rsidRPr="00B323C8">
        <w:t>motion]</w:t>
      </w:r>
      <w:r w:rsidRPr="00B323C8">
        <w:t>s, [the court] made the decision to grant me my own case pro per.  And since that time there has been peace on this case.  I am getting what I wanted, I</w:t>
      </w:r>
      <w:r w:rsidR="00D61F82" w:rsidRPr="00B323C8">
        <w:t>’</w:t>
      </w:r>
      <w:r w:rsidR="00A71390" w:rsidRPr="00B323C8">
        <w:t>m</w:t>
      </w:r>
      <w:r w:rsidRPr="00B323C8">
        <w:t xml:space="preserve"> seeing everything [(i.e.</w:t>
      </w:r>
      <w:r w:rsidR="00A71390" w:rsidRPr="00B323C8">
        <w:t>,</w:t>
      </w:r>
      <w:r w:rsidRPr="00B323C8">
        <w:t xml:space="preserve"> discover</w:t>
      </w:r>
      <w:r w:rsidR="00A71390" w:rsidRPr="00B323C8">
        <w:t>y</w:t>
      </w:r>
      <w:r w:rsidRPr="00B323C8">
        <w:t>)], I</w:t>
      </w:r>
      <w:r w:rsidR="00D61F82" w:rsidRPr="00B323C8">
        <w:t>’</w:t>
      </w:r>
      <w:r w:rsidRPr="00B323C8">
        <w:t>m part of the case.  I</w:t>
      </w:r>
      <w:r w:rsidR="00D61F82" w:rsidRPr="00B323C8">
        <w:t>’</w:t>
      </w:r>
      <w:r w:rsidRPr="00B323C8">
        <w:t xml:space="preserve">m </w:t>
      </w:r>
      <w:proofErr w:type="gramStart"/>
      <w:r w:rsidRPr="00B323C8">
        <w:t>getting along</w:t>
      </w:r>
      <w:proofErr w:type="gramEnd"/>
      <w:r w:rsidRPr="00B323C8">
        <w:t xml:space="preserve"> with Mr.</w:t>
      </w:r>
      <w:r w:rsidR="00314416" w:rsidRPr="00B323C8">
        <w:t xml:space="preserve"> </w:t>
      </w:r>
      <w:r w:rsidRPr="00B323C8">
        <w:t>Briggs</w:t>
      </w:r>
      <w:r w:rsidR="00A71390" w:rsidRPr="00B323C8">
        <w:t> . . . .</w:t>
      </w:r>
      <w:r w:rsidR="00314416" w:rsidRPr="00B323C8">
        <w:t xml:space="preserve"> </w:t>
      </w:r>
      <w:r w:rsidR="0048178C" w:rsidRPr="00B323C8">
        <w:t>[¶] . . .</w:t>
      </w:r>
      <w:r w:rsidR="00314416" w:rsidRPr="00B323C8">
        <w:t xml:space="preserve"> </w:t>
      </w:r>
      <w:r w:rsidR="0048178C" w:rsidRPr="00B323C8">
        <w:t>[¶] . . . I</w:t>
      </w:r>
      <w:r w:rsidR="00D61F82" w:rsidRPr="00B323C8">
        <w:t>’</w:t>
      </w:r>
      <w:r w:rsidR="0048178C" w:rsidRPr="00B323C8">
        <w:t>m not really looking forward to</w:t>
      </w:r>
      <w:r w:rsidR="009A69BF" w:rsidRPr="00B323C8">
        <w:t xml:space="preserve"> </w:t>
      </w:r>
      <w:r w:rsidR="0048178C" w:rsidRPr="00B323C8">
        <w:t>being my own attorney in this big powerful trial.  I will do it, but I just don</w:t>
      </w:r>
      <w:r w:rsidR="00D61F82" w:rsidRPr="00B323C8">
        <w:t>’</w:t>
      </w:r>
      <w:r w:rsidR="0048178C" w:rsidRPr="00B323C8">
        <w:t>t want to go back to the way things were before . . . [the court] granted me the right to represent myself.”</w:t>
      </w:r>
      <w:r w:rsidR="00651C31" w:rsidRPr="00B323C8">
        <w:t xml:space="preserve"> </w:t>
      </w:r>
      <w:r w:rsidR="009469CF" w:rsidRPr="00B323C8">
        <w:t xml:space="preserve"> </w:t>
      </w:r>
      <w:r w:rsidR="00EC25FF" w:rsidRPr="00B323C8">
        <w:t xml:space="preserve">Defendant then </w:t>
      </w:r>
      <w:r w:rsidR="00AE1074" w:rsidRPr="00B323C8">
        <w:t xml:space="preserve">stated for the record that </w:t>
      </w:r>
      <w:r w:rsidR="00EC25FF" w:rsidRPr="00B323C8">
        <w:t xml:space="preserve">he was </w:t>
      </w:r>
      <w:r w:rsidR="00722198" w:rsidRPr="00B323C8">
        <w:rPr>
          <w:i/>
        </w:rPr>
        <w:t>not</w:t>
      </w:r>
      <w:r w:rsidR="00722198" w:rsidRPr="00B323C8">
        <w:t xml:space="preserve"> seeking a finding of mental in</w:t>
      </w:r>
      <w:r w:rsidR="00EC25FF" w:rsidRPr="00B323C8">
        <w:t>competen</w:t>
      </w:r>
      <w:r w:rsidR="00722198" w:rsidRPr="00B323C8">
        <w:t>ce</w:t>
      </w:r>
      <w:r w:rsidR="00EC25FF" w:rsidRPr="00B323C8">
        <w:t>.</w:t>
      </w:r>
    </w:p>
    <w:p w14:paraId="45D09D08" w14:textId="3CE420EE" w:rsidR="009C33E1" w:rsidRPr="00B323C8" w:rsidRDefault="00B332F9" w:rsidP="00B323C8">
      <w:pPr>
        <w:tabs>
          <w:tab w:val="left" w:pos="1440"/>
        </w:tabs>
        <w:ind w:firstLine="720"/>
      </w:pPr>
      <w:r w:rsidRPr="00B323C8">
        <w:t>After defendant spoke, t</w:t>
      </w:r>
      <w:r w:rsidR="00CA6CA1" w:rsidRPr="00B323C8">
        <w:t>he court commented on its own observations of defendant</w:t>
      </w:r>
      <w:r w:rsidR="00D61F82" w:rsidRPr="00B323C8">
        <w:t>’</w:t>
      </w:r>
      <w:r w:rsidR="00CA6CA1" w:rsidRPr="00B323C8">
        <w:t>s competenc</w:t>
      </w:r>
      <w:r w:rsidR="003E0274" w:rsidRPr="00B323C8">
        <w:t>e</w:t>
      </w:r>
      <w:r w:rsidR="00CA6CA1" w:rsidRPr="00B323C8">
        <w:t>:  “</w:t>
      </w:r>
      <w:r w:rsidR="00866686" w:rsidRPr="00B323C8">
        <w:t>The</w:t>
      </w:r>
      <w:r w:rsidR="00574C57" w:rsidRPr="00B323C8">
        <w:t xml:space="preserve"> request that is being asked today is that I . . . satisfy myself</w:t>
      </w:r>
      <w:r w:rsidR="0052522A" w:rsidRPr="00B323C8">
        <w:t xml:space="preserve"> . . . on the decision to let you represent yourself and . . . satisfy myself </w:t>
      </w:r>
      <w:r w:rsidR="00574C57" w:rsidRPr="00B323C8">
        <w:t xml:space="preserve">that you are competent to go to trial.  In other words, </w:t>
      </w:r>
      <w:r w:rsidR="0052522A" w:rsidRPr="00B323C8">
        <w:t xml:space="preserve">[that] </w:t>
      </w:r>
      <w:r w:rsidR="00574C57" w:rsidRPr="00B323C8">
        <w:t xml:space="preserve">you understand what is going on, basically.  That is </w:t>
      </w:r>
      <w:proofErr w:type="gramStart"/>
      <w:r w:rsidR="00574C57" w:rsidRPr="00B323C8">
        <w:t>a very short</w:t>
      </w:r>
      <w:proofErr w:type="gramEnd"/>
      <w:r w:rsidR="00574C57" w:rsidRPr="00B323C8">
        <w:t xml:space="preserve"> version of the standard.  [¶]</w:t>
      </w:r>
      <w:r w:rsidR="0052522A" w:rsidRPr="00B323C8">
        <w:t xml:space="preserve"> </w:t>
      </w:r>
      <w:bookmarkStart w:id="23" w:name="_Hlk16698478"/>
      <w:r w:rsidR="0052522A" w:rsidRPr="00B323C8">
        <w:t xml:space="preserve"> </w:t>
      </w:r>
      <w:r w:rsidR="00CA6CA1" w:rsidRPr="00B323C8">
        <w:t>I can tell you that from our interactions over the last several months I . . . haven</w:t>
      </w:r>
      <w:r w:rsidR="00D61F82" w:rsidRPr="00B323C8">
        <w:t>’</w:t>
      </w:r>
      <w:r w:rsidR="00CA6CA1" w:rsidRPr="00B323C8">
        <w:t>t seen any reason to question either of those premises . . . .”</w:t>
      </w:r>
      <w:r w:rsidR="0052522A" w:rsidRPr="00B323C8">
        <w:t xml:space="preserve">  </w:t>
      </w:r>
      <w:bookmarkEnd w:id="23"/>
      <w:r w:rsidR="0052522A" w:rsidRPr="00B323C8">
        <w:t>The court then took a recess</w:t>
      </w:r>
      <w:r w:rsidR="00F30993" w:rsidRPr="00B323C8">
        <w:t xml:space="preserve"> to study the record </w:t>
      </w:r>
      <w:r w:rsidR="0074307B" w:rsidRPr="00B323C8">
        <w:t>more fully</w:t>
      </w:r>
      <w:r w:rsidR="00F30993" w:rsidRPr="00B323C8">
        <w:t>.</w:t>
      </w:r>
    </w:p>
    <w:p w14:paraId="29FC119C" w14:textId="0CD43FE9" w:rsidR="00F96FEA" w:rsidRPr="00B323C8" w:rsidRDefault="00BC7288" w:rsidP="00B323C8">
      <w:pPr>
        <w:tabs>
          <w:tab w:val="left" w:pos="1440"/>
        </w:tabs>
        <w:ind w:firstLine="720"/>
      </w:pPr>
      <w:r w:rsidRPr="00B323C8">
        <w:t xml:space="preserve">After that recess, the court confirmed </w:t>
      </w:r>
      <w:r w:rsidR="00F30993" w:rsidRPr="00B323C8">
        <w:t>t</w:t>
      </w:r>
      <w:r w:rsidRPr="00B323C8">
        <w:t>hat defendant was competent to stand trial.</w:t>
      </w:r>
      <w:r w:rsidR="007851D2" w:rsidRPr="00B323C8">
        <w:t xml:space="preserve">  The court said:  “Based on all that I have reviewed and . . . my participation in the case and my interactions with [defendant], I do not have any doubt about [defendant</w:t>
      </w:r>
      <w:r w:rsidR="00D61F82" w:rsidRPr="00B323C8">
        <w:t>’</w:t>
      </w:r>
      <w:r w:rsidR="007851D2" w:rsidRPr="00B323C8">
        <w:t xml:space="preserve">s] competency to stand trial.  [¶]  My view is that </w:t>
      </w:r>
      <w:r w:rsidR="007851D2" w:rsidRPr="00B323C8">
        <w:lastRenderedPageBreak/>
        <w:t>[defendant] clearly unders</w:t>
      </w:r>
      <w:r w:rsidR="00F41B03" w:rsidRPr="00B323C8">
        <w:t>t</w:t>
      </w:r>
      <w:r w:rsidR="007851D2" w:rsidRPr="00B323C8">
        <w:t>ands the nature and purpose of these proceedings, the roles of the respective participants and the fact that this is a matter of utmost seriousness in that it is a potential death penalty case, but he fully unders</w:t>
      </w:r>
      <w:r w:rsidR="008D13F1" w:rsidRPr="00B323C8">
        <w:t>t</w:t>
      </w:r>
      <w:r w:rsidR="007851D2" w:rsidRPr="00B323C8">
        <w:t xml:space="preserve">ands that [and is] capable of understanding all of the issues that I have discussed.”  </w:t>
      </w:r>
      <w:r w:rsidR="008D13F1" w:rsidRPr="00B323C8">
        <w:t>The court then took another recess</w:t>
      </w:r>
      <w:r w:rsidR="00F30993" w:rsidRPr="00B323C8">
        <w:t>, this time to study the unredacted version of Dr. Good</w:t>
      </w:r>
      <w:r w:rsidR="00D61F82" w:rsidRPr="00B323C8">
        <w:t>’</w:t>
      </w:r>
      <w:r w:rsidR="00F30993" w:rsidRPr="00B323C8">
        <w:t xml:space="preserve">s report.  </w:t>
      </w:r>
      <w:r w:rsidR="008D13F1" w:rsidRPr="00B323C8">
        <w:t xml:space="preserve">After that </w:t>
      </w:r>
      <w:r w:rsidR="00F30993" w:rsidRPr="00B323C8">
        <w:t xml:space="preserve">second </w:t>
      </w:r>
      <w:r w:rsidR="008D13F1" w:rsidRPr="00B323C8">
        <w:t>recess, the court said:  “</w:t>
      </w:r>
      <w:r w:rsidR="00E23D62" w:rsidRPr="00B323C8">
        <w:t xml:space="preserve">Having read and considered[] the full report by Dr. Good . . . I continue in my beliefs that I have </w:t>
      </w:r>
      <w:r w:rsidR="00B27FC5" w:rsidRPr="00B323C8">
        <w:t>articulated earlier and confirm my findings as to competency . . . .”</w:t>
      </w:r>
      <w:r w:rsidR="00E70B37" w:rsidRPr="00B323C8">
        <w:t xml:space="preserve">  </w:t>
      </w:r>
      <w:r w:rsidR="008A63DA" w:rsidRPr="00B323C8">
        <w:t>T</w:t>
      </w:r>
      <w:r w:rsidR="00E70B37" w:rsidRPr="00B323C8">
        <w:t xml:space="preserve">he court </w:t>
      </w:r>
      <w:r w:rsidR="0074307B" w:rsidRPr="00B323C8">
        <w:t xml:space="preserve">never </w:t>
      </w:r>
      <w:r w:rsidR="008A63DA" w:rsidRPr="00B323C8">
        <w:t>address</w:t>
      </w:r>
      <w:r w:rsidR="0074307B" w:rsidRPr="00B323C8">
        <w:t>ed</w:t>
      </w:r>
      <w:r w:rsidR="00E70B37" w:rsidRPr="00B323C8">
        <w:t xml:space="preserve"> the </w:t>
      </w:r>
      <w:r w:rsidR="00AA2B55" w:rsidRPr="00B323C8">
        <w:t xml:space="preserve">specific </w:t>
      </w:r>
      <w:r w:rsidR="00E70B37" w:rsidRPr="00B323C8">
        <w:t xml:space="preserve">ground on which Dr. Good had found defendant incompetent, </w:t>
      </w:r>
      <w:r w:rsidR="00432474" w:rsidRPr="00B323C8">
        <w:t>to wit</w:t>
      </w:r>
      <w:r w:rsidR="00E70B37" w:rsidRPr="00B323C8">
        <w:t>, that</w:t>
      </w:r>
      <w:r w:rsidR="005B2602" w:rsidRPr="00B323C8">
        <w:t xml:space="preserve"> </w:t>
      </w:r>
      <w:bookmarkStart w:id="24" w:name="_Hlk76035035"/>
      <w:r w:rsidR="005B2602" w:rsidRPr="00B323C8">
        <w:t>defendant lacked a “</w:t>
      </w:r>
      <w:r w:rsidR="00464D05">
        <w:t> ‘</w:t>
      </w:r>
      <w:r w:rsidR="005B2602" w:rsidRPr="00B323C8">
        <w:t>sufficient present ability to consult with his lawyer with a reasonable degree of rational understanding.</w:t>
      </w:r>
      <w:r w:rsidR="00464D05">
        <w:t>’ </w:t>
      </w:r>
      <w:r w:rsidR="005B2602" w:rsidRPr="00B323C8">
        <w:t>”  (</w:t>
      </w:r>
      <w:r w:rsidR="005B2602" w:rsidRPr="00B323C8">
        <w:rPr>
          <w:i/>
          <w:iCs/>
        </w:rPr>
        <w:t>Dusky</w:t>
      </w:r>
      <w:r w:rsidR="005B2602" w:rsidRPr="00B323C8">
        <w:t xml:space="preserve">, </w:t>
      </w:r>
      <w:r w:rsidR="005B2602" w:rsidRPr="00B323C8">
        <w:rPr>
          <w:i/>
          <w:iCs/>
        </w:rPr>
        <w:t>supra</w:t>
      </w:r>
      <w:r w:rsidR="005B2602" w:rsidRPr="00B323C8">
        <w:t xml:space="preserve">, 362 U.S. </w:t>
      </w:r>
      <w:r w:rsidR="000E38EA">
        <w:t xml:space="preserve">at p. </w:t>
      </w:r>
      <w:r w:rsidR="005B2602" w:rsidRPr="00B323C8">
        <w:t>402</w:t>
      </w:r>
      <w:r w:rsidR="00AA2B55" w:rsidRPr="00B323C8">
        <w:t>.)</w:t>
      </w:r>
      <w:bookmarkEnd w:id="24"/>
    </w:p>
    <w:p w14:paraId="4B4D5D6A" w14:textId="72045A8F" w:rsidR="004D6070" w:rsidRPr="00B323C8" w:rsidRDefault="00B27FC5" w:rsidP="00B323C8">
      <w:pPr>
        <w:tabs>
          <w:tab w:val="left" w:pos="1440"/>
        </w:tabs>
        <w:ind w:firstLine="720"/>
      </w:pPr>
      <w:r w:rsidRPr="00B323C8">
        <w:t>The</w:t>
      </w:r>
      <w:r w:rsidR="00F30993" w:rsidRPr="00B323C8">
        <w:t xml:space="preserve"> </w:t>
      </w:r>
      <w:r w:rsidR="00C7139D" w:rsidRPr="00B323C8">
        <w:t xml:space="preserve">trial </w:t>
      </w:r>
      <w:r w:rsidR="00F30993" w:rsidRPr="00B323C8">
        <w:t xml:space="preserve">court revisited the question </w:t>
      </w:r>
      <w:r w:rsidR="00B332F9" w:rsidRPr="00B323C8">
        <w:t>of defendant</w:t>
      </w:r>
      <w:r w:rsidR="00D61F82" w:rsidRPr="00B323C8">
        <w:t>’</w:t>
      </w:r>
      <w:r w:rsidR="00B332F9" w:rsidRPr="00B323C8">
        <w:t>s mental competenc</w:t>
      </w:r>
      <w:r w:rsidR="007B0EFE" w:rsidRPr="00B323C8">
        <w:t>e</w:t>
      </w:r>
      <w:r w:rsidR="00B332F9" w:rsidRPr="00B323C8">
        <w:t xml:space="preserve"> </w:t>
      </w:r>
      <w:r w:rsidRPr="00B323C8">
        <w:t xml:space="preserve">three months later, after the </w:t>
      </w:r>
      <w:r w:rsidR="00EA0E1F" w:rsidRPr="00B323C8">
        <w:t xml:space="preserve">jury had reached its </w:t>
      </w:r>
      <w:r w:rsidR="00DE0F70" w:rsidRPr="00B323C8">
        <w:t xml:space="preserve">death </w:t>
      </w:r>
      <w:r w:rsidR="00EA0E1F" w:rsidRPr="00B323C8">
        <w:t>verdict</w:t>
      </w:r>
      <w:r w:rsidR="00DE0F70" w:rsidRPr="00B323C8">
        <w:t>s</w:t>
      </w:r>
      <w:r w:rsidR="00F30993" w:rsidRPr="00B323C8">
        <w:t xml:space="preserve">.  </w:t>
      </w:r>
      <w:r w:rsidR="009D1F29" w:rsidRPr="00B323C8">
        <w:t>T</w:t>
      </w:r>
      <w:r w:rsidRPr="00B323C8">
        <w:t>he court made the foll</w:t>
      </w:r>
      <w:r w:rsidR="00EA0E1F" w:rsidRPr="00B323C8">
        <w:t>o</w:t>
      </w:r>
      <w:r w:rsidRPr="00B323C8">
        <w:t>w</w:t>
      </w:r>
      <w:r w:rsidR="00EA0E1F" w:rsidRPr="00B323C8">
        <w:t>i</w:t>
      </w:r>
      <w:r w:rsidRPr="00B323C8">
        <w:t>ng comment:  “</w:t>
      </w:r>
      <w:r w:rsidR="00EA0E1F" w:rsidRPr="00B323C8">
        <w:t>I did want to state for the record that in the time we spent on this case over the last several months, and the many days and hours that we have been in court, it</w:t>
      </w:r>
      <w:r w:rsidR="00D61F82" w:rsidRPr="00B323C8">
        <w:t>’</w:t>
      </w:r>
      <w:r w:rsidR="00EA0E1F" w:rsidRPr="00B323C8">
        <w:t>s my view, and I don</w:t>
      </w:r>
      <w:r w:rsidR="00D61F82" w:rsidRPr="00B323C8">
        <w:t>’</w:t>
      </w:r>
      <w:r w:rsidR="00EA0E1F" w:rsidRPr="00B323C8">
        <w:t>t think I ever had occasion to state it clearly on the record,</w:t>
      </w:r>
      <w:r w:rsidR="00652738" w:rsidRPr="00B323C8">
        <w:t xml:space="preserve"> . . . </w:t>
      </w:r>
      <w:r w:rsidR="00EA0E1F" w:rsidRPr="00B323C8">
        <w:t>that [defendant] has at all times demonstrated that he is competent to stand trial and has been competent to stand trial and to waive his right to counsel.”</w:t>
      </w:r>
      <w:r w:rsidR="00ED3712" w:rsidRPr="00B323C8">
        <w:t xml:space="preserve">  </w:t>
      </w:r>
      <w:r w:rsidR="005E1F6D" w:rsidRPr="00B323C8">
        <w:t xml:space="preserve">Addressing </w:t>
      </w:r>
      <w:r w:rsidR="000F0BE9" w:rsidRPr="00B323C8">
        <w:t>defendant directly, t</w:t>
      </w:r>
      <w:r w:rsidR="00EA0E1F" w:rsidRPr="00B323C8">
        <w:t xml:space="preserve">he court </w:t>
      </w:r>
      <w:r w:rsidR="000F0BE9" w:rsidRPr="00B323C8">
        <w:t>stated</w:t>
      </w:r>
      <w:r w:rsidR="00EA0E1F" w:rsidRPr="00B323C8">
        <w:t>:  “In other words, . . . I believe that [the court] made the correct decision allowing you to represent yourself.”</w:t>
      </w:r>
      <w:r w:rsidR="00ED3712" w:rsidRPr="00B323C8">
        <w:t xml:space="preserve">  </w:t>
      </w:r>
      <w:r w:rsidR="00EA0E1F" w:rsidRPr="00B323C8">
        <w:t xml:space="preserve">Defendant, who had </w:t>
      </w:r>
      <w:r w:rsidR="001231D3" w:rsidRPr="00B323C8">
        <w:t xml:space="preserve">recently </w:t>
      </w:r>
      <w:r w:rsidR="00EA0E1F" w:rsidRPr="00B323C8">
        <w:t>been sentenced to death, responded:  “Oh, so do I.”</w:t>
      </w:r>
    </w:p>
    <w:p w14:paraId="2A1FCD43" w14:textId="3F5F97DF" w:rsidR="004D6070" w:rsidRPr="00B323C8" w:rsidRDefault="004D6070" w:rsidP="00B323C8">
      <w:pPr>
        <w:tabs>
          <w:tab w:val="left" w:pos="1440"/>
        </w:tabs>
        <w:ind w:firstLine="720"/>
      </w:pPr>
      <w:r w:rsidRPr="00B323C8">
        <w:t xml:space="preserve">Mr. Briggs, who </w:t>
      </w:r>
      <w:r w:rsidR="00DE0F70" w:rsidRPr="00B323C8">
        <w:t xml:space="preserve">had acted as </w:t>
      </w:r>
      <w:r w:rsidRPr="00B323C8">
        <w:t>defendant</w:t>
      </w:r>
      <w:r w:rsidR="00D61F82" w:rsidRPr="00B323C8">
        <w:t>’</w:t>
      </w:r>
      <w:r w:rsidRPr="00B323C8">
        <w:t>s advisory counsel</w:t>
      </w:r>
      <w:r w:rsidR="00161458" w:rsidRPr="00B323C8">
        <w:t xml:space="preserve"> throughout the trial</w:t>
      </w:r>
      <w:r w:rsidRPr="00B323C8">
        <w:t>, then asked to address the court</w:t>
      </w:r>
      <w:r w:rsidR="00161458" w:rsidRPr="00B323C8">
        <w:t>.  He said</w:t>
      </w:r>
      <w:r w:rsidRPr="00B323C8">
        <w:t xml:space="preserve">:  </w:t>
      </w:r>
      <w:r w:rsidRPr="00B323C8">
        <w:lastRenderedPageBreak/>
        <w:t xml:space="preserve">“I feel that I need to respond to the </w:t>
      </w:r>
      <w:r w:rsidR="00283F0A" w:rsidRPr="00B323C8">
        <w:t>c</w:t>
      </w:r>
      <w:r w:rsidRPr="00B323C8">
        <w:t>ourt</w:t>
      </w:r>
      <w:r w:rsidR="00D61F82" w:rsidRPr="00B323C8">
        <w:t>’</w:t>
      </w:r>
      <w:r w:rsidRPr="00B323C8">
        <w:t>s comments today.</w:t>
      </w:r>
      <w:r w:rsidR="007506AE" w:rsidRPr="00B323C8">
        <w:t>  </w:t>
      </w:r>
      <w:r w:rsidRPr="00B323C8">
        <w:t>[¶] . . .</w:t>
      </w:r>
      <w:r w:rsidR="007506AE" w:rsidRPr="00B323C8">
        <w:t> </w:t>
      </w:r>
      <w:r w:rsidRPr="00B323C8">
        <w:t xml:space="preserve">[¶] </w:t>
      </w:r>
      <w:r w:rsidR="007506AE" w:rsidRPr="00B323C8">
        <w:t xml:space="preserve"> </w:t>
      </w:r>
      <w:r w:rsidRPr="00B323C8">
        <w:t xml:space="preserve">And I do so with all respect, but I disagree with the </w:t>
      </w:r>
      <w:r w:rsidR="00283F0A" w:rsidRPr="00B323C8">
        <w:t>c</w:t>
      </w:r>
      <w:r w:rsidRPr="00B323C8">
        <w:t>ourt</w:t>
      </w:r>
      <w:r w:rsidR="00D61F82" w:rsidRPr="00B323C8">
        <w:t>’</w:t>
      </w:r>
      <w:r w:rsidRPr="00B323C8">
        <w:t>s statement</w:t>
      </w:r>
      <w:r w:rsidR="005B2602" w:rsidRPr="00B323C8">
        <w:t xml:space="preserve">[] . . . </w:t>
      </w:r>
      <w:r w:rsidRPr="00B323C8">
        <w:t>that [</w:t>
      </w:r>
      <w:r w:rsidR="00543732" w:rsidRPr="00B323C8">
        <w:t>d</w:t>
      </w:r>
      <w:r w:rsidRPr="00B323C8">
        <w:t>efendant] was competent to represent himself throughout this trial.</w:t>
      </w:r>
      <w:r w:rsidR="007506AE" w:rsidRPr="00B323C8">
        <w:t>  </w:t>
      </w:r>
      <w:r w:rsidRPr="00B323C8">
        <w:t xml:space="preserve">[¶]  I make this statement </w:t>
      </w:r>
      <w:r w:rsidRPr="00B323C8">
        <w:rPr>
          <w:i/>
        </w:rPr>
        <w:t xml:space="preserve">based on evidence to which the </w:t>
      </w:r>
      <w:r w:rsidR="00283F0A" w:rsidRPr="00B323C8">
        <w:rPr>
          <w:i/>
        </w:rPr>
        <w:t>c</w:t>
      </w:r>
      <w:r w:rsidRPr="00B323C8">
        <w:rPr>
          <w:i/>
        </w:rPr>
        <w:t>ourt has not been privy, that I am not at liberty to disclose</w:t>
      </w:r>
      <w:r w:rsidRPr="00B323C8">
        <w:t xml:space="preserve">, but if I remain silent in the face of the assertion, it could be construed as an agreement with it, and I do not agree with it.”  </w:t>
      </w:r>
      <w:r w:rsidR="00543732" w:rsidRPr="00B323C8">
        <w:t>(</w:t>
      </w:r>
      <w:r w:rsidR="008934B6" w:rsidRPr="00B323C8">
        <w:t xml:space="preserve">Italics </w:t>
      </w:r>
      <w:r w:rsidR="00543732" w:rsidRPr="00B323C8">
        <w:t>added.)</w:t>
      </w:r>
    </w:p>
    <w:p w14:paraId="4814F45F" w14:textId="55A11D75" w:rsidR="005D3A71" w:rsidRPr="00B323C8" w:rsidRDefault="005D3A71" w:rsidP="00B323C8">
      <w:pPr>
        <w:tabs>
          <w:tab w:val="left" w:pos="1440"/>
        </w:tabs>
        <w:ind w:firstLine="720"/>
      </w:pPr>
      <w:r w:rsidRPr="00B323C8">
        <w:t>Defendant</w:t>
      </w:r>
      <w:r w:rsidR="0070750E" w:rsidRPr="00B323C8">
        <w:t xml:space="preserve"> </w:t>
      </w:r>
      <w:r w:rsidR="005B2602" w:rsidRPr="00B323C8">
        <w:t>then</w:t>
      </w:r>
      <w:r w:rsidRPr="00B323C8">
        <w:t xml:space="preserve"> added his own comment:  “As you were saying earlier, uhmm, [the court</w:t>
      </w:r>
      <w:r w:rsidR="00D61F82" w:rsidRPr="00B323C8">
        <w:t>’</w:t>
      </w:r>
      <w:r w:rsidRPr="00B323C8">
        <w:t xml:space="preserve">s] decision for me to represent myself was </w:t>
      </w:r>
      <w:proofErr w:type="gramStart"/>
      <w:r w:rsidRPr="00B323C8">
        <w:t>a very good</w:t>
      </w:r>
      <w:proofErr w:type="gramEnd"/>
      <w:r w:rsidRPr="00B323C8">
        <w:t xml:space="preserve"> decision, because, you know, Julie and Paul were atto</w:t>
      </w:r>
      <w:r w:rsidR="005C35BE" w:rsidRPr="00B323C8">
        <w:t>r</w:t>
      </w:r>
      <w:r w:rsidRPr="00B323C8">
        <w:t>neys</w:t>
      </w:r>
      <w:r w:rsidR="005C35BE" w:rsidRPr="00B323C8">
        <w:t xml:space="preserve"> </w:t>
      </w:r>
      <w:r w:rsidRPr="00B323C8">
        <w:t>that I killed.  And if [the court] did not let me fire that legal team that was representing me at the time, that leg</w:t>
      </w:r>
      <w:r w:rsidR="005C35BE" w:rsidRPr="00B323C8">
        <w:t>a</w:t>
      </w:r>
      <w:r w:rsidRPr="00B323C8">
        <w:t>l team would have been the next two attorneys that I killed.”</w:t>
      </w:r>
    </w:p>
    <w:p w14:paraId="6B8289C5" w14:textId="6A435AD0" w:rsidR="007506AE" w:rsidRPr="00B323C8" w:rsidRDefault="002F0159" w:rsidP="00B323C8">
      <w:pPr>
        <w:pStyle w:val="Heading2"/>
      </w:pPr>
      <w:r w:rsidRPr="00B323C8">
        <w:t>B</w:t>
      </w:r>
      <w:r w:rsidR="003467B9" w:rsidRPr="00B323C8">
        <w:t xml:space="preserve">. </w:t>
      </w:r>
      <w:r w:rsidR="008F20C3" w:rsidRPr="00B323C8">
        <w:t xml:space="preserve">Relevant </w:t>
      </w:r>
      <w:r w:rsidR="00BA5EB8" w:rsidRPr="00B323C8">
        <w:t>Legal Principles</w:t>
      </w:r>
      <w:r w:rsidR="009D1F29" w:rsidRPr="00B323C8">
        <w:t>:</w:t>
      </w:r>
      <w:r w:rsidR="0091085A" w:rsidRPr="00B323C8">
        <w:t xml:space="preserve">  </w:t>
      </w:r>
      <w:r w:rsidR="009D1F29" w:rsidRPr="00B323C8">
        <w:t xml:space="preserve">Competence </w:t>
      </w:r>
      <w:proofErr w:type="gramStart"/>
      <w:r w:rsidR="00FE5B0A">
        <w:t>T</w:t>
      </w:r>
      <w:r w:rsidR="009D1F29" w:rsidRPr="00B323C8">
        <w:t>o</w:t>
      </w:r>
      <w:proofErr w:type="gramEnd"/>
      <w:r w:rsidR="009D1F29" w:rsidRPr="00B323C8">
        <w:t xml:space="preserve"> Stand Trial</w:t>
      </w:r>
      <w:r w:rsidR="0091085A" w:rsidRPr="00B323C8">
        <w:t xml:space="preserve"> and </w:t>
      </w:r>
      <w:r w:rsidR="0066295A" w:rsidRPr="00B323C8">
        <w:t xml:space="preserve">Competence </w:t>
      </w:r>
      <w:r w:rsidR="00FE5B0A">
        <w:t>T</w:t>
      </w:r>
      <w:r w:rsidR="0091085A" w:rsidRPr="00B323C8">
        <w:t>o Waive Counsel</w:t>
      </w:r>
    </w:p>
    <w:p w14:paraId="7F16BB06" w14:textId="66204F11" w:rsidR="00CA1708" w:rsidRPr="00B323C8" w:rsidRDefault="0061549C" w:rsidP="00B323C8">
      <w:pPr>
        <w:tabs>
          <w:tab w:val="left" w:pos="1440"/>
        </w:tabs>
        <w:ind w:firstLine="720"/>
      </w:pPr>
      <w:bookmarkStart w:id="25" w:name="_Hlk44395574"/>
      <w:r w:rsidRPr="00B323C8">
        <w:t xml:space="preserve">At the outset, it is </w:t>
      </w:r>
      <w:r w:rsidR="00810C61" w:rsidRPr="00B323C8">
        <w:t>necessary</w:t>
      </w:r>
      <w:r w:rsidRPr="00B323C8">
        <w:t xml:space="preserve"> to explain why we are addressing in </w:t>
      </w:r>
      <w:r w:rsidR="00D102DF" w:rsidRPr="00B323C8">
        <w:t xml:space="preserve">the same discussion both </w:t>
      </w:r>
      <w:r w:rsidRPr="00B323C8">
        <w:t>the question of defendant</w:t>
      </w:r>
      <w:r w:rsidR="00D61F82" w:rsidRPr="00B323C8">
        <w:t>’</w:t>
      </w:r>
      <w:r w:rsidRPr="00B323C8">
        <w:t>s competence to stand trial and the question of his competence to waive counsel.</w:t>
      </w:r>
      <w:r w:rsidR="00B51E09" w:rsidRPr="00B323C8">
        <w:t xml:space="preserve">  </w:t>
      </w:r>
      <w:r w:rsidR="00810C61" w:rsidRPr="00B323C8">
        <w:t xml:space="preserve">In </w:t>
      </w:r>
      <w:r w:rsidR="00810C61" w:rsidRPr="00B323C8">
        <w:rPr>
          <w:i/>
          <w:iCs/>
        </w:rPr>
        <w:t>Godinez v. Moran</w:t>
      </w:r>
      <w:r w:rsidR="00810C61" w:rsidRPr="00B323C8">
        <w:t xml:space="preserve"> (1993) 509 U.S. 389 (</w:t>
      </w:r>
      <w:r w:rsidR="00810C61" w:rsidRPr="00B323C8">
        <w:rPr>
          <w:i/>
          <w:iCs/>
        </w:rPr>
        <w:t>Godinez</w:t>
      </w:r>
      <w:r w:rsidR="00810C61" w:rsidRPr="00B323C8">
        <w:t xml:space="preserve">), the high court concluded that the </w:t>
      </w:r>
      <w:r w:rsidR="0018707B" w:rsidRPr="00B323C8">
        <w:t>standard that governs both competency determinations is the same</w:t>
      </w:r>
      <w:r w:rsidR="00EB245A" w:rsidRPr="00B323C8">
        <w:t xml:space="preserve">. </w:t>
      </w:r>
      <w:r w:rsidR="00E10236" w:rsidRPr="00B323C8">
        <w:t xml:space="preserve"> In reaching that conclusion, t</w:t>
      </w:r>
      <w:r w:rsidR="00CA1708" w:rsidRPr="00B323C8">
        <w:t xml:space="preserve">he high court listed several decisions of constitutional magnitude that a defendant who stands trial must make.  The court said:  “A defendant who stands trial . . . will ordinarily have to decide whether to waive his ‘privilege against compulsory self-incrimination,’ [citation], by taking the witness stand; if the option is available, he may have to decide whether to waive his ‘right to trial by jury,’ [citation]; and, in consultation with counsel, he may have to decide whether to </w:t>
      </w:r>
      <w:r w:rsidR="00CA1708" w:rsidRPr="00B323C8">
        <w:lastRenderedPageBreak/>
        <w:t>waive his ‘right to confront [his] accusers,’ [citation], by declining to cross-examine witnesses for the prosecution.”  (</w:t>
      </w:r>
      <w:r w:rsidR="00B51E09" w:rsidRPr="00B323C8">
        <w:rPr>
          <w:i/>
          <w:iCs/>
        </w:rPr>
        <w:t>Id</w:t>
      </w:r>
      <w:r w:rsidR="007A1BE5" w:rsidRPr="00B323C8">
        <w:t xml:space="preserve">. </w:t>
      </w:r>
      <w:r w:rsidR="00CA1708" w:rsidRPr="00B323C8">
        <w:t>at p. 398.)  The high court then said:  “[W]e [do not] think that a defendant who waives his right to the assistance of counsel must be more competent than a defendant who does not, since there is no reason to believe that the decision to waive counsel requires an appreciably higher level of mental functioning than the decision to waive other constitutional rights.”  (</w:t>
      </w:r>
      <w:r w:rsidR="00CA1708" w:rsidRPr="00B323C8">
        <w:rPr>
          <w:i/>
          <w:iCs/>
        </w:rPr>
        <w:t>Id</w:t>
      </w:r>
      <w:r w:rsidR="00CA1708" w:rsidRPr="00B323C8">
        <w:t xml:space="preserve">. at p. 399.)  Nor did the high court conclude that the required “level of mental functioning” was appreciably </w:t>
      </w:r>
      <w:r w:rsidR="00CA1708" w:rsidRPr="00B323C8">
        <w:rPr>
          <w:i/>
          <w:iCs/>
        </w:rPr>
        <w:t>lower</w:t>
      </w:r>
      <w:r w:rsidR="00CA1708" w:rsidRPr="00B323C8">
        <w:t xml:space="preserve"> for a decision to waive counsel.  </w:t>
      </w:r>
      <w:r w:rsidR="00FE3962">
        <w:t>(</w:t>
      </w:r>
      <w:r w:rsidR="00FE3962" w:rsidRPr="00FE3962">
        <w:rPr>
          <w:i/>
          <w:iCs/>
        </w:rPr>
        <w:t>Ibid</w:t>
      </w:r>
      <w:r w:rsidR="00FE3962">
        <w:t xml:space="preserve">.)  </w:t>
      </w:r>
      <w:r w:rsidR="00CA1708" w:rsidRPr="00B323C8">
        <w:t>Specifically, the high court rejected “the notion that competence . . . to waive the right to counsel must be measured by a standard that is higher than (</w:t>
      </w:r>
      <w:r w:rsidR="00CA1708" w:rsidRPr="00B323C8">
        <w:rPr>
          <w:i/>
          <w:iCs/>
        </w:rPr>
        <w:t>or even different from</w:t>
      </w:r>
      <w:r w:rsidR="00CA1708" w:rsidRPr="00B323C8">
        <w:t xml:space="preserve">) the </w:t>
      </w:r>
      <w:r w:rsidR="00CA1708" w:rsidRPr="00B323C8">
        <w:rPr>
          <w:i/>
          <w:iCs/>
        </w:rPr>
        <w:t>Dusky</w:t>
      </w:r>
      <w:r w:rsidR="00CA1708" w:rsidRPr="00B323C8">
        <w:t xml:space="preserve">[, </w:t>
      </w:r>
      <w:r w:rsidR="00CA1708" w:rsidRPr="00B323C8">
        <w:rPr>
          <w:i/>
          <w:iCs/>
        </w:rPr>
        <w:t>supra</w:t>
      </w:r>
      <w:r w:rsidR="00CA1708" w:rsidRPr="00B323C8">
        <w:t>, 362 U.S. 402,] standard”</w:t>
      </w:r>
      <w:r w:rsidR="0010093F" w:rsidRPr="00B323C8">
        <w:t xml:space="preserve"> that governs competence to stand trial.</w:t>
      </w:r>
      <w:r w:rsidR="00CA1708" w:rsidRPr="00B323C8">
        <w:t xml:space="preserve">  (See </w:t>
      </w:r>
      <w:r w:rsidR="00CA1708" w:rsidRPr="00B323C8">
        <w:rPr>
          <w:i/>
          <w:iCs/>
        </w:rPr>
        <w:t>Godinez</w:t>
      </w:r>
      <w:r w:rsidR="00CA1708" w:rsidRPr="00B323C8">
        <w:t>, at p. 398, italics added.)</w:t>
      </w:r>
    </w:p>
    <w:p w14:paraId="44839BDF" w14:textId="3E56D62E" w:rsidR="00C9378C" w:rsidRPr="00B323C8" w:rsidRDefault="0010093F" w:rsidP="00B323C8">
      <w:pPr>
        <w:tabs>
          <w:tab w:val="left" w:pos="1440"/>
        </w:tabs>
        <w:ind w:firstLine="720"/>
      </w:pPr>
      <w:r w:rsidRPr="00B323C8">
        <w:t xml:space="preserve">Significantly, </w:t>
      </w:r>
      <w:r w:rsidR="007A1BE5" w:rsidRPr="00B323C8">
        <w:rPr>
          <w:i/>
          <w:iCs/>
        </w:rPr>
        <w:t>Godinez</w:t>
      </w:r>
      <w:r w:rsidR="007A1BE5" w:rsidRPr="00B323C8">
        <w:t xml:space="preserve"> involved a defendant who pled guilty, and </w:t>
      </w:r>
      <w:r w:rsidRPr="00B323C8">
        <w:t>t</w:t>
      </w:r>
      <w:r w:rsidR="00EB245A" w:rsidRPr="00B323C8">
        <w:t xml:space="preserve">he </w:t>
      </w:r>
      <w:r w:rsidRPr="00B323C8">
        <w:t xml:space="preserve">high </w:t>
      </w:r>
      <w:r w:rsidR="00EB245A" w:rsidRPr="00B323C8">
        <w:t xml:space="preserve">court </w:t>
      </w:r>
      <w:r w:rsidR="007A1BE5" w:rsidRPr="00B323C8">
        <w:t xml:space="preserve">addressed </w:t>
      </w:r>
      <w:r w:rsidR="00EB245A" w:rsidRPr="00B323C8">
        <w:t xml:space="preserve">only </w:t>
      </w:r>
      <w:r w:rsidR="000D308C" w:rsidRPr="00B323C8">
        <w:t>his</w:t>
      </w:r>
      <w:r w:rsidR="00EB245A" w:rsidRPr="00B323C8">
        <w:t xml:space="preserve"> decision to waive counsel</w:t>
      </w:r>
      <w:r w:rsidR="007A1BE5" w:rsidRPr="00B323C8">
        <w:t xml:space="preserve"> (and then to enter th</w:t>
      </w:r>
      <w:r w:rsidR="00B51E09" w:rsidRPr="00B323C8">
        <w:t>e guilty plea</w:t>
      </w:r>
      <w:r w:rsidR="007A1BE5" w:rsidRPr="00B323C8">
        <w:t>)</w:t>
      </w:r>
      <w:r w:rsidR="00D102DF" w:rsidRPr="00B323C8">
        <w:t xml:space="preserve">; it did not </w:t>
      </w:r>
      <w:r w:rsidR="00D61F82" w:rsidRPr="00B323C8">
        <w:t xml:space="preserve">decide what level of mental </w:t>
      </w:r>
      <w:r w:rsidR="00B51E09" w:rsidRPr="00B323C8">
        <w:t xml:space="preserve">functioning </w:t>
      </w:r>
      <w:r w:rsidR="00D61F82" w:rsidRPr="00B323C8">
        <w:t xml:space="preserve">was necessary for a defendant to conduct his or her own defense.  </w:t>
      </w:r>
      <w:r w:rsidRPr="00B323C8">
        <w:t xml:space="preserve">The court </w:t>
      </w:r>
      <w:r w:rsidR="00D61F82" w:rsidRPr="00B323C8">
        <w:t>said:  “</w:t>
      </w:r>
      <w:r w:rsidR="003142E6" w:rsidRPr="00B323C8">
        <w:t xml:space="preserve">Respondent suggests that a higher competency standard is necessary because a defendant who represents himself </w:t>
      </w:r>
      <w:r w:rsidR="00D61F82" w:rsidRPr="00B323C8">
        <w:t>‘</w:t>
      </w:r>
      <w:r w:rsidR="00E416D9" w:rsidRPr="00B323C8">
        <w:t> </w:t>
      </w:r>
      <w:r w:rsidR="003142E6" w:rsidRPr="00B323C8">
        <w:t>“must have greater powers of comprehension, judgment, and reason than would be necessary to stand trial with the aid of an attorney.”</w:t>
      </w:r>
      <w:r w:rsidR="00E416D9" w:rsidRPr="00B323C8">
        <w:t> </w:t>
      </w:r>
      <w:r w:rsidR="00D61F82" w:rsidRPr="00B323C8">
        <w:t>’</w:t>
      </w:r>
      <w:r w:rsidR="00E416D9" w:rsidRPr="00B323C8">
        <w:t xml:space="preserve">  [Citations.]  </w:t>
      </w:r>
      <w:r w:rsidR="003142E6" w:rsidRPr="00B323C8">
        <w:t xml:space="preserve">But this argument has a flawed premise; the competence that is required of a defendant seeking to waive his right to counsel is the competence to </w:t>
      </w:r>
      <w:r w:rsidR="003142E6" w:rsidRPr="00BF6C82">
        <w:rPr>
          <w:i/>
          <w:iCs/>
        </w:rPr>
        <w:t>waive the right</w:t>
      </w:r>
      <w:r w:rsidR="003142E6" w:rsidRPr="00B323C8">
        <w:t>, not the competence to represent himself.</w:t>
      </w:r>
      <w:r w:rsidR="000D308C" w:rsidRPr="00B323C8">
        <w:t> </w:t>
      </w:r>
      <w:r w:rsidR="00E416D9" w:rsidRPr="00B323C8">
        <w:t>. . .</w:t>
      </w:r>
      <w:r w:rsidR="00D61F82" w:rsidRPr="00B323C8">
        <w:t> </w:t>
      </w:r>
      <w:r w:rsidR="000D308C" w:rsidRPr="00B323C8">
        <w:t xml:space="preserve">  </w:t>
      </w:r>
      <w:r w:rsidR="00E416D9" w:rsidRPr="00B323C8">
        <w:t>[A] criminal defendant</w:t>
      </w:r>
      <w:r w:rsidR="00D61F82" w:rsidRPr="00B323C8">
        <w:t>’</w:t>
      </w:r>
      <w:r w:rsidR="00E416D9" w:rsidRPr="00B323C8">
        <w:t xml:space="preserve">s ability to represent himself has no bearing upon his competence to </w:t>
      </w:r>
      <w:r w:rsidR="00E416D9" w:rsidRPr="00B323C8">
        <w:rPr>
          <w:i/>
          <w:iCs/>
        </w:rPr>
        <w:t>choose</w:t>
      </w:r>
      <w:r w:rsidR="00E416D9" w:rsidRPr="00B323C8">
        <w:t xml:space="preserve"> self-representation.”</w:t>
      </w:r>
      <w:r w:rsidR="00A76329" w:rsidRPr="00B323C8">
        <w:t xml:space="preserve">  (</w:t>
      </w:r>
      <w:r w:rsidR="007A1BE5" w:rsidRPr="00B323C8">
        <w:rPr>
          <w:i/>
          <w:iCs/>
        </w:rPr>
        <w:t>Godinez</w:t>
      </w:r>
      <w:r w:rsidR="007A1BE5" w:rsidRPr="00B323C8">
        <w:t xml:space="preserve">, </w:t>
      </w:r>
      <w:r w:rsidR="007A1BE5" w:rsidRPr="00B323C8">
        <w:rPr>
          <w:i/>
          <w:iCs/>
        </w:rPr>
        <w:t>supra</w:t>
      </w:r>
      <w:r w:rsidR="007A1BE5" w:rsidRPr="00B323C8">
        <w:t xml:space="preserve">, 509 U.S. at </w:t>
      </w:r>
      <w:r w:rsidR="00A76329" w:rsidRPr="00B323C8">
        <w:t>pp. 399–400.)</w:t>
      </w:r>
      <w:r w:rsidRPr="00B323C8">
        <w:t xml:space="preserve">  </w:t>
      </w:r>
      <w:r w:rsidR="00D61F82" w:rsidRPr="00B323C8">
        <w:t xml:space="preserve">In other words, the court severed the question of </w:t>
      </w:r>
      <w:r w:rsidR="00D61F82" w:rsidRPr="00B323C8">
        <w:lastRenderedPageBreak/>
        <w:t>competence to waive counsel from the question of competence to self-represent, and it concluded that the waiver of</w:t>
      </w:r>
      <w:r w:rsidR="004A6805" w:rsidRPr="00B323C8">
        <w:t xml:space="preserve"> </w:t>
      </w:r>
      <w:r w:rsidR="00D61F82" w:rsidRPr="00B323C8">
        <w:t xml:space="preserve">counsel, when viewed in isolation, </w:t>
      </w:r>
      <w:r w:rsidR="007A1BE5" w:rsidRPr="00B323C8">
        <w:t>i</w:t>
      </w:r>
      <w:r w:rsidR="00D61F82" w:rsidRPr="00B323C8">
        <w:t xml:space="preserve">s </w:t>
      </w:r>
      <w:proofErr w:type="gramStart"/>
      <w:r w:rsidR="00D61F82" w:rsidRPr="00B323C8">
        <w:t>not different from</w:t>
      </w:r>
      <w:proofErr w:type="gramEnd"/>
      <w:r w:rsidR="00D61F82" w:rsidRPr="00B323C8">
        <w:t xml:space="preserve"> </w:t>
      </w:r>
      <w:r w:rsidR="007A1BE5" w:rsidRPr="00B323C8">
        <w:t xml:space="preserve">numerous </w:t>
      </w:r>
      <w:r w:rsidR="00D61F82" w:rsidRPr="00B323C8">
        <w:t>other decisions a defendant must make when standing trial</w:t>
      </w:r>
      <w:r w:rsidR="00A76329" w:rsidRPr="00B323C8">
        <w:t xml:space="preserve">, and it was subject to the same </w:t>
      </w:r>
      <w:r w:rsidRPr="00B323C8">
        <w:t xml:space="preserve">analysis and governed by the same </w:t>
      </w:r>
      <w:r w:rsidR="00A76329" w:rsidRPr="00B323C8">
        <w:t>standard.</w:t>
      </w:r>
      <w:r w:rsidR="00CB46A6" w:rsidRPr="00B323C8">
        <w:rPr>
          <w:rStyle w:val="FootnoteReference"/>
        </w:rPr>
        <w:footnoteReference w:id="10"/>
      </w:r>
    </w:p>
    <w:p w14:paraId="2433F2A5" w14:textId="1A462EFB" w:rsidR="0066730C" w:rsidRPr="00B323C8" w:rsidRDefault="00DB5C2A" w:rsidP="00B323C8">
      <w:pPr>
        <w:tabs>
          <w:tab w:val="left" w:pos="1440"/>
        </w:tabs>
        <w:ind w:firstLine="720"/>
      </w:pPr>
      <w:r w:rsidRPr="00B323C8">
        <w:t>We r</w:t>
      </w:r>
      <w:r w:rsidR="009B479A" w:rsidRPr="00B323C8">
        <w:t>ecently</w:t>
      </w:r>
      <w:r w:rsidR="007F71E3" w:rsidRPr="00B323C8">
        <w:t xml:space="preserve"> </w:t>
      </w:r>
      <w:r w:rsidR="00655EF2" w:rsidRPr="00B323C8">
        <w:t>address</w:t>
      </w:r>
      <w:r w:rsidR="0018331D" w:rsidRPr="00B323C8">
        <w:t>ed</w:t>
      </w:r>
      <w:r w:rsidR="00655EF2" w:rsidRPr="00B323C8">
        <w:t xml:space="preserve"> in some </w:t>
      </w:r>
      <w:r w:rsidR="00CB5409" w:rsidRPr="00B323C8">
        <w:t>detail</w:t>
      </w:r>
      <w:r w:rsidR="007F71E3" w:rsidRPr="00B323C8">
        <w:t xml:space="preserve"> </w:t>
      </w:r>
      <w:r w:rsidR="00655EF2" w:rsidRPr="00B323C8">
        <w:t>the legal principles that govern the question of a criminal defendant</w:t>
      </w:r>
      <w:r w:rsidR="00D61F82" w:rsidRPr="00B323C8">
        <w:t>’</w:t>
      </w:r>
      <w:r w:rsidR="00655EF2" w:rsidRPr="00B323C8">
        <w:t>s mental competence to stand trial</w:t>
      </w:r>
      <w:r w:rsidR="00CF0CBE" w:rsidRPr="00B323C8">
        <w:t xml:space="preserve">, and by implication </w:t>
      </w:r>
      <w:r w:rsidR="00B27352" w:rsidRPr="00B323C8">
        <w:t xml:space="preserve">from </w:t>
      </w:r>
      <w:r w:rsidR="00B27352" w:rsidRPr="00B323C8">
        <w:rPr>
          <w:i/>
          <w:iCs/>
        </w:rPr>
        <w:t>Godinez</w:t>
      </w:r>
      <w:r w:rsidR="00B27352" w:rsidRPr="00B323C8">
        <w:t xml:space="preserve">, </w:t>
      </w:r>
      <w:r w:rsidR="00B27352" w:rsidRPr="00B323C8">
        <w:rPr>
          <w:i/>
          <w:iCs/>
        </w:rPr>
        <w:t>supra</w:t>
      </w:r>
      <w:r w:rsidR="00B27352" w:rsidRPr="00B323C8">
        <w:t xml:space="preserve">, 509 U.S. at page 398, the same principles govern a defendant’s </w:t>
      </w:r>
      <w:r w:rsidR="00CF0CBE" w:rsidRPr="00B323C8">
        <w:t>competence to waive counsel</w:t>
      </w:r>
      <w:r w:rsidR="00655EF2" w:rsidRPr="00B323C8">
        <w:t>.  In</w:t>
      </w:r>
      <w:r w:rsidR="00E84D75" w:rsidRPr="00B323C8">
        <w:t xml:space="preserve"> </w:t>
      </w:r>
      <w:r w:rsidR="00E84D75" w:rsidRPr="00B323C8">
        <w:rPr>
          <w:i/>
        </w:rPr>
        <w:t>People v. Rodas</w:t>
      </w:r>
      <w:r w:rsidR="00E84D75" w:rsidRPr="00B323C8">
        <w:t xml:space="preserve"> (2018) 6 Cal.5th 219</w:t>
      </w:r>
      <w:r w:rsidR="007454C1" w:rsidRPr="00B323C8">
        <w:t xml:space="preserve"> (</w:t>
      </w:r>
      <w:r w:rsidR="007454C1" w:rsidRPr="00B323C8">
        <w:rPr>
          <w:i/>
        </w:rPr>
        <w:t>Rodas</w:t>
      </w:r>
      <w:r w:rsidR="007454C1" w:rsidRPr="00B323C8">
        <w:t>)</w:t>
      </w:r>
      <w:r w:rsidR="00E84D75" w:rsidRPr="00B323C8">
        <w:t>, we said:  “The constitutional guarantee of due process forbids</w:t>
      </w:r>
      <w:bookmarkEnd w:id="25"/>
      <w:r w:rsidR="00E84D75" w:rsidRPr="00B323C8">
        <w:t xml:space="preserve"> a court from trying or convicting a criminal defendant who is mentally incompetent to stand trial.  </w:t>
      </w:r>
      <w:r w:rsidR="00113E8E" w:rsidRPr="00B323C8">
        <w:t xml:space="preserve">[Citations.]  </w:t>
      </w:r>
      <w:r w:rsidR="00E84D75" w:rsidRPr="00B323C8">
        <w:t xml:space="preserve">Section 1367 of the Penal Code, incorporating the applicable constitutional standard, specifies that a person is incompetent to stand trial </w:t>
      </w:r>
      <w:r w:rsidR="00D61F82" w:rsidRPr="00B323C8">
        <w:t>‘</w:t>
      </w:r>
      <w:r w:rsidR="00E84D75" w:rsidRPr="00B323C8">
        <w:t>if, as a result of mental disorder or developmental disability, the defendant is unable to understand the nature of the criminal proceedings or to</w:t>
      </w:r>
      <w:bookmarkStart w:id="26" w:name="_Hlk40950521"/>
      <w:r w:rsidR="00E84D75" w:rsidRPr="00B323C8">
        <w:t xml:space="preserve"> assist counsel in the conduct of a defense in a rational manner.</w:t>
      </w:r>
      <w:r w:rsidR="00D61F82" w:rsidRPr="00B323C8">
        <w:t>’</w:t>
      </w:r>
      <w:r w:rsidR="00E84D75" w:rsidRPr="00B323C8">
        <w:t xml:space="preserve">  (</w:t>
      </w:r>
      <w:r w:rsidR="00E84D75" w:rsidRPr="00B323C8">
        <w:rPr>
          <w:i/>
        </w:rPr>
        <w:t>Id.</w:t>
      </w:r>
      <w:r w:rsidR="00E84D75" w:rsidRPr="00B323C8">
        <w:t xml:space="preserve">, subd. (a); see </w:t>
      </w:r>
      <w:bookmarkStart w:id="27" w:name="_Hlk16693205"/>
      <w:r w:rsidR="00E84D75" w:rsidRPr="00B323C8">
        <w:rPr>
          <w:i/>
        </w:rPr>
        <w:t>Dusky v. U.S.</w:t>
      </w:r>
      <w:r w:rsidR="00E84D75" w:rsidRPr="00B323C8">
        <w:t> (1960) 362 U.S. 402</w:t>
      </w:r>
      <w:bookmarkEnd w:id="27"/>
      <w:r w:rsidR="00370AA9" w:rsidRPr="00B323C8">
        <w:t> . . . .)</w:t>
      </w:r>
      <w:bookmarkEnd w:id="26"/>
      <w:r w:rsidR="00370AA9" w:rsidRPr="00B323C8">
        <w:t>  </w:t>
      </w:r>
      <w:r w:rsidR="00E84D75" w:rsidRPr="00B323C8">
        <w:t>[¶]  Penal Code section 1368 requires that criminal proceedings be suspended</w:t>
      </w:r>
      <w:r w:rsidR="0018686D" w:rsidRPr="00B323C8">
        <w:t xml:space="preserve"> </w:t>
      </w:r>
      <w:r w:rsidR="00E84D75" w:rsidRPr="00B323C8">
        <w:t>and</w:t>
      </w:r>
      <w:r w:rsidR="00F61D37">
        <w:t xml:space="preserve"> </w:t>
      </w:r>
      <w:r w:rsidR="00E84D75" w:rsidRPr="00B323C8">
        <w:t xml:space="preserve">competency proceedings be commenced if </w:t>
      </w:r>
      <w:r w:rsidR="00D61F82" w:rsidRPr="00B323C8">
        <w:t>‘</w:t>
      </w:r>
      <w:r w:rsidR="00E84D75" w:rsidRPr="00B323C8">
        <w:t>a doubt arises in the mind of the judge</w:t>
      </w:r>
      <w:r w:rsidR="00D61F82" w:rsidRPr="00B323C8">
        <w:t>’</w:t>
      </w:r>
      <w:r w:rsidR="00E84D75" w:rsidRPr="00B323C8">
        <w:t xml:space="preserve"> regarding </w:t>
      </w:r>
      <w:r w:rsidR="00E84D75" w:rsidRPr="00B323C8">
        <w:lastRenderedPageBreak/>
        <w:t>the defendant</w:t>
      </w:r>
      <w:r w:rsidR="00D61F82" w:rsidRPr="00B323C8">
        <w:t>’</w:t>
      </w:r>
      <w:r w:rsidR="00E84D75" w:rsidRPr="00B323C8">
        <w:t>s competence (</w:t>
      </w:r>
      <w:r w:rsidR="00E84D75" w:rsidRPr="00B323C8">
        <w:rPr>
          <w:i/>
        </w:rPr>
        <w:t>id.</w:t>
      </w:r>
      <w:r w:rsidR="00E84D75" w:rsidRPr="00B323C8">
        <w:t>, subd. (a)) and defense counsel concurs (</w:t>
      </w:r>
      <w:r w:rsidR="00E84D75" w:rsidRPr="00B323C8">
        <w:rPr>
          <w:i/>
        </w:rPr>
        <w:t>id.</w:t>
      </w:r>
      <w:r w:rsidR="00E84D75" w:rsidRPr="00B323C8">
        <w:t xml:space="preserve">, subd. (b)).  This court has construed that provision, in conformity with the requirements of federal constitutional law, as meaning that an accused has the right </w:t>
      </w:r>
      <w:r w:rsidR="00D61F82" w:rsidRPr="00B323C8">
        <w:t>‘</w:t>
      </w:r>
      <w:r w:rsidR="00E84D75" w:rsidRPr="00B323C8">
        <w:t>to a hearing on present sanity if he comes forward with substantial evidence that he is incapable, because of mental illness, of understanding the nature of the proceedings against him or of assisting in his defense.</w:t>
      </w:r>
      <w:r w:rsidR="00D61F82" w:rsidRPr="00B323C8">
        <w:t>’</w:t>
      </w:r>
      <w:r w:rsidR="00E84D75" w:rsidRPr="00B323C8">
        <w:t xml:space="preserve">  </w:t>
      </w:r>
      <w:r w:rsidR="00DD08BC" w:rsidRPr="00B323C8">
        <w:t>(</w:t>
      </w:r>
      <w:r w:rsidR="00DD08BC" w:rsidRPr="00B323C8">
        <w:rPr>
          <w:i/>
        </w:rPr>
        <w:t>People v. Pennington</w:t>
      </w:r>
      <w:r w:rsidR="00DD08BC" w:rsidRPr="00B323C8">
        <w:t xml:space="preserve"> (1967) 66 Cal.2d 508, 518</w:t>
      </w:r>
      <w:r w:rsidR="00CD430A">
        <w:t> . . . </w:t>
      </w:r>
      <w:r w:rsidR="00DD08BC" w:rsidRPr="00B323C8">
        <w:t xml:space="preserve">, discussing </w:t>
      </w:r>
      <w:r w:rsidR="00DD08BC" w:rsidRPr="00B323C8">
        <w:rPr>
          <w:i/>
        </w:rPr>
        <w:t>Pate v. Robinson</w:t>
      </w:r>
      <w:r w:rsidR="00DD08BC" w:rsidRPr="00B323C8">
        <w:t xml:space="preserve"> (1966) 383 U.S. 375, 385–386</w:t>
      </w:r>
      <w:r w:rsidR="00CD430A">
        <w:t> . . . </w:t>
      </w:r>
      <w:r w:rsidR="00DD08BC" w:rsidRPr="00B323C8">
        <w:t>.)</w:t>
      </w:r>
      <w:r w:rsidR="0066730C" w:rsidRPr="00B323C8">
        <w:t>”  (</w:t>
      </w:r>
      <w:r w:rsidR="0066730C" w:rsidRPr="00B323C8">
        <w:rPr>
          <w:i/>
        </w:rPr>
        <w:t>Rodas</w:t>
      </w:r>
      <w:r w:rsidR="0066730C" w:rsidRPr="00B323C8">
        <w:t>, at pp. 230–231.)</w:t>
      </w:r>
    </w:p>
    <w:p w14:paraId="692A69E2" w14:textId="2D87A5AC" w:rsidR="00E84D75" w:rsidRPr="00B323C8" w:rsidRDefault="0018331D" w:rsidP="00B323C8">
      <w:pPr>
        <w:tabs>
          <w:tab w:val="left" w:pos="1440"/>
        </w:tabs>
        <w:ind w:firstLine="720"/>
      </w:pPr>
      <w:r w:rsidRPr="00B323C8">
        <w:t xml:space="preserve">In </w:t>
      </w:r>
      <w:r w:rsidR="00090440" w:rsidRPr="00B323C8">
        <w:rPr>
          <w:i/>
          <w:iCs/>
        </w:rPr>
        <w:t>Rodas</w:t>
      </w:r>
      <w:r w:rsidR="00090440" w:rsidRPr="00B323C8">
        <w:t xml:space="preserve">, </w:t>
      </w:r>
      <w:r w:rsidRPr="00B323C8">
        <w:t>we stated</w:t>
      </w:r>
      <w:r w:rsidR="00BE1244" w:rsidRPr="00B323C8">
        <w:t xml:space="preserve"> that </w:t>
      </w:r>
      <w:r w:rsidR="0066730C" w:rsidRPr="00B323C8">
        <w:t>the</w:t>
      </w:r>
      <w:r w:rsidR="00AB4D6A" w:rsidRPr="00B323C8">
        <w:t xml:space="preserve"> accused is entitled to a hearing </w:t>
      </w:r>
      <w:r w:rsidR="0066730C" w:rsidRPr="00B323C8">
        <w:t>“</w:t>
      </w:r>
      <w:r w:rsidR="00090440" w:rsidRPr="00B323C8">
        <w:t> ‘</w:t>
      </w:r>
      <w:r w:rsidR="0066730C" w:rsidRPr="00B323C8">
        <w:rPr>
          <w:i/>
          <w:iCs/>
        </w:rPr>
        <w:t>if he comes forward</w:t>
      </w:r>
      <w:r w:rsidR="005F0D35" w:rsidRPr="00B323C8">
        <w:t xml:space="preserve"> </w:t>
      </w:r>
      <w:r w:rsidR="0066730C" w:rsidRPr="00B323C8">
        <w:t>with substantial evidence</w:t>
      </w:r>
      <w:r w:rsidR="00ED7A6E" w:rsidRPr="00B323C8">
        <w:t>’ ”</w:t>
      </w:r>
      <w:r w:rsidR="0066730C" w:rsidRPr="00B323C8">
        <w:t xml:space="preserve"> of mental incompetence</w:t>
      </w:r>
      <w:r w:rsidR="00E301E2" w:rsidRPr="00B323C8">
        <w:t xml:space="preserve"> (</w:t>
      </w:r>
      <w:r w:rsidR="00090440" w:rsidRPr="00B323C8">
        <w:rPr>
          <w:i/>
          <w:iCs/>
        </w:rPr>
        <w:t>Rodas</w:t>
      </w:r>
      <w:r w:rsidR="00090440" w:rsidRPr="00B323C8">
        <w:t xml:space="preserve">, </w:t>
      </w:r>
      <w:r w:rsidR="00090440" w:rsidRPr="00B323C8">
        <w:rPr>
          <w:i/>
          <w:iCs/>
        </w:rPr>
        <w:t>supra</w:t>
      </w:r>
      <w:r w:rsidR="00090440" w:rsidRPr="00B323C8">
        <w:t xml:space="preserve">, 6 Cal.5th at p. 231, </w:t>
      </w:r>
      <w:r w:rsidR="00CD430A">
        <w:t xml:space="preserve">italics added, </w:t>
      </w:r>
      <w:r w:rsidR="00090440" w:rsidRPr="00B323C8">
        <w:t xml:space="preserve">quoting </w:t>
      </w:r>
      <w:r w:rsidR="00E301E2" w:rsidRPr="00B323C8">
        <w:rPr>
          <w:i/>
          <w:iCs/>
        </w:rPr>
        <w:t>P</w:t>
      </w:r>
      <w:r w:rsidR="00CD430A">
        <w:rPr>
          <w:i/>
          <w:iCs/>
        </w:rPr>
        <w:t>eople v. P</w:t>
      </w:r>
      <w:r w:rsidR="00E301E2" w:rsidRPr="00B323C8">
        <w:rPr>
          <w:i/>
          <w:iCs/>
        </w:rPr>
        <w:t>ennington</w:t>
      </w:r>
      <w:r w:rsidR="00E301E2" w:rsidRPr="00B323C8">
        <w:t xml:space="preserve">, </w:t>
      </w:r>
      <w:r w:rsidR="00E301E2" w:rsidRPr="00B323C8">
        <w:rPr>
          <w:i/>
          <w:iCs/>
        </w:rPr>
        <w:t>supra</w:t>
      </w:r>
      <w:r w:rsidR="00E301E2" w:rsidRPr="00B323C8">
        <w:t>, 66 Cal.2d at p. 518</w:t>
      </w:r>
      <w:r w:rsidR="00CD430A">
        <w:t xml:space="preserve"> (</w:t>
      </w:r>
      <w:r w:rsidR="00CD430A" w:rsidRPr="00CD430A">
        <w:rPr>
          <w:i/>
          <w:iCs/>
        </w:rPr>
        <w:t>Pennington</w:t>
      </w:r>
      <w:r w:rsidR="00CD430A">
        <w:t>)</w:t>
      </w:r>
      <w:r w:rsidR="00E301E2" w:rsidRPr="00B323C8">
        <w:t>)</w:t>
      </w:r>
      <w:r w:rsidR="0066730C" w:rsidRPr="00B323C8">
        <w:t>, but</w:t>
      </w:r>
      <w:r w:rsidR="009A4724" w:rsidRPr="00B323C8">
        <w:t xml:space="preserve"> </w:t>
      </w:r>
      <w:r w:rsidR="00CC7132" w:rsidRPr="00B323C8">
        <w:t>under section 1368, subdivision (a), it doesn</w:t>
      </w:r>
      <w:r w:rsidR="00D61F82" w:rsidRPr="00B323C8">
        <w:t>’</w:t>
      </w:r>
      <w:r w:rsidR="00CC7132" w:rsidRPr="00B323C8">
        <w:t xml:space="preserve">t matter how </w:t>
      </w:r>
      <w:r w:rsidR="009A4724" w:rsidRPr="00B323C8">
        <w:t>the evidence comes before the court</w:t>
      </w:r>
      <w:r w:rsidR="00CC7132" w:rsidRPr="00B323C8">
        <w:t>.  If the court is presented with substantial evidence of mental incompetence</w:t>
      </w:r>
      <w:r w:rsidR="0007133B">
        <w:t> </w:t>
      </w:r>
      <w:r w:rsidR="00090440" w:rsidRPr="00B323C8">
        <w:t xml:space="preserve">— whether or not </w:t>
      </w:r>
      <w:r w:rsidR="00183A80" w:rsidRPr="00B323C8">
        <w:t xml:space="preserve">defendant </w:t>
      </w:r>
      <w:r w:rsidR="00ED7A6E" w:rsidRPr="00B323C8">
        <w:t>is its immediate source</w:t>
      </w:r>
      <w:r w:rsidR="0007133B">
        <w:t> </w:t>
      </w:r>
      <w:r w:rsidR="00090440" w:rsidRPr="00B323C8">
        <w:t xml:space="preserve">— </w:t>
      </w:r>
      <w:r w:rsidR="00CC7132" w:rsidRPr="00B323C8">
        <w:t xml:space="preserve">the court must </w:t>
      </w:r>
      <w:r w:rsidR="003E357C" w:rsidRPr="00B323C8">
        <w:t xml:space="preserve">declare a doubt about the question and </w:t>
      </w:r>
      <w:r w:rsidR="00CF30C6" w:rsidRPr="00B323C8">
        <w:t>initiate a</w:t>
      </w:r>
      <w:r w:rsidR="00AB4D6A" w:rsidRPr="00B323C8">
        <w:t xml:space="preserve">n </w:t>
      </w:r>
      <w:r w:rsidR="00CF30C6" w:rsidRPr="00B323C8">
        <w:t>inquiry</w:t>
      </w:r>
      <w:r w:rsidR="009A4724" w:rsidRPr="00B323C8">
        <w:t xml:space="preserve">, </w:t>
      </w:r>
      <w:r w:rsidR="001B4A95" w:rsidRPr="00B323C8">
        <w:t>including obtaining a formal opinion from defense counsel</w:t>
      </w:r>
      <w:r w:rsidR="001308E6" w:rsidRPr="00B323C8">
        <w:t xml:space="preserve"> and appointing defense counsel if the defendant is </w:t>
      </w:r>
      <w:r w:rsidR="00183A80" w:rsidRPr="00B323C8">
        <w:t xml:space="preserve">proceeding </w:t>
      </w:r>
      <w:r w:rsidR="001308E6" w:rsidRPr="00B323C8">
        <w:t>pro se</w:t>
      </w:r>
      <w:r w:rsidR="00E301E2" w:rsidRPr="00B323C8">
        <w:t>.  (</w:t>
      </w:r>
      <w:r w:rsidR="00F070CA" w:rsidRPr="00B323C8">
        <w:t>See</w:t>
      </w:r>
      <w:r w:rsidR="00DC739F" w:rsidRPr="00B323C8">
        <w:t xml:space="preserve"> </w:t>
      </w:r>
      <w:r w:rsidR="00140DFD" w:rsidRPr="00B323C8">
        <w:t>§</w:t>
      </w:r>
      <w:r w:rsidR="00335B2C" w:rsidRPr="00B323C8">
        <w:t> 1368, subd. (a)</w:t>
      </w:r>
      <w:r w:rsidR="00E301E2" w:rsidRPr="00B323C8">
        <w:t xml:space="preserve">.)  </w:t>
      </w:r>
      <w:r w:rsidR="001B0703" w:rsidRPr="00B323C8">
        <w:t xml:space="preserve">Moreover, </w:t>
      </w:r>
      <w:r w:rsidR="00AB4D6A" w:rsidRPr="00B323C8">
        <w:t xml:space="preserve">substantial </w:t>
      </w:r>
      <w:r w:rsidR="005F0D35" w:rsidRPr="00B323C8">
        <w:t>evidence of mental incompetence</w:t>
      </w:r>
      <w:r w:rsidR="00AB4D6A" w:rsidRPr="00B323C8">
        <w:t xml:space="preserve"> </w:t>
      </w:r>
      <w:r w:rsidR="00140DFD" w:rsidRPr="00B323C8">
        <w:t xml:space="preserve">necessarily raises </w:t>
      </w:r>
      <w:r w:rsidR="00AB4D6A" w:rsidRPr="00B323C8">
        <w:t xml:space="preserve">such </w:t>
      </w:r>
      <w:r w:rsidR="005F0D35" w:rsidRPr="00B323C8">
        <w:t xml:space="preserve">a doubt </w:t>
      </w:r>
      <w:r w:rsidR="00BA30EE" w:rsidRPr="00B323C8">
        <w:t xml:space="preserve">irrespective of </w:t>
      </w:r>
      <w:r w:rsidR="00AB4D6A" w:rsidRPr="00B323C8">
        <w:t>whether other evidence</w:t>
      </w:r>
      <w:r w:rsidR="00BA30EE" w:rsidRPr="00B323C8">
        <w:t>, including the court</w:t>
      </w:r>
      <w:r w:rsidR="00D61F82" w:rsidRPr="00B323C8">
        <w:t>’</w:t>
      </w:r>
      <w:r w:rsidR="00BA30EE" w:rsidRPr="00B323C8">
        <w:t>s own observations</w:t>
      </w:r>
      <w:r w:rsidR="00AB4D6A" w:rsidRPr="00B323C8">
        <w:t>, suggests the defendant is competent</w:t>
      </w:r>
      <w:r w:rsidR="005F0D35" w:rsidRPr="00B323C8">
        <w:t xml:space="preserve">.  </w:t>
      </w:r>
      <w:r w:rsidR="00AF0CA2" w:rsidRPr="00B323C8">
        <w:t>On this</w:t>
      </w:r>
      <w:r w:rsidR="005E1F6D" w:rsidRPr="00B323C8">
        <w:t xml:space="preserve"> latter </w:t>
      </w:r>
      <w:r w:rsidR="00AF0CA2" w:rsidRPr="00B323C8">
        <w:t xml:space="preserve">point, </w:t>
      </w:r>
      <w:r w:rsidR="00BE1244" w:rsidRPr="00B323C8">
        <w:t xml:space="preserve">we said </w:t>
      </w:r>
      <w:r w:rsidR="00AF0CA2" w:rsidRPr="00B323C8">
        <w:t xml:space="preserve">in </w:t>
      </w:r>
      <w:r w:rsidR="00AF0CA2" w:rsidRPr="00B323C8">
        <w:rPr>
          <w:i/>
          <w:iCs/>
        </w:rPr>
        <w:t>Rodas</w:t>
      </w:r>
      <w:r w:rsidR="0066730C" w:rsidRPr="00B323C8">
        <w:t>:  “ </w:t>
      </w:r>
      <w:r w:rsidR="00183A80" w:rsidRPr="00B323C8">
        <w:t>‘</w:t>
      </w:r>
      <w:r w:rsidR="00E84D75" w:rsidRPr="00B323C8">
        <w:t xml:space="preserve">Once such substantial evidence appears, a doubt as to the sanity of the accused exists, </w:t>
      </w:r>
      <w:r w:rsidR="00E84D75" w:rsidRPr="00B323C8">
        <w:rPr>
          <w:i/>
          <w:iCs/>
        </w:rPr>
        <w:t>no matter how persuasive other evidence</w:t>
      </w:r>
      <w:r w:rsidR="00385390" w:rsidRPr="00B323C8">
        <w:rPr>
          <w:i/>
          <w:iCs/>
        </w:rPr>
        <w:t> </w:t>
      </w:r>
      <w:r w:rsidR="002C5397" w:rsidRPr="00B323C8">
        <w:rPr>
          <w:i/>
          <w:iCs/>
        </w:rPr>
        <w:t>—</w:t>
      </w:r>
      <w:r w:rsidR="00385390" w:rsidRPr="00B323C8">
        <w:rPr>
          <w:i/>
          <w:iCs/>
        </w:rPr>
        <w:t xml:space="preserve"> </w:t>
      </w:r>
      <w:r w:rsidR="00E84D75" w:rsidRPr="00B323C8">
        <w:rPr>
          <w:i/>
          <w:iCs/>
        </w:rPr>
        <w:t>testimony of prosecution witnesses or the court</w:t>
      </w:r>
      <w:r w:rsidR="00D61F82" w:rsidRPr="00B323C8">
        <w:rPr>
          <w:i/>
          <w:iCs/>
        </w:rPr>
        <w:t>’</w:t>
      </w:r>
      <w:r w:rsidR="00E84D75" w:rsidRPr="00B323C8">
        <w:rPr>
          <w:i/>
          <w:iCs/>
        </w:rPr>
        <w:t>s own observations of the accused</w:t>
      </w:r>
      <w:r w:rsidR="00385390" w:rsidRPr="00B323C8">
        <w:rPr>
          <w:i/>
          <w:iCs/>
        </w:rPr>
        <w:t> </w:t>
      </w:r>
      <w:r w:rsidR="002C5397" w:rsidRPr="00B323C8">
        <w:rPr>
          <w:i/>
          <w:iCs/>
        </w:rPr>
        <w:t>—</w:t>
      </w:r>
      <w:r w:rsidR="00385390" w:rsidRPr="00B323C8">
        <w:rPr>
          <w:i/>
          <w:iCs/>
        </w:rPr>
        <w:t xml:space="preserve"> </w:t>
      </w:r>
      <w:r w:rsidR="00E84D75" w:rsidRPr="00B323C8">
        <w:rPr>
          <w:i/>
          <w:iCs/>
        </w:rPr>
        <w:t>may be to the contrary</w:t>
      </w:r>
      <w:r w:rsidR="00E84D75" w:rsidRPr="00B323C8">
        <w:t>.</w:t>
      </w:r>
      <w:r w:rsidR="00D61F82" w:rsidRPr="00B323C8">
        <w:t>’</w:t>
      </w:r>
      <w:r w:rsidR="00E84D75" w:rsidRPr="00B323C8">
        <w:t xml:space="preserve">  </w:t>
      </w:r>
      <w:r w:rsidR="00E91D0E" w:rsidRPr="00B323C8">
        <w:t>(</w:t>
      </w:r>
      <w:r w:rsidR="00DD08BC" w:rsidRPr="00B323C8">
        <w:rPr>
          <w:i/>
        </w:rPr>
        <w:t>Pennington</w:t>
      </w:r>
      <w:r w:rsidR="00DD08BC" w:rsidRPr="00B323C8">
        <w:t>, at p. 518.</w:t>
      </w:r>
      <w:r w:rsidR="00E91D0E" w:rsidRPr="00B323C8">
        <w:t>)</w:t>
      </w:r>
      <w:r w:rsidR="00E84D75" w:rsidRPr="00B323C8">
        <w:t>”</w:t>
      </w:r>
      <w:r w:rsidR="00395F44" w:rsidRPr="00B323C8">
        <w:t xml:space="preserve">  </w:t>
      </w:r>
      <w:r w:rsidR="007454C1" w:rsidRPr="00B323C8">
        <w:t>(</w:t>
      </w:r>
      <w:r w:rsidR="007454C1" w:rsidRPr="00B323C8">
        <w:rPr>
          <w:i/>
        </w:rPr>
        <w:t>Rodas</w:t>
      </w:r>
      <w:r w:rsidR="007454C1" w:rsidRPr="00B323C8">
        <w:t xml:space="preserve">, </w:t>
      </w:r>
      <w:r w:rsidR="005F0D35" w:rsidRPr="00B323C8">
        <w:rPr>
          <w:i/>
          <w:iCs/>
        </w:rPr>
        <w:t>supra</w:t>
      </w:r>
      <w:r w:rsidR="005F0D35" w:rsidRPr="00B323C8">
        <w:t xml:space="preserve">, 6 Cal.5th </w:t>
      </w:r>
      <w:r w:rsidR="007454C1" w:rsidRPr="00B323C8">
        <w:t>at p. 231</w:t>
      </w:r>
      <w:r w:rsidR="005F0D35" w:rsidRPr="00B323C8">
        <w:t>, italics added</w:t>
      </w:r>
      <w:r w:rsidR="007454C1" w:rsidRPr="00B323C8">
        <w:t>.)</w:t>
      </w:r>
    </w:p>
    <w:p w14:paraId="06B800C0" w14:textId="41173B13" w:rsidR="00DD3867" w:rsidRPr="00B323C8" w:rsidRDefault="00DB5C2A" w:rsidP="00B323C8">
      <w:pPr>
        <w:tabs>
          <w:tab w:val="left" w:pos="1440"/>
        </w:tabs>
        <w:ind w:firstLine="720"/>
      </w:pPr>
      <w:r w:rsidRPr="00B323C8">
        <w:lastRenderedPageBreak/>
        <w:t xml:space="preserve">In </w:t>
      </w:r>
      <w:r w:rsidRPr="00B323C8">
        <w:rPr>
          <w:i/>
          <w:iCs/>
        </w:rPr>
        <w:t>Rodas</w:t>
      </w:r>
      <w:r w:rsidRPr="00B323C8">
        <w:t>, we</w:t>
      </w:r>
      <w:r w:rsidR="005E4E3D" w:rsidRPr="00B323C8">
        <w:t xml:space="preserve"> found support for th</w:t>
      </w:r>
      <w:r w:rsidR="00183A80" w:rsidRPr="00B323C8">
        <w:t>e</w:t>
      </w:r>
      <w:r w:rsidR="005E4E3D" w:rsidRPr="00B323C8">
        <w:t xml:space="preserve"> latter point in </w:t>
      </w:r>
      <w:r w:rsidR="005E4E3D" w:rsidRPr="00B323C8">
        <w:rPr>
          <w:i/>
          <w:iCs/>
        </w:rPr>
        <w:t>Pate</w:t>
      </w:r>
      <w:r w:rsidR="00395F44" w:rsidRPr="00B323C8">
        <w:rPr>
          <w:i/>
          <w:iCs/>
        </w:rPr>
        <w:t xml:space="preserve"> </w:t>
      </w:r>
      <w:r w:rsidR="005E4E3D" w:rsidRPr="00B323C8">
        <w:rPr>
          <w:i/>
          <w:iCs/>
        </w:rPr>
        <w:t>v.</w:t>
      </w:r>
      <w:r w:rsidR="00395F44" w:rsidRPr="00B323C8">
        <w:rPr>
          <w:i/>
          <w:iCs/>
        </w:rPr>
        <w:t xml:space="preserve"> </w:t>
      </w:r>
      <w:r w:rsidR="005E4E3D" w:rsidRPr="00B323C8">
        <w:rPr>
          <w:i/>
          <w:iCs/>
        </w:rPr>
        <w:t>Robinson</w:t>
      </w:r>
      <w:r w:rsidR="00CC7132" w:rsidRPr="00B323C8">
        <w:t xml:space="preserve">.  We said:  </w:t>
      </w:r>
      <w:r w:rsidR="00B85DCF" w:rsidRPr="00B323C8">
        <w:t>“</w:t>
      </w:r>
      <w:r w:rsidR="000A7B0C" w:rsidRPr="00B323C8">
        <w:t xml:space="preserve">In </w:t>
      </w:r>
      <w:r w:rsidR="00DD08BC" w:rsidRPr="00B323C8">
        <w:rPr>
          <w:i/>
        </w:rPr>
        <w:t>Pate v. Robinson</w:t>
      </w:r>
      <w:r w:rsidR="00DD08BC" w:rsidRPr="00B323C8">
        <w:t xml:space="preserve">, </w:t>
      </w:r>
      <w:r w:rsidR="00DD08BC" w:rsidRPr="00B323C8">
        <w:rPr>
          <w:i/>
        </w:rPr>
        <w:t>supra</w:t>
      </w:r>
      <w:r w:rsidR="00DD08BC" w:rsidRPr="00B323C8">
        <w:t>, 383 U.S. 375 </w:t>
      </w:r>
      <w:r w:rsidR="00DD3867" w:rsidRPr="00B323C8">
        <w:t>. . . ,</w:t>
      </w:r>
      <w:r w:rsidR="000A7B0C" w:rsidRPr="00B323C8">
        <w:t xml:space="preserve"> the high court made clear that when substantial evidence of incompetence otherwise exists, a competency hearing is required even though the defendant may display </w:t>
      </w:r>
      <w:r w:rsidR="00D61F82" w:rsidRPr="00B323C8">
        <w:t>‘</w:t>
      </w:r>
      <w:r w:rsidR="000A7B0C" w:rsidRPr="00B323C8">
        <w:t>mental alertness and understanding</w:t>
      </w:r>
      <w:r w:rsidR="00D61F82" w:rsidRPr="00B323C8">
        <w:t>’</w:t>
      </w:r>
      <w:r w:rsidR="000A7B0C" w:rsidRPr="00B323C8">
        <w:t xml:space="preserve"> in his colloquies with the trial judge.  (</w:t>
      </w:r>
      <w:r w:rsidR="000A7B0C" w:rsidRPr="00B323C8">
        <w:rPr>
          <w:i/>
        </w:rPr>
        <w:t>Id</w:t>
      </w:r>
      <w:r w:rsidR="000A7B0C" w:rsidRPr="00B323C8">
        <w:t>. at p. 385.)  The court explained that while the defendant</w:t>
      </w:r>
      <w:r w:rsidR="00D61F82" w:rsidRPr="00B323C8">
        <w:t>’</w:t>
      </w:r>
      <w:r w:rsidR="000A7B0C" w:rsidRPr="00B323C8">
        <w:t xml:space="preserve">s in-court behavior </w:t>
      </w:r>
      <w:r w:rsidR="00D61F82" w:rsidRPr="00B323C8">
        <w:t>‘</w:t>
      </w:r>
      <w:r w:rsidR="000A7B0C" w:rsidRPr="00B323C8">
        <w:t>might be relevant to the ultimate decision as to his sanity, it cannot be relied upon to dispense with a hearing on that very issue.</w:t>
      </w:r>
      <w:r w:rsidR="00D61F82" w:rsidRPr="00B323C8">
        <w:t>’</w:t>
      </w:r>
      <w:r w:rsidR="000A7B0C" w:rsidRPr="00B323C8">
        <w:t xml:space="preserve">  (</w:t>
      </w:r>
      <w:r w:rsidR="000A7B0C" w:rsidRPr="00B323C8">
        <w:rPr>
          <w:i/>
        </w:rPr>
        <w:t>Id</w:t>
      </w:r>
      <w:r w:rsidR="000A7B0C" w:rsidRPr="00B323C8">
        <w:t>. at p. 386.)  [¶]  This court has followed the same principle:  When faced with conflicting evidence regarding competence, the trial court</w:t>
      </w:r>
      <w:r w:rsidR="00D61F82" w:rsidRPr="00B323C8">
        <w:t>’</w:t>
      </w:r>
      <w:r w:rsidR="000A7B0C" w:rsidRPr="00B323C8">
        <w:t>s role under Penal Code section 1368 is only to decide whether the evidence of incompetence is substantial, not to resolve the conflict.  Resolution must await expert examination and the opportunity for a full evidentiary hearing.</w:t>
      </w:r>
      <w:r w:rsidR="00B85DCF" w:rsidRPr="00B323C8">
        <w:t>”</w:t>
      </w:r>
      <w:r w:rsidR="000A7B0C" w:rsidRPr="00B323C8">
        <w:t xml:space="preserve">  (</w:t>
      </w:r>
      <w:r w:rsidR="00DD3867" w:rsidRPr="00B323C8">
        <w:rPr>
          <w:i/>
        </w:rPr>
        <w:t>Rodas</w:t>
      </w:r>
      <w:r w:rsidR="00DD3867" w:rsidRPr="00B323C8">
        <w:t xml:space="preserve">, </w:t>
      </w:r>
      <w:r w:rsidR="00DD3867" w:rsidRPr="00B323C8">
        <w:rPr>
          <w:i/>
        </w:rPr>
        <w:t>supra</w:t>
      </w:r>
      <w:r w:rsidR="00DD3867" w:rsidRPr="00B323C8">
        <w:t>, 6 Cal.5th at pp. 233–234.)</w:t>
      </w:r>
      <w:r w:rsidR="00CC7132" w:rsidRPr="00B323C8">
        <w:t xml:space="preserve">  </w:t>
      </w:r>
      <w:r w:rsidR="000D192C" w:rsidRPr="00B323C8">
        <w:t xml:space="preserve">In other words, </w:t>
      </w:r>
      <w:r w:rsidR="00B170C1" w:rsidRPr="00B323C8">
        <w:t xml:space="preserve">once </w:t>
      </w:r>
      <w:r w:rsidR="005E1F6D" w:rsidRPr="00B323C8">
        <w:t xml:space="preserve">a </w:t>
      </w:r>
      <w:r w:rsidR="00B170C1" w:rsidRPr="00B323C8">
        <w:t xml:space="preserve"> trial court ha</w:t>
      </w:r>
      <w:r w:rsidR="000D192C" w:rsidRPr="00B323C8">
        <w:t xml:space="preserve">s </w:t>
      </w:r>
      <w:r w:rsidR="009E269A" w:rsidRPr="00B323C8">
        <w:t>before it</w:t>
      </w:r>
      <w:r w:rsidR="006720B7" w:rsidRPr="00B323C8">
        <w:t xml:space="preserve"> </w:t>
      </w:r>
      <w:r w:rsidR="009E269A" w:rsidRPr="00B323C8">
        <w:t>s</w:t>
      </w:r>
      <w:r w:rsidR="00B170C1" w:rsidRPr="00B323C8">
        <w:t xml:space="preserve">ubstantial evidence that </w:t>
      </w:r>
      <w:r w:rsidR="000D192C" w:rsidRPr="00B323C8">
        <w:t xml:space="preserve">a </w:t>
      </w:r>
      <w:r w:rsidR="00B170C1" w:rsidRPr="00B323C8">
        <w:t xml:space="preserve">defendant </w:t>
      </w:r>
      <w:r w:rsidR="000D192C" w:rsidRPr="00B323C8">
        <w:t xml:space="preserve">is </w:t>
      </w:r>
      <w:r w:rsidR="00B170C1" w:rsidRPr="00B323C8">
        <w:t xml:space="preserve">not </w:t>
      </w:r>
      <w:r w:rsidR="00283EC7" w:rsidRPr="00B323C8">
        <w:t xml:space="preserve">mentally </w:t>
      </w:r>
      <w:r w:rsidR="00B170C1" w:rsidRPr="00B323C8">
        <w:t>competent, its own observations of the defendant</w:t>
      </w:r>
      <w:r w:rsidR="00D61F82" w:rsidRPr="00B323C8">
        <w:t>’</w:t>
      </w:r>
      <w:r w:rsidR="00B170C1" w:rsidRPr="00B323C8">
        <w:t xml:space="preserve">s competence cannot take the place of </w:t>
      </w:r>
      <w:r w:rsidR="005F203D" w:rsidRPr="00B323C8">
        <w:t xml:space="preserve">the </w:t>
      </w:r>
      <w:r w:rsidR="00B170C1" w:rsidRPr="00B323C8">
        <w:t xml:space="preserve">formal </w:t>
      </w:r>
      <w:r w:rsidR="00971BF5" w:rsidRPr="00B323C8">
        <w:t>competence inquiry</w:t>
      </w:r>
      <w:r w:rsidR="00ED7A6E" w:rsidRPr="00B323C8">
        <w:t xml:space="preserve"> under sections 1368 and 1369</w:t>
      </w:r>
      <w:r w:rsidR="00B170C1" w:rsidRPr="00B323C8">
        <w:t>.</w:t>
      </w:r>
    </w:p>
    <w:p w14:paraId="3230BB45" w14:textId="0D12AEF8" w:rsidR="00EF0BB9" w:rsidRPr="00B323C8" w:rsidRDefault="00B36249" w:rsidP="00B323C8">
      <w:pPr>
        <w:tabs>
          <w:tab w:val="left" w:pos="1440"/>
        </w:tabs>
        <w:ind w:firstLine="720"/>
      </w:pPr>
      <w:r w:rsidRPr="00B323C8">
        <w:t xml:space="preserve">In </w:t>
      </w:r>
      <w:r w:rsidRPr="00B323C8">
        <w:rPr>
          <w:i/>
        </w:rPr>
        <w:t>People v. Lewis and Oliver</w:t>
      </w:r>
      <w:r w:rsidRPr="00B323C8">
        <w:t xml:space="preserve"> (2006) 39 Cal.4th 970</w:t>
      </w:r>
      <w:r w:rsidR="00721F1C" w:rsidRPr="00B323C8">
        <w:t xml:space="preserve"> (</w:t>
      </w:r>
      <w:r w:rsidR="00721F1C" w:rsidRPr="00B323C8">
        <w:rPr>
          <w:i/>
        </w:rPr>
        <w:t>Lewis and Oliver</w:t>
      </w:r>
      <w:r w:rsidR="00721F1C" w:rsidRPr="00B323C8">
        <w:t>)</w:t>
      </w:r>
      <w:r w:rsidRPr="00B323C8">
        <w:t xml:space="preserve">, we elaborated on what constituted </w:t>
      </w:r>
      <w:r w:rsidR="00AD292D" w:rsidRPr="00B323C8">
        <w:t>“</w:t>
      </w:r>
      <w:r w:rsidRPr="00B323C8">
        <w:t>substantial evidence</w:t>
      </w:r>
      <w:r w:rsidR="00AD292D" w:rsidRPr="00B323C8">
        <w:t>”</w:t>
      </w:r>
      <w:r w:rsidRPr="00B323C8">
        <w:t xml:space="preserve"> in this context:  “Evidence is not substantial enough to mandate a mental competence hearing unless it raises a reasonable doubt on the issue.  [Citation.]  We have said that this standard is satisfied if at least one expert who is competent to render such an opinion, and who has had a sufficient opportunity to conduct an examination, testifies under oath with particularity that, because of mental illness, the accused is incapable of understanding the proceedings or assisting in his </w:t>
      </w:r>
      <w:r w:rsidRPr="00B323C8">
        <w:lastRenderedPageBreak/>
        <w:t>defense.”  (</w:t>
      </w:r>
      <w:r w:rsidR="00721F1C" w:rsidRPr="00B323C8">
        <w:rPr>
          <w:i/>
        </w:rPr>
        <w:t>Id</w:t>
      </w:r>
      <w:r w:rsidR="00721F1C" w:rsidRPr="00B323C8">
        <w:t>. at</w:t>
      </w:r>
      <w:r w:rsidRPr="00B323C8">
        <w:t xml:space="preserve"> p.</w:t>
      </w:r>
      <w:r w:rsidR="00A9494F" w:rsidRPr="00B323C8">
        <w:t xml:space="preserve"> </w:t>
      </w:r>
      <w:r w:rsidR="00E2041B" w:rsidRPr="00B323C8">
        <w:t>1047</w:t>
      </w:r>
      <w:r w:rsidR="00F61929" w:rsidRPr="00B323C8">
        <w:t>.</w:t>
      </w:r>
      <w:r w:rsidR="00EF0BB9" w:rsidRPr="00B323C8">
        <w:t>)</w:t>
      </w:r>
      <w:r w:rsidR="00E175C1" w:rsidRPr="00B323C8">
        <w:t xml:space="preserve">  The word “substantial” does not mean that </w:t>
      </w:r>
      <w:r w:rsidR="00A67901" w:rsidRPr="00B323C8">
        <w:t xml:space="preserve">for a doubt to arise, </w:t>
      </w:r>
      <w:r w:rsidR="00E175C1" w:rsidRPr="00B323C8">
        <w:t xml:space="preserve">there must be a </w:t>
      </w:r>
      <w:r w:rsidR="00B27352" w:rsidRPr="00B323C8">
        <w:t xml:space="preserve">large quantity </w:t>
      </w:r>
      <w:r w:rsidR="00E175C1" w:rsidRPr="00B323C8">
        <w:t>of evidence of a defendant’s incompetence; rather, it means that there must be some evidence of sufficient substan</w:t>
      </w:r>
      <w:r w:rsidR="00B27352" w:rsidRPr="00B323C8">
        <w:t xml:space="preserve">ce </w:t>
      </w:r>
      <w:r w:rsidR="00E175C1" w:rsidRPr="00B323C8">
        <w:t>that it cannot be dismissed as being inherently unpersuasive.</w:t>
      </w:r>
    </w:p>
    <w:p w14:paraId="718A6929" w14:textId="44869D72" w:rsidR="006720B7" w:rsidRPr="00B323C8" w:rsidRDefault="00BB4D98" w:rsidP="00B323C8">
      <w:pPr>
        <w:pStyle w:val="Heading2"/>
      </w:pPr>
      <w:r w:rsidRPr="00B323C8">
        <w:t>C</w:t>
      </w:r>
      <w:r w:rsidR="00BD3297" w:rsidRPr="00B323C8">
        <w:t>. Analysis</w:t>
      </w:r>
    </w:p>
    <w:p w14:paraId="4FC67F2D" w14:textId="5295EBCB" w:rsidR="00E81FFE" w:rsidRPr="00B323C8" w:rsidRDefault="00E81FFE" w:rsidP="00B323C8">
      <w:pPr>
        <w:pStyle w:val="Heading3"/>
      </w:pPr>
      <w:r w:rsidRPr="00B323C8">
        <w:t xml:space="preserve">1. Competence </w:t>
      </w:r>
      <w:proofErr w:type="gramStart"/>
      <w:r w:rsidR="00FE5B0A">
        <w:t>T</w:t>
      </w:r>
      <w:r w:rsidRPr="00B323C8">
        <w:t>o</w:t>
      </w:r>
      <w:proofErr w:type="gramEnd"/>
      <w:r w:rsidRPr="00B323C8">
        <w:t xml:space="preserve"> Stand Trial</w:t>
      </w:r>
    </w:p>
    <w:p w14:paraId="37049F0B" w14:textId="4E7BA067" w:rsidR="00052F7D" w:rsidRPr="00B323C8" w:rsidRDefault="004A4314" w:rsidP="00B323C8">
      <w:pPr>
        <w:tabs>
          <w:tab w:val="left" w:pos="1440"/>
        </w:tabs>
        <w:ind w:firstLine="720"/>
      </w:pPr>
      <w:r w:rsidRPr="00B323C8">
        <w:t>In</w:t>
      </w:r>
      <w:r w:rsidR="00AE1B39" w:rsidRPr="00B323C8">
        <w:t xml:space="preserve"> this case</w:t>
      </w:r>
      <w:r w:rsidRPr="00B323C8">
        <w:t xml:space="preserve">, </w:t>
      </w:r>
      <w:r w:rsidR="009E269A" w:rsidRPr="00B323C8">
        <w:t xml:space="preserve">the </w:t>
      </w:r>
      <w:r w:rsidR="00DA390C" w:rsidRPr="00B323C8">
        <w:t xml:space="preserve">trial </w:t>
      </w:r>
      <w:r w:rsidR="009E269A" w:rsidRPr="00B323C8">
        <w:t xml:space="preserve">court had before it a defendant who was manifestly aware of what was going on </w:t>
      </w:r>
      <w:r w:rsidR="0093317F" w:rsidRPr="00B323C8">
        <w:t xml:space="preserve">in the courtroom </w:t>
      </w:r>
      <w:r w:rsidR="009E269A" w:rsidRPr="00B323C8">
        <w:t xml:space="preserve">and who </w:t>
      </w:r>
      <w:r w:rsidR="00AE1B39" w:rsidRPr="00B323C8">
        <w:t>had demonstrated his a</w:t>
      </w:r>
      <w:r w:rsidR="009E269A" w:rsidRPr="00B323C8">
        <w:t>b</w:t>
      </w:r>
      <w:r w:rsidR="00AE1B39" w:rsidRPr="00B323C8">
        <w:t xml:space="preserve">ility to </w:t>
      </w:r>
      <w:r w:rsidR="00F52765" w:rsidRPr="00B323C8">
        <w:t xml:space="preserve">understand </w:t>
      </w:r>
      <w:r w:rsidR="0093317F" w:rsidRPr="00B323C8">
        <w:t xml:space="preserve">the proceeding </w:t>
      </w:r>
      <w:r w:rsidR="00F55CE8" w:rsidRPr="00B323C8">
        <w:t>with a high degree of sophistication</w:t>
      </w:r>
      <w:r w:rsidR="009E269A" w:rsidRPr="00B323C8">
        <w:t>.</w:t>
      </w:r>
      <w:r w:rsidR="00517921" w:rsidRPr="00B323C8">
        <w:t xml:space="preserve">  </w:t>
      </w:r>
      <w:r w:rsidR="00E13215" w:rsidRPr="00B323C8">
        <w:t>D</w:t>
      </w:r>
      <w:r w:rsidR="00A562C6" w:rsidRPr="00B323C8">
        <w:t>efendant</w:t>
      </w:r>
      <w:r w:rsidR="00E13215" w:rsidRPr="00B323C8">
        <w:t xml:space="preserve"> told Dr. Good that h</w:t>
      </w:r>
      <w:r w:rsidR="00A619EE" w:rsidRPr="00B323C8">
        <w:t xml:space="preserve">e </w:t>
      </w:r>
      <w:r w:rsidR="00A562C6" w:rsidRPr="00B323C8">
        <w:t xml:space="preserve">believed the evidence of guilt was overwhelming and </w:t>
      </w:r>
      <w:r w:rsidR="00194245" w:rsidRPr="00B323C8">
        <w:t xml:space="preserve">that </w:t>
      </w:r>
      <w:r w:rsidR="00A562C6" w:rsidRPr="00B323C8">
        <w:t>it was unlikely he would be acquitted.  That assessment was</w:t>
      </w:r>
      <w:r w:rsidR="00203DE8" w:rsidRPr="00B323C8">
        <w:t xml:space="preserve"> </w:t>
      </w:r>
      <w:r w:rsidR="008863B8" w:rsidRPr="00B323C8">
        <w:t>more than plausible</w:t>
      </w:r>
      <w:r w:rsidR="00A562C6" w:rsidRPr="00B323C8">
        <w:t>, especially considering Paul</w:t>
      </w:r>
      <w:r w:rsidR="00D61F82" w:rsidRPr="00B323C8">
        <w:t>’</w:t>
      </w:r>
      <w:r w:rsidR="00A562C6" w:rsidRPr="00B323C8">
        <w:t>s dying declaration implicating defendant</w:t>
      </w:r>
      <w:r w:rsidR="008E2D8C" w:rsidRPr="00B323C8">
        <w:t xml:space="preserve"> a</w:t>
      </w:r>
      <w:r w:rsidR="00A562C6" w:rsidRPr="00B323C8">
        <w:t>nd</w:t>
      </w:r>
      <w:r w:rsidR="00A66A0E" w:rsidRPr="00B323C8">
        <w:t xml:space="preserve"> d</w:t>
      </w:r>
      <w:r w:rsidR="00A562C6" w:rsidRPr="00B323C8">
        <w:t>efendant</w:t>
      </w:r>
      <w:r w:rsidR="00D61F82" w:rsidRPr="00B323C8">
        <w:t>’</w:t>
      </w:r>
      <w:r w:rsidR="00A562C6" w:rsidRPr="00B323C8">
        <w:t xml:space="preserve">s </w:t>
      </w:r>
      <w:proofErr w:type="gramStart"/>
      <w:r w:rsidR="00A562C6" w:rsidRPr="00B323C8">
        <w:t>very detailed</w:t>
      </w:r>
      <w:proofErr w:type="gramEnd"/>
      <w:r w:rsidR="00A562C6" w:rsidRPr="00B323C8">
        <w:t xml:space="preserve"> confession to police just one day after the murders</w:t>
      </w:r>
      <w:r w:rsidR="00A81F98" w:rsidRPr="00B323C8">
        <w:t>, a confession that admitted premeditation and deliberation</w:t>
      </w:r>
      <w:r w:rsidR="00A562C6" w:rsidRPr="00B323C8">
        <w:t xml:space="preserve">.  </w:t>
      </w:r>
      <w:r w:rsidR="00A66A0E" w:rsidRPr="00B323C8">
        <w:t>The chances of an acquittal were negligible.</w:t>
      </w:r>
      <w:r w:rsidR="00A03230" w:rsidRPr="00B323C8">
        <w:t xml:space="preserve">  </w:t>
      </w:r>
      <w:r w:rsidR="00A562C6" w:rsidRPr="00B323C8">
        <w:t>Defendant</w:t>
      </w:r>
      <w:r w:rsidR="00A66A0E" w:rsidRPr="00B323C8">
        <w:t xml:space="preserve"> also </w:t>
      </w:r>
      <w:r w:rsidR="00A562C6" w:rsidRPr="00B323C8">
        <w:t xml:space="preserve">believed </w:t>
      </w:r>
      <w:r w:rsidR="00A66A0E" w:rsidRPr="00B323C8">
        <w:t xml:space="preserve">that </w:t>
      </w:r>
      <w:r w:rsidR="00A562C6" w:rsidRPr="00B323C8">
        <w:t xml:space="preserve">an insanity defense would </w:t>
      </w:r>
      <w:r w:rsidR="00A66A0E" w:rsidRPr="00B323C8">
        <w:t xml:space="preserve">prove </w:t>
      </w:r>
      <w:r w:rsidR="00A562C6" w:rsidRPr="00B323C8">
        <w:t>unsuccessful</w:t>
      </w:r>
      <w:r w:rsidR="00E565F3" w:rsidRPr="00B323C8">
        <w:t xml:space="preserve">, and </w:t>
      </w:r>
      <w:r w:rsidR="00DD399C" w:rsidRPr="00B323C8">
        <w:t>he was able to articulate his reason</w:t>
      </w:r>
      <w:r w:rsidR="00517921" w:rsidRPr="00B323C8">
        <w:t xml:space="preserve">s for that conclusion.  And </w:t>
      </w:r>
      <w:r w:rsidR="00A562C6" w:rsidRPr="00B323C8">
        <w:t xml:space="preserve">defendant </w:t>
      </w:r>
      <w:r w:rsidR="00340865" w:rsidRPr="00B323C8">
        <w:t xml:space="preserve">gave </w:t>
      </w:r>
      <w:r w:rsidR="00501195" w:rsidRPr="00B323C8">
        <w:t xml:space="preserve">Dr. Good a rational reason for </w:t>
      </w:r>
      <w:r w:rsidR="00340865" w:rsidRPr="00B323C8">
        <w:t>why he did not fear a sentence of death</w:t>
      </w:r>
      <w:r w:rsidR="00517921" w:rsidRPr="00B323C8">
        <w:t xml:space="preserve">, asserting his view that </w:t>
      </w:r>
      <w:r w:rsidR="00501195" w:rsidRPr="00B323C8">
        <w:t>t</w:t>
      </w:r>
      <w:r w:rsidR="00A562C6" w:rsidRPr="00B323C8">
        <w:t xml:space="preserve">he death penalty was not likely to be </w:t>
      </w:r>
      <w:r w:rsidR="007935B9" w:rsidRPr="00B323C8">
        <w:t>carried out</w:t>
      </w:r>
      <w:r w:rsidR="006201C8" w:rsidRPr="00B323C8">
        <w:t>.</w:t>
      </w:r>
      <w:r w:rsidR="00ED66A7" w:rsidRPr="00B323C8">
        <w:t xml:space="preserve">  </w:t>
      </w:r>
      <w:r w:rsidR="00C71C9A" w:rsidRPr="00B323C8">
        <w:t>Thus, v</w:t>
      </w:r>
      <w:r w:rsidR="00517921" w:rsidRPr="00B323C8">
        <w:t>iewing the record from the trial court</w:t>
      </w:r>
      <w:r w:rsidR="00D61F82" w:rsidRPr="00B323C8">
        <w:t>’</w:t>
      </w:r>
      <w:r w:rsidR="00517921" w:rsidRPr="00B323C8">
        <w:t>s perspective, the matter of defendant</w:t>
      </w:r>
      <w:r w:rsidR="00D61F82" w:rsidRPr="00B323C8">
        <w:t>’</w:t>
      </w:r>
      <w:r w:rsidR="00517921" w:rsidRPr="00B323C8">
        <w:t xml:space="preserve">s incompetence to stand trial was less than clear.  On the one hand, </w:t>
      </w:r>
      <w:r w:rsidR="00A075F3" w:rsidRPr="00B323C8">
        <w:t>defendant</w:t>
      </w:r>
      <w:r w:rsidR="00517921" w:rsidRPr="00B323C8">
        <w:t xml:space="preserve"> presented </w:t>
      </w:r>
      <w:r w:rsidR="00A075F3" w:rsidRPr="00B323C8">
        <w:t xml:space="preserve">as a person who very much understood what was happening around him and who had a relatively </w:t>
      </w:r>
      <w:r w:rsidR="00AA2B55" w:rsidRPr="00B323C8">
        <w:t xml:space="preserve">sophisticated </w:t>
      </w:r>
      <w:r w:rsidR="002651D0" w:rsidRPr="00B323C8">
        <w:t>a</w:t>
      </w:r>
      <w:r w:rsidR="00A075F3" w:rsidRPr="00B323C8">
        <w:t>bility to navigate the criminal justice system</w:t>
      </w:r>
      <w:r w:rsidR="00052F7D" w:rsidRPr="00B323C8">
        <w:t>.  O</w:t>
      </w:r>
      <w:r w:rsidR="00A075F3" w:rsidRPr="00B323C8">
        <w:t>n the other hand, the</w:t>
      </w:r>
      <w:r w:rsidR="00052F7D" w:rsidRPr="00B323C8">
        <w:t xml:space="preserve">re was the </w:t>
      </w:r>
      <w:r w:rsidR="00A075F3" w:rsidRPr="00B323C8">
        <w:t xml:space="preserve">uncontradicted </w:t>
      </w:r>
      <w:r w:rsidR="00052F7D" w:rsidRPr="00B323C8">
        <w:t xml:space="preserve">opinion </w:t>
      </w:r>
      <w:r w:rsidR="00A075F3" w:rsidRPr="00B323C8">
        <w:t xml:space="preserve">of an experienced mental health </w:t>
      </w:r>
      <w:r w:rsidR="00D124FF" w:rsidRPr="00B323C8">
        <w:t xml:space="preserve">professional </w:t>
      </w:r>
      <w:r w:rsidR="00A075F3" w:rsidRPr="00B323C8">
        <w:t xml:space="preserve">who had </w:t>
      </w:r>
      <w:r w:rsidR="00A075F3" w:rsidRPr="00B323C8">
        <w:lastRenderedPageBreak/>
        <w:t xml:space="preserve">examined defendant </w:t>
      </w:r>
      <w:r w:rsidR="00AE781A" w:rsidRPr="00B323C8">
        <w:t>on three occasions</w:t>
      </w:r>
      <w:r w:rsidR="00052F7D" w:rsidRPr="00B323C8">
        <w:t xml:space="preserve"> </w:t>
      </w:r>
      <w:r w:rsidR="00A075F3" w:rsidRPr="00B323C8">
        <w:t xml:space="preserve">and concluded that defendant was </w:t>
      </w:r>
      <w:r w:rsidR="00A344C5" w:rsidRPr="00B323C8">
        <w:rPr>
          <w:i/>
          <w:iCs/>
        </w:rPr>
        <w:t>not</w:t>
      </w:r>
      <w:r w:rsidR="00A344C5" w:rsidRPr="00B323C8">
        <w:t xml:space="preserve"> </w:t>
      </w:r>
      <w:r w:rsidR="00A075F3" w:rsidRPr="00B323C8">
        <w:t>competent</w:t>
      </w:r>
      <w:r w:rsidR="00AA2B55" w:rsidRPr="00B323C8">
        <w:t xml:space="preserve"> </w:t>
      </w:r>
      <w:r w:rsidR="00C71C9A" w:rsidRPr="00B323C8">
        <w:t xml:space="preserve">to stand trial, </w:t>
      </w:r>
      <w:r w:rsidR="00AA2B55" w:rsidRPr="00B323C8">
        <w:t xml:space="preserve">because his mental illness prevented him from </w:t>
      </w:r>
      <w:r w:rsidR="00CF148F" w:rsidRPr="00B323C8">
        <w:t>consulting with counsel with a reasonable degree of rational understanding.</w:t>
      </w:r>
    </w:p>
    <w:p w14:paraId="3BE05024" w14:textId="77E7F071" w:rsidR="001D3C1E" w:rsidRPr="00B323C8" w:rsidRDefault="006C045C" w:rsidP="00B323C8">
      <w:pPr>
        <w:tabs>
          <w:tab w:val="left" w:pos="1440"/>
        </w:tabs>
        <w:ind w:firstLine="720"/>
      </w:pPr>
      <w:r w:rsidRPr="00B323C8">
        <w:t xml:space="preserve">But </w:t>
      </w:r>
      <w:r w:rsidR="006F46F6" w:rsidRPr="00B323C8">
        <w:t>th</w:t>
      </w:r>
      <w:r w:rsidR="00E12CD3" w:rsidRPr="00B323C8">
        <w:t>e</w:t>
      </w:r>
      <w:r w:rsidR="006F46F6" w:rsidRPr="00B323C8">
        <w:t xml:space="preserve"> difficulty </w:t>
      </w:r>
      <w:r w:rsidR="00E12CD3" w:rsidRPr="00B323C8">
        <w:t xml:space="preserve">presented here </w:t>
      </w:r>
      <w:r w:rsidR="006F46F6" w:rsidRPr="00B323C8">
        <w:t xml:space="preserve">is </w:t>
      </w:r>
      <w:r w:rsidR="00A344C5" w:rsidRPr="00B323C8">
        <w:t xml:space="preserve">also </w:t>
      </w:r>
      <w:r w:rsidR="001310B3" w:rsidRPr="00B323C8">
        <w:t xml:space="preserve">directly </w:t>
      </w:r>
      <w:r w:rsidR="000B2DC4" w:rsidRPr="00B323C8">
        <w:t xml:space="preserve">addressed by our </w:t>
      </w:r>
      <w:r w:rsidR="006F46F6" w:rsidRPr="00B323C8">
        <w:t xml:space="preserve">precedents.  </w:t>
      </w:r>
      <w:r w:rsidR="00C71C9A" w:rsidRPr="00B323C8">
        <w:t>O</w:t>
      </w:r>
      <w:r w:rsidR="006F46F6" w:rsidRPr="00B323C8">
        <w:t>nce “</w:t>
      </w:r>
      <w:r w:rsidR="00711026" w:rsidRPr="00B323C8">
        <w:t>substantial evidence</w:t>
      </w:r>
      <w:r w:rsidR="006F46F6" w:rsidRPr="00B323C8">
        <w:t xml:space="preserve">” of mental </w:t>
      </w:r>
      <w:r w:rsidR="002501C4" w:rsidRPr="00B323C8">
        <w:t>incompetence</w:t>
      </w:r>
      <w:r w:rsidR="006F46F6" w:rsidRPr="00B323C8">
        <w:t xml:space="preserve"> appears, “</w:t>
      </w:r>
      <w:r w:rsidR="00711026" w:rsidRPr="00B323C8">
        <w:t>a doubt as to the sanity of the accused exists, no matter how persuasive other evidence</w:t>
      </w:r>
      <w:r w:rsidR="00385390" w:rsidRPr="00B323C8">
        <w:t> </w:t>
      </w:r>
      <w:r w:rsidR="00711026" w:rsidRPr="00B323C8">
        <w:t>—</w:t>
      </w:r>
      <w:r w:rsidR="00385390" w:rsidRPr="00B323C8">
        <w:t xml:space="preserve"> </w:t>
      </w:r>
      <w:r w:rsidR="00711026" w:rsidRPr="00B323C8">
        <w:t>testimony of prosecution witnesses or the court</w:t>
      </w:r>
      <w:r w:rsidR="00D61F82" w:rsidRPr="00B323C8">
        <w:t>’</w:t>
      </w:r>
      <w:r w:rsidR="00711026" w:rsidRPr="00B323C8">
        <w:t>s own observations of the accused</w:t>
      </w:r>
      <w:r w:rsidR="00385390" w:rsidRPr="00B323C8">
        <w:t> </w:t>
      </w:r>
      <w:r w:rsidR="00711026" w:rsidRPr="00B323C8">
        <w:t>—</w:t>
      </w:r>
      <w:r w:rsidR="00385390" w:rsidRPr="00B323C8">
        <w:t xml:space="preserve"> </w:t>
      </w:r>
      <w:r w:rsidR="00711026" w:rsidRPr="00B323C8">
        <w:t>may be to the contrary.</w:t>
      </w:r>
      <w:r w:rsidR="002501C4" w:rsidRPr="00B323C8">
        <w:t>”</w:t>
      </w:r>
      <w:r w:rsidR="00711026" w:rsidRPr="00B323C8">
        <w:t xml:space="preserve">  (</w:t>
      </w:r>
      <w:r w:rsidR="002501C4" w:rsidRPr="00B323C8">
        <w:rPr>
          <w:i/>
        </w:rPr>
        <w:t>Pennington</w:t>
      </w:r>
      <w:r w:rsidR="002501C4" w:rsidRPr="00B323C8">
        <w:t xml:space="preserve">, </w:t>
      </w:r>
      <w:r w:rsidR="00B66B0E" w:rsidRPr="00B323C8">
        <w:rPr>
          <w:i/>
          <w:iCs/>
        </w:rPr>
        <w:t>supra</w:t>
      </w:r>
      <w:r w:rsidR="00B66B0E" w:rsidRPr="00B323C8">
        <w:t xml:space="preserve">, 66 Cal.2d </w:t>
      </w:r>
      <w:r w:rsidR="00711026" w:rsidRPr="00B323C8">
        <w:t>at p. 518</w:t>
      </w:r>
      <w:r w:rsidR="002501C4" w:rsidRPr="00B323C8">
        <w:t xml:space="preserve">; see </w:t>
      </w:r>
      <w:r w:rsidR="002501C4" w:rsidRPr="00B323C8">
        <w:rPr>
          <w:i/>
          <w:iCs/>
        </w:rPr>
        <w:t>Rodas</w:t>
      </w:r>
      <w:r w:rsidR="002501C4" w:rsidRPr="00B323C8">
        <w:t xml:space="preserve">, </w:t>
      </w:r>
      <w:r w:rsidR="002501C4" w:rsidRPr="00B323C8">
        <w:rPr>
          <w:i/>
          <w:iCs/>
        </w:rPr>
        <w:t>supra</w:t>
      </w:r>
      <w:r w:rsidR="002501C4" w:rsidRPr="00B323C8">
        <w:t>, 6 Cal.5th at p. 231</w:t>
      </w:r>
      <w:r w:rsidR="000B2DC4" w:rsidRPr="00B323C8">
        <w:t xml:space="preserve"> [quoting this statement from </w:t>
      </w:r>
      <w:r w:rsidR="000B2DC4" w:rsidRPr="00B323C8">
        <w:rPr>
          <w:i/>
          <w:iCs/>
        </w:rPr>
        <w:t>Pennington</w:t>
      </w:r>
      <w:r w:rsidR="000B2DC4" w:rsidRPr="00B323C8">
        <w:t>]</w:t>
      </w:r>
      <w:r w:rsidR="00711026" w:rsidRPr="00B323C8">
        <w:t>.)</w:t>
      </w:r>
      <w:r w:rsidR="00C71C9A" w:rsidRPr="00B323C8">
        <w:t xml:space="preserve">  Moreover, we have repeatedly reaffirmed that a finding of incompetence to stand trial can be based solely on a defendant</w:t>
      </w:r>
      <w:r w:rsidR="00D61F82" w:rsidRPr="00B323C8">
        <w:t>’</w:t>
      </w:r>
      <w:r w:rsidR="00C71C9A" w:rsidRPr="00B323C8">
        <w:t>s “incapab[ility] of . . . cooperating with counsel.”  (</w:t>
      </w:r>
      <w:r w:rsidR="00C71C9A" w:rsidRPr="00B323C8">
        <w:rPr>
          <w:i/>
          <w:iCs/>
        </w:rPr>
        <w:t>Pennington</w:t>
      </w:r>
      <w:r w:rsidR="00C71C9A" w:rsidRPr="00B323C8">
        <w:t xml:space="preserve">, at p. 519; see </w:t>
      </w:r>
      <w:r w:rsidR="00C71C9A" w:rsidRPr="00B323C8">
        <w:rPr>
          <w:i/>
          <w:iCs/>
        </w:rPr>
        <w:t>People v. Ghobrial</w:t>
      </w:r>
      <w:r w:rsidR="00C71C9A" w:rsidRPr="00B323C8">
        <w:t xml:space="preserve"> (2018) 5 Cal.5th 250, 270 [quoting this statement from </w:t>
      </w:r>
      <w:r w:rsidR="00C71C9A" w:rsidRPr="00B323C8">
        <w:rPr>
          <w:i/>
          <w:iCs/>
        </w:rPr>
        <w:t>Pennington</w:t>
      </w:r>
      <w:r w:rsidR="00C71C9A" w:rsidRPr="00B323C8">
        <w:t xml:space="preserve">]; </w:t>
      </w:r>
      <w:r w:rsidR="00C71C9A" w:rsidRPr="00B323C8">
        <w:rPr>
          <w:i/>
          <w:iCs/>
        </w:rPr>
        <w:t>People v. Sattiewhite</w:t>
      </w:r>
      <w:r w:rsidR="00C71C9A" w:rsidRPr="00B323C8">
        <w:t xml:space="preserve"> (2014) 59 Cal.4th 446, 465 (</w:t>
      </w:r>
      <w:r w:rsidR="00C71C9A" w:rsidRPr="00B323C8">
        <w:rPr>
          <w:i/>
          <w:iCs/>
        </w:rPr>
        <w:t>Sattiewhite</w:t>
      </w:r>
      <w:r w:rsidR="00C71C9A" w:rsidRPr="00B323C8">
        <w:t>)</w:t>
      </w:r>
      <w:r w:rsidR="003931BB">
        <w:t xml:space="preserve"> [same]</w:t>
      </w:r>
      <w:r w:rsidR="00C71C9A" w:rsidRPr="00B323C8">
        <w:t xml:space="preserve">; </w:t>
      </w:r>
      <w:r w:rsidR="00C71C9A" w:rsidRPr="00B323C8">
        <w:rPr>
          <w:i/>
          <w:iCs/>
        </w:rPr>
        <w:t>People v. Lewis</w:t>
      </w:r>
      <w:r w:rsidR="00C71C9A" w:rsidRPr="00B323C8">
        <w:t xml:space="preserve"> (2008) 43 Cal.4th 415, 525 [same].)  </w:t>
      </w:r>
      <w:r w:rsidR="000B4B20" w:rsidRPr="00B323C8">
        <w:t>On the record before us, we find a</w:t>
      </w:r>
      <w:r w:rsidR="00CF148F" w:rsidRPr="00B323C8">
        <w:t>s a matter of law</w:t>
      </w:r>
      <w:r w:rsidR="00527587" w:rsidRPr="00B323C8">
        <w:t xml:space="preserve"> that</w:t>
      </w:r>
      <w:r w:rsidR="00B15CD9" w:rsidRPr="00B323C8">
        <w:t xml:space="preserve"> </w:t>
      </w:r>
      <w:r w:rsidR="00BE50DE" w:rsidRPr="00B323C8">
        <w:t>Dr. Good</w:t>
      </w:r>
      <w:r w:rsidR="00D61F82" w:rsidRPr="00B323C8">
        <w:t>’</w:t>
      </w:r>
      <w:r w:rsidR="00BE50DE" w:rsidRPr="00B323C8">
        <w:t xml:space="preserve">s report </w:t>
      </w:r>
      <w:r w:rsidR="006F46F6" w:rsidRPr="00B323C8">
        <w:t>constituted</w:t>
      </w:r>
      <w:r w:rsidR="00B15CD9" w:rsidRPr="00B323C8">
        <w:t xml:space="preserve"> </w:t>
      </w:r>
      <w:r w:rsidR="00BE50DE" w:rsidRPr="00B323C8">
        <w:t>substantial evidence</w:t>
      </w:r>
      <w:r w:rsidR="00B15CD9" w:rsidRPr="00B323C8">
        <w:t xml:space="preserve"> </w:t>
      </w:r>
      <w:r w:rsidR="00CF148F" w:rsidRPr="00B323C8">
        <w:t>of such incapability.</w:t>
      </w:r>
      <w:r w:rsidR="008B626E" w:rsidRPr="00B323C8">
        <w:t xml:space="preserve">  </w:t>
      </w:r>
      <w:r w:rsidR="00C56AC4" w:rsidRPr="00B323C8">
        <w:t>(</w:t>
      </w:r>
      <w:r w:rsidR="008B626E" w:rsidRPr="00B323C8">
        <w:t xml:space="preserve">See </w:t>
      </w:r>
      <w:r w:rsidR="00C56AC4" w:rsidRPr="00B323C8">
        <w:rPr>
          <w:i/>
          <w:iCs/>
        </w:rPr>
        <w:t>People v. Mai</w:t>
      </w:r>
      <w:r w:rsidR="00C56AC4" w:rsidRPr="00B323C8">
        <w:t xml:space="preserve"> (2013) 57 Cal.4th 986, 1033</w:t>
      </w:r>
      <w:r w:rsidR="008B626E" w:rsidRPr="00B323C8">
        <w:t xml:space="preserve"> [requiring an appellate court to defer to a trial court’s competency determination unless the evidence of incompetence is substantial “as a matter of law”]</w:t>
      </w:r>
      <w:r w:rsidR="00C56AC4" w:rsidRPr="00B323C8">
        <w:t>.)</w:t>
      </w:r>
      <w:r w:rsidR="008B626E" w:rsidRPr="00B323C8">
        <w:t xml:space="preserve">  </w:t>
      </w:r>
      <w:r w:rsidR="00E5113B" w:rsidRPr="00B323C8">
        <w:t>Indeed, Dr. Good</w:t>
      </w:r>
      <w:r w:rsidR="00D61F82" w:rsidRPr="00B323C8">
        <w:t>’</w:t>
      </w:r>
      <w:r w:rsidR="00AB1FAF" w:rsidRPr="00B323C8">
        <w:t xml:space="preserve">s report </w:t>
      </w:r>
      <w:r w:rsidR="006E78D2" w:rsidRPr="00B323C8">
        <w:t xml:space="preserve">related defendant’s paranoid belief that his attorneys “were locking [him] away so that no one would discover [he] was really sane,” and the report </w:t>
      </w:r>
      <w:r w:rsidR="00AB1FAF" w:rsidRPr="00B323C8">
        <w:t>included th</w:t>
      </w:r>
      <w:r w:rsidR="00C71C9A" w:rsidRPr="00B323C8">
        <w:t xml:space="preserve">e following </w:t>
      </w:r>
      <w:r w:rsidR="00AB1FAF" w:rsidRPr="00B323C8">
        <w:t>passage in bold typeface:  “[Defendant</w:t>
      </w:r>
      <w:r w:rsidR="00D61F82" w:rsidRPr="00B323C8">
        <w:t>’</w:t>
      </w:r>
      <w:r w:rsidR="00AB1FAF" w:rsidRPr="00B323C8">
        <w:t xml:space="preserve">s] failure to appreciate the logic and wisdom of his attorneys is a function of his paranoid mental disorder.  As a result of his hypercritical and suspicious stance towards his attorneys, </w:t>
      </w:r>
      <w:r w:rsidR="005459DE" w:rsidRPr="00B323C8">
        <w:t>[defendant]</w:t>
      </w:r>
      <w:r w:rsidR="00AB1FAF" w:rsidRPr="00B323C8">
        <w:t xml:space="preserve"> has not shown the </w:t>
      </w:r>
      <w:r w:rsidR="00D61F82" w:rsidRPr="00B323C8">
        <w:t>‘</w:t>
      </w:r>
      <w:r w:rsidR="00AB1FAF" w:rsidRPr="00B323C8">
        <w:t xml:space="preserve">present </w:t>
      </w:r>
      <w:r w:rsidR="00AB1FAF" w:rsidRPr="00B323C8">
        <w:lastRenderedPageBreak/>
        <w:t>ability to consult with his lawyer[s].</w:t>
      </w:r>
      <w:r w:rsidR="00D61F82" w:rsidRPr="00B323C8">
        <w:t>’</w:t>
      </w:r>
      <w:r w:rsidR="009B6AC7" w:rsidRPr="00B323C8">
        <w:t xml:space="preserve">  Each of his past attorneys has failed [defendant</w:t>
      </w:r>
      <w:r w:rsidR="00D61F82" w:rsidRPr="00B323C8">
        <w:t>’</w:t>
      </w:r>
      <w:r w:rsidR="009B6AC7" w:rsidRPr="00B323C8">
        <w:t>s] tests of competency and loyalty, and he is likely to find fault with every new attorney that may be appointed.  Self-importance and prideful independence lead [defendant] to believe that only he can represent himself.  Because of his grandiosity</w:t>
      </w:r>
      <w:r w:rsidR="00AB1FAF" w:rsidRPr="00B323C8">
        <w:t xml:space="preserve">, </w:t>
      </w:r>
      <w:r w:rsidR="005459DE" w:rsidRPr="00B323C8">
        <w:t xml:space="preserve">[defendant] </w:t>
      </w:r>
      <w:r w:rsidR="00AB1FAF" w:rsidRPr="00B323C8">
        <w:t xml:space="preserve">is not able to rationally consider </w:t>
      </w:r>
      <w:r w:rsidR="00D61F82" w:rsidRPr="00B323C8">
        <w:t>‘</w:t>
      </w:r>
      <w:r w:rsidR="00AB1FAF" w:rsidRPr="00B323C8">
        <w:t>telling his story</w:t>
      </w:r>
      <w:r w:rsidR="00D61F82" w:rsidRPr="00B323C8">
        <w:t>’</w:t>
      </w:r>
      <w:r w:rsidR="00AB1FAF" w:rsidRPr="00B323C8">
        <w:t xml:space="preserve"> with the assistance of an attorney.  On this ground, I find him incompetent to stand trial.”  </w:t>
      </w:r>
      <w:r w:rsidR="006E78D2" w:rsidRPr="00B323C8">
        <w:t>Th</w:t>
      </w:r>
      <w:r w:rsidR="00B66B0E" w:rsidRPr="00B323C8">
        <w:t>at</w:t>
      </w:r>
      <w:r w:rsidR="006E78D2" w:rsidRPr="00B323C8">
        <w:t xml:space="preserve"> conclusion</w:t>
      </w:r>
      <w:r w:rsidR="00B66B0E" w:rsidRPr="00B323C8">
        <w:t>,</w:t>
      </w:r>
      <w:r w:rsidR="006E78D2" w:rsidRPr="00B323C8">
        <w:t xml:space="preserve"> combined with the psychological testing and background findings that supported it</w:t>
      </w:r>
      <w:r w:rsidR="00B66B0E" w:rsidRPr="00B323C8">
        <w:t>,</w:t>
      </w:r>
      <w:r w:rsidR="006E78D2" w:rsidRPr="00B323C8">
        <w:t xml:space="preserve"> constituted substantial evidence as a matter of law.  Therefore, o</w:t>
      </w:r>
      <w:r w:rsidR="004F3F93" w:rsidRPr="00B323C8">
        <w:t xml:space="preserve">nce the trial court received </w:t>
      </w:r>
      <w:r w:rsidR="006E78D2" w:rsidRPr="00B323C8">
        <w:t xml:space="preserve">and read </w:t>
      </w:r>
      <w:r w:rsidR="004F3F93" w:rsidRPr="00B323C8">
        <w:t>Dr. Good</w:t>
      </w:r>
      <w:r w:rsidR="00D61F82" w:rsidRPr="00B323C8">
        <w:t>’</w:t>
      </w:r>
      <w:r w:rsidR="004F3F93" w:rsidRPr="00B323C8">
        <w:t>s report,</w:t>
      </w:r>
      <w:r w:rsidR="001D3C1E" w:rsidRPr="00B323C8">
        <w:t xml:space="preserve"> </w:t>
      </w:r>
      <w:r w:rsidR="00B15CD9" w:rsidRPr="00B323C8">
        <w:t>the procedure</w:t>
      </w:r>
      <w:r w:rsidR="001310B3" w:rsidRPr="00B323C8">
        <w:t>s</w:t>
      </w:r>
      <w:r w:rsidR="00B15CD9" w:rsidRPr="00B323C8">
        <w:t xml:space="preserve"> set forth in section</w:t>
      </w:r>
      <w:r w:rsidR="009232D4">
        <w:t>s</w:t>
      </w:r>
      <w:r w:rsidR="00B15CD9" w:rsidRPr="00B323C8">
        <w:t xml:space="preserve"> 1368 </w:t>
      </w:r>
      <w:r w:rsidR="009232D4">
        <w:t xml:space="preserve">and 1369 </w:t>
      </w:r>
      <w:r w:rsidR="00B15CD9" w:rsidRPr="00B323C8">
        <w:t>came into play.</w:t>
      </w:r>
      <w:r w:rsidR="00B66B0E" w:rsidRPr="00B323C8">
        <w:t xml:space="preserve">  (</w:t>
      </w:r>
      <w:r w:rsidR="00B66B0E" w:rsidRPr="00B323C8">
        <w:rPr>
          <w:i/>
        </w:rPr>
        <w:t>Pennington</w:t>
      </w:r>
      <w:r w:rsidR="00B66B0E" w:rsidRPr="00B323C8">
        <w:t xml:space="preserve">, </w:t>
      </w:r>
      <w:r w:rsidR="00B66B0E" w:rsidRPr="00B323C8">
        <w:rPr>
          <w:i/>
          <w:iCs/>
        </w:rPr>
        <w:t>supra</w:t>
      </w:r>
      <w:r w:rsidR="00B66B0E" w:rsidRPr="00B323C8">
        <w:t>, 66 Cal.2d at p. 518.)</w:t>
      </w:r>
    </w:p>
    <w:p w14:paraId="732FE9C3" w14:textId="73D99376" w:rsidR="007658CD" w:rsidRPr="00B323C8" w:rsidRDefault="00B15CD9" w:rsidP="00B323C8">
      <w:pPr>
        <w:tabs>
          <w:tab w:val="left" w:pos="1440"/>
        </w:tabs>
        <w:ind w:firstLine="720"/>
      </w:pPr>
      <w:r w:rsidRPr="00B323C8">
        <w:t xml:space="preserve">Section 1368, subdivision (a) provides that when a doubt </w:t>
      </w:r>
      <w:r w:rsidR="001310B3" w:rsidRPr="00B323C8">
        <w:t>as to a defendant</w:t>
      </w:r>
      <w:r w:rsidR="00D61F82" w:rsidRPr="00B323C8">
        <w:t>’</w:t>
      </w:r>
      <w:r w:rsidR="001310B3" w:rsidRPr="00B323C8">
        <w:t>s mental competence</w:t>
      </w:r>
      <w:r w:rsidR="00381B3E" w:rsidRPr="00B323C8">
        <w:t xml:space="preserve"> </w:t>
      </w:r>
      <w:r w:rsidRPr="00B323C8">
        <w:t>arises, the trial court shall “inquire of the attorney for the defendant whether, in the opinion of the attorney, the defendant is mentally competent.”  In some cases, defense counsel might not agree that the defendant is mentally incompetent</w:t>
      </w:r>
      <w:r w:rsidR="00CD099A" w:rsidRPr="00B323C8">
        <w:t>; h</w:t>
      </w:r>
      <w:r w:rsidRPr="00B323C8">
        <w:t xml:space="preserve">ere, </w:t>
      </w:r>
      <w:r w:rsidR="00FE4A1E" w:rsidRPr="00B323C8">
        <w:t xml:space="preserve">however, </w:t>
      </w:r>
      <w:r w:rsidR="00812B36" w:rsidRPr="00B323C8">
        <w:t xml:space="preserve">the court </w:t>
      </w:r>
      <w:r w:rsidRPr="00B323C8">
        <w:t>did not make the inquiry</w:t>
      </w:r>
      <w:r w:rsidR="00944AB0" w:rsidRPr="00B323C8">
        <w:t>.</w:t>
      </w:r>
      <w:r w:rsidR="003B6C6E" w:rsidRPr="00B323C8">
        <w:t xml:space="preserve"> </w:t>
      </w:r>
      <w:r w:rsidRPr="00B323C8">
        <w:t xml:space="preserve"> </w:t>
      </w:r>
      <w:r w:rsidR="00193BCE" w:rsidRPr="00B323C8">
        <w:t xml:space="preserve">By not </w:t>
      </w:r>
      <w:r w:rsidR="0094331B">
        <w:t xml:space="preserve">initiating a competency proceeding by </w:t>
      </w:r>
      <w:r w:rsidR="00193BCE" w:rsidRPr="00B323C8">
        <w:t>making that inquiry, the trial court erred</w:t>
      </w:r>
      <w:r w:rsidR="00FF2374" w:rsidRPr="00B323C8">
        <w:t>.</w:t>
      </w:r>
      <w:r w:rsidR="00064390" w:rsidRPr="00B323C8">
        <w:t xml:space="preserve">  (See §</w:t>
      </w:r>
      <w:r w:rsidR="004E6D8B">
        <w:t>§ </w:t>
      </w:r>
      <w:r w:rsidR="00064390" w:rsidRPr="00B323C8">
        <w:t>1368, subd. (a)</w:t>
      </w:r>
      <w:r w:rsidR="0094331B">
        <w:t>,</w:t>
      </w:r>
      <w:r w:rsidR="004E6D8B">
        <w:t xml:space="preserve"> </w:t>
      </w:r>
      <w:r w:rsidR="0094331B">
        <w:t>1369</w:t>
      </w:r>
      <w:r w:rsidR="00064390" w:rsidRPr="00B323C8">
        <w:t>.)</w:t>
      </w:r>
      <w:r w:rsidR="003B6C6E" w:rsidRPr="00B323C8">
        <w:rPr>
          <w:rStyle w:val="FootnoteReference"/>
        </w:rPr>
        <w:footnoteReference w:id="11"/>
      </w:r>
    </w:p>
    <w:p w14:paraId="5943F883" w14:textId="3FD557B5" w:rsidR="00FE4A1E" w:rsidRPr="00B323C8" w:rsidRDefault="00CE5083" w:rsidP="00B323C8">
      <w:pPr>
        <w:tabs>
          <w:tab w:val="left" w:pos="1440"/>
        </w:tabs>
        <w:ind w:firstLine="720"/>
      </w:pPr>
      <w:r w:rsidRPr="00B323C8">
        <w:t>Then, nearly a year later, when a new attorney was representing the prosecution</w:t>
      </w:r>
      <w:r w:rsidR="003A5D8A" w:rsidRPr="00B323C8">
        <w:t xml:space="preserve"> and a new judge had been assigned to the case</w:t>
      </w:r>
      <w:r w:rsidRPr="00B323C8">
        <w:t xml:space="preserve">, the </w:t>
      </w:r>
      <w:r w:rsidR="007022A7" w:rsidRPr="00B323C8">
        <w:t>issue of defendant</w:t>
      </w:r>
      <w:r w:rsidR="00D61F82" w:rsidRPr="00B323C8">
        <w:t>’</w:t>
      </w:r>
      <w:r w:rsidR="007022A7" w:rsidRPr="00B323C8">
        <w:t xml:space="preserve">s </w:t>
      </w:r>
      <w:r w:rsidR="003A5D8A" w:rsidRPr="00B323C8">
        <w:t>mental competenc</w:t>
      </w:r>
      <w:r w:rsidR="00D7501A" w:rsidRPr="00B323C8">
        <w:t>e</w:t>
      </w:r>
      <w:r w:rsidR="003A5D8A" w:rsidRPr="00B323C8">
        <w:t xml:space="preserve"> </w:t>
      </w:r>
      <w:r w:rsidR="000E4FBE" w:rsidRPr="00B323C8">
        <w:t xml:space="preserve">was </w:t>
      </w:r>
      <w:r w:rsidR="000E4FBE" w:rsidRPr="00B323C8">
        <w:lastRenderedPageBreak/>
        <w:t>raised anew</w:t>
      </w:r>
      <w:r w:rsidR="00DE423F" w:rsidRPr="00B323C8">
        <w:t>.  A</w:t>
      </w:r>
      <w:r w:rsidR="007022A7" w:rsidRPr="00B323C8">
        <w:t xml:space="preserve">gain, </w:t>
      </w:r>
      <w:r w:rsidR="00C0311D" w:rsidRPr="00B323C8">
        <w:t xml:space="preserve">Dr. Good’s report </w:t>
      </w:r>
      <w:r w:rsidR="00DE423F" w:rsidRPr="00B323C8">
        <w:t xml:space="preserve">came to </w:t>
      </w:r>
      <w:r w:rsidR="00C0311D" w:rsidRPr="00B323C8">
        <w:t>the attention of the court</w:t>
      </w:r>
      <w:r w:rsidR="00DE423F" w:rsidRPr="00B323C8">
        <w:t xml:space="preserve">, a report that, as a matter of law, </w:t>
      </w:r>
      <w:r w:rsidR="00C0311D" w:rsidRPr="00B323C8">
        <w:t xml:space="preserve">constituted substantial evidence </w:t>
      </w:r>
      <w:r w:rsidR="00DE423F" w:rsidRPr="00B323C8">
        <w:t xml:space="preserve">of defendant’s </w:t>
      </w:r>
      <w:r w:rsidR="00B66B0E" w:rsidRPr="00B323C8">
        <w:t xml:space="preserve">mental </w:t>
      </w:r>
      <w:r w:rsidR="00DE423F" w:rsidRPr="00B323C8">
        <w:t>incompetence.</w:t>
      </w:r>
      <w:r w:rsidR="00064390" w:rsidRPr="00B323C8">
        <w:t xml:space="preserve">  </w:t>
      </w:r>
      <w:r w:rsidR="00DE423F" w:rsidRPr="00B323C8">
        <w:t xml:space="preserve">Therefore, </w:t>
      </w:r>
      <w:r w:rsidR="00250742" w:rsidRPr="00B323C8">
        <w:t xml:space="preserve">the </w:t>
      </w:r>
      <w:r w:rsidR="00DE423F" w:rsidRPr="00B323C8">
        <w:t>procedures set forth in section</w:t>
      </w:r>
      <w:r w:rsidR="009232D4">
        <w:t>s</w:t>
      </w:r>
      <w:r w:rsidR="00DE423F" w:rsidRPr="00B323C8">
        <w:t xml:space="preserve"> 1368 </w:t>
      </w:r>
      <w:r w:rsidR="009232D4">
        <w:t xml:space="preserve">and 1369 </w:t>
      </w:r>
      <w:r w:rsidR="00DE423F" w:rsidRPr="00B323C8">
        <w:t>came into play</w:t>
      </w:r>
      <w:r w:rsidR="00250742" w:rsidRPr="00B323C8">
        <w:t xml:space="preserve"> a second time</w:t>
      </w:r>
      <w:r w:rsidR="00B66B0E" w:rsidRPr="00B323C8">
        <w:t>.  B</w:t>
      </w:r>
      <w:r w:rsidR="00B23E26" w:rsidRPr="00B323C8">
        <w:t>ut at this point defendant was not represented</w:t>
      </w:r>
      <w:r w:rsidR="00B66B0E" w:rsidRPr="00B323C8">
        <w:t>, so the trial court’s error was slightly different</w:t>
      </w:r>
      <w:r w:rsidR="00B23E26" w:rsidRPr="00B323C8">
        <w:t>.</w:t>
      </w:r>
      <w:r w:rsidR="00B66B0E" w:rsidRPr="00B323C8">
        <w:t xml:space="preserve">  Section 1368</w:t>
      </w:r>
      <w:r w:rsidR="00960E5A">
        <w:t xml:space="preserve">, subdivision (a) </w:t>
      </w:r>
      <w:r w:rsidR="00B66B0E" w:rsidRPr="00B323C8">
        <w:t>provides that “[i]f the defendant is not represented by counsel, the court shall appoint counsel.”  By not appointing counsel</w:t>
      </w:r>
      <w:r w:rsidR="0094331B">
        <w:t xml:space="preserve"> and initiating competency proceedings</w:t>
      </w:r>
      <w:r w:rsidR="00B66B0E" w:rsidRPr="00B323C8">
        <w:t>, the trial court erred</w:t>
      </w:r>
      <w:r w:rsidR="0070479D" w:rsidRPr="00B323C8">
        <w:t xml:space="preserve"> again.</w:t>
      </w:r>
      <w:r w:rsidR="00250742" w:rsidRPr="00B323C8">
        <w:rPr>
          <w:rStyle w:val="FootnoteReference"/>
        </w:rPr>
        <w:footnoteReference w:id="12"/>
      </w:r>
    </w:p>
    <w:p w14:paraId="3EBCF543" w14:textId="6972043C" w:rsidR="00D7501A" w:rsidRPr="00B323C8" w:rsidRDefault="00BD656D" w:rsidP="00B323C8">
      <w:pPr>
        <w:tabs>
          <w:tab w:val="left" w:pos="1440"/>
        </w:tabs>
        <w:ind w:firstLine="720"/>
      </w:pPr>
      <w:r w:rsidRPr="00B323C8">
        <w:t>T</w:t>
      </w:r>
      <w:r w:rsidR="008E72A9" w:rsidRPr="00B323C8">
        <w:t xml:space="preserve">he Attorney General </w:t>
      </w:r>
      <w:r w:rsidR="00B0542F" w:rsidRPr="00B323C8">
        <w:t>offers several arguments in defense of the trial court actions here</w:t>
      </w:r>
      <w:r w:rsidR="00413E1A" w:rsidRPr="00B323C8">
        <w:t> </w:t>
      </w:r>
      <w:r w:rsidR="00B0542F" w:rsidRPr="00B323C8">
        <w:t>—</w:t>
      </w:r>
      <w:r w:rsidR="00413E1A" w:rsidRPr="00B323C8">
        <w:t xml:space="preserve"> </w:t>
      </w:r>
      <w:r w:rsidR="00B0542F" w:rsidRPr="00B323C8">
        <w:t xml:space="preserve">none of which </w:t>
      </w:r>
      <w:r w:rsidR="00413E1A" w:rsidRPr="00B323C8">
        <w:t>is</w:t>
      </w:r>
      <w:r w:rsidR="00B0542F" w:rsidRPr="00B323C8">
        <w:t xml:space="preserve"> ultimately persuasive. First, he </w:t>
      </w:r>
      <w:r w:rsidR="008E72A9" w:rsidRPr="00B323C8">
        <w:t>argues that Dr. Good</w:t>
      </w:r>
      <w:r w:rsidR="00D61F82" w:rsidRPr="00B323C8">
        <w:t>’</w:t>
      </w:r>
      <w:r w:rsidR="008E72A9" w:rsidRPr="00B323C8">
        <w:t>s report does not, standing alone, amount to substantial evidence of mental incompetence and therefore that the trial court did not err in declining to hold a section 1369 competency trial.</w:t>
      </w:r>
      <w:r w:rsidR="009A6FC2" w:rsidRPr="00B323C8">
        <w:t xml:space="preserve">  The Attorney General </w:t>
      </w:r>
      <w:r w:rsidR="003A696E" w:rsidRPr="00B323C8">
        <w:t xml:space="preserve">relies on </w:t>
      </w:r>
      <w:r w:rsidR="008159D0" w:rsidRPr="00B323C8">
        <w:rPr>
          <w:i/>
        </w:rPr>
        <w:t>Lewis and Oliver</w:t>
      </w:r>
      <w:r w:rsidR="008159D0" w:rsidRPr="00B323C8">
        <w:t xml:space="preserve">, </w:t>
      </w:r>
      <w:r w:rsidR="008159D0" w:rsidRPr="00B323C8">
        <w:rPr>
          <w:i/>
        </w:rPr>
        <w:t>supra</w:t>
      </w:r>
      <w:r w:rsidR="008159D0" w:rsidRPr="00B323C8">
        <w:t xml:space="preserve">, 39 Cal.4th 970, in which </w:t>
      </w:r>
      <w:r w:rsidR="009701BC" w:rsidRPr="00B323C8">
        <w:t xml:space="preserve">there was </w:t>
      </w:r>
      <w:r w:rsidR="008159D0" w:rsidRPr="00B323C8">
        <w:t xml:space="preserve">testimony </w:t>
      </w:r>
      <w:r w:rsidR="009701BC" w:rsidRPr="00B323C8">
        <w:t xml:space="preserve">from </w:t>
      </w:r>
      <w:r w:rsidR="008159D0" w:rsidRPr="00B323C8">
        <w:t xml:space="preserve">a </w:t>
      </w:r>
      <w:r w:rsidR="00E03ECD" w:rsidRPr="00B323C8">
        <w:t>psychiatrist</w:t>
      </w:r>
      <w:r w:rsidR="00385390" w:rsidRPr="00B323C8">
        <w:t> </w:t>
      </w:r>
      <w:r w:rsidR="002C5397" w:rsidRPr="00B323C8">
        <w:t>—</w:t>
      </w:r>
      <w:r w:rsidR="00385390" w:rsidRPr="00B323C8">
        <w:t xml:space="preserve"> </w:t>
      </w:r>
      <w:r w:rsidR="00D9458A" w:rsidRPr="00B323C8">
        <w:t>Dr. Alvin Davis</w:t>
      </w:r>
      <w:r w:rsidR="00385390" w:rsidRPr="00B323C8">
        <w:t> </w:t>
      </w:r>
      <w:r w:rsidR="002C5397" w:rsidRPr="00B323C8">
        <w:t>—</w:t>
      </w:r>
      <w:r w:rsidR="00385390" w:rsidRPr="00B323C8">
        <w:t xml:space="preserve"> </w:t>
      </w:r>
      <w:r w:rsidR="00D9458A" w:rsidRPr="00B323C8">
        <w:t>t</w:t>
      </w:r>
      <w:r w:rsidR="008159D0" w:rsidRPr="00B323C8">
        <w:t>hat the defendant</w:t>
      </w:r>
      <w:r w:rsidR="00253822" w:rsidRPr="00B323C8">
        <w:t xml:space="preserve"> </w:t>
      </w:r>
      <w:r w:rsidR="008159D0" w:rsidRPr="00B323C8">
        <w:t xml:space="preserve">was </w:t>
      </w:r>
      <w:r w:rsidR="003E14CA" w:rsidRPr="00B323C8">
        <w:t xml:space="preserve">mentally </w:t>
      </w:r>
      <w:r w:rsidR="008159D0" w:rsidRPr="00B323C8">
        <w:t>incompetent</w:t>
      </w:r>
      <w:r w:rsidR="009701BC" w:rsidRPr="00B323C8">
        <w:t xml:space="preserve">, </w:t>
      </w:r>
      <w:r w:rsidR="007022A7" w:rsidRPr="00B323C8">
        <w:t xml:space="preserve">yet </w:t>
      </w:r>
      <w:r w:rsidR="00546B01" w:rsidRPr="00B323C8">
        <w:t xml:space="preserve">we </w:t>
      </w:r>
      <w:r w:rsidR="009701BC" w:rsidRPr="00B323C8">
        <w:t>upheld the trial court</w:t>
      </w:r>
      <w:r w:rsidR="00D61F82" w:rsidRPr="00B323C8">
        <w:t>’</w:t>
      </w:r>
      <w:r w:rsidR="009701BC" w:rsidRPr="00B323C8">
        <w:t xml:space="preserve">s conclusion that the evidence of </w:t>
      </w:r>
      <w:r w:rsidR="00253822" w:rsidRPr="00B323C8">
        <w:t>the defendant</w:t>
      </w:r>
      <w:r w:rsidR="00D61F82" w:rsidRPr="00B323C8">
        <w:t>’</w:t>
      </w:r>
      <w:r w:rsidR="00253822" w:rsidRPr="00B323C8">
        <w:t xml:space="preserve">s </w:t>
      </w:r>
      <w:r w:rsidR="009701BC" w:rsidRPr="00B323C8">
        <w:t>mental incompetence was insubstantial</w:t>
      </w:r>
      <w:r w:rsidR="008159D0" w:rsidRPr="00B323C8">
        <w:t xml:space="preserve">.  </w:t>
      </w:r>
      <w:r w:rsidR="00721F1C" w:rsidRPr="00B323C8">
        <w:t xml:space="preserve">Our </w:t>
      </w:r>
      <w:r w:rsidR="00721F1C" w:rsidRPr="00B323C8">
        <w:lastRenderedPageBreak/>
        <w:t xml:space="preserve">decision in </w:t>
      </w:r>
      <w:r w:rsidR="008159D0" w:rsidRPr="00B323C8">
        <w:rPr>
          <w:i/>
        </w:rPr>
        <w:t>Lewis and Oliver</w:t>
      </w:r>
      <w:r w:rsidR="008159D0" w:rsidRPr="00B323C8">
        <w:t xml:space="preserve"> is, however, easily distinguished from this case.</w:t>
      </w:r>
    </w:p>
    <w:p w14:paraId="44E85A36" w14:textId="7EE0861E" w:rsidR="0092706A" w:rsidRPr="00B323C8" w:rsidRDefault="007022A7" w:rsidP="00B323C8">
      <w:pPr>
        <w:tabs>
          <w:tab w:val="left" w:pos="1440"/>
        </w:tabs>
        <w:ind w:firstLine="720"/>
      </w:pPr>
      <w:r w:rsidRPr="00B323C8">
        <w:t xml:space="preserve">In </w:t>
      </w:r>
      <w:r w:rsidR="00A74D0A" w:rsidRPr="00B323C8">
        <w:rPr>
          <w:i/>
        </w:rPr>
        <w:t>Lewis and Oliver</w:t>
      </w:r>
      <w:r w:rsidR="00A74D0A" w:rsidRPr="00B323C8">
        <w:t xml:space="preserve">, </w:t>
      </w:r>
      <w:r w:rsidR="00927D55" w:rsidRPr="00B323C8">
        <w:t xml:space="preserve">the trial court </w:t>
      </w:r>
      <w:r w:rsidR="00412B88" w:rsidRPr="00B323C8">
        <w:t xml:space="preserve">determined that </w:t>
      </w:r>
      <w:r w:rsidR="00E03ECD" w:rsidRPr="00B323C8">
        <w:t>Dr. Davis</w:t>
      </w:r>
      <w:r w:rsidR="00412B88" w:rsidRPr="00B323C8">
        <w:t xml:space="preserve"> (the psychologist who submitted a report regarding </w:t>
      </w:r>
      <w:r w:rsidR="00527587" w:rsidRPr="00B323C8">
        <w:t xml:space="preserve">the </w:t>
      </w:r>
      <w:r w:rsidR="00412B88" w:rsidRPr="00B323C8">
        <w:t xml:space="preserve">defendant’s competence to stand trial) </w:t>
      </w:r>
      <w:r w:rsidR="00E03ECD" w:rsidRPr="00B323C8">
        <w:t xml:space="preserve">was </w:t>
      </w:r>
      <w:r w:rsidR="00412B88" w:rsidRPr="00B323C8">
        <w:t xml:space="preserve">not </w:t>
      </w:r>
      <w:r w:rsidR="00E03ECD" w:rsidRPr="00B323C8">
        <w:t xml:space="preserve">a credible witness.  It </w:t>
      </w:r>
      <w:r w:rsidR="00927D55" w:rsidRPr="00B323C8">
        <w:t>expressed its reluctan</w:t>
      </w:r>
      <w:r w:rsidR="002B3471" w:rsidRPr="00B323C8">
        <w:t>ce</w:t>
      </w:r>
      <w:r w:rsidR="00927D55" w:rsidRPr="00B323C8">
        <w:t xml:space="preserve"> to credit</w:t>
      </w:r>
      <w:r w:rsidR="003F5424" w:rsidRPr="00B323C8">
        <w:t xml:space="preserve"> </w:t>
      </w:r>
      <w:r w:rsidR="00572EDD" w:rsidRPr="00B323C8">
        <w:t>the expert</w:t>
      </w:r>
      <w:r w:rsidR="00D61F82" w:rsidRPr="00B323C8">
        <w:t>’</w:t>
      </w:r>
      <w:r w:rsidR="00572EDD" w:rsidRPr="00B323C8">
        <w:t>s</w:t>
      </w:r>
      <w:r w:rsidR="003F5424" w:rsidRPr="00B323C8">
        <w:t xml:space="preserve"> </w:t>
      </w:r>
      <w:r w:rsidR="002D6751" w:rsidRPr="00B323C8">
        <w:t>views regarding mental competence</w:t>
      </w:r>
      <w:r w:rsidR="003F5424" w:rsidRPr="00B323C8">
        <w:t xml:space="preserve">, </w:t>
      </w:r>
      <w:r w:rsidR="00572EDD" w:rsidRPr="00B323C8">
        <w:t xml:space="preserve">noting </w:t>
      </w:r>
      <w:r w:rsidR="003F5424" w:rsidRPr="00B323C8">
        <w:t xml:space="preserve">that </w:t>
      </w:r>
      <w:r w:rsidR="002D6751" w:rsidRPr="00B323C8">
        <w:t>Dr. Davis “ </w:t>
      </w:r>
      <w:r w:rsidR="00D7501A" w:rsidRPr="00B323C8">
        <w:t>‘</w:t>
      </w:r>
      <w:r w:rsidR="002D6751" w:rsidRPr="00B323C8">
        <w:t>is rather well known in the system.</w:t>
      </w:r>
      <w:r w:rsidR="00D61F82" w:rsidRPr="00B323C8">
        <w:t>’</w:t>
      </w:r>
      <w:r w:rsidR="002D6751" w:rsidRPr="00B323C8">
        <w:t> ”  (</w:t>
      </w:r>
      <w:r w:rsidR="00721F1C" w:rsidRPr="00B323C8">
        <w:rPr>
          <w:i/>
        </w:rPr>
        <w:t>Le</w:t>
      </w:r>
      <w:r w:rsidR="002D6751" w:rsidRPr="00B323C8">
        <w:rPr>
          <w:i/>
        </w:rPr>
        <w:t>wis and Oliver</w:t>
      </w:r>
      <w:r w:rsidR="002D6751" w:rsidRPr="00B323C8">
        <w:t xml:space="preserve">, </w:t>
      </w:r>
      <w:r w:rsidR="002D6751" w:rsidRPr="00B323C8">
        <w:rPr>
          <w:i/>
        </w:rPr>
        <w:t>supra</w:t>
      </w:r>
      <w:r w:rsidR="002D6751" w:rsidRPr="00B323C8">
        <w:t xml:space="preserve">, 39 Cal.4th at p. 1046; see </w:t>
      </w:r>
      <w:r w:rsidR="00A74D0A" w:rsidRPr="00B323C8">
        <w:rPr>
          <w:i/>
        </w:rPr>
        <w:t>People v. Farnam</w:t>
      </w:r>
      <w:r w:rsidR="00A74D0A" w:rsidRPr="00B323C8">
        <w:t xml:space="preserve"> (2002) 28 Cal.4th 107, </w:t>
      </w:r>
      <w:r w:rsidR="00F6079B" w:rsidRPr="00B323C8">
        <w:t>197</w:t>
      </w:r>
      <w:r w:rsidR="002D6751" w:rsidRPr="00B323C8">
        <w:t xml:space="preserve"> [d</w:t>
      </w:r>
      <w:r w:rsidR="00880109" w:rsidRPr="00B323C8">
        <w:t xml:space="preserve">escribing </w:t>
      </w:r>
      <w:r w:rsidR="003E14CA" w:rsidRPr="00B323C8">
        <w:t>a</w:t>
      </w:r>
      <w:r w:rsidR="00FF451F" w:rsidRPr="00B323C8">
        <w:t>n effective</w:t>
      </w:r>
      <w:r w:rsidR="003E14CA" w:rsidRPr="00B323C8">
        <w:t xml:space="preserve"> </w:t>
      </w:r>
      <w:r w:rsidR="002D6751" w:rsidRPr="00B323C8">
        <w:t>cross-examination of Dr. Davis</w:t>
      </w:r>
      <w:r w:rsidR="00376770" w:rsidRPr="00B323C8">
        <w:t>,</w:t>
      </w:r>
      <w:r w:rsidR="002D6751" w:rsidRPr="00B323C8">
        <w:t xml:space="preserve"> </w:t>
      </w:r>
      <w:r w:rsidR="00C07792" w:rsidRPr="00B323C8">
        <w:t xml:space="preserve">focusing on </w:t>
      </w:r>
      <w:r w:rsidR="00880109" w:rsidRPr="00B323C8">
        <w:t xml:space="preserve">his </w:t>
      </w:r>
      <w:r w:rsidR="002D6751" w:rsidRPr="00B323C8">
        <w:t>qualifications to assess mental competenc</w:t>
      </w:r>
      <w:r w:rsidR="007B0EFE" w:rsidRPr="00B323C8">
        <w:t>e</w:t>
      </w:r>
      <w:r w:rsidR="002D6751" w:rsidRPr="00B323C8">
        <w:t>]</w:t>
      </w:r>
      <w:r w:rsidR="00F6079B" w:rsidRPr="00B323C8">
        <w:t>.)</w:t>
      </w:r>
      <w:r w:rsidR="003A696E" w:rsidRPr="00B323C8">
        <w:t xml:space="preserve">  </w:t>
      </w:r>
      <w:r w:rsidR="00251A0E" w:rsidRPr="00B323C8">
        <w:t xml:space="preserve">Additionally, </w:t>
      </w:r>
      <w:r w:rsidR="00927D55" w:rsidRPr="00B323C8">
        <w:t xml:space="preserve">the </w:t>
      </w:r>
      <w:r w:rsidR="00F6079B" w:rsidRPr="00B323C8">
        <w:t xml:space="preserve">trial court </w:t>
      </w:r>
      <w:r w:rsidR="002D6751" w:rsidRPr="00B323C8">
        <w:t xml:space="preserve">in </w:t>
      </w:r>
      <w:r w:rsidR="002D6751" w:rsidRPr="00B323C8">
        <w:rPr>
          <w:i/>
        </w:rPr>
        <w:t>Lewis and Oliver</w:t>
      </w:r>
      <w:r w:rsidR="002D6751" w:rsidRPr="00B323C8">
        <w:t xml:space="preserve"> </w:t>
      </w:r>
      <w:r w:rsidR="00CB2325" w:rsidRPr="00B323C8">
        <w:t>express</w:t>
      </w:r>
      <w:r w:rsidR="002D6751" w:rsidRPr="00B323C8">
        <w:t>ly</w:t>
      </w:r>
      <w:r w:rsidR="00CB2325" w:rsidRPr="00B323C8">
        <w:t xml:space="preserve"> </w:t>
      </w:r>
      <w:r w:rsidR="003E14CA" w:rsidRPr="00B323C8">
        <w:t xml:space="preserve">found that </w:t>
      </w:r>
      <w:r w:rsidR="00234452" w:rsidRPr="00B323C8">
        <w:t>Dr. Davis</w:t>
      </w:r>
      <w:r w:rsidR="00D61F82" w:rsidRPr="00B323C8">
        <w:t>’</w:t>
      </w:r>
      <w:r w:rsidR="00234452" w:rsidRPr="00B323C8">
        <w:t>s</w:t>
      </w:r>
      <w:r w:rsidR="003E14CA" w:rsidRPr="00B323C8">
        <w:t xml:space="preserve"> “</w:t>
      </w:r>
      <w:r w:rsidR="009C4677">
        <w:t> ‘</w:t>
      </w:r>
      <w:r w:rsidR="00F6079B" w:rsidRPr="00B323C8">
        <w:t>conclusions are not supported by any factual basis and he disregards evidence that is contrary to what appears to be a prefixed opinion.</w:t>
      </w:r>
      <w:r w:rsidR="009C4677">
        <w:t>’ </w:t>
      </w:r>
      <w:r w:rsidR="00F6079B" w:rsidRPr="00B323C8">
        <w:t>”  (</w:t>
      </w:r>
      <w:r w:rsidR="00F6079B" w:rsidRPr="00B323C8">
        <w:rPr>
          <w:i/>
        </w:rPr>
        <w:t>Lewis and Oliver</w:t>
      </w:r>
      <w:r w:rsidR="00F6079B" w:rsidRPr="00B323C8">
        <w:t>, at p. 1047</w:t>
      </w:r>
      <w:r w:rsidR="009517A6" w:rsidRPr="00B323C8">
        <w:t xml:space="preserve">.)  </w:t>
      </w:r>
      <w:r w:rsidR="003A696E" w:rsidRPr="00B323C8">
        <w:t xml:space="preserve">In </w:t>
      </w:r>
      <w:r w:rsidR="00CB2325" w:rsidRPr="00B323C8">
        <w:t xml:space="preserve">upholding </w:t>
      </w:r>
      <w:r w:rsidR="003A696E" w:rsidRPr="00B323C8">
        <w:t xml:space="preserve">the trial court, </w:t>
      </w:r>
      <w:r w:rsidR="00CB2325" w:rsidRPr="00B323C8">
        <w:t>we noted that Dr. Davis</w:t>
      </w:r>
      <w:r w:rsidR="00D61F82" w:rsidRPr="00B323C8">
        <w:t>’</w:t>
      </w:r>
      <w:r w:rsidR="00CB2325" w:rsidRPr="00B323C8">
        <w:t>s opinion was contradicted by other experts whose views Dr. Davis had not considered.  (</w:t>
      </w:r>
      <w:r w:rsidR="00CB2325" w:rsidRPr="00B323C8">
        <w:rPr>
          <w:i/>
          <w:iCs/>
        </w:rPr>
        <w:t>Id</w:t>
      </w:r>
      <w:r w:rsidR="00CB2325" w:rsidRPr="00B323C8">
        <w:t xml:space="preserve">. at p. 1048.)  In addition, </w:t>
      </w:r>
      <w:r w:rsidR="003A696E" w:rsidRPr="00B323C8">
        <w:t>w</w:t>
      </w:r>
      <w:r w:rsidR="009A6FC2" w:rsidRPr="00B323C8">
        <w:t>e said:</w:t>
      </w:r>
      <w:r w:rsidR="003A696E" w:rsidRPr="00B323C8">
        <w:t xml:space="preserve">  </w:t>
      </w:r>
      <w:r w:rsidR="009A6FC2" w:rsidRPr="00B323C8">
        <w:t>“Dr. Davis acknowledged that he did not consider Lewis</w:t>
      </w:r>
      <w:r w:rsidR="00D61F82" w:rsidRPr="00B323C8">
        <w:t>’</w:t>
      </w:r>
      <w:r w:rsidR="009A6FC2" w:rsidRPr="00B323C8">
        <w:t xml:space="preserve">s psychiatric history in the </w:t>
      </w:r>
      <w:r w:rsidR="00254E7E">
        <w:t>A</w:t>
      </w:r>
      <w:r w:rsidR="009A6FC2" w:rsidRPr="00B323C8">
        <w:t>rmy or in jail.</w:t>
      </w:r>
      <w:r w:rsidR="002617A2" w:rsidRPr="00B323C8">
        <w:t xml:space="preserve"> . . .  </w:t>
      </w:r>
      <w:r w:rsidR="009A6FC2" w:rsidRPr="00B323C8">
        <w:t>Moreover, Dr. Davis conceded that his conclusion regarding Lewis</w:t>
      </w:r>
      <w:r w:rsidR="00D61F82" w:rsidRPr="00B323C8">
        <w:t>’</w:t>
      </w:r>
      <w:r w:rsidR="009A6FC2" w:rsidRPr="00B323C8">
        <w:t>s competence was tentative and not definitive.</w:t>
      </w:r>
      <w:r w:rsidR="002617A2" w:rsidRPr="00B323C8">
        <w:t>”</w:t>
      </w:r>
      <w:r w:rsidR="003A696E" w:rsidRPr="00B323C8">
        <w:t xml:space="preserve">  (</w:t>
      </w:r>
      <w:r w:rsidR="003A696E" w:rsidRPr="00B323C8">
        <w:rPr>
          <w:i/>
          <w:iCs/>
        </w:rPr>
        <w:t>I</w:t>
      </w:r>
      <w:r w:rsidR="00CB2325" w:rsidRPr="00B323C8">
        <w:rPr>
          <w:i/>
          <w:iCs/>
        </w:rPr>
        <w:t>bi</w:t>
      </w:r>
      <w:r w:rsidR="003A696E" w:rsidRPr="00B323C8">
        <w:rPr>
          <w:i/>
          <w:iCs/>
        </w:rPr>
        <w:t>d</w:t>
      </w:r>
      <w:r w:rsidR="003A696E" w:rsidRPr="00B323C8">
        <w:t>.)</w:t>
      </w:r>
      <w:r w:rsidR="00CB2325" w:rsidRPr="00B323C8">
        <w:t xml:space="preserve">  </w:t>
      </w:r>
      <w:r w:rsidR="00D7501A" w:rsidRPr="00B323C8">
        <w:t xml:space="preserve">In sum, Dr. Davis’s </w:t>
      </w:r>
      <w:r w:rsidR="0092706A" w:rsidRPr="00B323C8">
        <w:t xml:space="preserve">opinion, viewed by itself, was inherently unreliable.  </w:t>
      </w:r>
      <w:r w:rsidR="0085451D" w:rsidRPr="00B323C8">
        <w:t xml:space="preserve">Accordingly, we </w:t>
      </w:r>
      <w:r w:rsidR="007510B8" w:rsidRPr="00B323C8">
        <w:t xml:space="preserve">held </w:t>
      </w:r>
      <w:r w:rsidR="002D6751" w:rsidRPr="00B323C8">
        <w:t xml:space="preserve">that the trial court in </w:t>
      </w:r>
      <w:r w:rsidR="002D6751" w:rsidRPr="00B323C8">
        <w:rPr>
          <w:i/>
        </w:rPr>
        <w:t>Lew</w:t>
      </w:r>
      <w:r w:rsidR="00234452" w:rsidRPr="00B323C8">
        <w:rPr>
          <w:i/>
        </w:rPr>
        <w:t>i</w:t>
      </w:r>
      <w:r w:rsidR="002D6751" w:rsidRPr="00B323C8">
        <w:rPr>
          <w:i/>
        </w:rPr>
        <w:t>s and Oliver</w:t>
      </w:r>
      <w:r w:rsidR="002D6751" w:rsidRPr="00B323C8">
        <w:t xml:space="preserve"> </w:t>
      </w:r>
      <w:r w:rsidR="001773B6" w:rsidRPr="00B323C8">
        <w:t xml:space="preserve">had a </w:t>
      </w:r>
      <w:r w:rsidR="002D6751" w:rsidRPr="00B323C8">
        <w:t>reasonab</w:t>
      </w:r>
      <w:r w:rsidR="001773B6" w:rsidRPr="00B323C8">
        <w:t xml:space="preserve">le basis to </w:t>
      </w:r>
      <w:r w:rsidR="00DE095D" w:rsidRPr="00B323C8">
        <w:t xml:space="preserve">conclude that </w:t>
      </w:r>
      <w:r w:rsidR="002D6751" w:rsidRPr="00B323C8">
        <w:t>Dr. Davis</w:t>
      </w:r>
      <w:r w:rsidR="00D61F82" w:rsidRPr="00B323C8">
        <w:t>’</w:t>
      </w:r>
      <w:r w:rsidR="00BE2EFB" w:rsidRPr="00B323C8">
        <w:t>s</w:t>
      </w:r>
      <w:r w:rsidR="002D6751" w:rsidRPr="00B323C8">
        <w:t xml:space="preserve"> opinion </w:t>
      </w:r>
      <w:r w:rsidR="00A9494F" w:rsidRPr="00B323C8">
        <w:t xml:space="preserve">did not constitute </w:t>
      </w:r>
      <w:r w:rsidR="002D6751" w:rsidRPr="00B323C8">
        <w:t>substantial evidence</w:t>
      </w:r>
      <w:r w:rsidR="00A9494F" w:rsidRPr="00B323C8">
        <w:t xml:space="preserve"> of mental incompetence</w:t>
      </w:r>
      <w:r w:rsidR="002D6751" w:rsidRPr="00B323C8">
        <w:t>.</w:t>
      </w:r>
    </w:p>
    <w:p w14:paraId="31C68F3A" w14:textId="5B4BBB00" w:rsidR="00037D5E" w:rsidRPr="00B323C8" w:rsidRDefault="0092706A" w:rsidP="00B323C8">
      <w:pPr>
        <w:tabs>
          <w:tab w:val="left" w:pos="1440"/>
        </w:tabs>
        <w:ind w:firstLine="720"/>
      </w:pPr>
      <w:r w:rsidRPr="00B323C8">
        <w:rPr>
          <w:i/>
          <w:iCs/>
        </w:rPr>
        <w:t>Lewis and Oliver</w:t>
      </w:r>
      <w:r w:rsidRPr="00B323C8">
        <w:t xml:space="preserve"> </w:t>
      </w:r>
      <w:r w:rsidR="00B36598" w:rsidRPr="00B323C8">
        <w:t xml:space="preserve">certainly </w:t>
      </w:r>
      <w:r w:rsidRPr="00B323C8">
        <w:t xml:space="preserve">stands for the </w:t>
      </w:r>
      <w:r w:rsidR="00E03ECD" w:rsidRPr="00B323C8">
        <w:t xml:space="preserve">abstract </w:t>
      </w:r>
      <w:r w:rsidRPr="00B323C8">
        <w:t xml:space="preserve">principle that not every psychiatrist’s opinion is substantial evidence.  But here </w:t>
      </w:r>
      <w:r w:rsidR="008159D0" w:rsidRPr="00B323C8">
        <w:t>the trial court was presented with the uncontradicted opinion of Dr. Good</w:t>
      </w:r>
      <w:r w:rsidR="00DE095D" w:rsidRPr="00B323C8">
        <w:t xml:space="preserve">, </w:t>
      </w:r>
      <w:r w:rsidR="0013635A" w:rsidRPr="00B323C8">
        <w:t>a</w:t>
      </w:r>
      <w:r w:rsidR="00B36598" w:rsidRPr="00B323C8">
        <w:t xml:space="preserve">n expert in forensic </w:t>
      </w:r>
      <w:r w:rsidR="009E1EEA" w:rsidRPr="00B323C8">
        <w:t>psycholog</w:t>
      </w:r>
      <w:r w:rsidR="00B36598" w:rsidRPr="00B323C8">
        <w:t xml:space="preserve">y </w:t>
      </w:r>
      <w:r w:rsidR="0013635A" w:rsidRPr="00B323C8">
        <w:t>chosen by the court</w:t>
      </w:r>
      <w:r w:rsidR="00E03ECD" w:rsidRPr="00B323C8">
        <w:t xml:space="preserve">, and the record suggests nothing </w:t>
      </w:r>
      <w:r w:rsidR="00E03ECD" w:rsidRPr="00B323C8">
        <w:lastRenderedPageBreak/>
        <w:t>that would undermine his credibility.</w:t>
      </w:r>
      <w:r w:rsidR="0013635A" w:rsidRPr="00B323C8">
        <w:t xml:space="preserve">  Dr. Good’s opinion </w:t>
      </w:r>
      <w:r w:rsidR="00DE095D" w:rsidRPr="00B323C8">
        <w:t xml:space="preserve">was supported by </w:t>
      </w:r>
      <w:r w:rsidR="002F37EF" w:rsidRPr="00B323C8">
        <w:t xml:space="preserve">three </w:t>
      </w:r>
      <w:r w:rsidR="00DE095D" w:rsidRPr="00B323C8">
        <w:t>interview</w:t>
      </w:r>
      <w:r w:rsidR="002F37EF" w:rsidRPr="00B323C8">
        <w:t>s</w:t>
      </w:r>
      <w:r w:rsidR="00DE095D" w:rsidRPr="00B323C8">
        <w:t xml:space="preserve"> with defendant, </w:t>
      </w:r>
      <w:r w:rsidR="00C611EB" w:rsidRPr="00B323C8">
        <w:t xml:space="preserve">a thorough psychiatric history, </w:t>
      </w:r>
      <w:r w:rsidR="009E1EEA" w:rsidRPr="00B323C8">
        <w:t xml:space="preserve">appropriate </w:t>
      </w:r>
      <w:r w:rsidR="00DE095D" w:rsidRPr="00B323C8">
        <w:t>psychological testing, and detailed reason</w:t>
      </w:r>
      <w:r w:rsidR="00C611EB" w:rsidRPr="00B323C8">
        <w:t>ing</w:t>
      </w:r>
      <w:r w:rsidR="0013635A" w:rsidRPr="00B323C8">
        <w:t xml:space="preserve"> in which </w:t>
      </w:r>
      <w:r w:rsidR="00B36598" w:rsidRPr="00B323C8">
        <w:t xml:space="preserve">he </w:t>
      </w:r>
      <w:r w:rsidR="0013635A" w:rsidRPr="00B323C8">
        <w:t>made clear the factual basis for his conclusions.</w:t>
      </w:r>
      <w:r w:rsidR="00383763" w:rsidRPr="00B323C8">
        <w:t xml:space="preserve">  Thus, </w:t>
      </w:r>
      <w:r w:rsidR="00383763" w:rsidRPr="00B323C8">
        <w:rPr>
          <w:i/>
          <w:iCs/>
        </w:rPr>
        <w:t>Lewis and Oliver</w:t>
      </w:r>
      <w:r w:rsidR="00383763" w:rsidRPr="00B323C8">
        <w:t xml:space="preserve"> fails to support the Attorney General’s argument</w:t>
      </w:r>
      <w:r w:rsidR="00E03ECD" w:rsidRPr="00B323C8">
        <w:t>.</w:t>
      </w:r>
    </w:p>
    <w:p w14:paraId="31620E5B" w14:textId="0367336C" w:rsidR="00AD12B1" w:rsidRPr="00B323C8" w:rsidRDefault="00037D5E" w:rsidP="00B323C8">
      <w:pPr>
        <w:tabs>
          <w:tab w:val="left" w:pos="1440"/>
        </w:tabs>
        <w:ind w:firstLine="720"/>
      </w:pPr>
      <w:r w:rsidRPr="00B323C8">
        <w:t xml:space="preserve">The </w:t>
      </w:r>
      <w:r w:rsidR="0012504B" w:rsidRPr="00B323C8">
        <w:t>Attorney General</w:t>
      </w:r>
      <w:r w:rsidRPr="00B323C8">
        <w:t xml:space="preserve"> also argues that </w:t>
      </w:r>
      <w:r w:rsidR="00D51B7C" w:rsidRPr="00B323C8">
        <w:t>Dr. Good did not present his opinion in the form of sworn testimony</w:t>
      </w:r>
      <w:r w:rsidR="00BC4A11" w:rsidRPr="00B323C8">
        <w:t>.</w:t>
      </w:r>
      <w:r w:rsidR="00A9494F" w:rsidRPr="00B323C8">
        <w:t xml:space="preserve"> </w:t>
      </w:r>
      <w:r w:rsidR="00BC4A11" w:rsidRPr="00B323C8">
        <w:t xml:space="preserve"> </w:t>
      </w:r>
      <w:r w:rsidR="00A9494F" w:rsidRPr="00B323C8">
        <w:t>(</w:t>
      </w:r>
      <w:r w:rsidR="00BC4A11" w:rsidRPr="00B323C8">
        <w:t>S</w:t>
      </w:r>
      <w:r w:rsidR="00A83F7E" w:rsidRPr="00B323C8">
        <w:t xml:space="preserve">ee </w:t>
      </w:r>
      <w:r w:rsidR="00A9494F" w:rsidRPr="00B323C8">
        <w:rPr>
          <w:i/>
        </w:rPr>
        <w:t>Lewis and Oliver</w:t>
      </w:r>
      <w:r w:rsidR="00A9494F" w:rsidRPr="00B323C8">
        <w:t xml:space="preserve">, </w:t>
      </w:r>
      <w:r w:rsidR="00BE2EFB" w:rsidRPr="00B323C8">
        <w:rPr>
          <w:i/>
          <w:iCs/>
        </w:rPr>
        <w:t>supra</w:t>
      </w:r>
      <w:r w:rsidR="00BE2EFB" w:rsidRPr="00B323C8">
        <w:t xml:space="preserve">, 39 Cal.4th </w:t>
      </w:r>
      <w:r w:rsidR="00A9494F" w:rsidRPr="00B323C8">
        <w:t>at p. 1047</w:t>
      </w:r>
      <w:r w:rsidR="00A92E05" w:rsidRPr="00B323C8">
        <w:t xml:space="preserve"> [</w:t>
      </w:r>
      <w:r w:rsidR="00BC4A11" w:rsidRPr="00B323C8">
        <w:t xml:space="preserve">a </w:t>
      </w:r>
      <w:r w:rsidR="00B36598" w:rsidRPr="00B323C8">
        <w:t xml:space="preserve">doubt arises as to </w:t>
      </w:r>
      <w:r w:rsidR="00BC4A11" w:rsidRPr="00B323C8">
        <w:t>mental competence</w:t>
      </w:r>
      <w:r w:rsidR="00B36598" w:rsidRPr="00B323C8">
        <w:t xml:space="preserve"> </w:t>
      </w:r>
      <w:r w:rsidR="00791DBB" w:rsidRPr="00B323C8">
        <w:t>“</w:t>
      </w:r>
      <w:r w:rsidR="00BC4A11" w:rsidRPr="00B323C8">
        <w:t xml:space="preserve">if at least one expert who is competent to render such an opinion, and who has had a sufficient opportunity to conduct an examination, </w:t>
      </w:r>
      <w:r w:rsidR="00BC4A11" w:rsidRPr="00B323C8">
        <w:rPr>
          <w:i/>
          <w:iCs/>
        </w:rPr>
        <w:t>testifies under oath</w:t>
      </w:r>
      <w:r w:rsidR="00BC4A11" w:rsidRPr="00B323C8">
        <w:t xml:space="preserve"> with particularity that, because of mental illness, the accused is incapable of understanding the proceedings or assisting in his defense”</w:t>
      </w:r>
      <w:r w:rsidR="007405C1" w:rsidRPr="00B323C8">
        <w:t xml:space="preserve"> </w:t>
      </w:r>
      <w:r w:rsidR="006E4927">
        <w:t>(</w:t>
      </w:r>
      <w:r w:rsidR="007405C1" w:rsidRPr="00B323C8">
        <w:t>italics added</w:t>
      </w:r>
      <w:r w:rsidR="006E4927">
        <w:t>)</w:t>
      </w:r>
      <w:r w:rsidR="00A92E05" w:rsidRPr="00B323C8">
        <w:t>]</w:t>
      </w:r>
      <w:r w:rsidR="00BC4A11" w:rsidRPr="00B323C8">
        <w:t>.</w:t>
      </w:r>
      <w:r w:rsidR="00A9494F" w:rsidRPr="00B323C8">
        <w:t>)</w:t>
      </w:r>
      <w:r w:rsidR="00D51B7C" w:rsidRPr="00B323C8">
        <w:t xml:space="preserve">  </w:t>
      </w:r>
      <w:r w:rsidR="00E03ECD" w:rsidRPr="00B323C8">
        <w:t xml:space="preserve">While it is true that Dr. Good did not testify under oath, he </w:t>
      </w:r>
      <w:r w:rsidR="00D51B7C" w:rsidRPr="00B323C8">
        <w:t xml:space="preserve">gave his opinion in a formal, </w:t>
      </w:r>
      <w:r w:rsidR="00B36598" w:rsidRPr="00B323C8">
        <w:t xml:space="preserve">signed, </w:t>
      </w:r>
      <w:r w:rsidR="00D51B7C" w:rsidRPr="00B323C8">
        <w:t>15-page, single-spaced</w:t>
      </w:r>
      <w:r w:rsidR="00B36598" w:rsidRPr="00B323C8">
        <w:t xml:space="preserve"> </w:t>
      </w:r>
      <w:r w:rsidR="00D51B7C" w:rsidRPr="00B323C8">
        <w:t xml:space="preserve">report </w:t>
      </w:r>
      <w:r w:rsidR="00044137" w:rsidRPr="00B323C8">
        <w:t xml:space="preserve">addressed </w:t>
      </w:r>
      <w:r w:rsidR="00A83F7E" w:rsidRPr="00B323C8">
        <w:t xml:space="preserve">directly </w:t>
      </w:r>
      <w:r w:rsidR="00D51B7C" w:rsidRPr="00B323C8">
        <w:t xml:space="preserve">to the judge trying </w:t>
      </w:r>
      <w:r w:rsidR="00044137" w:rsidRPr="00B323C8">
        <w:t>defendant</w:t>
      </w:r>
      <w:r w:rsidR="00D61F82" w:rsidRPr="00B323C8">
        <w:t>’</w:t>
      </w:r>
      <w:r w:rsidR="00044137" w:rsidRPr="00B323C8">
        <w:t xml:space="preserve">s </w:t>
      </w:r>
      <w:r w:rsidR="00D51B7C" w:rsidRPr="00B323C8">
        <w:t>case</w:t>
      </w:r>
      <w:r w:rsidR="00BC4A11" w:rsidRPr="00B323C8">
        <w:t xml:space="preserve"> and with the understanding that the judge would rely on it as evidence</w:t>
      </w:r>
      <w:r w:rsidR="00D51B7C" w:rsidRPr="00B323C8">
        <w:t>.</w:t>
      </w:r>
      <w:r w:rsidR="00C611EB" w:rsidRPr="00B323C8">
        <w:t xml:space="preserve">  Th</w:t>
      </w:r>
      <w:r w:rsidR="000F3386" w:rsidRPr="00B323C8">
        <w:t xml:space="preserve">ose circumstances </w:t>
      </w:r>
      <w:r w:rsidR="009F0CE2">
        <w:t xml:space="preserve">suffice to </w:t>
      </w:r>
      <w:r w:rsidR="00C611EB" w:rsidRPr="00B323C8">
        <w:t xml:space="preserve">make it </w:t>
      </w:r>
      <w:r w:rsidR="0034760B">
        <w:t>substantial evidence of incompetence.</w:t>
      </w:r>
    </w:p>
    <w:p w14:paraId="59752B9E" w14:textId="6DCCE7A8" w:rsidR="00B763E3" w:rsidRPr="00B323C8" w:rsidRDefault="00372293" w:rsidP="00B323C8">
      <w:pPr>
        <w:tabs>
          <w:tab w:val="left" w:pos="1440"/>
        </w:tabs>
        <w:ind w:firstLine="720"/>
      </w:pPr>
      <w:r w:rsidRPr="00B323C8">
        <w:t xml:space="preserve">Of </w:t>
      </w:r>
      <w:r w:rsidR="0024000B" w:rsidRPr="00B323C8">
        <w:t xml:space="preserve">particular </w:t>
      </w:r>
      <w:r w:rsidRPr="00B323C8">
        <w:t>significance here</w:t>
      </w:r>
      <w:r w:rsidR="00B36598" w:rsidRPr="00B323C8">
        <w:t xml:space="preserve"> is the thoroughness of Dr. Good’s analysis.  </w:t>
      </w:r>
      <w:r w:rsidR="00234452" w:rsidRPr="00B323C8">
        <w:t xml:space="preserve">Dr. Good </w:t>
      </w:r>
      <w:r w:rsidR="00FF549A" w:rsidRPr="00B323C8">
        <w:t xml:space="preserve">described his evaluation procedures </w:t>
      </w:r>
      <w:r w:rsidR="00106BF3" w:rsidRPr="00B323C8">
        <w:t>in detail</w:t>
      </w:r>
      <w:r w:rsidR="00FF549A" w:rsidRPr="00B323C8">
        <w:t>, summarized defendant</w:t>
      </w:r>
      <w:r w:rsidR="00D61F82" w:rsidRPr="00B323C8">
        <w:t>’</w:t>
      </w:r>
      <w:r w:rsidR="00FF549A" w:rsidRPr="00B323C8">
        <w:t xml:space="preserve">s </w:t>
      </w:r>
      <w:r w:rsidR="00106BF3" w:rsidRPr="00B323C8">
        <w:t xml:space="preserve">personal </w:t>
      </w:r>
      <w:r w:rsidR="00FF549A" w:rsidRPr="00B323C8">
        <w:t xml:space="preserve">background, </w:t>
      </w:r>
      <w:r w:rsidR="00742C4D" w:rsidRPr="00B323C8">
        <w:t xml:space="preserve">evaluated </w:t>
      </w:r>
      <w:r w:rsidR="00FF549A" w:rsidRPr="00B323C8">
        <w:t>defendant</w:t>
      </w:r>
      <w:r w:rsidR="00D61F82" w:rsidRPr="00B323C8">
        <w:t>’</w:t>
      </w:r>
      <w:r w:rsidR="00FF549A" w:rsidRPr="00B323C8">
        <w:t>s mental status a</w:t>
      </w:r>
      <w:r w:rsidR="002E7236" w:rsidRPr="00B323C8">
        <w:t>s of</w:t>
      </w:r>
      <w:r w:rsidR="00FF549A" w:rsidRPr="00B323C8">
        <w:t xml:space="preserve"> the time of the examination, </w:t>
      </w:r>
      <w:r w:rsidR="00E6217F" w:rsidRPr="00B323C8">
        <w:t xml:space="preserve">related </w:t>
      </w:r>
      <w:r w:rsidR="002E7236" w:rsidRPr="00B323C8">
        <w:t xml:space="preserve">in detail </w:t>
      </w:r>
      <w:r w:rsidR="00FF549A" w:rsidRPr="00B323C8">
        <w:t xml:space="preserve">the </w:t>
      </w:r>
      <w:r w:rsidR="008006D7" w:rsidRPr="00B323C8">
        <w:t xml:space="preserve">factual </w:t>
      </w:r>
      <w:r w:rsidR="00FF549A" w:rsidRPr="00B323C8">
        <w:t>basis for his diagnosis</w:t>
      </w:r>
      <w:r w:rsidR="00431DCA" w:rsidRPr="00B323C8">
        <w:t>, and</w:t>
      </w:r>
      <w:r w:rsidR="002E7236" w:rsidRPr="00B323C8">
        <w:t xml:space="preserve"> </w:t>
      </w:r>
      <w:r w:rsidR="00687639" w:rsidRPr="00B323C8">
        <w:t>set forth his diagnosis in cautious terms</w:t>
      </w:r>
      <w:r w:rsidR="00431DCA" w:rsidRPr="00B323C8">
        <w:t>.</w:t>
      </w:r>
      <w:r w:rsidR="00AD12B1" w:rsidRPr="00B323C8">
        <w:t xml:space="preserve">  </w:t>
      </w:r>
      <w:r w:rsidR="00B36598" w:rsidRPr="00B323C8">
        <w:t xml:space="preserve">Having done so, </w:t>
      </w:r>
      <w:r w:rsidR="00FF549A" w:rsidRPr="00B323C8">
        <w:t xml:space="preserve">Dr. Good then turned to the </w:t>
      </w:r>
      <w:r w:rsidR="00742C4D" w:rsidRPr="00B323C8">
        <w:t xml:space="preserve">specific </w:t>
      </w:r>
      <w:r w:rsidR="00FF549A" w:rsidRPr="00B323C8">
        <w:t xml:space="preserve">question of </w:t>
      </w:r>
      <w:r w:rsidR="00742C4D" w:rsidRPr="00B323C8">
        <w:t>defendant</w:t>
      </w:r>
      <w:r w:rsidR="00D61F82" w:rsidRPr="00B323C8">
        <w:t>’</w:t>
      </w:r>
      <w:r w:rsidR="00742C4D" w:rsidRPr="00B323C8">
        <w:t xml:space="preserve">s mental </w:t>
      </w:r>
      <w:r w:rsidR="00FF549A" w:rsidRPr="00B323C8">
        <w:t>competenc</w:t>
      </w:r>
      <w:r w:rsidR="007B0EFE" w:rsidRPr="00B323C8">
        <w:t>e</w:t>
      </w:r>
      <w:r w:rsidR="00FF549A" w:rsidRPr="00B323C8">
        <w:t xml:space="preserve"> to stand trial.</w:t>
      </w:r>
      <w:r w:rsidR="009469CF" w:rsidRPr="00B323C8">
        <w:t xml:space="preserve">  </w:t>
      </w:r>
      <w:r w:rsidR="008F00B4" w:rsidRPr="00B323C8">
        <w:t>Dr. Good readily conceded that in many respects, defendant was competent</w:t>
      </w:r>
      <w:r w:rsidR="00E94E0F" w:rsidRPr="00B323C8">
        <w:t xml:space="preserve"> to stand trial</w:t>
      </w:r>
      <w:r w:rsidR="008F00B4" w:rsidRPr="00B323C8">
        <w:t xml:space="preserve">.  For example, </w:t>
      </w:r>
      <w:r w:rsidR="009E1B82" w:rsidRPr="00B323C8">
        <w:t xml:space="preserve">Dr. Good </w:t>
      </w:r>
      <w:r w:rsidR="008F00B4" w:rsidRPr="00B323C8">
        <w:t xml:space="preserve">related </w:t>
      </w:r>
      <w:r w:rsidR="00687639" w:rsidRPr="00B323C8">
        <w:t>in detail defendant</w:t>
      </w:r>
      <w:r w:rsidR="00D61F82" w:rsidRPr="00B323C8">
        <w:t>’</w:t>
      </w:r>
      <w:r w:rsidR="00687639" w:rsidRPr="00B323C8">
        <w:t xml:space="preserve">s </w:t>
      </w:r>
      <w:r w:rsidR="00E94E0F" w:rsidRPr="00B323C8">
        <w:t xml:space="preserve">knowledge of criminal procedure.  </w:t>
      </w:r>
      <w:r w:rsidR="00772BE5" w:rsidRPr="00B323C8">
        <w:t xml:space="preserve">But </w:t>
      </w:r>
      <w:r w:rsidR="008006D7" w:rsidRPr="00B323C8">
        <w:t xml:space="preserve">then </w:t>
      </w:r>
      <w:r w:rsidR="00E6217F" w:rsidRPr="00B323C8">
        <w:t xml:space="preserve">Dr. Good </w:t>
      </w:r>
      <w:r w:rsidR="00E06F98" w:rsidRPr="00B323C8">
        <w:t>addressed</w:t>
      </w:r>
      <w:r w:rsidR="00755BDA" w:rsidRPr="00B323C8">
        <w:t xml:space="preserve"> </w:t>
      </w:r>
      <w:r w:rsidR="00772BE5" w:rsidRPr="00B323C8">
        <w:t xml:space="preserve">the </w:t>
      </w:r>
      <w:r w:rsidR="00412B88" w:rsidRPr="00B323C8">
        <w:t>specific</w:t>
      </w:r>
      <w:r w:rsidR="00B36598" w:rsidRPr="00B323C8">
        <w:t xml:space="preserve"> </w:t>
      </w:r>
      <w:r w:rsidR="00772BE5" w:rsidRPr="00B323C8">
        <w:lastRenderedPageBreak/>
        <w:t>ground</w:t>
      </w:r>
      <w:r w:rsidR="008006D7" w:rsidRPr="00B323C8">
        <w:t xml:space="preserve"> </w:t>
      </w:r>
      <w:r w:rsidR="00772BE5" w:rsidRPr="00B323C8">
        <w:t xml:space="preserve">on which he </w:t>
      </w:r>
      <w:r w:rsidR="00106BF3" w:rsidRPr="00B323C8">
        <w:t xml:space="preserve">concluded </w:t>
      </w:r>
      <w:r w:rsidR="00772BE5" w:rsidRPr="00B323C8">
        <w:t xml:space="preserve">that defendant was </w:t>
      </w:r>
      <w:r w:rsidR="008D1869" w:rsidRPr="00B323C8">
        <w:t xml:space="preserve">not </w:t>
      </w:r>
      <w:r w:rsidR="00772BE5" w:rsidRPr="00B323C8">
        <w:t>competent</w:t>
      </w:r>
      <w:r w:rsidR="00E94E0F" w:rsidRPr="00B323C8">
        <w:t xml:space="preserve"> to stand trial</w:t>
      </w:r>
      <w:r w:rsidR="00CE6B7E" w:rsidRPr="00B323C8">
        <w:t xml:space="preserve">, that is, </w:t>
      </w:r>
      <w:bookmarkStart w:id="28" w:name="_Hlk73808238"/>
      <w:r w:rsidR="00CE6B7E" w:rsidRPr="00B323C8">
        <w:t xml:space="preserve">his </w:t>
      </w:r>
      <w:r w:rsidR="00772BE5" w:rsidRPr="00B323C8">
        <w:t>“</w:t>
      </w:r>
      <w:r w:rsidR="000E38EA">
        <w:t> ‘</w:t>
      </w:r>
      <w:r w:rsidR="00772BE5" w:rsidRPr="00B323C8">
        <w:t>present ability to consult with his lawyer with a reasonable degree of rational understanding.</w:t>
      </w:r>
      <w:r w:rsidR="000E38EA">
        <w:t>’ </w:t>
      </w:r>
      <w:r w:rsidR="00772BE5" w:rsidRPr="00B323C8">
        <w:t>”</w:t>
      </w:r>
      <w:bookmarkEnd w:id="28"/>
      <w:r w:rsidR="00617584" w:rsidRPr="00B323C8">
        <w:t xml:space="preserve">  (</w:t>
      </w:r>
      <w:r w:rsidR="008006D7" w:rsidRPr="00B323C8">
        <w:rPr>
          <w:i/>
        </w:rPr>
        <w:t>Dusky</w:t>
      </w:r>
      <w:r w:rsidR="008006D7" w:rsidRPr="00B323C8">
        <w:t xml:space="preserve">, </w:t>
      </w:r>
      <w:bookmarkStart w:id="29" w:name="_Hlk65081440"/>
      <w:r w:rsidR="008006D7" w:rsidRPr="00B323C8">
        <w:rPr>
          <w:i/>
        </w:rPr>
        <w:t>supra</w:t>
      </w:r>
      <w:r w:rsidR="008006D7" w:rsidRPr="00B323C8">
        <w:t xml:space="preserve">, 362 U.S. </w:t>
      </w:r>
      <w:r w:rsidR="000E38EA">
        <w:t xml:space="preserve">at p. </w:t>
      </w:r>
      <w:r w:rsidR="008006D7" w:rsidRPr="00B323C8">
        <w:t>402</w:t>
      </w:r>
      <w:bookmarkEnd w:id="29"/>
      <w:r w:rsidR="00617584" w:rsidRPr="00B323C8">
        <w:t xml:space="preserve">.)  </w:t>
      </w:r>
      <w:r w:rsidR="00772BE5" w:rsidRPr="00B323C8">
        <w:t xml:space="preserve">Dr. Good gave a </w:t>
      </w:r>
      <w:r w:rsidR="00DC257E" w:rsidRPr="00B323C8">
        <w:t xml:space="preserve">full </w:t>
      </w:r>
      <w:r w:rsidR="00772BE5" w:rsidRPr="00B323C8">
        <w:t>history of defend</w:t>
      </w:r>
      <w:r w:rsidR="00755BDA" w:rsidRPr="00B323C8">
        <w:t>a</w:t>
      </w:r>
      <w:r w:rsidR="00772BE5" w:rsidRPr="00B323C8">
        <w:t>nt</w:t>
      </w:r>
      <w:r w:rsidR="00D61F82" w:rsidRPr="00B323C8">
        <w:t>’</w:t>
      </w:r>
      <w:r w:rsidR="00772BE5" w:rsidRPr="00B323C8">
        <w:t xml:space="preserve">s </w:t>
      </w:r>
      <w:r w:rsidR="00E94E0F" w:rsidRPr="00B323C8">
        <w:t xml:space="preserve">dysfunctional </w:t>
      </w:r>
      <w:r w:rsidR="00772BE5" w:rsidRPr="00B323C8">
        <w:t>relationships with counsel</w:t>
      </w:r>
      <w:r w:rsidR="00C565B8" w:rsidRPr="00B323C8">
        <w:t xml:space="preserve"> and</w:t>
      </w:r>
      <w:r w:rsidR="000403FA" w:rsidRPr="00B323C8">
        <w:t xml:space="preserve"> then </w:t>
      </w:r>
      <w:proofErr w:type="gramStart"/>
      <w:r w:rsidR="000403FA" w:rsidRPr="00B323C8">
        <w:t>directly linked</w:t>
      </w:r>
      <w:proofErr w:type="gramEnd"/>
      <w:r w:rsidR="000403FA" w:rsidRPr="00B323C8">
        <w:t xml:space="preserve"> defendant</w:t>
      </w:r>
      <w:r w:rsidR="00D61F82" w:rsidRPr="00B323C8">
        <w:t>’</w:t>
      </w:r>
      <w:r w:rsidR="000403FA" w:rsidRPr="00B323C8">
        <w:t xml:space="preserve">s inability, in practice, to work with counsel to his “paranoid mental disorder,” which caused </w:t>
      </w:r>
      <w:r w:rsidR="00B36598" w:rsidRPr="00B323C8">
        <w:t xml:space="preserve">defendant </w:t>
      </w:r>
      <w:r w:rsidR="000403FA" w:rsidRPr="00B323C8">
        <w:t xml:space="preserve">to have a “hypercritical and suspicious stance towards his attorneys.”  In this regard, Dr. Good </w:t>
      </w:r>
      <w:r w:rsidR="00B36598" w:rsidRPr="00B323C8">
        <w:t xml:space="preserve">particularly </w:t>
      </w:r>
      <w:r w:rsidR="000403FA" w:rsidRPr="00B323C8">
        <w:t>noted defendant</w:t>
      </w:r>
      <w:r w:rsidR="00D61F82" w:rsidRPr="00B323C8">
        <w:t>’</w:t>
      </w:r>
      <w:r w:rsidR="000403FA" w:rsidRPr="00B323C8">
        <w:t>s “self-importance and prideful independence” and also “his grandiosity,” stating, “on this ground, I find him incompetent to stand trial.”</w:t>
      </w:r>
      <w:r w:rsidR="009469CF" w:rsidRPr="00B323C8">
        <w:t xml:space="preserve">  </w:t>
      </w:r>
      <w:r w:rsidR="000403FA" w:rsidRPr="00B323C8">
        <w:t xml:space="preserve">Dr. Good </w:t>
      </w:r>
      <w:r w:rsidR="008C0E05" w:rsidRPr="00B323C8">
        <w:t>further</w:t>
      </w:r>
      <w:r w:rsidR="00B36598" w:rsidRPr="00B323C8">
        <w:t xml:space="preserve"> </w:t>
      </w:r>
      <w:r w:rsidR="000403FA" w:rsidRPr="00B323C8">
        <w:t xml:space="preserve">noted </w:t>
      </w:r>
      <w:r w:rsidR="00B763E3" w:rsidRPr="00B323C8">
        <w:t>that defendant</w:t>
      </w:r>
      <w:r w:rsidR="00D61F82" w:rsidRPr="00B323C8">
        <w:t>’</w:t>
      </w:r>
      <w:r w:rsidR="00B763E3" w:rsidRPr="00B323C8">
        <w:t>s “paranoid mental state” caused him to “minimiz[e] the precariousness of his predicament.”</w:t>
      </w:r>
    </w:p>
    <w:p w14:paraId="5F3D3F43" w14:textId="611BC13C" w:rsidR="00C57494" w:rsidRPr="00B323C8" w:rsidRDefault="002E57E8" w:rsidP="00B323C8">
      <w:pPr>
        <w:tabs>
          <w:tab w:val="left" w:pos="1440"/>
        </w:tabs>
        <w:ind w:firstLine="720"/>
      </w:pPr>
      <w:r w:rsidRPr="00B323C8">
        <w:t>In summary, Dr. Good</w:t>
      </w:r>
      <w:r w:rsidR="00D61F82" w:rsidRPr="00B323C8">
        <w:t>’</w:t>
      </w:r>
      <w:r w:rsidRPr="00B323C8">
        <w:t>s opinion</w:t>
      </w:r>
      <w:r w:rsidR="00044137" w:rsidRPr="00B323C8">
        <w:t xml:space="preserve"> was presented</w:t>
      </w:r>
      <w:r w:rsidR="00E5679C" w:rsidRPr="00B323C8">
        <w:t xml:space="preserve"> to the court</w:t>
      </w:r>
      <w:r w:rsidR="00044137" w:rsidRPr="00B323C8">
        <w:t xml:space="preserve"> in a form that made it reliable, and</w:t>
      </w:r>
      <w:r w:rsidRPr="00B323C8">
        <w:t xml:space="preserve"> unlike the opinion of Dr. Davis </w:t>
      </w:r>
      <w:r w:rsidR="00184528" w:rsidRPr="00B323C8">
        <w:t xml:space="preserve">at issue </w:t>
      </w:r>
      <w:r w:rsidR="00886BFE" w:rsidRPr="00B323C8">
        <w:t xml:space="preserve">in </w:t>
      </w:r>
      <w:r w:rsidRPr="00B323C8">
        <w:rPr>
          <w:i/>
        </w:rPr>
        <w:t>Lewis and Oliver</w:t>
      </w:r>
      <w:r w:rsidRPr="00B323C8">
        <w:t xml:space="preserve">, </w:t>
      </w:r>
      <w:r w:rsidR="00AD12B1" w:rsidRPr="00B323C8">
        <w:rPr>
          <w:i/>
        </w:rPr>
        <w:t>supra</w:t>
      </w:r>
      <w:r w:rsidR="00AD12B1" w:rsidRPr="00B323C8">
        <w:t xml:space="preserve">, 39 Cal.4th 970, </w:t>
      </w:r>
      <w:r w:rsidR="00044137" w:rsidRPr="00B323C8">
        <w:t>Dr. Good</w:t>
      </w:r>
      <w:r w:rsidR="00D61F82" w:rsidRPr="00B323C8">
        <w:t>’</w:t>
      </w:r>
      <w:r w:rsidR="00044137" w:rsidRPr="00B323C8">
        <w:t xml:space="preserve">s opinion </w:t>
      </w:r>
      <w:r w:rsidRPr="00B323C8">
        <w:t xml:space="preserve">was </w:t>
      </w:r>
      <w:r w:rsidR="00B36598" w:rsidRPr="00B323C8">
        <w:t xml:space="preserve">well supported and </w:t>
      </w:r>
      <w:r w:rsidR="00C32049" w:rsidRPr="00B323C8">
        <w:t>facially persuasive</w:t>
      </w:r>
      <w:r w:rsidR="00607B1A" w:rsidRPr="00B323C8">
        <w:t xml:space="preserve">.  </w:t>
      </w:r>
      <w:r w:rsidR="00412B88" w:rsidRPr="00B323C8">
        <w:t xml:space="preserve">Therefore, Dr. Good’s opinion constitutes </w:t>
      </w:r>
      <w:r w:rsidR="00211CFD" w:rsidRPr="00B323C8">
        <w:t xml:space="preserve">substantial evidence as a matter of law of defendant’s mental incompetence.  </w:t>
      </w:r>
      <w:r w:rsidR="001773B6" w:rsidRPr="00B323C8">
        <w:t>I</w:t>
      </w:r>
      <w:r w:rsidR="00E978AF" w:rsidRPr="00B323C8">
        <w:t>n order to reject Dr. Good</w:t>
      </w:r>
      <w:r w:rsidR="00D61F82" w:rsidRPr="00B323C8">
        <w:t>’</w:t>
      </w:r>
      <w:r w:rsidR="00E978AF" w:rsidRPr="00B323C8">
        <w:t>s opinion</w:t>
      </w:r>
      <w:r w:rsidR="00E429D3" w:rsidRPr="00B323C8">
        <w:t xml:space="preserve">, the trial court </w:t>
      </w:r>
      <w:r w:rsidR="00211CFD" w:rsidRPr="00B323C8">
        <w:t>relied on its own experience interacting with defendant</w:t>
      </w:r>
      <w:r w:rsidR="00527587" w:rsidRPr="00B323C8">
        <w:t> </w:t>
      </w:r>
      <w:r w:rsidR="00952D8A" w:rsidRPr="00B323C8">
        <w:t>—</w:t>
      </w:r>
      <w:r w:rsidR="00527587" w:rsidRPr="00B323C8">
        <w:t xml:space="preserve"> </w:t>
      </w:r>
      <w:r w:rsidR="00952D8A" w:rsidRPr="00B323C8">
        <w:t xml:space="preserve">an approach </w:t>
      </w:r>
      <w:r w:rsidR="001773B6" w:rsidRPr="00B323C8">
        <w:t xml:space="preserve">we </w:t>
      </w:r>
      <w:r w:rsidR="00184528" w:rsidRPr="00B323C8">
        <w:t xml:space="preserve">expressly </w:t>
      </w:r>
      <w:r w:rsidR="00DC257E" w:rsidRPr="00B323C8">
        <w:t xml:space="preserve">rejected in </w:t>
      </w:r>
      <w:r w:rsidR="00DC257E" w:rsidRPr="00B323C8">
        <w:rPr>
          <w:i/>
        </w:rPr>
        <w:t>Rodas</w:t>
      </w:r>
      <w:r w:rsidR="00DC257E" w:rsidRPr="00B323C8">
        <w:t xml:space="preserve">, </w:t>
      </w:r>
      <w:r w:rsidR="00DC257E" w:rsidRPr="00B323C8">
        <w:rPr>
          <w:i/>
        </w:rPr>
        <w:t>supra</w:t>
      </w:r>
      <w:r w:rsidR="00DC257E" w:rsidRPr="00B323C8">
        <w:t>, 6 Cal.5th 219, where we said that “in the face of substantial evidence raising a doubt about defendant</w:t>
      </w:r>
      <w:r w:rsidR="00D61F82" w:rsidRPr="00B323C8">
        <w:t>’</w:t>
      </w:r>
      <w:r w:rsidR="00DC257E" w:rsidRPr="00B323C8">
        <w:t>s competence, defendant</w:t>
      </w:r>
      <w:r w:rsidR="00D61F82" w:rsidRPr="00B323C8">
        <w:t>’</w:t>
      </w:r>
      <w:r w:rsidR="00DC257E" w:rsidRPr="00B323C8">
        <w:t>s demeanor and responses supplied [the trial court with] no basis for dispensing with further inquiry”</w:t>
      </w:r>
      <w:r w:rsidR="00BB14D3" w:rsidRPr="00B323C8">
        <w:t xml:space="preserve"> in the form of </w:t>
      </w:r>
      <w:r w:rsidR="008C0E05" w:rsidRPr="00B323C8">
        <w:t xml:space="preserve">proceedings under sections 1368 and </w:t>
      </w:r>
      <w:r w:rsidR="00BB14D3" w:rsidRPr="00B323C8">
        <w:t>1369.</w:t>
      </w:r>
      <w:r w:rsidR="00DC257E" w:rsidRPr="00B323C8">
        <w:t xml:space="preserve">  (</w:t>
      </w:r>
      <w:r w:rsidR="00DC257E" w:rsidRPr="00B323C8">
        <w:rPr>
          <w:i/>
          <w:iCs/>
        </w:rPr>
        <w:t>Id</w:t>
      </w:r>
      <w:r w:rsidR="00DC257E" w:rsidRPr="00B323C8">
        <w:t>. at p. 234.)</w:t>
      </w:r>
    </w:p>
    <w:p w14:paraId="051079B1" w14:textId="2CBAA7D8" w:rsidR="00C5047F" w:rsidRPr="00B323C8" w:rsidRDefault="00C34004" w:rsidP="00B323C8">
      <w:pPr>
        <w:tabs>
          <w:tab w:val="left" w:pos="1440"/>
        </w:tabs>
        <w:ind w:firstLine="720"/>
      </w:pPr>
      <w:r w:rsidRPr="00B323C8">
        <w:t>Moreover</w:t>
      </w:r>
      <w:r w:rsidR="00FA1B76" w:rsidRPr="00B323C8">
        <w:t xml:space="preserve">, </w:t>
      </w:r>
      <w:r w:rsidR="008C1974" w:rsidRPr="00B323C8">
        <w:t>we have said that the trial court</w:t>
      </w:r>
      <w:r w:rsidR="00D61F82" w:rsidRPr="00B323C8">
        <w:t>’</w:t>
      </w:r>
      <w:r w:rsidR="008C1974" w:rsidRPr="00B323C8">
        <w:t>s “duty to assess competence is a continuing one</w:t>
      </w:r>
      <w:r w:rsidR="00291111" w:rsidRPr="00B323C8">
        <w:t>.</w:t>
      </w:r>
      <w:r w:rsidR="008C1974" w:rsidRPr="00B323C8">
        <w:t>”</w:t>
      </w:r>
      <w:r w:rsidR="00957751" w:rsidRPr="00B323C8">
        <w:t xml:space="preserve"> </w:t>
      </w:r>
      <w:r w:rsidR="00291111" w:rsidRPr="00B323C8">
        <w:t xml:space="preserve"> </w:t>
      </w:r>
      <w:r w:rsidR="00957751" w:rsidRPr="00B323C8">
        <w:t>(</w:t>
      </w:r>
      <w:r w:rsidR="00957751" w:rsidRPr="00B323C8">
        <w:rPr>
          <w:i/>
        </w:rPr>
        <w:t>Rodas</w:t>
      </w:r>
      <w:r w:rsidR="00957751" w:rsidRPr="00B323C8">
        <w:t xml:space="preserve">, </w:t>
      </w:r>
      <w:r w:rsidR="00957751" w:rsidRPr="00B323C8">
        <w:rPr>
          <w:i/>
        </w:rPr>
        <w:t>supra</w:t>
      </w:r>
      <w:r w:rsidR="00957751" w:rsidRPr="00B323C8">
        <w:t>, 6 Cal.5th at p. 23</w:t>
      </w:r>
      <w:r w:rsidR="00754EE5">
        <w:t>6</w:t>
      </w:r>
      <w:r w:rsidR="00957751" w:rsidRPr="00B323C8">
        <w:t>, fn. 5</w:t>
      </w:r>
      <w:r w:rsidR="00291111" w:rsidRPr="00B323C8">
        <w:t>.</w:t>
      </w:r>
      <w:r w:rsidR="00957751" w:rsidRPr="00B323C8">
        <w:t>)  Here, t</w:t>
      </w:r>
      <w:r w:rsidR="002706F7" w:rsidRPr="00B323C8">
        <w:t>herefore</w:t>
      </w:r>
      <w:r w:rsidR="00957751" w:rsidRPr="00B323C8">
        <w:t>,</w:t>
      </w:r>
      <w:r w:rsidR="002706F7" w:rsidRPr="00B323C8">
        <w:t xml:space="preserve"> we </w:t>
      </w:r>
      <w:r w:rsidR="00952D8A" w:rsidRPr="00B323C8">
        <w:t xml:space="preserve">also </w:t>
      </w:r>
      <w:r w:rsidR="002706F7" w:rsidRPr="00B323C8">
        <w:t xml:space="preserve">appropriately consider </w:t>
      </w:r>
      <w:r w:rsidR="002706F7" w:rsidRPr="00B323C8">
        <w:lastRenderedPageBreak/>
        <w:t>defendant</w:t>
      </w:r>
      <w:r w:rsidR="00D61F82" w:rsidRPr="00B323C8">
        <w:t>’</w:t>
      </w:r>
      <w:r w:rsidR="002706F7" w:rsidRPr="00B323C8">
        <w:t xml:space="preserve">s conduct </w:t>
      </w:r>
      <w:r w:rsidR="0045675B" w:rsidRPr="00B323C8">
        <w:t xml:space="preserve">during </w:t>
      </w:r>
      <w:r w:rsidR="002706F7" w:rsidRPr="00B323C8">
        <w:t>trial</w:t>
      </w:r>
      <w:r w:rsidR="00957751" w:rsidRPr="00B323C8">
        <w:t xml:space="preserve"> i</w:t>
      </w:r>
      <w:r w:rsidR="002706F7" w:rsidRPr="00B323C8">
        <w:t>n deciding whether a doubt was raised about defendant</w:t>
      </w:r>
      <w:r w:rsidR="00D61F82" w:rsidRPr="00B323C8">
        <w:t>’</w:t>
      </w:r>
      <w:r w:rsidR="002706F7" w:rsidRPr="00B323C8">
        <w:t xml:space="preserve">s mental competence. </w:t>
      </w:r>
      <w:r w:rsidR="00957751" w:rsidRPr="00B323C8">
        <w:t xml:space="preserve"> </w:t>
      </w:r>
      <w:r w:rsidR="00291111" w:rsidRPr="00B323C8">
        <w:t xml:space="preserve">As noted, </w:t>
      </w:r>
      <w:r w:rsidR="0045675B" w:rsidRPr="00B323C8">
        <w:t>Dr. Good</w:t>
      </w:r>
      <w:r w:rsidR="00291111" w:rsidRPr="00B323C8">
        <w:t xml:space="preserve"> found defendant incompetent to stand trial because defendant lacked the ability to consult </w:t>
      </w:r>
      <w:r w:rsidR="00545939" w:rsidRPr="00B323C8">
        <w:t xml:space="preserve">rationally </w:t>
      </w:r>
      <w:r w:rsidR="00291111" w:rsidRPr="00B323C8">
        <w:t xml:space="preserve">with counsel.  In that regard, Dr. Good mentioned </w:t>
      </w:r>
      <w:r w:rsidR="008C1974" w:rsidRPr="00B323C8">
        <w:t>defendant</w:t>
      </w:r>
      <w:r w:rsidR="00D61F82" w:rsidRPr="00B323C8">
        <w:t>’</w:t>
      </w:r>
      <w:r w:rsidR="008C1974" w:rsidRPr="00B323C8">
        <w:t xml:space="preserve">s “grandiosity” </w:t>
      </w:r>
      <w:bookmarkStart w:id="30" w:name="_Hlk64987402"/>
      <w:r w:rsidR="00291111" w:rsidRPr="00B323C8">
        <w:t xml:space="preserve">and </w:t>
      </w:r>
      <w:r w:rsidR="008C1974" w:rsidRPr="00B323C8">
        <w:t>his “hostility at those who [took] seriously his predicament</w:t>
      </w:r>
      <w:r w:rsidR="00F520EB" w:rsidRPr="00B323C8">
        <w:t>,</w:t>
      </w:r>
      <w:r w:rsidR="008C1974" w:rsidRPr="00B323C8">
        <w:t>”</w:t>
      </w:r>
      <w:bookmarkEnd w:id="30"/>
      <w:r w:rsidR="00F520EB" w:rsidRPr="00B323C8">
        <w:t xml:space="preserve"> both of which were </w:t>
      </w:r>
      <w:r w:rsidR="008C0E05" w:rsidRPr="00B323C8">
        <w:t xml:space="preserve">a result of his </w:t>
      </w:r>
      <w:r w:rsidR="00F520EB" w:rsidRPr="00B323C8">
        <w:t>mental illness.</w:t>
      </w:r>
      <w:r w:rsidR="00825C85" w:rsidRPr="00B323C8">
        <w:t xml:space="preserve">  </w:t>
      </w:r>
      <w:r w:rsidR="00545939" w:rsidRPr="00B323C8">
        <w:t xml:space="preserve">Defendant’s bizarre behavior at trial </w:t>
      </w:r>
      <w:r w:rsidR="00F520EB" w:rsidRPr="00B323C8">
        <w:t xml:space="preserve">served only to </w:t>
      </w:r>
      <w:r w:rsidR="00545939" w:rsidRPr="00B323C8">
        <w:t>confirm and reinforce Dr. Good’s conclusion</w:t>
      </w:r>
      <w:r w:rsidR="00F520EB" w:rsidRPr="00B323C8">
        <w:t>s</w:t>
      </w:r>
      <w:r w:rsidR="00545939" w:rsidRPr="00B323C8">
        <w:t>.  Indeed, even behavior that would be insignificant if viewed in isolation tend</w:t>
      </w:r>
      <w:r w:rsidR="00F520EB" w:rsidRPr="00B323C8">
        <w:t>ed</w:t>
      </w:r>
      <w:r w:rsidR="00545939" w:rsidRPr="00B323C8">
        <w:t xml:space="preserve"> cumulatively to present an overall picture of a man who</w:t>
      </w:r>
      <w:r w:rsidR="00952D8A" w:rsidRPr="00B323C8">
        <w:t xml:space="preserve">se behavior reflected </w:t>
      </w:r>
      <w:r w:rsidR="00545939" w:rsidRPr="00B323C8">
        <w:t xml:space="preserve">the precise traits </w:t>
      </w:r>
      <w:r w:rsidR="00F520EB" w:rsidRPr="00B323C8">
        <w:t xml:space="preserve">Dr. Good described.  There is no reason to </w:t>
      </w:r>
      <w:r w:rsidR="00125F13" w:rsidRPr="00B323C8">
        <w:t xml:space="preserve">reiterate </w:t>
      </w:r>
      <w:r w:rsidR="008633D4" w:rsidRPr="00B323C8">
        <w:t xml:space="preserve">each detail of </w:t>
      </w:r>
      <w:r w:rsidR="00125F13" w:rsidRPr="00B323C8">
        <w:t xml:space="preserve">defendant’s </w:t>
      </w:r>
      <w:r w:rsidR="008633D4" w:rsidRPr="00B323C8">
        <w:t>bizarre behavior</w:t>
      </w:r>
      <w:r w:rsidR="008C0E05" w:rsidRPr="00B323C8">
        <w:t xml:space="preserve"> at trial</w:t>
      </w:r>
      <w:r w:rsidR="00125F13" w:rsidRPr="00B323C8">
        <w:t xml:space="preserve">, but it is worth noting </w:t>
      </w:r>
      <w:r w:rsidR="00EB2ED4" w:rsidRPr="00B323C8">
        <w:t xml:space="preserve">a few examples </w:t>
      </w:r>
      <w:r w:rsidR="002547F4" w:rsidRPr="00B323C8">
        <w:t xml:space="preserve">of defendant’s conduct that </w:t>
      </w:r>
      <w:r w:rsidR="005A3869" w:rsidRPr="00B323C8">
        <w:t>validate</w:t>
      </w:r>
      <w:r w:rsidR="00EB2ED4" w:rsidRPr="00B323C8">
        <w:t>d</w:t>
      </w:r>
      <w:r w:rsidR="005A3869" w:rsidRPr="00B323C8">
        <w:t xml:space="preserve"> </w:t>
      </w:r>
      <w:r w:rsidR="002547F4" w:rsidRPr="00B323C8">
        <w:t>Dr. Good’s opinion.</w:t>
      </w:r>
      <w:r w:rsidR="008633D4" w:rsidRPr="00B323C8">
        <w:t xml:space="preserve">  For example, defendant repeatedly insisted that he had done a good thing by killing Julie and Paul, and that the children appreciated it.  He </w:t>
      </w:r>
      <w:r w:rsidR="00D64147" w:rsidRPr="00B323C8">
        <w:t>admitted that</w:t>
      </w:r>
      <w:r w:rsidR="006235BB" w:rsidRPr="00B323C8">
        <w:t xml:space="preserve"> </w:t>
      </w:r>
      <w:r w:rsidR="00125F13" w:rsidRPr="00B323C8">
        <w:t xml:space="preserve">he </w:t>
      </w:r>
      <w:r w:rsidR="00901E44">
        <w:t>did not</w:t>
      </w:r>
      <w:r w:rsidR="00125F13" w:rsidRPr="00B323C8">
        <w:t xml:space="preserve"> mind killing people, </w:t>
      </w:r>
      <w:r w:rsidR="008633D4" w:rsidRPr="00B323C8">
        <w:t xml:space="preserve">saying that only his sense of morality kept him from being </w:t>
      </w:r>
      <w:r w:rsidR="006235BB" w:rsidRPr="00B323C8">
        <w:t>a serial killer</w:t>
      </w:r>
      <w:r w:rsidR="008633D4" w:rsidRPr="00B323C8">
        <w:t xml:space="preserve"> and </w:t>
      </w:r>
      <w:r w:rsidR="00125F13" w:rsidRPr="00B323C8">
        <w:t xml:space="preserve">that </w:t>
      </w:r>
      <w:r w:rsidR="006235BB" w:rsidRPr="00B323C8">
        <w:t xml:space="preserve">he </w:t>
      </w:r>
      <w:r w:rsidR="00125F13" w:rsidRPr="00B323C8">
        <w:t xml:space="preserve">would kill </w:t>
      </w:r>
      <w:r w:rsidR="008917D6" w:rsidRPr="00B323C8">
        <w:t xml:space="preserve">people </w:t>
      </w:r>
      <w:r w:rsidR="00125F13" w:rsidRPr="00B323C8">
        <w:t>whe</w:t>
      </w:r>
      <w:r w:rsidR="00E1200A" w:rsidRPr="00B323C8">
        <w:t>n</w:t>
      </w:r>
      <w:r w:rsidR="00125F13" w:rsidRPr="00B323C8">
        <w:t xml:space="preserve">, in his moral judgment, </w:t>
      </w:r>
      <w:r w:rsidR="00E6015A" w:rsidRPr="00B323C8">
        <w:t xml:space="preserve">it was necessary to </w:t>
      </w:r>
      <w:r w:rsidR="008917D6" w:rsidRPr="00B323C8">
        <w:t>do so</w:t>
      </w:r>
      <w:r w:rsidR="00125F13" w:rsidRPr="00B323C8">
        <w:t>.</w:t>
      </w:r>
      <w:r w:rsidR="008633D4" w:rsidRPr="00B323C8">
        <w:t xml:space="preserve">  </w:t>
      </w:r>
      <w:r w:rsidR="00EB2ED4" w:rsidRPr="00B323C8">
        <w:t>In addition, d</w:t>
      </w:r>
      <w:r w:rsidR="008633D4" w:rsidRPr="00B323C8">
        <w:t xml:space="preserve">efendant </w:t>
      </w:r>
      <w:r w:rsidR="00EB2ED4" w:rsidRPr="00B323C8">
        <w:t>r</w:t>
      </w:r>
      <w:r w:rsidR="008633D4" w:rsidRPr="00B323C8">
        <w:t>epeatedly insulted the jurors, calling them “lumpers,” “comically challenged,” and “midgets</w:t>
      </w:r>
      <w:r w:rsidR="00BF188D">
        <w:t>.</w:t>
      </w:r>
      <w:r w:rsidR="008633D4" w:rsidRPr="00B323C8">
        <w:t>”</w:t>
      </w:r>
      <w:r w:rsidR="00AA515B" w:rsidRPr="00B323C8">
        <w:t xml:space="preserve">  Finally, d</w:t>
      </w:r>
      <w:r w:rsidR="000537FF" w:rsidRPr="00B323C8">
        <w:t xml:space="preserve">efendant sabotaged his </w:t>
      </w:r>
      <w:r w:rsidR="00AA515B" w:rsidRPr="00B323C8">
        <w:t xml:space="preserve">own </w:t>
      </w:r>
      <w:r w:rsidR="000537FF" w:rsidRPr="00B323C8">
        <w:t>defense because of anger over pe</w:t>
      </w:r>
      <w:r w:rsidR="00B94369" w:rsidRPr="00B323C8">
        <w:t>rceived slights</w:t>
      </w:r>
      <w:r w:rsidR="008633D4" w:rsidRPr="00B323C8">
        <w:t xml:space="preserve">, and he </w:t>
      </w:r>
      <w:r w:rsidR="00AA515B" w:rsidRPr="00B323C8">
        <w:t xml:space="preserve">repeatedly </w:t>
      </w:r>
      <w:r w:rsidR="00E6015A" w:rsidRPr="00B323C8">
        <w:t xml:space="preserve">expressed </w:t>
      </w:r>
      <w:r w:rsidR="00AA515B" w:rsidRPr="00B323C8">
        <w:t xml:space="preserve">his </w:t>
      </w:r>
      <w:r w:rsidR="00E6015A" w:rsidRPr="00B323C8">
        <w:t xml:space="preserve">violent intentions </w:t>
      </w:r>
      <w:r w:rsidR="008633D4" w:rsidRPr="00B323C8">
        <w:t>regarding lawyers</w:t>
      </w:r>
      <w:r w:rsidR="00E6015A" w:rsidRPr="00B323C8">
        <w:t>.</w:t>
      </w:r>
      <w:r w:rsidR="00AA515B" w:rsidRPr="00B323C8">
        <w:t xml:space="preserve">  </w:t>
      </w:r>
      <w:r w:rsidR="005A3869" w:rsidRPr="00B323C8">
        <w:t>T</w:t>
      </w:r>
      <w:r w:rsidR="00552BDA" w:rsidRPr="00B323C8">
        <w:t xml:space="preserve">hese incidents </w:t>
      </w:r>
      <w:r w:rsidR="00EB2ED4" w:rsidRPr="00B323C8">
        <w:t xml:space="preserve">and others </w:t>
      </w:r>
      <w:r w:rsidR="005A3869" w:rsidRPr="00B323C8">
        <w:t xml:space="preserve">evidence his “grandiosity” and “hostility at those who [took] seriously his predicament,” thus </w:t>
      </w:r>
      <w:r w:rsidR="00552BDA" w:rsidRPr="00B323C8">
        <w:t>support</w:t>
      </w:r>
      <w:r w:rsidR="005A3869" w:rsidRPr="00B323C8">
        <w:t>ing</w:t>
      </w:r>
      <w:r w:rsidR="00552BDA" w:rsidRPr="00B323C8">
        <w:t xml:space="preserve"> Dr. Good</w:t>
      </w:r>
      <w:r w:rsidR="00D61F82" w:rsidRPr="00B323C8">
        <w:t>’</w:t>
      </w:r>
      <w:r w:rsidR="00552BDA" w:rsidRPr="00B323C8">
        <w:t xml:space="preserve">s </w:t>
      </w:r>
      <w:r w:rsidR="00EB2ED4" w:rsidRPr="00B323C8">
        <w:t xml:space="preserve">finding </w:t>
      </w:r>
      <w:r w:rsidR="00AA515B" w:rsidRPr="00B323C8">
        <w:t>that defendant</w:t>
      </w:r>
      <w:r w:rsidR="005A3869" w:rsidRPr="00B323C8">
        <w:t xml:space="preserve"> </w:t>
      </w:r>
      <w:r w:rsidR="00AA515B" w:rsidRPr="00B323C8">
        <w:t>lacked the ability to consult rationally with counsel.</w:t>
      </w:r>
    </w:p>
    <w:p w14:paraId="6E8FF6A5" w14:textId="7F4BC33A" w:rsidR="00722469" w:rsidRPr="00B323C8" w:rsidRDefault="002547F4" w:rsidP="00B323C8">
      <w:pPr>
        <w:tabs>
          <w:tab w:val="left" w:pos="1440"/>
        </w:tabs>
        <w:ind w:firstLine="720"/>
      </w:pPr>
      <w:r w:rsidRPr="00B323C8">
        <w:t xml:space="preserve">In reaching this conclusion, we are mindful of the </w:t>
      </w:r>
      <w:r w:rsidR="00DA55C8" w:rsidRPr="00B323C8">
        <w:t>Attorney General</w:t>
      </w:r>
      <w:r w:rsidRPr="00B323C8">
        <w:t>’s</w:t>
      </w:r>
      <w:r w:rsidR="005A3869" w:rsidRPr="00B323C8">
        <w:t xml:space="preserve"> </w:t>
      </w:r>
      <w:r w:rsidR="00DA55C8" w:rsidRPr="00B323C8">
        <w:t xml:space="preserve">references </w:t>
      </w:r>
      <w:r w:rsidRPr="00B323C8">
        <w:t xml:space="preserve">to </w:t>
      </w:r>
      <w:r w:rsidR="00DA55C8" w:rsidRPr="00B323C8">
        <w:t>defendant</w:t>
      </w:r>
      <w:r w:rsidR="00D61F82" w:rsidRPr="00B323C8">
        <w:t>’</w:t>
      </w:r>
      <w:r w:rsidR="00DA55C8" w:rsidRPr="00B323C8">
        <w:t>s relative sophistication.</w:t>
      </w:r>
      <w:r w:rsidR="00AD2FA6" w:rsidRPr="00B323C8">
        <w:t xml:space="preserve">  </w:t>
      </w:r>
      <w:r w:rsidRPr="00B323C8">
        <w:lastRenderedPageBreak/>
        <w:t>Critically, i</w:t>
      </w:r>
      <w:r w:rsidR="00D947EF" w:rsidRPr="00B323C8">
        <w:t xml:space="preserve">n </w:t>
      </w:r>
      <w:r w:rsidRPr="00B323C8">
        <w:t xml:space="preserve">advancing </w:t>
      </w:r>
      <w:r w:rsidR="00D947EF" w:rsidRPr="00B323C8">
        <w:t>these arguments, t</w:t>
      </w:r>
      <w:r w:rsidR="005F0FE2" w:rsidRPr="00B323C8">
        <w:t xml:space="preserve">he Attorney General, like the trial court, </w:t>
      </w:r>
      <w:r w:rsidR="00EE54EB" w:rsidRPr="00B323C8">
        <w:t xml:space="preserve">fails to address </w:t>
      </w:r>
      <w:r w:rsidR="005F0FE2" w:rsidRPr="00B323C8">
        <w:t xml:space="preserve">the </w:t>
      </w:r>
      <w:r w:rsidR="00275CAC" w:rsidRPr="00B323C8">
        <w:t xml:space="preserve">crux of </w:t>
      </w:r>
      <w:r w:rsidR="005F0FE2" w:rsidRPr="00B323C8">
        <w:t>Dr. Good</w:t>
      </w:r>
      <w:r w:rsidR="00D61F82" w:rsidRPr="00B323C8">
        <w:t>’</w:t>
      </w:r>
      <w:r w:rsidR="005F0FE2" w:rsidRPr="00B323C8">
        <w:t xml:space="preserve">s opinion as to </w:t>
      </w:r>
      <w:r w:rsidR="009D6013" w:rsidRPr="00B323C8">
        <w:t>defendant</w:t>
      </w:r>
      <w:r w:rsidR="00D61F82" w:rsidRPr="00B323C8">
        <w:t>’</w:t>
      </w:r>
      <w:r w:rsidR="009D6013" w:rsidRPr="00B323C8">
        <w:t>s mental in</w:t>
      </w:r>
      <w:r w:rsidR="005F0FE2" w:rsidRPr="00B323C8">
        <w:t>competenc</w:t>
      </w:r>
      <w:r w:rsidR="009D6013" w:rsidRPr="00B323C8">
        <w:t>e</w:t>
      </w:r>
      <w:r w:rsidR="005F0FE2" w:rsidRPr="00B323C8">
        <w:t>.  Dr. Good acknowledged that defendant had a relatively sophisticated understanding of criminal procedure, but Dr. Good concluded that defendant</w:t>
      </w:r>
      <w:r w:rsidR="00D61F82" w:rsidRPr="00B323C8">
        <w:t>’</w:t>
      </w:r>
      <w:r w:rsidR="005F0FE2" w:rsidRPr="00B323C8">
        <w:t xml:space="preserve">s mental illness led to </w:t>
      </w:r>
      <w:r w:rsidR="009D6013" w:rsidRPr="00B323C8">
        <w:t xml:space="preserve">a </w:t>
      </w:r>
      <w:r w:rsidR="005F0FE2" w:rsidRPr="00B323C8">
        <w:t>grandiosity and</w:t>
      </w:r>
      <w:r w:rsidR="00470057" w:rsidRPr="00B323C8">
        <w:t xml:space="preserve"> </w:t>
      </w:r>
      <w:r w:rsidR="007F3A7B" w:rsidRPr="00B323C8">
        <w:t xml:space="preserve">emotional </w:t>
      </w:r>
      <w:r w:rsidR="00470057" w:rsidRPr="00B323C8">
        <w:t xml:space="preserve">indifference </w:t>
      </w:r>
      <w:r w:rsidR="005F0FE2" w:rsidRPr="00B323C8">
        <w:t xml:space="preserve">that prevented him, </w:t>
      </w:r>
      <w:r w:rsidR="00DB6597" w:rsidRPr="00B323C8">
        <w:t xml:space="preserve">in </w:t>
      </w:r>
      <w:r w:rsidR="002726F7" w:rsidRPr="00B323C8">
        <w:t>practic</w:t>
      </w:r>
      <w:r w:rsidR="00DB6597" w:rsidRPr="00B323C8">
        <w:t>e</w:t>
      </w:r>
      <w:r w:rsidR="005F0FE2" w:rsidRPr="00B323C8">
        <w:t>, from</w:t>
      </w:r>
      <w:r w:rsidR="000D3A43" w:rsidRPr="00B323C8">
        <w:t xml:space="preserve"> </w:t>
      </w:r>
      <w:r w:rsidR="00AA515B" w:rsidRPr="00B323C8">
        <w:t xml:space="preserve">consulting rationally with </w:t>
      </w:r>
      <w:r w:rsidR="005F0FE2" w:rsidRPr="00B323C8">
        <w:t>counsel.</w:t>
      </w:r>
      <w:r w:rsidR="007D12A4" w:rsidRPr="00B323C8">
        <w:t xml:space="preserve">  Th</w:t>
      </w:r>
      <w:r w:rsidR="00AA515B" w:rsidRPr="00B323C8">
        <w:t>us, th</w:t>
      </w:r>
      <w:r w:rsidR="00D947EF" w:rsidRPr="00B323C8">
        <w:t xml:space="preserve">e evidence the Attorney General relies on </w:t>
      </w:r>
      <w:r w:rsidR="00AA515B" w:rsidRPr="00B323C8">
        <w:t>misses the point.</w:t>
      </w:r>
      <w:r w:rsidR="00EB2ED4" w:rsidRPr="00B323C8">
        <w:rPr>
          <w:rStyle w:val="FootnoteReference"/>
        </w:rPr>
        <w:footnoteReference w:id="13"/>
      </w:r>
    </w:p>
    <w:p w14:paraId="09421D78" w14:textId="17B039A9" w:rsidR="00D947EF" w:rsidRPr="00B323C8" w:rsidRDefault="00524227" w:rsidP="00B323C8">
      <w:pPr>
        <w:tabs>
          <w:tab w:val="left" w:pos="1440"/>
        </w:tabs>
        <w:ind w:firstLine="720"/>
      </w:pPr>
      <w:r w:rsidRPr="00B323C8">
        <w:lastRenderedPageBreak/>
        <w:t>We</w:t>
      </w:r>
      <w:r w:rsidR="00722469" w:rsidRPr="00B323C8">
        <w:t xml:space="preserve"> conclude</w:t>
      </w:r>
      <w:r w:rsidR="00EB2ED4" w:rsidRPr="00B323C8">
        <w:t>,</w:t>
      </w:r>
      <w:r w:rsidR="00C1388B" w:rsidRPr="00B323C8">
        <w:t xml:space="preserve"> </w:t>
      </w:r>
      <w:r w:rsidR="00EB2ED4" w:rsidRPr="00B323C8">
        <w:t xml:space="preserve">therefore, as a matter of law </w:t>
      </w:r>
      <w:r w:rsidR="00722469" w:rsidRPr="00B323C8">
        <w:t>that Dr</w:t>
      </w:r>
      <w:r w:rsidR="00D947EF" w:rsidRPr="00B323C8">
        <w:t>. Good</w:t>
      </w:r>
      <w:r w:rsidR="00D61F82" w:rsidRPr="00B323C8">
        <w:t>’</w:t>
      </w:r>
      <w:r w:rsidR="00D947EF" w:rsidRPr="00B323C8">
        <w:t xml:space="preserve">s </w:t>
      </w:r>
      <w:r w:rsidR="00AA515B" w:rsidRPr="00B323C8">
        <w:t>report</w:t>
      </w:r>
      <w:r w:rsidR="00EB2ED4" w:rsidRPr="00B323C8">
        <w:t xml:space="preserve"> </w:t>
      </w:r>
      <w:r w:rsidR="00BD292F" w:rsidRPr="00B323C8">
        <w:t>“</w:t>
      </w:r>
      <w:r w:rsidR="00EB2ED4" w:rsidRPr="00B323C8">
        <w:t> </w:t>
      </w:r>
      <w:r w:rsidRPr="00B323C8">
        <w:t>‘</w:t>
      </w:r>
      <w:r w:rsidR="00BD292F" w:rsidRPr="00B323C8">
        <w:t>raise[d] a reasonable or bona fide doubt</w:t>
      </w:r>
      <w:r w:rsidR="00D61F82" w:rsidRPr="00B323C8">
        <w:t>’</w:t>
      </w:r>
      <w:r w:rsidR="00BD292F" w:rsidRPr="00B323C8">
        <w:t xml:space="preserve"> as to competence”</w:t>
      </w:r>
      <w:r w:rsidR="007F3A7B" w:rsidRPr="00B323C8">
        <w:t xml:space="preserve"> </w:t>
      </w:r>
      <w:r w:rsidR="00BD292F" w:rsidRPr="00B323C8">
        <w:t>(</w:t>
      </w:r>
      <w:r w:rsidR="00BD292F" w:rsidRPr="00B323C8">
        <w:rPr>
          <w:i/>
        </w:rPr>
        <w:t>Rodas</w:t>
      </w:r>
      <w:r w:rsidR="00BD292F" w:rsidRPr="00B323C8">
        <w:t xml:space="preserve">, </w:t>
      </w:r>
      <w:r w:rsidR="00317DC0" w:rsidRPr="00B323C8">
        <w:rPr>
          <w:i/>
          <w:iCs/>
        </w:rPr>
        <w:t>supra</w:t>
      </w:r>
      <w:r w:rsidR="00317DC0" w:rsidRPr="00B323C8">
        <w:t xml:space="preserve">, 6 Cal.5th </w:t>
      </w:r>
      <w:r w:rsidR="00BD292F" w:rsidRPr="00B323C8">
        <w:t xml:space="preserve">at p. 231, quoting </w:t>
      </w:r>
      <w:r w:rsidR="00BD292F" w:rsidRPr="00B323C8">
        <w:rPr>
          <w:i/>
        </w:rPr>
        <w:t>People v. Rogers</w:t>
      </w:r>
      <w:r w:rsidR="00BD292F" w:rsidRPr="00B323C8">
        <w:t xml:space="preserve"> (2006) 39 Cal.4th 826, 847)</w:t>
      </w:r>
      <w:r w:rsidR="001E3BB6" w:rsidRPr="00B323C8">
        <w:t xml:space="preserve">, and </w:t>
      </w:r>
      <w:r w:rsidR="007D39B8" w:rsidRPr="00B323C8">
        <w:t xml:space="preserve">the trial court was required </w:t>
      </w:r>
      <w:r w:rsidR="00483D82" w:rsidRPr="00B323C8">
        <w:t xml:space="preserve">to </w:t>
      </w:r>
      <w:r w:rsidR="00AA515B" w:rsidRPr="00B323C8">
        <w:t>proceed in accordance with sections 1368 and 1369.  I</w:t>
      </w:r>
      <w:r w:rsidR="00EB2ED4" w:rsidRPr="00B323C8">
        <w:t>t</w:t>
      </w:r>
      <w:r w:rsidR="00AA515B" w:rsidRPr="00B323C8">
        <w:t xml:space="preserve"> </w:t>
      </w:r>
      <w:r w:rsidR="00C1388B" w:rsidRPr="00B323C8">
        <w:t>did not do so and th</w:t>
      </w:r>
      <w:r w:rsidR="001E3BB6" w:rsidRPr="00B323C8">
        <w:t xml:space="preserve">us </w:t>
      </w:r>
      <w:r w:rsidR="00C1388B" w:rsidRPr="00B323C8">
        <w:t>erred</w:t>
      </w:r>
      <w:r w:rsidR="00AA515B" w:rsidRPr="00B323C8">
        <w:t>.</w:t>
      </w:r>
    </w:p>
    <w:p w14:paraId="219F7E50" w14:textId="2A1F5193" w:rsidR="00E81FFE" w:rsidRPr="00B323C8" w:rsidRDefault="00E81FFE" w:rsidP="00B323C8">
      <w:pPr>
        <w:pStyle w:val="Heading3"/>
      </w:pPr>
      <w:r w:rsidRPr="00B323C8">
        <w:t>2. Competence</w:t>
      </w:r>
      <w:r w:rsidR="00FE5B0A">
        <w:t xml:space="preserve"> </w:t>
      </w:r>
      <w:proofErr w:type="gramStart"/>
      <w:r w:rsidR="00FE5B0A">
        <w:t>T</w:t>
      </w:r>
      <w:r w:rsidRPr="00B323C8">
        <w:t>o</w:t>
      </w:r>
      <w:proofErr w:type="gramEnd"/>
      <w:r w:rsidRPr="00B323C8">
        <w:t xml:space="preserve"> Waive Counsel</w:t>
      </w:r>
    </w:p>
    <w:p w14:paraId="766B8ED2" w14:textId="77777777" w:rsidR="002C14BD" w:rsidRPr="00B323C8" w:rsidRDefault="001E3BB6" w:rsidP="00B323C8">
      <w:pPr>
        <w:tabs>
          <w:tab w:val="left" w:pos="1440"/>
        </w:tabs>
        <w:ind w:firstLine="720"/>
      </w:pPr>
      <w:r w:rsidRPr="00B323C8">
        <w:t>As noted, d</w:t>
      </w:r>
      <w:r w:rsidR="00CC3BDA" w:rsidRPr="00B323C8">
        <w:t xml:space="preserve">efendant </w:t>
      </w:r>
      <w:r w:rsidR="00E81FFE" w:rsidRPr="00B323C8">
        <w:t xml:space="preserve">not only </w:t>
      </w:r>
      <w:r w:rsidR="00CC3BDA" w:rsidRPr="00B323C8">
        <w:t xml:space="preserve">asserts </w:t>
      </w:r>
      <w:r w:rsidRPr="00B323C8">
        <w:t>generally that he was not competent to stand trial</w:t>
      </w:r>
      <w:r w:rsidR="00E81FFE" w:rsidRPr="00B323C8">
        <w:t xml:space="preserve">, </w:t>
      </w:r>
      <w:r w:rsidRPr="00B323C8">
        <w:t xml:space="preserve">he </w:t>
      </w:r>
      <w:r w:rsidR="002F0159" w:rsidRPr="00B323C8">
        <w:t xml:space="preserve">also </w:t>
      </w:r>
      <w:r w:rsidRPr="00B323C8">
        <w:t>asserts more specifically that h</w:t>
      </w:r>
      <w:r w:rsidR="00E81FFE" w:rsidRPr="00B323C8">
        <w:t>e</w:t>
      </w:r>
      <w:r w:rsidRPr="00B323C8">
        <w:t xml:space="preserve"> was not competent to waive his </w:t>
      </w:r>
      <w:r w:rsidR="00D74E7C" w:rsidRPr="00B323C8">
        <w:t xml:space="preserve">Sixth Amendment </w:t>
      </w:r>
      <w:r w:rsidRPr="00B323C8">
        <w:t>right to counsel.</w:t>
      </w:r>
    </w:p>
    <w:p w14:paraId="40963D2B" w14:textId="0FC5C916" w:rsidR="002C14BD" w:rsidRPr="00B323C8" w:rsidRDefault="002C14BD" w:rsidP="00B323C8">
      <w:pPr>
        <w:tabs>
          <w:tab w:val="left" w:pos="1440"/>
        </w:tabs>
        <w:ind w:firstLine="720"/>
      </w:pPr>
      <w:r w:rsidRPr="00B323C8">
        <w:t xml:space="preserve">The analysis here is a close cousin to our analysis of the competence-to-stand-trial issue because, as explained, each </w:t>
      </w:r>
      <w:r w:rsidR="003A10CA" w:rsidRPr="00B323C8">
        <w:t xml:space="preserve">issue </w:t>
      </w:r>
      <w:r w:rsidRPr="00B323C8">
        <w:t xml:space="preserve">is governed by the same standard.  (See </w:t>
      </w:r>
      <w:r w:rsidRPr="00B323C8">
        <w:rPr>
          <w:i/>
          <w:iCs/>
        </w:rPr>
        <w:t>Godinez</w:t>
      </w:r>
      <w:r w:rsidRPr="00B323C8">
        <w:t xml:space="preserve">, </w:t>
      </w:r>
      <w:r w:rsidRPr="00B323C8">
        <w:rPr>
          <w:i/>
          <w:iCs/>
        </w:rPr>
        <w:t>supra</w:t>
      </w:r>
      <w:r w:rsidRPr="00B323C8">
        <w:t xml:space="preserve">, 509 U.S. at p. 398.)  </w:t>
      </w:r>
      <w:r w:rsidR="00130973" w:rsidRPr="00B323C8">
        <w:t xml:space="preserve">To be mentally </w:t>
      </w:r>
      <w:r w:rsidR="00997C89" w:rsidRPr="00B323C8">
        <w:t xml:space="preserve">competent </w:t>
      </w:r>
      <w:r w:rsidR="00130973" w:rsidRPr="00B323C8">
        <w:t>a defendant must have (1) “</w:t>
      </w:r>
      <w:r w:rsidR="00E03AF4">
        <w:t> ‘</w:t>
      </w:r>
      <w:r w:rsidR="00130973" w:rsidRPr="00B323C8">
        <w:t>sufficient present ability to consult with his lawyer with a reasonable degree of rational understanding</w:t>
      </w:r>
      <w:r w:rsidR="00E03AF4">
        <w:t>’ </w:t>
      </w:r>
      <w:r w:rsidR="00130973" w:rsidRPr="00B323C8">
        <w:t>” and (2) “</w:t>
      </w:r>
      <w:r w:rsidR="00E03AF4">
        <w:t> ‘</w:t>
      </w:r>
      <w:r w:rsidR="00130973" w:rsidRPr="00B323C8">
        <w:t>a rational as well as factual understanding of the proceedings against him.</w:t>
      </w:r>
      <w:r w:rsidR="00E03AF4">
        <w:t>’ </w:t>
      </w:r>
      <w:r w:rsidR="00130973" w:rsidRPr="00B323C8">
        <w:t>”</w:t>
      </w:r>
      <w:r w:rsidR="00997C89" w:rsidRPr="00B323C8">
        <w:t xml:space="preserve">  (</w:t>
      </w:r>
      <w:r w:rsidR="00997C89" w:rsidRPr="00B323C8">
        <w:rPr>
          <w:i/>
        </w:rPr>
        <w:t>Dusky</w:t>
      </w:r>
      <w:r w:rsidR="00130973" w:rsidRPr="00B323C8">
        <w:rPr>
          <w:iCs/>
        </w:rPr>
        <w:t xml:space="preserve">, </w:t>
      </w:r>
      <w:r w:rsidR="00130973" w:rsidRPr="00B323C8">
        <w:rPr>
          <w:i/>
        </w:rPr>
        <w:t>supra</w:t>
      </w:r>
      <w:r w:rsidR="00130973" w:rsidRPr="00B323C8">
        <w:rPr>
          <w:iCs/>
        </w:rPr>
        <w:t xml:space="preserve">, </w:t>
      </w:r>
      <w:r w:rsidR="00997C89" w:rsidRPr="00B323C8">
        <w:t xml:space="preserve">362 U.S. </w:t>
      </w:r>
      <w:r w:rsidR="00E03AF4">
        <w:t xml:space="preserve">at p. </w:t>
      </w:r>
      <w:r w:rsidR="00997C89" w:rsidRPr="00B323C8">
        <w:t>402</w:t>
      </w:r>
      <w:r w:rsidR="00130973" w:rsidRPr="00B323C8">
        <w:t xml:space="preserve">; see § 1367, subd. (a).)  </w:t>
      </w:r>
      <w:r w:rsidRPr="00B323C8">
        <w:t xml:space="preserve">Applying that standard, </w:t>
      </w:r>
      <w:r w:rsidR="00130973" w:rsidRPr="00B323C8">
        <w:t xml:space="preserve">we conclude that </w:t>
      </w:r>
      <w:r w:rsidRPr="00B323C8">
        <w:t xml:space="preserve">Dr. Good’s report </w:t>
      </w:r>
      <w:r w:rsidR="00A23772" w:rsidRPr="00B323C8">
        <w:t xml:space="preserve">was, as a matter of law, </w:t>
      </w:r>
      <w:r w:rsidRPr="00B323C8">
        <w:t>su</w:t>
      </w:r>
      <w:r w:rsidR="00A23772" w:rsidRPr="00B323C8">
        <w:t>bstantial evidence of defendant’s incompetence to waive his right to counsel</w:t>
      </w:r>
      <w:r w:rsidR="003A10CA" w:rsidRPr="00B323C8">
        <w:t xml:space="preserve">.  </w:t>
      </w:r>
      <w:r w:rsidR="00997C89" w:rsidRPr="00B323C8">
        <w:t xml:space="preserve">(See </w:t>
      </w:r>
      <w:r w:rsidR="00997C89" w:rsidRPr="00B323C8">
        <w:rPr>
          <w:i/>
          <w:iCs/>
        </w:rPr>
        <w:t>Pennington</w:t>
      </w:r>
      <w:r w:rsidR="00997C89" w:rsidRPr="00B323C8">
        <w:t xml:space="preserve">, </w:t>
      </w:r>
      <w:r w:rsidR="00997C89" w:rsidRPr="00B323C8">
        <w:rPr>
          <w:i/>
          <w:iCs/>
        </w:rPr>
        <w:t>supra</w:t>
      </w:r>
      <w:r w:rsidR="00997C89" w:rsidRPr="00B323C8">
        <w:t xml:space="preserve">, 66 Cal.2d at p. 518.)  </w:t>
      </w:r>
      <w:r w:rsidR="00A23772" w:rsidRPr="00B323C8">
        <w:t xml:space="preserve">Specifically, Dr. Good concluded that defendant’s mental illness led to a grandiosity </w:t>
      </w:r>
      <w:r w:rsidR="00A23772" w:rsidRPr="00B323C8">
        <w:lastRenderedPageBreak/>
        <w:t>and emotional indifference that prevented him from consulting rationally with counsel.</w:t>
      </w:r>
      <w:r w:rsidR="001B38F7" w:rsidRPr="00B323C8">
        <w:rPr>
          <w:rStyle w:val="FootnoteReference"/>
        </w:rPr>
        <w:footnoteReference w:id="14"/>
      </w:r>
    </w:p>
    <w:p w14:paraId="1AB88F34" w14:textId="351397A4" w:rsidR="001E3BB6" w:rsidRPr="00B323C8" w:rsidRDefault="001E3BB6" w:rsidP="00B323C8">
      <w:pPr>
        <w:tabs>
          <w:tab w:val="left" w:pos="1440"/>
        </w:tabs>
        <w:ind w:firstLine="720"/>
      </w:pPr>
      <w:r w:rsidRPr="00B323C8">
        <w:t>It might be argued that a defendant who intends to waive counsel does not need to be able to consult with counsel, and therefore th</w:t>
      </w:r>
      <w:r w:rsidR="00130973" w:rsidRPr="00B323C8">
        <w:t xml:space="preserve">e first </w:t>
      </w:r>
      <w:r w:rsidRPr="00B323C8">
        <w:t xml:space="preserve">prong of the </w:t>
      </w:r>
      <w:r w:rsidRPr="00B323C8">
        <w:rPr>
          <w:i/>
          <w:iCs/>
        </w:rPr>
        <w:t>Dusky</w:t>
      </w:r>
      <w:r w:rsidRPr="00B323C8">
        <w:t xml:space="preserve"> standard does not apply </w:t>
      </w:r>
      <w:r w:rsidR="00997C89" w:rsidRPr="00B323C8">
        <w:t>when competence to waive counsel is at issue</w:t>
      </w:r>
      <w:r w:rsidRPr="00B323C8">
        <w:t xml:space="preserve">.  </w:t>
      </w:r>
      <w:r w:rsidR="00A23772" w:rsidRPr="00B323C8">
        <w:t>Th</w:t>
      </w:r>
      <w:r w:rsidR="003A10CA" w:rsidRPr="00B323C8">
        <w:t>e</w:t>
      </w:r>
      <w:r w:rsidR="00A23772" w:rsidRPr="00B323C8">
        <w:t xml:space="preserve"> argument fails as a matter of logic because a</w:t>
      </w:r>
      <w:r w:rsidRPr="00B323C8">
        <w:t xml:space="preserve"> defendant who is </w:t>
      </w:r>
      <w:r w:rsidR="00130973" w:rsidRPr="00B323C8">
        <w:t xml:space="preserve">represented and is </w:t>
      </w:r>
      <w:r w:rsidRPr="00B323C8">
        <w:t xml:space="preserve">considering whether to </w:t>
      </w:r>
      <w:r w:rsidR="003A10CA" w:rsidRPr="00B323C8">
        <w:t xml:space="preserve">waive counsel needs to consult with </w:t>
      </w:r>
      <w:r w:rsidRPr="00B323C8">
        <w:t>counsel</w:t>
      </w:r>
      <w:r w:rsidR="003A10CA" w:rsidRPr="00B323C8">
        <w:t xml:space="preserve"> </w:t>
      </w:r>
      <w:r w:rsidR="00222573" w:rsidRPr="00B323C8">
        <w:t xml:space="preserve">in order </w:t>
      </w:r>
      <w:r w:rsidR="003A10CA" w:rsidRPr="00B323C8">
        <w:t>to understand and weigh the pros and cons of that decision</w:t>
      </w:r>
      <w:r w:rsidR="00997C89" w:rsidRPr="00B323C8">
        <w:t>.</w:t>
      </w:r>
      <w:r w:rsidR="00B36FA9" w:rsidRPr="00B323C8">
        <w:t xml:space="preserve">  </w:t>
      </w:r>
      <w:r w:rsidRPr="00B323C8">
        <w:t xml:space="preserve">Moreover, defendant here made clear that he sought to proceed pro se </w:t>
      </w:r>
      <w:r w:rsidR="00D74E7C" w:rsidRPr="00B323C8">
        <w:t xml:space="preserve">primarily </w:t>
      </w:r>
      <w:r w:rsidRPr="00B323C8">
        <w:t>because of his dysfunctional relationship with counsel</w:t>
      </w:r>
      <w:r w:rsidR="007600A2" w:rsidRPr="00B323C8">
        <w:t>.  Therefor</w:t>
      </w:r>
      <w:r w:rsidR="00222573" w:rsidRPr="00B323C8">
        <w:t xml:space="preserve">e, </w:t>
      </w:r>
      <w:r w:rsidR="00D74E7C" w:rsidRPr="00B323C8">
        <w:t>h</w:t>
      </w:r>
      <w:r w:rsidRPr="00B323C8">
        <w:t xml:space="preserve">is </w:t>
      </w:r>
      <w:r w:rsidR="005003A9" w:rsidRPr="00B323C8">
        <w:t>decision to proceed pro se arose from and was integrally connected to his m</w:t>
      </w:r>
      <w:r w:rsidRPr="00B323C8">
        <w:t>ental illness</w:t>
      </w:r>
      <w:r w:rsidR="005003A9" w:rsidRPr="00B323C8">
        <w:t>.</w:t>
      </w:r>
      <w:r w:rsidRPr="00B323C8">
        <w:t xml:space="preserve">  </w:t>
      </w:r>
      <w:r w:rsidR="00E81FFE" w:rsidRPr="00B323C8">
        <w:t xml:space="preserve">Indeed, Dr. Good’s opinion rested at least in part on an assessment that defendant’s paranoia and delusional moral stance made him unable to rationally weigh whether to proceed with counsel.  </w:t>
      </w:r>
      <w:r w:rsidR="00937E09" w:rsidRPr="00B323C8">
        <w:t xml:space="preserve">Because defendant’s mental illness motivated his desire to waive counsel, </w:t>
      </w:r>
      <w:r w:rsidR="00222573" w:rsidRPr="00B323C8">
        <w:t xml:space="preserve">we are at a loss to understand how his </w:t>
      </w:r>
      <w:r w:rsidR="00222573" w:rsidRPr="00B323C8">
        <w:lastRenderedPageBreak/>
        <w:t xml:space="preserve">decision to dismiss counsel </w:t>
      </w:r>
      <w:r w:rsidR="00A90217" w:rsidRPr="00B323C8">
        <w:t xml:space="preserve">provides </w:t>
      </w:r>
      <w:r w:rsidRPr="00B323C8">
        <w:t xml:space="preserve">a justification for disregarding </w:t>
      </w:r>
      <w:r w:rsidR="00D74E7C" w:rsidRPr="00B323C8">
        <w:t>his mental illness.</w:t>
      </w:r>
      <w:r w:rsidR="001B38F7" w:rsidRPr="00B323C8">
        <w:t xml:space="preserve">  (See p. 3</w:t>
      </w:r>
      <w:r w:rsidR="003A02B9">
        <w:t>9</w:t>
      </w:r>
      <w:r w:rsidR="001B38F7" w:rsidRPr="00B323C8">
        <w:t>, fn. 1</w:t>
      </w:r>
      <w:r w:rsidR="003A02B9">
        <w:t>1</w:t>
      </w:r>
      <w:r w:rsidR="001B38F7" w:rsidRPr="00B323C8">
        <w:t xml:space="preserve">, </w:t>
      </w:r>
      <w:r w:rsidR="001B38F7" w:rsidRPr="00B323C8">
        <w:rPr>
          <w:i/>
          <w:iCs/>
        </w:rPr>
        <w:t>ante</w:t>
      </w:r>
      <w:r w:rsidR="001B38F7" w:rsidRPr="00B323C8">
        <w:t>.)</w:t>
      </w:r>
    </w:p>
    <w:p w14:paraId="4EB6A11F" w14:textId="5F5B3CD8" w:rsidR="009D4A2D" w:rsidRPr="00B323C8" w:rsidRDefault="009D4A2D" w:rsidP="00B323C8">
      <w:pPr>
        <w:tabs>
          <w:tab w:val="left" w:pos="1440"/>
        </w:tabs>
        <w:ind w:firstLine="720"/>
      </w:pPr>
      <w:r w:rsidRPr="00B323C8">
        <w:t xml:space="preserve">Our conclusion </w:t>
      </w:r>
      <w:r w:rsidR="00AB2162">
        <w:t xml:space="preserve">that the trial court erred </w:t>
      </w:r>
      <w:r w:rsidRPr="00B323C8">
        <w:t xml:space="preserve">finds support in </w:t>
      </w:r>
      <w:r w:rsidRPr="00B323C8">
        <w:rPr>
          <w:i/>
          <w:iCs/>
        </w:rPr>
        <w:t>People v. Burnett</w:t>
      </w:r>
      <w:r w:rsidRPr="00B323C8">
        <w:t xml:space="preserve"> (1987) 188 Cal.App.3d 1314</w:t>
      </w:r>
      <w:r w:rsidR="005F0116">
        <w:t xml:space="preserve"> (</w:t>
      </w:r>
      <w:r w:rsidR="005F0116" w:rsidRPr="005F0116">
        <w:rPr>
          <w:i/>
          <w:iCs/>
        </w:rPr>
        <w:t>Burnett</w:t>
      </w:r>
      <w:r w:rsidR="005F0116">
        <w:t>)</w:t>
      </w:r>
      <w:r w:rsidRPr="00B323C8">
        <w:t xml:space="preserve">.  In </w:t>
      </w:r>
      <w:r w:rsidRPr="00B323C8">
        <w:rPr>
          <w:i/>
          <w:iCs/>
        </w:rPr>
        <w:t>Burnett</w:t>
      </w:r>
      <w:r w:rsidRPr="00B323C8">
        <w:t>, the defendant was institutionalized after being found not guilty of criminal fraud charges by reason of insanity.  At a subsequent hearing to determine whether he was “ ‘restored to mental competence,’ ” the defendant waived his right to counsel.  (</w:t>
      </w:r>
      <w:r w:rsidRPr="00B323C8">
        <w:rPr>
          <w:i/>
          <w:iCs/>
        </w:rPr>
        <w:t>Burnett</w:t>
      </w:r>
      <w:r w:rsidRPr="00B323C8">
        <w:t>, at p. 1317.)  The trial court granted the waiver without obtaining “expert evidence regarding [the defendant’s] mental capacity” (</w:t>
      </w:r>
      <w:r w:rsidRPr="00B323C8">
        <w:rPr>
          <w:i/>
          <w:iCs/>
        </w:rPr>
        <w:t>ibid</w:t>
      </w:r>
      <w:r w:rsidRPr="00B323C8">
        <w:t xml:space="preserve">.), and it did so despite several bizarre and delusional statements the defendant made during his court appearances and despite his history of mental illness (see </w:t>
      </w:r>
      <w:r w:rsidRPr="00B323C8">
        <w:rPr>
          <w:i/>
          <w:iCs/>
        </w:rPr>
        <w:t>id</w:t>
      </w:r>
      <w:r w:rsidRPr="00B323C8">
        <w:t xml:space="preserve">. at p. 1321).  The Court of Appeal </w:t>
      </w:r>
      <w:r w:rsidR="006C499D" w:rsidRPr="00B323C8">
        <w:t xml:space="preserve">reversed.  It </w:t>
      </w:r>
      <w:r w:rsidRPr="00B323C8">
        <w:t>held that “where a trial court’s doubt about a person’s mental competence to waive counsel is based upon a history of mental illness or irrational behavior directly observed in the courtroom, or any other discernible facts ‘which would give rise to any doubt respecting defendant’s mental capacity’ [citations], the court cannot properly determine that such person is competent to exercise the right asserted without first obtaining psychiatric evidence.”  (</w:t>
      </w:r>
      <w:r w:rsidRPr="00B323C8">
        <w:rPr>
          <w:i/>
          <w:iCs/>
        </w:rPr>
        <w:t>Id</w:t>
      </w:r>
      <w:r w:rsidRPr="00B323C8">
        <w:t xml:space="preserve">. at p. 1322.)  </w:t>
      </w:r>
      <w:r w:rsidR="006C499D" w:rsidRPr="00B323C8">
        <w:t xml:space="preserve">Although </w:t>
      </w:r>
      <w:r w:rsidR="006C499D" w:rsidRPr="00B323C8">
        <w:rPr>
          <w:i/>
          <w:iCs/>
        </w:rPr>
        <w:t>Burnett</w:t>
      </w:r>
      <w:r w:rsidR="006C499D" w:rsidRPr="00B323C8">
        <w:t xml:space="preserve"> did not involve the question of competence to waive counsel during the course of a guilt trial, it generally supports our conclusion that the trial court here erred by finding defendant competent and granting defendant’s waiver of counsel without </w:t>
      </w:r>
      <w:r w:rsidR="00F3256E" w:rsidRPr="00B323C8">
        <w:t xml:space="preserve">initiating the </w:t>
      </w:r>
      <w:r w:rsidR="006C499D" w:rsidRPr="00B323C8">
        <w:t xml:space="preserve">competence </w:t>
      </w:r>
      <w:r w:rsidR="00F3256E" w:rsidRPr="00B323C8">
        <w:t xml:space="preserve">proceedings set forth in </w:t>
      </w:r>
      <w:r w:rsidR="006C499D" w:rsidRPr="00B323C8">
        <w:t>sections 1368 and 1369</w:t>
      </w:r>
      <w:r w:rsidRPr="00B323C8">
        <w:t>.</w:t>
      </w:r>
    </w:p>
    <w:p w14:paraId="4F5004A4" w14:textId="5921834A" w:rsidR="009D4A2D" w:rsidRPr="00B323C8" w:rsidRDefault="001B38F7" w:rsidP="00B323C8">
      <w:pPr>
        <w:tabs>
          <w:tab w:val="left" w:pos="1440"/>
        </w:tabs>
        <w:ind w:firstLine="720"/>
      </w:pPr>
      <w:r w:rsidRPr="00B323C8">
        <w:t xml:space="preserve">It is true that </w:t>
      </w:r>
      <w:r w:rsidR="0018626F" w:rsidRPr="00B323C8">
        <w:t xml:space="preserve">in </w:t>
      </w:r>
      <w:r w:rsidRPr="00B323C8">
        <w:rPr>
          <w:i/>
          <w:iCs/>
        </w:rPr>
        <w:t>People v. Clark</w:t>
      </w:r>
      <w:r w:rsidRPr="00B323C8">
        <w:t xml:space="preserve"> (1992) 3 Cal.4th 41</w:t>
      </w:r>
      <w:r w:rsidR="00D44ADD">
        <w:t xml:space="preserve"> (</w:t>
      </w:r>
      <w:r w:rsidR="00D44ADD" w:rsidRPr="00D44ADD">
        <w:rPr>
          <w:i/>
          <w:iCs/>
        </w:rPr>
        <w:t>Clark</w:t>
      </w:r>
      <w:r w:rsidR="00D44ADD">
        <w:t>)</w:t>
      </w:r>
      <w:r w:rsidR="00814E9A" w:rsidRPr="00B323C8">
        <w:t>,</w:t>
      </w:r>
      <w:r w:rsidR="0018626F" w:rsidRPr="00B323C8">
        <w:t xml:space="preserve"> this court </w:t>
      </w:r>
      <w:r w:rsidR="009D4A2D" w:rsidRPr="00B323C8">
        <w:t>came to a different conclusion</w:t>
      </w:r>
      <w:r w:rsidR="00785B07" w:rsidRPr="00B323C8">
        <w:t xml:space="preserve"> from </w:t>
      </w:r>
      <w:r w:rsidR="00785B07" w:rsidRPr="00B323C8">
        <w:rPr>
          <w:i/>
          <w:iCs/>
        </w:rPr>
        <w:t>Burnett</w:t>
      </w:r>
      <w:r w:rsidR="00785B07" w:rsidRPr="00B323C8">
        <w:t xml:space="preserve">, but </w:t>
      </w:r>
      <w:r w:rsidR="00A90217" w:rsidRPr="00B323C8">
        <w:t xml:space="preserve">we find </w:t>
      </w:r>
      <w:r w:rsidR="00A90217" w:rsidRPr="00B323C8">
        <w:rPr>
          <w:i/>
          <w:iCs/>
        </w:rPr>
        <w:t>Clark</w:t>
      </w:r>
      <w:r w:rsidR="005C4554" w:rsidRPr="00B323C8">
        <w:t xml:space="preserve"> </w:t>
      </w:r>
      <w:r w:rsidR="00785B07" w:rsidRPr="00B323C8">
        <w:t>distinguishable from this case</w:t>
      </w:r>
      <w:r w:rsidR="009D4A2D" w:rsidRPr="00B323C8">
        <w:t xml:space="preserve">.  In </w:t>
      </w:r>
      <w:r w:rsidR="00785B07" w:rsidRPr="00B323C8">
        <w:rPr>
          <w:i/>
          <w:iCs/>
        </w:rPr>
        <w:t>Clark</w:t>
      </w:r>
      <w:r w:rsidR="009D4A2D" w:rsidRPr="00B323C8">
        <w:t xml:space="preserve">, </w:t>
      </w:r>
      <w:r w:rsidR="00785B07" w:rsidRPr="00B323C8">
        <w:t xml:space="preserve">a capital case, </w:t>
      </w:r>
      <w:r w:rsidR="00554D49" w:rsidRPr="00B323C8">
        <w:t xml:space="preserve">the defendant sought to waive counsel, and </w:t>
      </w:r>
      <w:r w:rsidR="006C499D" w:rsidRPr="00B323C8">
        <w:t xml:space="preserve">defense </w:t>
      </w:r>
      <w:r w:rsidR="006C499D" w:rsidRPr="00B323C8">
        <w:lastRenderedPageBreak/>
        <w:t xml:space="preserve">counsel </w:t>
      </w:r>
      <w:r w:rsidR="009D4A2D" w:rsidRPr="00B323C8">
        <w:t xml:space="preserve">requested a hearing concerning </w:t>
      </w:r>
      <w:r w:rsidR="006C499D" w:rsidRPr="00B323C8">
        <w:t xml:space="preserve">the defendant’s </w:t>
      </w:r>
      <w:r w:rsidR="009D4A2D" w:rsidRPr="00B323C8">
        <w:t>capacity to “</w:t>
      </w:r>
      <w:r w:rsidR="00554D49" w:rsidRPr="00B323C8">
        <w:t> </w:t>
      </w:r>
      <w:r w:rsidR="009D4A2D" w:rsidRPr="00B323C8">
        <w:t>‘act in pro per’</w:t>
      </w:r>
      <w:r w:rsidR="00554D49" w:rsidRPr="00B323C8">
        <w:t> </w:t>
      </w:r>
      <w:r w:rsidR="009D4A2D" w:rsidRPr="00B323C8">
        <w:t>” and “offered to present the testimony of two psychological experts to show ‘that [</w:t>
      </w:r>
      <w:r w:rsidR="006C499D" w:rsidRPr="00B323C8">
        <w:t>the defendant</w:t>
      </w:r>
      <w:r w:rsidR="009D4A2D" w:rsidRPr="00B323C8">
        <w:t>] shouldn’t be permitted to go pro per because of his mental and character disabilities.’</w:t>
      </w:r>
      <w:r w:rsidR="00554D49" w:rsidRPr="00B323C8">
        <w:t> </w:t>
      </w:r>
      <w:r w:rsidR="009D4A2D" w:rsidRPr="00B323C8">
        <w:t>”  (</w:t>
      </w:r>
      <w:r w:rsidR="009D4A2D" w:rsidRPr="00B323C8">
        <w:rPr>
          <w:i/>
          <w:iCs/>
        </w:rPr>
        <w:t>Clark</w:t>
      </w:r>
      <w:r w:rsidR="009D4A2D" w:rsidRPr="00B323C8">
        <w:t xml:space="preserve">, </w:t>
      </w:r>
      <w:r w:rsidR="009D4A2D" w:rsidRPr="00B323C8">
        <w:rPr>
          <w:i/>
          <w:iCs/>
        </w:rPr>
        <w:t>supra</w:t>
      </w:r>
      <w:r w:rsidR="009D4A2D" w:rsidRPr="00B323C8">
        <w:t>, 3 Cal.4th at p. 106.)  The trial court declined to hold a hearing and found</w:t>
      </w:r>
      <w:r w:rsidR="00D57F26">
        <w:t> </w:t>
      </w:r>
      <w:r w:rsidR="009D4A2D" w:rsidRPr="00B323C8">
        <w:t xml:space="preserve">— on the basis of a colloquy </w:t>
      </w:r>
      <w:r w:rsidR="0044609B" w:rsidRPr="00B323C8">
        <w:t xml:space="preserve">in which </w:t>
      </w:r>
      <w:r w:rsidR="009D4A2D" w:rsidRPr="00B323C8">
        <w:t xml:space="preserve">the court advised </w:t>
      </w:r>
      <w:r w:rsidR="006C499D" w:rsidRPr="00B323C8">
        <w:t xml:space="preserve">the defendant </w:t>
      </w:r>
      <w:r w:rsidR="009D4A2D" w:rsidRPr="00B323C8">
        <w:t xml:space="preserve">about his constitutional rights and the risks </w:t>
      </w:r>
      <w:r w:rsidR="006C499D" w:rsidRPr="00B323C8">
        <w:t xml:space="preserve">of </w:t>
      </w:r>
      <w:r w:rsidR="009D4A2D" w:rsidRPr="00B323C8">
        <w:t>self-representation</w:t>
      </w:r>
      <w:r w:rsidR="00D57F26">
        <w:t> </w:t>
      </w:r>
      <w:r w:rsidR="009D4A2D" w:rsidRPr="00B323C8">
        <w:t xml:space="preserve">— that </w:t>
      </w:r>
      <w:r w:rsidR="0044609B" w:rsidRPr="00B323C8">
        <w:t xml:space="preserve">the defendant </w:t>
      </w:r>
      <w:r w:rsidR="009D4A2D" w:rsidRPr="00B323C8">
        <w:t xml:space="preserve">was </w:t>
      </w:r>
      <w:r w:rsidR="0044609B" w:rsidRPr="00B323C8">
        <w:t xml:space="preserve">mentally </w:t>
      </w:r>
      <w:r w:rsidR="009D4A2D" w:rsidRPr="00B323C8">
        <w:t>competent</w:t>
      </w:r>
      <w:r w:rsidR="0044609B" w:rsidRPr="00B323C8">
        <w:t xml:space="preserve"> to </w:t>
      </w:r>
      <w:r w:rsidR="009D4A2D" w:rsidRPr="00B323C8">
        <w:t>waive his right to counsel.  (</w:t>
      </w:r>
      <w:r w:rsidR="009D4A2D" w:rsidRPr="00B323C8">
        <w:rPr>
          <w:i/>
          <w:iCs/>
        </w:rPr>
        <w:t>Ibid</w:t>
      </w:r>
      <w:r w:rsidR="009D4A2D" w:rsidRPr="00B323C8">
        <w:t>.)  We affirmed</w:t>
      </w:r>
      <w:r w:rsidR="0044609B" w:rsidRPr="00B323C8">
        <w:t xml:space="preserve">.  Quoting </w:t>
      </w:r>
      <w:r w:rsidR="009D4A2D" w:rsidRPr="00B323C8">
        <w:rPr>
          <w:i/>
          <w:iCs/>
        </w:rPr>
        <w:t>Burnett</w:t>
      </w:r>
      <w:r w:rsidR="0044609B" w:rsidRPr="00B323C8">
        <w:t xml:space="preserve">, </w:t>
      </w:r>
      <w:r w:rsidR="0044609B" w:rsidRPr="00B323C8">
        <w:rPr>
          <w:i/>
          <w:iCs/>
        </w:rPr>
        <w:t>supra</w:t>
      </w:r>
      <w:r w:rsidR="0044609B" w:rsidRPr="00B323C8">
        <w:t>, 188 Cal.App.3d at page 1322, we acknowledged that</w:t>
      </w:r>
      <w:r w:rsidR="00554D49" w:rsidRPr="00B323C8">
        <w:t xml:space="preserve"> </w:t>
      </w:r>
      <w:r w:rsidR="009D4A2D" w:rsidRPr="00B323C8">
        <w:t>“</w:t>
      </w:r>
      <w:r w:rsidR="00554D49" w:rsidRPr="00B323C8">
        <w:t> </w:t>
      </w:r>
      <w:r w:rsidR="009D4A2D" w:rsidRPr="00B323C8">
        <w:t>‘</w:t>
      </w:r>
      <w:r w:rsidR="0044609B" w:rsidRPr="00B323C8">
        <w:t>[w]</w:t>
      </w:r>
      <w:r w:rsidR="009D4A2D" w:rsidRPr="00B323C8">
        <w:t>here</w:t>
      </w:r>
      <w:r w:rsidR="0044609B" w:rsidRPr="00B323C8">
        <w:t> . .</w:t>
      </w:r>
      <w:r w:rsidR="00554D49" w:rsidRPr="00B323C8">
        <w:t xml:space="preserve"> . </w:t>
      </w:r>
      <w:r w:rsidR="009D4A2D" w:rsidRPr="00B323C8">
        <w:t>[a]</w:t>
      </w:r>
      <w:r w:rsidR="00554D49" w:rsidRPr="00B323C8">
        <w:t xml:space="preserve"> </w:t>
      </w:r>
      <w:r w:rsidR="009D4A2D" w:rsidRPr="00B323C8">
        <w:t>person whose competence is in question is confined in a mental facility pursuant to judicial decree and the state maintains that such confinement should continue or be extended because that person continues to suffer a mental disability [citation</w:t>
      </w:r>
      <w:r w:rsidR="0044609B" w:rsidRPr="00B323C8">
        <w:t>s</w:t>
      </w:r>
      <w:r w:rsidR="009D4A2D" w:rsidRPr="00B323C8">
        <w:t>], mental competence to waive counsel is in doubt as a matter of law and such a person cannot be found competent to represent himself or herself without judicial consideration of psychiatric evidence bearing on the question.’</w:t>
      </w:r>
      <w:r w:rsidR="00554D49" w:rsidRPr="00B323C8">
        <w:t> </w:t>
      </w:r>
      <w:r w:rsidR="009D4A2D" w:rsidRPr="00B323C8">
        <w:t>”  (</w:t>
      </w:r>
      <w:r w:rsidR="009D4A2D" w:rsidRPr="00B323C8">
        <w:rPr>
          <w:i/>
          <w:iCs/>
        </w:rPr>
        <w:t>Clark</w:t>
      </w:r>
      <w:r w:rsidR="009D4A2D" w:rsidRPr="00B323C8">
        <w:t xml:space="preserve">, at p. 107.)  </w:t>
      </w:r>
      <w:r w:rsidR="00460B84" w:rsidRPr="00B323C8">
        <w:t>W</w:t>
      </w:r>
      <w:r w:rsidR="009D4A2D" w:rsidRPr="00B323C8">
        <w:t xml:space="preserve">e then distinguished </w:t>
      </w:r>
      <w:r w:rsidR="009D4A2D" w:rsidRPr="00B323C8">
        <w:rPr>
          <w:i/>
          <w:iCs/>
        </w:rPr>
        <w:t>Burnett</w:t>
      </w:r>
      <w:r w:rsidR="009D4A2D" w:rsidRPr="00B323C8">
        <w:t xml:space="preserve">, noting that </w:t>
      </w:r>
      <w:r w:rsidR="0044609B" w:rsidRPr="00B323C8">
        <w:t xml:space="preserve">the defendant in </w:t>
      </w:r>
      <w:r w:rsidR="009D4A2D" w:rsidRPr="00B323C8">
        <w:rPr>
          <w:i/>
          <w:iCs/>
        </w:rPr>
        <w:t>Clark</w:t>
      </w:r>
      <w:r w:rsidR="009D4A2D" w:rsidRPr="00B323C8">
        <w:t xml:space="preserve"> “gave no indication of mental impairment which prevented a valid waiver of counsel.”  (</w:t>
      </w:r>
      <w:r w:rsidR="009D4A2D" w:rsidRPr="00B323C8">
        <w:rPr>
          <w:i/>
          <w:iCs/>
        </w:rPr>
        <w:t>Ibid</w:t>
      </w:r>
      <w:r w:rsidR="009D4A2D" w:rsidRPr="00B323C8">
        <w:t>.)  We did not</w:t>
      </w:r>
      <w:r w:rsidR="0044609B" w:rsidRPr="00B323C8">
        <w:t>, however,</w:t>
      </w:r>
      <w:r w:rsidR="009D4A2D" w:rsidRPr="00B323C8">
        <w:t xml:space="preserve"> disturb </w:t>
      </w:r>
      <w:r w:rsidR="009D4A2D" w:rsidRPr="00B323C8">
        <w:rPr>
          <w:i/>
          <w:iCs/>
        </w:rPr>
        <w:t>Burnett</w:t>
      </w:r>
      <w:r w:rsidR="009D4A2D" w:rsidRPr="00B323C8">
        <w:t xml:space="preserve">’s </w:t>
      </w:r>
      <w:r w:rsidR="00A90217" w:rsidRPr="00B323C8">
        <w:t xml:space="preserve">ultimate </w:t>
      </w:r>
      <w:r w:rsidR="009D4A2D" w:rsidRPr="00B323C8">
        <w:t xml:space="preserve">holding that when </w:t>
      </w:r>
      <w:r w:rsidR="00554D49" w:rsidRPr="00B323C8">
        <w:t xml:space="preserve">a doubt arises </w:t>
      </w:r>
      <w:r w:rsidR="009D4A2D" w:rsidRPr="00B323C8">
        <w:t xml:space="preserve">about </w:t>
      </w:r>
      <w:r w:rsidR="0044609B" w:rsidRPr="00B323C8">
        <w:t>a</w:t>
      </w:r>
      <w:r w:rsidR="009D4A2D" w:rsidRPr="00B323C8">
        <w:t xml:space="preserve"> defendant’s mental competence to waive the right to counsel, “the court cannot properly determine that such person is competent to exercise the right asserted without first obtaining psychiatric evidence.”  (</w:t>
      </w:r>
      <w:r w:rsidR="009D4A2D" w:rsidRPr="00B323C8">
        <w:rPr>
          <w:i/>
          <w:iCs/>
        </w:rPr>
        <w:t>Burnett</w:t>
      </w:r>
      <w:r w:rsidR="009D4A2D" w:rsidRPr="00B323C8">
        <w:t>, at p. 1322.)</w:t>
      </w:r>
    </w:p>
    <w:p w14:paraId="4BCEF460" w14:textId="2F443E36" w:rsidR="009D4A2D" w:rsidRPr="00B323C8" w:rsidRDefault="001D13E1" w:rsidP="00B323C8">
      <w:pPr>
        <w:tabs>
          <w:tab w:val="left" w:pos="1440"/>
        </w:tabs>
        <w:ind w:firstLine="720"/>
      </w:pPr>
      <w:r w:rsidRPr="00B323C8">
        <w:t xml:space="preserve">The defendant in </w:t>
      </w:r>
      <w:r w:rsidR="009D4A2D" w:rsidRPr="00B323C8">
        <w:rPr>
          <w:i/>
          <w:iCs/>
        </w:rPr>
        <w:t>Clark</w:t>
      </w:r>
      <w:r w:rsidR="009D4A2D" w:rsidRPr="00B323C8">
        <w:t xml:space="preserve"> argued </w:t>
      </w:r>
      <w:r w:rsidR="00554D49" w:rsidRPr="00B323C8">
        <w:t xml:space="preserve">on appeal </w:t>
      </w:r>
      <w:r w:rsidR="009D4A2D" w:rsidRPr="00B323C8">
        <w:t>that his attorney’s request for a hearing coupled with his own disruptive behavior in the courtroom</w:t>
      </w:r>
      <w:r w:rsidR="00B3160B">
        <w:t> </w:t>
      </w:r>
      <w:r w:rsidR="009D4A2D" w:rsidRPr="00B323C8">
        <w:t xml:space="preserve">— </w:t>
      </w:r>
      <w:r w:rsidR="00554D49" w:rsidRPr="00B323C8">
        <w:t xml:space="preserve">which included </w:t>
      </w:r>
      <w:r w:rsidR="009D4A2D" w:rsidRPr="00B323C8">
        <w:t xml:space="preserve">standing mute in </w:t>
      </w:r>
      <w:r w:rsidR="009D4A2D" w:rsidRPr="00B323C8">
        <w:lastRenderedPageBreak/>
        <w:t>protest of the court’s rulings, accusing the judge of lying</w:t>
      </w:r>
      <w:r w:rsidRPr="00B323C8">
        <w:t>,</w:t>
      </w:r>
      <w:r w:rsidR="009D4A2D" w:rsidRPr="00B323C8">
        <w:t xml:space="preserve"> telling </w:t>
      </w:r>
      <w:r w:rsidRPr="00B323C8">
        <w:t>the judge t</w:t>
      </w:r>
      <w:r w:rsidR="009D4A2D" w:rsidRPr="00B323C8">
        <w:t xml:space="preserve">o “stop that crap,” and refusing to cooperate with </w:t>
      </w:r>
      <w:r w:rsidRPr="00B323C8">
        <w:t>counsel</w:t>
      </w:r>
      <w:r w:rsidR="00E15810" w:rsidRPr="00B323C8">
        <w:t> </w:t>
      </w:r>
      <w:r w:rsidR="009D4A2D" w:rsidRPr="00B323C8">
        <w:t>— should have raised a doubt in the court’s mind about his competency.  (</w:t>
      </w:r>
      <w:r w:rsidRPr="00B323C8">
        <w:t xml:space="preserve">See </w:t>
      </w:r>
      <w:r w:rsidR="009D4A2D" w:rsidRPr="00B323C8">
        <w:rPr>
          <w:i/>
          <w:iCs/>
        </w:rPr>
        <w:t>Clark</w:t>
      </w:r>
      <w:r w:rsidR="009D4A2D" w:rsidRPr="00B323C8">
        <w:t xml:space="preserve">, </w:t>
      </w:r>
      <w:r w:rsidR="009D4A2D" w:rsidRPr="00B323C8">
        <w:rPr>
          <w:i/>
          <w:iCs/>
        </w:rPr>
        <w:t>supra</w:t>
      </w:r>
      <w:r w:rsidR="009D4A2D" w:rsidRPr="00B323C8">
        <w:t>, 3 Cal.4th at p. 107.)  We disagreed, concluding that although these “were relevant factors for the court to consider, they did not eliminate the court’s discretion in light of its own observations and the record as a whole.”  (</w:t>
      </w:r>
      <w:r w:rsidR="009D4A2D" w:rsidRPr="00B323C8">
        <w:rPr>
          <w:i/>
          <w:iCs/>
        </w:rPr>
        <w:t>Id</w:t>
      </w:r>
      <w:r w:rsidR="009D4A2D" w:rsidRPr="00B323C8">
        <w:t xml:space="preserve">. at pp. 107–108.)  </w:t>
      </w:r>
      <w:r w:rsidR="00554D49" w:rsidRPr="00B323C8">
        <w:t xml:space="preserve">In other words, they did not constitute substantial evidence of mental incompetence </w:t>
      </w:r>
      <w:r w:rsidR="00725870" w:rsidRPr="00B323C8">
        <w:t>“</w:t>
      </w:r>
      <w:r w:rsidR="00554D49" w:rsidRPr="00B323C8">
        <w:t>as a matter of law.</w:t>
      </w:r>
      <w:r w:rsidR="00725870" w:rsidRPr="00B323C8">
        <w:t>”</w:t>
      </w:r>
      <w:r w:rsidR="00554D49" w:rsidRPr="00B323C8">
        <w:t xml:space="preserve">  </w:t>
      </w:r>
      <w:r w:rsidR="00725870" w:rsidRPr="00B323C8">
        <w:t>(</w:t>
      </w:r>
      <w:r w:rsidR="00725870" w:rsidRPr="00B323C8">
        <w:rPr>
          <w:i/>
          <w:iCs/>
        </w:rPr>
        <w:t>People v. Mai</w:t>
      </w:r>
      <w:r w:rsidR="00725870" w:rsidRPr="00B323C8">
        <w:t xml:space="preserve">, </w:t>
      </w:r>
      <w:r w:rsidR="00725870" w:rsidRPr="00B323C8">
        <w:rPr>
          <w:i/>
          <w:iCs/>
        </w:rPr>
        <w:t>supra</w:t>
      </w:r>
      <w:r w:rsidR="00725870" w:rsidRPr="00B323C8">
        <w:t xml:space="preserve">, 57 Cal.4th at p. 1033.)  </w:t>
      </w:r>
      <w:r w:rsidR="009D4A2D" w:rsidRPr="00B323C8">
        <w:t xml:space="preserve">We </w:t>
      </w:r>
      <w:r w:rsidR="001078E6" w:rsidRPr="00B323C8">
        <w:t>no</w:t>
      </w:r>
      <w:r w:rsidR="009D4A2D" w:rsidRPr="00B323C8">
        <w:t xml:space="preserve">ted that </w:t>
      </w:r>
      <w:r w:rsidRPr="00B323C8">
        <w:t xml:space="preserve">the defendant’s </w:t>
      </w:r>
      <w:r w:rsidR="009D4A2D" w:rsidRPr="00B323C8">
        <w:t>disruptive behaviors during trial “did not necessarily show incompetence to waive counsel</w:t>
      </w:r>
      <w:r w:rsidR="001078E6" w:rsidRPr="00B323C8">
        <w:t xml:space="preserve">” </w:t>
      </w:r>
      <w:r w:rsidR="009D4A2D" w:rsidRPr="00B323C8">
        <w:t>because “[o]ne can knowingly invoke the right to represent oneself and then abuse that right.”  (</w:t>
      </w:r>
      <w:r w:rsidR="00B3160B">
        <w:rPr>
          <w:i/>
          <w:iCs/>
        </w:rPr>
        <w:t>Clark</w:t>
      </w:r>
      <w:r w:rsidR="00B3160B">
        <w:t xml:space="preserve">, </w:t>
      </w:r>
      <w:r w:rsidRPr="00B323C8">
        <w:t>at p. 108.</w:t>
      </w:r>
      <w:r w:rsidR="009D4A2D" w:rsidRPr="00B323C8">
        <w:t xml:space="preserve">)  </w:t>
      </w:r>
      <w:r w:rsidR="001078E6" w:rsidRPr="00B323C8">
        <w:t xml:space="preserve">In addition, </w:t>
      </w:r>
      <w:r w:rsidR="009D4A2D" w:rsidRPr="00B323C8">
        <w:t xml:space="preserve">we pointed out that when defense </w:t>
      </w:r>
      <w:r w:rsidRPr="00B323C8">
        <w:t xml:space="preserve">counsel </w:t>
      </w:r>
      <w:r w:rsidR="001078E6" w:rsidRPr="00B323C8">
        <w:t xml:space="preserve">requested </w:t>
      </w:r>
      <w:r w:rsidR="009D4A2D" w:rsidRPr="00B323C8">
        <w:t xml:space="preserve">a hearing, his </w:t>
      </w:r>
      <w:r w:rsidR="001078E6" w:rsidRPr="00B323C8">
        <w:t xml:space="preserve">request </w:t>
      </w:r>
      <w:r w:rsidR="009D4A2D" w:rsidRPr="00B323C8">
        <w:t>was focused on the issue of self-representation</w:t>
      </w:r>
      <w:r w:rsidRPr="00B323C8">
        <w:t>,</w:t>
      </w:r>
      <w:r w:rsidR="009D4A2D" w:rsidRPr="00B323C8">
        <w:t xml:space="preserve"> </w:t>
      </w:r>
      <w:r w:rsidR="001078E6" w:rsidRPr="00B323C8">
        <w:t xml:space="preserve">not competence to enter the waiver, </w:t>
      </w:r>
      <w:r w:rsidR="009D4A2D" w:rsidRPr="00B323C8">
        <w:t xml:space="preserve">and </w:t>
      </w:r>
      <w:r w:rsidRPr="00B323C8">
        <w:t xml:space="preserve">counsel </w:t>
      </w:r>
      <w:r w:rsidR="009D4A2D" w:rsidRPr="00B323C8">
        <w:t xml:space="preserve">“never made a specific offer of proof regarding what the witnesses would or could testify about </w:t>
      </w:r>
      <w:r w:rsidR="00B3160B">
        <w:t>[</w:t>
      </w:r>
      <w:r w:rsidR="009D4A2D" w:rsidRPr="00B323C8">
        <w:t>the</w:t>
      </w:r>
      <w:r w:rsidR="00B3160B">
        <w:t>]</w:t>
      </w:r>
      <w:r w:rsidR="009D4A2D" w:rsidRPr="00B323C8">
        <w:t xml:space="preserve"> defendant’s competence to waive counsel.”  (</w:t>
      </w:r>
      <w:r w:rsidR="009D4A2D" w:rsidRPr="00B323C8">
        <w:rPr>
          <w:i/>
          <w:iCs/>
        </w:rPr>
        <w:t>I</w:t>
      </w:r>
      <w:r w:rsidRPr="00B323C8">
        <w:rPr>
          <w:i/>
          <w:iCs/>
        </w:rPr>
        <w:t>bi</w:t>
      </w:r>
      <w:r w:rsidR="009D4A2D" w:rsidRPr="00B323C8">
        <w:rPr>
          <w:i/>
          <w:iCs/>
        </w:rPr>
        <w:t>d</w:t>
      </w:r>
      <w:r w:rsidR="009D4A2D" w:rsidRPr="00B323C8">
        <w:t xml:space="preserve">.)  We </w:t>
      </w:r>
      <w:r w:rsidR="001078E6" w:rsidRPr="00B323C8">
        <w:t xml:space="preserve">therefore </w:t>
      </w:r>
      <w:r w:rsidR="009D4A2D" w:rsidRPr="00B323C8">
        <w:t>concluded that “the trial court’s refusal to hold a further hearing was within its discretion.”  (</w:t>
      </w:r>
      <w:r w:rsidR="009D4A2D" w:rsidRPr="00B323C8">
        <w:rPr>
          <w:i/>
          <w:iCs/>
        </w:rPr>
        <w:t>Id</w:t>
      </w:r>
      <w:r w:rsidR="009D4A2D" w:rsidRPr="00B323C8">
        <w:t>.</w:t>
      </w:r>
      <w:r w:rsidRPr="00B323C8">
        <w:t xml:space="preserve"> at p. 107</w:t>
      </w:r>
      <w:r w:rsidR="009D4A2D" w:rsidRPr="00B323C8">
        <w:t xml:space="preserve">)  </w:t>
      </w:r>
    </w:p>
    <w:p w14:paraId="622D43AC" w14:textId="266F6125" w:rsidR="006176DC" w:rsidRPr="00B323C8" w:rsidRDefault="009D4A2D" w:rsidP="00B323C8">
      <w:pPr>
        <w:tabs>
          <w:tab w:val="left" w:pos="1440"/>
        </w:tabs>
        <w:ind w:firstLine="720"/>
      </w:pPr>
      <w:r w:rsidRPr="00B323C8">
        <w:rPr>
          <w:i/>
          <w:iCs/>
        </w:rPr>
        <w:t>Clark</w:t>
      </w:r>
      <w:r w:rsidR="00537CC7" w:rsidRPr="00B323C8">
        <w:t xml:space="preserve">, </w:t>
      </w:r>
      <w:r w:rsidR="00537CC7" w:rsidRPr="00B323C8">
        <w:rPr>
          <w:i/>
          <w:iCs/>
        </w:rPr>
        <w:t>supra</w:t>
      </w:r>
      <w:r w:rsidR="00537CC7" w:rsidRPr="00B323C8">
        <w:t xml:space="preserve">, 3 Cal.4th 41, </w:t>
      </w:r>
      <w:r w:rsidRPr="00B323C8">
        <w:t xml:space="preserve">is distinguishable </w:t>
      </w:r>
      <w:r w:rsidR="001D13E1" w:rsidRPr="00B323C8">
        <w:t xml:space="preserve">from this case </w:t>
      </w:r>
      <w:r w:rsidRPr="00B323C8">
        <w:t xml:space="preserve">because </w:t>
      </w:r>
      <w:r w:rsidR="001D13E1" w:rsidRPr="00B323C8">
        <w:t xml:space="preserve">here </w:t>
      </w:r>
      <w:r w:rsidRPr="00B323C8">
        <w:t>the record included</w:t>
      </w:r>
      <w:r w:rsidR="00E15810" w:rsidRPr="00B323C8">
        <w:t> </w:t>
      </w:r>
      <w:r w:rsidR="00D800E2" w:rsidRPr="00B323C8">
        <w:t>— in the form of Dr. Good’s report</w:t>
      </w:r>
      <w:r w:rsidR="00656AED">
        <w:t> </w:t>
      </w:r>
      <w:r w:rsidR="00D800E2" w:rsidRPr="00B323C8">
        <w:t xml:space="preserve">— </w:t>
      </w:r>
      <w:r w:rsidRPr="00B323C8">
        <w:t xml:space="preserve">credible and detailed psychiatric evidence indicating that, due to severe mental illness, </w:t>
      </w:r>
      <w:r w:rsidR="001D13E1" w:rsidRPr="00B323C8">
        <w:t xml:space="preserve">defendant was not mentally </w:t>
      </w:r>
      <w:r w:rsidRPr="00B323C8">
        <w:t>competen</w:t>
      </w:r>
      <w:r w:rsidR="001D13E1" w:rsidRPr="00B323C8">
        <w:t>t</w:t>
      </w:r>
      <w:r w:rsidRPr="00B323C8">
        <w:t xml:space="preserve"> to waive his right to counsel.  </w:t>
      </w:r>
      <w:r w:rsidR="006176DC" w:rsidRPr="00B323C8">
        <w:t>Th</w:t>
      </w:r>
      <w:r w:rsidR="001078E6" w:rsidRPr="00B323C8">
        <w:t xml:space="preserve">at evidence satisfied </w:t>
      </w:r>
      <w:r w:rsidR="00D800E2" w:rsidRPr="00B323C8">
        <w:rPr>
          <w:i/>
          <w:iCs/>
        </w:rPr>
        <w:t>Pennington</w:t>
      </w:r>
      <w:r w:rsidR="00D800E2" w:rsidRPr="00B323C8">
        <w:t xml:space="preserve">’s </w:t>
      </w:r>
      <w:r w:rsidR="001078E6" w:rsidRPr="00B323C8">
        <w:t xml:space="preserve">substantial evidence </w:t>
      </w:r>
      <w:r w:rsidR="00D800E2" w:rsidRPr="00B323C8">
        <w:t xml:space="preserve">standard </w:t>
      </w:r>
      <w:r w:rsidR="001078E6" w:rsidRPr="00B323C8">
        <w:t>as a matter of law</w:t>
      </w:r>
      <w:r w:rsidR="00D800E2" w:rsidRPr="00B323C8">
        <w:t xml:space="preserve"> (</w:t>
      </w:r>
      <w:r w:rsidR="00D800E2" w:rsidRPr="00B323C8">
        <w:rPr>
          <w:i/>
          <w:iCs/>
        </w:rPr>
        <w:t>Pennington</w:t>
      </w:r>
      <w:r w:rsidR="00D800E2" w:rsidRPr="00B323C8">
        <w:t xml:space="preserve">, </w:t>
      </w:r>
      <w:r w:rsidR="00D800E2" w:rsidRPr="00B323C8">
        <w:rPr>
          <w:i/>
          <w:iCs/>
        </w:rPr>
        <w:t>supra</w:t>
      </w:r>
      <w:r w:rsidR="00D800E2" w:rsidRPr="00B323C8">
        <w:t>, 66 Cal.2d at p. 518)</w:t>
      </w:r>
      <w:r w:rsidR="001078E6" w:rsidRPr="00B323C8">
        <w:t xml:space="preserve">, </w:t>
      </w:r>
      <w:r w:rsidR="00D800E2" w:rsidRPr="00B323C8">
        <w:t xml:space="preserve">thus triggering </w:t>
      </w:r>
      <w:r w:rsidR="006176DC" w:rsidRPr="00B323C8">
        <w:t>the competenc</w:t>
      </w:r>
      <w:r w:rsidR="00537CC7" w:rsidRPr="00B323C8">
        <w:t>y proce</w:t>
      </w:r>
      <w:r w:rsidR="00F3256E" w:rsidRPr="00B323C8">
        <w:t xml:space="preserve">dures set forth in </w:t>
      </w:r>
      <w:r w:rsidR="006176DC" w:rsidRPr="00B323C8">
        <w:t>sections 1368 and 1369.</w:t>
      </w:r>
    </w:p>
    <w:p w14:paraId="037E4081" w14:textId="311A17D9" w:rsidR="00D800E2" w:rsidRPr="00B323C8" w:rsidRDefault="00D800E2" w:rsidP="00B323C8">
      <w:pPr>
        <w:pStyle w:val="Heading3"/>
      </w:pPr>
      <w:r w:rsidRPr="00B323C8">
        <w:lastRenderedPageBreak/>
        <w:t>3. The Trial Court’s Hearings Did Not Satisfy Section 1369</w:t>
      </w:r>
    </w:p>
    <w:p w14:paraId="3896FC99" w14:textId="77008263" w:rsidR="0055674A" w:rsidRPr="00B323C8" w:rsidRDefault="00A40430" w:rsidP="00B323C8">
      <w:pPr>
        <w:tabs>
          <w:tab w:val="left" w:pos="1440"/>
        </w:tabs>
        <w:ind w:firstLine="720"/>
      </w:pPr>
      <w:r w:rsidRPr="00B323C8">
        <w:t>Finally, we reject t</w:t>
      </w:r>
      <w:r w:rsidR="00B30A62" w:rsidRPr="00B323C8">
        <w:t>he Attorney General</w:t>
      </w:r>
      <w:r w:rsidR="00D61F82" w:rsidRPr="00B323C8">
        <w:t>’</w:t>
      </w:r>
      <w:r w:rsidR="00B30A62" w:rsidRPr="00B323C8">
        <w:t xml:space="preserve">s argument </w:t>
      </w:r>
      <w:r w:rsidR="00DD24CC" w:rsidRPr="00B323C8">
        <w:t xml:space="preserve">that </w:t>
      </w:r>
      <w:r w:rsidR="00E66C17" w:rsidRPr="00B323C8">
        <w:t xml:space="preserve">any error here </w:t>
      </w:r>
      <w:r w:rsidR="00B06782">
        <w:t>wa</w:t>
      </w:r>
      <w:r w:rsidR="00E66C17" w:rsidRPr="00B323C8">
        <w:t xml:space="preserve">s harmless because </w:t>
      </w:r>
      <w:r w:rsidR="00DD24CC" w:rsidRPr="00B323C8">
        <w:t xml:space="preserve">the </w:t>
      </w:r>
      <w:r w:rsidRPr="00B323C8">
        <w:t xml:space="preserve">two </w:t>
      </w:r>
      <w:r w:rsidR="005D7244" w:rsidRPr="00B323C8">
        <w:t xml:space="preserve">brief </w:t>
      </w:r>
      <w:r w:rsidR="00DD24CC" w:rsidRPr="00B323C8">
        <w:t>hearing</w:t>
      </w:r>
      <w:r w:rsidR="005D7244" w:rsidRPr="00B323C8">
        <w:t>s</w:t>
      </w:r>
      <w:r w:rsidR="00DD24CC" w:rsidRPr="00B323C8">
        <w:t xml:space="preserve"> </w:t>
      </w:r>
      <w:r w:rsidR="005D7244" w:rsidRPr="00B323C8">
        <w:t xml:space="preserve">at which </w:t>
      </w:r>
      <w:r w:rsidR="0042401F" w:rsidRPr="00B323C8">
        <w:t xml:space="preserve">the trial court considered </w:t>
      </w:r>
      <w:r w:rsidR="005D7244" w:rsidRPr="00B323C8">
        <w:t>Dr. Good</w:t>
      </w:r>
      <w:r w:rsidR="00D61F82" w:rsidRPr="00B323C8">
        <w:t>’</w:t>
      </w:r>
      <w:r w:rsidR="005D7244" w:rsidRPr="00B323C8">
        <w:t xml:space="preserve">s report </w:t>
      </w:r>
      <w:r w:rsidR="0042401F" w:rsidRPr="00B323C8">
        <w:t>c</w:t>
      </w:r>
      <w:r w:rsidR="007C356B" w:rsidRPr="00B323C8">
        <w:t>onstituted</w:t>
      </w:r>
      <w:r w:rsidRPr="00B323C8">
        <w:t>, by themselves,</w:t>
      </w:r>
      <w:r w:rsidR="007C356B" w:rsidRPr="00B323C8">
        <w:t xml:space="preserve"> a competency trial that satisfied section 1369</w:t>
      </w:r>
      <w:r w:rsidR="005D7244" w:rsidRPr="00B323C8">
        <w:t>.</w:t>
      </w:r>
      <w:r w:rsidR="00644637" w:rsidRPr="00B323C8">
        <w:t xml:space="preserve">  </w:t>
      </w:r>
      <w:r w:rsidR="00F00B4D" w:rsidRPr="00B323C8">
        <w:t>Se</w:t>
      </w:r>
      <w:r w:rsidR="00DD24CC" w:rsidRPr="00B323C8">
        <w:t>ction 1369 require</w:t>
      </w:r>
      <w:r w:rsidR="000A38B1" w:rsidRPr="00B323C8">
        <w:t>s</w:t>
      </w:r>
      <w:r w:rsidR="00DD24CC" w:rsidRPr="00B323C8">
        <w:t xml:space="preserve"> </w:t>
      </w:r>
      <w:r w:rsidR="00AB20CE" w:rsidRPr="00B323C8">
        <w:t xml:space="preserve">the </w:t>
      </w:r>
      <w:r w:rsidR="00DD24CC" w:rsidRPr="00B323C8">
        <w:t xml:space="preserve">appointment of </w:t>
      </w:r>
      <w:r w:rsidR="00644637" w:rsidRPr="00B323C8">
        <w:t xml:space="preserve">a </w:t>
      </w:r>
      <w:r w:rsidR="00DD24CC" w:rsidRPr="00B323C8">
        <w:t>mental health expert</w:t>
      </w:r>
      <w:r w:rsidR="00644637" w:rsidRPr="00B323C8">
        <w:t xml:space="preserve"> (or, in some cases, two such experts)</w:t>
      </w:r>
      <w:r w:rsidR="000A38B1" w:rsidRPr="00B323C8">
        <w:t xml:space="preserve"> </w:t>
      </w:r>
      <w:r w:rsidR="007C356B" w:rsidRPr="00B323C8">
        <w:t>(§ 1369, subd. (a))</w:t>
      </w:r>
      <w:r w:rsidR="000A38B1" w:rsidRPr="00B323C8">
        <w:t xml:space="preserve">, </w:t>
      </w:r>
      <w:r w:rsidR="00DD24CC" w:rsidRPr="00B323C8">
        <w:t xml:space="preserve">followed by </w:t>
      </w:r>
      <w:r w:rsidR="0055674A" w:rsidRPr="00B323C8">
        <w:t xml:space="preserve">a jury trial, including </w:t>
      </w:r>
      <w:r w:rsidR="00AB20CE" w:rsidRPr="00B323C8">
        <w:t xml:space="preserve">the </w:t>
      </w:r>
      <w:r w:rsidR="00C159CD" w:rsidRPr="00B323C8">
        <w:t xml:space="preserve">formal </w:t>
      </w:r>
      <w:r w:rsidR="00DD24CC" w:rsidRPr="00B323C8">
        <w:t>admission of evidence, argument, and a verdict</w:t>
      </w:r>
      <w:r w:rsidR="007C356B" w:rsidRPr="00B323C8">
        <w:t xml:space="preserve"> </w:t>
      </w:r>
      <w:r w:rsidR="00DD24CC" w:rsidRPr="00B323C8">
        <w:t>(</w:t>
      </w:r>
      <w:r w:rsidR="007C356B" w:rsidRPr="00B323C8">
        <w:rPr>
          <w:i/>
        </w:rPr>
        <w:t>id</w:t>
      </w:r>
      <w:r w:rsidR="007C356B" w:rsidRPr="00B323C8">
        <w:t xml:space="preserve">., </w:t>
      </w:r>
      <w:r w:rsidR="00DD24CC" w:rsidRPr="00B323C8">
        <w:t>subds. (b)–(f))</w:t>
      </w:r>
      <w:r w:rsidR="007C356B" w:rsidRPr="00B323C8">
        <w:t xml:space="preserve">.  </w:t>
      </w:r>
      <w:r w:rsidR="00644637" w:rsidRPr="00B323C8">
        <w:t>T</w:t>
      </w:r>
      <w:r w:rsidR="00DD24CC" w:rsidRPr="00B323C8">
        <w:t xml:space="preserve">hose </w:t>
      </w:r>
      <w:r w:rsidR="00943660" w:rsidRPr="00B323C8">
        <w:t xml:space="preserve">procedural </w:t>
      </w:r>
      <w:r w:rsidR="00DD24CC" w:rsidRPr="00B323C8">
        <w:t>requirements w</w:t>
      </w:r>
      <w:r w:rsidR="00644637" w:rsidRPr="00B323C8">
        <w:t xml:space="preserve">ere not </w:t>
      </w:r>
      <w:r w:rsidR="00AB20CE" w:rsidRPr="00B323C8">
        <w:t xml:space="preserve">satisfied </w:t>
      </w:r>
      <w:r w:rsidRPr="00B323C8">
        <w:t>in the two brief hearings that occurred h</w:t>
      </w:r>
      <w:r w:rsidR="00AB20CE" w:rsidRPr="00B323C8">
        <w:t>ere</w:t>
      </w:r>
      <w:r w:rsidR="00DD24CC" w:rsidRPr="00B323C8">
        <w:t>.</w:t>
      </w:r>
    </w:p>
    <w:p w14:paraId="4CC6AE68" w14:textId="3BEEECE1" w:rsidR="0082314E" w:rsidRPr="00B323C8" w:rsidRDefault="00DD24CC" w:rsidP="00B323C8">
      <w:pPr>
        <w:tabs>
          <w:tab w:val="left" w:pos="1440"/>
        </w:tabs>
        <w:ind w:firstLine="720"/>
      </w:pPr>
      <w:r w:rsidRPr="00B323C8">
        <w:t xml:space="preserve">Accordingly, </w:t>
      </w:r>
      <w:r w:rsidR="00356D9B" w:rsidRPr="00B323C8">
        <w:t>we</w:t>
      </w:r>
      <w:r w:rsidRPr="00B323C8">
        <w:t xml:space="preserve"> conclude that the trial court erred by failing to </w:t>
      </w:r>
      <w:r w:rsidR="00722469" w:rsidRPr="00B323C8">
        <w:t xml:space="preserve">initiate the </w:t>
      </w:r>
      <w:r w:rsidR="00D800E2" w:rsidRPr="00B323C8">
        <w:t xml:space="preserve">formal </w:t>
      </w:r>
      <w:r w:rsidR="00722469" w:rsidRPr="00B323C8">
        <w:t>competency procedures set forth in sections 1368 and 1369</w:t>
      </w:r>
      <w:r w:rsidRPr="00B323C8">
        <w:t xml:space="preserve">.  </w:t>
      </w:r>
      <w:r w:rsidR="00524227" w:rsidRPr="00B323C8">
        <w:t>We</w:t>
      </w:r>
      <w:r w:rsidRPr="00B323C8">
        <w:t xml:space="preserve"> </w:t>
      </w:r>
      <w:r w:rsidR="00D800E2" w:rsidRPr="00B323C8">
        <w:t xml:space="preserve">next consider whether, </w:t>
      </w:r>
      <w:r w:rsidR="00BB4D98" w:rsidRPr="00B323C8">
        <w:t xml:space="preserve">under the circumstances presented here, </w:t>
      </w:r>
      <w:r w:rsidRPr="00B323C8">
        <w:t>a retrospective evaluation of defendant</w:t>
      </w:r>
      <w:r w:rsidR="00D61F82" w:rsidRPr="00B323C8">
        <w:t>’</w:t>
      </w:r>
      <w:r w:rsidRPr="00B323C8">
        <w:t xml:space="preserve">s competence to stand trial is </w:t>
      </w:r>
      <w:r w:rsidR="00D60872" w:rsidRPr="00B323C8">
        <w:t>feasible</w:t>
      </w:r>
      <w:r w:rsidRPr="00B323C8">
        <w:t>.</w:t>
      </w:r>
    </w:p>
    <w:p w14:paraId="5AED5804" w14:textId="7A1CB3B2" w:rsidR="002F0159" w:rsidRPr="00B323C8" w:rsidRDefault="00BB4D98" w:rsidP="00B323C8">
      <w:pPr>
        <w:pStyle w:val="Heading2"/>
      </w:pPr>
      <w:r w:rsidRPr="00B323C8">
        <w:t xml:space="preserve">D. </w:t>
      </w:r>
      <w:r w:rsidR="002F0159" w:rsidRPr="00B323C8">
        <w:t>Retrospective Competency Trial</w:t>
      </w:r>
    </w:p>
    <w:p w14:paraId="6EA4F7E2" w14:textId="381D40D6" w:rsidR="008112C0" w:rsidRPr="00B323C8" w:rsidRDefault="008112C0" w:rsidP="00B323C8">
      <w:pPr>
        <w:tabs>
          <w:tab w:val="left" w:pos="1440"/>
        </w:tabs>
        <w:ind w:firstLine="720"/>
      </w:pPr>
      <w:r w:rsidRPr="00B323C8">
        <w:t xml:space="preserve">The Attorney General argues that if we conclude, as we have, that the trial court erred by not </w:t>
      </w:r>
      <w:r w:rsidR="00B138D3" w:rsidRPr="00B323C8">
        <w:t xml:space="preserve">initiating </w:t>
      </w:r>
      <w:r w:rsidR="00F3256E" w:rsidRPr="00B323C8">
        <w:t xml:space="preserve">the </w:t>
      </w:r>
      <w:r w:rsidRPr="00B323C8">
        <w:t>competency proce</w:t>
      </w:r>
      <w:r w:rsidR="00F3256E" w:rsidRPr="00B323C8">
        <w:t>dures</w:t>
      </w:r>
      <w:r w:rsidR="00B138D3" w:rsidRPr="00B323C8">
        <w:t xml:space="preserve"> </w:t>
      </w:r>
      <w:r w:rsidR="00F3256E" w:rsidRPr="00B323C8">
        <w:t xml:space="preserve">set forth in </w:t>
      </w:r>
      <w:r w:rsidRPr="00B323C8">
        <w:t>sections 1368 and 1369, the remedy is a conditional reversal so the trial court can consider the feasibility of holding a retrospective competency</w:t>
      </w:r>
      <w:r w:rsidR="007A411C" w:rsidRPr="00B323C8">
        <w:t xml:space="preserve"> trial</w:t>
      </w:r>
      <w:r w:rsidRPr="00B323C8">
        <w:t>.</w:t>
      </w:r>
      <w:r w:rsidR="009A69AF" w:rsidRPr="00B323C8">
        <w:t xml:space="preserve">  </w:t>
      </w:r>
      <w:r w:rsidR="007600A2" w:rsidRPr="00B323C8">
        <w:t>As we shall explain, a retrospective competency trial is not a harmless error inquiry.</w:t>
      </w:r>
      <w:r w:rsidR="00563D73">
        <w:t xml:space="preserve">  </w:t>
      </w:r>
      <w:r w:rsidR="007600A2" w:rsidRPr="00B323C8">
        <w:t>Rather, it is a</w:t>
      </w:r>
      <w:r w:rsidR="008A35DB">
        <w:t>n</w:t>
      </w:r>
      <w:r w:rsidR="007600A2" w:rsidRPr="00B323C8">
        <w:t xml:space="preserve"> opportunity to cure the trial court’s error</w:t>
      </w:r>
      <w:r w:rsidR="00DA0673" w:rsidRPr="00B323C8">
        <w:t xml:space="preserve"> by giving </w:t>
      </w:r>
      <w:r w:rsidR="007C28CD" w:rsidRPr="00B323C8">
        <w:t xml:space="preserve">the </w:t>
      </w:r>
      <w:r w:rsidR="00DA0673" w:rsidRPr="00B323C8">
        <w:t xml:space="preserve">defendant </w:t>
      </w:r>
      <w:r w:rsidR="00DC4F36" w:rsidRPr="00B323C8">
        <w:t>a competency trial that is</w:t>
      </w:r>
      <w:r w:rsidR="00F3664E">
        <w:t xml:space="preserve"> comparable to</w:t>
      </w:r>
      <w:r w:rsidR="00D838C1" w:rsidRPr="00B323C8">
        <w:t xml:space="preserve"> </w:t>
      </w:r>
      <w:r w:rsidR="002A60BD" w:rsidRPr="00B323C8">
        <w:t xml:space="preserve">the </w:t>
      </w:r>
      <w:r w:rsidR="00DC4F36" w:rsidRPr="00B323C8">
        <w:t xml:space="preserve">one he or she </w:t>
      </w:r>
      <w:r w:rsidR="002A60BD" w:rsidRPr="00B323C8">
        <w:t xml:space="preserve">should have </w:t>
      </w:r>
      <w:r w:rsidR="00DE69E6" w:rsidRPr="00B323C8">
        <w:t xml:space="preserve">been given but was </w:t>
      </w:r>
      <w:r w:rsidR="002A60BD" w:rsidRPr="00B323C8">
        <w:t>denied</w:t>
      </w:r>
      <w:r w:rsidR="00DA0673" w:rsidRPr="00B323C8">
        <w:t>.  I</w:t>
      </w:r>
      <w:r w:rsidR="007600A2" w:rsidRPr="00B323C8">
        <w:t>n the present circumstances</w:t>
      </w:r>
      <w:r w:rsidR="00253D16">
        <w:t> </w:t>
      </w:r>
      <w:r w:rsidR="007600A2" w:rsidRPr="00B323C8">
        <w:t>— involving the passage of more than a dozen years</w:t>
      </w:r>
      <w:r w:rsidR="00253D16">
        <w:t> </w:t>
      </w:r>
      <w:r w:rsidR="007600A2" w:rsidRPr="00B323C8">
        <w:t xml:space="preserve">— </w:t>
      </w:r>
      <w:r w:rsidR="00DC4F36" w:rsidRPr="00B323C8">
        <w:t xml:space="preserve">that is </w:t>
      </w:r>
      <w:r w:rsidR="00C00191" w:rsidRPr="00B323C8">
        <w:t>not possible to do</w:t>
      </w:r>
      <w:r w:rsidR="007600A2" w:rsidRPr="00B323C8">
        <w:t>.</w:t>
      </w:r>
    </w:p>
    <w:p w14:paraId="3E59D26F" w14:textId="4226FCCE" w:rsidR="00F367C6" w:rsidRPr="00B323C8" w:rsidRDefault="00C26C79" w:rsidP="00B323C8">
      <w:pPr>
        <w:tabs>
          <w:tab w:val="left" w:pos="1440"/>
        </w:tabs>
        <w:ind w:firstLine="720"/>
      </w:pPr>
      <w:r w:rsidRPr="00B323C8">
        <w:lastRenderedPageBreak/>
        <w:t xml:space="preserve">In cases involving </w:t>
      </w:r>
      <w:r w:rsidRPr="00B323C8">
        <w:rPr>
          <w:i/>
          <w:iCs/>
        </w:rPr>
        <w:t>Pate v. Robinson</w:t>
      </w:r>
      <w:r w:rsidRPr="00B323C8">
        <w:t xml:space="preserve"> error</w:t>
      </w:r>
      <w:r w:rsidR="00253D16">
        <w:t> </w:t>
      </w:r>
      <w:r w:rsidRPr="00B323C8">
        <w:t>— that is, a failure to hold a</w:t>
      </w:r>
      <w:r w:rsidR="00525393" w:rsidRPr="00B323C8">
        <w:t xml:space="preserve"> </w:t>
      </w:r>
      <w:r w:rsidRPr="00B323C8">
        <w:t xml:space="preserve">competency hearing despite substantial evidence of </w:t>
      </w:r>
      <w:r w:rsidR="00F367C6" w:rsidRPr="00B323C8">
        <w:t xml:space="preserve">a defendant’s </w:t>
      </w:r>
      <w:r w:rsidRPr="00B323C8">
        <w:t xml:space="preserve">incompetency </w:t>
      </w:r>
      <w:r w:rsidR="00525393" w:rsidRPr="00B323C8">
        <w:t xml:space="preserve">(see </w:t>
      </w:r>
      <w:r w:rsidR="00525393" w:rsidRPr="00B323C8">
        <w:rPr>
          <w:i/>
          <w:iCs/>
        </w:rPr>
        <w:t>Pate v. Robinson</w:t>
      </w:r>
      <w:r w:rsidR="00525393" w:rsidRPr="00B323C8">
        <w:t xml:space="preserve">, </w:t>
      </w:r>
      <w:r w:rsidR="00525393" w:rsidRPr="00B323C8">
        <w:rPr>
          <w:i/>
          <w:iCs/>
        </w:rPr>
        <w:t>supra</w:t>
      </w:r>
      <w:r w:rsidR="00525393" w:rsidRPr="00B323C8">
        <w:t>, 383 U.S. at pp. 385–386)</w:t>
      </w:r>
      <w:r w:rsidR="00253D16">
        <w:t> </w:t>
      </w:r>
      <w:r w:rsidRPr="00B323C8">
        <w:t xml:space="preserve">— </w:t>
      </w:r>
      <w:r w:rsidR="001F439B">
        <w:t xml:space="preserve"> </w:t>
      </w:r>
      <w:r w:rsidR="00BC7229">
        <w:t>the United States Supreme Court</w:t>
      </w:r>
      <w:r w:rsidR="00525393" w:rsidRPr="00B323C8">
        <w:t xml:space="preserve"> </w:t>
      </w:r>
      <w:r w:rsidR="001F439B">
        <w:t xml:space="preserve">has </w:t>
      </w:r>
      <w:r w:rsidR="00525393" w:rsidRPr="00B323C8">
        <w:t xml:space="preserve">reversed the judgment without ordering </w:t>
      </w:r>
      <w:r w:rsidR="00B57E25" w:rsidRPr="00B323C8">
        <w:t xml:space="preserve">an inquiry into the </w:t>
      </w:r>
      <w:r w:rsidR="00305AFD" w:rsidRPr="00B323C8">
        <w:t xml:space="preserve">feasibility </w:t>
      </w:r>
      <w:r w:rsidR="00B57E25" w:rsidRPr="00B323C8">
        <w:t xml:space="preserve">of </w:t>
      </w:r>
      <w:r w:rsidR="00BB4D98" w:rsidRPr="00B323C8">
        <w:t xml:space="preserve">making </w:t>
      </w:r>
      <w:r w:rsidR="00305AFD" w:rsidRPr="00B323C8">
        <w:t xml:space="preserve">a </w:t>
      </w:r>
      <w:r w:rsidR="00525393" w:rsidRPr="00B323C8">
        <w:t xml:space="preserve">retrospective competency </w:t>
      </w:r>
      <w:r w:rsidR="00F367C6" w:rsidRPr="00B323C8">
        <w:t>determination</w:t>
      </w:r>
      <w:r w:rsidR="00525393" w:rsidRPr="00B323C8">
        <w:t xml:space="preserve">.  </w:t>
      </w:r>
      <w:r w:rsidR="000A61E4" w:rsidRPr="00B323C8">
        <w:t xml:space="preserve">In </w:t>
      </w:r>
      <w:r w:rsidR="000A61E4" w:rsidRPr="00B323C8">
        <w:rPr>
          <w:i/>
          <w:iCs/>
        </w:rPr>
        <w:t>Dusky</w:t>
      </w:r>
      <w:r w:rsidR="000A61E4" w:rsidRPr="00B323C8">
        <w:t xml:space="preserve">, </w:t>
      </w:r>
      <w:r w:rsidR="00A43B23" w:rsidRPr="00B323C8">
        <w:t xml:space="preserve">for example, </w:t>
      </w:r>
      <w:r w:rsidR="000A61E4" w:rsidRPr="00B323C8">
        <w:t>the high court spoke of the “difficulties of retrospectively determining the petitioner’s competency as of more than a year ago,” and it reversed the judgment of conviction</w:t>
      </w:r>
      <w:r w:rsidR="00F367C6" w:rsidRPr="00B323C8">
        <w:t xml:space="preserve"> without </w:t>
      </w:r>
      <w:r w:rsidR="00A41AB4">
        <w:t>direct</w:t>
      </w:r>
      <w:r w:rsidR="00F367C6" w:rsidRPr="00B323C8">
        <w:t xml:space="preserve">ing </w:t>
      </w:r>
      <w:r w:rsidR="00A41AB4">
        <w:t xml:space="preserve">any </w:t>
      </w:r>
      <w:r w:rsidR="00902529" w:rsidRPr="00B323C8">
        <w:t>further proceedings</w:t>
      </w:r>
      <w:r w:rsidR="000A61E4" w:rsidRPr="00B323C8">
        <w:t>.  (</w:t>
      </w:r>
      <w:r w:rsidR="000A61E4" w:rsidRPr="00B323C8">
        <w:rPr>
          <w:i/>
          <w:iCs/>
        </w:rPr>
        <w:t>Dusky</w:t>
      </w:r>
      <w:r w:rsidR="000A61E4" w:rsidRPr="00B323C8">
        <w:t xml:space="preserve">, </w:t>
      </w:r>
      <w:r w:rsidR="000A61E4" w:rsidRPr="00B323C8">
        <w:rPr>
          <w:i/>
          <w:iCs/>
        </w:rPr>
        <w:t>supra</w:t>
      </w:r>
      <w:r w:rsidR="000A61E4" w:rsidRPr="00B323C8">
        <w:t>, 362 U.S. at p. 403.)  And i</w:t>
      </w:r>
      <w:r w:rsidR="00525393" w:rsidRPr="00B323C8">
        <w:t xml:space="preserve">n </w:t>
      </w:r>
      <w:r w:rsidR="00F3444E" w:rsidRPr="00B323C8">
        <w:rPr>
          <w:i/>
          <w:iCs/>
        </w:rPr>
        <w:t>Pate v. Robinson</w:t>
      </w:r>
      <w:r w:rsidR="00B57E25" w:rsidRPr="00B323C8">
        <w:t xml:space="preserve"> itself, </w:t>
      </w:r>
      <w:r w:rsidR="00305AFD" w:rsidRPr="00B323C8">
        <w:t xml:space="preserve">the high court </w:t>
      </w:r>
      <w:r w:rsidR="00F3444E" w:rsidRPr="00B323C8">
        <w:t xml:space="preserve">noted that at </w:t>
      </w:r>
      <w:r w:rsidR="00B57E25" w:rsidRPr="00B323C8">
        <w:t xml:space="preserve">a </w:t>
      </w:r>
      <w:r w:rsidR="00525393" w:rsidRPr="00B323C8">
        <w:t>retrospective competency hearing, “[t]he jury would not be able to observe the subject of their inquiry, and expert witnesses would have to testify solely from information contained in the printed record.</w:t>
      </w:r>
      <w:r w:rsidR="00F3444E" w:rsidRPr="00B323C8">
        <w:t xml:space="preserve">”  </w:t>
      </w:r>
      <w:r w:rsidR="00525393" w:rsidRPr="00B323C8">
        <w:t>(</w:t>
      </w:r>
      <w:r w:rsidR="00ED4CD7" w:rsidRPr="00B323C8">
        <w:rPr>
          <w:i/>
          <w:iCs/>
        </w:rPr>
        <w:t>Pate v. Robinson</w:t>
      </w:r>
      <w:r w:rsidR="00ED4CD7" w:rsidRPr="00B323C8">
        <w:t xml:space="preserve">, </w:t>
      </w:r>
      <w:r w:rsidR="00525393" w:rsidRPr="00B323C8">
        <w:t>at p. 387.)</w:t>
      </w:r>
      <w:r w:rsidR="00F3444E" w:rsidRPr="00B323C8">
        <w:t xml:space="preserve">  </w:t>
      </w:r>
      <w:r w:rsidR="00305AFD" w:rsidRPr="00B323C8">
        <w:t xml:space="preserve">The court </w:t>
      </w:r>
      <w:r w:rsidR="000A61E4" w:rsidRPr="00B323C8">
        <w:t xml:space="preserve">added </w:t>
      </w:r>
      <w:r w:rsidR="00F3444E" w:rsidRPr="00B323C8">
        <w:t>that the passage of time (six year</w:t>
      </w:r>
      <w:r w:rsidR="00305AFD" w:rsidRPr="00B323C8">
        <w:t>s</w:t>
      </w:r>
      <w:r w:rsidR="00F3444E" w:rsidRPr="00B323C8">
        <w:t xml:space="preserve"> in that case) “aggravates these difficulties”</w:t>
      </w:r>
      <w:r w:rsidR="00563D73">
        <w:t xml:space="preserve"> </w:t>
      </w:r>
      <w:r w:rsidR="00F3444E" w:rsidRPr="00B323C8">
        <w:t>(</w:t>
      </w:r>
      <w:r w:rsidR="00A43B23" w:rsidRPr="00B323C8">
        <w:rPr>
          <w:i/>
          <w:iCs/>
        </w:rPr>
        <w:t>i</w:t>
      </w:r>
      <w:r w:rsidR="00F3444E" w:rsidRPr="00B323C8">
        <w:rPr>
          <w:i/>
          <w:iCs/>
        </w:rPr>
        <w:t>bid</w:t>
      </w:r>
      <w:r w:rsidR="00F3444E" w:rsidRPr="00B323C8">
        <w:t>.)</w:t>
      </w:r>
      <w:r w:rsidR="00563D73">
        <w:t>,</w:t>
      </w:r>
      <w:r w:rsidR="00A43B23" w:rsidRPr="00B323C8">
        <w:t xml:space="preserve"> and it declined to permit a retrospective competency hearing.</w:t>
      </w:r>
      <w:r w:rsidR="00305AFD" w:rsidRPr="00B323C8">
        <w:t xml:space="preserve">  </w:t>
      </w:r>
      <w:r w:rsidR="000A61E4" w:rsidRPr="00B323C8">
        <w:t xml:space="preserve">Likewise, </w:t>
      </w:r>
      <w:r w:rsidR="00B57E25" w:rsidRPr="00B323C8">
        <w:t>i</w:t>
      </w:r>
      <w:r w:rsidR="00305AFD" w:rsidRPr="00B323C8">
        <w:t xml:space="preserve">n </w:t>
      </w:r>
      <w:r w:rsidR="00305AFD" w:rsidRPr="00B323C8">
        <w:rPr>
          <w:i/>
          <w:iCs/>
        </w:rPr>
        <w:t>Drope v. Missouri</w:t>
      </w:r>
      <w:r w:rsidR="00305AFD" w:rsidRPr="00B323C8">
        <w:t xml:space="preserve"> (1975) 420 U.S. 162</w:t>
      </w:r>
      <w:r w:rsidR="00450704">
        <w:t> </w:t>
      </w:r>
      <w:r w:rsidR="00305AFD" w:rsidRPr="00B323C8">
        <w:t>— another case in which six years had passed since the relevant events</w:t>
      </w:r>
      <w:r w:rsidR="00450704">
        <w:t> </w:t>
      </w:r>
      <w:r w:rsidR="00305AFD" w:rsidRPr="00B323C8">
        <w:t xml:space="preserve">— the high court noted “the inherent difficulties of such a </w:t>
      </w:r>
      <w:r w:rsidR="00305AFD" w:rsidRPr="00B323C8">
        <w:rPr>
          <w:i/>
          <w:iCs/>
        </w:rPr>
        <w:t>nunc pro tunc</w:t>
      </w:r>
      <w:r w:rsidR="00305AFD" w:rsidRPr="00B323C8">
        <w:t xml:space="preserve"> </w:t>
      </w:r>
      <w:r w:rsidR="000A61E4" w:rsidRPr="00B323C8">
        <w:t xml:space="preserve">[competency] </w:t>
      </w:r>
      <w:r w:rsidR="00305AFD" w:rsidRPr="00B323C8">
        <w:t>determination under the most favorable circumstances</w:t>
      </w:r>
      <w:r w:rsidR="00B57E25" w:rsidRPr="00B323C8">
        <w:t>,</w:t>
      </w:r>
      <w:r w:rsidR="00305AFD" w:rsidRPr="00B323C8">
        <w:t xml:space="preserve">” and </w:t>
      </w:r>
      <w:r w:rsidR="00B57E25" w:rsidRPr="00B323C8">
        <w:t xml:space="preserve">it concluded that such a determination would not be possible in the case it was </w:t>
      </w:r>
      <w:r w:rsidR="00F367C6" w:rsidRPr="00B323C8">
        <w:t xml:space="preserve">then </w:t>
      </w:r>
      <w:r w:rsidR="00B57E25" w:rsidRPr="00B323C8">
        <w:t>deciding.  (</w:t>
      </w:r>
      <w:r w:rsidR="00B57E25" w:rsidRPr="00B323C8">
        <w:rPr>
          <w:i/>
          <w:iCs/>
        </w:rPr>
        <w:t>Id</w:t>
      </w:r>
      <w:r w:rsidR="00B57E25" w:rsidRPr="00B323C8">
        <w:t xml:space="preserve">. at p. </w:t>
      </w:r>
      <w:r w:rsidR="00305AFD" w:rsidRPr="00B323C8">
        <w:t>183.</w:t>
      </w:r>
      <w:r w:rsidR="00B57E25" w:rsidRPr="00B323C8">
        <w:t>)</w:t>
      </w:r>
    </w:p>
    <w:p w14:paraId="07A59EFA" w14:textId="00718FB9" w:rsidR="00DE69E6" w:rsidRPr="00B323C8" w:rsidRDefault="00F367C6" w:rsidP="00B323C8">
      <w:pPr>
        <w:tabs>
          <w:tab w:val="left" w:pos="1440"/>
        </w:tabs>
        <w:ind w:firstLine="720"/>
      </w:pPr>
      <w:r w:rsidRPr="00B323C8">
        <w:t xml:space="preserve">This court, too, has never </w:t>
      </w:r>
      <w:r w:rsidR="00460B84" w:rsidRPr="00B323C8">
        <w:t xml:space="preserve">expressly </w:t>
      </w:r>
      <w:r w:rsidR="000A61E4" w:rsidRPr="00B323C8">
        <w:t xml:space="preserve">held that a retrospective competency </w:t>
      </w:r>
      <w:r w:rsidR="002F0159" w:rsidRPr="00B323C8">
        <w:t xml:space="preserve">determination </w:t>
      </w:r>
      <w:r w:rsidR="000A61E4" w:rsidRPr="00B323C8">
        <w:t xml:space="preserve">is </w:t>
      </w:r>
      <w:r w:rsidRPr="00B323C8">
        <w:t xml:space="preserve">adequate to cure </w:t>
      </w:r>
      <w:r w:rsidR="000A61E4" w:rsidRPr="00B323C8">
        <w:rPr>
          <w:i/>
          <w:iCs/>
        </w:rPr>
        <w:t>Pate v. Robinson</w:t>
      </w:r>
      <w:r w:rsidR="000A61E4" w:rsidRPr="00B323C8">
        <w:t xml:space="preserve"> error.  (See </w:t>
      </w:r>
      <w:r w:rsidR="000A61E4" w:rsidRPr="00B323C8">
        <w:rPr>
          <w:i/>
          <w:iCs/>
        </w:rPr>
        <w:t>Rodas</w:t>
      </w:r>
      <w:r w:rsidR="000A61E4" w:rsidRPr="00B323C8">
        <w:t xml:space="preserve">, </w:t>
      </w:r>
      <w:r w:rsidR="000A61E4" w:rsidRPr="00B323C8">
        <w:rPr>
          <w:i/>
          <w:iCs/>
        </w:rPr>
        <w:t>supra</w:t>
      </w:r>
      <w:r w:rsidR="000A61E4" w:rsidRPr="00B323C8">
        <w:t xml:space="preserve">, </w:t>
      </w:r>
      <w:r w:rsidR="00A41024" w:rsidRPr="00B323C8">
        <w:t xml:space="preserve">6 Cal.5th </w:t>
      </w:r>
      <w:r w:rsidR="000A61E4" w:rsidRPr="00B323C8">
        <w:t xml:space="preserve">at p. 239 [assuming without deciding that the remedy </w:t>
      </w:r>
      <w:r w:rsidRPr="00B323C8">
        <w:t xml:space="preserve">of a retrospective determination </w:t>
      </w:r>
      <w:r w:rsidR="000A61E4" w:rsidRPr="00B323C8">
        <w:t>is available]</w:t>
      </w:r>
      <w:r w:rsidR="00A41024" w:rsidRPr="00B323C8">
        <w:t xml:space="preserve">; </w:t>
      </w:r>
      <w:r w:rsidR="00A41024" w:rsidRPr="00B323C8">
        <w:rPr>
          <w:i/>
          <w:iCs/>
        </w:rPr>
        <w:t>P</w:t>
      </w:r>
      <w:r w:rsidR="000A61E4" w:rsidRPr="00B323C8">
        <w:rPr>
          <w:i/>
          <w:iCs/>
        </w:rPr>
        <w:t>eople v. Lightsey</w:t>
      </w:r>
      <w:r w:rsidR="000A61E4" w:rsidRPr="00B323C8">
        <w:t xml:space="preserve"> </w:t>
      </w:r>
      <w:r w:rsidR="00A41024" w:rsidRPr="00B323C8">
        <w:t>(2012) 54 Ca</w:t>
      </w:r>
      <w:r w:rsidR="00A15366">
        <w:t>l</w:t>
      </w:r>
      <w:r w:rsidR="00A41024" w:rsidRPr="00B323C8">
        <w:t xml:space="preserve">.4th 668, </w:t>
      </w:r>
      <w:r w:rsidR="000A61E4" w:rsidRPr="00B323C8">
        <w:t>704</w:t>
      </w:r>
      <w:r w:rsidR="00A41024" w:rsidRPr="00B323C8">
        <w:t xml:space="preserve"> </w:t>
      </w:r>
      <w:r w:rsidR="00A15366">
        <w:t>(</w:t>
      </w:r>
      <w:r w:rsidR="00A15366" w:rsidRPr="00A15366">
        <w:rPr>
          <w:i/>
          <w:iCs/>
        </w:rPr>
        <w:t>Lightsey</w:t>
      </w:r>
      <w:r w:rsidR="00A15366">
        <w:t xml:space="preserve">) </w:t>
      </w:r>
      <w:r w:rsidR="000A61E4" w:rsidRPr="00B323C8">
        <w:t>[declin</w:t>
      </w:r>
      <w:r w:rsidR="00A41024" w:rsidRPr="00B323C8">
        <w:t xml:space="preserve">ing </w:t>
      </w:r>
      <w:r w:rsidR="000A61E4" w:rsidRPr="00B323C8">
        <w:t xml:space="preserve">to answer the </w:t>
      </w:r>
      <w:r w:rsidR="00BF4AD4" w:rsidRPr="00B323C8">
        <w:t xml:space="preserve">“complex and . . . </w:t>
      </w:r>
      <w:r w:rsidR="00BF4AD4" w:rsidRPr="00B323C8">
        <w:lastRenderedPageBreak/>
        <w:t xml:space="preserve">debat[able]” </w:t>
      </w:r>
      <w:r w:rsidR="000A61E4" w:rsidRPr="00B323C8">
        <w:t>question]</w:t>
      </w:r>
      <w:r w:rsidR="00BF4AD4" w:rsidRPr="00B323C8">
        <w:t xml:space="preserve">; </w:t>
      </w:r>
      <w:r w:rsidRPr="00B323C8">
        <w:rPr>
          <w:i/>
        </w:rPr>
        <w:t>People v. Ary</w:t>
      </w:r>
      <w:r w:rsidRPr="00B323C8">
        <w:t xml:space="preserve"> (2011) 51 Cal.4th 510, </w:t>
      </w:r>
      <w:r w:rsidR="00BF4AD4" w:rsidRPr="00B323C8">
        <w:t xml:space="preserve">516–517 </w:t>
      </w:r>
      <w:r w:rsidR="00A15366">
        <w:t>(</w:t>
      </w:r>
      <w:r w:rsidR="00A15366" w:rsidRPr="00A15366">
        <w:rPr>
          <w:i/>
          <w:iCs/>
        </w:rPr>
        <w:t>Ary</w:t>
      </w:r>
      <w:r w:rsidR="00A15366">
        <w:t xml:space="preserve">) </w:t>
      </w:r>
      <w:r w:rsidR="00BF4AD4" w:rsidRPr="00B323C8">
        <w:t xml:space="preserve">[assuming without deciding that the remedy is available]; </w:t>
      </w:r>
      <w:r w:rsidR="00BF4AD4" w:rsidRPr="00B323C8">
        <w:rPr>
          <w:i/>
          <w:iCs/>
        </w:rPr>
        <w:t>People v. Young</w:t>
      </w:r>
      <w:r w:rsidR="00BF4AD4" w:rsidRPr="00B323C8">
        <w:t xml:space="preserve"> (2005) 34 Cal.4th 1149, 1217, fn. 16 [noting that “in some circumstances, a remand may be appropriate and reversal . . . might be unnecessary”]</w:t>
      </w:r>
      <w:r w:rsidR="002A60BD" w:rsidRPr="00B323C8">
        <w:t xml:space="preserve">; </w:t>
      </w:r>
      <w:r w:rsidR="002A60BD" w:rsidRPr="00B323C8">
        <w:rPr>
          <w:i/>
          <w:iCs/>
        </w:rPr>
        <w:t>People v. Marks</w:t>
      </w:r>
      <w:r w:rsidR="002A60BD" w:rsidRPr="00B323C8">
        <w:t xml:space="preserve"> (1988) 45 Cal.3d 1335, 1340 [reversing the judgment, </w:t>
      </w:r>
      <w:r w:rsidR="002F3DCF">
        <w:t>observing,</w:t>
      </w:r>
      <w:r w:rsidR="002A60BD" w:rsidRPr="00B323C8">
        <w:t xml:space="preserve"> “[t]hat the hearing was not held is dispositive”]; </w:t>
      </w:r>
      <w:r w:rsidR="002A60BD" w:rsidRPr="00B323C8">
        <w:rPr>
          <w:i/>
          <w:iCs/>
        </w:rPr>
        <w:t>People v. Hale</w:t>
      </w:r>
      <w:r w:rsidR="002A60BD" w:rsidRPr="00B323C8">
        <w:t xml:space="preserve"> (1988) 44 Cal.3d 531, 541 [</w:t>
      </w:r>
      <w:r w:rsidR="00DE69E6" w:rsidRPr="00B323C8">
        <w:t xml:space="preserve">absence of </w:t>
      </w:r>
      <w:r w:rsidR="002A60BD" w:rsidRPr="00B323C8">
        <w:t xml:space="preserve">competency trial “rendered the subsequent trial proceedings void because the court had been divested of jurisdiction to proceed”]; </w:t>
      </w:r>
      <w:r w:rsidR="002A60BD" w:rsidRPr="00B323C8">
        <w:rPr>
          <w:i/>
          <w:iCs/>
        </w:rPr>
        <w:t>Pennington</w:t>
      </w:r>
      <w:r w:rsidR="002A60BD" w:rsidRPr="00B323C8">
        <w:t xml:space="preserve">, </w:t>
      </w:r>
      <w:r w:rsidR="002A60BD" w:rsidRPr="00B323C8">
        <w:rPr>
          <w:i/>
          <w:iCs/>
        </w:rPr>
        <w:t>supra</w:t>
      </w:r>
      <w:r w:rsidR="002A60BD" w:rsidRPr="00B323C8">
        <w:t xml:space="preserve">, 66 Cal.2d at p. 521 [rejecting </w:t>
      </w:r>
      <w:r w:rsidR="00DE69E6" w:rsidRPr="00B323C8">
        <w:t xml:space="preserve">the argument </w:t>
      </w:r>
      <w:r w:rsidR="002A60BD" w:rsidRPr="00B323C8">
        <w:t xml:space="preserve">that “the error be cured by a retrospective determination of defendant’s mental competence during his trial”]; see generally </w:t>
      </w:r>
      <w:r w:rsidR="002A60BD" w:rsidRPr="00B323C8">
        <w:rPr>
          <w:i/>
          <w:iCs/>
        </w:rPr>
        <w:t>Rodas</w:t>
      </w:r>
      <w:r w:rsidR="002A60BD" w:rsidRPr="00B323C8">
        <w:t>, at pp. 238–240.)</w:t>
      </w:r>
      <w:r w:rsidR="00DE69E6" w:rsidRPr="00B323C8">
        <w:t xml:space="preserve">  </w:t>
      </w:r>
      <w:r w:rsidR="00977F8B" w:rsidRPr="00B323C8">
        <w:t>To understand these holdings</w:t>
      </w:r>
      <w:r w:rsidR="007C28CD" w:rsidRPr="00B323C8">
        <w:t>,</w:t>
      </w:r>
      <w:r w:rsidR="00977F8B" w:rsidRPr="00B323C8">
        <w:t xml:space="preserve"> it is </w:t>
      </w:r>
      <w:r w:rsidR="009A69AF" w:rsidRPr="00B323C8">
        <w:t xml:space="preserve">important to understand the nature </w:t>
      </w:r>
      <w:r w:rsidR="00977F8B" w:rsidRPr="00B323C8">
        <w:t>of the retrospective competency trial that our cases permit</w:t>
      </w:r>
      <w:r w:rsidR="005876D8" w:rsidRPr="00B323C8">
        <w:t xml:space="preserve">, </w:t>
      </w:r>
      <w:r w:rsidR="009A69AF" w:rsidRPr="00B323C8">
        <w:t xml:space="preserve">an issue we now </w:t>
      </w:r>
      <w:r w:rsidR="008145B8" w:rsidRPr="00B323C8">
        <w:t>turn to</w:t>
      </w:r>
      <w:r w:rsidR="00977F8B" w:rsidRPr="00B323C8">
        <w:t>.</w:t>
      </w:r>
    </w:p>
    <w:p w14:paraId="33F8368D" w14:textId="70D05184" w:rsidR="00977F8B" w:rsidRPr="00B323C8" w:rsidRDefault="00977F8B" w:rsidP="00B323C8">
      <w:pPr>
        <w:tabs>
          <w:tab w:val="left" w:pos="1440"/>
        </w:tabs>
        <w:ind w:firstLine="720"/>
      </w:pPr>
      <w:r w:rsidRPr="00B323C8">
        <w:t xml:space="preserve">Significantly, we have held that the </w:t>
      </w:r>
      <w:r w:rsidRPr="00B323C8">
        <w:rPr>
          <w:i/>
          <w:iCs/>
        </w:rPr>
        <w:t>defendant</w:t>
      </w:r>
      <w:r w:rsidRPr="00B323C8">
        <w:t xml:space="preserve"> has the burden of proof in a retrospective competency trial.  In </w:t>
      </w:r>
      <w:r w:rsidRPr="00B323C8">
        <w:rPr>
          <w:i/>
          <w:iCs/>
        </w:rPr>
        <w:t>Rodas</w:t>
      </w:r>
      <w:r w:rsidRPr="00B323C8">
        <w:t>, we said so explicitly:  “The burden of proof in a retrospective hearing is on the defendant . . . .”  (</w:t>
      </w:r>
      <w:r w:rsidRPr="00B323C8">
        <w:rPr>
          <w:i/>
          <w:iCs/>
        </w:rPr>
        <w:t>Rodas</w:t>
      </w:r>
      <w:r w:rsidRPr="00B323C8">
        <w:t xml:space="preserve">, </w:t>
      </w:r>
      <w:r w:rsidRPr="00B323C8">
        <w:rPr>
          <w:i/>
          <w:iCs/>
        </w:rPr>
        <w:t>supra</w:t>
      </w:r>
      <w:r w:rsidRPr="00B323C8">
        <w:t xml:space="preserve">, 6 Cal.5th at p. 240.)  Similarly, in </w:t>
      </w:r>
      <w:r w:rsidRPr="00B323C8">
        <w:rPr>
          <w:i/>
          <w:iCs/>
        </w:rPr>
        <w:t>Lightsey</w:t>
      </w:r>
      <w:r w:rsidRPr="00B323C8">
        <w:t>, we said that “a retrospective competency hearing [must] provide defendant a fair opportunity to prove incompetence.”  (</w:t>
      </w:r>
      <w:r w:rsidRPr="00B323C8">
        <w:rPr>
          <w:i/>
          <w:iCs/>
        </w:rPr>
        <w:t>Lightsey</w:t>
      </w:r>
      <w:r w:rsidRPr="00B323C8">
        <w:t xml:space="preserve">, </w:t>
      </w:r>
      <w:r w:rsidRPr="00B323C8">
        <w:rPr>
          <w:i/>
          <w:iCs/>
        </w:rPr>
        <w:t>supra</w:t>
      </w:r>
      <w:r w:rsidRPr="00B323C8">
        <w:t xml:space="preserve">, 54 Cal.4th at p. 710, italics </w:t>
      </w:r>
      <w:r w:rsidR="004A47EA">
        <w:t>omitted</w:t>
      </w:r>
      <w:r w:rsidRPr="00B323C8">
        <w:t xml:space="preserve">.)  And in </w:t>
      </w:r>
      <w:r w:rsidRPr="00B323C8">
        <w:rPr>
          <w:i/>
          <w:iCs/>
        </w:rPr>
        <w:t>Ary</w:t>
      </w:r>
      <w:r w:rsidRPr="00B323C8">
        <w:t>, we said that “requiring a criminal defendant to prove at a retrospective mental competency hearing that he was incompetent when tried earlier does not ‘ “offend[] some principle of justice so rooted in the traditions and conscience of our people as to be ranked as fundamental.” ’ ”  (</w:t>
      </w:r>
      <w:r w:rsidRPr="00B323C8">
        <w:rPr>
          <w:i/>
          <w:iCs/>
        </w:rPr>
        <w:t>Ary</w:t>
      </w:r>
      <w:r w:rsidRPr="00B323C8">
        <w:t xml:space="preserve">, </w:t>
      </w:r>
      <w:r w:rsidRPr="00B323C8">
        <w:rPr>
          <w:i/>
          <w:iCs/>
        </w:rPr>
        <w:t>supra</w:t>
      </w:r>
      <w:r w:rsidRPr="00B323C8">
        <w:t>, 51 Cal.4th at pp. 520–521.)</w:t>
      </w:r>
      <w:r w:rsidR="00DE69E6" w:rsidRPr="00B323C8">
        <w:t xml:space="preserve">  </w:t>
      </w:r>
      <w:r w:rsidRPr="00B323C8">
        <w:t xml:space="preserve">Those statements might sound odd to someone familiar with the harmless error standards that apply on appeal.  When there is a retrospective </w:t>
      </w:r>
      <w:r w:rsidRPr="00B323C8">
        <w:lastRenderedPageBreak/>
        <w:t xml:space="preserve">competency trial, there has necessarily been a finding of trial court error, and if the case involves </w:t>
      </w:r>
      <w:r w:rsidRPr="00B323C8">
        <w:rPr>
          <w:i/>
          <w:iCs/>
        </w:rPr>
        <w:t>Pate v. Robinson</w:t>
      </w:r>
      <w:r w:rsidRPr="00B323C8">
        <w:t xml:space="preserve"> error, the error is one that violates the federal Constitution.  It is well settled that in a criminal case involving federal constitutional error, an appellate court can affirm the conviction only if “the beneficiary of [the] constitutional error” — the People — can “prove beyond a reasonable doubt that the error complained of did not contribute to the verdict obtained.”  (</w:t>
      </w:r>
      <w:r w:rsidRPr="00B323C8">
        <w:rPr>
          <w:i/>
          <w:iCs/>
        </w:rPr>
        <w:t>Chapman v. California</w:t>
      </w:r>
      <w:r w:rsidRPr="00B323C8">
        <w:t xml:space="preserve"> (1967) 386 U.S. 18, 24 (</w:t>
      </w:r>
      <w:r w:rsidRPr="00B323C8">
        <w:rPr>
          <w:i/>
          <w:iCs/>
        </w:rPr>
        <w:t>Chapman</w:t>
      </w:r>
      <w:r w:rsidRPr="00B323C8">
        <w:t xml:space="preserve">).)  Why then in a retrospective competency trial does the defendant have the burden of proof to show he or she was incompetent at the time of the trial, and therefore that the trial court’s </w:t>
      </w:r>
      <w:r w:rsidRPr="00B323C8">
        <w:rPr>
          <w:i/>
          <w:iCs/>
        </w:rPr>
        <w:t>Pate v. Robinson</w:t>
      </w:r>
      <w:r w:rsidRPr="00B323C8">
        <w:t xml:space="preserve"> error was prejudicial?</w:t>
      </w:r>
    </w:p>
    <w:p w14:paraId="1A42E541" w14:textId="529DC48A" w:rsidR="00D647DB" w:rsidRDefault="00977F8B" w:rsidP="00B323C8">
      <w:pPr>
        <w:tabs>
          <w:tab w:val="left" w:pos="1440"/>
        </w:tabs>
        <w:ind w:firstLine="720"/>
      </w:pPr>
      <w:r w:rsidRPr="00B323C8">
        <w:t>The answer lies in the fact that a retrospective competency trial is n</w:t>
      </w:r>
      <w:r w:rsidR="00DC4F36" w:rsidRPr="00B323C8">
        <w:t>ot</w:t>
      </w:r>
      <w:r w:rsidR="00AA2F3A" w:rsidRPr="00B323C8">
        <w:t xml:space="preserve"> </w:t>
      </w:r>
      <w:r w:rsidRPr="00B323C8">
        <w:t xml:space="preserve">a </w:t>
      </w:r>
      <w:r w:rsidR="00DE69E6" w:rsidRPr="00B323C8">
        <w:t>harmless error inquiry, nor is it a</w:t>
      </w:r>
      <w:r w:rsidR="00C3276D">
        <w:t>n unconstrained</w:t>
      </w:r>
      <w:r w:rsidR="00DE69E6" w:rsidRPr="00B323C8">
        <w:t xml:space="preserve"> </w:t>
      </w:r>
      <w:r w:rsidRPr="00B323C8">
        <w:t xml:space="preserve">post hoc inquiry into </w:t>
      </w:r>
      <w:r w:rsidR="000269AE" w:rsidRPr="00B323C8">
        <w:t>a</w:t>
      </w:r>
      <w:r w:rsidRPr="00B323C8">
        <w:t xml:space="preserve"> defendant’s mental condition at some earlier point in time.  </w:t>
      </w:r>
      <w:r w:rsidRPr="00A16B90">
        <w:t xml:space="preserve">Rather, a retrospective competency trial provides </w:t>
      </w:r>
      <w:r w:rsidR="00C80E59" w:rsidRPr="00552BFF">
        <w:t>a</w:t>
      </w:r>
      <w:r w:rsidRPr="00552BFF">
        <w:t xml:space="preserve"> defend</w:t>
      </w:r>
      <w:r w:rsidRPr="00A16B90">
        <w:t xml:space="preserve">ant with </w:t>
      </w:r>
      <w:r w:rsidR="00C80E59" w:rsidRPr="00A16B90">
        <w:t xml:space="preserve">an </w:t>
      </w:r>
      <w:r w:rsidRPr="00A16B90">
        <w:t xml:space="preserve">opportunity to </w:t>
      </w:r>
      <w:r w:rsidR="00913EB8" w:rsidRPr="00A16B90">
        <w:t>have</w:t>
      </w:r>
      <w:r w:rsidRPr="00A16B90">
        <w:t xml:space="preserve"> </w:t>
      </w:r>
      <w:r w:rsidR="00B774DA">
        <w:t>a</w:t>
      </w:r>
      <w:r w:rsidR="00B774DA" w:rsidRPr="00A16B90">
        <w:t xml:space="preserve"> </w:t>
      </w:r>
      <w:r w:rsidRPr="00A16B90">
        <w:t xml:space="preserve">competency trial </w:t>
      </w:r>
      <w:r w:rsidR="00765B53">
        <w:t xml:space="preserve">comparable to </w:t>
      </w:r>
      <w:r w:rsidRPr="00A16B90">
        <w:t>th</w:t>
      </w:r>
      <w:r w:rsidR="00A03719">
        <w:t>e one</w:t>
      </w:r>
      <w:r w:rsidRPr="00A16B90">
        <w:t xml:space="preserve"> the defendant should have been given but was denied</w:t>
      </w:r>
      <w:r w:rsidR="007C28CD" w:rsidRPr="00A16B90">
        <w:t> </w:t>
      </w:r>
      <w:r w:rsidR="00DE69E6" w:rsidRPr="00A16B90">
        <w:t xml:space="preserve">— one in which the defendant would have had the </w:t>
      </w:r>
      <w:r w:rsidRPr="00A16B90">
        <w:t>burden of proof</w:t>
      </w:r>
      <w:r w:rsidR="004550A3">
        <w:t xml:space="preserve"> </w:t>
      </w:r>
      <w:r w:rsidRPr="00B323C8">
        <w:t xml:space="preserve">(see </w:t>
      </w:r>
      <w:r w:rsidR="005F388C" w:rsidRPr="005F388C">
        <w:rPr>
          <w:i/>
          <w:iCs/>
        </w:rPr>
        <w:t>Ary</w:t>
      </w:r>
      <w:r w:rsidR="005F388C" w:rsidRPr="005F388C">
        <w:t>, </w:t>
      </w:r>
      <w:r w:rsidR="005F388C" w:rsidRPr="005F388C">
        <w:rPr>
          <w:i/>
          <w:iCs/>
        </w:rPr>
        <w:t>supra</w:t>
      </w:r>
      <w:r w:rsidR="005F388C" w:rsidRPr="005F388C">
        <w:t>, 51 Cal.4th at p. 518; </w:t>
      </w:r>
      <w:r w:rsidR="005F388C" w:rsidRPr="005F388C">
        <w:rPr>
          <w:i/>
          <w:iCs/>
        </w:rPr>
        <w:t>People v. Medina</w:t>
      </w:r>
      <w:r w:rsidR="005F388C" w:rsidRPr="005F388C">
        <w:t> (1990) 51 Cal.3d 870, 881</w:t>
      </w:r>
      <w:r w:rsidR="004550A3">
        <w:t xml:space="preserve">; see also </w:t>
      </w:r>
      <w:r w:rsidR="004550A3" w:rsidRPr="00B323C8">
        <w:t>§</w:t>
      </w:r>
      <w:r w:rsidR="004550A3">
        <w:t> </w:t>
      </w:r>
      <w:r w:rsidR="004550A3" w:rsidRPr="00B323C8">
        <w:t>1369, subd. (f)</w:t>
      </w:r>
      <w:r w:rsidR="004550A3">
        <w:t xml:space="preserve"> [“</w:t>
      </w:r>
      <w:r w:rsidR="004550A3" w:rsidRPr="00DF5FF6">
        <w:t>It shall be presumed that the defendant is mentally competent</w:t>
      </w:r>
      <w:r w:rsidR="004550A3">
        <w:t> . . . .”]</w:t>
      </w:r>
      <w:r w:rsidRPr="00B323C8">
        <w:t>).</w:t>
      </w:r>
      <w:r w:rsidR="004550A3">
        <w:t xml:space="preserve">  </w:t>
      </w:r>
      <w:r w:rsidRPr="00B323C8">
        <w:t xml:space="preserve">Hence, in </w:t>
      </w:r>
      <w:r w:rsidRPr="00B323C8">
        <w:rPr>
          <w:i/>
          <w:iCs/>
        </w:rPr>
        <w:t>Ary</w:t>
      </w:r>
      <w:r w:rsidRPr="00B323C8">
        <w:t xml:space="preserve">, we said:  “ ‘[After a feasibility finding, t]he defendant </w:t>
      </w:r>
      <w:r w:rsidRPr="00B323C8">
        <w:rPr>
          <w:i/>
          <w:iCs/>
        </w:rPr>
        <w:t xml:space="preserve">will </w:t>
      </w:r>
      <w:bookmarkStart w:id="31" w:name="_Hlk78816813"/>
      <w:r w:rsidRPr="00B323C8">
        <w:rPr>
          <w:i/>
          <w:iCs/>
        </w:rPr>
        <w:t>be placed in a position comparable to the one he would have been placed in</w:t>
      </w:r>
      <w:r w:rsidRPr="00B323C8">
        <w:t xml:space="preserve"> prior to the original [guilt] trial. </w:t>
      </w:r>
      <w:bookmarkEnd w:id="31"/>
      <w:r w:rsidRPr="00B323C8">
        <w:t xml:space="preserve"> </w:t>
      </w:r>
      <w:r w:rsidRPr="00B323C8">
        <w:rPr>
          <w:i/>
          <w:iCs/>
        </w:rPr>
        <w:t>Under these circumstances</w:t>
      </w:r>
      <w:r w:rsidRPr="00B323C8">
        <w:t>, no due process violation occurs by ultimately placing the burden of proving incompetency on the defendant in a retrospective hearing.’ ”  (</w:t>
      </w:r>
      <w:r w:rsidRPr="00B323C8">
        <w:rPr>
          <w:i/>
          <w:iCs/>
        </w:rPr>
        <w:t>Ary</w:t>
      </w:r>
      <w:r w:rsidRPr="00B323C8">
        <w:t>,</w:t>
      </w:r>
      <w:r w:rsidR="00F37DEB">
        <w:t xml:space="preserve"> </w:t>
      </w:r>
      <w:r w:rsidRPr="00B323C8">
        <w:t xml:space="preserve">at p. 520, </w:t>
      </w:r>
      <w:r w:rsidR="00E94EC0" w:rsidRPr="00B323C8">
        <w:t xml:space="preserve">quoting </w:t>
      </w:r>
      <w:r w:rsidR="00E94EC0" w:rsidRPr="00B323C8">
        <w:rPr>
          <w:i/>
          <w:iCs/>
        </w:rPr>
        <w:t>Tate v. State</w:t>
      </w:r>
      <w:r w:rsidR="00E94EC0" w:rsidRPr="00B323C8">
        <w:t xml:space="preserve"> (Okla.Crim.App. 1995) 896 P.2d 1182, 1188</w:t>
      </w:r>
      <w:r w:rsidRPr="00B323C8">
        <w:t xml:space="preserve">, italics added; see </w:t>
      </w:r>
      <w:r w:rsidRPr="00B323C8">
        <w:rPr>
          <w:i/>
          <w:iCs/>
        </w:rPr>
        <w:t>Rodas</w:t>
      </w:r>
      <w:r w:rsidRPr="00B323C8">
        <w:t xml:space="preserve">, </w:t>
      </w:r>
      <w:r w:rsidRPr="00B323C8">
        <w:rPr>
          <w:i/>
          <w:iCs/>
        </w:rPr>
        <w:t>supra</w:t>
      </w:r>
      <w:r w:rsidRPr="00B323C8">
        <w:t xml:space="preserve">, 6 Cal.5th at p. 241 </w:t>
      </w:r>
      <w:r w:rsidRPr="00B323C8">
        <w:lastRenderedPageBreak/>
        <w:t xml:space="preserve">[reaffirming this statement from </w:t>
      </w:r>
      <w:r w:rsidRPr="00B323C8">
        <w:rPr>
          <w:i/>
          <w:iCs/>
        </w:rPr>
        <w:t>Ary</w:t>
      </w:r>
      <w:r w:rsidRPr="00B323C8">
        <w:t xml:space="preserve">]; </w:t>
      </w:r>
      <w:r w:rsidRPr="00B323C8">
        <w:rPr>
          <w:i/>
          <w:iCs/>
        </w:rPr>
        <w:t>Lightsey</w:t>
      </w:r>
      <w:r w:rsidRPr="00B323C8">
        <w:t xml:space="preserve">, </w:t>
      </w:r>
      <w:r w:rsidRPr="00B323C8">
        <w:rPr>
          <w:i/>
          <w:iCs/>
        </w:rPr>
        <w:t>supra</w:t>
      </w:r>
      <w:r w:rsidRPr="00B323C8">
        <w:t>, 54 Cal.4th at p. 710 [same].)</w:t>
      </w:r>
    </w:p>
    <w:p w14:paraId="2387F425" w14:textId="7A1FAE6D" w:rsidR="00EB28F2" w:rsidRPr="00B323C8" w:rsidRDefault="00977F8B" w:rsidP="00B323C8">
      <w:pPr>
        <w:tabs>
          <w:tab w:val="left" w:pos="1440"/>
        </w:tabs>
        <w:ind w:firstLine="720"/>
      </w:pPr>
      <w:r w:rsidRPr="00B323C8">
        <w:t>Significantly, if the defendant will not “ ‘be placed in a position comparable to the one he would have been placed in’ ” (</w:t>
      </w:r>
      <w:r w:rsidRPr="00B323C8">
        <w:rPr>
          <w:i/>
          <w:iCs/>
        </w:rPr>
        <w:t>Ary</w:t>
      </w:r>
      <w:r w:rsidRPr="00B323C8">
        <w:t>,</w:t>
      </w:r>
      <w:r w:rsidR="008D4481">
        <w:t xml:space="preserve"> </w:t>
      </w:r>
      <w:r w:rsidR="008D4481">
        <w:rPr>
          <w:i/>
        </w:rPr>
        <w:t>supra</w:t>
      </w:r>
      <w:r w:rsidR="008D4481">
        <w:t>, 51</w:t>
      </w:r>
      <w:r w:rsidR="00F37DEB">
        <w:t xml:space="preserve"> </w:t>
      </w:r>
      <w:r w:rsidR="008D4481">
        <w:t>Cal.4th</w:t>
      </w:r>
      <w:r w:rsidR="00F37DEB">
        <w:t xml:space="preserve"> </w:t>
      </w:r>
      <w:r w:rsidRPr="00B323C8">
        <w:t>at</w:t>
      </w:r>
      <w:r w:rsidR="00F37DEB">
        <w:t xml:space="preserve"> </w:t>
      </w:r>
      <w:r w:rsidRPr="00B323C8">
        <w:t>p.</w:t>
      </w:r>
      <w:r w:rsidR="00F37DEB">
        <w:t xml:space="preserve"> </w:t>
      </w:r>
      <w:r w:rsidRPr="00B323C8">
        <w:t xml:space="preserve">520), </w:t>
      </w:r>
      <w:r w:rsidR="008A35DB">
        <w:t>then</w:t>
      </w:r>
      <w:r w:rsidRPr="00B323C8">
        <w:t xml:space="preserve"> a retrospective competency trial is not feasible.  (See </w:t>
      </w:r>
      <w:r w:rsidRPr="00B323C8">
        <w:rPr>
          <w:i/>
          <w:iCs/>
        </w:rPr>
        <w:t>Rodas</w:t>
      </w:r>
      <w:r w:rsidRPr="00B323C8">
        <w:t xml:space="preserve">, </w:t>
      </w:r>
      <w:r w:rsidRPr="00B323C8">
        <w:rPr>
          <w:i/>
          <w:iCs/>
        </w:rPr>
        <w:t>supra</w:t>
      </w:r>
      <w:r w:rsidRPr="00B323C8">
        <w:t xml:space="preserve">, 6 Cal.5th at p. 241 [“[W]e conclude no retrospective competency hearing could ‘ “place[] [defendant] in a position comparable to the one he would have been placed in prior to the original trial.” ’ ”]; see also </w:t>
      </w:r>
      <w:r w:rsidRPr="00B323C8">
        <w:rPr>
          <w:i/>
          <w:iCs/>
        </w:rPr>
        <w:t>id</w:t>
      </w:r>
      <w:r w:rsidRPr="00B323C8">
        <w:t>. at p. 240 [“To saddle defendant with the burden of proving his incompetence in March 2014, around five years after the fact, without the benefit of any contemporaneous psychiatric, psychological, or neurological evaluation, would neither be fair nor produce a reliable result.”].)</w:t>
      </w:r>
      <w:r w:rsidR="00F37DEB">
        <w:t xml:space="preserve">  </w:t>
      </w:r>
      <w:r w:rsidR="00D647DB">
        <w:t xml:space="preserve">When a court is determining whether </w:t>
      </w:r>
      <w:r w:rsidR="0049534E">
        <w:t xml:space="preserve">conditions </w:t>
      </w:r>
      <w:r w:rsidR="00981A79">
        <w:t xml:space="preserve">are sufficiently </w:t>
      </w:r>
      <w:r w:rsidR="008A35DB">
        <w:t xml:space="preserve">comparable </w:t>
      </w:r>
      <w:r w:rsidR="00981A79">
        <w:t xml:space="preserve"> for a fair hearing and </w:t>
      </w:r>
      <w:r w:rsidR="008861CC">
        <w:t xml:space="preserve">a </w:t>
      </w:r>
      <w:r w:rsidR="00981A79">
        <w:t>reliable result</w:t>
      </w:r>
      <w:r w:rsidR="008D4481">
        <w:t>, r</w:t>
      </w:r>
      <w:r w:rsidR="008D4481" w:rsidRPr="00C037F7">
        <w:t>elevant considerations include:</w:t>
      </w:r>
      <w:r w:rsidR="00F37DEB">
        <w:t xml:space="preserve">  </w:t>
      </w:r>
      <w:r w:rsidR="008D4481" w:rsidRPr="00C037F7">
        <w:t>“</w:t>
      </w:r>
      <w:r w:rsidR="00F37DEB">
        <w:t> </w:t>
      </w:r>
      <w:r w:rsidR="008D4481" w:rsidRPr="00C037F7">
        <w:t>‘</w:t>
      </w:r>
      <w:r w:rsidR="00F37DEB">
        <w:t> </w:t>
      </w:r>
      <w:r w:rsidR="008D4481" w:rsidRPr="00C037F7">
        <w:t>“</w:t>
      </w:r>
      <w:r w:rsidR="00F37DEB">
        <w:t> </w:t>
      </w:r>
      <w:r w:rsidR="008D4481" w:rsidRPr="00C037F7">
        <w:t>‘(1) [t]he passage of time, (2) the availability of contemporaneous medical evidence, including medical records and prior competency determinations, (3) any statements by the defendant in the trial record, and (4) the availability of individuals and trial witnesses, both experts and non-experts, who were in a position to interact with [the] defendant before and during trial.’</w:t>
      </w:r>
      <w:r w:rsidR="008D4481">
        <w:t> </w:t>
      </w:r>
      <w:r w:rsidR="008D4481" w:rsidRPr="00C037F7">
        <w:t>”</w:t>
      </w:r>
      <w:r w:rsidR="008D4481">
        <w:t> </w:t>
      </w:r>
      <w:r w:rsidR="008D4481" w:rsidRPr="00C037F7">
        <w:t>’</w:t>
      </w:r>
      <w:r w:rsidR="008D4481">
        <w:t> </w:t>
      </w:r>
      <w:r w:rsidR="008D4481" w:rsidRPr="00C037F7">
        <w:t>”  (</w:t>
      </w:r>
      <w:r w:rsidR="008D4481" w:rsidRPr="00C037F7">
        <w:rPr>
          <w:i/>
          <w:iCs/>
        </w:rPr>
        <w:t>Ary</w:t>
      </w:r>
      <w:r w:rsidR="008D4481" w:rsidRPr="00C037F7">
        <w:t>, at p. 520, fn. 3.)</w:t>
      </w:r>
      <w:r w:rsidR="001A7518">
        <w:t xml:space="preserve">  </w:t>
      </w:r>
      <w:r w:rsidR="00D838C1" w:rsidRPr="00B323C8">
        <w:t>If</w:t>
      </w:r>
      <w:r w:rsidR="00F33F93">
        <w:t xml:space="preserve"> conditions </w:t>
      </w:r>
      <w:r w:rsidR="000345AA">
        <w:t>cannot be made comparable to those that would have prevailed at the omitted hearing</w:t>
      </w:r>
      <w:r w:rsidR="00D838C1" w:rsidRPr="00B323C8">
        <w:t>,</w:t>
      </w:r>
      <w:r w:rsidR="001A7518">
        <w:t xml:space="preserve"> </w:t>
      </w:r>
      <w:r w:rsidR="00ED6A5A">
        <w:t>a</w:t>
      </w:r>
      <w:r w:rsidR="00ED6A5A" w:rsidRPr="00B323C8">
        <w:t xml:space="preserve"> </w:t>
      </w:r>
      <w:r w:rsidR="00ED6A5A">
        <w:t xml:space="preserve">hearing </w:t>
      </w:r>
      <w:r w:rsidR="002B7337">
        <w:t>to inquire</w:t>
      </w:r>
      <w:r w:rsidR="00EB28F2" w:rsidRPr="00B323C8">
        <w:t xml:space="preserve"> into the defendant’s mental condition at some earlier point in time would exceed the narrow framework that we considered in </w:t>
      </w:r>
      <w:r w:rsidR="00EB28F2" w:rsidRPr="00B323C8">
        <w:rPr>
          <w:i/>
          <w:iCs/>
        </w:rPr>
        <w:t>Ary</w:t>
      </w:r>
      <w:r w:rsidR="00EB28F2" w:rsidRPr="00B323C8">
        <w:t xml:space="preserve">, </w:t>
      </w:r>
      <w:r w:rsidR="00EB28F2" w:rsidRPr="00B323C8">
        <w:rPr>
          <w:i/>
          <w:iCs/>
        </w:rPr>
        <w:t>supra</w:t>
      </w:r>
      <w:r w:rsidR="00EB28F2" w:rsidRPr="00B323C8">
        <w:t>, 51 Cal.4th 510, when we concluded it was consistent with federal due process for the defendant to bear the burden of proof.  Instead, it would be “nothing but a harmless error determination in disguise”</w:t>
      </w:r>
      <w:r w:rsidR="005C6A66">
        <w:t xml:space="preserve"> </w:t>
      </w:r>
      <w:r w:rsidR="00EB28F2" w:rsidRPr="00B323C8">
        <w:t>(</w:t>
      </w:r>
      <w:r w:rsidR="00EB28F2" w:rsidRPr="00B323C8">
        <w:rPr>
          <w:i/>
          <w:iCs/>
        </w:rPr>
        <w:t>James v. Singletary</w:t>
      </w:r>
      <w:r w:rsidR="00EB28F2" w:rsidRPr="00B323C8">
        <w:t xml:space="preserve"> (11th Cir. 1992) 957 F.2d 1562, </w:t>
      </w:r>
      <w:r w:rsidR="00EB28F2" w:rsidRPr="00B323C8">
        <w:lastRenderedPageBreak/>
        <w:t xml:space="preserve">1571, fn. 14), </w:t>
      </w:r>
      <w:r w:rsidR="00B13017">
        <w:t>a</w:t>
      </w:r>
      <w:r w:rsidR="00151AE9">
        <w:t xml:space="preserve">nd </w:t>
      </w:r>
      <w:r w:rsidR="00EB28F2" w:rsidRPr="00B323C8">
        <w:t>the People would</w:t>
      </w:r>
      <w:r w:rsidR="00B13017">
        <w:t xml:space="preserve"> </w:t>
      </w:r>
      <w:r w:rsidR="00EB28F2" w:rsidRPr="00B323C8">
        <w:t xml:space="preserve">bear the burden of proving defendant’s competency beyond a reasonable doubt (see </w:t>
      </w:r>
      <w:r w:rsidR="00EB28F2" w:rsidRPr="00B323C8">
        <w:rPr>
          <w:i/>
          <w:iCs/>
        </w:rPr>
        <w:t>Chapman</w:t>
      </w:r>
      <w:r w:rsidR="00EB28F2" w:rsidRPr="00B323C8">
        <w:t xml:space="preserve">, </w:t>
      </w:r>
      <w:r w:rsidR="00EB28F2" w:rsidRPr="00B323C8">
        <w:rPr>
          <w:i/>
          <w:iCs/>
        </w:rPr>
        <w:t>supra</w:t>
      </w:r>
      <w:r w:rsidR="00EB28F2" w:rsidRPr="00B323C8">
        <w:t>, 386 U.S. at p. 24).</w:t>
      </w:r>
    </w:p>
    <w:p w14:paraId="1AE2894C" w14:textId="449E8EEF" w:rsidR="001D0992" w:rsidRPr="00B323C8" w:rsidRDefault="00977F8B" w:rsidP="00B323C8">
      <w:pPr>
        <w:tabs>
          <w:tab w:val="left" w:pos="1440"/>
        </w:tabs>
        <w:ind w:firstLine="720"/>
      </w:pPr>
      <w:r w:rsidRPr="00B323C8">
        <w:t xml:space="preserve">Applying </w:t>
      </w:r>
      <w:r w:rsidR="009A69AF" w:rsidRPr="00B323C8">
        <w:rPr>
          <w:i/>
          <w:iCs/>
        </w:rPr>
        <w:t>Ary</w:t>
      </w:r>
      <w:r w:rsidR="009A69AF" w:rsidRPr="00B323C8">
        <w:t xml:space="preserve">’s due process analysis to </w:t>
      </w:r>
      <w:r w:rsidRPr="00B323C8">
        <w:t>this case, we conclude</w:t>
      </w:r>
      <w:r w:rsidR="007C28CD" w:rsidRPr="00B323C8">
        <w:t xml:space="preserve"> </w:t>
      </w:r>
      <w:r w:rsidRPr="00B323C8">
        <w:t xml:space="preserve">that it is not feasible </w:t>
      </w:r>
      <w:r w:rsidR="00785FE2" w:rsidRPr="00B323C8">
        <w:t xml:space="preserve">here </w:t>
      </w:r>
      <w:r w:rsidRPr="00B323C8">
        <w:t>to place defendant “ ‘in a position comparable to the one he would have been placed in prior to the original [guilt] trial’ ” (</w:t>
      </w:r>
      <w:r w:rsidRPr="00B323C8">
        <w:rPr>
          <w:i/>
          <w:iCs/>
        </w:rPr>
        <w:t>Ary</w:t>
      </w:r>
      <w:r w:rsidRPr="00B323C8">
        <w:t xml:space="preserve">, </w:t>
      </w:r>
      <w:r w:rsidRPr="00B323C8">
        <w:rPr>
          <w:i/>
          <w:iCs/>
        </w:rPr>
        <w:t>supra</w:t>
      </w:r>
      <w:r w:rsidRPr="00B323C8">
        <w:t xml:space="preserve">, 51 Cal.4th at p. 520; see </w:t>
      </w:r>
      <w:r w:rsidRPr="00B323C8">
        <w:rPr>
          <w:i/>
          <w:iCs/>
        </w:rPr>
        <w:t>Rodas</w:t>
      </w:r>
      <w:r w:rsidRPr="00B323C8">
        <w:t xml:space="preserve">, </w:t>
      </w:r>
      <w:r w:rsidRPr="00B323C8">
        <w:rPr>
          <w:i/>
          <w:iCs/>
        </w:rPr>
        <w:t>supra</w:t>
      </w:r>
      <w:r w:rsidRPr="00B323C8">
        <w:t>, 6 Cal.5th at p. 241;</w:t>
      </w:r>
      <w:r w:rsidRPr="00B323C8">
        <w:rPr>
          <w:i/>
          <w:iCs/>
        </w:rPr>
        <w:t xml:space="preserve"> Lightsey</w:t>
      </w:r>
      <w:r w:rsidRPr="00B323C8">
        <w:t xml:space="preserve">, </w:t>
      </w:r>
      <w:r w:rsidRPr="00B323C8">
        <w:rPr>
          <w:i/>
          <w:iCs/>
        </w:rPr>
        <w:t>supra</w:t>
      </w:r>
      <w:r w:rsidRPr="00B323C8">
        <w:t>, 54 Cal.4th at p. 710).</w:t>
      </w:r>
      <w:r w:rsidR="00785FE2" w:rsidRPr="00B323C8">
        <w:t xml:space="preserve">  Therefore, a retrospective competency trial at which defendant bore the burden of proof would violate </w:t>
      </w:r>
      <w:r w:rsidR="00232E39" w:rsidRPr="00B323C8">
        <w:t xml:space="preserve">the </w:t>
      </w:r>
      <w:r w:rsidR="00785FE2" w:rsidRPr="00B323C8">
        <w:t>due process</w:t>
      </w:r>
      <w:r w:rsidR="00232E39" w:rsidRPr="00B323C8">
        <w:t xml:space="preserve"> clause of the federal Constitution’s Fourteenth Amendment</w:t>
      </w:r>
      <w:r w:rsidR="00785FE2" w:rsidRPr="00B323C8">
        <w:t>.  (</w:t>
      </w:r>
      <w:r w:rsidR="00785FE2" w:rsidRPr="00B323C8">
        <w:rPr>
          <w:i/>
          <w:iCs/>
        </w:rPr>
        <w:t>Ibid</w:t>
      </w:r>
      <w:r w:rsidR="00785FE2" w:rsidRPr="00B323C8">
        <w:t>.)</w:t>
      </w:r>
    </w:p>
    <w:p w14:paraId="184E81EF" w14:textId="59704591" w:rsidR="009454F5" w:rsidRPr="00B323C8" w:rsidRDefault="00232E39" w:rsidP="00B323C8">
      <w:pPr>
        <w:tabs>
          <w:tab w:val="left" w:pos="1440"/>
        </w:tabs>
        <w:ind w:firstLine="720"/>
      </w:pPr>
      <w:r w:rsidRPr="00B323C8">
        <w:t xml:space="preserve">Consistent with our conclusion here, we note </w:t>
      </w:r>
      <w:r w:rsidR="00EE3098">
        <w:t xml:space="preserve">first that </w:t>
      </w:r>
      <w:r w:rsidR="00B04BE4">
        <w:t>in this case the passage of time since the omitted hearing</w:t>
      </w:r>
      <w:r w:rsidR="00650BF1">
        <w:t xml:space="preserve"> (13 years)</w:t>
      </w:r>
      <w:r w:rsidR="00B04BE4">
        <w:t xml:space="preserve"> </w:t>
      </w:r>
      <w:r w:rsidR="002B509B">
        <w:t>is much longer</w:t>
      </w:r>
      <w:r w:rsidR="00995267">
        <w:t xml:space="preserve"> than</w:t>
      </w:r>
      <w:r w:rsidR="0039411B">
        <w:t xml:space="preserve"> — </w:t>
      </w:r>
      <w:r w:rsidR="001E6BB2">
        <w:t>more than double, in fact</w:t>
      </w:r>
      <w:r w:rsidR="0039411B">
        <w:t xml:space="preserve"> — </w:t>
      </w:r>
      <w:r w:rsidR="00FE1B86">
        <w:t xml:space="preserve">the time gaps </w:t>
      </w:r>
      <w:r w:rsidR="002B509B">
        <w:t xml:space="preserve">in </w:t>
      </w:r>
      <w:r w:rsidR="00C060CB">
        <w:rPr>
          <w:i/>
          <w:iCs/>
        </w:rPr>
        <w:t xml:space="preserve">Pate v. </w:t>
      </w:r>
      <w:r w:rsidR="00C060CB" w:rsidRPr="001E6BB2">
        <w:rPr>
          <w:i/>
          <w:iCs/>
        </w:rPr>
        <w:t>Robinson</w:t>
      </w:r>
      <w:r w:rsidR="00C060CB">
        <w:t xml:space="preserve"> </w:t>
      </w:r>
      <w:r w:rsidR="00677F1B">
        <w:t xml:space="preserve">and </w:t>
      </w:r>
      <w:r w:rsidR="00C060CB">
        <w:rPr>
          <w:i/>
          <w:iCs/>
        </w:rPr>
        <w:t xml:space="preserve">Drope v. </w:t>
      </w:r>
      <w:r w:rsidR="00C060CB" w:rsidRPr="001E6BB2">
        <w:rPr>
          <w:i/>
          <w:iCs/>
        </w:rPr>
        <w:t>Missouri</w:t>
      </w:r>
      <w:r w:rsidR="00C060CB">
        <w:t xml:space="preserve">, where the </w:t>
      </w:r>
      <w:r w:rsidR="005A5597">
        <w:t xml:space="preserve">United States Supreme Court </w:t>
      </w:r>
      <w:r w:rsidR="00B03F01">
        <w:t>declined to order a</w:t>
      </w:r>
      <w:r w:rsidR="005A5597">
        <w:t xml:space="preserve"> retrospective hearing</w:t>
      </w:r>
      <w:r w:rsidR="007810DC">
        <w:t xml:space="preserve">, </w:t>
      </w:r>
      <w:r w:rsidR="00995267">
        <w:t xml:space="preserve">and </w:t>
      </w:r>
      <w:r w:rsidR="00042766">
        <w:t xml:space="preserve">the gap </w:t>
      </w:r>
      <w:r w:rsidR="007810DC">
        <w:t xml:space="preserve">in </w:t>
      </w:r>
      <w:r w:rsidR="007810DC" w:rsidRPr="001E6BB2">
        <w:rPr>
          <w:i/>
          <w:iCs/>
        </w:rPr>
        <w:t>Rodas</w:t>
      </w:r>
      <w:r w:rsidR="007810DC">
        <w:t>, where we did the same</w:t>
      </w:r>
      <w:r w:rsidR="001E6BB2">
        <w:t>.</w:t>
      </w:r>
      <w:r w:rsidR="00C6292A">
        <w:t xml:space="preserve">  </w:t>
      </w:r>
      <w:r w:rsidR="00A305CC">
        <w:t xml:space="preserve">Nor can we conclude that </w:t>
      </w:r>
      <w:r w:rsidR="001A7518">
        <w:t xml:space="preserve">that </w:t>
      </w:r>
      <w:r w:rsidR="00A305CC">
        <w:t xml:space="preserve">factor is outweighed here by others we identified in </w:t>
      </w:r>
      <w:r w:rsidR="00A305CC">
        <w:rPr>
          <w:i/>
          <w:iCs/>
        </w:rPr>
        <w:t>Ary</w:t>
      </w:r>
      <w:r w:rsidR="00E317FE" w:rsidRPr="00E317FE">
        <w:t xml:space="preserve">, </w:t>
      </w:r>
      <w:r w:rsidR="00B414D4" w:rsidRPr="004D0DA4">
        <w:rPr>
          <w:i/>
          <w:iCs/>
        </w:rPr>
        <w:t>supra</w:t>
      </w:r>
      <w:r w:rsidR="00B414D4" w:rsidRPr="00C6292A">
        <w:t xml:space="preserve">, </w:t>
      </w:r>
      <w:r w:rsidR="00B414D4">
        <w:t xml:space="preserve">51 Cal.4th </w:t>
      </w:r>
      <w:r w:rsidR="00E317FE" w:rsidRPr="00B414D4">
        <w:t>at</w:t>
      </w:r>
      <w:r w:rsidR="00E317FE" w:rsidRPr="00E317FE">
        <w:t xml:space="preserve"> p</w:t>
      </w:r>
      <w:r w:rsidR="00B414D4">
        <w:t>age</w:t>
      </w:r>
      <w:r w:rsidR="00E317FE" w:rsidRPr="00E317FE">
        <w:t xml:space="preserve"> 520, f</w:t>
      </w:r>
      <w:r w:rsidR="00B414D4">
        <w:t>ootnote</w:t>
      </w:r>
      <w:r w:rsidR="00C6292A">
        <w:t xml:space="preserve"> </w:t>
      </w:r>
      <w:r w:rsidR="00E317FE" w:rsidRPr="00E317FE">
        <w:t>3.</w:t>
      </w:r>
      <w:r w:rsidR="00C6292A">
        <w:t xml:space="preserve">  </w:t>
      </w:r>
      <w:r w:rsidR="004D0DA4">
        <w:t>A</w:t>
      </w:r>
      <w:r w:rsidR="003A31B0">
        <w:t>side from Dr. Good’s report itself,</w:t>
      </w:r>
      <w:r w:rsidRPr="00B323C8">
        <w:t xml:space="preserve"> t</w:t>
      </w:r>
      <w:r w:rsidR="00BF448D" w:rsidRPr="00B323C8">
        <w:t xml:space="preserve">he </w:t>
      </w:r>
      <w:r w:rsidR="003F5888" w:rsidRPr="00B323C8">
        <w:t>A</w:t>
      </w:r>
      <w:r w:rsidR="00BF448D" w:rsidRPr="00B323C8">
        <w:t xml:space="preserve">ttorney </w:t>
      </w:r>
      <w:r w:rsidR="003F5888" w:rsidRPr="00B323C8">
        <w:t>G</w:t>
      </w:r>
      <w:r w:rsidR="00BF448D" w:rsidRPr="00B323C8">
        <w:t xml:space="preserve">eneral </w:t>
      </w:r>
      <w:r w:rsidR="007C28CD" w:rsidRPr="00B323C8">
        <w:t xml:space="preserve">does not point to any </w:t>
      </w:r>
      <w:r w:rsidR="00666F8F" w:rsidRPr="00B323C8">
        <w:t xml:space="preserve">specific </w:t>
      </w:r>
      <w:r w:rsidR="00BF448D" w:rsidRPr="00B323C8">
        <w:t xml:space="preserve">evidence, </w:t>
      </w:r>
      <w:r w:rsidR="007D12A4" w:rsidRPr="00B323C8">
        <w:t xml:space="preserve">such as </w:t>
      </w:r>
      <w:r w:rsidR="00BF448D" w:rsidRPr="00B323C8">
        <w:t>me</w:t>
      </w:r>
      <w:r w:rsidR="002C521D" w:rsidRPr="00B323C8">
        <w:t xml:space="preserve">ntal health </w:t>
      </w:r>
      <w:r w:rsidR="00BF448D" w:rsidRPr="00B323C8">
        <w:t>records prepared contemporaneous</w:t>
      </w:r>
      <w:r w:rsidR="007D12A4" w:rsidRPr="00B323C8">
        <w:t>ly</w:t>
      </w:r>
      <w:r w:rsidR="00BF448D" w:rsidRPr="00B323C8">
        <w:t xml:space="preserve"> with </w:t>
      </w:r>
      <w:r w:rsidR="00903A82" w:rsidRPr="00B323C8">
        <w:t>Dr. Good</w:t>
      </w:r>
      <w:r w:rsidR="00D61F82" w:rsidRPr="00B323C8">
        <w:t>’</w:t>
      </w:r>
      <w:r w:rsidR="00903A82" w:rsidRPr="00B323C8">
        <w:t>s report, t</w:t>
      </w:r>
      <w:r w:rsidR="00BF448D" w:rsidRPr="00B323C8">
        <w:t xml:space="preserve">hat would </w:t>
      </w:r>
      <w:r w:rsidR="00785FE2" w:rsidRPr="00B323C8">
        <w:t xml:space="preserve">now </w:t>
      </w:r>
      <w:r w:rsidR="00A12EF8" w:rsidRPr="00B323C8">
        <w:t xml:space="preserve">place defendant in a position comparable to his position in 2008, thus </w:t>
      </w:r>
      <w:r w:rsidR="00903A82" w:rsidRPr="00B323C8">
        <w:t>mak</w:t>
      </w:r>
      <w:r w:rsidR="00A12EF8" w:rsidRPr="00B323C8">
        <w:t>ing</w:t>
      </w:r>
      <w:r w:rsidR="00903A82" w:rsidRPr="00B323C8">
        <w:t xml:space="preserve"> a</w:t>
      </w:r>
      <w:r w:rsidR="00F759BB" w:rsidRPr="00B323C8">
        <w:t xml:space="preserve"> </w:t>
      </w:r>
      <w:r w:rsidR="007352E6" w:rsidRPr="00B323C8">
        <w:t xml:space="preserve">retrospective </w:t>
      </w:r>
      <w:r w:rsidR="00785FE2" w:rsidRPr="00B323C8">
        <w:t xml:space="preserve">competency </w:t>
      </w:r>
      <w:r w:rsidR="00E1401E" w:rsidRPr="00B323C8">
        <w:t>trial</w:t>
      </w:r>
      <w:r w:rsidR="007352E6" w:rsidRPr="00B323C8">
        <w:t xml:space="preserve"> </w:t>
      </w:r>
      <w:r w:rsidR="00903A82" w:rsidRPr="00B323C8">
        <w:t>feasible.</w:t>
      </w:r>
      <w:bookmarkStart w:id="32" w:name="_Hlk16770366"/>
      <w:r w:rsidR="002C521D" w:rsidRPr="00B323C8">
        <w:t xml:space="preserve">  </w:t>
      </w:r>
      <w:r w:rsidR="000068E5" w:rsidRPr="00B323C8">
        <w:t xml:space="preserve">The Attorney General asserts that medical personnel had contact with defendant </w:t>
      </w:r>
      <w:r w:rsidR="005F35A7" w:rsidRPr="00B323C8">
        <w:t xml:space="preserve">during the relevant </w:t>
      </w:r>
      <w:r w:rsidR="00E1401E" w:rsidRPr="00B323C8">
        <w:t xml:space="preserve">time </w:t>
      </w:r>
      <w:r w:rsidR="000068E5" w:rsidRPr="00B323C8">
        <w:t xml:space="preserve">period </w:t>
      </w:r>
      <w:r w:rsidR="00FB6D8A" w:rsidRPr="00B323C8">
        <w:t xml:space="preserve">and </w:t>
      </w:r>
      <w:r w:rsidR="005F35A7" w:rsidRPr="00B323C8">
        <w:t xml:space="preserve">that </w:t>
      </w:r>
      <w:r w:rsidR="00F759BB" w:rsidRPr="00B323C8">
        <w:t xml:space="preserve">these contacts </w:t>
      </w:r>
      <w:r w:rsidR="002C521D" w:rsidRPr="00B323C8">
        <w:t xml:space="preserve">likely </w:t>
      </w:r>
      <w:r w:rsidR="00F759BB" w:rsidRPr="00B323C8">
        <w:t xml:space="preserve">resulted in </w:t>
      </w:r>
      <w:r w:rsidR="00FB6D8A" w:rsidRPr="00B323C8">
        <w:t>written reports</w:t>
      </w:r>
      <w:r w:rsidR="000068E5" w:rsidRPr="00B323C8">
        <w:t xml:space="preserve">, but </w:t>
      </w:r>
      <w:r w:rsidR="00A12EF8" w:rsidRPr="00B323C8">
        <w:t xml:space="preserve">despite being prompted by a letter from this court to address the feasibility of a retrospective competency trial, </w:t>
      </w:r>
      <w:r w:rsidR="000068E5" w:rsidRPr="00B323C8">
        <w:t xml:space="preserve">the Attorney General does not </w:t>
      </w:r>
      <w:r w:rsidR="00A9309A" w:rsidRPr="00B323C8">
        <w:t>s</w:t>
      </w:r>
      <w:r w:rsidR="00A12EF8" w:rsidRPr="00B323C8">
        <w:t xml:space="preserve">tate </w:t>
      </w:r>
      <w:r w:rsidR="000068E5" w:rsidRPr="00B323C8">
        <w:t xml:space="preserve">what </w:t>
      </w:r>
      <w:r w:rsidR="000F7091" w:rsidRPr="00B323C8">
        <w:t xml:space="preserve">medical </w:t>
      </w:r>
      <w:r w:rsidR="00FB6D8A" w:rsidRPr="00B323C8">
        <w:t>questions th</w:t>
      </w:r>
      <w:r w:rsidR="002C521D" w:rsidRPr="00B323C8">
        <w:t xml:space="preserve">ose reports </w:t>
      </w:r>
      <w:r w:rsidR="00FB6D8A" w:rsidRPr="00B323C8">
        <w:lastRenderedPageBreak/>
        <w:t>addressed.</w:t>
      </w:r>
      <w:r w:rsidR="00C6292A">
        <w:t xml:space="preserve">  </w:t>
      </w:r>
      <w:r w:rsidR="00A9309A" w:rsidRPr="00B323C8">
        <w:t>More s</w:t>
      </w:r>
      <w:r w:rsidR="00C65694" w:rsidRPr="00B323C8">
        <w:t xml:space="preserve">pecifically, </w:t>
      </w:r>
      <w:r w:rsidR="00A9309A" w:rsidRPr="00B323C8">
        <w:t xml:space="preserve">the Attorney General </w:t>
      </w:r>
      <w:r w:rsidR="00C65694" w:rsidRPr="00B323C8">
        <w:t>does not assert that the reports analyzed defendant</w:t>
      </w:r>
      <w:r w:rsidR="00D61F82" w:rsidRPr="00B323C8">
        <w:t>’</w:t>
      </w:r>
      <w:r w:rsidR="00C65694" w:rsidRPr="00B323C8">
        <w:t xml:space="preserve">s mental illness in relation to his </w:t>
      </w:r>
      <w:r w:rsidR="00A9309A" w:rsidRPr="00B323C8">
        <w:t>abilit</w:t>
      </w:r>
      <w:r w:rsidR="00C65694" w:rsidRPr="00B323C8">
        <w:t>y</w:t>
      </w:r>
      <w:r w:rsidR="00A9309A" w:rsidRPr="00B323C8">
        <w:t xml:space="preserve"> </w:t>
      </w:r>
      <w:r w:rsidR="00E15810" w:rsidRPr="00B323C8">
        <w:t xml:space="preserve">to </w:t>
      </w:r>
      <w:r w:rsidR="00A9309A" w:rsidRPr="00B323C8">
        <w:t xml:space="preserve">consult rationally with </w:t>
      </w:r>
      <w:r w:rsidR="00C65694" w:rsidRPr="00B323C8">
        <w:t>counsel</w:t>
      </w:r>
      <w:r w:rsidR="00A9309A" w:rsidRPr="00B323C8">
        <w:t>.</w:t>
      </w:r>
    </w:p>
    <w:p w14:paraId="601B0CEE" w14:textId="0A2DA0BE" w:rsidR="001D0992" w:rsidRPr="00B323C8" w:rsidRDefault="00FB6D8A" w:rsidP="00B323C8">
      <w:pPr>
        <w:tabs>
          <w:tab w:val="left" w:pos="1440"/>
        </w:tabs>
        <w:ind w:firstLine="720"/>
      </w:pPr>
      <w:r w:rsidRPr="00B323C8">
        <w:t xml:space="preserve">The Attorney General </w:t>
      </w:r>
      <w:r w:rsidR="00785FE2" w:rsidRPr="00B323C8">
        <w:t xml:space="preserve">also </w:t>
      </w:r>
      <w:r w:rsidR="00722469" w:rsidRPr="00B323C8">
        <w:t xml:space="preserve">points out </w:t>
      </w:r>
      <w:r w:rsidRPr="00B323C8">
        <w:t xml:space="preserve">that defendant testified extensively at trial, and therefore the trial </w:t>
      </w:r>
      <w:r w:rsidR="00D12087" w:rsidRPr="00B323C8">
        <w:t xml:space="preserve">transcript </w:t>
      </w:r>
      <w:r w:rsidRPr="00B323C8">
        <w:t>could permit a mental health expert to retrospectively evaluate defendant</w:t>
      </w:r>
      <w:r w:rsidR="00D61F82" w:rsidRPr="00B323C8">
        <w:t>’</w:t>
      </w:r>
      <w:r w:rsidRPr="00B323C8">
        <w:t>s competence.</w:t>
      </w:r>
      <w:r w:rsidR="00EE5DB2" w:rsidRPr="00B323C8">
        <w:t xml:space="preserve">  </w:t>
      </w:r>
      <w:r w:rsidR="009454F5" w:rsidRPr="00B323C8">
        <w:t xml:space="preserve">Moreover, </w:t>
      </w:r>
      <w:r w:rsidR="00785FE2" w:rsidRPr="00B323C8">
        <w:t xml:space="preserve">the Attorney General </w:t>
      </w:r>
      <w:r w:rsidR="00E40813" w:rsidRPr="00B323C8">
        <w:t xml:space="preserve">argues </w:t>
      </w:r>
      <w:r w:rsidR="00785FE2" w:rsidRPr="00B323C8">
        <w:t xml:space="preserve">that </w:t>
      </w:r>
      <w:r w:rsidR="009454F5" w:rsidRPr="00B323C8">
        <w:t>Dr. Good’s report</w:t>
      </w:r>
      <w:r w:rsidR="00C44953" w:rsidRPr="00B323C8">
        <w:t xml:space="preserve"> </w:t>
      </w:r>
      <w:r w:rsidR="009454F5" w:rsidRPr="00B323C8">
        <w:t xml:space="preserve">includes lots of information </w:t>
      </w:r>
      <w:r w:rsidR="00594250" w:rsidRPr="00594250">
        <w:t>that defendant could use at a retrospective</w:t>
      </w:r>
      <w:r w:rsidR="00594250">
        <w:t xml:space="preserve"> </w:t>
      </w:r>
      <w:r w:rsidR="008A35DB">
        <w:t xml:space="preserve">competency </w:t>
      </w:r>
      <w:r w:rsidR="00594250" w:rsidRPr="00594250">
        <w:t>trial</w:t>
      </w:r>
      <w:r w:rsidR="008A35DB">
        <w:t xml:space="preserve"> </w:t>
      </w:r>
      <w:r w:rsidR="00594250">
        <w:t>and that the prosecution could use in an attempt</w:t>
      </w:r>
      <w:r w:rsidR="009454F5" w:rsidRPr="00B323C8">
        <w:t xml:space="preserve"> to draw a conclusion different from Dr. Good</w:t>
      </w:r>
      <w:r w:rsidR="00C44953" w:rsidRPr="00B323C8">
        <w:t>’s</w:t>
      </w:r>
      <w:r w:rsidR="009454F5" w:rsidRPr="00B323C8">
        <w:t xml:space="preserve">.  </w:t>
      </w:r>
      <w:r w:rsidR="008A35DB">
        <w:t>The Attorney General</w:t>
      </w:r>
      <w:r w:rsidR="00E1401E" w:rsidRPr="00B323C8">
        <w:t xml:space="preserve"> also notes </w:t>
      </w:r>
      <w:r w:rsidR="00E40813" w:rsidRPr="00B323C8">
        <w:t xml:space="preserve">that </w:t>
      </w:r>
      <w:r w:rsidR="00C44953" w:rsidRPr="00B323C8">
        <w:t xml:space="preserve">several </w:t>
      </w:r>
      <w:r w:rsidR="005F35A7" w:rsidRPr="00B323C8">
        <w:t xml:space="preserve">people who interacted with defendant during the relevant </w:t>
      </w:r>
      <w:r w:rsidR="00C44953" w:rsidRPr="00B323C8">
        <w:t xml:space="preserve">time </w:t>
      </w:r>
      <w:r w:rsidR="005F35A7" w:rsidRPr="00B323C8">
        <w:t xml:space="preserve">period (including his attorneys, the prosecutor, and Dr. </w:t>
      </w:r>
      <w:r w:rsidR="004678FF" w:rsidRPr="00B323C8">
        <w:t>Good</w:t>
      </w:r>
      <w:r w:rsidR="005F35A7" w:rsidRPr="00B323C8">
        <w:t xml:space="preserve"> himself) might be able to appear as witnesses at a retrospective competency trial.</w:t>
      </w:r>
    </w:p>
    <w:p w14:paraId="74073B6D" w14:textId="0D84980E" w:rsidR="00B073C1" w:rsidRPr="00B323C8" w:rsidRDefault="00785FE2" w:rsidP="00B323C8">
      <w:pPr>
        <w:tabs>
          <w:tab w:val="left" w:pos="1440"/>
        </w:tabs>
        <w:ind w:firstLine="720"/>
      </w:pPr>
      <w:r w:rsidRPr="00B323C8">
        <w:t xml:space="preserve">But </w:t>
      </w:r>
      <w:r w:rsidR="003660A1">
        <w:t xml:space="preserve">given the passage of time and the corollary difficulty of </w:t>
      </w:r>
      <w:r w:rsidR="00284AED">
        <w:t xml:space="preserve">reconstructing </w:t>
      </w:r>
      <w:r w:rsidR="005D147A">
        <w:t xml:space="preserve">defendant’s mental state at the time of trial, </w:t>
      </w:r>
      <w:r w:rsidRPr="00B323C8">
        <w:t>n</w:t>
      </w:r>
      <w:r w:rsidR="00C44953" w:rsidRPr="00B323C8">
        <w:t xml:space="preserve">one of </w:t>
      </w:r>
      <w:r w:rsidR="00212679" w:rsidRPr="00B323C8">
        <w:t xml:space="preserve">that potential evidence </w:t>
      </w:r>
      <w:r w:rsidR="00C44953" w:rsidRPr="00B323C8">
        <w:t xml:space="preserve">could possibly </w:t>
      </w:r>
      <w:r w:rsidR="00804690" w:rsidRPr="00B323C8">
        <w:t>place defendant “ ‘in a position comparable to the one he would have been placed in’ ” if a timely competency trial had been held</w:t>
      </w:r>
      <w:r w:rsidRPr="00B323C8">
        <w:t xml:space="preserve"> in 2008</w:t>
      </w:r>
      <w:r w:rsidR="004522F8" w:rsidRPr="00B323C8">
        <w:t xml:space="preserve">.  </w:t>
      </w:r>
      <w:r w:rsidR="00804690" w:rsidRPr="00B323C8">
        <w:t>(</w:t>
      </w:r>
      <w:r w:rsidR="00804690" w:rsidRPr="00B323C8">
        <w:rPr>
          <w:i/>
        </w:rPr>
        <w:t>Ary</w:t>
      </w:r>
      <w:r w:rsidR="00804690" w:rsidRPr="00B323C8">
        <w:t xml:space="preserve">, </w:t>
      </w:r>
      <w:r w:rsidR="00804690" w:rsidRPr="00B323C8">
        <w:rPr>
          <w:i/>
          <w:iCs/>
        </w:rPr>
        <w:t>supra</w:t>
      </w:r>
      <w:r w:rsidR="00804690" w:rsidRPr="00B323C8">
        <w:t xml:space="preserve">, 51 Cal.4th at p. 520, quoting </w:t>
      </w:r>
      <w:r w:rsidR="00804690" w:rsidRPr="00B323C8">
        <w:rPr>
          <w:i/>
          <w:iCs/>
        </w:rPr>
        <w:t>Tate v. State</w:t>
      </w:r>
      <w:r w:rsidR="00804690" w:rsidRPr="00B323C8">
        <w:t xml:space="preserve">, </w:t>
      </w:r>
      <w:r w:rsidR="00804690" w:rsidRPr="00B323C8">
        <w:rPr>
          <w:i/>
          <w:iCs/>
        </w:rPr>
        <w:t>supra</w:t>
      </w:r>
      <w:r w:rsidR="00804690" w:rsidRPr="00B323C8">
        <w:t>, 896 P.2d at p. 1188</w:t>
      </w:r>
      <w:r w:rsidR="004522F8" w:rsidRPr="00B323C8">
        <w:t>.</w:t>
      </w:r>
      <w:r w:rsidR="00804690" w:rsidRPr="00B323C8">
        <w:t>)</w:t>
      </w:r>
    </w:p>
    <w:p w14:paraId="3BD6F443" w14:textId="23518C3B" w:rsidR="0008575B" w:rsidRPr="00B323C8" w:rsidRDefault="0008575B" w:rsidP="00B323C8">
      <w:pPr>
        <w:tabs>
          <w:tab w:val="left" w:pos="1440"/>
        </w:tabs>
        <w:ind w:firstLine="720"/>
      </w:pPr>
      <w:r w:rsidRPr="00B323C8">
        <w:t>It is true</w:t>
      </w:r>
      <w:r w:rsidR="00592C0C" w:rsidRPr="00B323C8">
        <w:t>, as the Attorney General argues,</w:t>
      </w:r>
      <w:r w:rsidRPr="00B323C8">
        <w:t xml:space="preserve"> that we ordered an inquiry into the feasibility of making a retrospective competency determination in </w:t>
      </w:r>
      <w:r w:rsidRPr="00B323C8">
        <w:rPr>
          <w:i/>
          <w:iCs/>
        </w:rPr>
        <w:t>Lightsey</w:t>
      </w:r>
      <w:r w:rsidRPr="00B323C8">
        <w:t xml:space="preserve">, </w:t>
      </w:r>
      <w:r w:rsidRPr="00B323C8">
        <w:rPr>
          <w:i/>
          <w:iCs/>
        </w:rPr>
        <w:t>supra</w:t>
      </w:r>
      <w:r w:rsidRPr="00B323C8">
        <w:t xml:space="preserve">, 54 Cal.4th 668, but that case, unlike the one now before us, did not involve </w:t>
      </w:r>
      <w:r w:rsidRPr="00B323C8">
        <w:rPr>
          <w:i/>
          <w:iCs/>
        </w:rPr>
        <w:t>Pate v. Robinson</w:t>
      </w:r>
      <w:r w:rsidRPr="00B323C8">
        <w:t xml:space="preserve"> error.  In </w:t>
      </w:r>
      <w:r w:rsidRPr="00B323C8">
        <w:rPr>
          <w:i/>
          <w:iCs/>
        </w:rPr>
        <w:t>Lightsey</w:t>
      </w:r>
      <w:r w:rsidRPr="00B323C8">
        <w:t xml:space="preserve">, when a doubt arose about the defendant’s competence to stand trial, the trial court conducted a </w:t>
      </w:r>
      <w:r w:rsidRPr="00B323C8">
        <w:rPr>
          <w:i/>
          <w:iCs/>
        </w:rPr>
        <w:t>timely</w:t>
      </w:r>
      <w:r w:rsidRPr="00B323C8">
        <w:t xml:space="preserve"> competency trial, and the defendant was able to develop his medical evidence, but the trial court erred because the </w:t>
      </w:r>
      <w:r w:rsidRPr="00B323C8">
        <w:lastRenderedPageBreak/>
        <w:t xml:space="preserve">statutory obligation to provide counsel at such a trial (see § 1368, subd. (a)) was not honored.  (See </w:t>
      </w:r>
      <w:r w:rsidRPr="00B323C8">
        <w:rPr>
          <w:i/>
          <w:iCs/>
        </w:rPr>
        <w:t>Lightsey</w:t>
      </w:r>
      <w:r w:rsidRPr="00B323C8">
        <w:t xml:space="preserve">, </w:t>
      </w:r>
      <w:r w:rsidRPr="00B323C8">
        <w:rPr>
          <w:i/>
          <w:iCs/>
        </w:rPr>
        <w:t>supra</w:t>
      </w:r>
      <w:r w:rsidRPr="00B323C8">
        <w:t>, 54 Cal.4th at pp. 699–702.)  Under those unique circumstances</w:t>
      </w:r>
      <w:r w:rsidR="00317C6E">
        <w:t> </w:t>
      </w:r>
      <w:r w:rsidRPr="00B323C8">
        <w:t>— involving state-law error,</w:t>
      </w:r>
      <w:r w:rsidR="00D9059E">
        <w:t xml:space="preserve"> </w:t>
      </w:r>
      <w:r w:rsidRPr="00B323C8">
        <w:t xml:space="preserve">not a </w:t>
      </w:r>
      <w:r w:rsidR="00D9059E">
        <w:t xml:space="preserve">federal constitutional </w:t>
      </w:r>
      <w:r w:rsidRPr="00B323C8">
        <w:t>violation</w:t>
      </w:r>
      <w:r w:rsidR="00D9059E">
        <w:t> </w:t>
      </w:r>
      <w:r w:rsidRPr="00B323C8">
        <w:t>— we concluded that the trial court should at least consider whether a reliable retrospective competency determination might be feasible.  (</w:t>
      </w:r>
      <w:r w:rsidRPr="00B323C8">
        <w:rPr>
          <w:i/>
          <w:iCs/>
        </w:rPr>
        <w:t>Lightsey</w:t>
      </w:r>
      <w:r w:rsidRPr="00B323C8">
        <w:t xml:space="preserve">, at pp. 706–710.)  We reasoned that it might be possible for the trial court to retry the question of competency, taking advantage of the developed evidentiary record but giving the defendant the benefit of counsel that he lacked at his original competency trial.  Because of the existence of the prior competency trial, the problem of expert witnesses having to testify solely from information gleaned from a printed record (see </w:t>
      </w:r>
      <w:r w:rsidRPr="00B323C8">
        <w:rPr>
          <w:i/>
          <w:iCs/>
        </w:rPr>
        <w:t>Pate v. Robinson</w:t>
      </w:r>
      <w:r w:rsidRPr="00B323C8">
        <w:t xml:space="preserve">, </w:t>
      </w:r>
      <w:r w:rsidRPr="00B323C8">
        <w:rPr>
          <w:i/>
          <w:iCs/>
        </w:rPr>
        <w:t>supra</w:t>
      </w:r>
      <w:r w:rsidRPr="00B323C8">
        <w:t>, 383 U.S. at p. 387) was, as we put it, “potentially reduced.”  (</w:t>
      </w:r>
      <w:r w:rsidRPr="00B323C8">
        <w:rPr>
          <w:i/>
          <w:iCs/>
        </w:rPr>
        <w:t>Lightsey</w:t>
      </w:r>
      <w:r w:rsidRPr="00B323C8">
        <w:t xml:space="preserve">, at p. 707.)  In short, </w:t>
      </w:r>
      <w:r w:rsidRPr="00B323C8">
        <w:rPr>
          <w:i/>
          <w:iCs/>
        </w:rPr>
        <w:t>Lightsey</w:t>
      </w:r>
      <w:r w:rsidRPr="00B323C8">
        <w:t xml:space="preserve"> is nothing like this case, in which there was no timely, although procedurally invalid, competency trial.</w:t>
      </w:r>
    </w:p>
    <w:p w14:paraId="0C53B862" w14:textId="6183C879" w:rsidR="00976886" w:rsidRPr="00B323C8" w:rsidRDefault="009003FB" w:rsidP="00B323C8">
      <w:pPr>
        <w:tabs>
          <w:tab w:val="left" w:pos="1440"/>
        </w:tabs>
        <w:ind w:firstLine="720"/>
      </w:pPr>
      <w:r>
        <w:t>P</w:t>
      </w:r>
      <w:r w:rsidR="00D64C12" w:rsidRPr="00B323C8">
        <w:t xml:space="preserve">recedent </w:t>
      </w:r>
      <w:r>
        <w:t xml:space="preserve">from </w:t>
      </w:r>
      <w:r w:rsidR="00C615D6">
        <w:t>t</w:t>
      </w:r>
      <w:r>
        <w:t xml:space="preserve">he high court and this court </w:t>
      </w:r>
      <w:r w:rsidR="00D64C12" w:rsidRPr="00B323C8">
        <w:t xml:space="preserve">leaves little flexibility regarding </w:t>
      </w:r>
      <w:r w:rsidR="00274A18" w:rsidRPr="00B323C8">
        <w:t xml:space="preserve">the </w:t>
      </w:r>
      <w:r w:rsidR="00D64C12" w:rsidRPr="00B323C8">
        <w:t xml:space="preserve">retrospective competency trial </w:t>
      </w:r>
      <w:r w:rsidR="00876F2B" w:rsidRPr="00B323C8">
        <w:t xml:space="preserve">that is permitted </w:t>
      </w:r>
      <w:r w:rsidR="00B656B5" w:rsidRPr="00B323C8">
        <w:t xml:space="preserve">to cure </w:t>
      </w:r>
      <w:r w:rsidR="00B656B5" w:rsidRPr="00B323C8">
        <w:rPr>
          <w:i/>
          <w:iCs/>
        </w:rPr>
        <w:t>Pate v. Robinson</w:t>
      </w:r>
      <w:r w:rsidR="00B656B5" w:rsidRPr="00B323C8">
        <w:t xml:space="preserve"> error</w:t>
      </w:r>
      <w:r w:rsidR="00D64C12" w:rsidRPr="00B323C8">
        <w:t xml:space="preserve">.  </w:t>
      </w:r>
      <w:r w:rsidR="005D6D60">
        <w:t>Where the defendant is to bear the burden of proof, t</w:t>
      </w:r>
      <w:r w:rsidR="00FE5577">
        <w:t>he trial must</w:t>
      </w:r>
      <w:r w:rsidR="00FE5577" w:rsidRPr="00FE5577">
        <w:t xml:space="preserve"> place</w:t>
      </w:r>
      <w:r w:rsidR="00FE5577">
        <w:t xml:space="preserve"> the defendant</w:t>
      </w:r>
      <w:r w:rsidR="00FE5577" w:rsidRPr="00FE5577">
        <w:t xml:space="preserve"> in a position comparable to the one he would have been </w:t>
      </w:r>
      <w:r w:rsidR="00FE5577">
        <w:t>in at a timely competency trial.</w:t>
      </w:r>
      <w:r w:rsidR="00274A18" w:rsidRPr="00B323C8">
        <w:t xml:space="preserve">  </w:t>
      </w:r>
      <w:r w:rsidR="00335166" w:rsidRPr="00B323C8">
        <w:t>(</w:t>
      </w:r>
      <w:r w:rsidR="00335166" w:rsidRPr="00B323C8">
        <w:rPr>
          <w:i/>
        </w:rPr>
        <w:t>Ary</w:t>
      </w:r>
      <w:r w:rsidR="00335166" w:rsidRPr="00B323C8">
        <w:t xml:space="preserve">, </w:t>
      </w:r>
      <w:r w:rsidR="00335166" w:rsidRPr="00B323C8">
        <w:rPr>
          <w:i/>
          <w:iCs/>
        </w:rPr>
        <w:t>supra</w:t>
      </w:r>
      <w:r w:rsidR="00335166" w:rsidRPr="00B323C8">
        <w:t xml:space="preserve">, 51 Cal.4th at p. 520.)  </w:t>
      </w:r>
      <w:r w:rsidR="001A2E84" w:rsidRPr="00B323C8">
        <w:t>A</w:t>
      </w:r>
      <w:r w:rsidR="00AA2F3A" w:rsidRPr="00B323C8">
        <w:t xml:space="preserve">ssuming </w:t>
      </w:r>
      <w:r w:rsidR="00B656B5" w:rsidRPr="00B323C8">
        <w:t xml:space="preserve">such a trial might be </w:t>
      </w:r>
      <w:r w:rsidR="00AA2F3A" w:rsidRPr="00B323C8">
        <w:t xml:space="preserve">feasible in some cases, we conclude that such a trial is not feasible here.  (See </w:t>
      </w:r>
      <w:r w:rsidR="00AA2F3A" w:rsidRPr="00B323C8">
        <w:rPr>
          <w:i/>
          <w:iCs/>
        </w:rPr>
        <w:t>Rodas</w:t>
      </w:r>
      <w:r w:rsidR="00AA2F3A" w:rsidRPr="00B323C8">
        <w:t xml:space="preserve">, </w:t>
      </w:r>
      <w:r w:rsidR="00AA2F3A" w:rsidRPr="00B323C8">
        <w:rPr>
          <w:i/>
          <w:iCs/>
        </w:rPr>
        <w:t>supra</w:t>
      </w:r>
      <w:r w:rsidR="00AA2F3A" w:rsidRPr="00B323C8">
        <w:t>, 6 Cal.5th at pp. 239, 241.)</w:t>
      </w:r>
      <w:bookmarkEnd w:id="32"/>
    </w:p>
    <w:p w14:paraId="642D9972" w14:textId="564A7908" w:rsidR="003F4450" w:rsidRPr="00B323C8" w:rsidRDefault="008F20C3" w:rsidP="00B323C8">
      <w:pPr>
        <w:pStyle w:val="Heading1"/>
        <w:keepLines/>
      </w:pPr>
      <w:bookmarkStart w:id="33" w:name="_Toc467144618"/>
      <w:bookmarkStart w:id="34" w:name="_Toc490637489"/>
      <w:bookmarkStart w:id="35" w:name="_Toc500771827"/>
      <w:bookmarkStart w:id="36" w:name="_Toc66715112"/>
      <w:r w:rsidRPr="00B323C8">
        <w:t xml:space="preserve">III. </w:t>
      </w:r>
      <w:r w:rsidR="003F4450" w:rsidRPr="00B323C8">
        <w:t>Conclusion</w:t>
      </w:r>
      <w:bookmarkEnd w:id="33"/>
      <w:bookmarkEnd w:id="34"/>
      <w:bookmarkEnd w:id="35"/>
      <w:bookmarkEnd w:id="36"/>
    </w:p>
    <w:p w14:paraId="41DBA8AA" w14:textId="77777777" w:rsidR="00126565" w:rsidRPr="00373FF4" w:rsidRDefault="00933A52" w:rsidP="00126565">
      <w:pPr>
        <w:tabs>
          <w:tab w:val="left" w:pos="720"/>
        </w:tabs>
      </w:pPr>
      <w:r w:rsidRPr="00B323C8">
        <w:t>T</w:t>
      </w:r>
      <w:r w:rsidR="008340F1" w:rsidRPr="00B323C8">
        <w:t>he judgment</w:t>
      </w:r>
      <w:r w:rsidR="003122A6" w:rsidRPr="00B323C8">
        <w:t xml:space="preserve"> </w:t>
      </w:r>
      <w:r w:rsidRPr="00B323C8">
        <w:t xml:space="preserve">is reversed </w:t>
      </w:r>
      <w:r w:rsidR="003122A6" w:rsidRPr="00B323C8">
        <w:t>in its entirety</w:t>
      </w:r>
      <w:r w:rsidR="008340F1" w:rsidRPr="00B323C8">
        <w:t>.  Defendant may be retried</w:t>
      </w:r>
      <w:r w:rsidR="00B03D3B" w:rsidRPr="00B323C8">
        <w:t xml:space="preserve"> </w:t>
      </w:r>
      <w:r w:rsidR="008340F1" w:rsidRPr="00B323C8">
        <w:t>if the trial court concludes</w:t>
      </w:r>
      <w:r w:rsidR="0045597C" w:rsidRPr="00B323C8">
        <w:t xml:space="preserve">, at the time of such retrial, </w:t>
      </w:r>
      <w:r w:rsidR="0045597C" w:rsidRPr="00B323C8">
        <w:lastRenderedPageBreak/>
        <w:t>that he is mentally competent</w:t>
      </w:r>
      <w:r w:rsidR="008340F1" w:rsidRPr="00B323C8">
        <w:t>.</w:t>
      </w:r>
      <w:r w:rsidR="0065541E" w:rsidRPr="00B323C8">
        <w:t xml:space="preserve">  If defendant again seeks to represent himself, the trial court </w:t>
      </w:r>
      <w:r w:rsidR="0045597C" w:rsidRPr="00B323C8">
        <w:t>has discretion</w:t>
      </w:r>
      <w:r w:rsidR="00A11357" w:rsidRPr="00B323C8">
        <w:t>, depending on the medical evidence,</w:t>
      </w:r>
      <w:r w:rsidR="0065541E" w:rsidRPr="00B323C8">
        <w:t xml:space="preserve"> to deny self-representation.</w:t>
      </w:r>
      <w:r w:rsidRPr="00B323C8">
        <w:t xml:space="preserve">  (See </w:t>
      </w:r>
      <w:r w:rsidR="000D5BB6" w:rsidRPr="00B323C8">
        <w:rPr>
          <w:i/>
          <w:iCs/>
        </w:rPr>
        <w:t>People v. Johnson</w:t>
      </w:r>
      <w:r w:rsidR="00CB46A6" w:rsidRPr="00B323C8">
        <w:t xml:space="preserve">, </w:t>
      </w:r>
      <w:r w:rsidR="00CB46A6" w:rsidRPr="00B323C8">
        <w:rPr>
          <w:i/>
          <w:iCs/>
        </w:rPr>
        <w:t>supra</w:t>
      </w:r>
      <w:r w:rsidR="00CB46A6" w:rsidRPr="00B323C8">
        <w:t xml:space="preserve">, </w:t>
      </w:r>
      <w:r w:rsidR="000D5BB6" w:rsidRPr="00B323C8">
        <w:t xml:space="preserve">53 Cal.4th </w:t>
      </w:r>
      <w:r w:rsidR="00CB46A6" w:rsidRPr="00B323C8">
        <w:t xml:space="preserve">at pp. </w:t>
      </w:r>
      <w:r w:rsidR="000D5BB6" w:rsidRPr="00B323C8">
        <w:t>530–531.)</w:t>
      </w:r>
    </w:p>
    <w:p w14:paraId="22E257C7" w14:textId="46F91491" w:rsidR="00126565" w:rsidRPr="00373FF4" w:rsidRDefault="00126565" w:rsidP="00126565">
      <w:pPr>
        <w:tabs>
          <w:tab w:val="left" w:pos="720"/>
        </w:tabs>
        <w:spacing w:before="180"/>
        <w:rPr>
          <w:b/>
          <w:bCs/>
        </w:rPr>
      </w:pPr>
      <w:r w:rsidRPr="00373FF4">
        <w:tab/>
      </w:r>
      <w:r w:rsidRPr="00373FF4">
        <w:tab/>
      </w:r>
      <w:r w:rsidRPr="00373FF4">
        <w:tab/>
      </w:r>
      <w:r w:rsidRPr="00373FF4">
        <w:tab/>
      </w:r>
      <w:r w:rsidRPr="00373FF4">
        <w:tab/>
      </w:r>
      <w:r w:rsidRPr="00373FF4">
        <w:tab/>
      </w:r>
      <w:r w:rsidRPr="00373FF4">
        <w:tab/>
      </w:r>
      <w:r w:rsidRPr="00373FF4">
        <w:rPr>
          <w:b/>
          <w:bCs/>
        </w:rPr>
        <w:t>JENKINS, J.</w:t>
      </w:r>
    </w:p>
    <w:p w14:paraId="604E34D9" w14:textId="77777777" w:rsidR="00126565" w:rsidRPr="00373FF4" w:rsidRDefault="00126565" w:rsidP="00126565">
      <w:pPr>
        <w:tabs>
          <w:tab w:val="left" w:pos="720"/>
        </w:tabs>
        <w:rPr>
          <w:b/>
          <w:bCs/>
        </w:rPr>
      </w:pPr>
    </w:p>
    <w:p w14:paraId="334E5494" w14:textId="77777777" w:rsidR="00126565" w:rsidRDefault="00126565" w:rsidP="00126565">
      <w:pPr>
        <w:tabs>
          <w:tab w:val="left" w:pos="1440"/>
        </w:tabs>
        <w:rPr>
          <w:b/>
          <w:bCs/>
        </w:rPr>
      </w:pPr>
      <w:r w:rsidRPr="00DA7ADF">
        <w:rPr>
          <w:b/>
          <w:bCs/>
        </w:rPr>
        <w:t>We Concur:</w:t>
      </w:r>
    </w:p>
    <w:p w14:paraId="5F0F933F" w14:textId="77777777" w:rsidR="00126565" w:rsidRDefault="00126565" w:rsidP="00126565">
      <w:pPr>
        <w:tabs>
          <w:tab w:val="left" w:pos="1440"/>
        </w:tabs>
        <w:spacing w:after="0" w:line="240" w:lineRule="auto"/>
        <w:rPr>
          <w:b/>
          <w:bCs/>
        </w:rPr>
      </w:pPr>
      <w:r>
        <w:rPr>
          <w:b/>
          <w:bCs/>
        </w:rPr>
        <w:t>CANTIL-SAKAUYE, C. J.</w:t>
      </w:r>
    </w:p>
    <w:p w14:paraId="7390BDC9" w14:textId="77777777" w:rsidR="00126565" w:rsidRDefault="00126565" w:rsidP="00126565">
      <w:pPr>
        <w:tabs>
          <w:tab w:val="left" w:pos="1440"/>
        </w:tabs>
        <w:spacing w:after="0" w:line="240" w:lineRule="auto"/>
        <w:rPr>
          <w:b/>
          <w:bCs/>
        </w:rPr>
      </w:pPr>
      <w:r>
        <w:rPr>
          <w:b/>
          <w:bCs/>
        </w:rPr>
        <w:t>CORRIGAN, J.</w:t>
      </w:r>
    </w:p>
    <w:p w14:paraId="12CDC96C" w14:textId="77777777" w:rsidR="00126565" w:rsidRDefault="00126565" w:rsidP="00126565">
      <w:pPr>
        <w:tabs>
          <w:tab w:val="left" w:pos="1440"/>
        </w:tabs>
        <w:spacing w:after="0" w:line="240" w:lineRule="auto"/>
        <w:rPr>
          <w:b/>
          <w:bCs/>
        </w:rPr>
      </w:pPr>
      <w:r>
        <w:rPr>
          <w:b/>
          <w:bCs/>
        </w:rPr>
        <w:t>LIU, J.</w:t>
      </w:r>
    </w:p>
    <w:p w14:paraId="7BB50262" w14:textId="77777777" w:rsidR="00126565" w:rsidRDefault="00126565" w:rsidP="00126565">
      <w:pPr>
        <w:tabs>
          <w:tab w:val="left" w:pos="1440"/>
        </w:tabs>
        <w:spacing w:after="0" w:line="240" w:lineRule="auto"/>
        <w:rPr>
          <w:b/>
          <w:bCs/>
        </w:rPr>
      </w:pPr>
      <w:r>
        <w:rPr>
          <w:b/>
          <w:bCs/>
        </w:rPr>
        <w:t>CUÉLLAR, J.</w:t>
      </w:r>
    </w:p>
    <w:p w14:paraId="6A2954BF" w14:textId="77777777" w:rsidR="00126565" w:rsidRDefault="00126565" w:rsidP="00126565">
      <w:pPr>
        <w:tabs>
          <w:tab w:val="left" w:pos="1440"/>
        </w:tabs>
        <w:spacing w:after="0" w:line="240" w:lineRule="auto"/>
        <w:rPr>
          <w:b/>
          <w:bCs/>
        </w:rPr>
      </w:pPr>
      <w:r>
        <w:rPr>
          <w:b/>
          <w:bCs/>
        </w:rPr>
        <w:t>KRUGER, J.</w:t>
      </w:r>
    </w:p>
    <w:p w14:paraId="4EA519FF" w14:textId="77777777" w:rsidR="00126565" w:rsidRDefault="00126565" w:rsidP="00126565">
      <w:pPr>
        <w:tabs>
          <w:tab w:val="left" w:pos="1440"/>
        </w:tabs>
        <w:spacing w:after="0" w:line="240" w:lineRule="auto"/>
        <w:rPr>
          <w:b/>
          <w:bCs/>
        </w:rPr>
      </w:pPr>
      <w:r>
        <w:rPr>
          <w:b/>
          <w:bCs/>
        </w:rPr>
        <w:t>GROBAN, J.</w:t>
      </w:r>
    </w:p>
    <w:p w14:paraId="2EE33A15" w14:textId="77777777" w:rsidR="00126565" w:rsidRPr="00E5474F" w:rsidRDefault="00126565" w:rsidP="00126565">
      <w:pPr>
        <w:tabs>
          <w:tab w:val="left" w:pos="720"/>
        </w:tabs>
      </w:pPr>
    </w:p>
    <w:p w14:paraId="22CEBAA9" w14:textId="5E38076D" w:rsidR="00FA3767" w:rsidRDefault="00FA3767" w:rsidP="00126565">
      <w:pPr>
        <w:pStyle w:val="MainText"/>
        <w:keepNext/>
        <w:keepLines/>
        <w:spacing w:line="400" w:lineRule="exact"/>
      </w:pPr>
    </w:p>
    <w:bookmarkEnd w:id="0"/>
    <w:p w14:paraId="17121519" w14:textId="77777777" w:rsidR="00CB43DC" w:rsidRDefault="00CB43DC" w:rsidP="00FA3767">
      <w:pPr>
        <w:tabs>
          <w:tab w:val="left" w:pos="1440"/>
        </w:tabs>
        <w:spacing w:after="0" w:line="240" w:lineRule="auto"/>
        <w:sectPr w:rsidR="00CB43DC" w:rsidSect="00B323C8">
          <w:footerReference w:type="first" r:id="rId10"/>
          <w:pgSz w:w="12240" w:h="15840"/>
          <w:pgMar w:top="1800" w:right="2160" w:bottom="1440" w:left="2160" w:header="720" w:footer="720" w:gutter="0"/>
          <w:pgNumType w:start="1"/>
          <w:cols w:space="720"/>
          <w:titlePg/>
          <w:docGrid w:linePitch="367"/>
        </w:sectPr>
      </w:pPr>
    </w:p>
    <w:p w14:paraId="2B3CB085" w14:textId="77777777" w:rsidR="00CB43DC" w:rsidRPr="00CB43DC" w:rsidRDefault="00CB43DC" w:rsidP="00CB43DC">
      <w:pPr>
        <w:spacing w:after="0" w:line="240" w:lineRule="auto"/>
        <w:jc w:val="left"/>
        <w:rPr>
          <w:i/>
          <w:sz w:val="24"/>
          <w:szCs w:val="24"/>
        </w:rPr>
      </w:pPr>
      <w:r w:rsidRPr="00CB43DC">
        <w:rPr>
          <w:i/>
          <w:sz w:val="24"/>
          <w:szCs w:val="24"/>
        </w:rPr>
        <w:lastRenderedPageBreak/>
        <w:t>See next page for addresses and telephone numbers for counsel who argued in Supreme Court.</w:t>
      </w:r>
    </w:p>
    <w:p w14:paraId="524CB6BB" w14:textId="77777777" w:rsidR="00CB43DC" w:rsidRPr="00CB43DC" w:rsidRDefault="00CB43DC" w:rsidP="00CB43DC">
      <w:pPr>
        <w:spacing w:after="0" w:line="240" w:lineRule="auto"/>
        <w:jc w:val="left"/>
        <w:rPr>
          <w:i/>
          <w:sz w:val="24"/>
          <w:szCs w:val="24"/>
        </w:rPr>
      </w:pPr>
    </w:p>
    <w:p w14:paraId="640B0AA9" w14:textId="77777777" w:rsidR="00CB43DC" w:rsidRPr="00CB43DC" w:rsidRDefault="00CB43DC" w:rsidP="00CB43DC">
      <w:pPr>
        <w:spacing w:after="0" w:line="240" w:lineRule="auto"/>
        <w:jc w:val="left"/>
        <w:rPr>
          <w:b/>
          <w:sz w:val="24"/>
          <w:szCs w:val="24"/>
        </w:rPr>
      </w:pPr>
      <w:r w:rsidRPr="00CB43DC">
        <w:rPr>
          <w:b/>
          <w:sz w:val="24"/>
          <w:szCs w:val="24"/>
        </w:rPr>
        <w:t xml:space="preserve">Name of Opinion </w:t>
      </w:r>
      <w:r w:rsidRPr="00CB43DC">
        <w:rPr>
          <w:bCs/>
          <w:sz w:val="24"/>
          <w:szCs w:val="24"/>
        </w:rPr>
        <w:t xml:space="preserve">People v. Wycoff </w:t>
      </w:r>
      <w:r w:rsidRPr="00CB43DC">
        <w:rPr>
          <w:b/>
          <w:sz w:val="24"/>
          <w:szCs w:val="24"/>
        </w:rPr>
        <w:t xml:space="preserve">__________________________________________________________ </w:t>
      </w:r>
    </w:p>
    <w:p w14:paraId="16A4D05C" w14:textId="77777777" w:rsidR="00CB43DC" w:rsidRPr="00CB43DC" w:rsidRDefault="00CB43DC" w:rsidP="00CB43DC">
      <w:pPr>
        <w:spacing w:after="0" w:line="240" w:lineRule="auto"/>
        <w:jc w:val="left"/>
        <w:rPr>
          <w:b/>
          <w:sz w:val="24"/>
          <w:szCs w:val="24"/>
        </w:rPr>
      </w:pPr>
    </w:p>
    <w:p w14:paraId="4BDA2087" w14:textId="77777777" w:rsidR="00CB43DC" w:rsidRPr="00CB43DC" w:rsidRDefault="00CB43DC" w:rsidP="00CB43DC">
      <w:pPr>
        <w:spacing w:after="0" w:line="240" w:lineRule="auto"/>
        <w:jc w:val="left"/>
        <w:rPr>
          <w:sz w:val="24"/>
          <w:szCs w:val="24"/>
        </w:rPr>
      </w:pPr>
      <w:r w:rsidRPr="00CB43DC">
        <w:rPr>
          <w:b/>
          <w:bCs/>
          <w:sz w:val="24"/>
          <w:szCs w:val="24"/>
          <w:u w:val="single"/>
        </w:rPr>
        <w:t>Procedural Posture</w:t>
      </w:r>
      <w:r w:rsidRPr="00CB43DC">
        <w:rPr>
          <w:b/>
          <w:bCs/>
          <w:sz w:val="24"/>
          <w:szCs w:val="24"/>
        </w:rPr>
        <w:t xml:space="preserve"> </w:t>
      </w:r>
      <w:r w:rsidRPr="00CB43DC">
        <w:rPr>
          <w:sz w:val="24"/>
          <w:szCs w:val="24"/>
        </w:rPr>
        <w:t>(see XX below)</w:t>
      </w:r>
    </w:p>
    <w:p w14:paraId="0A1EC359" w14:textId="77777777" w:rsidR="00CB43DC" w:rsidRPr="00CB43DC" w:rsidRDefault="00CB43DC" w:rsidP="00CB43DC">
      <w:pPr>
        <w:spacing w:after="0" w:line="240" w:lineRule="auto"/>
        <w:jc w:val="left"/>
        <w:rPr>
          <w:sz w:val="24"/>
          <w:szCs w:val="24"/>
        </w:rPr>
      </w:pPr>
      <w:r w:rsidRPr="00CB43DC">
        <w:rPr>
          <w:b/>
          <w:bCs/>
          <w:sz w:val="24"/>
          <w:szCs w:val="24"/>
        </w:rPr>
        <w:t>Original Appeal</w:t>
      </w:r>
      <w:r w:rsidRPr="00CB43DC">
        <w:rPr>
          <w:sz w:val="24"/>
          <w:szCs w:val="24"/>
        </w:rPr>
        <w:t xml:space="preserve"> XX</w:t>
      </w:r>
    </w:p>
    <w:p w14:paraId="5938DAD0" w14:textId="77777777" w:rsidR="00CB43DC" w:rsidRPr="00CB43DC" w:rsidRDefault="00CB43DC" w:rsidP="00CB43DC">
      <w:pPr>
        <w:spacing w:after="0" w:line="240" w:lineRule="auto"/>
        <w:jc w:val="left"/>
        <w:rPr>
          <w:b/>
          <w:bCs/>
          <w:sz w:val="24"/>
          <w:szCs w:val="24"/>
        </w:rPr>
      </w:pPr>
      <w:r w:rsidRPr="00CB43DC">
        <w:rPr>
          <w:b/>
          <w:bCs/>
          <w:sz w:val="24"/>
          <w:szCs w:val="24"/>
        </w:rPr>
        <w:t>Original Proceeding</w:t>
      </w:r>
    </w:p>
    <w:p w14:paraId="752F4137" w14:textId="77777777" w:rsidR="00CB43DC" w:rsidRPr="00CB43DC" w:rsidRDefault="00CB43DC" w:rsidP="00CB43DC">
      <w:pPr>
        <w:spacing w:after="0" w:line="240" w:lineRule="auto"/>
        <w:jc w:val="left"/>
        <w:rPr>
          <w:sz w:val="24"/>
          <w:szCs w:val="24"/>
        </w:rPr>
      </w:pPr>
      <w:r w:rsidRPr="00CB43DC">
        <w:rPr>
          <w:b/>
          <w:bCs/>
          <w:sz w:val="24"/>
          <w:szCs w:val="24"/>
        </w:rPr>
        <w:t>Review Granted</w:t>
      </w:r>
      <w:r w:rsidRPr="00CB43DC">
        <w:rPr>
          <w:sz w:val="24"/>
          <w:szCs w:val="24"/>
        </w:rPr>
        <w:t xml:space="preserve"> </w:t>
      </w:r>
      <w:r w:rsidRPr="00CB43DC">
        <w:rPr>
          <w:b/>
          <w:bCs/>
          <w:sz w:val="24"/>
          <w:szCs w:val="24"/>
        </w:rPr>
        <w:t xml:space="preserve">(published) </w:t>
      </w:r>
    </w:p>
    <w:p w14:paraId="30E5CB26" w14:textId="77777777" w:rsidR="00CB43DC" w:rsidRPr="00CB43DC" w:rsidRDefault="00CB43DC" w:rsidP="00CB43DC">
      <w:pPr>
        <w:spacing w:after="0" w:line="240" w:lineRule="auto"/>
        <w:jc w:val="left"/>
        <w:rPr>
          <w:sz w:val="24"/>
          <w:szCs w:val="24"/>
        </w:rPr>
      </w:pPr>
      <w:r w:rsidRPr="00CB43DC">
        <w:rPr>
          <w:b/>
          <w:bCs/>
          <w:sz w:val="24"/>
          <w:szCs w:val="24"/>
        </w:rPr>
        <w:t xml:space="preserve">Review Granted (unpublished) </w:t>
      </w:r>
    </w:p>
    <w:p w14:paraId="7AAF477E" w14:textId="77777777" w:rsidR="00CB43DC" w:rsidRPr="00CB43DC" w:rsidRDefault="00CB43DC" w:rsidP="00CB43DC">
      <w:pPr>
        <w:spacing w:after="0" w:line="240" w:lineRule="auto"/>
        <w:jc w:val="left"/>
        <w:rPr>
          <w:b/>
          <w:bCs/>
          <w:sz w:val="24"/>
          <w:szCs w:val="24"/>
        </w:rPr>
      </w:pPr>
      <w:r w:rsidRPr="00CB43DC">
        <w:rPr>
          <w:b/>
          <w:bCs/>
          <w:sz w:val="24"/>
          <w:szCs w:val="24"/>
        </w:rPr>
        <w:t>Rehearing Granted</w:t>
      </w:r>
    </w:p>
    <w:p w14:paraId="3156B30C" w14:textId="77777777" w:rsidR="00CB43DC" w:rsidRPr="00CB43DC" w:rsidRDefault="00CB43DC" w:rsidP="00CB43DC">
      <w:pPr>
        <w:spacing w:after="0" w:line="240" w:lineRule="auto"/>
        <w:jc w:val="left"/>
        <w:rPr>
          <w:b/>
          <w:sz w:val="24"/>
          <w:szCs w:val="24"/>
        </w:rPr>
      </w:pPr>
    </w:p>
    <w:p w14:paraId="661F9A04" w14:textId="77777777" w:rsidR="00CB43DC" w:rsidRPr="00CB43DC" w:rsidRDefault="00CB43DC" w:rsidP="00CB43DC">
      <w:pPr>
        <w:spacing w:after="0" w:line="240" w:lineRule="auto"/>
        <w:jc w:val="left"/>
        <w:rPr>
          <w:b/>
          <w:sz w:val="24"/>
          <w:szCs w:val="24"/>
        </w:rPr>
      </w:pPr>
      <w:r w:rsidRPr="00CB43DC">
        <w:rPr>
          <w:b/>
          <w:sz w:val="24"/>
          <w:szCs w:val="24"/>
        </w:rPr>
        <w:t xml:space="preserve">__________________________________________________________ </w:t>
      </w:r>
    </w:p>
    <w:p w14:paraId="6564704E" w14:textId="77777777" w:rsidR="00CB43DC" w:rsidRPr="00CB43DC" w:rsidRDefault="00CB43DC" w:rsidP="00CB43DC">
      <w:pPr>
        <w:spacing w:after="0" w:line="240" w:lineRule="auto"/>
        <w:jc w:val="left"/>
        <w:rPr>
          <w:b/>
          <w:sz w:val="24"/>
          <w:szCs w:val="24"/>
        </w:rPr>
      </w:pPr>
    </w:p>
    <w:p w14:paraId="59354CE8" w14:textId="77777777" w:rsidR="00CB43DC" w:rsidRPr="00CB43DC" w:rsidRDefault="00CB43DC" w:rsidP="00CB43DC">
      <w:pPr>
        <w:spacing w:after="0" w:line="240" w:lineRule="auto"/>
        <w:jc w:val="left"/>
        <w:rPr>
          <w:bCs/>
          <w:sz w:val="24"/>
          <w:szCs w:val="24"/>
        </w:rPr>
      </w:pPr>
      <w:r w:rsidRPr="00CB43DC">
        <w:rPr>
          <w:b/>
          <w:sz w:val="24"/>
          <w:szCs w:val="24"/>
        </w:rPr>
        <w:t>Opinion No.</w:t>
      </w:r>
      <w:r w:rsidRPr="00CB43DC">
        <w:rPr>
          <w:sz w:val="24"/>
          <w:szCs w:val="24"/>
        </w:rPr>
        <w:t xml:space="preserve"> S178669</w:t>
      </w:r>
    </w:p>
    <w:p w14:paraId="6CD441B0" w14:textId="77777777" w:rsidR="00CB43DC" w:rsidRPr="00CB43DC" w:rsidRDefault="00CB43DC" w:rsidP="00CB43DC">
      <w:pPr>
        <w:spacing w:after="0" w:line="240" w:lineRule="auto"/>
        <w:jc w:val="left"/>
        <w:rPr>
          <w:bCs/>
          <w:sz w:val="24"/>
          <w:szCs w:val="24"/>
        </w:rPr>
      </w:pPr>
      <w:r w:rsidRPr="00CB43DC">
        <w:rPr>
          <w:b/>
          <w:sz w:val="24"/>
          <w:szCs w:val="24"/>
        </w:rPr>
        <w:t>Date Filed:</w:t>
      </w:r>
      <w:r w:rsidRPr="00CB43DC">
        <w:rPr>
          <w:sz w:val="24"/>
          <w:szCs w:val="24"/>
        </w:rPr>
        <w:t xml:space="preserve"> August 23, 2021</w:t>
      </w:r>
    </w:p>
    <w:p w14:paraId="25E8DBE0" w14:textId="77777777" w:rsidR="00CB43DC" w:rsidRPr="00CB43DC" w:rsidRDefault="00CB43DC" w:rsidP="00CB43DC">
      <w:pPr>
        <w:spacing w:after="0" w:line="240" w:lineRule="auto"/>
        <w:jc w:val="left"/>
        <w:rPr>
          <w:b/>
          <w:sz w:val="24"/>
          <w:szCs w:val="24"/>
        </w:rPr>
      </w:pPr>
      <w:r w:rsidRPr="00CB43DC">
        <w:rPr>
          <w:b/>
          <w:sz w:val="24"/>
          <w:szCs w:val="24"/>
        </w:rPr>
        <w:t xml:space="preserve">__________________________________________________________ </w:t>
      </w:r>
    </w:p>
    <w:p w14:paraId="7147D93E" w14:textId="77777777" w:rsidR="00CB43DC" w:rsidRPr="00CB43DC" w:rsidRDefault="00CB43DC" w:rsidP="00CB43DC">
      <w:pPr>
        <w:spacing w:after="0" w:line="240" w:lineRule="auto"/>
        <w:jc w:val="left"/>
        <w:rPr>
          <w:b/>
          <w:sz w:val="24"/>
          <w:szCs w:val="24"/>
        </w:rPr>
      </w:pPr>
    </w:p>
    <w:p w14:paraId="6C661A8E" w14:textId="77777777" w:rsidR="00CB43DC" w:rsidRPr="00CB43DC" w:rsidRDefault="00CB43DC" w:rsidP="00CB43DC">
      <w:pPr>
        <w:spacing w:after="0" w:line="240" w:lineRule="auto"/>
        <w:jc w:val="left"/>
        <w:rPr>
          <w:bCs/>
          <w:sz w:val="24"/>
          <w:szCs w:val="24"/>
        </w:rPr>
      </w:pPr>
      <w:r w:rsidRPr="00CB43DC">
        <w:rPr>
          <w:b/>
          <w:sz w:val="24"/>
          <w:szCs w:val="24"/>
        </w:rPr>
        <w:t xml:space="preserve">Court:  </w:t>
      </w:r>
      <w:r w:rsidRPr="00CB43DC">
        <w:rPr>
          <w:bCs/>
          <w:sz w:val="24"/>
          <w:szCs w:val="24"/>
        </w:rPr>
        <w:t>Superior</w:t>
      </w:r>
      <w:r w:rsidRPr="00CB43DC">
        <w:rPr>
          <w:b/>
          <w:sz w:val="24"/>
          <w:szCs w:val="24"/>
        </w:rPr>
        <w:t xml:space="preserve"> </w:t>
      </w:r>
    </w:p>
    <w:p w14:paraId="24159D51" w14:textId="77777777" w:rsidR="00CB43DC" w:rsidRPr="00CB43DC" w:rsidRDefault="00CB43DC" w:rsidP="00CB43DC">
      <w:pPr>
        <w:spacing w:after="0" w:line="240" w:lineRule="auto"/>
        <w:jc w:val="left"/>
        <w:rPr>
          <w:bCs/>
          <w:sz w:val="24"/>
          <w:szCs w:val="24"/>
        </w:rPr>
      </w:pPr>
      <w:r w:rsidRPr="00CB43DC">
        <w:rPr>
          <w:b/>
          <w:sz w:val="24"/>
          <w:szCs w:val="24"/>
        </w:rPr>
        <w:t xml:space="preserve">County: </w:t>
      </w:r>
      <w:r w:rsidRPr="00CB43DC">
        <w:rPr>
          <w:bCs/>
          <w:sz w:val="24"/>
          <w:szCs w:val="24"/>
        </w:rPr>
        <w:t>Contra Costa</w:t>
      </w:r>
      <w:r w:rsidRPr="00CB43DC">
        <w:rPr>
          <w:b/>
          <w:sz w:val="24"/>
          <w:szCs w:val="24"/>
        </w:rPr>
        <w:t xml:space="preserve"> </w:t>
      </w:r>
    </w:p>
    <w:p w14:paraId="6C40FD45" w14:textId="77777777" w:rsidR="00CB43DC" w:rsidRPr="00CB43DC" w:rsidRDefault="00CB43DC" w:rsidP="00CB43DC">
      <w:pPr>
        <w:spacing w:after="0" w:line="240" w:lineRule="auto"/>
        <w:ind w:left="720" w:hanging="720"/>
        <w:jc w:val="left"/>
        <w:rPr>
          <w:bCs/>
          <w:sz w:val="24"/>
          <w:szCs w:val="24"/>
        </w:rPr>
      </w:pPr>
      <w:r w:rsidRPr="00CB43DC">
        <w:rPr>
          <w:b/>
          <w:sz w:val="24"/>
          <w:szCs w:val="24"/>
        </w:rPr>
        <w:t xml:space="preserve">Judge: </w:t>
      </w:r>
      <w:r w:rsidRPr="00CB43DC">
        <w:rPr>
          <w:bCs/>
          <w:sz w:val="24"/>
          <w:szCs w:val="24"/>
        </w:rPr>
        <w:t>John William Kennedy</w:t>
      </w:r>
      <w:r w:rsidRPr="00CB43DC">
        <w:rPr>
          <w:b/>
          <w:sz w:val="24"/>
          <w:szCs w:val="24"/>
        </w:rPr>
        <w:t xml:space="preserve"> </w:t>
      </w:r>
    </w:p>
    <w:p w14:paraId="14413FE6" w14:textId="77777777" w:rsidR="00CB43DC" w:rsidRPr="00CB43DC" w:rsidRDefault="00CB43DC" w:rsidP="00CB43DC">
      <w:pPr>
        <w:spacing w:after="0" w:line="240" w:lineRule="auto"/>
        <w:jc w:val="left"/>
        <w:rPr>
          <w:b/>
          <w:sz w:val="24"/>
          <w:szCs w:val="24"/>
        </w:rPr>
      </w:pPr>
    </w:p>
    <w:p w14:paraId="263D0989" w14:textId="77777777" w:rsidR="00CB43DC" w:rsidRPr="00CB43DC" w:rsidRDefault="00CB43DC" w:rsidP="00CB43DC">
      <w:pPr>
        <w:spacing w:after="0" w:line="240" w:lineRule="auto"/>
        <w:jc w:val="left"/>
        <w:rPr>
          <w:b/>
          <w:sz w:val="24"/>
          <w:szCs w:val="24"/>
        </w:rPr>
      </w:pPr>
      <w:r w:rsidRPr="00CB43DC">
        <w:rPr>
          <w:b/>
          <w:sz w:val="24"/>
          <w:szCs w:val="24"/>
        </w:rPr>
        <w:t xml:space="preserve">__________________________________________________________  </w:t>
      </w:r>
    </w:p>
    <w:p w14:paraId="0EA3A257" w14:textId="77777777" w:rsidR="00CB43DC" w:rsidRPr="00CB43DC" w:rsidRDefault="00CB43DC" w:rsidP="00CB43DC">
      <w:pPr>
        <w:spacing w:after="0" w:line="240" w:lineRule="auto"/>
        <w:jc w:val="left"/>
        <w:rPr>
          <w:b/>
          <w:sz w:val="24"/>
          <w:szCs w:val="24"/>
        </w:rPr>
      </w:pPr>
    </w:p>
    <w:p w14:paraId="3697A7B7" w14:textId="77777777" w:rsidR="00CB43DC" w:rsidRPr="00CB43DC" w:rsidRDefault="00CB43DC" w:rsidP="00CB43DC">
      <w:pPr>
        <w:spacing w:after="0" w:line="240" w:lineRule="auto"/>
        <w:jc w:val="left"/>
        <w:rPr>
          <w:b/>
          <w:sz w:val="24"/>
          <w:szCs w:val="24"/>
        </w:rPr>
      </w:pPr>
      <w:r w:rsidRPr="00CB43DC">
        <w:rPr>
          <w:b/>
          <w:sz w:val="24"/>
          <w:szCs w:val="24"/>
        </w:rPr>
        <w:t>Counsel:</w:t>
      </w:r>
    </w:p>
    <w:p w14:paraId="7309F596" w14:textId="77777777" w:rsidR="00CB43DC" w:rsidRPr="00CB43DC" w:rsidRDefault="00CB43DC" w:rsidP="00CB43DC">
      <w:pPr>
        <w:spacing w:after="0" w:line="240" w:lineRule="auto"/>
        <w:jc w:val="left"/>
        <w:rPr>
          <w:b/>
          <w:sz w:val="24"/>
          <w:szCs w:val="24"/>
        </w:rPr>
      </w:pPr>
    </w:p>
    <w:p w14:paraId="601F8116" w14:textId="77777777" w:rsidR="00CB43DC" w:rsidRPr="00CB43DC" w:rsidRDefault="00CB43DC" w:rsidP="00CB43DC">
      <w:pPr>
        <w:spacing w:after="0" w:line="240" w:lineRule="auto"/>
        <w:jc w:val="left"/>
        <w:rPr>
          <w:sz w:val="24"/>
          <w:szCs w:val="24"/>
        </w:rPr>
      </w:pPr>
      <w:r w:rsidRPr="00CB43DC">
        <w:rPr>
          <w:sz w:val="24"/>
          <w:szCs w:val="24"/>
        </w:rPr>
        <w:t xml:space="preserve">David A. Nickerson, under appointment by the Supreme Court, for Defendant and Appellant. </w:t>
      </w:r>
    </w:p>
    <w:p w14:paraId="33A8241A" w14:textId="77777777" w:rsidR="00CB43DC" w:rsidRPr="00CB43DC" w:rsidRDefault="00CB43DC" w:rsidP="00CB43DC">
      <w:pPr>
        <w:spacing w:after="0" w:line="240" w:lineRule="auto"/>
        <w:jc w:val="left"/>
        <w:rPr>
          <w:sz w:val="24"/>
          <w:szCs w:val="24"/>
          <w:bdr w:val="none" w:sz="0" w:space="0" w:color="auto" w:frame="1"/>
        </w:rPr>
      </w:pPr>
    </w:p>
    <w:p w14:paraId="547DBDA1" w14:textId="77777777" w:rsidR="00CB43DC" w:rsidRPr="00CB43DC" w:rsidRDefault="00CB43DC" w:rsidP="00CB43DC">
      <w:pPr>
        <w:spacing w:after="0" w:line="240" w:lineRule="auto"/>
        <w:jc w:val="left"/>
        <w:rPr>
          <w:bCs/>
          <w:sz w:val="24"/>
          <w:szCs w:val="24"/>
        </w:rPr>
      </w:pPr>
      <w:r w:rsidRPr="00CB43DC">
        <w:rPr>
          <w:bCs/>
          <w:sz w:val="24"/>
          <w:szCs w:val="24"/>
        </w:rPr>
        <w:t>Kamala D. Harris and Rob Bonta, Attorneys General, Gerald A. Engler, Chief Assistant Attorney General, Jeffrey M. Laurence, Assistant Attorney General, Glenn R. Pruden, Alice B. Lustre, Roni Dina Pomerantz and Basil R. Williams, Deputy Attorneys General, for Plaintiff and Respondent.</w:t>
      </w:r>
    </w:p>
    <w:p w14:paraId="76E0AE90" w14:textId="77777777" w:rsidR="00CB43DC" w:rsidRPr="00CB43DC" w:rsidRDefault="00CB43DC" w:rsidP="00CB43DC">
      <w:pPr>
        <w:spacing w:after="0" w:line="240" w:lineRule="auto"/>
        <w:jc w:val="left"/>
        <w:rPr>
          <w:b/>
          <w:sz w:val="24"/>
          <w:szCs w:val="24"/>
        </w:rPr>
      </w:pPr>
      <w:r w:rsidRPr="00CB43DC">
        <w:rPr>
          <w:color w:val="212121"/>
          <w:sz w:val="24"/>
          <w:szCs w:val="24"/>
          <w:shd w:val="clear" w:color="auto" w:fill="FFFFFF"/>
        </w:rPr>
        <w:br w:type="page"/>
      </w:r>
      <w:r w:rsidRPr="00CB43DC">
        <w:rPr>
          <w:b/>
          <w:sz w:val="24"/>
          <w:szCs w:val="24"/>
        </w:rPr>
        <w:lastRenderedPageBreak/>
        <w:t>Counsel who argued in Supreme Court (not intended for publication with opinion):</w:t>
      </w:r>
    </w:p>
    <w:p w14:paraId="2495CBCA" w14:textId="77777777" w:rsidR="00CB43DC" w:rsidRPr="00CB43DC" w:rsidRDefault="00CB43DC" w:rsidP="00CB43DC">
      <w:pPr>
        <w:spacing w:after="0" w:line="240" w:lineRule="auto"/>
        <w:jc w:val="left"/>
        <w:rPr>
          <w:b/>
          <w:sz w:val="24"/>
          <w:szCs w:val="24"/>
        </w:rPr>
      </w:pPr>
    </w:p>
    <w:p w14:paraId="21B7D96E" w14:textId="77777777" w:rsidR="00CB43DC" w:rsidRPr="00CB43DC" w:rsidRDefault="00CB43DC" w:rsidP="00CB43DC">
      <w:pPr>
        <w:spacing w:after="0" w:line="240" w:lineRule="auto"/>
        <w:jc w:val="left"/>
        <w:rPr>
          <w:sz w:val="24"/>
          <w:szCs w:val="24"/>
        </w:rPr>
      </w:pPr>
      <w:r w:rsidRPr="00CB43DC">
        <w:rPr>
          <w:sz w:val="24"/>
          <w:szCs w:val="24"/>
        </w:rPr>
        <w:t>David A. Nickerson</w:t>
      </w:r>
    </w:p>
    <w:p w14:paraId="251D0AA8" w14:textId="77777777" w:rsidR="00CB43DC" w:rsidRPr="00CB43DC" w:rsidRDefault="00CB43DC" w:rsidP="00CB43DC">
      <w:pPr>
        <w:spacing w:after="0" w:line="240" w:lineRule="auto"/>
        <w:jc w:val="left"/>
        <w:rPr>
          <w:sz w:val="24"/>
          <w:szCs w:val="24"/>
        </w:rPr>
      </w:pPr>
      <w:r w:rsidRPr="00CB43DC">
        <w:rPr>
          <w:sz w:val="24"/>
          <w:szCs w:val="24"/>
        </w:rPr>
        <w:t>5 Astor Circle</w:t>
      </w:r>
    </w:p>
    <w:p w14:paraId="662EA3A0" w14:textId="77777777" w:rsidR="00CB43DC" w:rsidRPr="00CB43DC" w:rsidRDefault="00CB43DC" w:rsidP="00CB43DC">
      <w:pPr>
        <w:spacing w:after="0" w:line="240" w:lineRule="auto"/>
        <w:jc w:val="left"/>
        <w:rPr>
          <w:sz w:val="24"/>
          <w:szCs w:val="24"/>
        </w:rPr>
      </w:pPr>
      <w:r w:rsidRPr="00CB43DC">
        <w:rPr>
          <w:sz w:val="24"/>
          <w:szCs w:val="24"/>
        </w:rPr>
        <w:t>Santa Fe, NM 87506</w:t>
      </w:r>
    </w:p>
    <w:p w14:paraId="26480DBD" w14:textId="77777777" w:rsidR="00CB43DC" w:rsidRPr="00CB43DC" w:rsidRDefault="00CB43DC" w:rsidP="00CB43DC">
      <w:pPr>
        <w:spacing w:after="0" w:line="240" w:lineRule="auto"/>
        <w:jc w:val="left"/>
        <w:rPr>
          <w:sz w:val="24"/>
          <w:szCs w:val="24"/>
        </w:rPr>
      </w:pPr>
      <w:r w:rsidRPr="00CB43DC">
        <w:rPr>
          <w:sz w:val="24"/>
          <w:szCs w:val="24"/>
        </w:rPr>
        <w:t>(505) 954-1942</w:t>
      </w:r>
    </w:p>
    <w:p w14:paraId="3543D29E" w14:textId="77777777" w:rsidR="00CB43DC" w:rsidRPr="00CB43DC" w:rsidRDefault="00CB43DC" w:rsidP="00CB43DC">
      <w:pPr>
        <w:spacing w:after="0" w:line="240" w:lineRule="auto"/>
        <w:jc w:val="left"/>
        <w:rPr>
          <w:sz w:val="24"/>
          <w:szCs w:val="24"/>
        </w:rPr>
      </w:pPr>
    </w:p>
    <w:p w14:paraId="05F3D1C4" w14:textId="77777777" w:rsidR="00CB43DC" w:rsidRPr="00CB43DC" w:rsidRDefault="00CB43DC" w:rsidP="00CB43DC">
      <w:pPr>
        <w:spacing w:after="0" w:line="240" w:lineRule="auto"/>
        <w:jc w:val="left"/>
        <w:rPr>
          <w:sz w:val="24"/>
          <w:szCs w:val="24"/>
        </w:rPr>
      </w:pPr>
      <w:r w:rsidRPr="00CB43DC">
        <w:rPr>
          <w:sz w:val="24"/>
          <w:szCs w:val="24"/>
        </w:rPr>
        <w:t xml:space="preserve">Basil R. Williams </w:t>
      </w:r>
    </w:p>
    <w:p w14:paraId="75C301EC" w14:textId="77777777" w:rsidR="00CB43DC" w:rsidRPr="00CB43DC" w:rsidRDefault="00CB43DC" w:rsidP="00CB43DC">
      <w:pPr>
        <w:spacing w:after="0" w:line="240" w:lineRule="auto"/>
        <w:jc w:val="left"/>
        <w:rPr>
          <w:sz w:val="24"/>
          <w:szCs w:val="24"/>
        </w:rPr>
      </w:pPr>
      <w:r w:rsidRPr="00CB43DC">
        <w:rPr>
          <w:sz w:val="24"/>
          <w:szCs w:val="24"/>
        </w:rPr>
        <w:t>Deputy Attorney General</w:t>
      </w:r>
    </w:p>
    <w:p w14:paraId="552DC401" w14:textId="77777777" w:rsidR="00CB43DC" w:rsidRPr="00CB43DC" w:rsidRDefault="00CB43DC" w:rsidP="00CB43DC">
      <w:pPr>
        <w:spacing w:after="0" w:line="240" w:lineRule="auto"/>
        <w:jc w:val="left"/>
        <w:rPr>
          <w:sz w:val="24"/>
          <w:szCs w:val="24"/>
        </w:rPr>
      </w:pPr>
      <w:r w:rsidRPr="00CB43DC">
        <w:rPr>
          <w:sz w:val="24"/>
          <w:szCs w:val="24"/>
        </w:rPr>
        <w:t>455 Golden Gate Avenue, Suite 11000</w:t>
      </w:r>
    </w:p>
    <w:p w14:paraId="57C52B36" w14:textId="77777777" w:rsidR="00CB43DC" w:rsidRPr="00CB43DC" w:rsidRDefault="00CB43DC" w:rsidP="00CB43DC">
      <w:pPr>
        <w:spacing w:after="0" w:line="240" w:lineRule="auto"/>
        <w:jc w:val="left"/>
        <w:rPr>
          <w:sz w:val="24"/>
          <w:szCs w:val="24"/>
        </w:rPr>
      </w:pPr>
      <w:r w:rsidRPr="00CB43DC">
        <w:rPr>
          <w:sz w:val="24"/>
          <w:szCs w:val="24"/>
        </w:rPr>
        <w:t>San Francisco, CA 94102</w:t>
      </w:r>
    </w:p>
    <w:p w14:paraId="42179015" w14:textId="77777777" w:rsidR="00CB43DC" w:rsidRPr="00CB43DC" w:rsidRDefault="00CB43DC" w:rsidP="00CB43DC">
      <w:pPr>
        <w:spacing w:after="0" w:line="240" w:lineRule="auto"/>
        <w:jc w:val="left"/>
        <w:rPr>
          <w:sz w:val="24"/>
          <w:szCs w:val="24"/>
        </w:rPr>
      </w:pPr>
      <w:r w:rsidRPr="00CB43DC">
        <w:rPr>
          <w:sz w:val="24"/>
          <w:szCs w:val="24"/>
        </w:rPr>
        <w:t>(415) 510-3885</w:t>
      </w:r>
    </w:p>
    <w:p w14:paraId="1CFF4AD3" w14:textId="77777777" w:rsidR="00CB43DC" w:rsidRPr="00CB43DC" w:rsidRDefault="00CB43DC" w:rsidP="00CB43DC">
      <w:pPr>
        <w:spacing w:after="0" w:line="240" w:lineRule="auto"/>
        <w:jc w:val="left"/>
        <w:rPr>
          <w:sz w:val="24"/>
          <w:szCs w:val="24"/>
        </w:rPr>
      </w:pPr>
    </w:p>
    <w:p w14:paraId="08E6484A" w14:textId="77777777" w:rsidR="00CB43DC" w:rsidRPr="00CB43DC" w:rsidRDefault="00CB43DC" w:rsidP="00CB43DC">
      <w:pPr>
        <w:spacing w:after="0" w:line="240" w:lineRule="auto"/>
        <w:jc w:val="left"/>
        <w:rPr>
          <w:sz w:val="24"/>
          <w:szCs w:val="24"/>
        </w:rPr>
      </w:pPr>
    </w:p>
    <w:p w14:paraId="056FE4E0" w14:textId="77777777" w:rsidR="00CB43DC" w:rsidRPr="00CB43DC" w:rsidRDefault="00CB43DC" w:rsidP="00CB43DC">
      <w:pPr>
        <w:spacing w:after="0" w:line="240" w:lineRule="auto"/>
        <w:jc w:val="left"/>
        <w:rPr>
          <w:sz w:val="24"/>
          <w:szCs w:val="24"/>
        </w:rPr>
      </w:pPr>
    </w:p>
    <w:p w14:paraId="30AC1C60" w14:textId="77777777" w:rsidR="00CB43DC" w:rsidRPr="00CB43DC" w:rsidRDefault="00CB43DC" w:rsidP="00CB43DC">
      <w:pPr>
        <w:spacing w:after="0" w:line="240" w:lineRule="auto"/>
        <w:jc w:val="left"/>
        <w:rPr>
          <w:sz w:val="24"/>
          <w:szCs w:val="24"/>
        </w:rPr>
      </w:pPr>
      <w:r w:rsidRPr="00CB43DC">
        <w:rPr>
          <w:sz w:val="24"/>
          <w:szCs w:val="24"/>
        </w:rPr>
        <w:t xml:space="preserve"> </w:t>
      </w:r>
    </w:p>
    <w:p w14:paraId="415BCB21" w14:textId="4141DEEE" w:rsidR="00BF65F3" w:rsidRPr="009F7AD6" w:rsidRDefault="00BF65F3" w:rsidP="00FA3767">
      <w:pPr>
        <w:tabs>
          <w:tab w:val="left" w:pos="1440"/>
        </w:tabs>
        <w:spacing w:after="0" w:line="240" w:lineRule="auto"/>
      </w:pPr>
    </w:p>
    <w:sectPr w:rsidR="00BF65F3" w:rsidRPr="009F7AD6" w:rsidSect="00EC2BB8">
      <w:headerReference w:type="even" r:id="rId11"/>
      <w:headerReference w:type="default" r:id="rId12"/>
      <w:footerReference w:type="even" r:id="rId13"/>
      <w:footerReference w:type="default" r:id="rId14"/>
      <w:headerReference w:type="first" r:id="rId15"/>
      <w:footerReference w:type="first" r:id="rId16"/>
      <w:pgSz w:w="12240" w:h="15840"/>
      <w:pgMar w:top="1800" w:right="2160" w:bottom="1440" w:left="2160" w:header="720" w:footer="720"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2C191" w14:textId="77777777" w:rsidR="00A134BA" w:rsidRDefault="00A134BA">
      <w:r>
        <w:separator/>
      </w:r>
    </w:p>
  </w:endnote>
  <w:endnote w:type="continuationSeparator" w:id="0">
    <w:p w14:paraId="568D5CAF" w14:textId="77777777" w:rsidR="00A134BA" w:rsidRDefault="00A13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3CC6D" w14:textId="77777777" w:rsidR="00E620AD" w:rsidRDefault="00E620AD">
    <w:pPr>
      <w:pStyle w:val="Footer"/>
    </w:pPr>
    <w:r>
      <w:fldChar w:fldCharType="begin"/>
    </w:r>
    <w:r>
      <w:instrText>PAGE</w:instrText>
    </w:r>
    <w:r>
      <w:fldChar w:fldCharType="separate"/>
    </w:r>
    <w:r>
      <w:rPr>
        <w:noProof/>
      </w:rPr>
      <w:t>30</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FCFD7" w14:textId="77777777" w:rsidR="00B323C8" w:rsidRDefault="00B323C8">
    <w:pPr>
      <w:pStyle w:val="Footer"/>
    </w:pPr>
    <w: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1576D" w14:textId="77777777" w:rsidR="00DA6A6F" w:rsidRDefault="00A134B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A3CAD" w14:textId="77777777" w:rsidR="00DA6A6F" w:rsidRDefault="00A134B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2F70C" w14:textId="77777777" w:rsidR="00DA6A6F" w:rsidRDefault="00A134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C1719" w14:textId="77777777" w:rsidR="00A134BA" w:rsidRDefault="00A134BA">
      <w:r>
        <w:separator/>
      </w:r>
    </w:p>
  </w:footnote>
  <w:footnote w:type="continuationSeparator" w:id="0">
    <w:p w14:paraId="38B4BADC" w14:textId="77777777" w:rsidR="00A134BA" w:rsidRDefault="00A134BA">
      <w:pPr>
        <w:rPr>
          <w:sz w:val="22"/>
        </w:rPr>
      </w:pPr>
      <w:r>
        <w:continuationSeparator/>
      </w:r>
    </w:p>
  </w:footnote>
  <w:footnote w:type="continuationNotice" w:id="1">
    <w:p w14:paraId="01AB1A67" w14:textId="77777777" w:rsidR="00A134BA" w:rsidRDefault="00A134BA">
      <w:pPr>
        <w:jc w:val="right"/>
        <w:rPr>
          <w:i/>
          <w:sz w:val="20"/>
        </w:rPr>
      </w:pPr>
    </w:p>
  </w:footnote>
  <w:footnote w:id="2">
    <w:p w14:paraId="74972FC3" w14:textId="68D4EBBD" w:rsidR="00E620AD" w:rsidRDefault="00E620AD" w:rsidP="00B323C8">
      <w:pPr>
        <w:pStyle w:val="FootnoteText"/>
      </w:pPr>
      <w:r>
        <w:rPr>
          <w:rStyle w:val="FootnoteReference"/>
        </w:rPr>
        <w:footnoteRef/>
      </w:r>
      <w:r>
        <w:t xml:space="preserve"> </w:t>
      </w:r>
      <w:r>
        <w:tab/>
      </w:r>
      <w:r w:rsidRPr="00DE1D70">
        <w:t>All further statutory citations are to the Penal Code.</w:t>
      </w:r>
    </w:p>
  </w:footnote>
  <w:footnote w:id="3">
    <w:p w14:paraId="39C186C8" w14:textId="7613A045" w:rsidR="00E620AD" w:rsidRDefault="00E620AD" w:rsidP="00B323C8">
      <w:pPr>
        <w:pStyle w:val="FootnoteText"/>
      </w:pPr>
      <w:r>
        <w:rPr>
          <w:rStyle w:val="FootnoteReference"/>
        </w:rPr>
        <w:footnoteRef/>
      </w:r>
      <w:r>
        <w:t xml:space="preserve"> </w:t>
      </w:r>
      <w:r>
        <w:tab/>
        <w:t>Defendant testified that at the time of the murders he was 6 feet 5 inches tall and weighed 300 pounds.</w:t>
      </w:r>
    </w:p>
  </w:footnote>
  <w:footnote w:id="4">
    <w:p w14:paraId="71AE2667" w14:textId="171A0EBD" w:rsidR="00E620AD" w:rsidRDefault="00E620AD" w:rsidP="00B323C8">
      <w:pPr>
        <w:pStyle w:val="FootnoteText"/>
      </w:pPr>
      <w:r>
        <w:rPr>
          <w:rStyle w:val="FootnoteReference"/>
        </w:rPr>
        <w:footnoteRef/>
      </w:r>
      <w:r>
        <w:t xml:space="preserve"> </w:t>
      </w:r>
      <w:r>
        <w:tab/>
      </w:r>
      <w:r w:rsidRPr="00127849">
        <w:t>Defendant</w:t>
      </w:r>
      <w:r w:rsidR="00554173">
        <w:t> </w:t>
      </w:r>
      <w:r>
        <w:t>— Julie’s brother</w:t>
      </w:r>
      <w:r w:rsidR="00554173">
        <w:t> </w:t>
      </w:r>
      <w:r>
        <w:t xml:space="preserve">— </w:t>
      </w:r>
      <w:r w:rsidRPr="00127849">
        <w:t>goes by the name Ted among</w:t>
      </w:r>
      <w:r>
        <w:t xml:space="preserve"> </w:t>
      </w:r>
      <w:r w:rsidRPr="00127849">
        <w:t>family.</w:t>
      </w:r>
    </w:p>
  </w:footnote>
  <w:footnote w:id="5">
    <w:p w14:paraId="4E4D2FBC" w14:textId="09CFB554" w:rsidR="00E90F94" w:rsidRDefault="00E90F94" w:rsidP="00B323C8">
      <w:pPr>
        <w:pStyle w:val="FootnoteText"/>
      </w:pPr>
      <w:r>
        <w:rPr>
          <w:rStyle w:val="FootnoteReference"/>
        </w:rPr>
        <w:footnoteRef/>
      </w:r>
      <w:r>
        <w:t xml:space="preserve"> </w:t>
      </w:r>
      <w:r>
        <w:tab/>
        <w:t>A “lumper” is “</w:t>
      </w:r>
      <w:r w:rsidRPr="00E90F94">
        <w:t xml:space="preserve">a laborer </w:t>
      </w:r>
      <w:r w:rsidR="005946E8">
        <w:t xml:space="preserve">employed to handle </w:t>
      </w:r>
      <w:r w:rsidRPr="00E90F94">
        <w:t>freight or cargo</w:t>
      </w:r>
      <w:r>
        <w:t>.”</w:t>
      </w:r>
      <w:r w:rsidR="005946E8">
        <w:t xml:space="preserve">  </w:t>
      </w:r>
      <w:r w:rsidRPr="00E90F94">
        <w:t>(</w:t>
      </w:r>
      <w:r w:rsidR="003D20B9" w:rsidRPr="003D20B9">
        <w:t>Webster</w:t>
      </w:r>
      <w:r w:rsidR="005946E8">
        <w:t>’</w:t>
      </w:r>
      <w:r w:rsidR="003D20B9" w:rsidRPr="003D20B9">
        <w:t>s</w:t>
      </w:r>
      <w:r w:rsidR="005946E8">
        <w:t xml:space="preserve"> </w:t>
      </w:r>
      <w:r w:rsidR="003D20B9" w:rsidRPr="003D20B9">
        <w:t>9th New Collegiate Dict.</w:t>
      </w:r>
      <w:r w:rsidR="005946E8">
        <w:t xml:space="preserve"> </w:t>
      </w:r>
      <w:r w:rsidR="003D20B9" w:rsidRPr="003D20B9">
        <w:t>(19</w:t>
      </w:r>
      <w:r w:rsidR="005946E8">
        <w:t>90</w:t>
      </w:r>
      <w:r w:rsidR="003D20B9" w:rsidRPr="003D20B9">
        <w:t>)</w:t>
      </w:r>
      <w:r w:rsidR="005946E8">
        <w:t xml:space="preserve"> </w:t>
      </w:r>
      <w:r w:rsidR="003D20B9" w:rsidRPr="003D20B9">
        <w:t>p</w:t>
      </w:r>
      <w:r w:rsidR="005946E8">
        <w:t xml:space="preserve">. 710.)  </w:t>
      </w:r>
      <w:r>
        <w:t xml:space="preserve">It is </w:t>
      </w:r>
      <w:r w:rsidR="00830DF0">
        <w:t xml:space="preserve">a term </w:t>
      </w:r>
      <w:r>
        <w:t>often used in the trucking industry.</w:t>
      </w:r>
    </w:p>
  </w:footnote>
  <w:footnote w:id="6">
    <w:p w14:paraId="219AFAEA" w14:textId="7ED71EC0" w:rsidR="00E620AD" w:rsidRDefault="00E620AD" w:rsidP="00B323C8">
      <w:pPr>
        <w:pStyle w:val="FootnoteText"/>
      </w:pPr>
      <w:r>
        <w:rPr>
          <w:rStyle w:val="FootnoteReference"/>
        </w:rPr>
        <w:footnoteRef/>
      </w:r>
      <w:r>
        <w:t xml:space="preserve"> </w:t>
      </w:r>
      <w:r>
        <w:tab/>
      </w:r>
      <w:r w:rsidRPr="003733A8">
        <w:t xml:space="preserve">This answer was consistent with a trial court ruling that allowed Eric to testify about the appropriate penalty </w:t>
      </w:r>
      <w:r>
        <w:t xml:space="preserve">only </w:t>
      </w:r>
      <w:r w:rsidRPr="003733A8">
        <w:t>in the context of describing defendant’s character</w:t>
      </w:r>
      <w:r>
        <w:t>.</w:t>
      </w:r>
    </w:p>
  </w:footnote>
  <w:footnote w:id="7">
    <w:p w14:paraId="61838391" w14:textId="4D611D37" w:rsidR="00E620AD" w:rsidRDefault="00E620AD" w:rsidP="00B323C8">
      <w:pPr>
        <w:pStyle w:val="FootnoteText"/>
      </w:pPr>
      <w:r>
        <w:rPr>
          <w:rStyle w:val="FootnoteReference"/>
        </w:rPr>
        <w:footnoteRef/>
      </w:r>
      <w:r>
        <w:t xml:space="preserve"> </w:t>
      </w:r>
      <w:r>
        <w:tab/>
        <w:t>Defendant</w:t>
      </w:r>
      <w:r w:rsidR="00817CBE">
        <w:t>’</w:t>
      </w:r>
      <w:r>
        <w:t>s attorneys confirmed that, for tactical reasons, they did not share discovery with defendant.</w:t>
      </w:r>
    </w:p>
  </w:footnote>
  <w:footnote w:id="8">
    <w:p w14:paraId="2541A6FB" w14:textId="77777777" w:rsidR="00E620AD" w:rsidRDefault="00E620AD" w:rsidP="00B323C8">
      <w:pPr>
        <w:pStyle w:val="FootnoteText"/>
      </w:pPr>
      <w:r>
        <w:rPr>
          <w:rStyle w:val="FootnoteReference"/>
        </w:rPr>
        <w:footnoteRef/>
      </w:r>
      <w:r>
        <w:t xml:space="preserve"> </w:t>
      </w:r>
      <w:r>
        <w:tab/>
        <w:t>The CAI-R refers to the “</w:t>
      </w:r>
      <w:r w:rsidRPr="001C1031">
        <w:t>Competency Assessment Instrument-Revised</w:t>
      </w:r>
      <w:r>
        <w:t>,” a tool sometimes used by forensic psychologists to evaluate competence to stand trial.</w:t>
      </w:r>
    </w:p>
  </w:footnote>
  <w:footnote w:id="9">
    <w:p w14:paraId="365D6937" w14:textId="58D74F10" w:rsidR="00E620AD" w:rsidRDefault="00E620AD" w:rsidP="00B323C8">
      <w:pPr>
        <w:pStyle w:val="FootnoteText"/>
      </w:pPr>
      <w:r>
        <w:rPr>
          <w:rStyle w:val="FootnoteReference"/>
        </w:rPr>
        <w:footnoteRef/>
      </w:r>
      <w:r>
        <w:t xml:space="preserve"> </w:t>
      </w:r>
      <w:r>
        <w:tab/>
        <w:t>It is apparent from this discussion that the court and counsel focused exclusively on defendant’s competence to represent himself, not his competence to stand trial.</w:t>
      </w:r>
    </w:p>
  </w:footnote>
  <w:footnote w:id="10">
    <w:p w14:paraId="2094994B" w14:textId="41E248A2" w:rsidR="00E620AD" w:rsidRDefault="00E620AD" w:rsidP="00B323C8">
      <w:pPr>
        <w:pStyle w:val="FootnoteText"/>
      </w:pPr>
      <w:r>
        <w:rPr>
          <w:rStyle w:val="FootnoteReference"/>
        </w:rPr>
        <w:footnoteRef/>
      </w:r>
      <w:r>
        <w:t xml:space="preserve"> </w:t>
      </w:r>
      <w:r>
        <w:tab/>
        <w:t xml:space="preserve">Of course, a defendant who is competent to waive counsel does not necessarily do so </w:t>
      </w:r>
      <w:r w:rsidRPr="00CB46A6">
        <w:t>knowing</w:t>
      </w:r>
      <w:r>
        <w:t>ly</w:t>
      </w:r>
      <w:r w:rsidRPr="00CB46A6">
        <w:t>, voluntar</w:t>
      </w:r>
      <w:r>
        <w:t>ily</w:t>
      </w:r>
      <w:r w:rsidRPr="00CB46A6">
        <w:t>, and intelligent</w:t>
      </w:r>
      <w:r>
        <w:t xml:space="preserve">ly.  </w:t>
      </w:r>
      <w:r w:rsidRPr="00CB46A6">
        <w:t>(</w:t>
      </w:r>
      <w:r>
        <w:t>S</w:t>
      </w:r>
      <w:r w:rsidRPr="00CB46A6">
        <w:t>ee</w:t>
      </w:r>
      <w:r>
        <w:t xml:space="preserve">, e.g., </w:t>
      </w:r>
      <w:r w:rsidRPr="00CB46A6">
        <w:rPr>
          <w:i/>
          <w:iCs/>
        </w:rPr>
        <w:t>People v. Lynch</w:t>
      </w:r>
      <w:r w:rsidRPr="00CB46A6">
        <w:t xml:space="preserve"> (2010) 50 Cal.4th 693, 721</w:t>
      </w:r>
      <w:r>
        <w:t>.</w:t>
      </w:r>
      <w:r w:rsidRPr="00CB46A6">
        <w:t>)</w:t>
      </w:r>
      <w:r>
        <w:t xml:space="preserve">  That is a separate question from the competency question, as is the question whether the defendant has the </w:t>
      </w:r>
      <w:r w:rsidRPr="00CB46A6">
        <w:t xml:space="preserve">mental </w:t>
      </w:r>
      <w:r>
        <w:t xml:space="preserve">competence necessary </w:t>
      </w:r>
      <w:r w:rsidRPr="00CB46A6">
        <w:t>to self-represent</w:t>
      </w:r>
      <w:r>
        <w:t xml:space="preserve"> (see </w:t>
      </w:r>
      <w:r w:rsidRPr="00CB46A6">
        <w:rPr>
          <w:i/>
          <w:iCs/>
        </w:rPr>
        <w:t>People v. Johnson</w:t>
      </w:r>
      <w:r w:rsidRPr="00CB46A6">
        <w:t xml:space="preserve"> (2012) 53 Cal.4th 519, 530–531</w:t>
      </w:r>
      <w:r>
        <w:t>).</w:t>
      </w:r>
    </w:p>
  </w:footnote>
  <w:footnote w:id="11">
    <w:p w14:paraId="6D909197" w14:textId="77777777" w:rsidR="00E620AD" w:rsidRDefault="00E620AD" w:rsidP="00B323C8">
      <w:pPr>
        <w:pStyle w:val="FootnoteText"/>
      </w:pPr>
      <w:r>
        <w:rPr>
          <w:rStyle w:val="FootnoteReference"/>
        </w:rPr>
        <w:footnoteRef/>
      </w:r>
      <w:r>
        <w:t xml:space="preserve"> </w:t>
      </w:r>
      <w:r>
        <w:tab/>
        <w:t xml:space="preserve">The trial court’s focus was exclusively on defendant’s mental competence to represent himself (see </w:t>
      </w:r>
      <w:r w:rsidRPr="006B4683">
        <w:rPr>
          <w:i/>
          <w:iCs/>
        </w:rPr>
        <w:t>Edwards</w:t>
      </w:r>
      <w:r w:rsidRPr="006B4683">
        <w:t xml:space="preserve">, </w:t>
      </w:r>
      <w:r w:rsidRPr="006B4683">
        <w:rPr>
          <w:i/>
          <w:iCs/>
        </w:rPr>
        <w:t>supra</w:t>
      </w:r>
      <w:r>
        <w:t xml:space="preserve">, </w:t>
      </w:r>
      <w:r w:rsidRPr="00240BBE">
        <w:t>554 U.S. 164</w:t>
      </w:r>
      <w:r>
        <w:t xml:space="preserve">), and the court </w:t>
      </w:r>
      <w:r w:rsidRPr="003A2D9E">
        <w:rPr>
          <w:i/>
          <w:iCs/>
        </w:rPr>
        <w:t>did</w:t>
      </w:r>
      <w:r>
        <w:t xml:space="preserve"> ask defense counsel about that question.</w:t>
      </w:r>
    </w:p>
  </w:footnote>
  <w:footnote w:id="12">
    <w:p w14:paraId="2527C29F" w14:textId="43C6BBFC" w:rsidR="00E620AD" w:rsidRDefault="00E620AD" w:rsidP="00B323C8">
      <w:pPr>
        <w:pStyle w:val="FootnoteText"/>
      </w:pPr>
      <w:r>
        <w:rPr>
          <w:rStyle w:val="FootnoteReference"/>
        </w:rPr>
        <w:footnoteRef/>
      </w:r>
      <w:r>
        <w:t xml:space="preserve"> </w:t>
      </w:r>
      <w:r>
        <w:tab/>
        <w:t xml:space="preserve">It is true that Dr. Good’s finding of mental incompetence focused on </w:t>
      </w:r>
      <w:r w:rsidRPr="00D10643">
        <w:t>defendant</w:t>
      </w:r>
      <w:r>
        <w:t xml:space="preserve">’s inability </w:t>
      </w:r>
      <w:r w:rsidRPr="00D10643">
        <w:t>“</w:t>
      </w:r>
      <w:r w:rsidR="00960E5A">
        <w:t> ‘</w:t>
      </w:r>
      <w:r w:rsidRPr="00D10643">
        <w:t>to consult with his lawyer with a reasonable degree of rational understanding</w:t>
      </w:r>
      <w:r w:rsidR="00960E5A">
        <w:t>’ </w:t>
      </w:r>
      <w:r w:rsidRPr="00D10643">
        <w:t>”</w:t>
      </w:r>
      <w:r>
        <w:t xml:space="preserve"> </w:t>
      </w:r>
      <w:r w:rsidRPr="00D10643">
        <w:t>(</w:t>
      </w:r>
      <w:r w:rsidRPr="00D10643">
        <w:rPr>
          <w:i/>
          <w:iCs/>
        </w:rPr>
        <w:t>Dusky</w:t>
      </w:r>
      <w:r w:rsidRPr="00D10643">
        <w:t xml:space="preserve">, </w:t>
      </w:r>
      <w:r w:rsidRPr="00D10643">
        <w:rPr>
          <w:i/>
          <w:iCs/>
        </w:rPr>
        <w:t>supra</w:t>
      </w:r>
      <w:r w:rsidRPr="00D10643">
        <w:t xml:space="preserve">, 362 U.S. </w:t>
      </w:r>
      <w:r w:rsidR="00960E5A">
        <w:t xml:space="preserve">at p. </w:t>
      </w:r>
      <w:r w:rsidRPr="00D10643">
        <w:t>402)</w:t>
      </w:r>
      <w:r>
        <w:t xml:space="preserve">, but it does not follow from defendant’s dismissal of his attorneys that his competency was no longer in doubt.  That is so because Dr. Good made clear that defendant’s mental illness was what led to his decision to dismiss his attorneys.  If a defendant is mentally incompetent because of an inability </w:t>
      </w:r>
      <w:r w:rsidR="000B4B20">
        <w:t xml:space="preserve">to consult </w:t>
      </w:r>
      <w:r>
        <w:t>with counsel, the dismissal of counsel is not an appropriate remedy.</w:t>
      </w:r>
    </w:p>
  </w:footnote>
  <w:footnote w:id="13">
    <w:p w14:paraId="5A6AA81E" w14:textId="75DE4001" w:rsidR="00E620AD" w:rsidRDefault="00E620AD" w:rsidP="00B323C8">
      <w:pPr>
        <w:pStyle w:val="FootnoteText"/>
      </w:pPr>
      <w:r>
        <w:rPr>
          <w:rStyle w:val="FootnoteReference"/>
        </w:rPr>
        <w:footnoteRef/>
      </w:r>
      <w:r>
        <w:t xml:space="preserve"> </w:t>
      </w:r>
      <w:r>
        <w:tab/>
        <w:t xml:space="preserve">The Attorney General also relies on </w:t>
      </w:r>
      <w:r w:rsidRPr="00895317">
        <w:rPr>
          <w:i/>
        </w:rPr>
        <w:t>Sattiewhite</w:t>
      </w:r>
      <w:r>
        <w:t xml:space="preserve">, </w:t>
      </w:r>
      <w:r w:rsidRPr="00F61929">
        <w:rPr>
          <w:i/>
          <w:iCs/>
        </w:rPr>
        <w:t>supra</w:t>
      </w:r>
      <w:r>
        <w:t xml:space="preserve">, 59 Cal.4th 446, and </w:t>
      </w:r>
      <w:r w:rsidRPr="00EF0BB9">
        <w:rPr>
          <w:i/>
        </w:rPr>
        <w:t>People v. Weaver</w:t>
      </w:r>
      <w:r>
        <w:t xml:space="preserve"> (2001) 26 Cal.4th 876 (</w:t>
      </w:r>
      <w:r w:rsidRPr="005C3B61">
        <w:rPr>
          <w:i/>
          <w:iCs/>
        </w:rPr>
        <w:t>Weaver</w:t>
      </w:r>
      <w:r>
        <w:t xml:space="preserve">), in support of his argument that the evidence of defendant’s mental incompetence was not sufficiently substantial.  In </w:t>
      </w:r>
      <w:r w:rsidRPr="00895317">
        <w:rPr>
          <w:i/>
        </w:rPr>
        <w:t>Sattiewhite</w:t>
      </w:r>
      <w:r>
        <w:t xml:space="preserve">, the </w:t>
      </w:r>
      <w:r w:rsidR="00952D8A">
        <w:t>sole</w:t>
      </w:r>
      <w:r>
        <w:t xml:space="preserve"> evidence of the defendant’s mental incompetence was a psychologist’s penalty phase testimony that the defendant had brain damage and mental disabilities.  There was no evidence that these diagnoses affected the defendant’s ability to understand the nature of the proceedings or to consult rationally with counsel.  The circumstance presented in </w:t>
      </w:r>
      <w:r w:rsidRPr="00073CE4">
        <w:rPr>
          <w:i/>
        </w:rPr>
        <w:t>Sattiewhite</w:t>
      </w:r>
      <w:r>
        <w:t xml:space="preserve"> was thus completely unlike the circumstance presented here.  (See </w:t>
      </w:r>
      <w:r w:rsidRPr="00065C56">
        <w:rPr>
          <w:i/>
        </w:rPr>
        <w:t>People v. Mai</w:t>
      </w:r>
      <w:r>
        <w:t xml:space="preserve">, </w:t>
      </w:r>
      <w:r w:rsidRPr="009D6013">
        <w:rPr>
          <w:i/>
        </w:rPr>
        <w:t>supra</w:t>
      </w:r>
      <w:r>
        <w:t xml:space="preserve">, 57 Cal.4th at p. 1034 [expert opined as to defendant’s mental limitations but did not directly address competence to stand trial]; </w:t>
      </w:r>
      <w:r w:rsidRPr="00065C56">
        <w:rPr>
          <w:i/>
        </w:rPr>
        <w:t>People v. Lewis</w:t>
      </w:r>
      <w:r>
        <w:t xml:space="preserve">, </w:t>
      </w:r>
      <w:r w:rsidRPr="009D6013">
        <w:rPr>
          <w:i/>
        </w:rPr>
        <w:t>supra</w:t>
      </w:r>
      <w:r>
        <w:t xml:space="preserve">, 43 Cal.4th at pp. 524–526 [same]; </w:t>
      </w:r>
      <w:r w:rsidRPr="000E0AAA">
        <w:rPr>
          <w:i/>
        </w:rPr>
        <w:t>People v. Young</w:t>
      </w:r>
      <w:r>
        <w:t xml:space="preserve"> (2005) 34 Cal.4th 1149, 1217–1218 [same]; </w:t>
      </w:r>
      <w:r w:rsidRPr="00B02E33">
        <w:rPr>
          <w:i/>
        </w:rPr>
        <w:t>People v. Danielson</w:t>
      </w:r>
      <w:r>
        <w:t xml:space="preserve"> (1992) 3 Cal.4th 691, 723–727 [same].)</w:t>
      </w:r>
    </w:p>
    <w:p w14:paraId="48C071E5" w14:textId="076FAB9B" w:rsidR="00E620AD" w:rsidRDefault="00E620AD" w:rsidP="00B323C8">
      <w:pPr>
        <w:pStyle w:val="FootnoteText"/>
        <w:ind w:firstLine="720"/>
      </w:pPr>
      <w:r>
        <w:t xml:space="preserve">In </w:t>
      </w:r>
      <w:r w:rsidRPr="00234492">
        <w:rPr>
          <w:i/>
        </w:rPr>
        <w:t>Weaver</w:t>
      </w:r>
      <w:r>
        <w:t xml:space="preserve">, </w:t>
      </w:r>
      <w:r w:rsidRPr="005C3B61">
        <w:rPr>
          <w:i/>
          <w:iCs/>
        </w:rPr>
        <w:t>supra</w:t>
      </w:r>
      <w:r>
        <w:t xml:space="preserve">, 26 Cal.4th 876, the psychiatrist who testified that the defendant was mentally incompetent based his conclusion on the defendant’s in-court demeanor, not on a formal examination of the defendant.  The trial court in </w:t>
      </w:r>
      <w:r w:rsidRPr="00234492">
        <w:rPr>
          <w:i/>
        </w:rPr>
        <w:t>Weaver</w:t>
      </w:r>
      <w:r>
        <w:t xml:space="preserve"> said:  “</w:t>
      </w:r>
      <w:r w:rsidR="00A9665F">
        <w:t> ‘</w:t>
      </w:r>
      <w:r>
        <w:t>I just quite frankly don’t believe that a doctor can from the witness stand, when he is not examining a patient or not even observing a person except secondarily to his testimony, can render an opinion like that . . . .</w:t>
      </w:r>
      <w:r w:rsidR="00A9665F">
        <w:t>’ </w:t>
      </w:r>
      <w:r>
        <w:t>”  (</w:t>
      </w:r>
      <w:r w:rsidRPr="00880109">
        <w:rPr>
          <w:i/>
        </w:rPr>
        <w:t>Id</w:t>
      </w:r>
      <w:r>
        <w:t>. at p. 953.)  This court agreed.  (</w:t>
      </w:r>
      <w:r w:rsidRPr="00880109">
        <w:rPr>
          <w:i/>
        </w:rPr>
        <w:t>Ibid</w:t>
      </w:r>
      <w:r>
        <w:t xml:space="preserve">.)  Obviously, Dr. Good’s report, based on three formal examinations of defendant and appropriate psychological testing, is not comparable to the expert opinion that was before the trial court in </w:t>
      </w:r>
      <w:r w:rsidRPr="00880109">
        <w:rPr>
          <w:i/>
        </w:rPr>
        <w:t>Weaver</w:t>
      </w:r>
      <w:r>
        <w:t>.</w:t>
      </w:r>
    </w:p>
  </w:footnote>
  <w:footnote w:id="14">
    <w:p w14:paraId="46CA1613" w14:textId="77777777" w:rsidR="00E620AD" w:rsidRDefault="00E620AD" w:rsidP="00B323C8">
      <w:pPr>
        <w:pStyle w:val="FootnoteText"/>
      </w:pPr>
      <w:r>
        <w:rPr>
          <w:rStyle w:val="FootnoteReference"/>
        </w:rPr>
        <w:footnoteRef/>
      </w:r>
      <w:r>
        <w:t xml:space="preserve"> </w:t>
      </w:r>
      <w:r>
        <w:tab/>
      </w:r>
      <w:r w:rsidRPr="00D74E7C">
        <w:t xml:space="preserve">The Attorney General argues that this case is like </w:t>
      </w:r>
      <w:r w:rsidRPr="00D74E7C">
        <w:rPr>
          <w:i/>
          <w:iCs/>
        </w:rPr>
        <w:t>People v. Taylor</w:t>
      </w:r>
      <w:r w:rsidRPr="00D74E7C">
        <w:t xml:space="preserve"> (2009) 47 Cal.4th 850, in which we concluded that the trial court did not err in finding the defendant competent to waive his right to counsel.  (See </w:t>
      </w:r>
      <w:r w:rsidRPr="00D74E7C">
        <w:rPr>
          <w:i/>
          <w:iCs/>
        </w:rPr>
        <w:t>id</w:t>
      </w:r>
      <w:r w:rsidRPr="00D74E7C">
        <w:t xml:space="preserve">. at pp. 878–879.)  </w:t>
      </w:r>
      <w:r w:rsidRPr="00D74E7C">
        <w:rPr>
          <w:i/>
          <w:iCs/>
        </w:rPr>
        <w:t>Taylor</w:t>
      </w:r>
      <w:r w:rsidRPr="00D74E7C">
        <w:t xml:space="preserve">, however, is easily distinguished </w:t>
      </w:r>
      <w:r>
        <w:t xml:space="preserve">given the substantial evidence of defendant’s mental illness before us in the present case.  In </w:t>
      </w:r>
      <w:r w:rsidRPr="00E36E9A">
        <w:rPr>
          <w:i/>
          <w:iCs/>
        </w:rPr>
        <w:t>Taylor</w:t>
      </w:r>
      <w:r>
        <w:t>, w</w:t>
      </w:r>
      <w:r w:rsidRPr="00D74E7C">
        <w:t xml:space="preserve">e </w:t>
      </w:r>
      <w:r>
        <w:t>sai</w:t>
      </w:r>
      <w:r w:rsidRPr="00D74E7C">
        <w:t>d:  “There was no evidence before the trial court of psychosis or any severe thought disorder, and neither expert opined that defendant would be unable to assist counsel because of a mental illness.  Defendant clearly had a history of conflict with his attorneys, but the court could reasonably conclude, without contradiction from either psychologist’s report, that such conflicts were attributable to difficult aspects of defendant’s personality rather than to a diagnosed mental illness.”  (</w:t>
      </w:r>
      <w:r w:rsidRPr="00D74E7C">
        <w:rPr>
          <w:i/>
          <w:iCs/>
        </w:rPr>
        <w:t>Id</w:t>
      </w:r>
      <w:r w:rsidRPr="00D74E7C">
        <w:t xml:space="preserve">. at pp. 863–864; see </w:t>
      </w:r>
      <w:r w:rsidRPr="00D74E7C">
        <w:rPr>
          <w:i/>
          <w:iCs/>
        </w:rPr>
        <w:t>id</w:t>
      </w:r>
      <w:r w:rsidRPr="00D74E7C">
        <w:t>. at pp. 860–861.)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05133" w14:textId="1D9CE417" w:rsidR="00B323C8" w:rsidRDefault="00B323C8">
    <w:pPr>
      <w:pStyle w:val="Header"/>
    </w:pPr>
    <w:r>
      <w:t>PEOPLE v. WYCOFF</w:t>
    </w:r>
  </w:p>
  <w:p w14:paraId="5C307E87" w14:textId="128887A7" w:rsidR="00B323C8" w:rsidRDefault="00B323C8">
    <w:pPr>
      <w:pStyle w:val="Header"/>
    </w:pPr>
    <w:r>
      <w:t>Opinion of the Court by Jenkins, J.</w:t>
    </w:r>
  </w:p>
  <w:p w14:paraId="1AC8D03C" w14:textId="77777777" w:rsidR="00B323C8" w:rsidRDefault="00B323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94ECA" w14:textId="77777777" w:rsidR="00DA6A6F" w:rsidRDefault="00A134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4C164" w14:textId="77777777" w:rsidR="00DA6A6F" w:rsidRDefault="00A134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35155" w14:textId="77777777" w:rsidR="00DA6A6F" w:rsidRDefault="00A134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9B41A4"/>
    <w:multiLevelType w:val="hybridMultilevel"/>
    <w:tmpl w:val="E2DA8B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91166DC"/>
    <w:multiLevelType w:val="hybridMultilevel"/>
    <w:tmpl w:val="B4A24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removePersonalInformation/>
  <w:removeDateAndTime/>
  <w:printFractionalCharacterWidth/>
  <w:activeWritingStyle w:appName="MSWord" w:lang="en-US" w:vendorID="64" w:dllVersion="5" w:nlCheck="1" w:checkStyle="1"/>
  <w:activeWritingStyle w:appName="MSWord" w:lang="en-US" w:vendorID="64" w:dllVersion="0" w:nlCheck="1" w:checkStyle="0"/>
  <w:proofState w:spelling="clean" w:grammar="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ACD"/>
    <w:rsid w:val="00000021"/>
    <w:rsid w:val="00000106"/>
    <w:rsid w:val="0000047F"/>
    <w:rsid w:val="000006DF"/>
    <w:rsid w:val="0000094A"/>
    <w:rsid w:val="000012F2"/>
    <w:rsid w:val="00005325"/>
    <w:rsid w:val="00005D7D"/>
    <w:rsid w:val="000060AA"/>
    <w:rsid w:val="00006867"/>
    <w:rsid w:val="000068E5"/>
    <w:rsid w:val="00006CEB"/>
    <w:rsid w:val="0000728C"/>
    <w:rsid w:val="000075BF"/>
    <w:rsid w:val="00014CDA"/>
    <w:rsid w:val="00014F7E"/>
    <w:rsid w:val="0001516E"/>
    <w:rsid w:val="0001589B"/>
    <w:rsid w:val="00015A0C"/>
    <w:rsid w:val="00015A57"/>
    <w:rsid w:val="000164F0"/>
    <w:rsid w:val="00016D93"/>
    <w:rsid w:val="0001702E"/>
    <w:rsid w:val="00017597"/>
    <w:rsid w:val="000179B5"/>
    <w:rsid w:val="00020056"/>
    <w:rsid w:val="0002085F"/>
    <w:rsid w:val="00021114"/>
    <w:rsid w:val="000211E1"/>
    <w:rsid w:val="00021382"/>
    <w:rsid w:val="00021389"/>
    <w:rsid w:val="00022508"/>
    <w:rsid w:val="00022B9B"/>
    <w:rsid w:val="000242C2"/>
    <w:rsid w:val="000246D1"/>
    <w:rsid w:val="00025E20"/>
    <w:rsid w:val="000269AE"/>
    <w:rsid w:val="00026A8A"/>
    <w:rsid w:val="000305B5"/>
    <w:rsid w:val="00030F18"/>
    <w:rsid w:val="00032541"/>
    <w:rsid w:val="00032923"/>
    <w:rsid w:val="00032DC2"/>
    <w:rsid w:val="00033955"/>
    <w:rsid w:val="000345AA"/>
    <w:rsid w:val="00034EF0"/>
    <w:rsid w:val="00035220"/>
    <w:rsid w:val="000354DD"/>
    <w:rsid w:val="000355C2"/>
    <w:rsid w:val="000356DA"/>
    <w:rsid w:val="00035E9F"/>
    <w:rsid w:val="0003618E"/>
    <w:rsid w:val="0003674D"/>
    <w:rsid w:val="000373C9"/>
    <w:rsid w:val="00037D5E"/>
    <w:rsid w:val="000403FA"/>
    <w:rsid w:val="00040488"/>
    <w:rsid w:val="000407F8"/>
    <w:rsid w:val="0004189A"/>
    <w:rsid w:val="00041E6C"/>
    <w:rsid w:val="00042108"/>
    <w:rsid w:val="00042530"/>
    <w:rsid w:val="00042766"/>
    <w:rsid w:val="00042A6F"/>
    <w:rsid w:val="000434D8"/>
    <w:rsid w:val="00044137"/>
    <w:rsid w:val="00044F18"/>
    <w:rsid w:val="000453DB"/>
    <w:rsid w:val="00046924"/>
    <w:rsid w:val="00046FB6"/>
    <w:rsid w:val="000500E5"/>
    <w:rsid w:val="00050A59"/>
    <w:rsid w:val="00051B97"/>
    <w:rsid w:val="00052DF8"/>
    <w:rsid w:val="00052F7D"/>
    <w:rsid w:val="00053056"/>
    <w:rsid w:val="00053450"/>
    <w:rsid w:val="000537FF"/>
    <w:rsid w:val="000539CE"/>
    <w:rsid w:val="0005419D"/>
    <w:rsid w:val="00054C37"/>
    <w:rsid w:val="00055644"/>
    <w:rsid w:val="00056029"/>
    <w:rsid w:val="000568E0"/>
    <w:rsid w:val="000575BC"/>
    <w:rsid w:val="00060569"/>
    <w:rsid w:val="00060A4A"/>
    <w:rsid w:val="00061474"/>
    <w:rsid w:val="0006147E"/>
    <w:rsid w:val="00061575"/>
    <w:rsid w:val="00061E54"/>
    <w:rsid w:val="00062111"/>
    <w:rsid w:val="0006269A"/>
    <w:rsid w:val="00063198"/>
    <w:rsid w:val="00063BC6"/>
    <w:rsid w:val="0006413E"/>
    <w:rsid w:val="00064390"/>
    <w:rsid w:val="0006463D"/>
    <w:rsid w:val="000655B6"/>
    <w:rsid w:val="00065BD4"/>
    <w:rsid w:val="00065C56"/>
    <w:rsid w:val="00066616"/>
    <w:rsid w:val="000668A2"/>
    <w:rsid w:val="00066986"/>
    <w:rsid w:val="00067F47"/>
    <w:rsid w:val="00070432"/>
    <w:rsid w:val="0007133B"/>
    <w:rsid w:val="000713E7"/>
    <w:rsid w:val="000715DA"/>
    <w:rsid w:val="00071843"/>
    <w:rsid w:val="00071B20"/>
    <w:rsid w:val="00071B35"/>
    <w:rsid w:val="0007270D"/>
    <w:rsid w:val="00072FD6"/>
    <w:rsid w:val="000738FF"/>
    <w:rsid w:val="00073CE4"/>
    <w:rsid w:val="0007429F"/>
    <w:rsid w:val="00074FEA"/>
    <w:rsid w:val="000752DF"/>
    <w:rsid w:val="000759FC"/>
    <w:rsid w:val="00075FFF"/>
    <w:rsid w:val="000775B8"/>
    <w:rsid w:val="00077E14"/>
    <w:rsid w:val="00080F8B"/>
    <w:rsid w:val="00080FD8"/>
    <w:rsid w:val="000816FB"/>
    <w:rsid w:val="00082007"/>
    <w:rsid w:val="000822E9"/>
    <w:rsid w:val="000827E0"/>
    <w:rsid w:val="000828CA"/>
    <w:rsid w:val="00083041"/>
    <w:rsid w:val="00083B54"/>
    <w:rsid w:val="0008419C"/>
    <w:rsid w:val="00084623"/>
    <w:rsid w:val="000847C5"/>
    <w:rsid w:val="00084C35"/>
    <w:rsid w:val="0008575B"/>
    <w:rsid w:val="0008575F"/>
    <w:rsid w:val="00085C1A"/>
    <w:rsid w:val="00085D49"/>
    <w:rsid w:val="0008672B"/>
    <w:rsid w:val="00090440"/>
    <w:rsid w:val="00091E6C"/>
    <w:rsid w:val="00092AD6"/>
    <w:rsid w:val="00092EC4"/>
    <w:rsid w:val="0009390A"/>
    <w:rsid w:val="00093A68"/>
    <w:rsid w:val="00094E4C"/>
    <w:rsid w:val="00095C43"/>
    <w:rsid w:val="000964CF"/>
    <w:rsid w:val="000966E7"/>
    <w:rsid w:val="00096C32"/>
    <w:rsid w:val="000A0021"/>
    <w:rsid w:val="000A03A7"/>
    <w:rsid w:val="000A04E6"/>
    <w:rsid w:val="000A1684"/>
    <w:rsid w:val="000A23A1"/>
    <w:rsid w:val="000A279F"/>
    <w:rsid w:val="000A38B1"/>
    <w:rsid w:val="000A3F26"/>
    <w:rsid w:val="000A4707"/>
    <w:rsid w:val="000A53BB"/>
    <w:rsid w:val="000A5E93"/>
    <w:rsid w:val="000A60F5"/>
    <w:rsid w:val="000A61E4"/>
    <w:rsid w:val="000A6F93"/>
    <w:rsid w:val="000A742B"/>
    <w:rsid w:val="000A747B"/>
    <w:rsid w:val="000A7886"/>
    <w:rsid w:val="000A7B0C"/>
    <w:rsid w:val="000A7CF6"/>
    <w:rsid w:val="000B1598"/>
    <w:rsid w:val="000B2BD8"/>
    <w:rsid w:val="000B2DC4"/>
    <w:rsid w:val="000B2F9D"/>
    <w:rsid w:val="000B38F9"/>
    <w:rsid w:val="000B3B92"/>
    <w:rsid w:val="000B3F9D"/>
    <w:rsid w:val="000B4A76"/>
    <w:rsid w:val="000B4B20"/>
    <w:rsid w:val="000B4D5D"/>
    <w:rsid w:val="000B5007"/>
    <w:rsid w:val="000B5D99"/>
    <w:rsid w:val="000B698A"/>
    <w:rsid w:val="000B79E6"/>
    <w:rsid w:val="000B7E41"/>
    <w:rsid w:val="000C023E"/>
    <w:rsid w:val="000C044E"/>
    <w:rsid w:val="000C0847"/>
    <w:rsid w:val="000C0FCF"/>
    <w:rsid w:val="000C1231"/>
    <w:rsid w:val="000C1982"/>
    <w:rsid w:val="000C1C38"/>
    <w:rsid w:val="000C2544"/>
    <w:rsid w:val="000C2AB6"/>
    <w:rsid w:val="000C4459"/>
    <w:rsid w:val="000C4672"/>
    <w:rsid w:val="000C46E5"/>
    <w:rsid w:val="000C4875"/>
    <w:rsid w:val="000C4B62"/>
    <w:rsid w:val="000C542C"/>
    <w:rsid w:val="000C5BBA"/>
    <w:rsid w:val="000C6572"/>
    <w:rsid w:val="000C6E95"/>
    <w:rsid w:val="000C736B"/>
    <w:rsid w:val="000C7AF7"/>
    <w:rsid w:val="000D00FA"/>
    <w:rsid w:val="000D0D4D"/>
    <w:rsid w:val="000D1138"/>
    <w:rsid w:val="000D12BF"/>
    <w:rsid w:val="000D1342"/>
    <w:rsid w:val="000D155F"/>
    <w:rsid w:val="000D15D6"/>
    <w:rsid w:val="000D192C"/>
    <w:rsid w:val="000D1D19"/>
    <w:rsid w:val="000D246F"/>
    <w:rsid w:val="000D2CF9"/>
    <w:rsid w:val="000D308C"/>
    <w:rsid w:val="000D318C"/>
    <w:rsid w:val="000D3714"/>
    <w:rsid w:val="000D3A43"/>
    <w:rsid w:val="000D3B4A"/>
    <w:rsid w:val="000D3DB3"/>
    <w:rsid w:val="000D5BB6"/>
    <w:rsid w:val="000D5E99"/>
    <w:rsid w:val="000D5EB5"/>
    <w:rsid w:val="000D7233"/>
    <w:rsid w:val="000D7281"/>
    <w:rsid w:val="000D76A8"/>
    <w:rsid w:val="000D789E"/>
    <w:rsid w:val="000D7E6A"/>
    <w:rsid w:val="000D7EAD"/>
    <w:rsid w:val="000D7F4B"/>
    <w:rsid w:val="000E0814"/>
    <w:rsid w:val="000E0AAA"/>
    <w:rsid w:val="000E0EC2"/>
    <w:rsid w:val="000E155E"/>
    <w:rsid w:val="000E21F9"/>
    <w:rsid w:val="000E2947"/>
    <w:rsid w:val="000E2D63"/>
    <w:rsid w:val="000E2D8C"/>
    <w:rsid w:val="000E38EA"/>
    <w:rsid w:val="000E3F30"/>
    <w:rsid w:val="000E432F"/>
    <w:rsid w:val="000E43EB"/>
    <w:rsid w:val="000E4F12"/>
    <w:rsid w:val="000E4FBE"/>
    <w:rsid w:val="000E529F"/>
    <w:rsid w:val="000E5AEB"/>
    <w:rsid w:val="000E62F6"/>
    <w:rsid w:val="000E646B"/>
    <w:rsid w:val="000E6554"/>
    <w:rsid w:val="000E6706"/>
    <w:rsid w:val="000E6BA0"/>
    <w:rsid w:val="000E6DFF"/>
    <w:rsid w:val="000E7C34"/>
    <w:rsid w:val="000F023C"/>
    <w:rsid w:val="000F0BE9"/>
    <w:rsid w:val="000F0EE7"/>
    <w:rsid w:val="000F1174"/>
    <w:rsid w:val="000F1A2E"/>
    <w:rsid w:val="000F2A4F"/>
    <w:rsid w:val="000F3386"/>
    <w:rsid w:val="000F3EA2"/>
    <w:rsid w:val="000F3EF5"/>
    <w:rsid w:val="000F4743"/>
    <w:rsid w:val="000F4953"/>
    <w:rsid w:val="000F4E17"/>
    <w:rsid w:val="000F50AD"/>
    <w:rsid w:val="000F5CA7"/>
    <w:rsid w:val="000F65D1"/>
    <w:rsid w:val="000F6752"/>
    <w:rsid w:val="000F67EB"/>
    <w:rsid w:val="000F6D2F"/>
    <w:rsid w:val="000F7091"/>
    <w:rsid w:val="000F71DC"/>
    <w:rsid w:val="00100054"/>
    <w:rsid w:val="00100242"/>
    <w:rsid w:val="001007FA"/>
    <w:rsid w:val="0010093F"/>
    <w:rsid w:val="00101FD3"/>
    <w:rsid w:val="00102A55"/>
    <w:rsid w:val="00102B19"/>
    <w:rsid w:val="001030B8"/>
    <w:rsid w:val="001041D9"/>
    <w:rsid w:val="00104BFA"/>
    <w:rsid w:val="001053A8"/>
    <w:rsid w:val="00105940"/>
    <w:rsid w:val="001062E9"/>
    <w:rsid w:val="0010662B"/>
    <w:rsid w:val="00106BF3"/>
    <w:rsid w:val="00106C5E"/>
    <w:rsid w:val="001077E5"/>
    <w:rsid w:val="001078E6"/>
    <w:rsid w:val="00107BDF"/>
    <w:rsid w:val="00110520"/>
    <w:rsid w:val="00110CF6"/>
    <w:rsid w:val="00110D1E"/>
    <w:rsid w:val="001119D8"/>
    <w:rsid w:val="00111EBE"/>
    <w:rsid w:val="00112A56"/>
    <w:rsid w:val="00112BB7"/>
    <w:rsid w:val="001135C9"/>
    <w:rsid w:val="0011393C"/>
    <w:rsid w:val="00113E03"/>
    <w:rsid w:val="00113E05"/>
    <w:rsid w:val="00113E38"/>
    <w:rsid w:val="00113E8E"/>
    <w:rsid w:val="001140E4"/>
    <w:rsid w:val="00114D43"/>
    <w:rsid w:val="00115C39"/>
    <w:rsid w:val="001170E5"/>
    <w:rsid w:val="00117314"/>
    <w:rsid w:val="00117A15"/>
    <w:rsid w:val="001203AB"/>
    <w:rsid w:val="0012223F"/>
    <w:rsid w:val="001222C6"/>
    <w:rsid w:val="001223FA"/>
    <w:rsid w:val="00122F8A"/>
    <w:rsid w:val="001231D3"/>
    <w:rsid w:val="001237F6"/>
    <w:rsid w:val="00123D97"/>
    <w:rsid w:val="00124151"/>
    <w:rsid w:val="0012447B"/>
    <w:rsid w:val="00124E08"/>
    <w:rsid w:val="00124EFE"/>
    <w:rsid w:val="0012504B"/>
    <w:rsid w:val="00125135"/>
    <w:rsid w:val="001251B4"/>
    <w:rsid w:val="00125363"/>
    <w:rsid w:val="00125CBD"/>
    <w:rsid w:val="00125E1C"/>
    <w:rsid w:val="00125F13"/>
    <w:rsid w:val="0012637B"/>
    <w:rsid w:val="001264F4"/>
    <w:rsid w:val="00126565"/>
    <w:rsid w:val="001271DE"/>
    <w:rsid w:val="0012755C"/>
    <w:rsid w:val="00127849"/>
    <w:rsid w:val="001279BC"/>
    <w:rsid w:val="001308E6"/>
    <w:rsid w:val="00130973"/>
    <w:rsid w:val="00130AD7"/>
    <w:rsid w:val="00130E13"/>
    <w:rsid w:val="001310B3"/>
    <w:rsid w:val="0013139B"/>
    <w:rsid w:val="00132F33"/>
    <w:rsid w:val="001331BC"/>
    <w:rsid w:val="001333FC"/>
    <w:rsid w:val="00133B08"/>
    <w:rsid w:val="00134D9A"/>
    <w:rsid w:val="00135AC6"/>
    <w:rsid w:val="0013635A"/>
    <w:rsid w:val="00137D9C"/>
    <w:rsid w:val="00137FAA"/>
    <w:rsid w:val="00140B13"/>
    <w:rsid w:val="00140B64"/>
    <w:rsid w:val="00140DFD"/>
    <w:rsid w:val="00140F19"/>
    <w:rsid w:val="00141DBD"/>
    <w:rsid w:val="00142D56"/>
    <w:rsid w:val="00142EFF"/>
    <w:rsid w:val="0014360F"/>
    <w:rsid w:val="00143620"/>
    <w:rsid w:val="001440FF"/>
    <w:rsid w:val="001441FA"/>
    <w:rsid w:val="001459AC"/>
    <w:rsid w:val="001459CA"/>
    <w:rsid w:val="00147433"/>
    <w:rsid w:val="00147B50"/>
    <w:rsid w:val="00151138"/>
    <w:rsid w:val="0015137E"/>
    <w:rsid w:val="00151AE9"/>
    <w:rsid w:val="00152372"/>
    <w:rsid w:val="00152547"/>
    <w:rsid w:val="001528BB"/>
    <w:rsid w:val="00153103"/>
    <w:rsid w:val="001542B4"/>
    <w:rsid w:val="001544CB"/>
    <w:rsid w:val="001555E4"/>
    <w:rsid w:val="00155DAF"/>
    <w:rsid w:val="001567CD"/>
    <w:rsid w:val="00156849"/>
    <w:rsid w:val="0016097C"/>
    <w:rsid w:val="00160C87"/>
    <w:rsid w:val="00160CF8"/>
    <w:rsid w:val="00160EA6"/>
    <w:rsid w:val="00160EC3"/>
    <w:rsid w:val="00160FA6"/>
    <w:rsid w:val="0016113F"/>
    <w:rsid w:val="00161458"/>
    <w:rsid w:val="0016192B"/>
    <w:rsid w:val="00161BB0"/>
    <w:rsid w:val="001620E4"/>
    <w:rsid w:val="001636F6"/>
    <w:rsid w:val="00163760"/>
    <w:rsid w:val="00163BE6"/>
    <w:rsid w:val="00163D2E"/>
    <w:rsid w:val="00165BD6"/>
    <w:rsid w:val="00165CD7"/>
    <w:rsid w:val="00165DB8"/>
    <w:rsid w:val="0016636F"/>
    <w:rsid w:val="001665EF"/>
    <w:rsid w:val="00167D07"/>
    <w:rsid w:val="00171D71"/>
    <w:rsid w:val="0017273B"/>
    <w:rsid w:val="00172D29"/>
    <w:rsid w:val="00174143"/>
    <w:rsid w:val="00174A24"/>
    <w:rsid w:val="00174F93"/>
    <w:rsid w:val="00175D3A"/>
    <w:rsid w:val="00175D7C"/>
    <w:rsid w:val="00176F38"/>
    <w:rsid w:val="0017704E"/>
    <w:rsid w:val="00177128"/>
    <w:rsid w:val="001771E6"/>
    <w:rsid w:val="001773B6"/>
    <w:rsid w:val="00180976"/>
    <w:rsid w:val="00180CA8"/>
    <w:rsid w:val="00180E40"/>
    <w:rsid w:val="001822C7"/>
    <w:rsid w:val="00182F67"/>
    <w:rsid w:val="0018331D"/>
    <w:rsid w:val="00183365"/>
    <w:rsid w:val="001837B0"/>
    <w:rsid w:val="00183A80"/>
    <w:rsid w:val="00183B66"/>
    <w:rsid w:val="0018433D"/>
    <w:rsid w:val="00184528"/>
    <w:rsid w:val="001852C1"/>
    <w:rsid w:val="00186206"/>
    <w:rsid w:val="0018626F"/>
    <w:rsid w:val="00186332"/>
    <w:rsid w:val="0018686D"/>
    <w:rsid w:val="001868CF"/>
    <w:rsid w:val="00186926"/>
    <w:rsid w:val="0018707B"/>
    <w:rsid w:val="00187375"/>
    <w:rsid w:val="001877FE"/>
    <w:rsid w:val="001904D6"/>
    <w:rsid w:val="00190F28"/>
    <w:rsid w:val="00191E87"/>
    <w:rsid w:val="001928E5"/>
    <w:rsid w:val="00192C97"/>
    <w:rsid w:val="001935B6"/>
    <w:rsid w:val="00193659"/>
    <w:rsid w:val="00193BCE"/>
    <w:rsid w:val="00194245"/>
    <w:rsid w:val="0019583B"/>
    <w:rsid w:val="001961ED"/>
    <w:rsid w:val="001969C5"/>
    <w:rsid w:val="00196CB1"/>
    <w:rsid w:val="001973DE"/>
    <w:rsid w:val="00197531"/>
    <w:rsid w:val="00197BC2"/>
    <w:rsid w:val="001A018C"/>
    <w:rsid w:val="001A0877"/>
    <w:rsid w:val="001A0E26"/>
    <w:rsid w:val="001A149F"/>
    <w:rsid w:val="001A1830"/>
    <w:rsid w:val="001A1E7F"/>
    <w:rsid w:val="001A223C"/>
    <w:rsid w:val="001A22BF"/>
    <w:rsid w:val="001A23DC"/>
    <w:rsid w:val="001A2D8D"/>
    <w:rsid w:val="001A2E84"/>
    <w:rsid w:val="001A4B81"/>
    <w:rsid w:val="001A4D9A"/>
    <w:rsid w:val="001A7439"/>
    <w:rsid w:val="001A7518"/>
    <w:rsid w:val="001A7E57"/>
    <w:rsid w:val="001B033B"/>
    <w:rsid w:val="001B0703"/>
    <w:rsid w:val="001B15E2"/>
    <w:rsid w:val="001B32B4"/>
    <w:rsid w:val="001B3694"/>
    <w:rsid w:val="001B38F7"/>
    <w:rsid w:val="001B48E6"/>
    <w:rsid w:val="001B4A95"/>
    <w:rsid w:val="001B5513"/>
    <w:rsid w:val="001B56C8"/>
    <w:rsid w:val="001B65ED"/>
    <w:rsid w:val="001B6B5B"/>
    <w:rsid w:val="001B6CA4"/>
    <w:rsid w:val="001B7113"/>
    <w:rsid w:val="001C1031"/>
    <w:rsid w:val="001C2881"/>
    <w:rsid w:val="001C3270"/>
    <w:rsid w:val="001C3FFA"/>
    <w:rsid w:val="001C4489"/>
    <w:rsid w:val="001C4A0C"/>
    <w:rsid w:val="001C5EC4"/>
    <w:rsid w:val="001C6009"/>
    <w:rsid w:val="001C6447"/>
    <w:rsid w:val="001C6F37"/>
    <w:rsid w:val="001C7799"/>
    <w:rsid w:val="001D0508"/>
    <w:rsid w:val="001D0992"/>
    <w:rsid w:val="001D13E1"/>
    <w:rsid w:val="001D1A3A"/>
    <w:rsid w:val="001D2458"/>
    <w:rsid w:val="001D260D"/>
    <w:rsid w:val="001D32C6"/>
    <w:rsid w:val="001D3C1E"/>
    <w:rsid w:val="001D3E9B"/>
    <w:rsid w:val="001D4BA0"/>
    <w:rsid w:val="001D5323"/>
    <w:rsid w:val="001D544A"/>
    <w:rsid w:val="001D5A4D"/>
    <w:rsid w:val="001D65AD"/>
    <w:rsid w:val="001D6A83"/>
    <w:rsid w:val="001D6D8B"/>
    <w:rsid w:val="001D74BE"/>
    <w:rsid w:val="001D76CF"/>
    <w:rsid w:val="001E00DE"/>
    <w:rsid w:val="001E0D4D"/>
    <w:rsid w:val="001E0FC1"/>
    <w:rsid w:val="001E1441"/>
    <w:rsid w:val="001E154D"/>
    <w:rsid w:val="001E1B3D"/>
    <w:rsid w:val="001E262D"/>
    <w:rsid w:val="001E2D30"/>
    <w:rsid w:val="001E345B"/>
    <w:rsid w:val="001E37F1"/>
    <w:rsid w:val="001E39C1"/>
    <w:rsid w:val="001E3BB6"/>
    <w:rsid w:val="001E46CD"/>
    <w:rsid w:val="001E4DEE"/>
    <w:rsid w:val="001E4F82"/>
    <w:rsid w:val="001E5168"/>
    <w:rsid w:val="001E544A"/>
    <w:rsid w:val="001E576C"/>
    <w:rsid w:val="001E5E69"/>
    <w:rsid w:val="001E5F51"/>
    <w:rsid w:val="001E6BB2"/>
    <w:rsid w:val="001E7AE4"/>
    <w:rsid w:val="001E7C33"/>
    <w:rsid w:val="001E7F8D"/>
    <w:rsid w:val="001F0050"/>
    <w:rsid w:val="001F0106"/>
    <w:rsid w:val="001F0E45"/>
    <w:rsid w:val="001F134B"/>
    <w:rsid w:val="001F19D7"/>
    <w:rsid w:val="001F25E2"/>
    <w:rsid w:val="001F2C3A"/>
    <w:rsid w:val="001F2E5C"/>
    <w:rsid w:val="001F3ABE"/>
    <w:rsid w:val="001F3DAB"/>
    <w:rsid w:val="001F439B"/>
    <w:rsid w:val="001F47E2"/>
    <w:rsid w:val="001F4833"/>
    <w:rsid w:val="001F5496"/>
    <w:rsid w:val="001F61FD"/>
    <w:rsid w:val="001F7277"/>
    <w:rsid w:val="001F77DF"/>
    <w:rsid w:val="001F7D59"/>
    <w:rsid w:val="00200035"/>
    <w:rsid w:val="0020011D"/>
    <w:rsid w:val="00200C8C"/>
    <w:rsid w:val="0020110D"/>
    <w:rsid w:val="002014BD"/>
    <w:rsid w:val="00202504"/>
    <w:rsid w:val="002039D3"/>
    <w:rsid w:val="00203DE8"/>
    <w:rsid w:val="00204196"/>
    <w:rsid w:val="00204261"/>
    <w:rsid w:val="00204302"/>
    <w:rsid w:val="00204841"/>
    <w:rsid w:val="00204BF5"/>
    <w:rsid w:val="00204C59"/>
    <w:rsid w:val="00204DF3"/>
    <w:rsid w:val="00205060"/>
    <w:rsid w:val="00205759"/>
    <w:rsid w:val="00207497"/>
    <w:rsid w:val="002077C0"/>
    <w:rsid w:val="00210EA1"/>
    <w:rsid w:val="00210F44"/>
    <w:rsid w:val="00211A85"/>
    <w:rsid w:val="00211C35"/>
    <w:rsid w:val="00211CFD"/>
    <w:rsid w:val="00211DEF"/>
    <w:rsid w:val="00212679"/>
    <w:rsid w:val="00212849"/>
    <w:rsid w:val="00212AEC"/>
    <w:rsid w:val="00212C70"/>
    <w:rsid w:val="0021357E"/>
    <w:rsid w:val="00213983"/>
    <w:rsid w:val="00213C74"/>
    <w:rsid w:val="00213D3C"/>
    <w:rsid w:val="002145C2"/>
    <w:rsid w:val="0021476C"/>
    <w:rsid w:val="0021526C"/>
    <w:rsid w:val="00216EF2"/>
    <w:rsid w:val="002176CF"/>
    <w:rsid w:val="002203E4"/>
    <w:rsid w:val="00220F2C"/>
    <w:rsid w:val="00221749"/>
    <w:rsid w:val="002219C8"/>
    <w:rsid w:val="00221F1E"/>
    <w:rsid w:val="00222573"/>
    <w:rsid w:val="002227E9"/>
    <w:rsid w:val="0022287B"/>
    <w:rsid w:val="002228B6"/>
    <w:rsid w:val="0022359D"/>
    <w:rsid w:val="0022382B"/>
    <w:rsid w:val="00224544"/>
    <w:rsid w:val="00225D4D"/>
    <w:rsid w:val="00226630"/>
    <w:rsid w:val="00227679"/>
    <w:rsid w:val="00227C65"/>
    <w:rsid w:val="002323B3"/>
    <w:rsid w:val="00232E39"/>
    <w:rsid w:val="00233190"/>
    <w:rsid w:val="00233A86"/>
    <w:rsid w:val="00233D92"/>
    <w:rsid w:val="00233D9A"/>
    <w:rsid w:val="00234452"/>
    <w:rsid w:val="00234492"/>
    <w:rsid w:val="00234821"/>
    <w:rsid w:val="002348DC"/>
    <w:rsid w:val="00235782"/>
    <w:rsid w:val="002376A8"/>
    <w:rsid w:val="00237FD7"/>
    <w:rsid w:val="0024000B"/>
    <w:rsid w:val="00240955"/>
    <w:rsid w:val="00240BBE"/>
    <w:rsid w:val="00240CE4"/>
    <w:rsid w:val="002411CC"/>
    <w:rsid w:val="0024189A"/>
    <w:rsid w:val="002437FA"/>
    <w:rsid w:val="00244378"/>
    <w:rsid w:val="002454CD"/>
    <w:rsid w:val="002456AD"/>
    <w:rsid w:val="0024595D"/>
    <w:rsid w:val="00245C11"/>
    <w:rsid w:val="00245D67"/>
    <w:rsid w:val="00247038"/>
    <w:rsid w:val="002476F4"/>
    <w:rsid w:val="00247A29"/>
    <w:rsid w:val="00247B40"/>
    <w:rsid w:val="00247F88"/>
    <w:rsid w:val="002501C4"/>
    <w:rsid w:val="00250742"/>
    <w:rsid w:val="002515AE"/>
    <w:rsid w:val="00251A0E"/>
    <w:rsid w:val="00252B80"/>
    <w:rsid w:val="00253822"/>
    <w:rsid w:val="00253851"/>
    <w:rsid w:val="002538FC"/>
    <w:rsid w:val="00253D16"/>
    <w:rsid w:val="002542AB"/>
    <w:rsid w:val="002547F4"/>
    <w:rsid w:val="002548A0"/>
    <w:rsid w:val="00254939"/>
    <w:rsid w:val="00254E7E"/>
    <w:rsid w:val="00255229"/>
    <w:rsid w:val="00255536"/>
    <w:rsid w:val="0025556D"/>
    <w:rsid w:val="00256574"/>
    <w:rsid w:val="00256A7D"/>
    <w:rsid w:val="00256FD5"/>
    <w:rsid w:val="0025731C"/>
    <w:rsid w:val="002574DA"/>
    <w:rsid w:val="00261040"/>
    <w:rsid w:val="00261115"/>
    <w:rsid w:val="002617A2"/>
    <w:rsid w:val="00261824"/>
    <w:rsid w:val="00261908"/>
    <w:rsid w:val="00261EEF"/>
    <w:rsid w:val="0026225B"/>
    <w:rsid w:val="00263384"/>
    <w:rsid w:val="00263CB2"/>
    <w:rsid w:val="0026433D"/>
    <w:rsid w:val="00264585"/>
    <w:rsid w:val="00264AE9"/>
    <w:rsid w:val="00264CC0"/>
    <w:rsid w:val="002651D0"/>
    <w:rsid w:val="002654C9"/>
    <w:rsid w:val="002654DD"/>
    <w:rsid w:val="002661C9"/>
    <w:rsid w:val="002673A9"/>
    <w:rsid w:val="00267F11"/>
    <w:rsid w:val="0027035E"/>
    <w:rsid w:val="002706F7"/>
    <w:rsid w:val="00270B23"/>
    <w:rsid w:val="00270EC0"/>
    <w:rsid w:val="0027111B"/>
    <w:rsid w:val="00271907"/>
    <w:rsid w:val="00271F01"/>
    <w:rsid w:val="002726F7"/>
    <w:rsid w:val="00273227"/>
    <w:rsid w:val="00274707"/>
    <w:rsid w:val="00274839"/>
    <w:rsid w:val="00274A18"/>
    <w:rsid w:val="00274EC2"/>
    <w:rsid w:val="00275CAC"/>
    <w:rsid w:val="00276C50"/>
    <w:rsid w:val="00276FA8"/>
    <w:rsid w:val="002775BF"/>
    <w:rsid w:val="00277C1C"/>
    <w:rsid w:val="00277E1C"/>
    <w:rsid w:val="0028083D"/>
    <w:rsid w:val="00281036"/>
    <w:rsid w:val="002810A4"/>
    <w:rsid w:val="0028135E"/>
    <w:rsid w:val="0028203F"/>
    <w:rsid w:val="00282561"/>
    <w:rsid w:val="002826FE"/>
    <w:rsid w:val="00282709"/>
    <w:rsid w:val="00282ADE"/>
    <w:rsid w:val="00282B85"/>
    <w:rsid w:val="00282D4F"/>
    <w:rsid w:val="0028373C"/>
    <w:rsid w:val="00283C06"/>
    <w:rsid w:val="00283EAA"/>
    <w:rsid w:val="00283EC7"/>
    <w:rsid w:val="00283F0A"/>
    <w:rsid w:val="002842E3"/>
    <w:rsid w:val="00284378"/>
    <w:rsid w:val="00284AED"/>
    <w:rsid w:val="00284CAD"/>
    <w:rsid w:val="0028500D"/>
    <w:rsid w:val="002865E6"/>
    <w:rsid w:val="002870D3"/>
    <w:rsid w:val="002900A5"/>
    <w:rsid w:val="00291111"/>
    <w:rsid w:val="00291808"/>
    <w:rsid w:val="00291ADE"/>
    <w:rsid w:val="0029258F"/>
    <w:rsid w:val="00292F8D"/>
    <w:rsid w:val="00292FF8"/>
    <w:rsid w:val="00293BEE"/>
    <w:rsid w:val="002943C7"/>
    <w:rsid w:val="00294D60"/>
    <w:rsid w:val="00295B75"/>
    <w:rsid w:val="0029641D"/>
    <w:rsid w:val="002971D1"/>
    <w:rsid w:val="00297CA1"/>
    <w:rsid w:val="00297E2E"/>
    <w:rsid w:val="002A2256"/>
    <w:rsid w:val="002A25C8"/>
    <w:rsid w:val="002A2C9B"/>
    <w:rsid w:val="002A2DF7"/>
    <w:rsid w:val="002A39C9"/>
    <w:rsid w:val="002A413B"/>
    <w:rsid w:val="002A4518"/>
    <w:rsid w:val="002A4DED"/>
    <w:rsid w:val="002A51B9"/>
    <w:rsid w:val="002A6057"/>
    <w:rsid w:val="002A60BD"/>
    <w:rsid w:val="002A69EE"/>
    <w:rsid w:val="002A75CC"/>
    <w:rsid w:val="002A75E6"/>
    <w:rsid w:val="002B1C09"/>
    <w:rsid w:val="002B2A7F"/>
    <w:rsid w:val="002B2F1A"/>
    <w:rsid w:val="002B3471"/>
    <w:rsid w:val="002B4AC2"/>
    <w:rsid w:val="002B4CB9"/>
    <w:rsid w:val="002B509B"/>
    <w:rsid w:val="002B572C"/>
    <w:rsid w:val="002B583B"/>
    <w:rsid w:val="002B5AB2"/>
    <w:rsid w:val="002B5E10"/>
    <w:rsid w:val="002B6773"/>
    <w:rsid w:val="002B68EA"/>
    <w:rsid w:val="002B6D7F"/>
    <w:rsid w:val="002B72C7"/>
    <w:rsid w:val="002B7337"/>
    <w:rsid w:val="002C0346"/>
    <w:rsid w:val="002C074B"/>
    <w:rsid w:val="002C11B0"/>
    <w:rsid w:val="002C14BD"/>
    <w:rsid w:val="002C3394"/>
    <w:rsid w:val="002C3601"/>
    <w:rsid w:val="002C4643"/>
    <w:rsid w:val="002C521D"/>
    <w:rsid w:val="002C5397"/>
    <w:rsid w:val="002C5968"/>
    <w:rsid w:val="002C65C2"/>
    <w:rsid w:val="002C6943"/>
    <w:rsid w:val="002C7614"/>
    <w:rsid w:val="002C766B"/>
    <w:rsid w:val="002C7B0F"/>
    <w:rsid w:val="002C7F20"/>
    <w:rsid w:val="002D0E9B"/>
    <w:rsid w:val="002D1318"/>
    <w:rsid w:val="002D1B5C"/>
    <w:rsid w:val="002D2423"/>
    <w:rsid w:val="002D2AAE"/>
    <w:rsid w:val="002D308A"/>
    <w:rsid w:val="002D3A3B"/>
    <w:rsid w:val="002D417F"/>
    <w:rsid w:val="002D42B1"/>
    <w:rsid w:val="002D45AB"/>
    <w:rsid w:val="002D6751"/>
    <w:rsid w:val="002D7505"/>
    <w:rsid w:val="002E016C"/>
    <w:rsid w:val="002E1089"/>
    <w:rsid w:val="002E1722"/>
    <w:rsid w:val="002E1783"/>
    <w:rsid w:val="002E2C28"/>
    <w:rsid w:val="002E3938"/>
    <w:rsid w:val="002E457A"/>
    <w:rsid w:val="002E470A"/>
    <w:rsid w:val="002E57E8"/>
    <w:rsid w:val="002E5C72"/>
    <w:rsid w:val="002E6809"/>
    <w:rsid w:val="002E6DFC"/>
    <w:rsid w:val="002E6FD6"/>
    <w:rsid w:val="002E7236"/>
    <w:rsid w:val="002E73E0"/>
    <w:rsid w:val="002E7547"/>
    <w:rsid w:val="002F0159"/>
    <w:rsid w:val="002F1008"/>
    <w:rsid w:val="002F329B"/>
    <w:rsid w:val="002F330A"/>
    <w:rsid w:val="002F37EF"/>
    <w:rsid w:val="002F3DCF"/>
    <w:rsid w:val="002F3E5B"/>
    <w:rsid w:val="002F4055"/>
    <w:rsid w:val="002F44C8"/>
    <w:rsid w:val="002F485E"/>
    <w:rsid w:val="002F4C82"/>
    <w:rsid w:val="002F4DBC"/>
    <w:rsid w:val="002F56E8"/>
    <w:rsid w:val="002F63EC"/>
    <w:rsid w:val="002F6508"/>
    <w:rsid w:val="002F6977"/>
    <w:rsid w:val="002F7223"/>
    <w:rsid w:val="002F7470"/>
    <w:rsid w:val="002F7852"/>
    <w:rsid w:val="002F7B42"/>
    <w:rsid w:val="00300AD0"/>
    <w:rsid w:val="003016EC"/>
    <w:rsid w:val="00301838"/>
    <w:rsid w:val="00303421"/>
    <w:rsid w:val="003042A9"/>
    <w:rsid w:val="00304455"/>
    <w:rsid w:val="003044AB"/>
    <w:rsid w:val="003051E6"/>
    <w:rsid w:val="00305AFD"/>
    <w:rsid w:val="00305FD3"/>
    <w:rsid w:val="00305FE3"/>
    <w:rsid w:val="00310746"/>
    <w:rsid w:val="00310B84"/>
    <w:rsid w:val="003110C7"/>
    <w:rsid w:val="0031126A"/>
    <w:rsid w:val="00312131"/>
    <w:rsid w:val="00312183"/>
    <w:rsid w:val="003122A6"/>
    <w:rsid w:val="00312571"/>
    <w:rsid w:val="00312D6F"/>
    <w:rsid w:val="003142E6"/>
    <w:rsid w:val="00314416"/>
    <w:rsid w:val="0031463C"/>
    <w:rsid w:val="00316533"/>
    <w:rsid w:val="00316621"/>
    <w:rsid w:val="003166B2"/>
    <w:rsid w:val="00317257"/>
    <w:rsid w:val="00317C6E"/>
    <w:rsid w:val="00317DC0"/>
    <w:rsid w:val="00317E41"/>
    <w:rsid w:val="00320332"/>
    <w:rsid w:val="0032075C"/>
    <w:rsid w:val="0032075D"/>
    <w:rsid w:val="00320BE3"/>
    <w:rsid w:val="0032160D"/>
    <w:rsid w:val="003216D6"/>
    <w:rsid w:val="00322C90"/>
    <w:rsid w:val="00323665"/>
    <w:rsid w:val="003236E8"/>
    <w:rsid w:val="00323E21"/>
    <w:rsid w:val="00324ABF"/>
    <w:rsid w:val="00325504"/>
    <w:rsid w:val="003258AA"/>
    <w:rsid w:val="00330456"/>
    <w:rsid w:val="00330DD0"/>
    <w:rsid w:val="00330DEC"/>
    <w:rsid w:val="00332281"/>
    <w:rsid w:val="00332491"/>
    <w:rsid w:val="003324C7"/>
    <w:rsid w:val="00332612"/>
    <w:rsid w:val="00332DE5"/>
    <w:rsid w:val="00333739"/>
    <w:rsid w:val="00333DA7"/>
    <w:rsid w:val="00334857"/>
    <w:rsid w:val="00334B96"/>
    <w:rsid w:val="00335166"/>
    <w:rsid w:val="003355DF"/>
    <w:rsid w:val="00335ADD"/>
    <w:rsid w:val="00335B2C"/>
    <w:rsid w:val="00335D2D"/>
    <w:rsid w:val="00335FF0"/>
    <w:rsid w:val="00336F35"/>
    <w:rsid w:val="0033741E"/>
    <w:rsid w:val="003375E8"/>
    <w:rsid w:val="00340865"/>
    <w:rsid w:val="00340893"/>
    <w:rsid w:val="003408F1"/>
    <w:rsid w:val="00341D82"/>
    <w:rsid w:val="003421A4"/>
    <w:rsid w:val="00343584"/>
    <w:rsid w:val="00343C52"/>
    <w:rsid w:val="00343CFE"/>
    <w:rsid w:val="003447A4"/>
    <w:rsid w:val="00344EC5"/>
    <w:rsid w:val="003452C8"/>
    <w:rsid w:val="00345CFE"/>
    <w:rsid w:val="003463DE"/>
    <w:rsid w:val="00346629"/>
    <w:rsid w:val="003467B9"/>
    <w:rsid w:val="00346899"/>
    <w:rsid w:val="0034717F"/>
    <w:rsid w:val="0034760B"/>
    <w:rsid w:val="003477CC"/>
    <w:rsid w:val="00350949"/>
    <w:rsid w:val="00350A06"/>
    <w:rsid w:val="0035232E"/>
    <w:rsid w:val="0035333F"/>
    <w:rsid w:val="00353C36"/>
    <w:rsid w:val="00353F92"/>
    <w:rsid w:val="00354288"/>
    <w:rsid w:val="0035537A"/>
    <w:rsid w:val="00356D9B"/>
    <w:rsid w:val="00357E8A"/>
    <w:rsid w:val="0036048B"/>
    <w:rsid w:val="00360637"/>
    <w:rsid w:val="0036077B"/>
    <w:rsid w:val="0036087F"/>
    <w:rsid w:val="00361206"/>
    <w:rsid w:val="00361820"/>
    <w:rsid w:val="003638E4"/>
    <w:rsid w:val="00363A85"/>
    <w:rsid w:val="003646F5"/>
    <w:rsid w:val="00364BA3"/>
    <w:rsid w:val="00365804"/>
    <w:rsid w:val="003660A1"/>
    <w:rsid w:val="00366585"/>
    <w:rsid w:val="00367402"/>
    <w:rsid w:val="0036798E"/>
    <w:rsid w:val="00367B6D"/>
    <w:rsid w:val="00367F8A"/>
    <w:rsid w:val="00370392"/>
    <w:rsid w:val="003707DE"/>
    <w:rsid w:val="00370951"/>
    <w:rsid w:val="00370AA9"/>
    <w:rsid w:val="00371940"/>
    <w:rsid w:val="00371B89"/>
    <w:rsid w:val="00372293"/>
    <w:rsid w:val="0037239A"/>
    <w:rsid w:val="00372FD1"/>
    <w:rsid w:val="003733A8"/>
    <w:rsid w:val="00373777"/>
    <w:rsid w:val="003741FA"/>
    <w:rsid w:val="003746A0"/>
    <w:rsid w:val="00375367"/>
    <w:rsid w:val="00375F16"/>
    <w:rsid w:val="00376770"/>
    <w:rsid w:val="00376E51"/>
    <w:rsid w:val="003803D6"/>
    <w:rsid w:val="0038049C"/>
    <w:rsid w:val="003806B8"/>
    <w:rsid w:val="00380B58"/>
    <w:rsid w:val="00380D0F"/>
    <w:rsid w:val="00381597"/>
    <w:rsid w:val="003816B2"/>
    <w:rsid w:val="00381B3E"/>
    <w:rsid w:val="003834EB"/>
    <w:rsid w:val="00383763"/>
    <w:rsid w:val="00385390"/>
    <w:rsid w:val="00385806"/>
    <w:rsid w:val="0038594A"/>
    <w:rsid w:val="003859EF"/>
    <w:rsid w:val="003865B0"/>
    <w:rsid w:val="00386D95"/>
    <w:rsid w:val="0038741C"/>
    <w:rsid w:val="00387F4F"/>
    <w:rsid w:val="00390377"/>
    <w:rsid w:val="003907D8"/>
    <w:rsid w:val="00390A70"/>
    <w:rsid w:val="00390EFC"/>
    <w:rsid w:val="003917B6"/>
    <w:rsid w:val="00391CD4"/>
    <w:rsid w:val="00391D66"/>
    <w:rsid w:val="003921F2"/>
    <w:rsid w:val="00392730"/>
    <w:rsid w:val="003931BB"/>
    <w:rsid w:val="0039376C"/>
    <w:rsid w:val="00393CB8"/>
    <w:rsid w:val="0039411B"/>
    <w:rsid w:val="0039420E"/>
    <w:rsid w:val="003943A1"/>
    <w:rsid w:val="003944A0"/>
    <w:rsid w:val="003947D1"/>
    <w:rsid w:val="00394CAB"/>
    <w:rsid w:val="00394D9B"/>
    <w:rsid w:val="00395F44"/>
    <w:rsid w:val="0039665D"/>
    <w:rsid w:val="00396D4D"/>
    <w:rsid w:val="00396FBE"/>
    <w:rsid w:val="003A00F4"/>
    <w:rsid w:val="003A02B9"/>
    <w:rsid w:val="003A0D62"/>
    <w:rsid w:val="003A10CA"/>
    <w:rsid w:val="003A160C"/>
    <w:rsid w:val="003A18E2"/>
    <w:rsid w:val="003A2D9E"/>
    <w:rsid w:val="003A31B0"/>
    <w:rsid w:val="003A44F7"/>
    <w:rsid w:val="003A5413"/>
    <w:rsid w:val="003A5D8A"/>
    <w:rsid w:val="003A696E"/>
    <w:rsid w:val="003A6FDE"/>
    <w:rsid w:val="003A71D3"/>
    <w:rsid w:val="003A73CA"/>
    <w:rsid w:val="003A743C"/>
    <w:rsid w:val="003A7BD3"/>
    <w:rsid w:val="003B0209"/>
    <w:rsid w:val="003B082B"/>
    <w:rsid w:val="003B0B0B"/>
    <w:rsid w:val="003B13AC"/>
    <w:rsid w:val="003B14A7"/>
    <w:rsid w:val="003B24DC"/>
    <w:rsid w:val="003B2AE6"/>
    <w:rsid w:val="003B2CB9"/>
    <w:rsid w:val="003B2D93"/>
    <w:rsid w:val="003B3185"/>
    <w:rsid w:val="003B3585"/>
    <w:rsid w:val="003B3A30"/>
    <w:rsid w:val="003B411E"/>
    <w:rsid w:val="003B412A"/>
    <w:rsid w:val="003B45AC"/>
    <w:rsid w:val="003B5627"/>
    <w:rsid w:val="003B5916"/>
    <w:rsid w:val="003B5C6B"/>
    <w:rsid w:val="003B5C9F"/>
    <w:rsid w:val="003B65F9"/>
    <w:rsid w:val="003B6C6E"/>
    <w:rsid w:val="003B6DA5"/>
    <w:rsid w:val="003B6EFA"/>
    <w:rsid w:val="003B74E9"/>
    <w:rsid w:val="003C10F9"/>
    <w:rsid w:val="003C12D8"/>
    <w:rsid w:val="003C36BA"/>
    <w:rsid w:val="003C43C2"/>
    <w:rsid w:val="003C54DB"/>
    <w:rsid w:val="003C5DE6"/>
    <w:rsid w:val="003C652D"/>
    <w:rsid w:val="003C66AE"/>
    <w:rsid w:val="003C6FBB"/>
    <w:rsid w:val="003D0FD9"/>
    <w:rsid w:val="003D16AA"/>
    <w:rsid w:val="003D16E9"/>
    <w:rsid w:val="003D1C0B"/>
    <w:rsid w:val="003D1E31"/>
    <w:rsid w:val="003D20B9"/>
    <w:rsid w:val="003D37C8"/>
    <w:rsid w:val="003D4201"/>
    <w:rsid w:val="003D55F1"/>
    <w:rsid w:val="003D5A4B"/>
    <w:rsid w:val="003D7497"/>
    <w:rsid w:val="003D762B"/>
    <w:rsid w:val="003D7D97"/>
    <w:rsid w:val="003D7DD3"/>
    <w:rsid w:val="003E0274"/>
    <w:rsid w:val="003E0A22"/>
    <w:rsid w:val="003E0B3C"/>
    <w:rsid w:val="003E0D7C"/>
    <w:rsid w:val="003E14CA"/>
    <w:rsid w:val="003E217E"/>
    <w:rsid w:val="003E357C"/>
    <w:rsid w:val="003E3C0C"/>
    <w:rsid w:val="003E5024"/>
    <w:rsid w:val="003E55E6"/>
    <w:rsid w:val="003E569D"/>
    <w:rsid w:val="003E5CEB"/>
    <w:rsid w:val="003E7896"/>
    <w:rsid w:val="003E7F31"/>
    <w:rsid w:val="003E7F46"/>
    <w:rsid w:val="003E7FAE"/>
    <w:rsid w:val="003F080C"/>
    <w:rsid w:val="003F1478"/>
    <w:rsid w:val="003F155E"/>
    <w:rsid w:val="003F185E"/>
    <w:rsid w:val="003F2AD5"/>
    <w:rsid w:val="003F4450"/>
    <w:rsid w:val="003F4496"/>
    <w:rsid w:val="003F476D"/>
    <w:rsid w:val="003F5424"/>
    <w:rsid w:val="003F543A"/>
    <w:rsid w:val="003F54C0"/>
    <w:rsid w:val="003F5888"/>
    <w:rsid w:val="003F5F08"/>
    <w:rsid w:val="003F60DB"/>
    <w:rsid w:val="003F6C17"/>
    <w:rsid w:val="003F6ED9"/>
    <w:rsid w:val="00401C76"/>
    <w:rsid w:val="00402115"/>
    <w:rsid w:val="0040247E"/>
    <w:rsid w:val="00402C63"/>
    <w:rsid w:val="00403D2F"/>
    <w:rsid w:val="00404BB7"/>
    <w:rsid w:val="00404CDB"/>
    <w:rsid w:val="00404D44"/>
    <w:rsid w:val="004064AB"/>
    <w:rsid w:val="004071E3"/>
    <w:rsid w:val="00407EF6"/>
    <w:rsid w:val="00407F47"/>
    <w:rsid w:val="00411847"/>
    <w:rsid w:val="00412730"/>
    <w:rsid w:val="00412AE3"/>
    <w:rsid w:val="00412B88"/>
    <w:rsid w:val="00412DC2"/>
    <w:rsid w:val="0041305A"/>
    <w:rsid w:val="00413639"/>
    <w:rsid w:val="00413E1A"/>
    <w:rsid w:val="00413E53"/>
    <w:rsid w:val="0041505F"/>
    <w:rsid w:val="00415519"/>
    <w:rsid w:val="004161EB"/>
    <w:rsid w:val="00416FE9"/>
    <w:rsid w:val="0041723E"/>
    <w:rsid w:val="00417AF8"/>
    <w:rsid w:val="00420E1D"/>
    <w:rsid w:val="00421333"/>
    <w:rsid w:val="00422077"/>
    <w:rsid w:val="00422D2F"/>
    <w:rsid w:val="00422DEC"/>
    <w:rsid w:val="004230A2"/>
    <w:rsid w:val="0042400D"/>
    <w:rsid w:val="0042401F"/>
    <w:rsid w:val="00424E77"/>
    <w:rsid w:val="004258D2"/>
    <w:rsid w:val="004270D5"/>
    <w:rsid w:val="00430025"/>
    <w:rsid w:val="004309E3"/>
    <w:rsid w:val="004314D0"/>
    <w:rsid w:val="00431DCA"/>
    <w:rsid w:val="004322BD"/>
    <w:rsid w:val="00432474"/>
    <w:rsid w:val="004325F0"/>
    <w:rsid w:val="00432AA6"/>
    <w:rsid w:val="00432B82"/>
    <w:rsid w:val="0043346E"/>
    <w:rsid w:val="004335CF"/>
    <w:rsid w:val="00433CC9"/>
    <w:rsid w:val="00433E4C"/>
    <w:rsid w:val="00434374"/>
    <w:rsid w:val="00434BB1"/>
    <w:rsid w:val="00435C6D"/>
    <w:rsid w:val="00436564"/>
    <w:rsid w:val="0043693B"/>
    <w:rsid w:val="00436C06"/>
    <w:rsid w:val="00436E1D"/>
    <w:rsid w:val="0043734B"/>
    <w:rsid w:val="004373F2"/>
    <w:rsid w:val="0044079A"/>
    <w:rsid w:val="004415ED"/>
    <w:rsid w:val="00441699"/>
    <w:rsid w:val="00441E8F"/>
    <w:rsid w:val="0044214D"/>
    <w:rsid w:val="00442D68"/>
    <w:rsid w:val="0044319A"/>
    <w:rsid w:val="00443282"/>
    <w:rsid w:val="004433B6"/>
    <w:rsid w:val="0044373B"/>
    <w:rsid w:val="004441B8"/>
    <w:rsid w:val="00444756"/>
    <w:rsid w:val="00444A93"/>
    <w:rsid w:val="004450A3"/>
    <w:rsid w:val="004456DD"/>
    <w:rsid w:val="00445DD6"/>
    <w:rsid w:val="0044609B"/>
    <w:rsid w:val="0044654B"/>
    <w:rsid w:val="00446BFA"/>
    <w:rsid w:val="00450704"/>
    <w:rsid w:val="00450F0D"/>
    <w:rsid w:val="00450FA0"/>
    <w:rsid w:val="00451413"/>
    <w:rsid w:val="00451FA6"/>
    <w:rsid w:val="004522F8"/>
    <w:rsid w:val="0045316C"/>
    <w:rsid w:val="004535D1"/>
    <w:rsid w:val="00453F85"/>
    <w:rsid w:val="004540CB"/>
    <w:rsid w:val="004550A3"/>
    <w:rsid w:val="004551C3"/>
    <w:rsid w:val="0045597C"/>
    <w:rsid w:val="0045675B"/>
    <w:rsid w:val="00457359"/>
    <w:rsid w:val="0045746F"/>
    <w:rsid w:val="004579E0"/>
    <w:rsid w:val="00460B84"/>
    <w:rsid w:val="00460D8B"/>
    <w:rsid w:val="00461039"/>
    <w:rsid w:val="00461477"/>
    <w:rsid w:val="00462AE9"/>
    <w:rsid w:val="00462AF6"/>
    <w:rsid w:val="00462D0A"/>
    <w:rsid w:val="00462E94"/>
    <w:rsid w:val="00463200"/>
    <w:rsid w:val="004638FF"/>
    <w:rsid w:val="004645CF"/>
    <w:rsid w:val="0046462E"/>
    <w:rsid w:val="00464D05"/>
    <w:rsid w:val="004656DF"/>
    <w:rsid w:val="0046630F"/>
    <w:rsid w:val="00466B81"/>
    <w:rsid w:val="00466DC4"/>
    <w:rsid w:val="004678FF"/>
    <w:rsid w:val="00467F25"/>
    <w:rsid w:val="00470057"/>
    <w:rsid w:val="004701EB"/>
    <w:rsid w:val="00470B96"/>
    <w:rsid w:val="004714ED"/>
    <w:rsid w:val="004717C4"/>
    <w:rsid w:val="0047189C"/>
    <w:rsid w:val="00471953"/>
    <w:rsid w:val="00472946"/>
    <w:rsid w:val="00473AB8"/>
    <w:rsid w:val="0047436D"/>
    <w:rsid w:val="004748B8"/>
    <w:rsid w:val="004748E7"/>
    <w:rsid w:val="004749F6"/>
    <w:rsid w:val="00474DA7"/>
    <w:rsid w:val="00475709"/>
    <w:rsid w:val="00475BE2"/>
    <w:rsid w:val="00475D7A"/>
    <w:rsid w:val="00475DB1"/>
    <w:rsid w:val="00477488"/>
    <w:rsid w:val="0048098D"/>
    <w:rsid w:val="00481326"/>
    <w:rsid w:val="0048178C"/>
    <w:rsid w:val="00481EDB"/>
    <w:rsid w:val="00481F57"/>
    <w:rsid w:val="0048364B"/>
    <w:rsid w:val="00483BF4"/>
    <w:rsid w:val="00483D82"/>
    <w:rsid w:val="00483DBB"/>
    <w:rsid w:val="00484260"/>
    <w:rsid w:val="0048447F"/>
    <w:rsid w:val="004847E7"/>
    <w:rsid w:val="004852E1"/>
    <w:rsid w:val="004857DE"/>
    <w:rsid w:val="004864F7"/>
    <w:rsid w:val="00486611"/>
    <w:rsid w:val="00486D6E"/>
    <w:rsid w:val="00486FE7"/>
    <w:rsid w:val="00487084"/>
    <w:rsid w:val="004878EA"/>
    <w:rsid w:val="004879A7"/>
    <w:rsid w:val="004901B4"/>
    <w:rsid w:val="0049059B"/>
    <w:rsid w:val="004908E0"/>
    <w:rsid w:val="004911D7"/>
    <w:rsid w:val="004911F0"/>
    <w:rsid w:val="00491437"/>
    <w:rsid w:val="004918CF"/>
    <w:rsid w:val="00492B0F"/>
    <w:rsid w:val="00492CD8"/>
    <w:rsid w:val="00493A43"/>
    <w:rsid w:val="00493C8B"/>
    <w:rsid w:val="00493ED4"/>
    <w:rsid w:val="00494382"/>
    <w:rsid w:val="0049534E"/>
    <w:rsid w:val="00495A35"/>
    <w:rsid w:val="00495AA5"/>
    <w:rsid w:val="00496000"/>
    <w:rsid w:val="004966A4"/>
    <w:rsid w:val="00497203"/>
    <w:rsid w:val="00497400"/>
    <w:rsid w:val="004A02A2"/>
    <w:rsid w:val="004A0E9E"/>
    <w:rsid w:val="004A20A9"/>
    <w:rsid w:val="004A2499"/>
    <w:rsid w:val="004A2560"/>
    <w:rsid w:val="004A28A5"/>
    <w:rsid w:val="004A3ECB"/>
    <w:rsid w:val="004A4314"/>
    <w:rsid w:val="004A47EA"/>
    <w:rsid w:val="004A4D8C"/>
    <w:rsid w:val="004A553E"/>
    <w:rsid w:val="004A6805"/>
    <w:rsid w:val="004A72D0"/>
    <w:rsid w:val="004B0D47"/>
    <w:rsid w:val="004B0DDB"/>
    <w:rsid w:val="004B2A52"/>
    <w:rsid w:val="004B2D93"/>
    <w:rsid w:val="004B2E5C"/>
    <w:rsid w:val="004B30FB"/>
    <w:rsid w:val="004B3CF3"/>
    <w:rsid w:val="004B3EB7"/>
    <w:rsid w:val="004B4AF4"/>
    <w:rsid w:val="004B4D6C"/>
    <w:rsid w:val="004B52CD"/>
    <w:rsid w:val="004B59FC"/>
    <w:rsid w:val="004B6927"/>
    <w:rsid w:val="004B6B34"/>
    <w:rsid w:val="004B6BA4"/>
    <w:rsid w:val="004B6EA4"/>
    <w:rsid w:val="004B76BC"/>
    <w:rsid w:val="004C08A1"/>
    <w:rsid w:val="004C11CF"/>
    <w:rsid w:val="004C141B"/>
    <w:rsid w:val="004C2442"/>
    <w:rsid w:val="004C2533"/>
    <w:rsid w:val="004C2703"/>
    <w:rsid w:val="004C3B24"/>
    <w:rsid w:val="004C41D8"/>
    <w:rsid w:val="004C424E"/>
    <w:rsid w:val="004C4ED5"/>
    <w:rsid w:val="004C5322"/>
    <w:rsid w:val="004C6BC0"/>
    <w:rsid w:val="004C6C3D"/>
    <w:rsid w:val="004C6DE1"/>
    <w:rsid w:val="004C788A"/>
    <w:rsid w:val="004C7899"/>
    <w:rsid w:val="004D0728"/>
    <w:rsid w:val="004D0DA4"/>
    <w:rsid w:val="004D0FE7"/>
    <w:rsid w:val="004D101D"/>
    <w:rsid w:val="004D1D4E"/>
    <w:rsid w:val="004D203B"/>
    <w:rsid w:val="004D2368"/>
    <w:rsid w:val="004D27B6"/>
    <w:rsid w:val="004D39FE"/>
    <w:rsid w:val="004D43BB"/>
    <w:rsid w:val="004D4CCD"/>
    <w:rsid w:val="004D591D"/>
    <w:rsid w:val="004D5955"/>
    <w:rsid w:val="004D5B70"/>
    <w:rsid w:val="004D5D60"/>
    <w:rsid w:val="004D6070"/>
    <w:rsid w:val="004D621E"/>
    <w:rsid w:val="004D6430"/>
    <w:rsid w:val="004D7041"/>
    <w:rsid w:val="004E0437"/>
    <w:rsid w:val="004E09E8"/>
    <w:rsid w:val="004E0C87"/>
    <w:rsid w:val="004E16A7"/>
    <w:rsid w:val="004E16AD"/>
    <w:rsid w:val="004E178B"/>
    <w:rsid w:val="004E1B86"/>
    <w:rsid w:val="004E1BA4"/>
    <w:rsid w:val="004E27DD"/>
    <w:rsid w:val="004E28F1"/>
    <w:rsid w:val="004E2AF8"/>
    <w:rsid w:val="004E4E40"/>
    <w:rsid w:val="004E5A22"/>
    <w:rsid w:val="004E5C49"/>
    <w:rsid w:val="004E6CE0"/>
    <w:rsid w:val="004E6D8B"/>
    <w:rsid w:val="004E6E81"/>
    <w:rsid w:val="004E7083"/>
    <w:rsid w:val="004E7F2D"/>
    <w:rsid w:val="004F0BEB"/>
    <w:rsid w:val="004F0C5A"/>
    <w:rsid w:val="004F1040"/>
    <w:rsid w:val="004F122D"/>
    <w:rsid w:val="004F180D"/>
    <w:rsid w:val="004F1F9D"/>
    <w:rsid w:val="004F2787"/>
    <w:rsid w:val="004F2D6F"/>
    <w:rsid w:val="004F2E54"/>
    <w:rsid w:val="004F358B"/>
    <w:rsid w:val="004F3F93"/>
    <w:rsid w:val="004F4161"/>
    <w:rsid w:val="004F44C6"/>
    <w:rsid w:val="004F60E6"/>
    <w:rsid w:val="004F630B"/>
    <w:rsid w:val="004F655A"/>
    <w:rsid w:val="004F7F2B"/>
    <w:rsid w:val="00500395"/>
    <w:rsid w:val="005003A9"/>
    <w:rsid w:val="00500F94"/>
    <w:rsid w:val="00501195"/>
    <w:rsid w:val="00501396"/>
    <w:rsid w:val="00501518"/>
    <w:rsid w:val="005020C7"/>
    <w:rsid w:val="00502467"/>
    <w:rsid w:val="005027EA"/>
    <w:rsid w:val="00503D1F"/>
    <w:rsid w:val="00504258"/>
    <w:rsid w:val="0050453D"/>
    <w:rsid w:val="0050504D"/>
    <w:rsid w:val="00505146"/>
    <w:rsid w:val="005059C2"/>
    <w:rsid w:val="00505D0C"/>
    <w:rsid w:val="00507375"/>
    <w:rsid w:val="00507AC2"/>
    <w:rsid w:val="00510039"/>
    <w:rsid w:val="005110F5"/>
    <w:rsid w:val="00512220"/>
    <w:rsid w:val="0051345C"/>
    <w:rsid w:val="005134CD"/>
    <w:rsid w:val="00513658"/>
    <w:rsid w:val="00513F06"/>
    <w:rsid w:val="005144A9"/>
    <w:rsid w:val="0051521B"/>
    <w:rsid w:val="005158EA"/>
    <w:rsid w:val="00515DFF"/>
    <w:rsid w:val="0051671E"/>
    <w:rsid w:val="005174BB"/>
    <w:rsid w:val="005174C8"/>
    <w:rsid w:val="005178C0"/>
    <w:rsid w:val="00517921"/>
    <w:rsid w:val="00520262"/>
    <w:rsid w:val="00521AD2"/>
    <w:rsid w:val="0052222F"/>
    <w:rsid w:val="00522E94"/>
    <w:rsid w:val="00523253"/>
    <w:rsid w:val="005233DB"/>
    <w:rsid w:val="0052374B"/>
    <w:rsid w:val="00524227"/>
    <w:rsid w:val="00524BDC"/>
    <w:rsid w:val="00524ECA"/>
    <w:rsid w:val="0052522A"/>
    <w:rsid w:val="00525393"/>
    <w:rsid w:val="00525996"/>
    <w:rsid w:val="00525DE4"/>
    <w:rsid w:val="00526397"/>
    <w:rsid w:val="00526C45"/>
    <w:rsid w:val="00526ECC"/>
    <w:rsid w:val="00527170"/>
    <w:rsid w:val="00527519"/>
    <w:rsid w:val="00527587"/>
    <w:rsid w:val="005278C4"/>
    <w:rsid w:val="005311E4"/>
    <w:rsid w:val="0053268A"/>
    <w:rsid w:val="005329B6"/>
    <w:rsid w:val="005332BF"/>
    <w:rsid w:val="00533730"/>
    <w:rsid w:val="005339CD"/>
    <w:rsid w:val="00534556"/>
    <w:rsid w:val="0053592B"/>
    <w:rsid w:val="0053629F"/>
    <w:rsid w:val="0053698D"/>
    <w:rsid w:val="00536A3F"/>
    <w:rsid w:val="00536DB9"/>
    <w:rsid w:val="00537445"/>
    <w:rsid w:val="005374D0"/>
    <w:rsid w:val="00537CC7"/>
    <w:rsid w:val="00540C7D"/>
    <w:rsid w:val="00541091"/>
    <w:rsid w:val="0054145B"/>
    <w:rsid w:val="00542537"/>
    <w:rsid w:val="0054277E"/>
    <w:rsid w:val="0054295F"/>
    <w:rsid w:val="00542A44"/>
    <w:rsid w:val="00543732"/>
    <w:rsid w:val="00543FC5"/>
    <w:rsid w:val="00544404"/>
    <w:rsid w:val="005444FA"/>
    <w:rsid w:val="00544716"/>
    <w:rsid w:val="005448D6"/>
    <w:rsid w:val="00545772"/>
    <w:rsid w:val="00545939"/>
    <w:rsid w:val="005459DE"/>
    <w:rsid w:val="005469A6"/>
    <w:rsid w:val="00546B01"/>
    <w:rsid w:val="00546C1F"/>
    <w:rsid w:val="00547218"/>
    <w:rsid w:val="00547301"/>
    <w:rsid w:val="005478FC"/>
    <w:rsid w:val="00547DFC"/>
    <w:rsid w:val="005505B6"/>
    <w:rsid w:val="00550CB6"/>
    <w:rsid w:val="00550D25"/>
    <w:rsid w:val="00551ADC"/>
    <w:rsid w:val="00551C83"/>
    <w:rsid w:val="00551FF5"/>
    <w:rsid w:val="00552765"/>
    <w:rsid w:val="00552BDA"/>
    <w:rsid w:val="00552BFF"/>
    <w:rsid w:val="00553802"/>
    <w:rsid w:val="00554173"/>
    <w:rsid w:val="00554D49"/>
    <w:rsid w:val="0055582E"/>
    <w:rsid w:val="0055670C"/>
    <w:rsid w:val="0055674A"/>
    <w:rsid w:val="00557282"/>
    <w:rsid w:val="0055750E"/>
    <w:rsid w:val="0055763A"/>
    <w:rsid w:val="0055782F"/>
    <w:rsid w:val="00557FB1"/>
    <w:rsid w:val="00560B5D"/>
    <w:rsid w:val="0056139C"/>
    <w:rsid w:val="00562742"/>
    <w:rsid w:val="00563D73"/>
    <w:rsid w:val="00564CDC"/>
    <w:rsid w:val="0056533C"/>
    <w:rsid w:val="00565532"/>
    <w:rsid w:val="00565A38"/>
    <w:rsid w:val="0056671B"/>
    <w:rsid w:val="00566A61"/>
    <w:rsid w:val="00567699"/>
    <w:rsid w:val="00570472"/>
    <w:rsid w:val="00570617"/>
    <w:rsid w:val="0057100E"/>
    <w:rsid w:val="00571556"/>
    <w:rsid w:val="00571D55"/>
    <w:rsid w:val="00572B5C"/>
    <w:rsid w:val="00572EDD"/>
    <w:rsid w:val="005732DF"/>
    <w:rsid w:val="00573769"/>
    <w:rsid w:val="00574956"/>
    <w:rsid w:val="00574C57"/>
    <w:rsid w:val="00575AED"/>
    <w:rsid w:val="0057796A"/>
    <w:rsid w:val="005805BA"/>
    <w:rsid w:val="005806E4"/>
    <w:rsid w:val="00580808"/>
    <w:rsid w:val="0058088C"/>
    <w:rsid w:val="005809B6"/>
    <w:rsid w:val="0058169D"/>
    <w:rsid w:val="0058251A"/>
    <w:rsid w:val="005827CC"/>
    <w:rsid w:val="00582F64"/>
    <w:rsid w:val="005835B1"/>
    <w:rsid w:val="00583767"/>
    <w:rsid w:val="00583C13"/>
    <w:rsid w:val="00584ACC"/>
    <w:rsid w:val="005855E9"/>
    <w:rsid w:val="005876D8"/>
    <w:rsid w:val="00587CED"/>
    <w:rsid w:val="00591163"/>
    <w:rsid w:val="005917BC"/>
    <w:rsid w:val="00592BCC"/>
    <w:rsid w:val="00592C0C"/>
    <w:rsid w:val="00592D48"/>
    <w:rsid w:val="0059327C"/>
    <w:rsid w:val="005936E1"/>
    <w:rsid w:val="00593FDE"/>
    <w:rsid w:val="00594250"/>
    <w:rsid w:val="005946E8"/>
    <w:rsid w:val="00594CC0"/>
    <w:rsid w:val="00594F0A"/>
    <w:rsid w:val="00595A66"/>
    <w:rsid w:val="0059644B"/>
    <w:rsid w:val="0059665D"/>
    <w:rsid w:val="005974F4"/>
    <w:rsid w:val="005979A8"/>
    <w:rsid w:val="00597D27"/>
    <w:rsid w:val="005A0A15"/>
    <w:rsid w:val="005A0FFA"/>
    <w:rsid w:val="005A1DAC"/>
    <w:rsid w:val="005A1EDF"/>
    <w:rsid w:val="005A2209"/>
    <w:rsid w:val="005A2267"/>
    <w:rsid w:val="005A26B0"/>
    <w:rsid w:val="005A35CE"/>
    <w:rsid w:val="005A3739"/>
    <w:rsid w:val="005A3869"/>
    <w:rsid w:val="005A4868"/>
    <w:rsid w:val="005A4AC4"/>
    <w:rsid w:val="005A4F47"/>
    <w:rsid w:val="005A5597"/>
    <w:rsid w:val="005A6194"/>
    <w:rsid w:val="005A6305"/>
    <w:rsid w:val="005A6322"/>
    <w:rsid w:val="005A635B"/>
    <w:rsid w:val="005A6E0D"/>
    <w:rsid w:val="005A75D3"/>
    <w:rsid w:val="005A78AB"/>
    <w:rsid w:val="005A7EA5"/>
    <w:rsid w:val="005B0309"/>
    <w:rsid w:val="005B09B3"/>
    <w:rsid w:val="005B0C8B"/>
    <w:rsid w:val="005B248D"/>
    <w:rsid w:val="005B2602"/>
    <w:rsid w:val="005B2D48"/>
    <w:rsid w:val="005B2DC2"/>
    <w:rsid w:val="005B2E37"/>
    <w:rsid w:val="005B3605"/>
    <w:rsid w:val="005B3A19"/>
    <w:rsid w:val="005B41DE"/>
    <w:rsid w:val="005B4DC7"/>
    <w:rsid w:val="005B5482"/>
    <w:rsid w:val="005B5CA3"/>
    <w:rsid w:val="005B78E4"/>
    <w:rsid w:val="005C13EB"/>
    <w:rsid w:val="005C15E8"/>
    <w:rsid w:val="005C2C8B"/>
    <w:rsid w:val="005C327A"/>
    <w:rsid w:val="005C33DC"/>
    <w:rsid w:val="005C35BE"/>
    <w:rsid w:val="005C3892"/>
    <w:rsid w:val="005C3B61"/>
    <w:rsid w:val="005C3C1A"/>
    <w:rsid w:val="005C4554"/>
    <w:rsid w:val="005C46BA"/>
    <w:rsid w:val="005C4740"/>
    <w:rsid w:val="005C4A18"/>
    <w:rsid w:val="005C58F0"/>
    <w:rsid w:val="005C62B3"/>
    <w:rsid w:val="005C649C"/>
    <w:rsid w:val="005C6A66"/>
    <w:rsid w:val="005C7CC1"/>
    <w:rsid w:val="005C7DC4"/>
    <w:rsid w:val="005D034C"/>
    <w:rsid w:val="005D0C00"/>
    <w:rsid w:val="005D0E70"/>
    <w:rsid w:val="005D0FE5"/>
    <w:rsid w:val="005D147A"/>
    <w:rsid w:val="005D1A56"/>
    <w:rsid w:val="005D1FE6"/>
    <w:rsid w:val="005D2181"/>
    <w:rsid w:val="005D3872"/>
    <w:rsid w:val="005D3987"/>
    <w:rsid w:val="005D3A71"/>
    <w:rsid w:val="005D3E44"/>
    <w:rsid w:val="005D4BF4"/>
    <w:rsid w:val="005D55C8"/>
    <w:rsid w:val="005D56E5"/>
    <w:rsid w:val="005D5BD7"/>
    <w:rsid w:val="005D6D60"/>
    <w:rsid w:val="005D7244"/>
    <w:rsid w:val="005D7A0E"/>
    <w:rsid w:val="005E0663"/>
    <w:rsid w:val="005E075E"/>
    <w:rsid w:val="005E0D45"/>
    <w:rsid w:val="005E1F6D"/>
    <w:rsid w:val="005E2662"/>
    <w:rsid w:val="005E2B2F"/>
    <w:rsid w:val="005E2FBB"/>
    <w:rsid w:val="005E34C7"/>
    <w:rsid w:val="005E4CD4"/>
    <w:rsid w:val="005E4E3D"/>
    <w:rsid w:val="005E4FD9"/>
    <w:rsid w:val="005E5686"/>
    <w:rsid w:val="005E6013"/>
    <w:rsid w:val="005E65BA"/>
    <w:rsid w:val="005E71F0"/>
    <w:rsid w:val="005E7E0A"/>
    <w:rsid w:val="005F0116"/>
    <w:rsid w:val="005F0A47"/>
    <w:rsid w:val="005F0B1C"/>
    <w:rsid w:val="005F0D35"/>
    <w:rsid w:val="005F0FE2"/>
    <w:rsid w:val="005F139C"/>
    <w:rsid w:val="005F1436"/>
    <w:rsid w:val="005F1643"/>
    <w:rsid w:val="005F203D"/>
    <w:rsid w:val="005F2BA9"/>
    <w:rsid w:val="005F304D"/>
    <w:rsid w:val="005F35A7"/>
    <w:rsid w:val="005F3637"/>
    <w:rsid w:val="005F388C"/>
    <w:rsid w:val="005F3988"/>
    <w:rsid w:val="005F4344"/>
    <w:rsid w:val="005F5761"/>
    <w:rsid w:val="005F580A"/>
    <w:rsid w:val="005F5E0A"/>
    <w:rsid w:val="005F6281"/>
    <w:rsid w:val="005F65D5"/>
    <w:rsid w:val="005F6DC3"/>
    <w:rsid w:val="005F71A7"/>
    <w:rsid w:val="005F7459"/>
    <w:rsid w:val="005F7E77"/>
    <w:rsid w:val="006001EC"/>
    <w:rsid w:val="006005BE"/>
    <w:rsid w:val="00600988"/>
    <w:rsid w:val="00600A79"/>
    <w:rsid w:val="00601A27"/>
    <w:rsid w:val="0060238F"/>
    <w:rsid w:val="00602573"/>
    <w:rsid w:val="0060281A"/>
    <w:rsid w:val="00604B52"/>
    <w:rsid w:val="006052CC"/>
    <w:rsid w:val="00605381"/>
    <w:rsid w:val="00605528"/>
    <w:rsid w:val="00606475"/>
    <w:rsid w:val="006067AC"/>
    <w:rsid w:val="00607B1A"/>
    <w:rsid w:val="00610EFA"/>
    <w:rsid w:val="00611904"/>
    <w:rsid w:val="00613EF0"/>
    <w:rsid w:val="00613F22"/>
    <w:rsid w:val="006146B6"/>
    <w:rsid w:val="0061549C"/>
    <w:rsid w:val="0061561E"/>
    <w:rsid w:val="00615806"/>
    <w:rsid w:val="0061594E"/>
    <w:rsid w:val="00616E77"/>
    <w:rsid w:val="00617256"/>
    <w:rsid w:val="00617584"/>
    <w:rsid w:val="006176DC"/>
    <w:rsid w:val="006201C8"/>
    <w:rsid w:val="00622278"/>
    <w:rsid w:val="0062343F"/>
    <w:rsid w:val="006235BB"/>
    <w:rsid w:val="0062379B"/>
    <w:rsid w:val="00623808"/>
    <w:rsid w:val="0062538F"/>
    <w:rsid w:val="0062667D"/>
    <w:rsid w:val="006268B6"/>
    <w:rsid w:val="00626BE8"/>
    <w:rsid w:val="00626FC6"/>
    <w:rsid w:val="00630252"/>
    <w:rsid w:val="006313DB"/>
    <w:rsid w:val="00631518"/>
    <w:rsid w:val="00633C75"/>
    <w:rsid w:val="0063525F"/>
    <w:rsid w:val="00636CA8"/>
    <w:rsid w:val="00637424"/>
    <w:rsid w:val="006379F1"/>
    <w:rsid w:val="006400F6"/>
    <w:rsid w:val="00640A04"/>
    <w:rsid w:val="00641558"/>
    <w:rsid w:val="0064198F"/>
    <w:rsid w:val="006422C0"/>
    <w:rsid w:val="00642805"/>
    <w:rsid w:val="00644637"/>
    <w:rsid w:val="006448FF"/>
    <w:rsid w:val="00644B05"/>
    <w:rsid w:val="00646A35"/>
    <w:rsid w:val="00646B01"/>
    <w:rsid w:val="00647AC4"/>
    <w:rsid w:val="00647D7D"/>
    <w:rsid w:val="00650359"/>
    <w:rsid w:val="00650BF1"/>
    <w:rsid w:val="00651B42"/>
    <w:rsid w:val="00651BF8"/>
    <w:rsid w:val="00651C31"/>
    <w:rsid w:val="00651DF3"/>
    <w:rsid w:val="006524DA"/>
    <w:rsid w:val="00652738"/>
    <w:rsid w:val="00652BBD"/>
    <w:rsid w:val="00652FE8"/>
    <w:rsid w:val="006534F6"/>
    <w:rsid w:val="006542AE"/>
    <w:rsid w:val="0065537A"/>
    <w:rsid w:val="0065541E"/>
    <w:rsid w:val="0065542D"/>
    <w:rsid w:val="00655C3E"/>
    <w:rsid w:val="00655DA1"/>
    <w:rsid w:val="00655EF2"/>
    <w:rsid w:val="0065659A"/>
    <w:rsid w:val="00656AED"/>
    <w:rsid w:val="00656EB0"/>
    <w:rsid w:val="00657006"/>
    <w:rsid w:val="0065715B"/>
    <w:rsid w:val="00657EE5"/>
    <w:rsid w:val="00660402"/>
    <w:rsid w:val="0066131A"/>
    <w:rsid w:val="0066295A"/>
    <w:rsid w:val="00662BEE"/>
    <w:rsid w:val="0066363D"/>
    <w:rsid w:val="0066462C"/>
    <w:rsid w:val="006650E2"/>
    <w:rsid w:val="006666EA"/>
    <w:rsid w:val="00666F8F"/>
    <w:rsid w:val="0066730C"/>
    <w:rsid w:val="00667670"/>
    <w:rsid w:val="0066798D"/>
    <w:rsid w:val="00667BC7"/>
    <w:rsid w:val="00667C85"/>
    <w:rsid w:val="006720B7"/>
    <w:rsid w:val="00673AD3"/>
    <w:rsid w:val="00673F82"/>
    <w:rsid w:val="0067475F"/>
    <w:rsid w:val="00674916"/>
    <w:rsid w:val="00674C82"/>
    <w:rsid w:val="006755D7"/>
    <w:rsid w:val="006767E1"/>
    <w:rsid w:val="00677381"/>
    <w:rsid w:val="00677F1B"/>
    <w:rsid w:val="00680183"/>
    <w:rsid w:val="006803A4"/>
    <w:rsid w:val="00681B35"/>
    <w:rsid w:val="00682B04"/>
    <w:rsid w:val="00683731"/>
    <w:rsid w:val="0068429B"/>
    <w:rsid w:val="006845D8"/>
    <w:rsid w:val="006849AF"/>
    <w:rsid w:val="006855CA"/>
    <w:rsid w:val="00685773"/>
    <w:rsid w:val="006861F7"/>
    <w:rsid w:val="006865AA"/>
    <w:rsid w:val="00686C56"/>
    <w:rsid w:val="00686ECF"/>
    <w:rsid w:val="00687058"/>
    <w:rsid w:val="00687639"/>
    <w:rsid w:val="00687D7D"/>
    <w:rsid w:val="0069022C"/>
    <w:rsid w:val="006905AE"/>
    <w:rsid w:val="0069066E"/>
    <w:rsid w:val="006906EB"/>
    <w:rsid w:val="00690982"/>
    <w:rsid w:val="00690E5C"/>
    <w:rsid w:val="0069118C"/>
    <w:rsid w:val="0069173B"/>
    <w:rsid w:val="006920B8"/>
    <w:rsid w:val="00692959"/>
    <w:rsid w:val="00692E3E"/>
    <w:rsid w:val="00693FD4"/>
    <w:rsid w:val="006967F8"/>
    <w:rsid w:val="00696911"/>
    <w:rsid w:val="006975F6"/>
    <w:rsid w:val="006979F5"/>
    <w:rsid w:val="006A0248"/>
    <w:rsid w:val="006A0721"/>
    <w:rsid w:val="006A1A9B"/>
    <w:rsid w:val="006A1B6C"/>
    <w:rsid w:val="006A1D6E"/>
    <w:rsid w:val="006A225A"/>
    <w:rsid w:val="006A234A"/>
    <w:rsid w:val="006A27F1"/>
    <w:rsid w:val="006A3B43"/>
    <w:rsid w:val="006A433B"/>
    <w:rsid w:val="006A4FD4"/>
    <w:rsid w:val="006A51DE"/>
    <w:rsid w:val="006A6142"/>
    <w:rsid w:val="006A6310"/>
    <w:rsid w:val="006A7F34"/>
    <w:rsid w:val="006B05DE"/>
    <w:rsid w:val="006B1BF8"/>
    <w:rsid w:val="006B1C5F"/>
    <w:rsid w:val="006B1EFE"/>
    <w:rsid w:val="006B1FDE"/>
    <w:rsid w:val="006B235A"/>
    <w:rsid w:val="006B247C"/>
    <w:rsid w:val="006B4683"/>
    <w:rsid w:val="006B4A4D"/>
    <w:rsid w:val="006B5938"/>
    <w:rsid w:val="006B5C3A"/>
    <w:rsid w:val="006B5CBC"/>
    <w:rsid w:val="006B5CEF"/>
    <w:rsid w:val="006B5E80"/>
    <w:rsid w:val="006B7F99"/>
    <w:rsid w:val="006C045C"/>
    <w:rsid w:val="006C10AA"/>
    <w:rsid w:val="006C17A2"/>
    <w:rsid w:val="006C19EB"/>
    <w:rsid w:val="006C221D"/>
    <w:rsid w:val="006C2E8E"/>
    <w:rsid w:val="006C499D"/>
    <w:rsid w:val="006C6099"/>
    <w:rsid w:val="006C62BE"/>
    <w:rsid w:val="006C654C"/>
    <w:rsid w:val="006C6B23"/>
    <w:rsid w:val="006C7143"/>
    <w:rsid w:val="006C7B1D"/>
    <w:rsid w:val="006C7EC7"/>
    <w:rsid w:val="006D000B"/>
    <w:rsid w:val="006D04F8"/>
    <w:rsid w:val="006D0520"/>
    <w:rsid w:val="006D0634"/>
    <w:rsid w:val="006D0941"/>
    <w:rsid w:val="006D0E3A"/>
    <w:rsid w:val="006D20EA"/>
    <w:rsid w:val="006D2323"/>
    <w:rsid w:val="006D242C"/>
    <w:rsid w:val="006D2455"/>
    <w:rsid w:val="006D2802"/>
    <w:rsid w:val="006D2804"/>
    <w:rsid w:val="006D34A2"/>
    <w:rsid w:val="006D41C1"/>
    <w:rsid w:val="006D4404"/>
    <w:rsid w:val="006D44AF"/>
    <w:rsid w:val="006D46DE"/>
    <w:rsid w:val="006D5271"/>
    <w:rsid w:val="006D55F8"/>
    <w:rsid w:val="006D5923"/>
    <w:rsid w:val="006D5BF6"/>
    <w:rsid w:val="006D6161"/>
    <w:rsid w:val="006E0328"/>
    <w:rsid w:val="006E0A1A"/>
    <w:rsid w:val="006E0FD6"/>
    <w:rsid w:val="006E1C07"/>
    <w:rsid w:val="006E253B"/>
    <w:rsid w:val="006E3459"/>
    <w:rsid w:val="006E377F"/>
    <w:rsid w:val="006E4927"/>
    <w:rsid w:val="006E4C3E"/>
    <w:rsid w:val="006E50FB"/>
    <w:rsid w:val="006E654D"/>
    <w:rsid w:val="006E78D2"/>
    <w:rsid w:val="006F0AD8"/>
    <w:rsid w:val="006F0DBF"/>
    <w:rsid w:val="006F1050"/>
    <w:rsid w:val="006F12A0"/>
    <w:rsid w:val="006F1B7C"/>
    <w:rsid w:val="006F1DBE"/>
    <w:rsid w:val="006F1DDC"/>
    <w:rsid w:val="006F2173"/>
    <w:rsid w:val="006F222A"/>
    <w:rsid w:val="006F224C"/>
    <w:rsid w:val="006F2C10"/>
    <w:rsid w:val="006F36CF"/>
    <w:rsid w:val="006F40DF"/>
    <w:rsid w:val="006F4568"/>
    <w:rsid w:val="006F46F6"/>
    <w:rsid w:val="006F4B46"/>
    <w:rsid w:val="006F5A59"/>
    <w:rsid w:val="006F5BF9"/>
    <w:rsid w:val="006F5C32"/>
    <w:rsid w:val="006F5D2A"/>
    <w:rsid w:val="006F608A"/>
    <w:rsid w:val="006F655D"/>
    <w:rsid w:val="006F6853"/>
    <w:rsid w:val="006F731E"/>
    <w:rsid w:val="00700190"/>
    <w:rsid w:val="0070025D"/>
    <w:rsid w:val="00700B99"/>
    <w:rsid w:val="00701E70"/>
    <w:rsid w:val="00702101"/>
    <w:rsid w:val="00702135"/>
    <w:rsid w:val="00702262"/>
    <w:rsid w:val="007022A7"/>
    <w:rsid w:val="00702462"/>
    <w:rsid w:val="0070283D"/>
    <w:rsid w:val="00702943"/>
    <w:rsid w:val="00703708"/>
    <w:rsid w:val="00703F40"/>
    <w:rsid w:val="0070461D"/>
    <w:rsid w:val="0070479D"/>
    <w:rsid w:val="00704A1E"/>
    <w:rsid w:val="00705ED8"/>
    <w:rsid w:val="00706D63"/>
    <w:rsid w:val="00706EE5"/>
    <w:rsid w:val="0070750E"/>
    <w:rsid w:val="007076D7"/>
    <w:rsid w:val="00707BFE"/>
    <w:rsid w:val="00711026"/>
    <w:rsid w:val="007122AB"/>
    <w:rsid w:val="00712E6A"/>
    <w:rsid w:val="007130C2"/>
    <w:rsid w:val="007132F9"/>
    <w:rsid w:val="00713987"/>
    <w:rsid w:val="00713CEB"/>
    <w:rsid w:val="007144D2"/>
    <w:rsid w:val="00715169"/>
    <w:rsid w:val="007154D3"/>
    <w:rsid w:val="00715FC5"/>
    <w:rsid w:val="007168D7"/>
    <w:rsid w:val="00716B03"/>
    <w:rsid w:val="00717298"/>
    <w:rsid w:val="00717800"/>
    <w:rsid w:val="00717BC7"/>
    <w:rsid w:val="00717C48"/>
    <w:rsid w:val="00717DDA"/>
    <w:rsid w:val="00717F25"/>
    <w:rsid w:val="0072049A"/>
    <w:rsid w:val="007204F9"/>
    <w:rsid w:val="00720880"/>
    <w:rsid w:val="00721498"/>
    <w:rsid w:val="007218CE"/>
    <w:rsid w:val="00721CF6"/>
    <w:rsid w:val="00721F1C"/>
    <w:rsid w:val="00722198"/>
    <w:rsid w:val="00722469"/>
    <w:rsid w:val="00722F8B"/>
    <w:rsid w:val="00724520"/>
    <w:rsid w:val="00724A76"/>
    <w:rsid w:val="00725685"/>
    <w:rsid w:val="00725870"/>
    <w:rsid w:val="0072596A"/>
    <w:rsid w:val="0072677F"/>
    <w:rsid w:val="00727101"/>
    <w:rsid w:val="00727158"/>
    <w:rsid w:val="007272E7"/>
    <w:rsid w:val="00727742"/>
    <w:rsid w:val="0073075B"/>
    <w:rsid w:val="00730C68"/>
    <w:rsid w:val="00730E94"/>
    <w:rsid w:val="00731817"/>
    <w:rsid w:val="00731CFC"/>
    <w:rsid w:val="00731DD5"/>
    <w:rsid w:val="00732655"/>
    <w:rsid w:val="007326B2"/>
    <w:rsid w:val="00732F3B"/>
    <w:rsid w:val="007331FA"/>
    <w:rsid w:val="00733456"/>
    <w:rsid w:val="00733FFF"/>
    <w:rsid w:val="007342D9"/>
    <w:rsid w:val="00734886"/>
    <w:rsid w:val="00734941"/>
    <w:rsid w:val="007352E6"/>
    <w:rsid w:val="00735413"/>
    <w:rsid w:val="00736164"/>
    <w:rsid w:val="0073679F"/>
    <w:rsid w:val="007367E4"/>
    <w:rsid w:val="0073683C"/>
    <w:rsid w:val="0073764A"/>
    <w:rsid w:val="00737CC0"/>
    <w:rsid w:val="007405C1"/>
    <w:rsid w:val="00740B3F"/>
    <w:rsid w:val="00740DE2"/>
    <w:rsid w:val="007417A0"/>
    <w:rsid w:val="007417D8"/>
    <w:rsid w:val="00741D2D"/>
    <w:rsid w:val="00742C4D"/>
    <w:rsid w:val="00742CE9"/>
    <w:rsid w:val="00742D72"/>
    <w:rsid w:val="0074307B"/>
    <w:rsid w:val="007437F5"/>
    <w:rsid w:val="00743850"/>
    <w:rsid w:val="0074401E"/>
    <w:rsid w:val="00744359"/>
    <w:rsid w:val="0074439B"/>
    <w:rsid w:val="007447B7"/>
    <w:rsid w:val="00745246"/>
    <w:rsid w:val="007454C1"/>
    <w:rsid w:val="00745F7B"/>
    <w:rsid w:val="00745F82"/>
    <w:rsid w:val="007474ED"/>
    <w:rsid w:val="00747A37"/>
    <w:rsid w:val="007506AE"/>
    <w:rsid w:val="007510B8"/>
    <w:rsid w:val="00751318"/>
    <w:rsid w:val="0075139D"/>
    <w:rsid w:val="007514E2"/>
    <w:rsid w:val="007517A6"/>
    <w:rsid w:val="00752245"/>
    <w:rsid w:val="007525C8"/>
    <w:rsid w:val="0075273E"/>
    <w:rsid w:val="00753400"/>
    <w:rsid w:val="00753EB3"/>
    <w:rsid w:val="00754B8A"/>
    <w:rsid w:val="00754EE5"/>
    <w:rsid w:val="00755A4B"/>
    <w:rsid w:val="00755BDA"/>
    <w:rsid w:val="00755C66"/>
    <w:rsid w:val="00755F89"/>
    <w:rsid w:val="00755FB0"/>
    <w:rsid w:val="00756315"/>
    <w:rsid w:val="007574CB"/>
    <w:rsid w:val="007576FA"/>
    <w:rsid w:val="00757903"/>
    <w:rsid w:val="007600A2"/>
    <w:rsid w:val="00760337"/>
    <w:rsid w:val="00760DBF"/>
    <w:rsid w:val="00761519"/>
    <w:rsid w:val="00761BCC"/>
    <w:rsid w:val="00761C43"/>
    <w:rsid w:val="0076202D"/>
    <w:rsid w:val="00762153"/>
    <w:rsid w:val="00762BA6"/>
    <w:rsid w:val="00764258"/>
    <w:rsid w:val="00764B9E"/>
    <w:rsid w:val="00764C9F"/>
    <w:rsid w:val="0076507C"/>
    <w:rsid w:val="00765189"/>
    <w:rsid w:val="007658CD"/>
    <w:rsid w:val="00765B53"/>
    <w:rsid w:val="00766968"/>
    <w:rsid w:val="00766A7B"/>
    <w:rsid w:val="00766CE2"/>
    <w:rsid w:val="0076781C"/>
    <w:rsid w:val="0077081C"/>
    <w:rsid w:val="00770BBB"/>
    <w:rsid w:val="00770CE1"/>
    <w:rsid w:val="00771899"/>
    <w:rsid w:val="0077248B"/>
    <w:rsid w:val="00772BE5"/>
    <w:rsid w:val="00772F07"/>
    <w:rsid w:val="00773350"/>
    <w:rsid w:val="00773358"/>
    <w:rsid w:val="007733E0"/>
    <w:rsid w:val="007733EC"/>
    <w:rsid w:val="0077364C"/>
    <w:rsid w:val="00773E6B"/>
    <w:rsid w:val="0077406F"/>
    <w:rsid w:val="00774582"/>
    <w:rsid w:val="0077482F"/>
    <w:rsid w:val="00776591"/>
    <w:rsid w:val="00777373"/>
    <w:rsid w:val="00780643"/>
    <w:rsid w:val="007808BB"/>
    <w:rsid w:val="00780D4C"/>
    <w:rsid w:val="00780D73"/>
    <w:rsid w:val="007810DC"/>
    <w:rsid w:val="00781697"/>
    <w:rsid w:val="00781852"/>
    <w:rsid w:val="007818A3"/>
    <w:rsid w:val="00782C32"/>
    <w:rsid w:val="007841BF"/>
    <w:rsid w:val="0078471F"/>
    <w:rsid w:val="007851D2"/>
    <w:rsid w:val="00785B07"/>
    <w:rsid w:val="00785D62"/>
    <w:rsid w:val="00785FE2"/>
    <w:rsid w:val="00786695"/>
    <w:rsid w:val="00786ED3"/>
    <w:rsid w:val="00787913"/>
    <w:rsid w:val="007879BC"/>
    <w:rsid w:val="007879FA"/>
    <w:rsid w:val="00787B06"/>
    <w:rsid w:val="00787EBD"/>
    <w:rsid w:val="00790158"/>
    <w:rsid w:val="007902FD"/>
    <w:rsid w:val="00791046"/>
    <w:rsid w:val="00791067"/>
    <w:rsid w:val="00791275"/>
    <w:rsid w:val="0079130A"/>
    <w:rsid w:val="00791DBB"/>
    <w:rsid w:val="00792700"/>
    <w:rsid w:val="00792B0A"/>
    <w:rsid w:val="00792C01"/>
    <w:rsid w:val="007931BC"/>
    <w:rsid w:val="007935B9"/>
    <w:rsid w:val="00793613"/>
    <w:rsid w:val="00793765"/>
    <w:rsid w:val="007939C8"/>
    <w:rsid w:val="00794B5B"/>
    <w:rsid w:val="00794C88"/>
    <w:rsid w:val="00794D91"/>
    <w:rsid w:val="00795CF9"/>
    <w:rsid w:val="00795FDA"/>
    <w:rsid w:val="0079660D"/>
    <w:rsid w:val="0079674C"/>
    <w:rsid w:val="00796CFC"/>
    <w:rsid w:val="007A197E"/>
    <w:rsid w:val="007A1BE5"/>
    <w:rsid w:val="007A20FA"/>
    <w:rsid w:val="007A279D"/>
    <w:rsid w:val="007A29D4"/>
    <w:rsid w:val="007A411C"/>
    <w:rsid w:val="007A4321"/>
    <w:rsid w:val="007A49B5"/>
    <w:rsid w:val="007A4D09"/>
    <w:rsid w:val="007A5898"/>
    <w:rsid w:val="007A61D1"/>
    <w:rsid w:val="007A64D6"/>
    <w:rsid w:val="007A6DD2"/>
    <w:rsid w:val="007A74B6"/>
    <w:rsid w:val="007B0C08"/>
    <w:rsid w:val="007B0EFE"/>
    <w:rsid w:val="007B0F08"/>
    <w:rsid w:val="007B137D"/>
    <w:rsid w:val="007B19D7"/>
    <w:rsid w:val="007B1F5C"/>
    <w:rsid w:val="007B22E4"/>
    <w:rsid w:val="007B2A38"/>
    <w:rsid w:val="007B3628"/>
    <w:rsid w:val="007B3CC8"/>
    <w:rsid w:val="007B56EB"/>
    <w:rsid w:val="007B579E"/>
    <w:rsid w:val="007B5D8D"/>
    <w:rsid w:val="007B67C4"/>
    <w:rsid w:val="007B73EF"/>
    <w:rsid w:val="007C0152"/>
    <w:rsid w:val="007C0AD9"/>
    <w:rsid w:val="007C1D41"/>
    <w:rsid w:val="007C28CD"/>
    <w:rsid w:val="007C3050"/>
    <w:rsid w:val="007C32FF"/>
    <w:rsid w:val="007C356B"/>
    <w:rsid w:val="007C3D44"/>
    <w:rsid w:val="007C41A2"/>
    <w:rsid w:val="007C45CA"/>
    <w:rsid w:val="007C4B9E"/>
    <w:rsid w:val="007C69DF"/>
    <w:rsid w:val="007C6D72"/>
    <w:rsid w:val="007C717A"/>
    <w:rsid w:val="007C7C02"/>
    <w:rsid w:val="007D0356"/>
    <w:rsid w:val="007D0721"/>
    <w:rsid w:val="007D0FFC"/>
    <w:rsid w:val="007D12A4"/>
    <w:rsid w:val="007D16E9"/>
    <w:rsid w:val="007D180B"/>
    <w:rsid w:val="007D1A0E"/>
    <w:rsid w:val="007D1D2A"/>
    <w:rsid w:val="007D2B29"/>
    <w:rsid w:val="007D39B8"/>
    <w:rsid w:val="007D3F9F"/>
    <w:rsid w:val="007D4AD1"/>
    <w:rsid w:val="007D4B17"/>
    <w:rsid w:val="007D72DA"/>
    <w:rsid w:val="007D7852"/>
    <w:rsid w:val="007E04FC"/>
    <w:rsid w:val="007E06E0"/>
    <w:rsid w:val="007E086C"/>
    <w:rsid w:val="007E0E64"/>
    <w:rsid w:val="007E0E9B"/>
    <w:rsid w:val="007E27C5"/>
    <w:rsid w:val="007E2908"/>
    <w:rsid w:val="007E3482"/>
    <w:rsid w:val="007E4CD4"/>
    <w:rsid w:val="007E5AD4"/>
    <w:rsid w:val="007E5AF1"/>
    <w:rsid w:val="007E5E65"/>
    <w:rsid w:val="007E5E66"/>
    <w:rsid w:val="007E5EC3"/>
    <w:rsid w:val="007E735D"/>
    <w:rsid w:val="007E7B8D"/>
    <w:rsid w:val="007F0019"/>
    <w:rsid w:val="007F2BF5"/>
    <w:rsid w:val="007F3428"/>
    <w:rsid w:val="007F3A19"/>
    <w:rsid w:val="007F3A7B"/>
    <w:rsid w:val="007F3CC8"/>
    <w:rsid w:val="007F43B6"/>
    <w:rsid w:val="007F4BBD"/>
    <w:rsid w:val="007F5F46"/>
    <w:rsid w:val="007F71E3"/>
    <w:rsid w:val="008001B1"/>
    <w:rsid w:val="008006D7"/>
    <w:rsid w:val="00800AE7"/>
    <w:rsid w:val="00801E14"/>
    <w:rsid w:val="00802EB5"/>
    <w:rsid w:val="008035E7"/>
    <w:rsid w:val="008045C1"/>
    <w:rsid w:val="00804690"/>
    <w:rsid w:val="008049E1"/>
    <w:rsid w:val="00805337"/>
    <w:rsid w:val="00806551"/>
    <w:rsid w:val="00806DBA"/>
    <w:rsid w:val="0080730F"/>
    <w:rsid w:val="00807885"/>
    <w:rsid w:val="00807AA5"/>
    <w:rsid w:val="00810C61"/>
    <w:rsid w:val="0081110F"/>
    <w:rsid w:val="008112C0"/>
    <w:rsid w:val="00811C6C"/>
    <w:rsid w:val="00812597"/>
    <w:rsid w:val="0081295C"/>
    <w:rsid w:val="008129CA"/>
    <w:rsid w:val="00812B36"/>
    <w:rsid w:val="0081365A"/>
    <w:rsid w:val="0081437C"/>
    <w:rsid w:val="008145B8"/>
    <w:rsid w:val="00814E9A"/>
    <w:rsid w:val="00815033"/>
    <w:rsid w:val="008159D0"/>
    <w:rsid w:val="00815BD7"/>
    <w:rsid w:val="00816CFC"/>
    <w:rsid w:val="008171D6"/>
    <w:rsid w:val="008174AA"/>
    <w:rsid w:val="008176AE"/>
    <w:rsid w:val="00817CBE"/>
    <w:rsid w:val="00820A15"/>
    <w:rsid w:val="00820E91"/>
    <w:rsid w:val="00821DE5"/>
    <w:rsid w:val="00823016"/>
    <w:rsid w:val="0082314E"/>
    <w:rsid w:val="008236BF"/>
    <w:rsid w:val="00823E76"/>
    <w:rsid w:val="00824CA5"/>
    <w:rsid w:val="008254EC"/>
    <w:rsid w:val="008256AC"/>
    <w:rsid w:val="00825B76"/>
    <w:rsid w:val="00825C0B"/>
    <w:rsid w:val="00825C85"/>
    <w:rsid w:val="00827D30"/>
    <w:rsid w:val="00830533"/>
    <w:rsid w:val="00830DF0"/>
    <w:rsid w:val="008312B4"/>
    <w:rsid w:val="0083205D"/>
    <w:rsid w:val="0083210D"/>
    <w:rsid w:val="00832F01"/>
    <w:rsid w:val="008340DE"/>
    <w:rsid w:val="008340F1"/>
    <w:rsid w:val="008344F7"/>
    <w:rsid w:val="008353F8"/>
    <w:rsid w:val="00835B93"/>
    <w:rsid w:val="00835CAE"/>
    <w:rsid w:val="00836096"/>
    <w:rsid w:val="0083632D"/>
    <w:rsid w:val="00836A91"/>
    <w:rsid w:val="008376C3"/>
    <w:rsid w:val="0083771A"/>
    <w:rsid w:val="008378CB"/>
    <w:rsid w:val="008409CF"/>
    <w:rsid w:val="008413CC"/>
    <w:rsid w:val="00841D39"/>
    <w:rsid w:val="0084237F"/>
    <w:rsid w:val="00842E89"/>
    <w:rsid w:val="00843399"/>
    <w:rsid w:val="0084388D"/>
    <w:rsid w:val="008439AE"/>
    <w:rsid w:val="00843A89"/>
    <w:rsid w:val="00843BB2"/>
    <w:rsid w:val="00843EB6"/>
    <w:rsid w:val="00844BED"/>
    <w:rsid w:val="00844E5C"/>
    <w:rsid w:val="008459A5"/>
    <w:rsid w:val="00845D48"/>
    <w:rsid w:val="0084639B"/>
    <w:rsid w:val="008470B1"/>
    <w:rsid w:val="008476E0"/>
    <w:rsid w:val="00847834"/>
    <w:rsid w:val="00847A5E"/>
    <w:rsid w:val="0085074C"/>
    <w:rsid w:val="008526D2"/>
    <w:rsid w:val="0085408E"/>
    <w:rsid w:val="008542D9"/>
    <w:rsid w:val="0085451D"/>
    <w:rsid w:val="00855041"/>
    <w:rsid w:val="008552A5"/>
    <w:rsid w:val="00855829"/>
    <w:rsid w:val="00856088"/>
    <w:rsid w:val="00857C6E"/>
    <w:rsid w:val="00860350"/>
    <w:rsid w:val="00860D17"/>
    <w:rsid w:val="0086133C"/>
    <w:rsid w:val="00861F71"/>
    <w:rsid w:val="008624E6"/>
    <w:rsid w:val="008633D4"/>
    <w:rsid w:val="00864698"/>
    <w:rsid w:val="0086631C"/>
    <w:rsid w:val="00866686"/>
    <w:rsid w:val="00867385"/>
    <w:rsid w:val="008700ED"/>
    <w:rsid w:val="00871DC9"/>
    <w:rsid w:val="00872930"/>
    <w:rsid w:val="008733AA"/>
    <w:rsid w:val="0087346B"/>
    <w:rsid w:val="008736C5"/>
    <w:rsid w:val="0087384E"/>
    <w:rsid w:val="008738DE"/>
    <w:rsid w:val="00873E2D"/>
    <w:rsid w:val="00875483"/>
    <w:rsid w:val="00875972"/>
    <w:rsid w:val="0087622F"/>
    <w:rsid w:val="00876F2B"/>
    <w:rsid w:val="00877A1E"/>
    <w:rsid w:val="00880109"/>
    <w:rsid w:val="0088036C"/>
    <w:rsid w:val="00880F9F"/>
    <w:rsid w:val="00882177"/>
    <w:rsid w:val="008824A2"/>
    <w:rsid w:val="00883146"/>
    <w:rsid w:val="00883783"/>
    <w:rsid w:val="00884F06"/>
    <w:rsid w:val="00885B1A"/>
    <w:rsid w:val="008861CC"/>
    <w:rsid w:val="008862A0"/>
    <w:rsid w:val="008863B8"/>
    <w:rsid w:val="00886BFE"/>
    <w:rsid w:val="008876B7"/>
    <w:rsid w:val="0088776C"/>
    <w:rsid w:val="0088799D"/>
    <w:rsid w:val="00887BB3"/>
    <w:rsid w:val="00890BB8"/>
    <w:rsid w:val="008916FC"/>
    <w:rsid w:val="008917D6"/>
    <w:rsid w:val="008934B6"/>
    <w:rsid w:val="00894743"/>
    <w:rsid w:val="00895171"/>
    <w:rsid w:val="00895271"/>
    <w:rsid w:val="00895317"/>
    <w:rsid w:val="00895624"/>
    <w:rsid w:val="00895BE6"/>
    <w:rsid w:val="00896324"/>
    <w:rsid w:val="00897E99"/>
    <w:rsid w:val="00897FEB"/>
    <w:rsid w:val="008A003A"/>
    <w:rsid w:val="008A11E3"/>
    <w:rsid w:val="008A170B"/>
    <w:rsid w:val="008A1900"/>
    <w:rsid w:val="008A1D7A"/>
    <w:rsid w:val="008A20F1"/>
    <w:rsid w:val="008A279C"/>
    <w:rsid w:val="008A2C22"/>
    <w:rsid w:val="008A2F6E"/>
    <w:rsid w:val="008A35DB"/>
    <w:rsid w:val="008A3756"/>
    <w:rsid w:val="008A4A61"/>
    <w:rsid w:val="008A4B3B"/>
    <w:rsid w:val="008A4F8F"/>
    <w:rsid w:val="008A5856"/>
    <w:rsid w:val="008A633F"/>
    <w:rsid w:val="008A63DA"/>
    <w:rsid w:val="008A7A65"/>
    <w:rsid w:val="008B1AC7"/>
    <w:rsid w:val="008B231E"/>
    <w:rsid w:val="008B2D8D"/>
    <w:rsid w:val="008B3D91"/>
    <w:rsid w:val="008B40D9"/>
    <w:rsid w:val="008B4B34"/>
    <w:rsid w:val="008B626E"/>
    <w:rsid w:val="008B65FC"/>
    <w:rsid w:val="008B6EB5"/>
    <w:rsid w:val="008B6FC4"/>
    <w:rsid w:val="008B701D"/>
    <w:rsid w:val="008C03F5"/>
    <w:rsid w:val="008C0A55"/>
    <w:rsid w:val="008C0C85"/>
    <w:rsid w:val="008C0CA4"/>
    <w:rsid w:val="008C0E05"/>
    <w:rsid w:val="008C1974"/>
    <w:rsid w:val="008C1BE9"/>
    <w:rsid w:val="008C30DD"/>
    <w:rsid w:val="008C31C5"/>
    <w:rsid w:val="008C331F"/>
    <w:rsid w:val="008C3918"/>
    <w:rsid w:val="008C39A0"/>
    <w:rsid w:val="008C45F9"/>
    <w:rsid w:val="008C5CCE"/>
    <w:rsid w:val="008C6060"/>
    <w:rsid w:val="008C661C"/>
    <w:rsid w:val="008C6D69"/>
    <w:rsid w:val="008C7C88"/>
    <w:rsid w:val="008D06BB"/>
    <w:rsid w:val="008D0D42"/>
    <w:rsid w:val="008D13F1"/>
    <w:rsid w:val="008D184F"/>
    <w:rsid w:val="008D1869"/>
    <w:rsid w:val="008D1F84"/>
    <w:rsid w:val="008D313C"/>
    <w:rsid w:val="008D3412"/>
    <w:rsid w:val="008D3D32"/>
    <w:rsid w:val="008D4481"/>
    <w:rsid w:val="008D54FE"/>
    <w:rsid w:val="008D5562"/>
    <w:rsid w:val="008D5C08"/>
    <w:rsid w:val="008D5C46"/>
    <w:rsid w:val="008D73DB"/>
    <w:rsid w:val="008D787A"/>
    <w:rsid w:val="008D7E2C"/>
    <w:rsid w:val="008E0494"/>
    <w:rsid w:val="008E07F2"/>
    <w:rsid w:val="008E0B57"/>
    <w:rsid w:val="008E13D9"/>
    <w:rsid w:val="008E1619"/>
    <w:rsid w:val="008E2D8C"/>
    <w:rsid w:val="008E32DD"/>
    <w:rsid w:val="008E5655"/>
    <w:rsid w:val="008E60CC"/>
    <w:rsid w:val="008E6EF6"/>
    <w:rsid w:val="008E72A3"/>
    <w:rsid w:val="008E72A9"/>
    <w:rsid w:val="008E7A33"/>
    <w:rsid w:val="008F00B4"/>
    <w:rsid w:val="008F06A8"/>
    <w:rsid w:val="008F0973"/>
    <w:rsid w:val="008F0976"/>
    <w:rsid w:val="008F0E12"/>
    <w:rsid w:val="008F0E61"/>
    <w:rsid w:val="008F1D91"/>
    <w:rsid w:val="008F20C3"/>
    <w:rsid w:val="008F20CD"/>
    <w:rsid w:val="008F329B"/>
    <w:rsid w:val="008F419C"/>
    <w:rsid w:val="008F4356"/>
    <w:rsid w:val="008F473D"/>
    <w:rsid w:val="008F4BEC"/>
    <w:rsid w:val="008F61D1"/>
    <w:rsid w:val="008F64D8"/>
    <w:rsid w:val="008F67C7"/>
    <w:rsid w:val="008F6ADF"/>
    <w:rsid w:val="008F71DB"/>
    <w:rsid w:val="008F7C72"/>
    <w:rsid w:val="009003FB"/>
    <w:rsid w:val="00901BB6"/>
    <w:rsid w:val="00901E44"/>
    <w:rsid w:val="00902529"/>
    <w:rsid w:val="00903A82"/>
    <w:rsid w:val="00904EDE"/>
    <w:rsid w:val="00905C21"/>
    <w:rsid w:val="00906496"/>
    <w:rsid w:val="00906AAB"/>
    <w:rsid w:val="00906BB7"/>
    <w:rsid w:val="00906BC4"/>
    <w:rsid w:val="00906BE6"/>
    <w:rsid w:val="009079FC"/>
    <w:rsid w:val="00907CAC"/>
    <w:rsid w:val="00907DD5"/>
    <w:rsid w:val="00907EF1"/>
    <w:rsid w:val="0091085A"/>
    <w:rsid w:val="0091086D"/>
    <w:rsid w:val="00910C17"/>
    <w:rsid w:val="00910FC2"/>
    <w:rsid w:val="00911D63"/>
    <w:rsid w:val="00911EAA"/>
    <w:rsid w:val="0091310B"/>
    <w:rsid w:val="00913D80"/>
    <w:rsid w:val="00913EB8"/>
    <w:rsid w:val="00915EB0"/>
    <w:rsid w:val="00916902"/>
    <w:rsid w:val="00917404"/>
    <w:rsid w:val="00917D4A"/>
    <w:rsid w:val="0092058F"/>
    <w:rsid w:val="009206F0"/>
    <w:rsid w:val="00921FE2"/>
    <w:rsid w:val="0092239E"/>
    <w:rsid w:val="00922916"/>
    <w:rsid w:val="00922F5F"/>
    <w:rsid w:val="009231DF"/>
    <w:rsid w:val="009232D4"/>
    <w:rsid w:val="00923956"/>
    <w:rsid w:val="00924A39"/>
    <w:rsid w:val="00924E16"/>
    <w:rsid w:val="00925147"/>
    <w:rsid w:val="0092556D"/>
    <w:rsid w:val="00925A7C"/>
    <w:rsid w:val="00925DC9"/>
    <w:rsid w:val="0092677A"/>
    <w:rsid w:val="0092706A"/>
    <w:rsid w:val="00927430"/>
    <w:rsid w:val="009278BE"/>
    <w:rsid w:val="00927D55"/>
    <w:rsid w:val="00927DAB"/>
    <w:rsid w:val="009311BF"/>
    <w:rsid w:val="00932396"/>
    <w:rsid w:val="00932CD4"/>
    <w:rsid w:val="00932E96"/>
    <w:rsid w:val="0093317F"/>
    <w:rsid w:val="00933A52"/>
    <w:rsid w:val="00933C32"/>
    <w:rsid w:val="00933FF9"/>
    <w:rsid w:val="009344CD"/>
    <w:rsid w:val="009346C3"/>
    <w:rsid w:val="009351F7"/>
    <w:rsid w:val="00936583"/>
    <w:rsid w:val="00937A5D"/>
    <w:rsid w:val="00937E09"/>
    <w:rsid w:val="00937E71"/>
    <w:rsid w:val="0094038D"/>
    <w:rsid w:val="009410AB"/>
    <w:rsid w:val="0094210F"/>
    <w:rsid w:val="00942152"/>
    <w:rsid w:val="009421DB"/>
    <w:rsid w:val="00942BBA"/>
    <w:rsid w:val="00942DB8"/>
    <w:rsid w:val="0094308B"/>
    <w:rsid w:val="0094331B"/>
    <w:rsid w:val="00943660"/>
    <w:rsid w:val="009443DB"/>
    <w:rsid w:val="00944AB0"/>
    <w:rsid w:val="0094501E"/>
    <w:rsid w:val="009452E1"/>
    <w:rsid w:val="009454F5"/>
    <w:rsid w:val="009469CF"/>
    <w:rsid w:val="00950B23"/>
    <w:rsid w:val="00950B2A"/>
    <w:rsid w:val="00951228"/>
    <w:rsid w:val="009515DF"/>
    <w:rsid w:val="009517A6"/>
    <w:rsid w:val="009517DB"/>
    <w:rsid w:val="009526B8"/>
    <w:rsid w:val="00952ADA"/>
    <w:rsid w:val="00952D8A"/>
    <w:rsid w:val="00953B07"/>
    <w:rsid w:val="00953E07"/>
    <w:rsid w:val="00953F0D"/>
    <w:rsid w:val="009542E1"/>
    <w:rsid w:val="00954FEF"/>
    <w:rsid w:val="0095500E"/>
    <w:rsid w:val="00955152"/>
    <w:rsid w:val="00955281"/>
    <w:rsid w:val="009569AA"/>
    <w:rsid w:val="00956E4E"/>
    <w:rsid w:val="00957751"/>
    <w:rsid w:val="0096087F"/>
    <w:rsid w:val="00960913"/>
    <w:rsid w:val="00960E5A"/>
    <w:rsid w:val="0096117E"/>
    <w:rsid w:val="00961649"/>
    <w:rsid w:val="00961E3D"/>
    <w:rsid w:val="00962668"/>
    <w:rsid w:val="0096286F"/>
    <w:rsid w:val="00962BD6"/>
    <w:rsid w:val="009631D5"/>
    <w:rsid w:val="00963360"/>
    <w:rsid w:val="009635A8"/>
    <w:rsid w:val="00964065"/>
    <w:rsid w:val="00965C6A"/>
    <w:rsid w:val="00966668"/>
    <w:rsid w:val="00966EF4"/>
    <w:rsid w:val="009671A5"/>
    <w:rsid w:val="009671FD"/>
    <w:rsid w:val="009701BC"/>
    <w:rsid w:val="00970446"/>
    <w:rsid w:val="00971A81"/>
    <w:rsid w:val="00971BF5"/>
    <w:rsid w:val="009747C7"/>
    <w:rsid w:val="00975161"/>
    <w:rsid w:val="00975316"/>
    <w:rsid w:val="00975A90"/>
    <w:rsid w:val="00975DA0"/>
    <w:rsid w:val="00976136"/>
    <w:rsid w:val="00976770"/>
    <w:rsid w:val="00976799"/>
    <w:rsid w:val="00976886"/>
    <w:rsid w:val="009774AB"/>
    <w:rsid w:val="00977F8B"/>
    <w:rsid w:val="00980116"/>
    <w:rsid w:val="0098029C"/>
    <w:rsid w:val="009804F5"/>
    <w:rsid w:val="009806FF"/>
    <w:rsid w:val="00981A79"/>
    <w:rsid w:val="00981C9C"/>
    <w:rsid w:val="009822EF"/>
    <w:rsid w:val="0098232C"/>
    <w:rsid w:val="00982EDE"/>
    <w:rsid w:val="00983415"/>
    <w:rsid w:val="00983462"/>
    <w:rsid w:val="00983C17"/>
    <w:rsid w:val="0098453C"/>
    <w:rsid w:val="00984775"/>
    <w:rsid w:val="0098487E"/>
    <w:rsid w:val="00984DE0"/>
    <w:rsid w:val="0098578C"/>
    <w:rsid w:val="00985A61"/>
    <w:rsid w:val="00985E16"/>
    <w:rsid w:val="00986C0C"/>
    <w:rsid w:val="00986DCB"/>
    <w:rsid w:val="00986F50"/>
    <w:rsid w:val="00986FD0"/>
    <w:rsid w:val="00987B6A"/>
    <w:rsid w:val="0099091D"/>
    <w:rsid w:val="00990A7F"/>
    <w:rsid w:val="00991591"/>
    <w:rsid w:val="00991E93"/>
    <w:rsid w:val="0099233F"/>
    <w:rsid w:val="009926EF"/>
    <w:rsid w:val="0099445C"/>
    <w:rsid w:val="00994989"/>
    <w:rsid w:val="00994D64"/>
    <w:rsid w:val="00995267"/>
    <w:rsid w:val="009953B1"/>
    <w:rsid w:val="00995653"/>
    <w:rsid w:val="00996B25"/>
    <w:rsid w:val="00996BEF"/>
    <w:rsid w:val="00996C9F"/>
    <w:rsid w:val="00996E14"/>
    <w:rsid w:val="00996F3F"/>
    <w:rsid w:val="009977DB"/>
    <w:rsid w:val="00997C89"/>
    <w:rsid w:val="009A0685"/>
    <w:rsid w:val="009A1B0E"/>
    <w:rsid w:val="009A2A5B"/>
    <w:rsid w:val="009A33A2"/>
    <w:rsid w:val="009A36FF"/>
    <w:rsid w:val="009A3B98"/>
    <w:rsid w:val="009A3C12"/>
    <w:rsid w:val="009A45E0"/>
    <w:rsid w:val="009A4724"/>
    <w:rsid w:val="009A4AA6"/>
    <w:rsid w:val="009A4C6D"/>
    <w:rsid w:val="009A5A4B"/>
    <w:rsid w:val="009A6895"/>
    <w:rsid w:val="009A69AF"/>
    <w:rsid w:val="009A69BF"/>
    <w:rsid w:val="009A6FC2"/>
    <w:rsid w:val="009A70FD"/>
    <w:rsid w:val="009A7236"/>
    <w:rsid w:val="009B0209"/>
    <w:rsid w:val="009B0292"/>
    <w:rsid w:val="009B1208"/>
    <w:rsid w:val="009B176D"/>
    <w:rsid w:val="009B1FAF"/>
    <w:rsid w:val="009B1FC3"/>
    <w:rsid w:val="009B2A64"/>
    <w:rsid w:val="009B2FF0"/>
    <w:rsid w:val="009B3311"/>
    <w:rsid w:val="009B452A"/>
    <w:rsid w:val="009B479A"/>
    <w:rsid w:val="009B56D5"/>
    <w:rsid w:val="009B68C7"/>
    <w:rsid w:val="009B6AC7"/>
    <w:rsid w:val="009B7393"/>
    <w:rsid w:val="009B7633"/>
    <w:rsid w:val="009B7C39"/>
    <w:rsid w:val="009B7D52"/>
    <w:rsid w:val="009C074A"/>
    <w:rsid w:val="009C275B"/>
    <w:rsid w:val="009C33E1"/>
    <w:rsid w:val="009C4472"/>
    <w:rsid w:val="009C4677"/>
    <w:rsid w:val="009C4969"/>
    <w:rsid w:val="009C55AF"/>
    <w:rsid w:val="009C5E23"/>
    <w:rsid w:val="009C684C"/>
    <w:rsid w:val="009C6DFB"/>
    <w:rsid w:val="009C732C"/>
    <w:rsid w:val="009C7BC8"/>
    <w:rsid w:val="009D07C8"/>
    <w:rsid w:val="009D0AF9"/>
    <w:rsid w:val="009D0B5E"/>
    <w:rsid w:val="009D0D52"/>
    <w:rsid w:val="009D1551"/>
    <w:rsid w:val="009D1F29"/>
    <w:rsid w:val="009D2230"/>
    <w:rsid w:val="009D2411"/>
    <w:rsid w:val="009D2A39"/>
    <w:rsid w:val="009D2D9A"/>
    <w:rsid w:val="009D306E"/>
    <w:rsid w:val="009D3F91"/>
    <w:rsid w:val="009D4A2D"/>
    <w:rsid w:val="009D4A88"/>
    <w:rsid w:val="009D4E00"/>
    <w:rsid w:val="009D5676"/>
    <w:rsid w:val="009D5757"/>
    <w:rsid w:val="009D5773"/>
    <w:rsid w:val="009D5BF5"/>
    <w:rsid w:val="009D6013"/>
    <w:rsid w:val="009D6014"/>
    <w:rsid w:val="009D6AF0"/>
    <w:rsid w:val="009D6E47"/>
    <w:rsid w:val="009D7532"/>
    <w:rsid w:val="009E003C"/>
    <w:rsid w:val="009E00C3"/>
    <w:rsid w:val="009E0CD4"/>
    <w:rsid w:val="009E0F42"/>
    <w:rsid w:val="009E13F5"/>
    <w:rsid w:val="009E1662"/>
    <w:rsid w:val="009E1B82"/>
    <w:rsid w:val="009E1C8E"/>
    <w:rsid w:val="009E1EEA"/>
    <w:rsid w:val="009E1FD9"/>
    <w:rsid w:val="009E2627"/>
    <w:rsid w:val="009E269A"/>
    <w:rsid w:val="009E4191"/>
    <w:rsid w:val="009E480A"/>
    <w:rsid w:val="009E4AE2"/>
    <w:rsid w:val="009E5204"/>
    <w:rsid w:val="009E5E21"/>
    <w:rsid w:val="009E6D76"/>
    <w:rsid w:val="009E719E"/>
    <w:rsid w:val="009F079B"/>
    <w:rsid w:val="009F0CE2"/>
    <w:rsid w:val="009F0E57"/>
    <w:rsid w:val="009F26EB"/>
    <w:rsid w:val="009F29B9"/>
    <w:rsid w:val="009F34E8"/>
    <w:rsid w:val="009F3C7F"/>
    <w:rsid w:val="009F4305"/>
    <w:rsid w:val="009F482B"/>
    <w:rsid w:val="009F4974"/>
    <w:rsid w:val="009F49D1"/>
    <w:rsid w:val="009F4B82"/>
    <w:rsid w:val="009F5E22"/>
    <w:rsid w:val="009F6281"/>
    <w:rsid w:val="009F70F0"/>
    <w:rsid w:val="009F7319"/>
    <w:rsid w:val="009F7849"/>
    <w:rsid w:val="009F7AD6"/>
    <w:rsid w:val="00A01AB9"/>
    <w:rsid w:val="00A01CF3"/>
    <w:rsid w:val="00A01D01"/>
    <w:rsid w:val="00A01F08"/>
    <w:rsid w:val="00A03230"/>
    <w:rsid w:val="00A03719"/>
    <w:rsid w:val="00A03EF8"/>
    <w:rsid w:val="00A04BF0"/>
    <w:rsid w:val="00A05004"/>
    <w:rsid w:val="00A06297"/>
    <w:rsid w:val="00A06948"/>
    <w:rsid w:val="00A07290"/>
    <w:rsid w:val="00A07578"/>
    <w:rsid w:val="00A075F3"/>
    <w:rsid w:val="00A07C60"/>
    <w:rsid w:val="00A07F61"/>
    <w:rsid w:val="00A100D3"/>
    <w:rsid w:val="00A106F2"/>
    <w:rsid w:val="00A108CA"/>
    <w:rsid w:val="00A10E0A"/>
    <w:rsid w:val="00A11108"/>
    <w:rsid w:val="00A11357"/>
    <w:rsid w:val="00A115B1"/>
    <w:rsid w:val="00A11B49"/>
    <w:rsid w:val="00A12643"/>
    <w:rsid w:val="00A1284F"/>
    <w:rsid w:val="00A12EF8"/>
    <w:rsid w:val="00A134BA"/>
    <w:rsid w:val="00A13F38"/>
    <w:rsid w:val="00A14019"/>
    <w:rsid w:val="00A142D8"/>
    <w:rsid w:val="00A148C4"/>
    <w:rsid w:val="00A14FD8"/>
    <w:rsid w:val="00A1500B"/>
    <w:rsid w:val="00A15366"/>
    <w:rsid w:val="00A15678"/>
    <w:rsid w:val="00A15804"/>
    <w:rsid w:val="00A15819"/>
    <w:rsid w:val="00A15AAF"/>
    <w:rsid w:val="00A15CE6"/>
    <w:rsid w:val="00A16B90"/>
    <w:rsid w:val="00A17161"/>
    <w:rsid w:val="00A172AA"/>
    <w:rsid w:val="00A176C0"/>
    <w:rsid w:val="00A17A1C"/>
    <w:rsid w:val="00A20880"/>
    <w:rsid w:val="00A217D1"/>
    <w:rsid w:val="00A2292A"/>
    <w:rsid w:val="00A22B98"/>
    <w:rsid w:val="00A23772"/>
    <w:rsid w:val="00A23A65"/>
    <w:rsid w:val="00A245F9"/>
    <w:rsid w:val="00A264C6"/>
    <w:rsid w:val="00A26B68"/>
    <w:rsid w:val="00A26BE2"/>
    <w:rsid w:val="00A26DFD"/>
    <w:rsid w:val="00A27042"/>
    <w:rsid w:val="00A276A8"/>
    <w:rsid w:val="00A27C10"/>
    <w:rsid w:val="00A27D58"/>
    <w:rsid w:val="00A301C6"/>
    <w:rsid w:val="00A30445"/>
    <w:rsid w:val="00A305CC"/>
    <w:rsid w:val="00A30A4E"/>
    <w:rsid w:val="00A30D9C"/>
    <w:rsid w:val="00A31448"/>
    <w:rsid w:val="00A31725"/>
    <w:rsid w:val="00A31936"/>
    <w:rsid w:val="00A3299A"/>
    <w:rsid w:val="00A330F7"/>
    <w:rsid w:val="00A33214"/>
    <w:rsid w:val="00A33A88"/>
    <w:rsid w:val="00A344C5"/>
    <w:rsid w:val="00A3485D"/>
    <w:rsid w:val="00A34A72"/>
    <w:rsid w:val="00A352B0"/>
    <w:rsid w:val="00A35F7E"/>
    <w:rsid w:val="00A36024"/>
    <w:rsid w:val="00A36912"/>
    <w:rsid w:val="00A370DC"/>
    <w:rsid w:val="00A40017"/>
    <w:rsid w:val="00A40430"/>
    <w:rsid w:val="00A40469"/>
    <w:rsid w:val="00A41024"/>
    <w:rsid w:val="00A41058"/>
    <w:rsid w:val="00A4128E"/>
    <w:rsid w:val="00A41AB4"/>
    <w:rsid w:val="00A428AD"/>
    <w:rsid w:val="00A42944"/>
    <w:rsid w:val="00A42A61"/>
    <w:rsid w:val="00A42A9A"/>
    <w:rsid w:val="00A43B23"/>
    <w:rsid w:val="00A43E71"/>
    <w:rsid w:val="00A43F24"/>
    <w:rsid w:val="00A44388"/>
    <w:rsid w:val="00A44483"/>
    <w:rsid w:val="00A44888"/>
    <w:rsid w:val="00A45A95"/>
    <w:rsid w:val="00A463D8"/>
    <w:rsid w:val="00A470D1"/>
    <w:rsid w:val="00A47D45"/>
    <w:rsid w:val="00A47E26"/>
    <w:rsid w:val="00A50397"/>
    <w:rsid w:val="00A51A1F"/>
    <w:rsid w:val="00A52628"/>
    <w:rsid w:val="00A526B4"/>
    <w:rsid w:val="00A53714"/>
    <w:rsid w:val="00A54D19"/>
    <w:rsid w:val="00A55683"/>
    <w:rsid w:val="00A562C6"/>
    <w:rsid w:val="00A56411"/>
    <w:rsid w:val="00A57DB6"/>
    <w:rsid w:val="00A57F05"/>
    <w:rsid w:val="00A605B7"/>
    <w:rsid w:val="00A608BB"/>
    <w:rsid w:val="00A60A52"/>
    <w:rsid w:val="00A612CD"/>
    <w:rsid w:val="00A619EE"/>
    <w:rsid w:val="00A620DD"/>
    <w:rsid w:val="00A62A71"/>
    <w:rsid w:val="00A63101"/>
    <w:rsid w:val="00A63529"/>
    <w:rsid w:val="00A63548"/>
    <w:rsid w:val="00A63BF9"/>
    <w:rsid w:val="00A63F96"/>
    <w:rsid w:val="00A6492E"/>
    <w:rsid w:val="00A652D6"/>
    <w:rsid w:val="00A65423"/>
    <w:rsid w:val="00A669E1"/>
    <w:rsid w:val="00A66A0E"/>
    <w:rsid w:val="00A66AB9"/>
    <w:rsid w:val="00A66F77"/>
    <w:rsid w:val="00A67901"/>
    <w:rsid w:val="00A7107F"/>
    <w:rsid w:val="00A711C2"/>
    <w:rsid w:val="00A7134F"/>
    <w:rsid w:val="00A71390"/>
    <w:rsid w:val="00A71F8A"/>
    <w:rsid w:val="00A72B45"/>
    <w:rsid w:val="00A7372C"/>
    <w:rsid w:val="00A74D0A"/>
    <w:rsid w:val="00A75123"/>
    <w:rsid w:val="00A75C5E"/>
    <w:rsid w:val="00A75C61"/>
    <w:rsid w:val="00A76329"/>
    <w:rsid w:val="00A763DA"/>
    <w:rsid w:val="00A76C97"/>
    <w:rsid w:val="00A773C7"/>
    <w:rsid w:val="00A80150"/>
    <w:rsid w:val="00A8043E"/>
    <w:rsid w:val="00A80944"/>
    <w:rsid w:val="00A8099C"/>
    <w:rsid w:val="00A809E6"/>
    <w:rsid w:val="00A80C6C"/>
    <w:rsid w:val="00A817B4"/>
    <w:rsid w:val="00A817CE"/>
    <w:rsid w:val="00A818C8"/>
    <w:rsid w:val="00A81A23"/>
    <w:rsid w:val="00A81F98"/>
    <w:rsid w:val="00A8295A"/>
    <w:rsid w:val="00A832A4"/>
    <w:rsid w:val="00A8331D"/>
    <w:rsid w:val="00A83795"/>
    <w:rsid w:val="00A83812"/>
    <w:rsid w:val="00A83A67"/>
    <w:rsid w:val="00A83B2B"/>
    <w:rsid w:val="00A83DAF"/>
    <w:rsid w:val="00A83DED"/>
    <w:rsid w:val="00A83F7E"/>
    <w:rsid w:val="00A83FE9"/>
    <w:rsid w:val="00A841F2"/>
    <w:rsid w:val="00A84259"/>
    <w:rsid w:val="00A844ED"/>
    <w:rsid w:val="00A848CD"/>
    <w:rsid w:val="00A84A73"/>
    <w:rsid w:val="00A86678"/>
    <w:rsid w:val="00A87B40"/>
    <w:rsid w:val="00A87FBF"/>
    <w:rsid w:val="00A90217"/>
    <w:rsid w:val="00A9031B"/>
    <w:rsid w:val="00A90DEC"/>
    <w:rsid w:val="00A914AB"/>
    <w:rsid w:val="00A9192D"/>
    <w:rsid w:val="00A922C4"/>
    <w:rsid w:val="00A92528"/>
    <w:rsid w:val="00A9282C"/>
    <w:rsid w:val="00A92E05"/>
    <w:rsid w:val="00A92F54"/>
    <w:rsid w:val="00A9309A"/>
    <w:rsid w:val="00A9440A"/>
    <w:rsid w:val="00A9494F"/>
    <w:rsid w:val="00A94D6D"/>
    <w:rsid w:val="00A94DA7"/>
    <w:rsid w:val="00A94E07"/>
    <w:rsid w:val="00A95B24"/>
    <w:rsid w:val="00A96335"/>
    <w:rsid w:val="00A9665F"/>
    <w:rsid w:val="00A978D1"/>
    <w:rsid w:val="00A97B9D"/>
    <w:rsid w:val="00A97C6D"/>
    <w:rsid w:val="00A97F09"/>
    <w:rsid w:val="00AA0192"/>
    <w:rsid w:val="00AA1473"/>
    <w:rsid w:val="00AA1EBF"/>
    <w:rsid w:val="00AA20BC"/>
    <w:rsid w:val="00AA2B55"/>
    <w:rsid w:val="00AA2E25"/>
    <w:rsid w:val="00AA2F3A"/>
    <w:rsid w:val="00AA3EB4"/>
    <w:rsid w:val="00AA42A1"/>
    <w:rsid w:val="00AA4F40"/>
    <w:rsid w:val="00AA515B"/>
    <w:rsid w:val="00AA5836"/>
    <w:rsid w:val="00AA71FA"/>
    <w:rsid w:val="00AA7420"/>
    <w:rsid w:val="00AA7650"/>
    <w:rsid w:val="00AA78B6"/>
    <w:rsid w:val="00AA7C39"/>
    <w:rsid w:val="00AA7E97"/>
    <w:rsid w:val="00AB13C2"/>
    <w:rsid w:val="00AB1FA9"/>
    <w:rsid w:val="00AB1FAF"/>
    <w:rsid w:val="00AB20CE"/>
    <w:rsid w:val="00AB2162"/>
    <w:rsid w:val="00AB2703"/>
    <w:rsid w:val="00AB2D02"/>
    <w:rsid w:val="00AB366B"/>
    <w:rsid w:val="00AB3A54"/>
    <w:rsid w:val="00AB48D5"/>
    <w:rsid w:val="00AB4D6A"/>
    <w:rsid w:val="00AB58D0"/>
    <w:rsid w:val="00AB6562"/>
    <w:rsid w:val="00AB69A0"/>
    <w:rsid w:val="00AB7669"/>
    <w:rsid w:val="00AB7737"/>
    <w:rsid w:val="00AC020E"/>
    <w:rsid w:val="00AC041B"/>
    <w:rsid w:val="00AC0957"/>
    <w:rsid w:val="00AC0EB5"/>
    <w:rsid w:val="00AC10DF"/>
    <w:rsid w:val="00AC18D9"/>
    <w:rsid w:val="00AC1941"/>
    <w:rsid w:val="00AC3B09"/>
    <w:rsid w:val="00AC3DB9"/>
    <w:rsid w:val="00AC44E2"/>
    <w:rsid w:val="00AC54EC"/>
    <w:rsid w:val="00AC555B"/>
    <w:rsid w:val="00AC6E07"/>
    <w:rsid w:val="00AC7572"/>
    <w:rsid w:val="00AD04A1"/>
    <w:rsid w:val="00AD12B1"/>
    <w:rsid w:val="00AD15D5"/>
    <w:rsid w:val="00AD1A23"/>
    <w:rsid w:val="00AD1B8B"/>
    <w:rsid w:val="00AD2009"/>
    <w:rsid w:val="00AD292D"/>
    <w:rsid w:val="00AD2BDD"/>
    <w:rsid w:val="00AD2FA6"/>
    <w:rsid w:val="00AD5800"/>
    <w:rsid w:val="00AD5BEF"/>
    <w:rsid w:val="00AD6206"/>
    <w:rsid w:val="00AD6AEF"/>
    <w:rsid w:val="00AD6C4C"/>
    <w:rsid w:val="00AD754F"/>
    <w:rsid w:val="00AE03B7"/>
    <w:rsid w:val="00AE0478"/>
    <w:rsid w:val="00AE0CBC"/>
    <w:rsid w:val="00AE0EEB"/>
    <w:rsid w:val="00AE1074"/>
    <w:rsid w:val="00AE1789"/>
    <w:rsid w:val="00AE1B39"/>
    <w:rsid w:val="00AE1CB8"/>
    <w:rsid w:val="00AE2A51"/>
    <w:rsid w:val="00AE3CB4"/>
    <w:rsid w:val="00AE434E"/>
    <w:rsid w:val="00AE4649"/>
    <w:rsid w:val="00AE4842"/>
    <w:rsid w:val="00AE48F0"/>
    <w:rsid w:val="00AE50C0"/>
    <w:rsid w:val="00AE5AF9"/>
    <w:rsid w:val="00AE5D3F"/>
    <w:rsid w:val="00AE6D6E"/>
    <w:rsid w:val="00AE7043"/>
    <w:rsid w:val="00AE76B8"/>
    <w:rsid w:val="00AE781A"/>
    <w:rsid w:val="00AE794F"/>
    <w:rsid w:val="00AE7CDB"/>
    <w:rsid w:val="00AF012A"/>
    <w:rsid w:val="00AF014C"/>
    <w:rsid w:val="00AF073E"/>
    <w:rsid w:val="00AF0CA2"/>
    <w:rsid w:val="00AF1B7C"/>
    <w:rsid w:val="00AF26F5"/>
    <w:rsid w:val="00AF4F8D"/>
    <w:rsid w:val="00AF54CA"/>
    <w:rsid w:val="00AF6521"/>
    <w:rsid w:val="00AF656D"/>
    <w:rsid w:val="00AF7C77"/>
    <w:rsid w:val="00B00537"/>
    <w:rsid w:val="00B00C5F"/>
    <w:rsid w:val="00B015B1"/>
    <w:rsid w:val="00B01610"/>
    <w:rsid w:val="00B02A96"/>
    <w:rsid w:val="00B02E33"/>
    <w:rsid w:val="00B034C9"/>
    <w:rsid w:val="00B03D3B"/>
    <w:rsid w:val="00B03F01"/>
    <w:rsid w:val="00B04310"/>
    <w:rsid w:val="00B044ED"/>
    <w:rsid w:val="00B04BE4"/>
    <w:rsid w:val="00B05154"/>
    <w:rsid w:val="00B0542F"/>
    <w:rsid w:val="00B05C6E"/>
    <w:rsid w:val="00B06295"/>
    <w:rsid w:val="00B06782"/>
    <w:rsid w:val="00B06983"/>
    <w:rsid w:val="00B073C1"/>
    <w:rsid w:val="00B10639"/>
    <w:rsid w:val="00B10D9E"/>
    <w:rsid w:val="00B11303"/>
    <w:rsid w:val="00B11427"/>
    <w:rsid w:val="00B11CD0"/>
    <w:rsid w:val="00B11EA0"/>
    <w:rsid w:val="00B1230D"/>
    <w:rsid w:val="00B13017"/>
    <w:rsid w:val="00B138D3"/>
    <w:rsid w:val="00B142E2"/>
    <w:rsid w:val="00B148F9"/>
    <w:rsid w:val="00B14FC2"/>
    <w:rsid w:val="00B15800"/>
    <w:rsid w:val="00B15CB6"/>
    <w:rsid w:val="00B15CD9"/>
    <w:rsid w:val="00B15E9A"/>
    <w:rsid w:val="00B15F77"/>
    <w:rsid w:val="00B170C1"/>
    <w:rsid w:val="00B1716C"/>
    <w:rsid w:val="00B17521"/>
    <w:rsid w:val="00B17637"/>
    <w:rsid w:val="00B17A9B"/>
    <w:rsid w:val="00B20261"/>
    <w:rsid w:val="00B2144C"/>
    <w:rsid w:val="00B21658"/>
    <w:rsid w:val="00B2262C"/>
    <w:rsid w:val="00B2290E"/>
    <w:rsid w:val="00B23358"/>
    <w:rsid w:val="00B23C64"/>
    <w:rsid w:val="00B23E26"/>
    <w:rsid w:val="00B24BBE"/>
    <w:rsid w:val="00B265B8"/>
    <w:rsid w:val="00B271D4"/>
    <w:rsid w:val="00B27352"/>
    <w:rsid w:val="00B27FC5"/>
    <w:rsid w:val="00B30823"/>
    <w:rsid w:val="00B30A62"/>
    <w:rsid w:val="00B30DEA"/>
    <w:rsid w:val="00B315BE"/>
    <w:rsid w:val="00B3160B"/>
    <w:rsid w:val="00B323C8"/>
    <w:rsid w:val="00B32BE3"/>
    <w:rsid w:val="00B32CB8"/>
    <w:rsid w:val="00B332F9"/>
    <w:rsid w:val="00B33F46"/>
    <w:rsid w:val="00B341C2"/>
    <w:rsid w:val="00B34293"/>
    <w:rsid w:val="00B345BE"/>
    <w:rsid w:val="00B3548A"/>
    <w:rsid w:val="00B35BAE"/>
    <w:rsid w:val="00B35D21"/>
    <w:rsid w:val="00B36249"/>
    <w:rsid w:val="00B36298"/>
    <w:rsid w:val="00B36323"/>
    <w:rsid w:val="00B36598"/>
    <w:rsid w:val="00B36B70"/>
    <w:rsid w:val="00B36FA9"/>
    <w:rsid w:val="00B37DC8"/>
    <w:rsid w:val="00B40E01"/>
    <w:rsid w:val="00B413FF"/>
    <w:rsid w:val="00B4141A"/>
    <w:rsid w:val="00B414D4"/>
    <w:rsid w:val="00B42BAA"/>
    <w:rsid w:val="00B42FE8"/>
    <w:rsid w:val="00B43C0E"/>
    <w:rsid w:val="00B44FC5"/>
    <w:rsid w:val="00B453F6"/>
    <w:rsid w:val="00B45A24"/>
    <w:rsid w:val="00B46282"/>
    <w:rsid w:val="00B466CF"/>
    <w:rsid w:val="00B4709C"/>
    <w:rsid w:val="00B47A54"/>
    <w:rsid w:val="00B47B54"/>
    <w:rsid w:val="00B507D4"/>
    <w:rsid w:val="00B50810"/>
    <w:rsid w:val="00B50BF3"/>
    <w:rsid w:val="00B50DFB"/>
    <w:rsid w:val="00B51771"/>
    <w:rsid w:val="00B51E09"/>
    <w:rsid w:val="00B52C9D"/>
    <w:rsid w:val="00B532B1"/>
    <w:rsid w:val="00B53436"/>
    <w:rsid w:val="00B54436"/>
    <w:rsid w:val="00B5588D"/>
    <w:rsid w:val="00B55C94"/>
    <w:rsid w:val="00B562BE"/>
    <w:rsid w:val="00B56779"/>
    <w:rsid w:val="00B57696"/>
    <w:rsid w:val="00B5784C"/>
    <w:rsid w:val="00B57D1C"/>
    <w:rsid w:val="00B57E25"/>
    <w:rsid w:val="00B601C2"/>
    <w:rsid w:val="00B605DF"/>
    <w:rsid w:val="00B607FF"/>
    <w:rsid w:val="00B60A11"/>
    <w:rsid w:val="00B60A16"/>
    <w:rsid w:val="00B61109"/>
    <w:rsid w:val="00B61788"/>
    <w:rsid w:val="00B630CD"/>
    <w:rsid w:val="00B636DA"/>
    <w:rsid w:val="00B6375A"/>
    <w:rsid w:val="00B63ECE"/>
    <w:rsid w:val="00B64606"/>
    <w:rsid w:val="00B64D9F"/>
    <w:rsid w:val="00B64E00"/>
    <w:rsid w:val="00B652CB"/>
    <w:rsid w:val="00B656B5"/>
    <w:rsid w:val="00B66B0E"/>
    <w:rsid w:val="00B66C32"/>
    <w:rsid w:val="00B66F25"/>
    <w:rsid w:val="00B677D9"/>
    <w:rsid w:val="00B67E4E"/>
    <w:rsid w:val="00B70230"/>
    <w:rsid w:val="00B70D28"/>
    <w:rsid w:val="00B71649"/>
    <w:rsid w:val="00B71E47"/>
    <w:rsid w:val="00B71F76"/>
    <w:rsid w:val="00B7232F"/>
    <w:rsid w:val="00B725EA"/>
    <w:rsid w:val="00B72EB4"/>
    <w:rsid w:val="00B7395F"/>
    <w:rsid w:val="00B741DA"/>
    <w:rsid w:val="00B7442D"/>
    <w:rsid w:val="00B7460E"/>
    <w:rsid w:val="00B74657"/>
    <w:rsid w:val="00B74C5B"/>
    <w:rsid w:val="00B75A8D"/>
    <w:rsid w:val="00B75D03"/>
    <w:rsid w:val="00B75ED3"/>
    <w:rsid w:val="00B763E3"/>
    <w:rsid w:val="00B765F9"/>
    <w:rsid w:val="00B7670D"/>
    <w:rsid w:val="00B773AE"/>
    <w:rsid w:val="00B774DA"/>
    <w:rsid w:val="00B803B5"/>
    <w:rsid w:val="00B8152C"/>
    <w:rsid w:val="00B815BA"/>
    <w:rsid w:val="00B81796"/>
    <w:rsid w:val="00B822E0"/>
    <w:rsid w:val="00B8244E"/>
    <w:rsid w:val="00B827AA"/>
    <w:rsid w:val="00B82D7C"/>
    <w:rsid w:val="00B832BF"/>
    <w:rsid w:val="00B838DD"/>
    <w:rsid w:val="00B8477E"/>
    <w:rsid w:val="00B85DCF"/>
    <w:rsid w:val="00B85F03"/>
    <w:rsid w:val="00B860B1"/>
    <w:rsid w:val="00B864F7"/>
    <w:rsid w:val="00B86DA2"/>
    <w:rsid w:val="00B86FD5"/>
    <w:rsid w:val="00B8709C"/>
    <w:rsid w:val="00B902EF"/>
    <w:rsid w:val="00B91D33"/>
    <w:rsid w:val="00B9212F"/>
    <w:rsid w:val="00B9355A"/>
    <w:rsid w:val="00B936D4"/>
    <w:rsid w:val="00B93BDC"/>
    <w:rsid w:val="00B941E1"/>
    <w:rsid w:val="00B9428B"/>
    <w:rsid w:val="00B94369"/>
    <w:rsid w:val="00B94A30"/>
    <w:rsid w:val="00B94B69"/>
    <w:rsid w:val="00B9519B"/>
    <w:rsid w:val="00B954DB"/>
    <w:rsid w:val="00B95791"/>
    <w:rsid w:val="00B95E80"/>
    <w:rsid w:val="00B96C99"/>
    <w:rsid w:val="00B96D77"/>
    <w:rsid w:val="00B96F63"/>
    <w:rsid w:val="00BA0F0F"/>
    <w:rsid w:val="00BA1DD6"/>
    <w:rsid w:val="00BA1FDE"/>
    <w:rsid w:val="00BA21F4"/>
    <w:rsid w:val="00BA2F36"/>
    <w:rsid w:val="00BA30EE"/>
    <w:rsid w:val="00BA32BF"/>
    <w:rsid w:val="00BA3812"/>
    <w:rsid w:val="00BA535C"/>
    <w:rsid w:val="00BA5372"/>
    <w:rsid w:val="00BA5441"/>
    <w:rsid w:val="00BA57D4"/>
    <w:rsid w:val="00BA5B6C"/>
    <w:rsid w:val="00BA5E84"/>
    <w:rsid w:val="00BA5EB8"/>
    <w:rsid w:val="00BA6274"/>
    <w:rsid w:val="00BA6831"/>
    <w:rsid w:val="00BA70D0"/>
    <w:rsid w:val="00BA7678"/>
    <w:rsid w:val="00BB0CEE"/>
    <w:rsid w:val="00BB1229"/>
    <w:rsid w:val="00BB14D3"/>
    <w:rsid w:val="00BB2FAC"/>
    <w:rsid w:val="00BB3178"/>
    <w:rsid w:val="00BB3B45"/>
    <w:rsid w:val="00BB4160"/>
    <w:rsid w:val="00BB4C05"/>
    <w:rsid w:val="00BB4D98"/>
    <w:rsid w:val="00BB5351"/>
    <w:rsid w:val="00BB5AED"/>
    <w:rsid w:val="00BB67AE"/>
    <w:rsid w:val="00BB6D17"/>
    <w:rsid w:val="00BB6E33"/>
    <w:rsid w:val="00BB7C30"/>
    <w:rsid w:val="00BC1418"/>
    <w:rsid w:val="00BC18A3"/>
    <w:rsid w:val="00BC2058"/>
    <w:rsid w:val="00BC2EC9"/>
    <w:rsid w:val="00BC341F"/>
    <w:rsid w:val="00BC3BDD"/>
    <w:rsid w:val="00BC4A11"/>
    <w:rsid w:val="00BC4BE8"/>
    <w:rsid w:val="00BC573F"/>
    <w:rsid w:val="00BC5C42"/>
    <w:rsid w:val="00BC607E"/>
    <w:rsid w:val="00BC60C7"/>
    <w:rsid w:val="00BC6933"/>
    <w:rsid w:val="00BC7155"/>
    <w:rsid w:val="00BC7229"/>
    <w:rsid w:val="00BC7288"/>
    <w:rsid w:val="00BC7689"/>
    <w:rsid w:val="00BC7BDD"/>
    <w:rsid w:val="00BC7C6B"/>
    <w:rsid w:val="00BD01E7"/>
    <w:rsid w:val="00BD033B"/>
    <w:rsid w:val="00BD1286"/>
    <w:rsid w:val="00BD1821"/>
    <w:rsid w:val="00BD1D84"/>
    <w:rsid w:val="00BD1F06"/>
    <w:rsid w:val="00BD2821"/>
    <w:rsid w:val="00BD2823"/>
    <w:rsid w:val="00BD292F"/>
    <w:rsid w:val="00BD3297"/>
    <w:rsid w:val="00BD35BA"/>
    <w:rsid w:val="00BD3884"/>
    <w:rsid w:val="00BD4328"/>
    <w:rsid w:val="00BD486D"/>
    <w:rsid w:val="00BD5094"/>
    <w:rsid w:val="00BD51C4"/>
    <w:rsid w:val="00BD5501"/>
    <w:rsid w:val="00BD57A2"/>
    <w:rsid w:val="00BD5945"/>
    <w:rsid w:val="00BD630F"/>
    <w:rsid w:val="00BD6537"/>
    <w:rsid w:val="00BD656D"/>
    <w:rsid w:val="00BD70E6"/>
    <w:rsid w:val="00BD7AC0"/>
    <w:rsid w:val="00BE0052"/>
    <w:rsid w:val="00BE0717"/>
    <w:rsid w:val="00BE07FB"/>
    <w:rsid w:val="00BE0E5E"/>
    <w:rsid w:val="00BE1244"/>
    <w:rsid w:val="00BE127F"/>
    <w:rsid w:val="00BE18FA"/>
    <w:rsid w:val="00BE1C44"/>
    <w:rsid w:val="00BE2AD7"/>
    <w:rsid w:val="00BE2EFB"/>
    <w:rsid w:val="00BE38E1"/>
    <w:rsid w:val="00BE50DE"/>
    <w:rsid w:val="00BE5698"/>
    <w:rsid w:val="00BE6C15"/>
    <w:rsid w:val="00BE7246"/>
    <w:rsid w:val="00BE77FA"/>
    <w:rsid w:val="00BF03ED"/>
    <w:rsid w:val="00BF0655"/>
    <w:rsid w:val="00BF1394"/>
    <w:rsid w:val="00BF141F"/>
    <w:rsid w:val="00BF188D"/>
    <w:rsid w:val="00BF1FEC"/>
    <w:rsid w:val="00BF221D"/>
    <w:rsid w:val="00BF2791"/>
    <w:rsid w:val="00BF2E9A"/>
    <w:rsid w:val="00BF2F15"/>
    <w:rsid w:val="00BF32D8"/>
    <w:rsid w:val="00BF360B"/>
    <w:rsid w:val="00BF3F45"/>
    <w:rsid w:val="00BF414B"/>
    <w:rsid w:val="00BF448D"/>
    <w:rsid w:val="00BF4AD4"/>
    <w:rsid w:val="00BF65F3"/>
    <w:rsid w:val="00BF6635"/>
    <w:rsid w:val="00BF6C82"/>
    <w:rsid w:val="00BF7B11"/>
    <w:rsid w:val="00BF7DD8"/>
    <w:rsid w:val="00C00191"/>
    <w:rsid w:val="00C011EB"/>
    <w:rsid w:val="00C01F22"/>
    <w:rsid w:val="00C02A6C"/>
    <w:rsid w:val="00C0311D"/>
    <w:rsid w:val="00C0360C"/>
    <w:rsid w:val="00C037F7"/>
    <w:rsid w:val="00C03AE2"/>
    <w:rsid w:val="00C052E0"/>
    <w:rsid w:val="00C058F0"/>
    <w:rsid w:val="00C05D39"/>
    <w:rsid w:val="00C060CB"/>
    <w:rsid w:val="00C06EF6"/>
    <w:rsid w:val="00C07792"/>
    <w:rsid w:val="00C10598"/>
    <w:rsid w:val="00C1080D"/>
    <w:rsid w:val="00C128F1"/>
    <w:rsid w:val="00C129C9"/>
    <w:rsid w:val="00C12F54"/>
    <w:rsid w:val="00C13175"/>
    <w:rsid w:val="00C1388B"/>
    <w:rsid w:val="00C145A2"/>
    <w:rsid w:val="00C14F59"/>
    <w:rsid w:val="00C159CD"/>
    <w:rsid w:val="00C15B49"/>
    <w:rsid w:val="00C16713"/>
    <w:rsid w:val="00C1689E"/>
    <w:rsid w:val="00C17383"/>
    <w:rsid w:val="00C17D00"/>
    <w:rsid w:val="00C20013"/>
    <w:rsid w:val="00C20395"/>
    <w:rsid w:val="00C20582"/>
    <w:rsid w:val="00C20C1C"/>
    <w:rsid w:val="00C216AA"/>
    <w:rsid w:val="00C22BFE"/>
    <w:rsid w:val="00C22D53"/>
    <w:rsid w:val="00C232DF"/>
    <w:rsid w:val="00C2411B"/>
    <w:rsid w:val="00C25249"/>
    <w:rsid w:val="00C26402"/>
    <w:rsid w:val="00C26C79"/>
    <w:rsid w:val="00C2712E"/>
    <w:rsid w:val="00C27996"/>
    <w:rsid w:val="00C303B2"/>
    <w:rsid w:val="00C30E32"/>
    <w:rsid w:val="00C31CC9"/>
    <w:rsid w:val="00C31FF1"/>
    <w:rsid w:val="00C32049"/>
    <w:rsid w:val="00C322BA"/>
    <w:rsid w:val="00C3276D"/>
    <w:rsid w:val="00C32A93"/>
    <w:rsid w:val="00C332DF"/>
    <w:rsid w:val="00C33571"/>
    <w:rsid w:val="00C337F7"/>
    <w:rsid w:val="00C33991"/>
    <w:rsid w:val="00C34004"/>
    <w:rsid w:val="00C340AA"/>
    <w:rsid w:val="00C351A5"/>
    <w:rsid w:val="00C3538C"/>
    <w:rsid w:val="00C35559"/>
    <w:rsid w:val="00C3575C"/>
    <w:rsid w:val="00C36275"/>
    <w:rsid w:val="00C362DD"/>
    <w:rsid w:val="00C366A3"/>
    <w:rsid w:val="00C375C8"/>
    <w:rsid w:val="00C37850"/>
    <w:rsid w:val="00C378E2"/>
    <w:rsid w:val="00C37950"/>
    <w:rsid w:val="00C37D15"/>
    <w:rsid w:val="00C4002B"/>
    <w:rsid w:val="00C400F7"/>
    <w:rsid w:val="00C4030F"/>
    <w:rsid w:val="00C41868"/>
    <w:rsid w:val="00C427AE"/>
    <w:rsid w:val="00C4299B"/>
    <w:rsid w:val="00C429A8"/>
    <w:rsid w:val="00C42EDD"/>
    <w:rsid w:val="00C44953"/>
    <w:rsid w:val="00C45035"/>
    <w:rsid w:val="00C46AE9"/>
    <w:rsid w:val="00C46D3A"/>
    <w:rsid w:val="00C47C40"/>
    <w:rsid w:val="00C501E0"/>
    <w:rsid w:val="00C5047F"/>
    <w:rsid w:val="00C5076D"/>
    <w:rsid w:val="00C50C12"/>
    <w:rsid w:val="00C5241F"/>
    <w:rsid w:val="00C52EED"/>
    <w:rsid w:val="00C5318E"/>
    <w:rsid w:val="00C5325B"/>
    <w:rsid w:val="00C533D9"/>
    <w:rsid w:val="00C5347D"/>
    <w:rsid w:val="00C54DC6"/>
    <w:rsid w:val="00C54F57"/>
    <w:rsid w:val="00C553A2"/>
    <w:rsid w:val="00C55911"/>
    <w:rsid w:val="00C55A65"/>
    <w:rsid w:val="00C56059"/>
    <w:rsid w:val="00C5652E"/>
    <w:rsid w:val="00C565B8"/>
    <w:rsid w:val="00C56AC4"/>
    <w:rsid w:val="00C57329"/>
    <w:rsid w:val="00C57494"/>
    <w:rsid w:val="00C57BA2"/>
    <w:rsid w:val="00C611EB"/>
    <w:rsid w:val="00C615D6"/>
    <w:rsid w:val="00C6196E"/>
    <w:rsid w:val="00C6197A"/>
    <w:rsid w:val="00C6292A"/>
    <w:rsid w:val="00C62DAB"/>
    <w:rsid w:val="00C632D6"/>
    <w:rsid w:val="00C63A4B"/>
    <w:rsid w:val="00C63B99"/>
    <w:rsid w:val="00C642FA"/>
    <w:rsid w:val="00C6442C"/>
    <w:rsid w:val="00C64DE5"/>
    <w:rsid w:val="00C65694"/>
    <w:rsid w:val="00C657F6"/>
    <w:rsid w:val="00C6654F"/>
    <w:rsid w:val="00C66EEB"/>
    <w:rsid w:val="00C67650"/>
    <w:rsid w:val="00C67893"/>
    <w:rsid w:val="00C67979"/>
    <w:rsid w:val="00C679B3"/>
    <w:rsid w:val="00C70FDE"/>
    <w:rsid w:val="00C7139D"/>
    <w:rsid w:val="00C715DC"/>
    <w:rsid w:val="00C719A5"/>
    <w:rsid w:val="00C71A5B"/>
    <w:rsid w:val="00C71C9A"/>
    <w:rsid w:val="00C71FA5"/>
    <w:rsid w:val="00C728DA"/>
    <w:rsid w:val="00C76269"/>
    <w:rsid w:val="00C7656A"/>
    <w:rsid w:val="00C76AE7"/>
    <w:rsid w:val="00C76E66"/>
    <w:rsid w:val="00C77BF4"/>
    <w:rsid w:val="00C80E59"/>
    <w:rsid w:val="00C835B3"/>
    <w:rsid w:val="00C85D7C"/>
    <w:rsid w:val="00C862F3"/>
    <w:rsid w:val="00C868ED"/>
    <w:rsid w:val="00C873FF"/>
    <w:rsid w:val="00C90C6D"/>
    <w:rsid w:val="00C92117"/>
    <w:rsid w:val="00C92E91"/>
    <w:rsid w:val="00C9378C"/>
    <w:rsid w:val="00C94ED1"/>
    <w:rsid w:val="00C95BF0"/>
    <w:rsid w:val="00C95EF5"/>
    <w:rsid w:val="00C9608F"/>
    <w:rsid w:val="00C96E17"/>
    <w:rsid w:val="00C97254"/>
    <w:rsid w:val="00C97896"/>
    <w:rsid w:val="00C97DCA"/>
    <w:rsid w:val="00CA0374"/>
    <w:rsid w:val="00CA03D1"/>
    <w:rsid w:val="00CA05FA"/>
    <w:rsid w:val="00CA0633"/>
    <w:rsid w:val="00CA0AFF"/>
    <w:rsid w:val="00CA0FBB"/>
    <w:rsid w:val="00CA1504"/>
    <w:rsid w:val="00CA1708"/>
    <w:rsid w:val="00CA1F23"/>
    <w:rsid w:val="00CA2301"/>
    <w:rsid w:val="00CA4029"/>
    <w:rsid w:val="00CA40A3"/>
    <w:rsid w:val="00CA48A3"/>
    <w:rsid w:val="00CA4C12"/>
    <w:rsid w:val="00CA51B1"/>
    <w:rsid w:val="00CA5364"/>
    <w:rsid w:val="00CA5809"/>
    <w:rsid w:val="00CA6BE1"/>
    <w:rsid w:val="00CA6CA1"/>
    <w:rsid w:val="00CA75E6"/>
    <w:rsid w:val="00CB0B88"/>
    <w:rsid w:val="00CB1100"/>
    <w:rsid w:val="00CB1546"/>
    <w:rsid w:val="00CB1AA5"/>
    <w:rsid w:val="00CB2045"/>
    <w:rsid w:val="00CB2325"/>
    <w:rsid w:val="00CB2907"/>
    <w:rsid w:val="00CB3032"/>
    <w:rsid w:val="00CB3F88"/>
    <w:rsid w:val="00CB3FAE"/>
    <w:rsid w:val="00CB43DC"/>
    <w:rsid w:val="00CB46A6"/>
    <w:rsid w:val="00CB5409"/>
    <w:rsid w:val="00CB5A12"/>
    <w:rsid w:val="00CB5B31"/>
    <w:rsid w:val="00CB5D6C"/>
    <w:rsid w:val="00CB5E53"/>
    <w:rsid w:val="00CB70B9"/>
    <w:rsid w:val="00CB759E"/>
    <w:rsid w:val="00CB79BE"/>
    <w:rsid w:val="00CB7C23"/>
    <w:rsid w:val="00CC0137"/>
    <w:rsid w:val="00CC05B5"/>
    <w:rsid w:val="00CC0791"/>
    <w:rsid w:val="00CC0C7F"/>
    <w:rsid w:val="00CC0D2F"/>
    <w:rsid w:val="00CC19CD"/>
    <w:rsid w:val="00CC3401"/>
    <w:rsid w:val="00CC3BDA"/>
    <w:rsid w:val="00CC5C53"/>
    <w:rsid w:val="00CC5F58"/>
    <w:rsid w:val="00CC5F98"/>
    <w:rsid w:val="00CC5FA6"/>
    <w:rsid w:val="00CC62F2"/>
    <w:rsid w:val="00CC65EB"/>
    <w:rsid w:val="00CC6B86"/>
    <w:rsid w:val="00CC704A"/>
    <w:rsid w:val="00CC7132"/>
    <w:rsid w:val="00CC7404"/>
    <w:rsid w:val="00CD0130"/>
    <w:rsid w:val="00CD099A"/>
    <w:rsid w:val="00CD1252"/>
    <w:rsid w:val="00CD1D4E"/>
    <w:rsid w:val="00CD27F1"/>
    <w:rsid w:val="00CD28BB"/>
    <w:rsid w:val="00CD35D0"/>
    <w:rsid w:val="00CD430A"/>
    <w:rsid w:val="00CD4C4C"/>
    <w:rsid w:val="00CD5105"/>
    <w:rsid w:val="00CE0602"/>
    <w:rsid w:val="00CE24E4"/>
    <w:rsid w:val="00CE3503"/>
    <w:rsid w:val="00CE38C0"/>
    <w:rsid w:val="00CE44CA"/>
    <w:rsid w:val="00CE4AAB"/>
    <w:rsid w:val="00CE5083"/>
    <w:rsid w:val="00CE5524"/>
    <w:rsid w:val="00CE5C14"/>
    <w:rsid w:val="00CE5D61"/>
    <w:rsid w:val="00CE5D74"/>
    <w:rsid w:val="00CE5DB8"/>
    <w:rsid w:val="00CE65A2"/>
    <w:rsid w:val="00CE6B7E"/>
    <w:rsid w:val="00CE7117"/>
    <w:rsid w:val="00CE72D2"/>
    <w:rsid w:val="00CE7809"/>
    <w:rsid w:val="00CE7847"/>
    <w:rsid w:val="00CE7957"/>
    <w:rsid w:val="00CF0CBE"/>
    <w:rsid w:val="00CF148F"/>
    <w:rsid w:val="00CF18F7"/>
    <w:rsid w:val="00CF206A"/>
    <w:rsid w:val="00CF20D8"/>
    <w:rsid w:val="00CF30C6"/>
    <w:rsid w:val="00CF3C08"/>
    <w:rsid w:val="00CF50D6"/>
    <w:rsid w:val="00CF554E"/>
    <w:rsid w:val="00CF673F"/>
    <w:rsid w:val="00CF738F"/>
    <w:rsid w:val="00D0026C"/>
    <w:rsid w:val="00D0056C"/>
    <w:rsid w:val="00D00F9C"/>
    <w:rsid w:val="00D012F3"/>
    <w:rsid w:val="00D01542"/>
    <w:rsid w:val="00D01E5A"/>
    <w:rsid w:val="00D02246"/>
    <w:rsid w:val="00D03146"/>
    <w:rsid w:val="00D0364C"/>
    <w:rsid w:val="00D056B5"/>
    <w:rsid w:val="00D056EF"/>
    <w:rsid w:val="00D05DA8"/>
    <w:rsid w:val="00D06D88"/>
    <w:rsid w:val="00D06D9D"/>
    <w:rsid w:val="00D102DF"/>
    <w:rsid w:val="00D10643"/>
    <w:rsid w:val="00D106F9"/>
    <w:rsid w:val="00D1145B"/>
    <w:rsid w:val="00D11971"/>
    <w:rsid w:val="00D11AF5"/>
    <w:rsid w:val="00D12087"/>
    <w:rsid w:val="00D12219"/>
    <w:rsid w:val="00D124FF"/>
    <w:rsid w:val="00D12A17"/>
    <w:rsid w:val="00D13A20"/>
    <w:rsid w:val="00D13BD1"/>
    <w:rsid w:val="00D13D09"/>
    <w:rsid w:val="00D146DA"/>
    <w:rsid w:val="00D146F9"/>
    <w:rsid w:val="00D14945"/>
    <w:rsid w:val="00D14A83"/>
    <w:rsid w:val="00D14DF1"/>
    <w:rsid w:val="00D15A71"/>
    <w:rsid w:val="00D17830"/>
    <w:rsid w:val="00D201DD"/>
    <w:rsid w:val="00D20B3B"/>
    <w:rsid w:val="00D20C76"/>
    <w:rsid w:val="00D214C7"/>
    <w:rsid w:val="00D21E85"/>
    <w:rsid w:val="00D22B64"/>
    <w:rsid w:val="00D23ACC"/>
    <w:rsid w:val="00D2467E"/>
    <w:rsid w:val="00D25A3D"/>
    <w:rsid w:val="00D274CE"/>
    <w:rsid w:val="00D274EF"/>
    <w:rsid w:val="00D27693"/>
    <w:rsid w:val="00D27A18"/>
    <w:rsid w:val="00D30D0E"/>
    <w:rsid w:val="00D31C93"/>
    <w:rsid w:val="00D32141"/>
    <w:rsid w:val="00D3224B"/>
    <w:rsid w:val="00D322BF"/>
    <w:rsid w:val="00D34905"/>
    <w:rsid w:val="00D353DD"/>
    <w:rsid w:val="00D354D3"/>
    <w:rsid w:val="00D3671A"/>
    <w:rsid w:val="00D36757"/>
    <w:rsid w:val="00D37ACE"/>
    <w:rsid w:val="00D37D2C"/>
    <w:rsid w:val="00D404D8"/>
    <w:rsid w:val="00D407B6"/>
    <w:rsid w:val="00D40E73"/>
    <w:rsid w:val="00D4295A"/>
    <w:rsid w:val="00D43ACD"/>
    <w:rsid w:val="00D44164"/>
    <w:rsid w:val="00D44ADD"/>
    <w:rsid w:val="00D44D32"/>
    <w:rsid w:val="00D45739"/>
    <w:rsid w:val="00D4610F"/>
    <w:rsid w:val="00D46991"/>
    <w:rsid w:val="00D46E3D"/>
    <w:rsid w:val="00D477D6"/>
    <w:rsid w:val="00D47BB2"/>
    <w:rsid w:val="00D47EE3"/>
    <w:rsid w:val="00D5066D"/>
    <w:rsid w:val="00D514BA"/>
    <w:rsid w:val="00D515D4"/>
    <w:rsid w:val="00D51608"/>
    <w:rsid w:val="00D51A76"/>
    <w:rsid w:val="00D51B7C"/>
    <w:rsid w:val="00D51CF9"/>
    <w:rsid w:val="00D53260"/>
    <w:rsid w:val="00D53E4B"/>
    <w:rsid w:val="00D5404A"/>
    <w:rsid w:val="00D54B3D"/>
    <w:rsid w:val="00D55910"/>
    <w:rsid w:val="00D55A10"/>
    <w:rsid w:val="00D56448"/>
    <w:rsid w:val="00D5677B"/>
    <w:rsid w:val="00D56CCB"/>
    <w:rsid w:val="00D56E14"/>
    <w:rsid w:val="00D56F64"/>
    <w:rsid w:val="00D56FD4"/>
    <w:rsid w:val="00D57F26"/>
    <w:rsid w:val="00D6057F"/>
    <w:rsid w:val="00D60846"/>
    <w:rsid w:val="00D60872"/>
    <w:rsid w:val="00D60C72"/>
    <w:rsid w:val="00D60CE2"/>
    <w:rsid w:val="00D60E5A"/>
    <w:rsid w:val="00D61002"/>
    <w:rsid w:val="00D612CC"/>
    <w:rsid w:val="00D619E9"/>
    <w:rsid w:val="00D61AE0"/>
    <w:rsid w:val="00D61F82"/>
    <w:rsid w:val="00D62B93"/>
    <w:rsid w:val="00D63194"/>
    <w:rsid w:val="00D6335E"/>
    <w:rsid w:val="00D64147"/>
    <w:rsid w:val="00D647DB"/>
    <w:rsid w:val="00D64C12"/>
    <w:rsid w:val="00D656D1"/>
    <w:rsid w:val="00D65D97"/>
    <w:rsid w:val="00D66D38"/>
    <w:rsid w:val="00D700B5"/>
    <w:rsid w:val="00D70404"/>
    <w:rsid w:val="00D71B4C"/>
    <w:rsid w:val="00D724E9"/>
    <w:rsid w:val="00D727B8"/>
    <w:rsid w:val="00D739EB"/>
    <w:rsid w:val="00D73BEB"/>
    <w:rsid w:val="00D7422C"/>
    <w:rsid w:val="00D743D8"/>
    <w:rsid w:val="00D74E7C"/>
    <w:rsid w:val="00D7501A"/>
    <w:rsid w:val="00D7580E"/>
    <w:rsid w:val="00D76130"/>
    <w:rsid w:val="00D76973"/>
    <w:rsid w:val="00D7727E"/>
    <w:rsid w:val="00D772A5"/>
    <w:rsid w:val="00D7793C"/>
    <w:rsid w:val="00D800E2"/>
    <w:rsid w:val="00D8011B"/>
    <w:rsid w:val="00D80D7D"/>
    <w:rsid w:val="00D81C7B"/>
    <w:rsid w:val="00D82AB6"/>
    <w:rsid w:val="00D82B95"/>
    <w:rsid w:val="00D8334C"/>
    <w:rsid w:val="00D835CC"/>
    <w:rsid w:val="00D83692"/>
    <w:rsid w:val="00D838C1"/>
    <w:rsid w:val="00D84A35"/>
    <w:rsid w:val="00D84BC9"/>
    <w:rsid w:val="00D864CB"/>
    <w:rsid w:val="00D8737A"/>
    <w:rsid w:val="00D900D1"/>
    <w:rsid w:val="00D9010D"/>
    <w:rsid w:val="00D9059E"/>
    <w:rsid w:val="00D90C24"/>
    <w:rsid w:val="00D90D3A"/>
    <w:rsid w:val="00D927E3"/>
    <w:rsid w:val="00D92B48"/>
    <w:rsid w:val="00D93865"/>
    <w:rsid w:val="00D93D6F"/>
    <w:rsid w:val="00D94149"/>
    <w:rsid w:val="00D942D1"/>
    <w:rsid w:val="00D9458A"/>
    <w:rsid w:val="00D947EF"/>
    <w:rsid w:val="00D95060"/>
    <w:rsid w:val="00D958CF"/>
    <w:rsid w:val="00D95CC7"/>
    <w:rsid w:val="00D9719F"/>
    <w:rsid w:val="00D97C00"/>
    <w:rsid w:val="00D97C41"/>
    <w:rsid w:val="00D97C9F"/>
    <w:rsid w:val="00DA062F"/>
    <w:rsid w:val="00DA0673"/>
    <w:rsid w:val="00DA15E6"/>
    <w:rsid w:val="00DA1D14"/>
    <w:rsid w:val="00DA1DA5"/>
    <w:rsid w:val="00DA1FB5"/>
    <w:rsid w:val="00DA2287"/>
    <w:rsid w:val="00DA258D"/>
    <w:rsid w:val="00DA390C"/>
    <w:rsid w:val="00DA3C92"/>
    <w:rsid w:val="00DA3D37"/>
    <w:rsid w:val="00DA416F"/>
    <w:rsid w:val="00DA459A"/>
    <w:rsid w:val="00DA54C2"/>
    <w:rsid w:val="00DA55C8"/>
    <w:rsid w:val="00DA6A7B"/>
    <w:rsid w:val="00DA6D66"/>
    <w:rsid w:val="00DA7251"/>
    <w:rsid w:val="00DA72ED"/>
    <w:rsid w:val="00DA740F"/>
    <w:rsid w:val="00DA76D8"/>
    <w:rsid w:val="00DA7828"/>
    <w:rsid w:val="00DA7FD1"/>
    <w:rsid w:val="00DB0614"/>
    <w:rsid w:val="00DB196B"/>
    <w:rsid w:val="00DB2557"/>
    <w:rsid w:val="00DB28EC"/>
    <w:rsid w:val="00DB33DD"/>
    <w:rsid w:val="00DB3893"/>
    <w:rsid w:val="00DB3DB9"/>
    <w:rsid w:val="00DB5872"/>
    <w:rsid w:val="00DB5C2A"/>
    <w:rsid w:val="00DB6597"/>
    <w:rsid w:val="00DB7B97"/>
    <w:rsid w:val="00DB7C60"/>
    <w:rsid w:val="00DC17A0"/>
    <w:rsid w:val="00DC2298"/>
    <w:rsid w:val="00DC257E"/>
    <w:rsid w:val="00DC2A6E"/>
    <w:rsid w:val="00DC325D"/>
    <w:rsid w:val="00DC3A1D"/>
    <w:rsid w:val="00DC3CFB"/>
    <w:rsid w:val="00DC453F"/>
    <w:rsid w:val="00DC4CBE"/>
    <w:rsid w:val="00DC4F36"/>
    <w:rsid w:val="00DC696A"/>
    <w:rsid w:val="00DC739F"/>
    <w:rsid w:val="00DD010D"/>
    <w:rsid w:val="00DD08BC"/>
    <w:rsid w:val="00DD111C"/>
    <w:rsid w:val="00DD15DE"/>
    <w:rsid w:val="00DD1E53"/>
    <w:rsid w:val="00DD1F21"/>
    <w:rsid w:val="00DD24CC"/>
    <w:rsid w:val="00DD2E2A"/>
    <w:rsid w:val="00DD34FC"/>
    <w:rsid w:val="00DD36B6"/>
    <w:rsid w:val="00DD3867"/>
    <w:rsid w:val="00DD399C"/>
    <w:rsid w:val="00DD3B57"/>
    <w:rsid w:val="00DD4574"/>
    <w:rsid w:val="00DD59A6"/>
    <w:rsid w:val="00DE095D"/>
    <w:rsid w:val="00DE0DCB"/>
    <w:rsid w:val="00DE0ECC"/>
    <w:rsid w:val="00DE0F6C"/>
    <w:rsid w:val="00DE0F70"/>
    <w:rsid w:val="00DE1CCA"/>
    <w:rsid w:val="00DE1D70"/>
    <w:rsid w:val="00DE223F"/>
    <w:rsid w:val="00DE36DD"/>
    <w:rsid w:val="00DE3F61"/>
    <w:rsid w:val="00DE423F"/>
    <w:rsid w:val="00DE4710"/>
    <w:rsid w:val="00DE4737"/>
    <w:rsid w:val="00DE4AC4"/>
    <w:rsid w:val="00DE4E26"/>
    <w:rsid w:val="00DE50AA"/>
    <w:rsid w:val="00DE59B3"/>
    <w:rsid w:val="00DE5A23"/>
    <w:rsid w:val="00DE69E6"/>
    <w:rsid w:val="00DE6DDD"/>
    <w:rsid w:val="00DE7951"/>
    <w:rsid w:val="00DE79EC"/>
    <w:rsid w:val="00DE7AD0"/>
    <w:rsid w:val="00DE7D63"/>
    <w:rsid w:val="00DF0607"/>
    <w:rsid w:val="00DF0D1B"/>
    <w:rsid w:val="00DF18C9"/>
    <w:rsid w:val="00DF1BB7"/>
    <w:rsid w:val="00DF3D96"/>
    <w:rsid w:val="00DF48F1"/>
    <w:rsid w:val="00DF5C4D"/>
    <w:rsid w:val="00DF5FF6"/>
    <w:rsid w:val="00DF6127"/>
    <w:rsid w:val="00DF654B"/>
    <w:rsid w:val="00DF6DB7"/>
    <w:rsid w:val="00DF7021"/>
    <w:rsid w:val="00DF75A8"/>
    <w:rsid w:val="00DF7B47"/>
    <w:rsid w:val="00DF7E4F"/>
    <w:rsid w:val="00E005C0"/>
    <w:rsid w:val="00E0072F"/>
    <w:rsid w:val="00E00E9E"/>
    <w:rsid w:val="00E019AE"/>
    <w:rsid w:val="00E02D3B"/>
    <w:rsid w:val="00E03056"/>
    <w:rsid w:val="00E03951"/>
    <w:rsid w:val="00E03AF4"/>
    <w:rsid w:val="00E03ECD"/>
    <w:rsid w:val="00E04294"/>
    <w:rsid w:val="00E047FE"/>
    <w:rsid w:val="00E060C3"/>
    <w:rsid w:val="00E068FB"/>
    <w:rsid w:val="00E06F98"/>
    <w:rsid w:val="00E07582"/>
    <w:rsid w:val="00E07602"/>
    <w:rsid w:val="00E0796F"/>
    <w:rsid w:val="00E07EA9"/>
    <w:rsid w:val="00E10236"/>
    <w:rsid w:val="00E10301"/>
    <w:rsid w:val="00E103B7"/>
    <w:rsid w:val="00E109A2"/>
    <w:rsid w:val="00E11A6A"/>
    <w:rsid w:val="00E11BAE"/>
    <w:rsid w:val="00E1200A"/>
    <w:rsid w:val="00E121E1"/>
    <w:rsid w:val="00E12897"/>
    <w:rsid w:val="00E12C7A"/>
    <w:rsid w:val="00E12CD3"/>
    <w:rsid w:val="00E12FB7"/>
    <w:rsid w:val="00E12FCE"/>
    <w:rsid w:val="00E13215"/>
    <w:rsid w:val="00E1332F"/>
    <w:rsid w:val="00E13A29"/>
    <w:rsid w:val="00E13E5E"/>
    <w:rsid w:val="00E1401E"/>
    <w:rsid w:val="00E141BE"/>
    <w:rsid w:val="00E155F1"/>
    <w:rsid w:val="00E15677"/>
    <w:rsid w:val="00E15776"/>
    <w:rsid w:val="00E15810"/>
    <w:rsid w:val="00E16132"/>
    <w:rsid w:val="00E16287"/>
    <w:rsid w:val="00E17063"/>
    <w:rsid w:val="00E175C1"/>
    <w:rsid w:val="00E17E43"/>
    <w:rsid w:val="00E2041B"/>
    <w:rsid w:val="00E20B22"/>
    <w:rsid w:val="00E20B89"/>
    <w:rsid w:val="00E20C98"/>
    <w:rsid w:val="00E20E61"/>
    <w:rsid w:val="00E21264"/>
    <w:rsid w:val="00E21D74"/>
    <w:rsid w:val="00E21E86"/>
    <w:rsid w:val="00E2298B"/>
    <w:rsid w:val="00E22A9E"/>
    <w:rsid w:val="00E230C0"/>
    <w:rsid w:val="00E23C8B"/>
    <w:rsid w:val="00E23D62"/>
    <w:rsid w:val="00E24516"/>
    <w:rsid w:val="00E25094"/>
    <w:rsid w:val="00E25170"/>
    <w:rsid w:val="00E255EF"/>
    <w:rsid w:val="00E25EC6"/>
    <w:rsid w:val="00E26334"/>
    <w:rsid w:val="00E264E3"/>
    <w:rsid w:val="00E26C36"/>
    <w:rsid w:val="00E27D6A"/>
    <w:rsid w:val="00E301E2"/>
    <w:rsid w:val="00E30654"/>
    <w:rsid w:val="00E317FE"/>
    <w:rsid w:val="00E32105"/>
    <w:rsid w:val="00E32291"/>
    <w:rsid w:val="00E325D3"/>
    <w:rsid w:val="00E341D4"/>
    <w:rsid w:val="00E345BF"/>
    <w:rsid w:val="00E351C6"/>
    <w:rsid w:val="00E35720"/>
    <w:rsid w:val="00E36E9A"/>
    <w:rsid w:val="00E370C0"/>
    <w:rsid w:val="00E37610"/>
    <w:rsid w:val="00E4036F"/>
    <w:rsid w:val="00E4054D"/>
    <w:rsid w:val="00E406D3"/>
    <w:rsid w:val="00E40813"/>
    <w:rsid w:val="00E40B80"/>
    <w:rsid w:val="00E4125A"/>
    <w:rsid w:val="00E416D9"/>
    <w:rsid w:val="00E41FFE"/>
    <w:rsid w:val="00E42793"/>
    <w:rsid w:val="00E429D3"/>
    <w:rsid w:val="00E42D32"/>
    <w:rsid w:val="00E449A3"/>
    <w:rsid w:val="00E45084"/>
    <w:rsid w:val="00E45427"/>
    <w:rsid w:val="00E4548E"/>
    <w:rsid w:val="00E456B2"/>
    <w:rsid w:val="00E4659F"/>
    <w:rsid w:val="00E46815"/>
    <w:rsid w:val="00E46FAE"/>
    <w:rsid w:val="00E47167"/>
    <w:rsid w:val="00E473B8"/>
    <w:rsid w:val="00E47461"/>
    <w:rsid w:val="00E47DA6"/>
    <w:rsid w:val="00E5113B"/>
    <w:rsid w:val="00E5161F"/>
    <w:rsid w:val="00E51B06"/>
    <w:rsid w:val="00E51CA8"/>
    <w:rsid w:val="00E51F2C"/>
    <w:rsid w:val="00E5248E"/>
    <w:rsid w:val="00E540C6"/>
    <w:rsid w:val="00E54457"/>
    <w:rsid w:val="00E547F9"/>
    <w:rsid w:val="00E5491E"/>
    <w:rsid w:val="00E54A5A"/>
    <w:rsid w:val="00E5567C"/>
    <w:rsid w:val="00E55787"/>
    <w:rsid w:val="00E55815"/>
    <w:rsid w:val="00E559A0"/>
    <w:rsid w:val="00E55B4E"/>
    <w:rsid w:val="00E55E58"/>
    <w:rsid w:val="00E565F3"/>
    <w:rsid w:val="00E5679C"/>
    <w:rsid w:val="00E56A17"/>
    <w:rsid w:val="00E56F14"/>
    <w:rsid w:val="00E57674"/>
    <w:rsid w:val="00E57CF2"/>
    <w:rsid w:val="00E6015A"/>
    <w:rsid w:val="00E608FD"/>
    <w:rsid w:val="00E60F89"/>
    <w:rsid w:val="00E61B8E"/>
    <w:rsid w:val="00E620AD"/>
    <w:rsid w:val="00E6217F"/>
    <w:rsid w:val="00E62847"/>
    <w:rsid w:val="00E62E0E"/>
    <w:rsid w:val="00E6336A"/>
    <w:rsid w:val="00E633F0"/>
    <w:rsid w:val="00E643D3"/>
    <w:rsid w:val="00E64D2D"/>
    <w:rsid w:val="00E6549A"/>
    <w:rsid w:val="00E663A0"/>
    <w:rsid w:val="00E668E5"/>
    <w:rsid w:val="00E66B85"/>
    <w:rsid w:val="00E66C17"/>
    <w:rsid w:val="00E67349"/>
    <w:rsid w:val="00E67EFD"/>
    <w:rsid w:val="00E67FBE"/>
    <w:rsid w:val="00E707F0"/>
    <w:rsid w:val="00E70B37"/>
    <w:rsid w:val="00E70D87"/>
    <w:rsid w:val="00E71B59"/>
    <w:rsid w:val="00E7242A"/>
    <w:rsid w:val="00E72475"/>
    <w:rsid w:val="00E72CB1"/>
    <w:rsid w:val="00E72E81"/>
    <w:rsid w:val="00E73AC9"/>
    <w:rsid w:val="00E7436B"/>
    <w:rsid w:val="00E75140"/>
    <w:rsid w:val="00E758CC"/>
    <w:rsid w:val="00E76044"/>
    <w:rsid w:val="00E76810"/>
    <w:rsid w:val="00E768BF"/>
    <w:rsid w:val="00E77534"/>
    <w:rsid w:val="00E77E5C"/>
    <w:rsid w:val="00E80B8B"/>
    <w:rsid w:val="00E80D36"/>
    <w:rsid w:val="00E80FB7"/>
    <w:rsid w:val="00E81CA6"/>
    <w:rsid w:val="00E81F4F"/>
    <w:rsid w:val="00E81FFE"/>
    <w:rsid w:val="00E82695"/>
    <w:rsid w:val="00E82CBA"/>
    <w:rsid w:val="00E84584"/>
    <w:rsid w:val="00E84632"/>
    <w:rsid w:val="00E84D75"/>
    <w:rsid w:val="00E85184"/>
    <w:rsid w:val="00E85927"/>
    <w:rsid w:val="00E8699B"/>
    <w:rsid w:val="00E870C1"/>
    <w:rsid w:val="00E87CE8"/>
    <w:rsid w:val="00E9062D"/>
    <w:rsid w:val="00E90F94"/>
    <w:rsid w:val="00E913A1"/>
    <w:rsid w:val="00E91D0E"/>
    <w:rsid w:val="00E920D9"/>
    <w:rsid w:val="00E94E0F"/>
    <w:rsid w:val="00E94EC0"/>
    <w:rsid w:val="00E9651A"/>
    <w:rsid w:val="00E966D7"/>
    <w:rsid w:val="00E967AD"/>
    <w:rsid w:val="00E972F9"/>
    <w:rsid w:val="00E978AF"/>
    <w:rsid w:val="00E97F2B"/>
    <w:rsid w:val="00E97FD2"/>
    <w:rsid w:val="00EA03D6"/>
    <w:rsid w:val="00EA0C30"/>
    <w:rsid w:val="00EA0E1F"/>
    <w:rsid w:val="00EA17DD"/>
    <w:rsid w:val="00EA1DF1"/>
    <w:rsid w:val="00EA3426"/>
    <w:rsid w:val="00EA3734"/>
    <w:rsid w:val="00EA3FD4"/>
    <w:rsid w:val="00EA4645"/>
    <w:rsid w:val="00EA4864"/>
    <w:rsid w:val="00EA4BC9"/>
    <w:rsid w:val="00EA50B4"/>
    <w:rsid w:val="00EA58A4"/>
    <w:rsid w:val="00EA5955"/>
    <w:rsid w:val="00EA5F6E"/>
    <w:rsid w:val="00EA63E1"/>
    <w:rsid w:val="00EA6452"/>
    <w:rsid w:val="00EA665A"/>
    <w:rsid w:val="00EA7D5A"/>
    <w:rsid w:val="00EB025C"/>
    <w:rsid w:val="00EB1756"/>
    <w:rsid w:val="00EB19F2"/>
    <w:rsid w:val="00EB205B"/>
    <w:rsid w:val="00EB2376"/>
    <w:rsid w:val="00EB245A"/>
    <w:rsid w:val="00EB271B"/>
    <w:rsid w:val="00EB2799"/>
    <w:rsid w:val="00EB289E"/>
    <w:rsid w:val="00EB28F2"/>
    <w:rsid w:val="00EB2ED4"/>
    <w:rsid w:val="00EB3547"/>
    <w:rsid w:val="00EB3A31"/>
    <w:rsid w:val="00EB4197"/>
    <w:rsid w:val="00EB4422"/>
    <w:rsid w:val="00EB4B2E"/>
    <w:rsid w:val="00EB51B5"/>
    <w:rsid w:val="00EB5CD1"/>
    <w:rsid w:val="00EB62F7"/>
    <w:rsid w:val="00EB64ED"/>
    <w:rsid w:val="00EB7628"/>
    <w:rsid w:val="00EC06AA"/>
    <w:rsid w:val="00EC0D4A"/>
    <w:rsid w:val="00EC1094"/>
    <w:rsid w:val="00EC1944"/>
    <w:rsid w:val="00EC25FF"/>
    <w:rsid w:val="00EC26CD"/>
    <w:rsid w:val="00EC3618"/>
    <w:rsid w:val="00EC3645"/>
    <w:rsid w:val="00EC4126"/>
    <w:rsid w:val="00EC4312"/>
    <w:rsid w:val="00EC4E8D"/>
    <w:rsid w:val="00EC5139"/>
    <w:rsid w:val="00EC5166"/>
    <w:rsid w:val="00EC5363"/>
    <w:rsid w:val="00EC5CAF"/>
    <w:rsid w:val="00EC61B5"/>
    <w:rsid w:val="00EC6EDA"/>
    <w:rsid w:val="00EC7855"/>
    <w:rsid w:val="00EC7B7D"/>
    <w:rsid w:val="00EC7E74"/>
    <w:rsid w:val="00ED2062"/>
    <w:rsid w:val="00ED2D49"/>
    <w:rsid w:val="00ED3712"/>
    <w:rsid w:val="00ED3CFD"/>
    <w:rsid w:val="00ED3E3C"/>
    <w:rsid w:val="00ED3FCF"/>
    <w:rsid w:val="00ED427A"/>
    <w:rsid w:val="00ED4496"/>
    <w:rsid w:val="00ED4CD7"/>
    <w:rsid w:val="00ED4FEC"/>
    <w:rsid w:val="00ED66A7"/>
    <w:rsid w:val="00ED6A5A"/>
    <w:rsid w:val="00ED78FA"/>
    <w:rsid w:val="00ED7A6E"/>
    <w:rsid w:val="00ED7D60"/>
    <w:rsid w:val="00ED7DBA"/>
    <w:rsid w:val="00EE00D2"/>
    <w:rsid w:val="00EE0813"/>
    <w:rsid w:val="00EE1590"/>
    <w:rsid w:val="00EE16B6"/>
    <w:rsid w:val="00EE2F1F"/>
    <w:rsid w:val="00EE3098"/>
    <w:rsid w:val="00EE3591"/>
    <w:rsid w:val="00EE3862"/>
    <w:rsid w:val="00EE3CB9"/>
    <w:rsid w:val="00EE4134"/>
    <w:rsid w:val="00EE4185"/>
    <w:rsid w:val="00EE502C"/>
    <w:rsid w:val="00EE54EB"/>
    <w:rsid w:val="00EE5DB2"/>
    <w:rsid w:val="00EE633D"/>
    <w:rsid w:val="00EE64A6"/>
    <w:rsid w:val="00EE6C57"/>
    <w:rsid w:val="00EE7908"/>
    <w:rsid w:val="00EE7A61"/>
    <w:rsid w:val="00EE7BA9"/>
    <w:rsid w:val="00EE7EC2"/>
    <w:rsid w:val="00EF02C6"/>
    <w:rsid w:val="00EF0587"/>
    <w:rsid w:val="00EF0B0A"/>
    <w:rsid w:val="00EF0BB9"/>
    <w:rsid w:val="00EF10D1"/>
    <w:rsid w:val="00EF12BF"/>
    <w:rsid w:val="00EF1549"/>
    <w:rsid w:val="00EF189E"/>
    <w:rsid w:val="00EF2C3B"/>
    <w:rsid w:val="00EF2D5B"/>
    <w:rsid w:val="00EF4C65"/>
    <w:rsid w:val="00EF6387"/>
    <w:rsid w:val="00EF67F6"/>
    <w:rsid w:val="00EF7773"/>
    <w:rsid w:val="00EF786E"/>
    <w:rsid w:val="00EF7A9D"/>
    <w:rsid w:val="00F00B4D"/>
    <w:rsid w:val="00F01734"/>
    <w:rsid w:val="00F019F8"/>
    <w:rsid w:val="00F01A84"/>
    <w:rsid w:val="00F02F1F"/>
    <w:rsid w:val="00F02FBE"/>
    <w:rsid w:val="00F04027"/>
    <w:rsid w:val="00F04340"/>
    <w:rsid w:val="00F04BCF"/>
    <w:rsid w:val="00F04F8D"/>
    <w:rsid w:val="00F0529C"/>
    <w:rsid w:val="00F062C5"/>
    <w:rsid w:val="00F070CA"/>
    <w:rsid w:val="00F07B96"/>
    <w:rsid w:val="00F10896"/>
    <w:rsid w:val="00F108A3"/>
    <w:rsid w:val="00F10B2F"/>
    <w:rsid w:val="00F10EFD"/>
    <w:rsid w:val="00F1149D"/>
    <w:rsid w:val="00F123E5"/>
    <w:rsid w:val="00F12C8B"/>
    <w:rsid w:val="00F12DB9"/>
    <w:rsid w:val="00F12DC8"/>
    <w:rsid w:val="00F13C5D"/>
    <w:rsid w:val="00F14CF8"/>
    <w:rsid w:val="00F150F6"/>
    <w:rsid w:val="00F153DE"/>
    <w:rsid w:val="00F16F55"/>
    <w:rsid w:val="00F1705F"/>
    <w:rsid w:val="00F1753E"/>
    <w:rsid w:val="00F1779E"/>
    <w:rsid w:val="00F2028C"/>
    <w:rsid w:val="00F20321"/>
    <w:rsid w:val="00F20364"/>
    <w:rsid w:val="00F20745"/>
    <w:rsid w:val="00F20B58"/>
    <w:rsid w:val="00F20DCE"/>
    <w:rsid w:val="00F21A94"/>
    <w:rsid w:val="00F21AEF"/>
    <w:rsid w:val="00F22328"/>
    <w:rsid w:val="00F2333F"/>
    <w:rsid w:val="00F23D95"/>
    <w:rsid w:val="00F24009"/>
    <w:rsid w:val="00F24035"/>
    <w:rsid w:val="00F24111"/>
    <w:rsid w:val="00F24996"/>
    <w:rsid w:val="00F250B0"/>
    <w:rsid w:val="00F253E6"/>
    <w:rsid w:val="00F27D0A"/>
    <w:rsid w:val="00F27D4A"/>
    <w:rsid w:val="00F30993"/>
    <w:rsid w:val="00F30E74"/>
    <w:rsid w:val="00F31D30"/>
    <w:rsid w:val="00F31D9C"/>
    <w:rsid w:val="00F31FB2"/>
    <w:rsid w:val="00F32028"/>
    <w:rsid w:val="00F3256E"/>
    <w:rsid w:val="00F32758"/>
    <w:rsid w:val="00F337F6"/>
    <w:rsid w:val="00F33F93"/>
    <w:rsid w:val="00F3444E"/>
    <w:rsid w:val="00F3480A"/>
    <w:rsid w:val="00F34ED5"/>
    <w:rsid w:val="00F35656"/>
    <w:rsid w:val="00F35900"/>
    <w:rsid w:val="00F35968"/>
    <w:rsid w:val="00F35B55"/>
    <w:rsid w:val="00F36391"/>
    <w:rsid w:val="00F364DB"/>
    <w:rsid w:val="00F365D3"/>
    <w:rsid w:val="00F3664E"/>
    <w:rsid w:val="00F367C6"/>
    <w:rsid w:val="00F3775C"/>
    <w:rsid w:val="00F37DEB"/>
    <w:rsid w:val="00F40BF8"/>
    <w:rsid w:val="00F40DB8"/>
    <w:rsid w:val="00F4123B"/>
    <w:rsid w:val="00F417D6"/>
    <w:rsid w:val="00F41912"/>
    <w:rsid w:val="00F41B03"/>
    <w:rsid w:val="00F42026"/>
    <w:rsid w:val="00F42470"/>
    <w:rsid w:val="00F425C3"/>
    <w:rsid w:val="00F428C3"/>
    <w:rsid w:val="00F42D22"/>
    <w:rsid w:val="00F437E7"/>
    <w:rsid w:val="00F43DC2"/>
    <w:rsid w:val="00F43F95"/>
    <w:rsid w:val="00F440E5"/>
    <w:rsid w:val="00F44B17"/>
    <w:rsid w:val="00F44D12"/>
    <w:rsid w:val="00F44D1D"/>
    <w:rsid w:val="00F44D29"/>
    <w:rsid w:val="00F4546A"/>
    <w:rsid w:val="00F46894"/>
    <w:rsid w:val="00F46936"/>
    <w:rsid w:val="00F473FA"/>
    <w:rsid w:val="00F501E3"/>
    <w:rsid w:val="00F50941"/>
    <w:rsid w:val="00F50FB7"/>
    <w:rsid w:val="00F5174C"/>
    <w:rsid w:val="00F520EB"/>
    <w:rsid w:val="00F52141"/>
    <w:rsid w:val="00F52765"/>
    <w:rsid w:val="00F5292E"/>
    <w:rsid w:val="00F536E1"/>
    <w:rsid w:val="00F53A2B"/>
    <w:rsid w:val="00F53D50"/>
    <w:rsid w:val="00F54088"/>
    <w:rsid w:val="00F543C3"/>
    <w:rsid w:val="00F545D3"/>
    <w:rsid w:val="00F54BE7"/>
    <w:rsid w:val="00F54C79"/>
    <w:rsid w:val="00F553E6"/>
    <w:rsid w:val="00F558DC"/>
    <w:rsid w:val="00F55A09"/>
    <w:rsid w:val="00F55CE8"/>
    <w:rsid w:val="00F55DB0"/>
    <w:rsid w:val="00F55FA4"/>
    <w:rsid w:val="00F564AB"/>
    <w:rsid w:val="00F56DF3"/>
    <w:rsid w:val="00F56FB1"/>
    <w:rsid w:val="00F5731B"/>
    <w:rsid w:val="00F577F2"/>
    <w:rsid w:val="00F57FE2"/>
    <w:rsid w:val="00F604D4"/>
    <w:rsid w:val="00F6055B"/>
    <w:rsid w:val="00F6079B"/>
    <w:rsid w:val="00F6163E"/>
    <w:rsid w:val="00F61929"/>
    <w:rsid w:val="00F61A8E"/>
    <w:rsid w:val="00F61D37"/>
    <w:rsid w:val="00F62915"/>
    <w:rsid w:val="00F62C17"/>
    <w:rsid w:val="00F62C43"/>
    <w:rsid w:val="00F62DC6"/>
    <w:rsid w:val="00F63F0D"/>
    <w:rsid w:val="00F652A6"/>
    <w:rsid w:val="00F65704"/>
    <w:rsid w:val="00F65898"/>
    <w:rsid w:val="00F65DF6"/>
    <w:rsid w:val="00F66820"/>
    <w:rsid w:val="00F66D97"/>
    <w:rsid w:val="00F705C1"/>
    <w:rsid w:val="00F70948"/>
    <w:rsid w:val="00F71289"/>
    <w:rsid w:val="00F7187C"/>
    <w:rsid w:val="00F718ED"/>
    <w:rsid w:val="00F723AC"/>
    <w:rsid w:val="00F72D15"/>
    <w:rsid w:val="00F72FD3"/>
    <w:rsid w:val="00F7333B"/>
    <w:rsid w:val="00F74237"/>
    <w:rsid w:val="00F7466A"/>
    <w:rsid w:val="00F74769"/>
    <w:rsid w:val="00F75003"/>
    <w:rsid w:val="00F759BB"/>
    <w:rsid w:val="00F76998"/>
    <w:rsid w:val="00F77316"/>
    <w:rsid w:val="00F77E00"/>
    <w:rsid w:val="00F77F8E"/>
    <w:rsid w:val="00F80404"/>
    <w:rsid w:val="00F82737"/>
    <w:rsid w:val="00F85CF5"/>
    <w:rsid w:val="00F860BB"/>
    <w:rsid w:val="00F86955"/>
    <w:rsid w:val="00F93D68"/>
    <w:rsid w:val="00F941A0"/>
    <w:rsid w:val="00F950C2"/>
    <w:rsid w:val="00F951F4"/>
    <w:rsid w:val="00F9534E"/>
    <w:rsid w:val="00F95372"/>
    <w:rsid w:val="00F96FEA"/>
    <w:rsid w:val="00FA0AA7"/>
    <w:rsid w:val="00FA1445"/>
    <w:rsid w:val="00FA1B76"/>
    <w:rsid w:val="00FA2023"/>
    <w:rsid w:val="00FA2848"/>
    <w:rsid w:val="00FA3077"/>
    <w:rsid w:val="00FA35E8"/>
    <w:rsid w:val="00FA3767"/>
    <w:rsid w:val="00FA42CB"/>
    <w:rsid w:val="00FA4395"/>
    <w:rsid w:val="00FA4FF2"/>
    <w:rsid w:val="00FA69BD"/>
    <w:rsid w:val="00FA6CA3"/>
    <w:rsid w:val="00FA6F2F"/>
    <w:rsid w:val="00FA761E"/>
    <w:rsid w:val="00FB0310"/>
    <w:rsid w:val="00FB099B"/>
    <w:rsid w:val="00FB0A27"/>
    <w:rsid w:val="00FB1341"/>
    <w:rsid w:val="00FB2CEE"/>
    <w:rsid w:val="00FB3041"/>
    <w:rsid w:val="00FB352C"/>
    <w:rsid w:val="00FB3937"/>
    <w:rsid w:val="00FB555D"/>
    <w:rsid w:val="00FB6150"/>
    <w:rsid w:val="00FB62CE"/>
    <w:rsid w:val="00FB67B3"/>
    <w:rsid w:val="00FB6D8A"/>
    <w:rsid w:val="00FB7E42"/>
    <w:rsid w:val="00FB7F0C"/>
    <w:rsid w:val="00FC2394"/>
    <w:rsid w:val="00FC2E4F"/>
    <w:rsid w:val="00FC3B7E"/>
    <w:rsid w:val="00FC5654"/>
    <w:rsid w:val="00FC623D"/>
    <w:rsid w:val="00FC6775"/>
    <w:rsid w:val="00FC679E"/>
    <w:rsid w:val="00FC6CE6"/>
    <w:rsid w:val="00FC73E1"/>
    <w:rsid w:val="00FC7B75"/>
    <w:rsid w:val="00FD046F"/>
    <w:rsid w:val="00FD058C"/>
    <w:rsid w:val="00FD0C0F"/>
    <w:rsid w:val="00FD1971"/>
    <w:rsid w:val="00FD270B"/>
    <w:rsid w:val="00FD3122"/>
    <w:rsid w:val="00FD31F4"/>
    <w:rsid w:val="00FD3828"/>
    <w:rsid w:val="00FD3BD0"/>
    <w:rsid w:val="00FD4420"/>
    <w:rsid w:val="00FD49BB"/>
    <w:rsid w:val="00FD4A6C"/>
    <w:rsid w:val="00FD4C1D"/>
    <w:rsid w:val="00FD4EE9"/>
    <w:rsid w:val="00FD54B0"/>
    <w:rsid w:val="00FD56FF"/>
    <w:rsid w:val="00FD5B48"/>
    <w:rsid w:val="00FD5C1B"/>
    <w:rsid w:val="00FD6A1B"/>
    <w:rsid w:val="00FD7575"/>
    <w:rsid w:val="00FD75EB"/>
    <w:rsid w:val="00FD762B"/>
    <w:rsid w:val="00FE0421"/>
    <w:rsid w:val="00FE0A6C"/>
    <w:rsid w:val="00FE0F1E"/>
    <w:rsid w:val="00FE14E3"/>
    <w:rsid w:val="00FE1B86"/>
    <w:rsid w:val="00FE3962"/>
    <w:rsid w:val="00FE3EA5"/>
    <w:rsid w:val="00FE42A4"/>
    <w:rsid w:val="00FE4A1E"/>
    <w:rsid w:val="00FE5108"/>
    <w:rsid w:val="00FE5577"/>
    <w:rsid w:val="00FE5B0A"/>
    <w:rsid w:val="00FF03A8"/>
    <w:rsid w:val="00FF05DC"/>
    <w:rsid w:val="00FF060D"/>
    <w:rsid w:val="00FF092C"/>
    <w:rsid w:val="00FF0BC2"/>
    <w:rsid w:val="00FF1343"/>
    <w:rsid w:val="00FF2076"/>
    <w:rsid w:val="00FF2374"/>
    <w:rsid w:val="00FF2DF2"/>
    <w:rsid w:val="00FF34F0"/>
    <w:rsid w:val="00FF35CD"/>
    <w:rsid w:val="00FF380D"/>
    <w:rsid w:val="00FF385A"/>
    <w:rsid w:val="00FF406D"/>
    <w:rsid w:val="00FF451F"/>
    <w:rsid w:val="00FF47E5"/>
    <w:rsid w:val="00FF5224"/>
    <w:rsid w:val="00FF5347"/>
    <w:rsid w:val="00FF549A"/>
    <w:rsid w:val="00FF5C76"/>
    <w:rsid w:val="00FF5E60"/>
    <w:rsid w:val="00FF60AE"/>
    <w:rsid w:val="00FF69CC"/>
    <w:rsid w:val="00FF7199"/>
    <w:rsid w:val="00FF7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6AA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3C8"/>
    <w:pPr>
      <w:spacing w:after="100" w:line="400" w:lineRule="exact"/>
      <w:jc w:val="both"/>
    </w:pPr>
    <w:rPr>
      <w:rFonts w:ascii="Century Schoolbook" w:hAnsi="Century Schoolbook"/>
      <w:sz w:val="27"/>
    </w:rPr>
  </w:style>
  <w:style w:type="paragraph" w:styleId="Heading1">
    <w:name w:val="heading 1"/>
    <w:basedOn w:val="Normal"/>
    <w:next w:val="Normal"/>
    <w:qFormat/>
    <w:rsid w:val="00B323C8"/>
    <w:pPr>
      <w:keepNext/>
      <w:spacing w:before="140" w:line="240" w:lineRule="atLeast"/>
      <w:jc w:val="center"/>
      <w:outlineLvl w:val="0"/>
    </w:pPr>
    <w:rPr>
      <w:b/>
      <w:smallCaps/>
    </w:rPr>
  </w:style>
  <w:style w:type="paragraph" w:styleId="Heading2">
    <w:name w:val="heading 2"/>
    <w:basedOn w:val="Normal"/>
    <w:next w:val="Normal"/>
    <w:qFormat/>
    <w:rsid w:val="00B323C8"/>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link w:val="Heading3Char"/>
    <w:qFormat/>
    <w:rsid w:val="00B323C8"/>
    <w:pPr>
      <w:keepNext/>
      <w:tabs>
        <w:tab w:val="left" w:pos="1584"/>
      </w:tabs>
      <w:spacing w:before="140" w:line="240" w:lineRule="atLeast"/>
      <w:ind w:left="1584" w:hanging="432"/>
      <w:jc w:val="left"/>
      <w:outlineLvl w:val="2"/>
    </w:pPr>
    <w:rPr>
      <w:i/>
    </w:rPr>
  </w:style>
  <w:style w:type="paragraph" w:styleId="Heading4">
    <w:name w:val="heading 4"/>
    <w:basedOn w:val="Normal"/>
    <w:rsid w:val="00B323C8"/>
    <w:pPr>
      <w:keepNext/>
      <w:tabs>
        <w:tab w:val="left" w:pos="2016"/>
      </w:tabs>
      <w:spacing w:before="140" w:line="240" w:lineRule="atLeast"/>
      <w:ind w:left="2016" w:hanging="432"/>
      <w:jc w:val="left"/>
      <w:outlineLvl w:val="3"/>
    </w:pPr>
    <w:rPr>
      <w:i/>
    </w:rPr>
  </w:style>
  <w:style w:type="paragraph" w:styleId="Heading5">
    <w:name w:val="heading 5"/>
    <w:basedOn w:val="Normal"/>
    <w:rsid w:val="00B323C8"/>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B323C8"/>
    <w:pPr>
      <w:ind w:left="720"/>
    </w:pPr>
  </w:style>
  <w:style w:type="paragraph" w:styleId="Footer">
    <w:name w:val="footer"/>
    <w:basedOn w:val="Normal"/>
    <w:link w:val="FooterChar"/>
    <w:qFormat/>
    <w:rsid w:val="00B323C8"/>
    <w:pPr>
      <w:tabs>
        <w:tab w:val="center" w:pos="3960"/>
        <w:tab w:val="right" w:pos="10080"/>
      </w:tabs>
      <w:spacing w:after="0" w:line="240" w:lineRule="auto"/>
      <w:jc w:val="center"/>
    </w:pPr>
    <w:rPr>
      <w:sz w:val="22"/>
    </w:rPr>
  </w:style>
  <w:style w:type="paragraph" w:styleId="Header">
    <w:name w:val="header"/>
    <w:basedOn w:val="Normal"/>
    <w:qFormat/>
    <w:rsid w:val="00B323C8"/>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B323C8"/>
    <w:rPr>
      <w:rFonts w:ascii="Century Schoolbook" w:hAnsi="Century Schoolbook"/>
      <w:b/>
      <w:i w:val="0"/>
      <w:position w:val="4"/>
      <w:sz w:val="27"/>
      <w:vertAlign w:val="superscript"/>
    </w:rPr>
  </w:style>
  <w:style w:type="paragraph" w:styleId="FootnoteText">
    <w:name w:val="footnote text"/>
    <w:basedOn w:val="Normal"/>
    <w:link w:val="FootnoteTextChar"/>
    <w:rsid w:val="00B323C8"/>
    <w:pPr>
      <w:spacing w:line="300" w:lineRule="exact"/>
    </w:pPr>
  </w:style>
  <w:style w:type="paragraph" w:customStyle="1" w:styleId="Title1">
    <w:name w:val="Title1"/>
    <w:basedOn w:val="Normal"/>
    <w:rsid w:val="00B323C8"/>
    <w:pPr>
      <w:tabs>
        <w:tab w:val="left" w:pos="5760"/>
        <w:tab w:val="left" w:pos="6480"/>
      </w:tabs>
      <w:spacing w:line="240" w:lineRule="atLeast"/>
    </w:pPr>
  </w:style>
  <w:style w:type="paragraph" w:customStyle="1" w:styleId="Recommend">
    <w:name w:val="Recommend"/>
    <w:basedOn w:val="Normal"/>
    <w:rsid w:val="00B323C8"/>
  </w:style>
  <w:style w:type="paragraph" w:customStyle="1" w:styleId="Summary">
    <w:name w:val="Summary"/>
    <w:basedOn w:val="Normal"/>
    <w:rsid w:val="00B323C8"/>
    <w:pPr>
      <w:ind w:left="2160" w:hanging="2160"/>
    </w:pPr>
  </w:style>
  <w:style w:type="paragraph" w:customStyle="1" w:styleId="Text">
    <w:name w:val="Text"/>
    <w:basedOn w:val="Normal"/>
    <w:link w:val="TextChar"/>
    <w:rsid w:val="00B323C8"/>
    <w:pPr>
      <w:tabs>
        <w:tab w:val="left" w:pos="720"/>
        <w:tab w:val="left" w:pos="1440"/>
        <w:tab w:val="left" w:pos="2160"/>
        <w:tab w:val="center" w:pos="4320"/>
      </w:tabs>
      <w:spacing w:line="480" w:lineRule="atLeast"/>
      <w:ind w:firstLine="540"/>
    </w:pPr>
  </w:style>
  <w:style w:type="paragraph" w:styleId="Date">
    <w:name w:val="Date"/>
    <w:basedOn w:val="Normal"/>
    <w:semiHidden/>
    <w:rsid w:val="00B323C8"/>
    <w:pPr>
      <w:jc w:val="right"/>
    </w:pPr>
  </w:style>
  <w:style w:type="character" w:styleId="PageNumber">
    <w:name w:val="page number"/>
    <w:basedOn w:val="DefaultParagraphFont"/>
    <w:rsid w:val="00B323C8"/>
  </w:style>
  <w:style w:type="paragraph" w:customStyle="1" w:styleId="subject">
    <w:name w:val="subject"/>
    <w:basedOn w:val="Normal"/>
    <w:rsid w:val="00B323C8"/>
    <w:pPr>
      <w:tabs>
        <w:tab w:val="left" w:pos="1008"/>
      </w:tabs>
      <w:ind w:left="990" w:hanging="990"/>
    </w:pPr>
    <w:rPr>
      <w:b/>
    </w:rPr>
  </w:style>
  <w:style w:type="paragraph" w:customStyle="1" w:styleId="Titles">
    <w:name w:val="Titles"/>
    <w:basedOn w:val="Normal"/>
    <w:rsid w:val="00B323C8"/>
    <w:pPr>
      <w:tabs>
        <w:tab w:val="left" w:pos="2160"/>
      </w:tabs>
      <w:ind w:left="2160" w:hanging="2160"/>
    </w:pPr>
    <w:rPr>
      <w:b/>
    </w:rPr>
  </w:style>
  <w:style w:type="paragraph" w:styleId="TOAHeading">
    <w:name w:val="toa heading"/>
    <w:basedOn w:val="Normal"/>
    <w:next w:val="Normal"/>
    <w:semiHidden/>
    <w:rsid w:val="00B323C8"/>
    <w:pPr>
      <w:spacing w:before="120"/>
    </w:pPr>
    <w:rPr>
      <w:b/>
    </w:rPr>
  </w:style>
  <w:style w:type="paragraph" w:styleId="TOC1">
    <w:name w:val="toc 1"/>
    <w:basedOn w:val="Normal"/>
    <w:next w:val="Normal"/>
    <w:autoRedefine/>
    <w:rsid w:val="00B323C8"/>
  </w:style>
  <w:style w:type="paragraph" w:styleId="TOC2">
    <w:name w:val="toc 2"/>
    <w:basedOn w:val="Normal"/>
    <w:next w:val="Normal"/>
    <w:autoRedefine/>
    <w:rsid w:val="00B323C8"/>
    <w:pPr>
      <w:ind w:left="259"/>
    </w:pPr>
  </w:style>
  <w:style w:type="paragraph" w:styleId="TOC3">
    <w:name w:val="toc 3"/>
    <w:basedOn w:val="Normal"/>
    <w:next w:val="Normal"/>
    <w:autoRedefine/>
    <w:rsid w:val="00B323C8"/>
    <w:pPr>
      <w:ind w:left="520"/>
    </w:pPr>
  </w:style>
  <w:style w:type="paragraph" w:styleId="TOC4">
    <w:name w:val="toc 4"/>
    <w:basedOn w:val="Normal"/>
    <w:next w:val="Normal"/>
    <w:autoRedefine/>
    <w:semiHidden/>
    <w:rsid w:val="00B323C8"/>
    <w:pPr>
      <w:ind w:left="780"/>
    </w:pPr>
  </w:style>
  <w:style w:type="paragraph" w:styleId="TOC5">
    <w:name w:val="toc 5"/>
    <w:basedOn w:val="Normal"/>
    <w:next w:val="Normal"/>
    <w:autoRedefine/>
    <w:semiHidden/>
    <w:rsid w:val="00B323C8"/>
    <w:pPr>
      <w:ind w:left="1040"/>
    </w:pPr>
  </w:style>
  <w:style w:type="paragraph" w:styleId="TOC6">
    <w:name w:val="toc 6"/>
    <w:basedOn w:val="Normal"/>
    <w:next w:val="Normal"/>
    <w:autoRedefine/>
    <w:semiHidden/>
    <w:rsid w:val="00B323C8"/>
    <w:pPr>
      <w:ind w:left="1300"/>
    </w:pPr>
  </w:style>
  <w:style w:type="paragraph" w:styleId="TOC7">
    <w:name w:val="toc 7"/>
    <w:basedOn w:val="Normal"/>
    <w:next w:val="Normal"/>
    <w:autoRedefine/>
    <w:semiHidden/>
    <w:rsid w:val="00B323C8"/>
    <w:pPr>
      <w:ind w:left="1560"/>
    </w:pPr>
  </w:style>
  <w:style w:type="paragraph" w:styleId="TOC8">
    <w:name w:val="toc 8"/>
    <w:basedOn w:val="Normal"/>
    <w:next w:val="Normal"/>
    <w:autoRedefine/>
    <w:semiHidden/>
    <w:rsid w:val="00B323C8"/>
    <w:pPr>
      <w:ind w:left="1820"/>
    </w:pPr>
  </w:style>
  <w:style w:type="paragraph" w:styleId="TOC9">
    <w:name w:val="toc 9"/>
    <w:basedOn w:val="Normal"/>
    <w:next w:val="Normal"/>
    <w:autoRedefine/>
    <w:semiHidden/>
    <w:rsid w:val="00B323C8"/>
    <w:pPr>
      <w:ind w:left="2080"/>
    </w:pPr>
  </w:style>
  <w:style w:type="paragraph" w:customStyle="1" w:styleId="Contents">
    <w:name w:val="Contents"/>
    <w:basedOn w:val="Normal"/>
    <w:rsid w:val="00B323C8"/>
    <w:pPr>
      <w:jc w:val="center"/>
    </w:pPr>
    <w:rPr>
      <w:b/>
      <w:spacing w:val="100"/>
    </w:rPr>
  </w:style>
  <w:style w:type="paragraph" w:customStyle="1" w:styleId="MainText">
    <w:name w:val="Main Text"/>
    <w:basedOn w:val="Normal"/>
    <w:link w:val="MainTextChar"/>
    <w:qFormat/>
    <w:rsid w:val="003F4450"/>
    <w:pPr>
      <w:spacing w:line="480" w:lineRule="atLeast"/>
      <w:ind w:firstLine="720"/>
    </w:pPr>
  </w:style>
  <w:style w:type="character" w:customStyle="1" w:styleId="MainTextChar">
    <w:name w:val="Main Text Char"/>
    <w:link w:val="MainText"/>
    <w:rsid w:val="003F4450"/>
    <w:rPr>
      <w:sz w:val="26"/>
    </w:rPr>
  </w:style>
  <w:style w:type="character" w:styleId="CommentReference">
    <w:name w:val="annotation reference"/>
    <w:basedOn w:val="DefaultParagraphFont"/>
    <w:uiPriority w:val="99"/>
    <w:semiHidden/>
    <w:unhideWhenUsed/>
    <w:rsid w:val="006D5923"/>
    <w:rPr>
      <w:sz w:val="16"/>
      <w:szCs w:val="16"/>
    </w:rPr>
  </w:style>
  <w:style w:type="paragraph" w:styleId="CommentText">
    <w:name w:val="annotation text"/>
    <w:basedOn w:val="Normal"/>
    <w:link w:val="CommentTextChar"/>
    <w:uiPriority w:val="99"/>
    <w:unhideWhenUsed/>
    <w:rsid w:val="006D5923"/>
    <w:rPr>
      <w:sz w:val="20"/>
    </w:rPr>
  </w:style>
  <w:style w:type="character" w:customStyle="1" w:styleId="CommentTextChar">
    <w:name w:val="Comment Text Char"/>
    <w:basedOn w:val="DefaultParagraphFont"/>
    <w:link w:val="CommentText"/>
    <w:uiPriority w:val="99"/>
    <w:rsid w:val="006D5923"/>
  </w:style>
  <w:style w:type="paragraph" w:styleId="CommentSubject">
    <w:name w:val="annotation subject"/>
    <w:basedOn w:val="CommentText"/>
    <w:next w:val="CommentText"/>
    <w:link w:val="CommentSubjectChar"/>
    <w:uiPriority w:val="99"/>
    <w:semiHidden/>
    <w:unhideWhenUsed/>
    <w:rsid w:val="006D5923"/>
    <w:rPr>
      <w:b/>
      <w:bCs/>
    </w:rPr>
  </w:style>
  <w:style w:type="character" w:customStyle="1" w:styleId="CommentSubjectChar">
    <w:name w:val="Comment Subject Char"/>
    <w:basedOn w:val="CommentTextChar"/>
    <w:link w:val="CommentSubject"/>
    <w:uiPriority w:val="99"/>
    <w:semiHidden/>
    <w:rsid w:val="006D5923"/>
    <w:rPr>
      <w:b/>
      <w:bCs/>
    </w:rPr>
  </w:style>
  <w:style w:type="paragraph" w:styleId="Revision">
    <w:name w:val="Revision"/>
    <w:hidden/>
    <w:uiPriority w:val="99"/>
    <w:semiHidden/>
    <w:rsid w:val="006D5923"/>
    <w:rPr>
      <w:sz w:val="26"/>
    </w:rPr>
  </w:style>
  <w:style w:type="paragraph" w:styleId="BalloonText">
    <w:name w:val="Balloon Text"/>
    <w:basedOn w:val="Normal"/>
    <w:link w:val="BalloonTextChar"/>
    <w:uiPriority w:val="99"/>
    <w:semiHidden/>
    <w:unhideWhenUsed/>
    <w:rsid w:val="006D59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923"/>
    <w:rPr>
      <w:rFonts w:ascii="Segoe UI" w:hAnsi="Segoe UI" w:cs="Segoe UI"/>
      <w:sz w:val="18"/>
      <w:szCs w:val="18"/>
    </w:rPr>
  </w:style>
  <w:style w:type="character" w:styleId="Hyperlink">
    <w:name w:val="Hyperlink"/>
    <w:basedOn w:val="DefaultParagraphFont"/>
    <w:uiPriority w:val="99"/>
    <w:unhideWhenUsed/>
    <w:rsid w:val="009B1FAF"/>
    <w:rPr>
      <w:color w:val="0000FF"/>
      <w:u w:val="single"/>
    </w:rPr>
  </w:style>
  <w:style w:type="character" w:customStyle="1" w:styleId="Heading3Char">
    <w:name w:val="Heading 3 Char"/>
    <w:basedOn w:val="DefaultParagraphFont"/>
    <w:link w:val="Heading3"/>
    <w:rsid w:val="0099233F"/>
    <w:rPr>
      <w:rFonts w:ascii="Century Schoolbook" w:hAnsi="Century Schoolbook"/>
      <w:i/>
      <w:sz w:val="27"/>
    </w:rPr>
  </w:style>
  <w:style w:type="character" w:customStyle="1" w:styleId="TextChar">
    <w:name w:val="Text Char"/>
    <w:link w:val="Text"/>
    <w:rsid w:val="00907CAC"/>
    <w:rPr>
      <w:rFonts w:ascii="Century Schoolbook" w:hAnsi="Century Schoolbook"/>
      <w:sz w:val="27"/>
    </w:rPr>
  </w:style>
  <w:style w:type="character" w:customStyle="1" w:styleId="FooterChar">
    <w:name w:val="Footer Char"/>
    <w:basedOn w:val="DefaultParagraphFont"/>
    <w:link w:val="Footer"/>
    <w:rsid w:val="00907CAC"/>
    <w:rPr>
      <w:rFonts w:ascii="Century Schoolbook" w:hAnsi="Century Schoolbook"/>
      <w:sz w:val="22"/>
    </w:rPr>
  </w:style>
  <w:style w:type="character" w:styleId="UnresolvedMention">
    <w:name w:val="Unresolved Mention"/>
    <w:basedOn w:val="DefaultParagraphFont"/>
    <w:uiPriority w:val="99"/>
    <w:semiHidden/>
    <w:unhideWhenUsed/>
    <w:rsid w:val="00177128"/>
    <w:rPr>
      <w:color w:val="605E5C"/>
      <w:shd w:val="clear" w:color="auto" w:fill="E1DFDD"/>
    </w:rPr>
  </w:style>
  <w:style w:type="character" w:customStyle="1" w:styleId="FootnoteTextChar">
    <w:name w:val="Footnote Text Char"/>
    <w:basedOn w:val="DefaultParagraphFont"/>
    <w:link w:val="FootnoteText"/>
    <w:rsid w:val="000D7F4B"/>
    <w:rPr>
      <w:rFonts w:ascii="Century Schoolbook" w:hAnsi="Century Schoolbook"/>
      <w:sz w:val="27"/>
    </w:rPr>
  </w:style>
  <w:style w:type="paragraph" w:styleId="ListParagraph">
    <w:name w:val="List Paragraph"/>
    <w:basedOn w:val="Normal"/>
    <w:uiPriority w:val="34"/>
    <w:qFormat/>
    <w:rsid w:val="008633D4"/>
    <w:pPr>
      <w:ind w:left="720"/>
      <w:contextualSpacing/>
    </w:pPr>
  </w:style>
  <w:style w:type="paragraph" w:styleId="BodyText">
    <w:name w:val="Body Text"/>
    <w:basedOn w:val="Normal"/>
    <w:link w:val="BodyTextChar"/>
    <w:qFormat/>
    <w:rsid w:val="00B323C8"/>
  </w:style>
  <w:style w:type="character" w:customStyle="1" w:styleId="BodyTextChar">
    <w:name w:val="Body Text Char"/>
    <w:basedOn w:val="DefaultParagraphFont"/>
    <w:link w:val="BodyText"/>
    <w:rsid w:val="00B323C8"/>
    <w:rPr>
      <w:rFonts w:ascii="Century Schoolbook" w:hAnsi="Century Schoolbook"/>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1808">
      <w:bodyDiv w:val="1"/>
      <w:marLeft w:val="0"/>
      <w:marRight w:val="0"/>
      <w:marTop w:val="0"/>
      <w:marBottom w:val="0"/>
      <w:divBdr>
        <w:top w:val="none" w:sz="0" w:space="0" w:color="auto"/>
        <w:left w:val="none" w:sz="0" w:space="0" w:color="auto"/>
        <w:bottom w:val="none" w:sz="0" w:space="0" w:color="auto"/>
        <w:right w:val="none" w:sz="0" w:space="0" w:color="auto"/>
      </w:divBdr>
    </w:div>
    <w:div w:id="71776837">
      <w:bodyDiv w:val="1"/>
      <w:marLeft w:val="0"/>
      <w:marRight w:val="0"/>
      <w:marTop w:val="0"/>
      <w:marBottom w:val="0"/>
      <w:divBdr>
        <w:top w:val="none" w:sz="0" w:space="0" w:color="auto"/>
        <w:left w:val="none" w:sz="0" w:space="0" w:color="auto"/>
        <w:bottom w:val="none" w:sz="0" w:space="0" w:color="auto"/>
        <w:right w:val="none" w:sz="0" w:space="0" w:color="auto"/>
      </w:divBdr>
    </w:div>
    <w:div w:id="450631335">
      <w:bodyDiv w:val="1"/>
      <w:marLeft w:val="0"/>
      <w:marRight w:val="0"/>
      <w:marTop w:val="0"/>
      <w:marBottom w:val="0"/>
      <w:divBdr>
        <w:top w:val="none" w:sz="0" w:space="0" w:color="auto"/>
        <w:left w:val="none" w:sz="0" w:space="0" w:color="auto"/>
        <w:bottom w:val="none" w:sz="0" w:space="0" w:color="auto"/>
        <w:right w:val="none" w:sz="0" w:space="0" w:color="auto"/>
      </w:divBdr>
    </w:div>
    <w:div w:id="116577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9FC82-3928-476F-A1FE-8669C3579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14662</Words>
  <Characters>83578</Characters>
  <Application>Microsoft Office Word</Application>
  <DocSecurity>0</DocSecurity>
  <Lines>696</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2021-08-20T17:39:00Z</dcterms:created>
  <dcterms:modified xsi:type="dcterms:W3CDTF">2021-08-20T19:41:00Z</dcterms:modified>
</cp:coreProperties>
</file>