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64C" w:rsidRDefault="00EB08A6" w:rsidP="00EB08A6">
      <w:pPr>
        <w:tabs>
          <w:tab w:val="left" w:pos="1440"/>
          <w:tab w:val="left" w:pos="4680"/>
          <w:tab w:val="center" w:pos="7200"/>
        </w:tabs>
        <w:spacing w:after="0"/>
        <w:jc w:val="center"/>
        <w:rPr>
          <w:sz w:val="36"/>
        </w:rPr>
      </w:pPr>
      <w:bookmarkStart w:id="0" w:name="MarkDocLoc"/>
      <w:bookmarkStart w:id="1" w:name="_Hlk520717139"/>
      <w:bookmarkStart w:id="2" w:name="_Hlk511745855"/>
      <w:bookmarkStart w:id="3" w:name="_Hlk532304759"/>
      <w:bookmarkEnd w:id="0"/>
      <w:r>
        <w:rPr>
          <w:b/>
          <w:sz w:val="36"/>
        </w:rPr>
        <w:t>IN THE SUPREME COURT OF CALIFORNIA</w:t>
      </w:r>
    </w:p>
    <w:p w:rsidR="00EB08A6" w:rsidRDefault="00EB08A6" w:rsidP="00EB08A6">
      <w:pPr>
        <w:tabs>
          <w:tab w:val="left" w:pos="1440"/>
          <w:tab w:val="left" w:pos="4680"/>
          <w:tab w:val="center" w:pos="7200"/>
        </w:tabs>
        <w:spacing w:after="0"/>
        <w:jc w:val="center"/>
      </w:pPr>
    </w:p>
    <w:p w:rsidR="00EB08A6" w:rsidRDefault="00FA1899" w:rsidP="00EB08A6">
      <w:pPr>
        <w:tabs>
          <w:tab w:val="left" w:pos="1440"/>
          <w:tab w:val="left" w:pos="4680"/>
          <w:tab w:val="center" w:pos="7200"/>
        </w:tabs>
        <w:spacing w:after="0"/>
        <w:jc w:val="center"/>
      </w:pPr>
      <w:r>
        <w:t>SIERRA CLUB et al.</w:t>
      </w:r>
      <w:r w:rsidR="009975AE">
        <w:t>,</w:t>
      </w:r>
    </w:p>
    <w:p w:rsidR="00EB08A6" w:rsidRDefault="00EB08A6" w:rsidP="00EB08A6">
      <w:pPr>
        <w:tabs>
          <w:tab w:val="left" w:pos="1440"/>
          <w:tab w:val="left" w:pos="4680"/>
          <w:tab w:val="center" w:pos="7200"/>
        </w:tabs>
        <w:spacing w:after="0"/>
        <w:jc w:val="center"/>
      </w:pPr>
      <w:r>
        <w:t>Plaintiffs and Appellants</w:t>
      </w:r>
      <w:r w:rsidR="009975AE">
        <w:t>,</w:t>
      </w:r>
    </w:p>
    <w:p w:rsidR="00EB08A6" w:rsidRDefault="00EB08A6" w:rsidP="00EB08A6">
      <w:pPr>
        <w:tabs>
          <w:tab w:val="left" w:pos="1440"/>
          <w:tab w:val="left" w:pos="4680"/>
          <w:tab w:val="center" w:pos="7200"/>
        </w:tabs>
        <w:spacing w:after="0"/>
        <w:jc w:val="center"/>
      </w:pPr>
      <w:r>
        <w:t>v.</w:t>
      </w:r>
    </w:p>
    <w:p w:rsidR="00EB08A6" w:rsidRDefault="00EB08A6" w:rsidP="00EB08A6">
      <w:pPr>
        <w:tabs>
          <w:tab w:val="left" w:pos="1440"/>
          <w:tab w:val="left" w:pos="4680"/>
          <w:tab w:val="center" w:pos="7200"/>
        </w:tabs>
        <w:spacing w:after="0"/>
        <w:jc w:val="center"/>
      </w:pPr>
      <w:r>
        <w:t>COUNTY OF FRESNO</w:t>
      </w:r>
      <w:r w:rsidR="00B707C5">
        <w:t xml:space="preserve"> et al.</w:t>
      </w:r>
      <w:r w:rsidR="009975AE">
        <w:t>,</w:t>
      </w:r>
    </w:p>
    <w:p w:rsidR="00543E4B" w:rsidRDefault="009975AE" w:rsidP="00EB08A6">
      <w:pPr>
        <w:tabs>
          <w:tab w:val="left" w:pos="1440"/>
          <w:tab w:val="left" w:pos="4680"/>
          <w:tab w:val="center" w:pos="7200"/>
        </w:tabs>
        <w:spacing w:after="0"/>
        <w:jc w:val="center"/>
      </w:pPr>
      <w:r>
        <w:t>Defendant</w:t>
      </w:r>
      <w:r w:rsidR="00B707C5">
        <w:t>s</w:t>
      </w:r>
      <w:r>
        <w:t xml:space="preserve"> and Respondent</w:t>
      </w:r>
      <w:r w:rsidR="00B707C5">
        <w:t>s</w:t>
      </w:r>
      <w:r w:rsidR="00517F92">
        <w:t>;</w:t>
      </w:r>
    </w:p>
    <w:p w:rsidR="00543E4B" w:rsidRDefault="00543E4B" w:rsidP="00EB08A6">
      <w:pPr>
        <w:tabs>
          <w:tab w:val="left" w:pos="1440"/>
          <w:tab w:val="left" w:pos="4680"/>
          <w:tab w:val="center" w:pos="7200"/>
        </w:tabs>
        <w:spacing w:after="0"/>
        <w:jc w:val="center"/>
      </w:pPr>
    </w:p>
    <w:p w:rsidR="00543E4B" w:rsidRDefault="00543E4B" w:rsidP="00EB08A6">
      <w:pPr>
        <w:tabs>
          <w:tab w:val="left" w:pos="1440"/>
          <w:tab w:val="left" w:pos="4680"/>
          <w:tab w:val="center" w:pos="7200"/>
        </w:tabs>
        <w:spacing w:after="0"/>
        <w:jc w:val="center"/>
      </w:pPr>
      <w:r>
        <w:t>FRIANT RANCH, L.P.,</w:t>
      </w:r>
    </w:p>
    <w:p w:rsidR="00EB08A6" w:rsidRDefault="00543E4B" w:rsidP="00EB08A6">
      <w:pPr>
        <w:tabs>
          <w:tab w:val="left" w:pos="1440"/>
          <w:tab w:val="left" w:pos="4680"/>
          <w:tab w:val="center" w:pos="7200"/>
        </w:tabs>
        <w:spacing w:after="0"/>
        <w:jc w:val="center"/>
      </w:pPr>
      <w:r>
        <w:t>Real Party in Interest and Respondent.</w:t>
      </w:r>
    </w:p>
    <w:p w:rsidR="00543E4B" w:rsidRDefault="00543E4B" w:rsidP="00EB08A6">
      <w:pPr>
        <w:tabs>
          <w:tab w:val="left" w:pos="1440"/>
          <w:tab w:val="left" w:pos="4680"/>
          <w:tab w:val="center" w:pos="7200"/>
        </w:tabs>
        <w:spacing w:after="0"/>
        <w:jc w:val="center"/>
      </w:pPr>
    </w:p>
    <w:p w:rsidR="00EB08A6" w:rsidRDefault="00EB08A6" w:rsidP="00EB08A6">
      <w:pPr>
        <w:tabs>
          <w:tab w:val="left" w:pos="1440"/>
          <w:tab w:val="left" w:pos="4680"/>
          <w:tab w:val="center" w:pos="7200"/>
        </w:tabs>
        <w:spacing w:after="0"/>
        <w:jc w:val="center"/>
      </w:pPr>
      <w:r>
        <w:t>S219783</w:t>
      </w:r>
    </w:p>
    <w:p w:rsidR="00EB08A6" w:rsidRDefault="00EB08A6" w:rsidP="00EB08A6">
      <w:pPr>
        <w:tabs>
          <w:tab w:val="left" w:pos="1440"/>
          <w:tab w:val="left" w:pos="4680"/>
          <w:tab w:val="center" w:pos="7200"/>
        </w:tabs>
        <w:spacing w:after="0"/>
        <w:jc w:val="center"/>
      </w:pPr>
    </w:p>
    <w:p w:rsidR="00EB08A6" w:rsidRDefault="00EB08A6" w:rsidP="00EB08A6">
      <w:pPr>
        <w:tabs>
          <w:tab w:val="left" w:pos="1440"/>
          <w:tab w:val="left" w:pos="4680"/>
          <w:tab w:val="center" w:pos="7200"/>
        </w:tabs>
        <w:spacing w:after="0"/>
        <w:jc w:val="center"/>
      </w:pPr>
      <w:r>
        <w:t>Fifth Appellate District</w:t>
      </w:r>
    </w:p>
    <w:p w:rsidR="00EB08A6" w:rsidRDefault="00EB08A6" w:rsidP="00EB08A6">
      <w:pPr>
        <w:tabs>
          <w:tab w:val="left" w:pos="1440"/>
          <w:tab w:val="left" w:pos="4680"/>
          <w:tab w:val="center" w:pos="7200"/>
        </w:tabs>
        <w:spacing w:after="0"/>
        <w:jc w:val="center"/>
      </w:pPr>
      <w:r>
        <w:t>F066798</w:t>
      </w:r>
    </w:p>
    <w:p w:rsidR="00EB08A6" w:rsidRDefault="00EB08A6" w:rsidP="00EB08A6">
      <w:pPr>
        <w:tabs>
          <w:tab w:val="left" w:pos="1440"/>
          <w:tab w:val="left" w:pos="4680"/>
          <w:tab w:val="center" w:pos="7200"/>
        </w:tabs>
        <w:spacing w:after="0"/>
        <w:jc w:val="center"/>
      </w:pPr>
    </w:p>
    <w:p w:rsidR="00EB08A6" w:rsidRDefault="00EB08A6" w:rsidP="00EB08A6">
      <w:pPr>
        <w:tabs>
          <w:tab w:val="left" w:pos="1440"/>
          <w:tab w:val="left" w:pos="4680"/>
          <w:tab w:val="center" w:pos="7200"/>
        </w:tabs>
        <w:spacing w:after="0"/>
        <w:jc w:val="center"/>
      </w:pPr>
      <w:r>
        <w:t>Fresno County</w:t>
      </w:r>
      <w:r w:rsidR="00517F92">
        <w:t xml:space="preserve"> Superior Court</w:t>
      </w:r>
    </w:p>
    <w:p w:rsidR="00EB08A6" w:rsidRDefault="00EB08A6" w:rsidP="00EB08A6">
      <w:pPr>
        <w:tabs>
          <w:tab w:val="left" w:pos="1440"/>
          <w:tab w:val="left" w:pos="4680"/>
          <w:tab w:val="center" w:pos="7200"/>
        </w:tabs>
        <w:spacing w:after="0"/>
        <w:jc w:val="center"/>
      </w:pPr>
      <w:r>
        <w:t>11CECG00726, 11CECG00706, 11CECG00709</w:t>
      </w:r>
    </w:p>
    <w:p w:rsidR="00EB08A6" w:rsidRDefault="00EB08A6" w:rsidP="00EB08A6">
      <w:pPr>
        <w:pBdr>
          <w:bottom w:val="single" w:sz="4" w:space="1" w:color="auto"/>
        </w:pBdr>
        <w:tabs>
          <w:tab w:val="left" w:pos="1440"/>
          <w:tab w:val="left" w:pos="4680"/>
          <w:tab w:val="center" w:pos="7200"/>
        </w:tabs>
        <w:spacing w:after="0"/>
        <w:jc w:val="center"/>
      </w:pPr>
    </w:p>
    <w:p w:rsidR="00EB08A6" w:rsidRDefault="00EB08A6" w:rsidP="00EB08A6">
      <w:pPr>
        <w:tabs>
          <w:tab w:val="left" w:pos="1440"/>
          <w:tab w:val="left" w:pos="4680"/>
          <w:tab w:val="center" w:pos="7200"/>
        </w:tabs>
        <w:spacing w:after="0"/>
        <w:jc w:val="center"/>
      </w:pPr>
    </w:p>
    <w:p w:rsidR="00EB08A6" w:rsidRDefault="00726230" w:rsidP="00EB08A6">
      <w:pPr>
        <w:tabs>
          <w:tab w:val="left" w:pos="1440"/>
          <w:tab w:val="left" w:pos="4680"/>
          <w:tab w:val="center" w:pos="7200"/>
        </w:tabs>
        <w:spacing w:after="0"/>
        <w:jc w:val="center"/>
      </w:pPr>
      <w:r>
        <w:t>December 24</w:t>
      </w:r>
      <w:r w:rsidR="00EB08A6">
        <w:t>, 2018</w:t>
      </w:r>
    </w:p>
    <w:p w:rsidR="00EB08A6" w:rsidRDefault="00EB08A6" w:rsidP="00EB08A6">
      <w:pPr>
        <w:tabs>
          <w:tab w:val="left" w:pos="1440"/>
          <w:tab w:val="left" w:pos="4680"/>
          <w:tab w:val="center" w:pos="7200"/>
        </w:tabs>
        <w:spacing w:after="0"/>
        <w:jc w:val="center"/>
      </w:pPr>
    </w:p>
    <w:p w:rsidR="00AD5A61" w:rsidRDefault="00AD5A61" w:rsidP="00AD5A61">
      <w:pPr>
        <w:pStyle w:val="NormalIndent"/>
        <w:spacing w:after="0"/>
        <w:ind w:left="0"/>
        <w:jc w:val="left"/>
      </w:pPr>
      <w:r>
        <w:t xml:space="preserve">Justice Chin </w:t>
      </w:r>
      <w:r w:rsidR="007561C3">
        <w:t>authored</w:t>
      </w:r>
      <w:r>
        <w:t xml:space="preserve"> the opinion of the court, in which Chief Justice Cantil-Sakauye and Justices Corrigan, Liu, </w:t>
      </w:r>
      <w:proofErr w:type="spellStart"/>
      <w:r>
        <w:t>Cuéllar</w:t>
      </w:r>
      <w:proofErr w:type="spellEnd"/>
      <w:r>
        <w:t xml:space="preserve">, Kruger, and </w:t>
      </w:r>
      <w:proofErr w:type="spellStart"/>
      <w:r w:rsidR="00726230">
        <w:t>Robie</w:t>
      </w:r>
      <w:proofErr w:type="spellEnd"/>
      <w:r>
        <w:rPr>
          <w:rStyle w:val="FootnoteReference"/>
        </w:rPr>
        <w:footnoteReference w:customMarkFollows="1" w:id="2"/>
        <w:t>*</w:t>
      </w:r>
      <w:r>
        <w:t xml:space="preserve"> concurred.</w:t>
      </w:r>
    </w:p>
    <w:p w:rsidR="00EB08A6" w:rsidRPr="00EB08A6" w:rsidRDefault="00EB08A6" w:rsidP="00EB08A6">
      <w:pPr>
        <w:pBdr>
          <w:bottom w:val="single" w:sz="4" w:space="1" w:color="auto"/>
        </w:pBdr>
        <w:tabs>
          <w:tab w:val="left" w:pos="1440"/>
          <w:tab w:val="left" w:pos="4680"/>
          <w:tab w:val="center" w:pos="7200"/>
        </w:tabs>
        <w:jc w:val="left"/>
      </w:pPr>
      <w:bookmarkStart w:id="4" w:name="Return"/>
      <w:bookmarkEnd w:id="4"/>
    </w:p>
    <w:p w:rsidR="00EB08A6" w:rsidRDefault="00EB08A6" w:rsidP="00561637">
      <w:pPr>
        <w:tabs>
          <w:tab w:val="left" w:pos="1440"/>
          <w:tab w:val="left" w:pos="4680"/>
          <w:tab w:val="center" w:pos="7200"/>
        </w:tabs>
        <w:sectPr w:rsidR="00EB08A6" w:rsidSect="00E1784C">
          <w:headerReference w:type="default" r:id="rId8"/>
          <w:footerReference w:type="default" r:id="rId9"/>
          <w:headerReference w:type="first" r:id="rId10"/>
          <w:pgSz w:w="12240" w:h="15840" w:code="1"/>
          <w:pgMar w:top="1800" w:right="2160" w:bottom="576" w:left="2160" w:header="720" w:footer="720" w:gutter="0"/>
          <w:cols w:space="720"/>
          <w:titlePg/>
          <w:docGrid w:linePitch="367"/>
        </w:sectPr>
      </w:pPr>
    </w:p>
    <w:p w:rsidR="00EB08A6" w:rsidRDefault="00EB08A6" w:rsidP="00EB08A6">
      <w:pPr>
        <w:tabs>
          <w:tab w:val="left" w:pos="1440"/>
          <w:tab w:val="left" w:pos="4680"/>
          <w:tab w:val="center" w:pos="7200"/>
        </w:tabs>
        <w:jc w:val="center"/>
      </w:pPr>
      <w:r>
        <w:lastRenderedPageBreak/>
        <w:t xml:space="preserve">SIERRA CLUB </w:t>
      </w:r>
      <w:r w:rsidR="00FA1899">
        <w:t>v. COUNTY OF FRESNO</w:t>
      </w:r>
    </w:p>
    <w:p w:rsidR="00EB08A6" w:rsidRDefault="00EB08A6" w:rsidP="00EB08A6">
      <w:pPr>
        <w:tabs>
          <w:tab w:val="left" w:pos="1440"/>
          <w:tab w:val="left" w:pos="4680"/>
          <w:tab w:val="center" w:pos="7200"/>
        </w:tabs>
        <w:jc w:val="center"/>
      </w:pPr>
      <w:r>
        <w:t>S219783</w:t>
      </w:r>
    </w:p>
    <w:p w:rsidR="00EB08A6" w:rsidRDefault="00EB08A6" w:rsidP="00EB08A6">
      <w:pPr>
        <w:tabs>
          <w:tab w:val="left" w:pos="1440"/>
          <w:tab w:val="left" w:pos="4680"/>
          <w:tab w:val="center" w:pos="7200"/>
        </w:tabs>
        <w:jc w:val="center"/>
      </w:pPr>
    </w:p>
    <w:p w:rsidR="00EB08A6" w:rsidRDefault="00EB08A6" w:rsidP="00EB08A6">
      <w:pPr>
        <w:tabs>
          <w:tab w:val="left" w:pos="1440"/>
          <w:tab w:val="left" w:pos="4680"/>
          <w:tab w:val="center" w:pos="7200"/>
        </w:tabs>
        <w:jc w:val="center"/>
      </w:pPr>
      <w:r>
        <w:t>Opinion of the Court by Chin, J.</w:t>
      </w:r>
    </w:p>
    <w:p w:rsidR="00EB08A6" w:rsidRPr="00EB08A6" w:rsidRDefault="00EB08A6" w:rsidP="009E0DE1">
      <w:pPr>
        <w:tabs>
          <w:tab w:val="left" w:pos="1440"/>
          <w:tab w:val="left" w:pos="4680"/>
          <w:tab w:val="center" w:pos="7200"/>
        </w:tabs>
      </w:pPr>
    </w:p>
    <w:p w:rsidR="00C61AD5" w:rsidRPr="00EB08A6" w:rsidRDefault="00212F38" w:rsidP="009E0DE1">
      <w:pPr>
        <w:tabs>
          <w:tab w:val="left" w:pos="1440"/>
        </w:tabs>
        <w:ind w:firstLine="720"/>
        <w:rPr>
          <w:color w:val="000000"/>
          <w:szCs w:val="26"/>
        </w:rPr>
      </w:pPr>
      <w:bookmarkStart w:id="5" w:name="mainstory"/>
      <w:bookmarkEnd w:id="5"/>
      <w:r w:rsidRPr="00EB08A6">
        <w:rPr>
          <w:color w:val="000000"/>
          <w:szCs w:val="26"/>
        </w:rPr>
        <w:t xml:space="preserve">We granted review to determine whether </w:t>
      </w:r>
      <w:r w:rsidR="00DD147E" w:rsidRPr="00EB08A6">
        <w:rPr>
          <w:color w:val="000000"/>
          <w:szCs w:val="26"/>
        </w:rPr>
        <w:t xml:space="preserve">an </w:t>
      </w:r>
      <w:r w:rsidR="00C728A8" w:rsidRPr="00EB08A6">
        <w:rPr>
          <w:color w:val="000000"/>
          <w:szCs w:val="26"/>
        </w:rPr>
        <w:t>Environmental Impact Report (EIR)</w:t>
      </w:r>
      <w:r w:rsidR="002D09F5" w:rsidRPr="00EB08A6">
        <w:rPr>
          <w:color w:val="000000"/>
          <w:szCs w:val="26"/>
        </w:rPr>
        <w:t>,</w:t>
      </w:r>
      <w:r w:rsidR="00AB1F0C" w:rsidRPr="00EB08A6">
        <w:rPr>
          <w:color w:val="000000"/>
          <w:szCs w:val="26"/>
        </w:rPr>
        <w:t xml:space="preserve"> </w:t>
      </w:r>
      <w:r w:rsidRPr="00EB08A6">
        <w:rPr>
          <w:color w:val="000000"/>
          <w:szCs w:val="26"/>
        </w:rPr>
        <w:t>issue</w:t>
      </w:r>
      <w:r w:rsidR="005C7406" w:rsidRPr="00EB08A6">
        <w:rPr>
          <w:color w:val="000000"/>
          <w:szCs w:val="26"/>
        </w:rPr>
        <w:t>d</w:t>
      </w:r>
      <w:r w:rsidRPr="00EB08A6">
        <w:rPr>
          <w:color w:val="000000"/>
          <w:szCs w:val="26"/>
        </w:rPr>
        <w:t xml:space="preserve"> as part of a master plan to develop a partial retirement community in Fresno, California, </w:t>
      </w:r>
      <w:r w:rsidR="00DD147E" w:rsidRPr="00EB08A6">
        <w:rPr>
          <w:color w:val="000000"/>
          <w:szCs w:val="26"/>
        </w:rPr>
        <w:t xml:space="preserve">violates </w:t>
      </w:r>
      <w:r w:rsidR="005C7406" w:rsidRPr="00EB08A6">
        <w:rPr>
          <w:color w:val="000000"/>
          <w:szCs w:val="26"/>
        </w:rPr>
        <w:t>t</w:t>
      </w:r>
      <w:r w:rsidR="00C728A8" w:rsidRPr="00EB08A6">
        <w:rPr>
          <w:color w:val="000000"/>
          <w:szCs w:val="26"/>
        </w:rPr>
        <w:t>he California Environmental Quality Act (CEQA)</w:t>
      </w:r>
      <w:r w:rsidRPr="00EB08A6">
        <w:rPr>
          <w:color w:val="000000"/>
          <w:szCs w:val="26"/>
        </w:rPr>
        <w:t xml:space="preserve"> </w:t>
      </w:r>
      <w:r w:rsidR="00DD147E" w:rsidRPr="00EB08A6">
        <w:rPr>
          <w:color w:val="000000"/>
          <w:szCs w:val="26"/>
        </w:rPr>
        <w:t>for failing to include sufficient information</w:t>
      </w:r>
      <w:r w:rsidR="00C728A8" w:rsidRPr="00EB08A6">
        <w:rPr>
          <w:color w:val="000000"/>
          <w:szCs w:val="26"/>
        </w:rPr>
        <w:t xml:space="preserve"> on topic</w:t>
      </w:r>
      <w:r w:rsidR="00DD147E" w:rsidRPr="00EB08A6">
        <w:rPr>
          <w:color w:val="000000"/>
          <w:szCs w:val="26"/>
        </w:rPr>
        <w:t>s</w:t>
      </w:r>
      <w:r w:rsidR="00C728A8" w:rsidRPr="00EB08A6">
        <w:rPr>
          <w:color w:val="000000"/>
          <w:szCs w:val="26"/>
        </w:rPr>
        <w:t xml:space="preserve"> the Act require</w:t>
      </w:r>
      <w:r w:rsidR="00DD147E" w:rsidRPr="00EB08A6">
        <w:rPr>
          <w:color w:val="000000"/>
          <w:szCs w:val="26"/>
        </w:rPr>
        <w:t>s</w:t>
      </w:r>
      <w:r w:rsidR="00C728A8" w:rsidRPr="00EB08A6">
        <w:rPr>
          <w:color w:val="000000"/>
          <w:szCs w:val="26"/>
        </w:rPr>
        <w:t>.  (Pub</w:t>
      </w:r>
      <w:r w:rsidR="00AB1F0C" w:rsidRPr="00EB08A6">
        <w:rPr>
          <w:color w:val="000000"/>
          <w:szCs w:val="26"/>
        </w:rPr>
        <w:t xml:space="preserve">. </w:t>
      </w:r>
      <w:r w:rsidR="00C728A8" w:rsidRPr="00EB08A6">
        <w:rPr>
          <w:color w:val="000000"/>
          <w:szCs w:val="26"/>
        </w:rPr>
        <w:t>Res</w:t>
      </w:r>
      <w:r w:rsidR="00A449CC" w:rsidRPr="00EB08A6">
        <w:rPr>
          <w:color w:val="000000"/>
          <w:szCs w:val="26"/>
        </w:rPr>
        <w:t>ources</w:t>
      </w:r>
      <w:r w:rsidR="00AB1F0C" w:rsidRPr="00EB08A6">
        <w:rPr>
          <w:color w:val="000000"/>
          <w:szCs w:val="26"/>
        </w:rPr>
        <w:t xml:space="preserve"> </w:t>
      </w:r>
      <w:r w:rsidR="00C728A8" w:rsidRPr="00EB08A6">
        <w:rPr>
          <w:color w:val="000000"/>
          <w:szCs w:val="26"/>
        </w:rPr>
        <w:t>Code</w:t>
      </w:r>
      <w:r w:rsidR="00A449CC" w:rsidRPr="00EB08A6">
        <w:rPr>
          <w:color w:val="000000"/>
          <w:szCs w:val="26"/>
        </w:rPr>
        <w:t>,</w:t>
      </w:r>
      <w:r w:rsidR="00C728A8" w:rsidRPr="00EB08A6">
        <w:rPr>
          <w:color w:val="000000"/>
          <w:szCs w:val="26"/>
        </w:rPr>
        <w:t xml:space="preserve"> § 21000 et seq.)</w:t>
      </w:r>
      <w:r w:rsidR="00C728A8" w:rsidRPr="00EB08A6">
        <w:rPr>
          <w:rStyle w:val="FootnoteReference"/>
          <w:color w:val="000000"/>
        </w:rPr>
        <w:footnoteReference w:id="3"/>
      </w:r>
      <w:r w:rsidR="00C728A8" w:rsidRPr="00EB08A6">
        <w:rPr>
          <w:color w:val="000000"/>
        </w:rPr>
        <w:t xml:space="preserve"> </w:t>
      </w:r>
      <w:r w:rsidR="00C728A8" w:rsidRPr="00EB08A6">
        <w:rPr>
          <w:color w:val="000000"/>
          <w:szCs w:val="26"/>
        </w:rPr>
        <w:t xml:space="preserve"> </w:t>
      </w:r>
      <w:r w:rsidR="00DD147E" w:rsidRPr="00EB08A6">
        <w:rPr>
          <w:color w:val="000000"/>
          <w:szCs w:val="26"/>
        </w:rPr>
        <w:t>Our task is to review specific challenges to the final EIR</w:t>
      </w:r>
      <w:r w:rsidR="00F3228D" w:rsidRPr="00EB08A6">
        <w:rPr>
          <w:rStyle w:val="FootnoteReference"/>
          <w:color w:val="000000"/>
          <w:szCs w:val="26"/>
        </w:rPr>
        <w:footnoteReference w:id="4"/>
      </w:r>
      <w:r w:rsidR="004A4984" w:rsidRPr="00EB08A6">
        <w:rPr>
          <w:color w:val="000000"/>
          <w:szCs w:val="26"/>
        </w:rPr>
        <w:t xml:space="preserve"> </w:t>
      </w:r>
      <w:r w:rsidR="00DD147E" w:rsidRPr="00EB08A6">
        <w:rPr>
          <w:color w:val="000000"/>
          <w:szCs w:val="26"/>
        </w:rPr>
        <w:t xml:space="preserve">that </w:t>
      </w:r>
      <w:r w:rsidR="005C7406" w:rsidRPr="00EB08A6">
        <w:rPr>
          <w:color w:val="000000"/>
          <w:szCs w:val="26"/>
        </w:rPr>
        <w:t xml:space="preserve">defendant </w:t>
      </w:r>
      <w:r w:rsidR="00DD147E" w:rsidRPr="00EB08A6">
        <w:rPr>
          <w:color w:val="000000"/>
          <w:szCs w:val="26"/>
        </w:rPr>
        <w:t xml:space="preserve">County </w:t>
      </w:r>
      <w:r w:rsidR="005C7406" w:rsidRPr="00EB08A6">
        <w:rPr>
          <w:color w:val="000000"/>
          <w:szCs w:val="26"/>
        </w:rPr>
        <w:t xml:space="preserve">of Fresno (County) and its </w:t>
      </w:r>
      <w:r w:rsidR="00DC2756" w:rsidRPr="00EB08A6">
        <w:rPr>
          <w:color w:val="000000"/>
          <w:szCs w:val="26"/>
        </w:rPr>
        <w:t xml:space="preserve">Board </w:t>
      </w:r>
      <w:r w:rsidR="00DD147E" w:rsidRPr="00EB08A6">
        <w:rPr>
          <w:color w:val="000000"/>
          <w:szCs w:val="26"/>
        </w:rPr>
        <w:t xml:space="preserve">of </w:t>
      </w:r>
      <w:r w:rsidR="00DC2756" w:rsidRPr="00EB08A6">
        <w:rPr>
          <w:color w:val="000000"/>
          <w:szCs w:val="26"/>
        </w:rPr>
        <w:t xml:space="preserve">Supervisors </w:t>
      </w:r>
      <w:r w:rsidR="00DD147E" w:rsidRPr="00EB08A6">
        <w:rPr>
          <w:color w:val="000000"/>
          <w:szCs w:val="26"/>
        </w:rPr>
        <w:t>adopted</w:t>
      </w:r>
      <w:r w:rsidR="002C6F94" w:rsidRPr="00EB08A6">
        <w:rPr>
          <w:color w:val="000000"/>
          <w:szCs w:val="26"/>
        </w:rPr>
        <w:t>, and the trial court approved</w:t>
      </w:r>
      <w:r w:rsidR="00446259" w:rsidRPr="00EB08A6">
        <w:rPr>
          <w:color w:val="000000"/>
          <w:szCs w:val="26"/>
        </w:rPr>
        <w:t>.</w:t>
      </w:r>
      <w:r w:rsidRPr="00EB08A6">
        <w:rPr>
          <w:color w:val="000000"/>
          <w:szCs w:val="26"/>
        </w:rPr>
        <w:t xml:space="preserve"> </w:t>
      </w:r>
      <w:r w:rsidR="00DD147E" w:rsidRPr="00EB08A6">
        <w:rPr>
          <w:color w:val="000000"/>
          <w:szCs w:val="26"/>
        </w:rPr>
        <w:t xml:space="preserve"> </w:t>
      </w:r>
      <w:r w:rsidRPr="00EB08A6">
        <w:rPr>
          <w:color w:val="000000"/>
          <w:szCs w:val="26"/>
        </w:rPr>
        <w:t xml:space="preserve">As we explain, we affirm in part and reverse in part the Court of Appeal’s judgment.   </w:t>
      </w:r>
    </w:p>
    <w:p w:rsidR="00C61AD5" w:rsidRPr="00EB08A6" w:rsidRDefault="00DC2756" w:rsidP="009E0DE1">
      <w:pPr>
        <w:tabs>
          <w:tab w:val="left" w:pos="0"/>
        </w:tabs>
        <w:ind w:firstLine="720"/>
        <w:rPr>
          <w:smallCaps/>
          <w:color w:val="000000"/>
          <w:szCs w:val="26"/>
        </w:rPr>
      </w:pPr>
      <w:r w:rsidRPr="00EB08A6">
        <w:rPr>
          <w:caps/>
          <w:color w:val="000000"/>
          <w:szCs w:val="26"/>
        </w:rPr>
        <w:t xml:space="preserve">factUAL </w:t>
      </w:r>
      <w:r w:rsidR="00626A03" w:rsidRPr="00EB08A6">
        <w:rPr>
          <w:caps/>
          <w:color w:val="000000"/>
          <w:szCs w:val="26"/>
        </w:rPr>
        <w:t>and procedural background</w:t>
      </w:r>
    </w:p>
    <w:p w:rsidR="00CB470E" w:rsidRPr="00EB08A6" w:rsidRDefault="00C728A8" w:rsidP="009E0DE1">
      <w:pPr>
        <w:tabs>
          <w:tab w:val="left" w:pos="1440"/>
        </w:tabs>
        <w:ind w:firstLine="720"/>
        <w:rPr>
          <w:color w:val="000000"/>
          <w:szCs w:val="26"/>
        </w:rPr>
      </w:pPr>
      <w:r w:rsidRPr="00EB08A6">
        <w:rPr>
          <w:color w:val="000000"/>
          <w:szCs w:val="26"/>
        </w:rPr>
        <w:t>The Friant Ranch project (</w:t>
      </w:r>
      <w:r w:rsidR="00A65E91" w:rsidRPr="00EB08A6">
        <w:rPr>
          <w:color w:val="000000"/>
          <w:szCs w:val="26"/>
        </w:rPr>
        <w:t>P</w:t>
      </w:r>
      <w:r w:rsidRPr="00EB08A6">
        <w:rPr>
          <w:color w:val="000000"/>
          <w:szCs w:val="26"/>
        </w:rPr>
        <w:t xml:space="preserve">roject) </w:t>
      </w:r>
      <w:r w:rsidR="0020008D" w:rsidRPr="00EB08A6">
        <w:rPr>
          <w:color w:val="000000"/>
          <w:szCs w:val="26"/>
        </w:rPr>
        <w:t>consists of real party in interest Friant Ranch, L.P.</w:t>
      </w:r>
      <w:r w:rsidR="00BE27C5" w:rsidRPr="00EB08A6">
        <w:rPr>
          <w:color w:val="000000"/>
          <w:szCs w:val="26"/>
        </w:rPr>
        <w:t xml:space="preserve">’s </w:t>
      </w:r>
      <w:r w:rsidR="00E41D83" w:rsidRPr="00EB08A6">
        <w:rPr>
          <w:color w:val="000000"/>
          <w:szCs w:val="26"/>
        </w:rPr>
        <w:t xml:space="preserve">(real party) </w:t>
      </w:r>
      <w:r w:rsidR="0020008D" w:rsidRPr="00EB08A6">
        <w:rPr>
          <w:color w:val="000000"/>
          <w:szCs w:val="26"/>
        </w:rPr>
        <w:t xml:space="preserve">planned </w:t>
      </w:r>
      <w:r w:rsidRPr="00EB08A6">
        <w:rPr>
          <w:color w:val="000000"/>
          <w:szCs w:val="26"/>
        </w:rPr>
        <w:t xml:space="preserve">development of the Central Valley’s first </w:t>
      </w:r>
      <w:r w:rsidR="00DC2756" w:rsidRPr="00EB08A6">
        <w:rPr>
          <w:color w:val="000000"/>
          <w:szCs w:val="26"/>
        </w:rPr>
        <w:t>master-</w:t>
      </w:r>
      <w:r w:rsidRPr="00EB08A6">
        <w:rPr>
          <w:color w:val="000000"/>
          <w:szCs w:val="26"/>
        </w:rPr>
        <w:t xml:space="preserve">planned </w:t>
      </w:r>
      <w:r w:rsidR="00657CE6" w:rsidRPr="00EB08A6">
        <w:rPr>
          <w:color w:val="000000"/>
          <w:szCs w:val="26"/>
        </w:rPr>
        <w:lastRenderedPageBreak/>
        <w:t xml:space="preserve">“pedestrian friendly” </w:t>
      </w:r>
      <w:r w:rsidRPr="00EB08A6">
        <w:rPr>
          <w:color w:val="000000"/>
          <w:szCs w:val="26"/>
        </w:rPr>
        <w:t xml:space="preserve">community on a 942-acre site </w:t>
      </w:r>
      <w:r w:rsidR="00382D70" w:rsidRPr="00EB08A6">
        <w:rPr>
          <w:color w:val="000000"/>
          <w:szCs w:val="26"/>
        </w:rPr>
        <w:t xml:space="preserve">(formerly zoned agricultural) that sits adjacent to the unincorporated community of Friant </w:t>
      </w:r>
      <w:r w:rsidRPr="00EB08A6">
        <w:rPr>
          <w:color w:val="000000"/>
          <w:szCs w:val="26"/>
        </w:rPr>
        <w:t>in north central Fresno County</w:t>
      </w:r>
      <w:r w:rsidR="00F92E19" w:rsidRPr="00EB08A6">
        <w:rPr>
          <w:color w:val="000000"/>
          <w:szCs w:val="26"/>
        </w:rPr>
        <w:t xml:space="preserve">, </w:t>
      </w:r>
      <w:r w:rsidRPr="00EB08A6">
        <w:rPr>
          <w:color w:val="000000"/>
          <w:szCs w:val="26"/>
        </w:rPr>
        <w:t xml:space="preserve">just south of the San Joaquin River.  </w:t>
      </w:r>
      <w:r w:rsidR="000B1B46" w:rsidRPr="00EB08A6">
        <w:rPr>
          <w:color w:val="000000"/>
          <w:szCs w:val="26"/>
        </w:rPr>
        <w:t xml:space="preserve">The County is the local governmental entity that acted as the lead agency for the CEQA review and for preparation of the Project’s EIR. </w:t>
      </w:r>
    </w:p>
    <w:p w:rsidR="00B31701" w:rsidRPr="00EB08A6" w:rsidRDefault="00F92E19" w:rsidP="009E0DE1">
      <w:pPr>
        <w:tabs>
          <w:tab w:val="left" w:pos="1440"/>
        </w:tabs>
        <w:ind w:firstLine="720"/>
        <w:rPr>
          <w:color w:val="000000"/>
          <w:szCs w:val="26"/>
        </w:rPr>
      </w:pPr>
      <w:r w:rsidRPr="00EB08A6">
        <w:rPr>
          <w:szCs w:val="26"/>
        </w:rPr>
        <w:t xml:space="preserve">The Project </w:t>
      </w:r>
      <w:r w:rsidR="000B1B46" w:rsidRPr="00EB08A6">
        <w:rPr>
          <w:color w:val="000000"/>
          <w:szCs w:val="26"/>
        </w:rPr>
        <w:t xml:space="preserve">includes </w:t>
      </w:r>
      <w:r w:rsidR="008B0C4C" w:rsidRPr="00EB08A6">
        <w:rPr>
          <w:color w:val="000000"/>
          <w:szCs w:val="26"/>
        </w:rPr>
        <w:t>the Friant Ranch Specific Plan</w:t>
      </w:r>
      <w:r w:rsidR="00B84175" w:rsidRPr="00EB08A6">
        <w:rPr>
          <w:color w:val="000000"/>
          <w:szCs w:val="26"/>
        </w:rPr>
        <w:t xml:space="preserve"> (Specific Plan)</w:t>
      </w:r>
      <w:r w:rsidR="008B0C4C" w:rsidRPr="00EB08A6">
        <w:rPr>
          <w:color w:val="000000"/>
          <w:szCs w:val="26"/>
        </w:rPr>
        <w:t xml:space="preserve">, </w:t>
      </w:r>
      <w:r w:rsidR="00C728A8" w:rsidRPr="00EB08A6">
        <w:rPr>
          <w:color w:val="000000"/>
          <w:szCs w:val="26"/>
        </w:rPr>
        <w:t xml:space="preserve">which </w:t>
      </w:r>
      <w:r w:rsidR="000B1B46" w:rsidRPr="00EB08A6">
        <w:rPr>
          <w:color w:val="000000"/>
          <w:szCs w:val="26"/>
        </w:rPr>
        <w:t>contemplates</w:t>
      </w:r>
      <w:r w:rsidR="00C728A8" w:rsidRPr="00EB08A6">
        <w:rPr>
          <w:color w:val="000000"/>
          <w:szCs w:val="26"/>
        </w:rPr>
        <w:t xml:space="preserve"> the construction of approximately 2,500 </w:t>
      </w:r>
      <w:r w:rsidRPr="00EB08A6">
        <w:rPr>
          <w:color w:val="000000"/>
          <w:szCs w:val="26"/>
        </w:rPr>
        <w:t xml:space="preserve">single and multi-family </w:t>
      </w:r>
      <w:r w:rsidR="00C728A8" w:rsidRPr="00EB08A6">
        <w:rPr>
          <w:color w:val="000000"/>
          <w:szCs w:val="26"/>
        </w:rPr>
        <w:t xml:space="preserve">residential units </w:t>
      </w:r>
      <w:r w:rsidRPr="00EB08A6">
        <w:rPr>
          <w:color w:val="000000"/>
          <w:szCs w:val="26"/>
        </w:rPr>
        <w:t xml:space="preserve">that are age restricted to “active adults” age 55 and older, other residential units that are not age restricted, a commercial village center, a recreation center, trails, open space, a neighborhood electric vehicle network, and parks and parkways. </w:t>
      </w:r>
      <w:r w:rsidR="00EB43DE" w:rsidRPr="00EB08A6">
        <w:rPr>
          <w:color w:val="000000"/>
          <w:szCs w:val="26"/>
        </w:rPr>
        <w:t xml:space="preserve"> </w:t>
      </w:r>
      <w:r w:rsidRPr="00EB08A6">
        <w:rPr>
          <w:color w:val="000000"/>
          <w:szCs w:val="26"/>
        </w:rPr>
        <w:t xml:space="preserve">The Project also includes </w:t>
      </w:r>
      <w:r w:rsidR="00C728A8" w:rsidRPr="00EB08A6">
        <w:rPr>
          <w:color w:val="000000"/>
          <w:szCs w:val="26"/>
        </w:rPr>
        <w:t xml:space="preserve">250,000 square feet of commercial space on 482 acres and the dedication of 460 acres to open space. </w:t>
      </w:r>
      <w:r w:rsidR="00EB43DE" w:rsidRPr="00EB08A6">
        <w:rPr>
          <w:color w:val="000000"/>
          <w:szCs w:val="26"/>
        </w:rPr>
        <w:t xml:space="preserve"> </w:t>
      </w:r>
      <w:r w:rsidR="00657CE6" w:rsidRPr="00EB08A6">
        <w:rPr>
          <w:color w:val="000000"/>
          <w:szCs w:val="26"/>
        </w:rPr>
        <w:t xml:space="preserve">An additional </w:t>
      </w:r>
      <w:r w:rsidR="00B31701" w:rsidRPr="00EB08A6">
        <w:rPr>
          <w:color w:val="000000"/>
          <w:szCs w:val="26"/>
        </w:rPr>
        <w:t xml:space="preserve">Friant Community Plan Update expands the Specific Plan area and adds policies that are consistent with the Specific Plan and the County’s General Plan.  </w:t>
      </w:r>
      <w:r w:rsidR="00C728A8" w:rsidRPr="00EB08A6">
        <w:rPr>
          <w:color w:val="000000"/>
          <w:szCs w:val="26"/>
        </w:rPr>
        <w:t xml:space="preserve">The </w:t>
      </w:r>
      <w:r w:rsidR="00A65E91" w:rsidRPr="00EB08A6">
        <w:rPr>
          <w:color w:val="000000"/>
          <w:szCs w:val="26"/>
        </w:rPr>
        <w:t>P</w:t>
      </w:r>
      <w:r w:rsidR="00C728A8" w:rsidRPr="00EB08A6">
        <w:rPr>
          <w:color w:val="000000"/>
          <w:szCs w:val="26"/>
        </w:rPr>
        <w:t xml:space="preserve">roject’s construction is divided into five phases with </w:t>
      </w:r>
      <w:r w:rsidR="00C61AD5" w:rsidRPr="00EB08A6">
        <w:rPr>
          <w:color w:val="000000"/>
          <w:szCs w:val="26"/>
        </w:rPr>
        <w:t>an estimated 10-year build-out.</w:t>
      </w:r>
      <w:r w:rsidR="009A6E73" w:rsidRPr="00EB08A6">
        <w:rPr>
          <w:color w:val="000000"/>
          <w:szCs w:val="26"/>
        </w:rPr>
        <w:t xml:space="preserve"> </w:t>
      </w:r>
    </w:p>
    <w:p w:rsidR="00F744FD" w:rsidRPr="00EB08A6" w:rsidRDefault="00E43471" w:rsidP="009E0DE1">
      <w:pPr>
        <w:tabs>
          <w:tab w:val="left" w:pos="720"/>
          <w:tab w:val="left" w:pos="1440"/>
        </w:tabs>
        <w:ind w:firstLine="720"/>
      </w:pPr>
      <w:r w:rsidRPr="00EB08A6">
        <w:rPr>
          <w:color w:val="000000"/>
          <w:szCs w:val="26"/>
        </w:rPr>
        <w:t>Through its Board of Supervisors, the County</w:t>
      </w:r>
      <w:r w:rsidR="00B31701" w:rsidRPr="00EB08A6">
        <w:rPr>
          <w:color w:val="000000"/>
          <w:szCs w:val="26"/>
        </w:rPr>
        <w:t xml:space="preserve"> received written comments to the </w:t>
      </w:r>
      <w:r w:rsidR="00E93ED4" w:rsidRPr="00EB08A6">
        <w:rPr>
          <w:color w:val="000000"/>
          <w:szCs w:val="26"/>
        </w:rPr>
        <w:t xml:space="preserve">draft </w:t>
      </w:r>
      <w:r w:rsidR="00B31701" w:rsidRPr="00EB08A6">
        <w:rPr>
          <w:color w:val="000000"/>
          <w:szCs w:val="26"/>
        </w:rPr>
        <w:t>EIR, held a public hearing, and prepared responses to the comment</w:t>
      </w:r>
      <w:r w:rsidR="00B84175" w:rsidRPr="00EB08A6">
        <w:rPr>
          <w:color w:val="000000"/>
          <w:szCs w:val="26"/>
        </w:rPr>
        <w:t>s</w:t>
      </w:r>
      <w:r w:rsidR="00B31701" w:rsidRPr="00EB08A6">
        <w:rPr>
          <w:color w:val="000000"/>
          <w:szCs w:val="26"/>
        </w:rPr>
        <w:t xml:space="preserve">.  </w:t>
      </w:r>
      <w:r w:rsidR="00F744FD" w:rsidRPr="00EB08A6">
        <w:rPr>
          <w:color w:val="000000"/>
          <w:szCs w:val="26"/>
        </w:rPr>
        <w:t xml:space="preserve">After making </w:t>
      </w:r>
      <w:r w:rsidR="00B84175" w:rsidRPr="00EB08A6">
        <w:rPr>
          <w:color w:val="000000"/>
          <w:szCs w:val="26"/>
        </w:rPr>
        <w:t xml:space="preserve">the </w:t>
      </w:r>
      <w:r w:rsidR="00B31701" w:rsidRPr="00EB08A6">
        <w:rPr>
          <w:color w:val="000000"/>
          <w:szCs w:val="26"/>
        </w:rPr>
        <w:t>findings required under section 21081, subdivision (a), for each signific</w:t>
      </w:r>
      <w:r w:rsidR="00F744FD" w:rsidRPr="00EB08A6">
        <w:rPr>
          <w:color w:val="000000"/>
          <w:szCs w:val="26"/>
        </w:rPr>
        <w:t xml:space="preserve">ant effect noted in the draft, the County issued a Statement of Overriding Considerations (Statement) that is required in CEQA approved projects to show that the Project’s significant environmental effects have been identified, and avoided or mitigated, or that unmitigated effects will be outweighed by the </w:t>
      </w:r>
      <w:r w:rsidR="00F31CBB" w:rsidRPr="00EB08A6">
        <w:rPr>
          <w:color w:val="000000"/>
          <w:szCs w:val="26"/>
        </w:rPr>
        <w:t xml:space="preserve">Project’s </w:t>
      </w:r>
      <w:r w:rsidR="00F744FD" w:rsidRPr="00EB08A6">
        <w:rPr>
          <w:color w:val="000000"/>
          <w:szCs w:val="26"/>
        </w:rPr>
        <w:t xml:space="preserve">benefits.  (§§ 21002, 21002.1, 21081; Guidelines, §§ 15091-15093.)  </w:t>
      </w:r>
      <w:r w:rsidR="00F744FD" w:rsidRPr="00EB08A6">
        <w:t>The Statement noted:</w:t>
      </w:r>
      <w:r w:rsidR="00950663" w:rsidRPr="00EB08A6">
        <w:t xml:space="preserve"> </w:t>
      </w:r>
      <w:r w:rsidR="00F744FD" w:rsidRPr="00EB08A6">
        <w:t xml:space="preserve"> </w:t>
      </w:r>
      <w:r w:rsidR="00F744FD" w:rsidRPr="00EB08A6">
        <w:lastRenderedPageBreak/>
        <w:t xml:space="preserve">“The Project implements and furthers important plans and public policies adopted and endorsed by the County related to urban growth.”  The Statement also observed that the County “made a reasonable and good faith effort to eliminate or substantially mitigate the environmental impacts resulting from the Project by requiring implementation of the environmentally superior alternative—Project Alternative No. 3: </w:t>
      </w:r>
      <w:r w:rsidR="00950663" w:rsidRPr="00EB08A6">
        <w:t xml:space="preserve"> </w:t>
      </w:r>
      <w:r w:rsidR="00F744FD" w:rsidRPr="00EB08A6">
        <w:t xml:space="preserve">Northeast Development Configuration and the Beck Property alternative wastewater treatment plant location—and various mitigation measures, goals and policies identified in the EIR, General Plan, the proposed Friant Community Plan Update, and the proposed Friant Ranch Specific Plan.”  </w:t>
      </w:r>
    </w:p>
    <w:p w:rsidR="001B55F1" w:rsidRPr="00EB08A6" w:rsidRDefault="000B1B46" w:rsidP="009E0DE1">
      <w:pPr>
        <w:tabs>
          <w:tab w:val="left" w:pos="1440"/>
        </w:tabs>
        <w:ind w:firstLine="720"/>
        <w:rPr>
          <w:color w:val="000000"/>
          <w:szCs w:val="26"/>
        </w:rPr>
      </w:pPr>
      <w:r w:rsidRPr="00EB08A6">
        <w:rPr>
          <w:color w:val="000000"/>
          <w:szCs w:val="26"/>
        </w:rPr>
        <w:t>On February 1, 2011, the County’s Board of Supervisors approved Project</w:t>
      </w:r>
      <w:r w:rsidR="00F31CBB" w:rsidRPr="00EB08A6">
        <w:rPr>
          <w:color w:val="000000"/>
          <w:szCs w:val="26"/>
        </w:rPr>
        <w:t xml:space="preserve"> Alternative 3</w:t>
      </w:r>
      <w:r w:rsidRPr="00EB08A6">
        <w:rPr>
          <w:color w:val="000000"/>
          <w:szCs w:val="26"/>
        </w:rPr>
        <w:t>, certified the EIR, and approved a version of the Specific Plan that prohibited the discharge of treated effluent into the river from the wastewater treatment plant</w:t>
      </w:r>
      <w:r w:rsidR="00EB43DE" w:rsidRPr="00EB08A6">
        <w:rPr>
          <w:color w:val="000000"/>
          <w:szCs w:val="26"/>
        </w:rPr>
        <w:t xml:space="preserve">.  </w:t>
      </w:r>
      <w:r w:rsidR="00DC4D1F" w:rsidRPr="00EB08A6">
        <w:rPr>
          <w:color w:val="000000"/>
          <w:szCs w:val="26"/>
        </w:rPr>
        <w:t xml:space="preserve">The County also adopted a Mitigation Monitoring Program (MMP), which noted in part that compliance with the mitigation measures would be “enforced through subsequent conditions of approval for future discretionary actions,” including use permits and tentative subdivision maps for the Specific Plan area. </w:t>
      </w:r>
      <w:r w:rsidR="0057588D">
        <w:rPr>
          <w:color w:val="000000"/>
          <w:szCs w:val="26"/>
        </w:rPr>
        <w:t xml:space="preserve"> </w:t>
      </w:r>
      <w:r w:rsidR="00842DE4" w:rsidRPr="00EB08A6">
        <w:rPr>
          <w:color w:val="000000"/>
          <w:szCs w:val="26"/>
        </w:rPr>
        <w:t xml:space="preserve">By </w:t>
      </w:r>
      <w:r w:rsidR="00CB470E" w:rsidRPr="00EB08A6">
        <w:rPr>
          <w:color w:val="000000"/>
          <w:szCs w:val="26"/>
        </w:rPr>
        <w:t xml:space="preserve">petition for </w:t>
      </w:r>
      <w:r w:rsidR="00842DE4" w:rsidRPr="00EB08A6">
        <w:rPr>
          <w:color w:val="000000"/>
          <w:szCs w:val="26"/>
        </w:rPr>
        <w:t xml:space="preserve">writ of mandamus filed in the trial court, plaintiffs </w:t>
      </w:r>
      <w:r w:rsidR="00BE27C5" w:rsidRPr="00EB08A6">
        <w:rPr>
          <w:color w:val="000000"/>
          <w:szCs w:val="26"/>
        </w:rPr>
        <w:t>Sierra Club, Revive the San Joaquin, and League of Women Voters of Fresno (</w:t>
      </w:r>
      <w:r w:rsidR="004B12C0" w:rsidRPr="00EB08A6">
        <w:rPr>
          <w:color w:val="000000"/>
          <w:szCs w:val="26"/>
        </w:rPr>
        <w:t xml:space="preserve">collectively, </w:t>
      </w:r>
      <w:r w:rsidR="00BE27C5" w:rsidRPr="00EB08A6">
        <w:rPr>
          <w:color w:val="000000"/>
          <w:szCs w:val="26"/>
        </w:rPr>
        <w:t xml:space="preserve">plaintiffs) </w:t>
      </w:r>
      <w:r w:rsidR="00842DE4" w:rsidRPr="00EB08A6">
        <w:rPr>
          <w:color w:val="000000"/>
          <w:szCs w:val="26"/>
        </w:rPr>
        <w:t>challenged</w:t>
      </w:r>
      <w:r w:rsidR="00AB1F0C" w:rsidRPr="00EB08A6">
        <w:rPr>
          <w:color w:val="000000"/>
          <w:szCs w:val="26"/>
        </w:rPr>
        <w:t xml:space="preserve"> </w:t>
      </w:r>
      <w:r w:rsidR="00B84175" w:rsidRPr="00EB08A6">
        <w:rPr>
          <w:color w:val="000000"/>
          <w:szCs w:val="26"/>
        </w:rPr>
        <w:t xml:space="preserve">the </w:t>
      </w:r>
      <w:r w:rsidR="00AB1F0C" w:rsidRPr="00EB08A6">
        <w:rPr>
          <w:color w:val="000000"/>
          <w:szCs w:val="26"/>
        </w:rPr>
        <w:t>County’s</w:t>
      </w:r>
      <w:r w:rsidR="00842DE4" w:rsidRPr="00EB08A6">
        <w:rPr>
          <w:color w:val="000000"/>
          <w:szCs w:val="26"/>
        </w:rPr>
        <w:t xml:space="preserve"> certification of the EIR, alleging that it violated CEQA</w:t>
      </w:r>
      <w:r w:rsidR="00FA3074" w:rsidRPr="00EB08A6">
        <w:rPr>
          <w:color w:val="000000"/>
          <w:szCs w:val="26"/>
        </w:rPr>
        <w:t xml:space="preserve"> in several respects.</w:t>
      </w:r>
      <w:r w:rsidR="00842DE4" w:rsidRPr="00EB08A6">
        <w:rPr>
          <w:color w:val="000000"/>
          <w:szCs w:val="26"/>
        </w:rPr>
        <w:t xml:space="preserve"> </w:t>
      </w:r>
      <w:r w:rsidR="00FA3074" w:rsidRPr="00EB08A6">
        <w:rPr>
          <w:color w:val="000000"/>
          <w:szCs w:val="26"/>
        </w:rPr>
        <w:t xml:space="preserve"> </w:t>
      </w:r>
      <w:r w:rsidR="00595567" w:rsidRPr="00EB08A6">
        <w:rPr>
          <w:color w:val="000000"/>
          <w:szCs w:val="26"/>
        </w:rPr>
        <w:t xml:space="preserve">(Code </w:t>
      </w:r>
      <w:r w:rsidR="002F37FB" w:rsidRPr="00EB08A6">
        <w:rPr>
          <w:color w:val="000000"/>
          <w:szCs w:val="26"/>
        </w:rPr>
        <w:t>Civ. Proc.</w:t>
      </w:r>
      <w:r w:rsidR="00FD1A8E" w:rsidRPr="00EB08A6">
        <w:rPr>
          <w:color w:val="000000"/>
          <w:szCs w:val="26"/>
        </w:rPr>
        <w:t>,</w:t>
      </w:r>
      <w:r w:rsidR="00A411FF" w:rsidRPr="00EB08A6">
        <w:rPr>
          <w:color w:val="000000"/>
          <w:szCs w:val="26"/>
        </w:rPr>
        <w:t xml:space="preserve"> §</w:t>
      </w:r>
      <w:r w:rsidR="002F37FB" w:rsidRPr="00EB08A6">
        <w:rPr>
          <w:color w:val="000000"/>
          <w:szCs w:val="26"/>
        </w:rPr>
        <w:t xml:space="preserve">1094.5 [challenge to public agency’s determination based on alleged CEQA noncompliance requires administrative mandamus proceeding].)  The trial </w:t>
      </w:r>
      <w:r w:rsidR="00842DE4" w:rsidRPr="00EB08A6">
        <w:rPr>
          <w:color w:val="000000"/>
          <w:szCs w:val="26"/>
        </w:rPr>
        <w:t>court rejected plaintiff</w:t>
      </w:r>
      <w:r w:rsidR="004B12C0" w:rsidRPr="00EB08A6">
        <w:rPr>
          <w:color w:val="000000"/>
          <w:szCs w:val="26"/>
        </w:rPr>
        <w:t>s</w:t>
      </w:r>
      <w:r w:rsidR="00842DE4" w:rsidRPr="00EB08A6">
        <w:rPr>
          <w:color w:val="000000"/>
          <w:szCs w:val="26"/>
        </w:rPr>
        <w:t xml:space="preserve">’ challenges and approved the </w:t>
      </w:r>
      <w:r w:rsidR="00A65E91" w:rsidRPr="00EB08A6">
        <w:rPr>
          <w:color w:val="000000"/>
          <w:szCs w:val="26"/>
        </w:rPr>
        <w:t>P</w:t>
      </w:r>
      <w:r w:rsidR="00842DE4" w:rsidRPr="00EB08A6">
        <w:rPr>
          <w:color w:val="000000"/>
          <w:szCs w:val="26"/>
        </w:rPr>
        <w:t xml:space="preserve">roject, noting </w:t>
      </w:r>
      <w:r w:rsidR="001B55F1" w:rsidRPr="00EB08A6">
        <w:rPr>
          <w:color w:val="000000"/>
          <w:szCs w:val="26"/>
        </w:rPr>
        <w:t xml:space="preserve">in its judgment </w:t>
      </w:r>
      <w:r w:rsidR="00842DE4" w:rsidRPr="00EB08A6">
        <w:rPr>
          <w:color w:val="000000"/>
          <w:szCs w:val="26"/>
        </w:rPr>
        <w:t xml:space="preserve">that </w:t>
      </w:r>
      <w:r w:rsidR="001B55F1" w:rsidRPr="00EB08A6">
        <w:rPr>
          <w:color w:val="000000"/>
          <w:szCs w:val="26"/>
        </w:rPr>
        <w:t xml:space="preserve">in </w:t>
      </w:r>
      <w:r w:rsidR="002F37FB" w:rsidRPr="00EB08A6">
        <w:rPr>
          <w:color w:val="000000"/>
          <w:szCs w:val="26"/>
        </w:rPr>
        <w:t xml:space="preserve">reviewing </w:t>
      </w:r>
      <w:r w:rsidR="0069279B" w:rsidRPr="00EB08A6">
        <w:rPr>
          <w:color w:val="000000"/>
          <w:szCs w:val="26"/>
        </w:rPr>
        <w:t xml:space="preserve">CEQA </w:t>
      </w:r>
      <w:r w:rsidR="002F37FB" w:rsidRPr="00EB08A6">
        <w:rPr>
          <w:color w:val="000000"/>
          <w:szCs w:val="26"/>
        </w:rPr>
        <w:t>decisions,</w:t>
      </w:r>
      <w:r w:rsidR="0069279B" w:rsidRPr="00EB08A6">
        <w:rPr>
          <w:color w:val="000000"/>
          <w:szCs w:val="26"/>
        </w:rPr>
        <w:t xml:space="preserve"> “it may not exercise its independent judgment on the evidence, but must determine only whether the act or decision is suppo</w:t>
      </w:r>
      <w:r w:rsidR="002F37FB" w:rsidRPr="00EB08A6">
        <w:rPr>
          <w:color w:val="000000"/>
          <w:szCs w:val="26"/>
        </w:rPr>
        <w:t xml:space="preserve">rted by substantial evidence.” </w:t>
      </w:r>
      <w:r w:rsidR="00EB43DE" w:rsidRPr="00EB08A6">
        <w:rPr>
          <w:color w:val="000000"/>
          <w:szCs w:val="26"/>
        </w:rPr>
        <w:t xml:space="preserve"> </w:t>
      </w:r>
      <w:r w:rsidR="002F37FB" w:rsidRPr="00EB08A6">
        <w:rPr>
          <w:color w:val="000000"/>
          <w:szCs w:val="26"/>
        </w:rPr>
        <w:t>In reviewing the EIR, t</w:t>
      </w:r>
      <w:r w:rsidR="001B55F1" w:rsidRPr="00EB08A6">
        <w:rPr>
          <w:color w:val="000000"/>
          <w:szCs w:val="26"/>
        </w:rPr>
        <w:t>he court agreed with County’s findings on traffic impact, biological resources, wastewater treatment</w:t>
      </w:r>
      <w:r w:rsidR="00F7358F" w:rsidRPr="00EB08A6">
        <w:rPr>
          <w:color w:val="000000"/>
          <w:szCs w:val="26"/>
        </w:rPr>
        <w:t>,</w:t>
      </w:r>
      <w:r w:rsidR="001B55F1" w:rsidRPr="00EB08A6">
        <w:rPr>
          <w:color w:val="000000"/>
          <w:szCs w:val="26"/>
        </w:rPr>
        <w:t xml:space="preserve"> and air quality impact, among other considerations.  </w:t>
      </w:r>
      <w:r w:rsidR="0069279B" w:rsidRPr="00EB08A6">
        <w:rPr>
          <w:color w:val="000000"/>
          <w:szCs w:val="26"/>
        </w:rPr>
        <w:t xml:space="preserve">It stated that the court </w:t>
      </w:r>
      <w:r w:rsidR="00CC2FEC" w:rsidRPr="00EB08A6">
        <w:rPr>
          <w:color w:val="000000"/>
          <w:szCs w:val="26"/>
        </w:rPr>
        <w:t>“</w:t>
      </w:r>
      <w:r w:rsidR="0069279B" w:rsidRPr="00EB08A6">
        <w:rPr>
          <w:color w:val="000000"/>
          <w:szCs w:val="26"/>
        </w:rPr>
        <w:t>does not pass on the correctness of any EIR’s environmental conclusions, but instead determines whether the EIR is sufficient as an informational document.  All conflicts in the evidence and reasonable inferences must be resolved and drawn in favor of the agency’s decisions and findings</w:t>
      </w:r>
      <w:r w:rsidR="00E451CD" w:rsidRPr="00EB08A6">
        <w:rPr>
          <w:color w:val="000000"/>
          <w:szCs w:val="26"/>
        </w:rPr>
        <w:t>.  The reviewing C</w:t>
      </w:r>
      <w:r w:rsidR="0069279B" w:rsidRPr="00EB08A6">
        <w:rPr>
          <w:color w:val="000000"/>
          <w:szCs w:val="26"/>
        </w:rPr>
        <w:t>ourt does not reweigh the evidence.</w:t>
      </w:r>
      <w:r w:rsidR="00CC2FEC" w:rsidRPr="00EB08A6">
        <w:rPr>
          <w:color w:val="000000"/>
          <w:szCs w:val="26"/>
        </w:rPr>
        <w:t>”</w:t>
      </w:r>
      <w:r w:rsidR="00EB43DE" w:rsidRPr="00EB08A6">
        <w:rPr>
          <w:color w:val="000000"/>
          <w:szCs w:val="26"/>
        </w:rPr>
        <w:t xml:space="preserve"> </w:t>
      </w:r>
    </w:p>
    <w:p w:rsidR="00C17ECD" w:rsidRPr="00EB08A6" w:rsidRDefault="0069279B" w:rsidP="009E0DE1">
      <w:pPr>
        <w:tabs>
          <w:tab w:val="left" w:pos="1440"/>
        </w:tabs>
        <w:ind w:firstLine="720"/>
        <w:rPr>
          <w:color w:val="000000"/>
          <w:szCs w:val="26"/>
        </w:rPr>
      </w:pPr>
      <w:r w:rsidRPr="00EB08A6">
        <w:rPr>
          <w:color w:val="000000"/>
          <w:szCs w:val="26"/>
        </w:rPr>
        <w:t>The court</w:t>
      </w:r>
      <w:r w:rsidR="001B55F1" w:rsidRPr="00EB08A6">
        <w:rPr>
          <w:color w:val="000000"/>
          <w:szCs w:val="26"/>
        </w:rPr>
        <w:t>’s judgment also</w:t>
      </w:r>
      <w:r w:rsidRPr="00EB08A6">
        <w:rPr>
          <w:color w:val="000000"/>
          <w:szCs w:val="26"/>
        </w:rPr>
        <w:t xml:space="preserve"> observed that </w:t>
      </w:r>
      <w:r w:rsidR="00497A54" w:rsidRPr="00EB08A6">
        <w:rPr>
          <w:color w:val="000000"/>
          <w:szCs w:val="26"/>
        </w:rPr>
        <w:t>regarding</w:t>
      </w:r>
      <w:r w:rsidRPr="00EB08A6">
        <w:rPr>
          <w:color w:val="000000"/>
          <w:szCs w:val="26"/>
        </w:rPr>
        <w:t xml:space="preserve"> air quality impacts, </w:t>
      </w:r>
      <w:r w:rsidR="00B84175" w:rsidRPr="00EB08A6">
        <w:rPr>
          <w:color w:val="000000"/>
          <w:szCs w:val="26"/>
        </w:rPr>
        <w:t xml:space="preserve">the </w:t>
      </w:r>
      <w:r w:rsidR="001B55F1" w:rsidRPr="00EB08A6">
        <w:rPr>
          <w:color w:val="000000"/>
          <w:szCs w:val="26"/>
        </w:rPr>
        <w:t xml:space="preserve">County </w:t>
      </w:r>
      <w:r w:rsidR="00B84175" w:rsidRPr="00EB08A6">
        <w:rPr>
          <w:color w:val="000000"/>
          <w:szCs w:val="26"/>
        </w:rPr>
        <w:t>explained why the EIR’s mitig</w:t>
      </w:r>
      <w:r w:rsidR="001B55F1" w:rsidRPr="00EB08A6">
        <w:rPr>
          <w:color w:val="000000"/>
          <w:szCs w:val="26"/>
        </w:rPr>
        <w:t xml:space="preserve">ation measures would reduce the </w:t>
      </w:r>
      <w:r w:rsidR="00792A3A" w:rsidRPr="00EB08A6">
        <w:rPr>
          <w:color w:val="000000"/>
          <w:szCs w:val="26"/>
        </w:rPr>
        <w:t>P</w:t>
      </w:r>
      <w:r w:rsidR="001B55F1" w:rsidRPr="00EB08A6">
        <w:rPr>
          <w:color w:val="000000"/>
          <w:szCs w:val="26"/>
        </w:rPr>
        <w:t xml:space="preserve">roject’s greenhouse gas emissions.  </w:t>
      </w:r>
      <w:r w:rsidR="00B84175" w:rsidRPr="00EB08A6">
        <w:rPr>
          <w:color w:val="000000"/>
          <w:szCs w:val="26"/>
        </w:rPr>
        <w:t>T</w:t>
      </w:r>
      <w:r w:rsidR="001B55F1" w:rsidRPr="00EB08A6">
        <w:rPr>
          <w:color w:val="000000"/>
          <w:szCs w:val="26"/>
        </w:rPr>
        <w:t xml:space="preserve">he </w:t>
      </w:r>
      <w:r w:rsidR="006370B3" w:rsidRPr="00EB08A6">
        <w:rPr>
          <w:color w:val="000000"/>
          <w:szCs w:val="26"/>
        </w:rPr>
        <w:t>c</w:t>
      </w:r>
      <w:r w:rsidR="001B55F1" w:rsidRPr="00EB08A6">
        <w:rPr>
          <w:color w:val="000000"/>
          <w:szCs w:val="26"/>
        </w:rPr>
        <w:t>ourt agree</w:t>
      </w:r>
      <w:r w:rsidR="00446259" w:rsidRPr="00EB08A6">
        <w:rPr>
          <w:color w:val="000000"/>
          <w:szCs w:val="26"/>
        </w:rPr>
        <w:t>d</w:t>
      </w:r>
      <w:r w:rsidR="001B55F1" w:rsidRPr="00EB08A6">
        <w:rPr>
          <w:color w:val="000000"/>
          <w:szCs w:val="26"/>
        </w:rPr>
        <w:t xml:space="preserve"> with </w:t>
      </w:r>
      <w:r w:rsidR="00B84175" w:rsidRPr="00EB08A6">
        <w:rPr>
          <w:color w:val="000000"/>
          <w:szCs w:val="26"/>
        </w:rPr>
        <w:t xml:space="preserve">the </w:t>
      </w:r>
      <w:r w:rsidR="001B55F1" w:rsidRPr="00EB08A6">
        <w:rPr>
          <w:color w:val="000000"/>
          <w:szCs w:val="26"/>
        </w:rPr>
        <w:t xml:space="preserve">County that plaintiffs did not cite to the record in sufficient detail to show </w:t>
      </w:r>
      <w:r w:rsidR="00B84175" w:rsidRPr="00EB08A6">
        <w:rPr>
          <w:color w:val="000000"/>
          <w:szCs w:val="26"/>
        </w:rPr>
        <w:t xml:space="preserve">any </w:t>
      </w:r>
      <w:r w:rsidR="001B55F1" w:rsidRPr="00EB08A6">
        <w:rPr>
          <w:color w:val="000000"/>
          <w:szCs w:val="26"/>
        </w:rPr>
        <w:t xml:space="preserve">error. </w:t>
      </w:r>
    </w:p>
    <w:p w:rsidR="00FA3074" w:rsidRPr="00EB08A6" w:rsidRDefault="00FA3074" w:rsidP="009E0DE1">
      <w:pPr>
        <w:tabs>
          <w:tab w:val="left" w:pos="1440"/>
        </w:tabs>
        <w:ind w:firstLine="720"/>
        <w:rPr>
          <w:color w:val="000000"/>
          <w:szCs w:val="26"/>
        </w:rPr>
      </w:pPr>
      <w:r w:rsidRPr="00EB08A6">
        <w:rPr>
          <w:color w:val="000000"/>
          <w:szCs w:val="26"/>
        </w:rPr>
        <w:t xml:space="preserve">At the end of its </w:t>
      </w:r>
      <w:r w:rsidR="001B55F1" w:rsidRPr="00EB08A6">
        <w:rPr>
          <w:color w:val="000000"/>
          <w:szCs w:val="26"/>
        </w:rPr>
        <w:t>judgment,</w:t>
      </w:r>
      <w:r w:rsidRPr="00EB08A6">
        <w:rPr>
          <w:color w:val="000000"/>
          <w:szCs w:val="26"/>
        </w:rPr>
        <w:t xml:space="preserve"> the court noted that it retained jurisdiction to allow the County a reasonable amount of time to </w:t>
      </w:r>
      <w:r w:rsidR="00B330ED" w:rsidRPr="00EB08A6">
        <w:rPr>
          <w:color w:val="000000"/>
          <w:szCs w:val="26"/>
        </w:rPr>
        <w:t>circulate a Park Impact analysis on the Project’s effect on adjoining parks, including Lost Lake Park and Millerton Lake</w:t>
      </w:r>
      <w:r w:rsidR="00AD0107" w:rsidRPr="00EB08A6">
        <w:rPr>
          <w:color w:val="000000"/>
          <w:szCs w:val="26"/>
        </w:rPr>
        <w:t>.  This analysis</w:t>
      </w:r>
      <w:r w:rsidR="00EB43DE" w:rsidRPr="00EB08A6">
        <w:rPr>
          <w:color w:val="000000"/>
          <w:szCs w:val="26"/>
        </w:rPr>
        <w:t xml:space="preserve"> is not at issue here. </w:t>
      </w:r>
      <w:r w:rsidR="00B330ED" w:rsidRPr="00EB08A6">
        <w:rPr>
          <w:color w:val="000000"/>
          <w:szCs w:val="26"/>
        </w:rPr>
        <w:t xml:space="preserve"> Otherwise, the court denied all of plain</w:t>
      </w:r>
      <w:r w:rsidR="002257B9" w:rsidRPr="00EB08A6">
        <w:rPr>
          <w:color w:val="000000"/>
          <w:szCs w:val="26"/>
        </w:rPr>
        <w:t>tiff</w:t>
      </w:r>
      <w:r w:rsidR="00B330ED" w:rsidRPr="00EB08A6">
        <w:rPr>
          <w:color w:val="000000"/>
          <w:szCs w:val="26"/>
        </w:rPr>
        <w:t>s</w:t>
      </w:r>
      <w:r w:rsidR="002257B9" w:rsidRPr="00EB08A6">
        <w:rPr>
          <w:color w:val="000000"/>
          <w:szCs w:val="26"/>
        </w:rPr>
        <w:t>’</w:t>
      </w:r>
      <w:r w:rsidR="00B330ED" w:rsidRPr="00EB08A6">
        <w:rPr>
          <w:color w:val="000000"/>
          <w:szCs w:val="26"/>
        </w:rPr>
        <w:t xml:space="preserve"> claims and entered judgment in favor of</w:t>
      </w:r>
      <w:r w:rsidR="00E41D83" w:rsidRPr="00EB08A6">
        <w:rPr>
          <w:color w:val="000000"/>
          <w:szCs w:val="26"/>
        </w:rPr>
        <w:t xml:space="preserve"> real party</w:t>
      </w:r>
      <w:r w:rsidR="005F72DE" w:rsidRPr="00EB08A6">
        <w:rPr>
          <w:color w:val="000000"/>
          <w:szCs w:val="26"/>
        </w:rPr>
        <w:t>.</w:t>
      </w:r>
    </w:p>
    <w:p w:rsidR="00E908C9" w:rsidRPr="00EB08A6" w:rsidRDefault="003A7B6A" w:rsidP="009E0DE1">
      <w:pPr>
        <w:tabs>
          <w:tab w:val="left" w:pos="720"/>
        </w:tabs>
        <w:rPr>
          <w:color w:val="000000"/>
          <w:szCs w:val="26"/>
        </w:rPr>
      </w:pPr>
      <w:r w:rsidRPr="00EB08A6">
        <w:rPr>
          <w:color w:val="000000"/>
          <w:szCs w:val="26"/>
        </w:rPr>
        <w:tab/>
      </w:r>
      <w:r w:rsidR="00FA3074" w:rsidRPr="00EB08A6">
        <w:rPr>
          <w:color w:val="000000"/>
          <w:szCs w:val="26"/>
        </w:rPr>
        <w:t>Plaintiffs appealed the judgment</w:t>
      </w:r>
      <w:r w:rsidR="00BE27C5" w:rsidRPr="00EB08A6">
        <w:rPr>
          <w:color w:val="000000"/>
          <w:szCs w:val="26"/>
        </w:rPr>
        <w:t xml:space="preserve"> before </w:t>
      </w:r>
      <w:r w:rsidR="006370B3" w:rsidRPr="00EB08A6">
        <w:rPr>
          <w:color w:val="000000"/>
          <w:szCs w:val="26"/>
        </w:rPr>
        <w:t xml:space="preserve">the </w:t>
      </w:r>
      <w:r w:rsidR="00BE27C5" w:rsidRPr="00EB08A6">
        <w:rPr>
          <w:color w:val="000000"/>
          <w:szCs w:val="26"/>
        </w:rPr>
        <w:t>County could implement the mitigation measures</w:t>
      </w:r>
      <w:r w:rsidRPr="00EB08A6">
        <w:rPr>
          <w:color w:val="000000"/>
          <w:szCs w:val="26"/>
        </w:rPr>
        <w:t xml:space="preserve">.  They claimed </w:t>
      </w:r>
      <w:r w:rsidR="00864140" w:rsidRPr="00EB08A6">
        <w:rPr>
          <w:color w:val="000000"/>
          <w:szCs w:val="26"/>
        </w:rPr>
        <w:t xml:space="preserve">in relevant part that </w:t>
      </w:r>
      <w:r w:rsidR="00E908C9" w:rsidRPr="00EB08A6">
        <w:rPr>
          <w:color w:val="000000"/>
          <w:szCs w:val="26"/>
        </w:rPr>
        <w:t>the Project’s EIR failed to comply with CEQA</w:t>
      </w:r>
      <w:r w:rsidRPr="00EB08A6">
        <w:rPr>
          <w:color w:val="000000"/>
          <w:szCs w:val="26"/>
        </w:rPr>
        <w:t xml:space="preserve"> </w:t>
      </w:r>
      <w:r w:rsidR="00CB3A4F" w:rsidRPr="00EB08A6">
        <w:rPr>
          <w:color w:val="000000"/>
          <w:szCs w:val="26"/>
        </w:rPr>
        <w:t xml:space="preserve">because its </w:t>
      </w:r>
      <w:r w:rsidRPr="00EB08A6">
        <w:rPr>
          <w:color w:val="000000"/>
          <w:szCs w:val="26"/>
        </w:rPr>
        <w:t>discussion of</w:t>
      </w:r>
      <w:r w:rsidR="00E908C9" w:rsidRPr="00EB08A6">
        <w:rPr>
          <w:color w:val="000000"/>
          <w:szCs w:val="26"/>
        </w:rPr>
        <w:t xml:space="preserve"> air quality impacts</w:t>
      </w:r>
      <w:r w:rsidRPr="00EB08A6">
        <w:rPr>
          <w:color w:val="000000"/>
          <w:szCs w:val="26"/>
        </w:rPr>
        <w:t xml:space="preserve"> was inadequate</w:t>
      </w:r>
      <w:r w:rsidR="00E908C9" w:rsidRPr="00EB08A6">
        <w:rPr>
          <w:color w:val="000000"/>
          <w:szCs w:val="26"/>
        </w:rPr>
        <w:t>.</w:t>
      </w:r>
      <w:r w:rsidR="00EB43DE" w:rsidRPr="00EB08A6">
        <w:rPr>
          <w:color w:val="000000"/>
          <w:szCs w:val="26"/>
        </w:rPr>
        <w:t xml:space="preserve"> </w:t>
      </w:r>
    </w:p>
    <w:p w:rsidR="005A4A33" w:rsidRPr="00EB08A6" w:rsidRDefault="008C4356" w:rsidP="009E0DE1">
      <w:pPr>
        <w:tabs>
          <w:tab w:val="left" w:pos="1440"/>
        </w:tabs>
        <w:ind w:firstLine="720"/>
        <w:rPr>
          <w:color w:val="000000"/>
          <w:szCs w:val="26"/>
        </w:rPr>
      </w:pPr>
      <w:r w:rsidRPr="00EB08A6">
        <w:rPr>
          <w:color w:val="000000"/>
          <w:szCs w:val="26"/>
        </w:rPr>
        <w:t xml:space="preserve">The </w:t>
      </w:r>
      <w:r w:rsidR="00C757EB" w:rsidRPr="00EB08A6">
        <w:rPr>
          <w:color w:val="000000"/>
          <w:szCs w:val="26"/>
        </w:rPr>
        <w:t>C</w:t>
      </w:r>
      <w:r w:rsidR="00C752D7" w:rsidRPr="00EB08A6">
        <w:rPr>
          <w:color w:val="000000"/>
          <w:szCs w:val="26"/>
        </w:rPr>
        <w:t xml:space="preserve">ourt of </w:t>
      </w:r>
      <w:r w:rsidR="00C757EB" w:rsidRPr="00EB08A6">
        <w:rPr>
          <w:color w:val="000000"/>
          <w:szCs w:val="26"/>
        </w:rPr>
        <w:t>A</w:t>
      </w:r>
      <w:r w:rsidR="00C752D7" w:rsidRPr="00EB08A6">
        <w:rPr>
          <w:color w:val="000000"/>
          <w:szCs w:val="26"/>
        </w:rPr>
        <w:t>ppeal</w:t>
      </w:r>
      <w:r w:rsidR="00C757EB" w:rsidRPr="00EB08A6">
        <w:rPr>
          <w:color w:val="000000"/>
          <w:szCs w:val="26"/>
        </w:rPr>
        <w:t xml:space="preserve"> agreed</w:t>
      </w:r>
      <w:r w:rsidR="00B7773E" w:rsidRPr="00EB08A6">
        <w:rPr>
          <w:color w:val="000000"/>
          <w:szCs w:val="26"/>
        </w:rPr>
        <w:t xml:space="preserve"> </w:t>
      </w:r>
      <w:r w:rsidR="00CB3A4F" w:rsidRPr="00EB08A6">
        <w:rPr>
          <w:color w:val="000000"/>
          <w:szCs w:val="26"/>
        </w:rPr>
        <w:t>with plaintiffs’ contentions</w:t>
      </w:r>
      <w:r w:rsidR="00C757EB" w:rsidRPr="00EB08A6">
        <w:rPr>
          <w:color w:val="000000"/>
          <w:szCs w:val="26"/>
        </w:rPr>
        <w:t xml:space="preserve"> involving</w:t>
      </w:r>
      <w:r w:rsidR="00E43471" w:rsidRPr="00EB08A6">
        <w:rPr>
          <w:color w:val="000000"/>
          <w:szCs w:val="26"/>
        </w:rPr>
        <w:t xml:space="preserve"> the EIR’s consideration of the Project’s</w:t>
      </w:r>
      <w:r w:rsidR="00C757EB" w:rsidRPr="00EB08A6">
        <w:rPr>
          <w:color w:val="000000"/>
          <w:szCs w:val="26"/>
        </w:rPr>
        <w:t xml:space="preserve"> air quality impacts on the following grounds:  </w:t>
      </w:r>
      <w:r w:rsidR="007D2E88" w:rsidRPr="00EB08A6">
        <w:rPr>
          <w:color w:val="000000"/>
          <w:szCs w:val="26"/>
        </w:rPr>
        <w:t>“</w:t>
      </w:r>
      <w:r w:rsidR="00C757EB" w:rsidRPr="00EB08A6">
        <w:rPr>
          <w:color w:val="000000"/>
          <w:szCs w:val="26"/>
        </w:rPr>
        <w:t xml:space="preserve">(1) </w:t>
      </w:r>
      <w:r w:rsidR="007D2E88" w:rsidRPr="00EB08A6">
        <w:rPr>
          <w:color w:val="000000"/>
          <w:szCs w:val="26"/>
        </w:rPr>
        <w:t xml:space="preserve">the </w:t>
      </w:r>
      <w:r w:rsidR="00C757EB" w:rsidRPr="00EB08A6">
        <w:rPr>
          <w:color w:val="000000"/>
          <w:szCs w:val="26"/>
        </w:rPr>
        <w:t xml:space="preserve">EIR was inadequate because it failed to include an analysis that </w:t>
      </w:r>
      <w:r w:rsidR="0041408E">
        <w:rPr>
          <w:color w:val="000000"/>
          <w:szCs w:val="26"/>
        </w:rPr>
        <w:t>correlated</w:t>
      </w:r>
      <w:r w:rsidR="00C757EB" w:rsidRPr="00EB08A6">
        <w:rPr>
          <w:color w:val="000000"/>
          <w:szCs w:val="26"/>
        </w:rPr>
        <w:t xml:space="preserve"> the </w:t>
      </w:r>
      <w:r w:rsidR="00F11E0B" w:rsidRPr="00EB08A6">
        <w:rPr>
          <w:color w:val="000000"/>
          <w:szCs w:val="26"/>
        </w:rPr>
        <w:t>[</w:t>
      </w:r>
      <w:r w:rsidR="00C757EB" w:rsidRPr="00EB08A6">
        <w:rPr>
          <w:color w:val="000000"/>
          <w:szCs w:val="26"/>
        </w:rPr>
        <w:t>P</w:t>
      </w:r>
      <w:r w:rsidR="00F11E0B" w:rsidRPr="00EB08A6">
        <w:rPr>
          <w:color w:val="000000"/>
          <w:szCs w:val="26"/>
        </w:rPr>
        <w:t>]</w:t>
      </w:r>
      <w:proofErr w:type="spellStart"/>
      <w:r w:rsidR="00C757EB" w:rsidRPr="00EB08A6">
        <w:rPr>
          <w:color w:val="000000"/>
          <w:szCs w:val="26"/>
        </w:rPr>
        <w:t>roject’s</w:t>
      </w:r>
      <w:proofErr w:type="spellEnd"/>
      <w:r w:rsidR="00C757EB" w:rsidRPr="00EB08A6">
        <w:rPr>
          <w:color w:val="000000"/>
          <w:szCs w:val="26"/>
        </w:rPr>
        <w:t xml:space="preserve"> emission of air pollutants to its impact on human health; (2) the mitigation measures for the </w:t>
      </w:r>
      <w:r w:rsidR="00036600" w:rsidRPr="00EB08A6">
        <w:rPr>
          <w:color w:val="000000"/>
          <w:szCs w:val="26"/>
        </w:rPr>
        <w:t>[</w:t>
      </w:r>
      <w:r w:rsidR="000C2885" w:rsidRPr="00EB08A6">
        <w:rPr>
          <w:color w:val="000000"/>
          <w:szCs w:val="26"/>
        </w:rPr>
        <w:t>P</w:t>
      </w:r>
      <w:r w:rsidR="00036600" w:rsidRPr="00EB08A6">
        <w:rPr>
          <w:color w:val="000000"/>
          <w:szCs w:val="26"/>
        </w:rPr>
        <w:t>]</w:t>
      </w:r>
      <w:proofErr w:type="spellStart"/>
      <w:r w:rsidR="00C757EB" w:rsidRPr="00EB08A6">
        <w:rPr>
          <w:color w:val="000000"/>
          <w:szCs w:val="26"/>
        </w:rPr>
        <w:t>roject’s</w:t>
      </w:r>
      <w:proofErr w:type="spellEnd"/>
      <w:r w:rsidR="00C757EB" w:rsidRPr="00EB08A6">
        <w:rPr>
          <w:color w:val="000000"/>
          <w:szCs w:val="26"/>
        </w:rPr>
        <w:t xml:space="preserve"> long-term air quality impacts violate CEQA because they are vague, unenforceable and lack specific performance criteria; and (3) the statement that the air quality mitigation provisions will </w:t>
      </w:r>
      <w:r w:rsidR="00C757EB" w:rsidRPr="00EB08A6">
        <w:rPr>
          <w:i/>
          <w:color w:val="000000"/>
          <w:szCs w:val="26"/>
        </w:rPr>
        <w:t xml:space="preserve">substantially </w:t>
      </w:r>
      <w:r w:rsidR="00C757EB" w:rsidRPr="00EB08A6">
        <w:rPr>
          <w:color w:val="000000"/>
          <w:szCs w:val="26"/>
        </w:rPr>
        <w:t xml:space="preserve">reduce air quality impacts is unexplained and unsupported.  These </w:t>
      </w:r>
      <w:r w:rsidR="000C2885" w:rsidRPr="00EB08A6">
        <w:rPr>
          <w:color w:val="000000"/>
          <w:szCs w:val="26"/>
        </w:rPr>
        <w:t>d</w:t>
      </w:r>
      <w:r w:rsidR="00C757EB" w:rsidRPr="00EB08A6">
        <w:rPr>
          <w:color w:val="000000"/>
          <w:szCs w:val="26"/>
        </w:rPr>
        <w:t xml:space="preserve">efects must be cured by the preparation of a revised EIR.” </w:t>
      </w:r>
      <w:r w:rsidR="00EB43DE" w:rsidRPr="00EB08A6">
        <w:rPr>
          <w:color w:val="000000"/>
          <w:szCs w:val="26"/>
        </w:rPr>
        <w:t xml:space="preserve"> </w:t>
      </w:r>
      <w:r w:rsidR="00C757EB" w:rsidRPr="00EB08A6">
        <w:rPr>
          <w:color w:val="000000"/>
          <w:szCs w:val="26"/>
        </w:rPr>
        <w:t>The C</w:t>
      </w:r>
      <w:r w:rsidR="00CD702F" w:rsidRPr="00EB08A6">
        <w:rPr>
          <w:color w:val="000000"/>
          <w:szCs w:val="26"/>
        </w:rPr>
        <w:t>ourt of Appeal</w:t>
      </w:r>
      <w:r w:rsidR="00C757EB" w:rsidRPr="00EB08A6">
        <w:rPr>
          <w:color w:val="000000"/>
          <w:szCs w:val="26"/>
        </w:rPr>
        <w:t xml:space="preserve"> </w:t>
      </w:r>
      <w:r w:rsidR="00AB1F0C" w:rsidRPr="00EB08A6">
        <w:rPr>
          <w:color w:val="000000"/>
          <w:szCs w:val="26"/>
        </w:rPr>
        <w:t>r</w:t>
      </w:r>
      <w:r w:rsidR="00C757EB" w:rsidRPr="00EB08A6">
        <w:rPr>
          <w:color w:val="000000"/>
          <w:szCs w:val="26"/>
        </w:rPr>
        <w:t>eversed the trial court’s judgment</w:t>
      </w:r>
      <w:r w:rsidR="00BE27C5" w:rsidRPr="00EB08A6">
        <w:rPr>
          <w:color w:val="000000"/>
          <w:szCs w:val="26"/>
        </w:rPr>
        <w:t xml:space="preserve"> on those </w:t>
      </w:r>
      <w:r w:rsidR="002C0B4C" w:rsidRPr="00EB08A6">
        <w:rPr>
          <w:color w:val="000000"/>
          <w:szCs w:val="26"/>
        </w:rPr>
        <w:t>grounds</w:t>
      </w:r>
      <w:r w:rsidR="00E43471" w:rsidRPr="00EB08A6">
        <w:rPr>
          <w:color w:val="000000"/>
          <w:szCs w:val="26"/>
        </w:rPr>
        <w:t xml:space="preserve"> only</w:t>
      </w:r>
      <w:r w:rsidR="005A4A33" w:rsidRPr="00EB08A6">
        <w:rPr>
          <w:color w:val="000000"/>
          <w:szCs w:val="26"/>
        </w:rPr>
        <w:t>.</w:t>
      </w:r>
      <w:r w:rsidRPr="00EB08A6">
        <w:rPr>
          <w:rStyle w:val="FootnoteReference"/>
          <w:color w:val="000000"/>
          <w:szCs w:val="26"/>
        </w:rPr>
        <w:footnoteReference w:id="5"/>
      </w:r>
      <w:r w:rsidRPr="00EB08A6">
        <w:rPr>
          <w:color w:val="000000"/>
          <w:szCs w:val="26"/>
        </w:rPr>
        <w:t xml:space="preserve"> </w:t>
      </w:r>
      <w:r w:rsidR="00212F38" w:rsidRPr="00EB08A6">
        <w:rPr>
          <w:color w:val="000000"/>
          <w:szCs w:val="26"/>
        </w:rPr>
        <w:t xml:space="preserve">  </w:t>
      </w:r>
    </w:p>
    <w:p w:rsidR="00376872" w:rsidRPr="00EB08A6" w:rsidRDefault="00212F38" w:rsidP="009E0DE1">
      <w:pPr>
        <w:tabs>
          <w:tab w:val="left" w:pos="1440"/>
        </w:tabs>
        <w:ind w:firstLine="720"/>
        <w:rPr>
          <w:color w:val="000000"/>
          <w:szCs w:val="26"/>
        </w:rPr>
      </w:pPr>
      <w:r w:rsidRPr="00EB08A6">
        <w:rPr>
          <w:color w:val="000000"/>
          <w:szCs w:val="26"/>
        </w:rPr>
        <w:t xml:space="preserve">We granted </w:t>
      </w:r>
      <w:r w:rsidR="00E41D83" w:rsidRPr="00EB08A6">
        <w:rPr>
          <w:color w:val="000000"/>
          <w:szCs w:val="26"/>
        </w:rPr>
        <w:t>real party’s</w:t>
      </w:r>
      <w:r w:rsidR="00136063" w:rsidRPr="00EB08A6">
        <w:rPr>
          <w:color w:val="000000"/>
          <w:szCs w:val="26"/>
        </w:rPr>
        <w:t xml:space="preserve"> </w:t>
      </w:r>
      <w:r w:rsidRPr="00EB08A6">
        <w:rPr>
          <w:color w:val="000000"/>
          <w:szCs w:val="26"/>
        </w:rPr>
        <w:t>petition for review</w:t>
      </w:r>
      <w:r w:rsidR="005A06D2" w:rsidRPr="00EB08A6">
        <w:rPr>
          <w:color w:val="000000"/>
          <w:szCs w:val="26"/>
        </w:rPr>
        <w:t xml:space="preserve"> on </w:t>
      </w:r>
      <w:r w:rsidR="00CB3A4F" w:rsidRPr="00EB08A6">
        <w:rPr>
          <w:color w:val="000000"/>
          <w:szCs w:val="26"/>
        </w:rPr>
        <w:t xml:space="preserve">the issues concerning the Court of Appeal’s reversal of the trial court judgment upholding the </w:t>
      </w:r>
      <w:r w:rsidR="0041224D" w:rsidRPr="00EB08A6">
        <w:rPr>
          <w:color w:val="000000"/>
          <w:szCs w:val="26"/>
        </w:rPr>
        <w:t>air quality impact</w:t>
      </w:r>
      <w:r w:rsidR="005A06D2" w:rsidRPr="00EB08A6">
        <w:rPr>
          <w:color w:val="000000"/>
          <w:szCs w:val="26"/>
        </w:rPr>
        <w:t xml:space="preserve"> </w:t>
      </w:r>
      <w:r w:rsidR="00CB3A4F" w:rsidRPr="00EB08A6">
        <w:rPr>
          <w:color w:val="000000"/>
          <w:szCs w:val="26"/>
        </w:rPr>
        <w:t xml:space="preserve">findings and conclusions in </w:t>
      </w:r>
      <w:r w:rsidR="005834EF" w:rsidRPr="00EB08A6">
        <w:rPr>
          <w:color w:val="000000"/>
          <w:szCs w:val="26"/>
        </w:rPr>
        <w:t xml:space="preserve">the </w:t>
      </w:r>
      <w:r w:rsidR="00136063" w:rsidRPr="00EB08A6">
        <w:rPr>
          <w:color w:val="000000"/>
          <w:szCs w:val="26"/>
        </w:rPr>
        <w:t>EIR</w:t>
      </w:r>
      <w:r w:rsidR="005834EF" w:rsidRPr="00EB08A6">
        <w:rPr>
          <w:color w:val="000000"/>
          <w:szCs w:val="26"/>
        </w:rPr>
        <w:t>’s</w:t>
      </w:r>
      <w:r w:rsidR="00136063" w:rsidRPr="00EB08A6">
        <w:rPr>
          <w:color w:val="000000"/>
          <w:szCs w:val="26"/>
        </w:rPr>
        <w:t xml:space="preserve"> </w:t>
      </w:r>
      <w:r w:rsidR="001018A1" w:rsidRPr="00EB08A6">
        <w:rPr>
          <w:color w:val="000000"/>
          <w:szCs w:val="26"/>
        </w:rPr>
        <w:t>c</w:t>
      </w:r>
      <w:r w:rsidR="00136063" w:rsidRPr="00EB08A6">
        <w:rPr>
          <w:color w:val="000000"/>
          <w:szCs w:val="26"/>
        </w:rPr>
        <w:t xml:space="preserve">hapter 3 </w:t>
      </w:r>
      <w:r w:rsidR="005A06D2" w:rsidRPr="00EB08A6">
        <w:rPr>
          <w:color w:val="000000"/>
          <w:szCs w:val="26"/>
        </w:rPr>
        <w:t>(discussing air quality impacts).</w:t>
      </w:r>
      <w:r w:rsidR="00136063" w:rsidRPr="00EB08A6">
        <w:rPr>
          <w:color w:val="000000"/>
          <w:szCs w:val="26"/>
        </w:rPr>
        <w:t xml:space="preserve">  </w:t>
      </w:r>
      <w:r w:rsidR="00156EA0" w:rsidRPr="00EB08A6">
        <w:rPr>
          <w:color w:val="000000"/>
          <w:szCs w:val="26"/>
        </w:rPr>
        <w:t>The scope of our review concerns</w:t>
      </w:r>
      <w:r w:rsidR="00CB3A4F" w:rsidRPr="00EB08A6">
        <w:rPr>
          <w:color w:val="000000"/>
          <w:szCs w:val="26"/>
        </w:rPr>
        <w:t xml:space="preserve"> </w:t>
      </w:r>
      <w:r w:rsidR="00F56766" w:rsidRPr="00EB08A6">
        <w:rPr>
          <w:color w:val="000000"/>
          <w:szCs w:val="26"/>
        </w:rPr>
        <w:t xml:space="preserve">how courts </w:t>
      </w:r>
      <w:r w:rsidR="00274258" w:rsidRPr="00EB08A6">
        <w:rPr>
          <w:color w:val="000000"/>
          <w:szCs w:val="26"/>
        </w:rPr>
        <w:t>should</w:t>
      </w:r>
      <w:r w:rsidR="00F56766" w:rsidRPr="00EB08A6">
        <w:rPr>
          <w:color w:val="000000"/>
          <w:szCs w:val="26"/>
        </w:rPr>
        <w:t xml:space="preserve"> determine </w:t>
      </w:r>
      <w:r w:rsidR="00274258" w:rsidRPr="00EB08A6">
        <w:rPr>
          <w:color w:val="000000"/>
          <w:szCs w:val="26"/>
        </w:rPr>
        <w:t xml:space="preserve">the </w:t>
      </w:r>
      <w:r w:rsidR="00CB3A4F" w:rsidRPr="00EB08A6">
        <w:rPr>
          <w:color w:val="000000"/>
          <w:szCs w:val="26"/>
        </w:rPr>
        <w:t>adequacy</w:t>
      </w:r>
      <w:r w:rsidR="00274258" w:rsidRPr="00EB08A6">
        <w:rPr>
          <w:color w:val="000000"/>
          <w:szCs w:val="26"/>
        </w:rPr>
        <w:t xml:space="preserve"> of </w:t>
      </w:r>
      <w:r w:rsidR="00891FE9" w:rsidRPr="00EB08A6">
        <w:rPr>
          <w:color w:val="000000"/>
          <w:szCs w:val="26"/>
        </w:rPr>
        <w:t xml:space="preserve">an </w:t>
      </w:r>
      <w:r w:rsidR="00274258" w:rsidRPr="00EB08A6">
        <w:rPr>
          <w:color w:val="000000"/>
          <w:szCs w:val="26"/>
        </w:rPr>
        <w:t>EIR</w:t>
      </w:r>
      <w:r w:rsidR="00A9736C" w:rsidRPr="00EB08A6">
        <w:rPr>
          <w:color w:val="000000"/>
          <w:szCs w:val="26"/>
        </w:rPr>
        <w:t>’</w:t>
      </w:r>
      <w:r w:rsidR="00891FE9" w:rsidRPr="00EB08A6">
        <w:rPr>
          <w:color w:val="000000"/>
          <w:szCs w:val="26"/>
        </w:rPr>
        <w:t>s discussion</w:t>
      </w:r>
      <w:r w:rsidR="00446259" w:rsidRPr="00EB08A6">
        <w:rPr>
          <w:color w:val="000000"/>
          <w:szCs w:val="26"/>
        </w:rPr>
        <w:t>, including</w:t>
      </w:r>
      <w:r w:rsidRPr="00EB08A6">
        <w:rPr>
          <w:color w:val="000000"/>
          <w:szCs w:val="26"/>
        </w:rPr>
        <w:t>:</w:t>
      </w:r>
      <w:r w:rsidR="00376872" w:rsidRPr="00EB08A6">
        <w:rPr>
          <w:color w:val="000000"/>
          <w:szCs w:val="26"/>
        </w:rPr>
        <w:t xml:space="preserve">  </w:t>
      </w:r>
      <w:r w:rsidR="00C71351" w:rsidRPr="00EB08A6">
        <w:rPr>
          <w:color w:val="000000"/>
          <w:szCs w:val="26"/>
        </w:rPr>
        <w:t xml:space="preserve">What standard of review a court </w:t>
      </w:r>
      <w:r w:rsidR="00E1278A">
        <w:rPr>
          <w:color w:val="000000"/>
          <w:szCs w:val="26"/>
        </w:rPr>
        <w:t xml:space="preserve">must </w:t>
      </w:r>
      <w:r w:rsidR="00891FE9" w:rsidRPr="00EB08A6">
        <w:rPr>
          <w:color w:val="000000"/>
          <w:szCs w:val="26"/>
        </w:rPr>
        <w:t xml:space="preserve">apply </w:t>
      </w:r>
      <w:r w:rsidR="00C71351" w:rsidRPr="00EB08A6">
        <w:rPr>
          <w:color w:val="000000"/>
          <w:szCs w:val="26"/>
        </w:rPr>
        <w:t>when</w:t>
      </w:r>
      <w:r w:rsidR="00156EA0" w:rsidRPr="00EB08A6">
        <w:rPr>
          <w:color w:val="000000"/>
          <w:szCs w:val="26"/>
        </w:rPr>
        <w:t xml:space="preserve"> </w:t>
      </w:r>
      <w:r w:rsidR="00A357E3" w:rsidRPr="00EB08A6">
        <w:rPr>
          <w:color w:val="000000"/>
          <w:szCs w:val="26"/>
        </w:rPr>
        <w:t>adjudicating</w:t>
      </w:r>
      <w:r w:rsidR="000711F9" w:rsidRPr="00EB08A6">
        <w:rPr>
          <w:color w:val="000000"/>
          <w:szCs w:val="26"/>
        </w:rPr>
        <w:t xml:space="preserve"> a challenge to </w:t>
      </w:r>
      <w:r w:rsidR="00156EA0" w:rsidRPr="00EB08A6">
        <w:rPr>
          <w:color w:val="000000"/>
          <w:szCs w:val="26"/>
        </w:rPr>
        <w:t xml:space="preserve">the adequacy of </w:t>
      </w:r>
      <w:r w:rsidR="00F56766" w:rsidRPr="00EB08A6">
        <w:rPr>
          <w:color w:val="000000"/>
          <w:szCs w:val="26"/>
        </w:rPr>
        <w:t>a</w:t>
      </w:r>
      <w:r w:rsidR="006F7F88" w:rsidRPr="00EB08A6">
        <w:rPr>
          <w:color w:val="000000"/>
          <w:szCs w:val="26"/>
        </w:rPr>
        <w:t>n EIR</w:t>
      </w:r>
      <w:r w:rsidR="00A9736C" w:rsidRPr="00EB08A6">
        <w:rPr>
          <w:color w:val="000000"/>
          <w:szCs w:val="26"/>
        </w:rPr>
        <w:t>’</w:t>
      </w:r>
      <w:r w:rsidR="006F7F88" w:rsidRPr="00EB08A6">
        <w:rPr>
          <w:color w:val="000000"/>
          <w:szCs w:val="26"/>
        </w:rPr>
        <w:t xml:space="preserve">s discussion of </w:t>
      </w:r>
      <w:r w:rsidR="00C71351" w:rsidRPr="00EB08A6">
        <w:rPr>
          <w:color w:val="000000"/>
          <w:szCs w:val="26"/>
        </w:rPr>
        <w:t>adverse environmental impacts</w:t>
      </w:r>
      <w:r w:rsidR="00587CB5" w:rsidRPr="00EB08A6">
        <w:rPr>
          <w:color w:val="000000"/>
          <w:szCs w:val="26"/>
        </w:rPr>
        <w:t xml:space="preserve"> and mitigation measures</w:t>
      </w:r>
      <w:r w:rsidR="00DC4D1F" w:rsidRPr="00EB08A6">
        <w:rPr>
          <w:color w:val="000000"/>
          <w:szCs w:val="26"/>
        </w:rPr>
        <w:t>,</w:t>
      </w:r>
      <w:r w:rsidR="00376872" w:rsidRPr="00EB08A6">
        <w:rPr>
          <w:color w:val="000000"/>
          <w:szCs w:val="26"/>
        </w:rPr>
        <w:t xml:space="preserve"> </w:t>
      </w:r>
      <w:r w:rsidR="00C05E10" w:rsidRPr="00EB08A6">
        <w:rPr>
          <w:color w:val="000000"/>
          <w:szCs w:val="26"/>
        </w:rPr>
        <w:t xml:space="preserve">and </w:t>
      </w:r>
      <w:r w:rsidR="00BE27C5" w:rsidRPr="00EB08A6">
        <w:rPr>
          <w:color w:val="000000"/>
          <w:szCs w:val="26"/>
        </w:rPr>
        <w:t>w</w:t>
      </w:r>
      <w:r w:rsidR="00376872" w:rsidRPr="00EB08A6">
        <w:rPr>
          <w:color w:val="000000"/>
          <w:szCs w:val="26"/>
        </w:rPr>
        <w:t xml:space="preserve">hether CEQA requires an EIR to </w:t>
      </w:r>
      <w:r w:rsidR="008803F2">
        <w:rPr>
          <w:color w:val="000000"/>
          <w:szCs w:val="26"/>
        </w:rPr>
        <w:t>connect</w:t>
      </w:r>
      <w:r w:rsidR="00DE426D" w:rsidRPr="00EB08A6">
        <w:rPr>
          <w:color w:val="000000"/>
          <w:szCs w:val="26"/>
        </w:rPr>
        <w:t xml:space="preserve"> </w:t>
      </w:r>
      <w:r w:rsidR="00446259" w:rsidRPr="00EB08A6">
        <w:rPr>
          <w:color w:val="000000"/>
          <w:szCs w:val="26"/>
        </w:rPr>
        <w:t xml:space="preserve">a </w:t>
      </w:r>
      <w:r w:rsidR="00376872" w:rsidRPr="00EB08A6">
        <w:rPr>
          <w:color w:val="000000"/>
          <w:szCs w:val="26"/>
        </w:rPr>
        <w:t xml:space="preserve">project’s air quality </w:t>
      </w:r>
      <w:r w:rsidR="00F63353" w:rsidRPr="00EB08A6">
        <w:rPr>
          <w:color w:val="000000"/>
          <w:szCs w:val="26"/>
        </w:rPr>
        <w:t xml:space="preserve">impacts </w:t>
      </w:r>
      <w:r w:rsidR="00376872" w:rsidRPr="00EB08A6">
        <w:rPr>
          <w:color w:val="000000"/>
          <w:szCs w:val="26"/>
        </w:rPr>
        <w:t xml:space="preserve">to specific health </w:t>
      </w:r>
      <w:r w:rsidR="00B75E80" w:rsidRPr="00EB08A6">
        <w:rPr>
          <w:color w:val="000000"/>
          <w:szCs w:val="26"/>
        </w:rPr>
        <w:t>consequences</w:t>
      </w:r>
      <w:r w:rsidR="00555FCA" w:rsidRPr="00EB08A6">
        <w:rPr>
          <w:color w:val="000000"/>
          <w:szCs w:val="26"/>
        </w:rPr>
        <w:t xml:space="preserve">.  We must also decide </w:t>
      </w:r>
      <w:r w:rsidR="00376872" w:rsidRPr="00EB08A6">
        <w:rPr>
          <w:color w:val="000000"/>
          <w:szCs w:val="26"/>
        </w:rPr>
        <w:t xml:space="preserve">whether a lead agency impermissibly defers mitigation measures when it retains the discretion to substitute </w:t>
      </w:r>
      <w:r w:rsidR="000F5837" w:rsidRPr="00EB08A6">
        <w:rPr>
          <w:color w:val="000000"/>
          <w:szCs w:val="26"/>
        </w:rPr>
        <w:t xml:space="preserve">later </w:t>
      </w:r>
      <w:r w:rsidR="00376872" w:rsidRPr="00EB08A6">
        <w:rPr>
          <w:color w:val="000000"/>
          <w:szCs w:val="26"/>
        </w:rPr>
        <w:t xml:space="preserve">adopted </w:t>
      </w:r>
      <w:r w:rsidR="00764166" w:rsidRPr="00EB08A6">
        <w:rPr>
          <w:color w:val="000000"/>
          <w:szCs w:val="26"/>
        </w:rPr>
        <w:t xml:space="preserve">measures </w:t>
      </w:r>
      <w:r w:rsidR="00376872" w:rsidRPr="00EB08A6">
        <w:rPr>
          <w:color w:val="000000"/>
          <w:szCs w:val="26"/>
        </w:rPr>
        <w:t xml:space="preserve">in </w:t>
      </w:r>
      <w:r w:rsidR="000F5837" w:rsidRPr="00EB08A6">
        <w:rPr>
          <w:color w:val="000000"/>
          <w:szCs w:val="26"/>
        </w:rPr>
        <w:t xml:space="preserve">place of </w:t>
      </w:r>
      <w:r w:rsidR="0097278C" w:rsidRPr="00EB08A6">
        <w:rPr>
          <w:color w:val="000000"/>
          <w:szCs w:val="26"/>
        </w:rPr>
        <w:t>those pr</w:t>
      </w:r>
      <w:r w:rsidR="00351125" w:rsidRPr="00EB08A6">
        <w:rPr>
          <w:color w:val="000000"/>
          <w:szCs w:val="26"/>
        </w:rPr>
        <w:t>o</w:t>
      </w:r>
      <w:r w:rsidR="0097278C" w:rsidRPr="00EB08A6">
        <w:rPr>
          <w:color w:val="000000"/>
          <w:szCs w:val="26"/>
        </w:rPr>
        <w:t>posed in</w:t>
      </w:r>
      <w:r w:rsidR="001B1A51" w:rsidRPr="00EB08A6">
        <w:rPr>
          <w:color w:val="000000"/>
          <w:szCs w:val="26"/>
        </w:rPr>
        <w:t xml:space="preserve"> the EIR,</w:t>
      </w:r>
      <w:r w:rsidR="0097278C" w:rsidRPr="00EB08A6">
        <w:rPr>
          <w:color w:val="000000"/>
          <w:szCs w:val="26"/>
        </w:rPr>
        <w:t xml:space="preserve"> </w:t>
      </w:r>
      <w:r w:rsidR="00376872" w:rsidRPr="00EB08A6">
        <w:rPr>
          <w:color w:val="000000"/>
          <w:szCs w:val="26"/>
        </w:rPr>
        <w:t xml:space="preserve">and whether a lead agency may adopt mitigation measures that do not reduce </w:t>
      </w:r>
      <w:r w:rsidR="00A71A90" w:rsidRPr="00EB08A6">
        <w:rPr>
          <w:color w:val="000000"/>
          <w:szCs w:val="26"/>
        </w:rPr>
        <w:t xml:space="preserve">a </w:t>
      </w:r>
      <w:r w:rsidR="00376872" w:rsidRPr="00EB08A6">
        <w:rPr>
          <w:color w:val="000000"/>
          <w:szCs w:val="26"/>
        </w:rPr>
        <w:t xml:space="preserve">project’s significant and unavoidable impacts to </w:t>
      </w:r>
      <w:r w:rsidR="000B197B" w:rsidRPr="00EB08A6">
        <w:rPr>
          <w:color w:val="000000"/>
          <w:szCs w:val="26"/>
        </w:rPr>
        <w:t>a less-than-significant level.</w:t>
      </w:r>
    </w:p>
    <w:p w:rsidR="00273FBD" w:rsidRPr="00EB08A6" w:rsidRDefault="002F6B8A" w:rsidP="009E0DE1">
      <w:pPr>
        <w:ind w:firstLine="720"/>
        <w:rPr>
          <w:color w:val="000000"/>
          <w:szCs w:val="26"/>
        </w:rPr>
      </w:pPr>
      <w:r w:rsidRPr="00EB08A6">
        <w:rPr>
          <w:color w:val="000000"/>
          <w:szCs w:val="26"/>
        </w:rPr>
        <w:t>We</w:t>
      </w:r>
      <w:r w:rsidR="001C2F03" w:rsidRPr="00EB08A6">
        <w:rPr>
          <w:color w:val="000000"/>
          <w:szCs w:val="26"/>
        </w:rPr>
        <w:t xml:space="preserve"> </w:t>
      </w:r>
      <w:r w:rsidR="00530B9A" w:rsidRPr="00EB08A6">
        <w:rPr>
          <w:color w:val="000000"/>
          <w:szCs w:val="26"/>
        </w:rPr>
        <w:t xml:space="preserve">conclude </w:t>
      </w:r>
      <w:r w:rsidR="002F6523">
        <w:rPr>
          <w:color w:val="000000"/>
          <w:szCs w:val="26"/>
        </w:rPr>
        <w:t xml:space="preserve">as follows:  </w:t>
      </w:r>
      <w:r w:rsidR="001415FC" w:rsidRPr="00EB08A6">
        <w:rPr>
          <w:color w:val="000000"/>
          <w:szCs w:val="26"/>
        </w:rPr>
        <w:t>W</w:t>
      </w:r>
      <w:r w:rsidR="00C65A24" w:rsidRPr="00EB08A6">
        <w:rPr>
          <w:color w:val="000000"/>
          <w:szCs w:val="26"/>
        </w:rPr>
        <w:t xml:space="preserve">hen </w:t>
      </w:r>
      <w:r w:rsidR="00F72F70" w:rsidRPr="00EB08A6">
        <w:rPr>
          <w:color w:val="000000"/>
          <w:szCs w:val="26"/>
        </w:rPr>
        <w:t xml:space="preserve">reviewing </w:t>
      </w:r>
      <w:r w:rsidR="00EA3E9C" w:rsidRPr="00EB08A6">
        <w:rPr>
          <w:color w:val="000000"/>
          <w:szCs w:val="26"/>
        </w:rPr>
        <w:t xml:space="preserve">whether a discussion is sufficient to satisfy CEQA, a court </w:t>
      </w:r>
      <w:r w:rsidR="00EA3E9C" w:rsidRPr="00EB08A6">
        <w:rPr>
          <w:szCs w:val="26"/>
        </w:rPr>
        <w:t xml:space="preserve">must </w:t>
      </w:r>
      <w:r w:rsidR="006C2C94" w:rsidRPr="00EB08A6">
        <w:rPr>
          <w:szCs w:val="26"/>
        </w:rPr>
        <w:t xml:space="preserve">be satisfied </w:t>
      </w:r>
      <w:r w:rsidR="00EF3263" w:rsidRPr="00EB08A6">
        <w:rPr>
          <w:szCs w:val="26"/>
        </w:rPr>
        <w:t>that</w:t>
      </w:r>
      <w:r w:rsidR="000A50E9" w:rsidRPr="00EB08A6">
        <w:rPr>
          <w:szCs w:val="26"/>
        </w:rPr>
        <w:t xml:space="preserve"> the</w:t>
      </w:r>
      <w:r w:rsidR="00EA3E9C" w:rsidRPr="00EB08A6">
        <w:rPr>
          <w:szCs w:val="26"/>
        </w:rPr>
        <w:t xml:space="preserve"> EIR </w:t>
      </w:r>
      <w:r w:rsidR="002F6523">
        <w:rPr>
          <w:szCs w:val="26"/>
        </w:rPr>
        <w:t xml:space="preserve">(1) </w:t>
      </w:r>
      <w:r w:rsidR="00EA3E9C" w:rsidRPr="00EB08A6">
        <w:rPr>
          <w:szCs w:val="26"/>
        </w:rPr>
        <w:t xml:space="preserve">includes </w:t>
      </w:r>
      <w:r w:rsidR="00C65A24" w:rsidRPr="00EB08A6">
        <w:rPr>
          <w:szCs w:val="26"/>
        </w:rPr>
        <w:t xml:space="preserve">sufficient </w:t>
      </w:r>
      <w:r w:rsidR="00E1278A">
        <w:rPr>
          <w:szCs w:val="26"/>
        </w:rPr>
        <w:t xml:space="preserve">detail </w:t>
      </w:r>
      <w:r w:rsidR="00EA3E9C" w:rsidRPr="00EB08A6">
        <w:rPr>
          <w:szCs w:val="26"/>
        </w:rPr>
        <w:t>to enable those who did not participate in its preparation to understand and to consider meaningfully the issues the propos</w:t>
      </w:r>
      <w:r w:rsidR="00E1278A">
        <w:rPr>
          <w:szCs w:val="26"/>
        </w:rPr>
        <w:t xml:space="preserve">ed project </w:t>
      </w:r>
      <w:r w:rsidR="009975AE">
        <w:rPr>
          <w:szCs w:val="26"/>
        </w:rPr>
        <w:t>raises</w:t>
      </w:r>
      <w:r w:rsidR="00EA3E9C" w:rsidRPr="00EB08A6">
        <w:rPr>
          <w:szCs w:val="26"/>
        </w:rPr>
        <w:t xml:space="preserve"> </w:t>
      </w:r>
      <w:r w:rsidR="00F72F70" w:rsidRPr="00EB08A6">
        <w:rPr>
          <w:szCs w:val="26"/>
        </w:rPr>
        <w:t>(</w:t>
      </w:r>
      <w:r w:rsidR="00F72F70" w:rsidRPr="00EB08A6">
        <w:rPr>
          <w:i/>
          <w:szCs w:val="26"/>
        </w:rPr>
        <w:t>Laurel Heights Improvement Assn</w:t>
      </w:r>
      <w:r w:rsidR="00B03A49" w:rsidRPr="00EB08A6">
        <w:rPr>
          <w:szCs w:val="26"/>
        </w:rPr>
        <w:t>.</w:t>
      </w:r>
      <w:r w:rsidR="00F72F70" w:rsidRPr="00EB08A6">
        <w:rPr>
          <w:i/>
          <w:szCs w:val="26"/>
        </w:rPr>
        <w:t xml:space="preserve"> v</w:t>
      </w:r>
      <w:r w:rsidR="00B03A49" w:rsidRPr="00EB08A6">
        <w:rPr>
          <w:szCs w:val="26"/>
        </w:rPr>
        <w:t>.</w:t>
      </w:r>
      <w:r w:rsidR="00F72F70" w:rsidRPr="00EB08A6">
        <w:rPr>
          <w:i/>
          <w:szCs w:val="26"/>
        </w:rPr>
        <w:t xml:space="preserve"> Regents of University of California </w:t>
      </w:r>
      <w:r w:rsidR="00F72F70" w:rsidRPr="00EB08A6">
        <w:rPr>
          <w:szCs w:val="26"/>
        </w:rPr>
        <w:t>(1988) 47 Cal.3d 376, 405</w:t>
      </w:r>
      <w:r w:rsidR="003346A3" w:rsidRPr="00EB08A6">
        <w:rPr>
          <w:szCs w:val="26"/>
        </w:rPr>
        <w:t xml:space="preserve"> (</w:t>
      </w:r>
      <w:r w:rsidR="003346A3" w:rsidRPr="00EB08A6">
        <w:rPr>
          <w:i/>
          <w:szCs w:val="26"/>
        </w:rPr>
        <w:t>Laurel Heights I</w:t>
      </w:r>
      <w:r w:rsidR="00F72F70" w:rsidRPr="00EB08A6">
        <w:rPr>
          <w:szCs w:val="26"/>
        </w:rPr>
        <w:t>)</w:t>
      </w:r>
      <w:r w:rsidR="001C2F03" w:rsidRPr="00EB08A6">
        <w:rPr>
          <w:color w:val="000000"/>
          <w:szCs w:val="26"/>
        </w:rPr>
        <w:t>),</w:t>
      </w:r>
      <w:r w:rsidR="00F168DA" w:rsidRPr="00EB08A6">
        <w:rPr>
          <w:color w:val="000000"/>
          <w:szCs w:val="26"/>
        </w:rPr>
        <w:t xml:space="preserve"> </w:t>
      </w:r>
      <w:r w:rsidR="00530B9A" w:rsidRPr="00EB08A6">
        <w:rPr>
          <w:color w:val="000000"/>
          <w:szCs w:val="26"/>
        </w:rPr>
        <w:t xml:space="preserve">and </w:t>
      </w:r>
      <w:r w:rsidR="00C376AD" w:rsidRPr="00EB08A6">
        <w:rPr>
          <w:color w:val="000000"/>
          <w:szCs w:val="26"/>
        </w:rPr>
        <w:t>(2)</w:t>
      </w:r>
      <w:r w:rsidR="00A84D11" w:rsidRPr="00EB08A6">
        <w:rPr>
          <w:color w:val="000000"/>
          <w:szCs w:val="26"/>
        </w:rPr>
        <w:t xml:space="preserve"> </w:t>
      </w:r>
      <w:r w:rsidR="0023585F" w:rsidRPr="00EB08A6">
        <w:rPr>
          <w:color w:val="000000"/>
          <w:szCs w:val="26"/>
        </w:rPr>
        <w:t>make</w:t>
      </w:r>
      <w:r w:rsidR="004028FB" w:rsidRPr="00EB08A6">
        <w:rPr>
          <w:color w:val="000000"/>
          <w:szCs w:val="26"/>
        </w:rPr>
        <w:t>s</w:t>
      </w:r>
      <w:r w:rsidR="0023585F" w:rsidRPr="00EB08A6">
        <w:rPr>
          <w:color w:val="000000"/>
          <w:szCs w:val="26"/>
        </w:rPr>
        <w:t xml:space="preserve"> a reasonable effort </w:t>
      </w:r>
      <w:r w:rsidR="00A11E8F" w:rsidRPr="00EB08A6">
        <w:rPr>
          <w:color w:val="000000"/>
          <w:szCs w:val="26"/>
        </w:rPr>
        <w:t>to</w:t>
      </w:r>
      <w:r w:rsidR="002E1F23" w:rsidRPr="00EB08A6">
        <w:rPr>
          <w:color w:val="000000"/>
          <w:szCs w:val="26"/>
        </w:rPr>
        <w:t xml:space="preserve"> substantively</w:t>
      </w:r>
      <w:r w:rsidR="00A11E8F" w:rsidRPr="00EB08A6">
        <w:rPr>
          <w:color w:val="000000"/>
          <w:szCs w:val="26"/>
        </w:rPr>
        <w:t xml:space="preserve"> connect a project’s</w:t>
      </w:r>
      <w:r w:rsidR="00987540">
        <w:rPr>
          <w:color w:val="000000"/>
          <w:szCs w:val="26"/>
        </w:rPr>
        <w:t xml:space="preserve"> air quality impacts to likely</w:t>
      </w:r>
      <w:r w:rsidR="00A11E8F" w:rsidRPr="00EB08A6">
        <w:rPr>
          <w:color w:val="000000"/>
          <w:szCs w:val="26"/>
        </w:rPr>
        <w:t xml:space="preserve"> health consequences.  </w:t>
      </w:r>
      <w:r w:rsidR="00BB448F" w:rsidRPr="00EB08A6">
        <w:rPr>
          <w:color w:val="000000"/>
          <w:szCs w:val="26"/>
        </w:rPr>
        <w:t>A</w:t>
      </w:r>
      <w:r w:rsidR="00A11E8F" w:rsidRPr="00EB08A6">
        <w:rPr>
          <w:color w:val="000000"/>
          <w:szCs w:val="26"/>
        </w:rPr>
        <w:t xml:space="preserve">s explained below, the EIR in this case failed to do so.  </w:t>
      </w:r>
      <w:r w:rsidR="00351125" w:rsidRPr="00EB08A6">
        <w:rPr>
          <w:color w:val="000000"/>
          <w:szCs w:val="26"/>
        </w:rPr>
        <w:t xml:space="preserve">The </w:t>
      </w:r>
      <w:r w:rsidR="00625B2E" w:rsidRPr="00EB08A6">
        <w:rPr>
          <w:color w:val="000000"/>
          <w:szCs w:val="26"/>
        </w:rPr>
        <w:t xml:space="preserve">EIR should be revised to relate </w:t>
      </w:r>
      <w:r w:rsidR="00655D24" w:rsidRPr="00EB08A6">
        <w:rPr>
          <w:color w:val="000000"/>
          <w:szCs w:val="26"/>
        </w:rPr>
        <w:t xml:space="preserve">the expected </w:t>
      </w:r>
      <w:r w:rsidR="007B0AA6" w:rsidRPr="00EB08A6">
        <w:rPr>
          <w:color w:val="000000"/>
          <w:szCs w:val="26"/>
        </w:rPr>
        <w:t xml:space="preserve">adverse air quality </w:t>
      </w:r>
      <w:r w:rsidR="00C376AD" w:rsidRPr="00EB08A6">
        <w:rPr>
          <w:color w:val="000000"/>
          <w:szCs w:val="26"/>
        </w:rPr>
        <w:t xml:space="preserve">impacts </w:t>
      </w:r>
      <w:r w:rsidR="00C101BF" w:rsidRPr="00EB08A6">
        <w:rPr>
          <w:color w:val="000000"/>
          <w:szCs w:val="26"/>
        </w:rPr>
        <w:t xml:space="preserve">to </w:t>
      </w:r>
      <w:r w:rsidR="00C376AD" w:rsidRPr="00EB08A6">
        <w:rPr>
          <w:color w:val="000000"/>
          <w:szCs w:val="26"/>
        </w:rPr>
        <w:t>likely health consequences</w:t>
      </w:r>
      <w:r w:rsidR="00A04538" w:rsidRPr="00EB08A6">
        <w:rPr>
          <w:color w:val="000000"/>
          <w:szCs w:val="26"/>
        </w:rPr>
        <w:t xml:space="preserve"> or explain </w:t>
      </w:r>
      <w:r w:rsidR="00987540">
        <w:rPr>
          <w:color w:val="000000"/>
          <w:szCs w:val="26"/>
        </w:rPr>
        <w:t>in meaningful detail</w:t>
      </w:r>
      <w:r w:rsidR="00A04538" w:rsidRPr="00EB08A6">
        <w:rPr>
          <w:color w:val="000000"/>
          <w:szCs w:val="26"/>
        </w:rPr>
        <w:t xml:space="preserve"> why it is not feasible at the time of drafting to provide such an analysis,</w:t>
      </w:r>
      <w:r w:rsidR="00C376AD" w:rsidRPr="00EB08A6">
        <w:rPr>
          <w:color w:val="000000"/>
          <w:szCs w:val="26"/>
        </w:rPr>
        <w:t xml:space="preserve"> so that the public may make informed decisions regarding the costs and benefits of the </w:t>
      </w:r>
      <w:r w:rsidR="002E1F23" w:rsidRPr="00EB08A6">
        <w:rPr>
          <w:color w:val="000000"/>
          <w:szCs w:val="26"/>
        </w:rPr>
        <w:t>Project</w:t>
      </w:r>
      <w:r w:rsidR="00655D24" w:rsidRPr="00EB08A6">
        <w:rPr>
          <w:color w:val="000000"/>
          <w:szCs w:val="26"/>
        </w:rPr>
        <w:t xml:space="preserve">.  </w:t>
      </w:r>
    </w:p>
    <w:p w:rsidR="001E2964" w:rsidRPr="00EB08A6" w:rsidRDefault="007B0AA6" w:rsidP="009E0DE1">
      <w:pPr>
        <w:ind w:firstLine="720"/>
        <w:rPr>
          <w:color w:val="000000"/>
          <w:szCs w:val="26"/>
        </w:rPr>
      </w:pPr>
      <w:r w:rsidRPr="00EB08A6">
        <w:rPr>
          <w:color w:val="000000"/>
          <w:szCs w:val="26"/>
        </w:rPr>
        <w:t xml:space="preserve">We further conclude </w:t>
      </w:r>
      <w:r w:rsidR="00655D24" w:rsidRPr="00EB08A6">
        <w:rPr>
          <w:color w:val="000000"/>
          <w:szCs w:val="26"/>
        </w:rPr>
        <w:t xml:space="preserve">that </w:t>
      </w:r>
      <w:r w:rsidR="00C376AD" w:rsidRPr="00EB08A6">
        <w:rPr>
          <w:color w:val="000000"/>
          <w:szCs w:val="26"/>
        </w:rPr>
        <w:t>a lead agency may leave open the possibility of employing better mitigation efforts consistent with improvements in technology without being deemed to have impermissibly deferred mitigation measures</w:t>
      </w:r>
      <w:r w:rsidR="001C2F03" w:rsidRPr="00EB08A6">
        <w:rPr>
          <w:color w:val="000000"/>
          <w:szCs w:val="26"/>
        </w:rPr>
        <w:t>.  A lead agency</w:t>
      </w:r>
      <w:r w:rsidR="00C376AD" w:rsidRPr="00EB08A6">
        <w:rPr>
          <w:color w:val="000000"/>
          <w:szCs w:val="26"/>
        </w:rPr>
        <w:t xml:space="preserve"> may adopt mitigation measures that do not reduce the project’s adverse impacts to less than significant levels, so long as the agency can demonstrate in good faith that the measures will at least be partially effective at mitigating the </w:t>
      </w:r>
      <w:r w:rsidR="00C25A25" w:rsidRPr="00EB08A6">
        <w:rPr>
          <w:color w:val="000000"/>
          <w:szCs w:val="26"/>
        </w:rPr>
        <w:t xml:space="preserve">Project’s </w:t>
      </w:r>
      <w:r w:rsidR="00C376AD" w:rsidRPr="00EB08A6">
        <w:rPr>
          <w:color w:val="000000"/>
          <w:szCs w:val="26"/>
        </w:rPr>
        <w:t xml:space="preserve">impacts.  </w:t>
      </w:r>
    </w:p>
    <w:p w:rsidR="00376872" w:rsidRPr="00EB08A6" w:rsidRDefault="00443FC0" w:rsidP="009E0DE1">
      <w:pPr>
        <w:tabs>
          <w:tab w:val="left" w:pos="1440"/>
        </w:tabs>
        <w:ind w:firstLine="720"/>
        <w:rPr>
          <w:color w:val="000000"/>
          <w:szCs w:val="26"/>
        </w:rPr>
      </w:pPr>
      <w:r w:rsidRPr="00EB08A6">
        <w:rPr>
          <w:color w:val="000000"/>
          <w:szCs w:val="26"/>
        </w:rPr>
        <w:t>W</w:t>
      </w:r>
      <w:r w:rsidR="007B0AA6" w:rsidRPr="00EB08A6">
        <w:rPr>
          <w:color w:val="000000"/>
          <w:szCs w:val="26"/>
        </w:rPr>
        <w:t xml:space="preserve">e </w:t>
      </w:r>
      <w:r w:rsidR="002F6B8A" w:rsidRPr="00EB08A6">
        <w:rPr>
          <w:color w:val="000000"/>
          <w:szCs w:val="26"/>
        </w:rPr>
        <w:t>therefore</w:t>
      </w:r>
      <w:r w:rsidR="001C2F03" w:rsidRPr="00EB08A6">
        <w:rPr>
          <w:color w:val="000000"/>
          <w:szCs w:val="26"/>
        </w:rPr>
        <w:t xml:space="preserve"> affirm</w:t>
      </w:r>
      <w:r w:rsidR="005F72DE" w:rsidRPr="00EB08A6">
        <w:rPr>
          <w:color w:val="000000"/>
          <w:szCs w:val="26"/>
        </w:rPr>
        <w:t xml:space="preserve"> </w:t>
      </w:r>
      <w:r w:rsidR="00AA429B" w:rsidRPr="00EB08A6">
        <w:rPr>
          <w:color w:val="000000"/>
          <w:szCs w:val="26"/>
        </w:rPr>
        <w:t xml:space="preserve">the </w:t>
      </w:r>
      <w:r w:rsidR="00261870" w:rsidRPr="00EB08A6">
        <w:rPr>
          <w:color w:val="000000"/>
          <w:szCs w:val="26"/>
        </w:rPr>
        <w:t>Court of Appeal</w:t>
      </w:r>
      <w:r w:rsidR="000F5837" w:rsidRPr="00EB08A6">
        <w:rPr>
          <w:color w:val="000000"/>
          <w:szCs w:val="26"/>
        </w:rPr>
        <w:t>’s</w:t>
      </w:r>
      <w:r w:rsidR="00261870" w:rsidRPr="00EB08A6">
        <w:rPr>
          <w:color w:val="000000"/>
          <w:szCs w:val="26"/>
        </w:rPr>
        <w:t xml:space="preserve"> judgment </w:t>
      </w:r>
      <w:r w:rsidR="00820042" w:rsidRPr="00EB08A6">
        <w:rPr>
          <w:color w:val="000000"/>
          <w:szCs w:val="26"/>
        </w:rPr>
        <w:t xml:space="preserve">finding </w:t>
      </w:r>
      <w:r w:rsidR="00630D2A" w:rsidRPr="00EB08A6">
        <w:rPr>
          <w:color w:val="000000"/>
          <w:szCs w:val="26"/>
        </w:rPr>
        <w:t>the</w:t>
      </w:r>
      <w:r w:rsidR="00261870" w:rsidRPr="00EB08A6">
        <w:rPr>
          <w:color w:val="000000"/>
          <w:szCs w:val="26"/>
        </w:rPr>
        <w:t xml:space="preserve"> EIR’s </w:t>
      </w:r>
      <w:r w:rsidR="00647D6E" w:rsidRPr="00EB08A6">
        <w:rPr>
          <w:color w:val="000000"/>
          <w:szCs w:val="26"/>
        </w:rPr>
        <w:t>analys</w:t>
      </w:r>
      <w:r w:rsidR="00695EB3" w:rsidRPr="00EB08A6">
        <w:rPr>
          <w:color w:val="000000"/>
          <w:szCs w:val="26"/>
        </w:rPr>
        <w:t xml:space="preserve">es </w:t>
      </w:r>
      <w:r w:rsidR="00647D6E" w:rsidRPr="00EB08A6">
        <w:rPr>
          <w:color w:val="000000"/>
          <w:szCs w:val="26"/>
        </w:rPr>
        <w:t xml:space="preserve">of the </w:t>
      </w:r>
      <w:r w:rsidR="002E1F23" w:rsidRPr="00EB08A6">
        <w:rPr>
          <w:color w:val="000000"/>
          <w:szCs w:val="26"/>
        </w:rPr>
        <w:t>P</w:t>
      </w:r>
      <w:r w:rsidR="00647D6E" w:rsidRPr="00EB08A6">
        <w:rPr>
          <w:color w:val="000000"/>
          <w:szCs w:val="26"/>
        </w:rPr>
        <w:t xml:space="preserve">roject’s </w:t>
      </w:r>
      <w:r w:rsidR="00261870" w:rsidRPr="00EB08A6">
        <w:rPr>
          <w:color w:val="000000"/>
          <w:szCs w:val="26"/>
        </w:rPr>
        <w:t xml:space="preserve">air quality </w:t>
      </w:r>
      <w:r w:rsidR="00056D87" w:rsidRPr="00EB08A6">
        <w:rPr>
          <w:color w:val="000000"/>
          <w:szCs w:val="26"/>
        </w:rPr>
        <w:t xml:space="preserve">impacts </w:t>
      </w:r>
      <w:r w:rsidR="00820042" w:rsidRPr="00EB08A6">
        <w:rPr>
          <w:color w:val="000000"/>
          <w:szCs w:val="26"/>
        </w:rPr>
        <w:t>inadequate</w:t>
      </w:r>
      <w:r w:rsidR="00261870" w:rsidRPr="00EB08A6">
        <w:rPr>
          <w:color w:val="000000"/>
          <w:szCs w:val="26"/>
        </w:rPr>
        <w:t xml:space="preserve">.  </w:t>
      </w:r>
      <w:r w:rsidR="00820042" w:rsidRPr="00EB08A6">
        <w:rPr>
          <w:color w:val="000000"/>
          <w:szCs w:val="26"/>
        </w:rPr>
        <w:t xml:space="preserve">However, </w:t>
      </w:r>
      <w:r w:rsidR="00695EB3" w:rsidRPr="00EB08A6">
        <w:rPr>
          <w:color w:val="000000"/>
          <w:szCs w:val="26"/>
        </w:rPr>
        <w:t xml:space="preserve">we </w:t>
      </w:r>
      <w:r w:rsidR="00C71351" w:rsidRPr="00EB08A6">
        <w:rPr>
          <w:color w:val="000000"/>
          <w:szCs w:val="26"/>
        </w:rPr>
        <w:t>reverse</w:t>
      </w:r>
      <w:r w:rsidR="00820042" w:rsidRPr="00EB08A6">
        <w:rPr>
          <w:color w:val="000000"/>
          <w:szCs w:val="26"/>
        </w:rPr>
        <w:t xml:space="preserve"> </w:t>
      </w:r>
      <w:r w:rsidR="00E41D83" w:rsidRPr="00EB08A6">
        <w:rPr>
          <w:color w:val="000000"/>
          <w:szCs w:val="26"/>
        </w:rPr>
        <w:t xml:space="preserve">the Court of Appeal’s </w:t>
      </w:r>
      <w:r w:rsidR="00820042" w:rsidRPr="00EB08A6">
        <w:rPr>
          <w:color w:val="000000"/>
          <w:szCs w:val="26"/>
        </w:rPr>
        <w:t>judgment</w:t>
      </w:r>
      <w:r w:rsidR="00E41D83" w:rsidRPr="00EB08A6">
        <w:rPr>
          <w:color w:val="000000"/>
          <w:szCs w:val="26"/>
        </w:rPr>
        <w:t xml:space="preserve"> that the EIR improperly deferred mitigation measures by proposing to substitute more effective measures if available in the future, </w:t>
      </w:r>
      <w:r w:rsidR="00C71351" w:rsidRPr="00EB08A6">
        <w:rPr>
          <w:color w:val="000000"/>
          <w:szCs w:val="26"/>
        </w:rPr>
        <w:t>and</w:t>
      </w:r>
      <w:r w:rsidR="00820042" w:rsidRPr="00EB08A6">
        <w:rPr>
          <w:color w:val="000000"/>
          <w:szCs w:val="26"/>
        </w:rPr>
        <w:t xml:space="preserve"> </w:t>
      </w:r>
      <w:r w:rsidR="00630D2A" w:rsidRPr="00EB08A6">
        <w:rPr>
          <w:color w:val="000000"/>
          <w:szCs w:val="26"/>
        </w:rPr>
        <w:t>that the</w:t>
      </w:r>
      <w:r w:rsidR="00E41D83" w:rsidRPr="00EB08A6">
        <w:rPr>
          <w:color w:val="000000"/>
          <w:szCs w:val="26"/>
        </w:rPr>
        <w:t xml:space="preserve"> mitigation measures proposed were impermissibly vague</w:t>
      </w:r>
      <w:r w:rsidR="00820042" w:rsidRPr="00EB08A6">
        <w:rPr>
          <w:color w:val="000000"/>
          <w:szCs w:val="26"/>
        </w:rPr>
        <w:t xml:space="preserve"> and unlikely to reduce adverse health</w:t>
      </w:r>
      <w:r w:rsidR="00DD4693" w:rsidRPr="00EB08A6">
        <w:rPr>
          <w:color w:val="000000"/>
          <w:szCs w:val="26"/>
        </w:rPr>
        <w:t xml:space="preserve"> impacts to less than significant levels</w:t>
      </w:r>
      <w:r w:rsidR="00820042" w:rsidRPr="00EB08A6">
        <w:rPr>
          <w:color w:val="000000"/>
          <w:szCs w:val="26"/>
        </w:rPr>
        <w:t>.</w:t>
      </w:r>
      <w:r w:rsidR="00E41D83" w:rsidRPr="00EB08A6">
        <w:rPr>
          <w:color w:val="000000"/>
          <w:szCs w:val="26"/>
        </w:rPr>
        <w:t xml:space="preserve">  </w:t>
      </w:r>
    </w:p>
    <w:p w:rsidR="00BB2335" w:rsidRPr="00EB08A6" w:rsidRDefault="00626A03" w:rsidP="009E0DE1">
      <w:pPr>
        <w:keepNext/>
        <w:tabs>
          <w:tab w:val="left" w:pos="1440"/>
        </w:tabs>
        <w:spacing w:before="240"/>
        <w:ind w:left="720"/>
        <w:jc w:val="center"/>
        <w:rPr>
          <w:caps/>
          <w:color w:val="000000"/>
          <w:szCs w:val="26"/>
        </w:rPr>
      </w:pPr>
      <w:r w:rsidRPr="00EB08A6">
        <w:rPr>
          <w:caps/>
          <w:color w:val="000000"/>
          <w:szCs w:val="26"/>
        </w:rPr>
        <w:t>discussion</w:t>
      </w:r>
    </w:p>
    <w:p w:rsidR="004D23FF" w:rsidRPr="00EB08A6" w:rsidRDefault="00417F14" w:rsidP="009E0DE1">
      <w:pPr>
        <w:keepNext/>
        <w:tabs>
          <w:tab w:val="left" w:pos="1440"/>
        </w:tabs>
        <w:spacing w:before="240"/>
        <w:ind w:left="720"/>
        <w:rPr>
          <w:i/>
          <w:color w:val="000000"/>
          <w:szCs w:val="26"/>
        </w:rPr>
      </w:pPr>
      <w:r w:rsidRPr="00EB08A6">
        <w:rPr>
          <w:color w:val="000000"/>
          <w:szCs w:val="26"/>
        </w:rPr>
        <w:t>A.</w:t>
      </w:r>
      <w:r w:rsidRPr="00EB08A6">
        <w:rPr>
          <w:i/>
          <w:color w:val="000000"/>
          <w:szCs w:val="26"/>
        </w:rPr>
        <w:t xml:space="preserve">  </w:t>
      </w:r>
      <w:r w:rsidR="00142305" w:rsidRPr="00EB08A6">
        <w:rPr>
          <w:i/>
          <w:color w:val="000000"/>
          <w:szCs w:val="26"/>
        </w:rPr>
        <w:t>Adequacy of</w:t>
      </w:r>
      <w:r w:rsidR="00EE5704" w:rsidRPr="00EB08A6">
        <w:rPr>
          <w:i/>
          <w:color w:val="000000"/>
          <w:szCs w:val="26"/>
        </w:rPr>
        <w:t xml:space="preserve"> the</w:t>
      </w:r>
      <w:r w:rsidR="00142305" w:rsidRPr="00EB08A6">
        <w:rPr>
          <w:i/>
          <w:color w:val="000000"/>
          <w:szCs w:val="26"/>
        </w:rPr>
        <w:t xml:space="preserve"> EIR</w:t>
      </w:r>
      <w:r w:rsidR="00A9736C" w:rsidRPr="00EB08A6">
        <w:rPr>
          <w:i/>
          <w:color w:val="000000"/>
          <w:szCs w:val="26"/>
        </w:rPr>
        <w:t>’</w:t>
      </w:r>
      <w:r w:rsidR="00142305" w:rsidRPr="00EB08A6">
        <w:rPr>
          <w:i/>
          <w:color w:val="000000"/>
          <w:szCs w:val="26"/>
        </w:rPr>
        <w:t xml:space="preserve">s discussion of </w:t>
      </w:r>
      <w:r w:rsidR="00AB158C" w:rsidRPr="00EB08A6">
        <w:rPr>
          <w:i/>
          <w:color w:val="000000"/>
          <w:szCs w:val="26"/>
        </w:rPr>
        <w:t xml:space="preserve">health impacts </w:t>
      </w:r>
      <w:r w:rsidR="00DE7493" w:rsidRPr="00EB08A6">
        <w:rPr>
          <w:i/>
          <w:color w:val="000000"/>
          <w:szCs w:val="26"/>
        </w:rPr>
        <w:t xml:space="preserve">of the </w:t>
      </w:r>
      <w:r w:rsidR="007F71D3" w:rsidRPr="00EB08A6">
        <w:rPr>
          <w:i/>
          <w:color w:val="000000"/>
          <w:szCs w:val="26"/>
        </w:rPr>
        <w:t xml:space="preserve">Project’s </w:t>
      </w:r>
      <w:r w:rsidR="004D23FF" w:rsidRPr="00EB08A6">
        <w:rPr>
          <w:i/>
          <w:color w:val="000000"/>
          <w:szCs w:val="26"/>
        </w:rPr>
        <w:t>long-term effects on air quality</w:t>
      </w:r>
      <w:r w:rsidR="003A72C6" w:rsidRPr="00EB08A6">
        <w:rPr>
          <w:i/>
          <w:color w:val="000000"/>
          <w:szCs w:val="26"/>
        </w:rPr>
        <w:t xml:space="preserve"> </w:t>
      </w:r>
    </w:p>
    <w:p w:rsidR="00CA4176" w:rsidRPr="00EB08A6" w:rsidRDefault="00786C7E" w:rsidP="009E0DE1">
      <w:pPr>
        <w:tabs>
          <w:tab w:val="left" w:pos="1440"/>
        </w:tabs>
        <w:ind w:firstLine="720"/>
        <w:rPr>
          <w:color w:val="000000"/>
          <w:szCs w:val="26"/>
        </w:rPr>
      </w:pPr>
      <w:r w:rsidRPr="00EB08A6">
        <w:rPr>
          <w:color w:val="000000"/>
          <w:szCs w:val="26"/>
        </w:rPr>
        <w:t xml:space="preserve">Plaintiffs claim </w:t>
      </w:r>
      <w:r w:rsidR="00EE5704" w:rsidRPr="00EB08A6">
        <w:rPr>
          <w:color w:val="000000"/>
          <w:szCs w:val="26"/>
        </w:rPr>
        <w:t xml:space="preserve">that </w:t>
      </w:r>
      <w:r w:rsidRPr="00EB08A6">
        <w:rPr>
          <w:color w:val="000000"/>
          <w:szCs w:val="26"/>
        </w:rPr>
        <w:t>the EIR was insufficient as an information</w:t>
      </w:r>
      <w:r w:rsidR="002C1A75" w:rsidRPr="00EB08A6">
        <w:rPr>
          <w:color w:val="000000"/>
          <w:szCs w:val="26"/>
        </w:rPr>
        <w:t>al</w:t>
      </w:r>
      <w:r w:rsidRPr="00EB08A6">
        <w:rPr>
          <w:color w:val="000000"/>
          <w:szCs w:val="26"/>
        </w:rPr>
        <w:t xml:space="preserve"> document </w:t>
      </w:r>
      <w:r w:rsidR="009E3A0E" w:rsidRPr="00EB08A6">
        <w:rPr>
          <w:color w:val="000000"/>
          <w:szCs w:val="26"/>
        </w:rPr>
        <w:t xml:space="preserve">because it failed to </w:t>
      </w:r>
      <w:r w:rsidR="009F0DED" w:rsidRPr="00EB08A6">
        <w:rPr>
          <w:color w:val="000000"/>
          <w:szCs w:val="26"/>
        </w:rPr>
        <w:t xml:space="preserve">adequately explain </w:t>
      </w:r>
      <w:r w:rsidR="00AD308E" w:rsidRPr="00EB08A6">
        <w:rPr>
          <w:color w:val="000000"/>
          <w:szCs w:val="26"/>
        </w:rPr>
        <w:t xml:space="preserve">how the air pollutants </w:t>
      </w:r>
      <w:r w:rsidR="00DC4D1F" w:rsidRPr="00EB08A6">
        <w:rPr>
          <w:color w:val="000000"/>
          <w:szCs w:val="26"/>
        </w:rPr>
        <w:t xml:space="preserve">the Project generated </w:t>
      </w:r>
      <w:r w:rsidR="00CA4176" w:rsidRPr="00EB08A6">
        <w:rPr>
          <w:color w:val="000000"/>
          <w:szCs w:val="26"/>
        </w:rPr>
        <w:t>would impact public health</w:t>
      </w:r>
      <w:r w:rsidR="00AB158C" w:rsidRPr="00EB08A6">
        <w:rPr>
          <w:color w:val="000000"/>
          <w:szCs w:val="26"/>
        </w:rPr>
        <w:t xml:space="preserve">.  </w:t>
      </w:r>
      <w:r w:rsidR="00E203EC" w:rsidRPr="00EB08A6">
        <w:rPr>
          <w:color w:val="000000"/>
          <w:szCs w:val="26"/>
        </w:rPr>
        <w:t xml:space="preserve">To address that claim, we must first decide what standard of review </w:t>
      </w:r>
      <w:r w:rsidR="00700C5E" w:rsidRPr="00EB08A6">
        <w:rPr>
          <w:color w:val="000000"/>
          <w:szCs w:val="26"/>
        </w:rPr>
        <w:t xml:space="preserve">applies to </w:t>
      </w:r>
      <w:r w:rsidR="00E51E2A" w:rsidRPr="00EB08A6">
        <w:rPr>
          <w:color w:val="000000"/>
          <w:szCs w:val="26"/>
        </w:rPr>
        <w:t>a challenge to the adequacy of an EIR</w:t>
      </w:r>
      <w:r w:rsidR="00306378" w:rsidRPr="00EB08A6">
        <w:rPr>
          <w:color w:val="000000"/>
          <w:szCs w:val="26"/>
        </w:rPr>
        <w:t>’s discussion</w:t>
      </w:r>
      <w:r w:rsidR="00DD0157" w:rsidRPr="00EB08A6">
        <w:rPr>
          <w:color w:val="000000"/>
          <w:szCs w:val="26"/>
        </w:rPr>
        <w:t xml:space="preserve"> of a required topic</w:t>
      </w:r>
      <w:r w:rsidR="00E51E2A" w:rsidRPr="00EB08A6">
        <w:rPr>
          <w:color w:val="000000"/>
          <w:szCs w:val="26"/>
        </w:rPr>
        <w:t xml:space="preserve">.  </w:t>
      </w:r>
    </w:p>
    <w:p w:rsidR="00CA4176" w:rsidRPr="00EB08A6" w:rsidRDefault="00E51E2A" w:rsidP="009E0DE1">
      <w:pPr>
        <w:pStyle w:val="Heading3"/>
        <w:jc w:val="both"/>
      </w:pPr>
      <w:r w:rsidRPr="00EB08A6">
        <w:rPr>
          <w:i w:val="0"/>
        </w:rPr>
        <w:t>1</w:t>
      </w:r>
      <w:r w:rsidR="00B03A49" w:rsidRPr="00EB08A6">
        <w:rPr>
          <w:i w:val="0"/>
        </w:rPr>
        <w:t>.</w:t>
      </w:r>
      <w:r w:rsidRPr="00EB08A6">
        <w:t xml:space="preserve">  Standard of review</w:t>
      </w:r>
    </w:p>
    <w:p w:rsidR="00CA4176" w:rsidRPr="00EB08A6" w:rsidRDefault="00581E63" w:rsidP="009E0DE1">
      <w:pPr>
        <w:tabs>
          <w:tab w:val="left" w:pos="1440"/>
        </w:tabs>
        <w:ind w:firstLine="720"/>
        <w:rPr>
          <w:color w:val="000000"/>
          <w:szCs w:val="26"/>
        </w:rPr>
      </w:pPr>
      <w:r w:rsidRPr="00EB08A6">
        <w:rPr>
          <w:color w:val="000000"/>
          <w:szCs w:val="26"/>
        </w:rPr>
        <w:t xml:space="preserve">“The foremost principle under CEQA is that the Legislature intended the act ‘to be interpreted in such manner as to afford the fullest possible protection to the environment within the reasonable scope of the statutory language.’ ”  </w:t>
      </w:r>
      <w:r w:rsidR="00500089" w:rsidRPr="00EB08A6">
        <w:rPr>
          <w:color w:val="000000"/>
          <w:szCs w:val="26"/>
        </w:rPr>
        <w:t>(</w:t>
      </w:r>
      <w:r w:rsidRPr="00EB08A6">
        <w:rPr>
          <w:i/>
          <w:color w:val="000000"/>
          <w:szCs w:val="26"/>
        </w:rPr>
        <w:t xml:space="preserve">Laurel Heights </w:t>
      </w:r>
      <w:r w:rsidR="00500089" w:rsidRPr="00EB08A6">
        <w:rPr>
          <w:i/>
          <w:color w:val="000000"/>
          <w:szCs w:val="26"/>
        </w:rPr>
        <w:t>I</w:t>
      </w:r>
      <w:r w:rsidR="00500089" w:rsidRPr="00EB08A6">
        <w:rPr>
          <w:color w:val="000000"/>
          <w:szCs w:val="26"/>
        </w:rPr>
        <w:t xml:space="preserve">, </w:t>
      </w:r>
      <w:r w:rsidR="00500089" w:rsidRPr="00EB08A6">
        <w:rPr>
          <w:i/>
          <w:color w:val="000000"/>
          <w:szCs w:val="26"/>
        </w:rPr>
        <w:t>supra</w:t>
      </w:r>
      <w:r w:rsidR="00500089" w:rsidRPr="00EB08A6">
        <w:rPr>
          <w:color w:val="000000"/>
          <w:szCs w:val="26"/>
        </w:rPr>
        <w:t xml:space="preserve">, </w:t>
      </w:r>
      <w:r w:rsidRPr="00EB08A6">
        <w:rPr>
          <w:color w:val="000000"/>
          <w:szCs w:val="26"/>
        </w:rPr>
        <w:t xml:space="preserve">47 Cal.3d </w:t>
      </w:r>
      <w:r w:rsidR="00500089" w:rsidRPr="00EB08A6">
        <w:rPr>
          <w:color w:val="000000"/>
          <w:szCs w:val="26"/>
        </w:rPr>
        <w:t>at p.</w:t>
      </w:r>
      <w:r w:rsidRPr="00EB08A6">
        <w:rPr>
          <w:color w:val="000000"/>
          <w:szCs w:val="26"/>
        </w:rPr>
        <w:t xml:space="preserve"> 390, quoting </w:t>
      </w:r>
      <w:r w:rsidRPr="00EB08A6">
        <w:rPr>
          <w:i/>
          <w:color w:val="000000"/>
          <w:szCs w:val="26"/>
        </w:rPr>
        <w:t>Friends of Mammoth v</w:t>
      </w:r>
      <w:r w:rsidR="00B03A49" w:rsidRPr="00EB08A6">
        <w:rPr>
          <w:color w:val="000000"/>
          <w:szCs w:val="26"/>
        </w:rPr>
        <w:t>.</w:t>
      </w:r>
      <w:r w:rsidRPr="00EB08A6">
        <w:rPr>
          <w:i/>
          <w:color w:val="000000"/>
          <w:szCs w:val="26"/>
        </w:rPr>
        <w:t xml:space="preserve"> Board of Supervisors</w:t>
      </w:r>
      <w:r w:rsidRPr="00EB08A6">
        <w:rPr>
          <w:color w:val="000000"/>
          <w:szCs w:val="26"/>
        </w:rPr>
        <w:t xml:space="preserve"> (1972) 8 Cal.3d 247, 259.)  “With narrow exceptions, CEQA requires an EIR whenever a public agency proposes to approve or to carry out a project that may have a significant effect on the environment.  [Citations.]”  (</w:t>
      </w:r>
      <w:r w:rsidRPr="00EB08A6">
        <w:rPr>
          <w:i/>
          <w:color w:val="000000"/>
          <w:szCs w:val="26"/>
        </w:rPr>
        <w:t>Laurel Heights I</w:t>
      </w:r>
      <w:r w:rsidRPr="00EB08A6">
        <w:rPr>
          <w:color w:val="000000"/>
          <w:szCs w:val="26"/>
        </w:rPr>
        <w:t>,</w:t>
      </w:r>
      <w:r w:rsidRPr="00EB08A6">
        <w:rPr>
          <w:i/>
          <w:color w:val="000000"/>
          <w:szCs w:val="26"/>
        </w:rPr>
        <w:t xml:space="preserve"> supra</w:t>
      </w:r>
      <w:r w:rsidRPr="00EB08A6">
        <w:rPr>
          <w:color w:val="000000"/>
          <w:szCs w:val="26"/>
        </w:rPr>
        <w:t>, 47 Cal.3d at pp.</w:t>
      </w:r>
      <w:r w:rsidRPr="00EB08A6" w:rsidDel="00ED568E">
        <w:rPr>
          <w:i/>
          <w:color w:val="000000"/>
          <w:szCs w:val="26"/>
        </w:rPr>
        <w:t xml:space="preserve"> </w:t>
      </w:r>
      <w:r w:rsidRPr="00EB08A6">
        <w:rPr>
          <w:color w:val="000000"/>
          <w:szCs w:val="26"/>
        </w:rPr>
        <w:t xml:space="preserve">390-391; see Guidelines, § 15002, subd. (f).)  The basic purpose of an EIR is to “provide public agencies and the public in general with detailed information about the effect [that] a proposed project is likely to have on the environment; to list ways in which the significant effects of such a project might be minimized; and to indicate alternatives to such a project.”  (§ 21061; see </w:t>
      </w:r>
      <w:r w:rsidR="00B440FF" w:rsidRPr="00EB08A6">
        <w:rPr>
          <w:color w:val="000000"/>
          <w:szCs w:val="26"/>
        </w:rPr>
        <w:t xml:space="preserve">Guidelines, </w:t>
      </w:r>
      <w:r w:rsidRPr="00EB08A6">
        <w:rPr>
          <w:color w:val="000000"/>
          <w:szCs w:val="26"/>
        </w:rPr>
        <w:t>§ </w:t>
      </w:r>
      <w:r w:rsidR="00900B7F" w:rsidRPr="00EB08A6">
        <w:rPr>
          <w:color w:val="000000"/>
          <w:szCs w:val="26"/>
        </w:rPr>
        <w:t>15003, subds. (b)-(e)</w:t>
      </w:r>
      <w:r w:rsidRPr="00EB08A6">
        <w:rPr>
          <w:color w:val="000000"/>
          <w:szCs w:val="26"/>
        </w:rPr>
        <w:t>.)</w:t>
      </w:r>
      <w:r w:rsidRPr="00EB08A6">
        <w:rPr>
          <w:rStyle w:val="FootnoteReference"/>
          <w:color w:val="000000"/>
        </w:rPr>
        <w:footnoteReference w:id="6"/>
      </w:r>
      <w:r w:rsidRPr="00EB08A6">
        <w:rPr>
          <w:color w:val="000000"/>
          <w:szCs w:val="26"/>
        </w:rPr>
        <w:t xml:space="preserve">  “Because the EIR must be certified or rejected by public officials, it is a document of accountability.  If CEQA is scrupulously followed, the public will know the basis on which its responsible officials either approve or reject environmentally significant action, and the public, being duly informed, can respond accordingly to action with which it disagrees.”  (</w:t>
      </w:r>
      <w:r w:rsidRPr="00EB08A6">
        <w:rPr>
          <w:i/>
          <w:color w:val="000000"/>
          <w:szCs w:val="26"/>
        </w:rPr>
        <w:t>Laurel Heights I</w:t>
      </w:r>
      <w:r w:rsidRPr="00EB08A6">
        <w:rPr>
          <w:color w:val="000000"/>
          <w:szCs w:val="26"/>
        </w:rPr>
        <w:t>,</w:t>
      </w:r>
      <w:r w:rsidRPr="00EB08A6">
        <w:rPr>
          <w:i/>
          <w:color w:val="000000"/>
          <w:szCs w:val="26"/>
        </w:rPr>
        <w:t xml:space="preserve"> supra</w:t>
      </w:r>
      <w:r w:rsidRPr="00EB08A6">
        <w:rPr>
          <w:color w:val="000000"/>
          <w:szCs w:val="26"/>
        </w:rPr>
        <w:t>, at p. 392.)  The EIR “protects not only the environment but also informed self-government.”  (</w:t>
      </w:r>
      <w:r w:rsidRPr="00EB08A6">
        <w:rPr>
          <w:i/>
          <w:color w:val="000000"/>
          <w:szCs w:val="26"/>
        </w:rPr>
        <w:t>Ibid</w:t>
      </w:r>
      <w:r w:rsidR="00B03A49" w:rsidRPr="00EB08A6">
        <w:rPr>
          <w:color w:val="000000"/>
          <w:szCs w:val="26"/>
        </w:rPr>
        <w:t>.</w:t>
      </w:r>
      <w:r w:rsidRPr="00EB08A6">
        <w:rPr>
          <w:color w:val="000000"/>
          <w:szCs w:val="26"/>
        </w:rPr>
        <w:t xml:space="preserve">)  </w:t>
      </w:r>
    </w:p>
    <w:p w:rsidR="00CA4176" w:rsidRPr="00EB08A6" w:rsidRDefault="002A0008" w:rsidP="009E0DE1">
      <w:pPr>
        <w:tabs>
          <w:tab w:val="left" w:pos="1440"/>
        </w:tabs>
        <w:ind w:firstLine="720"/>
        <w:rPr>
          <w:color w:val="000000"/>
          <w:szCs w:val="26"/>
        </w:rPr>
      </w:pPr>
      <w:r w:rsidRPr="00EB08A6">
        <w:rPr>
          <w:color w:val="000000"/>
          <w:szCs w:val="26"/>
        </w:rPr>
        <w:t>The standard of review in a CEQA case</w:t>
      </w:r>
      <w:r w:rsidR="005C1419" w:rsidRPr="00EB08A6">
        <w:rPr>
          <w:color w:val="000000"/>
          <w:szCs w:val="26"/>
        </w:rPr>
        <w:t xml:space="preserve">, as </w:t>
      </w:r>
      <w:r w:rsidR="00A1229C" w:rsidRPr="00EB08A6">
        <w:rPr>
          <w:color w:val="000000"/>
          <w:szCs w:val="26"/>
        </w:rPr>
        <w:t xml:space="preserve">provided </w:t>
      </w:r>
      <w:r w:rsidRPr="00EB08A6">
        <w:rPr>
          <w:color w:val="000000"/>
          <w:szCs w:val="26"/>
        </w:rPr>
        <w:t>in section</w:t>
      </w:r>
      <w:r w:rsidR="00FF29A6" w:rsidRPr="00EB08A6">
        <w:rPr>
          <w:color w:val="000000"/>
          <w:szCs w:val="26"/>
        </w:rPr>
        <w:t xml:space="preserve">s </w:t>
      </w:r>
      <w:r w:rsidRPr="00EB08A6">
        <w:rPr>
          <w:color w:val="000000"/>
          <w:szCs w:val="26"/>
        </w:rPr>
        <w:t>21168.5</w:t>
      </w:r>
      <w:r w:rsidR="00FF29A6" w:rsidRPr="00EB08A6">
        <w:rPr>
          <w:color w:val="000000"/>
          <w:szCs w:val="26"/>
        </w:rPr>
        <w:t xml:space="preserve"> and 21005</w:t>
      </w:r>
      <w:r w:rsidR="005C1419" w:rsidRPr="00EB08A6">
        <w:rPr>
          <w:color w:val="000000"/>
          <w:szCs w:val="26"/>
        </w:rPr>
        <w:t>, is abuse of discretion</w:t>
      </w:r>
      <w:r w:rsidR="00FF29A6" w:rsidRPr="00EB08A6">
        <w:rPr>
          <w:color w:val="000000"/>
          <w:szCs w:val="26"/>
        </w:rPr>
        <w:t xml:space="preserve">.  </w:t>
      </w:r>
      <w:r w:rsidR="00993BE2" w:rsidRPr="00EB08A6">
        <w:rPr>
          <w:color w:val="000000"/>
          <w:szCs w:val="26"/>
        </w:rPr>
        <w:t xml:space="preserve">Section 21168.5 </w:t>
      </w:r>
      <w:r w:rsidR="00A1229C" w:rsidRPr="00EB08A6">
        <w:rPr>
          <w:color w:val="000000"/>
          <w:szCs w:val="26"/>
        </w:rPr>
        <w:t xml:space="preserve">states </w:t>
      </w:r>
      <w:r w:rsidR="00993BE2" w:rsidRPr="00EB08A6">
        <w:rPr>
          <w:color w:val="000000"/>
          <w:szCs w:val="26"/>
        </w:rPr>
        <w:t>in part:  “In any action or proceeding . . . to attack, review, set aside, void or annul a determination, finding, or decision of a public agency on the grounds of noncompliance with this division, the inquiry shall extend only to whether there was a prejudicial abuse of discretion.</w:t>
      </w:r>
      <w:r w:rsidR="00EE5704" w:rsidRPr="00EB08A6">
        <w:rPr>
          <w:color w:val="000000"/>
          <w:szCs w:val="26"/>
        </w:rPr>
        <w:t>”</w:t>
      </w:r>
      <w:r w:rsidR="00993BE2" w:rsidRPr="00EB08A6">
        <w:rPr>
          <w:color w:val="000000"/>
          <w:szCs w:val="26"/>
        </w:rPr>
        <w:t xml:space="preserve">  (See § 21005</w:t>
      </w:r>
      <w:r w:rsidR="00EE5704" w:rsidRPr="00EB08A6">
        <w:rPr>
          <w:color w:val="000000"/>
          <w:szCs w:val="26"/>
        </w:rPr>
        <w:t>, subd. (a)</w:t>
      </w:r>
      <w:r w:rsidR="00993BE2" w:rsidRPr="00EB08A6">
        <w:rPr>
          <w:color w:val="000000"/>
          <w:szCs w:val="26"/>
        </w:rPr>
        <w:t xml:space="preserve"> [noncompliance with information disclosure requirements may “constitute a</w:t>
      </w:r>
      <w:r w:rsidR="00EE5704" w:rsidRPr="00EB08A6">
        <w:rPr>
          <w:color w:val="000000"/>
          <w:szCs w:val="26"/>
        </w:rPr>
        <w:t xml:space="preserve"> prejudicial</w:t>
      </w:r>
      <w:r w:rsidR="00993BE2" w:rsidRPr="00EB08A6">
        <w:rPr>
          <w:color w:val="000000"/>
          <w:szCs w:val="26"/>
        </w:rPr>
        <w:t xml:space="preserve"> abuse of discretion”].)  </w:t>
      </w:r>
      <w:r w:rsidR="00E72B9D" w:rsidRPr="00EB08A6">
        <w:rPr>
          <w:color w:val="000000"/>
          <w:szCs w:val="26"/>
        </w:rPr>
        <w:t xml:space="preserve">Our decisions have </w:t>
      </w:r>
      <w:r w:rsidR="00086F9A" w:rsidRPr="00EB08A6">
        <w:rPr>
          <w:color w:val="000000"/>
          <w:szCs w:val="26"/>
        </w:rPr>
        <w:t xml:space="preserve">thus articulated a procedural issues/factual issues dichotomy. </w:t>
      </w:r>
      <w:r w:rsidR="00042DBA" w:rsidRPr="00EB08A6">
        <w:rPr>
          <w:color w:val="000000"/>
          <w:szCs w:val="26"/>
        </w:rPr>
        <w:t xml:space="preserve"> </w:t>
      </w:r>
      <w:r w:rsidR="00FB2160" w:rsidRPr="00EB08A6">
        <w:t>“</w:t>
      </w:r>
      <w:r w:rsidR="0009156F" w:rsidRPr="00EB08A6">
        <w:t>[</w:t>
      </w:r>
      <w:r w:rsidR="00FB2160" w:rsidRPr="00EB08A6">
        <w:t>A</w:t>
      </w:r>
      <w:r w:rsidR="0009156F" w:rsidRPr="00EB08A6">
        <w:t>]</w:t>
      </w:r>
      <w:r w:rsidR="00FB2160" w:rsidRPr="00EB08A6">
        <w:t xml:space="preserve">n agency may abuse its discretion under CEQA either by failing to proceed in the manner CEQA provides or by reaching factual conclusions unsupported by substantial evidence. (§ 21168.5.)  Judicial review of these two types of error differs significantly:  </w:t>
      </w:r>
      <w:r w:rsidR="002B224C" w:rsidRPr="00EB08A6">
        <w:t>W</w:t>
      </w:r>
      <w:r w:rsidR="00FB2160" w:rsidRPr="00EB08A6">
        <w:t xml:space="preserve">hile we determine de novo whether the agency has employed the correct procedures, ‘scrupulously </w:t>
      </w:r>
      <w:proofErr w:type="spellStart"/>
      <w:r w:rsidR="00FB2160" w:rsidRPr="00EB08A6">
        <w:t>enforc</w:t>
      </w:r>
      <w:proofErr w:type="spellEnd"/>
      <w:r w:rsidR="00FB2160" w:rsidRPr="00EB08A6">
        <w:t>[</w:t>
      </w:r>
      <w:proofErr w:type="spellStart"/>
      <w:r w:rsidR="00FB2160" w:rsidRPr="00EB08A6">
        <w:t>ing</w:t>
      </w:r>
      <w:proofErr w:type="spellEnd"/>
      <w:r w:rsidR="00FB2160" w:rsidRPr="00EB08A6">
        <w:t>] all legislatively mandated CEQA requirements</w:t>
      </w:r>
      <w:r w:rsidR="0009156F" w:rsidRPr="00EB08A6">
        <w:t>’</w:t>
      </w:r>
      <w:r w:rsidR="00FB2160" w:rsidRPr="00EB08A6">
        <w:t xml:space="preserve"> (</w:t>
      </w:r>
      <w:r w:rsidR="00FB2160" w:rsidRPr="00EB08A6">
        <w:rPr>
          <w:i/>
        </w:rPr>
        <w:t>Citizens of Goleta Valley v</w:t>
      </w:r>
      <w:r w:rsidR="00B03A49" w:rsidRPr="00EB08A6">
        <w:t>.</w:t>
      </w:r>
      <w:r w:rsidR="00FB2160" w:rsidRPr="00EB08A6">
        <w:rPr>
          <w:i/>
        </w:rPr>
        <w:t xml:space="preserve"> Board of Supervisors</w:t>
      </w:r>
      <w:r w:rsidR="00FB2160" w:rsidRPr="00EB08A6">
        <w:t xml:space="preserve"> (1990) 52 Cal.3d 553, 564</w:t>
      </w:r>
      <w:r w:rsidR="00501744" w:rsidRPr="00EB08A6">
        <w:t xml:space="preserve"> [276 </w:t>
      </w:r>
      <w:proofErr w:type="spellStart"/>
      <w:r w:rsidR="00501744" w:rsidRPr="00EB08A6">
        <w:t>Cal.Rptr</w:t>
      </w:r>
      <w:proofErr w:type="spellEnd"/>
      <w:r w:rsidR="00501744" w:rsidRPr="00EB08A6">
        <w:t>. 410, 801 P.2d 1161]</w:t>
      </w:r>
      <w:r w:rsidR="00B722A4" w:rsidRPr="00EB08A6">
        <w:t>)</w:t>
      </w:r>
      <w:r w:rsidR="00FB2160" w:rsidRPr="00EB08A6">
        <w:t xml:space="preserve">, we accord greater deference to the agency’s substantive factual conclusions.  In reviewing for substantial evidence, the reviewing court ‘may not set aside an agency’s approval of an EIR on the ground that an opposite conclusion would have been equally or more reasonable,’ for, on factual questions, our task </w:t>
      </w:r>
      <w:r w:rsidR="00501744" w:rsidRPr="00EB08A6">
        <w:t>i</w:t>
      </w:r>
      <w:r w:rsidR="00FB2160" w:rsidRPr="00EB08A6">
        <w:t xml:space="preserve">s </w:t>
      </w:r>
      <w:r w:rsidR="00501744" w:rsidRPr="00EB08A6">
        <w:t>‘</w:t>
      </w:r>
      <w:r w:rsidR="00FB2160" w:rsidRPr="00EB08A6">
        <w:t>not to weigh conflicting evidence and determine who has the better argument.’  (</w:t>
      </w:r>
      <w:r w:rsidR="00FB2160" w:rsidRPr="00EB08A6">
        <w:rPr>
          <w:i/>
        </w:rPr>
        <w:t>Laurel Heights I</w:t>
      </w:r>
      <w:r w:rsidR="00FB2160" w:rsidRPr="00EB08A6">
        <w:t xml:space="preserve">, </w:t>
      </w:r>
      <w:r w:rsidR="00FB2160" w:rsidRPr="00EB08A6">
        <w:rPr>
          <w:i/>
        </w:rPr>
        <w:t>supra</w:t>
      </w:r>
      <w:r w:rsidR="00FB2160" w:rsidRPr="00EB08A6">
        <w:t>, 47 Cal.3d at p. 393.)”  (</w:t>
      </w:r>
      <w:r w:rsidR="00FB2160" w:rsidRPr="00EB08A6">
        <w:rPr>
          <w:i/>
        </w:rPr>
        <w:t>Vineyard Area Citizens for Responsible Growth</w:t>
      </w:r>
      <w:r w:rsidR="00B03A49" w:rsidRPr="00EB08A6">
        <w:t>,</w:t>
      </w:r>
      <w:r w:rsidR="00FB2160" w:rsidRPr="00EB08A6">
        <w:rPr>
          <w:i/>
        </w:rPr>
        <w:t xml:space="preserve"> Inc</w:t>
      </w:r>
      <w:r w:rsidR="00B03A49" w:rsidRPr="00EB08A6">
        <w:t>.</w:t>
      </w:r>
      <w:r w:rsidR="00FB2160" w:rsidRPr="00EB08A6">
        <w:rPr>
          <w:i/>
        </w:rPr>
        <w:t xml:space="preserve"> v</w:t>
      </w:r>
      <w:r w:rsidR="00B03A49" w:rsidRPr="00EB08A6">
        <w:t>.</w:t>
      </w:r>
      <w:r w:rsidR="00FB2160" w:rsidRPr="00EB08A6">
        <w:rPr>
          <w:i/>
        </w:rPr>
        <w:t xml:space="preserve"> City of Rancho Cordova</w:t>
      </w:r>
      <w:r w:rsidR="00FB2160" w:rsidRPr="00EB08A6">
        <w:t xml:space="preserve"> (2007) 40 Cal.4th 412, 435</w:t>
      </w:r>
      <w:r w:rsidR="0009156F" w:rsidRPr="00EB08A6">
        <w:t xml:space="preserve"> (</w:t>
      </w:r>
      <w:r w:rsidR="0009156F" w:rsidRPr="00EB08A6">
        <w:rPr>
          <w:i/>
        </w:rPr>
        <w:t>Vineyard</w:t>
      </w:r>
      <w:r w:rsidR="0009156F" w:rsidRPr="00EB08A6">
        <w:t>)</w:t>
      </w:r>
      <w:r w:rsidR="00320D77" w:rsidRPr="00EB08A6">
        <w:t xml:space="preserve">.)  </w:t>
      </w:r>
    </w:p>
    <w:p w:rsidR="009D42D9" w:rsidRPr="00EB08A6" w:rsidRDefault="009D42D9" w:rsidP="009E0DE1">
      <w:pPr>
        <w:ind w:firstLine="720"/>
      </w:pPr>
      <w:r w:rsidRPr="00EB08A6">
        <w:t xml:space="preserve">This </w:t>
      </w:r>
      <w:r w:rsidR="00086F9A" w:rsidRPr="00EB08A6">
        <w:t xml:space="preserve">distinction between de novo review and substantial evidence review has worked well in judicial review of agency determinations.  </w:t>
      </w:r>
      <w:r w:rsidRPr="00EB08A6">
        <w:t xml:space="preserve">In most cases, the question whether an agency has followed proper procedures will have a clear answer.  Did the agency provide sufficient notice and opportunity to comment on a draft EIR?  </w:t>
      </w:r>
      <w:r w:rsidR="007E4332" w:rsidRPr="00EB08A6">
        <w:t>(§ </w:t>
      </w:r>
      <w:r w:rsidR="00336578" w:rsidRPr="00EB08A6">
        <w:t xml:space="preserve">21092; Guidelines, § 15087.)  </w:t>
      </w:r>
      <w:r w:rsidRPr="00EB08A6">
        <w:t xml:space="preserve">Did the agency omit the required discussion of alternatives?  </w:t>
      </w:r>
      <w:r w:rsidR="00336578" w:rsidRPr="00EB08A6">
        <w:t xml:space="preserve">(Guidelines, § 15126.6.)  </w:t>
      </w:r>
      <w:r w:rsidR="007D3830" w:rsidRPr="00EB08A6">
        <w:t xml:space="preserve">As to these </w:t>
      </w:r>
      <w:r w:rsidR="000442FE" w:rsidRPr="00EB08A6">
        <w:t xml:space="preserve">legal </w:t>
      </w:r>
      <w:r w:rsidR="007D3830" w:rsidRPr="00EB08A6">
        <w:t xml:space="preserve">requirements, </w:t>
      </w:r>
      <w:r w:rsidRPr="00EB08A6">
        <w:t xml:space="preserve">the agency has no discretion, and </w:t>
      </w:r>
      <w:r w:rsidR="00086F9A" w:rsidRPr="00EB08A6">
        <w:t>courts will invalidate an EIR that fails to meet them.</w:t>
      </w:r>
      <w:r w:rsidRPr="00EB08A6">
        <w:t xml:space="preserve"> </w:t>
      </w:r>
      <w:r w:rsidR="00086F9A" w:rsidRPr="00EB08A6">
        <w:t xml:space="preserve"> </w:t>
      </w:r>
      <w:r w:rsidRPr="00EB08A6">
        <w:t xml:space="preserve">In that sense, </w:t>
      </w:r>
      <w:r w:rsidR="000442FE" w:rsidRPr="00EB08A6">
        <w:t xml:space="preserve">judicial </w:t>
      </w:r>
      <w:r w:rsidRPr="00EB08A6">
        <w:t>review is de novo.</w:t>
      </w:r>
    </w:p>
    <w:p w:rsidR="009D42D9" w:rsidRPr="00EB08A6" w:rsidRDefault="001C2F03" w:rsidP="009E0DE1">
      <w:pPr>
        <w:ind w:firstLine="720"/>
      </w:pPr>
      <w:r w:rsidRPr="00EB08A6">
        <w:t xml:space="preserve">But the question </w:t>
      </w:r>
      <w:r w:rsidR="009D42D9" w:rsidRPr="00EB08A6">
        <w:t>whether an agency has followed proper procedure</w:t>
      </w:r>
      <w:r w:rsidR="00501744" w:rsidRPr="00EB08A6">
        <w:t>s</w:t>
      </w:r>
      <w:r w:rsidR="009D42D9" w:rsidRPr="00EB08A6">
        <w:t xml:space="preserve"> is not always so </w:t>
      </w:r>
      <w:r w:rsidRPr="00EB08A6">
        <w:t>clear</w:t>
      </w:r>
      <w:r w:rsidR="009D42D9" w:rsidRPr="00EB08A6">
        <w:t xml:space="preserve">.  This is especially so when the issue is whether </w:t>
      </w:r>
      <w:r w:rsidR="00501744" w:rsidRPr="00EB08A6">
        <w:t xml:space="preserve">an </w:t>
      </w:r>
      <w:r w:rsidR="006B0981" w:rsidRPr="00EB08A6">
        <w:t xml:space="preserve">EIR’s </w:t>
      </w:r>
      <w:r w:rsidR="009D42D9" w:rsidRPr="00EB08A6">
        <w:t xml:space="preserve">discussion of environmental </w:t>
      </w:r>
      <w:r w:rsidR="000442FE" w:rsidRPr="00EB08A6">
        <w:t xml:space="preserve">impacts </w:t>
      </w:r>
      <w:r w:rsidR="009D42D9" w:rsidRPr="00EB08A6">
        <w:t>is adequate</w:t>
      </w:r>
      <w:r w:rsidR="00B44860" w:rsidRPr="00EB08A6">
        <w:t xml:space="preserve">, that is, </w:t>
      </w:r>
      <w:r w:rsidR="009D42D9" w:rsidRPr="00EB08A6">
        <w:t xml:space="preserve">whether the discussion sufficiently performs the function of </w:t>
      </w:r>
      <w:r w:rsidR="00CE2BA3">
        <w:t>facilitating</w:t>
      </w:r>
      <w:r w:rsidR="009857FB" w:rsidRPr="00EB08A6">
        <w:t xml:space="preserve"> </w:t>
      </w:r>
      <w:r w:rsidR="006B0981" w:rsidRPr="00EB08A6">
        <w:t>“</w:t>
      </w:r>
      <w:r w:rsidR="009D42D9" w:rsidRPr="00EB08A6">
        <w:t>inform</w:t>
      </w:r>
      <w:r w:rsidR="006B0981" w:rsidRPr="00EB08A6">
        <w:t xml:space="preserve">ed agency </w:t>
      </w:r>
      <w:proofErr w:type="spellStart"/>
      <w:r w:rsidR="006B0981" w:rsidRPr="00EB08A6">
        <w:t>decisionmaking</w:t>
      </w:r>
      <w:proofErr w:type="spellEnd"/>
      <w:r w:rsidR="006B0981" w:rsidRPr="00EB08A6">
        <w:t xml:space="preserve"> and </w:t>
      </w:r>
      <w:r w:rsidR="0009156F" w:rsidRPr="00EB08A6">
        <w:t xml:space="preserve">informed </w:t>
      </w:r>
      <w:r w:rsidR="006B0981" w:rsidRPr="00EB08A6">
        <w:t>pub</w:t>
      </w:r>
      <w:r w:rsidR="00684DFF" w:rsidRPr="00EB08A6">
        <w:t xml:space="preserve">lic </w:t>
      </w:r>
      <w:r w:rsidR="006B0981" w:rsidRPr="00EB08A6">
        <w:t>participation.”  (</w:t>
      </w:r>
      <w:r w:rsidR="00297DF5" w:rsidRPr="00EB08A6">
        <w:rPr>
          <w:i/>
        </w:rPr>
        <w:t>California Native Plant Society v</w:t>
      </w:r>
      <w:r w:rsidR="00B03A49" w:rsidRPr="00EB08A6">
        <w:t>.</w:t>
      </w:r>
      <w:r w:rsidR="00297DF5" w:rsidRPr="00EB08A6">
        <w:rPr>
          <w:i/>
        </w:rPr>
        <w:t xml:space="preserve"> City of Santa Cruz</w:t>
      </w:r>
      <w:r w:rsidR="00297DF5" w:rsidRPr="00EB08A6">
        <w:t xml:space="preserve"> (2009) 177 Cal.App.4th </w:t>
      </w:r>
      <w:r w:rsidR="009B5FC2" w:rsidRPr="00EB08A6">
        <w:t xml:space="preserve">957, 988 [relying on </w:t>
      </w:r>
      <w:r w:rsidR="009B5FC2" w:rsidRPr="00EB08A6">
        <w:rPr>
          <w:i/>
        </w:rPr>
        <w:t>Laurel Heights</w:t>
      </w:r>
      <w:r w:rsidR="00DE3B81" w:rsidRPr="00EB08A6">
        <w:rPr>
          <w:i/>
        </w:rPr>
        <w:t xml:space="preserve"> I</w:t>
      </w:r>
      <w:r w:rsidR="00B03A49" w:rsidRPr="00EB08A6">
        <w:t>,</w:t>
      </w:r>
      <w:r w:rsidR="009B5FC2" w:rsidRPr="00EB08A6">
        <w:rPr>
          <w:i/>
        </w:rPr>
        <w:t xml:space="preserve"> supra</w:t>
      </w:r>
      <w:r w:rsidR="009B5FC2" w:rsidRPr="00EB08A6">
        <w:t xml:space="preserve">, 47 Cal.3d at </w:t>
      </w:r>
      <w:r w:rsidR="003B44DC" w:rsidRPr="00EB08A6">
        <w:t>p</w:t>
      </w:r>
      <w:r w:rsidR="009B5FC2" w:rsidRPr="00EB08A6">
        <w:t xml:space="preserve">p. </w:t>
      </w:r>
      <w:r w:rsidR="003B44DC" w:rsidRPr="00EB08A6">
        <w:t xml:space="preserve">404-405].)  </w:t>
      </w:r>
      <w:r w:rsidR="009D42D9" w:rsidRPr="00EB08A6">
        <w:t xml:space="preserve">The review of such claims does not fit neatly within the </w:t>
      </w:r>
      <w:r w:rsidR="0076361A" w:rsidRPr="00EB08A6">
        <w:t xml:space="preserve">procedural/factual </w:t>
      </w:r>
      <w:r w:rsidR="00086F9A" w:rsidRPr="00EB08A6">
        <w:t>paradigm</w:t>
      </w:r>
      <w:r w:rsidR="009D42D9" w:rsidRPr="00EB08A6">
        <w:t>.</w:t>
      </w:r>
    </w:p>
    <w:p w:rsidR="009D42D9" w:rsidRPr="00EB08A6" w:rsidRDefault="0076361A" w:rsidP="009E0DE1">
      <w:pPr>
        <w:ind w:firstLine="720"/>
        <w:rPr>
          <w:szCs w:val="26"/>
        </w:rPr>
      </w:pPr>
      <w:r w:rsidRPr="00EB08A6">
        <w:rPr>
          <w:szCs w:val="26"/>
        </w:rPr>
        <w:t xml:space="preserve">This court’s decision in </w:t>
      </w:r>
      <w:r w:rsidR="00367429" w:rsidRPr="00EB08A6">
        <w:rPr>
          <w:i/>
          <w:szCs w:val="26"/>
        </w:rPr>
        <w:t>Laurel Heights I</w:t>
      </w:r>
      <w:r w:rsidR="00367429" w:rsidRPr="00EB08A6">
        <w:rPr>
          <w:szCs w:val="26"/>
        </w:rPr>
        <w:t xml:space="preserve"> illustrates how </w:t>
      </w:r>
      <w:r w:rsidR="009D42D9" w:rsidRPr="00EB08A6">
        <w:rPr>
          <w:szCs w:val="26"/>
        </w:rPr>
        <w:t xml:space="preserve">a court should </w:t>
      </w:r>
      <w:r w:rsidR="00367429" w:rsidRPr="00EB08A6">
        <w:rPr>
          <w:szCs w:val="26"/>
        </w:rPr>
        <w:t xml:space="preserve">assess </w:t>
      </w:r>
      <w:r w:rsidR="009D42D9" w:rsidRPr="00EB08A6">
        <w:rPr>
          <w:szCs w:val="26"/>
        </w:rPr>
        <w:t xml:space="preserve">a </w:t>
      </w:r>
      <w:r w:rsidR="00367429" w:rsidRPr="00EB08A6">
        <w:rPr>
          <w:szCs w:val="26"/>
        </w:rPr>
        <w:t xml:space="preserve">claim of inadequate discussion.  </w:t>
      </w:r>
      <w:r w:rsidR="0076755F" w:rsidRPr="00EB08A6">
        <w:rPr>
          <w:szCs w:val="26"/>
        </w:rPr>
        <w:t xml:space="preserve">The case </w:t>
      </w:r>
      <w:r w:rsidR="009E33F9" w:rsidRPr="00EB08A6">
        <w:rPr>
          <w:szCs w:val="26"/>
        </w:rPr>
        <w:t xml:space="preserve">involved a challenge to </w:t>
      </w:r>
      <w:r w:rsidR="008F5E93" w:rsidRPr="00EB08A6">
        <w:rPr>
          <w:szCs w:val="26"/>
        </w:rPr>
        <w:t xml:space="preserve">an EIR’s </w:t>
      </w:r>
      <w:r w:rsidR="009D42D9" w:rsidRPr="00EB08A6">
        <w:rPr>
          <w:szCs w:val="26"/>
        </w:rPr>
        <w:t xml:space="preserve">discussion of alternatives to the proposed construction of the </w:t>
      </w:r>
      <w:r w:rsidR="008F5E93" w:rsidRPr="00EB08A6">
        <w:rPr>
          <w:szCs w:val="26"/>
        </w:rPr>
        <w:t>University of California</w:t>
      </w:r>
      <w:r w:rsidR="006D638B" w:rsidRPr="00EB08A6">
        <w:rPr>
          <w:szCs w:val="26"/>
        </w:rPr>
        <w:t>,</w:t>
      </w:r>
      <w:r w:rsidR="008F5E93" w:rsidRPr="00EB08A6">
        <w:rPr>
          <w:szCs w:val="26"/>
        </w:rPr>
        <w:t xml:space="preserve"> San Francisco’s </w:t>
      </w:r>
      <w:r w:rsidR="006D638B" w:rsidRPr="00EB08A6">
        <w:rPr>
          <w:szCs w:val="26"/>
        </w:rPr>
        <w:t xml:space="preserve">(UCSF) </w:t>
      </w:r>
      <w:r w:rsidR="009D42D9" w:rsidRPr="00EB08A6">
        <w:rPr>
          <w:szCs w:val="26"/>
        </w:rPr>
        <w:t>Laurel Heights campus.  Th</w:t>
      </w:r>
      <w:r w:rsidR="008023D7" w:rsidRPr="00EB08A6">
        <w:rPr>
          <w:szCs w:val="26"/>
        </w:rPr>
        <w:t xml:space="preserve">is </w:t>
      </w:r>
      <w:r w:rsidR="009D42D9" w:rsidRPr="00EB08A6">
        <w:rPr>
          <w:szCs w:val="26"/>
        </w:rPr>
        <w:t xml:space="preserve">court concluded </w:t>
      </w:r>
      <w:r w:rsidR="008023D7" w:rsidRPr="00EB08A6">
        <w:rPr>
          <w:szCs w:val="26"/>
        </w:rPr>
        <w:t xml:space="preserve">that </w:t>
      </w:r>
      <w:r w:rsidR="009D42D9" w:rsidRPr="00EB08A6">
        <w:rPr>
          <w:szCs w:val="26"/>
        </w:rPr>
        <w:t>the discussion was inadequate:  “UCSF’s treatment of alternatives was cursory at best.  The draft EIR identified three types of alternatives:  no project anywhere, alternative sites on the UCSF Parnassus campus, and alternative sites off-campus.  The three categories received a scant one and one-half pages of text in an EIR of more than 250 pages.  The EIR stated the obvious conclusion that the ‘no project’ alternative, i.e., no relocation to Laurel Heights, would not have the environmental effects identified in the EIR.  It then stated in a mere two-sentence paragraph that ‘</w:t>
      </w:r>
      <w:r w:rsidR="006D638B" w:rsidRPr="00EB08A6">
        <w:rPr>
          <w:szCs w:val="26"/>
        </w:rPr>
        <w:t>. . . </w:t>
      </w:r>
      <w:r w:rsidR="009D42D9" w:rsidRPr="00EB08A6">
        <w:rPr>
          <w:szCs w:val="26"/>
        </w:rPr>
        <w:t>no alternative sites on [the Parnassus] campus were evaluated as possible candidates for the location of the basic science units of the School of Pharmacy.’  This is not a sufficient discussion of on-campus alternatives; it is merely an admission that such alternatives were not considered.”  (</w:t>
      </w:r>
      <w:r w:rsidR="009D42D9" w:rsidRPr="00EB08A6">
        <w:rPr>
          <w:i/>
          <w:szCs w:val="26"/>
        </w:rPr>
        <w:t>Laurel Heights</w:t>
      </w:r>
      <w:r w:rsidR="00534674" w:rsidRPr="00EB08A6">
        <w:rPr>
          <w:i/>
          <w:szCs w:val="26"/>
        </w:rPr>
        <w:t xml:space="preserve"> I</w:t>
      </w:r>
      <w:r w:rsidR="009D42D9" w:rsidRPr="00EB08A6">
        <w:rPr>
          <w:szCs w:val="26"/>
        </w:rPr>
        <w:t xml:space="preserve">, </w:t>
      </w:r>
      <w:r w:rsidR="009D42D9" w:rsidRPr="00EB08A6">
        <w:rPr>
          <w:i/>
          <w:szCs w:val="26"/>
        </w:rPr>
        <w:t>supra</w:t>
      </w:r>
      <w:r w:rsidR="009D42D9" w:rsidRPr="00EB08A6">
        <w:rPr>
          <w:szCs w:val="26"/>
        </w:rPr>
        <w:t>, 47 Cal.3d at p. 403.)</w:t>
      </w:r>
    </w:p>
    <w:p w:rsidR="009D42D9" w:rsidRPr="00EB08A6" w:rsidRDefault="009D42D9" w:rsidP="009E0DE1">
      <w:pPr>
        <w:ind w:firstLine="720"/>
        <w:rPr>
          <w:szCs w:val="26"/>
        </w:rPr>
      </w:pPr>
      <w:r w:rsidRPr="00EB08A6">
        <w:rPr>
          <w:i/>
          <w:szCs w:val="26"/>
        </w:rPr>
        <w:t>Laurel Heights</w:t>
      </w:r>
      <w:r w:rsidR="004028FB" w:rsidRPr="00EB08A6">
        <w:rPr>
          <w:i/>
          <w:szCs w:val="26"/>
        </w:rPr>
        <w:t xml:space="preserve"> I</w:t>
      </w:r>
      <w:r w:rsidRPr="00EB08A6">
        <w:rPr>
          <w:szCs w:val="26"/>
        </w:rPr>
        <w:t xml:space="preserve"> continued: </w:t>
      </w:r>
      <w:r w:rsidR="00CE2BA3">
        <w:rPr>
          <w:szCs w:val="26"/>
        </w:rPr>
        <w:t xml:space="preserve"> </w:t>
      </w:r>
      <w:r w:rsidRPr="00EB08A6">
        <w:rPr>
          <w:szCs w:val="26"/>
        </w:rPr>
        <w:t>“Even if the Regents are correct in their conclusion that there are no feasible alternatives to the Laurel Heights site, the EIR is nonetheless defective under CEQA.  As we stated in a context similar to CEQA, there must be a disclosure of the ‘analytic route the . . . agency traveled from evidence to action.’  (</w:t>
      </w:r>
      <w:r w:rsidRPr="00EB08A6">
        <w:rPr>
          <w:i/>
          <w:szCs w:val="26"/>
        </w:rPr>
        <w:t>Topanga Assn</w:t>
      </w:r>
      <w:r w:rsidR="00B03A49" w:rsidRPr="00EB08A6">
        <w:rPr>
          <w:szCs w:val="26"/>
        </w:rPr>
        <w:t>.</w:t>
      </w:r>
      <w:r w:rsidRPr="00EB08A6">
        <w:rPr>
          <w:i/>
          <w:szCs w:val="26"/>
        </w:rPr>
        <w:t xml:space="preserve"> for a Scenic Community v</w:t>
      </w:r>
      <w:r w:rsidR="00B03A49" w:rsidRPr="00EB08A6">
        <w:rPr>
          <w:szCs w:val="26"/>
        </w:rPr>
        <w:t>.</w:t>
      </w:r>
      <w:r w:rsidRPr="00EB08A6">
        <w:rPr>
          <w:i/>
          <w:szCs w:val="26"/>
        </w:rPr>
        <w:t xml:space="preserve"> County of Los Angeles</w:t>
      </w:r>
      <w:r w:rsidR="0009156F" w:rsidRPr="00EB08A6">
        <w:rPr>
          <w:i/>
          <w:szCs w:val="26"/>
        </w:rPr>
        <w:t xml:space="preserve"> </w:t>
      </w:r>
      <w:r w:rsidR="0009156F" w:rsidRPr="00EB08A6">
        <w:rPr>
          <w:szCs w:val="26"/>
        </w:rPr>
        <w:t xml:space="preserve">(1974) </w:t>
      </w:r>
      <w:r w:rsidRPr="00EB08A6">
        <w:rPr>
          <w:szCs w:val="26"/>
        </w:rPr>
        <w:t>11 Cal.3d 506, 515 [construing requirements of Gov. Code, § 65906 for zoning variances]</w:t>
      </w:r>
      <w:r w:rsidR="00FF0CC1" w:rsidRPr="00EB08A6">
        <w:rPr>
          <w:szCs w:val="26"/>
        </w:rPr>
        <w:t>; [citation]</w:t>
      </w:r>
      <w:r w:rsidR="00CB3087" w:rsidRPr="00EB08A6">
        <w:rPr>
          <w:szCs w:val="26"/>
        </w:rPr>
        <w:t>.)</w:t>
      </w:r>
      <w:r w:rsidRPr="00EB08A6">
        <w:rPr>
          <w:szCs w:val="26"/>
        </w:rPr>
        <w:t xml:space="preserve">  The EIR prepared by UCSF contains no analysis of any alternative locations.  An EIR’s discussion of alternatives must contain analysis sufficient to allow informed decision making.  (</w:t>
      </w:r>
      <w:r w:rsidRPr="00EB08A6">
        <w:rPr>
          <w:i/>
          <w:szCs w:val="26"/>
        </w:rPr>
        <w:t>San Bernardino Valley Audubon Society</w:t>
      </w:r>
      <w:r w:rsidR="00B03A49" w:rsidRPr="00EB08A6">
        <w:rPr>
          <w:szCs w:val="26"/>
        </w:rPr>
        <w:t>,</w:t>
      </w:r>
      <w:r w:rsidRPr="00EB08A6">
        <w:rPr>
          <w:i/>
          <w:szCs w:val="26"/>
        </w:rPr>
        <w:t xml:space="preserve"> Inc</w:t>
      </w:r>
      <w:r w:rsidR="00B03A49" w:rsidRPr="00EB08A6">
        <w:rPr>
          <w:szCs w:val="26"/>
        </w:rPr>
        <w:t>.</w:t>
      </w:r>
      <w:r w:rsidRPr="00EB08A6">
        <w:rPr>
          <w:i/>
          <w:szCs w:val="26"/>
        </w:rPr>
        <w:t xml:space="preserve"> v</w:t>
      </w:r>
      <w:r w:rsidR="00B03A49" w:rsidRPr="00EB08A6">
        <w:rPr>
          <w:szCs w:val="26"/>
        </w:rPr>
        <w:t>.</w:t>
      </w:r>
      <w:r w:rsidRPr="00EB08A6">
        <w:rPr>
          <w:i/>
          <w:szCs w:val="26"/>
        </w:rPr>
        <w:t xml:space="preserve"> County of San Bernardino</w:t>
      </w:r>
      <w:r w:rsidRPr="00EB08A6">
        <w:rPr>
          <w:szCs w:val="26"/>
        </w:rPr>
        <w:t xml:space="preserve"> (1984) 155 Cal.App.3d 738, 751</w:t>
      </w:r>
      <w:r w:rsidR="00FF0CC1" w:rsidRPr="00EB08A6">
        <w:rPr>
          <w:szCs w:val="26"/>
        </w:rPr>
        <w:t xml:space="preserve"> [202 </w:t>
      </w:r>
      <w:proofErr w:type="spellStart"/>
      <w:r w:rsidR="00FF0CC1" w:rsidRPr="00EB08A6">
        <w:rPr>
          <w:szCs w:val="26"/>
        </w:rPr>
        <w:t>Cal.Rptr</w:t>
      </w:r>
      <w:proofErr w:type="spellEnd"/>
      <w:r w:rsidR="00FF0CC1" w:rsidRPr="00EB08A6">
        <w:rPr>
          <w:szCs w:val="26"/>
        </w:rPr>
        <w:t>. 423]</w:t>
      </w:r>
      <w:r w:rsidRPr="00EB08A6">
        <w:rPr>
          <w:szCs w:val="26"/>
        </w:rPr>
        <w:t>.)”  (</w:t>
      </w:r>
      <w:r w:rsidRPr="00EB08A6">
        <w:rPr>
          <w:i/>
          <w:szCs w:val="26"/>
        </w:rPr>
        <w:t>Laurel Heights</w:t>
      </w:r>
      <w:r w:rsidR="00CA3DF0" w:rsidRPr="00EB08A6">
        <w:rPr>
          <w:i/>
          <w:szCs w:val="26"/>
        </w:rPr>
        <w:t xml:space="preserve"> I</w:t>
      </w:r>
      <w:r w:rsidRPr="00EB08A6">
        <w:rPr>
          <w:szCs w:val="26"/>
        </w:rPr>
        <w:t xml:space="preserve">, </w:t>
      </w:r>
      <w:r w:rsidRPr="00EB08A6">
        <w:rPr>
          <w:i/>
          <w:szCs w:val="26"/>
        </w:rPr>
        <w:t>supra</w:t>
      </w:r>
      <w:r w:rsidRPr="00EB08A6">
        <w:rPr>
          <w:szCs w:val="26"/>
        </w:rPr>
        <w:t>, 47 Cal.3d at p. 404.)</w:t>
      </w:r>
    </w:p>
    <w:p w:rsidR="009D42D9" w:rsidRPr="00EB08A6" w:rsidRDefault="00FC03F4" w:rsidP="009E0DE1">
      <w:pPr>
        <w:ind w:firstLine="720"/>
        <w:rPr>
          <w:szCs w:val="26"/>
        </w:rPr>
      </w:pPr>
      <w:r w:rsidRPr="00EB08A6">
        <w:rPr>
          <w:szCs w:val="26"/>
        </w:rPr>
        <w:t xml:space="preserve">In </w:t>
      </w:r>
      <w:r w:rsidRPr="00EB08A6">
        <w:rPr>
          <w:i/>
          <w:szCs w:val="26"/>
        </w:rPr>
        <w:t>Laurel Heights</w:t>
      </w:r>
      <w:r w:rsidR="00FF0CC1" w:rsidRPr="00EB08A6">
        <w:rPr>
          <w:szCs w:val="26"/>
        </w:rPr>
        <w:t xml:space="preserve"> </w:t>
      </w:r>
      <w:r w:rsidR="00FF0CC1" w:rsidRPr="00EB08A6">
        <w:rPr>
          <w:i/>
          <w:szCs w:val="26"/>
        </w:rPr>
        <w:t>I</w:t>
      </w:r>
      <w:r w:rsidRPr="00EB08A6">
        <w:rPr>
          <w:szCs w:val="26"/>
        </w:rPr>
        <w:t xml:space="preserve"> this court was clear that its inquiry was not a matter of reviewing the record for substantial evidence</w:t>
      </w:r>
      <w:r w:rsidR="00086F9A" w:rsidRPr="00EB08A6">
        <w:rPr>
          <w:szCs w:val="26"/>
        </w:rPr>
        <w:t>:</w:t>
      </w:r>
      <w:r w:rsidR="009D42D9" w:rsidRPr="00EB08A6">
        <w:rPr>
          <w:szCs w:val="26"/>
        </w:rPr>
        <w:t xml:space="preserve">  “The Regents also contend the </w:t>
      </w:r>
      <w:r w:rsidR="00D839A6" w:rsidRPr="00EB08A6">
        <w:rPr>
          <w:szCs w:val="26"/>
        </w:rPr>
        <w:t xml:space="preserve">[project opponents] </w:t>
      </w:r>
      <w:r w:rsidR="009D42D9" w:rsidRPr="00EB08A6">
        <w:rPr>
          <w:szCs w:val="26"/>
        </w:rPr>
        <w:t>failed to point to any evidence in the record that demonstrates reasonable alternatives to moving the School of Pharmacy research units to Laurel Heights.  This argument is somewhat disingenuous given the Regents’ own failure to provide any meaningful information regarding alternatives.  It is the project proponent’s responsibility to provide an adequate discussion of alternatives.  (Guidelines, § 15126, subd. (d).)  That responsibility is not dependent in the first instance on a showing by the public that there are feasible alternatives.  If the project proponent concludes there are no feasible alternatives, it must explain in meaningful detail in the EIR the basis for that conclusion.”  (</w:t>
      </w:r>
      <w:r w:rsidR="009D42D9" w:rsidRPr="00EB08A6">
        <w:rPr>
          <w:i/>
          <w:szCs w:val="26"/>
        </w:rPr>
        <w:t>Laurel Heights</w:t>
      </w:r>
      <w:r w:rsidR="0078271B" w:rsidRPr="00EB08A6">
        <w:rPr>
          <w:i/>
          <w:szCs w:val="26"/>
        </w:rPr>
        <w:t xml:space="preserve"> I</w:t>
      </w:r>
      <w:r w:rsidR="009D42D9" w:rsidRPr="00EB08A6">
        <w:rPr>
          <w:szCs w:val="26"/>
        </w:rPr>
        <w:t xml:space="preserve">, </w:t>
      </w:r>
      <w:r w:rsidR="009D42D9" w:rsidRPr="00EB08A6">
        <w:rPr>
          <w:i/>
          <w:szCs w:val="26"/>
        </w:rPr>
        <w:t>supra</w:t>
      </w:r>
      <w:r w:rsidR="009D42D9" w:rsidRPr="00EB08A6">
        <w:rPr>
          <w:szCs w:val="26"/>
        </w:rPr>
        <w:t>, 47 Cal.3d at p. 405.)</w:t>
      </w:r>
    </w:p>
    <w:p w:rsidR="009D42D9" w:rsidRPr="00EB08A6" w:rsidRDefault="009D42D9" w:rsidP="009E0DE1">
      <w:pPr>
        <w:ind w:firstLine="720"/>
        <w:rPr>
          <w:szCs w:val="26"/>
        </w:rPr>
      </w:pPr>
      <w:r w:rsidRPr="00EB08A6">
        <w:rPr>
          <w:szCs w:val="26"/>
        </w:rPr>
        <w:t xml:space="preserve">Recently, in </w:t>
      </w:r>
      <w:r w:rsidRPr="00EB08A6">
        <w:rPr>
          <w:i/>
          <w:szCs w:val="26"/>
        </w:rPr>
        <w:t>Cleveland National Forest Foundation v</w:t>
      </w:r>
      <w:r w:rsidR="00B03A49" w:rsidRPr="00EB08A6">
        <w:rPr>
          <w:szCs w:val="26"/>
        </w:rPr>
        <w:t>.</w:t>
      </w:r>
      <w:r w:rsidRPr="00EB08A6">
        <w:rPr>
          <w:i/>
          <w:szCs w:val="26"/>
        </w:rPr>
        <w:t xml:space="preserve"> San Diego Assn</w:t>
      </w:r>
      <w:r w:rsidR="00B03A49" w:rsidRPr="00EB08A6">
        <w:rPr>
          <w:szCs w:val="26"/>
        </w:rPr>
        <w:t>.</w:t>
      </w:r>
      <w:r w:rsidRPr="00EB08A6">
        <w:rPr>
          <w:i/>
          <w:szCs w:val="26"/>
        </w:rPr>
        <w:t xml:space="preserve"> of Governments</w:t>
      </w:r>
      <w:r w:rsidRPr="00EB08A6">
        <w:rPr>
          <w:szCs w:val="26"/>
        </w:rPr>
        <w:t xml:space="preserve"> (2017) 3 Cal.5th 497, 514–515</w:t>
      </w:r>
      <w:r w:rsidR="0009156F" w:rsidRPr="00EB08A6">
        <w:rPr>
          <w:szCs w:val="26"/>
        </w:rPr>
        <w:t xml:space="preserve"> (</w:t>
      </w:r>
      <w:r w:rsidR="0009156F" w:rsidRPr="00EB08A6">
        <w:rPr>
          <w:i/>
          <w:szCs w:val="26"/>
        </w:rPr>
        <w:t>Cleveland National Forest</w:t>
      </w:r>
      <w:r w:rsidR="0009156F" w:rsidRPr="00EB08A6">
        <w:rPr>
          <w:szCs w:val="26"/>
        </w:rPr>
        <w:t>)</w:t>
      </w:r>
      <w:r w:rsidRPr="00EB08A6">
        <w:rPr>
          <w:szCs w:val="26"/>
        </w:rPr>
        <w:t xml:space="preserve">, </w:t>
      </w:r>
      <w:r w:rsidR="00DA6F3B" w:rsidRPr="00EB08A6">
        <w:rPr>
          <w:szCs w:val="26"/>
        </w:rPr>
        <w:t xml:space="preserve">this court </w:t>
      </w:r>
      <w:r w:rsidRPr="00EB08A6">
        <w:rPr>
          <w:szCs w:val="26"/>
        </w:rPr>
        <w:t xml:space="preserve">made a similar point that the </w:t>
      </w:r>
      <w:r w:rsidR="00DA6F3B" w:rsidRPr="00EB08A6">
        <w:rPr>
          <w:szCs w:val="26"/>
        </w:rPr>
        <w:t xml:space="preserve">adequacy </w:t>
      </w:r>
      <w:r w:rsidRPr="00EB08A6">
        <w:rPr>
          <w:szCs w:val="26"/>
        </w:rPr>
        <w:t xml:space="preserve">of </w:t>
      </w:r>
      <w:r w:rsidR="00DA6F3B" w:rsidRPr="00EB08A6">
        <w:rPr>
          <w:szCs w:val="26"/>
        </w:rPr>
        <w:t xml:space="preserve">an EIR’s </w:t>
      </w:r>
      <w:r w:rsidRPr="00EB08A6">
        <w:rPr>
          <w:szCs w:val="26"/>
        </w:rPr>
        <w:t xml:space="preserve">discussion of environmental impacts is </w:t>
      </w:r>
      <w:r w:rsidR="00390CB1">
        <w:rPr>
          <w:szCs w:val="26"/>
        </w:rPr>
        <w:t xml:space="preserve">an issue </w:t>
      </w:r>
      <w:r w:rsidRPr="00EB08A6">
        <w:rPr>
          <w:szCs w:val="26"/>
        </w:rPr>
        <w:t xml:space="preserve">distinct from the </w:t>
      </w:r>
      <w:r w:rsidR="00390CB1">
        <w:rPr>
          <w:szCs w:val="26"/>
        </w:rPr>
        <w:t>extent to which the agency i</w:t>
      </w:r>
      <w:r w:rsidRPr="00EB08A6">
        <w:rPr>
          <w:szCs w:val="26"/>
        </w:rPr>
        <w:t xml:space="preserve">s correct </w:t>
      </w:r>
      <w:r w:rsidR="00390CB1">
        <w:rPr>
          <w:szCs w:val="26"/>
        </w:rPr>
        <w:t xml:space="preserve">in its </w:t>
      </w:r>
      <w:r w:rsidRPr="00EB08A6">
        <w:rPr>
          <w:szCs w:val="26"/>
        </w:rPr>
        <w:t xml:space="preserve">determination whether the impacts are significant.  “[A]n EIR’s designation of a particular adverse environmental effect as ‘significant’ does not excuse the EIR’s failure to reasonably describe the nature and magnitude of the adverse effect. </w:t>
      </w:r>
      <w:r w:rsidR="0014202F" w:rsidRPr="00EB08A6">
        <w:rPr>
          <w:szCs w:val="26"/>
        </w:rPr>
        <w:t xml:space="preserve"> </w:t>
      </w:r>
      <w:r w:rsidRPr="00EB08A6">
        <w:rPr>
          <w:szCs w:val="26"/>
        </w:rPr>
        <w:t xml:space="preserve">(See </w:t>
      </w:r>
      <w:r w:rsidRPr="00EB08A6">
        <w:rPr>
          <w:i/>
          <w:szCs w:val="26"/>
        </w:rPr>
        <w:t xml:space="preserve">Berkeley Keep Jets Over the Bay </w:t>
      </w:r>
      <w:r w:rsidR="0092083F" w:rsidRPr="00EB08A6">
        <w:rPr>
          <w:i/>
          <w:szCs w:val="26"/>
        </w:rPr>
        <w:t xml:space="preserve">Com. </w:t>
      </w:r>
      <w:r w:rsidRPr="00EB08A6">
        <w:rPr>
          <w:i/>
          <w:szCs w:val="26"/>
        </w:rPr>
        <w:t>v</w:t>
      </w:r>
      <w:r w:rsidR="00B03A49" w:rsidRPr="00EB08A6">
        <w:rPr>
          <w:szCs w:val="26"/>
        </w:rPr>
        <w:t>.</w:t>
      </w:r>
      <w:r w:rsidRPr="00EB08A6">
        <w:rPr>
          <w:i/>
          <w:szCs w:val="26"/>
        </w:rPr>
        <w:t xml:space="preserve"> Board of Port </w:t>
      </w:r>
      <w:proofErr w:type="spellStart"/>
      <w:r w:rsidRPr="00EB08A6">
        <w:rPr>
          <w:i/>
          <w:szCs w:val="26"/>
        </w:rPr>
        <w:t>Cmrs</w:t>
      </w:r>
      <w:proofErr w:type="spellEnd"/>
      <w:r w:rsidR="00B03A49" w:rsidRPr="00EB08A6">
        <w:rPr>
          <w:szCs w:val="26"/>
        </w:rPr>
        <w:t>.</w:t>
      </w:r>
      <w:r w:rsidRPr="00EB08A6">
        <w:rPr>
          <w:szCs w:val="26"/>
        </w:rPr>
        <w:t xml:space="preserve"> (2001) 91 Cal.App.4th 1344, 1371 </w:t>
      </w:r>
      <w:r w:rsidR="0092083F" w:rsidRPr="00EB08A6">
        <w:rPr>
          <w:szCs w:val="26"/>
        </w:rPr>
        <w:t xml:space="preserve">[111 Cal.Rptr.2d 598] </w:t>
      </w:r>
      <w:r w:rsidRPr="00EB08A6">
        <w:rPr>
          <w:szCs w:val="26"/>
        </w:rPr>
        <w:t>[</w:t>
      </w:r>
      <w:r w:rsidR="00CB3087" w:rsidRPr="00EB08A6">
        <w:rPr>
          <w:szCs w:val="26"/>
        </w:rPr>
        <w:t>‘</w:t>
      </w:r>
      <w:r w:rsidRPr="00EB08A6">
        <w:rPr>
          <w:szCs w:val="26"/>
        </w:rPr>
        <w:t xml:space="preserve">The EIR’s approach of simply labeling the effect </w:t>
      </w:r>
      <w:r w:rsidR="0092083F" w:rsidRPr="00EB08A6">
        <w:rPr>
          <w:szCs w:val="26"/>
        </w:rPr>
        <w:t>“</w:t>
      </w:r>
      <w:r w:rsidRPr="00EB08A6">
        <w:rPr>
          <w:szCs w:val="26"/>
        </w:rPr>
        <w:t>significant</w:t>
      </w:r>
      <w:r w:rsidR="0092083F" w:rsidRPr="00EB08A6">
        <w:rPr>
          <w:szCs w:val="26"/>
        </w:rPr>
        <w:t>”</w:t>
      </w:r>
      <w:r w:rsidRPr="00EB08A6">
        <w:rPr>
          <w:szCs w:val="26"/>
        </w:rPr>
        <w:t xml:space="preserve"> without accompanying analysis of the project’s impact on the health of the Airport’s employees and nearby residents is inadequate to meet the environmental assessment requirements of CEQA.</w:t>
      </w:r>
      <w:r w:rsidR="00CB3087" w:rsidRPr="00EB08A6">
        <w:rPr>
          <w:szCs w:val="26"/>
        </w:rPr>
        <w:t>’</w:t>
      </w:r>
      <w:r w:rsidRPr="00EB08A6">
        <w:rPr>
          <w:szCs w:val="26"/>
        </w:rPr>
        <w:t xml:space="preserve">]; </w:t>
      </w:r>
      <w:r w:rsidRPr="00EB08A6">
        <w:rPr>
          <w:i/>
          <w:szCs w:val="26"/>
        </w:rPr>
        <w:t>Galante Vineyards v</w:t>
      </w:r>
      <w:r w:rsidR="00B03A49" w:rsidRPr="00EB08A6">
        <w:rPr>
          <w:szCs w:val="26"/>
        </w:rPr>
        <w:t>.</w:t>
      </w:r>
      <w:r w:rsidRPr="00EB08A6">
        <w:rPr>
          <w:i/>
          <w:szCs w:val="26"/>
        </w:rPr>
        <w:t xml:space="preserve"> Monterey Peninsula Water Management Dist</w:t>
      </w:r>
      <w:r w:rsidR="00B03A49" w:rsidRPr="00EB08A6">
        <w:rPr>
          <w:szCs w:val="26"/>
        </w:rPr>
        <w:t>.</w:t>
      </w:r>
      <w:r w:rsidRPr="00EB08A6">
        <w:rPr>
          <w:szCs w:val="26"/>
        </w:rPr>
        <w:t xml:space="preserve"> (1997) 60 Cal.App.4th 1109, 1123</w:t>
      </w:r>
      <w:r w:rsidR="00CB3087" w:rsidRPr="00EB08A6">
        <w:rPr>
          <w:szCs w:val="26"/>
        </w:rPr>
        <w:t xml:space="preserve"> [71 Cal.Rptr.2d 1]</w:t>
      </w:r>
      <w:r w:rsidRPr="00EB08A6">
        <w:rPr>
          <w:szCs w:val="26"/>
        </w:rPr>
        <w:t>.</w:t>
      </w:r>
      <w:r w:rsidR="00CB3087" w:rsidRPr="00EB08A6">
        <w:rPr>
          <w:szCs w:val="26"/>
        </w:rPr>
        <w:t>)</w:t>
      </w:r>
      <w:r w:rsidRPr="00EB08A6">
        <w:rPr>
          <w:szCs w:val="26"/>
        </w:rPr>
        <w:t xml:space="preserve">  An adequate description of adverse environmental effects is necessary to inform the critical discussion of mitigation measures and project alternatives at the core of the EIR.  (See Guidelines, § 15151 [‘An EIR should be prepared with a sufficient degree of analysis to provide decisionmakers with information which enables them to make a decision which intelligently takes account of environmental consequences.</w:t>
      </w:r>
      <w:r w:rsidR="0009156F" w:rsidRPr="00EB08A6">
        <w:rPr>
          <w:szCs w:val="26"/>
        </w:rPr>
        <w:t>’</w:t>
      </w:r>
      <w:r w:rsidRPr="00EB08A6">
        <w:rPr>
          <w:szCs w:val="26"/>
        </w:rPr>
        <w:t>].)”</w:t>
      </w:r>
      <w:r w:rsidR="00CB3087" w:rsidRPr="00EB08A6">
        <w:rPr>
          <w:szCs w:val="26"/>
        </w:rPr>
        <w:t xml:space="preserve">  (</w:t>
      </w:r>
      <w:r w:rsidR="00CB3087" w:rsidRPr="00EB08A6">
        <w:rPr>
          <w:i/>
          <w:szCs w:val="26"/>
        </w:rPr>
        <w:t>Ibid</w:t>
      </w:r>
      <w:r w:rsidR="00CB3087" w:rsidRPr="00EB08A6">
        <w:rPr>
          <w:szCs w:val="26"/>
        </w:rPr>
        <w:t>.)</w:t>
      </w:r>
    </w:p>
    <w:p w:rsidR="009D42D9" w:rsidRPr="00EB08A6" w:rsidRDefault="00086F9A" w:rsidP="009E0DE1">
      <w:pPr>
        <w:ind w:firstLine="720"/>
        <w:rPr>
          <w:szCs w:val="26"/>
        </w:rPr>
      </w:pPr>
      <w:r w:rsidRPr="00EB08A6">
        <w:rPr>
          <w:szCs w:val="26"/>
        </w:rPr>
        <w:t>However, there are instances where the agency’s discussion of significant project impacts may implicate a factual question that makes substantial evidence review appropriate.</w:t>
      </w:r>
      <w:r w:rsidR="009D42D9" w:rsidRPr="00EB08A6">
        <w:rPr>
          <w:szCs w:val="26"/>
        </w:rPr>
        <w:t xml:space="preserve">  For example, a decision to use a particular methodology and reject another is amenable to substantial evidence review, as Sierra Club concedes.  But whether a description of an environmental impact is insufficient because </w:t>
      </w:r>
      <w:r w:rsidR="0014202F" w:rsidRPr="00EB08A6">
        <w:rPr>
          <w:szCs w:val="26"/>
        </w:rPr>
        <w:t>it lacks</w:t>
      </w:r>
      <w:r w:rsidR="009D42D9" w:rsidRPr="00EB08A6">
        <w:rPr>
          <w:szCs w:val="26"/>
        </w:rPr>
        <w:t xml:space="preserve"> analysis or omits the magnitude of the impact is not a substantial evidence question.  A conclusory discussion of an environmental impact that an EIR deems significant can be determined by a court to be inadequate as an informational document without reference to substantial evidence.</w:t>
      </w:r>
    </w:p>
    <w:p w:rsidR="009D42D9" w:rsidRPr="00EB08A6" w:rsidRDefault="00C90963" w:rsidP="009E0DE1">
      <w:pPr>
        <w:ind w:firstLine="720"/>
        <w:rPr>
          <w:szCs w:val="26"/>
        </w:rPr>
      </w:pPr>
      <w:r w:rsidRPr="00EB08A6">
        <w:rPr>
          <w:szCs w:val="26"/>
        </w:rPr>
        <w:t>Our Courts of Appeal have consistently recognize</w:t>
      </w:r>
      <w:r w:rsidR="00232180" w:rsidRPr="00EB08A6">
        <w:rPr>
          <w:szCs w:val="26"/>
        </w:rPr>
        <w:t xml:space="preserve">d that adequacy </w:t>
      </w:r>
      <w:r w:rsidRPr="00EB08A6">
        <w:rPr>
          <w:szCs w:val="26"/>
        </w:rPr>
        <w:t>of</w:t>
      </w:r>
      <w:r w:rsidR="00232180" w:rsidRPr="00EB08A6">
        <w:rPr>
          <w:szCs w:val="26"/>
        </w:rPr>
        <w:t xml:space="preserve"> </w:t>
      </w:r>
      <w:r w:rsidRPr="00EB08A6">
        <w:rPr>
          <w:szCs w:val="26"/>
        </w:rPr>
        <w:t>discussion claims are not typically amenable to substantial evidence review.</w:t>
      </w:r>
      <w:r w:rsidR="00C619EF" w:rsidRPr="00EB08A6">
        <w:rPr>
          <w:szCs w:val="26"/>
        </w:rPr>
        <w:t xml:space="preserve">  </w:t>
      </w:r>
      <w:r w:rsidR="009D42D9" w:rsidRPr="00EB08A6">
        <w:rPr>
          <w:szCs w:val="26"/>
        </w:rPr>
        <w:t xml:space="preserve">As the court </w:t>
      </w:r>
      <w:r w:rsidR="0014202F" w:rsidRPr="00EB08A6">
        <w:rPr>
          <w:szCs w:val="26"/>
        </w:rPr>
        <w:t>explained</w:t>
      </w:r>
      <w:r w:rsidR="009D42D9" w:rsidRPr="00EB08A6">
        <w:rPr>
          <w:szCs w:val="26"/>
        </w:rPr>
        <w:t xml:space="preserve"> in </w:t>
      </w:r>
      <w:r w:rsidR="009D42D9" w:rsidRPr="00EB08A6">
        <w:rPr>
          <w:i/>
          <w:szCs w:val="26"/>
        </w:rPr>
        <w:t>County of</w:t>
      </w:r>
      <w:r w:rsidR="009D42D9" w:rsidRPr="00EB08A6">
        <w:rPr>
          <w:szCs w:val="26"/>
        </w:rPr>
        <w:t xml:space="preserve"> </w:t>
      </w:r>
      <w:r w:rsidR="009D42D9" w:rsidRPr="00EB08A6">
        <w:rPr>
          <w:i/>
          <w:szCs w:val="26"/>
        </w:rPr>
        <w:t>Amador v</w:t>
      </w:r>
      <w:r w:rsidR="00B03A49" w:rsidRPr="00EB08A6">
        <w:rPr>
          <w:szCs w:val="26"/>
        </w:rPr>
        <w:t>.</w:t>
      </w:r>
      <w:r w:rsidR="009D42D9" w:rsidRPr="00EB08A6">
        <w:rPr>
          <w:i/>
          <w:szCs w:val="26"/>
        </w:rPr>
        <w:t xml:space="preserve"> El Dorado</w:t>
      </w:r>
      <w:r w:rsidR="009D42D9" w:rsidRPr="00EB08A6">
        <w:rPr>
          <w:szCs w:val="26"/>
        </w:rPr>
        <w:t xml:space="preserve"> </w:t>
      </w:r>
      <w:r w:rsidR="0009156F" w:rsidRPr="00EB08A6">
        <w:rPr>
          <w:i/>
          <w:szCs w:val="26"/>
        </w:rPr>
        <w:t xml:space="preserve">County Water Agency </w:t>
      </w:r>
      <w:r w:rsidR="0014202F" w:rsidRPr="00EB08A6">
        <w:rPr>
          <w:szCs w:val="26"/>
        </w:rPr>
        <w:t xml:space="preserve">(1999) 76 Cal.App.4th 931, </w:t>
      </w:r>
      <w:r w:rsidR="0009156F" w:rsidRPr="00EB08A6">
        <w:rPr>
          <w:szCs w:val="26"/>
        </w:rPr>
        <w:t>945-946</w:t>
      </w:r>
      <w:r w:rsidR="00C619EF" w:rsidRPr="00EB08A6">
        <w:rPr>
          <w:szCs w:val="26"/>
        </w:rPr>
        <w:t xml:space="preserve">, </w:t>
      </w:r>
      <w:r w:rsidR="009D42D9" w:rsidRPr="00EB08A6">
        <w:rPr>
          <w:szCs w:val="26"/>
        </w:rPr>
        <w:t xml:space="preserve">“Substantial evidence challenges are resolved much as substantial evidence claims in any other setting:  a reviewing court will resolve reasonable doubts in favor of the administrative decision, and will not set aside an agency’s determination on the ground that the opposite conclusion would have been equally or more reasonable.  [Citations.]  [¶] A claim that an agency failed to act in a manner required by law presents other considerations.  Noncompliance with substantive requirements of CEQA </w:t>
      </w:r>
      <w:r w:rsidR="009D42D9" w:rsidRPr="00EB08A6">
        <w:rPr>
          <w:i/>
          <w:szCs w:val="26"/>
        </w:rPr>
        <w:t xml:space="preserve">or noncompliance with information disclosure provisions </w:t>
      </w:r>
      <w:r w:rsidR="009D42D9" w:rsidRPr="00EB08A6">
        <w:rPr>
          <w:szCs w:val="26"/>
        </w:rPr>
        <w:t>‘</w:t>
      </w:r>
      <w:r w:rsidR="009D42D9" w:rsidRPr="00EB08A6">
        <w:rPr>
          <w:i/>
          <w:szCs w:val="26"/>
        </w:rPr>
        <w:t xml:space="preserve">which precludes relevant information from being presented to the public agency </w:t>
      </w:r>
      <w:r w:rsidR="009D42D9" w:rsidRPr="00EB08A6">
        <w:rPr>
          <w:szCs w:val="26"/>
        </w:rPr>
        <w:t>. . . may constitute prejudicial abuse of discretion within the meaning of Sections 21168 and 21168.5, regardless of whether a different outcome would have resulted if the public agency had complied with those provisions.’  (§ 21005, subd. (a).)</w:t>
      </w:r>
      <w:r w:rsidR="00CB3087" w:rsidRPr="00EB08A6">
        <w:rPr>
          <w:szCs w:val="26"/>
        </w:rPr>
        <w:t xml:space="preserve"> . . .  </w:t>
      </w:r>
      <w:r w:rsidR="0009156F" w:rsidRPr="00EB08A6">
        <w:rPr>
          <w:szCs w:val="26"/>
        </w:rPr>
        <w:t>[</w:t>
      </w:r>
      <w:r w:rsidR="0014202F" w:rsidRPr="00EB08A6">
        <w:rPr>
          <w:szCs w:val="26"/>
        </w:rPr>
        <w:t>W</w:t>
      </w:r>
      <w:r w:rsidR="0009156F" w:rsidRPr="00EB08A6">
        <w:rPr>
          <w:szCs w:val="26"/>
        </w:rPr>
        <w:t>]</w:t>
      </w:r>
      <w:r w:rsidR="009D42D9" w:rsidRPr="00EB08A6">
        <w:rPr>
          <w:szCs w:val="26"/>
        </w:rPr>
        <w:t xml:space="preserve">hen an agency fails to proceed </w:t>
      </w:r>
      <w:r w:rsidR="0009156F" w:rsidRPr="00EB08A6">
        <w:rPr>
          <w:szCs w:val="26"/>
        </w:rPr>
        <w:t>[</w:t>
      </w:r>
      <w:r w:rsidR="009D42D9" w:rsidRPr="00EB08A6">
        <w:rPr>
          <w:szCs w:val="26"/>
        </w:rPr>
        <w:t xml:space="preserve">as </w:t>
      </w:r>
      <w:r w:rsidR="0014202F" w:rsidRPr="00EB08A6">
        <w:rPr>
          <w:szCs w:val="26"/>
        </w:rPr>
        <w:t xml:space="preserve">CEQA </w:t>
      </w:r>
      <w:r w:rsidR="009D42D9" w:rsidRPr="00EB08A6">
        <w:rPr>
          <w:szCs w:val="26"/>
        </w:rPr>
        <w:t>require</w:t>
      </w:r>
      <w:r w:rsidR="0014202F" w:rsidRPr="00EB08A6">
        <w:rPr>
          <w:szCs w:val="26"/>
        </w:rPr>
        <w:t>s</w:t>
      </w:r>
      <w:r w:rsidR="0009156F" w:rsidRPr="00EB08A6">
        <w:rPr>
          <w:szCs w:val="26"/>
        </w:rPr>
        <w:t>]</w:t>
      </w:r>
      <w:r w:rsidR="009D42D9" w:rsidRPr="00EB08A6">
        <w:rPr>
          <w:szCs w:val="26"/>
        </w:rPr>
        <w:t xml:space="preserve">, harmless error analysis is inapplicable.  The failure to comply with the law subverts the purposes of CEQA if it omits material necessary to informed </w:t>
      </w:r>
      <w:proofErr w:type="spellStart"/>
      <w:r w:rsidR="009D42D9" w:rsidRPr="00EB08A6">
        <w:rPr>
          <w:szCs w:val="26"/>
        </w:rPr>
        <w:t>decisionmaking</w:t>
      </w:r>
      <w:proofErr w:type="spellEnd"/>
      <w:r w:rsidR="009D42D9" w:rsidRPr="00EB08A6">
        <w:rPr>
          <w:szCs w:val="26"/>
        </w:rPr>
        <w:t xml:space="preserve"> and informed public participation.  Case law is clear that, in such cases, the error is prejudicial.  (</w:t>
      </w:r>
      <w:r w:rsidR="009D42D9" w:rsidRPr="00EB08A6">
        <w:rPr>
          <w:i/>
          <w:szCs w:val="26"/>
        </w:rPr>
        <w:t>Sierra Club v</w:t>
      </w:r>
      <w:r w:rsidR="00B03A49" w:rsidRPr="00EB08A6">
        <w:rPr>
          <w:szCs w:val="26"/>
        </w:rPr>
        <w:t>.</w:t>
      </w:r>
      <w:r w:rsidR="009D42D9" w:rsidRPr="00EB08A6">
        <w:rPr>
          <w:i/>
          <w:szCs w:val="26"/>
        </w:rPr>
        <w:t xml:space="preserve"> State Bd</w:t>
      </w:r>
      <w:r w:rsidR="00B03A49" w:rsidRPr="00EB08A6">
        <w:rPr>
          <w:szCs w:val="26"/>
        </w:rPr>
        <w:t>.</w:t>
      </w:r>
      <w:r w:rsidR="009D42D9" w:rsidRPr="00EB08A6">
        <w:rPr>
          <w:i/>
          <w:szCs w:val="26"/>
        </w:rPr>
        <w:t xml:space="preserve"> of Forestry</w:t>
      </w:r>
      <w:r w:rsidR="009D42D9" w:rsidRPr="00EB08A6">
        <w:rPr>
          <w:szCs w:val="26"/>
        </w:rPr>
        <w:t xml:space="preserve"> (1994) 7 Cal.4th 1215, 1236-1237</w:t>
      </w:r>
      <w:r w:rsidR="00CB3087" w:rsidRPr="00EB08A6">
        <w:rPr>
          <w:szCs w:val="26"/>
        </w:rPr>
        <w:t xml:space="preserve"> [32 Cal.Rptr.2d 19, 876 P.2d 505]</w:t>
      </w:r>
      <w:r w:rsidR="009D42D9" w:rsidRPr="00EB08A6">
        <w:rPr>
          <w:szCs w:val="26"/>
        </w:rPr>
        <w:t xml:space="preserve">; </w:t>
      </w:r>
      <w:r w:rsidR="009D42D9" w:rsidRPr="00EB08A6">
        <w:rPr>
          <w:i/>
          <w:szCs w:val="26"/>
        </w:rPr>
        <w:t>Fall River Wild Trout Foundation v</w:t>
      </w:r>
      <w:r w:rsidR="00B03A49" w:rsidRPr="00EB08A6">
        <w:rPr>
          <w:szCs w:val="26"/>
        </w:rPr>
        <w:t>.</w:t>
      </w:r>
      <w:r w:rsidR="009D42D9" w:rsidRPr="00EB08A6">
        <w:rPr>
          <w:i/>
          <w:szCs w:val="26"/>
        </w:rPr>
        <w:t xml:space="preserve"> County of Shasta</w:t>
      </w:r>
      <w:r w:rsidR="009D42D9" w:rsidRPr="00EB08A6">
        <w:rPr>
          <w:szCs w:val="26"/>
        </w:rPr>
        <w:t xml:space="preserve"> (1999) 70 Cal.App.4th 482, 491-493</w:t>
      </w:r>
      <w:r w:rsidR="00CB3087" w:rsidRPr="00EB08A6">
        <w:rPr>
          <w:szCs w:val="26"/>
        </w:rPr>
        <w:t xml:space="preserve"> [82 Cal.Rptr.2d 705]</w:t>
      </w:r>
      <w:r w:rsidR="009D42D9" w:rsidRPr="00EB08A6">
        <w:rPr>
          <w:szCs w:val="26"/>
        </w:rPr>
        <w:t xml:space="preserve">; </w:t>
      </w:r>
      <w:r w:rsidR="009D42D9" w:rsidRPr="00EB08A6">
        <w:rPr>
          <w:i/>
          <w:szCs w:val="26"/>
        </w:rPr>
        <w:t>Kings County Farm Bureau v</w:t>
      </w:r>
      <w:r w:rsidR="00B03A49" w:rsidRPr="00EB08A6">
        <w:rPr>
          <w:szCs w:val="26"/>
        </w:rPr>
        <w:t>.</w:t>
      </w:r>
      <w:r w:rsidR="009D42D9" w:rsidRPr="00EB08A6">
        <w:rPr>
          <w:i/>
          <w:szCs w:val="26"/>
        </w:rPr>
        <w:t xml:space="preserve"> City of Hanford </w:t>
      </w:r>
      <w:r w:rsidR="009D42D9" w:rsidRPr="00EB08A6">
        <w:rPr>
          <w:szCs w:val="26"/>
        </w:rPr>
        <w:t>(1990) 221 Cal.App.3d 692, 712</w:t>
      </w:r>
      <w:r w:rsidR="00CB3087" w:rsidRPr="00EB08A6">
        <w:rPr>
          <w:szCs w:val="26"/>
        </w:rPr>
        <w:t xml:space="preserve"> [270 </w:t>
      </w:r>
      <w:proofErr w:type="spellStart"/>
      <w:r w:rsidR="00CB3087" w:rsidRPr="00EB08A6">
        <w:rPr>
          <w:szCs w:val="26"/>
        </w:rPr>
        <w:t>Cal.Rptr</w:t>
      </w:r>
      <w:proofErr w:type="spellEnd"/>
      <w:r w:rsidR="00CB3087" w:rsidRPr="00EB08A6">
        <w:rPr>
          <w:szCs w:val="26"/>
        </w:rPr>
        <w:t>. 650]</w:t>
      </w:r>
      <w:r w:rsidR="009D42D9" w:rsidRPr="00EB08A6">
        <w:rPr>
          <w:szCs w:val="26"/>
        </w:rPr>
        <w:t xml:space="preserve">; </w:t>
      </w:r>
      <w:r w:rsidR="009D42D9" w:rsidRPr="00EB08A6">
        <w:rPr>
          <w:i/>
          <w:szCs w:val="26"/>
        </w:rPr>
        <w:t>East Peninsula Ed</w:t>
      </w:r>
      <w:r w:rsidR="00B03A49" w:rsidRPr="00EB08A6">
        <w:rPr>
          <w:szCs w:val="26"/>
        </w:rPr>
        <w:t>.</w:t>
      </w:r>
      <w:r w:rsidR="009D42D9" w:rsidRPr="00EB08A6">
        <w:rPr>
          <w:i/>
          <w:szCs w:val="26"/>
        </w:rPr>
        <w:t xml:space="preserve"> Council</w:t>
      </w:r>
      <w:r w:rsidR="00B03A49" w:rsidRPr="00EB08A6">
        <w:rPr>
          <w:szCs w:val="26"/>
        </w:rPr>
        <w:t>,</w:t>
      </w:r>
      <w:r w:rsidR="009D42D9" w:rsidRPr="00EB08A6">
        <w:rPr>
          <w:i/>
          <w:szCs w:val="26"/>
        </w:rPr>
        <w:t xml:space="preserve"> Inc</w:t>
      </w:r>
      <w:r w:rsidR="00B03A49" w:rsidRPr="00EB08A6">
        <w:rPr>
          <w:szCs w:val="26"/>
        </w:rPr>
        <w:t>.</w:t>
      </w:r>
      <w:r w:rsidR="009D42D9" w:rsidRPr="00EB08A6">
        <w:rPr>
          <w:i/>
          <w:szCs w:val="26"/>
        </w:rPr>
        <w:t xml:space="preserve"> v</w:t>
      </w:r>
      <w:r w:rsidR="00B03A49" w:rsidRPr="00EB08A6">
        <w:rPr>
          <w:szCs w:val="26"/>
        </w:rPr>
        <w:t>.</w:t>
      </w:r>
      <w:r w:rsidR="009D42D9" w:rsidRPr="00EB08A6">
        <w:rPr>
          <w:i/>
          <w:szCs w:val="26"/>
        </w:rPr>
        <w:t xml:space="preserve"> Palos Verdes Peninsula Unified School Dist</w:t>
      </w:r>
      <w:r w:rsidR="00B03A49" w:rsidRPr="00EB08A6">
        <w:rPr>
          <w:szCs w:val="26"/>
        </w:rPr>
        <w:t>.</w:t>
      </w:r>
      <w:r w:rsidR="009D42D9" w:rsidRPr="00EB08A6">
        <w:rPr>
          <w:szCs w:val="26"/>
        </w:rPr>
        <w:t xml:space="preserve"> (1989) 210 Cal.App.3d 155, 174 </w:t>
      </w:r>
      <w:r w:rsidR="00CB3087" w:rsidRPr="00EB08A6">
        <w:rPr>
          <w:szCs w:val="26"/>
        </w:rPr>
        <w:t xml:space="preserve">[258 </w:t>
      </w:r>
      <w:proofErr w:type="spellStart"/>
      <w:r w:rsidR="00CB3087" w:rsidRPr="00EB08A6">
        <w:rPr>
          <w:szCs w:val="26"/>
        </w:rPr>
        <w:t>Cal.Rptr</w:t>
      </w:r>
      <w:proofErr w:type="spellEnd"/>
      <w:r w:rsidR="00CB3087" w:rsidRPr="00EB08A6">
        <w:rPr>
          <w:szCs w:val="26"/>
        </w:rPr>
        <w:t xml:space="preserve">. 147] </w:t>
      </w:r>
      <w:r w:rsidR="009D42D9" w:rsidRPr="00EB08A6">
        <w:rPr>
          <w:szCs w:val="26"/>
        </w:rPr>
        <w:t>(</w:t>
      </w:r>
      <w:r w:rsidR="009D42D9" w:rsidRPr="00EB08A6">
        <w:rPr>
          <w:i/>
          <w:szCs w:val="26"/>
        </w:rPr>
        <w:t>East Peninsula</w:t>
      </w:r>
      <w:r w:rsidR="009D42D9" w:rsidRPr="00EB08A6">
        <w:rPr>
          <w:szCs w:val="26"/>
        </w:rPr>
        <w:t xml:space="preserve">); </w:t>
      </w:r>
      <w:r w:rsidR="009D42D9" w:rsidRPr="00EB08A6">
        <w:rPr>
          <w:i/>
          <w:szCs w:val="26"/>
        </w:rPr>
        <w:t>Rural Landowners Assn</w:t>
      </w:r>
      <w:r w:rsidR="00B03A49" w:rsidRPr="00EB08A6">
        <w:rPr>
          <w:szCs w:val="26"/>
        </w:rPr>
        <w:t>.</w:t>
      </w:r>
      <w:r w:rsidR="009D42D9" w:rsidRPr="00EB08A6">
        <w:rPr>
          <w:i/>
          <w:szCs w:val="26"/>
        </w:rPr>
        <w:t xml:space="preserve"> v</w:t>
      </w:r>
      <w:r w:rsidR="00B03A49" w:rsidRPr="00EB08A6">
        <w:rPr>
          <w:szCs w:val="26"/>
        </w:rPr>
        <w:t>.</w:t>
      </w:r>
      <w:r w:rsidR="009D42D9" w:rsidRPr="00EB08A6">
        <w:rPr>
          <w:i/>
          <w:szCs w:val="26"/>
        </w:rPr>
        <w:t xml:space="preserve"> City Council</w:t>
      </w:r>
      <w:r w:rsidR="009D42D9" w:rsidRPr="00EB08A6">
        <w:rPr>
          <w:szCs w:val="26"/>
        </w:rPr>
        <w:t xml:space="preserve"> (1983) 143 Cal.App.3d 1013, 1021–1023</w:t>
      </w:r>
      <w:r w:rsidR="00CB3087" w:rsidRPr="00EB08A6">
        <w:rPr>
          <w:szCs w:val="26"/>
        </w:rPr>
        <w:t xml:space="preserve"> [192 </w:t>
      </w:r>
      <w:proofErr w:type="spellStart"/>
      <w:r w:rsidR="00CB3087" w:rsidRPr="00EB08A6">
        <w:rPr>
          <w:szCs w:val="26"/>
        </w:rPr>
        <w:t>Cal.Rptr</w:t>
      </w:r>
      <w:proofErr w:type="spellEnd"/>
      <w:r w:rsidR="00CB3087" w:rsidRPr="00EB08A6">
        <w:rPr>
          <w:szCs w:val="26"/>
        </w:rPr>
        <w:t>. 325].</w:t>
      </w:r>
      <w:r w:rsidR="009D42D9" w:rsidRPr="00EB08A6">
        <w:rPr>
          <w:szCs w:val="26"/>
        </w:rPr>
        <w:t xml:space="preserve">)”  (Italics added.)  The court </w:t>
      </w:r>
      <w:r w:rsidR="00591A29" w:rsidRPr="00EB08A6">
        <w:rPr>
          <w:szCs w:val="26"/>
        </w:rPr>
        <w:t xml:space="preserve">in that case </w:t>
      </w:r>
      <w:r w:rsidR="009D42D9" w:rsidRPr="00EB08A6">
        <w:rPr>
          <w:szCs w:val="26"/>
        </w:rPr>
        <w:t>concluded that the EIR was insufficient because among other things it failed to adequately describe environmental baseline conditions.  (</w:t>
      </w:r>
      <w:r w:rsidR="009D42D9" w:rsidRPr="00EB08A6">
        <w:rPr>
          <w:i/>
          <w:szCs w:val="26"/>
        </w:rPr>
        <w:t>County of Amador</w:t>
      </w:r>
      <w:r w:rsidR="009D42D9" w:rsidRPr="00EB08A6">
        <w:rPr>
          <w:szCs w:val="26"/>
        </w:rPr>
        <w:t>, at pp. 952–956.)</w:t>
      </w:r>
    </w:p>
    <w:p w:rsidR="009D42D9" w:rsidRPr="00EB08A6" w:rsidRDefault="00C90963" w:rsidP="009E0DE1">
      <w:pPr>
        <w:ind w:firstLine="720"/>
        <w:rPr>
          <w:szCs w:val="26"/>
        </w:rPr>
      </w:pPr>
      <w:r w:rsidRPr="00EB08A6">
        <w:rPr>
          <w:szCs w:val="26"/>
        </w:rPr>
        <w:t xml:space="preserve">We also affirm that </w:t>
      </w:r>
      <w:r w:rsidR="003A10A0" w:rsidRPr="00EB08A6">
        <w:rPr>
          <w:szCs w:val="26"/>
        </w:rPr>
        <w:t>in reviewing</w:t>
      </w:r>
      <w:r w:rsidR="00232180" w:rsidRPr="00EB08A6">
        <w:rPr>
          <w:szCs w:val="26"/>
        </w:rPr>
        <w:t xml:space="preserve"> </w:t>
      </w:r>
      <w:r w:rsidRPr="00EB08A6">
        <w:rPr>
          <w:szCs w:val="26"/>
        </w:rPr>
        <w:t>an EIR’s discussion</w:t>
      </w:r>
      <w:r w:rsidR="003A10A0" w:rsidRPr="00EB08A6">
        <w:rPr>
          <w:szCs w:val="26"/>
        </w:rPr>
        <w:t>, we do not</w:t>
      </w:r>
      <w:r w:rsidRPr="00EB08A6">
        <w:rPr>
          <w:szCs w:val="26"/>
        </w:rPr>
        <w:t xml:space="preserve"> </w:t>
      </w:r>
      <w:r w:rsidR="003A10A0" w:rsidRPr="00EB08A6">
        <w:rPr>
          <w:szCs w:val="26"/>
        </w:rPr>
        <w:t xml:space="preserve">require </w:t>
      </w:r>
      <w:r w:rsidRPr="00EB08A6">
        <w:rPr>
          <w:szCs w:val="26"/>
        </w:rPr>
        <w:t>technical perfection</w:t>
      </w:r>
      <w:r w:rsidR="00453184">
        <w:rPr>
          <w:szCs w:val="26"/>
        </w:rPr>
        <w:t xml:space="preserve"> or scientific certainty</w:t>
      </w:r>
      <w:r w:rsidRPr="00EB08A6">
        <w:rPr>
          <w:szCs w:val="26"/>
        </w:rPr>
        <w:t xml:space="preserve">: </w:t>
      </w:r>
      <w:r w:rsidR="00A62331" w:rsidRPr="00EB08A6">
        <w:rPr>
          <w:szCs w:val="26"/>
        </w:rPr>
        <w:t xml:space="preserve"> </w:t>
      </w:r>
      <w:r w:rsidR="009D42D9" w:rsidRPr="00EB08A6">
        <w:rPr>
          <w:szCs w:val="26"/>
        </w:rPr>
        <w:t>“</w:t>
      </w:r>
      <w:r w:rsidR="00CB3087" w:rsidRPr="00EB08A6">
        <w:rPr>
          <w:szCs w:val="26"/>
        </w:rPr>
        <w:t> </w:t>
      </w:r>
      <w:r w:rsidR="009D42D9" w:rsidRPr="00EB08A6">
        <w:rPr>
          <w:szCs w:val="26"/>
        </w:rPr>
        <w:t>‘</w:t>
      </w:r>
      <w:r w:rsidR="00CB3087" w:rsidRPr="00EB08A6">
        <w:rPr>
          <w:szCs w:val="26"/>
        </w:rPr>
        <w:t> “</w:t>
      </w:r>
      <w:r w:rsidRPr="00EB08A6">
        <w:rPr>
          <w:szCs w:val="26"/>
        </w:rPr>
        <w:t>[T]</w:t>
      </w:r>
      <w:r w:rsidR="009D42D9" w:rsidRPr="00EB08A6">
        <w:rPr>
          <w:szCs w:val="26"/>
        </w:rPr>
        <w:t>he courts have looked not for an exhaustive analysis but for adequacy, completeness and a good-faith effort at full disclosure</w:t>
      </w:r>
      <w:r w:rsidR="00616841">
        <w:rPr>
          <w:szCs w:val="26"/>
        </w:rPr>
        <w:t>.</w:t>
      </w:r>
      <w:r w:rsidR="00CB3087" w:rsidRPr="00EB08A6">
        <w:rPr>
          <w:szCs w:val="26"/>
        </w:rPr>
        <w:t>” </w:t>
      </w:r>
      <w:r w:rsidR="009D42D9" w:rsidRPr="00EB08A6">
        <w:rPr>
          <w:szCs w:val="26"/>
        </w:rPr>
        <w:t>’ ”  (</w:t>
      </w:r>
      <w:r w:rsidR="009D42D9" w:rsidRPr="00EB08A6">
        <w:rPr>
          <w:i/>
          <w:szCs w:val="26"/>
        </w:rPr>
        <w:t>California Native Plant Soc</w:t>
      </w:r>
      <w:r w:rsidR="00CB3087" w:rsidRPr="00EB08A6">
        <w:rPr>
          <w:szCs w:val="26"/>
        </w:rPr>
        <w:t>iety</w:t>
      </w:r>
      <w:r w:rsidR="009D42D9" w:rsidRPr="00EB08A6">
        <w:rPr>
          <w:i/>
          <w:szCs w:val="26"/>
        </w:rPr>
        <w:t xml:space="preserve"> v</w:t>
      </w:r>
      <w:r w:rsidR="00B03A49" w:rsidRPr="00EB08A6">
        <w:rPr>
          <w:szCs w:val="26"/>
        </w:rPr>
        <w:t>.</w:t>
      </w:r>
      <w:r w:rsidR="009D42D9" w:rsidRPr="00EB08A6">
        <w:rPr>
          <w:i/>
          <w:szCs w:val="26"/>
        </w:rPr>
        <w:t xml:space="preserve"> City of Santa Cruz</w:t>
      </w:r>
      <w:r w:rsidR="00B03A49" w:rsidRPr="00EB08A6">
        <w:rPr>
          <w:szCs w:val="26"/>
        </w:rPr>
        <w:t>,</w:t>
      </w:r>
      <w:r w:rsidR="002C6842" w:rsidRPr="00EB08A6">
        <w:rPr>
          <w:i/>
          <w:szCs w:val="26"/>
        </w:rPr>
        <w:t xml:space="preserve"> supra</w:t>
      </w:r>
      <w:r w:rsidR="00B03A49" w:rsidRPr="00EB08A6">
        <w:rPr>
          <w:szCs w:val="26"/>
        </w:rPr>
        <w:t>,</w:t>
      </w:r>
      <w:r w:rsidR="002C6842" w:rsidRPr="00EB08A6">
        <w:rPr>
          <w:i/>
          <w:szCs w:val="26"/>
        </w:rPr>
        <w:t xml:space="preserve"> </w:t>
      </w:r>
      <w:r w:rsidR="009D42D9" w:rsidRPr="00EB08A6">
        <w:rPr>
          <w:szCs w:val="26"/>
        </w:rPr>
        <w:t xml:space="preserve">177 Cal.App.4th </w:t>
      </w:r>
      <w:r w:rsidR="002C6842" w:rsidRPr="00EB08A6">
        <w:rPr>
          <w:szCs w:val="26"/>
        </w:rPr>
        <w:t xml:space="preserve">at p. </w:t>
      </w:r>
      <w:r w:rsidR="009D42D9" w:rsidRPr="00EB08A6">
        <w:rPr>
          <w:szCs w:val="26"/>
        </w:rPr>
        <w:t>9</w:t>
      </w:r>
      <w:r w:rsidR="0009156F" w:rsidRPr="00EB08A6">
        <w:rPr>
          <w:szCs w:val="26"/>
        </w:rPr>
        <w:t>79</w:t>
      </w:r>
      <w:r w:rsidR="009D42D9" w:rsidRPr="00EB08A6">
        <w:rPr>
          <w:szCs w:val="26"/>
        </w:rPr>
        <w:t xml:space="preserve">; </w:t>
      </w:r>
      <w:r w:rsidR="009E7724" w:rsidRPr="00EB08A6">
        <w:rPr>
          <w:szCs w:val="26"/>
        </w:rPr>
        <w:t xml:space="preserve">accord </w:t>
      </w:r>
      <w:r w:rsidR="009E7724" w:rsidRPr="00EB08A6">
        <w:rPr>
          <w:i/>
          <w:color w:val="000000"/>
          <w:szCs w:val="26"/>
        </w:rPr>
        <w:t>Laurel Heights I</w:t>
      </w:r>
      <w:r w:rsidR="009E7724" w:rsidRPr="00EB08A6">
        <w:rPr>
          <w:color w:val="000000"/>
          <w:szCs w:val="26"/>
        </w:rPr>
        <w:t>,</w:t>
      </w:r>
      <w:r w:rsidR="009E7724" w:rsidRPr="00EB08A6">
        <w:rPr>
          <w:i/>
          <w:color w:val="000000"/>
          <w:szCs w:val="26"/>
        </w:rPr>
        <w:t xml:space="preserve"> supra</w:t>
      </w:r>
      <w:r w:rsidR="009E7724" w:rsidRPr="00EB08A6">
        <w:rPr>
          <w:color w:val="000000"/>
          <w:szCs w:val="26"/>
        </w:rPr>
        <w:t>, 47 Cal.3d at p.</w:t>
      </w:r>
      <w:r w:rsidR="009E7724" w:rsidRPr="00EB08A6" w:rsidDel="00ED568E">
        <w:rPr>
          <w:i/>
          <w:color w:val="000000"/>
          <w:szCs w:val="26"/>
        </w:rPr>
        <w:t xml:space="preserve"> </w:t>
      </w:r>
      <w:r w:rsidR="009E7724" w:rsidRPr="00EB08A6">
        <w:rPr>
          <w:color w:val="000000"/>
          <w:szCs w:val="26"/>
        </w:rPr>
        <w:t>406</w:t>
      </w:r>
      <w:r w:rsidR="00CB3087" w:rsidRPr="00EB08A6">
        <w:rPr>
          <w:color w:val="000000"/>
          <w:szCs w:val="26"/>
        </w:rPr>
        <w:t>;</w:t>
      </w:r>
      <w:r w:rsidR="009E7724" w:rsidRPr="00EB08A6">
        <w:rPr>
          <w:color w:val="000000"/>
          <w:szCs w:val="26"/>
        </w:rPr>
        <w:t xml:space="preserve"> </w:t>
      </w:r>
      <w:r w:rsidR="009D42D9" w:rsidRPr="00EB08A6">
        <w:rPr>
          <w:szCs w:val="26"/>
        </w:rPr>
        <w:t>see Guidelines, § 15151 [“</w:t>
      </w:r>
      <w:r w:rsidR="009D42D9" w:rsidRPr="00EB08A6">
        <w:rPr>
          <w:color w:val="212121"/>
          <w:szCs w:val="26"/>
          <w:shd w:val="clear" w:color="auto" w:fill="FFFFFF"/>
        </w:rPr>
        <w:t>An evaluation of the environmental effects of a proposed project need not be exhaustive, but the sufficiency of an EIR is to be reviewed in the light of what is reasonably feasible.”].)</w:t>
      </w:r>
      <w:r w:rsidR="00497B4A" w:rsidRPr="00EB08A6">
        <w:rPr>
          <w:color w:val="212121"/>
          <w:szCs w:val="26"/>
          <w:shd w:val="clear" w:color="auto" w:fill="FFFFFF"/>
        </w:rPr>
        <w:t xml:space="preserve">  </w:t>
      </w:r>
    </w:p>
    <w:p w:rsidR="009D42D9" w:rsidRPr="00EB08A6" w:rsidRDefault="00D86844" w:rsidP="009E0DE1">
      <w:pPr>
        <w:ind w:firstLine="720"/>
        <w:rPr>
          <w:szCs w:val="26"/>
        </w:rPr>
      </w:pPr>
      <w:r w:rsidRPr="00EB08A6">
        <w:rPr>
          <w:szCs w:val="26"/>
        </w:rPr>
        <w:t>Three</w:t>
      </w:r>
      <w:r w:rsidR="009D42D9" w:rsidRPr="00EB08A6">
        <w:rPr>
          <w:szCs w:val="26"/>
        </w:rPr>
        <w:t xml:space="preserve"> basic principles</w:t>
      </w:r>
      <w:r w:rsidRPr="00EB08A6">
        <w:rPr>
          <w:szCs w:val="26"/>
        </w:rPr>
        <w:t xml:space="preserve"> emerge from our decisions and those of the Court of Appeal</w:t>
      </w:r>
      <w:r w:rsidR="009D42D9" w:rsidRPr="00EB08A6">
        <w:rPr>
          <w:szCs w:val="26"/>
        </w:rPr>
        <w:t xml:space="preserve">:  (1) An agency has considerable discretion to decide the manner of the discussion of potentially significant effects in an EIR.  (2) </w:t>
      </w:r>
      <w:r w:rsidR="00DC4D1F" w:rsidRPr="00EB08A6">
        <w:rPr>
          <w:szCs w:val="26"/>
        </w:rPr>
        <w:t>However, a</w:t>
      </w:r>
      <w:r w:rsidR="009D42D9" w:rsidRPr="00EB08A6">
        <w:rPr>
          <w:szCs w:val="26"/>
        </w:rPr>
        <w:t xml:space="preserve"> reviewing court must determine whether the discussion of a </w:t>
      </w:r>
      <w:r w:rsidR="001415FC" w:rsidRPr="00EB08A6">
        <w:rPr>
          <w:szCs w:val="26"/>
        </w:rPr>
        <w:t>potentially</w:t>
      </w:r>
      <w:r w:rsidR="009D42D9" w:rsidRPr="00EB08A6">
        <w:rPr>
          <w:szCs w:val="26"/>
        </w:rPr>
        <w:t xml:space="preserve"> significant effect is sufficient or insufficient, i.e., whether the EIR comports with its intended function of including “ ‘</w:t>
      </w:r>
      <w:r w:rsidR="00CB3087" w:rsidRPr="00EB08A6">
        <w:rPr>
          <w:szCs w:val="26"/>
        </w:rPr>
        <w:t> “</w:t>
      </w:r>
      <w:r w:rsidR="009D42D9" w:rsidRPr="00EB08A6">
        <w:rPr>
          <w:szCs w:val="26"/>
        </w:rPr>
        <w:t>detail sufficient to enable those who did not participate in its preparation to understand and to consider meaningfully the issues raised by the proposed project.</w:t>
      </w:r>
      <w:r w:rsidR="00CB3087" w:rsidRPr="00EB08A6">
        <w:rPr>
          <w:szCs w:val="26"/>
        </w:rPr>
        <w:t>” </w:t>
      </w:r>
      <w:r w:rsidR="009D42D9" w:rsidRPr="00EB08A6">
        <w:rPr>
          <w:szCs w:val="26"/>
        </w:rPr>
        <w:t>’ ”  (</w:t>
      </w:r>
      <w:r w:rsidR="009D42D9" w:rsidRPr="00EB08A6">
        <w:rPr>
          <w:i/>
          <w:szCs w:val="26"/>
        </w:rPr>
        <w:t>Bakersfield Citizens for Local Control v</w:t>
      </w:r>
      <w:r w:rsidR="00B03A49" w:rsidRPr="00EB08A6">
        <w:rPr>
          <w:szCs w:val="26"/>
        </w:rPr>
        <w:t>.</w:t>
      </w:r>
      <w:r w:rsidR="009D42D9" w:rsidRPr="00EB08A6">
        <w:rPr>
          <w:i/>
          <w:szCs w:val="26"/>
        </w:rPr>
        <w:t xml:space="preserve"> City of Bakersfield</w:t>
      </w:r>
      <w:r w:rsidR="009D42D9" w:rsidRPr="00EB08A6">
        <w:rPr>
          <w:szCs w:val="26"/>
        </w:rPr>
        <w:t xml:space="preserve"> (2004) 124 Cal.App.4th 1184, 1197</w:t>
      </w:r>
      <w:r w:rsidR="0009156F" w:rsidRPr="00EB08A6">
        <w:rPr>
          <w:szCs w:val="26"/>
        </w:rPr>
        <w:t xml:space="preserve"> (</w:t>
      </w:r>
      <w:r w:rsidR="0009156F" w:rsidRPr="00EB08A6">
        <w:rPr>
          <w:i/>
          <w:szCs w:val="26"/>
        </w:rPr>
        <w:t>Bakersfield</w:t>
      </w:r>
      <w:r w:rsidR="0009156F" w:rsidRPr="00EB08A6">
        <w:rPr>
          <w:szCs w:val="26"/>
        </w:rPr>
        <w:t>)</w:t>
      </w:r>
      <w:r w:rsidR="009D42D9" w:rsidRPr="00EB08A6">
        <w:rPr>
          <w:szCs w:val="26"/>
        </w:rPr>
        <w:t xml:space="preserve">.)  (3) The determination whether a discussion is sufficient is not solely a matter of discerning whether there is substantial evidence to support the agency’s </w:t>
      </w:r>
      <w:r w:rsidR="00987540">
        <w:rPr>
          <w:szCs w:val="26"/>
        </w:rPr>
        <w:t xml:space="preserve">factual </w:t>
      </w:r>
      <w:r w:rsidR="009D42D9" w:rsidRPr="00EB08A6">
        <w:rPr>
          <w:szCs w:val="26"/>
        </w:rPr>
        <w:t>conclusions.</w:t>
      </w:r>
    </w:p>
    <w:p w:rsidR="009D42D9" w:rsidRPr="00EB08A6" w:rsidRDefault="009D42D9" w:rsidP="009E0DE1">
      <w:pPr>
        <w:ind w:firstLine="720"/>
        <w:rPr>
          <w:szCs w:val="26"/>
        </w:rPr>
      </w:pPr>
      <w:r w:rsidRPr="00EB08A6">
        <w:rPr>
          <w:szCs w:val="26"/>
        </w:rPr>
        <w:t xml:space="preserve">The ultimate inquiry, as case law and the CEQA </w:t>
      </w:r>
      <w:r w:rsidR="00CB3087" w:rsidRPr="00EB08A6">
        <w:rPr>
          <w:szCs w:val="26"/>
        </w:rPr>
        <w:t>g</w:t>
      </w:r>
      <w:r w:rsidRPr="00EB08A6">
        <w:rPr>
          <w:szCs w:val="26"/>
        </w:rPr>
        <w:t>uidelines make clear, is whether the EIR includes enough detail “to enable those who did not participate in its preparation to understand and to consider meaningfully the issues raised by the proposed project.”  (</w:t>
      </w:r>
      <w:r w:rsidRPr="00EB08A6">
        <w:rPr>
          <w:i/>
          <w:szCs w:val="26"/>
        </w:rPr>
        <w:t>Laurel Heights</w:t>
      </w:r>
      <w:r w:rsidR="006E0DF4" w:rsidRPr="00EB08A6">
        <w:rPr>
          <w:i/>
          <w:szCs w:val="26"/>
        </w:rPr>
        <w:t xml:space="preserve"> I</w:t>
      </w:r>
      <w:r w:rsidRPr="00EB08A6">
        <w:rPr>
          <w:szCs w:val="26"/>
        </w:rPr>
        <w:t xml:space="preserve">, </w:t>
      </w:r>
      <w:r w:rsidRPr="00EB08A6">
        <w:rPr>
          <w:i/>
          <w:szCs w:val="26"/>
        </w:rPr>
        <w:t>supra</w:t>
      </w:r>
      <w:r w:rsidRPr="00EB08A6">
        <w:rPr>
          <w:szCs w:val="26"/>
        </w:rPr>
        <w:t xml:space="preserve">, 47 Cal.3d at p. 405; see </w:t>
      </w:r>
      <w:r w:rsidRPr="00EB08A6">
        <w:rPr>
          <w:i/>
          <w:szCs w:val="26"/>
        </w:rPr>
        <w:t>Berkeley Keep Jets</w:t>
      </w:r>
      <w:r w:rsidR="00CB3087" w:rsidRPr="00EB08A6">
        <w:rPr>
          <w:i/>
          <w:szCs w:val="26"/>
        </w:rPr>
        <w:t xml:space="preserve"> Over the Bay Com. </w:t>
      </w:r>
      <w:r w:rsidR="009D72C1" w:rsidRPr="00EB08A6">
        <w:rPr>
          <w:i/>
          <w:szCs w:val="26"/>
        </w:rPr>
        <w:t>v</w:t>
      </w:r>
      <w:r w:rsidR="00CB3087" w:rsidRPr="00EB08A6">
        <w:rPr>
          <w:i/>
          <w:szCs w:val="26"/>
        </w:rPr>
        <w:t xml:space="preserve">. Board of Port </w:t>
      </w:r>
      <w:proofErr w:type="spellStart"/>
      <w:r w:rsidR="00CB3087" w:rsidRPr="00EB08A6">
        <w:rPr>
          <w:i/>
          <w:szCs w:val="26"/>
        </w:rPr>
        <w:t>Cmrs</w:t>
      </w:r>
      <w:proofErr w:type="spellEnd"/>
      <w:r w:rsidR="00CB3087" w:rsidRPr="00EB08A6">
        <w:rPr>
          <w:i/>
          <w:szCs w:val="26"/>
        </w:rPr>
        <w:t>.</w:t>
      </w:r>
      <w:r w:rsidRPr="00EB08A6">
        <w:rPr>
          <w:szCs w:val="26"/>
        </w:rPr>
        <w:t xml:space="preserve">, </w:t>
      </w:r>
      <w:r w:rsidRPr="00EB08A6">
        <w:rPr>
          <w:i/>
          <w:szCs w:val="26"/>
        </w:rPr>
        <w:t>supra</w:t>
      </w:r>
      <w:r w:rsidRPr="00EB08A6">
        <w:rPr>
          <w:szCs w:val="26"/>
        </w:rPr>
        <w:t xml:space="preserve">, 91 Cal.App.4th at p. 1356 [“Whether an EIR will be found in compliance with CEQA involves an evaluation of whether the </w:t>
      </w:r>
      <w:r w:rsidRPr="00EB08A6">
        <w:rPr>
          <w:color w:val="000000"/>
          <w:szCs w:val="26"/>
        </w:rPr>
        <w:t>discussion of environmental impacts reasonably sets forth sufficient information to foster informed public participation and to enable the decision makers to consider the environmental factors necessary to make a reasoned decision</w:t>
      </w:r>
      <w:r w:rsidRPr="00EB08A6">
        <w:rPr>
          <w:szCs w:val="26"/>
        </w:rPr>
        <w:t xml:space="preserve">.”]; Guidelines, § 15151 [“An EIR should be prepared with a </w:t>
      </w:r>
      <w:r w:rsidRPr="00EB08A6">
        <w:rPr>
          <w:color w:val="000000"/>
          <w:szCs w:val="26"/>
        </w:rPr>
        <w:t xml:space="preserve">sufficient degree of analysis to provide decisionmakers with information which enables them to make a decision which intelligently takes account of environmental consequences.”].)  </w:t>
      </w:r>
      <w:r w:rsidR="00E07A0B" w:rsidRPr="00EB08A6">
        <w:rPr>
          <w:color w:val="000000"/>
          <w:szCs w:val="26"/>
        </w:rPr>
        <w:t xml:space="preserve">The inquiry </w:t>
      </w:r>
      <w:r w:rsidRPr="00EB08A6">
        <w:rPr>
          <w:color w:val="000000"/>
          <w:szCs w:val="26"/>
        </w:rPr>
        <w:t>presents a mixed question of law and fact.</w:t>
      </w:r>
      <w:r w:rsidR="0055667A" w:rsidRPr="00EB08A6">
        <w:rPr>
          <w:color w:val="000000"/>
          <w:szCs w:val="26"/>
        </w:rPr>
        <w:t xml:space="preserve">  As such, it is generally subject to independent review.  However, </w:t>
      </w:r>
      <w:r w:rsidR="00F17D6D">
        <w:rPr>
          <w:color w:val="000000"/>
          <w:szCs w:val="26"/>
        </w:rPr>
        <w:t xml:space="preserve">underlying </w:t>
      </w:r>
      <w:r w:rsidR="0055667A" w:rsidRPr="00EB08A6">
        <w:rPr>
          <w:color w:val="000000"/>
          <w:szCs w:val="26"/>
        </w:rPr>
        <w:t>factual determinations</w:t>
      </w:r>
      <w:r w:rsidR="00E44971">
        <w:rPr>
          <w:color w:val="000000"/>
          <w:szCs w:val="26"/>
        </w:rPr>
        <w:t>—</w:t>
      </w:r>
      <w:r w:rsidR="00F17D6D">
        <w:rPr>
          <w:color w:val="000000"/>
          <w:szCs w:val="26"/>
        </w:rPr>
        <w:t xml:space="preserve">including, for example, </w:t>
      </w:r>
      <w:r w:rsidR="0055667A" w:rsidRPr="00EB08A6">
        <w:rPr>
          <w:color w:val="000000"/>
          <w:szCs w:val="26"/>
        </w:rPr>
        <w:t xml:space="preserve">an agency’s decision as to which methodologies </w:t>
      </w:r>
      <w:r w:rsidR="00E44971">
        <w:rPr>
          <w:color w:val="000000"/>
          <w:szCs w:val="26"/>
        </w:rPr>
        <w:t>to employ for analyzing</w:t>
      </w:r>
      <w:r w:rsidR="0055667A" w:rsidRPr="00EB08A6">
        <w:rPr>
          <w:color w:val="000000"/>
          <w:szCs w:val="26"/>
        </w:rPr>
        <w:t xml:space="preserve"> an environmental effect—may warrant </w:t>
      </w:r>
      <w:r w:rsidR="00E44971">
        <w:rPr>
          <w:color w:val="000000"/>
          <w:szCs w:val="26"/>
        </w:rPr>
        <w:t>d</w:t>
      </w:r>
      <w:r w:rsidR="0055667A" w:rsidRPr="00EB08A6">
        <w:rPr>
          <w:color w:val="000000"/>
          <w:szCs w:val="26"/>
        </w:rPr>
        <w:t>eferen</w:t>
      </w:r>
      <w:r w:rsidR="00E44971">
        <w:rPr>
          <w:color w:val="000000"/>
          <w:szCs w:val="26"/>
        </w:rPr>
        <w:t>ce</w:t>
      </w:r>
      <w:r w:rsidR="0055667A" w:rsidRPr="00EB08A6">
        <w:rPr>
          <w:color w:val="000000"/>
          <w:szCs w:val="26"/>
        </w:rPr>
        <w:t xml:space="preserve">.  (Cf. </w:t>
      </w:r>
      <w:r w:rsidR="0055667A" w:rsidRPr="00EB08A6">
        <w:rPr>
          <w:i/>
          <w:color w:val="000000"/>
          <w:szCs w:val="26"/>
        </w:rPr>
        <w:t>Mountain Air Enterprises</w:t>
      </w:r>
      <w:r w:rsidR="0055667A" w:rsidRPr="00EB08A6">
        <w:rPr>
          <w:color w:val="000000"/>
          <w:szCs w:val="26"/>
        </w:rPr>
        <w:t>,</w:t>
      </w:r>
      <w:r w:rsidR="0055667A" w:rsidRPr="00EB08A6">
        <w:rPr>
          <w:i/>
          <w:color w:val="000000"/>
          <w:szCs w:val="26"/>
        </w:rPr>
        <w:t xml:space="preserve"> LLC v</w:t>
      </w:r>
      <w:r w:rsidR="0055667A" w:rsidRPr="00EB08A6">
        <w:rPr>
          <w:color w:val="000000"/>
          <w:szCs w:val="26"/>
        </w:rPr>
        <w:t>.</w:t>
      </w:r>
      <w:r w:rsidR="0055667A" w:rsidRPr="00EB08A6">
        <w:rPr>
          <w:i/>
          <w:color w:val="000000"/>
          <w:szCs w:val="26"/>
        </w:rPr>
        <w:t xml:space="preserve"> Sundowner Towers</w:t>
      </w:r>
      <w:r w:rsidR="0055667A" w:rsidRPr="00EB08A6">
        <w:rPr>
          <w:color w:val="000000"/>
          <w:szCs w:val="26"/>
        </w:rPr>
        <w:t>,</w:t>
      </w:r>
      <w:r w:rsidR="0055667A" w:rsidRPr="00EB08A6">
        <w:rPr>
          <w:i/>
          <w:color w:val="000000"/>
          <w:szCs w:val="26"/>
        </w:rPr>
        <w:t xml:space="preserve"> LLC</w:t>
      </w:r>
      <w:r w:rsidR="0055667A" w:rsidRPr="00EB08A6">
        <w:rPr>
          <w:color w:val="000000"/>
          <w:szCs w:val="26"/>
        </w:rPr>
        <w:t xml:space="preserve"> (2017) 3 Cal.5th 744, 751; </w:t>
      </w:r>
      <w:r w:rsidR="0055667A" w:rsidRPr="00EB08A6">
        <w:rPr>
          <w:i/>
          <w:color w:val="000000"/>
          <w:szCs w:val="26"/>
        </w:rPr>
        <w:t>Crocker National Bank v</w:t>
      </w:r>
      <w:r w:rsidR="0055667A" w:rsidRPr="00EB08A6">
        <w:rPr>
          <w:color w:val="000000"/>
          <w:szCs w:val="26"/>
        </w:rPr>
        <w:t>.</w:t>
      </w:r>
      <w:r w:rsidR="0055667A" w:rsidRPr="00EB08A6">
        <w:rPr>
          <w:i/>
          <w:color w:val="000000"/>
          <w:szCs w:val="26"/>
        </w:rPr>
        <w:t xml:space="preserve"> City and County of San Francisco</w:t>
      </w:r>
      <w:r w:rsidR="0055667A" w:rsidRPr="00EB08A6">
        <w:rPr>
          <w:color w:val="000000"/>
          <w:szCs w:val="26"/>
        </w:rPr>
        <w:t xml:space="preserve"> (1989) 49 Cal.3d 881, 888.)</w:t>
      </w:r>
      <w:r w:rsidR="0055667A" w:rsidRPr="00EB08A6">
        <w:rPr>
          <w:szCs w:val="26"/>
        </w:rPr>
        <w:t xml:space="preserve">  </w:t>
      </w:r>
      <w:r w:rsidR="0055667A" w:rsidRPr="00EB08A6">
        <w:rPr>
          <w:color w:val="000000"/>
          <w:szCs w:val="26"/>
        </w:rPr>
        <w:t xml:space="preserve">Thus, to the extent </w:t>
      </w:r>
      <w:r w:rsidR="00FC03F4" w:rsidRPr="00EB08A6">
        <w:rPr>
          <w:color w:val="000000"/>
          <w:szCs w:val="26"/>
        </w:rPr>
        <w:t>a mixed question requires a determination whether statutory criteria were satisfied, de</w:t>
      </w:r>
      <w:r w:rsidR="00CB3087" w:rsidRPr="00EB08A6">
        <w:rPr>
          <w:color w:val="000000"/>
          <w:szCs w:val="26"/>
        </w:rPr>
        <w:t xml:space="preserve"> </w:t>
      </w:r>
      <w:r w:rsidR="00FC03F4" w:rsidRPr="00EB08A6">
        <w:rPr>
          <w:color w:val="000000"/>
          <w:szCs w:val="26"/>
        </w:rPr>
        <w:t>novo review is appropriate; but to the exten</w:t>
      </w:r>
      <w:r w:rsidR="0055667A" w:rsidRPr="00EB08A6">
        <w:rPr>
          <w:color w:val="000000"/>
          <w:szCs w:val="26"/>
        </w:rPr>
        <w:t>t</w:t>
      </w:r>
      <w:r w:rsidR="00FC03F4" w:rsidRPr="00EB08A6">
        <w:rPr>
          <w:color w:val="000000"/>
          <w:szCs w:val="26"/>
        </w:rPr>
        <w:t xml:space="preserve"> factual questions predominate, a more deferential standard is warranted.  (</w:t>
      </w:r>
      <w:proofErr w:type="spellStart"/>
      <w:r w:rsidR="00FC03F4" w:rsidRPr="00EB08A6">
        <w:rPr>
          <w:i/>
          <w:color w:val="000000"/>
          <w:szCs w:val="26"/>
        </w:rPr>
        <w:t>Connerly</w:t>
      </w:r>
      <w:proofErr w:type="spellEnd"/>
      <w:r w:rsidR="00FC03F4" w:rsidRPr="00EB08A6">
        <w:rPr>
          <w:i/>
          <w:color w:val="000000"/>
          <w:szCs w:val="26"/>
        </w:rPr>
        <w:t xml:space="preserve"> v. State Personnel Bd. </w:t>
      </w:r>
      <w:r w:rsidR="00FC03F4" w:rsidRPr="00EB08A6">
        <w:rPr>
          <w:color w:val="000000"/>
          <w:szCs w:val="26"/>
        </w:rPr>
        <w:t>(2006</w:t>
      </w:r>
      <w:r w:rsidR="000B312B" w:rsidRPr="00EB08A6">
        <w:rPr>
          <w:color w:val="000000"/>
          <w:szCs w:val="26"/>
        </w:rPr>
        <w:t>) 37 Cal.4</w:t>
      </w:r>
      <w:r w:rsidR="00FC03F4" w:rsidRPr="00EB08A6">
        <w:rPr>
          <w:color w:val="000000"/>
          <w:szCs w:val="26"/>
        </w:rPr>
        <w:t xml:space="preserve">th 1169,1175.)  </w:t>
      </w:r>
    </w:p>
    <w:p w:rsidR="00E23F67" w:rsidRPr="00EB08A6" w:rsidRDefault="00407ADC" w:rsidP="009E0DE1">
      <w:pPr>
        <w:ind w:firstLine="720"/>
        <w:rPr>
          <w:color w:val="000000"/>
          <w:szCs w:val="26"/>
        </w:rPr>
      </w:pPr>
      <w:r w:rsidRPr="00EB08A6">
        <w:rPr>
          <w:szCs w:val="26"/>
        </w:rPr>
        <w:t>Real p</w:t>
      </w:r>
      <w:r w:rsidR="004473CB" w:rsidRPr="00EB08A6">
        <w:rPr>
          <w:szCs w:val="26"/>
        </w:rPr>
        <w:t>arty</w:t>
      </w:r>
      <w:r w:rsidR="009D42D9" w:rsidRPr="00EB08A6">
        <w:rPr>
          <w:szCs w:val="26"/>
        </w:rPr>
        <w:t xml:space="preserve"> draw</w:t>
      </w:r>
      <w:r w:rsidR="004847F0" w:rsidRPr="00EB08A6">
        <w:rPr>
          <w:szCs w:val="26"/>
        </w:rPr>
        <w:t>s</w:t>
      </w:r>
      <w:r w:rsidR="009D42D9" w:rsidRPr="00EB08A6">
        <w:rPr>
          <w:szCs w:val="26"/>
        </w:rPr>
        <w:t xml:space="preserve"> a distinction </w:t>
      </w:r>
      <w:r w:rsidR="00D52F7E" w:rsidRPr="00EB08A6">
        <w:rPr>
          <w:szCs w:val="26"/>
        </w:rPr>
        <w:t xml:space="preserve">for standard of review purposes </w:t>
      </w:r>
      <w:r w:rsidR="009D42D9" w:rsidRPr="00EB08A6">
        <w:rPr>
          <w:szCs w:val="26"/>
        </w:rPr>
        <w:t>between claims that a required discussion has been omitted altogether and claims that a required discussion is insufficient, with the former subject to de novo review and the latter subject to substantial evidence review.</w:t>
      </w:r>
      <w:r w:rsidR="00C41AEE" w:rsidRPr="00EB08A6">
        <w:rPr>
          <w:szCs w:val="26"/>
        </w:rPr>
        <w:t xml:space="preserve"> </w:t>
      </w:r>
      <w:r w:rsidR="00EB43DE" w:rsidRPr="00EB08A6">
        <w:rPr>
          <w:szCs w:val="26"/>
        </w:rPr>
        <w:t xml:space="preserve"> </w:t>
      </w:r>
      <w:r w:rsidR="009D42D9" w:rsidRPr="00EB08A6">
        <w:rPr>
          <w:szCs w:val="26"/>
        </w:rPr>
        <w:t xml:space="preserve">But </w:t>
      </w:r>
      <w:r w:rsidR="004B5E3A" w:rsidRPr="00EB08A6">
        <w:rPr>
          <w:szCs w:val="26"/>
        </w:rPr>
        <w:t xml:space="preserve">such a distinction is </w:t>
      </w:r>
      <w:r w:rsidR="009D42D9" w:rsidRPr="00EB08A6">
        <w:rPr>
          <w:szCs w:val="26"/>
        </w:rPr>
        <w:t xml:space="preserve">neither consistent with our precedent (see </w:t>
      </w:r>
      <w:r w:rsidR="009D42D9" w:rsidRPr="00EB08A6">
        <w:rPr>
          <w:i/>
          <w:szCs w:val="26"/>
        </w:rPr>
        <w:t>Laurel Heights</w:t>
      </w:r>
      <w:r w:rsidR="008254B2" w:rsidRPr="00EB08A6">
        <w:rPr>
          <w:i/>
          <w:szCs w:val="26"/>
        </w:rPr>
        <w:t xml:space="preserve"> I</w:t>
      </w:r>
      <w:r w:rsidR="009D42D9" w:rsidRPr="00EB08A6">
        <w:rPr>
          <w:szCs w:val="26"/>
        </w:rPr>
        <w:t xml:space="preserve">, </w:t>
      </w:r>
      <w:r w:rsidR="009D42D9" w:rsidRPr="00EB08A6">
        <w:rPr>
          <w:i/>
          <w:szCs w:val="26"/>
        </w:rPr>
        <w:t>supra</w:t>
      </w:r>
      <w:r w:rsidR="009D42D9" w:rsidRPr="00EB08A6">
        <w:rPr>
          <w:szCs w:val="26"/>
        </w:rPr>
        <w:t xml:space="preserve">, 47 Cal.3d at pp. 403–405) nor logically defensible.  </w:t>
      </w:r>
      <w:r w:rsidR="006B1F5F" w:rsidRPr="00EB08A6">
        <w:rPr>
          <w:szCs w:val="26"/>
        </w:rPr>
        <w:t xml:space="preserve">Whether or not the alleged inadequacy is </w:t>
      </w:r>
      <w:r w:rsidR="009D42D9" w:rsidRPr="00EB08A6">
        <w:rPr>
          <w:szCs w:val="26"/>
        </w:rPr>
        <w:t xml:space="preserve">the complete omission of a required discussion </w:t>
      </w:r>
      <w:r w:rsidR="006B1F5F" w:rsidRPr="00EB08A6">
        <w:rPr>
          <w:szCs w:val="26"/>
        </w:rPr>
        <w:t xml:space="preserve">or a </w:t>
      </w:r>
      <w:r w:rsidR="009D42D9" w:rsidRPr="00EB08A6">
        <w:rPr>
          <w:szCs w:val="26"/>
        </w:rPr>
        <w:t>patently inadequate one-paragraph discussion devoid of analysis</w:t>
      </w:r>
      <w:r w:rsidR="006B1F5F" w:rsidRPr="00EB08A6">
        <w:rPr>
          <w:szCs w:val="26"/>
        </w:rPr>
        <w:t xml:space="preserve">, </w:t>
      </w:r>
      <w:r w:rsidR="00116A48" w:rsidRPr="00EB08A6">
        <w:rPr>
          <w:szCs w:val="26"/>
        </w:rPr>
        <w:t xml:space="preserve">the reviewing court must decide whether the EIR serves its purpose as an informational document.  </w:t>
      </w:r>
    </w:p>
    <w:p w:rsidR="0055403D" w:rsidRPr="00EB08A6" w:rsidRDefault="0055403D" w:rsidP="009E0DE1">
      <w:pPr>
        <w:pStyle w:val="Heading3"/>
        <w:jc w:val="both"/>
      </w:pPr>
      <w:r w:rsidRPr="00EB08A6">
        <w:rPr>
          <w:i w:val="0"/>
        </w:rPr>
        <w:t>2</w:t>
      </w:r>
      <w:r w:rsidR="00B03A49" w:rsidRPr="00EB08A6">
        <w:rPr>
          <w:i w:val="0"/>
        </w:rPr>
        <w:t>.</w:t>
      </w:r>
      <w:r w:rsidRPr="00EB08A6">
        <w:t xml:space="preserve">  </w:t>
      </w:r>
      <w:r w:rsidR="00860A6C" w:rsidRPr="00EB08A6">
        <w:t>The EIR’s air quality discussion</w:t>
      </w:r>
    </w:p>
    <w:p w:rsidR="005F1A6E" w:rsidRPr="00EB08A6" w:rsidRDefault="001D04D5" w:rsidP="009E0DE1">
      <w:pPr>
        <w:tabs>
          <w:tab w:val="left" w:pos="1440"/>
        </w:tabs>
        <w:ind w:firstLine="720"/>
        <w:rPr>
          <w:color w:val="000000"/>
          <w:szCs w:val="26"/>
        </w:rPr>
      </w:pPr>
      <w:r w:rsidRPr="00EB08A6">
        <w:rPr>
          <w:color w:val="000000"/>
          <w:szCs w:val="26"/>
        </w:rPr>
        <w:t xml:space="preserve">The Court of Appeal’s opinion </w:t>
      </w:r>
      <w:r w:rsidR="0093665E" w:rsidRPr="00EB08A6">
        <w:rPr>
          <w:color w:val="000000"/>
          <w:szCs w:val="26"/>
        </w:rPr>
        <w:t xml:space="preserve">presents a concise summary of the EIR’s discussion regarding the </w:t>
      </w:r>
      <w:r w:rsidR="006B0FF1" w:rsidRPr="00EB08A6">
        <w:rPr>
          <w:color w:val="000000"/>
          <w:szCs w:val="26"/>
        </w:rPr>
        <w:t>Project’s air quality impacts on public health</w:t>
      </w:r>
      <w:r w:rsidR="000C6939" w:rsidRPr="00EB08A6">
        <w:rPr>
          <w:color w:val="000000"/>
          <w:szCs w:val="26"/>
        </w:rPr>
        <w:t>.</w:t>
      </w:r>
      <w:r w:rsidR="006B0FF1" w:rsidRPr="00EB08A6">
        <w:rPr>
          <w:color w:val="000000"/>
          <w:szCs w:val="26"/>
        </w:rPr>
        <w:t xml:space="preserve"> </w:t>
      </w:r>
    </w:p>
    <w:p w:rsidR="006B0FF1" w:rsidRPr="00EB08A6" w:rsidRDefault="00FD1794" w:rsidP="009E0DE1">
      <w:pPr>
        <w:tabs>
          <w:tab w:val="left" w:pos="1440"/>
        </w:tabs>
        <w:ind w:firstLine="720"/>
        <w:rPr>
          <w:color w:val="000000"/>
          <w:szCs w:val="26"/>
        </w:rPr>
      </w:pPr>
      <w:r w:rsidRPr="00EB08A6">
        <w:rPr>
          <w:color w:val="000000"/>
          <w:szCs w:val="26"/>
        </w:rPr>
        <w:t>“</w:t>
      </w:r>
      <w:r w:rsidR="006B0FF1" w:rsidRPr="00EB08A6">
        <w:rPr>
          <w:color w:val="000000"/>
          <w:szCs w:val="26"/>
        </w:rPr>
        <w:t>The EIR</w:t>
      </w:r>
      <w:r w:rsidR="00A9736C" w:rsidRPr="00EB08A6">
        <w:rPr>
          <w:color w:val="000000"/>
          <w:szCs w:val="26"/>
        </w:rPr>
        <w:t>’</w:t>
      </w:r>
      <w:r w:rsidR="006B0FF1" w:rsidRPr="00EB08A6">
        <w:rPr>
          <w:color w:val="000000"/>
          <w:szCs w:val="26"/>
        </w:rPr>
        <w:t xml:space="preserve">s discussion of Impact </w:t>
      </w:r>
      <w:r w:rsidR="00151E7D" w:rsidRPr="00EB08A6">
        <w:rPr>
          <w:color w:val="000000"/>
          <w:szCs w:val="26"/>
        </w:rPr>
        <w:t>No.</w:t>
      </w:r>
      <w:r w:rsidR="006B0FF1" w:rsidRPr="00EB08A6">
        <w:rPr>
          <w:color w:val="000000"/>
          <w:szCs w:val="26"/>
        </w:rPr>
        <w:t>3.3.2, the long-term area and operational emissions, estimated that, at build-out, the proposed Friant Community Plan would emit approximately 117.38 tons per year of PM10</w:t>
      </w:r>
      <w:r w:rsidR="00A9736C" w:rsidRPr="00EB08A6">
        <w:rPr>
          <w:color w:val="000000"/>
          <w:szCs w:val="26"/>
        </w:rPr>
        <w:t xml:space="preserve"> [particulate matter 10 microns in diameter or smaller]</w:t>
      </w:r>
      <w:r w:rsidR="006B0FF1" w:rsidRPr="00EB08A6">
        <w:rPr>
          <w:color w:val="000000"/>
          <w:szCs w:val="26"/>
        </w:rPr>
        <w:t>, 109.52 tons per year of reactive organic gases (ROG), and 102.19 tons per year of nitrogen oxides (NOx). Estimates were made for ROG and NOx because they are precursors to ozone, which is formed when ROG and NOx undergo chemical reactions in the presence of sunlight.</w:t>
      </w:r>
    </w:p>
    <w:p w:rsidR="006B0FF1" w:rsidRPr="00EB08A6" w:rsidRDefault="00FD1794" w:rsidP="009E0DE1">
      <w:pPr>
        <w:tabs>
          <w:tab w:val="left" w:pos="1440"/>
        </w:tabs>
        <w:ind w:firstLine="720"/>
        <w:rPr>
          <w:color w:val="000000"/>
          <w:szCs w:val="26"/>
        </w:rPr>
      </w:pPr>
      <w:r w:rsidRPr="00EB08A6">
        <w:rPr>
          <w:color w:val="000000"/>
          <w:szCs w:val="26"/>
        </w:rPr>
        <w:t>“</w:t>
      </w:r>
      <w:r w:rsidR="006B0FF1" w:rsidRPr="00EB08A6">
        <w:rPr>
          <w:color w:val="000000"/>
          <w:szCs w:val="26"/>
        </w:rPr>
        <w:t>The Air District</w:t>
      </w:r>
      <w:r w:rsidR="00A9736C" w:rsidRPr="00EB08A6">
        <w:rPr>
          <w:color w:val="000000"/>
          <w:szCs w:val="26"/>
        </w:rPr>
        <w:t>’</w:t>
      </w:r>
      <w:r w:rsidR="006B0FF1" w:rsidRPr="00EB08A6">
        <w:rPr>
          <w:color w:val="000000"/>
          <w:szCs w:val="26"/>
        </w:rPr>
        <w:t xml:space="preserve">s thresholds of significance are 15, 10 and 10 tons per year for PM10, ROG and NOx, respectively. </w:t>
      </w:r>
      <w:r w:rsidR="00EB43DE" w:rsidRPr="00EB08A6">
        <w:rPr>
          <w:color w:val="000000"/>
          <w:szCs w:val="26"/>
        </w:rPr>
        <w:t xml:space="preserve"> </w:t>
      </w:r>
      <w:r w:rsidR="006B0FF1" w:rsidRPr="00EB08A6">
        <w:rPr>
          <w:color w:val="000000"/>
          <w:szCs w:val="26"/>
        </w:rPr>
        <w:t>Because the project</w:t>
      </w:r>
      <w:r w:rsidR="00A9736C" w:rsidRPr="00EB08A6">
        <w:rPr>
          <w:color w:val="000000"/>
          <w:szCs w:val="26"/>
        </w:rPr>
        <w:t>’</w:t>
      </w:r>
      <w:r w:rsidR="006B0FF1" w:rsidRPr="00EB08A6">
        <w:rPr>
          <w:color w:val="000000"/>
          <w:szCs w:val="26"/>
        </w:rPr>
        <w:t xml:space="preserve">s estimated emission of PM10, ROG and NOx were from seven to 10 times larger than that of the thresholds of significance, the EIR concluded these air pollutants would have a significant adverse effect on air quality. </w:t>
      </w:r>
      <w:r w:rsidR="00EB43DE" w:rsidRPr="00EB08A6">
        <w:rPr>
          <w:color w:val="000000"/>
          <w:szCs w:val="26"/>
        </w:rPr>
        <w:t xml:space="preserve"> </w:t>
      </w:r>
      <w:r w:rsidR="006B0FF1" w:rsidRPr="00EB08A6">
        <w:rPr>
          <w:color w:val="000000"/>
          <w:szCs w:val="26"/>
        </w:rPr>
        <w:t>Because Mitigation M</w:t>
      </w:r>
      <w:r w:rsidR="00941DDE">
        <w:rPr>
          <w:color w:val="000000"/>
          <w:szCs w:val="26"/>
        </w:rPr>
        <w:t xml:space="preserve">easure </w:t>
      </w:r>
      <w:r w:rsidR="006B0FF1" w:rsidRPr="00EB08A6">
        <w:rPr>
          <w:color w:val="000000"/>
          <w:szCs w:val="26"/>
        </w:rPr>
        <w:t>3.3.2 could not reduce these emissions below the Air District</w:t>
      </w:r>
      <w:r w:rsidR="00A9736C" w:rsidRPr="00EB08A6">
        <w:rPr>
          <w:color w:val="000000"/>
          <w:szCs w:val="26"/>
        </w:rPr>
        <w:t>’</w:t>
      </w:r>
      <w:r w:rsidR="006B0FF1" w:rsidRPr="00EB08A6">
        <w:rPr>
          <w:color w:val="000000"/>
          <w:szCs w:val="26"/>
        </w:rPr>
        <w:t>s thresholds of significance, the EIR concluded that the significant impacts were unavoidable.</w:t>
      </w:r>
    </w:p>
    <w:p w:rsidR="006B0FF1" w:rsidRPr="00EB08A6" w:rsidRDefault="00FD1794" w:rsidP="009E0DE1">
      <w:pPr>
        <w:tabs>
          <w:tab w:val="left" w:pos="1440"/>
        </w:tabs>
        <w:ind w:firstLine="720"/>
        <w:rPr>
          <w:color w:val="000000"/>
          <w:szCs w:val="26"/>
        </w:rPr>
      </w:pPr>
      <w:r w:rsidRPr="00EB08A6">
        <w:rPr>
          <w:color w:val="000000"/>
          <w:szCs w:val="26"/>
        </w:rPr>
        <w:t>“</w:t>
      </w:r>
      <w:r w:rsidR="006B0FF1" w:rsidRPr="00EB08A6">
        <w:rPr>
          <w:color w:val="000000"/>
          <w:szCs w:val="26"/>
        </w:rPr>
        <w:t>The draft EIR included a page of background information about ozone and nearly a page of background information about PM10. Each included a paragraph about the adverse health effects associated with the pollutant. The discussion of the adverse health effects, however, was not connected to the levels of the pollutant that would be emitted by the completed project. Instead, the discussion of adverse health effects was general in nature. For example, the description of the health effects of ozone noted that the effects were primarily to the respiratory system and stated:</w:t>
      </w:r>
    </w:p>
    <w:p w:rsidR="006B0FF1" w:rsidRPr="00EB08A6" w:rsidRDefault="004E58AC" w:rsidP="009E0DE1">
      <w:pPr>
        <w:tabs>
          <w:tab w:val="left" w:pos="1440"/>
        </w:tabs>
        <w:ind w:firstLine="720"/>
        <w:rPr>
          <w:color w:val="000000"/>
          <w:szCs w:val="26"/>
        </w:rPr>
      </w:pPr>
      <w:r w:rsidRPr="00EB08A6">
        <w:rPr>
          <w:color w:val="000000"/>
          <w:szCs w:val="26"/>
        </w:rPr>
        <w:t>‘</w:t>
      </w:r>
      <w:r w:rsidR="006B0FF1" w:rsidRPr="00EB08A6">
        <w:rPr>
          <w:color w:val="000000"/>
          <w:szCs w:val="26"/>
        </w:rPr>
        <w:t xml:space="preserve">Exposure to ambient levels of ozone ranging from 0.10 to 0.40 </w:t>
      </w:r>
      <w:r w:rsidR="00A9736C" w:rsidRPr="00EB08A6">
        <w:rPr>
          <w:color w:val="000000"/>
          <w:szCs w:val="26"/>
        </w:rPr>
        <w:t xml:space="preserve">[parts per million] </w:t>
      </w:r>
      <w:r w:rsidR="006B0FF1" w:rsidRPr="00EB08A6">
        <w:rPr>
          <w:color w:val="000000"/>
          <w:szCs w:val="26"/>
        </w:rPr>
        <w:t>for 1 to 2 hours has been found to significantly alter lung functions by increasing respiratory rates and pulmonary resistance, decreasing tidal volumes, and impairing respiratory mechanics.</w:t>
      </w:r>
      <w:r w:rsidRPr="00EB08A6">
        <w:rPr>
          <w:color w:val="000000"/>
          <w:szCs w:val="26"/>
        </w:rPr>
        <w:t xml:space="preserve">’ </w:t>
      </w:r>
    </w:p>
    <w:p w:rsidR="006B0FF1" w:rsidRPr="00EB08A6" w:rsidRDefault="004E58AC" w:rsidP="009E0DE1">
      <w:pPr>
        <w:tabs>
          <w:tab w:val="left" w:pos="1440"/>
        </w:tabs>
        <w:ind w:firstLine="720"/>
        <w:rPr>
          <w:color w:val="000000"/>
          <w:szCs w:val="26"/>
        </w:rPr>
      </w:pPr>
      <w:r w:rsidRPr="00EB08A6">
        <w:rPr>
          <w:color w:val="000000"/>
          <w:szCs w:val="26"/>
        </w:rPr>
        <w:t>“</w:t>
      </w:r>
      <w:r w:rsidR="006B0FF1" w:rsidRPr="00EB08A6">
        <w:rPr>
          <w:color w:val="000000"/>
          <w:szCs w:val="26"/>
        </w:rPr>
        <w:t xml:space="preserve">As to PM10, the EIR stated its adverse health effects depended upon </w:t>
      </w:r>
      <w:r w:rsidR="0009156F" w:rsidRPr="00EB08A6">
        <w:rPr>
          <w:color w:val="000000"/>
          <w:szCs w:val="26"/>
        </w:rPr>
        <w:t>‘</w:t>
      </w:r>
      <w:r w:rsidR="006B0FF1" w:rsidRPr="00EB08A6">
        <w:rPr>
          <w:color w:val="000000"/>
          <w:szCs w:val="26"/>
        </w:rPr>
        <w:t>the specific composition of the particulate matter.</w:t>
      </w:r>
      <w:r w:rsidR="0009156F" w:rsidRPr="00EB08A6">
        <w:rPr>
          <w:color w:val="000000"/>
          <w:szCs w:val="26"/>
        </w:rPr>
        <w:t>’</w:t>
      </w:r>
      <w:r w:rsidR="00BF40C9">
        <w:rPr>
          <w:color w:val="000000"/>
          <w:szCs w:val="26"/>
        </w:rPr>
        <w:t xml:space="preserve"> </w:t>
      </w:r>
      <w:r w:rsidR="006B0FF1" w:rsidRPr="00EB08A6">
        <w:rPr>
          <w:color w:val="000000"/>
          <w:szCs w:val="26"/>
        </w:rPr>
        <w:t xml:space="preserve"> The EIR, however, provided no information about the composition of the particulate matter that was expected to be produced by the </w:t>
      </w:r>
      <w:r w:rsidR="00A9736C" w:rsidRPr="00EB08A6">
        <w:rPr>
          <w:color w:val="000000"/>
          <w:szCs w:val="26"/>
        </w:rPr>
        <w:t>Project</w:t>
      </w:r>
      <w:r w:rsidR="006B0FF1" w:rsidRPr="00EB08A6">
        <w:rPr>
          <w:color w:val="000000"/>
          <w:szCs w:val="26"/>
        </w:rPr>
        <w:t>.</w:t>
      </w:r>
      <w:r w:rsidRPr="00EB08A6">
        <w:rPr>
          <w:color w:val="000000"/>
          <w:szCs w:val="26"/>
        </w:rPr>
        <w:t xml:space="preserve">”  </w:t>
      </w:r>
    </w:p>
    <w:p w:rsidR="00A03573" w:rsidRPr="00EB08A6" w:rsidRDefault="001933DA" w:rsidP="009E0DE1">
      <w:pPr>
        <w:pStyle w:val="Heading3"/>
        <w:jc w:val="both"/>
      </w:pPr>
      <w:r w:rsidRPr="00EB08A6">
        <w:rPr>
          <w:i w:val="0"/>
        </w:rPr>
        <w:t>3</w:t>
      </w:r>
      <w:r w:rsidR="00B03A49" w:rsidRPr="00EB08A6">
        <w:rPr>
          <w:i w:val="0"/>
        </w:rPr>
        <w:t>.</w:t>
      </w:r>
      <w:r w:rsidRPr="00EB08A6">
        <w:t xml:space="preserve">  Adequacy of </w:t>
      </w:r>
      <w:r w:rsidR="00827FD0" w:rsidRPr="00EB08A6">
        <w:t xml:space="preserve">the </w:t>
      </w:r>
      <w:r w:rsidRPr="00EB08A6">
        <w:t xml:space="preserve">EIR’s </w:t>
      </w:r>
      <w:r w:rsidR="003F78DF" w:rsidRPr="00EB08A6">
        <w:t xml:space="preserve">discussion </w:t>
      </w:r>
      <w:r w:rsidR="00CB3F8B" w:rsidRPr="00EB08A6">
        <w:t xml:space="preserve">of </w:t>
      </w:r>
      <w:r w:rsidR="003F78DF" w:rsidRPr="00EB08A6">
        <w:t xml:space="preserve">public </w:t>
      </w:r>
      <w:r w:rsidR="00CB3F8B" w:rsidRPr="00EB08A6">
        <w:t xml:space="preserve">health impacts from </w:t>
      </w:r>
      <w:r w:rsidR="00E644E6" w:rsidRPr="00EB08A6">
        <w:t xml:space="preserve">air pollutants that the </w:t>
      </w:r>
      <w:r w:rsidR="00CB3F8B" w:rsidRPr="00EB08A6">
        <w:t>Project</w:t>
      </w:r>
      <w:r w:rsidR="00E644E6" w:rsidRPr="00EB08A6">
        <w:t xml:space="preserve"> is expected to generate</w:t>
      </w:r>
    </w:p>
    <w:p w:rsidR="007A0A31" w:rsidRPr="00EB08A6" w:rsidRDefault="00407ADC" w:rsidP="009E0DE1">
      <w:pPr>
        <w:ind w:firstLine="720"/>
        <w:rPr>
          <w:color w:val="000000"/>
          <w:szCs w:val="26"/>
        </w:rPr>
      </w:pPr>
      <w:r w:rsidRPr="00EB08A6">
        <w:rPr>
          <w:color w:val="000000"/>
          <w:szCs w:val="26"/>
        </w:rPr>
        <w:t>Real p</w:t>
      </w:r>
      <w:r w:rsidR="004473CB" w:rsidRPr="00EB08A6">
        <w:rPr>
          <w:color w:val="000000"/>
          <w:szCs w:val="26"/>
        </w:rPr>
        <w:t>arty</w:t>
      </w:r>
      <w:r w:rsidR="00C47D47" w:rsidRPr="00EB08A6">
        <w:rPr>
          <w:color w:val="000000"/>
          <w:szCs w:val="26"/>
        </w:rPr>
        <w:t xml:space="preserve"> </w:t>
      </w:r>
      <w:r w:rsidR="00F27E00" w:rsidRPr="00EB08A6">
        <w:rPr>
          <w:color w:val="000000"/>
          <w:szCs w:val="26"/>
        </w:rPr>
        <w:t xml:space="preserve">contends </w:t>
      </w:r>
      <w:r w:rsidR="00827FD0" w:rsidRPr="00EB08A6">
        <w:rPr>
          <w:color w:val="000000"/>
          <w:szCs w:val="26"/>
        </w:rPr>
        <w:t xml:space="preserve">that </w:t>
      </w:r>
      <w:r w:rsidR="00F27E00" w:rsidRPr="00EB08A6">
        <w:rPr>
          <w:color w:val="000000"/>
          <w:szCs w:val="26"/>
        </w:rPr>
        <w:t xml:space="preserve">the EIR satisfied all CEQA requirements </w:t>
      </w:r>
      <w:r w:rsidR="003366D0" w:rsidRPr="00EB08A6">
        <w:rPr>
          <w:color w:val="000000"/>
          <w:szCs w:val="26"/>
        </w:rPr>
        <w:t>because it analyzed</w:t>
      </w:r>
      <w:r w:rsidR="00F27E00" w:rsidRPr="00EB08A6">
        <w:rPr>
          <w:color w:val="000000"/>
          <w:szCs w:val="26"/>
        </w:rPr>
        <w:t xml:space="preserve"> the Project’s ai</w:t>
      </w:r>
      <w:r w:rsidR="003366D0" w:rsidRPr="00EB08A6">
        <w:rPr>
          <w:color w:val="000000"/>
          <w:szCs w:val="26"/>
        </w:rPr>
        <w:t>r quality impacts and disclosed</w:t>
      </w:r>
      <w:r w:rsidR="00F27E00" w:rsidRPr="00EB08A6">
        <w:rPr>
          <w:color w:val="000000"/>
          <w:szCs w:val="26"/>
        </w:rPr>
        <w:t xml:space="preserve"> the Project’s likely general health impacts. </w:t>
      </w:r>
      <w:r w:rsidR="00EB43DE" w:rsidRPr="00EB08A6">
        <w:rPr>
          <w:color w:val="000000"/>
          <w:szCs w:val="26"/>
        </w:rPr>
        <w:t xml:space="preserve"> </w:t>
      </w:r>
      <w:r w:rsidR="00F27E00" w:rsidRPr="00EB08A6">
        <w:rPr>
          <w:color w:val="000000"/>
          <w:szCs w:val="26"/>
        </w:rPr>
        <w:t xml:space="preserve">Plaintiffs argue </w:t>
      </w:r>
      <w:r w:rsidR="005E2C03" w:rsidRPr="00EB08A6">
        <w:rPr>
          <w:color w:val="000000"/>
          <w:szCs w:val="26"/>
        </w:rPr>
        <w:t xml:space="preserve">that </w:t>
      </w:r>
      <w:r w:rsidR="00F27E00" w:rsidRPr="00EB08A6">
        <w:rPr>
          <w:color w:val="000000"/>
          <w:szCs w:val="26"/>
        </w:rPr>
        <w:t xml:space="preserve">the EIR failed to satisfy Guidelines section 15126.2, subdivision (a), which requires an EIR to “analyze any significant environmental effects the project might cause by bringing development and people into the area affected.”  In other words, </w:t>
      </w:r>
      <w:r w:rsidR="00A66753" w:rsidRPr="00EB08A6">
        <w:rPr>
          <w:color w:val="000000"/>
          <w:szCs w:val="26"/>
        </w:rPr>
        <w:t xml:space="preserve">they argue, </w:t>
      </w:r>
      <w:r w:rsidR="00F27E00" w:rsidRPr="00EB08A6">
        <w:rPr>
          <w:color w:val="000000"/>
          <w:szCs w:val="26"/>
        </w:rPr>
        <w:t xml:space="preserve">the Project’s health effects must be “clearly identified” and the discussion must include “relevant specifics” about the environmental changes attributable to the Project and </w:t>
      </w:r>
      <w:r w:rsidR="00A66753" w:rsidRPr="00EB08A6">
        <w:rPr>
          <w:color w:val="000000"/>
          <w:szCs w:val="26"/>
        </w:rPr>
        <w:t xml:space="preserve">their </w:t>
      </w:r>
      <w:r w:rsidR="00F27E00" w:rsidRPr="00EB08A6">
        <w:rPr>
          <w:color w:val="000000"/>
          <w:szCs w:val="26"/>
        </w:rPr>
        <w:t xml:space="preserve">associated health </w:t>
      </w:r>
      <w:r w:rsidR="00616841">
        <w:rPr>
          <w:color w:val="000000"/>
          <w:szCs w:val="26"/>
        </w:rPr>
        <w:t>outcomes</w:t>
      </w:r>
      <w:r w:rsidR="00F27E00" w:rsidRPr="00EB08A6">
        <w:rPr>
          <w:color w:val="000000"/>
          <w:szCs w:val="26"/>
        </w:rPr>
        <w:t xml:space="preserve">. </w:t>
      </w:r>
    </w:p>
    <w:p w:rsidR="00F27E00" w:rsidRPr="00EB08A6" w:rsidRDefault="00C342E3" w:rsidP="009E0DE1">
      <w:pPr>
        <w:ind w:firstLine="720"/>
        <w:rPr>
          <w:color w:val="000000"/>
          <w:szCs w:val="26"/>
        </w:rPr>
      </w:pPr>
      <w:r w:rsidRPr="00EB08A6">
        <w:rPr>
          <w:color w:val="000000"/>
          <w:szCs w:val="26"/>
        </w:rPr>
        <w:t>T</w:t>
      </w:r>
      <w:r w:rsidR="007A0A31" w:rsidRPr="00EB08A6">
        <w:rPr>
          <w:color w:val="000000"/>
          <w:szCs w:val="26"/>
        </w:rPr>
        <w:t xml:space="preserve">he Court </w:t>
      </w:r>
      <w:r w:rsidR="00F27E00" w:rsidRPr="00EB08A6">
        <w:rPr>
          <w:color w:val="000000"/>
          <w:szCs w:val="26"/>
        </w:rPr>
        <w:t xml:space="preserve">of Appeal </w:t>
      </w:r>
      <w:r w:rsidR="007A0A31" w:rsidRPr="00EB08A6">
        <w:rPr>
          <w:color w:val="000000"/>
          <w:szCs w:val="26"/>
        </w:rPr>
        <w:t xml:space="preserve">held that </w:t>
      </w:r>
      <w:r w:rsidR="00F27E00" w:rsidRPr="00EB08A6">
        <w:rPr>
          <w:color w:val="000000"/>
          <w:szCs w:val="26"/>
        </w:rPr>
        <w:t>the EIR</w:t>
      </w:r>
      <w:r w:rsidR="007A0A31" w:rsidRPr="00EB08A6">
        <w:rPr>
          <w:color w:val="000000"/>
          <w:szCs w:val="26"/>
        </w:rPr>
        <w:t xml:space="preserve">’s </w:t>
      </w:r>
      <w:r w:rsidR="00F27E00" w:rsidRPr="00EB08A6">
        <w:rPr>
          <w:color w:val="000000"/>
          <w:szCs w:val="26"/>
        </w:rPr>
        <w:t xml:space="preserve">analysis </w:t>
      </w:r>
      <w:r w:rsidR="002B3054" w:rsidRPr="00EB08A6">
        <w:rPr>
          <w:color w:val="000000"/>
          <w:szCs w:val="26"/>
        </w:rPr>
        <w:t xml:space="preserve">of air quality impacts was </w:t>
      </w:r>
      <w:r w:rsidR="00F27E00" w:rsidRPr="00EB08A6">
        <w:rPr>
          <w:color w:val="000000"/>
          <w:szCs w:val="26"/>
        </w:rPr>
        <w:t xml:space="preserve">inadequate because it did not </w:t>
      </w:r>
      <w:r w:rsidR="008803F2">
        <w:rPr>
          <w:color w:val="000000"/>
          <w:szCs w:val="26"/>
        </w:rPr>
        <w:t>connect</w:t>
      </w:r>
      <w:r w:rsidR="00F27E00" w:rsidRPr="00EB08A6">
        <w:rPr>
          <w:color w:val="000000"/>
          <w:szCs w:val="26"/>
        </w:rPr>
        <w:t xml:space="preserve"> the raw particulate numbers and their effect on air quality with specific adverse effect</w:t>
      </w:r>
      <w:r w:rsidR="002B3054" w:rsidRPr="00EB08A6">
        <w:rPr>
          <w:color w:val="000000"/>
          <w:szCs w:val="26"/>
        </w:rPr>
        <w:t>s</w:t>
      </w:r>
      <w:r w:rsidR="00F27E00" w:rsidRPr="00EB08A6">
        <w:rPr>
          <w:color w:val="000000"/>
          <w:szCs w:val="26"/>
        </w:rPr>
        <w:t xml:space="preserve"> on human health in the built environment.  </w:t>
      </w:r>
      <w:r w:rsidRPr="00EB08A6">
        <w:rPr>
          <w:color w:val="000000"/>
          <w:szCs w:val="26"/>
        </w:rPr>
        <w:t xml:space="preserve">(See </w:t>
      </w:r>
      <w:r w:rsidRPr="00EB08A6">
        <w:rPr>
          <w:i/>
          <w:color w:val="000000"/>
          <w:szCs w:val="26"/>
        </w:rPr>
        <w:t>Bakersfield</w:t>
      </w:r>
      <w:r w:rsidR="00E7022D" w:rsidRPr="00EB08A6">
        <w:rPr>
          <w:color w:val="000000"/>
          <w:szCs w:val="26"/>
        </w:rPr>
        <w:t>,</w:t>
      </w:r>
      <w:r w:rsidRPr="00EB08A6">
        <w:rPr>
          <w:i/>
          <w:color w:val="000000"/>
          <w:szCs w:val="26"/>
        </w:rPr>
        <w:t xml:space="preserve"> </w:t>
      </w:r>
      <w:r w:rsidR="00E7022D" w:rsidRPr="00EB08A6">
        <w:rPr>
          <w:i/>
          <w:color w:val="000000"/>
          <w:szCs w:val="26"/>
        </w:rPr>
        <w:t>supra</w:t>
      </w:r>
      <w:r w:rsidR="00E7022D" w:rsidRPr="00EB08A6">
        <w:rPr>
          <w:color w:val="000000"/>
          <w:szCs w:val="26"/>
        </w:rPr>
        <w:t>,</w:t>
      </w:r>
      <w:r w:rsidR="00531A99" w:rsidRPr="00EB08A6">
        <w:rPr>
          <w:color w:val="000000"/>
          <w:szCs w:val="26"/>
        </w:rPr>
        <w:t xml:space="preserve"> </w:t>
      </w:r>
      <w:r w:rsidRPr="00EB08A6">
        <w:rPr>
          <w:color w:val="000000"/>
          <w:szCs w:val="26"/>
        </w:rPr>
        <w:t xml:space="preserve">124 Cal.App.4th </w:t>
      </w:r>
      <w:r w:rsidR="00E7022D" w:rsidRPr="00EB08A6">
        <w:rPr>
          <w:color w:val="000000"/>
          <w:szCs w:val="26"/>
        </w:rPr>
        <w:t>at p.</w:t>
      </w:r>
      <w:r w:rsidRPr="00EB08A6">
        <w:rPr>
          <w:color w:val="000000"/>
          <w:szCs w:val="26"/>
        </w:rPr>
        <w:t xml:space="preserve"> 1193.)  </w:t>
      </w:r>
      <w:r w:rsidR="00F27E00" w:rsidRPr="00EB08A6">
        <w:rPr>
          <w:i/>
          <w:color w:val="000000"/>
          <w:szCs w:val="26"/>
        </w:rPr>
        <w:t>Bakersfield</w:t>
      </w:r>
      <w:r w:rsidR="00F27E00" w:rsidRPr="00EB08A6">
        <w:rPr>
          <w:color w:val="000000"/>
          <w:szCs w:val="26"/>
        </w:rPr>
        <w:t xml:space="preserve"> considered EIRs relating to the construction and operation of two shopping centers in the City of Bakersfield.  (</w:t>
      </w:r>
      <w:r w:rsidR="00F27E00" w:rsidRPr="00EB08A6">
        <w:rPr>
          <w:i/>
          <w:color w:val="000000"/>
          <w:szCs w:val="26"/>
        </w:rPr>
        <w:t>Ibid</w:t>
      </w:r>
      <w:r w:rsidR="00B03A49" w:rsidRPr="00EB08A6">
        <w:rPr>
          <w:color w:val="000000"/>
          <w:szCs w:val="26"/>
        </w:rPr>
        <w:t>.</w:t>
      </w:r>
      <w:r w:rsidR="00F27E00" w:rsidRPr="00EB08A6">
        <w:rPr>
          <w:color w:val="000000"/>
          <w:szCs w:val="26"/>
        </w:rPr>
        <w:t>)  The shopping centers featured a Wal-Mart Supercenter as their primary tenant and anchor.  (</w:t>
      </w:r>
      <w:r w:rsidR="00F27E00" w:rsidRPr="00EB08A6">
        <w:rPr>
          <w:i/>
          <w:color w:val="000000"/>
          <w:szCs w:val="26"/>
        </w:rPr>
        <w:t>Id</w:t>
      </w:r>
      <w:r w:rsidR="00B03A49" w:rsidRPr="00EB08A6">
        <w:rPr>
          <w:color w:val="000000"/>
          <w:szCs w:val="26"/>
        </w:rPr>
        <w:t>.</w:t>
      </w:r>
      <w:r w:rsidR="00F27E00" w:rsidRPr="00EB08A6">
        <w:rPr>
          <w:color w:val="000000"/>
          <w:szCs w:val="26"/>
        </w:rPr>
        <w:t xml:space="preserve"> at p. 1194.)  Both EIRs concluded that the projects would have “significant and unavoidable adverse impacts on air quality.”  (</w:t>
      </w:r>
      <w:r w:rsidR="00F27E00" w:rsidRPr="00EB08A6">
        <w:rPr>
          <w:i/>
          <w:color w:val="000000"/>
          <w:szCs w:val="26"/>
        </w:rPr>
        <w:t>Id</w:t>
      </w:r>
      <w:r w:rsidR="00B03A49" w:rsidRPr="00EB08A6">
        <w:rPr>
          <w:color w:val="000000"/>
          <w:szCs w:val="26"/>
        </w:rPr>
        <w:t>.</w:t>
      </w:r>
      <w:r w:rsidR="00F27E00" w:rsidRPr="00EB08A6">
        <w:rPr>
          <w:color w:val="000000"/>
          <w:szCs w:val="26"/>
        </w:rPr>
        <w:t xml:space="preserve"> at p. 1219.)  But neither EIR specifically identified the health impacts that would result from the adverse air quality effects.  The </w:t>
      </w:r>
      <w:r w:rsidR="007457EE" w:rsidRPr="00EB08A6">
        <w:rPr>
          <w:color w:val="000000"/>
          <w:szCs w:val="26"/>
        </w:rPr>
        <w:t xml:space="preserve">appellate </w:t>
      </w:r>
      <w:r w:rsidR="00F27E00" w:rsidRPr="00EB08A6">
        <w:rPr>
          <w:color w:val="000000"/>
          <w:szCs w:val="26"/>
        </w:rPr>
        <w:t>court criticized the EIR</w:t>
      </w:r>
      <w:r w:rsidR="00004CB9" w:rsidRPr="00EB08A6">
        <w:rPr>
          <w:color w:val="000000"/>
          <w:szCs w:val="26"/>
        </w:rPr>
        <w:t>s</w:t>
      </w:r>
      <w:r w:rsidR="00F27E00" w:rsidRPr="00EB08A6">
        <w:rPr>
          <w:color w:val="000000"/>
          <w:szCs w:val="26"/>
        </w:rPr>
        <w:t xml:space="preserve"> because </w:t>
      </w:r>
      <w:r w:rsidR="00004CB9" w:rsidRPr="00EB08A6">
        <w:rPr>
          <w:color w:val="000000"/>
          <w:szCs w:val="26"/>
        </w:rPr>
        <w:t xml:space="preserve">they </w:t>
      </w:r>
      <w:r w:rsidR="00F27E00" w:rsidRPr="00EB08A6">
        <w:rPr>
          <w:color w:val="000000"/>
          <w:szCs w:val="26"/>
        </w:rPr>
        <w:t>lacked an “acknowledgement or analysis of the well-known connection between reduction in air quality and increases in specific respiratory conditions and illnesses.  After reading the EIRs, the public would have no idea of the health consequences that result when more pollutants are added to a nonattainment basin.”  (</w:t>
      </w:r>
      <w:r w:rsidR="00F27E00" w:rsidRPr="00EB08A6">
        <w:rPr>
          <w:i/>
          <w:color w:val="000000"/>
          <w:szCs w:val="26"/>
        </w:rPr>
        <w:t>Id</w:t>
      </w:r>
      <w:r w:rsidR="00B03A49" w:rsidRPr="00EB08A6">
        <w:rPr>
          <w:color w:val="000000"/>
          <w:szCs w:val="26"/>
        </w:rPr>
        <w:t>.</w:t>
      </w:r>
      <w:r w:rsidR="00F27E00" w:rsidRPr="00EB08A6">
        <w:rPr>
          <w:i/>
          <w:color w:val="000000"/>
          <w:szCs w:val="26"/>
        </w:rPr>
        <w:t xml:space="preserve"> </w:t>
      </w:r>
      <w:r w:rsidR="00F27E00" w:rsidRPr="00EB08A6">
        <w:rPr>
          <w:color w:val="000000"/>
          <w:szCs w:val="26"/>
        </w:rPr>
        <w:t xml:space="preserve">at p. 1220.)  </w:t>
      </w:r>
      <w:r w:rsidR="00F27E00" w:rsidRPr="00EB08A6">
        <w:rPr>
          <w:i/>
          <w:color w:val="000000"/>
          <w:szCs w:val="26"/>
        </w:rPr>
        <w:t xml:space="preserve">Bakersfield </w:t>
      </w:r>
      <w:r w:rsidR="00F27E00" w:rsidRPr="00EB08A6">
        <w:rPr>
          <w:color w:val="000000"/>
          <w:szCs w:val="26"/>
        </w:rPr>
        <w:t xml:space="preserve">concluded that brief references to adverse health impacts on human respiratory health rendered the EIRs in that case inadequate as a matter of law because they failed to </w:t>
      </w:r>
      <w:r w:rsidR="008803F2">
        <w:rPr>
          <w:color w:val="000000"/>
          <w:szCs w:val="26"/>
        </w:rPr>
        <w:t>connect</w:t>
      </w:r>
      <w:r w:rsidR="00F27E00" w:rsidRPr="00EB08A6">
        <w:rPr>
          <w:color w:val="000000"/>
          <w:szCs w:val="26"/>
        </w:rPr>
        <w:t xml:space="preserve"> the adverse air impact with negative health effects.  (</w:t>
      </w:r>
      <w:r w:rsidR="00F27E00" w:rsidRPr="00EB08A6">
        <w:rPr>
          <w:i/>
          <w:color w:val="000000"/>
          <w:szCs w:val="26"/>
        </w:rPr>
        <w:t>Ibid</w:t>
      </w:r>
      <w:r w:rsidR="00B03A49" w:rsidRPr="00EB08A6">
        <w:rPr>
          <w:color w:val="000000"/>
          <w:szCs w:val="26"/>
        </w:rPr>
        <w:t>.</w:t>
      </w:r>
      <w:r w:rsidR="00F27E00" w:rsidRPr="00EB08A6">
        <w:rPr>
          <w:color w:val="000000"/>
          <w:szCs w:val="26"/>
        </w:rPr>
        <w:t xml:space="preserve">)  </w:t>
      </w:r>
      <w:r w:rsidR="004150FF" w:rsidRPr="00EB08A6">
        <w:rPr>
          <w:color w:val="000000"/>
          <w:szCs w:val="26"/>
        </w:rPr>
        <w:t>T</w:t>
      </w:r>
      <w:r w:rsidR="00F27E00" w:rsidRPr="00EB08A6">
        <w:rPr>
          <w:color w:val="000000"/>
          <w:szCs w:val="26"/>
        </w:rPr>
        <w:t xml:space="preserve">he court held that “the health impacts resulting from the adverse air quality impacts must be </w:t>
      </w:r>
      <w:r w:rsidR="00F27E00" w:rsidRPr="00EB08A6">
        <w:rPr>
          <w:i/>
          <w:color w:val="000000"/>
          <w:szCs w:val="26"/>
        </w:rPr>
        <w:t xml:space="preserve">identified </w:t>
      </w:r>
      <w:r w:rsidR="00F27E00" w:rsidRPr="00EB08A6">
        <w:rPr>
          <w:color w:val="000000"/>
          <w:szCs w:val="26"/>
        </w:rPr>
        <w:t xml:space="preserve">and </w:t>
      </w:r>
      <w:r w:rsidR="00F27E00" w:rsidRPr="00EB08A6">
        <w:rPr>
          <w:i/>
          <w:color w:val="000000"/>
          <w:szCs w:val="26"/>
        </w:rPr>
        <w:t>analyzed</w:t>
      </w:r>
      <w:r w:rsidR="00F27E00" w:rsidRPr="00EB08A6">
        <w:rPr>
          <w:color w:val="000000"/>
          <w:szCs w:val="26"/>
        </w:rPr>
        <w:t xml:space="preserve"> in the new EIRs.”  (</w:t>
      </w:r>
      <w:r w:rsidR="00F27E00" w:rsidRPr="00EB08A6">
        <w:rPr>
          <w:i/>
          <w:color w:val="000000"/>
          <w:szCs w:val="26"/>
        </w:rPr>
        <w:t>Ibid</w:t>
      </w:r>
      <w:r w:rsidR="00B03A49" w:rsidRPr="00EB08A6">
        <w:rPr>
          <w:color w:val="000000"/>
          <w:szCs w:val="26"/>
        </w:rPr>
        <w:t>.</w:t>
      </w:r>
      <w:r w:rsidR="00F27E00" w:rsidRPr="00EB08A6">
        <w:rPr>
          <w:color w:val="000000"/>
          <w:szCs w:val="26"/>
        </w:rPr>
        <w:t>, italics added</w:t>
      </w:r>
      <w:r w:rsidR="00B03A49" w:rsidRPr="00EB08A6">
        <w:rPr>
          <w:color w:val="000000"/>
          <w:szCs w:val="26"/>
        </w:rPr>
        <w:t>.</w:t>
      </w:r>
      <w:r w:rsidR="00F27E00" w:rsidRPr="00EB08A6">
        <w:rPr>
          <w:color w:val="000000"/>
          <w:szCs w:val="26"/>
        </w:rPr>
        <w:t xml:space="preserve">) </w:t>
      </w:r>
    </w:p>
    <w:p w:rsidR="00F27E00" w:rsidRPr="00EB08A6" w:rsidRDefault="00811ABC" w:rsidP="009E0DE1">
      <w:pPr>
        <w:tabs>
          <w:tab w:val="left" w:pos="1440"/>
        </w:tabs>
        <w:ind w:firstLine="720"/>
      </w:pPr>
      <w:r w:rsidRPr="00EB08A6">
        <w:rPr>
          <w:color w:val="000000"/>
          <w:szCs w:val="26"/>
        </w:rPr>
        <w:t xml:space="preserve">The Court of Appeal </w:t>
      </w:r>
      <w:r w:rsidR="00004CB9" w:rsidRPr="00EB08A6">
        <w:rPr>
          <w:color w:val="000000"/>
          <w:szCs w:val="26"/>
        </w:rPr>
        <w:t xml:space="preserve">acknowledged that </w:t>
      </w:r>
      <w:r w:rsidR="002D39AC" w:rsidRPr="00EB08A6">
        <w:rPr>
          <w:color w:val="000000"/>
          <w:szCs w:val="26"/>
        </w:rPr>
        <w:t xml:space="preserve">the </w:t>
      </w:r>
      <w:r w:rsidRPr="00EB08A6">
        <w:rPr>
          <w:color w:val="000000"/>
          <w:szCs w:val="26"/>
        </w:rPr>
        <w:t xml:space="preserve">EIR </w:t>
      </w:r>
      <w:r w:rsidR="00004CB9" w:rsidRPr="00EB08A6">
        <w:rPr>
          <w:color w:val="000000"/>
          <w:szCs w:val="26"/>
        </w:rPr>
        <w:t xml:space="preserve">at issue here went </w:t>
      </w:r>
      <w:r w:rsidR="002D39AC" w:rsidRPr="00EB08A6">
        <w:rPr>
          <w:color w:val="000000"/>
          <w:szCs w:val="26"/>
        </w:rPr>
        <w:t>“</w:t>
      </w:r>
      <w:r w:rsidR="00F27E00" w:rsidRPr="00EB08A6">
        <w:rPr>
          <w:color w:val="000000"/>
          <w:szCs w:val="26"/>
        </w:rPr>
        <w:t xml:space="preserve">much further than” the </w:t>
      </w:r>
      <w:r w:rsidR="00F27E00" w:rsidRPr="00EB08A6">
        <w:rPr>
          <w:i/>
          <w:color w:val="000000"/>
          <w:szCs w:val="26"/>
        </w:rPr>
        <w:t xml:space="preserve">Bakersfield </w:t>
      </w:r>
      <w:r w:rsidR="00F27E00" w:rsidRPr="00EB08A6">
        <w:rPr>
          <w:color w:val="000000"/>
          <w:szCs w:val="26"/>
        </w:rPr>
        <w:t xml:space="preserve">EIRs, noting that </w:t>
      </w:r>
      <w:r w:rsidR="002D39AC" w:rsidRPr="00EB08A6">
        <w:rPr>
          <w:color w:val="000000"/>
          <w:szCs w:val="26"/>
        </w:rPr>
        <w:t xml:space="preserve">the </w:t>
      </w:r>
      <w:r w:rsidR="00F27E00" w:rsidRPr="00EB08A6">
        <w:rPr>
          <w:color w:val="000000"/>
          <w:szCs w:val="26"/>
        </w:rPr>
        <w:t>EIR not only list</w:t>
      </w:r>
      <w:r w:rsidR="00A66D9B" w:rsidRPr="00EB08A6">
        <w:rPr>
          <w:color w:val="000000"/>
          <w:szCs w:val="26"/>
        </w:rPr>
        <w:t xml:space="preserve">ed </w:t>
      </w:r>
      <w:r w:rsidR="00F27E00" w:rsidRPr="00EB08A6">
        <w:rPr>
          <w:color w:val="000000"/>
          <w:szCs w:val="26"/>
        </w:rPr>
        <w:t xml:space="preserve">the type and </w:t>
      </w:r>
      <w:r w:rsidR="00936F36" w:rsidRPr="00EB08A6">
        <w:rPr>
          <w:color w:val="000000"/>
          <w:szCs w:val="26"/>
        </w:rPr>
        <w:t xml:space="preserve">tons per year </w:t>
      </w:r>
      <w:r w:rsidR="00F27E00" w:rsidRPr="00EB08A6">
        <w:rPr>
          <w:color w:val="000000"/>
          <w:szCs w:val="26"/>
        </w:rPr>
        <w:t xml:space="preserve">of the pollutants the </w:t>
      </w:r>
      <w:r w:rsidR="00263798" w:rsidRPr="00EB08A6">
        <w:rPr>
          <w:color w:val="000000"/>
          <w:szCs w:val="26"/>
        </w:rPr>
        <w:t>P</w:t>
      </w:r>
      <w:r w:rsidR="00F27E00" w:rsidRPr="00EB08A6">
        <w:rPr>
          <w:color w:val="000000"/>
          <w:szCs w:val="26"/>
        </w:rPr>
        <w:t>roject is expected to produce, but also provide</w:t>
      </w:r>
      <w:r w:rsidR="00A66D9B" w:rsidRPr="00EB08A6">
        <w:rPr>
          <w:color w:val="000000"/>
          <w:szCs w:val="26"/>
        </w:rPr>
        <w:t>d</w:t>
      </w:r>
      <w:r w:rsidR="00F27E00" w:rsidRPr="00EB08A6">
        <w:rPr>
          <w:color w:val="000000"/>
          <w:szCs w:val="26"/>
        </w:rPr>
        <w:t xml:space="preserve"> a general description of </w:t>
      </w:r>
      <w:r w:rsidR="00E23B97" w:rsidRPr="00EB08A6">
        <w:rPr>
          <w:color w:val="000000"/>
          <w:szCs w:val="26"/>
        </w:rPr>
        <w:t>e</w:t>
      </w:r>
      <w:r w:rsidR="00F27E00" w:rsidRPr="00EB08A6">
        <w:rPr>
          <w:color w:val="000000"/>
          <w:szCs w:val="26"/>
        </w:rPr>
        <w:t xml:space="preserve">ach pollutant </w:t>
      </w:r>
      <w:r w:rsidR="00936F36" w:rsidRPr="00EB08A6">
        <w:rPr>
          <w:color w:val="000000"/>
          <w:szCs w:val="26"/>
        </w:rPr>
        <w:t xml:space="preserve">and how it </w:t>
      </w:r>
      <w:r w:rsidR="00F27E00" w:rsidRPr="00EB08A6">
        <w:rPr>
          <w:color w:val="000000"/>
          <w:szCs w:val="26"/>
        </w:rPr>
        <w:t>affects human health</w:t>
      </w:r>
      <w:r w:rsidR="00A11F35" w:rsidRPr="00EB08A6">
        <w:rPr>
          <w:color w:val="000000"/>
          <w:szCs w:val="26"/>
        </w:rPr>
        <w:t xml:space="preserve">.  </w:t>
      </w:r>
      <w:r w:rsidR="00082D76" w:rsidRPr="00EB08A6">
        <w:rPr>
          <w:color w:val="000000"/>
          <w:szCs w:val="26"/>
        </w:rPr>
        <w:t>The</w:t>
      </w:r>
      <w:r w:rsidR="00A11F35" w:rsidRPr="00EB08A6">
        <w:rPr>
          <w:color w:val="000000"/>
          <w:szCs w:val="26"/>
        </w:rPr>
        <w:t xml:space="preserve"> </w:t>
      </w:r>
      <w:r w:rsidR="00F27E00" w:rsidRPr="00EB08A6">
        <w:rPr>
          <w:color w:val="000000"/>
          <w:szCs w:val="26"/>
        </w:rPr>
        <w:t>Court of Appeal</w:t>
      </w:r>
      <w:r w:rsidR="00082D76" w:rsidRPr="00EB08A6">
        <w:rPr>
          <w:color w:val="000000"/>
          <w:szCs w:val="26"/>
        </w:rPr>
        <w:t xml:space="preserve"> found, however,</w:t>
      </w:r>
      <w:r w:rsidR="00DC4D1F" w:rsidRPr="00EB08A6">
        <w:rPr>
          <w:color w:val="000000"/>
          <w:szCs w:val="26"/>
        </w:rPr>
        <w:t xml:space="preserve"> </w:t>
      </w:r>
      <w:r w:rsidR="00A11F35" w:rsidRPr="00EB08A6">
        <w:rPr>
          <w:color w:val="000000"/>
          <w:szCs w:val="26"/>
        </w:rPr>
        <w:t xml:space="preserve">that the </w:t>
      </w:r>
      <w:r w:rsidR="00F27E00" w:rsidRPr="00EB08A6">
        <w:rPr>
          <w:color w:val="000000"/>
          <w:szCs w:val="26"/>
        </w:rPr>
        <w:t xml:space="preserve">EIR </w:t>
      </w:r>
      <w:r w:rsidR="00AE1205" w:rsidRPr="00EB08A6">
        <w:rPr>
          <w:color w:val="000000"/>
          <w:szCs w:val="26"/>
        </w:rPr>
        <w:t xml:space="preserve">was inadequate under CEQA </w:t>
      </w:r>
      <w:r w:rsidR="00851E09" w:rsidRPr="00EB08A6">
        <w:rPr>
          <w:color w:val="000000"/>
          <w:szCs w:val="26"/>
        </w:rPr>
        <w:t xml:space="preserve">because </w:t>
      </w:r>
      <w:r w:rsidR="000E6337" w:rsidRPr="00EB08A6">
        <w:rPr>
          <w:color w:val="000000"/>
          <w:szCs w:val="26"/>
        </w:rPr>
        <w:t xml:space="preserve">its analysis failed to correlate the </w:t>
      </w:r>
      <w:r w:rsidR="00B75450" w:rsidRPr="00EB08A6">
        <w:rPr>
          <w:color w:val="000000"/>
          <w:szCs w:val="26"/>
        </w:rPr>
        <w:t xml:space="preserve">increase in emissions that the </w:t>
      </w:r>
      <w:r w:rsidR="005B0712" w:rsidRPr="00EB08A6">
        <w:rPr>
          <w:color w:val="000000"/>
          <w:szCs w:val="26"/>
        </w:rPr>
        <w:t>Project</w:t>
      </w:r>
      <w:r w:rsidR="00B75450" w:rsidRPr="00EB08A6">
        <w:rPr>
          <w:color w:val="000000"/>
          <w:szCs w:val="26"/>
        </w:rPr>
        <w:t xml:space="preserve"> would generate to </w:t>
      </w:r>
      <w:r w:rsidR="00277C59" w:rsidRPr="00EB08A6">
        <w:rPr>
          <w:color w:val="000000"/>
          <w:szCs w:val="26"/>
        </w:rPr>
        <w:t xml:space="preserve">the </w:t>
      </w:r>
      <w:r w:rsidR="003E0D12" w:rsidRPr="00EB08A6">
        <w:rPr>
          <w:color w:val="000000"/>
          <w:szCs w:val="26"/>
        </w:rPr>
        <w:t>adverse impacts on human health.</w:t>
      </w:r>
      <w:r w:rsidR="00EB43DE" w:rsidRPr="00EB08A6">
        <w:rPr>
          <w:color w:val="000000"/>
          <w:szCs w:val="26"/>
        </w:rPr>
        <w:t xml:space="preserve"> </w:t>
      </w:r>
      <w:r w:rsidR="00C41AEE" w:rsidRPr="00EB08A6">
        <w:rPr>
          <w:color w:val="000000"/>
          <w:szCs w:val="26"/>
        </w:rPr>
        <w:t xml:space="preserve"> </w:t>
      </w:r>
    </w:p>
    <w:p w:rsidR="00F27E00" w:rsidRPr="00EB08A6" w:rsidRDefault="00407ADC" w:rsidP="009E0DE1">
      <w:pPr>
        <w:tabs>
          <w:tab w:val="left" w:pos="1440"/>
        </w:tabs>
        <w:ind w:firstLine="720"/>
        <w:rPr>
          <w:szCs w:val="26"/>
        </w:rPr>
      </w:pPr>
      <w:r w:rsidRPr="00EB08A6">
        <w:rPr>
          <w:color w:val="000000"/>
          <w:szCs w:val="26"/>
        </w:rPr>
        <w:t>Real p</w:t>
      </w:r>
      <w:r w:rsidR="004473CB" w:rsidRPr="00EB08A6">
        <w:rPr>
          <w:color w:val="000000"/>
          <w:szCs w:val="26"/>
        </w:rPr>
        <w:t>arty</w:t>
      </w:r>
      <w:r w:rsidR="000043A7" w:rsidRPr="00EB08A6">
        <w:rPr>
          <w:color w:val="000000"/>
          <w:szCs w:val="26"/>
        </w:rPr>
        <w:t xml:space="preserve"> had argued below that </w:t>
      </w:r>
      <w:r w:rsidR="00CE535C" w:rsidRPr="00EB08A6">
        <w:rPr>
          <w:color w:val="000000"/>
          <w:szCs w:val="26"/>
        </w:rPr>
        <w:t>“</w:t>
      </w:r>
      <w:r w:rsidR="00F27E00" w:rsidRPr="00EB08A6">
        <w:rPr>
          <w:color w:val="000000"/>
          <w:szCs w:val="26"/>
        </w:rPr>
        <w:t>the reader can infer from the provided information that the Project will make air quality and human health worse.</w:t>
      </w:r>
      <w:r w:rsidR="00CE535C" w:rsidRPr="00EB08A6">
        <w:rPr>
          <w:color w:val="000000"/>
          <w:szCs w:val="26"/>
        </w:rPr>
        <w:t>”</w:t>
      </w:r>
      <w:r w:rsidR="00EB43DE" w:rsidRPr="00EB08A6">
        <w:rPr>
          <w:color w:val="000000"/>
          <w:szCs w:val="26"/>
        </w:rPr>
        <w:t xml:space="preserve">  </w:t>
      </w:r>
      <w:r w:rsidR="00082D76" w:rsidRPr="00EB08A6">
        <w:rPr>
          <w:color w:val="000000"/>
          <w:szCs w:val="26"/>
        </w:rPr>
        <w:t>But t</w:t>
      </w:r>
      <w:r w:rsidR="000043A7" w:rsidRPr="00EB08A6">
        <w:rPr>
          <w:color w:val="000000"/>
          <w:szCs w:val="26"/>
        </w:rPr>
        <w:t xml:space="preserve">he Court of Appeal </w:t>
      </w:r>
      <w:r w:rsidR="00082D76" w:rsidRPr="00EB08A6">
        <w:rPr>
          <w:color w:val="000000"/>
          <w:szCs w:val="26"/>
        </w:rPr>
        <w:t>concluded</w:t>
      </w:r>
      <w:r w:rsidR="004B1C20" w:rsidRPr="00EB08A6">
        <w:rPr>
          <w:color w:val="000000"/>
          <w:szCs w:val="26"/>
        </w:rPr>
        <w:t xml:space="preserve"> that “al</w:t>
      </w:r>
      <w:r w:rsidR="00F27E00" w:rsidRPr="00EB08A6">
        <w:rPr>
          <w:color w:val="000000"/>
          <w:szCs w:val="26"/>
        </w:rPr>
        <w:t>though the better/worse dichotomy is a useful starting point for analyzing adverse environmental impacts, including those to human health, more information is needed to understand that adverse impact.”</w:t>
      </w:r>
      <w:r w:rsidR="00EB43DE" w:rsidRPr="00EB08A6">
        <w:rPr>
          <w:color w:val="000000"/>
          <w:szCs w:val="26"/>
        </w:rPr>
        <w:t xml:space="preserve"> </w:t>
      </w:r>
    </w:p>
    <w:p w:rsidR="00F27E00" w:rsidRPr="00EB08A6" w:rsidRDefault="00F27E00" w:rsidP="009E0DE1">
      <w:pPr>
        <w:ind w:firstLine="720"/>
        <w:rPr>
          <w:color w:val="000000"/>
          <w:szCs w:val="26"/>
        </w:rPr>
      </w:pPr>
      <w:r w:rsidRPr="00EB08A6">
        <w:rPr>
          <w:color w:val="000000"/>
          <w:szCs w:val="26"/>
        </w:rPr>
        <w:t xml:space="preserve">The EIR does </w:t>
      </w:r>
      <w:r w:rsidR="004E2BC6" w:rsidRPr="00EB08A6">
        <w:rPr>
          <w:color w:val="000000"/>
          <w:szCs w:val="26"/>
        </w:rPr>
        <w:t xml:space="preserve">include </w:t>
      </w:r>
      <w:r w:rsidR="00E868B9" w:rsidRPr="00EB08A6">
        <w:rPr>
          <w:color w:val="000000"/>
          <w:szCs w:val="26"/>
        </w:rPr>
        <w:t xml:space="preserve">some discussion of the health impacts of various pollutants and </w:t>
      </w:r>
      <w:r w:rsidRPr="00EB08A6">
        <w:rPr>
          <w:color w:val="000000"/>
          <w:szCs w:val="26"/>
        </w:rPr>
        <w:t>attempt</w:t>
      </w:r>
      <w:r w:rsidR="00E868B9" w:rsidRPr="00EB08A6">
        <w:rPr>
          <w:color w:val="000000"/>
          <w:szCs w:val="26"/>
        </w:rPr>
        <w:t>s</w:t>
      </w:r>
      <w:r w:rsidRPr="00EB08A6">
        <w:rPr>
          <w:color w:val="000000"/>
          <w:szCs w:val="26"/>
        </w:rPr>
        <w:t xml:space="preserve"> to provide an explanation for its lack of specificity</w:t>
      </w:r>
      <w:r w:rsidR="00503739" w:rsidRPr="00EB08A6">
        <w:rPr>
          <w:color w:val="000000"/>
          <w:szCs w:val="26"/>
        </w:rPr>
        <w:t xml:space="preserve">.  </w:t>
      </w:r>
      <w:r w:rsidR="00065CAA" w:rsidRPr="00EB08A6">
        <w:rPr>
          <w:color w:val="000000"/>
          <w:szCs w:val="26"/>
        </w:rPr>
        <w:t xml:space="preserve">It </w:t>
      </w:r>
      <w:r w:rsidR="00194D80" w:rsidRPr="00EB08A6">
        <w:rPr>
          <w:color w:val="000000"/>
          <w:szCs w:val="26"/>
        </w:rPr>
        <w:t xml:space="preserve">offers </w:t>
      </w:r>
      <w:r w:rsidR="00F1374E" w:rsidRPr="00EB08A6">
        <w:rPr>
          <w:color w:val="000000"/>
          <w:szCs w:val="26"/>
        </w:rPr>
        <w:t xml:space="preserve">a general discussion of adverse health effects associated with certain </w:t>
      </w:r>
      <w:r w:rsidR="00256677" w:rsidRPr="00EB08A6">
        <w:rPr>
          <w:color w:val="000000"/>
          <w:szCs w:val="26"/>
        </w:rPr>
        <w:t>Project</w:t>
      </w:r>
      <w:r w:rsidR="00CD42E5" w:rsidRPr="00EB08A6">
        <w:rPr>
          <w:color w:val="000000"/>
          <w:szCs w:val="26"/>
        </w:rPr>
        <w:t>-</w:t>
      </w:r>
      <w:r w:rsidR="00F1374E" w:rsidRPr="00EB08A6">
        <w:rPr>
          <w:color w:val="000000"/>
          <w:szCs w:val="26"/>
        </w:rPr>
        <w:t xml:space="preserve">related pollutants.  </w:t>
      </w:r>
      <w:r w:rsidR="00BA1E3A" w:rsidRPr="00EB08A6">
        <w:rPr>
          <w:color w:val="000000"/>
          <w:szCs w:val="26"/>
        </w:rPr>
        <w:t xml:space="preserve">Notably, </w:t>
      </w:r>
      <w:r w:rsidR="00CD42E5" w:rsidRPr="00EB08A6">
        <w:rPr>
          <w:color w:val="000000"/>
          <w:szCs w:val="26"/>
        </w:rPr>
        <w:t xml:space="preserve">it also </w:t>
      </w:r>
      <w:r w:rsidRPr="00EB08A6">
        <w:rPr>
          <w:color w:val="000000"/>
          <w:szCs w:val="26"/>
        </w:rPr>
        <w:t>recognize</w:t>
      </w:r>
      <w:r w:rsidR="00194D80" w:rsidRPr="00EB08A6">
        <w:rPr>
          <w:color w:val="000000"/>
          <w:szCs w:val="26"/>
        </w:rPr>
        <w:t>d</w:t>
      </w:r>
      <w:r w:rsidRPr="00EB08A6">
        <w:rPr>
          <w:color w:val="000000"/>
          <w:szCs w:val="26"/>
        </w:rPr>
        <w:t xml:space="preserve"> that Fresno County suffers from the “most severe” ozone problems in the state and acknowledged the relationship between adverse ambient air quality and certain health risks to the respiratory syst</w:t>
      </w:r>
      <w:r w:rsidR="00C342E3" w:rsidRPr="00EB08A6">
        <w:rPr>
          <w:color w:val="000000"/>
          <w:szCs w:val="26"/>
        </w:rPr>
        <w:t xml:space="preserve">em that could affect asthmatics, </w:t>
      </w:r>
      <w:r w:rsidRPr="00EB08A6">
        <w:rPr>
          <w:color w:val="000000"/>
          <w:szCs w:val="26"/>
        </w:rPr>
        <w:t xml:space="preserve">children, </w:t>
      </w:r>
      <w:r w:rsidR="00C342E3" w:rsidRPr="00EB08A6">
        <w:rPr>
          <w:color w:val="000000"/>
          <w:szCs w:val="26"/>
        </w:rPr>
        <w:t>and</w:t>
      </w:r>
      <w:r w:rsidRPr="00EB08A6">
        <w:rPr>
          <w:color w:val="000000"/>
          <w:szCs w:val="26"/>
        </w:rPr>
        <w:t xml:space="preserve"> healthy adults. </w:t>
      </w:r>
      <w:r w:rsidR="00EB43DE" w:rsidRPr="00EB08A6">
        <w:rPr>
          <w:color w:val="000000"/>
          <w:szCs w:val="26"/>
        </w:rPr>
        <w:t xml:space="preserve"> </w:t>
      </w:r>
      <w:r w:rsidRPr="00EB08A6">
        <w:rPr>
          <w:color w:val="000000"/>
          <w:szCs w:val="26"/>
        </w:rPr>
        <w:t xml:space="preserve">These adverse effects, the </w:t>
      </w:r>
      <w:r w:rsidR="00CE2BA3">
        <w:rPr>
          <w:color w:val="000000"/>
          <w:szCs w:val="26"/>
        </w:rPr>
        <w:t xml:space="preserve">draft </w:t>
      </w:r>
      <w:r w:rsidRPr="00EB08A6">
        <w:rPr>
          <w:color w:val="000000"/>
          <w:szCs w:val="26"/>
        </w:rPr>
        <w:t xml:space="preserve">EIR </w:t>
      </w:r>
      <w:r w:rsidR="00852250" w:rsidRPr="00EB08A6">
        <w:rPr>
          <w:color w:val="000000"/>
          <w:szCs w:val="26"/>
        </w:rPr>
        <w:t xml:space="preserve">observed, </w:t>
      </w:r>
      <w:r w:rsidRPr="00EB08A6">
        <w:rPr>
          <w:color w:val="000000"/>
          <w:szCs w:val="26"/>
        </w:rPr>
        <w:t xml:space="preserve">could include “breathing and respiratory symptoms, aggravation of existing respiratory and cardiovascular diseases, alterations to the immune system, carcinogenesis, and premature death.” </w:t>
      </w:r>
      <w:r w:rsidR="00616841">
        <w:rPr>
          <w:color w:val="000000"/>
          <w:szCs w:val="26"/>
        </w:rPr>
        <w:t xml:space="preserve"> </w:t>
      </w:r>
      <w:r w:rsidR="00CE2BA3">
        <w:rPr>
          <w:color w:val="000000"/>
          <w:szCs w:val="26"/>
        </w:rPr>
        <w:t xml:space="preserve">The </w:t>
      </w:r>
      <w:r w:rsidRPr="00EB08A6">
        <w:rPr>
          <w:color w:val="000000"/>
          <w:szCs w:val="26"/>
        </w:rPr>
        <w:t>EIR explained</w:t>
      </w:r>
      <w:r w:rsidR="00BA1E3A" w:rsidRPr="00EB08A6">
        <w:rPr>
          <w:color w:val="000000"/>
          <w:szCs w:val="26"/>
        </w:rPr>
        <w:t>,</w:t>
      </w:r>
      <w:r w:rsidRPr="00EB08A6">
        <w:rPr>
          <w:color w:val="000000"/>
          <w:szCs w:val="26"/>
        </w:rPr>
        <w:t xml:space="preserve"> </w:t>
      </w:r>
      <w:r w:rsidR="00BA1E3A" w:rsidRPr="00EB08A6">
        <w:rPr>
          <w:color w:val="000000"/>
          <w:szCs w:val="26"/>
        </w:rPr>
        <w:t xml:space="preserve">however, </w:t>
      </w:r>
      <w:r w:rsidRPr="00EB08A6">
        <w:rPr>
          <w:color w:val="000000"/>
          <w:szCs w:val="26"/>
        </w:rPr>
        <w:t xml:space="preserve">that a more detailed analysis of health impacts is not possible at this early planning phase. </w:t>
      </w:r>
      <w:r w:rsidR="004F7479" w:rsidRPr="00EB08A6">
        <w:rPr>
          <w:color w:val="000000"/>
          <w:szCs w:val="26"/>
        </w:rPr>
        <w:t xml:space="preserve"> According to the EIR, “Health Risk Assessments are typically prepared for inclusion in development specific project EIRs when certain types of development commonly known to have the potential to result in a human health risk are being proposed (automobile fueling stations [for example]).  Due to the broad nature of the planning approvals analyzed in this EIR, it is </w:t>
      </w:r>
      <w:r w:rsidR="00DB3EE4" w:rsidRPr="00EB08A6">
        <w:rPr>
          <w:color w:val="000000"/>
          <w:szCs w:val="26"/>
        </w:rPr>
        <w:t>impossible</w:t>
      </w:r>
      <w:r w:rsidR="004F7479" w:rsidRPr="00EB08A6">
        <w:rPr>
          <w:color w:val="000000"/>
          <w:szCs w:val="26"/>
        </w:rPr>
        <w:t xml:space="preserve"> to conduct a human health risk assessment based on specific proposed uses at specific locations within the boundaries of the Project Area because such specific information has not been determined.</w:t>
      </w:r>
      <w:r w:rsidR="004552E2" w:rsidRPr="00EB08A6">
        <w:rPr>
          <w:color w:val="000000"/>
          <w:szCs w:val="26"/>
        </w:rPr>
        <w:t>”</w:t>
      </w:r>
      <w:r w:rsidR="00C41AEE" w:rsidRPr="00EB08A6">
        <w:rPr>
          <w:color w:val="000000"/>
          <w:szCs w:val="26"/>
        </w:rPr>
        <w:t xml:space="preserve"> </w:t>
      </w:r>
      <w:r w:rsidR="00EB43DE" w:rsidRPr="00EB08A6">
        <w:rPr>
          <w:color w:val="000000"/>
          <w:szCs w:val="26"/>
        </w:rPr>
        <w:t xml:space="preserve"> </w:t>
      </w:r>
      <w:r w:rsidRPr="00EB08A6">
        <w:rPr>
          <w:color w:val="000000"/>
          <w:szCs w:val="26"/>
        </w:rPr>
        <w:t xml:space="preserve"> </w:t>
      </w:r>
    </w:p>
    <w:p w:rsidR="00F0700D" w:rsidRDefault="00187756" w:rsidP="009E0DE1">
      <w:pPr>
        <w:ind w:firstLine="720"/>
      </w:pPr>
      <w:r w:rsidRPr="00EB08A6">
        <w:rPr>
          <w:color w:val="000000"/>
          <w:szCs w:val="26"/>
        </w:rPr>
        <w:t>W</w:t>
      </w:r>
      <w:r w:rsidR="002F6B8A" w:rsidRPr="00EB08A6">
        <w:rPr>
          <w:color w:val="000000"/>
          <w:szCs w:val="26"/>
        </w:rPr>
        <w:t>e</w:t>
      </w:r>
      <w:r w:rsidR="00F27E00" w:rsidRPr="00EB08A6">
        <w:rPr>
          <w:color w:val="000000"/>
          <w:szCs w:val="26"/>
        </w:rPr>
        <w:t xml:space="preserve"> agree with the Court of Appeal that the EIR’s discussion of health impacts found i</w:t>
      </w:r>
      <w:r w:rsidR="00EB43DE" w:rsidRPr="00EB08A6">
        <w:rPr>
          <w:color w:val="000000"/>
          <w:szCs w:val="26"/>
        </w:rPr>
        <w:t xml:space="preserve">n </w:t>
      </w:r>
      <w:r w:rsidR="00531A99" w:rsidRPr="00EB08A6">
        <w:rPr>
          <w:color w:val="000000"/>
          <w:szCs w:val="26"/>
        </w:rPr>
        <w:t>Impact No.</w:t>
      </w:r>
      <w:r w:rsidR="00EB43DE" w:rsidRPr="00EB08A6">
        <w:rPr>
          <w:color w:val="000000"/>
          <w:szCs w:val="26"/>
        </w:rPr>
        <w:t xml:space="preserve"> 3.3.2 </w:t>
      </w:r>
      <w:r w:rsidR="00F27E00" w:rsidRPr="00EB08A6">
        <w:rPr>
          <w:color w:val="000000"/>
          <w:szCs w:val="26"/>
        </w:rPr>
        <w:t xml:space="preserve">is inadequate as an informational document, similar to what the court found in </w:t>
      </w:r>
      <w:r w:rsidR="00F27E00" w:rsidRPr="00EB08A6">
        <w:rPr>
          <w:i/>
          <w:color w:val="000000"/>
          <w:szCs w:val="26"/>
        </w:rPr>
        <w:t>Bakersfield</w:t>
      </w:r>
      <w:r w:rsidR="00B03A49" w:rsidRPr="00EB08A6">
        <w:rPr>
          <w:color w:val="000000"/>
          <w:szCs w:val="26"/>
        </w:rPr>
        <w:t>,</w:t>
      </w:r>
      <w:r w:rsidR="00F27E00" w:rsidRPr="00EB08A6">
        <w:rPr>
          <w:i/>
          <w:color w:val="000000"/>
          <w:szCs w:val="26"/>
        </w:rPr>
        <w:t xml:space="preserve"> supra</w:t>
      </w:r>
      <w:r w:rsidR="00B03A49" w:rsidRPr="00EB08A6">
        <w:rPr>
          <w:color w:val="000000"/>
          <w:szCs w:val="26"/>
        </w:rPr>
        <w:t>,</w:t>
      </w:r>
      <w:r w:rsidR="00F27E00" w:rsidRPr="00EB08A6">
        <w:rPr>
          <w:i/>
          <w:color w:val="000000"/>
          <w:szCs w:val="26"/>
        </w:rPr>
        <w:t xml:space="preserve"> </w:t>
      </w:r>
      <w:r w:rsidR="00F27E00" w:rsidRPr="00EB08A6">
        <w:rPr>
          <w:color w:val="000000"/>
          <w:szCs w:val="26"/>
        </w:rPr>
        <w:t>124 Cal.App.4th at p. 1220.  The EIR’s discussion of health impacts of the named pollutants provides only a general description of symptoms that are associated with exposure to the ozone, particulate matter (PM), carbon monoxide (CO), and nitrogen dioxide (NOx)</w:t>
      </w:r>
      <w:r w:rsidR="00F21156" w:rsidRPr="00EB08A6">
        <w:rPr>
          <w:color w:val="000000"/>
          <w:szCs w:val="26"/>
        </w:rPr>
        <w:t>, and t</w:t>
      </w:r>
      <w:r w:rsidR="00DB48B4" w:rsidRPr="00EB08A6">
        <w:t xml:space="preserve">he discussion of health impacts regarding each type of pollutant is at most a few sentences of general information. </w:t>
      </w:r>
      <w:r w:rsidR="00F21156" w:rsidRPr="00EB08A6">
        <w:rPr>
          <w:color w:val="000000"/>
          <w:szCs w:val="26"/>
        </w:rPr>
        <w:t xml:space="preserve"> </w:t>
      </w:r>
      <w:r w:rsidR="00DB48B4" w:rsidRPr="00EB08A6">
        <w:t xml:space="preserve">The disclosures of the health effects related to PM, CO, and sulfur dioxide fail to indicate the concentrations at which such pollutants </w:t>
      </w:r>
      <w:r w:rsidR="005C7C97" w:rsidRPr="00EB08A6">
        <w:t xml:space="preserve">would </w:t>
      </w:r>
      <w:r w:rsidR="00DB48B4" w:rsidRPr="00EB08A6">
        <w:t>trigger the identified</w:t>
      </w:r>
      <w:r w:rsidR="005C7C97" w:rsidRPr="00EB08A6">
        <w:t xml:space="preserve"> symptoms</w:t>
      </w:r>
      <w:r w:rsidR="00DC4D1F" w:rsidRPr="00EB08A6">
        <w:t xml:space="preserve">. </w:t>
      </w:r>
      <w:r w:rsidR="00DB48B4" w:rsidRPr="00EB08A6">
        <w:t xml:space="preserve"> As in </w:t>
      </w:r>
      <w:r w:rsidR="00DB48B4" w:rsidRPr="00EB08A6">
        <w:rPr>
          <w:i/>
        </w:rPr>
        <w:t>Bakersfield</w:t>
      </w:r>
      <w:r w:rsidR="00DB48B4" w:rsidRPr="00EB08A6">
        <w:t>, “[a]</w:t>
      </w:r>
      <w:proofErr w:type="spellStart"/>
      <w:r w:rsidR="00DB48B4" w:rsidRPr="00EB08A6">
        <w:t>fter</w:t>
      </w:r>
      <w:proofErr w:type="spellEnd"/>
      <w:r w:rsidR="00DB48B4" w:rsidRPr="00EB08A6">
        <w:t xml:space="preserve"> reading the EIRs, the public would have no idea of the health consequences that result when more pollutants are added to a nonattainment basin.”  (</w:t>
      </w:r>
      <w:r w:rsidR="00DB48B4" w:rsidRPr="00EB08A6">
        <w:rPr>
          <w:i/>
        </w:rPr>
        <w:t>Bakersfield</w:t>
      </w:r>
      <w:r w:rsidR="00DB48B4" w:rsidRPr="00EB08A6">
        <w:t xml:space="preserve">, </w:t>
      </w:r>
      <w:r w:rsidR="00DB48B4" w:rsidRPr="00EB08A6">
        <w:rPr>
          <w:i/>
        </w:rPr>
        <w:t>supra</w:t>
      </w:r>
      <w:r w:rsidR="00DB48B4" w:rsidRPr="00EB08A6">
        <w:t xml:space="preserve">, 124 Cal.App.4th at </w:t>
      </w:r>
      <w:r w:rsidR="00E02112" w:rsidRPr="00EB08A6">
        <w:t xml:space="preserve">p. </w:t>
      </w:r>
      <w:r w:rsidR="00DB48B4" w:rsidRPr="00EB08A6">
        <w:t>12</w:t>
      </w:r>
      <w:r w:rsidR="00E02112" w:rsidRPr="00EB08A6">
        <w:t>20</w:t>
      </w:r>
      <w:r w:rsidR="00DB48B4" w:rsidRPr="00EB08A6">
        <w:t xml:space="preserve">.)  </w:t>
      </w:r>
      <w:r w:rsidR="005C7C97" w:rsidRPr="00EB08A6">
        <w:t>And a</w:t>
      </w:r>
      <w:r w:rsidR="00DB48B4" w:rsidRPr="00EB08A6">
        <w:t xml:space="preserve">s </w:t>
      </w:r>
      <w:r w:rsidR="008207C7" w:rsidRPr="00EB08A6">
        <w:t xml:space="preserve">mentioned </w:t>
      </w:r>
      <w:r w:rsidR="00DB48B4" w:rsidRPr="00EB08A6">
        <w:t xml:space="preserve">above, a sufficient discussion of significant impacts requires not merely a determination of whether an impact is significant, but some effort to </w:t>
      </w:r>
      <w:r w:rsidR="00544080">
        <w:t xml:space="preserve">explain </w:t>
      </w:r>
      <w:r w:rsidR="00DB48B4" w:rsidRPr="00EB08A6">
        <w:t xml:space="preserve"> the </w:t>
      </w:r>
      <w:r w:rsidR="00544080">
        <w:t xml:space="preserve">nature and </w:t>
      </w:r>
      <w:r w:rsidR="00DB48B4" w:rsidRPr="00EB08A6">
        <w:t xml:space="preserve">magnitude of the impact.  (See </w:t>
      </w:r>
      <w:r w:rsidR="00DB48B4" w:rsidRPr="00EB08A6">
        <w:rPr>
          <w:i/>
          <w:szCs w:val="26"/>
        </w:rPr>
        <w:t>Cleveland National Forest</w:t>
      </w:r>
      <w:r w:rsidR="00DB48B4" w:rsidRPr="00EB08A6">
        <w:rPr>
          <w:szCs w:val="26"/>
        </w:rPr>
        <w:t xml:space="preserve">, </w:t>
      </w:r>
      <w:r w:rsidR="00DB48B4" w:rsidRPr="00EB08A6">
        <w:rPr>
          <w:i/>
          <w:szCs w:val="26"/>
        </w:rPr>
        <w:t>supra</w:t>
      </w:r>
      <w:r w:rsidR="00DB48B4" w:rsidRPr="00EB08A6">
        <w:rPr>
          <w:szCs w:val="26"/>
        </w:rPr>
        <w:t>,</w:t>
      </w:r>
      <w:r w:rsidR="00DB48B4" w:rsidRPr="00EB08A6">
        <w:rPr>
          <w:i/>
          <w:szCs w:val="26"/>
        </w:rPr>
        <w:t xml:space="preserve"> </w:t>
      </w:r>
      <w:r w:rsidR="00DB48B4" w:rsidRPr="00EB08A6">
        <w:rPr>
          <w:szCs w:val="26"/>
        </w:rPr>
        <w:t xml:space="preserve">3 Cal.5th at pp. 514–515.)  </w:t>
      </w:r>
      <w:r w:rsidR="00DB48B4" w:rsidRPr="00EB08A6">
        <w:t xml:space="preserve">The EIR in this case fails to meet the standards articulated in </w:t>
      </w:r>
      <w:r w:rsidR="00DB48B4" w:rsidRPr="00EB08A6">
        <w:rPr>
          <w:i/>
        </w:rPr>
        <w:t>Bakersfield</w:t>
      </w:r>
      <w:r w:rsidR="00DB48B4" w:rsidRPr="00EB08A6">
        <w:t xml:space="preserve"> and </w:t>
      </w:r>
      <w:r w:rsidR="00DB48B4" w:rsidRPr="00EB08A6">
        <w:rPr>
          <w:i/>
          <w:szCs w:val="26"/>
        </w:rPr>
        <w:t>Cleveland National Forest</w:t>
      </w:r>
      <w:r w:rsidR="00DB48B4" w:rsidRPr="00EB08A6">
        <w:t xml:space="preserve">.  </w:t>
      </w:r>
    </w:p>
    <w:p w:rsidR="00DB48B4" w:rsidRPr="00EB08A6" w:rsidRDefault="00B31B0D" w:rsidP="009E0DE1">
      <w:pPr>
        <w:ind w:firstLine="720"/>
      </w:pPr>
      <w:r w:rsidRPr="00EB08A6">
        <w:rPr>
          <w:color w:val="000000"/>
          <w:szCs w:val="26"/>
        </w:rPr>
        <w:t>E</w:t>
      </w:r>
      <w:r w:rsidR="00DB48B4" w:rsidRPr="00EB08A6">
        <w:t xml:space="preserve">ven in the one area </w:t>
      </w:r>
      <w:r w:rsidR="000B2D74" w:rsidRPr="00EB08A6">
        <w:t xml:space="preserve">in which </w:t>
      </w:r>
      <w:r w:rsidR="00DB48B4" w:rsidRPr="00EB08A6">
        <w:t>the EIR go</w:t>
      </w:r>
      <w:r w:rsidR="00D82B48" w:rsidRPr="00EB08A6">
        <w:t>es</w:t>
      </w:r>
      <w:r w:rsidR="00DB48B4" w:rsidRPr="00EB08A6">
        <w:t xml:space="preserve"> into some </w:t>
      </w:r>
      <w:r w:rsidR="000B312B" w:rsidRPr="00EB08A6">
        <w:t>detail about health effects––</w:t>
      </w:r>
      <w:r w:rsidR="00DB48B4" w:rsidRPr="00EB08A6">
        <w:t>ozone</w:t>
      </w:r>
      <w:r w:rsidR="000B312B" w:rsidRPr="00EB08A6">
        <w:t>––</w:t>
      </w:r>
      <w:r w:rsidR="00DB48B4" w:rsidRPr="00EB08A6">
        <w:t xml:space="preserve">the analysis </w:t>
      </w:r>
      <w:r w:rsidR="000B2D74" w:rsidRPr="00EB08A6">
        <w:t xml:space="preserve">is </w:t>
      </w:r>
      <w:r w:rsidR="00DB48B4" w:rsidRPr="00EB08A6">
        <w:t xml:space="preserve">inadequate.  The EIR states:  “Exposure to ambient levels of ozone ranging from 0.10 to 0.40 </w:t>
      </w:r>
      <w:r w:rsidR="00EE157C" w:rsidRPr="00EB08A6">
        <w:t xml:space="preserve">[parts per million </w:t>
      </w:r>
      <w:r w:rsidR="00DB48B4" w:rsidRPr="00EB08A6">
        <w:t xml:space="preserve">of ozone] has been found to significantly alter lung functions by increasing respiratory rates and pulmonary resistance, decreasing tidal volumes, and impairing respiratory mechanics.  Ambient levels of ozone above 0.12 </w:t>
      </w:r>
      <w:r w:rsidR="00FA7503" w:rsidRPr="00EB08A6">
        <w:t xml:space="preserve">[parts per million] </w:t>
      </w:r>
      <w:r w:rsidR="00DB48B4" w:rsidRPr="00EB08A6">
        <w:t>are linked to symptomatic responses that include such symptoms as throat dryness, chest tightness, headache, and nausea.</w:t>
      </w:r>
      <w:r w:rsidR="00997922" w:rsidRPr="00EB08A6">
        <w:t xml:space="preserve">”  </w:t>
      </w:r>
    </w:p>
    <w:p w:rsidR="007B10E7" w:rsidRPr="00EB08A6" w:rsidRDefault="00DB48B4" w:rsidP="009E0DE1">
      <w:pPr>
        <w:ind w:firstLine="720"/>
      </w:pPr>
      <w:r w:rsidRPr="00EB08A6">
        <w:t>At first glance, this information appears to potentially illuminat</w:t>
      </w:r>
      <w:r w:rsidR="00082D76" w:rsidRPr="00EB08A6">
        <w:t>e</w:t>
      </w:r>
      <w:r w:rsidRPr="00EB08A6">
        <w:t xml:space="preserve"> the health impacts of ozone produced by the </w:t>
      </w:r>
      <w:r w:rsidR="00FA7503" w:rsidRPr="00EB08A6">
        <w:t>Project</w:t>
      </w:r>
      <w:r w:rsidRPr="00EB08A6">
        <w:t xml:space="preserve">.  But </w:t>
      </w:r>
      <w:r w:rsidR="00082D76" w:rsidRPr="00EB08A6">
        <w:t xml:space="preserve">the EIR presents </w:t>
      </w:r>
      <w:r w:rsidRPr="00EB08A6">
        <w:t xml:space="preserve">no evidence </w:t>
      </w:r>
      <w:r w:rsidR="00082D76" w:rsidRPr="00EB08A6">
        <w:t>of</w:t>
      </w:r>
      <w:r w:rsidRPr="00EB08A6">
        <w:t xml:space="preserve"> the anticipated parts per million (ppm) of ozone as a result of </w:t>
      </w:r>
      <w:r w:rsidR="002C2D88" w:rsidRPr="00EB08A6">
        <w:t>the P</w:t>
      </w:r>
      <w:r w:rsidRPr="00EB08A6">
        <w:t>roject.  Rather, the EIR provides the estimated tons per year of reactive organic material (ROG) and NOx, the two components that react with sunlight to form ozone (i.e., ROG + NOx + sunlight → ozone).</w:t>
      </w:r>
      <w:r w:rsidR="00EB43DE" w:rsidRPr="00EB08A6">
        <w:t xml:space="preserve"> </w:t>
      </w:r>
      <w:r w:rsidRPr="00EB08A6">
        <w:t xml:space="preserve"> The raw numbers estimating the tons per year of ROG and NOx from </w:t>
      </w:r>
      <w:r w:rsidR="00BC67EA" w:rsidRPr="00EB08A6">
        <w:t>the P</w:t>
      </w:r>
      <w:r w:rsidRPr="00EB08A6">
        <w:t xml:space="preserve">roject do not give any information to the reader about how much ozone is estimated to be produced as a result.  Therefore, the disclosure of the health impacts associated with exposure to 0.10 to 0.40 ppm of ozone is not meaningful within the context of the </w:t>
      </w:r>
      <w:r w:rsidR="00BC67EA" w:rsidRPr="00EB08A6">
        <w:t xml:space="preserve">Project </w:t>
      </w:r>
      <w:r w:rsidRPr="00EB08A6">
        <w:t>because the reader has no idea how much ozone will be produced (i.e., whether the amount of ozone resulting from the ROG and NOx pollution will bring the ozone ppm within the 0.10 to 0.40 range).</w:t>
      </w:r>
    </w:p>
    <w:p w:rsidR="005A1A48" w:rsidRPr="00EB08A6" w:rsidRDefault="005A1A48" w:rsidP="009E0DE1">
      <w:pPr>
        <w:ind w:firstLine="720"/>
        <w:rPr>
          <w:color w:val="000000"/>
          <w:szCs w:val="26"/>
        </w:rPr>
      </w:pPr>
      <w:r w:rsidRPr="00EB08A6">
        <w:rPr>
          <w:color w:val="000000"/>
          <w:szCs w:val="26"/>
        </w:rPr>
        <w:t>Guideline</w:t>
      </w:r>
      <w:r w:rsidR="008F6137" w:rsidRPr="00EB08A6">
        <w:rPr>
          <w:color w:val="000000"/>
          <w:szCs w:val="26"/>
        </w:rPr>
        <w:t>s</w:t>
      </w:r>
      <w:r w:rsidRPr="00EB08A6">
        <w:rPr>
          <w:color w:val="000000"/>
          <w:szCs w:val="26"/>
        </w:rPr>
        <w:t xml:space="preserve"> section 15126.2, subdivision (a) is instructive.  It mandates that </w:t>
      </w:r>
      <w:r w:rsidR="0055667A" w:rsidRPr="00EB08A6">
        <w:rPr>
          <w:color w:val="000000"/>
          <w:szCs w:val="26"/>
        </w:rPr>
        <w:t xml:space="preserve">an EIR “identify and focus on the significant environmental effects of the proposed </w:t>
      </w:r>
      <w:r w:rsidR="008F6137" w:rsidRPr="00EB08A6">
        <w:rPr>
          <w:color w:val="000000"/>
          <w:szCs w:val="26"/>
        </w:rPr>
        <w:t>project</w:t>
      </w:r>
      <w:r w:rsidR="008F6137" w:rsidRPr="00EB08A6">
        <w:t> </w:t>
      </w:r>
      <w:r w:rsidR="0055667A" w:rsidRPr="00EB08A6">
        <w:rPr>
          <w:color w:val="000000"/>
          <w:szCs w:val="26"/>
        </w:rPr>
        <w:t xml:space="preserve">. . .  </w:t>
      </w:r>
      <w:proofErr w:type="spellStart"/>
      <w:r w:rsidR="0055667A" w:rsidRPr="00EB08A6">
        <w:rPr>
          <w:color w:val="000000"/>
          <w:szCs w:val="26"/>
        </w:rPr>
        <w:t>examin</w:t>
      </w:r>
      <w:proofErr w:type="spellEnd"/>
      <w:r w:rsidR="0055667A" w:rsidRPr="00EB08A6">
        <w:rPr>
          <w:color w:val="000000"/>
          <w:szCs w:val="26"/>
        </w:rPr>
        <w:t>[</w:t>
      </w:r>
      <w:proofErr w:type="spellStart"/>
      <w:r w:rsidR="0055667A" w:rsidRPr="00EB08A6">
        <w:rPr>
          <w:color w:val="000000"/>
          <w:szCs w:val="26"/>
        </w:rPr>
        <w:t>ing</w:t>
      </w:r>
      <w:proofErr w:type="spellEnd"/>
      <w:r w:rsidR="0055667A" w:rsidRPr="00EB08A6">
        <w:rPr>
          <w:color w:val="000000"/>
          <w:szCs w:val="26"/>
        </w:rPr>
        <w:t xml:space="preserve">] </w:t>
      </w:r>
      <w:r w:rsidR="008F6137" w:rsidRPr="00EB08A6">
        <w:rPr>
          <w:color w:val="000000"/>
          <w:szCs w:val="26"/>
        </w:rPr>
        <w:t xml:space="preserve">[] </w:t>
      </w:r>
      <w:r w:rsidR="0055667A" w:rsidRPr="00EB08A6">
        <w:rPr>
          <w:color w:val="000000"/>
          <w:szCs w:val="26"/>
        </w:rPr>
        <w:t>changes in the existing physical conditions in the affected area,” that it identify and describe “[d]</w:t>
      </w:r>
      <w:proofErr w:type="spellStart"/>
      <w:r w:rsidR="0055667A" w:rsidRPr="00EB08A6">
        <w:rPr>
          <w:color w:val="000000"/>
          <w:szCs w:val="26"/>
        </w:rPr>
        <w:t>irect</w:t>
      </w:r>
      <w:proofErr w:type="spellEnd"/>
      <w:r w:rsidR="0055667A" w:rsidRPr="00EB08A6">
        <w:rPr>
          <w:color w:val="000000"/>
          <w:szCs w:val="26"/>
        </w:rPr>
        <w:t xml:space="preserve"> and indirect significant effects of the project on the environment,” and that the discussion should include, among other things, “relevant specifics </w:t>
      </w:r>
      <w:r w:rsidR="008F6137" w:rsidRPr="00EB08A6">
        <w:rPr>
          <w:color w:val="000000"/>
          <w:szCs w:val="26"/>
        </w:rPr>
        <w:t>of </w:t>
      </w:r>
      <w:r w:rsidR="0055667A" w:rsidRPr="00EB08A6">
        <w:rPr>
          <w:color w:val="000000"/>
          <w:szCs w:val="26"/>
        </w:rPr>
        <w:t xml:space="preserve">. . . </w:t>
      </w:r>
      <w:r w:rsidR="00A751AD" w:rsidRPr="00EB08A6">
        <w:rPr>
          <w:color w:val="000000"/>
          <w:szCs w:val="26"/>
        </w:rPr>
        <w:t xml:space="preserve">health and safety problems caused by the physical changes.”  </w:t>
      </w:r>
      <w:r w:rsidR="008F6137" w:rsidRPr="00EB08A6">
        <w:rPr>
          <w:color w:val="000000"/>
          <w:szCs w:val="26"/>
        </w:rPr>
        <w:t xml:space="preserve">It </w:t>
      </w:r>
      <w:r w:rsidR="00A751AD" w:rsidRPr="00EB08A6">
        <w:rPr>
          <w:color w:val="000000"/>
          <w:szCs w:val="26"/>
        </w:rPr>
        <w:t xml:space="preserve">also suggests that a connection be drawn between the two segments of information presented in the EIR—potential project emissions and human health impacts.  </w:t>
      </w:r>
      <w:r w:rsidR="008F6137" w:rsidRPr="00EB08A6">
        <w:rPr>
          <w:color w:val="000000"/>
          <w:szCs w:val="26"/>
        </w:rPr>
        <w:t>S</w:t>
      </w:r>
      <w:r w:rsidR="00A751AD" w:rsidRPr="00EB08A6">
        <w:rPr>
          <w:color w:val="000000"/>
          <w:szCs w:val="26"/>
        </w:rPr>
        <w:t>uch a co</w:t>
      </w:r>
      <w:r w:rsidR="006B42D9">
        <w:rPr>
          <w:color w:val="000000"/>
          <w:szCs w:val="26"/>
        </w:rPr>
        <w:t>nnection</w:t>
      </w:r>
      <w:r w:rsidR="00A751AD" w:rsidRPr="00EB08A6">
        <w:rPr>
          <w:color w:val="000000"/>
          <w:szCs w:val="26"/>
        </w:rPr>
        <w:t xml:space="preserve"> would meet CEQA’s requirements.  </w:t>
      </w:r>
    </w:p>
    <w:p w:rsidR="00971E5D" w:rsidRPr="00EB08A6" w:rsidRDefault="007749FE" w:rsidP="009E0DE1">
      <w:pPr>
        <w:ind w:firstLine="720"/>
        <w:rPr>
          <w:color w:val="000000"/>
          <w:szCs w:val="26"/>
        </w:rPr>
      </w:pPr>
      <w:bookmarkStart w:id="6" w:name="_Hlk519102350"/>
      <w:r w:rsidRPr="00EB08A6">
        <w:rPr>
          <w:color w:val="000000"/>
          <w:szCs w:val="26"/>
        </w:rPr>
        <w:t>Relying</w:t>
      </w:r>
      <w:r w:rsidR="003A4BBE" w:rsidRPr="00EB08A6">
        <w:rPr>
          <w:color w:val="000000"/>
          <w:szCs w:val="26"/>
        </w:rPr>
        <w:t xml:space="preserve"> </w:t>
      </w:r>
      <w:r w:rsidR="003547C4" w:rsidRPr="00EB08A6">
        <w:rPr>
          <w:color w:val="000000"/>
          <w:szCs w:val="26"/>
        </w:rPr>
        <w:t xml:space="preserve">on </w:t>
      </w:r>
      <w:r w:rsidR="003A4BBE" w:rsidRPr="00EB08A6">
        <w:rPr>
          <w:color w:val="000000"/>
          <w:szCs w:val="26"/>
        </w:rPr>
        <w:t>various amici curiae</w:t>
      </w:r>
      <w:r w:rsidR="003A4BBE" w:rsidRPr="00EB08A6">
        <w:rPr>
          <w:i/>
          <w:color w:val="000000"/>
          <w:szCs w:val="26"/>
        </w:rPr>
        <w:t xml:space="preserve"> </w:t>
      </w:r>
      <w:r w:rsidR="003A4BBE" w:rsidRPr="00EB08A6">
        <w:rPr>
          <w:color w:val="000000"/>
          <w:szCs w:val="26"/>
        </w:rPr>
        <w:t xml:space="preserve">briefs submitted to the court, the </w:t>
      </w:r>
      <w:r w:rsidRPr="00EB08A6">
        <w:rPr>
          <w:color w:val="000000"/>
          <w:szCs w:val="26"/>
        </w:rPr>
        <w:t xml:space="preserve">County and real party </w:t>
      </w:r>
      <w:r w:rsidR="003A4BBE" w:rsidRPr="00EB08A6">
        <w:rPr>
          <w:color w:val="000000"/>
          <w:szCs w:val="26"/>
        </w:rPr>
        <w:t>attempt to explain</w:t>
      </w:r>
      <w:r w:rsidR="00FE3327" w:rsidRPr="00EB08A6">
        <w:rPr>
          <w:color w:val="000000"/>
          <w:szCs w:val="26"/>
        </w:rPr>
        <w:t xml:space="preserve"> </w:t>
      </w:r>
      <w:r w:rsidR="003A4BBE" w:rsidRPr="00EB08A6">
        <w:rPr>
          <w:color w:val="000000"/>
          <w:szCs w:val="26"/>
        </w:rPr>
        <w:t xml:space="preserve">why the connection between emissions and human health that </w:t>
      </w:r>
      <w:r w:rsidR="00531A99" w:rsidRPr="00EB08A6">
        <w:rPr>
          <w:color w:val="000000"/>
          <w:szCs w:val="26"/>
        </w:rPr>
        <w:t>p</w:t>
      </w:r>
      <w:r w:rsidR="003A4BBE" w:rsidRPr="00EB08A6">
        <w:rPr>
          <w:color w:val="000000"/>
          <w:szCs w:val="26"/>
        </w:rPr>
        <w:t xml:space="preserve">laintiffs seek cannot be provided given </w:t>
      </w:r>
      <w:r w:rsidR="005128A3" w:rsidRPr="00EB08A6">
        <w:rPr>
          <w:color w:val="000000"/>
          <w:szCs w:val="26"/>
        </w:rPr>
        <w:t xml:space="preserve">the state of </w:t>
      </w:r>
      <w:r w:rsidR="00935C00" w:rsidRPr="00EB08A6">
        <w:rPr>
          <w:color w:val="000000"/>
          <w:szCs w:val="26"/>
        </w:rPr>
        <w:t xml:space="preserve">environmental </w:t>
      </w:r>
      <w:r w:rsidR="005128A3" w:rsidRPr="00EB08A6">
        <w:rPr>
          <w:color w:val="000000"/>
          <w:szCs w:val="26"/>
        </w:rPr>
        <w:t xml:space="preserve">science modeling in use at this </w:t>
      </w:r>
      <w:r w:rsidR="00133448" w:rsidRPr="00EB08A6">
        <w:rPr>
          <w:color w:val="000000"/>
          <w:szCs w:val="26"/>
        </w:rPr>
        <w:t>time</w:t>
      </w:r>
      <w:r w:rsidR="003A4BBE" w:rsidRPr="00EB08A6">
        <w:rPr>
          <w:color w:val="000000"/>
          <w:szCs w:val="26"/>
        </w:rPr>
        <w:t>.</w:t>
      </w:r>
      <w:r w:rsidRPr="00EB08A6">
        <w:rPr>
          <w:color w:val="000000"/>
          <w:szCs w:val="26"/>
        </w:rPr>
        <w:t xml:space="preserve">  </w:t>
      </w:r>
      <w:r w:rsidR="00A751AD" w:rsidRPr="00EB08A6">
        <w:rPr>
          <w:color w:val="000000"/>
          <w:szCs w:val="26"/>
        </w:rPr>
        <w:t>The parties may be correct; we express no view on the question</w:t>
      </w:r>
      <w:r w:rsidR="00616841">
        <w:rPr>
          <w:color w:val="000000"/>
          <w:szCs w:val="26"/>
        </w:rPr>
        <w:t>, except to note that scientific certainty is not the standard</w:t>
      </w:r>
      <w:r w:rsidR="00A751AD" w:rsidRPr="00EB08A6">
        <w:rPr>
          <w:color w:val="000000"/>
          <w:szCs w:val="26"/>
        </w:rPr>
        <w:t xml:space="preserve">.  But if it is not scientifically possible to do more than has already been done to </w:t>
      </w:r>
      <w:r w:rsidR="008803F2">
        <w:rPr>
          <w:color w:val="000000"/>
          <w:szCs w:val="26"/>
        </w:rPr>
        <w:t>connect</w:t>
      </w:r>
      <w:r w:rsidR="00A751AD" w:rsidRPr="00EB08A6">
        <w:rPr>
          <w:color w:val="000000"/>
          <w:szCs w:val="26"/>
        </w:rPr>
        <w:t xml:space="preserve"> air quality effects with potential human health impacts, the EIR itself mu</w:t>
      </w:r>
      <w:r w:rsidR="00721C98" w:rsidRPr="00EB08A6">
        <w:rPr>
          <w:color w:val="000000"/>
          <w:szCs w:val="26"/>
        </w:rPr>
        <w:t xml:space="preserve">st explain why, in a </w:t>
      </w:r>
      <w:r w:rsidR="00A751AD" w:rsidRPr="00EB08A6">
        <w:rPr>
          <w:color w:val="000000"/>
          <w:szCs w:val="26"/>
        </w:rPr>
        <w:t>manner</w:t>
      </w:r>
      <w:r w:rsidR="00721C98" w:rsidRPr="00EB08A6">
        <w:rPr>
          <w:color w:val="000000"/>
          <w:szCs w:val="26"/>
        </w:rPr>
        <w:t xml:space="preserve"> reasonably </w:t>
      </w:r>
      <w:r w:rsidR="00A751AD" w:rsidRPr="00EB08A6">
        <w:rPr>
          <w:color w:val="000000"/>
          <w:szCs w:val="26"/>
        </w:rPr>
        <w:t xml:space="preserve">calculated to inform the public of the scope of what is </w:t>
      </w:r>
      <w:r w:rsidR="00CC4584">
        <w:rPr>
          <w:color w:val="000000"/>
          <w:szCs w:val="26"/>
        </w:rPr>
        <w:t xml:space="preserve">and is </w:t>
      </w:r>
      <w:r w:rsidR="00A751AD" w:rsidRPr="00EB08A6">
        <w:rPr>
          <w:color w:val="000000"/>
          <w:szCs w:val="26"/>
        </w:rPr>
        <w:t xml:space="preserve">not yet known about the </w:t>
      </w:r>
      <w:r w:rsidR="00C25A25" w:rsidRPr="00EB08A6">
        <w:rPr>
          <w:color w:val="000000"/>
          <w:szCs w:val="26"/>
        </w:rPr>
        <w:t xml:space="preserve">Project’s </w:t>
      </w:r>
      <w:r w:rsidR="00A751AD" w:rsidRPr="00EB08A6">
        <w:rPr>
          <w:color w:val="000000"/>
          <w:szCs w:val="26"/>
        </w:rPr>
        <w:t xml:space="preserve">impacts.  </w:t>
      </w:r>
      <w:r w:rsidR="003E2ECC" w:rsidRPr="00EB08A6">
        <w:rPr>
          <w:color w:val="000000"/>
          <w:szCs w:val="26"/>
        </w:rPr>
        <w:t>C</w:t>
      </w:r>
      <w:r w:rsidR="00BB27C2" w:rsidRPr="00EB08A6">
        <w:rPr>
          <w:color w:val="000000"/>
          <w:szCs w:val="26"/>
        </w:rPr>
        <w:t>ontained in a brief</w:t>
      </w:r>
      <w:r w:rsidR="003E2ECC" w:rsidRPr="00EB08A6">
        <w:rPr>
          <w:color w:val="000000"/>
          <w:szCs w:val="26"/>
        </w:rPr>
        <w:t xml:space="preserve">, </w:t>
      </w:r>
      <w:r w:rsidR="004311AC" w:rsidRPr="00EB08A6">
        <w:rPr>
          <w:color w:val="000000"/>
          <w:szCs w:val="26"/>
        </w:rPr>
        <w:t>such explanation</w:t>
      </w:r>
      <w:r w:rsidR="00BB27C2" w:rsidRPr="00EB08A6">
        <w:rPr>
          <w:color w:val="000000"/>
          <w:szCs w:val="26"/>
        </w:rPr>
        <w:t xml:space="preserve"> </w:t>
      </w:r>
      <w:r w:rsidR="00CE2BA3">
        <w:rPr>
          <w:color w:val="000000"/>
          <w:szCs w:val="26"/>
        </w:rPr>
        <w:t>is directed at the wrong audience.</w:t>
      </w:r>
      <w:r w:rsidR="00BB27C2" w:rsidRPr="00EB08A6">
        <w:rPr>
          <w:color w:val="000000"/>
          <w:szCs w:val="26"/>
        </w:rPr>
        <w:t xml:space="preserve">  </w:t>
      </w:r>
      <w:r w:rsidR="005128A3" w:rsidRPr="00EB08A6">
        <w:rPr>
          <w:color w:val="000000"/>
          <w:szCs w:val="26"/>
        </w:rPr>
        <w:t>The relevant informational document here is the EIR, and the</w:t>
      </w:r>
      <w:r w:rsidR="00BB27C2" w:rsidRPr="00EB08A6">
        <w:rPr>
          <w:color w:val="000000"/>
          <w:szCs w:val="26"/>
        </w:rPr>
        <w:t xml:space="preserve"> EIR must communicate not to the reviewing court, but “the public and </w:t>
      </w:r>
      <w:r w:rsidR="00E02112" w:rsidRPr="00EB08A6">
        <w:rPr>
          <w:color w:val="000000"/>
          <w:szCs w:val="26"/>
        </w:rPr>
        <w:t xml:space="preserve">the </w:t>
      </w:r>
      <w:r w:rsidR="00BB27C2" w:rsidRPr="00EB08A6">
        <w:rPr>
          <w:color w:val="000000"/>
          <w:szCs w:val="26"/>
        </w:rPr>
        <w:t>government officials deciding on the project.”  (</w:t>
      </w:r>
      <w:r w:rsidR="00BB27C2" w:rsidRPr="00EB08A6">
        <w:rPr>
          <w:i/>
          <w:color w:val="000000"/>
          <w:szCs w:val="26"/>
        </w:rPr>
        <w:t>Vineyard</w:t>
      </w:r>
      <w:r w:rsidR="00BB27C2" w:rsidRPr="00EB08A6">
        <w:rPr>
          <w:color w:val="000000"/>
          <w:szCs w:val="26"/>
        </w:rPr>
        <w:t xml:space="preserve">, </w:t>
      </w:r>
      <w:r w:rsidR="00BB27C2" w:rsidRPr="00EB08A6">
        <w:rPr>
          <w:i/>
          <w:color w:val="000000"/>
          <w:szCs w:val="26"/>
        </w:rPr>
        <w:t>supra</w:t>
      </w:r>
      <w:r w:rsidR="00BB27C2" w:rsidRPr="00EB08A6">
        <w:rPr>
          <w:color w:val="000000"/>
          <w:szCs w:val="26"/>
        </w:rPr>
        <w:t xml:space="preserve">, 40 Cal.4th at p. 443.)  </w:t>
      </w:r>
      <w:r w:rsidR="00A95E50" w:rsidRPr="00EB08A6">
        <w:rPr>
          <w:color w:val="000000"/>
          <w:szCs w:val="26"/>
        </w:rPr>
        <w:t>F</w:t>
      </w:r>
      <w:r w:rsidR="003E2ECC" w:rsidRPr="00EB08A6">
        <w:rPr>
          <w:color w:val="000000"/>
          <w:szCs w:val="26"/>
        </w:rPr>
        <w:t xml:space="preserve">or purposes of supplementing the EIR and bringing it in conformance with CEQA, the information contained in </w:t>
      </w:r>
      <w:r w:rsidR="00AF183D" w:rsidRPr="00EB08A6">
        <w:rPr>
          <w:color w:val="000000"/>
          <w:szCs w:val="26"/>
        </w:rPr>
        <w:t>the</w:t>
      </w:r>
      <w:r w:rsidR="00082D76" w:rsidRPr="00EB08A6">
        <w:rPr>
          <w:color w:val="000000"/>
          <w:szCs w:val="26"/>
        </w:rPr>
        <w:t xml:space="preserve"> </w:t>
      </w:r>
      <w:r w:rsidR="003E2ECC" w:rsidRPr="00EB08A6">
        <w:rPr>
          <w:color w:val="000000"/>
          <w:szCs w:val="26"/>
        </w:rPr>
        <w:t>briefs</w:t>
      </w:r>
      <w:r w:rsidR="00D70C80" w:rsidRPr="00EB08A6">
        <w:rPr>
          <w:color w:val="000000"/>
          <w:szCs w:val="26"/>
        </w:rPr>
        <w:t xml:space="preserve"> </w:t>
      </w:r>
      <w:r w:rsidR="00BB27C2" w:rsidRPr="00EB08A6">
        <w:rPr>
          <w:color w:val="000000"/>
          <w:szCs w:val="26"/>
        </w:rPr>
        <w:t>“is irrelevant</w:t>
      </w:r>
      <w:r w:rsidR="00E02112" w:rsidRPr="00EB08A6">
        <w:rPr>
          <w:color w:val="000000"/>
          <w:szCs w:val="26"/>
        </w:rPr>
        <w:t xml:space="preserve"> [] </w:t>
      </w:r>
      <w:r w:rsidR="00BB27C2" w:rsidRPr="00EB08A6">
        <w:rPr>
          <w:color w:val="000000"/>
          <w:szCs w:val="26"/>
        </w:rPr>
        <w:t>because the public and decision makers did not have the briefs available at the time the project was reviewed and approved.”  (</w:t>
      </w:r>
      <w:r w:rsidR="00BB27C2" w:rsidRPr="00EB08A6">
        <w:rPr>
          <w:i/>
          <w:color w:val="000000"/>
          <w:szCs w:val="26"/>
        </w:rPr>
        <w:t>Ibid</w:t>
      </w:r>
      <w:r w:rsidR="00BB27C2" w:rsidRPr="00EB08A6">
        <w:rPr>
          <w:color w:val="000000"/>
          <w:szCs w:val="26"/>
        </w:rPr>
        <w:t xml:space="preserve">. [“That a party’s briefs to the court may explain or supplement matters that are obscure or incomplete in the EIR [] is irrelevant . . . . The question is [] not whether the project’s significant environmental effects </w:t>
      </w:r>
      <w:r w:rsidR="00BB27C2" w:rsidRPr="00EB08A6">
        <w:rPr>
          <w:i/>
          <w:color w:val="000000"/>
          <w:szCs w:val="26"/>
        </w:rPr>
        <w:t>can</w:t>
      </w:r>
      <w:r w:rsidR="00BB27C2" w:rsidRPr="00EB08A6">
        <w:rPr>
          <w:color w:val="000000"/>
          <w:szCs w:val="26"/>
        </w:rPr>
        <w:t xml:space="preserve"> be clearly explained, but whether they </w:t>
      </w:r>
      <w:r w:rsidR="00BB27C2" w:rsidRPr="00EB08A6">
        <w:rPr>
          <w:i/>
          <w:color w:val="000000"/>
          <w:szCs w:val="26"/>
        </w:rPr>
        <w:t>were</w:t>
      </w:r>
      <w:r w:rsidR="00BB27C2" w:rsidRPr="00EB08A6">
        <w:rPr>
          <w:color w:val="000000"/>
          <w:szCs w:val="26"/>
        </w:rPr>
        <w:t>.”].)</w:t>
      </w:r>
      <w:r w:rsidR="00E3419A" w:rsidRPr="00EB08A6">
        <w:rPr>
          <w:color w:val="000000"/>
          <w:szCs w:val="26"/>
        </w:rPr>
        <w:t xml:space="preserve">  </w:t>
      </w:r>
    </w:p>
    <w:bookmarkEnd w:id="6"/>
    <w:p w:rsidR="004662FC" w:rsidRPr="00EB08A6" w:rsidRDefault="005D2202" w:rsidP="009E0DE1">
      <w:pPr>
        <w:ind w:firstLine="720"/>
      </w:pPr>
      <w:r w:rsidRPr="00EB08A6">
        <w:rPr>
          <w:color w:val="000000"/>
          <w:szCs w:val="26"/>
        </w:rPr>
        <w:t xml:space="preserve">We </w:t>
      </w:r>
      <w:r w:rsidR="008E09EE" w:rsidRPr="00EB08A6">
        <w:rPr>
          <w:color w:val="000000"/>
          <w:szCs w:val="26"/>
        </w:rPr>
        <w:t xml:space="preserve">further </w:t>
      </w:r>
      <w:r w:rsidRPr="00EB08A6">
        <w:rPr>
          <w:color w:val="000000"/>
          <w:szCs w:val="26"/>
        </w:rPr>
        <w:t xml:space="preserve">reject </w:t>
      </w:r>
      <w:r w:rsidR="00407ADC" w:rsidRPr="00EB08A6">
        <w:rPr>
          <w:color w:val="000000"/>
          <w:szCs w:val="26"/>
        </w:rPr>
        <w:t>r</w:t>
      </w:r>
      <w:r w:rsidR="004473CB" w:rsidRPr="00EB08A6">
        <w:rPr>
          <w:color w:val="000000"/>
          <w:szCs w:val="26"/>
        </w:rPr>
        <w:t xml:space="preserve">eal </w:t>
      </w:r>
      <w:r w:rsidR="00407ADC" w:rsidRPr="00EB08A6">
        <w:rPr>
          <w:color w:val="000000"/>
          <w:szCs w:val="26"/>
        </w:rPr>
        <w:t>p</w:t>
      </w:r>
      <w:r w:rsidR="004473CB" w:rsidRPr="00EB08A6">
        <w:rPr>
          <w:color w:val="000000"/>
          <w:szCs w:val="26"/>
        </w:rPr>
        <w:t>arty</w:t>
      </w:r>
      <w:r w:rsidR="005D0B9A" w:rsidRPr="00EB08A6">
        <w:rPr>
          <w:color w:val="000000"/>
          <w:szCs w:val="26"/>
        </w:rPr>
        <w:t xml:space="preserve">’s argument that the EIR </w:t>
      </w:r>
      <w:r w:rsidR="008E09EE" w:rsidRPr="00EB08A6">
        <w:rPr>
          <w:color w:val="000000"/>
          <w:szCs w:val="26"/>
        </w:rPr>
        <w:t xml:space="preserve">sufficiently </w:t>
      </w:r>
      <w:r w:rsidR="005D0B9A" w:rsidRPr="00EB08A6">
        <w:rPr>
          <w:color w:val="000000"/>
          <w:szCs w:val="26"/>
        </w:rPr>
        <w:t>accounted for its lack of specifi</w:t>
      </w:r>
      <w:r w:rsidRPr="00EB08A6">
        <w:rPr>
          <w:color w:val="000000"/>
          <w:szCs w:val="26"/>
        </w:rPr>
        <w:t>ci</w:t>
      </w:r>
      <w:r w:rsidR="005D0B9A" w:rsidRPr="00EB08A6">
        <w:rPr>
          <w:color w:val="000000"/>
          <w:szCs w:val="26"/>
        </w:rPr>
        <w:t>ty</w:t>
      </w:r>
      <w:r w:rsidRPr="00EB08A6">
        <w:rPr>
          <w:color w:val="000000"/>
          <w:szCs w:val="26"/>
        </w:rPr>
        <w:t xml:space="preserve"> by explaining that </w:t>
      </w:r>
      <w:r w:rsidR="00A122D1" w:rsidRPr="00EB08A6">
        <w:rPr>
          <w:color w:val="000000"/>
          <w:szCs w:val="26"/>
        </w:rPr>
        <w:t xml:space="preserve">a “Health Risk Assessment” is typically prepared </w:t>
      </w:r>
      <w:r w:rsidR="00743ABD" w:rsidRPr="00EB08A6">
        <w:rPr>
          <w:color w:val="000000"/>
          <w:szCs w:val="26"/>
        </w:rPr>
        <w:t xml:space="preserve">later in the CEQA process, </w:t>
      </w:r>
      <w:r w:rsidR="00A122D1" w:rsidRPr="00EB08A6">
        <w:rPr>
          <w:color w:val="000000"/>
          <w:szCs w:val="26"/>
        </w:rPr>
        <w:t>in connection with development-specific EIRs</w:t>
      </w:r>
      <w:r w:rsidR="00743ABD" w:rsidRPr="00EB08A6">
        <w:rPr>
          <w:color w:val="000000"/>
          <w:szCs w:val="26"/>
        </w:rPr>
        <w:t xml:space="preserve">.  </w:t>
      </w:r>
      <w:r w:rsidR="004662FC" w:rsidRPr="00EB08A6">
        <w:t>A “Health Risk Assessment” is defined in the Health and Safety Code as a type of analysis undertaken in connection with the siting of hazardous substances, “a detailed comprehensive analysis . . . to evaluate and predict the dispersion of hazardous substances in the environment and the potential for exposure of human populations and to assess and quantify both the individual and population</w:t>
      </w:r>
      <w:r w:rsidR="00C25A25" w:rsidRPr="00EB08A6">
        <w:t xml:space="preserve"> </w:t>
      </w:r>
      <w:r w:rsidR="004662FC" w:rsidRPr="00EB08A6">
        <w:t xml:space="preserve">wide health risks associated with those levels of exposure.”  (Health &amp; </w:t>
      </w:r>
      <w:proofErr w:type="spellStart"/>
      <w:r w:rsidR="004662FC" w:rsidRPr="00EB08A6">
        <w:t>Saf</w:t>
      </w:r>
      <w:proofErr w:type="spellEnd"/>
      <w:r w:rsidR="004662FC" w:rsidRPr="00EB08A6">
        <w:t>. Code, § 44306.)</w:t>
      </w:r>
    </w:p>
    <w:p w:rsidR="00F27E00" w:rsidRPr="00EB08A6" w:rsidRDefault="00865EAD" w:rsidP="009E0DE1">
      <w:pPr>
        <w:ind w:firstLine="720"/>
        <w:rPr>
          <w:color w:val="000000"/>
          <w:szCs w:val="26"/>
        </w:rPr>
      </w:pPr>
      <w:r w:rsidRPr="00EB08A6">
        <w:t xml:space="preserve">CEQA does not mandate such an in-depth risk assessment.  </w:t>
      </w:r>
      <w:r w:rsidR="004662FC" w:rsidRPr="00EB08A6">
        <w:t>CEQA</w:t>
      </w:r>
      <w:r w:rsidRPr="00EB08A6">
        <w:t xml:space="preserve"> requires </w:t>
      </w:r>
      <w:r w:rsidR="00260043" w:rsidRPr="00EB08A6">
        <w:t xml:space="preserve">that the EIR </w:t>
      </w:r>
      <w:r w:rsidR="00CF2A12" w:rsidRPr="00EB08A6">
        <w:t xml:space="preserve">have made </w:t>
      </w:r>
      <w:r w:rsidR="00260043" w:rsidRPr="00EB08A6">
        <w:t xml:space="preserve">a reasonable effort to </w:t>
      </w:r>
      <w:r w:rsidR="004679A7">
        <w:t xml:space="preserve">discuss relevant specifics regarding </w:t>
      </w:r>
      <w:r w:rsidR="00CF2A12" w:rsidRPr="00EB08A6">
        <w:t xml:space="preserve">the connection between </w:t>
      </w:r>
      <w:r w:rsidR="004662FC" w:rsidRPr="00EB08A6">
        <w:t>two segments of information already contained in the EIR</w:t>
      </w:r>
      <w:r w:rsidR="007D2922" w:rsidRPr="00EB08A6">
        <w:t xml:space="preserve">, </w:t>
      </w:r>
      <w:r w:rsidR="00535984" w:rsidRPr="00EB08A6">
        <w:t>t</w:t>
      </w:r>
      <w:r w:rsidR="004662FC" w:rsidRPr="00EB08A6">
        <w:t xml:space="preserve">he general health effects associated with a particular pollutant and the estimated amount of that pollutant the project will likely produce.  </w:t>
      </w:r>
      <w:r w:rsidR="004679A7">
        <w:t>Thi</w:t>
      </w:r>
      <w:r w:rsidR="004662FC" w:rsidRPr="00EB08A6">
        <w:t xml:space="preserve">s </w:t>
      </w:r>
      <w:r w:rsidR="004679A7">
        <w:t xml:space="preserve">discussion will </w:t>
      </w:r>
      <w:r w:rsidR="004662FC" w:rsidRPr="00EB08A6">
        <w:t xml:space="preserve">allow the public to make </w:t>
      </w:r>
      <w:r w:rsidR="004679A7">
        <w:t xml:space="preserve">an </w:t>
      </w:r>
      <w:r w:rsidR="004662FC" w:rsidRPr="00EB08A6">
        <w:t>informed decision</w:t>
      </w:r>
      <w:r w:rsidR="004679A7">
        <w:t xml:space="preserve">, as </w:t>
      </w:r>
      <w:r w:rsidR="004662FC" w:rsidRPr="00EB08A6">
        <w:t>CEQA requires.</w:t>
      </w:r>
      <w:r w:rsidR="006B2625" w:rsidRPr="00EB08A6">
        <w:t xml:space="preserve">  </w:t>
      </w:r>
      <w:r w:rsidR="00F27E00" w:rsidRPr="00EB08A6">
        <w:rPr>
          <w:color w:val="000000"/>
          <w:szCs w:val="26"/>
        </w:rPr>
        <w:t>Because the EIR as written makes</w:t>
      </w:r>
      <w:r w:rsidR="00E1278A">
        <w:rPr>
          <w:color w:val="000000"/>
          <w:szCs w:val="26"/>
        </w:rPr>
        <w:t xml:space="preserve"> it impossible for the public t</w:t>
      </w:r>
      <w:r w:rsidR="00F27E00" w:rsidRPr="00EB08A6">
        <w:rPr>
          <w:color w:val="000000"/>
          <w:szCs w:val="26"/>
        </w:rPr>
        <w:t xml:space="preserve">o translate the bare numbers provided into adverse health impacts </w:t>
      </w:r>
      <w:r w:rsidR="00F55F3C" w:rsidRPr="00EB08A6">
        <w:rPr>
          <w:color w:val="000000"/>
          <w:szCs w:val="26"/>
        </w:rPr>
        <w:t>or to understand why such translation is not possible at this time</w:t>
      </w:r>
      <w:r w:rsidR="00E1278A">
        <w:rPr>
          <w:color w:val="000000"/>
          <w:szCs w:val="26"/>
        </w:rPr>
        <w:t xml:space="preserve"> (and what limited translation is, in fact, </w:t>
      </w:r>
      <w:r w:rsidR="002631C3">
        <w:rPr>
          <w:color w:val="000000"/>
          <w:szCs w:val="26"/>
        </w:rPr>
        <w:t>possible), w</w:t>
      </w:r>
      <w:r w:rsidR="00F55F3C" w:rsidRPr="00EB08A6">
        <w:rPr>
          <w:color w:val="000000"/>
          <w:szCs w:val="26"/>
        </w:rPr>
        <w:t xml:space="preserve">e agree with the </w:t>
      </w:r>
      <w:r w:rsidR="00721C98" w:rsidRPr="00EB08A6">
        <w:rPr>
          <w:color w:val="000000"/>
          <w:szCs w:val="26"/>
        </w:rPr>
        <w:t>C</w:t>
      </w:r>
      <w:r w:rsidR="00F55F3C" w:rsidRPr="00EB08A6">
        <w:rPr>
          <w:color w:val="000000"/>
          <w:szCs w:val="26"/>
        </w:rPr>
        <w:t xml:space="preserve">ourt of Appeal that the EIR’s </w:t>
      </w:r>
      <w:r w:rsidR="004679A7">
        <w:rPr>
          <w:color w:val="000000"/>
          <w:szCs w:val="26"/>
        </w:rPr>
        <w:t>discussion</w:t>
      </w:r>
      <w:r w:rsidR="00F55F3C" w:rsidRPr="00EB08A6">
        <w:rPr>
          <w:color w:val="000000"/>
          <w:szCs w:val="26"/>
        </w:rPr>
        <w:t xml:space="preserve"> of air quality impacts in this case was inadequate.</w:t>
      </w:r>
    </w:p>
    <w:p w:rsidR="006B2625" w:rsidRPr="00EB08A6" w:rsidRDefault="009B751B" w:rsidP="009E0DE1">
      <w:pPr>
        <w:tabs>
          <w:tab w:val="left" w:pos="1440"/>
        </w:tabs>
        <w:ind w:firstLine="720"/>
        <w:rPr>
          <w:color w:val="000000"/>
          <w:szCs w:val="26"/>
        </w:rPr>
      </w:pPr>
      <w:r w:rsidRPr="00EB08A6">
        <w:t xml:space="preserve">The Court of Appeal identified </w:t>
      </w:r>
      <w:r w:rsidR="00082D76" w:rsidRPr="00EB08A6">
        <w:t>several</w:t>
      </w:r>
      <w:r w:rsidRPr="00EB08A6">
        <w:t xml:space="preserve"> ways in which the EIR could have framed the analysis so as to adequately inform the public and decision</w:t>
      </w:r>
      <w:r w:rsidR="00082D76" w:rsidRPr="00EB08A6">
        <w:t xml:space="preserve"> </w:t>
      </w:r>
      <w:r w:rsidRPr="00EB08A6">
        <w:t>makers of possible adverse health effects.  The County could have, for example, identified the Project’s impact on the days of nonattainment per year.  But the Court of Appeal was clear that, ultimately—though the EIR must provide an analysis that is adequate to inform (Guidelines, § 15151)—the “County has discretion in choosing what type of analysis to provide</w:t>
      </w:r>
      <w:r w:rsidR="005804B7" w:rsidRPr="00EB08A6">
        <w:t> . . . </w:t>
      </w:r>
      <w:r w:rsidRPr="00EB08A6">
        <w:t xml:space="preserve">.”  We agree.  </w:t>
      </w:r>
      <w:r w:rsidR="005D28C9" w:rsidRPr="00EB08A6">
        <w:t xml:space="preserve">The task </w:t>
      </w:r>
      <w:r w:rsidR="00D13982" w:rsidRPr="00EB08A6">
        <w:t xml:space="preserve">for </w:t>
      </w:r>
      <w:r w:rsidR="00407ADC" w:rsidRPr="00EB08A6">
        <w:t>r</w:t>
      </w:r>
      <w:r w:rsidR="004473CB" w:rsidRPr="00EB08A6">
        <w:t xml:space="preserve">eal </w:t>
      </w:r>
      <w:r w:rsidR="00407ADC" w:rsidRPr="00EB08A6">
        <w:t>p</w:t>
      </w:r>
      <w:r w:rsidR="004473CB" w:rsidRPr="00EB08A6">
        <w:t>arty</w:t>
      </w:r>
      <w:r w:rsidR="00D13982" w:rsidRPr="00EB08A6">
        <w:t xml:space="preserve"> and the </w:t>
      </w:r>
      <w:r w:rsidRPr="00EB08A6">
        <w:t>County</w:t>
      </w:r>
      <w:r w:rsidR="00D13982" w:rsidRPr="00EB08A6">
        <w:t xml:space="preserve"> </w:t>
      </w:r>
      <w:r w:rsidRPr="00EB08A6">
        <w:t>is clear:  The EIR must provide an adequate analysis to inform the public how its bare numbers translate to create potential adverse impacts or it must adequately explain</w:t>
      </w:r>
      <w:r w:rsidR="00EF15E2">
        <w:t xml:space="preserve"> what the agency </w:t>
      </w:r>
      <w:r w:rsidR="00EF15E2" w:rsidRPr="00EF15E2">
        <w:rPr>
          <w:i/>
        </w:rPr>
        <w:t>does</w:t>
      </w:r>
      <w:r w:rsidR="00EF15E2">
        <w:t xml:space="preserve"> know and why, given existing scientific constraints, it cannot translate potential health impacts further</w:t>
      </w:r>
      <w:r w:rsidR="0068039D" w:rsidRPr="00EB08A6">
        <w:t xml:space="preserve">.  </w:t>
      </w:r>
    </w:p>
    <w:p w:rsidR="00307DEF" w:rsidRPr="00EB08A6" w:rsidRDefault="00C95591" w:rsidP="009E0DE1">
      <w:pPr>
        <w:tabs>
          <w:tab w:val="left" w:pos="1440"/>
        </w:tabs>
        <w:ind w:firstLine="720"/>
      </w:pPr>
      <w:r w:rsidRPr="00EB08A6">
        <w:t>To be sure, “ ‘courts have looked not for perfection but for adequacy, completeness, and a good faith effort at full disclosure.’</w:t>
      </w:r>
      <w:r w:rsidR="00E02112" w:rsidRPr="00EB08A6">
        <w:t xml:space="preserve"> ”</w:t>
      </w:r>
      <w:r w:rsidRPr="00EB08A6">
        <w:t xml:space="preserve"> (</w:t>
      </w:r>
      <w:r w:rsidRPr="00EB08A6">
        <w:rPr>
          <w:i/>
        </w:rPr>
        <w:t xml:space="preserve">In re Bay-Delta </w:t>
      </w:r>
      <w:r w:rsidR="008D3FBF" w:rsidRPr="00EB08A6">
        <w:rPr>
          <w:i/>
        </w:rPr>
        <w:t>etc.</w:t>
      </w:r>
      <w:r w:rsidRPr="00EB08A6">
        <w:t xml:space="preserve"> (2008) 43 Cal.4th 1143, 1175.)  But basic CEQA principles dictate there must be a reasonable effort to put </w:t>
      </w:r>
      <w:r w:rsidR="00EC27F6" w:rsidRPr="00EB08A6">
        <w:t xml:space="preserve">into a meaningful context </w:t>
      </w:r>
      <w:r w:rsidRPr="00EB08A6">
        <w:t>the conclusion that the air quality impacts will be significant</w:t>
      </w:r>
      <w:r w:rsidR="00EC27F6" w:rsidRPr="00EB08A6">
        <w:t xml:space="preserve">.  </w:t>
      </w:r>
      <w:r w:rsidR="00F55F3C" w:rsidRPr="00EB08A6">
        <w:t>A</w:t>
      </w:r>
      <w:r w:rsidRPr="00EB08A6">
        <w:t xml:space="preserve">lthough the EIR generally outlines some of the unhealthy symptoms associated with exposure to various pollutants, it does not give any sense of the </w:t>
      </w:r>
      <w:r w:rsidR="00F0700D">
        <w:t xml:space="preserve">nature and </w:t>
      </w:r>
      <w:r w:rsidR="0068039D" w:rsidRPr="00EB08A6">
        <w:t xml:space="preserve">magnitude of the </w:t>
      </w:r>
      <w:r w:rsidRPr="00EB08A6">
        <w:t xml:space="preserve">“health and safety problems caused by the physical changes” resulting from the </w:t>
      </w:r>
      <w:r w:rsidR="008D3FBF" w:rsidRPr="00EB08A6">
        <w:t xml:space="preserve">Project </w:t>
      </w:r>
      <w:r w:rsidRPr="00EB08A6">
        <w:t xml:space="preserve">as required by the </w:t>
      </w:r>
      <w:r w:rsidR="00541739" w:rsidRPr="00EB08A6">
        <w:t>CEQA g</w:t>
      </w:r>
      <w:r w:rsidRPr="00EB08A6">
        <w:t>uidelines.  (Guidelines</w:t>
      </w:r>
      <w:r w:rsidR="00541739" w:rsidRPr="00EB08A6">
        <w:t xml:space="preserve">, </w:t>
      </w:r>
      <w:r w:rsidRPr="00EB08A6">
        <w:t xml:space="preserve">§ 15126.2, subd. (a).)  </w:t>
      </w:r>
      <w:r w:rsidR="00F0700D">
        <w:t>Perhaps it was not possible to do more.  But even in that case, we would have found the EIR insufficient because it failed</w:t>
      </w:r>
      <w:r w:rsidR="00DF16DA">
        <w:t xml:space="preserve"> to explain why it was not feasible to provide an analysis that connected the air quality effects to human health consequences.</w:t>
      </w:r>
    </w:p>
    <w:p w:rsidR="00B04115" w:rsidRPr="00EB08A6" w:rsidRDefault="00B04115" w:rsidP="009E0DE1">
      <w:r w:rsidRPr="00EB08A6">
        <w:tab/>
        <w:t xml:space="preserve">B.  </w:t>
      </w:r>
      <w:r w:rsidRPr="00EB08A6">
        <w:rPr>
          <w:i/>
        </w:rPr>
        <w:t>Mitigation measures</w:t>
      </w:r>
    </w:p>
    <w:p w:rsidR="003A71B6" w:rsidRPr="00EB08A6" w:rsidRDefault="00082D76" w:rsidP="009E0DE1">
      <w:pPr>
        <w:pStyle w:val="Heading3"/>
        <w:jc w:val="both"/>
      </w:pPr>
      <w:r w:rsidRPr="00EB08A6">
        <w:rPr>
          <w:i w:val="0"/>
        </w:rPr>
        <w:t>1</w:t>
      </w:r>
      <w:r w:rsidR="00B03A49" w:rsidRPr="00EB08A6">
        <w:rPr>
          <w:i w:val="0"/>
        </w:rPr>
        <w:t>.</w:t>
      </w:r>
      <w:r w:rsidRPr="00EB08A6">
        <w:rPr>
          <w:i w:val="0"/>
        </w:rPr>
        <w:t xml:space="preserve">  </w:t>
      </w:r>
      <w:r w:rsidR="003A71B6" w:rsidRPr="00EB08A6">
        <w:t>“Substantially reduce air quality impacts”</w:t>
      </w:r>
    </w:p>
    <w:p w:rsidR="00A03573" w:rsidRPr="00EB08A6" w:rsidRDefault="009E1FF0" w:rsidP="009E0DE1">
      <w:pPr>
        <w:tabs>
          <w:tab w:val="left" w:pos="1440"/>
        </w:tabs>
        <w:ind w:firstLine="720"/>
        <w:rPr>
          <w:color w:val="000000"/>
          <w:szCs w:val="26"/>
        </w:rPr>
      </w:pPr>
      <w:r w:rsidRPr="00EB08A6">
        <w:rPr>
          <w:color w:val="000000"/>
          <w:szCs w:val="26"/>
        </w:rPr>
        <w:t>At the out</w:t>
      </w:r>
      <w:r w:rsidR="00631BFC" w:rsidRPr="00EB08A6">
        <w:rPr>
          <w:color w:val="000000"/>
          <w:szCs w:val="26"/>
        </w:rPr>
        <w:t>s</w:t>
      </w:r>
      <w:r w:rsidRPr="00EB08A6">
        <w:rPr>
          <w:color w:val="000000"/>
          <w:szCs w:val="26"/>
        </w:rPr>
        <w:t xml:space="preserve">et of </w:t>
      </w:r>
      <w:r w:rsidR="00631BFC" w:rsidRPr="00EB08A6">
        <w:rPr>
          <w:color w:val="000000"/>
          <w:szCs w:val="26"/>
        </w:rPr>
        <w:t xml:space="preserve">the discussion of </w:t>
      </w:r>
      <w:r w:rsidR="004932F4" w:rsidRPr="00EB08A6">
        <w:rPr>
          <w:color w:val="000000"/>
          <w:szCs w:val="26"/>
        </w:rPr>
        <w:t>propose</w:t>
      </w:r>
      <w:r w:rsidR="002F169D" w:rsidRPr="00EB08A6">
        <w:rPr>
          <w:color w:val="000000"/>
          <w:szCs w:val="26"/>
        </w:rPr>
        <w:t>d</w:t>
      </w:r>
      <w:r w:rsidR="004932F4" w:rsidRPr="00EB08A6">
        <w:rPr>
          <w:color w:val="000000"/>
          <w:szCs w:val="26"/>
        </w:rPr>
        <w:t xml:space="preserve"> </w:t>
      </w:r>
      <w:r w:rsidR="00541739" w:rsidRPr="00EB08A6">
        <w:rPr>
          <w:color w:val="000000"/>
          <w:szCs w:val="26"/>
        </w:rPr>
        <w:t>Mitigation M</w:t>
      </w:r>
      <w:r w:rsidR="004932F4" w:rsidRPr="00EB08A6">
        <w:rPr>
          <w:color w:val="000000"/>
          <w:szCs w:val="26"/>
        </w:rPr>
        <w:t xml:space="preserve">easure 3.3.2 (discussed </w:t>
      </w:r>
      <w:r w:rsidR="005A2829" w:rsidRPr="00EB08A6">
        <w:rPr>
          <w:color w:val="000000"/>
          <w:szCs w:val="26"/>
        </w:rPr>
        <w:t xml:space="preserve">more fully </w:t>
      </w:r>
      <w:r w:rsidR="004932F4" w:rsidRPr="00EB08A6">
        <w:rPr>
          <w:color w:val="000000"/>
          <w:szCs w:val="26"/>
        </w:rPr>
        <w:t xml:space="preserve">in part D below), </w:t>
      </w:r>
      <w:r w:rsidR="00631BFC" w:rsidRPr="00EB08A6">
        <w:rPr>
          <w:color w:val="000000"/>
          <w:szCs w:val="26"/>
        </w:rPr>
        <w:t>the EIR stated</w:t>
      </w:r>
      <w:r w:rsidR="00732800" w:rsidRPr="00EB08A6">
        <w:rPr>
          <w:color w:val="000000"/>
          <w:szCs w:val="26"/>
        </w:rPr>
        <w:t xml:space="preserve"> that </w:t>
      </w:r>
      <w:r w:rsidR="00AF2D0C" w:rsidRPr="00EB08A6">
        <w:rPr>
          <w:color w:val="000000"/>
          <w:szCs w:val="26"/>
        </w:rPr>
        <w:t xml:space="preserve">“Implementation of the following mitigation measures </w:t>
      </w:r>
      <w:r w:rsidR="00CD2B30" w:rsidRPr="00EB08A6">
        <w:rPr>
          <w:color w:val="000000"/>
          <w:szCs w:val="26"/>
        </w:rPr>
        <w:t>will substantially reduce air quality impacts related to human activity within the entire Project area</w:t>
      </w:r>
      <w:r w:rsidR="005A2829" w:rsidRPr="00EB08A6">
        <w:rPr>
          <w:color w:val="000000"/>
          <w:szCs w:val="26"/>
        </w:rPr>
        <w:t xml:space="preserve"> </w:t>
      </w:r>
      <w:r w:rsidR="009370D6" w:rsidRPr="00EB08A6">
        <w:rPr>
          <w:color w:val="000000"/>
          <w:szCs w:val="26"/>
        </w:rPr>
        <w:t xml:space="preserve">but not to a level that is less than </w:t>
      </w:r>
      <w:r w:rsidR="00B10BCC" w:rsidRPr="00EB08A6">
        <w:rPr>
          <w:color w:val="000000"/>
          <w:szCs w:val="26"/>
        </w:rPr>
        <w:t>significant</w:t>
      </w:r>
      <w:r w:rsidR="005A2829" w:rsidRPr="00EB08A6">
        <w:rPr>
          <w:color w:val="000000"/>
          <w:szCs w:val="26"/>
        </w:rPr>
        <w:t>.</w:t>
      </w:r>
      <w:r w:rsidR="00CD2B30" w:rsidRPr="00EB08A6">
        <w:rPr>
          <w:color w:val="000000"/>
          <w:szCs w:val="26"/>
        </w:rPr>
        <w:t xml:space="preserve">” </w:t>
      </w:r>
      <w:r w:rsidR="00B10BCC" w:rsidRPr="00EB08A6">
        <w:rPr>
          <w:color w:val="000000"/>
          <w:szCs w:val="26"/>
        </w:rPr>
        <w:t xml:space="preserve"> </w:t>
      </w:r>
    </w:p>
    <w:p w:rsidR="009370D6" w:rsidRPr="00EB08A6" w:rsidRDefault="00B178EF" w:rsidP="009E0DE1">
      <w:pPr>
        <w:tabs>
          <w:tab w:val="left" w:pos="1440"/>
        </w:tabs>
        <w:ind w:firstLine="720"/>
        <w:rPr>
          <w:szCs w:val="26"/>
        </w:rPr>
      </w:pPr>
      <w:r w:rsidRPr="00EB08A6">
        <w:rPr>
          <w:color w:val="000000"/>
          <w:szCs w:val="26"/>
        </w:rPr>
        <w:t xml:space="preserve">The Court of Appeal </w:t>
      </w:r>
      <w:r w:rsidR="009370D6" w:rsidRPr="00EB08A6">
        <w:rPr>
          <w:color w:val="000000"/>
          <w:szCs w:val="26"/>
        </w:rPr>
        <w:t xml:space="preserve">concluded that </w:t>
      </w:r>
      <w:r w:rsidR="009370D6" w:rsidRPr="00EB08A6">
        <w:rPr>
          <w:szCs w:val="26"/>
        </w:rPr>
        <w:t>the EIR</w:t>
      </w:r>
      <w:r w:rsidR="009D1FD4" w:rsidRPr="00EB08A6">
        <w:rPr>
          <w:szCs w:val="26"/>
        </w:rPr>
        <w:t xml:space="preserve">’s </w:t>
      </w:r>
      <w:r w:rsidR="009370D6" w:rsidRPr="00EB08A6">
        <w:rPr>
          <w:szCs w:val="26"/>
        </w:rPr>
        <w:t xml:space="preserve">use </w:t>
      </w:r>
      <w:r w:rsidR="009D1FD4" w:rsidRPr="00EB08A6">
        <w:rPr>
          <w:szCs w:val="26"/>
        </w:rPr>
        <w:t xml:space="preserve">of the </w:t>
      </w:r>
      <w:r w:rsidR="009370D6" w:rsidRPr="00EB08A6">
        <w:rPr>
          <w:szCs w:val="26"/>
        </w:rPr>
        <w:t xml:space="preserve">term “substantial” to describe the </w:t>
      </w:r>
      <w:r w:rsidR="00132FDF" w:rsidRPr="00EB08A6">
        <w:rPr>
          <w:szCs w:val="26"/>
        </w:rPr>
        <w:t xml:space="preserve">impact the </w:t>
      </w:r>
      <w:r w:rsidR="009370D6" w:rsidRPr="00EB08A6">
        <w:rPr>
          <w:szCs w:val="26"/>
        </w:rPr>
        <w:t xml:space="preserve">proposed mitigation measures would </w:t>
      </w:r>
      <w:r w:rsidR="00132FDF" w:rsidRPr="00EB08A6">
        <w:rPr>
          <w:szCs w:val="26"/>
        </w:rPr>
        <w:t xml:space="preserve">have on </w:t>
      </w:r>
      <w:r w:rsidR="009370D6" w:rsidRPr="00EB08A6">
        <w:rPr>
          <w:szCs w:val="26"/>
        </w:rPr>
        <w:t>reduc</w:t>
      </w:r>
      <w:r w:rsidR="00132FDF" w:rsidRPr="00EB08A6">
        <w:rPr>
          <w:szCs w:val="26"/>
        </w:rPr>
        <w:t xml:space="preserve">ing </w:t>
      </w:r>
      <w:r w:rsidR="009370D6" w:rsidRPr="00EB08A6">
        <w:rPr>
          <w:szCs w:val="26"/>
        </w:rPr>
        <w:t>the Project’s significant health effects</w:t>
      </w:r>
      <w:r w:rsidR="000360AA" w:rsidRPr="00EB08A6">
        <w:rPr>
          <w:szCs w:val="26"/>
        </w:rPr>
        <w:t xml:space="preserve">, </w:t>
      </w:r>
      <w:r w:rsidR="009370D6" w:rsidRPr="00EB08A6">
        <w:rPr>
          <w:szCs w:val="26"/>
        </w:rPr>
        <w:t>without further explanation or factual support</w:t>
      </w:r>
      <w:r w:rsidR="000360AA" w:rsidRPr="00EB08A6">
        <w:rPr>
          <w:szCs w:val="26"/>
        </w:rPr>
        <w:t>,</w:t>
      </w:r>
      <w:r w:rsidR="009370D6" w:rsidRPr="00EB08A6">
        <w:rPr>
          <w:szCs w:val="26"/>
        </w:rPr>
        <w:t xml:space="preserve"> amounted to a “bare conclusion</w:t>
      </w:r>
      <w:r w:rsidR="00041262" w:rsidRPr="00EB08A6">
        <w:rPr>
          <w:szCs w:val="26"/>
        </w:rPr>
        <w:t xml:space="preserve">” that </w:t>
      </w:r>
      <w:r w:rsidR="009370D6" w:rsidRPr="00EB08A6">
        <w:rPr>
          <w:szCs w:val="26"/>
        </w:rPr>
        <w:t>d</w:t>
      </w:r>
      <w:r w:rsidR="00B31B0D" w:rsidRPr="00EB08A6">
        <w:rPr>
          <w:szCs w:val="26"/>
        </w:rPr>
        <w:t xml:space="preserve">id </w:t>
      </w:r>
      <w:r w:rsidR="009370D6" w:rsidRPr="00EB08A6">
        <w:rPr>
          <w:szCs w:val="26"/>
        </w:rPr>
        <w:t xml:space="preserve">not satisfy CEQA’s disclosure requirements.  </w:t>
      </w:r>
    </w:p>
    <w:p w:rsidR="00F07BBE" w:rsidRPr="00EB08A6" w:rsidRDefault="009370D6" w:rsidP="009E0DE1">
      <w:pPr>
        <w:tabs>
          <w:tab w:val="left" w:pos="1440"/>
        </w:tabs>
        <w:ind w:firstLine="720"/>
        <w:rPr>
          <w:color w:val="000000"/>
          <w:szCs w:val="26"/>
        </w:rPr>
      </w:pPr>
      <w:r w:rsidRPr="00EB08A6">
        <w:rPr>
          <w:szCs w:val="26"/>
        </w:rPr>
        <w:t xml:space="preserve">We agree with the Court of Appeal on this point.  </w:t>
      </w:r>
      <w:r w:rsidR="00B3789A" w:rsidRPr="00EB08A6">
        <w:t>(</w:t>
      </w:r>
      <w:r w:rsidR="00EC4A6A" w:rsidRPr="00EB08A6">
        <w:t xml:space="preserve">See </w:t>
      </w:r>
      <w:r w:rsidR="00B3789A" w:rsidRPr="00EB08A6">
        <w:rPr>
          <w:i/>
        </w:rPr>
        <w:t>Laurel Heights</w:t>
      </w:r>
      <w:r w:rsidR="00E02112" w:rsidRPr="00EB08A6">
        <w:rPr>
          <w:i/>
        </w:rPr>
        <w:t xml:space="preserve"> I</w:t>
      </w:r>
      <w:r w:rsidR="00B3789A" w:rsidRPr="00EB08A6">
        <w:t xml:space="preserve">, </w:t>
      </w:r>
      <w:r w:rsidR="00B3789A" w:rsidRPr="00EB08A6">
        <w:rPr>
          <w:i/>
        </w:rPr>
        <w:t>supra</w:t>
      </w:r>
      <w:r w:rsidR="00B3789A" w:rsidRPr="00EB08A6">
        <w:t>, 47 Cal.3d at pp. 404</w:t>
      </w:r>
      <w:r w:rsidR="00531A99" w:rsidRPr="00EB08A6">
        <w:t xml:space="preserve"> - </w:t>
      </w:r>
      <w:r w:rsidR="00B3789A" w:rsidRPr="00EB08A6">
        <w:t>405 [“ ‘To facilitate CEQA’s informational role, the EIR must contain facts and analysis, not just the agency’s bare conclusions or opinions.’ ”]</w:t>
      </w:r>
      <w:r w:rsidR="007C598D" w:rsidRPr="00EB08A6">
        <w:t>.</w:t>
      </w:r>
      <w:r w:rsidR="00B3789A" w:rsidRPr="00EB08A6">
        <w:t>)</w:t>
      </w:r>
      <w:r w:rsidR="00082D76" w:rsidRPr="00EB08A6">
        <w:t xml:space="preserve"> </w:t>
      </w:r>
      <w:r w:rsidR="00B3789A" w:rsidRPr="00EB08A6">
        <w:t xml:space="preserve"> </w:t>
      </w:r>
      <w:r w:rsidR="00D2600E" w:rsidRPr="00EB08A6">
        <w:rPr>
          <w:szCs w:val="26"/>
        </w:rPr>
        <w:t>Here, the EIR included no facts or analysis to support the</w:t>
      </w:r>
      <w:r w:rsidR="00D276E1" w:rsidRPr="00EB08A6">
        <w:rPr>
          <w:szCs w:val="26"/>
        </w:rPr>
        <w:t xml:space="preserve"> </w:t>
      </w:r>
      <w:r w:rsidR="00D2600E" w:rsidRPr="00EB08A6">
        <w:rPr>
          <w:szCs w:val="26"/>
        </w:rPr>
        <w:t xml:space="preserve">inference that the mitigation measures will have a quantifiable </w:t>
      </w:r>
      <w:r w:rsidR="00D276E1" w:rsidRPr="00EB08A6">
        <w:rPr>
          <w:szCs w:val="26"/>
        </w:rPr>
        <w:t xml:space="preserve">“substantial” impact on reducing the adverse effects.  </w:t>
      </w:r>
      <w:r w:rsidRPr="00EB08A6">
        <w:rPr>
          <w:szCs w:val="26"/>
        </w:rPr>
        <w:t>The EIR must accurately reflect the net health effect of proposed air quality mitigation measures</w:t>
      </w:r>
      <w:r w:rsidR="0076651F" w:rsidRPr="00EB08A6">
        <w:rPr>
          <w:szCs w:val="26"/>
        </w:rPr>
        <w:t xml:space="preserve">.  </w:t>
      </w:r>
      <w:r w:rsidR="003F785F" w:rsidRPr="00EB08A6">
        <w:rPr>
          <w:color w:val="000000"/>
          <w:szCs w:val="26"/>
        </w:rPr>
        <w:t>(</w:t>
      </w:r>
      <w:r w:rsidR="001D58FF" w:rsidRPr="00EB08A6">
        <w:rPr>
          <w:i/>
          <w:color w:val="000000"/>
          <w:szCs w:val="26"/>
        </w:rPr>
        <w:t>Cleveland National</w:t>
      </w:r>
      <w:r w:rsidR="00E02112" w:rsidRPr="00EB08A6">
        <w:rPr>
          <w:i/>
          <w:color w:val="000000"/>
          <w:szCs w:val="26"/>
        </w:rPr>
        <w:t xml:space="preserve"> Forest</w:t>
      </w:r>
      <w:r w:rsidR="001D58FF" w:rsidRPr="00EB08A6">
        <w:rPr>
          <w:color w:val="000000"/>
          <w:szCs w:val="26"/>
        </w:rPr>
        <w:t xml:space="preserve">, </w:t>
      </w:r>
      <w:r w:rsidR="001D58FF" w:rsidRPr="00EB08A6">
        <w:rPr>
          <w:i/>
          <w:color w:val="000000"/>
          <w:szCs w:val="26"/>
        </w:rPr>
        <w:t>supra</w:t>
      </w:r>
      <w:r w:rsidR="001D58FF" w:rsidRPr="00EB08A6">
        <w:rPr>
          <w:color w:val="000000"/>
          <w:szCs w:val="26"/>
        </w:rPr>
        <w:t xml:space="preserve">, </w:t>
      </w:r>
      <w:r w:rsidR="003F785F" w:rsidRPr="00EB08A6">
        <w:rPr>
          <w:color w:val="000000"/>
          <w:szCs w:val="26"/>
        </w:rPr>
        <w:t xml:space="preserve">3 Cal.5th </w:t>
      </w:r>
      <w:r w:rsidR="001D58FF" w:rsidRPr="00EB08A6">
        <w:rPr>
          <w:color w:val="000000"/>
          <w:szCs w:val="26"/>
        </w:rPr>
        <w:t>at p.</w:t>
      </w:r>
      <w:r w:rsidR="003F785F" w:rsidRPr="00EB08A6">
        <w:rPr>
          <w:color w:val="000000"/>
          <w:szCs w:val="26"/>
        </w:rPr>
        <w:t xml:space="preserve"> 514</w:t>
      </w:r>
      <w:r w:rsidR="001D58FF" w:rsidRPr="00EB08A6">
        <w:rPr>
          <w:color w:val="000000"/>
          <w:szCs w:val="26"/>
        </w:rPr>
        <w:t xml:space="preserve"> [“an EIR’s designation of a particular adverse environmental effect as ‘significant’ does not excuse the EIR’s failure to reasonably describe the nature and magnitude of the adverse effect”]</w:t>
      </w:r>
      <w:r w:rsidR="003F785F" w:rsidRPr="00EB08A6">
        <w:rPr>
          <w:color w:val="000000"/>
          <w:szCs w:val="26"/>
        </w:rPr>
        <w:t>.)</w:t>
      </w:r>
    </w:p>
    <w:p w:rsidR="00F130BE" w:rsidRPr="00EB08A6" w:rsidRDefault="0076651F" w:rsidP="009E0DE1">
      <w:pPr>
        <w:pStyle w:val="Heading3"/>
        <w:jc w:val="both"/>
        <w:rPr>
          <w:color w:val="FF0000"/>
        </w:rPr>
      </w:pPr>
      <w:r w:rsidRPr="00EB08A6">
        <w:rPr>
          <w:i w:val="0"/>
        </w:rPr>
        <w:t>2</w:t>
      </w:r>
      <w:r w:rsidR="00B03A49" w:rsidRPr="00EB08A6">
        <w:rPr>
          <w:i w:val="0"/>
        </w:rPr>
        <w:t>.</w:t>
      </w:r>
      <w:r w:rsidRPr="00EB08A6">
        <w:t xml:space="preserve">  </w:t>
      </w:r>
      <w:r w:rsidR="00F130BE" w:rsidRPr="00EB08A6">
        <w:t xml:space="preserve">Deferral of </w:t>
      </w:r>
      <w:r w:rsidR="00BA1BC7" w:rsidRPr="00EB08A6">
        <w:t>m</w:t>
      </w:r>
      <w:r w:rsidR="00F130BE" w:rsidRPr="00EB08A6">
        <w:t xml:space="preserve">itigation </w:t>
      </w:r>
      <w:r w:rsidR="00BA1BC7" w:rsidRPr="00EB08A6">
        <w:t>m</w:t>
      </w:r>
      <w:r w:rsidR="00F130BE" w:rsidRPr="00EB08A6">
        <w:t>easures</w:t>
      </w:r>
      <w:r w:rsidR="008D0E18" w:rsidRPr="00EB08A6">
        <w:t xml:space="preserve">  </w:t>
      </w:r>
    </w:p>
    <w:p w:rsidR="007E5A4A" w:rsidRPr="00EB08A6" w:rsidRDefault="0081274E" w:rsidP="009E0DE1">
      <w:pPr>
        <w:pStyle w:val="NormalWeb"/>
        <w:shd w:val="clear" w:color="auto" w:fill="FFFFFF"/>
        <w:spacing w:before="0" w:beforeAutospacing="0" w:afterAutospacing="0"/>
        <w:ind w:firstLine="720"/>
        <w:textAlignment w:val="baseline"/>
        <w:rPr>
          <w:color w:val="000000"/>
          <w:sz w:val="27"/>
          <w:szCs w:val="26"/>
        </w:rPr>
      </w:pPr>
      <w:r w:rsidRPr="00EB08A6">
        <w:rPr>
          <w:color w:val="000000"/>
          <w:sz w:val="27"/>
          <w:szCs w:val="26"/>
        </w:rPr>
        <w:t xml:space="preserve">We </w:t>
      </w:r>
      <w:r w:rsidR="00690CB6" w:rsidRPr="00EB08A6">
        <w:rPr>
          <w:color w:val="000000"/>
          <w:sz w:val="27"/>
          <w:szCs w:val="26"/>
        </w:rPr>
        <w:t>next</w:t>
      </w:r>
      <w:r w:rsidRPr="00EB08A6">
        <w:rPr>
          <w:color w:val="000000"/>
          <w:sz w:val="27"/>
          <w:szCs w:val="26"/>
        </w:rPr>
        <w:t xml:space="preserve"> </w:t>
      </w:r>
      <w:r w:rsidR="00C728A8" w:rsidRPr="00EB08A6">
        <w:rPr>
          <w:color w:val="000000"/>
          <w:sz w:val="27"/>
          <w:szCs w:val="26"/>
        </w:rPr>
        <w:t xml:space="preserve">decide </w:t>
      </w:r>
      <w:r w:rsidRPr="00EB08A6">
        <w:rPr>
          <w:color w:val="000000"/>
          <w:sz w:val="27"/>
          <w:szCs w:val="26"/>
        </w:rPr>
        <w:t>whether</w:t>
      </w:r>
      <w:r w:rsidR="00AD6F75" w:rsidRPr="00EB08A6">
        <w:rPr>
          <w:color w:val="000000"/>
          <w:sz w:val="27"/>
          <w:szCs w:val="26"/>
        </w:rPr>
        <w:t>, as the Court of Appeal concluded</w:t>
      </w:r>
      <w:r w:rsidR="00C65F41" w:rsidRPr="00EB08A6">
        <w:rPr>
          <w:color w:val="000000"/>
          <w:sz w:val="27"/>
          <w:szCs w:val="26"/>
        </w:rPr>
        <w:t>,</w:t>
      </w:r>
      <w:r w:rsidR="00D205B3" w:rsidRPr="00EB08A6">
        <w:rPr>
          <w:color w:val="000000"/>
          <w:sz w:val="27"/>
          <w:szCs w:val="26"/>
        </w:rPr>
        <w:t xml:space="preserve"> </w:t>
      </w:r>
      <w:r w:rsidR="00E34B32" w:rsidRPr="00EB08A6">
        <w:rPr>
          <w:color w:val="000000"/>
          <w:sz w:val="27"/>
          <w:szCs w:val="26"/>
        </w:rPr>
        <w:t xml:space="preserve">the </w:t>
      </w:r>
      <w:r w:rsidR="00AD6F75" w:rsidRPr="00EB08A6">
        <w:rPr>
          <w:color w:val="000000"/>
          <w:sz w:val="27"/>
          <w:szCs w:val="26"/>
        </w:rPr>
        <w:t xml:space="preserve">County, as </w:t>
      </w:r>
      <w:r w:rsidR="00276328" w:rsidRPr="00EB08A6">
        <w:rPr>
          <w:color w:val="000000"/>
          <w:sz w:val="27"/>
          <w:szCs w:val="26"/>
        </w:rPr>
        <w:t>the</w:t>
      </w:r>
      <w:r w:rsidR="00C728A8" w:rsidRPr="00EB08A6">
        <w:rPr>
          <w:color w:val="000000"/>
          <w:sz w:val="27"/>
          <w:szCs w:val="26"/>
        </w:rPr>
        <w:t xml:space="preserve"> lead agency</w:t>
      </w:r>
      <w:r w:rsidR="00AD6F75" w:rsidRPr="00EB08A6">
        <w:rPr>
          <w:color w:val="000000"/>
          <w:sz w:val="27"/>
          <w:szCs w:val="26"/>
        </w:rPr>
        <w:t>,</w:t>
      </w:r>
      <w:r w:rsidR="00C728A8" w:rsidRPr="00EB08A6">
        <w:rPr>
          <w:color w:val="000000"/>
          <w:sz w:val="27"/>
          <w:szCs w:val="26"/>
        </w:rPr>
        <w:t xml:space="preserve"> </w:t>
      </w:r>
      <w:r w:rsidR="004C5090" w:rsidRPr="00EB08A6">
        <w:rPr>
          <w:color w:val="000000"/>
          <w:sz w:val="27"/>
          <w:szCs w:val="26"/>
        </w:rPr>
        <w:t>impermissibly defer</w:t>
      </w:r>
      <w:r w:rsidR="00AD6F75" w:rsidRPr="00EB08A6">
        <w:rPr>
          <w:color w:val="000000"/>
          <w:sz w:val="27"/>
          <w:szCs w:val="26"/>
        </w:rPr>
        <w:t>red</w:t>
      </w:r>
      <w:r w:rsidR="004C5090" w:rsidRPr="00EB08A6">
        <w:rPr>
          <w:color w:val="000000"/>
          <w:sz w:val="27"/>
          <w:szCs w:val="26"/>
        </w:rPr>
        <w:t xml:space="preserve"> mitigation measures when </w:t>
      </w:r>
      <w:r w:rsidR="00AD6F75" w:rsidRPr="00EB08A6">
        <w:rPr>
          <w:color w:val="000000"/>
          <w:sz w:val="27"/>
          <w:szCs w:val="26"/>
        </w:rPr>
        <w:t>it approved real party’s EIR</w:t>
      </w:r>
      <w:r w:rsidR="001F7635" w:rsidRPr="00EB08A6">
        <w:rPr>
          <w:color w:val="000000"/>
          <w:sz w:val="27"/>
          <w:szCs w:val="26"/>
        </w:rPr>
        <w:t>,</w:t>
      </w:r>
      <w:r w:rsidR="00AD6F75" w:rsidRPr="00EB08A6">
        <w:rPr>
          <w:color w:val="000000"/>
          <w:sz w:val="27"/>
          <w:szCs w:val="26"/>
        </w:rPr>
        <w:t xml:space="preserve"> </w:t>
      </w:r>
      <w:r w:rsidR="00054DAD" w:rsidRPr="00EB08A6">
        <w:rPr>
          <w:color w:val="000000"/>
          <w:sz w:val="27"/>
          <w:szCs w:val="26"/>
        </w:rPr>
        <w:t xml:space="preserve">which included mitigation measures to “at least partially reduce” the </w:t>
      </w:r>
      <w:r w:rsidR="00D4054A" w:rsidRPr="00EB08A6">
        <w:rPr>
          <w:color w:val="000000"/>
          <w:sz w:val="27"/>
          <w:szCs w:val="26"/>
        </w:rPr>
        <w:t>P</w:t>
      </w:r>
      <w:r w:rsidR="00054DAD" w:rsidRPr="00EB08A6">
        <w:rPr>
          <w:color w:val="000000"/>
          <w:sz w:val="27"/>
          <w:szCs w:val="26"/>
        </w:rPr>
        <w:t>roject</w:t>
      </w:r>
      <w:r w:rsidR="00D4054A" w:rsidRPr="00EB08A6">
        <w:rPr>
          <w:color w:val="000000"/>
          <w:sz w:val="27"/>
          <w:szCs w:val="26"/>
        </w:rPr>
        <w:t>’</w:t>
      </w:r>
      <w:r w:rsidR="00054DAD" w:rsidRPr="00EB08A6">
        <w:rPr>
          <w:color w:val="000000"/>
          <w:sz w:val="27"/>
          <w:szCs w:val="26"/>
        </w:rPr>
        <w:t>s air quality impacts</w:t>
      </w:r>
      <w:r w:rsidR="00F655B0" w:rsidRPr="00EB08A6">
        <w:rPr>
          <w:color w:val="000000"/>
          <w:sz w:val="27"/>
          <w:szCs w:val="26"/>
        </w:rPr>
        <w:t>,</w:t>
      </w:r>
      <w:r w:rsidR="00C65F41" w:rsidRPr="00EB08A6">
        <w:rPr>
          <w:color w:val="000000"/>
          <w:sz w:val="27"/>
          <w:szCs w:val="26"/>
        </w:rPr>
        <w:t xml:space="preserve"> as well as a substitution clause for future mitigation methods</w:t>
      </w:r>
      <w:r w:rsidR="00054DAD" w:rsidRPr="00EB08A6">
        <w:rPr>
          <w:color w:val="000000"/>
          <w:sz w:val="27"/>
          <w:szCs w:val="26"/>
        </w:rPr>
        <w:t xml:space="preserve">.  </w:t>
      </w:r>
      <w:r w:rsidR="005028AA" w:rsidRPr="00EB08A6">
        <w:rPr>
          <w:color w:val="000000"/>
          <w:sz w:val="27"/>
          <w:szCs w:val="26"/>
        </w:rPr>
        <w:t xml:space="preserve">Plaintiffs </w:t>
      </w:r>
      <w:r w:rsidR="003C0034" w:rsidRPr="00EB08A6">
        <w:rPr>
          <w:color w:val="000000"/>
          <w:sz w:val="27"/>
          <w:szCs w:val="26"/>
        </w:rPr>
        <w:t>contend</w:t>
      </w:r>
      <w:r w:rsidR="00AD7FA1" w:rsidRPr="00EB08A6">
        <w:rPr>
          <w:color w:val="000000"/>
          <w:sz w:val="27"/>
          <w:szCs w:val="26"/>
        </w:rPr>
        <w:t xml:space="preserve"> that t</w:t>
      </w:r>
      <w:r w:rsidR="00DF6FB3" w:rsidRPr="00EB08A6">
        <w:rPr>
          <w:color w:val="000000"/>
          <w:sz w:val="27"/>
          <w:szCs w:val="26"/>
        </w:rPr>
        <w:t xml:space="preserve">he Project’s EIR </w:t>
      </w:r>
      <w:r w:rsidR="00EE2B21" w:rsidRPr="00EB08A6">
        <w:rPr>
          <w:color w:val="000000"/>
          <w:sz w:val="27"/>
          <w:szCs w:val="26"/>
        </w:rPr>
        <w:t>is</w:t>
      </w:r>
      <w:r w:rsidR="00DF6FB3" w:rsidRPr="00EB08A6">
        <w:rPr>
          <w:color w:val="000000"/>
          <w:sz w:val="27"/>
          <w:szCs w:val="26"/>
        </w:rPr>
        <w:t xml:space="preserve"> </w:t>
      </w:r>
      <w:r w:rsidR="005028AA" w:rsidRPr="00EB08A6">
        <w:rPr>
          <w:color w:val="000000"/>
          <w:sz w:val="27"/>
          <w:szCs w:val="26"/>
        </w:rPr>
        <w:t>insufficient</w:t>
      </w:r>
      <w:r w:rsidR="00F655B0" w:rsidRPr="00EB08A6">
        <w:rPr>
          <w:color w:val="000000"/>
          <w:sz w:val="27"/>
          <w:szCs w:val="26"/>
        </w:rPr>
        <w:t>,</w:t>
      </w:r>
      <w:r w:rsidR="005028AA" w:rsidRPr="00EB08A6">
        <w:rPr>
          <w:color w:val="000000"/>
          <w:sz w:val="27"/>
          <w:szCs w:val="26"/>
        </w:rPr>
        <w:t xml:space="preserve"> because </w:t>
      </w:r>
      <w:r w:rsidR="003B0266" w:rsidRPr="00EB08A6">
        <w:rPr>
          <w:color w:val="000000"/>
          <w:sz w:val="27"/>
          <w:szCs w:val="26"/>
        </w:rPr>
        <w:t>“the mitigation analysis is devoid of criteria for measuring the effectiv</w:t>
      </w:r>
      <w:r w:rsidR="00431DDA" w:rsidRPr="00EB08A6">
        <w:rPr>
          <w:color w:val="000000"/>
          <w:sz w:val="27"/>
          <w:szCs w:val="26"/>
        </w:rPr>
        <w:t xml:space="preserve">eness of mitigation measures.” </w:t>
      </w:r>
      <w:r w:rsidR="00AF183D" w:rsidRPr="00EB08A6">
        <w:rPr>
          <w:color w:val="000000"/>
          <w:sz w:val="27"/>
          <w:szCs w:val="26"/>
        </w:rPr>
        <w:t xml:space="preserve"> </w:t>
      </w:r>
      <w:r w:rsidR="003B0266" w:rsidRPr="00EB08A6">
        <w:rPr>
          <w:color w:val="000000"/>
          <w:sz w:val="27"/>
          <w:szCs w:val="26"/>
        </w:rPr>
        <w:t>(</w:t>
      </w:r>
      <w:r w:rsidR="005028AA" w:rsidRPr="00EB08A6">
        <w:rPr>
          <w:color w:val="000000"/>
          <w:sz w:val="27"/>
          <w:szCs w:val="26"/>
        </w:rPr>
        <w:t xml:space="preserve">Guidelines, §15126.4, subd. (a)(1)(B); see </w:t>
      </w:r>
      <w:r w:rsidR="005028AA" w:rsidRPr="00EB08A6">
        <w:rPr>
          <w:i/>
          <w:color w:val="000000"/>
          <w:sz w:val="27"/>
          <w:szCs w:val="26"/>
        </w:rPr>
        <w:t>Sundstrom v</w:t>
      </w:r>
      <w:r w:rsidR="00B03A49" w:rsidRPr="00EB08A6">
        <w:rPr>
          <w:color w:val="000000"/>
          <w:sz w:val="27"/>
          <w:szCs w:val="26"/>
        </w:rPr>
        <w:t>.</w:t>
      </w:r>
      <w:r w:rsidR="005028AA" w:rsidRPr="00EB08A6">
        <w:rPr>
          <w:i/>
          <w:color w:val="000000"/>
          <w:sz w:val="27"/>
          <w:szCs w:val="26"/>
        </w:rPr>
        <w:t xml:space="preserve"> County of Mendocino</w:t>
      </w:r>
      <w:r w:rsidR="005028AA" w:rsidRPr="00EB08A6">
        <w:rPr>
          <w:color w:val="000000"/>
          <w:sz w:val="27"/>
          <w:szCs w:val="26"/>
        </w:rPr>
        <w:t xml:space="preserve"> (1988) 202 Cal.App.3d 296</w:t>
      </w:r>
      <w:r w:rsidR="00445C06" w:rsidRPr="00EB08A6">
        <w:rPr>
          <w:color w:val="000000"/>
          <w:sz w:val="27"/>
          <w:szCs w:val="26"/>
        </w:rPr>
        <w:t>, 306-307</w:t>
      </w:r>
      <w:r w:rsidR="005028AA" w:rsidRPr="00EB08A6">
        <w:rPr>
          <w:color w:val="000000"/>
          <w:sz w:val="27"/>
          <w:szCs w:val="26"/>
        </w:rPr>
        <w:t xml:space="preserve"> [improper to defer formulation of mitigation measures until after project approved]</w:t>
      </w:r>
      <w:r w:rsidR="00BC7527" w:rsidRPr="00EB08A6">
        <w:rPr>
          <w:color w:val="000000"/>
          <w:sz w:val="27"/>
          <w:szCs w:val="26"/>
        </w:rPr>
        <w:t>.)</w:t>
      </w:r>
      <w:r w:rsidR="005028AA" w:rsidRPr="00EB08A6">
        <w:rPr>
          <w:color w:val="000000"/>
          <w:sz w:val="27"/>
          <w:szCs w:val="26"/>
        </w:rPr>
        <w:t xml:space="preserve">  </w:t>
      </w:r>
      <w:r w:rsidR="00D7466F" w:rsidRPr="00EB08A6">
        <w:rPr>
          <w:color w:val="000000"/>
          <w:sz w:val="27"/>
          <w:szCs w:val="26"/>
        </w:rPr>
        <w:t xml:space="preserve">Plaintiffs </w:t>
      </w:r>
      <w:r w:rsidR="007E5A4A" w:rsidRPr="00EB08A6">
        <w:rPr>
          <w:color w:val="000000"/>
          <w:sz w:val="27"/>
          <w:szCs w:val="26"/>
        </w:rPr>
        <w:t xml:space="preserve">agree with the Court of Appeal’s conclusion that the </w:t>
      </w:r>
      <w:r w:rsidR="00EC5F2B" w:rsidRPr="00EB08A6">
        <w:rPr>
          <w:color w:val="000000"/>
          <w:sz w:val="27"/>
          <w:szCs w:val="26"/>
        </w:rPr>
        <w:t xml:space="preserve">formulation of future substitutions in this case was improperly deferred.  </w:t>
      </w:r>
    </w:p>
    <w:p w:rsidR="008D0E18" w:rsidRPr="00EB08A6" w:rsidRDefault="00D7466F" w:rsidP="009E0DE1">
      <w:pPr>
        <w:pStyle w:val="NormalWeb"/>
        <w:shd w:val="clear" w:color="auto" w:fill="FFFFFF"/>
        <w:spacing w:before="0" w:beforeAutospacing="0" w:afterAutospacing="0"/>
        <w:ind w:firstLine="720"/>
        <w:textAlignment w:val="baseline"/>
        <w:rPr>
          <w:sz w:val="27"/>
          <w:szCs w:val="26"/>
        </w:rPr>
      </w:pPr>
      <w:r w:rsidRPr="00EB08A6">
        <w:rPr>
          <w:color w:val="000000"/>
          <w:sz w:val="27"/>
          <w:szCs w:val="26"/>
        </w:rPr>
        <w:t>The general rule is that</w:t>
      </w:r>
      <w:r w:rsidR="005028AA" w:rsidRPr="00EB08A6">
        <w:rPr>
          <w:color w:val="000000"/>
          <w:sz w:val="27"/>
          <w:szCs w:val="26"/>
        </w:rPr>
        <w:t xml:space="preserve"> an EIR is required to provide the information needed to </w:t>
      </w:r>
      <w:r w:rsidR="00E66405" w:rsidRPr="00EB08A6">
        <w:rPr>
          <w:color w:val="000000"/>
          <w:sz w:val="27"/>
          <w:szCs w:val="26"/>
        </w:rPr>
        <w:t>alert</w:t>
      </w:r>
      <w:r w:rsidR="005028AA" w:rsidRPr="00EB08A6">
        <w:rPr>
          <w:color w:val="000000"/>
          <w:sz w:val="27"/>
          <w:szCs w:val="26"/>
        </w:rPr>
        <w:t xml:space="preserve"> the public and the decision makers of the significant problems a project would create and to discuss currently feasible mitigation measures.  </w:t>
      </w:r>
      <w:r w:rsidR="005028AA" w:rsidRPr="00EB08A6">
        <w:rPr>
          <w:sz w:val="27"/>
          <w:szCs w:val="26"/>
        </w:rPr>
        <w:t xml:space="preserve">Mitigation measures </w:t>
      </w:r>
      <w:r w:rsidR="008D0E18" w:rsidRPr="00EB08A6">
        <w:rPr>
          <w:sz w:val="27"/>
          <w:szCs w:val="26"/>
        </w:rPr>
        <w:t xml:space="preserve">need not include precise quantitative performance standards, but </w:t>
      </w:r>
      <w:r w:rsidR="00CD2388" w:rsidRPr="00EB08A6">
        <w:rPr>
          <w:sz w:val="27"/>
          <w:szCs w:val="26"/>
        </w:rPr>
        <w:t xml:space="preserve">they </w:t>
      </w:r>
      <w:r w:rsidR="005028AA" w:rsidRPr="00EB08A6">
        <w:rPr>
          <w:sz w:val="27"/>
          <w:szCs w:val="26"/>
        </w:rPr>
        <w:t>must be at least partially effective</w:t>
      </w:r>
      <w:r w:rsidR="00CD2388" w:rsidRPr="00EB08A6">
        <w:rPr>
          <w:sz w:val="27"/>
          <w:szCs w:val="26"/>
        </w:rPr>
        <w:t>,</w:t>
      </w:r>
      <w:r w:rsidR="005028AA" w:rsidRPr="00EB08A6">
        <w:rPr>
          <w:sz w:val="27"/>
          <w:szCs w:val="26"/>
        </w:rPr>
        <w:t xml:space="preserve"> even if they cannot mitigate significant impacts to less than significant levels.  (</w:t>
      </w:r>
      <w:r w:rsidR="005028AA" w:rsidRPr="00EB08A6">
        <w:rPr>
          <w:i/>
          <w:color w:val="000000"/>
          <w:sz w:val="27"/>
          <w:szCs w:val="26"/>
        </w:rPr>
        <w:t>Laurel Heights I</w:t>
      </w:r>
      <w:r w:rsidR="00B03A49" w:rsidRPr="00EB08A6">
        <w:rPr>
          <w:color w:val="000000"/>
          <w:sz w:val="27"/>
          <w:szCs w:val="26"/>
        </w:rPr>
        <w:t>,</w:t>
      </w:r>
      <w:r w:rsidR="005028AA" w:rsidRPr="00EB08A6">
        <w:rPr>
          <w:i/>
          <w:color w:val="000000"/>
          <w:sz w:val="27"/>
          <w:szCs w:val="26"/>
        </w:rPr>
        <w:t xml:space="preserve"> supra</w:t>
      </w:r>
      <w:r w:rsidR="005028AA" w:rsidRPr="00EB08A6">
        <w:rPr>
          <w:color w:val="000000"/>
          <w:sz w:val="27"/>
          <w:szCs w:val="26"/>
        </w:rPr>
        <w:t xml:space="preserve">, 47 Cal.3d at p. </w:t>
      </w:r>
      <w:r w:rsidR="00E02112" w:rsidRPr="00EB08A6">
        <w:rPr>
          <w:color w:val="000000"/>
          <w:sz w:val="27"/>
          <w:szCs w:val="26"/>
        </w:rPr>
        <w:t>404</w:t>
      </w:r>
      <w:r w:rsidR="005028AA" w:rsidRPr="00EB08A6">
        <w:rPr>
          <w:color w:val="000000"/>
          <w:sz w:val="27"/>
          <w:szCs w:val="26"/>
        </w:rPr>
        <w:t>; §</w:t>
      </w:r>
      <w:r w:rsidR="00A6444F" w:rsidRPr="00EB08A6">
        <w:rPr>
          <w:color w:val="000000"/>
          <w:sz w:val="27"/>
          <w:szCs w:val="26"/>
        </w:rPr>
        <w:t>§</w:t>
      </w:r>
      <w:r w:rsidR="00BC7527" w:rsidRPr="00EB08A6">
        <w:rPr>
          <w:color w:val="000000"/>
          <w:sz w:val="27"/>
          <w:szCs w:val="26"/>
        </w:rPr>
        <w:t xml:space="preserve"> </w:t>
      </w:r>
      <w:r w:rsidR="005028AA" w:rsidRPr="00EB08A6">
        <w:rPr>
          <w:color w:val="000000"/>
          <w:sz w:val="27"/>
          <w:szCs w:val="26"/>
        </w:rPr>
        <w:t>21051</w:t>
      </w:r>
      <w:r w:rsidR="00A6444F" w:rsidRPr="00EB08A6">
        <w:rPr>
          <w:color w:val="000000"/>
          <w:sz w:val="27"/>
          <w:szCs w:val="26"/>
        </w:rPr>
        <w:t>,</w:t>
      </w:r>
      <w:r w:rsidR="005028AA" w:rsidRPr="00EB08A6">
        <w:rPr>
          <w:color w:val="000000"/>
          <w:sz w:val="27"/>
          <w:szCs w:val="26"/>
        </w:rPr>
        <w:t xml:space="preserve"> 21100; Guidelines, </w:t>
      </w:r>
      <w:r w:rsidR="005028AA" w:rsidRPr="00EB08A6">
        <w:rPr>
          <w:sz w:val="27"/>
          <w:szCs w:val="26"/>
        </w:rPr>
        <w:t>§</w:t>
      </w:r>
      <w:r w:rsidR="00BC7527" w:rsidRPr="00EB08A6">
        <w:rPr>
          <w:sz w:val="27"/>
          <w:szCs w:val="26"/>
        </w:rPr>
        <w:t xml:space="preserve"> </w:t>
      </w:r>
      <w:r w:rsidR="005028AA" w:rsidRPr="00EB08A6">
        <w:rPr>
          <w:sz w:val="27"/>
          <w:szCs w:val="26"/>
        </w:rPr>
        <w:t>15370.)</w:t>
      </w:r>
      <w:r w:rsidR="005028AA" w:rsidRPr="00EB08A6">
        <w:rPr>
          <w:rStyle w:val="FootnoteReference"/>
          <w:szCs w:val="20"/>
        </w:rPr>
        <w:footnoteReference w:id="7"/>
      </w:r>
      <w:r w:rsidR="00E66405" w:rsidRPr="00EB08A6">
        <w:rPr>
          <w:sz w:val="27"/>
          <w:szCs w:val="26"/>
          <w:vertAlign w:val="superscript"/>
        </w:rPr>
        <w:t xml:space="preserve"> </w:t>
      </w:r>
      <w:r w:rsidR="00E66405" w:rsidRPr="00EB08A6">
        <w:rPr>
          <w:sz w:val="27"/>
          <w:szCs w:val="26"/>
        </w:rPr>
        <w:t xml:space="preserve"> </w:t>
      </w:r>
    </w:p>
    <w:p w:rsidR="009919DD" w:rsidRPr="00EB08A6" w:rsidRDefault="0086064D" w:rsidP="009E0DE1">
      <w:pPr>
        <w:pStyle w:val="NormalWeb"/>
        <w:shd w:val="clear" w:color="auto" w:fill="FFFFFF"/>
        <w:spacing w:before="0" w:beforeAutospacing="0" w:afterAutospacing="0"/>
        <w:ind w:firstLine="720"/>
        <w:textAlignment w:val="baseline"/>
        <w:rPr>
          <w:color w:val="000000"/>
          <w:sz w:val="27"/>
          <w:szCs w:val="26"/>
        </w:rPr>
      </w:pPr>
      <w:r w:rsidRPr="00EB08A6">
        <w:rPr>
          <w:sz w:val="27"/>
          <w:szCs w:val="26"/>
        </w:rPr>
        <w:t xml:space="preserve">In the present matter, </w:t>
      </w:r>
      <w:r w:rsidR="004F252D" w:rsidRPr="00EB08A6">
        <w:rPr>
          <w:sz w:val="27"/>
          <w:szCs w:val="26"/>
        </w:rPr>
        <w:t>t</w:t>
      </w:r>
      <w:r w:rsidR="005028AA" w:rsidRPr="00EB08A6">
        <w:rPr>
          <w:color w:val="000000"/>
          <w:sz w:val="27"/>
          <w:szCs w:val="26"/>
        </w:rPr>
        <w:t xml:space="preserve">he Project’s EIR </w:t>
      </w:r>
      <w:r w:rsidR="00AB4600" w:rsidRPr="00EB08A6">
        <w:rPr>
          <w:color w:val="000000"/>
          <w:sz w:val="27"/>
          <w:szCs w:val="26"/>
        </w:rPr>
        <w:t xml:space="preserve">noted </w:t>
      </w:r>
      <w:r w:rsidR="005028AA" w:rsidRPr="00EB08A6">
        <w:rPr>
          <w:color w:val="000000"/>
          <w:sz w:val="27"/>
          <w:szCs w:val="26"/>
        </w:rPr>
        <w:t xml:space="preserve">that the air quality impacts will be significant and unavoidable.  </w:t>
      </w:r>
      <w:r w:rsidR="002E4653" w:rsidRPr="00EB08A6">
        <w:rPr>
          <w:color w:val="000000"/>
          <w:sz w:val="27"/>
          <w:szCs w:val="26"/>
        </w:rPr>
        <w:t>But t</w:t>
      </w:r>
      <w:r w:rsidR="00C56955" w:rsidRPr="00EB08A6">
        <w:rPr>
          <w:color w:val="000000"/>
          <w:sz w:val="27"/>
          <w:szCs w:val="26"/>
        </w:rPr>
        <w:t xml:space="preserve">he EIR’s 12 mitigation measures in </w:t>
      </w:r>
      <w:r w:rsidR="00054DAD" w:rsidRPr="00EB08A6">
        <w:rPr>
          <w:color w:val="000000"/>
          <w:sz w:val="27"/>
          <w:szCs w:val="26"/>
        </w:rPr>
        <w:t>Mitigation Measure 3.3.2</w:t>
      </w:r>
      <w:r w:rsidR="009D19D9" w:rsidRPr="00EB08A6">
        <w:rPr>
          <w:color w:val="000000"/>
          <w:sz w:val="27"/>
          <w:szCs w:val="26"/>
        </w:rPr>
        <w:t xml:space="preserve"> </w:t>
      </w:r>
      <w:r w:rsidR="00C56955" w:rsidRPr="00EB08A6">
        <w:rPr>
          <w:color w:val="000000"/>
          <w:sz w:val="27"/>
          <w:szCs w:val="26"/>
        </w:rPr>
        <w:t>were</w:t>
      </w:r>
      <w:r w:rsidR="009D19D9" w:rsidRPr="00EB08A6">
        <w:rPr>
          <w:color w:val="000000"/>
          <w:sz w:val="27"/>
          <w:szCs w:val="26"/>
        </w:rPr>
        <w:t xml:space="preserve"> designed to reduce the Project’s air quality impacts</w:t>
      </w:r>
      <w:r w:rsidR="00293684" w:rsidRPr="00EB08A6">
        <w:rPr>
          <w:color w:val="000000"/>
          <w:sz w:val="27"/>
          <w:szCs w:val="26"/>
        </w:rPr>
        <w:t xml:space="preserve"> by </w:t>
      </w:r>
      <w:r w:rsidR="009919DD" w:rsidRPr="00EB08A6">
        <w:rPr>
          <w:color w:val="000000"/>
          <w:sz w:val="27"/>
          <w:szCs w:val="26"/>
        </w:rPr>
        <w:t>providing shade trees, utilizing efficien</w:t>
      </w:r>
      <w:r w:rsidR="0025759E" w:rsidRPr="00EB08A6">
        <w:rPr>
          <w:color w:val="000000"/>
          <w:sz w:val="27"/>
          <w:szCs w:val="26"/>
        </w:rPr>
        <w:t xml:space="preserve">t </w:t>
      </w:r>
      <w:proofErr w:type="spellStart"/>
      <w:r w:rsidR="0025759E" w:rsidRPr="00EB08A6">
        <w:rPr>
          <w:color w:val="000000"/>
          <w:sz w:val="27"/>
          <w:szCs w:val="26"/>
        </w:rPr>
        <w:t>PremAir</w:t>
      </w:r>
      <w:proofErr w:type="spellEnd"/>
      <w:r w:rsidR="0025759E" w:rsidRPr="00EB08A6">
        <w:rPr>
          <w:color w:val="000000"/>
          <w:sz w:val="27"/>
          <w:szCs w:val="26"/>
        </w:rPr>
        <w:t xml:space="preserve"> or similar </w:t>
      </w:r>
      <w:r w:rsidR="00D271E1" w:rsidRPr="00EB08A6">
        <w:rPr>
          <w:color w:val="000000"/>
          <w:sz w:val="27"/>
          <w:szCs w:val="26"/>
        </w:rPr>
        <w:t>model</w:t>
      </w:r>
      <w:r w:rsidR="0025759E" w:rsidRPr="00EB08A6">
        <w:rPr>
          <w:color w:val="000000"/>
          <w:sz w:val="27"/>
          <w:szCs w:val="26"/>
        </w:rPr>
        <w:t xml:space="preserve"> </w:t>
      </w:r>
      <w:r w:rsidR="00A6444F" w:rsidRPr="00EB08A6">
        <w:rPr>
          <w:color w:val="000000"/>
          <w:sz w:val="27"/>
          <w:szCs w:val="26"/>
        </w:rPr>
        <w:t>heating, ventilation, and air conditioning [</w:t>
      </w:r>
      <w:r w:rsidR="009919DD" w:rsidRPr="00EB08A6">
        <w:rPr>
          <w:color w:val="000000"/>
          <w:sz w:val="27"/>
          <w:szCs w:val="26"/>
        </w:rPr>
        <w:t>HVAC</w:t>
      </w:r>
      <w:r w:rsidR="00A6444F" w:rsidRPr="00EB08A6">
        <w:rPr>
          <w:color w:val="000000"/>
          <w:sz w:val="27"/>
          <w:szCs w:val="26"/>
        </w:rPr>
        <w:t>]</w:t>
      </w:r>
      <w:r w:rsidR="009919DD" w:rsidRPr="00EB08A6">
        <w:rPr>
          <w:color w:val="000000"/>
          <w:sz w:val="27"/>
          <w:szCs w:val="26"/>
        </w:rPr>
        <w:t xml:space="preserve"> systems, building bike lockers and racks, creating bicycle storage spaces in units</w:t>
      </w:r>
      <w:r w:rsidR="00CC4584">
        <w:rPr>
          <w:color w:val="000000"/>
          <w:sz w:val="27"/>
          <w:szCs w:val="26"/>
        </w:rPr>
        <w:t xml:space="preserve">, and developing transportation </w:t>
      </w:r>
      <w:r w:rsidR="009919DD" w:rsidRPr="00EB08A6">
        <w:rPr>
          <w:color w:val="000000"/>
          <w:sz w:val="27"/>
          <w:szCs w:val="26"/>
        </w:rPr>
        <w:t>related mitigation that will include trail map</w:t>
      </w:r>
      <w:r w:rsidR="00AB4600" w:rsidRPr="00EB08A6">
        <w:rPr>
          <w:color w:val="000000"/>
          <w:sz w:val="27"/>
          <w:szCs w:val="26"/>
        </w:rPr>
        <w:t>s</w:t>
      </w:r>
      <w:r w:rsidR="009919DD" w:rsidRPr="00EB08A6">
        <w:rPr>
          <w:color w:val="000000"/>
          <w:sz w:val="27"/>
          <w:szCs w:val="26"/>
        </w:rPr>
        <w:t xml:space="preserve"> and commute alternatives. </w:t>
      </w:r>
      <w:r w:rsidR="00C41AEE" w:rsidRPr="00EB08A6">
        <w:rPr>
          <w:color w:val="000000"/>
          <w:sz w:val="27"/>
          <w:szCs w:val="26"/>
        </w:rPr>
        <w:t xml:space="preserve"> </w:t>
      </w:r>
    </w:p>
    <w:p w:rsidR="00C56955" w:rsidRPr="00EB08A6" w:rsidRDefault="00C56955" w:rsidP="009E0DE1">
      <w:pPr>
        <w:pStyle w:val="NormalWeb"/>
        <w:shd w:val="clear" w:color="auto" w:fill="FFFFFF"/>
        <w:spacing w:before="0" w:beforeAutospacing="0" w:afterAutospacing="0"/>
        <w:ind w:firstLine="720"/>
        <w:textAlignment w:val="baseline"/>
        <w:rPr>
          <w:color w:val="000000"/>
          <w:sz w:val="27"/>
          <w:szCs w:val="26"/>
        </w:rPr>
      </w:pPr>
      <w:r w:rsidRPr="00EB08A6">
        <w:rPr>
          <w:color w:val="000000"/>
          <w:sz w:val="27"/>
          <w:szCs w:val="26"/>
        </w:rPr>
        <w:t xml:space="preserve">Mitigation Measure 3.3.2 </w:t>
      </w:r>
      <w:r w:rsidR="002E4653" w:rsidRPr="00EB08A6">
        <w:rPr>
          <w:color w:val="000000"/>
          <w:sz w:val="27"/>
          <w:szCs w:val="26"/>
        </w:rPr>
        <w:t xml:space="preserve">includes a substitution clause that </w:t>
      </w:r>
      <w:r w:rsidR="009D19D9" w:rsidRPr="00EB08A6">
        <w:rPr>
          <w:color w:val="000000"/>
          <w:sz w:val="27"/>
          <w:szCs w:val="26"/>
        </w:rPr>
        <w:t>allow</w:t>
      </w:r>
      <w:r w:rsidR="00AC7BDC" w:rsidRPr="00EB08A6">
        <w:rPr>
          <w:color w:val="000000"/>
          <w:sz w:val="27"/>
          <w:szCs w:val="26"/>
        </w:rPr>
        <w:t xml:space="preserve">s </w:t>
      </w:r>
      <w:r w:rsidR="000B27E5" w:rsidRPr="00EB08A6">
        <w:rPr>
          <w:color w:val="000000"/>
          <w:sz w:val="27"/>
          <w:szCs w:val="26"/>
        </w:rPr>
        <w:t xml:space="preserve">the </w:t>
      </w:r>
      <w:r w:rsidR="000E5C1A" w:rsidRPr="00EB08A6">
        <w:rPr>
          <w:color w:val="000000"/>
          <w:sz w:val="27"/>
          <w:szCs w:val="26"/>
        </w:rPr>
        <w:t xml:space="preserve">lead agency </w:t>
      </w:r>
      <w:r w:rsidR="009D19D9" w:rsidRPr="00EB08A6">
        <w:rPr>
          <w:color w:val="000000"/>
          <w:sz w:val="27"/>
          <w:szCs w:val="26"/>
        </w:rPr>
        <w:t xml:space="preserve">to “substitute different air pollution control measures for individual projects, that are equally effective or superior to those propose[d] [in the EIR], as new technology and/or other feasible measures become available </w:t>
      </w:r>
      <w:r w:rsidR="00BA1BC7" w:rsidRPr="00EB08A6">
        <w:rPr>
          <w:color w:val="000000"/>
          <w:sz w:val="27"/>
          <w:szCs w:val="26"/>
        </w:rPr>
        <w:t>[during]</w:t>
      </w:r>
      <w:r w:rsidR="009D19D9" w:rsidRPr="00EB08A6">
        <w:rPr>
          <w:color w:val="000000"/>
          <w:sz w:val="27"/>
          <w:szCs w:val="26"/>
        </w:rPr>
        <w:t xml:space="preserve"> build-out within the [</w:t>
      </w:r>
      <w:r w:rsidR="000B27E5" w:rsidRPr="00EB08A6">
        <w:rPr>
          <w:color w:val="000000"/>
          <w:sz w:val="27"/>
          <w:szCs w:val="26"/>
        </w:rPr>
        <w:t>P</w:t>
      </w:r>
      <w:r w:rsidR="009D19D9" w:rsidRPr="00EB08A6">
        <w:rPr>
          <w:color w:val="000000"/>
          <w:sz w:val="27"/>
          <w:szCs w:val="26"/>
        </w:rPr>
        <w:t>roject].”</w:t>
      </w:r>
      <w:r w:rsidR="00411E9A" w:rsidRPr="00EB08A6">
        <w:rPr>
          <w:color w:val="000000"/>
          <w:sz w:val="27"/>
          <w:szCs w:val="26"/>
        </w:rPr>
        <w:t xml:space="preserve"> </w:t>
      </w:r>
      <w:r w:rsidR="009D19D9" w:rsidRPr="00EB08A6">
        <w:rPr>
          <w:color w:val="000000"/>
          <w:sz w:val="27"/>
          <w:szCs w:val="26"/>
        </w:rPr>
        <w:t xml:space="preserve"> In other words, </w:t>
      </w:r>
      <w:r w:rsidR="004A02FE" w:rsidRPr="00EB08A6">
        <w:rPr>
          <w:color w:val="000000"/>
          <w:sz w:val="27"/>
          <w:szCs w:val="26"/>
        </w:rPr>
        <w:t xml:space="preserve">the County </w:t>
      </w:r>
      <w:r w:rsidR="004C5090" w:rsidRPr="00EB08A6">
        <w:rPr>
          <w:color w:val="000000"/>
          <w:sz w:val="27"/>
          <w:szCs w:val="26"/>
        </w:rPr>
        <w:t>retain</w:t>
      </w:r>
      <w:r w:rsidR="00C728A8" w:rsidRPr="00EB08A6">
        <w:rPr>
          <w:color w:val="000000"/>
          <w:sz w:val="27"/>
          <w:szCs w:val="26"/>
        </w:rPr>
        <w:t xml:space="preserve">s the discretion to </w:t>
      </w:r>
      <w:r w:rsidR="002A03CE" w:rsidRPr="00EB08A6">
        <w:rPr>
          <w:color w:val="000000"/>
          <w:sz w:val="27"/>
          <w:szCs w:val="26"/>
        </w:rPr>
        <w:t>modify</w:t>
      </w:r>
      <w:r w:rsidR="00C728A8" w:rsidRPr="00EB08A6">
        <w:rPr>
          <w:color w:val="000000"/>
          <w:sz w:val="27"/>
          <w:szCs w:val="26"/>
        </w:rPr>
        <w:t xml:space="preserve"> </w:t>
      </w:r>
      <w:r w:rsidR="002E76F1" w:rsidRPr="00EB08A6">
        <w:rPr>
          <w:color w:val="000000"/>
          <w:sz w:val="27"/>
          <w:szCs w:val="26"/>
        </w:rPr>
        <w:t xml:space="preserve">or substitute </w:t>
      </w:r>
      <w:r w:rsidR="00C728A8" w:rsidRPr="00EB08A6">
        <w:rPr>
          <w:color w:val="000000"/>
          <w:sz w:val="27"/>
          <w:szCs w:val="26"/>
        </w:rPr>
        <w:t xml:space="preserve">the adopted mitigation with equally or more effective </w:t>
      </w:r>
      <w:r w:rsidR="0081274E" w:rsidRPr="00EB08A6">
        <w:rPr>
          <w:color w:val="000000"/>
          <w:sz w:val="27"/>
          <w:szCs w:val="26"/>
        </w:rPr>
        <w:t xml:space="preserve">measures </w:t>
      </w:r>
      <w:r w:rsidR="00C728A8" w:rsidRPr="00EB08A6">
        <w:rPr>
          <w:color w:val="000000"/>
          <w:sz w:val="27"/>
          <w:szCs w:val="26"/>
        </w:rPr>
        <w:t>in the future as better technology becomes available</w:t>
      </w:r>
      <w:r w:rsidR="007E11C9" w:rsidRPr="00EB08A6">
        <w:rPr>
          <w:color w:val="000000"/>
          <w:sz w:val="27"/>
          <w:szCs w:val="26"/>
        </w:rPr>
        <w:t>,</w:t>
      </w:r>
      <w:r w:rsidR="007E5A4A" w:rsidRPr="00EB08A6">
        <w:rPr>
          <w:color w:val="000000"/>
          <w:sz w:val="27"/>
          <w:szCs w:val="26"/>
        </w:rPr>
        <w:t xml:space="preserve"> unless the changes increase a </w:t>
      </w:r>
      <w:r w:rsidR="007E11C9" w:rsidRPr="00EB08A6">
        <w:rPr>
          <w:color w:val="000000"/>
          <w:sz w:val="27"/>
          <w:szCs w:val="26"/>
        </w:rPr>
        <w:t xml:space="preserve">project’s </w:t>
      </w:r>
      <w:r w:rsidR="007E5A4A" w:rsidRPr="00EB08A6">
        <w:rPr>
          <w:color w:val="000000"/>
          <w:sz w:val="27"/>
          <w:szCs w:val="26"/>
        </w:rPr>
        <w:t>significant impacts.  (See Guidelines, § 15162, subd. (a)(3)</w:t>
      </w:r>
      <w:r w:rsidR="00820C1B" w:rsidRPr="00EB08A6">
        <w:rPr>
          <w:color w:val="000000"/>
          <w:sz w:val="27"/>
          <w:szCs w:val="26"/>
        </w:rPr>
        <w:t>.)</w:t>
      </w:r>
    </w:p>
    <w:p w:rsidR="00B4166A" w:rsidRPr="00EB08A6" w:rsidRDefault="004F252D" w:rsidP="009E0DE1">
      <w:pPr>
        <w:ind w:firstLine="720"/>
      </w:pPr>
      <w:r w:rsidRPr="00EB08A6">
        <w:rPr>
          <w:color w:val="000000"/>
          <w:szCs w:val="26"/>
        </w:rPr>
        <w:t xml:space="preserve">The County concluded that the Project’s air quality impacts will be significant, and that the 12 mitigation measures set forth in the Specific Plan should be at least partially effective in reducing the significant impacts.  </w:t>
      </w:r>
      <w:r w:rsidR="00EE1EDA" w:rsidRPr="00EB08A6">
        <w:t xml:space="preserve">The substitution clause will allow for additional and presumably better mitigation measures when they become available and </w:t>
      </w:r>
      <w:r w:rsidR="00CC4584">
        <w:t xml:space="preserve">it </w:t>
      </w:r>
      <w:r w:rsidR="00EE1EDA" w:rsidRPr="00EB08A6">
        <w:t xml:space="preserve">should be encouraged.  (See </w:t>
      </w:r>
      <w:r w:rsidR="00EE1EDA" w:rsidRPr="00EB08A6">
        <w:rPr>
          <w:i/>
        </w:rPr>
        <w:t>Napa Citizens for Honest Government v</w:t>
      </w:r>
      <w:r w:rsidR="00B03A49" w:rsidRPr="00EB08A6">
        <w:t>.</w:t>
      </w:r>
      <w:r w:rsidR="00EE1EDA" w:rsidRPr="00EB08A6">
        <w:rPr>
          <w:i/>
        </w:rPr>
        <w:t xml:space="preserve"> Napa County Bd</w:t>
      </w:r>
      <w:r w:rsidR="00E02112" w:rsidRPr="00EB08A6">
        <w:rPr>
          <w:i/>
        </w:rPr>
        <w:t>.</w:t>
      </w:r>
      <w:r w:rsidR="00EE1EDA" w:rsidRPr="00EB08A6">
        <w:rPr>
          <w:i/>
        </w:rPr>
        <w:t xml:space="preserve"> of Supervisors</w:t>
      </w:r>
      <w:r w:rsidR="00EE1EDA" w:rsidRPr="00EB08A6">
        <w:t xml:space="preserve"> (2001) 91 Cal.App.4th 342, 357−358 [recognizing county must have power to modify land use plans].)  </w:t>
      </w:r>
      <w:r w:rsidR="004679A7">
        <w:t>A</w:t>
      </w:r>
      <w:r w:rsidR="00EE1EDA" w:rsidRPr="00EB08A6">
        <w:t xml:space="preserve">llowing future substitutions for equal or more efficient technology to mitigate a project’s acknowledged significant effects </w:t>
      </w:r>
      <w:r w:rsidR="004679A7">
        <w:t xml:space="preserve">promotes CEQA’s goal of environmental protection and is not an impermissible </w:t>
      </w:r>
      <w:r w:rsidR="00EE1EDA" w:rsidRPr="00EB08A6">
        <w:t xml:space="preserve">deferral of mitigation or an abuse of discretion.  It is simply a recognition that substitutions of adopted mitigation measures may be implemented to further minimize the Project’s environmental impacts.  </w:t>
      </w:r>
    </w:p>
    <w:p w:rsidR="00081C18" w:rsidRPr="00EB08A6" w:rsidRDefault="00082D76" w:rsidP="009E0DE1">
      <w:pPr>
        <w:pStyle w:val="Heading3"/>
        <w:jc w:val="both"/>
      </w:pPr>
      <w:r w:rsidRPr="00EB08A6">
        <w:rPr>
          <w:i w:val="0"/>
        </w:rPr>
        <w:t>3</w:t>
      </w:r>
      <w:r w:rsidR="00B03A49" w:rsidRPr="00EB08A6">
        <w:rPr>
          <w:i w:val="0"/>
        </w:rPr>
        <w:t>.</w:t>
      </w:r>
      <w:r w:rsidR="003A78F8" w:rsidRPr="00EB08A6">
        <w:t xml:space="preserve">  </w:t>
      </w:r>
      <w:r w:rsidR="00081C18" w:rsidRPr="00EB08A6">
        <w:t xml:space="preserve">Failure to </w:t>
      </w:r>
      <w:r w:rsidR="005260D0" w:rsidRPr="00EB08A6">
        <w:t>r</w:t>
      </w:r>
      <w:r w:rsidR="00275378" w:rsidRPr="00EB08A6">
        <w:t xml:space="preserve">educe </w:t>
      </w:r>
      <w:r w:rsidR="005260D0" w:rsidRPr="00EB08A6">
        <w:t>i</w:t>
      </w:r>
      <w:r w:rsidR="00081C18" w:rsidRPr="00EB08A6">
        <w:t>mpacts</w:t>
      </w:r>
      <w:r w:rsidR="00275378" w:rsidRPr="00EB08A6">
        <w:t xml:space="preserve"> to l</w:t>
      </w:r>
      <w:r w:rsidR="00A922EB" w:rsidRPr="00EB08A6">
        <w:t xml:space="preserve">ess </w:t>
      </w:r>
      <w:r w:rsidR="00081C18" w:rsidRPr="00EB08A6">
        <w:t>tha</w:t>
      </w:r>
      <w:r w:rsidR="00275378" w:rsidRPr="00EB08A6">
        <w:t>n</w:t>
      </w:r>
      <w:r w:rsidR="00A922EB" w:rsidRPr="00EB08A6">
        <w:t xml:space="preserve"> </w:t>
      </w:r>
      <w:r w:rsidR="00081C18" w:rsidRPr="00EB08A6">
        <w:t>significant levels</w:t>
      </w:r>
    </w:p>
    <w:p w:rsidR="00850AD7" w:rsidRPr="00EB08A6" w:rsidRDefault="006000AF" w:rsidP="009E0DE1">
      <w:pPr>
        <w:pStyle w:val="NormalWeb"/>
        <w:shd w:val="clear" w:color="auto" w:fill="FFFFFF"/>
        <w:spacing w:before="0" w:beforeAutospacing="0" w:afterAutospacing="0"/>
        <w:ind w:firstLine="720"/>
        <w:textAlignment w:val="baseline"/>
        <w:rPr>
          <w:color w:val="000000"/>
          <w:sz w:val="27"/>
          <w:szCs w:val="26"/>
        </w:rPr>
      </w:pPr>
      <w:r w:rsidRPr="00EB08A6">
        <w:rPr>
          <w:sz w:val="27"/>
          <w:szCs w:val="26"/>
        </w:rPr>
        <w:t xml:space="preserve">Plaintiffs also ask us to </w:t>
      </w:r>
      <w:r w:rsidR="002269F1" w:rsidRPr="00EB08A6">
        <w:rPr>
          <w:sz w:val="27"/>
          <w:szCs w:val="26"/>
        </w:rPr>
        <w:t>decide</w:t>
      </w:r>
      <w:r w:rsidR="00850AD7" w:rsidRPr="00EB08A6">
        <w:rPr>
          <w:sz w:val="27"/>
          <w:szCs w:val="26"/>
        </w:rPr>
        <w:t xml:space="preserve"> whether </w:t>
      </w:r>
      <w:r w:rsidR="00404364" w:rsidRPr="00EB08A6">
        <w:rPr>
          <w:sz w:val="27"/>
          <w:szCs w:val="26"/>
        </w:rPr>
        <w:t xml:space="preserve">a </w:t>
      </w:r>
      <w:r w:rsidR="002269F1" w:rsidRPr="00EB08A6">
        <w:rPr>
          <w:sz w:val="27"/>
          <w:szCs w:val="26"/>
        </w:rPr>
        <w:t xml:space="preserve">lead </w:t>
      </w:r>
      <w:r w:rsidR="00404364" w:rsidRPr="00EB08A6">
        <w:rPr>
          <w:sz w:val="27"/>
          <w:szCs w:val="26"/>
        </w:rPr>
        <w:t xml:space="preserve">agency </w:t>
      </w:r>
      <w:r w:rsidR="00EF1288" w:rsidRPr="00EB08A6">
        <w:rPr>
          <w:sz w:val="27"/>
          <w:szCs w:val="26"/>
        </w:rPr>
        <w:t xml:space="preserve">violates CEQA when its proposed mitigation measures will </w:t>
      </w:r>
      <w:r w:rsidRPr="00EB08A6">
        <w:rPr>
          <w:sz w:val="27"/>
          <w:szCs w:val="26"/>
        </w:rPr>
        <w:t>not</w:t>
      </w:r>
      <w:r w:rsidR="00850AD7" w:rsidRPr="00EB08A6">
        <w:rPr>
          <w:sz w:val="27"/>
          <w:szCs w:val="26"/>
        </w:rPr>
        <w:t xml:space="preserve"> reduce a significant environmental impact to less</w:t>
      </w:r>
      <w:r w:rsidR="007276B0" w:rsidRPr="00EB08A6">
        <w:rPr>
          <w:sz w:val="27"/>
          <w:szCs w:val="26"/>
        </w:rPr>
        <w:t xml:space="preserve"> </w:t>
      </w:r>
      <w:r w:rsidR="00850AD7" w:rsidRPr="00EB08A6">
        <w:rPr>
          <w:sz w:val="27"/>
          <w:szCs w:val="26"/>
        </w:rPr>
        <w:t>than</w:t>
      </w:r>
      <w:r w:rsidR="007276B0" w:rsidRPr="00EB08A6">
        <w:rPr>
          <w:sz w:val="27"/>
          <w:szCs w:val="26"/>
        </w:rPr>
        <w:t xml:space="preserve"> </w:t>
      </w:r>
      <w:r w:rsidR="00850AD7" w:rsidRPr="00EB08A6">
        <w:rPr>
          <w:sz w:val="27"/>
          <w:szCs w:val="26"/>
        </w:rPr>
        <w:t>significant levels.</w:t>
      </w:r>
      <w:r w:rsidR="00FD408A" w:rsidRPr="00EB08A6">
        <w:rPr>
          <w:sz w:val="27"/>
          <w:szCs w:val="26"/>
        </w:rPr>
        <w:t xml:space="preserve">  </w:t>
      </w:r>
      <w:r w:rsidR="002E2C99" w:rsidRPr="00EB08A6">
        <w:rPr>
          <w:sz w:val="27"/>
          <w:szCs w:val="26"/>
        </w:rPr>
        <w:t>We</w:t>
      </w:r>
      <w:r w:rsidR="00FD408A" w:rsidRPr="00EB08A6">
        <w:rPr>
          <w:color w:val="000000"/>
          <w:sz w:val="27"/>
          <w:szCs w:val="26"/>
        </w:rPr>
        <w:t xml:space="preserve"> conclude that </w:t>
      </w:r>
      <w:r w:rsidR="00C32622" w:rsidRPr="00EB08A6">
        <w:rPr>
          <w:color w:val="000000"/>
          <w:sz w:val="27"/>
          <w:szCs w:val="26"/>
        </w:rPr>
        <w:t>as long as the public is able to identify any adverse health impacts</w:t>
      </w:r>
      <w:r w:rsidR="008C0255" w:rsidRPr="00EB08A6">
        <w:rPr>
          <w:color w:val="000000"/>
          <w:sz w:val="27"/>
          <w:szCs w:val="26"/>
        </w:rPr>
        <w:t xml:space="preserve"> clearly</w:t>
      </w:r>
      <w:r w:rsidR="00C32622" w:rsidRPr="00EB08A6">
        <w:rPr>
          <w:color w:val="000000"/>
          <w:sz w:val="27"/>
          <w:szCs w:val="26"/>
        </w:rPr>
        <w:t>, and the EIR</w:t>
      </w:r>
      <w:r w:rsidR="008C0255" w:rsidRPr="00EB08A6">
        <w:rPr>
          <w:color w:val="000000"/>
          <w:sz w:val="27"/>
          <w:szCs w:val="26"/>
        </w:rPr>
        <w:t>’s</w:t>
      </w:r>
      <w:r w:rsidR="00C32622" w:rsidRPr="00EB08A6">
        <w:rPr>
          <w:color w:val="000000"/>
          <w:sz w:val="27"/>
          <w:szCs w:val="26"/>
        </w:rPr>
        <w:t xml:space="preserve"> discussion of those impacts includes relevant specifics about the environmental changes attributable to the project, </w:t>
      </w:r>
      <w:r w:rsidR="004679A7">
        <w:rPr>
          <w:color w:val="000000"/>
          <w:sz w:val="27"/>
          <w:szCs w:val="26"/>
        </w:rPr>
        <w:t xml:space="preserve">the inclusion of </w:t>
      </w:r>
      <w:r w:rsidR="00FD408A" w:rsidRPr="00EB08A6">
        <w:rPr>
          <w:color w:val="000000"/>
          <w:sz w:val="27"/>
          <w:szCs w:val="26"/>
        </w:rPr>
        <w:t xml:space="preserve">mitigation measures that partially reduce significant impacts </w:t>
      </w:r>
      <w:r w:rsidR="004679A7">
        <w:rPr>
          <w:color w:val="000000"/>
          <w:sz w:val="27"/>
          <w:szCs w:val="26"/>
        </w:rPr>
        <w:t>does not violate CEQA.</w:t>
      </w:r>
    </w:p>
    <w:p w:rsidR="008D0E18" w:rsidRPr="00EB08A6" w:rsidRDefault="007276B0" w:rsidP="009E0DE1">
      <w:pPr>
        <w:pStyle w:val="NormalWeb"/>
        <w:shd w:val="clear" w:color="auto" w:fill="FFFFFF"/>
        <w:spacing w:before="0" w:beforeAutospacing="0" w:afterAutospacing="0"/>
        <w:ind w:firstLine="720"/>
        <w:textAlignment w:val="baseline"/>
        <w:rPr>
          <w:sz w:val="27"/>
          <w:szCs w:val="26"/>
        </w:rPr>
      </w:pPr>
      <w:r w:rsidRPr="00EB08A6">
        <w:rPr>
          <w:sz w:val="27"/>
          <w:szCs w:val="26"/>
        </w:rPr>
        <w:t>We have stated that p</w:t>
      </w:r>
      <w:r w:rsidR="00FE56A7" w:rsidRPr="00EB08A6">
        <w:rPr>
          <w:sz w:val="27"/>
          <w:szCs w:val="26"/>
        </w:rPr>
        <w:t xml:space="preserve">rotection of the environment and </w:t>
      </w:r>
      <w:r w:rsidR="001B4272" w:rsidRPr="00EB08A6">
        <w:rPr>
          <w:sz w:val="27"/>
          <w:szCs w:val="26"/>
        </w:rPr>
        <w:t xml:space="preserve">of </w:t>
      </w:r>
      <w:r w:rsidR="00FE56A7" w:rsidRPr="00EB08A6">
        <w:rPr>
          <w:sz w:val="27"/>
          <w:szCs w:val="26"/>
        </w:rPr>
        <w:t xml:space="preserve">California’s resources </w:t>
      </w:r>
      <w:r w:rsidR="001B4272" w:rsidRPr="00EB08A6">
        <w:rPr>
          <w:sz w:val="27"/>
          <w:szCs w:val="26"/>
        </w:rPr>
        <w:t>ha</w:t>
      </w:r>
      <w:r w:rsidR="001E2454">
        <w:rPr>
          <w:sz w:val="27"/>
          <w:szCs w:val="26"/>
        </w:rPr>
        <w:t>s</w:t>
      </w:r>
      <w:r w:rsidR="001B4272" w:rsidRPr="00EB08A6">
        <w:rPr>
          <w:sz w:val="27"/>
          <w:szCs w:val="26"/>
        </w:rPr>
        <w:t xml:space="preserve"> </w:t>
      </w:r>
      <w:r w:rsidR="00FE56A7" w:rsidRPr="00EB08A6">
        <w:rPr>
          <w:sz w:val="27"/>
          <w:szCs w:val="26"/>
        </w:rPr>
        <w:t xml:space="preserve">long been considered of the utmost </w:t>
      </w:r>
      <w:r w:rsidR="008D0E18" w:rsidRPr="00EB08A6">
        <w:rPr>
          <w:sz w:val="27"/>
          <w:szCs w:val="26"/>
        </w:rPr>
        <w:t>importance</w:t>
      </w:r>
      <w:r w:rsidR="00FE56A7" w:rsidRPr="00EB08A6">
        <w:rPr>
          <w:sz w:val="27"/>
          <w:szCs w:val="26"/>
        </w:rPr>
        <w:t xml:space="preserve">.  </w:t>
      </w:r>
      <w:r w:rsidR="008D0E18" w:rsidRPr="00EB08A6">
        <w:rPr>
          <w:sz w:val="27"/>
          <w:szCs w:val="26"/>
        </w:rPr>
        <w:t>However, i</w:t>
      </w:r>
      <w:r w:rsidR="003522FB" w:rsidRPr="00EB08A6">
        <w:rPr>
          <w:sz w:val="27"/>
          <w:szCs w:val="26"/>
        </w:rPr>
        <w:t xml:space="preserve">n enacting </w:t>
      </w:r>
      <w:r w:rsidR="00E855C1" w:rsidRPr="00EB08A6">
        <w:rPr>
          <w:sz w:val="27"/>
          <w:szCs w:val="26"/>
        </w:rPr>
        <w:t xml:space="preserve">CEQA to protect the environment, </w:t>
      </w:r>
      <w:r w:rsidR="003522FB" w:rsidRPr="00EB08A6">
        <w:rPr>
          <w:sz w:val="27"/>
          <w:szCs w:val="26"/>
        </w:rPr>
        <w:t xml:space="preserve">the Legislature did not seek to </w:t>
      </w:r>
      <w:r w:rsidR="00172EA4" w:rsidRPr="00EB08A6">
        <w:rPr>
          <w:sz w:val="27"/>
          <w:szCs w:val="26"/>
        </w:rPr>
        <w:t xml:space="preserve">prevent </w:t>
      </w:r>
      <w:r w:rsidR="00A35A48">
        <w:rPr>
          <w:sz w:val="27"/>
          <w:szCs w:val="26"/>
        </w:rPr>
        <w:t xml:space="preserve">all </w:t>
      </w:r>
      <w:r w:rsidR="00172EA4" w:rsidRPr="00EB08A6">
        <w:rPr>
          <w:sz w:val="27"/>
          <w:szCs w:val="26"/>
        </w:rPr>
        <w:t xml:space="preserve">development. </w:t>
      </w:r>
      <w:r w:rsidR="00430D90" w:rsidRPr="00EB08A6">
        <w:rPr>
          <w:sz w:val="27"/>
          <w:szCs w:val="26"/>
        </w:rPr>
        <w:t xml:space="preserve"> </w:t>
      </w:r>
      <w:r w:rsidR="00404364" w:rsidRPr="00EB08A6">
        <w:rPr>
          <w:sz w:val="27"/>
          <w:szCs w:val="26"/>
        </w:rPr>
        <w:t>S</w:t>
      </w:r>
      <w:r w:rsidR="00430D90" w:rsidRPr="00EB08A6">
        <w:rPr>
          <w:sz w:val="27"/>
          <w:szCs w:val="26"/>
        </w:rPr>
        <w:t>ection 21081</w:t>
      </w:r>
      <w:r w:rsidR="00044B89" w:rsidRPr="00EB08A6">
        <w:rPr>
          <w:sz w:val="27"/>
          <w:szCs w:val="26"/>
        </w:rPr>
        <w:t>, subdivision (b)</w:t>
      </w:r>
      <w:r w:rsidR="00430D90" w:rsidRPr="00EB08A6">
        <w:rPr>
          <w:sz w:val="27"/>
          <w:szCs w:val="26"/>
        </w:rPr>
        <w:t xml:space="preserve"> </w:t>
      </w:r>
      <w:r w:rsidR="00DD5A8E" w:rsidRPr="00EB08A6">
        <w:rPr>
          <w:sz w:val="27"/>
          <w:szCs w:val="26"/>
        </w:rPr>
        <w:t>allows</w:t>
      </w:r>
      <w:r w:rsidR="00430D90" w:rsidRPr="00EB08A6">
        <w:rPr>
          <w:sz w:val="27"/>
          <w:szCs w:val="26"/>
        </w:rPr>
        <w:t xml:space="preserve"> a project to </w:t>
      </w:r>
      <w:r w:rsidR="00DD5A8E" w:rsidRPr="00EB08A6">
        <w:rPr>
          <w:sz w:val="27"/>
          <w:szCs w:val="26"/>
        </w:rPr>
        <w:t>continue</w:t>
      </w:r>
      <w:r w:rsidR="00430D90" w:rsidRPr="00EB08A6">
        <w:rPr>
          <w:sz w:val="27"/>
          <w:szCs w:val="26"/>
        </w:rPr>
        <w:t xml:space="preserve"> even if there are significant </w:t>
      </w:r>
      <w:r w:rsidR="00DD5A8E" w:rsidRPr="00EB08A6">
        <w:rPr>
          <w:sz w:val="27"/>
          <w:szCs w:val="26"/>
        </w:rPr>
        <w:t xml:space="preserve">environmental </w:t>
      </w:r>
      <w:r w:rsidR="00430D90" w:rsidRPr="00EB08A6">
        <w:rPr>
          <w:sz w:val="27"/>
          <w:szCs w:val="26"/>
        </w:rPr>
        <w:t>effects that have not been mitigated</w:t>
      </w:r>
      <w:r w:rsidR="00044B89" w:rsidRPr="00EB08A6">
        <w:rPr>
          <w:sz w:val="27"/>
          <w:szCs w:val="26"/>
        </w:rPr>
        <w:t>,</w:t>
      </w:r>
      <w:r w:rsidR="00430D90" w:rsidRPr="00EB08A6">
        <w:rPr>
          <w:sz w:val="27"/>
          <w:szCs w:val="26"/>
        </w:rPr>
        <w:t xml:space="preserve"> </w:t>
      </w:r>
      <w:r w:rsidR="00497A54" w:rsidRPr="00EB08A6">
        <w:rPr>
          <w:sz w:val="27"/>
          <w:szCs w:val="26"/>
        </w:rPr>
        <w:t>if</w:t>
      </w:r>
      <w:r w:rsidR="00404364" w:rsidRPr="00EB08A6">
        <w:rPr>
          <w:sz w:val="27"/>
          <w:szCs w:val="26"/>
        </w:rPr>
        <w:t xml:space="preserve"> </w:t>
      </w:r>
      <w:r w:rsidR="00430D90" w:rsidRPr="00EB08A6">
        <w:rPr>
          <w:sz w:val="27"/>
          <w:szCs w:val="26"/>
        </w:rPr>
        <w:t>“the public agency finds that specific overriding economic, legal, social, technological, or other benefits of the project outweigh the significant effects on the environment.”</w:t>
      </w:r>
      <w:r w:rsidR="00CB43C3" w:rsidRPr="00EB08A6">
        <w:rPr>
          <w:sz w:val="27"/>
          <w:szCs w:val="26"/>
        </w:rPr>
        <w:t xml:space="preserve"> </w:t>
      </w:r>
    </w:p>
    <w:p w:rsidR="006000AF" w:rsidRPr="00EB08A6" w:rsidRDefault="00B27FFE" w:rsidP="009E0DE1">
      <w:pPr>
        <w:pStyle w:val="NormalWeb"/>
        <w:shd w:val="clear" w:color="auto" w:fill="FFFFFF"/>
        <w:spacing w:before="0" w:beforeAutospacing="0" w:afterAutospacing="0"/>
        <w:ind w:firstLine="720"/>
        <w:textAlignment w:val="baseline"/>
        <w:rPr>
          <w:sz w:val="27"/>
          <w:szCs w:val="26"/>
        </w:rPr>
      </w:pPr>
      <w:r w:rsidRPr="00EB08A6">
        <w:rPr>
          <w:sz w:val="27"/>
          <w:szCs w:val="26"/>
        </w:rPr>
        <w:t>If</w:t>
      </w:r>
      <w:r w:rsidR="008D0E18" w:rsidRPr="00EB08A6">
        <w:rPr>
          <w:sz w:val="27"/>
          <w:szCs w:val="26"/>
        </w:rPr>
        <w:t>,</w:t>
      </w:r>
      <w:r w:rsidRPr="00EB08A6">
        <w:rPr>
          <w:sz w:val="27"/>
          <w:szCs w:val="26"/>
        </w:rPr>
        <w:t xml:space="preserve"> </w:t>
      </w:r>
      <w:r w:rsidR="005208CC" w:rsidRPr="00EB08A6">
        <w:rPr>
          <w:sz w:val="27"/>
          <w:szCs w:val="26"/>
        </w:rPr>
        <w:t>after</w:t>
      </w:r>
      <w:r w:rsidRPr="00EB08A6">
        <w:rPr>
          <w:sz w:val="27"/>
          <w:szCs w:val="26"/>
        </w:rPr>
        <w:t xml:space="preserve"> the feasible mitigation measures</w:t>
      </w:r>
      <w:r w:rsidR="00F7011B" w:rsidRPr="00EB08A6">
        <w:rPr>
          <w:sz w:val="27"/>
          <w:szCs w:val="26"/>
        </w:rPr>
        <w:t xml:space="preserve"> have been implemented</w:t>
      </w:r>
      <w:r w:rsidR="008D0E18" w:rsidRPr="00EB08A6">
        <w:rPr>
          <w:sz w:val="27"/>
          <w:szCs w:val="26"/>
        </w:rPr>
        <w:t>,</w:t>
      </w:r>
      <w:r w:rsidR="005208CC" w:rsidRPr="00EB08A6">
        <w:rPr>
          <w:sz w:val="27"/>
          <w:szCs w:val="26"/>
        </w:rPr>
        <w:t xml:space="preserve"> significant effects still exist, </w:t>
      </w:r>
      <w:r w:rsidR="006539B0" w:rsidRPr="00EB08A6">
        <w:rPr>
          <w:sz w:val="27"/>
          <w:szCs w:val="26"/>
        </w:rPr>
        <w:t xml:space="preserve">a </w:t>
      </w:r>
      <w:r w:rsidR="005208CC" w:rsidRPr="00EB08A6">
        <w:rPr>
          <w:sz w:val="27"/>
          <w:szCs w:val="26"/>
        </w:rPr>
        <w:t xml:space="preserve">project </w:t>
      </w:r>
      <w:r w:rsidR="00745EA4" w:rsidRPr="00EB08A6">
        <w:rPr>
          <w:sz w:val="27"/>
          <w:szCs w:val="26"/>
        </w:rPr>
        <w:t>may</w:t>
      </w:r>
      <w:r w:rsidR="005208CC" w:rsidRPr="00EB08A6">
        <w:rPr>
          <w:sz w:val="27"/>
          <w:szCs w:val="26"/>
        </w:rPr>
        <w:t xml:space="preserve"> still be approved if it is found that the “unmitigated effect</w:t>
      </w:r>
      <w:r w:rsidR="00445C06" w:rsidRPr="00EB08A6">
        <w:rPr>
          <w:sz w:val="27"/>
          <w:szCs w:val="26"/>
        </w:rPr>
        <w:t>s are outweighed by the project’</w:t>
      </w:r>
      <w:r w:rsidR="005208CC" w:rsidRPr="00EB08A6">
        <w:rPr>
          <w:sz w:val="27"/>
          <w:szCs w:val="26"/>
        </w:rPr>
        <w:t>s benefits.”  (</w:t>
      </w:r>
      <w:r w:rsidR="005208CC" w:rsidRPr="00EB08A6">
        <w:rPr>
          <w:i/>
          <w:iCs/>
          <w:sz w:val="27"/>
          <w:szCs w:val="26"/>
        </w:rPr>
        <w:t>Laurel Heights I</w:t>
      </w:r>
      <w:r w:rsidR="00B03A49" w:rsidRPr="00EB08A6">
        <w:rPr>
          <w:sz w:val="27"/>
          <w:szCs w:val="26"/>
        </w:rPr>
        <w:t>,</w:t>
      </w:r>
      <w:r w:rsidR="005208CC" w:rsidRPr="00EB08A6">
        <w:rPr>
          <w:i/>
          <w:sz w:val="27"/>
          <w:szCs w:val="26"/>
        </w:rPr>
        <w:t xml:space="preserve"> </w:t>
      </w:r>
      <w:r w:rsidR="005208CC" w:rsidRPr="00EB08A6">
        <w:rPr>
          <w:i/>
          <w:iCs/>
          <w:sz w:val="27"/>
          <w:szCs w:val="26"/>
        </w:rPr>
        <w:t>supra</w:t>
      </w:r>
      <w:r w:rsidR="005208CC" w:rsidRPr="00EB08A6">
        <w:rPr>
          <w:sz w:val="27"/>
          <w:szCs w:val="26"/>
        </w:rPr>
        <w:t>, 47 Cal.3d at p. 391</w:t>
      </w:r>
      <w:r w:rsidR="00693ACA" w:rsidRPr="00EB08A6">
        <w:rPr>
          <w:sz w:val="27"/>
          <w:szCs w:val="26"/>
        </w:rPr>
        <w:t>.</w:t>
      </w:r>
      <w:r w:rsidR="005208CC" w:rsidRPr="00EB08A6">
        <w:rPr>
          <w:sz w:val="27"/>
          <w:szCs w:val="26"/>
        </w:rPr>
        <w:t xml:space="preserve">)  </w:t>
      </w:r>
      <w:r w:rsidR="00D32425" w:rsidRPr="00EB08A6">
        <w:rPr>
          <w:sz w:val="27"/>
          <w:szCs w:val="26"/>
        </w:rPr>
        <w:t xml:space="preserve">Even when </w:t>
      </w:r>
      <w:r w:rsidR="00F7011B" w:rsidRPr="00EB08A6">
        <w:rPr>
          <w:sz w:val="27"/>
          <w:szCs w:val="26"/>
        </w:rPr>
        <w:t xml:space="preserve">a </w:t>
      </w:r>
      <w:r w:rsidR="00404364" w:rsidRPr="00EB08A6">
        <w:rPr>
          <w:sz w:val="27"/>
          <w:szCs w:val="26"/>
        </w:rPr>
        <w:t>project</w:t>
      </w:r>
      <w:r w:rsidR="0076165A" w:rsidRPr="00EB08A6">
        <w:rPr>
          <w:sz w:val="27"/>
          <w:szCs w:val="26"/>
        </w:rPr>
        <w:t>’s</w:t>
      </w:r>
      <w:r w:rsidR="00404364" w:rsidRPr="00EB08A6">
        <w:rPr>
          <w:sz w:val="27"/>
          <w:szCs w:val="26"/>
        </w:rPr>
        <w:t xml:space="preserve"> </w:t>
      </w:r>
      <w:r w:rsidR="00D32425" w:rsidRPr="00EB08A6">
        <w:rPr>
          <w:sz w:val="27"/>
          <w:szCs w:val="26"/>
        </w:rPr>
        <w:t xml:space="preserve">benefits outweigh </w:t>
      </w:r>
      <w:r w:rsidR="0076165A" w:rsidRPr="00EB08A6">
        <w:rPr>
          <w:sz w:val="27"/>
          <w:szCs w:val="26"/>
        </w:rPr>
        <w:t xml:space="preserve">its </w:t>
      </w:r>
      <w:r w:rsidR="00D32425" w:rsidRPr="00EB08A6">
        <w:rPr>
          <w:sz w:val="27"/>
          <w:szCs w:val="26"/>
        </w:rPr>
        <w:t>unmitigated effects</w:t>
      </w:r>
      <w:r w:rsidR="00404364" w:rsidRPr="00EB08A6">
        <w:rPr>
          <w:sz w:val="27"/>
          <w:szCs w:val="26"/>
        </w:rPr>
        <w:t>,</w:t>
      </w:r>
      <w:r w:rsidR="00D32425" w:rsidRPr="00EB08A6">
        <w:rPr>
          <w:sz w:val="27"/>
          <w:szCs w:val="26"/>
        </w:rPr>
        <w:t xml:space="preserve"> </w:t>
      </w:r>
      <w:r w:rsidR="0076165A" w:rsidRPr="00EB08A6">
        <w:rPr>
          <w:sz w:val="27"/>
          <w:szCs w:val="26"/>
        </w:rPr>
        <w:t xml:space="preserve">agencies are </w:t>
      </w:r>
      <w:r w:rsidR="00D32425" w:rsidRPr="00EB08A6">
        <w:rPr>
          <w:sz w:val="27"/>
          <w:szCs w:val="26"/>
        </w:rPr>
        <w:t>still required to implement all mitigation measures u</w:t>
      </w:r>
      <w:r w:rsidR="001E2454">
        <w:rPr>
          <w:sz w:val="27"/>
          <w:szCs w:val="26"/>
        </w:rPr>
        <w:t>nless those measures are truly i</w:t>
      </w:r>
      <w:r w:rsidR="00D32425" w:rsidRPr="00EB08A6">
        <w:rPr>
          <w:sz w:val="27"/>
          <w:szCs w:val="26"/>
        </w:rPr>
        <w:t>nfeasible.  (</w:t>
      </w:r>
      <w:r w:rsidR="00D32425" w:rsidRPr="00EB08A6">
        <w:rPr>
          <w:i/>
          <w:sz w:val="27"/>
          <w:szCs w:val="26"/>
        </w:rPr>
        <w:t>City of San Diego v</w:t>
      </w:r>
      <w:r w:rsidR="00B03A49" w:rsidRPr="00EB08A6">
        <w:rPr>
          <w:sz w:val="27"/>
          <w:szCs w:val="26"/>
        </w:rPr>
        <w:t>.</w:t>
      </w:r>
      <w:r w:rsidR="00D32425" w:rsidRPr="00EB08A6">
        <w:rPr>
          <w:i/>
          <w:sz w:val="27"/>
          <w:szCs w:val="26"/>
        </w:rPr>
        <w:t xml:space="preserve"> Board of Trustees of California State University</w:t>
      </w:r>
      <w:r w:rsidR="00D32425" w:rsidRPr="00EB08A6">
        <w:rPr>
          <w:sz w:val="27"/>
          <w:szCs w:val="26"/>
        </w:rPr>
        <w:t xml:space="preserve"> (2015) 61 Cal.4th 945, 967.)</w:t>
      </w:r>
      <w:r w:rsidR="00693ACA" w:rsidRPr="00EB08A6">
        <w:rPr>
          <w:sz w:val="27"/>
          <w:szCs w:val="26"/>
        </w:rPr>
        <w:t xml:space="preserve">  </w:t>
      </w:r>
      <w:r w:rsidR="002E2C99" w:rsidRPr="00EB08A6">
        <w:rPr>
          <w:sz w:val="27"/>
          <w:szCs w:val="26"/>
        </w:rPr>
        <w:t xml:space="preserve">We recently held that </w:t>
      </w:r>
      <w:r w:rsidR="00693ACA" w:rsidRPr="00EB08A6">
        <w:rPr>
          <w:sz w:val="27"/>
          <w:szCs w:val="26"/>
        </w:rPr>
        <w:t>“the lead agency must adopt feasible mitigation measures or project alternatives to reduce the effect to insignificance; to the extent significant impacts remain after mitigation, the agency may still approve the project with a stateme</w:t>
      </w:r>
      <w:r w:rsidR="006A5889" w:rsidRPr="00EB08A6">
        <w:rPr>
          <w:sz w:val="27"/>
          <w:szCs w:val="26"/>
        </w:rPr>
        <w:t>nt of overriding considerations.</w:t>
      </w:r>
      <w:r w:rsidR="000953E7" w:rsidRPr="00EB08A6">
        <w:rPr>
          <w:sz w:val="27"/>
          <w:szCs w:val="26"/>
        </w:rPr>
        <w:t xml:space="preserve">  [Citations.]</w:t>
      </w:r>
      <w:r w:rsidR="00693ACA" w:rsidRPr="00EB08A6">
        <w:rPr>
          <w:sz w:val="27"/>
          <w:szCs w:val="26"/>
        </w:rPr>
        <w:t>”  (</w:t>
      </w:r>
      <w:r w:rsidR="00693ACA" w:rsidRPr="00EB08A6">
        <w:rPr>
          <w:i/>
          <w:sz w:val="27"/>
          <w:szCs w:val="26"/>
        </w:rPr>
        <w:t>Center for Biological Diversity v</w:t>
      </w:r>
      <w:r w:rsidR="00B03A49" w:rsidRPr="00EB08A6">
        <w:rPr>
          <w:sz w:val="27"/>
          <w:szCs w:val="26"/>
        </w:rPr>
        <w:t>.</w:t>
      </w:r>
      <w:r w:rsidR="00693ACA" w:rsidRPr="00EB08A6">
        <w:rPr>
          <w:i/>
          <w:sz w:val="27"/>
          <w:szCs w:val="26"/>
        </w:rPr>
        <w:t xml:space="preserve"> </w:t>
      </w:r>
      <w:r w:rsidR="000953E7" w:rsidRPr="00EB08A6">
        <w:rPr>
          <w:i/>
          <w:sz w:val="27"/>
          <w:szCs w:val="26"/>
        </w:rPr>
        <w:t>Department</w:t>
      </w:r>
      <w:r w:rsidR="00693ACA" w:rsidRPr="00EB08A6">
        <w:rPr>
          <w:i/>
          <w:sz w:val="27"/>
          <w:szCs w:val="26"/>
        </w:rPr>
        <w:t xml:space="preserve"> of Fish </w:t>
      </w:r>
      <w:r w:rsidR="000953E7" w:rsidRPr="00EB08A6">
        <w:rPr>
          <w:i/>
          <w:sz w:val="27"/>
          <w:szCs w:val="26"/>
        </w:rPr>
        <w:t xml:space="preserve">&amp; </w:t>
      </w:r>
      <w:r w:rsidR="00693ACA" w:rsidRPr="00EB08A6">
        <w:rPr>
          <w:i/>
          <w:sz w:val="27"/>
          <w:szCs w:val="26"/>
        </w:rPr>
        <w:t>Wildlife</w:t>
      </w:r>
      <w:r w:rsidR="00E02112" w:rsidRPr="00EB08A6">
        <w:rPr>
          <w:i/>
          <w:sz w:val="27"/>
          <w:szCs w:val="26"/>
        </w:rPr>
        <w:t xml:space="preserve"> </w:t>
      </w:r>
      <w:r w:rsidR="00E02112" w:rsidRPr="00EB08A6">
        <w:rPr>
          <w:sz w:val="27"/>
          <w:szCs w:val="26"/>
        </w:rPr>
        <w:t xml:space="preserve">(2015) </w:t>
      </w:r>
      <w:r w:rsidR="00693ACA" w:rsidRPr="00EB08A6">
        <w:rPr>
          <w:sz w:val="27"/>
          <w:szCs w:val="26"/>
        </w:rPr>
        <w:t xml:space="preserve">62 Cal.4th </w:t>
      </w:r>
      <w:r w:rsidR="00E02112" w:rsidRPr="00EB08A6">
        <w:rPr>
          <w:sz w:val="27"/>
          <w:szCs w:val="26"/>
        </w:rPr>
        <w:t>204,</w:t>
      </w:r>
      <w:r w:rsidR="00693ACA" w:rsidRPr="00EB08A6">
        <w:rPr>
          <w:sz w:val="27"/>
          <w:szCs w:val="26"/>
        </w:rPr>
        <w:t xml:space="preserve"> 231</w:t>
      </w:r>
      <w:r w:rsidR="006A5889" w:rsidRPr="00EB08A6">
        <w:rPr>
          <w:sz w:val="27"/>
          <w:szCs w:val="26"/>
        </w:rPr>
        <w:t xml:space="preserve">.)  </w:t>
      </w:r>
      <w:r w:rsidR="009B5FC4">
        <w:rPr>
          <w:sz w:val="27"/>
          <w:szCs w:val="26"/>
        </w:rPr>
        <w:t>The inclusion of a mitigation measure that reduces an environmental impact is permitted even if the measure will not reduce the impact to a level below the threshold of significance.</w:t>
      </w:r>
    </w:p>
    <w:p w:rsidR="004C3262" w:rsidRPr="00EB08A6" w:rsidRDefault="00082D76" w:rsidP="009E0DE1">
      <w:pPr>
        <w:pStyle w:val="Heading3"/>
        <w:jc w:val="both"/>
      </w:pPr>
      <w:r w:rsidRPr="00EB08A6">
        <w:rPr>
          <w:i w:val="0"/>
        </w:rPr>
        <w:t>4</w:t>
      </w:r>
      <w:r w:rsidR="00B03A49" w:rsidRPr="00EB08A6">
        <w:rPr>
          <w:i w:val="0"/>
        </w:rPr>
        <w:t>.</w:t>
      </w:r>
      <w:r w:rsidR="00216F6F" w:rsidRPr="00EB08A6">
        <w:t xml:space="preserve">  Enforceability of mitigation measures </w:t>
      </w:r>
    </w:p>
    <w:p w:rsidR="00E62373" w:rsidRPr="00EB08A6" w:rsidRDefault="00B53E07" w:rsidP="009E0DE1">
      <w:pPr>
        <w:pStyle w:val="NormalWeb"/>
        <w:shd w:val="clear" w:color="auto" w:fill="FFFFFF"/>
        <w:spacing w:before="0" w:beforeAutospacing="0" w:afterAutospacing="0"/>
        <w:ind w:firstLine="720"/>
        <w:textAlignment w:val="baseline"/>
        <w:rPr>
          <w:sz w:val="27"/>
          <w:szCs w:val="26"/>
        </w:rPr>
      </w:pPr>
      <w:r w:rsidRPr="00EB08A6">
        <w:rPr>
          <w:sz w:val="27"/>
          <w:szCs w:val="26"/>
        </w:rPr>
        <w:t xml:space="preserve">Plaintiffs argue that mitigation measures involving the </w:t>
      </w:r>
      <w:r w:rsidR="00613EC4" w:rsidRPr="00EB08A6">
        <w:rPr>
          <w:sz w:val="27"/>
          <w:szCs w:val="26"/>
        </w:rPr>
        <w:t>installation of HVAC systems and tree planting, and any required mitigation efforts that “are fully enforceable through permit conditions, agreement, or other measures</w:t>
      </w:r>
      <w:r w:rsidR="00F027C7" w:rsidRPr="00EB08A6">
        <w:rPr>
          <w:sz w:val="27"/>
          <w:szCs w:val="26"/>
        </w:rPr>
        <w:t>,</w:t>
      </w:r>
      <w:r w:rsidR="00613EC4" w:rsidRPr="00EB08A6">
        <w:rPr>
          <w:sz w:val="27"/>
          <w:szCs w:val="26"/>
        </w:rPr>
        <w:t>”</w:t>
      </w:r>
      <w:r w:rsidRPr="00EB08A6">
        <w:rPr>
          <w:sz w:val="27"/>
          <w:szCs w:val="26"/>
        </w:rPr>
        <w:t xml:space="preserve"> </w:t>
      </w:r>
      <w:r w:rsidR="00FD0D49" w:rsidRPr="00EB08A6">
        <w:rPr>
          <w:sz w:val="27"/>
          <w:szCs w:val="26"/>
        </w:rPr>
        <w:t>a</w:t>
      </w:r>
      <w:r w:rsidRPr="00EB08A6">
        <w:rPr>
          <w:sz w:val="27"/>
          <w:szCs w:val="26"/>
        </w:rPr>
        <w:t>re unenforceable</w:t>
      </w:r>
      <w:r w:rsidR="00FD0D49" w:rsidRPr="00EB08A6">
        <w:rPr>
          <w:sz w:val="27"/>
          <w:szCs w:val="26"/>
        </w:rPr>
        <w:t>.</w:t>
      </w:r>
      <w:r w:rsidR="00613EC4" w:rsidRPr="00EB08A6">
        <w:rPr>
          <w:sz w:val="27"/>
          <w:szCs w:val="26"/>
        </w:rPr>
        <w:t xml:space="preserve">  (</w:t>
      </w:r>
      <w:r w:rsidR="001F1239" w:rsidRPr="00EB08A6">
        <w:rPr>
          <w:sz w:val="27"/>
          <w:szCs w:val="26"/>
        </w:rPr>
        <w:t>§ 21081.6, subd. (b).)</w:t>
      </w:r>
      <w:r w:rsidR="002457AD" w:rsidRPr="00EB08A6">
        <w:rPr>
          <w:sz w:val="27"/>
          <w:szCs w:val="26"/>
        </w:rPr>
        <w:t xml:space="preserve"> </w:t>
      </w:r>
      <w:r w:rsidR="00E62373" w:rsidRPr="00EB08A6">
        <w:rPr>
          <w:sz w:val="27"/>
          <w:szCs w:val="26"/>
        </w:rPr>
        <w:t xml:space="preserve"> </w:t>
      </w:r>
      <w:r w:rsidRPr="00EB08A6">
        <w:rPr>
          <w:sz w:val="27"/>
          <w:szCs w:val="26"/>
        </w:rPr>
        <w:t xml:space="preserve">We note that the measures referred to in this section </w:t>
      </w:r>
      <w:r w:rsidR="00E62373" w:rsidRPr="00EB08A6">
        <w:rPr>
          <w:sz w:val="27"/>
          <w:szCs w:val="26"/>
        </w:rPr>
        <w:t>are</w:t>
      </w:r>
      <w:r w:rsidRPr="00EB08A6">
        <w:rPr>
          <w:sz w:val="27"/>
          <w:szCs w:val="26"/>
        </w:rPr>
        <w:t xml:space="preserve"> proposed as </w:t>
      </w:r>
      <w:r w:rsidR="00BB05EC" w:rsidRPr="00EB08A6">
        <w:rPr>
          <w:sz w:val="27"/>
          <w:szCs w:val="26"/>
        </w:rPr>
        <w:t>“</w:t>
      </w:r>
      <w:r w:rsidR="00713091" w:rsidRPr="00EB08A6">
        <w:rPr>
          <w:sz w:val="27"/>
          <w:szCs w:val="26"/>
        </w:rPr>
        <w:t>guidelines</w:t>
      </w:r>
      <w:r w:rsidR="00BB05EC" w:rsidRPr="00EB08A6">
        <w:rPr>
          <w:sz w:val="27"/>
          <w:szCs w:val="26"/>
        </w:rPr>
        <w:t>”</w:t>
      </w:r>
      <w:r w:rsidR="00713091" w:rsidRPr="00EB08A6">
        <w:rPr>
          <w:sz w:val="27"/>
          <w:szCs w:val="26"/>
        </w:rPr>
        <w:t xml:space="preserve"> </w:t>
      </w:r>
      <w:r w:rsidR="00BB05EC" w:rsidRPr="00EB08A6">
        <w:rPr>
          <w:sz w:val="27"/>
          <w:szCs w:val="26"/>
        </w:rPr>
        <w:t xml:space="preserve">that “shall be used </w:t>
      </w:r>
      <w:r w:rsidR="001F1239" w:rsidRPr="00EB08A6">
        <w:rPr>
          <w:sz w:val="27"/>
          <w:szCs w:val="26"/>
        </w:rPr>
        <w:t xml:space="preserve">by the County during review </w:t>
      </w:r>
      <w:r w:rsidR="00445C06" w:rsidRPr="00EB08A6">
        <w:rPr>
          <w:sz w:val="27"/>
          <w:szCs w:val="26"/>
        </w:rPr>
        <w:t>of</w:t>
      </w:r>
      <w:r w:rsidR="001F1239" w:rsidRPr="00EB08A6">
        <w:rPr>
          <w:sz w:val="27"/>
          <w:szCs w:val="26"/>
        </w:rPr>
        <w:t xml:space="preserve"> future project-specific submittals for non-residential development . . . with </w:t>
      </w:r>
      <w:r w:rsidR="00445C06" w:rsidRPr="00EB08A6">
        <w:rPr>
          <w:sz w:val="27"/>
          <w:szCs w:val="26"/>
        </w:rPr>
        <w:t>[</w:t>
      </w:r>
      <w:r w:rsidR="001F1239" w:rsidRPr="00EB08A6">
        <w:rPr>
          <w:sz w:val="27"/>
          <w:szCs w:val="26"/>
        </w:rPr>
        <w:t>the</w:t>
      </w:r>
      <w:r w:rsidR="00445C06" w:rsidRPr="00EB08A6">
        <w:rPr>
          <w:sz w:val="27"/>
          <w:szCs w:val="26"/>
        </w:rPr>
        <w:t>]</w:t>
      </w:r>
      <w:r w:rsidR="001F1239" w:rsidRPr="00EB08A6">
        <w:rPr>
          <w:sz w:val="27"/>
          <w:szCs w:val="26"/>
        </w:rPr>
        <w:t xml:space="preserve"> intent that specified measures be required where feasible and appropriate.”</w:t>
      </w:r>
      <w:r w:rsidR="002E5AC0" w:rsidRPr="00EB08A6" w:rsidDel="002E5AC0">
        <w:rPr>
          <w:sz w:val="27"/>
          <w:szCs w:val="26"/>
        </w:rPr>
        <w:t xml:space="preserve"> </w:t>
      </w:r>
    </w:p>
    <w:p w:rsidR="002D695C" w:rsidRPr="00EB08A6" w:rsidRDefault="00E62373" w:rsidP="009E0DE1">
      <w:pPr>
        <w:pStyle w:val="NormalWeb"/>
        <w:shd w:val="clear" w:color="auto" w:fill="FFFFFF"/>
        <w:spacing w:before="0" w:beforeAutospacing="0" w:afterAutospacing="0"/>
        <w:ind w:firstLine="720"/>
        <w:textAlignment w:val="baseline"/>
        <w:rPr>
          <w:sz w:val="27"/>
          <w:szCs w:val="26"/>
        </w:rPr>
      </w:pPr>
      <w:r w:rsidRPr="00EB08A6">
        <w:rPr>
          <w:sz w:val="27"/>
          <w:szCs w:val="26"/>
        </w:rPr>
        <w:t>T</w:t>
      </w:r>
      <w:r w:rsidR="00713091" w:rsidRPr="00EB08A6">
        <w:rPr>
          <w:sz w:val="27"/>
          <w:szCs w:val="26"/>
        </w:rPr>
        <w:t>he Court of Appeal</w:t>
      </w:r>
      <w:r w:rsidR="00DE324F" w:rsidRPr="00EB08A6">
        <w:rPr>
          <w:sz w:val="27"/>
          <w:szCs w:val="26"/>
        </w:rPr>
        <w:t xml:space="preserve"> found </w:t>
      </w:r>
      <w:r w:rsidR="00713091" w:rsidRPr="00EB08A6">
        <w:rPr>
          <w:sz w:val="27"/>
          <w:szCs w:val="26"/>
        </w:rPr>
        <w:t>th</w:t>
      </w:r>
      <w:r w:rsidR="00887477" w:rsidRPr="00EB08A6">
        <w:rPr>
          <w:sz w:val="27"/>
          <w:szCs w:val="26"/>
        </w:rPr>
        <w:t xml:space="preserve">e </w:t>
      </w:r>
      <w:r w:rsidR="00B53E07" w:rsidRPr="00EB08A6">
        <w:rPr>
          <w:sz w:val="27"/>
          <w:szCs w:val="26"/>
        </w:rPr>
        <w:t xml:space="preserve">EIR </w:t>
      </w:r>
      <w:r w:rsidR="00887477" w:rsidRPr="00EB08A6">
        <w:rPr>
          <w:sz w:val="27"/>
          <w:szCs w:val="26"/>
        </w:rPr>
        <w:t>mitigation</w:t>
      </w:r>
      <w:r w:rsidR="00DE324F" w:rsidRPr="00EB08A6">
        <w:rPr>
          <w:sz w:val="27"/>
          <w:szCs w:val="26"/>
        </w:rPr>
        <w:t xml:space="preserve"> </w:t>
      </w:r>
      <w:r w:rsidR="00887477" w:rsidRPr="00EB08A6">
        <w:rPr>
          <w:sz w:val="27"/>
          <w:szCs w:val="26"/>
        </w:rPr>
        <w:t>“</w:t>
      </w:r>
      <w:r w:rsidR="00DE324F" w:rsidRPr="00EB08A6">
        <w:rPr>
          <w:sz w:val="27"/>
          <w:szCs w:val="26"/>
        </w:rPr>
        <w:t>provision about equipping HVAC units with a catalyst system does not identify who will determine if the system is ‘reasonably available and economically feasible</w:t>
      </w:r>
      <w:r w:rsidR="00445C06" w:rsidRPr="00EB08A6">
        <w:rPr>
          <w:sz w:val="27"/>
          <w:szCs w:val="26"/>
        </w:rPr>
        <w:t xml:space="preserve">’ </w:t>
      </w:r>
      <w:r w:rsidR="00DE324F" w:rsidRPr="00EB08A6">
        <w:rPr>
          <w:sz w:val="27"/>
          <w:szCs w:val="26"/>
        </w:rPr>
        <w:t>”</w:t>
      </w:r>
      <w:r w:rsidR="00B53E07" w:rsidRPr="00EB08A6">
        <w:rPr>
          <w:sz w:val="27"/>
          <w:szCs w:val="26"/>
        </w:rPr>
        <w:t xml:space="preserve"> </w:t>
      </w:r>
      <w:r w:rsidR="00445C06" w:rsidRPr="00EB08A6">
        <w:rPr>
          <w:sz w:val="27"/>
          <w:szCs w:val="26"/>
        </w:rPr>
        <w:t>a</w:t>
      </w:r>
      <w:r w:rsidR="00887477" w:rsidRPr="00EB08A6">
        <w:rPr>
          <w:sz w:val="27"/>
          <w:szCs w:val="26"/>
        </w:rPr>
        <w:t xml:space="preserve">nd </w:t>
      </w:r>
      <w:r w:rsidR="00F027C7" w:rsidRPr="00EB08A6">
        <w:rPr>
          <w:sz w:val="27"/>
          <w:szCs w:val="26"/>
        </w:rPr>
        <w:t xml:space="preserve">is </w:t>
      </w:r>
      <w:r w:rsidR="00B53E07" w:rsidRPr="00EB08A6">
        <w:rPr>
          <w:sz w:val="27"/>
          <w:szCs w:val="26"/>
        </w:rPr>
        <w:t>unenforceable.</w:t>
      </w:r>
      <w:r w:rsidR="00DE324F" w:rsidRPr="00EB08A6">
        <w:rPr>
          <w:sz w:val="27"/>
          <w:szCs w:val="26"/>
        </w:rPr>
        <w:t xml:space="preserve"> In </w:t>
      </w:r>
      <w:r w:rsidR="00BD5A68" w:rsidRPr="00EB08A6">
        <w:rPr>
          <w:sz w:val="27"/>
          <w:szCs w:val="26"/>
        </w:rPr>
        <w:t>its</w:t>
      </w:r>
      <w:r w:rsidR="00DE324F" w:rsidRPr="00EB08A6">
        <w:rPr>
          <w:sz w:val="27"/>
          <w:szCs w:val="26"/>
        </w:rPr>
        <w:t xml:space="preserve"> analysis</w:t>
      </w:r>
      <w:r w:rsidR="00BA1BC7" w:rsidRPr="00EB08A6">
        <w:rPr>
          <w:sz w:val="27"/>
          <w:szCs w:val="26"/>
        </w:rPr>
        <w:t>,</w:t>
      </w:r>
      <w:r w:rsidR="00DE324F" w:rsidRPr="00EB08A6">
        <w:rPr>
          <w:sz w:val="27"/>
          <w:szCs w:val="26"/>
        </w:rPr>
        <w:t xml:space="preserve"> the court omitted the next sentence, “[c]</w:t>
      </w:r>
      <w:proofErr w:type="spellStart"/>
      <w:r w:rsidR="00DE324F" w:rsidRPr="00EB08A6">
        <w:rPr>
          <w:sz w:val="27"/>
          <w:szCs w:val="26"/>
        </w:rPr>
        <w:t>atalyst</w:t>
      </w:r>
      <w:proofErr w:type="spellEnd"/>
      <w:r w:rsidR="00DE324F" w:rsidRPr="00EB08A6">
        <w:rPr>
          <w:sz w:val="27"/>
          <w:szCs w:val="26"/>
        </w:rPr>
        <w:t xml:space="preserve"> systems are considered feasible if the additional cost is less than 10% of the base HVAC cost.”  </w:t>
      </w:r>
      <w:r w:rsidR="002E5AC0" w:rsidRPr="00EB08A6">
        <w:rPr>
          <w:sz w:val="27"/>
          <w:szCs w:val="26"/>
        </w:rPr>
        <w:t xml:space="preserve"> </w:t>
      </w:r>
      <w:r w:rsidR="00DE324F" w:rsidRPr="00EB08A6">
        <w:rPr>
          <w:sz w:val="27"/>
          <w:szCs w:val="26"/>
        </w:rPr>
        <w:t>T</w:t>
      </w:r>
      <w:r w:rsidR="00E27E7F" w:rsidRPr="00EB08A6">
        <w:rPr>
          <w:sz w:val="27"/>
          <w:szCs w:val="26"/>
        </w:rPr>
        <w:t xml:space="preserve">his definition of </w:t>
      </w:r>
      <w:r w:rsidR="00713091" w:rsidRPr="00EB08A6">
        <w:rPr>
          <w:sz w:val="27"/>
          <w:szCs w:val="26"/>
        </w:rPr>
        <w:t>what constitutes “</w:t>
      </w:r>
      <w:r w:rsidR="00E27E7F" w:rsidRPr="00EB08A6">
        <w:rPr>
          <w:sz w:val="27"/>
          <w:szCs w:val="26"/>
        </w:rPr>
        <w:t>economically feasible</w:t>
      </w:r>
      <w:r w:rsidR="00713091" w:rsidRPr="00EB08A6">
        <w:rPr>
          <w:sz w:val="27"/>
          <w:szCs w:val="26"/>
        </w:rPr>
        <w:t>”</w:t>
      </w:r>
      <w:r w:rsidR="00E27E7F" w:rsidRPr="00EB08A6">
        <w:rPr>
          <w:sz w:val="27"/>
          <w:szCs w:val="26"/>
        </w:rPr>
        <w:t xml:space="preserve"> </w:t>
      </w:r>
      <w:r w:rsidR="00044B89" w:rsidRPr="00EB08A6">
        <w:rPr>
          <w:sz w:val="27"/>
          <w:szCs w:val="26"/>
        </w:rPr>
        <w:t xml:space="preserve">catalyst systems </w:t>
      </w:r>
      <w:r w:rsidR="00E27E7F" w:rsidRPr="00EB08A6">
        <w:rPr>
          <w:sz w:val="27"/>
          <w:szCs w:val="26"/>
        </w:rPr>
        <w:t>eliminates the need to have individual</w:t>
      </w:r>
      <w:r w:rsidR="00A8627D" w:rsidRPr="00EB08A6">
        <w:rPr>
          <w:sz w:val="27"/>
          <w:szCs w:val="26"/>
        </w:rPr>
        <w:t>s</w:t>
      </w:r>
      <w:r w:rsidR="00E27E7F" w:rsidRPr="00EB08A6">
        <w:rPr>
          <w:sz w:val="27"/>
          <w:szCs w:val="26"/>
        </w:rPr>
        <w:t xml:space="preserve"> make such determination</w:t>
      </w:r>
      <w:r w:rsidR="00A8627D" w:rsidRPr="00EB08A6">
        <w:rPr>
          <w:sz w:val="27"/>
          <w:szCs w:val="26"/>
        </w:rPr>
        <w:t>s</w:t>
      </w:r>
      <w:r w:rsidR="0034752E" w:rsidRPr="00EB08A6">
        <w:rPr>
          <w:sz w:val="27"/>
          <w:szCs w:val="26"/>
        </w:rPr>
        <w:t xml:space="preserve">.  </w:t>
      </w:r>
      <w:r w:rsidR="00D930C7" w:rsidRPr="00EB08A6">
        <w:rPr>
          <w:sz w:val="27"/>
          <w:szCs w:val="26"/>
        </w:rPr>
        <w:t xml:space="preserve">The </w:t>
      </w:r>
      <w:r w:rsidR="001E5334" w:rsidRPr="00EB08A6">
        <w:rPr>
          <w:sz w:val="27"/>
          <w:szCs w:val="26"/>
        </w:rPr>
        <w:t xml:space="preserve">Court of Appeal </w:t>
      </w:r>
      <w:r w:rsidR="00F40C17" w:rsidRPr="00EB08A6">
        <w:rPr>
          <w:sz w:val="27"/>
          <w:szCs w:val="26"/>
        </w:rPr>
        <w:t>also found</w:t>
      </w:r>
      <w:r w:rsidR="001E5334" w:rsidRPr="00EB08A6">
        <w:rPr>
          <w:sz w:val="27"/>
          <w:szCs w:val="26"/>
        </w:rPr>
        <w:t xml:space="preserve"> the</w:t>
      </w:r>
      <w:r w:rsidR="00D930C7" w:rsidRPr="00EB08A6">
        <w:rPr>
          <w:sz w:val="27"/>
          <w:szCs w:val="26"/>
        </w:rPr>
        <w:t xml:space="preserve"> </w:t>
      </w:r>
      <w:r w:rsidR="001E5334" w:rsidRPr="00EB08A6">
        <w:rPr>
          <w:sz w:val="27"/>
          <w:szCs w:val="26"/>
        </w:rPr>
        <w:t>phrase</w:t>
      </w:r>
      <w:r w:rsidR="00D930C7" w:rsidRPr="00EB08A6">
        <w:rPr>
          <w:sz w:val="27"/>
          <w:szCs w:val="26"/>
        </w:rPr>
        <w:t xml:space="preserve"> “</w:t>
      </w:r>
      <w:r w:rsidR="00793A09" w:rsidRPr="00EB08A6">
        <w:rPr>
          <w:sz w:val="27"/>
          <w:szCs w:val="26"/>
        </w:rPr>
        <w:t> ‘</w:t>
      </w:r>
      <w:proofErr w:type="spellStart"/>
      <w:r w:rsidR="001E5334" w:rsidRPr="00EB08A6">
        <w:rPr>
          <w:sz w:val="27"/>
          <w:szCs w:val="26"/>
        </w:rPr>
        <w:t>PremAir</w:t>
      </w:r>
      <w:proofErr w:type="spellEnd"/>
      <w:r w:rsidR="00F40C17" w:rsidRPr="00EB08A6">
        <w:rPr>
          <w:sz w:val="27"/>
          <w:szCs w:val="26"/>
        </w:rPr>
        <w:t xml:space="preserve"> or similar catalyst system</w:t>
      </w:r>
      <w:r w:rsidR="00793A09" w:rsidRPr="00EB08A6">
        <w:rPr>
          <w:sz w:val="27"/>
          <w:szCs w:val="26"/>
        </w:rPr>
        <w:t>’ </w:t>
      </w:r>
      <w:r w:rsidR="00F40C17" w:rsidRPr="00EB08A6">
        <w:rPr>
          <w:sz w:val="27"/>
          <w:szCs w:val="26"/>
        </w:rPr>
        <w:t>”</w:t>
      </w:r>
      <w:r w:rsidR="001E5334" w:rsidRPr="00EB08A6">
        <w:rPr>
          <w:sz w:val="27"/>
          <w:szCs w:val="26"/>
        </w:rPr>
        <w:t xml:space="preserve"> vague </w:t>
      </w:r>
      <w:r w:rsidR="00F40C17" w:rsidRPr="00EB08A6">
        <w:rPr>
          <w:sz w:val="27"/>
          <w:szCs w:val="26"/>
        </w:rPr>
        <w:t>for</w:t>
      </w:r>
      <w:r w:rsidR="001E5334" w:rsidRPr="00EB08A6">
        <w:rPr>
          <w:sz w:val="27"/>
          <w:szCs w:val="26"/>
        </w:rPr>
        <w:t xml:space="preserve"> not defining what performance criteria must be met to be a “</w:t>
      </w:r>
      <w:r w:rsidR="00793A09" w:rsidRPr="00EB08A6">
        <w:rPr>
          <w:sz w:val="27"/>
          <w:szCs w:val="26"/>
        </w:rPr>
        <w:t> ‘</w:t>
      </w:r>
      <w:r w:rsidR="001E5334" w:rsidRPr="00EB08A6">
        <w:rPr>
          <w:sz w:val="27"/>
          <w:szCs w:val="26"/>
        </w:rPr>
        <w:t>similar catalyst system.</w:t>
      </w:r>
      <w:r w:rsidR="00793A09" w:rsidRPr="00EB08A6">
        <w:rPr>
          <w:sz w:val="27"/>
          <w:szCs w:val="26"/>
        </w:rPr>
        <w:t>’ </w:t>
      </w:r>
      <w:r w:rsidR="001E5334" w:rsidRPr="00EB08A6">
        <w:rPr>
          <w:sz w:val="27"/>
          <w:szCs w:val="26"/>
        </w:rPr>
        <w:t>”  Th</w:t>
      </w:r>
      <w:r w:rsidR="002457AD" w:rsidRPr="00EB08A6">
        <w:rPr>
          <w:sz w:val="27"/>
          <w:szCs w:val="26"/>
        </w:rPr>
        <w:t xml:space="preserve">e term </w:t>
      </w:r>
      <w:r w:rsidR="001E5334" w:rsidRPr="00EB08A6">
        <w:rPr>
          <w:sz w:val="27"/>
          <w:szCs w:val="26"/>
        </w:rPr>
        <w:t xml:space="preserve">is not vague.  </w:t>
      </w:r>
      <w:proofErr w:type="spellStart"/>
      <w:r w:rsidR="001E5334" w:rsidRPr="00EB08A6">
        <w:rPr>
          <w:sz w:val="27"/>
          <w:szCs w:val="26"/>
        </w:rPr>
        <w:t>PremAir</w:t>
      </w:r>
      <w:proofErr w:type="spellEnd"/>
      <w:r w:rsidR="001E5334" w:rsidRPr="00EB08A6">
        <w:rPr>
          <w:sz w:val="27"/>
          <w:szCs w:val="26"/>
        </w:rPr>
        <w:t xml:space="preserve"> is a brand name for a</w:t>
      </w:r>
      <w:r w:rsidR="002E5AC0" w:rsidRPr="00EB08A6">
        <w:rPr>
          <w:sz w:val="27"/>
          <w:szCs w:val="26"/>
        </w:rPr>
        <w:t>n</w:t>
      </w:r>
      <w:r w:rsidR="001E5334" w:rsidRPr="00EB08A6">
        <w:rPr>
          <w:sz w:val="27"/>
          <w:szCs w:val="26"/>
        </w:rPr>
        <w:t xml:space="preserve"> HVAC catalyst system</w:t>
      </w:r>
      <w:r w:rsidR="00EC39C3" w:rsidRPr="00EB08A6">
        <w:rPr>
          <w:sz w:val="27"/>
          <w:szCs w:val="26"/>
        </w:rPr>
        <w:t xml:space="preserve">.  </w:t>
      </w:r>
      <w:r w:rsidR="00F40C17" w:rsidRPr="00EB08A6">
        <w:rPr>
          <w:sz w:val="27"/>
          <w:szCs w:val="26"/>
        </w:rPr>
        <w:t>T</w:t>
      </w:r>
      <w:r w:rsidR="001E5334" w:rsidRPr="00EB08A6">
        <w:rPr>
          <w:sz w:val="27"/>
          <w:szCs w:val="26"/>
        </w:rPr>
        <w:t>he individuals proposing new projects</w:t>
      </w:r>
      <w:r w:rsidR="00F40C17" w:rsidRPr="00EB08A6">
        <w:rPr>
          <w:sz w:val="27"/>
          <w:szCs w:val="26"/>
        </w:rPr>
        <w:t>,</w:t>
      </w:r>
      <w:r w:rsidR="001E5334" w:rsidRPr="00EB08A6">
        <w:rPr>
          <w:sz w:val="27"/>
          <w:szCs w:val="26"/>
        </w:rPr>
        <w:t xml:space="preserve"> or </w:t>
      </w:r>
      <w:r w:rsidR="00F40C17" w:rsidRPr="00EB08A6">
        <w:rPr>
          <w:sz w:val="27"/>
          <w:szCs w:val="26"/>
        </w:rPr>
        <w:t xml:space="preserve">those </w:t>
      </w:r>
      <w:r w:rsidR="001E5334" w:rsidRPr="00EB08A6">
        <w:rPr>
          <w:sz w:val="27"/>
          <w:szCs w:val="26"/>
        </w:rPr>
        <w:t>tasked with evaluating the proposals for approval</w:t>
      </w:r>
      <w:r w:rsidR="00F40C17" w:rsidRPr="00EB08A6">
        <w:rPr>
          <w:sz w:val="27"/>
          <w:szCs w:val="26"/>
        </w:rPr>
        <w:t>,</w:t>
      </w:r>
      <w:r w:rsidR="001E5334" w:rsidRPr="00EB08A6">
        <w:rPr>
          <w:sz w:val="27"/>
          <w:szCs w:val="26"/>
        </w:rPr>
        <w:t xml:space="preserve"> would</w:t>
      </w:r>
      <w:r w:rsidR="00F40C17" w:rsidRPr="00EB08A6">
        <w:rPr>
          <w:sz w:val="27"/>
          <w:szCs w:val="26"/>
        </w:rPr>
        <w:t xml:space="preserve"> necessarily have knowledge of HVAC systems and catalyst systems, including </w:t>
      </w:r>
      <w:proofErr w:type="spellStart"/>
      <w:r w:rsidR="00F40C17" w:rsidRPr="00EB08A6">
        <w:rPr>
          <w:sz w:val="27"/>
          <w:szCs w:val="26"/>
        </w:rPr>
        <w:t>PremAir</w:t>
      </w:r>
      <w:proofErr w:type="spellEnd"/>
      <w:r w:rsidR="00F40C17" w:rsidRPr="00EB08A6">
        <w:rPr>
          <w:sz w:val="27"/>
          <w:szCs w:val="26"/>
        </w:rPr>
        <w:t xml:space="preserve">.  </w:t>
      </w:r>
      <w:r w:rsidR="00F8600E" w:rsidRPr="00EB08A6">
        <w:rPr>
          <w:sz w:val="27"/>
          <w:szCs w:val="26"/>
        </w:rPr>
        <w:t>I</w:t>
      </w:r>
      <w:r w:rsidR="001E5334" w:rsidRPr="00EB08A6">
        <w:rPr>
          <w:sz w:val="27"/>
          <w:szCs w:val="26"/>
        </w:rPr>
        <w:t xml:space="preserve">t is </w:t>
      </w:r>
      <w:r w:rsidR="00F8600E" w:rsidRPr="00EB08A6">
        <w:rPr>
          <w:sz w:val="27"/>
          <w:szCs w:val="26"/>
        </w:rPr>
        <w:t xml:space="preserve">also </w:t>
      </w:r>
      <w:r w:rsidR="001E5334" w:rsidRPr="00EB08A6">
        <w:rPr>
          <w:sz w:val="27"/>
          <w:szCs w:val="26"/>
        </w:rPr>
        <w:t>impossible to require specific performance criteria</w:t>
      </w:r>
      <w:r w:rsidR="00192FAE" w:rsidRPr="00EB08A6">
        <w:rPr>
          <w:sz w:val="27"/>
          <w:szCs w:val="26"/>
        </w:rPr>
        <w:t>,</w:t>
      </w:r>
      <w:r w:rsidR="001E5334" w:rsidRPr="00EB08A6">
        <w:rPr>
          <w:sz w:val="27"/>
          <w:szCs w:val="26"/>
        </w:rPr>
        <w:t xml:space="preserve"> given </w:t>
      </w:r>
      <w:r w:rsidR="00F40C17" w:rsidRPr="00EB08A6">
        <w:rPr>
          <w:sz w:val="27"/>
          <w:szCs w:val="26"/>
        </w:rPr>
        <w:t xml:space="preserve">that </w:t>
      </w:r>
      <w:r w:rsidR="001E5334" w:rsidRPr="00EB08A6">
        <w:rPr>
          <w:sz w:val="27"/>
          <w:szCs w:val="26"/>
        </w:rPr>
        <w:t>the type, size, model, and efficiency levels of the HVAC systems being installed</w:t>
      </w:r>
      <w:r w:rsidR="00F40C17" w:rsidRPr="00EB08A6">
        <w:rPr>
          <w:sz w:val="27"/>
          <w:szCs w:val="26"/>
        </w:rPr>
        <w:t xml:space="preserve"> in these future projects</w:t>
      </w:r>
      <w:r w:rsidR="001E5334" w:rsidRPr="00EB08A6">
        <w:rPr>
          <w:sz w:val="27"/>
          <w:szCs w:val="26"/>
        </w:rPr>
        <w:t xml:space="preserve"> are unknown.  Given the uncertainty of these future proposed projects, the language “</w:t>
      </w:r>
      <w:r w:rsidR="00793A09" w:rsidRPr="00EB08A6">
        <w:rPr>
          <w:sz w:val="27"/>
          <w:szCs w:val="26"/>
        </w:rPr>
        <w:t> ‘</w:t>
      </w:r>
      <w:proofErr w:type="spellStart"/>
      <w:r w:rsidR="001E5334" w:rsidRPr="00EB08A6">
        <w:rPr>
          <w:sz w:val="27"/>
          <w:szCs w:val="26"/>
        </w:rPr>
        <w:t>PremAir</w:t>
      </w:r>
      <w:proofErr w:type="spellEnd"/>
      <w:r w:rsidR="001E5334" w:rsidRPr="00EB08A6">
        <w:rPr>
          <w:sz w:val="27"/>
          <w:szCs w:val="26"/>
        </w:rPr>
        <w:t xml:space="preserve"> or similar catalyst system</w:t>
      </w:r>
      <w:r w:rsidR="00793A09" w:rsidRPr="00EB08A6">
        <w:rPr>
          <w:sz w:val="27"/>
          <w:szCs w:val="26"/>
        </w:rPr>
        <w:t>’ </w:t>
      </w:r>
      <w:r w:rsidR="001E5334" w:rsidRPr="00EB08A6">
        <w:rPr>
          <w:sz w:val="27"/>
          <w:szCs w:val="26"/>
        </w:rPr>
        <w:t xml:space="preserve">” is sufficient under CEQA to provide an enforceable mitigation measure for any HVAC systems associated with those projects. </w:t>
      </w:r>
    </w:p>
    <w:p w:rsidR="00D341F3" w:rsidRPr="00EB08A6" w:rsidRDefault="00E27E7F" w:rsidP="009E0DE1">
      <w:pPr>
        <w:pStyle w:val="NormalWeb"/>
        <w:shd w:val="clear" w:color="auto" w:fill="FFFFFF"/>
        <w:spacing w:before="0" w:beforeAutospacing="0" w:afterAutospacing="0"/>
        <w:ind w:firstLine="720"/>
        <w:textAlignment w:val="baseline"/>
        <w:rPr>
          <w:sz w:val="27"/>
          <w:szCs w:val="26"/>
        </w:rPr>
      </w:pPr>
      <w:r w:rsidRPr="00EB08A6">
        <w:rPr>
          <w:sz w:val="27"/>
          <w:szCs w:val="26"/>
        </w:rPr>
        <w:t>T</w:t>
      </w:r>
      <w:r w:rsidR="0034752E" w:rsidRPr="00EB08A6">
        <w:rPr>
          <w:sz w:val="27"/>
          <w:szCs w:val="26"/>
        </w:rPr>
        <w:t xml:space="preserve">he Court of Appeal </w:t>
      </w:r>
      <w:r w:rsidRPr="00EB08A6">
        <w:rPr>
          <w:sz w:val="27"/>
          <w:szCs w:val="26"/>
        </w:rPr>
        <w:t xml:space="preserve">similarly found </w:t>
      </w:r>
      <w:r w:rsidR="00793A09" w:rsidRPr="00EB08A6">
        <w:rPr>
          <w:sz w:val="27"/>
          <w:szCs w:val="26"/>
        </w:rPr>
        <w:t xml:space="preserve">that </w:t>
      </w:r>
      <w:r w:rsidR="00713091" w:rsidRPr="00EB08A6">
        <w:rPr>
          <w:sz w:val="27"/>
          <w:szCs w:val="26"/>
        </w:rPr>
        <w:t xml:space="preserve">the mitigation measure requiring </w:t>
      </w:r>
      <w:r w:rsidR="002D695C" w:rsidRPr="00EB08A6">
        <w:rPr>
          <w:sz w:val="27"/>
          <w:szCs w:val="26"/>
        </w:rPr>
        <w:t>trees be selected</w:t>
      </w:r>
      <w:r w:rsidR="00713091" w:rsidRPr="00EB08A6">
        <w:rPr>
          <w:sz w:val="27"/>
          <w:szCs w:val="26"/>
        </w:rPr>
        <w:t xml:space="preserve"> to provide shade did not specify the </w:t>
      </w:r>
      <w:r w:rsidR="00F14C5D" w:rsidRPr="00EB08A6">
        <w:rPr>
          <w:sz w:val="27"/>
          <w:szCs w:val="26"/>
        </w:rPr>
        <w:t>person</w:t>
      </w:r>
      <w:r w:rsidR="00793A09" w:rsidRPr="00EB08A6">
        <w:rPr>
          <w:sz w:val="27"/>
          <w:szCs w:val="26"/>
        </w:rPr>
        <w:t>(s)</w:t>
      </w:r>
      <w:r w:rsidR="00F14C5D" w:rsidRPr="00EB08A6">
        <w:rPr>
          <w:sz w:val="27"/>
          <w:szCs w:val="26"/>
        </w:rPr>
        <w:t xml:space="preserve"> responsible for </w:t>
      </w:r>
      <w:r w:rsidR="00713091" w:rsidRPr="00EB08A6">
        <w:rPr>
          <w:sz w:val="27"/>
          <w:szCs w:val="26"/>
        </w:rPr>
        <w:t xml:space="preserve">selecting which trees to </w:t>
      </w:r>
      <w:r w:rsidR="00BD5A68" w:rsidRPr="00EB08A6">
        <w:rPr>
          <w:sz w:val="27"/>
          <w:szCs w:val="26"/>
        </w:rPr>
        <w:t>plant</w:t>
      </w:r>
      <w:r w:rsidR="00713091" w:rsidRPr="00EB08A6">
        <w:rPr>
          <w:sz w:val="27"/>
          <w:szCs w:val="26"/>
        </w:rPr>
        <w:t xml:space="preserve">.  </w:t>
      </w:r>
      <w:r w:rsidR="00D341F3" w:rsidRPr="00EB08A6">
        <w:rPr>
          <w:sz w:val="27"/>
          <w:szCs w:val="26"/>
        </w:rPr>
        <w:t xml:space="preserve">The measure </w:t>
      </w:r>
      <w:r w:rsidR="00F14C5D" w:rsidRPr="00EB08A6">
        <w:rPr>
          <w:sz w:val="27"/>
          <w:szCs w:val="26"/>
        </w:rPr>
        <w:t xml:space="preserve">instructs that </w:t>
      </w:r>
      <w:r w:rsidR="00D341F3" w:rsidRPr="00EB08A6">
        <w:rPr>
          <w:sz w:val="27"/>
          <w:szCs w:val="26"/>
        </w:rPr>
        <w:t>“</w:t>
      </w:r>
      <w:r w:rsidR="00793A09" w:rsidRPr="00EB08A6">
        <w:rPr>
          <w:sz w:val="27"/>
          <w:szCs w:val="26"/>
        </w:rPr>
        <w:t> ‘</w:t>
      </w:r>
      <w:r w:rsidR="00D341F3" w:rsidRPr="00EB08A6">
        <w:rPr>
          <w:sz w:val="27"/>
          <w:szCs w:val="26"/>
        </w:rPr>
        <w:t>[t]</w:t>
      </w:r>
      <w:proofErr w:type="spellStart"/>
      <w:r w:rsidR="00D341F3" w:rsidRPr="00EB08A6">
        <w:rPr>
          <w:sz w:val="27"/>
          <w:szCs w:val="26"/>
        </w:rPr>
        <w:t>rees</w:t>
      </w:r>
      <w:proofErr w:type="spellEnd"/>
      <w:r w:rsidR="00D341F3" w:rsidRPr="00EB08A6">
        <w:rPr>
          <w:sz w:val="27"/>
          <w:szCs w:val="26"/>
        </w:rPr>
        <w:t xml:space="preserve"> selected to shade paved areas should be varieties that will shade 25% of the paved area within 20 years.</w:t>
      </w:r>
      <w:r w:rsidR="00793A09" w:rsidRPr="00EB08A6">
        <w:rPr>
          <w:sz w:val="27"/>
          <w:szCs w:val="26"/>
        </w:rPr>
        <w:t>’ </w:t>
      </w:r>
      <w:r w:rsidR="00D341F3" w:rsidRPr="00EB08A6">
        <w:rPr>
          <w:sz w:val="27"/>
          <w:szCs w:val="26"/>
        </w:rPr>
        <w:t xml:space="preserve">” </w:t>
      </w:r>
      <w:r w:rsidR="00EB43DE" w:rsidRPr="00EB08A6">
        <w:rPr>
          <w:sz w:val="27"/>
          <w:szCs w:val="26"/>
        </w:rPr>
        <w:t xml:space="preserve"> </w:t>
      </w:r>
      <w:r w:rsidR="00616320" w:rsidRPr="00EB08A6">
        <w:rPr>
          <w:sz w:val="27"/>
          <w:szCs w:val="26"/>
        </w:rPr>
        <w:t>T</w:t>
      </w:r>
      <w:r w:rsidR="00D341F3" w:rsidRPr="00EB08A6">
        <w:rPr>
          <w:sz w:val="27"/>
          <w:szCs w:val="26"/>
        </w:rPr>
        <w:t>h</w:t>
      </w:r>
      <w:r w:rsidR="00F14C5D" w:rsidRPr="00EB08A6">
        <w:rPr>
          <w:sz w:val="27"/>
          <w:szCs w:val="26"/>
        </w:rPr>
        <w:t>e</w:t>
      </w:r>
      <w:r w:rsidR="00D341F3" w:rsidRPr="00EB08A6">
        <w:rPr>
          <w:sz w:val="27"/>
          <w:szCs w:val="26"/>
        </w:rPr>
        <w:t xml:space="preserve"> instruction provides sufficient </w:t>
      </w:r>
      <w:r w:rsidR="00F14C5D" w:rsidRPr="00EB08A6">
        <w:rPr>
          <w:sz w:val="27"/>
          <w:szCs w:val="26"/>
        </w:rPr>
        <w:t>guidance for selecting appropriate shade trees</w:t>
      </w:r>
      <w:r w:rsidR="00615A8A" w:rsidRPr="00EB08A6">
        <w:rPr>
          <w:sz w:val="27"/>
          <w:szCs w:val="26"/>
        </w:rPr>
        <w:t xml:space="preserve">.  </w:t>
      </w:r>
      <w:r w:rsidR="00793A09" w:rsidRPr="00EB08A6">
        <w:rPr>
          <w:sz w:val="27"/>
          <w:szCs w:val="26"/>
        </w:rPr>
        <w:t xml:space="preserve">Any plan that </w:t>
      </w:r>
      <w:r w:rsidR="00D341F3" w:rsidRPr="00EB08A6">
        <w:rPr>
          <w:sz w:val="27"/>
          <w:szCs w:val="26"/>
        </w:rPr>
        <w:t xml:space="preserve">the </w:t>
      </w:r>
      <w:r w:rsidR="006B6A11" w:rsidRPr="00EB08A6">
        <w:rPr>
          <w:sz w:val="27"/>
          <w:szCs w:val="26"/>
        </w:rPr>
        <w:t>C</w:t>
      </w:r>
      <w:r w:rsidR="00D341F3" w:rsidRPr="00EB08A6">
        <w:rPr>
          <w:sz w:val="27"/>
          <w:szCs w:val="26"/>
        </w:rPr>
        <w:t xml:space="preserve">ounty </w:t>
      </w:r>
      <w:r w:rsidR="00793A09" w:rsidRPr="00EB08A6">
        <w:rPr>
          <w:sz w:val="27"/>
          <w:szCs w:val="26"/>
        </w:rPr>
        <w:t xml:space="preserve">approves </w:t>
      </w:r>
      <w:r w:rsidR="00D341F3" w:rsidRPr="00EB08A6">
        <w:rPr>
          <w:sz w:val="27"/>
          <w:szCs w:val="26"/>
        </w:rPr>
        <w:t>must</w:t>
      </w:r>
      <w:r w:rsidR="00007773" w:rsidRPr="00EB08A6">
        <w:rPr>
          <w:sz w:val="27"/>
          <w:szCs w:val="26"/>
        </w:rPr>
        <w:t xml:space="preserve"> be complete, </w:t>
      </w:r>
      <w:r w:rsidR="00793A09" w:rsidRPr="00EB08A6">
        <w:rPr>
          <w:sz w:val="27"/>
          <w:szCs w:val="26"/>
        </w:rPr>
        <w:t xml:space="preserve">and must contain </w:t>
      </w:r>
      <w:r w:rsidR="00D341F3" w:rsidRPr="00EB08A6">
        <w:rPr>
          <w:sz w:val="27"/>
          <w:szCs w:val="26"/>
        </w:rPr>
        <w:t xml:space="preserve">information about the trees </w:t>
      </w:r>
      <w:r w:rsidR="00007773" w:rsidRPr="00EB08A6">
        <w:rPr>
          <w:sz w:val="27"/>
          <w:szCs w:val="26"/>
        </w:rPr>
        <w:t>selected</w:t>
      </w:r>
      <w:r w:rsidR="00D341F3" w:rsidRPr="00EB08A6">
        <w:rPr>
          <w:sz w:val="27"/>
          <w:szCs w:val="26"/>
        </w:rPr>
        <w:t xml:space="preserve"> for this mitigation measure.  </w:t>
      </w:r>
      <w:r w:rsidR="00BD5A68" w:rsidRPr="00EB08A6">
        <w:rPr>
          <w:sz w:val="27"/>
          <w:szCs w:val="26"/>
        </w:rPr>
        <w:t xml:space="preserve">It seems clear that </w:t>
      </w:r>
      <w:r w:rsidR="00D341F3" w:rsidRPr="00EB08A6">
        <w:rPr>
          <w:sz w:val="27"/>
          <w:szCs w:val="26"/>
        </w:rPr>
        <w:t xml:space="preserve">the </w:t>
      </w:r>
      <w:r w:rsidR="00F14C5D" w:rsidRPr="00EB08A6">
        <w:rPr>
          <w:sz w:val="27"/>
          <w:szCs w:val="26"/>
        </w:rPr>
        <w:t>person</w:t>
      </w:r>
      <w:r w:rsidR="00793A09" w:rsidRPr="00EB08A6">
        <w:rPr>
          <w:sz w:val="27"/>
          <w:szCs w:val="26"/>
        </w:rPr>
        <w:t>(s)</w:t>
      </w:r>
      <w:r w:rsidR="00D341F3" w:rsidRPr="00EB08A6">
        <w:rPr>
          <w:sz w:val="27"/>
          <w:szCs w:val="26"/>
        </w:rPr>
        <w:t xml:space="preserve"> selecting the trees would be the individual</w:t>
      </w:r>
      <w:r w:rsidR="00793A09" w:rsidRPr="00EB08A6">
        <w:rPr>
          <w:sz w:val="27"/>
          <w:szCs w:val="26"/>
        </w:rPr>
        <w:t>s</w:t>
      </w:r>
      <w:r w:rsidR="00D341F3" w:rsidRPr="00EB08A6">
        <w:rPr>
          <w:sz w:val="27"/>
          <w:szCs w:val="26"/>
        </w:rPr>
        <w:t xml:space="preserve"> or </w:t>
      </w:r>
      <w:r w:rsidR="00BD5A68" w:rsidRPr="00EB08A6">
        <w:rPr>
          <w:sz w:val="27"/>
          <w:szCs w:val="26"/>
        </w:rPr>
        <w:t>entity</w:t>
      </w:r>
      <w:r w:rsidR="00D341F3" w:rsidRPr="00EB08A6">
        <w:rPr>
          <w:sz w:val="27"/>
          <w:szCs w:val="26"/>
        </w:rPr>
        <w:t xml:space="preserve"> submitting the plan</w:t>
      </w:r>
      <w:r w:rsidR="00707D5D" w:rsidRPr="00EB08A6">
        <w:rPr>
          <w:sz w:val="27"/>
          <w:szCs w:val="26"/>
        </w:rPr>
        <w:t>s</w:t>
      </w:r>
      <w:r w:rsidR="00D341F3" w:rsidRPr="00EB08A6">
        <w:rPr>
          <w:sz w:val="27"/>
          <w:szCs w:val="26"/>
        </w:rPr>
        <w:t xml:space="preserve"> to the </w:t>
      </w:r>
      <w:r w:rsidR="006B6A11" w:rsidRPr="00EB08A6">
        <w:rPr>
          <w:sz w:val="27"/>
          <w:szCs w:val="26"/>
        </w:rPr>
        <w:t>C</w:t>
      </w:r>
      <w:r w:rsidR="00D341F3" w:rsidRPr="00EB08A6">
        <w:rPr>
          <w:sz w:val="27"/>
          <w:szCs w:val="26"/>
        </w:rPr>
        <w:t>ounty for approval.  The measure is not vague</w:t>
      </w:r>
      <w:r w:rsidR="00BD5A68" w:rsidRPr="00EB08A6">
        <w:rPr>
          <w:sz w:val="27"/>
          <w:szCs w:val="26"/>
        </w:rPr>
        <w:t>.</w:t>
      </w:r>
      <w:r w:rsidR="00D341F3" w:rsidRPr="00EB08A6">
        <w:rPr>
          <w:sz w:val="27"/>
          <w:szCs w:val="26"/>
        </w:rPr>
        <w:t xml:space="preserve"> </w:t>
      </w:r>
    </w:p>
    <w:p w:rsidR="00007773" w:rsidRPr="00EB08A6" w:rsidRDefault="00707D5D" w:rsidP="009E0DE1">
      <w:pPr>
        <w:ind w:firstLine="720"/>
        <w:rPr>
          <w:szCs w:val="26"/>
        </w:rPr>
      </w:pPr>
      <w:r w:rsidRPr="00EB08A6">
        <w:rPr>
          <w:szCs w:val="26"/>
        </w:rPr>
        <w:t>I</w:t>
      </w:r>
      <w:r w:rsidR="00007773" w:rsidRPr="00EB08A6">
        <w:rPr>
          <w:szCs w:val="26"/>
        </w:rPr>
        <w:t>n finding the</w:t>
      </w:r>
      <w:r w:rsidRPr="00EB08A6">
        <w:rPr>
          <w:szCs w:val="26"/>
        </w:rPr>
        <w:t xml:space="preserve"> mitigation</w:t>
      </w:r>
      <w:r w:rsidR="00007773" w:rsidRPr="00EB08A6">
        <w:rPr>
          <w:szCs w:val="26"/>
        </w:rPr>
        <w:t xml:space="preserve"> measures </w:t>
      </w:r>
      <w:r w:rsidR="00793A09" w:rsidRPr="00EB08A6">
        <w:rPr>
          <w:szCs w:val="26"/>
        </w:rPr>
        <w:t xml:space="preserve">cannot be enforced </w:t>
      </w:r>
      <w:r w:rsidR="00007773" w:rsidRPr="00EB08A6">
        <w:rPr>
          <w:szCs w:val="26"/>
        </w:rPr>
        <w:t>through permit condition</w:t>
      </w:r>
      <w:r w:rsidR="00793A09" w:rsidRPr="00EB08A6">
        <w:rPr>
          <w:szCs w:val="26"/>
        </w:rPr>
        <w:t>s</w:t>
      </w:r>
      <w:r w:rsidR="00007773" w:rsidRPr="00EB08A6">
        <w:rPr>
          <w:szCs w:val="26"/>
        </w:rPr>
        <w:t>, agreement</w:t>
      </w:r>
      <w:r w:rsidR="00793A09" w:rsidRPr="00EB08A6">
        <w:rPr>
          <w:szCs w:val="26"/>
        </w:rPr>
        <w:t>s</w:t>
      </w:r>
      <w:r w:rsidR="00192FAE" w:rsidRPr="00EB08A6">
        <w:rPr>
          <w:szCs w:val="26"/>
        </w:rPr>
        <w:t>,</w:t>
      </w:r>
      <w:r w:rsidR="00007773" w:rsidRPr="00EB08A6">
        <w:rPr>
          <w:szCs w:val="26"/>
        </w:rPr>
        <w:t xml:space="preserve"> or other measure</w:t>
      </w:r>
      <w:r w:rsidR="00793A09" w:rsidRPr="00EB08A6">
        <w:rPr>
          <w:szCs w:val="26"/>
        </w:rPr>
        <w:t>s</w:t>
      </w:r>
      <w:r w:rsidR="00007773" w:rsidRPr="00EB08A6">
        <w:rPr>
          <w:szCs w:val="26"/>
        </w:rPr>
        <w:t xml:space="preserve">, </w:t>
      </w:r>
      <w:r w:rsidRPr="00EB08A6">
        <w:rPr>
          <w:szCs w:val="26"/>
        </w:rPr>
        <w:t xml:space="preserve">the Court of Appeal </w:t>
      </w:r>
      <w:r w:rsidR="00C82CA1" w:rsidRPr="00EB08A6">
        <w:rPr>
          <w:szCs w:val="26"/>
        </w:rPr>
        <w:t xml:space="preserve">also </w:t>
      </w:r>
      <w:r w:rsidR="00007773" w:rsidRPr="00EB08A6">
        <w:rPr>
          <w:szCs w:val="26"/>
        </w:rPr>
        <w:t>misinterpret</w:t>
      </w:r>
      <w:r w:rsidRPr="00EB08A6">
        <w:rPr>
          <w:szCs w:val="26"/>
        </w:rPr>
        <w:t>ed</w:t>
      </w:r>
      <w:r w:rsidR="00007773" w:rsidRPr="00EB08A6">
        <w:rPr>
          <w:szCs w:val="26"/>
        </w:rPr>
        <w:t xml:space="preserve"> section 21081.6</w:t>
      </w:r>
      <w:r w:rsidR="00044B89" w:rsidRPr="00EB08A6">
        <w:rPr>
          <w:szCs w:val="26"/>
        </w:rPr>
        <w:t xml:space="preserve">, subdivision </w:t>
      </w:r>
      <w:r w:rsidR="00007773" w:rsidRPr="00EB08A6">
        <w:rPr>
          <w:szCs w:val="26"/>
        </w:rPr>
        <w:t>(b)</w:t>
      </w:r>
      <w:r w:rsidRPr="00EB08A6">
        <w:rPr>
          <w:szCs w:val="26"/>
        </w:rPr>
        <w:t xml:space="preserve"> and it</w:t>
      </w:r>
      <w:r w:rsidR="00044B89" w:rsidRPr="00EB08A6">
        <w:rPr>
          <w:szCs w:val="26"/>
        </w:rPr>
        <w:t xml:space="preserve">s significant effects provision, which provides that a public agency may set forth conditions of project approval required to avoid significant effects in “referenced documents which address </w:t>
      </w:r>
      <w:r w:rsidR="004F78B3" w:rsidRPr="00EB08A6">
        <w:rPr>
          <w:szCs w:val="26"/>
        </w:rPr>
        <w:t>[</w:t>
      </w:r>
      <w:r w:rsidR="00044B89" w:rsidRPr="00EB08A6">
        <w:rPr>
          <w:szCs w:val="26"/>
        </w:rPr>
        <w:t>or incorporate the</w:t>
      </w:r>
      <w:r w:rsidR="004F78B3" w:rsidRPr="00EB08A6">
        <w:rPr>
          <w:szCs w:val="26"/>
        </w:rPr>
        <w:t>]</w:t>
      </w:r>
      <w:r w:rsidR="00044B89" w:rsidRPr="00EB08A6">
        <w:rPr>
          <w:szCs w:val="26"/>
        </w:rPr>
        <w:t xml:space="preserve"> required mitigation measures</w:t>
      </w:r>
      <w:r w:rsidR="002E5AC0" w:rsidRPr="00EB08A6">
        <w:rPr>
          <w:szCs w:val="26"/>
        </w:rPr>
        <w:t> . . .</w:t>
      </w:r>
      <w:r w:rsidR="00044B89" w:rsidRPr="00EB08A6">
        <w:rPr>
          <w:szCs w:val="26"/>
        </w:rPr>
        <w:t xml:space="preserve"> into the plan.”</w:t>
      </w:r>
      <w:r w:rsidR="00007773" w:rsidRPr="00EB08A6">
        <w:rPr>
          <w:szCs w:val="26"/>
        </w:rPr>
        <w:t xml:space="preserve"> </w:t>
      </w:r>
      <w:r w:rsidR="00EC39C3" w:rsidRPr="00EB08A6">
        <w:rPr>
          <w:szCs w:val="26"/>
        </w:rPr>
        <w:t xml:space="preserve"> </w:t>
      </w:r>
      <w:r w:rsidR="0017455C" w:rsidRPr="00EB08A6">
        <w:rPr>
          <w:szCs w:val="26"/>
        </w:rPr>
        <w:t>(</w:t>
      </w:r>
      <w:r w:rsidR="00EC39C3" w:rsidRPr="00EB08A6">
        <w:rPr>
          <w:color w:val="000000"/>
          <w:szCs w:val="26"/>
        </w:rPr>
        <w:t>§ 21081.6, subd. (b).)</w:t>
      </w:r>
      <w:r w:rsidR="0017455C" w:rsidRPr="00EB08A6">
        <w:rPr>
          <w:szCs w:val="26"/>
        </w:rPr>
        <w:t xml:space="preserve"> </w:t>
      </w:r>
      <w:r w:rsidR="00EC39C3" w:rsidRPr="00EB08A6">
        <w:rPr>
          <w:szCs w:val="26"/>
        </w:rPr>
        <w:t xml:space="preserve"> </w:t>
      </w:r>
      <w:r w:rsidR="00C82CA1" w:rsidRPr="00EB08A6">
        <w:rPr>
          <w:szCs w:val="26"/>
        </w:rPr>
        <w:t xml:space="preserve">The Project’s </w:t>
      </w:r>
      <w:r w:rsidR="002E5AC0" w:rsidRPr="00EB08A6">
        <w:rPr>
          <w:szCs w:val="26"/>
        </w:rPr>
        <w:t>MMP</w:t>
      </w:r>
      <w:r w:rsidR="00C82CA1" w:rsidRPr="00EB08A6">
        <w:rPr>
          <w:szCs w:val="26"/>
        </w:rPr>
        <w:t xml:space="preserve"> places the burden of enforcement on the County to “ensure that all construction plans and project operations conform to the conditions of the mitigated project.”  The Specific Plan additionally states that “The County shall monitor compliance with the Specific Plan and mitigation measures,” and </w:t>
      </w:r>
      <w:r w:rsidR="00075ED4" w:rsidRPr="00EB08A6">
        <w:rPr>
          <w:szCs w:val="26"/>
        </w:rPr>
        <w:t xml:space="preserve">it </w:t>
      </w:r>
      <w:r w:rsidR="00C82CA1" w:rsidRPr="00EB08A6">
        <w:rPr>
          <w:szCs w:val="26"/>
        </w:rPr>
        <w:t>provides the stages of planning at which certain mitigation measures must be complete</w:t>
      </w:r>
      <w:r w:rsidR="004D4E82" w:rsidRPr="00EB08A6">
        <w:rPr>
          <w:szCs w:val="26"/>
        </w:rPr>
        <w:t>d</w:t>
      </w:r>
      <w:r w:rsidR="00C82CA1" w:rsidRPr="00EB08A6">
        <w:rPr>
          <w:szCs w:val="26"/>
        </w:rPr>
        <w:t>.</w:t>
      </w:r>
      <w:r w:rsidR="004D4E82" w:rsidRPr="00EB08A6">
        <w:rPr>
          <w:szCs w:val="26"/>
        </w:rPr>
        <w:t xml:space="preserve">  </w:t>
      </w:r>
      <w:r w:rsidR="00C82CA1" w:rsidRPr="00EB08A6">
        <w:rPr>
          <w:szCs w:val="26"/>
        </w:rPr>
        <w:t>These measures are not vague as to how they will be enforced; the County will enforce them during the approval process of futu</w:t>
      </w:r>
      <w:r w:rsidR="0050739A" w:rsidRPr="00EB08A6">
        <w:rPr>
          <w:szCs w:val="26"/>
        </w:rPr>
        <w:t>re nonresidential development.</w:t>
      </w:r>
      <w:r w:rsidR="0050739A" w:rsidRPr="00EB08A6">
        <w:rPr>
          <w:rStyle w:val="FootnoteReference"/>
          <w:szCs w:val="26"/>
        </w:rPr>
        <w:footnoteReference w:id="8"/>
      </w:r>
      <w:r w:rsidR="009C3C9E" w:rsidRPr="00EB08A6">
        <w:rPr>
          <w:szCs w:val="26"/>
        </w:rPr>
        <w:t xml:space="preserve">  Indeed, i</w:t>
      </w:r>
      <w:r w:rsidR="00A84514" w:rsidRPr="00EB08A6">
        <w:rPr>
          <w:szCs w:val="26"/>
        </w:rPr>
        <w:t xml:space="preserve">f the </w:t>
      </w:r>
      <w:r w:rsidR="00044B89" w:rsidRPr="00EB08A6">
        <w:rPr>
          <w:szCs w:val="26"/>
        </w:rPr>
        <w:t>C</w:t>
      </w:r>
      <w:r w:rsidR="00A84514" w:rsidRPr="00EB08A6">
        <w:rPr>
          <w:szCs w:val="26"/>
        </w:rPr>
        <w:t>ounty were to approve a project that did not include a feasible mitigation measure</w:t>
      </w:r>
      <w:r w:rsidR="000A4B41" w:rsidRPr="00EB08A6">
        <w:rPr>
          <w:szCs w:val="26"/>
        </w:rPr>
        <w:t xml:space="preserve">, such approval </w:t>
      </w:r>
      <w:r w:rsidR="00A84514" w:rsidRPr="00EB08A6">
        <w:rPr>
          <w:szCs w:val="26"/>
        </w:rPr>
        <w:t xml:space="preserve">would amount to an abuse of discretion, which </w:t>
      </w:r>
      <w:r w:rsidR="00D34C87" w:rsidRPr="00EB08A6">
        <w:rPr>
          <w:szCs w:val="26"/>
        </w:rPr>
        <w:t xml:space="preserve">could </w:t>
      </w:r>
      <w:r w:rsidR="00A84514" w:rsidRPr="00EB08A6">
        <w:rPr>
          <w:szCs w:val="26"/>
        </w:rPr>
        <w:t xml:space="preserve">be corrected in </w:t>
      </w:r>
      <w:r w:rsidRPr="00EB08A6">
        <w:rPr>
          <w:szCs w:val="26"/>
        </w:rPr>
        <w:t xml:space="preserve">a court mandamus proceeding. </w:t>
      </w:r>
      <w:r w:rsidR="00A84514" w:rsidRPr="00EB08A6">
        <w:rPr>
          <w:szCs w:val="26"/>
        </w:rPr>
        <w:t xml:space="preserve"> (See </w:t>
      </w:r>
      <w:r w:rsidR="00007773" w:rsidRPr="00EB08A6">
        <w:rPr>
          <w:i/>
          <w:szCs w:val="26"/>
        </w:rPr>
        <w:t>Rominger v</w:t>
      </w:r>
      <w:r w:rsidR="00B03A49" w:rsidRPr="00EB08A6">
        <w:rPr>
          <w:szCs w:val="26"/>
        </w:rPr>
        <w:t>.</w:t>
      </w:r>
      <w:r w:rsidR="00007773" w:rsidRPr="00EB08A6">
        <w:rPr>
          <w:i/>
          <w:szCs w:val="26"/>
        </w:rPr>
        <w:t xml:space="preserve"> County of Colusa </w:t>
      </w:r>
      <w:r w:rsidR="00007773" w:rsidRPr="00EB08A6">
        <w:rPr>
          <w:szCs w:val="26"/>
        </w:rPr>
        <w:t>(2014) 229 Cal.App.4th 690,</w:t>
      </w:r>
      <w:r w:rsidR="00A84514" w:rsidRPr="00EB08A6">
        <w:rPr>
          <w:szCs w:val="26"/>
        </w:rPr>
        <w:t xml:space="preserve"> 727</w:t>
      </w:r>
      <w:r w:rsidR="00007773" w:rsidRPr="00EB08A6">
        <w:rPr>
          <w:szCs w:val="26"/>
        </w:rPr>
        <w:t xml:space="preserve"> </w:t>
      </w:r>
      <w:r w:rsidR="00A84514" w:rsidRPr="00EB08A6">
        <w:rPr>
          <w:szCs w:val="26"/>
        </w:rPr>
        <w:t xml:space="preserve">[holding dust control mitigation measures left to the county’s discretion are enforceable through </w:t>
      </w:r>
      <w:r w:rsidR="00F6010B" w:rsidRPr="00EB08A6">
        <w:rPr>
          <w:szCs w:val="26"/>
        </w:rPr>
        <w:t xml:space="preserve">a judicial writ of mandamus]; </w:t>
      </w:r>
      <w:r w:rsidR="00BD5A68" w:rsidRPr="00EB08A6">
        <w:rPr>
          <w:szCs w:val="26"/>
        </w:rPr>
        <w:t>s</w:t>
      </w:r>
      <w:r w:rsidR="00F6010B" w:rsidRPr="00EB08A6">
        <w:rPr>
          <w:szCs w:val="26"/>
        </w:rPr>
        <w:t>ee also,</w:t>
      </w:r>
      <w:r w:rsidR="00007773" w:rsidRPr="00EB08A6">
        <w:rPr>
          <w:szCs w:val="26"/>
        </w:rPr>
        <w:t xml:space="preserve"> </w:t>
      </w:r>
      <w:r w:rsidR="00F6010B" w:rsidRPr="00EB08A6">
        <w:rPr>
          <w:szCs w:val="26"/>
        </w:rPr>
        <w:t xml:space="preserve">e.g., </w:t>
      </w:r>
      <w:r w:rsidR="00F6010B" w:rsidRPr="00EB08A6">
        <w:rPr>
          <w:i/>
          <w:iCs/>
          <w:szCs w:val="26"/>
        </w:rPr>
        <w:t>California Oak Foundation v</w:t>
      </w:r>
      <w:r w:rsidR="00B03A49" w:rsidRPr="00EB08A6">
        <w:rPr>
          <w:iCs/>
          <w:szCs w:val="26"/>
        </w:rPr>
        <w:t>.</w:t>
      </w:r>
      <w:r w:rsidR="00F6010B" w:rsidRPr="00EB08A6">
        <w:rPr>
          <w:i/>
          <w:iCs/>
          <w:szCs w:val="26"/>
        </w:rPr>
        <w:t xml:space="preserve"> Regents of University of California</w:t>
      </w:r>
      <w:r w:rsidR="00F6010B" w:rsidRPr="00EB08A6">
        <w:rPr>
          <w:szCs w:val="26"/>
        </w:rPr>
        <w:t xml:space="preserve"> (2010) 188 Cal.App.4th 227, 247.)</w:t>
      </w:r>
    </w:p>
    <w:p w:rsidR="00F14C5D" w:rsidRPr="00EB08A6" w:rsidRDefault="009E0DE1" w:rsidP="009E0DE1">
      <w:pPr>
        <w:tabs>
          <w:tab w:val="left" w:pos="1440"/>
        </w:tabs>
        <w:rPr>
          <w:caps/>
          <w:szCs w:val="26"/>
        </w:rPr>
      </w:pPr>
      <w:r>
        <w:rPr>
          <w:szCs w:val="26"/>
        </w:rPr>
        <w:tab/>
      </w:r>
      <w:r>
        <w:rPr>
          <w:szCs w:val="26"/>
        </w:rPr>
        <w:tab/>
      </w:r>
      <w:r>
        <w:rPr>
          <w:szCs w:val="26"/>
        </w:rPr>
        <w:tab/>
      </w:r>
      <w:r w:rsidR="005A73DB" w:rsidRPr="00EB08A6">
        <w:rPr>
          <w:szCs w:val="26"/>
        </w:rPr>
        <w:t>C</w:t>
      </w:r>
      <w:r w:rsidR="00626A03" w:rsidRPr="00EB08A6">
        <w:rPr>
          <w:caps/>
          <w:szCs w:val="26"/>
        </w:rPr>
        <w:t>onclusion</w:t>
      </w:r>
    </w:p>
    <w:p w:rsidR="00B94ADF" w:rsidRPr="00EB08A6" w:rsidRDefault="00B94ADF" w:rsidP="009E0DE1">
      <w:pPr>
        <w:tabs>
          <w:tab w:val="left" w:pos="1440"/>
        </w:tabs>
        <w:ind w:firstLine="720"/>
        <w:rPr>
          <w:color w:val="000000"/>
          <w:szCs w:val="26"/>
        </w:rPr>
      </w:pPr>
      <w:r w:rsidRPr="00EB08A6">
        <w:t xml:space="preserve">In our view, the EIR’s air quality impacts discussion and its </w:t>
      </w:r>
      <w:r w:rsidRPr="00EB08A6">
        <w:rPr>
          <w:szCs w:val="26"/>
        </w:rPr>
        <w:t>mitigation measures meet CEQA requirements for specificity and enforceability</w:t>
      </w:r>
      <w:r w:rsidR="0058098A" w:rsidRPr="00EB08A6">
        <w:rPr>
          <w:szCs w:val="26"/>
        </w:rPr>
        <w:t xml:space="preserve"> with </w:t>
      </w:r>
      <w:r w:rsidR="00E03AC8" w:rsidRPr="00EB08A6">
        <w:rPr>
          <w:szCs w:val="26"/>
        </w:rPr>
        <w:t xml:space="preserve">one </w:t>
      </w:r>
      <w:r w:rsidR="0058098A" w:rsidRPr="00EB08A6">
        <w:rPr>
          <w:szCs w:val="26"/>
        </w:rPr>
        <w:t>exception</w:t>
      </w:r>
      <w:r w:rsidR="003B7913" w:rsidRPr="00EB08A6">
        <w:rPr>
          <w:szCs w:val="26"/>
        </w:rPr>
        <w:t>:  T</w:t>
      </w:r>
      <w:r w:rsidR="00E03AC8" w:rsidRPr="00EB08A6">
        <w:rPr>
          <w:szCs w:val="26"/>
        </w:rPr>
        <w:t>he EIR fails to pro</w:t>
      </w:r>
      <w:r w:rsidR="006B42D9">
        <w:rPr>
          <w:szCs w:val="26"/>
        </w:rPr>
        <w:t>vide a</w:t>
      </w:r>
      <w:r w:rsidR="009B5FC4">
        <w:rPr>
          <w:szCs w:val="26"/>
        </w:rPr>
        <w:t xml:space="preserve">n adequate discussion of health and safety problems that will be caused by the </w:t>
      </w:r>
      <w:r w:rsidR="0058098A" w:rsidRPr="00EB08A6">
        <w:rPr>
          <w:szCs w:val="26"/>
        </w:rPr>
        <w:t xml:space="preserve">rise in </w:t>
      </w:r>
      <w:r w:rsidR="0019217A" w:rsidRPr="00EB08A6">
        <w:rPr>
          <w:szCs w:val="26"/>
        </w:rPr>
        <w:t xml:space="preserve">various pollutants </w:t>
      </w:r>
      <w:r w:rsidR="009B5FC4">
        <w:rPr>
          <w:szCs w:val="26"/>
        </w:rPr>
        <w:t>resulting from the Project’s development.</w:t>
      </w:r>
      <w:r w:rsidRPr="00EB08A6">
        <w:rPr>
          <w:szCs w:val="26"/>
        </w:rPr>
        <w:t xml:space="preserve"> </w:t>
      </w:r>
      <w:r w:rsidR="0058098A" w:rsidRPr="00EB08A6">
        <w:rPr>
          <w:szCs w:val="26"/>
        </w:rPr>
        <w:t xml:space="preserve"> </w:t>
      </w:r>
      <w:r w:rsidR="003B7913" w:rsidRPr="00EB08A6">
        <w:rPr>
          <w:szCs w:val="26"/>
        </w:rPr>
        <w:t xml:space="preserve">At this point, we </w:t>
      </w:r>
      <w:r w:rsidR="001E2454">
        <w:rPr>
          <w:szCs w:val="26"/>
        </w:rPr>
        <w:t>cannot know</w:t>
      </w:r>
      <w:r w:rsidR="003B7913" w:rsidRPr="00EB08A6">
        <w:rPr>
          <w:szCs w:val="26"/>
        </w:rPr>
        <w:t xml:space="preserve"> w</w:t>
      </w:r>
      <w:r w:rsidR="0058098A" w:rsidRPr="00EB08A6">
        <w:rPr>
          <w:szCs w:val="26"/>
        </w:rPr>
        <w:t xml:space="preserve">hether the </w:t>
      </w:r>
      <w:r w:rsidR="003B7913" w:rsidRPr="00EB08A6">
        <w:rPr>
          <w:szCs w:val="26"/>
        </w:rPr>
        <w:t xml:space="preserve">required </w:t>
      </w:r>
      <w:r w:rsidR="0058098A" w:rsidRPr="00EB08A6">
        <w:rPr>
          <w:szCs w:val="26"/>
        </w:rPr>
        <w:t xml:space="preserve">additional </w:t>
      </w:r>
      <w:r w:rsidR="00E03AC8" w:rsidRPr="00EB08A6">
        <w:rPr>
          <w:szCs w:val="26"/>
        </w:rPr>
        <w:t>analysis</w:t>
      </w:r>
      <w:r w:rsidR="0058098A" w:rsidRPr="00EB08A6">
        <w:rPr>
          <w:szCs w:val="26"/>
        </w:rPr>
        <w:t xml:space="preserve"> will </w:t>
      </w:r>
      <w:r w:rsidR="0004340C" w:rsidRPr="00EB08A6">
        <w:rPr>
          <w:szCs w:val="26"/>
        </w:rPr>
        <w:t xml:space="preserve">disclose that </w:t>
      </w:r>
      <w:r w:rsidRPr="00EB08A6">
        <w:rPr>
          <w:szCs w:val="26"/>
        </w:rPr>
        <w:t>the</w:t>
      </w:r>
      <w:r w:rsidR="000938B4" w:rsidRPr="00EB08A6">
        <w:rPr>
          <w:szCs w:val="26"/>
        </w:rPr>
        <w:t xml:space="preserve"> Project’s</w:t>
      </w:r>
      <w:r w:rsidRPr="00EB08A6">
        <w:rPr>
          <w:szCs w:val="26"/>
        </w:rPr>
        <w:t xml:space="preserve"> effects on air quality </w:t>
      </w:r>
      <w:r w:rsidR="0004340C" w:rsidRPr="00EB08A6">
        <w:rPr>
          <w:szCs w:val="26"/>
        </w:rPr>
        <w:t xml:space="preserve">are </w:t>
      </w:r>
      <w:r w:rsidRPr="00EB08A6">
        <w:rPr>
          <w:szCs w:val="26"/>
        </w:rPr>
        <w:t xml:space="preserve">less than significant </w:t>
      </w:r>
      <w:r w:rsidR="0004340C" w:rsidRPr="00EB08A6">
        <w:rPr>
          <w:szCs w:val="26"/>
        </w:rPr>
        <w:t xml:space="preserve">or </w:t>
      </w:r>
      <w:r w:rsidR="0058098A" w:rsidRPr="00EB08A6">
        <w:rPr>
          <w:color w:val="000000"/>
          <w:szCs w:val="26"/>
        </w:rPr>
        <w:t>unav</w:t>
      </w:r>
      <w:r w:rsidRPr="00EB08A6">
        <w:rPr>
          <w:color w:val="000000"/>
          <w:szCs w:val="26"/>
        </w:rPr>
        <w:t>oidable</w:t>
      </w:r>
      <w:r w:rsidR="00592434" w:rsidRPr="00EB08A6">
        <w:rPr>
          <w:color w:val="000000"/>
          <w:szCs w:val="26"/>
        </w:rPr>
        <w:t xml:space="preserve">, </w:t>
      </w:r>
      <w:r w:rsidR="003B7913" w:rsidRPr="00EB08A6">
        <w:rPr>
          <w:color w:val="000000"/>
          <w:szCs w:val="26"/>
        </w:rPr>
        <w:t>or</w:t>
      </w:r>
      <w:r w:rsidR="00592434" w:rsidRPr="00EB08A6">
        <w:rPr>
          <w:color w:val="000000"/>
          <w:szCs w:val="26"/>
        </w:rPr>
        <w:t xml:space="preserve"> whether that analysis </w:t>
      </w:r>
      <w:r w:rsidR="003B7913" w:rsidRPr="00EB08A6">
        <w:rPr>
          <w:color w:val="000000"/>
          <w:szCs w:val="26"/>
        </w:rPr>
        <w:t xml:space="preserve">will </w:t>
      </w:r>
      <w:r w:rsidR="00592434" w:rsidRPr="00EB08A6">
        <w:rPr>
          <w:color w:val="000000"/>
          <w:szCs w:val="26"/>
        </w:rPr>
        <w:t>require reassessment of proposed mitigation measures</w:t>
      </w:r>
      <w:r w:rsidR="00F31CBB" w:rsidRPr="00EB08A6">
        <w:rPr>
          <w:color w:val="000000"/>
          <w:szCs w:val="26"/>
        </w:rPr>
        <w:t>.</w:t>
      </w:r>
      <w:r w:rsidR="00EE2B21" w:rsidRPr="00EB08A6">
        <w:rPr>
          <w:color w:val="000000"/>
          <w:szCs w:val="26"/>
        </w:rPr>
        <w:t xml:space="preserve">  </w:t>
      </w:r>
      <w:r w:rsidR="000B312B" w:rsidRPr="00EB08A6">
        <w:rPr>
          <w:color w:val="000000"/>
          <w:szCs w:val="26"/>
        </w:rPr>
        <w:t xml:space="preserve">Absent an analysis that </w:t>
      </w:r>
      <w:r w:rsidR="00433FFB" w:rsidRPr="00EB08A6">
        <w:rPr>
          <w:color w:val="000000"/>
          <w:szCs w:val="26"/>
        </w:rPr>
        <w:t>reasonably</w:t>
      </w:r>
      <w:r w:rsidR="000B312B" w:rsidRPr="00EB08A6">
        <w:rPr>
          <w:color w:val="000000"/>
          <w:szCs w:val="26"/>
        </w:rPr>
        <w:t xml:space="preserve"> inform</w:t>
      </w:r>
      <w:r w:rsidR="00433FFB" w:rsidRPr="00EB08A6">
        <w:rPr>
          <w:color w:val="000000"/>
          <w:szCs w:val="26"/>
        </w:rPr>
        <w:t>s</w:t>
      </w:r>
      <w:r w:rsidR="000B312B" w:rsidRPr="00EB08A6">
        <w:rPr>
          <w:color w:val="000000"/>
          <w:szCs w:val="26"/>
        </w:rPr>
        <w:t xml:space="preserve"> the public how anticipated air quality effects will adversely affect human health, an EIR may still be sufficient if it </w:t>
      </w:r>
      <w:r w:rsidR="00380773" w:rsidRPr="00EB08A6">
        <w:rPr>
          <w:color w:val="000000"/>
          <w:szCs w:val="26"/>
        </w:rPr>
        <w:t xml:space="preserve">adequately </w:t>
      </w:r>
      <w:r w:rsidR="000B312B" w:rsidRPr="00EB08A6">
        <w:rPr>
          <w:color w:val="000000"/>
          <w:szCs w:val="26"/>
        </w:rPr>
        <w:t>explains</w:t>
      </w:r>
      <w:r w:rsidR="00380773" w:rsidRPr="00EB08A6">
        <w:rPr>
          <w:color w:val="000000"/>
          <w:szCs w:val="26"/>
        </w:rPr>
        <w:t xml:space="preserve"> </w:t>
      </w:r>
      <w:r w:rsidR="000B312B" w:rsidRPr="00EB08A6">
        <w:rPr>
          <w:color w:val="000000"/>
          <w:szCs w:val="26"/>
        </w:rPr>
        <w:t xml:space="preserve">why it is not </w:t>
      </w:r>
      <w:r w:rsidR="00A41E03" w:rsidRPr="00EB08A6">
        <w:rPr>
          <w:color w:val="000000"/>
          <w:szCs w:val="26"/>
        </w:rPr>
        <w:t xml:space="preserve">scientifically </w:t>
      </w:r>
      <w:r w:rsidR="000B312B" w:rsidRPr="00EB08A6">
        <w:rPr>
          <w:color w:val="000000"/>
          <w:szCs w:val="26"/>
        </w:rPr>
        <w:t xml:space="preserve">feasible at the time of drafting to provide such an analysis.  </w:t>
      </w:r>
      <w:r w:rsidR="000174F1" w:rsidRPr="00EB08A6">
        <w:rPr>
          <w:color w:val="000000"/>
          <w:szCs w:val="26"/>
        </w:rPr>
        <w:t>Otherwise, t</w:t>
      </w:r>
      <w:r w:rsidRPr="00EB08A6">
        <w:rPr>
          <w:color w:val="000000"/>
          <w:szCs w:val="26"/>
        </w:rPr>
        <w:t xml:space="preserve">he EIR </w:t>
      </w:r>
      <w:r w:rsidR="00EE2B21" w:rsidRPr="00EB08A6">
        <w:rPr>
          <w:color w:val="000000"/>
          <w:szCs w:val="26"/>
        </w:rPr>
        <w:t>is</w:t>
      </w:r>
      <w:r w:rsidRPr="00EB08A6">
        <w:rPr>
          <w:color w:val="000000"/>
          <w:szCs w:val="26"/>
        </w:rPr>
        <w:t xml:space="preserve"> </w:t>
      </w:r>
      <w:r w:rsidR="0058098A" w:rsidRPr="00EB08A6">
        <w:rPr>
          <w:color w:val="000000"/>
          <w:szCs w:val="26"/>
        </w:rPr>
        <w:t xml:space="preserve">generally </w:t>
      </w:r>
      <w:r w:rsidRPr="00EB08A6">
        <w:rPr>
          <w:color w:val="000000"/>
          <w:szCs w:val="26"/>
        </w:rPr>
        <w:t xml:space="preserve">clear about the potential environmental harm under the Specific Plan, and </w:t>
      </w:r>
      <w:r w:rsidR="00EE2B21" w:rsidRPr="00EB08A6">
        <w:rPr>
          <w:color w:val="000000"/>
          <w:szCs w:val="26"/>
        </w:rPr>
        <w:t xml:space="preserve">it </w:t>
      </w:r>
      <w:r w:rsidRPr="00EB08A6">
        <w:rPr>
          <w:color w:val="000000"/>
          <w:szCs w:val="26"/>
        </w:rPr>
        <w:t xml:space="preserve">outlined mitigation measures to address those effects with factual </w:t>
      </w:r>
      <w:r w:rsidR="00DB6DE5" w:rsidRPr="00EB08A6">
        <w:rPr>
          <w:color w:val="000000"/>
          <w:szCs w:val="26"/>
        </w:rPr>
        <w:t>support and scientific consensus.</w:t>
      </w:r>
    </w:p>
    <w:p w:rsidR="00BF40C9" w:rsidRDefault="0086064D" w:rsidP="00EE783B">
      <w:pPr>
        <w:tabs>
          <w:tab w:val="left" w:pos="5760"/>
        </w:tabs>
        <w:ind w:firstLine="720"/>
      </w:pPr>
      <w:r w:rsidRPr="00EB08A6">
        <w:rPr>
          <w:color w:val="000000"/>
          <w:szCs w:val="26"/>
        </w:rPr>
        <w:t>Based on the foregoing analysis, w</w:t>
      </w:r>
      <w:r w:rsidR="00C728A8" w:rsidRPr="00EB08A6">
        <w:rPr>
          <w:color w:val="000000"/>
          <w:szCs w:val="26"/>
        </w:rPr>
        <w:t xml:space="preserve">e </w:t>
      </w:r>
      <w:r w:rsidR="00B53E07" w:rsidRPr="00EB08A6">
        <w:rPr>
          <w:color w:val="000000"/>
          <w:szCs w:val="26"/>
        </w:rPr>
        <w:t>affirm</w:t>
      </w:r>
      <w:r w:rsidR="002C2188" w:rsidRPr="00EB08A6">
        <w:rPr>
          <w:color w:val="000000"/>
          <w:szCs w:val="26"/>
        </w:rPr>
        <w:t xml:space="preserve"> </w:t>
      </w:r>
      <w:r w:rsidR="00E03AC8" w:rsidRPr="00EB08A6">
        <w:rPr>
          <w:color w:val="000000"/>
          <w:szCs w:val="26"/>
        </w:rPr>
        <w:t xml:space="preserve">in part and reverse in part </w:t>
      </w:r>
      <w:r w:rsidR="002C2188" w:rsidRPr="00EB08A6">
        <w:rPr>
          <w:color w:val="000000"/>
          <w:szCs w:val="26"/>
        </w:rPr>
        <w:t xml:space="preserve">the Court of </w:t>
      </w:r>
      <w:r w:rsidR="00E03AC8" w:rsidRPr="00EB08A6">
        <w:rPr>
          <w:color w:val="000000"/>
          <w:szCs w:val="26"/>
        </w:rPr>
        <w:t>Appeal</w:t>
      </w:r>
      <w:r w:rsidR="00787307" w:rsidRPr="00EB08A6">
        <w:rPr>
          <w:color w:val="000000"/>
          <w:szCs w:val="26"/>
        </w:rPr>
        <w:t>’s</w:t>
      </w:r>
      <w:r w:rsidR="00E03AC8" w:rsidRPr="00EB08A6">
        <w:rPr>
          <w:color w:val="000000"/>
          <w:szCs w:val="26"/>
        </w:rPr>
        <w:t xml:space="preserve"> judgment </w:t>
      </w:r>
      <w:r w:rsidR="00B53E07" w:rsidRPr="00EB08A6">
        <w:rPr>
          <w:color w:val="000000"/>
          <w:szCs w:val="26"/>
        </w:rPr>
        <w:t xml:space="preserve">and remand the matter for </w:t>
      </w:r>
      <w:r w:rsidR="00E03AC8" w:rsidRPr="00EB08A6">
        <w:rPr>
          <w:color w:val="000000"/>
          <w:szCs w:val="26"/>
        </w:rPr>
        <w:t xml:space="preserve">additional </w:t>
      </w:r>
      <w:r w:rsidR="00B53E07" w:rsidRPr="00EB08A6">
        <w:rPr>
          <w:color w:val="000000"/>
          <w:szCs w:val="26"/>
        </w:rPr>
        <w:t>proceedings consistent with this opinion.</w:t>
      </w:r>
      <w:r w:rsidR="0081274E" w:rsidRPr="00EB08A6">
        <w:rPr>
          <w:color w:val="000000"/>
          <w:szCs w:val="26"/>
          <w:u w:val="words"/>
        </w:rPr>
        <w:tab/>
      </w:r>
      <w:bookmarkEnd w:id="1"/>
      <w:bookmarkEnd w:id="2"/>
      <w:bookmarkEnd w:id="3"/>
    </w:p>
    <w:p w:rsidR="00BF40C9" w:rsidRPr="001574EF" w:rsidRDefault="00BF40C9" w:rsidP="00BF40C9">
      <w:pPr>
        <w:keepNext/>
        <w:keepLines/>
        <w:tabs>
          <w:tab w:val="left" w:pos="5760"/>
        </w:tabs>
        <w:ind w:firstLine="720"/>
        <w:rPr>
          <w:b/>
        </w:rPr>
      </w:pPr>
      <w:r w:rsidRPr="001574EF">
        <w:tab/>
      </w:r>
      <w:r w:rsidRPr="001574EF">
        <w:rPr>
          <w:b/>
        </w:rPr>
        <w:t>CHIN, J.</w:t>
      </w:r>
    </w:p>
    <w:p w:rsidR="00BF40C9" w:rsidRPr="00EF3B82" w:rsidRDefault="00BF40C9" w:rsidP="00BF40C9">
      <w:pPr>
        <w:pStyle w:val="NormalIndent"/>
        <w:spacing w:before="120" w:after="240"/>
        <w:ind w:left="0"/>
        <w:rPr>
          <w:b/>
        </w:rPr>
      </w:pPr>
      <w:r w:rsidRPr="00EF3B82">
        <w:rPr>
          <w:b/>
        </w:rPr>
        <w:t>We Concur:</w:t>
      </w:r>
    </w:p>
    <w:p w:rsidR="00BF40C9" w:rsidRPr="00EF3B82" w:rsidRDefault="00BF40C9" w:rsidP="00BF40C9">
      <w:pPr>
        <w:pStyle w:val="NormalIndent"/>
        <w:spacing w:after="0" w:line="240" w:lineRule="auto"/>
        <w:ind w:left="0"/>
        <w:rPr>
          <w:b/>
        </w:rPr>
      </w:pPr>
      <w:bookmarkStart w:id="7" w:name="author"/>
      <w:bookmarkStart w:id="8" w:name="initials"/>
      <w:bookmarkEnd w:id="7"/>
      <w:bookmarkEnd w:id="8"/>
      <w:r w:rsidRPr="00EF3B82">
        <w:rPr>
          <w:b/>
        </w:rPr>
        <w:t>CANTIL-SAKAUYE, C. J.</w:t>
      </w:r>
    </w:p>
    <w:p w:rsidR="00BF40C9" w:rsidRPr="00EF3B82" w:rsidRDefault="00BF40C9" w:rsidP="00BF40C9">
      <w:pPr>
        <w:pStyle w:val="NormalIndent"/>
        <w:spacing w:after="0" w:line="240" w:lineRule="auto"/>
        <w:ind w:left="0"/>
        <w:rPr>
          <w:b/>
        </w:rPr>
      </w:pPr>
      <w:r w:rsidRPr="00EF3B82">
        <w:rPr>
          <w:b/>
        </w:rPr>
        <w:t>CORRIGAN, J.</w:t>
      </w:r>
    </w:p>
    <w:p w:rsidR="00BF40C9" w:rsidRPr="00EF3B82" w:rsidRDefault="00BF40C9" w:rsidP="00BF40C9">
      <w:pPr>
        <w:pStyle w:val="NormalIndent"/>
        <w:spacing w:after="0" w:line="240" w:lineRule="auto"/>
        <w:ind w:left="0"/>
        <w:rPr>
          <w:b/>
        </w:rPr>
      </w:pPr>
      <w:r w:rsidRPr="00EF3B82">
        <w:rPr>
          <w:b/>
        </w:rPr>
        <w:t>LIU, J.</w:t>
      </w:r>
    </w:p>
    <w:p w:rsidR="00BF40C9" w:rsidRPr="00EF3B82" w:rsidRDefault="00BF40C9" w:rsidP="00BF40C9">
      <w:pPr>
        <w:pStyle w:val="NormalIndent"/>
        <w:spacing w:after="0" w:line="240" w:lineRule="auto"/>
        <w:ind w:left="0"/>
        <w:rPr>
          <w:b/>
        </w:rPr>
      </w:pPr>
      <w:r w:rsidRPr="00EF3B82">
        <w:rPr>
          <w:b/>
        </w:rPr>
        <w:t>CUÉLLAR, J.</w:t>
      </w:r>
    </w:p>
    <w:p w:rsidR="00BF40C9" w:rsidRPr="00EF3B82" w:rsidRDefault="00BF40C9" w:rsidP="00BF40C9">
      <w:pPr>
        <w:pStyle w:val="NormalIndent"/>
        <w:spacing w:after="0" w:line="240" w:lineRule="auto"/>
        <w:ind w:left="0"/>
        <w:rPr>
          <w:b/>
        </w:rPr>
      </w:pPr>
      <w:r>
        <w:rPr>
          <w:b/>
        </w:rPr>
        <w:t>KRUGER</w:t>
      </w:r>
      <w:r w:rsidRPr="00EF3B82">
        <w:rPr>
          <w:b/>
        </w:rPr>
        <w:t>, J.</w:t>
      </w:r>
    </w:p>
    <w:p w:rsidR="00BF40C9" w:rsidRDefault="00BF40C9" w:rsidP="00EE783B">
      <w:pPr>
        <w:pStyle w:val="NormalIndent"/>
        <w:keepNext/>
        <w:keepLines/>
        <w:ind w:left="0"/>
        <w:jc w:val="left"/>
      </w:pPr>
      <w:r>
        <w:rPr>
          <w:b/>
        </w:rPr>
        <w:t>ROBIE</w:t>
      </w:r>
      <w:r w:rsidRPr="00EF3B82">
        <w:rPr>
          <w:b/>
        </w:rPr>
        <w:t>, J.</w:t>
      </w:r>
      <w:r w:rsidRPr="00EF3B82">
        <w:rPr>
          <w:rStyle w:val="FootnoteReference"/>
          <w:b w:val="0"/>
        </w:rPr>
        <w:footnoteReference w:customMarkFollows="1" w:id="9"/>
        <w:t>*</w:t>
      </w:r>
    </w:p>
    <w:p w:rsidR="00EE783B" w:rsidRDefault="00EE783B" w:rsidP="00EE783B">
      <w:pPr>
        <w:pStyle w:val="NormalIndent"/>
        <w:ind w:left="0"/>
        <w:jc w:val="left"/>
      </w:pPr>
    </w:p>
    <w:p w:rsidR="00EE783B" w:rsidRDefault="00EE783B" w:rsidP="00EE783B">
      <w:pPr>
        <w:pStyle w:val="NormalIndent"/>
        <w:ind w:left="0"/>
        <w:jc w:val="left"/>
        <w:rPr>
          <w:rStyle w:val="FootnoteReference"/>
          <w:b w:val="0"/>
        </w:rPr>
        <w:sectPr w:rsidR="00EE783B" w:rsidSect="005F0951">
          <w:headerReference w:type="first" r:id="rId11"/>
          <w:footerReference w:type="first" r:id="rId12"/>
          <w:pgSz w:w="12240" w:h="15840"/>
          <w:pgMar w:top="1800" w:right="2160" w:bottom="1440" w:left="2160" w:header="720" w:footer="720" w:gutter="0"/>
          <w:pgNumType w:start="1"/>
          <w:cols w:space="720"/>
          <w:titlePg/>
          <w:docGrid w:linePitch="367"/>
        </w:sectPr>
      </w:pPr>
      <w:bookmarkStart w:id="9" w:name="_GoBack"/>
      <w:bookmarkEnd w:id="9"/>
    </w:p>
    <w:p w:rsidR="000F05AE" w:rsidRPr="000F05AE" w:rsidRDefault="000F05AE" w:rsidP="000F05AE">
      <w:pPr>
        <w:spacing w:after="0" w:line="240" w:lineRule="auto"/>
        <w:jc w:val="left"/>
        <w:rPr>
          <w:rFonts w:ascii="Times New Roman" w:hAnsi="Times New Roman"/>
          <w:i/>
          <w:sz w:val="20"/>
        </w:rPr>
      </w:pPr>
      <w:r w:rsidRPr="000F05AE">
        <w:rPr>
          <w:rFonts w:ascii="Times New Roman" w:hAnsi="Times New Roman"/>
          <w:i/>
          <w:sz w:val="20"/>
        </w:rPr>
        <w:t>See last page for addresses and telephone numbers for counsel who argued in Supreme Court.</w:t>
      </w:r>
    </w:p>
    <w:p w:rsidR="000F05AE" w:rsidRPr="000F05AE" w:rsidRDefault="000F05AE" w:rsidP="000F05AE">
      <w:pPr>
        <w:spacing w:after="0" w:line="240" w:lineRule="auto"/>
        <w:jc w:val="left"/>
        <w:rPr>
          <w:rFonts w:ascii="Times New Roman" w:hAnsi="Times New Roman"/>
          <w:i/>
          <w:sz w:val="20"/>
        </w:rPr>
      </w:pPr>
    </w:p>
    <w:p w:rsidR="000F05AE" w:rsidRPr="000F05AE" w:rsidRDefault="000F05AE" w:rsidP="000F05AE">
      <w:pPr>
        <w:spacing w:after="0" w:line="240" w:lineRule="auto"/>
        <w:jc w:val="left"/>
        <w:rPr>
          <w:rFonts w:ascii="Times New Roman" w:hAnsi="Times New Roman"/>
          <w:bCs/>
          <w:i/>
          <w:sz w:val="20"/>
        </w:rPr>
      </w:pPr>
      <w:r w:rsidRPr="000F05AE">
        <w:rPr>
          <w:rFonts w:ascii="Times New Roman" w:hAnsi="Times New Roman"/>
          <w:b/>
          <w:sz w:val="20"/>
        </w:rPr>
        <w:t>Name of Opinion</w:t>
      </w:r>
      <w:r w:rsidRPr="000F05AE">
        <w:rPr>
          <w:rFonts w:ascii="Times New Roman" w:hAnsi="Times New Roman"/>
          <w:sz w:val="20"/>
        </w:rPr>
        <w:t xml:space="preserve"> Sierra Club v. County of Fresno</w:t>
      </w:r>
    </w:p>
    <w:p w:rsidR="000F05AE" w:rsidRPr="000F05AE" w:rsidRDefault="000F05AE" w:rsidP="000F05AE">
      <w:pPr>
        <w:spacing w:after="0" w:line="240" w:lineRule="auto"/>
        <w:jc w:val="left"/>
        <w:rPr>
          <w:rFonts w:ascii="Times New Roman" w:hAnsi="Times New Roman"/>
          <w:b/>
          <w:sz w:val="20"/>
        </w:rPr>
      </w:pPr>
      <w:r w:rsidRPr="000F05AE">
        <w:rPr>
          <w:rFonts w:ascii="Times New Roman" w:hAnsi="Times New Roman"/>
          <w:b/>
          <w:sz w:val="20"/>
        </w:rPr>
        <w:t>__________________________________________________________________________________</w:t>
      </w:r>
    </w:p>
    <w:p w:rsidR="000F05AE" w:rsidRPr="000F05AE" w:rsidRDefault="000F05AE" w:rsidP="000F05AE">
      <w:pPr>
        <w:spacing w:after="0" w:line="240" w:lineRule="auto"/>
        <w:jc w:val="left"/>
        <w:rPr>
          <w:rFonts w:ascii="Times New Roman" w:hAnsi="Times New Roman"/>
          <w:b/>
          <w:sz w:val="20"/>
        </w:rPr>
      </w:pPr>
    </w:p>
    <w:p w:rsidR="000F05AE" w:rsidRPr="000F05AE" w:rsidRDefault="000F05AE" w:rsidP="000F05AE">
      <w:pPr>
        <w:spacing w:after="0" w:line="240" w:lineRule="auto"/>
        <w:jc w:val="left"/>
        <w:rPr>
          <w:rFonts w:ascii="Times New Roman" w:hAnsi="Times New Roman"/>
          <w:bCs/>
          <w:sz w:val="20"/>
        </w:rPr>
      </w:pPr>
      <w:r w:rsidRPr="000F05AE">
        <w:rPr>
          <w:rFonts w:ascii="Times New Roman" w:hAnsi="Times New Roman"/>
          <w:b/>
          <w:sz w:val="20"/>
        </w:rPr>
        <w:t>Unpublished Opinion</w:t>
      </w:r>
    </w:p>
    <w:p w:rsidR="000F05AE" w:rsidRPr="000F05AE" w:rsidRDefault="000F05AE" w:rsidP="000F05AE">
      <w:pPr>
        <w:spacing w:after="0" w:line="240" w:lineRule="auto"/>
        <w:jc w:val="left"/>
        <w:rPr>
          <w:rFonts w:ascii="Times New Roman" w:hAnsi="Times New Roman"/>
          <w:sz w:val="20"/>
        </w:rPr>
      </w:pPr>
      <w:r w:rsidRPr="000F05AE">
        <w:rPr>
          <w:rFonts w:ascii="Times New Roman" w:hAnsi="Times New Roman"/>
          <w:b/>
          <w:sz w:val="20"/>
        </w:rPr>
        <w:t>Original Appeal</w:t>
      </w:r>
    </w:p>
    <w:p w:rsidR="000F05AE" w:rsidRPr="000F05AE" w:rsidRDefault="000F05AE" w:rsidP="000F05AE">
      <w:pPr>
        <w:spacing w:after="0" w:line="240" w:lineRule="auto"/>
        <w:jc w:val="left"/>
        <w:rPr>
          <w:rFonts w:ascii="Times New Roman" w:hAnsi="Times New Roman"/>
          <w:b/>
          <w:sz w:val="20"/>
        </w:rPr>
      </w:pPr>
      <w:r w:rsidRPr="000F05AE">
        <w:rPr>
          <w:rFonts w:ascii="Times New Roman" w:hAnsi="Times New Roman"/>
          <w:b/>
          <w:sz w:val="20"/>
        </w:rPr>
        <w:t>Original Proceeding</w:t>
      </w:r>
    </w:p>
    <w:p w:rsidR="000F05AE" w:rsidRPr="000F05AE" w:rsidRDefault="000F05AE" w:rsidP="000F05AE">
      <w:pPr>
        <w:spacing w:after="0" w:line="240" w:lineRule="auto"/>
        <w:jc w:val="left"/>
        <w:rPr>
          <w:rFonts w:ascii="Times New Roman" w:hAnsi="Times New Roman"/>
          <w:sz w:val="20"/>
        </w:rPr>
      </w:pPr>
      <w:r w:rsidRPr="000F05AE">
        <w:rPr>
          <w:rFonts w:ascii="Times New Roman" w:hAnsi="Times New Roman"/>
          <w:b/>
          <w:sz w:val="20"/>
        </w:rPr>
        <w:t>Review Granted</w:t>
      </w:r>
      <w:r w:rsidRPr="000F05AE">
        <w:rPr>
          <w:rFonts w:ascii="Times New Roman" w:hAnsi="Times New Roman"/>
          <w:sz w:val="20"/>
        </w:rPr>
        <w:t xml:space="preserve"> XXX 226 Cal.App.4th 704</w:t>
      </w:r>
    </w:p>
    <w:p w:rsidR="000F05AE" w:rsidRPr="000F05AE" w:rsidRDefault="000F05AE" w:rsidP="000F05AE">
      <w:pPr>
        <w:spacing w:after="0" w:line="240" w:lineRule="auto"/>
        <w:jc w:val="left"/>
        <w:rPr>
          <w:rFonts w:ascii="Times New Roman" w:hAnsi="Times New Roman"/>
          <w:b/>
          <w:sz w:val="20"/>
        </w:rPr>
      </w:pPr>
      <w:r w:rsidRPr="000F05AE">
        <w:rPr>
          <w:rFonts w:ascii="Times New Roman" w:hAnsi="Times New Roman"/>
          <w:b/>
          <w:sz w:val="20"/>
        </w:rPr>
        <w:t>Rehearing Granted</w:t>
      </w:r>
    </w:p>
    <w:p w:rsidR="000F05AE" w:rsidRPr="000F05AE" w:rsidRDefault="000F05AE" w:rsidP="000F05AE">
      <w:pPr>
        <w:spacing w:after="0" w:line="240" w:lineRule="auto"/>
        <w:jc w:val="left"/>
        <w:rPr>
          <w:rFonts w:ascii="Times New Roman" w:hAnsi="Times New Roman"/>
          <w:b/>
          <w:sz w:val="20"/>
        </w:rPr>
      </w:pPr>
    </w:p>
    <w:p w:rsidR="000F05AE" w:rsidRPr="000F05AE" w:rsidRDefault="000F05AE" w:rsidP="000F05AE">
      <w:pPr>
        <w:spacing w:after="0" w:line="240" w:lineRule="auto"/>
        <w:jc w:val="left"/>
        <w:rPr>
          <w:rFonts w:ascii="Times New Roman" w:hAnsi="Times New Roman"/>
          <w:b/>
          <w:sz w:val="20"/>
        </w:rPr>
      </w:pPr>
      <w:r w:rsidRPr="000F05AE">
        <w:rPr>
          <w:rFonts w:ascii="Times New Roman" w:hAnsi="Times New Roman"/>
          <w:b/>
          <w:sz w:val="20"/>
        </w:rPr>
        <w:t>__________________________________________________________________________________</w:t>
      </w:r>
    </w:p>
    <w:p w:rsidR="000F05AE" w:rsidRPr="000F05AE" w:rsidRDefault="000F05AE" w:rsidP="000F05AE">
      <w:pPr>
        <w:spacing w:after="0" w:line="240" w:lineRule="auto"/>
        <w:jc w:val="left"/>
        <w:rPr>
          <w:rFonts w:ascii="Times New Roman" w:hAnsi="Times New Roman"/>
          <w:b/>
          <w:sz w:val="20"/>
        </w:rPr>
      </w:pPr>
    </w:p>
    <w:p w:rsidR="000F05AE" w:rsidRPr="000F05AE" w:rsidRDefault="000F05AE" w:rsidP="000F05AE">
      <w:pPr>
        <w:spacing w:after="0" w:line="240" w:lineRule="auto"/>
        <w:jc w:val="left"/>
        <w:rPr>
          <w:rFonts w:ascii="Times New Roman" w:hAnsi="Times New Roman"/>
          <w:bCs/>
          <w:sz w:val="20"/>
        </w:rPr>
      </w:pPr>
      <w:r w:rsidRPr="000F05AE">
        <w:rPr>
          <w:rFonts w:ascii="Times New Roman" w:hAnsi="Times New Roman"/>
          <w:b/>
          <w:sz w:val="20"/>
        </w:rPr>
        <w:t>Opinion No.</w:t>
      </w:r>
      <w:r w:rsidRPr="000F05AE">
        <w:rPr>
          <w:rFonts w:ascii="Times New Roman" w:hAnsi="Times New Roman"/>
          <w:sz w:val="20"/>
        </w:rPr>
        <w:t xml:space="preserve"> S219783</w:t>
      </w:r>
    </w:p>
    <w:p w:rsidR="000F05AE" w:rsidRPr="000F05AE" w:rsidRDefault="000F05AE" w:rsidP="000F05AE">
      <w:pPr>
        <w:spacing w:after="0" w:line="240" w:lineRule="auto"/>
        <w:jc w:val="left"/>
        <w:rPr>
          <w:rFonts w:ascii="Times New Roman" w:hAnsi="Times New Roman"/>
          <w:bCs/>
          <w:sz w:val="20"/>
        </w:rPr>
      </w:pPr>
      <w:r w:rsidRPr="000F05AE">
        <w:rPr>
          <w:rFonts w:ascii="Times New Roman" w:hAnsi="Times New Roman"/>
          <w:b/>
          <w:sz w:val="20"/>
        </w:rPr>
        <w:t>Date Filed:</w:t>
      </w:r>
      <w:r w:rsidRPr="000F05AE">
        <w:rPr>
          <w:rFonts w:ascii="Times New Roman" w:hAnsi="Times New Roman"/>
          <w:sz w:val="20"/>
        </w:rPr>
        <w:t xml:space="preserve"> December 24, 2018</w:t>
      </w:r>
    </w:p>
    <w:p w:rsidR="000F05AE" w:rsidRPr="000F05AE" w:rsidRDefault="000F05AE" w:rsidP="000F05AE">
      <w:pPr>
        <w:spacing w:after="0" w:line="240" w:lineRule="auto"/>
        <w:jc w:val="left"/>
        <w:rPr>
          <w:rFonts w:ascii="Times New Roman" w:hAnsi="Times New Roman"/>
          <w:b/>
          <w:sz w:val="20"/>
        </w:rPr>
      </w:pPr>
      <w:r w:rsidRPr="000F05AE">
        <w:rPr>
          <w:rFonts w:ascii="Times New Roman" w:hAnsi="Times New Roman"/>
          <w:b/>
          <w:sz w:val="20"/>
        </w:rPr>
        <w:t>__________________________________________________________________________________</w:t>
      </w:r>
    </w:p>
    <w:p w:rsidR="000F05AE" w:rsidRPr="000F05AE" w:rsidRDefault="000F05AE" w:rsidP="000F05AE">
      <w:pPr>
        <w:spacing w:after="0" w:line="240" w:lineRule="auto"/>
        <w:jc w:val="left"/>
        <w:rPr>
          <w:rFonts w:ascii="Times New Roman" w:hAnsi="Times New Roman"/>
          <w:b/>
          <w:sz w:val="20"/>
        </w:rPr>
      </w:pPr>
    </w:p>
    <w:p w:rsidR="000F05AE" w:rsidRPr="000F05AE" w:rsidRDefault="000F05AE" w:rsidP="000F05AE">
      <w:pPr>
        <w:spacing w:after="0" w:line="240" w:lineRule="auto"/>
        <w:jc w:val="left"/>
        <w:rPr>
          <w:rFonts w:ascii="Times New Roman" w:hAnsi="Times New Roman"/>
          <w:bCs/>
          <w:sz w:val="20"/>
        </w:rPr>
      </w:pPr>
      <w:r w:rsidRPr="000F05AE">
        <w:rPr>
          <w:rFonts w:ascii="Times New Roman" w:hAnsi="Times New Roman"/>
          <w:b/>
          <w:sz w:val="20"/>
        </w:rPr>
        <w:t>Court:</w:t>
      </w:r>
      <w:r w:rsidRPr="000F05AE">
        <w:rPr>
          <w:rFonts w:ascii="Times New Roman" w:hAnsi="Times New Roman"/>
          <w:sz w:val="20"/>
        </w:rPr>
        <w:t xml:space="preserve"> Superior</w:t>
      </w:r>
    </w:p>
    <w:p w:rsidR="000F05AE" w:rsidRPr="000F05AE" w:rsidRDefault="000F05AE" w:rsidP="000F05AE">
      <w:pPr>
        <w:spacing w:after="0" w:line="240" w:lineRule="auto"/>
        <w:jc w:val="left"/>
        <w:rPr>
          <w:rFonts w:ascii="Times New Roman" w:hAnsi="Times New Roman"/>
          <w:bCs/>
          <w:sz w:val="20"/>
        </w:rPr>
      </w:pPr>
      <w:r w:rsidRPr="000F05AE">
        <w:rPr>
          <w:rFonts w:ascii="Times New Roman" w:hAnsi="Times New Roman"/>
          <w:b/>
          <w:sz w:val="20"/>
        </w:rPr>
        <w:t>County:</w:t>
      </w:r>
      <w:r w:rsidRPr="000F05AE">
        <w:rPr>
          <w:rFonts w:ascii="Times New Roman" w:hAnsi="Times New Roman"/>
          <w:sz w:val="20"/>
        </w:rPr>
        <w:t xml:space="preserve"> Fresno</w:t>
      </w:r>
    </w:p>
    <w:p w:rsidR="000F05AE" w:rsidRPr="000F05AE" w:rsidRDefault="000F05AE" w:rsidP="000F05AE">
      <w:pPr>
        <w:spacing w:after="0" w:line="240" w:lineRule="auto"/>
        <w:ind w:left="720" w:hanging="720"/>
        <w:jc w:val="left"/>
        <w:rPr>
          <w:rFonts w:ascii="Times New Roman" w:hAnsi="Times New Roman"/>
          <w:bCs/>
          <w:sz w:val="20"/>
        </w:rPr>
      </w:pPr>
      <w:r w:rsidRPr="000F05AE">
        <w:rPr>
          <w:rFonts w:ascii="Times New Roman" w:hAnsi="Times New Roman"/>
          <w:b/>
          <w:sz w:val="20"/>
        </w:rPr>
        <w:t>Judge:</w:t>
      </w:r>
      <w:r w:rsidRPr="000F05AE">
        <w:rPr>
          <w:rFonts w:ascii="Times New Roman" w:hAnsi="Times New Roman"/>
          <w:sz w:val="20"/>
        </w:rPr>
        <w:t xml:space="preserve"> Rosendo Pena, Jr.</w:t>
      </w:r>
    </w:p>
    <w:p w:rsidR="000F05AE" w:rsidRPr="000F05AE" w:rsidRDefault="000F05AE" w:rsidP="000F05AE">
      <w:pPr>
        <w:spacing w:after="0" w:line="240" w:lineRule="auto"/>
        <w:jc w:val="left"/>
        <w:rPr>
          <w:rFonts w:ascii="Times New Roman" w:hAnsi="Times New Roman"/>
          <w:b/>
          <w:sz w:val="20"/>
        </w:rPr>
      </w:pPr>
    </w:p>
    <w:p w:rsidR="000F05AE" w:rsidRPr="000F05AE" w:rsidRDefault="000F05AE" w:rsidP="000F05AE">
      <w:pPr>
        <w:spacing w:after="0" w:line="240" w:lineRule="auto"/>
        <w:jc w:val="left"/>
        <w:rPr>
          <w:rFonts w:ascii="Times New Roman" w:hAnsi="Times New Roman"/>
          <w:b/>
          <w:sz w:val="20"/>
        </w:rPr>
      </w:pPr>
      <w:r w:rsidRPr="000F05AE">
        <w:rPr>
          <w:rFonts w:ascii="Times New Roman" w:hAnsi="Times New Roman"/>
          <w:b/>
          <w:sz w:val="20"/>
        </w:rPr>
        <w:t>__________________________________________________________________________________</w:t>
      </w:r>
    </w:p>
    <w:p w:rsidR="000F05AE" w:rsidRPr="000F05AE" w:rsidRDefault="000F05AE" w:rsidP="000F05AE">
      <w:pPr>
        <w:spacing w:after="0" w:line="240" w:lineRule="auto"/>
        <w:jc w:val="left"/>
        <w:rPr>
          <w:rFonts w:ascii="Times New Roman" w:hAnsi="Times New Roman"/>
          <w:b/>
          <w:sz w:val="20"/>
        </w:rPr>
      </w:pPr>
    </w:p>
    <w:p w:rsidR="000F05AE" w:rsidRPr="000F05AE" w:rsidRDefault="000F05AE" w:rsidP="000F05AE">
      <w:pPr>
        <w:spacing w:after="0" w:line="240" w:lineRule="auto"/>
        <w:jc w:val="left"/>
        <w:rPr>
          <w:rFonts w:ascii="Times New Roman" w:hAnsi="Times New Roman"/>
          <w:b/>
          <w:sz w:val="20"/>
        </w:rPr>
      </w:pPr>
      <w:r w:rsidRPr="000F05AE">
        <w:rPr>
          <w:rFonts w:ascii="Times New Roman" w:hAnsi="Times New Roman"/>
          <w:b/>
          <w:sz w:val="20"/>
        </w:rPr>
        <w:t>Counsel:</w:t>
      </w:r>
    </w:p>
    <w:p w:rsidR="000F05AE" w:rsidRPr="000F05AE" w:rsidRDefault="000F05AE" w:rsidP="000F05AE">
      <w:pPr>
        <w:spacing w:after="0" w:line="240" w:lineRule="auto"/>
        <w:jc w:val="left"/>
        <w:rPr>
          <w:rFonts w:ascii="Times New Roman" w:hAnsi="Times New Roman"/>
          <w:b/>
          <w:sz w:val="20"/>
        </w:rPr>
      </w:pPr>
    </w:p>
    <w:p w:rsidR="000F05AE" w:rsidRPr="000F05AE" w:rsidRDefault="000F05AE" w:rsidP="000F05AE">
      <w:pPr>
        <w:spacing w:after="0" w:line="240" w:lineRule="auto"/>
        <w:jc w:val="left"/>
        <w:rPr>
          <w:rFonts w:ascii="Times New Roman" w:hAnsi="Times New Roman"/>
          <w:sz w:val="20"/>
        </w:rPr>
      </w:pPr>
      <w:r w:rsidRPr="000F05AE">
        <w:rPr>
          <w:rFonts w:ascii="Times New Roman" w:hAnsi="Times New Roman"/>
          <w:sz w:val="20"/>
        </w:rPr>
        <w:t xml:space="preserve">Law Office of Sara </w:t>
      </w:r>
      <w:proofErr w:type="spellStart"/>
      <w:r w:rsidRPr="000F05AE">
        <w:rPr>
          <w:rFonts w:ascii="Times New Roman" w:hAnsi="Times New Roman"/>
          <w:sz w:val="20"/>
        </w:rPr>
        <w:t>Hedgpeth</w:t>
      </w:r>
      <w:proofErr w:type="spellEnd"/>
      <w:r w:rsidRPr="000F05AE">
        <w:rPr>
          <w:rFonts w:ascii="Times New Roman" w:hAnsi="Times New Roman"/>
          <w:sz w:val="20"/>
        </w:rPr>
        <w:t xml:space="preserve">-Harris, Sara </w:t>
      </w:r>
      <w:proofErr w:type="spellStart"/>
      <w:r w:rsidRPr="000F05AE">
        <w:rPr>
          <w:rFonts w:ascii="Times New Roman" w:hAnsi="Times New Roman"/>
          <w:sz w:val="20"/>
        </w:rPr>
        <w:t>Hedgpeth</w:t>
      </w:r>
      <w:proofErr w:type="spellEnd"/>
      <w:r w:rsidRPr="000F05AE">
        <w:rPr>
          <w:rFonts w:ascii="Times New Roman" w:hAnsi="Times New Roman"/>
          <w:sz w:val="20"/>
        </w:rPr>
        <w:t>-Harris; Brandt-Hawley Law Group and Susan Brandt-Hawley for Plaintiffs and Appellants.</w:t>
      </w:r>
    </w:p>
    <w:p w:rsidR="000F05AE" w:rsidRPr="000F05AE" w:rsidRDefault="000F05AE" w:rsidP="000F05AE">
      <w:pPr>
        <w:spacing w:after="0" w:line="240" w:lineRule="auto"/>
        <w:jc w:val="left"/>
        <w:rPr>
          <w:rFonts w:ascii="Times New Roman" w:hAnsi="Times New Roman"/>
          <w:sz w:val="20"/>
        </w:rPr>
      </w:pPr>
    </w:p>
    <w:p w:rsidR="000F05AE" w:rsidRPr="000F05AE" w:rsidRDefault="000F05AE" w:rsidP="000F05AE">
      <w:pPr>
        <w:spacing w:after="0" w:line="240" w:lineRule="auto"/>
        <w:jc w:val="left"/>
        <w:rPr>
          <w:rFonts w:ascii="Times New Roman" w:hAnsi="Times New Roman"/>
          <w:sz w:val="20"/>
        </w:rPr>
      </w:pPr>
      <w:proofErr w:type="spellStart"/>
      <w:r w:rsidRPr="000F05AE">
        <w:rPr>
          <w:rFonts w:ascii="Times New Roman" w:hAnsi="Times New Roman"/>
          <w:sz w:val="20"/>
        </w:rPr>
        <w:t>Chatten</w:t>
      </w:r>
      <w:proofErr w:type="spellEnd"/>
      <w:r w:rsidRPr="000F05AE">
        <w:rPr>
          <w:rFonts w:ascii="Times New Roman" w:hAnsi="Times New Roman"/>
          <w:sz w:val="20"/>
        </w:rPr>
        <w:t xml:space="preserve">-Brown &amp; </w:t>
      </w:r>
      <w:proofErr w:type="spellStart"/>
      <w:r w:rsidRPr="000F05AE">
        <w:rPr>
          <w:rFonts w:ascii="Times New Roman" w:hAnsi="Times New Roman"/>
          <w:sz w:val="20"/>
        </w:rPr>
        <w:t>Carstens</w:t>
      </w:r>
      <w:proofErr w:type="spellEnd"/>
      <w:r w:rsidRPr="000F05AE">
        <w:rPr>
          <w:rFonts w:ascii="Times New Roman" w:hAnsi="Times New Roman"/>
          <w:sz w:val="20"/>
        </w:rPr>
        <w:t xml:space="preserve">, Jan </w:t>
      </w:r>
      <w:proofErr w:type="spellStart"/>
      <w:r w:rsidRPr="000F05AE">
        <w:rPr>
          <w:rFonts w:ascii="Times New Roman" w:hAnsi="Times New Roman"/>
          <w:sz w:val="20"/>
        </w:rPr>
        <w:t>Chatten</w:t>
      </w:r>
      <w:proofErr w:type="spellEnd"/>
      <w:r w:rsidRPr="000F05AE">
        <w:rPr>
          <w:rFonts w:ascii="Times New Roman" w:hAnsi="Times New Roman"/>
          <w:sz w:val="20"/>
        </w:rPr>
        <w:t xml:space="preserve">-Brown, Douglas P. Carstens and Amy C. </w:t>
      </w:r>
      <w:proofErr w:type="spellStart"/>
      <w:r w:rsidRPr="000F05AE">
        <w:rPr>
          <w:rFonts w:ascii="Times New Roman" w:hAnsi="Times New Roman"/>
          <w:sz w:val="20"/>
        </w:rPr>
        <w:t>Minteer</w:t>
      </w:r>
      <w:proofErr w:type="spellEnd"/>
      <w:r w:rsidRPr="000F05AE">
        <w:rPr>
          <w:rFonts w:ascii="Times New Roman" w:hAnsi="Times New Roman"/>
          <w:sz w:val="20"/>
        </w:rPr>
        <w:t xml:space="preserve"> for Association of Irritated Residents, Medial Advocates for Healthy Air and Coalition for Clean Air as Amici Curiae on behalf of Plaintiffs and Appellants.</w:t>
      </w:r>
    </w:p>
    <w:p w:rsidR="000F05AE" w:rsidRPr="000F05AE" w:rsidRDefault="000F05AE" w:rsidP="000F05AE">
      <w:pPr>
        <w:spacing w:after="0" w:line="240" w:lineRule="auto"/>
        <w:jc w:val="left"/>
        <w:rPr>
          <w:rFonts w:ascii="Times New Roman" w:hAnsi="Times New Roman"/>
          <w:sz w:val="20"/>
        </w:rPr>
      </w:pPr>
    </w:p>
    <w:p w:rsidR="000F05AE" w:rsidRPr="000F05AE" w:rsidRDefault="000F05AE" w:rsidP="000F05AE">
      <w:pPr>
        <w:spacing w:after="0" w:line="240" w:lineRule="auto"/>
        <w:jc w:val="left"/>
        <w:rPr>
          <w:rFonts w:ascii="Times New Roman" w:hAnsi="Times New Roman"/>
          <w:sz w:val="20"/>
        </w:rPr>
      </w:pPr>
      <w:r w:rsidRPr="000F05AE">
        <w:rPr>
          <w:rFonts w:ascii="Times New Roman" w:hAnsi="Times New Roman"/>
          <w:sz w:val="20"/>
        </w:rPr>
        <w:t>Michael W. Graf for Center for Biological Diversity as Amicus Curiae on behalf of Plaintiffs and Appellants.</w:t>
      </w:r>
    </w:p>
    <w:p w:rsidR="000F05AE" w:rsidRPr="000F05AE" w:rsidRDefault="000F05AE" w:rsidP="000F05AE">
      <w:pPr>
        <w:spacing w:after="0" w:line="240" w:lineRule="auto"/>
        <w:jc w:val="left"/>
        <w:rPr>
          <w:rFonts w:ascii="Times New Roman" w:hAnsi="Times New Roman"/>
          <w:sz w:val="20"/>
        </w:rPr>
      </w:pPr>
    </w:p>
    <w:p w:rsidR="000F05AE" w:rsidRPr="000F05AE" w:rsidRDefault="000F05AE" w:rsidP="000F05AE">
      <w:pPr>
        <w:spacing w:after="0" w:line="240" w:lineRule="auto"/>
        <w:jc w:val="left"/>
        <w:rPr>
          <w:rFonts w:ascii="Times New Roman" w:hAnsi="Times New Roman"/>
          <w:sz w:val="20"/>
        </w:rPr>
      </w:pPr>
      <w:r w:rsidRPr="000F05AE">
        <w:rPr>
          <w:rFonts w:ascii="Times New Roman" w:hAnsi="Times New Roman"/>
          <w:sz w:val="20"/>
        </w:rPr>
        <w:t>Law Offices of Stephan C. Volker, Stephan C. Volker and Daniel P. Garrett-Steinman for North Coast Rivers Alliance as Amicus Curiae on behalf of Plaintiffs and Appellants.</w:t>
      </w:r>
    </w:p>
    <w:p w:rsidR="000F05AE" w:rsidRPr="000F05AE" w:rsidRDefault="000F05AE" w:rsidP="000F05AE">
      <w:pPr>
        <w:spacing w:after="0" w:line="240" w:lineRule="auto"/>
        <w:jc w:val="left"/>
        <w:rPr>
          <w:rFonts w:ascii="Times New Roman" w:hAnsi="Times New Roman"/>
          <w:sz w:val="20"/>
        </w:rPr>
      </w:pPr>
    </w:p>
    <w:p w:rsidR="000F05AE" w:rsidRPr="000F05AE" w:rsidRDefault="000F05AE" w:rsidP="000F05AE">
      <w:pPr>
        <w:spacing w:after="0" w:line="240" w:lineRule="auto"/>
        <w:jc w:val="left"/>
        <w:rPr>
          <w:rFonts w:ascii="Times New Roman" w:hAnsi="Times New Roman"/>
          <w:sz w:val="20"/>
        </w:rPr>
      </w:pPr>
      <w:r w:rsidRPr="000F05AE">
        <w:rPr>
          <w:rFonts w:ascii="Times New Roman" w:hAnsi="Times New Roman"/>
          <w:sz w:val="20"/>
        </w:rPr>
        <w:t>Ashley E. Werner and Phoebe S. Seaton for Leadership Counsel for Justice and Accountability as Amicus Curiae on behalf of Plaintiffs and Appellants.</w:t>
      </w:r>
    </w:p>
    <w:p w:rsidR="000F05AE" w:rsidRPr="000F05AE" w:rsidRDefault="000F05AE" w:rsidP="000F05AE">
      <w:pPr>
        <w:spacing w:after="0" w:line="240" w:lineRule="auto"/>
        <w:jc w:val="left"/>
        <w:rPr>
          <w:rFonts w:ascii="Times New Roman" w:hAnsi="Times New Roman"/>
          <w:sz w:val="20"/>
        </w:rPr>
      </w:pPr>
    </w:p>
    <w:p w:rsidR="000F05AE" w:rsidRPr="000F05AE" w:rsidRDefault="000F05AE" w:rsidP="000F05AE">
      <w:pPr>
        <w:spacing w:after="0" w:line="240" w:lineRule="auto"/>
        <w:jc w:val="left"/>
        <w:rPr>
          <w:rFonts w:ascii="Times New Roman" w:hAnsi="Times New Roman"/>
          <w:b/>
          <w:sz w:val="20"/>
        </w:rPr>
      </w:pPr>
      <w:r w:rsidRPr="000F05AE">
        <w:rPr>
          <w:rFonts w:ascii="Times New Roman" w:hAnsi="Times New Roman"/>
          <w:sz w:val="20"/>
        </w:rPr>
        <w:t>Kevin B. Briggs, County Counsel, and Bruce B. Johnson, Principal Deputy County Counsel, for Defendants and Respondents.</w:t>
      </w:r>
    </w:p>
    <w:p w:rsidR="000F05AE" w:rsidRPr="000F05AE" w:rsidRDefault="000F05AE" w:rsidP="000F05AE">
      <w:pPr>
        <w:spacing w:after="0" w:line="240" w:lineRule="auto"/>
        <w:jc w:val="left"/>
        <w:rPr>
          <w:rFonts w:ascii="Times New Roman" w:hAnsi="Times New Roman"/>
          <w:b/>
          <w:sz w:val="20"/>
        </w:rPr>
      </w:pPr>
    </w:p>
    <w:p w:rsidR="000F05AE" w:rsidRPr="000F05AE" w:rsidRDefault="000F05AE" w:rsidP="000F05AE">
      <w:pPr>
        <w:spacing w:after="0" w:line="240" w:lineRule="auto"/>
        <w:jc w:val="left"/>
        <w:rPr>
          <w:rFonts w:ascii="Times New Roman" w:hAnsi="Times New Roman"/>
          <w:sz w:val="20"/>
        </w:rPr>
      </w:pPr>
      <w:r w:rsidRPr="000F05AE">
        <w:rPr>
          <w:rFonts w:ascii="Times New Roman" w:hAnsi="Times New Roman"/>
          <w:sz w:val="20"/>
        </w:rPr>
        <w:t>Remy Moose Manley, James G. Moose, Tiffany K. Wright and Laura M. Harris for Real Party in Interest.</w:t>
      </w:r>
    </w:p>
    <w:p w:rsidR="000F05AE" w:rsidRPr="000F05AE" w:rsidRDefault="000F05AE" w:rsidP="000F05AE">
      <w:pPr>
        <w:spacing w:after="0" w:line="240" w:lineRule="auto"/>
        <w:jc w:val="left"/>
        <w:rPr>
          <w:rFonts w:ascii="Times New Roman" w:hAnsi="Times New Roman"/>
          <w:sz w:val="20"/>
        </w:rPr>
      </w:pPr>
    </w:p>
    <w:p w:rsidR="000F05AE" w:rsidRPr="000F05AE" w:rsidRDefault="000F05AE" w:rsidP="000F05AE">
      <w:pPr>
        <w:spacing w:after="0" w:line="240" w:lineRule="auto"/>
        <w:jc w:val="left"/>
        <w:rPr>
          <w:rFonts w:ascii="Times New Roman" w:hAnsi="Times New Roman"/>
          <w:sz w:val="20"/>
        </w:rPr>
      </w:pPr>
      <w:r w:rsidRPr="000F05AE">
        <w:rPr>
          <w:rFonts w:ascii="Times New Roman" w:hAnsi="Times New Roman"/>
          <w:sz w:val="20"/>
        </w:rPr>
        <w:t xml:space="preserve">Catherine T. Redmond and Annette </w:t>
      </w:r>
      <w:proofErr w:type="spellStart"/>
      <w:r w:rsidRPr="000F05AE">
        <w:rPr>
          <w:rFonts w:ascii="Times New Roman" w:hAnsi="Times New Roman"/>
          <w:sz w:val="20"/>
        </w:rPr>
        <w:t>Ballatore</w:t>
      </w:r>
      <w:proofErr w:type="spellEnd"/>
      <w:r w:rsidRPr="000F05AE">
        <w:rPr>
          <w:rFonts w:ascii="Times New Roman" w:hAnsi="Times New Roman"/>
          <w:sz w:val="20"/>
        </w:rPr>
        <w:t>-Williamson for San Joaquin Valley Unified Air Pollution Control District as Amicus Curiae on behalf of Defendants and Respondents and Real Party in Interest.</w:t>
      </w:r>
    </w:p>
    <w:p w:rsidR="000F05AE" w:rsidRPr="000F05AE" w:rsidRDefault="000F05AE" w:rsidP="000F05AE">
      <w:pPr>
        <w:spacing w:after="0" w:line="240" w:lineRule="auto"/>
        <w:jc w:val="left"/>
        <w:rPr>
          <w:rFonts w:ascii="Times New Roman" w:hAnsi="Times New Roman"/>
          <w:sz w:val="20"/>
        </w:rPr>
      </w:pPr>
    </w:p>
    <w:p w:rsidR="000F05AE" w:rsidRPr="000F05AE" w:rsidRDefault="000F05AE" w:rsidP="000F05AE">
      <w:pPr>
        <w:spacing w:after="0" w:line="240" w:lineRule="auto"/>
        <w:jc w:val="left"/>
        <w:rPr>
          <w:rFonts w:ascii="Times New Roman" w:hAnsi="Times New Roman"/>
          <w:sz w:val="20"/>
        </w:rPr>
      </w:pPr>
      <w:r w:rsidRPr="000F05AE">
        <w:rPr>
          <w:rFonts w:ascii="Times New Roman" w:hAnsi="Times New Roman"/>
          <w:sz w:val="20"/>
        </w:rPr>
        <w:t xml:space="preserve">The </w:t>
      </w:r>
      <w:proofErr w:type="spellStart"/>
      <w:r w:rsidRPr="000F05AE">
        <w:rPr>
          <w:rFonts w:ascii="Times New Roman" w:hAnsi="Times New Roman"/>
          <w:sz w:val="20"/>
        </w:rPr>
        <w:t>Sohagi</w:t>
      </w:r>
      <w:proofErr w:type="spellEnd"/>
      <w:r w:rsidRPr="000F05AE">
        <w:rPr>
          <w:rFonts w:ascii="Times New Roman" w:hAnsi="Times New Roman"/>
          <w:sz w:val="20"/>
        </w:rPr>
        <w:t xml:space="preserve"> Law Group, Margaret M. </w:t>
      </w:r>
      <w:proofErr w:type="spellStart"/>
      <w:r w:rsidRPr="000F05AE">
        <w:rPr>
          <w:rFonts w:ascii="Times New Roman" w:hAnsi="Times New Roman"/>
          <w:sz w:val="20"/>
        </w:rPr>
        <w:t>Sohagi</w:t>
      </w:r>
      <w:proofErr w:type="spellEnd"/>
      <w:r w:rsidRPr="000F05AE">
        <w:rPr>
          <w:rFonts w:ascii="Times New Roman" w:hAnsi="Times New Roman"/>
          <w:sz w:val="20"/>
        </w:rPr>
        <w:t xml:space="preserve"> and Philip A. Seymour for League of California Cities, California State Association of Counties, California Special Districts Association and Association of California Water Agencies as Amici Curiae on behalf of Real Party in Interest.</w:t>
      </w:r>
    </w:p>
    <w:p w:rsidR="000F05AE" w:rsidRPr="000F05AE" w:rsidRDefault="000F05AE" w:rsidP="000F05AE">
      <w:pPr>
        <w:spacing w:after="0" w:line="240" w:lineRule="auto"/>
        <w:jc w:val="left"/>
        <w:rPr>
          <w:rFonts w:ascii="Times New Roman" w:hAnsi="Times New Roman"/>
          <w:sz w:val="20"/>
        </w:rPr>
      </w:pPr>
    </w:p>
    <w:p w:rsidR="000F05AE" w:rsidRPr="000F05AE" w:rsidRDefault="000F05AE" w:rsidP="000F05AE">
      <w:pPr>
        <w:spacing w:after="0" w:line="240" w:lineRule="auto"/>
        <w:jc w:val="left"/>
        <w:rPr>
          <w:rFonts w:ascii="Times New Roman" w:hAnsi="Times New Roman"/>
          <w:sz w:val="20"/>
        </w:rPr>
      </w:pPr>
      <w:r w:rsidRPr="000F05AE">
        <w:rPr>
          <w:rFonts w:ascii="Times New Roman" w:hAnsi="Times New Roman"/>
          <w:sz w:val="20"/>
        </w:rPr>
        <w:t>Brownstein Hyatt Farber Schreck and Lisabeth D. Rothman for California Building Industry Association and Building Industry Legal Defense Foundation as Amici Curiae on behalf of Real Party in Interest.</w:t>
      </w:r>
    </w:p>
    <w:p w:rsidR="000F05AE" w:rsidRPr="000F05AE" w:rsidRDefault="000F05AE" w:rsidP="000F05AE">
      <w:pPr>
        <w:spacing w:after="0" w:line="240" w:lineRule="auto"/>
        <w:jc w:val="left"/>
        <w:rPr>
          <w:rFonts w:ascii="Times New Roman" w:hAnsi="Times New Roman"/>
          <w:sz w:val="20"/>
        </w:rPr>
      </w:pPr>
    </w:p>
    <w:p w:rsidR="000F05AE" w:rsidRPr="000F05AE" w:rsidRDefault="000F05AE" w:rsidP="000F05AE">
      <w:pPr>
        <w:spacing w:after="0" w:line="240" w:lineRule="auto"/>
        <w:jc w:val="left"/>
        <w:rPr>
          <w:rFonts w:ascii="Times New Roman" w:hAnsi="Times New Roman"/>
          <w:b/>
          <w:sz w:val="20"/>
        </w:rPr>
      </w:pPr>
    </w:p>
    <w:p w:rsidR="000F05AE" w:rsidRPr="000F05AE" w:rsidRDefault="000F05AE" w:rsidP="000F05AE">
      <w:pPr>
        <w:spacing w:after="0" w:line="240" w:lineRule="auto"/>
        <w:jc w:val="left"/>
        <w:rPr>
          <w:rFonts w:ascii="Times New Roman" w:hAnsi="Times New Roman"/>
          <w:b/>
          <w:sz w:val="20"/>
        </w:rPr>
      </w:pPr>
    </w:p>
    <w:p w:rsidR="000F05AE" w:rsidRPr="000F05AE" w:rsidRDefault="000F05AE" w:rsidP="000F05AE">
      <w:pPr>
        <w:spacing w:after="0" w:line="240" w:lineRule="auto"/>
        <w:jc w:val="left"/>
        <w:rPr>
          <w:rFonts w:ascii="Times New Roman" w:hAnsi="Times New Roman"/>
          <w:b/>
          <w:sz w:val="20"/>
        </w:rPr>
      </w:pPr>
    </w:p>
    <w:p w:rsidR="000F05AE" w:rsidRPr="000F05AE" w:rsidRDefault="000F05AE" w:rsidP="000F05AE">
      <w:pPr>
        <w:spacing w:after="0" w:line="240" w:lineRule="auto"/>
        <w:jc w:val="left"/>
        <w:rPr>
          <w:rFonts w:ascii="Times New Roman" w:hAnsi="Times New Roman"/>
          <w:b/>
          <w:sz w:val="20"/>
        </w:rPr>
      </w:pPr>
      <w:r w:rsidRPr="000F05AE">
        <w:rPr>
          <w:rFonts w:ascii="Times New Roman" w:hAnsi="Times New Roman"/>
          <w:b/>
          <w:sz w:val="20"/>
        </w:rPr>
        <w:t>Page 2 – S219783 – counsel continued</w:t>
      </w:r>
    </w:p>
    <w:p w:rsidR="000F05AE" w:rsidRPr="000F05AE" w:rsidRDefault="000F05AE" w:rsidP="000F05AE">
      <w:pPr>
        <w:spacing w:after="0" w:line="240" w:lineRule="auto"/>
        <w:jc w:val="left"/>
        <w:rPr>
          <w:rFonts w:ascii="Times New Roman" w:hAnsi="Times New Roman"/>
          <w:b/>
          <w:sz w:val="20"/>
        </w:rPr>
      </w:pPr>
    </w:p>
    <w:p w:rsidR="000F05AE" w:rsidRPr="000F05AE" w:rsidRDefault="000F05AE" w:rsidP="000F05AE">
      <w:pPr>
        <w:spacing w:after="0" w:line="240" w:lineRule="auto"/>
        <w:jc w:val="left"/>
        <w:rPr>
          <w:rFonts w:ascii="Times New Roman" w:hAnsi="Times New Roman"/>
          <w:b/>
          <w:sz w:val="20"/>
        </w:rPr>
      </w:pPr>
      <w:r w:rsidRPr="000F05AE">
        <w:rPr>
          <w:rFonts w:ascii="Times New Roman" w:hAnsi="Times New Roman"/>
          <w:b/>
          <w:sz w:val="20"/>
        </w:rPr>
        <w:t>Counsel:</w:t>
      </w:r>
    </w:p>
    <w:p w:rsidR="000F05AE" w:rsidRPr="000F05AE" w:rsidRDefault="000F05AE" w:rsidP="000F05AE">
      <w:pPr>
        <w:spacing w:after="0" w:line="240" w:lineRule="auto"/>
        <w:jc w:val="left"/>
        <w:rPr>
          <w:rFonts w:ascii="Times New Roman" w:hAnsi="Times New Roman"/>
          <w:b/>
          <w:sz w:val="20"/>
        </w:rPr>
      </w:pPr>
    </w:p>
    <w:p w:rsidR="000F05AE" w:rsidRPr="000F05AE" w:rsidRDefault="000F05AE" w:rsidP="000F05AE">
      <w:pPr>
        <w:spacing w:after="0" w:line="240" w:lineRule="auto"/>
        <w:jc w:val="left"/>
        <w:rPr>
          <w:rFonts w:ascii="Times New Roman" w:hAnsi="Times New Roman"/>
          <w:sz w:val="20"/>
        </w:rPr>
      </w:pPr>
      <w:r w:rsidRPr="000F05AE">
        <w:rPr>
          <w:rFonts w:ascii="Times New Roman" w:hAnsi="Times New Roman"/>
          <w:sz w:val="20"/>
        </w:rPr>
        <w:t xml:space="preserve">Best </w:t>
      </w:r>
      <w:proofErr w:type="spellStart"/>
      <w:r w:rsidRPr="000F05AE">
        <w:rPr>
          <w:rFonts w:ascii="Times New Roman" w:hAnsi="Times New Roman"/>
          <w:sz w:val="20"/>
        </w:rPr>
        <w:t>Best</w:t>
      </w:r>
      <w:proofErr w:type="spellEnd"/>
      <w:r w:rsidRPr="000F05AE">
        <w:rPr>
          <w:rFonts w:ascii="Times New Roman" w:hAnsi="Times New Roman"/>
          <w:sz w:val="20"/>
        </w:rPr>
        <w:t xml:space="preserve"> &amp; Krieger, Jason M. Ackerman and Fernando Avila for California Association of Environmental Professionals and American Planning Association California Chapter as Amici Curiae on behalf of Real Party in Interest.</w:t>
      </w:r>
    </w:p>
    <w:p w:rsidR="000F05AE" w:rsidRPr="000F05AE" w:rsidRDefault="000F05AE" w:rsidP="000F05AE">
      <w:pPr>
        <w:spacing w:after="0" w:line="240" w:lineRule="auto"/>
        <w:jc w:val="left"/>
        <w:rPr>
          <w:rFonts w:ascii="Times New Roman" w:hAnsi="Times New Roman"/>
          <w:sz w:val="20"/>
        </w:rPr>
      </w:pPr>
    </w:p>
    <w:p w:rsidR="000F05AE" w:rsidRPr="000F05AE" w:rsidRDefault="000F05AE" w:rsidP="000F05AE">
      <w:pPr>
        <w:spacing w:after="0" w:line="240" w:lineRule="auto"/>
        <w:jc w:val="left"/>
        <w:rPr>
          <w:rFonts w:ascii="Times New Roman" w:hAnsi="Times New Roman"/>
          <w:sz w:val="20"/>
        </w:rPr>
      </w:pPr>
      <w:r w:rsidRPr="000F05AE">
        <w:rPr>
          <w:rFonts w:ascii="Times New Roman" w:hAnsi="Times New Roman"/>
          <w:sz w:val="20"/>
        </w:rPr>
        <w:t>Kurt R. Wiese and Barbara Baird for South Coast Air Quality Management District as Amicus Curiae.</w:t>
      </w:r>
    </w:p>
    <w:p w:rsidR="000F05AE" w:rsidRPr="000F05AE" w:rsidRDefault="000F05AE" w:rsidP="000F05AE">
      <w:pPr>
        <w:spacing w:after="0" w:line="240" w:lineRule="auto"/>
        <w:jc w:val="left"/>
        <w:rPr>
          <w:rFonts w:ascii="Times New Roman" w:hAnsi="Times New Roman"/>
          <w:sz w:val="20"/>
        </w:rPr>
      </w:pPr>
    </w:p>
    <w:p w:rsidR="000F05AE" w:rsidRPr="000F05AE" w:rsidRDefault="000F05AE" w:rsidP="000F05AE">
      <w:pPr>
        <w:spacing w:after="0" w:line="240" w:lineRule="auto"/>
        <w:jc w:val="left"/>
        <w:rPr>
          <w:rFonts w:ascii="Times New Roman" w:hAnsi="Times New Roman"/>
          <w:b/>
          <w:sz w:val="20"/>
        </w:rPr>
      </w:pPr>
    </w:p>
    <w:p w:rsidR="000F05AE" w:rsidRPr="000F05AE" w:rsidRDefault="000F05AE" w:rsidP="000F05AE">
      <w:pPr>
        <w:spacing w:after="0" w:line="240" w:lineRule="auto"/>
        <w:jc w:val="left"/>
        <w:rPr>
          <w:rFonts w:ascii="Times New Roman" w:hAnsi="Times New Roman"/>
          <w:b/>
          <w:sz w:val="20"/>
        </w:rPr>
      </w:pPr>
    </w:p>
    <w:p w:rsidR="000F05AE" w:rsidRPr="000F05AE" w:rsidRDefault="000F05AE" w:rsidP="000F05AE">
      <w:pPr>
        <w:spacing w:after="0" w:line="240" w:lineRule="auto"/>
        <w:jc w:val="left"/>
        <w:rPr>
          <w:rFonts w:ascii="Times New Roman" w:hAnsi="Times New Roman"/>
          <w:b/>
          <w:sz w:val="20"/>
        </w:rPr>
      </w:pPr>
    </w:p>
    <w:p w:rsidR="000F05AE" w:rsidRPr="000F05AE" w:rsidRDefault="000F05AE" w:rsidP="000F05AE">
      <w:pPr>
        <w:spacing w:after="0" w:line="240" w:lineRule="auto"/>
        <w:jc w:val="left"/>
        <w:rPr>
          <w:rFonts w:ascii="Times New Roman" w:hAnsi="Times New Roman"/>
          <w:b/>
          <w:sz w:val="20"/>
        </w:rPr>
      </w:pPr>
    </w:p>
    <w:p w:rsidR="000F05AE" w:rsidRPr="000F05AE" w:rsidRDefault="000F05AE" w:rsidP="000F05AE">
      <w:pPr>
        <w:spacing w:after="0" w:line="240" w:lineRule="auto"/>
        <w:jc w:val="left"/>
        <w:rPr>
          <w:rFonts w:ascii="Times New Roman" w:hAnsi="Times New Roman"/>
          <w:b/>
          <w:sz w:val="20"/>
        </w:rPr>
      </w:pPr>
    </w:p>
    <w:p w:rsidR="000F05AE" w:rsidRPr="000F05AE" w:rsidRDefault="000F05AE" w:rsidP="000F05AE">
      <w:pPr>
        <w:spacing w:after="0" w:line="240" w:lineRule="auto"/>
        <w:jc w:val="left"/>
        <w:rPr>
          <w:rFonts w:ascii="Times New Roman" w:hAnsi="Times New Roman"/>
          <w:b/>
          <w:sz w:val="20"/>
        </w:rPr>
      </w:pPr>
    </w:p>
    <w:p w:rsidR="000F05AE" w:rsidRPr="000F05AE" w:rsidRDefault="000F05AE" w:rsidP="000F05AE">
      <w:pPr>
        <w:spacing w:after="0" w:line="240" w:lineRule="auto"/>
        <w:jc w:val="left"/>
        <w:rPr>
          <w:rFonts w:ascii="Times New Roman" w:hAnsi="Times New Roman"/>
          <w:b/>
          <w:sz w:val="20"/>
        </w:rPr>
      </w:pPr>
    </w:p>
    <w:p w:rsidR="000F05AE" w:rsidRPr="000F05AE" w:rsidRDefault="000F05AE" w:rsidP="000F05AE">
      <w:pPr>
        <w:spacing w:after="0" w:line="240" w:lineRule="auto"/>
        <w:jc w:val="left"/>
        <w:rPr>
          <w:rFonts w:ascii="Times New Roman" w:hAnsi="Times New Roman"/>
          <w:b/>
          <w:sz w:val="20"/>
        </w:rPr>
      </w:pPr>
    </w:p>
    <w:p w:rsidR="000F05AE" w:rsidRPr="000F05AE" w:rsidRDefault="000F05AE" w:rsidP="000F05AE">
      <w:pPr>
        <w:spacing w:after="0" w:line="240" w:lineRule="auto"/>
        <w:jc w:val="left"/>
        <w:rPr>
          <w:rFonts w:ascii="Times New Roman" w:hAnsi="Times New Roman"/>
          <w:b/>
          <w:sz w:val="20"/>
        </w:rPr>
      </w:pPr>
    </w:p>
    <w:p w:rsidR="000F05AE" w:rsidRPr="000F05AE" w:rsidRDefault="000F05AE" w:rsidP="000F05AE">
      <w:pPr>
        <w:spacing w:after="0" w:line="240" w:lineRule="auto"/>
        <w:jc w:val="left"/>
        <w:rPr>
          <w:rFonts w:ascii="Times New Roman" w:hAnsi="Times New Roman"/>
          <w:b/>
          <w:sz w:val="20"/>
        </w:rPr>
      </w:pPr>
    </w:p>
    <w:p w:rsidR="000F05AE" w:rsidRPr="000F05AE" w:rsidRDefault="000F05AE" w:rsidP="000F05AE">
      <w:pPr>
        <w:spacing w:after="0" w:line="240" w:lineRule="auto"/>
        <w:jc w:val="left"/>
        <w:rPr>
          <w:rFonts w:ascii="Times New Roman" w:hAnsi="Times New Roman"/>
          <w:b/>
          <w:sz w:val="20"/>
        </w:rPr>
      </w:pPr>
    </w:p>
    <w:p w:rsidR="000F05AE" w:rsidRPr="000F05AE" w:rsidRDefault="000F05AE" w:rsidP="000F05AE">
      <w:pPr>
        <w:spacing w:after="0" w:line="240" w:lineRule="auto"/>
        <w:jc w:val="left"/>
        <w:rPr>
          <w:rFonts w:ascii="Times New Roman" w:hAnsi="Times New Roman"/>
          <w:b/>
          <w:sz w:val="20"/>
        </w:rPr>
      </w:pPr>
    </w:p>
    <w:p w:rsidR="000F05AE" w:rsidRPr="000F05AE" w:rsidRDefault="000F05AE" w:rsidP="000F05AE">
      <w:pPr>
        <w:spacing w:after="0" w:line="240" w:lineRule="auto"/>
        <w:jc w:val="left"/>
        <w:rPr>
          <w:rFonts w:ascii="Times New Roman" w:hAnsi="Times New Roman"/>
          <w:b/>
          <w:sz w:val="20"/>
        </w:rPr>
      </w:pPr>
    </w:p>
    <w:p w:rsidR="000F05AE" w:rsidRPr="000F05AE" w:rsidRDefault="000F05AE" w:rsidP="000F05AE">
      <w:pPr>
        <w:spacing w:after="0" w:line="240" w:lineRule="auto"/>
        <w:jc w:val="left"/>
        <w:rPr>
          <w:rFonts w:ascii="Times New Roman" w:hAnsi="Times New Roman"/>
          <w:b/>
          <w:sz w:val="20"/>
        </w:rPr>
      </w:pPr>
    </w:p>
    <w:p w:rsidR="000F05AE" w:rsidRPr="000F05AE" w:rsidRDefault="000F05AE" w:rsidP="000F05AE">
      <w:pPr>
        <w:spacing w:after="0" w:line="240" w:lineRule="auto"/>
        <w:jc w:val="left"/>
        <w:rPr>
          <w:rFonts w:ascii="Times New Roman" w:hAnsi="Times New Roman"/>
          <w:b/>
          <w:sz w:val="20"/>
        </w:rPr>
      </w:pPr>
    </w:p>
    <w:p w:rsidR="000F05AE" w:rsidRPr="000F05AE" w:rsidRDefault="000F05AE" w:rsidP="000F05AE">
      <w:pPr>
        <w:spacing w:after="0" w:line="240" w:lineRule="auto"/>
        <w:jc w:val="left"/>
        <w:rPr>
          <w:rFonts w:ascii="Times New Roman" w:hAnsi="Times New Roman"/>
          <w:b/>
          <w:sz w:val="20"/>
        </w:rPr>
      </w:pPr>
    </w:p>
    <w:p w:rsidR="000F05AE" w:rsidRPr="000F05AE" w:rsidRDefault="000F05AE" w:rsidP="000F05AE">
      <w:pPr>
        <w:spacing w:after="0" w:line="240" w:lineRule="auto"/>
        <w:jc w:val="left"/>
        <w:rPr>
          <w:rFonts w:ascii="Times New Roman" w:hAnsi="Times New Roman"/>
          <w:b/>
          <w:sz w:val="20"/>
        </w:rPr>
      </w:pPr>
    </w:p>
    <w:p w:rsidR="000F05AE" w:rsidRPr="000F05AE" w:rsidRDefault="000F05AE" w:rsidP="000F05AE">
      <w:pPr>
        <w:spacing w:after="0" w:line="240" w:lineRule="auto"/>
        <w:jc w:val="left"/>
        <w:rPr>
          <w:rFonts w:ascii="Times New Roman" w:hAnsi="Times New Roman"/>
          <w:b/>
          <w:sz w:val="20"/>
        </w:rPr>
      </w:pPr>
    </w:p>
    <w:p w:rsidR="000F05AE" w:rsidRPr="000F05AE" w:rsidRDefault="000F05AE" w:rsidP="000F05AE">
      <w:pPr>
        <w:spacing w:after="0" w:line="240" w:lineRule="auto"/>
        <w:jc w:val="left"/>
        <w:rPr>
          <w:rFonts w:ascii="Times New Roman" w:hAnsi="Times New Roman"/>
          <w:b/>
          <w:sz w:val="20"/>
        </w:rPr>
      </w:pPr>
    </w:p>
    <w:p w:rsidR="000F05AE" w:rsidRPr="000F05AE" w:rsidRDefault="000F05AE" w:rsidP="000F05AE">
      <w:pPr>
        <w:spacing w:after="0" w:line="240" w:lineRule="auto"/>
        <w:jc w:val="left"/>
        <w:rPr>
          <w:rFonts w:ascii="Times New Roman" w:hAnsi="Times New Roman"/>
          <w:b/>
          <w:sz w:val="20"/>
        </w:rPr>
      </w:pPr>
      <w:r w:rsidRPr="000F05AE">
        <w:rPr>
          <w:rFonts w:ascii="Times New Roman" w:hAnsi="Times New Roman"/>
          <w:b/>
          <w:sz w:val="20"/>
        </w:rPr>
        <w:br w:type="page"/>
      </w:r>
    </w:p>
    <w:p w:rsidR="000F05AE" w:rsidRPr="000F05AE" w:rsidRDefault="000F05AE" w:rsidP="000F05AE">
      <w:pPr>
        <w:spacing w:after="0" w:line="240" w:lineRule="auto"/>
        <w:jc w:val="left"/>
        <w:rPr>
          <w:rFonts w:ascii="Times New Roman" w:hAnsi="Times New Roman"/>
          <w:b/>
          <w:sz w:val="20"/>
        </w:rPr>
      </w:pPr>
    </w:p>
    <w:p w:rsidR="000F05AE" w:rsidRPr="000F05AE" w:rsidRDefault="000F05AE" w:rsidP="000F05AE">
      <w:pPr>
        <w:spacing w:after="0" w:line="240" w:lineRule="auto"/>
        <w:jc w:val="left"/>
        <w:rPr>
          <w:rFonts w:ascii="Times New Roman" w:hAnsi="Times New Roman"/>
          <w:b/>
          <w:sz w:val="20"/>
        </w:rPr>
      </w:pPr>
    </w:p>
    <w:p w:rsidR="000F05AE" w:rsidRPr="000F05AE" w:rsidRDefault="000F05AE" w:rsidP="000F05AE">
      <w:pPr>
        <w:spacing w:after="0" w:line="240" w:lineRule="auto"/>
        <w:jc w:val="left"/>
        <w:rPr>
          <w:rFonts w:ascii="Times New Roman" w:hAnsi="Times New Roman"/>
          <w:b/>
          <w:sz w:val="20"/>
        </w:rPr>
      </w:pPr>
    </w:p>
    <w:p w:rsidR="000F05AE" w:rsidRPr="000F05AE" w:rsidRDefault="000F05AE" w:rsidP="000F05AE">
      <w:pPr>
        <w:spacing w:after="0" w:line="240" w:lineRule="auto"/>
        <w:jc w:val="left"/>
        <w:rPr>
          <w:rFonts w:ascii="Times New Roman" w:hAnsi="Times New Roman"/>
          <w:b/>
          <w:sz w:val="20"/>
        </w:rPr>
      </w:pPr>
      <w:r w:rsidRPr="000F05AE">
        <w:rPr>
          <w:rFonts w:ascii="Times New Roman" w:hAnsi="Times New Roman"/>
          <w:b/>
          <w:sz w:val="20"/>
        </w:rPr>
        <w:t>Counsel who argued in Supreme Court (not intended for publication with opinion):</w:t>
      </w:r>
    </w:p>
    <w:p w:rsidR="000F05AE" w:rsidRPr="000F05AE" w:rsidRDefault="000F05AE" w:rsidP="000F05AE">
      <w:pPr>
        <w:spacing w:after="0" w:line="240" w:lineRule="auto"/>
        <w:jc w:val="left"/>
        <w:rPr>
          <w:rFonts w:ascii="Times New Roman" w:hAnsi="Times New Roman"/>
          <w:b/>
          <w:sz w:val="20"/>
        </w:rPr>
      </w:pPr>
    </w:p>
    <w:p w:rsidR="000F05AE" w:rsidRPr="000F05AE" w:rsidRDefault="000F05AE" w:rsidP="000F05AE">
      <w:pPr>
        <w:spacing w:after="0" w:line="240" w:lineRule="auto"/>
        <w:jc w:val="left"/>
        <w:rPr>
          <w:rFonts w:ascii="Times New Roman" w:hAnsi="Times New Roman"/>
          <w:sz w:val="20"/>
        </w:rPr>
      </w:pPr>
      <w:r w:rsidRPr="000F05AE">
        <w:rPr>
          <w:rFonts w:ascii="Times New Roman" w:hAnsi="Times New Roman"/>
          <w:sz w:val="20"/>
        </w:rPr>
        <w:t xml:space="preserve">Sara </w:t>
      </w:r>
      <w:proofErr w:type="spellStart"/>
      <w:r w:rsidRPr="000F05AE">
        <w:rPr>
          <w:rFonts w:ascii="Times New Roman" w:hAnsi="Times New Roman"/>
          <w:sz w:val="20"/>
        </w:rPr>
        <w:t>Hedgpeth</w:t>
      </w:r>
      <w:proofErr w:type="spellEnd"/>
      <w:r w:rsidRPr="000F05AE">
        <w:rPr>
          <w:rFonts w:ascii="Times New Roman" w:hAnsi="Times New Roman"/>
          <w:sz w:val="20"/>
        </w:rPr>
        <w:t>-Harris</w:t>
      </w:r>
    </w:p>
    <w:p w:rsidR="000F05AE" w:rsidRPr="000F05AE" w:rsidRDefault="000F05AE" w:rsidP="000F05AE">
      <w:pPr>
        <w:spacing w:after="0" w:line="240" w:lineRule="auto"/>
        <w:jc w:val="left"/>
        <w:rPr>
          <w:rFonts w:ascii="Times New Roman" w:hAnsi="Times New Roman"/>
          <w:sz w:val="20"/>
        </w:rPr>
      </w:pPr>
      <w:r w:rsidRPr="000F05AE">
        <w:rPr>
          <w:rFonts w:ascii="Times New Roman" w:hAnsi="Times New Roman"/>
          <w:sz w:val="20"/>
        </w:rPr>
        <w:t xml:space="preserve">Law Office of Sara </w:t>
      </w:r>
      <w:proofErr w:type="spellStart"/>
      <w:r w:rsidRPr="000F05AE">
        <w:rPr>
          <w:rFonts w:ascii="Times New Roman" w:hAnsi="Times New Roman"/>
          <w:sz w:val="20"/>
        </w:rPr>
        <w:t>Hedgpeth</w:t>
      </w:r>
      <w:proofErr w:type="spellEnd"/>
      <w:r w:rsidRPr="000F05AE">
        <w:rPr>
          <w:rFonts w:ascii="Times New Roman" w:hAnsi="Times New Roman"/>
          <w:sz w:val="20"/>
        </w:rPr>
        <w:t>-Harris</w:t>
      </w:r>
    </w:p>
    <w:p w:rsidR="000F05AE" w:rsidRPr="000F05AE" w:rsidRDefault="000F05AE" w:rsidP="000F05AE">
      <w:pPr>
        <w:spacing w:after="0" w:line="240" w:lineRule="auto"/>
        <w:jc w:val="left"/>
        <w:rPr>
          <w:rFonts w:ascii="Times New Roman" w:hAnsi="Times New Roman"/>
          <w:sz w:val="20"/>
        </w:rPr>
      </w:pPr>
      <w:r w:rsidRPr="000F05AE">
        <w:rPr>
          <w:rFonts w:ascii="Times New Roman" w:hAnsi="Times New Roman"/>
          <w:sz w:val="20"/>
        </w:rPr>
        <w:t>2115 Kern Street, Suite 1</w:t>
      </w:r>
    </w:p>
    <w:p w:rsidR="000F05AE" w:rsidRPr="000F05AE" w:rsidRDefault="000F05AE" w:rsidP="000F05AE">
      <w:pPr>
        <w:spacing w:after="0" w:line="240" w:lineRule="auto"/>
        <w:jc w:val="left"/>
        <w:rPr>
          <w:rFonts w:ascii="Times New Roman" w:hAnsi="Times New Roman"/>
          <w:sz w:val="20"/>
        </w:rPr>
      </w:pPr>
      <w:r w:rsidRPr="000F05AE">
        <w:rPr>
          <w:rFonts w:ascii="Times New Roman" w:hAnsi="Times New Roman"/>
          <w:sz w:val="20"/>
        </w:rPr>
        <w:t>Fresno, CA  93721</w:t>
      </w:r>
    </w:p>
    <w:p w:rsidR="000F05AE" w:rsidRPr="000F05AE" w:rsidRDefault="000F05AE" w:rsidP="000F05AE">
      <w:pPr>
        <w:spacing w:after="0" w:line="240" w:lineRule="auto"/>
        <w:jc w:val="left"/>
        <w:rPr>
          <w:rFonts w:ascii="Times New Roman" w:hAnsi="Times New Roman"/>
          <w:sz w:val="20"/>
        </w:rPr>
      </w:pPr>
      <w:r w:rsidRPr="000F05AE">
        <w:rPr>
          <w:rFonts w:ascii="Times New Roman" w:hAnsi="Times New Roman"/>
          <w:sz w:val="20"/>
        </w:rPr>
        <w:t>(559) 510-1259</w:t>
      </w:r>
    </w:p>
    <w:p w:rsidR="000F05AE" w:rsidRPr="000F05AE" w:rsidRDefault="000F05AE" w:rsidP="000F05AE">
      <w:pPr>
        <w:spacing w:after="0" w:line="240" w:lineRule="auto"/>
        <w:jc w:val="left"/>
        <w:rPr>
          <w:rFonts w:ascii="Times New Roman" w:hAnsi="Times New Roman"/>
          <w:sz w:val="20"/>
        </w:rPr>
      </w:pPr>
    </w:p>
    <w:p w:rsidR="000F05AE" w:rsidRPr="000F05AE" w:rsidRDefault="000F05AE" w:rsidP="000F05AE">
      <w:pPr>
        <w:spacing w:after="0" w:line="240" w:lineRule="auto"/>
        <w:jc w:val="left"/>
        <w:rPr>
          <w:rFonts w:ascii="Times New Roman" w:hAnsi="Times New Roman"/>
          <w:sz w:val="20"/>
        </w:rPr>
      </w:pPr>
      <w:r w:rsidRPr="000F05AE">
        <w:rPr>
          <w:rFonts w:ascii="Times New Roman" w:hAnsi="Times New Roman"/>
          <w:sz w:val="20"/>
        </w:rPr>
        <w:t>Susan Brandt-Hawley</w:t>
      </w:r>
    </w:p>
    <w:p w:rsidR="000F05AE" w:rsidRPr="000F05AE" w:rsidRDefault="000F05AE" w:rsidP="000F05AE">
      <w:pPr>
        <w:spacing w:after="0" w:line="240" w:lineRule="auto"/>
        <w:jc w:val="left"/>
        <w:rPr>
          <w:rFonts w:ascii="Times New Roman" w:hAnsi="Times New Roman"/>
          <w:sz w:val="20"/>
        </w:rPr>
      </w:pPr>
      <w:r w:rsidRPr="000F05AE">
        <w:rPr>
          <w:rFonts w:ascii="Times New Roman" w:hAnsi="Times New Roman"/>
          <w:sz w:val="20"/>
        </w:rPr>
        <w:t>Brandt-Hawley Law Group</w:t>
      </w:r>
    </w:p>
    <w:p w:rsidR="000F05AE" w:rsidRPr="000F05AE" w:rsidRDefault="000F05AE" w:rsidP="000F05AE">
      <w:pPr>
        <w:spacing w:after="0" w:line="240" w:lineRule="auto"/>
        <w:jc w:val="left"/>
        <w:rPr>
          <w:rFonts w:ascii="Times New Roman" w:hAnsi="Times New Roman"/>
          <w:sz w:val="20"/>
        </w:rPr>
      </w:pPr>
      <w:r w:rsidRPr="000F05AE">
        <w:rPr>
          <w:rFonts w:ascii="Times New Roman" w:hAnsi="Times New Roman"/>
          <w:sz w:val="20"/>
        </w:rPr>
        <w:t>P.O. Box 1659</w:t>
      </w:r>
    </w:p>
    <w:p w:rsidR="000F05AE" w:rsidRPr="000F05AE" w:rsidRDefault="000F05AE" w:rsidP="000F05AE">
      <w:pPr>
        <w:spacing w:after="0" w:line="240" w:lineRule="auto"/>
        <w:jc w:val="left"/>
        <w:rPr>
          <w:rFonts w:ascii="Times New Roman" w:hAnsi="Times New Roman"/>
          <w:sz w:val="20"/>
        </w:rPr>
      </w:pPr>
      <w:r w:rsidRPr="000F05AE">
        <w:rPr>
          <w:rFonts w:ascii="Times New Roman" w:hAnsi="Times New Roman"/>
          <w:sz w:val="20"/>
        </w:rPr>
        <w:t>Glen Ellen, CA  95442</w:t>
      </w:r>
    </w:p>
    <w:p w:rsidR="000F05AE" w:rsidRPr="000F05AE" w:rsidRDefault="000F05AE" w:rsidP="000F05AE">
      <w:pPr>
        <w:spacing w:after="0" w:line="240" w:lineRule="auto"/>
        <w:jc w:val="left"/>
        <w:rPr>
          <w:rFonts w:ascii="Times New Roman" w:hAnsi="Times New Roman"/>
          <w:sz w:val="20"/>
        </w:rPr>
      </w:pPr>
      <w:r w:rsidRPr="000F05AE">
        <w:rPr>
          <w:rFonts w:ascii="Times New Roman" w:hAnsi="Times New Roman"/>
          <w:sz w:val="20"/>
        </w:rPr>
        <w:t>(707) 938-3900</w:t>
      </w:r>
    </w:p>
    <w:p w:rsidR="000F05AE" w:rsidRPr="000F05AE" w:rsidRDefault="000F05AE" w:rsidP="000F05AE">
      <w:pPr>
        <w:spacing w:after="0" w:line="240" w:lineRule="auto"/>
        <w:jc w:val="left"/>
        <w:rPr>
          <w:rFonts w:ascii="Times New Roman" w:hAnsi="Times New Roman"/>
          <w:sz w:val="20"/>
        </w:rPr>
      </w:pPr>
    </w:p>
    <w:p w:rsidR="000F05AE" w:rsidRPr="000F05AE" w:rsidRDefault="000F05AE" w:rsidP="000F05AE">
      <w:pPr>
        <w:spacing w:after="0" w:line="240" w:lineRule="auto"/>
        <w:jc w:val="left"/>
        <w:rPr>
          <w:rFonts w:ascii="Times New Roman" w:hAnsi="Times New Roman"/>
          <w:sz w:val="20"/>
        </w:rPr>
      </w:pPr>
      <w:r w:rsidRPr="000F05AE">
        <w:rPr>
          <w:rFonts w:ascii="Times New Roman" w:hAnsi="Times New Roman"/>
          <w:sz w:val="20"/>
        </w:rPr>
        <w:t>James G. Moose</w:t>
      </w:r>
    </w:p>
    <w:p w:rsidR="000F05AE" w:rsidRPr="000F05AE" w:rsidRDefault="000F05AE" w:rsidP="000F05AE">
      <w:pPr>
        <w:spacing w:after="0" w:line="240" w:lineRule="auto"/>
        <w:jc w:val="left"/>
        <w:rPr>
          <w:rFonts w:ascii="Times New Roman" w:hAnsi="Times New Roman"/>
          <w:sz w:val="20"/>
        </w:rPr>
      </w:pPr>
      <w:r w:rsidRPr="000F05AE">
        <w:rPr>
          <w:rFonts w:ascii="Times New Roman" w:hAnsi="Times New Roman"/>
          <w:sz w:val="20"/>
        </w:rPr>
        <w:t>Remy Moose Manley</w:t>
      </w:r>
    </w:p>
    <w:p w:rsidR="000F05AE" w:rsidRPr="000F05AE" w:rsidRDefault="000F05AE" w:rsidP="000F05AE">
      <w:pPr>
        <w:spacing w:after="0" w:line="240" w:lineRule="auto"/>
        <w:jc w:val="left"/>
        <w:rPr>
          <w:rFonts w:ascii="Times New Roman" w:hAnsi="Times New Roman"/>
          <w:sz w:val="20"/>
        </w:rPr>
      </w:pPr>
      <w:r w:rsidRPr="000F05AE">
        <w:rPr>
          <w:rFonts w:ascii="Times New Roman" w:hAnsi="Times New Roman"/>
          <w:sz w:val="20"/>
        </w:rPr>
        <w:t>555 Capitol Mall, Suite 800</w:t>
      </w:r>
    </w:p>
    <w:p w:rsidR="000F05AE" w:rsidRPr="000F05AE" w:rsidRDefault="000F05AE" w:rsidP="000F05AE">
      <w:pPr>
        <w:spacing w:after="0" w:line="240" w:lineRule="auto"/>
        <w:jc w:val="left"/>
        <w:rPr>
          <w:rFonts w:ascii="Times New Roman" w:hAnsi="Times New Roman"/>
          <w:sz w:val="20"/>
        </w:rPr>
      </w:pPr>
      <w:r w:rsidRPr="000F05AE">
        <w:rPr>
          <w:rFonts w:ascii="Times New Roman" w:hAnsi="Times New Roman"/>
          <w:sz w:val="20"/>
        </w:rPr>
        <w:t>Sacramento, CA  95814</w:t>
      </w:r>
    </w:p>
    <w:p w:rsidR="000F05AE" w:rsidRPr="000F05AE" w:rsidRDefault="000F05AE" w:rsidP="000F05AE">
      <w:pPr>
        <w:spacing w:after="0" w:line="240" w:lineRule="auto"/>
        <w:jc w:val="left"/>
        <w:rPr>
          <w:rFonts w:ascii="Times New Roman" w:hAnsi="Times New Roman"/>
          <w:b/>
          <w:sz w:val="20"/>
        </w:rPr>
      </w:pPr>
      <w:r w:rsidRPr="000F05AE">
        <w:rPr>
          <w:rFonts w:ascii="Times New Roman" w:hAnsi="Times New Roman"/>
          <w:sz w:val="20"/>
        </w:rPr>
        <w:t>(916) 443-2745</w:t>
      </w:r>
    </w:p>
    <w:p w:rsidR="000902ED" w:rsidRPr="00416D18" w:rsidRDefault="000902ED" w:rsidP="000F05AE">
      <w:pPr>
        <w:tabs>
          <w:tab w:val="left" w:pos="1440"/>
        </w:tabs>
        <w:ind w:firstLine="720"/>
      </w:pPr>
    </w:p>
    <w:sectPr w:rsidR="000902ED" w:rsidRPr="00416D18">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B8A" w:rsidRDefault="008A7B8A">
      <w:r>
        <w:separator/>
      </w:r>
    </w:p>
  </w:endnote>
  <w:endnote w:type="continuationSeparator" w:id="0">
    <w:p w:rsidR="008A7B8A" w:rsidRDefault="008A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C0" w:rsidRDefault="002E5AC0" w:rsidP="00CB3087">
    <w:pPr>
      <w:pStyle w:val="Footer"/>
    </w:pPr>
    <w:r>
      <w:fldChar w:fldCharType="begin"/>
    </w:r>
    <w:r>
      <w:instrText xml:space="preserve"> PAGE   \* MERGEFORMAT </w:instrText>
    </w:r>
    <w:r>
      <w:fldChar w:fldCharType="separate"/>
    </w:r>
    <w:r w:rsidR="00EE783B">
      <w:rPr>
        <w:noProof/>
      </w:rPr>
      <w:t>34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C9" w:rsidRDefault="00BF40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C4" w:rsidRDefault="00EE78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C4" w:rsidRDefault="00EE783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C4" w:rsidRDefault="00EE7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B8A" w:rsidRDefault="008A7B8A">
      <w:r>
        <w:separator/>
      </w:r>
    </w:p>
  </w:footnote>
  <w:footnote w:type="continuationSeparator" w:id="0">
    <w:p w:rsidR="008A7B8A" w:rsidRDefault="00EB08A6">
      <w:pPr>
        <w:rPr>
          <w:sz w:val="22"/>
        </w:rPr>
      </w:pPr>
      <w:r>
        <w:continuationSeparator/>
      </w:r>
    </w:p>
  </w:footnote>
  <w:footnote w:type="continuationNotice" w:id="1">
    <w:p w:rsidR="008A7B8A" w:rsidRDefault="008A7B8A">
      <w:pPr>
        <w:jc w:val="right"/>
        <w:rPr>
          <w:i/>
          <w:sz w:val="20"/>
        </w:rPr>
      </w:pPr>
    </w:p>
  </w:footnote>
  <w:footnote w:id="2">
    <w:p w:rsidR="00AD5A61" w:rsidRPr="00785D11" w:rsidRDefault="00AD5A61" w:rsidP="00AD5A61">
      <w:pPr>
        <w:pStyle w:val="FootnoteText"/>
      </w:pPr>
      <w:r>
        <w:rPr>
          <w:rStyle w:val="FootnoteReference"/>
        </w:rPr>
        <w:t>*</w:t>
      </w:r>
      <w:r w:rsidRPr="00785D11">
        <w:tab/>
        <w:t xml:space="preserve">Associate Justice of the Court of Appeal, </w:t>
      </w:r>
      <w:r w:rsidR="00726230">
        <w:t>Third</w:t>
      </w:r>
      <w:r w:rsidRPr="00785D11">
        <w:t xml:space="preserve"> Appellate District, assigned by the Chief Justice pursuant to article VI, section 6 of the California Constitution.</w:t>
      </w:r>
    </w:p>
    <w:p w:rsidR="00AD5A61" w:rsidRDefault="00AD5A61" w:rsidP="00AD5A61">
      <w:pPr>
        <w:pStyle w:val="FootnoteText"/>
      </w:pPr>
    </w:p>
  </w:footnote>
  <w:footnote w:id="3">
    <w:p w:rsidR="002E5AC0" w:rsidRPr="004B12C0" w:rsidRDefault="002E5AC0" w:rsidP="00EB08A6">
      <w:pPr>
        <w:pStyle w:val="FootnoteText"/>
        <w:rPr>
          <w:szCs w:val="26"/>
        </w:rPr>
      </w:pPr>
      <w:r w:rsidRPr="00B542A4">
        <w:rPr>
          <w:rStyle w:val="FootnoteReference"/>
        </w:rPr>
        <w:footnoteRef/>
      </w:r>
      <w:r w:rsidRPr="004B12C0">
        <w:rPr>
          <w:szCs w:val="26"/>
        </w:rPr>
        <w:t xml:space="preserve"> </w:t>
      </w:r>
      <w:r>
        <w:rPr>
          <w:szCs w:val="26"/>
        </w:rPr>
        <w:tab/>
      </w:r>
      <w:r w:rsidRPr="004B12C0">
        <w:rPr>
          <w:szCs w:val="26"/>
        </w:rPr>
        <w:t xml:space="preserve">All further statutory references are to </w:t>
      </w:r>
      <w:r>
        <w:rPr>
          <w:szCs w:val="26"/>
        </w:rPr>
        <w:t xml:space="preserve">CEQA provisions as codified in </w:t>
      </w:r>
      <w:r w:rsidRPr="004B12C0">
        <w:rPr>
          <w:szCs w:val="26"/>
        </w:rPr>
        <w:t xml:space="preserve">Public Resources Code </w:t>
      </w:r>
      <w:r>
        <w:rPr>
          <w:szCs w:val="26"/>
        </w:rPr>
        <w:t xml:space="preserve">sections 21000-21177 </w:t>
      </w:r>
      <w:r w:rsidRPr="004B12C0">
        <w:rPr>
          <w:szCs w:val="26"/>
        </w:rPr>
        <w:t xml:space="preserve">unless otherwise indicated. </w:t>
      </w:r>
      <w:r>
        <w:rPr>
          <w:szCs w:val="26"/>
        </w:rPr>
        <w:t xml:space="preserve"> Where applicable, the CEQA guidelines (Cal. Code Regs., tit. 14, §§ 15000-15387) will be noted as “Guidelines” throughout the text to distinguish between the Public Resources Code and the Code of Regulations.</w:t>
      </w:r>
    </w:p>
  </w:footnote>
  <w:footnote w:id="4">
    <w:p w:rsidR="002E5AC0" w:rsidRDefault="002E5AC0" w:rsidP="00EB08A6">
      <w:pPr>
        <w:pStyle w:val="FootnoteText"/>
      </w:pPr>
      <w:r>
        <w:rPr>
          <w:rStyle w:val="FootnoteReference"/>
        </w:rPr>
        <w:footnoteRef/>
      </w:r>
      <w:r>
        <w:t xml:space="preserve"> </w:t>
      </w:r>
      <w:r>
        <w:tab/>
        <w:t>All references to the EIR are to the final EIR unless otherwise indicated.</w:t>
      </w:r>
    </w:p>
  </w:footnote>
  <w:footnote w:id="5">
    <w:p w:rsidR="002E5AC0" w:rsidRPr="00C752D7" w:rsidRDefault="002E5AC0" w:rsidP="00EB08A6">
      <w:pPr>
        <w:pStyle w:val="FootnoteText"/>
      </w:pPr>
      <w:r>
        <w:rPr>
          <w:rStyle w:val="FootnoteReference"/>
        </w:rPr>
        <w:footnoteRef/>
      </w:r>
      <w:r>
        <w:t xml:space="preserve"> </w:t>
      </w:r>
      <w:r>
        <w:tab/>
        <w:t xml:space="preserve">Plaintiffs had also argued that the EIR’s discussion of treated effluent from the proposed wastewater treatment facilities was inadequate and that the EIR was inconsistent with land use and traffic policies in the County’s General Plan.  The Court of Appeal concluded that </w:t>
      </w:r>
      <w:r w:rsidRPr="0008722A">
        <w:rPr>
          <w:color w:val="000000"/>
          <w:szCs w:val="26"/>
        </w:rPr>
        <w:t>the amount and location of wastewater use and disposal</w:t>
      </w:r>
      <w:r>
        <w:rPr>
          <w:color w:val="000000"/>
          <w:szCs w:val="26"/>
        </w:rPr>
        <w:t>,</w:t>
      </w:r>
      <w:r w:rsidRPr="0008722A">
        <w:rPr>
          <w:color w:val="000000"/>
          <w:szCs w:val="26"/>
        </w:rPr>
        <w:t xml:space="preserve"> and the hydrogeology of the site chosen for the wastewater treatment plant</w:t>
      </w:r>
      <w:r>
        <w:rPr>
          <w:color w:val="000000"/>
          <w:szCs w:val="26"/>
        </w:rPr>
        <w:t>,</w:t>
      </w:r>
      <w:r w:rsidRPr="0008722A">
        <w:rPr>
          <w:color w:val="000000"/>
          <w:szCs w:val="26"/>
        </w:rPr>
        <w:t xml:space="preserve"> were addressed in sufficient detail during the environmental review process.  </w:t>
      </w:r>
      <w:r>
        <w:rPr>
          <w:color w:val="000000"/>
          <w:szCs w:val="26"/>
        </w:rPr>
        <w:t xml:space="preserve">The Court of Appeal also concluded that the development plan was consistent with the land use element (as changed from agricultural to residential by amendment), and that the traffic policy issues had not been properly exhausted during the administrative process.  The parties do not dispute the Court of Appeal’s judgment on these issues, and we do not address that aspect of the court’s opinion here.  </w:t>
      </w:r>
    </w:p>
  </w:footnote>
  <w:footnote w:id="6">
    <w:p w:rsidR="002E5AC0" w:rsidRPr="004B12C0" w:rsidRDefault="002E5AC0" w:rsidP="00EB08A6">
      <w:pPr>
        <w:pStyle w:val="FootnoteText"/>
        <w:rPr>
          <w:szCs w:val="26"/>
        </w:rPr>
      </w:pPr>
      <w:r w:rsidRPr="00B542A4">
        <w:rPr>
          <w:rStyle w:val="FootnoteReference"/>
        </w:rPr>
        <w:footnoteRef/>
      </w:r>
      <w:r w:rsidRPr="004B12C0">
        <w:rPr>
          <w:szCs w:val="26"/>
        </w:rPr>
        <w:t xml:space="preserve"> </w:t>
      </w:r>
      <w:r>
        <w:rPr>
          <w:szCs w:val="26"/>
        </w:rPr>
        <w:tab/>
      </w:r>
      <w:r w:rsidRPr="004B12C0">
        <w:rPr>
          <w:color w:val="000000"/>
          <w:szCs w:val="26"/>
        </w:rPr>
        <w:t xml:space="preserve">A “significant effect” is defined as “a substantial, or potentially substantial, adverse change in the environment.”  (§ 21068.)  </w:t>
      </w:r>
    </w:p>
  </w:footnote>
  <w:footnote w:id="7">
    <w:p w:rsidR="002E5AC0" w:rsidRPr="004B12C0" w:rsidRDefault="002E5AC0" w:rsidP="00EB08A6">
      <w:pPr>
        <w:spacing w:line="300" w:lineRule="exact"/>
        <w:rPr>
          <w:color w:val="000000"/>
          <w:szCs w:val="26"/>
        </w:rPr>
      </w:pPr>
      <w:r w:rsidRPr="00D7042D">
        <w:rPr>
          <w:rStyle w:val="FootnoteReference"/>
        </w:rPr>
        <w:footnoteRef/>
      </w:r>
      <w:r w:rsidRPr="0080468A">
        <w:rPr>
          <w:sz w:val="20"/>
        </w:rPr>
        <w:t xml:space="preserve"> </w:t>
      </w:r>
      <w:r>
        <w:rPr>
          <w:sz w:val="20"/>
        </w:rPr>
        <w:tab/>
      </w:r>
      <w:r>
        <w:rPr>
          <w:szCs w:val="26"/>
        </w:rPr>
        <w:t>Guidelines s</w:t>
      </w:r>
      <w:r w:rsidRPr="004B12C0">
        <w:rPr>
          <w:szCs w:val="26"/>
        </w:rPr>
        <w:t xml:space="preserve">ection 15370 </w:t>
      </w:r>
      <w:r>
        <w:rPr>
          <w:szCs w:val="26"/>
        </w:rPr>
        <w:t>provides that l</w:t>
      </w:r>
      <w:r w:rsidRPr="004B12C0">
        <w:rPr>
          <w:szCs w:val="26"/>
        </w:rPr>
        <w:t xml:space="preserve">egally adequate mitigation measures must be capable of “(a) Avoiding the impact altogether by not taking a certain action or parts of an action. </w:t>
      </w:r>
      <w:r>
        <w:rPr>
          <w:szCs w:val="26"/>
        </w:rPr>
        <w:t xml:space="preserve">[¶] </w:t>
      </w:r>
      <w:r w:rsidRPr="004B12C0">
        <w:rPr>
          <w:szCs w:val="26"/>
        </w:rPr>
        <w:t xml:space="preserve">(b) Minimizing impacts by limiting the degree or magnitude of the action and its implementation. </w:t>
      </w:r>
      <w:r>
        <w:rPr>
          <w:szCs w:val="26"/>
        </w:rPr>
        <w:t xml:space="preserve">[¶] </w:t>
      </w:r>
      <w:r w:rsidRPr="004B12C0">
        <w:rPr>
          <w:szCs w:val="26"/>
        </w:rPr>
        <w:t xml:space="preserve">(c) Rectifying the impact by repairing, rehabilitating, or restoring the impacted environment. </w:t>
      </w:r>
      <w:r>
        <w:rPr>
          <w:szCs w:val="26"/>
        </w:rPr>
        <w:t xml:space="preserve">[¶] </w:t>
      </w:r>
      <w:r w:rsidRPr="004B12C0">
        <w:rPr>
          <w:szCs w:val="26"/>
        </w:rPr>
        <w:t>(d) Reducing or eliminating the impact over time by preservation and maintenance operations during the life of the action.</w:t>
      </w:r>
      <w:r>
        <w:rPr>
          <w:szCs w:val="26"/>
        </w:rPr>
        <w:t xml:space="preserve"> [¶] (e) Compensating for the impact by replacing or providing substitute resources or environments.</w:t>
      </w:r>
      <w:r w:rsidRPr="004B12C0">
        <w:rPr>
          <w:szCs w:val="26"/>
        </w:rPr>
        <w:t>”</w:t>
      </w:r>
    </w:p>
    <w:p w:rsidR="002E5AC0" w:rsidRPr="004B12C0" w:rsidRDefault="002E5AC0" w:rsidP="005028AA">
      <w:pPr>
        <w:pStyle w:val="FootnoteText"/>
        <w:rPr>
          <w:szCs w:val="26"/>
        </w:rPr>
      </w:pPr>
    </w:p>
  </w:footnote>
  <w:footnote w:id="8">
    <w:p w:rsidR="002E5AC0" w:rsidRPr="00EC39C3" w:rsidRDefault="002E5AC0" w:rsidP="00EB08A6">
      <w:pPr>
        <w:spacing w:line="300" w:lineRule="exact"/>
        <w:rPr>
          <w:sz w:val="22"/>
        </w:rPr>
      </w:pPr>
      <w:r>
        <w:rPr>
          <w:rStyle w:val="FootnoteReference"/>
        </w:rPr>
        <w:footnoteRef/>
      </w:r>
      <w:r>
        <w:t xml:space="preserve"> </w:t>
      </w:r>
      <w:r>
        <w:tab/>
        <w:t xml:space="preserve">The Statement and MMP have this language:  “The following guidelines shall be used by the </w:t>
      </w:r>
      <w:r w:rsidRPr="0050739A">
        <w:t xml:space="preserve">County </w:t>
      </w:r>
      <w:r w:rsidRPr="0050739A">
        <w:rPr>
          <w:bCs/>
          <w:iCs/>
        </w:rPr>
        <w:t>during review of future project-specific submittals for non-residential development</w:t>
      </w:r>
      <w:r>
        <w:t xml:space="preserve"> within the Specific Plan area and within the Community Plan boundary in order to reduce generation of air pollutants with intent that specified measures be required where feasible and appropriate.”  To clarify, this aspect of the Statement and MMP deals with the specific air quality issues discussed in the EIR, which issues are considered “non-residential.”  The off-site created HVAC catalyst systems (that are eventually inserted into each home), tree planting, bicycle trails, and any other mitigation that affects air quality and comprises this aspect of the MMP are considered “non-residential development” for architecture and engineering planning purposes.  Of course, they each are part of the greater “residential development” in the project, but for EIR purposes are considered “non-residential” since they involve cleaning the air, planting trees, and creating bicycle trails.</w:t>
      </w:r>
    </w:p>
  </w:footnote>
  <w:footnote w:id="9">
    <w:p w:rsidR="00BF40C9" w:rsidRDefault="00BF40C9" w:rsidP="00BF40C9">
      <w:pPr>
        <w:pStyle w:val="FootnoteText"/>
      </w:pPr>
      <w:r>
        <w:rPr>
          <w:rStyle w:val="FootnoteReference"/>
        </w:rPr>
        <w:t>*</w:t>
      </w:r>
      <w:r>
        <w:tab/>
      </w:r>
      <w:r w:rsidRPr="002E55A7">
        <w:t xml:space="preserve">Associate Justice of the Court of Appeal, </w:t>
      </w:r>
      <w:r>
        <w:t>Third</w:t>
      </w:r>
      <w:r w:rsidRPr="002E55A7">
        <w:t xml:space="preserve"> Appellate District, assigned by the Chief Justice pursuant to article VI, section 6 of the California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8A6" w:rsidRDefault="009975AE">
    <w:pPr>
      <w:pStyle w:val="Header"/>
    </w:pPr>
    <w:r>
      <w:t>SIERRA CLUB</w:t>
    </w:r>
    <w:r w:rsidR="00FA1899">
      <w:t xml:space="preserve"> v. COUNTY OF FRESNO</w:t>
    </w:r>
  </w:p>
  <w:p w:rsidR="00EB08A6" w:rsidRDefault="00EB08A6">
    <w:pPr>
      <w:pStyle w:val="Header"/>
    </w:pPr>
    <w:r>
      <w:t>Opinion of the Court by Chin, J.</w:t>
    </w:r>
  </w:p>
  <w:p w:rsidR="00EB08A6" w:rsidRDefault="00EB08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985" w:rsidRPr="00AB37AE" w:rsidRDefault="00AB37AE" w:rsidP="00AB37AE">
    <w:pPr>
      <w:pStyle w:val="Header"/>
      <w:jc w:val="left"/>
      <w:rPr>
        <w:sz w:val="20"/>
      </w:rPr>
    </w:pPr>
    <w:r>
      <w:rPr>
        <w:sz w:val="20"/>
      </w:rPr>
      <w:t>Reposted with page numbers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7AE" w:rsidRPr="00AB37AE" w:rsidRDefault="00AB37AE" w:rsidP="00AB37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C4" w:rsidRDefault="00EE783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C4" w:rsidRDefault="00EE783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C4" w:rsidRDefault="00EE78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0FB4"/>
    <w:multiLevelType w:val="hybridMultilevel"/>
    <w:tmpl w:val="809E8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E4D88"/>
    <w:multiLevelType w:val="hybridMultilevel"/>
    <w:tmpl w:val="1DDCC1B2"/>
    <w:lvl w:ilvl="0" w:tplc="65FA82AA">
      <w:start w:val="1"/>
      <w:numFmt w:val="decimal"/>
      <w:lvlText w:val="%1."/>
      <w:lvlJc w:val="left"/>
      <w:pPr>
        <w:ind w:left="1710" w:hanging="360"/>
      </w:pPr>
      <w:rPr>
        <w:rFonts w:hint="default"/>
        <w:i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245E505A"/>
    <w:multiLevelType w:val="hybridMultilevel"/>
    <w:tmpl w:val="6F36FC44"/>
    <w:lvl w:ilvl="0" w:tplc="58A2D39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A27688"/>
    <w:multiLevelType w:val="hybridMultilevel"/>
    <w:tmpl w:val="2846706C"/>
    <w:lvl w:ilvl="0" w:tplc="421801C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E162B8"/>
    <w:multiLevelType w:val="hybridMultilevel"/>
    <w:tmpl w:val="15F83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844D2C"/>
    <w:multiLevelType w:val="hybridMultilevel"/>
    <w:tmpl w:val="8F0E6F20"/>
    <w:lvl w:ilvl="0" w:tplc="026C6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532C08"/>
    <w:multiLevelType w:val="hybridMultilevel"/>
    <w:tmpl w:val="0FC8C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112D7A"/>
    <w:multiLevelType w:val="hybridMultilevel"/>
    <w:tmpl w:val="B8B2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removePersonalInformation/>
  <w:removeDateAndTime/>
  <w:printFractionalCharacterWidth/>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8A8"/>
    <w:rsid w:val="0000344D"/>
    <w:rsid w:val="000036E6"/>
    <w:rsid w:val="000043A7"/>
    <w:rsid w:val="00004CB9"/>
    <w:rsid w:val="00007773"/>
    <w:rsid w:val="00007858"/>
    <w:rsid w:val="000079F8"/>
    <w:rsid w:val="000120D8"/>
    <w:rsid w:val="00012480"/>
    <w:rsid w:val="00014334"/>
    <w:rsid w:val="00014C38"/>
    <w:rsid w:val="000174F1"/>
    <w:rsid w:val="00020469"/>
    <w:rsid w:val="00022804"/>
    <w:rsid w:val="000230A3"/>
    <w:rsid w:val="000233BD"/>
    <w:rsid w:val="00024232"/>
    <w:rsid w:val="00024ECA"/>
    <w:rsid w:val="000266EB"/>
    <w:rsid w:val="00031B38"/>
    <w:rsid w:val="00035CD2"/>
    <w:rsid w:val="000360AA"/>
    <w:rsid w:val="00036600"/>
    <w:rsid w:val="00036D05"/>
    <w:rsid w:val="00037740"/>
    <w:rsid w:val="00037ABB"/>
    <w:rsid w:val="000404F5"/>
    <w:rsid w:val="00041262"/>
    <w:rsid w:val="00042CCC"/>
    <w:rsid w:val="00042DBA"/>
    <w:rsid w:val="0004340C"/>
    <w:rsid w:val="000442FE"/>
    <w:rsid w:val="00044B89"/>
    <w:rsid w:val="00045854"/>
    <w:rsid w:val="000514B0"/>
    <w:rsid w:val="00051C93"/>
    <w:rsid w:val="00054005"/>
    <w:rsid w:val="000546A7"/>
    <w:rsid w:val="00054DAD"/>
    <w:rsid w:val="00054F41"/>
    <w:rsid w:val="00055929"/>
    <w:rsid w:val="00055C08"/>
    <w:rsid w:val="00055C9E"/>
    <w:rsid w:val="00056D87"/>
    <w:rsid w:val="00060245"/>
    <w:rsid w:val="000647BC"/>
    <w:rsid w:val="00065A5B"/>
    <w:rsid w:val="00065ABD"/>
    <w:rsid w:val="00065CAA"/>
    <w:rsid w:val="00066D4C"/>
    <w:rsid w:val="000705FF"/>
    <w:rsid w:val="00070A48"/>
    <w:rsid w:val="000711F9"/>
    <w:rsid w:val="00071E0E"/>
    <w:rsid w:val="00071E1A"/>
    <w:rsid w:val="00073E85"/>
    <w:rsid w:val="00075ED4"/>
    <w:rsid w:val="00080192"/>
    <w:rsid w:val="00080290"/>
    <w:rsid w:val="00081C18"/>
    <w:rsid w:val="00082913"/>
    <w:rsid w:val="00082D76"/>
    <w:rsid w:val="0008359D"/>
    <w:rsid w:val="00085125"/>
    <w:rsid w:val="00086F9A"/>
    <w:rsid w:val="0008722A"/>
    <w:rsid w:val="000902ED"/>
    <w:rsid w:val="000912A0"/>
    <w:rsid w:val="0009156F"/>
    <w:rsid w:val="00093018"/>
    <w:rsid w:val="000938B4"/>
    <w:rsid w:val="00093B33"/>
    <w:rsid w:val="000953E7"/>
    <w:rsid w:val="000A4B41"/>
    <w:rsid w:val="000A50E9"/>
    <w:rsid w:val="000A777B"/>
    <w:rsid w:val="000B0A62"/>
    <w:rsid w:val="000B197B"/>
    <w:rsid w:val="000B1B46"/>
    <w:rsid w:val="000B27E5"/>
    <w:rsid w:val="000B2D74"/>
    <w:rsid w:val="000B312B"/>
    <w:rsid w:val="000B51CD"/>
    <w:rsid w:val="000B5ADE"/>
    <w:rsid w:val="000C014C"/>
    <w:rsid w:val="000C1545"/>
    <w:rsid w:val="000C1FBD"/>
    <w:rsid w:val="000C2885"/>
    <w:rsid w:val="000C2BAD"/>
    <w:rsid w:val="000C3729"/>
    <w:rsid w:val="000C56CC"/>
    <w:rsid w:val="000C6939"/>
    <w:rsid w:val="000C7C04"/>
    <w:rsid w:val="000D13C5"/>
    <w:rsid w:val="000D1719"/>
    <w:rsid w:val="000D1C61"/>
    <w:rsid w:val="000D54DD"/>
    <w:rsid w:val="000D61DE"/>
    <w:rsid w:val="000E0619"/>
    <w:rsid w:val="000E276D"/>
    <w:rsid w:val="000E3FF1"/>
    <w:rsid w:val="000E4826"/>
    <w:rsid w:val="000E5C1A"/>
    <w:rsid w:val="000E6337"/>
    <w:rsid w:val="000F05AE"/>
    <w:rsid w:val="000F37AB"/>
    <w:rsid w:val="000F3A46"/>
    <w:rsid w:val="000F46DD"/>
    <w:rsid w:val="000F5497"/>
    <w:rsid w:val="000F56AC"/>
    <w:rsid w:val="000F5837"/>
    <w:rsid w:val="000F7C0F"/>
    <w:rsid w:val="00101523"/>
    <w:rsid w:val="001018A1"/>
    <w:rsid w:val="00105366"/>
    <w:rsid w:val="00106FE9"/>
    <w:rsid w:val="001078A7"/>
    <w:rsid w:val="0011093F"/>
    <w:rsid w:val="001117D9"/>
    <w:rsid w:val="00115075"/>
    <w:rsid w:val="0011641A"/>
    <w:rsid w:val="00116A48"/>
    <w:rsid w:val="00116CF9"/>
    <w:rsid w:val="001177CD"/>
    <w:rsid w:val="001320C5"/>
    <w:rsid w:val="00132FDF"/>
    <w:rsid w:val="00133448"/>
    <w:rsid w:val="001334FF"/>
    <w:rsid w:val="00134873"/>
    <w:rsid w:val="0013536E"/>
    <w:rsid w:val="00136063"/>
    <w:rsid w:val="001415FC"/>
    <w:rsid w:val="0014202F"/>
    <w:rsid w:val="00142305"/>
    <w:rsid w:val="001444A5"/>
    <w:rsid w:val="00147A1D"/>
    <w:rsid w:val="00147F88"/>
    <w:rsid w:val="00151E7D"/>
    <w:rsid w:val="00151EC0"/>
    <w:rsid w:val="001535D9"/>
    <w:rsid w:val="001548F3"/>
    <w:rsid w:val="00156EA0"/>
    <w:rsid w:val="00160105"/>
    <w:rsid w:val="001610F4"/>
    <w:rsid w:val="0016187A"/>
    <w:rsid w:val="0016280F"/>
    <w:rsid w:val="00165ED5"/>
    <w:rsid w:val="00166C0D"/>
    <w:rsid w:val="0017058A"/>
    <w:rsid w:val="00172EA4"/>
    <w:rsid w:val="00172F32"/>
    <w:rsid w:val="00173636"/>
    <w:rsid w:val="00173A86"/>
    <w:rsid w:val="0017455C"/>
    <w:rsid w:val="001754B0"/>
    <w:rsid w:val="00177841"/>
    <w:rsid w:val="0018172D"/>
    <w:rsid w:val="001819AF"/>
    <w:rsid w:val="001822C6"/>
    <w:rsid w:val="00182EC5"/>
    <w:rsid w:val="00186BFC"/>
    <w:rsid w:val="00187756"/>
    <w:rsid w:val="0019089E"/>
    <w:rsid w:val="00190933"/>
    <w:rsid w:val="0019217A"/>
    <w:rsid w:val="001924DC"/>
    <w:rsid w:val="00192C18"/>
    <w:rsid w:val="00192FAE"/>
    <w:rsid w:val="001933DA"/>
    <w:rsid w:val="00194A53"/>
    <w:rsid w:val="00194D80"/>
    <w:rsid w:val="00194E64"/>
    <w:rsid w:val="001952B1"/>
    <w:rsid w:val="00196944"/>
    <w:rsid w:val="001A0537"/>
    <w:rsid w:val="001A1D96"/>
    <w:rsid w:val="001A3736"/>
    <w:rsid w:val="001A4D95"/>
    <w:rsid w:val="001A547B"/>
    <w:rsid w:val="001A5639"/>
    <w:rsid w:val="001A6FBF"/>
    <w:rsid w:val="001B0FDA"/>
    <w:rsid w:val="001B1243"/>
    <w:rsid w:val="001B17F8"/>
    <w:rsid w:val="001B1A51"/>
    <w:rsid w:val="001B2F49"/>
    <w:rsid w:val="001B4272"/>
    <w:rsid w:val="001B55F1"/>
    <w:rsid w:val="001B761B"/>
    <w:rsid w:val="001B7792"/>
    <w:rsid w:val="001C09CD"/>
    <w:rsid w:val="001C1463"/>
    <w:rsid w:val="001C24F7"/>
    <w:rsid w:val="001C2EAB"/>
    <w:rsid w:val="001C2F03"/>
    <w:rsid w:val="001C3968"/>
    <w:rsid w:val="001C54A4"/>
    <w:rsid w:val="001C59E7"/>
    <w:rsid w:val="001C6C15"/>
    <w:rsid w:val="001D04D5"/>
    <w:rsid w:val="001D1308"/>
    <w:rsid w:val="001D2DC7"/>
    <w:rsid w:val="001D4BA7"/>
    <w:rsid w:val="001D5208"/>
    <w:rsid w:val="001D58FF"/>
    <w:rsid w:val="001D73F3"/>
    <w:rsid w:val="001D7F00"/>
    <w:rsid w:val="001E03A8"/>
    <w:rsid w:val="001E17C3"/>
    <w:rsid w:val="001E185C"/>
    <w:rsid w:val="001E2454"/>
    <w:rsid w:val="001E2964"/>
    <w:rsid w:val="001E5332"/>
    <w:rsid w:val="001E5334"/>
    <w:rsid w:val="001E55E1"/>
    <w:rsid w:val="001E6422"/>
    <w:rsid w:val="001E76BA"/>
    <w:rsid w:val="001F1239"/>
    <w:rsid w:val="001F3D6D"/>
    <w:rsid w:val="001F477F"/>
    <w:rsid w:val="001F4B8B"/>
    <w:rsid w:val="001F5C6E"/>
    <w:rsid w:val="001F7266"/>
    <w:rsid w:val="001F7635"/>
    <w:rsid w:val="001F7BF2"/>
    <w:rsid w:val="0020008D"/>
    <w:rsid w:val="00204665"/>
    <w:rsid w:val="00205149"/>
    <w:rsid w:val="00206B30"/>
    <w:rsid w:val="00207F07"/>
    <w:rsid w:val="00212787"/>
    <w:rsid w:val="00212F38"/>
    <w:rsid w:val="00213E51"/>
    <w:rsid w:val="00215EC2"/>
    <w:rsid w:val="00216F6F"/>
    <w:rsid w:val="00221786"/>
    <w:rsid w:val="0022452C"/>
    <w:rsid w:val="002257B9"/>
    <w:rsid w:val="002269F1"/>
    <w:rsid w:val="00230648"/>
    <w:rsid w:val="00231F69"/>
    <w:rsid w:val="00232180"/>
    <w:rsid w:val="002351DA"/>
    <w:rsid w:val="0023585F"/>
    <w:rsid w:val="00237331"/>
    <w:rsid w:val="002377E5"/>
    <w:rsid w:val="00240912"/>
    <w:rsid w:val="0024138A"/>
    <w:rsid w:val="002426B6"/>
    <w:rsid w:val="002452F7"/>
    <w:rsid w:val="002457AD"/>
    <w:rsid w:val="00245B75"/>
    <w:rsid w:val="00247873"/>
    <w:rsid w:val="00251AD0"/>
    <w:rsid w:val="002544F5"/>
    <w:rsid w:val="0025660F"/>
    <w:rsid w:val="00256677"/>
    <w:rsid w:val="00256DD9"/>
    <w:rsid w:val="0025759E"/>
    <w:rsid w:val="00260043"/>
    <w:rsid w:val="00261870"/>
    <w:rsid w:val="00261A81"/>
    <w:rsid w:val="002631C3"/>
    <w:rsid w:val="00263798"/>
    <w:rsid w:val="00263DFF"/>
    <w:rsid w:val="00264ED3"/>
    <w:rsid w:val="00266F83"/>
    <w:rsid w:val="00270155"/>
    <w:rsid w:val="002715C2"/>
    <w:rsid w:val="002728A5"/>
    <w:rsid w:val="00273FBD"/>
    <w:rsid w:val="00274258"/>
    <w:rsid w:val="00275378"/>
    <w:rsid w:val="00276328"/>
    <w:rsid w:val="00277825"/>
    <w:rsid w:val="00277C59"/>
    <w:rsid w:val="0028185A"/>
    <w:rsid w:val="00282743"/>
    <w:rsid w:val="0028328F"/>
    <w:rsid w:val="00285719"/>
    <w:rsid w:val="00286441"/>
    <w:rsid w:val="00287EF3"/>
    <w:rsid w:val="00290370"/>
    <w:rsid w:val="00291837"/>
    <w:rsid w:val="00293684"/>
    <w:rsid w:val="00293DF8"/>
    <w:rsid w:val="00295176"/>
    <w:rsid w:val="00297DF5"/>
    <w:rsid w:val="00297E9F"/>
    <w:rsid w:val="002A0008"/>
    <w:rsid w:val="002A03CE"/>
    <w:rsid w:val="002A0980"/>
    <w:rsid w:val="002A0A4A"/>
    <w:rsid w:val="002A1271"/>
    <w:rsid w:val="002A5746"/>
    <w:rsid w:val="002A700B"/>
    <w:rsid w:val="002B028D"/>
    <w:rsid w:val="002B11E4"/>
    <w:rsid w:val="002B171E"/>
    <w:rsid w:val="002B224C"/>
    <w:rsid w:val="002B2D15"/>
    <w:rsid w:val="002B3054"/>
    <w:rsid w:val="002B43C4"/>
    <w:rsid w:val="002B5804"/>
    <w:rsid w:val="002B5B03"/>
    <w:rsid w:val="002C03F7"/>
    <w:rsid w:val="002C0B4C"/>
    <w:rsid w:val="002C15FF"/>
    <w:rsid w:val="002C1A75"/>
    <w:rsid w:val="002C2188"/>
    <w:rsid w:val="002C2466"/>
    <w:rsid w:val="002C2D88"/>
    <w:rsid w:val="002C2DAB"/>
    <w:rsid w:val="002C2E71"/>
    <w:rsid w:val="002C307D"/>
    <w:rsid w:val="002C33D9"/>
    <w:rsid w:val="002C5963"/>
    <w:rsid w:val="002C683B"/>
    <w:rsid w:val="002C6842"/>
    <w:rsid w:val="002C6F94"/>
    <w:rsid w:val="002D09F5"/>
    <w:rsid w:val="002D399D"/>
    <w:rsid w:val="002D39AC"/>
    <w:rsid w:val="002D578D"/>
    <w:rsid w:val="002D591E"/>
    <w:rsid w:val="002D695C"/>
    <w:rsid w:val="002D74FE"/>
    <w:rsid w:val="002D7A51"/>
    <w:rsid w:val="002E1F23"/>
    <w:rsid w:val="002E2617"/>
    <w:rsid w:val="002E2C99"/>
    <w:rsid w:val="002E4653"/>
    <w:rsid w:val="002E5AC0"/>
    <w:rsid w:val="002E76F1"/>
    <w:rsid w:val="002F0E3F"/>
    <w:rsid w:val="002F0F2D"/>
    <w:rsid w:val="002F169D"/>
    <w:rsid w:val="002F37FB"/>
    <w:rsid w:val="002F3A26"/>
    <w:rsid w:val="002F46F8"/>
    <w:rsid w:val="002F6523"/>
    <w:rsid w:val="002F6B8A"/>
    <w:rsid w:val="002F77FB"/>
    <w:rsid w:val="002F783D"/>
    <w:rsid w:val="002F7D04"/>
    <w:rsid w:val="00300E15"/>
    <w:rsid w:val="0030155F"/>
    <w:rsid w:val="00302D89"/>
    <w:rsid w:val="00303961"/>
    <w:rsid w:val="00305B1D"/>
    <w:rsid w:val="00306378"/>
    <w:rsid w:val="00307DEF"/>
    <w:rsid w:val="00310491"/>
    <w:rsid w:val="00312631"/>
    <w:rsid w:val="00320D77"/>
    <w:rsid w:val="00321112"/>
    <w:rsid w:val="00323B2D"/>
    <w:rsid w:val="00326DA8"/>
    <w:rsid w:val="0032728A"/>
    <w:rsid w:val="00327B64"/>
    <w:rsid w:val="00330431"/>
    <w:rsid w:val="0033288B"/>
    <w:rsid w:val="003346A3"/>
    <w:rsid w:val="00334C2A"/>
    <w:rsid w:val="003361C7"/>
    <w:rsid w:val="00336578"/>
    <w:rsid w:val="003366D0"/>
    <w:rsid w:val="00336A89"/>
    <w:rsid w:val="00342BCE"/>
    <w:rsid w:val="0034752E"/>
    <w:rsid w:val="0034762E"/>
    <w:rsid w:val="00351125"/>
    <w:rsid w:val="003518B0"/>
    <w:rsid w:val="003522FB"/>
    <w:rsid w:val="00352C5D"/>
    <w:rsid w:val="00353F96"/>
    <w:rsid w:val="003547C4"/>
    <w:rsid w:val="00356DD0"/>
    <w:rsid w:val="00363C03"/>
    <w:rsid w:val="00365CE4"/>
    <w:rsid w:val="00366F46"/>
    <w:rsid w:val="00367429"/>
    <w:rsid w:val="0037116C"/>
    <w:rsid w:val="003725CA"/>
    <w:rsid w:val="00373C17"/>
    <w:rsid w:val="00374BCC"/>
    <w:rsid w:val="00376872"/>
    <w:rsid w:val="00377796"/>
    <w:rsid w:val="00377A25"/>
    <w:rsid w:val="0038012F"/>
    <w:rsid w:val="00380773"/>
    <w:rsid w:val="00382D70"/>
    <w:rsid w:val="0038464C"/>
    <w:rsid w:val="003859B1"/>
    <w:rsid w:val="00386E3C"/>
    <w:rsid w:val="00390CB1"/>
    <w:rsid w:val="00392B20"/>
    <w:rsid w:val="00395BEC"/>
    <w:rsid w:val="003963D1"/>
    <w:rsid w:val="003A10A0"/>
    <w:rsid w:val="003A2E62"/>
    <w:rsid w:val="003A37D1"/>
    <w:rsid w:val="003A37E5"/>
    <w:rsid w:val="003A3C87"/>
    <w:rsid w:val="003A4BBE"/>
    <w:rsid w:val="003A4FCA"/>
    <w:rsid w:val="003A6689"/>
    <w:rsid w:val="003A71B6"/>
    <w:rsid w:val="003A72C6"/>
    <w:rsid w:val="003A78F8"/>
    <w:rsid w:val="003A79BF"/>
    <w:rsid w:val="003A7B6A"/>
    <w:rsid w:val="003A7CBE"/>
    <w:rsid w:val="003A7E72"/>
    <w:rsid w:val="003B0266"/>
    <w:rsid w:val="003B182D"/>
    <w:rsid w:val="003B21B8"/>
    <w:rsid w:val="003B33CB"/>
    <w:rsid w:val="003B44DC"/>
    <w:rsid w:val="003B5367"/>
    <w:rsid w:val="003B6FF9"/>
    <w:rsid w:val="003B7913"/>
    <w:rsid w:val="003B7BB4"/>
    <w:rsid w:val="003C0034"/>
    <w:rsid w:val="003C0112"/>
    <w:rsid w:val="003C2E05"/>
    <w:rsid w:val="003D0691"/>
    <w:rsid w:val="003D5871"/>
    <w:rsid w:val="003D7DE5"/>
    <w:rsid w:val="003E037B"/>
    <w:rsid w:val="003E0D12"/>
    <w:rsid w:val="003E2B01"/>
    <w:rsid w:val="003E2ECC"/>
    <w:rsid w:val="003E4392"/>
    <w:rsid w:val="003E6635"/>
    <w:rsid w:val="003F785F"/>
    <w:rsid w:val="003F78DF"/>
    <w:rsid w:val="00402236"/>
    <w:rsid w:val="004028FB"/>
    <w:rsid w:val="00402A82"/>
    <w:rsid w:val="00404364"/>
    <w:rsid w:val="00407ADC"/>
    <w:rsid w:val="00411E9A"/>
    <w:rsid w:val="0041224D"/>
    <w:rsid w:val="0041408E"/>
    <w:rsid w:val="00414344"/>
    <w:rsid w:val="004150FF"/>
    <w:rsid w:val="00416D18"/>
    <w:rsid w:val="00417693"/>
    <w:rsid w:val="00417F14"/>
    <w:rsid w:val="0042048A"/>
    <w:rsid w:val="00420FA1"/>
    <w:rsid w:val="00421C57"/>
    <w:rsid w:val="00423949"/>
    <w:rsid w:val="00424EF0"/>
    <w:rsid w:val="00430D90"/>
    <w:rsid w:val="004311AC"/>
    <w:rsid w:val="0043187C"/>
    <w:rsid w:val="004318EB"/>
    <w:rsid w:val="00431DDA"/>
    <w:rsid w:val="00432C75"/>
    <w:rsid w:val="0043353F"/>
    <w:rsid w:val="004337FA"/>
    <w:rsid w:val="00433FFB"/>
    <w:rsid w:val="004357F8"/>
    <w:rsid w:val="004409A5"/>
    <w:rsid w:val="00442F30"/>
    <w:rsid w:val="00443FC0"/>
    <w:rsid w:val="00445C06"/>
    <w:rsid w:val="00446259"/>
    <w:rsid w:val="0044652F"/>
    <w:rsid w:val="004470A5"/>
    <w:rsid w:val="004473CB"/>
    <w:rsid w:val="004514F8"/>
    <w:rsid w:val="004517C4"/>
    <w:rsid w:val="00453184"/>
    <w:rsid w:val="00454090"/>
    <w:rsid w:val="0045440F"/>
    <w:rsid w:val="004552E2"/>
    <w:rsid w:val="00455997"/>
    <w:rsid w:val="004615FC"/>
    <w:rsid w:val="00462DF1"/>
    <w:rsid w:val="00463494"/>
    <w:rsid w:val="00464A88"/>
    <w:rsid w:val="00464F76"/>
    <w:rsid w:val="00465A68"/>
    <w:rsid w:val="004661AA"/>
    <w:rsid w:val="004662FC"/>
    <w:rsid w:val="00466DB6"/>
    <w:rsid w:val="00467003"/>
    <w:rsid w:val="004679A7"/>
    <w:rsid w:val="004721F0"/>
    <w:rsid w:val="00472460"/>
    <w:rsid w:val="00474CD2"/>
    <w:rsid w:val="00480B74"/>
    <w:rsid w:val="00483B37"/>
    <w:rsid w:val="0048426F"/>
    <w:rsid w:val="004847F0"/>
    <w:rsid w:val="00487792"/>
    <w:rsid w:val="00492074"/>
    <w:rsid w:val="004932F4"/>
    <w:rsid w:val="004934DA"/>
    <w:rsid w:val="00495328"/>
    <w:rsid w:val="00497822"/>
    <w:rsid w:val="00497A54"/>
    <w:rsid w:val="00497B4A"/>
    <w:rsid w:val="004A02FE"/>
    <w:rsid w:val="004A32E4"/>
    <w:rsid w:val="004A3338"/>
    <w:rsid w:val="004A4984"/>
    <w:rsid w:val="004A5067"/>
    <w:rsid w:val="004A60FF"/>
    <w:rsid w:val="004A6F3A"/>
    <w:rsid w:val="004B12C0"/>
    <w:rsid w:val="004B1A09"/>
    <w:rsid w:val="004B1C20"/>
    <w:rsid w:val="004B26E9"/>
    <w:rsid w:val="004B49F9"/>
    <w:rsid w:val="004B4C24"/>
    <w:rsid w:val="004B5E3A"/>
    <w:rsid w:val="004C121A"/>
    <w:rsid w:val="004C323A"/>
    <w:rsid w:val="004C3262"/>
    <w:rsid w:val="004C5090"/>
    <w:rsid w:val="004C755D"/>
    <w:rsid w:val="004D23FF"/>
    <w:rsid w:val="004D4E82"/>
    <w:rsid w:val="004D5F2B"/>
    <w:rsid w:val="004E0898"/>
    <w:rsid w:val="004E2BC6"/>
    <w:rsid w:val="004E2BE1"/>
    <w:rsid w:val="004E58AC"/>
    <w:rsid w:val="004E7262"/>
    <w:rsid w:val="004F0A16"/>
    <w:rsid w:val="004F0A34"/>
    <w:rsid w:val="004F1164"/>
    <w:rsid w:val="004F1CFE"/>
    <w:rsid w:val="004F252D"/>
    <w:rsid w:val="004F2A7E"/>
    <w:rsid w:val="004F2E33"/>
    <w:rsid w:val="004F593A"/>
    <w:rsid w:val="004F649C"/>
    <w:rsid w:val="004F657E"/>
    <w:rsid w:val="004F67A8"/>
    <w:rsid w:val="004F7479"/>
    <w:rsid w:val="004F78B3"/>
    <w:rsid w:val="00500089"/>
    <w:rsid w:val="00501744"/>
    <w:rsid w:val="005028AA"/>
    <w:rsid w:val="00503739"/>
    <w:rsid w:val="00503CF8"/>
    <w:rsid w:val="00503EC1"/>
    <w:rsid w:val="0050451D"/>
    <w:rsid w:val="00506F75"/>
    <w:rsid w:val="0050739A"/>
    <w:rsid w:val="00507670"/>
    <w:rsid w:val="00507C0E"/>
    <w:rsid w:val="00507CAA"/>
    <w:rsid w:val="005112E5"/>
    <w:rsid w:val="00511E45"/>
    <w:rsid w:val="005128A3"/>
    <w:rsid w:val="00513975"/>
    <w:rsid w:val="00513B48"/>
    <w:rsid w:val="00517F92"/>
    <w:rsid w:val="005200F1"/>
    <w:rsid w:val="005208CC"/>
    <w:rsid w:val="00522E84"/>
    <w:rsid w:val="0052383C"/>
    <w:rsid w:val="00523D7C"/>
    <w:rsid w:val="005260D0"/>
    <w:rsid w:val="005263DF"/>
    <w:rsid w:val="00526B5C"/>
    <w:rsid w:val="00530B9A"/>
    <w:rsid w:val="005318EB"/>
    <w:rsid w:val="00531A99"/>
    <w:rsid w:val="00534585"/>
    <w:rsid w:val="00534674"/>
    <w:rsid w:val="00535984"/>
    <w:rsid w:val="00537BF3"/>
    <w:rsid w:val="00541739"/>
    <w:rsid w:val="00541EDF"/>
    <w:rsid w:val="00541F55"/>
    <w:rsid w:val="00543E4B"/>
    <w:rsid w:val="00543F5E"/>
    <w:rsid w:val="00544080"/>
    <w:rsid w:val="00544FBF"/>
    <w:rsid w:val="0055403D"/>
    <w:rsid w:val="00555FCA"/>
    <w:rsid w:val="0055667A"/>
    <w:rsid w:val="00561637"/>
    <w:rsid w:val="00564F59"/>
    <w:rsid w:val="0056583E"/>
    <w:rsid w:val="00565F21"/>
    <w:rsid w:val="005665C4"/>
    <w:rsid w:val="00570DC0"/>
    <w:rsid w:val="00572BF2"/>
    <w:rsid w:val="0057588D"/>
    <w:rsid w:val="005804B7"/>
    <w:rsid w:val="0058098A"/>
    <w:rsid w:val="00581E63"/>
    <w:rsid w:val="005834EF"/>
    <w:rsid w:val="005837F5"/>
    <w:rsid w:val="00587CB5"/>
    <w:rsid w:val="00590BCE"/>
    <w:rsid w:val="00590D2B"/>
    <w:rsid w:val="00591A29"/>
    <w:rsid w:val="00592434"/>
    <w:rsid w:val="005929AD"/>
    <w:rsid w:val="005947DD"/>
    <w:rsid w:val="00595567"/>
    <w:rsid w:val="005969E6"/>
    <w:rsid w:val="005A06D2"/>
    <w:rsid w:val="005A1A48"/>
    <w:rsid w:val="005A2829"/>
    <w:rsid w:val="005A4A33"/>
    <w:rsid w:val="005A69EC"/>
    <w:rsid w:val="005A726E"/>
    <w:rsid w:val="005A73DB"/>
    <w:rsid w:val="005A7E97"/>
    <w:rsid w:val="005B0712"/>
    <w:rsid w:val="005B0B9B"/>
    <w:rsid w:val="005B1D46"/>
    <w:rsid w:val="005B5F4C"/>
    <w:rsid w:val="005B705B"/>
    <w:rsid w:val="005C1419"/>
    <w:rsid w:val="005C3429"/>
    <w:rsid w:val="005C3AC6"/>
    <w:rsid w:val="005C3F43"/>
    <w:rsid w:val="005C6E59"/>
    <w:rsid w:val="005C7406"/>
    <w:rsid w:val="005C7C97"/>
    <w:rsid w:val="005C7EA2"/>
    <w:rsid w:val="005D0B9A"/>
    <w:rsid w:val="005D2202"/>
    <w:rsid w:val="005D28C9"/>
    <w:rsid w:val="005D3339"/>
    <w:rsid w:val="005E0AF2"/>
    <w:rsid w:val="005E0BA4"/>
    <w:rsid w:val="005E154A"/>
    <w:rsid w:val="005E1954"/>
    <w:rsid w:val="005E267E"/>
    <w:rsid w:val="005E2854"/>
    <w:rsid w:val="005E2C03"/>
    <w:rsid w:val="005E3882"/>
    <w:rsid w:val="005E5340"/>
    <w:rsid w:val="005E560A"/>
    <w:rsid w:val="005F0E6A"/>
    <w:rsid w:val="005F1A6E"/>
    <w:rsid w:val="005F44E1"/>
    <w:rsid w:val="005F4985"/>
    <w:rsid w:val="005F67E9"/>
    <w:rsid w:val="005F704F"/>
    <w:rsid w:val="005F72DE"/>
    <w:rsid w:val="006000AF"/>
    <w:rsid w:val="00600869"/>
    <w:rsid w:val="00602743"/>
    <w:rsid w:val="00603C96"/>
    <w:rsid w:val="00605FC4"/>
    <w:rsid w:val="00606800"/>
    <w:rsid w:val="00606FCE"/>
    <w:rsid w:val="006074AA"/>
    <w:rsid w:val="006077C7"/>
    <w:rsid w:val="00607F1F"/>
    <w:rsid w:val="00612350"/>
    <w:rsid w:val="00612B4E"/>
    <w:rsid w:val="00613E4E"/>
    <w:rsid w:val="00613EC4"/>
    <w:rsid w:val="00614B1B"/>
    <w:rsid w:val="00615A8A"/>
    <w:rsid w:val="00615B57"/>
    <w:rsid w:val="0061614C"/>
    <w:rsid w:val="00616241"/>
    <w:rsid w:val="00616320"/>
    <w:rsid w:val="006166A0"/>
    <w:rsid w:val="00616841"/>
    <w:rsid w:val="00617719"/>
    <w:rsid w:val="00622A58"/>
    <w:rsid w:val="0062403A"/>
    <w:rsid w:val="00625B2E"/>
    <w:rsid w:val="00626A03"/>
    <w:rsid w:val="00627C11"/>
    <w:rsid w:val="006300D1"/>
    <w:rsid w:val="00630414"/>
    <w:rsid w:val="00630D2A"/>
    <w:rsid w:val="00631BFC"/>
    <w:rsid w:val="00632DFF"/>
    <w:rsid w:val="00633CCC"/>
    <w:rsid w:val="006362DF"/>
    <w:rsid w:val="006370B3"/>
    <w:rsid w:val="006377C2"/>
    <w:rsid w:val="006421C3"/>
    <w:rsid w:val="0064381F"/>
    <w:rsid w:val="00646963"/>
    <w:rsid w:val="0064792F"/>
    <w:rsid w:val="00647D6E"/>
    <w:rsid w:val="00650E61"/>
    <w:rsid w:val="006510B2"/>
    <w:rsid w:val="00651545"/>
    <w:rsid w:val="00652859"/>
    <w:rsid w:val="006539B0"/>
    <w:rsid w:val="00653AAF"/>
    <w:rsid w:val="00655D24"/>
    <w:rsid w:val="00655EC8"/>
    <w:rsid w:val="00657CE6"/>
    <w:rsid w:val="00660FE9"/>
    <w:rsid w:val="00661553"/>
    <w:rsid w:val="00661ADB"/>
    <w:rsid w:val="00661DE9"/>
    <w:rsid w:val="00663214"/>
    <w:rsid w:val="00664F5B"/>
    <w:rsid w:val="006651B5"/>
    <w:rsid w:val="006660A9"/>
    <w:rsid w:val="00670AF1"/>
    <w:rsid w:val="00671098"/>
    <w:rsid w:val="00673577"/>
    <w:rsid w:val="00673D3A"/>
    <w:rsid w:val="00675A4B"/>
    <w:rsid w:val="00675E9F"/>
    <w:rsid w:val="0068039D"/>
    <w:rsid w:val="00681129"/>
    <w:rsid w:val="00681EE6"/>
    <w:rsid w:val="00683C94"/>
    <w:rsid w:val="0068472D"/>
    <w:rsid w:val="00684DFF"/>
    <w:rsid w:val="006852B3"/>
    <w:rsid w:val="0068549B"/>
    <w:rsid w:val="00686BC4"/>
    <w:rsid w:val="00690CB6"/>
    <w:rsid w:val="006922E2"/>
    <w:rsid w:val="00692552"/>
    <w:rsid w:val="0069273B"/>
    <w:rsid w:val="0069279B"/>
    <w:rsid w:val="0069313A"/>
    <w:rsid w:val="00693ACA"/>
    <w:rsid w:val="00693C88"/>
    <w:rsid w:val="00694696"/>
    <w:rsid w:val="00695EB3"/>
    <w:rsid w:val="00696BA9"/>
    <w:rsid w:val="006A1DDF"/>
    <w:rsid w:val="006A34CD"/>
    <w:rsid w:val="006A5889"/>
    <w:rsid w:val="006A79AC"/>
    <w:rsid w:val="006A7CD6"/>
    <w:rsid w:val="006B0981"/>
    <w:rsid w:val="006B0FF1"/>
    <w:rsid w:val="006B1F5F"/>
    <w:rsid w:val="006B2625"/>
    <w:rsid w:val="006B42D9"/>
    <w:rsid w:val="006B4686"/>
    <w:rsid w:val="006B6A11"/>
    <w:rsid w:val="006C0F3C"/>
    <w:rsid w:val="006C0F62"/>
    <w:rsid w:val="006C2C94"/>
    <w:rsid w:val="006C43E0"/>
    <w:rsid w:val="006C45B9"/>
    <w:rsid w:val="006C45DC"/>
    <w:rsid w:val="006C5321"/>
    <w:rsid w:val="006D1350"/>
    <w:rsid w:val="006D257E"/>
    <w:rsid w:val="006D5C66"/>
    <w:rsid w:val="006D5DA9"/>
    <w:rsid w:val="006D638B"/>
    <w:rsid w:val="006D7952"/>
    <w:rsid w:val="006D7DC8"/>
    <w:rsid w:val="006E0DF4"/>
    <w:rsid w:val="006E1D5C"/>
    <w:rsid w:val="006E4C85"/>
    <w:rsid w:val="006F3680"/>
    <w:rsid w:val="006F3DCC"/>
    <w:rsid w:val="006F435F"/>
    <w:rsid w:val="006F4749"/>
    <w:rsid w:val="006F50A9"/>
    <w:rsid w:val="006F71F8"/>
    <w:rsid w:val="006F79D3"/>
    <w:rsid w:val="006F7F88"/>
    <w:rsid w:val="00700C5E"/>
    <w:rsid w:val="00700D7A"/>
    <w:rsid w:val="007027CE"/>
    <w:rsid w:val="0070402D"/>
    <w:rsid w:val="00704B43"/>
    <w:rsid w:val="00706D11"/>
    <w:rsid w:val="00707D5D"/>
    <w:rsid w:val="007100B9"/>
    <w:rsid w:val="00712590"/>
    <w:rsid w:val="007129EA"/>
    <w:rsid w:val="00713091"/>
    <w:rsid w:val="0071783F"/>
    <w:rsid w:val="00721C98"/>
    <w:rsid w:val="007223B9"/>
    <w:rsid w:val="00724F9C"/>
    <w:rsid w:val="00725328"/>
    <w:rsid w:val="00726230"/>
    <w:rsid w:val="0072641F"/>
    <w:rsid w:val="007276B0"/>
    <w:rsid w:val="0073210A"/>
    <w:rsid w:val="007325B3"/>
    <w:rsid w:val="007326CD"/>
    <w:rsid w:val="00732800"/>
    <w:rsid w:val="007328B2"/>
    <w:rsid w:val="00733108"/>
    <w:rsid w:val="0073530A"/>
    <w:rsid w:val="00736CE4"/>
    <w:rsid w:val="00740747"/>
    <w:rsid w:val="00742EDC"/>
    <w:rsid w:val="00743921"/>
    <w:rsid w:val="00743ABD"/>
    <w:rsid w:val="00743DB1"/>
    <w:rsid w:val="007457EE"/>
    <w:rsid w:val="00745EA4"/>
    <w:rsid w:val="0074650F"/>
    <w:rsid w:val="00746671"/>
    <w:rsid w:val="00750001"/>
    <w:rsid w:val="00755E8C"/>
    <w:rsid w:val="007561C3"/>
    <w:rsid w:val="00761297"/>
    <w:rsid w:val="0076165A"/>
    <w:rsid w:val="00762725"/>
    <w:rsid w:val="00762D7E"/>
    <w:rsid w:val="00763236"/>
    <w:rsid w:val="0076361A"/>
    <w:rsid w:val="00764166"/>
    <w:rsid w:val="00765172"/>
    <w:rsid w:val="0076651F"/>
    <w:rsid w:val="0076755F"/>
    <w:rsid w:val="00770017"/>
    <w:rsid w:val="007703DD"/>
    <w:rsid w:val="007711AA"/>
    <w:rsid w:val="00772A92"/>
    <w:rsid w:val="0077393E"/>
    <w:rsid w:val="007749FE"/>
    <w:rsid w:val="00775AE2"/>
    <w:rsid w:val="00777F61"/>
    <w:rsid w:val="0078271B"/>
    <w:rsid w:val="00784F23"/>
    <w:rsid w:val="00786C7E"/>
    <w:rsid w:val="00787307"/>
    <w:rsid w:val="0078744E"/>
    <w:rsid w:val="007874C2"/>
    <w:rsid w:val="00792A3A"/>
    <w:rsid w:val="00792E65"/>
    <w:rsid w:val="00793A09"/>
    <w:rsid w:val="0079615F"/>
    <w:rsid w:val="00797585"/>
    <w:rsid w:val="0079774B"/>
    <w:rsid w:val="007A0A31"/>
    <w:rsid w:val="007A7F7F"/>
    <w:rsid w:val="007B0AA6"/>
    <w:rsid w:val="007B10E7"/>
    <w:rsid w:val="007B111A"/>
    <w:rsid w:val="007B14D7"/>
    <w:rsid w:val="007B1F4C"/>
    <w:rsid w:val="007B2E42"/>
    <w:rsid w:val="007B3CEB"/>
    <w:rsid w:val="007B6773"/>
    <w:rsid w:val="007B69BD"/>
    <w:rsid w:val="007B6B3A"/>
    <w:rsid w:val="007B7BEA"/>
    <w:rsid w:val="007C03D0"/>
    <w:rsid w:val="007C2587"/>
    <w:rsid w:val="007C490F"/>
    <w:rsid w:val="007C5217"/>
    <w:rsid w:val="007C598D"/>
    <w:rsid w:val="007D19B0"/>
    <w:rsid w:val="007D2922"/>
    <w:rsid w:val="007D2E88"/>
    <w:rsid w:val="007D3830"/>
    <w:rsid w:val="007D65C1"/>
    <w:rsid w:val="007D6606"/>
    <w:rsid w:val="007E11C9"/>
    <w:rsid w:val="007E4332"/>
    <w:rsid w:val="007E52FB"/>
    <w:rsid w:val="007E5A4A"/>
    <w:rsid w:val="007E5B52"/>
    <w:rsid w:val="007E7D9E"/>
    <w:rsid w:val="007F21FE"/>
    <w:rsid w:val="007F22EB"/>
    <w:rsid w:val="007F299E"/>
    <w:rsid w:val="007F46CD"/>
    <w:rsid w:val="007F5F1B"/>
    <w:rsid w:val="007F602F"/>
    <w:rsid w:val="007F71D3"/>
    <w:rsid w:val="008023D7"/>
    <w:rsid w:val="0080468A"/>
    <w:rsid w:val="00804C14"/>
    <w:rsid w:val="008070A6"/>
    <w:rsid w:val="0080738D"/>
    <w:rsid w:val="00811ABC"/>
    <w:rsid w:val="00812285"/>
    <w:rsid w:val="0081274E"/>
    <w:rsid w:val="00817657"/>
    <w:rsid w:val="00820042"/>
    <w:rsid w:val="008207C7"/>
    <w:rsid w:val="00820C1B"/>
    <w:rsid w:val="00821D3E"/>
    <w:rsid w:val="008236DF"/>
    <w:rsid w:val="008248E2"/>
    <w:rsid w:val="00824AE9"/>
    <w:rsid w:val="008254B2"/>
    <w:rsid w:val="00826330"/>
    <w:rsid w:val="008267F6"/>
    <w:rsid w:val="00827FD0"/>
    <w:rsid w:val="00830C05"/>
    <w:rsid w:val="00832E09"/>
    <w:rsid w:val="00833B16"/>
    <w:rsid w:val="00837844"/>
    <w:rsid w:val="00837E74"/>
    <w:rsid w:val="008409B9"/>
    <w:rsid w:val="00840D06"/>
    <w:rsid w:val="008427A6"/>
    <w:rsid w:val="00842DE4"/>
    <w:rsid w:val="008431B6"/>
    <w:rsid w:val="008459B8"/>
    <w:rsid w:val="00847812"/>
    <w:rsid w:val="0085029B"/>
    <w:rsid w:val="00850AD7"/>
    <w:rsid w:val="00851E09"/>
    <w:rsid w:val="00852250"/>
    <w:rsid w:val="00854FCD"/>
    <w:rsid w:val="0085529E"/>
    <w:rsid w:val="0085559F"/>
    <w:rsid w:val="008564FE"/>
    <w:rsid w:val="0086064D"/>
    <w:rsid w:val="00860A6C"/>
    <w:rsid w:val="0086138E"/>
    <w:rsid w:val="0086340F"/>
    <w:rsid w:val="00863A65"/>
    <w:rsid w:val="00864140"/>
    <w:rsid w:val="008643BE"/>
    <w:rsid w:val="00864F11"/>
    <w:rsid w:val="00865EAD"/>
    <w:rsid w:val="00866C88"/>
    <w:rsid w:val="00871128"/>
    <w:rsid w:val="008748CD"/>
    <w:rsid w:val="008763C8"/>
    <w:rsid w:val="00876FE9"/>
    <w:rsid w:val="008803F2"/>
    <w:rsid w:val="008817E4"/>
    <w:rsid w:val="00882DCB"/>
    <w:rsid w:val="00882E08"/>
    <w:rsid w:val="00887477"/>
    <w:rsid w:val="00887DF2"/>
    <w:rsid w:val="00890858"/>
    <w:rsid w:val="00891FE9"/>
    <w:rsid w:val="008936B3"/>
    <w:rsid w:val="00893981"/>
    <w:rsid w:val="00893ED6"/>
    <w:rsid w:val="00894C3D"/>
    <w:rsid w:val="008963CE"/>
    <w:rsid w:val="008A1A5C"/>
    <w:rsid w:val="008A2D01"/>
    <w:rsid w:val="008A430A"/>
    <w:rsid w:val="008A502D"/>
    <w:rsid w:val="008A690A"/>
    <w:rsid w:val="008A7532"/>
    <w:rsid w:val="008A7B8A"/>
    <w:rsid w:val="008B05A4"/>
    <w:rsid w:val="008B0C4C"/>
    <w:rsid w:val="008B2A79"/>
    <w:rsid w:val="008B4015"/>
    <w:rsid w:val="008B42CB"/>
    <w:rsid w:val="008B7504"/>
    <w:rsid w:val="008C0255"/>
    <w:rsid w:val="008C093C"/>
    <w:rsid w:val="008C0F44"/>
    <w:rsid w:val="008C1B02"/>
    <w:rsid w:val="008C31CF"/>
    <w:rsid w:val="008C41B0"/>
    <w:rsid w:val="008C4356"/>
    <w:rsid w:val="008C4C43"/>
    <w:rsid w:val="008C595F"/>
    <w:rsid w:val="008C5D43"/>
    <w:rsid w:val="008C5F96"/>
    <w:rsid w:val="008C68F4"/>
    <w:rsid w:val="008C6C03"/>
    <w:rsid w:val="008C772E"/>
    <w:rsid w:val="008C7C93"/>
    <w:rsid w:val="008D0231"/>
    <w:rsid w:val="008D09FE"/>
    <w:rsid w:val="008D0E18"/>
    <w:rsid w:val="008D22F7"/>
    <w:rsid w:val="008D2F57"/>
    <w:rsid w:val="008D3FBF"/>
    <w:rsid w:val="008D4508"/>
    <w:rsid w:val="008D53F9"/>
    <w:rsid w:val="008D5B5E"/>
    <w:rsid w:val="008D7819"/>
    <w:rsid w:val="008E09EE"/>
    <w:rsid w:val="008E344C"/>
    <w:rsid w:val="008E4F4C"/>
    <w:rsid w:val="008E50CC"/>
    <w:rsid w:val="008E670E"/>
    <w:rsid w:val="008E7801"/>
    <w:rsid w:val="008F0CC0"/>
    <w:rsid w:val="008F3265"/>
    <w:rsid w:val="008F32B4"/>
    <w:rsid w:val="008F3347"/>
    <w:rsid w:val="008F3598"/>
    <w:rsid w:val="008F504D"/>
    <w:rsid w:val="008F5E93"/>
    <w:rsid w:val="008F6054"/>
    <w:rsid w:val="008F6137"/>
    <w:rsid w:val="008F6836"/>
    <w:rsid w:val="008F6ED9"/>
    <w:rsid w:val="00900115"/>
    <w:rsid w:val="00900B7F"/>
    <w:rsid w:val="00901240"/>
    <w:rsid w:val="009045C3"/>
    <w:rsid w:val="009066E2"/>
    <w:rsid w:val="009076D7"/>
    <w:rsid w:val="00910BA5"/>
    <w:rsid w:val="0091465C"/>
    <w:rsid w:val="00916C10"/>
    <w:rsid w:val="0092083F"/>
    <w:rsid w:val="00923D98"/>
    <w:rsid w:val="00924738"/>
    <w:rsid w:val="009260D4"/>
    <w:rsid w:val="009267AD"/>
    <w:rsid w:val="00927423"/>
    <w:rsid w:val="0093381D"/>
    <w:rsid w:val="00935C00"/>
    <w:rsid w:val="00936378"/>
    <w:rsid w:val="0093665E"/>
    <w:rsid w:val="00936848"/>
    <w:rsid w:val="00936F36"/>
    <w:rsid w:val="009370D6"/>
    <w:rsid w:val="00941DDE"/>
    <w:rsid w:val="00943383"/>
    <w:rsid w:val="00944A76"/>
    <w:rsid w:val="00950663"/>
    <w:rsid w:val="00950B21"/>
    <w:rsid w:val="009541C9"/>
    <w:rsid w:val="009574BE"/>
    <w:rsid w:val="00957CEF"/>
    <w:rsid w:val="00961601"/>
    <w:rsid w:val="00961947"/>
    <w:rsid w:val="009658EB"/>
    <w:rsid w:val="00967CAB"/>
    <w:rsid w:val="009706A5"/>
    <w:rsid w:val="00971E5D"/>
    <w:rsid w:val="0097278C"/>
    <w:rsid w:val="00973ACC"/>
    <w:rsid w:val="00980489"/>
    <w:rsid w:val="009819E0"/>
    <w:rsid w:val="009840AD"/>
    <w:rsid w:val="009857FB"/>
    <w:rsid w:val="00985AF0"/>
    <w:rsid w:val="00987540"/>
    <w:rsid w:val="009919DD"/>
    <w:rsid w:val="00993BE2"/>
    <w:rsid w:val="009975AE"/>
    <w:rsid w:val="00997607"/>
    <w:rsid w:val="00997922"/>
    <w:rsid w:val="009A0F56"/>
    <w:rsid w:val="009A2322"/>
    <w:rsid w:val="009A4A17"/>
    <w:rsid w:val="009A6E73"/>
    <w:rsid w:val="009B067E"/>
    <w:rsid w:val="009B0757"/>
    <w:rsid w:val="009B230A"/>
    <w:rsid w:val="009B469E"/>
    <w:rsid w:val="009B5A71"/>
    <w:rsid w:val="009B5FC2"/>
    <w:rsid w:val="009B5FC4"/>
    <w:rsid w:val="009B6CF2"/>
    <w:rsid w:val="009B751B"/>
    <w:rsid w:val="009B7B94"/>
    <w:rsid w:val="009C0B0B"/>
    <w:rsid w:val="009C3071"/>
    <w:rsid w:val="009C3C9E"/>
    <w:rsid w:val="009C45D1"/>
    <w:rsid w:val="009C6C39"/>
    <w:rsid w:val="009C703B"/>
    <w:rsid w:val="009C7172"/>
    <w:rsid w:val="009D19D9"/>
    <w:rsid w:val="009D1FD4"/>
    <w:rsid w:val="009D3507"/>
    <w:rsid w:val="009D352C"/>
    <w:rsid w:val="009D373B"/>
    <w:rsid w:val="009D42D9"/>
    <w:rsid w:val="009D4515"/>
    <w:rsid w:val="009D49B1"/>
    <w:rsid w:val="009D5206"/>
    <w:rsid w:val="009D72C1"/>
    <w:rsid w:val="009D7C8B"/>
    <w:rsid w:val="009E0DE1"/>
    <w:rsid w:val="009E16D3"/>
    <w:rsid w:val="009E1FF0"/>
    <w:rsid w:val="009E30B1"/>
    <w:rsid w:val="009E33F9"/>
    <w:rsid w:val="009E3A0E"/>
    <w:rsid w:val="009E6227"/>
    <w:rsid w:val="009E71F8"/>
    <w:rsid w:val="009E7724"/>
    <w:rsid w:val="009F0A9B"/>
    <w:rsid w:val="009F0DED"/>
    <w:rsid w:val="009F3C59"/>
    <w:rsid w:val="009F3E9F"/>
    <w:rsid w:val="009F4C40"/>
    <w:rsid w:val="009F4FEB"/>
    <w:rsid w:val="00A01BF9"/>
    <w:rsid w:val="00A0211B"/>
    <w:rsid w:val="00A03573"/>
    <w:rsid w:val="00A04538"/>
    <w:rsid w:val="00A047AC"/>
    <w:rsid w:val="00A069FC"/>
    <w:rsid w:val="00A07897"/>
    <w:rsid w:val="00A11D2B"/>
    <w:rsid w:val="00A11E8F"/>
    <w:rsid w:val="00A11F35"/>
    <w:rsid w:val="00A1229C"/>
    <w:rsid w:val="00A122D1"/>
    <w:rsid w:val="00A13C0A"/>
    <w:rsid w:val="00A155FB"/>
    <w:rsid w:val="00A1691F"/>
    <w:rsid w:val="00A201B4"/>
    <w:rsid w:val="00A23B2E"/>
    <w:rsid w:val="00A266C9"/>
    <w:rsid w:val="00A30ABF"/>
    <w:rsid w:val="00A31350"/>
    <w:rsid w:val="00A357E3"/>
    <w:rsid w:val="00A3594C"/>
    <w:rsid w:val="00A35A48"/>
    <w:rsid w:val="00A40402"/>
    <w:rsid w:val="00A4053F"/>
    <w:rsid w:val="00A411FF"/>
    <w:rsid w:val="00A4178F"/>
    <w:rsid w:val="00A41E03"/>
    <w:rsid w:val="00A442A1"/>
    <w:rsid w:val="00A44472"/>
    <w:rsid w:val="00A447C8"/>
    <w:rsid w:val="00A449CC"/>
    <w:rsid w:val="00A46D28"/>
    <w:rsid w:val="00A50319"/>
    <w:rsid w:val="00A50B27"/>
    <w:rsid w:val="00A50EE9"/>
    <w:rsid w:val="00A517ED"/>
    <w:rsid w:val="00A540C7"/>
    <w:rsid w:val="00A575B3"/>
    <w:rsid w:val="00A5770F"/>
    <w:rsid w:val="00A578DE"/>
    <w:rsid w:val="00A57F17"/>
    <w:rsid w:val="00A6094C"/>
    <w:rsid w:val="00A61A70"/>
    <w:rsid w:val="00A62331"/>
    <w:rsid w:val="00A6444F"/>
    <w:rsid w:val="00A65E91"/>
    <w:rsid w:val="00A665DE"/>
    <w:rsid w:val="00A66753"/>
    <w:rsid w:val="00A66D9B"/>
    <w:rsid w:val="00A71655"/>
    <w:rsid w:val="00A71A90"/>
    <w:rsid w:val="00A72571"/>
    <w:rsid w:val="00A729C2"/>
    <w:rsid w:val="00A74627"/>
    <w:rsid w:val="00A74960"/>
    <w:rsid w:val="00A74C7B"/>
    <w:rsid w:val="00A751AD"/>
    <w:rsid w:val="00A756BC"/>
    <w:rsid w:val="00A77D5B"/>
    <w:rsid w:val="00A81107"/>
    <w:rsid w:val="00A81B1F"/>
    <w:rsid w:val="00A84514"/>
    <w:rsid w:val="00A84D11"/>
    <w:rsid w:val="00A8627D"/>
    <w:rsid w:val="00A922EB"/>
    <w:rsid w:val="00A936BC"/>
    <w:rsid w:val="00A94152"/>
    <w:rsid w:val="00A94637"/>
    <w:rsid w:val="00A9522D"/>
    <w:rsid w:val="00A95561"/>
    <w:rsid w:val="00A95BB6"/>
    <w:rsid w:val="00A95BE1"/>
    <w:rsid w:val="00A95E50"/>
    <w:rsid w:val="00A96234"/>
    <w:rsid w:val="00A9736C"/>
    <w:rsid w:val="00AA02D3"/>
    <w:rsid w:val="00AA1B8D"/>
    <w:rsid w:val="00AA2736"/>
    <w:rsid w:val="00AA429B"/>
    <w:rsid w:val="00AB1165"/>
    <w:rsid w:val="00AB158C"/>
    <w:rsid w:val="00AB1F0C"/>
    <w:rsid w:val="00AB2A86"/>
    <w:rsid w:val="00AB37AE"/>
    <w:rsid w:val="00AB3E8A"/>
    <w:rsid w:val="00AB42EB"/>
    <w:rsid w:val="00AB4600"/>
    <w:rsid w:val="00AB7D9C"/>
    <w:rsid w:val="00AC0241"/>
    <w:rsid w:val="00AC1BFA"/>
    <w:rsid w:val="00AC3C23"/>
    <w:rsid w:val="00AC7BDC"/>
    <w:rsid w:val="00AD0107"/>
    <w:rsid w:val="00AD101D"/>
    <w:rsid w:val="00AD308E"/>
    <w:rsid w:val="00AD3713"/>
    <w:rsid w:val="00AD5A61"/>
    <w:rsid w:val="00AD6F75"/>
    <w:rsid w:val="00AD7FA1"/>
    <w:rsid w:val="00AE0221"/>
    <w:rsid w:val="00AE0CA6"/>
    <w:rsid w:val="00AE1205"/>
    <w:rsid w:val="00AE155E"/>
    <w:rsid w:val="00AE26FD"/>
    <w:rsid w:val="00AE6749"/>
    <w:rsid w:val="00AE7721"/>
    <w:rsid w:val="00AF183D"/>
    <w:rsid w:val="00AF1BA6"/>
    <w:rsid w:val="00AF2D0C"/>
    <w:rsid w:val="00AF4D22"/>
    <w:rsid w:val="00B001D8"/>
    <w:rsid w:val="00B00EBA"/>
    <w:rsid w:val="00B01AAE"/>
    <w:rsid w:val="00B0323A"/>
    <w:rsid w:val="00B03A49"/>
    <w:rsid w:val="00B04115"/>
    <w:rsid w:val="00B04F3F"/>
    <w:rsid w:val="00B077E9"/>
    <w:rsid w:val="00B07E24"/>
    <w:rsid w:val="00B10111"/>
    <w:rsid w:val="00B10BCC"/>
    <w:rsid w:val="00B119CA"/>
    <w:rsid w:val="00B11DC6"/>
    <w:rsid w:val="00B134F5"/>
    <w:rsid w:val="00B1440C"/>
    <w:rsid w:val="00B16223"/>
    <w:rsid w:val="00B1676F"/>
    <w:rsid w:val="00B16B1B"/>
    <w:rsid w:val="00B178EF"/>
    <w:rsid w:val="00B219E8"/>
    <w:rsid w:val="00B23019"/>
    <w:rsid w:val="00B236AD"/>
    <w:rsid w:val="00B23831"/>
    <w:rsid w:val="00B2402A"/>
    <w:rsid w:val="00B24168"/>
    <w:rsid w:val="00B24EAF"/>
    <w:rsid w:val="00B251CD"/>
    <w:rsid w:val="00B27FFE"/>
    <w:rsid w:val="00B30425"/>
    <w:rsid w:val="00B31701"/>
    <w:rsid w:val="00B31B0D"/>
    <w:rsid w:val="00B330ED"/>
    <w:rsid w:val="00B3549E"/>
    <w:rsid w:val="00B36DA5"/>
    <w:rsid w:val="00B3716C"/>
    <w:rsid w:val="00B3789A"/>
    <w:rsid w:val="00B4166A"/>
    <w:rsid w:val="00B42E5A"/>
    <w:rsid w:val="00B440FF"/>
    <w:rsid w:val="00B44860"/>
    <w:rsid w:val="00B44AEC"/>
    <w:rsid w:val="00B4593B"/>
    <w:rsid w:val="00B50F80"/>
    <w:rsid w:val="00B53851"/>
    <w:rsid w:val="00B53E07"/>
    <w:rsid w:val="00B542A4"/>
    <w:rsid w:val="00B54EE1"/>
    <w:rsid w:val="00B55DFE"/>
    <w:rsid w:val="00B56278"/>
    <w:rsid w:val="00B5723D"/>
    <w:rsid w:val="00B632F9"/>
    <w:rsid w:val="00B66FC6"/>
    <w:rsid w:val="00B700F7"/>
    <w:rsid w:val="00B7031A"/>
    <w:rsid w:val="00B707C5"/>
    <w:rsid w:val="00B7136F"/>
    <w:rsid w:val="00B722A4"/>
    <w:rsid w:val="00B74913"/>
    <w:rsid w:val="00B75450"/>
    <w:rsid w:val="00B757B4"/>
    <w:rsid w:val="00B75E80"/>
    <w:rsid w:val="00B76545"/>
    <w:rsid w:val="00B766D2"/>
    <w:rsid w:val="00B7773E"/>
    <w:rsid w:val="00B81ACA"/>
    <w:rsid w:val="00B83581"/>
    <w:rsid w:val="00B840EA"/>
    <w:rsid w:val="00B84175"/>
    <w:rsid w:val="00B844F7"/>
    <w:rsid w:val="00B8662F"/>
    <w:rsid w:val="00B9014B"/>
    <w:rsid w:val="00B92BFD"/>
    <w:rsid w:val="00B94ADF"/>
    <w:rsid w:val="00B97CFC"/>
    <w:rsid w:val="00BA0427"/>
    <w:rsid w:val="00BA19F8"/>
    <w:rsid w:val="00BA1BC7"/>
    <w:rsid w:val="00BA1E3A"/>
    <w:rsid w:val="00BA2169"/>
    <w:rsid w:val="00BA24E7"/>
    <w:rsid w:val="00BA2568"/>
    <w:rsid w:val="00BA4361"/>
    <w:rsid w:val="00BA4660"/>
    <w:rsid w:val="00BA5439"/>
    <w:rsid w:val="00BA5FE5"/>
    <w:rsid w:val="00BA680C"/>
    <w:rsid w:val="00BB05EC"/>
    <w:rsid w:val="00BB1228"/>
    <w:rsid w:val="00BB1747"/>
    <w:rsid w:val="00BB212A"/>
    <w:rsid w:val="00BB2335"/>
    <w:rsid w:val="00BB27C2"/>
    <w:rsid w:val="00BB2901"/>
    <w:rsid w:val="00BB448F"/>
    <w:rsid w:val="00BB4AC4"/>
    <w:rsid w:val="00BB64DC"/>
    <w:rsid w:val="00BB6561"/>
    <w:rsid w:val="00BB6EEE"/>
    <w:rsid w:val="00BC28EC"/>
    <w:rsid w:val="00BC377F"/>
    <w:rsid w:val="00BC43F4"/>
    <w:rsid w:val="00BC465B"/>
    <w:rsid w:val="00BC51EF"/>
    <w:rsid w:val="00BC5597"/>
    <w:rsid w:val="00BC6133"/>
    <w:rsid w:val="00BC67EA"/>
    <w:rsid w:val="00BC73C7"/>
    <w:rsid w:val="00BC7527"/>
    <w:rsid w:val="00BD2906"/>
    <w:rsid w:val="00BD3BC4"/>
    <w:rsid w:val="00BD4101"/>
    <w:rsid w:val="00BD5A68"/>
    <w:rsid w:val="00BD6FBA"/>
    <w:rsid w:val="00BD79D5"/>
    <w:rsid w:val="00BE27C5"/>
    <w:rsid w:val="00BE3CEC"/>
    <w:rsid w:val="00BE3DA5"/>
    <w:rsid w:val="00BE41FD"/>
    <w:rsid w:val="00BE51E4"/>
    <w:rsid w:val="00BE5920"/>
    <w:rsid w:val="00BE6C50"/>
    <w:rsid w:val="00BE794F"/>
    <w:rsid w:val="00BF125D"/>
    <w:rsid w:val="00BF202D"/>
    <w:rsid w:val="00BF222A"/>
    <w:rsid w:val="00BF25BA"/>
    <w:rsid w:val="00BF40C9"/>
    <w:rsid w:val="00BF42E0"/>
    <w:rsid w:val="00BF653D"/>
    <w:rsid w:val="00C0053D"/>
    <w:rsid w:val="00C00F83"/>
    <w:rsid w:val="00C0292D"/>
    <w:rsid w:val="00C040D2"/>
    <w:rsid w:val="00C04D02"/>
    <w:rsid w:val="00C05E10"/>
    <w:rsid w:val="00C06A48"/>
    <w:rsid w:val="00C06EDA"/>
    <w:rsid w:val="00C101BF"/>
    <w:rsid w:val="00C113BD"/>
    <w:rsid w:val="00C12B05"/>
    <w:rsid w:val="00C12DC4"/>
    <w:rsid w:val="00C132BC"/>
    <w:rsid w:val="00C13E1B"/>
    <w:rsid w:val="00C157C7"/>
    <w:rsid w:val="00C16CC7"/>
    <w:rsid w:val="00C16F69"/>
    <w:rsid w:val="00C17ECD"/>
    <w:rsid w:val="00C20418"/>
    <w:rsid w:val="00C24912"/>
    <w:rsid w:val="00C2565A"/>
    <w:rsid w:val="00C25994"/>
    <w:rsid w:val="00C25A25"/>
    <w:rsid w:val="00C26430"/>
    <w:rsid w:val="00C27935"/>
    <w:rsid w:val="00C319BE"/>
    <w:rsid w:val="00C32622"/>
    <w:rsid w:val="00C342E3"/>
    <w:rsid w:val="00C347C1"/>
    <w:rsid w:val="00C35AE7"/>
    <w:rsid w:val="00C376AD"/>
    <w:rsid w:val="00C416CF"/>
    <w:rsid w:val="00C41AEE"/>
    <w:rsid w:val="00C41F70"/>
    <w:rsid w:val="00C435F6"/>
    <w:rsid w:val="00C43730"/>
    <w:rsid w:val="00C46564"/>
    <w:rsid w:val="00C46AC5"/>
    <w:rsid w:val="00C46E40"/>
    <w:rsid w:val="00C47D47"/>
    <w:rsid w:val="00C51C2A"/>
    <w:rsid w:val="00C52489"/>
    <w:rsid w:val="00C527CC"/>
    <w:rsid w:val="00C55E8F"/>
    <w:rsid w:val="00C56846"/>
    <w:rsid w:val="00C56955"/>
    <w:rsid w:val="00C60114"/>
    <w:rsid w:val="00C619EF"/>
    <w:rsid w:val="00C61AD5"/>
    <w:rsid w:val="00C62AB0"/>
    <w:rsid w:val="00C62DF1"/>
    <w:rsid w:val="00C62F1A"/>
    <w:rsid w:val="00C63D8F"/>
    <w:rsid w:val="00C6449E"/>
    <w:rsid w:val="00C65A24"/>
    <w:rsid w:val="00C65F41"/>
    <w:rsid w:val="00C70E9F"/>
    <w:rsid w:val="00C71351"/>
    <w:rsid w:val="00C71672"/>
    <w:rsid w:val="00C728A8"/>
    <w:rsid w:val="00C72FA5"/>
    <w:rsid w:val="00C752D7"/>
    <w:rsid w:val="00C757EB"/>
    <w:rsid w:val="00C758FF"/>
    <w:rsid w:val="00C77EB9"/>
    <w:rsid w:val="00C82CA1"/>
    <w:rsid w:val="00C8632F"/>
    <w:rsid w:val="00C87EFC"/>
    <w:rsid w:val="00C90963"/>
    <w:rsid w:val="00C92709"/>
    <w:rsid w:val="00C93DF1"/>
    <w:rsid w:val="00C94651"/>
    <w:rsid w:val="00C95591"/>
    <w:rsid w:val="00CA0719"/>
    <w:rsid w:val="00CA1978"/>
    <w:rsid w:val="00CA36AB"/>
    <w:rsid w:val="00CA3DF0"/>
    <w:rsid w:val="00CA4176"/>
    <w:rsid w:val="00CB07C3"/>
    <w:rsid w:val="00CB157E"/>
    <w:rsid w:val="00CB3087"/>
    <w:rsid w:val="00CB3A4F"/>
    <w:rsid w:val="00CB3F8B"/>
    <w:rsid w:val="00CB43C3"/>
    <w:rsid w:val="00CB43DA"/>
    <w:rsid w:val="00CB470E"/>
    <w:rsid w:val="00CB7722"/>
    <w:rsid w:val="00CC06DE"/>
    <w:rsid w:val="00CC10CC"/>
    <w:rsid w:val="00CC13B3"/>
    <w:rsid w:val="00CC1817"/>
    <w:rsid w:val="00CC2FEC"/>
    <w:rsid w:val="00CC4188"/>
    <w:rsid w:val="00CC4584"/>
    <w:rsid w:val="00CC4CB2"/>
    <w:rsid w:val="00CC5589"/>
    <w:rsid w:val="00CC7FBC"/>
    <w:rsid w:val="00CD2388"/>
    <w:rsid w:val="00CD2AAA"/>
    <w:rsid w:val="00CD2AC8"/>
    <w:rsid w:val="00CD2B30"/>
    <w:rsid w:val="00CD2F58"/>
    <w:rsid w:val="00CD3A4D"/>
    <w:rsid w:val="00CD3FC9"/>
    <w:rsid w:val="00CD42E5"/>
    <w:rsid w:val="00CD702F"/>
    <w:rsid w:val="00CD78AE"/>
    <w:rsid w:val="00CD7F5C"/>
    <w:rsid w:val="00CE111B"/>
    <w:rsid w:val="00CE147B"/>
    <w:rsid w:val="00CE27C6"/>
    <w:rsid w:val="00CE2BA3"/>
    <w:rsid w:val="00CE44C5"/>
    <w:rsid w:val="00CE535C"/>
    <w:rsid w:val="00CE68EF"/>
    <w:rsid w:val="00CE7801"/>
    <w:rsid w:val="00CF147E"/>
    <w:rsid w:val="00CF1CAC"/>
    <w:rsid w:val="00CF2359"/>
    <w:rsid w:val="00CF2A12"/>
    <w:rsid w:val="00CF3B2E"/>
    <w:rsid w:val="00CF441F"/>
    <w:rsid w:val="00CF5FF9"/>
    <w:rsid w:val="00CF7AFD"/>
    <w:rsid w:val="00D00620"/>
    <w:rsid w:val="00D029DA"/>
    <w:rsid w:val="00D050E4"/>
    <w:rsid w:val="00D062B9"/>
    <w:rsid w:val="00D06C1A"/>
    <w:rsid w:val="00D074D8"/>
    <w:rsid w:val="00D07778"/>
    <w:rsid w:val="00D0784A"/>
    <w:rsid w:val="00D07EB2"/>
    <w:rsid w:val="00D10D88"/>
    <w:rsid w:val="00D10E9E"/>
    <w:rsid w:val="00D12301"/>
    <w:rsid w:val="00D125F7"/>
    <w:rsid w:val="00D12659"/>
    <w:rsid w:val="00D13217"/>
    <w:rsid w:val="00D13982"/>
    <w:rsid w:val="00D14FCD"/>
    <w:rsid w:val="00D154E7"/>
    <w:rsid w:val="00D205B3"/>
    <w:rsid w:val="00D22E6F"/>
    <w:rsid w:val="00D254EB"/>
    <w:rsid w:val="00D2600E"/>
    <w:rsid w:val="00D2617E"/>
    <w:rsid w:val="00D271E1"/>
    <w:rsid w:val="00D276E1"/>
    <w:rsid w:val="00D27C1B"/>
    <w:rsid w:val="00D31779"/>
    <w:rsid w:val="00D32425"/>
    <w:rsid w:val="00D341F3"/>
    <w:rsid w:val="00D346D5"/>
    <w:rsid w:val="00D34C87"/>
    <w:rsid w:val="00D352C5"/>
    <w:rsid w:val="00D36861"/>
    <w:rsid w:val="00D4054A"/>
    <w:rsid w:val="00D40624"/>
    <w:rsid w:val="00D43849"/>
    <w:rsid w:val="00D47471"/>
    <w:rsid w:val="00D506A9"/>
    <w:rsid w:val="00D52AEA"/>
    <w:rsid w:val="00D52EAA"/>
    <w:rsid w:val="00D52F7E"/>
    <w:rsid w:val="00D538F7"/>
    <w:rsid w:val="00D57353"/>
    <w:rsid w:val="00D57607"/>
    <w:rsid w:val="00D577F5"/>
    <w:rsid w:val="00D607F7"/>
    <w:rsid w:val="00D60F7E"/>
    <w:rsid w:val="00D614F8"/>
    <w:rsid w:val="00D619A5"/>
    <w:rsid w:val="00D63080"/>
    <w:rsid w:val="00D64EF3"/>
    <w:rsid w:val="00D658A7"/>
    <w:rsid w:val="00D65BDE"/>
    <w:rsid w:val="00D6606C"/>
    <w:rsid w:val="00D663EF"/>
    <w:rsid w:val="00D66DB8"/>
    <w:rsid w:val="00D7042D"/>
    <w:rsid w:val="00D70C80"/>
    <w:rsid w:val="00D70FA5"/>
    <w:rsid w:val="00D723C9"/>
    <w:rsid w:val="00D734DD"/>
    <w:rsid w:val="00D7410B"/>
    <w:rsid w:val="00D7466F"/>
    <w:rsid w:val="00D74D04"/>
    <w:rsid w:val="00D811FF"/>
    <w:rsid w:val="00D81EBC"/>
    <w:rsid w:val="00D8263A"/>
    <w:rsid w:val="00D82B48"/>
    <w:rsid w:val="00D83423"/>
    <w:rsid w:val="00D83901"/>
    <w:rsid w:val="00D839A6"/>
    <w:rsid w:val="00D83C33"/>
    <w:rsid w:val="00D85F5E"/>
    <w:rsid w:val="00D86844"/>
    <w:rsid w:val="00D90C5B"/>
    <w:rsid w:val="00D930C7"/>
    <w:rsid w:val="00D9414F"/>
    <w:rsid w:val="00D94524"/>
    <w:rsid w:val="00D96DB0"/>
    <w:rsid w:val="00D96EFD"/>
    <w:rsid w:val="00D97293"/>
    <w:rsid w:val="00DA0C21"/>
    <w:rsid w:val="00DA2063"/>
    <w:rsid w:val="00DA29C3"/>
    <w:rsid w:val="00DA2BEE"/>
    <w:rsid w:val="00DA3BBB"/>
    <w:rsid w:val="00DA44CC"/>
    <w:rsid w:val="00DA6654"/>
    <w:rsid w:val="00DA6F3B"/>
    <w:rsid w:val="00DA78ED"/>
    <w:rsid w:val="00DB14A9"/>
    <w:rsid w:val="00DB2DBA"/>
    <w:rsid w:val="00DB3EE4"/>
    <w:rsid w:val="00DB48B4"/>
    <w:rsid w:val="00DB51FC"/>
    <w:rsid w:val="00DB5B3D"/>
    <w:rsid w:val="00DB6DE5"/>
    <w:rsid w:val="00DC01CC"/>
    <w:rsid w:val="00DC1B68"/>
    <w:rsid w:val="00DC2756"/>
    <w:rsid w:val="00DC4D1F"/>
    <w:rsid w:val="00DC5982"/>
    <w:rsid w:val="00DD0157"/>
    <w:rsid w:val="00DD0C36"/>
    <w:rsid w:val="00DD147E"/>
    <w:rsid w:val="00DD29DD"/>
    <w:rsid w:val="00DD2D16"/>
    <w:rsid w:val="00DD37FA"/>
    <w:rsid w:val="00DD3C86"/>
    <w:rsid w:val="00DD4693"/>
    <w:rsid w:val="00DD51A8"/>
    <w:rsid w:val="00DD5A8E"/>
    <w:rsid w:val="00DD6910"/>
    <w:rsid w:val="00DE1965"/>
    <w:rsid w:val="00DE324F"/>
    <w:rsid w:val="00DE3B53"/>
    <w:rsid w:val="00DE3B81"/>
    <w:rsid w:val="00DE426D"/>
    <w:rsid w:val="00DE4410"/>
    <w:rsid w:val="00DE5C3D"/>
    <w:rsid w:val="00DE628E"/>
    <w:rsid w:val="00DE7493"/>
    <w:rsid w:val="00DF0E92"/>
    <w:rsid w:val="00DF16DA"/>
    <w:rsid w:val="00DF2253"/>
    <w:rsid w:val="00DF29A0"/>
    <w:rsid w:val="00DF57EB"/>
    <w:rsid w:val="00DF605A"/>
    <w:rsid w:val="00DF6E46"/>
    <w:rsid w:val="00DF6FB3"/>
    <w:rsid w:val="00DF7720"/>
    <w:rsid w:val="00DF7E94"/>
    <w:rsid w:val="00E015F3"/>
    <w:rsid w:val="00E02112"/>
    <w:rsid w:val="00E032DB"/>
    <w:rsid w:val="00E03AC8"/>
    <w:rsid w:val="00E0505B"/>
    <w:rsid w:val="00E0607A"/>
    <w:rsid w:val="00E07A0B"/>
    <w:rsid w:val="00E07B1D"/>
    <w:rsid w:val="00E11846"/>
    <w:rsid w:val="00E1278A"/>
    <w:rsid w:val="00E1784C"/>
    <w:rsid w:val="00E203EC"/>
    <w:rsid w:val="00E215BE"/>
    <w:rsid w:val="00E22629"/>
    <w:rsid w:val="00E2314C"/>
    <w:rsid w:val="00E23B97"/>
    <w:rsid w:val="00E23F67"/>
    <w:rsid w:val="00E26B3A"/>
    <w:rsid w:val="00E26B7A"/>
    <w:rsid w:val="00E27284"/>
    <w:rsid w:val="00E27E7F"/>
    <w:rsid w:val="00E32EE6"/>
    <w:rsid w:val="00E33ACE"/>
    <w:rsid w:val="00E33F12"/>
    <w:rsid w:val="00E3419A"/>
    <w:rsid w:val="00E34695"/>
    <w:rsid w:val="00E34B32"/>
    <w:rsid w:val="00E34C92"/>
    <w:rsid w:val="00E36F7C"/>
    <w:rsid w:val="00E37481"/>
    <w:rsid w:val="00E41503"/>
    <w:rsid w:val="00E41D83"/>
    <w:rsid w:val="00E43471"/>
    <w:rsid w:val="00E44971"/>
    <w:rsid w:val="00E451CD"/>
    <w:rsid w:val="00E47236"/>
    <w:rsid w:val="00E473E0"/>
    <w:rsid w:val="00E506AB"/>
    <w:rsid w:val="00E506D7"/>
    <w:rsid w:val="00E51E2A"/>
    <w:rsid w:val="00E51FF5"/>
    <w:rsid w:val="00E53F18"/>
    <w:rsid w:val="00E5482E"/>
    <w:rsid w:val="00E5547B"/>
    <w:rsid w:val="00E561BE"/>
    <w:rsid w:val="00E56A0F"/>
    <w:rsid w:val="00E56C17"/>
    <w:rsid w:val="00E603A0"/>
    <w:rsid w:val="00E6097D"/>
    <w:rsid w:val="00E61031"/>
    <w:rsid w:val="00E61FA9"/>
    <w:rsid w:val="00E62373"/>
    <w:rsid w:val="00E644E6"/>
    <w:rsid w:val="00E656E0"/>
    <w:rsid w:val="00E66405"/>
    <w:rsid w:val="00E7022D"/>
    <w:rsid w:val="00E72B9D"/>
    <w:rsid w:val="00E732E5"/>
    <w:rsid w:val="00E74DA4"/>
    <w:rsid w:val="00E75BAB"/>
    <w:rsid w:val="00E77165"/>
    <w:rsid w:val="00E77F62"/>
    <w:rsid w:val="00E800F8"/>
    <w:rsid w:val="00E8084B"/>
    <w:rsid w:val="00E80FA6"/>
    <w:rsid w:val="00E81A2A"/>
    <w:rsid w:val="00E82414"/>
    <w:rsid w:val="00E82921"/>
    <w:rsid w:val="00E84716"/>
    <w:rsid w:val="00E84947"/>
    <w:rsid w:val="00E84B1F"/>
    <w:rsid w:val="00E84BA3"/>
    <w:rsid w:val="00E855C1"/>
    <w:rsid w:val="00E868B9"/>
    <w:rsid w:val="00E87873"/>
    <w:rsid w:val="00E87CCD"/>
    <w:rsid w:val="00E908C9"/>
    <w:rsid w:val="00E91C0C"/>
    <w:rsid w:val="00E93ED4"/>
    <w:rsid w:val="00EA2D7C"/>
    <w:rsid w:val="00EA2DCB"/>
    <w:rsid w:val="00EA3E9C"/>
    <w:rsid w:val="00EA4F3E"/>
    <w:rsid w:val="00EA6EB2"/>
    <w:rsid w:val="00EB08A6"/>
    <w:rsid w:val="00EB24E5"/>
    <w:rsid w:val="00EB2931"/>
    <w:rsid w:val="00EB43DE"/>
    <w:rsid w:val="00EB6394"/>
    <w:rsid w:val="00EC1FBC"/>
    <w:rsid w:val="00EC27F6"/>
    <w:rsid w:val="00EC355B"/>
    <w:rsid w:val="00EC39C3"/>
    <w:rsid w:val="00EC4A6A"/>
    <w:rsid w:val="00EC5A05"/>
    <w:rsid w:val="00EC5F2B"/>
    <w:rsid w:val="00EC5F78"/>
    <w:rsid w:val="00EC71FF"/>
    <w:rsid w:val="00ED0AF6"/>
    <w:rsid w:val="00ED3EEC"/>
    <w:rsid w:val="00ED568E"/>
    <w:rsid w:val="00ED56F4"/>
    <w:rsid w:val="00ED7772"/>
    <w:rsid w:val="00EE0F03"/>
    <w:rsid w:val="00EE117F"/>
    <w:rsid w:val="00EE11C8"/>
    <w:rsid w:val="00EE157C"/>
    <w:rsid w:val="00EE1EDA"/>
    <w:rsid w:val="00EE2052"/>
    <w:rsid w:val="00EE2B21"/>
    <w:rsid w:val="00EE4937"/>
    <w:rsid w:val="00EE5704"/>
    <w:rsid w:val="00EE68D2"/>
    <w:rsid w:val="00EE783B"/>
    <w:rsid w:val="00EF1288"/>
    <w:rsid w:val="00EF15E2"/>
    <w:rsid w:val="00EF2006"/>
    <w:rsid w:val="00EF22D1"/>
    <w:rsid w:val="00EF27CF"/>
    <w:rsid w:val="00EF3263"/>
    <w:rsid w:val="00EF5E38"/>
    <w:rsid w:val="00EF6958"/>
    <w:rsid w:val="00EF752C"/>
    <w:rsid w:val="00F00958"/>
    <w:rsid w:val="00F00FA1"/>
    <w:rsid w:val="00F01FA6"/>
    <w:rsid w:val="00F027C7"/>
    <w:rsid w:val="00F02E90"/>
    <w:rsid w:val="00F0700D"/>
    <w:rsid w:val="00F07BBE"/>
    <w:rsid w:val="00F10379"/>
    <w:rsid w:val="00F1155F"/>
    <w:rsid w:val="00F11E0B"/>
    <w:rsid w:val="00F11F02"/>
    <w:rsid w:val="00F124E4"/>
    <w:rsid w:val="00F130BE"/>
    <w:rsid w:val="00F134F2"/>
    <w:rsid w:val="00F1374E"/>
    <w:rsid w:val="00F14C5D"/>
    <w:rsid w:val="00F1665B"/>
    <w:rsid w:val="00F168DA"/>
    <w:rsid w:val="00F17C4A"/>
    <w:rsid w:val="00F17C89"/>
    <w:rsid w:val="00F17D6D"/>
    <w:rsid w:val="00F17F3B"/>
    <w:rsid w:val="00F207C2"/>
    <w:rsid w:val="00F21156"/>
    <w:rsid w:val="00F237D2"/>
    <w:rsid w:val="00F2575A"/>
    <w:rsid w:val="00F257A3"/>
    <w:rsid w:val="00F27103"/>
    <w:rsid w:val="00F27B91"/>
    <w:rsid w:val="00F27E00"/>
    <w:rsid w:val="00F30E5C"/>
    <w:rsid w:val="00F31CBB"/>
    <w:rsid w:val="00F31DA4"/>
    <w:rsid w:val="00F31E63"/>
    <w:rsid w:val="00F3228D"/>
    <w:rsid w:val="00F3324E"/>
    <w:rsid w:val="00F35B9B"/>
    <w:rsid w:val="00F37B01"/>
    <w:rsid w:val="00F40C17"/>
    <w:rsid w:val="00F42726"/>
    <w:rsid w:val="00F4358B"/>
    <w:rsid w:val="00F4395B"/>
    <w:rsid w:val="00F439D7"/>
    <w:rsid w:val="00F46B05"/>
    <w:rsid w:val="00F50059"/>
    <w:rsid w:val="00F50451"/>
    <w:rsid w:val="00F51712"/>
    <w:rsid w:val="00F55F3C"/>
    <w:rsid w:val="00F56766"/>
    <w:rsid w:val="00F56CF0"/>
    <w:rsid w:val="00F6010B"/>
    <w:rsid w:val="00F61716"/>
    <w:rsid w:val="00F61CF7"/>
    <w:rsid w:val="00F629B6"/>
    <w:rsid w:val="00F63353"/>
    <w:rsid w:val="00F638D0"/>
    <w:rsid w:val="00F638DB"/>
    <w:rsid w:val="00F655B0"/>
    <w:rsid w:val="00F66094"/>
    <w:rsid w:val="00F66383"/>
    <w:rsid w:val="00F674C6"/>
    <w:rsid w:val="00F7011B"/>
    <w:rsid w:val="00F72F70"/>
    <w:rsid w:val="00F7358F"/>
    <w:rsid w:val="00F73E04"/>
    <w:rsid w:val="00F744FD"/>
    <w:rsid w:val="00F7535C"/>
    <w:rsid w:val="00F77632"/>
    <w:rsid w:val="00F805F6"/>
    <w:rsid w:val="00F82CBA"/>
    <w:rsid w:val="00F85458"/>
    <w:rsid w:val="00F8600E"/>
    <w:rsid w:val="00F86C68"/>
    <w:rsid w:val="00F90D93"/>
    <w:rsid w:val="00F914E2"/>
    <w:rsid w:val="00F91A81"/>
    <w:rsid w:val="00F92E19"/>
    <w:rsid w:val="00F939DE"/>
    <w:rsid w:val="00F94F2B"/>
    <w:rsid w:val="00FA1899"/>
    <w:rsid w:val="00FA1F59"/>
    <w:rsid w:val="00FA24E8"/>
    <w:rsid w:val="00FA292B"/>
    <w:rsid w:val="00FA3074"/>
    <w:rsid w:val="00FA3ACF"/>
    <w:rsid w:val="00FA3F37"/>
    <w:rsid w:val="00FA5A76"/>
    <w:rsid w:val="00FA7503"/>
    <w:rsid w:val="00FB06D9"/>
    <w:rsid w:val="00FB0BD2"/>
    <w:rsid w:val="00FB2160"/>
    <w:rsid w:val="00FB2DEC"/>
    <w:rsid w:val="00FB2E0B"/>
    <w:rsid w:val="00FB3BCB"/>
    <w:rsid w:val="00FB43A4"/>
    <w:rsid w:val="00FB4963"/>
    <w:rsid w:val="00FC03F4"/>
    <w:rsid w:val="00FC221B"/>
    <w:rsid w:val="00FD01E1"/>
    <w:rsid w:val="00FD0D49"/>
    <w:rsid w:val="00FD1794"/>
    <w:rsid w:val="00FD192A"/>
    <w:rsid w:val="00FD1A8E"/>
    <w:rsid w:val="00FD1F02"/>
    <w:rsid w:val="00FD20C3"/>
    <w:rsid w:val="00FD2968"/>
    <w:rsid w:val="00FD311F"/>
    <w:rsid w:val="00FD408A"/>
    <w:rsid w:val="00FD583C"/>
    <w:rsid w:val="00FD5C04"/>
    <w:rsid w:val="00FD65F0"/>
    <w:rsid w:val="00FD6CA5"/>
    <w:rsid w:val="00FE09E8"/>
    <w:rsid w:val="00FE31B8"/>
    <w:rsid w:val="00FE3327"/>
    <w:rsid w:val="00FE56A7"/>
    <w:rsid w:val="00FE7AC6"/>
    <w:rsid w:val="00FF00D5"/>
    <w:rsid w:val="00FF0CC1"/>
    <w:rsid w:val="00FF29A6"/>
    <w:rsid w:val="00FF439F"/>
    <w:rsid w:val="00FF6B0F"/>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qFormat="1"/>
    <w:lsdException w:name="footer" w:qFormat="1"/>
    <w:lsdException w:name="caption" w:uiPriority="35" w:qFormat="1"/>
    <w:lsdException w:name="footnote reference" w:uiPriority="0"/>
    <w:lsdException w:name="page number" w:uiPriority="0"/>
    <w:lsdException w:name="toa heading"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8A6"/>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EB08A6"/>
    <w:pPr>
      <w:keepNext/>
      <w:spacing w:before="140" w:line="240" w:lineRule="atLeast"/>
      <w:jc w:val="center"/>
      <w:outlineLvl w:val="0"/>
    </w:pPr>
    <w:rPr>
      <w:b/>
      <w:smallCaps/>
    </w:rPr>
  </w:style>
  <w:style w:type="paragraph" w:styleId="Heading2">
    <w:name w:val="heading 2"/>
    <w:basedOn w:val="Normal"/>
    <w:next w:val="Normal"/>
    <w:qFormat/>
    <w:rsid w:val="00EB08A6"/>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EB08A6"/>
    <w:pPr>
      <w:keepNext/>
      <w:tabs>
        <w:tab w:val="left" w:pos="1584"/>
      </w:tabs>
      <w:spacing w:before="140" w:line="240" w:lineRule="atLeast"/>
      <w:ind w:left="1584" w:hanging="432"/>
      <w:jc w:val="left"/>
      <w:outlineLvl w:val="2"/>
    </w:pPr>
    <w:rPr>
      <w:i/>
    </w:rPr>
  </w:style>
  <w:style w:type="paragraph" w:styleId="Heading4">
    <w:name w:val="heading 4"/>
    <w:basedOn w:val="Normal"/>
    <w:rsid w:val="00EB08A6"/>
    <w:pPr>
      <w:keepNext/>
      <w:tabs>
        <w:tab w:val="left" w:pos="2016"/>
      </w:tabs>
      <w:spacing w:before="140" w:line="240" w:lineRule="atLeast"/>
      <w:ind w:left="2016" w:hanging="432"/>
      <w:jc w:val="left"/>
      <w:outlineLvl w:val="3"/>
    </w:pPr>
    <w:rPr>
      <w:i/>
    </w:rPr>
  </w:style>
  <w:style w:type="paragraph" w:styleId="Heading5">
    <w:name w:val="heading 5"/>
    <w:basedOn w:val="Normal"/>
    <w:rsid w:val="00EB08A6"/>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rsid w:val="00EB08A6"/>
    <w:pPr>
      <w:ind w:left="720"/>
    </w:pPr>
  </w:style>
  <w:style w:type="paragraph" w:styleId="Footer">
    <w:name w:val="footer"/>
    <w:basedOn w:val="Normal"/>
    <w:link w:val="FooterChar"/>
    <w:uiPriority w:val="99"/>
    <w:qFormat/>
    <w:rsid w:val="00EB08A6"/>
    <w:pPr>
      <w:tabs>
        <w:tab w:val="center" w:pos="3960"/>
        <w:tab w:val="right" w:pos="10080"/>
      </w:tabs>
      <w:spacing w:after="0" w:line="240" w:lineRule="auto"/>
      <w:jc w:val="center"/>
    </w:pPr>
    <w:rPr>
      <w:sz w:val="22"/>
    </w:rPr>
  </w:style>
  <w:style w:type="paragraph" w:styleId="Header">
    <w:name w:val="header"/>
    <w:basedOn w:val="Normal"/>
    <w:qFormat/>
    <w:rsid w:val="00EB08A6"/>
    <w:pPr>
      <w:tabs>
        <w:tab w:val="center" w:pos="3960"/>
        <w:tab w:val="right" w:pos="10080"/>
      </w:tabs>
      <w:spacing w:after="80" w:line="240" w:lineRule="auto"/>
      <w:jc w:val="center"/>
    </w:pPr>
    <w:rPr>
      <w:sz w:val="22"/>
    </w:rPr>
  </w:style>
  <w:style w:type="character" w:styleId="FootnoteReference">
    <w:name w:val="footnote reference"/>
    <w:rsid w:val="00EB08A6"/>
    <w:rPr>
      <w:rFonts w:ascii="Century Schoolbook" w:hAnsi="Century Schoolbook"/>
      <w:b/>
      <w:i w:val="0"/>
      <w:position w:val="4"/>
      <w:sz w:val="27"/>
      <w:vertAlign w:val="superscript"/>
    </w:rPr>
  </w:style>
  <w:style w:type="paragraph" w:styleId="FootnoteText">
    <w:name w:val="footnote text"/>
    <w:basedOn w:val="Normal"/>
    <w:link w:val="FootnoteTextChar"/>
    <w:rsid w:val="00EB08A6"/>
    <w:pPr>
      <w:spacing w:line="300" w:lineRule="exact"/>
    </w:pPr>
  </w:style>
  <w:style w:type="paragraph" w:customStyle="1" w:styleId="Title1">
    <w:name w:val="Title1"/>
    <w:basedOn w:val="Normal"/>
    <w:rsid w:val="00EB08A6"/>
    <w:pPr>
      <w:tabs>
        <w:tab w:val="left" w:pos="5760"/>
        <w:tab w:val="left" w:pos="6480"/>
      </w:tabs>
      <w:spacing w:line="240" w:lineRule="atLeast"/>
    </w:pPr>
  </w:style>
  <w:style w:type="paragraph" w:customStyle="1" w:styleId="Recommend">
    <w:name w:val="Recommend"/>
    <w:basedOn w:val="Normal"/>
    <w:rsid w:val="00EB08A6"/>
  </w:style>
  <w:style w:type="paragraph" w:customStyle="1" w:styleId="Summary">
    <w:name w:val="Summary"/>
    <w:basedOn w:val="Normal"/>
    <w:rsid w:val="00EB08A6"/>
    <w:pPr>
      <w:ind w:left="2160" w:hanging="2160"/>
    </w:pPr>
  </w:style>
  <w:style w:type="paragraph" w:customStyle="1" w:styleId="Text">
    <w:name w:val="Text"/>
    <w:basedOn w:val="Normal"/>
    <w:rsid w:val="00EB08A6"/>
    <w:pPr>
      <w:tabs>
        <w:tab w:val="left" w:pos="720"/>
        <w:tab w:val="left" w:pos="1440"/>
        <w:tab w:val="left" w:pos="2160"/>
        <w:tab w:val="center" w:pos="4320"/>
      </w:tabs>
      <w:spacing w:line="480" w:lineRule="atLeast"/>
      <w:ind w:firstLine="540"/>
    </w:pPr>
  </w:style>
  <w:style w:type="paragraph" w:styleId="Date">
    <w:name w:val="Date"/>
    <w:basedOn w:val="Normal"/>
    <w:semiHidden/>
    <w:rsid w:val="00EB08A6"/>
    <w:pPr>
      <w:jc w:val="right"/>
    </w:pPr>
  </w:style>
  <w:style w:type="character" w:styleId="PageNumber">
    <w:name w:val="page number"/>
    <w:rsid w:val="00EB08A6"/>
  </w:style>
  <w:style w:type="paragraph" w:customStyle="1" w:styleId="subject">
    <w:name w:val="subject"/>
    <w:basedOn w:val="Normal"/>
    <w:rsid w:val="00EB08A6"/>
    <w:pPr>
      <w:tabs>
        <w:tab w:val="left" w:pos="1008"/>
      </w:tabs>
      <w:ind w:left="990" w:hanging="990"/>
    </w:pPr>
    <w:rPr>
      <w:b/>
    </w:rPr>
  </w:style>
  <w:style w:type="paragraph" w:customStyle="1" w:styleId="Titles">
    <w:name w:val="Titles"/>
    <w:basedOn w:val="Normal"/>
    <w:rsid w:val="00EB08A6"/>
    <w:pPr>
      <w:tabs>
        <w:tab w:val="left" w:pos="2160"/>
      </w:tabs>
      <w:ind w:left="2160" w:hanging="2160"/>
    </w:pPr>
    <w:rPr>
      <w:b/>
    </w:rPr>
  </w:style>
  <w:style w:type="paragraph" w:styleId="TOAHeading">
    <w:name w:val="toa heading"/>
    <w:basedOn w:val="Normal"/>
    <w:next w:val="Normal"/>
    <w:semiHidden/>
    <w:rsid w:val="00EB08A6"/>
    <w:pPr>
      <w:spacing w:before="120"/>
    </w:pPr>
    <w:rPr>
      <w:b/>
    </w:rPr>
  </w:style>
  <w:style w:type="paragraph" w:styleId="TOC1">
    <w:name w:val="toc 1"/>
    <w:basedOn w:val="Normal"/>
    <w:next w:val="Normal"/>
    <w:autoRedefine/>
    <w:semiHidden/>
    <w:rsid w:val="00EB08A6"/>
  </w:style>
  <w:style w:type="paragraph" w:styleId="TOC2">
    <w:name w:val="toc 2"/>
    <w:basedOn w:val="Normal"/>
    <w:next w:val="Normal"/>
    <w:autoRedefine/>
    <w:semiHidden/>
    <w:rsid w:val="00EB08A6"/>
    <w:pPr>
      <w:ind w:left="259"/>
    </w:pPr>
  </w:style>
  <w:style w:type="paragraph" w:styleId="TOC3">
    <w:name w:val="toc 3"/>
    <w:basedOn w:val="Normal"/>
    <w:next w:val="Normal"/>
    <w:autoRedefine/>
    <w:semiHidden/>
    <w:rsid w:val="00EB08A6"/>
    <w:pPr>
      <w:ind w:left="520"/>
    </w:pPr>
  </w:style>
  <w:style w:type="paragraph" w:styleId="TOC4">
    <w:name w:val="toc 4"/>
    <w:basedOn w:val="Normal"/>
    <w:next w:val="Normal"/>
    <w:autoRedefine/>
    <w:semiHidden/>
    <w:rsid w:val="00EB08A6"/>
    <w:pPr>
      <w:ind w:left="780"/>
    </w:pPr>
  </w:style>
  <w:style w:type="paragraph" w:styleId="TOC5">
    <w:name w:val="toc 5"/>
    <w:basedOn w:val="Normal"/>
    <w:next w:val="Normal"/>
    <w:autoRedefine/>
    <w:semiHidden/>
    <w:rsid w:val="00EB08A6"/>
    <w:pPr>
      <w:ind w:left="1040"/>
    </w:pPr>
  </w:style>
  <w:style w:type="paragraph" w:styleId="TOC6">
    <w:name w:val="toc 6"/>
    <w:basedOn w:val="Normal"/>
    <w:next w:val="Normal"/>
    <w:autoRedefine/>
    <w:semiHidden/>
    <w:rsid w:val="00EB08A6"/>
    <w:pPr>
      <w:ind w:left="1300"/>
    </w:pPr>
  </w:style>
  <w:style w:type="paragraph" w:styleId="TOC7">
    <w:name w:val="toc 7"/>
    <w:basedOn w:val="Normal"/>
    <w:next w:val="Normal"/>
    <w:autoRedefine/>
    <w:semiHidden/>
    <w:rsid w:val="00EB08A6"/>
    <w:pPr>
      <w:ind w:left="1560"/>
    </w:pPr>
  </w:style>
  <w:style w:type="paragraph" w:styleId="TOC8">
    <w:name w:val="toc 8"/>
    <w:basedOn w:val="Normal"/>
    <w:next w:val="Normal"/>
    <w:autoRedefine/>
    <w:semiHidden/>
    <w:rsid w:val="00EB08A6"/>
    <w:pPr>
      <w:ind w:left="1820"/>
    </w:pPr>
  </w:style>
  <w:style w:type="paragraph" w:styleId="TOC9">
    <w:name w:val="toc 9"/>
    <w:basedOn w:val="Normal"/>
    <w:next w:val="Normal"/>
    <w:autoRedefine/>
    <w:semiHidden/>
    <w:rsid w:val="00EB08A6"/>
    <w:pPr>
      <w:ind w:left="2080"/>
    </w:pPr>
  </w:style>
  <w:style w:type="paragraph" w:customStyle="1" w:styleId="Contents">
    <w:name w:val="Contents"/>
    <w:basedOn w:val="Normal"/>
    <w:rsid w:val="00EB08A6"/>
    <w:pPr>
      <w:jc w:val="center"/>
    </w:pPr>
    <w:rPr>
      <w:b/>
      <w:spacing w:val="100"/>
    </w:rPr>
  </w:style>
  <w:style w:type="character" w:customStyle="1" w:styleId="Heading1Char">
    <w:name w:val="Heading 1 Char"/>
    <w:link w:val="Heading1"/>
    <w:rsid w:val="00C728A8"/>
    <w:rPr>
      <w:rFonts w:ascii="Century Schoolbook" w:hAnsi="Century Schoolbook"/>
      <w:b/>
      <w:smallCaps/>
      <w:sz w:val="27"/>
    </w:rPr>
  </w:style>
  <w:style w:type="paragraph" w:styleId="NormalWeb">
    <w:name w:val="Normal (Web)"/>
    <w:basedOn w:val="Normal"/>
    <w:uiPriority w:val="99"/>
    <w:unhideWhenUsed/>
    <w:rsid w:val="00C728A8"/>
    <w:pPr>
      <w:spacing w:before="100" w:beforeAutospacing="1" w:afterAutospacing="1"/>
    </w:pPr>
    <w:rPr>
      <w:sz w:val="24"/>
      <w:szCs w:val="24"/>
    </w:rPr>
  </w:style>
  <w:style w:type="character" w:customStyle="1" w:styleId="FootnoteTextChar">
    <w:name w:val="Footnote Text Char"/>
    <w:link w:val="FootnoteText"/>
    <w:rsid w:val="00C728A8"/>
    <w:rPr>
      <w:rFonts w:ascii="Century Schoolbook" w:hAnsi="Century Schoolbook"/>
      <w:sz w:val="27"/>
    </w:rPr>
  </w:style>
  <w:style w:type="character" w:customStyle="1" w:styleId="ssrfcpassagedeactivated">
    <w:name w:val="ss_rfcpassage_deactivated"/>
    <w:basedOn w:val="DefaultParagraphFont"/>
    <w:rsid w:val="00C728A8"/>
  </w:style>
  <w:style w:type="character" w:customStyle="1" w:styleId="apple-converted-space">
    <w:name w:val="apple-converted-space"/>
    <w:basedOn w:val="DefaultParagraphFont"/>
    <w:rsid w:val="00C728A8"/>
  </w:style>
  <w:style w:type="paragraph" w:styleId="BalloonText">
    <w:name w:val="Balloon Text"/>
    <w:basedOn w:val="Normal"/>
    <w:link w:val="BalloonTextChar"/>
    <w:uiPriority w:val="99"/>
    <w:semiHidden/>
    <w:unhideWhenUsed/>
    <w:rsid w:val="0081274E"/>
    <w:rPr>
      <w:rFonts w:ascii="Tahoma" w:hAnsi="Tahoma" w:cs="Tahoma"/>
      <w:sz w:val="16"/>
      <w:szCs w:val="16"/>
    </w:rPr>
  </w:style>
  <w:style w:type="character" w:customStyle="1" w:styleId="BalloonTextChar">
    <w:name w:val="Balloon Text Char"/>
    <w:link w:val="BalloonText"/>
    <w:uiPriority w:val="99"/>
    <w:semiHidden/>
    <w:rsid w:val="0081274E"/>
    <w:rPr>
      <w:rFonts w:ascii="Tahoma" w:hAnsi="Tahoma" w:cs="Tahoma"/>
      <w:sz w:val="16"/>
      <w:szCs w:val="16"/>
    </w:rPr>
  </w:style>
  <w:style w:type="character" w:customStyle="1" w:styleId="FooterChar">
    <w:name w:val="Footer Char"/>
    <w:link w:val="Footer"/>
    <w:uiPriority w:val="99"/>
    <w:rsid w:val="000E276D"/>
    <w:rPr>
      <w:rFonts w:ascii="Century Schoolbook" w:hAnsi="Century Schoolbook"/>
      <w:sz w:val="22"/>
    </w:rPr>
  </w:style>
  <w:style w:type="character" w:styleId="CommentReference">
    <w:name w:val="annotation reference"/>
    <w:uiPriority w:val="99"/>
    <w:semiHidden/>
    <w:unhideWhenUsed/>
    <w:rsid w:val="00FD408A"/>
    <w:rPr>
      <w:sz w:val="16"/>
      <w:szCs w:val="16"/>
    </w:rPr>
  </w:style>
  <w:style w:type="paragraph" w:styleId="CommentText">
    <w:name w:val="annotation text"/>
    <w:basedOn w:val="Normal"/>
    <w:link w:val="CommentTextChar"/>
    <w:uiPriority w:val="99"/>
    <w:unhideWhenUsed/>
    <w:rsid w:val="00FD408A"/>
    <w:rPr>
      <w:sz w:val="20"/>
    </w:rPr>
  </w:style>
  <w:style w:type="character" w:customStyle="1" w:styleId="CommentTextChar">
    <w:name w:val="Comment Text Char"/>
    <w:basedOn w:val="DefaultParagraphFont"/>
    <w:link w:val="CommentText"/>
    <w:uiPriority w:val="99"/>
    <w:rsid w:val="00FD408A"/>
  </w:style>
  <w:style w:type="paragraph" w:styleId="CommentSubject">
    <w:name w:val="annotation subject"/>
    <w:basedOn w:val="CommentText"/>
    <w:next w:val="CommentText"/>
    <w:link w:val="CommentSubjectChar"/>
    <w:uiPriority w:val="99"/>
    <w:semiHidden/>
    <w:unhideWhenUsed/>
    <w:rsid w:val="00FD408A"/>
    <w:rPr>
      <w:b/>
      <w:bCs/>
    </w:rPr>
  </w:style>
  <w:style w:type="character" w:customStyle="1" w:styleId="CommentSubjectChar">
    <w:name w:val="Comment Subject Char"/>
    <w:link w:val="CommentSubject"/>
    <w:uiPriority w:val="99"/>
    <w:semiHidden/>
    <w:rsid w:val="00FD408A"/>
    <w:rPr>
      <w:b/>
      <w:bCs/>
    </w:rPr>
  </w:style>
  <w:style w:type="paragraph" w:styleId="Revision">
    <w:name w:val="Revision"/>
    <w:hidden/>
    <w:uiPriority w:val="99"/>
    <w:semiHidden/>
    <w:rsid w:val="00FD408A"/>
    <w:rPr>
      <w:sz w:val="26"/>
    </w:rPr>
  </w:style>
  <w:style w:type="character" w:styleId="Hyperlink">
    <w:name w:val="Hyperlink"/>
    <w:uiPriority w:val="99"/>
    <w:unhideWhenUsed/>
    <w:rsid w:val="00745EA4"/>
    <w:rPr>
      <w:color w:val="0000FF"/>
      <w:u w:val="single"/>
    </w:rPr>
  </w:style>
  <w:style w:type="character" w:customStyle="1" w:styleId="costarpage">
    <w:name w:val="co_starpage"/>
    <w:rsid w:val="00BA2568"/>
  </w:style>
  <w:style w:type="character" w:customStyle="1" w:styleId="UnresolvedMention">
    <w:name w:val="Unresolved Mention"/>
    <w:uiPriority w:val="99"/>
    <w:semiHidden/>
    <w:unhideWhenUsed/>
    <w:rsid w:val="00893981"/>
    <w:rPr>
      <w:color w:val="808080"/>
      <w:shd w:val="clear" w:color="auto" w:fill="E6E6E6"/>
    </w:rPr>
  </w:style>
  <w:style w:type="paragraph" w:styleId="BodyText">
    <w:name w:val="Body Text"/>
    <w:basedOn w:val="Normal"/>
    <w:link w:val="BodyTextChar"/>
    <w:qFormat/>
    <w:rsid w:val="00EB08A6"/>
  </w:style>
  <w:style w:type="character" w:customStyle="1" w:styleId="BodyTextChar">
    <w:name w:val="Body Text Char"/>
    <w:link w:val="BodyText"/>
    <w:rsid w:val="00EB08A6"/>
    <w:rPr>
      <w:rFonts w:ascii="Century Schoolbook" w:hAnsi="Century Schoolbook"/>
      <w:sz w:val="27"/>
    </w:rPr>
  </w:style>
  <w:style w:type="character" w:customStyle="1" w:styleId="NormalIndentChar">
    <w:name w:val="Normal Indent Char"/>
    <w:link w:val="NormalIndent"/>
    <w:rsid w:val="00AD5A61"/>
    <w:rPr>
      <w:rFonts w:ascii="Century Schoolbook" w:hAnsi="Century Schoolbook"/>
      <w:sz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qFormat="1"/>
    <w:lsdException w:name="footer" w:qFormat="1"/>
    <w:lsdException w:name="caption" w:uiPriority="35" w:qFormat="1"/>
    <w:lsdException w:name="footnote reference" w:uiPriority="0"/>
    <w:lsdException w:name="page number" w:uiPriority="0"/>
    <w:lsdException w:name="toa heading"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8A6"/>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EB08A6"/>
    <w:pPr>
      <w:keepNext/>
      <w:spacing w:before="140" w:line="240" w:lineRule="atLeast"/>
      <w:jc w:val="center"/>
      <w:outlineLvl w:val="0"/>
    </w:pPr>
    <w:rPr>
      <w:b/>
      <w:smallCaps/>
    </w:rPr>
  </w:style>
  <w:style w:type="paragraph" w:styleId="Heading2">
    <w:name w:val="heading 2"/>
    <w:basedOn w:val="Normal"/>
    <w:next w:val="Normal"/>
    <w:qFormat/>
    <w:rsid w:val="00EB08A6"/>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EB08A6"/>
    <w:pPr>
      <w:keepNext/>
      <w:tabs>
        <w:tab w:val="left" w:pos="1584"/>
      </w:tabs>
      <w:spacing w:before="140" w:line="240" w:lineRule="atLeast"/>
      <w:ind w:left="1584" w:hanging="432"/>
      <w:jc w:val="left"/>
      <w:outlineLvl w:val="2"/>
    </w:pPr>
    <w:rPr>
      <w:i/>
    </w:rPr>
  </w:style>
  <w:style w:type="paragraph" w:styleId="Heading4">
    <w:name w:val="heading 4"/>
    <w:basedOn w:val="Normal"/>
    <w:rsid w:val="00EB08A6"/>
    <w:pPr>
      <w:keepNext/>
      <w:tabs>
        <w:tab w:val="left" w:pos="2016"/>
      </w:tabs>
      <w:spacing w:before="140" w:line="240" w:lineRule="atLeast"/>
      <w:ind w:left="2016" w:hanging="432"/>
      <w:jc w:val="left"/>
      <w:outlineLvl w:val="3"/>
    </w:pPr>
    <w:rPr>
      <w:i/>
    </w:rPr>
  </w:style>
  <w:style w:type="paragraph" w:styleId="Heading5">
    <w:name w:val="heading 5"/>
    <w:basedOn w:val="Normal"/>
    <w:rsid w:val="00EB08A6"/>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rsid w:val="00EB08A6"/>
    <w:pPr>
      <w:ind w:left="720"/>
    </w:pPr>
  </w:style>
  <w:style w:type="paragraph" w:styleId="Footer">
    <w:name w:val="footer"/>
    <w:basedOn w:val="Normal"/>
    <w:link w:val="FooterChar"/>
    <w:uiPriority w:val="99"/>
    <w:qFormat/>
    <w:rsid w:val="00EB08A6"/>
    <w:pPr>
      <w:tabs>
        <w:tab w:val="center" w:pos="3960"/>
        <w:tab w:val="right" w:pos="10080"/>
      </w:tabs>
      <w:spacing w:after="0" w:line="240" w:lineRule="auto"/>
      <w:jc w:val="center"/>
    </w:pPr>
    <w:rPr>
      <w:sz w:val="22"/>
    </w:rPr>
  </w:style>
  <w:style w:type="paragraph" w:styleId="Header">
    <w:name w:val="header"/>
    <w:basedOn w:val="Normal"/>
    <w:qFormat/>
    <w:rsid w:val="00EB08A6"/>
    <w:pPr>
      <w:tabs>
        <w:tab w:val="center" w:pos="3960"/>
        <w:tab w:val="right" w:pos="10080"/>
      </w:tabs>
      <w:spacing w:after="80" w:line="240" w:lineRule="auto"/>
      <w:jc w:val="center"/>
    </w:pPr>
    <w:rPr>
      <w:sz w:val="22"/>
    </w:rPr>
  </w:style>
  <w:style w:type="character" w:styleId="FootnoteReference">
    <w:name w:val="footnote reference"/>
    <w:rsid w:val="00EB08A6"/>
    <w:rPr>
      <w:rFonts w:ascii="Century Schoolbook" w:hAnsi="Century Schoolbook"/>
      <w:b/>
      <w:i w:val="0"/>
      <w:position w:val="4"/>
      <w:sz w:val="27"/>
      <w:vertAlign w:val="superscript"/>
    </w:rPr>
  </w:style>
  <w:style w:type="paragraph" w:styleId="FootnoteText">
    <w:name w:val="footnote text"/>
    <w:basedOn w:val="Normal"/>
    <w:link w:val="FootnoteTextChar"/>
    <w:rsid w:val="00EB08A6"/>
    <w:pPr>
      <w:spacing w:line="300" w:lineRule="exact"/>
    </w:pPr>
  </w:style>
  <w:style w:type="paragraph" w:customStyle="1" w:styleId="Title1">
    <w:name w:val="Title1"/>
    <w:basedOn w:val="Normal"/>
    <w:rsid w:val="00EB08A6"/>
    <w:pPr>
      <w:tabs>
        <w:tab w:val="left" w:pos="5760"/>
        <w:tab w:val="left" w:pos="6480"/>
      </w:tabs>
      <w:spacing w:line="240" w:lineRule="atLeast"/>
    </w:pPr>
  </w:style>
  <w:style w:type="paragraph" w:customStyle="1" w:styleId="Recommend">
    <w:name w:val="Recommend"/>
    <w:basedOn w:val="Normal"/>
    <w:rsid w:val="00EB08A6"/>
  </w:style>
  <w:style w:type="paragraph" w:customStyle="1" w:styleId="Summary">
    <w:name w:val="Summary"/>
    <w:basedOn w:val="Normal"/>
    <w:rsid w:val="00EB08A6"/>
    <w:pPr>
      <w:ind w:left="2160" w:hanging="2160"/>
    </w:pPr>
  </w:style>
  <w:style w:type="paragraph" w:customStyle="1" w:styleId="Text">
    <w:name w:val="Text"/>
    <w:basedOn w:val="Normal"/>
    <w:rsid w:val="00EB08A6"/>
    <w:pPr>
      <w:tabs>
        <w:tab w:val="left" w:pos="720"/>
        <w:tab w:val="left" w:pos="1440"/>
        <w:tab w:val="left" w:pos="2160"/>
        <w:tab w:val="center" w:pos="4320"/>
      </w:tabs>
      <w:spacing w:line="480" w:lineRule="atLeast"/>
      <w:ind w:firstLine="540"/>
    </w:pPr>
  </w:style>
  <w:style w:type="paragraph" w:styleId="Date">
    <w:name w:val="Date"/>
    <w:basedOn w:val="Normal"/>
    <w:semiHidden/>
    <w:rsid w:val="00EB08A6"/>
    <w:pPr>
      <w:jc w:val="right"/>
    </w:pPr>
  </w:style>
  <w:style w:type="character" w:styleId="PageNumber">
    <w:name w:val="page number"/>
    <w:rsid w:val="00EB08A6"/>
  </w:style>
  <w:style w:type="paragraph" w:customStyle="1" w:styleId="subject">
    <w:name w:val="subject"/>
    <w:basedOn w:val="Normal"/>
    <w:rsid w:val="00EB08A6"/>
    <w:pPr>
      <w:tabs>
        <w:tab w:val="left" w:pos="1008"/>
      </w:tabs>
      <w:ind w:left="990" w:hanging="990"/>
    </w:pPr>
    <w:rPr>
      <w:b/>
    </w:rPr>
  </w:style>
  <w:style w:type="paragraph" w:customStyle="1" w:styleId="Titles">
    <w:name w:val="Titles"/>
    <w:basedOn w:val="Normal"/>
    <w:rsid w:val="00EB08A6"/>
    <w:pPr>
      <w:tabs>
        <w:tab w:val="left" w:pos="2160"/>
      </w:tabs>
      <w:ind w:left="2160" w:hanging="2160"/>
    </w:pPr>
    <w:rPr>
      <w:b/>
    </w:rPr>
  </w:style>
  <w:style w:type="paragraph" w:styleId="TOAHeading">
    <w:name w:val="toa heading"/>
    <w:basedOn w:val="Normal"/>
    <w:next w:val="Normal"/>
    <w:semiHidden/>
    <w:rsid w:val="00EB08A6"/>
    <w:pPr>
      <w:spacing w:before="120"/>
    </w:pPr>
    <w:rPr>
      <w:b/>
    </w:rPr>
  </w:style>
  <w:style w:type="paragraph" w:styleId="TOC1">
    <w:name w:val="toc 1"/>
    <w:basedOn w:val="Normal"/>
    <w:next w:val="Normal"/>
    <w:autoRedefine/>
    <w:semiHidden/>
    <w:rsid w:val="00EB08A6"/>
  </w:style>
  <w:style w:type="paragraph" w:styleId="TOC2">
    <w:name w:val="toc 2"/>
    <w:basedOn w:val="Normal"/>
    <w:next w:val="Normal"/>
    <w:autoRedefine/>
    <w:semiHidden/>
    <w:rsid w:val="00EB08A6"/>
    <w:pPr>
      <w:ind w:left="259"/>
    </w:pPr>
  </w:style>
  <w:style w:type="paragraph" w:styleId="TOC3">
    <w:name w:val="toc 3"/>
    <w:basedOn w:val="Normal"/>
    <w:next w:val="Normal"/>
    <w:autoRedefine/>
    <w:semiHidden/>
    <w:rsid w:val="00EB08A6"/>
    <w:pPr>
      <w:ind w:left="520"/>
    </w:pPr>
  </w:style>
  <w:style w:type="paragraph" w:styleId="TOC4">
    <w:name w:val="toc 4"/>
    <w:basedOn w:val="Normal"/>
    <w:next w:val="Normal"/>
    <w:autoRedefine/>
    <w:semiHidden/>
    <w:rsid w:val="00EB08A6"/>
    <w:pPr>
      <w:ind w:left="780"/>
    </w:pPr>
  </w:style>
  <w:style w:type="paragraph" w:styleId="TOC5">
    <w:name w:val="toc 5"/>
    <w:basedOn w:val="Normal"/>
    <w:next w:val="Normal"/>
    <w:autoRedefine/>
    <w:semiHidden/>
    <w:rsid w:val="00EB08A6"/>
    <w:pPr>
      <w:ind w:left="1040"/>
    </w:pPr>
  </w:style>
  <w:style w:type="paragraph" w:styleId="TOC6">
    <w:name w:val="toc 6"/>
    <w:basedOn w:val="Normal"/>
    <w:next w:val="Normal"/>
    <w:autoRedefine/>
    <w:semiHidden/>
    <w:rsid w:val="00EB08A6"/>
    <w:pPr>
      <w:ind w:left="1300"/>
    </w:pPr>
  </w:style>
  <w:style w:type="paragraph" w:styleId="TOC7">
    <w:name w:val="toc 7"/>
    <w:basedOn w:val="Normal"/>
    <w:next w:val="Normal"/>
    <w:autoRedefine/>
    <w:semiHidden/>
    <w:rsid w:val="00EB08A6"/>
    <w:pPr>
      <w:ind w:left="1560"/>
    </w:pPr>
  </w:style>
  <w:style w:type="paragraph" w:styleId="TOC8">
    <w:name w:val="toc 8"/>
    <w:basedOn w:val="Normal"/>
    <w:next w:val="Normal"/>
    <w:autoRedefine/>
    <w:semiHidden/>
    <w:rsid w:val="00EB08A6"/>
    <w:pPr>
      <w:ind w:left="1820"/>
    </w:pPr>
  </w:style>
  <w:style w:type="paragraph" w:styleId="TOC9">
    <w:name w:val="toc 9"/>
    <w:basedOn w:val="Normal"/>
    <w:next w:val="Normal"/>
    <w:autoRedefine/>
    <w:semiHidden/>
    <w:rsid w:val="00EB08A6"/>
    <w:pPr>
      <w:ind w:left="2080"/>
    </w:pPr>
  </w:style>
  <w:style w:type="paragraph" w:customStyle="1" w:styleId="Contents">
    <w:name w:val="Contents"/>
    <w:basedOn w:val="Normal"/>
    <w:rsid w:val="00EB08A6"/>
    <w:pPr>
      <w:jc w:val="center"/>
    </w:pPr>
    <w:rPr>
      <w:b/>
      <w:spacing w:val="100"/>
    </w:rPr>
  </w:style>
  <w:style w:type="character" w:customStyle="1" w:styleId="Heading1Char">
    <w:name w:val="Heading 1 Char"/>
    <w:link w:val="Heading1"/>
    <w:rsid w:val="00C728A8"/>
    <w:rPr>
      <w:rFonts w:ascii="Century Schoolbook" w:hAnsi="Century Schoolbook"/>
      <w:b/>
      <w:smallCaps/>
      <w:sz w:val="27"/>
    </w:rPr>
  </w:style>
  <w:style w:type="paragraph" w:styleId="NormalWeb">
    <w:name w:val="Normal (Web)"/>
    <w:basedOn w:val="Normal"/>
    <w:uiPriority w:val="99"/>
    <w:unhideWhenUsed/>
    <w:rsid w:val="00C728A8"/>
    <w:pPr>
      <w:spacing w:before="100" w:beforeAutospacing="1" w:afterAutospacing="1"/>
    </w:pPr>
    <w:rPr>
      <w:sz w:val="24"/>
      <w:szCs w:val="24"/>
    </w:rPr>
  </w:style>
  <w:style w:type="character" w:customStyle="1" w:styleId="FootnoteTextChar">
    <w:name w:val="Footnote Text Char"/>
    <w:link w:val="FootnoteText"/>
    <w:rsid w:val="00C728A8"/>
    <w:rPr>
      <w:rFonts w:ascii="Century Schoolbook" w:hAnsi="Century Schoolbook"/>
      <w:sz w:val="27"/>
    </w:rPr>
  </w:style>
  <w:style w:type="character" w:customStyle="1" w:styleId="ssrfcpassagedeactivated">
    <w:name w:val="ss_rfcpassage_deactivated"/>
    <w:basedOn w:val="DefaultParagraphFont"/>
    <w:rsid w:val="00C728A8"/>
  </w:style>
  <w:style w:type="character" w:customStyle="1" w:styleId="apple-converted-space">
    <w:name w:val="apple-converted-space"/>
    <w:basedOn w:val="DefaultParagraphFont"/>
    <w:rsid w:val="00C728A8"/>
  </w:style>
  <w:style w:type="paragraph" w:styleId="BalloonText">
    <w:name w:val="Balloon Text"/>
    <w:basedOn w:val="Normal"/>
    <w:link w:val="BalloonTextChar"/>
    <w:uiPriority w:val="99"/>
    <w:semiHidden/>
    <w:unhideWhenUsed/>
    <w:rsid w:val="0081274E"/>
    <w:rPr>
      <w:rFonts w:ascii="Tahoma" w:hAnsi="Tahoma" w:cs="Tahoma"/>
      <w:sz w:val="16"/>
      <w:szCs w:val="16"/>
    </w:rPr>
  </w:style>
  <w:style w:type="character" w:customStyle="1" w:styleId="BalloonTextChar">
    <w:name w:val="Balloon Text Char"/>
    <w:link w:val="BalloonText"/>
    <w:uiPriority w:val="99"/>
    <w:semiHidden/>
    <w:rsid w:val="0081274E"/>
    <w:rPr>
      <w:rFonts w:ascii="Tahoma" w:hAnsi="Tahoma" w:cs="Tahoma"/>
      <w:sz w:val="16"/>
      <w:szCs w:val="16"/>
    </w:rPr>
  </w:style>
  <w:style w:type="character" w:customStyle="1" w:styleId="FooterChar">
    <w:name w:val="Footer Char"/>
    <w:link w:val="Footer"/>
    <w:uiPriority w:val="99"/>
    <w:rsid w:val="000E276D"/>
    <w:rPr>
      <w:rFonts w:ascii="Century Schoolbook" w:hAnsi="Century Schoolbook"/>
      <w:sz w:val="22"/>
    </w:rPr>
  </w:style>
  <w:style w:type="character" w:styleId="CommentReference">
    <w:name w:val="annotation reference"/>
    <w:uiPriority w:val="99"/>
    <w:semiHidden/>
    <w:unhideWhenUsed/>
    <w:rsid w:val="00FD408A"/>
    <w:rPr>
      <w:sz w:val="16"/>
      <w:szCs w:val="16"/>
    </w:rPr>
  </w:style>
  <w:style w:type="paragraph" w:styleId="CommentText">
    <w:name w:val="annotation text"/>
    <w:basedOn w:val="Normal"/>
    <w:link w:val="CommentTextChar"/>
    <w:uiPriority w:val="99"/>
    <w:unhideWhenUsed/>
    <w:rsid w:val="00FD408A"/>
    <w:rPr>
      <w:sz w:val="20"/>
    </w:rPr>
  </w:style>
  <w:style w:type="character" w:customStyle="1" w:styleId="CommentTextChar">
    <w:name w:val="Comment Text Char"/>
    <w:basedOn w:val="DefaultParagraphFont"/>
    <w:link w:val="CommentText"/>
    <w:uiPriority w:val="99"/>
    <w:rsid w:val="00FD408A"/>
  </w:style>
  <w:style w:type="paragraph" w:styleId="CommentSubject">
    <w:name w:val="annotation subject"/>
    <w:basedOn w:val="CommentText"/>
    <w:next w:val="CommentText"/>
    <w:link w:val="CommentSubjectChar"/>
    <w:uiPriority w:val="99"/>
    <w:semiHidden/>
    <w:unhideWhenUsed/>
    <w:rsid w:val="00FD408A"/>
    <w:rPr>
      <w:b/>
      <w:bCs/>
    </w:rPr>
  </w:style>
  <w:style w:type="character" w:customStyle="1" w:styleId="CommentSubjectChar">
    <w:name w:val="Comment Subject Char"/>
    <w:link w:val="CommentSubject"/>
    <w:uiPriority w:val="99"/>
    <w:semiHidden/>
    <w:rsid w:val="00FD408A"/>
    <w:rPr>
      <w:b/>
      <w:bCs/>
    </w:rPr>
  </w:style>
  <w:style w:type="paragraph" w:styleId="Revision">
    <w:name w:val="Revision"/>
    <w:hidden/>
    <w:uiPriority w:val="99"/>
    <w:semiHidden/>
    <w:rsid w:val="00FD408A"/>
    <w:rPr>
      <w:sz w:val="26"/>
    </w:rPr>
  </w:style>
  <w:style w:type="character" w:styleId="Hyperlink">
    <w:name w:val="Hyperlink"/>
    <w:uiPriority w:val="99"/>
    <w:unhideWhenUsed/>
    <w:rsid w:val="00745EA4"/>
    <w:rPr>
      <w:color w:val="0000FF"/>
      <w:u w:val="single"/>
    </w:rPr>
  </w:style>
  <w:style w:type="character" w:customStyle="1" w:styleId="costarpage">
    <w:name w:val="co_starpage"/>
    <w:rsid w:val="00BA2568"/>
  </w:style>
  <w:style w:type="character" w:customStyle="1" w:styleId="UnresolvedMention">
    <w:name w:val="Unresolved Mention"/>
    <w:uiPriority w:val="99"/>
    <w:semiHidden/>
    <w:unhideWhenUsed/>
    <w:rsid w:val="00893981"/>
    <w:rPr>
      <w:color w:val="808080"/>
      <w:shd w:val="clear" w:color="auto" w:fill="E6E6E6"/>
    </w:rPr>
  </w:style>
  <w:style w:type="paragraph" w:styleId="BodyText">
    <w:name w:val="Body Text"/>
    <w:basedOn w:val="Normal"/>
    <w:link w:val="BodyTextChar"/>
    <w:qFormat/>
    <w:rsid w:val="00EB08A6"/>
  </w:style>
  <w:style w:type="character" w:customStyle="1" w:styleId="BodyTextChar">
    <w:name w:val="Body Text Char"/>
    <w:link w:val="BodyText"/>
    <w:rsid w:val="00EB08A6"/>
    <w:rPr>
      <w:rFonts w:ascii="Century Schoolbook" w:hAnsi="Century Schoolbook"/>
      <w:sz w:val="27"/>
    </w:rPr>
  </w:style>
  <w:style w:type="character" w:customStyle="1" w:styleId="NormalIndentChar">
    <w:name w:val="Normal Indent Char"/>
    <w:link w:val="NormalIndent"/>
    <w:rsid w:val="00AD5A61"/>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998">
      <w:bodyDiv w:val="1"/>
      <w:marLeft w:val="0"/>
      <w:marRight w:val="0"/>
      <w:marTop w:val="0"/>
      <w:marBottom w:val="0"/>
      <w:divBdr>
        <w:top w:val="none" w:sz="0" w:space="0" w:color="auto"/>
        <w:left w:val="none" w:sz="0" w:space="0" w:color="auto"/>
        <w:bottom w:val="none" w:sz="0" w:space="0" w:color="auto"/>
        <w:right w:val="none" w:sz="0" w:space="0" w:color="auto"/>
      </w:divBdr>
    </w:div>
    <w:div w:id="47729085">
      <w:bodyDiv w:val="1"/>
      <w:marLeft w:val="0"/>
      <w:marRight w:val="0"/>
      <w:marTop w:val="0"/>
      <w:marBottom w:val="0"/>
      <w:divBdr>
        <w:top w:val="none" w:sz="0" w:space="0" w:color="auto"/>
        <w:left w:val="none" w:sz="0" w:space="0" w:color="auto"/>
        <w:bottom w:val="none" w:sz="0" w:space="0" w:color="auto"/>
        <w:right w:val="none" w:sz="0" w:space="0" w:color="auto"/>
      </w:divBdr>
      <w:divsChild>
        <w:div w:id="926620841">
          <w:marLeft w:val="0"/>
          <w:marRight w:val="0"/>
          <w:marTop w:val="0"/>
          <w:marBottom w:val="0"/>
          <w:divBdr>
            <w:top w:val="none" w:sz="0" w:space="0" w:color="auto"/>
            <w:left w:val="none" w:sz="0" w:space="0" w:color="auto"/>
            <w:bottom w:val="none" w:sz="0" w:space="0" w:color="auto"/>
            <w:right w:val="none" w:sz="0" w:space="0" w:color="auto"/>
          </w:divBdr>
          <w:divsChild>
            <w:div w:id="574634309">
              <w:marLeft w:val="0"/>
              <w:marRight w:val="0"/>
              <w:marTop w:val="0"/>
              <w:marBottom w:val="0"/>
              <w:divBdr>
                <w:top w:val="none" w:sz="0" w:space="0" w:color="auto"/>
                <w:left w:val="none" w:sz="0" w:space="0" w:color="auto"/>
                <w:bottom w:val="none" w:sz="0" w:space="0" w:color="auto"/>
                <w:right w:val="none" w:sz="0" w:space="0" w:color="auto"/>
              </w:divBdr>
            </w:div>
            <w:div w:id="813764631">
              <w:marLeft w:val="0"/>
              <w:marRight w:val="0"/>
              <w:marTop w:val="0"/>
              <w:marBottom w:val="0"/>
              <w:divBdr>
                <w:top w:val="none" w:sz="0" w:space="0" w:color="auto"/>
                <w:left w:val="none" w:sz="0" w:space="0" w:color="auto"/>
                <w:bottom w:val="none" w:sz="0" w:space="0" w:color="auto"/>
                <w:right w:val="none" w:sz="0" w:space="0" w:color="auto"/>
              </w:divBdr>
              <w:divsChild>
                <w:div w:id="616107734">
                  <w:marLeft w:val="0"/>
                  <w:marRight w:val="0"/>
                  <w:marTop w:val="0"/>
                  <w:marBottom w:val="0"/>
                  <w:divBdr>
                    <w:top w:val="none" w:sz="0" w:space="0" w:color="auto"/>
                    <w:left w:val="none" w:sz="0" w:space="0" w:color="auto"/>
                    <w:bottom w:val="none" w:sz="0" w:space="0" w:color="auto"/>
                    <w:right w:val="none" w:sz="0" w:space="0" w:color="auto"/>
                  </w:divBdr>
                  <w:divsChild>
                    <w:div w:id="144364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72132">
              <w:marLeft w:val="0"/>
              <w:marRight w:val="0"/>
              <w:marTop w:val="0"/>
              <w:marBottom w:val="0"/>
              <w:divBdr>
                <w:top w:val="none" w:sz="0" w:space="0" w:color="auto"/>
                <w:left w:val="none" w:sz="0" w:space="0" w:color="auto"/>
                <w:bottom w:val="none" w:sz="0" w:space="0" w:color="auto"/>
                <w:right w:val="none" w:sz="0" w:space="0" w:color="auto"/>
              </w:divBdr>
              <w:divsChild>
                <w:div w:id="137307607">
                  <w:marLeft w:val="0"/>
                  <w:marRight w:val="0"/>
                  <w:marTop w:val="0"/>
                  <w:marBottom w:val="0"/>
                  <w:divBdr>
                    <w:top w:val="none" w:sz="0" w:space="0" w:color="auto"/>
                    <w:left w:val="none" w:sz="0" w:space="0" w:color="auto"/>
                    <w:bottom w:val="none" w:sz="0" w:space="0" w:color="auto"/>
                    <w:right w:val="none" w:sz="0" w:space="0" w:color="auto"/>
                  </w:divBdr>
                </w:div>
              </w:divsChild>
            </w:div>
            <w:div w:id="1753621652">
              <w:marLeft w:val="0"/>
              <w:marRight w:val="0"/>
              <w:marTop w:val="0"/>
              <w:marBottom w:val="0"/>
              <w:divBdr>
                <w:top w:val="none" w:sz="0" w:space="0" w:color="auto"/>
                <w:left w:val="none" w:sz="0" w:space="0" w:color="auto"/>
                <w:bottom w:val="none" w:sz="0" w:space="0" w:color="auto"/>
                <w:right w:val="none" w:sz="0" w:space="0" w:color="auto"/>
              </w:divBdr>
              <w:divsChild>
                <w:div w:id="2113240576">
                  <w:marLeft w:val="0"/>
                  <w:marRight w:val="0"/>
                  <w:marTop w:val="0"/>
                  <w:marBottom w:val="0"/>
                  <w:divBdr>
                    <w:top w:val="none" w:sz="0" w:space="0" w:color="auto"/>
                    <w:left w:val="none" w:sz="0" w:space="0" w:color="auto"/>
                    <w:bottom w:val="none" w:sz="0" w:space="0" w:color="auto"/>
                    <w:right w:val="none" w:sz="0" w:space="0" w:color="auto"/>
                  </w:divBdr>
                  <w:divsChild>
                    <w:div w:id="15222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93475">
              <w:marLeft w:val="0"/>
              <w:marRight w:val="0"/>
              <w:marTop w:val="0"/>
              <w:marBottom w:val="0"/>
              <w:divBdr>
                <w:top w:val="none" w:sz="0" w:space="0" w:color="auto"/>
                <w:left w:val="none" w:sz="0" w:space="0" w:color="auto"/>
                <w:bottom w:val="none" w:sz="0" w:space="0" w:color="auto"/>
                <w:right w:val="none" w:sz="0" w:space="0" w:color="auto"/>
              </w:divBdr>
              <w:divsChild>
                <w:div w:id="1113281985">
                  <w:marLeft w:val="0"/>
                  <w:marRight w:val="0"/>
                  <w:marTop w:val="0"/>
                  <w:marBottom w:val="0"/>
                  <w:divBdr>
                    <w:top w:val="none" w:sz="0" w:space="0" w:color="auto"/>
                    <w:left w:val="none" w:sz="0" w:space="0" w:color="auto"/>
                    <w:bottom w:val="none" w:sz="0" w:space="0" w:color="auto"/>
                    <w:right w:val="none" w:sz="0" w:space="0" w:color="auto"/>
                  </w:divBdr>
                  <w:divsChild>
                    <w:div w:id="172860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38776">
      <w:bodyDiv w:val="1"/>
      <w:marLeft w:val="0"/>
      <w:marRight w:val="0"/>
      <w:marTop w:val="0"/>
      <w:marBottom w:val="0"/>
      <w:divBdr>
        <w:top w:val="none" w:sz="0" w:space="0" w:color="auto"/>
        <w:left w:val="none" w:sz="0" w:space="0" w:color="auto"/>
        <w:bottom w:val="none" w:sz="0" w:space="0" w:color="auto"/>
        <w:right w:val="none" w:sz="0" w:space="0" w:color="auto"/>
      </w:divBdr>
      <w:divsChild>
        <w:div w:id="1368213412">
          <w:marLeft w:val="0"/>
          <w:marRight w:val="0"/>
          <w:marTop w:val="0"/>
          <w:marBottom w:val="0"/>
          <w:divBdr>
            <w:top w:val="none" w:sz="0" w:space="0" w:color="auto"/>
            <w:left w:val="none" w:sz="0" w:space="0" w:color="auto"/>
            <w:bottom w:val="none" w:sz="0" w:space="0" w:color="auto"/>
            <w:right w:val="none" w:sz="0" w:space="0" w:color="auto"/>
          </w:divBdr>
          <w:divsChild>
            <w:div w:id="191886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12186">
      <w:bodyDiv w:val="1"/>
      <w:marLeft w:val="0"/>
      <w:marRight w:val="0"/>
      <w:marTop w:val="0"/>
      <w:marBottom w:val="0"/>
      <w:divBdr>
        <w:top w:val="none" w:sz="0" w:space="0" w:color="auto"/>
        <w:left w:val="none" w:sz="0" w:space="0" w:color="auto"/>
        <w:bottom w:val="none" w:sz="0" w:space="0" w:color="auto"/>
        <w:right w:val="none" w:sz="0" w:space="0" w:color="auto"/>
      </w:divBdr>
      <w:divsChild>
        <w:div w:id="838425009">
          <w:marLeft w:val="0"/>
          <w:marRight w:val="0"/>
          <w:marTop w:val="0"/>
          <w:marBottom w:val="0"/>
          <w:divBdr>
            <w:top w:val="none" w:sz="0" w:space="0" w:color="auto"/>
            <w:left w:val="none" w:sz="0" w:space="0" w:color="auto"/>
            <w:bottom w:val="none" w:sz="0" w:space="0" w:color="auto"/>
            <w:right w:val="none" w:sz="0" w:space="0" w:color="auto"/>
          </w:divBdr>
          <w:divsChild>
            <w:div w:id="432097459">
              <w:marLeft w:val="0"/>
              <w:marRight w:val="0"/>
              <w:marTop w:val="0"/>
              <w:marBottom w:val="0"/>
              <w:divBdr>
                <w:top w:val="none" w:sz="0" w:space="0" w:color="auto"/>
                <w:left w:val="none" w:sz="0" w:space="0" w:color="auto"/>
                <w:bottom w:val="none" w:sz="0" w:space="0" w:color="auto"/>
                <w:right w:val="none" w:sz="0" w:space="0" w:color="auto"/>
              </w:divBdr>
            </w:div>
            <w:div w:id="752900156">
              <w:marLeft w:val="0"/>
              <w:marRight w:val="0"/>
              <w:marTop w:val="0"/>
              <w:marBottom w:val="0"/>
              <w:divBdr>
                <w:top w:val="none" w:sz="0" w:space="0" w:color="auto"/>
                <w:left w:val="none" w:sz="0" w:space="0" w:color="auto"/>
                <w:bottom w:val="none" w:sz="0" w:space="0" w:color="auto"/>
                <w:right w:val="none" w:sz="0" w:space="0" w:color="auto"/>
              </w:divBdr>
              <w:divsChild>
                <w:div w:id="432438979">
                  <w:marLeft w:val="0"/>
                  <w:marRight w:val="0"/>
                  <w:marTop w:val="0"/>
                  <w:marBottom w:val="0"/>
                  <w:divBdr>
                    <w:top w:val="none" w:sz="0" w:space="0" w:color="auto"/>
                    <w:left w:val="none" w:sz="0" w:space="0" w:color="auto"/>
                    <w:bottom w:val="none" w:sz="0" w:space="0" w:color="auto"/>
                    <w:right w:val="none" w:sz="0" w:space="0" w:color="auto"/>
                  </w:divBdr>
                </w:div>
              </w:divsChild>
            </w:div>
            <w:div w:id="774247068">
              <w:marLeft w:val="0"/>
              <w:marRight w:val="0"/>
              <w:marTop w:val="0"/>
              <w:marBottom w:val="0"/>
              <w:divBdr>
                <w:top w:val="none" w:sz="0" w:space="0" w:color="auto"/>
                <w:left w:val="none" w:sz="0" w:space="0" w:color="auto"/>
                <w:bottom w:val="none" w:sz="0" w:space="0" w:color="auto"/>
                <w:right w:val="none" w:sz="0" w:space="0" w:color="auto"/>
              </w:divBdr>
              <w:divsChild>
                <w:div w:id="608781992">
                  <w:marLeft w:val="0"/>
                  <w:marRight w:val="0"/>
                  <w:marTop w:val="0"/>
                  <w:marBottom w:val="0"/>
                  <w:divBdr>
                    <w:top w:val="none" w:sz="0" w:space="0" w:color="auto"/>
                    <w:left w:val="none" w:sz="0" w:space="0" w:color="auto"/>
                    <w:bottom w:val="none" w:sz="0" w:space="0" w:color="auto"/>
                    <w:right w:val="none" w:sz="0" w:space="0" w:color="auto"/>
                  </w:divBdr>
                </w:div>
              </w:divsChild>
            </w:div>
            <w:div w:id="983389931">
              <w:marLeft w:val="0"/>
              <w:marRight w:val="0"/>
              <w:marTop w:val="0"/>
              <w:marBottom w:val="0"/>
              <w:divBdr>
                <w:top w:val="none" w:sz="0" w:space="0" w:color="auto"/>
                <w:left w:val="none" w:sz="0" w:space="0" w:color="auto"/>
                <w:bottom w:val="none" w:sz="0" w:space="0" w:color="auto"/>
                <w:right w:val="none" w:sz="0" w:space="0" w:color="auto"/>
              </w:divBdr>
              <w:divsChild>
                <w:div w:id="604192921">
                  <w:marLeft w:val="0"/>
                  <w:marRight w:val="0"/>
                  <w:marTop w:val="0"/>
                  <w:marBottom w:val="0"/>
                  <w:divBdr>
                    <w:top w:val="none" w:sz="0" w:space="0" w:color="auto"/>
                    <w:left w:val="none" w:sz="0" w:space="0" w:color="auto"/>
                    <w:bottom w:val="none" w:sz="0" w:space="0" w:color="auto"/>
                    <w:right w:val="none" w:sz="0" w:space="0" w:color="auto"/>
                  </w:divBdr>
                </w:div>
              </w:divsChild>
            </w:div>
            <w:div w:id="1191995391">
              <w:marLeft w:val="0"/>
              <w:marRight w:val="0"/>
              <w:marTop w:val="0"/>
              <w:marBottom w:val="0"/>
              <w:divBdr>
                <w:top w:val="none" w:sz="0" w:space="0" w:color="auto"/>
                <w:left w:val="none" w:sz="0" w:space="0" w:color="auto"/>
                <w:bottom w:val="none" w:sz="0" w:space="0" w:color="auto"/>
                <w:right w:val="none" w:sz="0" w:space="0" w:color="auto"/>
              </w:divBdr>
              <w:divsChild>
                <w:div w:id="167907781">
                  <w:marLeft w:val="0"/>
                  <w:marRight w:val="0"/>
                  <w:marTop w:val="0"/>
                  <w:marBottom w:val="0"/>
                  <w:divBdr>
                    <w:top w:val="none" w:sz="0" w:space="0" w:color="auto"/>
                    <w:left w:val="none" w:sz="0" w:space="0" w:color="auto"/>
                    <w:bottom w:val="none" w:sz="0" w:space="0" w:color="auto"/>
                    <w:right w:val="none" w:sz="0" w:space="0" w:color="auto"/>
                  </w:divBdr>
                </w:div>
              </w:divsChild>
            </w:div>
            <w:div w:id="1800106266">
              <w:marLeft w:val="0"/>
              <w:marRight w:val="0"/>
              <w:marTop w:val="0"/>
              <w:marBottom w:val="0"/>
              <w:divBdr>
                <w:top w:val="none" w:sz="0" w:space="0" w:color="auto"/>
                <w:left w:val="none" w:sz="0" w:space="0" w:color="auto"/>
                <w:bottom w:val="none" w:sz="0" w:space="0" w:color="auto"/>
                <w:right w:val="none" w:sz="0" w:space="0" w:color="auto"/>
              </w:divBdr>
              <w:divsChild>
                <w:div w:id="1227960396">
                  <w:marLeft w:val="0"/>
                  <w:marRight w:val="0"/>
                  <w:marTop w:val="0"/>
                  <w:marBottom w:val="0"/>
                  <w:divBdr>
                    <w:top w:val="none" w:sz="0" w:space="0" w:color="auto"/>
                    <w:left w:val="none" w:sz="0" w:space="0" w:color="auto"/>
                    <w:bottom w:val="none" w:sz="0" w:space="0" w:color="auto"/>
                    <w:right w:val="none" w:sz="0" w:space="0" w:color="auto"/>
                  </w:divBdr>
                </w:div>
              </w:divsChild>
            </w:div>
            <w:div w:id="209901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88620">
      <w:bodyDiv w:val="1"/>
      <w:marLeft w:val="0"/>
      <w:marRight w:val="0"/>
      <w:marTop w:val="0"/>
      <w:marBottom w:val="0"/>
      <w:divBdr>
        <w:top w:val="none" w:sz="0" w:space="0" w:color="auto"/>
        <w:left w:val="none" w:sz="0" w:space="0" w:color="auto"/>
        <w:bottom w:val="none" w:sz="0" w:space="0" w:color="auto"/>
        <w:right w:val="none" w:sz="0" w:space="0" w:color="auto"/>
      </w:divBdr>
    </w:div>
    <w:div w:id="456948847">
      <w:bodyDiv w:val="1"/>
      <w:marLeft w:val="0"/>
      <w:marRight w:val="0"/>
      <w:marTop w:val="0"/>
      <w:marBottom w:val="0"/>
      <w:divBdr>
        <w:top w:val="none" w:sz="0" w:space="0" w:color="auto"/>
        <w:left w:val="none" w:sz="0" w:space="0" w:color="auto"/>
        <w:bottom w:val="none" w:sz="0" w:space="0" w:color="auto"/>
        <w:right w:val="none" w:sz="0" w:space="0" w:color="auto"/>
      </w:divBdr>
      <w:divsChild>
        <w:div w:id="421532757">
          <w:marLeft w:val="0"/>
          <w:marRight w:val="0"/>
          <w:marTop w:val="0"/>
          <w:marBottom w:val="0"/>
          <w:divBdr>
            <w:top w:val="none" w:sz="0" w:space="0" w:color="auto"/>
            <w:left w:val="none" w:sz="0" w:space="0" w:color="auto"/>
            <w:bottom w:val="none" w:sz="0" w:space="0" w:color="auto"/>
            <w:right w:val="none" w:sz="0" w:space="0" w:color="auto"/>
          </w:divBdr>
          <w:divsChild>
            <w:div w:id="142869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7423">
      <w:bodyDiv w:val="1"/>
      <w:marLeft w:val="0"/>
      <w:marRight w:val="0"/>
      <w:marTop w:val="0"/>
      <w:marBottom w:val="0"/>
      <w:divBdr>
        <w:top w:val="none" w:sz="0" w:space="0" w:color="auto"/>
        <w:left w:val="none" w:sz="0" w:space="0" w:color="auto"/>
        <w:bottom w:val="none" w:sz="0" w:space="0" w:color="auto"/>
        <w:right w:val="none" w:sz="0" w:space="0" w:color="auto"/>
      </w:divBdr>
    </w:div>
    <w:div w:id="691078813">
      <w:bodyDiv w:val="1"/>
      <w:marLeft w:val="0"/>
      <w:marRight w:val="0"/>
      <w:marTop w:val="0"/>
      <w:marBottom w:val="0"/>
      <w:divBdr>
        <w:top w:val="none" w:sz="0" w:space="0" w:color="auto"/>
        <w:left w:val="none" w:sz="0" w:space="0" w:color="auto"/>
        <w:bottom w:val="none" w:sz="0" w:space="0" w:color="auto"/>
        <w:right w:val="none" w:sz="0" w:space="0" w:color="auto"/>
      </w:divBdr>
    </w:div>
    <w:div w:id="830679109">
      <w:bodyDiv w:val="1"/>
      <w:marLeft w:val="0"/>
      <w:marRight w:val="0"/>
      <w:marTop w:val="0"/>
      <w:marBottom w:val="0"/>
      <w:divBdr>
        <w:top w:val="none" w:sz="0" w:space="0" w:color="auto"/>
        <w:left w:val="none" w:sz="0" w:space="0" w:color="auto"/>
        <w:bottom w:val="none" w:sz="0" w:space="0" w:color="auto"/>
        <w:right w:val="none" w:sz="0" w:space="0" w:color="auto"/>
      </w:divBdr>
      <w:divsChild>
        <w:div w:id="476655964">
          <w:marLeft w:val="0"/>
          <w:marRight w:val="0"/>
          <w:marTop w:val="0"/>
          <w:marBottom w:val="0"/>
          <w:divBdr>
            <w:top w:val="none" w:sz="0" w:space="0" w:color="auto"/>
            <w:left w:val="none" w:sz="0" w:space="0" w:color="auto"/>
            <w:bottom w:val="none" w:sz="0" w:space="0" w:color="auto"/>
            <w:right w:val="none" w:sz="0" w:space="0" w:color="auto"/>
          </w:divBdr>
          <w:divsChild>
            <w:div w:id="17860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94574">
      <w:bodyDiv w:val="1"/>
      <w:marLeft w:val="0"/>
      <w:marRight w:val="0"/>
      <w:marTop w:val="0"/>
      <w:marBottom w:val="0"/>
      <w:divBdr>
        <w:top w:val="none" w:sz="0" w:space="0" w:color="auto"/>
        <w:left w:val="none" w:sz="0" w:space="0" w:color="auto"/>
        <w:bottom w:val="none" w:sz="0" w:space="0" w:color="auto"/>
        <w:right w:val="none" w:sz="0" w:space="0" w:color="auto"/>
      </w:divBdr>
      <w:divsChild>
        <w:div w:id="812674047">
          <w:marLeft w:val="0"/>
          <w:marRight w:val="0"/>
          <w:marTop w:val="0"/>
          <w:marBottom w:val="0"/>
          <w:divBdr>
            <w:top w:val="none" w:sz="0" w:space="0" w:color="auto"/>
            <w:left w:val="none" w:sz="0" w:space="0" w:color="auto"/>
            <w:bottom w:val="none" w:sz="0" w:space="0" w:color="auto"/>
            <w:right w:val="none" w:sz="0" w:space="0" w:color="auto"/>
          </w:divBdr>
          <w:divsChild>
            <w:div w:id="128052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23834">
      <w:bodyDiv w:val="1"/>
      <w:marLeft w:val="0"/>
      <w:marRight w:val="0"/>
      <w:marTop w:val="0"/>
      <w:marBottom w:val="0"/>
      <w:divBdr>
        <w:top w:val="none" w:sz="0" w:space="0" w:color="auto"/>
        <w:left w:val="none" w:sz="0" w:space="0" w:color="auto"/>
        <w:bottom w:val="none" w:sz="0" w:space="0" w:color="auto"/>
        <w:right w:val="none" w:sz="0" w:space="0" w:color="auto"/>
      </w:divBdr>
    </w:div>
    <w:div w:id="1579091739">
      <w:bodyDiv w:val="1"/>
      <w:marLeft w:val="0"/>
      <w:marRight w:val="0"/>
      <w:marTop w:val="0"/>
      <w:marBottom w:val="0"/>
      <w:divBdr>
        <w:top w:val="none" w:sz="0" w:space="0" w:color="auto"/>
        <w:left w:val="none" w:sz="0" w:space="0" w:color="auto"/>
        <w:bottom w:val="none" w:sz="0" w:space="0" w:color="auto"/>
        <w:right w:val="none" w:sz="0" w:space="0" w:color="auto"/>
      </w:divBdr>
    </w:div>
    <w:div w:id="1913157162">
      <w:bodyDiv w:val="1"/>
      <w:marLeft w:val="0"/>
      <w:marRight w:val="0"/>
      <w:marTop w:val="0"/>
      <w:marBottom w:val="0"/>
      <w:divBdr>
        <w:top w:val="none" w:sz="0" w:space="0" w:color="auto"/>
        <w:left w:val="none" w:sz="0" w:space="0" w:color="auto"/>
        <w:bottom w:val="none" w:sz="0" w:space="0" w:color="auto"/>
        <w:right w:val="none" w:sz="0" w:space="0" w:color="auto"/>
      </w:divBdr>
      <w:divsChild>
        <w:div w:id="905070036">
          <w:marLeft w:val="0"/>
          <w:marRight w:val="0"/>
          <w:marTop w:val="0"/>
          <w:marBottom w:val="0"/>
          <w:divBdr>
            <w:top w:val="none" w:sz="0" w:space="0" w:color="auto"/>
            <w:left w:val="none" w:sz="0" w:space="0" w:color="auto"/>
            <w:bottom w:val="none" w:sz="0" w:space="0" w:color="auto"/>
            <w:right w:val="none" w:sz="0" w:space="0" w:color="auto"/>
          </w:divBdr>
          <w:divsChild>
            <w:div w:id="3365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8924</Words>
  <Characters>49630</Characters>
  <Application>Microsoft Office Word</Application>
  <DocSecurity>0</DocSecurity>
  <Lines>919</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58364</CharactersWithSpaces>
  <SharedDoc>false</SharedDoc>
  <HLinks>
    <vt:vector size="6" baseType="variant">
      <vt:variant>
        <vt:i4>4587610</vt:i4>
      </vt:variant>
      <vt:variant>
        <vt:i4>0</vt:i4>
      </vt:variant>
      <vt:variant>
        <vt:i4>0</vt:i4>
      </vt:variant>
      <vt:variant>
        <vt:i4>5</vt:i4>
      </vt:variant>
      <vt:variant>
        <vt:lpwstr>https://a.next.westlaw.com/Link/Document/FullText?findType=Y&amp;serNum=2022918254&amp;pubNum=0007047&amp;originatingDoc=If1a1f420386611e489308629818ada2c&amp;refType=RP&amp;originationContext=document&amp;transitionType=DocumentItem&amp;contextData=(sc.History*oc.Keycite)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2018-12-21T18:39:00Z</cp:lastPrinted>
  <dcterms:created xsi:type="dcterms:W3CDTF">2018-12-24T20:57:00Z</dcterms:created>
  <dcterms:modified xsi:type="dcterms:W3CDTF">2018-12-24T21:03:00Z</dcterms:modified>
</cp:coreProperties>
</file>