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A4E65" w:rsidRPr="00D2270C" w:rsidP="002A4E65">
      <w:pPr>
        <w:rPr>
          <w:sz w:val="20"/>
          <w:szCs w:val="20"/>
        </w:rPr>
      </w:pPr>
      <w:bookmarkStart w:id="0" w:name="_GoBack"/>
      <w:bookmarkEnd w:id="0"/>
      <w:r>
        <w:rPr>
          <w:sz w:val="20"/>
          <w:szCs w:val="20"/>
        </w:rPr>
        <w:t>Filed 5/24/18</w:t>
      </w:r>
    </w:p>
    <w:p w:rsidR="002A4E65" w:rsidRPr="002A4E65" w:rsidP="002A4E65">
      <w:pPr>
        <w:spacing w:after="0"/>
        <w:jc w:val="center"/>
        <w:rPr>
          <w:rFonts w:cs="Times New Roman"/>
          <w:b/>
          <w:szCs w:val="26"/>
        </w:rPr>
      </w:pPr>
    </w:p>
    <w:p w:rsidR="002A4E65" w:rsidRPr="002A4E65" w:rsidP="002A4E65">
      <w:pPr>
        <w:spacing w:after="0"/>
        <w:jc w:val="center"/>
        <w:rPr>
          <w:rFonts w:cs="Times New Roman"/>
          <w:b/>
          <w:szCs w:val="26"/>
        </w:rPr>
      </w:pPr>
    </w:p>
    <w:p w:rsidR="00706660" w:rsidRPr="00706660" w:rsidP="00706660">
      <w:pPr>
        <w:jc w:val="center"/>
        <w:rPr>
          <w:rFonts w:cs="Times New Roman"/>
          <w:sz w:val="36"/>
        </w:rPr>
      </w:pPr>
      <w:r w:rsidRPr="00706660">
        <w:rPr>
          <w:rFonts w:cs="Times New Roman"/>
          <w:b/>
          <w:sz w:val="36"/>
        </w:rPr>
        <w:t>IN THE SUPREME COURT OF CALIFORNIA</w:t>
      </w:r>
    </w:p>
    <w:p w:rsidR="00706660" w:rsidRPr="00706660" w:rsidP="00706660">
      <w:pPr>
        <w:jc w:val="center"/>
        <w:rPr>
          <w:rFonts w:cs="Times New Roman"/>
        </w:rPr>
      </w:pPr>
    </w:p>
    <w:p w:rsidR="00706660" w:rsidRPr="00706660" w:rsidP="00706660">
      <w:pPr>
        <w:jc w:val="center"/>
        <w:rPr>
          <w:rFonts w:cs="Times New Roman"/>
        </w:rPr>
      </w:pPr>
    </w:p>
    <w:p w:rsidR="00706660" w:rsidRPr="00706660" w:rsidP="00706660">
      <w:pPr>
        <w:jc w:val="center"/>
        <w:rPr>
          <w:rFonts w:cs="Times New Roman"/>
        </w:rPr>
      </w:pPr>
    </w:p>
    <w:p w:rsidR="00706660" w:rsidRPr="00706660" w:rsidP="00706660">
      <w:pPr>
        <w:tabs>
          <w:tab w:val="left" w:pos="1440"/>
          <w:tab w:val="left" w:pos="4680"/>
          <w:tab w:val="center" w:pos="7200"/>
        </w:tabs>
        <w:spacing w:after="0" w:line="240" w:lineRule="auto"/>
        <w:rPr>
          <w:rFonts w:cs="Times New Roman"/>
          <w:szCs w:val="26"/>
        </w:rPr>
      </w:pPr>
      <w:bookmarkStart w:id="1" w:name="plaintiff"/>
      <w:bookmarkEnd w:id="1"/>
      <w:r w:rsidRPr="00706660">
        <w:rPr>
          <w:rFonts w:cs="Times New Roman"/>
          <w:szCs w:val="26"/>
        </w:rPr>
        <w:tab/>
      </w:r>
      <w:r w:rsidRPr="00706660">
        <w:rPr>
          <w:rFonts w:cs="Times New Roman"/>
          <w:szCs w:val="26"/>
        </w:rPr>
        <w:tab/>
        <w:t>)</w:t>
      </w:r>
    </w:p>
    <w:p w:rsidR="00706660" w:rsidRPr="00706660" w:rsidP="00706660">
      <w:pPr>
        <w:tabs>
          <w:tab w:val="left" w:pos="1440"/>
          <w:tab w:val="left" w:pos="4680"/>
          <w:tab w:val="center" w:pos="7200"/>
        </w:tabs>
        <w:spacing w:after="0" w:line="240" w:lineRule="auto"/>
        <w:rPr>
          <w:rFonts w:cs="Times New Roman"/>
          <w:szCs w:val="26"/>
        </w:rPr>
      </w:pPr>
      <w:bookmarkStart w:id="2" w:name="LD"/>
      <w:bookmarkEnd w:id="2"/>
      <w:r>
        <w:rPr>
          <w:rFonts w:cs="Times New Roman"/>
          <w:szCs w:val="26"/>
        </w:rPr>
        <w:tab/>
      </w:r>
      <w:r>
        <w:rPr>
          <w:rFonts w:cs="Times New Roman"/>
          <w:szCs w:val="26"/>
        </w:rPr>
        <w:tab/>
      </w:r>
      <w:r w:rsidRPr="00706660">
        <w:rPr>
          <w:rFonts w:cs="Times New Roman"/>
          <w:szCs w:val="26"/>
        </w:rPr>
        <w:t>)</w:t>
      </w:r>
    </w:p>
    <w:p w:rsidR="00706660" w:rsidRPr="00706660" w:rsidP="00706660">
      <w:pPr>
        <w:tabs>
          <w:tab w:val="left" w:pos="1440"/>
          <w:tab w:val="left" w:pos="2880"/>
          <w:tab w:val="left" w:pos="4680"/>
          <w:tab w:val="left" w:pos="6570"/>
          <w:tab w:val="center" w:pos="7200"/>
        </w:tabs>
        <w:spacing w:after="0" w:line="240" w:lineRule="auto"/>
        <w:rPr>
          <w:rFonts w:cs="Times New Roman"/>
          <w:szCs w:val="26"/>
        </w:rPr>
      </w:pPr>
      <w:r>
        <w:rPr>
          <w:rFonts w:cs="Times New Roman"/>
          <w:szCs w:val="26"/>
        </w:rPr>
        <w:t>DELANO FARMS COMPANY et al.,</w:t>
      </w:r>
      <w:r w:rsidRPr="00706660">
        <w:rPr>
          <w:rFonts w:cs="Times New Roman"/>
          <w:szCs w:val="26"/>
        </w:rPr>
        <w:tab/>
        <w:t>)</w:t>
      </w:r>
      <w:r w:rsidRPr="00706660">
        <w:rPr>
          <w:rFonts w:cs="Times New Roman"/>
          <w:szCs w:val="26"/>
        </w:rPr>
        <w:tab/>
        <w:t>S</w:t>
      </w:r>
      <w:bookmarkStart w:id="3" w:name="casenum"/>
      <w:bookmarkEnd w:id="3"/>
      <w:r w:rsidRPr="00706660">
        <w:rPr>
          <w:rFonts w:cs="Times New Roman"/>
          <w:szCs w:val="26"/>
        </w:rPr>
        <w:t>2</w:t>
      </w:r>
      <w:r>
        <w:rPr>
          <w:rFonts w:cs="Times New Roman"/>
          <w:szCs w:val="26"/>
        </w:rPr>
        <w:t>26538</w:t>
      </w:r>
    </w:p>
    <w:p w:rsidR="00706660" w:rsidP="00706660">
      <w:pPr>
        <w:tabs>
          <w:tab w:val="left" w:pos="1440"/>
          <w:tab w:val="left" w:pos="2880"/>
          <w:tab w:val="left" w:pos="4680"/>
          <w:tab w:val="center" w:pos="7200"/>
        </w:tabs>
        <w:spacing w:after="0" w:line="240" w:lineRule="auto"/>
        <w:rPr>
          <w:rFonts w:cs="Times New Roman"/>
          <w:szCs w:val="26"/>
        </w:rPr>
      </w:pPr>
      <w:r w:rsidRPr="00706660">
        <w:rPr>
          <w:rFonts w:cs="Times New Roman"/>
          <w:szCs w:val="26"/>
        </w:rPr>
        <w:tab/>
      </w:r>
      <w:r>
        <w:rPr>
          <w:rFonts w:cs="Times New Roman"/>
          <w:szCs w:val="26"/>
        </w:rPr>
        <w:t>Plaintiffs and Appellants,</w:t>
      </w:r>
      <w:r>
        <w:rPr>
          <w:rFonts w:cs="Times New Roman"/>
          <w:szCs w:val="26"/>
        </w:rPr>
        <w:tab/>
        <w:t>)</w:t>
      </w:r>
    </w:p>
    <w:p w:rsidR="00706660" w:rsidRPr="00706660" w:rsidP="00706660">
      <w:pPr>
        <w:tabs>
          <w:tab w:val="left" w:pos="1440"/>
          <w:tab w:val="left" w:pos="4680"/>
          <w:tab w:val="center" w:pos="7200"/>
        </w:tabs>
        <w:spacing w:after="0" w:line="240" w:lineRule="auto"/>
        <w:rPr>
          <w:rFonts w:cs="Times New Roman"/>
          <w:szCs w:val="26"/>
        </w:rPr>
      </w:pPr>
      <w:r>
        <w:rPr>
          <w:rFonts w:cs="Times New Roman"/>
          <w:szCs w:val="26"/>
        </w:rPr>
        <w:tab/>
      </w:r>
      <w:r>
        <w:rPr>
          <w:rFonts w:cs="Times New Roman"/>
          <w:szCs w:val="26"/>
        </w:rPr>
        <w:tab/>
      </w:r>
      <w:r w:rsidRPr="00706660">
        <w:rPr>
          <w:rFonts w:cs="Times New Roman"/>
          <w:szCs w:val="26"/>
        </w:rPr>
        <w:t>)</w:t>
      </w:r>
    </w:p>
    <w:p w:rsidR="00706660" w:rsidRPr="00706660" w:rsidP="00706660">
      <w:pPr>
        <w:tabs>
          <w:tab w:val="left" w:pos="1440"/>
          <w:tab w:val="left" w:pos="4680"/>
          <w:tab w:val="left" w:pos="5940"/>
          <w:tab w:val="center" w:pos="7200"/>
        </w:tabs>
        <w:spacing w:after="0" w:line="240" w:lineRule="auto"/>
        <w:rPr>
          <w:rFonts w:cs="Times New Roman"/>
          <w:szCs w:val="26"/>
        </w:rPr>
      </w:pPr>
      <w:r>
        <w:rPr>
          <w:rFonts w:cs="Times New Roman"/>
          <w:szCs w:val="26"/>
        </w:rPr>
        <w:t>v.</w:t>
      </w:r>
      <w:r w:rsidRPr="00706660">
        <w:rPr>
          <w:rFonts w:cs="Times New Roman"/>
          <w:szCs w:val="26"/>
        </w:rPr>
        <w:tab/>
      </w:r>
      <w:r w:rsidRPr="00706660">
        <w:rPr>
          <w:rFonts w:cs="Times New Roman"/>
          <w:szCs w:val="26"/>
        </w:rPr>
        <w:tab/>
        <w:t>)</w:t>
      </w:r>
      <w:r w:rsidRPr="00706660">
        <w:rPr>
          <w:rFonts w:cs="Times New Roman"/>
          <w:szCs w:val="26"/>
        </w:rPr>
        <w:tab/>
      </w:r>
      <w:bookmarkStart w:id="4" w:name="appealnum"/>
      <w:bookmarkEnd w:id="4"/>
      <w:r>
        <w:rPr>
          <w:rFonts w:cs="Times New Roman"/>
          <w:szCs w:val="26"/>
        </w:rPr>
        <w:t xml:space="preserve"> </w:t>
      </w:r>
      <w:r w:rsidRPr="00706660">
        <w:rPr>
          <w:rFonts w:cs="Times New Roman"/>
          <w:szCs w:val="26"/>
        </w:rPr>
        <w:t xml:space="preserve">Ct.App. </w:t>
      </w:r>
      <w:r>
        <w:rPr>
          <w:rFonts w:cs="Times New Roman"/>
          <w:szCs w:val="26"/>
        </w:rPr>
        <w:t>5</w:t>
      </w:r>
      <w:r w:rsidRPr="00706660">
        <w:rPr>
          <w:rFonts w:cs="Times New Roman"/>
          <w:szCs w:val="26"/>
        </w:rPr>
        <w:t xml:space="preserve"> </w:t>
      </w:r>
      <w:r>
        <w:rPr>
          <w:rFonts w:cs="Times New Roman"/>
          <w:szCs w:val="26"/>
        </w:rPr>
        <w:t>F067956</w:t>
      </w:r>
    </w:p>
    <w:p w:rsidR="00706660" w:rsidRPr="00706660" w:rsidP="00706660">
      <w:pPr>
        <w:tabs>
          <w:tab w:val="left" w:pos="4680"/>
          <w:tab w:val="center" w:pos="7200"/>
        </w:tabs>
        <w:spacing w:after="0" w:line="240" w:lineRule="auto"/>
        <w:rPr>
          <w:rFonts w:cs="Times New Roman"/>
          <w:szCs w:val="26"/>
        </w:rPr>
      </w:pPr>
      <w:bookmarkStart w:id="5" w:name="defendant"/>
      <w:bookmarkEnd w:id="5"/>
      <w:r w:rsidRPr="00706660">
        <w:rPr>
          <w:rFonts w:cs="Times New Roman"/>
          <w:szCs w:val="26"/>
        </w:rPr>
        <w:tab/>
        <w:t>)</w:t>
      </w:r>
    </w:p>
    <w:p w:rsidR="00706660" w:rsidRPr="00706660" w:rsidP="00706660">
      <w:pPr>
        <w:tabs>
          <w:tab w:val="left" w:pos="4680"/>
          <w:tab w:val="left" w:pos="5850"/>
          <w:tab w:val="center" w:pos="7200"/>
        </w:tabs>
        <w:spacing w:after="0" w:line="240" w:lineRule="auto"/>
        <w:rPr>
          <w:rFonts w:cs="Times New Roman"/>
          <w:szCs w:val="26"/>
        </w:rPr>
      </w:pPr>
      <w:r>
        <w:rPr>
          <w:rFonts w:cs="Times New Roman"/>
          <w:szCs w:val="26"/>
        </w:rPr>
        <w:t>CALIFORNIA TABLE GRAPE</w:t>
      </w:r>
      <w:r w:rsidRPr="00706660">
        <w:rPr>
          <w:rFonts w:cs="Times New Roman"/>
          <w:szCs w:val="26"/>
        </w:rPr>
        <w:tab/>
        <w:t>)</w:t>
      </w:r>
      <w:r w:rsidRPr="00706660">
        <w:rPr>
          <w:rFonts w:cs="Times New Roman"/>
          <w:szCs w:val="26"/>
        </w:rPr>
        <w:tab/>
      </w:r>
      <w:bookmarkStart w:id="6" w:name="county"/>
      <w:bookmarkEnd w:id="6"/>
      <w:r w:rsidRPr="00706660">
        <w:rPr>
          <w:rFonts w:cs="Times New Roman"/>
          <w:szCs w:val="26"/>
        </w:rPr>
        <w:t xml:space="preserve">   </w:t>
      </w:r>
      <w:r>
        <w:rPr>
          <w:rFonts w:cs="Times New Roman"/>
          <w:szCs w:val="26"/>
        </w:rPr>
        <w:t xml:space="preserve"> </w:t>
      </w:r>
      <w:r w:rsidRPr="00706660">
        <w:rPr>
          <w:rFonts w:cs="Times New Roman"/>
          <w:szCs w:val="26"/>
        </w:rPr>
        <w:t xml:space="preserve"> County</w:t>
      </w:r>
      <w:r>
        <w:rPr>
          <w:rFonts w:cs="Times New Roman"/>
          <w:szCs w:val="26"/>
        </w:rPr>
        <w:t xml:space="preserve"> of Fresno</w:t>
      </w:r>
    </w:p>
    <w:p w:rsidR="00706660" w:rsidP="00706660">
      <w:pPr>
        <w:tabs>
          <w:tab w:val="left" w:pos="1440"/>
          <w:tab w:val="left" w:pos="2880"/>
          <w:tab w:val="left" w:pos="4680"/>
          <w:tab w:val="left" w:pos="5400"/>
          <w:tab w:val="center" w:pos="7200"/>
        </w:tabs>
        <w:spacing w:after="0" w:line="240" w:lineRule="auto"/>
        <w:ind w:left="720" w:hanging="720"/>
        <w:rPr>
          <w:rFonts w:cs="Times New Roman"/>
          <w:szCs w:val="26"/>
        </w:rPr>
      </w:pPr>
      <w:bookmarkStart w:id="7" w:name="VD"/>
      <w:bookmarkEnd w:id="7"/>
      <w:r>
        <w:rPr>
          <w:rFonts w:cs="Times New Roman"/>
          <w:szCs w:val="26"/>
        </w:rPr>
        <w:t>COMMISSION,</w:t>
      </w:r>
      <w:r>
        <w:rPr>
          <w:rFonts w:cs="Times New Roman"/>
          <w:szCs w:val="26"/>
        </w:rPr>
        <w:tab/>
      </w:r>
      <w:r>
        <w:rPr>
          <w:rFonts w:cs="Times New Roman"/>
          <w:szCs w:val="26"/>
        </w:rPr>
        <w:tab/>
      </w:r>
      <w:bookmarkStart w:id="8" w:name="supernum"/>
      <w:bookmarkEnd w:id="8"/>
      <w:r>
        <w:rPr>
          <w:rFonts w:cs="Times New Roman"/>
          <w:szCs w:val="26"/>
        </w:rPr>
        <w:t>)</w:t>
      </w:r>
      <w:r w:rsidRPr="00706660">
        <w:rPr>
          <w:rFonts w:cs="Times New Roman"/>
          <w:szCs w:val="26"/>
        </w:rPr>
        <w:t xml:space="preserve">     </w:t>
      </w:r>
      <w:r>
        <w:rPr>
          <w:rFonts w:cs="Times New Roman"/>
          <w:szCs w:val="26"/>
        </w:rPr>
        <w:tab/>
      </w:r>
      <w:r>
        <w:rPr>
          <w:rFonts w:cs="Times New Roman"/>
          <w:szCs w:val="26"/>
        </w:rPr>
        <w:tab/>
      </w:r>
      <w:r w:rsidRPr="00706660">
        <w:rPr>
          <w:rFonts w:cs="Times New Roman"/>
          <w:szCs w:val="26"/>
        </w:rPr>
        <w:t xml:space="preserve">Super. Ct. Nos. </w:t>
      </w:r>
      <w:r>
        <w:rPr>
          <w:rFonts w:cs="Times New Roman"/>
          <w:szCs w:val="26"/>
        </w:rPr>
        <w:t xml:space="preserve">636636-3, 642546, </w:t>
      </w:r>
    </w:p>
    <w:p w:rsidR="00706660" w:rsidRPr="00706660" w:rsidP="00706660">
      <w:pPr>
        <w:tabs>
          <w:tab w:val="left" w:pos="1440"/>
          <w:tab w:val="left" w:pos="2880"/>
          <w:tab w:val="left" w:pos="4680"/>
          <w:tab w:val="left" w:pos="5400"/>
          <w:tab w:val="center" w:pos="7200"/>
        </w:tabs>
        <w:spacing w:after="0" w:line="240" w:lineRule="auto"/>
        <w:ind w:left="720" w:hanging="720"/>
        <w:rPr>
          <w:rFonts w:cs="Times New Roman"/>
          <w:szCs w:val="26"/>
        </w:rPr>
      </w:pPr>
      <w:r>
        <w:rPr>
          <w:rFonts w:cs="Times New Roman"/>
          <w:szCs w:val="26"/>
        </w:rPr>
        <w:tab/>
      </w:r>
      <w:r>
        <w:rPr>
          <w:rFonts w:cs="Times New Roman"/>
          <w:szCs w:val="26"/>
        </w:rPr>
        <w:tab/>
        <w:t>Defendant and Respondent.</w:t>
      </w:r>
      <w:r>
        <w:rPr>
          <w:rFonts w:cs="Times New Roman"/>
          <w:szCs w:val="26"/>
        </w:rPr>
        <w:tab/>
        <w:t>)</w:t>
      </w:r>
      <w:r>
        <w:rPr>
          <w:rFonts w:cs="Times New Roman"/>
          <w:szCs w:val="26"/>
        </w:rPr>
        <w:tab/>
      </w:r>
      <w:r>
        <w:rPr>
          <w:rFonts w:cs="Times New Roman"/>
          <w:szCs w:val="26"/>
        </w:rPr>
        <w:tab/>
        <w:t>01CECG01127, 01CECG02292,</w:t>
      </w:r>
      <w:r>
        <w:rPr>
          <w:rFonts w:cs="Times New Roman"/>
          <w:szCs w:val="26"/>
        </w:rPr>
        <w:tab/>
      </w:r>
      <w:r>
        <w:rPr>
          <w:rFonts w:cs="Times New Roman"/>
          <w:szCs w:val="26"/>
        </w:rPr>
        <w:tab/>
      </w:r>
      <w:r>
        <w:rPr>
          <w:rFonts w:cs="Times New Roman"/>
          <w:szCs w:val="26"/>
        </w:rPr>
        <w:tab/>
      </w:r>
      <w:r>
        <w:rPr>
          <w:rFonts w:cs="Times New Roman"/>
          <w:szCs w:val="26"/>
        </w:rPr>
        <w:tab/>
        <w:t>)</w:t>
      </w:r>
      <w:r>
        <w:rPr>
          <w:rFonts w:cs="Times New Roman"/>
          <w:szCs w:val="26"/>
        </w:rPr>
        <w:tab/>
      </w:r>
      <w:r>
        <w:rPr>
          <w:rFonts w:cs="Times New Roman"/>
          <w:szCs w:val="26"/>
        </w:rPr>
        <w:tab/>
        <w:t>01CECG02289, 11CECG00178</w:t>
      </w:r>
    </w:p>
    <w:p w:rsidR="00706660" w:rsidRPr="00706660" w:rsidP="00706660">
      <w:pPr>
        <w:tabs>
          <w:tab w:val="left" w:leader="underscore" w:pos="4680"/>
        </w:tabs>
        <w:spacing w:after="0" w:line="240" w:lineRule="auto"/>
        <w:rPr>
          <w:rFonts w:cs="Times New Roman"/>
          <w:szCs w:val="26"/>
          <w:u w:val="single"/>
        </w:rPr>
      </w:pPr>
      <w:r w:rsidRPr="00706660">
        <w:rPr>
          <w:rFonts w:cs="Times New Roman"/>
          <w:szCs w:val="26"/>
        </w:rPr>
        <w:tab/>
        <w:t>)</w:t>
      </w:r>
    </w:p>
    <w:p w:rsidR="003452CF" w:rsidP="003452CF">
      <w:pPr>
        <w:spacing w:after="0" w:line="480" w:lineRule="exact"/>
        <w:rPr>
          <w:rFonts w:cs="Times New Roman"/>
          <w:szCs w:val="26"/>
        </w:rPr>
      </w:pPr>
    </w:p>
    <w:p w:rsidR="0078609F" w:rsidP="003452CF">
      <w:pPr>
        <w:spacing w:after="0" w:line="480" w:lineRule="exact"/>
        <w:ind w:firstLine="720"/>
        <w:rPr>
          <w:rFonts w:cs="Times New Roman"/>
          <w:szCs w:val="26"/>
        </w:rPr>
      </w:pPr>
      <w:r w:rsidRPr="00613791">
        <w:rPr>
          <w:rFonts w:cs="Times New Roman"/>
          <w:szCs w:val="26"/>
        </w:rPr>
        <w:t xml:space="preserve">Pursuant to the </w:t>
      </w:r>
      <w:r>
        <w:rPr>
          <w:rFonts w:cs="Times New Roman"/>
          <w:szCs w:val="26"/>
        </w:rPr>
        <w:t>Ketchum Act (Food &amp; Agr. Code, § 65500 et seq.; sometimes hereafter referred to as the Act</w:t>
      </w:r>
      <w:r w:rsidRPr="00613791">
        <w:rPr>
          <w:rFonts w:cs="Times New Roman"/>
          <w:szCs w:val="26"/>
        </w:rPr>
        <w:t>), the activities of the California Table Grape Commission (</w:t>
      </w:r>
      <w:r>
        <w:rPr>
          <w:rFonts w:cs="Times New Roman"/>
          <w:szCs w:val="26"/>
        </w:rPr>
        <w:t xml:space="preserve">sometimes hereafter referred to as the </w:t>
      </w:r>
      <w:r w:rsidRPr="00613791">
        <w:rPr>
          <w:rFonts w:cs="Times New Roman"/>
          <w:szCs w:val="26"/>
        </w:rPr>
        <w:t xml:space="preserve">Commission) are funded by assessments on shipments of California table grapes.  Plaintiffs and </w:t>
      </w:r>
      <w:r>
        <w:rPr>
          <w:rFonts w:cs="Times New Roman"/>
          <w:szCs w:val="26"/>
        </w:rPr>
        <w:t>appellants</w:t>
      </w:r>
      <w:r w:rsidRPr="00613791">
        <w:rPr>
          <w:rFonts w:cs="Times New Roman"/>
          <w:szCs w:val="26"/>
        </w:rPr>
        <w:t xml:space="preserve"> are five growers and shippers of </w:t>
      </w:r>
      <w:r>
        <w:rPr>
          <w:rFonts w:cs="Times New Roman"/>
          <w:szCs w:val="26"/>
        </w:rPr>
        <w:t xml:space="preserve">these </w:t>
      </w:r>
      <w:r w:rsidRPr="00613791">
        <w:rPr>
          <w:rFonts w:cs="Times New Roman"/>
          <w:szCs w:val="26"/>
        </w:rPr>
        <w:t>grapes</w:t>
      </w:r>
      <w:r>
        <w:rPr>
          <w:rFonts w:cs="Times New Roman"/>
          <w:szCs w:val="26"/>
        </w:rPr>
        <w:t>.  They contend that</w:t>
      </w:r>
      <w:r w:rsidRPr="00613791">
        <w:rPr>
          <w:rFonts w:cs="Times New Roman"/>
          <w:szCs w:val="26"/>
        </w:rPr>
        <w:t xml:space="preserve"> </w:t>
      </w:r>
      <w:r>
        <w:rPr>
          <w:rFonts w:cs="Times New Roman"/>
          <w:szCs w:val="26"/>
        </w:rPr>
        <w:t>the collection of assessments under the Act to subsidize</w:t>
      </w:r>
      <w:r w:rsidRPr="00613791">
        <w:rPr>
          <w:rFonts w:cs="Times New Roman"/>
          <w:szCs w:val="26"/>
        </w:rPr>
        <w:t xml:space="preserve"> </w:t>
      </w:r>
      <w:r>
        <w:rPr>
          <w:rFonts w:cs="Times New Roman"/>
          <w:szCs w:val="26"/>
        </w:rPr>
        <w:t>promotional speech</w:t>
      </w:r>
      <w:r w:rsidRPr="00613791">
        <w:rPr>
          <w:rFonts w:cs="Times New Roman"/>
          <w:szCs w:val="26"/>
        </w:rPr>
        <w:t xml:space="preserve"> </w:t>
      </w:r>
      <w:r>
        <w:rPr>
          <w:rFonts w:cs="Times New Roman"/>
          <w:szCs w:val="26"/>
        </w:rPr>
        <w:t xml:space="preserve">on behalf of </w:t>
      </w:r>
      <w:r w:rsidRPr="00613791">
        <w:rPr>
          <w:rFonts w:cs="Times New Roman"/>
          <w:szCs w:val="26"/>
        </w:rPr>
        <w:t>California table grapes</w:t>
      </w:r>
      <w:r>
        <w:rPr>
          <w:rFonts w:cs="Times New Roman"/>
          <w:szCs w:val="26"/>
        </w:rPr>
        <w:t xml:space="preserve"> as a generic category violates their right to free speech under article I, section 2, subdivision (a) of the state Constitution (sometimes hereafter article I, section 2).  Specifically, plaintiffs believe </w:t>
      </w:r>
      <w:r w:rsidRPr="00613791">
        <w:rPr>
          <w:rFonts w:cs="Times New Roman"/>
          <w:szCs w:val="26"/>
        </w:rPr>
        <w:t>that the table grapes they grow and ship are exceptional</w:t>
      </w:r>
      <w:r>
        <w:rPr>
          <w:rFonts w:cs="Times New Roman"/>
          <w:szCs w:val="26"/>
        </w:rPr>
        <w:t xml:space="preserve">, and cast the assessment scheme as infirm insofar as it requires them to sponsor a viewpoint (promoting all California table grapes equally) with which they disagree.  </w:t>
      </w:r>
    </w:p>
    <w:p w:rsidR="00462353" w:rsidP="0074151A">
      <w:pPr>
        <w:spacing w:after="0" w:line="480" w:lineRule="exact"/>
        <w:ind w:firstLine="720"/>
        <w:rPr>
          <w:rFonts w:cs="Times New Roman"/>
          <w:szCs w:val="26"/>
        </w:rPr>
      </w:pPr>
      <w:r>
        <w:rPr>
          <w:rFonts w:cs="Times New Roman"/>
          <w:szCs w:val="26"/>
        </w:rPr>
        <w:t xml:space="preserve">The Commission responds that the Act’s compelled-subsidy program does not violate article I, section 2 because the promotional messaging it underwrites represents government speech, as opposed to private speech.  Both the Commission’s position and that of plaintiffs recognize this court’s prior determinations that a government program that compels market participants to subsidize generic promotional speech over their objections implicates article I, section 2 </w:t>
      </w:r>
      <w:r w:rsidRPr="005B1269">
        <w:rPr>
          <w:rFonts w:cs="Times New Roman"/>
          <w:szCs w:val="26"/>
        </w:rPr>
        <w:t>(</w:t>
      </w:r>
      <w:r w:rsidRPr="005B1269">
        <w:rPr>
          <w:rFonts w:cs="Times New Roman"/>
          <w:i/>
          <w:szCs w:val="26"/>
        </w:rPr>
        <w:t>Gerawan Farming, Inc. v. Lyons</w:t>
      </w:r>
      <w:r w:rsidRPr="005B1269">
        <w:rPr>
          <w:rFonts w:cs="Times New Roman"/>
          <w:szCs w:val="26"/>
        </w:rPr>
        <w:t xml:space="preserve"> (2000) 24 Cal.4th 468</w:t>
      </w:r>
      <w:r>
        <w:rPr>
          <w:rFonts w:cs="Times New Roman"/>
          <w:szCs w:val="26"/>
        </w:rPr>
        <w:t>, 509-510</w:t>
      </w:r>
      <w:r w:rsidRPr="005B1269">
        <w:rPr>
          <w:rFonts w:cs="Times New Roman"/>
          <w:szCs w:val="26"/>
        </w:rPr>
        <w:t xml:space="preserve"> (</w:t>
      </w:r>
      <w:r w:rsidRPr="005B1269">
        <w:rPr>
          <w:rFonts w:cs="Times New Roman"/>
          <w:i/>
          <w:szCs w:val="26"/>
        </w:rPr>
        <w:t>Gerawan</w:t>
      </w:r>
      <w:r>
        <w:t> </w:t>
      </w:r>
      <w:r w:rsidRPr="005B1269">
        <w:rPr>
          <w:rFonts w:cs="Times New Roman"/>
          <w:i/>
          <w:szCs w:val="26"/>
        </w:rPr>
        <w:t>I</w:t>
      </w:r>
      <w:r w:rsidRPr="005B1269">
        <w:rPr>
          <w:rFonts w:cs="Times New Roman"/>
          <w:szCs w:val="26"/>
        </w:rPr>
        <w:t>))</w:t>
      </w:r>
      <w:r>
        <w:rPr>
          <w:rFonts w:cs="Times New Roman"/>
          <w:szCs w:val="26"/>
        </w:rPr>
        <w:t xml:space="preserve"> and is subject to intermediate scrutiny </w:t>
      </w:r>
      <w:r w:rsidRPr="005B1269">
        <w:rPr>
          <w:rFonts w:cs="Times New Roman"/>
          <w:szCs w:val="26"/>
        </w:rPr>
        <w:t>(</w:t>
      </w:r>
      <w:r w:rsidRPr="005B1269">
        <w:rPr>
          <w:rFonts w:cs="Times New Roman"/>
          <w:i/>
          <w:szCs w:val="26"/>
        </w:rPr>
        <w:t>Gerawan Farming</w:t>
      </w:r>
      <w:r>
        <w:rPr>
          <w:rFonts w:cs="Times New Roman"/>
          <w:i/>
          <w:szCs w:val="26"/>
        </w:rPr>
        <w:t>,</w:t>
      </w:r>
      <w:r w:rsidRPr="005B1269">
        <w:rPr>
          <w:rFonts w:cs="Times New Roman"/>
          <w:i/>
          <w:szCs w:val="26"/>
        </w:rPr>
        <w:t xml:space="preserve"> Inc. v. Kawamura </w:t>
      </w:r>
      <w:r w:rsidRPr="005B1269">
        <w:rPr>
          <w:rFonts w:cs="Times New Roman"/>
          <w:szCs w:val="26"/>
        </w:rPr>
        <w:t>(2004) 33 Cal.4t</w:t>
      </w:r>
      <w:r w:rsidRPr="00613791">
        <w:rPr>
          <w:rFonts w:cs="Times New Roman"/>
          <w:szCs w:val="26"/>
        </w:rPr>
        <w:t>h 1</w:t>
      </w:r>
      <w:r>
        <w:rPr>
          <w:rFonts w:cs="Times New Roman"/>
          <w:szCs w:val="26"/>
        </w:rPr>
        <w:t>, 6</w:t>
      </w:r>
      <w:r w:rsidRPr="00613791">
        <w:rPr>
          <w:rFonts w:cs="Times New Roman"/>
          <w:szCs w:val="26"/>
        </w:rPr>
        <w:t xml:space="preserve"> (</w:t>
      </w:r>
      <w:r>
        <w:rPr>
          <w:rFonts w:cs="Times New Roman"/>
          <w:i/>
          <w:szCs w:val="26"/>
        </w:rPr>
        <w:t>Gerawan</w:t>
      </w:r>
      <w:r>
        <w:t> </w:t>
      </w:r>
      <w:r w:rsidRPr="00613791">
        <w:rPr>
          <w:rFonts w:cs="Times New Roman"/>
          <w:i/>
          <w:szCs w:val="26"/>
        </w:rPr>
        <w:t>II</w:t>
      </w:r>
      <w:r w:rsidRPr="00613791">
        <w:rPr>
          <w:rFonts w:cs="Times New Roman"/>
          <w:szCs w:val="26"/>
        </w:rPr>
        <w:t>)</w:t>
      </w:r>
      <w:r>
        <w:rPr>
          <w:rFonts w:cs="Times New Roman"/>
          <w:szCs w:val="26"/>
        </w:rPr>
        <w:t xml:space="preserve">) — if these communications represent </w:t>
      </w:r>
      <w:r w:rsidRPr="00C557DD">
        <w:rPr>
          <w:rFonts w:cs="Times New Roman"/>
          <w:i/>
          <w:szCs w:val="26"/>
        </w:rPr>
        <w:t>private</w:t>
      </w:r>
      <w:r>
        <w:rPr>
          <w:rFonts w:cs="Times New Roman"/>
          <w:szCs w:val="26"/>
        </w:rPr>
        <w:t xml:space="preserve"> speech.  </w:t>
      </w:r>
      <w:r>
        <w:rPr>
          <w:rFonts w:cs="Times New Roman"/>
          <w:i/>
          <w:szCs w:val="26"/>
        </w:rPr>
        <w:t>Gerawan</w:t>
      </w:r>
      <w:r>
        <w:t> </w:t>
      </w:r>
      <w:r w:rsidRPr="00254557">
        <w:rPr>
          <w:rFonts w:cs="Times New Roman"/>
          <w:i/>
          <w:szCs w:val="26"/>
        </w:rPr>
        <w:t>II</w:t>
      </w:r>
      <w:r>
        <w:rPr>
          <w:rFonts w:cs="Times New Roman"/>
          <w:szCs w:val="26"/>
        </w:rPr>
        <w:t xml:space="preserve"> also indicated, however, that significantly more deference would be accorded to a compelled-subsidy scheme that funds only </w:t>
      </w:r>
      <w:r w:rsidRPr="00006802">
        <w:rPr>
          <w:rFonts w:cs="Times New Roman"/>
          <w:i/>
          <w:szCs w:val="26"/>
        </w:rPr>
        <w:t>government</w:t>
      </w:r>
      <w:r>
        <w:rPr>
          <w:rFonts w:cs="Times New Roman"/>
          <w:szCs w:val="26"/>
        </w:rPr>
        <w:t xml:space="preserve"> speech.  (</w:t>
      </w:r>
      <w:r w:rsidRPr="00557093">
        <w:rPr>
          <w:rFonts w:cs="Times New Roman"/>
          <w:i/>
          <w:szCs w:val="26"/>
        </w:rPr>
        <w:t>Id</w:t>
      </w:r>
      <w:r>
        <w:rPr>
          <w:rFonts w:cs="Times New Roman"/>
          <w:szCs w:val="26"/>
        </w:rPr>
        <w:t xml:space="preserve">., at pp. 26-28.)  In </w:t>
      </w:r>
      <w:r>
        <w:rPr>
          <w:rFonts w:cs="Times New Roman"/>
          <w:i/>
          <w:szCs w:val="26"/>
        </w:rPr>
        <w:t>Gerawan</w:t>
      </w:r>
      <w:r>
        <w:t> </w:t>
      </w:r>
      <w:r w:rsidRPr="00E66B23">
        <w:rPr>
          <w:rFonts w:cs="Times New Roman"/>
          <w:i/>
          <w:szCs w:val="26"/>
        </w:rPr>
        <w:t>II</w:t>
      </w:r>
      <w:r>
        <w:rPr>
          <w:rFonts w:cs="Times New Roman"/>
          <w:szCs w:val="26"/>
        </w:rPr>
        <w:t>, whether the challenged program produced government speech was left for development and determination on remand.  (</w:t>
      </w:r>
      <w:r w:rsidRPr="00E66B23">
        <w:rPr>
          <w:rFonts w:cs="Times New Roman"/>
          <w:i/>
          <w:szCs w:val="26"/>
        </w:rPr>
        <w:t>Id</w:t>
      </w:r>
      <w:r>
        <w:rPr>
          <w:rFonts w:cs="Times New Roman"/>
          <w:szCs w:val="26"/>
        </w:rPr>
        <w:t xml:space="preserve">., at p. 28.)  This proceeding picks up where </w:t>
      </w:r>
      <w:r>
        <w:rPr>
          <w:rFonts w:cs="Times New Roman"/>
          <w:i/>
          <w:szCs w:val="26"/>
        </w:rPr>
        <w:t>Gerawan </w:t>
      </w:r>
      <w:r w:rsidRPr="00557093">
        <w:rPr>
          <w:rFonts w:cs="Times New Roman"/>
          <w:i/>
          <w:szCs w:val="26"/>
        </w:rPr>
        <w:t>II</w:t>
      </w:r>
      <w:r>
        <w:rPr>
          <w:rFonts w:cs="Times New Roman"/>
          <w:szCs w:val="26"/>
        </w:rPr>
        <w:t xml:space="preserve"> left off, presenting the question whether promotional speech generated by a compelled-subsidy program amounts to government speech and for that reason avoids heightened scrutiny under article I, section 2.  </w:t>
      </w:r>
    </w:p>
    <w:p w:rsidR="00665C20" w:rsidP="00B357DE">
      <w:pPr>
        <w:spacing w:after="0" w:line="480" w:lineRule="exact"/>
        <w:ind w:firstLine="720"/>
        <w:rPr>
          <w:rFonts w:cs="Times New Roman"/>
          <w:szCs w:val="26"/>
        </w:rPr>
      </w:pPr>
      <w:r>
        <w:rPr>
          <w:rFonts w:cs="Times New Roman"/>
          <w:szCs w:val="26"/>
        </w:rPr>
        <w:t>We conclude that</w:t>
      </w:r>
      <w:r w:rsidRPr="00613791">
        <w:rPr>
          <w:rFonts w:cs="Times New Roman"/>
          <w:szCs w:val="26"/>
        </w:rPr>
        <w:t xml:space="preserve"> the Commission’s advertisements and related </w:t>
      </w:r>
      <w:r>
        <w:rPr>
          <w:rFonts w:cs="Times New Roman"/>
          <w:szCs w:val="26"/>
        </w:rPr>
        <w:t>messaging represent</w:t>
      </w:r>
      <w:r w:rsidRPr="00613791">
        <w:rPr>
          <w:rFonts w:cs="Times New Roman"/>
          <w:szCs w:val="26"/>
        </w:rPr>
        <w:t xml:space="preserve"> </w:t>
      </w:r>
      <w:r>
        <w:rPr>
          <w:rFonts w:cs="Times New Roman"/>
          <w:szCs w:val="26"/>
        </w:rPr>
        <w:t>government speech, and hold that the Ketchum Act’s compelled-subsidy scheme does not violate plaintiffs’ rights under article I, section 2</w:t>
      </w:r>
      <w:r w:rsidRPr="00613791">
        <w:rPr>
          <w:rFonts w:cs="Times New Roman"/>
          <w:szCs w:val="26"/>
        </w:rPr>
        <w:t xml:space="preserve">.  </w:t>
      </w:r>
      <w:r>
        <w:rPr>
          <w:rFonts w:cs="Times New Roman"/>
          <w:szCs w:val="26"/>
        </w:rPr>
        <w:t xml:space="preserve">The government speech doctrine recognizes that a properly functioning </w:t>
      </w:r>
      <w:r w:rsidRPr="00613791">
        <w:rPr>
          <w:rFonts w:cs="Times New Roman"/>
          <w:szCs w:val="26"/>
        </w:rPr>
        <w:t>government</w:t>
      </w:r>
      <w:r>
        <w:rPr>
          <w:rFonts w:cs="Times New Roman"/>
          <w:szCs w:val="26"/>
        </w:rPr>
        <w:t xml:space="preserve"> must express potentially controversial viewpoints as a matter of course, and that payers of taxes and fees</w:t>
      </w:r>
      <w:r w:rsidRPr="00613791">
        <w:rPr>
          <w:rFonts w:cs="Times New Roman"/>
          <w:szCs w:val="26"/>
        </w:rPr>
        <w:t xml:space="preserve"> </w:t>
      </w:r>
      <w:r>
        <w:rPr>
          <w:rFonts w:cs="Times New Roman"/>
          <w:szCs w:val="26"/>
        </w:rPr>
        <w:t>may be required to</w:t>
      </w:r>
      <w:r w:rsidRPr="00613791">
        <w:rPr>
          <w:rFonts w:cs="Times New Roman"/>
          <w:szCs w:val="26"/>
        </w:rPr>
        <w:t xml:space="preserve"> </w:t>
      </w:r>
      <w:r>
        <w:rPr>
          <w:rFonts w:cs="Times New Roman"/>
          <w:szCs w:val="26"/>
        </w:rPr>
        <w:t>subsidize</w:t>
      </w:r>
      <w:r w:rsidRPr="00613791">
        <w:rPr>
          <w:rFonts w:cs="Times New Roman"/>
          <w:szCs w:val="26"/>
        </w:rPr>
        <w:t xml:space="preserve"> this speech</w:t>
      </w:r>
      <w:r>
        <w:rPr>
          <w:rFonts w:cs="Times New Roman"/>
          <w:szCs w:val="26"/>
        </w:rPr>
        <w:t>, even when they disagree with it, without implicating their constitutional right to free speech</w:t>
      </w:r>
      <w:r w:rsidRPr="00613791">
        <w:rPr>
          <w:rFonts w:cs="Times New Roman"/>
          <w:szCs w:val="26"/>
        </w:rPr>
        <w:t xml:space="preserve">.  </w:t>
      </w:r>
      <w:r>
        <w:rPr>
          <w:rFonts w:cs="Times New Roman"/>
          <w:szCs w:val="26"/>
        </w:rPr>
        <w:t>Yet, as the United States Supreme Court recently cautioned, although “the government-speech doctrine is important — indeed, essential — it is a doctrine that is susceptible to dangerous misuse.”  (</w:t>
      </w:r>
      <w:r w:rsidRPr="00B3070C">
        <w:rPr>
          <w:rFonts w:cs="Times New Roman"/>
          <w:i/>
          <w:szCs w:val="26"/>
        </w:rPr>
        <w:t>Matal v. Tam</w:t>
      </w:r>
      <w:r>
        <w:rPr>
          <w:rFonts w:cs="Times New Roman"/>
          <w:szCs w:val="26"/>
        </w:rPr>
        <w:t xml:space="preserve"> (2017) 582 U.S. ___ [137 S.Ct. 1744, 1758] (</w:t>
      </w:r>
      <w:r w:rsidRPr="00816AA1">
        <w:rPr>
          <w:rFonts w:cs="Times New Roman"/>
          <w:i/>
          <w:szCs w:val="26"/>
        </w:rPr>
        <w:t>Matal</w:t>
      </w:r>
      <w:r>
        <w:rPr>
          <w:rFonts w:cs="Times New Roman"/>
          <w:szCs w:val="26"/>
        </w:rPr>
        <w:t xml:space="preserve">).)  Therefore, courts must take care in distinguishing government speech from private speech, and apply the government </w:t>
      </w:r>
      <w:r>
        <w:rPr>
          <w:rFonts w:cs="Times New Roman"/>
          <w:szCs w:val="26"/>
        </w:rPr>
        <w:t>speech doctrine in a manner mindful of its potential impact on protected free speech interests.</w:t>
      </w:r>
    </w:p>
    <w:p w:rsidR="00055349" w:rsidRPr="00613791" w:rsidP="0098618D">
      <w:pPr>
        <w:spacing w:after="0" w:line="480" w:lineRule="exact"/>
        <w:ind w:firstLine="720"/>
        <w:rPr>
          <w:rFonts w:cs="Times New Roman"/>
          <w:szCs w:val="26"/>
        </w:rPr>
      </w:pPr>
      <w:r>
        <w:rPr>
          <w:rFonts w:cs="Times New Roman"/>
          <w:szCs w:val="26"/>
        </w:rPr>
        <w:t>Here, the relevant circumstances establish sufficient government responsibility for and control over the messaging at issue for these communications to represent government speech that plaintiffs can be required to subsidize without implicating their rights under article I, section 2.  Meanwhile, no triable issue of fact exists that the Ketchum Act violates plaintiffs’ article I, section 2 rights under a different theory, such as one asserting that the statute’s compelled-assessment scheme effectively prevents them from speaking.  Accordingly, we hold that plaintiffs have advanced no viable claim under article I, section 2.  B</w:t>
      </w:r>
      <w:r w:rsidRPr="00613791">
        <w:rPr>
          <w:rFonts w:cs="Times New Roman"/>
          <w:szCs w:val="26"/>
        </w:rPr>
        <w:t xml:space="preserve">ecause the Court of Appeal rejected plaintiffs’ challenge to the </w:t>
      </w:r>
      <w:r>
        <w:rPr>
          <w:rFonts w:cs="Times New Roman"/>
          <w:szCs w:val="26"/>
        </w:rPr>
        <w:t>Ketchum Act on similar grounds</w:t>
      </w:r>
      <w:r w:rsidRPr="00613791">
        <w:rPr>
          <w:rFonts w:cs="Times New Roman"/>
          <w:szCs w:val="26"/>
        </w:rPr>
        <w:t>, we affirm the judgment</w:t>
      </w:r>
      <w:r>
        <w:rPr>
          <w:rFonts w:cs="Times New Roman"/>
          <w:szCs w:val="26"/>
        </w:rPr>
        <w:t xml:space="preserve"> below</w:t>
      </w:r>
      <w:r w:rsidRPr="00613791">
        <w:rPr>
          <w:rFonts w:cs="Times New Roman"/>
          <w:szCs w:val="26"/>
        </w:rPr>
        <w:t xml:space="preserve">. </w:t>
      </w:r>
    </w:p>
    <w:p w:rsidR="00055349" w:rsidRPr="001B3959" w:rsidP="00C916F7">
      <w:pPr>
        <w:keepNext/>
        <w:keepLines/>
        <w:spacing w:after="0" w:line="480" w:lineRule="exact"/>
        <w:jc w:val="center"/>
        <w:rPr>
          <w:b/>
          <w:smallCaps/>
        </w:rPr>
      </w:pPr>
      <w:r w:rsidRPr="001B3959">
        <w:rPr>
          <w:b/>
          <w:smallCaps/>
        </w:rPr>
        <w:t>I.  Factual and Procedural Background</w:t>
      </w:r>
    </w:p>
    <w:p w:rsidR="00752605" w:rsidP="00396E8D">
      <w:pPr>
        <w:spacing w:after="0" w:line="480" w:lineRule="exact"/>
        <w:ind w:firstLine="720"/>
        <w:rPr>
          <w:rFonts w:cs="Times New Roman"/>
          <w:szCs w:val="26"/>
        </w:rPr>
      </w:pPr>
      <w:r w:rsidRPr="00613791">
        <w:rPr>
          <w:rFonts w:cs="Times New Roman"/>
          <w:szCs w:val="26"/>
        </w:rPr>
        <w:t>California leads the nation in the production of agricultural commodities, with its farm</w:t>
      </w:r>
      <w:r>
        <w:rPr>
          <w:rFonts w:cs="Times New Roman"/>
          <w:szCs w:val="26"/>
        </w:rPr>
        <w:t>s</w:t>
      </w:r>
      <w:r w:rsidRPr="00613791">
        <w:rPr>
          <w:rFonts w:cs="Times New Roman"/>
          <w:szCs w:val="26"/>
        </w:rPr>
        <w:t xml:space="preserve"> and ranches </w:t>
      </w:r>
      <w:r>
        <w:rPr>
          <w:rFonts w:cs="Times New Roman"/>
          <w:szCs w:val="26"/>
        </w:rPr>
        <w:t>generating</w:t>
      </w:r>
      <w:r w:rsidRPr="00613791">
        <w:rPr>
          <w:rFonts w:cs="Times New Roman"/>
          <w:szCs w:val="26"/>
        </w:rPr>
        <w:t xml:space="preserve"> more than $</w:t>
      </w:r>
      <w:r>
        <w:rPr>
          <w:rFonts w:cs="Times New Roman"/>
          <w:szCs w:val="26"/>
        </w:rPr>
        <w:t>47</w:t>
      </w:r>
      <w:r w:rsidRPr="00613791">
        <w:rPr>
          <w:rFonts w:cs="Times New Roman"/>
          <w:szCs w:val="26"/>
        </w:rPr>
        <w:t xml:space="preserve"> billion in value in </w:t>
      </w:r>
      <w:r>
        <w:rPr>
          <w:rFonts w:cs="Times New Roman"/>
          <w:szCs w:val="26"/>
        </w:rPr>
        <w:t xml:space="preserve">the </w:t>
      </w:r>
      <w:r w:rsidRPr="00613791">
        <w:rPr>
          <w:rFonts w:cs="Times New Roman"/>
          <w:szCs w:val="26"/>
        </w:rPr>
        <w:t>201</w:t>
      </w:r>
      <w:r>
        <w:rPr>
          <w:rFonts w:cs="Times New Roman"/>
          <w:szCs w:val="26"/>
        </w:rPr>
        <w:t>5 crop year</w:t>
      </w:r>
      <w:r w:rsidRPr="00613791">
        <w:rPr>
          <w:rFonts w:cs="Times New Roman"/>
          <w:szCs w:val="26"/>
        </w:rPr>
        <w:t>.  (</w:t>
      </w:r>
      <w:r>
        <w:rPr>
          <w:rFonts w:cs="Times New Roman"/>
          <w:szCs w:val="26"/>
        </w:rPr>
        <w:t>Cal. Dept. of Food and Agriculture</w:t>
      </w:r>
      <w:r w:rsidRPr="00613791">
        <w:rPr>
          <w:rFonts w:cs="Times New Roman"/>
          <w:szCs w:val="26"/>
        </w:rPr>
        <w:t>, California Agricultural Statistics Review 201</w:t>
      </w:r>
      <w:r>
        <w:rPr>
          <w:rFonts w:cs="Times New Roman"/>
          <w:szCs w:val="26"/>
        </w:rPr>
        <w:t>5</w:t>
      </w:r>
      <w:r w:rsidRPr="00613791">
        <w:rPr>
          <w:rFonts w:cs="Times New Roman"/>
          <w:szCs w:val="26"/>
        </w:rPr>
        <w:t>-</w:t>
      </w:r>
      <w:r>
        <w:rPr>
          <w:rFonts w:cs="Times New Roman"/>
          <w:szCs w:val="26"/>
        </w:rPr>
        <w:t>20</w:t>
      </w:r>
      <w:r w:rsidRPr="00613791">
        <w:rPr>
          <w:rFonts w:cs="Times New Roman"/>
          <w:szCs w:val="26"/>
        </w:rPr>
        <w:t>1</w:t>
      </w:r>
      <w:r>
        <w:rPr>
          <w:rFonts w:cs="Times New Roman"/>
          <w:szCs w:val="26"/>
        </w:rPr>
        <w:t>6</w:t>
      </w:r>
      <w:r w:rsidRPr="00613791">
        <w:rPr>
          <w:rFonts w:cs="Times New Roman"/>
          <w:szCs w:val="26"/>
        </w:rPr>
        <w:t xml:space="preserve"> </w:t>
      </w:r>
      <w:r>
        <w:rPr>
          <w:rFonts w:cs="Times New Roman"/>
          <w:szCs w:val="26"/>
        </w:rPr>
        <w:t xml:space="preserve">(2017) pp. 1-2 </w:t>
      </w:r>
      <w:r w:rsidRPr="00613791">
        <w:rPr>
          <w:rFonts w:cs="Times New Roman"/>
          <w:szCs w:val="26"/>
        </w:rPr>
        <w:t>(</w:t>
      </w:r>
      <w:r w:rsidRPr="00423643">
        <w:rPr>
          <w:rFonts w:cs="Times New Roman"/>
          <w:szCs w:val="26"/>
        </w:rPr>
        <w:t>Agricultural Statistic</w:t>
      </w:r>
      <w:r>
        <w:rPr>
          <w:rFonts w:cs="Times New Roman"/>
          <w:szCs w:val="26"/>
        </w:rPr>
        <w:t>s</w:t>
      </w:r>
      <w:r w:rsidRPr="00423643">
        <w:rPr>
          <w:rFonts w:cs="Times New Roman"/>
          <w:szCs w:val="26"/>
        </w:rPr>
        <w:t xml:space="preserve"> Review</w:t>
      </w:r>
      <w:r w:rsidRPr="00613791">
        <w:rPr>
          <w:rFonts w:cs="Times New Roman"/>
          <w:szCs w:val="26"/>
        </w:rPr>
        <w:t xml:space="preserve">).) </w:t>
      </w:r>
      <w:r>
        <w:rPr>
          <w:rFonts w:cs="Times New Roman"/>
          <w:szCs w:val="26"/>
        </w:rPr>
        <w:t xml:space="preserve"> </w:t>
      </w:r>
      <w:r w:rsidRPr="00613791">
        <w:rPr>
          <w:rFonts w:cs="Times New Roman"/>
          <w:szCs w:val="26"/>
        </w:rPr>
        <w:t>Table grapes are among the agricultural products for which this state is well</w:t>
      </w:r>
      <w:r>
        <w:rPr>
          <w:rFonts w:cs="Times New Roman"/>
          <w:szCs w:val="26"/>
        </w:rPr>
        <w:t xml:space="preserve"> </w:t>
      </w:r>
      <w:r w:rsidRPr="00613791">
        <w:rPr>
          <w:rFonts w:cs="Times New Roman"/>
          <w:szCs w:val="26"/>
        </w:rPr>
        <w:t>known.  Table grapes are distinguish</w:t>
      </w:r>
      <w:r>
        <w:rPr>
          <w:rFonts w:cs="Times New Roman"/>
          <w:szCs w:val="26"/>
        </w:rPr>
        <w:t>ed</w:t>
      </w:r>
      <w:r w:rsidRPr="00613791">
        <w:rPr>
          <w:rFonts w:cs="Times New Roman"/>
          <w:szCs w:val="26"/>
        </w:rPr>
        <w:t xml:space="preserve"> from other types of grapes, such as </w:t>
      </w:r>
      <w:r>
        <w:rPr>
          <w:rFonts w:cs="Times New Roman"/>
          <w:szCs w:val="26"/>
        </w:rPr>
        <w:t>raisin</w:t>
      </w:r>
      <w:r w:rsidRPr="00613791">
        <w:rPr>
          <w:rFonts w:cs="Times New Roman"/>
          <w:szCs w:val="26"/>
        </w:rPr>
        <w:t xml:space="preserve"> grapes and </w:t>
      </w:r>
      <w:r>
        <w:rPr>
          <w:rFonts w:cs="Times New Roman"/>
          <w:szCs w:val="26"/>
        </w:rPr>
        <w:t>wine</w:t>
      </w:r>
      <w:r w:rsidRPr="00613791">
        <w:rPr>
          <w:rFonts w:cs="Times New Roman"/>
          <w:szCs w:val="26"/>
        </w:rPr>
        <w:t xml:space="preserve"> grapes, in that they are generally eaten while fresh instead of being consumed only after being dried or turned into wine.  (</w:t>
      </w:r>
      <w:r>
        <w:rPr>
          <w:rFonts w:cs="Times New Roman"/>
          <w:szCs w:val="26"/>
        </w:rPr>
        <w:t xml:space="preserve">See Food &amp; Agr. Code, </w:t>
      </w:r>
      <w:r w:rsidRPr="00613791">
        <w:rPr>
          <w:rFonts w:cs="Times New Roman"/>
          <w:szCs w:val="26"/>
        </w:rPr>
        <w:t>§</w:t>
      </w:r>
      <w:r>
        <w:rPr>
          <w:rFonts w:cs="Times New Roman"/>
          <w:szCs w:val="26"/>
        </w:rPr>
        <w:t> </w:t>
      </w:r>
      <w:r w:rsidRPr="00613791">
        <w:rPr>
          <w:rFonts w:cs="Times New Roman"/>
          <w:szCs w:val="26"/>
        </w:rPr>
        <w:t>65523.)</w:t>
      </w:r>
      <w:r>
        <w:rPr>
          <w:rStyle w:val="FootnoteReference"/>
          <w:rFonts w:cs="Times New Roman"/>
          <w:b/>
          <w:szCs w:val="26"/>
        </w:rPr>
        <w:footnoteReference w:id="3"/>
      </w:r>
      <w:r w:rsidRPr="009F7E7C">
        <w:rPr>
          <w:rFonts w:cs="Times New Roman"/>
          <w:b/>
          <w:szCs w:val="26"/>
        </w:rPr>
        <w:t xml:space="preserve"> </w:t>
      </w:r>
      <w:r w:rsidRPr="00613791">
        <w:rPr>
          <w:rFonts w:cs="Times New Roman"/>
          <w:szCs w:val="26"/>
        </w:rPr>
        <w:t xml:space="preserve"> </w:t>
      </w:r>
      <w:r>
        <w:rPr>
          <w:rFonts w:cs="Times New Roman"/>
          <w:szCs w:val="26"/>
        </w:rPr>
        <w:t xml:space="preserve">This opinion therefore sometimes refers to table grapes as “fresh grapes.”  </w:t>
      </w:r>
      <w:r w:rsidRPr="00613791">
        <w:rPr>
          <w:rFonts w:cs="Times New Roman"/>
          <w:szCs w:val="26"/>
        </w:rPr>
        <w:t>The 201</w:t>
      </w:r>
      <w:r>
        <w:rPr>
          <w:rFonts w:cs="Times New Roman"/>
          <w:szCs w:val="26"/>
        </w:rPr>
        <w:t>5</w:t>
      </w:r>
      <w:r w:rsidRPr="00613791">
        <w:rPr>
          <w:rFonts w:cs="Times New Roman"/>
          <w:szCs w:val="26"/>
        </w:rPr>
        <w:t xml:space="preserve"> harvest of California table grapes had an estimated total value </w:t>
      </w:r>
      <w:r>
        <w:rPr>
          <w:rFonts w:cs="Times New Roman"/>
          <w:szCs w:val="26"/>
        </w:rPr>
        <w:t>in excess of</w:t>
      </w:r>
      <w:r w:rsidRPr="00613791">
        <w:rPr>
          <w:rFonts w:cs="Times New Roman"/>
          <w:szCs w:val="26"/>
        </w:rPr>
        <w:t xml:space="preserve"> $1.</w:t>
      </w:r>
      <w:r>
        <w:rPr>
          <w:rFonts w:cs="Times New Roman"/>
          <w:szCs w:val="26"/>
        </w:rPr>
        <w:t>7</w:t>
      </w:r>
      <w:r w:rsidRPr="00613791">
        <w:rPr>
          <w:rFonts w:cs="Times New Roman"/>
          <w:szCs w:val="26"/>
        </w:rPr>
        <w:t xml:space="preserve"> billion.  (</w:t>
      </w:r>
      <w:r w:rsidRPr="00756672">
        <w:rPr>
          <w:rFonts w:cs="Times New Roman"/>
          <w:szCs w:val="26"/>
        </w:rPr>
        <w:t>Agricultural Statistic</w:t>
      </w:r>
      <w:r>
        <w:rPr>
          <w:rFonts w:cs="Times New Roman"/>
          <w:szCs w:val="26"/>
        </w:rPr>
        <w:t>s</w:t>
      </w:r>
      <w:r w:rsidRPr="00756672">
        <w:rPr>
          <w:rFonts w:cs="Times New Roman"/>
          <w:szCs w:val="26"/>
        </w:rPr>
        <w:t xml:space="preserve"> Review</w:t>
      </w:r>
      <w:r w:rsidRPr="00613791">
        <w:rPr>
          <w:rFonts w:cs="Times New Roman"/>
          <w:szCs w:val="26"/>
        </w:rPr>
        <w:t>, at p. 1</w:t>
      </w:r>
      <w:r>
        <w:rPr>
          <w:rFonts w:cs="Times New Roman"/>
          <w:szCs w:val="26"/>
        </w:rPr>
        <w:t>2</w:t>
      </w:r>
      <w:r w:rsidRPr="00613791">
        <w:rPr>
          <w:rFonts w:cs="Times New Roman"/>
          <w:szCs w:val="26"/>
        </w:rPr>
        <w:t xml:space="preserve">.)  </w:t>
      </w:r>
      <w:r>
        <w:rPr>
          <w:rFonts w:cs="Times New Roman"/>
          <w:szCs w:val="26"/>
        </w:rPr>
        <w:t>T</w:t>
      </w:r>
      <w:r w:rsidRPr="00613791">
        <w:rPr>
          <w:rFonts w:cs="Times New Roman"/>
          <w:szCs w:val="26"/>
        </w:rPr>
        <w:t>he parties</w:t>
      </w:r>
      <w:r>
        <w:rPr>
          <w:rFonts w:cs="Times New Roman"/>
          <w:szCs w:val="26"/>
        </w:rPr>
        <w:t xml:space="preserve"> have</w:t>
      </w:r>
      <w:r w:rsidRPr="00613791">
        <w:rPr>
          <w:rFonts w:cs="Times New Roman"/>
          <w:szCs w:val="26"/>
        </w:rPr>
        <w:t xml:space="preserve"> stipulated that as of 2012</w:t>
      </w:r>
      <w:r>
        <w:rPr>
          <w:rFonts w:cs="Times New Roman"/>
          <w:szCs w:val="26"/>
        </w:rPr>
        <w:t>,</w:t>
      </w:r>
      <w:r w:rsidRPr="00613791">
        <w:rPr>
          <w:rFonts w:cs="Times New Roman"/>
          <w:szCs w:val="26"/>
        </w:rPr>
        <w:t xml:space="preserve"> there were app</w:t>
      </w:r>
      <w:r>
        <w:rPr>
          <w:rFonts w:cs="Times New Roman"/>
          <w:szCs w:val="26"/>
        </w:rPr>
        <w:t>r</w:t>
      </w:r>
      <w:r w:rsidRPr="00613791">
        <w:rPr>
          <w:rFonts w:cs="Times New Roman"/>
          <w:szCs w:val="26"/>
        </w:rPr>
        <w:t>oximately 475 growers of table grapes</w:t>
      </w:r>
      <w:r>
        <w:rPr>
          <w:rFonts w:cs="Times New Roman"/>
          <w:szCs w:val="26"/>
        </w:rPr>
        <w:t xml:space="preserve"> in California</w:t>
      </w:r>
      <w:r w:rsidRPr="00613791">
        <w:rPr>
          <w:rFonts w:cs="Times New Roman"/>
          <w:szCs w:val="26"/>
        </w:rPr>
        <w:t xml:space="preserve">.  </w:t>
      </w:r>
    </w:p>
    <w:p w:rsidR="00C07A1F" w:rsidRPr="00C07A1F" w:rsidP="00B8358C">
      <w:pPr>
        <w:pStyle w:val="ListParagraph"/>
        <w:keepNext/>
        <w:keepLines/>
        <w:numPr>
          <w:ilvl w:val="0"/>
          <w:numId w:val="7"/>
        </w:numPr>
        <w:spacing w:after="0" w:line="480" w:lineRule="exact"/>
        <w:rPr>
          <w:rFonts w:cs="Times New Roman"/>
          <w:b/>
          <w:szCs w:val="26"/>
        </w:rPr>
      </w:pPr>
      <w:r w:rsidRPr="00C07A1F">
        <w:rPr>
          <w:rFonts w:cs="Times New Roman"/>
          <w:b/>
          <w:szCs w:val="26"/>
        </w:rPr>
        <w:t>The Ketchum Act</w:t>
      </w:r>
      <w:r>
        <w:rPr>
          <w:rFonts w:cs="Times New Roman"/>
          <w:b/>
          <w:szCs w:val="26"/>
        </w:rPr>
        <w:t xml:space="preserve"> and Its Implementation</w:t>
      </w:r>
    </w:p>
    <w:p w:rsidR="004C7DCB" w:rsidP="00613791">
      <w:pPr>
        <w:spacing w:after="0" w:line="480" w:lineRule="exact"/>
        <w:ind w:firstLine="720"/>
        <w:rPr>
          <w:rFonts w:cs="Times New Roman"/>
          <w:szCs w:val="26"/>
        </w:rPr>
      </w:pPr>
      <w:r w:rsidRPr="00613791">
        <w:rPr>
          <w:rFonts w:cs="Times New Roman"/>
          <w:szCs w:val="26"/>
        </w:rPr>
        <w:t xml:space="preserve">The Ketchum Act </w:t>
      </w:r>
      <w:r>
        <w:rPr>
          <w:rFonts w:cs="Times New Roman"/>
          <w:szCs w:val="26"/>
        </w:rPr>
        <w:t>responded</w:t>
      </w:r>
      <w:r w:rsidRPr="00613791">
        <w:rPr>
          <w:rFonts w:cs="Times New Roman"/>
          <w:szCs w:val="26"/>
        </w:rPr>
        <w:t xml:space="preserve"> to challenging market conditions encountered by </w:t>
      </w:r>
      <w:r>
        <w:rPr>
          <w:rFonts w:cs="Times New Roman"/>
          <w:szCs w:val="26"/>
        </w:rPr>
        <w:t xml:space="preserve">the state’s </w:t>
      </w:r>
      <w:r w:rsidRPr="00613791">
        <w:rPr>
          <w:rFonts w:cs="Times New Roman"/>
          <w:szCs w:val="26"/>
        </w:rPr>
        <w:t>producers of fresh grapes in the 1960s.</w:t>
      </w:r>
      <w:r>
        <w:rPr>
          <w:rStyle w:val="FootnoteReference"/>
          <w:rFonts w:cs="Times New Roman"/>
          <w:b/>
          <w:szCs w:val="26"/>
        </w:rPr>
        <w:footnoteReference w:id="4"/>
      </w:r>
      <w:r>
        <w:rPr>
          <w:rFonts w:cs="Times New Roman"/>
          <w:szCs w:val="26"/>
        </w:rPr>
        <w:t xml:space="preserve">  As will be explained in more detail below, the</w:t>
      </w:r>
      <w:r w:rsidRPr="00613791">
        <w:rPr>
          <w:rFonts w:cs="Times New Roman"/>
          <w:szCs w:val="26"/>
        </w:rPr>
        <w:t xml:space="preserve"> Act create</w:t>
      </w:r>
      <w:r>
        <w:rPr>
          <w:rFonts w:cs="Times New Roman"/>
          <w:szCs w:val="26"/>
        </w:rPr>
        <w:t>d</w:t>
      </w:r>
      <w:r w:rsidRPr="00613791">
        <w:rPr>
          <w:rFonts w:cs="Times New Roman"/>
          <w:szCs w:val="26"/>
        </w:rPr>
        <w:t xml:space="preserve"> the California Table Grape Commission</w:t>
      </w:r>
      <w:r>
        <w:rPr>
          <w:rFonts w:cs="Times New Roman"/>
          <w:szCs w:val="26"/>
        </w:rPr>
        <w:t>, a public corporation vested with the power and duty</w:t>
      </w:r>
      <w:r w:rsidRPr="00613791">
        <w:rPr>
          <w:rFonts w:cs="Times New Roman"/>
          <w:szCs w:val="26"/>
        </w:rPr>
        <w:t xml:space="preserve"> to </w:t>
      </w:r>
      <w:r>
        <w:rPr>
          <w:rFonts w:cs="Times New Roman"/>
          <w:szCs w:val="26"/>
        </w:rPr>
        <w:t xml:space="preserve">engage in </w:t>
      </w:r>
      <w:r w:rsidRPr="00613791">
        <w:rPr>
          <w:rFonts w:cs="Times New Roman"/>
          <w:szCs w:val="26"/>
        </w:rPr>
        <w:t xml:space="preserve">activities </w:t>
      </w:r>
      <w:r>
        <w:rPr>
          <w:rFonts w:cs="Times New Roman"/>
          <w:szCs w:val="26"/>
        </w:rPr>
        <w:t>intended to increase consumer demand for</w:t>
      </w:r>
      <w:r w:rsidRPr="00613791">
        <w:rPr>
          <w:rFonts w:cs="Times New Roman"/>
          <w:szCs w:val="26"/>
        </w:rPr>
        <w:t xml:space="preserve"> </w:t>
      </w:r>
      <w:r>
        <w:rPr>
          <w:rFonts w:cs="Times New Roman"/>
          <w:szCs w:val="26"/>
        </w:rPr>
        <w:t xml:space="preserve">California </w:t>
      </w:r>
      <w:r w:rsidRPr="00613791">
        <w:rPr>
          <w:rFonts w:cs="Times New Roman"/>
          <w:szCs w:val="26"/>
        </w:rPr>
        <w:t xml:space="preserve">fresh grapes.  </w:t>
      </w:r>
      <w:r>
        <w:rPr>
          <w:rFonts w:cs="Times New Roman"/>
          <w:szCs w:val="26"/>
        </w:rPr>
        <w:t>T</w:t>
      </w:r>
      <w:r w:rsidRPr="00613791">
        <w:rPr>
          <w:rFonts w:cs="Times New Roman"/>
          <w:szCs w:val="26"/>
        </w:rPr>
        <w:t>hese activities are funded by assessments imposed upon shippers</w:t>
      </w:r>
      <w:r>
        <w:rPr>
          <w:rFonts w:cs="Times New Roman"/>
          <w:szCs w:val="26"/>
        </w:rPr>
        <w:t xml:space="preserve"> of these grapes,</w:t>
      </w:r>
      <w:r w:rsidRPr="00613791">
        <w:rPr>
          <w:rFonts w:cs="Times New Roman"/>
          <w:szCs w:val="26"/>
        </w:rPr>
        <w:t xml:space="preserve"> </w:t>
      </w:r>
      <w:r>
        <w:rPr>
          <w:rFonts w:cs="Times New Roman"/>
          <w:szCs w:val="26"/>
        </w:rPr>
        <w:t xml:space="preserve">which are </w:t>
      </w:r>
      <w:r w:rsidRPr="00613791">
        <w:rPr>
          <w:rFonts w:cs="Times New Roman"/>
          <w:szCs w:val="26"/>
        </w:rPr>
        <w:t xml:space="preserve">passed along to </w:t>
      </w:r>
      <w:r>
        <w:rPr>
          <w:rFonts w:cs="Times New Roman"/>
          <w:szCs w:val="26"/>
        </w:rPr>
        <w:t xml:space="preserve">their </w:t>
      </w:r>
      <w:r w:rsidRPr="00613791">
        <w:rPr>
          <w:rFonts w:cs="Times New Roman"/>
          <w:szCs w:val="26"/>
        </w:rPr>
        <w:t xml:space="preserve">producers. </w:t>
      </w:r>
    </w:p>
    <w:p w:rsidR="004C7DCB" w:rsidRPr="004C7DCB" w:rsidP="004C7DCB">
      <w:pPr>
        <w:spacing w:after="0" w:line="480" w:lineRule="exact"/>
        <w:ind w:left="1440" w:hanging="360"/>
        <w:rPr>
          <w:rFonts w:cs="Times New Roman"/>
          <w:i/>
          <w:szCs w:val="26"/>
        </w:rPr>
      </w:pPr>
      <w:r w:rsidRPr="004C7DCB">
        <w:rPr>
          <w:rFonts w:cs="Times New Roman"/>
          <w:i/>
          <w:szCs w:val="26"/>
        </w:rPr>
        <w:t>1.</w:t>
      </w:r>
      <w:r>
        <w:rPr>
          <w:rFonts w:cs="Times New Roman"/>
          <w:i/>
          <w:szCs w:val="26"/>
        </w:rPr>
        <w:t xml:space="preserve"> </w:t>
      </w:r>
      <w:r>
        <w:rPr>
          <w:rFonts w:cs="Times New Roman"/>
          <w:i/>
          <w:szCs w:val="26"/>
        </w:rPr>
        <w:tab/>
        <w:t xml:space="preserve">Legislative </w:t>
      </w:r>
      <w:r w:rsidRPr="004C7DCB">
        <w:rPr>
          <w:rFonts w:cs="Times New Roman"/>
          <w:i/>
          <w:szCs w:val="26"/>
        </w:rPr>
        <w:t>Findings</w:t>
      </w:r>
    </w:p>
    <w:p w:rsidR="00E35AF8" w:rsidRPr="00613791" w:rsidP="00613791">
      <w:pPr>
        <w:spacing w:after="0" w:line="480" w:lineRule="exact"/>
        <w:ind w:firstLine="720"/>
        <w:rPr>
          <w:rFonts w:cs="Times New Roman"/>
          <w:szCs w:val="26"/>
        </w:rPr>
      </w:pPr>
      <w:r w:rsidRPr="00613791">
        <w:rPr>
          <w:rFonts w:cs="Times New Roman"/>
          <w:szCs w:val="26"/>
        </w:rPr>
        <w:t xml:space="preserve">The </w:t>
      </w:r>
      <w:r>
        <w:rPr>
          <w:rFonts w:cs="Times New Roman"/>
          <w:szCs w:val="26"/>
        </w:rPr>
        <w:t xml:space="preserve">Ketchum </w:t>
      </w:r>
      <w:r w:rsidRPr="00613791">
        <w:rPr>
          <w:rFonts w:cs="Times New Roman"/>
          <w:szCs w:val="26"/>
        </w:rPr>
        <w:t xml:space="preserve">Act begins with a series of findings by the Legislature.  Several of these </w:t>
      </w:r>
      <w:r>
        <w:rPr>
          <w:rFonts w:cs="Times New Roman"/>
          <w:szCs w:val="26"/>
        </w:rPr>
        <w:t>findings</w:t>
      </w:r>
      <w:r w:rsidRPr="00613791">
        <w:rPr>
          <w:rFonts w:cs="Times New Roman"/>
          <w:szCs w:val="26"/>
        </w:rPr>
        <w:t xml:space="preserve"> </w:t>
      </w:r>
      <w:r>
        <w:rPr>
          <w:rFonts w:cs="Times New Roman"/>
          <w:szCs w:val="26"/>
        </w:rPr>
        <w:t>concern</w:t>
      </w:r>
      <w:r w:rsidRPr="00613791">
        <w:rPr>
          <w:rFonts w:cs="Times New Roman"/>
          <w:szCs w:val="26"/>
        </w:rPr>
        <w:t xml:space="preserve"> the </w:t>
      </w:r>
      <w:r>
        <w:rPr>
          <w:rFonts w:cs="Times New Roman"/>
          <w:szCs w:val="26"/>
        </w:rPr>
        <w:t xml:space="preserve">importance assigned to the production and marketing of California fresh grapes, and the </w:t>
      </w:r>
      <w:r w:rsidRPr="00613791">
        <w:rPr>
          <w:rFonts w:cs="Times New Roman"/>
          <w:szCs w:val="26"/>
        </w:rPr>
        <w:t xml:space="preserve">challenges faced by </w:t>
      </w:r>
      <w:r>
        <w:rPr>
          <w:rFonts w:cs="Times New Roman"/>
          <w:szCs w:val="26"/>
        </w:rPr>
        <w:t>growers</w:t>
      </w:r>
      <w:r w:rsidRPr="00613791">
        <w:rPr>
          <w:rFonts w:cs="Times New Roman"/>
          <w:szCs w:val="26"/>
        </w:rPr>
        <w:t xml:space="preserve"> of </w:t>
      </w:r>
      <w:r>
        <w:rPr>
          <w:rFonts w:cs="Times New Roman"/>
          <w:szCs w:val="26"/>
        </w:rPr>
        <w:t>these</w:t>
      </w:r>
      <w:r w:rsidRPr="00613791">
        <w:rPr>
          <w:rFonts w:cs="Times New Roman"/>
          <w:szCs w:val="26"/>
        </w:rPr>
        <w:t xml:space="preserve"> </w:t>
      </w:r>
      <w:r>
        <w:rPr>
          <w:rFonts w:cs="Times New Roman"/>
          <w:szCs w:val="26"/>
        </w:rPr>
        <w:t>grapes</w:t>
      </w:r>
      <w:r w:rsidRPr="00613791">
        <w:rPr>
          <w:rFonts w:cs="Times New Roman"/>
          <w:szCs w:val="26"/>
        </w:rPr>
        <w:t>.  These findings include, “</w:t>
      </w:r>
      <w:r>
        <w:rPr>
          <w:rFonts w:cs="Times New Roman"/>
          <w:szCs w:val="26"/>
        </w:rPr>
        <w:t>[g]</w:t>
      </w:r>
      <w:r w:rsidRPr="00613791">
        <w:rPr>
          <w:rFonts w:cs="Times New Roman"/>
          <w:szCs w:val="26"/>
        </w:rPr>
        <w:t>rapes produced in California for fresh</w:t>
      </w:r>
      <w:r>
        <w:rPr>
          <w:rFonts w:cs="Times New Roman"/>
          <w:szCs w:val="26"/>
        </w:rPr>
        <w:t> . . .</w:t>
      </w:r>
      <w:r w:rsidRPr="00613791">
        <w:rPr>
          <w:rFonts w:cs="Times New Roman"/>
          <w:szCs w:val="26"/>
        </w:rPr>
        <w:t xml:space="preserve"> consumption comprise one of the major agricultural crops of California, and the production and marketing of such grapes affects the economy, welfare, standard of living and health of a large number of citizens residing</w:t>
      </w:r>
      <w:r>
        <w:rPr>
          <w:rFonts w:cs="Times New Roman"/>
          <w:szCs w:val="26"/>
        </w:rPr>
        <w:t xml:space="preserve"> in this state” (§ 65500, subd. </w:t>
      </w:r>
      <w:r w:rsidRPr="00613791">
        <w:rPr>
          <w:rFonts w:cs="Times New Roman"/>
          <w:szCs w:val="26"/>
        </w:rPr>
        <w:t xml:space="preserve">(a)); </w:t>
      </w:r>
      <w:r>
        <w:rPr>
          <w:rFonts w:cs="Times New Roman"/>
          <w:szCs w:val="26"/>
        </w:rPr>
        <w:t xml:space="preserve">and </w:t>
      </w:r>
      <w:r w:rsidRPr="00613791">
        <w:rPr>
          <w:rFonts w:cs="Times New Roman"/>
          <w:szCs w:val="26"/>
        </w:rPr>
        <w:t>“</w:t>
      </w:r>
      <w:r>
        <w:rPr>
          <w:rFonts w:cs="Times New Roman"/>
          <w:szCs w:val="26"/>
        </w:rPr>
        <w:t>[i]</w:t>
      </w:r>
      <w:r w:rsidRPr="00613791">
        <w:rPr>
          <w:rFonts w:cs="Times New Roman"/>
          <w:szCs w:val="26"/>
        </w:rPr>
        <w:t xml:space="preserve">ncreased plantings of vineyards and improved cultural practices for the production of California grapes for </w:t>
      </w:r>
      <w:r w:rsidRPr="00613791">
        <w:rPr>
          <w:rFonts w:cs="Times New Roman"/>
          <w:szCs w:val="26"/>
        </w:rPr>
        <w:t>fresh</w:t>
      </w:r>
      <w:r>
        <w:rPr>
          <w:rFonts w:cs="Times New Roman"/>
          <w:szCs w:val="26"/>
        </w:rPr>
        <w:t> . . .</w:t>
      </w:r>
      <w:r w:rsidRPr="00613791">
        <w:rPr>
          <w:rFonts w:cs="Times New Roman"/>
          <w:szCs w:val="26"/>
        </w:rPr>
        <w:t xml:space="preserve"> consumption have increased and will continue to increase the production thereof and unless the fresh</w:t>
      </w:r>
      <w:r>
        <w:rPr>
          <w:rFonts w:cs="Times New Roman"/>
          <w:szCs w:val="26"/>
        </w:rPr>
        <w:t> . . .</w:t>
      </w:r>
      <w:r w:rsidRPr="00613791">
        <w:rPr>
          <w:rFonts w:cs="Times New Roman"/>
          <w:szCs w:val="26"/>
        </w:rPr>
        <w:t xml:space="preserve"> consumption of California grapes is increased by the expansion of existing markets and the development of new markets, the interests of the fresh grape industry of California, and the public interest of the people of this state, will be adversely affected” (</w:t>
      </w:r>
      <w:r w:rsidRPr="00613791">
        <w:rPr>
          <w:rFonts w:cs="Times New Roman"/>
          <w:i/>
          <w:szCs w:val="26"/>
        </w:rPr>
        <w:t>id</w:t>
      </w:r>
      <w:r>
        <w:rPr>
          <w:rFonts w:cs="Times New Roman"/>
          <w:szCs w:val="26"/>
        </w:rPr>
        <w:t>., subd. </w:t>
      </w:r>
      <w:r w:rsidRPr="00613791">
        <w:rPr>
          <w:rFonts w:cs="Times New Roman"/>
          <w:szCs w:val="26"/>
        </w:rPr>
        <w:t>(b)</w:t>
      </w:r>
      <w:r>
        <w:rPr>
          <w:rFonts w:cs="Times New Roman"/>
          <w:szCs w:val="26"/>
        </w:rPr>
        <w:t>).  Furthermore, the Legislature found that</w:t>
      </w:r>
      <w:r w:rsidRPr="00613791">
        <w:rPr>
          <w:rFonts w:cs="Times New Roman"/>
          <w:szCs w:val="26"/>
        </w:rPr>
        <w:t xml:space="preserve"> “</w:t>
      </w:r>
      <w:r>
        <w:rPr>
          <w:rFonts w:cs="Times New Roman"/>
          <w:szCs w:val="26"/>
        </w:rPr>
        <w:t>[t]</w:t>
      </w:r>
      <w:r w:rsidRPr="00613791">
        <w:rPr>
          <w:rFonts w:cs="Times New Roman"/>
          <w:szCs w:val="26"/>
        </w:rPr>
        <w:t>he inability of individual producers to maintain or expand present markets or to develop new or larger markets for such grapes results in an unreasonable and unnecessary economic waste of the agricultural wealth of this state” (</w:t>
      </w:r>
      <w:r w:rsidRPr="00613791">
        <w:rPr>
          <w:rFonts w:cs="Times New Roman"/>
          <w:i/>
          <w:szCs w:val="26"/>
        </w:rPr>
        <w:t>id</w:t>
      </w:r>
      <w:r>
        <w:rPr>
          <w:rFonts w:cs="Times New Roman"/>
          <w:szCs w:val="26"/>
        </w:rPr>
        <w:t>., subd. </w:t>
      </w:r>
      <w:r w:rsidRPr="00613791">
        <w:rPr>
          <w:rFonts w:cs="Times New Roman"/>
          <w:szCs w:val="26"/>
        </w:rPr>
        <w:t xml:space="preserve">(c)); </w:t>
      </w:r>
      <w:r>
        <w:rPr>
          <w:rFonts w:cs="Times New Roman"/>
          <w:szCs w:val="26"/>
        </w:rPr>
        <w:t xml:space="preserve">and </w:t>
      </w:r>
      <w:r w:rsidRPr="00613791">
        <w:rPr>
          <w:rFonts w:cs="Times New Roman"/>
          <w:szCs w:val="26"/>
        </w:rPr>
        <w:t>“</w:t>
      </w:r>
      <w:r>
        <w:rPr>
          <w:rFonts w:cs="Times New Roman"/>
          <w:szCs w:val="26"/>
        </w:rPr>
        <w:t>[s]</w:t>
      </w:r>
      <w:r w:rsidRPr="00613791">
        <w:rPr>
          <w:rFonts w:cs="Times New Roman"/>
          <w:szCs w:val="26"/>
        </w:rPr>
        <w:t xml:space="preserve">uch conditions and the accompanying waste jeopardize the future continued production of adequate supplies of fresh grapes for human consumption for the people of this and other states, and prevent producers from obtaining a fair return for their labor, their farms and their production. </w:t>
      </w:r>
      <w:r>
        <w:rPr>
          <w:rFonts w:cs="Times New Roman"/>
          <w:szCs w:val="26"/>
        </w:rPr>
        <w:t xml:space="preserve"> </w:t>
      </w:r>
      <w:r w:rsidRPr="00613791">
        <w:rPr>
          <w:rFonts w:cs="Times New Roman"/>
          <w:szCs w:val="26"/>
        </w:rPr>
        <w:t>As a consequence, the purchasing power of such producers has been in the past, and may continue to be in the future unless such conditions are remedied, low in relation to that of other people engaged in other gainful occupations within the state, and they are thereby prevented from maintaining a proper standard of living and from contributing their fair share to the support of the necessary governmental and education functions, thus tending to increase unfairly the tax burden of other citizens of the state” (</w:t>
      </w:r>
      <w:r w:rsidRPr="00613791">
        <w:rPr>
          <w:rFonts w:cs="Times New Roman"/>
          <w:i/>
          <w:szCs w:val="26"/>
        </w:rPr>
        <w:t>id</w:t>
      </w:r>
      <w:r>
        <w:rPr>
          <w:rFonts w:cs="Times New Roman"/>
          <w:szCs w:val="26"/>
        </w:rPr>
        <w:t>., subd. </w:t>
      </w:r>
      <w:r w:rsidRPr="00613791">
        <w:rPr>
          <w:rFonts w:cs="Times New Roman"/>
          <w:szCs w:val="26"/>
        </w:rPr>
        <w:t>(d))</w:t>
      </w:r>
      <w:r>
        <w:rPr>
          <w:rFonts w:cs="Times New Roman"/>
          <w:szCs w:val="26"/>
        </w:rPr>
        <w:t>.</w:t>
      </w:r>
    </w:p>
    <w:p w:rsidR="00E35AF8" w:rsidP="00613791">
      <w:pPr>
        <w:spacing w:after="0" w:line="480" w:lineRule="exact"/>
        <w:ind w:firstLine="720"/>
        <w:rPr>
          <w:rFonts w:cs="Times New Roman"/>
          <w:szCs w:val="26"/>
        </w:rPr>
      </w:pPr>
      <w:r w:rsidRPr="00613791">
        <w:rPr>
          <w:rFonts w:cs="Times New Roman"/>
          <w:szCs w:val="26"/>
        </w:rPr>
        <w:t xml:space="preserve">Other findings </w:t>
      </w:r>
      <w:r>
        <w:rPr>
          <w:rFonts w:cs="Times New Roman"/>
          <w:szCs w:val="26"/>
        </w:rPr>
        <w:t>relate</w:t>
      </w:r>
      <w:r w:rsidRPr="00613791">
        <w:rPr>
          <w:rFonts w:cs="Times New Roman"/>
          <w:szCs w:val="26"/>
        </w:rPr>
        <w:t xml:space="preserve"> the </w:t>
      </w:r>
      <w:r>
        <w:rPr>
          <w:rFonts w:cs="Times New Roman"/>
          <w:szCs w:val="26"/>
        </w:rPr>
        <w:t xml:space="preserve">state’s response to these challenging conditions, endorsing measures perceived as developing and expanding </w:t>
      </w:r>
      <w:r w:rsidRPr="00613791">
        <w:rPr>
          <w:rFonts w:cs="Times New Roman"/>
          <w:szCs w:val="26"/>
        </w:rPr>
        <w:t>market</w:t>
      </w:r>
      <w:r>
        <w:rPr>
          <w:rFonts w:cs="Times New Roman"/>
          <w:szCs w:val="26"/>
        </w:rPr>
        <w:t>s</w:t>
      </w:r>
      <w:r w:rsidRPr="00613791">
        <w:rPr>
          <w:rFonts w:cs="Times New Roman"/>
          <w:szCs w:val="26"/>
        </w:rPr>
        <w:t xml:space="preserve"> for </w:t>
      </w:r>
      <w:r>
        <w:rPr>
          <w:rFonts w:cs="Times New Roman"/>
          <w:szCs w:val="26"/>
        </w:rPr>
        <w:t>California fresh grapes</w:t>
      </w:r>
      <w:r w:rsidRPr="00613791">
        <w:rPr>
          <w:rFonts w:cs="Times New Roman"/>
          <w:szCs w:val="26"/>
        </w:rPr>
        <w:t xml:space="preserve">.  These findings provide, </w:t>
      </w:r>
      <w:r>
        <w:rPr>
          <w:rFonts w:cs="Times New Roman"/>
          <w:szCs w:val="26"/>
        </w:rPr>
        <w:t>“T</w:t>
      </w:r>
      <w:r w:rsidRPr="007C3062">
        <w:rPr>
          <w:rFonts w:cs="Times New Roman"/>
          <w:szCs w:val="26"/>
        </w:rPr>
        <w:t>he</w:t>
      </w:r>
      <w:r>
        <w:rPr>
          <w:rFonts w:cs="Times New Roman"/>
          <w:szCs w:val="26"/>
        </w:rPr>
        <w:t>[] [aforementioned]</w:t>
      </w:r>
      <w:r w:rsidRPr="007C3062">
        <w:rPr>
          <w:rFonts w:cs="Times New Roman"/>
          <w:szCs w:val="26"/>
        </w:rPr>
        <w:t xml:space="preserve"> conditions vitally concern the health, peace, safety and general welfare of the people of this state.</w:t>
      </w:r>
      <w:r w:rsidRPr="002A207E">
        <w:rPr>
          <w:rFonts w:cs="Times New Roman"/>
          <w:szCs w:val="26"/>
        </w:rPr>
        <w:t xml:space="preserve">  It is therefore necessary and expedient in the public interest to protect and enhance the reputation of California fresh grapes for human consumption in intrastate, interstate and foreign markets,</w:t>
      </w:r>
      <w:r w:rsidRPr="00636A83">
        <w:rPr>
          <w:rFonts w:cs="Times New Roman"/>
          <w:szCs w:val="26"/>
        </w:rPr>
        <w:t xml:space="preserve"> </w:t>
      </w:r>
      <w:r w:rsidRPr="007C3062">
        <w:rPr>
          <w:rFonts w:cs="Times New Roman"/>
          <w:szCs w:val="26"/>
        </w:rPr>
        <w:t>and to otherwise act so to eliminate unreasonable and unnecessary economic waste of the agricultural wealth of this state</w:t>
      </w:r>
      <w:r>
        <w:rPr>
          <w:rFonts w:cs="Times New Roman"/>
          <w:szCs w:val="26"/>
        </w:rPr>
        <w:t>” (</w:t>
      </w:r>
      <w:r w:rsidRPr="007C3062">
        <w:rPr>
          <w:rFonts w:cs="Times New Roman"/>
          <w:i/>
          <w:szCs w:val="26"/>
        </w:rPr>
        <w:t>id</w:t>
      </w:r>
      <w:r>
        <w:rPr>
          <w:rFonts w:cs="Times New Roman"/>
          <w:szCs w:val="26"/>
        </w:rPr>
        <w:t>., subd. (e));</w:t>
      </w:r>
      <w:r w:rsidRPr="00613791">
        <w:rPr>
          <w:rFonts w:cs="Times New Roman"/>
          <w:szCs w:val="26"/>
        </w:rPr>
        <w:t xml:space="preserve"> “</w:t>
      </w:r>
      <w:r>
        <w:rPr>
          <w:rFonts w:cs="Times New Roman"/>
          <w:szCs w:val="26"/>
        </w:rPr>
        <w:t>[t]</w:t>
      </w:r>
      <w:r w:rsidRPr="002A207E">
        <w:rPr>
          <w:rFonts w:cs="Times New Roman"/>
          <w:szCs w:val="26"/>
        </w:rPr>
        <w:t xml:space="preserve">he promotion of the sale of fresh grapes for human consumption by means of advertising, dissemination of information on the manner and means of production, and the care and effort required in </w:t>
      </w:r>
      <w:r w:rsidRPr="002A207E">
        <w:rPr>
          <w:rFonts w:cs="Times New Roman"/>
          <w:szCs w:val="26"/>
        </w:rPr>
        <w:t>the production of such grapes, the methods and care required in preparing and transporting such grapes to market, and the handling of the same in consuming markets</w:t>
      </w:r>
      <w:r w:rsidRPr="00613791">
        <w:rPr>
          <w:rFonts w:cs="Times New Roman"/>
          <w:szCs w:val="26"/>
        </w:rPr>
        <w:t xml:space="preserve">, research respecting the health, food and dietetic value of California fresh grapes and the production, handling, transportation and marketing thereof, the dissemination of information respecting the results of such research, instruction of the wholesale and retail trade with respect to handling thereof, and the education and instruction of the general public with reference to the various varieties of California fresh grapes for human consumption, the time to use and consume each variety and the uses to which each variety should be put, the dietetic and health value thereof, all serve to increase the consumption thereof and to expand existing markets and create new markets for fresh grapes, and prevent agricultural waste, and </w:t>
      </w:r>
      <w:r w:rsidRPr="002A207E">
        <w:rPr>
          <w:rFonts w:cs="Times New Roman"/>
          <w:szCs w:val="26"/>
        </w:rPr>
        <w:t>[</w:t>
      </w:r>
      <w:r>
        <w:rPr>
          <w:rFonts w:cs="Times New Roman"/>
          <w:szCs w:val="26"/>
        </w:rPr>
        <w:t>are</w:t>
      </w:r>
      <w:r w:rsidRPr="002A207E">
        <w:rPr>
          <w:rFonts w:cs="Times New Roman"/>
          <w:szCs w:val="26"/>
        </w:rPr>
        <w:t>] therefore in the interests of the welfare, public economy and health of the people of this state</w:t>
      </w:r>
      <w:r w:rsidRPr="00613791">
        <w:rPr>
          <w:rFonts w:cs="Times New Roman"/>
          <w:szCs w:val="26"/>
        </w:rPr>
        <w:t>” (§</w:t>
      </w:r>
      <w:r>
        <w:rPr>
          <w:rFonts w:cs="Times New Roman"/>
          <w:szCs w:val="26"/>
        </w:rPr>
        <w:t xml:space="preserve"> 65500, subd. </w:t>
      </w:r>
      <w:r w:rsidRPr="00613791">
        <w:rPr>
          <w:rFonts w:cs="Times New Roman"/>
          <w:szCs w:val="26"/>
        </w:rPr>
        <w:t>(f)); “</w:t>
      </w:r>
      <w:r>
        <w:rPr>
          <w:rFonts w:cs="Times New Roman"/>
          <w:szCs w:val="26"/>
        </w:rPr>
        <w:t>[i]</w:t>
      </w:r>
      <w:r w:rsidRPr="00613791">
        <w:rPr>
          <w:rFonts w:cs="Times New Roman"/>
          <w:szCs w:val="26"/>
        </w:rPr>
        <w:t>t is hereby declared to be the policy of this state to aid producers of California fresh grapes in preventing economic waste in the marketing of their commodity, to develop more efficient and equitable methods in such marketing, and to aid such producers in restoring and maintaining their purchasing power at a more adequate, equitable and reasonable level” (</w:t>
      </w:r>
      <w:r w:rsidRPr="00613791">
        <w:rPr>
          <w:rFonts w:cs="Times New Roman"/>
          <w:i/>
          <w:szCs w:val="26"/>
        </w:rPr>
        <w:t>id</w:t>
      </w:r>
      <w:r>
        <w:rPr>
          <w:rFonts w:cs="Times New Roman"/>
          <w:szCs w:val="26"/>
        </w:rPr>
        <w:t>., subd. </w:t>
      </w:r>
      <w:r w:rsidRPr="00613791">
        <w:rPr>
          <w:rFonts w:cs="Times New Roman"/>
          <w:szCs w:val="26"/>
        </w:rPr>
        <w:t>(g))</w:t>
      </w:r>
      <w:r>
        <w:rPr>
          <w:rFonts w:cs="Times New Roman"/>
          <w:szCs w:val="26"/>
        </w:rPr>
        <w:t>; and “[t]</w:t>
      </w:r>
      <w:r w:rsidRPr="00D228A7">
        <w:rPr>
          <w:rFonts w:cs="Times New Roman"/>
          <w:szCs w:val="26"/>
        </w:rPr>
        <w:t>he production and marketing of grapes produced in California for fresh human consumption is declared to be affected with a public interest;  the provisions of this chapter are enacted in the exercise of the police power of this state for the purpose of protecting the health, peace, safety and general welf</w:t>
      </w:r>
      <w:r>
        <w:rPr>
          <w:rFonts w:cs="Times New Roman"/>
          <w:szCs w:val="26"/>
        </w:rPr>
        <w:t>are of the people of this state”  (</w:t>
      </w:r>
      <w:r w:rsidRPr="00D228A7">
        <w:rPr>
          <w:rFonts w:cs="Times New Roman"/>
          <w:i/>
          <w:szCs w:val="26"/>
        </w:rPr>
        <w:t>id</w:t>
      </w:r>
      <w:r>
        <w:rPr>
          <w:rFonts w:cs="Times New Roman"/>
          <w:szCs w:val="26"/>
        </w:rPr>
        <w:t xml:space="preserve">., subd. (h)).  </w:t>
      </w:r>
      <w:r w:rsidRPr="00613791">
        <w:rPr>
          <w:rFonts w:cs="Times New Roman"/>
          <w:szCs w:val="26"/>
        </w:rPr>
        <w:t xml:space="preserve"> </w:t>
      </w:r>
    </w:p>
    <w:p w:rsidR="004C7DCB" w:rsidRPr="004C7DCB" w:rsidP="007E2447">
      <w:pPr>
        <w:keepNext/>
        <w:tabs>
          <w:tab w:val="left" w:pos="1440"/>
        </w:tabs>
        <w:spacing w:after="0" w:line="480" w:lineRule="exact"/>
        <w:ind w:left="1440" w:hanging="360"/>
        <w:rPr>
          <w:rFonts w:cs="Times New Roman"/>
          <w:i/>
          <w:szCs w:val="26"/>
        </w:rPr>
      </w:pPr>
      <w:r w:rsidRPr="004C7DCB">
        <w:rPr>
          <w:rFonts w:cs="Times New Roman"/>
          <w:i/>
          <w:szCs w:val="26"/>
        </w:rPr>
        <w:t xml:space="preserve">2. </w:t>
      </w:r>
      <w:r>
        <w:rPr>
          <w:rFonts w:cs="Times New Roman"/>
          <w:i/>
          <w:szCs w:val="26"/>
        </w:rPr>
        <w:tab/>
      </w:r>
      <w:r w:rsidRPr="004C7DCB">
        <w:rPr>
          <w:rFonts w:cs="Times New Roman"/>
          <w:i/>
          <w:szCs w:val="26"/>
        </w:rPr>
        <w:t>The California Table Grape Commission</w:t>
      </w:r>
    </w:p>
    <w:p w:rsidR="00EA3742" w:rsidP="00613791">
      <w:pPr>
        <w:spacing w:after="0" w:line="480" w:lineRule="exact"/>
        <w:ind w:firstLine="720"/>
        <w:rPr>
          <w:rFonts w:cs="Times New Roman"/>
          <w:szCs w:val="26"/>
        </w:rPr>
      </w:pPr>
      <w:r>
        <w:rPr>
          <w:rFonts w:cs="Times New Roman"/>
          <w:szCs w:val="26"/>
        </w:rPr>
        <w:t>T</w:t>
      </w:r>
      <w:r w:rsidRPr="00613791">
        <w:rPr>
          <w:rFonts w:cs="Times New Roman"/>
          <w:szCs w:val="26"/>
        </w:rPr>
        <w:t xml:space="preserve">he Act </w:t>
      </w:r>
      <w:r>
        <w:rPr>
          <w:rFonts w:cs="Times New Roman"/>
          <w:szCs w:val="26"/>
        </w:rPr>
        <w:t>created</w:t>
      </w:r>
      <w:r w:rsidRPr="00613791">
        <w:rPr>
          <w:rFonts w:cs="Times New Roman"/>
          <w:szCs w:val="26"/>
        </w:rPr>
        <w:t xml:space="preserve"> the </w:t>
      </w:r>
      <w:r>
        <w:rPr>
          <w:rFonts w:cs="Times New Roman"/>
          <w:szCs w:val="26"/>
        </w:rPr>
        <w:t xml:space="preserve">California Table Grape </w:t>
      </w:r>
      <w:r w:rsidRPr="00613791">
        <w:rPr>
          <w:rFonts w:cs="Times New Roman"/>
          <w:szCs w:val="26"/>
        </w:rPr>
        <w:t>Commission</w:t>
      </w:r>
      <w:r>
        <w:rPr>
          <w:rFonts w:cs="Times New Roman"/>
          <w:szCs w:val="26"/>
        </w:rPr>
        <w:t xml:space="preserve"> to effectuate the policies set forth in the statute’s findings</w:t>
      </w:r>
      <w:r w:rsidRPr="00613791">
        <w:rPr>
          <w:rFonts w:cs="Times New Roman"/>
          <w:szCs w:val="26"/>
        </w:rPr>
        <w:t>.</w:t>
      </w:r>
      <w:r>
        <w:rPr>
          <w:rFonts w:cs="Times New Roman"/>
          <w:szCs w:val="26"/>
        </w:rPr>
        <w:t xml:space="preserve"> </w:t>
      </w:r>
      <w:r w:rsidRPr="009F7E7C">
        <w:rPr>
          <w:rFonts w:cs="Times New Roman"/>
          <w:b/>
          <w:szCs w:val="26"/>
        </w:rPr>
        <w:t xml:space="preserve"> </w:t>
      </w:r>
      <w:r w:rsidRPr="00613791">
        <w:rPr>
          <w:rFonts w:cs="Times New Roman"/>
          <w:szCs w:val="26"/>
        </w:rPr>
        <w:t>(§ 65550.)</w:t>
      </w:r>
      <w:r>
        <w:rPr>
          <w:rStyle w:val="FootnoteReference"/>
          <w:rFonts w:cs="Times New Roman"/>
          <w:b/>
          <w:szCs w:val="26"/>
        </w:rPr>
        <w:footnoteReference w:id="5"/>
      </w:r>
      <w:r w:rsidRPr="00613791">
        <w:rPr>
          <w:rFonts w:cs="Times New Roman"/>
          <w:szCs w:val="26"/>
        </w:rPr>
        <w:t xml:space="preserve">  </w:t>
      </w:r>
      <w:r>
        <w:rPr>
          <w:rFonts w:cs="Times New Roman"/>
          <w:szCs w:val="26"/>
        </w:rPr>
        <w:t>The</w:t>
      </w:r>
      <w:r w:rsidRPr="00613791">
        <w:rPr>
          <w:rFonts w:cs="Times New Roman"/>
          <w:szCs w:val="26"/>
        </w:rPr>
        <w:t xml:space="preserve"> Commission is a </w:t>
      </w:r>
      <w:r>
        <w:rPr>
          <w:rFonts w:cs="Times New Roman"/>
          <w:szCs w:val="26"/>
        </w:rPr>
        <w:t>public</w:t>
      </w:r>
      <w:r w:rsidRPr="00613791">
        <w:rPr>
          <w:rFonts w:cs="Times New Roman"/>
          <w:szCs w:val="26"/>
        </w:rPr>
        <w:t xml:space="preserve"> </w:t>
      </w:r>
      <w:r>
        <w:rPr>
          <w:rFonts w:cs="Times New Roman"/>
          <w:szCs w:val="26"/>
        </w:rPr>
        <w:t>corporation</w:t>
      </w:r>
      <w:r w:rsidRPr="00613791">
        <w:rPr>
          <w:rFonts w:cs="Times New Roman"/>
          <w:szCs w:val="26"/>
        </w:rPr>
        <w:t xml:space="preserve">.  (§ 65551.)  </w:t>
      </w:r>
      <w:r>
        <w:rPr>
          <w:rFonts w:cs="Times New Roman"/>
          <w:szCs w:val="26"/>
        </w:rPr>
        <w:t>Its</w:t>
      </w:r>
      <w:r w:rsidRPr="00613791">
        <w:rPr>
          <w:rFonts w:cs="Times New Roman"/>
          <w:szCs w:val="26"/>
        </w:rPr>
        <w:t xml:space="preserve"> membership consists of three producers</w:t>
      </w:r>
      <w:r>
        <w:rPr>
          <w:rFonts w:cs="Times New Roman"/>
          <w:szCs w:val="26"/>
        </w:rPr>
        <w:t xml:space="preserve"> </w:t>
      </w:r>
      <w:r w:rsidRPr="00613791">
        <w:rPr>
          <w:rFonts w:cs="Times New Roman"/>
          <w:szCs w:val="26"/>
        </w:rPr>
        <w:t>from each of the state’s</w:t>
      </w:r>
      <w:r>
        <w:rPr>
          <w:rFonts w:cs="Times New Roman"/>
          <w:szCs w:val="26"/>
        </w:rPr>
        <w:t xml:space="preserve"> six operational</w:t>
      </w:r>
      <w:r w:rsidRPr="00613791">
        <w:rPr>
          <w:rFonts w:cs="Times New Roman"/>
          <w:szCs w:val="26"/>
        </w:rPr>
        <w:t xml:space="preserve"> </w:t>
      </w:r>
      <w:r>
        <w:rPr>
          <w:rFonts w:cs="Times New Roman"/>
          <w:szCs w:val="26"/>
        </w:rPr>
        <w:t xml:space="preserve">fresh grape </w:t>
      </w:r>
      <w:r w:rsidRPr="00613791">
        <w:rPr>
          <w:rFonts w:cs="Times New Roman"/>
          <w:szCs w:val="26"/>
        </w:rPr>
        <w:t xml:space="preserve">growing districts (§§ 65533, 65550, 65554), as well as one “public” member </w:t>
      </w:r>
      <w:r>
        <w:rPr>
          <w:rFonts w:cs="Times New Roman"/>
          <w:szCs w:val="26"/>
        </w:rPr>
        <w:t>not</w:t>
      </w:r>
      <w:r w:rsidRPr="00613791">
        <w:rPr>
          <w:rFonts w:cs="Times New Roman"/>
          <w:szCs w:val="26"/>
        </w:rPr>
        <w:t xml:space="preserve"> engaged in the production, shipment, or processing of fresh grap</w:t>
      </w:r>
      <w:r>
        <w:rPr>
          <w:rFonts w:cs="Times New Roman"/>
          <w:szCs w:val="26"/>
        </w:rPr>
        <w:t xml:space="preserve">es in this state (§ 65575.1).  The Legislature has determined that the commissioners drawn from the state’s producers “are intended to represent and further the interest of a particular agricultural industry concerned, </w:t>
      </w:r>
      <w:r w:rsidRPr="00F7689F">
        <w:rPr>
          <w:rFonts w:cs="Times New Roman"/>
          <w:szCs w:val="26"/>
        </w:rPr>
        <w:t>and</w:t>
      </w:r>
      <w:r>
        <w:rPr>
          <w:rFonts w:cs="Times New Roman"/>
          <w:szCs w:val="26"/>
        </w:rPr>
        <w:t xml:space="preserve"> that such representation and furtherance is intended to serve the public interest.”  (§ 65576.)  The public member “</w:t>
      </w:r>
      <w:r w:rsidRPr="00F7689F">
        <w:rPr>
          <w:rFonts w:cs="Times New Roman"/>
          <w:szCs w:val="26"/>
        </w:rPr>
        <w:t>shall represent the interests of the general public in all matters coming before the commission</w:t>
      </w:r>
      <w:r>
        <w:rPr>
          <w:rFonts w:cs="Times New Roman"/>
          <w:szCs w:val="26"/>
        </w:rPr>
        <w:t xml:space="preserve">.”  (§ 65575.2.)  </w:t>
      </w:r>
    </w:p>
    <w:p w:rsidR="00FE6128" w:rsidP="00613791">
      <w:pPr>
        <w:spacing w:after="0" w:line="480" w:lineRule="exact"/>
        <w:ind w:firstLine="720"/>
        <w:rPr>
          <w:rFonts w:cs="Times New Roman"/>
          <w:szCs w:val="26"/>
        </w:rPr>
      </w:pPr>
      <w:r w:rsidRPr="00613791">
        <w:rPr>
          <w:rFonts w:cs="Times New Roman"/>
          <w:szCs w:val="26"/>
        </w:rPr>
        <w:t xml:space="preserve">After the Commission’s inception and initial elections, producers have been selected for service on the Commission through a two-part process.  First, each year each district conducts an election in which the district’s qualified grape producers cast votes.  (§ 65556.) </w:t>
      </w:r>
      <w:r>
        <w:rPr>
          <w:rFonts w:cs="Times New Roman"/>
          <w:szCs w:val="26"/>
        </w:rPr>
        <w:t xml:space="preserve"> </w:t>
      </w:r>
      <w:r w:rsidRPr="00613791">
        <w:rPr>
          <w:rFonts w:cs="Times New Roman"/>
          <w:szCs w:val="26"/>
        </w:rPr>
        <w:t xml:space="preserve">The </w:t>
      </w:r>
      <w:r>
        <w:rPr>
          <w:rFonts w:cs="Times New Roman"/>
          <w:szCs w:val="26"/>
        </w:rPr>
        <w:t xml:space="preserve">Secretary </w:t>
      </w:r>
      <w:r w:rsidRPr="00E35AF8">
        <w:rPr>
          <w:rFonts w:cs="Times New Roman"/>
          <w:szCs w:val="26"/>
        </w:rPr>
        <w:t xml:space="preserve">of the </w:t>
      </w:r>
      <w:r>
        <w:rPr>
          <w:rFonts w:cs="Times New Roman"/>
          <w:szCs w:val="26"/>
        </w:rPr>
        <w:t>Department of Food and Agriculture then</w:t>
      </w:r>
      <w:r w:rsidRPr="00613791">
        <w:rPr>
          <w:rFonts w:cs="Times New Roman"/>
          <w:szCs w:val="26"/>
        </w:rPr>
        <w:t xml:space="preserve"> tabulates these votes, identifies the two leading vote-getters, </w:t>
      </w:r>
      <w:r>
        <w:rPr>
          <w:rFonts w:cs="Times New Roman"/>
          <w:szCs w:val="26"/>
        </w:rPr>
        <w:t>and</w:t>
      </w:r>
      <w:r w:rsidRPr="00613791">
        <w:rPr>
          <w:rFonts w:cs="Times New Roman"/>
          <w:szCs w:val="26"/>
        </w:rPr>
        <w:t xml:space="preserve"> appoints one of these two nominees as </w:t>
      </w:r>
      <w:r>
        <w:rPr>
          <w:rFonts w:cs="Times New Roman"/>
          <w:szCs w:val="26"/>
        </w:rPr>
        <w:t>a member of the Commission.  (§ </w:t>
      </w:r>
      <w:r w:rsidRPr="00613791">
        <w:rPr>
          <w:rFonts w:cs="Times New Roman"/>
          <w:szCs w:val="26"/>
        </w:rPr>
        <w:t xml:space="preserve">65563.)  </w:t>
      </w:r>
      <w:r>
        <w:rPr>
          <w:rFonts w:cs="Times New Roman"/>
          <w:szCs w:val="26"/>
        </w:rPr>
        <w:t>The public member of the commission, meanwhile, is selected by the Secretary from a list of three nominees proposed by the Commission.  (§ 65575.1.)  If the Secretary disapproves of all nominees for the public member position, “the [C]</w:t>
      </w:r>
      <w:r w:rsidRPr="0081321B">
        <w:rPr>
          <w:rFonts w:cs="Times New Roman"/>
          <w:szCs w:val="26"/>
        </w:rPr>
        <w:t xml:space="preserve">ommission shall continue to submit lists of nominees until the </w:t>
      </w:r>
      <w:r>
        <w:rPr>
          <w:rFonts w:cs="Times New Roman"/>
          <w:szCs w:val="26"/>
        </w:rPr>
        <w:t>[Secretary]</w:t>
      </w:r>
      <w:r w:rsidRPr="0081321B">
        <w:rPr>
          <w:rFonts w:cs="Times New Roman"/>
          <w:szCs w:val="26"/>
        </w:rPr>
        <w:t xml:space="preserve"> has made a selection</w:t>
      </w:r>
      <w:r>
        <w:rPr>
          <w:rFonts w:cs="Times New Roman"/>
          <w:szCs w:val="26"/>
        </w:rPr>
        <w:t>.”  (</w:t>
      </w:r>
      <w:r w:rsidRPr="0081321B">
        <w:rPr>
          <w:rFonts w:cs="Times New Roman"/>
          <w:i/>
          <w:szCs w:val="26"/>
        </w:rPr>
        <w:t>Ibid</w:t>
      </w:r>
      <w:r>
        <w:rPr>
          <w:rFonts w:cs="Times New Roman"/>
          <w:szCs w:val="26"/>
        </w:rPr>
        <w:t xml:space="preserve">.)  </w:t>
      </w:r>
      <w:r w:rsidRPr="00613791">
        <w:rPr>
          <w:rFonts w:cs="Times New Roman"/>
          <w:szCs w:val="26"/>
        </w:rPr>
        <w:t>Each commissioner serves a three-year term</w:t>
      </w:r>
      <w:r>
        <w:rPr>
          <w:rFonts w:cs="Times New Roman"/>
          <w:szCs w:val="26"/>
        </w:rPr>
        <w:t xml:space="preserve">.  (§ 65555.)  </w:t>
      </w:r>
    </w:p>
    <w:p w:rsidR="004C7DCB" w:rsidRPr="004C7DCB" w:rsidP="00B13796">
      <w:pPr>
        <w:keepNext/>
        <w:keepLines/>
        <w:spacing w:after="0" w:line="480" w:lineRule="exact"/>
        <w:ind w:left="1440" w:hanging="360"/>
        <w:rPr>
          <w:rFonts w:cs="Times New Roman"/>
          <w:i/>
          <w:szCs w:val="26"/>
        </w:rPr>
      </w:pPr>
      <w:r w:rsidRPr="004C7DCB">
        <w:rPr>
          <w:rFonts w:cs="Times New Roman"/>
          <w:i/>
          <w:szCs w:val="26"/>
        </w:rPr>
        <w:t xml:space="preserve">3.  </w:t>
      </w:r>
      <w:r>
        <w:rPr>
          <w:rFonts w:cs="Times New Roman"/>
          <w:i/>
          <w:szCs w:val="26"/>
        </w:rPr>
        <w:tab/>
      </w:r>
      <w:r w:rsidRPr="004C7DCB">
        <w:rPr>
          <w:rFonts w:cs="Times New Roman"/>
          <w:i/>
          <w:szCs w:val="26"/>
        </w:rPr>
        <w:t>The Commission’s Powers and Duties</w:t>
      </w:r>
    </w:p>
    <w:p w:rsidR="00E35AF8" w:rsidRPr="00613791" w:rsidP="00613791">
      <w:pPr>
        <w:spacing w:after="0" w:line="480" w:lineRule="exact"/>
        <w:ind w:firstLine="720"/>
        <w:rPr>
          <w:rFonts w:cs="Times New Roman"/>
          <w:szCs w:val="26"/>
        </w:rPr>
      </w:pPr>
      <w:r>
        <w:rPr>
          <w:rFonts w:cs="Times New Roman"/>
          <w:szCs w:val="26"/>
        </w:rPr>
        <w:t>The Ketchum Act confers upon the Commission “powers and duties” (§ 65572) that include responsibility to</w:t>
      </w:r>
      <w:r w:rsidRPr="00613791">
        <w:rPr>
          <w:rFonts w:cs="Times New Roman"/>
          <w:szCs w:val="26"/>
        </w:rPr>
        <w:t xml:space="preserve"> “administer and enforce [the Act], and to do and perform all acts and exercise all powers incidental to or in connection with or deemed reasonably necessary, proper or advisable to effectuate the purpose</w:t>
      </w:r>
      <w:r>
        <w:rPr>
          <w:rFonts w:cs="Times New Roman"/>
          <w:szCs w:val="26"/>
        </w:rPr>
        <w:t>s</w:t>
      </w:r>
      <w:r w:rsidRPr="00613791">
        <w:rPr>
          <w:rFonts w:cs="Times New Roman"/>
          <w:szCs w:val="26"/>
        </w:rPr>
        <w:t xml:space="preserve"> of” t</w:t>
      </w:r>
      <w:r>
        <w:rPr>
          <w:rFonts w:cs="Times New Roman"/>
          <w:szCs w:val="26"/>
        </w:rPr>
        <w:t>he Act.  (§ 65572, subd. (c).)  The Commission may hire officers and other personnel to assist with these responsibilities.  (</w:t>
      </w:r>
      <w:r w:rsidRPr="0051325F">
        <w:rPr>
          <w:rFonts w:cs="Times New Roman"/>
          <w:i/>
          <w:szCs w:val="26"/>
        </w:rPr>
        <w:t>Id</w:t>
      </w:r>
      <w:r>
        <w:rPr>
          <w:rFonts w:cs="Times New Roman"/>
          <w:szCs w:val="26"/>
        </w:rPr>
        <w:t>., subd. (d).)</w:t>
      </w:r>
      <w:r>
        <w:rPr>
          <w:rStyle w:val="FootnoteReference"/>
          <w:rFonts w:cs="Times New Roman"/>
          <w:b/>
          <w:szCs w:val="26"/>
        </w:rPr>
        <w:footnoteReference w:id="6"/>
      </w:r>
      <w:r w:rsidRPr="006F2CA7">
        <w:rPr>
          <w:rFonts w:cs="Times New Roman"/>
          <w:szCs w:val="26"/>
        </w:rPr>
        <w:t xml:space="preserve"> </w:t>
      </w:r>
      <w:r>
        <w:rPr>
          <w:rFonts w:cs="Times New Roman"/>
          <w:szCs w:val="26"/>
        </w:rPr>
        <w:t xml:space="preserve"> </w:t>
      </w:r>
      <w:r w:rsidRPr="00613791">
        <w:rPr>
          <w:rFonts w:cs="Times New Roman"/>
          <w:szCs w:val="26"/>
        </w:rPr>
        <w:t xml:space="preserve">The Act specifically vests the Commission with </w:t>
      </w:r>
      <w:r>
        <w:rPr>
          <w:rFonts w:cs="Times New Roman"/>
          <w:szCs w:val="26"/>
        </w:rPr>
        <w:t>the “power[] and dut[y] . . . [</w:t>
      </w:r>
      <w:r>
        <w:rPr>
          <w:rFonts w:eastAsia="Times New Roman" w:cs="Times New Roman"/>
          <w:color w:val="212121"/>
          <w:szCs w:val="26"/>
        </w:rPr>
        <w:t>¶</w:t>
      </w:r>
      <w:r>
        <w:rPr>
          <w:rFonts w:cs="Times New Roman"/>
          <w:szCs w:val="26"/>
        </w:rPr>
        <w:t>] . . . [</w:t>
      </w:r>
      <w:r>
        <w:rPr>
          <w:rFonts w:eastAsia="Times New Roman" w:cs="Times New Roman"/>
          <w:color w:val="212121"/>
          <w:szCs w:val="26"/>
        </w:rPr>
        <w:t>¶</w:t>
      </w:r>
      <w:r>
        <w:rPr>
          <w:rFonts w:cs="Times New Roman"/>
          <w:szCs w:val="26"/>
        </w:rPr>
        <w:t>] . . . [</w:t>
      </w:r>
      <w:r w:rsidRPr="00613791">
        <w:rPr>
          <w:rFonts w:cs="Times New Roman"/>
          <w:szCs w:val="26"/>
        </w:rPr>
        <w:t>t</w:t>
      </w:r>
      <w:r>
        <w:rPr>
          <w:rFonts w:cs="Times New Roman"/>
          <w:szCs w:val="26"/>
        </w:rPr>
        <w:t>]</w:t>
      </w:r>
      <w:r w:rsidRPr="00613791">
        <w:rPr>
          <w:rFonts w:cs="Times New Roman"/>
          <w:szCs w:val="26"/>
        </w:rPr>
        <w:t xml:space="preserve">o promote the sale of fresh grapes by advertising and other similar means for the purpose of maintaining and expanding present markets and creating new and larger intrastate, interstate, and foreign markets for fresh grapes; to educate and instruct the public with respect to fresh grapes; and the uses and time to use the several varieties, and the healthful properties and dietetic value of </w:t>
      </w:r>
      <w:r>
        <w:rPr>
          <w:rFonts w:cs="Times New Roman"/>
          <w:szCs w:val="26"/>
        </w:rPr>
        <w:t>fresh grapes.”  (§ 65772, subd. </w:t>
      </w:r>
      <w:r w:rsidRPr="00613791">
        <w:rPr>
          <w:rFonts w:cs="Times New Roman"/>
          <w:szCs w:val="26"/>
        </w:rPr>
        <w:t xml:space="preserve">(h).)  </w:t>
      </w:r>
      <w:r>
        <w:rPr>
          <w:rFonts w:cs="Times New Roman"/>
          <w:szCs w:val="26"/>
        </w:rPr>
        <w:t>I</w:t>
      </w:r>
      <w:r w:rsidRPr="00613791">
        <w:rPr>
          <w:rFonts w:cs="Times New Roman"/>
          <w:szCs w:val="26"/>
        </w:rPr>
        <w:t>n the Commission’s discretion</w:t>
      </w:r>
      <w:r>
        <w:rPr>
          <w:rFonts w:cs="Times New Roman"/>
          <w:szCs w:val="26"/>
        </w:rPr>
        <w:t>,</w:t>
      </w:r>
      <w:r w:rsidRPr="00613791">
        <w:rPr>
          <w:rFonts w:cs="Times New Roman"/>
          <w:szCs w:val="26"/>
        </w:rPr>
        <w:t xml:space="preserve"> it </w:t>
      </w:r>
      <w:r>
        <w:rPr>
          <w:rFonts w:cs="Times New Roman"/>
          <w:szCs w:val="26"/>
        </w:rPr>
        <w:t xml:space="preserve">also </w:t>
      </w:r>
      <w:r w:rsidRPr="00613791">
        <w:rPr>
          <w:rFonts w:cs="Times New Roman"/>
          <w:szCs w:val="26"/>
        </w:rPr>
        <w:t>may “educate and instruct the wholesale and retail trade with respect to proper methods of handling and selling fresh grapes;</w:t>
      </w:r>
      <w:r w:rsidRPr="00613791">
        <w:rPr>
          <w:szCs w:val="26"/>
        </w:rPr>
        <w:t> </w:t>
      </w:r>
      <w:r w:rsidRPr="00613791">
        <w:rPr>
          <w:rFonts w:cs="Times New Roman"/>
          <w:szCs w:val="26"/>
        </w:rPr>
        <w:t>. . . arrange for the performance of dealer service work providing display and other promotional materials; . . .  make m</w:t>
      </w:r>
      <w:r>
        <w:rPr>
          <w:rFonts w:cs="Times New Roman"/>
          <w:szCs w:val="26"/>
        </w:rPr>
        <w:t>arket surveys and analyses; and . . .</w:t>
      </w:r>
      <w:r w:rsidRPr="00613791">
        <w:rPr>
          <w:rFonts w:cs="Times New Roman"/>
          <w:szCs w:val="26"/>
        </w:rPr>
        <w:t xml:space="preserve"> present facts to and negotiate with state, federal and foreign agencies on matters which affect the marketing and distribution of fresh grapes; and . . . undertake any other similar activities which the [C]ommission may determine appropriate for the maintenance and expansion of present markets and the creation of new and larger markets for fresh grapes.”  (</w:t>
      </w:r>
      <w:r w:rsidRPr="00613791">
        <w:rPr>
          <w:rFonts w:cs="Times New Roman"/>
          <w:i/>
          <w:szCs w:val="26"/>
        </w:rPr>
        <w:t>Id</w:t>
      </w:r>
      <w:r>
        <w:rPr>
          <w:rFonts w:cs="Times New Roman"/>
          <w:szCs w:val="26"/>
        </w:rPr>
        <w:t>., subd. </w:t>
      </w:r>
      <w:r w:rsidRPr="00613791">
        <w:rPr>
          <w:rFonts w:cs="Times New Roman"/>
          <w:szCs w:val="26"/>
        </w:rPr>
        <w:t xml:space="preserve">(i).)  The Commission also </w:t>
      </w:r>
      <w:r>
        <w:rPr>
          <w:rFonts w:cs="Times New Roman"/>
          <w:szCs w:val="26"/>
        </w:rPr>
        <w:t>is authorized to</w:t>
      </w:r>
      <w:r w:rsidRPr="00613791">
        <w:rPr>
          <w:rFonts w:cs="Times New Roman"/>
          <w:szCs w:val="26"/>
        </w:rPr>
        <w:t xml:space="preserve"> “conduct, and contract with others to conduct, scientific research . . . respecting the marketing and distribution of fresh grapes, the production, storage, refrigeration, inspection and transportation thereof, to develop and discover the dietetic value of fresh grapes and to develop and expand markets, and to improve cultural practices and product handling so that the various varieties may be placed in the hands of the ultimate consumer in the best possible condition.”  (</w:t>
      </w:r>
      <w:r w:rsidRPr="0051325F">
        <w:rPr>
          <w:rFonts w:cs="Times New Roman"/>
          <w:i/>
          <w:szCs w:val="26"/>
        </w:rPr>
        <w:t>Id</w:t>
      </w:r>
      <w:r>
        <w:rPr>
          <w:rFonts w:cs="Times New Roman"/>
          <w:szCs w:val="26"/>
        </w:rPr>
        <w:t>., subd. </w:t>
      </w:r>
      <w:r w:rsidRPr="00613791">
        <w:rPr>
          <w:rFonts w:cs="Times New Roman"/>
          <w:szCs w:val="26"/>
        </w:rPr>
        <w:t xml:space="preserve">(k).) </w:t>
      </w:r>
      <w:r>
        <w:rPr>
          <w:rFonts w:cs="Times New Roman"/>
          <w:szCs w:val="26"/>
        </w:rPr>
        <w:t xml:space="preserve"> </w:t>
      </w:r>
      <w:r w:rsidRPr="00613791">
        <w:rPr>
          <w:rFonts w:cs="Times New Roman"/>
          <w:szCs w:val="26"/>
        </w:rPr>
        <w:t>These and other provisions of the Act are to be “liberally construed.”</w:t>
      </w:r>
      <w:r>
        <w:rPr>
          <w:rFonts w:cs="Times New Roman"/>
          <w:szCs w:val="26"/>
        </w:rPr>
        <w:t xml:space="preserve"> </w:t>
      </w:r>
      <w:r w:rsidRPr="00613791">
        <w:rPr>
          <w:rFonts w:cs="Times New Roman"/>
          <w:szCs w:val="26"/>
        </w:rPr>
        <w:t xml:space="preserve"> (§ 65674.)</w:t>
      </w:r>
    </w:p>
    <w:p w:rsidR="00E35AF8" w:rsidRPr="00613791" w:rsidP="00613791">
      <w:pPr>
        <w:spacing w:after="0" w:line="480" w:lineRule="exact"/>
        <w:ind w:firstLine="720"/>
        <w:rPr>
          <w:rFonts w:cs="Times New Roman"/>
          <w:szCs w:val="26"/>
        </w:rPr>
      </w:pPr>
      <w:r w:rsidRPr="00613791">
        <w:rPr>
          <w:rFonts w:cs="Times New Roman"/>
          <w:szCs w:val="26"/>
        </w:rPr>
        <w:t xml:space="preserve">To </w:t>
      </w:r>
      <w:r>
        <w:rPr>
          <w:rFonts w:cs="Times New Roman"/>
          <w:szCs w:val="26"/>
        </w:rPr>
        <w:t>pay for</w:t>
      </w:r>
      <w:r w:rsidRPr="00613791">
        <w:rPr>
          <w:rFonts w:cs="Times New Roman"/>
          <w:szCs w:val="26"/>
        </w:rPr>
        <w:t xml:space="preserve"> the Commission’s activities, the Act authorizes an assessment on </w:t>
      </w:r>
      <w:r>
        <w:rPr>
          <w:rFonts w:cs="Times New Roman"/>
          <w:szCs w:val="26"/>
        </w:rPr>
        <w:t xml:space="preserve">shipments of </w:t>
      </w:r>
      <w:r w:rsidRPr="00613791">
        <w:rPr>
          <w:rFonts w:cs="Times New Roman"/>
          <w:szCs w:val="26"/>
        </w:rPr>
        <w:t>fresh grapes</w:t>
      </w:r>
      <w:r>
        <w:rPr>
          <w:rFonts w:cs="Times New Roman"/>
          <w:szCs w:val="26"/>
        </w:rPr>
        <w:t>.  This assessment is</w:t>
      </w:r>
      <w:r w:rsidRPr="00613791">
        <w:rPr>
          <w:rFonts w:cs="Times New Roman"/>
          <w:szCs w:val="26"/>
        </w:rPr>
        <w:t xml:space="preserve"> </w:t>
      </w:r>
      <w:r>
        <w:rPr>
          <w:rFonts w:cs="Times New Roman"/>
          <w:szCs w:val="26"/>
        </w:rPr>
        <w:t>set annually</w:t>
      </w:r>
      <w:r w:rsidRPr="00613791">
        <w:rPr>
          <w:rFonts w:cs="Times New Roman"/>
          <w:szCs w:val="26"/>
        </w:rPr>
        <w:t xml:space="preserve"> by the Commission</w:t>
      </w:r>
      <w:r>
        <w:rPr>
          <w:rFonts w:cs="Times New Roman"/>
          <w:szCs w:val="26"/>
        </w:rPr>
        <w:t>, but by statute may not</w:t>
      </w:r>
      <w:r w:rsidRPr="00613791">
        <w:rPr>
          <w:rFonts w:cs="Times New Roman"/>
          <w:szCs w:val="26"/>
        </w:rPr>
        <w:t xml:space="preserve"> exceed .6522 cents per pound</w:t>
      </w:r>
      <w:r>
        <w:rPr>
          <w:rFonts w:cs="Times New Roman"/>
          <w:szCs w:val="26"/>
        </w:rPr>
        <w:t xml:space="preserve"> of shipped grapes</w:t>
      </w:r>
      <w:r w:rsidRPr="00613791">
        <w:rPr>
          <w:rFonts w:cs="Times New Roman"/>
          <w:szCs w:val="26"/>
        </w:rPr>
        <w:t>.  (§§</w:t>
      </w:r>
      <w:r>
        <w:rPr>
          <w:rFonts w:cs="Times New Roman"/>
          <w:szCs w:val="26"/>
        </w:rPr>
        <w:t> </w:t>
      </w:r>
      <w:r w:rsidRPr="00613791">
        <w:rPr>
          <w:rFonts w:cs="Times New Roman"/>
          <w:szCs w:val="26"/>
        </w:rPr>
        <w:t>65572, subd. (</w:t>
      </w:r>
      <w:r w:rsidRPr="00AA2896">
        <w:rPr>
          <w:rFonts w:cs="Times New Roman"/>
          <w:i/>
          <w:szCs w:val="26"/>
        </w:rPr>
        <w:t>l</w:t>
      </w:r>
      <w:r w:rsidRPr="00613791">
        <w:rPr>
          <w:rFonts w:cs="Times New Roman"/>
          <w:szCs w:val="26"/>
        </w:rPr>
        <w:t>)</w:t>
      </w:r>
      <w:r>
        <w:rPr>
          <w:rFonts w:cs="Times New Roman"/>
          <w:szCs w:val="26"/>
        </w:rPr>
        <w:t>,</w:t>
      </w:r>
      <w:r w:rsidRPr="00613791">
        <w:rPr>
          <w:rFonts w:cs="Times New Roman"/>
          <w:szCs w:val="26"/>
        </w:rPr>
        <w:t xml:space="preserve"> 65600.)  These assessments are paid to the </w:t>
      </w:r>
      <w:r>
        <w:rPr>
          <w:rFonts w:cs="Times New Roman"/>
          <w:szCs w:val="26"/>
        </w:rPr>
        <w:t>C</w:t>
      </w:r>
      <w:r w:rsidRPr="00613791">
        <w:rPr>
          <w:rFonts w:cs="Times New Roman"/>
          <w:szCs w:val="26"/>
        </w:rPr>
        <w:t>ommission by shipper</w:t>
      </w:r>
      <w:r>
        <w:rPr>
          <w:rFonts w:cs="Times New Roman"/>
          <w:szCs w:val="26"/>
        </w:rPr>
        <w:t>s</w:t>
      </w:r>
      <w:r w:rsidRPr="00613791">
        <w:rPr>
          <w:rFonts w:cs="Times New Roman"/>
          <w:szCs w:val="26"/>
        </w:rPr>
        <w:t xml:space="preserve">, </w:t>
      </w:r>
      <w:r>
        <w:rPr>
          <w:rFonts w:cs="Times New Roman"/>
          <w:szCs w:val="26"/>
        </w:rPr>
        <w:t xml:space="preserve">each of which is in turn </w:t>
      </w:r>
      <w:r w:rsidRPr="00DE3DA5">
        <w:rPr>
          <w:rFonts w:cs="Times New Roman"/>
          <w:szCs w:val="26"/>
        </w:rPr>
        <w:t xml:space="preserve">authorized to collect </w:t>
      </w:r>
      <w:r>
        <w:rPr>
          <w:rFonts w:cs="Times New Roman"/>
          <w:szCs w:val="26"/>
        </w:rPr>
        <w:t>the assessments from</w:t>
      </w:r>
      <w:r w:rsidRPr="00DE3DA5">
        <w:rPr>
          <w:rFonts w:cs="Times New Roman"/>
          <w:szCs w:val="26"/>
        </w:rPr>
        <w:t xml:space="preserve"> </w:t>
      </w:r>
      <w:r>
        <w:rPr>
          <w:rFonts w:cs="Times New Roman"/>
          <w:szCs w:val="26"/>
        </w:rPr>
        <w:t xml:space="preserve">the responsible </w:t>
      </w:r>
      <w:r w:rsidRPr="00DE3DA5">
        <w:rPr>
          <w:rFonts w:cs="Times New Roman"/>
          <w:szCs w:val="26"/>
        </w:rPr>
        <w:t>producer</w:t>
      </w:r>
      <w:r>
        <w:rPr>
          <w:rFonts w:cs="Times New Roman"/>
          <w:szCs w:val="26"/>
        </w:rPr>
        <w:t>s</w:t>
      </w:r>
      <w:r w:rsidRPr="00613791">
        <w:rPr>
          <w:rFonts w:cs="Times New Roman"/>
          <w:szCs w:val="26"/>
        </w:rPr>
        <w:t>.  (§§</w:t>
      </w:r>
      <w:r>
        <w:rPr>
          <w:rFonts w:cs="Times New Roman"/>
          <w:szCs w:val="26"/>
        </w:rPr>
        <w:t> </w:t>
      </w:r>
      <w:r w:rsidRPr="00613791">
        <w:rPr>
          <w:rFonts w:cs="Times New Roman"/>
          <w:szCs w:val="26"/>
        </w:rPr>
        <w:t>65604, 65605.)  I</w:t>
      </w:r>
      <w:r>
        <w:rPr>
          <w:rFonts w:cs="Times New Roman"/>
          <w:szCs w:val="26"/>
        </w:rPr>
        <w:t>n the event of nonpayment of an</w:t>
      </w:r>
      <w:r w:rsidRPr="00613791">
        <w:rPr>
          <w:rFonts w:cs="Times New Roman"/>
          <w:szCs w:val="26"/>
        </w:rPr>
        <w:t xml:space="preserve"> assessment, or if the Commission believes a violation of the Act</w:t>
      </w:r>
      <w:r>
        <w:rPr>
          <w:rFonts w:cs="Times New Roman"/>
          <w:szCs w:val="26"/>
        </w:rPr>
        <w:t>,</w:t>
      </w:r>
      <w:r w:rsidRPr="00613791">
        <w:rPr>
          <w:rFonts w:cs="Times New Roman"/>
          <w:szCs w:val="26"/>
        </w:rPr>
        <w:t xml:space="preserve"> or any rule or regulation</w:t>
      </w:r>
      <w:r>
        <w:rPr>
          <w:rFonts w:cs="Times New Roman"/>
          <w:szCs w:val="26"/>
        </w:rPr>
        <w:t xml:space="preserve"> promulgated under the Act,</w:t>
      </w:r>
      <w:r w:rsidRPr="00613791">
        <w:rPr>
          <w:rFonts w:cs="Times New Roman"/>
          <w:szCs w:val="26"/>
        </w:rPr>
        <w:t xml:space="preserve"> has occurred, it may bring an action in its name for collection, civil penalties, or injunctive relief.  (§ 65650.)  Violations of the Act, including a shipper’s refusal to supply the Commission with certain information regarding its supplier</w:t>
      </w:r>
      <w:r>
        <w:rPr>
          <w:rFonts w:cs="Times New Roman"/>
          <w:szCs w:val="26"/>
        </w:rPr>
        <w:t xml:space="preserve"> or suppliers</w:t>
      </w:r>
      <w:r w:rsidRPr="00613791">
        <w:rPr>
          <w:rFonts w:cs="Times New Roman"/>
          <w:szCs w:val="26"/>
        </w:rPr>
        <w:t xml:space="preserve"> of grapes, are punishable as misdem</w:t>
      </w:r>
      <w:r>
        <w:rPr>
          <w:rFonts w:cs="Times New Roman"/>
          <w:szCs w:val="26"/>
        </w:rPr>
        <w:t xml:space="preserve">eanors.  (§ 65653.)  The Act provides that “[t]he State of California shall not be liable for the acts of the [C]ommission or its contracts.”  (§ 65571.)   </w:t>
      </w:r>
    </w:p>
    <w:p w:rsidR="00E35AF8" w:rsidP="00613791">
      <w:pPr>
        <w:spacing w:after="0" w:line="480" w:lineRule="exact"/>
        <w:ind w:firstLine="720"/>
        <w:rPr>
          <w:rFonts w:cs="Times New Roman"/>
          <w:szCs w:val="26"/>
        </w:rPr>
      </w:pPr>
      <w:r w:rsidRPr="00613791">
        <w:rPr>
          <w:rFonts w:cs="Times New Roman"/>
          <w:szCs w:val="26"/>
        </w:rPr>
        <w:t xml:space="preserve">The </w:t>
      </w:r>
      <w:r>
        <w:rPr>
          <w:rFonts w:cs="Times New Roman"/>
          <w:szCs w:val="26"/>
        </w:rPr>
        <w:t>Commission assumed its responsibilities under the Ketchum Act</w:t>
      </w:r>
      <w:r w:rsidRPr="00613791">
        <w:rPr>
          <w:rFonts w:cs="Times New Roman"/>
          <w:szCs w:val="26"/>
        </w:rPr>
        <w:t xml:space="preserve"> only after a referendum </w:t>
      </w:r>
      <w:r>
        <w:rPr>
          <w:rFonts w:cs="Times New Roman"/>
          <w:szCs w:val="26"/>
        </w:rPr>
        <w:t>among</w:t>
      </w:r>
      <w:r w:rsidRPr="00613791">
        <w:rPr>
          <w:rFonts w:cs="Times New Roman"/>
          <w:szCs w:val="26"/>
        </w:rPr>
        <w:t xml:space="preserve"> producers. </w:t>
      </w:r>
      <w:r>
        <w:rPr>
          <w:rFonts w:cs="Times New Roman"/>
          <w:szCs w:val="26"/>
        </w:rPr>
        <w:t xml:space="preserve"> (§ 65573.)  </w:t>
      </w:r>
      <w:r w:rsidRPr="00613791">
        <w:rPr>
          <w:rFonts w:cs="Times New Roman"/>
          <w:szCs w:val="26"/>
        </w:rPr>
        <w:t xml:space="preserve">The Commission’s operations may be suspended through a similar process.  If 11 members of the Commission make a finding that the Act “has not tended to effectuate its </w:t>
      </w:r>
      <w:r>
        <w:rPr>
          <w:rFonts w:cs="Times New Roman"/>
          <w:szCs w:val="26"/>
        </w:rPr>
        <w:t>declared</w:t>
      </w:r>
      <w:r w:rsidRPr="00613791">
        <w:rPr>
          <w:rFonts w:cs="Times New Roman"/>
          <w:szCs w:val="26"/>
        </w:rPr>
        <w:t xml:space="preserve"> purposes,” or 20 percent of producers file a petition with the </w:t>
      </w:r>
      <w:r>
        <w:rPr>
          <w:rFonts w:cs="Times New Roman"/>
          <w:szCs w:val="26"/>
        </w:rPr>
        <w:t>Secretary</w:t>
      </w:r>
      <w:r w:rsidRPr="00613791">
        <w:rPr>
          <w:rFonts w:cs="Times New Roman"/>
          <w:szCs w:val="26"/>
        </w:rPr>
        <w:t xml:space="preserve"> requesting suspension of the Commission’s activities, the </w:t>
      </w:r>
      <w:r>
        <w:rPr>
          <w:rFonts w:cs="Times New Roman"/>
          <w:szCs w:val="26"/>
        </w:rPr>
        <w:t>Secretary</w:t>
      </w:r>
      <w:r w:rsidRPr="00613791">
        <w:rPr>
          <w:rFonts w:cs="Times New Roman"/>
          <w:szCs w:val="26"/>
        </w:rPr>
        <w:t xml:space="preserve"> shall cause a</w:t>
      </w:r>
      <w:r>
        <w:rPr>
          <w:rFonts w:cs="Times New Roman"/>
          <w:szCs w:val="26"/>
        </w:rPr>
        <w:t xml:space="preserve"> producer</w:t>
      </w:r>
      <w:r w:rsidRPr="00613791">
        <w:rPr>
          <w:rFonts w:cs="Times New Roman"/>
          <w:szCs w:val="26"/>
        </w:rPr>
        <w:t xml:space="preserve"> referendum</w:t>
      </w:r>
      <w:r>
        <w:rPr>
          <w:rFonts w:cs="Times New Roman"/>
          <w:szCs w:val="26"/>
        </w:rPr>
        <w:t xml:space="preserve"> to be conducted.  (§ 65660.)  </w:t>
      </w:r>
      <w:r w:rsidRPr="00613791">
        <w:rPr>
          <w:rFonts w:cs="Times New Roman"/>
          <w:szCs w:val="26"/>
        </w:rPr>
        <w:t xml:space="preserve">If a sufficient number of producers participate in this referendum and vote for suspension, “the </w:t>
      </w:r>
      <w:r>
        <w:rPr>
          <w:rFonts w:cs="Times New Roman"/>
          <w:szCs w:val="26"/>
        </w:rPr>
        <w:t>[Secretary]</w:t>
      </w:r>
      <w:r w:rsidRPr="00613791">
        <w:rPr>
          <w:rFonts w:cs="Times New Roman"/>
          <w:szCs w:val="26"/>
        </w:rPr>
        <w:t xml:space="preserve"> shall declare the operation of the provisions of [the Act] and of the [C]ommission suspended, effective upon expiration of the marketing season then current.”  (§ 65661.)  Furthermore, the Act provides for a referendum among producers every five years to determine whether the Commission’s operations will continue.  (§ 65675.)  To date, all of these referend</w:t>
      </w:r>
      <w:r>
        <w:rPr>
          <w:rFonts w:cs="Times New Roman"/>
          <w:szCs w:val="26"/>
        </w:rPr>
        <w:t>a</w:t>
      </w:r>
      <w:r w:rsidRPr="00613791">
        <w:rPr>
          <w:rFonts w:cs="Times New Roman"/>
          <w:szCs w:val="26"/>
        </w:rPr>
        <w:t xml:space="preserve"> have led to the </w:t>
      </w:r>
      <w:r>
        <w:rPr>
          <w:rFonts w:cs="Times New Roman"/>
          <w:szCs w:val="26"/>
        </w:rPr>
        <w:t>continuation of the Commission and its</w:t>
      </w:r>
      <w:r w:rsidRPr="00613791">
        <w:rPr>
          <w:rFonts w:cs="Times New Roman"/>
          <w:szCs w:val="26"/>
        </w:rPr>
        <w:t xml:space="preserve"> </w:t>
      </w:r>
      <w:r>
        <w:rPr>
          <w:rFonts w:cs="Times New Roman"/>
          <w:szCs w:val="26"/>
        </w:rPr>
        <w:t>operations</w:t>
      </w:r>
      <w:r w:rsidRPr="00613791">
        <w:rPr>
          <w:rFonts w:cs="Times New Roman"/>
          <w:szCs w:val="26"/>
        </w:rPr>
        <w:t>.</w:t>
      </w:r>
    </w:p>
    <w:p w:rsidR="00AC5314" w:rsidRPr="00AC5314" w:rsidP="00AD5B8C">
      <w:pPr>
        <w:keepNext/>
        <w:tabs>
          <w:tab w:val="left" w:pos="1440"/>
        </w:tabs>
        <w:spacing w:after="0" w:line="480" w:lineRule="exact"/>
        <w:ind w:firstLine="1080"/>
        <w:rPr>
          <w:rFonts w:cs="Times New Roman"/>
          <w:i/>
          <w:szCs w:val="26"/>
        </w:rPr>
      </w:pPr>
      <w:r w:rsidRPr="00AC5314">
        <w:rPr>
          <w:rFonts w:cs="Times New Roman"/>
          <w:i/>
          <w:szCs w:val="26"/>
        </w:rPr>
        <w:t xml:space="preserve">4.  </w:t>
      </w:r>
      <w:r w:rsidRPr="00AC5314">
        <w:rPr>
          <w:rFonts w:cs="Times New Roman"/>
          <w:i/>
          <w:szCs w:val="26"/>
        </w:rPr>
        <w:tab/>
        <w:t>The Commission’s Activities</w:t>
      </w:r>
      <w:r>
        <w:rPr>
          <w:rFonts w:cs="Times New Roman"/>
          <w:i/>
          <w:szCs w:val="26"/>
        </w:rPr>
        <w:t xml:space="preserve"> Under the Act</w:t>
      </w:r>
    </w:p>
    <w:p w:rsidR="00C33622" w:rsidP="00723A77">
      <w:pPr>
        <w:spacing w:after="0" w:line="480" w:lineRule="exact"/>
        <w:ind w:firstLine="720"/>
        <w:rPr>
          <w:rFonts w:cs="Times New Roman"/>
          <w:szCs w:val="26"/>
        </w:rPr>
      </w:pPr>
      <w:r>
        <w:rPr>
          <w:rFonts w:cs="Times New Roman"/>
          <w:szCs w:val="26"/>
        </w:rPr>
        <w:t>The Commission divides its</w:t>
      </w:r>
      <w:r w:rsidRPr="00613791">
        <w:rPr>
          <w:rFonts w:cs="Times New Roman"/>
          <w:szCs w:val="26"/>
        </w:rPr>
        <w:t xml:space="preserve"> activities into five general categories </w:t>
      </w:r>
      <w:r>
        <w:rPr>
          <w:rFonts w:cs="Times New Roman"/>
          <w:szCs w:val="26"/>
        </w:rPr>
        <w:t>—</w:t>
      </w:r>
      <w:r w:rsidRPr="00613791">
        <w:rPr>
          <w:rFonts w:cs="Times New Roman"/>
          <w:szCs w:val="26"/>
        </w:rPr>
        <w:t xml:space="preserve"> research, trade management, issues management, advertising, and education and outreach.</w:t>
      </w:r>
      <w:r>
        <w:rPr>
          <w:rStyle w:val="FootnoteReference"/>
          <w:rFonts w:cs="Times New Roman"/>
          <w:b/>
          <w:szCs w:val="26"/>
        </w:rPr>
        <w:footnoteReference w:id="7"/>
      </w:r>
      <w:r w:rsidRPr="009F7E7C">
        <w:rPr>
          <w:rFonts w:cs="Times New Roman"/>
          <w:b/>
          <w:szCs w:val="26"/>
        </w:rPr>
        <w:t xml:space="preserve"> </w:t>
      </w:r>
      <w:r>
        <w:rPr>
          <w:rFonts w:cs="Times New Roman"/>
          <w:szCs w:val="26"/>
        </w:rPr>
        <w:t xml:space="preserve"> Since the Commission’s inception, its programmatic efforts have included</w:t>
      </w:r>
      <w:r w:rsidRPr="00613791">
        <w:rPr>
          <w:rFonts w:cs="Times New Roman"/>
          <w:szCs w:val="26"/>
        </w:rPr>
        <w:t xml:space="preserve"> </w:t>
      </w:r>
      <w:r>
        <w:rPr>
          <w:rFonts w:cs="Times New Roman"/>
          <w:szCs w:val="26"/>
        </w:rPr>
        <w:t xml:space="preserve">facilitating the </w:t>
      </w:r>
      <w:r w:rsidRPr="00613791">
        <w:rPr>
          <w:rFonts w:cs="Times New Roman"/>
          <w:szCs w:val="26"/>
        </w:rPr>
        <w:t>open</w:t>
      </w:r>
      <w:r>
        <w:rPr>
          <w:rFonts w:cs="Times New Roman"/>
          <w:szCs w:val="26"/>
        </w:rPr>
        <w:t>ing of</w:t>
      </w:r>
      <w:r w:rsidRPr="00613791">
        <w:rPr>
          <w:rFonts w:cs="Times New Roman"/>
          <w:szCs w:val="26"/>
        </w:rPr>
        <w:t xml:space="preserve"> new</w:t>
      </w:r>
      <w:r>
        <w:rPr>
          <w:rFonts w:cs="Times New Roman"/>
          <w:szCs w:val="26"/>
        </w:rPr>
        <w:t xml:space="preserve"> international</w:t>
      </w:r>
      <w:r w:rsidRPr="00613791">
        <w:rPr>
          <w:rFonts w:cs="Times New Roman"/>
          <w:szCs w:val="26"/>
        </w:rPr>
        <w:t xml:space="preserve"> markets for California table </w:t>
      </w:r>
      <w:r>
        <w:rPr>
          <w:rFonts w:cs="Times New Roman"/>
          <w:szCs w:val="26"/>
        </w:rPr>
        <w:t>grapes</w:t>
      </w:r>
      <w:r w:rsidRPr="00613791">
        <w:rPr>
          <w:rFonts w:cs="Times New Roman"/>
          <w:szCs w:val="26"/>
        </w:rPr>
        <w:t>, fund</w:t>
      </w:r>
      <w:r>
        <w:rPr>
          <w:rFonts w:cs="Times New Roman"/>
          <w:szCs w:val="26"/>
        </w:rPr>
        <w:t>ing</w:t>
      </w:r>
      <w:r w:rsidRPr="00613791">
        <w:rPr>
          <w:rFonts w:cs="Times New Roman"/>
          <w:szCs w:val="26"/>
        </w:rPr>
        <w:t xml:space="preserve"> and implement</w:t>
      </w:r>
      <w:r>
        <w:rPr>
          <w:rFonts w:cs="Times New Roman"/>
          <w:szCs w:val="26"/>
        </w:rPr>
        <w:t>ing</w:t>
      </w:r>
      <w:r w:rsidRPr="00613791">
        <w:rPr>
          <w:rFonts w:cs="Times New Roman"/>
          <w:szCs w:val="26"/>
        </w:rPr>
        <w:t xml:space="preserve"> research efforts to produce new varieties of table grapes and</w:t>
      </w:r>
      <w:r>
        <w:rPr>
          <w:rFonts w:cs="Times New Roman"/>
          <w:szCs w:val="26"/>
        </w:rPr>
        <w:t xml:space="preserve"> develop</w:t>
      </w:r>
      <w:r w:rsidRPr="00613791">
        <w:rPr>
          <w:rFonts w:cs="Times New Roman"/>
          <w:szCs w:val="26"/>
        </w:rPr>
        <w:t xml:space="preserve"> improved </w:t>
      </w:r>
      <w:r>
        <w:rPr>
          <w:rFonts w:cs="Times New Roman"/>
          <w:szCs w:val="26"/>
        </w:rPr>
        <w:t>pest-control practices</w:t>
      </w:r>
      <w:r w:rsidRPr="00613791">
        <w:rPr>
          <w:rFonts w:cs="Times New Roman"/>
          <w:szCs w:val="26"/>
        </w:rPr>
        <w:t xml:space="preserve">, </w:t>
      </w:r>
      <w:r>
        <w:rPr>
          <w:rFonts w:cs="Times New Roman"/>
          <w:szCs w:val="26"/>
        </w:rPr>
        <w:t>promoting the use of table grapes among food service providers and in home cooking,</w:t>
      </w:r>
      <w:r w:rsidRPr="00613791">
        <w:rPr>
          <w:rFonts w:cs="Times New Roman"/>
          <w:szCs w:val="26"/>
        </w:rPr>
        <w:t xml:space="preserve"> </w:t>
      </w:r>
      <w:r>
        <w:rPr>
          <w:rFonts w:cs="Times New Roman"/>
          <w:szCs w:val="26"/>
        </w:rPr>
        <w:t>collaborating</w:t>
      </w:r>
      <w:r w:rsidRPr="00613791">
        <w:rPr>
          <w:rFonts w:cs="Times New Roman"/>
          <w:szCs w:val="26"/>
        </w:rPr>
        <w:t xml:space="preserve"> with retailers to enhance the presentation and sale of fresh gra</w:t>
      </w:r>
      <w:r>
        <w:rPr>
          <w:rFonts w:cs="Times New Roman"/>
          <w:szCs w:val="26"/>
        </w:rPr>
        <w:t>pes to consumers, and developing generic advertising that promotes the consumption of California fresh grapes</w:t>
      </w:r>
      <w:r w:rsidRPr="00613791">
        <w:rPr>
          <w:rFonts w:cs="Times New Roman"/>
          <w:szCs w:val="26"/>
        </w:rPr>
        <w:t xml:space="preserve">.  </w:t>
      </w:r>
    </w:p>
    <w:p w:rsidR="004C7DCB" w:rsidP="00723A77">
      <w:pPr>
        <w:spacing w:after="0" w:line="480" w:lineRule="exact"/>
        <w:ind w:firstLine="720"/>
        <w:rPr>
          <w:rFonts w:cs="Times New Roman"/>
          <w:szCs w:val="26"/>
        </w:rPr>
      </w:pPr>
      <w:r w:rsidRPr="00613791">
        <w:rPr>
          <w:rFonts w:cs="Times New Roman"/>
          <w:szCs w:val="26"/>
        </w:rPr>
        <w:t>The Commission’s advertising appears</w:t>
      </w:r>
      <w:r>
        <w:rPr>
          <w:rFonts w:cs="Times New Roman"/>
          <w:szCs w:val="26"/>
        </w:rPr>
        <w:t xml:space="preserve"> in print media and</w:t>
      </w:r>
      <w:r w:rsidRPr="00613791">
        <w:rPr>
          <w:rFonts w:cs="Times New Roman"/>
          <w:szCs w:val="26"/>
        </w:rPr>
        <w:t xml:space="preserve"> on radio, television,</w:t>
      </w:r>
      <w:r>
        <w:rPr>
          <w:rFonts w:cs="Times New Roman"/>
          <w:szCs w:val="26"/>
        </w:rPr>
        <w:t xml:space="preserve"> and the Internet.  T</w:t>
      </w:r>
      <w:r w:rsidRPr="00613791">
        <w:rPr>
          <w:rFonts w:cs="Times New Roman"/>
          <w:szCs w:val="26"/>
        </w:rPr>
        <w:t>h</w:t>
      </w:r>
      <w:r>
        <w:rPr>
          <w:rFonts w:cs="Times New Roman"/>
          <w:szCs w:val="26"/>
        </w:rPr>
        <w:t>is</w:t>
      </w:r>
      <w:r w:rsidRPr="00613791">
        <w:rPr>
          <w:rFonts w:cs="Times New Roman"/>
          <w:szCs w:val="26"/>
        </w:rPr>
        <w:t xml:space="preserve"> advertising does not specify</w:t>
      </w:r>
      <w:r>
        <w:rPr>
          <w:rFonts w:cs="Times New Roman"/>
          <w:szCs w:val="26"/>
        </w:rPr>
        <w:t xml:space="preserve"> or endorse</w:t>
      </w:r>
      <w:r w:rsidRPr="00613791">
        <w:rPr>
          <w:rFonts w:cs="Times New Roman"/>
          <w:szCs w:val="26"/>
        </w:rPr>
        <w:t xml:space="preserve"> any one type of </w:t>
      </w:r>
      <w:r>
        <w:rPr>
          <w:rFonts w:cs="Times New Roman"/>
          <w:szCs w:val="26"/>
        </w:rPr>
        <w:t>California fresh</w:t>
      </w:r>
      <w:r w:rsidRPr="00613791">
        <w:rPr>
          <w:rFonts w:cs="Times New Roman"/>
          <w:szCs w:val="26"/>
        </w:rPr>
        <w:t xml:space="preserve"> grape or </w:t>
      </w:r>
      <w:r>
        <w:rPr>
          <w:rFonts w:cs="Times New Roman"/>
          <w:szCs w:val="26"/>
        </w:rPr>
        <w:t xml:space="preserve">any single </w:t>
      </w:r>
      <w:r w:rsidRPr="00613791">
        <w:rPr>
          <w:rFonts w:cs="Times New Roman"/>
          <w:szCs w:val="26"/>
        </w:rPr>
        <w:t>producer of these grapes.  Instead, it promotes California</w:t>
      </w:r>
      <w:r>
        <w:rPr>
          <w:rFonts w:cs="Times New Roman"/>
          <w:szCs w:val="26"/>
        </w:rPr>
        <w:t xml:space="preserve"> fresh</w:t>
      </w:r>
      <w:r w:rsidRPr="00613791">
        <w:rPr>
          <w:rFonts w:cs="Times New Roman"/>
          <w:szCs w:val="26"/>
        </w:rPr>
        <w:t xml:space="preserve"> grapes in general as being flavorful, </w:t>
      </w:r>
      <w:r>
        <w:rPr>
          <w:rFonts w:cs="Times New Roman"/>
          <w:szCs w:val="26"/>
        </w:rPr>
        <w:t xml:space="preserve">convenient, and healthful.  The Commission’s advertising has not promoted any products other than California fresh grapes. </w:t>
      </w:r>
      <w:r w:rsidRPr="00613791">
        <w:rPr>
          <w:rFonts w:cs="Times New Roman"/>
          <w:szCs w:val="26"/>
        </w:rPr>
        <w:t xml:space="preserve"> Past themes </w:t>
      </w:r>
      <w:r>
        <w:rPr>
          <w:rFonts w:cs="Times New Roman"/>
          <w:szCs w:val="26"/>
        </w:rPr>
        <w:t>of</w:t>
      </w:r>
      <w:r w:rsidRPr="00613791">
        <w:rPr>
          <w:rFonts w:cs="Times New Roman"/>
          <w:szCs w:val="26"/>
        </w:rPr>
        <w:t xml:space="preserve"> Commission advertising have borne the taglines, “Good things come in bunches,” “Share some California grapes,” “Life is complicated.  Grapes are simple,” and “California grapes.  The Natural Snack.” </w:t>
      </w:r>
      <w:r>
        <w:rPr>
          <w:rFonts w:cs="Times New Roman"/>
          <w:szCs w:val="26"/>
        </w:rPr>
        <w:t xml:space="preserve"> These advertisements bear no express attribution to the State of California.  Their recurring elements vary across media.  Print advertisements include the Commission’s website address and its logo, which reads “Grapes from California.” </w:t>
      </w:r>
    </w:p>
    <w:p w:rsidR="004C7DCB" w:rsidRPr="004C7DCB" w:rsidP="0096767B">
      <w:pPr>
        <w:keepNext/>
        <w:keepLines/>
        <w:spacing w:after="0" w:line="480" w:lineRule="exact"/>
        <w:ind w:left="1440" w:hanging="360"/>
        <w:rPr>
          <w:rFonts w:cs="Times New Roman"/>
          <w:i/>
          <w:szCs w:val="26"/>
        </w:rPr>
      </w:pPr>
      <w:r>
        <w:rPr>
          <w:rFonts w:cs="Times New Roman"/>
          <w:i/>
          <w:szCs w:val="26"/>
        </w:rPr>
        <w:t xml:space="preserve">5. </w:t>
      </w:r>
      <w:r>
        <w:rPr>
          <w:rFonts w:cs="Times New Roman"/>
          <w:i/>
          <w:szCs w:val="26"/>
        </w:rPr>
        <w:tab/>
      </w:r>
      <w:r w:rsidRPr="004C7DCB">
        <w:rPr>
          <w:rFonts w:cs="Times New Roman"/>
          <w:i/>
          <w:szCs w:val="26"/>
        </w:rPr>
        <w:t>Oversight</w:t>
      </w:r>
      <w:r>
        <w:rPr>
          <w:rFonts w:cs="Times New Roman"/>
          <w:i/>
          <w:szCs w:val="26"/>
        </w:rPr>
        <w:t xml:space="preserve"> of the Commission</w:t>
      </w:r>
      <w:r w:rsidRPr="004C7DCB">
        <w:rPr>
          <w:rFonts w:cs="Times New Roman"/>
          <w:i/>
          <w:szCs w:val="26"/>
        </w:rPr>
        <w:t xml:space="preserve"> </w:t>
      </w:r>
    </w:p>
    <w:p w:rsidR="00B13796" w:rsidP="00723A77">
      <w:pPr>
        <w:spacing w:after="0" w:line="480" w:lineRule="exact"/>
        <w:ind w:firstLine="720"/>
        <w:rPr>
          <w:rFonts w:cs="Times New Roman"/>
          <w:szCs w:val="26"/>
        </w:rPr>
      </w:pPr>
      <w:r>
        <w:rPr>
          <w:rFonts w:cs="Times New Roman"/>
          <w:szCs w:val="26"/>
        </w:rPr>
        <w:t xml:space="preserve">By all accounts, neither the Secretary nor her employees have directly participated in the development or approval of the Commission’s advertising, or other promotional speech by the Commission.  The Department of Food and Agriculture’s “Policies for Marketing Programs” manual, the pertinent provisions of which are not captured in any promulgated regulation, states that the “CDFA reserves the right to exercise exceptional review of advertising and promotion messages wherever it deems such review is warranted,” which “may include intervention in message development prior to placement of messages in a commercial medium or venue.”  This manual also relates the Department’s expectation that advertising and promotional messages be “[t]ruthful,” “[i]n good taste,” “[n]ot disparaging,” and “[c]onsistent with statute.”  </w:t>
      </w:r>
    </w:p>
    <w:p w:rsidR="004C7DCB" w:rsidP="00723A77">
      <w:pPr>
        <w:spacing w:after="0" w:line="480" w:lineRule="exact"/>
        <w:ind w:firstLine="720"/>
        <w:rPr>
          <w:rFonts w:cs="Times New Roman"/>
          <w:szCs w:val="26"/>
        </w:rPr>
      </w:pPr>
      <w:r w:rsidRPr="00613791">
        <w:rPr>
          <w:rFonts w:cs="Times New Roman"/>
          <w:szCs w:val="26"/>
        </w:rPr>
        <w:t xml:space="preserve">The </w:t>
      </w:r>
      <w:r>
        <w:rPr>
          <w:rFonts w:cs="Times New Roman"/>
          <w:szCs w:val="26"/>
        </w:rPr>
        <w:t xml:space="preserve">Ketchum </w:t>
      </w:r>
      <w:r w:rsidRPr="00613791">
        <w:rPr>
          <w:rFonts w:cs="Times New Roman"/>
          <w:szCs w:val="26"/>
        </w:rPr>
        <w:t>Act incorporates a mechanism to challenge Commission actions, providing that “</w:t>
      </w:r>
      <w:r>
        <w:rPr>
          <w:rFonts w:cs="Times New Roman"/>
          <w:szCs w:val="26"/>
        </w:rPr>
        <w:t>[</w:t>
      </w:r>
      <w:r w:rsidRPr="00613791">
        <w:rPr>
          <w:rFonts w:cs="Times New Roman"/>
          <w:szCs w:val="26"/>
        </w:rPr>
        <w:t>a</w:t>
      </w:r>
      <w:r>
        <w:rPr>
          <w:rFonts w:cs="Times New Roman"/>
          <w:szCs w:val="26"/>
        </w:rPr>
        <w:t>]</w:t>
      </w:r>
      <w:r w:rsidRPr="00613791">
        <w:rPr>
          <w:rFonts w:cs="Times New Roman"/>
          <w:szCs w:val="26"/>
        </w:rPr>
        <w:t xml:space="preserve">ny person aggrieved by any action of the [C]ommission” may appeal that action to the </w:t>
      </w:r>
      <w:r>
        <w:rPr>
          <w:rFonts w:cs="Times New Roman"/>
          <w:szCs w:val="26"/>
        </w:rPr>
        <w:t>Secretary</w:t>
      </w:r>
      <w:r w:rsidRPr="00613791">
        <w:rPr>
          <w:rFonts w:cs="Times New Roman"/>
          <w:szCs w:val="26"/>
        </w:rPr>
        <w:t>.  (§ 65650.5.)</w:t>
      </w:r>
      <w:r>
        <w:rPr>
          <w:rStyle w:val="FootnoteReference"/>
          <w:rFonts w:cs="Times New Roman"/>
          <w:b/>
          <w:szCs w:val="26"/>
        </w:rPr>
        <w:footnoteReference w:id="8"/>
      </w:r>
      <w:r w:rsidRPr="00613791">
        <w:rPr>
          <w:rFonts w:cs="Times New Roman"/>
          <w:szCs w:val="26"/>
        </w:rPr>
        <w:t xml:space="preserve">  The </w:t>
      </w:r>
      <w:r>
        <w:rPr>
          <w:rFonts w:cs="Times New Roman"/>
          <w:szCs w:val="26"/>
        </w:rPr>
        <w:t>Secretary</w:t>
      </w:r>
      <w:r w:rsidRPr="00613791">
        <w:rPr>
          <w:rFonts w:cs="Times New Roman"/>
          <w:szCs w:val="26"/>
        </w:rPr>
        <w:t xml:space="preserve"> “shall review the record of the proceedings before the [C]</w:t>
      </w:r>
      <w:r>
        <w:rPr>
          <w:rFonts w:cs="Times New Roman"/>
          <w:szCs w:val="26"/>
        </w:rPr>
        <w:t>ommission.”  (</w:t>
      </w:r>
      <w:r w:rsidRPr="0022660D">
        <w:rPr>
          <w:rFonts w:cs="Times New Roman"/>
          <w:i/>
          <w:szCs w:val="26"/>
        </w:rPr>
        <w:t>Ibid</w:t>
      </w:r>
      <w:r>
        <w:rPr>
          <w:rFonts w:cs="Times New Roman"/>
          <w:szCs w:val="26"/>
        </w:rPr>
        <w:t>.)  U</w:t>
      </w:r>
      <w:r w:rsidRPr="00613791">
        <w:rPr>
          <w:rFonts w:cs="Times New Roman"/>
          <w:szCs w:val="26"/>
        </w:rPr>
        <w:t xml:space="preserve">pon such review, </w:t>
      </w:r>
      <w:r>
        <w:rPr>
          <w:rFonts w:cs="Times New Roman"/>
          <w:szCs w:val="26"/>
        </w:rPr>
        <w:t>the Secretary shall</w:t>
      </w:r>
      <w:r w:rsidRPr="00613791">
        <w:rPr>
          <w:rFonts w:cs="Times New Roman"/>
          <w:szCs w:val="26"/>
        </w:rPr>
        <w:t xml:space="preserve"> dismiss the appeal if she finds that the Commission’s action “was not an abuse of discretion or illegal,” </w:t>
      </w:r>
      <w:r>
        <w:rPr>
          <w:rFonts w:cs="Times New Roman"/>
          <w:szCs w:val="26"/>
        </w:rPr>
        <w:t>but may</w:t>
      </w:r>
      <w:r w:rsidRPr="00613791">
        <w:rPr>
          <w:rFonts w:cs="Times New Roman"/>
          <w:szCs w:val="26"/>
        </w:rPr>
        <w:t xml:space="preserve"> reverse the Commission’s action if it was </w:t>
      </w:r>
      <w:r>
        <w:rPr>
          <w:rFonts w:cs="Times New Roman"/>
          <w:szCs w:val="26"/>
        </w:rPr>
        <w:t xml:space="preserve">“not </w:t>
      </w:r>
      <w:r w:rsidRPr="00613791">
        <w:rPr>
          <w:rFonts w:cs="Times New Roman"/>
          <w:szCs w:val="26"/>
        </w:rPr>
        <w:t>substantially sustained by the record, was an abuse of discretion, or illegal.”  (</w:t>
      </w:r>
      <w:r w:rsidRPr="00613791">
        <w:rPr>
          <w:rFonts w:cs="Times New Roman"/>
          <w:i/>
          <w:szCs w:val="26"/>
        </w:rPr>
        <w:t>I</w:t>
      </w:r>
      <w:r>
        <w:rPr>
          <w:rFonts w:cs="Times New Roman"/>
          <w:i/>
          <w:szCs w:val="26"/>
        </w:rPr>
        <w:t>bi</w:t>
      </w:r>
      <w:r w:rsidRPr="00613791">
        <w:rPr>
          <w:rFonts w:cs="Times New Roman"/>
          <w:i/>
          <w:szCs w:val="26"/>
        </w:rPr>
        <w:t>d</w:t>
      </w:r>
      <w:r w:rsidRPr="00613791">
        <w:rPr>
          <w:rFonts w:cs="Times New Roman"/>
          <w:szCs w:val="26"/>
        </w:rPr>
        <w:t>.)  Any decision</w:t>
      </w:r>
      <w:r>
        <w:rPr>
          <w:rFonts w:cs="Times New Roman"/>
          <w:szCs w:val="26"/>
        </w:rPr>
        <w:t xml:space="preserve"> by the Secretary</w:t>
      </w:r>
      <w:r w:rsidRPr="00613791">
        <w:rPr>
          <w:rFonts w:cs="Times New Roman"/>
          <w:szCs w:val="26"/>
        </w:rPr>
        <w:t xml:space="preserve"> dismissing an appeal or reversing an action of the Commission is subject to judicial review upon petition of the Commission “or any party aggrieved by the decision.”  (</w:t>
      </w:r>
      <w:r w:rsidRPr="00613791">
        <w:rPr>
          <w:rFonts w:cs="Times New Roman"/>
          <w:i/>
          <w:szCs w:val="26"/>
        </w:rPr>
        <w:t>I</w:t>
      </w:r>
      <w:r>
        <w:rPr>
          <w:rFonts w:cs="Times New Roman"/>
          <w:i/>
          <w:szCs w:val="26"/>
        </w:rPr>
        <w:t>bi</w:t>
      </w:r>
      <w:r w:rsidRPr="00613791">
        <w:rPr>
          <w:rFonts w:cs="Times New Roman"/>
          <w:i/>
          <w:szCs w:val="26"/>
        </w:rPr>
        <w:t>d</w:t>
      </w:r>
      <w:r w:rsidRPr="00613791">
        <w:rPr>
          <w:rFonts w:cs="Times New Roman"/>
          <w:szCs w:val="26"/>
        </w:rPr>
        <w:t xml:space="preserve">.) </w:t>
      </w:r>
      <w:r>
        <w:rPr>
          <w:rFonts w:cs="Times New Roman"/>
          <w:szCs w:val="26"/>
        </w:rPr>
        <w:t xml:space="preserve"> This appeal mechanism has been invoked in the past, leading to the Secretary’s reversal of a Commission action, albeit not in the context of advertising or other promotional speech. </w:t>
      </w:r>
    </w:p>
    <w:p w:rsidR="00122920" w:rsidP="00723A77">
      <w:pPr>
        <w:spacing w:after="0" w:line="480" w:lineRule="exact"/>
        <w:ind w:firstLine="720"/>
        <w:rPr>
          <w:rFonts w:cs="Times New Roman"/>
          <w:szCs w:val="26"/>
        </w:rPr>
      </w:pPr>
      <w:r>
        <w:rPr>
          <w:rFonts w:cs="Times New Roman"/>
          <w:szCs w:val="26"/>
        </w:rPr>
        <w:t>As another form of oversight, the Act provides that the Commission must “keep accurate books, records and accounts of all of its dealings,” which “shall be open to inspection and audit by the Department of Finance . . . or other state officer charged with the audit of operation of departments of the State of California.”  (§ 65572, subd. (f).)</w:t>
      </w:r>
    </w:p>
    <w:p w:rsidR="00C07A1F" w:rsidRPr="00C07A1F" w:rsidP="004C7DCB">
      <w:pPr>
        <w:keepNext/>
        <w:keepLines/>
        <w:tabs>
          <w:tab w:val="left" w:pos="1080"/>
        </w:tabs>
        <w:spacing w:after="0" w:line="480" w:lineRule="exact"/>
        <w:ind w:firstLine="720"/>
        <w:rPr>
          <w:rFonts w:cs="Times New Roman"/>
          <w:b/>
          <w:szCs w:val="26"/>
        </w:rPr>
      </w:pPr>
      <w:r w:rsidRPr="00C07A1F">
        <w:rPr>
          <w:rFonts w:cs="Times New Roman"/>
          <w:b/>
          <w:szCs w:val="26"/>
        </w:rPr>
        <w:t>B.</w:t>
      </w:r>
      <w:r w:rsidRPr="00C07A1F">
        <w:rPr>
          <w:rFonts w:cs="Times New Roman"/>
          <w:b/>
          <w:szCs w:val="26"/>
        </w:rPr>
        <w:tab/>
        <w:t>Proceedings</w:t>
      </w:r>
      <w:r>
        <w:rPr>
          <w:rFonts w:cs="Times New Roman"/>
          <w:b/>
          <w:szCs w:val="26"/>
        </w:rPr>
        <w:t xml:space="preserve"> Below</w:t>
      </w:r>
    </w:p>
    <w:p w:rsidR="00F111ED" w:rsidP="00613791">
      <w:pPr>
        <w:spacing w:after="0" w:line="480" w:lineRule="exact"/>
        <w:ind w:firstLine="720"/>
        <w:rPr>
          <w:rFonts w:cs="Times New Roman"/>
          <w:szCs w:val="26"/>
        </w:rPr>
      </w:pPr>
      <w:r w:rsidRPr="00613791">
        <w:rPr>
          <w:rFonts w:cs="Times New Roman"/>
          <w:szCs w:val="26"/>
        </w:rPr>
        <w:t>In 1999, plaintiffs Delano Farms Company</w:t>
      </w:r>
      <w:r>
        <w:rPr>
          <w:rFonts w:cs="Times New Roman"/>
          <w:szCs w:val="26"/>
        </w:rPr>
        <w:t xml:space="preserve"> (</w:t>
      </w:r>
      <w:r w:rsidRPr="009F5EC3">
        <w:rPr>
          <w:rFonts w:cs="Times New Roman"/>
          <w:szCs w:val="26"/>
        </w:rPr>
        <w:t>Delano Farms</w:t>
      </w:r>
      <w:r>
        <w:rPr>
          <w:rFonts w:cs="Times New Roman"/>
          <w:szCs w:val="26"/>
        </w:rPr>
        <w:t>)</w:t>
      </w:r>
      <w:r w:rsidRPr="00613791">
        <w:rPr>
          <w:rFonts w:cs="Times New Roman"/>
          <w:szCs w:val="26"/>
        </w:rPr>
        <w:t xml:space="preserve"> and Gerawan Farming, Inc.</w:t>
      </w:r>
      <w:r>
        <w:rPr>
          <w:rFonts w:cs="Times New Roman"/>
          <w:szCs w:val="26"/>
        </w:rPr>
        <w:t xml:space="preserve">, </w:t>
      </w:r>
      <w:r w:rsidRPr="00613791">
        <w:rPr>
          <w:rFonts w:cs="Times New Roman"/>
          <w:szCs w:val="26"/>
        </w:rPr>
        <w:t xml:space="preserve">filed </w:t>
      </w:r>
      <w:r>
        <w:rPr>
          <w:rFonts w:cs="Times New Roman"/>
          <w:szCs w:val="26"/>
        </w:rPr>
        <w:t xml:space="preserve">separate but substantively similar </w:t>
      </w:r>
      <w:r w:rsidRPr="00613791">
        <w:rPr>
          <w:rFonts w:cs="Times New Roman"/>
          <w:szCs w:val="26"/>
        </w:rPr>
        <w:t>complaints in Sacramento Superior Court</w:t>
      </w:r>
      <w:r>
        <w:rPr>
          <w:rFonts w:cs="Times New Roman"/>
          <w:szCs w:val="26"/>
        </w:rPr>
        <w:t>, in which they alleged (among other claims) that</w:t>
      </w:r>
      <w:r w:rsidRPr="00613791">
        <w:rPr>
          <w:rFonts w:cs="Times New Roman"/>
          <w:szCs w:val="26"/>
        </w:rPr>
        <w:t xml:space="preserve"> the</w:t>
      </w:r>
      <w:r>
        <w:rPr>
          <w:rFonts w:cs="Times New Roman"/>
          <w:szCs w:val="26"/>
        </w:rPr>
        <w:t xml:space="preserve"> Ketchum Act’s compelled-</w:t>
      </w:r>
      <w:r w:rsidRPr="00613791">
        <w:rPr>
          <w:rFonts w:cs="Times New Roman"/>
          <w:szCs w:val="26"/>
        </w:rPr>
        <w:t>subsid</w:t>
      </w:r>
      <w:r>
        <w:rPr>
          <w:rFonts w:cs="Times New Roman"/>
          <w:szCs w:val="26"/>
        </w:rPr>
        <w:t>y</w:t>
      </w:r>
      <w:r w:rsidRPr="00613791">
        <w:rPr>
          <w:rFonts w:cs="Times New Roman"/>
          <w:szCs w:val="26"/>
        </w:rPr>
        <w:t xml:space="preserve"> </w:t>
      </w:r>
      <w:r>
        <w:rPr>
          <w:rFonts w:cs="Times New Roman"/>
          <w:szCs w:val="26"/>
        </w:rPr>
        <w:t>program violates their right to free speech</w:t>
      </w:r>
      <w:r w:rsidRPr="00613791">
        <w:rPr>
          <w:rFonts w:cs="Times New Roman"/>
          <w:szCs w:val="26"/>
        </w:rPr>
        <w:t xml:space="preserve"> under article</w:t>
      </w:r>
      <w:r>
        <w:rPr>
          <w:rFonts w:cs="Times New Roman"/>
          <w:szCs w:val="26"/>
        </w:rPr>
        <w:t> I, section </w:t>
      </w:r>
      <w:r w:rsidRPr="00613791">
        <w:rPr>
          <w:rFonts w:cs="Times New Roman"/>
          <w:szCs w:val="26"/>
        </w:rPr>
        <w:t>2.</w:t>
      </w:r>
      <w:r>
        <w:rPr>
          <w:rStyle w:val="FootnoteReference"/>
          <w:rFonts w:cs="Times New Roman"/>
          <w:b/>
          <w:szCs w:val="26"/>
        </w:rPr>
        <w:footnoteReference w:id="9"/>
      </w:r>
      <w:r w:rsidRPr="005471B6">
        <w:rPr>
          <w:rFonts w:cs="Times New Roman"/>
          <w:b/>
          <w:szCs w:val="26"/>
        </w:rPr>
        <w:t xml:space="preserve"> </w:t>
      </w:r>
      <w:r w:rsidRPr="00613791">
        <w:rPr>
          <w:rFonts w:cs="Times New Roman"/>
          <w:szCs w:val="26"/>
        </w:rPr>
        <w:t xml:space="preserve"> </w:t>
      </w:r>
      <w:r>
        <w:rPr>
          <w:rFonts w:cs="Times New Roman"/>
          <w:szCs w:val="26"/>
        </w:rPr>
        <w:t xml:space="preserve">Plaintiffs Four Star Fruit, Inc., Bidart Bros., and Blanc Vineyards, LLC (Blanc Vineyards) have since joined the litigation, raising similar claims.  </w:t>
      </w:r>
    </w:p>
    <w:p w:rsidR="00557B94" w:rsidRPr="00613791" w:rsidP="00613791">
      <w:pPr>
        <w:spacing w:after="0" w:line="480" w:lineRule="exact"/>
        <w:ind w:firstLine="720"/>
        <w:rPr>
          <w:rFonts w:cs="Times New Roman"/>
          <w:szCs w:val="26"/>
        </w:rPr>
      </w:pPr>
      <w:r>
        <w:rPr>
          <w:rFonts w:cs="Times New Roman"/>
          <w:szCs w:val="26"/>
        </w:rPr>
        <w:t>All p</w:t>
      </w:r>
      <w:r w:rsidRPr="00613791">
        <w:rPr>
          <w:rFonts w:cs="Times New Roman"/>
          <w:szCs w:val="26"/>
        </w:rPr>
        <w:t>laintiffs</w:t>
      </w:r>
      <w:r>
        <w:rPr>
          <w:rFonts w:cs="Times New Roman"/>
          <w:szCs w:val="26"/>
        </w:rPr>
        <w:t xml:space="preserve"> assert that the Ketchum Act is unconstitutional insofar as it requires them to subsidize promotional speech that advances a viewpoint with which they disagree.  Delano Farms and Blanc Vineyards, for example, each allege that</w:t>
      </w:r>
      <w:r w:rsidRPr="00613791">
        <w:rPr>
          <w:rFonts w:cs="Times New Roman"/>
          <w:szCs w:val="26"/>
        </w:rPr>
        <w:t xml:space="preserve"> “[t]he Commission’s advertisements</w:t>
      </w:r>
      <w:r>
        <w:rPr>
          <w:rFonts w:cs="Times New Roman"/>
          <w:szCs w:val="26"/>
        </w:rPr>
        <w:t>, promotions, and other expressive activities</w:t>
      </w:r>
      <w:r w:rsidRPr="00613791">
        <w:rPr>
          <w:rFonts w:cs="Times New Roman"/>
          <w:szCs w:val="26"/>
        </w:rPr>
        <w:t xml:space="preserve"> are largely designed to promo</w:t>
      </w:r>
      <w:r>
        <w:rPr>
          <w:rFonts w:cs="Times New Roman"/>
          <w:szCs w:val="26"/>
        </w:rPr>
        <w:t>te table grapes as though they we</w:t>
      </w:r>
      <w:r w:rsidRPr="00613791">
        <w:rPr>
          <w:rFonts w:cs="Times New Roman"/>
          <w:szCs w:val="26"/>
        </w:rPr>
        <w:t xml:space="preserve">re a generic commodity with generic quality,” </w:t>
      </w:r>
      <w:r>
        <w:rPr>
          <w:rFonts w:cs="Times New Roman"/>
          <w:szCs w:val="26"/>
        </w:rPr>
        <w:t xml:space="preserve">whereas these plaintiffs </w:t>
      </w:r>
      <w:r w:rsidRPr="00613791">
        <w:rPr>
          <w:rFonts w:cs="Times New Roman"/>
          <w:szCs w:val="26"/>
        </w:rPr>
        <w:t>“</w:t>
      </w:r>
      <w:r>
        <w:rPr>
          <w:rFonts w:cs="Times New Roman"/>
          <w:szCs w:val="26"/>
        </w:rPr>
        <w:t>promote and market their own brands and labels of table grapes to distinguish to [their] buyers [their] product[s], grade, quality and [their] service from that of [their] competitors in order to secure a higher price and repeat business</w:t>
      </w:r>
      <w:r w:rsidRPr="00613791">
        <w:rPr>
          <w:rFonts w:cs="Times New Roman"/>
          <w:szCs w:val="26"/>
        </w:rPr>
        <w:t>.”</w:t>
      </w:r>
      <w:r>
        <w:rPr>
          <w:rFonts w:cs="Times New Roman"/>
          <w:szCs w:val="26"/>
        </w:rPr>
        <w:t xml:space="preserve">  The other plaintiffs make analogous allegations.  Plaintiffs also claim that a conflict exists between the Commission’s messaging regarding fresh grapes and the message that plaintiffs support.  Delano Farms and Blanc Vineyards assert that “[t]he generic advertising and promotion activities engaged in by the Commission [are] not at all helpful to [p]laintiffs and [are] indeed harmful to [p]laintiffs’ message which is to buy [p]laintiffs’ table grapes because they are better, a better consumer value, and that [p]laintiffs provide better service.”  All plaintiffs seek declaratory and injunctive relief, as well as a refund of the assessments they have paid.  </w:t>
      </w:r>
    </w:p>
    <w:p w:rsidR="00404DCB" w:rsidRPr="00613791" w:rsidP="00613791">
      <w:pPr>
        <w:spacing w:after="0" w:line="480" w:lineRule="exact"/>
        <w:ind w:firstLine="720"/>
        <w:rPr>
          <w:rFonts w:cs="Times New Roman"/>
          <w:szCs w:val="26"/>
        </w:rPr>
      </w:pPr>
      <w:r>
        <w:rPr>
          <w:rFonts w:cs="Times New Roman"/>
          <w:szCs w:val="26"/>
        </w:rPr>
        <w:t>After the expiration of lengthy stays pending the resolution of related litigation,</w:t>
      </w:r>
      <w:r>
        <w:rPr>
          <w:rStyle w:val="FootnoteReference"/>
          <w:rFonts w:cs="Times New Roman"/>
          <w:b/>
          <w:szCs w:val="26"/>
        </w:rPr>
        <w:footnoteReference w:id="10"/>
      </w:r>
      <w:r>
        <w:rPr>
          <w:rFonts w:cs="Times New Roman"/>
          <w:szCs w:val="26"/>
        </w:rPr>
        <w:t xml:space="preserve"> t</w:t>
      </w:r>
      <w:r w:rsidRPr="00613791">
        <w:rPr>
          <w:rFonts w:cs="Times New Roman"/>
          <w:szCs w:val="26"/>
        </w:rPr>
        <w:t>he Commission moved for summary judgment</w:t>
      </w:r>
      <w:r>
        <w:rPr>
          <w:rFonts w:cs="Times New Roman"/>
          <w:szCs w:val="26"/>
        </w:rPr>
        <w:t xml:space="preserve"> in 2012. </w:t>
      </w:r>
      <w:r w:rsidRPr="00613791">
        <w:rPr>
          <w:rFonts w:cs="Times New Roman"/>
          <w:szCs w:val="26"/>
        </w:rPr>
        <w:t xml:space="preserve"> </w:t>
      </w:r>
      <w:r>
        <w:rPr>
          <w:rFonts w:cs="Times New Roman"/>
          <w:szCs w:val="26"/>
        </w:rPr>
        <w:t>In doing so, t</w:t>
      </w:r>
      <w:r w:rsidRPr="00613791">
        <w:rPr>
          <w:rFonts w:cs="Times New Roman"/>
          <w:szCs w:val="26"/>
        </w:rPr>
        <w:t>he Commission argued</w:t>
      </w:r>
      <w:r>
        <w:rPr>
          <w:rFonts w:cs="Times New Roman"/>
          <w:szCs w:val="26"/>
        </w:rPr>
        <w:t xml:space="preserve"> </w:t>
      </w:r>
      <w:r w:rsidRPr="00613791">
        <w:rPr>
          <w:rFonts w:cs="Times New Roman"/>
          <w:szCs w:val="26"/>
        </w:rPr>
        <w:t xml:space="preserve">that the advertisements and other </w:t>
      </w:r>
      <w:r>
        <w:rPr>
          <w:rFonts w:cs="Times New Roman"/>
          <w:szCs w:val="26"/>
        </w:rPr>
        <w:t>communications</w:t>
      </w:r>
      <w:r w:rsidRPr="00613791">
        <w:rPr>
          <w:rFonts w:cs="Times New Roman"/>
          <w:szCs w:val="26"/>
        </w:rPr>
        <w:t xml:space="preserve"> </w:t>
      </w:r>
      <w:r>
        <w:rPr>
          <w:rFonts w:cs="Times New Roman"/>
          <w:szCs w:val="26"/>
        </w:rPr>
        <w:t>subsidized through the Ketchum Act</w:t>
      </w:r>
      <w:r w:rsidRPr="00613791">
        <w:rPr>
          <w:rFonts w:cs="Times New Roman"/>
          <w:szCs w:val="26"/>
        </w:rPr>
        <w:t xml:space="preserve"> represent government speech</w:t>
      </w:r>
      <w:r>
        <w:rPr>
          <w:rFonts w:cs="Times New Roman"/>
          <w:szCs w:val="26"/>
        </w:rPr>
        <w:t xml:space="preserve"> that plaintiffs could be required to subsidize without violating their right to free speech under article I, section 2</w:t>
      </w:r>
      <w:r w:rsidRPr="00613791">
        <w:rPr>
          <w:rFonts w:cs="Times New Roman"/>
          <w:szCs w:val="26"/>
        </w:rPr>
        <w:t xml:space="preserve">.  </w:t>
      </w:r>
      <w:r>
        <w:rPr>
          <w:rFonts w:cs="Times New Roman"/>
          <w:szCs w:val="26"/>
        </w:rPr>
        <w:t>The Commission advanced two rationales for treating its messaging as government speech.  First, it cast</w:t>
      </w:r>
      <w:r w:rsidRPr="00613791">
        <w:rPr>
          <w:rFonts w:cs="Times New Roman"/>
          <w:szCs w:val="26"/>
        </w:rPr>
        <w:t xml:space="preserve"> </w:t>
      </w:r>
      <w:r>
        <w:rPr>
          <w:rFonts w:cs="Times New Roman"/>
          <w:szCs w:val="26"/>
        </w:rPr>
        <w:t xml:space="preserve">itself </w:t>
      </w:r>
      <w:r w:rsidRPr="00613791">
        <w:rPr>
          <w:rFonts w:cs="Times New Roman"/>
          <w:szCs w:val="26"/>
        </w:rPr>
        <w:t>a</w:t>
      </w:r>
      <w:r>
        <w:rPr>
          <w:rFonts w:cs="Times New Roman"/>
          <w:szCs w:val="26"/>
        </w:rPr>
        <w:t>s a</w:t>
      </w:r>
      <w:r w:rsidRPr="00613791">
        <w:rPr>
          <w:rFonts w:cs="Times New Roman"/>
          <w:szCs w:val="26"/>
        </w:rPr>
        <w:t xml:space="preserve"> government agency capable of generating government speech</w:t>
      </w:r>
      <w:r>
        <w:rPr>
          <w:rFonts w:cs="Times New Roman"/>
          <w:szCs w:val="26"/>
        </w:rPr>
        <w:t xml:space="preserve"> on its own.  Second, t</w:t>
      </w:r>
      <w:r w:rsidRPr="00613791">
        <w:rPr>
          <w:rFonts w:cs="Times New Roman"/>
          <w:szCs w:val="26"/>
        </w:rPr>
        <w:t>he Commission</w:t>
      </w:r>
      <w:r>
        <w:rPr>
          <w:rFonts w:cs="Times New Roman"/>
          <w:szCs w:val="26"/>
        </w:rPr>
        <w:t xml:space="preserve"> asserted that e</w:t>
      </w:r>
      <w:r w:rsidRPr="00613791">
        <w:rPr>
          <w:rFonts w:cs="Times New Roman"/>
          <w:szCs w:val="26"/>
        </w:rPr>
        <w:t>ven if it was not</w:t>
      </w:r>
      <w:r>
        <w:rPr>
          <w:rFonts w:cs="Times New Roman"/>
          <w:szCs w:val="26"/>
        </w:rPr>
        <w:t xml:space="preserve"> itself a government speaker</w:t>
      </w:r>
      <w:r w:rsidRPr="00613791">
        <w:rPr>
          <w:rFonts w:cs="Times New Roman"/>
          <w:szCs w:val="26"/>
        </w:rPr>
        <w:t>,</w:t>
      </w:r>
      <w:r>
        <w:rPr>
          <w:rFonts w:cs="Times New Roman"/>
          <w:szCs w:val="26"/>
        </w:rPr>
        <w:t xml:space="preserve"> its</w:t>
      </w:r>
      <w:r w:rsidRPr="00613791">
        <w:rPr>
          <w:rFonts w:cs="Times New Roman"/>
          <w:szCs w:val="26"/>
        </w:rPr>
        <w:t xml:space="preserve"> </w:t>
      </w:r>
      <w:r>
        <w:rPr>
          <w:rFonts w:cs="Times New Roman"/>
          <w:szCs w:val="26"/>
        </w:rPr>
        <w:t>communications</w:t>
      </w:r>
      <w:r w:rsidRPr="00613791">
        <w:rPr>
          <w:rFonts w:cs="Times New Roman"/>
          <w:szCs w:val="26"/>
        </w:rPr>
        <w:t xml:space="preserve"> </w:t>
      </w:r>
      <w:r>
        <w:rPr>
          <w:rFonts w:cs="Times New Roman"/>
          <w:szCs w:val="26"/>
        </w:rPr>
        <w:t>qualified as government speech because they are effectively controlled</w:t>
      </w:r>
      <w:r w:rsidRPr="00613791">
        <w:rPr>
          <w:rFonts w:cs="Times New Roman"/>
          <w:szCs w:val="26"/>
        </w:rPr>
        <w:t xml:space="preserve"> by the </w:t>
      </w:r>
      <w:r>
        <w:rPr>
          <w:rFonts w:cs="Times New Roman"/>
          <w:szCs w:val="26"/>
        </w:rPr>
        <w:t>government</w:t>
      </w:r>
      <w:r w:rsidRPr="00613791">
        <w:rPr>
          <w:rFonts w:cs="Times New Roman"/>
          <w:szCs w:val="26"/>
        </w:rPr>
        <w:t xml:space="preserve">.  </w:t>
      </w:r>
      <w:r>
        <w:rPr>
          <w:rFonts w:cs="Times New Roman"/>
          <w:szCs w:val="26"/>
        </w:rPr>
        <w:t>As an alternative ground for summary judgment</w:t>
      </w:r>
      <w:r w:rsidRPr="00613791">
        <w:rPr>
          <w:rFonts w:cs="Times New Roman"/>
          <w:szCs w:val="26"/>
        </w:rPr>
        <w:t xml:space="preserve">, the Commission </w:t>
      </w:r>
      <w:r>
        <w:rPr>
          <w:rFonts w:cs="Times New Roman"/>
          <w:szCs w:val="26"/>
        </w:rPr>
        <w:t>argued</w:t>
      </w:r>
      <w:r w:rsidRPr="00613791">
        <w:rPr>
          <w:rFonts w:cs="Times New Roman"/>
          <w:szCs w:val="26"/>
        </w:rPr>
        <w:t xml:space="preserve"> that</w:t>
      </w:r>
      <w:r>
        <w:rPr>
          <w:rFonts w:cs="Times New Roman"/>
          <w:szCs w:val="26"/>
        </w:rPr>
        <w:t xml:space="preserve"> if its advertising and other speech did not represent government speech, </w:t>
      </w:r>
      <w:r w:rsidRPr="00613791">
        <w:rPr>
          <w:rFonts w:cs="Times New Roman"/>
          <w:szCs w:val="26"/>
        </w:rPr>
        <w:t xml:space="preserve">the </w:t>
      </w:r>
      <w:r>
        <w:rPr>
          <w:rFonts w:cs="Times New Roman"/>
          <w:szCs w:val="26"/>
        </w:rPr>
        <w:t xml:space="preserve">Act’s </w:t>
      </w:r>
      <w:r w:rsidRPr="00613791">
        <w:rPr>
          <w:rFonts w:cs="Times New Roman"/>
          <w:szCs w:val="26"/>
        </w:rPr>
        <w:t xml:space="preserve">compelled assessment program </w:t>
      </w:r>
      <w:r>
        <w:rPr>
          <w:rFonts w:cs="Times New Roman"/>
          <w:szCs w:val="26"/>
        </w:rPr>
        <w:t xml:space="preserve">nevertheless </w:t>
      </w:r>
      <w:r w:rsidRPr="00613791">
        <w:rPr>
          <w:rFonts w:cs="Times New Roman"/>
          <w:szCs w:val="26"/>
        </w:rPr>
        <w:t>survived intermediate scrutiny</w:t>
      </w:r>
      <w:r>
        <w:rPr>
          <w:rFonts w:cs="Times New Roman"/>
          <w:szCs w:val="26"/>
        </w:rPr>
        <w:t xml:space="preserve">.  </w:t>
      </w:r>
    </w:p>
    <w:p w:rsidR="00630AF4" w:rsidP="00486AD7">
      <w:pPr>
        <w:spacing w:after="0" w:line="480" w:lineRule="exact"/>
        <w:ind w:firstLine="720"/>
        <w:rPr>
          <w:rFonts w:cs="Times New Roman"/>
          <w:szCs w:val="26"/>
        </w:rPr>
      </w:pPr>
      <w:r w:rsidRPr="00613791">
        <w:rPr>
          <w:rFonts w:cs="Times New Roman"/>
          <w:szCs w:val="26"/>
        </w:rPr>
        <w:t>The superior court granted the Commission’s motion for summary judgment</w:t>
      </w:r>
      <w:r>
        <w:rPr>
          <w:rFonts w:cs="Times New Roman"/>
          <w:szCs w:val="26"/>
        </w:rPr>
        <w:t>,</w:t>
      </w:r>
      <w:r w:rsidRPr="00613791">
        <w:rPr>
          <w:rFonts w:cs="Times New Roman"/>
          <w:szCs w:val="26"/>
        </w:rPr>
        <w:t xml:space="preserve"> </w:t>
      </w:r>
      <w:r>
        <w:rPr>
          <w:rFonts w:cs="Times New Roman"/>
          <w:szCs w:val="26"/>
        </w:rPr>
        <w:t>reasoning</w:t>
      </w:r>
      <w:r w:rsidRPr="00613791">
        <w:rPr>
          <w:rFonts w:cs="Times New Roman"/>
          <w:szCs w:val="26"/>
        </w:rPr>
        <w:t xml:space="preserve"> that the Commission represent</w:t>
      </w:r>
      <w:r>
        <w:rPr>
          <w:rFonts w:cs="Times New Roman"/>
          <w:szCs w:val="26"/>
        </w:rPr>
        <w:t>s</w:t>
      </w:r>
      <w:r w:rsidRPr="00613791">
        <w:rPr>
          <w:rFonts w:cs="Times New Roman"/>
          <w:szCs w:val="26"/>
        </w:rPr>
        <w:t xml:space="preserve"> a government agency for purp</w:t>
      </w:r>
      <w:r>
        <w:rPr>
          <w:rFonts w:cs="Times New Roman"/>
          <w:szCs w:val="26"/>
        </w:rPr>
        <w:t xml:space="preserve">oses of the government speech </w:t>
      </w:r>
      <w:r w:rsidRPr="00613791">
        <w:rPr>
          <w:rFonts w:cs="Times New Roman"/>
          <w:szCs w:val="26"/>
        </w:rPr>
        <w:t xml:space="preserve">doctrine.  </w:t>
      </w:r>
      <w:r>
        <w:rPr>
          <w:rFonts w:cs="Times New Roman"/>
          <w:szCs w:val="26"/>
        </w:rPr>
        <w:t>Providing</w:t>
      </w:r>
      <w:r w:rsidRPr="00613791">
        <w:rPr>
          <w:rFonts w:cs="Times New Roman"/>
          <w:szCs w:val="26"/>
        </w:rPr>
        <w:t xml:space="preserve"> an additional basis for its holding, the court determined that the</w:t>
      </w:r>
      <w:r>
        <w:rPr>
          <w:rFonts w:cs="Times New Roman"/>
          <w:szCs w:val="26"/>
        </w:rPr>
        <w:t xml:space="preserve"> Act’s</w:t>
      </w:r>
      <w:r w:rsidRPr="00613791">
        <w:rPr>
          <w:rFonts w:cs="Times New Roman"/>
          <w:szCs w:val="26"/>
        </w:rPr>
        <w:t xml:space="preserve"> </w:t>
      </w:r>
      <w:r>
        <w:rPr>
          <w:rFonts w:cs="Times New Roman"/>
          <w:szCs w:val="26"/>
        </w:rPr>
        <w:t>compelled-subsidy</w:t>
      </w:r>
      <w:r w:rsidRPr="00613791">
        <w:rPr>
          <w:rFonts w:cs="Times New Roman"/>
          <w:szCs w:val="26"/>
        </w:rPr>
        <w:t xml:space="preserve"> program </w:t>
      </w:r>
      <w:r>
        <w:rPr>
          <w:rFonts w:cs="Times New Roman"/>
          <w:szCs w:val="26"/>
        </w:rPr>
        <w:t>directly advances a substantial government interest and is not more extensive than necessary to serve that interest, and therefore withstands</w:t>
      </w:r>
      <w:r w:rsidRPr="00613791">
        <w:rPr>
          <w:rFonts w:cs="Times New Roman"/>
          <w:szCs w:val="26"/>
        </w:rPr>
        <w:t xml:space="preserve"> intermediate scrutiny.  </w:t>
      </w:r>
    </w:p>
    <w:p w:rsidR="00391BB9" w:rsidP="00486AD7">
      <w:pPr>
        <w:spacing w:after="0" w:line="480" w:lineRule="exact"/>
        <w:ind w:firstLine="720"/>
        <w:rPr>
          <w:rFonts w:cs="Times New Roman"/>
          <w:szCs w:val="26"/>
        </w:rPr>
      </w:pPr>
      <w:r>
        <w:rPr>
          <w:rFonts w:cs="Times New Roman"/>
          <w:szCs w:val="26"/>
        </w:rPr>
        <w:t>When plaintiffs appealed, t</w:t>
      </w:r>
      <w:r w:rsidRPr="00613791">
        <w:rPr>
          <w:rFonts w:cs="Times New Roman"/>
          <w:szCs w:val="26"/>
        </w:rPr>
        <w:t xml:space="preserve">he Court of Appeal affirmed.  The Court of Appeal </w:t>
      </w:r>
      <w:r>
        <w:rPr>
          <w:rFonts w:cs="Times New Roman"/>
          <w:szCs w:val="26"/>
        </w:rPr>
        <w:t>determined, first, that article </w:t>
      </w:r>
      <w:r w:rsidRPr="00613791">
        <w:rPr>
          <w:rFonts w:cs="Times New Roman"/>
          <w:szCs w:val="26"/>
        </w:rPr>
        <w:t>I, section</w:t>
      </w:r>
      <w:r>
        <w:rPr>
          <w:rFonts w:cs="Times New Roman"/>
          <w:szCs w:val="26"/>
        </w:rPr>
        <w:t> </w:t>
      </w:r>
      <w:r w:rsidRPr="00613791">
        <w:rPr>
          <w:rFonts w:cs="Times New Roman"/>
          <w:szCs w:val="26"/>
        </w:rPr>
        <w:t>2</w:t>
      </w:r>
      <w:r>
        <w:rPr>
          <w:rFonts w:cs="Times New Roman"/>
          <w:szCs w:val="26"/>
        </w:rPr>
        <w:t xml:space="preserve"> does</w:t>
      </w:r>
      <w:r w:rsidRPr="00613791">
        <w:rPr>
          <w:rFonts w:cs="Times New Roman"/>
          <w:szCs w:val="26"/>
        </w:rPr>
        <w:t xml:space="preserve"> not demand a more </w:t>
      </w:r>
      <w:r>
        <w:rPr>
          <w:rFonts w:cs="Times New Roman"/>
          <w:szCs w:val="26"/>
        </w:rPr>
        <w:t xml:space="preserve">constrained construction of the </w:t>
      </w:r>
      <w:r w:rsidRPr="00613791">
        <w:rPr>
          <w:rFonts w:cs="Times New Roman"/>
          <w:szCs w:val="26"/>
        </w:rPr>
        <w:t>gover</w:t>
      </w:r>
      <w:r>
        <w:rPr>
          <w:rFonts w:cs="Times New Roman"/>
          <w:szCs w:val="26"/>
        </w:rPr>
        <w:t>nment speech doctrine than the one</w:t>
      </w:r>
      <w:r w:rsidRPr="00613791">
        <w:rPr>
          <w:rFonts w:cs="Times New Roman"/>
          <w:szCs w:val="26"/>
        </w:rPr>
        <w:t xml:space="preserve"> adopted by the United States Supreme Court in </w:t>
      </w:r>
      <w:r w:rsidRPr="00613791">
        <w:rPr>
          <w:rFonts w:cs="Times New Roman"/>
          <w:i/>
          <w:szCs w:val="26"/>
        </w:rPr>
        <w:t>Johanns v. L</w:t>
      </w:r>
      <w:r>
        <w:rPr>
          <w:rFonts w:cs="Times New Roman"/>
          <w:i/>
          <w:szCs w:val="26"/>
        </w:rPr>
        <w:t>i</w:t>
      </w:r>
      <w:r w:rsidRPr="00613791">
        <w:rPr>
          <w:rFonts w:cs="Times New Roman"/>
          <w:i/>
          <w:szCs w:val="26"/>
        </w:rPr>
        <w:t>vestock Marketing Assn</w:t>
      </w:r>
      <w:r>
        <w:rPr>
          <w:rFonts w:cs="Times New Roman"/>
          <w:i/>
          <w:szCs w:val="26"/>
        </w:rPr>
        <w:t>.</w:t>
      </w:r>
      <w:r w:rsidRPr="00613791">
        <w:rPr>
          <w:rFonts w:cs="Times New Roman"/>
          <w:szCs w:val="26"/>
        </w:rPr>
        <w:t xml:space="preserve"> (2005) 544 U.S. 550</w:t>
      </w:r>
      <w:r>
        <w:rPr>
          <w:rFonts w:cs="Times New Roman"/>
          <w:szCs w:val="26"/>
        </w:rPr>
        <w:t xml:space="preserve"> (</w:t>
      </w:r>
      <w:r w:rsidRPr="003E562B">
        <w:rPr>
          <w:rFonts w:cs="Times New Roman"/>
          <w:i/>
          <w:szCs w:val="26"/>
        </w:rPr>
        <w:t>Johanns</w:t>
      </w:r>
      <w:r>
        <w:rPr>
          <w:rFonts w:cs="Times New Roman"/>
          <w:szCs w:val="26"/>
        </w:rPr>
        <w:t>) as a matter of federal law</w:t>
      </w:r>
      <w:r w:rsidRPr="00613791">
        <w:rPr>
          <w:rFonts w:cs="Times New Roman"/>
          <w:szCs w:val="26"/>
        </w:rPr>
        <w:t xml:space="preserve">.  The Court of Appeal then </w:t>
      </w:r>
      <w:r>
        <w:rPr>
          <w:rFonts w:cs="Times New Roman"/>
          <w:szCs w:val="26"/>
        </w:rPr>
        <w:t xml:space="preserve">reviewed pertinent provisions of the Ketchum Act and concluded therefrom </w:t>
      </w:r>
      <w:r w:rsidRPr="00613791">
        <w:rPr>
          <w:rFonts w:cs="Times New Roman"/>
          <w:szCs w:val="26"/>
        </w:rPr>
        <w:t>“that the Commission</w:t>
      </w:r>
      <w:r>
        <w:rPr>
          <w:rFonts w:cs="Times New Roman"/>
          <w:szCs w:val="26"/>
        </w:rPr>
        <w:t>’</w:t>
      </w:r>
      <w:r w:rsidRPr="00613791">
        <w:rPr>
          <w:rFonts w:cs="Times New Roman"/>
          <w:szCs w:val="26"/>
        </w:rPr>
        <w:t xml:space="preserve">s promotional activities are effectively controlled by the state and therefore are government speech.” </w:t>
      </w:r>
      <w:r>
        <w:rPr>
          <w:rFonts w:cs="Times New Roman"/>
          <w:szCs w:val="26"/>
        </w:rPr>
        <w:t xml:space="preserve"> This conclusion, the Court of Appeal reasoned, meant that the Commission’s promotional activities are “</w:t>
      </w:r>
      <w:r w:rsidRPr="00116511">
        <w:rPr>
          <w:rFonts w:cs="Times New Roman"/>
          <w:szCs w:val="26"/>
        </w:rPr>
        <w:t>immune to challenge under the California Constitution</w:t>
      </w:r>
      <w:r>
        <w:rPr>
          <w:rFonts w:cs="Times New Roman"/>
          <w:szCs w:val="26"/>
        </w:rPr>
        <w:t xml:space="preserve">.”  </w:t>
      </w:r>
    </w:p>
    <w:p w:rsidR="00792C5B" w:rsidP="00111D24">
      <w:pPr>
        <w:spacing w:after="0" w:line="480" w:lineRule="exact"/>
        <w:ind w:firstLine="720"/>
        <w:rPr>
          <w:rFonts w:cs="Times New Roman"/>
          <w:sz w:val="24"/>
          <w:szCs w:val="24"/>
        </w:rPr>
      </w:pPr>
      <w:r>
        <w:rPr>
          <w:rFonts w:cs="Times New Roman"/>
          <w:szCs w:val="26"/>
        </w:rPr>
        <w:t xml:space="preserve">We granted review.  </w:t>
      </w:r>
    </w:p>
    <w:p w:rsidR="00DD0698" w:rsidP="00E408AA">
      <w:pPr>
        <w:keepNext/>
        <w:keepLines/>
        <w:spacing w:after="0" w:line="480" w:lineRule="exact"/>
        <w:jc w:val="center"/>
        <w:rPr>
          <w:rFonts w:cs="Times New Roman"/>
          <w:b/>
          <w:smallCaps/>
          <w:szCs w:val="26"/>
        </w:rPr>
      </w:pPr>
      <w:r>
        <w:rPr>
          <w:rFonts w:cs="Times New Roman"/>
          <w:b/>
          <w:smallCaps/>
          <w:szCs w:val="26"/>
        </w:rPr>
        <w:t xml:space="preserve">II.  </w:t>
      </w:r>
      <w:r w:rsidRPr="001535BE">
        <w:rPr>
          <w:rFonts w:cs="Times New Roman"/>
          <w:b/>
          <w:smallCaps/>
          <w:szCs w:val="26"/>
        </w:rPr>
        <w:t>Discussion</w:t>
      </w:r>
    </w:p>
    <w:p w:rsidR="00540BDB" w:rsidP="002B0C5B">
      <w:pPr>
        <w:spacing w:after="0" w:line="480" w:lineRule="exact"/>
        <w:ind w:firstLine="720"/>
        <w:rPr>
          <w:rFonts w:cs="Times New Roman"/>
          <w:szCs w:val="26"/>
        </w:rPr>
      </w:pPr>
      <w:r>
        <w:rPr>
          <w:rFonts w:cs="Times New Roman"/>
          <w:szCs w:val="26"/>
        </w:rPr>
        <w:t xml:space="preserve">This is not the first time this court has considered the relationship between article I, section 2 and the compelled subsidy of speech.  Through our previous encounters with this subject, we have concluded that a standard of intermediate scrutiny applies under article I, section 2 when the government compels the subsidization of </w:t>
      </w:r>
      <w:r w:rsidRPr="009B4ED7">
        <w:rPr>
          <w:rFonts w:cs="Times New Roman"/>
          <w:i/>
          <w:szCs w:val="26"/>
        </w:rPr>
        <w:t>private</w:t>
      </w:r>
      <w:r>
        <w:rPr>
          <w:rFonts w:cs="Times New Roman"/>
          <w:szCs w:val="26"/>
        </w:rPr>
        <w:t xml:space="preserve"> speech.  (</w:t>
      </w:r>
      <w:r w:rsidRPr="009C43F1">
        <w:rPr>
          <w:rFonts w:cs="Times New Roman"/>
          <w:i/>
          <w:szCs w:val="26"/>
        </w:rPr>
        <w:t>Gerawan</w:t>
      </w:r>
      <w:r>
        <w:rPr>
          <w:rFonts w:cs="Times New Roman"/>
          <w:i/>
          <w:szCs w:val="26"/>
        </w:rPr>
        <w:t> </w:t>
      </w:r>
      <w:r w:rsidRPr="009C43F1">
        <w:rPr>
          <w:rFonts w:cs="Times New Roman"/>
          <w:i/>
          <w:szCs w:val="26"/>
        </w:rPr>
        <w:t>II</w:t>
      </w:r>
      <w:r>
        <w:rPr>
          <w:rFonts w:cs="Times New Roman"/>
          <w:szCs w:val="26"/>
        </w:rPr>
        <w:t xml:space="preserve">, </w:t>
      </w:r>
      <w:r w:rsidRPr="009C43F1">
        <w:rPr>
          <w:rFonts w:cs="Times New Roman"/>
          <w:i/>
          <w:szCs w:val="26"/>
        </w:rPr>
        <w:t>supra</w:t>
      </w:r>
      <w:r>
        <w:rPr>
          <w:rFonts w:cs="Times New Roman"/>
          <w:szCs w:val="26"/>
        </w:rPr>
        <w:t xml:space="preserve">, 33 Cal.4th at p. 6.)  We also have indicated that greater deference would be accorded to state action that subsidizes only </w:t>
      </w:r>
      <w:r w:rsidRPr="009B4ED7">
        <w:rPr>
          <w:rFonts w:cs="Times New Roman"/>
          <w:i/>
          <w:szCs w:val="26"/>
        </w:rPr>
        <w:t>government</w:t>
      </w:r>
      <w:r>
        <w:rPr>
          <w:rFonts w:cs="Times New Roman"/>
          <w:szCs w:val="26"/>
        </w:rPr>
        <w:t xml:space="preserve"> speech.  (</w:t>
      </w:r>
      <w:r w:rsidRPr="009B4ED7">
        <w:rPr>
          <w:rFonts w:cs="Times New Roman"/>
          <w:i/>
          <w:szCs w:val="26"/>
        </w:rPr>
        <w:t>Id</w:t>
      </w:r>
      <w:r>
        <w:rPr>
          <w:rFonts w:cs="Times New Roman"/>
          <w:szCs w:val="26"/>
        </w:rPr>
        <w:t xml:space="preserve">., at pp. 26-28.)  We have not yet determined for ourselves, however, whether a particular compelled-subsidy program in fact generates government speech under article I, section 2.  </w:t>
      </w:r>
    </w:p>
    <w:p w:rsidR="002B0C5B" w:rsidP="002B0C5B">
      <w:pPr>
        <w:spacing w:after="0" w:line="480" w:lineRule="exact"/>
        <w:ind w:firstLine="720"/>
        <w:rPr>
          <w:rFonts w:cs="Times New Roman"/>
          <w:szCs w:val="26"/>
        </w:rPr>
      </w:pPr>
      <w:r>
        <w:rPr>
          <w:rFonts w:cs="Times New Roman"/>
          <w:szCs w:val="26"/>
        </w:rPr>
        <w:t xml:space="preserve">This case presents that issue, requiring us to decide whether speech developed and promulgated under the auspices of the Ketchum Act represents government speech.  According to plaintiffs, the Commission — being overwhelmingly populated by market participants, each of whom is appointed by the Secretary from a pair of nominees proposed by growers themselves — is essentially a private entity incapable of generating government speech on its own.  Plaintiffs also assert that the Ketchum Act does not otherwise ensure sufficient governmental accountability to the public regarding the messaging it contemplates for these communications to qualify as government speech.  Here, plaintiffs emphasize the absence of active engagement by the CDFA in the review and approval of the Commission’s promotional speech, and the fact that the Commission’s advertisements are not explicitly attributed to the state.  For its part, the Commission maintains that it is a state agency capable of generating government speech, even without oversight by the CDFA or other government actors.  Furthermore, the Commission adds, the extent of governmental control over the messaging promulgated under the Ketchum Act also leads to a finding that these communications represent government speech.   </w:t>
      </w:r>
    </w:p>
    <w:p w:rsidR="00045C23" w:rsidP="00165DCD">
      <w:pPr>
        <w:spacing w:after="0" w:line="480" w:lineRule="exact"/>
        <w:ind w:firstLine="720"/>
        <w:rPr>
          <w:rFonts w:cs="Times New Roman"/>
          <w:szCs w:val="26"/>
        </w:rPr>
      </w:pPr>
      <w:r>
        <w:rPr>
          <w:rFonts w:cs="Times New Roman"/>
          <w:szCs w:val="26"/>
        </w:rPr>
        <w:t>In evaluating these positions, we begin with an overview of two principles this case calls upon us to mediate: the free speech guarantee enshrined in article </w:t>
      </w:r>
      <w:r w:rsidRPr="00613791">
        <w:rPr>
          <w:rFonts w:cs="Times New Roman"/>
          <w:szCs w:val="26"/>
        </w:rPr>
        <w:t>I, section</w:t>
      </w:r>
      <w:r>
        <w:rPr>
          <w:rFonts w:cs="Times New Roman"/>
          <w:szCs w:val="26"/>
        </w:rPr>
        <w:t> </w:t>
      </w:r>
      <w:r w:rsidRPr="00613791">
        <w:rPr>
          <w:rFonts w:cs="Times New Roman"/>
          <w:szCs w:val="26"/>
        </w:rPr>
        <w:t>2</w:t>
      </w:r>
      <w:r>
        <w:rPr>
          <w:rFonts w:cs="Times New Roman"/>
          <w:szCs w:val="26"/>
        </w:rPr>
        <w:t xml:space="preserve">, and the government speech doctrine.  We then review a series of decisions in which this and other courts have evaluated assertions that compelled-subsidy programs do not implicate constitutional free speech protections because they subsidize only government speech.  Applying principles gleaned from the relevant precedent to the communications authorized by the Ketchum Act, we conclude that the promotional messaging under the Act constitutes government speech. </w:t>
      </w:r>
    </w:p>
    <w:p w:rsidR="00165DCD" w:rsidRPr="001873BE" w:rsidP="004F4C63">
      <w:pPr>
        <w:keepNext/>
        <w:keepLines/>
        <w:tabs>
          <w:tab w:val="left" w:pos="1080"/>
        </w:tabs>
        <w:spacing w:after="0" w:line="480" w:lineRule="exact"/>
        <w:ind w:firstLine="720"/>
        <w:rPr>
          <w:rFonts w:cs="Times New Roman"/>
          <w:b/>
          <w:szCs w:val="26"/>
        </w:rPr>
      </w:pPr>
      <w:r w:rsidRPr="00045C23">
        <w:rPr>
          <w:rFonts w:cs="Times New Roman"/>
          <w:b/>
          <w:szCs w:val="26"/>
        </w:rPr>
        <w:t>A.</w:t>
      </w:r>
      <w:r w:rsidRPr="00045C23">
        <w:rPr>
          <w:rFonts w:cs="Times New Roman"/>
          <w:b/>
          <w:szCs w:val="26"/>
        </w:rPr>
        <w:tab/>
      </w:r>
      <w:r>
        <w:rPr>
          <w:rFonts w:cs="Times New Roman"/>
          <w:b/>
          <w:szCs w:val="26"/>
        </w:rPr>
        <w:t>Article I, Section </w:t>
      </w:r>
      <w:r w:rsidRPr="00165DCD">
        <w:rPr>
          <w:rFonts w:cs="Times New Roman"/>
          <w:b/>
          <w:szCs w:val="26"/>
        </w:rPr>
        <w:t>2</w:t>
      </w:r>
    </w:p>
    <w:p w:rsidR="00AE7050" w:rsidP="00165DCD">
      <w:pPr>
        <w:spacing w:after="0" w:line="480" w:lineRule="exact"/>
        <w:ind w:firstLine="720"/>
        <w:rPr>
          <w:rFonts w:cs="Times New Roman"/>
          <w:szCs w:val="26"/>
        </w:rPr>
      </w:pPr>
      <w:r>
        <w:rPr>
          <w:rFonts w:cs="Times New Roman"/>
          <w:szCs w:val="26"/>
        </w:rPr>
        <w:t>Article I, section 2 of the California Constitution contains our state’s counterpart to the free speech provision found in the First Amendment to the United States Constitution.  Article I, section 2, subdivision (a) declares</w:t>
      </w:r>
      <w:r w:rsidRPr="006A316E">
        <w:rPr>
          <w:rFonts w:cs="Times New Roman"/>
          <w:szCs w:val="26"/>
        </w:rPr>
        <w:t>, “Every person may freely speak, write and publish his or her sentiments on all subjects, being responsible for the abuse of this right.  A law may not restrain or abridge liberty of speech or press.”</w:t>
      </w:r>
      <w:r>
        <w:rPr>
          <w:rStyle w:val="FootnoteReference"/>
          <w:rFonts w:cs="Times New Roman"/>
          <w:b/>
          <w:szCs w:val="26"/>
        </w:rPr>
        <w:footnoteReference w:id="11"/>
      </w:r>
      <w:r>
        <w:rPr>
          <w:rFonts w:cs="Times New Roman"/>
          <w:szCs w:val="26"/>
        </w:rPr>
        <w:t xml:space="preserve">  </w:t>
      </w:r>
    </w:p>
    <w:p w:rsidR="00260A47" w:rsidP="00260A47">
      <w:pPr>
        <w:pStyle w:val="ListParagraph"/>
        <w:spacing w:after="0" w:line="480" w:lineRule="exact"/>
        <w:ind w:left="0" w:firstLine="720"/>
        <w:contextualSpacing w:val="0"/>
        <w:rPr>
          <w:rFonts w:cs="Times New Roman"/>
          <w:szCs w:val="26"/>
        </w:rPr>
      </w:pPr>
      <w:r>
        <w:rPr>
          <w:rFonts w:cs="Times New Roman"/>
          <w:szCs w:val="26"/>
        </w:rPr>
        <w:t>This court has held that the free speech guarantee within article I, section 2</w:t>
      </w:r>
      <w:r w:rsidRPr="006A316E">
        <w:rPr>
          <w:rFonts w:cs="Times New Roman"/>
          <w:szCs w:val="26"/>
        </w:rPr>
        <w:t xml:space="preserve"> “ ‘is “at least as broad” as [citation] and in some ways is broader than [citation] the comparable provision of the federal Constitution’s First Amendment.’  [Citation.]  Unlike the First Amendment, California’s free speech clause ‘specifies a “right” to freedom of speech explicitly and not merely by implication,’ ‘runs against . . . private parties as well as governmental actors</w:t>
      </w:r>
      <w:r>
        <w:rPr>
          <w:rFonts w:cs="Times New Roman"/>
          <w:szCs w:val="26"/>
        </w:rPr>
        <w:t>’</w:t>
      </w:r>
      <w:r w:rsidRPr="006A316E">
        <w:rPr>
          <w:rFonts w:cs="Times New Roman"/>
          <w:szCs w:val="26"/>
        </w:rPr>
        <w:t xml:space="preserve"> and expressly ‘embrace[s] all subjects.’  [Citation.]  However, ‘</w:t>
      </w:r>
      <w:r>
        <w:rPr>
          <w:rFonts w:cs="Times New Roman"/>
          <w:szCs w:val="26"/>
        </w:rPr>
        <w:t>[</w:t>
      </w:r>
      <w:r w:rsidRPr="006A316E">
        <w:rPr>
          <w:rFonts w:cs="Times New Roman"/>
          <w:szCs w:val="26"/>
        </w:rPr>
        <w:t>m</w:t>
      </w:r>
      <w:r>
        <w:rPr>
          <w:rFonts w:cs="Times New Roman"/>
          <w:szCs w:val="26"/>
        </w:rPr>
        <w:t>]</w:t>
      </w:r>
      <w:r w:rsidRPr="006A316E">
        <w:rPr>
          <w:rFonts w:cs="Times New Roman"/>
          <w:szCs w:val="26"/>
        </w:rPr>
        <w:t xml:space="preserve">erely because our provision is worded </w:t>
      </w:r>
      <w:r>
        <w:rPr>
          <w:rFonts w:cs="Times New Roman"/>
          <w:szCs w:val="26"/>
        </w:rPr>
        <w:t>m</w:t>
      </w:r>
      <w:r w:rsidRPr="006A316E">
        <w:rPr>
          <w:rFonts w:cs="Times New Roman"/>
          <w:szCs w:val="26"/>
        </w:rPr>
        <w:t>ore expansively and has been interpreted as more protective than the First Amendment . . . does not mean that it is broader than the First Amendment in all its applications.’  [Citation.]”  (</w:t>
      </w:r>
      <w:r w:rsidRPr="006A316E">
        <w:rPr>
          <w:rFonts w:cs="Times New Roman"/>
          <w:i/>
          <w:szCs w:val="26"/>
        </w:rPr>
        <w:t>Beeman v. Anthem Prescription Management, LLC</w:t>
      </w:r>
      <w:r>
        <w:rPr>
          <w:rFonts w:cs="Times New Roman"/>
          <w:szCs w:val="26"/>
        </w:rPr>
        <w:t xml:space="preserve"> (2013) 58 </w:t>
      </w:r>
      <w:r w:rsidRPr="006A316E">
        <w:rPr>
          <w:rFonts w:cs="Times New Roman"/>
          <w:szCs w:val="26"/>
        </w:rPr>
        <w:t>Cal.4th 329, 341 (</w:t>
      </w:r>
      <w:r w:rsidRPr="006A316E">
        <w:rPr>
          <w:rFonts w:cs="Times New Roman"/>
          <w:i/>
          <w:szCs w:val="26"/>
        </w:rPr>
        <w:t>Beeman</w:t>
      </w:r>
      <w:r>
        <w:rPr>
          <w:rFonts w:cs="Times New Roman"/>
          <w:szCs w:val="26"/>
        </w:rPr>
        <w:t xml:space="preserve">); see also </w:t>
      </w:r>
      <w:r w:rsidRPr="004807DD">
        <w:rPr>
          <w:rFonts w:cs="Times New Roman"/>
          <w:i/>
          <w:szCs w:val="26"/>
        </w:rPr>
        <w:t>Edelstein v. City and County of San Francisco</w:t>
      </w:r>
      <w:r>
        <w:rPr>
          <w:rFonts w:cs="Times New Roman"/>
          <w:szCs w:val="26"/>
        </w:rPr>
        <w:t xml:space="preserve"> (2002) 29 Cal.4th 164, 168.)  Furthermore, a</w:t>
      </w:r>
      <w:r w:rsidRPr="006A316E">
        <w:rPr>
          <w:rFonts w:cs="Times New Roman"/>
          <w:szCs w:val="26"/>
        </w:rPr>
        <w:t xml:space="preserve">lthough </w:t>
      </w:r>
      <w:r>
        <w:rPr>
          <w:rFonts w:cs="Times New Roman"/>
          <w:szCs w:val="26"/>
        </w:rPr>
        <w:t xml:space="preserve">the state Constitution is an independent source of fundamental rights </w:t>
      </w:r>
      <w:r w:rsidRPr="006A316E">
        <w:rPr>
          <w:rFonts w:cs="Times New Roman"/>
          <w:szCs w:val="26"/>
        </w:rPr>
        <w:t>(</w:t>
      </w:r>
      <w:r w:rsidRPr="006A316E">
        <w:rPr>
          <w:rFonts w:cs="Times New Roman"/>
          <w:i/>
          <w:szCs w:val="26"/>
        </w:rPr>
        <w:t>Los Angeles Alliance for Survival v. City of Los Angeles</w:t>
      </w:r>
      <w:r>
        <w:rPr>
          <w:rFonts w:cs="Times New Roman"/>
          <w:szCs w:val="26"/>
        </w:rPr>
        <w:t xml:space="preserve"> (2000) 22 </w:t>
      </w:r>
      <w:r w:rsidRPr="006A316E">
        <w:rPr>
          <w:rFonts w:cs="Times New Roman"/>
          <w:szCs w:val="26"/>
        </w:rPr>
        <w:t xml:space="preserve">Cal.4th 352, </w:t>
      </w:r>
      <w:r>
        <w:rPr>
          <w:rFonts w:cs="Times New Roman"/>
          <w:szCs w:val="26"/>
        </w:rPr>
        <w:t>365; see also Cal. Const., art. I, § </w:t>
      </w:r>
      <w:r w:rsidRPr="006A316E">
        <w:rPr>
          <w:rFonts w:cs="Times New Roman"/>
          <w:szCs w:val="26"/>
        </w:rPr>
        <w:t>24), “our case law interpreting California’s free speech clause has given respectful consideration to First Amendment ca</w:t>
      </w:r>
      <w:r>
        <w:rPr>
          <w:rFonts w:cs="Times New Roman"/>
          <w:szCs w:val="26"/>
        </w:rPr>
        <w:t xml:space="preserve">se law for its persuasive value” </w:t>
      </w:r>
      <w:r w:rsidRPr="006A316E">
        <w:rPr>
          <w:rFonts w:cs="Times New Roman"/>
          <w:szCs w:val="26"/>
        </w:rPr>
        <w:t>(</w:t>
      </w:r>
      <w:r w:rsidRPr="006A316E">
        <w:rPr>
          <w:rFonts w:cs="Times New Roman"/>
          <w:i/>
          <w:szCs w:val="26"/>
        </w:rPr>
        <w:t>Beeman</w:t>
      </w:r>
      <w:r>
        <w:rPr>
          <w:rFonts w:cs="Times New Roman"/>
          <w:szCs w:val="26"/>
        </w:rPr>
        <w:t xml:space="preserve">, 58 Cal.4th at p. 341).  Thus, in appropriate situations we have construed article I, section 2 in a manner congruent with prevailing interpretations of the First Amendment.  (See, e.g., </w:t>
      </w:r>
      <w:r w:rsidRPr="008A33E4">
        <w:rPr>
          <w:rFonts w:cs="Times New Roman"/>
          <w:i/>
          <w:szCs w:val="26"/>
        </w:rPr>
        <w:t>Kasky v. Nike, Inc.</w:t>
      </w:r>
      <w:r>
        <w:rPr>
          <w:rFonts w:cs="Times New Roman"/>
          <w:szCs w:val="26"/>
        </w:rPr>
        <w:t xml:space="preserve"> (2002) 27 Cal.4th 939, 959-963.)  </w:t>
      </w:r>
    </w:p>
    <w:p w:rsidR="00260A47" w:rsidRPr="00260A47" w:rsidP="004F4C63">
      <w:pPr>
        <w:pStyle w:val="ListParagraph"/>
        <w:keepNext/>
        <w:keepLines/>
        <w:spacing w:after="0" w:line="480" w:lineRule="exact"/>
        <w:ind w:left="1080" w:hanging="360"/>
        <w:contextualSpacing w:val="0"/>
        <w:rPr>
          <w:rFonts w:cs="Times New Roman"/>
          <w:szCs w:val="26"/>
        </w:rPr>
      </w:pPr>
      <w:r>
        <w:rPr>
          <w:rFonts w:cs="Times New Roman"/>
          <w:b/>
          <w:szCs w:val="26"/>
        </w:rPr>
        <w:t>B</w:t>
      </w:r>
      <w:r w:rsidRPr="00963254">
        <w:rPr>
          <w:rFonts w:cs="Times New Roman"/>
          <w:b/>
          <w:szCs w:val="26"/>
        </w:rPr>
        <w:t>.</w:t>
      </w:r>
      <w:r w:rsidRPr="00963254">
        <w:rPr>
          <w:rFonts w:cs="Times New Roman"/>
          <w:b/>
          <w:szCs w:val="26"/>
        </w:rPr>
        <w:tab/>
        <w:t xml:space="preserve">Government Speech </w:t>
      </w:r>
    </w:p>
    <w:p w:rsidR="00AD40FB" w:rsidP="00260A47">
      <w:pPr>
        <w:pStyle w:val="ListParagraph"/>
        <w:spacing w:line="480" w:lineRule="exact"/>
        <w:ind w:left="0" w:firstLine="720"/>
        <w:rPr>
          <w:rFonts w:cs="Times New Roman"/>
          <w:szCs w:val="26"/>
        </w:rPr>
      </w:pPr>
      <w:r>
        <w:rPr>
          <w:rFonts w:cs="Times New Roman"/>
          <w:szCs w:val="26"/>
        </w:rPr>
        <w:t xml:space="preserve">Although individuals have a right to speak freely, they do not have the right </w:t>
      </w:r>
      <w:r w:rsidRPr="006C4A15">
        <w:rPr>
          <w:rFonts w:cs="Times New Roman"/>
          <w:i/>
          <w:szCs w:val="26"/>
        </w:rPr>
        <w:t>not</w:t>
      </w:r>
      <w:r>
        <w:rPr>
          <w:rFonts w:cs="Times New Roman"/>
          <w:szCs w:val="26"/>
        </w:rPr>
        <w:t xml:space="preserve"> to fund </w:t>
      </w:r>
      <w:r w:rsidRPr="006C4A15">
        <w:rPr>
          <w:rFonts w:cs="Times New Roman"/>
          <w:i/>
          <w:szCs w:val="26"/>
        </w:rPr>
        <w:t>government</w:t>
      </w:r>
      <w:r>
        <w:rPr>
          <w:rFonts w:cs="Times New Roman"/>
          <w:szCs w:val="26"/>
        </w:rPr>
        <w:t xml:space="preserve"> speech.  To recognize such a right would make effective governance impossible.  </w:t>
      </w:r>
    </w:p>
    <w:p w:rsidR="002F1E9A" w:rsidP="006C4A15">
      <w:pPr>
        <w:pStyle w:val="ListParagraph"/>
        <w:spacing w:line="480" w:lineRule="exact"/>
        <w:ind w:left="0" w:firstLine="720"/>
        <w:rPr>
          <w:rFonts w:cs="Times New Roman"/>
          <w:szCs w:val="26"/>
        </w:rPr>
      </w:pPr>
      <w:r>
        <w:rPr>
          <w:rFonts w:cs="Times New Roman"/>
          <w:szCs w:val="26"/>
        </w:rPr>
        <w:t xml:space="preserve">“Participation by the government in the system of freedom of expression is an essential feature of any democratic society.  It enables the government to inform, explain, and persuade — measures especially crucial in a society that attempts to govern itself with a minimum use of force.  Government participation also greatly enriches the system; it provides the facts, ideas, and expertise not available from other sources.  In short, government expression is a necessary and healthy part of the system.”  (Emerson, The System of Freedom of Expression (1970) p. 698.)  And when it speaks, the government inevitably will express viewpoints that some members of the body politic not only disagree with, but indeed find highly objectionable.  This purposive messaging represents an integral and, on the whole, beneficial part of the government’s basic functioning.  </w:t>
      </w:r>
    </w:p>
    <w:p w:rsidR="0085098C" w:rsidP="0085098C">
      <w:pPr>
        <w:pStyle w:val="ListParagraph"/>
        <w:spacing w:after="240" w:line="480" w:lineRule="exact"/>
        <w:ind w:left="0" w:firstLine="720"/>
        <w:contextualSpacing w:val="0"/>
        <w:rPr>
          <w:rFonts w:cs="Times New Roman"/>
          <w:szCs w:val="26"/>
        </w:rPr>
      </w:pPr>
      <w:r>
        <w:rPr>
          <w:rFonts w:cs="Times New Roman"/>
          <w:szCs w:val="26"/>
        </w:rPr>
        <w:t>These principles undergird the government speech doctrine, whereby state action that generates or constitutes government speech, rather than private speech, is regarded as outside the purview of the First Amendment to the United States Constitution.</w:t>
      </w:r>
      <w:r>
        <w:rPr>
          <w:rStyle w:val="FootnoteReference"/>
          <w:rFonts w:cs="Times New Roman"/>
          <w:b/>
          <w:szCs w:val="26"/>
        </w:rPr>
        <w:footnoteReference w:id="12"/>
      </w:r>
      <w:r>
        <w:rPr>
          <w:rFonts w:cs="Times New Roman"/>
          <w:szCs w:val="26"/>
        </w:rPr>
        <w:t xml:space="preserve">  (See, e.g., </w:t>
      </w:r>
      <w:r w:rsidRPr="00E408AA">
        <w:rPr>
          <w:rFonts w:cs="Times New Roman"/>
          <w:i/>
          <w:szCs w:val="26"/>
        </w:rPr>
        <w:t>Pleasant Grove City v. Summum</w:t>
      </w:r>
      <w:r>
        <w:rPr>
          <w:rFonts w:cs="Times New Roman"/>
          <w:szCs w:val="26"/>
        </w:rPr>
        <w:t xml:space="preserve"> (2009) 555 U.S. 460, 467 (</w:t>
      </w:r>
      <w:r w:rsidRPr="005D784E">
        <w:rPr>
          <w:rFonts w:cs="Times New Roman"/>
          <w:i/>
          <w:szCs w:val="26"/>
        </w:rPr>
        <w:t>Summum</w:t>
      </w:r>
      <w:r>
        <w:rPr>
          <w:rFonts w:cs="Times New Roman"/>
          <w:szCs w:val="26"/>
        </w:rPr>
        <w:t>) [“The Free Speech Clause restricts government regulation of private speech; it does not regulate government speech”].)  The doctrine also finds support in the fact that the electorate and the political process ultimately will determine what the government does and does not say.  (</w:t>
      </w:r>
      <w:r w:rsidRPr="005D67BF">
        <w:rPr>
          <w:rFonts w:cs="Times New Roman"/>
          <w:i/>
          <w:szCs w:val="26"/>
        </w:rPr>
        <w:t>Board of Regents of Univ</w:t>
      </w:r>
      <w:r>
        <w:rPr>
          <w:rFonts w:cs="Times New Roman"/>
          <w:i/>
          <w:szCs w:val="26"/>
        </w:rPr>
        <w:t>.</w:t>
      </w:r>
      <w:r w:rsidRPr="005D67BF">
        <w:rPr>
          <w:rFonts w:cs="Times New Roman"/>
          <w:i/>
          <w:szCs w:val="26"/>
        </w:rPr>
        <w:t xml:space="preserve"> of Wis</w:t>
      </w:r>
      <w:r>
        <w:rPr>
          <w:rFonts w:cs="Times New Roman"/>
          <w:i/>
          <w:szCs w:val="26"/>
        </w:rPr>
        <w:t>.</w:t>
      </w:r>
      <w:r w:rsidRPr="005D67BF">
        <w:rPr>
          <w:rFonts w:cs="Times New Roman"/>
          <w:i/>
          <w:szCs w:val="26"/>
        </w:rPr>
        <w:t xml:space="preserve"> </w:t>
      </w:r>
      <w:r>
        <w:rPr>
          <w:rFonts w:cs="Times New Roman"/>
          <w:i/>
          <w:szCs w:val="26"/>
        </w:rPr>
        <w:t xml:space="preserve">System </w:t>
      </w:r>
      <w:r w:rsidRPr="005D67BF">
        <w:rPr>
          <w:rFonts w:cs="Times New Roman"/>
          <w:i/>
          <w:szCs w:val="26"/>
        </w:rPr>
        <w:t xml:space="preserve">v. Southworth </w:t>
      </w:r>
      <w:r>
        <w:rPr>
          <w:rFonts w:cs="Times New Roman"/>
          <w:szCs w:val="26"/>
        </w:rPr>
        <w:t>(2000) 529 U.S. 217, 235 [“When the government speaks, for instance to promote its own policies or to advance a particular idea, it is, in the end, accountable to the electorate and the political process for its advocacy.  If the citizenry objects, newly elected officials later could espouse some different or contrary position.”].)  As the United States Supreme Court recently explained, “When the government speaks, it is not barred by the Free Speech Clause from determining the content of what it says.  [Citation.]  That freedom in part reflects the fact that it is the democratic electoral process that first and foremost provides a check on government speech.  [Citation.]  Thus, government statements (and government actions and programs that take the form of speech) do not normally trigger the First Amendment rules designed to protect the marketplace of ideas.  [Citation.]  Instead, the Free Speech Clause helps produce informed opinions among members of the public, who are then able to influence the choices of a government that, through words and deeds, will reflect this electoral mandate.  [Citation.]  [</w:t>
      </w:r>
      <w:r w:rsidRPr="00AD4D26">
        <w:rPr>
          <w:color w:val="212121"/>
        </w:rPr>
        <w:t>¶</w:t>
      </w:r>
      <w:r>
        <w:rPr>
          <w:rFonts w:cs="Times New Roman"/>
          <w:szCs w:val="26"/>
        </w:rPr>
        <w:t>]  Were the Free Speech Clause interpreted otherwise, government would not work.  How could a city government create a successful recycling program if officials, when writing householders asking them to recycle cans and bottles, had to include in the letter a long plea from the local trash disposal enterprise demanding the contrary?”  (</w:t>
      </w:r>
      <w:r w:rsidRPr="00DD0698">
        <w:rPr>
          <w:rFonts w:cs="Times New Roman"/>
          <w:i/>
          <w:szCs w:val="26"/>
        </w:rPr>
        <w:t>Walker v. Texas Div., Sons of Confederate Veterans, Inc.</w:t>
      </w:r>
      <w:r>
        <w:rPr>
          <w:rFonts w:cs="Times New Roman"/>
          <w:szCs w:val="26"/>
        </w:rPr>
        <w:t xml:space="preserve"> (2015) 576 U.S. ___, ___ [135 S.Ct. 2239, 2245-2246] (</w:t>
      </w:r>
      <w:r w:rsidRPr="00947E0A">
        <w:rPr>
          <w:rFonts w:cs="Times New Roman"/>
          <w:i/>
          <w:szCs w:val="26"/>
        </w:rPr>
        <w:t>Walker</w:t>
      </w:r>
      <w:r>
        <w:rPr>
          <w:rFonts w:cs="Times New Roman"/>
          <w:szCs w:val="26"/>
        </w:rPr>
        <w:t xml:space="preserve">); see also </w:t>
      </w:r>
      <w:r w:rsidRPr="00C654B0">
        <w:rPr>
          <w:rFonts w:cs="Times New Roman"/>
          <w:i/>
          <w:szCs w:val="26"/>
        </w:rPr>
        <w:t>Summum</w:t>
      </w:r>
      <w:r>
        <w:rPr>
          <w:rFonts w:cs="Times New Roman"/>
          <w:szCs w:val="26"/>
        </w:rPr>
        <w:t>, at p. 468 [“</w:t>
      </w:r>
      <w:r w:rsidRPr="00C654B0">
        <w:rPr>
          <w:rFonts w:cs="Times New Roman"/>
          <w:szCs w:val="26"/>
        </w:rPr>
        <w:t>it is not easy to imagine how government could fun</w:t>
      </w:r>
      <w:r>
        <w:rPr>
          <w:rFonts w:cs="Times New Roman"/>
          <w:szCs w:val="26"/>
        </w:rPr>
        <w:t xml:space="preserve">ction if it lacked this freedom”].) </w:t>
      </w:r>
    </w:p>
    <w:p w:rsidR="006330EE" w:rsidRPr="00426040" w:rsidP="00257211">
      <w:pPr>
        <w:pStyle w:val="ListParagraph"/>
        <w:keepNext/>
        <w:keepLines/>
        <w:spacing w:after="0" w:line="240" w:lineRule="auto"/>
        <w:ind w:left="1080" w:hanging="360"/>
        <w:rPr>
          <w:rFonts w:cs="Times New Roman"/>
          <w:b/>
          <w:szCs w:val="26"/>
        </w:rPr>
      </w:pPr>
      <w:r>
        <w:rPr>
          <w:rFonts w:cs="Times New Roman"/>
          <w:b/>
          <w:szCs w:val="26"/>
        </w:rPr>
        <w:t xml:space="preserve">C. </w:t>
      </w:r>
      <w:r>
        <w:rPr>
          <w:rFonts w:cs="Times New Roman"/>
          <w:b/>
          <w:szCs w:val="26"/>
        </w:rPr>
        <w:tab/>
        <w:t>Case Law Involving</w:t>
      </w:r>
      <w:r w:rsidRPr="00723ABD">
        <w:rPr>
          <w:rFonts w:cs="Times New Roman"/>
          <w:b/>
          <w:szCs w:val="26"/>
        </w:rPr>
        <w:t xml:space="preserve"> Free Speech Challenges to Compelled Subsidy Programs</w:t>
      </w:r>
      <w:r>
        <w:rPr>
          <w:rFonts w:cs="Times New Roman"/>
          <w:b/>
          <w:szCs w:val="26"/>
        </w:rPr>
        <w:t xml:space="preserve"> and the Government Speech Doctrine</w:t>
      </w:r>
      <w:r w:rsidRPr="00426040">
        <w:rPr>
          <w:rFonts w:cs="Times New Roman"/>
          <w:b/>
          <w:sz w:val="24"/>
          <w:szCs w:val="24"/>
        </w:rPr>
        <w:tab/>
        <w:t xml:space="preserve"> </w:t>
      </w:r>
    </w:p>
    <w:p w:rsidR="00454C0B" w:rsidP="00A25C3C">
      <w:pPr>
        <w:spacing w:after="0" w:line="480" w:lineRule="exact"/>
        <w:ind w:firstLine="720"/>
        <w:rPr>
          <w:rFonts w:cs="Times New Roman"/>
          <w:szCs w:val="26"/>
        </w:rPr>
      </w:pPr>
      <w:r>
        <w:rPr>
          <w:rFonts w:cs="Times New Roman"/>
          <w:szCs w:val="26"/>
        </w:rPr>
        <w:t xml:space="preserve">The right to free speech and the government speech doctrine have intersected in prior cases in which the plaintiffs have alleged that state action has unconstitutionally compelled them to subsidize viewpoints with which they disagree.  In some of these matters, the defendants have responded that the plaintiffs are paying only for government speech, rather than private speech, making the challenged action lawful.  The discussion below reviews how these arguments have been presented and addressed in prior decisions by this court, as well as other courts.   </w:t>
      </w:r>
    </w:p>
    <w:p w:rsidR="006907BA" w:rsidRPr="00723ABD" w:rsidP="00740970">
      <w:pPr>
        <w:spacing w:after="0" w:line="480" w:lineRule="exact"/>
        <w:ind w:left="1440" w:hanging="360"/>
        <w:rPr>
          <w:rFonts w:cs="Times New Roman"/>
          <w:i/>
          <w:szCs w:val="26"/>
        </w:rPr>
      </w:pPr>
      <w:r w:rsidRPr="00723ABD">
        <w:rPr>
          <w:rFonts w:cs="Times New Roman"/>
          <w:i/>
          <w:szCs w:val="26"/>
        </w:rPr>
        <w:t xml:space="preserve">1. </w:t>
      </w:r>
      <w:r w:rsidRPr="00723ABD">
        <w:rPr>
          <w:rFonts w:cs="Times New Roman"/>
          <w:i/>
          <w:szCs w:val="26"/>
        </w:rPr>
        <w:tab/>
        <w:t xml:space="preserve">Keller </w:t>
      </w:r>
    </w:p>
    <w:p w:rsidR="006907BA" w:rsidRPr="0069359B" w:rsidP="006907BA">
      <w:pPr>
        <w:spacing w:after="0" w:line="480" w:lineRule="exact"/>
        <w:ind w:firstLine="720"/>
        <w:rPr>
          <w:rFonts w:cs="Times New Roman"/>
          <w:szCs w:val="26"/>
        </w:rPr>
      </w:pPr>
      <w:r>
        <w:rPr>
          <w:rFonts w:cs="Times New Roman"/>
          <w:szCs w:val="26"/>
        </w:rPr>
        <w:t xml:space="preserve">The United States Supreme Court’s first extended discussion of the relationship between compelled subsidies and government speech occurred in </w:t>
      </w:r>
      <w:r w:rsidRPr="00152580">
        <w:rPr>
          <w:rFonts w:cs="Times New Roman"/>
          <w:i/>
          <w:szCs w:val="26"/>
        </w:rPr>
        <w:t>Keller</w:t>
      </w:r>
      <w:r w:rsidRPr="00152580">
        <w:rPr>
          <w:rFonts w:cs="Times New Roman"/>
          <w:szCs w:val="26"/>
        </w:rPr>
        <w:t xml:space="preserve"> </w:t>
      </w:r>
      <w:r w:rsidRPr="00152580">
        <w:rPr>
          <w:rFonts w:cs="Times New Roman"/>
          <w:i/>
          <w:szCs w:val="26"/>
        </w:rPr>
        <w:t>v. State Bar of California</w:t>
      </w:r>
      <w:r w:rsidRPr="00152580">
        <w:rPr>
          <w:rFonts w:cs="Times New Roman"/>
          <w:szCs w:val="26"/>
        </w:rPr>
        <w:t xml:space="preserve"> (1990) 496 U.S. 1 (</w:t>
      </w:r>
      <w:r w:rsidRPr="00152580">
        <w:rPr>
          <w:rFonts w:cs="Times New Roman"/>
          <w:i/>
          <w:szCs w:val="26"/>
        </w:rPr>
        <w:t>Keller</w:t>
      </w:r>
      <w:r w:rsidRPr="00152580">
        <w:rPr>
          <w:rFonts w:cs="Times New Roman"/>
          <w:szCs w:val="26"/>
        </w:rPr>
        <w:t>)</w:t>
      </w:r>
      <w:r>
        <w:rPr>
          <w:rFonts w:cs="Times New Roman"/>
          <w:szCs w:val="26"/>
        </w:rPr>
        <w:t xml:space="preserve">.  The high court had laid the foundation for the </w:t>
      </w:r>
      <w:r w:rsidRPr="0069359B">
        <w:rPr>
          <w:rFonts w:cs="Times New Roman"/>
          <w:i/>
          <w:szCs w:val="26"/>
        </w:rPr>
        <w:t>Keller</w:t>
      </w:r>
      <w:r>
        <w:rPr>
          <w:rFonts w:cs="Times New Roman"/>
          <w:szCs w:val="26"/>
        </w:rPr>
        <w:t xml:space="preserve"> litigation some time before, in </w:t>
      </w:r>
      <w:r w:rsidRPr="00152580">
        <w:rPr>
          <w:rFonts w:cs="Times New Roman"/>
          <w:i/>
          <w:szCs w:val="26"/>
        </w:rPr>
        <w:t>Abood v. Detroit Board of Education</w:t>
      </w:r>
      <w:r w:rsidRPr="00152580">
        <w:rPr>
          <w:rFonts w:cs="Times New Roman"/>
          <w:szCs w:val="26"/>
        </w:rPr>
        <w:t xml:space="preserve"> (1977) 431 U.S. 209</w:t>
      </w:r>
      <w:r>
        <w:rPr>
          <w:rFonts w:cs="Times New Roman"/>
          <w:szCs w:val="26"/>
        </w:rPr>
        <w:t xml:space="preserve"> (</w:t>
      </w:r>
      <w:r w:rsidRPr="00AB3ECB">
        <w:rPr>
          <w:rFonts w:cs="Times New Roman"/>
          <w:i/>
          <w:szCs w:val="26"/>
        </w:rPr>
        <w:t>Abood</w:t>
      </w:r>
      <w:r>
        <w:rPr>
          <w:rFonts w:cs="Times New Roman"/>
          <w:szCs w:val="26"/>
        </w:rPr>
        <w:t>).  There, the court reviewed a challenge brought under the First and Fourteenth Amendments to the United States Constitution to a requirement, authorized by statute, that public employees pay a union fee as a condition of employment.  (</w:t>
      </w:r>
      <w:r w:rsidRPr="0069359B">
        <w:rPr>
          <w:rFonts w:cs="Times New Roman"/>
          <w:i/>
          <w:szCs w:val="26"/>
        </w:rPr>
        <w:t>Id</w:t>
      </w:r>
      <w:r>
        <w:rPr>
          <w:rFonts w:cs="Times New Roman"/>
          <w:szCs w:val="26"/>
        </w:rPr>
        <w:t xml:space="preserve">., at pp. 211-213.)  The court in </w:t>
      </w:r>
      <w:r w:rsidRPr="00D81C83">
        <w:rPr>
          <w:rFonts w:cs="Times New Roman"/>
          <w:i/>
          <w:szCs w:val="26"/>
        </w:rPr>
        <w:t>Abood</w:t>
      </w:r>
      <w:r>
        <w:rPr>
          <w:rFonts w:cs="Times New Roman"/>
          <w:szCs w:val="26"/>
        </w:rPr>
        <w:t xml:space="preserve"> concluded that, notwithstanding the plaintiffs’ objections to the fee, the assessment was permissible to the extent that it subsidized activities that “ ‘promote[d] the cause which justified bringing the group together’ ” (</w:t>
      </w:r>
      <w:r>
        <w:rPr>
          <w:rFonts w:cs="Times New Roman"/>
          <w:i/>
          <w:szCs w:val="26"/>
        </w:rPr>
        <w:t>i</w:t>
      </w:r>
      <w:r w:rsidRPr="00A972E0">
        <w:rPr>
          <w:rFonts w:cs="Times New Roman"/>
          <w:i/>
          <w:szCs w:val="26"/>
        </w:rPr>
        <w:t>d</w:t>
      </w:r>
      <w:r>
        <w:rPr>
          <w:rFonts w:cs="Times New Roman"/>
          <w:szCs w:val="26"/>
        </w:rPr>
        <w:t>., at p. 223,</w:t>
      </w:r>
      <w:r w:rsidRPr="00E31915">
        <w:rPr>
          <w:rFonts w:cs="Times New Roman"/>
          <w:szCs w:val="26"/>
        </w:rPr>
        <w:t xml:space="preserve"> </w:t>
      </w:r>
      <w:r>
        <w:rPr>
          <w:rFonts w:cs="Times New Roman"/>
          <w:szCs w:val="26"/>
        </w:rPr>
        <w:t>quoting</w:t>
      </w:r>
      <w:r w:rsidRPr="00E31915">
        <w:rPr>
          <w:rFonts w:cs="Times New Roman"/>
          <w:i/>
          <w:szCs w:val="26"/>
        </w:rPr>
        <w:t xml:space="preserve"> Machinists v. Street </w:t>
      </w:r>
      <w:r>
        <w:rPr>
          <w:rFonts w:cs="Times New Roman"/>
          <w:szCs w:val="26"/>
        </w:rPr>
        <w:t xml:space="preserve">(1961) 367 U.S. 740, 778 (conc. opn. of Douglas, J.)), i.e., collective bargaining, </w:t>
      </w:r>
      <w:r w:rsidRPr="00A972E0">
        <w:rPr>
          <w:rFonts w:cs="Times New Roman"/>
          <w:szCs w:val="26"/>
        </w:rPr>
        <w:t xml:space="preserve">contract administration, and grievance-adjustment </w:t>
      </w:r>
      <w:r w:rsidRPr="006907BA">
        <w:rPr>
          <w:rFonts w:cs="Times New Roman"/>
          <w:szCs w:val="26"/>
        </w:rPr>
        <w:t>duties</w:t>
      </w:r>
      <w:r>
        <w:rPr>
          <w:rFonts w:cs="Times New Roman"/>
          <w:szCs w:val="26"/>
        </w:rPr>
        <w:t xml:space="preserve"> undertaken by the union (</w:t>
      </w:r>
      <w:r>
        <w:rPr>
          <w:rFonts w:cs="Times New Roman"/>
          <w:i/>
          <w:szCs w:val="26"/>
        </w:rPr>
        <w:t>Aboo</w:t>
      </w:r>
      <w:r w:rsidRPr="00A972E0">
        <w:rPr>
          <w:rFonts w:cs="Times New Roman"/>
          <w:i/>
          <w:szCs w:val="26"/>
        </w:rPr>
        <w:t>d</w:t>
      </w:r>
      <w:r>
        <w:rPr>
          <w:rFonts w:cs="Times New Roman"/>
          <w:szCs w:val="26"/>
        </w:rPr>
        <w:t>, at p. 232).  However, the</w:t>
      </w:r>
      <w:r w:rsidRPr="006907BA">
        <w:rPr>
          <w:rFonts w:cs="Times New Roman"/>
          <w:szCs w:val="26"/>
        </w:rPr>
        <w:t xml:space="preserve"> fee </w:t>
      </w:r>
      <w:r>
        <w:rPr>
          <w:rFonts w:cs="Times New Roman"/>
          <w:szCs w:val="26"/>
        </w:rPr>
        <w:t>could not be extracted over the employees’ objections</w:t>
      </w:r>
      <w:r w:rsidRPr="006907BA">
        <w:rPr>
          <w:rFonts w:cs="Times New Roman"/>
          <w:szCs w:val="26"/>
        </w:rPr>
        <w:t xml:space="preserve"> to pay for other speech, such as “the expression of political views . . . or . . . the advancement of other ideological causes</w:t>
      </w:r>
      <w:r>
        <w:rPr>
          <w:rFonts w:cs="Times New Roman"/>
          <w:szCs w:val="26"/>
        </w:rPr>
        <w:t>[,]</w:t>
      </w:r>
      <w:r w:rsidRPr="006907BA">
        <w:rPr>
          <w:rFonts w:cs="Times New Roman"/>
          <w:szCs w:val="26"/>
        </w:rPr>
        <w:t xml:space="preserve"> not germane to [the union’s] duties as collective</w:t>
      </w:r>
      <w:r>
        <w:rPr>
          <w:rFonts w:cs="Times New Roman"/>
          <w:szCs w:val="26"/>
        </w:rPr>
        <w:t>-</w:t>
      </w:r>
      <w:r w:rsidRPr="006907BA">
        <w:rPr>
          <w:rFonts w:cs="Times New Roman"/>
          <w:szCs w:val="26"/>
        </w:rPr>
        <w:t>bargaining representative.”  (</w:t>
      </w:r>
      <w:r w:rsidRPr="006907BA">
        <w:rPr>
          <w:rFonts w:cs="Times New Roman"/>
          <w:i/>
          <w:szCs w:val="26"/>
        </w:rPr>
        <w:t>Id</w:t>
      </w:r>
      <w:r w:rsidRPr="006907BA">
        <w:rPr>
          <w:rFonts w:cs="Times New Roman"/>
          <w:szCs w:val="26"/>
        </w:rPr>
        <w:t xml:space="preserve">., at p. 235.)  </w:t>
      </w:r>
    </w:p>
    <w:p w:rsidR="00193CF5" w:rsidP="006907BA">
      <w:pPr>
        <w:spacing w:after="0" w:line="480" w:lineRule="exact"/>
        <w:ind w:firstLine="720"/>
        <w:rPr>
          <w:rFonts w:cs="Times New Roman"/>
          <w:szCs w:val="26"/>
        </w:rPr>
      </w:pPr>
      <w:r>
        <w:rPr>
          <w:rFonts w:cs="Times New Roman"/>
          <w:szCs w:val="26"/>
        </w:rPr>
        <w:t>The Supreme Court applied a similar analysis</w:t>
      </w:r>
      <w:r w:rsidRPr="00152580">
        <w:rPr>
          <w:rFonts w:cs="Times New Roman"/>
          <w:szCs w:val="26"/>
        </w:rPr>
        <w:t xml:space="preserve"> in </w:t>
      </w:r>
      <w:r w:rsidRPr="00152580">
        <w:rPr>
          <w:rFonts w:cs="Times New Roman"/>
          <w:i/>
          <w:szCs w:val="26"/>
        </w:rPr>
        <w:t>Keller</w:t>
      </w:r>
      <w:r>
        <w:rPr>
          <w:rFonts w:cs="Times New Roman"/>
          <w:szCs w:val="26"/>
        </w:rPr>
        <w:t>,</w:t>
      </w:r>
      <w:r>
        <w:rPr>
          <w:rFonts w:cs="Times New Roman"/>
          <w:i/>
          <w:szCs w:val="26"/>
        </w:rPr>
        <w:t xml:space="preserve"> supra</w:t>
      </w:r>
      <w:r>
        <w:rPr>
          <w:rFonts w:cs="Times New Roman"/>
          <w:szCs w:val="26"/>
        </w:rPr>
        <w:t xml:space="preserve">, </w:t>
      </w:r>
      <w:r w:rsidRPr="00152580">
        <w:rPr>
          <w:rFonts w:cs="Times New Roman"/>
          <w:szCs w:val="26"/>
        </w:rPr>
        <w:t>496 U.S. 1</w:t>
      </w:r>
      <w:r>
        <w:rPr>
          <w:rFonts w:cs="Times New Roman"/>
          <w:szCs w:val="26"/>
        </w:rPr>
        <w:t>.  T</w:t>
      </w:r>
      <w:r w:rsidRPr="00152580">
        <w:rPr>
          <w:rFonts w:cs="Times New Roman"/>
          <w:szCs w:val="26"/>
        </w:rPr>
        <w:t xml:space="preserve">he </w:t>
      </w:r>
      <w:r>
        <w:rPr>
          <w:rFonts w:cs="Times New Roman"/>
          <w:szCs w:val="26"/>
        </w:rPr>
        <w:t xml:space="preserve">compelled subsidy in </w:t>
      </w:r>
      <w:r w:rsidRPr="00915866">
        <w:rPr>
          <w:rFonts w:cs="Times New Roman"/>
          <w:i/>
          <w:szCs w:val="26"/>
        </w:rPr>
        <w:t>Keller</w:t>
      </w:r>
      <w:r>
        <w:rPr>
          <w:rFonts w:cs="Times New Roman"/>
          <w:szCs w:val="26"/>
        </w:rPr>
        <w:t xml:space="preserve"> involved</w:t>
      </w:r>
      <w:r w:rsidRPr="00152580">
        <w:rPr>
          <w:rFonts w:cs="Times New Roman"/>
          <w:szCs w:val="26"/>
        </w:rPr>
        <w:t xml:space="preserve"> the California State Bar’s exaction of compulsory dues from its members.  The plaintiffs in </w:t>
      </w:r>
      <w:r w:rsidRPr="00152580">
        <w:rPr>
          <w:rFonts w:cs="Times New Roman"/>
          <w:i/>
          <w:szCs w:val="26"/>
        </w:rPr>
        <w:t>Keller</w:t>
      </w:r>
      <w:r w:rsidRPr="00152580">
        <w:rPr>
          <w:rFonts w:cs="Times New Roman"/>
          <w:szCs w:val="26"/>
        </w:rPr>
        <w:t xml:space="preserve"> argued that the use of these assessments to fund political or ideological activities that they opposed violated their rights under the First and Fourteenth Amendments.  (</w:t>
      </w:r>
      <w:r w:rsidRPr="00152580">
        <w:rPr>
          <w:rFonts w:cs="Times New Roman"/>
          <w:i/>
          <w:szCs w:val="26"/>
        </w:rPr>
        <w:t>Id</w:t>
      </w:r>
      <w:r w:rsidRPr="00152580">
        <w:rPr>
          <w:rFonts w:cs="Times New Roman"/>
          <w:szCs w:val="26"/>
        </w:rPr>
        <w:t>.</w:t>
      </w:r>
      <w:r>
        <w:rPr>
          <w:rFonts w:cs="Times New Roman"/>
          <w:szCs w:val="26"/>
        </w:rPr>
        <w:t>,</w:t>
      </w:r>
      <w:r w:rsidRPr="00152580">
        <w:rPr>
          <w:rFonts w:cs="Times New Roman"/>
          <w:szCs w:val="26"/>
        </w:rPr>
        <w:t xml:space="preserve"> at p. 4.)</w:t>
      </w:r>
      <w:r w:rsidRPr="00D81C83">
        <w:rPr>
          <w:rFonts w:cs="Times New Roman"/>
          <w:b/>
          <w:szCs w:val="26"/>
        </w:rPr>
        <w:t xml:space="preserve"> </w:t>
      </w:r>
      <w:r w:rsidRPr="00152580">
        <w:rPr>
          <w:rFonts w:cs="Times New Roman"/>
          <w:szCs w:val="26"/>
        </w:rPr>
        <w:t xml:space="preserve"> </w:t>
      </w:r>
    </w:p>
    <w:p w:rsidR="006907BA" w:rsidRPr="00152580" w:rsidP="006907BA">
      <w:pPr>
        <w:spacing w:after="0" w:line="480" w:lineRule="exact"/>
        <w:ind w:firstLine="720"/>
        <w:rPr>
          <w:rFonts w:cs="Times New Roman"/>
          <w:szCs w:val="26"/>
        </w:rPr>
      </w:pPr>
      <w:r w:rsidRPr="00152580">
        <w:rPr>
          <w:rFonts w:cs="Times New Roman"/>
          <w:szCs w:val="26"/>
        </w:rPr>
        <w:t>In proceedings</w:t>
      </w:r>
      <w:r>
        <w:rPr>
          <w:rFonts w:cs="Times New Roman"/>
          <w:szCs w:val="26"/>
        </w:rPr>
        <w:t xml:space="preserve"> below</w:t>
      </w:r>
      <w:r w:rsidRPr="00152580">
        <w:rPr>
          <w:rFonts w:cs="Times New Roman"/>
          <w:szCs w:val="26"/>
        </w:rPr>
        <w:t xml:space="preserve">, this court had rejected </w:t>
      </w:r>
      <w:r>
        <w:rPr>
          <w:rFonts w:cs="Times New Roman"/>
          <w:szCs w:val="26"/>
        </w:rPr>
        <w:t xml:space="preserve">the bulk of </w:t>
      </w:r>
      <w:r w:rsidRPr="00152580">
        <w:rPr>
          <w:rFonts w:cs="Times New Roman"/>
          <w:szCs w:val="26"/>
        </w:rPr>
        <w:t xml:space="preserve">the plaintiffs’ </w:t>
      </w:r>
      <w:r>
        <w:rPr>
          <w:rFonts w:cs="Times New Roman"/>
          <w:szCs w:val="26"/>
        </w:rPr>
        <w:t>free speech claim</w:t>
      </w:r>
      <w:r w:rsidRPr="00152580">
        <w:rPr>
          <w:rFonts w:cs="Times New Roman"/>
          <w:szCs w:val="26"/>
        </w:rPr>
        <w:t xml:space="preserve">, </w:t>
      </w:r>
      <w:r>
        <w:rPr>
          <w:rFonts w:cs="Times New Roman"/>
          <w:szCs w:val="26"/>
        </w:rPr>
        <w:t>invalidating the fee only</w:t>
      </w:r>
      <w:r w:rsidRPr="00152580">
        <w:rPr>
          <w:rFonts w:cs="Times New Roman"/>
          <w:szCs w:val="26"/>
        </w:rPr>
        <w:t xml:space="preserve"> insofar as </w:t>
      </w:r>
      <w:r>
        <w:rPr>
          <w:rFonts w:cs="Times New Roman"/>
          <w:szCs w:val="26"/>
        </w:rPr>
        <w:t>it subsidized</w:t>
      </w:r>
      <w:r w:rsidRPr="00152580">
        <w:rPr>
          <w:rFonts w:cs="Times New Roman"/>
          <w:szCs w:val="26"/>
        </w:rPr>
        <w:t xml:space="preserve"> electioneering </w:t>
      </w:r>
      <w:r>
        <w:rPr>
          <w:rFonts w:cs="Times New Roman"/>
          <w:szCs w:val="26"/>
        </w:rPr>
        <w:t>by the State B</w:t>
      </w:r>
      <w:r w:rsidRPr="00152580">
        <w:rPr>
          <w:rFonts w:cs="Times New Roman"/>
          <w:szCs w:val="26"/>
        </w:rPr>
        <w:t>ar outside of its statutory authority.  (</w:t>
      </w:r>
      <w:r w:rsidRPr="00152580">
        <w:rPr>
          <w:rFonts w:cs="Times New Roman"/>
          <w:i/>
          <w:szCs w:val="26"/>
        </w:rPr>
        <w:t>Keller v. State Bar</w:t>
      </w:r>
      <w:r w:rsidRPr="00AD4D26">
        <w:rPr>
          <w:i/>
        </w:rPr>
        <w:t xml:space="preserve"> </w:t>
      </w:r>
      <w:r w:rsidRPr="00152580">
        <w:rPr>
          <w:rFonts w:cs="Times New Roman"/>
          <w:szCs w:val="26"/>
        </w:rPr>
        <w:t xml:space="preserve">(1989) 47 Cal.3d 1152, 1168, 1172.)  </w:t>
      </w:r>
      <w:r>
        <w:rPr>
          <w:rFonts w:cs="Times New Roman"/>
          <w:szCs w:val="26"/>
        </w:rPr>
        <w:t>In an early application of the government speech doctrine, w</w:t>
      </w:r>
      <w:r w:rsidRPr="00152580">
        <w:rPr>
          <w:rFonts w:cs="Times New Roman"/>
          <w:szCs w:val="26"/>
        </w:rPr>
        <w:t>e reasoned that the State Bar’s status as a public corporation and other aspects of its composition and treatment under state law established that it was a government agency (</w:t>
      </w:r>
      <w:r w:rsidRPr="00152580">
        <w:rPr>
          <w:rFonts w:cs="Times New Roman"/>
          <w:i/>
          <w:szCs w:val="26"/>
        </w:rPr>
        <w:t>id</w:t>
      </w:r>
      <w:r w:rsidRPr="00152580">
        <w:rPr>
          <w:rFonts w:cs="Times New Roman"/>
          <w:szCs w:val="26"/>
        </w:rPr>
        <w:t>.</w:t>
      </w:r>
      <w:r>
        <w:rPr>
          <w:rFonts w:cs="Times New Roman"/>
          <w:szCs w:val="26"/>
        </w:rPr>
        <w:t>,</w:t>
      </w:r>
      <w:r w:rsidRPr="00152580">
        <w:rPr>
          <w:rFonts w:cs="Times New Roman"/>
          <w:szCs w:val="26"/>
        </w:rPr>
        <w:t xml:space="preserve"> at pp. 1161-1164),</w:t>
      </w:r>
      <w:r>
        <w:rPr>
          <w:rStyle w:val="FootnoteReference"/>
          <w:rFonts w:cs="Times New Roman"/>
          <w:b/>
          <w:szCs w:val="26"/>
        </w:rPr>
        <w:footnoteReference w:id="13"/>
      </w:r>
      <w:r w:rsidRPr="00152580">
        <w:rPr>
          <w:rFonts w:cs="Times New Roman"/>
          <w:szCs w:val="26"/>
        </w:rPr>
        <w:t xml:space="preserve"> and</w:t>
      </w:r>
      <w:r>
        <w:rPr>
          <w:rFonts w:cs="Times New Roman"/>
          <w:szCs w:val="26"/>
        </w:rPr>
        <w:t xml:space="preserve"> that</w:t>
      </w:r>
      <w:r w:rsidRPr="00152580">
        <w:rPr>
          <w:rFonts w:cs="Times New Roman"/>
          <w:szCs w:val="26"/>
        </w:rPr>
        <w:t xml:space="preserve"> as a government agency, </w:t>
      </w:r>
      <w:r>
        <w:rPr>
          <w:rFonts w:cs="Times New Roman"/>
          <w:szCs w:val="26"/>
        </w:rPr>
        <w:t>the State Bar</w:t>
      </w:r>
      <w:r w:rsidRPr="00152580">
        <w:rPr>
          <w:rFonts w:cs="Times New Roman"/>
          <w:szCs w:val="26"/>
        </w:rPr>
        <w:t xml:space="preserve"> could “use dues to finance all activities germane to its statutory purpose, a phrase which we construe broadly to permit the bar to comment generally upon proposed legislation or pending litigation.”  (</w:t>
      </w:r>
      <w:r w:rsidRPr="00152580">
        <w:rPr>
          <w:rFonts w:cs="Times New Roman"/>
          <w:i/>
          <w:szCs w:val="26"/>
        </w:rPr>
        <w:t>Id</w:t>
      </w:r>
      <w:r w:rsidRPr="00152580">
        <w:rPr>
          <w:rFonts w:cs="Times New Roman"/>
          <w:szCs w:val="26"/>
        </w:rPr>
        <w:t>., at p.</w:t>
      </w:r>
      <w:r>
        <w:rPr>
          <w:rFonts w:cs="Times New Roman"/>
          <w:szCs w:val="26"/>
        </w:rPr>
        <w:t> </w:t>
      </w:r>
      <w:r w:rsidRPr="00152580">
        <w:rPr>
          <w:rFonts w:cs="Times New Roman"/>
          <w:szCs w:val="26"/>
        </w:rPr>
        <w:t xml:space="preserve">1157.) </w:t>
      </w:r>
    </w:p>
    <w:p w:rsidR="00DE535C" w:rsidP="00C46500">
      <w:pPr>
        <w:spacing w:after="0" w:line="480" w:lineRule="exact"/>
        <w:ind w:firstLine="720"/>
        <w:rPr>
          <w:rFonts w:cs="Times New Roman"/>
          <w:szCs w:val="26"/>
        </w:rPr>
      </w:pPr>
      <w:r>
        <w:rPr>
          <w:rFonts w:cs="Times New Roman"/>
          <w:szCs w:val="26"/>
        </w:rPr>
        <w:t>T</w:t>
      </w:r>
      <w:r w:rsidRPr="00152580">
        <w:rPr>
          <w:rFonts w:cs="Times New Roman"/>
          <w:szCs w:val="26"/>
        </w:rPr>
        <w:t>he United States Supreme Court reversed</w:t>
      </w:r>
      <w:r>
        <w:rPr>
          <w:rFonts w:cs="Times New Roman"/>
          <w:szCs w:val="26"/>
        </w:rPr>
        <w:t xml:space="preserve">, concluding that the State Bar should not be considered a government actor in this context.  The unanimous decision in </w:t>
      </w:r>
      <w:r w:rsidRPr="0045305A">
        <w:rPr>
          <w:rFonts w:cs="Times New Roman"/>
          <w:i/>
          <w:szCs w:val="26"/>
        </w:rPr>
        <w:t>Keller</w:t>
      </w:r>
      <w:r>
        <w:rPr>
          <w:rFonts w:cs="Times New Roman"/>
          <w:szCs w:val="26"/>
        </w:rPr>
        <w:t xml:space="preserve">, </w:t>
      </w:r>
      <w:r w:rsidRPr="0045305A">
        <w:rPr>
          <w:rFonts w:cs="Times New Roman"/>
          <w:i/>
          <w:szCs w:val="26"/>
        </w:rPr>
        <w:t>supra</w:t>
      </w:r>
      <w:r>
        <w:rPr>
          <w:rFonts w:cs="Times New Roman"/>
          <w:szCs w:val="26"/>
        </w:rPr>
        <w:t xml:space="preserve">, 496 U.S. 1, </w:t>
      </w:r>
      <w:r w:rsidRPr="00152580">
        <w:rPr>
          <w:rFonts w:cs="Times New Roman"/>
          <w:szCs w:val="26"/>
        </w:rPr>
        <w:t>acknowledged that this court “is the final authority on the ‘governmental’ status of the State Bar of Californi</w:t>
      </w:r>
      <w:r>
        <w:rPr>
          <w:rFonts w:cs="Times New Roman"/>
          <w:szCs w:val="26"/>
        </w:rPr>
        <w:t>a for purposes of state law.”  (</w:t>
      </w:r>
      <w:r w:rsidRPr="00FC28CD">
        <w:rPr>
          <w:rFonts w:cs="Times New Roman"/>
          <w:i/>
          <w:szCs w:val="26"/>
        </w:rPr>
        <w:t>Id</w:t>
      </w:r>
      <w:r>
        <w:rPr>
          <w:rFonts w:cs="Times New Roman"/>
          <w:szCs w:val="26"/>
        </w:rPr>
        <w:t>., at p. 11.)  But, the high court continued, this determination of status, to the extent that it “</w:t>
      </w:r>
      <w:r w:rsidRPr="00D81C83">
        <w:rPr>
          <w:rFonts w:cs="Times New Roman"/>
          <w:szCs w:val="26"/>
        </w:rPr>
        <w:t>entitled</w:t>
      </w:r>
      <w:r>
        <w:rPr>
          <w:rFonts w:cs="Times New Roman"/>
          <w:szCs w:val="26"/>
        </w:rPr>
        <w:t xml:space="preserve"> [the State Bar]</w:t>
      </w:r>
      <w:r w:rsidRPr="00D81C83">
        <w:rPr>
          <w:rFonts w:cs="Times New Roman"/>
          <w:szCs w:val="26"/>
        </w:rPr>
        <w:t xml:space="preserve"> to the treatment accorded a governor, a mayor, or a state tax commission, for instance, is not binding on us when such a determination is essential to the decision of a federal question.</w:t>
      </w:r>
      <w:r>
        <w:rPr>
          <w:rFonts w:cs="Times New Roman"/>
          <w:szCs w:val="26"/>
        </w:rPr>
        <w:t>”  (</w:t>
      </w:r>
      <w:r>
        <w:rPr>
          <w:rFonts w:cs="Times New Roman"/>
          <w:i/>
          <w:szCs w:val="26"/>
        </w:rPr>
        <w:t>Ibid</w:t>
      </w:r>
      <w:r>
        <w:rPr>
          <w:rFonts w:cs="Times New Roman"/>
          <w:szCs w:val="26"/>
        </w:rPr>
        <w:t>.)</w:t>
      </w:r>
      <w:r w:rsidRPr="00152580">
        <w:rPr>
          <w:rFonts w:cs="Times New Roman"/>
          <w:szCs w:val="26"/>
        </w:rPr>
        <w:t xml:space="preserve">  </w:t>
      </w:r>
    </w:p>
    <w:p w:rsidR="00DE535C" w:rsidP="00C46500">
      <w:pPr>
        <w:spacing w:after="0" w:line="480" w:lineRule="exact"/>
        <w:ind w:firstLine="720"/>
        <w:rPr>
          <w:rFonts w:cs="Times New Roman"/>
          <w:szCs w:val="26"/>
        </w:rPr>
      </w:pPr>
      <w:r>
        <w:rPr>
          <w:rFonts w:cs="Times New Roman"/>
          <w:szCs w:val="26"/>
        </w:rPr>
        <w:t xml:space="preserve">Significantly, the Supreme Court in </w:t>
      </w:r>
      <w:r w:rsidRPr="00DE535C">
        <w:rPr>
          <w:rFonts w:cs="Times New Roman"/>
          <w:i/>
          <w:szCs w:val="26"/>
        </w:rPr>
        <w:t>Keller</w:t>
      </w:r>
      <w:r>
        <w:rPr>
          <w:rFonts w:cs="Times New Roman"/>
          <w:szCs w:val="26"/>
        </w:rPr>
        <w:t xml:space="preserve">, </w:t>
      </w:r>
      <w:r w:rsidRPr="00DE535C">
        <w:rPr>
          <w:rFonts w:cs="Times New Roman"/>
          <w:i/>
          <w:szCs w:val="26"/>
        </w:rPr>
        <w:t>supra</w:t>
      </w:r>
      <w:r>
        <w:rPr>
          <w:rFonts w:cs="Times New Roman"/>
          <w:szCs w:val="26"/>
        </w:rPr>
        <w:t xml:space="preserve">, 496 U.S. 1, recognized that there was no broad First Amendment right </w:t>
      </w:r>
      <w:r w:rsidRPr="00193CF5">
        <w:rPr>
          <w:rFonts w:cs="Times New Roman"/>
          <w:i/>
          <w:szCs w:val="26"/>
        </w:rPr>
        <w:t>not</w:t>
      </w:r>
      <w:r>
        <w:rPr>
          <w:rFonts w:cs="Times New Roman"/>
          <w:szCs w:val="26"/>
        </w:rPr>
        <w:t xml:space="preserve"> to fund speech by government officials and agencies.  Chief Justice Rehnquist’s opinion for the court observed that “[g]</w:t>
      </w:r>
      <w:r w:rsidRPr="00152580">
        <w:rPr>
          <w:rFonts w:cs="Times New Roman"/>
          <w:szCs w:val="26"/>
        </w:rPr>
        <w:t>overnment officials are expected as a part of the democratic process to represent and to espouse the views of a majority of their constituents.  With countless advocates outside of the government seeking to influence its policy, it would be ironic if those charged with making governmental decisions were not free to speak for themselves in the process.  If every citizen were to have a right to insist that no one paid by public funds express a view with which he disagreed, debate over issues of great concern to the public would be limited to those in the private sector, and the process of government as we know it radically transformed.  [Citation.]</w:t>
      </w:r>
      <w:r>
        <w:rPr>
          <w:rFonts w:cs="Times New Roman"/>
          <w:szCs w:val="26"/>
        </w:rPr>
        <w:t>”</w:t>
      </w:r>
      <w:r w:rsidRPr="00152580">
        <w:rPr>
          <w:rFonts w:cs="Times New Roman"/>
          <w:szCs w:val="26"/>
        </w:rPr>
        <w:t xml:space="preserve">  (</w:t>
      </w:r>
      <w:r>
        <w:rPr>
          <w:rFonts w:cs="Times New Roman"/>
          <w:i/>
          <w:szCs w:val="26"/>
        </w:rPr>
        <w:t>Keller</w:t>
      </w:r>
      <w:r w:rsidRPr="00152580">
        <w:rPr>
          <w:rFonts w:cs="Times New Roman"/>
          <w:szCs w:val="26"/>
        </w:rPr>
        <w:t>, at pp. 12-13.)</w:t>
      </w:r>
      <w:r>
        <w:rPr>
          <w:rFonts w:cs="Times New Roman"/>
          <w:szCs w:val="26"/>
        </w:rPr>
        <w:t xml:space="preserve">  </w:t>
      </w:r>
    </w:p>
    <w:p w:rsidR="00C46500" w:rsidP="00C46500">
      <w:pPr>
        <w:spacing w:after="0" w:line="480" w:lineRule="exact"/>
        <w:ind w:firstLine="720"/>
        <w:rPr>
          <w:rFonts w:cs="Times New Roman"/>
          <w:szCs w:val="26"/>
        </w:rPr>
      </w:pPr>
      <w:r w:rsidRPr="00DE535C">
        <w:rPr>
          <w:rFonts w:cs="Times New Roman"/>
          <w:i/>
          <w:szCs w:val="26"/>
        </w:rPr>
        <w:t>Keller</w:t>
      </w:r>
      <w:r>
        <w:rPr>
          <w:rFonts w:cs="Times New Roman"/>
          <w:szCs w:val="26"/>
        </w:rPr>
        <w:t xml:space="preserve">, </w:t>
      </w:r>
      <w:r w:rsidRPr="00DE535C">
        <w:rPr>
          <w:rFonts w:cs="Times New Roman"/>
          <w:i/>
          <w:szCs w:val="26"/>
        </w:rPr>
        <w:t>supra</w:t>
      </w:r>
      <w:r>
        <w:rPr>
          <w:rFonts w:cs="Times New Roman"/>
          <w:szCs w:val="26"/>
        </w:rPr>
        <w:t xml:space="preserve">, 496 U.S. 1, nevertheless disagreed with our application of this general principle to the State Bar.  The high court explained that </w:t>
      </w:r>
      <w:r w:rsidRPr="00152580">
        <w:rPr>
          <w:rFonts w:cs="Times New Roman"/>
          <w:szCs w:val="26"/>
        </w:rPr>
        <w:t>“the very specialized characteristics of the State Bar of California</w:t>
      </w:r>
      <w:r>
        <w:rPr>
          <w:rFonts w:cs="Times New Roman"/>
          <w:szCs w:val="26"/>
        </w:rPr>
        <w:t> . . </w:t>
      </w:r>
      <w:r w:rsidRPr="00152580">
        <w:rPr>
          <w:rFonts w:cs="Times New Roman"/>
          <w:szCs w:val="26"/>
        </w:rPr>
        <w:t>. serve</w:t>
      </w:r>
      <w:r>
        <w:rPr>
          <w:rFonts w:cs="Times New Roman"/>
          <w:szCs w:val="26"/>
        </w:rPr>
        <w:t>[]</w:t>
      </w:r>
      <w:r w:rsidRPr="00152580">
        <w:rPr>
          <w:rFonts w:cs="Times New Roman"/>
          <w:szCs w:val="26"/>
        </w:rPr>
        <w:t xml:space="preserve"> to distinguish it from the role of the typical government official or agency</w:t>
      </w:r>
      <w:r>
        <w:rPr>
          <w:rFonts w:cs="Times New Roman"/>
          <w:szCs w:val="26"/>
        </w:rPr>
        <w:t>.”</w:t>
      </w:r>
      <w:r w:rsidRPr="00152580">
        <w:rPr>
          <w:rFonts w:cs="Times New Roman"/>
          <w:szCs w:val="26"/>
        </w:rPr>
        <w:t xml:space="preserve">  </w:t>
      </w:r>
      <w:r>
        <w:rPr>
          <w:rFonts w:cs="Times New Roman"/>
          <w:szCs w:val="26"/>
        </w:rPr>
        <w:t>(</w:t>
      </w:r>
      <w:r>
        <w:rPr>
          <w:rFonts w:cs="Times New Roman"/>
          <w:i/>
          <w:szCs w:val="26"/>
        </w:rPr>
        <w:t>Id</w:t>
      </w:r>
      <w:r>
        <w:rPr>
          <w:rFonts w:cs="Times New Roman"/>
          <w:szCs w:val="26"/>
        </w:rPr>
        <w:t xml:space="preserve">., at p. 12.)  These characteristics included the </w:t>
      </w:r>
      <w:r w:rsidRPr="00152580">
        <w:rPr>
          <w:rFonts w:cs="Times New Roman"/>
          <w:szCs w:val="26"/>
        </w:rPr>
        <w:t>“essentially advisory” nature of the State Bar’s res</w:t>
      </w:r>
      <w:r>
        <w:rPr>
          <w:rFonts w:cs="Times New Roman"/>
          <w:szCs w:val="26"/>
        </w:rPr>
        <w:t xml:space="preserve">ponsibilities, and the fact that </w:t>
      </w:r>
      <w:r w:rsidRPr="00152580">
        <w:rPr>
          <w:rFonts w:cs="Times New Roman"/>
          <w:szCs w:val="26"/>
        </w:rPr>
        <w:t>attorneys</w:t>
      </w:r>
      <w:r>
        <w:rPr>
          <w:rFonts w:cs="Times New Roman"/>
          <w:szCs w:val="26"/>
        </w:rPr>
        <w:t>, not the general public,</w:t>
      </w:r>
      <w:r w:rsidRPr="00152580">
        <w:rPr>
          <w:rFonts w:cs="Times New Roman"/>
          <w:szCs w:val="26"/>
        </w:rPr>
        <w:t xml:space="preserve"> p</w:t>
      </w:r>
      <w:r>
        <w:rPr>
          <w:rFonts w:cs="Times New Roman"/>
          <w:szCs w:val="26"/>
        </w:rPr>
        <w:t xml:space="preserve">rovide the bulk of its funding. </w:t>
      </w:r>
      <w:r w:rsidRPr="00152580">
        <w:rPr>
          <w:rFonts w:cs="Times New Roman"/>
          <w:szCs w:val="26"/>
        </w:rPr>
        <w:t xml:space="preserve"> </w:t>
      </w:r>
      <w:r>
        <w:rPr>
          <w:rFonts w:cs="Times New Roman"/>
          <w:szCs w:val="26"/>
        </w:rPr>
        <w:t>(</w:t>
      </w:r>
      <w:r w:rsidRPr="00AD6BB6">
        <w:rPr>
          <w:rFonts w:cs="Times New Roman"/>
          <w:i/>
          <w:szCs w:val="26"/>
        </w:rPr>
        <w:t>Id</w:t>
      </w:r>
      <w:r>
        <w:rPr>
          <w:rFonts w:cs="Times New Roman"/>
          <w:szCs w:val="26"/>
        </w:rPr>
        <w:t xml:space="preserve">., at p. 11.)  The </w:t>
      </w:r>
      <w:r w:rsidRPr="00DE535C">
        <w:rPr>
          <w:rFonts w:cs="Times New Roman"/>
          <w:i/>
          <w:szCs w:val="26"/>
        </w:rPr>
        <w:t>Keller</w:t>
      </w:r>
      <w:r>
        <w:rPr>
          <w:rFonts w:cs="Times New Roman"/>
          <w:szCs w:val="26"/>
        </w:rPr>
        <w:t xml:space="preserve"> court observed, “</w:t>
      </w:r>
      <w:r w:rsidRPr="004D11F9">
        <w:rPr>
          <w:rFonts w:cs="Times New Roman"/>
          <w:szCs w:val="26"/>
        </w:rPr>
        <w:t xml:space="preserve">The State Bar of California was created, not to participate in the general government of the State, but to provide specialized professional advice to those with the ultimate responsibility of governing the legal profession. </w:t>
      </w:r>
      <w:r>
        <w:rPr>
          <w:rFonts w:cs="Times New Roman"/>
          <w:szCs w:val="26"/>
        </w:rPr>
        <w:t xml:space="preserve"> </w:t>
      </w:r>
      <w:r w:rsidRPr="004D11F9">
        <w:rPr>
          <w:rFonts w:cs="Times New Roman"/>
          <w:szCs w:val="26"/>
        </w:rPr>
        <w:t>Its members and officers are such not because they are citizens or voters, but because they are lawyers</w:t>
      </w:r>
      <w:r>
        <w:rPr>
          <w:rFonts w:cs="Times New Roman"/>
          <w:szCs w:val="26"/>
        </w:rPr>
        <w:t>.”  (</w:t>
      </w:r>
      <w:r w:rsidRPr="00C64445">
        <w:rPr>
          <w:rFonts w:cs="Times New Roman"/>
          <w:i/>
          <w:szCs w:val="26"/>
        </w:rPr>
        <w:t>Id</w:t>
      </w:r>
      <w:r>
        <w:rPr>
          <w:rFonts w:cs="Times New Roman"/>
          <w:szCs w:val="26"/>
        </w:rPr>
        <w:t xml:space="preserve">., at p. 13.)  The court therefore applied to the State Bar a distinction similar to the one recognized in </w:t>
      </w:r>
      <w:r w:rsidRPr="00C64445">
        <w:rPr>
          <w:rFonts w:cs="Times New Roman"/>
          <w:i/>
          <w:szCs w:val="26"/>
        </w:rPr>
        <w:t>Abood</w:t>
      </w:r>
      <w:r>
        <w:rPr>
          <w:rFonts w:cs="Times New Roman"/>
          <w:szCs w:val="26"/>
        </w:rPr>
        <w:t xml:space="preserve">, </w:t>
      </w:r>
      <w:r w:rsidRPr="00C563F9">
        <w:rPr>
          <w:rFonts w:cs="Times New Roman"/>
          <w:i/>
          <w:szCs w:val="26"/>
        </w:rPr>
        <w:t>supra</w:t>
      </w:r>
      <w:r>
        <w:rPr>
          <w:rFonts w:cs="Times New Roman"/>
          <w:szCs w:val="26"/>
        </w:rPr>
        <w:t xml:space="preserve">, 431 U.S. 209: “the </w:t>
      </w:r>
      <w:r w:rsidRPr="00C64445">
        <w:rPr>
          <w:rFonts w:cs="Times New Roman"/>
          <w:szCs w:val="26"/>
        </w:rPr>
        <w:t>compelled association and integrated</w:t>
      </w:r>
      <w:r>
        <w:rPr>
          <w:rFonts w:cs="Times New Roman"/>
          <w:szCs w:val="26"/>
        </w:rPr>
        <w:t xml:space="preserve"> bar are justified by the State’</w:t>
      </w:r>
      <w:r w:rsidRPr="00C64445">
        <w:rPr>
          <w:rFonts w:cs="Times New Roman"/>
          <w:szCs w:val="26"/>
        </w:rPr>
        <w:t>s interest in regulating the legal profession and improving th</w:t>
      </w:r>
      <w:r>
        <w:rPr>
          <w:rFonts w:cs="Times New Roman"/>
          <w:szCs w:val="26"/>
        </w:rPr>
        <w:t xml:space="preserve">e quality of legal services. </w:t>
      </w:r>
      <w:r w:rsidRPr="00C64445">
        <w:rPr>
          <w:rFonts w:cs="Times New Roman"/>
          <w:szCs w:val="26"/>
        </w:rPr>
        <w:t xml:space="preserve"> The State Bar may therefore constitutionally fund activities germane to those goals out of the mandatory dues of all members. </w:t>
      </w:r>
      <w:r>
        <w:rPr>
          <w:rFonts w:cs="Times New Roman"/>
          <w:szCs w:val="26"/>
        </w:rPr>
        <w:t xml:space="preserve"> </w:t>
      </w:r>
      <w:r w:rsidRPr="00C64445">
        <w:rPr>
          <w:rFonts w:cs="Times New Roman"/>
          <w:szCs w:val="26"/>
        </w:rPr>
        <w:t>It may not, however, in such manner fund activities of an ideological nature which fall outside of those areas of activity</w:t>
      </w:r>
      <w:r>
        <w:rPr>
          <w:rFonts w:cs="Times New Roman"/>
          <w:szCs w:val="26"/>
        </w:rPr>
        <w:t>.”  (</w:t>
      </w:r>
      <w:r>
        <w:rPr>
          <w:rFonts w:cs="Times New Roman"/>
          <w:i/>
          <w:szCs w:val="26"/>
        </w:rPr>
        <w:t>Keller</w:t>
      </w:r>
      <w:r>
        <w:rPr>
          <w:rFonts w:cs="Times New Roman"/>
          <w:szCs w:val="26"/>
        </w:rPr>
        <w:t xml:space="preserve">, at pp. 13-14.)  </w:t>
      </w:r>
    </w:p>
    <w:p w:rsidR="00AD6BB6" w:rsidRPr="00AD6BB6" w:rsidP="00740970">
      <w:pPr>
        <w:tabs>
          <w:tab w:val="left" w:pos="1080"/>
        </w:tabs>
        <w:spacing w:after="0" w:line="480" w:lineRule="exact"/>
        <w:ind w:left="1440" w:hanging="360"/>
        <w:rPr>
          <w:rFonts w:cs="Times New Roman"/>
          <w:i/>
          <w:szCs w:val="26"/>
        </w:rPr>
      </w:pPr>
      <w:r w:rsidRPr="00AD6BB6">
        <w:rPr>
          <w:rFonts w:cs="Times New Roman"/>
          <w:i/>
          <w:szCs w:val="26"/>
        </w:rPr>
        <w:t xml:space="preserve">2.  </w:t>
      </w:r>
      <w:r>
        <w:rPr>
          <w:rFonts w:cs="Times New Roman"/>
          <w:i/>
          <w:szCs w:val="26"/>
        </w:rPr>
        <w:tab/>
        <w:t>Glickman</w:t>
      </w:r>
    </w:p>
    <w:p w:rsidR="006907BA" w:rsidP="00A25C3C">
      <w:pPr>
        <w:spacing w:after="0" w:line="480" w:lineRule="exact"/>
        <w:ind w:firstLine="720"/>
        <w:rPr>
          <w:rFonts w:cs="Times New Roman"/>
          <w:szCs w:val="26"/>
        </w:rPr>
      </w:pPr>
      <w:r>
        <w:rPr>
          <w:rFonts w:cs="Times New Roman"/>
          <w:szCs w:val="26"/>
        </w:rPr>
        <w:t xml:space="preserve">The present litigation forms part of a continuum of cases that have built upon the holdings in </w:t>
      </w:r>
      <w:r w:rsidRPr="007629A1">
        <w:rPr>
          <w:rFonts w:cs="Times New Roman"/>
          <w:i/>
          <w:szCs w:val="26"/>
        </w:rPr>
        <w:t>Abood</w:t>
      </w:r>
      <w:r>
        <w:rPr>
          <w:rFonts w:cs="Times New Roman"/>
          <w:szCs w:val="26"/>
        </w:rPr>
        <w:t xml:space="preserve"> and </w:t>
      </w:r>
      <w:r w:rsidRPr="007629A1">
        <w:rPr>
          <w:rFonts w:cs="Times New Roman"/>
          <w:i/>
          <w:szCs w:val="26"/>
        </w:rPr>
        <w:t>Keller</w:t>
      </w:r>
      <w:r>
        <w:rPr>
          <w:rFonts w:cs="Times New Roman"/>
          <w:szCs w:val="26"/>
        </w:rPr>
        <w:t>.  The plaintiffs in these lawsuits have challenged compelled-subsidy programs within the agricultural sector as violating their right to free speech by forcing them to pay for generic advertising to which they object.</w:t>
      </w:r>
    </w:p>
    <w:p w:rsidR="007629A1" w:rsidP="007629A1">
      <w:pPr>
        <w:spacing w:after="0" w:line="480" w:lineRule="exact"/>
        <w:ind w:firstLine="720"/>
        <w:rPr>
          <w:rFonts w:cs="Times New Roman"/>
          <w:szCs w:val="26"/>
        </w:rPr>
      </w:pPr>
      <w:r>
        <w:rPr>
          <w:rFonts w:cs="Times New Roman"/>
          <w:szCs w:val="26"/>
        </w:rPr>
        <w:t xml:space="preserve">Initially, the government speech doctrine did not play a large role in this body of litigation, which proceeded on the assumption that these programs funded private, not government speech.  The government speech doctrine was not invoked at all in </w:t>
      </w:r>
      <w:r w:rsidRPr="00152580">
        <w:rPr>
          <w:rFonts w:cs="Times New Roman"/>
          <w:i/>
          <w:szCs w:val="26"/>
        </w:rPr>
        <w:t>Glickman v. Wileman Bro</w:t>
      </w:r>
      <w:r>
        <w:rPr>
          <w:rFonts w:cs="Times New Roman"/>
          <w:i/>
          <w:szCs w:val="26"/>
        </w:rPr>
        <w:t>ther</w:t>
      </w:r>
      <w:r w:rsidRPr="00152580">
        <w:rPr>
          <w:rFonts w:cs="Times New Roman"/>
          <w:i/>
          <w:szCs w:val="26"/>
        </w:rPr>
        <w:t>s &amp; Elliott, Inc.</w:t>
      </w:r>
      <w:r w:rsidRPr="00152580">
        <w:rPr>
          <w:rFonts w:cs="Times New Roman"/>
          <w:szCs w:val="26"/>
        </w:rPr>
        <w:t xml:space="preserve"> (1997) 521 U.S. 457 (</w:t>
      </w:r>
      <w:r w:rsidRPr="00152580">
        <w:rPr>
          <w:rFonts w:cs="Times New Roman"/>
          <w:i/>
          <w:szCs w:val="26"/>
        </w:rPr>
        <w:t>Glickman</w:t>
      </w:r>
      <w:r w:rsidRPr="00152580">
        <w:rPr>
          <w:rFonts w:cs="Times New Roman"/>
          <w:szCs w:val="26"/>
        </w:rPr>
        <w:t>)</w:t>
      </w:r>
      <w:r>
        <w:rPr>
          <w:rFonts w:cs="Times New Roman"/>
          <w:szCs w:val="26"/>
        </w:rPr>
        <w:t xml:space="preserve">, which rejected a First Amendment challenge to compelled assessments for advertising under </w:t>
      </w:r>
      <w:r w:rsidRPr="00152580">
        <w:rPr>
          <w:rFonts w:cs="Times New Roman"/>
          <w:szCs w:val="26"/>
        </w:rPr>
        <w:t>marketing order</w:t>
      </w:r>
      <w:r>
        <w:rPr>
          <w:rFonts w:cs="Times New Roman"/>
          <w:szCs w:val="26"/>
        </w:rPr>
        <w:t xml:space="preserve">s </w:t>
      </w:r>
      <w:r w:rsidRPr="00152580">
        <w:rPr>
          <w:rFonts w:cs="Times New Roman"/>
          <w:szCs w:val="26"/>
        </w:rPr>
        <w:t xml:space="preserve">issued </w:t>
      </w:r>
      <w:r>
        <w:rPr>
          <w:rFonts w:cs="Times New Roman"/>
          <w:szCs w:val="26"/>
        </w:rPr>
        <w:t>pursuant to</w:t>
      </w:r>
      <w:r w:rsidRPr="00152580">
        <w:rPr>
          <w:rFonts w:cs="Times New Roman"/>
          <w:szCs w:val="26"/>
        </w:rPr>
        <w:t xml:space="preserve"> the federal Agricultural Mar</w:t>
      </w:r>
      <w:r>
        <w:rPr>
          <w:rFonts w:cs="Times New Roman"/>
          <w:szCs w:val="26"/>
        </w:rPr>
        <w:t>keting Agreement Act of 1937. (7 </w:t>
      </w:r>
      <w:r w:rsidRPr="00152580">
        <w:rPr>
          <w:rFonts w:cs="Times New Roman"/>
          <w:szCs w:val="26"/>
        </w:rPr>
        <w:t>U.S.C. § 601 et seq.</w:t>
      </w:r>
      <w:r>
        <w:rPr>
          <w:rFonts w:cs="Times New Roman"/>
          <w:szCs w:val="26"/>
        </w:rPr>
        <w:t xml:space="preserve">; see </w:t>
      </w:r>
      <w:r w:rsidRPr="00961FA7">
        <w:rPr>
          <w:rFonts w:cs="Times New Roman"/>
          <w:i/>
          <w:szCs w:val="26"/>
        </w:rPr>
        <w:t>Glickman</w:t>
      </w:r>
      <w:r>
        <w:rPr>
          <w:rFonts w:cs="Times New Roman"/>
          <w:szCs w:val="26"/>
        </w:rPr>
        <w:t xml:space="preserve">, at p. 482, fn. 2 (dis. opn. of Souter, J.) [observing that the defendant had not argued “that the advertisements at issue represent so-called ‘government speech’ ”].)  Even without the government speech doctrine being interposed, the </w:t>
      </w:r>
      <w:r w:rsidRPr="00961FA7">
        <w:rPr>
          <w:rFonts w:cs="Times New Roman"/>
          <w:i/>
          <w:szCs w:val="26"/>
        </w:rPr>
        <w:t>Glickman</w:t>
      </w:r>
      <w:r>
        <w:rPr>
          <w:rFonts w:cs="Times New Roman"/>
          <w:szCs w:val="26"/>
        </w:rPr>
        <w:t xml:space="preserve"> court upheld the assessments because the charges represented “</w:t>
      </w:r>
      <w:r w:rsidRPr="00152580">
        <w:rPr>
          <w:rFonts w:cs="Times New Roman"/>
          <w:szCs w:val="26"/>
        </w:rPr>
        <w:t xml:space="preserve">part of a broader collective enterprise in which </w:t>
      </w:r>
      <w:r>
        <w:rPr>
          <w:rFonts w:cs="Times New Roman"/>
          <w:szCs w:val="26"/>
        </w:rPr>
        <w:t>[the plaintiffs’]</w:t>
      </w:r>
      <w:r w:rsidRPr="00152580">
        <w:rPr>
          <w:rFonts w:cs="Times New Roman"/>
          <w:szCs w:val="26"/>
        </w:rPr>
        <w:t xml:space="preserve"> freedom to act independently is already constrained by the regulatory scheme.”  (</w:t>
      </w:r>
      <w:r w:rsidRPr="00152580">
        <w:rPr>
          <w:rFonts w:cs="Times New Roman"/>
          <w:i/>
          <w:szCs w:val="26"/>
        </w:rPr>
        <w:t>Id</w:t>
      </w:r>
      <w:r w:rsidRPr="00152580">
        <w:rPr>
          <w:rFonts w:cs="Times New Roman"/>
          <w:szCs w:val="26"/>
        </w:rPr>
        <w:t>., at p. 469</w:t>
      </w:r>
      <w:r>
        <w:rPr>
          <w:rFonts w:cs="Times New Roman"/>
          <w:szCs w:val="26"/>
        </w:rPr>
        <w:t xml:space="preserve">; see also </w:t>
      </w:r>
      <w:r w:rsidRPr="006B0F4F">
        <w:rPr>
          <w:rFonts w:cs="Times New Roman"/>
          <w:i/>
          <w:szCs w:val="26"/>
        </w:rPr>
        <w:t>id</w:t>
      </w:r>
      <w:r>
        <w:rPr>
          <w:rFonts w:cs="Times New Roman"/>
          <w:szCs w:val="26"/>
        </w:rPr>
        <w:t>., at pp. 473-474, 476-477</w:t>
      </w:r>
      <w:r w:rsidRPr="00152580">
        <w:rPr>
          <w:rFonts w:cs="Times New Roman"/>
          <w:szCs w:val="26"/>
        </w:rPr>
        <w:t xml:space="preserve">.)  </w:t>
      </w:r>
      <w:r>
        <w:rPr>
          <w:rFonts w:cs="Times New Roman"/>
          <w:szCs w:val="26"/>
        </w:rPr>
        <w:t>The c</w:t>
      </w:r>
      <w:r w:rsidRPr="00152580">
        <w:rPr>
          <w:rFonts w:cs="Times New Roman"/>
          <w:szCs w:val="26"/>
        </w:rPr>
        <w:t xml:space="preserve">ourt </w:t>
      </w:r>
      <w:r>
        <w:rPr>
          <w:rFonts w:cs="Times New Roman"/>
          <w:szCs w:val="26"/>
        </w:rPr>
        <w:t>also noted that</w:t>
      </w:r>
      <w:r w:rsidRPr="00152580">
        <w:rPr>
          <w:rFonts w:cs="Times New Roman"/>
          <w:szCs w:val="26"/>
        </w:rPr>
        <w:t xml:space="preserve"> </w:t>
      </w:r>
      <w:r>
        <w:rPr>
          <w:rFonts w:cs="Times New Roman"/>
          <w:szCs w:val="26"/>
        </w:rPr>
        <w:t xml:space="preserve">the </w:t>
      </w:r>
      <w:r w:rsidRPr="00152580">
        <w:rPr>
          <w:rFonts w:cs="Times New Roman"/>
          <w:szCs w:val="26"/>
        </w:rPr>
        <w:t xml:space="preserve">marketing orders </w:t>
      </w:r>
      <w:r>
        <w:rPr>
          <w:rFonts w:cs="Times New Roman"/>
          <w:szCs w:val="26"/>
        </w:rPr>
        <w:t>did not impose</w:t>
      </w:r>
      <w:r w:rsidRPr="00152580">
        <w:rPr>
          <w:rFonts w:cs="Times New Roman"/>
          <w:szCs w:val="26"/>
        </w:rPr>
        <w:t xml:space="preserve"> any restraint on producers’ freedom to communicate any message to any audience</w:t>
      </w:r>
      <w:r>
        <w:rPr>
          <w:rFonts w:cs="Times New Roman"/>
          <w:szCs w:val="26"/>
        </w:rPr>
        <w:t>,</w:t>
      </w:r>
      <w:r w:rsidRPr="00152580">
        <w:rPr>
          <w:rFonts w:cs="Times New Roman"/>
          <w:szCs w:val="26"/>
        </w:rPr>
        <w:t xml:space="preserve"> </w:t>
      </w:r>
      <w:r>
        <w:rPr>
          <w:rFonts w:cs="Times New Roman"/>
          <w:szCs w:val="26"/>
        </w:rPr>
        <w:t xml:space="preserve">or </w:t>
      </w:r>
      <w:r w:rsidRPr="00152580">
        <w:rPr>
          <w:rFonts w:cs="Times New Roman"/>
          <w:szCs w:val="26"/>
        </w:rPr>
        <w:t>compe</w:t>
      </w:r>
      <w:r>
        <w:rPr>
          <w:rFonts w:cs="Times New Roman"/>
          <w:szCs w:val="26"/>
        </w:rPr>
        <w:t xml:space="preserve">l </w:t>
      </w:r>
      <w:r w:rsidRPr="00152580">
        <w:rPr>
          <w:rFonts w:cs="Times New Roman"/>
          <w:szCs w:val="26"/>
        </w:rPr>
        <w:t>producers to engage in any actual or symbolic speech</w:t>
      </w:r>
      <w:r>
        <w:rPr>
          <w:rFonts w:cs="Times New Roman"/>
          <w:szCs w:val="26"/>
        </w:rPr>
        <w:t>.</w:t>
      </w:r>
      <w:r w:rsidRPr="00152580">
        <w:rPr>
          <w:rFonts w:cs="Times New Roman"/>
          <w:szCs w:val="26"/>
        </w:rPr>
        <w:t xml:space="preserve">  (</w:t>
      </w:r>
      <w:r w:rsidRPr="00152580">
        <w:rPr>
          <w:rFonts w:cs="Times New Roman"/>
          <w:i/>
          <w:szCs w:val="26"/>
        </w:rPr>
        <w:t>Id</w:t>
      </w:r>
      <w:r w:rsidRPr="00152580">
        <w:rPr>
          <w:rFonts w:cs="Times New Roman"/>
          <w:szCs w:val="26"/>
        </w:rPr>
        <w:t>., at pp.</w:t>
      </w:r>
      <w:r>
        <w:rPr>
          <w:rFonts w:cs="Times New Roman"/>
          <w:szCs w:val="26"/>
        </w:rPr>
        <w:t> </w:t>
      </w:r>
      <w:r w:rsidRPr="00152580">
        <w:rPr>
          <w:rFonts w:cs="Times New Roman"/>
          <w:szCs w:val="26"/>
        </w:rPr>
        <w:t>469-47</w:t>
      </w:r>
      <w:r>
        <w:rPr>
          <w:rFonts w:cs="Times New Roman"/>
          <w:szCs w:val="26"/>
        </w:rPr>
        <w:t>1</w:t>
      </w:r>
      <w:r w:rsidRPr="00152580">
        <w:rPr>
          <w:rFonts w:cs="Times New Roman"/>
          <w:szCs w:val="26"/>
        </w:rPr>
        <w:t>.)</w:t>
      </w:r>
      <w:r>
        <w:rPr>
          <w:rFonts w:cs="Times New Roman"/>
          <w:szCs w:val="26"/>
        </w:rPr>
        <w:t xml:space="preserve">  To the </w:t>
      </w:r>
      <w:r>
        <w:rPr>
          <w:rFonts w:cs="Times New Roman"/>
          <w:i/>
          <w:szCs w:val="26"/>
        </w:rPr>
        <w:t xml:space="preserve">Glickman </w:t>
      </w:r>
      <w:r>
        <w:rPr>
          <w:rFonts w:cs="Times New Roman"/>
          <w:szCs w:val="26"/>
        </w:rPr>
        <w:t>court, the plaintiffs’ challenge implicated only “a species of economic regulation that should enjoy the same strong presumption of validity that we accord to other policy judgments made by Congress.”  (</w:t>
      </w:r>
      <w:r w:rsidRPr="006B0F4F">
        <w:rPr>
          <w:rFonts w:cs="Times New Roman"/>
          <w:i/>
          <w:szCs w:val="26"/>
        </w:rPr>
        <w:t>Id</w:t>
      </w:r>
      <w:r>
        <w:rPr>
          <w:rFonts w:cs="Times New Roman"/>
          <w:szCs w:val="26"/>
        </w:rPr>
        <w:t>., at p. 477.)</w:t>
      </w:r>
    </w:p>
    <w:p w:rsidR="00723ABD" w:rsidRPr="00723ABD" w:rsidP="00740970">
      <w:pPr>
        <w:tabs>
          <w:tab w:val="left" w:pos="1080"/>
        </w:tabs>
        <w:spacing w:after="0" w:line="480" w:lineRule="exact"/>
        <w:ind w:left="1440" w:hanging="360"/>
        <w:rPr>
          <w:rFonts w:cs="Times New Roman"/>
          <w:i/>
          <w:szCs w:val="26"/>
        </w:rPr>
      </w:pPr>
      <w:r w:rsidRPr="00723ABD">
        <w:rPr>
          <w:rFonts w:cs="Times New Roman"/>
          <w:i/>
          <w:szCs w:val="26"/>
        </w:rPr>
        <w:t xml:space="preserve">3. </w:t>
      </w:r>
      <w:r>
        <w:rPr>
          <w:rFonts w:cs="Times New Roman"/>
          <w:i/>
          <w:szCs w:val="26"/>
        </w:rPr>
        <w:tab/>
        <w:t>Gerawan </w:t>
      </w:r>
      <w:r w:rsidRPr="00723ABD">
        <w:rPr>
          <w:rFonts w:cs="Times New Roman"/>
          <w:i/>
          <w:szCs w:val="26"/>
        </w:rPr>
        <w:t>I</w:t>
      </w:r>
    </w:p>
    <w:p w:rsidR="00AE7050" w:rsidP="00915866">
      <w:pPr>
        <w:spacing w:after="0" w:line="480" w:lineRule="exact"/>
        <w:ind w:firstLine="720"/>
        <w:rPr>
          <w:rFonts w:cs="Times New Roman"/>
          <w:szCs w:val="26"/>
        </w:rPr>
      </w:pPr>
      <w:r>
        <w:rPr>
          <w:rFonts w:cs="Times New Roman"/>
          <w:szCs w:val="26"/>
        </w:rPr>
        <w:t xml:space="preserve">The government speech doctrine was invoked, but only belatedly, in </w:t>
      </w:r>
      <w:r>
        <w:rPr>
          <w:rFonts w:cs="Times New Roman"/>
          <w:i/>
          <w:szCs w:val="26"/>
        </w:rPr>
        <w:t>Gerawan </w:t>
      </w:r>
      <w:r w:rsidRPr="00045C23">
        <w:rPr>
          <w:rFonts w:cs="Times New Roman"/>
          <w:i/>
          <w:szCs w:val="26"/>
        </w:rPr>
        <w:t>I</w:t>
      </w:r>
      <w:r>
        <w:rPr>
          <w:rFonts w:cs="Times New Roman"/>
          <w:szCs w:val="26"/>
        </w:rPr>
        <w:t xml:space="preserve">, </w:t>
      </w:r>
      <w:r w:rsidRPr="00045C23">
        <w:rPr>
          <w:rFonts w:cs="Times New Roman"/>
          <w:i/>
          <w:szCs w:val="26"/>
        </w:rPr>
        <w:t>supra</w:t>
      </w:r>
      <w:r>
        <w:rPr>
          <w:rFonts w:cs="Times New Roman"/>
          <w:szCs w:val="26"/>
        </w:rPr>
        <w:t xml:space="preserve">, 24 Cal.4th 468.  </w:t>
      </w:r>
      <w:r w:rsidRPr="00296750">
        <w:rPr>
          <w:rFonts w:cs="Times New Roman"/>
          <w:szCs w:val="26"/>
        </w:rPr>
        <w:t xml:space="preserve">The plaintiff in </w:t>
      </w:r>
      <w:r>
        <w:rPr>
          <w:rFonts w:cs="Times New Roman"/>
          <w:i/>
          <w:szCs w:val="26"/>
        </w:rPr>
        <w:t>Gerawan </w:t>
      </w:r>
      <w:r w:rsidRPr="00296750">
        <w:rPr>
          <w:rFonts w:cs="Times New Roman"/>
          <w:i/>
          <w:szCs w:val="26"/>
        </w:rPr>
        <w:t>I</w:t>
      </w:r>
      <w:r>
        <w:rPr>
          <w:rFonts w:cs="Times New Roman"/>
          <w:szCs w:val="26"/>
        </w:rPr>
        <w:t xml:space="preserve"> </w:t>
      </w:r>
      <w:r w:rsidRPr="00296750">
        <w:rPr>
          <w:rFonts w:cs="Times New Roman"/>
          <w:szCs w:val="26"/>
        </w:rPr>
        <w:t xml:space="preserve">challenged a marketing order issued </w:t>
      </w:r>
      <w:r>
        <w:rPr>
          <w:rFonts w:cs="Times New Roman"/>
          <w:szCs w:val="26"/>
        </w:rPr>
        <w:t xml:space="preserve">by the CDFA </w:t>
      </w:r>
      <w:r w:rsidRPr="00296750">
        <w:rPr>
          <w:rFonts w:cs="Times New Roman"/>
          <w:szCs w:val="26"/>
        </w:rPr>
        <w:t xml:space="preserve">pursuant to the </w:t>
      </w:r>
      <w:r>
        <w:rPr>
          <w:rFonts w:cs="Times New Roman"/>
          <w:szCs w:val="26"/>
        </w:rPr>
        <w:t>California Marketing Act</w:t>
      </w:r>
      <w:r w:rsidRPr="00296750">
        <w:rPr>
          <w:rFonts w:cs="Times New Roman"/>
          <w:szCs w:val="26"/>
        </w:rPr>
        <w:t xml:space="preserve">. </w:t>
      </w:r>
      <w:r>
        <w:rPr>
          <w:rFonts w:cs="Times New Roman"/>
          <w:szCs w:val="26"/>
        </w:rPr>
        <w:t xml:space="preserve"> (</w:t>
      </w:r>
      <w:r>
        <w:rPr>
          <w:rFonts w:cs="Times New Roman"/>
          <w:i/>
          <w:szCs w:val="26"/>
        </w:rPr>
        <w:t>Gerawan I</w:t>
      </w:r>
      <w:r>
        <w:rPr>
          <w:rFonts w:cs="Times New Roman"/>
          <w:szCs w:val="26"/>
        </w:rPr>
        <w:t xml:space="preserve">, at pp. 479-480.)  </w:t>
      </w:r>
      <w:r w:rsidRPr="00296750">
        <w:rPr>
          <w:rFonts w:cs="Times New Roman"/>
          <w:szCs w:val="26"/>
        </w:rPr>
        <w:t xml:space="preserve">This order established the </w:t>
      </w:r>
      <w:r>
        <w:rPr>
          <w:rFonts w:cs="Times New Roman"/>
          <w:szCs w:val="26"/>
        </w:rPr>
        <w:t>California Plum Marketing Board, and</w:t>
      </w:r>
      <w:r w:rsidRPr="00296750">
        <w:rPr>
          <w:rFonts w:cs="Times New Roman"/>
          <w:szCs w:val="26"/>
        </w:rPr>
        <w:t xml:space="preserve"> required plum growers to finance generic advertising and other activities</w:t>
      </w:r>
      <w:r>
        <w:rPr>
          <w:rFonts w:cs="Times New Roman"/>
          <w:szCs w:val="26"/>
        </w:rPr>
        <w:t xml:space="preserve"> by the board</w:t>
      </w:r>
      <w:r w:rsidRPr="00296750">
        <w:rPr>
          <w:rFonts w:cs="Times New Roman"/>
          <w:szCs w:val="26"/>
        </w:rPr>
        <w:t xml:space="preserve"> through an assessment on their produce.  </w:t>
      </w:r>
      <w:r>
        <w:rPr>
          <w:rFonts w:cs="Times New Roman"/>
          <w:szCs w:val="26"/>
        </w:rPr>
        <w:t>(</w:t>
      </w:r>
      <w:r w:rsidRPr="00B17907">
        <w:rPr>
          <w:rFonts w:cs="Times New Roman"/>
          <w:i/>
          <w:szCs w:val="26"/>
        </w:rPr>
        <w:t>Ibid</w:t>
      </w:r>
      <w:r>
        <w:rPr>
          <w:rFonts w:cs="Times New Roman"/>
          <w:szCs w:val="26"/>
        </w:rPr>
        <w:t>.)  Comparably to the allegations here, t</w:t>
      </w:r>
      <w:r w:rsidRPr="00296750">
        <w:rPr>
          <w:rFonts w:cs="Times New Roman"/>
          <w:szCs w:val="26"/>
        </w:rPr>
        <w:t xml:space="preserve">he plaintiff in </w:t>
      </w:r>
      <w:r>
        <w:rPr>
          <w:rFonts w:cs="Times New Roman"/>
          <w:i/>
          <w:szCs w:val="26"/>
        </w:rPr>
        <w:t>Gerawan </w:t>
      </w:r>
      <w:r w:rsidRPr="00296750">
        <w:rPr>
          <w:rFonts w:cs="Times New Roman"/>
          <w:i/>
          <w:szCs w:val="26"/>
        </w:rPr>
        <w:t>I</w:t>
      </w:r>
      <w:r w:rsidRPr="00296750">
        <w:rPr>
          <w:rFonts w:cs="Times New Roman"/>
          <w:szCs w:val="26"/>
        </w:rPr>
        <w:t xml:space="preserve"> objected to the </w:t>
      </w:r>
      <w:r>
        <w:rPr>
          <w:rFonts w:cs="Times New Roman"/>
          <w:szCs w:val="26"/>
        </w:rPr>
        <w:t>marketing order</w:t>
      </w:r>
      <w:r w:rsidRPr="00296750">
        <w:rPr>
          <w:rFonts w:cs="Times New Roman"/>
          <w:szCs w:val="26"/>
        </w:rPr>
        <w:t xml:space="preserve"> </w:t>
      </w:r>
      <w:r>
        <w:rPr>
          <w:rFonts w:cs="Times New Roman"/>
          <w:szCs w:val="26"/>
        </w:rPr>
        <w:t>on the ground that it</w:t>
      </w:r>
      <w:r w:rsidRPr="00296750">
        <w:rPr>
          <w:rFonts w:cs="Times New Roman"/>
          <w:szCs w:val="26"/>
        </w:rPr>
        <w:t xml:space="preserve"> </w:t>
      </w:r>
      <w:r>
        <w:rPr>
          <w:rFonts w:cs="Times New Roman"/>
          <w:szCs w:val="26"/>
        </w:rPr>
        <w:t>required the plaintiff</w:t>
      </w:r>
      <w:r w:rsidRPr="00296750">
        <w:rPr>
          <w:rFonts w:cs="Times New Roman"/>
          <w:szCs w:val="26"/>
        </w:rPr>
        <w:t xml:space="preserve"> “to fund commercial speech in the form of generic advertising” against its will, with the advertising reflecting “ ‘viewpoints’ ” with which the plaintiff “</w:t>
      </w:r>
      <w:r>
        <w:rPr>
          <w:rFonts w:cs="Times New Roman"/>
          <w:szCs w:val="26"/>
        </w:rPr>
        <w:t> ‘</w:t>
      </w:r>
      <w:r w:rsidRPr="00296750">
        <w:rPr>
          <w:rFonts w:cs="Times New Roman"/>
          <w:szCs w:val="26"/>
        </w:rPr>
        <w:t>vehemently disagree[d].</w:t>
      </w:r>
      <w:r>
        <w:rPr>
          <w:rFonts w:cs="Times New Roman"/>
          <w:szCs w:val="26"/>
        </w:rPr>
        <w:t>’ </w:t>
      </w:r>
      <w:r w:rsidRPr="00296750">
        <w:rPr>
          <w:rFonts w:cs="Times New Roman"/>
          <w:szCs w:val="26"/>
        </w:rPr>
        <w:t xml:space="preserve">” </w:t>
      </w:r>
      <w:r>
        <w:rPr>
          <w:rFonts w:cs="Times New Roman"/>
          <w:szCs w:val="26"/>
        </w:rPr>
        <w:t xml:space="preserve"> (</w:t>
      </w:r>
      <w:r w:rsidRPr="00B17907">
        <w:rPr>
          <w:rFonts w:cs="Times New Roman"/>
          <w:i/>
          <w:szCs w:val="26"/>
        </w:rPr>
        <w:t>Id</w:t>
      </w:r>
      <w:r>
        <w:rPr>
          <w:rFonts w:cs="Times New Roman"/>
          <w:szCs w:val="26"/>
        </w:rPr>
        <w:t>., at p. 481.)  This directive, the plaintiff argued, violated its rights under both the First Amendment to the United States Constitution and article I, section 2 of the state Constitution.  (</w:t>
      </w:r>
      <w:r>
        <w:rPr>
          <w:rFonts w:cs="Times New Roman"/>
          <w:i/>
          <w:szCs w:val="26"/>
        </w:rPr>
        <w:t>Gerawan I</w:t>
      </w:r>
      <w:r>
        <w:rPr>
          <w:rFonts w:cs="Times New Roman"/>
          <w:szCs w:val="26"/>
        </w:rPr>
        <w:t xml:space="preserve">, at p. 480.) </w:t>
      </w:r>
    </w:p>
    <w:p w:rsidR="000540F6" w:rsidP="001873BE">
      <w:pPr>
        <w:spacing w:after="0" w:line="480" w:lineRule="exact"/>
        <w:ind w:firstLine="720"/>
        <w:rPr>
          <w:rFonts w:cs="Times New Roman"/>
          <w:szCs w:val="26"/>
        </w:rPr>
      </w:pPr>
      <w:r>
        <w:rPr>
          <w:rFonts w:cs="Times New Roman"/>
          <w:i/>
          <w:szCs w:val="26"/>
        </w:rPr>
        <w:t>Gerawan </w:t>
      </w:r>
      <w:r w:rsidRPr="00296750">
        <w:rPr>
          <w:rFonts w:cs="Times New Roman"/>
          <w:i/>
          <w:szCs w:val="26"/>
        </w:rPr>
        <w:t>I</w:t>
      </w:r>
      <w:r>
        <w:rPr>
          <w:rFonts w:cs="Times New Roman"/>
          <w:szCs w:val="26"/>
        </w:rPr>
        <w:t xml:space="preserve">, </w:t>
      </w:r>
      <w:r w:rsidRPr="00961FA7">
        <w:rPr>
          <w:rFonts w:cs="Times New Roman"/>
          <w:i/>
          <w:szCs w:val="26"/>
        </w:rPr>
        <w:t>supra</w:t>
      </w:r>
      <w:r>
        <w:rPr>
          <w:rFonts w:cs="Times New Roman"/>
          <w:szCs w:val="26"/>
        </w:rPr>
        <w:t xml:space="preserve">, 24 Cal.4th 468, followed the United States Supreme Court’s decision in </w:t>
      </w:r>
      <w:r>
        <w:rPr>
          <w:rFonts w:cs="Times New Roman"/>
          <w:i/>
          <w:szCs w:val="26"/>
        </w:rPr>
        <w:t>Glickman</w:t>
      </w:r>
      <w:r>
        <w:rPr>
          <w:rFonts w:cs="Times New Roman"/>
          <w:szCs w:val="26"/>
        </w:rPr>
        <w:t xml:space="preserve">, </w:t>
      </w:r>
      <w:r w:rsidRPr="00961FA7">
        <w:rPr>
          <w:rFonts w:cs="Times New Roman"/>
          <w:i/>
          <w:szCs w:val="26"/>
        </w:rPr>
        <w:t>supra</w:t>
      </w:r>
      <w:r>
        <w:rPr>
          <w:rFonts w:cs="Times New Roman"/>
          <w:szCs w:val="26"/>
        </w:rPr>
        <w:t>, 521 U.S. 457, in rejecting the plaintiff’s First Amendment claim.  (</w:t>
      </w:r>
      <w:r>
        <w:rPr>
          <w:rFonts w:cs="Times New Roman"/>
          <w:i/>
          <w:szCs w:val="26"/>
        </w:rPr>
        <w:t>Gerawan </w:t>
      </w:r>
      <w:r w:rsidRPr="0068124A">
        <w:rPr>
          <w:rFonts w:cs="Times New Roman"/>
          <w:i/>
          <w:szCs w:val="26"/>
        </w:rPr>
        <w:t>I</w:t>
      </w:r>
      <w:r>
        <w:rPr>
          <w:rFonts w:cs="Times New Roman"/>
          <w:szCs w:val="26"/>
        </w:rPr>
        <w:t>, at pp. 507-508.)  But with regard to article I, section 2, we determined that “article </w:t>
      </w:r>
      <w:r w:rsidRPr="00296750">
        <w:rPr>
          <w:rFonts w:cs="Times New Roman"/>
          <w:szCs w:val="26"/>
        </w:rPr>
        <w:t xml:space="preserve">I’s right to freedom of speech, without more, would </w:t>
      </w:r>
      <w:r w:rsidRPr="00296750">
        <w:rPr>
          <w:rFonts w:cs="Times New Roman"/>
          <w:i/>
          <w:szCs w:val="26"/>
        </w:rPr>
        <w:t>not</w:t>
      </w:r>
      <w:r w:rsidRPr="00296750">
        <w:rPr>
          <w:rFonts w:cs="Times New Roman"/>
          <w:szCs w:val="26"/>
        </w:rPr>
        <w:t xml:space="preserve"> allow compelling one who engages in commercial speech to fund speech in the form of advertising that he would otherwise not, when his message is about a lawful product or service and is not otherwise false or misleading.”</w:t>
      </w:r>
      <w:r>
        <w:rPr>
          <w:rFonts w:cs="Times New Roman"/>
          <w:szCs w:val="26"/>
        </w:rPr>
        <w:t xml:space="preserve"> </w:t>
      </w:r>
      <w:r w:rsidRPr="00296750">
        <w:rPr>
          <w:rFonts w:cs="Times New Roman"/>
          <w:szCs w:val="26"/>
        </w:rPr>
        <w:t xml:space="preserve"> (</w:t>
      </w:r>
      <w:r>
        <w:rPr>
          <w:rFonts w:cs="Times New Roman"/>
          <w:i/>
          <w:szCs w:val="26"/>
        </w:rPr>
        <w:t>Id.</w:t>
      </w:r>
      <w:r>
        <w:rPr>
          <w:rFonts w:cs="Times New Roman"/>
          <w:szCs w:val="26"/>
        </w:rPr>
        <w:t>, at pp. 509-510.</w:t>
      </w:r>
      <w:r w:rsidRPr="00296750">
        <w:rPr>
          <w:rFonts w:cs="Times New Roman"/>
          <w:szCs w:val="26"/>
        </w:rPr>
        <w:t>)  The plaintiff’s allegations were therefore “sufficient at</w:t>
      </w:r>
      <w:r>
        <w:rPr>
          <w:rFonts w:cs="Times New Roman"/>
          <w:szCs w:val="26"/>
        </w:rPr>
        <w:t xml:space="preserve"> least to implicate its article </w:t>
      </w:r>
      <w:r w:rsidRPr="00296750">
        <w:rPr>
          <w:rFonts w:cs="Times New Roman"/>
          <w:szCs w:val="26"/>
        </w:rPr>
        <w:t>I right to freedom of speech against the California Plum Marketing Program for compelling funding of generic advertising.”</w:t>
      </w:r>
      <w:r>
        <w:rPr>
          <w:rFonts w:cs="Times New Roman"/>
          <w:szCs w:val="26"/>
        </w:rPr>
        <w:t xml:space="preserve"> </w:t>
      </w:r>
      <w:r w:rsidRPr="00296750">
        <w:rPr>
          <w:rFonts w:cs="Times New Roman"/>
          <w:szCs w:val="26"/>
        </w:rPr>
        <w:t xml:space="preserve"> (</w:t>
      </w:r>
      <w:r w:rsidRPr="00A90FFE">
        <w:rPr>
          <w:rFonts w:cs="Times New Roman"/>
          <w:i/>
          <w:szCs w:val="26"/>
        </w:rPr>
        <w:t>Id</w:t>
      </w:r>
      <w:r w:rsidRPr="00296750">
        <w:rPr>
          <w:rFonts w:cs="Times New Roman"/>
          <w:szCs w:val="26"/>
        </w:rPr>
        <w:t xml:space="preserve">., at p. 510.)  </w:t>
      </w:r>
      <w:r>
        <w:rPr>
          <w:rFonts w:cs="Times New Roman"/>
          <w:i/>
          <w:szCs w:val="26"/>
        </w:rPr>
        <w:t>Gerawan </w:t>
      </w:r>
      <w:r w:rsidRPr="00E1321A">
        <w:rPr>
          <w:rFonts w:cs="Times New Roman"/>
          <w:i/>
          <w:szCs w:val="26"/>
        </w:rPr>
        <w:t>I</w:t>
      </w:r>
      <w:r w:rsidRPr="00296750">
        <w:rPr>
          <w:rFonts w:cs="Times New Roman"/>
          <w:szCs w:val="26"/>
        </w:rPr>
        <w:t xml:space="preserve"> added, however, that “[o]ur conclusion . . . brings no conclusion to this cause.  That the California Plum Marketing Program implicates [plaintiff’s] right to </w:t>
      </w:r>
      <w:r>
        <w:rPr>
          <w:rFonts w:cs="Times New Roman"/>
          <w:szCs w:val="26"/>
        </w:rPr>
        <w:t>freedom of speech under article </w:t>
      </w:r>
      <w:r w:rsidRPr="00296750">
        <w:rPr>
          <w:rFonts w:cs="Times New Roman"/>
          <w:szCs w:val="26"/>
        </w:rPr>
        <w:t xml:space="preserve">I does not mean that it violates such right.”  </w:t>
      </w:r>
      <w:r>
        <w:rPr>
          <w:rFonts w:cs="Times New Roman"/>
          <w:szCs w:val="26"/>
        </w:rPr>
        <w:t>(</w:t>
      </w:r>
      <w:r>
        <w:rPr>
          <w:rFonts w:cs="Times New Roman"/>
          <w:i/>
          <w:szCs w:val="26"/>
        </w:rPr>
        <w:t>I</w:t>
      </w:r>
      <w:r w:rsidRPr="00002520">
        <w:rPr>
          <w:rFonts w:cs="Times New Roman"/>
          <w:i/>
          <w:szCs w:val="26"/>
        </w:rPr>
        <w:t>d</w:t>
      </w:r>
      <w:r>
        <w:rPr>
          <w:rFonts w:cs="Times New Roman"/>
          <w:szCs w:val="26"/>
        </w:rPr>
        <w:t>., at p. 517.)  Whether the program had that effect was left for determination in subsequent proceedings.  (</w:t>
      </w:r>
      <w:r w:rsidRPr="005C5821">
        <w:rPr>
          <w:rFonts w:cs="Times New Roman"/>
          <w:i/>
          <w:szCs w:val="26"/>
        </w:rPr>
        <w:t>Ibid</w:t>
      </w:r>
      <w:r>
        <w:rPr>
          <w:rFonts w:cs="Times New Roman"/>
          <w:szCs w:val="26"/>
        </w:rPr>
        <w:t>.)</w:t>
      </w:r>
    </w:p>
    <w:p w:rsidR="00961FA7" w:rsidRPr="00522C5B" w:rsidP="00EB1753">
      <w:pPr>
        <w:spacing w:after="0" w:line="480" w:lineRule="exact"/>
        <w:ind w:firstLine="720"/>
        <w:rPr>
          <w:rFonts w:cs="Times New Roman"/>
          <w:spacing w:val="-1"/>
          <w:szCs w:val="26"/>
        </w:rPr>
      </w:pPr>
      <w:r w:rsidRPr="00522C5B">
        <w:rPr>
          <w:rFonts w:cs="Times New Roman"/>
          <w:spacing w:val="-1"/>
          <w:szCs w:val="26"/>
        </w:rPr>
        <w:t xml:space="preserve">At oral argument in </w:t>
      </w:r>
      <w:r w:rsidRPr="00522C5B">
        <w:rPr>
          <w:rFonts w:cs="Times New Roman"/>
          <w:i/>
          <w:spacing w:val="-1"/>
          <w:szCs w:val="26"/>
        </w:rPr>
        <w:t>Gerawan I</w:t>
      </w:r>
      <w:r w:rsidRPr="00522C5B">
        <w:rPr>
          <w:rFonts w:cs="Times New Roman"/>
          <w:spacing w:val="-1"/>
          <w:szCs w:val="26"/>
        </w:rPr>
        <w:t xml:space="preserve">, </w:t>
      </w:r>
      <w:r w:rsidRPr="00522C5B">
        <w:rPr>
          <w:rFonts w:cs="Times New Roman"/>
          <w:i/>
          <w:spacing w:val="-1"/>
          <w:szCs w:val="26"/>
        </w:rPr>
        <w:t>supra</w:t>
      </w:r>
      <w:r w:rsidRPr="00522C5B">
        <w:rPr>
          <w:rFonts w:cs="Times New Roman"/>
          <w:spacing w:val="-1"/>
          <w:szCs w:val="26"/>
        </w:rPr>
        <w:t>, 24 Cal.4th 468, amici curiae on behalf of the government sought to characterize the advertisements funded by the program as government speech.  (</w:t>
      </w:r>
      <w:r w:rsidRPr="00522C5B">
        <w:rPr>
          <w:rFonts w:cs="Times New Roman"/>
          <w:i/>
          <w:spacing w:val="-1"/>
          <w:szCs w:val="26"/>
        </w:rPr>
        <w:t>Id</w:t>
      </w:r>
      <w:r w:rsidRPr="00522C5B">
        <w:rPr>
          <w:rFonts w:cs="Times New Roman"/>
          <w:spacing w:val="-1"/>
          <w:szCs w:val="26"/>
        </w:rPr>
        <w:t>., at p. 515, fn. 13.)  We rejected this belated effort to inject the government speech doctrine into the case, observing that the plaintiff had not alleged facts within its complaint that, if true, would show that the advertising amounted to government speech, and that the CDFA had not premised its motion for judgment on the pleadings before the superior court on this ground.  Amici curiae’s arguments to this court were therefore “[t]oo little, too late.”  (</w:t>
      </w:r>
      <w:r>
        <w:rPr>
          <w:rFonts w:cs="Times New Roman"/>
          <w:i/>
          <w:spacing w:val="-1"/>
          <w:szCs w:val="26"/>
        </w:rPr>
        <w:t>Ibid</w:t>
      </w:r>
      <w:r>
        <w:rPr>
          <w:rFonts w:cs="Times New Roman"/>
          <w:spacing w:val="-1"/>
          <w:szCs w:val="26"/>
        </w:rPr>
        <w:t>.</w:t>
      </w:r>
      <w:r w:rsidRPr="00522C5B">
        <w:rPr>
          <w:rFonts w:cs="Times New Roman"/>
          <w:spacing w:val="-1"/>
          <w:szCs w:val="26"/>
        </w:rPr>
        <w:t xml:space="preserve">)  Earlier, in discussing the </w:t>
      </w:r>
      <w:r w:rsidRPr="00522C5B">
        <w:rPr>
          <w:rFonts w:cs="Times New Roman"/>
          <w:i/>
          <w:spacing w:val="-1"/>
          <w:szCs w:val="26"/>
        </w:rPr>
        <w:t>Glickman</w:t>
      </w:r>
      <w:r w:rsidRPr="00522C5B">
        <w:rPr>
          <w:rFonts w:cs="Times New Roman"/>
          <w:spacing w:val="-1"/>
          <w:szCs w:val="26"/>
        </w:rPr>
        <w:t xml:space="preserve"> case, </w:t>
      </w:r>
      <w:r w:rsidRPr="00522C5B">
        <w:rPr>
          <w:rFonts w:cs="Times New Roman"/>
          <w:i/>
          <w:spacing w:val="-1"/>
          <w:szCs w:val="26"/>
        </w:rPr>
        <w:t>Gerawan I</w:t>
      </w:r>
      <w:r w:rsidRPr="00522C5B">
        <w:rPr>
          <w:rFonts w:cs="Times New Roman"/>
          <w:spacing w:val="-1"/>
          <w:szCs w:val="26"/>
        </w:rPr>
        <w:t xml:space="preserve"> had described government speech as “somewhat tautologically, speech by the government itself concerning public affairs” and surmised that this characterization “does not appear to cover generic advertising under a federal marketing order, which is not so much a mechanism of regulation of the producers and handlers of an agricultural commodity by a government agency, as a mechanism of self-regulation by the producers and handlers themselves.”  (</w:t>
      </w:r>
      <w:r w:rsidRPr="00522C5B">
        <w:rPr>
          <w:rFonts w:cs="Times New Roman"/>
          <w:i/>
          <w:spacing w:val="-1"/>
          <w:szCs w:val="26"/>
        </w:rPr>
        <w:t>Id</w:t>
      </w:r>
      <w:r w:rsidRPr="00522C5B">
        <w:rPr>
          <w:rFonts w:cs="Times New Roman"/>
          <w:spacing w:val="-1"/>
          <w:szCs w:val="26"/>
        </w:rPr>
        <w:t xml:space="preserve">., at p. 503, fn. 8.)  </w:t>
      </w:r>
    </w:p>
    <w:p w:rsidR="00723ABD" w:rsidRPr="00723ABD" w:rsidP="00B816C3">
      <w:pPr>
        <w:keepNext/>
        <w:tabs>
          <w:tab w:val="left" w:pos="1080"/>
        </w:tabs>
        <w:spacing w:after="0" w:line="480" w:lineRule="exact"/>
        <w:ind w:left="1440" w:hanging="360"/>
        <w:rPr>
          <w:rFonts w:cs="Times New Roman"/>
          <w:i/>
          <w:szCs w:val="26"/>
        </w:rPr>
      </w:pPr>
      <w:r w:rsidRPr="00723ABD">
        <w:rPr>
          <w:rFonts w:cs="Times New Roman"/>
          <w:i/>
          <w:szCs w:val="26"/>
        </w:rPr>
        <w:t xml:space="preserve">4. </w:t>
      </w:r>
      <w:r>
        <w:rPr>
          <w:rFonts w:cs="Times New Roman"/>
          <w:i/>
          <w:szCs w:val="26"/>
        </w:rPr>
        <w:tab/>
      </w:r>
      <w:r w:rsidRPr="00723ABD">
        <w:rPr>
          <w:rFonts w:cs="Times New Roman"/>
          <w:i/>
          <w:szCs w:val="26"/>
        </w:rPr>
        <w:t>United Foods</w:t>
      </w:r>
    </w:p>
    <w:p w:rsidR="00EB1753" w:rsidP="00723ABD">
      <w:pPr>
        <w:spacing w:after="0" w:line="480" w:lineRule="exact"/>
        <w:ind w:firstLine="720"/>
        <w:rPr>
          <w:rFonts w:cs="Times New Roman"/>
          <w:szCs w:val="26"/>
        </w:rPr>
      </w:pPr>
      <w:r>
        <w:rPr>
          <w:rFonts w:cs="Times New Roman"/>
          <w:szCs w:val="26"/>
        </w:rPr>
        <w:t>The government speech doctrine also was raised too late to factor into the analysis in</w:t>
      </w:r>
      <w:r w:rsidRPr="00152580">
        <w:rPr>
          <w:rFonts w:cs="Times New Roman"/>
          <w:szCs w:val="26"/>
        </w:rPr>
        <w:t xml:space="preserve"> </w:t>
      </w:r>
      <w:r w:rsidRPr="00187C3F">
        <w:rPr>
          <w:rFonts w:cs="Times New Roman"/>
          <w:i/>
          <w:szCs w:val="26"/>
        </w:rPr>
        <w:t>United States v. United Foods, Inc.</w:t>
      </w:r>
      <w:r w:rsidRPr="00187C3F">
        <w:rPr>
          <w:rFonts w:cs="Times New Roman"/>
          <w:szCs w:val="26"/>
        </w:rPr>
        <w:t xml:space="preserve"> (2001)</w:t>
      </w:r>
      <w:r>
        <w:rPr>
          <w:rFonts w:cs="Times New Roman"/>
          <w:i/>
          <w:szCs w:val="26"/>
        </w:rPr>
        <w:t xml:space="preserve"> </w:t>
      </w:r>
      <w:r w:rsidRPr="00152580">
        <w:rPr>
          <w:rFonts w:cs="Times New Roman"/>
          <w:szCs w:val="26"/>
        </w:rPr>
        <w:t>533 U.S. 405</w:t>
      </w:r>
      <w:r>
        <w:rPr>
          <w:rFonts w:cs="Times New Roman"/>
          <w:szCs w:val="26"/>
        </w:rPr>
        <w:t xml:space="preserve"> (</w:t>
      </w:r>
      <w:r w:rsidRPr="00187C3F">
        <w:rPr>
          <w:rFonts w:cs="Times New Roman"/>
          <w:i/>
          <w:szCs w:val="26"/>
        </w:rPr>
        <w:t>United Foods</w:t>
      </w:r>
      <w:r>
        <w:rPr>
          <w:rFonts w:cs="Times New Roman"/>
          <w:szCs w:val="26"/>
        </w:rPr>
        <w:t>), another case that involved the relationship between compelled subsidies for generic advertising and the right to free speech under the First Amendment.</w:t>
      </w:r>
      <w:r w:rsidRPr="00152580">
        <w:rPr>
          <w:rFonts w:cs="Times New Roman"/>
          <w:szCs w:val="26"/>
        </w:rPr>
        <w:t xml:space="preserve">  In </w:t>
      </w:r>
      <w:r>
        <w:rPr>
          <w:rFonts w:cs="Times New Roman"/>
          <w:i/>
          <w:szCs w:val="26"/>
        </w:rPr>
        <w:t>United Foods</w:t>
      </w:r>
      <w:r>
        <w:rPr>
          <w:rFonts w:cs="Times New Roman"/>
          <w:szCs w:val="26"/>
        </w:rPr>
        <w:t>, the c</w:t>
      </w:r>
      <w:r w:rsidRPr="00152580">
        <w:rPr>
          <w:rFonts w:cs="Times New Roman"/>
          <w:szCs w:val="26"/>
        </w:rPr>
        <w:t xml:space="preserve">ourt </w:t>
      </w:r>
      <w:r>
        <w:rPr>
          <w:rFonts w:cs="Times New Roman"/>
          <w:szCs w:val="26"/>
        </w:rPr>
        <w:t>addressed</w:t>
      </w:r>
      <w:r w:rsidRPr="00152580">
        <w:rPr>
          <w:rFonts w:cs="Times New Roman"/>
          <w:szCs w:val="26"/>
        </w:rPr>
        <w:t xml:space="preserve"> a challenge to mandatory assessments imposed upon mushroom growers pursuant to the Mushroom Promotion, Research, </w:t>
      </w:r>
      <w:r>
        <w:rPr>
          <w:rFonts w:cs="Times New Roman"/>
          <w:szCs w:val="26"/>
        </w:rPr>
        <w:t>and Consumer Information Act.  (7 </w:t>
      </w:r>
      <w:r w:rsidRPr="00152580">
        <w:rPr>
          <w:rFonts w:cs="Times New Roman"/>
          <w:szCs w:val="26"/>
        </w:rPr>
        <w:t>U.S.C. § 6101 et seq.</w:t>
      </w:r>
      <w:r>
        <w:rPr>
          <w:rFonts w:cs="Times New Roman"/>
          <w:szCs w:val="26"/>
        </w:rPr>
        <w:t>; hereafter Mushroom Act.)</w:t>
      </w:r>
      <w:r w:rsidRPr="00152580">
        <w:rPr>
          <w:rFonts w:cs="Times New Roman"/>
          <w:szCs w:val="26"/>
        </w:rPr>
        <w:t xml:space="preserve">  The statute authorized the use of these assessments for “projects of mushroom promotion, research, consumer information, and industry information.”  (</w:t>
      </w:r>
      <w:r w:rsidRPr="00152580">
        <w:rPr>
          <w:rFonts w:cs="Times New Roman"/>
          <w:i/>
          <w:szCs w:val="26"/>
        </w:rPr>
        <w:t>Id</w:t>
      </w:r>
      <w:r>
        <w:rPr>
          <w:rFonts w:cs="Times New Roman"/>
          <w:szCs w:val="26"/>
        </w:rPr>
        <w:t>., § 6104</w:t>
      </w:r>
      <w:r w:rsidRPr="00152580">
        <w:rPr>
          <w:rFonts w:cs="Times New Roman"/>
          <w:szCs w:val="26"/>
        </w:rPr>
        <w:t>(c)(4).)</w:t>
      </w:r>
      <w:r>
        <w:rPr>
          <w:rStyle w:val="FootnoteReference"/>
          <w:rFonts w:cs="Times New Roman"/>
          <w:b/>
          <w:szCs w:val="26"/>
        </w:rPr>
        <w:footnoteReference w:id="14"/>
      </w:r>
      <w:r w:rsidRPr="00152580">
        <w:rPr>
          <w:rFonts w:cs="Times New Roman"/>
          <w:szCs w:val="26"/>
        </w:rPr>
        <w:t xml:space="preserve">  It was undisputed</w:t>
      </w:r>
      <w:r>
        <w:rPr>
          <w:rFonts w:cs="Times New Roman"/>
          <w:szCs w:val="26"/>
        </w:rPr>
        <w:t xml:space="preserve"> in </w:t>
      </w:r>
      <w:r w:rsidRPr="00E1321A">
        <w:rPr>
          <w:rFonts w:cs="Times New Roman"/>
          <w:i/>
          <w:szCs w:val="26"/>
        </w:rPr>
        <w:t>United Foods</w:t>
      </w:r>
      <w:r w:rsidRPr="00152580">
        <w:rPr>
          <w:rFonts w:cs="Times New Roman"/>
          <w:szCs w:val="26"/>
        </w:rPr>
        <w:t xml:space="preserve"> that most of the funds collected through the assessments were used for generic advertising.  (</w:t>
      </w:r>
      <w:r w:rsidRPr="00152580">
        <w:rPr>
          <w:rFonts w:cs="Times New Roman"/>
          <w:i/>
          <w:szCs w:val="26"/>
        </w:rPr>
        <w:t>United Foods</w:t>
      </w:r>
      <w:r>
        <w:rPr>
          <w:rFonts w:cs="Times New Roman"/>
          <w:szCs w:val="26"/>
        </w:rPr>
        <w:t>, at p. </w:t>
      </w:r>
      <w:r w:rsidRPr="00152580">
        <w:rPr>
          <w:rFonts w:cs="Times New Roman"/>
          <w:szCs w:val="26"/>
        </w:rPr>
        <w:t xml:space="preserve">408.)  </w:t>
      </w:r>
    </w:p>
    <w:p w:rsidR="00EB1753" w:rsidRPr="00152580" w:rsidP="00EB1753">
      <w:pPr>
        <w:spacing w:after="0" w:line="480" w:lineRule="exact"/>
        <w:ind w:firstLine="720"/>
        <w:rPr>
          <w:rFonts w:cs="Times New Roman"/>
          <w:szCs w:val="26"/>
        </w:rPr>
      </w:pPr>
      <w:r w:rsidRPr="00152580">
        <w:rPr>
          <w:rFonts w:cs="Times New Roman"/>
          <w:szCs w:val="26"/>
        </w:rPr>
        <w:t xml:space="preserve">In finding that the imposition of these assessments violated </w:t>
      </w:r>
      <w:r>
        <w:rPr>
          <w:rFonts w:cs="Times New Roman"/>
          <w:szCs w:val="26"/>
        </w:rPr>
        <w:t xml:space="preserve">the </w:t>
      </w:r>
      <w:r w:rsidRPr="00152580">
        <w:rPr>
          <w:rFonts w:cs="Times New Roman"/>
          <w:szCs w:val="26"/>
        </w:rPr>
        <w:t xml:space="preserve">plaintiffs’ First Amendment rights, </w:t>
      </w:r>
      <w:r>
        <w:rPr>
          <w:rFonts w:cs="Times New Roman"/>
          <w:szCs w:val="26"/>
        </w:rPr>
        <w:t xml:space="preserve">the court in </w:t>
      </w:r>
      <w:r w:rsidRPr="00152580">
        <w:rPr>
          <w:rFonts w:cs="Times New Roman"/>
          <w:i/>
          <w:szCs w:val="26"/>
        </w:rPr>
        <w:t>United Foods</w:t>
      </w:r>
      <w:r>
        <w:rPr>
          <w:rFonts w:cs="Times New Roman"/>
          <w:szCs w:val="26"/>
        </w:rPr>
        <w:t xml:space="preserve">, </w:t>
      </w:r>
      <w:r w:rsidRPr="00917429">
        <w:rPr>
          <w:rFonts w:cs="Times New Roman"/>
          <w:i/>
          <w:szCs w:val="26"/>
        </w:rPr>
        <w:t>supra</w:t>
      </w:r>
      <w:r>
        <w:rPr>
          <w:rFonts w:cs="Times New Roman"/>
          <w:szCs w:val="26"/>
        </w:rPr>
        <w:t xml:space="preserve">, </w:t>
      </w:r>
      <w:r w:rsidRPr="00152580">
        <w:rPr>
          <w:rFonts w:cs="Times New Roman"/>
          <w:szCs w:val="26"/>
        </w:rPr>
        <w:t>533 U.S. 405</w:t>
      </w:r>
      <w:r>
        <w:rPr>
          <w:rFonts w:cs="Times New Roman"/>
          <w:szCs w:val="26"/>
        </w:rPr>
        <w:t>,</w:t>
      </w:r>
      <w:r w:rsidRPr="00152580">
        <w:rPr>
          <w:rFonts w:cs="Times New Roman"/>
          <w:szCs w:val="26"/>
        </w:rPr>
        <w:t xml:space="preserve"> distinguished </w:t>
      </w:r>
      <w:r w:rsidRPr="00152580">
        <w:rPr>
          <w:rFonts w:cs="Times New Roman"/>
          <w:i/>
          <w:szCs w:val="26"/>
        </w:rPr>
        <w:t>Glickman</w:t>
      </w:r>
      <w:r w:rsidRPr="00152580">
        <w:rPr>
          <w:rFonts w:cs="Times New Roman"/>
          <w:szCs w:val="26"/>
        </w:rPr>
        <w:t xml:space="preserve"> on the ground that </w:t>
      </w:r>
      <w:r>
        <w:rPr>
          <w:rFonts w:cs="Times New Roman"/>
          <w:szCs w:val="26"/>
        </w:rPr>
        <w:t>in the earlier case</w:t>
      </w:r>
      <w:r w:rsidRPr="00152580">
        <w:rPr>
          <w:rFonts w:cs="Times New Roman"/>
          <w:szCs w:val="26"/>
        </w:rPr>
        <w:t>, “[t]he opinion and the analysis of the Court proceeded upon the premise that the producers were bound together and required by the statute to market their products according to cooperative rules.  To that extent, their mandated participation in an advertising program with a particular message was the logical concomitant of a valid scheme of economic regulation.”  (</w:t>
      </w:r>
      <w:r w:rsidRPr="00152580">
        <w:rPr>
          <w:rFonts w:cs="Times New Roman"/>
          <w:i/>
          <w:szCs w:val="26"/>
        </w:rPr>
        <w:t>United Foods</w:t>
      </w:r>
      <w:r>
        <w:rPr>
          <w:rFonts w:cs="Times New Roman"/>
          <w:szCs w:val="26"/>
        </w:rPr>
        <w:t>, at p. </w:t>
      </w:r>
      <w:r w:rsidRPr="00152580">
        <w:rPr>
          <w:rFonts w:cs="Times New Roman"/>
          <w:szCs w:val="26"/>
        </w:rPr>
        <w:t>412.)  The mushroom program, in contrast, did not mandate similar collectivism, and “almost all of the funds collected under the [statute’s] mandatory assessments are for one purpose: generic advertising.”  (</w:t>
      </w:r>
      <w:r w:rsidRPr="00152580">
        <w:rPr>
          <w:rFonts w:cs="Times New Roman"/>
          <w:i/>
          <w:szCs w:val="26"/>
        </w:rPr>
        <w:t>Ibid</w:t>
      </w:r>
      <w:r w:rsidRPr="00152580">
        <w:rPr>
          <w:rFonts w:cs="Times New Roman"/>
          <w:szCs w:val="26"/>
        </w:rPr>
        <w:t xml:space="preserve">.)  With “no broader regulatory system in place” concerning subjects other than speech, the </w:t>
      </w:r>
      <w:r>
        <w:rPr>
          <w:rFonts w:cs="Times New Roman"/>
          <w:szCs w:val="26"/>
        </w:rPr>
        <w:t>c</w:t>
      </w:r>
      <w:r w:rsidRPr="00152580">
        <w:rPr>
          <w:rFonts w:cs="Times New Roman"/>
          <w:szCs w:val="26"/>
        </w:rPr>
        <w:t>ourt declined to uphold “compelled subsidies for speech in the context of a program where the principal object is speech itself.”  (</w:t>
      </w:r>
      <w:r w:rsidRPr="00152580">
        <w:rPr>
          <w:rFonts w:cs="Times New Roman"/>
          <w:i/>
          <w:szCs w:val="26"/>
        </w:rPr>
        <w:t>Id</w:t>
      </w:r>
      <w:r w:rsidRPr="00152580">
        <w:rPr>
          <w:rFonts w:cs="Times New Roman"/>
          <w:szCs w:val="26"/>
        </w:rPr>
        <w:t xml:space="preserve">., at p. 415.) </w:t>
      </w:r>
    </w:p>
    <w:p w:rsidR="00EB1753" w:rsidP="00EB1753">
      <w:pPr>
        <w:spacing w:after="0" w:line="480" w:lineRule="exact"/>
        <w:ind w:firstLine="720"/>
        <w:rPr>
          <w:rFonts w:cs="Times New Roman"/>
          <w:szCs w:val="26"/>
        </w:rPr>
      </w:pPr>
      <w:r>
        <w:rPr>
          <w:rFonts w:cs="Times New Roman"/>
          <w:szCs w:val="26"/>
        </w:rPr>
        <w:t>In u</w:t>
      </w:r>
      <w:r w:rsidRPr="00152580">
        <w:rPr>
          <w:rFonts w:cs="Times New Roman"/>
          <w:szCs w:val="26"/>
        </w:rPr>
        <w:t xml:space="preserve">nsuccessfully defending the assessment program in </w:t>
      </w:r>
      <w:r w:rsidRPr="00152580">
        <w:rPr>
          <w:rFonts w:cs="Times New Roman"/>
          <w:i/>
          <w:szCs w:val="26"/>
        </w:rPr>
        <w:t>United Foods</w:t>
      </w:r>
      <w:r w:rsidRPr="00152580">
        <w:rPr>
          <w:rFonts w:cs="Times New Roman"/>
          <w:szCs w:val="26"/>
        </w:rPr>
        <w:t xml:space="preserve">, </w:t>
      </w:r>
      <w:r w:rsidRPr="00187C3F">
        <w:rPr>
          <w:rFonts w:cs="Times New Roman"/>
          <w:i/>
          <w:szCs w:val="26"/>
        </w:rPr>
        <w:t>supra</w:t>
      </w:r>
      <w:r>
        <w:rPr>
          <w:rFonts w:cs="Times New Roman"/>
          <w:szCs w:val="26"/>
        </w:rPr>
        <w:t xml:space="preserve">, 533 U.S. 405, </w:t>
      </w:r>
      <w:r w:rsidRPr="00152580">
        <w:rPr>
          <w:rFonts w:cs="Times New Roman"/>
          <w:szCs w:val="26"/>
        </w:rPr>
        <w:t xml:space="preserve">the government </w:t>
      </w:r>
      <w:r>
        <w:rPr>
          <w:rFonts w:cs="Times New Roman"/>
          <w:szCs w:val="26"/>
        </w:rPr>
        <w:t>tardily</w:t>
      </w:r>
      <w:r w:rsidRPr="00152580">
        <w:rPr>
          <w:rFonts w:cs="Times New Roman"/>
          <w:szCs w:val="26"/>
        </w:rPr>
        <w:t xml:space="preserve"> asserted</w:t>
      </w:r>
      <w:r>
        <w:rPr>
          <w:rFonts w:cs="Times New Roman"/>
          <w:szCs w:val="26"/>
        </w:rPr>
        <w:t xml:space="preserve"> </w:t>
      </w:r>
      <w:r w:rsidRPr="00152580">
        <w:rPr>
          <w:rFonts w:cs="Times New Roman"/>
          <w:szCs w:val="26"/>
        </w:rPr>
        <w:t>that the advertising subsidized by the assessments c</w:t>
      </w:r>
      <w:r>
        <w:rPr>
          <w:rFonts w:cs="Times New Roman"/>
          <w:szCs w:val="26"/>
        </w:rPr>
        <w:t>onstituted “government speech” that was</w:t>
      </w:r>
      <w:r w:rsidRPr="00152580">
        <w:rPr>
          <w:rFonts w:cs="Times New Roman"/>
          <w:szCs w:val="26"/>
        </w:rPr>
        <w:t xml:space="preserve"> insulated from the scrutiny that otherwise would </w:t>
      </w:r>
      <w:r>
        <w:rPr>
          <w:rFonts w:cs="Times New Roman"/>
          <w:szCs w:val="26"/>
        </w:rPr>
        <w:t>adhere</w:t>
      </w:r>
      <w:r w:rsidRPr="00152580">
        <w:rPr>
          <w:rFonts w:cs="Times New Roman"/>
          <w:szCs w:val="26"/>
        </w:rPr>
        <w:t xml:space="preserve"> under the First Amendment.  (</w:t>
      </w:r>
      <w:r>
        <w:rPr>
          <w:rFonts w:cs="Times New Roman"/>
          <w:i/>
          <w:szCs w:val="26"/>
        </w:rPr>
        <w:t>United Foods</w:t>
      </w:r>
      <w:r w:rsidRPr="00152580">
        <w:rPr>
          <w:rFonts w:cs="Times New Roman"/>
          <w:szCs w:val="26"/>
        </w:rPr>
        <w:t xml:space="preserve">, at p. 416.)  Because the government </w:t>
      </w:r>
      <w:r>
        <w:rPr>
          <w:rFonts w:cs="Times New Roman"/>
          <w:szCs w:val="26"/>
        </w:rPr>
        <w:t>had</w:t>
      </w:r>
      <w:r w:rsidRPr="00152580">
        <w:rPr>
          <w:rFonts w:cs="Times New Roman"/>
          <w:szCs w:val="26"/>
        </w:rPr>
        <w:t xml:space="preserve"> not present</w:t>
      </w:r>
      <w:r>
        <w:rPr>
          <w:rFonts w:cs="Times New Roman"/>
          <w:szCs w:val="26"/>
        </w:rPr>
        <w:t>ed</w:t>
      </w:r>
      <w:r w:rsidRPr="00152580">
        <w:rPr>
          <w:rFonts w:cs="Times New Roman"/>
          <w:szCs w:val="26"/>
        </w:rPr>
        <w:t xml:space="preserve"> this argument </w:t>
      </w:r>
      <w:r>
        <w:rPr>
          <w:rFonts w:cs="Times New Roman"/>
          <w:szCs w:val="26"/>
        </w:rPr>
        <w:t>in proceedings below</w:t>
      </w:r>
      <w:r w:rsidRPr="00152580">
        <w:rPr>
          <w:rFonts w:cs="Times New Roman"/>
          <w:szCs w:val="26"/>
        </w:rPr>
        <w:t>, the Supreme Court declined to address it.  (</w:t>
      </w:r>
      <w:r w:rsidRPr="00152580">
        <w:rPr>
          <w:rFonts w:cs="Times New Roman"/>
          <w:i/>
          <w:szCs w:val="26"/>
        </w:rPr>
        <w:t>Ibid</w:t>
      </w:r>
      <w:r w:rsidRPr="00152580">
        <w:rPr>
          <w:rFonts w:cs="Times New Roman"/>
          <w:szCs w:val="26"/>
        </w:rPr>
        <w:t xml:space="preserve">.)  The </w:t>
      </w:r>
      <w:r>
        <w:rPr>
          <w:rFonts w:cs="Times New Roman"/>
          <w:szCs w:val="26"/>
        </w:rPr>
        <w:t>c</w:t>
      </w:r>
      <w:r w:rsidRPr="00152580">
        <w:rPr>
          <w:rFonts w:cs="Times New Roman"/>
          <w:szCs w:val="26"/>
        </w:rPr>
        <w:t xml:space="preserve">ourt noted that the government’s failure to raise the argument below deprived the plaintiffs of an opportunity “to address significant matters that might have been difficult points for the </w:t>
      </w:r>
      <w:r>
        <w:rPr>
          <w:rFonts w:cs="Times New Roman"/>
          <w:szCs w:val="26"/>
        </w:rPr>
        <w:t>G</w:t>
      </w:r>
      <w:r w:rsidRPr="00152580">
        <w:rPr>
          <w:rFonts w:cs="Times New Roman"/>
          <w:szCs w:val="26"/>
        </w:rPr>
        <w:t xml:space="preserve">overnment,” such as the fact that “although the Government asserts that advertising is subject to approval by the Secretary of Agriculture, respondent claims that the approval is </w:t>
      </w:r>
      <w:r w:rsidRPr="004A10C8">
        <w:rPr>
          <w:rFonts w:cs="Times New Roman"/>
          <w:i/>
          <w:szCs w:val="26"/>
        </w:rPr>
        <w:t>pro forma</w:t>
      </w:r>
      <w:r w:rsidRPr="00152580">
        <w:rPr>
          <w:rFonts w:cs="Times New Roman"/>
          <w:szCs w:val="26"/>
        </w:rPr>
        <w:t>.”  (</w:t>
      </w:r>
      <w:r w:rsidRPr="00152580">
        <w:rPr>
          <w:rFonts w:cs="Times New Roman"/>
          <w:i/>
          <w:szCs w:val="26"/>
        </w:rPr>
        <w:t>Id</w:t>
      </w:r>
      <w:r w:rsidRPr="00152580">
        <w:rPr>
          <w:rFonts w:cs="Times New Roman"/>
          <w:szCs w:val="26"/>
        </w:rPr>
        <w:t>., at p</w:t>
      </w:r>
      <w:r>
        <w:rPr>
          <w:rFonts w:cs="Times New Roman"/>
          <w:szCs w:val="26"/>
        </w:rPr>
        <w:t>p</w:t>
      </w:r>
      <w:r w:rsidRPr="00152580">
        <w:rPr>
          <w:rFonts w:cs="Times New Roman"/>
          <w:szCs w:val="26"/>
        </w:rPr>
        <w:t xml:space="preserve">. </w:t>
      </w:r>
      <w:r>
        <w:rPr>
          <w:rFonts w:cs="Times New Roman"/>
          <w:szCs w:val="26"/>
        </w:rPr>
        <w:t>416-</w:t>
      </w:r>
      <w:r w:rsidRPr="00152580">
        <w:rPr>
          <w:rFonts w:cs="Times New Roman"/>
          <w:szCs w:val="26"/>
        </w:rPr>
        <w:t xml:space="preserve">417.)  This issue and others, the </w:t>
      </w:r>
      <w:r>
        <w:rPr>
          <w:rFonts w:cs="Times New Roman"/>
          <w:szCs w:val="26"/>
        </w:rPr>
        <w:t>c</w:t>
      </w:r>
      <w:r w:rsidRPr="00152580">
        <w:rPr>
          <w:rFonts w:cs="Times New Roman"/>
          <w:szCs w:val="26"/>
        </w:rPr>
        <w:t>ourt observed, “would have to be addressed were the program to be labeled, and sustained, as government speech.”  (</w:t>
      </w:r>
      <w:r w:rsidRPr="00152580">
        <w:rPr>
          <w:rFonts w:cs="Times New Roman"/>
          <w:i/>
          <w:szCs w:val="26"/>
        </w:rPr>
        <w:t>Id</w:t>
      </w:r>
      <w:r w:rsidRPr="00152580">
        <w:rPr>
          <w:rFonts w:cs="Times New Roman"/>
          <w:szCs w:val="26"/>
        </w:rPr>
        <w:t>.</w:t>
      </w:r>
      <w:r>
        <w:rPr>
          <w:rFonts w:cs="Times New Roman"/>
          <w:szCs w:val="26"/>
        </w:rPr>
        <w:t>, at p. 417.</w:t>
      </w:r>
      <w:r w:rsidRPr="00152580">
        <w:rPr>
          <w:rFonts w:cs="Times New Roman"/>
          <w:szCs w:val="26"/>
        </w:rPr>
        <w:t>)</w:t>
      </w:r>
    </w:p>
    <w:p w:rsidR="00841E60" w:rsidRPr="00841E60" w:rsidP="006E75F5">
      <w:pPr>
        <w:keepNext/>
        <w:keepLines/>
        <w:spacing w:after="0" w:line="480" w:lineRule="exact"/>
        <w:ind w:left="1440" w:hanging="360"/>
        <w:rPr>
          <w:rFonts w:cs="Times New Roman"/>
          <w:i/>
          <w:szCs w:val="26"/>
        </w:rPr>
      </w:pPr>
      <w:r>
        <w:rPr>
          <w:rFonts w:cs="Times New Roman"/>
          <w:i/>
          <w:szCs w:val="26"/>
        </w:rPr>
        <w:t>5.</w:t>
      </w:r>
      <w:r>
        <w:rPr>
          <w:rFonts w:cs="Times New Roman"/>
          <w:i/>
          <w:szCs w:val="26"/>
        </w:rPr>
        <w:tab/>
        <w:t>Gerawan </w:t>
      </w:r>
      <w:r w:rsidRPr="00841E60">
        <w:rPr>
          <w:rFonts w:cs="Times New Roman"/>
          <w:i/>
          <w:szCs w:val="26"/>
        </w:rPr>
        <w:t>II</w:t>
      </w:r>
    </w:p>
    <w:p w:rsidR="00961FA7" w:rsidRPr="00296750" w:rsidP="00961FA7">
      <w:pPr>
        <w:spacing w:after="0" w:line="480" w:lineRule="exact"/>
        <w:ind w:firstLine="720"/>
        <w:rPr>
          <w:rFonts w:cs="Times New Roman"/>
          <w:szCs w:val="26"/>
        </w:rPr>
      </w:pPr>
      <w:r>
        <w:rPr>
          <w:rFonts w:cs="Times New Roman"/>
          <w:szCs w:val="26"/>
        </w:rPr>
        <w:t xml:space="preserve">The brief discussion of government speech in </w:t>
      </w:r>
      <w:r w:rsidRPr="00841E60">
        <w:rPr>
          <w:rFonts w:cs="Times New Roman"/>
          <w:i/>
          <w:szCs w:val="26"/>
        </w:rPr>
        <w:t>United Foods</w:t>
      </w:r>
      <w:r>
        <w:rPr>
          <w:rFonts w:cs="Times New Roman"/>
          <w:szCs w:val="26"/>
        </w:rPr>
        <w:t xml:space="preserve">, </w:t>
      </w:r>
      <w:r w:rsidRPr="00841E60">
        <w:rPr>
          <w:rFonts w:cs="Times New Roman"/>
          <w:i/>
          <w:szCs w:val="26"/>
        </w:rPr>
        <w:t>supra</w:t>
      </w:r>
      <w:r>
        <w:rPr>
          <w:rFonts w:cs="Times New Roman"/>
          <w:szCs w:val="26"/>
        </w:rPr>
        <w:t xml:space="preserve">, 533 U.S. 405, informed the analysis in </w:t>
      </w:r>
      <w:r>
        <w:rPr>
          <w:rFonts w:cs="Times New Roman"/>
          <w:i/>
          <w:szCs w:val="26"/>
        </w:rPr>
        <w:t>Gerawan </w:t>
      </w:r>
      <w:r w:rsidRPr="00841E60">
        <w:rPr>
          <w:rFonts w:cs="Times New Roman"/>
          <w:i/>
          <w:szCs w:val="26"/>
        </w:rPr>
        <w:t>II</w:t>
      </w:r>
      <w:r>
        <w:rPr>
          <w:rFonts w:cs="Times New Roman"/>
          <w:szCs w:val="26"/>
        </w:rPr>
        <w:t xml:space="preserve">, </w:t>
      </w:r>
      <w:r w:rsidRPr="00841E60">
        <w:rPr>
          <w:rFonts w:cs="Times New Roman"/>
          <w:i/>
          <w:szCs w:val="26"/>
        </w:rPr>
        <w:t>supra</w:t>
      </w:r>
      <w:r>
        <w:rPr>
          <w:rFonts w:cs="Times New Roman"/>
          <w:szCs w:val="26"/>
        </w:rPr>
        <w:t xml:space="preserve">, 33 Cal.4th 1.  In </w:t>
      </w:r>
      <w:r w:rsidRPr="005C6794">
        <w:rPr>
          <w:rFonts w:cs="Times New Roman"/>
          <w:i/>
          <w:szCs w:val="26"/>
        </w:rPr>
        <w:t>Gerawan II</w:t>
      </w:r>
      <w:r>
        <w:rPr>
          <w:rFonts w:cs="Times New Roman"/>
          <w:szCs w:val="26"/>
        </w:rPr>
        <w:t xml:space="preserve">, we clarified that notwithstanding the constrained view of government speech suggested in </w:t>
      </w:r>
      <w:r>
        <w:rPr>
          <w:rFonts w:cs="Times New Roman"/>
          <w:i/>
          <w:szCs w:val="26"/>
        </w:rPr>
        <w:t>Gerawan </w:t>
      </w:r>
      <w:r w:rsidRPr="00841E60">
        <w:rPr>
          <w:rFonts w:cs="Times New Roman"/>
          <w:i/>
          <w:szCs w:val="26"/>
        </w:rPr>
        <w:t>I</w:t>
      </w:r>
      <w:r>
        <w:rPr>
          <w:rFonts w:cs="Times New Roman"/>
          <w:szCs w:val="26"/>
        </w:rPr>
        <w:t xml:space="preserve">, </w:t>
      </w:r>
      <w:r w:rsidRPr="00841E60">
        <w:rPr>
          <w:rFonts w:cs="Times New Roman"/>
          <w:i/>
          <w:szCs w:val="26"/>
        </w:rPr>
        <w:t>supra</w:t>
      </w:r>
      <w:r>
        <w:rPr>
          <w:rFonts w:cs="Times New Roman"/>
          <w:szCs w:val="26"/>
        </w:rPr>
        <w:t>, 24 Cal.4th 468 at page 503, footnote</w:t>
      </w:r>
      <w:r w:rsidRPr="008807C5">
        <w:rPr>
          <w:rFonts w:cs="Times New Roman"/>
          <w:szCs w:val="26"/>
        </w:rPr>
        <w:t xml:space="preserve"> 8</w:t>
      </w:r>
      <w:r>
        <w:rPr>
          <w:rFonts w:cs="Times New Roman"/>
          <w:szCs w:val="26"/>
        </w:rPr>
        <w:t xml:space="preserve">, generic advertising produced under the auspices of an agricultural marketing order </w:t>
      </w:r>
      <w:r w:rsidRPr="00C01B4A">
        <w:rPr>
          <w:rFonts w:cs="Times New Roman"/>
          <w:i/>
          <w:szCs w:val="26"/>
        </w:rPr>
        <w:t>could</w:t>
      </w:r>
      <w:r>
        <w:rPr>
          <w:rFonts w:cs="Times New Roman"/>
          <w:szCs w:val="26"/>
        </w:rPr>
        <w:t xml:space="preserve"> represent government speech, and on that basis not be subject to heightened scrutiny under article I, section 2.   </w:t>
      </w:r>
    </w:p>
    <w:p w:rsidR="000540F6" w:rsidP="00F77EE2">
      <w:pPr>
        <w:spacing w:after="0" w:line="480" w:lineRule="exact"/>
        <w:ind w:firstLine="720"/>
        <w:rPr>
          <w:rFonts w:cs="Times New Roman"/>
          <w:szCs w:val="26"/>
        </w:rPr>
      </w:pPr>
      <w:r>
        <w:rPr>
          <w:rFonts w:cs="Times New Roman"/>
          <w:szCs w:val="26"/>
        </w:rPr>
        <w:t xml:space="preserve">Among the issues that </w:t>
      </w:r>
      <w:r>
        <w:rPr>
          <w:rFonts w:cs="Times New Roman"/>
          <w:i/>
          <w:szCs w:val="26"/>
        </w:rPr>
        <w:t>Gerawan </w:t>
      </w:r>
      <w:r w:rsidRPr="00296750">
        <w:rPr>
          <w:rFonts w:cs="Times New Roman"/>
          <w:i/>
          <w:szCs w:val="26"/>
        </w:rPr>
        <w:t>I</w:t>
      </w:r>
      <w:r>
        <w:rPr>
          <w:rFonts w:cs="Times New Roman"/>
          <w:szCs w:val="26"/>
        </w:rPr>
        <w:t xml:space="preserve">, </w:t>
      </w:r>
      <w:r w:rsidRPr="00A90FFE">
        <w:rPr>
          <w:rFonts w:cs="Times New Roman"/>
          <w:i/>
          <w:szCs w:val="26"/>
        </w:rPr>
        <w:t>supra</w:t>
      </w:r>
      <w:r>
        <w:rPr>
          <w:rFonts w:cs="Times New Roman"/>
          <w:szCs w:val="26"/>
        </w:rPr>
        <w:t>, 24 Cal.4th 468, had</w:t>
      </w:r>
      <w:r w:rsidRPr="00296750">
        <w:rPr>
          <w:rFonts w:cs="Times New Roman"/>
          <w:szCs w:val="26"/>
        </w:rPr>
        <w:t xml:space="preserve"> reserved for </w:t>
      </w:r>
      <w:r>
        <w:rPr>
          <w:rFonts w:cs="Times New Roman"/>
          <w:szCs w:val="26"/>
        </w:rPr>
        <w:t>further</w:t>
      </w:r>
      <w:r w:rsidRPr="00296750">
        <w:rPr>
          <w:rFonts w:cs="Times New Roman"/>
          <w:szCs w:val="26"/>
        </w:rPr>
        <w:t xml:space="preserve"> proceedings </w:t>
      </w:r>
      <w:r>
        <w:rPr>
          <w:rFonts w:cs="Times New Roman"/>
          <w:szCs w:val="26"/>
        </w:rPr>
        <w:t>was the</w:t>
      </w:r>
      <w:r w:rsidRPr="00296750">
        <w:rPr>
          <w:rFonts w:cs="Times New Roman"/>
          <w:szCs w:val="26"/>
        </w:rPr>
        <w:t xml:space="preserve"> standard or test </w:t>
      </w:r>
      <w:r>
        <w:rPr>
          <w:rFonts w:cs="Times New Roman"/>
          <w:szCs w:val="26"/>
        </w:rPr>
        <w:t xml:space="preserve">that would be </w:t>
      </w:r>
      <w:r w:rsidRPr="00296750">
        <w:rPr>
          <w:rFonts w:cs="Times New Roman"/>
          <w:szCs w:val="26"/>
        </w:rPr>
        <w:t xml:space="preserve">used to ascertain the lawfulness of compelled funding </w:t>
      </w:r>
      <w:r>
        <w:rPr>
          <w:rFonts w:cs="Times New Roman"/>
          <w:szCs w:val="26"/>
        </w:rPr>
        <w:t>schemes</w:t>
      </w:r>
      <w:r w:rsidRPr="00296750">
        <w:rPr>
          <w:rFonts w:cs="Times New Roman"/>
          <w:szCs w:val="26"/>
        </w:rPr>
        <w:t xml:space="preserve"> </w:t>
      </w:r>
      <w:r>
        <w:rPr>
          <w:rFonts w:cs="Times New Roman"/>
          <w:szCs w:val="26"/>
        </w:rPr>
        <w:t>such as</w:t>
      </w:r>
      <w:r w:rsidRPr="00296750">
        <w:rPr>
          <w:rFonts w:cs="Times New Roman"/>
          <w:szCs w:val="26"/>
        </w:rPr>
        <w:t xml:space="preserve"> th</w:t>
      </w:r>
      <w:r>
        <w:rPr>
          <w:rFonts w:cs="Times New Roman"/>
          <w:szCs w:val="26"/>
        </w:rPr>
        <w:t>at contained within the</w:t>
      </w:r>
      <w:r w:rsidRPr="00296750">
        <w:rPr>
          <w:rFonts w:cs="Times New Roman"/>
          <w:szCs w:val="26"/>
        </w:rPr>
        <w:t xml:space="preserve"> California Plum Marketing Program.  We addressed this </w:t>
      </w:r>
      <w:r>
        <w:rPr>
          <w:rFonts w:cs="Times New Roman"/>
          <w:szCs w:val="26"/>
        </w:rPr>
        <w:t>subject</w:t>
      </w:r>
      <w:r w:rsidRPr="00296750">
        <w:rPr>
          <w:rFonts w:cs="Times New Roman"/>
          <w:szCs w:val="26"/>
        </w:rPr>
        <w:t xml:space="preserve"> in </w:t>
      </w:r>
      <w:r>
        <w:rPr>
          <w:rFonts w:cs="Times New Roman"/>
          <w:i/>
          <w:szCs w:val="26"/>
        </w:rPr>
        <w:t>Gerawan </w:t>
      </w:r>
      <w:r w:rsidRPr="00296750">
        <w:rPr>
          <w:rFonts w:cs="Times New Roman"/>
          <w:i/>
          <w:szCs w:val="26"/>
        </w:rPr>
        <w:t>II</w:t>
      </w:r>
      <w:r w:rsidRPr="00A90FFE">
        <w:rPr>
          <w:rFonts w:cs="Times New Roman"/>
          <w:szCs w:val="26"/>
        </w:rPr>
        <w:t>,</w:t>
      </w:r>
      <w:r>
        <w:rPr>
          <w:rFonts w:cs="Times New Roman"/>
          <w:i/>
          <w:szCs w:val="26"/>
        </w:rPr>
        <w:t xml:space="preserve"> supra</w:t>
      </w:r>
      <w:r>
        <w:rPr>
          <w:rFonts w:cs="Times New Roman"/>
          <w:szCs w:val="26"/>
        </w:rPr>
        <w:t>, 33 Cal.4th 1, which came to this court after another grant of judgment on the pleadings.  We determined that under article I, section 2, the constitutionality of</w:t>
      </w:r>
      <w:r w:rsidRPr="00296750">
        <w:rPr>
          <w:rFonts w:cs="Times New Roman"/>
          <w:szCs w:val="26"/>
        </w:rPr>
        <w:t xml:space="preserve"> the California Plum Marketing Program</w:t>
      </w:r>
      <w:r>
        <w:rPr>
          <w:rFonts w:cs="Times New Roman"/>
          <w:szCs w:val="26"/>
        </w:rPr>
        <w:t>’s</w:t>
      </w:r>
      <w:r w:rsidRPr="00296750">
        <w:rPr>
          <w:rFonts w:cs="Times New Roman"/>
          <w:szCs w:val="26"/>
        </w:rPr>
        <w:t xml:space="preserve"> financing scheme</w:t>
      </w:r>
      <w:r>
        <w:rPr>
          <w:rFonts w:cs="Times New Roman"/>
          <w:szCs w:val="26"/>
        </w:rPr>
        <w:t xml:space="preserve"> for advertising</w:t>
      </w:r>
      <w:r w:rsidRPr="00296750">
        <w:rPr>
          <w:rFonts w:cs="Times New Roman"/>
          <w:szCs w:val="26"/>
        </w:rPr>
        <w:t xml:space="preserve"> would “be tested by the intermediate scrutiny standard articulated by the United States Supreme Court in </w:t>
      </w:r>
      <w:r w:rsidRPr="00296750">
        <w:rPr>
          <w:rFonts w:cs="Times New Roman"/>
          <w:i/>
          <w:szCs w:val="26"/>
        </w:rPr>
        <w:t>Central Hudson Gas &amp; Elec. v. Public Serv. Comm’n</w:t>
      </w:r>
      <w:r w:rsidRPr="00296750">
        <w:rPr>
          <w:rFonts w:cs="Times New Roman"/>
          <w:szCs w:val="26"/>
        </w:rPr>
        <w:t xml:space="preserve"> (1980) 447 U.S. 557</w:t>
      </w:r>
      <w:r>
        <w:rPr>
          <w:rFonts w:cs="Times New Roman"/>
          <w:szCs w:val="26"/>
        </w:rPr>
        <w:t xml:space="preserve"> [65 L.Ed.2d 341, 100 S.Ct. 2343]</w:t>
      </w:r>
      <w:r w:rsidRPr="00296750">
        <w:rPr>
          <w:rFonts w:cs="Times New Roman"/>
          <w:szCs w:val="26"/>
        </w:rPr>
        <w:t xml:space="preserve"> (</w:t>
      </w:r>
      <w:r w:rsidRPr="00296750">
        <w:rPr>
          <w:rFonts w:cs="Times New Roman"/>
          <w:i/>
          <w:szCs w:val="26"/>
        </w:rPr>
        <w:t>Central Hudson</w:t>
      </w:r>
      <w:r w:rsidRPr="00296750">
        <w:rPr>
          <w:rFonts w:cs="Times New Roman"/>
          <w:szCs w:val="26"/>
        </w:rPr>
        <w:t>)</w:t>
      </w:r>
      <w:r>
        <w:rPr>
          <w:rFonts w:cs="Times New Roman"/>
          <w:szCs w:val="26"/>
        </w:rPr>
        <w:t>.”  (</w:t>
      </w:r>
      <w:r>
        <w:rPr>
          <w:rFonts w:cs="Times New Roman"/>
          <w:i/>
          <w:szCs w:val="26"/>
        </w:rPr>
        <w:t>Gerawan </w:t>
      </w:r>
      <w:r w:rsidRPr="00926FDF">
        <w:rPr>
          <w:rFonts w:cs="Times New Roman"/>
          <w:i/>
          <w:szCs w:val="26"/>
        </w:rPr>
        <w:t>II</w:t>
      </w:r>
      <w:r>
        <w:rPr>
          <w:rFonts w:cs="Times New Roman"/>
          <w:szCs w:val="26"/>
        </w:rPr>
        <w:t>,</w:t>
      </w:r>
      <w:r w:rsidRPr="00296750">
        <w:rPr>
          <w:rFonts w:cs="Times New Roman"/>
          <w:szCs w:val="26"/>
        </w:rPr>
        <w:t xml:space="preserve"> </w:t>
      </w:r>
      <w:r>
        <w:rPr>
          <w:rFonts w:cs="Times New Roman"/>
          <w:szCs w:val="26"/>
        </w:rPr>
        <w:t>33 Cal.4</w:t>
      </w:r>
      <w:r w:rsidRPr="0047223E">
        <w:rPr>
          <w:rFonts w:cs="Times New Roman"/>
          <w:szCs w:val="26"/>
        </w:rPr>
        <w:t xml:space="preserve">th </w:t>
      </w:r>
      <w:r>
        <w:rPr>
          <w:rFonts w:cs="Times New Roman"/>
          <w:szCs w:val="26"/>
        </w:rPr>
        <w:t>at p.</w:t>
      </w:r>
      <w:r>
        <w:t> </w:t>
      </w:r>
      <w:r w:rsidRPr="00296750">
        <w:rPr>
          <w:rFonts w:cs="Times New Roman"/>
          <w:szCs w:val="26"/>
        </w:rPr>
        <w:t>6</w:t>
      </w:r>
      <w:r>
        <w:rPr>
          <w:rFonts w:cs="Times New Roman"/>
          <w:szCs w:val="26"/>
        </w:rPr>
        <w:t>.)</w:t>
      </w:r>
      <w:r>
        <w:rPr>
          <w:rStyle w:val="FootnoteReference"/>
          <w:rFonts w:cs="Times New Roman"/>
          <w:b/>
          <w:szCs w:val="26"/>
        </w:rPr>
        <w:footnoteReference w:id="15"/>
      </w:r>
      <w:r w:rsidRPr="00B15B74">
        <w:rPr>
          <w:rFonts w:cs="Times New Roman"/>
          <w:b/>
          <w:szCs w:val="26"/>
        </w:rPr>
        <w:t xml:space="preserve">  </w:t>
      </w:r>
    </w:p>
    <w:p w:rsidR="000570AB" w:rsidP="00457356">
      <w:pPr>
        <w:spacing w:after="0" w:line="480" w:lineRule="exact"/>
        <w:ind w:firstLine="720"/>
        <w:rPr>
          <w:rFonts w:cs="Times New Roman"/>
          <w:szCs w:val="26"/>
        </w:rPr>
      </w:pPr>
      <w:r>
        <w:rPr>
          <w:rFonts w:cs="Times New Roman"/>
          <w:szCs w:val="26"/>
        </w:rPr>
        <w:t xml:space="preserve">The decision in </w:t>
      </w:r>
      <w:r w:rsidRPr="007A00B3">
        <w:rPr>
          <w:rFonts w:cs="Times New Roman"/>
          <w:i/>
          <w:szCs w:val="26"/>
        </w:rPr>
        <w:t>Geraw</w:t>
      </w:r>
      <w:r>
        <w:rPr>
          <w:rFonts w:cs="Times New Roman"/>
          <w:i/>
          <w:szCs w:val="26"/>
        </w:rPr>
        <w:t>an </w:t>
      </w:r>
      <w:r w:rsidRPr="007A00B3">
        <w:rPr>
          <w:rFonts w:cs="Times New Roman"/>
          <w:i/>
          <w:szCs w:val="26"/>
        </w:rPr>
        <w:t>II</w:t>
      </w:r>
      <w:r>
        <w:rPr>
          <w:rFonts w:cs="Times New Roman"/>
          <w:szCs w:val="26"/>
        </w:rPr>
        <w:t xml:space="preserve">, </w:t>
      </w:r>
      <w:r w:rsidRPr="007A00B3">
        <w:rPr>
          <w:rFonts w:cs="Times New Roman"/>
          <w:i/>
          <w:szCs w:val="26"/>
        </w:rPr>
        <w:t>supra</w:t>
      </w:r>
      <w:r>
        <w:rPr>
          <w:rFonts w:cs="Times New Roman"/>
          <w:szCs w:val="26"/>
        </w:rPr>
        <w:t>, 33 Cal.4th 1, also acknowledged — the argument now having been properly placed before the court — the government’s contention that the marketing program generated government speech.  (</w:t>
      </w:r>
      <w:r w:rsidRPr="007A00B3">
        <w:rPr>
          <w:rFonts w:cs="Times New Roman"/>
          <w:i/>
          <w:szCs w:val="26"/>
        </w:rPr>
        <w:t>Id</w:t>
      </w:r>
      <w:r>
        <w:rPr>
          <w:rFonts w:cs="Times New Roman"/>
          <w:szCs w:val="26"/>
        </w:rPr>
        <w:t xml:space="preserve">., at p. 26.)  </w:t>
      </w:r>
      <w:r>
        <w:rPr>
          <w:rFonts w:cs="Times New Roman"/>
          <w:i/>
          <w:szCs w:val="26"/>
        </w:rPr>
        <w:t>Gerawan </w:t>
      </w:r>
      <w:r w:rsidRPr="00FC28CD">
        <w:rPr>
          <w:rFonts w:cs="Times New Roman"/>
          <w:i/>
          <w:szCs w:val="26"/>
        </w:rPr>
        <w:t>II</w:t>
      </w:r>
      <w:r>
        <w:rPr>
          <w:rFonts w:cs="Times New Roman"/>
          <w:szCs w:val="26"/>
        </w:rPr>
        <w:t xml:space="preserve"> determined that the character of the speech could not be resolved on the pleadings, but the government </w:t>
      </w:r>
      <w:r w:rsidRPr="00F44182">
        <w:rPr>
          <w:rFonts w:cs="Times New Roman"/>
          <w:szCs w:val="26"/>
        </w:rPr>
        <w:t>would</w:t>
      </w:r>
      <w:r>
        <w:rPr>
          <w:rFonts w:cs="Times New Roman"/>
          <w:szCs w:val="26"/>
        </w:rPr>
        <w:t xml:space="preserve"> have the opportunity on remand “to prove that the speech at issue was in fact government speech.”  (</w:t>
      </w:r>
      <w:r>
        <w:rPr>
          <w:rFonts w:cs="Times New Roman"/>
          <w:i/>
          <w:szCs w:val="26"/>
        </w:rPr>
        <w:t>I</w:t>
      </w:r>
      <w:r w:rsidRPr="007A00B3">
        <w:rPr>
          <w:rFonts w:cs="Times New Roman"/>
          <w:i/>
          <w:szCs w:val="26"/>
        </w:rPr>
        <w:t>d</w:t>
      </w:r>
      <w:r>
        <w:rPr>
          <w:rFonts w:cs="Times New Roman"/>
          <w:szCs w:val="26"/>
        </w:rPr>
        <w:t xml:space="preserve">., at p. 27.)  It continued, “The kind of showing the government would be required to make has been suggested by the United States Supreme Court,” then referenced and quoted the brief discussion of government speech that had appeared in </w:t>
      </w:r>
      <w:r w:rsidRPr="00972BB2">
        <w:rPr>
          <w:rFonts w:cs="Times New Roman"/>
          <w:i/>
          <w:szCs w:val="26"/>
        </w:rPr>
        <w:t>United Foods</w:t>
      </w:r>
      <w:r>
        <w:rPr>
          <w:rFonts w:cs="Times New Roman"/>
          <w:szCs w:val="26"/>
        </w:rPr>
        <w:t>.  (</w:t>
      </w:r>
      <w:r>
        <w:rPr>
          <w:rFonts w:cs="Times New Roman"/>
          <w:i/>
          <w:szCs w:val="26"/>
        </w:rPr>
        <w:t>Gerawan </w:t>
      </w:r>
      <w:r w:rsidRPr="00FC28CD">
        <w:rPr>
          <w:rFonts w:cs="Times New Roman"/>
          <w:i/>
          <w:szCs w:val="26"/>
        </w:rPr>
        <w:t>II</w:t>
      </w:r>
      <w:r>
        <w:rPr>
          <w:rFonts w:cs="Times New Roman"/>
          <w:szCs w:val="26"/>
        </w:rPr>
        <w:t xml:space="preserve">, at p. 27.)  After also reviewing the Supreme Court’s analysis of government speech in </w:t>
      </w:r>
      <w:r w:rsidRPr="002C1394">
        <w:rPr>
          <w:rFonts w:cs="Times New Roman"/>
          <w:i/>
          <w:szCs w:val="26"/>
        </w:rPr>
        <w:t>Keller</w:t>
      </w:r>
      <w:r>
        <w:rPr>
          <w:rFonts w:cs="Times New Roman"/>
          <w:szCs w:val="26"/>
        </w:rPr>
        <w:t>, and observing that “other courts considering the issue have found significant whether the commercial speech in question is attributed to the government or to the agricultural producers” (</w:t>
      </w:r>
      <w:r>
        <w:rPr>
          <w:rFonts w:cs="Times New Roman"/>
          <w:i/>
          <w:szCs w:val="26"/>
        </w:rPr>
        <w:t>Gerawan II</w:t>
      </w:r>
      <w:r>
        <w:rPr>
          <w:rFonts w:cs="Times New Roman"/>
          <w:szCs w:val="26"/>
        </w:rPr>
        <w:t xml:space="preserve">, at p. 28, citing </w:t>
      </w:r>
      <w:r w:rsidRPr="00972BB2">
        <w:rPr>
          <w:rFonts w:cs="Times New Roman"/>
          <w:i/>
          <w:szCs w:val="26"/>
        </w:rPr>
        <w:t>Cochran v. Veneman</w:t>
      </w:r>
      <w:r>
        <w:rPr>
          <w:rFonts w:cs="Times New Roman"/>
          <w:szCs w:val="26"/>
        </w:rPr>
        <w:t xml:space="preserve"> (3d Cir. 2004) 359 F.3d 263, 273-274), we determined, “In the present case, the marketing board is comprised of and funded by plum producers, and is in that respect similar to the State Bar.  But, as </w:t>
      </w:r>
      <w:r w:rsidRPr="00972BB2">
        <w:rPr>
          <w:rFonts w:cs="Times New Roman"/>
          <w:i/>
          <w:szCs w:val="26"/>
        </w:rPr>
        <w:t xml:space="preserve">United Foods </w:t>
      </w:r>
      <w:r>
        <w:rPr>
          <w:rFonts w:cs="Times New Roman"/>
          <w:szCs w:val="26"/>
        </w:rPr>
        <w:t>suggests, the speech may nonetheless be considered government speech if in fact the message is decided upon by the Secretary or other government official pursuant to statutorily derived regulatory authority.  Because there are factual questions that may be determinative of the outcome — for example, whether the Secretary’s approval of the marketing board’s message is in fact pro forma, whether the marketing board is in de facto control of the generic advertising program, and whether the speech is attributed to the government — this issue cannot be resolved on the pleadings and requires further factfinding.”  (</w:t>
      </w:r>
      <w:r>
        <w:rPr>
          <w:rFonts w:cs="Times New Roman"/>
          <w:i/>
          <w:szCs w:val="26"/>
        </w:rPr>
        <w:t>Gerawan </w:t>
      </w:r>
      <w:r w:rsidRPr="00972BB2">
        <w:rPr>
          <w:rFonts w:cs="Times New Roman"/>
          <w:i/>
          <w:szCs w:val="26"/>
        </w:rPr>
        <w:t>II,</w:t>
      </w:r>
      <w:r>
        <w:rPr>
          <w:rFonts w:cs="Times New Roman"/>
          <w:szCs w:val="26"/>
        </w:rPr>
        <w:t xml:space="preserve"> at p. 28.)  </w:t>
      </w:r>
    </w:p>
    <w:p w:rsidR="00707D14" w:rsidP="00740970">
      <w:pPr>
        <w:keepNext/>
        <w:keepLines/>
        <w:spacing w:after="0" w:line="480" w:lineRule="exact"/>
        <w:ind w:left="1440" w:hanging="360"/>
        <w:rPr>
          <w:rFonts w:cs="Times New Roman"/>
          <w:szCs w:val="26"/>
        </w:rPr>
      </w:pPr>
      <w:r w:rsidRPr="007E2447">
        <w:rPr>
          <w:rFonts w:cs="Times New Roman"/>
          <w:i/>
          <w:szCs w:val="26"/>
        </w:rPr>
        <w:t>6.</w:t>
      </w:r>
      <w:r>
        <w:rPr>
          <w:rFonts w:cs="Times New Roman"/>
          <w:szCs w:val="26"/>
        </w:rPr>
        <w:t xml:space="preserve"> </w:t>
      </w:r>
      <w:r>
        <w:rPr>
          <w:rFonts w:cs="Times New Roman"/>
          <w:szCs w:val="26"/>
        </w:rPr>
        <w:tab/>
      </w:r>
      <w:r w:rsidRPr="000540F6">
        <w:rPr>
          <w:rFonts w:cs="Times New Roman"/>
          <w:i/>
          <w:szCs w:val="26"/>
        </w:rPr>
        <w:t>Johanns</w:t>
      </w:r>
      <w:r w:rsidRPr="00152580">
        <w:rPr>
          <w:rFonts w:cs="Times New Roman"/>
          <w:szCs w:val="26"/>
        </w:rPr>
        <w:t xml:space="preserve">  </w:t>
      </w:r>
    </w:p>
    <w:p w:rsidR="00972BB2" w:rsidP="00152580">
      <w:pPr>
        <w:spacing w:after="0" w:line="480" w:lineRule="exact"/>
        <w:ind w:firstLine="720"/>
        <w:rPr>
          <w:rFonts w:cs="Times New Roman"/>
          <w:szCs w:val="26"/>
        </w:rPr>
      </w:pPr>
      <w:r>
        <w:rPr>
          <w:rFonts w:cs="Times New Roman"/>
          <w:szCs w:val="26"/>
        </w:rPr>
        <w:t xml:space="preserve">Shortly after our decision in </w:t>
      </w:r>
      <w:r>
        <w:rPr>
          <w:rFonts w:cs="Times New Roman"/>
          <w:i/>
          <w:szCs w:val="26"/>
        </w:rPr>
        <w:t>Gerawan </w:t>
      </w:r>
      <w:r w:rsidRPr="00972BB2">
        <w:rPr>
          <w:rFonts w:cs="Times New Roman"/>
          <w:i/>
          <w:szCs w:val="26"/>
        </w:rPr>
        <w:t>II</w:t>
      </w:r>
      <w:r>
        <w:rPr>
          <w:rFonts w:cs="Times New Roman"/>
          <w:szCs w:val="26"/>
        </w:rPr>
        <w:t xml:space="preserve">, </w:t>
      </w:r>
      <w:r w:rsidRPr="00972BB2">
        <w:rPr>
          <w:rFonts w:cs="Times New Roman"/>
          <w:i/>
          <w:szCs w:val="26"/>
        </w:rPr>
        <w:t>supra</w:t>
      </w:r>
      <w:r>
        <w:rPr>
          <w:rFonts w:cs="Times New Roman"/>
          <w:szCs w:val="26"/>
        </w:rPr>
        <w:t xml:space="preserve">, 33 Cal.4th 1, the United States Supreme Court decided </w:t>
      </w:r>
      <w:r w:rsidRPr="00152580">
        <w:rPr>
          <w:rFonts w:cs="Times New Roman"/>
          <w:i/>
          <w:szCs w:val="26"/>
        </w:rPr>
        <w:t>Johanns</w:t>
      </w:r>
      <w:r>
        <w:rPr>
          <w:rFonts w:cs="Times New Roman"/>
          <w:szCs w:val="26"/>
        </w:rPr>
        <w:t xml:space="preserve">, </w:t>
      </w:r>
      <w:r w:rsidRPr="00133EEE">
        <w:rPr>
          <w:rFonts w:cs="Times New Roman"/>
          <w:i/>
          <w:szCs w:val="26"/>
        </w:rPr>
        <w:t>supra</w:t>
      </w:r>
      <w:r>
        <w:rPr>
          <w:rFonts w:cs="Times New Roman"/>
          <w:szCs w:val="26"/>
        </w:rPr>
        <w:t xml:space="preserve">, 544 U.S. 550, another First Amendment challenge to a </w:t>
      </w:r>
      <w:r w:rsidRPr="00152580">
        <w:rPr>
          <w:rFonts w:cs="Times New Roman"/>
          <w:szCs w:val="26"/>
        </w:rPr>
        <w:t>federal program that financed</w:t>
      </w:r>
      <w:r>
        <w:rPr>
          <w:rFonts w:cs="Times New Roman"/>
          <w:szCs w:val="26"/>
        </w:rPr>
        <w:t xml:space="preserve"> </w:t>
      </w:r>
      <w:r w:rsidRPr="00152580">
        <w:rPr>
          <w:rFonts w:cs="Times New Roman"/>
          <w:szCs w:val="26"/>
        </w:rPr>
        <w:t xml:space="preserve">generic advertising </w:t>
      </w:r>
      <w:r>
        <w:rPr>
          <w:rFonts w:cs="Times New Roman"/>
          <w:szCs w:val="26"/>
        </w:rPr>
        <w:t>for</w:t>
      </w:r>
      <w:r w:rsidRPr="00152580">
        <w:rPr>
          <w:rFonts w:cs="Times New Roman"/>
          <w:szCs w:val="26"/>
        </w:rPr>
        <w:t xml:space="preserve"> an agricultural product</w:t>
      </w:r>
      <w:r>
        <w:rPr>
          <w:rFonts w:cs="Times New Roman"/>
          <w:szCs w:val="26"/>
        </w:rPr>
        <w:t xml:space="preserve"> or products</w:t>
      </w:r>
      <w:r w:rsidRPr="00152580">
        <w:rPr>
          <w:rFonts w:cs="Times New Roman"/>
          <w:szCs w:val="26"/>
        </w:rPr>
        <w:t xml:space="preserve"> through mandatory assessments levied on producers of th</w:t>
      </w:r>
      <w:r>
        <w:rPr>
          <w:rFonts w:cs="Times New Roman"/>
          <w:szCs w:val="26"/>
        </w:rPr>
        <w:t>e</w:t>
      </w:r>
      <w:r w:rsidRPr="00152580">
        <w:rPr>
          <w:rFonts w:cs="Times New Roman"/>
          <w:szCs w:val="26"/>
        </w:rPr>
        <w:t xml:space="preserve"> </w:t>
      </w:r>
      <w:r>
        <w:rPr>
          <w:rFonts w:cs="Times New Roman"/>
          <w:szCs w:val="26"/>
        </w:rPr>
        <w:t xml:space="preserve">commodity.  </w:t>
      </w:r>
    </w:p>
    <w:p w:rsidR="00152580" w:rsidP="00152580">
      <w:pPr>
        <w:spacing w:after="0" w:line="480" w:lineRule="exact"/>
        <w:ind w:firstLine="720"/>
        <w:rPr>
          <w:rFonts w:cs="Times New Roman"/>
          <w:sz w:val="24"/>
          <w:szCs w:val="24"/>
        </w:rPr>
      </w:pPr>
      <w:r w:rsidRPr="00152580">
        <w:rPr>
          <w:rFonts w:cs="Times New Roman"/>
          <w:i/>
          <w:szCs w:val="26"/>
        </w:rPr>
        <w:t>Johanns</w:t>
      </w:r>
      <w:r>
        <w:rPr>
          <w:rFonts w:cs="Times New Roman"/>
          <w:szCs w:val="26"/>
        </w:rPr>
        <w:t xml:space="preserve">, </w:t>
      </w:r>
      <w:r w:rsidRPr="00133EEE">
        <w:rPr>
          <w:rFonts w:cs="Times New Roman"/>
          <w:i/>
          <w:szCs w:val="26"/>
        </w:rPr>
        <w:t>supra</w:t>
      </w:r>
      <w:r>
        <w:rPr>
          <w:rFonts w:cs="Times New Roman"/>
          <w:szCs w:val="26"/>
        </w:rPr>
        <w:t>, 544 U.S. 550, involved the Beef Promotion and Research Act of 1985 (Beef Act), which provides for the promotion of “beef and beef products.</w:t>
      </w:r>
      <w:r w:rsidRPr="00152580">
        <w:rPr>
          <w:rFonts w:cs="Times New Roman"/>
          <w:szCs w:val="26"/>
        </w:rPr>
        <w:t>”</w:t>
      </w:r>
      <w:r>
        <w:rPr>
          <w:rFonts w:cs="Times New Roman"/>
          <w:szCs w:val="26"/>
        </w:rPr>
        <w:t xml:space="preserve">  (7 U.S.C. § 2901(b); </w:t>
      </w:r>
      <w:r w:rsidRPr="00152580">
        <w:rPr>
          <w:rFonts w:cs="Times New Roman"/>
          <w:i/>
          <w:szCs w:val="26"/>
        </w:rPr>
        <w:t>Johanns</w:t>
      </w:r>
      <w:r w:rsidRPr="00152580">
        <w:rPr>
          <w:rFonts w:cs="Times New Roman"/>
          <w:szCs w:val="26"/>
        </w:rPr>
        <w:t xml:space="preserve">, at p. 553.)  </w:t>
      </w:r>
      <w:r>
        <w:rPr>
          <w:rFonts w:cs="Times New Roman"/>
          <w:szCs w:val="26"/>
        </w:rPr>
        <w:t xml:space="preserve">This statute </w:t>
      </w:r>
      <w:r w:rsidRPr="00152580">
        <w:rPr>
          <w:rFonts w:cs="Times New Roman"/>
          <w:szCs w:val="26"/>
        </w:rPr>
        <w:t>direct</w:t>
      </w:r>
      <w:r>
        <w:rPr>
          <w:rFonts w:cs="Times New Roman"/>
          <w:szCs w:val="26"/>
        </w:rPr>
        <w:t>s</w:t>
      </w:r>
      <w:r w:rsidRPr="00152580">
        <w:rPr>
          <w:rFonts w:cs="Times New Roman"/>
          <w:szCs w:val="26"/>
        </w:rPr>
        <w:t xml:space="preserve"> the </w:t>
      </w:r>
      <w:r>
        <w:rPr>
          <w:rFonts w:cs="Times New Roman"/>
          <w:szCs w:val="26"/>
        </w:rPr>
        <w:t xml:space="preserve">federal </w:t>
      </w:r>
      <w:r w:rsidRPr="00152580">
        <w:rPr>
          <w:rFonts w:cs="Times New Roman"/>
          <w:szCs w:val="26"/>
        </w:rPr>
        <w:t xml:space="preserve">Secretary of Agriculture to </w:t>
      </w:r>
      <w:r>
        <w:rPr>
          <w:rFonts w:cs="Times New Roman"/>
          <w:szCs w:val="26"/>
        </w:rPr>
        <w:t>advance</w:t>
      </w:r>
      <w:r w:rsidRPr="00152580">
        <w:rPr>
          <w:rFonts w:cs="Times New Roman"/>
          <w:szCs w:val="26"/>
        </w:rPr>
        <w:t xml:space="preserve"> the statutory goal of promoting the marketing and consumption of beef products by issuing a Beef Promotion and Research Order. </w:t>
      </w:r>
      <w:r>
        <w:rPr>
          <w:rFonts w:cs="Times New Roman"/>
          <w:szCs w:val="26"/>
        </w:rPr>
        <w:t xml:space="preserve"> (7 </w:t>
      </w:r>
      <w:r w:rsidRPr="00152580">
        <w:rPr>
          <w:rFonts w:cs="Times New Roman"/>
          <w:szCs w:val="26"/>
        </w:rPr>
        <w:t xml:space="preserve">U.S.C. § 2903.)  Through this order, the Secretary </w:t>
      </w:r>
      <w:r>
        <w:rPr>
          <w:rFonts w:cs="Times New Roman"/>
          <w:szCs w:val="26"/>
        </w:rPr>
        <w:t xml:space="preserve">of Agriculture </w:t>
      </w:r>
      <w:r w:rsidRPr="00152580">
        <w:rPr>
          <w:rFonts w:cs="Times New Roman"/>
          <w:szCs w:val="26"/>
        </w:rPr>
        <w:t>appoint</w:t>
      </w:r>
      <w:r>
        <w:rPr>
          <w:rFonts w:cs="Times New Roman"/>
          <w:szCs w:val="26"/>
        </w:rPr>
        <w:t>s</w:t>
      </w:r>
      <w:r w:rsidRPr="00152580">
        <w:rPr>
          <w:rFonts w:cs="Times New Roman"/>
          <w:szCs w:val="26"/>
        </w:rPr>
        <w:t xml:space="preserve"> the members of a promotional board</w:t>
      </w:r>
      <w:r>
        <w:rPr>
          <w:rFonts w:cs="Times New Roman"/>
          <w:szCs w:val="26"/>
        </w:rPr>
        <w:t xml:space="preserve"> (hereafter the Beef Board)</w:t>
      </w:r>
      <w:r w:rsidRPr="00152580">
        <w:rPr>
          <w:rFonts w:cs="Times New Roman"/>
          <w:szCs w:val="26"/>
        </w:rPr>
        <w:t xml:space="preserve">, comprised of beef producers and importers </w:t>
      </w:r>
      <w:r>
        <w:rPr>
          <w:rFonts w:cs="Times New Roman"/>
          <w:szCs w:val="26"/>
        </w:rPr>
        <w:t xml:space="preserve">who have been </w:t>
      </w:r>
      <w:r w:rsidRPr="00152580">
        <w:rPr>
          <w:rFonts w:cs="Times New Roman"/>
          <w:szCs w:val="26"/>
        </w:rPr>
        <w:t>nominated by trade associations</w:t>
      </w:r>
      <w:r>
        <w:rPr>
          <w:rFonts w:cs="Times New Roman"/>
          <w:szCs w:val="26"/>
        </w:rPr>
        <w:t xml:space="preserve"> and importers</w:t>
      </w:r>
      <w:r w:rsidRPr="00152580">
        <w:rPr>
          <w:rFonts w:cs="Times New Roman"/>
          <w:szCs w:val="26"/>
        </w:rPr>
        <w:t>.  (</w:t>
      </w:r>
      <w:r w:rsidRPr="00152580">
        <w:rPr>
          <w:rFonts w:cs="Times New Roman"/>
          <w:i/>
          <w:szCs w:val="26"/>
        </w:rPr>
        <w:t>Id</w:t>
      </w:r>
      <w:r>
        <w:rPr>
          <w:rFonts w:cs="Times New Roman"/>
          <w:szCs w:val="26"/>
        </w:rPr>
        <w:t>., § 2904</w:t>
      </w:r>
      <w:r w:rsidRPr="00152580">
        <w:rPr>
          <w:rFonts w:cs="Times New Roman"/>
          <w:szCs w:val="26"/>
        </w:rPr>
        <w:t xml:space="preserve">(1).)  </w:t>
      </w:r>
      <w:r>
        <w:rPr>
          <w:rFonts w:cs="Times New Roman"/>
          <w:szCs w:val="26"/>
        </w:rPr>
        <w:t>The Beef Board elects 10 of its members to a</w:t>
      </w:r>
      <w:r w:rsidRPr="00152580">
        <w:rPr>
          <w:rFonts w:cs="Times New Roman"/>
          <w:szCs w:val="26"/>
        </w:rPr>
        <w:t xml:space="preserve"> </w:t>
      </w:r>
      <w:r>
        <w:rPr>
          <w:rFonts w:cs="Times New Roman"/>
          <w:szCs w:val="26"/>
        </w:rPr>
        <w:t xml:space="preserve">Beef Promotion </w:t>
      </w:r>
      <w:r w:rsidRPr="00152580">
        <w:rPr>
          <w:rFonts w:cs="Times New Roman"/>
          <w:szCs w:val="26"/>
        </w:rPr>
        <w:t>Operating Committee</w:t>
      </w:r>
      <w:r>
        <w:rPr>
          <w:rFonts w:cs="Times New Roman"/>
          <w:szCs w:val="26"/>
        </w:rPr>
        <w:t xml:space="preserve"> (hereafter Operating Committee),</w:t>
      </w:r>
      <w:r w:rsidRPr="00152580">
        <w:rPr>
          <w:rFonts w:cs="Times New Roman"/>
          <w:szCs w:val="26"/>
        </w:rPr>
        <w:t xml:space="preserve"> </w:t>
      </w:r>
      <w:r>
        <w:rPr>
          <w:rFonts w:cs="Times New Roman"/>
          <w:szCs w:val="26"/>
        </w:rPr>
        <w:t>who serve together with 10</w:t>
      </w:r>
      <w:r w:rsidRPr="00152580">
        <w:rPr>
          <w:rFonts w:cs="Times New Roman"/>
          <w:szCs w:val="26"/>
        </w:rPr>
        <w:t xml:space="preserve"> representatives named by a federation of state beef councils.  (</w:t>
      </w:r>
      <w:r w:rsidRPr="00F44182">
        <w:rPr>
          <w:rFonts w:cs="Times New Roman"/>
          <w:i/>
          <w:szCs w:val="26"/>
        </w:rPr>
        <w:t>Id</w:t>
      </w:r>
      <w:r>
        <w:rPr>
          <w:rFonts w:cs="Times New Roman"/>
          <w:szCs w:val="26"/>
        </w:rPr>
        <w:t xml:space="preserve">., </w:t>
      </w:r>
      <w:r w:rsidRPr="00152580">
        <w:rPr>
          <w:rFonts w:cs="Times New Roman"/>
          <w:szCs w:val="26"/>
        </w:rPr>
        <w:t>§</w:t>
      </w:r>
      <w:r>
        <w:t> </w:t>
      </w:r>
      <w:r w:rsidRPr="00152580">
        <w:rPr>
          <w:rFonts w:cs="Times New Roman"/>
          <w:szCs w:val="26"/>
        </w:rPr>
        <w:t>2904</w:t>
      </w:r>
      <w:r>
        <w:rPr>
          <w:rFonts w:cs="Times New Roman"/>
          <w:szCs w:val="26"/>
        </w:rPr>
        <w:t>(4)(A).)</w:t>
      </w:r>
      <w:r w:rsidRPr="00152580">
        <w:rPr>
          <w:rFonts w:cs="Times New Roman"/>
          <w:szCs w:val="26"/>
        </w:rPr>
        <w:t xml:space="preserve">  </w:t>
      </w:r>
      <w:r>
        <w:rPr>
          <w:rFonts w:cs="Times New Roman"/>
          <w:szCs w:val="26"/>
        </w:rPr>
        <w:t>The O</w:t>
      </w:r>
      <w:r w:rsidRPr="00152580">
        <w:rPr>
          <w:rFonts w:cs="Times New Roman"/>
          <w:szCs w:val="26"/>
        </w:rPr>
        <w:t>pera</w:t>
      </w:r>
      <w:r>
        <w:rPr>
          <w:rFonts w:cs="Times New Roman"/>
          <w:szCs w:val="26"/>
        </w:rPr>
        <w:t>ting C</w:t>
      </w:r>
      <w:r w:rsidRPr="00152580">
        <w:rPr>
          <w:rFonts w:cs="Times New Roman"/>
          <w:szCs w:val="26"/>
        </w:rPr>
        <w:t>ommittee design</w:t>
      </w:r>
      <w:r>
        <w:rPr>
          <w:rFonts w:cs="Times New Roman"/>
          <w:szCs w:val="26"/>
        </w:rPr>
        <w:t>s</w:t>
      </w:r>
      <w:r w:rsidRPr="00152580">
        <w:rPr>
          <w:rFonts w:cs="Times New Roman"/>
          <w:szCs w:val="26"/>
        </w:rPr>
        <w:t xml:space="preserve"> promotional campaigns relating to beef, funded by assessment</w:t>
      </w:r>
      <w:r>
        <w:rPr>
          <w:rFonts w:cs="Times New Roman"/>
          <w:szCs w:val="26"/>
        </w:rPr>
        <w:t>s imposed</w:t>
      </w:r>
      <w:r w:rsidRPr="00152580">
        <w:rPr>
          <w:rFonts w:cs="Times New Roman"/>
          <w:szCs w:val="26"/>
        </w:rPr>
        <w:t xml:space="preserve"> on cattle</w:t>
      </w:r>
      <w:r>
        <w:rPr>
          <w:rFonts w:cs="Times New Roman"/>
          <w:szCs w:val="26"/>
        </w:rPr>
        <w:t xml:space="preserve"> sales</w:t>
      </w:r>
      <w:r w:rsidRPr="00152580">
        <w:rPr>
          <w:rFonts w:cs="Times New Roman"/>
          <w:szCs w:val="26"/>
        </w:rPr>
        <w:t xml:space="preserve"> and</w:t>
      </w:r>
      <w:r>
        <w:rPr>
          <w:rFonts w:cs="Times New Roman"/>
          <w:szCs w:val="26"/>
        </w:rPr>
        <w:t xml:space="preserve"> on</w:t>
      </w:r>
      <w:r w:rsidRPr="00152580">
        <w:rPr>
          <w:rFonts w:cs="Times New Roman"/>
          <w:szCs w:val="26"/>
        </w:rPr>
        <w:t xml:space="preserve"> </w:t>
      </w:r>
      <w:r>
        <w:rPr>
          <w:rFonts w:cs="Times New Roman"/>
          <w:szCs w:val="26"/>
        </w:rPr>
        <w:t xml:space="preserve">the </w:t>
      </w:r>
      <w:r w:rsidRPr="00152580">
        <w:rPr>
          <w:rFonts w:cs="Times New Roman"/>
          <w:szCs w:val="26"/>
        </w:rPr>
        <w:t>importation of beef products</w:t>
      </w:r>
      <w:r>
        <w:rPr>
          <w:rFonts w:cs="Times New Roman"/>
          <w:szCs w:val="26"/>
        </w:rPr>
        <w:t xml:space="preserve"> and cattle</w:t>
      </w:r>
      <w:r w:rsidRPr="00152580">
        <w:rPr>
          <w:rFonts w:cs="Times New Roman"/>
          <w:szCs w:val="26"/>
        </w:rPr>
        <w:t xml:space="preserve">.  </w:t>
      </w:r>
      <w:r>
        <w:rPr>
          <w:rFonts w:cs="Times New Roman"/>
          <w:szCs w:val="26"/>
        </w:rPr>
        <w:t>(7 </w:t>
      </w:r>
      <w:r w:rsidRPr="00152580">
        <w:rPr>
          <w:rFonts w:cs="Times New Roman"/>
          <w:szCs w:val="26"/>
        </w:rPr>
        <w:t>U.S.C. §</w:t>
      </w:r>
      <w:r>
        <w:t> </w:t>
      </w:r>
      <w:r w:rsidRPr="00152580">
        <w:rPr>
          <w:rFonts w:cs="Times New Roman"/>
          <w:szCs w:val="26"/>
        </w:rPr>
        <w:t>2904(4)(B)</w:t>
      </w:r>
      <w:r>
        <w:rPr>
          <w:rFonts w:cs="Times New Roman"/>
          <w:szCs w:val="26"/>
        </w:rPr>
        <w:t xml:space="preserve"> &amp;</w:t>
      </w:r>
      <w:r w:rsidRPr="00152580">
        <w:rPr>
          <w:rFonts w:cs="Times New Roman"/>
          <w:szCs w:val="26"/>
        </w:rPr>
        <w:t xml:space="preserve"> (C)</w:t>
      </w:r>
      <w:r>
        <w:rPr>
          <w:rFonts w:cs="Times New Roman"/>
          <w:szCs w:val="26"/>
        </w:rPr>
        <w:t>,</w:t>
      </w:r>
      <w:r w:rsidRPr="00152580">
        <w:rPr>
          <w:rFonts w:cs="Times New Roman"/>
          <w:szCs w:val="26"/>
        </w:rPr>
        <w:t xml:space="preserve"> (8).)</w:t>
      </w:r>
      <w:r>
        <w:rPr>
          <w:rStyle w:val="FootnoteReference"/>
          <w:rFonts w:cs="Times New Roman"/>
          <w:b/>
          <w:szCs w:val="26"/>
        </w:rPr>
        <w:footnoteReference w:id="16"/>
      </w:r>
      <w:r w:rsidRPr="00152580">
        <w:rPr>
          <w:rFonts w:cs="Times New Roman"/>
          <w:szCs w:val="26"/>
        </w:rPr>
        <w:t xml:space="preserve">  </w:t>
      </w:r>
      <w:r>
        <w:rPr>
          <w:rFonts w:cs="Times New Roman"/>
          <w:szCs w:val="26"/>
        </w:rPr>
        <w:t xml:space="preserve">As described by the </w:t>
      </w:r>
      <w:r w:rsidRPr="00567038">
        <w:rPr>
          <w:rFonts w:cs="Times New Roman"/>
          <w:i/>
          <w:szCs w:val="26"/>
        </w:rPr>
        <w:t>Johanns</w:t>
      </w:r>
      <w:r>
        <w:rPr>
          <w:rFonts w:cs="Times New Roman"/>
          <w:szCs w:val="26"/>
        </w:rPr>
        <w:t xml:space="preserve"> court, t</w:t>
      </w:r>
      <w:r w:rsidRPr="00152580">
        <w:rPr>
          <w:rFonts w:cs="Times New Roman"/>
          <w:szCs w:val="26"/>
        </w:rPr>
        <w:t xml:space="preserve">hese campaigns </w:t>
      </w:r>
      <w:r>
        <w:rPr>
          <w:rFonts w:cs="Times New Roman"/>
          <w:szCs w:val="26"/>
        </w:rPr>
        <w:t>received</w:t>
      </w:r>
      <w:r w:rsidRPr="00152580">
        <w:rPr>
          <w:rFonts w:cs="Times New Roman"/>
          <w:szCs w:val="26"/>
        </w:rPr>
        <w:t xml:space="preserve"> </w:t>
      </w:r>
      <w:r>
        <w:rPr>
          <w:rFonts w:cs="Times New Roman"/>
          <w:szCs w:val="26"/>
        </w:rPr>
        <w:t xml:space="preserve">substantive review </w:t>
      </w:r>
      <w:r w:rsidRPr="00152580">
        <w:rPr>
          <w:rFonts w:cs="Times New Roman"/>
          <w:szCs w:val="26"/>
        </w:rPr>
        <w:t>by the Secretary</w:t>
      </w:r>
      <w:r>
        <w:rPr>
          <w:rFonts w:cs="Times New Roman"/>
          <w:szCs w:val="26"/>
        </w:rPr>
        <w:t xml:space="preserve"> of Agriculture</w:t>
      </w:r>
      <w:r w:rsidRPr="00152580">
        <w:rPr>
          <w:rFonts w:cs="Times New Roman"/>
          <w:szCs w:val="26"/>
        </w:rPr>
        <w:t xml:space="preserve"> or his or her designee, wh</w:t>
      </w:r>
      <w:r>
        <w:rPr>
          <w:rFonts w:cs="Times New Roman"/>
          <w:szCs w:val="26"/>
        </w:rPr>
        <w:t>o</w:t>
      </w:r>
      <w:r w:rsidRPr="00152580">
        <w:rPr>
          <w:rFonts w:cs="Times New Roman"/>
          <w:szCs w:val="26"/>
        </w:rPr>
        <w:t xml:space="preserve"> approve</w:t>
      </w:r>
      <w:r>
        <w:rPr>
          <w:rFonts w:cs="Times New Roman"/>
          <w:szCs w:val="26"/>
        </w:rPr>
        <w:t>d</w:t>
      </w:r>
      <w:r w:rsidRPr="00152580">
        <w:rPr>
          <w:rFonts w:cs="Times New Roman"/>
          <w:szCs w:val="26"/>
        </w:rPr>
        <w:t xml:space="preserve"> each project and the content of all promotional materials.  (</w:t>
      </w:r>
      <w:r w:rsidRPr="00152580">
        <w:rPr>
          <w:rFonts w:cs="Times New Roman"/>
          <w:i/>
          <w:szCs w:val="26"/>
        </w:rPr>
        <w:t>Johanns</w:t>
      </w:r>
      <w:r w:rsidRPr="00152580">
        <w:rPr>
          <w:rFonts w:cs="Times New Roman"/>
          <w:szCs w:val="26"/>
        </w:rPr>
        <w:t xml:space="preserve">, </w:t>
      </w:r>
      <w:r>
        <w:rPr>
          <w:rFonts w:cs="Times New Roman"/>
          <w:szCs w:val="26"/>
        </w:rPr>
        <w:t xml:space="preserve">544 U.S. </w:t>
      </w:r>
      <w:r w:rsidRPr="00152580">
        <w:rPr>
          <w:rFonts w:cs="Times New Roman"/>
          <w:szCs w:val="26"/>
        </w:rPr>
        <w:t xml:space="preserve">at p. 561.)  </w:t>
      </w:r>
      <w:r>
        <w:rPr>
          <w:rFonts w:cs="Times New Roman"/>
          <w:szCs w:val="26"/>
        </w:rPr>
        <w:t xml:space="preserve">At the time of the </w:t>
      </w:r>
      <w:r w:rsidRPr="00425ED6">
        <w:rPr>
          <w:rFonts w:cs="Times New Roman"/>
          <w:i/>
          <w:szCs w:val="26"/>
        </w:rPr>
        <w:t>Johanns</w:t>
      </w:r>
      <w:r>
        <w:rPr>
          <w:rFonts w:cs="Times New Roman"/>
          <w:szCs w:val="26"/>
        </w:rPr>
        <w:t xml:space="preserve"> decision, m</w:t>
      </w:r>
      <w:r w:rsidRPr="00152580">
        <w:rPr>
          <w:rFonts w:cs="Times New Roman"/>
          <w:szCs w:val="26"/>
        </w:rPr>
        <w:t>any of these materials bore the attribution “Funded by America’s Beef Producers.”  Some also bore the promotional board’s logo, consisting of a check</w:t>
      </w:r>
      <w:r>
        <w:rPr>
          <w:rFonts w:cs="Times New Roman"/>
          <w:szCs w:val="26"/>
        </w:rPr>
        <w:t xml:space="preserve"> </w:t>
      </w:r>
      <w:r w:rsidRPr="00152580">
        <w:rPr>
          <w:rFonts w:cs="Times New Roman"/>
          <w:szCs w:val="26"/>
        </w:rPr>
        <w:t>mark</w:t>
      </w:r>
      <w:r>
        <w:rPr>
          <w:rFonts w:cs="Times New Roman"/>
          <w:szCs w:val="26"/>
        </w:rPr>
        <w:t xml:space="preserve"> together</w:t>
      </w:r>
      <w:r w:rsidRPr="00152580">
        <w:rPr>
          <w:rFonts w:cs="Times New Roman"/>
          <w:szCs w:val="26"/>
        </w:rPr>
        <w:t xml:space="preserve"> with the word “BEEF.”  (</w:t>
      </w:r>
      <w:r w:rsidRPr="00152580">
        <w:rPr>
          <w:rFonts w:cs="Times New Roman"/>
          <w:i/>
          <w:szCs w:val="26"/>
        </w:rPr>
        <w:t>Id</w:t>
      </w:r>
      <w:r w:rsidRPr="00152580">
        <w:rPr>
          <w:rFonts w:cs="Times New Roman"/>
          <w:szCs w:val="26"/>
        </w:rPr>
        <w:t xml:space="preserve">., at p. 555.)   </w:t>
      </w:r>
    </w:p>
    <w:p w:rsidR="00241F9B" w:rsidP="00225D34">
      <w:pPr>
        <w:spacing w:after="0" w:line="480" w:lineRule="exact"/>
        <w:ind w:firstLine="720"/>
        <w:rPr>
          <w:rFonts w:cs="Times New Roman"/>
          <w:szCs w:val="26"/>
        </w:rPr>
      </w:pPr>
      <w:r>
        <w:rPr>
          <w:rFonts w:cs="Times New Roman"/>
          <w:szCs w:val="26"/>
        </w:rPr>
        <w:t xml:space="preserve">The plaintiffs in </w:t>
      </w:r>
      <w:r w:rsidRPr="000E66FC">
        <w:rPr>
          <w:rFonts w:cs="Times New Roman"/>
          <w:i/>
          <w:szCs w:val="26"/>
        </w:rPr>
        <w:t>Johanns</w:t>
      </w:r>
      <w:r>
        <w:rPr>
          <w:rFonts w:cs="Times New Roman"/>
          <w:szCs w:val="26"/>
        </w:rPr>
        <w:t xml:space="preserve">, </w:t>
      </w:r>
      <w:r w:rsidRPr="000E66FC">
        <w:rPr>
          <w:rFonts w:cs="Times New Roman"/>
          <w:i/>
          <w:szCs w:val="26"/>
        </w:rPr>
        <w:t>supra</w:t>
      </w:r>
      <w:r>
        <w:rPr>
          <w:rFonts w:cs="Times New Roman"/>
          <w:szCs w:val="26"/>
        </w:rPr>
        <w:t>, 544 U.S. 550, were two associations that represented beef producers.  (</w:t>
      </w:r>
      <w:r w:rsidRPr="002B72F4">
        <w:rPr>
          <w:rFonts w:cs="Times New Roman"/>
          <w:i/>
          <w:szCs w:val="26"/>
        </w:rPr>
        <w:t>Id</w:t>
      </w:r>
      <w:r>
        <w:rPr>
          <w:rFonts w:cs="Times New Roman"/>
          <w:szCs w:val="26"/>
        </w:rPr>
        <w:t>., at p. 555.)  They alleged that the Beef Act violated the First Amendment by requiring their members to fund generic promotional speech to which they objected.  (</w:t>
      </w:r>
      <w:r w:rsidRPr="00BF4A56">
        <w:rPr>
          <w:rFonts w:cs="Times New Roman"/>
          <w:i/>
          <w:szCs w:val="26"/>
        </w:rPr>
        <w:t>Id</w:t>
      </w:r>
      <w:r>
        <w:rPr>
          <w:rFonts w:cs="Times New Roman"/>
          <w:szCs w:val="26"/>
        </w:rPr>
        <w:t xml:space="preserve">., at pp. 556-557.)  The high court disagreed.  </w:t>
      </w:r>
      <w:r w:rsidRPr="00152580">
        <w:rPr>
          <w:rFonts w:cs="Times New Roman"/>
          <w:szCs w:val="26"/>
        </w:rPr>
        <w:t xml:space="preserve">Writing for the </w:t>
      </w:r>
      <w:r>
        <w:rPr>
          <w:rFonts w:cs="Times New Roman"/>
          <w:szCs w:val="26"/>
        </w:rPr>
        <w:t xml:space="preserve">court in </w:t>
      </w:r>
      <w:r w:rsidRPr="00225D34">
        <w:rPr>
          <w:rFonts w:cs="Times New Roman"/>
          <w:i/>
          <w:szCs w:val="26"/>
        </w:rPr>
        <w:t>Johanns</w:t>
      </w:r>
      <w:r>
        <w:rPr>
          <w:rFonts w:cs="Times New Roman"/>
          <w:szCs w:val="26"/>
        </w:rPr>
        <w:t xml:space="preserve">, </w:t>
      </w:r>
      <w:r w:rsidRPr="00225D34">
        <w:rPr>
          <w:rFonts w:cs="Times New Roman"/>
          <w:i/>
          <w:szCs w:val="26"/>
        </w:rPr>
        <w:t>supra</w:t>
      </w:r>
      <w:r>
        <w:rPr>
          <w:rFonts w:cs="Times New Roman"/>
          <w:szCs w:val="26"/>
        </w:rPr>
        <w:t>, 544 U.S. 550,</w:t>
      </w:r>
      <w:r w:rsidRPr="00152580">
        <w:rPr>
          <w:rFonts w:cs="Times New Roman"/>
          <w:szCs w:val="26"/>
        </w:rPr>
        <w:t xml:space="preserve"> </w:t>
      </w:r>
      <w:r>
        <w:rPr>
          <w:rFonts w:cs="Times New Roman"/>
          <w:szCs w:val="26"/>
        </w:rPr>
        <w:t xml:space="preserve">Justice Scalia first distinguished earlier precedent as being concerned with the compelled subsidy of </w:t>
      </w:r>
      <w:r w:rsidRPr="00E90DC7">
        <w:rPr>
          <w:rFonts w:cs="Times New Roman"/>
          <w:i/>
          <w:szCs w:val="26"/>
        </w:rPr>
        <w:t>private</w:t>
      </w:r>
      <w:r>
        <w:rPr>
          <w:rFonts w:cs="Times New Roman"/>
          <w:szCs w:val="26"/>
        </w:rPr>
        <w:t xml:space="preserve"> speech.  “</w:t>
      </w:r>
      <w:r w:rsidRPr="00241F9B">
        <w:rPr>
          <w:rFonts w:cs="Times New Roman"/>
          <w:szCs w:val="26"/>
        </w:rPr>
        <w:t>In all of the cases invalidating</w:t>
      </w:r>
      <w:r>
        <w:rPr>
          <w:rFonts w:cs="Times New Roman"/>
          <w:szCs w:val="26"/>
        </w:rPr>
        <w:t xml:space="preserve"> exactions to subsidize speech,” </w:t>
      </w:r>
      <w:r w:rsidRPr="000E66FC">
        <w:rPr>
          <w:rFonts w:cs="Times New Roman"/>
          <w:i/>
          <w:szCs w:val="26"/>
        </w:rPr>
        <w:t>Johanns</w:t>
      </w:r>
      <w:r>
        <w:rPr>
          <w:rFonts w:cs="Times New Roman"/>
          <w:szCs w:val="26"/>
        </w:rPr>
        <w:t xml:space="preserve"> explained, “</w:t>
      </w:r>
      <w:r w:rsidRPr="00241F9B">
        <w:rPr>
          <w:rFonts w:cs="Times New Roman"/>
          <w:szCs w:val="26"/>
        </w:rPr>
        <w:t>the speech was, or was presumed to be, that of an entity other than the government itself</w:t>
      </w:r>
      <w:r>
        <w:rPr>
          <w:rFonts w:cs="Times New Roman"/>
          <w:szCs w:val="26"/>
        </w:rPr>
        <w:t xml:space="preserve">.  [Citations.] </w:t>
      </w:r>
      <w:r w:rsidRPr="00241F9B">
        <w:rPr>
          <w:rFonts w:cs="Times New Roman"/>
          <w:szCs w:val="26"/>
        </w:rPr>
        <w:t xml:space="preserve"> </w:t>
      </w:r>
      <w:r>
        <w:rPr>
          <w:rFonts w:cs="Times New Roman"/>
          <w:szCs w:val="26"/>
        </w:rPr>
        <w:t xml:space="preserve">Our compelled-subsidy </w:t>
      </w:r>
      <w:r w:rsidRPr="00152580">
        <w:rPr>
          <w:rFonts w:cs="Times New Roman"/>
          <w:szCs w:val="26"/>
        </w:rPr>
        <w:t>cases have consistently respected the principle that ‘</w:t>
      </w:r>
      <w:r>
        <w:rPr>
          <w:rFonts w:cs="Times New Roman"/>
          <w:szCs w:val="26"/>
        </w:rPr>
        <w:t>[</w:t>
      </w:r>
      <w:r w:rsidRPr="00152580">
        <w:rPr>
          <w:rFonts w:cs="Times New Roman"/>
          <w:szCs w:val="26"/>
        </w:rPr>
        <w:t>c</w:t>
      </w:r>
      <w:r>
        <w:rPr>
          <w:rFonts w:cs="Times New Roman"/>
          <w:szCs w:val="26"/>
        </w:rPr>
        <w:t>]</w:t>
      </w:r>
      <w:r w:rsidRPr="00152580">
        <w:rPr>
          <w:rFonts w:cs="Times New Roman"/>
          <w:szCs w:val="26"/>
        </w:rPr>
        <w:t xml:space="preserve">ompelled support of a private association is fundamentally different from compelled support of government.’  [Citation.]  ‘Compelled support of government’ </w:t>
      </w:r>
      <w:r>
        <w:rPr>
          <w:rFonts w:cs="Times New Roman"/>
          <w:szCs w:val="26"/>
        </w:rPr>
        <w:t>—</w:t>
      </w:r>
      <w:r w:rsidRPr="00152580">
        <w:rPr>
          <w:rFonts w:cs="Times New Roman"/>
          <w:szCs w:val="26"/>
        </w:rPr>
        <w:t xml:space="preserve"> even those programs of government one does not approve </w:t>
      </w:r>
      <w:r>
        <w:rPr>
          <w:rFonts w:cs="Times New Roman"/>
          <w:szCs w:val="26"/>
        </w:rPr>
        <w:t>—</w:t>
      </w:r>
      <w:r w:rsidRPr="00152580">
        <w:rPr>
          <w:rFonts w:cs="Times New Roman"/>
          <w:szCs w:val="26"/>
        </w:rPr>
        <w:t xml:space="preserve"> is of course perfectly constitutional, as every taxpayer must attest.  And some government programs involve, or entirely consist of, </w:t>
      </w:r>
      <w:r>
        <w:rPr>
          <w:rFonts w:cs="Times New Roman"/>
          <w:szCs w:val="26"/>
        </w:rPr>
        <w:t>advocating</w:t>
      </w:r>
      <w:r w:rsidRPr="00152580">
        <w:rPr>
          <w:rFonts w:cs="Times New Roman"/>
          <w:szCs w:val="26"/>
        </w:rPr>
        <w:t xml:space="preserve"> a position</w:t>
      </w:r>
      <w:r>
        <w:rPr>
          <w:rFonts w:cs="Times New Roman"/>
          <w:szCs w:val="26"/>
        </w:rPr>
        <w:t xml:space="preserve">.”  </w:t>
      </w:r>
      <w:r w:rsidRPr="00152580">
        <w:rPr>
          <w:rFonts w:cs="Times New Roman"/>
          <w:szCs w:val="26"/>
        </w:rPr>
        <w:t>(</w:t>
      </w:r>
      <w:r w:rsidRPr="005F038D">
        <w:rPr>
          <w:rFonts w:cs="Times New Roman"/>
          <w:i/>
          <w:szCs w:val="26"/>
        </w:rPr>
        <w:t>Id</w:t>
      </w:r>
      <w:r w:rsidRPr="00152580">
        <w:rPr>
          <w:rFonts w:cs="Times New Roman"/>
          <w:szCs w:val="26"/>
        </w:rPr>
        <w:t>.</w:t>
      </w:r>
      <w:r>
        <w:rPr>
          <w:rFonts w:cs="Times New Roman"/>
          <w:szCs w:val="26"/>
        </w:rPr>
        <w:t>,</w:t>
      </w:r>
      <w:r w:rsidRPr="00152580">
        <w:rPr>
          <w:rFonts w:cs="Times New Roman"/>
          <w:szCs w:val="26"/>
        </w:rPr>
        <w:t xml:space="preserve"> </w:t>
      </w:r>
      <w:r>
        <w:rPr>
          <w:rFonts w:cs="Times New Roman"/>
          <w:szCs w:val="26"/>
        </w:rPr>
        <w:t>at p. 559.)</w:t>
      </w:r>
      <w:r>
        <w:rPr>
          <w:rStyle w:val="FootnoteReference"/>
          <w:rFonts w:cs="Times New Roman"/>
          <w:b/>
          <w:szCs w:val="26"/>
        </w:rPr>
        <w:footnoteReference w:id="17"/>
      </w:r>
      <w:r w:rsidRPr="00C36ED4">
        <w:rPr>
          <w:rFonts w:cs="Times New Roman"/>
          <w:b/>
          <w:szCs w:val="26"/>
        </w:rPr>
        <w:t xml:space="preserve">  </w:t>
      </w:r>
    </w:p>
    <w:p w:rsidR="00327541" w:rsidRPr="00152580" w:rsidP="00241F9B">
      <w:pPr>
        <w:spacing w:after="0" w:line="480" w:lineRule="exact"/>
        <w:ind w:firstLine="720"/>
        <w:rPr>
          <w:rFonts w:cs="Times New Roman"/>
          <w:szCs w:val="26"/>
        </w:rPr>
      </w:pPr>
      <w:r w:rsidRPr="00241F9B">
        <w:rPr>
          <w:rFonts w:cs="Times New Roman"/>
          <w:i/>
          <w:szCs w:val="26"/>
        </w:rPr>
        <w:t>Johanns</w:t>
      </w:r>
      <w:r>
        <w:rPr>
          <w:rFonts w:cs="Times New Roman"/>
          <w:szCs w:val="26"/>
        </w:rPr>
        <w:t xml:space="preserve">, </w:t>
      </w:r>
      <w:r w:rsidRPr="00225D34">
        <w:rPr>
          <w:rFonts w:cs="Times New Roman"/>
          <w:i/>
          <w:szCs w:val="26"/>
        </w:rPr>
        <w:t>supra</w:t>
      </w:r>
      <w:r>
        <w:rPr>
          <w:rFonts w:cs="Times New Roman"/>
          <w:szCs w:val="26"/>
        </w:rPr>
        <w:t>, 544 U.S. 550, then conducted a careful review of the communications generated under the Beef Act, and determined that they represented government speech that was “not susceptible to First Amendment challenge.”  (</w:t>
      </w:r>
      <w:r>
        <w:rPr>
          <w:rFonts w:cs="Times New Roman"/>
          <w:i/>
          <w:szCs w:val="26"/>
        </w:rPr>
        <w:t>Johanns</w:t>
      </w:r>
      <w:r>
        <w:rPr>
          <w:rFonts w:cs="Times New Roman"/>
          <w:szCs w:val="26"/>
        </w:rPr>
        <w:t xml:space="preserve">, at p. 560.)  The court stressed that </w:t>
      </w:r>
      <w:r w:rsidRPr="00152580">
        <w:rPr>
          <w:rFonts w:cs="Times New Roman"/>
          <w:szCs w:val="26"/>
        </w:rPr>
        <w:t xml:space="preserve">“[t]he message of the </w:t>
      </w:r>
      <w:r>
        <w:rPr>
          <w:rFonts w:cs="Times New Roman"/>
          <w:szCs w:val="26"/>
        </w:rPr>
        <w:t xml:space="preserve">[beef and beef products] </w:t>
      </w:r>
      <w:r w:rsidRPr="00152580">
        <w:rPr>
          <w:rFonts w:cs="Times New Roman"/>
          <w:szCs w:val="26"/>
        </w:rPr>
        <w:t>promotional campaigns is effectively controlled by the Federal Government</w:t>
      </w:r>
      <w:r>
        <w:rPr>
          <w:rFonts w:cs="Times New Roman"/>
          <w:szCs w:val="26"/>
        </w:rPr>
        <w:t xml:space="preserve"> itself,</w:t>
      </w:r>
      <w:r w:rsidRPr="00152580">
        <w:rPr>
          <w:rFonts w:cs="Times New Roman"/>
          <w:szCs w:val="26"/>
        </w:rPr>
        <w:t>”</w:t>
      </w:r>
      <w:r>
        <w:rPr>
          <w:rFonts w:cs="Times New Roman"/>
          <w:szCs w:val="26"/>
        </w:rPr>
        <w:t xml:space="preserve"> being “from beginning to end the message established by the Federal Government.”</w:t>
      </w:r>
      <w:r w:rsidRPr="00152580">
        <w:rPr>
          <w:rFonts w:cs="Times New Roman"/>
          <w:szCs w:val="26"/>
        </w:rPr>
        <w:t xml:space="preserve">  (</w:t>
      </w:r>
      <w:r>
        <w:rPr>
          <w:rFonts w:cs="Times New Roman"/>
          <w:i/>
          <w:szCs w:val="26"/>
        </w:rPr>
        <w:t>Id</w:t>
      </w:r>
      <w:r>
        <w:rPr>
          <w:rFonts w:cs="Times New Roman"/>
          <w:szCs w:val="26"/>
        </w:rPr>
        <w:t>., at pp. 560-561.)</w:t>
      </w:r>
      <w:r w:rsidRPr="00902C17">
        <w:rPr>
          <w:rFonts w:cs="Times New Roman"/>
          <w:b/>
          <w:szCs w:val="26"/>
        </w:rPr>
        <w:t xml:space="preserve"> </w:t>
      </w:r>
      <w:r w:rsidRPr="008C5D80">
        <w:rPr>
          <w:rFonts w:cs="Times New Roman"/>
          <w:szCs w:val="26"/>
        </w:rPr>
        <w:t xml:space="preserve"> </w:t>
      </w:r>
      <w:r w:rsidRPr="00152580">
        <w:rPr>
          <w:rFonts w:cs="Times New Roman"/>
          <w:i/>
          <w:szCs w:val="26"/>
        </w:rPr>
        <w:t>Johanns</w:t>
      </w:r>
      <w:r w:rsidRPr="00152580">
        <w:rPr>
          <w:rFonts w:cs="Times New Roman"/>
          <w:szCs w:val="26"/>
        </w:rPr>
        <w:t xml:space="preserve"> </w:t>
      </w:r>
      <w:r>
        <w:rPr>
          <w:rFonts w:cs="Times New Roman"/>
          <w:szCs w:val="26"/>
        </w:rPr>
        <w:t xml:space="preserve">explained what this effective control entailed.  The court </w:t>
      </w:r>
      <w:r w:rsidRPr="00152580">
        <w:rPr>
          <w:rFonts w:cs="Times New Roman"/>
          <w:szCs w:val="26"/>
        </w:rPr>
        <w:t xml:space="preserve">observed that the </w:t>
      </w:r>
      <w:r>
        <w:rPr>
          <w:rFonts w:cs="Times New Roman"/>
          <w:szCs w:val="26"/>
        </w:rPr>
        <w:t>speech</w:t>
      </w:r>
      <w:r w:rsidRPr="00152580">
        <w:rPr>
          <w:rFonts w:cs="Times New Roman"/>
          <w:szCs w:val="26"/>
        </w:rPr>
        <w:t xml:space="preserve"> </w:t>
      </w:r>
      <w:r>
        <w:rPr>
          <w:rFonts w:cs="Times New Roman"/>
          <w:szCs w:val="26"/>
        </w:rPr>
        <w:t>was</w:t>
      </w:r>
      <w:r w:rsidRPr="00152580">
        <w:rPr>
          <w:rFonts w:cs="Times New Roman"/>
          <w:szCs w:val="26"/>
        </w:rPr>
        <w:t xml:space="preserve"> promulgated pursuant to Congressional </w:t>
      </w:r>
      <w:r>
        <w:rPr>
          <w:rFonts w:cs="Times New Roman"/>
          <w:szCs w:val="26"/>
        </w:rPr>
        <w:t>endorsement of a coordinated program</w:t>
      </w:r>
      <w:r w:rsidRPr="00152580">
        <w:rPr>
          <w:rFonts w:cs="Times New Roman"/>
          <w:szCs w:val="26"/>
        </w:rPr>
        <w:t xml:space="preserve"> of promotion, “</w:t>
      </w:r>
      <w:r>
        <w:rPr>
          <w:rFonts w:cs="Times New Roman"/>
          <w:szCs w:val="26"/>
        </w:rPr>
        <w:t> ‘</w:t>
      </w:r>
      <w:r w:rsidRPr="00152580">
        <w:rPr>
          <w:rFonts w:cs="Times New Roman"/>
          <w:szCs w:val="26"/>
        </w:rPr>
        <w:t>including paid advertising, to advance the image and desirab</w:t>
      </w:r>
      <w:r>
        <w:rPr>
          <w:rFonts w:cs="Times New Roman"/>
          <w:szCs w:val="26"/>
        </w:rPr>
        <w:t>ility of beef and beef products’ </w:t>
      </w:r>
      <w:r w:rsidRPr="00152580">
        <w:rPr>
          <w:rFonts w:cs="Times New Roman"/>
          <w:szCs w:val="26"/>
        </w:rPr>
        <w:t>”</w:t>
      </w:r>
      <w:r>
        <w:rPr>
          <w:rFonts w:cs="Times New Roman"/>
          <w:szCs w:val="26"/>
        </w:rPr>
        <w:t xml:space="preserve"> (</w:t>
      </w:r>
      <w:r w:rsidRPr="008C5D80">
        <w:rPr>
          <w:rFonts w:cs="Times New Roman"/>
          <w:i/>
          <w:szCs w:val="26"/>
        </w:rPr>
        <w:t>id</w:t>
      </w:r>
      <w:r>
        <w:rPr>
          <w:rFonts w:cs="Times New Roman"/>
          <w:szCs w:val="26"/>
        </w:rPr>
        <w:t>., at p. 561, quoting 7 U.S.C. § 2901(b)),</w:t>
      </w:r>
      <w:r w:rsidRPr="00152580">
        <w:rPr>
          <w:rFonts w:cs="Times New Roman"/>
          <w:szCs w:val="26"/>
        </w:rPr>
        <w:t xml:space="preserve"> and that Congress had “specified, in general terms, what the pro</w:t>
      </w:r>
      <w:r>
        <w:rPr>
          <w:rFonts w:cs="Times New Roman"/>
          <w:szCs w:val="26"/>
        </w:rPr>
        <w:t>motional campaigns shall contain . . </w:t>
      </w:r>
      <w:r w:rsidRPr="00152580">
        <w:rPr>
          <w:rFonts w:cs="Times New Roman"/>
          <w:szCs w:val="26"/>
        </w:rPr>
        <w:t xml:space="preserve">. and what they shall not.” </w:t>
      </w:r>
      <w:r>
        <w:rPr>
          <w:rFonts w:cs="Times New Roman"/>
          <w:szCs w:val="26"/>
        </w:rPr>
        <w:t xml:space="preserve"> (</w:t>
      </w:r>
      <w:r>
        <w:rPr>
          <w:rFonts w:cs="Times New Roman"/>
          <w:i/>
          <w:szCs w:val="26"/>
        </w:rPr>
        <w:t>Johanns</w:t>
      </w:r>
      <w:r>
        <w:rPr>
          <w:rFonts w:cs="Times New Roman"/>
          <w:szCs w:val="26"/>
        </w:rPr>
        <w:t xml:space="preserve">, at p. 561.)  </w:t>
      </w:r>
      <w:r w:rsidRPr="00152580">
        <w:rPr>
          <w:rFonts w:cs="Times New Roman"/>
          <w:szCs w:val="26"/>
        </w:rPr>
        <w:t>This message was then fleshed out by “an entity</w:t>
      </w:r>
      <w:r>
        <w:rPr>
          <w:rFonts w:cs="Times New Roman"/>
          <w:szCs w:val="26"/>
        </w:rPr>
        <w:t xml:space="preserve"> [the Operating Committee]</w:t>
      </w:r>
      <w:r w:rsidRPr="00152580">
        <w:rPr>
          <w:rFonts w:cs="Times New Roman"/>
          <w:szCs w:val="26"/>
        </w:rPr>
        <w:t xml:space="preserve"> whose members are answerable to the Secretary</w:t>
      </w:r>
      <w:r>
        <w:rPr>
          <w:rFonts w:cs="Times New Roman"/>
          <w:szCs w:val="26"/>
        </w:rPr>
        <w:t xml:space="preserve"> [of Agriculture]</w:t>
      </w:r>
      <w:r w:rsidRPr="00152580">
        <w:rPr>
          <w:rFonts w:cs="Times New Roman"/>
          <w:szCs w:val="26"/>
        </w:rPr>
        <w:t xml:space="preserve"> (and in some cases appointed by him as well),” with the </w:t>
      </w:r>
      <w:r>
        <w:rPr>
          <w:rFonts w:cs="Times New Roman"/>
          <w:szCs w:val="26"/>
        </w:rPr>
        <w:t>s</w:t>
      </w:r>
      <w:r w:rsidRPr="00152580">
        <w:rPr>
          <w:rFonts w:cs="Times New Roman"/>
          <w:szCs w:val="26"/>
        </w:rPr>
        <w:t>ecretary or his</w:t>
      </w:r>
      <w:r>
        <w:rPr>
          <w:rFonts w:cs="Times New Roman"/>
          <w:szCs w:val="26"/>
        </w:rPr>
        <w:t xml:space="preserve"> or her</w:t>
      </w:r>
      <w:r w:rsidRPr="00152580">
        <w:rPr>
          <w:rFonts w:cs="Times New Roman"/>
          <w:szCs w:val="26"/>
        </w:rPr>
        <w:t xml:space="preserve"> designees attending meetings at which advertising proposals were developed, </w:t>
      </w:r>
      <w:r>
        <w:rPr>
          <w:rFonts w:cs="Times New Roman"/>
          <w:szCs w:val="26"/>
        </w:rPr>
        <w:t xml:space="preserve">reviewing all promotional messages and even rewriting some of them, </w:t>
      </w:r>
      <w:r w:rsidRPr="00152580">
        <w:rPr>
          <w:rFonts w:cs="Times New Roman"/>
          <w:szCs w:val="26"/>
        </w:rPr>
        <w:t>and then exercising “final approval authority over every word used in every promotional campaign.”</w:t>
      </w:r>
      <w:r>
        <w:rPr>
          <w:rStyle w:val="FootnoteReference"/>
          <w:rFonts w:cs="Times New Roman"/>
          <w:b/>
          <w:szCs w:val="26"/>
        </w:rPr>
        <w:footnoteReference w:id="18"/>
      </w:r>
      <w:r>
        <w:rPr>
          <w:rFonts w:cs="Times New Roman"/>
          <w:szCs w:val="26"/>
        </w:rPr>
        <w:t xml:space="preserve"> </w:t>
      </w:r>
      <w:r w:rsidRPr="00152580">
        <w:rPr>
          <w:rFonts w:cs="Times New Roman"/>
          <w:szCs w:val="26"/>
        </w:rPr>
        <w:t xml:space="preserve"> (</w:t>
      </w:r>
      <w:r>
        <w:rPr>
          <w:rFonts w:cs="Times New Roman"/>
          <w:i/>
          <w:szCs w:val="26"/>
        </w:rPr>
        <w:t>Johanns</w:t>
      </w:r>
      <w:r>
        <w:rPr>
          <w:rFonts w:cs="Times New Roman"/>
          <w:szCs w:val="26"/>
        </w:rPr>
        <w:t>, at p. 561.</w:t>
      </w:r>
      <w:r w:rsidRPr="00152580">
        <w:rPr>
          <w:rFonts w:cs="Times New Roman"/>
          <w:szCs w:val="26"/>
        </w:rPr>
        <w:t>)</w:t>
      </w:r>
      <w:r>
        <w:rPr>
          <w:rFonts w:cs="Times New Roman"/>
          <w:szCs w:val="26"/>
        </w:rPr>
        <w:t xml:space="preserve">  </w:t>
      </w:r>
      <w:r w:rsidRPr="00152580">
        <w:rPr>
          <w:rFonts w:cs="Times New Roman"/>
          <w:i/>
          <w:szCs w:val="26"/>
        </w:rPr>
        <w:t>Johanns</w:t>
      </w:r>
      <w:r>
        <w:rPr>
          <w:rFonts w:cs="Times New Roman"/>
          <w:szCs w:val="26"/>
        </w:rPr>
        <w:t xml:space="preserve"> summarized, “the beef advertisements are subject to political safeguards </w:t>
      </w:r>
      <w:r w:rsidRPr="000E66FC">
        <w:rPr>
          <w:rFonts w:cs="Times New Roman"/>
          <w:i/>
          <w:szCs w:val="26"/>
        </w:rPr>
        <w:t>more than adequate</w:t>
      </w:r>
      <w:r>
        <w:rPr>
          <w:rFonts w:cs="Times New Roman"/>
          <w:szCs w:val="26"/>
        </w:rPr>
        <w:t xml:space="preserve"> to set them apart from private messages.  T</w:t>
      </w:r>
      <w:r w:rsidRPr="00152580">
        <w:rPr>
          <w:rFonts w:cs="Times New Roman"/>
          <w:szCs w:val="26"/>
        </w:rPr>
        <w:t>he program is authorized and the basic message prescribed by federal statute, and the specific requirements for the promotions’ content are imposed by federal regulations promulgated after notice and comment.  The Secretary of Agriculture, a politically accountable official, oversees the program, appoints and dismisses the key personnel, and retains absolute veto power over the advertisements’ content, right down to the wording.  And Congress, of course, retains oversight authority, not to mention the ability to reform the program at any t</w:t>
      </w:r>
      <w:r>
        <w:rPr>
          <w:rFonts w:cs="Times New Roman"/>
          <w:szCs w:val="26"/>
        </w:rPr>
        <w:t>ime.  No more is required.</w:t>
      </w:r>
      <w:r w:rsidRPr="00152580">
        <w:rPr>
          <w:rFonts w:cs="Times New Roman"/>
          <w:szCs w:val="26"/>
        </w:rPr>
        <w:t>”  (</w:t>
      </w:r>
      <w:r w:rsidRPr="00187C3F">
        <w:rPr>
          <w:rFonts w:cs="Times New Roman"/>
          <w:i/>
          <w:szCs w:val="26"/>
        </w:rPr>
        <w:t>Id</w:t>
      </w:r>
      <w:r w:rsidRPr="005F038D">
        <w:rPr>
          <w:rFonts w:cs="Times New Roman"/>
          <w:i/>
          <w:szCs w:val="26"/>
        </w:rPr>
        <w:t>.</w:t>
      </w:r>
      <w:r w:rsidRPr="001C6EF1">
        <w:rPr>
          <w:rFonts w:cs="Times New Roman"/>
          <w:szCs w:val="26"/>
        </w:rPr>
        <w:t xml:space="preserve">, </w:t>
      </w:r>
      <w:r w:rsidRPr="00152580">
        <w:rPr>
          <w:rFonts w:cs="Times New Roman"/>
          <w:szCs w:val="26"/>
        </w:rPr>
        <w:t xml:space="preserve">at pp. 563-564, </w:t>
      </w:r>
      <w:r>
        <w:rPr>
          <w:rFonts w:cs="Times New Roman"/>
          <w:szCs w:val="26"/>
        </w:rPr>
        <w:t>fns.</w:t>
      </w:r>
      <w:r w:rsidRPr="00152580">
        <w:rPr>
          <w:rFonts w:cs="Times New Roman"/>
          <w:szCs w:val="26"/>
        </w:rPr>
        <w:t xml:space="preserve"> omitted</w:t>
      </w:r>
      <w:r>
        <w:rPr>
          <w:rFonts w:cs="Times New Roman"/>
          <w:szCs w:val="26"/>
        </w:rPr>
        <w:t>, italics added</w:t>
      </w:r>
      <w:r w:rsidRPr="00152580">
        <w:rPr>
          <w:rFonts w:cs="Times New Roman"/>
          <w:szCs w:val="26"/>
        </w:rPr>
        <w:t>.)</w:t>
      </w:r>
      <w:r w:rsidRPr="00425ED6">
        <w:rPr>
          <w:rFonts w:cs="Times New Roman"/>
          <w:b/>
          <w:szCs w:val="26"/>
        </w:rPr>
        <w:t xml:space="preserve"> </w:t>
      </w:r>
    </w:p>
    <w:p w:rsidR="00567038" w:rsidP="005F038D">
      <w:pPr>
        <w:spacing w:after="0" w:line="480" w:lineRule="exact"/>
        <w:ind w:firstLine="720"/>
        <w:rPr>
          <w:rFonts w:cs="Times New Roman"/>
          <w:szCs w:val="26"/>
        </w:rPr>
      </w:pPr>
      <w:r w:rsidRPr="00152580">
        <w:rPr>
          <w:rFonts w:cs="Times New Roman"/>
          <w:szCs w:val="26"/>
        </w:rPr>
        <w:t>In upholding the</w:t>
      </w:r>
      <w:r>
        <w:rPr>
          <w:rFonts w:cs="Times New Roman"/>
          <w:szCs w:val="26"/>
        </w:rPr>
        <w:t xml:space="preserve"> federal</w:t>
      </w:r>
      <w:r w:rsidRPr="00152580">
        <w:rPr>
          <w:rFonts w:cs="Times New Roman"/>
          <w:szCs w:val="26"/>
        </w:rPr>
        <w:t xml:space="preserve"> </w:t>
      </w:r>
      <w:r>
        <w:rPr>
          <w:rFonts w:cs="Times New Roman"/>
          <w:szCs w:val="26"/>
        </w:rPr>
        <w:t>beef promotion program</w:t>
      </w:r>
      <w:r w:rsidRPr="00152580">
        <w:rPr>
          <w:rFonts w:cs="Times New Roman"/>
          <w:szCs w:val="26"/>
        </w:rPr>
        <w:t xml:space="preserve">, </w:t>
      </w:r>
      <w:r w:rsidRPr="00152580">
        <w:rPr>
          <w:rFonts w:cs="Times New Roman"/>
          <w:i/>
          <w:szCs w:val="26"/>
        </w:rPr>
        <w:t>Johanns</w:t>
      </w:r>
      <w:r>
        <w:rPr>
          <w:rFonts w:cs="Times New Roman"/>
          <w:szCs w:val="26"/>
        </w:rPr>
        <w:t xml:space="preserve">, </w:t>
      </w:r>
      <w:r w:rsidRPr="001553BD">
        <w:rPr>
          <w:rFonts w:cs="Times New Roman"/>
          <w:i/>
          <w:szCs w:val="26"/>
        </w:rPr>
        <w:t>supra</w:t>
      </w:r>
      <w:r>
        <w:rPr>
          <w:rFonts w:cs="Times New Roman"/>
          <w:szCs w:val="26"/>
        </w:rPr>
        <w:t>, 544 U.S. 550,</w:t>
      </w:r>
      <w:r w:rsidRPr="00152580">
        <w:rPr>
          <w:rFonts w:cs="Times New Roman"/>
          <w:szCs w:val="26"/>
        </w:rPr>
        <w:t xml:space="preserve"> rejected the </w:t>
      </w:r>
      <w:r>
        <w:rPr>
          <w:rFonts w:cs="Times New Roman"/>
          <w:szCs w:val="26"/>
        </w:rPr>
        <w:t>contentions</w:t>
      </w:r>
      <w:r w:rsidRPr="00152580">
        <w:rPr>
          <w:rFonts w:cs="Times New Roman"/>
          <w:szCs w:val="26"/>
        </w:rPr>
        <w:t xml:space="preserve"> that the</w:t>
      </w:r>
      <w:r>
        <w:rPr>
          <w:rFonts w:cs="Times New Roman"/>
          <w:szCs w:val="26"/>
        </w:rPr>
        <w:t xml:space="preserve"> subsidized</w:t>
      </w:r>
      <w:r w:rsidRPr="00152580">
        <w:rPr>
          <w:rFonts w:cs="Times New Roman"/>
          <w:szCs w:val="26"/>
        </w:rPr>
        <w:t xml:space="preserve"> advertisements</w:t>
      </w:r>
      <w:r>
        <w:rPr>
          <w:rFonts w:cs="Times New Roman"/>
          <w:szCs w:val="26"/>
        </w:rPr>
        <w:t xml:space="preserve"> could not represent government speech</w:t>
      </w:r>
      <w:r w:rsidRPr="00152580">
        <w:rPr>
          <w:rFonts w:cs="Times New Roman"/>
          <w:szCs w:val="26"/>
        </w:rPr>
        <w:t xml:space="preserve"> because they</w:t>
      </w:r>
      <w:r>
        <w:rPr>
          <w:rFonts w:cs="Times New Roman"/>
          <w:szCs w:val="26"/>
        </w:rPr>
        <w:t xml:space="preserve"> </w:t>
      </w:r>
      <w:r w:rsidRPr="00152580">
        <w:rPr>
          <w:rFonts w:cs="Times New Roman"/>
          <w:szCs w:val="26"/>
        </w:rPr>
        <w:t>were “funded by a targeted assessment on beef producer</w:t>
      </w:r>
      <w:r>
        <w:rPr>
          <w:rFonts w:cs="Times New Roman"/>
          <w:szCs w:val="26"/>
        </w:rPr>
        <w:t xml:space="preserve">s, rather than general revenues” </w:t>
      </w:r>
      <w:r w:rsidRPr="00152580">
        <w:rPr>
          <w:rFonts w:cs="Times New Roman"/>
          <w:szCs w:val="26"/>
        </w:rPr>
        <w:t>(</w:t>
      </w:r>
      <w:r>
        <w:rPr>
          <w:rFonts w:cs="Times New Roman"/>
          <w:i/>
          <w:szCs w:val="26"/>
        </w:rPr>
        <w:t>i</w:t>
      </w:r>
      <w:r w:rsidRPr="00152580">
        <w:rPr>
          <w:rFonts w:cs="Times New Roman"/>
          <w:i/>
          <w:szCs w:val="26"/>
        </w:rPr>
        <w:t>d</w:t>
      </w:r>
      <w:r w:rsidRPr="00152580">
        <w:rPr>
          <w:rFonts w:cs="Times New Roman"/>
          <w:szCs w:val="26"/>
        </w:rPr>
        <w:t>., at p. 562)</w:t>
      </w:r>
      <w:r>
        <w:rPr>
          <w:rFonts w:cs="Times New Roman"/>
          <w:szCs w:val="26"/>
        </w:rPr>
        <w:t xml:space="preserve">, and were not explicitly attributed to the state but rather, in at least some instances, to </w:t>
      </w:r>
      <w:r w:rsidRPr="00152580">
        <w:rPr>
          <w:rFonts w:cs="Times New Roman"/>
          <w:szCs w:val="26"/>
        </w:rPr>
        <w:t>“</w:t>
      </w:r>
      <w:r>
        <w:rPr>
          <w:rFonts w:cs="Times New Roman"/>
          <w:szCs w:val="26"/>
        </w:rPr>
        <w:t> ‘</w:t>
      </w:r>
      <w:r w:rsidRPr="00152580">
        <w:rPr>
          <w:rFonts w:cs="Times New Roman"/>
          <w:szCs w:val="26"/>
        </w:rPr>
        <w:t>America’s Beef Producers</w:t>
      </w:r>
      <w:r>
        <w:rPr>
          <w:rFonts w:cs="Times New Roman"/>
          <w:szCs w:val="26"/>
        </w:rPr>
        <w:t>’ ”</w:t>
      </w:r>
      <w:r w:rsidRPr="00152580">
        <w:rPr>
          <w:rFonts w:cs="Times New Roman"/>
          <w:szCs w:val="26"/>
        </w:rPr>
        <w:t xml:space="preserve"> (</w:t>
      </w:r>
      <w:r>
        <w:rPr>
          <w:rFonts w:cs="Times New Roman"/>
          <w:i/>
          <w:szCs w:val="26"/>
        </w:rPr>
        <w:t>i</w:t>
      </w:r>
      <w:r w:rsidRPr="005F038D">
        <w:rPr>
          <w:rFonts w:cs="Times New Roman"/>
          <w:i/>
          <w:szCs w:val="26"/>
        </w:rPr>
        <w:t>d</w:t>
      </w:r>
      <w:r w:rsidRPr="00152580">
        <w:rPr>
          <w:rFonts w:cs="Times New Roman"/>
          <w:szCs w:val="26"/>
        </w:rPr>
        <w:t>.</w:t>
      </w:r>
      <w:r>
        <w:rPr>
          <w:rFonts w:cs="Times New Roman"/>
          <w:szCs w:val="26"/>
        </w:rPr>
        <w:t>, at p. 564</w:t>
      </w:r>
      <w:r w:rsidRPr="00152580">
        <w:rPr>
          <w:rFonts w:cs="Times New Roman"/>
          <w:szCs w:val="26"/>
        </w:rPr>
        <w:t>)</w:t>
      </w:r>
      <w:r>
        <w:rPr>
          <w:rFonts w:cs="Times New Roman"/>
          <w:szCs w:val="26"/>
        </w:rPr>
        <w:t xml:space="preserve">.  </w:t>
      </w:r>
      <w:r w:rsidRPr="00152580">
        <w:rPr>
          <w:rFonts w:cs="Times New Roman"/>
          <w:szCs w:val="26"/>
        </w:rPr>
        <w:t xml:space="preserve">The </w:t>
      </w:r>
      <w:r>
        <w:rPr>
          <w:rFonts w:cs="Times New Roman"/>
          <w:szCs w:val="26"/>
        </w:rPr>
        <w:t>court</w:t>
      </w:r>
      <w:r w:rsidRPr="00152580">
        <w:rPr>
          <w:rFonts w:cs="Times New Roman"/>
          <w:szCs w:val="26"/>
        </w:rPr>
        <w:t xml:space="preserve"> </w:t>
      </w:r>
      <w:r>
        <w:rPr>
          <w:rFonts w:cs="Times New Roman"/>
          <w:szCs w:val="26"/>
        </w:rPr>
        <w:t>deprecated an attribution requirement, whereby promotional speech funded by targeted assessments would have to be explicitly ascribed to the state in order to satisfy the First Amendment, as a “</w:t>
      </w:r>
      <w:r w:rsidRPr="002B72F4">
        <w:rPr>
          <w:rFonts w:cs="Times New Roman"/>
          <w:szCs w:val="26"/>
        </w:rPr>
        <w:t>highly refined elaboration</w:t>
      </w:r>
      <w:r>
        <w:rPr>
          <w:rFonts w:cs="Times New Roman"/>
          <w:szCs w:val="26"/>
        </w:rPr>
        <w:t>” of constitutional jurisprudence that represented an unprecedented and clumsy response to the question before the court: “</w:t>
      </w:r>
      <w:r w:rsidRPr="002B72F4">
        <w:rPr>
          <w:rFonts w:cs="Times New Roman"/>
          <w:szCs w:val="26"/>
        </w:rPr>
        <w:t xml:space="preserve">the correct </w:t>
      </w:r>
      <w:r>
        <w:rPr>
          <w:rFonts w:cs="Times New Roman"/>
          <w:szCs w:val="26"/>
        </w:rPr>
        <w:t>focus is not on whether the ads’</w:t>
      </w:r>
      <w:r w:rsidRPr="002B72F4">
        <w:rPr>
          <w:rFonts w:cs="Times New Roman"/>
          <w:szCs w:val="26"/>
        </w:rPr>
        <w:t xml:space="preserve"> audience realizes the Government is speaking, but on the </w:t>
      </w:r>
      <w:r>
        <w:rPr>
          <w:rFonts w:cs="Times New Roman"/>
          <w:szCs w:val="26"/>
        </w:rPr>
        <w:t>compelled assessment’</w:t>
      </w:r>
      <w:r w:rsidRPr="002B72F4">
        <w:rPr>
          <w:rFonts w:cs="Times New Roman"/>
          <w:szCs w:val="26"/>
        </w:rPr>
        <w:t>s purporte</w:t>
      </w:r>
      <w:r>
        <w:rPr>
          <w:rFonts w:cs="Times New Roman"/>
          <w:szCs w:val="26"/>
        </w:rPr>
        <w:t xml:space="preserve">d interference with respondents’ First Amendment rights.”  </w:t>
      </w:r>
      <w:r w:rsidRPr="00152580">
        <w:rPr>
          <w:rFonts w:cs="Times New Roman"/>
          <w:szCs w:val="26"/>
        </w:rPr>
        <w:t>(</w:t>
      </w:r>
      <w:r>
        <w:rPr>
          <w:rFonts w:cs="Times New Roman"/>
          <w:i/>
          <w:szCs w:val="26"/>
        </w:rPr>
        <w:t>Johanns</w:t>
      </w:r>
      <w:r>
        <w:rPr>
          <w:rFonts w:cs="Times New Roman"/>
          <w:szCs w:val="26"/>
        </w:rPr>
        <w:t>,</w:t>
      </w:r>
      <w:r w:rsidRPr="00152580">
        <w:rPr>
          <w:rFonts w:cs="Times New Roman"/>
          <w:szCs w:val="26"/>
        </w:rPr>
        <w:t xml:space="preserve"> at p. </w:t>
      </w:r>
      <w:r>
        <w:rPr>
          <w:rFonts w:cs="Times New Roman"/>
          <w:szCs w:val="26"/>
        </w:rPr>
        <w:t>564</w:t>
      </w:r>
      <w:r w:rsidRPr="00152580">
        <w:rPr>
          <w:rFonts w:cs="Times New Roman"/>
          <w:szCs w:val="26"/>
        </w:rPr>
        <w:t>, fn. 7.)</w:t>
      </w:r>
      <w:r>
        <w:rPr>
          <w:rFonts w:cs="Times New Roman"/>
          <w:szCs w:val="26"/>
        </w:rPr>
        <w:t xml:space="preserve"> </w:t>
      </w:r>
      <w:r w:rsidRPr="00152580">
        <w:rPr>
          <w:rFonts w:cs="Times New Roman"/>
          <w:szCs w:val="26"/>
        </w:rPr>
        <w:t xml:space="preserve"> </w:t>
      </w:r>
      <w:r>
        <w:rPr>
          <w:rFonts w:cs="Times New Roman"/>
          <w:szCs w:val="26"/>
        </w:rPr>
        <w:t xml:space="preserve">At root, the court concluded, plaintiffs </w:t>
      </w:r>
      <w:r w:rsidRPr="00152580">
        <w:rPr>
          <w:rFonts w:cs="Times New Roman"/>
          <w:szCs w:val="26"/>
        </w:rPr>
        <w:t xml:space="preserve">“enjoy no right not to fund government speech </w:t>
      </w:r>
      <w:r>
        <w:rPr>
          <w:rFonts w:cs="Times New Roman"/>
          <w:szCs w:val="26"/>
        </w:rPr>
        <w:t>—</w:t>
      </w:r>
      <w:r w:rsidRPr="00152580">
        <w:rPr>
          <w:rFonts w:cs="Times New Roman"/>
          <w:szCs w:val="26"/>
        </w:rPr>
        <w:t xml:space="preserve"> whether by broad-based taxes or targeted assessments, and whether or not the reasonable viewer would identify the speech as the government’s.</w:t>
      </w:r>
      <w:r>
        <w:rPr>
          <w:rFonts w:cs="Times New Roman"/>
          <w:szCs w:val="26"/>
        </w:rPr>
        <w:t>”</w:t>
      </w:r>
      <w:r w:rsidRPr="007205D8">
        <w:rPr>
          <w:rStyle w:val="FootnoteReference"/>
          <w:rFonts w:cs="Times New Roman"/>
          <w:b/>
          <w:szCs w:val="26"/>
        </w:rPr>
        <w:t xml:space="preserve"> </w:t>
      </w:r>
      <w:r>
        <w:rPr>
          <w:rStyle w:val="FootnoteReference"/>
          <w:rFonts w:cs="Times New Roman"/>
          <w:b/>
          <w:szCs w:val="26"/>
        </w:rPr>
        <w:footnoteReference w:id="19"/>
      </w:r>
      <w:r>
        <w:rPr>
          <w:rFonts w:cs="Times New Roman"/>
          <w:szCs w:val="26"/>
        </w:rPr>
        <w:t xml:space="preserve">  (</w:t>
      </w:r>
      <w:r>
        <w:rPr>
          <w:rFonts w:cs="Times New Roman"/>
          <w:i/>
          <w:szCs w:val="26"/>
        </w:rPr>
        <w:t>Johanns</w:t>
      </w:r>
      <w:r>
        <w:rPr>
          <w:rFonts w:cs="Times New Roman"/>
          <w:szCs w:val="26"/>
        </w:rPr>
        <w:t>,</w:t>
      </w:r>
      <w:r w:rsidRPr="00152580">
        <w:rPr>
          <w:rFonts w:cs="Times New Roman"/>
          <w:szCs w:val="26"/>
        </w:rPr>
        <w:t xml:space="preserve"> at p. </w:t>
      </w:r>
      <w:r>
        <w:rPr>
          <w:rFonts w:cs="Times New Roman"/>
          <w:szCs w:val="26"/>
        </w:rPr>
        <w:t>564</w:t>
      </w:r>
      <w:r w:rsidRPr="00152580">
        <w:rPr>
          <w:rFonts w:cs="Times New Roman"/>
          <w:szCs w:val="26"/>
        </w:rPr>
        <w:t>, fn. 7.)</w:t>
      </w:r>
      <w:r>
        <w:rPr>
          <w:rFonts w:cs="Times New Roman"/>
          <w:szCs w:val="26"/>
        </w:rPr>
        <w:t xml:space="preserve"> </w:t>
      </w:r>
      <w:r w:rsidRPr="00152580">
        <w:rPr>
          <w:rFonts w:cs="Times New Roman"/>
          <w:szCs w:val="26"/>
        </w:rPr>
        <w:t xml:space="preserve"> </w:t>
      </w:r>
    </w:p>
    <w:p w:rsidR="00287BEC" w:rsidP="00B816C3">
      <w:pPr>
        <w:spacing w:after="240" w:line="480" w:lineRule="exact"/>
        <w:ind w:firstLine="720"/>
        <w:rPr>
          <w:rFonts w:cs="Times New Roman"/>
          <w:szCs w:val="26"/>
        </w:rPr>
      </w:pPr>
      <w:r w:rsidRPr="00567038">
        <w:rPr>
          <w:rFonts w:cs="Times New Roman"/>
          <w:i/>
          <w:szCs w:val="26"/>
        </w:rPr>
        <w:t>Johanns</w:t>
      </w:r>
      <w:r>
        <w:rPr>
          <w:rFonts w:cs="Times New Roman"/>
          <w:szCs w:val="26"/>
        </w:rPr>
        <w:t xml:space="preserve">, </w:t>
      </w:r>
      <w:r w:rsidRPr="00567038">
        <w:rPr>
          <w:rFonts w:cs="Times New Roman"/>
          <w:i/>
          <w:szCs w:val="26"/>
        </w:rPr>
        <w:t>supra</w:t>
      </w:r>
      <w:r>
        <w:rPr>
          <w:rFonts w:cs="Times New Roman"/>
          <w:szCs w:val="26"/>
        </w:rPr>
        <w:t>, 544 U.S. 550, did acknowledge that “[i]</w:t>
      </w:r>
      <w:r w:rsidRPr="00152580">
        <w:rPr>
          <w:rFonts w:cs="Times New Roman"/>
          <w:szCs w:val="26"/>
        </w:rPr>
        <w:t>f the viewer would identify the speech as [</w:t>
      </w:r>
      <w:r>
        <w:rPr>
          <w:rFonts w:cs="Times New Roman"/>
          <w:szCs w:val="26"/>
        </w:rPr>
        <w:t>that of plaintiffs’ members</w:t>
      </w:r>
      <w:r w:rsidRPr="00554E5F">
        <w:rPr>
          <w:rFonts w:cs="Times New Roman"/>
          <w:szCs w:val="26"/>
        </w:rPr>
        <w:t>]</w:t>
      </w:r>
      <w:r w:rsidRPr="00152580">
        <w:rPr>
          <w:rFonts w:cs="Times New Roman"/>
          <w:szCs w:val="26"/>
        </w:rPr>
        <w:t>, however, the analysis would be different.”  (</w:t>
      </w:r>
      <w:r>
        <w:rPr>
          <w:rFonts w:cs="Times New Roman"/>
          <w:i/>
          <w:szCs w:val="26"/>
        </w:rPr>
        <w:t>Id</w:t>
      </w:r>
      <w:r w:rsidRPr="00152580">
        <w:rPr>
          <w:rFonts w:cs="Times New Roman"/>
          <w:szCs w:val="26"/>
        </w:rPr>
        <w:t>.</w:t>
      </w:r>
      <w:r>
        <w:rPr>
          <w:rFonts w:cs="Times New Roman"/>
          <w:szCs w:val="26"/>
        </w:rPr>
        <w:t xml:space="preserve">, at </w:t>
      </w:r>
      <w:r w:rsidRPr="00152580">
        <w:rPr>
          <w:rFonts w:cs="Times New Roman"/>
          <w:szCs w:val="26"/>
        </w:rPr>
        <w:t xml:space="preserve">p. </w:t>
      </w:r>
      <w:r>
        <w:rPr>
          <w:rFonts w:cs="Times New Roman"/>
          <w:szCs w:val="26"/>
        </w:rPr>
        <w:t>564</w:t>
      </w:r>
      <w:r w:rsidRPr="00152580">
        <w:rPr>
          <w:rFonts w:cs="Times New Roman"/>
          <w:szCs w:val="26"/>
        </w:rPr>
        <w:t>, fn. 7</w:t>
      </w:r>
      <w:r>
        <w:rPr>
          <w:rFonts w:cs="Times New Roman"/>
          <w:szCs w:val="26"/>
        </w:rPr>
        <w:t>.</w:t>
      </w:r>
      <w:r w:rsidRPr="00152580">
        <w:rPr>
          <w:rFonts w:cs="Times New Roman"/>
          <w:szCs w:val="26"/>
        </w:rPr>
        <w:t xml:space="preserve">)  </w:t>
      </w:r>
      <w:r>
        <w:rPr>
          <w:rFonts w:cs="Times New Roman"/>
          <w:szCs w:val="26"/>
        </w:rPr>
        <w:t>In explaining this caveat</w:t>
      </w:r>
      <w:r w:rsidRPr="00152580">
        <w:rPr>
          <w:rFonts w:cs="Times New Roman"/>
          <w:szCs w:val="26"/>
        </w:rPr>
        <w:t xml:space="preserve">, </w:t>
      </w:r>
      <w:r w:rsidRPr="00152580">
        <w:rPr>
          <w:rFonts w:cs="Times New Roman"/>
          <w:i/>
          <w:szCs w:val="26"/>
        </w:rPr>
        <w:t>Johanns</w:t>
      </w:r>
      <w:r w:rsidRPr="00152580">
        <w:rPr>
          <w:rFonts w:cs="Times New Roman"/>
          <w:szCs w:val="26"/>
        </w:rPr>
        <w:t xml:space="preserve"> speculated that “[o]n some set of facts,” </w:t>
      </w:r>
      <w:r>
        <w:rPr>
          <w:rFonts w:cs="Times New Roman"/>
          <w:szCs w:val="26"/>
        </w:rPr>
        <w:t xml:space="preserve">an adequately supported allegation that the advertisements were in fact attributed </w:t>
      </w:r>
      <w:r w:rsidRPr="009617DD">
        <w:rPr>
          <w:rFonts w:cs="Times New Roman"/>
          <w:szCs w:val="26"/>
        </w:rPr>
        <w:t>to</w:t>
      </w:r>
      <w:r>
        <w:rPr>
          <w:rFonts w:cs="Times New Roman"/>
          <w:szCs w:val="26"/>
        </w:rPr>
        <w:t xml:space="preserve"> beef producers</w:t>
      </w:r>
      <w:r>
        <w:rPr>
          <w:rFonts w:cs="Times New Roman"/>
          <w:i/>
          <w:szCs w:val="26"/>
        </w:rPr>
        <w:t xml:space="preserve"> </w:t>
      </w:r>
      <w:r w:rsidRPr="00152580">
        <w:rPr>
          <w:rFonts w:cs="Times New Roman"/>
          <w:szCs w:val="26"/>
        </w:rPr>
        <w:t>might provide grounds for an as-applied challenge to the beef promotion program</w:t>
      </w:r>
      <w:r>
        <w:rPr>
          <w:rFonts w:cs="Times New Roman"/>
          <w:szCs w:val="26"/>
        </w:rPr>
        <w:t>, framed under a compelled-</w:t>
      </w:r>
      <w:r w:rsidRPr="00567038">
        <w:rPr>
          <w:rFonts w:cs="Times New Roman"/>
          <w:szCs w:val="26"/>
        </w:rPr>
        <w:t>speech</w:t>
      </w:r>
      <w:r>
        <w:rPr>
          <w:rFonts w:cs="Times New Roman"/>
          <w:szCs w:val="26"/>
        </w:rPr>
        <w:t xml:space="preserve"> theory</w:t>
      </w:r>
      <w:r w:rsidRPr="00152580">
        <w:rPr>
          <w:rFonts w:cs="Times New Roman"/>
          <w:szCs w:val="26"/>
        </w:rPr>
        <w:t>.  (</w:t>
      </w:r>
      <w:r w:rsidRPr="005F038D">
        <w:rPr>
          <w:rFonts w:cs="Times New Roman"/>
          <w:i/>
          <w:szCs w:val="26"/>
        </w:rPr>
        <w:t>Id</w:t>
      </w:r>
      <w:r w:rsidRPr="00152580">
        <w:rPr>
          <w:rFonts w:cs="Times New Roman"/>
          <w:szCs w:val="26"/>
        </w:rPr>
        <w:t>.</w:t>
      </w:r>
      <w:r>
        <w:rPr>
          <w:rFonts w:cs="Times New Roman"/>
          <w:szCs w:val="26"/>
        </w:rPr>
        <w:t>,</w:t>
      </w:r>
      <w:r w:rsidRPr="00152580">
        <w:rPr>
          <w:rFonts w:cs="Times New Roman"/>
          <w:szCs w:val="26"/>
        </w:rPr>
        <w:t xml:space="preserve"> at p. 566</w:t>
      </w:r>
      <w:r>
        <w:rPr>
          <w:rFonts w:cs="Times New Roman"/>
          <w:szCs w:val="26"/>
        </w:rPr>
        <w:t xml:space="preserve">; see also </w:t>
      </w:r>
      <w:r w:rsidRPr="00297FCD">
        <w:rPr>
          <w:rFonts w:cs="Times New Roman"/>
          <w:i/>
          <w:szCs w:val="26"/>
        </w:rPr>
        <w:t>Wooley v. Maynard</w:t>
      </w:r>
      <w:r>
        <w:rPr>
          <w:rFonts w:cs="Times New Roman"/>
          <w:szCs w:val="26"/>
        </w:rPr>
        <w:t xml:space="preserve"> (1977) 430 U.S. 705 (</w:t>
      </w:r>
      <w:r w:rsidRPr="00E83A4E">
        <w:rPr>
          <w:rFonts w:cs="Times New Roman"/>
          <w:i/>
          <w:szCs w:val="26"/>
        </w:rPr>
        <w:t>Wooley</w:t>
      </w:r>
      <w:r>
        <w:rPr>
          <w:rFonts w:cs="Times New Roman"/>
          <w:szCs w:val="26"/>
        </w:rPr>
        <w:t xml:space="preserve">); </w:t>
      </w:r>
      <w:r w:rsidRPr="00297FCD">
        <w:rPr>
          <w:rFonts w:cs="Times New Roman"/>
          <w:i/>
          <w:szCs w:val="26"/>
        </w:rPr>
        <w:t>Barnett</w:t>
      </w:r>
      <w:r>
        <w:rPr>
          <w:rFonts w:cs="Times New Roman"/>
          <w:i/>
          <w:szCs w:val="26"/>
        </w:rPr>
        <w:t>e</w:t>
      </w:r>
      <w:r>
        <w:rPr>
          <w:rFonts w:cs="Times New Roman"/>
          <w:szCs w:val="26"/>
        </w:rPr>
        <w:t xml:space="preserve">, </w:t>
      </w:r>
      <w:r w:rsidRPr="004F4C63">
        <w:rPr>
          <w:rFonts w:cs="Times New Roman"/>
          <w:i/>
          <w:szCs w:val="26"/>
        </w:rPr>
        <w:t>supra</w:t>
      </w:r>
      <w:r>
        <w:rPr>
          <w:rFonts w:cs="Times New Roman"/>
          <w:szCs w:val="26"/>
        </w:rPr>
        <w:t xml:space="preserve">, </w:t>
      </w:r>
      <w:r w:rsidRPr="007A5490">
        <w:rPr>
          <w:rFonts w:cs="Times New Roman"/>
          <w:szCs w:val="26"/>
        </w:rPr>
        <w:t>319 U.S. 624</w:t>
      </w:r>
      <w:r w:rsidRPr="00152580">
        <w:rPr>
          <w:rFonts w:cs="Times New Roman"/>
          <w:szCs w:val="26"/>
        </w:rPr>
        <w:t>.)</w:t>
      </w:r>
      <w:r>
        <w:rPr>
          <w:rFonts w:cs="Times New Roman"/>
          <w:szCs w:val="26"/>
        </w:rPr>
        <w:t xml:space="preserve">  </w:t>
      </w:r>
      <w:r w:rsidRPr="00152580">
        <w:rPr>
          <w:rFonts w:cs="Times New Roman"/>
          <w:szCs w:val="26"/>
        </w:rPr>
        <w:t xml:space="preserve">Yet the </w:t>
      </w:r>
      <w:r>
        <w:rPr>
          <w:rFonts w:cs="Times New Roman"/>
          <w:szCs w:val="26"/>
        </w:rPr>
        <w:t>c</w:t>
      </w:r>
      <w:r w:rsidRPr="00152580">
        <w:rPr>
          <w:rFonts w:cs="Times New Roman"/>
          <w:szCs w:val="26"/>
        </w:rPr>
        <w:t xml:space="preserve">ourt did not </w:t>
      </w:r>
      <w:r>
        <w:rPr>
          <w:rFonts w:cs="Times New Roman"/>
          <w:szCs w:val="26"/>
        </w:rPr>
        <w:t>perceive</w:t>
      </w:r>
      <w:r w:rsidRPr="00152580">
        <w:rPr>
          <w:rFonts w:cs="Times New Roman"/>
          <w:szCs w:val="26"/>
        </w:rPr>
        <w:t xml:space="preserve"> a</w:t>
      </w:r>
      <w:r>
        <w:rPr>
          <w:rFonts w:cs="Times New Roman"/>
          <w:szCs w:val="26"/>
        </w:rPr>
        <w:t>ny</w:t>
      </w:r>
      <w:r w:rsidRPr="00152580">
        <w:rPr>
          <w:rFonts w:cs="Times New Roman"/>
          <w:szCs w:val="26"/>
        </w:rPr>
        <w:t xml:space="preserve"> basis</w:t>
      </w:r>
      <w:r>
        <w:rPr>
          <w:rFonts w:cs="Times New Roman"/>
          <w:szCs w:val="26"/>
        </w:rPr>
        <w:t xml:space="preserve"> </w:t>
      </w:r>
      <w:r w:rsidRPr="00152580">
        <w:rPr>
          <w:rFonts w:cs="Times New Roman"/>
          <w:szCs w:val="26"/>
        </w:rPr>
        <w:t>in the record for concluding that the plaintiffs</w:t>
      </w:r>
      <w:r>
        <w:rPr>
          <w:rFonts w:cs="Times New Roman"/>
          <w:szCs w:val="26"/>
        </w:rPr>
        <w:t>’ members</w:t>
      </w:r>
      <w:r w:rsidRPr="00152580">
        <w:rPr>
          <w:rFonts w:cs="Times New Roman"/>
          <w:szCs w:val="26"/>
        </w:rPr>
        <w:t xml:space="preserve"> in fact would be associated with advertisements </w:t>
      </w:r>
      <w:r>
        <w:rPr>
          <w:rFonts w:cs="Times New Roman"/>
          <w:szCs w:val="26"/>
        </w:rPr>
        <w:t>bearing the text,</w:t>
      </w:r>
      <w:r w:rsidRPr="00152580">
        <w:rPr>
          <w:rFonts w:cs="Times New Roman"/>
          <w:szCs w:val="26"/>
        </w:rPr>
        <w:t xml:space="preserve"> “America’s Beef Producers.”  This tagline alone, </w:t>
      </w:r>
      <w:r>
        <w:rPr>
          <w:rFonts w:cs="Times New Roman"/>
          <w:szCs w:val="26"/>
        </w:rPr>
        <w:t>the court</w:t>
      </w:r>
      <w:r w:rsidRPr="00152580">
        <w:rPr>
          <w:rFonts w:cs="Times New Roman"/>
          <w:szCs w:val="26"/>
        </w:rPr>
        <w:t xml:space="preserve"> concluded, was not “sufficiently specific to convince a reasonable factfinder that any particular beef producer, or all beef producers, would be tarred with the content of each trademarked ad.”  (</w:t>
      </w:r>
      <w:r>
        <w:rPr>
          <w:rFonts w:cs="Times New Roman"/>
          <w:i/>
          <w:szCs w:val="26"/>
        </w:rPr>
        <w:t>Johanns</w:t>
      </w:r>
      <w:r>
        <w:rPr>
          <w:rFonts w:cs="Times New Roman"/>
          <w:szCs w:val="26"/>
        </w:rPr>
        <w:t>, at p. 566</w:t>
      </w:r>
      <w:r w:rsidRPr="00152580">
        <w:rPr>
          <w:rFonts w:cs="Times New Roman"/>
          <w:szCs w:val="26"/>
        </w:rPr>
        <w:t xml:space="preserve">.)  </w:t>
      </w:r>
    </w:p>
    <w:p w:rsidR="000540F6" w:rsidRPr="00740970" w:rsidP="00B816C3">
      <w:pPr>
        <w:keepNext/>
        <w:keepLines/>
        <w:tabs>
          <w:tab w:val="left" w:pos="1440"/>
        </w:tabs>
        <w:spacing w:after="0" w:line="240" w:lineRule="auto"/>
        <w:ind w:left="1440" w:hanging="360"/>
        <w:rPr>
          <w:rFonts w:cs="Times New Roman"/>
          <w:i/>
          <w:szCs w:val="26"/>
        </w:rPr>
      </w:pPr>
      <w:r>
        <w:rPr>
          <w:rFonts w:cs="Times New Roman"/>
          <w:i/>
          <w:szCs w:val="26"/>
        </w:rPr>
        <w:t>7</w:t>
      </w:r>
      <w:r w:rsidRPr="00740970">
        <w:rPr>
          <w:rFonts w:cs="Times New Roman"/>
          <w:i/>
          <w:szCs w:val="26"/>
        </w:rPr>
        <w:t>.</w:t>
      </w:r>
      <w:r>
        <w:rPr>
          <w:rFonts w:cs="Times New Roman"/>
          <w:i/>
          <w:szCs w:val="26"/>
        </w:rPr>
        <w:tab/>
      </w:r>
      <w:r w:rsidRPr="00740970">
        <w:rPr>
          <w:rFonts w:cs="Times New Roman"/>
          <w:i/>
          <w:szCs w:val="26"/>
        </w:rPr>
        <w:t>Post-</w:t>
      </w:r>
      <w:r w:rsidRPr="00740970">
        <w:rPr>
          <w:rFonts w:cs="Times New Roman"/>
          <w:szCs w:val="26"/>
        </w:rPr>
        <w:t>Johanns</w:t>
      </w:r>
      <w:r w:rsidRPr="00740970">
        <w:rPr>
          <w:rFonts w:cs="Times New Roman"/>
          <w:i/>
          <w:szCs w:val="26"/>
        </w:rPr>
        <w:t xml:space="preserve"> </w:t>
      </w:r>
      <w:r>
        <w:rPr>
          <w:rFonts w:cs="Times New Roman"/>
          <w:i/>
          <w:szCs w:val="26"/>
        </w:rPr>
        <w:t>Case Law</w:t>
      </w:r>
      <w:r w:rsidRPr="00740970">
        <w:rPr>
          <w:rFonts w:cs="Times New Roman"/>
          <w:i/>
          <w:szCs w:val="26"/>
        </w:rPr>
        <w:t xml:space="preserve"> Involving Compelled Subsidies</w:t>
      </w:r>
      <w:r>
        <w:rPr>
          <w:rFonts w:cs="Times New Roman"/>
          <w:i/>
          <w:szCs w:val="26"/>
        </w:rPr>
        <w:t xml:space="preserve"> and the Government Speech Doctrine</w:t>
      </w:r>
    </w:p>
    <w:p w:rsidR="001553BD" w:rsidP="00EE5F02">
      <w:pPr>
        <w:spacing w:after="0" w:line="480" w:lineRule="exact"/>
        <w:ind w:firstLine="720"/>
        <w:rPr>
          <w:rFonts w:cs="Times New Roman"/>
          <w:szCs w:val="26"/>
        </w:rPr>
      </w:pPr>
      <w:r>
        <w:rPr>
          <w:rFonts w:cs="Times New Roman"/>
          <w:szCs w:val="26"/>
        </w:rPr>
        <w:t xml:space="preserve">Since </w:t>
      </w:r>
      <w:r w:rsidRPr="00CF6157">
        <w:rPr>
          <w:rFonts w:cs="Times New Roman"/>
          <w:i/>
          <w:szCs w:val="26"/>
        </w:rPr>
        <w:t>Johanns</w:t>
      </w:r>
      <w:r>
        <w:rPr>
          <w:rFonts w:cs="Times New Roman"/>
          <w:szCs w:val="26"/>
        </w:rPr>
        <w:t xml:space="preserve"> was decided, its analysis has been applied in several cases to rebuff free speech challenges to compelled-subsidy programs.  (E.g., </w:t>
      </w:r>
      <w:r w:rsidRPr="00827CA4">
        <w:rPr>
          <w:rFonts w:cs="Times New Roman"/>
          <w:i/>
          <w:szCs w:val="26"/>
        </w:rPr>
        <w:t>Paramount Land Co. LP v. California Pistachio Com’n</w:t>
      </w:r>
      <w:r>
        <w:rPr>
          <w:rFonts w:cs="Times New Roman"/>
          <w:szCs w:val="26"/>
        </w:rPr>
        <w:t xml:space="preserve"> (9th Cir. 2007) 491 F.3d 1003, 1009-1012 (</w:t>
      </w:r>
      <w:r w:rsidRPr="00493D77">
        <w:rPr>
          <w:rFonts w:cs="Times New Roman"/>
          <w:i/>
          <w:szCs w:val="26"/>
        </w:rPr>
        <w:t>Paramount Land</w:t>
      </w:r>
      <w:r>
        <w:rPr>
          <w:rFonts w:cs="Times New Roman"/>
          <w:szCs w:val="26"/>
        </w:rPr>
        <w:t xml:space="preserve">); </w:t>
      </w:r>
      <w:r w:rsidRPr="00827CA4">
        <w:rPr>
          <w:rFonts w:cs="Times New Roman"/>
          <w:i/>
          <w:szCs w:val="26"/>
        </w:rPr>
        <w:t>Avocados Plus Inc. v. Johanns</w:t>
      </w:r>
      <w:r>
        <w:rPr>
          <w:rFonts w:cs="Times New Roman"/>
          <w:szCs w:val="26"/>
        </w:rPr>
        <w:t xml:space="preserve"> (D.D.C. 2006) 421 F.Supp.2d 45, 50-54; </w:t>
      </w:r>
      <w:r w:rsidRPr="00827CA4">
        <w:rPr>
          <w:rFonts w:cs="Times New Roman"/>
          <w:i/>
          <w:szCs w:val="26"/>
        </w:rPr>
        <w:t>Cricket Hosiery, Inc. v. U.S.</w:t>
      </w:r>
      <w:r>
        <w:rPr>
          <w:rFonts w:cs="Times New Roman"/>
          <w:szCs w:val="26"/>
        </w:rPr>
        <w:t xml:space="preserve"> (Ct. Internat. Trade 2006) 429 F.Supp.2d 1338, 1343-1348.)  Two particularly pertinent decisions are discussed below.</w:t>
      </w:r>
    </w:p>
    <w:p w:rsidR="00B816C3" w:rsidRPr="00B816C3" w:rsidP="00592B8B">
      <w:pPr>
        <w:pStyle w:val="ListParagraph"/>
        <w:keepNext/>
        <w:keepLines/>
        <w:numPr>
          <w:ilvl w:val="0"/>
          <w:numId w:val="10"/>
        </w:numPr>
        <w:spacing w:after="0" w:line="480" w:lineRule="exact"/>
        <w:ind w:left="1800"/>
        <w:rPr>
          <w:rFonts w:cs="Times New Roman"/>
          <w:szCs w:val="26"/>
        </w:rPr>
      </w:pPr>
      <w:r w:rsidRPr="00481B01">
        <w:rPr>
          <w:rFonts w:cs="Times New Roman"/>
          <w:i/>
          <w:szCs w:val="26"/>
        </w:rPr>
        <w:t>Delano Farms Co</w:t>
      </w:r>
      <w:r>
        <w:rPr>
          <w:rFonts w:cs="Times New Roman"/>
          <w:i/>
          <w:szCs w:val="26"/>
        </w:rPr>
        <w:t>.</w:t>
      </w:r>
    </w:p>
    <w:p w:rsidR="00E35DBC" w:rsidP="00E35DBC">
      <w:pPr>
        <w:spacing w:after="0" w:line="480" w:lineRule="exact"/>
        <w:ind w:firstLine="720"/>
        <w:rPr>
          <w:rFonts w:cs="Times New Roman"/>
          <w:szCs w:val="26"/>
        </w:rPr>
      </w:pPr>
      <w:r>
        <w:rPr>
          <w:rFonts w:cs="Times New Roman"/>
          <w:szCs w:val="26"/>
        </w:rPr>
        <w:t xml:space="preserve">In parallel federal litigation over the very assessments that are at issue here, the United States Court of Appeals for the Ninth Circuit </w:t>
      </w:r>
      <w:r w:rsidRPr="00152580">
        <w:rPr>
          <w:rFonts w:cs="Times New Roman"/>
          <w:szCs w:val="26"/>
        </w:rPr>
        <w:t xml:space="preserve">determined that the </w:t>
      </w:r>
      <w:r>
        <w:rPr>
          <w:rFonts w:cs="Times New Roman"/>
          <w:szCs w:val="26"/>
        </w:rPr>
        <w:t xml:space="preserve">Commission’s </w:t>
      </w:r>
      <w:r w:rsidRPr="00152580">
        <w:rPr>
          <w:rFonts w:cs="Times New Roman"/>
          <w:szCs w:val="26"/>
        </w:rPr>
        <w:t xml:space="preserve">promotional </w:t>
      </w:r>
      <w:r>
        <w:rPr>
          <w:rFonts w:cs="Times New Roman"/>
          <w:szCs w:val="26"/>
        </w:rPr>
        <w:t>messaging represented government speech and that the Ketchum Act’s compelled-subsidy program</w:t>
      </w:r>
      <w:r w:rsidRPr="00152580">
        <w:rPr>
          <w:rFonts w:cs="Times New Roman"/>
          <w:szCs w:val="26"/>
        </w:rPr>
        <w:t xml:space="preserve"> </w:t>
      </w:r>
      <w:r>
        <w:rPr>
          <w:rFonts w:cs="Times New Roman"/>
          <w:szCs w:val="26"/>
        </w:rPr>
        <w:t xml:space="preserve">therefore </w:t>
      </w:r>
      <w:r w:rsidRPr="00152580">
        <w:rPr>
          <w:rFonts w:cs="Times New Roman"/>
          <w:szCs w:val="26"/>
        </w:rPr>
        <w:t>did not violate the First and Fourteenth Amendments.  (</w:t>
      </w:r>
      <w:r w:rsidRPr="00481B01">
        <w:rPr>
          <w:rFonts w:cs="Times New Roman"/>
          <w:i/>
          <w:szCs w:val="26"/>
        </w:rPr>
        <w:t>Delano Farms Co</w:t>
      </w:r>
      <w:r>
        <w:rPr>
          <w:rFonts w:cs="Times New Roman"/>
          <w:i/>
          <w:szCs w:val="26"/>
        </w:rPr>
        <w:t>.</w:t>
      </w:r>
      <w:r w:rsidRPr="00481B01">
        <w:rPr>
          <w:rFonts w:cs="Times New Roman"/>
          <w:i/>
          <w:szCs w:val="26"/>
        </w:rPr>
        <w:t xml:space="preserve"> v. California Table Grape Co</w:t>
      </w:r>
      <w:r>
        <w:rPr>
          <w:rFonts w:cs="Times New Roman"/>
          <w:i/>
          <w:szCs w:val="26"/>
        </w:rPr>
        <w:t>m’</w:t>
      </w:r>
      <w:r w:rsidRPr="00481B01">
        <w:rPr>
          <w:rFonts w:cs="Times New Roman"/>
          <w:i/>
          <w:szCs w:val="26"/>
        </w:rPr>
        <w:t>n</w:t>
      </w:r>
      <w:r w:rsidRPr="00152580">
        <w:rPr>
          <w:rFonts w:cs="Times New Roman"/>
          <w:szCs w:val="26"/>
        </w:rPr>
        <w:t xml:space="preserve">, </w:t>
      </w:r>
      <w:r w:rsidRPr="00481B01">
        <w:rPr>
          <w:rFonts w:cs="Times New Roman"/>
          <w:i/>
          <w:szCs w:val="26"/>
        </w:rPr>
        <w:t>supra</w:t>
      </w:r>
      <w:r w:rsidRPr="00152580">
        <w:rPr>
          <w:rFonts w:cs="Times New Roman"/>
          <w:szCs w:val="26"/>
        </w:rPr>
        <w:t xml:space="preserve">, 586 F.3d </w:t>
      </w:r>
      <w:r>
        <w:rPr>
          <w:rFonts w:cs="Times New Roman"/>
          <w:szCs w:val="26"/>
        </w:rPr>
        <w:t>at pp. 1228-1230</w:t>
      </w:r>
      <w:r w:rsidRPr="00152580">
        <w:rPr>
          <w:rFonts w:cs="Times New Roman"/>
          <w:szCs w:val="26"/>
        </w:rPr>
        <w:t xml:space="preserve">.)  </w:t>
      </w:r>
      <w:r>
        <w:rPr>
          <w:rFonts w:cs="Times New Roman"/>
          <w:szCs w:val="26"/>
        </w:rPr>
        <w:t xml:space="preserve">The Court of Appeals’ analysis first applied the framework set forth in </w:t>
      </w:r>
      <w:r w:rsidRPr="00EA0935">
        <w:rPr>
          <w:rFonts w:cs="Times New Roman"/>
          <w:i/>
          <w:szCs w:val="26"/>
        </w:rPr>
        <w:t xml:space="preserve">Lebron v. National </w:t>
      </w:r>
      <w:r>
        <w:rPr>
          <w:rFonts w:cs="Times New Roman"/>
          <w:i/>
          <w:szCs w:val="26"/>
        </w:rPr>
        <w:t>Railroad</w:t>
      </w:r>
      <w:r w:rsidRPr="00EA0935">
        <w:rPr>
          <w:rFonts w:cs="Times New Roman"/>
          <w:i/>
          <w:szCs w:val="26"/>
        </w:rPr>
        <w:t xml:space="preserve"> Passenger Co</w:t>
      </w:r>
      <w:r>
        <w:rPr>
          <w:rFonts w:cs="Times New Roman"/>
          <w:i/>
          <w:szCs w:val="26"/>
        </w:rPr>
        <w:t>rporation</w:t>
      </w:r>
      <w:r w:rsidRPr="00AD4D26">
        <w:rPr>
          <w:i/>
        </w:rPr>
        <w:t xml:space="preserve"> </w:t>
      </w:r>
      <w:r>
        <w:rPr>
          <w:rFonts w:cs="Times New Roman"/>
          <w:szCs w:val="26"/>
        </w:rPr>
        <w:t>(1995) 513 U.S. 374 (</w:t>
      </w:r>
      <w:r w:rsidRPr="00CD6F8C">
        <w:rPr>
          <w:rFonts w:cs="Times New Roman"/>
          <w:i/>
          <w:szCs w:val="26"/>
        </w:rPr>
        <w:t>Lebron</w:t>
      </w:r>
      <w:r>
        <w:rPr>
          <w:rFonts w:cs="Times New Roman"/>
          <w:szCs w:val="26"/>
        </w:rPr>
        <w:t>) for ascertaining whether an entity is a government actor for First Amendment purposes, and determined therefrom that</w:t>
      </w:r>
      <w:r w:rsidRPr="00152580">
        <w:rPr>
          <w:rFonts w:cs="Times New Roman"/>
          <w:szCs w:val="26"/>
        </w:rPr>
        <w:t xml:space="preserve"> the Commission </w:t>
      </w:r>
      <w:r>
        <w:rPr>
          <w:rFonts w:cs="Times New Roman"/>
          <w:szCs w:val="26"/>
        </w:rPr>
        <w:t>wa</w:t>
      </w:r>
      <w:r w:rsidRPr="00152580">
        <w:rPr>
          <w:rFonts w:cs="Times New Roman"/>
          <w:szCs w:val="26"/>
        </w:rPr>
        <w:t xml:space="preserve">s a </w:t>
      </w:r>
      <w:r>
        <w:rPr>
          <w:rFonts w:cs="Times New Roman"/>
          <w:szCs w:val="26"/>
        </w:rPr>
        <w:t>government entity that could generate government speech on its own.</w:t>
      </w:r>
      <w:r>
        <w:rPr>
          <w:rStyle w:val="FootnoteReference"/>
          <w:rFonts w:cs="Times New Roman"/>
          <w:b/>
          <w:szCs w:val="26"/>
        </w:rPr>
        <w:footnoteReference w:id="20"/>
      </w:r>
      <w:r w:rsidRPr="00152580">
        <w:rPr>
          <w:rFonts w:cs="Times New Roman"/>
          <w:szCs w:val="26"/>
        </w:rPr>
        <w:t xml:space="preserve"> </w:t>
      </w:r>
      <w:r>
        <w:rPr>
          <w:rFonts w:cs="Times New Roman"/>
          <w:szCs w:val="26"/>
        </w:rPr>
        <w:t xml:space="preserve"> </w:t>
      </w:r>
      <w:r w:rsidRPr="00152580">
        <w:rPr>
          <w:rFonts w:cs="Times New Roman"/>
          <w:szCs w:val="26"/>
        </w:rPr>
        <w:t>(</w:t>
      </w:r>
      <w:r w:rsidRPr="00481B01">
        <w:rPr>
          <w:rFonts w:cs="Times New Roman"/>
          <w:i/>
          <w:szCs w:val="26"/>
        </w:rPr>
        <w:t>Delano Farms Co</w:t>
      </w:r>
      <w:r>
        <w:rPr>
          <w:rFonts w:cs="Times New Roman"/>
          <w:i/>
          <w:szCs w:val="26"/>
        </w:rPr>
        <w:t>.</w:t>
      </w:r>
      <w:r w:rsidRPr="00481B01">
        <w:rPr>
          <w:rFonts w:cs="Times New Roman"/>
          <w:i/>
          <w:szCs w:val="26"/>
        </w:rPr>
        <w:t xml:space="preserve"> v. California Table Grape Com</w:t>
      </w:r>
      <w:r>
        <w:rPr>
          <w:rFonts w:cs="Times New Roman"/>
          <w:i/>
          <w:szCs w:val="26"/>
        </w:rPr>
        <w:t>’</w:t>
      </w:r>
      <w:r w:rsidRPr="00481B01">
        <w:rPr>
          <w:rFonts w:cs="Times New Roman"/>
          <w:i/>
          <w:szCs w:val="26"/>
        </w:rPr>
        <w:t>n</w:t>
      </w:r>
      <w:r>
        <w:rPr>
          <w:rFonts w:cs="Times New Roman"/>
          <w:szCs w:val="26"/>
        </w:rPr>
        <w:t>,</w:t>
      </w:r>
      <w:r w:rsidRPr="00152580">
        <w:rPr>
          <w:rFonts w:cs="Times New Roman"/>
          <w:szCs w:val="26"/>
        </w:rPr>
        <w:t xml:space="preserve"> at p. 1226.)</w:t>
      </w:r>
      <w:r>
        <w:rPr>
          <w:rFonts w:cs="Times New Roman"/>
          <w:szCs w:val="26"/>
        </w:rPr>
        <w:t xml:space="preserve">  Although one member of the appellate panel would have stopped there (</w:t>
      </w:r>
      <w:r w:rsidRPr="00E90DC7">
        <w:rPr>
          <w:rFonts w:cs="Times New Roman"/>
          <w:i/>
          <w:szCs w:val="26"/>
        </w:rPr>
        <w:t>id</w:t>
      </w:r>
      <w:r>
        <w:rPr>
          <w:rFonts w:cs="Times New Roman"/>
          <w:szCs w:val="26"/>
        </w:rPr>
        <w:t>., at p. 1230 (conc. opn. of Reinhardt, J.)), the remaining judges also concluded</w:t>
      </w:r>
      <w:r w:rsidRPr="00152580">
        <w:rPr>
          <w:rFonts w:cs="Times New Roman"/>
          <w:szCs w:val="26"/>
        </w:rPr>
        <w:t xml:space="preserve"> that “the Commission’s activities are effectively controlled by the State of California, also rendering them government speech”</w:t>
      </w:r>
      <w:r>
        <w:rPr>
          <w:rFonts w:cs="Times New Roman"/>
          <w:szCs w:val="26"/>
        </w:rPr>
        <w:t xml:space="preserve"> </w:t>
      </w:r>
      <w:r w:rsidRPr="00152580">
        <w:rPr>
          <w:rFonts w:cs="Times New Roman"/>
          <w:szCs w:val="26"/>
        </w:rPr>
        <w:t>(</w:t>
      </w:r>
      <w:r>
        <w:rPr>
          <w:rFonts w:cs="Times New Roman"/>
          <w:i/>
          <w:szCs w:val="26"/>
        </w:rPr>
        <w:t>i</w:t>
      </w:r>
      <w:r w:rsidRPr="00481B01">
        <w:rPr>
          <w:rFonts w:cs="Times New Roman"/>
          <w:i/>
          <w:szCs w:val="26"/>
        </w:rPr>
        <w:t>d</w:t>
      </w:r>
      <w:r w:rsidRPr="00152580">
        <w:rPr>
          <w:rFonts w:cs="Times New Roman"/>
          <w:szCs w:val="26"/>
        </w:rPr>
        <w:t>.</w:t>
      </w:r>
      <w:r>
        <w:rPr>
          <w:rFonts w:cs="Times New Roman"/>
          <w:szCs w:val="26"/>
        </w:rPr>
        <w:t>, at p. 1226</w:t>
      </w:r>
      <w:r w:rsidRPr="00152580">
        <w:rPr>
          <w:rFonts w:cs="Times New Roman"/>
          <w:szCs w:val="26"/>
        </w:rPr>
        <w:t>)</w:t>
      </w:r>
      <w:r>
        <w:rPr>
          <w:rFonts w:cs="Times New Roman"/>
          <w:szCs w:val="26"/>
        </w:rPr>
        <w:t>.</w:t>
      </w:r>
      <w:r w:rsidRPr="00152580">
        <w:rPr>
          <w:rFonts w:cs="Times New Roman"/>
          <w:szCs w:val="26"/>
        </w:rPr>
        <w:t xml:space="preserve"> </w:t>
      </w:r>
      <w:r>
        <w:rPr>
          <w:rFonts w:cs="Times New Roman"/>
          <w:szCs w:val="26"/>
        </w:rPr>
        <w:t xml:space="preserve"> On this point</w:t>
      </w:r>
      <w:r w:rsidRPr="00152580">
        <w:rPr>
          <w:rFonts w:cs="Times New Roman"/>
          <w:szCs w:val="26"/>
        </w:rPr>
        <w:t xml:space="preserve">, the </w:t>
      </w:r>
      <w:r>
        <w:rPr>
          <w:rFonts w:cs="Times New Roman"/>
          <w:szCs w:val="26"/>
        </w:rPr>
        <w:t>majority</w:t>
      </w:r>
      <w:r w:rsidRPr="00152580">
        <w:rPr>
          <w:rFonts w:cs="Times New Roman"/>
          <w:szCs w:val="26"/>
        </w:rPr>
        <w:t xml:space="preserve"> </w:t>
      </w:r>
      <w:r>
        <w:rPr>
          <w:rFonts w:cs="Times New Roman"/>
          <w:szCs w:val="26"/>
        </w:rPr>
        <w:t>emphasized that with the Ketchum Act,</w:t>
      </w:r>
      <w:r w:rsidRPr="00152580">
        <w:rPr>
          <w:rFonts w:cs="Times New Roman"/>
          <w:szCs w:val="26"/>
        </w:rPr>
        <w:t xml:space="preserve"> “[t]he California Legislature was quite specific about its expectations for the Com</w:t>
      </w:r>
      <w:r>
        <w:rPr>
          <w:rFonts w:cs="Times New Roman"/>
          <w:szCs w:val="26"/>
        </w:rPr>
        <w:t>mission and its messaging” (</w:t>
      </w:r>
      <w:r w:rsidRPr="00CE1D15">
        <w:rPr>
          <w:rFonts w:cs="Times New Roman"/>
          <w:i/>
          <w:szCs w:val="26"/>
        </w:rPr>
        <w:t>id</w:t>
      </w:r>
      <w:r>
        <w:rPr>
          <w:rFonts w:cs="Times New Roman"/>
          <w:szCs w:val="26"/>
        </w:rPr>
        <w:t xml:space="preserve">., at p. 1228); that </w:t>
      </w:r>
      <w:r w:rsidRPr="00152580">
        <w:rPr>
          <w:rFonts w:cs="Times New Roman"/>
          <w:szCs w:val="26"/>
        </w:rPr>
        <w:t>the Sec</w:t>
      </w:r>
      <w:r>
        <w:rPr>
          <w:rFonts w:cs="Times New Roman"/>
          <w:szCs w:val="26"/>
        </w:rPr>
        <w:t xml:space="preserve">retary of the CDFA appoints and </w:t>
      </w:r>
      <w:r w:rsidRPr="00152580">
        <w:rPr>
          <w:rFonts w:cs="Times New Roman"/>
          <w:szCs w:val="26"/>
        </w:rPr>
        <w:t>can remove all mem</w:t>
      </w:r>
      <w:r>
        <w:rPr>
          <w:rFonts w:cs="Times New Roman"/>
          <w:szCs w:val="26"/>
        </w:rPr>
        <w:t>bers of the Commission; and</w:t>
      </w:r>
      <w:r w:rsidRPr="00152580">
        <w:rPr>
          <w:rFonts w:cs="Times New Roman"/>
          <w:szCs w:val="26"/>
        </w:rPr>
        <w:t xml:space="preserve"> </w:t>
      </w:r>
      <w:r>
        <w:rPr>
          <w:rFonts w:cs="Times New Roman"/>
          <w:szCs w:val="26"/>
        </w:rPr>
        <w:t xml:space="preserve">that </w:t>
      </w:r>
      <w:r w:rsidRPr="00152580">
        <w:rPr>
          <w:rFonts w:cs="Times New Roman"/>
          <w:szCs w:val="26"/>
        </w:rPr>
        <w:t xml:space="preserve">the </w:t>
      </w:r>
      <w:r>
        <w:rPr>
          <w:rFonts w:cs="Times New Roman"/>
          <w:szCs w:val="26"/>
        </w:rPr>
        <w:t>s</w:t>
      </w:r>
      <w:r w:rsidRPr="00152580">
        <w:rPr>
          <w:rFonts w:cs="Times New Roman"/>
          <w:szCs w:val="26"/>
        </w:rPr>
        <w:t>tate may audit the Commission’s books, records, and accounts (</w:t>
      </w:r>
      <w:r>
        <w:rPr>
          <w:rFonts w:cs="Times New Roman"/>
          <w:i/>
          <w:szCs w:val="26"/>
        </w:rPr>
        <w:t>id.</w:t>
      </w:r>
      <w:r>
        <w:rPr>
          <w:rFonts w:cs="Times New Roman"/>
          <w:szCs w:val="26"/>
        </w:rPr>
        <w:t>,</w:t>
      </w:r>
      <w:r w:rsidRPr="00152580">
        <w:rPr>
          <w:rFonts w:cs="Times New Roman"/>
          <w:szCs w:val="26"/>
        </w:rPr>
        <w:t xml:space="preserve"> at pp. 1228-1229)</w:t>
      </w:r>
      <w:r>
        <w:rPr>
          <w:rFonts w:cs="Times New Roman"/>
          <w:szCs w:val="26"/>
        </w:rPr>
        <w:t>.</w:t>
      </w:r>
      <w:r w:rsidRPr="00152580">
        <w:rPr>
          <w:rFonts w:cs="Times New Roman"/>
          <w:szCs w:val="26"/>
        </w:rPr>
        <w:t xml:space="preserve">  </w:t>
      </w:r>
    </w:p>
    <w:p w:rsidR="00CF6157" w:rsidRPr="00522C5B" w:rsidP="00E35DBC">
      <w:pPr>
        <w:spacing w:after="0" w:line="480" w:lineRule="exact"/>
        <w:ind w:firstLine="720"/>
        <w:rPr>
          <w:rFonts w:cs="Times New Roman"/>
          <w:spacing w:val="-1"/>
          <w:szCs w:val="26"/>
        </w:rPr>
      </w:pPr>
      <w:r w:rsidRPr="00522C5B">
        <w:rPr>
          <w:rFonts w:cs="Times New Roman"/>
          <w:spacing w:val="-1"/>
          <w:szCs w:val="26"/>
        </w:rPr>
        <w:t xml:space="preserve">The Ninth Circuit in </w:t>
      </w:r>
      <w:r w:rsidRPr="00522C5B">
        <w:rPr>
          <w:rFonts w:cs="Times New Roman"/>
          <w:i/>
          <w:spacing w:val="-1"/>
          <w:szCs w:val="26"/>
        </w:rPr>
        <w:t>Delano Farms Co. v. California Table Grape Com’n</w:t>
      </w:r>
      <w:r w:rsidRPr="00522C5B">
        <w:rPr>
          <w:rFonts w:cs="Times New Roman"/>
          <w:spacing w:val="-1"/>
          <w:szCs w:val="26"/>
        </w:rPr>
        <w:t xml:space="preserve">, </w:t>
      </w:r>
      <w:r w:rsidRPr="00522C5B">
        <w:rPr>
          <w:rFonts w:cs="Times New Roman"/>
          <w:i/>
          <w:spacing w:val="-1"/>
          <w:szCs w:val="26"/>
        </w:rPr>
        <w:t>supra</w:t>
      </w:r>
      <w:r w:rsidRPr="00522C5B">
        <w:rPr>
          <w:rFonts w:cs="Times New Roman"/>
          <w:spacing w:val="-1"/>
          <w:szCs w:val="26"/>
        </w:rPr>
        <w:t xml:space="preserve">, 586 F.3d 1219, acknowledged some differences between the regime established by the Ketchum Act and the federal beef promotion program upheld in </w:t>
      </w:r>
      <w:r w:rsidRPr="00522C5B">
        <w:rPr>
          <w:rFonts w:cs="Times New Roman"/>
          <w:i/>
          <w:spacing w:val="-1"/>
          <w:szCs w:val="26"/>
        </w:rPr>
        <w:t>Johanns</w:t>
      </w:r>
      <w:r w:rsidRPr="00522C5B">
        <w:rPr>
          <w:rFonts w:cs="Times New Roman"/>
          <w:spacing w:val="-1"/>
          <w:szCs w:val="26"/>
        </w:rPr>
        <w:t xml:space="preserve"> — most notably, in the court of appeals’ view, the fact that CDFA personnel do not review and approve advertisements prepared by the Commission, whereas United States Department of Agriculture officials were directly engaged with the advertising copy involved in </w:t>
      </w:r>
      <w:r w:rsidRPr="00522C5B">
        <w:rPr>
          <w:rFonts w:cs="Times New Roman"/>
          <w:i/>
          <w:spacing w:val="-1"/>
          <w:szCs w:val="26"/>
        </w:rPr>
        <w:t>Johanns</w:t>
      </w:r>
      <w:r w:rsidRPr="00522C5B">
        <w:rPr>
          <w:rFonts w:cs="Times New Roman"/>
          <w:spacing w:val="-1"/>
          <w:szCs w:val="26"/>
        </w:rPr>
        <w:t>.  (</w:t>
      </w:r>
      <w:r w:rsidRPr="00522C5B">
        <w:rPr>
          <w:rFonts w:cs="Times New Roman"/>
          <w:i/>
          <w:spacing w:val="-1"/>
          <w:szCs w:val="26"/>
        </w:rPr>
        <w:t>Delano Farms Co. v. California Table Grape Com’n</w:t>
      </w:r>
      <w:r w:rsidRPr="00522C5B">
        <w:rPr>
          <w:rFonts w:cs="Times New Roman"/>
          <w:spacing w:val="-1"/>
          <w:szCs w:val="26"/>
        </w:rPr>
        <w:t>, at p. 1229.)  The court of appeals nevertheless considered these differences insufficient to invalidate the Ketchum Act’s compelled-subsidy program on First Amendment grounds.  (</w:t>
      </w:r>
      <w:r w:rsidRPr="00522C5B">
        <w:rPr>
          <w:rFonts w:cs="Times New Roman"/>
          <w:i/>
          <w:spacing w:val="-1"/>
          <w:szCs w:val="26"/>
        </w:rPr>
        <w:t>Id</w:t>
      </w:r>
      <w:r w:rsidRPr="00522C5B">
        <w:rPr>
          <w:rFonts w:cs="Times New Roman"/>
          <w:spacing w:val="-1"/>
          <w:szCs w:val="26"/>
        </w:rPr>
        <w:t>., at p. 1230.)</w:t>
      </w:r>
    </w:p>
    <w:p w:rsidR="00B816C3" w:rsidRPr="00B816C3" w:rsidP="008D4660">
      <w:pPr>
        <w:pStyle w:val="ListParagraph"/>
        <w:keepNext/>
        <w:numPr>
          <w:ilvl w:val="0"/>
          <w:numId w:val="10"/>
        </w:numPr>
        <w:spacing w:after="0" w:line="480" w:lineRule="exact"/>
        <w:ind w:left="1800"/>
        <w:rPr>
          <w:rFonts w:cs="Times New Roman"/>
          <w:szCs w:val="26"/>
        </w:rPr>
      </w:pPr>
      <w:r w:rsidRPr="00B816C3">
        <w:rPr>
          <w:rFonts w:cs="Times New Roman"/>
          <w:i/>
          <w:szCs w:val="26"/>
        </w:rPr>
        <w:t xml:space="preserve">Gallo Cattle </w:t>
      </w:r>
    </w:p>
    <w:p w:rsidR="000540F6" w:rsidP="006F0110">
      <w:pPr>
        <w:spacing w:after="0" w:line="480" w:lineRule="exact"/>
        <w:ind w:firstLine="720"/>
        <w:rPr>
          <w:rFonts w:cs="Times New Roman"/>
          <w:szCs w:val="26"/>
        </w:rPr>
      </w:pPr>
      <w:r>
        <w:rPr>
          <w:rFonts w:cs="Times New Roman"/>
          <w:szCs w:val="26"/>
        </w:rPr>
        <w:t xml:space="preserve">In </w:t>
      </w:r>
      <w:r w:rsidRPr="000540F6">
        <w:rPr>
          <w:rFonts w:cs="Times New Roman"/>
          <w:i/>
          <w:szCs w:val="26"/>
        </w:rPr>
        <w:t>Gallo Cattle Co. v. Kawamura</w:t>
      </w:r>
      <w:r>
        <w:rPr>
          <w:rFonts w:cs="Times New Roman"/>
          <w:szCs w:val="26"/>
        </w:rPr>
        <w:t xml:space="preserve"> (2008) 159 Cal.App.4</w:t>
      </w:r>
      <w:r w:rsidRPr="000540F6">
        <w:rPr>
          <w:rFonts w:cs="Times New Roman"/>
          <w:szCs w:val="26"/>
        </w:rPr>
        <w:t>th</w:t>
      </w:r>
      <w:r>
        <w:rPr>
          <w:rFonts w:cs="Times New Roman"/>
          <w:szCs w:val="26"/>
        </w:rPr>
        <w:t xml:space="preserve"> 948 (</w:t>
      </w:r>
      <w:r w:rsidRPr="000540F6">
        <w:rPr>
          <w:rFonts w:cs="Times New Roman"/>
          <w:i/>
          <w:szCs w:val="26"/>
        </w:rPr>
        <w:t>Gallo Cattle</w:t>
      </w:r>
      <w:r>
        <w:rPr>
          <w:rFonts w:cs="Times New Roman"/>
          <w:szCs w:val="26"/>
        </w:rPr>
        <w:t xml:space="preserve">), the court adopted </w:t>
      </w:r>
      <w:r w:rsidRPr="00122920">
        <w:rPr>
          <w:rFonts w:cs="Times New Roman"/>
          <w:i/>
          <w:szCs w:val="26"/>
        </w:rPr>
        <w:t>Johanns</w:t>
      </w:r>
      <w:r>
        <w:rPr>
          <w:rFonts w:cs="Times New Roman"/>
          <w:szCs w:val="26"/>
        </w:rPr>
        <w:t>’s analysis of government speech in rejecting a challenge brought under article I, section 2 to the compelled-subsidy provisions of a CMA marketing order for milk.  (</w:t>
      </w:r>
      <w:r w:rsidRPr="000540F6">
        <w:rPr>
          <w:rFonts w:cs="Times New Roman"/>
          <w:i/>
          <w:szCs w:val="26"/>
        </w:rPr>
        <w:t>Gallo Cattle</w:t>
      </w:r>
      <w:r>
        <w:rPr>
          <w:rFonts w:cs="Times New Roman"/>
          <w:szCs w:val="26"/>
        </w:rPr>
        <w:t>, at pp. 959-963.)  In doing so, the Court of Appeal disagreed with the plaintiff’s argument that under the state Constitution, subsidized communications must be expressly attributed to the state to qualify as government speech.</w:t>
      </w:r>
      <w:r>
        <w:rPr>
          <w:rStyle w:val="FootnoteReference"/>
          <w:rFonts w:cs="Times New Roman"/>
          <w:b/>
          <w:szCs w:val="26"/>
        </w:rPr>
        <w:footnoteReference w:id="21"/>
      </w:r>
      <w:r>
        <w:rPr>
          <w:rFonts w:cs="Times New Roman"/>
          <w:szCs w:val="26"/>
        </w:rPr>
        <w:t xml:space="preserve">  The court expressed skepticism “that . . . a special disclosure requirement would, as a practical matter, provide a significantly greater assurance that . . . speech will be subject to effective democratic checks.”  (</w:t>
      </w:r>
      <w:r w:rsidRPr="000540F6">
        <w:rPr>
          <w:rFonts w:cs="Times New Roman"/>
          <w:i/>
          <w:szCs w:val="26"/>
        </w:rPr>
        <w:t>Gallo Cattle</w:t>
      </w:r>
      <w:r>
        <w:rPr>
          <w:rFonts w:cs="Times New Roman"/>
          <w:szCs w:val="26"/>
        </w:rPr>
        <w:t xml:space="preserve">, at p. 963.)  The plaintiff in </w:t>
      </w:r>
      <w:r w:rsidRPr="004253D4">
        <w:rPr>
          <w:rFonts w:cs="Times New Roman"/>
          <w:i/>
          <w:szCs w:val="26"/>
        </w:rPr>
        <w:t>Gallo Cattle</w:t>
      </w:r>
      <w:r>
        <w:rPr>
          <w:rFonts w:cs="Times New Roman"/>
          <w:szCs w:val="26"/>
        </w:rPr>
        <w:t xml:space="preserve"> also asserted that the subsidized speech “drown[ed] out” its own voice, and violated its right to free speech for that reason.  (</w:t>
      </w:r>
      <w:r w:rsidRPr="00E35DBC">
        <w:rPr>
          <w:rFonts w:cs="Times New Roman"/>
          <w:i/>
          <w:szCs w:val="26"/>
        </w:rPr>
        <w:t>Id</w:t>
      </w:r>
      <w:r>
        <w:rPr>
          <w:rFonts w:cs="Times New Roman"/>
          <w:szCs w:val="26"/>
        </w:rPr>
        <w:t xml:space="preserve">., at p. 966; see also </w:t>
      </w:r>
      <w:r w:rsidRPr="005831AD">
        <w:rPr>
          <w:rFonts w:cs="Times New Roman"/>
          <w:i/>
          <w:szCs w:val="26"/>
        </w:rPr>
        <w:t xml:space="preserve">Miller v. California Com. on Status of Women </w:t>
      </w:r>
      <w:r>
        <w:rPr>
          <w:rFonts w:cs="Times New Roman"/>
          <w:szCs w:val="26"/>
        </w:rPr>
        <w:t>(1984) 151 Cal.App.3d 693, 702 (</w:t>
      </w:r>
      <w:r w:rsidRPr="00D83B6D">
        <w:rPr>
          <w:rFonts w:cs="Times New Roman"/>
          <w:i/>
          <w:szCs w:val="26"/>
        </w:rPr>
        <w:t>Miller</w:t>
      </w:r>
      <w:r>
        <w:rPr>
          <w:rFonts w:cs="Times New Roman"/>
          <w:szCs w:val="26"/>
        </w:rPr>
        <w:t>) [explaining that activities upheld by the court as government speech did not have the effect of drowning out dissenting voices].)  The Court of Appeal determined that for government speech to implicate constitutional safeguards under a “drowning out” rationale,</w:t>
      </w:r>
      <w:r w:rsidRPr="007A3D18">
        <w:rPr>
          <w:rFonts w:cs="Times New Roman"/>
          <w:szCs w:val="26"/>
        </w:rPr>
        <w:t xml:space="preserve"> </w:t>
      </w:r>
      <w:r>
        <w:rPr>
          <w:rFonts w:cs="Times New Roman"/>
          <w:szCs w:val="26"/>
        </w:rPr>
        <w:t>“</w:t>
      </w:r>
      <w:r w:rsidRPr="007A3D18">
        <w:rPr>
          <w:rFonts w:cs="Times New Roman"/>
          <w:szCs w:val="26"/>
        </w:rPr>
        <w:t>the government</w:t>
      </w:r>
      <w:r>
        <w:rPr>
          <w:rFonts w:cs="Times New Roman"/>
          <w:szCs w:val="26"/>
        </w:rPr>
        <w:t xml:space="preserve"> [must]</w:t>
      </w:r>
      <w:r w:rsidRPr="007A3D18">
        <w:rPr>
          <w:rFonts w:cs="Times New Roman"/>
          <w:szCs w:val="26"/>
        </w:rPr>
        <w:t xml:space="preserve"> speak in such a way as to make private speech difficult or impossible, such that opponents do not truly have the opportunity to communicate their views even to those who might wish to hear them</w:t>
      </w:r>
      <w:r>
        <w:rPr>
          <w:rFonts w:cs="Times New Roman"/>
          <w:szCs w:val="26"/>
        </w:rPr>
        <w:t>.”  (</w:t>
      </w:r>
      <w:r>
        <w:rPr>
          <w:rFonts w:cs="Times New Roman"/>
          <w:i/>
          <w:szCs w:val="26"/>
        </w:rPr>
        <w:t>Gallo Cattle</w:t>
      </w:r>
      <w:r>
        <w:rPr>
          <w:rFonts w:cs="Times New Roman"/>
          <w:szCs w:val="26"/>
        </w:rPr>
        <w:t xml:space="preserve">, at pp. 967, 966.)  With the plaintiff in </w:t>
      </w:r>
      <w:r w:rsidRPr="00411FAB">
        <w:rPr>
          <w:rFonts w:cs="Times New Roman"/>
          <w:i/>
          <w:szCs w:val="26"/>
        </w:rPr>
        <w:t>Gallo Cattle</w:t>
      </w:r>
      <w:r>
        <w:rPr>
          <w:rFonts w:cs="Times New Roman"/>
          <w:szCs w:val="26"/>
        </w:rPr>
        <w:t xml:space="preserve"> admitting that it could present its own viewpoint to the public, the court concluded that the government’s communications did not have this sort of effect.  (</w:t>
      </w:r>
      <w:r w:rsidRPr="007A3D18">
        <w:rPr>
          <w:rFonts w:cs="Times New Roman"/>
          <w:i/>
          <w:szCs w:val="26"/>
        </w:rPr>
        <w:t>Ibid</w:t>
      </w:r>
      <w:r>
        <w:rPr>
          <w:rFonts w:cs="Times New Roman"/>
          <w:szCs w:val="26"/>
        </w:rPr>
        <w:t xml:space="preserve">.)  </w:t>
      </w:r>
    </w:p>
    <w:p w:rsidR="00740970" w:rsidRPr="00740970" w:rsidP="0023729F">
      <w:pPr>
        <w:keepNext/>
        <w:spacing w:after="120" w:line="480" w:lineRule="exact"/>
        <w:ind w:left="1080" w:hanging="360"/>
        <w:rPr>
          <w:rFonts w:cs="Times New Roman"/>
          <w:b/>
          <w:szCs w:val="26"/>
        </w:rPr>
      </w:pPr>
      <w:r w:rsidRPr="00740970">
        <w:rPr>
          <w:rFonts w:cs="Times New Roman"/>
          <w:b/>
          <w:szCs w:val="26"/>
        </w:rPr>
        <w:t>D.</w:t>
      </w:r>
      <w:r w:rsidRPr="00740970">
        <w:rPr>
          <w:rFonts w:cs="Times New Roman"/>
          <w:b/>
          <w:szCs w:val="26"/>
        </w:rPr>
        <w:tab/>
      </w:r>
      <w:r>
        <w:rPr>
          <w:rFonts w:cs="Times New Roman"/>
          <w:b/>
          <w:szCs w:val="26"/>
        </w:rPr>
        <w:t>Synthesis</w:t>
      </w:r>
    </w:p>
    <w:p w:rsidR="006F0110" w:rsidP="00E83A4E">
      <w:pPr>
        <w:pStyle w:val="ListParagraph"/>
        <w:spacing w:line="480" w:lineRule="exact"/>
        <w:ind w:left="0" w:firstLine="720"/>
        <w:rPr>
          <w:rFonts w:cs="Times New Roman"/>
          <w:szCs w:val="26"/>
        </w:rPr>
      </w:pPr>
      <w:r>
        <w:rPr>
          <w:rFonts w:cs="Times New Roman"/>
          <w:szCs w:val="26"/>
        </w:rPr>
        <w:t xml:space="preserve">The foregoing authorities establish certain basic principles relevant to the analysis here.  </w:t>
      </w:r>
    </w:p>
    <w:p w:rsidR="00CD6F8C" w:rsidP="00E83A4E">
      <w:pPr>
        <w:pStyle w:val="ListParagraph"/>
        <w:spacing w:line="480" w:lineRule="exact"/>
        <w:ind w:left="0" w:firstLine="720"/>
        <w:rPr>
          <w:rFonts w:cs="Times New Roman"/>
          <w:szCs w:val="26"/>
        </w:rPr>
      </w:pPr>
      <w:r>
        <w:rPr>
          <w:rFonts w:cs="Times New Roman"/>
          <w:szCs w:val="26"/>
        </w:rPr>
        <w:t xml:space="preserve">First, the case law reflects an evolving understanding of how the government speech doctrine relates to a compelled-subsidy claim.  Notwithstanding some skeptical language in </w:t>
      </w:r>
      <w:r>
        <w:rPr>
          <w:rFonts w:cs="Times New Roman"/>
          <w:i/>
          <w:szCs w:val="26"/>
        </w:rPr>
        <w:t>Gerawan </w:t>
      </w:r>
      <w:r w:rsidRPr="006F0110">
        <w:rPr>
          <w:rFonts w:cs="Times New Roman"/>
          <w:i/>
          <w:szCs w:val="26"/>
        </w:rPr>
        <w:t>I</w:t>
      </w:r>
      <w:r>
        <w:rPr>
          <w:rFonts w:cs="Times New Roman"/>
          <w:szCs w:val="26"/>
        </w:rPr>
        <w:t xml:space="preserve">, </w:t>
      </w:r>
      <w:r w:rsidRPr="001B211E">
        <w:rPr>
          <w:rFonts w:cs="Times New Roman"/>
          <w:i/>
          <w:szCs w:val="26"/>
        </w:rPr>
        <w:t>supra</w:t>
      </w:r>
      <w:r>
        <w:rPr>
          <w:rFonts w:cs="Times New Roman"/>
          <w:szCs w:val="26"/>
        </w:rPr>
        <w:t>, 24 Cal.4</w:t>
      </w:r>
      <w:r w:rsidRPr="001B211E">
        <w:rPr>
          <w:rFonts w:cs="Times New Roman"/>
          <w:szCs w:val="26"/>
        </w:rPr>
        <w:t>th</w:t>
      </w:r>
      <w:r>
        <w:rPr>
          <w:rFonts w:cs="Times New Roman"/>
          <w:szCs w:val="26"/>
        </w:rPr>
        <w:t xml:space="preserve"> at page 503, footnote 8, it is now established that speech generated through a compelled-subsidy program in which market participants are involved in the development of the messaging </w:t>
      </w:r>
      <w:r w:rsidRPr="00E86B91">
        <w:rPr>
          <w:rFonts w:cs="Times New Roman"/>
          <w:szCs w:val="26"/>
        </w:rPr>
        <w:t>may</w:t>
      </w:r>
      <w:r>
        <w:rPr>
          <w:rFonts w:cs="Times New Roman"/>
          <w:szCs w:val="26"/>
        </w:rPr>
        <w:t xml:space="preserve"> represent government speech.  (See </w:t>
      </w:r>
      <w:r>
        <w:rPr>
          <w:rFonts w:cs="Times New Roman"/>
          <w:i/>
          <w:szCs w:val="26"/>
        </w:rPr>
        <w:t>Gerawan </w:t>
      </w:r>
      <w:r w:rsidRPr="005C00D2">
        <w:rPr>
          <w:rFonts w:cs="Times New Roman"/>
          <w:i/>
          <w:szCs w:val="26"/>
        </w:rPr>
        <w:t>II</w:t>
      </w:r>
      <w:r>
        <w:rPr>
          <w:rFonts w:cs="Times New Roman"/>
          <w:szCs w:val="26"/>
        </w:rPr>
        <w:t xml:space="preserve">, </w:t>
      </w:r>
      <w:r w:rsidRPr="005C00D2">
        <w:rPr>
          <w:rFonts w:cs="Times New Roman"/>
          <w:i/>
          <w:szCs w:val="26"/>
        </w:rPr>
        <w:t>supra</w:t>
      </w:r>
      <w:r>
        <w:rPr>
          <w:rFonts w:cs="Times New Roman"/>
          <w:szCs w:val="26"/>
        </w:rPr>
        <w:t xml:space="preserve">, 33 Cal.4th at pp. 27-28.)  </w:t>
      </w:r>
    </w:p>
    <w:p w:rsidR="00FB454E" w:rsidP="00FB454E">
      <w:pPr>
        <w:pStyle w:val="ListParagraph"/>
        <w:spacing w:line="480" w:lineRule="exact"/>
        <w:ind w:left="0" w:firstLine="720"/>
        <w:rPr>
          <w:rFonts w:cs="Times New Roman"/>
          <w:szCs w:val="26"/>
        </w:rPr>
      </w:pPr>
      <w:r>
        <w:rPr>
          <w:rFonts w:cs="Times New Roman"/>
          <w:szCs w:val="26"/>
        </w:rPr>
        <w:t>Second, we have looked toward federal precedent interpreting the First Amendment for guidance regarding the government speech doctrine’s bearing on a compelled-subsidy claim brought under article I, section 2.  (</w:t>
      </w:r>
      <w:r w:rsidRPr="008802CE">
        <w:rPr>
          <w:rFonts w:cs="Times New Roman"/>
          <w:i/>
          <w:szCs w:val="26"/>
        </w:rPr>
        <w:t>Gerawan</w:t>
      </w:r>
      <w:r>
        <w:rPr>
          <w:rFonts w:cs="Times New Roman"/>
          <w:i/>
          <w:szCs w:val="26"/>
        </w:rPr>
        <w:t> </w:t>
      </w:r>
      <w:r w:rsidRPr="008802CE">
        <w:rPr>
          <w:rFonts w:cs="Times New Roman"/>
          <w:i/>
          <w:szCs w:val="26"/>
        </w:rPr>
        <w:t>II</w:t>
      </w:r>
      <w:r>
        <w:rPr>
          <w:rFonts w:cs="Times New Roman"/>
          <w:szCs w:val="26"/>
        </w:rPr>
        <w:t xml:space="preserve">, </w:t>
      </w:r>
      <w:r w:rsidRPr="008802CE">
        <w:rPr>
          <w:rFonts w:cs="Times New Roman"/>
          <w:i/>
          <w:szCs w:val="26"/>
        </w:rPr>
        <w:t>supra</w:t>
      </w:r>
      <w:r>
        <w:rPr>
          <w:rFonts w:cs="Times New Roman"/>
          <w:szCs w:val="26"/>
        </w:rPr>
        <w:t>, 33 Cal.4</w:t>
      </w:r>
      <w:r w:rsidRPr="008802CE">
        <w:rPr>
          <w:rFonts w:cs="Times New Roman"/>
          <w:szCs w:val="26"/>
        </w:rPr>
        <w:t>th</w:t>
      </w:r>
      <w:r>
        <w:rPr>
          <w:rFonts w:cs="Times New Roman"/>
          <w:szCs w:val="26"/>
        </w:rPr>
        <w:t xml:space="preserve"> at pp. 27-28.)  Consistent with this approach, we regard the majority opinion in</w:t>
      </w:r>
      <w:r w:rsidRPr="000F6711">
        <w:rPr>
          <w:rFonts w:cs="Times New Roman"/>
          <w:i/>
          <w:szCs w:val="26"/>
        </w:rPr>
        <w:t xml:space="preserve"> Johanns</w:t>
      </w:r>
      <w:r>
        <w:rPr>
          <w:rFonts w:cs="Times New Roman"/>
          <w:i/>
          <w:szCs w:val="26"/>
        </w:rPr>
        <w:t xml:space="preserve"> </w:t>
      </w:r>
      <w:r>
        <w:rPr>
          <w:rFonts w:cs="Times New Roman"/>
          <w:szCs w:val="26"/>
        </w:rPr>
        <w:t>as persuasive, and we adopt its reasoning as applicable to compelled-subsidy claims brought under article I, section 2.</w:t>
      </w:r>
      <w:r>
        <w:rPr>
          <w:rStyle w:val="FootnoteReference"/>
          <w:rFonts w:cs="Times New Roman"/>
          <w:b/>
          <w:szCs w:val="26"/>
        </w:rPr>
        <w:footnoteReference w:id="22"/>
      </w:r>
      <w:r>
        <w:rPr>
          <w:rFonts w:cs="Times New Roman"/>
          <w:szCs w:val="26"/>
        </w:rPr>
        <w:t xml:space="preserve">  (See </w:t>
      </w:r>
      <w:r w:rsidRPr="006A316E">
        <w:rPr>
          <w:rFonts w:cs="Times New Roman"/>
          <w:i/>
          <w:szCs w:val="26"/>
        </w:rPr>
        <w:t>Beeman</w:t>
      </w:r>
      <w:r>
        <w:rPr>
          <w:rFonts w:cs="Times New Roman"/>
          <w:szCs w:val="26"/>
        </w:rPr>
        <w:t xml:space="preserve">, </w:t>
      </w:r>
      <w:r w:rsidRPr="000F6711">
        <w:rPr>
          <w:rFonts w:cs="Times New Roman"/>
          <w:i/>
          <w:szCs w:val="26"/>
        </w:rPr>
        <w:t>supra</w:t>
      </w:r>
      <w:r>
        <w:rPr>
          <w:rFonts w:cs="Times New Roman"/>
          <w:szCs w:val="26"/>
        </w:rPr>
        <w:t xml:space="preserve">, 58 Cal.4th at p. 341.)  </w:t>
      </w:r>
    </w:p>
    <w:p w:rsidR="00AD4BAC" w:rsidRPr="00AD4BAC" w:rsidP="00071CCC">
      <w:pPr>
        <w:pStyle w:val="ListParagraph"/>
        <w:spacing w:line="480" w:lineRule="exact"/>
        <w:ind w:left="0"/>
        <w:rPr>
          <w:rFonts w:cs="Times New Roman"/>
          <w:szCs w:val="26"/>
        </w:rPr>
      </w:pPr>
      <w:r>
        <w:rPr>
          <w:rFonts w:cs="Times New Roman"/>
          <w:szCs w:val="26"/>
        </w:rPr>
        <w:t xml:space="preserve">We construe </w:t>
      </w:r>
      <w:r w:rsidRPr="00FB454E">
        <w:rPr>
          <w:rFonts w:cs="Times New Roman"/>
          <w:i/>
          <w:szCs w:val="26"/>
        </w:rPr>
        <w:t>Johanns</w:t>
      </w:r>
      <w:r>
        <w:rPr>
          <w:rFonts w:cs="Times New Roman"/>
          <w:szCs w:val="26"/>
        </w:rPr>
        <w:t>, and other high court pronouncements regarding government speech, as centrally concerned with the presence</w:t>
      </w:r>
      <w:r>
        <w:rPr>
          <w:rFonts w:cs="Times New Roman"/>
          <w:i/>
          <w:szCs w:val="26"/>
        </w:rPr>
        <w:t xml:space="preserve"> </w:t>
      </w:r>
      <w:r w:rsidRPr="00EA3E86">
        <w:rPr>
          <w:rFonts w:cs="Times New Roman"/>
          <w:szCs w:val="26"/>
        </w:rPr>
        <w:t xml:space="preserve">or absence </w:t>
      </w:r>
      <w:r>
        <w:rPr>
          <w:rFonts w:cs="Times New Roman"/>
          <w:szCs w:val="26"/>
        </w:rPr>
        <w:t xml:space="preserve">of the requisite indicia of government responsibility for and control over the substantive content of these communications, reflecting political accountability for their overall message.  (See, e.g., </w:t>
      </w:r>
      <w:r w:rsidRPr="00E744EC">
        <w:rPr>
          <w:rFonts w:cs="Times New Roman"/>
          <w:i/>
          <w:szCs w:val="26"/>
        </w:rPr>
        <w:t>Johanns</w:t>
      </w:r>
      <w:r>
        <w:rPr>
          <w:rFonts w:cs="Times New Roman"/>
          <w:szCs w:val="26"/>
        </w:rPr>
        <w:t xml:space="preserve">, </w:t>
      </w:r>
      <w:r w:rsidRPr="00E744EC">
        <w:rPr>
          <w:rFonts w:cs="Times New Roman"/>
          <w:i/>
          <w:szCs w:val="26"/>
        </w:rPr>
        <w:t>supra</w:t>
      </w:r>
      <w:r>
        <w:rPr>
          <w:rFonts w:cs="Times New Roman"/>
          <w:szCs w:val="26"/>
        </w:rPr>
        <w:t xml:space="preserve">, 544 U.S. at pp. 560-561; </w:t>
      </w:r>
      <w:r>
        <w:rPr>
          <w:rFonts w:cs="Times New Roman"/>
          <w:i/>
          <w:szCs w:val="26"/>
        </w:rPr>
        <w:t>Gerawan </w:t>
      </w:r>
      <w:r w:rsidRPr="00E744EC">
        <w:rPr>
          <w:rFonts w:cs="Times New Roman"/>
          <w:i/>
          <w:szCs w:val="26"/>
        </w:rPr>
        <w:t>II</w:t>
      </w:r>
      <w:r>
        <w:rPr>
          <w:rFonts w:cs="Times New Roman"/>
          <w:szCs w:val="26"/>
        </w:rPr>
        <w:t xml:space="preserve">, </w:t>
      </w:r>
      <w:r w:rsidRPr="00E744EC">
        <w:rPr>
          <w:rFonts w:cs="Times New Roman"/>
          <w:i/>
          <w:szCs w:val="26"/>
        </w:rPr>
        <w:t>supra</w:t>
      </w:r>
      <w:r>
        <w:rPr>
          <w:rFonts w:cs="Times New Roman"/>
          <w:szCs w:val="26"/>
        </w:rPr>
        <w:t xml:space="preserve">, 33 Cal.4th at pp. 27-28.)  In some instances — such as standard communications by “a </w:t>
      </w:r>
      <w:r w:rsidRPr="00152580">
        <w:rPr>
          <w:rFonts w:cs="Times New Roman"/>
          <w:szCs w:val="26"/>
        </w:rPr>
        <w:t>governor, a mayor, or a state tax commission</w:t>
      </w:r>
      <w:r>
        <w:rPr>
          <w:rFonts w:cs="Times New Roman"/>
          <w:szCs w:val="26"/>
        </w:rPr>
        <w:t>” (</w:t>
      </w:r>
      <w:r w:rsidRPr="0062197F">
        <w:rPr>
          <w:rFonts w:cs="Times New Roman"/>
          <w:i/>
          <w:szCs w:val="26"/>
        </w:rPr>
        <w:t>Keller</w:t>
      </w:r>
      <w:r>
        <w:rPr>
          <w:rFonts w:cs="Times New Roman"/>
          <w:szCs w:val="26"/>
        </w:rPr>
        <w:t xml:space="preserve">, </w:t>
      </w:r>
      <w:r w:rsidRPr="00C117BB">
        <w:rPr>
          <w:rFonts w:cs="Times New Roman"/>
          <w:i/>
          <w:szCs w:val="26"/>
        </w:rPr>
        <w:t>supra</w:t>
      </w:r>
      <w:r>
        <w:rPr>
          <w:rFonts w:cs="Times New Roman"/>
          <w:szCs w:val="26"/>
        </w:rPr>
        <w:t xml:space="preserve">, 496 U.S. at p. 11) — speech may be recognized as that of the government without extended analysis.  In other scenarios, such as with the speech involved in </w:t>
      </w:r>
      <w:r>
        <w:rPr>
          <w:rFonts w:cs="Times New Roman"/>
          <w:i/>
          <w:szCs w:val="26"/>
        </w:rPr>
        <w:t>Gerawan </w:t>
      </w:r>
      <w:r w:rsidRPr="0062197F">
        <w:rPr>
          <w:rFonts w:cs="Times New Roman"/>
          <w:i/>
          <w:szCs w:val="26"/>
        </w:rPr>
        <w:t>II</w:t>
      </w:r>
      <w:r>
        <w:rPr>
          <w:rFonts w:cs="Times New Roman"/>
          <w:szCs w:val="26"/>
        </w:rPr>
        <w:t xml:space="preserve"> and </w:t>
      </w:r>
      <w:r w:rsidRPr="0062197F">
        <w:rPr>
          <w:rFonts w:cs="Times New Roman"/>
          <w:i/>
          <w:szCs w:val="26"/>
        </w:rPr>
        <w:t>Johanns</w:t>
      </w:r>
      <w:r>
        <w:rPr>
          <w:rFonts w:cs="Times New Roman"/>
          <w:szCs w:val="26"/>
        </w:rPr>
        <w:t xml:space="preserve">, a more comprehensive inquiry may be necessary to ascertain whether the requisite degree of governmental control and, thus, political accountability exist. </w:t>
      </w:r>
    </w:p>
    <w:p w:rsidR="00F33CEA" w:rsidP="00E83A4E">
      <w:pPr>
        <w:pStyle w:val="ListParagraph"/>
        <w:spacing w:line="480" w:lineRule="exact"/>
        <w:ind w:left="0" w:firstLine="720"/>
        <w:rPr>
          <w:rFonts w:cs="Times New Roman"/>
          <w:szCs w:val="26"/>
        </w:rPr>
      </w:pPr>
      <w:r>
        <w:rPr>
          <w:rFonts w:cs="Times New Roman"/>
          <w:szCs w:val="26"/>
        </w:rPr>
        <w:t xml:space="preserve">Third, when addressing a challenge to a compelled-subsidy program, if such issues are appropriately raised and developed by the plaintiff the court’s analysis also must consider whether the state’s actions impact free speech rights in a manner distinct from the bare fact of the subsidy requirement itself.  In </w:t>
      </w:r>
      <w:r w:rsidRPr="006365CD">
        <w:rPr>
          <w:rFonts w:cs="Times New Roman"/>
          <w:i/>
          <w:szCs w:val="26"/>
        </w:rPr>
        <w:t>Johanns</w:t>
      </w:r>
      <w:r>
        <w:rPr>
          <w:rFonts w:cs="Times New Roman"/>
          <w:szCs w:val="26"/>
        </w:rPr>
        <w:t xml:space="preserve">, </w:t>
      </w:r>
      <w:r w:rsidRPr="006247D7">
        <w:rPr>
          <w:rFonts w:cs="Times New Roman"/>
          <w:i/>
          <w:szCs w:val="26"/>
        </w:rPr>
        <w:t>supra</w:t>
      </w:r>
      <w:r>
        <w:rPr>
          <w:rFonts w:cs="Times New Roman"/>
          <w:szCs w:val="26"/>
        </w:rPr>
        <w:t>, 544 U.S. 550, for example, the court implied that a different standard of review could apply to the subsidy program if the advertisements it generated were attributed to the plaintiffs’ members.  (</w:t>
      </w:r>
      <w:r w:rsidRPr="006365CD">
        <w:rPr>
          <w:rFonts w:cs="Times New Roman"/>
          <w:i/>
          <w:szCs w:val="26"/>
        </w:rPr>
        <w:t>Id</w:t>
      </w:r>
      <w:r>
        <w:rPr>
          <w:rFonts w:cs="Times New Roman"/>
          <w:szCs w:val="26"/>
        </w:rPr>
        <w:t xml:space="preserve">., at p. 566; see also </w:t>
      </w:r>
      <w:r w:rsidRPr="00823DD6">
        <w:rPr>
          <w:rFonts w:cs="Times New Roman"/>
          <w:i/>
          <w:szCs w:val="26"/>
        </w:rPr>
        <w:t>Walker</w:t>
      </w:r>
      <w:r w:rsidRPr="00823DD6">
        <w:rPr>
          <w:rFonts w:cs="Times New Roman"/>
          <w:szCs w:val="26"/>
        </w:rPr>
        <w:t xml:space="preserve">, </w:t>
      </w:r>
      <w:r w:rsidRPr="00823DD6">
        <w:rPr>
          <w:rFonts w:cs="Times New Roman"/>
          <w:i/>
          <w:szCs w:val="26"/>
        </w:rPr>
        <w:t>supra</w:t>
      </w:r>
      <w:r w:rsidRPr="00823DD6">
        <w:rPr>
          <w:rFonts w:cs="Times New Roman"/>
          <w:szCs w:val="26"/>
        </w:rPr>
        <w:t xml:space="preserve">, </w:t>
      </w:r>
      <w:r>
        <w:rPr>
          <w:rFonts w:cs="Times New Roman"/>
          <w:szCs w:val="26"/>
        </w:rPr>
        <w:t>576</w:t>
      </w:r>
      <w:r w:rsidRPr="00823DD6">
        <w:rPr>
          <w:rFonts w:cs="Times New Roman"/>
          <w:szCs w:val="26"/>
        </w:rPr>
        <w:t xml:space="preserve"> U.S. at </w:t>
      </w:r>
      <w:r>
        <w:rPr>
          <w:rFonts w:cs="Times New Roman"/>
          <w:szCs w:val="26"/>
        </w:rPr>
        <w:t xml:space="preserve">p. </w:t>
      </w:r>
      <w:r w:rsidRPr="00823DD6">
        <w:rPr>
          <w:rFonts w:cs="Times New Roman"/>
          <w:szCs w:val="26"/>
        </w:rPr>
        <w:t>__</w:t>
      </w:r>
      <w:r>
        <w:rPr>
          <w:rFonts w:cs="Times New Roman"/>
          <w:szCs w:val="26"/>
        </w:rPr>
        <w:t>_ [135</w:t>
      </w:r>
      <w:r w:rsidRPr="00823DD6">
        <w:rPr>
          <w:rFonts w:cs="Times New Roman"/>
          <w:szCs w:val="26"/>
        </w:rPr>
        <w:t xml:space="preserve"> S.Ct. at p. 2246</w:t>
      </w:r>
      <w:r>
        <w:rPr>
          <w:rFonts w:cs="Times New Roman"/>
          <w:szCs w:val="26"/>
        </w:rPr>
        <w:t>] [</w:t>
      </w:r>
      <w:r w:rsidRPr="00823DD6">
        <w:rPr>
          <w:rFonts w:cs="Times New Roman"/>
          <w:szCs w:val="26"/>
        </w:rPr>
        <w:t>“the Free Speech Clause itse</w:t>
      </w:r>
      <w:r>
        <w:rPr>
          <w:rFonts w:cs="Times New Roman"/>
          <w:szCs w:val="26"/>
        </w:rPr>
        <w:t>lf may constrain the government’</w:t>
      </w:r>
      <w:r w:rsidRPr="00823DD6">
        <w:rPr>
          <w:rFonts w:cs="Times New Roman"/>
          <w:szCs w:val="26"/>
        </w:rPr>
        <w:t>s speech if, for example, the government seeks to compel private persons to</w:t>
      </w:r>
      <w:r>
        <w:rPr>
          <w:rFonts w:cs="Times New Roman"/>
          <w:szCs w:val="26"/>
        </w:rPr>
        <w:t xml:space="preserve"> convey the government’s speech</w:t>
      </w:r>
      <w:r w:rsidRPr="00823DD6">
        <w:rPr>
          <w:rFonts w:cs="Times New Roman"/>
          <w:szCs w:val="26"/>
        </w:rPr>
        <w:t>”</w:t>
      </w:r>
      <w:r>
        <w:rPr>
          <w:rFonts w:cs="Times New Roman"/>
          <w:szCs w:val="26"/>
        </w:rPr>
        <w:t xml:space="preserve">]; </w:t>
      </w:r>
      <w:r>
        <w:rPr>
          <w:rFonts w:cs="Times New Roman"/>
          <w:i/>
          <w:szCs w:val="26"/>
        </w:rPr>
        <w:t>Wooley</w:t>
      </w:r>
      <w:r>
        <w:rPr>
          <w:rFonts w:cs="Times New Roman"/>
          <w:szCs w:val="26"/>
        </w:rPr>
        <w:t xml:space="preserve">, </w:t>
      </w:r>
      <w:r w:rsidRPr="00E83A4E">
        <w:rPr>
          <w:rFonts w:cs="Times New Roman"/>
          <w:i/>
          <w:szCs w:val="26"/>
        </w:rPr>
        <w:t>supra</w:t>
      </w:r>
      <w:r>
        <w:rPr>
          <w:rFonts w:cs="Times New Roman"/>
          <w:szCs w:val="26"/>
        </w:rPr>
        <w:t xml:space="preserve">, 430 U.S. at p. 717; </w:t>
      </w:r>
      <w:r w:rsidRPr="00297FCD">
        <w:rPr>
          <w:rFonts w:cs="Times New Roman"/>
          <w:i/>
          <w:szCs w:val="26"/>
        </w:rPr>
        <w:t>Barnett</w:t>
      </w:r>
      <w:r>
        <w:rPr>
          <w:rFonts w:cs="Times New Roman"/>
          <w:i/>
          <w:szCs w:val="26"/>
        </w:rPr>
        <w:t>e</w:t>
      </w:r>
      <w:r>
        <w:rPr>
          <w:rFonts w:cs="Times New Roman"/>
          <w:szCs w:val="26"/>
        </w:rPr>
        <w:t xml:space="preserve">, </w:t>
      </w:r>
      <w:r w:rsidRPr="00E83A4E">
        <w:rPr>
          <w:rFonts w:cs="Times New Roman"/>
          <w:i/>
          <w:szCs w:val="26"/>
        </w:rPr>
        <w:t>supra</w:t>
      </w:r>
      <w:r>
        <w:rPr>
          <w:rFonts w:cs="Times New Roman"/>
          <w:szCs w:val="26"/>
        </w:rPr>
        <w:t xml:space="preserve">, </w:t>
      </w:r>
      <w:r w:rsidRPr="007A5490">
        <w:rPr>
          <w:rFonts w:cs="Times New Roman"/>
          <w:szCs w:val="26"/>
        </w:rPr>
        <w:t xml:space="preserve">319 U.S. </w:t>
      </w:r>
      <w:r>
        <w:rPr>
          <w:rFonts w:cs="Times New Roman"/>
          <w:szCs w:val="26"/>
        </w:rPr>
        <w:t xml:space="preserve">at p. 642.)  Likewise, </w:t>
      </w:r>
      <w:r w:rsidRPr="00E744EC">
        <w:rPr>
          <w:rFonts w:cs="Times New Roman"/>
          <w:i/>
          <w:szCs w:val="26"/>
        </w:rPr>
        <w:t>Gallo Cattle</w:t>
      </w:r>
      <w:r>
        <w:rPr>
          <w:rFonts w:cs="Times New Roman"/>
          <w:szCs w:val="26"/>
        </w:rPr>
        <w:t xml:space="preserve">, </w:t>
      </w:r>
      <w:r w:rsidRPr="00E744EC">
        <w:rPr>
          <w:rFonts w:cs="Times New Roman"/>
          <w:i/>
          <w:szCs w:val="26"/>
        </w:rPr>
        <w:t>supra</w:t>
      </w:r>
      <w:r>
        <w:rPr>
          <w:rFonts w:cs="Times New Roman"/>
          <w:szCs w:val="26"/>
        </w:rPr>
        <w:t>, 159 Cal.App.4</w:t>
      </w:r>
      <w:r w:rsidRPr="000540F6">
        <w:rPr>
          <w:rFonts w:cs="Times New Roman"/>
          <w:szCs w:val="26"/>
        </w:rPr>
        <w:t>th</w:t>
      </w:r>
      <w:r>
        <w:rPr>
          <w:rFonts w:cs="Times New Roman"/>
          <w:szCs w:val="26"/>
        </w:rPr>
        <w:t xml:space="preserve"> 948, and other decisions suggest that government speech might warrant heightened scrutiny if its exercise made “</w:t>
      </w:r>
      <w:r w:rsidRPr="007A3D18">
        <w:rPr>
          <w:rFonts w:cs="Times New Roman"/>
          <w:szCs w:val="26"/>
        </w:rPr>
        <w:t>private speech difficult or impossible</w:t>
      </w:r>
      <w:r>
        <w:rPr>
          <w:rFonts w:cs="Times New Roman"/>
          <w:szCs w:val="26"/>
        </w:rPr>
        <w:t>.”  (</w:t>
      </w:r>
      <w:r w:rsidRPr="00E744EC">
        <w:rPr>
          <w:rFonts w:cs="Times New Roman"/>
          <w:i/>
          <w:szCs w:val="26"/>
        </w:rPr>
        <w:t>Id</w:t>
      </w:r>
      <w:r>
        <w:rPr>
          <w:rFonts w:cs="Times New Roman"/>
          <w:szCs w:val="26"/>
        </w:rPr>
        <w:t xml:space="preserve">., at p. 966; see also </w:t>
      </w:r>
      <w:r w:rsidRPr="00D83B6D">
        <w:rPr>
          <w:rFonts w:cs="Times New Roman"/>
          <w:i/>
          <w:szCs w:val="26"/>
        </w:rPr>
        <w:t>Miller</w:t>
      </w:r>
      <w:r>
        <w:rPr>
          <w:rFonts w:cs="Times New Roman"/>
          <w:szCs w:val="26"/>
        </w:rPr>
        <w:t xml:space="preserve">, </w:t>
      </w:r>
      <w:r w:rsidRPr="00D83B6D">
        <w:rPr>
          <w:rFonts w:cs="Times New Roman"/>
          <w:i/>
          <w:szCs w:val="26"/>
        </w:rPr>
        <w:t>supra</w:t>
      </w:r>
      <w:r>
        <w:rPr>
          <w:rFonts w:cs="Times New Roman"/>
          <w:szCs w:val="26"/>
        </w:rPr>
        <w:t xml:space="preserve">, 151 Cal.App.3d at p. 702; </w:t>
      </w:r>
      <w:r w:rsidRPr="00636E1F">
        <w:rPr>
          <w:rFonts w:cs="Times New Roman"/>
          <w:i/>
          <w:szCs w:val="26"/>
        </w:rPr>
        <w:t>NAACP v. Hunt</w:t>
      </w:r>
      <w:r>
        <w:rPr>
          <w:rFonts w:cs="Times New Roman"/>
          <w:szCs w:val="26"/>
        </w:rPr>
        <w:t xml:space="preserve"> (11</w:t>
      </w:r>
      <w:r w:rsidRPr="00636E1F">
        <w:rPr>
          <w:rFonts w:cs="Times New Roman"/>
          <w:szCs w:val="26"/>
        </w:rPr>
        <w:t>th</w:t>
      </w:r>
      <w:r>
        <w:rPr>
          <w:rFonts w:cs="Times New Roman"/>
          <w:szCs w:val="26"/>
        </w:rPr>
        <w:t xml:space="preserve"> Cir. 1990) 891 F.2d 1555, 1566 [“the government may not monopolize the ‘marketplace of ideas,’ thus drowning out private sources of speech”]; </w:t>
      </w:r>
      <w:r w:rsidRPr="00636E1F">
        <w:rPr>
          <w:rFonts w:cs="Times New Roman"/>
          <w:i/>
          <w:szCs w:val="26"/>
        </w:rPr>
        <w:t xml:space="preserve">Warner Cable </w:t>
      </w:r>
      <w:r>
        <w:rPr>
          <w:rFonts w:cs="Times New Roman"/>
          <w:i/>
          <w:szCs w:val="26"/>
        </w:rPr>
        <w:t>Communications</w:t>
      </w:r>
      <w:r w:rsidRPr="00636E1F">
        <w:rPr>
          <w:rFonts w:cs="Times New Roman"/>
          <w:i/>
          <w:szCs w:val="26"/>
        </w:rPr>
        <w:t>, Inc. v. City of Niceville</w:t>
      </w:r>
      <w:r>
        <w:rPr>
          <w:rFonts w:cs="Times New Roman"/>
          <w:szCs w:val="26"/>
        </w:rPr>
        <w:t xml:space="preserve"> (11</w:t>
      </w:r>
      <w:r w:rsidRPr="00636E1F">
        <w:rPr>
          <w:rFonts w:cs="Times New Roman"/>
          <w:szCs w:val="26"/>
        </w:rPr>
        <w:t>th</w:t>
      </w:r>
      <w:r>
        <w:rPr>
          <w:rFonts w:cs="Times New Roman"/>
          <w:szCs w:val="26"/>
        </w:rPr>
        <w:t xml:space="preserve"> Cir. 1990) 911 F.2d 634, 638 [“the government may not speak so loudly as to make it impossible for other speakers to be heard by their audience”].)</w:t>
      </w:r>
    </w:p>
    <w:p w:rsidR="006F029F" w:rsidRPr="006F029F" w:rsidP="0057249E">
      <w:pPr>
        <w:pStyle w:val="ListParagraph"/>
        <w:keepNext/>
        <w:tabs>
          <w:tab w:val="left" w:pos="1080"/>
        </w:tabs>
        <w:spacing w:line="480" w:lineRule="exact"/>
        <w:ind w:left="0" w:firstLine="720"/>
        <w:rPr>
          <w:rFonts w:cs="Times New Roman"/>
          <w:b/>
          <w:szCs w:val="26"/>
        </w:rPr>
      </w:pPr>
      <w:r>
        <w:rPr>
          <w:rFonts w:cs="Times New Roman"/>
          <w:b/>
          <w:szCs w:val="26"/>
        </w:rPr>
        <w:t xml:space="preserve">E. </w:t>
      </w:r>
      <w:r>
        <w:rPr>
          <w:rFonts w:cs="Times New Roman"/>
          <w:b/>
          <w:szCs w:val="26"/>
        </w:rPr>
        <w:tab/>
      </w:r>
      <w:r w:rsidRPr="006F029F">
        <w:rPr>
          <w:rFonts w:cs="Times New Roman"/>
          <w:b/>
          <w:szCs w:val="26"/>
        </w:rPr>
        <w:t>Application to the Ketchum Act</w:t>
      </w:r>
    </w:p>
    <w:p w:rsidR="00744E3D" w:rsidP="00B816C3">
      <w:pPr>
        <w:pStyle w:val="ListParagraph"/>
        <w:spacing w:line="480" w:lineRule="exact"/>
        <w:ind w:left="0" w:firstLine="720"/>
        <w:rPr>
          <w:rFonts w:cs="Times New Roman"/>
          <w:szCs w:val="26"/>
        </w:rPr>
      </w:pPr>
      <w:r>
        <w:rPr>
          <w:rFonts w:cs="Times New Roman"/>
          <w:szCs w:val="26"/>
        </w:rPr>
        <w:t xml:space="preserve">Application of these principles to the Ketchum Act leads to the conclusion that promotional messaging under the statute is subject to sufficient governmental direction and control to qualify as government speech.  The Legislature has developed, and endorsed the dissemination of, the central message promulgated by the Commission.  This message communicates a specific view (promotion) regarding a single commodity (California fresh grapes).  The articulation and broadcasting of this message has been entrusted in the first instance to market participants, but only acting through an entity, the Commission, that is subject to meaningful oversight by the public and other government actors.  This oversight includes mechanisms that serve to ensure that the Commission’s messaging remains within the parameters set by statute.  These circumstances establish that the communications involved here represent government speech for purposes of article I, section 2.  </w:t>
      </w:r>
    </w:p>
    <w:p w:rsidR="00C20EF4" w:rsidP="00FE7C48">
      <w:pPr>
        <w:pStyle w:val="ListParagraph"/>
        <w:spacing w:line="480" w:lineRule="exact"/>
        <w:ind w:left="0" w:firstLine="720"/>
        <w:rPr>
          <w:rFonts w:cs="Times New Roman"/>
          <w:szCs w:val="26"/>
        </w:rPr>
      </w:pPr>
      <w:r>
        <w:rPr>
          <w:rFonts w:cs="Times New Roman"/>
          <w:szCs w:val="26"/>
        </w:rPr>
        <w:t xml:space="preserve">Recognition of the promotional messaging produced under the Ketchum Act as government speech follows, first, from the Act’s findings and charge to the Commission.  As observed </w:t>
      </w:r>
      <w:r w:rsidRPr="00071CCC">
        <w:rPr>
          <w:rFonts w:cs="Times New Roman"/>
          <w:i/>
          <w:szCs w:val="26"/>
        </w:rPr>
        <w:t>ante</w:t>
      </w:r>
      <w:r>
        <w:rPr>
          <w:rFonts w:cs="Times New Roman"/>
          <w:szCs w:val="26"/>
        </w:rPr>
        <w:t xml:space="preserve">, in enacting this statute the Legislature found that </w:t>
      </w:r>
      <w:r w:rsidRPr="001321E1">
        <w:rPr>
          <w:rFonts w:cs="Times New Roman"/>
          <w:szCs w:val="26"/>
        </w:rPr>
        <w:t>“</w:t>
      </w:r>
      <w:r>
        <w:rPr>
          <w:rFonts w:cs="Times New Roman"/>
          <w:szCs w:val="26"/>
        </w:rPr>
        <w:t>[i]</w:t>
      </w:r>
      <w:r w:rsidRPr="001321E1">
        <w:rPr>
          <w:rFonts w:cs="Times New Roman"/>
          <w:szCs w:val="26"/>
        </w:rPr>
        <w:t>t is . . . necessary and expedient in the public interest to protect and enhance the reputation of California fresh grapes for human consumption in intrastate,</w:t>
      </w:r>
      <w:r>
        <w:rPr>
          <w:rFonts w:cs="Times New Roman"/>
          <w:szCs w:val="26"/>
        </w:rPr>
        <w:t xml:space="preserve"> interstate and foreign markets</w:t>
      </w:r>
      <w:r w:rsidRPr="001321E1">
        <w:rPr>
          <w:rFonts w:cs="Times New Roman"/>
          <w:szCs w:val="26"/>
        </w:rPr>
        <w:t>”</w:t>
      </w:r>
      <w:r>
        <w:rPr>
          <w:rFonts w:cs="Times New Roman"/>
          <w:szCs w:val="26"/>
        </w:rPr>
        <w:t xml:space="preserve"> </w:t>
      </w:r>
      <w:r w:rsidRPr="00613791">
        <w:rPr>
          <w:rFonts w:cs="Times New Roman"/>
          <w:szCs w:val="26"/>
        </w:rPr>
        <w:t>(§</w:t>
      </w:r>
      <w:r>
        <w:rPr>
          <w:rFonts w:cs="Times New Roman"/>
          <w:szCs w:val="26"/>
        </w:rPr>
        <w:t> 65500, subd. (e</w:t>
      </w:r>
      <w:r w:rsidRPr="00613791">
        <w:rPr>
          <w:rFonts w:cs="Times New Roman"/>
          <w:szCs w:val="26"/>
        </w:rPr>
        <w:t>))</w:t>
      </w:r>
      <w:r>
        <w:rPr>
          <w:rFonts w:cs="Times New Roman"/>
          <w:szCs w:val="26"/>
        </w:rPr>
        <w:t>, and “[t]</w:t>
      </w:r>
      <w:r w:rsidRPr="001321E1">
        <w:rPr>
          <w:rFonts w:cs="Times New Roman"/>
          <w:szCs w:val="26"/>
        </w:rPr>
        <w:t>he promotion of the sale of fresh grapes for human consumption by means of advertising . . . is . . . in the interests of the welfare, public economy and health of the people of this state”</w:t>
      </w:r>
      <w:r>
        <w:rPr>
          <w:rFonts w:cs="Times New Roman"/>
          <w:szCs w:val="26"/>
        </w:rPr>
        <w:t xml:space="preserve"> </w:t>
      </w:r>
      <w:r w:rsidRPr="00613791">
        <w:rPr>
          <w:rFonts w:cs="Times New Roman"/>
          <w:szCs w:val="26"/>
        </w:rPr>
        <w:t>(</w:t>
      </w:r>
      <w:r>
        <w:rPr>
          <w:rFonts w:cs="Times New Roman"/>
          <w:i/>
          <w:szCs w:val="26"/>
        </w:rPr>
        <w:t>i</w:t>
      </w:r>
      <w:r w:rsidRPr="00C117BB">
        <w:rPr>
          <w:rFonts w:cs="Times New Roman"/>
          <w:i/>
          <w:szCs w:val="26"/>
        </w:rPr>
        <w:t>d</w:t>
      </w:r>
      <w:r>
        <w:rPr>
          <w:rFonts w:cs="Times New Roman"/>
          <w:szCs w:val="26"/>
        </w:rPr>
        <w:t>., subd. </w:t>
      </w:r>
      <w:r w:rsidRPr="00613791">
        <w:rPr>
          <w:rFonts w:cs="Times New Roman"/>
          <w:szCs w:val="26"/>
        </w:rPr>
        <w:t>(f))</w:t>
      </w:r>
      <w:r>
        <w:rPr>
          <w:rFonts w:cs="Times New Roman"/>
          <w:szCs w:val="26"/>
        </w:rPr>
        <w:t xml:space="preserve">.  The Act thus expressly endorses the promulgation of advertising and similar speech that promotes California fresh grapes as a general category.  Consistent with these findings, the Act gives the Commission, upon becoming operational, the power </w:t>
      </w:r>
      <w:r w:rsidRPr="00C117BB">
        <w:rPr>
          <w:rFonts w:cs="Times New Roman"/>
          <w:i/>
          <w:szCs w:val="26"/>
        </w:rPr>
        <w:t>and</w:t>
      </w:r>
      <w:r w:rsidRPr="00AD7D50">
        <w:rPr>
          <w:rFonts w:cs="Times New Roman"/>
          <w:szCs w:val="26"/>
        </w:rPr>
        <w:t xml:space="preserve"> the duty</w:t>
      </w:r>
      <w:r>
        <w:rPr>
          <w:rFonts w:cs="Times New Roman"/>
          <w:szCs w:val="26"/>
        </w:rPr>
        <w:t xml:space="preserve"> </w:t>
      </w:r>
      <w:r w:rsidRPr="00613791">
        <w:rPr>
          <w:rFonts w:cs="Times New Roman"/>
          <w:szCs w:val="26"/>
        </w:rPr>
        <w:t>“</w:t>
      </w:r>
      <w:r>
        <w:rPr>
          <w:rFonts w:cs="Times New Roman"/>
          <w:szCs w:val="26"/>
        </w:rPr>
        <w:t>[</w:t>
      </w:r>
      <w:r w:rsidRPr="00613791">
        <w:rPr>
          <w:rFonts w:cs="Times New Roman"/>
          <w:szCs w:val="26"/>
        </w:rPr>
        <w:t>t</w:t>
      </w:r>
      <w:r>
        <w:rPr>
          <w:rFonts w:cs="Times New Roman"/>
          <w:szCs w:val="26"/>
        </w:rPr>
        <w:t>]</w:t>
      </w:r>
      <w:r w:rsidRPr="00613791">
        <w:rPr>
          <w:rFonts w:cs="Times New Roman"/>
          <w:szCs w:val="26"/>
        </w:rPr>
        <w:t xml:space="preserve">o promote the sale of fresh grapes by advertising and other similar means for the purpose of maintaining and expanding present markets and creating new and larger intrastate, interstate, and foreign markets for fresh grapes; to educate and instruct the public with respect to fresh grapes; and the uses and time to use the several varieties, and the healthful properties and dietetic value of </w:t>
      </w:r>
      <w:r>
        <w:rPr>
          <w:rFonts w:cs="Times New Roman"/>
          <w:szCs w:val="26"/>
        </w:rPr>
        <w:t>fresh grapes.”  (§ 65572, subd. </w:t>
      </w:r>
      <w:r w:rsidRPr="00613791">
        <w:rPr>
          <w:rFonts w:cs="Times New Roman"/>
          <w:szCs w:val="26"/>
        </w:rPr>
        <w:t xml:space="preserve">(h).) </w:t>
      </w:r>
      <w:r>
        <w:rPr>
          <w:rFonts w:cs="Times New Roman"/>
          <w:szCs w:val="26"/>
        </w:rPr>
        <w:t xml:space="preserve"> These provisions leave no doubt that the state, through the Ketchum Act, has prescribed in advance the basic message to be promulgated — the promotion of California table grapes — and selected the Commission as a messenger.</w:t>
      </w:r>
      <w:r>
        <w:rPr>
          <w:rStyle w:val="FootnoteReference"/>
          <w:rFonts w:cs="Times New Roman"/>
          <w:b/>
          <w:szCs w:val="26"/>
        </w:rPr>
        <w:footnoteReference w:id="23"/>
      </w:r>
      <w:r w:rsidRPr="0096029C">
        <w:rPr>
          <w:rFonts w:cs="Times New Roman"/>
          <w:b/>
          <w:szCs w:val="26"/>
        </w:rPr>
        <w:t xml:space="preserve"> </w:t>
      </w:r>
    </w:p>
    <w:p w:rsidR="00AC755E" w:rsidP="00AC755E">
      <w:pPr>
        <w:pStyle w:val="ListParagraph"/>
        <w:spacing w:line="480" w:lineRule="exact"/>
        <w:ind w:left="0" w:firstLine="720"/>
        <w:rPr>
          <w:rFonts w:cs="Times New Roman"/>
          <w:szCs w:val="26"/>
        </w:rPr>
      </w:pPr>
      <w:r>
        <w:rPr>
          <w:rFonts w:cs="Times New Roman"/>
          <w:szCs w:val="26"/>
        </w:rPr>
        <w:t>Moreover, in creating the Commission as a public corporation, the Legislature further aligned the state with the message to be articulated.  Public corporations “are organized for the purpose of carrying out the purposes of the [L]egislature in its desire to provide for the general welfare of the state, and in the accomplishment of which legislative convenience or constitutional requirements have made them essential.”  (</w:t>
      </w:r>
      <w:r w:rsidRPr="00602037">
        <w:rPr>
          <w:rFonts w:cs="Times New Roman"/>
          <w:i/>
          <w:szCs w:val="26"/>
        </w:rPr>
        <w:t>In re Madera Irrigation District</w:t>
      </w:r>
      <w:r>
        <w:rPr>
          <w:rFonts w:cs="Times New Roman"/>
          <w:szCs w:val="26"/>
        </w:rPr>
        <w:t xml:space="preserve"> (1891) 92 Cal. 296, 317 [describing municipal corporations]; see also </w:t>
      </w:r>
      <w:r w:rsidRPr="00745AF3">
        <w:rPr>
          <w:rFonts w:cs="Times New Roman"/>
          <w:i/>
          <w:szCs w:val="26"/>
        </w:rPr>
        <w:t>State Bar of California v. Superior Court</w:t>
      </w:r>
      <w:r>
        <w:rPr>
          <w:rFonts w:cs="Times New Roman"/>
          <w:szCs w:val="26"/>
        </w:rPr>
        <w:t xml:space="preserve"> (1929) 207 Cal. 323, 329-332 [determining that the Legislature could designate the State Bar as a non municipal public corporation].)  Many such corporations, such as school districts (see </w:t>
      </w:r>
      <w:r w:rsidRPr="00111380">
        <w:rPr>
          <w:rFonts w:cs="Times New Roman"/>
          <w:i/>
          <w:szCs w:val="26"/>
        </w:rPr>
        <w:t>Gateway Community Chart</w:t>
      </w:r>
      <w:r>
        <w:rPr>
          <w:rFonts w:cs="Times New Roman"/>
          <w:i/>
          <w:szCs w:val="26"/>
        </w:rPr>
        <w:t>er</w:t>
      </w:r>
      <w:r w:rsidRPr="00111380">
        <w:rPr>
          <w:rFonts w:cs="Times New Roman"/>
          <w:i/>
          <w:szCs w:val="26"/>
        </w:rPr>
        <w:t>s v. Spiess</w:t>
      </w:r>
      <w:r>
        <w:rPr>
          <w:rFonts w:cs="Times New Roman"/>
          <w:szCs w:val="26"/>
        </w:rPr>
        <w:t xml:space="preserve"> (2017) 9 Cal.App.5</w:t>
      </w:r>
      <w:r w:rsidRPr="00111380">
        <w:rPr>
          <w:rFonts w:cs="Times New Roman"/>
          <w:szCs w:val="26"/>
        </w:rPr>
        <w:t>th</w:t>
      </w:r>
      <w:r>
        <w:rPr>
          <w:rFonts w:cs="Times New Roman"/>
          <w:szCs w:val="26"/>
        </w:rPr>
        <w:t xml:space="preserve"> 499, 507), fulfill quintessentially governmental functions.  </w:t>
      </w:r>
    </w:p>
    <w:p w:rsidR="00AC755E" w:rsidP="00AC755E">
      <w:pPr>
        <w:pStyle w:val="ListParagraph"/>
        <w:spacing w:line="480" w:lineRule="exact"/>
        <w:ind w:left="0" w:firstLine="720"/>
        <w:rPr>
          <w:rFonts w:cs="Times New Roman"/>
          <w:szCs w:val="26"/>
        </w:rPr>
      </w:pPr>
      <w:r>
        <w:rPr>
          <w:rFonts w:cs="Times New Roman"/>
          <w:szCs w:val="26"/>
        </w:rPr>
        <w:t xml:space="preserve">Of course, public corporations are not invariably regarded as units of the government for purposes of the government speech doctrine.  The high court’s analysis and decision in </w:t>
      </w:r>
      <w:r w:rsidRPr="00E41604">
        <w:rPr>
          <w:rFonts w:cs="Times New Roman"/>
          <w:i/>
          <w:szCs w:val="26"/>
        </w:rPr>
        <w:t>Keller</w:t>
      </w:r>
      <w:r>
        <w:rPr>
          <w:rFonts w:cs="Times New Roman"/>
          <w:szCs w:val="26"/>
        </w:rPr>
        <w:t xml:space="preserve">, </w:t>
      </w:r>
      <w:r w:rsidRPr="00E41604">
        <w:rPr>
          <w:rFonts w:cs="Times New Roman"/>
          <w:i/>
          <w:szCs w:val="26"/>
        </w:rPr>
        <w:t>supra</w:t>
      </w:r>
      <w:r>
        <w:rPr>
          <w:rFonts w:cs="Times New Roman"/>
          <w:szCs w:val="26"/>
        </w:rPr>
        <w:t xml:space="preserve">, 496 U.S. 1, discussed </w:t>
      </w:r>
      <w:r w:rsidRPr="00CD3E9F">
        <w:rPr>
          <w:rFonts w:cs="Times New Roman"/>
          <w:i/>
          <w:szCs w:val="26"/>
        </w:rPr>
        <w:t>ante</w:t>
      </w:r>
      <w:r>
        <w:rPr>
          <w:rFonts w:cs="Times New Roman"/>
          <w:szCs w:val="26"/>
        </w:rPr>
        <w:t xml:space="preserve">, instruct as much.  We need not and do not decide here whether the Commission is, on its own, a state actor capable of producing government speech.  At a minimum, however, the relevant circumstances here distinguish this case from </w:t>
      </w:r>
      <w:r w:rsidRPr="008545FF">
        <w:rPr>
          <w:rFonts w:cs="Times New Roman"/>
          <w:i/>
          <w:szCs w:val="26"/>
        </w:rPr>
        <w:t>Keller</w:t>
      </w:r>
      <w:r>
        <w:rPr>
          <w:rFonts w:cs="Times New Roman"/>
          <w:i/>
          <w:szCs w:val="26"/>
        </w:rPr>
        <w:t xml:space="preserve"> </w:t>
      </w:r>
      <w:r>
        <w:rPr>
          <w:rFonts w:cs="Times New Roman"/>
          <w:szCs w:val="26"/>
        </w:rPr>
        <w:t xml:space="preserve">in that they underscore greater overall state responsibility for the message being communicated by the public corporation at issue.  In </w:t>
      </w:r>
      <w:r w:rsidRPr="00832731">
        <w:rPr>
          <w:rFonts w:cs="Times New Roman"/>
          <w:i/>
          <w:szCs w:val="26"/>
        </w:rPr>
        <w:t>Keller</w:t>
      </w:r>
      <w:r>
        <w:rPr>
          <w:rFonts w:cs="Times New Roman"/>
          <w:szCs w:val="26"/>
        </w:rPr>
        <w:t>, the high court regarded the State Bar as having essentially advisory responsibilities, and there was no prior legislative charge that directed the State Bar to advance a specific viewpoint in its messaging.  (</w:t>
      </w:r>
      <w:r>
        <w:rPr>
          <w:rFonts w:cs="Times New Roman"/>
          <w:i/>
          <w:szCs w:val="26"/>
        </w:rPr>
        <w:t>Keller</w:t>
      </w:r>
      <w:r>
        <w:rPr>
          <w:rFonts w:cs="Times New Roman"/>
          <w:szCs w:val="26"/>
        </w:rPr>
        <w:t xml:space="preserve">, at p. 11; see also </w:t>
      </w:r>
      <w:r w:rsidRPr="00EC68DF">
        <w:rPr>
          <w:rFonts w:cs="Times New Roman"/>
          <w:i/>
          <w:szCs w:val="26"/>
        </w:rPr>
        <w:t>Johanns</w:t>
      </w:r>
      <w:r>
        <w:rPr>
          <w:rFonts w:cs="Times New Roman"/>
          <w:szCs w:val="26"/>
        </w:rPr>
        <w:t xml:space="preserve">, </w:t>
      </w:r>
      <w:r w:rsidRPr="00EC68DF">
        <w:rPr>
          <w:rFonts w:cs="Times New Roman"/>
          <w:i/>
          <w:szCs w:val="26"/>
        </w:rPr>
        <w:t>supra</w:t>
      </w:r>
      <w:r>
        <w:rPr>
          <w:rFonts w:cs="Times New Roman"/>
          <w:szCs w:val="26"/>
        </w:rPr>
        <w:t xml:space="preserve">, 544 U.S. at pp. 561-562 [distinguishing </w:t>
      </w:r>
      <w:r w:rsidRPr="00EC68DF">
        <w:rPr>
          <w:rFonts w:cs="Times New Roman"/>
          <w:i/>
          <w:szCs w:val="26"/>
        </w:rPr>
        <w:t>Keller</w:t>
      </w:r>
      <w:r>
        <w:rPr>
          <w:rFonts w:cs="Times New Roman"/>
          <w:szCs w:val="26"/>
        </w:rPr>
        <w:t xml:space="preserve">].)  Those facts could be understood as diminishing the state’s responsibility and accountability for the State Bar’s communications, even granting that entity’s status as a public corporation.  Here, by comparison, the Legislature’s prior specification of the central message to be communicated by the Commission, and its selection of the Commission as messenger, leave no doubt that the Commission, as a public corporation, echoes and advances a viewpoint endorsed by the state as it undertakes its duties. </w:t>
      </w:r>
    </w:p>
    <w:p w:rsidR="00AC755E" w:rsidP="00AC755E">
      <w:pPr>
        <w:pStyle w:val="ListParagraph"/>
        <w:spacing w:line="480" w:lineRule="exact"/>
        <w:ind w:left="0" w:firstLine="720"/>
        <w:rPr>
          <w:rFonts w:cs="Times New Roman"/>
          <w:szCs w:val="26"/>
        </w:rPr>
      </w:pPr>
      <w:r>
        <w:rPr>
          <w:rFonts w:cs="Times New Roman"/>
          <w:szCs w:val="26"/>
        </w:rPr>
        <w:t>Furthermore, the Commission operates subject to several statutes generally applicable to state agencies (see Gov. Code, § 11000, subd. (a)) that permit ongoing review of its operations and help ensure accountability for its actions.  These laws include the Public Records Act (</w:t>
      </w:r>
      <w:r w:rsidRPr="0093333D">
        <w:rPr>
          <w:rFonts w:cs="Times New Roman"/>
          <w:szCs w:val="26"/>
        </w:rPr>
        <w:t>Gov. Code,</w:t>
      </w:r>
      <w:r>
        <w:rPr>
          <w:rFonts w:cs="Times New Roman"/>
          <w:szCs w:val="26"/>
        </w:rPr>
        <w:t xml:space="preserve"> § 6250 et seq.; see </w:t>
      </w:r>
      <w:r>
        <w:rPr>
          <w:rFonts w:cs="Times New Roman"/>
          <w:i/>
          <w:szCs w:val="26"/>
        </w:rPr>
        <w:t>i</w:t>
      </w:r>
      <w:r w:rsidRPr="001A42F4">
        <w:rPr>
          <w:rFonts w:cs="Times New Roman"/>
          <w:i/>
          <w:szCs w:val="26"/>
        </w:rPr>
        <w:t>d</w:t>
      </w:r>
      <w:r>
        <w:rPr>
          <w:rFonts w:cs="Times New Roman"/>
          <w:szCs w:val="26"/>
        </w:rPr>
        <w:t>., § 6252, subd. (f)(1)),</w:t>
      </w:r>
      <w:r>
        <w:rPr>
          <w:rStyle w:val="FootnoteReference"/>
          <w:rFonts w:cs="Times New Roman"/>
          <w:b/>
          <w:szCs w:val="26"/>
        </w:rPr>
        <w:footnoteReference w:id="24"/>
      </w:r>
      <w:r w:rsidRPr="00E44175">
        <w:rPr>
          <w:rFonts w:cs="Times New Roman"/>
          <w:b/>
          <w:szCs w:val="26"/>
        </w:rPr>
        <w:t xml:space="preserve"> </w:t>
      </w:r>
      <w:r>
        <w:rPr>
          <w:rFonts w:cs="Times New Roman"/>
          <w:szCs w:val="26"/>
        </w:rPr>
        <w:t>the Bagley-Keene Open Meeting Act (</w:t>
      </w:r>
      <w:r w:rsidRPr="0093333D">
        <w:rPr>
          <w:rFonts w:cs="Times New Roman"/>
          <w:szCs w:val="26"/>
        </w:rPr>
        <w:t>Gov. Code</w:t>
      </w:r>
      <w:r w:rsidRPr="001A42F4">
        <w:rPr>
          <w:rFonts w:cs="Times New Roman"/>
          <w:i/>
          <w:szCs w:val="26"/>
        </w:rPr>
        <w:t>,</w:t>
      </w:r>
      <w:r>
        <w:rPr>
          <w:rFonts w:cs="Times New Roman"/>
          <w:szCs w:val="26"/>
        </w:rPr>
        <w:t xml:space="preserve"> § 11120 et seq.; see </w:t>
      </w:r>
      <w:r w:rsidRPr="000D1A63">
        <w:rPr>
          <w:rFonts w:cs="Times New Roman"/>
          <w:i/>
          <w:szCs w:val="26"/>
        </w:rPr>
        <w:t>id</w:t>
      </w:r>
      <w:r>
        <w:rPr>
          <w:rFonts w:cs="Times New Roman"/>
          <w:szCs w:val="26"/>
        </w:rPr>
        <w:t>., § 11121, subd. (a)), and the Political Reform Act (</w:t>
      </w:r>
      <w:r w:rsidRPr="0093333D">
        <w:rPr>
          <w:rFonts w:cs="Times New Roman"/>
          <w:szCs w:val="26"/>
        </w:rPr>
        <w:t>Gov. Code</w:t>
      </w:r>
      <w:r w:rsidRPr="001A42F4">
        <w:rPr>
          <w:rFonts w:cs="Times New Roman"/>
          <w:i/>
          <w:szCs w:val="26"/>
        </w:rPr>
        <w:t>,</w:t>
      </w:r>
      <w:r>
        <w:rPr>
          <w:rFonts w:cs="Times New Roman"/>
          <w:szCs w:val="26"/>
        </w:rPr>
        <w:t xml:space="preserve"> § 81000 et seq.; see </w:t>
      </w:r>
      <w:r w:rsidRPr="001A42F4">
        <w:rPr>
          <w:rFonts w:cs="Times New Roman"/>
          <w:i/>
          <w:szCs w:val="26"/>
        </w:rPr>
        <w:t>id</w:t>
      </w:r>
      <w:r>
        <w:rPr>
          <w:rFonts w:cs="Times New Roman"/>
          <w:szCs w:val="26"/>
        </w:rPr>
        <w:t>., § 82049).  The Ketchum Act also demands that the Commission “keep accurate books, records and accounts of all of its dealings, which . . . shall be open to inspection and audit by the Department of Finance . . . or other state officer.”  (Food &amp; Agr. Code, § 65572, subd. (f).)  These obligations all facilitate ongoing oversight of the Commission’s activities, guarding against any deviation from statutory directives.</w:t>
      </w:r>
    </w:p>
    <w:p w:rsidR="001D609E" w:rsidRPr="00522C5B" w:rsidP="00AC755E">
      <w:pPr>
        <w:pStyle w:val="ListParagraph"/>
        <w:spacing w:line="480" w:lineRule="exact"/>
        <w:ind w:left="0" w:firstLine="720"/>
        <w:rPr>
          <w:rFonts w:cs="Times New Roman"/>
          <w:spacing w:val="-1"/>
          <w:szCs w:val="26"/>
        </w:rPr>
      </w:pPr>
      <w:r w:rsidRPr="00522C5B">
        <w:rPr>
          <w:rFonts w:cs="Times New Roman"/>
          <w:spacing w:val="-1"/>
          <w:szCs w:val="26"/>
        </w:rPr>
        <w:t xml:space="preserve">The Ketchum Act also incorporates an avenue for the Secretary to correct specific departures from the statutory message.  Through the Act’s appeal mechanism, the Secretary may reverse an action by the Commission if it is the subject of an appeal and she finds that it was “not substantially sustained by the record, was an abuse of discretion, or illegal.”  (§ 65650.5.)  Were the Commission to endorse a message not authorized under the statute, or regarded as an abuse of discretion, an aggrieved party could challenge this action through an appeal.  Although this case does not require us to identify the precise parameters of the Secretary’s authority to reverse Commission actions, it stands to reason that speech that patently would </w:t>
      </w:r>
      <w:r w:rsidRPr="00522C5B">
        <w:rPr>
          <w:rFonts w:cs="Times New Roman"/>
          <w:i/>
          <w:spacing w:val="-1"/>
          <w:szCs w:val="26"/>
        </w:rPr>
        <w:t>not</w:t>
      </w:r>
      <w:r w:rsidRPr="00522C5B">
        <w:rPr>
          <w:rFonts w:cs="Times New Roman"/>
          <w:spacing w:val="-1"/>
          <w:szCs w:val="26"/>
        </w:rPr>
        <w:t xml:space="preserve"> promote the sale of California table grapes could become the subject of a viable challenge.  And regardless of whether such an appeal leads to reversal, the Secretary could be held politically accountable for the outcome.</w:t>
      </w:r>
      <w:r w:rsidRPr="00522C5B">
        <w:rPr>
          <w:rFonts w:cs="Times New Roman"/>
          <w:b/>
          <w:spacing w:val="-1"/>
          <w:szCs w:val="26"/>
        </w:rPr>
        <w:t xml:space="preserve">  </w:t>
      </w:r>
      <w:r w:rsidRPr="00522C5B">
        <w:rPr>
          <w:rFonts w:cs="Times New Roman"/>
          <w:spacing w:val="-1"/>
          <w:szCs w:val="26"/>
        </w:rPr>
        <w:t xml:space="preserve">Although this review mechanism is somewhat different from the oversight responsibilities borne by the CDFA with other compelled-subsidy programs (see footnote 3, </w:t>
      </w:r>
      <w:r w:rsidRPr="00522C5B">
        <w:rPr>
          <w:rFonts w:cs="Times New Roman"/>
          <w:i/>
          <w:spacing w:val="-1"/>
          <w:szCs w:val="26"/>
        </w:rPr>
        <w:t>ante</w:t>
      </w:r>
      <w:r w:rsidRPr="00522C5B">
        <w:rPr>
          <w:rFonts w:cs="Times New Roman"/>
          <w:spacing w:val="-1"/>
          <w:szCs w:val="26"/>
        </w:rPr>
        <w:t>), it nonetheless provides a meaningful avenue for ensuring that the Commission’s messaging remains within the parameters crafted by the Legislature.</w:t>
      </w:r>
    </w:p>
    <w:p w:rsidR="00707D35" w:rsidRPr="00522C5B" w:rsidP="00E92F4B">
      <w:pPr>
        <w:pStyle w:val="ListParagraph"/>
        <w:spacing w:line="480" w:lineRule="exact"/>
        <w:ind w:left="0" w:firstLine="720"/>
        <w:rPr>
          <w:rFonts w:cs="Times New Roman"/>
          <w:spacing w:val="-1"/>
          <w:szCs w:val="26"/>
        </w:rPr>
      </w:pPr>
      <w:r w:rsidRPr="00522C5B">
        <w:rPr>
          <w:rFonts w:cs="Times New Roman"/>
          <w:spacing w:val="-1"/>
          <w:szCs w:val="26"/>
        </w:rPr>
        <w:t xml:space="preserve">Other provisions within the Ketchum Act also underscore the state’s responsibility for and control over messaging promulgated under the statute.  Among them, the Act gives the Secretary of the Department of Food and Agriculture the duty to appoint commissioners from the set of nominees for each position on the Commission.  (§§ 65555, 65563, 65575.1.)  Having this power, the Secretary is in a weakened position to disclaim responsibility for promotional messaging that an appointee later may approve.  Furthermore, as the officer who appoints the commissioners, the Secretary also has the power to remove them from office.  (See </w:t>
      </w:r>
      <w:r w:rsidRPr="00522C5B">
        <w:rPr>
          <w:rFonts w:cs="Times New Roman"/>
          <w:i/>
          <w:spacing w:val="-1"/>
          <w:szCs w:val="26"/>
        </w:rPr>
        <w:t>People ex rel. Atty. Gen. v. Hill</w:t>
      </w:r>
      <w:r w:rsidRPr="00522C5B">
        <w:rPr>
          <w:rFonts w:cs="Times New Roman"/>
          <w:spacing w:val="-1"/>
          <w:szCs w:val="26"/>
        </w:rPr>
        <w:t xml:space="preserve"> (1857) 7 Cal. 97, 102.)  By statute, commissioners serve a term of years (§ 65555), which may circumscribe the Secretary’s authority to remove them from office (see Gov. Code, § 1301 [“Every office, the term of which is not fixed by law, is held at the pleasure of the appointing power”]; </w:t>
      </w:r>
      <w:r w:rsidRPr="00522C5B">
        <w:rPr>
          <w:rFonts w:cs="Times New Roman"/>
          <w:i/>
          <w:spacing w:val="-1"/>
          <w:szCs w:val="26"/>
        </w:rPr>
        <w:t>Brown v. Superior Court</w:t>
      </w:r>
      <w:r w:rsidRPr="00522C5B">
        <w:rPr>
          <w:rFonts w:cs="Times New Roman"/>
          <w:spacing w:val="-1"/>
          <w:szCs w:val="26"/>
        </w:rPr>
        <w:t xml:space="preserve"> (1975) 15 Cal.3d 52, 55; </w:t>
      </w:r>
      <w:r w:rsidRPr="00522C5B">
        <w:rPr>
          <w:rFonts w:cs="Times New Roman"/>
          <w:i/>
          <w:spacing w:val="-1"/>
          <w:szCs w:val="26"/>
        </w:rPr>
        <w:t>Boyd v. Pendegast</w:t>
      </w:r>
      <w:r w:rsidRPr="00522C5B">
        <w:rPr>
          <w:rFonts w:cs="Times New Roman"/>
          <w:spacing w:val="-1"/>
          <w:szCs w:val="26"/>
        </w:rPr>
        <w:t xml:space="preserve"> (1922) 57 Cal.App. 504, 507 [“Appointments to hold during the pleasure of the appointing power may be terminated at any time and without notice; appointments to continue ‘during good behavior,’ or for a fixed term of years, cannot be terminated except for cause”]).  Consistent with such a limitation, the parties have stipulated only that the Secretary may remove a commissioner “if necessary.”  Nevertheless, even a qualified power of removal provides another means of oversight by the Secretary, who is herself appointed by and holds office at the pleasure of the Governor.  (Food &amp; Agr. Code, § 102.)</w:t>
      </w:r>
    </w:p>
    <w:p w:rsidR="003A6116" w:rsidP="003A6116">
      <w:pPr>
        <w:pStyle w:val="ListParagraph"/>
        <w:spacing w:line="480" w:lineRule="exact"/>
        <w:ind w:left="0" w:firstLine="720"/>
        <w:rPr>
          <w:rFonts w:cs="Times New Roman"/>
          <w:szCs w:val="26"/>
        </w:rPr>
      </w:pPr>
      <w:r>
        <w:t>In sum, the Commission was created by statute and given a specific mission to, among other things, promote in a generic fashion a particular agricultural product.  In order for the promotional material of a body like the Commission to be considered government speech under an “ ‘effectively controlled’ ” theory (</w:t>
      </w:r>
      <w:r w:rsidRPr="003E21AE">
        <w:rPr>
          <w:i/>
        </w:rPr>
        <w:t>Johanns</w:t>
      </w:r>
      <w:r>
        <w:t xml:space="preserve">, </w:t>
      </w:r>
      <w:r w:rsidRPr="003E21AE">
        <w:rPr>
          <w:i/>
        </w:rPr>
        <w:t>supra</w:t>
      </w:r>
      <w:r>
        <w:t xml:space="preserve">, 544 U.S. at p. 560), the government must have the authority to exercise continued control over the message sufficient to ensure that the message stays within the bounds of the relevant statutory mandate.  The foregoing review of the totality of the relevant circumstances reveals such authority, and the resulting governmental accountability for the Commission’s messaging.  Moreover, nothing in the record suggests that the Commission has departed from its mission.  </w:t>
      </w:r>
      <w:r>
        <w:rPr>
          <w:rFonts w:cs="Times New Roman"/>
          <w:szCs w:val="26"/>
        </w:rPr>
        <w:t xml:space="preserve">In reaching the determination that the government effectively controlled the Commission’s speech, we do not suggest that the specific indicia of government responsibility and control that appear here are essential to a finding of government speech in any compelled-subsidy case brought under article I, section 2.  We simply conclude that, even acknowledging that the Commission is constituted primarily of market participants and that the Ketchum Act grants the Commission some latitude in articulating the viewpoint prescribed by law, the facts and law relevant to this case amply establish that the speech plaintiffs challenge is government speech.   </w:t>
      </w:r>
    </w:p>
    <w:p w:rsidR="004059BD" w:rsidP="0023729F">
      <w:pPr>
        <w:pStyle w:val="ListParagraph"/>
        <w:spacing w:line="480" w:lineRule="exact"/>
        <w:ind w:left="0" w:firstLine="720"/>
        <w:rPr>
          <w:rFonts w:cs="Times New Roman"/>
          <w:szCs w:val="26"/>
        </w:rPr>
      </w:pPr>
      <w:r>
        <w:rPr>
          <w:rFonts w:cs="Times New Roman"/>
          <w:szCs w:val="26"/>
        </w:rPr>
        <w:t xml:space="preserve">Plaintiffs identify perceived deficiencies in the statutory scheme and its implementation that, in their view, prevent us from characterizing the subsidized communications as government speech.  First, plaintiffs read the discussion of government speech in </w:t>
      </w:r>
      <w:r w:rsidRPr="004E4D3D">
        <w:rPr>
          <w:rFonts w:cs="Times New Roman"/>
          <w:i/>
          <w:szCs w:val="26"/>
        </w:rPr>
        <w:t>Gerawan</w:t>
      </w:r>
      <w:r>
        <w:rPr>
          <w:rFonts w:cs="Times New Roman"/>
          <w:i/>
          <w:szCs w:val="26"/>
        </w:rPr>
        <w:t> </w:t>
      </w:r>
      <w:r w:rsidRPr="004E4D3D">
        <w:rPr>
          <w:rFonts w:cs="Times New Roman"/>
          <w:i/>
          <w:szCs w:val="26"/>
        </w:rPr>
        <w:t>II</w:t>
      </w:r>
      <w:r w:rsidRPr="004E4D3D">
        <w:rPr>
          <w:rFonts w:cs="Times New Roman"/>
          <w:szCs w:val="26"/>
        </w:rPr>
        <w:t>,</w:t>
      </w:r>
      <w:r>
        <w:rPr>
          <w:rFonts w:cs="Times New Roman"/>
          <w:szCs w:val="26"/>
        </w:rPr>
        <w:t xml:space="preserve"> </w:t>
      </w:r>
      <w:r w:rsidRPr="004E4D3D">
        <w:rPr>
          <w:rFonts w:cs="Times New Roman"/>
          <w:i/>
          <w:szCs w:val="26"/>
        </w:rPr>
        <w:t>supra</w:t>
      </w:r>
      <w:r>
        <w:rPr>
          <w:rFonts w:cs="Times New Roman"/>
          <w:szCs w:val="26"/>
        </w:rPr>
        <w:t>, 33 Cal.4</w:t>
      </w:r>
      <w:r w:rsidRPr="004E4D3D">
        <w:rPr>
          <w:rFonts w:cs="Times New Roman"/>
          <w:szCs w:val="26"/>
        </w:rPr>
        <w:t xml:space="preserve">th </w:t>
      </w:r>
      <w:r>
        <w:rPr>
          <w:rFonts w:cs="Times New Roman"/>
          <w:szCs w:val="26"/>
        </w:rPr>
        <w:t xml:space="preserve">at pages 27-28, as committing this court to the position that the Secretary or her staff must review Commission-approved advertisements in order for these materials to constitute government speech.  Such review, plaintiffs stress, did not occur here.  </w:t>
      </w:r>
    </w:p>
    <w:p w:rsidR="00265736" w:rsidRPr="0023729F" w:rsidP="003E21AE">
      <w:pPr>
        <w:pStyle w:val="ListParagraph"/>
        <w:spacing w:line="480" w:lineRule="exact"/>
        <w:ind w:left="0" w:firstLine="720"/>
        <w:rPr>
          <w:rFonts w:cs="Times New Roman"/>
          <w:szCs w:val="26"/>
        </w:rPr>
      </w:pPr>
      <w:r>
        <w:rPr>
          <w:rFonts w:cs="Times New Roman"/>
          <w:szCs w:val="26"/>
        </w:rPr>
        <w:t xml:space="preserve">Plaintiffs’ position rests on a misreading of </w:t>
      </w:r>
      <w:r>
        <w:rPr>
          <w:rFonts w:cs="Times New Roman"/>
          <w:i/>
          <w:szCs w:val="26"/>
        </w:rPr>
        <w:t>Gerawan </w:t>
      </w:r>
      <w:r w:rsidRPr="00265736">
        <w:rPr>
          <w:rFonts w:cs="Times New Roman"/>
          <w:i/>
          <w:szCs w:val="26"/>
        </w:rPr>
        <w:t>II</w:t>
      </w:r>
      <w:r>
        <w:rPr>
          <w:rFonts w:cs="Times New Roman"/>
          <w:szCs w:val="26"/>
        </w:rPr>
        <w:t xml:space="preserve">.  </w:t>
      </w:r>
      <w:r w:rsidRPr="00270FA8">
        <w:rPr>
          <w:rFonts w:cs="Times New Roman"/>
          <w:szCs w:val="26"/>
        </w:rPr>
        <w:t>That decision</w:t>
      </w:r>
      <w:r>
        <w:rPr>
          <w:rFonts w:cs="Times New Roman"/>
          <w:szCs w:val="26"/>
        </w:rPr>
        <w:t xml:space="preserve"> described conditions that might provide an adequate </w:t>
      </w:r>
      <w:r w:rsidRPr="0023729F">
        <w:rPr>
          <w:rFonts w:cs="Times New Roman"/>
          <w:szCs w:val="26"/>
        </w:rPr>
        <w:t>basis</w:t>
      </w:r>
      <w:r>
        <w:rPr>
          <w:rFonts w:cs="Times New Roman"/>
          <w:szCs w:val="26"/>
        </w:rPr>
        <w:t xml:space="preserve"> for concluding that advertising produced under a CMA marketing order constituted government speech.  (</w:t>
      </w:r>
      <w:r w:rsidRPr="00845759">
        <w:rPr>
          <w:rFonts w:cs="Times New Roman"/>
          <w:i/>
          <w:szCs w:val="26"/>
        </w:rPr>
        <w:t>Gerawan II</w:t>
      </w:r>
      <w:r>
        <w:rPr>
          <w:rFonts w:cs="Times New Roman"/>
          <w:szCs w:val="26"/>
        </w:rPr>
        <w:t xml:space="preserve">, </w:t>
      </w:r>
      <w:r w:rsidRPr="00845759">
        <w:rPr>
          <w:rFonts w:cs="Times New Roman"/>
          <w:i/>
          <w:szCs w:val="26"/>
        </w:rPr>
        <w:t>supra</w:t>
      </w:r>
      <w:r>
        <w:rPr>
          <w:rFonts w:cs="Times New Roman"/>
          <w:szCs w:val="26"/>
        </w:rPr>
        <w:t xml:space="preserve">, </w:t>
      </w:r>
      <w:r w:rsidRPr="00270FA8">
        <w:rPr>
          <w:rFonts w:cs="Times New Roman"/>
          <w:szCs w:val="26"/>
        </w:rPr>
        <w:t>33 Cal.4th</w:t>
      </w:r>
      <w:r>
        <w:rPr>
          <w:rFonts w:cs="Times New Roman"/>
          <w:szCs w:val="26"/>
        </w:rPr>
        <w:t xml:space="preserve"> at pp. 27-28.)  But these conditions were not presented as, nor can they be fairly regarded as, invariably </w:t>
      </w:r>
      <w:r w:rsidRPr="009266C4">
        <w:t>necessary</w:t>
      </w:r>
      <w:r>
        <w:rPr>
          <w:rFonts w:cs="Times New Roman"/>
          <w:szCs w:val="26"/>
        </w:rPr>
        <w:t xml:space="preserve"> elements for the recognition of government speech.</w:t>
      </w:r>
      <w:r>
        <w:rPr>
          <w:rStyle w:val="FootnoteReference"/>
          <w:rFonts w:cs="Times New Roman"/>
          <w:b/>
          <w:szCs w:val="26"/>
        </w:rPr>
        <w:footnoteReference w:id="25"/>
      </w:r>
      <w:r>
        <w:rPr>
          <w:rFonts w:cs="Times New Roman"/>
          <w:szCs w:val="26"/>
        </w:rPr>
        <w:t xml:space="preserve">  Instead, the significance of these and other factors within a particular dispute over subsidized speech lies in their relationship to foundational issues of governmental control and accountability.  Put another way, although participation by an executive officer or their staff in the development of promotional messaging can be relevant to the recognition of government speech, the absence of such engagement is not necessarily determinative of this issue.  (See </w:t>
      </w:r>
      <w:r w:rsidRPr="00B344A9">
        <w:rPr>
          <w:rFonts w:cs="Times New Roman"/>
          <w:i/>
          <w:szCs w:val="26"/>
        </w:rPr>
        <w:t>Paramount Land</w:t>
      </w:r>
      <w:r>
        <w:rPr>
          <w:rFonts w:cs="Times New Roman"/>
          <w:szCs w:val="26"/>
        </w:rPr>
        <w:t xml:space="preserve">, </w:t>
      </w:r>
      <w:r w:rsidRPr="00B344A9">
        <w:rPr>
          <w:rFonts w:cs="Times New Roman"/>
          <w:i/>
          <w:szCs w:val="26"/>
        </w:rPr>
        <w:t>supra</w:t>
      </w:r>
      <w:r>
        <w:rPr>
          <w:rFonts w:cs="Times New Roman"/>
          <w:szCs w:val="26"/>
        </w:rPr>
        <w:t>, 491 F.3d at p. 1011.)  Where, as here, the circumstances surrounding the development and dissemination of subsidized speech adequately establish government responsibility for and control over the messaging involved, a statutory scheme’s failure to add a prophylactic layer of review by an executive officer is of no constitutional consequence.  Even without line-by-line perusal by the CDFA, sufficient safeguards exist here for the promotional speech subsidized under the Act to be regarded as government speech.  If the public, including an aggrieved grower, seeks to correct an errant articulation of the Ketchum Act’s message, or replace the persons responsible for this message, avenues exist to accomplish these goals.</w:t>
      </w:r>
    </w:p>
    <w:p w:rsidR="008041FE" w:rsidRPr="007069CA" w:rsidP="007069CA">
      <w:pPr>
        <w:pStyle w:val="ListParagraph"/>
        <w:spacing w:line="480" w:lineRule="exact"/>
        <w:ind w:left="0" w:firstLine="720"/>
        <w:rPr>
          <w:rFonts w:cs="Times New Roman"/>
          <w:i/>
          <w:szCs w:val="26"/>
        </w:rPr>
      </w:pPr>
      <w:r>
        <w:rPr>
          <w:rFonts w:cs="Times New Roman"/>
          <w:szCs w:val="26"/>
        </w:rPr>
        <w:t xml:space="preserve">Plaintiffs advance a similarly flawed interpretation of </w:t>
      </w:r>
      <w:r w:rsidRPr="001A4B5A">
        <w:rPr>
          <w:rFonts w:cs="Times New Roman"/>
          <w:i/>
          <w:szCs w:val="26"/>
        </w:rPr>
        <w:t>Johanns</w:t>
      </w:r>
      <w:r>
        <w:rPr>
          <w:rFonts w:cs="Times New Roman"/>
          <w:szCs w:val="26"/>
        </w:rPr>
        <w:t xml:space="preserve">, </w:t>
      </w:r>
      <w:r w:rsidRPr="006D03C3">
        <w:rPr>
          <w:rFonts w:cs="Times New Roman"/>
          <w:i/>
          <w:szCs w:val="26"/>
        </w:rPr>
        <w:t>supra</w:t>
      </w:r>
      <w:r>
        <w:rPr>
          <w:rFonts w:cs="Times New Roman"/>
          <w:szCs w:val="26"/>
        </w:rPr>
        <w:t>, 544 U.S. 550.  There, the facts pertinent to a finding of government speech included the Secretary of Agriculture’s review and approval of “every word” of the promotional materials at issue.  (</w:t>
      </w:r>
      <w:r w:rsidRPr="007C5F6E">
        <w:rPr>
          <w:rFonts w:cs="Times New Roman"/>
          <w:i/>
          <w:szCs w:val="26"/>
        </w:rPr>
        <w:t>Id</w:t>
      </w:r>
      <w:r>
        <w:rPr>
          <w:rFonts w:cs="Times New Roman"/>
          <w:szCs w:val="26"/>
        </w:rPr>
        <w:t xml:space="preserve">., at p. 561.)  But </w:t>
      </w:r>
      <w:r w:rsidRPr="009333EF">
        <w:rPr>
          <w:rFonts w:cs="Times New Roman"/>
          <w:i/>
          <w:szCs w:val="26"/>
        </w:rPr>
        <w:t>Johanns</w:t>
      </w:r>
      <w:r>
        <w:rPr>
          <w:rFonts w:cs="Times New Roman"/>
          <w:szCs w:val="26"/>
        </w:rPr>
        <w:t xml:space="preserve"> did not cast review and approval by an appointed executive officer or his or her staff as an absolute prerequisite for communications to represent government speech, regardless of other pertinent circumstances.  (See </w:t>
      </w:r>
      <w:r w:rsidRPr="00493D77">
        <w:rPr>
          <w:rFonts w:cs="Times New Roman"/>
          <w:i/>
          <w:szCs w:val="26"/>
        </w:rPr>
        <w:t>Paramount Land</w:t>
      </w:r>
      <w:r>
        <w:rPr>
          <w:rFonts w:cs="Times New Roman"/>
          <w:szCs w:val="26"/>
        </w:rPr>
        <w:t xml:space="preserve">, </w:t>
      </w:r>
      <w:r w:rsidRPr="00493D77">
        <w:rPr>
          <w:rFonts w:cs="Times New Roman"/>
          <w:i/>
          <w:szCs w:val="26"/>
        </w:rPr>
        <w:t>supra</w:t>
      </w:r>
      <w:r>
        <w:rPr>
          <w:rFonts w:cs="Times New Roman"/>
          <w:szCs w:val="26"/>
        </w:rPr>
        <w:t>, 491 F.3d at p. 1011 [“</w:t>
      </w:r>
      <w:r w:rsidRPr="00493D77">
        <w:rPr>
          <w:rFonts w:cs="Times New Roman"/>
          <w:i/>
          <w:szCs w:val="26"/>
        </w:rPr>
        <w:t>Johanns</w:t>
      </w:r>
      <w:r>
        <w:rPr>
          <w:rFonts w:cs="Times New Roman"/>
          <w:szCs w:val="26"/>
        </w:rPr>
        <w:t xml:space="preserve"> did not set a floor or define minimum requirements” for application of the government speech doctrine].)  Quite the opposite is true: the </w:t>
      </w:r>
      <w:r w:rsidRPr="00D52B74">
        <w:rPr>
          <w:rFonts w:cs="Times New Roman"/>
          <w:i/>
          <w:szCs w:val="26"/>
        </w:rPr>
        <w:t>Johanns</w:t>
      </w:r>
      <w:r>
        <w:rPr>
          <w:rFonts w:cs="Times New Roman"/>
          <w:szCs w:val="26"/>
        </w:rPr>
        <w:t xml:space="preserve"> court regarded the political safeguards involved with the Beef Act as “more than adequate” to distinguish the challenged advertisements from private speech.  (</w:t>
      </w:r>
      <w:r w:rsidRPr="00493D77">
        <w:rPr>
          <w:rFonts w:cs="Times New Roman"/>
          <w:i/>
          <w:szCs w:val="26"/>
        </w:rPr>
        <w:t>Johanns</w:t>
      </w:r>
      <w:r>
        <w:rPr>
          <w:rFonts w:cs="Times New Roman"/>
          <w:szCs w:val="26"/>
        </w:rPr>
        <w:t xml:space="preserve">, at p. 563.)  </w:t>
      </w:r>
      <w:r>
        <w:t xml:space="preserve">Likewise here, our review of the totality of the relevant circumstances establishes that the government has sufficient responsibility for and control over the Commission’s messaging for these communications to represent government speech, even without direct participation by CDFA staff in the development of particular articulations of the statutory message.   </w:t>
      </w:r>
    </w:p>
    <w:p w:rsidR="00D55CEE" w:rsidP="00D55CEE">
      <w:pPr>
        <w:pStyle w:val="ListParagraph"/>
        <w:spacing w:line="480" w:lineRule="exact"/>
        <w:ind w:left="0" w:firstLine="720"/>
        <w:rPr>
          <w:rFonts w:cs="Times New Roman"/>
          <w:szCs w:val="26"/>
        </w:rPr>
      </w:pPr>
      <w:r>
        <w:rPr>
          <w:rFonts w:cs="Times New Roman"/>
          <w:szCs w:val="26"/>
        </w:rPr>
        <w:t xml:space="preserve">Plaintiffs also ask this court to read into article I, section 2 a requirement that, to qualify as government speech, subsidized communications must on their face be specifically and explicitly attributed to the government.  Plaintiffs claim that such disclosures, as urged by Justice Souter in his dissent in </w:t>
      </w:r>
      <w:r w:rsidRPr="00491FE1">
        <w:rPr>
          <w:rFonts w:cs="Times New Roman"/>
          <w:i/>
          <w:szCs w:val="26"/>
        </w:rPr>
        <w:t>Johanns</w:t>
      </w:r>
      <w:r>
        <w:rPr>
          <w:rFonts w:cs="Times New Roman"/>
          <w:szCs w:val="26"/>
        </w:rPr>
        <w:t xml:space="preserve">, </w:t>
      </w:r>
      <w:r w:rsidRPr="00491FE1">
        <w:rPr>
          <w:rFonts w:cs="Times New Roman"/>
          <w:i/>
          <w:szCs w:val="26"/>
        </w:rPr>
        <w:t>supra</w:t>
      </w:r>
      <w:r>
        <w:rPr>
          <w:rFonts w:cs="Times New Roman"/>
          <w:szCs w:val="26"/>
        </w:rPr>
        <w:t xml:space="preserve">, 544 U.S. 550, are necessary to ensure that reasonable observers will appreciate that the communications come from the state and can hold the government accountable for this messaging.  Here, plaintiffs assert, the failure of the Commission’s advertising to affirmatively disclose the state as the speaker forecloses the prospect that these communications represent government speech.  But the court in </w:t>
      </w:r>
      <w:r w:rsidRPr="00FD4195">
        <w:rPr>
          <w:rFonts w:cs="Times New Roman"/>
          <w:i/>
          <w:szCs w:val="26"/>
        </w:rPr>
        <w:t>Johanns</w:t>
      </w:r>
      <w:r>
        <w:rPr>
          <w:rFonts w:cs="Times New Roman"/>
          <w:szCs w:val="26"/>
        </w:rPr>
        <w:t xml:space="preserve"> rejected a categorical attribution requirement as unnecessary (</w:t>
      </w:r>
      <w:r w:rsidRPr="003B0021">
        <w:rPr>
          <w:rFonts w:cs="Times New Roman"/>
          <w:i/>
          <w:szCs w:val="26"/>
        </w:rPr>
        <w:t>id</w:t>
      </w:r>
      <w:r>
        <w:rPr>
          <w:rFonts w:cs="Times New Roman"/>
          <w:szCs w:val="26"/>
        </w:rPr>
        <w:t xml:space="preserve">., at p. 564, fn. 7), and plaintiffs provide no persuasive reason to adopt a different rule under article I, section 2.  We agree that, when present, the fact that advertising or other communications are explicitly credited to the government may be relevant to a finding of government speech.  Yet, as detailed </w:t>
      </w:r>
      <w:r w:rsidRPr="002231C0">
        <w:rPr>
          <w:rFonts w:cs="Times New Roman"/>
          <w:i/>
          <w:szCs w:val="26"/>
        </w:rPr>
        <w:t>ante</w:t>
      </w:r>
      <w:r>
        <w:rPr>
          <w:rFonts w:cs="Times New Roman"/>
          <w:szCs w:val="26"/>
        </w:rPr>
        <w:t xml:space="preserve">, the totality of the circumstances pertinent to the generation of speech under the Ketchum Act incorporates sufficient mechanisms to ensure governmental accountability for this messaging, even without such ascription.  (See </w:t>
      </w:r>
      <w:r w:rsidRPr="00C70306">
        <w:rPr>
          <w:rFonts w:cs="Times New Roman"/>
          <w:i/>
          <w:szCs w:val="26"/>
        </w:rPr>
        <w:t>Gallo Cattle</w:t>
      </w:r>
      <w:r>
        <w:rPr>
          <w:rFonts w:cs="Times New Roman"/>
          <w:szCs w:val="26"/>
        </w:rPr>
        <w:t xml:space="preserve">, </w:t>
      </w:r>
      <w:r w:rsidRPr="00C70306">
        <w:rPr>
          <w:rFonts w:cs="Times New Roman"/>
          <w:i/>
          <w:szCs w:val="26"/>
        </w:rPr>
        <w:t>supra</w:t>
      </w:r>
      <w:r>
        <w:rPr>
          <w:rFonts w:cs="Times New Roman"/>
          <w:szCs w:val="26"/>
        </w:rPr>
        <w:t>, 159 Cal.App.4</w:t>
      </w:r>
      <w:r w:rsidRPr="000540F6">
        <w:rPr>
          <w:rFonts w:cs="Times New Roman"/>
          <w:szCs w:val="26"/>
        </w:rPr>
        <w:t>th</w:t>
      </w:r>
      <w:r>
        <w:rPr>
          <w:rFonts w:cs="Times New Roman"/>
          <w:szCs w:val="26"/>
        </w:rPr>
        <w:t xml:space="preserve"> at p. 963 [questioning the marginal utility of an express disclosure requirement].)    </w:t>
      </w:r>
    </w:p>
    <w:p w:rsidR="003568CD" w:rsidRPr="000D72A4" w:rsidP="000D72A4">
      <w:pPr>
        <w:pStyle w:val="ListParagraph"/>
        <w:spacing w:line="480" w:lineRule="exact"/>
        <w:ind w:left="0" w:firstLine="720"/>
        <w:rPr>
          <w:rFonts w:cs="Times New Roman"/>
          <w:szCs w:val="26"/>
        </w:rPr>
      </w:pPr>
      <w:r>
        <w:rPr>
          <w:rFonts w:cs="Times New Roman"/>
          <w:szCs w:val="26"/>
        </w:rPr>
        <w:t xml:space="preserve">In short, the generation of speech under the Ketchum Act is attended by sufficient indicia of government responsibility and control for these communications to properly be regarded as government speech.  </w:t>
      </w:r>
    </w:p>
    <w:p w:rsidR="00FC6EF2" w:rsidRPr="007E6B8B" w:rsidP="003D51C6">
      <w:pPr>
        <w:pStyle w:val="ListParagraph"/>
        <w:keepNext/>
        <w:spacing w:line="480" w:lineRule="exact"/>
        <w:ind w:left="1080" w:hanging="360"/>
        <w:rPr>
          <w:rFonts w:cs="Times New Roman"/>
          <w:b/>
          <w:szCs w:val="26"/>
        </w:rPr>
      </w:pPr>
      <w:r w:rsidRPr="007E6B8B">
        <w:rPr>
          <w:rFonts w:cs="Times New Roman"/>
          <w:b/>
          <w:szCs w:val="26"/>
        </w:rPr>
        <w:t xml:space="preserve">F. </w:t>
      </w:r>
      <w:r w:rsidRPr="007E6B8B">
        <w:rPr>
          <w:rFonts w:cs="Times New Roman"/>
          <w:b/>
          <w:szCs w:val="26"/>
        </w:rPr>
        <w:tab/>
      </w:r>
      <w:r>
        <w:rPr>
          <w:rFonts w:cs="Times New Roman"/>
          <w:b/>
          <w:szCs w:val="26"/>
        </w:rPr>
        <w:t>Consequences of Classification as Government Speech</w:t>
      </w:r>
    </w:p>
    <w:p w:rsidR="00AA63A4" w:rsidP="00AC18A0">
      <w:pPr>
        <w:pStyle w:val="ListParagraph"/>
        <w:spacing w:line="480" w:lineRule="exact"/>
        <w:ind w:left="0" w:firstLine="720"/>
        <w:rPr>
          <w:rFonts w:cs="Times New Roman"/>
          <w:szCs w:val="26"/>
        </w:rPr>
      </w:pPr>
      <w:r>
        <w:rPr>
          <w:rFonts w:cs="Times New Roman"/>
          <w:szCs w:val="26"/>
        </w:rPr>
        <w:t xml:space="preserve">Having determined that promotional messaging under the Ketchum Act represents government speech, it remains to consider the consequences of this designation.  </w:t>
      </w:r>
    </w:p>
    <w:p w:rsidR="00477DDA" w:rsidP="00D53CA8">
      <w:pPr>
        <w:pStyle w:val="ListParagraph"/>
        <w:spacing w:line="480" w:lineRule="exact"/>
        <w:ind w:left="0" w:firstLine="720"/>
        <w:rPr>
          <w:rFonts w:cs="Times New Roman"/>
          <w:szCs w:val="26"/>
        </w:rPr>
      </w:pPr>
      <w:r>
        <w:rPr>
          <w:rFonts w:cs="Times New Roman"/>
          <w:szCs w:val="26"/>
        </w:rPr>
        <w:t xml:space="preserve">The court in </w:t>
      </w:r>
      <w:r w:rsidRPr="007E6B8B">
        <w:rPr>
          <w:rFonts w:cs="Times New Roman"/>
          <w:i/>
          <w:szCs w:val="26"/>
        </w:rPr>
        <w:t>Johanns</w:t>
      </w:r>
      <w:r>
        <w:rPr>
          <w:rFonts w:cs="Times New Roman"/>
          <w:szCs w:val="26"/>
        </w:rPr>
        <w:t xml:space="preserve">, </w:t>
      </w:r>
      <w:r w:rsidRPr="007E6B8B">
        <w:rPr>
          <w:rFonts w:cs="Times New Roman"/>
          <w:i/>
          <w:szCs w:val="26"/>
        </w:rPr>
        <w:t>supra</w:t>
      </w:r>
      <w:r>
        <w:rPr>
          <w:rFonts w:cs="Times New Roman"/>
          <w:szCs w:val="26"/>
        </w:rPr>
        <w:t>, 544 U.S. 550, described government speech as “exempt” from scrutiny under the First Amendment.  (</w:t>
      </w:r>
      <w:r w:rsidRPr="007E6B8B">
        <w:rPr>
          <w:rFonts w:cs="Times New Roman"/>
          <w:i/>
          <w:szCs w:val="26"/>
        </w:rPr>
        <w:t>Johanns</w:t>
      </w:r>
      <w:r>
        <w:rPr>
          <w:rFonts w:cs="Times New Roman"/>
          <w:szCs w:val="26"/>
        </w:rPr>
        <w:t xml:space="preserve">, at p. 553.)  Consistent with this view, and given the absence of a viable compelled-speech claim in that case, the </w:t>
      </w:r>
      <w:r w:rsidRPr="00477DDA">
        <w:rPr>
          <w:rFonts w:cs="Times New Roman"/>
          <w:i/>
          <w:szCs w:val="26"/>
        </w:rPr>
        <w:t>Johanns</w:t>
      </w:r>
      <w:r>
        <w:rPr>
          <w:rFonts w:cs="Times New Roman"/>
          <w:szCs w:val="26"/>
        </w:rPr>
        <w:t xml:space="preserve"> court regarded its conclusion that the Beef Act subsidized only government speech as dispositive of the First Amendment claim before it.   </w:t>
      </w:r>
    </w:p>
    <w:p w:rsidR="000F4E04" w:rsidP="00D53CA8">
      <w:pPr>
        <w:pStyle w:val="ListParagraph"/>
        <w:spacing w:line="480" w:lineRule="exact"/>
        <w:ind w:left="0" w:firstLine="720"/>
        <w:rPr>
          <w:rFonts w:cs="Times New Roman"/>
          <w:szCs w:val="26"/>
        </w:rPr>
      </w:pPr>
      <w:r>
        <w:rPr>
          <w:rFonts w:cs="Times New Roman"/>
          <w:szCs w:val="26"/>
        </w:rPr>
        <w:t xml:space="preserve">We conclude that a similar result holds under article I, section 2.  By itself, a state directive to pay taxes or fees to fund only </w:t>
      </w:r>
      <w:r w:rsidRPr="00AF5449">
        <w:rPr>
          <w:rFonts w:cs="Times New Roman"/>
          <w:szCs w:val="26"/>
        </w:rPr>
        <w:t>government</w:t>
      </w:r>
      <w:r>
        <w:rPr>
          <w:rFonts w:cs="Times New Roman"/>
          <w:szCs w:val="26"/>
        </w:rPr>
        <w:t xml:space="preserve"> speech does not implicate, let alone infringe upon, protected free speech rights.  As the court in </w:t>
      </w:r>
      <w:r w:rsidRPr="00AA647F">
        <w:rPr>
          <w:rFonts w:cs="Times New Roman"/>
          <w:i/>
          <w:szCs w:val="26"/>
        </w:rPr>
        <w:t>Johanns</w:t>
      </w:r>
      <w:r>
        <w:rPr>
          <w:rFonts w:cs="Times New Roman"/>
          <w:szCs w:val="26"/>
        </w:rPr>
        <w:t xml:space="preserve">, </w:t>
      </w:r>
      <w:r w:rsidRPr="00AA647F">
        <w:rPr>
          <w:rFonts w:cs="Times New Roman"/>
          <w:i/>
          <w:szCs w:val="26"/>
        </w:rPr>
        <w:t>supra</w:t>
      </w:r>
      <w:r>
        <w:rPr>
          <w:rFonts w:cs="Times New Roman"/>
          <w:szCs w:val="26"/>
        </w:rPr>
        <w:t>, 544 U.S. 550, observed, “ </w:t>
      </w:r>
      <w:r w:rsidRPr="00152580">
        <w:rPr>
          <w:rFonts w:cs="Times New Roman"/>
          <w:szCs w:val="26"/>
        </w:rPr>
        <w:t xml:space="preserve">‘Compelled support of government’ </w:t>
      </w:r>
      <w:r>
        <w:rPr>
          <w:rFonts w:cs="Times New Roman"/>
          <w:szCs w:val="26"/>
        </w:rPr>
        <w:t>—</w:t>
      </w:r>
      <w:r w:rsidRPr="00152580">
        <w:rPr>
          <w:rFonts w:cs="Times New Roman"/>
          <w:szCs w:val="26"/>
        </w:rPr>
        <w:t xml:space="preserve"> even those programs of government one does not approve </w:t>
      </w:r>
      <w:r>
        <w:rPr>
          <w:rFonts w:cs="Times New Roman"/>
          <w:szCs w:val="26"/>
        </w:rPr>
        <w:t>—</w:t>
      </w:r>
      <w:r w:rsidRPr="00152580">
        <w:rPr>
          <w:rFonts w:cs="Times New Roman"/>
          <w:szCs w:val="26"/>
        </w:rPr>
        <w:t xml:space="preserve"> is of course perfectly constitutional, as every taxpayer must attest</w:t>
      </w:r>
      <w:r>
        <w:rPr>
          <w:rFonts w:cs="Times New Roman"/>
          <w:szCs w:val="26"/>
        </w:rPr>
        <w:t>” (</w:t>
      </w:r>
      <w:r w:rsidRPr="002374EF">
        <w:rPr>
          <w:rFonts w:cs="Times New Roman"/>
          <w:i/>
          <w:szCs w:val="26"/>
        </w:rPr>
        <w:t>id</w:t>
      </w:r>
      <w:r>
        <w:rPr>
          <w:rFonts w:cs="Times New Roman"/>
          <w:szCs w:val="26"/>
        </w:rPr>
        <w:t>., at p. 559), meaning that subsidized government speech is “not susceptible to First Amendment challenge” on the bare ground that the subsidy requirement, by itself, violates the plaintiff’s right to free speech (</w:t>
      </w:r>
      <w:r w:rsidRPr="002374EF">
        <w:rPr>
          <w:rFonts w:cs="Times New Roman"/>
          <w:i/>
          <w:szCs w:val="26"/>
        </w:rPr>
        <w:t>id</w:t>
      </w:r>
      <w:r>
        <w:rPr>
          <w:rFonts w:cs="Times New Roman"/>
          <w:szCs w:val="26"/>
        </w:rPr>
        <w:t xml:space="preserve">., at p. 560).  </w:t>
      </w:r>
    </w:p>
    <w:p w:rsidR="000F4E04" w:rsidP="000F4E04">
      <w:pPr>
        <w:pStyle w:val="ListParagraph"/>
        <w:spacing w:line="480" w:lineRule="exact"/>
        <w:ind w:left="0" w:firstLine="720"/>
        <w:rPr>
          <w:rFonts w:cs="Times New Roman"/>
          <w:szCs w:val="26"/>
        </w:rPr>
      </w:pPr>
      <w:r>
        <w:rPr>
          <w:rFonts w:cs="Times New Roman"/>
          <w:szCs w:val="26"/>
        </w:rPr>
        <w:t xml:space="preserve">Of course, a determination that state action generates only government speech does not, by itself, necessarily address </w:t>
      </w:r>
      <w:r w:rsidRPr="00CC158F">
        <w:rPr>
          <w:rFonts w:cs="Times New Roman"/>
          <w:szCs w:val="26"/>
        </w:rPr>
        <w:t>all</w:t>
      </w:r>
      <w:r>
        <w:rPr>
          <w:rFonts w:cs="Times New Roman"/>
          <w:szCs w:val="26"/>
        </w:rPr>
        <w:t xml:space="preserve"> of its possible constitutional implications.  If the Ketchum Act’s compelled-subsidy provisions did more than merely direct plaintiffs to fund government speech, additional analysis might be required under article I, section 2.  </w:t>
      </w:r>
      <w:r w:rsidRPr="00152580">
        <w:rPr>
          <w:rFonts w:cs="Times New Roman"/>
          <w:szCs w:val="26"/>
        </w:rPr>
        <w:t>(</w:t>
      </w:r>
      <w:r w:rsidRPr="00AF5449">
        <w:rPr>
          <w:rFonts w:cs="Times New Roman"/>
          <w:szCs w:val="26"/>
        </w:rPr>
        <w:t>Accord,</w:t>
      </w:r>
      <w:r>
        <w:rPr>
          <w:rFonts w:cs="Times New Roman"/>
          <w:i/>
          <w:szCs w:val="26"/>
        </w:rPr>
        <w:t xml:space="preserve"> Johanns</w:t>
      </w:r>
      <w:r>
        <w:rPr>
          <w:rFonts w:cs="Times New Roman"/>
          <w:szCs w:val="26"/>
        </w:rPr>
        <w:t xml:space="preserve">, </w:t>
      </w:r>
      <w:r w:rsidRPr="009E1617">
        <w:rPr>
          <w:rFonts w:cs="Times New Roman"/>
          <w:i/>
          <w:szCs w:val="26"/>
        </w:rPr>
        <w:t>supra</w:t>
      </w:r>
      <w:r>
        <w:rPr>
          <w:rFonts w:cs="Times New Roman"/>
          <w:szCs w:val="26"/>
        </w:rPr>
        <w:t xml:space="preserve">, 544 U.S. at </w:t>
      </w:r>
      <w:r w:rsidRPr="00152580">
        <w:rPr>
          <w:rFonts w:cs="Times New Roman"/>
          <w:szCs w:val="26"/>
        </w:rPr>
        <w:t xml:space="preserve">p. </w:t>
      </w:r>
      <w:r>
        <w:rPr>
          <w:rFonts w:cs="Times New Roman"/>
          <w:szCs w:val="26"/>
        </w:rPr>
        <w:t>564</w:t>
      </w:r>
      <w:r w:rsidRPr="00152580">
        <w:rPr>
          <w:rFonts w:cs="Times New Roman"/>
          <w:szCs w:val="26"/>
        </w:rPr>
        <w:t>, fn. 7</w:t>
      </w:r>
      <w:r>
        <w:rPr>
          <w:rFonts w:cs="Times New Roman"/>
          <w:szCs w:val="26"/>
        </w:rPr>
        <w:t xml:space="preserve">.)  But plaintiffs have not shown that the statute, as implemented, has any effect on their constitutional right to exercise free speech.  </w:t>
      </w:r>
    </w:p>
    <w:p w:rsidR="000F4E04" w:rsidP="000F4E04">
      <w:pPr>
        <w:pStyle w:val="ListParagraph"/>
        <w:spacing w:line="480" w:lineRule="exact"/>
        <w:ind w:left="0" w:firstLine="720"/>
        <w:rPr>
          <w:rFonts w:cs="Times New Roman"/>
          <w:szCs w:val="26"/>
        </w:rPr>
      </w:pPr>
      <w:r>
        <w:rPr>
          <w:rFonts w:cs="Times New Roman"/>
          <w:szCs w:val="26"/>
        </w:rPr>
        <w:t xml:space="preserve">For example, </w:t>
      </w:r>
      <w:r>
        <w:rPr>
          <w:szCs w:val="26"/>
        </w:rPr>
        <w:t>although a</w:t>
      </w:r>
      <w:r w:rsidRPr="00A64DDD">
        <w:rPr>
          <w:szCs w:val="26"/>
        </w:rPr>
        <w:t>t oral argument counsel for plaintiffs asserted that the Commission’s</w:t>
      </w:r>
      <w:r>
        <w:rPr>
          <w:szCs w:val="26"/>
        </w:rPr>
        <w:t xml:space="preserve"> promotional</w:t>
      </w:r>
      <w:r w:rsidRPr="00A64DDD">
        <w:rPr>
          <w:szCs w:val="26"/>
        </w:rPr>
        <w:t xml:space="preserve"> speech </w:t>
      </w:r>
      <w:r>
        <w:rPr>
          <w:rFonts w:cs="Times New Roman"/>
          <w:szCs w:val="26"/>
        </w:rPr>
        <w:t>effectively prevents his clients from communicating their preferred message</w:t>
      </w:r>
      <w:r>
        <w:rPr>
          <w:szCs w:val="26"/>
        </w:rPr>
        <w:t>,</w:t>
      </w:r>
      <w:r>
        <w:rPr>
          <w:rFonts w:cs="Times New Roman"/>
          <w:szCs w:val="26"/>
        </w:rPr>
        <w:t xml:space="preserve"> the record below does not reveal a triable issue of fact on this point.  (See </w:t>
      </w:r>
      <w:r w:rsidRPr="0023729F">
        <w:rPr>
          <w:rFonts w:cs="Times New Roman"/>
          <w:i/>
          <w:szCs w:val="26"/>
        </w:rPr>
        <w:t>Gallo Cattle</w:t>
      </w:r>
      <w:r>
        <w:rPr>
          <w:rFonts w:cs="Times New Roman"/>
          <w:szCs w:val="26"/>
        </w:rPr>
        <w:t xml:space="preserve">, </w:t>
      </w:r>
      <w:r w:rsidRPr="0023729F">
        <w:rPr>
          <w:rFonts w:cs="Times New Roman"/>
          <w:i/>
          <w:szCs w:val="26"/>
        </w:rPr>
        <w:t>supra</w:t>
      </w:r>
      <w:r>
        <w:rPr>
          <w:rFonts w:cs="Times New Roman"/>
          <w:szCs w:val="26"/>
        </w:rPr>
        <w:t>, 159 Cal.App.4</w:t>
      </w:r>
      <w:r w:rsidRPr="000540F6">
        <w:rPr>
          <w:rFonts w:cs="Times New Roman"/>
          <w:szCs w:val="26"/>
        </w:rPr>
        <w:t>th</w:t>
      </w:r>
      <w:r>
        <w:rPr>
          <w:rFonts w:cs="Times New Roman"/>
          <w:szCs w:val="26"/>
        </w:rPr>
        <w:t xml:space="preserve"> at p. 967; </w:t>
      </w:r>
      <w:r w:rsidRPr="0023729F">
        <w:rPr>
          <w:rFonts w:cs="Times New Roman"/>
          <w:i/>
          <w:szCs w:val="26"/>
        </w:rPr>
        <w:t>Miller</w:t>
      </w:r>
      <w:r>
        <w:rPr>
          <w:rFonts w:cs="Times New Roman"/>
          <w:szCs w:val="26"/>
        </w:rPr>
        <w:t xml:space="preserve">, </w:t>
      </w:r>
      <w:r w:rsidRPr="0023729F">
        <w:rPr>
          <w:rFonts w:cs="Times New Roman"/>
          <w:i/>
          <w:szCs w:val="26"/>
        </w:rPr>
        <w:t>supra</w:t>
      </w:r>
      <w:r>
        <w:rPr>
          <w:rFonts w:cs="Times New Roman"/>
          <w:szCs w:val="26"/>
        </w:rPr>
        <w:t xml:space="preserve">, </w:t>
      </w:r>
      <w:r w:rsidRPr="0023729F">
        <w:rPr>
          <w:rFonts w:cs="Times New Roman"/>
          <w:szCs w:val="26"/>
        </w:rPr>
        <w:t>151</w:t>
      </w:r>
      <w:r>
        <w:rPr>
          <w:rFonts w:cs="Times New Roman"/>
          <w:szCs w:val="26"/>
        </w:rPr>
        <w:t xml:space="preserve"> Cal.App.3d at p. 702.)  Similarly, the record yields no basis for a triable claim that the Ketchum Act forges such a close connection between plaintiffs and the Commission’s promotional speech that it conveys, inaccurately, their endorsement of the views expressed in these communications.  (Cf. </w:t>
      </w:r>
      <w:r>
        <w:rPr>
          <w:rFonts w:cs="Times New Roman"/>
          <w:i/>
          <w:szCs w:val="26"/>
        </w:rPr>
        <w:t>Johanns</w:t>
      </w:r>
      <w:r>
        <w:rPr>
          <w:rFonts w:cs="Times New Roman"/>
          <w:szCs w:val="26"/>
        </w:rPr>
        <w:t xml:space="preserve">, </w:t>
      </w:r>
      <w:r w:rsidRPr="009E1617">
        <w:rPr>
          <w:rFonts w:cs="Times New Roman"/>
          <w:i/>
          <w:szCs w:val="26"/>
        </w:rPr>
        <w:t>supra</w:t>
      </w:r>
      <w:r>
        <w:rPr>
          <w:rFonts w:cs="Times New Roman"/>
          <w:szCs w:val="26"/>
        </w:rPr>
        <w:t xml:space="preserve">, 544 U.S. at </w:t>
      </w:r>
      <w:r w:rsidRPr="00152580">
        <w:rPr>
          <w:rFonts w:cs="Times New Roman"/>
          <w:szCs w:val="26"/>
        </w:rPr>
        <w:t xml:space="preserve">p. </w:t>
      </w:r>
      <w:r>
        <w:rPr>
          <w:rFonts w:cs="Times New Roman"/>
          <w:szCs w:val="26"/>
        </w:rPr>
        <w:t>565</w:t>
      </w:r>
      <w:r w:rsidRPr="00152580">
        <w:rPr>
          <w:rFonts w:cs="Times New Roman"/>
          <w:szCs w:val="26"/>
        </w:rPr>
        <w:t xml:space="preserve">, fn. </w:t>
      </w:r>
      <w:r>
        <w:rPr>
          <w:rFonts w:cs="Times New Roman"/>
          <w:szCs w:val="26"/>
        </w:rPr>
        <w:t xml:space="preserve">8 [describing the character of a compelled-speech claim]; </w:t>
      </w:r>
      <w:r>
        <w:rPr>
          <w:rFonts w:cs="Times New Roman"/>
          <w:i/>
          <w:szCs w:val="26"/>
        </w:rPr>
        <w:t>Wooley</w:t>
      </w:r>
      <w:r>
        <w:rPr>
          <w:rFonts w:cs="Times New Roman"/>
          <w:szCs w:val="26"/>
        </w:rPr>
        <w:t xml:space="preserve">, </w:t>
      </w:r>
      <w:r w:rsidRPr="002102D8">
        <w:rPr>
          <w:rFonts w:cs="Times New Roman"/>
          <w:i/>
          <w:szCs w:val="26"/>
        </w:rPr>
        <w:t>supra</w:t>
      </w:r>
      <w:r>
        <w:rPr>
          <w:rFonts w:cs="Times New Roman"/>
          <w:szCs w:val="26"/>
        </w:rPr>
        <w:t xml:space="preserve">, 430 U.S. 705; </w:t>
      </w:r>
      <w:r w:rsidRPr="00297FCD">
        <w:rPr>
          <w:rFonts w:cs="Times New Roman"/>
          <w:i/>
          <w:szCs w:val="26"/>
        </w:rPr>
        <w:t>Barnett</w:t>
      </w:r>
      <w:r>
        <w:rPr>
          <w:rFonts w:cs="Times New Roman"/>
          <w:i/>
          <w:szCs w:val="26"/>
        </w:rPr>
        <w:t>e</w:t>
      </w:r>
      <w:r>
        <w:rPr>
          <w:rFonts w:cs="Times New Roman"/>
          <w:szCs w:val="26"/>
        </w:rPr>
        <w:t xml:space="preserve">, </w:t>
      </w:r>
      <w:r w:rsidRPr="00005ABE">
        <w:rPr>
          <w:rFonts w:cs="Times New Roman"/>
          <w:i/>
          <w:szCs w:val="26"/>
        </w:rPr>
        <w:t>supra</w:t>
      </w:r>
      <w:r>
        <w:rPr>
          <w:rFonts w:cs="Times New Roman"/>
          <w:szCs w:val="26"/>
        </w:rPr>
        <w:t xml:space="preserve">, </w:t>
      </w:r>
      <w:r w:rsidRPr="007A5490">
        <w:rPr>
          <w:rFonts w:cs="Times New Roman"/>
          <w:szCs w:val="26"/>
        </w:rPr>
        <w:t>319 U.S. 624</w:t>
      </w:r>
      <w:r>
        <w:rPr>
          <w:rFonts w:cs="Times New Roman"/>
          <w:szCs w:val="26"/>
        </w:rPr>
        <w:t xml:space="preserve">.)  On the contrary, the generic slogan “Grapes from California” does not convey a specific connection to plaintiffs, who are merely five of the approximately 475 producers of fresh grapes in this state.  Any argument that the Commission’s advertisements are attributable to plaintiffs, or to producers of California table grapes in general, is even weaker here than the parallel contention was in </w:t>
      </w:r>
      <w:r w:rsidRPr="006F029F">
        <w:rPr>
          <w:rFonts w:cs="Times New Roman"/>
          <w:i/>
          <w:szCs w:val="26"/>
        </w:rPr>
        <w:t>Johanns</w:t>
      </w:r>
      <w:r>
        <w:rPr>
          <w:rFonts w:cs="Times New Roman"/>
          <w:szCs w:val="26"/>
        </w:rPr>
        <w:t xml:space="preserve">, </w:t>
      </w:r>
      <w:r w:rsidRPr="000D72A4">
        <w:rPr>
          <w:rFonts w:cs="Times New Roman"/>
          <w:i/>
          <w:szCs w:val="26"/>
        </w:rPr>
        <w:t>supra</w:t>
      </w:r>
      <w:r>
        <w:rPr>
          <w:rFonts w:cs="Times New Roman"/>
          <w:szCs w:val="26"/>
        </w:rPr>
        <w:t>, 544 U.S. 550.  There, the challenged advertisements were credited to “America’s Beef Producers,” yet the court regarded this reference as not “</w:t>
      </w:r>
      <w:r w:rsidRPr="00152580">
        <w:rPr>
          <w:rFonts w:cs="Times New Roman"/>
          <w:szCs w:val="26"/>
        </w:rPr>
        <w:t>sufficiently specific to convince a reasonable factfinder that any particular beef producer, or all beef producers, would be tarred with the content of each trademarked ad.”  (</w:t>
      </w:r>
      <w:r>
        <w:rPr>
          <w:rFonts w:cs="Times New Roman"/>
          <w:i/>
          <w:szCs w:val="26"/>
        </w:rPr>
        <w:t>Id.</w:t>
      </w:r>
      <w:r>
        <w:rPr>
          <w:rFonts w:cs="Times New Roman"/>
          <w:szCs w:val="26"/>
        </w:rPr>
        <w:t>, at p. 566</w:t>
      </w:r>
      <w:r w:rsidRPr="00152580">
        <w:rPr>
          <w:rFonts w:cs="Times New Roman"/>
          <w:szCs w:val="26"/>
        </w:rPr>
        <w:t>.)</w:t>
      </w:r>
    </w:p>
    <w:p w:rsidR="00AA63A4" w:rsidRPr="000B423E" w:rsidP="000F4E04">
      <w:pPr>
        <w:pStyle w:val="ListParagraph"/>
        <w:spacing w:line="480" w:lineRule="exact"/>
        <w:ind w:left="0" w:firstLine="720"/>
        <w:rPr>
          <w:rFonts w:cs="Times New Roman"/>
          <w:szCs w:val="26"/>
        </w:rPr>
      </w:pPr>
      <w:r>
        <w:rPr>
          <w:rFonts w:cs="Times New Roman"/>
          <w:szCs w:val="26"/>
        </w:rPr>
        <w:t xml:space="preserve">Plaintiffs’ contentions, as developed in the record, thus sound solely in a fundamental objection to subsidizing speech with which they disagree.  This being the case, the determination </w:t>
      </w:r>
      <w:r w:rsidRPr="00AA647F">
        <w:rPr>
          <w:rFonts w:cs="Times New Roman"/>
          <w:i/>
          <w:szCs w:val="26"/>
        </w:rPr>
        <w:t>ante</w:t>
      </w:r>
      <w:r>
        <w:rPr>
          <w:rFonts w:cs="Times New Roman"/>
          <w:szCs w:val="26"/>
        </w:rPr>
        <w:t xml:space="preserve"> that the Ketchum Act generates only government speech disposes of plaintiffs’ claims under article I, section 2.</w:t>
      </w:r>
      <w:r>
        <w:rPr>
          <w:rStyle w:val="FootnoteReference"/>
          <w:rFonts w:cs="Times New Roman"/>
          <w:b/>
          <w:szCs w:val="26"/>
        </w:rPr>
        <w:footnoteReference w:id="26"/>
      </w:r>
    </w:p>
    <w:p w:rsidR="00CA4078">
      <w:pPr>
        <w:rPr>
          <w:rFonts w:ascii="Times New Roman Bold" w:hAnsi="Times New Roman Bold" w:cs="Times New Roman"/>
          <w:b/>
          <w:smallCaps/>
          <w:szCs w:val="26"/>
        </w:rPr>
      </w:pPr>
      <w:r>
        <w:rPr>
          <w:rFonts w:ascii="Times New Roman Bold" w:hAnsi="Times New Roman Bold" w:cs="Times New Roman"/>
          <w:b/>
          <w:smallCaps/>
          <w:szCs w:val="26"/>
        </w:rPr>
        <w:br w:type="page"/>
      </w:r>
    </w:p>
    <w:p w:rsidR="00FC6EF2" w:rsidRPr="006934C0" w:rsidP="0061396D">
      <w:pPr>
        <w:pStyle w:val="ListParagraph"/>
        <w:keepNext/>
        <w:keepLines/>
        <w:spacing w:line="480" w:lineRule="exact"/>
        <w:ind w:left="0"/>
        <w:jc w:val="center"/>
        <w:rPr>
          <w:rFonts w:ascii="Times New Roman Bold" w:hAnsi="Times New Roman Bold" w:cs="Times New Roman"/>
          <w:b/>
          <w:smallCaps/>
          <w:szCs w:val="26"/>
        </w:rPr>
      </w:pPr>
      <w:r w:rsidRPr="006934C0">
        <w:rPr>
          <w:rFonts w:ascii="Times New Roman Bold" w:hAnsi="Times New Roman Bold" w:cs="Times New Roman"/>
          <w:b/>
          <w:smallCaps/>
          <w:szCs w:val="26"/>
        </w:rPr>
        <w:t>III.</w:t>
      </w:r>
      <w:r>
        <w:rPr>
          <w:rFonts w:ascii="Times New Roman Bold" w:hAnsi="Times New Roman Bold" w:cs="Times New Roman"/>
          <w:b/>
          <w:smallCaps/>
          <w:szCs w:val="26"/>
        </w:rPr>
        <w:t xml:space="preserve"> </w:t>
      </w:r>
      <w:r w:rsidRPr="006934C0">
        <w:rPr>
          <w:rFonts w:ascii="Times New Roman Bold" w:hAnsi="Times New Roman Bold" w:cs="Times New Roman"/>
          <w:b/>
          <w:smallCaps/>
          <w:szCs w:val="26"/>
        </w:rPr>
        <w:t xml:space="preserve"> Disposition</w:t>
      </w:r>
    </w:p>
    <w:p w:rsidR="00567AEF" w:rsidRPr="00CA4078" w:rsidP="00CA4078">
      <w:pPr>
        <w:pStyle w:val="ListParagraph"/>
        <w:spacing w:line="480" w:lineRule="exact"/>
        <w:ind w:left="0" w:firstLine="720"/>
        <w:rPr>
          <w:rFonts w:cs="Times New Roman"/>
          <w:szCs w:val="26"/>
        </w:rPr>
      </w:pPr>
      <w:r>
        <w:rPr>
          <w:rFonts w:cs="Times New Roman"/>
          <w:szCs w:val="26"/>
        </w:rPr>
        <w:t xml:space="preserve">We affirm the judgment of the Court of Appeal. </w:t>
      </w:r>
    </w:p>
    <w:p w:rsidR="004A2C19" w:rsidP="00522395">
      <w:pPr>
        <w:pStyle w:val="ListParagraph"/>
        <w:spacing w:line="480" w:lineRule="exact"/>
        <w:ind w:left="0" w:firstLine="5760"/>
        <w:rPr>
          <w:rFonts w:cs="Times New Roman"/>
          <w:szCs w:val="26"/>
        </w:rPr>
      </w:pPr>
      <w:r w:rsidRPr="000B423E">
        <w:rPr>
          <w:rFonts w:cs="Times New Roman"/>
          <w:b/>
          <w:szCs w:val="26"/>
        </w:rPr>
        <w:t>CANTIL-SAKAUYE, C. J.</w:t>
      </w:r>
      <w:r w:rsidRPr="00522395">
        <w:rPr>
          <w:rFonts w:cs="Times New Roman"/>
          <w:szCs w:val="26"/>
        </w:rPr>
        <w:t xml:space="preserve"> </w:t>
      </w:r>
    </w:p>
    <w:p w:rsidR="00CA4078" w:rsidP="00CA4078">
      <w:pPr>
        <w:pStyle w:val="ListParagraph"/>
        <w:spacing w:line="480" w:lineRule="exact"/>
        <w:ind w:left="0"/>
        <w:rPr>
          <w:rFonts w:cs="Times New Roman"/>
          <w:b/>
          <w:szCs w:val="26"/>
        </w:rPr>
      </w:pPr>
    </w:p>
    <w:p w:rsidR="00CA4078" w:rsidP="003D51C6">
      <w:pPr>
        <w:pStyle w:val="ListParagraph"/>
        <w:spacing w:line="480" w:lineRule="exact"/>
        <w:ind w:left="0"/>
        <w:rPr>
          <w:rFonts w:cs="Times New Roman"/>
          <w:b/>
          <w:szCs w:val="26"/>
        </w:rPr>
      </w:pPr>
      <w:r>
        <w:rPr>
          <w:rFonts w:cs="Times New Roman"/>
          <w:b/>
          <w:szCs w:val="26"/>
        </w:rPr>
        <w:t>WE CONCUR:</w:t>
      </w:r>
    </w:p>
    <w:p w:rsidR="00992172" w:rsidP="00811384">
      <w:pPr>
        <w:pStyle w:val="ListParagraph"/>
        <w:spacing w:after="0" w:line="240" w:lineRule="auto"/>
        <w:ind w:left="0"/>
        <w:rPr>
          <w:rFonts w:cs="Times New Roman"/>
          <w:szCs w:val="26"/>
        </w:rPr>
      </w:pPr>
    </w:p>
    <w:p w:rsidR="00811384" w:rsidRPr="0027210D" w:rsidP="00811384">
      <w:pPr>
        <w:pStyle w:val="ListParagraph"/>
        <w:spacing w:after="0" w:line="240" w:lineRule="auto"/>
        <w:ind w:left="0"/>
        <w:rPr>
          <w:rFonts w:cs="Times New Roman"/>
          <w:b/>
          <w:szCs w:val="26"/>
        </w:rPr>
      </w:pPr>
      <w:r w:rsidRPr="0027210D">
        <w:rPr>
          <w:rFonts w:cs="Times New Roman"/>
          <w:b/>
          <w:szCs w:val="26"/>
        </w:rPr>
        <w:t>CHIN, J.</w:t>
      </w:r>
    </w:p>
    <w:p w:rsidR="00811384" w:rsidRPr="0027210D" w:rsidP="00811384">
      <w:pPr>
        <w:pStyle w:val="ListParagraph"/>
        <w:spacing w:after="0" w:line="240" w:lineRule="auto"/>
        <w:ind w:left="0"/>
        <w:rPr>
          <w:rFonts w:cs="Times New Roman"/>
          <w:b/>
          <w:szCs w:val="26"/>
        </w:rPr>
      </w:pPr>
      <w:r w:rsidRPr="0027210D">
        <w:rPr>
          <w:rFonts w:cs="Times New Roman"/>
          <w:b/>
          <w:szCs w:val="26"/>
        </w:rPr>
        <w:t>CORRIGAN, J.</w:t>
      </w:r>
    </w:p>
    <w:p w:rsidR="00811384" w:rsidRPr="0027210D" w:rsidP="00811384">
      <w:pPr>
        <w:pStyle w:val="ListParagraph"/>
        <w:spacing w:after="0" w:line="240" w:lineRule="auto"/>
        <w:ind w:left="0"/>
        <w:rPr>
          <w:rFonts w:cs="Times New Roman"/>
          <w:b/>
          <w:szCs w:val="26"/>
        </w:rPr>
      </w:pPr>
      <w:r w:rsidRPr="0027210D">
        <w:rPr>
          <w:rFonts w:cs="Times New Roman"/>
          <w:b/>
          <w:szCs w:val="26"/>
        </w:rPr>
        <w:t>LIU, J.</w:t>
      </w:r>
    </w:p>
    <w:p w:rsidR="00811384" w:rsidRPr="0027210D" w:rsidP="00811384">
      <w:pPr>
        <w:pStyle w:val="ListParagraph"/>
        <w:spacing w:after="0" w:line="240" w:lineRule="auto"/>
        <w:ind w:left="0"/>
        <w:rPr>
          <w:rFonts w:cs="Times New Roman"/>
          <w:b/>
          <w:szCs w:val="26"/>
        </w:rPr>
      </w:pPr>
      <w:r w:rsidRPr="0027210D">
        <w:rPr>
          <w:rFonts w:cs="Times New Roman"/>
          <w:b/>
          <w:szCs w:val="26"/>
        </w:rPr>
        <w:t>CUÉLLAR, J.</w:t>
      </w:r>
    </w:p>
    <w:p w:rsidR="00DC64FA" w:rsidRPr="0027210D" w:rsidP="00811384">
      <w:pPr>
        <w:pStyle w:val="ListParagraph"/>
        <w:spacing w:after="0" w:line="240" w:lineRule="auto"/>
        <w:ind w:left="0"/>
        <w:rPr>
          <w:rFonts w:cs="Times New Roman"/>
          <w:b/>
          <w:szCs w:val="26"/>
        </w:rPr>
      </w:pPr>
      <w:r w:rsidRPr="0027210D">
        <w:rPr>
          <w:rFonts w:cs="Times New Roman"/>
          <w:b/>
          <w:szCs w:val="26"/>
        </w:rPr>
        <w:t>RAMIREZ, J.*</w:t>
      </w:r>
    </w:p>
    <w:p w:rsidR="00811384" w:rsidRPr="0027210D" w:rsidP="00811384">
      <w:pPr>
        <w:pStyle w:val="ListParagraph"/>
        <w:spacing w:after="0" w:line="240" w:lineRule="auto"/>
        <w:ind w:left="0"/>
        <w:rPr>
          <w:rFonts w:cs="Times New Roman"/>
          <w:b/>
          <w:szCs w:val="26"/>
        </w:rPr>
      </w:pPr>
      <w:r w:rsidRPr="0027210D">
        <w:rPr>
          <w:rFonts w:cs="Times New Roman"/>
          <w:b/>
          <w:szCs w:val="26"/>
        </w:rPr>
        <w:t>AARON, J.**</w:t>
      </w:r>
    </w:p>
    <w:p w:rsidR="00811384"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1C21E9" w:rsidP="00811384">
      <w:pPr>
        <w:pStyle w:val="ListParagraph"/>
        <w:spacing w:after="0" w:line="240" w:lineRule="auto"/>
        <w:ind w:left="0"/>
        <w:rPr>
          <w:rFonts w:cs="Times New Roman"/>
          <w:szCs w:val="26"/>
        </w:rPr>
      </w:pPr>
    </w:p>
    <w:p w:rsidR="0074568D" w:rsidP="00811384">
      <w:pPr>
        <w:pStyle w:val="ListParagraph"/>
        <w:spacing w:after="0" w:line="240" w:lineRule="auto"/>
        <w:ind w:left="0"/>
        <w:rPr>
          <w:rFonts w:cs="Times New Roman"/>
          <w:szCs w:val="26"/>
        </w:rPr>
      </w:pPr>
    </w:p>
    <w:p w:rsidR="0074568D" w:rsidP="00811384">
      <w:pPr>
        <w:pStyle w:val="ListParagraph"/>
        <w:spacing w:after="0" w:line="240" w:lineRule="auto"/>
        <w:ind w:left="0"/>
        <w:rPr>
          <w:rFonts w:cs="Times New Roman"/>
          <w:szCs w:val="26"/>
        </w:rPr>
      </w:pPr>
    </w:p>
    <w:p w:rsidR="0074568D" w:rsidP="00811384">
      <w:pPr>
        <w:pStyle w:val="ListParagraph"/>
        <w:spacing w:after="0" w:line="240" w:lineRule="auto"/>
        <w:ind w:left="0"/>
        <w:rPr>
          <w:rFonts w:cs="Times New Roman"/>
          <w:szCs w:val="26"/>
        </w:rPr>
      </w:pPr>
    </w:p>
    <w:p w:rsidR="00811384" w:rsidP="00811384">
      <w:pPr>
        <w:pStyle w:val="ListParagraph"/>
        <w:spacing w:after="0" w:line="240" w:lineRule="auto"/>
        <w:ind w:left="0"/>
        <w:rPr>
          <w:rFonts w:cs="Times New Roman"/>
          <w:szCs w:val="26"/>
        </w:rPr>
      </w:pPr>
    </w:p>
    <w:p w:rsidR="0074568D" w:rsidP="00811384">
      <w:pPr>
        <w:pStyle w:val="ListParagraph"/>
        <w:spacing w:after="0" w:line="240" w:lineRule="auto"/>
        <w:ind w:left="0"/>
        <w:rPr>
          <w:rFonts w:cs="Times New Roman"/>
          <w:szCs w:val="26"/>
        </w:rPr>
      </w:pPr>
    </w:p>
    <w:p w:rsidR="00811384" w:rsidRPr="00811384" w:rsidP="00811384">
      <w:pPr>
        <w:spacing w:after="240" w:line="480" w:lineRule="atLeast"/>
        <w:rPr>
          <w:szCs w:val="26"/>
        </w:rPr>
      </w:pPr>
      <w:r w:rsidRPr="00811384">
        <w:rPr>
          <w:szCs w:val="26"/>
        </w:rPr>
        <w:t>_______________________</w:t>
      </w:r>
    </w:p>
    <w:p w:rsidR="0074568D" w:rsidP="0074568D">
      <w:pPr>
        <w:rPr>
          <w:rFonts w:cs="Times New Roman"/>
          <w:szCs w:val="26"/>
        </w:rPr>
      </w:pPr>
      <w:r>
        <w:rPr>
          <w:rFonts w:cs="Times New Roman"/>
          <w:szCs w:val="26"/>
        </w:rPr>
        <w:t>*        Presiding Justice of the Court of Appeal, Fourth Appellate District, Division Two, assigned by the Chief Justice pursuant to article VI, section 6 of the California Constitution.</w:t>
      </w:r>
    </w:p>
    <w:p w:rsidR="009E7780" w:rsidP="0074568D">
      <w:pPr>
        <w:pStyle w:val="FootnoteText"/>
        <w:rPr>
          <w:rFonts w:cs="Times New Roman"/>
          <w:sz w:val="26"/>
          <w:szCs w:val="26"/>
        </w:rPr>
      </w:pPr>
    </w:p>
    <w:p w:rsidR="0027210D" w:rsidP="0074568D">
      <w:pPr>
        <w:pStyle w:val="FootnoteText"/>
        <w:rPr>
          <w:rFonts w:cs="Times New Roman"/>
          <w:sz w:val="26"/>
          <w:szCs w:val="26"/>
        </w:rPr>
        <w:sectPr>
          <w:footerReference w:type="default" r:id="rId5"/>
          <w:pgSz w:w="12240" w:h="15840"/>
          <w:pgMar w:top="1440" w:right="1440" w:bottom="1440" w:left="1440" w:header="720" w:footer="720" w:gutter="0"/>
          <w:cols w:space="720"/>
          <w:docGrid w:linePitch="360"/>
        </w:sectPr>
      </w:pPr>
      <w:r>
        <w:rPr>
          <w:rFonts w:cs="Times New Roman"/>
          <w:sz w:val="26"/>
          <w:szCs w:val="26"/>
        </w:rPr>
        <w:t>**        Associate Justice of the Court of Appeal, Fourth Appellate District, Division One, assigned by the Chief Justice pursuant to article VI, section 6 of the California Constitution.</w:t>
      </w:r>
    </w:p>
    <w:p w:rsidR="0027210D" w:rsidP="0027210D">
      <w:pPr>
        <w:spacing w:after="0" w:line="240" w:lineRule="auto"/>
        <w:rPr>
          <w:i/>
          <w:sz w:val="20"/>
        </w:rPr>
      </w:pPr>
      <w:r>
        <w:rPr>
          <w:i/>
          <w:sz w:val="20"/>
        </w:rPr>
        <w:t>See next page for addresses and telephone numbers for counsel who argued in Supreme Court.</w:t>
      </w:r>
    </w:p>
    <w:p w:rsidR="0027210D" w:rsidP="0027210D">
      <w:pPr>
        <w:spacing w:after="0" w:line="240" w:lineRule="auto"/>
        <w:rPr>
          <w:i/>
          <w:sz w:val="20"/>
        </w:rPr>
      </w:pPr>
    </w:p>
    <w:p w:rsidR="0027210D" w:rsidRPr="00A603D1" w:rsidP="0027210D">
      <w:pPr>
        <w:spacing w:after="0" w:line="240" w:lineRule="auto"/>
        <w:rPr>
          <w:bCs/>
          <w:i/>
          <w:sz w:val="20"/>
        </w:rPr>
      </w:pPr>
      <w:r>
        <w:rPr>
          <w:b/>
          <w:sz w:val="20"/>
        </w:rPr>
        <w:t>Name of Opinion</w:t>
      </w:r>
      <w:r>
        <w:rPr>
          <w:sz w:val="20"/>
        </w:rPr>
        <w:t xml:space="preserve"> Delano Farms Company v. California Table Grape Commission</w:t>
      </w:r>
    </w:p>
    <w:p w:rsidR="0027210D" w:rsidP="0027210D">
      <w:pPr>
        <w:spacing w:after="0" w:line="240" w:lineRule="auto"/>
        <w:rPr>
          <w:b/>
          <w:sz w:val="20"/>
        </w:rPr>
      </w:pPr>
      <w:r>
        <w:rPr>
          <w:b/>
          <w:sz w:val="20"/>
        </w:rPr>
        <w:t>__________________________________________________________________________________</w:t>
      </w:r>
    </w:p>
    <w:p w:rsidR="0027210D" w:rsidP="0027210D">
      <w:pPr>
        <w:spacing w:after="0" w:line="240" w:lineRule="auto"/>
        <w:rPr>
          <w:b/>
          <w:sz w:val="20"/>
        </w:rPr>
      </w:pPr>
    </w:p>
    <w:p w:rsidR="0027210D" w:rsidP="0027210D">
      <w:pPr>
        <w:spacing w:after="0" w:line="240" w:lineRule="auto"/>
        <w:rPr>
          <w:bCs/>
          <w:sz w:val="20"/>
        </w:rPr>
      </w:pPr>
      <w:r>
        <w:rPr>
          <w:b/>
          <w:sz w:val="20"/>
        </w:rPr>
        <w:t>Unpublished Opinion</w:t>
      </w:r>
    </w:p>
    <w:p w:rsidR="0027210D" w:rsidP="0027210D">
      <w:pPr>
        <w:spacing w:after="0" w:line="240" w:lineRule="auto"/>
        <w:rPr>
          <w:sz w:val="20"/>
        </w:rPr>
      </w:pPr>
      <w:r>
        <w:rPr>
          <w:b/>
          <w:sz w:val="20"/>
        </w:rPr>
        <w:t>Original Appeal</w:t>
      </w:r>
    </w:p>
    <w:p w:rsidR="0027210D" w:rsidP="0027210D">
      <w:pPr>
        <w:spacing w:after="0" w:line="240" w:lineRule="auto"/>
        <w:rPr>
          <w:b/>
          <w:sz w:val="20"/>
        </w:rPr>
      </w:pPr>
      <w:r>
        <w:rPr>
          <w:b/>
          <w:sz w:val="20"/>
        </w:rPr>
        <w:t>Original Proceeding</w:t>
      </w:r>
    </w:p>
    <w:p w:rsidR="0027210D" w:rsidRPr="00A603D1" w:rsidP="0027210D">
      <w:pPr>
        <w:spacing w:after="0" w:line="240" w:lineRule="auto"/>
        <w:rPr>
          <w:sz w:val="20"/>
        </w:rPr>
      </w:pPr>
      <w:r>
        <w:rPr>
          <w:b/>
          <w:sz w:val="20"/>
        </w:rPr>
        <w:t>Review Granted</w:t>
      </w:r>
      <w:r>
        <w:rPr>
          <w:sz w:val="20"/>
        </w:rPr>
        <w:t xml:space="preserve"> XXX 235 Cal.App.4th 967</w:t>
      </w:r>
    </w:p>
    <w:p w:rsidR="0027210D" w:rsidP="0027210D">
      <w:pPr>
        <w:spacing w:after="0" w:line="240" w:lineRule="auto"/>
        <w:rPr>
          <w:b/>
          <w:sz w:val="20"/>
        </w:rPr>
      </w:pPr>
      <w:r>
        <w:rPr>
          <w:b/>
          <w:sz w:val="20"/>
        </w:rPr>
        <w:t>Rehearing Granted</w:t>
      </w:r>
    </w:p>
    <w:p w:rsidR="0027210D" w:rsidP="0027210D">
      <w:pPr>
        <w:spacing w:after="0" w:line="240" w:lineRule="auto"/>
        <w:rPr>
          <w:b/>
          <w:sz w:val="20"/>
        </w:rPr>
      </w:pPr>
    </w:p>
    <w:p w:rsidR="0027210D" w:rsidP="0027210D">
      <w:pPr>
        <w:spacing w:after="0" w:line="240" w:lineRule="auto"/>
        <w:rPr>
          <w:b/>
          <w:sz w:val="20"/>
        </w:rPr>
      </w:pPr>
      <w:r>
        <w:rPr>
          <w:b/>
          <w:sz w:val="20"/>
        </w:rPr>
        <w:t>__________________________________________________________________________________</w:t>
      </w:r>
    </w:p>
    <w:p w:rsidR="0027210D" w:rsidP="0027210D">
      <w:pPr>
        <w:spacing w:after="0" w:line="240" w:lineRule="auto"/>
        <w:rPr>
          <w:b/>
          <w:sz w:val="20"/>
        </w:rPr>
      </w:pPr>
    </w:p>
    <w:p w:rsidR="0027210D" w:rsidRPr="00A603D1" w:rsidP="0027210D">
      <w:pPr>
        <w:spacing w:after="0" w:line="240" w:lineRule="auto"/>
        <w:rPr>
          <w:bCs/>
          <w:sz w:val="20"/>
        </w:rPr>
      </w:pPr>
      <w:r>
        <w:rPr>
          <w:b/>
          <w:sz w:val="20"/>
        </w:rPr>
        <w:t>Opinion No.</w:t>
      </w:r>
      <w:r>
        <w:rPr>
          <w:sz w:val="20"/>
        </w:rPr>
        <w:t xml:space="preserve"> S226538</w:t>
      </w:r>
    </w:p>
    <w:p w:rsidR="0027210D" w:rsidRPr="00A603D1" w:rsidP="0027210D">
      <w:pPr>
        <w:spacing w:after="0" w:line="240" w:lineRule="auto"/>
        <w:rPr>
          <w:bCs/>
          <w:sz w:val="20"/>
        </w:rPr>
      </w:pPr>
      <w:r>
        <w:rPr>
          <w:b/>
          <w:sz w:val="20"/>
        </w:rPr>
        <w:t>Date Filed:</w:t>
      </w:r>
      <w:r>
        <w:rPr>
          <w:sz w:val="20"/>
        </w:rPr>
        <w:t xml:space="preserve"> May 24, 2018</w:t>
      </w:r>
    </w:p>
    <w:p w:rsidR="0027210D" w:rsidP="0027210D">
      <w:pPr>
        <w:spacing w:after="0" w:line="240" w:lineRule="auto"/>
        <w:rPr>
          <w:b/>
          <w:sz w:val="20"/>
        </w:rPr>
      </w:pPr>
      <w:r>
        <w:rPr>
          <w:b/>
          <w:sz w:val="20"/>
        </w:rPr>
        <w:t>__________________________________________________________________________________</w:t>
      </w:r>
    </w:p>
    <w:p w:rsidR="0027210D" w:rsidP="0027210D">
      <w:pPr>
        <w:spacing w:after="0" w:line="240" w:lineRule="auto"/>
        <w:rPr>
          <w:b/>
          <w:sz w:val="20"/>
        </w:rPr>
      </w:pPr>
    </w:p>
    <w:p w:rsidR="0027210D" w:rsidRPr="00A603D1" w:rsidP="0027210D">
      <w:pPr>
        <w:spacing w:after="0" w:line="240" w:lineRule="auto"/>
        <w:rPr>
          <w:bCs/>
          <w:sz w:val="20"/>
        </w:rPr>
      </w:pPr>
      <w:r>
        <w:rPr>
          <w:b/>
          <w:sz w:val="20"/>
        </w:rPr>
        <w:t>Court:</w:t>
      </w:r>
      <w:r>
        <w:rPr>
          <w:sz w:val="20"/>
        </w:rPr>
        <w:t xml:space="preserve"> Superior</w:t>
      </w:r>
    </w:p>
    <w:p w:rsidR="0027210D" w:rsidRPr="00A603D1" w:rsidP="0027210D">
      <w:pPr>
        <w:spacing w:after="0" w:line="240" w:lineRule="auto"/>
        <w:rPr>
          <w:bCs/>
          <w:sz w:val="20"/>
        </w:rPr>
      </w:pPr>
      <w:r>
        <w:rPr>
          <w:b/>
          <w:sz w:val="20"/>
        </w:rPr>
        <w:t>County:</w:t>
      </w:r>
      <w:r>
        <w:rPr>
          <w:sz w:val="20"/>
        </w:rPr>
        <w:t xml:space="preserve"> Fresno</w:t>
      </w:r>
    </w:p>
    <w:p w:rsidR="0027210D" w:rsidRPr="00A603D1" w:rsidP="0027210D">
      <w:pPr>
        <w:spacing w:after="0" w:line="240" w:lineRule="auto"/>
        <w:ind w:left="720" w:hanging="720"/>
        <w:rPr>
          <w:bCs/>
          <w:sz w:val="20"/>
        </w:rPr>
      </w:pPr>
      <w:r>
        <w:rPr>
          <w:b/>
          <w:sz w:val="20"/>
        </w:rPr>
        <w:t>Judge:</w:t>
      </w:r>
      <w:r>
        <w:rPr>
          <w:sz w:val="20"/>
        </w:rPr>
        <w:t xml:space="preserve"> Donald S. Black</w:t>
      </w:r>
    </w:p>
    <w:p w:rsidR="0027210D" w:rsidP="0027210D">
      <w:pPr>
        <w:spacing w:after="0" w:line="240" w:lineRule="auto"/>
        <w:rPr>
          <w:b/>
          <w:sz w:val="20"/>
        </w:rPr>
      </w:pPr>
    </w:p>
    <w:p w:rsidR="0027210D" w:rsidP="0027210D">
      <w:pPr>
        <w:spacing w:after="0" w:line="240" w:lineRule="auto"/>
        <w:rPr>
          <w:b/>
          <w:sz w:val="20"/>
        </w:rPr>
      </w:pPr>
      <w:r>
        <w:rPr>
          <w:b/>
          <w:sz w:val="20"/>
        </w:rPr>
        <w:t>__________________________________________________________________________________</w:t>
      </w:r>
    </w:p>
    <w:p w:rsidR="0027210D" w:rsidP="0027210D">
      <w:pPr>
        <w:spacing w:after="0" w:line="240" w:lineRule="auto"/>
        <w:rPr>
          <w:b/>
          <w:sz w:val="20"/>
        </w:rPr>
      </w:pPr>
    </w:p>
    <w:p w:rsidR="0027210D" w:rsidP="0027210D">
      <w:pPr>
        <w:spacing w:after="0" w:line="240" w:lineRule="auto"/>
        <w:rPr>
          <w:b/>
          <w:sz w:val="20"/>
        </w:rPr>
      </w:pPr>
      <w:r>
        <w:rPr>
          <w:b/>
          <w:sz w:val="20"/>
        </w:rPr>
        <w:t>Counsel:</w:t>
      </w:r>
    </w:p>
    <w:p w:rsidR="0027210D" w:rsidP="0027210D">
      <w:pPr>
        <w:spacing w:after="0" w:line="240" w:lineRule="auto"/>
        <w:rPr>
          <w:b/>
          <w:sz w:val="20"/>
        </w:rPr>
      </w:pPr>
    </w:p>
    <w:p w:rsidR="0027210D" w:rsidP="0027210D">
      <w:pPr>
        <w:spacing w:after="0" w:line="240" w:lineRule="auto"/>
        <w:rPr>
          <w:sz w:val="20"/>
        </w:rPr>
      </w:pPr>
      <w:r>
        <w:rPr>
          <w:sz w:val="20"/>
        </w:rPr>
        <w:t>Brian C. Leighton; Sagaser, Watkins &amp; Wieland, Howard A. Sagaser; Kirkland &amp; Ellis, Michael W. McConnell and Danielle R. Sassoon for Plaintiffs and Appellants.</w:t>
      </w:r>
    </w:p>
    <w:p w:rsidR="0027210D" w:rsidP="0027210D">
      <w:pPr>
        <w:spacing w:after="0" w:line="240" w:lineRule="auto"/>
        <w:rPr>
          <w:sz w:val="20"/>
        </w:rPr>
      </w:pPr>
    </w:p>
    <w:p w:rsidR="0027210D" w:rsidP="0027210D">
      <w:pPr>
        <w:spacing w:after="0" w:line="240" w:lineRule="auto"/>
        <w:rPr>
          <w:sz w:val="20"/>
        </w:rPr>
      </w:pPr>
      <w:r>
        <w:rPr>
          <w:sz w:val="20"/>
        </w:rPr>
        <w:t>Benbrook Law Group, Bradley A. Benbrook and Stephen M. Duvernay for The Cato Institute, Institute for Justice and Reason Foundation as Amici Curiae on behalf of</w:t>
      </w:r>
      <w:r w:rsidRPr="00077967">
        <w:rPr>
          <w:sz w:val="20"/>
        </w:rPr>
        <w:t xml:space="preserve"> </w:t>
      </w:r>
      <w:r>
        <w:rPr>
          <w:sz w:val="20"/>
        </w:rPr>
        <w:t>Plaintiffs and Appellants.</w:t>
      </w:r>
    </w:p>
    <w:p w:rsidR="0027210D" w:rsidP="0027210D">
      <w:pPr>
        <w:spacing w:after="0" w:line="240" w:lineRule="auto"/>
        <w:rPr>
          <w:sz w:val="20"/>
        </w:rPr>
      </w:pPr>
    </w:p>
    <w:p w:rsidR="0027210D" w:rsidP="0027210D">
      <w:pPr>
        <w:spacing w:after="0" w:line="240" w:lineRule="auto"/>
        <w:rPr>
          <w:sz w:val="20"/>
        </w:rPr>
      </w:pPr>
      <w:r>
        <w:rPr>
          <w:sz w:val="20"/>
        </w:rPr>
        <w:t>Jenner &amp; Block, Rick Richmond, Jessica Ring Amunson and Samuel C. Birnbaum for DKT Liberty as Amicus Curiae on behalf of</w:t>
      </w:r>
      <w:r w:rsidRPr="00077967">
        <w:rPr>
          <w:sz w:val="20"/>
        </w:rPr>
        <w:t xml:space="preserve"> </w:t>
      </w:r>
      <w:r>
        <w:rPr>
          <w:sz w:val="20"/>
        </w:rPr>
        <w:t>Plaintiffs and Appellants.</w:t>
      </w:r>
    </w:p>
    <w:p w:rsidR="0027210D" w:rsidP="0027210D">
      <w:pPr>
        <w:spacing w:after="0" w:line="240" w:lineRule="auto"/>
        <w:rPr>
          <w:sz w:val="20"/>
        </w:rPr>
      </w:pPr>
    </w:p>
    <w:p w:rsidR="0027210D" w:rsidP="0027210D">
      <w:pPr>
        <w:spacing w:after="0" w:line="240" w:lineRule="auto"/>
        <w:rPr>
          <w:b/>
          <w:sz w:val="20"/>
        </w:rPr>
      </w:pPr>
      <w:r>
        <w:rPr>
          <w:sz w:val="20"/>
        </w:rPr>
        <w:t>Baker, Manock &amp; Jensen, Robert D. Wilkinson; Wilmer Cutler Pickering Hale and Dorr, Seth P. Waxman, Brian M. Boynton, Thomas G. Saunders, Francesco Valentini, Ari Holtzblatt, Thomas G. Sprankling and Franceso Valentini for Defendant and Respondent.</w:t>
      </w:r>
    </w:p>
    <w:p w:rsidR="0027210D" w:rsidP="0027210D">
      <w:pPr>
        <w:spacing w:after="0" w:line="240" w:lineRule="auto"/>
        <w:rPr>
          <w:b/>
          <w:sz w:val="20"/>
        </w:rPr>
      </w:pPr>
    </w:p>
    <w:p w:rsidR="0027210D" w:rsidRPr="00077967" w:rsidP="0027210D">
      <w:pPr>
        <w:spacing w:after="0" w:line="240" w:lineRule="auto"/>
        <w:rPr>
          <w:sz w:val="20"/>
        </w:rPr>
      </w:pPr>
      <w:r>
        <w:rPr>
          <w:sz w:val="20"/>
        </w:rPr>
        <w:t>Kamala D. Harris, Attorney General, Janill L. Richards, Acting State Solicitor General, Mark J. Breckler, Chief Assistant Attorney General, Linda Gándara, Deputy State Solicitor General, Robert W. Byrne, Assistant Attorney General, Kathleen Vermazen Radez, Associate Deputy State Solicitor General, Randy L. Barrow and Ali A. Karaouni, Deputy Attorneys General, for California Department of Food and Agriculture as Amicus Curiae on behalf of Defendant and Respondent.</w:t>
      </w:r>
    </w:p>
    <w:p w:rsidR="0027210D" w:rsidP="0027210D">
      <w:pPr>
        <w:spacing w:after="0" w:line="240" w:lineRule="auto"/>
        <w:rPr>
          <w:b/>
          <w:sz w:val="20"/>
        </w:rPr>
      </w:pPr>
    </w:p>
    <w:p w:rsidR="0027210D" w:rsidP="0027210D">
      <w:pPr>
        <w:spacing w:after="0" w:line="240" w:lineRule="auto"/>
        <w:rPr>
          <w:b/>
          <w:sz w:val="20"/>
        </w:rPr>
      </w:pPr>
      <w:r>
        <w:rPr>
          <w:b/>
          <w:sz w:val="20"/>
        </w:rPr>
        <w:br w:type="page"/>
      </w:r>
    </w:p>
    <w:p w:rsidR="0027210D" w:rsidP="0027210D">
      <w:pPr>
        <w:spacing w:after="0" w:line="240" w:lineRule="auto"/>
        <w:rPr>
          <w:b/>
          <w:sz w:val="20"/>
        </w:rPr>
      </w:pPr>
    </w:p>
    <w:p w:rsidR="0027210D" w:rsidP="0027210D">
      <w:pPr>
        <w:spacing w:after="0" w:line="240" w:lineRule="auto"/>
        <w:rPr>
          <w:b/>
          <w:sz w:val="20"/>
        </w:rPr>
      </w:pPr>
    </w:p>
    <w:p w:rsidR="0027210D" w:rsidP="0027210D">
      <w:pPr>
        <w:spacing w:after="0" w:line="240" w:lineRule="auto"/>
        <w:rPr>
          <w:b/>
          <w:sz w:val="20"/>
        </w:rPr>
      </w:pPr>
    </w:p>
    <w:p w:rsidR="0027210D" w:rsidP="0027210D">
      <w:pPr>
        <w:spacing w:after="0" w:line="240" w:lineRule="auto"/>
        <w:rPr>
          <w:b/>
          <w:sz w:val="20"/>
        </w:rPr>
      </w:pPr>
      <w:r>
        <w:rPr>
          <w:b/>
          <w:sz w:val="20"/>
        </w:rPr>
        <w:t>Counsel who argued in Supreme Court (not intended for publication with opinion):</w:t>
      </w:r>
    </w:p>
    <w:p w:rsidR="0027210D" w:rsidP="0027210D">
      <w:pPr>
        <w:spacing w:after="0" w:line="240" w:lineRule="auto"/>
        <w:rPr>
          <w:b/>
          <w:sz w:val="20"/>
        </w:rPr>
      </w:pPr>
    </w:p>
    <w:p w:rsidR="0027210D" w:rsidP="0027210D">
      <w:pPr>
        <w:spacing w:after="0" w:line="240" w:lineRule="auto"/>
        <w:rPr>
          <w:sz w:val="20"/>
        </w:rPr>
      </w:pPr>
      <w:r>
        <w:rPr>
          <w:sz w:val="20"/>
        </w:rPr>
        <w:t>Michael W. McConnell</w:t>
      </w:r>
    </w:p>
    <w:p w:rsidR="0027210D" w:rsidP="0027210D">
      <w:pPr>
        <w:spacing w:after="0" w:line="240" w:lineRule="auto"/>
        <w:rPr>
          <w:sz w:val="20"/>
        </w:rPr>
      </w:pPr>
      <w:r>
        <w:rPr>
          <w:sz w:val="20"/>
        </w:rPr>
        <w:t>Kirkland &amp; Ellis</w:t>
      </w:r>
    </w:p>
    <w:p w:rsidR="0027210D" w:rsidP="0027210D">
      <w:pPr>
        <w:spacing w:after="0" w:line="240" w:lineRule="auto"/>
        <w:rPr>
          <w:sz w:val="20"/>
        </w:rPr>
      </w:pPr>
      <w:r>
        <w:rPr>
          <w:sz w:val="20"/>
        </w:rPr>
        <w:t>655 15th Street NW, #1200</w:t>
      </w:r>
    </w:p>
    <w:p w:rsidR="0027210D" w:rsidP="0027210D">
      <w:pPr>
        <w:spacing w:after="0" w:line="240" w:lineRule="auto"/>
        <w:rPr>
          <w:sz w:val="20"/>
        </w:rPr>
      </w:pPr>
      <w:r>
        <w:rPr>
          <w:sz w:val="20"/>
        </w:rPr>
        <w:t>Washington D.C.  20005</w:t>
      </w:r>
    </w:p>
    <w:p w:rsidR="0027210D" w:rsidP="0027210D">
      <w:pPr>
        <w:spacing w:after="0" w:line="240" w:lineRule="auto"/>
        <w:rPr>
          <w:sz w:val="20"/>
        </w:rPr>
      </w:pPr>
      <w:r>
        <w:rPr>
          <w:sz w:val="20"/>
        </w:rPr>
        <w:t>(202) 879-5000</w:t>
      </w:r>
    </w:p>
    <w:p w:rsidR="0027210D" w:rsidP="0027210D">
      <w:pPr>
        <w:spacing w:after="0" w:line="240" w:lineRule="auto"/>
        <w:rPr>
          <w:sz w:val="20"/>
        </w:rPr>
      </w:pPr>
    </w:p>
    <w:p w:rsidR="0027210D" w:rsidP="0027210D">
      <w:pPr>
        <w:spacing w:after="0" w:line="240" w:lineRule="auto"/>
        <w:rPr>
          <w:sz w:val="20"/>
        </w:rPr>
      </w:pPr>
      <w:r>
        <w:rPr>
          <w:sz w:val="20"/>
        </w:rPr>
        <w:t>Seth P. Waxman</w:t>
      </w:r>
    </w:p>
    <w:p w:rsidR="0027210D" w:rsidP="0027210D">
      <w:pPr>
        <w:spacing w:after="0" w:line="240" w:lineRule="auto"/>
        <w:rPr>
          <w:sz w:val="20"/>
        </w:rPr>
      </w:pPr>
      <w:r>
        <w:rPr>
          <w:sz w:val="20"/>
        </w:rPr>
        <w:t>Wilmer Cutler Pickering Hale and Dorr</w:t>
      </w:r>
    </w:p>
    <w:p w:rsidR="0027210D" w:rsidP="0027210D">
      <w:pPr>
        <w:spacing w:after="0" w:line="240" w:lineRule="auto"/>
        <w:rPr>
          <w:sz w:val="20"/>
        </w:rPr>
      </w:pPr>
      <w:r>
        <w:rPr>
          <w:sz w:val="20"/>
        </w:rPr>
        <w:t>1875 Pennsylvania Avenue, NW</w:t>
      </w:r>
    </w:p>
    <w:p w:rsidR="0027210D" w:rsidP="0027210D">
      <w:pPr>
        <w:spacing w:after="0" w:line="240" w:lineRule="auto"/>
        <w:rPr>
          <w:sz w:val="20"/>
        </w:rPr>
      </w:pPr>
      <w:r>
        <w:rPr>
          <w:sz w:val="20"/>
        </w:rPr>
        <w:t>Washington, D.C.  20006</w:t>
      </w:r>
    </w:p>
    <w:p w:rsidR="0027210D" w:rsidP="0027210D">
      <w:pPr>
        <w:spacing w:after="0" w:line="240" w:lineRule="auto"/>
        <w:rPr>
          <w:sz w:val="20"/>
        </w:rPr>
      </w:pPr>
      <w:r>
        <w:rPr>
          <w:sz w:val="20"/>
        </w:rPr>
        <w:t>(202) 663-6800</w:t>
      </w:r>
    </w:p>
    <w:p w:rsidR="00811384" w:rsidRPr="001C21E9" w:rsidP="0027210D">
      <w:pPr>
        <w:pStyle w:val="FootnoteText"/>
        <w:rPr>
          <w:sz w:val="26"/>
          <w:szCs w:val="26"/>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6730902"/>
      <w:docPartObj>
        <w:docPartGallery w:val="Page Numbers (Bottom of Page)"/>
        <w:docPartUnique/>
      </w:docPartObj>
    </w:sdtPr>
    <w:sdtEndPr>
      <w:rPr>
        <w:noProof/>
      </w:rPr>
    </w:sdtEndPr>
    <w:sdtContent>
      <w:p w:rsidR="00AD4D26">
        <w:pPr>
          <w:pStyle w:val="Footer"/>
          <w:jc w:val="center"/>
        </w:pPr>
        <w:r>
          <w:fldChar w:fldCharType="begin"/>
        </w:r>
        <w:r>
          <w:instrText xml:space="preserve"> PAGE   \* MERGEFORMAT </w:instrText>
        </w:r>
        <w:r>
          <w:fldChar w:fldCharType="separate"/>
        </w:r>
        <w:r w:rsidR="004E0FF4">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3980" w:rsidP="00C5532C">
      <w:pPr>
        <w:spacing w:after="0" w:line="240" w:lineRule="auto"/>
      </w:pPr>
      <w:r>
        <w:separator/>
      </w:r>
    </w:p>
  </w:footnote>
  <w:footnote w:type="continuationSeparator" w:id="1">
    <w:p w:rsidR="00403980" w:rsidP="00C5532C">
      <w:pPr>
        <w:spacing w:after="0" w:line="240" w:lineRule="auto"/>
      </w:pPr>
      <w:r>
        <w:continuationSeparator/>
      </w:r>
    </w:p>
  </w:footnote>
  <w:footnote w:type="continuationNotice" w:id="2">
    <w:p w:rsidR="00403980">
      <w:pPr>
        <w:spacing w:after="0" w:line="240" w:lineRule="auto"/>
      </w:pPr>
    </w:p>
  </w:footnote>
  <w:footnote w:id="3">
    <w:p w:rsidR="00AD4D26" w:rsidRPr="00423643">
      <w:pPr>
        <w:pStyle w:val="FootnoteText"/>
        <w:rPr>
          <w:rFonts w:cs="Times New Roman"/>
          <w:sz w:val="26"/>
          <w:szCs w:val="26"/>
        </w:rPr>
      </w:pPr>
      <w:r w:rsidRPr="009F7E7C">
        <w:rPr>
          <w:rStyle w:val="FootnoteReference"/>
          <w:rFonts w:cs="Times New Roman"/>
          <w:b/>
          <w:sz w:val="26"/>
          <w:szCs w:val="26"/>
        </w:rPr>
        <w:footnoteRef/>
      </w:r>
      <w:r w:rsidRPr="009F7E7C">
        <w:rPr>
          <w:rFonts w:cs="Times New Roman"/>
          <w:b/>
          <w:sz w:val="26"/>
          <w:szCs w:val="26"/>
        </w:rPr>
        <w:t xml:space="preserve"> </w:t>
      </w:r>
      <w:r w:rsidRPr="00423643">
        <w:rPr>
          <w:rFonts w:cs="Times New Roman"/>
          <w:sz w:val="26"/>
          <w:szCs w:val="26"/>
        </w:rPr>
        <w:tab/>
        <w:t xml:space="preserve">All subsequent statutory references are to the Food and Agricultural Code unless otherwise noted. </w:t>
      </w:r>
    </w:p>
  </w:footnote>
  <w:footnote w:id="4">
    <w:p w:rsidR="00AD4D26" w:rsidRPr="00E35AF8" w:rsidP="002B3B89">
      <w:pPr>
        <w:pStyle w:val="FootnoteText"/>
        <w:rPr>
          <w:rFonts w:cs="Times New Roman"/>
          <w:sz w:val="26"/>
          <w:szCs w:val="26"/>
        </w:rPr>
      </w:pPr>
      <w:r w:rsidRPr="009F7E7C">
        <w:rPr>
          <w:rStyle w:val="FootnoteReference"/>
          <w:rFonts w:cs="Times New Roman"/>
          <w:b/>
          <w:sz w:val="26"/>
          <w:szCs w:val="26"/>
        </w:rPr>
        <w:footnoteRef/>
      </w:r>
      <w:r w:rsidRPr="009F7E7C">
        <w:rPr>
          <w:rFonts w:cs="Times New Roman"/>
          <w:b/>
          <w:sz w:val="26"/>
          <w:szCs w:val="26"/>
        </w:rPr>
        <w:t xml:space="preserve"> </w:t>
      </w:r>
      <w:r w:rsidRPr="00E35AF8">
        <w:rPr>
          <w:rFonts w:cs="Times New Roman"/>
          <w:sz w:val="26"/>
          <w:szCs w:val="26"/>
        </w:rPr>
        <w:tab/>
        <w:t>The Ket</w:t>
      </w:r>
      <w:r>
        <w:rPr>
          <w:rFonts w:cs="Times New Roman"/>
          <w:sz w:val="26"/>
          <w:szCs w:val="26"/>
        </w:rPr>
        <w:t>chum Act, enacted in 1967, revived the Commission, which was</w:t>
      </w:r>
      <w:r w:rsidRPr="00E35AF8">
        <w:rPr>
          <w:rFonts w:cs="Times New Roman"/>
          <w:sz w:val="26"/>
          <w:szCs w:val="26"/>
        </w:rPr>
        <w:t xml:space="preserve"> </w:t>
      </w:r>
      <w:r>
        <w:rPr>
          <w:rFonts w:cs="Times New Roman"/>
          <w:sz w:val="26"/>
          <w:szCs w:val="26"/>
        </w:rPr>
        <w:t>first</w:t>
      </w:r>
      <w:r w:rsidRPr="00E35AF8">
        <w:rPr>
          <w:rFonts w:cs="Times New Roman"/>
          <w:sz w:val="26"/>
          <w:szCs w:val="26"/>
        </w:rPr>
        <w:t xml:space="preserve"> established pursuant to a </w:t>
      </w:r>
      <w:r>
        <w:rPr>
          <w:rFonts w:cs="Times New Roman"/>
          <w:sz w:val="26"/>
          <w:szCs w:val="26"/>
        </w:rPr>
        <w:t>statute</w:t>
      </w:r>
      <w:r w:rsidRPr="00E35AF8">
        <w:rPr>
          <w:rFonts w:cs="Times New Roman"/>
          <w:sz w:val="26"/>
          <w:szCs w:val="26"/>
        </w:rPr>
        <w:t xml:space="preserve"> enacted in 1961.</w:t>
      </w:r>
      <w:r>
        <w:rPr>
          <w:rFonts w:cs="Times New Roman"/>
          <w:sz w:val="26"/>
          <w:szCs w:val="26"/>
        </w:rPr>
        <w:t xml:space="preserve"> </w:t>
      </w:r>
      <w:r w:rsidRPr="00E35AF8">
        <w:rPr>
          <w:rFonts w:cs="Times New Roman"/>
          <w:sz w:val="26"/>
          <w:szCs w:val="26"/>
        </w:rPr>
        <w:t xml:space="preserve"> (Stats. 1961, ch. 1391</w:t>
      </w:r>
      <w:r>
        <w:rPr>
          <w:rFonts w:cs="Times New Roman"/>
          <w:sz w:val="26"/>
          <w:szCs w:val="26"/>
        </w:rPr>
        <w:t>, § 1, p. 3167, repealed by Stats. 1967, ch. 15, § 1, p. 44.)</w:t>
      </w:r>
      <w:r w:rsidRPr="00E35AF8">
        <w:rPr>
          <w:rFonts w:cs="Times New Roman"/>
          <w:sz w:val="26"/>
          <w:szCs w:val="26"/>
        </w:rPr>
        <w:t xml:space="preserve">  Like the Ketchum Act, the 1961 statute responded to difficult market conditions by </w:t>
      </w:r>
      <w:r>
        <w:rPr>
          <w:rFonts w:cs="Times New Roman"/>
          <w:sz w:val="26"/>
          <w:szCs w:val="26"/>
        </w:rPr>
        <w:t>creating</w:t>
      </w:r>
      <w:r w:rsidRPr="00E35AF8">
        <w:rPr>
          <w:rFonts w:cs="Times New Roman"/>
          <w:sz w:val="26"/>
          <w:szCs w:val="26"/>
        </w:rPr>
        <w:t xml:space="preserve"> </w:t>
      </w:r>
      <w:r>
        <w:rPr>
          <w:rFonts w:cs="Times New Roman"/>
          <w:sz w:val="26"/>
          <w:szCs w:val="26"/>
        </w:rPr>
        <w:t>a California Table Grape Commission and vesting this agency</w:t>
      </w:r>
      <w:r w:rsidRPr="00E35AF8">
        <w:rPr>
          <w:rFonts w:cs="Times New Roman"/>
          <w:sz w:val="26"/>
          <w:szCs w:val="26"/>
        </w:rPr>
        <w:t xml:space="preserve"> with authority to promote fresh grapes through advertisements and other promotional efforts, to be paid by assessments imposed on </w:t>
      </w:r>
      <w:r>
        <w:rPr>
          <w:rFonts w:cs="Times New Roman"/>
          <w:sz w:val="26"/>
          <w:szCs w:val="26"/>
        </w:rPr>
        <w:t>market participants</w:t>
      </w:r>
      <w:r w:rsidRPr="00E35AF8">
        <w:rPr>
          <w:rFonts w:cs="Times New Roman"/>
          <w:sz w:val="26"/>
          <w:szCs w:val="26"/>
        </w:rPr>
        <w:t xml:space="preserve">.  </w:t>
      </w:r>
      <w:r>
        <w:rPr>
          <w:rFonts w:cs="Times New Roman"/>
          <w:sz w:val="26"/>
          <w:szCs w:val="26"/>
        </w:rPr>
        <w:t>(See former Agr. Code, §§ 5500, 5572, 5600.)  The state’s fresh g</w:t>
      </w:r>
      <w:r w:rsidRPr="00E35AF8">
        <w:rPr>
          <w:rFonts w:cs="Times New Roman"/>
          <w:sz w:val="26"/>
          <w:szCs w:val="26"/>
        </w:rPr>
        <w:t xml:space="preserve">rape producers failed to timely ratify this law through the </w:t>
      </w:r>
      <w:r>
        <w:rPr>
          <w:rFonts w:cs="Times New Roman"/>
          <w:sz w:val="26"/>
          <w:szCs w:val="26"/>
        </w:rPr>
        <w:t xml:space="preserve">statute’s </w:t>
      </w:r>
      <w:r w:rsidRPr="00E35AF8">
        <w:rPr>
          <w:rFonts w:cs="Times New Roman"/>
          <w:sz w:val="26"/>
          <w:szCs w:val="26"/>
        </w:rPr>
        <w:t>referendum procedure,</w:t>
      </w:r>
      <w:r>
        <w:rPr>
          <w:rFonts w:cs="Times New Roman"/>
          <w:sz w:val="26"/>
          <w:szCs w:val="26"/>
        </w:rPr>
        <w:t xml:space="preserve"> however,</w:t>
      </w:r>
      <w:r w:rsidRPr="00E35AF8">
        <w:rPr>
          <w:rFonts w:cs="Times New Roman"/>
          <w:sz w:val="26"/>
          <w:szCs w:val="26"/>
        </w:rPr>
        <w:t xml:space="preserve"> </w:t>
      </w:r>
      <w:r>
        <w:rPr>
          <w:rFonts w:cs="Times New Roman"/>
          <w:sz w:val="26"/>
          <w:szCs w:val="26"/>
        </w:rPr>
        <w:t>which led</w:t>
      </w:r>
      <w:r w:rsidRPr="00E35AF8">
        <w:rPr>
          <w:rFonts w:cs="Times New Roman"/>
          <w:sz w:val="26"/>
          <w:szCs w:val="26"/>
        </w:rPr>
        <w:t xml:space="preserve"> to the suspension and winding down </w:t>
      </w:r>
      <w:r>
        <w:rPr>
          <w:rFonts w:cs="Times New Roman"/>
          <w:sz w:val="26"/>
          <w:szCs w:val="26"/>
        </w:rPr>
        <w:t>of the Commission’s operations.</w:t>
      </w:r>
      <w:r w:rsidRPr="00E35AF8">
        <w:rPr>
          <w:rFonts w:cs="Times New Roman"/>
          <w:sz w:val="26"/>
          <w:szCs w:val="26"/>
        </w:rPr>
        <w:t xml:space="preserve"> </w:t>
      </w:r>
      <w:r>
        <w:rPr>
          <w:rFonts w:cs="Times New Roman"/>
          <w:sz w:val="26"/>
          <w:szCs w:val="26"/>
        </w:rPr>
        <w:t xml:space="preserve"> (Foytik, Agricultural Marketing Orders: Characteristics and Use in California, 1933-1962 (1962) p. 66.)  The provisions of the 1961 law diverged from the Ketchum Act’s terms in certain respects.  Among these differences, </w:t>
      </w:r>
      <w:r w:rsidRPr="00E35AF8">
        <w:rPr>
          <w:rFonts w:cs="Times New Roman"/>
          <w:sz w:val="26"/>
          <w:szCs w:val="26"/>
        </w:rPr>
        <w:t>the 1961 law provided that “no action of the [C]ommission, or any member thereof . . . shall be valid unless first approved by the director”</w:t>
      </w:r>
      <w:r>
        <w:rPr>
          <w:rFonts w:cs="Times New Roman"/>
          <w:sz w:val="26"/>
          <w:szCs w:val="26"/>
        </w:rPr>
        <w:t xml:space="preserve"> (now Secretary) of what was then the Department of Agriculture, now the Department of Food and Agriculture.  (Former Agr. Code, § </w:t>
      </w:r>
      <w:r w:rsidRPr="00E35AF8">
        <w:rPr>
          <w:rFonts w:cs="Times New Roman"/>
          <w:sz w:val="26"/>
          <w:szCs w:val="26"/>
        </w:rPr>
        <w:t xml:space="preserve">5572.) </w:t>
      </w:r>
      <w:r>
        <w:rPr>
          <w:rFonts w:cs="Times New Roman"/>
          <w:sz w:val="26"/>
          <w:szCs w:val="26"/>
        </w:rPr>
        <w:t xml:space="preserve"> No comparable provision appears in the Ketchum Act.  </w:t>
      </w:r>
    </w:p>
  </w:footnote>
  <w:footnote w:id="5">
    <w:p w:rsidR="00AD4D26" w:rsidP="009F7E7C">
      <w:pPr>
        <w:spacing w:after="0" w:line="240" w:lineRule="auto"/>
        <w:rPr>
          <w:rFonts w:cs="Times New Roman"/>
          <w:szCs w:val="26"/>
        </w:rPr>
      </w:pPr>
      <w:r w:rsidRPr="009F7E7C">
        <w:rPr>
          <w:rStyle w:val="FootnoteReference"/>
          <w:rFonts w:cs="Times New Roman"/>
          <w:b/>
          <w:szCs w:val="26"/>
        </w:rPr>
        <w:footnoteRef/>
      </w:r>
      <w:r w:rsidRPr="009F7E7C">
        <w:rPr>
          <w:rFonts w:cs="Times New Roman"/>
          <w:b/>
          <w:szCs w:val="26"/>
        </w:rPr>
        <w:t xml:space="preserve"> </w:t>
      </w:r>
      <w:r w:rsidRPr="00E35AF8">
        <w:rPr>
          <w:szCs w:val="26"/>
        </w:rPr>
        <w:tab/>
      </w:r>
      <w:r>
        <w:rPr>
          <w:rFonts w:cs="Times New Roman"/>
          <w:szCs w:val="26"/>
        </w:rPr>
        <w:t xml:space="preserve">State law </w:t>
      </w:r>
      <w:r w:rsidRPr="00E35AF8">
        <w:rPr>
          <w:rFonts w:cs="Times New Roman"/>
          <w:szCs w:val="26"/>
        </w:rPr>
        <w:t xml:space="preserve">recognizes </w:t>
      </w:r>
      <w:r>
        <w:rPr>
          <w:rFonts w:cs="Times New Roman"/>
          <w:szCs w:val="26"/>
        </w:rPr>
        <w:t>multiple</w:t>
      </w:r>
      <w:r w:rsidRPr="00E35AF8">
        <w:rPr>
          <w:rFonts w:cs="Times New Roman"/>
          <w:szCs w:val="26"/>
        </w:rPr>
        <w:t xml:space="preserve"> frameworks for collective marketing </w:t>
      </w:r>
      <w:r>
        <w:rPr>
          <w:rFonts w:cs="Times New Roman"/>
          <w:szCs w:val="26"/>
        </w:rPr>
        <w:t>within the agriculture sector.  T</w:t>
      </w:r>
      <w:r w:rsidRPr="00E35AF8">
        <w:rPr>
          <w:rFonts w:cs="Times New Roman"/>
          <w:szCs w:val="26"/>
        </w:rPr>
        <w:t>he two most common</w:t>
      </w:r>
      <w:r>
        <w:rPr>
          <w:rFonts w:cs="Times New Roman"/>
          <w:szCs w:val="26"/>
        </w:rPr>
        <w:t>ly utilized</w:t>
      </w:r>
      <w:r w:rsidRPr="00E35AF8">
        <w:rPr>
          <w:rFonts w:cs="Times New Roman"/>
          <w:szCs w:val="26"/>
        </w:rPr>
        <w:t xml:space="preserve"> are marketing orders</w:t>
      </w:r>
      <w:r>
        <w:rPr>
          <w:rFonts w:cs="Times New Roman"/>
          <w:szCs w:val="26"/>
        </w:rPr>
        <w:t xml:space="preserve"> </w:t>
      </w:r>
      <w:r w:rsidRPr="00E35AF8">
        <w:rPr>
          <w:rFonts w:cs="Times New Roman"/>
          <w:szCs w:val="26"/>
        </w:rPr>
        <w:t>—</w:t>
      </w:r>
      <w:r>
        <w:rPr>
          <w:rFonts w:cs="Times New Roman"/>
          <w:szCs w:val="26"/>
        </w:rPr>
        <w:t xml:space="preserve"> </w:t>
      </w:r>
      <w:r w:rsidRPr="00E35AF8">
        <w:rPr>
          <w:rFonts w:cs="Times New Roman"/>
          <w:szCs w:val="26"/>
        </w:rPr>
        <w:t>the subject of our decision</w:t>
      </w:r>
      <w:r>
        <w:rPr>
          <w:rFonts w:cs="Times New Roman"/>
          <w:szCs w:val="26"/>
        </w:rPr>
        <w:t>s</w:t>
      </w:r>
      <w:r w:rsidRPr="00E35AF8">
        <w:rPr>
          <w:rFonts w:cs="Times New Roman"/>
          <w:szCs w:val="26"/>
        </w:rPr>
        <w:t xml:space="preserve"> in </w:t>
      </w:r>
      <w:r>
        <w:rPr>
          <w:rFonts w:cs="Times New Roman"/>
          <w:i/>
          <w:szCs w:val="26"/>
        </w:rPr>
        <w:t>Gerawan </w:t>
      </w:r>
      <w:r w:rsidRPr="00E35AF8">
        <w:rPr>
          <w:rFonts w:cs="Times New Roman"/>
          <w:i/>
          <w:szCs w:val="26"/>
        </w:rPr>
        <w:t>I</w:t>
      </w:r>
      <w:r w:rsidRPr="00E35AF8">
        <w:rPr>
          <w:rFonts w:cs="Times New Roman"/>
          <w:szCs w:val="26"/>
        </w:rPr>
        <w:t xml:space="preserve">, </w:t>
      </w:r>
      <w:r w:rsidRPr="00E35AF8">
        <w:rPr>
          <w:rFonts w:cs="Times New Roman"/>
          <w:i/>
          <w:szCs w:val="26"/>
        </w:rPr>
        <w:t>supra</w:t>
      </w:r>
      <w:r w:rsidRPr="00E35AF8">
        <w:rPr>
          <w:rFonts w:cs="Times New Roman"/>
          <w:szCs w:val="26"/>
        </w:rPr>
        <w:t xml:space="preserve">, </w:t>
      </w:r>
      <w:r w:rsidRPr="005B1269">
        <w:rPr>
          <w:rFonts w:cs="Times New Roman"/>
          <w:szCs w:val="26"/>
        </w:rPr>
        <w:t>24 Cal.4th 468</w:t>
      </w:r>
      <w:r>
        <w:rPr>
          <w:rFonts w:cs="Times New Roman"/>
          <w:szCs w:val="26"/>
        </w:rPr>
        <w:t xml:space="preserve">, and </w:t>
      </w:r>
      <w:r>
        <w:rPr>
          <w:rFonts w:cs="Times New Roman"/>
          <w:i/>
          <w:szCs w:val="26"/>
        </w:rPr>
        <w:t>Gerawan </w:t>
      </w:r>
      <w:r w:rsidRPr="00E35AF8">
        <w:rPr>
          <w:rFonts w:cs="Times New Roman"/>
          <w:i/>
          <w:szCs w:val="26"/>
        </w:rPr>
        <w:t>II</w:t>
      </w:r>
      <w:r w:rsidRPr="00E35AF8">
        <w:rPr>
          <w:rFonts w:cs="Times New Roman"/>
          <w:szCs w:val="26"/>
        </w:rPr>
        <w:t xml:space="preserve">, </w:t>
      </w:r>
      <w:r w:rsidRPr="00E35AF8">
        <w:rPr>
          <w:rFonts w:cs="Times New Roman"/>
          <w:i/>
          <w:szCs w:val="26"/>
        </w:rPr>
        <w:t>supra</w:t>
      </w:r>
      <w:r w:rsidRPr="00E35AF8">
        <w:rPr>
          <w:rFonts w:cs="Times New Roman"/>
          <w:szCs w:val="26"/>
        </w:rPr>
        <w:t>, 33 Cal.4th 1</w:t>
      </w:r>
      <w:r>
        <w:rPr>
          <w:rFonts w:cs="Times New Roman"/>
          <w:szCs w:val="26"/>
        </w:rPr>
        <w:t xml:space="preserve"> </w:t>
      </w:r>
      <w:r w:rsidRPr="00E35AF8">
        <w:rPr>
          <w:rFonts w:cs="Times New Roman"/>
          <w:szCs w:val="26"/>
        </w:rPr>
        <w:t>—</w:t>
      </w:r>
      <w:r>
        <w:rPr>
          <w:rFonts w:cs="Times New Roman"/>
          <w:szCs w:val="26"/>
        </w:rPr>
        <w:t xml:space="preserve"> </w:t>
      </w:r>
      <w:r w:rsidRPr="00E35AF8">
        <w:rPr>
          <w:rFonts w:cs="Times New Roman"/>
          <w:szCs w:val="26"/>
        </w:rPr>
        <w:t xml:space="preserve">and commissions.  </w:t>
      </w:r>
    </w:p>
    <w:p w:rsidR="00AD4D26" w:rsidP="009F7E7C">
      <w:pPr>
        <w:spacing w:after="0" w:line="240" w:lineRule="auto"/>
        <w:rPr>
          <w:rFonts w:cs="Times New Roman"/>
          <w:szCs w:val="26"/>
        </w:rPr>
      </w:pPr>
      <w:r>
        <w:rPr>
          <w:rFonts w:cs="Times New Roman"/>
          <w:szCs w:val="26"/>
        </w:rPr>
        <w:tab/>
        <w:t>Under state law, m</w:t>
      </w:r>
      <w:r w:rsidRPr="00E35AF8">
        <w:rPr>
          <w:rFonts w:cs="Times New Roman"/>
          <w:szCs w:val="26"/>
        </w:rPr>
        <w:t xml:space="preserve">arketing orders are </w:t>
      </w:r>
      <w:r>
        <w:rPr>
          <w:rFonts w:cs="Times New Roman"/>
          <w:szCs w:val="26"/>
        </w:rPr>
        <w:t>issued pursuant</w:t>
      </w:r>
      <w:r w:rsidRPr="00E35AF8">
        <w:rPr>
          <w:rFonts w:cs="Times New Roman"/>
          <w:szCs w:val="26"/>
        </w:rPr>
        <w:t xml:space="preserve"> </w:t>
      </w:r>
      <w:r>
        <w:rPr>
          <w:rFonts w:cs="Times New Roman"/>
          <w:szCs w:val="26"/>
        </w:rPr>
        <w:t xml:space="preserve">to </w:t>
      </w:r>
      <w:r w:rsidRPr="00E35AF8">
        <w:rPr>
          <w:rFonts w:cs="Times New Roman"/>
          <w:szCs w:val="26"/>
        </w:rPr>
        <w:t>the California Marketing Act</w:t>
      </w:r>
      <w:r>
        <w:rPr>
          <w:rFonts w:cs="Times New Roman"/>
          <w:szCs w:val="26"/>
        </w:rPr>
        <w:t xml:space="preserve"> of 1937.  (§ 58601 et seq.; sometimes hereafter referred to as the CMA.)</w:t>
      </w:r>
      <w:r w:rsidRPr="00E35AF8">
        <w:rPr>
          <w:rFonts w:cs="Times New Roman"/>
          <w:szCs w:val="26"/>
        </w:rPr>
        <w:t xml:space="preserve">  This statute authorizes</w:t>
      </w:r>
      <w:r>
        <w:rPr>
          <w:rFonts w:cs="Times New Roman"/>
          <w:szCs w:val="26"/>
        </w:rPr>
        <w:t xml:space="preserve"> the Secretary of the Department of Food and Agriculture (sometimes hereafter referred to as the Secretary; the Department of Food and Agriculture is sometimes referred to as the CDFA)</w:t>
      </w:r>
      <w:r w:rsidRPr="00E35AF8">
        <w:rPr>
          <w:rFonts w:cs="Times New Roman"/>
          <w:szCs w:val="26"/>
        </w:rPr>
        <w:t xml:space="preserve"> to issue marketing orders </w:t>
      </w:r>
      <w:r>
        <w:rPr>
          <w:rFonts w:cs="Times New Roman"/>
          <w:szCs w:val="26"/>
        </w:rPr>
        <w:t>pertaining to</w:t>
      </w:r>
      <w:r w:rsidRPr="00E35AF8">
        <w:rPr>
          <w:rFonts w:cs="Times New Roman"/>
          <w:szCs w:val="26"/>
        </w:rPr>
        <w:t xml:space="preserve"> specifi</w:t>
      </w:r>
      <w:r>
        <w:rPr>
          <w:rFonts w:cs="Times New Roman"/>
          <w:szCs w:val="26"/>
        </w:rPr>
        <w:t>c agricultural commodities.  (§ </w:t>
      </w:r>
      <w:r w:rsidRPr="00E35AF8">
        <w:rPr>
          <w:rFonts w:cs="Times New Roman"/>
          <w:szCs w:val="26"/>
        </w:rPr>
        <w:t xml:space="preserve">58741.)  These orders may </w:t>
      </w:r>
      <w:r>
        <w:rPr>
          <w:rFonts w:cs="Times New Roman"/>
          <w:szCs w:val="26"/>
        </w:rPr>
        <w:t>provide for production limits</w:t>
      </w:r>
      <w:r w:rsidRPr="00E35AF8">
        <w:rPr>
          <w:rFonts w:cs="Times New Roman"/>
          <w:szCs w:val="26"/>
        </w:rPr>
        <w:t xml:space="preserve"> </w:t>
      </w:r>
      <w:r>
        <w:rPr>
          <w:rFonts w:cs="Times New Roman"/>
          <w:szCs w:val="26"/>
        </w:rPr>
        <w:t>(§ 58883), grading standards (§ </w:t>
      </w:r>
      <w:r w:rsidRPr="00E35AF8">
        <w:rPr>
          <w:rFonts w:cs="Times New Roman"/>
          <w:szCs w:val="26"/>
        </w:rPr>
        <w:t>58888), research stud</w:t>
      </w:r>
      <w:r>
        <w:rPr>
          <w:rFonts w:cs="Times New Roman"/>
          <w:szCs w:val="26"/>
        </w:rPr>
        <w:t>ies (§ </w:t>
      </w:r>
      <w:r w:rsidRPr="00E35AF8">
        <w:rPr>
          <w:rFonts w:cs="Times New Roman"/>
          <w:szCs w:val="26"/>
        </w:rPr>
        <w:t>58892), and adv</w:t>
      </w:r>
      <w:r>
        <w:rPr>
          <w:rFonts w:cs="Times New Roman"/>
          <w:szCs w:val="26"/>
        </w:rPr>
        <w:t>ertising and sales promotion (§ </w:t>
      </w:r>
      <w:r w:rsidRPr="00E35AF8">
        <w:rPr>
          <w:rFonts w:cs="Times New Roman"/>
          <w:szCs w:val="26"/>
        </w:rPr>
        <w:t>58889)</w:t>
      </w:r>
      <w:r>
        <w:rPr>
          <w:rFonts w:cs="Times New Roman"/>
          <w:szCs w:val="26"/>
        </w:rPr>
        <w:t>, among other subjects</w:t>
      </w:r>
      <w:r w:rsidRPr="00E35AF8">
        <w:rPr>
          <w:rFonts w:cs="Times New Roman"/>
          <w:szCs w:val="26"/>
        </w:rPr>
        <w:t xml:space="preserve">.  </w:t>
      </w:r>
      <w:r>
        <w:rPr>
          <w:rFonts w:cs="Times New Roman"/>
          <w:szCs w:val="26"/>
        </w:rPr>
        <w:t>In general,</w:t>
      </w:r>
      <w:r w:rsidRPr="00E35AF8">
        <w:rPr>
          <w:rFonts w:cs="Times New Roman"/>
          <w:szCs w:val="26"/>
        </w:rPr>
        <w:t xml:space="preserve"> any provision within a marketing order concerning advertising and sales promotion “shall be directed toward increasing the sale of the commodity without reference to any private brand or trade name </w:t>
      </w:r>
      <w:r>
        <w:rPr>
          <w:rFonts w:cs="Times New Roman"/>
          <w:szCs w:val="26"/>
        </w:rPr>
        <w:t>that</w:t>
      </w:r>
      <w:r w:rsidRPr="00E35AF8">
        <w:rPr>
          <w:rFonts w:cs="Times New Roman"/>
          <w:szCs w:val="26"/>
        </w:rPr>
        <w:t xml:space="preserve"> </w:t>
      </w:r>
      <w:r>
        <w:rPr>
          <w:rFonts w:cs="Times New Roman"/>
          <w:szCs w:val="26"/>
        </w:rPr>
        <w:t>i</w:t>
      </w:r>
      <w:r w:rsidRPr="00E35AF8">
        <w:rPr>
          <w:rFonts w:cs="Times New Roman"/>
          <w:szCs w:val="26"/>
        </w:rPr>
        <w:t>s used by any handler with respect to the commodity regulat</w:t>
      </w:r>
      <w:r>
        <w:rPr>
          <w:rFonts w:cs="Times New Roman"/>
          <w:szCs w:val="26"/>
        </w:rPr>
        <w:t>ed by the marketing order.”  (</w:t>
      </w:r>
      <w:r w:rsidRPr="00FE6128">
        <w:rPr>
          <w:rFonts w:cs="Times New Roman"/>
          <w:i/>
          <w:szCs w:val="26"/>
        </w:rPr>
        <w:t>Id</w:t>
      </w:r>
      <w:r>
        <w:rPr>
          <w:rFonts w:cs="Times New Roman"/>
          <w:szCs w:val="26"/>
        </w:rPr>
        <w:t>., subd. (b).)  As with the scheme prescribed by the Ketchum Act</w:t>
      </w:r>
      <w:r w:rsidRPr="00E35AF8">
        <w:rPr>
          <w:rFonts w:cs="Times New Roman"/>
          <w:szCs w:val="26"/>
        </w:rPr>
        <w:t xml:space="preserve">, funding for activities under a marketing order comes from assessments on producers or handlers of the commodity </w:t>
      </w:r>
      <w:r>
        <w:rPr>
          <w:rFonts w:cs="Times New Roman"/>
          <w:szCs w:val="26"/>
        </w:rPr>
        <w:t xml:space="preserve">subject to </w:t>
      </w:r>
      <w:r w:rsidRPr="00E35AF8">
        <w:rPr>
          <w:rFonts w:cs="Times New Roman"/>
          <w:szCs w:val="26"/>
        </w:rPr>
        <w:t>the order</w:t>
      </w:r>
      <w:r>
        <w:rPr>
          <w:rFonts w:cs="Times New Roman"/>
          <w:szCs w:val="26"/>
        </w:rPr>
        <w:t xml:space="preserve">. </w:t>
      </w:r>
      <w:r w:rsidRPr="00E35AF8">
        <w:rPr>
          <w:rFonts w:cs="Times New Roman"/>
          <w:szCs w:val="26"/>
        </w:rPr>
        <w:t xml:space="preserve"> (§ 58921</w:t>
      </w:r>
      <w:r>
        <w:rPr>
          <w:rFonts w:cs="Times New Roman"/>
          <w:szCs w:val="26"/>
        </w:rPr>
        <w:t>.)</w:t>
      </w:r>
      <w:r w:rsidRPr="00E35AF8">
        <w:rPr>
          <w:rFonts w:cs="Times New Roman"/>
          <w:szCs w:val="26"/>
        </w:rPr>
        <w:t xml:space="preserve">  </w:t>
      </w:r>
    </w:p>
    <w:p w:rsidR="00AD4D26" w:rsidP="009F7E7C">
      <w:pPr>
        <w:spacing w:after="0" w:line="240" w:lineRule="auto"/>
        <w:rPr>
          <w:rFonts w:cs="Times New Roman"/>
          <w:szCs w:val="26"/>
        </w:rPr>
      </w:pPr>
      <w:r>
        <w:rPr>
          <w:rFonts w:cs="Times New Roman"/>
          <w:szCs w:val="26"/>
        </w:rPr>
        <w:tab/>
        <w:t xml:space="preserve">The governance of a marketing order is somewhat different from that associated with actions undertaken by a commission.  Each marketing order </w:t>
      </w:r>
      <w:r w:rsidRPr="00E35AF8">
        <w:rPr>
          <w:rFonts w:cs="Times New Roman"/>
          <w:szCs w:val="26"/>
        </w:rPr>
        <w:t>must provide for the establishment of an advisory board to assist the Secretary in the administration of the order.  (§ 58841.)  Members of an advisory board are appointed by</w:t>
      </w:r>
      <w:r>
        <w:rPr>
          <w:rFonts w:cs="Times New Roman"/>
          <w:szCs w:val="26"/>
        </w:rPr>
        <w:t>,</w:t>
      </w:r>
      <w:r w:rsidRPr="00E35AF8">
        <w:rPr>
          <w:rFonts w:cs="Times New Roman"/>
          <w:szCs w:val="26"/>
        </w:rPr>
        <w:t xml:space="preserve"> and serve at the pleasure of the Secretary.  (</w:t>
      </w:r>
      <w:r w:rsidRPr="00E35AF8">
        <w:rPr>
          <w:rFonts w:cs="Times New Roman"/>
          <w:i/>
          <w:szCs w:val="26"/>
        </w:rPr>
        <w:t>I</w:t>
      </w:r>
      <w:r>
        <w:rPr>
          <w:rFonts w:cs="Times New Roman"/>
          <w:i/>
          <w:szCs w:val="26"/>
        </w:rPr>
        <w:t>bi</w:t>
      </w:r>
      <w:r w:rsidRPr="00E35AF8">
        <w:rPr>
          <w:rFonts w:cs="Times New Roman"/>
          <w:i/>
          <w:szCs w:val="26"/>
        </w:rPr>
        <w:t>d</w:t>
      </w:r>
      <w:r w:rsidRPr="00E35AF8">
        <w:rPr>
          <w:rFonts w:cs="Times New Roman"/>
          <w:szCs w:val="26"/>
        </w:rPr>
        <w:t xml:space="preserve">.)  </w:t>
      </w:r>
      <w:r>
        <w:rPr>
          <w:rFonts w:cs="Times New Roman"/>
          <w:szCs w:val="26"/>
        </w:rPr>
        <w:t xml:space="preserve">Except for a member who may be appointed to represent “the department or the public generally” (§ 58843), </w:t>
      </w:r>
      <w:r w:rsidRPr="00E35AF8">
        <w:rPr>
          <w:rFonts w:cs="Times New Roman"/>
          <w:szCs w:val="26"/>
        </w:rPr>
        <w:t>members</w:t>
      </w:r>
      <w:r>
        <w:rPr>
          <w:rFonts w:cs="Times New Roman"/>
          <w:szCs w:val="26"/>
        </w:rPr>
        <w:t xml:space="preserve"> of an advisory board</w:t>
      </w:r>
      <w:r w:rsidRPr="00E35AF8">
        <w:rPr>
          <w:rFonts w:cs="Times New Roman"/>
          <w:szCs w:val="26"/>
        </w:rPr>
        <w:t xml:space="preserve"> must be involved in the production or handlin</w:t>
      </w:r>
      <w:r>
        <w:rPr>
          <w:rFonts w:cs="Times New Roman"/>
          <w:szCs w:val="26"/>
        </w:rPr>
        <w:t>g of the subject commodity (§ </w:t>
      </w:r>
      <w:r w:rsidRPr="00E35AF8">
        <w:rPr>
          <w:rFonts w:cs="Times New Roman"/>
          <w:szCs w:val="26"/>
        </w:rPr>
        <w:t>58842</w:t>
      </w:r>
      <w:r>
        <w:rPr>
          <w:rFonts w:cs="Times New Roman"/>
          <w:szCs w:val="26"/>
        </w:rPr>
        <w:t>).  An advisory board’s duties</w:t>
      </w:r>
      <w:r w:rsidRPr="00E35AF8">
        <w:rPr>
          <w:rFonts w:cs="Times New Roman"/>
          <w:szCs w:val="26"/>
        </w:rPr>
        <w:t xml:space="preserve"> </w:t>
      </w:r>
      <w:r>
        <w:rPr>
          <w:rFonts w:cs="Times New Roman"/>
          <w:szCs w:val="26"/>
        </w:rPr>
        <w:t>are “administrative only.</w:t>
      </w:r>
      <w:r w:rsidRPr="00E35AF8">
        <w:rPr>
          <w:rFonts w:cs="Times New Roman"/>
          <w:szCs w:val="26"/>
        </w:rPr>
        <w:t>”</w:t>
      </w:r>
      <w:r>
        <w:rPr>
          <w:rFonts w:cs="Times New Roman"/>
          <w:szCs w:val="26"/>
        </w:rPr>
        <w:t xml:space="preserve">  (</w:t>
      </w:r>
      <w:r w:rsidRPr="00E35AF8">
        <w:rPr>
          <w:rFonts w:cs="Times New Roman"/>
          <w:szCs w:val="26"/>
        </w:rPr>
        <w:t>§</w:t>
      </w:r>
      <w:r>
        <w:rPr>
          <w:rFonts w:cs="Times New Roman"/>
          <w:szCs w:val="26"/>
        </w:rPr>
        <w:t> 58846.)</w:t>
      </w:r>
      <w:r w:rsidRPr="00E35AF8">
        <w:rPr>
          <w:rFonts w:cs="Times New Roman"/>
          <w:szCs w:val="26"/>
        </w:rPr>
        <w:t xml:space="preserve">  Among its responsibilities, an advisory board may, “</w:t>
      </w:r>
      <w:r>
        <w:rPr>
          <w:rFonts w:cs="Times New Roman"/>
          <w:szCs w:val="26"/>
        </w:rPr>
        <w:t>[s]</w:t>
      </w:r>
      <w:r w:rsidRPr="00E35AF8">
        <w:rPr>
          <w:rFonts w:cs="Times New Roman"/>
          <w:szCs w:val="26"/>
        </w:rPr>
        <w:t xml:space="preserve">ubject to the approval of the </w:t>
      </w:r>
      <w:r>
        <w:rPr>
          <w:rFonts w:cs="Times New Roman"/>
          <w:szCs w:val="26"/>
        </w:rPr>
        <w:t>[Secretary]</w:t>
      </w:r>
      <w:r w:rsidRPr="00E35AF8">
        <w:rPr>
          <w:rFonts w:cs="Times New Roman"/>
          <w:szCs w:val="26"/>
        </w:rPr>
        <w:t>, administer the marketing order,” and “</w:t>
      </w:r>
      <w:r>
        <w:rPr>
          <w:rFonts w:cs="Times New Roman"/>
          <w:szCs w:val="26"/>
        </w:rPr>
        <w:t>[r]</w:t>
      </w:r>
      <w:r w:rsidRPr="00E35AF8">
        <w:rPr>
          <w:rFonts w:cs="Times New Roman"/>
          <w:szCs w:val="26"/>
        </w:rPr>
        <w:t xml:space="preserve">ecommend to the </w:t>
      </w:r>
      <w:r>
        <w:rPr>
          <w:rFonts w:cs="Times New Roman"/>
          <w:szCs w:val="26"/>
        </w:rPr>
        <w:t xml:space="preserve">[Secretary] </w:t>
      </w:r>
      <w:r w:rsidRPr="00E35AF8">
        <w:rPr>
          <w:rFonts w:cs="Times New Roman"/>
          <w:szCs w:val="26"/>
        </w:rPr>
        <w:t>administrative rules and regulations which relate to the marketing order.”  (</w:t>
      </w:r>
      <w:r w:rsidRPr="00756672">
        <w:rPr>
          <w:rFonts w:cs="Times New Roman"/>
          <w:i/>
          <w:szCs w:val="26"/>
        </w:rPr>
        <w:t>I</w:t>
      </w:r>
      <w:r>
        <w:rPr>
          <w:rFonts w:cs="Times New Roman"/>
          <w:i/>
          <w:szCs w:val="26"/>
        </w:rPr>
        <w:t>d</w:t>
      </w:r>
      <w:r w:rsidRPr="00E35AF8">
        <w:rPr>
          <w:rFonts w:cs="Times New Roman"/>
          <w:szCs w:val="26"/>
        </w:rPr>
        <w:t>.</w:t>
      </w:r>
      <w:r>
        <w:rPr>
          <w:rFonts w:cs="Times New Roman"/>
          <w:szCs w:val="26"/>
        </w:rPr>
        <w:t>, subds. (a), (b).</w:t>
      </w:r>
      <w:r w:rsidRPr="00E35AF8">
        <w:rPr>
          <w:rFonts w:cs="Times New Roman"/>
          <w:szCs w:val="26"/>
        </w:rPr>
        <w:t xml:space="preserve">) </w:t>
      </w:r>
    </w:p>
    <w:p w:rsidR="00AD4D26" w:rsidP="009F7E7C">
      <w:pPr>
        <w:spacing w:after="0" w:line="240" w:lineRule="auto"/>
        <w:rPr>
          <w:rFonts w:cs="Times New Roman"/>
          <w:szCs w:val="26"/>
        </w:rPr>
      </w:pPr>
      <w:r>
        <w:rPr>
          <w:rFonts w:cs="Times New Roman"/>
          <w:szCs w:val="26"/>
        </w:rPr>
        <w:tab/>
      </w:r>
      <w:r w:rsidRPr="00FE6128">
        <w:rPr>
          <w:rFonts w:cs="Times New Roman"/>
          <w:szCs w:val="26"/>
        </w:rPr>
        <w:t>Commissions were developed as an alternative to marketing orders.</w:t>
      </w:r>
      <w:r>
        <w:rPr>
          <w:rFonts w:cs="Times New Roman"/>
          <w:szCs w:val="26"/>
        </w:rPr>
        <w:t xml:space="preserve">  In addition to the California Table Grape Commission, other commissions that have been authorized by statute include the</w:t>
      </w:r>
      <w:r w:rsidRPr="00FE6128">
        <w:rPr>
          <w:rFonts w:cs="Times New Roman"/>
          <w:szCs w:val="26"/>
        </w:rPr>
        <w:t xml:space="preserve"> Californi</w:t>
      </w:r>
      <w:r>
        <w:rPr>
          <w:rFonts w:cs="Times New Roman"/>
          <w:szCs w:val="26"/>
        </w:rPr>
        <w:t>a Iceberg Lettuce Commission (§ </w:t>
      </w:r>
      <w:r w:rsidRPr="00FE6128">
        <w:rPr>
          <w:rFonts w:cs="Times New Roman"/>
          <w:szCs w:val="26"/>
        </w:rPr>
        <w:t>66501 et seq.); the California Rice Commission (§</w:t>
      </w:r>
      <w:r>
        <w:rPr>
          <w:rFonts w:cs="Times New Roman"/>
          <w:szCs w:val="26"/>
        </w:rPr>
        <w:t> </w:t>
      </w:r>
      <w:r w:rsidRPr="00FE6128">
        <w:rPr>
          <w:rFonts w:cs="Times New Roman"/>
          <w:szCs w:val="26"/>
        </w:rPr>
        <w:t>71000 et seq.); the California Wine Commission (§</w:t>
      </w:r>
      <w:r>
        <w:rPr>
          <w:rFonts w:cs="Times New Roman"/>
          <w:szCs w:val="26"/>
        </w:rPr>
        <w:t> </w:t>
      </w:r>
      <w:r w:rsidRPr="00FE6128">
        <w:rPr>
          <w:rFonts w:cs="Times New Roman"/>
          <w:szCs w:val="26"/>
        </w:rPr>
        <w:t>74501 et seq.); the California Egg Commission (§</w:t>
      </w:r>
      <w:r>
        <w:rPr>
          <w:rFonts w:cs="Times New Roman"/>
          <w:szCs w:val="26"/>
        </w:rPr>
        <w:t> 75001 et seq.)</w:t>
      </w:r>
      <w:r w:rsidRPr="00FE6128">
        <w:rPr>
          <w:rFonts w:cs="Times New Roman"/>
          <w:szCs w:val="26"/>
        </w:rPr>
        <w:t>; the California Sheep Commission (§</w:t>
      </w:r>
      <w:r>
        <w:rPr>
          <w:rFonts w:cs="Times New Roman"/>
          <w:szCs w:val="26"/>
        </w:rPr>
        <w:t> 76201 et seq.)</w:t>
      </w:r>
      <w:r w:rsidRPr="00FE6128">
        <w:rPr>
          <w:rFonts w:cs="Times New Roman"/>
          <w:szCs w:val="26"/>
        </w:rPr>
        <w:t>; the California Forest Products Commission (§</w:t>
      </w:r>
      <w:r>
        <w:rPr>
          <w:rFonts w:cs="Times New Roman"/>
          <w:szCs w:val="26"/>
        </w:rPr>
        <w:t> 77501 et seq.)</w:t>
      </w:r>
      <w:r w:rsidRPr="00FE6128">
        <w:rPr>
          <w:rFonts w:cs="Times New Roman"/>
          <w:szCs w:val="26"/>
        </w:rPr>
        <w:t>; the California Sea Urchin Commission (§</w:t>
      </w:r>
      <w:r>
        <w:rPr>
          <w:rFonts w:cs="Times New Roman"/>
          <w:szCs w:val="26"/>
        </w:rPr>
        <w:t> </w:t>
      </w:r>
      <w:r w:rsidRPr="00FE6128">
        <w:rPr>
          <w:rFonts w:cs="Times New Roman"/>
          <w:szCs w:val="26"/>
        </w:rPr>
        <w:t>79000 et seq.); the California Nursery Producers Commission (§</w:t>
      </w:r>
      <w:r>
        <w:rPr>
          <w:rFonts w:cs="Times New Roman"/>
          <w:szCs w:val="26"/>
        </w:rPr>
        <w:t> </w:t>
      </w:r>
      <w:r w:rsidRPr="00FE6128">
        <w:rPr>
          <w:rFonts w:cs="Times New Roman"/>
          <w:szCs w:val="26"/>
        </w:rPr>
        <w:t>79401 et seq.); the California Apiary Research Commission (§</w:t>
      </w:r>
      <w:r>
        <w:rPr>
          <w:rFonts w:cs="Times New Roman"/>
          <w:szCs w:val="26"/>
        </w:rPr>
        <w:t> </w:t>
      </w:r>
      <w:r w:rsidRPr="00FE6128">
        <w:rPr>
          <w:rFonts w:cs="Times New Roman"/>
          <w:szCs w:val="26"/>
        </w:rPr>
        <w:t>79601 et seq.); and the Olive Oil Commission of California (§</w:t>
      </w:r>
      <w:r>
        <w:rPr>
          <w:rFonts w:cs="Times New Roman"/>
          <w:szCs w:val="26"/>
        </w:rPr>
        <w:t> </w:t>
      </w:r>
      <w:r w:rsidRPr="00FE6128">
        <w:rPr>
          <w:rFonts w:cs="Times New Roman"/>
          <w:szCs w:val="26"/>
        </w:rPr>
        <w:t>79800 et seq.)</w:t>
      </w:r>
      <w:r>
        <w:rPr>
          <w:rFonts w:cs="Times New Roman"/>
          <w:szCs w:val="26"/>
        </w:rPr>
        <w:t>, among many others</w:t>
      </w:r>
      <w:r w:rsidRPr="00FE6128">
        <w:rPr>
          <w:rFonts w:cs="Times New Roman"/>
          <w:szCs w:val="26"/>
        </w:rPr>
        <w:t>.</w:t>
      </w:r>
      <w:r>
        <w:rPr>
          <w:rFonts w:cs="Times New Roman"/>
          <w:szCs w:val="26"/>
        </w:rPr>
        <w:t xml:space="preserve">  </w:t>
      </w:r>
    </w:p>
    <w:p w:rsidR="00AD4D26" w:rsidRPr="00BD0759" w:rsidP="00945774">
      <w:pPr>
        <w:spacing w:line="240" w:lineRule="auto"/>
        <w:rPr>
          <w:rFonts w:cs="Times New Roman"/>
          <w:sz w:val="24"/>
          <w:szCs w:val="24"/>
        </w:rPr>
      </w:pPr>
      <w:r>
        <w:rPr>
          <w:rFonts w:cs="Times New Roman"/>
          <w:szCs w:val="26"/>
        </w:rPr>
        <w:tab/>
        <w:t xml:space="preserve">The terms of the statutes that have created these and other commissions and vested them with authority vary in some respects from the provisions </w:t>
      </w:r>
      <w:r w:rsidRPr="008F1B33">
        <w:rPr>
          <w:rFonts w:cs="Times New Roman"/>
          <w:szCs w:val="26"/>
        </w:rPr>
        <w:t>of the Ket</w:t>
      </w:r>
      <w:r>
        <w:rPr>
          <w:rFonts w:cs="Times New Roman"/>
          <w:szCs w:val="26"/>
        </w:rPr>
        <w:t xml:space="preserve">chum Act.  One difference is that </w:t>
      </w:r>
      <w:r w:rsidRPr="008F1B33">
        <w:rPr>
          <w:rFonts w:cs="Times New Roman"/>
          <w:szCs w:val="26"/>
        </w:rPr>
        <w:t xml:space="preserve">other statutes </w:t>
      </w:r>
      <w:r>
        <w:rPr>
          <w:rFonts w:cs="Times New Roman"/>
          <w:szCs w:val="26"/>
        </w:rPr>
        <w:t>commonly provide for</w:t>
      </w:r>
      <w:r w:rsidRPr="008F1B33">
        <w:rPr>
          <w:rFonts w:cs="Times New Roman"/>
          <w:szCs w:val="26"/>
        </w:rPr>
        <w:t xml:space="preserve"> </w:t>
      </w:r>
      <w:r>
        <w:rPr>
          <w:rFonts w:cs="Times New Roman"/>
          <w:szCs w:val="26"/>
        </w:rPr>
        <w:t>a different form of</w:t>
      </w:r>
      <w:r w:rsidRPr="008F1B33">
        <w:rPr>
          <w:rFonts w:cs="Times New Roman"/>
          <w:szCs w:val="26"/>
        </w:rPr>
        <w:t xml:space="preserve"> engagement by the </w:t>
      </w:r>
      <w:r>
        <w:rPr>
          <w:rFonts w:cs="Times New Roman"/>
          <w:szCs w:val="26"/>
        </w:rPr>
        <w:t xml:space="preserve">CDFA </w:t>
      </w:r>
      <w:r w:rsidRPr="008F1B33">
        <w:rPr>
          <w:rFonts w:cs="Times New Roman"/>
          <w:szCs w:val="26"/>
        </w:rPr>
        <w:t xml:space="preserve">with the </w:t>
      </w:r>
      <w:r>
        <w:rPr>
          <w:rFonts w:cs="Times New Roman"/>
          <w:szCs w:val="26"/>
        </w:rPr>
        <w:t>relevant c</w:t>
      </w:r>
      <w:r w:rsidRPr="008F1B33">
        <w:rPr>
          <w:rFonts w:cs="Times New Roman"/>
          <w:szCs w:val="26"/>
        </w:rPr>
        <w:t>ommission’s activities</w:t>
      </w:r>
      <w:r>
        <w:rPr>
          <w:rFonts w:cs="Times New Roman"/>
          <w:szCs w:val="26"/>
        </w:rPr>
        <w:t>, from that contemplated under the Ketchum Act</w:t>
      </w:r>
      <w:r w:rsidRPr="008F1B33">
        <w:rPr>
          <w:rFonts w:cs="Times New Roman"/>
          <w:szCs w:val="26"/>
        </w:rPr>
        <w:t xml:space="preserve">.  (E.g., § 66561.3 [authorizing the </w:t>
      </w:r>
      <w:r>
        <w:rPr>
          <w:rFonts w:cs="Times New Roman"/>
          <w:szCs w:val="26"/>
        </w:rPr>
        <w:t>Secretary</w:t>
      </w:r>
      <w:r w:rsidRPr="008F1B33">
        <w:rPr>
          <w:rFonts w:cs="Times New Roman"/>
          <w:szCs w:val="26"/>
        </w:rPr>
        <w:t xml:space="preserve"> to require the California Iceberg Lettuce Commission “to correct or cease any activity or function which is determined by the </w:t>
      </w:r>
      <w:r>
        <w:rPr>
          <w:rFonts w:cs="Times New Roman"/>
          <w:szCs w:val="26"/>
        </w:rPr>
        <w:t>[Secretary]</w:t>
      </w:r>
      <w:r w:rsidRPr="008F1B33">
        <w:rPr>
          <w:rFonts w:cs="Times New Roman"/>
          <w:szCs w:val="26"/>
        </w:rPr>
        <w:t xml:space="preserve"> not to be in the public interest or is in violation of</w:t>
      </w:r>
      <w:r>
        <w:rPr>
          <w:rFonts w:cs="Times New Roman"/>
          <w:szCs w:val="26"/>
        </w:rPr>
        <w:t>”</w:t>
      </w:r>
      <w:r w:rsidRPr="008F1B33">
        <w:rPr>
          <w:rFonts w:cs="Times New Roman"/>
          <w:szCs w:val="26"/>
        </w:rPr>
        <w:t xml:space="preserve"> </w:t>
      </w:r>
      <w:r>
        <w:rPr>
          <w:rFonts w:cs="Times New Roman"/>
          <w:szCs w:val="26"/>
        </w:rPr>
        <w:t>that commission’s authorizing statute]</w:t>
      </w:r>
      <w:r w:rsidRPr="008F1B33">
        <w:rPr>
          <w:rFonts w:cs="Times New Roman"/>
          <w:szCs w:val="26"/>
        </w:rPr>
        <w:t>.)</w:t>
      </w:r>
    </w:p>
  </w:footnote>
  <w:footnote w:id="6">
    <w:p w:rsidR="00AD4D26" w:rsidRPr="00966982" w:rsidP="00AC5314">
      <w:pPr>
        <w:pStyle w:val="FootnoteText"/>
        <w:spacing w:before="240"/>
        <w:rPr>
          <w:rFonts w:cs="Times New Roman"/>
          <w:sz w:val="26"/>
          <w:szCs w:val="26"/>
        </w:rPr>
      </w:pPr>
      <w:r w:rsidRPr="009F7E7C">
        <w:rPr>
          <w:rStyle w:val="FootnoteReference"/>
          <w:rFonts w:cs="Times New Roman"/>
          <w:b/>
          <w:sz w:val="26"/>
          <w:szCs w:val="26"/>
        </w:rPr>
        <w:footnoteRef/>
      </w:r>
      <w:r w:rsidRPr="009F7E7C">
        <w:rPr>
          <w:rFonts w:cs="Times New Roman"/>
          <w:b/>
          <w:sz w:val="26"/>
          <w:szCs w:val="26"/>
        </w:rPr>
        <w:t xml:space="preserve"> </w:t>
      </w:r>
      <w:r w:rsidRPr="009F7E7C">
        <w:rPr>
          <w:rFonts w:cs="Times New Roman"/>
          <w:b/>
          <w:sz w:val="26"/>
          <w:szCs w:val="26"/>
        </w:rPr>
        <w:tab/>
      </w:r>
      <w:r w:rsidRPr="00966982">
        <w:rPr>
          <w:rFonts w:cs="Times New Roman"/>
          <w:sz w:val="26"/>
          <w:szCs w:val="26"/>
        </w:rPr>
        <w:t>A</w:t>
      </w:r>
      <w:r>
        <w:rPr>
          <w:rFonts w:cs="Times New Roman"/>
          <w:sz w:val="26"/>
          <w:szCs w:val="26"/>
        </w:rPr>
        <w:t>s of July 2012, when</w:t>
      </w:r>
      <w:r w:rsidRPr="00966982">
        <w:rPr>
          <w:rFonts w:cs="Times New Roman"/>
          <w:sz w:val="26"/>
          <w:szCs w:val="26"/>
        </w:rPr>
        <w:t xml:space="preserve"> the Commission </w:t>
      </w:r>
      <w:r>
        <w:rPr>
          <w:rFonts w:cs="Times New Roman"/>
          <w:sz w:val="26"/>
          <w:szCs w:val="26"/>
        </w:rPr>
        <w:t>moved</w:t>
      </w:r>
      <w:r w:rsidRPr="00966982">
        <w:rPr>
          <w:rFonts w:cs="Times New Roman"/>
          <w:sz w:val="26"/>
          <w:szCs w:val="26"/>
        </w:rPr>
        <w:t xml:space="preserve"> for summary judgment, it </w:t>
      </w:r>
      <w:r>
        <w:rPr>
          <w:rFonts w:cs="Times New Roman"/>
          <w:sz w:val="26"/>
          <w:szCs w:val="26"/>
        </w:rPr>
        <w:t>had</w:t>
      </w:r>
      <w:r w:rsidRPr="00966982">
        <w:rPr>
          <w:rFonts w:cs="Times New Roman"/>
          <w:sz w:val="26"/>
          <w:szCs w:val="26"/>
        </w:rPr>
        <w:t xml:space="preserve"> </w:t>
      </w:r>
      <w:r>
        <w:rPr>
          <w:rFonts w:cs="Times New Roman"/>
          <w:sz w:val="26"/>
          <w:szCs w:val="26"/>
        </w:rPr>
        <w:t>22</w:t>
      </w:r>
      <w:r w:rsidRPr="00966982">
        <w:rPr>
          <w:rFonts w:cs="Times New Roman"/>
          <w:sz w:val="26"/>
          <w:szCs w:val="26"/>
        </w:rPr>
        <w:t xml:space="preserve"> </w:t>
      </w:r>
      <w:r>
        <w:rPr>
          <w:rFonts w:cs="Times New Roman"/>
          <w:sz w:val="26"/>
          <w:szCs w:val="26"/>
        </w:rPr>
        <w:t>employees</w:t>
      </w:r>
      <w:r w:rsidRPr="00966982">
        <w:rPr>
          <w:rFonts w:cs="Times New Roman"/>
          <w:sz w:val="26"/>
          <w:szCs w:val="26"/>
        </w:rPr>
        <w:t xml:space="preserve">.  </w:t>
      </w:r>
    </w:p>
  </w:footnote>
  <w:footnote w:id="7">
    <w:p w:rsidR="00AD4D26">
      <w:pPr>
        <w:pStyle w:val="FootnoteText"/>
      </w:pPr>
      <w:r w:rsidRPr="009F7E7C">
        <w:rPr>
          <w:rStyle w:val="FootnoteReference"/>
          <w:rFonts w:cs="Times New Roman"/>
          <w:b/>
          <w:sz w:val="26"/>
          <w:szCs w:val="26"/>
        </w:rPr>
        <w:footnoteRef/>
      </w:r>
      <w:r w:rsidRPr="009F7E7C">
        <w:rPr>
          <w:rFonts w:cs="Times New Roman"/>
          <w:b/>
          <w:sz w:val="26"/>
          <w:szCs w:val="26"/>
        </w:rPr>
        <w:t xml:space="preserve"> </w:t>
      </w:r>
      <w:r w:rsidRPr="009F7E7C">
        <w:rPr>
          <w:rFonts w:cs="Times New Roman"/>
          <w:b/>
          <w:sz w:val="26"/>
          <w:szCs w:val="26"/>
        </w:rPr>
        <w:tab/>
      </w:r>
      <w:r>
        <w:rPr>
          <w:rFonts w:cs="Times New Roman"/>
          <w:sz w:val="26"/>
          <w:szCs w:val="26"/>
        </w:rPr>
        <w:t>Per the record developed below, i</w:t>
      </w:r>
      <w:r w:rsidRPr="00613791">
        <w:rPr>
          <w:rFonts w:cs="Times New Roman"/>
          <w:sz w:val="26"/>
          <w:szCs w:val="26"/>
        </w:rPr>
        <w:t xml:space="preserve">n 2010-2011, the last fiscal year for which data appear in the record, the Commission spent $1,902,770 in assessment funds on research activities, $1,352,222 on trade management, $1,375,654 on issue management, $2,103,311 on paid advertising, and $1,949,374 on education and outreach.  </w:t>
      </w:r>
    </w:p>
  </w:footnote>
  <w:footnote w:id="8">
    <w:p w:rsidR="00AD4D26" w:rsidP="004C7DCB">
      <w:pPr>
        <w:pStyle w:val="FootnoteText"/>
        <w:rPr>
          <w:rFonts w:cs="Times New Roman"/>
          <w:sz w:val="26"/>
          <w:szCs w:val="26"/>
        </w:rPr>
      </w:pPr>
      <w:r w:rsidRPr="00111AA8">
        <w:rPr>
          <w:rStyle w:val="FootnoteReference"/>
          <w:rFonts w:cs="Times New Roman"/>
          <w:b/>
          <w:sz w:val="26"/>
          <w:szCs w:val="26"/>
        </w:rPr>
        <w:footnoteRef/>
      </w:r>
      <w:r w:rsidRPr="00111AA8">
        <w:rPr>
          <w:rFonts w:cs="Times New Roman"/>
          <w:b/>
          <w:sz w:val="26"/>
          <w:szCs w:val="26"/>
        </w:rPr>
        <w:t xml:space="preserve"> </w:t>
      </w:r>
      <w:r w:rsidRPr="00361076">
        <w:rPr>
          <w:rFonts w:cs="Times New Roman"/>
          <w:sz w:val="26"/>
          <w:szCs w:val="26"/>
        </w:rPr>
        <w:tab/>
      </w:r>
      <w:r>
        <w:rPr>
          <w:rFonts w:cs="Times New Roman"/>
          <w:sz w:val="26"/>
          <w:szCs w:val="26"/>
        </w:rPr>
        <w:t>T</w:t>
      </w:r>
      <w:r w:rsidRPr="00361076">
        <w:rPr>
          <w:rFonts w:cs="Times New Roman"/>
          <w:sz w:val="26"/>
          <w:szCs w:val="26"/>
        </w:rPr>
        <w:t xml:space="preserve">he Act refers to the Secretary of the </w:t>
      </w:r>
      <w:r>
        <w:rPr>
          <w:rFonts w:cs="Times New Roman"/>
          <w:sz w:val="26"/>
          <w:szCs w:val="26"/>
        </w:rPr>
        <w:t>CDFA</w:t>
      </w:r>
      <w:r w:rsidRPr="00361076">
        <w:rPr>
          <w:rFonts w:cs="Times New Roman"/>
          <w:sz w:val="26"/>
          <w:szCs w:val="26"/>
        </w:rPr>
        <w:t xml:space="preserve"> as the “Director,” </w:t>
      </w:r>
      <w:r>
        <w:rPr>
          <w:rFonts w:cs="Times New Roman"/>
          <w:sz w:val="26"/>
          <w:szCs w:val="26"/>
        </w:rPr>
        <w:t xml:space="preserve">the Secretary’s former title. </w:t>
      </w:r>
      <w:r w:rsidRPr="00361076">
        <w:rPr>
          <w:rFonts w:cs="Times New Roman"/>
          <w:sz w:val="26"/>
          <w:szCs w:val="26"/>
        </w:rPr>
        <w:t xml:space="preserve"> </w:t>
      </w:r>
      <w:r>
        <w:rPr>
          <w:rFonts w:cs="Times New Roman"/>
          <w:sz w:val="26"/>
          <w:szCs w:val="26"/>
        </w:rPr>
        <w:t xml:space="preserve">(See § 50.) </w:t>
      </w:r>
    </w:p>
    <w:p w:rsidR="00AD4D26" w:rsidRPr="00361076" w:rsidP="004C7DCB">
      <w:pPr>
        <w:pStyle w:val="FootnoteText"/>
        <w:rPr>
          <w:rFonts w:cs="Times New Roman"/>
          <w:sz w:val="26"/>
          <w:szCs w:val="26"/>
        </w:rPr>
      </w:pPr>
    </w:p>
  </w:footnote>
  <w:footnote w:id="9">
    <w:p w:rsidR="00AD4D26" w:rsidRPr="00822B88">
      <w:pPr>
        <w:pStyle w:val="FootnoteText"/>
        <w:rPr>
          <w:rFonts w:cs="Times New Roman"/>
          <w:sz w:val="26"/>
          <w:szCs w:val="26"/>
        </w:rPr>
      </w:pPr>
      <w:r w:rsidRPr="00111AA8">
        <w:rPr>
          <w:rStyle w:val="FootnoteReference"/>
          <w:rFonts w:cs="Times New Roman"/>
          <w:b/>
          <w:sz w:val="26"/>
          <w:szCs w:val="26"/>
        </w:rPr>
        <w:footnoteRef/>
      </w:r>
      <w:r w:rsidRPr="00111AA8">
        <w:rPr>
          <w:rFonts w:cs="Times New Roman"/>
          <w:b/>
          <w:sz w:val="26"/>
          <w:szCs w:val="26"/>
        </w:rPr>
        <w:t xml:space="preserve"> </w:t>
      </w:r>
      <w:r w:rsidRPr="00822B88">
        <w:rPr>
          <w:rFonts w:cs="Times New Roman"/>
          <w:sz w:val="26"/>
          <w:szCs w:val="26"/>
        </w:rPr>
        <w:tab/>
      </w:r>
      <w:r>
        <w:rPr>
          <w:rFonts w:cs="Times New Roman"/>
          <w:sz w:val="26"/>
          <w:szCs w:val="26"/>
        </w:rPr>
        <w:t>Plaintiffs’ operative complaints also allege</w:t>
      </w:r>
      <w:r w:rsidRPr="00822B88">
        <w:rPr>
          <w:rFonts w:cs="Times New Roman"/>
          <w:sz w:val="26"/>
          <w:szCs w:val="26"/>
        </w:rPr>
        <w:t xml:space="preserve"> other violations of </w:t>
      </w:r>
      <w:r>
        <w:rPr>
          <w:rFonts w:cs="Times New Roman"/>
          <w:sz w:val="26"/>
          <w:szCs w:val="26"/>
        </w:rPr>
        <w:t xml:space="preserve">their constitutional </w:t>
      </w:r>
      <w:r w:rsidRPr="00822B88">
        <w:rPr>
          <w:rFonts w:cs="Times New Roman"/>
          <w:sz w:val="26"/>
          <w:szCs w:val="26"/>
        </w:rPr>
        <w:t>rights</w:t>
      </w:r>
      <w:r>
        <w:rPr>
          <w:rFonts w:cs="Times New Roman"/>
          <w:sz w:val="26"/>
          <w:szCs w:val="26"/>
        </w:rPr>
        <w:t>.  These allegations</w:t>
      </w:r>
      <w:r w:rsidRPr="00822B88">
        <w:rPr>
          <w:rFonts w:cs="Times New Roman"/>
          <w:sz w:val="26"/>
          <w:szCs w:val="26"/>
        </w:rPr>
        <w:t xml:space="preserve"> are not at issue at this stage of the litigation.  </w:t>
      </w:r>
    </w:p>
  </w:footnote>
  <w:footnote w:id="10">
    <w:p w:rsidR="00AD4D26" w:rsidRPr="00FD4392">
      <w:pPr>
        <w:pStyle w:val="FootnoteText"/>
        <w:rPr>
          <w:sz w:val="26"/>
          <w:szCs w:val="26"/>
        </w:rPr>
      </w:pPr>
      <w:r w:rsidRPr="00111AA8">
        <w:rPr>
          <w:rStyle w:val="FootnoteReference"/>
          <w:b/>
          <w:sz w:val="26"/>
          <w:szCs w:val="26"/>
        </w:rPr>
        <w:footnoteRef/>
      </w:r>
      <w:r w:rsidRPr="00111AA8">
        <w:rPr>
          <w:b/>
          <w:sz w:val="26"/>
          <w:szCs w:val="26"/>
        </w:rPr>
        <w:t xml:space="preserve"> </w:t>
      </w:r>
      <w:r w:rsidRPr="00FD4392">
        <w:rPr>
          <w:sz w:val="26"/>
          <w:szCs w:val="26"/>
        </w:rPr>
        <w:tab/>
      </w:r>
      <w:r w:rsidRPr="00FD4392">
        <w:rPr>
          <w:rFonts w:cs="Times New Roman"/>
          <w:sz w:val="26"/>
          <w:szCs w:val="26"/>
        </w:rPr>
        <w:t xml:space="preserve">Those cases included federal proceedings initiated by three California table grape growers — one of which, Delano Farms, is among the plaintiffs here — </w:t>
      </w:r>
      <w:r>
        <w:rPr>
          <w:rFonts w:cs="Times New Roman"/>
          <w:sz w:val="26"/>
          <w:szCs w:val="26"/>
        </w:rPr>
        <w:t>that attacked</w:t>
      </w:r>
      <w:r w:rsidRPr="00FD4392">
        <w:rPr>
          <w:rFonts w:cs="Times New Roman"/>
          <w:sz w:val="26"/>
          <w:szCs w:val="26"/>
        </w:rPr>
        <w:t xml:space="preserve"> the Ketchum Act’s compelled-assessment program as violating their rights under the First and Fourteenth Amendments to the United States Constitution.  (See </w:t>
      </w:r>
      <w:r w:rsidRPr="00FD4392">
        <w:rPr>
          <w:rFonts w:cs="Times New Roman"/>
          <w:i/>
          <w:sz w:val="26"/>
          <w:szCs w:val="26"/>
        </w:rPr>
        <w:t>Delano Farms Co. v. California Table Grape Com’n</w:t>
      </w:r>
      <w:r>
        <w:rPr>
          <w:rFonts w:cs="Times New Roman"/>
          <w:sz w:val="26"/>
          <w:szCs w:val="26"/>
        </w:rPr>
        <w:t xml:space="preserve"> (9th Cir. 2009) 586 F.3d 1219</w:t>
      </w:r>
      <w:r w:rsidRPr="00FD4392">
        <w:rPr>
          <w:rFonts w:cs="Times New Roman"/>
          <w:sz w:val="26"/>
          <w:szCs w:val="26"/>
        </w:rPr>
        <w:t>.)</w:t>
      </w:r>
      <w:r>
        <w:rPr>
          <w:rFonts w:cs="Times New Roman"/>
          <w:sz w:val="26"/>
          <w:szCs w:val="26"/>
        </w:rPr>
        <w:t xml:space="preserve">  </w:t>
      </w:r>
      <w:r w:rsidRPr="00FD4392">
        <w:rPr>
          <w:rFonts w:cs="Times New Roman"/>
          <w:sz w:val="26"/>
          <w:szCs w:val="26"/>
        </w:rPr>
        <w:t xml:space="preserve">As will be discussed in more detail </w:t>
      </w:r>
      <w:r w:rsidRPr="00FD4392">
        <w:rPr>
          <w:rFonts w:cs="Times New Roman"/>
          <w:i/>
          <w:sz w:val="26"/>
          <w:szCs w:val="26"/>
        </w:rPr>
        <w:t>post</w:t>
      </w:r>
      <w:r w:rsidRPr="00FD4392">
        <w:rPr>
          <w:rFonts w:cs="Times New Roman"/>
          <w:sz w:val="26"/>
          <w:szCs w:val="26"/>
        </w:rPr>
        <w:t xml:space="preserve">, that </w:t>
      </w:r>
      <w:r>
        <w:rPr>
          <w:rFonts w:cs="Times New Roman"/>
          <w:sz w:val="26"/>
          <w:szCs w:val="26"/>
        </w:rPr>
        <w:t>litigation</w:t>
      </w:r>
      <w:r w:rsidRPr="00FD4392">
        <w:rPr>
          <w:rFonts w:cs="Times New Roman"/>
          <w:sz w:val="26"/>
          <w:szCs w:val="26"/>
        </w:rPr>
        <w:t xml:space="preserve"> concluded with the rejection of the plaintiffs’ claims.  </w:t>
      </w:r>
    </w:p>
  </w:footnote>
  <w:footnote w:id="11">
    <w:p w:rsidR="00AD4D26" w:rsidRPr="006A316E" w:rsidP="00963254">
      <w:pPr>
        <w:pStyle w:val="FootnoteText"/>
        <w:rPr>
          <w:rFonts w:cs="Times New Roman"/>
          <w:sz w:val="26"/>
          <w:szCs w:val="26"/>
        </w:rPr>
      </w:pPr>
      <w:r w:rsidRPr="00111AA8">
        <w:rPr>
          <w:rStyle w:val="FootnoteReference"/>
          <w:rFonts w:cs="Times New Roman"/>
          <w:b/>
          <w:sz w:val="26"/>
          <w:szCs w:val="26"/>
        </w:rPr>
        <w:footnoteRef/>
      </w:r>
      <w:r w:rsidRPr="00111AA8">
        <w:rPr>
          <w:rFonts w:cs="Times New Roman"/>
          <w:b/>
          <w:sz w:val="26"/>
          <w:szCs w:val="26"/>
        </w:rPr>
        <w:t xml:space="preserve"> </w:t>
      </w:r>
      <w:r w:rsidRPr="006A316E">
        <w:rPr>
          <w:rFonts w:cs="Times New Roman"/>
          <w:sz w:val="26"/>
          <w:szCs w:val="26"/>
        </w:rPr>
        <w:tab/>
      </w:r>
      <w:r>
        <w:rPr>
          <w:rFonts w:cs="Times New Roman"/>
          <w:sz w:val="26"/>
          <w:szCs w:val="26"/>
        </w:rPr>
        <w:t xml:space="preserve">A </w:t>
      </w:r>
      <w:r w:rsidRPr="006A316E">
        <w:rPr>
          <w:rFonts w:cs="Times New Roman"/>
          <w:sz w:val="26"/>
          <w:szCs w:val="26"/>
        </w:rPr>
        <w:t xml:space="preserve">substantively identical </w:t>
      </w:r>
      <w:r>
        <w:rPr>
          <w:rFonts w:cs="Times New Roman"/>
          <w:sz w:val="26"/>
          <w:szCs w:val="26"/>
        </w:rPr>
        <w:t>provision</w:t>
      </w:r>
      <w:r w:rsidRPr="006A316E">
        <w:rPr>
          <w:rFonts w:cs="Times New Roman"/>
          <w:sz w:val="26"/>
          <w:szCs w:val="26"/>
        </w:rPr>
        <w:t xml:space="preserve"> </w:t>
      </w:r>
      <w:r>
        <w:rPr>
          <w:rFonts w:cs="Times New Roman"/>
          <w:sz w:val="26"/>
          <w:szCs w:val="26"/>
        </w:rPr>
        <w:t>formerly appeared at article </w:t>
      </w:r>
      <w:r w:rsidRPr="006A316E">
        <w:rPr>
          <w:rFonts w:cs="Times New Roman"/>
          <w:sz w:val="26"/>
          <w:szCs w:val="26"/>
        </w:rPr>
        <w:t>I, section</w:t>
      </w:r>
      <w:r>
        <w:rPr>
          <w:rFonts w:cs="Times New Roman"/>
          <w:sz w:val="26"/>
          <w:szCs w:val="26"/>
        </w:rPr>
        <w:t> </w:t>
      </w:r>
      <w:r w:rsidRPr="006A316E">
        <w:rPr>
          <w:rFonts w:cs="Times New Roman"/>
          <w:sz w:val="26"/>
          <w:szCs w:val="26"/>
        </w:rPr>
        <w:t>9 of the state Constitution.  (</w:t>
      </w:r>
      <w:r>
        <w:rPr>
          <w:rFonts w:cs="Times New Roman"/>
          <w:sz w:val="26"/>
          <w:szCs w:val="26"/>
        </w:rPr>
        <w:t xml:space="preserve">See </w:t>
      </w:r>
      <w:r w:rsidRPr="006A316E">
        <w:rPr>
          <w:rFonts w:cs="Times New Roman"/>
          <w:i/>
          <w:sz w:val="26"/>
          <w:szCs w:val="26"/>
        </w:rPr>
        <w:t>DeGrassi v. Cook</w:t>
      </w:r>
      <w:r w:rsidRPr="006A316E">
        <w:rPr>
          <w:rFonts w:cs="Times New Roman"/>
          <w:sz w:val="26"/>
          <w:szCs w:val="26"/>
        </w:rPr>
        <w:t xml:space="preserve"> (2002) 29 Cal.4th 333, 339</w:t>
      </w:r>
      <w:r>
        <w:rPr>
          <w:rFonts w:cs="Times New Roman"/>
          <w:sz w:val="26"/>
          <w:szCs w:val="26"/>
        </w:rPr>
        <w:t xml:space="preserve"> [explaining that article I, section 2, subdivision (a) “was added to the state Constitution through Proposition 7 on the November 1974 ballot,” prior to which the state Constitution had “long contained a substantively identical clause set out in former article I, section 9”]</w:t>
      </w:r>
      <w:r w:rsidRPr="006A316E">
        <w:rPr>
          <w:rFonts w:cs="Times New Roman"/>
          <w:sz w:val="26"/>
          <w:szCs w:val="26"/>
        </w:rPr>
        <w:t xml:space="preserve">.) </w:t>
      </w:r>
    </w:p>
  </w:footnote>
  <w:footnote w:id="12">
    <w:p w:rsidR="00AD4D26" w:rsidRPr="00111AA8" w:rsidP="0085098C">
      <w:pPr>
        <w:spacing w:after="0" w:line="240" w:lineRule="auto"/>
        <w:rPr>
          <w:rFonts w:cs="Times New Roman"/>
          <w:szCs w:val="26"/>
        </w:rPr>
      </w:pPr>
      <w:r w:rsidRPr="00111AA8">
        <w:rPr>
          <w:rStyle w:val="FootnoteReference"/>
          <w:rFonts w:cs="Times New Roman"/>
          <w:b/>
          <w:szCs w:val="26"/>
        </w:rPr>
        <w:footnoteRef/>
      </w:r>
      <w:r w:rsidRPr="007A5490">
        <w:rPr>
          <w:rFonts w:cs="Times New Roman"/>
          <w:szCs w:val="26"/>
        </w:rPr>
        <w:tab/>
      </w:r>
      <w:r>
        <w:rPr>
          <w:rFonts w:cs="Times New Roman"/>
          <w:szCs w:val="26"/>
        </w:rPr>
        <w:t>Some of the intuitions behind the government speech doctrine have informed free speech jurisprudence under the First Amendment for decades.  I</w:t>
      </w:r>
      <w:r w:rsidRPr="007A5490">
        <w:rPr>
          <w:rFonts w:cs="Times New Roman"/>
          <w:szCs w:val="26"/>
        </w:rPr>
        <w:t>n</w:t>
      </w:r>
      <w:r w:rsidRPr="003D51C6">
        <w:t xml:space="preserve"> </w:t>
      </w:r>
      <w:r w:rsidRPr="007A5490">
        <w:rPr>
          <w:rFonts w:cs="Times New Roman"/>
          <w:i/>
          <w:szCs w:val="26"/>
        </w:rPr>
        <w:t>Board of Education v. Barnette</w:t>
      </w:r>
      <w:r w:rsidRPr="007A5490">
        <w:rPr>
          <w:rFonts w:cs="Times New Roman"/>
          <w:szCs w:val="26"/>
        </w:rPr>
        <w:t xml:space="preserve"> (1943) 319 U.S. 624</w:t>
      </w:r>
      <w:r>
        <w:rPr>
          <w:rFonts w:cs="Times New Roman"/>
          <w:szCs w:val="26"/>
        </w:rPr>
        <w:t xml:space="preserve"> (</w:t>
      </w:r>
      <w:r w:rsidRPr="00297FCD">
        <w:rPr>
          <w:rFonts w:cs="Times New Roman"/>
          <w:i/>
          <w:szCs w:val="26"/>
        </w:rPr>
        <w:t>Barnette</w:t>
      </w:r>
      <w:r>
        <w:rPr>
          <w:rFonts w:cs="Times New Roman"/>
          <w:szCs w:val="26"/>
        </w:rPr>
        <w:t>), for example, the United States Supreme C</w:t>
      </w:r>
      <w:r w:rsidRPr="007A5490">
        <w:rPr>
          <w:rFonts w:cs="Times New Roman"/>
          <w:szCs w:val="26"/>
        </w:rPr>
        <w:t xml:space="preserve">ourt recognized that a state </w:t>
      </w:r>
      <w:r w:rsidRPr="00380072">
        <w:rPr>
          <w:rFonts w:cs="Times New Roman"/>
          <w:i/>
          <w:szCs w:val="26"/>
        </w:rPr>
        <w:t>could</w:t>
      </w:r>
      <w:r w:rsidRPr="007A5490">
        <w:rPr>
          <w:rFonts w:cs="Times New Roman"/>
          <w:szCs w:val="26"/>
        </w:rPr>
        <w:t xml:space="preserve"> prescribe a general public</w:t>
      </w:r>
      <w:r>
        <w:rPr>
          <w:rFonts w:cs="Times New Roman"/>
          <w:szCs w:val="26"/>
        </w:rPr>
        <w:t xml:space="preserve"> </w:t>
      </w:r>
      <w:r w:rsidRPr="007A5490">
        <w:rPr>
          <w:rFonts w:cs="Times New Roman"/>
          <w:szCs w:val="26"/>
        </w:rPr>
        <w:t>school curriculum (</w:t>
      </w:r>
      <w:r w:rsidRPr="007A5490">
        <w:rPr>
          <w:rFonts w:cs="Times New Roman"/>
          <w:i/>
          <w:szCs w:val="26"/>
        </w:rPr>
        <w:t>id</w:t>
      </w:r>
      <w:r>
        <w:rPr>
          <w:rFonts w:cs="Times New Roman"/>
          <w:szCs w:val="26"/>
        </w:rPr>
        <w:t>., at p. 631), even as it held that the state</w:t>
      </w:r>
      <w:r w:rsidRPr="007A5490">
        <w:rPr>
          <w:rFonts w:cs="Times New Roman"/>
          <w:szCs w:val="26"/>
        </w:rPr>
        <w:t xml:space="preserve"> </w:t>
      </w:r>
      <w:r w:rsidRPr="00380072">
        <w:rPr>
          <w:rFonts w:cs="Times New Roman"/>
          <w:i/>
          <w:szCs w:val="26"/>
        </w:rPr>
        <w:t>could not</w:t>
      </w:r>
      <w:r w:rsidRPr="007A5490">
        <w:rPr>
          <w:rFonts w:cs="Times New Roman"/>
          <w:szCs w:val="26"/>
        </w:rPr>
        <w:t xml:space="preserve"> require students to participate in a flag salute that involved an “affirmation of a belief and an attitude of mind”</w:t>
      </w:r>
      <w:r>
        <w:rPr>
          <w:rFonts w:cs="Times New Roman"/>
          <w:szCs w:val="26"/>
        </w:rPr>
        <w:t xml:space="preserve"> (</w:t>
      </w:r>
      <w:r w:rsidRPr="00C563F9">
        <w:rPr>
          <w:rFonts w:cs="Times New Roman"/>
          <w:i/>
          <w:szCs w:val="26"/>
        </w:rPr>
        <w:t>id</w:t>
      </w:r>
      <w:r>
        <w:rPr>
          <w:rFonts w:cs="Times New Roman"/>
          <w:szCs w:val="26"/>
        </w:rPr>
        <w:t>., at p. 633),</w:t>
      </w:r>
      <w:r w:rsidRPr="007A5490">
        <w:rPr>
          <w:rFonts w:cs="Times New Roman"/>
          <w:szCs w:val="26"/>
        </w:rPr>
        <w:t xml:space="preserve"> upon pain of expulsion and possible treatment as a delinquent (</w:t>
      </w:r>
      <w:r w:rsidRPr="007A5490">
        <w:rPr>
          <w:rFonts w:cs="Times New Roman"/>
          <w:i/>
          <w:szCs w:val="26"/>
        </w:rPr>
        <w:t>id</w:t>
      </w:r>
      <w:r>
        <w:rPr>
          <w:rFonts w:cs="Times New Roman"/>
          <w:szCs w:val="26"/>
        </w:rPr>
        <w:t>., at pp. 629-630, 642</w:t>
      </w:r>
      <w:r w:rsidRPr="007A5490">
        <w:rPr>
          <w:rFonts w:cs="Times New Roman"/>
          <w:szCs w:val="26"/>
        </w:rPr>
        <w:t>)</w:t>
      </w:r>
      <w:r>
        <w:rPr>
          <w:rFonts w:cs="Times New Roman"/>
          <w:szCs w:val="26"/>
        </w:rPr>
        <w:t>.</w:t>
      </w:r>
      <w:r w:rsidRPr="007A5490">
        <w:rPr>
          <w:rFonts w:cs="Times New Roman"/>
          <w:szCs w:val="26"/>
        </w:rPr>
        <w:t xml:space="preserve"> </w:t>
      </w:r>
      <w:r>
        <w:rPr>
          <w:rFonts w:cs="Times New Roman"/>
          <w:szCs w:val="26"/>
        </w:rPr>
        <w:t xml:space="preserve"> Only more recently, however, has the government speech doctrine coalesced into a discrete theory.  As previously noted, the doctrine’s ongoing elaboration and significant implications have led the high court to caution against its “misuse.”  (</w:t>
      </w:r>
      <w:r w:rsidRPr="00257211">
        <w:rPr>
          <w:rFonts w:cs="Times New Roman"/>
          <w:i/>
          <w:szCs w:val="26"/>
        </w:rPr>
        <w:t>Matal</w:t>
      </w:r>
      <w:r>
        <w:rPr>
          <w:rFonts w:cs="Times New Roman"/>
          <w:szCs w:val="26"/>
        </w:rPr>
        <w:t xml:space="preserve">, </w:t>
      </w:r>
      <w:r w:rsidRPr="00257211">
        <w:rPr>
          <w:rFonts w:cs="Times New Roman"/>
          <w:i/>
          <w:szCs w:val="26"/>
        </w:rPr>
        <w:t>supra</w:t>
      </w:r>
      <w:r>
        <w:rPr>
          <w:rFonts w:cs="Times New Roman"/>
          <w:szCs w:val="26"/>
        </w:rPr>
        <w:t>, 582 U.S. at p. ___ [137 S.Ct. at p. 1758].)</w:t>
      </w:r>
    </w:p>
  </w:footnote>
  <w:footnote w:id="13">
    <w:p w:rsidR="00AD4D26" w:rsidRPr="004D11F9" w:rsidP="001673E9">
      <w:pPr>
        <w:pStyle w:val="FootnoteText"/>
        <w:rPr>
          <w:rFonts w:cs="Times New Roman"/>
          <w:sz w:val="26"/>
          <w:szCs w:val="26"/>
        </w:rPr>
      </w:pPr>
      <w:r w:rsidRPr="006E27A2">
        <w:rPr>
          <w:rStyle w:val="FootnoteReference"/>
          <w:rFonts w:cs="Times New Roman"/>
          <w:b/>
          <w:sz w:val="26"/>
          <w:szCs w:val="26"/>
        </w:rPr>
        <w:footnoteRef/>
      </w:r>
      <w:r w:rsidRPr="006E27A2">
        <w:rPr>
          <w:rFonts w:cs="Times New Roman"/>
          <w:b/>
          <w:sz w:val="26"/>
          <w:szCs w:val="26"/>
        </w:rPr>
        <w:t xml:space="preserve"> </w:t>
      </w:r>
      <w:r>
        <w:rPr>
          <w:rFonts w:cs="Times New Roman"/>
          <w:sz w:val="26"/>
          <w:szCs w:val="26"/>
        </w:rPr>
        <w:tab/>
        <w:t xml:space="preserve">Although our </w:t>
      </w:r>
      <w:r w:rsidRPr="00745AF3">
        <w:rPr>
          <w:rFonts w:cs="Times New Roman"/>
          <w:sz w:val="26"/>
          <w:szCs w:val="26"/>
        </w:rPr>
        <w:t xml:space="preserve">decision in </w:t>
      </w:r>
      <w:r w:rsidRPr="00745AF3">
        <w:rPr>
          <w:rFonts w:cs="Times New Roman"/>
          <w:i/>
          <w:sz w:val="26"/>
          <w:szCs w:val="26"/>
        </w:rPr>
        <w:t>Keller v. State Bar</w:t>
      </w:r>
      <w:r w:rsidRPr="00745AF3">
        <w:rPr>
          <w:rFonts w:cs="Times New Roman"/>
          <w:sz w:val="26"/>
          <w:szCs w:val="26"/>
        </w:rPr>
        <w:t xml:space="preserve">, </w:t>
      </w:r>
      <w:r w:rsidRPr="00745AF3">
        <w:rPr>
          <w:rFonts w:cs="Times New Roman"/>
          <w:i/>
          <w:sz w:val="26"/>
          <w:szCs w:val="26"/>
        </w:rPr>
        <w:t>sup</w:t>
      </w:r>
      <w:r w:rsidRPr="00AB3ECB">
        <w:rPr>
          <w:rFonts w:cs="Times New Roman"/>
          <w:i/>
          <w:sz w:val="26"/>
          <w:szCs w:val="26"/>
        </w:rPr>
        <w:t>ra</w:t>
      </w:r>
      <w:r>
        <w:rPr>
          <w:rFonts w:cs="Times New Roman"/>
          <w:sz w:val="26"/>
          <w:szCs w:val="26"/>
        </w:rPr>
        <w:t>, 47 Cal.3d 1152,</w:t>
      </w:r>
      <w:r w:rsidRPr="00AB3ECB">
        <w:rPr>
          <w:rFonts w:cs="Times New Roman"/>
          <w:sz w:val="26"/>
          <w:szCs w:val="26"/>
        </w:rPr>
        <w:t xml:space="preserve"> </w:t>
      </w:r>
      <w:r>
        <w:rPr>
          <w:rFonts w:cs="Times New Roman"/>
          <w:sz w:val="26"/>
          <w:szCs w:val="26"/>
        </w:rPr>
        <w:t xml:space="preserve">recognized </w:t>
      </w:r>
      <w:r w:rsidRPr="00AB3ECB">
        <w:rPr>
          <w:rFonts w:cs="Times New Roman"/>
          <w:sz w:val="26"/>
          <w:szCs w:val="26"/>
        </w:rPr>
        <w:t>“certain similarities between a bar and a labor union which would support imposing upon the bar those restrictions</w:t>
      </w:r>
      <w:r>
        <w:rPr>
          <w:rFonts w:cs="Times New Roman"/>
          <w:sz w:val="26"/>
          <w:szCs w:val="26"/>
        </w:rPr>
        <w:t xml:space="preserve"> which limit union expenditures,</w:t>
      </w:r>
      <w:r w:rsidRPr="00AB3ECB">
        <w:rPr>
          <w:rFonts w:cs="Times New Roman"/>
          <w:sz w:val="26"/>
          <w:szCs w:val="26"/>
        </w:rPr>
        <w:t>” we emphasized that “[t]he California Constitution, statutes, and judicial decisions . . . appear to envision the bar as a government</w:t>
      </w:r>
      <w:r>
        <w:rPr>
          <w:rFonts w:cs="Times New Roman"/>
          <w:sz w:val="26"/>
          <w:szCs w:val="26"/>
        </w:rPr>
        <w:t>al</w:t>
      </w:r>
      <w:r w:rsidRPr="00AB3ECB">
        <w:rPr>
          <w:rFonts w:cs="Times New Roman"/>
          <w:sz w:val="26"/>
          <w:szCs w:val="26"/>
        </w:rPr>
        <w:t xml:space="preserve"> agency.”</w:t>
      </w:r>
      <w:r>
        <w:rPr>
          <w:rFonts w:cs="Times New Roman"/>
          <w:sz w:val="26"/>
          <w:szCs w:val="26"/>
        </w:rPr>
        <w:t xml:space="preserve">  (</w:t>
      </w:r>
      <w:r w:rsidRPr="006C3A23">
        <w:rPr>
          <w:rFonts w:cs="Times New Roman"/>
          <w:i/>
          <w:sz w:val="26"/>
          <w:szCs w:val="26"/>
        </w:rPr>
        <w:t>Id</w:t>
      </w:r>
      <w:r>
        <w:rPr>
          <w:rFonts w:cs="Times New Roman"/>
          <w:sz w:val="26"/>
          <w:szCs w:val="26"/>
        </w:rPr>
        <w:t>., at p. 1162.)</w:t>
      </w:r>
      <w:r w:rsidRPr="00AB3ECB">
        <w:rPr>
          <w:rFonts w:cs="Times New Roman"/>
          <w:sz w:val="26"/>
          <w:szCs w:val="26"/>
        </w:rPr>
        <w:t xml:space="preserve"> </w:t>
      </w:r>
      <w:r>
        <w:rPr>
          <w:rFonts w:cs="Times New Roman"/>
          <w:sz w:val="26"/>
          <w:szCs w:val="26"/>
        </w:rPr>
        <w:t xml:space="preserve"> In particular, we</w:t>
      </w:r>
      <w:r w:rsidRPr="00AB3ECB">
        <w:rPr>
          <w:rFonts w:cs="Times New Roman"/>
          <w:sz w:val="26"/>
          <w:szCs w:val="26"/>
        </w:rPr>
        <w:t xml:space="preserve"> observed that under state law</w:t>
      </w:r>
      <w:r>
        <w:rPr>
          <w:rFonts w:cs="Times New Roman"/>
          <w:sz w:val="26"/>
          <w:szCs w:val="26"/>
        </w:rPr>
        <w:t>,</w:t>
      </w:r>
      <w:r w:rsidRPr="00AB3ECB">
        <w:rPr>
          <w:rFonts w:cs="Times New Roman"/>
          <w:sz w:val="26"/>
          <w:szCs w:val="26"/>
        </w:rPr>
        <w:t xml:space="preserve"> the State Bar was a public corporation (see Cal. C</w:t>
      </w:r>
      <w:r>
        <w:rPr>
          <w:rFonts w:cs="Times New Roman"/>
          <w:sz w:val="26"/>
          <w:szCs w:val="26"/>
        </w:rPr>
        <w:t>onst., art. VI, § 9; Bus. &amp; Prof</w:t>
      </w:r>
      <w:r w:rsidRPr="00AB3ECB">
        <w:rPr>
          <w:rFonts w:cs="Times New Roman"/>
          <w:sz w:val="26"/>
          <w:szCs w:val="26"/>
        </w:rPr>
        <w:t>. Code</w:t>
      </w:r>
      <w:r>
        <w:rPr>
          <w:rFonts w:cs="Times New Roman"/>
          <w:sz w:val="26"/>
          <w:szCs w:val="26"/>
        </w:rPr>
        <w:t>,</w:t>
      </w:r>
      <w:r w:rsidRPr="00AB3ECB">
        <w:rPr>
          <w:rFonts w:cs="Times New Roman"/>
          <w:sz w:val="26"/>
          <w:szCs w:val="26"/>
        </w:rPr>
        <w:t xml:space="preserve"> § 6001), and that “all other public corporations in California</w:t>
      </w:r>
      <w:r>
        <w:rPr>
          <w:rFonts w:cs="Times New Roman"/>
          <w:sz w:val="26"/>
          <w:szCs w:val="26"/>
        </w:rPr>
        <w:t xml:space="preserve"> </w:t>
      </w:r>
      <w:r w:rsidRPr="00AB3ECB">
        <w:rPr>
          <w:rFonts w:cs="Times New Roman"/>
          <w:sz w:val="26"/>
          <w:szCs w:val="26"/>
        </w:rPr>
        <w:t>—</w:t>
      </w:r>
      <w:r>
        <w:rPr>
          <w:rFonts w:cs="Times New Roman"/>
          <w:sz w:val="26"/>
          <w:szCs w:val="26"/>
        </w:rPr>
        <w:t xml:space="preserve"> </w:t>
      </w:r>
      <w:r w:rsidRPr="00AB3ECB">
        <w:rPr>
          <w:rFonts w:cs="Times New Roman"/>
          <w:sz w:val="26"/>
          <w:szCs w:val="26"/>
        </w:rPr>
        <w:t>water districts, school districts, reclamation districts, etc.</w:t>
      </w:r>
      <w:r>
        <w:rPr>
          <w:rFonts w:cs="Times New Roman"/>
          <w:sz w:val="26"/>
          <w:szCs w:val="26"/>
        </w:rPr>
        <w:t xml:space="preserve"> </w:t>
      </w:r>
      <w:r w:rsidRPr="00AB3ECB">
        <w:rPr>
          <w:rFonts w:cs="Times New Roman"/>
          <w:sz w:val="26"/>
          <w:szCs w:val="26"/>
        </w:rPr>
        <w:t>—</w:t>
      </w:r>
      <w:r>
        <w:rPr>
          <w:rFonts w:cs="Times New Roman"/>
          <w:sz w:val="26"/>
          <w:szCs w:val="26"/>
        </w:rPr>
        <w:t xml:space="preserve"> </w:t>
      </w:r>
      <w:r w:rsidRPr="00AB3ECB">
        <w:rPr>
          <w:rFonts w:cs="Times New Roman"/>
          <w:sz w:val="26"/>
          <w:szCs w:val="26"/>
        </w:rPr>
        <w:t>are clearly consider</w:t>
      </w:r>
      <w:r>
        <w:rPr>
          <w:rFonts w:cs="Times New Roman"/>
          <w:sz w:val="26"/>
          <w:szCs w:val="26"/>
        </w:rPr>
        <w:t>ed governmental entities.”  (47 </w:t>
      </w:r>
      <w:r w:rsidRPr="00AB3ECB">
        <w:rPr>
          <w:rFonts w:cs="Times New Roman"/>
          <w:sz w:val="26"/>
          <w:szCs w:val="26"/>
        </w:rPr>
        <w:t xml:space="preserve">Cal.3d at p. </w:t>
      </w:r>
      <w:r>
        <w:rPr>
          <w:rFonts w:cs="Times New Roman"/>
          <w:sz w:val="26"/>
          <w:szCs w:val="26"/>
        </w:rPr>
        <w:t>1163.)  We also regarded the following facts as significant:</w:t>
      </w:r>
      <w:r w:rsidRPr="00AB3ECB">
        <w:rPr>
          <w:rFonts w:cs="Times New Roman"/>
          <w:sz w:val="26"/>
          <w:szCs w:val="26"/>
        </w:rPr>
        <w:t xml:space="preserve"> </w:t>
      </w:r>
      <w:r>
        <w:rPr>
          <w:rFonts w:cs="Times New Roman"/>
          <w:sz w:val="26"/>
          <w:szCs w:val="26"/>
        </w:rPr>
        <w:t xml:space="preserve">(1) </w:t>
      </w:r>
      <w:r w:rsidRPr="00AB3ECB">
        <w:rPr>
          <w:rFonts w:cs="Times New Roman"/>
          <w:sz w:val="26"/>
          <w:szCs w:val="26"/>
        </w:rPr>
        <w:t>the State Bar Board of Governors include</w:t>
      </w:r>
      <w:r>
        <w:rPr>
          <w:rFonts w:cs="Times New Roman"/>
          <w:sz w:val="26"/>
          <w:szCs w:val="26"/>
        </w:rPr>
        <w:t>d</w:t>
      </w:r>
      <w:r w:rsidRPr="00AB3ECB">
        <w:rPr>
          <w:rFonts w:cs="Times New Roman"/>
          <w:sz w:val="26"/>
          <w:szCs w:val="26"/>
        </w:rPr>
        <w:t xml:space="preserve"> six public me</w:t>
      </w:r>
      <w:r>
        <w:rPr>
          <w:rFonts w:cs="Times New Roman"/>
          <w:sz w:val="26"/>
          <w:szCs w:val="26"/>
        </w:rPr>
        <w:t>mbers appointed by the Governor (</w:t>
      </w:r>
      <w:r w:rsidRPr="00C50A5E">
        <w:rPr>
          <w:rFonts w:cs="Times New Roman"/>
          <w:i/>
          <w:sz w:val="26"/>
          <w:szCs w:val="26"/>
        </w:rPr>
        <w:t>id</w:t>
      </w:r>
      <w:r>
        <w:rPr>
          <w:rFonts w:cs="Times New Roman"/>
          <w:sz w:val="26"/>
          <w:szCs w:val="26"/>
        </w:rPr>
        <w:t xml:space="preserve">., at p. 1163, citing </w:t>
      </w:r>
      <w:r w:rsidRPr="00AB3ECB">
        <w:rPr>
          <w:rFonts w:cs="Times New Roman"/>
          <w:sz w:val="26"/>
          <w:szCs w:val="26"/>
        </w:rPr>
        <w:t>Bus. &amp; Prof. Code</w:t>
      </w:r>
      <w:r>
        <w:rPr>
          <w:rFonts w:cs="Times New Roman"/>
          <w:sz w:val="26"/>
          <w:szCs w:val="26"/>
        </w:rPr>
        <w:t>,</w:t>
      </w:r>
      <w:r w:rsidRPr="00AB3ECB">
        <w:rPr>
          <w:rFonts w:cs="Times New Roman"/>
          <w:sz w:val="26"/>
          <w:szCs w:val="26"/>
        </w:rPr>
        <w:t xml:space="preserve"> §</w:t>
      </w:r>
      <w:r>
        <w:rPr>
          <w:rFonts w:cs="Times New Roman"/>
          <w:sz w:val="26"/>
          <w:szCs w:val="26"/>
        </w:rPr>
        <w:t> 6013.5);</w:t>
      </w:r>
      <w:r w:rsidRPr="00AB3ECB">
        <w:rPr>
          <w:rFonts w:cs="Times New Roman"/>
          <w:sz w:val="26"/>
          <w:szCs w:val="26"/>
        </w:rPr>
        <w:t xml:space="preserve"> </w:t>
      </w:r>
      <w:r>
        <w:rPr>
          <w:rFonts w:cs="Times New Roman"/>
          <w:sz w:val="26"/>
          <w:szCs w:val="26"/>
        </w:rPr>
        <w:t xml:space="preserve">(2) </w:t>
      </w:r>
      <w:r w:rsidRPr="00AB3ECB">
        <w:rPr>
          <w:rFonts w:cs="Times New Roman"/>
          <w:sz w:val="26"/>
          <w:szCs w:val="26"/>
        </w:rPr>
        <w:t xml:space="preserve">all of the State Bar’s property </w:t>
      </w:r>
      <w:r>
        <w:rPr>
          <w:rFonts w:cs="Times New Roman"/>
          <w:sz w:val="26"/>
          <w:szCs w:val="26"/>
        </w:rPr>
        <w:t>had been</w:t>
      </w:r>
      <w:r w:rsidRPr="00AB3ECB">
        <w:rPr>
          <w:rFonts w:cs="Times New Roman"/>
          <w:sz w:val="26"/>
          <w:szCs w:val="26"/>
        </w:rPr>
        <w:t xml:space="preserve"> “</w:t>
      </w:r>
      <w:r>
        <w:rPr>
          <w:rFonts w:cs="Times New Roman"/>
          <w:sz w:val="26"/>
          <w:szCs w:val="26"/>
        </w:rPr>
        <w:t> ‘</w:t>
      </w:r>
      <w:r w:rsidRPr="00AB3ECB">
        <w:rPr>
          <w:rFonts w:cs="Times New Roman"/>
          <w:sz w:val="26"/>
          <w:szCs w:val="26"/>
        </w:rPr>
        <w:t>declared to be held for essential public and governmental purpose</w:t>
      </w:r>
      <w:r>
        <w:rPr>
          <w:rFonts w:cs="Times New Roman"/>
          <w:sz w:val="26"/>
          <w:szCs w:val="26"/>
        </w:rPr>
        <w:t>s’ ” and was exempt from taxation (47 Cal.3d at p. 1163, quoting Bus. &amp; Prof</w:t>
      </w:r>
      <w:r w:rsidRPr="00AB3ECB">
        <w:rPr>
          <w:rFonts w:cs="Times New Roman"/>
          <w:sz w:val="26"/>
          <w:szCs w:val="26"/>
        </w:rPr>
        <w:t>. Code</w:t>
      </w:r>
      <w:r>
        <w:rPr>
          <w:rFonts w:cs="Times New Roman"/>
          <w:sz w:val="26"/>
          <w:szCs w:val="26"/>
        </w:rPr>
        <w:t>,</w:t>
      </w:r>
      <w:r w:rsidRPr="00AB3ECB">
        <w:rPr>
          <w:rFonts w:cs="Times New Roman"/>
          <w:sz w:val="26"/>
          <w:szCs w:val="26"/>
        </w:rPr>
        <w:t xml:space="preserve"> §</w:t>
      </w:r>
      <w:r>
        <w:rPr>
          <w:rFonts w:cs="Times New Roman"/>
          <w:sz w:val="26"/>
          <w:szCs w:val="26"/>
        </w:rPr>
        <w:t> 6008);</w:t>
      </w:r>
      <w:r w:rsidRPr="00AB3ECB">
        <w:rPr>
          <w:rFonts w:cs="Times New Roman"/>
          <w:sz w:val="26"/>
          <w:szCs w:val="26"/>
        </w:rPr>
        <w:t xml:space="preserve"> </w:t>
      </w:r>
      <w:r>
        <w:rPr>
          <w:rFonts w:cs="Times New Roman"/>
          <w:sz w:val="26"/>
          <w:szCs w:val="26"/>
        </w:rPr>
        <w:t xml:space="preserve">(3) by statute, </w:t>
      </w:r>
      <w:r w:rsidRPr="00AB3ECB">
        <w:rPr>
          <w:rFonts w:cs="Times New Roman"/>
          <w:sz w:val="26"/>
          <w:szCs w:val="26"/>
        </w:rPr>
        <w:t>the State Ba</w:t>
      </w:r>
      <w:r>
        <w:rPr>
          <w:rFonts w:cs="Times New Roman"/>
          <w:sz w:val="26"/>
          <w:szCs w:val="26"/>
        </w:rPr>
        <w:t>r’s meetings were</w:t>
      </w:r>
      <w:r w:rsidRPr="00AB3ECB">
        <w:rPr>
          <w:rFonts w:cs="Times New Roman"/>
          <w:sz w:val="26"/>
          <w:szCs w:val="26"/>
        </w:rPr>
        <w:t xml:space="preserve"> </w:t>
      </w:r>
      <w:r>
        <w:rPr>
          <w:rFonts w:cs="Times New Roman"/>
          <w:sz w:val="26"/>
          <w:szCs w:val="26"/>
        </w:rPr>
        <w:t xml:space="preserve">open to the public (47 Cal.3d at pp. 1163-1164, citing </w:t>
      </w:r>
      <w:r w:rsidRPr="00AB3ECB">
        <w:rPr>
          <w:rFonts w:cs="Times New Roman"/>
          <w:sz w:val="26"/>
          <w:szCs w:val="26"/>
        </w:rPr>
        <w:t>Bus. &amp; Prof. Code</w:t>
      </w:r>
      <w:r>
        <w:rPr>
          <w:rFonts w:cs="Times New Roman"/>
          <w:sz w:val="26"/>
          <w:szCs w:val="26"/>
        </w:rPr>
        <w:t>,</w:t>
      </w:r>
      <w:r w:rsidRPr="00AB3ECB">
        <w:rPr>
          <w:rFonts w:cs="Times New Roman"/>
          <w:sz w:val="26"/>
          <w:szCs w:val="26"/>
        </w:rPr>
        <w:t xml:space="preserve"> §</w:t>
      </w:r>
      <w:r>
        <w:rPr>
          <w:rFonts w:cs="Times New Roman"/>
          <w:sz w:val="26"/>
          <w:szCs w:val="26"/>
        </w:rPr>
        <w:t> 6026.5);</w:t>
      </w:r>
      <w:r w:rsidRPr="00AB3ECB">
        <w:rPr>
          <w:rFonts w:cs="Times New Roman"/>
          <w:sz w:val="26"/>
          <w:szCs w:val="26"/>
        </w:rPr>
        <w:t xml:space="preserve"> and </w:t>
      </w:r>
      <w:r>
        <w:rPr>
          <w:rFonts w:cs="Times New Roman"/>
          <w:sz w:val="26"/>
          <w:szCs w:val="26"/>
        </w:rPr>
        <w:t xml:space="preserve">(4) </w:t>
      </w:r>
      <w:r w:rsidRPr="00AB3ECB">
        <w:rPr>
          <w:rFonts w:cs="Times New Roman"/>
          <w:sz w:val="26"/>
          <w:szCs w:val="26"/>
        </w:rPr>
        <w:t>other statutes, as construed by the courts, either appeared to consider the State Bar a government agency (</w:t>
      </w:r>
      <w:r>
        <w:rPr>
          <w:rFonts w:cs="Times New Roman"/>
          <w:sz w:val="26"/>
          <w:szCs w:val="26"/>
        </w:rPr>
        <w:t xml:space="preserve">47 Cal.3d at pp. 1163-1164, citing </w:t>
      </w:r>
      <w:r w:rsidRPr="00AB3ECB">
        <w:rPr>
          <w:rFonts w:cs="Times New Roman"/>
          <w:sz w:val="26"/>
          <w:szCs w:val="26"/>
        </w:rPr>
        <w:t>Bus. &amp; Prof. Code</w:t>
      </w:r>
      <w:r>
        <w:rPr>
          <w:rFonts w:cs="Times New Roman"/>
          <w:sz w:val="26"/>
          <w:szCs w:val="26"/>
        </w:rPr>
        <w:t>,</w:t>
      </w:r>
      <w:r w:rsidRPr="00AB3ECB">
        <w:rPr>
          <w:rFonts w:cs="Times New Roman"/>
          <w:sz w:val="26"/>
          <w:szCs w:val="26"/>
        </w:rPr>
        <w:t xml:space="preserve"> §</w:t>
      </w:r>
      <w:r>
        <w:rPr>
          <w:rFonts w:cs="Times New Roman"/>
          <w:sz w:val="26"/>
          <w:szCs w:val="26"/>
        </w:rPr>
        <w:t> </w:t>
      </w:r>
      <w:r w:rsidRPr="00AB3ECB">
        <w:rPr>
          <w:rFonts w:cs="Times New Roman"/>
          <w:sz w:val="26"/>
          <w:szCs w:val="26"/>
        </w:rPr>
        <w:t>6001</w:t>
      </w:r>
      <w:r>
        <w:rPr>
          <w:rFonts w:cs="Times New Roman"/>
          <w:sz w:val="26"/>
          <w:szCs w:val="26"/>
        </w:rPr>
        <w:t>, subd. </w:t>
      </w:r>
      <w:r w:rsidRPr="00AB3ECB">
        <w:rPr>
          <w:rFonts w:cs="Times New Roman"/>
          <w:sz w:val="26"/>
          <w:szCs w:val="26"/>
        </w:rPr>
        <w:t xml:space="preserve">(g)) or </w:t>
      </w:r>
      <w:r>
        <w:rPr>
          <w:rFonts w:cs="Times New Roman"/>
          <w:sz w:val="26"/>
          <w:szCs w:val="26"/>
        </w:rPr>
        <w:t>w</w:t>
      </w:r>
      <w:r w:rsidRPr="00AB3ECB">
        <w:rPr>
          <w:rFonts w:cs="Times New Roman"/>
          <w:sz w:val="26"/>
          <w:szCs w:val="26"/>
        </w:rPr>
        <w:t>ould be constitutionally suspect if the Stat</w:t>
      </w:r>
      <w:r>
        <w:rPr>
          <w:rFonts w:cs="Times New Roman"/>
          <w:sz w:val="26"/>
          <w:szCs w:val="26"/>
        </w:rPr>
        <w:t xml:space="preserve">e Bar was not considered a government agency (47 Cal.3d at p. 1164, citing </w:t>
      </w:r>
      <w:r w:rsidRPr="00AB3ECB">
        <w:rPr>
          <w:rFonts w:cs="Times New Roman"/>
          <w:sz w:val="26"/>
          <w:szCs w:val="26"/>
        </w:rPr>
        <w:t>Bus. &amp; Prof. Code</w:t>
      </w:r>
      <w:r>
        <w:rPr>
          <w:rFonts w:cs="Times New Roman"/>
          <w:sz w:val="26"/>
          <w:szCs w:val="26"/>
        </w:rPr>
        <w:t>,</w:t>
      </w:r>
      <w:r w:rsidRPr="00AB3ECB">
        <w:rPr>
          <w:rFonts w:cs="Times New Roman"/>
          <w:sz w:val="26"/>
          <w:szCs w:val="26"/>
        </w:rPr>
        <w:t xml:space="preserve"> §</w:t>
      </w:r>
      <w:r>
        <w:rPr>
          <w:rFonts w:cs="Times New Roman"/>
          <w:sz w:val="26"/>
          <w:szCs w:val="26"/>
        </w:rPr>
        <w:t xml:space="preserve"> 6031, subd. (b)). </w:t>
      </w:r>
    </w:p>
  </w:footnote>
  <w:footnote w:id="14">
    <w:p w:rsidR="00AD4D26" w:rsidP="0024017B">
      <w:pPr>
        <w:pStyle w:val="FootnoteText"/>
        <w:rPr>
          <w:sz w:val="26"/>
          <w:szCs w:val="26"/>
        </w:rPr>
      </w:pPr>
      <w:r w:rsidRPr="0081577B">
        <w:rPr>
          <w:rStyle w:val="FootnoteReference"/>
          <w:b/>
          <w:sz w:val="26"/>
          <w:szCs w:val="26"/>
        </w:rPr>
        <w:footnoteRef/>
      </w:r>
      <w:r w:rsidRPr="0081577B">
        <w:rPr>
          <w:b/>
          <w:sz w:val="26"/>
          <w:szCs w:val="26"/>
        </w:rPr>
        <w:t xml:space="preserve"> </w:t>
      </w:r>
      <w:r>
        <w:rPr>
          <w:sz w:val="26"/>
          <w:szCs w:val="26"/>
        </w:rPr>
        <w:tab/>
        <w:t>The Mushroom Act was designed to effectuate Congress’ policy “to authorize the establishment . . . </w:t>
      </w:r>
      <w:r w:rsidRPr="0024017B">
        <w:rPr>
          <w:sz w:val="26"/>
          <w:szCs w:val="26"/>
        </w:rPr>
        <w:t>of an orderly procedure for developing, financing through adequate assessments on mushrooms produced domestically or imported into the United States, and carrying out, an effective, continuous, and coordinated program of promotion, research, and consumer and ind</w:t>
      </w:r>
      <w:r>
        <w:rPr>
          <w:sz w:val="26"/>
          <w:szCs w:val="26"/>
        </w:rPr>
        <w:t>ustry information designed to — [</w:t>
      </w:r>
      <w:r w:rsidRPr="00CE1D15">
        <w:rPr>
          <w:rFonts w:eastAsia="Times New Roman" w:cs="Times New Roman"/>
          <w:color w:val="212121"/>
          <w:sz w:val="26"/>
          <w:szCs w:val="26"/>
        </w:rPr>
        <w:t>¶</w:t>
      </w:r>
      <w:r>
        <w:rPr>
          <w:sz w:val="26"/>
          <w:szCs w:val="26"/>
        </w:rPr>
        <w:t xml:space="preserve">] </w:t>
      </w:r>
      <w:r w:rsidRPr="0024017B">
        <w:rPr>
          <w:sz w:val="26"/>
          <w:szCs w:val="26"/>
        </w:rPr>
        <w:t>(1) strengthen the mushroom industry</w:t>
      </w:r>
      <w:r>
        <w:rPr>
          <w:sz w:val="26"/>
          <w:szCs w:val="26"/>
        </w:rPr>
        <w:t>’s position in the marketplace; [</w:t>
      </w:r>
      <w:r w:rsidRPr="00CE1D15">
        <w:rPr>
          <w:rFonts w:eastAsia="Times New Roman" w:cs="Times New Roman"/>
          <w:color w:val="212121"/>
          <w:sz w:val="26"/>
          <w:szCs w:val="26"/>
        </w:rPr>
        <w:t>¶</w:t>
      </w:r>
      <w:r>
        <w:rPr>
          <w:sz w:val="26"/>
          <w:szCs w:val="26"/>
        </w:rPr>
        <w:t xml:space="preserve">] </w:t>
      </w:r>
      <w:r w:rsidRPr="0024017B">
        <w:rPr>
          <w:sz w:val="26"/>
          <w:szCs w:val="26"/>
        </w:rPr>
        <w:t>(2) maintain and expand existing mark</w:t>
      </w:r>
      <w:r>
        <w:rPr>
          <w:sz w:val="26"/>
          <w:szCs w:val="26"/>
        </w:rPr>
        <w:t>ets and uses for mushrooms; and [</w:t>
      </w:r>
      <w:r w:rsidRPr="00CE1D15">
        <w:rPr>
          <w:rFonts w:eastAsia="Times New Roman" w:cs="Times New Roman"/>
          <w:color w:val="212121"/>
          <w:sz w:val="26"/>
          <w:szCs w:val="26"/>
        </w:rPr>
        <w:t>¶</w:t>
      </w:r>
      <w:r>
        <w:rPr>
          <w:sz w:val="26"/>
          <w:szCs w:val="26"/>
        </w:rPr>
        <w:t xml:space="preserve">] </w:t>
      </w:r>
      <w:r w:rsidRPr="0024017B">
        <w:rPr>
          <w:sz w:val="26"/>
          <w:szCs w:val="26"/>
        </w:rPr>
        <w:t>(3) develop new markets and uses for mushrooms.</w:t>
      </w:r>
      <w:r>
        <w:rPr>
          <w:sz w:val="26"/>
          <w:szCs w:val="26"/>
        </w:rPr>
        <w:t xml:space="preserve">”  (7 U.S.C. </w:t>
      </w:r>
      <w:r>
        <w:rPr>
          <w:rFonts w:cs="Times New Roman"/>
          <w:sz w:val="26"/>
          <w:szCs w:val="26"/>
        </w:rPr>
        <w:t>§</w:t>
      </w:r>
      <w:r>
        <w:rPr>
          <w:sz w:val="26"/>
          <w:szCs w:val="26"/>
        </w:rPr>
        <w:t xml:space="preserve"> 6101(b).)  </w:t>
      </w:r>
    </w:p>
    <w:p w:rsidR="00AD4D26" w:rsidRPr="0081577B" w:rsidP="0024017B">
      <w:pPr>
        <w:pStyle w:val="FootnoteText"/>
        <w:rPr>
          <w:sz w:val="26"/>
          <w:szCs w:val="26"/>
        </w:rPr>
      </w:pPr>
      <w:r>
        <w:rPr>
          <w:sz w:val="26"/>
          <w:szCs w:val="26"/>
        </w:rPr>
        <w:tab/>
        <w:t>The statute authorized the Secretary of Agriculture to</w:t>
      </w:r>
      <w:r w:rsidRPr="0081577B">
        <w:rPr>
          <w:sz w:val="26"/>
          <w:szCs w:val="26"/>
        </w:rPr>
        <w:t xml:space="preserve"> </w:t>
      </w:r>
      <w:r>
        <w:rPr>
          <w:sz w:val="26"/>
          <w:szCs w:val="26"/>
        </w:rPr>
        <w:t>“</w:t>
      </w:r>
      <w:r w:rsidRPr="0081577B">
        <w:rPr>
          <w:sz w:val="26"/>
          <w:szCs w:val="26"/>
        </w:rPr>
        <w:t>propose the issuance of an order</w:t>
      </w:r>
      <w:r>
        <w:rPr>
          <w:sz w:val="26"/>
          <w:szCs w:val="26"/>
        </w:rPr>
        <w:t>,” or “</w:t>
      </w:r>
      <w:r w:rsidRPr="00114295">
        <w:rPr>
          <w:sz w:val="26"/>
          <w:szCs w:val="26"/>
        </w:rPr>
        <w:t>an association of mushroom producers or any other person that will be affected by this chapter</w:t>
      </w:r>
      <w:r>
        <w:rPr>
          <w:sz w:val="26"/>
          <w:szCs w:val="26"/>
        </w:rPr>
        <w:t>” to “</w:t>
      </w:r>
      <w:r w:rsidRPr="00114295">
        <w:rPr>
          <w:sz w:val="26"/>
          <w:szCs w:val="26"/>
        </w:rPr>
        <w:t>request the issuance</w:t>
      </w:r>
      <w:r>
        <w:rPr>
          <w:sz w:val="26"/>
          <w:szCs w:val="26"/>
        </w:rPr>
        <w:t xml:space="preserve"> </w:t>
      </w:r>
      <w:r w:rsidRPr="00114295">
        <w:rPr>
          <w:sz w:val="26"/>
          <w:szCs w:val="26"/>
        </w:rPr>
        <w:t>of</w:t>
      </w:r>
      <w:r>
        <w:rPr>
          <w:sz w:val="26"/>
          <w:szCs w:val="26"/>
        </w:rPr>
        <w:t>” an order (</w:t>
      </w:r>
      <w:r w:rsidRPr="00CE1D15">
        <w:rPr>
          <w:sz w:val="26"/>
          <w:szCs w:val="26"/>
        </w:rPr>
        <w:t>7 U.S.C.</w:t>
      </w:r>
      <w:r w:rsidRPr="0081577B">
        <w:rPr>
          <w:sz w:val="26"/>
          <w:szCs w:val="26"/>
        </w:rPr>
        <w:t xml:space="preserve"> </w:t>
      </w:r>
      <w:r w:rsidRPr="0081577B">
        <w:rPr>
          <w:rFonts w:cs="Times New Roman"/>
          <w:sz w:val="26"/>
          <w:szCs w:val="26"/>
        </w:rPr>
        <w:t>§</w:t>
      </w:r>
      <w:r>
        <w:rPr>
          <w:sz w:val="26"/>
          <w:szCs w:val="26"/>
        </w:rPr>
        <w:t> 6103(b)(1)), that would, among its terms, provide for a Mushroom C</w:t>
      </w:r>
      <w:r w:rsidRPr="0081577B">
        <w:rPr>
          <w:sz w:val="26"/>
          <w:szCs w:val="26"/>
        </w:rPr>
        <w:t>ouncil</w:t>
      </w:r>
      <w:r>
        <w:rPr>
          <w:sz w:val="26"/>
          <w:szCs w:val="26"/>
        </w:rPr>
        <w:t>, constituted of m</w:t>
      </w:r>
      <w:r w:rsidRPr="0081577B">
        <w:rPr>
          <w:sz w:val="26"/>
          <w:szCs w:val="26"/>
        </w:rPr>
        <w:t>ushroom producers and impor</w:t>
      </w:r>
      <w:r>
        <w:rPr>
          <w:sz w:val="26"/>
          <w:szCs w:val="26"/>
        </w:rPr>
        <w:t>ters (</w:t>
      </w:r>
      <w:r w:rsidRPr="0081577B">
        <w:rPr>
          <w:i/>
          <w:sz w:val="26"/>
          <w:szCs w:val="26"/>
        </w:rPr>
        <w:t>id</w:t>
      </w:r>
      <w:r>
        <w:rPr>
          <w:sz w:val="26"/>
          <w:szCs w:val="26"/>
        </w:rPr>
        <w:t xml:space="preserve">., </w:t>
      </w:r>
      <w:r w:rsidRPr="0081577B">
        <w:rPr>
          <w:rFonts w:cs="Times New Roman"/>
          <w:sz w:val="26"/>
          <w:szCs w:val="26"/>
        </w:rPr>
        <w:t>§</w:t>
      </w:r>
      <w:r>
        <w:rPr>
          <w:sz w:val="26"/>
          <w:szCs w:val="26"/>
        </w:rPr>
        <w:t> 6104(b)(1)(A)-(B)).  This council would “</w:t>
      </w:r>
      <w:r w:rsidRPr="0081577B">
        <w:rPr>
          <w:sz w:val="26"/>
          <w:szCs w:val="26"/>
        </w:rPr>
        <w:t>propose, receive, evaluate, approve and submit to the Secretary for approval . . . budgets, plans, and projects of mushroom promotion, research, consumer information, and industry information . . . .”  (</w:t>
      </w:r>
      <w:r>
        <w:rPr>
          <w:i/>
          <w:sz w:val="26"/>
          <w:szCs w:val="26"/>
        </w:rPr>
        <w:t>I</w:t>
      </w:r>
      <w:r w:rsidRPr="00AA4C74">
        <w:rPr>
          <w:i/>
          <w:sz w:val="26"/>
          <w:szCs w:val="26"/>
        </w:rPr>
        <w:t>d</w:t>
      </w:r>
      <w:r>
        <w:rPr>
          <w:sz w:val="26"/>
          <w:szCs w:val="26"/>
        </w:rPr>
        <w:t xml:space="preserve">., </w:t>
      </w:r>
      <w:r w:rsidRPr="0081577B">
        <w:rPr>
          <w:rFonts w:cs="Times New Roman"/>
          <w:sz w:val="26"/>
          <w:szCs w:val="26"/>
        </w:rPr>
        <w:t>§</w:t>
      </w:r>
      <w:r>
        <w:rPr>
          <w:sz w:val="26"/>
          <w:szCs w:val="26"/>
        </w:rPr>
        <w:t> 6104(c)(4)</w:t>
      </w:r>
      <w:r w:rsidRPr="0081577B">
        <w:rPr>
          <w:sz w:val="26"/>
          <w:szCs w:val="26"/>
        </w:rPr>
        <w:t xml:space="preserve">.)  </w:t>
      </w:r>
      <w:r>
        <w:rPr>
          <w:sz w:val="26"/>
          <w:szCs w:val="26"/>
        </w:rPr>
        <w:t>Under the</w:t>
      </w:r>
      <w:r w:rsidRPr="0081577B">
        <w:rPr>
          <w:sz w:val="26"/>
          <w:szCs w:val="26"/>
        </w:rPr>
        <w:t xml:space="preserve"> </w:t>
      </w:r>
      <w:r>
        <w:rPr>
          <w:sz w:val="26"/>
          <w:szCs w:val="26"/>
        </w:rPr>
        <w:t xml:space="preserve">Mushroom Act, </w:t>
      </w:r>
      <w:r w:rsidRPr="0081577B">
        <w:rPr>
          <w:sz w:val="26"/>
          <w:szCs w:val="26"/>
        </w:rPr>
        <w:t>“</w:t>
      </w:r>
      <w:r>
        <w:rPr>
          <w:sz w:val="26"/>
          <w:szCs w:val="26"/>
        </w:rPr>
        <w:t>[n]</w:t>
      </w:r>
      <w:r w:rsidRPr="0081577B">
        <w:rPr>
          <w:sz w:val="26"/>
          <w:szCs w:val="26"/>
        </w:rPr>
        <w:t>o plan or project of promotion, research, consumer information, or industry information, or budget, shall be implemented prior to its approval by the Secretary.”  (</w:t>
      </w:r>
      <w:r w:rsidRPr="0081577B">
        <w:rPr>
          <w:i/>
          <w:sz w:val="26"/>
          <w:szCs w:val="26"/>
        </w:rPr>
        <w:t>Id</w:t>
      </w:r>
      <w:r w:rsidRPr="0081577B">
        <w:rPr>
          <w:sz w:val="26"/>
          <w:szCs w:val="26"/>
        </w:rPr>
        <w:t xml:space="preserve">., </w:t>
      </w:r>
      <w:r w:rsidRPr="0081577B">
        <w:rPr>
          <w:rFonts w:cs="Times New Roman"/>
          <w:sz w:val="26"/>
          <w:szCs w:val="26"/>
        </w:rPr>
        <w:t>§</w:t>
      </w:r>
      <w:r>
        <w:rPr>
          <w:sz w:val="26"/>
          <w:szCs w:val="26"/>
        </w:rPr>
        <w:t> 6104</w:t>
      </w:r>
      <w:r w:rsidRPr="0081577B">
        <w:rPr>
          <w:sz w:val="26"/>
          <w:szCs w:val="26"/>
        </w:rPr>
        <w:t xml:space="preserve">(d)(3).)  </w:t>
      </w:r>
    </w:p>
  </w:footnote>
  <w:footnote w:id="15">
    <w:p w:rsidR="00AD4D26" w:rsidP="000540F6">
      <w:pPr>
        <w:pStyle w:val="FootnoteText"/>
        <w:rPr>
          <w:rFonts w:cs="Times New Roman"/>
          <w:sz w:val="26"/>
          <w:szCs w:val="26"/>
        </w:rPr>
      </w:pPr>
      <w:r w:rsidRPr="00B15B74">
        <w:rPr>
          <w:rStyle w:val="FootnoteReference"/>
          <w:rFonts w:cs="Times New Roman"/>
          <w:b/>
          <w:sz w:val="26"/>
          <w:szCs w:val="26"/>
        </w:rPr>
        <w:footnoteRef/>
      </w:r>
      <w:r w:rsidRPr="00B15B74">
        <w:rPr>
          <w:rFonts w:cs="Times New Roman"/>
          <w:b/>
          <w:sz w:val="26"/>
          <w:szCs w:val="26"/>
        </w:rPr>
        <w:t xml:space="preserve"> </w:t>
      </w:r>
      <w:r>
        <w:rPr>
          <w:rFonts w:cs="Times New Roman"/>
          <w:sz w:val="26"/>
          <w:szCs w:val="26"/>
        </w:rPr>
        <w:tab/>
      </w:r>
      <w:r w:rsidRPr="00926FDF">
        <w:rPr>
          <w:rFonts w:cs="Times New Roman"/>
          <w:sz w:val="26"/>
          <w:szCs w:val="26"/>
        </w:rPr>
        <w:t>The intermediate scrutiny test “asks (1) ‘whether the expression is protected by the First Amendment,’ which means that the expression ‘at least must concern lawful activity and not be misleading’; (2) ‘whether the asserted governmental interest is substantial’; if yes to both, then (3) ‘whether the regulation directly advances the governmental interest asserted’; and (4) ‘whether it is not more extensive than is necessary to serve that interest.’ ”  (</w:t>
      </w:r>
      <w:r>
        <w:rPr>
          <w:rFonts w:cs="Times New Roman"/>
          <w:i/>
          <w:sz w:val="26"/>
          <w:szCs w:val="26"/>
        </w:rPr>
        <w:t>Gerawan </w:t>
      </w:r>
      <w:r w:rsidRPr="00926FDF">
        <w:rPr>
          <w:rFonts w:cs="Times New Roman"/>
          <w:i/>
          <w:sz w:val="26"/>
          <w:szCs w:val="26"/>
        </w:rPr>
        <w:t>II</w:t>
      </w:r>
      <w:r w:rsidRPr="00926FDF">
        <w:rPr>
          <w:rFonts w:cs="Times New Roman"/>
          <w:sz w:val="26"/>
          <w:szCs w:val="26"/>
        </w:rPr>
        <w:t xml:space="preserve">, </w:t>
      </w:r>
      <w:r w:rsidRPr="00926FDF">
        <w:rPr>
          <w:rFonts w:cs="Times New Roman"/>
          <w:i/>
          <w:sz w:val="26"/>
          <w:szCs w:val="26"/>
        </w:rPr>
        <w:t>supra</w:t>
      </w:r>
      <w:r w:rsidRPr="00926FDF">
        <w:rPr>
          <w:rFonts w:cs="Times New Roman"/>
          <w:sz w:val="26"/>
          <w:szCs w:val="26"/>
        </w:rPr>
        <w:t xml:space="preserve">, </w:t>
      </w:r>
      <w:r>
        <w:rPr>
          <w:rFonts w:cs="Times New Roman"/>
          <w:sz w:val="26"/>
          <w:szCs w:val="26"/>
        </w:rPr>
        <w:t>31 Cal.4</w:t>
      </w:r>
      <w:r w:rsidRPr="00F433BF">
        <w:rPr>
          <w:rFonts w:cs="Times New Roman"/>
          <w:sz w:val="26"/>
          <w:szCs w:val="26"/>
        </w:rPr>
        <w:t>th</w:t>
      </w:r>
      <w:r>
        <w:rPr>
          <w:rFonts w:cs="Times New Roman"/>
          <w:sz w:val="26"/>
          <w:szCs w:val="26"/>
        </w:rPr>
        <w:t xml:space="preserve"> at p. </w:t>
      </w:r>
      <w:r w:rsidRPr="00926FDF">
        <w:rPr>
          <w:rFonts w:cs="Times New Roman"/>
          <w:sz w:val="26"/>
          <w:szCs w:val="26"/>
        </w:rPr>
        <w:t xml:space="preserve">22, quoting </w:t>
      </w:r>
      <w:r w:rsidRPr="00926FDF">
        <w:rPr>
          <w:rFonts w:cs="Times New Roman"/>
          <w:i/>
          <w:sz w:val="26"/>
          <w:szCs w:val="26"/>
        </w:rPr>
        <w:t>Central Hudson</w:t>
      </w:r>
      <w:r w:rsidRPr="00926FDF">
        <w:rPr>
          <w:rFonts w:cs="Times New Roman"/>
          <w:sz w:val="26"/>
          <w:szCs w:val="26"/>
        </w:rPr>
        <w:t xml:space="preserve">, </w:t>
      </w:r>
      <w:r w:rsidRPr="00926FDF">
        <w:rPr>
          <w:rFonts w:cs="Times New Roman"/>
          <w:i/>
          <w:sz w:val="26"/>
          <w:szCs w:val="26"/>
        </w:rPr>
        <w:t>supra</w:t>
      </w:r>
      <w:r>
        <w:rPr>
          <w:rFonts w:cs="Times New Roman"/>
          <w:sz w:val="26"/>
          <w:szCs w:val="26"/>
        </w:rPr>
        <w:t xml:space="preserve">, 447 U.S. at p. 566.) </w:t>
      </w:r>
    </w:p>
    <w:p w:rsidR="00AD4D26" w:rsidRPr="00926FDF" w:rsidP="000540F6">
      <w:pPr>
        <w:pStyle w:val="FootnoteText"/>
        <w:rPr>
          <w:rFonts w:cs="Times New Roman"/>
          <w:sz w:val="26"/>
          <w:szCs w:val="26"/>
        </w:rPr>
      </w:pPr>
    </w:p>
  </w:footnote>
  <w:footnote w:id="16">
    <w:p w:rsidR="00AD4D26" w:rsidRPr="00241F9B" w:rsidP="00241F9B">
      <w:pPr>
        <w:rPr>
          <w:rFonts w:eastAsia="Times New Roman" w:cs="Times New Roman"/>
          <w:color w:val="212121"/>
          <w:szCs w:val="26"/>
        </w:rPr>
      </w:pPr>
      <w:r w:rsidRPr="001673E9">
        <w:rPr>
          <w:rStyle w:val="FootnoteReference"/>
          <w:rFonts w:cs="Times New Roman"/>
          <w:b/>
          <w:szCs w:val="26"/>
        </w:rPr>
        <w:footnoteRef/>
      </w:r>
      <w:r w:rsidRPr="001673E9">
        <w:rPr>
          <w:rFonts w:cs="Times New Roman"/>
          <w:b/>
          <w:szCs w:val="26"/>
        </w:rPr>
        <w:t xml:space="preserve"> </w:t>
      </w:r>
      <w:r w:rsidRPr="00114208">
        <w:rPr>
          <w:rFonts w:cs="Times New Roman"/>
          <w:szCs w:val="26"/>
        </w:rPr>
        <w:tab/>
      </w:r>
      <w:r>
        <w:rPr>
          <w:rFonts w:cs="Times New Roman"/>
          <w:szCs w:val="26"/>
        </w:rPr>
        <w:t>In describing this promotional speech, the</w:t>
      </w:r>
      <w:r w:rsidRPr="00114208">
        <w:rPr>
          <w:rFonts w:cs="Times New Roman"/>
          <w:szCs w:val="26"/>
        </w:rPr>
        <w:t xml:space="preserve"> </w:t>
      </w:r>
      <w:r>
        <w:rPr>
          <w:rFonts w:cs="Times New Roman"/>
          <w:szCs w:val="26"/>
        </w:rPr>
        <w:t>Beef Act provides</w:t>
      </w:r>
      <w:r w:rsidRPr="00114208">
        <w:rPr>
          <w:rFonts w:cs="Times New Roman"/>
          <w:szCs w:val="26"/>
        </w:rPr>
        <w:t xml:space="preserve"> that</w:t>
      </w:r>
      <w:r w:rsidRPr="00114208">
        <w:rPr>
          <w:rFonts w:eastAsia="Times New Roman" w:cs="Times New Roman"/>
          <w:color w:val="212121"/>
          <w:szCs w:val="26"/>
        </w:rPr>
        <w:t> “</w:t>
      </w:r>
      <w:r>
        <w:rPr>
          <w:rFonts w:eastAsia="Times New Roman" w:cs="Times New Roman"/>
          <w:color w:val="212121"/>
          <w:szCs w:val="26"/>
        </w:rPr>
        <w:t>[t]</w:t>
      </w:r>
      <w:r w:rsidRPr="00114208">
        <w:rPr>
          <w:rFonts w:eastAsia="Times New Roman" w:cs="Times New Roman"/>
          <w:color w:val="212121"/>
          <w:szCs w:val="26"/>
        </w:rPr>
        <w:t xml:space="preserve">he </w:t>
      </w:r>
      <w:r>
        <w:rPr>
          <w:rFonts w:eastAsia="Times New Roman" w:cs="Times New Roman"/>
          <w:color w:val="212121"/>
          <w:szCs w:val="26"/>
        </w:rPr>
        <w:t xml:space="preserve">[Operating] </w:t>
      </w:r>
      <w:r w:rsidRPr="00114208">
        <w:rPr>
          <w:rFonts w:eastAsia="Times New Roman" w:cs="Times New Roman"/>
          <w:color w:val="212121"/>
          <w:szCs w:val="26"/>
        </w:rPr>
        <w:t xml:space="preserve">Committee shall develop plans or projects of promotion and advertising, research, consumer information, and industry information, which shall be paid for with assessments collected by the Board. </w:t>
      </w:r>
      <w:r>
        <w:rPr>
          <w:rFonts w:eastAsia="Times New Roman" w:cs="Times New Roman"/>
          <w:color w:val="212121"/>
          <w:szCs w:val="26"/>
        </w:rPr>
        <w:t xml:space="preserve"> </w:t>
      </w:r>
      <w:r w:rsidRPr="00114208">
        <w:rPr>
          <w:rFonts w:eastAsia="Times New Roman" w:cs="Times New Roman"/>
          <w:color w:val="212121"/>
          <w:szCs w:val="26"/>
        </w:rPr>
        <w:t>In developing plans or projects, the Committee shall</w:t>
      </w:r>
      <w:r>
        <w:rPr>
          <w:rFonts w:eastAsia="Times New Roman" w:cs="Times New Roman"/>
          <w:color w:val="212121"/>
          <w:szCs w:val="26"/>
        </w:rPr>
        <w:t xml:space="preserve"> — [¶]</w:t>
      </w:r>
      <w:r w:rsidRPr="00114208">
        <w:rPr>
          <w:rFonts w:eastAsia="Times New Roman" w:cs="Times New Roman"/>
          <w:color w:val="212121"/>
          <w:szCs w:val="26"/>
        </w:rPr>
        <w:t xml:space="preserve"> </w:t>
      </w:r>
      <w:r w:rsidRPr="00114208">
        <w:rPr>
          <w:rFonts w:eastAsia="Times New Roman" w:cs="Times New Roman"/>
          <w:bCs/>
          <w:color w:val="212121"/>
          <w:szCs w:val="26"/>
        </w:rPr>
        <w:t>(i)</w:t>
      </w:r>
      <w:r w:rsidRPr="00114208">
        <w:rPr>
          <w:rFonts w:eastAsia="Times New Roman" w:cs="Times New Roman"/>
          <w:color w:val="212121"/>
          <w:szCs w:val="26"/>
        </w:rPr>
        <w:t> to the extent practicable, take into account similarities and differences between certain beef, beef products, and veal; and</w:t>
      </w:r>
      <w:r>
        <w:rPr>
          <w:rFonts w:eastAsia="Times New Roman" w:cs="Times New Roman"/>
          <w:color w:val="212121"/>
          <w:szCs w:val="26"/>
        </w:rPr>
        <w:t xml:space="preserve"> [¶]</w:t>
      </w:r>
      <w:r w:rsidRPr="00114208">
        <w:rPr>
          <w:rFonts w:eastAsia="Times New Roman" w:cs="Times New Roman"/>
          <w:color w:val="212121"/>
          <w:szCs w:val="26"/>
        </w:rPr>
        <w:t xml:space="preserve"> </w:t>
      </w:r>
      <w:r w:rsidRPr="00114208">
        <w:rPr>
          <w:rFonts w:eastAsia="Times New Roman" w:cs="Times New Roman"/>
          <w:bCs/>
          <w:color w:val="212121"/>
          <w:szCs w:val="26"/>
        </w:rPr>
        <w:t>(ii)</w:t>
      </w:r>
      <w:r w:rsidRPr="00114208">
        <w:rPr>
          <w:rFonts w:eastAsia="Times New Roman" w:cs="Times New Roman"/>
          <w:color w:val="212121"/>
          <w:szCs w:val="26"/>
        </w:rPr>
        <w:t> ensure that segments of the beef industry that enjoy a unique consumer identity receive equitable and fair treatment under this chapter.”  (</w:t>
      </w:r>
      <w:r>
        <w:rPr>
          <w:rFonts w:cs="Times New Roman"/>
          <w:szCs w:val="26"/>
        </w:rPr>
        <w:t>7 U.S.C. § 2904</w:t>
      </w:r>
      <w:r w:rsidRPr="00114208">
        <w:rPr>
          <w:rFonts w:cs="Times New Roman"/>
          <w:szCs w:val="26"/>
        </w:rPr>
        <w:t xml:space="preserve">(4)(B).) </w:t>
      </w:r>
      <w:r>
        <w:rPr>
          <w:rFonts w:cs="Times New Roman"/>
          <w:szCs w:val="26"/>
        </w:rPr>
        <w:t xml:space="preserve"> These programs are in furtherance of Congress’s objective of “</w:t>
      </w:r>
      <w:r w:rsidRPr="002078C5">
        <w:rPr>
          <w:rFonts w:cs="Times New Roman"/>
          <w:szCs w:val="26"/>
        </w:rPr>
        <w:t>carrying out a coordinated program of promotion and research designed to strengthen the beef industry</w:t>
      </w:r>
      <w:r>
        <w:rPr>
          <w:rFonts w:cs="Times New Roman"/>
          <w:szCs w:val="26"/>
        </w:rPr>
        <w:t>’</w:t>
      </w:r>
      <w:r w:rsidRPr="002078C5">
        <w:rPr>
          <w:rFonts w:cs="Times New Roman"/>
          <w:szCs w:val="26"/>
        </w:rPr>
        <w:t>s position in the marketplace and to maintain and expand domestic and foreign markets and uses for beef and beef products</w:t>
      </w:r>
      <w:r>
        <w:rPr>
          <w:rFonts w:cs="Times New Roman"/>
          <w:szCs w:val="26"/>
        </w:rPr>
        <w:t>.”  (</w:t>
      </w:r>
      <w:r w:rsidRPr="002078C5">
        <w:rPr>
          <w:rFonts w:cs="Times New Roman"/>
          <w:i/>
          <w:szCs w:val="26"/>
        </w:rPr>
        <w:t>Id</w:t>
      </w:r>
      <w:r>
        <w:rPr>
          <w:rFonts w:cs="Times New Roman"/>
          <w:szCs w:val="26"/>
        </w:rPr>
        <w:t xml:space="preserve">., </w:t>
      </w:r>
      <w:r w:rsidRPr="00114208">
        <w:rPr>
          <w:rFonts w:cs="Times New Roman"/>
          <w:szCs w:val="26"/>
        </w:rPr>
        <w:t>§</w:t>
      </w:r>
      <w:r>
        <w:rPr>
          <w:rFonts w:cs="Times New Roman"/>
          <w:szCs w:val="26"/>
        </w:rPr>
        <w:t> 2901(b).)</w:t>
      </w:r>
    </w:p>
  </w:footnote>
  <w:footnote w:id="17">
    <w:p w:rsidR="00AD4D26">
      <w:pPr>
        <w:pStyle w:val="FootnoteText"/>
        <w:rPr>
          <w:sz w:val="26"/>
          <w:szCs w:val="26"/>
        </w:rPr>
      </w:pPr>
      <w:r w:rsidRPr="00C36ED4">
        <w:rPr>
          <w:rStyle w:val="FootnoteReference"/>
          <w:b/>
          <w:sz w:val="26"/>
          <w:szCs w:val="26"/>
        </w:rPr>
        <w:footnoteRef/>
      </w:r>
      <w:r w:rsidRPr="00C36ED4">
        <w:rPr>
          <w:b/>
          <w:sz w:val="26"/>
          <w:szCs w:val="26"/>
        </w:rPr>
        <w:t xml:space="preserve"> </w:t>
      </w:r>
      <w:r w:rsidRPr="00C36ED4">
        <w:rPr>
          <w:sz w:val="26"/>
          <w:szCs w:val="26"/>
        </w:rPr>
        <w:tab/>
      </w:r>
      <w:r w:rsidRPr="00C36ED4">
        <w:rPr>
          <w:i/>
          <w:sz w:val="26"/>
          <w:szCs w:val="26"/>
        </w:rPr>
        <w:t>Johanns</w:t>
      </w:r>
      <w:r>
        <w:rPr>
          <w:sz w:val="26"/>
          <w:szCs w:val="26"/>
        </w:rPr>
        <w:t xml:space="preserve">, </w:t>
      </w:r>
      <w:r w:rsidRPr="00C36ED4">
        <w:rPr>
          <w:i/>
          <w:sz w:val="26"/>
          <w:szCs w:val="26"/>
        </w:rPr>
        <w:t>supra</w:t>
      </w:r>
      <w:r>
        <w:rPr>
          <w:sz w:val="26"/>
          <w:szCs w:val="26"/>
        </w:rPr>
        <w:t>, 544 U.S. 550,</w:t>
      </w:r>
      <w:r w:rsidRPr="00C36ED4">
        <w:rPr>
          <w:sz w:val="26"/>
          <w:szCs w:val="26"/>
        </w:rPr>
        <w:t xml:space="preserve"> also distinguished between the gravamen of a </w:t>
      </w:r>
      <w:r w:rsidRPr="00E53B85">
        <w:rPr>
          <w:i/>
          <w:sz w:val="26"/>
          <w:szCs w:val="26"/>
        </w:rPr>
        <w:t>compelled-speech</w:t>
      </w:r>
      <w:r w:rsidRPr="00C36ED4">
        <w:rPr>
          <w:sz w:val="26"/>
          <w:szCs w:val="26"/>
        </w:rPr>
        <w:t xml:space="preserve"> claim and th</w:t>
      </w:r>
      <w:r>
        <w:rPr>
          <w:sz w:val="26"/>
          <w:szCs w:val="26"/>
        </w:rPr>
        <w:t xml:space="preserve">e gist of a </w:t>
      </w:r>
      <w:r w:rsidRPr="00E53B85">
        <w:rPr>
          <w:i/>
          <w:sz w:val="26"/>
          <w:szCs w:val="26"/>
        </w:rPr>
        <w:t>compelled-subsidy</w:t>
      </w:r>
      <w:r>
        <w:rPr>
          <w:sz w:val="26"/>
          <w:szCs w:val="26"/>
        </w:rPr>
        <w:t xml:space="preserve"> claim</w:t>
      </w:r>
      <w:r w:rsidRPr="00C36ED4">
        <w:rPr>
          <w:sz w:val="26"/>
          <w:szCs w:val="26"/>
        </w:rPr>
        <w:t xml:space="preserve"> as follow</w:t>
      </w:r>
      <w:r>
        <w:rPr>
          <w:sz w:val="26"/>
          <w:szCs w:val="26"/>
        </w:rPr>
        <w:t>s: A “compelled-speech argument . . .</w:t>
      </w:r>
      <w:r w:rsidRPr="00C36ED4">
        <w:rPr>
          <w:sz w:val="26"/>
          <w:szCs w:val="26"/>
        </w:rPr>
        <w:t xml:space="preserve"> differs substantively from [a] compelled-subsidy analysis.</w:t>
      </w:r>
      <w:r>
        <w:rPr>
          <w:sz w:val="26"/>
          <w:szCs w:val="26"/>
        </w:rPr>
        <w:t xml:space="preserve"> </w:t>
      </w:r>
      <w:r w:rsidRPr="00C36ED4">
        <w:rPr>
          <w:sz w:val="26"/>
          <w:szCs w:val="26"/>
        </w:rPr>
        <w:t xml:space="preserve"> The latter invalidates an exaction not because being forced to pay for speech that is unattributed violates personal autonomy, but because be</w:t>
      </w:r>
      <w:r>
        <w:rPr>
          <w:sz w:val="26"/>
          <w:szCs w:val="26"/>
        </w:rPr>
        <w:t>ing forced to fund someone else’</w:t>
      </w:r>
      <w:r w:rsidRPr="00C36ED4">
        <w:rPr>
          <w:sz w:val="26"/>
          <w:szCs w:val="26"/>
        </w:rPr>
        <w:t xml:space="preserve">s private speech unconnected to any legitimate government purpose violates personal autonomy. </w:t>
      </w:r>
      <w:r>
        <w:rPr>
          <w:sz w:val="26"/>
          <w:szCs w:val="26"/>
        </w:rPr>
        <w:t xml:space="preserve"> </w:t>
      </w:r>
      <w:r w:rsidRPr="00C36ED4">
        <w:rPr>
          <w:sz w:val="26"/>
          <w:szCs w:val="26"/>
        </w:rPr>
        <w:t xml:space="preserve">[Citation.]  Such a violation does not occur when the exaction funds government speech. </w:t>
      </w:r>
      <w:r>
        <w:rPr>
          <w:sz w:val="26"/>
          <w:szCs w:val="26"/>
        </w:rPr>
        <w:t xml:space="preserve"> </w:t>
      </w:r>
      <w:r w:rsidRPr="00C36ED4">
        <w:rPr>
          <w:sz w:val="26"/>
          <w:szCs w:val="26"/>
        </w:rPr>
        <w:t>Apportioning the burden of funding government operations (including speech) through taxes and other levies does not violate autonomy simply because individual taxpayers feel ‘singled out’ or find the exaction ‘galling</w:t>
      </w:r>
      <w:r>
        <w:rPr>
          <w:sz w:val="26"/>
          <w:szCs w:val="26"/>
        </w:rPr>
        <w:t>.</w:t>
      </w:r>
      <w:r w:rsidRPr="00C36ED4">
        <w:rPr>
          <w:sz w:val="26"/>
          <w:szCs w:val="26"/>
        </w:rPr>
        <w:t>’ ”</w:t>
      </w:r>
      <w:r>
        <w:rPr>
          <w:sz w:val="26"/>
          <w:szCs w:val="26"/>
        </w:rPr>
        <w:t xml:space="preserve">  (</w:t>
      </w:r>
      <w:r>
        <w:rPr>
          <w:i/>
          <w:sz w:val="26"/>
          <w:szCs w:val="26"/>
        </w:rPr>
        <w:t>Id.</w:t>
      </w:r>
      <w:r>
        <w:rPr>
          <w:sz w:val="26"/>
          <w:szCs w:val="26"/>
        </w:rPr>
        <w:t xml:space="preserve">, at p. 565, fn. 8.)  </w:t>
      </w:r>
    </w:p>
    <w:p w:rsidR="00AD4D26" w:rsidRPr="00C36ED4">
      <w:pPr>
        <w:pStyle w:val="FootnoteText"/>
        <w:rPr>
          <w:sz w:val="26"/>
          <w:szCs w:val="26"/>
        </w:rPr>
      </w:pPr>
    </w:p>
  </w:footnote>
  <w:footnote w:id="18">
    <w:p w:rsidR="00AD4D26" w:rsidRPr="000D0E63" w:rsidP="007205D8">
      <w:pPr>
        <w:pStyle w:val="FootnoteText"/>
        <w:spacing w:after="240"/>
        <w:rPr>
          <w:rFonts w:cs="Times New Roman"/>
        </w:rPr>
      </w:pPr>
      <w:r w:rsidRPr="00425ED6">
        <w:rPr>
          <w:rStyle w:val="FootnoteReference"/>
          <w:rFonts w:cs="Times New Roman"/>
          <w:b/>
          <w:sz w:val="26"/>
          <w:szCs w:val="26"/>
        </w:rPr>
        <w:footnoteRef/>
      </w:r>
      <w:r w:rsidRPr="00425ED6">
        <w:rPr>
          <w:rFonts w:cs="Times New Roman"/>
          <w:b/>
          <w:sz w:val="26"/>
          <w:szCs w:val="26"/>
        </w:rPr>
        <w:t xml:space="preserve">  </w:t>
      </w:r>
      <w:r>
        <w:rPr>
          <w:rFonts w:cs="Times New Roman"/>
          <w:sz w:val="26"/>
          <w:szCs w:val="26"/>
        </w:rPr>
        <w:tab/>
        <w:t>To the c</w:t>
      </w:r>
      <w:r w:rsidRPr="000D0E63">
        <w:rPr>
          <w:rFonts w:cs="Times New Roman"/>
          <w:sz w:val="26"/>
          <w:szCs w:val="26"/>
        </w:rPr>
        <w:t>ourt</w:t>
      </w:r>
      <w:r>
        <w:rPr>
          <w:rFonts w:cs="Times New Roman"/>
          <w:sz w:val="26"/>
          <w:szCs w:val="26"/>
        </w:rPr>
        <w:t xml:space="preserve"> in </w:t>
      </w:r>
      <w:r w:rsidRPr="00E62A12">
        <w:rPr>
          <w:rFonts w:cs="Times New Roman"/>
          <w:i/>
          <w:sz w:val="26"/>
          <w:szCs w:val="26"/>
        </w:rPr>
        <w:t>Johanns</w:t>
      </w:r>
      <w:r>
        <w:rPr>
          <w:rFonts w:cs="Times New Roman"/>
          <w:sz w:val="26"/>
          <w:szCs w:val="26"/>
        </w:rPr>
        <w:t xml:space="preserve">, </w:t>
      </w:r>
      <w:r w:rsidRPr="00E62A12">
        <w:rPr>
          <w:rFonts w:cs="Times New Roman"/>
          <w:i/>
          <w:sz w:val="26"/>
          <w:szCs w:val="26"/>
        </w:rPr>
        <w:t>supra</w:t>
      </w:r>
      <w:r>
        <w:rPr>
          <w:rFonts w:cs="Times New Roman"/>
          <w:sz w:val="26"/>
          <w:szCs w:val="26"/>
        </w:rPr>
        <w:t>, 544 U.S. 550</w:t>
      </w:r>
      <w:r w:rsidRPr="000D0E63">
        <w:rPr>
          <w:rFonts w:cs="Times New Roman"/>
          <w:sz w:val="26"/>
          <w:szCs w:val="26"/>
        </w:rPr>
        <w:t>, “[t]his degree of government</w:t>
      </w:r>
      <w:r>
        <w:rPr>
          <w:rFonts w:cs="Times New Roman"/>
          <w:sz w:val="26"/>
          <w:szCs w:val="26"/>
        </w:rPr>
        <w:t>al</w:t>
      </w:r>
      <w:r w:rsidRPr="000D0E63">
        <w:rPr>
          <w:rFonts w:cs="Times New Roman"/>
          <w:sz w:val="26"/>
          <w:szCs w:val="26"/>
        </w:rPr>
        <w:t xml:space="preserve"> control” distinguished the beef promotion program from the speech involved in </w:t>
      </w:r>
      <w:r w:rsidRPr="000D0E63">
        <w:rPr>
          <w:rFonts w:cs="Times New Roman"/>
          <w:i/>
          <w:sz w:val="26"/>
          <w:szCs w:val="26"/>
        </w:rPr>
        <w:t>Keller</w:t>
      </w:r>
      <w:r w:rsidRPr="000D0E63">
        <w:rPr>
          <w:rFonts w:cs="Times New Roman"/>
          <w:sz w:val="26"/>
          <w:szCs w:val="26"/>
        </w:rPr>
        <w:t xml:space="preserve">, </w:t>
      </w:r>
      <w:r w:rsidRPr="000D0E63">
        <w:rPr>
          <w:rFonts w:cs="Times New Roman"/>
          <w:i/>
          <w:sz w:val="26"/>
          <w:szCs w:val="26"/>
        </w:rPr>
        <w:t>supra</w:t>
      </w:r>
      <w:r w:rsidRPr="000D0E63">
        <w:rPr>
          <w:rFonts w:cs="Times New Roman"/>
          <w:sz w:val="26"/>
          <w:szCs w:val="26"/>
        </w:rPr>
        <w:t>, 496 U.S. 1, in which the State Bar’s communicative activities “were not prescribed by law in their general outline and not developed under official government supervision.”  (</w:t>
      </w:r>
      <w:r>
        <w:rPr>
          <w:rFonts w:cs="Times New Roman"/>
          <w:i/>
          <w:sz w:val="26"/>
          <w:szCs w:val="26"/>
        </w:rPr>
        <w:t>Johanns</w:t>
      </w:r>
      <w:r>
        <w:rPr>
          <w:rFonts w:cs="Times New Roman"/>
          <w:sz w:val="26"/>
          <w:szCs w:val="26"/>
        </w:rPr>
        <w:t xml:space="preserve">, </w:t>
      </w:r>
      <w:r w:rsidRPr="000D0E63">
        <w:rPr>
          <w:rFonts w:cs="Times New Roman"/>
          <w:sz w:val="26"/>
          <w:szCs w:val="26"/>
        </w:rPr>
        <w:t>at pp. 561-562.)</w:t>
      </w:r>
      <w:r>
        <w:rPr>
          <w:rFonts w:cs="Times New Roman"/>
          <w:sz w:val="26"/>
          <w:szCs w:val="26"/>
        </w:rPr>
        <w:t xml:space="preserve">  “</w:t>
      </w:r>
      <w:r w:rsidRPr="00425ED6">
        <w:rPr>
          <w:rFonts w:cs="Times New Roman"/>
          <w:sz w:val="26"/>
          <w:szCs w:val="26"/>
        </w:rPr>
        <w:t>When, as here, the government sets the overall message to be communicated and approves every word that is disseminated,</w:t>
      </w:r>
      <w:r>
        <w:rPr>
          <w:rFonts w:cs="Times New Roman"/>
          <w:sz w:val="26"/>
          <w:szCs w:val="26"/>
        </w:rPr>
        <w:t xml:space="preserve">” </w:t>
      </w:r>
      <w:r w:rsidRPr="00425ED6">
        <w:rPr>
          <w:rFonts w:cs="Times New Roman"/>
          <w:i/>
          <w:sz w:val="26"/>
          <w:szCs w:val="26"/>
        </w:rPr>
        <w:t>Johanns</w:t>
      </w:r>
      <w:r>
        <w:rPr>
          <w:rFonts w:cs="Times New Roman"/>
          <w:sz w:val="26"/>
          <w:szCs w:val="26"/>
        </w:rPr>
        <w:t xml:space="preserve"> observed,</w:t>
      </w:r>
      <w:r w:rsidRPr="00425ED6">
        <w:rPr>
          <w:rFonts w:cs="Times New Roman"/>
          <w:sz w:val="26"/>
          <w:szCs w:val="26"/>
        </w:rPr>
        <w:t xml:space="preserve"> </w:t>
      </w:r>
      <w:r>
        <w:rPr>
          <w:rFonts w:cs="Times New Roman"/>
          <w:sz w:val="26"/>
          <w:szCs w:val="26"/>
        </w:rPr>
        <w:t>“</w:t>
      </w:r>
      <w:r w:rsidRPr="00425ED6">
        <w:rPr>
          <w:rFonts w:cs="Times New Roman"/>
          <w:sz w:val="26"/>
          <w:szCs w:val="26"/>
        </w:rPr>
        <w:t>it is not precluded from relying on the government-speech doctrine merely because it solicits assistance from nongovernmental sources in developing specific messages.</w:t>
      </w:r>
      <w:r>
        <w:rPr>
          <w:rFonts w:cs="Times New Roman"/>
          <w:sz w:val="26"/>
          <w:szCs w:val="26"/>
        </w:rPr>
        <w:t>”  (</w:t>
      </w:r>
      <w:r w:rsidRPr="00425ED6">
        <w:rPr>
          <w:rFonts w:cs="Times New Roman"/>
          <w:i/>
          <w:sz w:val="26"/>
          <w:szCs w:val="26"/>
        </w:rPr>
        <w:t>Id</w:t>
      </w:r>
      <w:r>
        <w:rPr>
          <w:rFonts w:cs="Times New Roman"/>
          <w:sz w:val="26"/>
          <w:szCs w:val="26"/>
        </w:rPr>
        <w:t>., at p. 562.)</w:t>
      </w:r>
    </w:p>
  </w:footnote>
  <w:footnote w:id="19">
    <w:p w:rsidR="00AD4D26" w:rsidP="007205D8">
      <w:pPr>
        <w:pStyle w:val="FootnoteText"/>
        <w:rPr>
          <w:rFonts w:cs="Times New Roman"/>
          <w:sz w:val="26"/>
          <w:szCs w:val="26"/>
        </w:rPr>
      </w:pPr>
      <w:r w:rsidRPr="00425ED6">
        <w:rPr>
          <w:rStyle w:val="FootnoteReference"/>
          <w:b/>
          <w:sz w:val="26"/>
          <w:szCs w:val="26"/>
        </w:rPr>
        <w:footnoteRef/>
      </w:r>
      <w:r w:rsidRPr="00425ED6">
        <w:rPr>
          <w:b/>
          <w:sz w:val="26"/>
          <w:szCs w:val="26"/>
        </w:rPr>
        <w:t xml:space="preserve"> </w:t>
      </w:r>
      <w:r w:rsidRPr="005831AD">
        <w:rPr>
          <w:sz w:val="26"/>
          <w:szCs w:val="26"/>
        </w:rPr>
        <w:tab/>
      </w:r>
      <w:r w:rsidRPr="005831AD">
        <w:rPr>
          <w:rFonts w:cs="Times New Roman"/>
          <w:sz w:val="26"/>
          <w:szCs w:val="26"/>
        </w:rPr>
        <w:t xml:space="preserve">In dissent, Justice Souter argued that the targeted nature of the assessments on beef and beef products </w:t>
      </w:r>
      <w:r>
        <w:rPr>
          <w:rFonts w:cs="Times New Roman"/>
          <w:sz w:val="26"/>
          <w:szCs w:val="26"/>
        </w:rPr>
        <w:t>— with funding coming only from producers, and not from the general public fisc — dictated</w:t>
      </w:r>
      <w:r w:rsidRPr="005831AD">
        <w:rPr>
          <w:rFonts w:cs="Times New Roman"/>
          <w:sz w:val="26"/>
          <w:szCs w:val="26"/>
        </w:rPr>
        <w:t xml:space="preserve"> a </w:t>
      </w:r>
      <w:r>
        <w:rPr>
          <w:rFonts w:cs="Times New Roman"/>
          <w:sz w:val="26"/>
          <w:szCs w:val="26"/>
        </w:rPr>
        <w:t>more constrained construction of the government speech doctrine</w:t>
      </w:r>
      <w:r w:rsidRPr="005831AD">
        <w:rPr>
          <w:rFonts w:cs="Times New Roman"/>
          <w:sz w:val="26"/>
          <w:szCs w:val="26"/>
        </w:rPr>
        <w:t>.  (</w:t>
      </w:r>
      <w:r w:rsidRPr="005831AD">
        <w:rPr>
          <w:rFonts w:cs="Times New Roman"/>
          <w:i/>
          <w:sz w:val="26"/>
          <w:szCs w:val="26"/>
        </w:rPr>
        <w:t>Johanns</w:t>
      </w:r>
      <w:r w:rsidRPr="005831AD">
        <w:rPr>
          <w:rFonts w:cs="Times New Roman"/>
          <w:sz w:val="26"/>
          <w:szCs w:val="26"/>
        </w:rPr>
        <w:t xml:space="preserve">, </w:t>
      </w:r>
      <w:r w:rsidRPr="005831AD">
        <w:rPr>
          <w:rFonts w:cs="Times New Roman"/>
          <w:i/>
          <w:sz w:val="26"/>
          <w:szCs w:val="26"/>
        </w:rPr>
        <w:t>supra</w:t>
      </w:r>
      <w:r>
        <w:rPr>
          <w:rFonts w:cs="Times New Roman"/>
          <w:sz w:val="26"/>
          <w:szCs w:val="26"/>
        </w:rPr>
        <w:t>, 544 U.S. at pp. 575-576 (dis. opn. of Souter, J.).</w:t>
      </w:r>
      <w:r w:rsidRPr="005831AD">
        <w:rPr>
          <w:rFonts w:cs="Times New Roman"/>
          <w:sz w:val="26"/>
          <w:szCs w:val="26"/>
        </w:rPr>
        <w:t>)  To Justice Souter, “the relative palatability of a remote subsidy shared by every taxpayer is not to be found when the speech is funded with targeted taxes.  For then, as here, the particular interests of those singled out to pay the tax are closely linked with the expression, and the taxpayers who disagree with it suffer a more acute limitation on their presumptive autonomy as speakers to decide what to say and what to pay for others to say.”  (</w:t>
      </w:r>
      <w:r w:rsidRPr="005831AD">
        <w:rPr>
          <w:rFonts w:cs="Times New Roman"/>
          <w:i/>
          <w:sz w:val="26"/>
          <w:szCs w:val="26"/>
        </w:rPr>
        <w:t>Ibid</w:t>
      </w:r>
      <w:r w:rsidRPr="005831AD">
        <w:rPr>
          <w:rFonts w:cs="Times New Roman"/>
          <w:sz w:val="26"/>
          <w:szCs w:val="26"/>
        </w:rPr>
        <w:t xml:space="preserve">.)  </w:t>
      </w:r>
    </w:p>
    <w:p w:rsidR="00AD4D26" w:rsidRPr="005831AD" w:rsidP="007205D8">
      <w:pPr>
        <w:pStyle w:val="FootnoteText"/>
        <w:ind w:firstLine="720"/>
        <w:rPr>
          <w:sz w:val="26"/>
          <w:szCs w:val="26"/>
        </w:rPr>
      </w:pPr>
      <w:r w:rsidRPr="005831AD">
        <w:rPr>
          <w:rFonts w:cs="Times New Roman"/>
          <w:sz w:val="26"/>
          <w:szCs w:val="26"/>
        </w:rPr>
        <w:t xml:space="preserve">These circumstances, </w:t>
      </w:r>
      <w:r>
        <w:rPr>
          <w:rFonts w:cs="Times New Roman"/>
          <w:sz w:val="26"/>
          <w:szCs w:val="26"/>
        </w:rPr>
        <w:t>Justice Souter</w:t>
      </w:r>
      <w:r w:rsidRPr="005831AD">
        <w:rPr>
          <w:rFonts w:cs="Times New Roman"/>
          <w:sz w:val="26"/>
          <w:szCs w:val="26"/>
        </w:rPr>
        <w:t xml:space="preserve"> believed, </w:t>
      </w:r>
      <w:r>
        <w:rPr>
          <w:rFonts w:cs="Times New Roman"/>
          <w:sz w:val="26"/>
          <w:szCs w:val="26"/>
        </w:rPr>
        <w:t>meant</w:t>
      </w:r>
      <w:r w:rsidRPr="005831AD">
        <w:rPr>
          <w:rFonts w:cs="Times New Roman"/>
          <w:sz w:val="26"/>
          <w:szCs w:val="26"/>
        </w:rPr>
        <w:t xml:space="preserve"> that </w:t>
      </w:r>
      <w:r>
        <w:rPr>
          <w:rFonts w:cs="Times New Roman"/>
          <w:sz w:val="26"/>
          <w:szCs w:val="26"/>
        </w:rPr>
        <w:t xml:space="preserve">for the Beef Act’s promotional messaging to qualify as government speech, </w:t>
      </w:r>
      <w:r w:rsidRPr="005831AD">
        <w:rPr>
          <w:rFonts w:cs="Times New Roman"/>
          <w:sz w:val="26"/>
          <w:szCs w:val="26"/>
        </w:rPr>
        <w:t>the cha</w:t>
      </w:r>
      <w:r>
        <w:rPr>
          <w:rFonts w:cs="Times New Roman"/>
          <w:sz w:val="26"/>
          <w:szCs w:val="26"/>
        </w:rPr>
        <w:t>llenged advertisements had to disclose that the government was the speaker.  Such a</w:t>
      </w:r>
      <w:r w:rsidRPr="005831AD">
        <w:rPr>
          <w:rFonts w:cs="Times New Roman"/>
          <w:sz w:val="26"/>
          <w:szCs w:val="26"/>
        </w:rPr>
        <w:t xml:space="preserve"> requirement was needed</w:t>
      </w:r>
      <w:r>
        <w:rPr>
          <w:rFonts w:cs="Times New Roman"/>
          <w:sz w:val="26"/>
          <w:szCs w:val="26"/>
        </w:rPr>
        <w:t>, he wrote,</w:t>
      </w:r>
      <w:r w:rsidRPr="005831AD">
        <w:rPr>
          <w:rFonts w:cs="Times New Roman"/>
          <w:sz w:val="26"/>
          <w:szCs w:val="26"/>
        </w:rPr>
        <w:t xml:space="preserve"> “to ensure that the political process can practically respond to limit the compulsion” associated with the funding scheme.  (</w:t>
      </w:r>
      <w:r>
        <w:rPr>
          <w:rFonts w:cs="Times New Roman"/>
          <w:i/>
          <w:sz w:val="26"/>
          <w:szCs w:val="26"/>
        </w:rPr>
        <w:t>Johanns</w:t>
      </w:r>
      <w:r w:rsidRPr="005831AD">
        <w:rPr>
          <w:rFonts w:cs="Times New Roman"/>
          <w:sz w:val="26"/>
          <w:szCs w:val="26"/>
        </w:rPr>
        <w:t>,</w:t>
      </w:r>
      <w:r>
        <w:rPr>
          <w:rFonts w:cs="Times New Roman"/>
          <w:sz w:val="26"/>
          <w:szCs w:val="26"/>
        </w:rPr>
        <w:t xml:space="preserve"> </w:t>
      </w:r>
      <w:r w:rsidRPr="00B816C3">
        <w:rPr>
          <w:rFonts w:cs="Times New Roman"/>
          <w:i/>
          <w:sz w:val="26"/>
          <w:szCs w:val="26"/>
        </w:rPr>
        <w:t>supra</w:t>
      </w:r>
      <w:r>
        <w:rPr>
          <w:rFonts w:cs="Times New Roman"/>
          <w:sz w:val="26"/>
          <w:szCs w:val="26"/>
        </w:rPr>
        <w:t>, 544 U.S. at p. 576 (dis. opn. of Souter, J.).</w:t>
      </w:r>
      <w:r w:rsidRPr="005831AD">
        <w:rPr>
          <w:rFonts w:cs="Times New Roman"/>
          <w:sz w:val="26"/>
          <w:szCs w:val="26"/>
        </w:rPr>
        <w:t>)  It meant “nothing that Government officials control the message if that fact is never required to be made apparent to those who get the message, let alone if it is affirmatively concealed from them. . . .  Unless the putative government speech appears to be coming from the government, its governmental origin cannot possibly justify the burden on the First Amendment interests of the dissenters targeted to pay for it.”  (</w:t>
      </w:r>
      <w:r w:rsidRPr="005831AD">
        <w:rPr>
          <w:rFonts w:cs="Times New Roman"/>
          <w:i/>
          <w:sz w:val="26"/>
          <w:szCs w:val="26"/>
        </w:rPr>
        <w:t>Id</w:t>
      </w:r>
      <w:r w:rsidRPr="005831AD">
        <w:rPr>
          <w:rFonts w:cs="Times New Roman"/>
          <w:sz w:val="26"/>
          <w:szCs w:val="26"/>
        </w:rPr>
        <w:t>.</w:t>
      </w:r>
      <w:r>
        <w:rPr>
          <w:rFonts w:cs="Times New Roman"/>
          <w:sz w:val="26"/>
          <w:szCs w:val="26"/>
        </w:rPr>
        <w:t>, at pp. 578-579</w:t>
      </w:r>
      <w:r w:rsidRPr="005831AD">
        <w:rPr>
          <w:rFonts w:cs="Times New Roman"/>
          <w:sz w:val="26"/>
          <w:szCs w:val="26"/>
        </w:rPr>
        <w:t>, f</w:t>
      </w:r>
      <w:r>
        <w:rPr>
          <w:rFonts w:cs="Times New Roman"/>
          <w:sz w:val="26"/>
          <w:szCs w:val="26"/>
        </w:rPr>
        <w:t>n</w:t>
      </w:r>
      <w:r w:rsidRPr="005831AD">
        <w:rPr>
          <w:rFonts w:cs="Times New Roman"/>
          <w:sz w:val="26"/>
          <w:szCs w:val="26"/>
        </w:rPr>
        <w:t>s</w:t>
      </w:r>
      <w:r>
        <w:rPr>
          <w:rFonts w:cs="Times New Roman"/>
          <w:sz w:val="26"/>
          <w:szCs w:val="26"/>
        </w:rPr>
        <w:t>.</w:t>
      </w:r>
      <w:r w:rsidRPr="005831AD">
        <w:rPr>
          <w:rFonts w:cs="Times New Roman"/>
          <w:sz w:val="26"/>
          <w:szCs w:val="26"/>
        </w:rPr>
        <w:t xml:space="preserve"> omitted.)</w:t>
      </w:r>
      <w:r>
        <w:rPr>
          <w:rFonts w:cs="Times New Roman"/>
          <w:sz w:val="26"/>
          <w:szCs w:val="26"/>
        </w:rPr>
        <w:t xml:space="preserve">  </w:t>
      </w:r>
    </w:p>
  </w:footnote>
  <w:footnote w:id="20">
    <w:p w:rsidR="00AD4D26" w:rsidP="007205D8">
      <w:pPr>
        <w:pStyle w:val="FootnoteText"/>
        <w:rPr>
          <w:sz w:val="26"/>
          <w:szCs w:val="26"/>
        </w:rPr>
      </w:pPr>
      <w:r w:rsidRPr="00F612C2">
        <w:rPr>
          <w:rStyle w:val="FootnoteReference"/>
          <w:b/>
        </w:rPr>
        <w:footnoteRef/>
      </w:r>
      <w:r w:rsidRPr="00F612C2">
        <w:rPr>
          <w:b/>
        </w:rPr>
        <w:t xml:space="preserve"> </w:t>
      </w:r>
      <w:r>
        <w:tab/>
      </w:r>
      <w:r>
        <w:rPr>
          <w:sz w:val="26"/>
          <w:szCs w:val="26"/>
        </w:rPr>
        <w:t>T</w:t>
      </w:r>
      <w:r w:rsidRPr="0067669E">
        <w:rPr>
          <w:sz w:val="26"/>
          <w:szCs w:val="26"/>
        </w:rPr>
        <w:t>he plaintiff</w:t>
      </w:r>
      <w:r>
        <w:rPr>
          <w:sz w:val="26"/>
          <w:szCs w:val="26"/>
        </w:rPr>
        <w:t xml:space="preserve"> in </w:t>
      </w:r>
      <w:r w:rsidRPr="00CD6F8C">
        <w:rPr>
          <w:i/>
          <w:sz w:val="26"/>
          <w:szCs w:val="26"/>
        </w:rPr>
        <w:t>Lebron</w:t>
      </w:r>
      <w:r>
        <w:rPr>
          <w:sz w:val="26"/>
          <w:szCs w:val="26"/>
        </w:rPr>
        <w:t xml:space="preserve">, </w:t>
      </w:r>
      <w:r w:rsidRPr="00CD6F8C">
        <w:rPr>
          <w:i/>
          <w:sz w:val="26"/>
          <w:szCs w:val="26"/>
        </w:rPr>
        <w:t>supra</w:t>
      </w:r>
      <w:r>
        <w:rPr>
          <w:sz w:val="26"/>
          <w:szCs w:val="26"/>
        </w:rPr>
        <w:t>, 513 U.S. 374,</w:t>
      </w:r>
      <w:r w:rsidRPr="0067669E">
        <w:rPr>
          <w:sz w:val="26"/>
          <w:szCs w:val="26"/>
        </w:rPr>
        <w:t xml:space="preserve"> alleged that Amtrak had violated his First Amendment rights by rejecting a billboard display because of its political content.  (</w:t>
      </w:r>
      <w:r w:rsidRPr="0067669E">
        <w:rPr>
          <w:i/>
          <w:sz w:val="26"/>
          <w:szCs w:val="26"/>
        </w:rPr>
        <w:t>Id</w:t>
      </w:r>
      <w:r w:rsidRPr="0067669E">
        <w:rPr>
          <w:sz w:val="26"/>
          <w:szCs w:val="26"/>
        </w:rPr>
        <w:t xml:space="preserve">., at p. 378.)  </w:t>
      </w:r>
      <w:r>
        <w:rPr>
          <w:sz w:val="26"/>
          <w:szCs w:val="26"/>
        </w:rPr>
        <w:t>In its ruling below, the</w:t>
      </w:r>
      <w:r w:rsidRPr="0067669E">
        <w:rPr>
          <w:sz w:val="26"/>
          <w:szCs w:val="26"/>
        </w:rPr>
        <w:t xml:space="preserve"> federal </w:t>
      </w:r>
      <w:r>
        <w:rPr>
          <w:sz w:val="26"/>
          <w:szCs w:val="26"/>
        </w:rPr>
        <w:t>court of a</w:t>
      </w:r>
      <w:r w:rsidRPr="0067669E">
        <w:rPr>
          <w:sz w:val="26"/>
          <w:szCs w:val="26"/>
        </w:rPr>
        <w:t>ppeals had determined that Amtrak was not a government entity.  (</w:t>
      </w:r>
      <w:r w:rsidRPr="0067669E">
        <w:rPr>
          <w:i/>
          <w:sz w:val="26"/>
          <w:szCs w:val="26"/>
        </w:rPr>
        <w:t>Ibid</w:t>
      </w:r>
      <w:r w:rsidRPr="0067669E">
        <w:rPr>
          <w:sz w:val="26"/>
          <w:szCs w:val="26"/>
        </w:rPr>
        <w:t xml:space="preserve">.)  The United States Supreme Court </w:t>
      </w:r>
      <w:r>
        <w:rPr>
          <w:sz w:val="26"/>
          <w:szCs w:val="26"/>
        </w:rPr>
        <w:t xml:space="preserve">reversed, concluding </w:t>
      </w:r>
      <w:r w:rsidRPr="0067669E">
        <w:rPr>
          <w:sz w:val="26"/>
          <w:szCs w:val="26"/>
        </w:rPr>
        <w:t>that Amtrak “is an agency or instrumentality of the United States for the purpose of individual rights guaranteed against the Government by the Constitution.”  (</w:t>
      </w:r>
      <w:r w:rsidRPr="0067669E">
        <w:rPr>
          <w:i/>
          <w:sz w:val="26"/>
          <w:szCs w:val="26"/>
        </w:rPr>
        <w:t>Id</w:t>
      </w:r>
      <w:r w:rsidRPr="0067669E">
        <w:rPr>
          <w:sz w:val="26"/>
          <w:szCs w:val="26"/>
        </w:rPr>
        <w:t xml:space="preserve">., at p. 394.)  Phrasing its ultimate holding more broadly, the </w:t>
      </w:r>
      <w:r>
        <w:rPr>
          <w:sz w:val="26"/>
          <w:szCs w:val="26"/>
        </w:rPr>
        <w:t xml:space="preserve">high </w:t>
      </w:r>
      <w:r w:rsidRPr="0067669E">
        <w:rPr>
          <w:sz w:val="26"/>
          <w:szCs w:val="26"/>
        </w:rPr>
        <w:t>court held that “where, as here, the Government creates a corporation by special law, for the furtherance of governmental objectives, and retains for itself permanent authority to appoint a majority of the directors of that corporation, the corporation is part of the Government for purposes of the First Amendment.”  (</w:t>
      </w:r>
      <w:r w:rsidRPr="0067669E">
        <w:rPr>
          <w:i/>
          <w:sz w:val="26"/>
          <w:szCs w:val="26"/>
        </w:rPr>
        <w:t>Id</w:t>
      </w:r>
      <w:r w:rsidRPr="0067669E">
        <w:rPr>
          <w:sz w:val="26"/>
          <w:szCs w:val="26"/>
        </w:rPr>
        <w:t xml:space="preserve">., at p. </w:t>
      </w:r>
      <w:r>
        <w:rPr>
          <w:sz w:val="26"/>
          <w:szCs w:val="26"/>
        </w:rPr>
        <w:t>400</w:t>
      </w:r>
      <w:r w:rsidRPr="0067669E">
        <w:rPr>
          <w:sz w:val="26"/>
          <w:szCs w:val="26"/>
        </w:rPr>
        <w:t>.)</w:t>
      </w:r>
    </w:p>
    <w:p w:rsidR="00AD4D26" w:rsidP="007205D8">
      <w:pPr>
        <w:pStyle w:val="FootnoteText"/>
      </w:pPr>
    </w:p>
  </w:footnote>
  <w:footnote w:id="21">
    <w:p w:rsidR="00AD4D26" w:rsidRPr="00E35DBC" w:rsidP="00E35DBC">
      <w:pPr>
        <w:spacing w:after="0" w:line="240" w:lineRule="auto"/>
        <w:rPr>
          <w:rFonts w:cs="Times New Roman"/>
          <w:szCs w:val="26"/>
        </w:rPr>
      </w:pPr>
      <w:r w:rsidRPr="006F0110">
        <w:rPr>
          <w:rStyle w:val="FootnoteReference"/>
          <w:b/>
        </w:rPr>
        <w:footnoteRef/>
      </w:r>
      <w:r w:rsidRPr="006F0110">
        <w:rPr>
          <w:b/>
        </w:rPr>
        <w:t xml:space="preserve"> </w:t>
      </w:r>
      <w:r>
        <w:tab/>
      </w:r>
      <w:r>
        <w:rPr>
          <w:rFonts w:cs="Times New Roman"/>
          <w:szCs w:val="26"/>
        </w:rPr>
        <w:t xml:space="preserve">Although some advertisements produced under the marketing order involved in </w:t>
      </w:r>
      <w:r w:rsidRPr="00C117BB">
        <w:rPr>
          <w:rFonts w:cs="Times New Roman"/>
          <w:i/>
          <w:szCs w:val="26"/>
        </w:rPr>
        <w:t>Gallo Cattle</w:t>
      </w:r>
      <w:r>
        <w:rPr>
          <w:rFonts w:cs="Times New Roman"/>
          <w:szCs w:val="26"/>
        </w:rPr>
        <w:t xml:space="preserve">, </w:t>
      </w:r>
      <w:r w:rsidRPr="00C117BB">
        <w:rPr>
          <w:rFonts w:cs="Times New Roman"/>
          <w:i/>
          <w:szCs w:val="26"/>
        </w:rPr>
        <w:t>supra</w:t>
      </w:r>
      <w:r>
        <w:rPr>
          <w:rFonts w:cs="Times New Roman"/>
          <w:szCs w:val="26"/>
        </w:rPr>
        <w:t>, 159 Cal.App.4th 948, “included taglines identifying the [Milk Producers Advisory] Board as an instrumentality of the State of California,” these “taglines appear[ed] very briefly in the advertisements, too briefly to alert the average viewer to the fact that the commercials are being presented on behalf of a government agency.”  (</w:t>
      </w:r>
      <w:r>
        <w:rPr>
          <w:rFonts w:cs="Times New Roman"/>
          <w:i/>
          <w:szCs w:val="26"/>
        </w:rPr>
        <w:t>Id.</w:t>
      </w:r>
      <w:r>
        <w:rPr>
          <w:rFonts w:cs="Times New Roman"/>
          <w:szCs w:val="26"/>
        </w:rPr>
        <w:t xml:space="preserve">, at p. 955.) </w:t>
      </w:r>
    </w:p>
  </w:footnote>
  <w:footnote w:id="22">
    <w:p w:rsidR="00AD4D26" w:rsidRPr="005D784E" w:rsidP="00D65088">
      <w:pPr>
        <w:pStyle w:val="FootnoteText"/>
        <w:rPr>
          <w:sz w:val="26"/>
          <w:szCs w:val="26"/>
        </w:rPr>
      </w:pPr>
      <w:r w:rsidRPr="005D784E">
        <w:rPr>
          <w:rStyle w:val="FootnoteReference"/>
          <w:b/>
          <w:sz w:val="26"/>
          <w:szCs w:val="26"/>
        </w:rPr>
        <w:footnoteRef/>
      </w:r>
      <w:r w:rsidRPr="005D784E">
        <w:rPr>
          <w:b/>
          <w:sz w:val="26"/>
          <w:szCs w:val="26"/>
        </w:rPr>
        <w:t xml:space="preserve"> </w:t>
      </w:r>
      <w:r w:rsidRPr="005D784E">
        <w:rPr>
          <w:sz w:val="26"/>
          <w:szCs w:val="26"/>
        </w:rPr>
        <w:tab/>
      </w:r>
      <w:r>
        <w:rPr>
          <w:sz w:val="26"/>
          <w:szCs w:val="26"/>
        </w:rPr>
        <w:t>The government speech doctrine can provide a framework for analyzing a broad variety of First Amendment claims.  Among them, it is sometimes perceived as an alternative to conventional</w:t>
      </w:r>
      <w:r w:rsidRPr="005D784E">
        <w:rPr>
          <w:sz w:val="26"/>
          <w:szCs w:val="26"/>
        </w:rPr>
        <w:t xml:space="preserve"> forum analysis</w:t>
      </w:r>
      <w:r>
        <w:rPr>
          <w:sz w:val="26"/>
          <w:szCs w:val="26"/>
        </w:rPr>
        <w:t xml:space="preserve">. </w:t>
      </w:r>
      <w:r w:rsidRPr="005D784E">
        <w:rPr>
          <w:sz w:val="26"/>
          <w:szCs w:val="26"/>
        </w:rPr>
        <w:t xml:space="preserve"> (See, e.g., </w:t>
      </w:r>
      <w:r w:rsidRPr="005D784E">
        <w:rPr>
          <w:rFonts w:cs="Times New Roman"/>
          <w:i/>
          <w:sz w:val="26"/>
          <w:szCs w:val="26"/>
        </w:rPr>
        <w:t>Walker</w:t>
      </w:r>
      <w:r w:rsidRPr="005D784E">
        <w:rPr>
          <w:rFonts w:cs="Times New Roman"/>
          <w:sz w:val="26"/>
          <w:szCs w:val="26"/>
        </w:rPr>
        <w:t xml:space="preserve">, </w:t>
      </w:r>
      <w:r w:rsidRPr="005D784E">
        <w:rPr>
          <w:rFonts w:cs="Times New Roman"/>
          <w:i/>
          <w:sz w:val="26"/>
          <w:szCs w:val="26"/>
        </w:rPr>
        <w:t>supra</w:t>
      </w:r>
      <w:r w:rsidRPr="005D784E">
        <w:rPr>
          <w:rFonts w:cs="Times New Roman"/>
          <w:sz w:val="26"/>
          <w:szCs w:val="26"/>
        </w:rPr>
        <w:t xml:space="preserve">, </w:t>
      </w:r>
      <w:r>
        <w:rPr>
          <w:rFonts w:cs="Times New Roman"/>
          <w:sz w:val="26"/>
          <w:szCs w:val="26"/>
        </w:rPr>
        <w:t>576</w:t>
      </w:r>
      <w:r w:rsidRPr="005D784E">
        <w:rPr>
          <w:rFonts w:cs="Times New Roman"/>
          <w:sz w:val="26"/>
          <w:szCs w:val="26"/>
        </w:rPr>
        <w:t xml:space="preserve"> U.S. </w:t>
      </w:r>
      <w:r>
        <w:rPr>
          <w:rFonts w:cs="Times New Roman"/>
          <w:sz w:val="26"/>
          <w:szCs w:val="26"/>
        </w:rPr>
        <w:t xml:space="preserve">at p. </w:t>
      </w:r>
      <w:r w:rsidRPr="005D784E">
        <w:rPr>
          <w:rFonts w:cs="Times New Roman"/>
          <w:sz w:val="26"/>
          <w:szCs w:val="26"/>
        </w:rPr>
        <w:t>___</w:t>
      </w:r>
      <w:r>
        <w:rPr>
          <w:rFonts w:cs="Times New Roman"/>
          <w:sz w:val="26"/>
          <w:szCs w:val="26"/>
        </w:rPr>
        <w:t xml:space="preserve"> [</w:t>
      </w:r>
      <w:r w:rsidRPr="005D784E">
        <w:rPr>
          <w:rFonts w:cs="Times New Roman"/>
          <w:sz w:val="26"/>
          <w:szCs w:val="26"/>
        </w:rPr>
        <w:t xml:space="preserve">135 S.Ct. at pp. </w:t>
      </w:r>
      <w:r>
        <w:rPr>
          <w:rFonts w:cs="Times New Roman"/>
          <w:sz w:val="26"/>
          <w:szCs w:val="26"/>
        </w:rPr>
        <w:t>2251-2252]</w:t>
      </w:r>
      <w:r w:rsidRPr="005D784E">
        <w:rPr>
          <w:rFonts w:cs="Times New Roman"/>
          <w:sz w:val="26"/>
          <w:szCs w:val="26"/>
        </w:rPr>
        <w:t xml:space="preserve">; </w:t>
      </w:r>
      <w:r w:rsidRPr="005D784E">
        <w:rPr>
          <w:rFonts w:cs="Times New Roman"/>
          <w:i/>
          <w:sz w:val="26"/>
          <w:szCs w:val="26"/>
        </w:rPr>
        <w:t>Summum</w:t>
      </w:r>
      <w:r w:rsidRPr="005D784E">
        <w:rPr>
          <w:rFonts w:cs="Times New Roman"/>
          <w:sz w:val="26"/>
          <w:szCs w:val="26"/>
        </w:rPr>
        <w:t xml:space="preserve">, </w:t>
      </w:r>
      <w:r w:rsidRPr="005D784E">
        <w:rPr>
          <w:rFonts w:cs="Times New Roman"/>
          <w:i/>
          <w:sz w:val="26"/>
          <w:szCs w:val="26"/>
        </w:rPr>
        <w:t>supra</w:t>
      </w:r>
      <w:r w:rsidRPr="005D784E">
        <w:rPr>
          <w:rFonts w:cs="Times New Roman"/>
          <w:sz w:val="26"/>
          <w:szCs w:val="26"/>
        </w:rPr>
        <w:t xml:space="preserve">, 555 U.S. at </w:t>
      </w:r>
      <w:r>
        <w:rPr>
          <w:rFonts w:cs="Times New Roman"/>
          <w:sz w:val="26"/>
          <w:szCs w:val="26"/>
        </w:rPr>
        <w:t>p</w:t>
      </w:r>
      <w:r w:rsidRPr="005D784E">
        <w:rPr>
          <w:rFonts w:cs="Times New Roman"/>
          <w:sz w:val="26"/>
          <w:szCs w:val="26"/>
        </w:rPr>
        <w:t xml:space="preserve">p. </w:t>
      </w:r>
      <w:r>
        <w:rPr>
          <w:rFonts w:cs="Times New Roman"/>
          <w:sz w:val="26"/>
          <w:szCs w:val="26"/>
        </w:rPr>
        <w:t>469-470.</w:t>
      </w:r>
      <w:r w:rsidRPr="005D784E">
        <w:rPr>
          <w:rFonts w:cs="Times New Roman"/>
          <w:sz w:val="26"/>
          <w:szCs w:val="26"/>
        </w:rPr>
        <w:t>)</w:t>
      </w:r>
      <w:r>
        <w:rPr>
          <w:sz w:val="26"/>
          <w:szCs w:val="26"/>
        </w:rPr>
        <w:t xml:space="preserve">  Invocation of the government speech doctrine in lieu of a forum analysis, or in other settings, may implicate considerations under article I, section 2 that are different from those associated with the doctrine’s application in this case.  The discussion here should not be construed as expressing a view concerning the applicability of the government speech doctrine in contexts not involving compelled subsidies.  </w:t>
      </w:r>
    </w:p>
  </w:footnote>
  <w:footnote w:id="23">
    <w:p w:rsidR="00AD4D26" w:rsidRPr="0096029C">
      <w:pPr>
        <w:pStyle w:val="FootnoteText"/>
        <w:rPr>
          <w:b/>
        </w:rPr>
      </w:pPr>
      <w:r w:rsidRPr="009266C4">
        <w:rPr>
          <w:rStyle w:val="FootnoteReference"/>
          <w:b/>
          <w:sz w:val="26"/>
        </w:rPr>
        <w:footnoteRef/>
      </w:r>
      <w:r w:rsidRPr="0096029C">
        <w:rPr>
          <w:b/>
        </w:rPr>
        <w:t xml:space="preserve"> </w:t>
      </w:r>
      <w:r w:rsidRPr="0096029C">
        <w:rPr>
          <w:b/>
        </w:rPr>
        <w:tab/>
      </w:r>
      <w:r w:rsidRPr="0096029C">
        <w:rPr>
          <w:sz w:val="26"/>
          <w:szCs w:val="26"/>
        </w:rPr>
        <w:t xml:space="preserve">It is true that the Commission only </w:t>
      </w:r>
      <w:r>
        <w:rPr>
          <w:sz w:val="26"/>
          <w:szCs w:val="26"/>
        </w:rPr>
        <w:t>initiated operations</w:t>
      </w:r>
      <w:r w:rsidRPr="0096029C">
        <w:rPr>
          <w:sz w:val="26"/>
          <w:szCs w:val="26"/>
        </w:rPr>
        <w:t xml:space="preserve"> upon an affirmative vote among growers.  </w:t>
      </w:r>
      <w:r>
        <w:rPr>
          <w:sz w:val="26"/>
          <w:szCs w:val="26"/>
        </w:rPr>
        <w:t>(</w:t>
      </w:r>
      <w:r>
        <w:rPr>
          <w:rFonts w:cs="Times New Roman"/>
          <w:sz w:val="26"/>
          <w:szCs w:val="26"/>
        </w:rPr>
        <w:t>§</w:t>
      </w:r>
      <w:r>
        <w:rPr>
          <w:sz w:val="26"/>
          <w:szCs w:val="26"/>
        </w:rPr>
        <w:t xml:space="preserve"> 65573.)  </w:t>
      </w:r>
      <w:r w:rsidRPr="0096029C">
        <w:rPr>
          <w:sz w:val="26"/>
          <w:szCs w:val="26"/>
        </w:rPr>
        <w:t xml:space="preserve">But </w:t>
      </w:r>
      <w:r>
        <w:rPr>
          <w:sz w:val="26"/>
          <w:szCs w:val="26"/>
        </w:rPr>
        <w:t xml:space="preserve">the fact that the Legislature has, through this mechanism, given market participants a say in determining how the message prescribed by the Act will be promulgated is not fatal to the characterization of the Commission’s communications as government speech.  (See </w:t>
      </w:r>
      <w:r w:rsidRPr="0096029C">
        <w:rPr>
          <w:i/>
          <w:sz w:val="26"/>
          <w:szCs w:val="26"/>
        </w:rPr>
        <w:t>Gerawan II</w:t>
      </w:r>
      <w:r w:rsidRPr="0096029C">
        <w:rPr>
          <w:sz w:val="26"/>
          <w:szCs w:val="26"/>
        </w:rPr>
        <w:t xml:space="preserve">, </w:t>
      </w:r>
      <w:r w:rsidRPr="0096029C">
        <w:rPr>
          <w:i/>
          <w:sz w:val="26"/>
          <w:szCs w:val="26"/>
        </w:rPr>
        <w:t>supra</w:t>
      </w:r>
      <w:r w:rsidRPr="0096029C">
        <w:rPr>
          <w:sz w:val="26"/>
          <w:szCs w:val="26"/>
        </w:rPr>
        <w:t>, 33 Cal.4th at p</w:t>
      </w:r>
      <w:r>
        <w:rPr>
          <w:sz w:val="26"/>
          <w:szCs w:val="26"/>
        </w:rPr>
        <w:t>.</w:t>
      </w:r>
      <w:r w:rsidRPr="0096029C">
        <w:rPr>
          <w:sz w:val="26"/>
          <w:szCs w:val="26"/>
        </w:rPr>
        <w:t xml:space="preserve"> 26</w:t>
      </w:r>
      <w:r>
        <w:rPr>
          <w:sz w:val="26"/>
          <w:szCs w:val="26"/>
        </w:rPr>
        <w:t>.)  Likewise</w:t>
      </w:r>
      <w:r w:rsidRPr="000F375F">
        <w:rPr>
          <w:sz w:val="26"/>
          <w:szCs w:val="26"/>
        </w:rPr>
        <w:t xml:space="preserve">, although plaintiffs emphasize language within the Act providing that </w:t>
      </w:r>
      <w:r w:rsidRPr="000F375F">
        <w:rPr>
          <w:rFonts w:cs="Times New Roman"/>
          <w:sz w:val="26"/>
          <w:szCs w:val="26"/>
        </w:rPr>
        <w:t xml:space="preserve">commissioners drawn from the state’s </w:t>
      </w:r>
      <w:r>
        <w:rPr>
          <w:rFonts w:cs="Times New Roman"/>
          <w:sz w:val="26"/>
          <w:szCs w:val="26"/>
        </w:rPr>
        <w:t xml:space="preserve">fresh grape </w:t>
      </w:r>
      <w:r w:rsidRPr="000F375F">
        <w:rPr>
          <w:rFonts w:cs="Times New Roman"/>
          <w:sz w:val="26"/>
          <w:szCs w:val="26"/>
        </w:rPr>
        <w:t>producers “are intended to represent and further the interest of a particular agricultural industry concerned” (§ 65576</w:t>
      </w:r>
      <w:r>
        <w:rPr>
          <w:rFonts w:cs="Times New Roman"/>
          <w:sz w:val="26"/>
          <w:szCs w:val="26"/>
        </w:rPr>
        <w:t>), the Act immediately adds, consistent with its general findings explaining the state’s interest in the promotion of California fresh grapes, “</w:t>
      </w:r>
      <w:r w:rsidRPr="000F375F">
        <w:rPr>
          <w:rFonts w:cs="Times New Roman"/>
          <w:sz w:val="26"/>
          <w:szCs w:val="26"/>
        </w:rPr>
        <w:t xml:space="preserve">that such representation and furtherance is intended to serve the public </w:t>
      </w:r>
      <w:r w:rsidRPr="00542AB2">
        <w:rPr>
          <w:rFonts w:cs="Times New Roman"/>
          <w:sz w:val="26"/>
          <w:szCs w:val="26"/>
        </w:rPr>
        <w:t>interest” (</w:t>
      </w:r>
      <w:r w:rsidRPr="00542AB2">
        <w:rPr>
          <w:rFonts w:cs="Times New Roman"/>
          <w:i/>
          <w:sz w:val="26"/>
          <w:szCs w:val="26"/>
        </w:rPr>
        <w:t>ibid</w:t>
      </w:r>
      <w:r w:rsidRPr="00542AB2">
        <w:rPr>
          <w:rFonts w:cs="Times New Roman"/>
          <w:sz w:val="26"/>
          <w:szCs w:val="26"/>
        </w:rPr>
        <w:t>.</w:t>
      </w:r>
      <w:r>
        <w:rPr>
          <w:rFonts w:cs="Times New Roman"/>
          <w:sz w:val="26"/>
          <w:szCs w:val="26"/>
        </w:rPr>
        <w:t>).  Given the totality of the relevant circumstances, neither of these provisions connote that the Commission’s speech is somehow private speech.</w:t>
      </w:r>
    </w:p>
  </w:footnote>
  <w:footnote w:id="24">
    <w:p w:rsidR="00AD4D26" w:rsidRPr="00C8584A" w:rsidP="00AC755E">
      <w:pPr>
        <w:pStyle w:val="FootnoteText"/>
        <w:rPr>
          <w:sz w:val="26"/>
          <w:szCs w:val="26"/>
        </w:rPr>
      </w:pPr>
      <w:r w:rsidRPr="00E44175">
        <w:rPr>
          <w:rStyle w:val="FootnoteReference"/>
          <w:b/>
          <w:sz w:val="26"/>
          <w:szCs w:val="26"/>
        </w:rPr>
        <w:footnoteRef/>
      </w:r>
      <w:r w:rsidRPr="00E44175">
        <w:rPr>
          <w:b/>
          <w:sz w:val="26"/>
          <w:szCs w:val="26"/>
        </w:rPr>
        <w:t xml:space="preserve"> </w:t>
      </w:r>
      <w:r w:rsidRPr="00C8584A">
        <w:rPr>
          <w:sz w:val="26"/>
          <w:szCs w:val="26"/>
        </w:rPr>
        <w:tab/>
        <w:t>Section 65603</w:t>
      </w:r>
      <w:r>
        <w:rPr>
          <w:sz w:val="26"/>
          <w:szCs w:val="26"/>
        </w:rPr>
        <w:t xml:space="preserve"> </w:t>
      </w:r>
      <w:r w:rsidRPr="00C8584A">
        <w:rPr>
          <w:sz w:val="26"/>
          <w:szCs w:val="26"/>
        </w:rPr>
        <w:t>exempts from the Public Records Act information obtained by the Commission from shippers.  (See also Gov. Code</w:t>
      </w:r>
      <w:r>
        <w:rPr>
          <w:sz w:val="26"/>
          <w:szCs w:val="26"/>
        </w:rPr>
        <w:t>,</w:t>
      </w:r>
      <w:r w:rsidRPr="00C8584A">
        <w:rPr>
          <w:sz w:val="26"/>
          <w:szCs w:val="26"/>
        </w:rPr>
        <w:t xml:space="preserve"> § 6276.08.)</w:t>
      </w:r>
    </w:p>
  </w:footnote>
  <w:footnote w:id="25">
    <w:p w:rsidR="00AD4D26" w:rsidRPr="00BC7D55" w:rsidP="004B4581">
      <w:pPr>
        <w:pStyle w:val="FootnoteText"/>
        <w:rPr>
          <w:sz w:val="26"/>
          <w:szCs w:val="26"/>
        </w:rPr>
      </w:pPr>
      <w:r w:rsidRPr="00BC7D55">
        <w:rPr>
          <w:rStyle w:val="FootnoteReference"/>
          <w:b/>
          <w:sz w:val="26"/>
          <w:szCs w:val="26"/>
        </w:rPr>
        <w:footnoteRef/>
      </w:r>
      <w:r w:rsidRPr="00BC7D55">
        <w:rPr>
          <w:sz w:val="26"/>
          <w:szCs w:val="26"/>
        </w:rPr>
        <w:t xml:space="preserve">  </w:t>
      </w:r>
      <w:r>
        <w:rPr>
          <w:sz w:val="26"/>
          <w:szCs w:val="26"/>
        </w:rPr>
        <w:tab/>
        <w:t>Furthermore,</w:t>
      </w:r>
      <w:r>
        <w:rPr>
          <w:rFonts w:cs="Times New Roman"/>
          <w:sz w:val="26"/>
          <w:szCs w:val="26"/>
        </w:rPr>
        <w:t xml:space="preserve"> an advisory board constituted under the</w:t>
      </w:r>
      <w:r w:rsidRPr="00BC7D55">
        <w:rPr>
          <w:rFonts w:cs="Times New Roman"/>
          <w:sz w:val="26"/>
          <w:szCs w:val="26"/>
        </w:rPr>
        <w:t xml:space="preserve"> CMA</w:t>
      </w:r>
      <w:r>
        <w:rPr>
          <w:rFonts w:cs="Times New Roman"/>
          <w:sz w:val="26"/>
          <w:szCs w:val="26"/>
        </w:rPr>
        <w:t xml:space="preserve">, the subject of our decision in </w:t>
      </w:r>
      <w:r>
        <w:rPr>
          <w:rFonts w:cs="Times New Roman"/>
          <w:i/>
          <w:sz w:val="26"/>
          <w:szCs w:val="26"/>
        </w:rPr>
        <w:t>Gerawan </w:t>
      </w:r>
      <w:r w:rsidRPr="00FE6B39">
        <w:rPr>
          <w:rFonts w:cs="Times New Roman"/>
          <w:i/>
          <w:sz w:val="26"/>
          <w:szCs w:val="26"/>
        </w:rPr>
        <w:t>II</w:t>
      </w:r>
      <w:r>
        <w:rPr>
          <w:rFonts w:cs="Times New Roman"/>
          <w:sz w:val="26"/>
          <w:szCs w:val="26"/>
        </w:rPr>
        <w:t xml:space="preserve">, </w:t>
      </w:r>
      <w:r w:rsidRPr="00FE6B39">
        <w:rPr>
          <w:rFonts w:cs="Times New Roman"/>
          <w:i/>
          <w:sz w:val="26"/>
          <w:szCs w:val="26"/>
        </w:rPr>
        <w:t>supra</w:t>
      </w:r>
      <w:r>
        <w:rPr>
          <w:rFonts w:cs="Times New Roman"/>
          <w:sz w:val="26"/>
          <w:szCs w:val="26"/>
        </w:rPr>
        <w:t>, 33 Cal.4th 1, is not necessarily situated identically to the Commission for purposes of generating government speech.  Unlike the Ketchum Act, the CMA</w:t>
      </w:r>
      <w:r w:rsidRPr="00BC7D55">
        <w:rPr>
          <w:rFonts w:cs="Times New Roman"/>
          <w:sz w:val="26"/>
          <w:szCs w:val="26"/>
        </w:rPr>
        <w:t xml:space="preserve">, on its own, does not direct </w:t>
      </w:r>
      <w:r>
        <w:rPr>
          <w:rFonts w:cs="Times New Roman"/>
          <w:sz w:val="26"/>
          <w:szCs w:val="26"/>
        </w:rPr>
        <w:t>the promotion of any specific agricultural commodity</w:t>
      </w:r>
      <w:r w:rsidRPr="00BC7D55">
        <w:rPr>
          <w:rFonts w:cs="Times New Roman"/>
          <w:sz w:val="26"/>
          <w:szCs w:val="26"/>
        </w:rPr>
        <w:t>.  Instead,</w:t>
      </w:r>
      <w:r>
        <w:rPr>
          <w:rFonts w:cs="Times New Roman"/>
          <w:sz w:val="26"/>
          <w:szCs w:val="26"/>
        </w:rPr>
        <w:t xml:space="preserve"> as discussed</w:t>
      </w:r>
      <w:r w:rsidRPr="000F375F">
        <w:rPr>
          <w:rFonts w:cs="Times New Roman"/>
          <w:sz w:val="26"/>
          <w:szCs w:val="26"/>
        </w:rPr>
        <w:t xml:space="preserve"> </w:t>
      </w:r>
      <w:r w:rsidRPr="000F375F">
        <w:rPr>
          <w:rFonts w:cs="Times New Roman"/>
          <w:i/>
          <w:sz w:val="26"/>
          <w:szCs w:val="26"/>
        </w:rPr>
        <w:t>ante</w:t>
      </w:r>
      <w:r w:rsidRPr="000F375F">
        <w:rPr>
          <w:rFonts w:cs="Times New Roman"/>
          <w:sz w:val="26"/>
          <w:szCs w:val="26"/>
        </w:rPr>
        <w:t>, the</w:t>
      </w:r>
      <w:r w:rsidRPr="00BC7D55">
        <w:rPr>
          <w:rFonts w:cs="Times New Roman"/>
          <w:sz w:val="26"/>
          <w:szCs w:val="26"/>
        </w:rPr>
        <w:t xml:space="preserve"> CMA </w:t>
      </w:r>
      <w:r w:rsidRPr="000D1A63">
        <w:rPr>
          <w:rFonts w:cs="Times New Roman"/>
          <w:sz w:val="26"/>
          <w:szCs w:val="26"/>
        </w:rPr>
        <w:t>allows</w:t>
      </w:r>
      <w:r w:rsidRPr="00BC7D55">
        <w:rPr>
          <w:rFonts w:cs="Times New Roman"/>
          <w:sz w:val="26"/>
          <w:szCs w:val="26"/>
        </w:rPr>
        <w:t xml:space="preserve"> the Secretary </w:t>
      </w:r>
      <w:r>
        <w:rPr>
          <w:rFonts w:cs="Times New Roman"/>
          <w:sz w:val="26"/>
          <w:szCs w:val="26"/>
        </w:rPr>
        <w:t xml:space="preserve">to issue marketing orders that pertain to specific commodities.  (§ 58741.)  These orders </w:t>
      </w:r>
      <w:r w:rsidRPr="000D1A63">
        <w:rPr>
          <w:rFonts w:cs="Times New Roman"/>
          <w:sz w:val="26"/>
          <w:szCs w:val="26"/>
        </w:rPr>
        <w:t>may</w:t>
      </w:r>
      <w:r>
        <w:rPr>
          <w:rFonts w:cs="Times New Roman"/>
          <w:sz w:val="26"/>
          <w:szCs w:val="26"/>
        </w:rPr>
        <w:t xml:space="preserve"> then contain terms calling for subsidized generic advertising.  (§ 58889.)  Market</w:t>
      </w:r>
      <w:r w:rsidRPr="00BC7D55">
        <w:rPr>
          <w:rFonts w:cs="Times New Roman"/>
          <w:sz w:val="26"/>
          <w:szCs w:val="26"/>
        </w:rPr>
        <w:t xml:space="preserve"> participants, </w:t>
      </w:r>
      <w:r>
        <w:rPr>
          <w:rFonts w:cs="Times New Roman"/>
          <w:sz w:val="26"/>
          <w:szCs w:val="26"/>
        </w:rPr>
        <w:t xml:space="preserve">acting </w:t>
      </w:r>
      <w:r w:rsidRPr="00BC7D55">
        <w:rPr>
          <w:rFonts w:cs="Times New Roman"/>
          <w:sz w:val="26"/>
          <w:szCs w:val="26"/>
        </w:rPr>
        <w:t>through an advisory board, “administer” the terms of the order, “[s]ubject to the approval of the [Secretary].”  (§ 58846</w:t>
      </w:r>
      <w:r>
        <w:rPr>
          <w:rFonts w:cs="Times New Roman"/>
          <w:sz w:val="26"/>
          <w:szCs w:val="26"/>
        </w:rPr>
        <w:t>, subd. (a)</w:t>
      </w:r>
      <w:r w:rsidRPr="00BC7D55">
        <w:rPr>
          <w:rFonts w:cs="Times New Roman"/>
          <w:sz w:val="26"/>
          <w:szCs w:val="26"/>
        </w:rPr>
        <w:t xml:space="preserve">.)  </w:t>
      </w:r>
      <w:r>
        <w:rPr>
          <w:rFonts w:cs="Times New Roman"/>
          <w:sz w:val="26"/>
          <w:szCs w:val="26"/>
        </w:rPr>
        <w:t>Given these provisions, the facts most pertinent to a finding that a CMA marketing order generates government speech may be somewhat different from those most relevant to an evaluation of the Commission’s speech under the Ketchum Act.</w:t>
      </w:r>
    </w:p>
  </w:footnote>
  <w:footnote w:id="26">
    <w:p w:rsidR="00AD4D26" w:rsidRPr="004A2C19">
      <w:pPr>
        <w:pStyle w:val="FootnoteText"/>
        <w:rPr>
          <w:sz w:val="26"/>
          <w:szCs w:val="26"/>
        </w:rPr>
      </w:pPr>
      <w:r w:rsidRPr="004A2C19">
        <w:rPr>
          <w:rStyle w:val="FootnoteReference"/>
          <w:b/>
          <w:sz w:val="26"/>
          <w:szCs w:val="26"/>
        </w:rPr>
        <w:footnoteRef/>
      </w:r>
      <w:r w:rsidRPr="004A2C19">
        <w:rPr>
          <w:b/>
          <w:sz w:val="26"/>
          <w:szCs w:val="26"/>
        </w:rPr>
        <w:t xml:space="preserve"> </w:t>
      </w:r>
      <w:r w:rsidRPr="004A2C19">
        <w:rPr>
          <w:sz w:val="26"/>
          <w:szCs w:val="26"/>
        </w:rPr>
        <w:tab/>
      </w:r>
      <w:r>
        <w:rPr>
          <w:sz w:val="26"/>
          <w:szCs w:val="26"/>
        </w:rPr>
        <w:t>Our</w:t>
      </w:r>
      <w:r w:rsidRPr="004A2C19">
        <w:rPr>
          <w:sz w:val="26"/>
          <w:szCs w:val="26"/>
        </w:rPr>
        <w:t xml:space="preserve"> resolution of the government speech issue makes it unnecessary to address the Commission’s alternative argument that the Ketchum Act’s speech-generating provisions satisfy intermediate scrutiny</w:t>
      </w:r>
      <w:r>
        <w:rPr>
          <w:sz w:val="26"/>
          <w:szCs w:val="26"/>
        </w:rPr>
        <w:t xml:space="preserve"> under article I, section 2</w:t>
      </w:r>
      <w:r w:rsidRPr="004A2C19">
        <w:rPr>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761FD3"/>
    <w:multiLevelType w:val="hybridMultilevel"/>
    <w:tmpl w:val="B5809B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DE129E4"/>
    <w:multiLevelType w:val="hybridMultilevel"/>
    <w:tmpl w:val="1E203C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9540BF"/>
    <w:multiLevelType w:val="hybridMultilevel"/>
    <w:tmpl w:val="C3726EF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D34232"/>
    <w:multiLevelType w:val="hybridMultilevel"/>
    <w:tmpl w:val="D7766E7C"/>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C901DD8"/>
    <w:multiLevelType w:val="hybridMultilevel"/>
    <w:tmpl w:val="C3622270"/>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5">
    <w:nsid w:val="46A731D2"/>
    <w:multiLevelType w:val="hybridMultilevel"/>
    <w:tmpl w:val="AB22DA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0C00EDB"/>
    <w:multiLevelType w:val="hybridMultilevel"/>
    <w:tmpl w:val="2BA4A24A"/>
    <w:lvl w:ilvl="0">
      <w:start w:val="2"/>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8E13A66"/>
    <w:multiLevelType w:val="hybridMultilevel"/>
    <w:tmpl w:val="1E203C2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661465E"/>
    <w:multiLevelType w:val="hybridMultilevel"/>
    <w:tmpl w:val="7C3807C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7CFE7342"/>
    <w:multiLevelType w:val="hybridMultilevel"/>
    <w:tmpl w:val="369C55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5"/>
  </w:num>
  <w:num w:numId="5">
    <w:abstractNumId w:val="3"/>
  </w:num>
  <w:num w:numId="6">
    <w:abstractNumId w:val="0"/>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959"/>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1B"/>
    <w:pPr>
      <w:ind w:left="720"/>
      <w:contextualSpacing/>
    </w:pPr>
  </w:style>
  <w:style w:type="paragraph" w:styleId="FootnoteText">
    <w:name w:val="footnote text"/>
    <w:basedOn w:val="Normal"/>
    <w:link w:val="FootnoteTextChar"/>
    <w:uiPriority w:val="99"/>
    <w:unhideWhenUsed/>
    <w:rsid w:val="00C5532C"/>
    <w:pPr>
      <w:spacing w:after="0" w:line="240" w:lineRule="auto"/>
    </w:pPr>
    <w:rPr>
      <w:sz w:val="20"/>
      <w:szCs w:val="20"/>
    </w:rPr>
  </w:style>
  <w:style w:type="character" w:customStyle="1" w:styleId="FootnoteTextChar">
    <w:name w:val="Footnote Text Char"/>
    <w:basedOn w:val="DefaultParagraphFont"/>
    <w:link w:val="FootnoteText"/>
    <w:uiPriority w:val="99"/>
    <w:rsid w:val="00C5532C"/>
    <w:rPr>
      <w:sz w:val="20"/>
      <w:szCs w:val="20"/>
    </w:rPr>
  </w:style>
  <w:style w:type="character" w:styleId="FootnoteReference">
    <w:name w:val="footnote reference"/>
    <w:basedOn w:val="DefaultParagraphFont"/>
    <w:uiPriority w:val="99"/>
    <w:semiHidden/>
    <w:unhideWhenUsed/>
    <w:rsid w:val="00C5532C"/>
    <w:rPr>
      <w:vertAlign w:val="superscript"/>
    </w:rPr>
  </w:style>
  <w:style w:type="paragraph" w:styleId="HTMLPreformatted">
    <w:name w:val="HTML Preformatted"/>
    <w:basedOn w:val="Normal"/>
    <w:link w:val="HTMLPreformattedChar"/>
    <w:uiPriority w:val="99"/>
    <w:unhideWhenUsed/>
    <w:rsid w:val="00774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7443E"/>
    <w:rPr>
      <w:rFonts w:ascii="Courier New" w:eastAsia="Times New Roman" w:hAnsi="Courier New" w:cs="Courier New"/>
      <w:sz w:val="20"/>
      <w:szCs w:val="20"/>
    </w:rPr>
  </w:style>
  <w:style w:type="paragraph" w:styleId="Header">
    <w:name w:val="header"/>
    <w:basedOn w:val="Normal"/>
    <w:link w:val="HeaderChar"/>
    <w:unhideWhenUsed/>
    <w:rsid w:val="00F34A84"/>
    <w:pPr>
      <w:tabs>
        <w:tab w:val="center" w:pos="4680"/>
        <w:tab w:val="right" w:pos="9360"/>
      </w:tabs>
      <w:spacing w:after="0" w:line="240" w:lineRule="auto"/>
    </w:pPr>
  </w:style>
  <w:style w:type="character" w:customStyle="1" w:styleId="HeaderChar">
    <w:name w:val="Header Char"/>
    <w:basedOn w:val="DefaultParagraphFont"/>
    <w:link w:val="Header"/>
    <w:rsid w:val="00F34A84"/>
  </w:style>
  <w:style w:type="paragraph" w:styleId="Footer">
    <w:name w:val="footer"/>
    <w:basedOn w:val="Normal"/>
    <w:link w:val="FooterChar"/>
    <w:unhideWhenUsed/>
    <w:rsid w:val="00F34A84"/>
    <w:pPr>
      <w:tabs>
        <w:tab w:val="center" w:pos="4680"/>
        <w:tab w:val="right" w:pos="9360"/>
      </w:tabs>
      <w:spacing w:after="0" w:line="240" w:lineRule="auto"/>
    </w:pPr>
  </w:style>
  <w:style w:type="character" w:customStyle="1" w:styleId="FooterChar">
    <w:name w:val="Footer Char"/>
    <w:basedOn w:val="DefaultParagraphFont"/>
    <w:link w:val="Footer"/>
    <w:rsid w:val="00F34A84"/>
  </w:style>
  <w:style w:type="character" w:customStyle="1" w:styleId="cohovertext">
    <w:name w:val="co_hovertext"/>
    <w:basedOn w:val="DefaultParagraphFont"/>
    <w:rsid w:val="00114208"/>
  </w:style>
  <w:style w:type="character" w:customStyle="1" w:styleId="apple-converted-space">
    <w:name w:val="apple-converted-space"/>
    <w:basedOn w:val="DefaultParagraphFont"/>
    <w:rsid w:val="00114208"/>
  </w:style>
  <w:style w:type="character" w:styleId="CommentReference">
    <w:name w:val="annotation reference"/>
    <w:basedOn w:val="DefaultParagraphFont"/>
    <w:uiPriority w:val="99"/>
    <w:semiHidden/>
    <w:unhideWhenUsed/>
    <w:rsid w:val="002C1AD8"/>
    <w:rPr>
      <w:sz w:val="16"/>
      <w:szCs w:val="16"/>
    </w:rPr>
  </w:style>
  <w:style w:type="paragraph" w:styleId="CommentText">
    <w:name w:val="annotation text"/>
    <w:basedOn w:val="Normal"/>
    <w:link w:val="CommentTextChar"/>
    <w:uiPriority w:val="99"/>
    <w:semiHidden/>
    <w:unhideWhenUsed/>
    <w:rsid w:val="002C1AD8"/>
    <w:pPr>
      <w:spacing w:line="240" w:lineRule="auto"/>
    </w:pPr>
    <w:rPr>
      <w:sz w:val="20"/>
      <w:szCs w:val="20"/>
    </w:rPr>
  </w:style>
  <w:style w:type="character" w:customStyle="1" w:styleId="CommentTextChar">
    <w:name w:val="Comment Text Char"/>
    <w:basedOn w:val="DefaultParagraphFont"/>
    <w:link w:val="CommentText"/>
    <w:uiPriority w:val="99"/>
    <w:semiHidden/>
    <w:rsid w:val="002C1AD8"/>
    <w:rPr>
      <w:sz w:val="20"/>
      <w:szCs w:val="20"/>
    </w:rPr>
  </w:style>
  <w:style w:type="paragraph" w:styleId="CommentSubject">
    <w:name w:val="annotation subject"/>
    <w:basedOn w:val="CommentText"/>
    <w:next w:val="CommentText"/>
    <w:link w:val="CommentSubjectChar"/>
    <w:uiPriority w:val="99"/>
    <w:semiHidden/>
    <w:unhideWhenUsed/>
    <w:rsid w:val="002C1AD8"/>
    <w:rPr>
      <w:b/>
      <w:bCs/>
    </w:rPr>
  </w:style>
  <w:style w:type="character" w:customStyle="1" w:styleId="CommentSubjectChar">
    <w:name w:val="Comment Subject Char"/>
    <w:basedOn w:val="CommentTextChar"/>
    <w:link w:val="CommentSubject"/>
    <w:uiPriority w:val="99"/>
    <w:semiHidden/>
    <w:rsid w:val="002C1AD8"/>
    <w:rPr>
      <w:b/>
      <w:bCs/>
      <w:sz w:val="20"/>
      <w:szCs w:val="20"/>
    </w:rPr>
  </w:style>
  <w:style w:type="paragraph" w:styleId="BalloonText">
    <w:name w:val="Balloon Text"/>
    <w:basedOn w:val="Normal"/>
    <w:link w:val="BalloonTextChar"/>
    <w:uiPriority w:val="99"/>
    <w:semiHidden/>
    <w:unhideWhenUsed/>
    <w:rsid w:val="002C1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D8"/>
    <w:rPr>
      <w:rFonts w:ascii="Segoe UI" w:hAnsi="Segoe UI" w:cs="Segoe UI"/>
      <w:sz w:val="18"/>
      <w:szCs w:val="18"/>
    </w:rPr>
  </w:style>
  <w:style w:type="character" w:styleId="Hyperlink">
    <w:name w:val="Hyperlink"/>
    <w:basedOn w:val="DefaultParagraphFont"/>
    <w:uiPriority w:val="99"/>
    <w:unhideWhenUsed/>
    <w:rsid w:val="00EA0935"/>
    <w:rPr>
      <w:color w:val="0000FF"/>
      <w:u w:val="single"/>
    </w:rPr>
  </w:style>
  <w:style w:type="character" w:styleId="Emphasis">
    <w:name w:val="Emphasis"/>
    <w:basedOn w:val="DefaultParagraphFont"/>
    <w:uiPriority w:val="20"/>
    <w:qFormat/>
    <w:rsid w:val="00EA0935"/>
    <w:rPr>
      <w:i/>
      <w:iCs/>
    </w:rPr>
  </w:style>
  <w:style w:type="paragraph" w:styleId="Revision">
    <w:name w:val="Revision"/>
    <w:hidden/>
    <w:uiPriority w:val="99"/>
    <w:semiHidden/>
    <w:rsid w:val="00AD5B8C"/>
    <w:pPr>
      <w:spacing w:after="0" w:line="240" w:lineRule="auto"/>
    </w:pPr>
    <w:rPr>
      <w:rFonts w:ascii="Times New Roman" w:hAnsi="Times New Roman"/>
      <w:sz w:val="26"/>
    </w:rPr>
  </w:style>
  <w:style w:type="character" w:styleId="FollowedHyperlink">
    <w:name w:val="FollowedHyperlink"/>
    <w:basedOn w:val="DefaultParagraphFont"/>
    <w:uiPriority w:val="99"/>
    <w:semiHidden/>
    <w:unhideWhenUsed/>
    <w:rsid w:val="008E2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13168</Words>
  <Characters>75063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2018-05-24T16:30:53Z</dcterms:created>
  <dcterms:modified xsi:type="dcterms:W3CDTF">2018-05-24T16:30:53Z</dcterms:modified>
</cp:coreProperties>
</file>