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15" w:rsidRPr="00087B30" w:rsidRDefault="00087B30" w:rsidP="00B73180">
      <w:pPr>
        <w:tabs>
          <w:tab w:val="left" w:pos="8190"/>
        </w:tabs>
        <w:rPr>
          <w:bCs/>
          <w:sz w:val="20"/>
        </w:rPr>
      </w:pPr>
      <w:bookmarkStart w:id="0" w:name="_GoBack"/>
      <w:bookmarkEnd w:id="0"/>
      <w:r>
        <w:rPr>
          <w:bCs/>
          <w:sz w:val="20"/>
        </w:rPr>
        <w:t>Filed 3/12/18</w:t>
      </w:r>
    </w:p>
    <w:p w:rsidR="00A36915" w:rsidRDefault="000C45F6">
      <w:pPr>
        <w:jc w:val="center"/>
      </w:pPr>
    </w:p>
    <w:p w:rsidR="00CC1EC2" w:rsidRDefault="000C45F6">
      <w:pPr>
        <w:jc w:val="center"/>
      </w:pPr>
    </w:p>
    <w:p w:rsidR="00A36915" w:rsidRDefault="000C45F6">
      <w:pPr>
        <w:jc w:val="center"/>
      </w:pPr>
    </w:p>
    <w:p w:rsidR="00A36915" w:rsidRDefault="000C45F6" w:rsidP="65263719">
      <w:pPr>
        <w:jc w:val="center"/>
        <w:rPr>
          <w:sz w:val="36"/>
          <w:szCs w:val="36"/>
        </w:rPr>
      </w:pPr>
      <w:r w:rsidRPr="65263719">
        <w:rPr>
          <w:b/>
          <w:bCs/>
          <w:sz w:val="36"/>
          <w:szCs w:val="36"/>
        </w:rPr>
        <w:t>IN THE SUPREME COURT OF CALIFORNIA</w:t>
      </w:r>
    </w:p>
    <w:p w:rsidR="00A36915" w:rsidRDefault="000C45F6">
      <w:pPr>
        <w:jc w:val="center"/>
      </w:pPr>
    </w:p>
    <w:p w:rsidR="00A36915" w:rsidRDefault="000C45F6">
      <w:pPr>
        <w:jc w:val="center"/>
      </w:pPr>
    </w:p>
    <w:p w:rsidR="00A36915" w:rsidRDefault="000C45F6">
      <w:pPr>
        <w:jc w:val="center"/>
      </w:pPr>
    </w:p>
    <w:p w:rsidR="00F21116" w:rsidRDefault="000C45F6" w:rsidP="001D7FA8">
      <w:pPr>
        <w:tabs>
          <w:tab w:val="left" w:pos="1440"/>
          <w:tab w:val="left" w:pos="4860"/>
          <w:tab w:val="center" w:pos="7200"/>
        </w:tabs>
        <w:spacing w:line="240" w:lineRule="atLeast"/>
      </w:pPr>
      <w:bookmarkStart w:id="1" w:name="plaintiff"/>
      <w:bookmarkEnd w:id="1"/>
      <w:r>
        <w:t>THE PEOPLE,</w:t>
      </w:r>
      <w:r>
        <w:tab/>
        <w:t>)</w:t>
      </w:r>
    </w:p>
    <w:p w:rsidR="00A36915" w:rsidRDefault="000C45F6" w:rsidP="001D7FA8">
      <w:pPr>
        <w:tabs>
          <w:tab w:val="left" w:pos="1440"/>
          <w:tab w:val="left" w:pos="4860"/>
          <w:tab w:val="center" w:pos="7200"/>
        </w:tabs>
        <w:spacing w:line="240" w:lineRule="atLeast"/>
      </w:pPr>
      <w:r>
        <w:tab/>
      </w:r>
      <w:r>
        <w:tab/>
      </w:r>
      <w:r>
        <w:t>)</w:t>
      </w:r>
    </w:p>
    <w:p w:rsidR="00A36915" w:rsidRDefault="000C45F6" w:rsidP="001D7FA8">
      <w:pPr>
        <w:tabs>
          <w:tab w:val="left" w:pos="1440"/>
          <w:tab w:val="left" w:pos="4860"/>
          <w:tab w:val="center" w:pos="7200"/>
        </w:tabs>
        <w:spacing w:line="240" w:lineRule="atLeast"/>
      </w:pPr>
      <w:r>
        <w:tab/>
      </w:r>
      <w:bookmarkStart w:id="2" w:name="LD"/>
      <w:bookmarkEnd w:id="2"/>
      <w:r>
        <w:t xml:space="preserve">Plaintiff and </w:t>
      </w:r>
      <w:r>
        <w:t>Respondent</w:t>
      </w:r>
      <w:r>
        <w:t>,</w:t>
      </w:r>
      <w:r>
        <w:tab/>
        <w:t>)</w:t>
      </w:r>
      <w:r w:rsidRPr="00E8724B">
        <w:t xml:space="preserve"> </w:t>
      </w:r>
      <w:r>
        <w:tab/>
      </w:r>
      <w:r>
        <w:t>S228230</w:t>
      </w:r>
    </w:p>
    <w:p w:rsidR="00A36915" w:rsidRDefault="000C45F6" w:rsidP="001D7FA8">
      <w:pPr>
        <w:tabs>
          <w:tab w:val="left" w:pos="1440"/>
          <w:tab w:val="left" w:pos="4860"/>
          <w:tab w:val="center" w:pos="7200"/>
        </w:tabs>
        <w:spacing w:line="240" w:lineRule="atLeast"/>
      </w:pPr>
      <w:r>
        <w:tab/>
      </w:r>
      <w:r>
        <w:tab/>
        <w:t>)</w:t>
      </w:r>
      <w:bookmarkStart w:id="3" w:name="casenum"/>
      <w:bookmarkEnd w:id="3"/>
    </w:p>
    <w:p w:rsidR="00A36915" w:rsidRDefault="000C45F6" w:rsidP="001D7FA8">
      <w:pPr>
        <w:tabs>
          <w:tab w:val="left" w:pos="1440"/>
          <w:tab w:val="left" w:pos="4860"/>
          <w:tab w:val="center" w:pos="7200"/>
        </w:tabs>
        <w:spacing w:line="240" w:lineRule="atLeast"/>
      </w:pPr>
      <w:r>
        <w:tab/>
        <w:t>v.</w:t>
      </w:r>
      <w:r>
        <w:tab/>
      </w:r>
      <w:r w:rsidRPr="1D34F75E">
        <w:t>)</w:t>
      </w:r>
      <w:r w:rsidRPr="1D34F75E">
        <w:t xml:space="preserve"> </w:t>
      </w:r>
      <w:r>
        <w:tab/>
      </w:r>
      <w:bookmarkStart w:id="4" w:name="appealnum"/>
      <w:bookmarkEnd w:id="4"/>
      <w:proofErr w:type="spellStart"/>
      <w:r>
        <w:t>Ct.App</w:t>
      </w:r>
      <w:proofErr w:type="spellEnd"/>
      <w:r>
        <w:t>. 4/1 D065961</w:t>
      </w:r>
    </w:p>
    <w:p w:rsidR="00A36915" w:rsidRDefault="000C45F6" w:rsidP="001D7FA8">
      <w:pPr>
        <w:tabs>
          <w:tab w:val="left" w:pos="1440"/>
          <w:tab w:val="left" w:pos="4860"/>
          <w:tab w:val="center" w:pos="7200"/>
        </w:tabs>
        <w:spacing w:line="240" w:lineRule="atLeast"/>
      </w:pPr>
      <w:r>
        <w:tab/>
      </w:r>
      <w:r>
        <w:tab/>
        <w:t>)</w:t>
      </w:r>
      <w:r>
        <w:t xml:space="preserve"> </w:t>
      </w:r>
    </w:p>
    <w:p w:rsidR="00A36915" w:rsidRDefault="000C45F6" w:rsidP="001D7FA8">
      <w:pPr>
        <w:tabs>
          <w:tab w:val="left" w:pos="4860"/>
          <w:tab w:val="center" w:pos="7200"/>
        </w:tabs>
        <w:spacing w:line="240" w:lineRule="atLeast"/>
      </w:pPr>
      <w:bookmarkStart w:id="5" w:name="defendant"/>
      <w:bookmarkEnd w:id="5"/>
      <w:r>
        <w:t xml:space="preserve">VERONICA LORRAINE </w:t>
      </w:r>
      <w:proofErr w:type="spellStart"/>
      <w:r>
        <w:rPr>
          <w:caps/>
        </w:rPr>
        <w:t>D</w:t>
      </w:r>
      <w:r>
        <w:rPr>
          <w:smallCaps/>
        </w:rPr>
        <w:t>e</w:t>
      </w:r>
      <w:r>
        <w:rPr>
          <w:caps/>
        </w:rPr>
        <w:t>HOYOS</w:t>
      </w:r>
      <w:proofErr w:type="spellEnd"/>
      <w:r>
        <w:t xml:space="preserve"> et al.</w:t>
      </w:r>
      <w:r>
        <w:t>,</w:t>
      </w:r>
      <w:r>
        <w:tab/>
        <w:t>)</w:t>
      </w:r>
      <w:r>
        <w:tab/>
      </w:r>
      <w:bookmarkStart w:id="6" w:name="county"/>
      <w:bookmarkEnd w:id="6"/>
      <w:r>
        <w:t>San Diego</w:t>
      </w:r>
      <w:r>
        <w:t xml:space="preserve"> </w:t>
      </w:r>
      <w:r>
        <w:t>County</w:t>
      </w:r>
    </w:p>
    <w:p w:rsidR="00A36915" w:rsidRDefault="000C45F6" w:rsidP="001D7FA8">
      <w:pPr>
        <w:tabs>
          <w:tab w:val="left" w:pos="4860"/>
          <w:tab w:val="center" w:pos="7200"/>
        </w:tabs>
        <w:spacing w:line="240" w:lineRule="atLeast"/>
      </w:pPr>
      <w:r>
        <w:tab/>
        <w:t>)</w:t>
      </w:r>
      <w:r>
        <w:tab/>
      </w:r>
      <w:bookmarkStart w:id="7" w:name="supernum"/>
      <w:bookmarkEnd w:id="7"/>
      <w:r>
        <w:t>Super</w:t>
      </w:r>
      <w:proofErr w:type="gramStart"/>
      <w:r>
        <w:t xml:space="preserve">. </w:t>
      </w:r>
      <w:proofErr w:type="gramEnd"/>
      <w:r>
        <w:t xml:space="preserve">Ct. No. </w:t>
      </w:r>
      <w:r>
        <w:t>SCD252670</w:t>
      </w:r>
    </w:p>
    <w:p w:rsidR="00A36915" w:rsidRDefault="000C45F6" w:rsidP="001D7FA8">
      <w:pPr>
        <w:tabs>
          <w:tab w:val="left" w:pos="1440"/>
          <w:tab w:val="left" w:pos="4860"/>
          <w:tab w:val="center" w:pos="7200"/>
        </w:tabs>
        <w:spacing w:line="240" w:lineRule="atLeast"/>
      </w:pPr>
      <w:r>
        <w:tab/>
      </w:r>
      <w:bookmarkStart w:id="8" w:name="VD"/>
      <w:bookmarkEnd w:id="8"/>
      <w:r>
        <w:t>Defendant</w:t>
      </w:r>
      <w:r>
        <w:t>s</w:t>
      </w:r>
      <w:r>
        <w:t xml:space="preserve"> and Appellant</w:t>
      </w:r>
      <w:r>
        <w:t>s</w:t>
      </w:r>
      <w:r>
        <w:t>.</w:t>
      </w:r>
      <w:r>
        <w:tab/>
        <w:t>)</w:t>
      </w:r>
      <w:r>
        <w:t xml:space="preserve"> </w:t>
      </w:r>
    </w:p>
    <w:p w:rsidR="00A36915" w:rsidRDefault="000C45F6" w:rsidP="001D7FA8">
      <w:pPr>
        <w:tabs>
          <w:tab w:val="left" w:leader="underscore" w:pos="4860"/>
        </w:tabs>
        <w:spacing w:line="240" w:lineRule="atLeast"/>
        <w:rPr>
          <w:u w:val="single"/>
        </w:rPr>
      </w:pPr>
      <w:r>
        <w:tab/>
        <w:t>)</w:t>
      </w:r>
    </w:p>
    <w:p w:rsidR="00A36915" w:rsidRDefault="000C45F6" w:rsidP="00813920">
      <w:pPr>
        <w:pStyle w:val="Text"/>
      </w:pPr>
    </w:p>
    <w:p w:rsidR="00F700E1" w:rsidRDefault="000C45F6" w:rsidP="00DE67CF">
      <w:pPr>
        <w:pStyle w:val="Text"/>
      </w:pPr>
      <w:bookmarkStart w:id="9" w:name="justice"/>
      <w:bookmarkEnd w:id="9"/>
      <w:r>
        <w:t>Approved by voters in 2014, Proposition 47 (“</w:t>
      </w:r>
      <w:r>
        <w:t>T</w:t>
      </w:r>
      <w:r>
        <w:t>he Safe Neighborhoods and Schools Act”</w:t>
      </w:r>
      <w:r>
        <w:t xml:space="preserve"> (Proposition 47)</w:t>
      </w:r>
      <w:r>
        <w:t xml:space="preserve">) </w:t>
      </w:r>
      <w:r>
        <w:t>reduce</w:t>
      </w:r>
      <w:r>
        <w:t>s</w:t>
      </w:r>
      <w:r w:rsidRPr="1D34F75E">
        <w:t xml:space="preserve"> </w:t>
      </w:r>
      <w:r>
        <w:t xml:space="preserve">many common theft- and drug-related </w:t>
      </w:r>
      <w:r>
        <w:t xml:space="preserve">offenses from </w:t>
      </w:r>
      <w:r>
        <w:t>felonies to misdemeanors</w:t>
      </w:r>
      <w:r>
        <w:t xml:space="preserve"> for offenders who do not have </w:t>
      </w:r>
      <w:r>
        <w:t>prior convictions for specified</w:t>
      </w:r>
      <w:r w:rsidRPr="1D34F75E">
        <w:t xml:space="preserve"> </w:t>
      </w:r>
      <w:r>
        <w:t xml:space="preserve">violent </w:t>
      </w:r>
      <w:r>
        <w:t xml:space="preserve">or </w:t>
      </w:r>
      <w:r>
        <w:t xml:space="preserve">serious </w:t>
      </w:r>
      <w:r>
        <w:t>offenses</w:t>
      </w:r>
      <w:r w:rsidRPr="1D34F75E">
        <w:t xml:space="preserve">.  </w:t>
      </w:r>
      <w:r w:rsidRPr="000612B4">
        <w:t>Th</w:t>
      </w:r>
      <w:r>
        <w:t xml:space="preserve">e measure </w:t>
      </w:r>
      <w:r>
        <w:t xml:space="preserve">also </w:t>
      </w:r>
      <w:r>
        <w:t xml:space="preserve">permits eligible defendants who were serving felony sentences as of Proposition 47’s effective date to </w:t>
      </w:r>
      <w:r>
        <w:t>obtain the benefit</w:t>
      </w:r>
      <w:r>
        <w:t xml:space="preserve"> of </w:t>
      </w:r>
      <w:r>
        <w:t xml:space="preserve">these changes by </w:t>
      </w:r>
      <w:r>
        <w:t>petition</w:t>
      </w:r>
      <w:r>
        <w:t>ing</w:t>
      </w:r>
      <w:r>
        <w:t xml:space="preserve"> for resentencing</w:t>
      </w:r>
      <w:r w:rsidRPr="1D34F75E">
        <w:t xml:space="preserve">.  </w:t>
      </w:r>
      <w:r w:rsidRPr="1D34F75E">
        <w:t>(</w:t>
      </w:r>
      <w:r>
        <w:t>Pen</w:t>
      </w:r>
      <w:proofErr w:type="gramStart"/>
      <w:r>
        <w:t xml:space="preserve">. </w:t>
      </w:r>
      <w:proofErr w:type="gramEnd"/>
      <w:r>
        <w:t xml:space="preserve">Code, </w:t>
      </w:r>
      <w:r>
        <w:t xml:space="preserve">§ 1170.18, </w:t>
      </w:r>
      <w:r>
        <w:t>subd</w:t>
      </w:r>
      <w:proofErr w:type="gramStart"/>
      <w:r>
        <w:t>. </w:t>
      </w:r>
      <w:proofErr w:type="gramEnd"/>
      <w:r>
        <w:t xml:space="preserve">(a), </w:t>
      </w:r>
      <w:r>
        <w:t>as amended</w:t>
      </w:r>
      <w:r>
        <w:t xml:space="preserve"> by Stats</w:t>
      </w:r>
      <w:proofErr w:type="gramStart"/>
      <w:r>
        <w:t xml:space="preserve">. </w:t>
      </w:r>
      <w:proofErr w:type="gramEnd"/>
      <w:r>
        <w:t xml:space="preserve">2016, </w:t>
      </w:r>
      <w:proofErr w:type="spellStart"/>
      <w:r>
        <w:t>ch.</w:t>
      </w:r>
      <w:proofErr w:type="spellEnd"/>
      <w:r>
        <w:t> 767, § 1</w:t>
      </w:r>
      <w:r>
        <w:t>, p. 5313</w:t>
      </w:r>
      <w:r>
        <w:t>.</w:t>
      </w:r>
      <w:r>
        <w:t>)</w:t>
      </w:r>
      <w:r w:rsidRPr="1D34F75E">
        <w:t xml:space="preserve">  </w:t>
      </w:r>
      <w:r>
        <w:t>A</w:t>
      </w:r>
      <w:r>
        <w:t xml:space="preserve"> court must grant</w:t>
      </w:r>
      <w:r>
        <w:t xml:space="preserve"> a </w:t>
      </w:r>
      <w:r>
        <w:t xml:space="preserve">resentencing </w:t>
      </w:r>
      <w:r>
        <w:t xml:space="preserve">petition unless </w:t>
      </w:r>
      <w:r>
        <w:t>the court</w:t>
      </w:r>
      <w:r>
        <w:t xml:space="preserve"> determines that resentencing the defendant “</w:t>
      </w:r>
      <w:r>
        <w:t>would pose an unreasonable risk of danger to public safety.”  (</w:t>
      </w:r>
      <w:r>
        <w:t>Pen</w:t>
      </w:r>
      <w:proofErr w:type="gramStart"/>
      <w:r>
        <w:t xml:space="preserve">. </w:t>
      </w:r>
      <w:proofErr w:type="gramEnd"/>
      <w:r>
        <w:t xml:space="preserve">Code, </w:t>
      </w:r>
      <w:r>
        <w:t>§ 1170.18, subd</w:t>
      </w:r>
      <w:proofErr w:type="gramStart"/>
      <w:r>
        <w:t xml:space="preserve">. </w:t>
      </w:r>
      <w:proofErr w:type="gramEnd"/>
      <w:r>
        <w:t xml:space="preserve">(b).)  </w:t>
      </w:r>
    </w:p>
    <w:p w:rsidR="008C2779" w:rsidRDefault="000C45F6" w:rsidP="00DE67CF">
      <w:pPr>
        <w:pStyle w:val="Text"/>
      </w:pPr>
      <w:r>
        <w:t xml:space="preserve">The question before us </w:t>
      </w:r>
      <w:r>
        <w:t xml:space="preserve">concerns the application of these provisions to </w:t>
      </w:r>
      <w:r>
        <w:t xml:space="preserve">defendants </w:t>
      </w:r>
      <w:r>
        <w:t xml:space="preserve">who were serving felony sentences on the measure’s effective date but whose judgments were on appeal and thus not yet final.  </w:t>
      </w:r>
      <w:r>
        <w:t xml:space="preserve">Are such </w:t>
      </w:r>
      <w:r>
        <w:t xml:space="preserve">defendants </w:t>
      </w:r>
      <w:r>
        <w:t>entitled to automatic resent</w:t>
      </w:r>
      <w:r>
        <w:t xml:space="preserve">encing under Proposition 47, or must they instead seek resentencing through the </w:t>
      </w:r>
      <w:r>
        <w:t xml:space="preserve">statutory resentencing procedure, including the </w:t>
      </w:r>
      <w:r>
        <w:t xml:space="preserve">risk </w:t>
      </w:r>
      <w:r>
        <w:lastRenderedPageBreak/>
        <w:t xml:space="preserve">assessment </w:t>
      </w:r>
      <w:r>
        <w:t>prescribed by</w:t>
      </w:r>
      <w:r>
        <w:t xml:space="preserve"> </w:t>
      </w:r>
      <w:r>
        <w:t xml:space="preserve">Penal Code </w:t>
      </w:r>
      <w:r>
        <w:t>section</w:t>
      </w:r>
      <w:r>
        <w:t> 1170.18, subd</w:t>
      </w:r>
      <w:r>
        <w:t>ivision</w:t>
      </w:r>
      <w:r>
        <w:t xml:space="preserve"> (b)?  </w:t>
      </w:r>
      <w:r>
        <w:t xml:space="preserve">We conclude </w:t>
      </w:r>
      <w:r>
        <w:t xml:space="preserve">that </w:t>
      </w:r>
      <w:r>
        <w:t xml:space="preserve">resentencing is available </w:t>
      </w:r>
      <w:r>
        <w:t xml:space="preserve">to such </w:t>
      </w:r>
      <w:r>
        <w:t>d</w:t>
      </w:r>
      <w:r>
        <w:t xml:space="preserve">efendants </w:t>
      </w:r>
      <w:r>
        <w:t xml:space="preserve">only in accordance with </w:t>
      </w:r>
      <w:r>
        <w:t xml:space="preserve">the </w:t>
      </w:r>
      <w:r>
        <w:t xml:space="preserve">statutory resentencing procedure in </w:t>
      </w:r>
      <w:r>
        <w:t xml:space="preserve">Penal Code </w:t>
      </w:r>
      <w:r>
        <w:t>section 1170.18</w:t>
      </w:r>
      <w:r>
        <w:t xml:space="preserve"> (section 1170.18)</w:t>
      </w:r>
      <w:r>
        <w:t xml:space="preserve">.  </w:t>
      </w:r>
    </w:p>
    <w:p w:rsidR="0035737A" w:rsidRPr="00AC5362" w:rsidRDefault="000C45F6" w:rsidP="00AC5362">
      <w:pPr>
        <w:pStyle w:val="Heading1"/>
      </w:pPr>
      <w:r>
        <w:t>I.</w:t>
      </w:r>
    </w:p>
    <w:p w:rsidR="00E50AC8" w:rsidRPr="00C153A1" w:rsidRDefault="000C45F6" w:rsidP="00C153A1">
      <w:pPr>
        <w:pStyle w:val="Heading2"/>
      </w:pPr>
      <w:r>
        <w:t>A.</w:t>
      </w:r>
    </w:p>
    <w:p w:rsidR="003E7798" w:rsidRDefault="000C45F6" w:rsidP="00311A6D">
      <w:pPr>
        <w:pStyle w:val="Text"/>
        <w:ind w:right="-180"/>
      </w:pPr>
      <w:proofErr w:type="gramStart"/>
      <w:r>
        <w:t xml:space="preserve">Proposition 47 was </w:t>
      </w:r>
      <w:r>
        <w:t xml:space="preserve">passed by </w:t>
      </w:r>
      <w:r>
        <w:t>voters</w:t>
      </w:r>
      <w:proofErr w:type="gramEnd"/>
      <w:r>
        <w:t xml:space="preserve"> at the </w:t>
      </w:r>
      <w:r>
        <w:t>Novem</w:t>
      </w:r>
      <w:r>
        <w:t>ber 4, 2014, General Election</w:t>
      </w:r>
      <w:r>
        <w:t>, an</w:t>
      </w:r>
      <w:r>
        <w:t>d took effect the following day</w:t>
      </w:r>
      <w:r>
        <w:t xml:space="preserve">.  </w:t>
      </w:r>
      <w:r>
        <w:t xml:space="preserve">The measure’s </w:t>
      </w:r>
      <w:r>
        <w:t xml:space="preserve">stated </w:t>
      </w:r>
      <w:r>
        <w:t xml:space="preserve">purpose was “to ensure that prison spending is focused on violent and serious offenses, to maximize alternatives for </w:t>
      </w:r>
      <w:proofErr w:type="spellStart"/>
      <w:r>
        <w:t>nonserious</w:t>
      </w:r>
      <w:proofErr w:type="spellEnd"/>
      <w:r>
        <w:t>, nonviolent crime, and to invest the savings generated from this act into prevention and support programs i</w:t>
      </w:r>
      <w:r>
        <w:t>n K</w:t>
      </w:r>
      <w:r w:rsidRPr="003E7798">
        <w:t>–</w:t>
      </w:r>
      <w:r>
        <w:t>12 schools, victim services, and m</w:t>
      </w:r>
      <w:r>
        <w:t>ental health and drug treatment,</w:t>
      </w:r>
      <w:r>
        <w:t>”</w:t>
      </w:r>
      <w:r>
        <w:t xml:space="preserve"> while </w:t>
      </w:r>
      <w:r>
        <w:t xml:space="preserve">also </w:t>
      </w:r>
      <w:r>
        <w:t xml:space="preserve">ensuring “that sentences for people convicted of dangerous crimes like rape, murder, and child molestation are not changed.”  </w:t>
      </w:r>
      <w:r>
        <w:t>(</w:t>
      </w:r>
      <w:r>
        <w:t>Voter Information Guide, Gen. Elec. (Nov. 4, 2</w:t>
      </w:r>
      <w:r>
        <w:t>014</w:t>
      </w:r>
      <w:r>
        <w:t>) text of Prop</w:t>
      </w:r>
      <w:proofErr w:type="gramStart"/>
      <w:r>
        <w:t xml:space="preserve">. </w:t>
      </w:r>
      <w:proofErr w:type="gramEnd"/>
      <w:r>
        <w:t>47, § 2, p. 70</w:t>
      </w:r>
      <w:r>
        <w:t xml:space="preserve"> (</w:t>
      </w:r>
      <w:r>
        <w:t xml:space="preserve">Voter Information Guide).)  </w:t>
      </w:r>
      <w:r>
        <w:t>To these</w:t>
      </w:r>
      <w:r>
        <w:t xml:space="preserve"> end</w:t>
      </w:r>
      <w:r>
        <w:t>s</w:t>
      </w:r>
      <w:r>
        <w:t xml:space="preserve">, </w:t>
      </w:r>
      <w:r w:rsidRPr="00653ED6">
        <w:t>Proposition 47</w:t>
      </w:r>
      <w:r w:rsidRPr="1D34F75E">
        <w:t xml:space="preserve"> </w:t>
      </w:r>
      <w:r>
        <w:t>redefined</w:t>
      </w:r>
      <w:r>
        <w:t xml:space="preserve"> </w:t>
      </w:r>
      <w:r w:rsidRPr="00653ED6">
        <w:t>several</w:t>
      </w:r>
      <w:r w:rsidRPr="00653ED6">
        <w:t xml:space="preserve"> common </w:t>
      </w:r>
      <w:proofErr w:type="gramStart"/>
      <w:r w:rsidRPr="00653ED6">
        <w:t>theft</w:t>
      </w:r>
      <w:proofErr w:type="gramEnd"/>
      <w:r w:rsidRPr="00653ED6">
        <w:t>- and drug-related felonies as eit</w:t>
      </w:r>
      <w:r w:rsidRPr="003E7798">
        <w:t xml:space="preserve">her misdemeanors or felonies, depending on </w:t>
      </w:r>
      <w:r w:rsidRPr="003E7798">
        <w:t xml:space="preserve">the </w:t>
      </w:r>
      <w:r w:rsidRPr="003E7798">
        <w:t>offender’s criminal history.  The redefined offenses</w:t>
      </w:r>
      <w:r w:rsidRPr="003E7798">
        <w:t xml:space="preserve"> include</w:t>
      </w:r>
      <w:r>
        <w:t xml:space="preserve">: </w:t>
      </w:r>
      <w:r w:rsidRPr="003E7798">
        <w:t xml:space="preserve"> shoplifting </w:t>
      </w:r>
      <w:r w:rsidRPr="003E7798">
        <w:t xml:space="preserve">of property </w:t>
      </w:r>
      <w:r w:rsidRPr="003E7798">
        <w:t>worth $950 or less</w:t>
      </w:r>
      <w:r w:rsidRPr="1D34F75E">
        <w:t xml:space="preserve"> </w:t>
      </w:r>
      <w:r w:rsidRPr="003E7798">
        <w:t>(</w:t>
      </w:r>
      <w:r>
        <w:t>Pen</w:t>
      </w:r>
      <w:proofErr w:type="gramStart"/>
      <w:r>
        <w:t xml:space="preserve">. </w:t>
      </w:r>
      <w:proofErr w:type="gramEnd"/>
      <w:r>
        <w:t xml:space="preserve">Code, </w:t>
      </w:r>
      <w:r w:rsidRPr="003E7798">
        <w:t>§ 459.5</w:t>
      </w:r>
      <w:r w:rsidRPr="1D34F75E">
        <w:t xml:space="preserve">, </w:t>
      </w:r>
      <w:r w:rsidRPr="003E7798">
        <w:t>subd</w:t>
      </w:r>
      <w:proofErr w:type="gramStart"/>
      <w:r w:rsidRPr="003E7798">
        <w:t xml:space="preserve">. </w:t>
      </w:r>
      <w:proofErr w:type="gramEnd"/>
      <w:r w:rsidRPr="003E7798">
        <w:t>(a)</w:t>
      </w:r>
      <w:r w:rsidRPr="003E7798">
        <w:t>)</w:t>
      </w:r>
      <w:r>
        <w:t>;</w:t>
      </w:r>
      <w:r w:rsidRPr="003E7798">
        <w:t xml:space="preserve"> forgery </w:t>
      </w:r>
      <w:r w:rsidRPr="003E7798">
        <w:t xml:space="preserve">of instruments </w:t>
      </w:r>
      <w:r w:rsidRPr="003E7798">
        <w:t xml:space="preserve">worth </w:t>
      </w:r>
      <w:r w:rsidRPr="003E7798">
        <w:t xml:space="preserve">$950 </w:t>
      </w:r>
      <w:r w:rsidRPr="003E7798">
        <w:t xml:space="preserve">or less </w:t>
      </w:r>
      <w:r w:rsidRPr="003E7798">
        <w:t>(</w:t>
      </w:r>
      <w:r>
        <w:t>Pen</w:t>
      </w:r>
      <w:proofErr w:type="gramStart"/>
      <w:r>
        <w:t xml:space="preserve">. </w:t>
      </w:r>
      <w:proofErr w:type="gramEnd"/>
      <w:r>
        <w:t xml:space="preserve">Code, </w:t>
      </w:r>
      <w:r w:rsidRPr="003E7798">
        <w:t>§ 473</w:t>
      </w:r>
      <w:r w:rsidRPr="1D34F75E">
        <w:t xml:space="preserve">, </w:t>
      </w:r>
      <w:r w:rsidRPr="003E7798">
        <w:t>subd</w:t>
      </w:r>
      <w:proofErr w:type="gramStart"/>
      <w:r w:rsidRPr="003E7798">
        <w:t>. </w:t>
      </w:r>
      <w:proofErr w:type="gramEnd"/>
      <w:r w:rsidRPr="003E7798">
        <w:t>(b)</w:t>
      </w:r>
      <w:r w:rsidRPr="1D34F75E">
        <w:t>)</w:t>
      </w:r>
      <w:r>
        <w:t>;</w:t>
      </w:r>
      <w:r w:rsidRPr="1D34F75E">
        <w:t xml:space="preserve"> </w:t>
      </w:r>
      <w:r w:rsidRPr="003E7798">
        <w:t xml:space="preserve">fraud </w:t>
      </w:r>
      <w:r w:rsidRPr="003E7798">
        <w:t xml:space="preserve">involving </w:t>
      </w:r>
      <w:r>
        <w:t>financial instruments</w:t>
      </w:r>
      <w:r w:rsidRPr="003E7798">
        <w:t xml:space="preserve"> worth </w:t>
      </w:r>
      <w:r w:rsidRPr="003E7798">
        <w:t xml:space="preserve">$950 </w:t>
      </w:r>
      <w:r w:rsidRPr="003E7798">
        <w:t xml:space="preserve">or less </w:t>
      </w:r>
      <w:r w:rsidRPr="003E7798">
        <w:t>(</w:t>
      </w:r>
      <w:r>
        <w:t>Pen</w:t>
      </w:r>
      <w:proofErr w:type="gramStart"/>
      <w:r>
        <w:t xml:space="preserve">. </w:t>
      </w:r>
      <w:proofErr w:type="gramEnd"/>
      <w:r>
        <w:t xml:space="preserve">Code, </w:t>
      </w:r>
      <w:r w:rsidRPr="003E7798">
        <w:t>§ 476a</w:t>
      </w:r>
      <w:r w:rsidRPr="1D34F75E">
        <w:t xml:space="preserve">, </w:t>
      </w:r>
      <w:r w:rsidRPr="003E7798">
        <w:t>subd</w:t>
      </w:r>
      <w:proofErr w:type="gramStart"/>
      <w:r w:rsidRPr="003E7798">
        <w:t xml:space="preserve">. </w:t>
      </w:r>
      <w:proofErr w:type="gramEnd"/>
      <w:r w:rsidRPr="003E7798">
        <w:t>(b)</w:t>
      </w:r>
      <w:r w:rsidRPr="003E7798">
        <w:t>)</w:t>
      </w:r>
      <w:r>
        <w:t>;</w:t>
      </w:r>
      <w:r w:rsidRPr="003E7798">
        <w:t xml:space="preserve"> theft o</w:t>
      </w:r>
      <w:r w:rsidRPr="003E7798">
        <w:t>f</w:t>
      </w:r>
      <w:r w:rsidRPr="1D34F75E">
        <w:t>,</w:t>
      </w:r>
      <w:r w:rsidRPr="003E7798">
        <w:t xml:space="preserve"> or receiving, property worth $950 or less (</w:t>
      </w:r>
      <w:r>
        <w:t>Pen</w:t>
      </w:r>
      <w:proofErr w:type="gramStart"/>
      <w:r>
        <w:t xml:space="preserve">. </w:t>
      </w:r>
      <w:proofErr w:type="gramEnd"/>
      <w:r>
        <w:t xml:space="preserve">Code, </w:t>
      </w:r>
      <w:r w:rsidRPr="003E7798">
        <w:t xml:space="preserve">§§ 490.2, </w:t>
      </w:r>
      <w:r w:rsidRPr="003E7798">
        <w:t>subd</w:t>
      </w:r>
      <w:proofErr w:type="gramStart"/>
      <w:r w:rsidRPr="003E7798">
        <w:t>. </w:t>
      </w:r>
      <w:proofErr w:type="gramEnd"/>
      <w:r w:rsidRPr="003E7798">
        <w:t xml:space="preserve">(a), </w:t>
      </w:r>
      <w:r w:rsidRPr="003E7798">
        <w:t>496</w:t>
      </w:r>
      <w:r w:rsidRPr="1D34F75E">
        <w:t xml:space="preserve">, </w:t>
      </w:r>
      <w:r w:rsidRPr="003E7798">
        <w:t>subd</w:t>
      </w:r>
      <w:proofErr w:type="gramStart"/>
      <w:r w:rsidRPr="003E7798">
        <w:t>. </w:t>
      </w:r>
      <w:proofErr w:type="gramEnd"/>
      <w:r w:rsidRPr="003E7798">
        <w:t>(a)</w:t>
      </w:r>
      <w:r w:rsidRPr="003E7798">
        <w:t>)</w:t>
      </w:r>
      <w:r>
        <w:t>;</w:t>
      </w:r>
      <w:r w:rsidRPr="003E7798">
        <w:t xml:space="preserve"> petty theft with a prior </w:t>
      </w:r>
      <w:r w:rsidRPr="003E7798">
        <w:t>theft-related c</w:t>
      </w:r>
      <w:r w:rsidRPr="003E7798">
        <w:t>onviction (</w:t>
      </w:r>
      <w:r>
        <w:t>Pen</w:t>
      </w:r>
      <w:proofErr w:type="gramStart"/>
      <w:r>
        <w:t xml:space="preserve">. </w:t>
      </w:r>
      <w:proofErr w:type="gramEnd"/>
      <w:r>
        <w:t xml:space="preserve">Code, </w:t>
      </w:r>
      <w:r w:rsidRPr="003E7798">
        <w:t>§ 6</w:t>
      </w:r>
      <w:r>
        <w:t>6</w:t>
      </w:r>
      <w:r w:rsidRPr="003E7798">
        <w:t>6</w:t>
      </w:r>
      <w:r w:rsidRPr="1D34F75E">
        <w:t xml:space="preserve">, </w:t>
      </w:r>
      <w:r w:rsidRPr="003E7798">
        <w:t>subd</w:t>
      </w:r>
      <w:proofErr w:type="gramStart"/>
      <w:r w:rsidRPr="003E7798">
        <w:t xml:space="preserve">. </w:t>
      </w:r>
      <w:proofErr w:type="gramEnd"/>
      <w:r w:rsidRPr="003E7798">
        <w:t>(a)</w:t>
      </w:r>
      <w:r w:rsidRPr="1D34F75E">
        <w:t>)</w:t>
      </w:r>
      <w:r>
        <w:t>;</w:t>
      </w:r>
      <w:r w:rsidRPr="1D34F75E">
        <w:t xml:space="preserve"> </w:t>
      </w:r>
      <w:r>
        <w:t xml:space="preserve">and </w:t>
      </w:r>
      <w:r w:rsidRPr="003E7798">
        <w:t xml:space="preserve">possession of </w:t>
      </w:r>
      <w:r w:rsidRPr="003E7798">
        <w:t xml:space="preserve">a </w:t>
      </w:r>
      <w:r w:rsidRPr="003E7798">
        <w:t xml:space="preserve">controlled substance (Health &amp; </w:t>
      </w:r>
      <w:proofErr w:type="spellStart"/>
      <w:r w:rsidRPr="003E7798">
        <w:t>Saf</w:t>
      </w:r>
      <w:proofErr w:type="spellEnd"/>
      <w:proofErr w:type="gramStart"/>
      <w:r w:rsidRPr="003E7798">
        <w:t xml:space="preserve">. </w:t>
      </w:r>
      <w:proofErr w:type="gramEnd"/>
      <w:r w:rsidRPr="003E7798">
        <w:t xml:space="preserve">Code, §§ 11350, </w:t>
      </w:r>
      <w:r w:rsidRPr="003E7798">
        <w:t>subd</w:t>
      </w:r>
      <w:proofErr w:type="gramStart"/>
      <w:r w:rsidRPr="003E7798">
        <w:t>. </w:t>
      </w:r>
      <w:proofErr w:type="gramEnd"/>
      <w:r w:rsidRPr="003E7798">
        <w:t xml:space="preserve">(a), </w:t>
      </w:r>
      <w:r w:rsidRPr="003E7798">
        <w:t>11377</w:t>
      </w:r>
      <w:r w:rsidRPr="1D34F75E">
        <w:t xml:space="preserve">, </w:t>
      </w:r>
      <w:r w:rsidRPr="003E7798">
        <w:t>subd</w:t>
      </w:r>
      <w:proofErr w:type="gramStart"/>
      <w:r w:rsidRPr="003E7798">
        <w:t>. </w:t>
      </w:r>
      <w:proofErr w:type="gramEnd"/>
      <w:r w:rsidRPr="003E7798">
        <w:t>(a)</w:t>
      </w:r>
      <w:r w:rsidRPr="1D34F75E">
        <w:t>)</w:t>
      </w:r>
      <w:r w:rsidRPr="1D34F75E">
        <w:t xml:space="preserve">.  </w:t>
      </w:r>
      <w:r>
        <w:t>While t</w:t>
      </w:r>
      <w:r w:rsidRPr="003E7798">
        <w:t xml:space="preserve">hese offenses </w:t>
      </w:r>
      <w:r>
        <w:t xml:space="preserve">are now misdemeanors by default, they remain </w:t>
      </w:r>
      <w:r w:rsidRPr="003E7798">
        <w:t xml:space="preserve">felonies for offenders who </w:t>
      </w:r>
      <w:r w:rsidRPr="003E7798">
        <w:t xml:space="preserve">have </w:t>
      </w:r>
      <w:r>
        <w:t xml:space="preserve">previously been convicted of </w:t>
      </w:r>
      <w:r>
        <w:t xml:space="preserve">certain </w:t>
      </w:r>
      <w:r>
        <w:t xml:space="preserve">serious </w:t>
      </w:r>
      <w:r>
        <w:t>or</w:t>
      </w:r>
      <w:r>
        <w:t xml:space="preserve"> violent </w:t>
      </w:r>
      <w:r>
        <w:t>crime</w:t>
      </w:r>
      <w:r>
        <w:t>s</w:t>
      </w:r>
      <w:r>
        <w:t xml:space="preserve"> </w:t>
      </w:r>
      <w:r w:rsidRPr="003E7798">
        <w:t>colloquially known as “super</w:t>
      </w:r>
      <w:r w:rsidRPr="1D34F75E">
        <w:t xml:space="preserve"> </w:t>
      </w:r>
      <w:r w:rsidRPr="003E7798">
        <w:t>strike</w:t>
      </w:r>
      <w:r>
        <w:t>s</w:t>
      </w:r>
      <w:r w:rsidRPr="003E7798">
        <w:t xml:space="preserve">” (see </w:t>
      </w:r>
      <w:r>
        <w:t>Pen</w:t>
      </w:r>
      <w:proofErr w:type="gramStart"/>
      <w:r>
        <w:t xml:space="preserve">. </w:t>
      </w:r>
      <w:proofErr w:type="gramEnd"/>
      <w:r>
        <w:t xml:space="preserve">Code, </w:t>
      </w:r>
      <w:r w:rsidRPr="003E7798">
        <w:t>§ 667, sub</w:t>
      </w:r>
      <w:r w:rsidRPr="003E7798">
        <w:t>d</w:t>
      </w:r>
      <w:proofErr w:type="gramStart"/>
      <w:r w:rsidRPr="003E7798">
        <w:t>. </w:t>
      </w:r>
      <w:proofErr w:type="gramEnd"/>
      <w:r w:rsidRPr="003E7798">
        <w:t>(e)(2)(C)(iv)(I)–(VIII)</w:t>
      </w:r>
      <w:r>
        <w:t xml:space="preserve">; see also </w:t>
      </w:r>
      <w:r w:rsidRPr="1D34F75E">
        <w:rPr>
          <w:i/>
          <w:iCs/>
        </w:rPr>
        <w:t xml:space="preserve">People v. Valencia </w:t>
      </w:r>
      <w:r>
        <w:t xml:space="preserve">(2017) 3 Cal.5th </w:t>
      </w:r>
      <w:r>
        <w:lastRenderedPageBreak/>
        <w:t>347, 351 &amp; fn. 3)</w:t>
      </w:r>
      <w:r>
        <w:t>,</w:t>
      </w:r>
      <w:r w:rsidRPr="003E7798">
        <w:t xml:space="preserve"> or </w:t>
      </w:r>
      <w:r>
        <w:t xml:space="preserve">of </w:t>
      </w:r>
      <w:r>
        <w:t xml:space="preserve">a crime that </w:t>
      </w:r>
      <w:r w:rsidRPr="003E7798">
        <w:t>requires registration as a sex of</w:t>
      </w:r>
      <w:r>
        <w:t xml:space="preserve">fender (see </w:t>
      </w:r>
      <w:r>
        <w:t>Pen</w:t>
      </w:r>
      <w:proofErr w:type="gramStart"/>
      <w:r>
        <w:t xml:space="preserve">. </w:t>
      </w:r>
      <w:proofErr w:type="gramEnd"/>
      <w:r>
        <w:t xml:space="preserve">Code, </w:t>
      </w:r>
      <w:r>
        <w:t>§ 290, subd</w:t>
      </w:r>
      <w:proofErr w:type="gramStart"/>
      <w:r>
        <w:t xml:space="preserve">. </w:t>
      </w:r>
      <w:proofErr w:type="gramEnd"/>
      <w:r>
        <w:t>(c)).</w:t>
      </w:r>
      <w:r>
        <w:rPr>
          <w:rStyle w:val="FootnoteReference"/>
        </w:rPr>
        <w:footnoteReference w:id="2"/>
      </w:r>
      <w:r w:rsidRPr="1D34F75E">
        <w:t xml:space="preserve">  </w:t>
      </w:r>
    </w:p>
    <w:p w:rsidR="00553F17" w:rsidRDefault="000C45F6" w:rsidP="00DC6AC0">
      <w:pPr>
        <w:pStyle w:val="Text"/>
      </w:pPr>
      <w:r>
        <w:t xml:space="preserve">Proposition 47 also includes </w:t>
      </w:r>
      <w:r>
        <w:t xml:space="preserve">two sets of </w:t>
      </w:r>
      <w:r>
        <w:t>detailed provisions settin</w:t>
      </w:r>
      <w:r>
        <w:t xml:space="preserve">g out the terms under which retrospective relief is available to persons who </w:t>
      </w:r>
      <w:r>
        <w:t>were</w:t>
      </w:r>
      <w:r>
        <w:t xml:space="preserve"> serving, or </w:t>
      </w:r>
      <w:r>
        <w:t xml:space="preserve">who </w:t>
      </w:r>
      <w:r>
        <w:t>had</w:t>
      </w:r>
      <w:r>
        <w:t xml:space="preserve"> already completed, felony sentences for offenses </w:t>
      </w:r>
      <w:r>
        <w:t xml:space="preserve">now </w:t>
      </w:r>
      <w:r>
        <w:t xml:space="preserve">redefined as misdemeanors.  </w:t>
      </w:r>
      <w:r>
        <w:t xml:space="preserve">This case concerns the first of these </w:t>
      </w:r>
      <w:r>
        <w:t xml:space="preserve">retrospective </w:t>
      </w:r>
      <w:r>
        <w:t xml:space="preserve">provisions, which </w:t>
      </w:r>
      <w:r>
        <w:t>provides</w:t>
      </w:r>
      <w:proofErr w:type="gramStart"/>
      <w:r>
        <w:t xml:space="preserve">:  </w:t>
      </w:r>
      <w:r w:rsidRPr="1D34F75E">
        <w:t>“</w:t>
      </w:r>
      <w:proofErr w:type="gramEnd"/>
      <w:r>
        <w:t>A</w:t>
      </w:r>
      <w:r w:rsidRPr="1D34F75E">
        <w:t xml:space="preserve"> </w:t>
      </w:r>
      <w:r>
        <w:t xml:space="preserve">person who, on November 5, 2014, was serving a sentence </w:t>
      </w:r>
      <w:r>
        <w:t xml:space="preserve">for a conviction . . . of a </w:t>
      </w:r>
      <w:proofErr w:type="gramStart"/>
      <w:r>
        <w:t>felony .</w:t>
      </w:r>
      <w:proofErr w:type="gramEnd"/>
      <w:r>
        <w:t> . . who would have been guilty of a misdemeanor</w:t>
      </w:r>
      <w:r>
        <w:t xml:space="preserve"> under </w:t>
      </w:r>
      <w:r>
        <w:t xml:space="preserve">the act that added this </w:t>
      </w:r>
      <w:proofErr w:type="gramStart"/>
      <w:r>
        <w:t>section .</w:t>
      </w:r>
      <w:proofErr w:type="gramEnd"/>
      <w:r>
        <w:t> </w:t>
      </w:r>
      <w:r>
        <w:t>.</w:t>
      </w:r>
      <w:r>
        <w:t> </w:t>
      </w:r>
      <w:r>
        <w:t xml:space="preserve">. had this act </w:t>
      </w:r>
      <w:r>
        <w:t>been in effect at the time of the offense</w:t>
      </w:r>
      <w:r>
        <w:t xml:space="preserve"> ma</w:t>
      </w:r>
      <w:r>
        <w:t xml:space="preserve">y </w:t>
      </w:r>
      <w:r>
        <w:t>petition for a recall of sentence before the trial court that entered the judgment of conviction in his or her case to request resentencing in accordance” with the new misdemeanor penalty provisions.  (</w:t>
      </w:r>
      <w:r>
        <w:t>§ 1170.18, subd</w:t>
      </w:r>
      <w:proofErr w:type="gramStart"/>
      <w:r>
        <w:t>. </w:t>
      </w:r>
      <w:proofErr w:type="gramEnd"/>
      <w:r>
        <w:t>(a)</w:t>
      </w:r>
      <w:r>
        <w:t>,</w:t>
      </w:r>
      <w:r w:rsidRPr="00614356">
        <w:t xml:space="preserve"> </w:t>
      </w:r>
      <w:r>
        <w:t>as amended by Stats</w:t>
      </w:r>
      <w:proofErr w:type="gramStart"/>
      <w:r>
        <w:t xml:space="preserve">. </w:t>
      </w:r>
      <w:proofErr w:type="gramEnd"/>
      <w:r>
        <w:t xml:space="preserve">2016, </w:t>
      </w:r>
      <w:proofErr w:type="spellStart"/>
      <w:r>
        <w:t>ch.</w:t>
      </w:r>
      <w:proofErr w:type="spellEnd"/>
      <w:r>
        <w:t xml:space="preserve"> 767, § 1, </w:t>
      </w:r>
      <w:r>
        <w:t xml:space="preserve">p. 5313, </w:t>
      </w:r>
      <w:r>
        <w:t>eff. Jan. 1, 2017.</w:t>
      </w:r>
      <w:r>
        <w:t xml:space="preserve">)  </w:t>
      </w:r>
      <w:r>
        <w:t xml:space="preserve">Petitions for recall were initially to </w:t>
      </w:r>
      <w:proofErr w:type="gramStart"/>
      <w:r>
        <w:t>be filed</w:t>
      </w:r>
      <w:proofErr w:type="gramEnd"/>
      <w:r>
        <w:t xml:space="preserve"> within a three-year window, absent a showing of good cause; the Legislature has since </w:t>
      </w:r>
      <w:r>
        <w:t>extended that</w:t>
      </w:r>
      <w:r>
        <w:t xml:space="preserve"> window to November 4, 2022.  </w:t>
      </w:r>
      <w:r>
        <w:t>(§ 1170.18, subd</w:t>
      </w:r>
      <w:proofErr w:type="gramStart"/>
      <w:r>
        <w:t xml:space="preserve">. </w:t>
      </w:r>
      <w:proofErr w:type="gramEnd"/>
      <w:r>
        <w:t>(j), as amended by S</w:t>
      </w:r>
      <w:r>
        <w:t>tats</w:t>
      </w:r>
      <w:proofErr w:type="gramStart"/>
      <w:r>
        <w:t xml:space="preserve">. </w:t>
      </w:r>
      <w:proofErr w:type="gramEnd"/>
      <w:r>
        <w:t xml:space="preserve">2016, </w:t>
      </w:r>
      <w:proofErr w:type="spellStart"/>
      <w:r>
        <w:t>ch.</w:t>
      </w:r>
      <w:proofErr w:type="spellEnd"/>
      <w:r>
        <w:t xml:space="preserve"> 767, § 1, </w:t>
      </w:r>
      <w:r>
        <w:t xml:space="preserve">p. 5314, </w:t>
      </w:r>
      <w:r>
        <w:t>eff. Jan. 1, 2017.)</w:t>
      </w:r>
      <w:r>
        <w:rPr>
          <w:rStyle w:val="FootnoteReference"/>
        </w:rPr>
        <w:footnoteReference w:id="3"/>
      </w:r>
      <w:r w:rsidRPr="1D34F75E">
        <w:t xml:space="preserve">   </w:t>
      </w:r>
    </w:p>
    <w:p w:rsidR="0090253F" w:rsidRDefault="000C45F6" w:rsidP="00DC6AC0">
      <w:pPr>
        <w:pStyle w:val="Text"/>
      </w:pPr>
      <w:r>
        <w:lastRenderedPageBreak/>
        <w:t xml:space="preserve">Only </w:t>
      </w:r>
      <w:r>
        <w:t xml:space="preserve">defendants </w:t>
      </w:r>
      <w:r>
        <w:t>who do not have</w:t>
      </w:r>
      <w:r>
        <w:t xml:space="preserve"> disqualifying prior convictions may file petitions for recall of sentence.  (§ 1170.18, </w:t>
      </w:r>
      <w:proofErr w:type="spellStart"/>
      <w:r>
        <w:t>subd</w:t>
      </w:r>
      <w:r>
        <w:t>s</w:t>
      </w:r>
      <w:proofErr w:type="spellEnd"/>
      <w:proofErr w:type="gramStart"/>
      <w:r>
        <w:t xml:space="preserve">. </w:t>
      </w:r>
      <w:proofErr w:type="gramEnd"/>
      <w:r>
        <w:t>(a)</w:t>
      </w:r>
      <w:r>
        <w:t>, (</w:t>
      </w:r>
      <w:proofErr w:type="spellStart"/>
      <w:r>
        <w:t>i</w:t>
      </w:r>
      <w:proofErr w:type="spellEnd"/>
      <w:r>
        <w:t>)</w:t>
      </w:r>
      <w:r>
        <w:t xml:space="preserve">.)  If </w:t>
      </w:r>
      <w:r>
        <w:t>the</w:t>
      </w:r>
      <w:r>
        <w:t xml:space="preserve"> </w:t>
      </w:r>
      <w:r>
        <w:t>statutory requirements are satisfied, “the petition</w:t>
      </w:r>
      <w:r>
        <w:t xml:space="preserve">er’s felony sentence shall be recalled and the petitioner resentenced to a </w:t>
      </w:r>
      <w:proofErr w:type="gramStart"/>
      <w:r>
        <w:t>misdemeanor .</w:t>
      </w:r>
      <w:proofErr w:type="gramEnd"/>
      <w:r>
        <w:t> . . unless the court, in its discretion, determines that resentencing the petition</w:t>
      </w:r>
      <w:r>
        <w:t>er</w:t>
      </w:r>
      <w:r>
        <w:t xml:space="preserve"> would pose an unreasonable risk of danger to public safety.”  (</w:t>
      </w:r>
      <w:r w:rsidRPr="002B0E06">
        <w:rPr>
          <w:i/>
        </w:rPr>
        <w:t>Id</w:t>
      </w:r>
      <w:r>
        <w:t xml:space="preserve">., </w:t>
      </w:r>
      <w:r>
        <w:t>subd</w:t>
      </w:r>
      <w:proofErr w:type="gramStart"/>
      <w:r>
        <w:t xml:space="preserve">. </w:t>
      </w:r>
      <w:proofErr w:type="gramEnd"/>
      <w:r>
        <w:t xml:space="preserve">(b).)  </w:t>
      </w:r>
      <w:r>
        <w:t xml:space="preserve">For these purposes, </w:t>
      </w:r>
      <w:proofErr w:type="gramStart"/>
      <w:r>
        <w:t>“ ‘</w:t>
      </w:r>
      <w:proofErr w:type="gramEnd"/>
      <w:r>
        <w:t>unreasonable risk of danger to public safety’ means an unreasonable risk that the petitioner will commit a” super strike or crime requiring sex offender registration.  (</w:t>
      </w:r>
      <w:r w:rsidRPr="1D34F75E">
        <w:rPr>
          <w:i/>
          <w:iCs/>
        </w:rPr>
        <w:t>Id.</w:t>
      </w:r>
      <w:r>
        <w:t>, subd</w:t>
      </w:r>
      <w:proofErr w:type="gramStart"/>
      <w:r>
        <w:t xml:space="preserve">. </w:t>
      </w:r>
      <w:proofErr w:type="gramEnd"/>
      <w:r>
        <w:t xml:space="preserve">(c).)  In making this determination, </w:t>
      </w:r>
      <w:r>
        <w:t>“the court may c</w:t>
      </w:r>
      <w:r>
        <w:t>onsider” the petitioner’s “criminal conviction history,” “disciplinary record and record of rehabilitation while incarcerated,” and “[a]</w:t>
      </w:r>
      <w:proofErr w:type="spellStart"/>
      <w:r>
        <w:t>ny</w:t>
      </w:r>
      <w:proofErr w:type="spellEnd"/>
      <w:r>
        <w:t xml:space="preserve"> other evidence” the court “determines to be relevant in deciding whether a new sentence would result in an unreasonab</w:t>
      </w:r>
      <w:r>
        <w:t>le risk of danger to public safety.”  (</w:t>
      </w:r>
      <w:r w:rsidRPr="1D34F75E">
        <w:rPr>
          <w:i/>
          <w:iCs/>
        </w:rPr>
        <w:t>Id.</w:t>
      </w:r>
      <w:r>
        <w:t>, subd</w:t>
      </w:r>
      <w:proofErr w:type="gramStart"/>
      <w:r>
        <w:t>. </w:t>
      </w:r>
      <w:proofErr w:type="gramEnd"/>
      <w:r>
        <w:t>(b)</w:t>
      </w:r>
      <w:r>
        <w:t xml:space="preserve">, </w:t>
      </w:r>
      <w:r>
        <w:t>(b)(1)</w:t>
      </w:r>
      <w:proofErr w:type="gramStart"/>
      <w:r>
        <w:t>–(</w:t>
      </w:r>
      <w:proofErr w:type="gramEnd"/>
      <w:r>
        <w:t xml:space="preserve">3).)  </w:t>
      </w:r>
    </w:p>
    <w:p w:rsidR="00D674C6" w:rsidRDefault="000C45F6" w:rsidP="00764045">
      <w:pPr>
        <w:pStyle w:val="Text"/>
      </w:pPr>
      <w:r>
        <w:t xml:space="preserve">Proposition 47 </w:t>
      </w:r>
      <w:r>
        <w:t xml:space="preserve">also provides a path to relief for persons who have already completed a sentence for a covered offense:  Such a person </w:t>
      </w:r>
      <w:r>
        <w:t>“may file an application before the trial court that</w:t>
      </w:r>
      <w:r>
        <w:t xml:space="preserve"> entered the judgment of conviction in his or her case to have the felony conviction or convictions designated as misdemean</w:t>
      </w:r>
      <w:r>
        <w:t>ors.”  (§ 1170.18, subd</w:t>
      </w:r>
      <w:proofErr w:type="gramStart"/>
      <w:r>
        <w:t>. </w:t>
      </w:r>
      <w:proofErr w:type="gramEnd"/>
      <w:r>
        <w:t>(f).)  Like recall petitions, such applications must be filed by November 4, 2022, absent good cause to file</w:t>
      </w:r>
      <w:r>
        <w:t xml:space="preserve"> </w:t>
      </w:r>
      <w:proofErr w:type="gramStart"/>
      <w:r>
        <w:t>at a later date</w:t>
      </w:r>
      <w:proofErr w:type="gramEnd"/>
      <w:r>
        <w:t>.  (</w:t>
      </w:r>
      <w:r>
        <w:rPr>
          <w:i/>
        </w:rPr>
        <w:t>Id.</w:t>
      </w:r>
      <w:r>
        <w:t>, subd</w:t>
      </w:r>
      <w:proofErr w:type="gramStart"/>
      <w:r>
        <w:t xml:space="preserve">. </w:t>
      </w:r>
      <w:proofErr w:type="gramEnd"/>
      <w:r>
        <w:t>(j), as amended by Stats</w:t>
      </w:r>
      <w:proofErr w:type="gramStart"/>
      <w:r>
        <w:t xml:space="preserve">. </w:t>
      </w:r>
      <w:proofErr w:type="gramEnd"/>
      <w:r>
        <w:t xml:space="preserve">2016, </w:t>
      </w:r>
      <w:proofErr w:type="spellStart"/>
      <w:r>
        <w:t>ch.</w:t>
      </w:r>
      <w:proofErr w:type="spellEnd"/>
      <w:r>
        <w:t xml:space="preserve"> 767, § 1, </w:t>
      </w:r>
      <w:r>
        <w:t xml:space="preserve">p. 5314, </w:t>
      </w:r>
      <w:r>
        <w:t xml:space="preserve">eff. Jan. 1, 2017.)  </w:t>
      </w:r>
      <w:r>
        <w:t>A</w:t>
      </w:r>
      <w:r>
        <w:t xml:space="preserve">s </w:t>
      </w:r>
      <w:r>
        <w:t xml:space="preserve">is true of </w:t>
      </w:r>
      <w:r>
        <w:t xml:space="preserve">Proposition 47’s other provisions for reducing </w:t>
      </w:r>
      <w:r>
        <w:t xml:space="preserve">a </w:t>
      </w:r>
      <w:r>
        <w:t>felon</w:t>
      </w:r>
      <w:r>
        <w:t>y</w:t>
      </w:r>
      <w:r>
        <w:t xml:space="preserve"> to</w:t>
      </w:r>
      <w:r>
        <w:t xml:space="preserve"> a</w:t>
      </w:r>
      <w:r>
        <w:t xml:space="preserve"> misdemeanor, no relief is available to a person who has previously been co</w:t>
      </w:r>
      <w:r>
        <w:t>nvicted of a super strike or an offense requiring registration as a sex offender.  (</w:t>
      </w:r>
      <w:r>
        <w:t xml:space="preserve">§ 1170.18, </w:t>
      </w:r>
      <w:r>
        <w:t>subd</w:t>
      </w:r>
      <w:proofErr w:type="gramStart"/>
      <w:r>
        <w:t>. </w:t>
      </w:r>
      <w:proofErr w:type="gramEnd"/>
      <w:r>
        <w:t>(</w:t>
      </w:r>
      <w:proofErr w:type="spellStart"/>
      <w:r>
        <w:t>i</w:t>
      </w:r>
      <w:proofErr w:type="spellEnd"/>
      <w:r>
        <w:t>).)</w:t>
      </w:r>
      <w:r>
        <w:t xml:space="preserve">  </w:t>
      </w:r>
      <w:r>
        <w:t xml:space="preserve">If such </w:t>
      </w:r>
      <w:r>
        <w:t xml:space="preserve">an </w:t>
      </w:r>
      <w:r>
        <w:t xml:space="preserve">applicant satisfies </w:t>
      </w:r>
      <w:r>
        <w:t xml:space="preserve">the statutory requirements, the court </w:t>
      </w:r>
      <w:r>
        <w:t>must designate the felony offense as a misdemeanor.  (</w:t>
      </w:r>
      <w:r>
        <w:rPr>
          <w:i/>
        </w:rPr>
        <w:t>Id.</w:t>
      </w:r>
      <w:r>
        <w:t>, subd</w:t>
      </w:r>
      <w:proofErr w:type="gramStart"/>
      <w:r>
        <w:t xml:space="preserve">. </w:t>
      </w:r>
      <w:proofErr w:type="gramEnd"/>
      <w:r>
        <w:t xml:space="preserve">(g).)  </w:t>
      </w:r>
      <w:r>
        <w:t>N</w:t>
      </w:r>
      <w:r>
        <w:t>o hear</w:t>
      </w:r>
      <w:r>
        <w:t xml:space="preserve">ing </w:t>
      </w:r>
      <w:proofErr w:type="gramStart"/>
      <w:r>
        <w:t>is required</w:t>
      </w:r>
      <w:proofErr w:type="gramEnd"/>
      <w:r>
        <w:t xml:space="preserve"> unless the applicant asks for one.  (</w:t>
      </w:r>
      <w:r>
        <w:rPr>
          <w:i/>
        </w:rPr>
        <w:t>Id.</w:t>
      </w:r>
      <w:r>
        <w:t>, subd</w:t>
      </w:r>
      <w:proofErr w:type="gramStart"/>
      <w:r>
        <w:t xml:space="preserve">. </w:t>
      </w:r>
      <w:proofErr w:type="gramEnd"/>
      <w:r>
        <w:t>(h).)</w:t>
      </w:r>
      <w:r>
        <w:t xml:space="preserve">  </w:t>
      </w:r>
    </w:p>
    <w:p w:rsidR="003B7D96" w:rsidRPr="00417DF0" w:rsidRDefault="000C45F6" w:rsidP="003B7D96">
      <w:pPr>
        <w:pStyle w:val="Heading2"/>
      </w:pPr>
      <w:r w:rsidRPr="00417DF0">
        <w:lastRenderedPageBreak/>
        <w:t>B.</w:t>
      </w:r>
    </w:p>
    <w:p w:rsidR="00AC611E" w:rsidRDefault="000C45F6" w:rsidP="00F04048">
      <w:pPr>
        <w:pStyle w:val="Text"/>
      </w:pPr>
      <w:r>
        <w:t xml:space="preserve">In December </w:t>
      </w:r>
      <w:r w:rsidRPr="00417DF0">
        <w:t xml:space="preserve">2013, police officers </w:t>
      </w:r>
      <w:r>
        <w:t xml:space="preserve">arrested </w:t>
      </w:r>
      <w:r w:rsidRPr="00417DF0">
        <w:t>defendant Veronica Lorraine DeHoyos</w:t>
      </w:r>
      <w:r w:rsidRPr="00417DF0">
        <w:t xml:space="preserve"> </w:t>
      </w:r>
      <w:r>
        <w:t>for possessing methamphetamine, a controlled substance</w:t>
      </w:r>
      <w:r w:rsidRPr="00417DF0">
        <w:t xml:space="preserve">.  At that time, the offense was </w:t>
      </w:r>
      <w:r>
        <w:t>punishable</w:t>
      </w:r>
      <w:r w:rsidRPr="00417DF0">
        <w:t xml:space="preserve"> as a felony by former section 11377 of the Health and Safety Code (Stats</w:t>
      </w:r>
      <w:proofErr w:type="gramStart"/>
      <w:r w:rsidRPr="00417DF0">
        <w:t xml:space="preserve">. </w:t>
      </w:r>
      <w:proofErr w:type="gramEnd"/>
      <w:r w:rsidRPr="00417DF0">
        <w:t xml:space="preserve">2011, </w:t>
      </w:r>
      <w:proofErr w:type="spellStart"/>
      <w:r w:rsidRPr="00417DF0">
        <w:t>ch.</w:t>
      </w:r>
      <w:proofErr w:type="spellEnd"/>
      <w:r w:rsidRPr="00417DF0">
        <w:t> 15, § 171, p. </w:t>
      </w:r>
      <w:r>
        <w:t>325</w:t>
      </w:r>
      <w:r w:rsidRPr="00417DF0">
        <w:t xml:space="preserve">, and subsequently amended).  </w:t>
      </w:r>
      <w:r>
        <w:t>In April</w:t>
      </w:r>
      <w:r w:rsidRPr="00417DF0">
        <w:t xml:space="preserve"> 2014, a jury found defendant guilty of </w:t>
      </w:r>
      <w:r>
        <w:t>violating</w:t>
      </w:r>
      <w:r>
        <w:t xml:space="preserve"> former</w:t>
      </w:r>
      <w:r>
        <w:t xml:space="preserve"> section 11377</w:t>
      </w:r>
      <w:r>
        <w:t>, subd</w:t>
      </w:r>
      <w:r>
        <w:t>ivision</w:t>
      </w:r>
      <w:r>
        <w:t xml:space="preserve"> (a)</w:t>
      </w:r>
      <w:r w:rsidRPr="00417DF0">
        <w:t xml:space="preserve">, and the San Diego Superior </w:t>
      </w:r>
      <w:r w:rsidRPr="00417DF0">
        <w:t>Court suspended imposition of sentence and granted formal probation for three years.</w:t>
      </w:r>
      <w:r>
        <w:rPr>
          <w:rStyle w:val="FootnoteReference"/>
        </w:rPr>
        <w:footnoteReference w:id="4"/>
      </w:r>
      <w:r w:rsidRPr="00417DF0">
        <w:t xml:space="preserve">  </w:t>
      </w:r>
    </w:p>
    <w:p w:rsidR="00FB6CE2" w:rsidRDefault="000C45F6" w:rsidP="00CC7580">
      <w:pPr>
        <w:pStyle w:val="Text"/>
      </w:pPr>
      <w:r>
        <w:t>D</w:t>
      </w:r>
      <w:r w:rsidRPr="00417DF0">
        <w:t>efendant appeal</w:t>
      </w:r>
      <w:r>
        <w:t>ed</w:t>
      </w:r>
      <w:r w:rsidRPr="00417DF0">
        <w:t xml:space="preserve">.  </w:t>
      </w:r>
      <w:r>
        <w:t xml:space="preserve">On appeal, defendant invoked </w:t>
      </w:r>
      <w:r>
        <w:t xml:space="preserve">the then-newly enacted provisions of Proposition 47.  </w:t>
      </w:r>
      <w:r>
        <w:t>As noted, the measure redefined possession of a controlled subst</w:t>
      </w:r>
      <w:r>
        <w:t xml:space="preserve">ance as a misdemeanor except for offenders who have disqualifying prior convictions.  (Health &amp; </w:t>
      </w:r>
      <w:proofErr w:type="spellStart"/>
      <w:r>
        <w:t>Saf</w:t>
      </w:r>
      <w:proofErr w:type="spellEnd"/>
      <w:proofErr w:type="gramStart"/>
      <w:r>
        <w:t xml:space="preserve">. </w:t>
      </w:r>
      <w:proofErr w:type="gramEnd"/>
      <w:r>
        <w:t>Code, § 11377, subd</w:t>
      </w:r>
      <w:proofErr w:type="gramStart"/>
      <w:r>
        <w:t xml:space="preserve">. </w:t>
      </w:r>
      <w:proofErr w:type="gramEnd"/>
      <w:r>
        <w:t>(a)</w:t>
      </w:r>
      <w:r>
        <w:t>, as amended by Prop</w:t>
      </w:r>
      <w:proofErr w:type="gramStart"/>
      <w:r>
        <w:t xml:space="preserve">. </w:t>
      </w:r>
      <w:proofErr w:type="gramEnd"/>
      <w:r>
        <w:t>47, § 13</w:t>
      </w:r>
      <w:r>
        <w:t xml:space="preserve">.)  Noting that </w:t>
      </w:r>
      <w:r>
        <w:t xml:space="preserve">the record established no </w:t>
      </w:r>
      <w:r>
        <w:t xml:space="preserve">disqualifying prior convictions, defendant </w:t>
      </w:r>
      <w:r>
        <w:t xml:space="preserve">argued </w:t>
      </w:r>
      <w:r>
        <w:t xml:space="preserve">that </w:t>
      </w:r>
      <w:r>
        <w:t xml:space="preserve">the </w:t>
      </w:r>
      <w:r>
        <w:t xml:space="preserve">Court of Appeal should reduce her conviction to a misdemeanor and remand for resentencing without following the procedures set out in section 1170.18.  The Court of Appeal rejected her argument </w:t>
      </w:r>
      <w:r>
        <w:lastRenderedPageBreak/>
        <w:t>and affirmed the judgment.  “[T]o be considered for resentenci</w:t>
      </w:r>
      <w:r>
        <w:t xml:space="preserve">ng,” the court held, defendant “must utilize the [statutory] </w:t>
      </w:r>
      <w:proofErr w:type="gramStart"/>
      <w:r>
        <w:t>procedure .</w:t>
      </w:r>
      <w:proofErr w:type="gramEnd"/>
      <w:r>
        <w:t xml:space="preserve"> . . .”  </w:t>
      </w:r>
    </w:p>
    <w:p w:rsidR="008408AD" w:rsidRDefault="000C45F6" w:rsidP="008408AD">
      <w:pPr>
        <w:pStyle w:val="Heading1"/>
      </w:pPr>
      <w:r>
        <w:t>II.</w:t>
      </w:r>
    </w:p>
    <w:p w:rsidR="000556C4" w:rsidRDefault="000C45F6" w:rsidP="006F0A77">
      <w:pPr>
        <w:pStyle w:val="Text"/>
      </w:pPr>
      <w:r>
        <w:t xml:space="preserve">The question before us is how Proposition 47 </w:t>
      </w:r>
      <w:r>
        <w:t xml:space="preserve">applies to those who, like defendant, had </w:t>
      </w:r>
      <w:proofErr w:type="gramStart"/>
      <w:r>
        <w:t>been sentenced</w:t>
      </w:r>
      <w:proofErr w:type="gramEnd"/>
      <w:r>
        <w:t xml:space="preserve"> </w:t>
      </w:r>
      <w:r>
        <w:t>for a covered offense before November 5, 2014, but whose judgments w</w:t>
      </w:r>
      <w:r>
        <w:t>ere not yet final on that date</w:t>
      </w:r>
      <w:r>
        <w:t>, and whose sentences have not yet been completed</w:t>
      </w:r>
      <w:r>
        <w:t>.</w:t>
      </w:r>
      <w:r>
        <w:t xml:space="preserve">  </w:t>
      </w:r>
      <w:r>
        <w:t xml:space="preserve">The </w:t>
      </w:r>
      <w:r>
        <w:t>Attorney General</w:t>
      </w:r>
      <w:r>
        <w:t xml:space="preserve"> contend</w:t>
      </w:r>
      <w:r>
        <w:t>s</w:t>
      </w:r>
      <w:r>
        <w:t xml:space="preserve"> </w:t>
      </w:r>
      <w:r>
        <w:t xml:space="preserve">that </w:t>
      </w:r>
      <w:r>
        <w:t>resentencing is available exclusively under section 1170.18,</w:t>
      </w:r>
      <w:r>
        <w:t xml:space="preserve"> </w:t>
      </w:r>
      <w:r>
        <w:t>which conditions relief on the court’s assessment of “whether a new sentence w</w:t>
      </w:r>
      <w:r>
        <w:t>ould result in an unreasonable risk of danger to public safety.”  (</w:t>
      </w:r>
      <w:r w:rsidRPr="1D34F75E">
        <w:rPr>
          <w:i/>
          <w:iCs/>
        </w:rPr>
        <w:t>Id.</w:t>
      </w:r>
      <w:r>
        <w:t>, subd</w:t>
      </w:r>
      <w:proofErr w:type="gramStart"/>
      <w:r>
        <w:t>. </w:t>
      </w:r>
      <w:proofErr w:type="gramEnd"/>
      <w:r>
        <w:t xml:space="preserve">(b)(3).)  Defendant, </w:t>
      </w:r>
      <w:r>
        <w:t>on the other hand</w:t>
      </w:r>
      <w:r>
        <w:t xml:space="preserve">, argues </w:t>
      </w:r>
      <w:r>
        <w:t xml:space="preserve">that </w:t>
      </w:r>
      <w:r>
        <w:t xml:space="preserve">the reviewing court should reduce her offense to a misdemeanor and remand the case for resentencing without the </w:t>
      </w:r>
      <w:r>
        <w:t xml:space="preserve">statutory </w:t>
      </w:r>
      <w:r>
        <w:t>risk</w:t>
      </w:r>
      <w:r>
        <w:t xml:space="preserve"> assessment.  </w:t>
      </w:r>
    </w:p>
    <w:p w:rsidR="00F36A7C" w:rsidRDefault="000C45F6" w:rsidP="003E3FB3">
      <w:pPr>
        <w:pStyle w:val="Text"/>
      </w:pPr>
      <w:r>
        <w:t xml:space="preserve">Defendant’s </w:t>
      </w:r>
      <w:r>
        <w:t xml:space="preserve">argument relies on the </w:t>
      </w:r>
      <w:r>
        <w:t xml:space="preserve">principle </w:t>
      </w:r>
      <w:r>
        <w:t xml:space="preserve">articulated in </w:t>
      </w:r>
      <w:r w:rsidRPr="1D34F75E">
        <w:rPr>
          <w:i/>
          <w:iCs/>
        </w:rPr>
        <w:t>In re Estrada</w:t>
      </w:r>
      <w:r>
        <w:t xml:space="preserve"> (1965) 63 Cal.2d 740 (</w:t>
      </w:r>
      <w:r w:rsidRPr="1D34F75E">
        <w:rPr>
          <w:i/>
          <w:iCs/>
        </w:rPr>
        <w:t>Estrada</w:t>
      </w:r>
      <w:r>
        <w:t>):  “[A]n amendatory statute lessening punishment is presumed to apply in all cases not yet reduced to final judgment as of the amendatory</w:t>
      </w:r>
      <w:r>
        <w:t xml:space="preserve"> statute’s effective date” (</w:t>
      </w:r>
      <w:r w:rsidRPr="1D34F75E">
        <w:rPr>
          <w:i/>
          <w:iCs/>
        </w:rPr>
        <w:t xml:space="preserve">People v. Floyd </w:t>
      </w:r>
      <w:r>
        <w:t xml:space="preserve">(2003) 31 Cal.4th 179, 184, citing </w:t>
      </w:r>
      <w:r w:rsidRPr="1D34F75E">
        <w:rPr>
          <w:i/>
          <w:iCs/>
        </w:rPr>
        <w:t>Estrada</w:t>
      </w:r>
      <w:r>
        <w:t>, at p.</w:t>
      </w:r>
      <w:r>
        <w:t> </w:t>
      </w:r>
      <w:r>
        <w:t>744), unless the enacting body “clearly signals its intent to make the amendment prospective, by the inclusion of either an express saving clause or its equivalen</w:t>
      </w:r>
      <w:r>
        <w:t>t” (</w:t>
      </w:r>
      <w:r w:rsidRPr="1D34F75E">
        <w:rPr>
          <w:i/>
          <w:iCs/>
        </w:rPr>
        <w:t xml:space="preserve">People v. </w:t>
      </w:r>
      <w:proofErr w:type="spellStart"/>
      <w:r w:rsidRPr="1D34F75E">
        <w:rPr>
          <w:i/>
          <w:iCs/>
        </w:rPr>
        <w:t>Nasalga</w:t>
      </w:r>
      <w:proofErr w:type="spellEnd"/>
      <w:r w:rsidRPr="1D34F75E">
        <w:rPr>
          <w:i/>
          <w:iCs/>
        </w:rPr>
        <w:t xml:space="preserve"> </w:t>
      </w:r>
      <w:r>
        <w:t>(1996) 12 Cal.4th 784, 793</w:t>
      </w:r>
      <w:r>
        <w:t>; see</w:t>
      </w:r>
      <w:r>
        <w:t xml:space="preserve"> </w:t>
      </w:r>
      <w:r w:rsidRPr="1D34F75E">
        <w:rPr>
          <w:i/>
          <w:iCs/>
        </w:rPr>
        <w:t>Estrada</w:t>
      </w:r>
      <w:r>
        <w:t>, at p.</w:t>
      </w:r>
      <w:r>
        <w:t> </w:t>
      </w:r>
      <w:r>
        <w:t>747)</w:t>
      </w:r>
      <w:r>
        <w:t>.</w:t>
      </w:r>
      <w:r>
        <w:t xml:space="preserve">  </w:t>
      </w:r>
      <w:r>
        <w:t xml:space="preserve">This rule rests on an </w:t>
      </w:r>
      <w:r>
        <w:t xml:space="preserve">inference </w:t>
      </w:r>
      <w:r>
        <w:t>that when the Legislature has reduced the punishment for an offense, it has determined the “former penalty was too severe” (</w:t>
      </w:r>
      <w:r w:rsidRPr="1D34F75E">
        <w:rPr>
          <w:i/>
          <w:iCs/>
        </w:rPr>
        <w:t>Estrada</w:t>
      </w:r>
      <w:r>
        <w:t xml:space="preserve">, at p. 745) and </w:t>
      </w:r>
      <w:r>
        <w:t xml:space="preserve">therefore “must have intended that the new statute imposing the new lighter </w:t>
      </w:r>
      <w:proofErr w:type="gramStart"/>
      <w:r>
        <w:t>penalty .</w:t>
      </w:r>
      <w:proofErr w:type="gramEnd"/>
      <w:r>
        <w:t> . . should apply to every case to which it constitutionally could apply” (</w:t>
      </w:r>
      <w:r w:rsidRPr="1D34F75E">
        <w:rPr>
          <w:i/>
          <w:iCs/>
        </w:rPr>
        <w:t>ibid.</w:t>
      </w:r>
      <w:r>
        <w:t xml:space="preserve">).  </w:t>
      </w:r>
      <w:r w:rsidRPr="1D34F75E">
        <w:rPr>
          <w:i/>
          <w:iCs/>
        </w:rPr>
        <w:t>Estrada</w:t>
      </w:r>
      <w:r>
        <w:t xml:space="preserve"> </w:t>
      </w:r>
      <w:r>
        <w:t xml:space="preserve">itself </w:t>
      </w:r>
      <w:r>
        <w:t>involved an offense committed before, and tried to conviction after, the</w:t>
      </w:r>
      <w:r>
        <w:t xml:space="preserve"> ameliorative statute took effect.  (</w:t>
      </w:r>
      <w:r w:rsidRPr="1D34F75E">
        <w:rPr>
          <w:i/>
          <w:iCs/>
        </w:rPr>
        <w:t>Id.</w:t>
      </w:r>
      <w:r>
        <w:t>, at p</w:t>
      </w:r>
      <w:r>
        <w:t>p</w:t>
      </w:r>
      <w:r>
        <w:t>. 743</w:t>
      </w:r>
      <w:r>
        <w:t>–744</w:t>
      </w:r>
      <w:r>
        <w:t xml:space="preserve">.)  In a companion case to </w:t>
      </w:r>
      <w:r w:rsidRPr="1D34F75E">
        <w:rPr>
          <w:i/>
          <w:iCs/>
        </w:rPr>
        <w:t>Estrada</w:t>
      </w:r>
      <w:r>
        <w:t xml:space="preserve">, we held the same presumption </w:t>
      </w:r>
      <w:r>
        <w:lastRenderedPageBreak/>
        <w:t xml:space="preserve">governed </w:t>
      </w:r>
      <w:r>
        <w:t xml:space="preserve">in </w:t>
      </w:r>
      <w:r>
        <w:t>a case in which the new statute had taken effect while a criminal conviction was pending on appeal.  (</w:t>
      </w:r>
      <w:r w:rsidRPr="1D34F75E">
        <w:rPr>
          <w:i/>
          <w:iCs/>
        </w:rPr>
        <w:t>In re Kirk</w:t>
      </w:r>
      <w:r>
        <w:t xml:space="preserve"> (1965) 63 </w:t>
      </w:r>
      <w:r>
        <w:t xml:space="preserve">Cal.2d 761, 762–763.)  </w:t>
      </w:r>
    </w:p>
    <w:p w:rsidR="000A0D64" w:rsidRDefault="000C45F6" w:rsidP="00C4351D">
      <w:pPr>
        <w:pStyle w:val="Text"/>
      </w:pPr>
      <w:r>
        <w:t xml:space="preserve">In the decades since </w:t>
      </w:r>
      <w:r w:rsidRPr="1D34F75E">
        <w:rPr>
          <w:i/>
          <w:iCs/>
        </w:rPr>
        <w:t>Estrada</w:t>
      </w:r>
      <w:r>
        <w:t xml:space="preserve"> </w:t>
      </w:r>
      <w:proofErr w:type="gramStart"/>
      <w:r>
        <w:t>was decided</w:t>
      </w:r>
      <w:proofErr w:type="gramEnd"/>
      <w:r>
        <w:t>, we have</w:t>
      </w:r>
      <w:r>
        <w:t xml:space="preserve"> clarified </w:t>
      </w:r>
      <w:r>
        <w:t>that the absence of a</w:t>
      </w:r>
      <w:r>
        <w:t xml:space="preserve">n express savings clause does not necessarily </w:t>
      </w:r>
      <w:r>
        <w:t xml:space="preserve">resolve </w:t>
      </w:r>
      <w:r>
        <w:t xml:space="preserve">the question whether </w:t>
      </w:r>
      <w:r>
        <w:t xml:space="preserve">a </w:t>
      </w:r>
      <w:r>
        <w:t>lawmaking</w:t>
      </w:r>
      <w:r>
        <w:t xml:space="preserve"> body intended </w:t>
      </w:r>
      <w:r>
        <w:t xml:space="preserve">a </w:t>
      </w:r>
      <w:r>
        <w:t xml:space="preserve">statute </w:t>
      </w:r>
      <w:r>
        <w:t>reducing punishment to apply retrospecti</w:t>
      </w:r>
      <w:r>
        <w:t>vely.  “[W]</w:t>
      </w:r>
      <w:proofErr w:type="spellStart"/>
      <w:r>
        <w:t>hile</w:t>
      </w:r>
      <w:proofErr w:type="spellEnd"/>
      <w:r>
        <w:t xml:space="preserve"> such express statements unquestionably suffice to override the </w:t>
      </w:r>
      <w:r w:rsidRPr="1D34F75E">
        <w:rPr>
          <w:i/>
          <w:iCs/>
        </w:rPr>
        <w:t xml:space="preserve">Estrada </w:t>
      </w:r>
      <w:r>
        <w:t>presumption,</w:t>
      </w:r>
      <w:r>
        <w:t>” we have explained, “</w:t>
      </w:r>
      <w:r>
        <w:t xml:space="preserve">the ‘absence of an express saving </w:t>
      </w:r>
      <w:proofErr w:type="gramStart"/>
      <w:r>
        <w:t>clause .</w:t>
      </w:r>
      <w:proofErr w:type="gramEnd"/>
      <w:r>
        <w:t> . . does not end “our quest for legislative intent.</w:t>
      </w:r>
      <w:proofErr w:type="gramStart"/>
      <w:r>
        <w:t>” ’</w:t>
      </w:r>
      <w:proofErr w:type="gramEnd"/>
      <w:r>
        <w:t> ”  (</w:t>
      </w:r>
      <w:r w:rsidRPr="1D34F75E">
        <w:rPr>
          <w:i/>
          <w:iCs/>
        </w:rPr>
        <w:t>People v. Conley</w:t>
      </w:r>
      <w:r>
        <w:t xml:space="preserve"> (2016) 63 Cal.4t</w:t>
      </w:r>
      <w:r>
        <w:t>h 646, 656 (</w:t>
      </w:r>
      <w:r w:rsidRPr="1D34F75E">
        <w:rPr>
          <w:i/>
          <w:iCs/>
        </w:rPr>
        <w:t>Conley</w:t>
      </w:r>
      <w:r>
        <w:t xml:space="preserve">), quoting </w:t>
      </w:r>
      <w:r w:rsidRPr="1D34F75E">
        <w:rPr>
          <w:i/>
          <w:iCs/>
        </w:rPr>
        <w:t xml:space="preserve">People v. </w:t>
      </w:r>
      <w:proofErr w:type="spellStart"/>
      <w:r w:rsidRPr="1D34F75E">
        <w:rPr>
          <w:i/>
          <w:iCs/>
        </w:rPr>
        <w:t>Nasalga</w:t>
      </w:r>
      <w:proofErr w:type="spellEnd"/>
      <w:r>
        <w:t xml:space="preserve">, </w:t>
      </w:r>
      <w:r w:rsidRPr="1D34F75E">
        <w:rPr>
          <w:i/>
          <w:iCs/>
        </w:rPr>
        <w:t>supra</w:t>
      </w:r>
      <w:r>
        <w:t xml:space="preserve">, 12 Cal.4th at p. 793, quoting </w:t>
      </w:r>
      <w:proofErr w:type="gramStart"/>
      <w:r w:rsidRPr="1D34F75E">
        <w:rPr>
          <w:i/>
          <w:iCs/>
        </w:rPr>
        <w:t>In</w:t>
      </w:r>
      <w:proofErr w:type="gramEnd"/>
      <w:r w:rsidRPr="1D34F75E">
        <w:rPr>
          <w:i/>
          <w:iCs/>
        </w:rPr>
        <w:t xml:space="preserve"> re Pedro T.</w:t>
      </w:r>
      <w:r>
        <w:t xml:space="preserve"> (1994) 8 Cal.4th 1041, 1049.)  This is because “[o]</w:t>
      </w:r>
      <w:proofErr w:type="spellStart"/>
      <w:r>
        <w:t>ur</w:t>
      </w:r>
      <w:proofErr w:type="spellEnd"/>
      <w:r>
        <w:t xml:space="preserve"> cases do not ‘dictate to legislative drafters the forms in which laws must be written’ to express an i</w:t>
      </w:r>
      <w:r>
        <w:t xml:space="preserve">ntent to modify or limit the retroactive effect of an ameliorative change; rather, they require ‘that the </w:t>
      </w:r>
      <w:r>
        <w:t xml:space="preserve">[legislative body] </w:t>
      </w:r>
      <w:r>
        <w:t>demonstrate its intention with sufficient clarity that a reviewing court can discern and effectuate it.</w:t>
      </w:r>
      <w:proofErr w:type="gramStart"/>
      <w:r>
        <w:t>’ ”</w:t>
      </w:r>
      <w:proofErr w:type="gramEnd"/>
      <w:r>
        <w:t xml:space="preserve"> </w:t>
      </w:r>
      <w:r>
        <w:t xml:space="preserve"> </w:t>
      </w:r>
      <w:r>
        <w:t>(</w:t>
      </w:r>
      <w:r w:rsidRPr="1D34F75E">
        <w:rPr>
          <w:i/>
          <w:iCs/>
        </w:rPr>
        <w:t>Conley</w:t>
      </w:r>
      <w:r>
        <w:t xml:space="preserve">, </w:t>
      </w:r>
      <w:r w:rsidRPr="1D34F75E">
        <w:rPr>
          <w:i/>
          <w:iCs/>
        </w:rPr>
        <w:t>supra</w:t>
      </w:r>
      <w:r>
        <w:t xml:space="preserve">, 63 Cal.4th at pp. 656–657, quoting </w:t>
      </w:r>
      <w:proofErr w:type="gramStart"/>
      <w:r w:rsidRPr="005659DC">
        <w:rPr>
          <w:i/>
        </w:rPr>
        <w:t>In</w:t>
      </w:r>
      <w:proofErr w:type="gramEnd"/>
      <w:r w:rsidRPr="005659DC">
        <w:rPr>
          <w:i/>
        </w:rPr>
        <w:t xml:space="preserve"> re</w:t>
      </w:r>
      <w:r w:rsidRPr="005659DC">
        <w:rPr>
          <w:i/>
          <w:iCs/>
        </w:rPr>
        <w:t xml:space="preserve"> </w:t>
      </w:r>
      <w:r w:rsidRPr="1D34F75E">
        <w:rPr>
          <w:i/>
          <w:iCs/>
        </w:rPr>
        <w:t>Pedro T.</w:t>
      </w:r>
      <w:r>
        <w:t xml:space="preserve">, </w:t>
      </w:r>
      <w:r w:rsidRPr="1D34F75E">
        <w:rPr>
          <w:i/>
          <w:iCs/>
        </w:rPr>
        <w:t>supra</w:t>
      </w:r>
      <w:r>
        <w:t xml:space="preserve">, 8 Cal.4th at pp. 1048–1049.)  </w:t>
      </w:r>
    </w:p>
    <w:p w:rsidR="00F924E9" w:rsidRDefault="000C45F6" w:rsidP="007F66D5">
      <w:pPr>
        <w:pStyle w:val="Text"/>
      </w:pPr>
      <w:r>
        <w:t xml:space="preserve">Proposition 47 contains no express savings clause.  </w:t>
      </w:r>
      <w:r>
        <w:t xml:space="preserve">It does, however, </w:t>
      </w:r>
      <w:r>
        <w:t xml:space="preserve">address the question of </w:t>
      </w:r>
      <w:r>
        <w:t>retrospective application in conspicuous detail.  Separate provisions a</w:t>
      </w:r>
      <w:r>
        <w:t xml:space="preserve">rticulate the conditions under which the new misdemeanor penalty provisions apply to </w:t>
      </w:r>
      <w:r>
        <w:t xml:space="preserve">completed </w:t>
      </w:r>
      <w:r>
        <w:t xml:space="preserve">sentences (§ 1170.18, </w:t>
      </w:r>
      <w:proofErr w:type="spellStart"/>
      <w:r>
        <w:t>subd</w:t>
      </w:r>
      <w:r>
        <w:t>s</w:t>
      </w:r>
      <w:proofErr w:type="spellEnd"/>
      <w:proofErr w:type="gramStart"/>
      <w:r>
        <w:t xml:space="preserve">. </w:t>
      </w:r>
      <w:proofErr w:type="gramEnd"/>
      <w:r>
        <w:t>(f)–(</w:t>
      </w:r>
      <w:r>
        <w:t>j</w:t>
      </w:r>
      <w:r>
        <w:t>)), sentences still being served (</w:t>
      </w:r>
      <w:r w:rsidRPr="1D34F75E">
        <w:rPr>
          <w:i/>
          <w:iCs/>
        </w:rPr>
        <w:t>id.</w:t>
      </w:r>
      <w:r>
        <w:t xml:space="preserve">, </w:t>
      </w:r>
      <w:proofErr w:type="spellStart"/>
      <w:r>
        <w:t>subds</w:t>
      </w:r>
      <w:proofErr w:type="spellEnd"/>
      <w:proofErr w:type="gramStart"/>
      <w:r>
        <w:t>. </w:t>
      </w:r>
      <w:proofErr w:type="gramEnd"/>
      <w:r>
        <w:t>(a)–(e)), and sentences yet to be imposed (</w:t>
      </w:r>
      <w:r>
        <w:t>Pen</w:t>
      </w:r>
      <w:proofErr w:type="gramStart"/>
      <w:r>
        <w:t>.</w:t>
      </w:r>
      <w:r>
        <w:t xml:space="preserve"> </w:t>
      </w:r>
      <w:proofErr w:type="gramEnd"/>
      <w:r>
        <w:t xml:space="preserve">Code, </w:t>
      </w:r>
      <w:r>
        <w:t>§§ 459.5, subd</w:t>
      </w:r>
      <w:proofErr w:type="gramStart"/>
      <w:r>
        <w:t xml:space="preserve">. </w:t>
      </w:r>
      <w:proofErr w:type="gramEnd"/>
      <w:r>
        <w:t xml:space="preserve">(a), 473, </w:t>
      </w:r>
      <w:r>
        <w:t>subd</w:t>
      </w:r>
      <w:proofErr w:type="gramStart"/>
      <w:r>
        <w:t>. </w:t>
      </w:r>
      <w:proofErr w:type="gramEnd"/>
      <w:r>
        <w:t>(b), 476a, subd</w:t>
      </w:r>
      <w:proofErr w:type="gramStart"/>
      <w:r>
        <w:t xml:space="preserve">. </w:t>
      </w:r>
      <w:proofErr w:type="gramEnd"/>
      <w:r>
        <w:t>(b), 490.2, subd</w:t>
      </w:r>
      <w:proofErr w:type="gramStart"/>
      <w:r>
        <w:t>. </w:t>
      </w:r>
      <w:proofErr w:type="gramEnd"/>
      <w:r>
        <w:t>(a), 496, subd</w:t>
      </w:r>
      <w:proofErr w:type="gramStart"/>
      <w:r>
        <w:t>. </w:t>
      </w:r>
      <w:proofErr w:type="gramEnd"/>
      <w:r>
        <w:t>(a), 666, subd</w:t>
      </w:r>
      <w:proofErr w:type="gramStart"/>
      <w:r>
        <w:t xml:space="preserve">. </w:t>
      </w:r>
      <w:proofErr w:type="gramEnd"/>
      <w:r>
        <w:t xml:space="preserve">(a); Health &amp; </w:t>
      </w:r>
      <w:proofErr w:type="spellStart"/>
      <w:r>
        <w:t>Saf</w:t>
      </w:r>
      <w:proofErr w:type="spellEnd"/>
      <w:proofErr w:type="gramStart"/>
      <w:r>
        <w:t xml:space="preserve">. </w:t>
      </w:r>
      <w:proofErr w:type="gramEnd"/>
      <w:r>
        <w:t>Code, §§ 11350, subd</w:t>
      </w:r>
      <w:proofErr w:type="gramStart"/>
      <w:r>
        <w:t>. </w:t>
      </w:r>
      <w:proofErr w:type="gramEnd"/>
      <w:r>
        <w:t>(a), 11377, subd</w:t>
      </w:r>
      <w:proofErr w:type="gramStart"/>
      <w:r>
        <w:t>. </w:t>
      </w:r>
      <w:proofErr w:type="gramEnd"/>
      <w:r>
        <w:t>(a))</w:t>
      </w:r>
      <w:r>
        <w:t>.</w:t>
      </w:r>
      <w:r>
        <w:t xml:space="preserve">  The question </w:t>
      </w:r>
      <w:r>
        <w:t xml:space="preserve">is whether these provisions </w:t>
      </w:r>
      <w:r>
        <w:t>sufficiently demonstrate the electorate’</w:t>
      </w:r>
      <w:r>
        <w:t>s intent</w:t>
      </w:r>
      <w:r>
        <w:t xml:space="preserve"> concerning whether defendan</w:t>
      </w:r>
      <w:r>
        <w:t xml:space="preserve">ts who were sentenced before Proposition 47’s effective date, but whose judgments were not yet final, </w:t>
      </w:r>
      <w:r>
        <w:t xml:space="preserve">are </w:t>
      </w:r>
      <w:r>
        <w:t>entitle</w:t>
      </w:r>
      <w:r>
        <w:t xml:space="preserve">d to automatic resentencing, or must instead petition for resentencing </w:t>
      </w:r>
      <w:r>
        <w:t xml:space="preserve">under </w:t>
      </w:r>
      <w:r>
        <w:t>section 1170.18.</w:t>
      </w:r>
    </w:p>
    <w:p w:rsidR="006F21BD" w:rsidRDefault="000C45F6" w:rsidP="00151DEA">
      <w:pPr>
        <w:pStyle w:val="Text"/>
      </w:pPr>
      <w:r>
        <w:lastRenderedPageBreak/>
        <w:t xml:space="preserve">We </w:t>
      </w:r>
      <w:r>
        <w:t xml:space="preserve">considered </w:t>
      </w:r>
      <w:r>
        <w:t xml:space="preserve">a similar question in </w:t>
      </w:r>
      <w:r w:rsidRPr="003822D9">
        <w:rPr>
          <w:i/>
          <w:iCs/>
        </w:rPr>
        <w:t>Conley</w:t>
      </w:r>
      <w:r w:rsidRPr="003822D9">
        <w:t xml:space="preserve">, </w:t>
      </w:r>
      <w:r w:rsidRPr="003822D9">
        <w:rPr>
          <w:i/>
          <w:iCs/>
        </w:rPr>
        <w:t>supra</w:t>
      </w:r>
      <w:r w:rsidRPr="003822D9">
        <w:t>, 63 Cal.4th 646.</w:t>
      </w:r>
      <w:r>
        <w:t xml:space="preserve">  </w:t>
      </w:r>
      <w:r>
        <w:t>That</w:t>
      </w:r>
      <w:r>
        <w:t xml:space="preserve"> case</w:t>
      </w:r>
      <w:r>
        <w:t xml:space="preserve"> concerned the Three Strikes Reform Act </w:t>
      </w:r>
      <w:r>
        <w:t xml:space="preserve">of 2012 </w:t>
      </w:r>
      <w:r>
        <w:t>(Prop</w:t>
      </w:r>
      <w:proofErr w:type="gramStart"/>
      <w:r>
        <w:t xml:space="preserve">. </w:t>
      </w:r>
      <w:proofErr w:type="gramEnd"/>
      <w:r>
        <w:t>36, as approved by voters, Gen. Elec. (Nov. 6, 2012)</w:t>
      </w:r>
      <w:r>
        <w:t>; hereafter Reform Act</w:t>
      </w:r>
      <w:r>
        <w:t xml:space="preserve">), which prospectively ameliorated sentencing under the </w:t>
      </w:r>
      <w:r>
        <w:t xml:space="preserve">statutes </w:t>
      </w:r>
      <w:r>
        <w:t xml:space="preserve">collectively </w:t>
      </w:r>
      <w:r>
        <w:t>known as</w:t>
      </w:r>
      <w:r>
        <w:t xml:space="preserve"> the </w:t>
      </w:r>
      <w:r>
        <w:t>“</w:t>
      </w:r>
      <w:r>
        <w:t xml:space="preserve">Three </w:t>
      </w:r>
      <w:r>
        <w:t>Strikes</w:t>
      </w:r>
      <w:r>
        <w:t>”</w:t>
      </w:r>
      <w:r>
        <w:t xml:space="preserve"> law.</w:t>
      </w:r>
      <w:r>
        <w:t xml:space="preserve">  </w:t>
      </w:r>
      <w:r>
        <w:t>(</w:t>
      </w:r>
      <w:r>
        <w:t>Pen</w:t>
      </w:r>
      <w:proofErr w:type="gramStart"/>
      <w:r>
        <w:t xml:space="preserve">. </w:t>
      </w:r>
      <w:proofErr w:type="gramEnd"/>
      <w:r>
        <w:t xml:space="preserve">Code, </w:t>
      </w:r>
      <w:r>
        <w:t xml:space="preserve">§§ 667, </w:t>
      </w:r>
      <w:proofErr w:type="spellStart"/>
      <w:r>
        <w:t>subds</w:t>
      </w:r>
      <w:proofErr w:type="spellEnd"/>
      <w:proofErr w:type="gramStart"/>
      <w:r>
        <w:t xml:space="preserve">. </w:t>
      </w:r>
      <w:proofErr w:type="gramEnd"/>
      <w:r>
        <w:t xml:space="preserve">(b)–(j), 1170.12.)  </w:t>
      </w:r>
      <w:r>
        <w:t>The Reform Act</w:t>
      </w:r>
      <w:r>
        <w:t xml:space="preserve"> also offered a possibility of resentencing to third strike prisoners </w:t>
      </w:r>
      <w:r>
        <w:t xml:space="preserve">who were </w:t>
      </w:r>
      <w:r>
        <w:t xml:space="preserve">currently serving </w:t>
      </w:r>
      <w:r>
        <w:t xml:space="preserve">indeterminate </w:t>
      </w:r>
      <w:r>
        <w:t xml:space="preserve">life terms for offenses that, </w:t>
      </w:r>
      <w:r>
        <w:t xml:space="preserve">if committed after the Act’s effective </w:t>
      </w:r>
      <w:r>
        <w:t xml:space="preserve">date, </w:t>
      </w:r>
      <w:r>
        <w:t xml:space="preserve">would </w:t>
      </w:r>
      <w:r>
        <w:t xml:space="preserve">no longer support life terms.  The </w:t>
      </w:r>
      <w:r>
        <w:t>Act’s</w:t>
      </w:r>
      <w:r>
        <w:t xml:space="preserve"> resentencing provision, </w:t>
      </w:r>
      <w:r>
        <w:t xml:space="preserve">Penal Code </w:t>
      </w:r>
      <w:r>
        <w:t>section 1170.126, permitted “[a]</w:t>
      </w:r>
      <w:proofErr w:type="spellStart"/>
      <w:r>
        <w:t>ny</w:t>
      </w:r>
      <w:proofErr w:type="spellEnd"/>
      <w:r>
        <w:t xml:space="preserve"> person serving an indeterminate term of life </w:t>
      </w:r>
      <w:proofErr w:type="gramStart"/>
      <w:r>
        <w:t>imprisonment .</w:t>
      </w:r>
      <w:proofErr w:type="gramEnd"/>
      <w:r>
        <w:t xml:space="preserve"> . . [to] file a petition for a recall of </w:t>
      </w:r>
      <w:proofErr w:type="gramStart"/>
      <w:r>
        <w:t>sentence .</w:t>
      </w:r>
      <w:proofErr w:type="gramEnd"/>
      <w:r>
        <w:t xml:space="preserve"> . . [and] to request </w:t>
      </w:r>
      <w:r>
        <w:t>resentencing in accordance with” the new, ameliorated penalty provisions.  (</w:t>
      </w:r>
      <w:r w:rsidRPr="1D34F75E">
        <w:rPr>
          <w:i/>
          <w:iCs/>
        </w:rPr>
        <w:t>Id.</w:t>
      </w:r>
      <w:r>
        <w:t>, subd</w:t>
      </w:r>
      <w:proofErr w:type="gramStart"/>
      <w:r>
        <w:t xml:space="preserve">. </w:t>
      </w:r>
      <w:proofErr w:type="gramEnd"/>
      <w:r>
        <w:t>(</w:t>
      </w:r>
      <w:r>
        <w:t>b</w:t>
      </w:r>
      <w:r>
        <w:t xml:space="preserve">).)  This statute, like </w:t>
      </w:r>
      <w:r>
        <w:t>Proposition 47’s resentencing provision (§ </w:t>
      </w:r>
      <w:r>
        <w:t>1170.18</w:t>
      </w:r>
      <w:r>
        <w:t>)</w:t>
      </w:r>
      <w:r>
        <w:t xml:space="preserve">, </w:t>
      </w:r>
      <w:r>
        <w:t xml:space="preserve">also </w:t>
      </w:r>
      <w:r>
        <w:t xml:space="preserve">conditioned relief on the court’s </w:t>
      </w:r>
      <w:r>
        <w:t xml:space="preserve">determination </w:t>
      </w:r>
      <w:r>
        <w:t>whether resentencing “would pose an u</w:t>
      </w:r>
      <w:r>
        <w:t>nreasonable risk of danger to public safety.”  (</w:t>
      </w:r>
      <w:r>
        <w:t>Pen</w:t>
      </w:r>
      <w:proofErr w:type="gramStart"/>
      <w:r>
        <w:t xml:space="preserve">. </w:t>
      </w:r>
      <w:proofErr w:type="gramEnd"/>
      <w:r>
        <w:t xml:space="preserve">Code, </w:t>
      </w:r>
      <w:r>
        <w:t>§ 1170.126, subd</w:t>
      </w:r>
      <w:proofErr w:type="gramStart"/>
      <w:r>
        <w:t>. </w:t>
      </w:r>
      <w:proofErr w:type="gramEnd"/>
      <w:r>
        <w:t>(f).)</w:t>
      </w:r>
      <w:r>
        <w:rPr>
          <w:rStyle w:val="FootnoteReference"/>
        </w:rPr>
        <w:footnoteReference w:id="5"/>
      </w:r>
      <w:r>
        <w:t xml:space="preserve">  </w:t>
      </w:r>
    </w:p>
    <w:p w:rsidR="00442373" w:rsidRDefault="000C45F6" w:rsidP="006318F1">
      <w:pPr>
        <w:pStyle w:val="Text"/>
      </w:pPr>
      <w:r>
        <w:t xml:space="preserve">The issue in </w:t>
      </w:r>
      <w:r w:rsidRPr="1D34F75E">
        <w:rPr>
          <w:i/>
          <w:iCs/>
        </w:rPr>
        <w:t>Conley</w:t>
      </w:r>
      <w:r>
        <w:t xml:space="preserve">, </w:t>
      </w:r>
      <w:r w:rsidRPr="1D34F75E">
        <w:rPr>
          <w:i/>
          <w:iCs/>
        </w:rPr>
        <w:t>supra</w:t>
      </w:r>
      <w:r>
        <w:t xml:space="preserve">, 63 Cal.4th 646, was whether </w:t>
      </w:r>
      <w:r>
        <w:t xml:space="preserve">life </w:t>
      </w:r>
      <w:r>
        <w:t>prisoners whose judgments were not final on the Reform Act’s effective date could obtain relief only under th</w:t>
      </w:r>
      <w:r>
        <w:t>e Act’s resentencing provision (</w:t>
      </w:r>
      <w:r>
        <w:t>Pen</w:t>
      </w:r>
      <w:proofErr w:type="gramStart"/>
      <w:r>
        <w:t xml:space="preserve">. </w:t>
      </w:r>
      <w:proofErr w:type="gramEnd"/>
      <w:r>
        <w:t xml:space="preserve">Code, </w:t>
      </w:r>
      <w:r>
        <w:t xml:space="preserve">§ 1170.126), or whether they </w:t>
      </w:r>
      <w:proofErr w:type="gramStart"/>
      <w:r>
        <w:t>were entitled</w:t>
      </w:r>
      <w:proofErr w:type="gramEnd"/>
      <w:r>
        <w:t xml:space="preserve"> to be resentenced automatically because of the </w:t>
      </w:r>
      <w:r>
        <w:rPr>
          <w:i/>
        </w:rPr>
        <w:t>Estrada</w:t>
      </w:r>
      <w:r>
        <w:t xml:space="preserve"> </w:t>
      </w:r>
      <w:r>
        <w:t xml:space="preserve">presumption that laws ameliorating punishment apply to nonfinal sentences.  </w:t>
      </w:r>
      <w:r>
        <w:t>We concluded that the resentencing prov</w:t>
      </w:r>
      <w:r>
        <w:t xml:space="preserve">ision was the exclusive avenue </w:t>
      </w:r>
      <w:r>
        <w:t xml:space="preserve">for </w:t>
      </w:r>
      <w:r>
        <w:t xml:space="preserve">resentencing of persons who </w:t>
      </w:r>
      <w:r>
        <w:t xml:space="preserve">had been sentenced before Proposition 36’s </w:t>
      </w:r>
      <w:r>
        <w:t>effective date</w:t>
      </w:r>
      <w:r>
        <w:t>.</w:t>
      </w:r>
      <w:r>
        <w:t xml:space="preserve">  </w:t>
      </w:r>
      <w:r>
        <w:t>Three</w:t>
      </w:r>
      <w:r>
        <w:t xml:space="preserve"> </w:t>
      </w:r>
      <w:r>
        <w:t xml:space="preserve">considerations </w:t>
      </w:r>
      <w:r>
        <w:t>led us to this conclusion.</w:t>
      </w:r>
    </w:p>
    <w:p w:rsidR="00B12F02" w:rsidRDefault="000C45F6" w:rsidP="00C97CC4">
      <w:pPr>
        <w:pStyle w:val="Text"/>
      </w:pPr>
      <w:r>
        <w:lastRenderedPageBreak/>
        <w:t>First, we explained, “</w:t>
      </w:r>
      <w:r>
        <w:t xml:space="preserve">unlike the statute at issue in </w:t>
      </w:r>
      <w:r>
        <w:rPr>
          <w:i/>
        </w:rPr>
        <w:t>Estrada</w:t>
      </w:r>
      <w:r>
        <w:t xml:space="preserve">, </w:t>
      </w:r>
      <w:r>
        <w:rPr>
          <w:i/>
        </w:rPr>
        <w:t>supra</w:t>
      </w:r>
      <w:r>
        <w:t xml:space="preserve">, 63 Cal.2d 740, </w:t>
      </w:r>
      <w:r>
        <w:t>the Reform Act [was] not silent on the question of retroactivity.  Rather,</w:t>
      </w:r>
      <w:r>
        <w:t xml:space="preserve"> </w:t>
      </w:r>
      <w:r>
        <w:t>the Act expressl</w:t>
      </w:r>
      <w:r>
        <w:t xml:space="preserve">y </w:t>
      </w:r>
      <w:proofErr w:type="spellStart"/>
      <w:r>
        <w:t>addresse</w:t>
      </w:r>
      <w:proofErr w:type="spellEnd"/>
      <w:r>
        <w:t>[d] the question in [its</w:t>
      </w:r>
      <w:r>
        <w:t xml:space="preserve"> resentencing provision], the sole purpose of which is to extend the benefits of the Act retroactively.”  (</w:t>
      </w:r>
      <w:r>
        <w:rPr>
          <w:i/>
        </w:rPr>
        <w:t>Conley</w:t>
      </w:r>
      <w:r>
        <w:t xml:space="preserve">, </w:t>
      </w:r>
      <w:r>
        <w:rPr>
          <w:i/>
        </w:rPr>
        <w:t>supra</w:t>
      </w:r>
      <w:r>
        <w:t>, 63 Cal.4t</w:t>
      </w:r>
      <w:r>
        <w:t xml:space="preserve">h </w:t>
      </w:r>
      <w:r>
        <w:t>at p. </w:t>
      </w:r>
      <w:r>
        <w:t>657; see</w:t>
      </w:r>
      <w:r>
        <w:t xml:space="preserve"> Pen</w:t>
      </w:r>
      <w:proofErr w:type="gramStart"/>
      <w:r>
        <w:t xml:space="preserve">. </w:t>
      </w:r>
      <w:proofErr w:type="gramEnd"/>
      <w:r>
        <w:t>Code,</w:t>
      </w:r>
      <w:r>
        <w:t xml:space="preserve"> § 1170.126.)  </w:t>
      </w:r>
      <w:r>
        <w:t xml:space="preserve">That provision, </w:t>
      </w:r>
      <w:r>
        <w:t xml:space="preserve">we noted, </w:t>
      </w:r>
      <w:r>
        <w:t>“</w:t>
      </w:r>
      <w:proofErr w:type="spellStart"/>
      <w:r>
        <w:t>dr</w:t>
      </w:r>
      <w:proofErr w:type="spellEnd"/>
      <w:r>
        <w:t>[</w:t>
      </w:r>
      <w:proofErr w:type="spellStart"/>
      <w:r>
        <w:t>ew</w:t>
      </w:r>
      <w:proofErr w:type="spellEnd"/>
      <w:r>
        <w:t xml:space="preserve">] no distinction between persons serving final sentences and those serving nonfinal sentences, entitling both categories of prisoners to petition courts for recall of sentence under </w:t>
      </w:r>
      <w:r>
        <w:t>the Act.”  (</w:t>
      </w:r>
      <w:r>
        <w:rPr>
          <w:i/>
        </w:rPr>
        <w:t>Conley</w:t>
      </w:r>
      <w:r>
        <w:t xml:space="preserve">, </w:t>
      </w:r>
      <w:r>
        <w:rPr>
          <w:i/>
        </w:rPr>
        <w:t>supra</w:t>
      </w:r>
      <w:r>
        <w:t>, at p. 657.)</w:t>
      </w:r>
      <w:r>
        <w:t xml:space="preserve">  Moreover</w:t>
      </w:r>
      <w:r>
        <w:t>, we explained, “</w:t>
      </w:r>
      <w:r>
        <w:t>t</w:t>
      </w:r>
      <w:r>
        <w:t>he nature of the [Reform Act’s] recall mechanism and the substantive limitations it contains call[</w:t>
      </w:r>
      <w:proofErr w:type="spellStart"/>
      <w:r>
        <w:t>ed</w:t>
      </w:r>
      <w:proofErr w:type="spellEnd"/>
      <w:r>
        <w:t xml:space="preserve">] into question the central premise underlying the </w:t>
      </w:r>
      <w:r w:rsidRPr="1D34F75E">
        <w:rPr>
          <w:i/>
          <w:iCs/>
        </w:rPr>
        <w:t>Estrada</w:t>
      </w:r>
      <w:r>
        <w:t xml:space="preserve"> presumption,” namely, that the </w:t>
      </w:r>
      <w:r>
        <w:t>lawmaking body had “categorically determined that ‘imposition of a lesser punishment’ will in all cases ‘sufficiently serve the public interest.</w:t>
      </w:r>
      <w:proofErr w:type="gramStart"/>
      <w:r>
        <w:t>’ ”</w:t>
      </w:r>
      <w:proofErr w:type="gramEnd"/>
      <w:r>
        <w:t xml:space="preserve">  (</w:t>
      </w:r>
      <w:r w:rsidRPr="1D34F75E">
        <w:rPr>
          <w:i/>
          <w:iCs/>
        </w:rPr>
        <w:t>Conley</w:t>
      </w:r>
      <w:r>
        <w:t>, at p.</w:t>
      </w:r>
      <w:r>
        <w:t> </w:t>
      </w:r>
      <w:r>
        <w:t xml:space="preserve">658, quoting </w:t>
      </w:r>
      <w:proofErr w:type="gramStart"/>
      <w:r w:rsidRPr="1D34F75E">
        <w:rPr>
          <w:i/>
          <w:iCs/>
        </w:rPr>
        <w:t>In</w:t>
      </w:r>
      <w:proofErr w:type="gramEnd"/>
      <w:r w:rsidRPr="1D34F75E">
        <w:rPr>
          <w:i/>
          <w:iCs/>
        </w:rPr>
        <w:t xml:space="preserve"> re Pedro T.</w:t>
      </w:r>
      <w:r>
        <w:t xml:space="preserve">, </w:t>
      </w:r>
      <w:r w:rsidRPr="1D34F75E">
        <w:rPr>
          <w:i/>
          <w:iCs/>
        </w:rPr>
        <w:t>supra</w:t>
      </w:r>
      <w:r>
        <w:t xml:space="preserve">, 8 Cal.4th at p. 1045.)  </w:t>
      </w:r>
      <w:r>
        <w:t>We emphasized that, i</w:t>
      </w:r>
      <w:r>
        <w:t>nstead of m</w:t>
      </w:r>
      <w:r>
        <w:t xml:space="preserve">andating lesser punishment in all cases, voters </w:t>
      </w:r>
      <w:r>
        <w:t xml:space="preserve">had </w:t>
      </w:r>
      <w:r>
        <w:t xml:space="preserve">conditioned relief on a judicial assessment of the risk </w:t>
      </w:r>
      <w:r>
        <w:t xml:space="preserve">that resentencing </w:t>
      </w:r>
      <w:r>
        <w:t xml:space="preserve">would pose to </w:t>
      </w:r>
      <w:r>
        <w:t>public safety.  (</w:t>
      </w:r>
      <w:r>
        <w:t>Pen</w:t>
      </w:r>
      <w:proofErr w:type="gramStart"/>
      <w:r>
        <w:t xml:space="preserve">. </w:t>
      </w:r>
      <w:proofErr w:type="gramEnd"/>
      <w:r>
        <w:t xml:space="preserve">Code, </w:t>
      </w:r>
      <w:r>
        <w:t>§ 1170.126, subd</w:t>
      </w:r>
      <w:proofErr w:type="gramStart"/>
      <w:r>
        <w:t>.</w:t>
      </w:r>
      <w:r>
        <w:t> </w:t>
      </w:r>
      <w:proofErr w:type="gramEnd"/>
      <w:r>
        <w:t>(f)</w:t>
      </w:r>
      <w:r>
        <w:t xml:space="preserve">; see </w:t>
      </w:r>
      <w:r>
        <w:rPr>
          <w:i/>
        </w:rPr>
        <w:t>Conley</w:t>
      </w:r>
      <w:r>
        <w:t>, at p. 658</w:t>
      </w:r>
      <w:r>
        <w:t xml:space="preserve">.)  Finally, we </w:t>
      </w:r>
      <w:r>
        <w:t>noted</w:t>
      </w:r>
      <w:r>
        <w:t xml:space="preserve">, </w:t>
      </w:r>
      <w:r>
        <w:t xml:space="preserve">our understanding of the </w:t>
      </w:r>
      <w:r>
        <w:t xml:space="preserve">recall mechanism </w:t>
      </w:r>
      <w:r>
        <w:t xml:space="preserve">was reinforced by consideration of the remainder of the </w:t>
      </w:r>
      <w:r>
        <w:t xml:space="preserve">statutory scheme.  We noted </w:t>
      </w:r>
      <w:r>
        <w:t>the sentencing provisions of the Reform Act had established a n</w:t>
      </w:r>
      <w:r>
        <w:t>ew set of factors</w:t>
      </w:r>
      <w:r>
        <w:t xml:space="preserve"> related to </w:t>
      </w:r>
      <w:r>
        <w:t>the nature of the defendant’</w:t>
      </w:r>
      <w:r>
        <w:t xml:space="preserve">s </w:t>
      </w:r>
      <w:r>
        <w:t xml:space="preserve">current </w:t>
      </w:r>
      <w:r>
        <w:t xml:space="preserve">offense that must be </w:t>
      </w:r>
      <w:proofErr w:type="gramStart"/>
      <w:r>
        <w:t>“</w:t>
      </w:r>
      <w:r>
        <w:t> ‘</w:t>
      </w:r>
      <w:proofErr w:type="gramEnd"/>
      <w:r>
        <w:t>plead</w:t>
      </w:r>
      <w:r>
        <w:t>[</w:t>
      </w:r>
      <w:proofErr w:type="spellStart"/>
      <w:r>
        <w:t>ed</w:t>
      </w:r>
      <w:proofErr w:type="spellEnd"/>
      <w:r>
        <w:t>]</w:t>
      </w:r>
      <w:r>
        <w:t xml:space="preserve"> and </w:t>
      </w:r>
      <w:proofErr w:type="spellStart"/>
      <w:r>
        <w:t>prov</w:t>
      </w:r>
      <w:proofErr w:type="spellEnd"/>
      <w:r>
        <w:t>[</w:t>
      </w:r>
      <w:proofErr w:type="spellStart"/>
      <w:r>
        <w:t>ed</w:t>
      </w:r>
      <w:proofErr w:type="spellEnd"/>
      <w:r>
        <w:t>]’</w:t>
      </w:r>
      <w:r>
        <w:t xml:space="preserve"> by the prosecution.”  </w:t>
      </w:r>
      <w:r>
        <w:t>(</w:t>
      </w:r>
      <w:r w:rsidRPr="00970303">
        <w:rPr>
          <w:i/>
        </w:rPr>
        <w:t>Conley</w:t>
      </w:r>
      <w:r>
        <w:t>, at p. 659, quoting Pen</w:t>
      </w:r>
      <w:proofErr w:type="gramStart"/>
      <w:r>
        <w:t xml:space="preserve">. </w:t>
      </w:r>
      <w:proofErr w:type="gramEnd"/>
      <w:r>
        <w:t>Code, § 1170.12, subd</w:t>
      </w:r>
      <w:proofErr w:type="gramStart"/>
      <w:r>
        <w:t xml:space="preserve">. </w:t>
      </w:r>
      <w:proofErr w:type="gramEnd"/>
      <w:r>
        <w:t xml:space="preserve">(c)(2)(C).)  </w:t>
      </w:r>
      <w:r>
        <w:t xml:space="preserve">The Reform Act did not, however, specify how that </w:t>
      </w:r>
      <w:r>
        <w:t xml:space="preserve">requirement was to </w:t>
      </w:r>
      <w:proofErr w:type="gramStart"/>
      <w:r>
        <w:t>be satisfied</w:t>
      </w:r>
      <w:proofErr w:type="gramEnd"/>
      <w:r>
        <w:t xml:space="preserve"> in the case of a defendant who had </w:t>
      </w:r>
      <w:r>
        <w:t xml:space="preserve">already been sentenced.  </w:t>
      </w:r>
      <w:r>
        <w:t xml:space="preserve">This omission, we concluded, </w:t>
      </w:r>
      <w:r>
        <w:t xml:space="preserve">reinforced the conclusion that voters </w:t>
      </w:r>
      <w:r>
        <w:t>had not c</w:t>
      </w:r>
      <w:r>
        <w:t xml:space="preserve">ontemplated that previously sentenced defendants </w:t>
      </w:r>
      <w:r>
        <w:t>would be rese</w:t>
      </w:r>
      <w:r>
        <w:t xml:space="preserve">ntenced automatically under these new sentencing procedures, </w:t>
      </w:r>
      <w:r>
        <w:t>but instead contemplated that su</w:t>
      </w:r>
      <w:r>
        <w:t xml:space="preserve">ch defendants would seek </w:t>
      </w:r>
      <w:r>
        <w:t xml:space="preserve">relief under the Reform Act’s </w:t>
      </w:r>
      <w:r>
        <w:lastRenderedPageBreak/>
        <w:t>resentencing provision</w:t>
      </w:r>
      <w:r>
        <w:t xml:space="preserve">, which contained no comparable pleading-and-proof </w:t>
      </w:r>
      <w:r>
        <w:t>requirement</w:t>
      </w:r>
      <w:r>
        <w:t>s</w:t>
      </w:r>
      <w:r>
        <w:t>.</w:t>
      </w:r>
      <w:r>
        <w:t xml:space="preserve">  </w:t>
      </w:r>
      <w:r>
        <w:t>(</w:t>
      </w:r>
      <w:r>
        <w:rPr>
          <w:i/>
        </w:rPr>
        <w:t>Conley</w:t>
      </w:r>
      <w:r>
        <w:t xml:space="preserve">, at </w:t>
      </w:r>
      <w:r>
        <w:t>p</w:t>
      </w:r>
      <w:r>
        <w:t xml:space="preserve">p. 660–661.)  </w:t>
      </w:r>
    </w:p>
    <w:p w:rsidR="00B02B03" w:rsidRDefault="000C45F6" w:rsidP="00E87904">
      <w:pPr>
        <w:pStyle w:val="Text"/>
      </w:pPr>
      <w:r>
        <w:t xml:space="preserve">Similar considerations lead us to </w:t>
      </w:r>
      <w:r>
        <w:t>a similar</w:t>
      </w:r>
      <w:r>
        <w:t xml:space="preserve"> conclusion in this case.  </w:t>
      </w:r>
      <w:r>
        <w:t xml:space="preserve">Like </w:t>
      </w:r>
      <w:r>
        <w:t>the Reform</w:t>
      </w:r>
      <w:r>
        <w:t xml:space="preserve"> Act</w:t>
      </w:r>
      <w:r>
        <w:t xml:space="preserve">, Proposition 47 is </w:t>
      </w:r>
      <w:r>
        <w:t>a</w:t>
      </w:r>
      <w:r>
        <w:t>n ameliorative</w:t>
      </w:r>
      <w:r>
        <w:t xml:space="preserve"> </w:t>
      </w:r>
      <w:r>
        <w:t xml:space="preserve">criminal law </w:t>
      </w:r>
      <w:r>
        <w:t xml:space="preserve">measure that </w:t>
      </w:r>
      <w:r>
        <w:t xml:space="preserve">is </w:t>
      </w:r>
      <w:r>
        <w:t xml:space="preserve">“not silent on the question of retroactivity,” but </w:t>
      </w:r>
      <w:r>
        <w:t xml:space="preserve">instead </w:t>
      </w:r>
      <w:r>
        <w:t xml:space="preserve">contains </w:t>
      </w:r>
      <w:r>
        <w:t xml:space="preserve">a </w:t>
      </w:r>
      <w:r>
        <w:t>detailed set of provisions</w:t>
      </w:r>
      <w:r>
        <w:t xml:space="preserve"> designed to </w:t>
      </w:r>
      <w:r>
        <w:t>extend the statute’s benefits retroactively.</w:t>
      </w:r>
      <w:r>
        <w:t xml:space="preserve">  (</w:t>
      </w:r>
      <w:r>
        <w:rPr>
          <w:i/>
        </w:rPr>
        <w:t>Conley</w:t>
      </w:r>
      <w:r>
        <w:t xml:space="preserve">, </w:t>
      </w:r>
      <w:r>
        <w:rPr>
          <w:i/>
        </w:rPr>
        <w:t>supra</w:t>
      </w:r>
      <w:r>
        <w:t>, 63 Cal.4th at p.</w:t>
      </w:r>
      <w:r>
        <w:t> </w:t>
      </w:r>
      <w:r>
        <w:t>657</w:t>
      </w:r>
      <w:r>
        <w:t>.)</w:t>
      </w:r>
      <w:r>
        <w:t xml:space="preserve">  </w:t>
      </w:r>
      <w:r>
        <w:t>Those provisions include, as relevant here, a recall and resentencing mechanism for individuals who were “serving a sentence” for a covered offense as of Proposition 47’s effective date.  (§</w:t>
      </w:r>
      <w:r>
        <w:t> </w:t>
      </w:r>
      <w:r>
        <w:t>1170.18, subd</w:t>
      </w:r>
      <w:proofErr w:type="gramStart"/>
      <w:r>
        <w:t xml:space="preserve">. </w:t>
      </w:r>
      <w:proofErr w:type="gramEnd"/>
      <w:r>
        <w:t xml:space="preserve">(a).)  </w:t>
      </w:r>
      <w:r>
        <w:t xml:space="preserve">Like </w:t>
      </w:r>
      <w:r>
        <w:t>the parallel resentencing prov</w:t>
      </w:r>
      <w:r>
        <w:t>ision of</w:t>
      </w:r>
      <w:r>
        <w:t xml:space="preserve"> the Reform Act</w:t>
      </w:r>
      <w:r>
        <w:t xml:space="preserve">, </w:t>
      </w:r>
      <w:r>
        <w:t xml:space="preserve">section 1170.18 </w:t>
      </w:r>
      <w:r>
        <w:t xml:space="preserve">draws no </w:t>
      </w:r>
      <w:r>
        <w:t xml:space="preserve">express </w:t>
      </w:r>
      <w:r>
        <w:t xml:space="preserve">distinction between persons serving final sentences and those serving </w:t>
      </w:r>
      <w:r>
        <w:t>non</w:t>
      </w:r>
      <w:r>
        <w:t xml:space="preserve">final sentences, </w:t>
      </w:r>
      <w:r>
        <w:t>instead entitling</w:t>
      </w:r>
      <w:r>
        <w:t xml:space="preserve"> both categories of prisoners to </w:t>
      </w:r>
      <w:r>
        <w:t>petition courts for recall of sentence.  (</w:t>
      </w:r>
      <w:r>
        <w:rPr>
          <w:i/>
        </w:rPr>
        <w:t>Ibid</w:t>
      </w:r>
      <w:r>
        <w:t>.)</w:t>
      </w:r>
      <w:r>
        <w:t xml:space="preserve">  </w:t>
      </w:r>
      <w:r>
        <w:t>And like</w:t>
      </w:r>
      <w:r>
        <w:t xml:space="preserve"> </w:t>
      </w:r>
      <w:r>
        <w:t xml:space="preserve">the resentencing provision of </w:t>
      </w:r>
      <w:r>
        <w:t>the Reform Act</w:t>
      </w:r>
      <w:r>
        <w:t xml:space="preserve">, </w:t>
      </w:r>
      <w:r>
        <w:t>section 1170.18</w:t>
      </w:r>
      <w:r>
        <w:t xml:space="preserve"> expressly makes resentencing </w:t>
      </w:r>
      <w:r>
        <w:t xml:space="preserve">dependent on a court’s assessment of the </w:t>
      </w:r>
      <w:r>
        <w:t>likelihood that a defendant’s ea</w:t>
      </w:r>
      <w:r w:rsidRPr="00590632">
        <w:t>rly release</w:t>
      </w:r>
      <w:r w:rsidRPr="00590632">
        <w:t xml:space="preserve"> wi</w:t>
      </w:r>
      <w:r w:rsidRPr="00590632">
        <w:t xml:space="preserve">ll pose a risk to public safety, undermining the idea that </w:t>
      </w:r>
      <w:r w:rsidRPr="00590632">
        <w:t xml:space="preserve">voters </w:t>
      </w:r>
      <w:r w:rsidRPr="00590632">
        <w:t>“categorically determined that ‘imposition of a lesser punishment’ will in all cases ‘sufficiently serve the public interest.</w:t>
      </w:r>
      <w:proofErr w:type="gramStart"/>
      <w:r w:rsidRPr="00590632">
        <w:t>’ ”</w:t>
      </w:r>
      <w:proofErr w:type="gramEnd"/>
      <w:r w:rsidRPr="00590632">
        <w:t xml:space="preserve">  (</w:t>
      </w:r>
      <w:r w:rsidRPr="00EF423F">
        <w:rPr>
          <w:i/>
          <w:iCs/>
        </w:rPr>
        <w:t>Conley</w:t>
      </w:r>
      <w:r w:rsidRPr="00EF423F">
        <w:t>, at p.</w:t>
      </w:r>
      <w:r w:rsidRPr="00590632">
        <w:t> </w:t>
      </w:r>
      <w:r w:rsidRPr="00590632">
        <w:t>658</w:t>
      </w:r>
      <w:r w:rsidRPr="00590632">
        <w:t>; see §</w:t>
      </w:r>
      <w:r w:rsidRPr="00590632">
        <w:t> </w:t>
      </w:r>
      <w:r w:rsidRPr="00590632">
        <w:t>1170.18, subd</w:t>
      </w:r>
      <w:proofErr w:type="gramStart"/>
      <w:r w:rsidRPr="00590632">
        <w:t xml:space="preserve">. </w:t>
      </w:r>
      <w:proofErr w:type="gramEnd"/>
      <w:r w:rsidRPr="00590632">
        <w:t>(b).)</w:t>
      </w:r>
    </w:p>
    <w:p w:rsidR="00DF25FE" w:rsidRDefault="000C45F6" w:rsidP="00E87904">
      <w:pPr>
        <w:pStyle w:val="Text"/>
      </w:pPr>
      <w:r>
        <w:t>Proposition 47, unlike the Reform Act, does not create new sentencing factors t</w:t>
      </w:r>
      <w:r>
        <w:t xml:space="preserve">hat the </w:t>
      </w:r>
      <w:r w:rsidRPr="00590632">
        <w:t>prosecution must “</w:t>
      </w:r>
      <w:proofErr w:type="gramStart"/>
      <w:r w:rsidRPr="00590632">
        <w:t>plead</w:t>
      </w:r>
      <w:r>
        <w:t>[</w:t>
      </w:r>
      <w:proofErr w:type="gramEnd"/>
      <w:r>
        <w:t>]</w:t>
      </w:r>
      <w:r w:rsidRPr="00590632">
        <w:t xml:space="preserve"> and prove</w:t>
      </w:r>
      <w:r>
        <w:t>[]</w:t>
      </w:r>
      <w:r w:rsidRPr="00590632">
        <w:t>” (</w:t>
      </w:r>
      <w:r>
        <w:t xml:space="preserve">Pen. Code, </w:t>
      </w:r>
      <w:r w:rsidRPr="00590632">
        <w:t>§ 1170.12, subd</w:t>
      </w:r>
      <w:proofErr w:type="gramStart"/>
      <w:r w:rsidRPr="00590632">
        <w:t xml:space="preserve">. </w:t>
      </w:r>
      <w:proofErr w:type="gramEnd"/>
      <w:r w:rsidRPr="00590632">
        <w:t xml:space="preserve">(c)(2)(C)) to preclude </w:t>
      </w:r>
      <w:r>
        <w:t xml:space="preserve">a grant of </w:t>
      </w:r>
      <w:r w:rsidRPr="00590632">
        <w:t xml:space="preserve">leniency.  </w:t>
      </w:r>
      <w:r>
        <w:t>We can th</w:t>
      </w:r>
      <w:r>
        <w:t>erefore draw no inferences from the omission of any provision addressing the application of such a pleading-and-proof requirem</w:t>
      </w:r>
      <w:r>
        <w:t xml:space="preserve">ent to individuals who have already </w:t>
      </w:r>
      <w:proofErr w:type="gramStart"/>
      <w:r>
        <w:t>been sentenced</w:t>
      </w:r>
      <w:proofErr w:type="gramEnd"/>
      <w:r>
        <w:t xml:space="preserve">, as we </w:t>
      </w:r>
      <w:r>
        <w:t>did</w:t>
      </w:r>
      <w:r>
        <w:t xml:space="preserve"> in </w:t>
      </w:r>
      <w:r>
        <w:rPr>
          <w:i/>
        </w:rPr>
        <w:t>Conley</w:t>
      </w:r>
      <w:r>
        <w:t xml:space="preserve">.  But </w:t>
      </w:r>
      <w:proofErr w:type="gramStart"/>
      <w:r>
        <w:t>our conclusion is strongly reinforced by other indicia of legislative intent</w:t>
      </w:r>
      <w:proofErr w:type="gramEnd"/>
      <w:r>
        <w:t xml:space="preserve">. </w:t>
      </w:r>
      <w:r w:rsidRPr="00590632">
        <w:t xml:space="preserve"> </w:t>
      </w:r>
      <w:r w:rsidRPr="00590632">
        <w:t xml:space="preserve">In enacting </w:t>
      </w:r>
      <w:r w:rsidRPr="00590632">
        <w:t xml:space="preserve">Proposition 47, voters declared their purpose </w:t>
      </w:r>
      <w:r w:rsidRPr="00590632">
        <w:t>to “[r]</w:t>
      </w:r>
      <w:proofErr w:type="spellStart"/>
      <w:r w:rsidRPr="00590632">
        <w:t>equire</w:t>
      </w:r>
      <w:proofErr w:type="spellEnd"/>
      <w:r w:rsidRPr="00590632">
        <w:t xml:space="preserve"> a thorough review</w:t>
      </w:r>
      <w:r>
        <w:t xml:space="preserve"> of crimin</w:t>
      </w:r>
      <w:r>
        <w:t xml:space="preserve">al history and risk assessment of </w:t>
      </w:r>
      <w:r w:rsidRPr="1D34F75E">
        <w:rPr>
          <w:i/>
          <w:iCs/>
        </w:rPr>
        <w:t xml:space="preserve">any individuals </w:t>
      </w:r>
      <w:r>
        <w:t xml:space="preserve">before resentencing to ensure that they do not pose a risk to public </w:t>
      </w:r>
      <w:r>
        <w:lastRenderedPageBreak/>
        <w:t>safety.”  (</w:t>
      </w:r>
      <w:r>
        <w:t xml:space="preserve">Voter Information Guide, </w:t>
      </w:r>
      <w:r>
        <w:rPr>
          <w:i/>
        </w:rPr>
        <w:t>supra</w:t>
      </w:r>
      <w:r>
        <w:t xml:space="preserve">, </w:t>
      </w:r>
      <w:r>
        <w:t>text of Prop</w:t>
      </w:r>
      <w:proofErr w:type="gramStart"/>
      <w:r>
        <w:t xml:space="preserve">. </w:t>
      </w:r>
      <w:proofErr w:type="gramEnd"/>
      <w:r>
        <w:t>47, § 3(5), p. 70,</w:t>
      </w:r>
      <w:r>
        <w:t xml:space="preserve"> italics added.)  The breadth of this</w:t>
      </w:r>
      <w:r>
        <w:t xml:space="preserve"> statement of purpose </w:t>
      </w:r>
      <w:r>
        <w:t>ind</w:t>
      </w:r>
      <w:r>
        <w:t xml:space="preserve">icates </w:t>
      </w:r>
      <w:r>
        <w:t>a</w:t>
      </w:r>
      <w:r>
        <w:t>n</w:t>
      </w:r>
      <w:r>
        <w:t xml:space="preserve"> intent to apply the provisions of section 1170.18, including its risk assessment provision, to all previously sentenced defendants who had not yet completed their sentences, </w:t>
      </w:r>
      <w:r>
        <w:t xml:space="preserve">and </w:t>
      </w:r>
      <w:r>
        <w:t xml:space="preserve">not just </w:t>
      </w:r>
      <w:r>
        <w:t xml:space="preserve">to </w:t>
      </w:r>
      <w:r>
        <w:t xml:space="preserve">those whose judgments had become final on direct review.  (See </w:t>
      </w:r>
      <w:r w:rsidRPr="1D34F75E">
        <w:rPr>
          <w:i/>
          <w:iCs/>
        </w:rPr>
        <w:t>People v. Canty</w:t>
      </w:r>
      <w:r>
        <w:t xml:space="preserve"> (2004) 32 Cal.4th 1266, 1280 [courts may consider “statements of the intent of the enacting body contained in a preamble” as an “aid in construing a statute”].)  </w:t>
      </w:r>
    </w:p>
    <w:p w:rsidR="00AF4ECF" w:rsidRPr="00753AE7" w:rsidRDefault="000C45F6" w:rsidP="00116435">
      <w:pPr>
        <w:pStyle w:val="Text"/>
      </w:pPr>
      <w:r>
        <w:t xml:space="preserve">Defendant </w:t>
      </w:r>
      <w:r>
        <w:t>raises several objections to this conclusion, but none has merit</w:t>
      </w:r>
      <w:r>
        <w:t>.</w:t>
      </w:r>
      <w:r>
        <w:t xml:space="preserve">  First, </w:t>
      </w:r>
      <w:r>
        <w:t xml:space="preserve">she </w:t>
      </w:r>
      <w:r>
        <w:t xml:space="preserve">argues that section 1170.18, unlike the resentencing provision of </w:t>
      </w:r>
      <w:r>
        <w:t xml:space="preserve">the Reform Act, </w:t>
      </w:r>
      <w:r>
        <w:t>i</w:t>
      </w:r>
      <w:r>
        <w:t xml:space="preserve">s ambiguous about whether it applies to defendants who were serving nonfinal sentences </w:t>
      </w:r>
      <w:r>
        <w:t>as of Pr</w:t>
      </w:r>
      <w:r>
        <w:t xml:space="preserve">oposition 47’s effective date.  </w:t>
      </w:r>
      <w:r>
        <w:t xml:space="preserve">She contends that this ambiguity </w:t>
      </w:r>
      <w:r>
        <w:t xml:space="preserve">should </w:t>
      </w:r>
      <w:proofErr w:type="gramStart"/>
      <w:r>
        <w:t>be resolved</w:t>
      </w:r>
      <w:proofErr w:type="gramEnd"/>
      <w:r>
        <w:t xml:space="preserve"> in favor of </w:t>
      </w:r>
      <w:r>
        <w:t xml:space="preserve">concluding that such defendants are not entitled to file petitions for resentencing under section 1170.18.  </w:t>
      </w:r>
      <w:r>
        <w:t xml:space="preserve">And </w:t>
      </w:r>
      <w:r>
        <w:t xml:space="preserve">if defendants </w:t>
      </w:r>
      <w:proofErr w:type="gramStart"/>
      <w:r>
        <w:t>are not entitled</w:t>
      </w:r>
      <w:proofErr w:type="gramEnd"/>
      <w:r>
        <w:t xml:space="preserve"> to resentencing u</w:t>
      </w:r>
      <w:r>
        <w:t xml:space="preserve">nder section 1170.18, she </w:t>
      </w:r>
      <w:r>
        <w:t>reasons</w:t>
      </w:r>
      <w:r>
        <w:t xml:space="preserve">, they must be entitled to </w:t>
      </w:r>
      <w:r>
        <w:t xml:space="preserve">automatic resentencing in accordance with the </w:t>
      </w:r>
      <w:r>
        <w:rPr>
          <w:i/>
        </w:rPr>
        <w:t>Estrada</w:t>
      </w:r>
      <w:r>
        <w:t xml:space="preserve"> presumption.</w:t>
      </w:r>
    </w:p>
    <w:p w:rsidR="008A6190" w:rsidRDefault="000C45F6" w:rsidP="00F41444">
      <w:pPr>
        <w:pStyle w:val="Text"/>
      </w:pPr>
      <w:r>
        <w:t xml:space="preserve">This argument fails at the </w:t>
      </w:r>
      <w:r>
        <w:t>first step</w:t>
      </w:r>
      <w:r>
        <w:t xml:space="preserve">.  Section 1170.18 </w:t>
      </w:r>
      <w:r>
        <w:t>authorizes a defendant who was “serving a sentence” for a covered offense</w:t>
      </w:r>
      <w:r>
        <w:t xml:space="preserve"> </w:t>
      </w:r>
      <w:r>
        <w:t xml:space="preserve">as of November 5, 2014, to file a petition for recall of sentence.  </w:t>
      </w:r>
      <w:r>
        <w:t>(</w:t>
      </w:r>
      <w:r w:rsidRPr="00970303">
        <w:rPr>
          <w:i/>
        </w:rPr>
        <w:t>Id</w:t>
      </w:r>
      <w:r>
        <w:t>., subd</w:t>
      </w:r>
      <w:proofErr w:type="gramStart"/>
      <w:r>
        <w:t xml:space="preserve">. </w:t>
      </w:r>
      <w:proofErr w:type="gramEnd"/>
      <w:r>
        <w:t xml:space="preserve">(a).)  </w:t>
      </w:r>
      <w:r>
        <w:t xml:space="preserve">As a matter of ordinary usage, we </w:t>
      </w:r>
      <w:r>
        <w:t xml:space="preserve">say </w:t>
      </w:r>
      <w:r>
        <w:t>that a defendant begins to serve a senten</w:t>
      </w:r>
      <w:r>
        <w:t xml:space="preserve">ce after the sentence </w:t>
      </w:r>
      <w:proofErr w:type="gramStart"/>
      <w:r>
        <w:t>is imposed</w:t>
      </w:r>
      <w:proofErr w:type="gramEnd"/>
      <w:r>
        <w:t xml:space="preserve">; </w:t>
      </w:r>
      <w:r>
        <w:t xml:space="preserve">the terminology does not vary </w:t>
      </w:r>
      <w:r>
        <w:t xml:space="preserve">depending on whether the </w:t>
      </w:r>
      <w:r>
        <w:t xml:space="preserve">sentence the defendant is serving has become final </w:t>
      </w:r>
      <w:r>
        <w:t>on direct review</w:t>
      </w:r>
      <w:r>
        <w:t xml:space="preserve">.  (See </w:t>
      </w:r>
      <w:r>
        <w:rPr>
          <w:i/>
        </w:rPr>
        <w:t>Conley</w:t>
      </w:r>
      <w:r>
        <w:t xml:space="preserve">, </w:t>
      </w:r>
      <w:r>
        <w:rPr>
          <w:i/>
        </w:rPr>
        <w:t>supra</w:t>
      </w:r>
      <w:r>
        <w:t>, 63 Cal.4th at p.</w:t>
      </w:r>
      <w:r>
        <w:t> </w:t>
      </w:r>
      <w:r>
        <w:t xml:space="preserve">655.)  </w:t>
      </w:r>
      <w:r>
        <w:t xml:space="preserve">And </w:t>
      </w:r>
      <w:r>
        <w:t xml:space="preserve">defendant points to nothing in </w:t>
      </w:r>
      <w:r>
        <w:t xml:space="preserve">Proposition 47 </w:t>
      </w:r>
      <w:r>
        <w:t xml:space="preserve">that would suggest that the voters were using </w:t>
      </w:r>
      <w:r>
        <w:t xml:space="preserve">the phrase </w:t>
      </w:r>
      <w:r>
        <w:t xml:space="preserve">“serving a sentence” </w:t>
      </w:r>
      <w:r>
        <w:t xml:space="preserve">in a different, idiosyncratic way.  On the contrary, </w:t>
      </w:r>
      <w:r>
        <w:t xml:space="preserve">Proposition 47’s </w:t>
      </w:r>
      <w:r>
        <w:t xml:space="preserve">assertion </w:t>
      </w:r>
      <w:r>
        <w:t xml:space="preserve">of </w:t>
      </w:r>
      <w:r>
        <w:t xml:space="preserve">a </w:t>
      </w:r>
      <w:r>
        <w:t xml:space="preserve">purpose to apply the provisions of section 1170.18 </w:t>
      </w:r>
      <w:r>
        <w:t>to “</w:t>
      </w:r>
      <w:r w:rsidRPr="009D2B4E">
        <w:rPr>
          <w:i/>
        </w:rPr>
        <w:t>any individuals</w:t>
      </w:r>
      <w:r>
        <w:t xml:space="preserve"> before resentencing” </w:t>
      </w:r>
      <w:r>
        <w:lastRenderedPageBreak/>
        <w:t xml:space="preserve">strongly </w:t>
      </w:r>
      <w:r>
        <w:t xml:space="preserve">suggests that voters </w:t>
      </w:r>
      <w:r>
        <w:t xml:space="preserve">understood that section 1170.18 would apply </w:t>
      </w:r>
      <w:r>
        <w:t>to al</w:t>
      </w:r>
      <w:r>
        <w:t xml:space="preserve">l previously sentenced defendants </w:t>
      </w:r>
      <w:r>
        <w:t>who seek resentencing, regardless of</w:t>
      </w:r>
      <w:r>
        <w:t xml:space="preserve"> whether their judgments have become final on direct review</w:t>
      </w:r>
      <w:r>
        <w:t>.</w:t>
      </w:r>
      <w:r>
        <w:t xml:space="preserve"> </w:t>
      </w:r>
      <w:r>
        <w:t xml:space="preserve"> (</w:t>
      </w:r>
      <w:r>
        <w:t xml:space="preserve">Voter Information </w:t>
      </w:r>
      <w:r>
        <w:t>G</w:t>
      </w:r>
      <w:r>
        <w:t xml:space="preserve">uide, </w:t>
      </w:r>
      <w:r w:rsidRPr="00672571">
        <w:rPr>
          <w:i/>
        </w:rPr>
        <w:t>supra</w:t>
      </w:r>
      <w:r>
        <w:t xml:space="preserve">, text of </w:t>
      </w:r>
      <w:r>
        <w:t>Prop</w:t>
      </w:r>
      <w:proofErr w:type="gramStart"/>
      <w:r>
        <w:t xml:space="preserve">. </w:t>
      </w:r>
      <w:proofErr w:type="gramEnd"/>
      <w:r>
        <w:t>47, § 3(5)</w:t>
      </w:r>
      <w:r>
        <w:t xml:space="preserve">, </w:t>
      </w:r>
      <w:r>
        <w:t xml:space="preserve">p. 70, </w:t>
      </w:r>
      <w:r>
        <w:t>italics added.)</w:t>
      </w:r>
    </w:p>
    <w:p w:rsidR="00A43219" w:rsidRDefault="000C45F6" w:rsidP="008A0CBD">
      <w:pPr>
        <w:pStyle w:val="Text"/>
      </w:pPr>
      <w:r>
        <w:t xml:space="preserve">It </w:t>
      </w:r>
      <w:r>
        <w:t>certainly is</w:t>
      </w:r>
      <w:r>
        <w:t xml:space="preserve"> true, as defendant says, </w:t>
      </w:r>
      <w:r>
        <w:t>t</w:t>
      </w:r>
      <w:r>
        <w:t>hat section 1170.18</w:t>
      </w:r>
      <w:r>
        <w:t>, subdivision (a)</w:t>
      </w:r>
      <w:r>
        <w:t xml:space="preserve">’s reference to </w:t>
      </w:r>
      <w:r>
        <w:t xml:space="preserve">those defendants </w:t>
      </w:r>
      <w:r>
        <w:t>“serving</w:t>
      </w:r>
      <w:r>
        <w:t xml:space="preserve"> a sentence”</w:t>
      </w:r>
      <w:r>
        <w:t xml:space="preserve"> for a covered offense </w:t>
      </w:r>
      <w:r>
        <w:t xml:space="preserve">operates to </w:t>
      </w:r>
      <w:r>
        <w:t xml:space="preserve">distinguish </w:t>
      </w:r>
      <w:r>
        <w:t>them from other defendants who have already completed their sentences</w:t>
      </w:r>
      <w:r>
        <w:t xml:space="preserve"> and </w:t>
      </w:r>
      <w:r>
        <w:t xml:space="preserve">are </w:t>
      </w:r>
      <w:r>
        <w:t xml:space="preserve">therefore </w:t>
      </w:r>
      <w:r>
        <w:t xml:space="preserve">entitled to relief under a </w:t>
      </w:r>
      <w:r>
        <w:t>separate provision</w:t>
      </w:r>
      <w:r>
        <w:t xml:space="preserve">. </w:t>
      </w:r>
      <w:r>
        <w:t xml:space="preserve"> (</w:t>
      </w:r>
      <w:r>
        <w:t>§ 1170.18, subd</w:t>
      </w:r>
      <w:proofErr w:type="gramStart"/>
      <w:r>
        <w:t xml:space="preserve">. </w:t>
      </w:r>
      <w:proofErr w:type="gramEnd"/>
      <w:r>
        <w:t xml:space="preserve">(f).)  </w:t>
      </w:r>
      <w:r>
        <w:t xml:space="preserve">But it does not follow that </w:t>
      </w:r>
      <w:r>
        <w:t xml:space="preserve">we can read </w:t>
      </w:r>
      <w:r>
        <w:t>“serving a sentence”</w:t>
      </w:r>
      <w:r>
        <w:t xml:space="preserve"> as though </w:t>
      </w:r>
      <w:r>
        <w:t xml:space="preserve">it instead read “serving a </w:t>
      </w:r>
      <w:r>
        <w:rPr>
          <w:i/>
        </w:rPr>
        <w:t>final</w:t>
      </w:r>
      <w:r>
        <w:t xml:space="preserve"> sentence,</w:t>
      </w:r>
      <w:r>
        <w:t>”</w:t>
      </w:r>
      <w:r>
        <w:t xml:space="preserve"> as defendant argues—</w:t>
      </w:r>
      <w:r>
        <w:t xml:space="preserve">a conclusion that would require us to </w:t>
      </w:r>
      <w:r>
        <w:t xml:space="preserve">insert </w:t>
      </w:r>
      <w:r>
        <w:t xml:space="preserve">language </w:t>
      </w:r>
      <w:r>
        <w:t>that Proposition 47’s</w:t>
      </w:r>
      <w:r>
        <w:t xml:space="preserve"> drafters did not see fit to include.  </w:t>
      </w:r>
      <w:r>
        <w:t>(</w:t>
      </w:r>
      <w:r>
        <w:t xml:space="preserve">See </w:t>
      </w:r>
      <w:r>
        <w:rPr>
          <w:i/>
        </w:rPr>
        <w:t>Los Angeles County Metropolitan Transp</w:t>
      </w:r>
      <w:r>
        <w:rPr>
          <w:i/>
        </w:rPr>
        <w:t>ortation</w:t>
      </w:r>
      <w:r>
        <w:rPr>
          <w:i/>
        </w:rPr>
        <w:t xml:space="preserve"> Auth</w:t>
      </w:r>
      <w:r>
        <w:rPr>
          <w:i/>
        </w:rPr>
        <w:t>ority</w:t>
      </w:r>
      <w:r>
        <w:rPr>
          <w:i/>
        </w:rPr>
        <w:t xml:space="preserve"> v. Alameda Produce Market, LLC</w:t>
      </w:r>
      <w:r>
        <w:t xml:space="preserve"> (2011) 52 Cal.4th 1100, 1108.)</w:t>
      </w:r>
      <w:r>
        <w:t xml:space="preserve">  </w:t>
      </w:r>
    </w:p>
    <w:p w:rsidR="00E8190B" w:rsidRDefault="000C45F6" w:rsidP="00593628">
      <w:pPr>
        <w:pStyle w:val="Text"/>
      </w:pPr>
      <w:r>
        <w:t xml:space="preserve">Defendant </w:t>
      </w:r>
      <w:r>
        <w:t xml:space="preserve">next </w:t>
      </w:r>
      <w:r>
        <w:t xml:space="preserve">contends our interpretation of the Reform Act in </w:t>
      </w:r>
      <w:r w:rsidRPr="1D34F75E">
        <w:rPr>
          <w:i/>
          <w:iCs/>
        </w:rPr>
        <w:t>Conley</w:t>
      </w:r>
      <w:r>
        <w:t xml:space="preserve">, </w:t>
      </w:r>
      <w:r w:rsidRPr="1D34F75E">
        <w:rPr>
          <w:i/>
          <w:iCs/>
        </w:rPr>
        <w:t>supra</w:t>
      </w:r>
      <w:r>
        <w:t>, 63 Cal.4th 6</w:t>
      </w:r>
      <w:r>
        <w:t xml:space="preserve">46, sheds no light on </w:t>
      </w:r>
      <w:r>
        <w:t xml:space="preserve">the proper interpretation of </w:t>
      </w:r>
      <w:r>
        <w:t>Proposition 47</w:t>
      </w:r>
      <w:r>
        <w:t xml:space="preserve"> because the two initiatives</w:t>
      </w:r>
      <w:r>
        <w:t xml:space="preserve"> </w:t>
      </w:r>
      <w:r>
        <w:t xml:space="preserve">have different </w:t>
      </w:r>
      <w:r>
        <w:t xml:space="preserve">ameliorative </w:t>
      </w:r>
      <w:r>
        <w:t xml:space="preserve">goals.  </w:t>
      </w:r>
      <w:r>
        <w:t>T</w:t>
      </w:r>
      <w:r>
        <w:t>he Reform Act</w:t>
      </w:r>
      <w:r>
        <w:t xml:space="preserve">, she </w:t>
      </w:r>
      <w:r>
        <w:t>argues</w:t>
      </w:r>
      <w:r>
        <w:t>,</w:t>
      </w:r>
      <w:r>
        <w:t xml:space="preserve"> was presented to the voters</w:t>
      </w:r>
      <w:r>
        <w:t xml:space="preserve"> </w:t>
      </w:r>
      <w:r>
        <w:t xml:space="preserve">as intended </w:t>
      </w:r>
      <w:proofErr w:type="gramStart"/>
      <w:r>
        <w:t>“</w:t>
      </w:r>
      <w:r>
        <w:t> ‘</w:t>
      </w:r>
      <w:proofErr w:type="gramEnd"/>
      <w:r>
        <w:t xml:space="preserve">to restore the original intent of California’s Three </w:t>
      </w:r>
      <w:r>
        <w:t>Strikes Law</w:t>
      </w:r>
      <w:r>
        <w:t>,’ </w:t>
      </w:r>
      <w:r>
        <w:t>”</w:t>
      </w:r>
      <w:r>
        <w:t xml:space="preserve"> </w:t>
      </w:r>
      <w:r>
        <w:t>“</w:t>
      </w:r>
      <w:r>
        <w:t xml:space="preserve">whereas </w:t>
      </w:r>
      <w:r>
        <w:t xml:space="preserve">the electorate’s intent in enacting Proposition </w:t>
      </w:r>
      <w:r>
        <w:t xml:space="preserve">47 </w:t>
      </w:r>
      <w:r>
        <w:t>was a classic (and wide-scale) reduction in sentencing” that amounts to a “never-before-seen sea change in California criminal jurisprudence</w:t>
      </w:r>
      <w:r>
        <w:t>.</w:t>
      </w:r>
      <w:r>
        <w:t xml:space="preserve">” </w:t>
      </w:r>
      <w:r>
        <w:t xml:space="preserve"> </w:t>
      </w:r>
      <w:r>
        <w:t>It is unclear</w:t>
      </w:r>
      <w:r>
        <w:t xml:space="preserve"> </w:t>
      </w:r>
      <w:r>
        <w:t xml:space="preserve">what </w:t>
      </w:r>
      <w:r>
        <w:t>lesson</w:t>
      </w:r>
      <w:r>
        <w:t xml:space="preserve"> defendant </w:t>
      </w:r>
      <w:r>
        <w:t xml:space="preserve">would have us derive from this comparison.  </w:t>
      </w:r>
      <w:r>
        <w:t xml:space="preserve">The Reform Act and Proposition 47 </w:t>
      </w:r>
      <w:r>
        <w:t>do, of course, affect different categories of offenders</w:t>
      </w:r>
      <w:r>
        <w:t xml:space="preserve"> in various ways.  </w:t>
      </w:r>
      <w:r w:rsidRPr="00EF423F">
        <w:t xml:space="preserve">(See </w:t>
      </w:r>
      <w:r w:rsidRPr="00EF423F">
        <w:rPr>
          <w:i/>
        </w:rPr>
        <w:t>People v. Valencia</w:t>
      </w:r>
      <w:r w:rsidRPr="00EF423F">
        <w:t xml:space="preserve">, </w:t>
      </w:r>
      <w:r w:rsidRPr="00EF423F">
        <w:rPr>
          <w:i/>
        </w:rPr>
        <w:t>supra</w:t>
      </w:r>
      <w:r w:rsidRPr="00EF423F">
        <w:t xml:space="preserve">, </w:t>
      </w:r>
      <w:r w:rsidRPr="00EF423F">
        <w:t xml:space="preserve">3 Cal.5th </w:t>
      </w:r>
      <w:r w:rsidRPr="00EF423F">
        <w:t>at p. </w:t>
      </w:r>
      <w:r w:rsidRPr="00EF423F">
        <w:t>376 [Props</w:t>
      </w:r>
      <w:proofErr w:type="gramStart"/>
      <w:r w:rsidRPr="00EF423F">
        <w:t xml:space="preserve">. </w:t>
      </w:r>
      <w:proofErr w:type="gramEnd"/>
      <w:r w:rsidRPr="00EF423F">
        <w:t>36 and 47 address “two very different popula</w:t>
      </w:r>
      <w:r w:rsidRPr="00EF423F">
        <w:t xml:space="preserve">tions of offenders”].)  </w:t>
      </w:r>
      <w:r>
        <w:t xml:space="preserve">But </w:t>
      </w:r>
      <w:r>
        <w:t xml:space="preserve">our </w:t>
      </w:r>
      <w:r>
        <w:t xml:space="preserve">holding here, like our conclusion in </w:t>
      </w:r>
      <w:r>
        <w:rPr>
          <w:i/>
        </w:rPr>
        <w:t>Conley</w:t>
      </w:r>
      <w:r>
        <w:t xml:space="preserve">, depends on a conclusion about the intended operation of </w:t>
      </w:r>
      <w:r>
        <w:t xml:space="preserve">a </w:t>
      </w:r>
      <w:r>
        <w:t xml:space="preserve">statutory scheme that provides a </w:t>
      </w:r>
      <w:proofErr w:type="gramStart"/>
      <w:r>
        <w:t>particular mechanism</w:t>
      </w:r>
      <w:proofErr w:type="gramEnd"/>
      <w:r>
        <w:t xml:space="preserve"> for </w:t>
      </w:r>
      <w:r>
        <w:lastRenderedPageBreak/>
        <w:t>the retroactive application of the ameliorative changes the mea</w:t>
      </w:r>
      <w:r>
        <w:t>sures brought about; it does not depend on the relative scope or scale of those changes.</w:t>
      </w:r>
    </w:p>
    <w:p w:rsidR="001B503D" w:rsidRDefault="000C45F6" w:rsidP="00CC1EC2">
      <w:pPr>
        <w:pStyle w:val="Text"/>
        <w:ind w:right="-90"/>
      </w:pPr>
      <w:r>
        <w:t xml:space="preserve">Defendant also briefly suggests that the voters </w:t>
      </w:r>
      <w:r>
        <w:t xml:space="preserve">who passed the </w:t>
      </w:r>
      <w:r>
        <w:t xml:space="preserve">Reform Act </w:t>
      </w:r>
      <w:r>
        <w:t xml:space="preserve">were more concerned with public safety </w:t>
      </w:r>
      <w:r>
        <w:t xml:space="preserve">than the voters who passed Proposition 47; </w:t>
      </w:r>
      <w:r>
        <w:t xml:space="preserve">the latter </w:t>
      </w:r>
      <w:r>
        <w:t>group</w:t>
      </w:r>
      <w:r>
        <w:t xml:space="preserve">, defendant argues, placed a greater emphasis on cost savings and on the reduction of punishment for individuals with low-level felony convictions.  </w:t>
      </w:r>
      <w:r>
        <w:t xml:space="preserve">As support for this conclusion, </w:t>
      </w:r>
      <w:r>
        <w:t xml:space="preserve">defendant points to </w:t>
      </w:r>
      <w:r>
        <w:t>c</w:t>
      </w:r>
      <w:r>
        <w:t xml:space="preserve">ases that have </w:t>
      </w:r>
      <w:r>
        <w:t>o</w:t>
      </w:r>
      <w:r>
        <w:t>bserved</w:t>
      </w:r>
      <w:r>
        <w:t xml:space="preserve"> </w:t>
      </w:r>
      <w:r>
        <w:t>tha</w:t>
      </w:r>
      <w:r>
        <w:t xml:space="preserve">t Proposition 47 prescribes less </w:t>
      </w:r>
      <w:r>
        <w:t xml:space="preserve">demanding substantive requirements for </w:t>
      </w:r>
      <w:r>
        <w:t xml:space="preserve">eligibility for relief than does the Reform Act.  </w:t>
      </w:r>
      <w:r>
        <w:t xml:space="preserve">(See, e.g., </w:t>
      </w:r>
      <w:r>
        <w:rPr>
          <w:i/>
        </w:rPr>
        <w:t>People v. Buford</w:t>
      </w:r>
      <w:r>
        <w:t xml:space="preserve"> (2016) 4 Cal.App.5th 886, 908–909.)</w:t>
      </w:r>
      <w:r>
        <w:t xml:space="preserve">  </w:t>
      </w:r>
      <w:r>
        <w:t>Again, there are certainly differences between the two statutory sch</w:t>
      </w:r>
      <w:r>
        <w:t xml:space="preserve">emes.  </w:t>
      </w:r>
      <w:r>
        <w:t xml:space="preserve">But </w:t>
      </w:r>
      <w:r>
        <w:t>in the respect relevant to our analysis</w:t>
      </w:r>
      <w:r>
        <w:t xml:space="preserve"> here, </w:t>
      </w:r>
      <w:r>
        <w:t xml:space="preserve">the statutory schemes </w:t>
      </w:r>
      <w:r>
        <w:t xml:space="preserve">operate in much the same way:  </w:t>
      </w:r>
      <w:r>
        <w:t xml:space="preserve">Both require </w:t>
      </w:r>
      <w:r>
        <w:t xml:space="preserve">a previously sentenced defendant </w:t>
      </w:r>
      <w:r>
        <w:t xml:space="preserve">to seek </w:t>
      </w:r>
      <w:r>
        <w:t xml:space="preserve">relief </w:t>
      </w:r>
      <w:r>
        <w:t>thr</w:t>
      </w:r>
      <w:r>
        <w:t xml:space="preserve">ough a petition for </w:t>
      </w:r>
      <w:r>
        <w:t>resentencing</w:t>
      </w:r>
      <w:r>
        <w:t xml:space="preserve">, and both require a court </w:t>
      </w:r>
      <w:r>
        <w:t xml:space="preserve">to consider the </w:t>
      </w:r>
      <w:r>
        <w:t xml:space="preserve">impact </w:t>
      </w:r>
      <w:r>
        <w:t xml:space="preserve">on </w:t>
      </w:r>
      <w:r>
        <w:t>public safety</w:t>
      </w:r>
      <w:r>
        <w:t xml:space="preserve"> before granting the petition</w:t>
      </w:r>
      <w:r>
        <w:t>.</w:t>
      </w:r>
      <w:r>
        <w:t xml:space="preserve">  Defendant’s proposed </w:t>
      </w:r>
      <w:r>
        <w:t xml:space="preserve">interpretation of </w:t>
      </w:r>
      <w:r>
        <w:t xml:space="preserve">Proposition 47 would </w:t>
      </w:r>
      <w:r>
        <w:t xml:space="preserve">create an exception </w:t>
      </w:r>
      <w:r>
        <w:t>to this</w:t>
      </w:r>
      <w:r>
        <w:t xml:space="preserve"> rule </w:t>
      </w:r>
      <w:r>
        <w:t>the voters apparently did not intend</w:t>
      </w:r>
      <w:r>
        <w:t>.</w:t>
      </w:r>
      <w:r>
        <w:t xml:space="preserve">  </w:t>
      </w:r>
      <w:r>
        <w:t>(</w:t>
      </w:r>
      <w:r>
        <w:t xml:space="preserve">Voter Information Guide, </w:t>
      </w:r>
      <w:r w:rsidRPr="00FF010D">
        <w:rPr>
          <w:i/>
        </w:rPr>
        <w:t>supra</w:t>
      </w:r>
      <w:r>
        <w:t>, text of Prop</w:t>
      </w:r>
      <w:proofErr w:type="gramStart"/>
      <w:r>
        <w:t xml:space="preserve">. </w:t>
      </w:r>
      <w:proofErr w:type="gramEnd"/>
      <w:r>
        <w:t>47,</w:t>
      </w:r>
      <w:r>
        <w:t xml:space="preserve"> </w:t>
      </w:r>
      <w:r>
        <w:t>§ 3(5), p. 70</w:t>
      </w:r>
      <w:r>
        <w:t>.)</w:t>
      </w:r>
    </w:p>
    <w:p w:rsidR="000F31AE" w:rsidRDefault="000C45F6" w:rsidP="00A810C5">
      <w:pPr>
        <w:pStyle w:val="Text"/>
      </w:pPr>
      <w:r>
        <w:t>Finally</w:t>
      </w:r>
      <w:r>
        <w:t xml:space="preserve">, </w:t>
      </w:r>
      <w:r>
        <w:t xml:space="preserve">defendant </w:t>
      </w:r>
      <w:r>
        <w:t xml:space="preserve">calls our attention to language in Proposition 47 </w:t>
      </w:r>
      <w:r>
        <w:t xml:space="preserve">intended to guide </w:t>
      </w:r>
      <w:r>
        <w:t xml:space="preserve">the measure’s </w:t>
      </w:r>
      <w:r>
        <w:t xml:space="preserve">judicial interpretation.  Section 1170.18 provides </w:t>
      </w:r>
      <w:r>
        <w:t xml:space="preserve">that </w:t>
      </w:r>
      <w:r>
        <w:t>“</w:t>
      </w:r>
      <w:r>
        <w:t>[</w:t>
      </w:r>
      <w:r>
        <w:t>t</w:t>
      </w:r>
      <w:r>
        <w:t>]</w:t>
      </w:r>
      <w:r>
        <w:t xml:space="preserve">his section </w:t>
      </w:r>
      <w:r>
        <w:t xml:space="preserve">does not </w:t>
      </w:r>
      <w:r>
        <w:t>diminish or abrogate any rights or remedies otherwise available to the petitioner o</w:t>
      </w:r>
      <w:r>
        <w:t>r applicant</w:t>
      </w:r>
      <w:r>
        <w:t>.</w:t>
      </w:r>
      <w:r>
        <w:t xml:space="preserve">” </w:t>
      </w:r>
      <w:r>
        <w:t xml:space="preserve"> (</w:t>
      </w:r>
      <w:r>
        <w:rPr>
          <w:i/>
        </w:rPr>
        <w:t>Id.</w:t>
      </w:r>
      <w:r>
        <w:t>, subd</w:t>
      </w:r>
      <w:proofErr w:type="gramStart"/>
      <w:r>
        <w:t>. </w:t>
      </w:r>
      <w:proofErr w:type="gramEnd"/>
      <w:r>
        <w:t>(m)</w:t>
      </w:r>
      <w:r>
        <w:t>; see former § 1170.18, subd</w:t>
      </w:r>
      <w:proofErr w:type="gramStart"/>
      <w:r>
        <w:t xml:space="preserve">. </w:t>
      </w:r>
      <w:proofErr w:type="gramEnd"/>
      <w:r>
        <w:t>(m), as added by Prop</w:t>
      </w:r>
      <w:proofErr w:type="gramStart"/>
      <w:r>
        <w:t xml:space="preserve">. </w:t>
      </w:r>
      <w:proofErr w:type="gramEnd"/>
      <w:r>
        <w:t>47 [similar]</w:t>
      </w:r>
      <w:r>
        <w:t xml:space="preserve">.)  </w:t>
      </w:r>
      <w:r>
        <w:t>Defendant asserts that one of the “rights or remedies” (</w:t>
      </w:r>
      <w:r w:rsidRPr="1D34F75E">
        <w:rPr>
          <w:i/>
          <w:iCs/>
        </w:rPr>
        <w:t>ibid.</w:t>
      </w:r>
      <w:r>
        <w:t xml:space="preserve">) available to her is </w:t>
      </w:r>
      <w:r>
        <w:t xml:space="preserve">automatic resentencing under </w:t>
      </w:r>
      <w:r>
        <w:rPr>
          <w:i/>
        </w:rPr>
        <w:t xml:space="preserve">Estrada </w:t>
      </w:r>
      <w:r>
        <w:t xml:space="preserve">and </w:t>
      </w:r>
      <w:r>
        <w:rPr>
          <w:i/>
        </w:rPr>
        <w:t>Kirk</w:t>
      </w:r>
      <w:r>
        <w:t xml:space="preserve">.  </w:t>
      </w:r>
      <w:r>
        <w:t>But these cases describe</w:t>
      </w:r>
      <w:r>
        <w:t xml:space="preserve"> a</w:t>
      </w:r>
      <w:r>
        <w:t xml:space="preserve"> presum</w:t>
      </w:r>
      <w:r>
        <w:t>ption about legislative intent</w:t>
      </w:r>
      <w:r>
        <w:t xml:space="preserve"> to guide our </w:t>
      </w:r>
      <w:r>
        <w:t xml:space="preserve">understanding </w:t>
      </w:r>
      <w:r>
        <w:t xml:space="preserve">of the </w:t>
      </w:r>
      <w:r>
        <w:t xml:space="preserve">retroactive reach of the </w:t>
      </w:r>
      <w:r>
        <w:t>statute</w:t>
      </w:r>
      <w:r>
        <w:t xml:space="preserve">; </w:t>
      </w:r>
      <w:r>
        <w:t xml:space="preserve">they </w:t>
      </w:r>
      <w:r>
        <w:t>do</w:t>
      </w:r>
      <w:r>
        <w:t xml:space="preserve"> not</w:t>
      </w:r>
      <w:r>
        <w:t xml:space="preserve"> establish substantive rights.  </w:t>
      </w:r>
      <w:r>
        <w:t xml:space="preserve">(See </w:t>
      </w:r>
      <w:r>
        <w:rPr>
          <w:i/>
        </w:rPr>
        <w:t>Conley</w:t>
      </w:r>
      <w:r>
        <w:t xml:space="preserve">, </w:t>
      </w:r>
      <w:r>
        <w:rPr>
          <w:i/>
        </w:rPr>
        <w:t>supra</w:t>
      </w:r>
      <w:r>
        <w:t>, 63 Cal.4th at p</w:t>
      </w:r>
      <w:r>
        <w:t>p</w:t>
      </w:r>
      <w:r>
        <w:t>.</w:t>
      </w:r>
      <w:r>
        <w:t> </w:t>
      </w:r>
      <w:r>
        <w:t xml:space="preserve">661–662.)  </w:t>
      </w:r>
      <w:r>
        <w:t>A</w:t>
      </w:r>
      <w:r>
        <w:t>nd a</w:t>
      </w:r>
      <w:r>
        <w:t xml:space="preserve">s we have </w:t>
      </w:r>
      <w:r>
        <w:t xml:space="preserve">previously </w:t>
      </w:r>
      <w:r>
        <w:t>explained, s</w:t>
      </w:r>
      <w:r>
        <w:t xml:space="preserve">ubdivision (m) </w:t>
      </w:r>
      <w:r>
        <w:t>“</w:t>
      </w:r>
      <w:r>
        <w:t>protects</w:t>
      </w:r>
      <w:r>
        <w:t xml:space="preserve"> a person </w:t>
      </w:r>
      <w:r>
        <w:t>‘</w:t>
      </w:r>
      <w:r>
        <w:t xml:space="preserve">from being </w:t>
      </w:r>
      <w:r>
        <w:lastRenderedPageBreak/>
        <w:t>forced to choose between filing a petition for a recall of sentence and pursuing other legal remedies to which they might be entitled</w:t>
      </w:r>
      <w:r>
        <w:t xml:space="preserve"> (e.g., petition for habeas corpus</w:t>
      </w:r>
      <w:r>
        <w:t>)</w:t>
      </w:r>
      <w:r>
        <w:t>.</w:t>
      </w:r>
      <w:proofErr w:type="gramStart"/>
      <w:r>
        <w:t>’ ”</w:t>
      </w:r>
      <w:proofErr w:type="gramEnd"/>
      <w:r>
        <w:t xml:space="preserve">  (</w:t>
      </w:r>
      <w:r>
        <w:rPr>
          <w:i/>
        </w:rPr>
        <w:t>People v. Morales</w:t>
      </w:r>
      <w:r>
        <w:t xml:space="preserve"> (</w:t>
      </w:r>
      <w:r>
        <w:t>2016</w:t>
      </w:r>
      <w:r>
        <w:t>) 63 Cal.4th 399, 408</w:t>
      </w:r>
      <w:r>
        <w:t>.</w:t>
      </w:r>
      <w:r>
        <w:t>)</w:t>
      </w:r>
      <w:r>
        <w:t xml:space="preserve">  Sub</w:t>
      </w:r>
      <w:r>
        <w:t>division (m)</w:t>
      </w:r>
      <w:r>
        <w:t xml:space="preserve"> </w:t>
      </w:r>
      <w:r>
        <w:t xml:space="preserve">itself </w:t>
      </w:r>
      <w:r>
        <w:t>does not create a</w:t>
      </w:r>
      <w:r>
        <w:t>n</w:t>
      </w:r>
      <w:r>
        <w:t xml:space="preserve"> </w:t>
      </w:r>
      <w:r>
        <w:t xml:space="preserve">entitlement to </w:t>
      </w:r>
      <w:r>
        <w:t xml:space="preserve">resentencing outside of the </w:t>
      </w:r>
      <w:r>
        <w:t xml:space="preserve">petition process, without regard to the substantive requirements </w:t>
      </w:r>
      <w:r>
        <w:t>the voters prescribed in</w:t>
      </w:r>
      <w:r>
        <w:t xml:space="preserve"> </w:t>
      </w:r>
      <w:r>
        <w:t>section 1170.1</w:t>
      </w:r>
      <w:r w:rsidRPr="00EF423F">
        <w:t>8.</w:t>
      </w:r>
      <w:r w:rsidRPr="00EF423F">
        <w:t xml:space="preserve">  Defendant </w:t>
      </w:r>
      <w:r>
        <w:t xml:space="preserve">points to </w:t>
      </w:r>
      <w:r w:rsidRPr="00EF423F">
        <w:t xml:space="preserve">uncodified provisions of </w:t>
      </w:r>
      <w:r w:rsidRPr="00EF423F">
        <w:t xml:space="preserve">Proposition 47 </w:t>
      </w:r>
      <w:r>
        <w:t xml:space="preserve">that </w:t>
      </w:r>
      <w:r w:rsidRPr="00EF423F">
        <w:t>d</w:t>
      </w:r>
      <w:r w:rsidRPr="00EF423F">
        <w:t xml:space="preserve">irect courts to construe the measure </w:t>
      </w:r>
      <w:r w:rsidRPr="00EF423F">
        <w:t>“</w:t>
      </w:r>
      <w:r w:rsidRPr="00EF423F">
        <w:t>broadly</w:t>
      </w:r>
      <w:r w:rsidRPr="00EF423F">
        <w:t>” and “</w:t>
      </w:r>
      <w:proofErr w:type="gramStart"/>
      <w:r w:rsidRPr="00EF423F">
        <w:t xml:space="preserve">liberally </w:t>
      </w:r>
      <w:r>
        <w:t>.</w:t>
      </w:r>
      <w:proofErr w:type="gramEnd"/>
      <w:r>
        <w:t xml:space="preserve"> . . </w:t>
      </w:r>
      <w:r w:rsidRPr="00EF423F">
        <w:t>to effectuate its purposes” (</w:t>
      </w:r>
      <w:r>
        <w:t xml:space="preserve">Voter Information Guide, </w:t>
      </w:r>
      <w:r w:rsidRPr="00FF010D">
        <w:rPr>
          <w:i/>
        </w:rPr>
        <w:t>supra</w:t>
      </w:r>
      <w:r>
        <w:t>, text of Prop</w:t>
      </w:r>
      <w:proofErr w:type="gramStart"/>
      <w:r>
        <w:t xml:space="preserve">. </w:t>
      </w:r>
      <w:proofErr w:type="gramEnd"/>
      <w:r>
        <w:t>47, §§ 15, 18, p. 74</w:t>
      </w:r>
      <w:r w:rsidRPr="00EF423F">
        <w:t>)</w:t>
      </w:r>
      <w:r w:rsidRPr="00EF423F">
        <w:t>.</w:t>
      </w:r>
      <w:r w:rsidRPr="00EF423F">
        <w:t xml:space="preserve">  </w:t>
      </w:r>
      <w:r w:rsidRPr="00EF423F">
        <w:rPr>
          <w:szCs w:val="26"/>
        </w:rPr>
        <w:t xml:space="preserve">But </w:t>
      </w:r>
      <w:r>
        <w:rPr>
          <w:szCs w:val="26"/>
        </w:rPr>
        <w:t>consideration of this general interpretive direction does not relieve us of our oblig</w:t>
      </w:r>
      <w:r>
        <w:rPr>
          <w:szCs w:val="26"/>
        </w:rPr>
        <w:t xml:space="preserve">ation to </w:t>
      </w:r>
      <w:proofErr w:type="gramStart"/>
      <w:r w:rsidRPr="00EF423F">
        <w:rPr>
          <w:szCs w:val="26"/>
        </w:rPr>
        <w:t>“ ‘</w:t>
      </w:r>
      <w:proofErr w:type="gramEnd"/>
      <w:r>
        <w:rPr>
          <w:szCs w:val="26"/>
        </w:rPr>
        <w:t> “ ‘</w:t>
      </w:r>
      <w:r w:rsidRPr="00EF423F">
        <w:rPr>
          <w:szCs w:val="26"/>
        </w:rPr>
        <w:t xml:space="preserve">follow the </w:t>
      </w:r>
      <w:r>
        <w:rPr>
          <w:szCs w:val="26"/>
        </w:rPr>
        <w:t xml:space="preserve">[voters’] </w:t>
      </w:r>
      <w:r w:rsidRPr="00EF423F">
        <w:rPr>
          <w:szCs w:val="26"/>
        </w:rPr>
        <w:t>intent, as exhibited by the plain meaning of the actual words of the law . . . .</w:t>
      </w:r>
      <w:r>
        <w:rPr>
          <w:szCs w:val="26"/>
        </w:rPr>
        <w:t>’ ” ’ ”</w:t>
      </w:r>
      <w:r>
        <w:rPr>
          <w:szCs w:val="26"/>
        </w:rPr>
        <w:t xml:space="preserve"> </w:t>
      </w:r>
      <w:r w:rsidRPr="00EF423F">
        <w:rPr>
          <w:szCs w:val="26"/>
        </w:rPr>
        <w:t xml:space="preserve"> (</w:t>
      </w:r>
      <w:r w:rsidRPr="00EF423F">
        <w:rPr>
          <w:i/>
          <w:iCs/>
          <w:szCs w:val="26"/>
        </w:rPr>
        <w:t>Flatley v. Mauro</w:t>
      </w:r>
      <w:r w:rsidRPr="00EF423F">
        <w:rPr>
          <w:szCs w:val="26"/>
        </w:rPr>
        <w:t xml:space="preserve"> (2006) 39 Cal.4th 299, 312</w:t>
      </w:r>
      <w:r>
        <w:rPr>
          <w:szCs w:val="26"/>
        </w:rPr>
        <w:t xml:space="preserve">; see </w:t>
      </w:r>
      <w:r>
        <w:rPr>
          <w:i/>
          <w:szCs w:val="26"/>
        </w:rPr>
        <w:t>People v. Martinez</w:t>
      </w:r>
      <w:r>
        <w:rPr>
          <w:szCs w:val="26"/>
        </w:rPr>
        <w:t xml:space="preserve"> (2017) 2 Cal.5th 1093, 1107.</w:t>
      </w:r>
      <w:r w:rsidRPr="00EF423F">
        <w:rPr>
          <w:szCs w:val="26"/>
        </w:rPr>
        <w:t>)</w:t>
      </w:r>
      <w:r>
        <w:rPr>
          <w:szCs w:val="26"/>
        </w:rPr>
        <w:t xml:space="preserve">  </w:t>
      </w:r>
    </w:p>
    <w:p w:rsidR="0035737A" w:rsidRPr="0035737A" w:rsidRDefault="000C45F6" w:rsidP="002702FC">
      <w:pPr>
        <w:pStyle w:val="Heading1"/>
      </w:pPr>
      <w:r>
        <w:t>III.</w:t>
      </w:r>
    </w:p>
    <w:p w:rsidR="0035737A" w:rsidRDefault="000C45F6" w:rsidP="0035737A">
      <w:pPr>
        <w:pStyle w:val="Text"/>
      </w:pPr>
      <w:r>
        <w:t>T</w:t>
      </w:r>
      <w:r>
        <w:t xml:space="preserve">he judgment of the </w:t>
      </w:r>
      <w:r>
        <w:t>Court of Appeal</w:t>
      </w:r>
      <w:r>
        <w:t xml:space="preserve"> </w:t>
      </w:r>
      <w:proofErr w:type="gramStart"/>
      <w:r>
        <w:t>is affirmed</w:t>
      </w:r>
      <w:proofErr w:type="gramEnd"/>
      <w:r>
        <w:t xml:space="preserve">.  </w:t>
      </w:r>
    </w:p>
    <w:p w:rsidR="00CC1EC2" w:rsidRDefault="000C45F6" w:rsidP="0035737A">
      <w:pPr>
        <w:pStyle w:val="Text"/>
      </w:pPr>
    </w:p>
    <w:p w:rsidR="00E12373" w:rsidRDefault="000C45F6" w:rsidP="0035737A">
      <w:pPr>
        <w:pStyle w:val="Text"/>
        <w:rPr>
          <w:b/>
          <w:smallCaps/>
        </w:rPr>
      </w:pPr>
      <w:r w:rsidRPr="0035737A">
        <w:tab/>
      </w:r>
      <w:r w:rsidRPr="0035737A">
        <w:tab/>
      </w:r>
      <w:r w:rsidRPr="0035737A">
        <w:tab/>
      </w:r>
      <w:r w:rsidRPr="0035737A">
        <w:tab/>
      </w:r>
      <w:r w:rsidRPr="0035737A">
        <w:tab/>
      </w:r>
      <w:r w:rsidRPr="00CC1EC2">
        <w:rPr>
          <w:b/>
          <w:smallCaps/>
        </w:rPr>
        <w:t>K</w:t>
      </w:r>
      <w:r>
        <w:rPr>
          <w:b/>
          <w:smallCaps/>
        </w:rPr>
        <w:t>RUGER</w:t>
      </w:r>
      <w:r w:rsidRPr="00CC1EC2">
        <w:rPr>
          <w:b/>
          <w:smallCaps/>
        </w:rPr>
        <w:t xml:space="preserve">, </w:t>
      </w:r>
      <w:r w:rsidRPr="00CC1EC2">
        <w:rPr>
          <w:b/>
          <w:smallCaps/>
        </w:rPr>
        <w:t>J.</w:t>
      </w:r>
    </w:p>
    <w:p w:rsidR="00CC1EC2" w:rsidRDefault="000C45F6" w:rsidP="00E71BC4">
      <w:pPr>
        <w:pStyle w:val="Text"/>
        <w:ind w:firstLine="0"/>
        <w:rPr>
          <w:b/>
          <w:smallCaps/>
        </w:rPr>
      </w:pPr>
      <w:r>
        <w:rPr>
          <w:b/>
          <w:smallCaps/>
        </w:rPr>
        <w:t>WE CONCUR</w:t>
      </w:r>
      <w:r>
        <w:rPr>
          <w:b/>
          <w:smallCaps/>
        </w:rPr>
        <w:t>:</w:t>
      </w:r>
    </w:p>
    <w:p w:rsidR="00EB749F" w:rsidRDefault="000C45F6" w:rsidP="00EB749F">
      <w:pPr>
        <w:pStyle w:val="Text"/>
        <w:spacing w:line="240" w:lineRule="auto"/>
        <w:ind w:firstLine="0"/>
        <w:rPr>
          <w:b/>
          <w:smallCaps/>
        </w:rPr>
      </w:pPr>
    </w:p>
    <w:p w:rsidR="00EB749F" w:rsidRPr="00EB749F" w:rsidRDefault="000C45F6" w:rsidP="00EB749F">
      <w:pPr>
        <w:pStyle w:val="Text"/>
        <w:spacing w:line="240" w:lineRule="auto"/>
        <w:ind w:firstLine="0"/>
        <w:rPr>
          <w:b/>
          <w:caps/>
        </w:rPr>
      </w:pPr>
      <w:r w:rsidRPr="00EB749F">
        <w:rPr>
          <w:b/>
          <w:caps/>
        </w:rPr>
        <w:t>Cantil-Sakauye, C. J.</w:t>
      </w:r>
    </w:p>
    <w:p w:rsidR="00EB749F" w:rsidRPr="00EB749F" w:rsidRDefault="000C45F6" w:rsidP="00EB749F">
      <w:pPr>
        <w:pStyle w:val="Text"/>
        <w:spacing w:line="240" w:lineRule="auto"/>
        <w:ind w:firstLine="0"/>
        <w:rPr>
          <w:b/>
          <w:caps/>
        </w:rPr>
      </w:pPr>
      <w:r w:rsidRPr="00EB749F">
        <w:rPr>
          <w:b/>
          <w:caps/>
        </w:rPr>
        <w:t>Chin, J.</w:t>
      </w:r>
    </w:p>
    <w:p w:rsidR="00EB749F" w:rsidRPr="00EB749F" w:rsidRDefault="000C45F6" w:rsidP="00EB749F">
      <w:pPr>
        <w:pStyle w:val="Text"/>
        <w:spacing w:line="240" w:lineRule="auto"/>
        <w:ind w:firstLine="0"/>
        <w:rPr>
          <w:b/>
          <w:caps/>
        </w:rPr>
      </w:pPr>
      <w:r w:rsidRPr="00EB749F">
        <w:rPr>
          <w:b/>
          <w:caps/>
        </w:rPr>
        <w:t>Corrigan, J.</w:t>
      </w:r>
    </w:p>
    <w:p w:rsidR="00EB749F" w:rsidRPr="00EB749F" w:rsidRDefault="000C45F6" w:rsidP="00EB749F">
      <w:pPr>
        <w:pStyle w:val="Text"/>
        <w:spacing w:line="240" w:lineRule="auto"/>
        <w:ind w:firstLine="0"/>
        <w:rPr>
          <w:b/>
          <w:caps/>
        </w:rPr>
      </w:pPr>
      <w:r w:rsidRPr="00EB749F">
        <w:rPr>
          <w:b/>
          <w:caps/>
        </w:rPr>
        <w:t>Liu, J.</w:t>
      </w:r>
    </w:p>
    <w:p w:rsidR="00EB749F" w:rsidRPr="00EB749F" w:rsidRDefault="000C45F6" w:rsidP="00EB749F">
      <w:pPr>
        <w:pStyle w:val="Text"/>
        <w:spacing w:line="240" w:lineRule="auto"/>
        <w:ind w:firstLine="0"/>
        <w:rPr>
          <w:b/>
          <w:caps/>
        </w:rPr>
      </w:pPr>
      <w:r w:rsidRPr="00EB749F">
        <w:rPr>
          <w:b/>
          <w:caps/>
        </w:rPr>
        <w:t>Cu</w:t>
      </w:r>
      <w:r>
        <w:rPr>
          <w:b/>
          <w:caps/>
        </w:rPr>
        <w:t>É</w:t>
      </w:r>
      <w:r w:rsidRPr="00EB749F">
        <w:rPr>
          <w:b/>
          <w:caps/>
        </w:rPr>
        <w:t>llar, J.</w:t>
      </w:r>
    </w:p>
    <w:p w:rsidR="000C45F6" w:rsidRDefault="000C45F6" w:rsidP="00EB749F">
      <w:pPr>
        <w:pStyle w:val="Text"/>
        <w:spacing w:line="240" w:lineRule="auto"/>
        <w:ind w:firstLine="0"/>
        <w:rPr>
          <w:rStyle w:val="FootnoteReference"/>
          <w:b w:val="0"/>
          <w:smallCaps/>
        </w:rPr>
        <w:sectPr w:rsidR="000C45F6" w:rsidSect="0006209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152" w:left="1800" w:header="720" w:footer="720" w:gutter="0"/>
          <w:cols w:space="720"/>
          <w:titlePg/>
        </w:sectPr>
      </w:pPr>
      <w:r w:rsidRPr="00EB749F">
        <w:rPr>
          <w:b/>
          <w:caps/>
        </w:rPr>
        <w:t>Needham, J.</w:t>
      </w:r>
      <w:r>
        <w:rPr>
          <w:rStyle w:val="FootnoteReference"/>
          <w:b w:val="0"/>
          <w:smallCaps/>
        </w:rPr>
        <w:footnoteReference w:customMarkFollows="1" w:id="6"/>
        <w:t>*</w:t>
      </w:r>
    </w:p>
    <w:p w:rsidR="000C45F6" w:rsidRDefault="000C45F6" w:rsidP="000C45F6">
      <w:pPr>
        <w:rPr>
          <w:i/>
          <w:sz w:val="20"/>
        </w:rPr>
      </w:pPr>
      <w:r>
        <w:rPr>
          <w:i/>
          <w:sz w:val="20"/>
        </w:rPr>
        <w:t>See next page for addresses and telephone numbers for counsel who argued in Supreme Court.</w:t>
      </w:r>
    </w:p>
    <w:p w:rsidR="000C45F6" w:rsidRDefault="000C45F6" w:rsidP="000C45F6">
      <w:pPr>
        <w:rPr>
          <w:i/>
          <w:sz w:val="20"/>
        </w:rPr>
      </w:pPr>
    </w:p>
    <w:p w:rsidR="000C45F6" w:rsidRPr="007D05E0" w:rsidRDefault="000C45F6" w:rsidP="000C45F6">
      <w:pPr>
        <w:rPr>
          <w:bCs/>
          <w:i/>
          <w:sz w:val="20"/>
        </w:rPr>
      </w:pPr>
      <w:r>
        <w:rPr>
          <w:b/>
          <w:sz w:val="20"/>
        </w:rPr>
        <w:t>Name of Opinion</w:t>
      </w:r>
      <w:r>
        <w:rPr>
          <w:sz w:val="20"/>
        </w:rPr>
        <w:t xml:space="preserve"> People v. DeHoyos</w:t>
      </w:r>
    </w:p>
    <w:p w:rsidR="000C45F6" w:rsidRDefault="000C45F6" w:rsidP="000C45F6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</w:t>
      </w:r>
    </w:p>
    <w:p w:rsidR="000C45F6" w:rsidRDefault="000C45F6" w:rsidP="000C45F6">
      <w:pPr>
        <w:rPr>
          <w:b/>
          <w:sz w:val="20"/>
        </w:rPr>
      </w:pPr>
    </w:p>
    <w:p w:rsidR="000C45F6" w:rsidRDefault="000C45F6" w:rsidP="000C45F6">
      <w:pPr>
        <w:rPr>
          <w:bCs/>
          <w:sz w:val="20"/>
        </w:rPr>
      </w:pPr>
      <w:r>
        <w:rPr>
          <w:b/>
          <w:sz w:val="20"/>
        </w:rPr>
        <w:t>Unpublished Opinion</w:t>
      </w:r>
    </w:p>
    <w:p w:rsidR="000C45F6" w:rsidRDefault="000C45F6" w:rsidP="000C45F6">
      <w:pPr>
        <w:rPr>
          <w:sz w:val="20"/>
        </w:rPr>
      </w:pPr>
      <w:r>
        <w:rPr>
          <w:b/>
          <w:sz w:val="20"/>
        </w:rPr>
        <w:t>Original Appeal</w:t>
      </w:r>
    </w:p>
    <w:p w:rsidR="000C45F6" w:rsidRDefault="000C45F6" w:rsidP="000C45F6">
      <w:pPr>
        <w:rPr>
          <w:b/>
          <w:sz w:val="20"/>
        </w:rPr>
      </w:pPr>
      <w:r>
        <w:rPr>
          <w:b/>
          <w:sz w:val="20"/>
        </w:rPr>
        <w:t>Original Proceeding</w:t>
      </w:r>
    </w:p>
    <w:p w:rsidR="000C45F6" w:rsidRPr="007D05E0" w:rsidRDefault="000C45F6" w:rsidP="000C45F6">
      <w:pPr>
        <w:rPr>
          <w:sz w:val="20"/>
        </w:rPr>
      </w:pPr>
      <w:r>
        <w:rPr>
          <w:b/>
          <w:sz w:val="20"/>
        </w:rPr>
        <w:t>Review Granted</w:t>
      </w:r>
      <w:r>
        <w:rPr>
          <w:sz w:val="20"/>
        </w:rPr>
        <w:t xml:space="preserve"> XXX 238 Cal.App.4th 263</w:t>
      </w:r>
    </w:p>
    <w:p w:rsidR="000C45F6" w:rsidRDefault="000C45F6" w:rsidP="000C45F6">
      <w:pPr>
        <w:rPr>
          <w:b/>
          <w:sz w:val="20"/>
        </w:rPr>
      </w:pPr>
      <w:r>
        <w:rPr>
          <w:b/>
          <w:sz w:val="20"/>
        </w:rPr>
        <w:t>Rehearing Granted</w:t>
      </w:r>
    </w:p>
    <w:p w:rsidR="000C45F6" w:rsidRDefault="000C45F6" w:rsidP="000C45F6">
      <w:pPr>
        <w:rPr>
          <w:b/>
          <w:sz w:val="20"/>
        </w:rPr>
      </w:pPr>
    </w:p>
    <w:p w:rsidR="000C45F6" w:rsidRDefault="000C45F6" w:rsidP="000C45F6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</w:t>
      </w:r>
    </w:p>
    <w:p w:rsidR="000C45F6" w:rsidRDefault="000C45F6" w:rsidP="000C45F6">
      <w:pPr>
        <w:rPr>
          <w:b/>
          <w:sz w:val="20"/>
        </w:rPr>
      </w:pPr>
    </w:p>
    <w:p w:rsidR="000C45F6" w:rsidRPr="007D05E0" w:rsidRDefault="000C45F6" w:rsidP="000C45F6">
      <w:pPr>
        <w:rPr>
          <w:bCs/>
          <w:sz w:val="20"/>
        </w:rPr>
      </w:pPr>
      <w:r>
        <w:rPr>
          <w:b/>
          <w:sz w:val="20"/>
        </w:rPr>
        <w:t>Opinion No.</w:t>
      </w:r>
      <w:r>
        <w:rPr>
          <w:sz w:val="20"/>
        </w:rPr>
        <w:t xml:space="preserve"> S228230</w:t>
      </w:r>
    </w:p>
    <w:p w:rsidR="000C45F6" w:rsidRPr="007D05E0" w:rsidRDefault="000C45F6" w:rsidP="000C45F6">
      <w:pPr>
        <w:rPr>
          <w:bCs/>
          <w:sz w:val="20"/>
        </w:rPr>
      </w:pPr>
      <w:r>
        <w:rPr>
          <w:b/>
          <w:sz w:val="20"/>
        </w:rPr>
        <w:t>Date Filed:</w:t>
      </w:r>
      <w:r>
        <w:rPr>
          <w:sz w:val="20"/>
        </w:rPr>
        <w:t xml:space="preserve"> March 12, 2018</w:t>
      </w:r>
    </w:p>
    <w:p w:rsidR="000C45F6" w:rsidRDefault="000C45F6" w:rsidP="000C45F6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</w:t>
      </w:r>
    </w:p>
    <w:p w:rsidR="000C45F6" w:rsidRDefault="000C45F6" w:rsidP="000C45F6">
      <w:pPr>
        <w:rPr>
          <w:b/>
          <w:sz w:val="20"/>
        </w:rPr>
      </w:pPr>
    </w:p>
    <w:p w:rsidR="000C45F6" w:rsidRPr="007D05E0" w:rsidRDefault="000C45F6" w:rsidP="000C45F6">
      <w:pPr>
        <w:rPr>
          <w:bCs/>
          <w:sz w:val="20"/>
        </w:rPr>
      </w:pPr>
      <w:r>
        <w:rPr>
          <w:b/>
          <w:sz w:val="20"/>
        </w:rPr>
        <w:t>Court:</w:t>
      </w:r>
      <w:r>
        <w:rPr>
          <w:sz w:val="20"/>
        </w:rPr>
        <w:t xml:space="preserve"> Superior</w:t>
      </w:r>
    </w:p>
    <w:p w:rsidR="000C45F6" w:rsidRPr="007D05E0" w:rsidRDefault="000C45F6" w:rsidP="000C45F6">
      <w:pPr>
        <w:rPr>
          <w:bCs/>
          <w:sz w:val="20"/>
        </w:rPr>
      </w:pPr>
      <w:r>
        <w:rPr>
          <w:b/>
          <w:sz w:val="20"/>
        </w:rPr>
        <w:t>County:</w:t>
      </w:r>
      <w:r>
        <w:rPr>
          <w:sz w:val="20"/>
        </w:rPr>
        <w:t xml:space="preserve"> San Diego</w:t>
      </w:r>
    </w:p>
    <w:p w:rsidR="000C45F6" w:rsidRPr="007D05E0" w:rsidRDefault="000C45F6" w:rsidP="000C45F6">
      <w:pPr>
        <w:ind w:left="720" w:hanging="720"/>
        <w:rPr>
          <w:bCs/>
          <w:sz w:val="20"/>
        </w:rPr>
      </w:pPr>
      <w:r>
        <w:rPr>
          <w:b/>
          <w:sz w:val="20"/>
        </w:rPr>
        <w:t>Judge:</w:t>
      </w:r>
      <w:r>
        <w:rPr>
          <w:sz w:val="20"/>
        </w:rPr>
        <w:t xml:space="preserve"> Peter C. </w:t>
      </w:r>
      <w:proofErr w:type="spellStart"/>
      <w:r>
        <w:rPr>
          <w:sz w:val="20"/>
        </w:rPr>
        <w:t>Deddeh</w:t>
      </w:r>
      <w:proofErr w:type="spellEnd"/>
      <w:r>
        <w:rPr>
          <w:sz w:val="20"/>
        </w:rPr>
        <w:t xml:space="preserve">, Gale E. Kaneshiro and Lisa C. </w:t>
      </w:r>
      <w:proofErr w:type="spellStart"/>
      <w:r>
        <w:rPr>
          <w:sz w:val="20"/>
        </w:rPr>
        <w:t>Schall</w:t>
      </w:r>
      <w:proofErr w:type="spellEnd"/>
    </w:p>
    <w:p w:rsidR="000C45F6" w:rsidRDefault="000C45F6" w:rsidP="000C45F6">
      <w:pPr>
        <w:rPr>
          <w:b/>
          <w:sz w:val="20"/>
        </w:rPr>
      </w:pPr>
    </w:p>
    <w:p w:rsidR="000C45F6" w:rsidRDefault="000C45F6" w:rsidP="000C45F6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</w:t>
      </w:r>
    </w:p>
    <w:p w:rsidR="000C45F6" w:rsidRDefault="000C45F6" w:rsidP="000C45F6">
      <w:pPr>
        <w:rPr>
          <w:b/>
          <w:sz w:val="20"/>
        </w:rPr>
      </w:pPr>
    </w:p>
    <w:p w:rsidR="000C45F6" w:rsidRDefault="000C45F6" w:rsidP="000C45F6">
      <w:pPr>
        <w:rPr>
          <w:b/>
          <w:sz w:val="20"/>
        </w:rPr>
      </w:pPr>
      <w:r>
        <w:rPr>
          <w:b/>
          <w:sz w:val="20"/>
        </w:rPr>
        <w:t>Counsel:</w:t>
      </w:r>
    </w:p>
    <w:p w:rsidR="000C45F6" w:rsidRDefault="000C45F6" w:rsidP="000C45F6">
      <w:pPr>
        <w:rPr>
          <w:b/>
          <w:sz w:val="20"/>
        </w:rPr>
      </w:pPr>
    </w:p>
    <w:p w:rsidR="000C45F6" w:rsidRDefault="000C45F6" w:rsidP="000C45F6">
      <w:pPr>
        <w:rPr>
          <w:b/>
          <w:sz w:val="20"/>
        </w:rPr>
      </w:pPr>
      <w:r>
        <w:rPr>
          <w:sz w:val="20"/>
        </w:rPr>
        <w:t>Leslie Ann Rose, under appointment by the Supreme Court, Valerie G. Wass, under appointment by the Court of Appeal, and Howard C. Cohen for Defendant and Appellant Veronica Lorraine DeHoyos.</w:t>
      </w:r>
    </w:p>
    <w:p w:rsidR="000C45F6" w:rsidRDefault="000C45F6" w:rsidP="000C45F6">
      <w:pPr>
        <w:rPr>
          <w:b/>
          <w:sz w:val="20"/>
        </w:rPr>
      </w:pPr>
    </w:p>
    <w:p w:rsidR="000C45F6" w:rsidRDefault="000C45F6" w:rsidP="000C45F6">
      <w:pPr>
        <w:rPr>
          <w:sz w:val="20"/>
        </w:rPr>
      </w:pPr>
      <w:r>
        <w:rPr>
          <w:sz w:val="20"/>
        </w:rPr>
        <w:t xml:space="preserve">Lewis A. </w:t>
      </w:r>
      <w:proofErr w:type="spellStart"/>
      <w:r>
        <w:rPr>
          <w:sz w:val="20"/>
        </w:rPr>
        <w:t>Wenzell</w:t>
      </w:r>
      <w:proofErr w:type="spellEnd"/>
      <w:r>
        <w:rPr>
          <w:sz w:val="20"/>
        </w:rPr>
        <w:t xml:space="preserve">, under appointment by the Supreme Court, for Defendant and Appellant Gary Richard </w:t>
      </w:r>
      <w:proofErr w:type="spellStart"/>
      <w:r>
        <w:rPr>
          <w:sz w:val="20"/>
        </w:rPr>
        <w:t>DeGraff</w:t>
      </w:r>
      <w:proofErr w:type="spellEnd"/>
      <w:r>
        <w:rPr>
          <w:sz w:val="20"/>
        </w:rPr>
        <w:t>.</w:t>
      </w:r>
    </w:p>
    <w:p w:rsidR="000C45F6" w:rsidRDefault="000C45F6" w:rsidP="000C45F6">
      <w:pPr>
        <w:rPr>
          <w:sz w:val="20"/>
        </w:rPr>
      </w:pPr>
    </w:p>
    <w:p w:rsidR="000C45F6" w:rsidRDefault="000C45F6" w:rsidP="000C45F6">
      <w:pPr>
        <w:rPr>
          <w:b/>
          <w:sz w:val="20"/>
        </w:rPr>
      </w:pPr>
      <w:r>
        <w:rPr>
          <w:sz w:val="20"/>
        </w:rPr>
        <w:t xml:space="preserve">Kamala D. Harris and Xavier Becerra, Attorneys General, Gerald A. </w:t>
      </w:r>
      <w:proofErr w:type="spellStart"/>
      <w:r>
        <w:rPr>
          <w:sz w:val="20"/>
        </w:rPr>
        <w:t>Engler</w:t>
      </w:r>
      <w:proofErr w:type="spellEnd"/>
      <w:r>
        <w:rPr>
          <w:sz w:val="20"/>
        </w:rPr>
        <w:t xml:space="preserve">, Chief Assistant Attorney General, Julie L. Garland, Assistant Attorney General, Steven T. </w:t>
      </w:r>
      <w:proofErr w:type="spellStart"/>
      <w:r>
        <w:rPr>
          <w:sz w:val="20"/>
        </w:rPr>
        <w:t>Oetting</w:t>
      </w:r>
      <w:proofErr w:type="spellEnd"/>
      <w:r>
        <w:rPr>
          <w:sz w:val="20"/>
        </w:rPr>
        <w:t xml:space="preserve">, Deputy State Solicitor General, </w:t>
      </w:r>
      <w:proofErr w:type="spellStart"/>
      <w:r>
        <w:rPr>
          <w:sz w:val="20"/>
        </w:rPr>
        <w:t>Lise</w:t>
      </w:r>
      <w:proofErr w:type="spellEnd"/>
      <w:r>
        <w:rPr>
          <w:sz w:val="20"/>
        </w:rPr>
        <w:t xml:space="preserve"> Jacobson, Arlene A. </w:t>
      </w:r>
      <w:proofErr w:type="spellStart"/>
      <w:r>
        <w:rPr>
          <w:sz w:val="20"/>
        </w:rPr>
        <w:t>Sevidal</w:t>
      </w:r>
      <w:proofErr w:type="spellEnd"/>
      <w:r>
        <w:rPr>
          <w:sz w:val="20"/>
        </w:rPr>
        <w:t>, Sean M. Rodriquez and Allison V. Acosta, Deputy Attorneys General, for Plaintiff and Respondent.</w:t>
      </w:r>
    </w:p>
    <w:p w:rsidR="000C45F6" w:rsidRDefault="000C45F6" w:rsidP="000C45F6">
      <w:pPr>
        <w:rPr>
          <w:b/>
          <w:sz w:val="20"/>
        </w:rPr>
      </w:pPr>
    </w:p>
    <w:p w:rsidR="000C45F6" w:rsidRDefault="000C45F6" w:rsidP="000C45F6">
      <w:pPr>
        <w:rPr>
          <w:b/>
          <w:sz w:val="20"/>
        </w:rPr>
      </w:pPr>
    </w:p>
    <w:p w:rsidR="000C45F6" w:rsidRDefault="000C45F6" w:rsidP="000C45F6">
      <w:pPr>
        <w:rPr>
          <w:b/>
          <w:sz w:val="20"/>
        </w:rPr>
      </w:pPr>
    </w:p>
    <w:p w:rsidR="000C45F6" w:rsidRDefault="000C45F6" w:rsidP="000C45F6">
      <w:pPr>
        <w:rPr>
          <w:b/>
          <w:sz w:val="20"/>
        </w:rPr>
      </w:pPr>
      <w:r>
        <w:rPr>
          <w:b/>
          <w:sz w:val="20"/>
        </w:rPr>
        <w:br w:type="page"/>
      </w:r>
    </w:p>
    <w:p w:rsidR="000C45F6" w:rsidRDefault="000C45F6" w:rsidP="000C45F6">
      <w:pPr>
        <w:rPr>
          <w:b/>
          <w:sz w:val="20"/>
        </w:rPr>
      </w:pPr>
    </w:p>
    <w:p w:rsidR="000C45F6" w:rsidRDefault="000C45F6" w:rsidP="000C45F6">
      <w:pPr>
        <w:rPr>
          <w:b/>
          <w:sz w:val="20"/>
        </w:rPr>
      </w:pPr>
    </w:p>
    <w:p w:rsidR="000C45F6" w:rsidRDefault="000C45F6" w:rsidP="000C45F6">
      <w:pPr>
        <w:rPr>
          <w:b/>
          <w:sz w:val="20"/>
        </w:rPr>
      </w:pPr>
    </w:p>
    <w:p w:rsidR="000C45F6" w:rsidRDefault="000C45F6" w:rsidP="000C45F6">
      <w:pPr>
        <w:rPr>
          <w:b/>
          <w:sz w:val="20"/>
        </w:rPr>
      </w:pPr>
      <w:r>
        <w:rPr>
          <w:b/>
          <w:sz w:val="20"/>
        </w:rPr>
        <w:t>Counsel who argued in Supreme Court (not intended for publication with opinion):</w:t>
      </w:r>
    </w:p>
    <w:p w:rsidR="000C45F6" w:rsidRDefault="000C45F6" w:rsidP="000C45F6">
      <w:pPr>
        <w:rPr>
          <w:b/>
          <w:sz w:val="20"/>
        </w:rPr>
      </w:pPr>
    </w:p>
    <w:p w:rsidR="000C45F6" w:rsidRDefault="000C45F6" w:rsidP="000C45F6">
      <w:pPr>
        <w:rPr>
          <w:sz w:val="20"/>
        </w:rPr>
      </w:pPr>
      <w:r>
        <w:rPr>
          <w:sz w:val="20"/>
        </w:rPr>
        <w:t>Howard C. Cohen</w:t>
      </w:r>
    </w:p>
    <w:p w:rsidR="000C45F6" w:rsidRDefault="000C45F6" w:rsidP="000C45F6">
      <w:pPr>
        <w:rPr>
          <w:sz w:val="20"/>
        </w:rPr>
      </w:pPr>
      <w:r>
        <w:rPr>
          <w:sz w:val="20"/>
        </w:rPr>
        <w:t>Appellate Defenders, Inc.</w:t>
      </w:r>
    </w:p>
    <w:p w:rsidR="000C45F6" w:rsidRDefault="000C45F6" w:rsidP="000C45F6">
      <w:pPr>
        <w:rPr>
          <w:sz w:val="20"/>
        </w:rPr>
      </w:pPr>
      <w:r>
        <w:rPr>
          <w:sz w:val="20"/>
        </w:rPr>
        <w:t>555 West Beech Street, Suite 300</w:t>
      </w:r>
    </w:p>
    <w:p w:rsidR="000C45F6" w:rsidRDefault="000C45F6" w:rsidP="000C45F6">
      <w:pPr>
        <w:rPr>
          <w:sz w:val="20"/>
        </w:rPr>
      </w:pPr>
      <w:r>
        <w:rPr>
          <w:sz w:val="20"/>
        </w:rPr>
        <w:t>San Diego, CA  92101-2939</w:t>
      </w:r>
    </w:p>
    <w:p w:rsidR="000C45F6" w:rsidRDefault="000C45F6" w:rsidP="000C45F6">
      <w:pPr>
        <w:rPr>
          <w:sz w:val="20"/>
        </w:rPr>
      </w:pPr>
      <w:r>
        <w:rPr>
          <w:sz w:val="20"/>
        </w:rPr>
        <w:t>(619) 696-0282</w:t>
      </w:r>
    </w:p>
    <w:p w:rsidR="000C45F6" w:rsidRDefault="000C45F6" w:rsidP="000C45F6">
      <w:pPr>
        <w:rPr>
          <w:sz w:val="20"/>
        </w:rPr>
      </w:pPr>
    </w:p>
    <w:p w:rsidR="000C45F6" w:rsidRDefault="000C45F6" w:rsidP="000C45F6">
      <w:pPr>
        <w:rPr>
          <w:sz w:val="20"/>
        </w:rPr>
      </w:pPr>
      <w:r>
        <w:rPr>
          <w:sz w:val="20"/>
        </w:rPr>
        <w:t>Allison V. Acosta</w:t>
      </w:r>
    </w:p>
    <w:p w:rsidR="000C45F6" w:rsidRDefault="000C45F6" w:rsidP="000C45F6">
      <w:pPr>
        <w:rPr>
          <w:sz w:val="20"/>
        </w:rPr>
      </w:pPr>
      <w:r>
        <w:rPr>
          <w:sz w:val="20"/>
        </w:rPr>
        <w:t>Deputy Attorney General</w:t>
      </w:r>
    </w:p>
    <w:p w:rsidR="000C45F6" w:rsidRDefault="000C45F6" w:rsidP="000C45F6">
      <w:pPr>
        <w:rPr>
          <w:sz w:val="20"/>
        </w:rPr>
      </w:pPr>
      <w:r>
        <w:rPr>
          <w:sz w:val="20"/>
        </w:rPr>
        <w:t>600 West Broadway, Suite 1800</w:t>
      </w:r>
    </w:p>
    <w:p w:rsidR="000C45F6" w:rsidRDefault="000C45F6" w:rsidP="000C45F6">
      <w:pPr>
        <w:rPr>
          <w:sz w:val="20"/>
        </w:rPr>
      </w:pPr>
      <w:r>
        <w:rPr>
          <w:sz w:val="20"/>
        </w:rPr>
        <w:t>San Diego, CA  92101</w:t>
      </w:r>
    </w:p>
    <w:p w:rsidR="000C45F6" w:rsidRDefault="000C45F6" w:rsidP="000C45F6">
      <w:pPr>
        <w:rPr>
          <w:b/>
          <w:sz w:val="20"/>
        </w:rPr>
      </w:pPr>
      <w:r>
        <w:rPr>
          <w:sz w:val="20"/>
        </w:rPr>
        <w:t>(619) 738-9111</w:t>
      </w:r>
    </w:p>
    <w:p w:rsidR="00EB749F" w:rsidRDefault="000C45F6" w:rsidP="00EB749F">
      <w:pPr>
        <w:pStyle w:val="Text"/>
        <w:spacing w:line="240" w:lineRule="auto"/>
        <w:ind w:firstLine="0"/>
        <w:rPr>
          <w:b/>
          <w:smallCaps/>
        </w:rPr>
      </w:pPr>
    </w:p>
    <w:sectPr w:rsidR="00EB74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45F6">
      <w:r>
        <w:separator/>
      </w:r>
    </w:p>
  </w:endnote>
  <w:endnote w:type="continuationSeparator" w:id="0">
    <w:p w:rsidR="00000000" w:rsidRDefault="000C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18" w:rsidRDefault="000C45F6" w:rsidP="006477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71818" w:rsidRDefault="000C45F6" w:rsidP="006477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18" w:rsidRDefault="000C45F6" w:rsidP="006477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571818" w:rsidRDefault="000C45F6" w:rsidP="0064773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74" w:rsidRDefault="000C45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40" w:rsidRDefault="000C45F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40" w:rsidRDefault="000C45F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40" w:rsidRDefault="000C4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11D" w:rsidRDefault="000C45F6">
      <w:r>
        <w:separator/>
      </w:r>
    </w:p>
  </w:footnote>
  <w:footnote w:type="continuationSeparator" w:id="0">
    <w:p w:rsidR="007D211D" w:rsidRDefault="000C45F6">
      <w:pPr>
        <w:rPr>
          <w:sz w:val="22"/>
        </w:rPr>
      </w:pPr>
      <w:r>
        <w:rPr>
          <w:sz w:val="22"/>
        </w:rPr>
        <w:continuationSeparator/>
      </w:r>
    </w:p>
    <w:p w:rsidR="007D211D" w:rsidRDefault="000C45F6">
      <w:pPr>
        <w:rPr>
          <w:i/>
          <w:sz w:val="20"/>
        </w:rPr>
      </w:pPr>
      <w:r>
        <w:rPr>
          <w:i/>
          <w:sz w:val="20"/>
        </w:rPr>
        <w:t xml:space="preserve">(footnote </w:t>
      </w:r>
      <w:r>
        <w:rPr>
          <w:i/>
          <w:sz w:val="20"/>
        </w:rPr>
        <w:t>continued from previous page)</w:t>
      </w:r>
    </w:p>
    <w:p w:rsidR="007D211D" w:rsidRDefault="000C45F6">
      <w:pPr>
        <w:rPr>
          <w:sz w:val="22"/>
        </w:rPr>
      </w:pPr>
    </w:p>
  </w:footnote>
  <w:footnote w:type="continuationNotice" w:id="1">
    <w:p w:rsidR="007D211D" w:rsidRDefault="000C45F6">
      <w:pPr>
        <w:rPr>
          <w:i/>
          <w:sz w:val="22"/>
        </w:rPr>
      </w:pPr>
    </w:p>
    <w:p w:rsidR="007D211D" w:rsidRDefault="000C45F6">
      <w:pPr>
        <w:jc w:val="right"/>
        <w:rPr>
          <w:i/>
          <w:sz w:val="20"/>
        </w:rPr>
      </w:pPr>
      <w:r>
        <w:rPr>
          <w:i/>
          <w:sz w:val="20"/>
        </w:rPr>
        <w:t xml:space="preserve">(footnote </w:t>
      </w:r>
      <w:proofErr w:type="gramStart"/>
      <w:r>
        <w:rPr>
          <w:i/>
          <w:sz w:val="20"/>
        </w:rPr>
        <w:t>continued on</w:t>
      </w:r>
      <w:proofErr w:type="gramEnd"/>
      <w:r>
        <w:rPr>
          <w:i/>
          <w:sz w:val="20"/>
        </w:rPr>
        <w:t xml:space="preserve"> next page)</w:t>
      </w:r>
    </w:p>
  </w:footnote>
  <w:footnote w:id="2">
    <w:p w:rsidR="00571818" w:rsidRPr="004B4594" w:rsidRDefault="000C45F6" w:rsidP="00B043C2">
      <w:pPr>
        <w:pStyle w:val="FootnoteText"/>
        <w:spacing w:before="12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590632">
        <w:t>Proposition 47 also redefined possession of cannabis or concentrated cannabis as a misdemeanor</w:t>
      </w:r>
      <w:r w:rsidRPr="00590632">
        <w:t xml:space="preserve"> or felony, depending on the offender’s criminal history</w:t>
      </w:r>
      <w:r w:rsidRPr="00590632">
        <w:t xml:space="preserve">.  (See Health &amp; </w:t>
      </w:r>
      <w:proofErr w:type="spellStart"/>
      <w:r w:rsidRPr="00590632">
        <w:t>Saf</w:t>
      </w:r>
      <w:proofErr w:type="spellEnd"/>
      <w:proofErr w:type="gramStart"/>
      <w:r w:rsidRPr="00590632">
        <w:t xml:space="preserve">. </w:t>
      </w:r>
      <w:proofErr w:type="gramEnd"/>
      <w:r w:rsidRPr="00590632">
        <w:t>Code, former §</w:t>
      </w:r>
      <w:r w:rsidRPr="00590632">
        <w:t> 11357, subd</w:t>
      </w:r>
      <w:proofErr w:type="gramStart"/>
      <w:r w:rsidRPr="00590632">
        <w:t>. </w:t>
      </w:r>
      <w:proofErr w:type="gramEnd"/>
      <w:r w:rsidRPr="00590632">
        <w:t>(a), as amended by Prop</w:t>
      </w:r>
      <w:proofErr w:type="gramStart"/>
      <w:r w:rsidRPr="00590632">
        <w:t xml:space="preserve">. </w:t>
      </w:r>
      <w:proofErr w:type="gramEnd"/>
      <w:r w:rsidRPr="00590632">
        <w:t xml:space="preserve">47, § 12, and subsequently amended.)  Subsequent amendments, however, </w:t>
      </w:r>
      <w:r w:rsidRPr="00590632">
        <w:t xml:space="preserve">have </w:t>
      </w:r>
      <w:r w:rsidRPr="00590632">
        <w:t xml:space="preserve">partly </w:t>
      </w:r>
      <w:r w:rsidRPr="00590632">
        <w:t xml:space="preserve">decriminalized </w:t>
      </w:r>
      <w:r w:rsidRPr="00590632">
        <w:t xml:space="preserve">possession of cannabis </w:t>
      </w:r>
      <w:r w:rsidRPr="00590632">
        <w:t xml:space="preserve">and </w:t>
      </w:r>
      <w:r w:rsidRPr="00590632">
        <w:t xml:space="preserve">redefined the </w:t>
      </w:r>
      <w:r w:rsidRPr="00590632">
        <w:t xml:space="preserve">conduct still prohibited </w:t>
      </w:r>
      <w:r w:rsidRPr="00590632">
        <w:t>as either an infraction or a misdemeanor.  (See Health</w:t>
      </w:r>
      <w:r w:rsidRPr="00590632">
        <w:t xml:space="preserve"> &amp; </w:t>
      </w:r>
      <w:proofErr w:type="spellStart"/>
      <w:r w:rsidRPr="00590632">
        <w:t>Saf</w:t>
      </w:r>
      <w:proofErr w:type="spellEnd"/>
      <w:proofErr w:type="gramStart"/>
      <w:r w:rsidRPr="00590632">
        <w:t xml:space="preserve">. </w:t>
      </w:r>
      <w:proofErr w:type="gramEnd"/>
      <w:r w:rsidRPr="00590632">
        <w:t>Code, § 11357, as amended by Stats</w:t>
      </w:r>
      <w:proofErr w:type="gramStart"/>
      <w:r w:rsidRPr="00590632">
        <w:t>. </w:t>
      </w:r>
      <w:proofErr w:type="gramEnd"/>
      <w:r w:rsidRPr="00590632">
        <w:t xml:space="preserve">2017, </w:t>
      </w:r>
      <w:proofErr w:type="spellStart"/>
      <w:r w:rsidRPr="00590632">
        <w:t>ch.</w:t>
      </w:r>
      <w:proofErr w:type="spellEnd"/>
      <w:r w:rsidRPr="00590632">
        <w:t> 253</w:t>
      </w:r>
      <w:r>
        <w:t>,</w:t>
      </w:r>
      <w:r w:rsidRPr="00590632">
        <w:t xml:space="preserve"> §</w:t>
      </w:r>
      <w:r w:rsidRPr="00EF423F">
        <w:t xml:space="preserve"> 15, </w:t>
      </w:r>
      <w:r>
        <w:t>pp. 2351</w:t>
      </w:r>
      <w:r w:rsidRPr="00347F69">
        <w:t>–</w:t>
      </w:r>
      <w:r>
        <w:t xml:space="preserve">2352, </w:t>
      </w:r>
      <w:r w:rsidRPr="00EF423F">
        <w:t>eff</w:t>
      </w:r>
      <w:r>
        <w:t>.</w:t>
      </w:r>
      <w:r w:rsidRPr="00EF423F">
        <w:t xml:space="preserve"> Sept</w:t>
      </w:r>
      <w:r>
        <w:t>.</w:t>
      </w:r>
      <w:r w:rsidRPr="00EF423F">
        <w:t xml:space="preserve"> 16, 2017.)</w:t>
      </w:r>
      <w:r w:rsidRPr="004B4594">
        <w:t xml:space="preserve">  </w:t>
      </w:r>
    </w:p>
  </w:footnote>
  <w:footnote w:id="3">
    <w:p w:rsidR="00571818" w:rsidRPr="00F720F9" w:rsidRDefault="000C45F6" w:rsidP="008904C7">
      <w:pPr>
        <w:pStyle w:val="FootnoteText"/>
        <w:spacing w:before="120"/>
      </w:pPr>
      <w:r w:rsidRPr="004B4594">
        <w:rPr>
          <w:rStyle w:val="FootnoteReference"/>
        </w:rPr>
        <w:footnoteRef/>
      </w:r>
      <w:r w:rsidRPr="004B4594">
        <w:t xml:space="preserve"> </w:t>
      </w:r>
      <w:r w:rsidRPr="004B4594">
        <w:tab/>
        <w:t>Section 1170.18, as adopted by the voters, permitted “[a] person</w:t>
      </w:r>
      <w:r>
        <w:t xml:space="preserve"> </w:t>
      </w:r>
      <w:r w:rsidRPr="00DC6AC0">
        <w:rPr>
          <w:i/>
        </w:rPr>
        <w:t>currently serving a sentence</w:t>
      </w:r>
      <w:r>
        <w:t xml:space="preserve">” to petition for recall of sentence, and required that </w:t>
      </w:r>
      <w:r>
        <w:t xml:space="preserve">recall petitions </w:t>
      </w:r>
      <w:proofErr w:type="gramStart"/>
      <w:r>
        <w:t>be filed</w:t>
      </w:r>
      <w:proofErr w:type="gramEnd"/>
      <w:r>
        <w:t xml:space="preserve"> “</w:t>
      </w:r>
      <w:r w:rsidRPr="000420C5">
        <w:rPr>
          <w:i/>
        </w:rPr>
        <w:t>within three years</w:t>
      </w:r>
      <w:r>
        <w:t xml:space="preserve"> after the effective date” of Proposition 47.  (</w:t>
      </w:r>
      <w:r>
        <w:t xml:space="preserve">Former </w:t>
      </w:r>
      <w:r>
        <w:t xml:space="preserve">§ 1170.18, </w:t>
      </w:r>
      <w:proofErr w:type="spellStart"/>
      <w:r>
        <w:t>subds</w:t>
      </w:r>
      <w:proofErr w:type="spellEnd"/>
      <w:proofErr w:type="gramStart"/>
      <w:r>
        <w:t>. </w:t>
      </w:r>
      <w:proofErr w:type="gramEnd"/>
      <w:r>
        <w:t>(a), (j), as added by Prop</w:t>
      </w:r>
      <w:proofErr w:type="gramStart"/>
      <w:r>
        <w:t xml:space="preserve">. </w:t>
      </w:r>
      <w:proofErr w:type="gramEnd"/>
      <w:r>
        <w:t>47, § 14, and subsequently amended (</w:t>
      </w:r>
      <w:r>
        <w:t>i</w:t>
      </w:r>
      <w:r>
        <w:t>talics added)</w:t>
      </w:r>
      <w:r>
        <w:t>.</w:t>
      </w:r>
      <w:r>
        <w:t xml:space="preserve">)  Both </w:t>
      </w:r>
      <w:proofErr w:type="gramStart"/>
      <w:r>
        <w:t>provisions were later amended by the Legislature</w:t>
      </w:r>
      <w:proofErr w:type="gramEnd"/>
      <w:r>
        <w:t xml:space="preserve">.  </w:t>
      </w:r>
      <w:r>
        <w:t>(Stats</w:t>
      </w:r>
      <w:proofErr w:type="gramStart"/>
      <w:r>
        <w:t xml:space="preserve">. </w:t>
      </w:r>
      <w:proofErr w:type="gramEnd"/>
      <w:r>
        <w:t xml:space="preserve">2016, </w:t>
      </w:r>
      <w:proofErr w:type="spellStart"/>
      <w:r>
        <w:t>ch.</w:t>
      </w:r>
      <w:proofErr w:type="spellEnd"/>
      <w:r>
        <w:t xml:space="preserve"> 767, § 1, pp. 5313</w:t>
      </w:r>
      <w:r w:rsidRPr="003E7798">
        <w:t>–</w:t>
      </w:r>
      <w:r>
        <w:t xml:space="preserve">5314, eff. Jan. 1, 2017.)  </w:t>
      </w:r>
    </w:p>
  </w:footnote>
  <w:footnote w:id="4">
    <w:p w:rsidR="00B043C2" w:rsidRDefault="000C45F6">
      <w:pPr>
        <w:pStyle w:val="FootnoteText"/>
        <w:spacing w:before="12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17DF0">
        <w:t>Neith</w:t>
      </w:r>
      <w:r>
        <w:t xml:space="preserve">er party suggests defendant’s status as a probationer, rather than a prisoner, affects the proper resolution of the question before us.  </w:t>
      </w:r>
      <w:r w:rsidRPr="00590632">
        <w:t>Courts of Appeal to consider the issue have he</w:t>
      </w:r>
      <w:r w:rsidRPr="00590632">
        <w:t>ld</w:t>
      </w:r>
      <w:r>
        <w:t>, based on Proposition 47’s structure, purpose, and history,</w:t>
      </w:r>
      <w:r w:rsidRPr="00590632">
        <w:t xml:space="preserve"> that </w:t>
      </w:r>
      <w:r w:rsidRPr="00590632">
        <w:t xml:space="preserve">a </w:t>
      </w:r>
      <w:r w:rsidRPr="00590632">
        <w:t xml:space="preserve">probationer </w:t>
      </w:r>
      <w:r w:rsidRPr="00590632">
        <w:t xml:space="preserve">is “serving a sentence” for purposes of </w:t>
      </w:r>
      <w:r w:rsidRPr="00590632">
        <w:t>section 1170.18, subdivision (a)</w:t>
      </w:r>
      <w:r>
        <w:t xml:space="preserve">.  </w:t>
      </w:r>
      <w:r w:rsidRPr="00590632">
        <w:t>(See</w:t>
      </w:r>
      <w:r>
        <w:t xml:space="preserve"> </w:t>
      </w:r>
      <w:r>
        <w:rPr>
          <w:i/>
        </w:rPr>
        <w:t xml:space="preserve">People v. </w:t>
      </w:r>
      <w:proofErr w:type="spellStart"/>
      <w:r>
        <w:rPr>
          <w:i/>
        </w:rPr>
        <w:t>Bastidas</w:t>
      </w:r>
      <w:proofErr w:type="spellEnd"/>
      <w:r>
        <w:t xml:space="preserve"> (2017) 7 Cal.App.5th 591, 595, 598–606; </w:t>
      </w:r>
      <w:r>
        <w:rPr>
          <w:i/>
        </w:rPr>
        <w:t>People v. Garcia</w:t>
      </w:r>
      <w:r>
        <w:t xml:space="preserve"> (2016) 245 Cal.App</w:t>
      </w:r>
      <w:r>
        <w:t xml:space="preserve">.4th 555, 557–559; </w:t>
      </w:r>
      <w:r>
        <w:rPr>
          <w:i/>
        </w:rPr>
        <w:t xml:space="preserve">People v. Lewis </w:t>
      </w:r>
      <w:r>
        <w:t>(2016) 4 Cal.App.5th 1085, 1093–1094 [</w:t>
      </w:r>
      <w:proofErr w:type="spellStart"/>
      <w:r>
        <w:t>postrelease</w:t>
      </w:r>
      <w:proofErr w:type="spellEnd"/>
      <w:r>
        <w:t xml:space="preserve"> community supervision</w:t>
      </w:r>
      <w:r w:rsidRPr="00590632">
        <w:t>]</w:t>
      </w:r>
      <w:r w:rsidRPr="00590632">
        <w:t xml:space="preserve">; </w:t>
      </w:r>
      <w:proofErr w:type="gramStart"/>
      <w:r>
        <w:t xml:space="preserve">cf. </w:t>
      </w:r>
      <w:proofErr w:type="gramEnd"/>
      <w:r w:rsidRPr="00590632">
        <w:rPr>
          <w:i/>
        </w:rPr>
        <w:t>People v. Moran</w:t>
      </w:r>
      <w:r w:rsidRPr="00590632">
        <w:t xml:space="preserve"> (2016) 1 Cal.5th 398, 401</w:t>
      </w:r>
      <w:r w:rsidRPr="00590632">
        <w:t xml:space="preserve"> [referring to the “sentence of probation”]</w:t>
      </w:r>
      <w:r w:rsidRPr="00EF423F">
        <w:t xml:space="preserve">; </w:t>
      </w:r>
      <w:r w:rsidRPr="00EF423F">
        <w:rPr>
          <w:i/>
        </w:rPr>
        <w:t xml:space="preserve">People v. </w:t>
      </w:r>
      <w:proofErr w:type="spellStart"/>
      <w:r w:rsidRPr="00EF423F">
        <w:rPr>
          <w:i/>
        </w:rPr>
        <w:t>Lightsey</w:t>
      </w:r>
      <w:proofErr w:type="spellEnd"/>
      <w:r w:rsidRPr="00590632">
        <w:t xml:space="preserve"> (2012) 54 Cal.4th 668, 677</w:t>
      </w:r>
      <w:r w:rsidRPr="00590632">
        <w:t xml:space="preserve"> [same]</w:t>
      </w:r>
      <w:r w:rsidRPr="00590632">
        <w:t xml:space="preserve">; </w:t>
      </w:r>
      <w:r w:rsidRPr="00590632">
        <w:rPr>
          <w:i/>
        </w:rPr>
        <w:t>People v. Superior Court (</w:t>
      </w:r>
      <w:proofErr w:type="spellStart"/>
      <w:r w:rsidRPr="00590632">
        <w:rPr>
          <w:i/>
        </w:rPr>
        <w:t>Zamudio</w:t>
      </w:r>
      <w:proofErr w:type="spellEnd"/>
      <w:r w:rsidRPr="00590632">
        <w:rPr>
          <w:i/>
        </w:rPr>
        <w:t xml:space="preserve">) </w:t>
      </w:r>
      <w:r w:rsidRPr="00590632">
        <w:t>(2000) 23 Cal.4th 183, 210</w:t>
      </w:r>
      <w:r w:rsidRPr="00590632">
        <w:t xml:space="preserve"> [same]</w:t>
      </w:r>
      <w:r w:rsidRPr="00590632">
        <w:t xml:space="preserve">; </w:t>
      </w:r>
      <w:r w:rsidRPr="00590632">
        <w:t>Voter Information Guide, Gen. Elec. (Nov. 4, 2014), analysis of Prop</w:t>
      </w:r>
      <w:proofErr w:type="gramStart"/>
      <w:r w:rsidRPr="00590632">
        <w:t xml:space="preserve">. </w:t>
      </w:r>
      <w:proofErr w:type="gramEnd"/>
      <w:r w:rsidRPr="00590632">
        <w:t>47 by Legis. Analyst, p. 34</w:t>
      </w:r>
      <w:r w:rsidRPr="00590632">
        <w:t xml:space="preserve"> [</w:t>
      </w:r>
      <w:r w:rsidRPr="00590632">
        <w:t>“[f]</w:t>
      </w:r>
      <w:proofErr w:type="spellStart"/>
      <w:r w:rsidRPr="00590632">
        <w:t>elony</w:t>
      </w:r>
      <w:proofErr w:type="spellEnd"/>
      <w:r w:rsidRPr="00590632">
        <w:t xml:space="preserve"> offenders who have no current or prior convictions for serious, violent, or s</w:t>
      </w:r>
      <w:r w:rsidRPr="00590632">
        <w:t>ex offenses are typically sentenced to county jail or the supervision of a county probation officer in the community, or both”</w:t>
      </w:r>
      <w:r w:rsidRPr="00590632">
        <w:t>]</w:t>
      </w:r>
      <w:r w:rsidRPr="00590632">
        <w:t>.)</w:t>
      </w:r>
      <w:r>
        <w:t xml:space="preserve"> </w:t>
      </w:r>
    </w:p>
    <w:p w:rsidR="00571818" w:rsidRDefault="000C45F6" w:rsidP="00590632">
      <w:pPr>
        <w:pStyle w:val="FootnoteText"/>
        <w:spacing w:before="120"/>
      </w:pPr>
      <w:r>
        <w:tab/>
      </w:r>
    </w:p>
  </w:footnote>
  <w:footnote w:id="5">
    <w:p w:rsidR="00571818" w:rsidRDefault="000C45F6" w:rsidP="00590632">
      <w:pPr>
        <w:spacing w:before="12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In </w:t>
      </w:r>
      <w:r>
        <w:rPr>
          <w:i/>
          <w:iCs/>
        </w:rPr>
        <w:t xml:space="preserve">People v. </w:t>
      </w:r>
      <w:r w:rsidRPr="1D34F75E">
        <w:rPr>
          <w:i/>
          <w:iCs/>
        </w:rPr>
        <w:t>Valencia</w:t>
      </w:r>
      <w:r>
        <w:t xml:space="preserve">, </w:t>
      </w:r>
      <w:r w:rsidRPr="1D34F75E">
        <w:rPr>
          <w:i/>
          <w:iCs/>
        </w:rPr>
        <w:t>supra</w:t>
      </w:r>
      <w:r>
        <w:t>, 3 Cal.5th at p</w:t>
      </w:r>
      <w:r>
        <w:t>age</w:t>
      </w:r>
      <w:r>
        <w:t xml:space="preserve"> 375, this court held that the specialized definition of </w:t>
      </w:r>
      <w:proofErr w:type="gramStart"/>
      <w:r>
        <w:t>“ ‘</w:t>
      </w:r>
      <w:proofErr w:type="gramEnd"/>
      <w:r>
        <w:t xml:space="preserve">unreasonable </w:t>
      </w:r>
      <w:r>
        <w:t>risk of danger to public safety’ ” in Proposition 47 does not apply in resentencing proceedings under the earlier-enacted Proposition 36.</w:t>
      </w:r>
    </w:p>
  </w:footnote>
  <w:footnote w:id="6">
    <w:p w:rsidR="00EB749F" w:rsidRDefault="000C45F6">
      <w:pPr>
        <w:pStyle w:val="FootnoteText"/>
      </w:pPr>
      <w:r w:rsidRPr="00EB749F">
        <w:rPr>
          <w:rStyle w:val="FootnoteReference"/>
        </w:rPr>
        <w:t>*</w:t>
      </w:r>
      <w:r>
        <w:tab/>
        <w:t>Associate Justice of the Court of Appeal, First Appellate District, Division Five, assigned by the Chief Justice pur</w:t>
      </w:r>
      <w:r>
        <w:t>suant to article VI, section 6 of the California Constitution.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74" w:rsidRDefault="000C4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74" w:rsidRDefault="000C45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74" w:rsidRDefault="000C45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40" w:rsidRDefault="000C45F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40" w:rsidRDefault="000C45F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40" w:rsidRDefault="000C4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3"/>
  <w:removePersonalInformation/>
  <w:printFractionalCharacterWidth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D7"/>
    <w:rsid w:val="00002CD7"/>
    <w:rsid w:val="00087B30"/>
    <w:rsid w:val="000C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37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spacing w:line="480" w:lineRule="atLeast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C153A1"/>
    <w:pPr>
      <w:keepNext/>
      <w:tabs>
        <w:tab w:val="left" w:pos="1152"/>
      </w:tabs>
      <w:spacing w:before="240" w:line="240" w:lineRule="atLeast"/>
      <w:jc w:val="center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keepNext/>
      <w:tabs>
        <w:tab w:val="left" w:pos="1584"/>
      </w:tabs>
      <w:spacing w:before="240" w:line="240" w:lineRule="atLeast"/>
      <w:ind w:left="1584" w:hanging="432"/>
      <w:outlineLvl w:val="2"/>
    </w:pPr>
    <w:rPr>
      <w:i/>
    </w:rPr>
  </w:style>
  <w:style w:type="paragraph" w:styleId="Heading4">
    <w:name w:val="heading 4"/>
    <w:basedOn w:val="Normal"/>
    <w:qFormat/>
    <w:pPr>
      <w:keepNext/>
      <w:tabs>
        <w:tab w:val="left" w:pos="2016"/>
      </w:tabs>
      <w:spacing w:before="240" w:line="240" w:lineRule="atLeast"/>
      <w:ind w:left="2016" w:hanging="432"/>
      <w:outlineLvl w:val="3"/>
    </w:pPr>
    <w:rPr>
      <w:i/>
    </w:rPr>
  </w:style>
  <w:style w:type="paragraph" w:styleId="Heading5">
    <w:name w:val="heading 5"/>
    <w:basedOn w:val="Normal"/>
    <w:qFormat/>
    <w:pPr>
      <w:keepNext/>
      <w:tabs>
        <w:tab w:val="left" w:pos="2448"/>
      </w:tabs>
      <w:spacing w:before="240" w:line="240" w:lineRule="atLeast"/>
      <w:ind w:left="2448" w:hanging="432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b/>
      <w:position w:val="6"/>
      <w:sz w:val="20"/>
    </w:rPr>
  </w:style>
  <w:style w:type="paragraph" w:styleId="FootnoteText">
    <w:name w:val="footnote text"/>
    <w:basedOn w:val="Normal"/>
    <w:link w:val="FootnoteTextChar"/>
    <w:semiHidden/>
  </w:style>
  <w:style w:type="paragraph" w:customStyle="1" w:styleId="Title1">
    <w:name w:val="Title1"/>
    <w:basedOn w:val="Normal"/>
    <w:pPr>
      <w:tabs>
        <w:tab w:val="left" w:pos="5760"/>
        <w:tab w:val="left" w:pos="6480"/>
      </w:tabs>
      <w:spacing w:line="240" w:lineRule="atLeast"/>
    </w:pPr>
  </w:style>
  <w:style w:type="paragraph" w:customStyle="1" w:styleId="Recommend">
    <w:name w:val="Recommend"/>
    <w:basedOn w:val="Normal"/>
  </w:style>
  <w:style w:type="paragraph" w:customStyle="1" w:styleId="Summary">
    <w:name w:val="Summary"/>
    <w:basedOn w:val="Normal"/>
    <w:pPr>
      <w:ind w:left="2160" w:hanging="2160"/>
    </w:pPr>
  </w:style>
  <w:style w:type="paragraph" w:customStyle="1" w:styleId="Text">
    <w:name w:val="Text"/>
    <w:basedOn w:val="Normal"/>
    <w:pPr>
      <w:tabs>
        <w:tab w:val="left" w:pos="720"/>
        <w:tab w:val="left" w:pos="1440"/>
        <w:tab w:val="left" w:pos="2160"/>
        <w:tab w:val="center" w:pos="4320"/>
      </w:tabs>
      <w:spacing w:line="480" w:lineRule="atLeast"/>
      <w:ind w:firstLine="540"/>
    </w:pPr>
  </w:style>
  <w:style w:type="paragraph" w:styleId="Date">
    <w:name w:val="Date"/>
    <w:basedOn w:val="Normal"/>
    <w:semiHidden/>
    <w:pPr>
      <w:jc w:val="right"/>
    </w:pPr>
  </w:style>
  <w:style w:type="character" w:styleId="PageNumber">
    <w:name w:val="page number"/>
    <w:basedOn w:val="DefaultParagraphFont"/>
    <w:semiHidden/>
  </w:style>
  <w:style w:type="paragraph" w:customStyle="1" w:styleId="subject">
    <w:name w:val="subject"/>
    <w:basedOn w:val="Normal"/>
    <w:pPr>
      <w:tabs>
        <w:tab w:val="left" w:pos="1008"/>
      </w:tabs>
      <w:ind w:left="990" w:hanging="990"/>
    </w:pPr>
    <w:rPr>
      <w:b/>
    </w:rPr>
  </w:style>
  <w:style w:type="paragraph" w:customStyle="1" w:styleId="Titles">
    <w:name w:val="Titles"/>
    <w:basedOn w:val="Normal"/>
    <w:pPr>
      <w:tabs>
        <w:tab w:val="left" w:pos="2160"/>
      </w:tabs>
      <w:ind w:left="2160" w:hanging="2160"/>
    </w:pPr>
    <w:rPr>
      <w:b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59"/>
    </w:pPr>
  </w:style>
  <w:style w:type="paragraph" w:styleId="TOC3">
    <w:name w:val="toc 3"/>
    <w:basedOn w:val="Normal"/>
    <w:next w:val="Normal"/>
    <w:autoRedefine/>
    <w:semiHidden/>
    <w:pPr>
      <w:ind w:left="520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customStyle="1" w:styleId="Contents">
    <w:name w:val="Contents"/>
    <w:basedOn w:val="Normal"/>
    <w:pPr>
      <w:jc w:val="center"/>
    </w:pPr>
    <w:rPr>
      <w:b/>
      <w:spacing w:val="100"/>
    </w:rPr>
  </w:style>
  <w:style w:type="character" w:styleId="Hyperlink">
    <w:name w:val="Hyperlink"/>
    <w:basedOn w:val="DefaultParagraphFont"/>
    <w:uiPriority w:val="99"/>
    <w:unhideWhenUsed/>
    <w:rsid w:val="00191A65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B73CC6"/>
    <w:rPr>
      <w:sz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E0C5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0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0F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0F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F77"/>
    <w:rPr>
      <w:b/>
      <w:bCs/>
    </w:rPr>
  </w:style>
  <w:style w:type="paragraph" w:styleId="Revision">
    <w:name w:val="Revision"/>
    <w:hidden/>
    <w:uiPriority w:val="99"/>
    <w:semiHidden/>
    <w:rsid w:val="00C30F77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392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C45F6"/>
    <w:rPr>
      <w:sz w:val="26"/>
    </w:rPr>
  </w:style>
  <w:style w:type="character" w:customStyle="1" w:styleId="FooterChar">
    <w:name w:val="Footer Char"/>
    <w:basedOn w:val="DefaultParagraphFont"/>
    <w:link w:val="Footer"/>
    <w:rsid w:val="000C45F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4155</Words>
  <Characters>22820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 v. DeHoyos-S228230-3-12-18</vt:lpstr>
    </vt:vector>
  </TitlesOfParts>
  <Company/>
  <LinksUpToDate>false</LinksUpToDate>
  <CharactersWithSpaces>26922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2018-03-09T17:29:00Z</dcterms:created>
  <dcterms:modified xsi:type="dcterms:W3CDTF">2018-03-09T17:34:00Z</dcterms:modified>
</cp:coreProperties>
</file>