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99" w:rsidRPr="00406B4B" w:rsidRDefault="00406B4B" w:rsidP="00406B4B">
      <w:pPr>
        <w:spacing w:after="120"/>
        <w:rPr>
          <w:sz w:val="20"/>
        </w:rPr>
      </w:pPr>
      <w:r>
        <w:rPr>
          <w:sz w:val="20"/>
        </w:rPr>
        <w:t>Filed 4/25/18</w:t>
      </w:r>
      <w:bookmarkStart w:id="0" w:name="_GoBack"/>
      <w:bookmarkEnd w:id="0"/>
    </w:p>
    <w:p w:rsidR="005C6D99" w:rsidRDefault="00406B4B">
      <w:pPr>
        <w:jc w:val="center"/>
      </w:pPr>
    </w:p>
    <w:p w:rsidR="005C6D99" w:rsidRDefault="00406B4B">
      <w:pPr>
        <w:jc w:val="center"/>
      </w:pPr>
    </w:p>
    <w:p w:rsidR="005C6D99" w:rsidRDefault="00406B4B">
      <w:pPr>
        <w:jc w:val="center"/>
      </w:pPr>
    </w:p>
    <w:p w:rsidR="005C6D99" w:rsidRDefault="00406B4B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5C6D99" w:rsidRDefault="00406B4B">
      <w:pPr>
        <w:jc w:val="center"/>
      </w:pPr>
    </w:p>
    <w:p w:rsidR="005C6D99" w:rsidRDefault="00406B4B">
      <w:pPr>
        <w:jc w:val="center"/>
      </w:pPr>
    </w:p>
    <w:p w:rsidR="005C6D99" w:rsidRDefault="00406B4B">
      <w:pPr>
        <w:jc w:val="center"/>
      </w:pPr>
    </w:p>
    <w:p w:rsidR="005C6D99" w:rsidRDefault="00406B4B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>
        <w:t>HECTOR ALVARADO</w:t>
      </w:r>
      <w:r>
        <w:t>,</w:t>
      </w:r>
      <w:r>
        <w:tab/>
        <w:t>)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 xml:space="preserve">Plaintiff and </w:t>
      </w:r>
      <w:r>
        <w:t>Appellant</w:t>
      </w:r>
      <w:r>
        <w:t>,</w:t>
      </w:r>
      <w:r>
        <w:tab/>
        <w:t>)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  <w:t>S</w:t>
      </w:r>
      <w:bookmarkStart w:id="3" w:name="casenum"/>
      <w:bookmarkEnd w:id="3"/>
      <w:r>
        <w:t>232607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  <w:bookmarkStart w:id="4" w:name="appealnum"/>
      <w:bookmarkEnd w:id="4"/>
      <w:proofErr w:type="spellStart"/>
      <w:r>
        <w:t>Ct.App</w:t>
      </w:r>
      <w:proofErr w:type="spellEnd"/>
      <w:r>
        <w:t>.</w:t>
      </w:r>
      <w:r>
        <w:t xml:space="preserve"> 4</w:t>
      </w:r>
      <w:r>
        <w:t>/2</w:t>
      </w:r>
      <w:r>
        <w:t xml:space="preserve"> E061645</w:t>
      </w:r>
    </w:p>
    <w:p w:rsidR="00DA6D10" w:rsidRDefault="00406B4B" w:rsidP="00DA6D10">
      <w:pPr>
        <w:tabs>
          <w:tab w:val="left" w:pos="4680"/>
          <w:tab w:val="center" w:pos="7200"/>
        </w:tabs>
        <w:spacing w:line="240" w:lineRule="atLeast"/>
      </w:pPr>
      <w:bookmarkStart w:id="5" w:name="defendant"/>
      <w:bookmarkEnd w:id="5"/>
      <w:r>
        <w:t>DART CONTAINER CORPORATION</w:t>
      </w:r>
      <w:r>
        <w:tab/>
        <w:t>)</w:t>
      </w:r>
    </w:p>
    <w:p w:rsidR="005C6D99" w:rsidRDefault="00406B4B">
      <w:pPr>
        <w:tabs>
          <w:tab w:val="left" w:pos="4680"/>
          <w:tab w:val="center" w:pos="7200"/>
        </w:tabs>
        <w:spacing w:line="240" w:lineRule="atLeast"/>
      </w:pPr>
      <w:r>
        <w:t xml:space="preserve">OF </w:t>
      </w:r>
      <w:r>
        <w:t>CALIFORNIA</w:t>
      </w:r>
      <w:r>
        <w:t>,</w:t>
      </w:r>
      <w:r>
        <w:tab/>
        <w:t>)</w:t>
      </w:r>
      <w:r w:rsidRPr="00DA6D10">
        <w:t xml:space="preserve"> </w:t>
      </w:r>
      <w:r>
        <w:tab/>
        <w:t>Riverside County</w:t>
      </w:r>
    </w:p>
    <w:p w:rsidR="005C6D99" w:rsidRDefault="00406B4B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 w:rsidRPr="00DA6D10">
        <w:t xml:space="preserve"> </w:t>
      </w:r>
      <w:r>
        <w:tab/>
        <w:t xml:space="preserve">Super. Ct. No. </w:t>
      </w:r>
      <w:r>
        <w:t>RIC1211707</w:t>
      </w:r>
      <w:bookmarkStart w:id="6" w:name="county"/>
      <w:bookmarkEnd w:id="6"/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7" w:name="VD"/>
      <w:bookmarkEnd w:id="7"/>
      <w:r>
        <w:t xml:space="preserve">Defendant and </w:t>
      </w:r>
      <w:r>
        <w:t>Respondent</w:t>
      </w:r>
      <w:r>
        <w:t>.</w:t>
      </w:r>
      <w:r>
        <w:tab/>
        <w:t>)</w:t>
      </w:r>
      <w:bookmarkStart w:id="8" w:name="supernum"/>
      <w:bookmarkEnd w:id="8"/>
    </w:p>
    <w:p w:rsidR="005C6D99" w:rsidRDefault="00406B4B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5C6D99" w:rsidRDefault="00406B4B">
      <w:pPr>
        <w:tabs>
          <w:tab w:val="left" w:pos="1440"/>
          <w:tab w:val="left" w:pos="4680"/>
          <w:tab w:val="center" w:pos="7200"/>
        </w:tabs>
        <w:spacing w:line="480" w:lineRule="atLeast"/>
      </w:pPr>
    </w:p>
    <w:p w:rsidR="001F10E9" w:rsidRPr="001F10E9" w:rsidRDefault="00406B4B" w:rsidP="0074648C">
      <w:pPr>
        <w:tabs>
          <w:tab w:val="left" w:pos="1440"/>
        </w:tabs>
        <w:spacing w:line="480" w:lineRule="atLeast"/>
        <w:ind w:firstLine="720"/>
        <w:jc w:val="center"/>
        <w:rPr>
          <w:b/>
        </w:rPr>
      </w:pPr>
      <w:bookmarkStart w:id="9" w:name="justice"/>
      <w:bookmarkStart w:id="10" w:name="mainstory"/>
      <w:bookmarkEnd w:id="9"/>
      <w:bookmarkEnd w:id="10"/>
      <w:r w:rsidRPr="001F10E9">
        <w:rPr>
          <w:b/>
        </w:rPr>
        <w:t>ORDER</w:t>
      </w:r>
      <w:r>
        <w:rPr>
          <w:b/>
        </w:rPr>
        <w:t xml:space="preserve"> MODIFYING OPINION</w:t>
      </w:r>
    </w:p>
    <w:p w:rsidR="001F10E9" w:rsidRPr="001F10E9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>THE COURT:</w:t>
      </w:r>
    </w:p>
    <w:p w:rsidR="001F10E9" w:rsidRPr="001F10E9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 xml:space="preserve">The opinion in this matter filed on </w:t>
      </w:r>
      <w:r>
        <w:t>March 5, 2018</w:t>
      </w:r>
      <w:r w:rsidRPr="001F10E9">
        <w:t xml:space="preserve">, and appearing in the California Official Reports at </w:t>
      </w:r>
      <w:r>
        <w:t>4</w:t>
      </w:r>
      <w:r w:rsidRPr="001F10E9">
        <w:t xml:space="preserve"> Cal.5th </w:t>
      </w:r>
      <w:r>
        <w:t>542</w:t>
      </w:r>
      <w:r w:rsidRPr="001F10E9">
        <w:t>, is modified as follows:</w:t>
      </w:r>
    </w:p>
    <w:p w:rsidR="001F10E9" w:rsidRPr="001F10E9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 xml:space="preserve">1.  On page </w:t>
      </w:r>
      <w:r>
        <w:t xml:space="preserve">551 </w:t>
      </w:r>
      <w:r w:rsidRPr="001F10E9">
        <w:t xml:space="preserve">of the published opinion, a footnote is </w:t>
      </w:r>
      <w:r w:rsidRPr="001F10E9">
        <w:t>inserted at the end of the sentence that reads:  “</w:t>
      </w:r>
      <w:r w:rsidRPr="0074648C">
        <w:t xml:space="preserve">Plaintiff’s formula turns out to be marginally more favorable to employees; the key distinction between the two formulas is whether the bonus is allocated to </w:t>
      </w:r>
      <w:r w:rsidRPr="0074648C">
        <w:rPr>
          <w:i/>
        </w:rPr>
        <w:t>all</w:t>
      </w:r>
      <w:r w:rsidRPr="0074648C">
        <w:t xml:space="preserve"> hours worked, or only to the </w:t>
      </w:r>
      <w:proofErr w:type="spellStart"/>
      <w:r w:rsidRPr="0074648C">
        <w:rPr>
          <w:i/>
        </w:rPr>
        <w:t>nonovertime</w:t>
      </w:r>
      <w:proofErr w:type="spellEnd"/>
      <w:r w:rsidRPr="0074648C">
        <w:t xml:space="preserve"> hou</w:t>
      </w:r>
      <w:r w:rsidRPr="0074648C">
        <w:t>rs worked.</w:t>
      </w:r>
      <w:r w:rsidRPr="001F10E9">
        <w:t xml:space="preserve">”  The new footnote, which is numbered as footnote </w:t>
      </w:r>
      <w:r>
        <w:t>2</w:t>
      </w:r>
      <w:r w:rsidRPr="001F10E9">
        <w:t>, reads:  “</w:t>
      </w:r>
      <w:r w:rsidRPr="005C7610">
        <w:t xml:space="preserve">Defendant’s formula and plaintiff’s formula have one thing in common:  both use the </w:t>
      </w:r>
      <w:r w:rsidRPr="005C7610">
        <w:rPr>
          <w:i/>
        </w:rPr>
        <w:t>pay period</w:t>
      </w:r>
      <w:r w:rsidRPr="005C7610">
        <w:t xml:space="preserve"> as the basis for calculating an employee’s regular rate of pay.  In other words, neither</w:t>
      </w:r>
      <w:r w:rsidRPr="005C7610">
        <w:t xml:space="preserve"> party suggests that regular rate of pay should be calculated on a </w:t>
      </w:r>
      <w:r w:rsidRPr="005C7610">
        <w:rPr>
          <w:i/>
        </w:rPr>
        <w:t>workweek</w:t>
      </w:r>
      <w:r w:rsidRPr="005C7610">
        <w:t xml:space="preserve"> basis, which might result in an employee having two or more regular </w:t>
      </w:r>
      <w:r w:rsidRPr="005C7610">
        <w:lastRenderedPageBreak/>
        <w:t>rates of pay in a single pay period.  This opinion follows the lead of the parties in using the pay period as th</w:t>
      </w:r>
      <w:r w:rsidRPr="005C7610">
        <w:t>e basis for calculating regular rate of pay, but we did not grant review to decide whether, under California law, regular rate of pay is properly calculated on a pay-period basis or a workweek basis, and nothing in this opinion should be interpreted as dec</w:t>
      </w:r>
      <w:r w:rsidRPr="005C7610">
        <w:t>iding that question.</w:t>
      </w:r>
      <w:r w:rsidRPr="001F10E9">
        <w:t>”</w:t>
      </w:r>
    </w:p>
    <w:p w:rsidR="001F10E9" w:rsidRPr="001F10E9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>2.  On page</w:t>
      </w:r>
      <w:r>
        <w:t xml:space="preserve">s </w:t>
      </w:r>
      <w:r>
        <w:t>551, 553, 555, 561, 564–565, 567, 570, and 572</w:t>
      </w:r>
      <w:r>
        <w:t xml:space="preserve"> </w:t>
      </w:r>
      <w:r w:rsidRPr="001F10E9">
        <w:t xml:space="preserve">of the published opinion, </w:t>
      </w:r>
      <w:r>
        <w:t xml:space="preserve">current </w:t>
      </w:r>
      <w:r w:rsidRPr="001F10E9">
        <w:t>footnote</w:t>
      </w:r>
      <w:r>
        <w:t xml:space="preserve">s 2 through </w:t>
      </w:r>
      <w:r>
        <w:t xml:space="preserve">12 </w:t>
      </w:r>
      <w:r>
        <w:t xml:space="preserve">are </w:t>
      </w:r>
      <w:r w:rsidRPr="001F10E9">
        <w:t>renumbered as footnote</w:t>
      </w:r>
      <w:r>
        <w:t xml:space="preserve">s 3 through </w:t>
      </w:r>
      <w:r>
        <w:t>13</w:t>
      </w:r>
      <w:r w:rsidRPr="001F10E9">
        <w:t>.</w:t>
      </w:r>
    </w:p>
    <w:p w:rsidR="001F10E9" w:rsidRPr="001F10E9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>This modification does not affect the judgment.</w:t>
      </w:r>
    </w:p>
    <w:p w:rsidR="000C3D98" w:rsidRPr="001E28F8" w:rsidRDefault="00406B4B" w:rsidP="001F10E9">
      <w:pPr>
        <w:tabs>
          <w:tab w:val="left" w:pos="1440"/>
        </w:tabs>
        <w:spacing w:line="480" w:lineRule="atLeast"/>
        <w:ind w:firstLine="720"/>
      </w:pPr>
      <w:r w:rsidRPr="001F10E9">
        <w:t xml:space="preserve">The request for </w:t>
      </w:r>
      <w:r>
        <w:t>clarificati</w:t>
      </w:r>
      <w:r>
        <w:t xml:space="preserve">on and/or modification of the opinion, filed by amicus curiae California Employment Law Council </w:t>
      </w:r>
      <w:r w:rsidRPr="001F10E9">
        <w:t xml:space="preserve">on </w:t>
      </w:r>
      <w:r>
        <w:t>March 22, 2018</w:t>
      </w:r>
      <w:r w:rsidRPr="001F10E9">
        <w:t xml:space="preserve">, </w:t>
      </w:r>
      <w:r>
        <w:t xml:space="preserve">is </w:t>
      </w:r>
      <w:r w:rsidRPr="001F10E9">
        <w:t>denied.</w:t>
      </w:r>
    </w:p>
    <w:sectPr w:rsidR="000C3D98" w:rsidRPr="001E28F8" w:rsidSect="000C3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B4B">
      <w:r>
        <w:separator/>
      </w:r>
    </w:p>
  </w:endnote>
  <w:endnote w:type="continuationSeparator" w:id="0">
    <w:p w:rsidR="00000000" w:rsidRDefault="0040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A" w:rsidRDefault="0040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22" w:rsidRDefault="00406B4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A" w:rsidRDefault="0040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6B4B">
      <w:r>
        <w:separator/>
      </w:r>
    </w:p>
  </w:footnote>
  <w:footnote w:type="continuationSeparator" w:id="0">
    <w:p w:rsidR="00000000" w:rsidRDefault="0040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A" w:rsidRDefault="00406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A" w:rsidRDefault="00406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A" w:rsidRDefault="00406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4B"/>
    <w:rsid w:val="004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31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b/>
      <w:position w:val="6"/>
      <w:sz w:val="20"/>
    </w:rPr>
  </w:style>
  <w:style w:type="paragraph" w:styleId="FootnoteText">
    <w:name w:val="footnote text"/>
    <w:basedOn w:val="Normal"/>
    <w:link w:val="FootnoteTextChar"/>
    <w:semiHidden/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customStyle="1" w:styleId="FootnoteTextChar">
    <w:name w:val="Footnote Text Char"/>
    <w:link w:val="FootnoteText"/>
    <w:semiHidden/>
    <w:rsid w:val="00291237"/>
    <w:rPr>
      <w:sz w:val="26"/>
    </w:rPr>
  </w:style>
  <w:style w:type="character" w:styleId="Hyperlink">
    <w:name w:val="Hyperlink"/>
    <w:uiPriority w:val="99"/>
    <w:unhideWhenUsed/>
    <w:rsid w:val="00E96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majority calendar template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2018-04-25T22:32:00Z</dcterms:created>
  <dcterms:modified xsi:type="dcterms:W3CDTF">2018-04-25T22:32:00Z</dcterms:modified>
</cp:coreProperties>
</file>