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F100" w14:textId="67D46A51" w:rsidR="007E2239" w:rsidRPr="00E415DC" w:rsidRDefault="00E415DC" w:rsidP="007E2239">
      <w:pPr>
        <w:spacing w:line="240" w:lineRule="auto"/>
        <w:ind w:firstLine="0"/>
        <w:rPr>
          <w:sz w:val="20"/>
        </w:rPr>
      </w:pPr>
      <w:r>
        <w:rPr>
          <w:sz w:val="20"/>
        </w:rPr>
        <w:t>Filed 8/27/18</w:t>
      </w:r>
    </w:p>
    <w:p w14:paraId="6A0F52D5" w14:textId="77777777" w:rsidR="007E2239" w:rsidRDefault="007E2239" w:rsidP="007E2239">
      <w:pPr>
        <w:spacing w:line="240" w:lineRule="auto"/>
        <w:ind w:firstLine="0"/>
        <w:jc w:val="center"/>
      </w:pPr>
    </w:p>
    <w:p w14:paraId="68E99A4E" w14:textId="77777777" w:rsidR="007E2239" w:rsidRDefault="007E2239" w:rsidP="007E2239">
      <w:pPr>
        <w:spacing w:line="240" w:lineRule="auto"/>
        <w:ind w:firstLine="0"/>
        <w:jc w:val="center"/>
      </w:pPr>
    </w:p>
    <w:p w14:paraId="64D195E0" w14:textId="77777777" w:rsidR="007E2239" w:rsidRDefault="007E2239" w:rsidP="007E2239">
      <w:pPr>
        <w:spacing w:line="240" w:lineRule="auto"/>
        <w:ind w:firstLine="0"/>
        <w:jc w:val="center"/>
      </w:pPr>
    </w:p>
    <w:p w14:paraId="576F8FA9" w14:textId="77777777" w:rsidR="007E2239" w:rsidRDefault="007E2239" w:rsidP="007E2239">
      <w:pPr>
        <w:spacing w:line="240" w:lineRule="auto"/>
        <w:ind w:firstLine="0"/>
        <w:jc w:val="center"/>
        <w:rPr>
          <w:sz w:val="36"/>
        </w:rPr>
      </w:pPr>
      <w:r>
        <w:rPr>
          <w:b/>
          <w:sz w:val="36"/>
        </w:rPr>
        <w:t>IN THE SUPREME COURT OF CALIFORNIA</w:t>
      </w:r>
    </w:p>
    <w:p w14:paraId="6DE725B3" w14:textId="77777777" w:rsidR="007E2239" w:rsidRDefault="007E2239" w:rsidP="007E2239">
      <w:pPr>
        <w:spacing w:line="240" w:lineRule="auto"/>
        <w:ind w:firstLine="0"/>
        <w:jc w:val="center"/>
      </w:pPr>
    </w:p>
    <w:p w14:paraId="579E4607" w14:textId="77777777" w:rsidR="007E2239" w:rsidRDefault="007E2239" w:rsidP="007E2239">
      <w:pPr>
        <w:spacing w:line="240" w:lineRule="auto"/>
        <w:ind w:firstLine="0"/>
        <w:jc w:val="center"/>
      </w:pPr>
    </w:p>
    <w:p w14:paraId="6DF15A13" w14:textId="77777777" w:rsidR="007E2239" w:rsidRDefault="007E2239" w:rsidP="007E2239">
      <w:pPr>
        <w:spacing w:line="240" w:lineRule="auto"/>
        <w:ind w:firstLine="0"/>
        <w:jc w:val="center"/>
      </w:pPr>
    </w:p>
    <w:p w14:paraId="5F197B71" w14:textId="77777777" w:rsidR="007E2239" w:rsidRDefault="007E2239" w:rsidP="007E2239">
      <w:pPr>
        <w:tabs>
          <w:tab w:val="left" w:pos="4860"/>
          <w:tab w:val="center" w:pos="7200"/>
        </w:tabs>
        <w:spacing w:line="240" w:lineRule="auto"/>
        <w:ind w:firstLine="0"/>
      </w:pPr>
      <w:r>
        <w:t>WILLIAM JAE KIM et al.,</w:t>
      </w:r>
      <w:r>
        <w:tab/>
        <w:t>)</w:t>
      </w:r>
    </w:p>
    <w:p w14:paraId="6FA197A8" w14:textId="77777777" w:rsidR="007E2239" w:rsidRDefault="007E2239" w:rsidP="007E2239">
      <w:pPr>
        <w:tabs>
          <w:tab w:val="left" w:pos="1440"/>
          <w:tab w:val="left" w:pos="4860"/>
          <w:tab w:val="center" w:pos="7200"/>
        </w:tabs>
        <w:spacing w:line="240" w:lineRule="auto"/>
        <w:ind w:firstLine="0"/>
      </w:pPr>
      <w:r>
        <w:tab/>
      </w:r>
      <w:r>
        <w:tab/>
        <w:t>)</w:t>
      </w:r>
    </w:p>
    <w:p w14:paraId="254400AB" w14:textId="77777777" w:rsidR="007E2239" w:rsidRDefault="007E2239" w:rsidP="007E2239">
      <w:pPr>
        <w:tabs>
          <w:tab w:val="left" w:pos="1440"/>
          <w:tab w:val="left" w:pos="4860"/>
          <w:tab w:val="center" w:pos="7200"/>
        </w:tabs>
        <w:spacing w:line="240" w:lineRule="auto"/>
        <w:ind w:firstLine="0"/>
      </w:pPr>
      <w:r>
        <w:tab/>
        <w:t>Plaintiffs and Appellants,</w:t>
      </w:r>
      <w:r>
        <w:tab/>
        <w:t>)</w:t>
      </w:r>
    </w:p>
    <w:p w14:paraId="3CDA64AE" w14:textId="77777777" w:rsidR="007E2239" w:rsidRDefault="007E2239" w:rsidP="007E2239">
      <w:pPr>
        <w:tabs>
          <w:tab w:val="left" w:pos="1440"/>
          <w:tab w:val="left" w:pos="4860"/>
          <w:tab w:val="center" w:pos="7200"/>
        </w:tabs>
        <w:spacing w:line="240" w:lineRule="auto"/>
        <w:ind w:firstLine="0"/>
      </w:pPr>
      <w:r>
        <w:tab/>
      </w:r>
      <w:r>
        <w:tab/>
        <w:t>)</w:t>
      </w:r>
      <w:r>
        <w:tab/>
        <w:t>S232754</w:t>
      </w:r>
    </w:p>
    <w:p w14:paraId="215548C5" w14:textId="77777777" w:rsidR="007E2239" w:rsidRDefault="007E2239" w:rsidP="007E2239">
      <w:pPr>
        <w:tabs>
          <w:tab w:val="left" w:pos="1440"/>
          <w:tab w:val="left" w:pos="4860"/>
          <w:tab w:val="center" w:pos="7200"/>
        </w:tabs>
        <w:spacing w:line="240" w:lineRule="auto"/>
        <w:ind w:firstLine="0"/>
      </w:pPr>
      <w:r>
        <w:tab/>
        <w:t>v.</w:t>
      </w:r>
      <w:r>
        <w:tab/>
        <w:t>)</w:t>
      </w:r>
    </w:p>
    <w:p w14:paraId="5FD57413" w14:textId="77777777" w:rsidR="007E2239" w:rsidRDefault="007E2239" w:rsidP="007E2239">
      <w:pPr>
        <w:tabs>
          <w:tab w:val="left" w:pos="1440"/>
          <w:tab w:val="left" w:pos="4860"/>
          <w:tab w:val="center" w:pos="7200"/>
        </w:tabs>
        <w:spacing w:line="240" w:lineRule="auto"/>
        <w:ind w:firstLine="0"/>
      </w:pPr>
      <w:r>
        <w:tab/>
      </w:r>
      <w:r>
        <w:tab/>
        <w:t>)</w:t>
      </w:r>
      <w:r>
        <w:tab/>
      </w:r>
      <w:proofErr w:type="spellStart"/>
      <w:r>
        <w:t>Ct.App</w:t>
      </w:r>
      <w:proofErr w:type="spellEnd"/>
      <w:r>
        <w:t>. 2/7 B247672</w:t>
      </w:r>
    </w:p>
    <w:p w14:paraId="1AD2D3D2" w14:textId="77777777" w:rsidR="007E2239" w:rsidRDefault="007E2239" w:rsidP="007E2239">
      <w:pPr>
        <w:tabs>
          <w:tab w:val="left" w:pos="4860"/>
          <w:tab w:val="center" w:pos="7200"/>
        </w:tabs>
        <w:spacing w:line="240" w:lineRule="auto"/>
        <w:ind w:firstLine="0"/>
      </w:pPr>
      <w:r>
        <w:t>TOYOTA MOTOR CORPORATION et al.,</w:t>
      </w:r>
      <w:r>
        <w:tab/>
        <w:t>)</w:t>
      </w:r>
    </w:p>
    <w:p w14:paraId="2514EDBE" w14:textId="77777777" w:rsidR="007E2239" w:rsidRDefault="007E2239" w:rsidP="007E2239">
      <w:pPr>
        <w:tabs>
          <w:tab w:val="left" w:pos="4860"/>
          <w:tab w:val="center" w:pos="7200"/>
        </w:tabs>
        <w:spacing w:line="240" w:lineRule="auto"/>
        <w:ind w:firstLine="0"/>
      </w:pPr>
      <w:r>
        <w:tab/>
        <w:t>)</w:t>
      </w:r>
      <w:r>
        <w:tab/>
        <w:t>Los Angeles County</w:t>
      </w:r>
    </w:p>
    <w:p w14:paraId="2EF14C52" w14:textId="77777777" w:rsidR="007E2239" w:rsidRDefault="007E2239" w:rsidP="007E2239">
      <w:pPr>
        <w:tabs>
          <w:tab w:val="left" w:pos="1440"/>
          <w:tab w:val="left" w:pos="4860"/>
          <w:tab w:val="center" w:pos="7200"/>
        </w:tabs>
        <w:spacing w:line="240" w:lineRule="auto"/>
        <w:ind w:firstLine="0"/>
      </w:pPr>
      <w:r>
        <w:tab/>
        <w:t>Defendants and Respondents.</w:t>
      </w:r>
      <w:r>
        <w:tab/>
        <w:t>)</w:t>
      </w:r>
      <w:r>
        <w:tab/>
        <w:t>Super. Ct. No. VC059206</w:t>
      </w:r>
    </w:p>
    <w:p w14:paraId="7A09A566" w14:textId="77777777" w:rsidR="007E2239" w:rsidRDefault="007E2239" w:rsidP="007E2239">
      <w:pPr>
        <w:tabs>
          <w:tab w:val="left" w:leader="underscore" w:pos="4860"/>
        </w:tabs>
        <w:spacing w:line="240" w:lineRule="auto"/>
        <w:ind w:firstLine="0"/>
        <w:rPr>
          <w:u w:val="single"/>
        </w:rPr>
      </w:pPr>
      <w:r>
        <w:tab/>
        <w:t>)</w:t>
      </w:r>
    </w:p>
    <w:p w14:paraId="5F1B426C" w14:textId="77777777" w:rsidR="007E2239" w:rsidRDefault="007E2239" w:rsidP="007E2239">
      <w:pPr>
        <w:tabs>
          <w:tab w:val="left" w:pos="1440"/>
          <w:tab w:val="left" w:pos="4680"/>
          <w:tab w:val="center" w:pos="7200"/>
        </w:tabs>
        <w:spacing w:line="240" w:lineRule="auto"/>
        <w:ind w:firstLine="0"/>
      </w:pPr>
    </w:p>
    <w:p w14:paraId="33D0198E" w14:textId="77777777" w:rsidR="001A5900" w:rsidRDefault="001A5900" w:rsidP="00CF71B1">
      <w:pPr>
        <w:tabs>
          <w:tab w:val="left" w:pos="1440"/>
        </w:tabs>
        <w:ind w:firstLine="0"/>
        <w:jc w:val="center"/>
        <w:rPr>
          <w:b/>
          <w:caps/>
        </w:rPr>
      </w:pPr>
    </w:p>
    <w:p w14:paraId="51711AC7" w14:textId="77777777" w:rsidR="00D33014" w:rsidRPr="007F1C57" w:rsidRDefault="004B6253" w:rsidP="00F67118">
      <w:pPr>
        <w:tabs>
          <w:tab w:val="left" w:pos="720"/>
        </w:tabs>
        <w:ind w:firstLine="0"/>
      </w:pPr>
      <w:bookmarkStart w:id="0" w:name="mainstory"/>
      <w:bookmarkEnd w:id="0"/>
      <w:r>
        <w:tab/>
      </w:r>
      <w:r w:rsidR="001F26AC">
        <w:t xml:space="preserve">Plaintiff </w:t>
      </w:r>
      <w:r w:rsidR="00BD6982" w:rsidRPr="00C84603">
        <w:t xml:space="preserve">William Jae Kim </w:t>
      </w:r>
      <w:r w:rsidR="000E5938">
        <w:t xml:space="preserve">(Kim) </w:t>
      </w:r>
      <w:r w:rsidR="00BD6982" w:rsidRPr="00C84603">
        <w:t>was severely injured after he lost control of his Toyota</w:t>
      </w:r>
      <w:r w:rsidR="00271538" w:rsidRPr="00C84603">
        <w:t xml:space="preserve"> Tundra</w:t>
      </w:r>
      <w:r w:rsidR="00BD6982" w:rsidRPr="00C84603">
        <w:t xml:space="preserve"> pickup truck</w:t>
      </w:r>
      <w:r w:rsidR="00DF2BA9" w:rsidRPr="00C84603">
        <w:t xml:space="preserve"> and drove off a</w:t>
      </w:r>
      <w:r w:rsidR="00737519" w:rsidRPr="00C84603">
        <w:t xml:space="preserve">n </w:t>
      </w:r>
      <w:r w:rsidR="00D05CAD" w:rsidRPr="00C84603">
        <w:t>embankment</w:t>
      </w:r>
      <w:r w:rsidR="00BD6982" w:rsidRPr="00C84603">
        <w:t xml:space="preserve">.  </w:t>
      </w:r>
      <w:r w:rsidR="00C21705">
        <w:t xml:space="preserve">Together with his wife, Kim brought this strict products liability </w:t>
      </w:r>
      <w:r w:rsidR="00BD6982" w:rsidRPr="00C84603">
        <w:t xml:space="preserve">suit against </w:t>
      </w:r>
      <w:r w:rsidR="000E5938">
        <w:t xml:space="preserve">defendant </w:t>
      </w:r>
      <w:r w:rsidR="003224A8" w:rsidRPr="00C84603">
        <w:t>Toyota Motor Corporation and related entities (collectively, “Toyota”)</w:t>
      </w:r>
      <w:r w:rsidR="00BD6982" w:rsidRPr="00C84603">
        <w:t>, claiming</w:t>
      </w:r>
      <w:r w:rsidR="00F96A31">
        <w:t xml:space="preserve"> t</w:t>
      </w:r>
      <w:r w:rsidR="00BD6982" w:rsidRPr="00C84603">
        <w:t>hat the</w:t>
      </w:r>
      <w:r w:rsidR="005B4297" w:rsidRPr="00C84603">
        <w:t xml:space="preserve"> pickup</w:t>
      </w:r>
      <w:r w:rsidR="00BD6982" w:rsidRPr="00C84603">
        <w:t xml:space="preserve"> truck was defective because it</w:t>
      </w:r>
      <w:r w:rsidR="000C3C95">
        <w:t xml:space="preserve">s standard configuration did not include a </w:t>
      </w:r>
      <w:r w:rsidR="00C05026">
        <w:t xml:space="preserve">particular safety feature, known as </w:t>
      </w:r>
      <w:r w:rsidR="00A3366F">
        <w:t>v</w:t>
      </w:r>
      <w:r w:rsidR="00C05026">
        <w:t xml:space="preserve">ehicle </w:t>
      </w:r>
      <w:r w:rsidR="00A3366F">
        <w:t>s</w:t>
      </w:r>
      <w:r w:rsidR="00C05026">
        <w:t xml:space="preserve">tability </w:t>
      </w:r>
      <w:r w:rsidR="00A3366F">
        <w:t>c</w:t>
      </w:r>
      <w:r w:rsidR="00C05026">
        <w:t>ontrol (</w:t>
      </w:r>
      <w:r w:rsidR="00A74520">
        <w:t>“</w:t>
      </w:r>
      <w:r w:rsidR="00C05026">
        <w:t>VSC</w:t>
      </w:r>
      <w:r w:rsidR="00A74520">
        <w:t>”</w:t>
      </w:r>
      <w:r w:rsidR="00C05026">
        <w:t>),</w:t>
      </w:r>
      <w:r w:rsidR="00C21705">
        <w:t xml:space="preserve"> </w:t>
      </w:r>
      <w:r w:rsidR="00C05026">
        <w:t xml:space="preserve">they claim would have </w:t>
      </w:r>
      <w:r w:rsidR="005A3A3C">
        <w:t>prevented the accident.</w:t>
      </w:r>
      <w:r w:rsidR="0097788A">
        <w:t xml:space="preserve">  At trial, the jury heard evidence that no </w:t>
      </w:r>
      <w:r w:rsidR="00E15716">
        <w:t xml:space="preserve">vehicle manufacturer </w:t>
      </w:r>
      <w:r w:rsidR="00D33014">
        <w:t xml:space="preserve">at the time </w:t>
      </w:r>
      <w:r w:rsidR="00E15716">
        <w:t>include</w:t>
      </w:r>
      <w:r w:rsidR="0097788A">
        <w:t>d</w:t>
      </w:r>
      <w:r w:rsidR="00E15716">
        <w:t xml:space="preserve"> VSC as standard equipment in pickup trucks</w:t>
      </w:r>
      <w:r w:rsidRPr="00C84603">
        <w:t xml:space="preserve">.  </w:t>
      </w:r>
      <w:r w:rsidR="006070C9">
        <w:t xml:space="preserve">The jury </w:t>
      </w:r>
      <w:r w:rsidR="0097788A">
        <w:t xml:space="preserve">ultimately </w:t>
      </w:r>
      <w:r w:rsidR="006070C9">
        <w:t>found in Toyota’s favor and the Court of Appeal affirmed.</w:t>
      </w:r>
    </w:p>
    <w:p w14:paraId="7B1D14FD" w14:textId="77777777" w:rsidR="00845A51" w:rsidRDefault="00D33014" w:rsidP="009E5596">
      <w:pPr>
        <w:tabs>
          <w:tab w:val="left" w:pos="720"/>
        </w:tabs>
        <w:ind w:firstLine="0"/>
        <w:rPr>
          <w:rFonts w:cs="Arial"/>
          <w:color w:val="000000" w:themeColor="text1"/>
          <w:szCs w:val="21"/>
        </w:rPr>
      </w:pPr>
      <w:r>
        <w:rPr>
          <w:rFonts w:cs="Arial"/>
          <w:color w:val="000000" w:themeColor="text1"/>
          <w:szCs w:val="21"/>
        </w:rPr>
        <w:tab/>
      </w:r>
      <w:r w:rsidR="00C21705">
        <w:rPr>
          <w:rFonts w:cs="Arial"/>
          <w:color w:val="000000" w:themeColor="text1"/>
          <w:szCs w:val="21"/>
        </w:rPr>
        <w:t xml:space="preserve">The question before us </w:t>
      </w:r>
      <w:r w:rsidR="00CE2FDE">
        <w:rPr>
          <w:rFonts w:cs="Arial"/>
          <w:color w:val="000000" w:themeColor="text1"/>
          <w:szCs w:val="21"/>
        </w:rPr>
        <w:t xml:space="preserve">is </w:t>
      </w:r>
      <w:r w:rsidR="00A93BC4">
        <w:rPr>
          <w:rFonts w:cs="Arial"/>
          <w:color w:val="000000" w:themeColor="text1"/>
          <w:szCs w:val="21"/>
        </w:rPr>
        <w:t xml:space="preserve">whether, as the courts below held, </w:t>
      </w:r>
      <w:r w:rsidR="00A22DDC">
        <w:rPr>
          <w:rFonts w:cs="Arial"/>
          <w:color w:val="000000" w:themeColor="text1"/>
          <w:szCs w:val="21"/>
        </w:rPr>
        <w:t xml:space="preserve">this kind of </w:t>
      </w:r>
      <w:r w:rsidR="00C21705">
        <w:rPr>
          <w:rFonts w:cs="Arial"/>
          <w:color w:val="000000" w:themeColor="text1"/>
          <w:szCs w:val="21"/>
        </w:rPr>
        <w:t xml:space="preserve">evidence of industry custom and practice </w:t>
      </w:r>
      <w:r w:rsidR="00F54005">
        <w:rPr>
          <w:rFonts w:cs="Arial"/>
          <w:color w:val="000000" w:themeColor="text1"/>
          <w:szCs w:val="21"/>
        </w:rPr>
        <w:t xml:space="preserve">may be introduced </w:t>
      </w:r>
      <w:r w:rsidR="00C21705">
        <w:rPr>
          <w:rFonts w:cs="Arial"/>
          <w:color w:val="000000" w:themeColor="text1"/>
          <w:szCs w:val="21"/>
        </w:rPr>
        <w:t>in a strict products liability action.</w:t>
      </w:r>
      <w:r w:rsidR="00AD1428">
        <w:rPr>
          <w:rFonts w:cs="Arial"/>
          <w:color w:val="000000" w:themeColor="text1"/>
          <w:szCs w:val="21"/>
        </w:rPr>
        <w:t xml:space="preserve">  </w:t>
      </w:r>
      <w:r w:rsidR="0097788A">
        <w:rPr>
          <w:rFonts w:cs="Arial"/>
          <w:color w:val="000000" w:themeColor="text1"/>
          <w:szCs w:val="21"/>
        </w:rPr>
        <w:t xml:space="preserve">The answer depends on the purpose for which the evidence is </w:t>
      </w:r>
      <w:r w:rsidR="00CF07AA">
        <w:rPr>
          <w:rFonts w:cs="Arial"/>
          <w:color w:val="000000" w:themeColor="text1"/>
          <w:szCs w:val="21"/>
        </w:rPr>
        <w:lastRenderedPageBreak/>
        <w:t>offered</w:t>
      </w:r>
      <w:r w:rsidR="0097788A">
        <w:rPr>
          <w:rFonts w:cs="Arial"/>
          <w:color w:val="000000" w:themeColor="text1"/>
          <w:szCs w:val="21"/>
        </w:rPr>
        <w:t xml:space="preserve">.  </w:t>
      </w:r>
      <w:r w:rsidR="00CF07AA">
        <w:rPr>
          <w:rFonts w:cs="Arial"/>
          <w:color w:val="000000" w:themeColor="text1"/>
          <w:szCs w:val="21"/>
        </w:rPr>
        <w:t xml:space="preserve">Evidence that a manufacturer’s design conforms with industry custom and practice </w:t>
      </w:r>
      <w:r w:rsidR="004B7AB4">
        <w:rPr>
          <w:rFonts w:cs="Arial"/>
          <w:color w:val="000000" w:themeColor="text1"/>
          <w:szCs w:val="21"/>
        </w:rPr>
        <w:t>is not relevant</w:t>
      </w:r>
      <w:r w:rsidR="009E5596">
        <w:rPr>
          <w:rFonts w:cs="Arial"/>
          <w:color w:val="000000" w:themeColor="text1"/>
          <w:szCs w:val="21"/>
        </w:rPr>
        <w:t>, and therefore not admissible,</w:t>
      </w:r>
      <w:r w:rsidR="004B7AB4">
        <w:rPr>
          <w:rFonts w:cs="Arial"/>
          <w:color w:val="000000" w:themeColor="text1"/>
          <w:szCs w:val="21"/>
        </w:rPr>
        <w:t xml:space="preserve"> to show that the manufacturer </w:t>
      </w:r>
      <w:r w:rsidR="009E5596">
        <w:rPr>
          <w:rFonts w:cs="Arial"/>
          <w:color w:val="000000" w:themeColor="text1"/>
          <w:szCs w:val="21"/>
        </w:rPr>
        <w:t xml:space="preserve">acted reasonably in adopting a challenged design and therefore cannot be held liable; under strict products liability law, </w:t>
      </w:r>
      <w:r w:rsidR="00CF07AA">
        <w:rPr>
          <w:rFonts w:cs="Arial"/>
          <w:color w:val="000000" w:themeColor="text1"/>
          <w:szCs w:val="21"/>
        </w:rPr>
        <w:t>a</w:t>
      </w:r>
      <w:r w:rsidR="00FE4F4E">
        <w:rPr>
          <w:rFonts w:cs="Arial"/>
          <w:color w:val="000000" w:themeColor="text1"/>
          <w:szCs w:val="21"/>
        </w:rPr>
        <w:t xml:space="preserve"> </w:t>
      </w:r>
      <w:r w:rsidR="00474DB2">
        <w:rPr>
          <w:rFonts w:cs="Arial"/>
          <w:color w:val="000000" w:themeColor="text1"/>
          <w:szCs w:val="21"/>
        </w:rPr>
        <w:t xml:space="preserve">product may contain precisely the same safety features as other products on the market and still be defective.  </w:t>
      </w:r>
      <w:r w:rsidR="002F0B04">
        <w:rPr>
          <w:rFonts w:cs="Arial"/>
          <w:color w:val="000000" w:themeColor="text1"/>
          <w:szCs w:val="21"/>
        </w:rPr>
        <w:t xml:space="preserve">But </w:t>
      </w:r>
      <w:r w:rsidR="00FB6286">
        <w:rPr>
          <w:rFonts w:cs="Arial"/>
          <w:color w:val="000000" w:themeColor="text1"/>
          <w:szCs w:val="21"/>
        </w:rPr>
        <w:t xml:space="preserve">even though </w:t>
      </w:r>
      <w:r w:rsidR="002C326C">
        <w:rPr>
          <w:rFonts w:cs="Arial"/>
          <w:color w:val="000000" w:themeColor="text1"/>
          <w:szCs w:val="21"/>
        </w:rPr>
        <w:t>evidence of industry custom and practice</w:t>
      </w:r>
      <w:r w:rsidR="00D5571D">
        <w:rPr>
          <w:rFonts w:cs="Arial"/>
          <w:color w:val="000000" w:themeColor="text1"/>
          <w:szCs w:val="21"/>
        </w:rPr>
        <w:t xml:space="preserve"> </w:t>
      </w:r>
      <w:r w:rsidR="002544A3">
        <w:rPr>
          <w:rFonts w:cs="Arial"/>
          <w:color w:val="000000" w:themeColor="text1"/>
          <w:szCs w:val="21"/>
        </w:rPr>
        <w:t xml:space="preserve">cannot be </w:t>
      </w:r>
      <w:r w:rsidR="002C326C">
        <w:rPr>
          <w:rFonts w:cs="Arial"/>
          <w:color w:val="000000" w:themeColor="text1"/>
          <w:szCs w:val="21"/>
        </w:rPr>
        <w:t>dispositive</w:t>
      </w:r>
      <w:r w:rsidR="00F54005">
        <w:rPr>
          <w:rFonts w:cs="Arial"/>
          <w:color w:val="000000" w:themeColor="text1"/>
          <w:szCs w:val="21"/>
        </w:rPr>
        <w:t xml:space="preserve"> of the issue</w:t>
      </w:r>
      <w:r w:rsidR="002C326C">
        <w:rPr>
          <w:rFonts w:cs="Arial"/>
          <w:color w:val="000000" w:themeColor="text1"/>
          <w:szCs w:val="21"/>
        </w:rPr>
        <w:t xml:space="preserve">, it may nevertheless </w:t>
      </w:r>
      <w:r w:rsidR="00FB6286">
        <w:rPr>
          <w:rFonts w:cs="Arial"/>
          <w:color w:val="000000" w:themeColor="text1"/>
          <w:szCs w:val="21"/>
        </w:rPr>
        <w:t>be relevant</w:t>
      </w:r>
      <w:r w:rsidR="00501332">
        <w:rPr>
          <w:rFonts w:cs="Arial"/>
          <w:color w:val="000000" w:themeColor="text1"/>
          <w:szCs w:val="21"/>
        </w:rPr>
        <w:t xml:space="preserve"> to </w:t>
      </w:r>
      <w:r w:rsidR="00CF07AA">
        <w:rPr>
          <w:rFonts w:cs="Arial"/>
          <w:color w:val="000000" w:themeColor="text1"/>
          <w:szCs w:val="21"/>
        </w:rPr>
        <w:t xml:space="preserve">the </w:t>
      </w:r>
      <w:r w:rsidR="009E5596">
        <w:rPr>
          <w:rFonts w:cs="Arial"/>
          <w:color w:val="000000" w:themeColor="text1"/>
          <w:szCs w:val="21"/>
        </w:rPr>
        <w:t xml:space="preserve">strict products liability </w:t>
      </w:r>
      <w:r w:rsidR="00CF07AA">
        <w:rPr>
          <w:rFonts w:cs="Arial"/>
          <w:color w:val="000000" w:themeColor="text1"/>
          <w:szCs w:val="21"/>
        </w:rPr>
        <w:t xml:space="preserve">inquiry, including </w:t>
      </w:r>
      <w:r w:rsidR="00501332">
        <w:rPr>
          <w:rFonts w:cs="Arial"/>
          <w:color w:val="000000" w:themeColor="text1"/>
          <w:szCs w:val="21"/>
        </w:rPr>
        <w:t>the jury’</w:t>
      </w:r>
      <w:r w:rsidR="00BC4703">
        <w:rPr>
          <w:rFonts w:cs="Arial"/>
          <w:color w:val="000000" w:themeColor="text1"/>
          <w:szCs w:val="21"/>
        </w:rPr>
        <w:t xml:space="preserve">s </w:t>
      </w:r>
      <w:r w:rsidR="00D83E17">
        <w:rPr>
          <w:rFonts w:cs="Arial"/>
          <w:color w:val="000000" w:themeColor="text1"/>
          <w:szCs w:val="21"/>
        </w:rPr>
        <w:t>evaluation of</w:t>
      </w:r>
      <w:r w:rsidR="00EC5CEF">
        <w:rPr>
          <w:rFonts w:cs="Arial"/>
          <w:color w:val="000000" w:themeColor="text1"/>
          <w:szCs w:val="21"/>
        </w:rPr>
        <w:t xml:space="preserve"> whether the product </w:t>
      </w:r>
      <w:r w:rsidR="002926DF">
        <w:rPr>
          <w:rFonts w:cs="Arial"/>
          <w:color w:val="000000" w:themeColor="text1"/>
          <w:szCs w:val="21"/>
        </w:rPr>
        <w:t>is as safely designed as it should be</w:t>
      </w:r>
      <w:r w:rsidR="000C3C95">
        <w:rPr>
          <w:rFonts w:cs="Arial"/>
          <w:color w:val="000000" w:themeColor="text1"/>
          <w:szCs w:val="21"/>
        </w:rPr>
        <w:t>, considering the</w:t>
      </w:r>
      <w:r w:rsidR="00DC0275">
        <w:rPr>
          <w:rFonts w:cs="Arial"/>
          <w:color w:val="000000" w:themeColor="text1"/>
          <w:szCs w:val="21"/>
        </w:rPr>
        <w:t xml:space="preserve"> feasibility and cost </w:t>
      </w:r>
      <w:r w:rsidR="0074361F">
        <w:rPr>
          <w:rFonts w:cs="Arial"/>
          <w:color w:val="000000" w:themeColor="text1"/>
          <w:szCs w:val="21"/>
        </w:rPr>
        <w:t>of alternative</w:t>
      </w:r>
      <w:r w:rsidR="0056620E">
        <w:rPr>
          <w:rFonts w:cs="Arial"/>
          <w:color w:val="000000" w:themeColor="text1"/>
          <w:szCs w:val="21"/>
        </w:rPr>
        <w:t xml:space="preserve"> </w:t>
      </w:r>
      <w:r w:rsidR="0074361F">
        <w:rPr>
          <w:rFonts w:cs="Arial"/>
          <w:color w:val="000000" w:themeColor="text1"/>
          <w:szCs w:val="21"/>
        </w:rPr>
        <w:t>d</w:t>
      </w:r>
      <w:r w:rsidR="000C3C95">
        <w:rPr>
          <w:rFonts w:cs="Arial"/>
          <w:color w:val="000000" w:themeColor="text1"/>
          <w:szCs w:val="21"/>
        </w:rPr>
        <w:t>esigns</w:t>
      </w:r>
      <w:r w:rsidR="00EB72A7">
        <w:rPr>
          <w:rFonts w:cs="Arial"/>
          <w:color w:val="000000" w:themeColor="text1"/>
          <w:szCs w:val="21"/>
        </w:rPr>
        <w:t xml:space="preserve">.  Because the evidence </w:t>
      </w:r>
      <w:r w:rsidR="00CF07AA">
        <w:rPr>
          <w:rFonts w:cs="Arial"/>
          <w:color w:val="000000" w:themeColor="text1"/>
          <w:szCs w:val="21"/>
        </w:rPr>
        <w:t xml:space="preserve">in this case </w:t>
      </w:r>
      <w:r w:rsidR="00EB72A7">
        <w:rPr>
          <w:rFonts w:cs="Arial"/>
          <w:color w:val="000000" w:themeColor="text1"/>
          <w:szCs w:val="21"/>
        </w:rPr>
        <w:t>was properly admitted for that limited purpose, we affirm the judgment of the Court of Appeal.</w:t>
      </w:r>
    </w:p>
    <w:p w14:paraId="25BB1FCE" w14:textId="77777777" w:rsidR="006577BC" w:rsidRDefault="000E4208" w:rsidP="00F67118">
      <w:pPr>
        <w:pStyle w:val="Heading1"/>
        <w:spacing w:before="0" w:line="480" w:lineRule="atLeast"/>
      </w:pPr>
      <w:r>
        <w:t>I.</w:t>
      </w:r>
    </w:p>
    <w:p w14:paraId="16BFD8E9" w14:textId="77777777" w:rsidR="006D64A1" w:rsidRDefault="00407576" w:rsidP="00F67118">
      <w:r>
        <w:t>On a rainy day in April 2010</w:t>
      </w:r>
      <w:r w:rsidR="001263B3">
        <w:t>, Kim was driving his 2005</w:t>
      </w:r>
      <w:r w:rsidR="00737519">
        <w:t xml:space="preserve"> Toyota</w:t>
      </w:r>
      <w:r w:rsidR="001263B3">
        <w:t xml:space="preserve"> Tundra</w:t>
      </w:r>
      <w:r w:rsidR="005B4297">
        <w:t xml:space="preserve"> pickup</w:t>
      </w:r>
      <w:r w:rsidR="001263B3">
        <w:t xml:space="preserve"> truck </w:t>
      </w:r>
      <w:r w:rsidR="00AA7616">
        <w:t>through the mountains</w:t>
      </w:r>
      <w:r w:rsidR="00916D6A">
        <w:t xml:space="preserve"> on the Angeles Forest Highway</w:t>
      </w:r>
      <w:r w:rsidR="001263B3">
        <w:t>.</w:t>
      </w:r>
      <w:r w:rsidR="00246B79">
        <w:t xml:space="preserve"> </w:t>
      </w:r>
      <w:r w:rsidR="00F431AD">
        <w:t xml:space="preserve"> </w:t>
      </w:r>
      <w:r w:rsidR="001E74FF">
        <w:t>Kim was descending on a right-hand curve at approximately 45 to 50 miles per hour when</w:t>
      </w:r>
      <w:r w:rsidR="00397599">
        <w:t>, he says,</w:t>
      </w:r>
      <w:r w:rsidR="001E74FF">
        <w:t xml:space="preserve"> a vehicle coming from the opposite direction crossed into his lane</w:t>
      </w:r>
      <w:r w:rsidR="0036387B">
        <w:t>.  Kim</w:t>
      </w:r>
      <w:r w:rsidR="005F17DB">
        <w:t xml:space="preserve"> attempted a sequen</w:t>
      </w:r>
      <w:r w:rsidR="001E74FF">
        <w:t>ce of three steering maneuvers—</w:t>
      </w:r>
      <w:r w:rsidR="005F17DB">
        <w:t>a right steer, a</w:t>
      </w:r>
      <w:r w:rsidR="001E74FF">
        <w:t xml:space="preserve"> left steer, and a right steer—</w:t>
      </w:r>
      <w:r w:rsidR="005F17DB">
        <w:t xml:space="preserve">that resulted in Kim losing control of the vehicle.  </w:t>
      </w:r>
      <w:r w:rsidR="00916D6A">
        <w:t xml:space="preserve">The truck ran off the road and down </w:t>
      </w:r>
      <w:r w:rsidR="00641AC9">
        <w:t xml:space="preserve">the side of </w:t>
      </w:r>
      <w:r w:rsidR="00F66CA7">
        <w:t xml:space="preserve">a </w:t>
      </w:r>
      <w:r w:rsidR="00916D6A">
        <w:t>cliff</w:t>
      </w:r>
      <w:r w:rsidR="00F66CA7">
        <w:t xml:space="preserve"> before it came to rest</w:t>
      </w:r>
      <w:r w:rsidR="00F45E21">
        <w:t xml:space="preserve">.  </w:t>
      </w:r>
      <w:r w:rsidR="009D2380">
        <w:t xml:space="preserve">Kim suffered serious neck and spinal cord injuries that </w:t>
      </w:r>
      <w:r w:rsidR="001E74FF">
        <w:t xml:space="preserve">rendered </w:t>
      </w:r>
      <w:r w:rsidR="005F17DB">
        <w:t>him a quadriplegic</w:t>
      </w:r>
      <w:r w:rsidR="009D2380">
        <w:t xml:space="preserve">.  </w:t>
      </w:r>
    </w:p>
    <w:p w14:paraId="58F12987" w14:textId="7318379B" w:rsidR="00EF31C4" w:rsidRDefault="00F95673" w:rsidP="000304A7">
      <w:r>
        <w:t xml:space="preserve">Kim, together with his </w:t>
      </w:r>
      <w:r w:rsidR="00E52C32">
        <w:t xml:space="preserve">wife, </w:t>
      </w:r>
      <w:proofErr w:type="spellStart"/>
      <w:r w:rsidRPr="00C84603">
        <w:t>Hee</w:t>
      </w:r>
      <w:proofErr w:type="spellEnd"/>
      <w:r w:rsidRPr="00C84603">
        <w:t xml:space="preserve"> </w:t>
      </w:r>
      <w:proofErr w:type="spellStart"/>
      <w:r w:rsidRPr="00C84603">
        <w:t>Joon</w:t>
      </w:r>
      <w:proofErr w:type="spellEnd"/>
      <w:r w:rsidRPr="00C84603">
        <w:t xml:space="preserve"> Kim</w:t>
      </w:r>
      <w:r>
        <w:t xml:space="preserve">, </w:t>
      </w:r>
      <w:r w:rsidR="007914B4">
        <w:t>sued</w:t>
      </w:r>
      <w:r w:rsidR="00A71661">
        <w:t xml:space="preserve"> Toyota</w:t>
      </w:r>
      <w:r w:rsidR="007914B4">
        <w:t xml:space="preserve"> for </w:t>
      </w:r>
      <w:r w:rsidR="00F66FF7">
        <w:t xml:space="preserve">his </w:t>
      </w:r>
      <w:r w:rsidR="007914B4">
        <w:t xml:space="preserve">injuries, asserting </w:t>
      </w:r>
      <w:r w:rsidR="00D013ED" w:rsidRPr="00C84603">
        <w:t>causes</w:t>
      </w:r>
      <w:r w:rsidR="00D013ED">
        <w:t xml:space="preserve"> of action for </w:t>
      </w:r>
      <w:r w:rsidR="00EF31C4">
        <w:t xml:space="preserve">strict </w:t>
      </w:r>
      <w:r w:rsidR="00EF31C4" w:rsidRPr="00FA4AA1">
        <w:t>products liability</w:t>
      </w:r>
      <w:r w:rsidR="000E2E16">
        <w:t xml:space="preserve"> </w:t>
      </w:r>
      <w:r w:rsidR="00EF31C4" w:rsidRPr="00FA4AA1">
        <w:t>and loss of consortium.</w:t>
      </w:r>
      <w:r w:rsidR="000E2E16">
        <w:rPr>
          <w:rStyle w:val="FootnoteReference"/>
        </w:rPr>
        <w:footnoteReference w:id="2"/>
      </w:r>
      <w:r w:rsidR="00953D0E" w:rsidRPr="00FA4AA1">
        <w:t xml:space="preserve">  The </w:t>
      </w:r>
      <w:proofErr w:type="spellStart"/>
      <w:r w:rsidR="00953D0E" w:rsidRPr="00FA4AA1">
        <w:t>Kims</w:t>
      </w:r>
      <w:proofErr w:type="spellEnd"/>
      <w:r w:rsidR="00953D0E" w:rsidRPr="00FA4AA1">
        <w:t xml:space="preserve"> alleged </w:t>
      </w:r>
      <w:r w:rsidR="00916D6A">
        <w:t>that VSC</w:t>
      </w:r>
      <w:r w:rsidR="00916D6A">
        <w:rPr>
          <w:rStyle w:val="FootnoteReference"/>
        </w:rPr>
        <w:footnoteReference w:id="3"/>
      </w:r>
      <w:r w:rsidR="00916D6A">
        <w:t xml:space="preserve"> </w:t>
      </w:r>
      <w:r w:rsidR="007914B4" w:rsidRPr="00FA4AA1">
        <w:t>woul</w:t>
      </w:r>
      <w:r w:rsidR="0097672F">
        <w:t xml:space="preserve">d have prevented Kim’s accident.  </w:t>
      </w:r>
      <w:r w:rsidR="009E2B80">
        <w:t xml:space="preserve">In 2005, </w:t>
      </w:r>
      <w:r w:rsidR="00EB72A7">
        <w:t xml:space="preserve">Toyota </w:t>
      </w:r>
      <w:r w:rsidR="00EB72A7">
        <w:lastRenderedPageBreak/>
        <w:t xml:space="preserve">offered VSC—then a relatively new technology—on </w:t>
      </w:r>
      <w:r w:rsidR="001C6378">
        <w:t xml:space="preserve">the </w:t>
      </w:r>
      <w:r w:rsidR="003E0AC9">
        <w:t xml:space="preserve">Tundra </w:t>
      </w:r>
      <w:r w:rsidR="00E52C32">
        <w:t xml:space="preserve">as part of an optional package </w:t>
      </w:r>
      <w:r w:rsidR="00BD7465">
        <w:t xml:space="preserve">including various </w:t>
      </w:r>
      <w:r w:rsidR="00E52C32">
        <w:t xml:space="preserve">enhanced safety </w:t>
      </w:r>
      <w:r w:rsidR="00F66FF7">
        <w:t>features</w:t>
      </w:r>
      <w:r w:rsidR="00E52C32">
        <w:t xml:space="preserve">.  The </w:t>
      </w:r>
      <w:proofErr w:type="spellStart"/>
      <w:r w:rsidR="00E52C32">
        <w:t>Kims</w:t>
      </w:r>
      <w:proofErr w:type="spellEnd"/>
      <w:r w:rsidR="00E52C32">
        <w:t xml:space="preserve"> alleged that </w:t>
      </w:r>
      <w:r w:rsidR="00EB72A7">
        <w:t xml:space="preserve">VSC should instead have been made part of the Tundra’s standard equipment and that the </w:t>
      </w:r>
      <w:r w:rsidR="00CC4DD0">
        <w:t>omission was a defect in the Tundra’s design</w:t>
      </w:r>
      <w:r w:rsidR="00FA4AA1" w:rsidRPr="00FA4AA1">
        <w:t>.</w:t>
      </w:r>
    </w:p>
    <w:p w14:paraId="36D2F370" w14:textId="77777777" w:rsidR="006D64A1" w:rsidRDefault="00AA6E3A" w:rsidP="00F67118">
      <w:r>
        <w:t xml:space="preserve">Before trial, the </w:t>
      </w:r>
      <w:proofErr w:type="spellStart"/>
      <w:r>
        <w:t>Kims</w:t>
      </w:r>
      <w:proofErr w:type="spellEnd"/>
      <w:r>
        <w:t xml:space="preserve"> filed a motion in </w:t>
      </w:r>
      <w:proofErr w:type="spellStart"/>
      <w:r>
        <w:t>limine</w:t>
      </w:r>
      <w:proofErr w:type="spellEnd"/>
      <w:r>
        <w:t xml:space="preserve"> asking </w:t>
      </w:r>
      <w:r w:rsidR="001263B3">
        <w:t xml:space="preserve">the court to preclude </w:t>
      </w:r>
      <w:r w:rsidR="001E24F1">
        <w:t>“</w:t>
      </w:r>
      <w:r w:rsidR="001263B3">
        <w:t>any</w:t>
      </w:r>
      <w:r w:rsidR="001E24F1">
        <w:t xml:space="preserve"> argument, evidence or testimony </w:t>
      </w:r>
      <w:r w:rsidR="001263B3">
        <w:t xml:space="preserve">comparing the </w:t>
      </w:r>
      <w:r w:rsidR="000449F7">
        <w:t xml:space="preserve">Toyota </w:t>
      </w:r>
      <w:r w:rsidR="001263B3">
        <w:t>Tundra to competitor’s vehicles and designs</w:t>
      </w:r>
      <w:r w:rsidR="001E24F1">
        <w:t xml:space="preserve">, and any evidence or argument that [Toyota’s] </w:t>
      </w:r>
      <w:r w:rsidR="001263B3">
        <w:t xml:space="preserve">design choices were not </w:t>
      </w:r>
      <w:proofErr w:type="gramStart"/>
      <w:r w:rsidR="001263B3">
        <w:t>defective .</w:t>
      </w:r>
      <w:proofErr w:type="gramEnd"/>
      <w:r w:rsidR="00E76D87">
        <w:t> </w:t>
      </w:r>
      <w:r w:rsidR="001263B3">
        <w:t>.</w:t>
      </w:r>
      <w:r w:rsidR="00E76D87">
        <w:t> </w:t>
      </w:r>
      <w:r w:rsidR="001263B3">
        <w:t>. because they were equivalent or superior to those of its competitors.”</w:t>
      </w:r>
      <w:r w:rsidR="0022019A">
        <w:t xml:space="preserve">  </w:t>
      </w:r>
      <w:r w:rsidR="006641F2">
        <w:t>During a hearing on the motion</w:t>
      </w:r>
      <w:r w:rsidR="0022019A">
        <w:t xml:space="preserve">, </w:t>
      </w:r>
      <w:r w:rsidR="00E24AEA">
        <w:t xml:space="preserve">however, </w:t>
      </w:r>
      <w:r w:rsidR="00033EA2">
        <w:t xml:space="preserve">counsel for </w:t>
      </w:r>
      <w:r w:rsidR="0022019A">
        <w:t xml:space="preserve">the </w:t>
      </w:r>
      <w:proofErr w:type="spellStart"/>
      <w:r w:rsidR="007D1834">
        <w:t>Kims</w:t>
      </w:r>
      <w:proofErr w:type="spellEnd"/>
      <w:r w:rsidR="002F3C1F">
        <w:t xml:space="preserve"> </w:t>
      </w:r>
      <w:r w:rsidR="00EB72A7">
        <w:t xml:space="preserve">appeared to back away from the position that such evidence was categorically inadmissible.  </w:t>
      </w:r>
      <w:r w:rsidR="00CF07AA">
        <w:t>C</w:t>
      </w:r>
      <w:r w:rsidR="00EB72A7">
        <w:t xml:space="preserve">ounsel </w:t>
      </w:r>
      <w:r w:rsidR="00CF07AA">
        <w:t xml:space="preserve">instead </w:t>
      </w:r>
      <w:r w:rsidR="007C685B">
        <w:t xml:space="preserve">took the view </w:t>
      </w:r>
      <w:r w:rsidR="002F3C1F">
        <w:t>that evidence that Toyota’s competitors did not make VSC standard</w:t>
      </w:r>
      <w:r w:rsidR="00D33A2F">
        <w:t xml:space="preserve"> equipment</w:t>
      </w:r>
      <w:r w:rsidR="002F3C1F">
        <w:t xml:space="preserve"> on their pickup trucks </w:t>
      </w:r>
      <w:r w:rsidR="006621BD">
        <w:t xml:space="preserve">would be admissible to explain </w:t>
      </w:r>
      <w:r w:rsidR="007D1834">
        <w:t>why Toyota decided not to make VSC standard</w:t>
      </w:r>
      <w:r w:rsidR="00D33A2F">
        <w:t xml:space="preserve"> equipment</w:t>
      </w:r>
      <w:r w:rsidR="007D1834">
        <w:t xml:space="preserve"> on the 2005 Toyota Tundra.  </w:t>
      </w:r>
      <w:r w:rsidR="00EB72A7">
        <w:t xml:space="preserve">According to counsel, the </w:t>
      </w:r>
      <w:proofErr w:type="spellStart"/>
      <w:r w:rsidR="00D33014">
        <w:t>Kims</w:t>
      </w:r>
      <w:proofErr w:type="spellEnd"/>
      <w:r w:rsidR="0007089B">
        <w:t xml:space="preserve"> were not</w:t>
      </w:r>
      <w:r w:rsidR="00EB72A7">
        <w:t xml:space="preserve">, in fact, </w:t>
      </w:r>
      <w:r w:rsidR="0007089B">
        <w:t xml:space="preserve">seeking exclusion of this evidence, but rather a limiting instruction </w:t>
      </w:r>
      <w:r w:rsidR="00736EC3">
        <w:t xml:space="preserve">advising </w:t>
      </w:r>
      <w:r w:rsidR="0007089B">
        <w:t>that this evidence was being offered only “to explain why [Toyota] did or didn’t do what they did</w:t>
      </w:r>
      <w:r w:rsidR="00337EBF">
        <w:t xml:space="preserve"> under the risk bene</w:t>
      </w:r>
      <w:r w:rsidR="00C952E5">
        <w:t>fit doctrine,</w:t>
      </w:r>
      <w:r w:rsidR="0007089B">
        <w:t>”</w:t>
      </w:r>
      <w:r w:rsidR="00C952E5">
        <w:t xml:space="preserve"> and not to make out a defense to liability.</w:t>
      </w:r>
      <w:r w:rsidR="0007089B">
        <w:t xml:space="preserve">  The trial court denied </w:t>
      </w:r>
      <w:r w:rsidR="007A4AC5">
        <w:t xml:space="preserve">the </w:t>
      </w:r>
      <w:r w:rsidR="0007089B">
        <w:t xml:space="preserve">motion in </w:t>
      </w:r>
      <w:proofErr w:type="spellStart"/>
      <w:r w:rsidR="0007089B">
        <w:t>limine</w:t>
      </w:r>
      <w:proofErr w:type="spellEnd"/>
      <w:r w:rsidR="0007089B">
        <w:t xml:space="preserve"> but in</w:t>
      </w:r>
      <w:r w:rsidR="006E32C4">
        <w:t xml:space="preserve">formed </w:t>
      </w:r>
      <w:r w:rsidR="0007089B">
        <w:t xml:space="preserve">the </w:t>
      </w:r>
      <w:proofErr w:type="spellStart"/>
      <w:r w:rsidR="0007089B">
        <w:t>Kims</w:t>
      </w:r>
      <w:proofErr w:type="spellEnd"/>
      <w:r w:rsidR="006E32C4">
        <w:t xml:space="preserve"> that they </w:t>
      </w:r>
      <w:r w:rsidR="0007089B">
        <w:t>were “welcome to prepare a limiting instruction that [they</w:t>
      </w:r>
      <w:r w:rsidR="000E5938">
        <w:t xml:space="preserve"> woul</w:t>
      </w:r>
      <w:r w:rsidR="0007089B">
        <w:t>d] like,” which would then be “litigate[d] at the appropriate time.”</w:t>
      </w:r>
      <w:r w:rsidR="008231F2">
        <w:rPr>
          <w:rStyle w:val="FootnoteReference"/>
        </w:rPr>
        <w:footnoteReference w:id="4"/>
      </w:r>
      <w:r w:rsidR="006E32C4">
        <w:t xml:space="preserve">  </w:t>
      </w:r>
    </w:p>
    <w:p w14:paraId="55D1EFE5" w14:textId="77777777" w:rsidR="00D940CF" w:rsidRPr="005F3F0A" w:rsidRDefault="001263B3" w:rsidP="00F67118">
      <w:r w:rsidRPr="00AA24C5">
        <w:t>At trial</w:t>
      </w:r>
      <w:r w:rsidR="006621BD" w:rsidRPr="00AA24C5">
        <w:t xml:space="preserve">, the </w:t>
      </w:r>
      <w:proofErr w:type="spellStart"/>
      <w:r w:rsidR="006621BD" w:rsidRPr="00AA24C5">
        <w:t>Kims</w:t>
      </w:r>
      <w:proofErr w:type="spellEnd"/>
      <w:r w:rsidR="006621BD" w:rsidRPr="00AA24C5">
        <w:t xml:space="preserve"> argued that VSC would have prevented</w:t>
      </w:r>
      <w:r w:rsidR="00AA24C5" w:rsidRPr="00AA24C5">
        <w:t xml:space="preserve"> Kim’s</w:t>
      </w:r>
      <w:r w:rsidR="006621BD" w:rsidRPr="00AA24C5">
        <w:t xml:space="preserve"> accident and that</w:t>
      </w:r>
      <w:r w:rsidR="00A71661" w:rsidRPr="00AA24C5">
        <w:t xml:space="preserve"> the benefits of including VSC on the 2005 Toyota Tundra outweighed the </w:t>
      </w:r>
      <w:r w:rsidR="00A71661" w:rsidRPr="00AA24C5">
        <w:lastRenderedPageBreak/>
        <w:t>risks of its omission</w:t>
      </w:r>
      <w:r w:rsidR="006621BD" w:rsidRPr="00AA24C5">
        <w:t xml:space="preserve">.  </w:t>
      </w:r>
      <w:r w:rsidR="007A6CAD" w:rsidRPr="00AA24C5">
        <w:t xml:space="preserve">The </w:t>
      </w:r>
      <w:proofErr w:type="spellStart"/>
      <w:r w:rsidR="007A6CAD" w:rsidRPr="00AA24C5">
        <w:t>Kims</w:t>
      </w:r>
      <w:proofErr w:type="spellEnd"/>
      <w:r w:rsidR="007A6CAD" w:rsidRPr="00AA24C5">
        <w:t xml:space="preserve"> presented expert testimony </w:t>
      </w:r>
      <w:r w:rsidR="005F17DB" w:rsidRPr="00AA24C5">
        <w:t xml:space="preserve">that </w:t>
      </w:r>
      <w:r w:rsidR="00C86544">
        <w:t>VSC</w:t>
      </w:r>
      <w:r w:rsidR="00CD7224" w:rsidRPr="00AA24C5">
        <w:t xml:space="preserve"> </w:t>
      </w:r>
      <w:r w:rsidR="00007346">
        <w:t xml:space="preserve">helps drivers maintain control of their vehicle by sensing when the vehicle turns more </w:t>
      </w:r>
      <w:r w:rsidR="007A4AC5">
        <w:t xml:space="preserve">or less </w:t>
      </w:r>
      <w:r w:rsidR="00007346">
        <w:t xml:space="preserve">than </w:t>
      </w:r>
      <w:r w:rsidR="00D7786A">
        <w:t>driver’s steering</w:t>
      </w:r>
      <w:r w:rsidR="000E5938">
        <w:t xml:space="preserve"> </w:t>
      </w:r>
      <w:r w:rsidR="00D7786A">
        <w:t>wheel input</w:t>
      </w:r>
      <w:r w:rsidR="007A4AC5">
        <w:t xml:space="preserve">—either </w:t>
      </w:r>
      <w:r w:rsidR="00007346">
        <w:t xml:space="preserve">causing </w:t>
      </w:r>
      <w:r w:rsidR="00D05CBB">
        <w:t>the vehicle’s rear end to swing out and the rear tires to slip</w:t>
      </w:r>
      <w:r w:rsidR="007A4AC5">
        <w:t xml:space="preserve"> or, alternatively, causing the vehicle to drift </w:t>
      </w:r>
      <w:r w:rsidR="00007346">
        <w:t>and the front tir</w:t>
      </w:r>
      <w:r w:rsidR="007A4AC5">
        <w:t xml:space="preserve">es to slip—and </w:t>
      </w:r>
      <w:r w:rsidR="00A74520">
        <w:t>applying</w:t>
      </w:r>
      <w:r w:rsidR="007A4AC5">
        <w:t xml:space="preserve"> a brake</w:t>
      </w:r>
      <w:r w:rsidR="00007346">
        <w:t xml:space="preserve"> to either a front or back tire </w:t>
      </w:r>
      <w:r w:rsidR="00D05CBB">
        <w:t xml:space="preserve">to counteract </w:t>
      </w:r>
      <w:r w:rsidR="00D7786A">
        <w:t>the rotation</w:t>
      </w:r>
      <w:r w:rsidR="007A4AC5">
        <w:t xml:space="preserve"> and help the driver straighten out the vehicle</w:t>
      </w:r>
      <w:r w:rsidR="00D7786A">
        <w:t xml:space="preserve">.  </w:t>
      </w:r>
      <w:r w:rsidR="007A6CAD" w:rsidRPr="005F3F0A">
        <w:t xml:space="preserve">Two of the </w:t>
      </w:r>
      <w:proofErr w:type="spellStart"/>
      <w:r w:rsidR="007A6CAD" w:rsidRPr="005F3F0A">
        <w:t>Kims</w:t>
      </w:r>
      <w:proofErr w:type="spellEnd"/>
      <w:r w:rsidR="007A6CAD" w:rsidRPr="005F3F0A">
        <w:t xml:space="preserve">’ expert witnesses opined that </w:t>
      </w:r>
      <w:r w:rsidR="00007346">
        <w:t>VSC</w:t>
      </w:r>
      <w:r w:rsidR="007A6CAD" w:rsidRPr="005F3F0A">
        <w:t xml:space="preserve"> would have prevented Kim from losing control of his truck.</w:t>
      </w:r>
      <w:r w:rsidR="003F51BF" w:rsidRPr="005F3F0A">
        <w:t xml:space="preserve">  </w:t>
      </w:r>
      <w:r w:rsidR="00AA3998" w:rsidRPr="005F3F0A">
        <w:t xml:space="preserve">A third expert witness estimated that the incremental cost to Toyota of adding VSC </w:t>
      </w:r>
      <w:r w:rsidR="002D1A5D" w:rsidRPr="005F3F0A">
        <w:t>to the</w:t>
      </w:r>
      <w:r w:rsidR="00AA3998" w:rsidRPr="005F3F0A">
        <w:t xml:space="preserve"> 2005 Toyota Tundra would have been approxima</w:t>
      </w:r>
      <w:r w:rsidR="00E27A11">
        <w:t xml:space="preserve">tely $300 to $350 per vehicle. </w:t>
      </w:r>
    </w:p>
    <w:p w14:paraId="71ED06B8" w14:textId="77777777" w:rsidR="002D1A5D" w:rsidRDefault="008300F3" w:rsidP="00F67118">
      <w:r>
        <w:t>The</w:t>
      </w:r>
      <w:r w:rsidR="005F17DB" w:rsidRPr="00756C0D">
        <w:t xml:space="preserve"> </w:t>
      </w:r>
      <w:proofErr w:type="spellStart"/>
      <w:r w:rsidR="005F17DB" w:rsidRPr="00756C0D">
        <w:t>Kims</w:t>
      </w:r>
      <w:proofErr w:type="spellEnd"/>
      <w:r w:rsidR="005F17DB" w:rsidRPr="00756C0D">
        <w:t xml:space="preserve"> </w:t>
      </w:r>
      <w:r>
        <w:t xml:space="preserve">also </w:t>
      </w:r>
      <w:r w:rsidR="00AA3998" w:rsidRPr="00756C0D">
        <w:t xml:space="preserve">called </w:t>
      </w:r>
      <w:r w:rsidR="00CD22E5" w:rsidRPr="00756C0D">
        <w:t xml:space="preserve">Sandy </w:t>
      </w:r>
      <w:proofErr w:type="spellStart"/>
      <w:r w:rsidR="00CD22E5" w:rsidRPr="00756C0D">
        <w:t>Lobenstein</w:t>
      </w:r>
      <w:proofErr w:type="spellEnd"/>
      <w:r w:rsidR="00CD22E5" w:rsidRPr="00756C0D">
        <w:t xml:space="preserve">, </w:t>
      </w:r>
      <w:r w:rsidR="001263B3" w:rsidRPr="00756C0D">
        <w:t>Toyota’s product planning manager</w:t>
      </w:r>
      <w:r w:rsidR="00AA3998" w:rsidRPr="00756C0D">
        <w:t>, as an adverse witness</w:t>
      </w:r>
      <w:r w:rsidR="00616DFF">
        <w:t xml:space="preserve">.  From </w:t>
      </w:r>
      <w:proofErr w:type="spellStart"/>
      <w:r w:rsidR="00616DFF">
        <w:t>Lobenstein</w:t>
      </w:r>
      <w:proofErr w:type="spellEnd"/>
      <w:r w:rsidR="00616DFF">
        <w:t xml:space="preserve"> they elicited </w:t>
      </w:r>
      <w:r w:rsidR="00AA3998" w:rsidRPr="00756C0D">
        <w:t xml:space="preserve">testimony </w:t>
      </w:r>
      <w:r w:rsidR="00616DFF">
        <w:t xml:space="preserve">about </w:t>
      </w:r>
      <w:r w:rsidR="00AA3998" w:rsidRPr="00756C0D">
        <w:t xml:space="preserve">why Toyota </w:t>
      </w:r>
      <w:r w:rsidR="00CC1743" w:rsidRPr="00756C0D">
        <w:t xml:space="preserve">decided against making </w:t>
      </w:r>
      <w:r w:rsidR="00AA3998" w:rsidRPr="00756C0D">
        <w:t>VSC standard</w:t>
      </w:r>
      <w:r w:rsidR="002D1A5D" w:rsidRPr="00756C0D">
        <w:t xml:space="preserve"> equipment</w:t>
      </w:r>
      <w:r w:rsidR="00AA3998" w:rsidRPr="00756C0D">
        <w:t xml:space="preserve"> on the 2005 Toyota Tundra.  </w:t>
      </w:r>
      <w:proofErr w:type="spellStart"/>
      <w:r w:rsidR="00D940CF" w:rsidRPr="00756C0D">
        <w:t>Lobenstein</w:t>
      </w:r>
      <w:proofErr w:type="spellEnd"/>
      <w:r w:rsidR="00D940CF" w:rsidRPr="00756C0D">
        <w:t xml:space="preserve"> testified</w:t>
      </w:r>
      <w:r w:rsidR="00887A0F" w:rsidRPr="00756C0D">
        <w:t xml:space="preserve"> </w:t>
      </w:r>
      <w:r w:rsidR="002D1A5D" w:rsidRPr="00756C0D">
        <w:t xml:space="preserve">that </w:t>
      </w:r>
      <w:r w:rsidR="00A64280" w:rsidRPr="00756C0D">
        <w:t>Toyota ha</w:t>
      </w:r>
      <w:r w:rsidR="00887A0F" w:rsidRPr="00756C0D">
        <w:t xml:space="preserve">d included </w:t>
      </w:r>
      <w:r w:rsidR="00810F46">
        <w:t>VSC</w:t>
      </w:r>
      <w:r w:rsidR="00887A0F" w:rsidRPr="00756C0D">
        <w:t xml:space="preserve"> on Lexus </w:t>
      </w:r>
      <w:r w:rsidR="002D7BA4">
        <w:t>model</w:t>
      </w:r>
      <w:r w:rsidR="009A7BAD">
        <w:t>s</w:t>
      </w:r>
      <w:r w:rsidR="002D7BA4">
        <w:t xml:space="preserve"> </w:t>
      </w:r>
      <w:r w:rsidR="00887A0F" w:rsidRPr="00756C0D">
        <w:t>in the 1990s and made VSC standard</w:t>
      </w:r>
      <w:r w:rsidR="00D33A2F">
        <w:t xml:space="preserve"> equipment</w:t>
      </w:r>
      <w:r w:rsidR="00887A0F" w:rsidRPr="00756C0D">
        <w:t xml:space="preserve"> in</w:t>
      </w:r>
      <w:r w:rsidR="00A64280" w:rsidRPr="00756C0D">
        <w:t xml:space="preserve"> </w:t>
      </w:r>
      <w:r w:rsidR="00887A0F" w:rsidRPr="00756C0D">
        <w:t>some</w:t>
      </w:r>
      <w:r w:rsidR="00C86544">
        <w:t xml:space="preserve"> of its</w:t>
      </w:r>
      <w:r w:rsidR="00887A0F" w:rsidRPr="00756C0D">
        <w:t xml:space="preserve"> sport</w:t>
      </w:r>
      <w:r w:rsidR="000E5938">
        <w:t>-</w:t>
      </w:r>
      <w:r w:rsidR="00887A0F" w:rsidRPr="00756C0D">
        <w:t>utility vehicles (</w:t>
      </w:r>
      <w:r w:rsidR="00F755EE">
        <w:t>“</w:t>
      </w:r>
      <w:r w:rsidR="00887A0F" w:rsidRPr="00756C0D">
        <w:t>SUVs</w:t>
      </w:r>
      <w:r w:rsidR="00F755EE">
        <w:t>”</w:t>
      </w:r>
      <w:r w:rsidR="00887A0F" w:rsidRPr="00756C0D">
        <w:t xml:space="preserve">) in 2001 and 2004.  </w:t>
      </w:r>
      <w:proofErr w:type="spellStart"/>
      <w:r w:rsidR="002D1A5D" w:rsidRPr="00756C0D">
        <w:t>Lobenstein</w:t>
      </w:r>
      <w:proofErr w:type="spellEnd"/>
      <w:r w:rsidR="002D1A5D" w:rsidRPr="00756C0D">
        <w:t xml:space="preserve"> </w:t>
      </w:r>
      <w:r w:rsidR="002D7BA4">
        <w:t xml:space="preserve">also </w:t>
      </w:r>
      <w:r w:rsidR="002D1A5D" w:rsidRPr="00756C0D">
        <w:t>testified that</w:t>
      </w:r>
      <w:r w:rsidR="00887A0F" w:rsidRPr="00756C0D">
        <w:t xml:space="preserve"> </w:t>
      </w:r>
      <w:r w:rsidR="00113734" w:rsidRPr="00756C0D">
        <w:t>one of the Toyota engineers had recommended that VSC be made standard</w:t>
      </w:r>
      <w:r w:rsidR="00C84603">
        <w:t xml:space="preserve"> equipment</w:t>
      </w:r>
      <w:r w:rsidR="00113734" w:rsidRPr="00756C0D">
        <w:t xml:space="preserve"> for the 2005 Toyota Tundra.  </w:t>
      </w:r>
      <w:r w:rsidR="002D7BA4">
        <w:t>But</w:t>
      </w:r>
      <w:r w:rsidR="002D1A5D" w:rsidRPr="00756C0D">
        <w:t xml:space="preserve"> </w:t>
      </w:r>
      <w:proofErr w:type="spellStart"/>
      <w:r w:rsidR="002D1A5D" w:rsidRPr="00756C0D">
        <w:t>Lobenstein</w:t>
      </w:r>
      <w:proofErr w:type="spellEnd"/>
      <w:r w:rsidR="002D1A5D" w:rsidRPr="00756C0D">
        <w:t xml:space="preserve"> explained that Toyota </w:t>
      </w:r>
      <w:r w:rsidR="0004581E" w:rsidRPr="00756C0D">
        <w:t xml:space="preserve">was trying to “produce a vehicle that met the customer’s needs based on price, based on future availability, and at the time we felt like optional </w:t>
      </w:r>
      <w:r w:rsidR="00A74520">
        <w:t>VSC</w:t>
      </w:r>
      <w:r w:rsidR="0004581E" w:rsidRPr="00756C0D">
        <w:t xml:space="preserve"> was the best decision.”  </w:t>
      </w:r>
      <w:proofErr w:type="spellStart"/>
      <w:r w:rsidR="0004581E" w:rsidRPr="00756C0D">
        <w:t>Lobenstein</w:t>
      </w:r>
      <w:proofErr w:type="spellEnd"/>
      <w:r w:rsidR="0004581E" w:rsidRPr="00756C0D">
        <w:t xml:space="preserve"> noted that Toyota’s market research indicated that pickup truck consumers</w:t>
      </w:r>
      <w:r w:rsidR="002D7BA4">
        <w:t xml:space="preserve"> were price sensitive</w:t>
      </w:r>
      <w:r w:rsidR="00A33DE9">
        <w:t xml:space="preserve"> and</w:t>
      </w:r>
      <w:r w:rsidR="0004581E" w:rsidRPr="00756C0D">
        <w:t xml:space="preserve"> </w:t>
      </w:r>
      <w:r>
        <w:t>unin</w:t>
      </w:r>
      <w:r w:rsidR="002D7BA4">
        <w:t>terested in VSC</w:t>
      </w:r>
      <w:r w:rsidR="0004581E" w:rsidRPr="00756C0D">
        <w:t>, and that none of Toyota’s competitors were offering VSC as either standard or optional equipment</w:t>
      </w:r>
      <w:r w:rsidR="00F25E85">
        <w:t xml:space="preserve"> on their 2005 pickup truck models</w:t>
      </w:r>
      <w:r w:rsidR="0004581E" w:rsidRPr="00756C0D">
        <w:t xml:space="preserve">.  </w:t>
      </w:r>
      <w:r w:rsidR="002D1A5D" w:rsidRPr="00756C0D">
        <w:t xml:space="preserve">The </w:t>
      </w:r>
      <w:proofErr w:type="spellStart"/>
      <w:r w:rsidR="002D1A5D" w:rsidRPr="00756C0D">
        <w:t>Kims</w:t>
      </w:r>
      <w:proofErr w:type="spellEnd"/>
      <w:r w:rsidR="002D1A5D" w:rsidRPr="00756C0D">
        <w:t xml:space="preserve"> relied on </w:t>
      </w:r>
      <w:proofErr w:type="spellStart"/>
      <w:r w:rsidR="002D1A5D" w:rsidRPr="00756C0D">
        <w:t>Lobenstein’s</w:t>
      </w:r>
      <w:proofErr w:type="spellEnd"/>
      <w:r w:rsidR="002D1A5D" w:rsidRPr="00756C0D">
        <w:t xml:space="preserve"> testimony to argue </w:t>
      </w:r>
      <w:r w:rsidR="00B53567">
        <w:t xml:space="preserve">that Toyota </w:t>
      </w:r>
      <w:r w:rsidR="0004581E" w:rsidRPr="00756C0D">
        <w:t xml:space="preserve">knew that pickup trucks have similar loss-of-control risks </w:t>
      </w:r>
      <w:r w:rsidR="000E5938">
        <w:t>to</w:t>
      </w:r>
      <w:r w:rsidR="0004581E" w:rsidRPr="00756C0D">
        <w:t xml:space="preserve"> SUVs, </w:t>
      </w:r>
      <w:r w:rsidR="00B53567">
        <w:t xml:space="preserve">and therefore required comparable safety equipment, </w:t>
      </w:r>
      <w:r w:rsidR="00F249BD">
        <w:t>but</w:t>
      </w:r>
      <w:r w:rsidR="009A7BAD">
        <w:t xml:space="preserve"> Toyota </w:t>
      </w:r>
      <w:r w:rsidR="00F249BD">
        <w:t>knowingly disregarded the</w:t>
      </w:r>
      <w:r w:rsidR="0004581E" w:rsidRPr="00756C0D">
        <w:t xml:space="preserve"> </w:t>
      </w:r>
      <w:r w:rsidR="0004581E" w:rsidRPr="00756C0D">
        <w:lastRenderedPageBreak/>
        <w:t>safe</w:t>
      </w:r>
      <w:r w:rsidR="00B53567">
        <w:t xml:space="preserve">ty risk </w:t>
      </w:r>
      <w:r w:rsidR="0004581E" w:rsidRPr="00756C0D">
        <w:t xml:space="preserve">because </w:t>
      </w:r>
      <w:r w:rsidR="009A7BAD">
        <w:t>it</w:t>
      </w:r>
      <w:r w:rsidR="0004581E" w:rsidRPr="00756C0D">
        <w:t xml:space="preserve"> saw no competitive advantage in including VSC as standard equipment</w:t>
      </w:r>
      <w:r w:rsidR="00F249BD">
        <w:t xml:space="preserve"> on pickup trucks</w:t>
      </w:r>
      <w:r w:rsidR="0004581E" w:rsidRPr="00756C0D">
        <w:t xml:space="preserve">.  </w:t>
      </w:r>
    </w:p>
    <w:p w14:paraId="2D27BB94" w14:textId="77777777" w:rsidR="00AE156E" w:rsidRDefault="00AE156E" w:rsidP="00F67118">
      <w:r w:rsidRPr="000175A4">
        <w:t xml:space="preserve">On cross-examination of </w:t>
      </w:r>
      <w:proofErr w:type="spellStart"/>
      <w:r w:rsidRPr="000175A4">
        <w:t>Lobenstein</w:t>
      </w:r>
      <w:proofErr w:type="spellEnd"/>
      <w:r w:rsidRPr="000175A4">
        <w:t>, Toyota also elicited</w:t>
      </w:r>
      <w:r>
        <w:t xml:space="preserve"> </w:t>
      </w:r>
      <w:r w:rsidRPr="000175A4">
        <w:t xml:space="preserve">testimony about Toyota’s decision to make VSC optional equipment </w:t>
      </w:r>
      <w:r w:rsidR="009A7BAD">
        <w:t>o</w:t>
      </w:r>
      <w:r w:rsidRPr="000175A4">
        <w:t xml:space="preserve">n the 2005 Toyota Tundra.  </w:t>
      </w:r>
      <w:proofErr w:type="spellStart"/>
      <w:r w:rsidRPr="000175A4">
        <w:t>Lobenstein</w:t>
      </w:r>
      <w:proofErr w:type="spellEnd"/>
      <w:r w:rsidRPr="000175A4">
        <w:t xml:space="preserve"> reiterated his earlier testimony that no other manufacturer offered </w:t>
      </w:r>
      <w:r>
        <w:t>VSC</w:t>
      </w:r>
      <w:r w:rsidRPr="000175A4">
        <w:t xml:space="preserve"> as standard equipment for</w:t>
      </w:r>
      <w:r w:rsidR="00EF3053">
        <w:t xml:space="preserve"> </w:t>
      </w:r>
      <w:r w:rsidR="00D520E1">
        <w:t>their</w:t>
      </w:r>
      <w:r w:rsidRPr="000175A4">
        <w:t xml:space="preserve"> 2005 pickup truck models and the 2005 Toyota Tundra was the first pickup truck to offer VSC as optional equipment.  He explained </w:t>
      </w:r>
      <w:r>
        <w:t>that the decision to offer</w:t>
      </w:r>
      <w:r w:rsidRPr="000175A4">
        <w:t xml:space="preserve"> </w:t>
      </w:r>
      <w:r>
        <w:t>VSC</w:t>
      </w:r>
      <w:r w:rsidRPr="000175A4">
        <w:t xml:space="preserve"> as optional equipment was consistent with </w:t>
      </w:r>
      <w:r>
        <w:t xml:space="preserve">the industry practice of a “phase in,” whereby a manufacturer first offers expensive, emerging technology as an option rather than as standard equipment.  </w:t>
      </w:r>
    </w:p>
    <w:p w14:paraId="6853E49F" w14:textId="77777777" w:rsidR="00C52B3F" w:rsidRPr="00EA6FD3" w:rsidRDefault="00F00578" w:rsidP="00F67118">
      <w:pPr>
        <w:rPr>
          <w:highlight w:val="yellow"/>
        </w:rPr>
      </w:pPr>
      <w:r>
        <w:t xml:space="preserve">In its case, Toyota </w:t>
      </w:r>
      <w:r w:rsidR="005F17DB" w:rsidRPr="00A33DE9">
        <w:t>argued that the</w:t>
      </w:r>
      <w:r w:rsidR="00F755EE">
        <w:t xml:space="preserve"> 2005</w:t>
      </w:r>
      <w:r w:rsidR="005F17DB" w:rsidRPr="00A33DE9">
        <w:t xml:space="preserve"> Toyota Tund</w:t>
      </w:r>
      <w:r w:rsidR="000E5517">
        <w:t>ra was already safe without VSC and</w:t>
      </w:r>
      <w:r w:rsidR="005F17DB" w:rsidRPr="00A33DE9">
        <w:t xml:space="preserve"> that VSC would not have averted Kim’s accident</w:t>
      </w:r>
      <w:r w:rsidR="001263B3" w:rsidRPr="00A33DE9">
        <w:t xml:space="preserve">.  </w:t>
      </w:r>
      <w:r w:rsidR="00C52B3F" w:rsidRPr="00453B23">
        <w:t>Toyota presented expert testimony that</w:t>
      </w:r>
      <w:proofErr w:type="gramStart"/>
      <w:r w:rsidR="009A7BAD">
        <w:t xml:space="preserve">:  </w:t>
      </w:r>
      <w:r w:rsidR="00C52B3F" w:rsidRPr="00453B23">
        <w:t>(</w:t>
      </w:r>
      <w:proofErr w:type="gramEnd"/>
      <w:r w:rsidR="00C52B3F" w:rsidRPr="00453B23">
        <w:t xml:space="preserve">1) </w:t>
      </w:r>
      <w:r w:rsidR="00CD22E5" w:rsidRPr="00453B23">
        <w:t xml:space="preserve">Kim </w:t>
      </w:r>
      <w:r w:rsidR="00453B23" w:rsidRPr="00453B23">
        <w:t>caused the accident</w:t>
      </w:r>
      <w:r w:rsidR="00CD22E5" w:rsidRPr="00453B23">
        <w:t xml:space="preserve"> by driving above the speed limit in poor driving conditions; (2) </w:t>
      </w:r>
      <w:r w:rsidR="006F6739">
        <w:t xml:space="preserve">VSC </w:t>
      </w:r>
      <w:r w:rsidR="00CD22E5" w:rsidRPr="00453B23">
        <w:t xml:space="preserve">could not have averted </w:t>
      </w:r>
      <w:r w:rsidR="00453B23" w:rsidRPr="00453B23">
        <w:t>the accident</w:t>
      </w:r>
      <w:r w:rsidR="008D4619" w:rsidRPr="00453B23">
        <w:t xml:space="preserve"> because </w:t>
      </w:r>
      <w:r w:rsidR="006F6739">
        <w:t>VSC</w:t>
      </w:r>
      <w:r w:rsidR="008D4619" w:rsidRPr="00453B23">
        <w:t xml:space="preserve"> </w:t>
      </w:r>
      <w:r w:rsidR="00453B23" w:rsidRPr="00453B23">
        <w:t xml:space="preserve">helps to steer the vehicle in the direction </w:t>
      </w:r>
      <w:r w:rsidR="008D4619" w:rsidRPr="00453B23">
        <w:t xml:space="preserve">the steering wheel is aimed, and Kim’s </w:t>
      </w:r>
      <w:r w:rsidR="00453B23" w:rsidRPr="00453B23">
        <w:t>left steer</w:t>
      </w:r>
      <w:r w:rsidR="008D4619" w:rsidRPr="00453B23">
        <w:t xml:space="preserve"> </w:t>
      </w:r>
      <w:r w:rsidR="00453B23" w:rsidRPr="00453B23">
        <w:t>would have ai</w:t>
      </w:r>
      <w:r w:rsidR="00D97C12">
        <w:t>med the car in the direction of</w:t>
      </w:r>
      <w:r w:rsidR="00B53567">
        <w:t xml:space="preserve"> the embankment</w:t>
      </w:r>
      <w:r w:rsidR="00453B23" w:rsidRPr="00453B23">
        <w:t xml:space="preserve">; and </w:t>
      </w:r>
      <w:r w:rsidR="00CD22E5" w:rsidRPr="00453B23">
        <w:t xml:space="preserve">(3) the 2005 Toyota Tundra was already equipped with </w:t>
      </w:r>
      <w:r w:rsidR="008D4619" w:rsidRPr="00453B23">
        <w:t>features designed to prevent vehicle</w:t>
      </w:r>
      <w:r w:rsidR="00AE156E">
        <w:t xml:space="preserve"> control problems</w:t>
      </w:r>
      <w:r w:rsidR="008D4619" w:rsidRPr="00453B23">
        <w:t xml:space="preserve">.  </w:t>
      </w:r>
    </w:p>
    <w:p w14:paraId="75768904" w14:textId="77777777" w:rsidR="001263B3" w:rsidRDefault="004419A0" w:rsidP="00F67118">
      <w:r>
        <w:t xml:space="preserve">The jury was instructed </w:t>
      </w:r>
      <w:r w:rsidR="00750AB0">
        <w:t xml:space="preserve">on the so-called risk-benefit theory of strict products liability, </w:t>
      </w:r>
      <w:r w:rsidR="008B5E40">
        <w:t xml:space="preserve">under which </w:t>
      </w:r>
      <w:r w:rsidR="003D5F1A">
        <w:t xml:space="preserve">the jury must determine whether the product’s design </w:t>
      </w:r>
      <w:r w:rsidR="00265088">
        <w:t>creates</w:t>
      </w:r>
      <w:r w:rsidR="003D5F1A">
        <w:t xml:space="preserve"> preventable danger that is excessive in relation to </w:t>
      </w:r>
      <w:r w:rsidR="00265088">
        <w:t xml:space="preserve">the advantages of the design.  (See </w:t>
      </w:r>
      <w:r w:rsidR="00265088">
        <w:rPr>
          <w:i/>
        </w:rPr>
        <w:t xml:space="preserve">Barker </w:t>
      </w:r>
      <w:proofErr w:type="gramStart"/>
      <w:r w:rsidR="00265088">
        <w:rPr>
          <w:i/>
        </w:rPr>
        <w:t>v.</w:t>
      </w:r>
      <w:proofErr w:type="gramEnd"/>
      <w:r w:rsidR="00265088">
        <w:rPr>
          <w:i/>
        </w:rPr>
        <w:t xml:space="preserve"> Lull Eng</w:t>
      </w:r>
      <w:r w:rsidR="000449F7">
        <w:rPr>
          <w:i/>
        </w:rPr>
        <w:t>ineering</w:t>
      </w:r>
      <w:r w:rsidR="00265088">
        <w:rPr>
          <w:i/>
        </w:rPr>
        <w:t xml:space="preserve"> Co.</w:t>
      </w:r>
      <w:r w:rsidR="00265088">
        <w:t xml:space="preserve"> (1978) 20 Cal.3d 413, 430 (</w:t>
      </w:r>
      <w:r w:rsidR="00265088">
        <w:rPr>
          <w:i/>
        </w:rPr>
        <w:t>Barker</w:t>
      </w:r>
      <w:r w:rsidR="00265088">
        <w:t>).)</w:t>
      </w:r>
      <w:r w:rsidR="00832F6E">
        <w:t xml:space="preserve"> </w:t>
      </w:r>
      <w:r w:rsidR="008A4248">
        <w:t xml:space="preserve"> </w:t>
      </w:r>
      <w:r w:rsidR="001263B3">
        <w:t xml:space="preserve">The jury found that the </w:t>
      </w:r>
      <w:r w:rsidR="00714718">
        <w:t xml:space="preserve">2005 </w:t>
      </w:r>
      <w:r w:rsidR="001263B3">
        <w:t>Toyota Tundra did not have a design defect</w:t>
      </w:r>
      <w:r w:rsidR="00C52B3F">
        <w:t>, and the trial court entered a judgment in favor of Toyota</w:t>
      </w:r>
      <w:r w:rsidR="001263B3">
        <w:t>.</w:t>
      </w:r>
      <w:r w:rsidR="00F14BF8">
        <w:t xml:space="preserve">  The </w:t>
      </w:r>
      <w:proofErr w:type="spellStart"/>
      <w:r w:rsidR="00F14BF8">
        <w:t>Kims</w:t>
      </w:r>
      <w:proofErr w:type="spellEnd"/>
      <w:r w:rsidR="00F14BF8">
        <w:t xml:space="preserve"> moved for a new trial on multiple grounds, including the trial court’s denial of their motion </w:t>
      </w:r>
      <w:r w:rsidR="00974ADC">
        <w:t xml:space="preserve">in </w:t>
      </w:r>
      <w:proofErr w:type="spellStart"/>
      <w:r w:rsidR="00F14BF8">
        <w:t>limine</w:t>
      </w:r>
      <w:proofErr w:type="spellEnd"/>
      <w:r w:rsidR="00F14BF8">
        <w:t xml:space="preserve"> to exclude evidence of industry custom and practice.</w:t>
      </w:r>
      <w:r w:rsidR="00C52B3F">
        <w:t xml:space="preserve">  </w:t>
      </w:r>
      <w:r w:rsidR="00F14BF8">
        <w:t>The trial court denied the motion.</w:t>
      </w:r>
      <w:r w:rsidR="00CD22E5">
        <w:t xml:space="preserve">  </w:t>
      </w:r>
    </w:p>
    <w:p w14:paraId="5F7355D0" w14:textId="77777777" w:rsidR="00C52B3F" w:rsidRDefault="00CD7224" w:rsidP="00F67118">
      <w:r>
        <w:lastRenderedPageBreak/>
        <w:t xml:space="preserve">On appeal, the </w:t>
      </w:r>
      <w:proofErr w:type="spellStart"/>
      <w:r>
        <w:t>Kims</w:t>
      </w:r>
      <w:proofErr w:type="spellEnd"/>
      <w:r>
        <w:t xml:space="preserve"> </w:t>
      </w:r>
      <w:r w:rsidR="00F14BF8">
        <w:t>again challenged</w:t>
      </w:r>
      <w:r>
        <w:t xml:space="preserve"> the trial court’s denial of their motion in </w:t>
      </w:r>
      <w:proofErr w:type="spellStart"/>
      <w:r>
        <w:t>limine</w:t>
      </w:r>
      <w:proofErr w:type="spellEnd"/>
      <w:r>
        <w:t xml:space="preserve"> to exclude evidence of industry custom and practice.  The Court of Appeal </w:t>
      </w:r>
      <w:r w:rsidR="00936A3D">
        <w:t xml:space="preserve">rejected the challenge.  In so doing, it </w:t>
      </w:r>
      <w:r w:rsidR="00F76A5A">
        <w:t xml:space="preserve">identified </w:t>
      </w:r>
      <w:r w:rsidR="00921AF5">
        <w:t xml:space="preserve">tension </w:t>
      </w:r>
      <w:r w:rsidR="00F76A5A">
        <w:t>between</w:t>
      </w:r>
      <w:r>
        <w:t xml:space="preserve"> </w:t>
      </w:r>
      <w:r w:rsidRPr="00491135">
        <w:t xml:space="preserve">a line of appellate decisions </w:t>
      </w:r>
      <w:r w:rsidR="00936A3D">
        <w:t>beginning</w:t>
      </w:r>
      <w:r w:rsidRPr="00491135">
        <w:t xml:space="preserve"> with </w:t>
      </w:r>
      <w:r w:rsidRPr="00491135">
        <w:rPr>
          <w:i/>
        </w:rPr>
        <w:t>Titus v. Bethlehem Steel Corp</w:t>
      </w:r>
      <w:r w:rsidRPr="00491135">
        <w:t>. (1979) 91 Cal.App.3d 372</w:t>
      </w:r>
      <w:r w:rsidR="00936A3D">
        <w:t xml:space="preserve">, </w:t>
      </w:r>
      <w:r w:rsidR="00F1215C">
        <w:t>381–382</w:t>
      </w:r>
      <w:r w:rsidRPr="00491135">
        <w:t xml:space="preserve"> (</w:t>
      </w:r>
      <w:r w:rsidRPr="00A62E5D">
        <w:rPr>
          <w:i/>
        </w:rPr>
        <w:t>Titus</w:t>
      </w:r>
      <w:r w:rsidRPr="00491135">
        <w:t xml:space="preserve">), which </w:t>
      </w:r>
      <w:r w:rsidR="00CF07AA">
        <w:t xml:space="preserve">have </w:t>
      </w:r>
      <w:r w:rsidR="007C4DBD">
        <w:t xml:space="preserve">stated </w:t>
      </w:r>
      <w:r w:rsidRPr="00491135">
        <w:t xml:space="preserve">that </w:t>
      </w:r>
      <w:r>
        <w:t>such evidence</w:t>
      </w:r>
      <w:r w:rsidRPr="00491135">
        <w:t xml:space="preserve"> is</w:t>
      </w:r>
      <w:r>
        <w:t xml:space="preserve"> </w:t>
      </w:r>
      <w:r w:rsidR="007C4DBD">
        <w:t xml:space="preserve">irrelevant and </w:t>
      </w:r>
      <w:r>
        <w:t xml:space="preserve">inadmissible in </w:t>
      </w:r>
      <w:r w:rsidR="00936A3D">
        <w:t xml:space="preserve">a </w:t>
      </w:r>
      <w:r>
        <w:t>str</w:t>
      </w:r>
      <w:r w:rsidR="00936A3D">
        <w:t>ict products liability action</w:t>
      </w:r>
      <w:r w:rsidR="00F76A5A">
        <w:t xml:space="preserve">, and </w:t>
      </w:r>
      <w:r w:rsidRPr="00491135">
        <w:rPr>
          <w:i/>
        </w:rPr>
        <w:t>Howard v. Omni Hotels Management Corp</w:t>
      </w:r>
      <w:r w:rsidRPr="00491135">
        <w:t>.</w:t>
      </w:r>
      <w:r w:rsidR="008814DA">
        <w:t xml:space="preserve"> (2012) 203 Cal.App.4th 403, 425</w:t>
      </w:r>
      <w:r w:rsidR="000449F7">
        <w:t>–426</w:t>
      </w:r>
      <w:r w:rsidRPr="00491135">
        <w:t xml:space="preserve"> (</w:t>
      </w:r>
      <w:r w:rsidRPr="00491135">
        <w:rPr>
          <w:i/>
        </w:rPr>
        <w:t>Howard</w:t>
      </w:r>
      <w:r w:rsidRPr="00491135">
        <w:t xml:space="preserve">), which </w:t>
      </w:r>
      <w:r w:rsidR="000A30FF">
        <w:t xml:space="preserve">held </w:t>
      </w:r>
      <w:r w:rsidR="00E06D40">
        <w:t>t</w:t>
      </w:r>
      <w:r w:rsidR="00A460A6">
        <w:t xml:space="preserve">hat evidence that the product complied with </w:t>
      </w:r>
      <w:r w:rsidR="00F23821">
        <w:t xml:space="preserve">trade association </w:t>
      </w:r>
      <w:r w:rsidR="00E06D40">
        <w:t xml:space="preserve">industry standards was </w:t>
      </w:r>
      <w:r w:rsidR="007F3799">
        <w:t>an appropriate factor to consider in the risk-benefit analysis</w:t>
      </w:r>
      <w:r>
        <w:t xml:space="preserve">.  </w:t>
      </w:r>
      <w:r w:rsidR="000A30FF">
        <w:t>T</w:t>
      </w:r>
      <w:r w:rsidR="00D23EE7">
        <w:t xml:space="preserve">he Court of Appeal </w:t>
      </w:r>
      <w:r w:rsidR="000E3D84">
        <w:t>adopted</w:t>
      </w:r>
      <w:r w:rsidR="000A30FF">
        <w:t xml:space="preserve"> </w:t>
      </w:r>
      <w:r w:rsidR="000E313A">
        <w:t xml:space="preserve">what it </w:t>
      </w:r>
      <w:r w:rsidR="00616DFF">
        <w:t>termed</w:t>
      </w:r>
      <w:r w:rsidR="00EE543C">
        <w:t xml:space="preserve"> </w:t>
      </w:r>
      <w:r w:rsidR="000E313A">
        <w:t>a “</w:t>
      </w:r>
      <w:r w:rsidR="00677025">
        <w:t>middle ground</w:t>
      </w:r>
      <w:r w:rsidR="000E313A">
        <w:t>”</w:t>
      </w:r>
      <w:r w:rsidR="00677025">
        <w:t xml:space="preserve"> </w:t>
      </w:r>
      <w:r w:rsidR="000E3D84">
        <w:t xml:space="preserve">position </w:t>
      </w:r>
      <w:r w:rsidR="00677025">
        <w:t xml:space="preserve">under which </w:t>
      </w:r>
      <w:r>
        <w:t xml:space="preserve">evidence of industry custom and practice </w:t>
      </w:r>
      <w:r w:rsidR="009914F3">
        <w:t xml:space="preserve">may be </w:t>
      </w:r>
      <w:r w:rsidR="008814DA">
        <w:t xml:space="preserve">relevant and </w:t>
      </w:r>
      <w:r>
        <w:t xml:space="preserve">admissible </w:t>
      </w:r>
      <w:r w:rsidR="009914F3">
        <w:t xml:space="preserve">depending </w:t>
      </w:r>
      <w:r w:rsidR="00EB7874">
        <w:t>“</w:t>
      </w:r>
      <w:r>
        <w:t xml:space="preserve">on the nature of the evidence and the purpose for which the </w:t>
      </w:r>
      <w:r w:rsidR="000449F7">
        <w:t>party seeking its admission offers the evidence.</w:t>
      </w:r>
      <w:r w:rsidR="00EB7874">
        <w:t xml:space="preserve">”  </w:t>
      </w:r>
      <w:r w:rsidR="00F52E52">
        <w:t>Here, t</w:t>
      </w:r>
      <w:r w:rsidRPr="00491135">
        <w:t xml:space="preserve">he Court of Appeal concluded that the </w:t>
      </w:r>
      <w:r>
        <w:t xml:space="preserve">challenged evidence </w:t>
      </w:r>
      <w:r w:rsidRPr="00491135">
        <w:t xml:space="preserve">was relevant to </w:t>
      </w:r>
      <w:r w:rsidRPr="005B4297">
        <w:t xml:space="preserve">both the </w:t>
      </w:r>
      <w:proofErr w:type="spellStart"/>
      <w:r w:rsidRPr="005B4297">
        <w:t>Kims</w:t>
      </w:r>
      <w:proofErr w:type="spellEnd"/>
      <w:r w:rsidRPr="005B4297">
        <w:t xml:space="preserve">’ and </w:t>
      </w:r>
      <w:r w:rsidR="00FB7C1D">
        <w:t xml:space="preserve">Toyota’s </w:t>
      </w:r>
      <w:r w:rsidRPr="005B4297">
        <w:t xml:space="preserve">theories of </w:t>
      </w:r>
      <w:r>
        <w:t>how the jury should weigh the risk</w:t>
      </w:r>
      <w:r w:rsidR="00D44304">
        <w:t>s</w:t>
      </w:r>
      <w:r>
        <w:t xml:space="preserve"> and benefits of the Toyota Tundra’s design</w:t>
      </w:r>
      <w:r w:rsidRPr="00491135">
        <w:t xml:space="preserve">, and </w:t>
      </w:r>
      <w:r w:rsidR="00F23821">
        <w:t xml:space="preserve">it </w:t>
      </w:r>
      <w:r w:rsidRPr="00491135">
        <w:t xml:space="preserve">therefore affirmed the trial court’s denial of the motion in </w:t>
      </w:r>
      <w:proofErr w:type="spellStart"/>
      <w:r w:rsidRPr="00491135">
        <w:t>limine</w:t>
      </w:r>
      <w:proofErr w:type="spellEnd"/>
      <w:r w:rsidRPr="00491135">
        <w:t>.</w:t>
      </w:r>
      <w:r w:rsidR="00C52B3F">
        <w:t xml:space="preserve">  The Court of Appeal rejected the </w:t>
      </w:r>
      <w:proofErr w:type="spellStart"/>
      <w:r w:rsidR="00C52B3F">
        <w:t>Kims</w:t>
      </w:r>
      <w:proofErr w:type="spellEnd"/>
      <w:r w:rsidR="00C52B3F">
        <w:t xml:space="preserve">’ </w:t>
      </w:r>
      <w:r w:rsidR="00670892">
        <w:t xml:space="preserve">other </w:t>
      </w:r>
      <w:r w:rsidR="00C52B3F">
        <w:t>claims of error</w:t>
      </w:r>
      <w:r w:rsidR="00FB7C1D">
        <w:t>, including their</w:t>
      </w:r>
      <w:r w:rsidR="00403B48">
        <w:t xml:space="preserve"> objection to the admission of specific </w:t>
      </w:r>
      <w:r w:rsidR="007438A7">
        <w:t>evidence concerning industry custom and practice,</w:t>
      </w:r>
      <w:r w:rsidR="00C52B3F">
        <w:t xml:space="preserve"> and affirmed the judgment.</w:t>
      </w:r>
      <w:r w:rsidR="00B90850">
        <w:rPr>
          <w:rStyle w:val="FootnoteReference"/>
        </w:rPr>
        <w:footnoteReference w:id="5"/>
      </w:r>
      <w:r w:rsidR="00C52B3F">
        <w:t xml:space="preserve">  </w:t>
      </w:r>
    </w:p>
    <w:p w14:paraId="66AFF409" w14:textId="77777777" w:rsidR="00F9290A" w:rsidRPr="00CF71B1" w:rsidRDefault="007B1D26" w:rsidP="00F67118">
      <w:r>
        <w:lastRenderedPageBreak/>
        <w:t xml:space="preserve">To resolve the </w:t>
      </w:r>
      <w:r w:rsidR="00654FFC">
        <w:t>tension</w:t>
      </w:r>
      <w:r>
        <w:t xml:space="preserve"> among the Court of Appeal decisions, w</w:t>
      </w:r>
      <w:r w:rsidR="00154EA1">
        <w:t xml:space="preserve">e granted review </w:t>
      </w:r>
      <w:r w:rsidR="003F451E">
        <w:t xml:space="preserve">limited to the following question:  </w:t>
      </w:r>
      <w:r w:rsidR="00525B8B">
        <w:t>Did the trial court commit reversible error in admitting, as relevant to the risk</w:t>
      </w:r>
      <w:r w:rsidR="00F431AD">
        <w:t>-</w:t>
      </w:r>
      <w:r w:rsidR="00525B8B">
        <w:t>benefit test for design defect, evidence of industry custom and practice related to the alleged defect?</w:t>
      </w:r>
    </w:p>
    <w:p w14:paraId="0731F78E" w14:textId="77777777" w:rsidR="000E4208" w:rsidRDefault="000E4208" w:rsidP="00F67118">
      <w:pPr>
        <w:pStyle w:val="Heading1"/>
        <w:spacing w:before="0" w:line="480" w:lineRule="atLeast"/>
      </w:pPr>
      <w:r>
        <w:t>II.</w:t>
      </w:r>
    </w:p>
    <w:p w14:paraId="22F2C6D9" w14:textId="77777777" w:rsidR="002570E2" w:rsidRPr="002570E2" w:rsidRDefault="002570E2" w:rsidP="00F67118">
      <w:pPr>
        <w:ind w:firstLine="0"/>
        <w:jc w:val="center"/>
        <w:rPr>
          <w:b/>
        </w:rPr>
      </w:pPr>
      <w:r w:rsidRPr="002570E2">
        <w:rPr>
          <w:b/>
        </w:rPr>
        <w:t>A.</w:t>
      </w:r>
    </w:p>
    <w:p w14:paraId="56C33884" w14:textId="77777777" w:rsidR="009C08B3" w:rsidRPr="009C08B3" w:rsidRDefault="00BE2094" w:rsidP="00F67118">
      <w:r>
        <w:t>In tort law, a manufacturer is liable</w:t>
      </w:r>
      <w:r w:rsidR="00EC1646">
        <w:t xml:space="preserve"> </w:t>
      </w:r>
      <w:r w:rsidR="00205EDB">
        <w:t>“</w:t>
      </w:r>
      <w:r w:rsidR="00CF3ABC">
        <w:t>if a defect in the manufacture or design of its product causes injury while the product is being used in a reasonably foreseeable way.”  (</w:t>
      </w:r>
      <w:r w:rsidR="00CF3ABC" w:rsidRPr="00073E8E">
        <w:rPr>
          <w:i/>
        </w:rPr>
        <w:t>Soule v. Gen</w:t>
      </w:r>
      <w:r w:rsidR="00FB7C1D">
        <w:rPr>
          <w:i/>
        </w:rPr>
        <w:t>eral</w:t>
      </w:r>
      <w:r w:rsidR="00CF3ABC" w:rsidRPr="00073E8E">
        <w:rPr>
          <w:i/>
        </w:rPr>
        <w:t xml:space="preserve"> Motors Corp</w:t>
      </w:r>
      <w:r w:rsidR="00CF3ABC">
        <w:t xml:space="preserve">. </w:t>
      </w:r>
      <w:r w:rsidR="00AD6638">
        <w:t>(1994) 8 Cal.4th</w:t>
      </w:r>
      <w:r w:rsidR="00F235E1">
        <w:t xml:space="preserve"> 548, 560</w:t>
      </w:r>
      <w:r w:rsidR="00370E37">
        <w:t xml:space="preserve"> (</w:t>
      </w:r>
      <w:r w:rsidR="00370E37">
        <w:rPr>
          <w:i/>
        </w:rPr>
        <w:t>Soule</w:t>
      </w:r>
      <w:r w:rsidR="00370E37">
        <w:t>)</w:t>
      </w:r>
      <w:r w:rsidR="00F235E1">
        <w:t>.)  The manufacturer may be held</w:t>
      </w:r>
      <w:r w:rsidR="00AD6638">
        <w:t xml:space="preserve"> strictly liable </w:t>
      </w:r>
      <w:r w:rsidR="00F30125">
        <w:t xml:space="preserve">for </w:t>
      </w:r>
      <w:r w:rsidR="009E5596">
        <w:t xml:space="preserve">such </w:t>
      </w:r>
      <w:r w:rsidR="00AD6638">
        <w:t>injuries</w:t>
      </w:r>
      <w:r w:rsidR="009C08B3">
        <w:t xml:space="preserve"> without regard to whether the manufacturer acted negligently</w:t>
      </w:r>
      <w:r w:rsidR="00455085">
        <w:t xml:space="preserve"> in designing or manufacturing the product</w:t>
      </w:r>
      <w:r w:rsidR="009C08B3">
        <w:t xml:space="preserve">.  </w:t>
      </w:r>
      <w:r w:rsidR="005212A8">
        <w:t>Th</w:t>
      </w:r>
      <w:r w:rsidR="007C27E6">
        <w:t>e</w:t>
      </w:r>
      <w:r w:rsidR="009C08B3">
        <w:t xml:space="preserve"> doctrine of strict products liability “focusses not on the conduct of the manufacturer but on the product itself, and holds the manufacturer liable if the product was defective.”  (</w:t>
      </w:r>
      <w:r w:rsidR="009C08B3">
        <w:rPr>
          <w:i/>
        </w:rPr>
        <w:t>Brown v. Superior Court</w:t>
      </w:r>
      <w:r w:rsidR="009C08B3">
        <w:t xml:space="preserve"> (1988) 44 Cal.3d 1049, 1056.)</w:t>
      </w:r>
    </w:p>
    <w:p w14:paraId="1A5BF6F3" w14:textId="77777777" w:rsidR="00CF3ABC" w:rsidRPr="00C26FA8" w:rsidRDefault="002F09E4" w:rsidP="00F67118">
      <w:r>
        <w:t>T</w:t>
      </w:r>
      <w:r w:rsidR="00731945">
        <w:t xml:space="preserve">he existence of a design defect </w:t>
      </w:r>
      <w:r>
        <w:t xml:space="preserve">may be established according to </w:t>
      </w:r>
      <w:r w:rsidR="00FF0733">
        <w:t>one</w:t>
      </w:r>
      <w:r>
        <w:t xml:space="preserve"> of</w:t>
      </w:r>
      <w:r w:rsidR="00455085">
        <w:t xml:space="preserve"> </w:t>
      </w:r>
      <w:r w:rsidR="00AB7C0F">
        <w:t xml:space="preserve">two alternative </w:t>
      </w:r>
      <w:r w:rsidR="00455085">
        <w:t>tests</w:t>
      </w:r>
      <w:r w:rsidR="00CF3ABC">
        <w:t>.  (</w:t>
      </w:r>
      <w:r w:rsidR="00CF3ABC">
        <w:rPr>
          <w:i/>
        </w:rPr>
        <w:t>Barker</w:t>
      </w:r>
      <w:r w:rsidR="00455085">
        <w:t xml:space="preserve">, </w:t>
      </w:r>
      <w:r w:rsidR="00455085">
        <w:rPr>
          <w:i/>
        </w:rPr>
        <w:t>supra</w:t>
      </w:r>
      <w:r w:rsidR="00455085">
        <w:t>, 20 Cal.3d at pp.</w:t>
      </w:r>
      <w:r w:rsidR="00DE4511">
        <w:t> </w:t>
      </w:r>
      <w:r w:rsidR="00455085">
        <w:t xml:space="preserve">429–430.)  </w:t>
      </w:r>
      <w:r w:rsidR="00CF3ABC">
        <w:t xml:space="preserve">First, under the </w:t>
      </w:r>
      <w:r w:rsidR="00A35EF5">
        <w:t xml:space="preserve">so-called </w:t>
      </w:r>
      <w:r w:rsidR="00CF3ABC">
        <w:t>consumer expectations test, a design is defective “</w:t>
      </w:r>
      <w:r w:rsidR="00CF3ABC" w:rsidRPr="00621643">
        <w:t>if the plaintiff demonstrates that the product failed to perform as safely as an ordinary consumer would expect when used in an intended or reasonably foreseeable manner.</w:t>
      </w:r>
      <w:r w:rsidR="00CF3ABC">
        <w:t>”  (</w:t>
      </w:r>
      <w:r w:rsidR="00CF3ABC">
        <w:rPr>
          <w:i/>
        </w:rPr>
        <w:t>Id.</w:t>
      </w:r>
      <w:r w:rsidR="00CF3ABC">
        <w:t xml:space="preserve"> at </w:t>
      </w:r>
      <w:r w:rsidR="00DE4511">
        <w:t>p. </w:t>
      </w:r>
      <w:r w:rsidR="00CF3ABC">
        <w:t>429.)  Second, under the risk-benefit test</w:t>
      </w:r>
      <w:r w:rsidR="0090529D">
        <w:t xml:space="preserve"> </w:t>
      </w:r>
      <w:r>
        <w:t xml:space="preserve">articulated </w:t>
      </w:r>
      <w:r w:rsidR="0090529D">
        <w:t xml:space="preserve">in </w:t>
      </w:r>
      <w:r w:rsidR="0090529D">
        <w:rPr>
          <w:i/>
        </w:rPr>
        <w:t>Barker</w:t>
      </w:r>
      <w:r w:rsidR="00974ADC">
        <w:t>,</w:t>
      </w:r>
      <w:r w:rsidR="00CF3ABC">
        <w:t xml:space="preserve"> a design is defective “</w:t>
      </w:r>
      <w:r w:rsidR="00CF3ABC" w:rsidRPr="00EA4F59">
        <w:t xml:space="preserve">if </w:t>
      </w:r>
      <w:r w:rsidR="00CF3ABC">
        <w:t>through hindsight the jury determines that the product’s design embodies ‘excessive preventable danger,’ or, in other words, if the jury finds that the risk of danger inherent in the challenged design outweighs the benefits of such design.”  (</w:t>
      </w:r>
      <w:r w:rsidR="00CF3ABC">
        <w:rPr>
          <w:i/>
        </w:rPr>
        <w:t>Id.</w:t>
      </w:r>
      <w:r w:rsidR="00581229">
        <w:t xml:space="preserve"> at p.</w:t>
      </w:r>
      <w:r w:rsidR="00DE4511">
        <w:t> </w:t>
      </w:r>
      <w:r w:rsidR="00581229">
        <w:t xml:space="preserve">430.)  </w:t>
      </w:r>
      <w:r>
        <w:t xml:space="preserve">The </w:t>
      </w:r>
      <w:r w:rsidR="00CF3ABC">
        <w:t xml:space="preserve">risk-benefit test requires the plaintiff to first </w:t>
      </w:r>
      <w:r w:rsidR="00CF3ABC">
        <w:lastRenderedPageBreak/>
        <w:t>“</w:t>
      </w:r>
      <w:proofErr w:type="gramStart"/>
      <w:r w:rsidR="00CF3ABC">
        <w:t>demonstrate[</w:t>
      </w:r>
      <w:proofErr w:type="gramEnd"/>
      <w:r w:rsidR="00CF3ABC">
        <w:t>] that the product’s design proximately caused his injury.”  (</w:t>
      </w:r>
      <w:r w:rsidR="00CF3ABC">
        <w:rPr>
          <w:i/>
        </w:rPr>
        <w:t xml:space="preserve">Id. </w:t>
      </w:r>
      <w:r w:rsidR="00CF3ABC">
        <w:t>at p.</w:t>
      </w:r>
      <w:r w:rsidR="00DE4511">
        <w:t> </w:t>
      </w:r>
      <w:r w:rsidR="00CF3ABC">
        <w:t>43</w:t>
      </w:r>
      <w:r w:rsidR="00FB7C1D">
        <w:t>2</w:t>
      </w:r>
      <w:r w:rsidR="00CF3ABC">
        <w:t>.)  If the plaintiff makes this</w:t>
      </w:r>
      <w:r w:rsidR="00564584">
        <w:t xml:space="preserve"> initial</w:t>
      </w:r>
      <w:r w:rsidR="00CF3ABC">
        <w:t xml:space="preserve"> showing, the defendant must then “establish, in light of the relevant factors, that, on balance, the benefits of the challenged design outweigh the risk of danger inherent in such design.”  (</w:t>
      </w:r>
      <w:r w:rsidR="00CF3ABC">
        <w:rPr>
          <w:i/>
        </w:rPr>
        <w:t>I</w:t>
      </w:r>
      <w:r w:rsidR="00FB7C1D">
        <w:rPr>
          <w:i/>
        </w:rPr>
        <w:t>bi</w:t>
      </w:r>
      <w:r w:rsidR="00CF3ABC">
        <w:rPr>
          <w:i/>
        </w:rPr>
        <w:t>d.</w:t>
      </w:r>
      <w:r w:rsidR="00CF3ABC">
        <w:t xml:space="preserve">)  </w:t>
      </w:r>
      <w:r w:rsidR="00731945">
        <w:t xml:space="preserve">In </w:t>
      </w:r>
      <w:r w:rsidR="00731945">
        <w:rPr>
          <w:i/>
        </w:rPr>
        <w:t>Barker</w:t>
      </w:r>
      <w:r w:rsidR="00731945">
        <w:t xml:space="preserve">, we set out a </w:t>
      </w:r>
      <w:proofErr w:type="spellStart"/>
      <w:r>
        <w:t>nonexhaustive</w:t>
      </w:r>
      <w:proofErr w:type="spellEnd"/>
      <w:r>
        <w:t xml:space="preserve"> </w:t>
      </w:r>
      <w:r w:rsidR="00731945">
        <w:t>list of factors</w:t>
      </w:r>
      <w:r w:rsidR="00A9638D">
        <w:t xml:space="preserve"> (</w:t>
      </w:r>
      <w:r w:rsidR="005D1404">
        <w:t xml:space="preserve">now generally referred to as the </w:t>
      </w:r>
      <w:r w:rsidR="00A9638D">
        <w:t>“</w:t>
      </w:r>
      <w:r w:rsidR="00A9638D">
        <w:rPr>
          <w:i/>
        </w:rPr>
        <w:t>Barker</w:t>
      </w:r>
      <w:r w:rsidR="00A9638D">
        <w:t xml:space="preserve"> factors”)</w:t>
      </w:r>
      <w:r w:rsidR="00731945">
        <w:t xml:space="preserve"> </w:t>
      </w:r>
      <w:r w:rsidR="00581229">
        <w:t>relevant to the analysis</w:t>
      </w:r>
      <w:proofErr w:type="gramStart"/>
      <w:r w:rsidR="00731945">
        <w:t xml:space="preserve">:  </w:t>
      </w:r>
      <w:r w:rsidR="00CF3ABC">
        <w:t>“</w:t>
      </w:r>
      <w:proofErr w:type="gramEnd"/>
      <w:r w:rsidR="00CF3ABC" w:rsidRPr="00E51868">
        <w:t>the gravity of the danger posed by the challenged design, the likelihood that such danger would occur, the mechanical feasibility of a safer alternative design, the financial cost of an improved design, and the adverse consequences to the product and to the consumer that would result from an alternative design</w:t>
      </w:r>
      <w:r w:rsidR="00CF3ABC">
        <w:t>.”  (</w:t>
      </w:r>
      <w:r w:rsidR="00CF3ABC">
        <w:rPr>
          <w:i/>
        </w:rPr>
        <w:t>I</w:t>
      </w:r>
      <w:r w:rsidR="003820B9">
        <w:rPr>
          <w:i/>
        </w:rPr>
        <w:t>d</w:t>
      </w:r>
      <w:r w:rsidR="00CF3ABC">
        <w:rPr>
          <w:i/>
        </w:rPr>
        <w:t>.</w:t>
      </w:r>
      <w:r w:rsidR="00FB7C1D">
        <w:rPr>
          <w:i/>
        </w:rPr>
        <w:t xml:space="preserve"> </w:t>
      </w:r>
      <w:r w:rsidR="00FB7C1D" w:rsidRPr="00CC2657">
        <w:t>at p. 431</w:t>
      </w:r>
      <w:r w:rsidR="00CC2657" w:rsidRPr="00CC2657">
        <w:t>.</w:t>
      </w:r>
      <w:r w:rsidR="00CF3ABC">
        <w:t>)</w:t>
      </w:r>
      <w:r w:rsidR="007662B8">
        <w:t xml:space="preserve"> </w:t>
      </w:r>
      <w:r w:rsidR="00C26FA8">
        <w:t xml:space="preserve"> This test, in short, subjects a manufacturer to liability when “the design is not as safe as it should be—while stopping short of making the manufacturer an insurer for all injuries which may result from the use of </w:t>
      </w:r>
      <w:r w:rsidR="00CC2657">
        <w:t>its</w:t>
      </w:r>
      <w:r w:rsidR="00C26FA8">
        <w:t xml:space="preserve"> product.”  (</w:t>
      </w:r>
      <w:r w:rsidR="00C26FA8">
        <w:rPr>
          <w:i/>
        </w:rPr>
        <w:t>Id.</w:t>
      </w:r>
      <w:r w:rsidR="00C26FA8">
        <w:t xml:space="preserve"> at p.</w:t>
      </w:r>
      <w:r w:rsidR="00DE4511">
        <w:t> </w:t>
      </w:r>
      <w:r w:rsidR="00C26FA8">
        <w:t>432.)</w:t>
      </w:r>
    </w:p>
    <w:p w14:paraId="551D7755" w14:textId="77777777" w:rsidR="00BC32D9" w:rsidRDefault="00E33E00" w:rsidP="00F67118">
      <w:r>
        <w:t xml:space="preserve">The issue before </w:t>
      </w:r>
      <w:r w:rsidR="00AC3337">
        <w:t xml:space="preserve">us </w:t>
      </w:r>
      <w:r w:rsidR="00AC0824">
        <w:t xml:space="preserve">concerns </w:t>
      </w:r>
      <w:r>
        <w:t>the admissibility of</w:t>
      </w:r>
      <w:r w:rsidR="00D920D2">
        <w:t xml:space="preserve"> evidence of industry custom and practice when a plaintiff alleges </w:t>
      </w:r>
      <w:r w:rsidR="009A7BAD">
        <w:t xml:space="preserve">a </w:t>
      </w:r>
      <w:r w:rsidR="00D920D2">
        <w:t>design defect under the risk-benefit test.</w:t>
      </w:r>
      <w:r w:rsidR="000F2A6A">
        <w:t xml:space="preserve">  </w:t>
      </w:r>
      <w:r w:rsidR="00F13F40">
        <w:t>By “i</w:t>
      </w:r>
      <w:r w:rsidR="00CB5464">
        <w:t>ndustry custom and practice</w:t>
      </w:r>
      <w:r w:rsidR="00F13F40">
        <w:t xml:space="preserve">,” we refer to </w:t>
      </w:r>
      <w:r w:rsidR="00CB5464">
        <w:t xml:space="preserve">the use of the challenged </w:t>
      </w:r>
      <w:r w:rsidR="00A35EF5">
        <w:t xml:space="preserve">design </w:t>
      </w:r>
      <w:r w:rsidR="00CB5464">
        <w:t xml:space="preserve">within the </w:t>
      </w:r>
      <w:r w:rsidR="00A35EF5">
        <w:t xml:space="preserve">relevant </w:t>
      </w:r>
      <w:r w:rsidR="00CB5464">
        <w:t>industry</w:t>
      </w:r>
      <w:proofErr w:type="gramStart"/>
      <w:r w:rsidR="00DB4C0A">
        <w:t>—“</w:t>
      </w:r>
      <w:proofErr w:type="gramEnd"/>
      <w:r w:rsidR="00DB4C0A">
        <w:t xml:space="preserve">what </w:t>
      </w:r>
      <w:r w:rsidR="00DB4C0A">
        <w:rPr>
          <w:i/>
        </w:rPr>
        <w:t xml:space="preserve">is </w:t>
      </w:r>
      <w:r w:rsidR="00DB4C0A">
        <w:t>done</w:t>
      </w:r>
      <w:r w:rsidR="00225B72">
        <w:t xml:space="preserve">”—as opposed to </w:t>
      </w:r>
      <w:r w:rsidR="00557782">
        <w:t>so-called “</w:t>
      </w:r>
      <w:r w:rsidR="009A7BAD">
        <w:t> ‘</w:t>
      </w:r>
      <w:r w:rsidR="00557782">
        <w:t>state of the art</w:t>
      </w:r>
      <w:r w:rsidR="009A7BAD">
        <w:t>’ </w:t>
      </w:r>
      <w:r w:rsidR="00557782">
        <w:t xml:space="preserve">” evidence, which concerns </w:t>
      </w:r>
      <w:r w:rsidR="00225B72">
        <w:t xml:space="preserve">“what </w:t>
      </w:r>
      <w:r w:rsidR="00225B72">
        <w:rPr>
          <w:i/>
        </w:rPr>
        <w:t xml:space="preserve">can </w:t>
      </w:r>
      <w:r w:rsidR="00225B72">
        <w:t>be done”</w:t>
      </w:r>
      <w:r w:rsidR="00933EBD">
        <w:t xml:space="preserve"> </w:t>
      </w:r>
      <w:r w:rsidR="00225B72">
        <w:t>under present technological capacity.</w:t>
      </w:r>
      <w:r w:rsidR="001A7286">
        <w:t xml:space="preserve">  </w:t>
      </w:r>
      <w:r w:rsidR="00CB5464">
        <w:t>(</w:t>
      </w:r>
      <w:r w:rsidR="00CB5464">
        <w:rPr>
          <w:i/>
        </w:rPr>
        <w:t>Carter v. Massey-Ferguson, Inc.</w:t>
      </w:r>
      <w:r w:rsidR="00CB5464">
        <w:t xml:space="preserve"> (5th Cir. 1983) 716 F.2d 344, 347 [</w:t>
      </w:r>
      <w:r w:rsidR="00EA22EB">
        <w:t xml:space="preserve">distinguishing </w:t>
      </w:r>
      <w:r w:rsidR="008177DA">
        <w:t xml:space="preserve">evidence of </w:t>
      </w:r>
      <w:r w:rsidR="00EA22EB">
        <w:t>“</w:t>
      </w:r>
      <w:r w:rsidR="008177DA">
        <w:t>industry custom” from evidence of the “</w:t>
      </w:r>
      <w:r w:rsidR="00D520E1">
        <w:t> ‘</w:t>
      </w:r>
      <w:r w:rsidR="008177DA">
        <w:t>state of the art</w:t>
      </w:r>
      <w:r w:rsidR="00D520E1">
        <w:t>’ </w:t>
      </w:r>
      <w:r w:rsidR="008177DA">
        <w:t>”</w:t>
      </w:r>
      <w:r w:rsidR="00557782">
        <w:t>]</w:t>
      </w:r>
      <w:r w:rsidR="00731945">
        <w:t xml:space="preserve">; </w:t>
      </w:r>
      <w:r w:rsidR="00BC5F2D">
        <w:t xml:space="preserve">see </w:t>
      </w:r>
      <w:r w:rsidR="00557782" w:rsidRPr="009A7D86">
        <w:rPr>
          <w:i/>
        </w:rPr>
        <w:t>McLaughlin v. Sikorsky Aircraft</w:t>
      </w:r>
      <w:r w:rsidR="00557782" w:rsidRPr="004D03F1">
        <w:t xml:space="preserve"> (1983) 148 Cal.App.3d 203</w:t>
      </w:r>
      <w:r w:rsidR="00557782">
        <w:t>, 209–210</w:t>
      </w:r>
      <w:r w:rsidR="003820B9">
        <w:t xml:space="preserve"> (</w:t>
      </w:r>
      <w:r w:rsidR="003820B9" w:rsidRPr="003820B9">
        <w:rPr>
          <w:i/>
        </w:rPr>
        <w:t>McLaughlin</w:t>
      </w:r>
      <w:r w:rsidR="003820B9">
        <w:t>)</w:t>
      </w:r>
      <w:r w:rsidR="00557782">
        <w:t xml:space="preserve"> [</w:t>
      </w:r>
      <w:r w:rsidR="009268AF">
        <w:t>drawing same distinction</w:t>
      </w:r>
      <w:r w:rsidR="00557782">
        <w:t xml:space="preserve">]; </w:t>
      </w:r>
      <w:r w:rsidR="00731945">
        <w:t xml:space="preserve">see </w:t>
      </w:r>
      <w:r w:rsidR="009268AF">
        <w:t>also</w:t>
      </w:r>
      <w:r w:rsidR="00731945">
        <w:t xml:space="preserve"> Owen, </w:t>
      </w:r>
      <w:r w:rsidR="00731945">
        <w:rPr>
          <w:i/>
        </w:rPr>
        <w:t>Proof of Product Defect</w:t>
      </w:r>
      <w:r w:rsidR="00731945">
        <w:t xml:space="preserve"> (200</w:t>
      </w:r>
      <w:r w:rsidR="00CC2657">
        <w:t>4</w:t>
      </w:r>
      <w:r w:rsidR="00731945">
        <w:t>) 93 Ky.</w:t>
      </w:r>
      <w:r w:rsidR="00851A1F">
        <w:t xml:space="preserve"> </w:t>
      </w:r>
      <w:r w:rsidR="009268AF">
        <w:t>L.J. 1, 7, fn. 42</w:t>
      </w:r>
      <w:r w:rsidR="005B5596">
        <w:t xml:space="preserve"> (</w:t>
      </w:r>
      <w:r w:rsidR="005B5596">
        <w:rPr>
          <w:i/>
        </w:rPr>
        <w:t>Proof of Product Defect</w:t>
      </w:r>
      <w:r w:rsidR="005B5596">
        <w:t>)</w:t>
      </w:r>
      <w:r w:rsidR="009268AF">
        <w:t xml:space="preserve"> [“Industry ‘custom,’ meaning prevailing use of technology, differs from the higher standard of ‘state of the art,’ meaning the best technology reasonably available at the time.”].)</w:t>
      </w:r>
      <w:r w:rsidR="001A7286">
        <w:t xml:space="preserve">  </w:t>
      </w:r>
      <w:r w:rsidR="00FF0733">
        <w:t xml:space="preserve">Our analysis begins from the premise </w:t>
      </w:r>
      <w:r w:rsidR="001A7286">
        <w:t xml:space="preserve">that, </w:t>
      </w:r>
      <w:r w:rsidR="00D920D2">
        <w:t>“</w:t>
      </w:r>
      <w:r w:rsidR="008300F3">
        <w:t>[e]</w:t>
      </w:r>
      <w:proofErr w:type="spellStart"/>
      <w:r w:rsidR="00D920D2">
        <w:t>xcept</w:t>
      </w:r>
      <w:proofErr w:type="spellEnd"/>
      <w:r w:rsidR="00D920D2">
        <w:t xml:space="preserve"> as otherwise provided by statute, all relevant evidence is admissible.”</w:t>
      </w:r>
      <w:r w:rsidR="000F2A6A">
        <w:t xml:space="preserve">  (</w:t>
      </w:r>
      <w:proofErr w:type="spellStart"/>
      <w:r w:rsidR="000F2A6A">
        <w:t>Evid</w:t>
      </w:r>
      <w:proofErr w:type="spellEnd"/>
      <w:r w:rsidR="000F2A6A">
        <w:t>. Code, §</w:t>
      </w:r>
      <w:r w:rsidR="00DE4511">
        <w:t> </w:t>
      </w:r>
      <w:r w:rsidR="000F2A6A">
        <w:t>3</w:t>
      </w:r>
      <w:r w:rsidR="00CC2657">
        <w:t>5</w:t>
      </w:r>
      <w:r w:rsidR="000F2A6A">
        <w:t xml:space="preserve">1.)  </w:t>
      </w:r>
      <w:r w:rsidR="00096C5E">
        <w:lastRenderedPageBreak/>
        <w:t>Relevant</w:t>
      </w:r>
      <w:r w:rsidR="00BC32D9">
        <w:t xml:space="preserve"> evidence</w:t>
      </w:r>
      <w:r w:rsidR="000F2A6A">
        <w:t xml:space="preserve"> is that which “ha[s] any tendency </w:t>
      </w:r>
      <w:r w:rsidR="00CC2657">
        <w:t xml:space="preserve">in reason </w:t>
      </w:r>
      <w:r w:rsidR="000F2A6A">
        <w:t>to prove or disprove any disputed fact that is of consequence to the determination of the action.”  (</w:t>
      </w:r>
      <w:r w:rsidR="003820B9" w:rsidRPr="003820B9">
        <w:rPr>
          <w:i/>
        </w:rPr>
        <w:t>Id</w:t>
      </w:r>
      <w:r w:rsidR="003820B9">
        <w:t xml:space="preserve">., </w:t>
      </w:r>
      <w:r w:rsidR="000F2A6A">
        <w:t>§</w:t>
      </w:r>
      <w:r w:rsidR="00DE4511">
        <w:t> </w:t>
      </w:r>
      <w:r w:rsidR="000F2A6A">
        <w:t xml:space="preserve">210.)  </w:t>
      </w:r>
      <w:r w:rsidR="00592C17">
        <w:t xml:space="preserve">The critical question is whether </w:t>
      </w:r>
      <w:r w:rsidR="00BC32D9">
        <w:t xml:space="preserve">evidence of industry custom and practice </w:t>
      </w:r>
      <w:r w:rsidR="000F2A6A">
        <w:t xml:space="preserve">has a tendency to prove or disprove </w:t>
      </w:r>
      <w:r w:rsidR="00A35EF5">
        <w:t>any fact that is of con</w:t>
      </w:r>
      <w:r w:rsidR="00A85E2B">
        <w:t xml:space="preserve">sequence to the proper weighing of the </w:t>
      </w:r>
      <w:r w:rsidR="00FF0733">
        <w:t>risks and benefits of the challenged design</w:t>
      </w:r>
      <w:r w:rsidR="000F2A6A">
        <w:t>.</w:t>
      </w:r>
    </w:p>
    <w:p w14:paraId="6677D46A" w14:textId="77777777" w:rsidR="00A069D9" w:rsidRPr="00BA749E" w:rsidRDefault="00FF0733" w:rsidP="00F67118">
      <w:r>
        <w:t xml:space="preserve">A series of Court of Appeal opinions have taken the view that such evidence is </w:t>
      </w:r>
      <w:r w:rsidR="00F23821">
        <w:t xml:space="preserve">always </w:t>
      </w:r>
      <w:r>
        <w:t xml:space="preserve">irrelevant, and thus </w:t>
      </w:r>
      <w:r w:rsidR="00E85DC3">
        <w:t>in</w:t>
      </w:r>
      <w:r>
        <w:t xml:space="preserve">admissible, </w:t>
      </w:r>
      <w:r w:rsidR="005D288A">
        <w:t>to</w:t>
      </w:r>
      <w:r>
        <w:t xml:space="preserve"> the risk-benefit analysis.  </w:t>
      </w:r>
      <w:r w:rsidR="00BE18F2">
        <w:t xml:space="preserve">This line of authority begins with </w:t>
      </w:r>
      <w:r w:rsidR="00BE18F2">
        <w:rPr>
          <w:i/>
        </w:rPr>
        <w:t>Titus</w:t>
      </w:r>
      <w:r w:rsidR="00BE18F2">
        <w:t xml:space="preserve">, </w:t>
      </w:r>
      <w:r w:rsidR="00BE18F2">
        <w:rPr>
          <w:i/>
        </w:rPr>
        <w:t>supra</w:t>
      </w:r>
      <w:r w:rsidR="00832F6E">
        <w:t>, 91 Cal.App.</w:t>
      </w:r>
      <w:r w:rsidR="00BE18F2">
        <w:t xml:space="preserve">3d </w:t>
      </w:r>
      <w:r w:rsidR="003820B9">
        <w:t>at p</w:t>
      </w:r>
      <w:r w:rsidR="00974ADC">
        <w:t xml:space="preserve">age </w:t>
      </w:r>
      <w:r w:rsidR="005022D6">
        <w:t>374,</w:t>
      </w:r>
      <w:r w:rsidR="00BE18F2">
        <w:t xml:space="preserve"> </w:t>
      </w:r>
      <w:r w:rsidR="002E40C5">
        <w:t xml:space="preserve">a </w:t>
      </w:r>
      <w:r w:rsidR="00640C7C">
        <w:t xml:space="preserve">strict products liability action brought by </w:t>
      </w:r>
      <w:r w:rsidR="00BD6FAB">
        <w:t xml:space="preserve">a young boy who was injured while playing on an oil well pumping unit.  </w:t>
      </w:r>
      <w:r w:rsidR="001231F7">
        <w:t xml:space="preserve">The plaintiff </w:t>
      </w:r>
      <w:r w:rsidR="00496AD6">
        <w:t>alleged that the manufacturer’s</w:t>
      </w:r>
      <w:r w:rsidR="001231F7">
        <w:t xml:space="preserve"> failure to include a safety guard on the </w:t>
      </w:r>
      <w:r w:rsidR="002B11F7">
        <w:t xml:space="preserve">unit </w:t>
      </w:r>
      <w:r w:rsidR="001231F7">
        <w:t>constituted a design defect.  (</w:t>
      </w:r>
      <w:r w:rsidR="001231F7">
        <w:rPr>
          <w:i/>
        </w:rPr>
        <w:t>Id.</w:t>
      </w:r>
      <w:r w:rsidR="001231F7">
        <w:t xml:space="preserve"> at p.</w:t>
      </w:r>
      <w:r w:rsidR="00DE4511">
        <w:t> </w:t>
      </w:r>
      <w:r w:rsidR="00DF3D78">
        <w:t>376</w:t>
      </w:r>
      <w:r w:rsidR="001231F7">
        <w:t xml:space="preserve">.)  </w:t>
      </w:r>
      <w:r w:rsidR="00D96C64">
        <w:t>The jury found no defect.</w:t>
      </w:r>
      <w:r w:rsidR="00832F6E">
        <w:t xml:space="preserve">  (</w:t>
      </w:r>
      <w:r w:rsidR="00832F6E">
        <w:rPr>
          <w:i/>
        </w:rPr>
        <w:t>Id.</w:t>
      </w:r>
      <w:r w:rsidR="00832F6E">
        <w:t xml:space="preserve"> at p.</w:t>
      </w:r>
      <w:r w:rsidR="00DE4511">
        <w:t> </w:t>
      </w:r>
      <w:r w:rsidR="00832F6E">
        <w:t xml:space="preserve">377.)  </w:t>
      </w:r>
      <w:r w:rsidR="00D96C64">
        <w:t>On appeal, the court considered whether it was reversible error for the trial court to refuse to provide a jury instruction defining “defective product.”</w:t>
      </w:r>
      <w:r w:rsidR="00832F6E">
        <w:t xml:space="preserve">  (</w:t>
      </w:r>
      <w:r w:rsidR="00832F6E">
        <w:rPr>
          <w:i/>
        </w:rPr>
        <w:t>Ibid.</w:t>
      </w:r>
      <w:r w:rsidR="00832F6E">
        <w:t>)</w:t>
      </w:r>
      <w:r w:rsidR="00D96C64">
        <w:t xml:space="preserve">  </w:t>
      </w:r>
      <w:r w:rsidR="00797442">
        <w:t xml:space="preserve">The Court of Appeal </w:t>
      </w:r>
      <w:r w:rsidR="00E65D7B">
        <w:t xml:space="preserve">concluded that </w:t>
      </w:r>
      <w:r w:rsidR="00D96C64">
        <w:t>it was</w:t>
      </w:r>
      <w:r w:rsidR="004848ED">
        <w:t xml:space="preserve">, noting that </w:t>
      </w:r>
      <w:r w:rsidR="00A52441">
        <w:t xml:space="preserve">the jury had heard considerable evidence </w:t>
      </w:r>
      <w:r w:rsidR="00D96C64">
        <w:t>that “</w:t>
      </w:r>
      <w:r w:rsidR="00AB4AE1" w:rsidRPr="00AB4AE1">
        <w:t>it was custom and practice in the industry that manufacturers offered security guards as optional equipment</w:t>
      </w:r>
      <w:r w:rsidR="00A52441">
        <w:t xml:space="preserve">.”  </w:t>
      </w:r>
      <w:r w:rsidR="00AB4AE1">
        <w:t>(</w:t>
      </w:r>
      <w:r w:rsidR="00AB4AE1">
        <w:rPr>
          <w:i/>
        </w:rPr>
        <w:t>Id.</w:t>
      </w:r>
      <w:r w:rsidR="00AB4AE1">
        <w:t xml:space="preserve"> at </w:t>
      </w:r>
      <w:r w:rsidR="00DE4511">
        <w:t>p</w:t>
      </w:r>
      <w:r w:rsidR="00AB4AE1">
        <w:t>.</w:t>
      </w:r>
      <w:r w:rsidR="00DE4511">
        <w:t> </w:t>
      </w:r>
      <w:r w:rsidR="00CC2657">
        <w:t>3</w:t>
      </w:r>
      <w:r w:rsidR="00AB4AE1">
        <w:t xml:space="preserve">78.)  </w:t>
      </w:r>
      <w:r w:rsidR="00A52441">
        <w:t>Citing the pre</w:t>
      </w:r>
      <w:r w:rsidR="00A52441">
        <w:rPr>
          <w:i/>
        </w:rPr>
        <w:t>-Barker</w:t>
      </w:r>
      <w:r w:rsidR="00A52441">
        <w:t xml:space="preserve"> case of </w:t>
      </w:r>
      <w:proofErr w:type="spellStart"/>
      <w:r w:rsidR="00AB4AE1">
        <w:rPr>
          <w:i/>
        </w:rPr>
        <w:t>Foglio</w:t>
      </w:r>
      <w:proofErr w:type="spellEnd"/>
      <w:r w:rsidR="00AB4AE1">
        <w:rPr>
          <w:i/>
        </w:rPr>
        <w:t xml:space="preserve"> v. Western Auto Supply</w:t>
      </w:r>
      <w:r w:rsidR="00AB4AE1">
        <w:t xml:space="preserve"> (1976) 56 Cal.App.3d 470, </w:t>
      </w:r>
      <w:r w:rsidR="00D56FEB">
        <w:t>t</w:t>
      </w:r>
      <w:r w:rsidR="00A52441">
        <w:t xml:space="preserve">he court concluded that the jury should not have heard this evidence because “custom and usage is not a defense to a cause of action based on strict liability.”  </w:t>
      </w:r>
      <w:r w:rsidR="00AB4AE1">
        <w:t>(</w:t>
      </w:r>
      <w:r w:rsidR="00A52441">
        <w:rPr>
          <w:i/>
        </w:rPr>
        <w:t>Titus</w:t>
      </w:r>
      <w:r w:rsidR="00A52441">
        <w:t>,</w:t>
      </w:r>
      <w:r w:rsidR="00A52441" w:rsidRPr="008168E1">
        <w:rPr>
          <w:i/>
        </w:rPr>
        <w:t xml:space="preserve"> </w:t>
      </w:r>
      <w:r w:rsidR="00253A52">
        <w:t>at p.</w:t>
      </w:r>
      <w:r w:rsidR="00DE4511">
        <w:t> </w:t>
      </w:r>
      <w:r w:rsidR="00253A52">
        <w:t xml:space="preserve">378.)  </w:t>
      </w:r>
      <w:r w:rsidR="00BA749E">
        <w:t xml:space="preserve">In the absence of a definition of “defect,” the court concluded that “it </w:t>
      </w:r>
      <w:r w:rsidR="00253A52">
        <w:t xml:space="preserve">is quite probable that </w:t>
      </w:r>
      <w:r w:rsidR="00BA749E">
        <w:t xml:space="preserve">[the jury] </w:t>
      </w:r>
      <w:r w:rsidR="00253A52">
        <w:t xml:space="preserve">believed the pump was not defective without safety </w:t>
      </w:r>
      <w:r w:rsidR="00CC2657">
        <w:t>features</w:t>
      </w:r>
      <w:r w:rsidR="00253A52">
        <w:t xml:space="preserve"> if it was customary to sell the product without such equipment.</w:t>
      </w:r>
      <w:r w:rsidR="004848ED">
        <w:t xml:space="preserve">”  </w:t>
      </w:r>
      <w:r w:rsidR="00B6790B">
        <w:t>(</w:t>
      </w:r>
      <w:r w:rsidR="00B6790B">
        <w:rPr>
          <w:i/>
        </w:rPr>
        <w:t>I</w:t>
      </w:r>
      <w:r w:rsidR="00CC2657">
        <w:rPr>
          <w:i/>
        </w:rPr>
        <w:t>bi</w:t>
      </w:r>
      <w:r w:rsidR="00B6790B">
        <w:rPr>
          <w:i/>
        </w:rPr>
        <w:t>d.</w:t>
      </w:r>
      <w:r w:rsidR="00B6790B">
        <w:t>)</w:t>
      </w:r>
      <w:r w:rsidR="00BA749E">
        <w:t xml:space="preserve">  The court </w:t>
      </w:r>
      <w:r w:rsidR="00D56FEB">
        <w:t xml:space="preserve">further </w:t>
      </w:r>
      <w:r w:rsidR="00BA749E">
        <w:t xml:space="preserve">ruled that on retrial, “evidence on custom and usage as it pertains </w:t>
      </w:r>
      <w:r w:rsidR="00587B4A">
        <w:t xml:space="preserve">to </w:t>
      </w:r>
      <w:r w:rsidR="00BA749E">
        <w:t>the optional sale of the safeguards” would be inadmissible.  (</w:t>
      </w:r>
      <w:r w:rsidR="00BA749E">
        <w:rPr>
          <w:i/>
        </w:rPr>
        <w:t>Id.</w:t>
      </w:r>
      <w:r w:rsidR="00BA749E">
        <w:t xml:space="preserve"> at p.</w:t>
      </w:r>
      <w:r w:rsidR="00DE4511">
        <w:t> </w:t>
      </w:r>
      <w:r w:rsidR="00BA749E">
        <w:t>382.)</w:t>
      </w:r>
    </w:p>
    <w:p w14:paraId="1E1CCCDD" w14:textId="77777777" w:rsidR="00AD0686" w:rsidRDefault="00A069D9" w:rsidP="00F67118">
      <w:r w:rsidRPr="00210A69">
        <w:t xml:space="preserve">In </w:t>
      </w:r>
      <w:proofErr w:type="spellStart"/>
      <w:r w:rsidRPr="00210A69">
        <w:rPr>
          <w:i/>
        </w:rPr>
        <w:t>Grimshaw</w:t>
      </w:r>
      <w:proofErr w:type="spellEnd"/>
      <w:r w:rsidRPr="00210A69">
        <w:rPr>
          <w:i/>
        </w:rPr>
        <w:t xml:space="preserve"> v. Ford Motor Co.</w:t>
      </w:r>
      <w:r w:rsidR="00651924">
        <w:t xml:space="preserve"> (1981)</w:t>
      </w:r>
      <w:r w:rsidRPr="00210A69">
        <w:t xml:space="preserve"> 119 Cal.</w:t>
      </w:r>
      <w:r w:rsidR="00D242E4" w:rsidRPr="00210A69">
        <w:t>App.3d 757</w:t>
      </w:r>
      <w:r w:rsidR="003820B9">
        <w:t xml:space="preserve"> (</w:t>
      </w:r>
      <w:proofErr w:type="spellStart"/>
      <w:r w:rsidR="003820B9" w:rsidRPr="003820B9">
        <w:rPr>
          <w:i/>
        </w:rPr>
        <w:t>Grimshaw</w:t>
      </w:r>
      <w:proofErr w:type="spellEnd"/>
      <w:r w:rsidR="003820B9">
        <w:t>)</w:t>
      </w:r>
      <w:r w:rsidR="00D242E4" w:rsidRPr="00210A69">
        <w:t xml:space="preserve">, the Court of Appeal </w:t>
      </w:r>
      <w:r w:rsidR="00397554">
        <w:t>held that compliance with standard industry</w:t>
      </w:r>
      <w:r w:rsidR="00C41978">
        <w:t xml:space="preserve"> practice is not an </w:t>
      </w:r>
      <w:r w:rsidR="00C41978">
        <w:lastRenderedPageBreak/>
        <w:t xml:space="preserve">appropriate factor for consideration </w:t>
      </w:r>
      <w:r w:rsidR="00811304">
        <w:t xml:space="preserve">in </w:t>
      </w:r>
      <w:r w:rsidR="00C41978">
        <w:t>the risk-benefit analysis.</w:t>
      </w:r>
      <w:r w:rsidR="00FF6653">
        <w:t xml:space="preserve">  </w:t>
      </w:r>
      <w:r w:rsidR="00E41E95">
        <w:t xml:space="preserve">The plaintiffs in </w:t>
      </w:r>
      <w:proofErr w:type="spellStart"/>
      <w:r w:rsidR="00E41E95">
        <w:rPr>
          <w:i/>
        </w:rPr>
        <w:t>Grimshaw</w:t>
      </w:r>
      <w:proofErr w:type="spellEnd"/>
      <w:r w:rsidR="00455B6A">
        <w:t xml:space="preserve">, who had been </w:t>
      </w:r>
      <w:r w:rsidR="004315B3">
        <w:t>severely injured when their</w:t>
      </w:r>
      <w:r w:rsidR="001C3B18">
        <w:t xml:space="preserve"> </w:t>
      </w:r>
      <w:r w:rsidR="004315B3">
        <w:t>Ford Pinto</w:t>
      </w:r>
      <w:r w:rsidR="001C3B18">
        <w:t xml:space="preserve"> burst into flames </w:t>
      </w:r>
      <w:r w:rsidR="00121254">
        <w:t>after being</w:t>
      </w:r>
      <w:r w:rsidR="001C3B18">
        <w:t xml:space="preserve"> hit from behind by another vehicle</w:t>
      </w:r>
      <w:r w:rsidR="00455B6A">
        <w:t xml:space="preserve">, claimed that </w:t>
      </w:r>
      <w:r w:rsidR="00587B4A">
        <w:t xml:space="preserve">the </w:t>
      </w:r>
      <w:r w:rsidR="00455B6A">
        <w:t xml:space="preserve">Pinto’s fuel system was defectively designed.  </w:t>
      </w:r>
      <w:r w:rsidR="004315B3">
        <w:t>(</w:t>
      </w:r>
      <w:r w:rsidR="004315B3">
        <w:rPr>
          <w:i/>
        </w:rPr>
        <w:t>Id.</w:t>
      </w:r>
      <w:r w:rsidR="004315B3">
        <w:t xml:space="preserve"> at pp.</w:t>
      </w:r>
      <w:r w:rsidR="00DE4511">
        <w:t> </w:t>
      </w:r>
      <w:r w:rsidR="00980902">
        <w:t>773–</w:t>
      </w:r>
      <w:r w:rsidR="004315B3">
        <w:t xml:space="preserve">774.)  The jury returned a verdict in favor of the plaintiffs, and </w:t>
      </w:r>
      <w:r w:rsidR="00AF738C">
        <w:t xml:space="preserve">Ford </w:t>
      </w:r>
      <w:r w:rsidR="00591185">
        <w:t xml:space="preserve">appealed, </w:t>
      </w:r>
      <w:r w:rsidR="00D242E4">
        <w:t>arguing,</w:t>
      </w:r>
      <w:r w:rsidR="00591185">
        <w:t xml:space="preserve"> </w:t>
      </w:r>
      <w:r w:rsidR="00591185" w:rsidRPr="003820B9">
        <w:t>inter alia</w:t>
      </w:r>
      <w:r w:rsidR="00591185">
        <w:t xml:space="preserve">, that the trial court erred by </w:t>
      </w:r>
      <w:r w:rsidR="003A24A1">
        <w:t>rejecting its request to</w:t>
      </w:r>
      <w:r w:rsidR="00591185">
        <w:t xml:space="preserve"> instruct the jury with the risk-benefit test.  (</w:t>
      </w:r>
      <w:r w:rsidR="00591185">
        <w:rPr>
          <w:i/>
        </w:rPr>
        <w:t>Id</w:t>
      </w:r>
      <w:r w:rsidR="00591185">
        <w:t>. at p</w:t>
      </w:r>
      <w:r w:rsidR="00DE4511">
        <w:t>p</w:t>
      </w:r>
      <w:r w:rsidR="00591185">
        <w:t>.</w:t>
      </w:r>
      <w:r w:rsidR="00DE4511">
        <w:t> </w:t>
      </w:r>
      <w:r w:rsidR="00591185">
        <w:t xml:space="preserve">801–802.)  </w:t>
      </w:r>
      <w:r w:rsidR="003E153F">
        <w:t xml:space="preserve">The </w:t>
      </w:r>
      <w:r w:rsidR="003A24A1">
        <w:t xml:space="preserve">proposed instruction listed as a </w:t>
      </w:r>
      <w:proofErr w:type="gramStart"/>
      <w:r w:rsidR="003A24A1">
        <w:t>“</w:t>
      </w:r>
      <w:r w:rsidR="003638BD">
        <w:t> ‘</w:t>
      </w:r>
      <w:proofErr w:type="gramEnd"/>
      <w:r w:rsidR="003A24A1">
        <w:t>relevant factor</w:t>
      </w:r>
      <w:r w:rsidR="003638BD">
        <w:t>[]’ </w:t>
      </w:r>
      <w:r w:rsidR="003A24A1">
        <w:t>” for the jury’s consideration “</w:t>
      </w:r>
      <w:r w:rsidR="00DE4511">
        <w:t> </w:t>
      </w:r>
      <w:r w:rsidR="003A24A1">
        <w:t>‘the extent to which its [</w:t>
      </w:r>
      <w:r w:rsidR="00CC01EB">
        <w:t xml:space="preserve">the Ford </w:t>
      </w:r>
      <w:r w:rsidR="003A24A1">
        <w:t>Pinto’s] design and manufacture matched the average quality of other automobiles and the extent to which its design and manufacture deviated from the norm for automobiles designed and manufactured at the same point in time.’</w:t>
      </w:r>
      <w:r w:rsidR="00DE4511">
        <w:t> </w:t>
      </w:r>
      <w:r w:rsidR="003A24A1">
        <w:t>”  (</w:t>
      </w:r>
      <w:r w:rsidR="003A24A1">
        <w:rPr>
          <w:i/>
        </w:rPr>
        <w:t>Id.</w:t>
      </w:r>
      <w:r w:rsidR="00980902">
        <w:t xml:space="preserve"> at p.</w:t>
      </w:r>
      <w:r w:rsidR="00DE4511">
        <w:t> </w:t>
      </w:r>
      <w:r w:rsidR="00980902">
        <w:t xml:space="preserve">803.)  </w:t>
      </w:r>
      <w:r w:rsidR="00CF7735">
        <w:t xml:space="preserve">The Court of Appeal upheld the </w:t>
      </w:r>
      <w:r w:rsidR="00AF01F8">
        <w:t>trial court’s refusal to give this instruction.</w:t>
      </w:r>
      <w:r w:rsidR="001458FA">
        <w:t xml:space="preserve">  (</w:t>
      </w:r>
      <w:r w:rsidR="001458FA">
        <w:rPr>
          <w:i/>
        </w:rPr>
        <w:t>Id.</w:t>
      </w:r>
      <w:r w:rsidR="001458FA">
        <w:t xml:space="preserve"> at p</w:t>
      </w:r>
      <w:r w:rsidR="00DE4511">
        <w:t>p</w:t>
      </w:r>
      <w:r w:rsidR="001458FA">
        <w:t>.</w:t>
      </w:r>
      <w:r w:rsidR="00DE4511">
        <w:t> </w:t>
      </w:r>
      <w:r w:rsidR="001458FA">
        <w:t xml:space="preserve">802–803.) </w:t>
      </w:r>
      <w:r w:rsidR="00AF01F8">
        <w:t xml:space="preserve"> </w:t>
      </w:r>
      <w:r w:rsidR="00AF738C">
        <w:t xml:space="preserve">Relying on </w:t>
      </w:r>
      <w:r w:rsidR="00F00B4E">
        <w:rPr>
          <w:i/>
        </w:rPr>
        <w:t xml:space="preserve">Titus </w:t>
      </w:r>
      <w:r w:rsidR="00F00B4E">
        <w:t xml:space="preserve">and </w:t>
      </w:r>
      <w:proofErr w:type="spellStart"/>
      <w:r w:rsidR="00F00B4E">
        <w:rPr>
          <w:i/>
        </w:rPr>
        <w:t>Foglio</w:t>
      </w:r>
      <w:proofErr w:type="spellEnd"/>
      <w:r w:rsidR="00AF738C">
        <w:t xml:space="preserve">, the court </w:t>
      </w:r>
      <w:r w:rsidR="008A3A46">
        <w:t xml:space="preserve">explained </w:t>
      </w:r>
      <w:r w:rsidR="00AF738C">
        <w:t xml:space="preserve">that </w:t>
      </w:r>
      <w:r w:rsidR="00980902">
        <w:t>“[</w:t>
      </w:r>
      <w:proofErr w:type="spellStart"/>
      <w:r w:rsidR="00980902">
        <w:t>i</w:t>
      </w:r>
      <w:proofErr w:type="spellEnd"/>
      <w:r w:rsidR="00980902">
        <w:t>]n a strict products liability case, industry custom or usage is irrelevant to the issue of defect.”  (</w:t>
      </w:r>
      <w:r w:rsidR="00646019">
        <w:rPr>
          <w:i/>
        </w:rPr>
        <w:t>Id</w:t>
      </w:r>
      <w:r w:rsidR="00980902">
        <w:t>.</w:t>
      </w:r>
      <w:r w:rsidR="003638BD">
        <w:t xml:space="preserve"> at p. 803.</w:t>
      </w:r>
      <w:r w:rsidR="00980902">
        <w:t xml:space="preserve">)  </w:t>
      </w:r>
      <w:r w:rsidR="003C05A6">
        <w:t>T</w:t>
      </w:r>
      <w:r w:rsidR="00622489">
        <w:t xml:space="preserve">he </w:t>
      </w:r>
      <w:r w:rsidR="00AF738C">
        <w:t xml:space="preserve">court </w:t>
      </w:r>
      <w:r w:rsidR="000868B8">
        <w:t>observed</w:t>
      </w:r>
      <w:r w:rsidR="00622489">
        <w:t xml:space="preserve"> that</w:t>
      </w:r>
      <w:r w:rsidR="00F00B4E">
        <w:t xml:space="preserve"> </w:t>
      </w:r>
      <w:r w:rsidR="00F00B4E">
        <w:rPr>
          <w:i/>
        </w:rPr>
        <w:t>Barker</w:t>
      </w:r>
      <w:r w:rsidR="00622489">
        <w:rPr>
          <w:i/>
        </w:rPr>
        <w:t xml:space="preserve"> </w:t>
      </w:r>
      <w:r w:rsidR="00651924">
        <w:t xml:space="preserve">had not </w:t>
      </w:r>
      <w:r w:rsidR="00F00B4E">
        <w:t>list</w:t>
      </w:r>
      <w:r w:rsidR="00651924">
        <w:t>ed</w:t>
      </w:r>
      <w:r w:rsidR="00F00B4E">
        <w:t xml:space="preserve"> </w:t>
      </w:r>
      <w:r w:rsidR="00980902">
        <w:t>industry custom and practice</w:t>
      </w:r>
      <w:r w:rsidR="00F00B4E">
        <w:t xml:space="preserve"> in its enumeration of relevant factors </w:t>
      </w:r>
      <w:r w:rsidR="00192550">
        <w:t>under the risk-benefit test</w:t>
      </w:r>
      <w:r w:rsidR="0005049F">
        <w:t>.</w:t>
      </w:r>
      <w:r w:rsidR="00646019">
        <w:t xml:space="preserve">  (</w:t>
      </w:r>
      <w:r w:rsidR="00646019">
        <w:rPr>
          <w:i/>
        </w:rPr>
        <w:t>Ibid.</w:t>
      </w:r>
      <w:r w:rsidR="00646019">
        <w:t>)</w:t>
      </w:r>
      <w:r w:rsidR="0005049F">
        <w:t xml:space="preserve">  What is more, the court </w:t>
      </w:r>
      <w:r w:rsidR="00587B4A">
        <w:t xml:space="preserve">found that </w:t>
      </w:r>
      <w:r w:rsidR="0005049F">
        <w:rPr>
          <w:i/>
        </w:rPr>
        <w:t>Barker</w:t>
      </w:r>
      <w:r w:rsidR="0005049F">
        <w:t xml:space="preserve">’s reasoning implies that such evidence is </w:t>
      </w:r>
      <w:r w:rsidR="00542596">
        <w:t xml:space="preserve">an “inappropriate </w:t>
      </w:r>
      <w:proofErr w:type="gramStart"/>
      <w:r w:rsidR="00542596">
        <w:t>consideration</w:t>
      </w:r>
      <w:r w:rsidR="00587B4A">
        <w:t>[</w:t>
      </w:r>
      <w:proofErr w:type="gramEnd"/>
      <w:r w:rsidR="00587B4A">
        <w:t>]</w:t>
      </w:r>
      <w:r w:rsidR="00542596">
        <w:t xml:space="preserve">” insofar as </w:t>
      </w:r>
      <w:r w:rsidR="00542596">
        <w:rPr>
          <w:i/>
        </w:rPr>
        <w:t>Barker</w:t>
      </w:r>
      <w:r w:rsidR="00542596">
        <w:t xml:space="preserve"> </w:t>
      </w:r>
      <w:r w:rsidR="00622489">
        <w:t>d</w:t>
      </w:r>
      <w:r w:rsidR="00F00B4E">
        <w:t>istinguish</w:t>
      </w:r>
      <w:r w:rsidR="00542596">
        <w:t>ed</w:t>
      </w:r>
      <w:r w:rsidR="00622489">
        <w:t xml:space="preserve"> </w:t>
      </w:r>
      <w:r w:rsidR="00F00B4E">
        <w:t>strict liability claim</w:t>
      </w:r>
      <w:r w:rsidR="00622489">
        <w:t>s</w:t>
      </w:r>
      <w:r w:rsidR="00F00B4E">
        <w:t xml:space="preserve"> from negligence claim</w:t>
      </w:r>
      <w:r w:rsidR="00622489">
        <w:t xml:space="preserve">s on the </w:t>
      </w:r>
      <w:r w:rsidR="001F5BD5">
        <w:t xml:space="preserve">ground that the former </w:t>
      </w:r>
      <w:r w:rsidR="00850C65">
        <w:t xml:space="preserve">directs the jury’s attention to </w:t>
      </w:r>
      <w:r w:rsidR="001F5BD5">
        <w:t>“</w:t>
      </w:r>
      <w:r w:rsidR="00253BCC">
        <w:t> ‘</w:t>
      </w:r>
      <w:r w:rsidR="00F00B4E">
        <w:t>the condition of the product itself, and not to the reasonableness of the manufacturer’s conduct.’</w:t>
      </w:r>
      <w:r w:rsidR="00253BCC">
        <w:t> </w:t>
      </w:r>
      <w:r w:rsidR="00F00B4E">
        <w:t>”  (</w:t>
      </w:r>
      <w:r w:rsidR="00646019">
        <w:rPr>
          <w:i/>
        </w:rPr>
        <w:t>Ibid.</w:t>
      </w:r>
      <w:r w:rsidR="00F00B4E">
        <w:t xml:space="preserve">, quoting </w:t>
      </w:r>
      <w:r w:rsidR="00F00B4E">
        <w:rPr>
          <w:i/>
        </w:rPr>
        <w:t>Barker</w:t>
      </w:r>
      <w:r w:rsidR="00F00B4E">
        <w:t xml:space="preserve">, </w:t>
      </w:r>
      <w:r w:rsidR="00253BCC" w:rsidRPr="00253BCC">
        <w:rPr>
          <w:i/>
        </w:rPr>
        <w:t>supra</w:t>
      </w:r>
      <w:r w:rsidR="00253BCC">
        <w:t xml:space="preserve">, </w:t>
      </w:r>
      <w:r w:rsidR="00F00B4E">
        <w:t>20 Cal.3d at p.</w:t>
      </w:r>
      <w:r w:rsidR="00253BCC">
        <w:t> </w:t>
      </w:r>
      <w:r w:rsidR="00F00B4E">
        <w:t>434.)</w:t>
      </w:r>
    </w:p>
    <w:p w14:paraId="51EBF268" w14:textId="77777777" w:rsidR="005A12FE" w:rsidRDefault="00811304" w:rsidP="00F67118">
      <w:pPr>
        <w:rPr>
          <w:b/>
          <w:vertAlign w:val="superscript"/>
        </w:rPr>
      </w:pPr>
      <w:r>
        <w:t xml:space="preserve">Finally, in </w:t>
      </w:r>
      <w:r w:rsidR="005A12FE" w:rsidRPr="009A7D86">
        <w:rPr>
          <w:i/>
        </w:rPr>
        <w:t xml:space="preserve">Buell-Wilson v. </w:t>
      </w:r>
      <w:r w:rsidR="005A12FE" w:rsidRPr="0021290D">
        <w:rPr>
          <w:i/>
        </w:rPr>
        <w:t>Ford Motor Co.</w:t>
      </w:r>
      <w:r w:rsidR="005A12FE" w:rsidRPr="0021290D">
        <w:t xml:space="preserve"> (2006) 141 Cal.App.4th 5</w:t>
      </w:r>
      <w:r w:rsidR="00C35513" w:rsidRPr="0021290D">
        <w:t>25,</w:t>
      </w:r>
      <w:r w:rsidR="00DB53A8">
        <w:t xml:space="preserve"> 545</w:t>
      </w:r>
      <w:r w:rsidR="00974ADC">
        <w:t xml:space="preserve"> (</w:t>
      </w:r>
      <w:r w:rsidR="00974ADC" w:rsidRPr="00974ADC">
        <w:rPr>
          <w:i/>
        </w:rPr>
        <w:t>Buell-Wilson</w:t>
      </w:r>
      <w:r w:rsidR="00974ADC">
        <w:t>)</w:t>
      </w:r>
      <w:r w:rsidR="00D2602F">
        <w:t>, the Court of Appeal affirmed</w:t>
      </w:r>
      <w:r w:rsidR="00A223E5" w:rsidRPr="0021290D">
        <w:t xml:space="preserve"> </w:t>
      </w:r>
      <w:r w:rsidR="00D2602F">
        <w:t xml:space="preserve">the </w:t>
      </w:r>
      <w:r w:rsidR="00A223E5" w:rsidRPr="0021290D">
        <w:t xml:space="preserve">trial court’s exclusion of </w:t>
      </w:r>
      <w:r w:rsidR="00121254">
        <w:t xml:space="preserve">statistical </w:t>
      </w:r>
      <w:r w:rsidR="00A223E5" w:rsidRPr="0021290D">
        <w:t>evidence</w:t>
      </w:r>
      <w:r w:rsidR="00121254">
        <w:t xml:space="preserve"> comparing the rollover rate of </w:t>
      </w:r>
      <w:r w:rsidR="003820B9">
        <w:t xml:space="preserve">the </w:t>
      </w:r>
      <w:r w:rsidR="00121254">
        <w:t>defendant’s vehicle to other</w:t>
      </w:r>
      <w:r w:rsidR="00A223E5" w:rsidRPr="0021290D">
        <w:t xml:space="preserve"> vehicles </w:t>
      </w:r>
      <w:r w:rsidR="0021290D" w:rsidRPr="0021290D">
        <w:t xml:space="preserve">because “the </w:t>
      </w:r>
      <w:r w:rsidR="0021290D" w:rsidRPr="0021290D">
        <w:rPr>
          <w:i/>
        </w:rPr>
        <w:t>Barker</w:t>
      </w:r>
      <w:r w:rsidR="0021290D" w:rsidRPr="0021290D">
        <w:t xml:space="preserve"> risk/benefit analysis does not allow admission of su</w:t>
      </w:r>
      <w:r w:rsidR="006B5EC7">
        <w:t>c</w:t>
      </w:r>
      <w:r w:rsidR="00826A02">
        <w:t xml:space="preserve">h [industry custom] </w:t>
      </w:r>
      <w:proofErr w:type="gramStart"/>
      <w:r w:rsidR="00826A02">
        <w:t>evidence</w:t>
      </w:r>
      <w:r w:rsidR="00E37C93">
        <w:t xml:space="preserve"> </w:t>
      </w:r>
      <w:r w:rsidR="00826A02">
        <w:t>.</w:t>
      </w:r>
      <w:proofErr w:type="gramEnd"/>
      <w:r w:rsidR="00E37C93">
        <w:t> . . .</w:t>
      </w:r>
      <w:r w:rsidR="00826A02">
        <w:t xml:space="preserve">”  Other Courts of Appeal have assumed, without deciding, that </w:t>
      </w:r>
      <w:r w:rsidR="004F5251">
        <w:t xml:space="preserve">this states the </w:t>
      </w:r>
      <w:r w:rsidR="009C4866">
        <w:t xml:space="preserve">governing </w:t>
      </w:r>
      <w:r w:rsidR="004F5251">
        <w:t xml:space="preserve">rule.  (See </w:t>
      </w:r>
      <w:r w:rsidR="00824A26">
        <w:rPr>
          <w:i/>
        </w:rPr>
        <w:t>McLaughlin</w:t>
      </w:r>
      <w:r w:rsidR="00824A26">
        <w:t xml:space="preserve">, </w:t>
      </w:r>
      <w:r w:rsidR="00824A26">
        <w:rPr>
          <w:i/>
        </w:rPr>
        <w:t>supra</w:t>
      </w:r>
      <w:r w:rsidR="00824A26">
        <w:t xml:space="preserve">, </w:t>
      </w:r>
      <w:r w:rsidR="00653658">
        <w:t xml:space="preserve">148 </w:t>
      </w:r>
      <w:r w:rsidR="00653658">
        <w:lastRenderedPageBreak/>
        <w:t>Cal.App.3d at p.</w:t>
      </w:r>
      <w:r w:rsidR="00253BCC">
        <w:t> </w:t>
      </w:r>
      <w:r w:rsidR="00653658">
        <w:t>210 [recognizing “rule, not involved in this case, that evidence of industry custom and usage is irrelevant in a products liability case,”</w:t>
      </w:r>
      <w:r w:rsidR="00E53607">
        <w:t xml:space="preserve"> but ruling that evidence that design comported with the state of the art </w:t>
      </w:r>
      <w:r w:rsidR="00A208B7">
        <w:t>is admissible as relevant to the risk-benefit balancing]</w:t>
      </w:r>
      <w:r w:rsidR="002144E7">
        <w:t>.</w:t>
      </w:r>
      <w:r w:rsidR="00A223E5" w:rsidRPr="0021290D">
        <w:t>)</w:t>
      </w:r>
      <w:r w:rsidR="00A223E5">
        <w:t xml:space="preserve">  </w:t>
      </w:r>
    </w:p>
    <w:p w14:paraId="63BF5B7E" w14:textId="77777777" w:rsidR="003F3813" w:rsidRDefault="008A3A46" w:rsidP="00F67118">
      <w:pPr>
        <w:rPr>
          <w:color w:val="000000"/>
          <w:szCs w:val="26"/>
          <w:shd w:val="clear" w:color="auto" w:fill="FFFFFF"/>
        </w:rPr>
      </w:pPr>
      <w:r>
        <w:t>By</w:t>
      </w:r>
      <w:r w:rsidR="0021290D">
        <w:t xml:space="preserve"> contrast, t</w:t>
      </w:r>
      <w:r w:rsidR="00210A69">
        <w:t xml:space="preserve">he Court of Appeal in </w:t>
      </w:r>
      <w:r w:rsidR="003638BD">
        <w:rPr>
          <w:i/>
        </w:rPr>
        <w:t>Howard</w:t>
      </w:r>
      <w:r w:rsidR="003638BD">
        <w:t xml:space="preserve">, </w:t>
      </w:r>
      <w:r w:rsidR="003638BD" w:rsidRPr="003638BD">
        <w:rPr>
          <w:i/>
        </w:rPr>
        <w:t>supra</w:t>
      </w:r>
      <w:r w:rsidR="003638BD">
        <w:t xml:space="preserve">, </w:t>
      </w:r>
      <w:r w:rsidR="00210A69" w:rsidRPr="003965C5">
        <w:t xml:space="preserve">203 Cal.App.4th </w:t>
      </w:r>
      <w:r w:rsidR="003638BD">
        <w:t xml:space="preserve">at </w:t>
      </w:r>
      <w:r w:rsidR="00BC006C">
        <w:t>page</w:t>
      </w:r>
      <w:r w:rsidR="003638BD">
        <w:t xml:space="preserve"> </w:t>
      </w:r>
      <w:r w:rsidR="00A107AD">
        <w:t>426</w:t>
      </w:r>
      <w:r w:rsidR="00E528DD">
        <w:t>,</w:t>
      </w:r>
      <w:r w:rsidR="00A107AD">
        <w:t xml:space="preserve"> </w:t>
      </w:r>
      <w:r w:rsidR="00121254">
        <w:t>held</w:t>
      </w:r>
      <w:r w:rsidR="00ED44FA">
        <w:t xml:space="preserve"> that </w:t>
      </w:r>
      <w:r w:rsidR="002144E7">
        <w:t xml:space="preserve">at least some </w:t>
      </w:r>
      <w:r w:rsidR="00ED44FA">
        <w:t>evidence of industry custom and practice is</w:t>
      </w:r>
      <w:r w:rsidR="00121254">
        <w:t xml:space="preserve"> </w:t>
      </w:r>
      <w:r w:rsidR="00ED44FA">
        <w:t xml:space="preserve">relevant </w:t>
      </w:r>
      <w:r w:rsidR="0053712B">
        <w:t>under</w:t>
      </w:r>
      <w:r w:rsidR="00137BBD">
        <w:t xml:space="preserve"> the</w:t>
      </w:r>
      <w:r w:rsidR="00ED44FA">
        <w:t xml:space="preserve"> risk-benefit test</w:t>
      </w:r>
      <w:r w:rsidR="00E13EA4">
        <w:t xml:space="preserve"> and therefore admissible</w:t>
      </w:r>
      <w:r w:rsidR="0063783A">
        <w:t xml:space="preserve">.  </w:t>
      </w:r>
      <w:r w:rsidR="00DE0DB0">
        <w:t xml:space="preserve">In </w:t>
      </w:r>
      <w:r w:rsidR="00B74E83">
        <w:t>that case, the plaintiff was injured when he slipped in a hotel bathtub.</w:t>
      </w:r>
      <w:r w:rsidR="00646019">
        <w:t xml:space="preserve">  (</w:t>
      </w:r>
      <w:r w:rsidR="00646019">
        <w:rPr>
          <w:i/>
        </w:rPr>
        <w:t>Id.</w:t>
      </w:r>
      <w:r w:rsidR="00646019">
        <w:t xml:space="preserve"> at p.</w:t>
      </w:r>
      <w:r w:rsidR="0032191D">
        <w:t> </w:t>
      </w:r>
      <w:r w:rsidR="00646019">
        <w:t xml:space="preserve">411.)  </w:t>
      </w:r>
      <w:r w:rsidR="00B74E83">
        <w:t xml:space="preserve">He sued, alleging the </w:t>
      </w:r>
      <w:r w:rsidR="00F477D8">
        <w:t xml:space="preserve">bathtub was defectively designed because its </w:t>
      </w:r>
      <w:proofErr w:type="spellStart"/>
      <w:r w:rsidR="00F477D8">
        <w:t>antislip</w:t>
      </w:r>
      <w:proofErr w:type="spellEnd"/>
      <w:r w:rsidR="00F477D8">
        <w:t xml:space="preserve"> coating did not comply with </w:t>
      </w:r>
      <w:proofErr w:type="gramStart"/>
      <w:r w:rsidR="00F477D8">
        <w:t>“</w:t>
      </w:r>
      <w:r w:rsidR="003638BD">
        <w:t> ‘</w:t>
      </w:r>
      <w:proofErr w:type="gramEnd"/>
      <w:r w:rsidR="00F477D8">
        <w:t>applicable standards.</w:t>
      </w:r>
      <w:r w:rsidR="003638BD">
        <w:t>’ </w:t>
      </w:r>
      <w:r w:rsidR="00F477D8">
        <w:t>”</w:t>
      </w:r>
      <w:r w:rsidR="00646019">
        <w:t xml:space="preserve">  (</w:t>
      </w:r>
      <w:r w:rsidR="00646019">
        <w:rPr>
          <w:i/>
        </w:rPr>
        <w:t>Id.</w:t>
      </w:r>
      <w:r w:rsidR="00646019">
        <w:t xml:space="preserve"> at p.</w:t>
      </w:r>
      <w:r w:rsidR="0032191D">
        <w:t> </w:t>
      </w:r>
      <w:r w:rsidR="00646019">
        <w:t>412</w:t>
      </w:r>
      <w:r w:rsidR="003638BD">
        <w:t>, italics omitted</w:t>
      </w:r>
      <w:r w:rsidR="00646019">
        <w:t>.)</w:t>
      </w:r>
      <w:r w:rsidR="00F477D8">
        <w:t xml:space="preserve">  The manufacturer countered that the coating complied with technical standards promulgated by trade associations.</w:t>
      </w:r>
      <w:r w:rsidR="00BE0465">
        <w:t xml:space="preserve"> </w:t>
      </w:r>
      <w:r w:rsidR="0032191D">
        <w:t xml:space="preserve"> </w:t>
      </w:r>
      <w:r w:rsidR="00BE0465">
        <w:t>(</w:t>
      </w:r>
      <w:r w:rsidR="00BE0465">
        <w:rPr>
          <w:i/>
        </w:rPr>
        <w:t>I</w:t>
      </w:r>
      <w:r w:rsidR="007D1AB9">
        <w:rPr>
          <w:i/>
        </w:rPr>
        <w:t>bid</w:t>
      </w:r>
      <w:r w:rsidR="00BE0465">
        <w:rPr>
          <w:i/>
        </w:rPr>
        <w:t>.</w:t>
      </w:r>
      <w:r w:rsidR="00BE0465">
        <w:t xml:space="preserve">)  </w:t>
      </w:r>
      <w:r w:rsidR="0063783A">
        <w:t xml:space="preserve">In </w:t>
      </w:r>
      <w:r w:rsidR="00BE0465">
        <w:t xml:space="preserve">affirming the grant of </w:t>
      </w:r>
      <w:r w:rsidR="0063783A">
        <w:t xml:space="preserve">summary judgment to the bathtub manufacturer </w:t>
      </w:r>
      <w:r w:rsidR="00587B46">
        <w:t>on this</w:t>
      </w:r>
      <w:r w:rsidR="0063783A">
        <w:t xml:space="preserve"> claim, the </w:t>
      </w:r>
      <w:r w:rsidR="00B74E83">
        <w:t xml:space="preserve">court </w:t>
      </w:r>
      <w:r w:rsidR="004E513C">
        <w:t xml:space="preserve">held </w:t>
      </w:r>
      <w:r w:rsidR="00587B46">
        <w:t>that the bathtub manufacturer’s “</w:t>
      </w:r>
      <w:r w:rsidR="00587B46" w:rsidRPr="00587B46">
        <w:t xml:space="preserve">reliance on industry standards is a factor to be legitimately </w:t>
      </w:r>
      <w:proofErr w:type="gramStart"/>
      <w:r w:rsidR="00587B46" w:rsidRPr="00587B46">
        <w:t>considered</w:t>
      </w:r>
      <w:r w:rsidR="00E37C93">
        <w:t xml:space="preserve"> </w:t>
      </w:r>
      <w:r w:rsidR="004E513C">
        <w:t>.</w:t>
      </w:r>
      <w:proofErr w:type="gramEnd"/>
      <w:r w:rsidR="00E37C93">
        <w:rPr>
          <w:b/>
        </w:rPr>
        <w:t> </w:t>
      </w:r>
      <w:r w:rsidR="00E37C93">
        <w:t>. . .</w:t>
      </w:r>
      <w:r w:rsidR="004E513C">
        <w:t xml:space="preserve">”  </w:t>
      </w:r>
      <w:r w:rsidR="00587B46">
        <w:t>(</w:t>
      </w:r>
      <w:r w:rsidR="00587B46">
        <w:rPr>
          <w:i/>
        </w:rPr>
        <w:t>Id.</w:t>
      </w:r>
      <w:r w:rsidR="00587B46">
        <w:t xml:space="preserve"> at p.</w:t>
      </w:r>
      <w:r w:rsidR="0032191D">
        <w:t> </w:t>
      </w:r>
      <w:r w:rsidR="00587B46">
        <w:t xml:space="preserve">425.)  </w:t>
      </w:r>
      <w:r w:rsidR="00ED44FA" w:rsidRPr="0063783A">
        <w:t>The</w:t>
      </w:r>
      <w:r w:rsidR="00ED44FA">
        <w:t xml:space="preserve"> Court of Appeal</w:t>
      </w:r>
      <w:r w:rsidR="00B40E37">
        <w:t xml:space="preserve"> </w:t>
      </w:r>
      <w:r w:rsidR="00E37C93">
        <w:t xml:space="preserve">in </w:t>
      </w:r>
      <w:r w:rsidR="00E37C93" w:rsidRPr="00E37C93">
        <w:rPr>
          <w:i/>
        </w:rPr>
        <w:t>Howard</w:t>
      </w:r>
      <w:r w:rsidR="00E37C93">
        <w:t xml:space="preserve"> </w:t>
      </w:r>
      <w:r w:rsidR="004E513C">
        <w:t>explained</w:t>
      </w:r>
      <w:proofErr w:type="gramStart"/>
      <w:r w:rsidR="004E513C">
        <w:t xml:space="preserve">:  </w:t>
      </w:r>
      <w:r w:rsidR="00B40E37">
        <w:t>“</w:t>
      </w:r>
      <w:proofErr w:type="gramEnd"/>
      <w:r w:rsidR="004E513C">
        <w:t>W</w:t>
      </w:r>
      <w:r w:rsidR="00B40E37" w:rsidRPr="00B40E37">
        <w:t xml:space="preserve">hen the plaintiff alleges strict product liability/design defect, any evidence of compliance with industry standards, while not a complete defense, is not </w:t>
      </w:r>
      <w:r w:rsidR="00B40E37">
        <w:t>‘</w:t>
      </w:r>
      <w:r w:rsidR="00B40E37" w:rsidRPr="00B40E37">
        <w:t>irrelevant,</w:t>
      </w:r>
      <w:r w:rsidR="00B40E37">
        <w:t>’</w:t>
      </w:r>
      <w:r w:rsidR="00B40E37" w:rsidRPr="00B40E37">
        <w:t xml:space="preserve"> but instead properly should be taken into account through expert testimony as part of the design defect balancing process.</w:t>
      </w:r>
      <w:r w:rsidR="00B40E37">
        <w:t>”  (</w:t>
      </w:r>
      <w:r w:rsidR="00B40E37">
        <w:rPr>
          <w:i/>
        </w:rPr>
        <w:t>Id.</w:t>
      </w:r>
      <w:r w:rsidR="00B40E37">
        <w:t xml:space="preserve"> at p.</w:t>
      </w:r>
      <w:r w:rsidR="0032191D">
        <w:t> </w:t>
      </w:r>
      <w:r w:rsidR="00B40E37">
        <w:t xml:space="preserve">426.)  </w:t>
      </w:r>
      <w:r w:rsidR="002E2FAC">
        <w:rPr>
          <w:szCs w:val="26"/>
        </w:rPr>
        <w:t xml:space="preserve">Therefore, </w:t>
      </w:r>
      <w:r w:rsidR="00587B46">
        <w:rPr>
          <w:szCs w:val="26"/>
        </w:rPr>
        <w:t xml:space="preserve">“expert evidence about compliance with industry standards can be considered on the issue of defective design, in light of all other relevant circumstances, even if such compliance is not a complete defense.”  </w:t>
      </w:r>
      <w:r w:rsidR="009D628F" w:rsidRPr="009D628F">
        <w:rPr>
          <w:color w:val="000000"/>
          <w:szCs w:val="26"/>
          <w:shd w:val="clear" w:color="auto" w:fill="FFFFFF"/>
        </w:rPr>
        <w:t>(</w:t>
      </w:r>
      <w:r w:rsidR="009D628F" w:rsidRPr="0053712B">
        <w:rPr>
          <w:i/>
          <w:iCs/>
          <w:color w:val="000000"/>
          <w:szCs w:val="26"/>
        </w:rPr>
        <w:t>I</w:t>
      </w:r>
      <w:r w:rsidR="003820B9">
        <w:rPr>
          <w:i/>
          <w:iCs/>
          <w:color w:val="000000"/>
          <w:szCs w:val="26"/>
        </w:rPr>
        <w:t>bi</w:t>
      </w:r>
      <w:r w:rsidR="009D628F" w:rsidRPr="0053712B">
        <w:rPr>
          <w:i/>
          <w:iCs/>
          <w:color w:val="000000"/>
          <w:szCs w:val="26"/>
        </w:rPr>
        <w:t>d.</w:t>
      </w:r>
      <w:r w:rsidR="009D628F" w:rsidRPr="009D628F">
        <w:rPr>
          <w:color w:val="000000"/>
          <w:szCs w:val="26"/>
          <w:shd w:val="clear" w:color="auto" w:fill="FFFFFF"/>
        </w:rPr>
        <w:t>)</w:t>
      </w:r>
    </w:p>
    <w:p w14:paraId="3F25D733" w14:textId="77777777" w:rsidR="00F431AD" w:rsidRDefault="00831912" w:rsidP="00473013">
      <w:pPr>
        <w:rPr>
          <w:color w:val="000000" w:themeColor="text1"/>
          <w:szCs w:val="26"/>
        </w:rPr>
      </w:pPr>
      <w:r>
        <w:rPr>
          <w:color w:val="000000"/>
          <w:szCs w:val="26"/>
          <w:shd w:val="clear" w:color="auto" w:fill="FFFFFF"/>
        </w:rPr>
        <w:t xml:space="preserve">In upholding </w:t>
      </w:r>
      <w:r w:rsidR="00BF14A8">
        <w:rPr>
          <w:color w:val="000000"/>
          <w:szCs w:val="26"/>
          <w:shd w:val="clear" w:color="auto" w:fill="FFFFFF"/>
        </w:rPr>
        <w:t xml:space="preserve">the trial court’s denial of the motion in </w:t>
      </w:r>
      <w:proofErr w:type="spellStart"/>
      <w:r w:rsidR="00BF14A8">
        <w:rPr>
          <w:color w:val="000000"/>
          <w:szCs w:val="26"/>
          <w:shd w:val="clear" w:color="auto" w:fill="FFFFFF"/>
        </w:rPr>
        <w:t>limine</w:t>
      </w:r>
      <w:proofErr w:type="spellEnd"/>
      <w:r w:rsidR="00BF14A8">
        <w:rPr>
          <w:color w:val="000000"/>
          <w:szCs w:val="26"/>
          <w:shd w:val="clear" w:color="auto" w:fill="FFFFFF"/>
        </w:rPr>
        <w:t xml:space="preserve"> in this case, </w:t>
      </w:r>
      <w:r w:rsidR="00F77E4C">
        <w:rPr>
          <w:color w:val="000000"/>
          <w:szCs w:val="26"/>
          <w:shd w:val="clear" w:color="auto" w:fill="FFFFFF"/>
        </w:rPr>
        <w:t xml:space="preserve">the Court of Appeal </w:t>
      </w:r>
      <w:r w:rsidR="00C12773">
        <w:rPr>
          <w:color w:val="000000"/>
          <w:szCs w:val="26"/>
          <w:shd w:val="clear" w:color="auto" w:fill="FFFFFF"/>
        </w:rPr>
        <w:t xml:space="preserve">staked out what it described as a “middle ground,” under which </w:t>
      </w:r>
      <w:r w:rsidR="001838C1">
        <w:rPr>
          <w:color w:val="000000"/>
          <w:szCs w:val="26"/>
          <w:shd w:val="clear" w:color="auto" w:fill="FFFFFF"/>
        </w:rPr>
        <w:t xml:space="preserve">“evidence of industry custom and practice may be relevant and, in the discretion of the trial court, admissible in a strict products liability action, depending on the nature of the evidence and the purpose for which the party seeking its admission </w:t>
      </w:r>
      <w:r w:rsidR="001838C1">
        <w:rPr>
          <w:color w:val="000000"/>
          <w:szCs w:val="26"/>
          <w:shd w:val="clear" w:color="auto" w:fill="FFFFFF"/>
        </w:rPr>
        <w:lastRenderedPageBreak/>
        <w:t xml:space="preserve">offers the evidence.”  </w:t>
      </w:r>
      <w:r w:rsidR="00CC01EB">
        <w:rPr>
          <w:color w:val="000000"/>
          <w:szCs w:val="26"/>
          <w:shd w:val="clear" w:color="auto" w:fill="FFFFFF"/>
        </w:rPr>
        <w:t>The Court of Appeal</w:t>
      </w:r>
      <w:r w:rsidR="00D20133">
        <w:rPr>
          <w:color w:val="000000"/>
          <w:szCs w:val="26"/>
          <w:shd w:val="clear" w:color="auto" w:fill="FFFFFF"/>
        </w:rPr>
        <w:t xml:space="preserve"> </w:t>
      </w:r>
      <w:r w:rsidR="00A07595">
        <w:rPr>
          <w:color w:val="000000"/>
          <w:szCs w:val="26"/>
          <w:shd w:val="clear" w:color="auto" w:fill="FFFFFF"/>
        </w:rPr>
        <w:t xml:space="preserve">reasoned </w:t>
      </w:r>
      <w:r w:rsidR="00EC0D99">
        <w:rPr>
          <w:color w:val="000000"/>
          <w:szCs w:val="26"/>
          <w:shd w:val="clear" w:color="auto" w:fill="FFFFFF"/>
        </w:rPr>
        <w:t>that</w:t>
      </w:r>
      <w:r w:rsidR="00D20133">
        <w:rPr>
          <w:color w:val="000000"/>
          <w:szCs w:val="26"/>
          <w:shd w:val="clear" w:color="auto" w:fill="FFFFFF"/>
        </w:rPr>
        <w:t xml:space="preserve"> “[</w:t>
      </w:r>
      <w:proofErr w:type="spellStart"/>
      <w:r w:rsidR="00D20133">
        <w:rPr>
          <w:color w:val="000000"/>
          <w:szCs w:val="26"/>
          <w:shd w:val="clear" w:color="auto" w:fill="FFFFFF"/>
        </w:rPr>
        <w:t>i</w:t>
      </w:r>
      <w:proofErr w:type="spellEnd"/>
      <w:r w:rsidR="00D20133">
        <w:rPr>
          <w:color w:val="000000"/>
          <w:szCs w:val="26"/>
          <w:shd w:val="clear" w:color="auto" w:fill="FFFFFF"/>
        </w:rPr>
        <w:t>]</w:t>
      </w:r>
      <w:proofErr w:type="spellStart"/>
      <w:r w:rsidR="00624763" w:rsidRPr="00624763">
        <w:rPr>
          <w:color w:val="000000"/>
          <w:szCs w:val="26"/>
          <w:shd w:val="clear" w:color="auto" w:fill="FFFFFF"/>
        </w:rPr>
        <w:t>ndustry</w:t>
      </w:r>
      <w:proofErr w:type="spellEnd"/>
      <w:r w:rsidR="00624763" w:rsidRPr="00624763">
        <w:rPr>
          <w:color w:val="000000"/>
          <w:szCs w:val="26"/>
          <w:shd w:val="clear" w:color="auto" w:fill="FFFFFF"/>
        </w:rPr>
        <w:t xml:space="preserve"> custom may reflect legitimate, independent research and practical experience regarding the appropriate balance of product safety, cost, and functionality</w:t>
      </w:r>
      <w:r w:rsidR="007F4F5D">
        <w:rPr>
          <w:color w:val="000000"/>
          <w:szCs w:val="26"/>
          <w:shd w:val="clear" w:color="auto" w:fill="FFFFFF"/>
        </w:rPr>
        <w:t>,</w:t>
      </w:r>
      <w:r w:rsidR="00D20133">
        <w:rPr>
          <w:color w:val="000000"/>
          <w:szCs w:val="26"/>
          <w:shd w:val="clear" w:color="auto" w:fill="FFFFFF"/>
        </w:rPr>
        <w:t>”</w:t>
      </w:r>
      <w:r w:rsidR="007F4F5D">
        <w:rPr>
          <w:color w:val="000000"/>
          <w:szCs w:val="26"/>
          <w:shd w:val="clear" w:color="auto" w:fill="FFFFFF"/>
        </w:rPr>
        <w:t xml:space="preserve"> and </w:t>
      </w:r>
      <w:r w:rsidR="00B56F10">
        <w:rPr>
          <w:color w:val="000000"/>
          <w:szCs w:val="26"/>
          <w:shd w:val="clear" w:color="auto" w:fill="FFFFFF"/>
        </w:rPr>
        <w:t xml:space="preserve">the possibility that industry custom </w:t>
      </w:r>
      <w:r w:rsidR="00043DE9">
        <w:rPr>
          <w:color w:val="000000"/>
          <w:szCs w:val="26"/>
          <w:shd w:val="clear" w:color="auto" w:fill="FFFFFF"/>
        </w:rPr>
        <w:t>might not</w:t>
      </w:r>
      <w:r w:rsidR="00AF1B0A">
        <w:rPr>
          <w:color w:val="000000"/>
          <w:szCs w:val="26"/>
          <w:shd w:val="clear" w:color="auto" w:fill="FFFFFF"/>
        </w:rPr>
        <w:t xml:space="preserve"> reflect such considerations or strike the appropriate balance “does not make the evidence inadmissible.”  </w:t>
      </w:r>
      <w:r w:rsidR="007F4F5D">
        <w:rPr>
          <w:color w:val="000000"/>
          <w:szCs w:val="26"/>
          <w:shd w:val="clear" w:color="auto" w:fill="FFFFFF"/>
        </w:rPr>
        <w:t>The Court of Appeal</w:t>
      </w:r>
      <w:r w:rsidR="001838C1">
        <w:rPr>
          <w:color w:val="000000"/>
          <w:szCs w:val="26"/>
          <w:shd w:val="clear" w:color="auto" w:fill="FFFFFF"/>
        </w:rPr>
        <w:t xml:space="preserve"> also noted that “[e]</w:t>
      </w:r>
      <w:proofErr w:type="spellStart"/>
      <w:r w:rsidR="001838C1">
        <w:rPr>
          <w:color w:val="000000"/>
          <w:szCs w:val="26"/>
          <w:shd w:val="clear" w:color="auto" w:fill="FFFFFF"/>
        </w:rPr>
        <w:t>vidence</w:t>
      </w:r>
      <w:proofErr w:type="spellEnd"/>
      <w:r w:rsidR="001838C1">
        <w:rPr>
          <w:color w:val="000000"/>
          <w:szCs w:val="26"/>
          <w:shd w:val="clear" w:color="auto" w:fill="FFFFFF"/>
        </w:rPr>
        <w:t xml:space="preserve"> of industry custom also may be relevant to the feasibility of a safer alternative design, and to the consequences that would result from an alternative design, two of the </w:t>
      </w:r>
      <w:r w:rsidR="001838C1">
        <w:rPr>
          <w:i/>
          <w:color w:val="000000"/>
          <w:szCs w:val="26"/>
          <w:shd w:val="clear" w:color="auto" w:fill="FFFFFF"/>
        </w:rPr>
        <w:t>Barker</w:t>
      </w:r>
      <w:r w:rsidR="001838C1">
        <w:rPr>
          <w:color w:val="000000"/>
          <w:szCs w:val="26"/>
          <w:shd w:val="clear" w:color="auto" w:fill="FFFFFF"/>
        </w:rPr>
        <w:t xml:space="preserve"> risk-benefit factors.”</w:t>
      </w:r>
      <w:r w:rsidR="00FE5ED5">
        <w:rPr>
          <w:color w:val="000000"/>
          <w:szCs w:val="26"/>
          <w:shd w:val="clear" w:color="auto" w:fill="FFFFFF"/>
        </w:rPr>
        <w:t xml:space="preserve">  </w:t>
      </w:r>
      <w:r w:rsidR="00351B79">
        <w:rPr>
          <w:color w:val="000000"/>
          <w:szCs w:val="26"/>
          <w:shd w:val="clear" w:color="auto" w:fill="FFFFFF"/>
        </w:rPr>
        <w:t xml:space="preserve">In sum, </w:t>
      </w:r>
      <w:r w:rsidR="006A637E">
        <w:rPr>
          <w:color w:val="000000"/>
          <w:szCs w:val="26"/>
          <w:shd w:val="clear" w:color="auto" w:fill="FFFFFF"/>
        </w:rPr>
        <w:t xml:space="preserve">evidence of </w:t>
      </w:r>
      <w:r w:rsidR="00120728">
        <w:rPr>
          <w:color w:val="000000"/>
          <w:szCs w:val="26"/>
          <w:shd w:val="clear" w:color="auto" w:fill="FFFFFF"/>
        </w:rPr>
        <w:t>the manufacturer’s compliance or noncompliance with industry custom and practice “</w:t>
      </w:r>
      <w:r w:rsidR="00043DE9">
        <w:rPr>
          <w:color w:val="000000"/>
          <w:szCs w:val="26"/>
          <w:shd w:val="clear" w:color="auto" w:fill="FFFFFF"/>
        </w:rPr>
        <w:t xml:space="preserve">may be </w:t>
      </w:r>
      <w:proofErr w:type="gramStart"/>
      <w:r w:rsidR="00043DE9">
        <w:rPr>
          <w:color w:val="000000"/>
          <w:szCs w:val="26"/>
          <w:shd w:val="clear" w:color="auto" w:fill="FFFFFF"/>
        </w:rPr>
        <w:t>relevant .</w:t>
      </w:r>
      <w:proofErr w:type="gramEnd"/>
      <w:r w:rsidR="0032191D">
        <w:rPr>
          <w:color w:val="000000"/>
          <w:szCs w:val="26"/>
          <w:shd w:val="clear" w:color="auto" w:fill="FFFFFF"/>
        </w:rPr>
        <w:t> </w:t>
      </w:r>
      <w:r w:rsidR="00043DE9">
        <w:rPr>
          <w:color w:val="000000"/>
          <w:szCs w:val="26"/>
          <w:shd w:val="clear" w:color="auto" w:fill="FFFFFF"/>
        </w:rPr>
        <w:t>.</w:t>
      </w:r>
      <w:r w:rsidR="0032191D">
        <w:rPr>
          <w:color w:val="000000"/>
          <w:szCs w:val="26"/>
          <w:shd w:val="clear" w:color="auto" w:fill="FFFFFF"/>
        </w:rPr>
        <w:t> </w:t>
      </w:r>
      <w:r w:rsidR="00043DE9">
        <w:rPr>
          <w:color w:val="000000"/>
          <w:szCs w:val="26"/>
          <w:shd w:val="clear" w:color="auto" w:fill="FFFFFF"/>
        </w:rPr>
        <w:t>. in determining whether a product embodies excessive preventable danger, which is the ultimate quest</w:t>
      </w:r>
      <w:r w:rsidR="00571BFD">
        <w:rPr>
          <w:color w:val="000000"/>
          <w:szCs w:val="26"/>
          <w:shd w:val="clear" w:color="auto" w:fill="FFFFFF"/>
        </w:rPr>
        <w:t>ion under the risk-benefit test</w:t>
      </w:r>
      <w:r w:rsidR="00F93FF1">
        <w:rPr>
          <w:color w:val="000000"/>
          <w:szCs w:val="26"/>
          <w:shd w:val="clear" w:color="auto" w:fill="FFFFFF"/>
        </w:rPr>
        <w:t>.”</w:t>
      </w:r>
    </w:p>
    <w:p w14:paraId="29BDA4FB" w14:textId="77777777" w:rsidR="002570E2" w:rsidRPr="002570E2" w:rsidRDefault="002570E2" w:rsidP="00F67118">
      <w:pPr>
        <w:ind w:firstLine="0"/>
        <w:jc w:val="center"/>
        <w:rPr>
          <w:b/>
          <w:color w:val="212121"/>
          <w:szCs w:val="26"/>
        </w:rPr>
      </w:pPr>
      <w:r w:rsidRPr="002570E2">
        <w:rPr>
          <w:b/>
          <w:color w:val="000000" w:themeColor="text1"/>
          <w:szCs w:val="26"/>
        </w:rPr>
        <w:t>B.</w:t>
      </w:r>
    </w:p>
    <w:p w14:paraId="6B6F08C6" w14:textId="77777777" w:rsidR="009910B9" w:rsidRDefault="009910B9" w:rsidP="00F67118">
      <w:pPr>
        <w:rPr>
          <w:color w:val="000000"/>
          <w:szCs w:val="26"/>
          <w:shd w:val="clear" w:color="auto" w:fill="FFFFFF"/>
        </w:rPr>
      </w:pPr>
      <w:r>
        <w:rPr>
          <w:color w:val="000000"/>
          <w:szCs w:val="26"/>
          <w:shd w:val="clear" w:color="auto" w:fill="FFFFFF"/>
        </w:rPr>
        <w:t xml:space="preserve">What the Court of Appeal described as a “middle ground” between these lines of authority </w:t>
      </w:r>
      <w:r w:rsidR="00680942">
        <w:rPr>
          <w:color w:val="000000"/>
          <w:szCs w:val="26"/>
          <w:shd w:val="clear" w:color="auto" w:fill="FFFFFF"/>
        </w:rPr>
        <w:t>is</w:t>
      </w:r>
      <w:r w:rsidR="003D0A61">
        <w:rPr>
          <w:color w:val="000000"/>
          <w:szCs w:val="26"/>
          <w:shd w:val="clear" w:color="auto" w:fill="FFFFFF"/>
        </w:rPr>
        <w:t xml:space="preserve"> perhaps </w:t>
      </w:r>
      <w:r w:rsidR="00DF6172">
        <w:rPr>
          <w:color w:val="000000"/>
          <w:szCs w:val="26"/>
          <w:shd w:val="clear" w:color="auto" w:fill="FFFFFF"/>
        </w:rPr>
        <w:t xml:space="preserve">more accurately </w:t>
      </w:r>
      <w:r>
        <w:rPr>
          <w:color w:val="000000"/>
          <w:szCs w:val="26"/>
          <w:shd w:val="clear" w:color="auto" w:fill="FFFFFF"/>
        </w:rPr>
        <w:t>described</w:t>
      </w:r>
      <w:r w:rsidR="00FF0733">
        <w:rPr>
          <w:color w:val="000000"/>
          <w:szCs w:val="26"/>
          <w:shd w:val="clear" w:color="auto" w:fill="FFFFFF"/>
        </w:rPr>
        <w:t xml:space="preserve"> as an extension of </w:t>
      </w:r>
      <w:r w:rsidR="00FF0733">
        <w:rPr>
          <w:i/>
          <w:color w:val="000000"/>
          <w:szCs w:val="26"/>
          <w:shd w:val="clear" w:color="auto" w:fill="FFFFFF"/>
        </w:rPr>
        <w:t>Howard</w:t>
      </w:r>
      <w:r w:rsidR="0000429A">
        <w:rPr>
          <w:color w:val="000000"/>
          <w:szCs w:val="26"/>
          <w:shd w:val="clear" w:color="auto" w:fill="FFFFFF"/>
        </w:rPr>
        <w:t xml:space="preserve">. </w:t>
      </w:r>
      <w:r w:rsidR="0032289A">
        <w:rPr>
          <w:color w:val="000000"/>
          <w:szCs w:val="26"/>
          <w:shd w:val="clear" w:color="auto" w:fill="FFFFFF"/>
        </w:rPr>
        <w:t xml:space="preserve"> </w:t>
      </w:r>
      <w:r w:rsidR="0000429A">
        <w:rPr>
          <w:color w:val="000000"/>
          <w:szCs w:val="26"/>
          <w:shd w:val="clear" w:color="auto" w:fill="FFFFFF"/>
        </w:rPr>
        <w:t>But the ground the Court of Appeal staked out is, in all events, solid.</w:t>
      </w:r>
    </w:p>
    <w:p w14:paraId="1DB07ABC" w14:textId="77777777" w:rsidR="00931033" w:rsidRDefault="00E83C7F" w:rsidP="00F67118">
      <w:r>
        <w:rPr>
          <w:color w:val="000000"/>
          <w:szCs w:val="26"/>
          <w:shd w:val="clear" w:color="auto" w:fill="FFFFFF"/>
        </w:rPr>
        <w:t xml:space="preserve">The central insight of the </w:t>
      </w:r>
      <w:r>
        <w:rPr>
          <w:i/>
          <w:color w:val="000000"/>
          <w:szCs w:val="26"/>
          <w:shd w:val="clear" w:color="auto" w:fill="FFFFFF"/>
        </w:rPr>
        <w:t>Titus</w:t>
      </w:r>
      <w:r>
        <w:rPr>
          <w:color w:val="000000"/>
          <w:szCs w:val="26"/>
          <w:shd w:val="clear" w:color="auto" w:fill="FFFFFF"/>
        </w:rPr>
        <w:t>/</w:t>
      </w:r>
      <w:proofErr w:type="spellStart"/>
      <w:r>
        <w:rPr>
          <w:i/>
          <w:color w:val="000000"/>
          <w:szCs w:val="26"/>
          <w:shd w:val="clear" w:color="auto" w:fill="FFFFFF"/>
        </w:rPr>
        <w:t>Grimshaw</w:t>
      </w:r>
      <w:proofErr w:type="spellEnd"/>
      <w:r>
        <w:rPr>
          <w:color w:val="000000"/>
          <w:szCs w:val="26"/>
          <w:shd w:val="clear" w:color="auto" w:fill="FFFFFF"/>
        </w:rPr>
        <w:t xml:space="preserve"> line of cases is that compliance or noncompliance with industry custom and practice </w:t>
      </w:r>
      <w:r w:rsidR="00E25061">
        <w:rPr>
          <w:color w:val="000000"/>
          <w:szCs w:val="26"/>
          <w:shd w:val="clear" w:color="auto" w:fill="FFFFFF"/>
        </w:rPr>
        <w:t>is not an element of strict products liability.</w:t>
      </w:r>
      <w:r w:rsidR="008F7787">
        <w:rPr>
          <w:color w:val="000000"/>
          <w:szCs w:val="26"/>
          <w:shd w:val="clear" w:color="auto" w:fill="FFFFFF"/>
        </w:rPr>
        <w:t xml:space="preserve">  </w:t>
      </w:r>
      <w:r w:rsidR="001841F6">
        <w:t xml:space="preserve">Strict products liability, unlike negligence doctrine, </w:t>
      </w:r>
      <w:r w:rsidR="00756F40">
        <w:t xml:space="preserve">focuses on the </w:t>
      </w:r>
      <w:r w:rsidR="0032050F">
        <w:t xml:space="preserve">nature of the </w:t>
      </w:r>
      <w:r w:rsidR="00DD6B15">
        <w:t xml:space="preserve">product, and not the nature of the manufacturer’s conduct.  </w:t>
      </w:r>
      <w:r w:rsidR="00B22C87">
        <w:t>(</w:t>
      </w:r>
      <w:r w:rsidR="00B22C87">
        <w:rPr>
          <w:i/>
        </w:rPr>
        <w:t>Barker</w:t>
      </w:r>
      <w:r w:rsidR="00B22C87">
        <w:t xml:space="preserve">, </w:t>
      </w:r>
      <w:r w:rsidR="00B22C87">
        <w:rPr>
          <w:i/>
        </w:rPr>
        <w:t>supra</w:t>
      </w:r>
      <w:r w:rsidR="00B22C87">
        <w:t>, 20 Cal.3d at p.</w:t>
      </w:r>
      <w:r w:rsidR="0032191D">
        <w:t> </w:t>
      </w:r>
      <w:r w:rsidR="009961E7">
        <w:t xml:space="preserve">434.)  </w:t>
      </w:r>
      <w:r w:rsidR="00962C53">
        <w:rPr>
          <w:color w:val="000000"/>
          <w:szCs w:val="26"/>
          <w:shd w:val="clear" w:color="auto" w:fill="FFFFFF"/>
        </w:rPr>
        <w:t>This means that the fact “</w:t>
      </w:r>
      <w:r w:rsidR="00962C53" w:rsidRPr="00DE5A54">
        <w:rPr>
          <w:color w:val="000000"/>
          <w:szCs w:val="26"/>
          <w:shd w:val="clear" w:color="auto" w:fill="FFFFFF"/>
        </w:rPr>
        <w:t>the manufacturer took reasonable precautions in an attempt to design a safe product or otherwise acted as a reasonably prudent manufacturer would have under the circumstances</w:t>
      </w:r>
      <w:r w:rsidR="00962C53">
        <w:rPr>
          <w:color w:val="000000"/>
          <w:szCs w:val="26"/>
          <w:shd w:val="clear" w:color="auto" w:fill="FFFFFF"/>
        </w:rPr>
        <w:t xml:space="preserve">” </w:t>
      </w:r>
      <w:r w:rsidR="00512802">
        <w:rPr>
          <w:color w:val="000000"/>
          <w:szCs w:val="26"/>
          <w:shd w:val="clear" w:color="auto" w:fill="FFFFFF"/>
        </w:rPr>
        <w:t xml:space="preserve">does </w:t>
      </w:r>
      <w:r w:rsidR="00962C53">
        <w:rPr>
          <w:color w:val="000000"/>
          <w:szCs w:val="26"/>
          <w:shd w:val="clear" w:color="auto" w:fill="FFFFFF"/>
        </w:rPr>
        <w:t>not preclude a finding of design defect</w:t>
      </w:r>
      <w:r w:rsidR="00DA74E9">
        <w:rPr>
          <w:color w:val="000000"/>
          <w:szCs w:val="26"/>
          <w:shd w:val="clear" w:color="auto" w:fill="FFFFFF"/>
        </w:rPr>
        <w:t xml:space="preserve"> for which the manufacturer may be held strictly liable</w:t>
      </w:r>
      <w:r w:rsidR="00962C53">
        <w:rPr>
          <w:color w:val="000000"/>
          <w:szCs w:val="26"/>
          <w:shd w:val="clear" w:color="auto" w:fill="FFFFFF"/>
        </w:rPr>
        <w:t>.  (</w:t>
      </w:r>
      <w:r w:rsidR="003638BD" w:rsidRPr="003638BD">
        <w:rPr>
          <w:i/>
          <w:color w:val="000000"/>
          <w:szCs w:val="26"/>
          <w:shd w:val="clear" w:color="auto" w:fill="FFFFFF"/>
        </w:rPr>
        <w:t>Ibid</w:t>
      </w:r>
      <w:r w:rsidR="003638BD">
        <w:rPr>
          <w:color w:val="000000"/>
          <w:szCs w:val="26"/>
          <w:shd w:val="clear" w:color="auto" w:fill="FFFFFF"/>
        </w:rPr>
        <w:t>.</w:t>
      </w:r>
      <w:r w:rsidR="007178C3">
        <w:rPr>
          <w:color w:val="000000"/>
          <w:szCs w:val="26"/>
          <w:shd w:val="clear" w:color="auto" w:fill="FFFFFF"/>
        </w:rPr>
        <w:t>)</w:t>
      </w:r>
      <w:r w:rsidR="005E45FB">
        <w:rPr>
          <w:color w:val="000000"/>
          <w:szCs w:val="26"/>
          <w:shd w:val="clear" w:color="auto" w:fill="FFFFFF"/>
        </w:rPr>
        <w:t xml:space="preserve">  The </w:t>
      </w:r>
      <w:r w:rsidR="00027410">
        <w:rPr>
          <w:color w:val="000000"/>
          <w:szCs w:val="26"/>
          <w:shd w:val="clear" w:color="auto" w:fill="FFFFFF"/>
        </w:rPr>
        <w:t>issue</w:t>
      </w:r>
      <w:r w:rsidR="005E45FB">
        <w:rPr>
          <w:color w:val="000000"/>
          <w:szCs w:val="26"/>
          <w:shd w:val="clear" w:color="auto" w:fill="FFFFFF"/>
        </w:rPr>
        <w:t xml:space="preserve">, therefore, </w:t>
      </w:r>
      <w:r w:rsidR="00700075">
        <w:rPr>
          <w:color w:val="000000"/>
          <w:szCs w:val="26"/>
          <w:shd w:val="clear" w:color="auto" w:fill="FFFFFF"/>
        </w:rPr>
        <w:t xml:space="preserve">is not whether </w:t>
      </w:r>
      <w:r w:rsidR="005E45FB">
        <w:rPr>
          <w:color w:val="000000"/>
          <w:szCs w:val="26"/>
          <w:shd w:val="clear" w:color="auto" w:fill="FFFFFF"/>
        </w:rPr>
        <w:t xml:space="preserve">the manufacturer complied with a standard of care, as </w:t>
      </w:r>
      <w:r w:rsidR="00C617CB">
        <w:rPr>
          <w:color w:val="000000"/>
          <w:szCs w:val="26"/>
          <w:shd w:val="clear" w:color="auto" w:fill="FFFFFF"/>
        </w:rPr>
        <w:t xml:space="preserve">measured </w:t>
      </w:r>
      <w:r w:rsidR="005E45FB">
        <w:rPr>
          <w:color w:val="000000"/>
          <w:szCs w:val="26"/>
          <w:shd w:val="clear" w:color="auto" w:fill="FFFFFF"/>
        </w:rPr>
        <w:t xml:space="preserve">by prevailing industry standards, </w:t>
      </w:r>
      <w:r w:rsidR="00330B96">
        <w:rPr>
          <w:color w:val="000000"/>
          <w:szCs w:val="26"/>
          <w:shd w:val="clear" w:color="auto" w:fill="FFFFFF"/>
        </w:rPr>
        <w:t xml:space="preserve">but </w:t>
      </w:r>
      <w:r w:rsidR="006A637E">
        <w:t xml:space="preserve">instead whether “there is something ‘wrong’ with </w:t>
      </w:r>
      <w:r w:rsidR="003638BD">
        <w:t>a</w:t>
      </w:r>
      <w:r w:rsidR="006A637E">
        <w:t xml:space="preserve"> product’s design</w:t>
      </w:r>
      <w:r w:rsidR="007D1AB9">
        <w:t>—</w:t>
      </w:r>
      <w:r w:rsidR="006A637E">
        <w:t>either</w:t>
      </w:r>
      <w:r w:rsidR="007D1AB9">
        <w:t xml:space="preserve"> </w:t>
      </w:r>
      <w:r w:rsidR="006A637E">
        <w:lastRenderedPageBreak/>
        <w:t xml:space="preserve">because the product fails to meet ordinary consumer expectations as to safety or because, on balance, the design is not as safe as it should </w:t>
      </w:r>
      <w:proofErr w:type="gramStart"/>
      <w:r w:rsidR="006A637E">
        <w:t>be</w:t>
      </w:r>
      <w:r w:rsidR="00E37C93">
        <w:t xml:space="preserve"> .</w:t>
      </w:r>
      <w:proofErr w:type="gramEnd"/>
      <w:r w:rsidR="00E37C93">
        <w:t> . . .</w:t>
      </w:r>
      <w:r w:rsidR="006A637E">
        <w:t>”</w:t>
      </w:r>
      <w:r w:rsidR="00B12915">
        <w:t xml:space="preserve">  </w:t>
      </w:r>
      <w:r w:rsidR="006A637E">
        <w:t>(</w:t>
      </w:r>
      <w:r w:rsidR="003638BD" w:rsidRPr="003638BD">
        <w:rPr>
          <w:i/>
        </w:rPr>
        <w:t>Id</w:t>
      </w:r>
      <w:r w:rsidR="003638BD">
        <w:t>. a</w:t>
      </w:r>
      <w:r w:rsidR="006A637E">
        <w:t>t p.</w:t>
      </w:r>
      <w:r w:rsidR="0032191D">
        <w:t> </w:t>
      </w:r>
      <w:r w:rsidR="00B12915">
        <w:t>432.)</w:t>
      </w:r>
    </w:p>
    <w:p w14:paraId="166139DE" w14:textId="77777777" w:rsidR="00952BF8" w:rsidRDefault="00F23821" w:rsidP="00A07595">
      <w:r>
        <w:t>Without calling this basic</w:t>
      </w:r>
      <w:r w:rsidR="00DD6860">
        <w:t xml:space="preserve"> insight</w:t>
      </w:r>
      <w:r>
        <w:t xml:space="preserve"> into question, the court in </w:t>
      </w:r>
      <w:r w:rsidR="0000429A">
        <w:rPr>
          <w:i/>
        </w:rPr>
        <w:t>Howard</w:t>
      </w:r>
      <w:r w:rsidR="0000429A">
        <w:t xml:space="preserve"> correctly </w:t>
      </w:r>
      <w:r>
        <w:t xml:space="preserve">observed </w:t>
      </w:r>
      <w:r w:rsidR="0000429A">
        <w:t xml:space="preserve">that </w:t>
      </w:r>
      <w:r w:rsidR="00CE0EC6">
        <w:t xml:space="preserve">evidence of industry custom and practice </w:t>
      </w:r>
      <w:r w:rsidR="0000429A">
        <w:t xml:space="preserve">sometimes does </w:t>
      </w:r>
      <w:r w:rsidR="00CE0EC6">
        <w:t xml:space="preserve">shed light not just on the </w:t>
      </w:r>
      <w:r w:rsidR="00120FD3">
        <w:t>reasonableness of the manufacturer’s conduct in designing a product, but on the adequacy of the design itself.</w:t>
      </w:r>
      <w:r w:rsidR="00C845CA">
        <w:t xml:space="preserve">  </w:t>
      </w:r>
      <w:r w:rsidR="00A921C2">
        <w:rPr>
          <w:i/>
        </w:rPr>
        <w:t>Barker</w:t>
      </w:r>
      <w:r w:rsidR="00A921C2">
        <w:t xml:space="preserve">’s risk-benefit test calls on juries to consider </w:t>
      </w:r>
      <w:r w:rsidR="00E44021">
        <w:t xml:space="preserve">whether a design is safe enough, given </w:t>
      </w:r>
      <w:r w:rsidR="00A921C2">
        <w:t xml:space="preserve">“the relative complexity of design decisions and the trade-offs that are frequently required in the adoption of alternative designs.”  </w:t>
      </w:r>
      <w:r w:rsidR="0099356C">
        <w:t>(</w:t>
      </w:r>
      <w:r w:rsidR="0099356C">
        <w:rPr>
          <w:i/>
        </w:rPr>
        <w:t>Barker</w:t>
      </w:r>
      <w:r w:rsidR="0099356C">
        <w:t xml:space="preserve">, </w:t>
      </w:r>
      <w:r w:rsidR="0099356C">
        <w:rPr>
          <w:i/>
        </w:rPr>
        <w:t>supra</w:t>
      </w:r>
      <w:r w:rsidR="00BB3D49">
        <w:t>, 20 Cal.3d at p.</w:t>
      </w:r>
      <w:r w:rsidR="0032191D">
        <w:t> </w:t>
      </w:r>
      <w:r w:rsidR="00BB3D49">
        <w:t xml:space="preserve">418.)  </w:t>
      </w:r>
      <w:r w:rsidR="00A07595">
        <w:t>Depending on the circumstances, e</w:t>
      </w:r>
      <w:r w:rsidR="00E343C2">
        <w:t xml:space="preserve">vidence of </w:t>
      </w:r>
      <w:r w:rsidR="00A07595">
        <w:t xml:space="preserve">other manufacturers’ design decisions may </w:t>
      </w:r>
      <w:r w:rsidR="00AC0981">
        <w:t xml:space="preserve">aid </w:t>
      </w:r>
      <w:r w:rsidR="00896D5F">
        <w:t>the jury’s under</w:t>
      </w:r>
      <w:r w:rsidR="00AC0981">
        <w:t>standing of the</w:t>
      </w:r>
      <w:r w:rsidR="0000429A">
        <w:t>se</w:t>
      </w:r>
      <w:r w:rsidR="00896D5F">
        <w:t xml:space="preserve"> complexities and trade-offs</w:t>
      </w:r>
      <w:r w:rsidR="00AE46D7">
        <w:t xml:space="preserve">, and </w:t>
      </w:r>
      <w:r w:rsidR="0000429A">
        <w:t xml:space="preserve">thus may provide some assistance </w:t>
      </w:r>
      <w:r w:rsidR="00AE46D7">
        <w:t xml:space="preserve">in determining whether the manufacturer has balanced the relevant considerations correctly.  (See </w:t>
      </w:r>
      <w:r w:rsidR="00AE46D7">
        <w:rPr>
          <w:i/>
        </w:rPr>
        <w:t>Howard</w:t>
      </w:r>
      <w:r w:rsidR="00AE46D7">
        <w:t xml:space="preserve">, </w:t>
      </w:r>
      <w:r w:rsidR="00AE46D7">
        <w:rPr>
          <w:i/>
        </w:rPr>
        <w:t>supra</w:t>
      </w:r>
      <w:r w:rsidR="00AE46D7">
        <w:t>, 203 Cal.App.4th at p.</w:t>
      </w:r>
      <w:r w:rsidR="0032191D">
        <w:t> </w:t>
      </w:r>
      <w:r w:rsidR="00AE46D7">
        <w:t>426</w:t>
      </w:r>
      <w:r w:rsidR="00F82BE6">
        <w:t xml:space="preserve">; cf. </w:t>
      </w:r>
      <w:r w:rsidR="00F82BE6">
        <w:rPr>
          <w:i/>
        </w:rPr>
        <w:t>Soule</w:t>
      </w:r>
      <w:r w:rsidR="00F82BE6">
        <w:t xml:space="preserve">, </w:t>
      </w:r>
      <w:r w:rsidR="00F82BE6">
        <w:rPr>
          <w:i/>
        </w:rPr>
        <w:t>supra</w:t>
      </w:r>
      <w:r w:rsidR="00F82BE6">
        <w:t xml:space="preserve">, 8 Cal.4th </w:t>
      </w:r>
      <w:r w:rsidR="007C5611">
        <w:t>at p. </w:t>
      </w:r>
      <w:r w:rsidR="00F82BE6">
        <w:t xml:space="preserve">567, fn. 4 [under </w:t>
      </w:r>
      <w:r w:rsidR="00F82BE6">
        <w:rPr>
          <w:i/>
        </w:rPr>
        <w:t>Barker</w:t>
      </w:r>
      <w:r w:rsidR="00F82BE6">
        <w:t>, “juries receive expert advice, apply clear guidelines, and decide accordingly whether the product’s design is an acceptable compromise of competing considerations”]</w:t>
      </w:r>
      <w:r w:rsidR="00AE46D7">
        <w:t xml:space="preserve">.) </w:t>
      </w:r>
    </w:p>
    <w:p w14:paraId="2AF5BCA3" w14:textId="77777777" w:rsidR="00373770" w:rsidRPr="0095197E" w:rsidRDefault="00A81F67" w:rsidP="00F67118">
      <w:r>
        <w:t>Notably, t</w:t>
      </w:r>
      <w:r w:rsidR="00AC14DE">
        <w:t xml:space="preserve">he </w:t>
      </w:r>
      <w:proofErr w:type="spellStart"/>
      <w:r w:rsidR="00AC14DE">
        <w:t>Kims</w:t>
      </w:r>
      <w:proofErr w:type="spellEnd"/>
      <w:r w:rsidR="00AC14DE">
        <w:t xml:space="preserve"> do not dispute </w:t>
      </w:r>
      <w:r w:rsidR="00E050E8">
        <w:t>that “[e]</w:t>
      </w:r>
      <w:proofErr w:type="spellStart"/>
      <w:r w:rsidR="00E050E8">
        <w:t>vidence</w:t>
      </w:r>
      <w:proofErr w:type="spellEnd"/>
      <w:r w:rsidR="00E050E8">
        <w:t xml:space="preserve"> of technical </w:t>
      </w:r>
      <w:proofErr w:type="gramStart"/>
      <w:r w:rsidR="00E050E8">
        <w:t xml:space="preserve">standards </w:t>
      </w:r>
      <w:r w:rsidR="007D61DA">
        <w:t>.</w:t>
      </w:r>
      <w:proofErr w:type="gramEnd"/>
      <w:r w:rsidR="0032191D">
        <w:t> </w:t>
      </w:r>
      <w:r w:rsidR="007D61DA">
        <w:t>.</w:t>
      </w:r>
      <w:r w:rsidR="0032191D">
        <w:t> </w:t>
      </w:r>
      <w:r w:rsidR="007D61DA">
        <w:t xml:space="preserve">. may legitimately be cited as evidence of industry research or experience in balancing safety, feasibility, cost and functionality,” </w:t>
      </w:r>
      <w:r w:rsidR="004F1352">
        <w:t xml:space="preserve">at least </w:t>
      </w:r>
      <w:r w:rsidR="007D61DA">
        <w:t xml:space="preserve">depending on the quality </w:t>
      </w:r>
      <w:r w:rsidR="007475B5">
        <w:t xml:space="preserve">of the </w:t>
      </w:r>
      <w:r w:rsidR="004F1352">
        <w:t xml:space="preserve">research and testing underlying development of the </w:t>
      </w:r>
      <w:r w:rsidR="003D4B4F">
        <w:t xml:space="preserve">standards.  They also </w:t>
      </w:r>
      <w:r w:rsidR="00473217">
        <w:t xml:space="preserve">concede </w:t>
      </w:r>
      <w:r w:rsidR="00815ACD">
        <w:t>that what they call “industry experience” evidence is relevant to the inquiry—that is, evidence that “competitors tried to produce a safer alternative design but the design malfunctioned, imposed unsustainable costs, or made the product less efficient.”</w:t>
      </w:r>
      <w:r w:rsidR="000E5B7B">
        <w:t xml:space="preserve">  </w:t>
      </w:r>
      <w:r w:rsidR="002837A4">
        <w:t xml:space="preserve">They acknowledge that such evidence would be relevant to </w:t>
      </w:r>
      <w:r w:rsidR="00686937">
        <w:t xml:space="preserve">the jury’s </w:t>
      </w:r>
      <w:r w:rsidR="0095197E">
        <w:t xml:space="preserve">consideration of the </w:t>
      </w:r>
      <w:r w:rsidR="002837A4">
        <w:t>feasibility of a safer alternative design</w:t>
      </w:r>
      <w:r w:rsidR="0095197E">
        <w:t xml:space="preserve"> and the </w:t>
      </w:r>
      <w:r w:rsidR="0095197E">
        <w:lastRenderedPageBreak/>
        <w:t xml:space="preserve">adverse consequences of adopting an alternative design, two of the factors </w:t>
      </w:r>
      <w:r w:rsidR="00DD6860">
        <w:t xml:space="preserve">laid out </w:t>
      </w:r>
      <w:r w:rsidR="0095197E">
        <w:t xml:space="preserve">in </w:t>
      </w:r>
      <w:r w:rsidR="0095197E">
        <w:rPr>
          <w:i/>
        </w:rPr>
        <w:t>Barker</w:t>
      </w:r>
      <w:r w:rsidR="0095197E">
        <w:t>.</w:t>
      </w:r>
    </w:p>
    <w:p w14:paraId="30527B87" w14:textId="77777777" w:rsidR="006524D9" w:rsidRDefault="00373770" w:rsidP="00F67118">
      <w:r>
        <w:t xml:space="preserve">The </w:t>
      </w:r>
      <w:proofErr w:type="spellStart"/>
      <w:r>
        <w:t>Kims</w:t>
      </w:r>
      <w:proofErr w:type="spellEnd"/>
      <w:r>
        <w:t xml:space="preserve">’ objection </w:t>
      </w:r>
      <w:r w:rsidR="00AD673B">
        <w:t xml:space="preserve">instead </w:t>
      </w:r>
      <w:r>
        <w:t xml:space="preserve">centers on </w:t>
      </w:r>
      <w:r w:rsidR="00E70A6E">
        <w:t>what they refer to as “[t]rue industry custom evidence”</w:t>
      </w:r>
      <w:proofErr w:type="gramStart"/>
      <w:r w:rsidR="00E70A6E">
        <w:t>:  “</w:t>
      </w:r>
      <w:proofErr w:type="gramEnd"/>
      <w:r w:rsidR="00E70A6E">
        <w:t>evidence that ‘nobody does it,’ that ‘</w:t>
      </w:r>
      <w:proofErr w:type="spellStart"/>
      <w:r w:rsidR="00E70A6E">
        <w:t>every body</w:t>
      </w:r>
      <w:proofErr w:type="spellEnd"/>
      <w:r w:rsidR="00E70A6E">
        <w:t xml:space="preserve"> does it,’ or that the defendant’s product is no more dangerous than others on the market.”  It is that sort of evidence </w:t>
      </w:r>
      <w:r w:rsidR="00530BBD">
        <w:t>that</w:t>
      </w:r>
      <w:r w:rsidR="00AD673B">
        <w:t xml:space="preserve"> cases like</w:t>
      </w:r>
      <w:r w:rsidR="00530BBD">
        <w:t xml:space="preserve"> </w:t>
      </w:r>
      <w:r w:rsidR="001148F4">
        <w:rPr>
          <w:i/>
        </w:rPr>
        <w:t>Titus</w:t>
      </w:r>
      <w:r w:rsidR="00FE1A1C">
        <w:t xml:space="preserve"> and </w:t>
      </w:r>
      <w:proofErr w:type="spellStart"/>
      <w:r w:rsidR="00FE1A1C">
        <w:rPr>
          <w:i/>
        </w:rPr>
        <w:t>Grimshaw</w:t>
      </w:r>
      <w:proofErr w:type="spellEnd"/>
      <w:r w:rsidR="004C643B">
        <w:t xml:space="preserve"> held inadmissible, </w:t>
      </w:r>
      <w:r w:rsidR="00693151">
        <w:t xml:space="preserve">they argue, and </w:t>
      </w:r>
      <w:r w:rsidR="00775689">
        <w:t xml:space="preserve">for good reason, because it is “indistinguishable from standard-of-care evidence.”  Such evidence, the </w:t>
      </w:r>
      <w:proofErr w:type="spellStart"/>
      <w:r w:rsidR="00775689">
        <w:t>Kims</w:t>
      </w:r>
      <w:proofErr w:type="spellEnd"/>
      <w:r w:rsidR="00775689">
        <w:t xml:space="preserve"> reason, “guarantees that jurors will be distracted from the details of feasibility, cost and relative safety to a ‘reasonable manufacturer’ standard, allowing defendants to successfully argue that the product must be safe because ‘everybody does it.</w:t>
      </w:r>
      <w:proofErr w:type="gramStart"/>
      <w:r w:rsidR="00775689">
        <w:t>’</w:t>
      </w:r>
      <w:r w:rsidR="0032191D">
        <w:t> </w:t>
      </w:r>
      <w:r w:rsidR="00775689">
        <w:t>”</w:t>
      </w:r>
      <w:proofErr w:type="gramEnd"/>
      <w:r w:rsidR="00775689">
        <w:t xml:space="preserve">  </w:t>
      </w:r>
    </w:p>
    <w:p w14:paraId="6759BA5D" w14:textId="4DF7F211" w:rsidR="00913E89" w:rsidRDefault="006524D9" w:rsidP="00F67118">
      <w:r>
        <w:t>We</w:t>
      </w:r>
      <w:r w:rsidR="007A2CA9">
        <w:t xml:space="preserve"> </w:t>
      </w:r>
      <w:r w:rsidR="00E95D4E">
        <w:t xml:space="preserve">agree with </w:t>
      </w:r>
      <w:r w:rsidR="007A2CA9">
        <w:t xml:space="preserve">the Court of Appeal </w:t>
      </w:r>
      <w:r w:rsidR="00B455DE">
        <w:t>that this category of evidence</w:t>
      </w:r>
      <w:r w:rsidR="00887B60">
        <w:t xml:space="preserve"> </w:t>
      </w:r>
      <w:r w:rsidR="00A21912">
        <w:t xml:space="preserve">may, depending on the circumstances, </w:t>
      </w:r>
      <w:r w:rsidR="00BD4450">
        <w:t xml:space="preserve">be </w:t>
      </w:r>
      <w:r w:rsidR="00CD5D85">
        <w:t>admissible</w:t>
      </w:r>
      <w:r w:rsidR="003C01BD">
        <w:t>.</w:t>
      </w:r>
      <w:r w:rsidR="0044683E">
        <w:t xml:space="preserve">  </w:t>
      </w:r>
      <w:r w:rsidR="0048754A">
        <w:t>It</w:t>
      </w:r>
      <w:r w:rsidR="00E95D4E">
        <w:t xml:space="preserve"> is not clear why we would </w:t>
      </w:r>
      <w:r w:rsidR="0000429A">
        <w:t xml:space="preserve">cordon off </w:t>
      </w:r>
      <w:r w:rsidR="00AD3C72">
        <w:t>this category of evidence</w:t>
      </w:r>
      <w:r w:rsidR="00773753">
        <w:t xml:space="preserve"> </w:t>
      </w:r>
      <w:r w:rsidR="0000429A">
        <w:t>from</w:t>
      </w:r>
      <w:r w:rsidR="00686937">
        <w:t xml:space="preserve">, for example, </w:t>
      </w:r>
      <w:r w:rsidR="00AD3C72">
        <w:t xml:space="preserve">the category of </w:t>
      </w:r>
      <w:r w:rsidR="00687DEF">
        <w:t xml:space="preserve">industry </w:t>
      </w:r>
      <w:r w:rsidR="00AD3C72">
        <w:t xml:space="preserve">standards </w:t>
      </w:r>
      <w:r w:rsidR="00687DEF">
        <w:t>promulgated by trade associations</w:t>
      </w:r>
      <w:r w:rsidR="00686937">
        <w:t xml:space="preserve">, which the </w:t>
      </w:r>
      <w:proofErr w:type="spellStart"/>
      <w:r w:rsidR="00686937">
        <w:t>Kims</w:t>
      </w:r>
      <w:proofErr w:type="spellEnd"/>
      <w:r w:rsidR="00686937">
        <w:t xml:space="preserve"> regard as acceptable</w:t>
      </w:r>
      <w:r w:rsidR="00E95D4E">
        <w:t xml:space="preserve">.  </w:t>
      </w:r>
      <w:r w:rsidR="00687DEF">
        <w:t xml:space="preserve">“After all,” as the Court of Appeal noted, “trade associations consist of manufacturers and other businesses whose conduct comprises the industry custom and practice.”  </w:t>
      </w:r>
      <w:r w:rsidR="00942E68">
        <w:t xml:space="preserve">And more to the point, </w:t>
      </w:r>
      <w:r w:rsidR="0053404B">
        <w:t xml:space="preserve">such industry custom and practice evidence may be relevant </w:t>
      </w:r>
      <w:r w:rsidR="00C54852">
        <w:t>in a strict liability design defect case</w:t>
      </w:r>
      <w:r w:rsidR="0053404B">
        <w:t xml:space="preserve">—even if not dispositive—for much the same reason as </w:t>
      </w:r>
      <w:r w:rsidR="00016D32">
        <w:t>industry standards evidence</w:t>
      </w:r>
      <w:r w:rsidR="009F762E">
        <w:t xml:space="preserve">:  because it illuminates </w:t>
      </w:r>
      <w:r w:rsidR="00B6769E">
        <w:t>“the relative complexity of design decisions and the trade-offs that are frequently required in the adoption of alternative designs.”  (</w:t>
      </w:r>
      <w:r w:rsidR="00B6769E">
        <w:rPr>
          <w:i/>
        </w:rPr>
        <w:t>Barker</w:t>
      </w:r>
      <w:r w:rsidR="00B6769E">
        <w:t xml:space="preserve">, </w:t>
      </w:r>
      <w:r w:rsidR="00B6769E">
        <w:rPr>
          <w:i/>
        </w:rPr>
        <w:t>supra</w:t>
      </w:r>
      <w:r w:rsidR="00B6769E">
        <w:t xml:space="preserve">, 20 Cal.3d at p. 418.)  </w:t>
      </w:r>
      <w:r w:rsidR="003C01BD">
        <w:t xml:space="preserve">Perhaps the best illustration </w:t>
      </w:r>
      <w:r w:rsidR="00FF7F63">
        <w:t>of th</w:t>
      </w:r>
      <w:r w:rsidR="00E37C93">
        <w:t>is</w:t>
      </w:r>
      <w:r w:rsidR="00FF7F63">
        <w:t xml:space="preserve"> point </w:t>
      </w:r>
      <w:r w:rsidR="00E518E8">
        <w:t xml:space="preserve">is the fact that the </w:t>
      </w:r>
      <w:proofErr w:type="spellStart"/>
      <w:r w:rsidR="00E518E8">
        <w:t>Kims</w:t>
      </w:r>
      <w:proofErr w:type="spellEnd"/>
      <w:r w:rsidR="00E518E8">
        <w:t xml:space="preserve"> themselves </w:t>
      </w:r>
      <w:r w:rsidR="00640F50">
        <w:t xml:space="preserve">introduced precisely this </w:t>
      </w:r>
      <w:r w:rsidR="00C058F7">
        <w:t xml:space="preserve">sort of </w:t>
      </w:r>
      <w:r w:rsidR="007E2C60">
        <w:t xml:space="preserve">evidence at trial </w:t>
      </w:r>
      <w:r w:rsidR="00B60F51">
        <w:t xml:space="preserve">in an effort to </w:t>
      </w:r>
      <w:r w:rsidR="0075095F">
        <w:t xml:space="preserve">bolster their argument </w:t>
      </w:r>
      <w:r w:rsidR="00966FDD">
        <w:t>that Toyota</w:t>
      </w:r>
      <w:r w:rsidR="004E0CD8">
        <w:t xml:space="preserve"> </w:t>
      </w:r>
      <w:r w:rsidR="0075095F">
        <w:t xml:space="preserve">designed the Tundra without standard VSC </w:t>
      </w:r>
      <w:r w:rsidR="004E0CD8">
        <w:t xml:space="preserve">because </w:t>
      </w:r>
      <w:r w:rsidR="00A026F5">
        <w:t>it valued profits over safety</w:t>
      </w:r>
      <w:r w:rsidR="001D1FCC">
        <w:t xml:space="preserve">.  </w:t>
      </w:r>
      <w:r w:rsidR="005C7264">
        <w:t xml:space="preserve">Although </w:t>
      </w:r>
      <w:r w:rsidR="00466B1C">
        <w:t xml:space="preserve">Toyota’s actual reasons </w:t>
      </w:r>
      <w:r w:rsidR="00C410AE">
        <w:t xml:space="preserve">for designing the Tundra as it did are not dispositive of the </w:t>
      </w:r>
      <w:r w:rsidR="00951B24">
        <w:t xml:space="preserve">ultimate question whether, objectively </w:t>
      </w:r>
      <w:r w:rsidR="00951B24">
        <w:lastRenderedPageBreak/>
        <w:t xml:space="preserve">speaking, </w:t>
      </w:r>
      <w:r w:rsidR="00AD2838">
        <w:t xml:space="preserve">the Tundra was designed as safely as it should have been, </w:t>
      </w:r>
      <w:r w:rsidR="00430173">
        <w:t xml:space="preserve">the </w:t>
      </w:r>
      <w:proofErr w:type="spellStart"/>
      <w:r w:rsidR="00430173">
        <w:t>Kims</w:t>
      </w:r>
      <w:proofErr w:type="spellEnd"/>
      <w:r w:rsidR="00430173">
        <w:t xml:space="preserve"> do not </w:t>
      </w:r>
      <w:r w:rsidR="007259B2">
        <w:t xml:space="preserve">(and could not) </w:t>
      </w:r>
      <w:r w:rsidR="00430173">
        <w:t xml:space="preserve">dispute that </w:t>
      </w:r>
      <w:r w:rsidR="00BE1C58">
        <w:t xml:space="preserve">the evidence was relevant to the </w:t>
      </w:r>
      <w:r w:rsidR="00C54852">
        <w:t>jury’s consideration of the issue</w:t>
      </w:r>
      <w:r w:rsidR="00BE1C58">
        <w:t>.</w:t>
      </w:r>
    </w:p>
    <w:p w14:paraId="784F7732" w14:textId="77777777" w:rsidR="00097EE0" w:rsidRDefault="0038224E" w:rsidP="00F67118">
      <w:r>
        <w:t xml:space="preserve">In </w:t>
      </w:r>
      <w:r w:rsidR="004212E8">
        <w:t xml:space="preserve">what may be a more common scenario, </w:t>
      </w:r>
      <w:r w:rsidR="001E0A15">
        <w:t>plaintiff</w:t>
      </w:r>
      <w:r w:rsidR="004262BF">
        <w:t>s</w:t>
      </w:r>
      <w:r w:rsidR="001E0A15">
        <w:t xml:space="preserve"> might legitimately </w:t>
      </w:r>
      <w:r w:rsidR="007F3EAF">
        <w:t xml:space="preserve">seek to inform the jury that </w:t>
      </w:r>
      <w:r w:rsidR="00563C1B">
        <w:t xml:space="preserve">the defendant </w:t>
      </w:r>
      <w:r w:rsidR="001E0A15">
        <w:t xml:space="preserve">has not implemented </w:t>
      </w:r>
      <w:r w:rsidR="000E4008">
        <w:t>a safety feature that is standard in the industry</w:t>
      </w:r>
      <w:r w:rsidR="00A3316F">
        <w:t xml:space="preserve">.  </w:t>
      </w:r>
      <w:r w:rsidR="00C27F6B">
        <w:t xml:space="preserve">Here, the </w:t>
      </w:r>
      <w:proofErr w:type="spellStart"/>
      <w:r w:rsidR="00C27F6B">
        <w:t>Kims</w:t>
      </w:r>
      <w:proofErr w:type="spellEnd"/>
      <w:r w:rsidR="00C27F6B">
        <w:t xml:space="preserve"> </w:t>
      </w:r>
      <w:r w:rsidR="004262BF">
        <w:t xml:space="preserve">made this sort of claim when they introduced evidence that </w:t>
      </w:r>
      <w:r w:rsidR="00404992">
        <w:t>all major auto manufacturers</w:t>
      </w:r>
      <w:r w:rsidR="00D64F5D">
        <w:t>, including Toyota,</w:t>
      </w:r>
      <w:r w:rsidR="00AA29C8">
        <w:t xml:space="preserve"> equipped SUVs with standard VSC, and ask</w:t>
      </w:r>
      <w:r w:rsidR="004262BF">
        <w:t>ed</w:t>
      </w:r>
      <w:r w:rsidR="00AA29C8">
        <w:t xml:space="preserve"> the jury to infer from relevant similarities between SUVs and pickup trucks that VSC should have been made standard on the 2005 Tundra as well.</w:t>
      </w:r>
      <w:r w:rsidR="00D47501">
        <w:t xml:space="preserve">  </w:t>
      </w:r>
      <w:r w:rsidR="00221EF5">
        <w:t>Again, such evidence could not be dispositive; perhaps other manufacturers have chosen, for whatever reason, to incur unnecessary costs</w:t>
      </w:r>
      <w:r w:rsidR="00243B3E">
        <w:t xml:space="preserve"> for miniscule safety gains</w:t>
      </w:r>
      <w:r w:rsidR="00221EF5">
        <w:t>, or perhaps the unique design of the defendant’s product makes the industry-standard feature redundant.</w:t>
      </w:r>
      <w:r w:rsidR="00243B3E">
        <w:t xml:space="preserve">  But </w:t>
      </w:r>
      <w:r w:rsidR="00531E39">
        <w:t>plaintiff</w:t>
      </w:r>
      <w:r w:rsidR="004262BF">
        <w:t>s</w:t>
      </w:r>
      <w:r w:rsidR="00531E39">
        <w:t xml:space="preserve"> would surely be </w:t>
      </w:r>
      <w:r w:rsidR="004262BF">
        <w:t xml:space="preserve">within their rights </w:t>
      </w:r>
      <w:r w:rsidR="00531E39">
        <w:t xml:space="preserve">in </w:t>
      </w:r>
      <w:r w:rsidR="00510803">
        <w:t xml:space="preserve">asking the jury to </w:t>
      </w:r>
      <w:r w:rsidR="00961EC0">
        <w:t>make the comparison</w:t>
      </w:r>
      <w:r w:rsidR="00510803">
        <w:t xml:space="preserve"> and to draw </w:t>
      </w:r>
      <w:r w:rsidR="00AA1926">
        <w:t xml:space="preserve">reasonable </w:t>
      </w:r>
      <w:r w:rsidR="00510803">
        <w:t xml:space="preserve">inferences </w:t>
      </w:r>
      <w:r w:rsidR="0082609C">
        <w:t xml:space="preserve">from the widespread adoption of </w:t>
      </w:r>
      <w:r w:rsidR="00F46A28">
        <w:t>a safety feature missing from the defendant’s product.</w:t>
      </w:r>
    </w:p>
    <w:p w14:paraId="1B9CAB35" w14:textId="56931F68" w:rsidR="00163294" w:rsidRPr="00163294" w:rsidRDefault="000A0606" w:rsidP="000304A7">
      <w:r>
        <w:t xml:space="preserve">By the same token, </w:t>
      </w:r>
      <w:r w:rsidR="00783F9F">
        <w:t xml:space="preserve">a defendant might point to </w:t>
      </w:r>
      <w:r w:rsidR="00763C8A">
        <w:t xml:space="preserve">the fact that a </w:t>
      </w:r>
      <w:r w:rsidR="00295838">
        <w:t xml:space="preserve">particular </w:t>
      </w:r>
      <w:r w:rsidR="00763C8A">
        <w:t xml:space="preserve">safety feature is not standard in the </w:t>
      </w:r>
      <w:r w:rsidR="00310598">
        <w:t>industry as</w:t>
      </w:r>
      <w:r w:rsidR="00763C8A">
        <w:t xml:space="preserve"> some evidence of </w:t>
      </w:r>
      <w:r w:rsidR="00295838">
        <w:t xml:space="preserve">whether the challenged design embodies excess preventable danger under </w:t>
      </w:r>
      <w:r w:rsidR="00295838">
        <w:rPr>
          <w:i/>
        </w:rPr>
        <w:t>Barker</w:t>
      </w:r>
      <w:r w:rsidR="00295838">
        <w:t xml:space="preserve">.  </w:t>
      </w:r>
      <w:r w:rsidR="000304A7">
        <w:t>The probative value of such evidence may well vary from case to case</w:t>
      </w:r>
      <w:r w:rsidR="0075095F">
        <w:t xml:space="preserve">, and </w:t>
      </w:r>
      <w:r w:rsidR="000304A7">
        <w:t xml:space="preserve">in some cases the relationship between industry design practices and </w:t>
      </w:r>
      <w:r w:rsidR="004262BF">
        <w:t xml:space="preserve">consideration of </w:t>
      </w:r>
      <w:r w:rsidR="000304A7">
        <w:t xml:space="preserve">the </w:t>
      </w:r>
      <w:r w:rsidR="000304A7">
        <w:rPr>
          <w:i/>
        </w:rPr>
        <w:t>Barker</w:t>
      </w:r>
      <w:r w:rsidR="000304A7">
        <w:t xml:space="preserve"> factors may be </w:t>
      </w:r>
      <w:r w:rsidR="00295838">
        <w:t xml:space="preserve">sufficiently </w:t>
      </w:r>
      <w:r w:rsidR="000304A7">
        <w:t xml:space="preserve">attenuated to warrant exclusion of the evidence.  </w:t>
      </w:r>
      <w:bookmarkStart w:id="1" w:name="_Hlk522282659"/>
      <w:r w:rsidR="000304A7">
        <w:t xml:space="preserve">But </w:t>
      </w:r>
      <w:r w:rsidR="00483749">
        <w:t>in cases</w:t>
      </w:r>
      <w:r w:rsidR="00163294">
        <w:t xml:space="preserve"> </w:t>
      </w:r>
      <w:r w:rsidR="00483749">
        <w:t xml:space="preserve">such as this one, competing manufacturers’ </w:t>
      </w:r>
      <w:r w:rsidR="00295838">
        <w:t xml:space="preserve">independent </w:t>
      </w:r>
      <w:r w:rsidR="00483749">
        <w:t xml:space="preserve">design decisions </w:t>
      </w:r>
      <w:r w:rsidR="00295838">
        <w:t xml:space="preserve">may </w:t>
      </w:r>
      <w:r w:rsidR="00483749">
        <w:t xml:space="preserve">reflect their own research or experience in balancing safety, </w:t>
      </w:r>
      <w:r w:rsidR="00295838">
        <w:t xml:space="preserve">cost, and functionality, and thus shed some light on the appropriate balance of safety risks and benefits in much the same manner as evidence of industry-wide technical </w:t>
      </w:r>
      <w:r w:rsidR="00295838">
        <w:lastRenderedPageBreak/>
        <w:t>standards.</w:t>
      </w:r>
      <w:bookmarkEnd w:id="1"/>
      <w:r w:rsidR="00F649C6">
        <w:rPr>
          <w:rStyle w:val="FootnoteReference"/>
        </w:rPr>
        <w:footnoteReference w:id="6"/>
      </w:r>
      <w:r w:rsidR="00163294">
        <w:t xml:space="preserve">  Again, such evidence cannot be dispositive; perhaps the entire industry has “unduly lagged” in adopting feasible safety technologies.  </w:t>
      </w:r>
      <w:r w:rsidR="00163294">
        <w:rPr>
          <w:color w:val="000000"/>
          <w:szCs w:val="26"/>
          <w:shd w:val="clear" w:color="auto" w:fill="FFFFFF"/>
        </w:rPr>
        <w:t>(</w:t>
      </w:r>
      <w:r w:rsidR="00163294" w:rsidRPr="00AF464F">
        <w:rPr>
          <w:i/>
          <w:color w:val="000000"/>
          <w:szCs w:val="26"/>
          <w:shd w:val="clear" w:color="auto" w:fill="FFFFFF"/>
        </w:rPr>
        <w:t>The T.</w:t>
      </w:r>
      <w:r w:rsidR="00163294">
        <w:t> </w:t>
      </w:r>
      <w:r w:rsidR="00163294" w:rsidRPr="00AF464F">
        <w:rPr>
          <w:i/>
          <w:color w:val="000000"/>
          <w:szCs w:val="26"/>
          <w:shd w:val="clear" w:color="auto" w:fill="FFFFFF"/>
        </w:rPr>
        <w:t>J. Hooper</w:t>
      </w:r>
      <w:r w:rsidR="00163294">
        <w:rPr>
          <w:i/>
          <w:color w:val="000000"/>
          <w:szCs w:val="26"/>
          <w:shd w:val="clear" w:color="auto" w:fill="FFFFFF"/>
        </w:rPr>
        <w:t xml:space="preserve"> </w:t>
      </w:r>
      <w:r w:rsidR="00163294">
        <w:rPr>
          <w:color w:val="000000"/>
          <w:szCs w:val="26"/>
          <w:shd w:val="clear" w:color="auto" w:fill="FFFFFF"/>
        </w:rPr>
        <w:t>(2d Cir. 1932)</w:t>
      </w:r>
      <w:r w:rsidR="00163294" w:rsidRPr="00AF464F">
        <w:rPr>
          <w:color w:val="000000"/>
          <w:szCs w:val="26"/>
          <w:shd w:val="clear" w:color="auto" w:fill="FFFFFF"/>
        </w:rPr>
        <w:t xml:space="preserve"> 60 F.2d 737, 740</w:t>
      </w:r>
      <w:r w:rsidR="00163294">
        <w:rPr>
          <w:color w:val="000000"/>
          <w:szCs w:val="26"/>
          <w:shd w:val="clear" w:color="auto" w:fill="FFFFFF"/>
        </w:rPr>
        <w:t xml:space="preserve">.)  But </w:t>
      </w:r>
      <w:r w:rsidR="00486714">
        <w:rPr>
          <w:color w:val="000000"/>
          <w:szCs w:val="26"/>
          <w:shd w:val="clear" w:color="auto" w:fill="FFFFFF"/>
        </w:rPr>
        <w:t xml:space="preserve">although counsel may argue that industry standards “can and should be more stringent,” </w:t>
      </w:r>
      <w:r w:rsidR="00163294">
        <w:rPr>
          <w:color w:val="000000"/>
          <w:szCs w:val="26"/>
          <w:shd w:val="clear" w:color="auto" w:fill="FFFFFF"/>
        </w:rPr>
        <w:t>“[e]</w:t>
      </w:r>
      <w:proofErr w:type="spellStart"/>
      <w:r w:rsidR="00163294">
        <w:rPr>
          <w:color w:val="000000"/>
          <w:szCs w:val="26"/>
          <w:shd w:val="clear" w:color="auto" w:fill="FFFFFF"/>
        </w:rPr>
        <w:t>vidence</w:t>
      </w:r>
      <w:proofErr w:type="spellEnd"/>
      <w:r w:rsidR="00163294">
        <w:rPr>
          <w:color w:val="000000"/>
          <w:szCs w:val="26"/>
          <w:shd w:val="clear" w:color="auto" w:fill="FFFFFF"/>
        </w:rPr>
        <w:t xml:space="preserve"> that all product designers in the industry balance the competing factors in a particular way clearly is relevant to the issue before the jury.”  (</w:t>
      </w:r>
      <w:r w:rsidR="00163294">
        <w:rPr>
          <w:i/>
          <w:color w:val="000000"/>
          <w:szCs w:val="26"/>
          <w:shd w:val="clear" w:color="auto" w:fill="FFFFFF"/>
        </w:rPr>
        <w:t>Back v. Wickes</w:t>
      </w:r>
      <w:r w:rsidR="001F7CB7">
        <w:rPr>
          <w:i/>
          <w:color w:val="000000"/>
          <w:szCs w:val="26"/>
          <w:shd w:val="clear" w:color="auto" w:fill="FFFFFF"/>
        </w:rPr>
        <w:t xml:space="preserve"> Corp.</w:t>
      </w:r>
      <w:r w:rsidR="00486714">
        <w:rPr>
          <w:color w:val="000000"/>
          <w:szCs w:val="26"/>
          <w:shd w:val="clear" w:color="auto" w:fill="FFFFFF"/>
        </w:rPr>
        <w:t xml:space="preserve"> (</w:t>
      </w:r>
      <w:r w:rsidR="00163294">
        <w:rPr>
          <w:color w:val="000000"/>
          <w:szCs w:val="26"/>
          <w:shd w:val="clear" w:color="auto" w:fill="FFFFFF"/>
        </w:rPr>
        <w:t xml:space="preserve">1978) </w:t>
      </w:r>
      <w:r w:rsidR="00486714" w:rsidRPr="005B5596">
        <w:t>375 Mass. 633, 642–643</w:t>
      </w:r>
      <w:r w:rsidR="00486714">
        <w:t>.)</w:t>
      </w:r>
    </w:p>
    <w:p w14:paraId="6460D569" w14:textId="77777777" w:rsidR="00E86EF6" w:rsidRDefault="00F82BE6" w:rsidP="00F67118">
      <w:pPr>
        <w:rPr>
          <w:color w:val="000000"/>
          <w:szCs w:val="26"/>
          <w:shd w:val="clear" w:color="auto" w:fill="FFFFFF"/>
        </w:rPr>
      </w:pPr>
      <w:r>
        <w:rPr>
          <w:color w:val="000000"/>
          <w:szCs w:val="26"/>
          <w:shd w:val="clear" w:color="auto" w:fill="FFFFFF"/>
        </w:rPr>
        <w:t>Some of t</w:t>
      </w:r>
      <w:r w:rsidR="004D7EFF">
        <w:rPr>
          <w:color w:val="000000"/>
          <w:szCs w:val="26"/>
          <w:shd w:val="clear" w:color="auto" w:fill="FFFFFF"/>
        </w:rPr>
        <w:t xml:space="preserve">he older </w:t>
      </w:r>
      <w:r>
        <w:rPr>
          <w:color w:val="000000"/>
          <w:szCs w:val="26"/>
          <w:shd w:val="clear" w:color="auto" w:fill="FFFFFF"/>
        </w:rPr>
        <w:t xml:space="preserve">cases raised concerns </w:t>
      </w:r>
      <w:r w:rsidR="00B86F88">
        <w:rPr>
          <w:color w:val="000000"/>
          <w:szCs w:val="26"/>
          <w:shd w:val="clear" w:color="auto" w:fill="FFFFFF"/>
        </w:rPr>
        <w:t xml:space="preserve">that permitting juries to hear such </w:t>
      </w:r>
      <w:r w:rsidR="004D7EFF">
        <w:rPr>
          <w:color w:val="000000"/>
          <w:szCs w:val="26"/>
          <w:shd w:val="clear" w:color="auto" w:fill="FFFFFF"/>
        </w:rPr>
        <w:t xml:space="preserve">evidence </w:t>
      </w:r>
      <w:r w:rsidR="00B86F88">
        <w:rPr>
          <w:color w:val="000000"/>
          <w:szCs w:val="26"/>
          <w:shd w:val="clear" w:color="auto" w:fill="FFFFFF"/>
        </w:rPr>
        <w:t xml:space="preserve">would </w:t>
      </w:r>
      <w:r w:rsidR="004D7EFF">
        <w:rPr>
          <w:color w:val="000000"/>
          <w:szCs w:val="26"/>
          <w:shd w:val="clear" w:color="auto" w:fill="FFFFFF"/>
        </w:rPr>
        <w:t xml:space="preserve">subvert the distinction </w:t>
      </w:r>
      <w:r w:rsidR="007E2474">
        <w:rPr>
          <w:color w:val="000000"/>
          <w:szCs w:val="26"/>
          <w:shd w:val="clear" w:color="auto" w:fill="FFFFFF"/>
        </w:rPr>
        <w:t xml:space="preserve">between </w:t>
      </w:r>
      <w:r w:rsidR="00AD6EC5">
        <w:rPr>
          <w:color w:val="000000"/>
          <w:szCs w:val="26"/>
          <w:shd w:val="clear" w:color="auto" w:fill="FFFFFF"/>
        </w:rPr>
        <w:t>s</w:t>
      </w:r>
      <w:r w:rsidR="004D7EFF">
        <w:rPr>
          <w:color w:val="000000"/>
          <w:szCs w:val="26"/>
          <w:shd w:val="clear" w:color="auto" w:fill="FFFFFF"/>
        </w:rPr>
        <w:t>trict liability and negligence.  (</w:t>
      </w:r>
      <w:r w:rsidR="004D7EFF" w:rsidRPr="00712B11">
        <w:rPr>
          <w:color w:val="000000"/>
          <w:szCs w:val="26"/>
          <w:shd w:val="clear" w:color="auto" w:fill="FFFFFF"/>
        </w:rPr>
        <w:t>E.g.</w:t>
      </w:r>
      <w:r w:rsidR="004D7EFF">
        <w:rPr>
          <w:color w:val="000000"/>
          <w:szCs w:val="26"/>
          <w:shd w:val="clear" w:color="auto" w:fill="FFFFFF"/>
        </w:rPr>
        <w:t xml:space="preserve">, </w:t>
      </w:r>
      <w:r w:rsidR="004D7EFF">
        <w:rPr>
          <w:i/>
          <w:color w:val="000000"/>
          <w:szCs w:val="26"/>
          <w:shd w:val="clear" w:color="auto" w:fill="FFFFFF"/>
        </w:rPr>
        <w:t>Buell-Wilson</w:t>
      </w:r>
      <w:r w:rsidR="004D7EFF">
        <w:rPr>
          <w:color w:val="000000"/>
          <w:szCs w:val="26"/>
          <w:shd w:val="clear" w:color="auto" w:fill="FFFFFF"/>
        </w:rPr>
        <w:t xml:space="preserve">, </w:t>
      </w:r>
      <w:r w:rsidR="004D7EFF">
        <w:rPr>
          <w:i/>
          <w:color w:val="000000"/>
          <w:szCs w:val="26"/>
          <w:shd w:val="clear" w:color="auto" w:fill="FFFFFF"/>
        </w:rPr>
        <w:t>supra</w:t>
      </w:r>
      <w:r w:rsidR="004D7EFF">
        <w:rPr>
          <w:color w:val="000000"/>
          <w:szCs w:val="26"/>
          <w:shd w:val="clear" w:color="auto" w:fill="FFFFFF"/>
        </w:rPr>
        <w:t>, 141 Cal.App.4th at p.</w:t>
      </w:r>
      <w:r w:rsidR="0032191D">
        <w:rPr>
          <w:color w:val="000000"/>
          <w:szCs w:val="26"/>
          <w:shd w:val="clear" w:color="auto" w:fill="FFFFFF"/>
        </w:rPr>
        <w:t> </w:t>
      </w:r>
      <w:r w:rsidR="004D7EFF">
        <w:rPr>
          <w:color w:val="000000"/>
          <w:szCs w:val="26"/>
          <w:shd w:val="clear" w:color="auto" w:fill="FFFFFF"/>
        </w:rPr>
        <w:t xml:space="preserve">545; </w:t>
      </w:r>
      <w:proofErr w:type="spellStart"/>
      <w:r w:rsidR="004D7EFF">
        <w:rPr>
          <w:i/>
          <w:color w:val="000000"/>
          <w:szCs w:val="26"/>
          <w:shd w:val="clear" w:color="auto" w:fill="FFFFFF"/>
        </w:rPr>
        <w:t>Grimshaw</w:t>
      </w:r>
      <w:proofErr w:type="spellEnd"/>
      <w:r w:rsidR="004D7EFF">
        <w:rPr>
          <w:color w:val="000000"/>
          <w:szCs w:val="26"/>
          <w:shd w:val="clear" w:color="auto" w:fill="FFFFFF"/>
        </w:rPr>
        <w:t xml:space="preserve">, </w:t>
      </w:r>
      <w:r w:rsidR="004D7EFF">
        <w:rPr>
          <w:i/>
          <w:color w:val="000000"/>
          <w:szCs w:val="26"/>
          <w:shd w:val="clear" w:color="auto" w:fill="FFFFFF"/>
        </w:rPr>
        <w:t>supra</w:t>
      </w:r>
      <w:r w:rsidR="00726ABA">
        <w:rPr>
          <w:color w:val="000000"/>
          <w:szCs w:val="26"/>
          <w:shd w:val="clear" w:color="auto" w:fill="FFFFFF"/>
        </w:rPr>
        <w:t>, 119</w:t>
      </w:r>
      <w:r w:rsidR="004928EB">
        <w:rPr>
          <w:color w:val="000000"/>
          <w:szCs w:val="26"/>
          <w:shd w:val="clear" w:color="auto" w:fill="FFFFFF"/>
        </w:rPr>
        <w:t xml:space="preserve"> Cal.A</w:t>
      </w:r>
      <w:r w:rsidR="006339C2">
        <w:rPr>
          <w:color w:val="000000"/>
          <w:szCs w:val="26"/>
          <w:shd w:val="clear" w:color="auto" w:fill="FFFFFF"/>
        </w:rPr>
        <w:t>pp.3d at p.</w:t>
      </w:r>
      <w:r w:rsidR="0032191D">
        <w:rPr>
          <w:color w:val="000000"/>
          <w:szCs w:val="26"/>
          <w:shd w:val="clear" w:color="auto" w:fill="FFFFFF"/>
        </w:rPr>
        <w:t> </w:t>
      </w:r>
      <w:r w:rsidR="006339C2">
        <w:rPr>
          <w:color w:val="000000"/>
          <w:szCs w:val="26"/>
          <w:shd w:val="clear" w:color="auto" w:fill="FFFFFF"/>
        </w:rPr>
        <w:t xml:space="preserve">803.)  </w:t>
      </w:r>
      <w:r w:rsidR="00E86EF6">
        <w:rPr>
          <w:color w:val="000000"/>
          <w:szCs w:val="26"/>
          <w:shd w:val="clear" w:color="auto" w:fill="FFFFFF"/>
        </w:rPr>
        <w:t>But a</w:t>
      </w:r>
      <w:r w:rsidR="007B0EDE">
        <w:rPr>
          <w:color w:val="000000"/>
          <w:szCs w:val="26"/>
          <w:shd w:val="clear" w:color="auto" w:fill="FFFFFF"/>
        </w:rPr>
        <w:t xml:space="preserve">s </w:t>
      </w:r>
      <w:r w:rsidR="007B0EDE">
        <w:rPr>
          <w:i/>
          <w:color w:val="000000"/>
          <w:szCs w:val="26"/>
          <w:shd w:val="clear" w:color="auto" w:fill="FFFFFF"/>
        </w:rPr>
        <w:t>Barker</w:t>
      </w:r>
      <w:r w:rsidR="007B0EDE">
        <w:rPr>
          <w:color w:val="000000"/>
          <w:szCs w:val="26"/>
          <w:shd w:val="clear" w:color="auto" w:fill="FFFFFF"/>
        </w:rPr>
        <w:t xml:space="preserve"> recognizes, </w:t>
      </w:r>
      <w:r w:rsidR="004D7EFF">
        <w:rPr>
          <w:color w:val="000000"/>
          <w:szCs w:val="26"/>
          <w:shd w:val="clear" w:color="auto" w:fill="FFFFFF"/>
        </w:rPr>
        <w:t>th</w:t>
      </w:r>
      <w:r w:rsidR="009D70D3">
        <w:rPr>
          <w:color w:val="000000"/>
          <w:szCs w:val="26"/>
          <w:shd w:val="clear" w:color="auto" w:fill="FFFFFF"/>
        </w:rPr>
        <w:t xml:space="preserve">e risk-benefit balancing does </w:t>
      </w:r>
      <w:r w:rsidR="009D70D3">
        <w:rPr>
          <w:color w:val="000000"/>
          <w:szCs w:val="26"/>
          <w:shd w:val="clear" w:color="auto" w:fill="FFFFFF"/>
        </w:rPr>
        <w:lastRenderedPageBreak/>
        <w:t>in some ways resemble a traditional negligence inquiry</w:t>
      </w:r>
      <w:r w:rsidR="007143E0">
        <w:rPr>
          <w:color w:val="000000"/>
          <w:szCs w:val="26"/>
          <w:shd w:val="clear" w:color="auto" w:fill="FFFFFF"/>
        </w:rPr>
        <w:t xml:space="preserve">, and “most of the evidentiary matters which may be relevant to the determination of the adequacy of </w:t>
      </w:r>
      <w:r w:rsidR="00A576E4">
        <w:rPr>
          <w:color w:val="000000"/>
          <w:szCs w:val="26"/>
          <w:shd w:val="clear" w:color="auto" w:fill="FFFFFF"/>
        </w:rPr>
        <w:t xml:space="preserve">a </w:t>
      </w:r>
      <w:r w:rsidR="007143E0">
        <w:rPr>
          <w:color w:val="000000"/>
          <w:szCs w:val="26"/>
          <w:shd w:val="clear" w:color="auto" w:fill="FFFFFF"/>
        </w:rPr>
        <w:t xml:space="preserve">product’s design under the ‘risk-benefit’ standard—e.g., the feasibility and cost of alternative designs—are similar to issues typically presented in a negligent design </w:t>
      </w:r>
      <w:proofErr w:type="gramStart"/>
      <w:r w:rsidR="007143E0">
        <w:rPr>
          <w:color w:val="000000"/>
          <w:szCs w:val="26"/>
          <w:shd w:val="clear" w:color="auto" w:fill="FFFFFF"/>
        </w:rPr>
        <w:t>case</w:t>
      </w:r>
      <w:r w:rsidR="00712B11">
        <w:rPr>
          <w:color w:val="000000"/>
          <w:szCs w:val="26"/>
          <w:shd w:val="clear" w:color="auto" w:fill="FFFFFF"/>
        </w:rPr>
        <w:t xml:space="preserve"> </w:t>
      </w:r>
      <w:r w:rsidR="007143E0">
        <w:rPr>
          <w:color w:val="000000"/>
          <w:szCs w:val="26"/>
          <w:shd w:val="clear" w:color="auto" w:fill="FFFFFF"/>
        </w:rPr>
        <w:t>.</w:t>
      </w:r>
      <w:proofErr w:type="gramEnd"/>
      <w:r w:rsidR="00712B11">
        <w:rPr>
          <w:color w:val="000000"/>
          <w:szCs w:val="26"/>
          <w:shd w:val="clear" w:color="auto" w:fill="FFFFFF"/>
        </w:rPr>
        <w:t> . . .</w:t>
      </w:r>
      <w:r w:rsidR="007143E0">
        <w:rPr>
          <w:color w:val="000000"/>
          <w:szCs w:val="26"/>
          <w:shd w:val="clear" w:color="auto" w:fill="FFFFFF"/>
        </w:rPr>
        <w:t>”  (</w:t>
      </w:r>
      <w:r w:rsidR="007143E0">
        <w:rPr>
          <w:i/>
          <w:color w:val="000000"/>
          <w:szCs w:val="26"/>
          <w:shd w:val="clear" w:color="auto" w:fill="FFFFFF"/>
        </w:rPr>
        <w:t>Barker</w:t>
      </w:r>
      <w:r w:rsidR="007143E0">
        <w:rPr>
          <w:color w:val="000000"/>
          <w:szCs w:val="26"/>
          <w:shd w:val="clear" w:color="auto" w:fill="FFFFFF"/>
        </w:rPr>
        <w:t xml:space="preserve">, </w:t>
      </w:r>
      <w:r w:rsidR="007143E0">
        <w:rPr>
          <w:i/>
          <w:color w:val="000000"/>
          <w:szCs w:val="26"/>
          <w:shd w:val="clear" w:color="auto" w:fill="FFFFFF"/>
        </w:rPr>
        <w:t>supra</w:t>
      </w:r>
      <w:r w:rsidR="007143E0">
        <w:rPr>
          <w:color w:val="000000"/>
          <w:szCs w:val="26"/>
          <w:shd w:val="clear" w:color="auto" w:fill="FFFFFF"/>
        </w:rPr>
        <w:t>, 20 Cal.3d at p.</w:t>
      </w:r>
      <w:r w:rsidR="0032191D">
        <w:rPr>
          <w:color w:val="000000"/>
          <w:szCs w:val="26"/>
          <w:shd w:val="clear" w:color="auto" w:fill="FFFFFF"/>
        </w:rPr>
        <w:t> </w:t>
      </w:r>
      <w:r w:rsidR="007143E0">
        <w:rPr>
          <w:color w:val="000000"/>
          <w:szCs w:val="26"/>
          <w:shd w:val="clear" w:color="auto" w:fill="FFFFFF"/>
        </w:rPr>
        <w:t xml:space="preserve">431; see </w:t>
      </w:r>
      <w:r w:rsidR="007143E0">
        <w:rPr>
          <w:i/>
          <w:color w:val="000000"/>
          <w:szCs w:val="26"/>
          <w:shd w:val="clear" w:color="auto" w:fill="FFFFFF"/>
        </w:rPr>
        <w:t>id.</w:t>
      </w:r>
      <w:r w:rsidR="007143E0">
        <w:rPr>
          <w:color w:val="000000"/>
          <w:szCs w:val="26"/>
          <w:shd w:val="clear" w:color="auto" w:fill="FFFFFF"/>
        </w:rPr>
        <w:t xml:space="preserve"> at p.</w:t>
      </w:r>
      <w:r w:rsidR="0032191D">
        <w:rPr>
          <w:color w:val="000000"/>
          <w:szCs w:val="26"/>
          <w:shd w:val="clear" w:color="auto" w:fill="FFFFFF"/>
        </w:rPr>
        <w:t> </w:t>
      </w:r>
      <w:r w:rsidR="007143E0">
        <w:rPr>
          <w:color w:val="000000"/>
          <w:szCs w:val="26"/>
          <w:shd w:val="clear" w:color="auto" w:fill="FFFFFF"/>
        </w:rPr>
        <w:t xml:space="preserve">434 [“It is true, of course, that in many cases proof that a product is defective in design may also demonstrate that the manufacturer was negligent in </w:t>
      </w:r>
      <w:r w:rsidR="00A576E4">
        <w:rPr>
          <w:color w:val="000000"/>
          <w:szCs w:val="26"/>
          <w:shd w:val="clear" w:color="auto" w:fill="FFFFFF"/>
        </w:rPr>
        <w:t>choosing such a design</w:t>
      </w:r>
      <w:r w:rsidR="007143E0">
        <w:rPr>
          <w:color w:val="000000"/>
          <w:szCs w:val="26"/>
          <w:shd w:val="clear" w:color="auto" w:fill="FFFFFF"/>
        </w:rPr>
        <w:t xml:space="preserve">.”]; cf. </w:t>
      </w:r>
      <w:r w:rsidR="003D020F">
        <w:rPr>
          <w:i/>
          <w:color w:val="000000"/>
          <w:szCs w:val="26"/>
          <w:shd w:val="clear" w:color="auto" w:fill="FFFFFF"/>
        </w:rPr>
        <w:t xml:space="preserve">Pike v. Frank G. Hough Co. </w:t>
      </w:r>
      <w:r w:rsidR="003D020F">
        <w:rPr>
          <w:color w:val="000000"/>
          <w:szCs w:val="26"/>
          <w:shd w:val="clear" w:color="auto" w:fill="FFFFFF"/>
        </w:rPr>
        <w:t>(1970) 2 Cal.3d 465, 470 [ex</w:t>
      </w:r>
      <w:r w:rsidR="007143E0">
        <w:rPr>
          <w:color w:val="000000"/>
          <w:szCs w:val="26"/>
          <w:shd w:val="clear" w:color="auto" w:fill="FFFFFF"/>
        </w:rPr>
        <w:t>plaining the test for negligent</w:t>
      </w:r>
      <w:r w:rsidR="003D020F">
        <w:rPr>
          <w:color w:val="000000"/>
          <w:szCs w:val="26"/>
          <w:shd w:val="clear" w:color="auto" w:fill="FFFFFF"/>
        </w:rPr>
        <w:t xml:space="preserve"> design </w:t>
      </w:r>
      <w:r w:rsidR="0000630D">
        <w:rPr>
          <w:color w:val="000000"/>
          <w:szCs w:val="26"/>
          <w:shd w:val="clear" w:color="auto" w:fill="FFFFFF"/>
        </w:rPr>
        <w:t>is</w:t>
      </w:r>
      <w:r w:rsidR="003D020F">
        <w:rPr>
          <w:color w:val="000000"/>
          <w:szCs w:val="26"/>
          <w:shd w:val="clear" w:color="auto" w:fill="FFFFFF"/>
        </w:rPr>
        <w:t xml:space="preserve"> “a </w:t>
      </w:r>
      <w:r w:rsidR="003D020F" w:rsidRPr="00C76053">
        <w:rPr>
          <w:color w:val="000000"/>
          <w:szCs w:val="26"/>
          <w:shd w:val="clear" w:color="auto" w:fill="FFFFFF"/>
        </w:rPr>
        <w:t>balancing of the likelihood of harm to be expected from a machine with a given design and the gravity of harm if it happens against the burden of the precaution which would be effective to avoid the harm</w:t>
      </w:r>
      <w:r w:rsidR="007143E0">
        <w:rPr>
          <w:color w:val="000000"/>
          <w:szCs w:val="26"/>
          <w:shd w:val="clear" w:color="auto" w:fill="FFFFFF"/>
        </w:rPr>
        <w:t>”]</w:t>
      </w:r>
      <w:r w:rsidR="0073595A">
        <w:rPr>
          <w:color w:val="000000"/>
          <w:szCs w:val="26"/>
          <w:shd w:val="clear" w:color="auto" w:fill="FFFFFF"/>
        </w:rPr>
        <w:t>.)</w:t>
      </w:r>
      <w:r w:rsidR="00D825A9">
        <w:rPr>
          <w:color w:val="000000"/>
          <w:szCs w:val="26"/>
          <w:shd w:val="clear" w:color="auto" w:fill="FFFFFF"/>
        </w:rPr>
        <w:t xml:space="preserve">  </w:t>
      </w:r>
      <w:r w:rsidR="002B32FB">
        <w:rPr>
          <w:color w:val="000000"/>
          <w:szCs w:val="26"/>
          <w:shd w:val="clear" w:color="auto" w:fill="FFFFFF"/>
        </w:rPr>
        <w:t xml:space="preserve">The pertinent difference between the two inquiries, </w:t>
      </w:r>
      <w:r w:rsidR="002B32FB">
        <w:rPr>
          <w:i/>
          <w:color w:val="000000"/>
          <w:szCs w:val="26"/>
          <w:shd w:val="clear" w:color="auto" w:fill="FFFFFF"/>
        </w:rPr>
        <w:t>Barker</w:t>
      </w:r>
      <w:r w:rsidR="002B32FB">
        <w:rPr>
          <w:color w:val="000000"/>
          <w:szCs w:val="26"/>
          <w:shd w:val="clear" w:color="auto" w:fill="FFFFFF"/>
        </w:rPr>
        <w:t xml:space="preserve"> explained, is that </w:t>
      </w:r>
      <w:r w:rsidR="00C31F7B">
        <w:rPr>
          <w:color w:val="000000"/>
          <w:szCs w:val="26"/>
          <w:shd w:val="clear" w:color="auto" w:fill="FFFFFF"/>
        </w:rPr>
        <w:t xml:space="preserve">strict liability marshals this evidence </w:t>
      </w:r>
      <w:r w:rsidR="00AF68E4">
        <w:rPr>
          <w:color w:val="000000"/>
          <w:szCs w:val="26"/>
          <w:shd w:val="clear" w:color="auto" w:fill="FFFFFF"/>
        </w:rPr>
        <w:t>to illuminate the condition of the product, rather than the reasonableness of the manufacturer’s conduct.  (</w:t>
      </w:r>
      <w:r w:rsidR="00C7230B">
        <w:rPr>
          <w:i/>
          <w:color w:val="000000"/>
          <w:szCs w:val="26"/>
          <w:shd w:val="clear" w:color="auto" w:fill="FFFFFF"/>
        </w:rPr>
        <w:t>Barker</w:t>
      </w:r>
      <w:r w:rsidR="00C7230B">
        <w:rPr>
          <w:color w:val="000000"/>
          <w:szCs w:val="26"/>
          <w:shd w:val="clear" w:color="auto" w:fill="FFFFFF"/>
        </w:rPr>
        <w:t xml:space="preserve">, </w:t>
      </w:r>
      <w:r w:rsidR="00C7230B">
        <w:rPr>
          <w:i/>
          <w:color w:val="000000"/>
          <w:szCs w:val="26"/>
          <w:shd w:val="clear" w:color="auto" w:fill="FFFFFF"/>
        </w:rPr>
        <w:t>supra</w:t>
      </w:r>
      <w:r w:rsidR="00C7230B">
        <w:rPr>
          <w:color w:val="000000"/>
          <w:szCs w:val="26"/>
          <w:shd w:val="clear" w:color="auto" w:fill="FFFFFF"/>
        </w:rPr>
        <w:t xml:space="preserve">, 20 Cal.3d at </w:t>
      </w:r>
      <w:r w:rsidR="00AF68E4">
        <w:rPr>
          <w:color w:val="000000"/>
          <w:szCs w:val="26"/>
          <w:shd w:val="clear" w:color="auto" w:fill="FFFFFF"/>
        </w:rPr>
        <w:t>p.</w:t>
      </w:r>
      <w:r w:rsidR="006C6239">
        <w:rPr>
          <w:color w:val="000000"/>
          <w:szCs w:val="26"/>
          <w:shd w:val="clear" w:color="auto" w:fill="FFFFFF"/>
        </w:rPr>
        <w:t> </w:t>
      </w:r>
      <w:r w:rsidR="00AF68E4">
        <w:rPr>
          <w:color w:val="000000"/>
          <w:szCs w:val="26"/>
          <w:shd w:val="clear" w:color="auto" w:fill="FFFFFF"/>
        </w:rPr>
        <w:t>434.)</w:t>
      </w:r>
      <w:r w:rsidR="0073595A">
        <w:rPr>
          <w:color w:val="000000"/>
          <w:szCs w:val="26"/>
          <w:shd w:val="clear" w:color="auto" w:fill="FFFFFF"/>
        </w:rPr>
        <w:t xml:space="preserve">  </w:t>
      </w:r>
      <w:r w:rsidR="00EC194F">
        <w:rPr>
          <w:color w:val="000000"/>
          <w:szCs w:val="26"/>
          <w:shd w:val="clear" w:color="auto" w:fill="FFFFFF"/>
        </w:rPr>
        <w:t>And a</w:t>
      </w:r>
      <w:r w:rsidR="00232AB1">
        <w:rPr>
          <w:color w:val="000000"/>
          <w:szCs w:val="26"/>
          <w:shd w:val="clear" w:color="auto" w:fill="FFFFFF"/>
        </w:rPr>
        <w:t xml:space="preserve">s noted, </w:t>
      </w:r>
      <w:r w:rsidR="007F594E">
        <w:rPr>
          <w:color w:val="000000"/>
          <w:szCs w:val="26"/>
          <w:shd w:val="clear" w:color="auto" w:fill="FFFFFF"/>
        </w:rPr>
        <w:t>evidence of industry custom and practice can shed some light on the condition of the challenged product</w:t>
      </w:r>
      <w:r w:rsidR="00B86F88">
        <w:rPr>
          <w:color w:val="000000"/>
          <w:szCs w:val="26"/>
          <w:shd w:val="clear" w:color="auto" w:fill="FFFFFF"/>
        </w:rPr>
        <w:t>, as opposed to the reasonableness of the manufacturer’s conduct</w:t>
      </w:r>
      <w:r w:rsidR="007F594E">
        <w:rPr>
          <w:color w:val="000000"/>
          <w:szCs w:val="26"/>
          <w:shd w:val="clear" w:color="auto" w:fill="FFFFFF"/>
        </w:rPr>
        <w:t xml:space="preserve">.  </w:t>
      </w:r>
      <w:r w:rsidR="00E86EF6">
        <w:rPr>
          <w:color w:val="000000"/>
          <w:szCs w:val="26"/>
          <w:shd w:val="clear" w:color="auto" w:fill="FFFFFF"/>
        </w:rPr>
        <w:t xml:space="preserve">To admit industry custom and practice evidence for this </w:t>
      </w:r>
      <w:r w:rsidR="00BC5D3B">
        <w:rPr>
          <w:color w:val="000000"/>
          <w:szCs w:val="26"/>
          <w:shd w:val="clear" w:color="auto" w:fill="FFFFFF"/>
        </w:rPr>
        <w:t>limited</w:t>
      </w:r>
      <w:r w:rsidR="00E86EF6">
        <w:rPr>
          <w:color w:val="000000"/>
          <w:szCs w:val="26"/>
          <w:shd w:val="clear" w:color="auto" w:fill="FFFFFF"/>
        </w:rPr>
        <w:t xml:space="preserve"> purpose pays proper respect to the </w:t>
      </w:r>
      <w:r>
        <w:rPr>
          <w:color w:val="000000"/>
          <w:szCs w:val="26"/>
          <w:shd w:val="clear" w:color="auto" w:fill="FFFFFF"/>
        </w:rPr>
        <w:t xml:space="preserve">distinct </w:t>
      </w:r>
      <w:r w:rsidR="00E86EF6">
        <w:rPr>
          <w:color w:val="000000"/>
          <w:szCs w:val="26"/>
          <w:shd w:val="clear" w:color="auto" w:fill="FFFFFF"/>
        </w:rPr>
        <w:t xml:space="preserve">doctrine of strict products liability.  </w:t>
      </w:r>
    </w:p>
    <w:p w14:paraId="71E81015" w14:textId="77777777" w:rsidR="00BC5746" w:rsidRDefault="00BC5746" w:rsidP="00F67118">
      <w:pPr>
        <w:rPr>
          <w:color w:val="000000"/>
          <w:szCs w:val="26"/>
          <w:shd w:val="clear" w:color="auto" w:fill="FFFFFF"/>
        </w:rPr>
      </w:pPr>
      <w:r>
        <w:rPr>
          <w:color w:val="000000"/>
          <w:szCs w:val="26"/>
          <w:shd w:val="clear" w:color="auto" w:fill="FFFFFF"/>
        </w:rPr>
        <w:t xml:space="preserve">We are unpersuaded that permitting a defendant to introduce relevant evidence of industry custom and practice will, as the </w:t>
      </w:r>
      <w:proofErr w:type="spellStart"/>
      <w:r>
        <w:rPr>
          <w:color w:val="000000"/>
          <w:szCs w:val="26"/>
          <w:shd w:val="clear" w:color="auto" w:fill="FFFFFF"/>
        </w:rPr>
        <w:t>Kims</w:t>
      </w:r>
      <w:proofErr w:type="spellEnd"/>
      <w:r>
        <w:rPr>
          <w:color w:val="000000"/>
          <w:szCs w:val="26"/>
          <w:shd w:val="clear" w:color="auto" w:fill="FFFFFF"/>
        </w:rPr>
        <w:t xml:space="preserve"> argue, impair strict liability’s goal of “</w:t>
      </w:r>
      <w:proofErr w:type="spellStart"/>
      <w:r w:rsidRPr="00E722C1">
        <w:rPr>
          <w:color w:val="000000"/>
          <w:szCs w:val="26"/>
          <w:shd w:val="clear" w:color="auto" w:fill="FFFFFF"/>
        </w:rPr>
        <w:t>reliev</w:t>
      </w:r>
      <w:proofErr w:type="spellEnd"/>
      <w:r>
        <w:rPr>
          <w:color w:val="000000"/>
          <w:szCs w:val="26"/>
          <w:shd w:val="clear" w:color="auto" w:fill="FFFFFF"/>
        </w:rPr>
        <w:t>[</w:t>
      </w:r>
      <w:proofErr w:type="spellStart"/>
      <w:r>
        <w:rPr>
          <w:color w:val="000000"/>
          <w:szCs w:val="26"/>
          <w:shd w:val="clear" w:color="auto" w:fill="FFFFFF"/>
        </w:rPr>
        <w:t>ing</w:t>
      </w:r>
      <w:proofErr w:type="spellEnd"/>
      <w:r>
        <w:rPr>
          <w:color w:val="000000"/>
          <w:szCs w:val="26"/>
          <w:shd w:val="clear" w:color="auto" w:fill="FFFFFF"/>
        </w:rPr>
        <w:t>]</w:t>
      </w:r>
      <w:r w:rsidRPr="00E722C1">
        <w:rPr>
          <w:color w:val="000000"/>
          <w:szCs w:val="26"/>
          <w:shd w:val="clear" w:color="auto" w:fill="FFFFFF"/>
        </w:rPr>
        <w:t xml:space="preserve"> an injured plaintiff of many of the onerous evidentiary burdens inherent in a negligence cause of action.</w:t>
      </w:r>
      <w:r>
        <w:rPr>
          <w:color w:val="000000"/>
          <w:szCs w:val="26"/>
          <w:shd w:val="clear" w:color="auto" w:fill="FFFFFF"/>
        </w:rPr>
        <w:t>”  (</w:t>
      </w:r>
      <w:r>
        <w:rPr>
          <w:i/>
          <w:color w:val="000000"/>
          <w:szCs w:val="26"/>
          <w:shd w:val="clear" w:color="auto" w:fill="FFFFFF"/>
        </w:rPr>
        <w:t>Barker</w:t>
      </w:r>
      <w:r>
        <w:rPr>
          <w:color w:val="000000"/>
          <w:szCs w:val="26"/>
          <w:shd w:val="clear" w:color="auto" w:fill="FFFFFF"/>
        </w:rPr>
        <w:t xml:space="preserve">, </w:t>
      </w:r>
      <w:r w:rsidRPr="006C6239">
        <w:rPr>
          <w:i/>
          <w:color w:val="000000"/>
          <w:szCs w:val="26"/>
          <w:shd w:val="clear" w:color="auto" w:fill="FFFFFF"/>
        </w:rPr>
        <w:t>supra</w:t>
      </w:r>
      <w:r>
        <w:rPr>
          <w:color w:val="000000"/>
          <w:szCs w:val="26"/>
          <w:shd w:val="clear" w:color="auto" w:fill="FFFFFF"/>
        </w:rPr>
        <w:t xml:space="preserve">, 20 Cal.3d at p. 431.)  To ease the burden on plaintiffs in a strict liability action, in </w:t>
      </w:r>
      <w:r>
        <w:rPr>
          <w:i/>
          <w:color w:val="000000"/>
          <w:szCs w:val="26"/>
          <w:shd w:val="clear" w:color="auto" w:fill="FFFFFF"/>
        </w:rPr>
        <w:t>Barker</w:t>
      </w:r>
      <w:r>
        <w:rPr>
          <w:color w:val="000000"/>
          <w:szCs w:val="26"/>
          <w:shd w:val="clear" w:color="auto" w:fill="FFFFFF"/>
        </w:rPr>
        <w:t xml:space="preserve"> we assigned to the defendant the burden of demonstrating that the benefits of the challenged design outweigh its risks.  (</w:t>
      </w:r>
      <w:r>
        <w:rPr>
          <w:i/>
          <w:color w:val="000000"/>
          <w:szCs w:val="26"/>
          <w:shd w:val="clear" w:color="auto" w:fill="FFFFFF"/>
        </w:rPr>
        <w:t xml:space="preserve">Id. </w:t>
      </w:r>
      <w:r>
        <w:rPr>
          <w:color w:val="000000"/>
          <w:szCs w:val="26"/>
          <w:shd w:val="clear" w:color="auto" w:fill="FFFFFF"/>
        </w:rPr>
        <w:t xml:space="preserve">at p. 432.)  Permitting a defendant to introduce evidence of industry custom and practice does not alter the nature of </w:t>
      </w:r>
      <w:r>
        <w:rPr>
          <w:color w:val="000000"/>
          <w:szCs w:val="26"/>
          <w:shd w:val="clear" w:color="auto" w:fill="FFFFFF"/>
        </w:rPr>
        <w:lastRenderedPageBreak/>
        <w:t xml:space="preserve">that burden, nor does such evidence automatically discharge the burden.  In any event, the rule is a two-way street:  a plaintiff can similarly rely on industry custom and practice to bolster its own argument, as the </w:t>
      </w:r>
      <w:proofErr w:type="spellStart"/>
      <w:r>
        <w:rPr>
          <w:color w:val="000000"/>
          <w:szCs w:val="26"/>
          <w:shd w:val="clear" w:color="auto" w:fill="FFFFFF"/>
        </w:rPr>
        <w:t>Kims</w:t>
      </w:r>
      <w:proofErr w:type="spellEnd"/>
      <w:r>
        <w:rPr>
          <w:color w:val="000000"/>
          <w:szCs w:val="26"/>
          <w:shd w:val="clear" w:color="auto" w:fill="FFFFFF"/>
        </w:rPr>
        <w:t xml:space="preserve"> sought to do at trial in this case.</w:t>
      </w:r>
    </w:p>
    <w:p w14:paraId="6EBDE7E4" w14:textId="77777777" w:rsidR="00F650E9" w:rsidRDefault="00F92049">
      <w:pPr>
        <w:rPr>
          <w:color w:val="000000"/>
          <w:szCs w:val="26"/>
          <w:shd w:val="clear" w:color="auto" w:fill="FFFFFF"/>
        </w:rPr>
      </w:pPr>
      <w:r>
        <w:rPr>
          <w:color w:val="000000"/>
          <w:szCs w:val="26"/>
          <w:shd w:val="clear" w:color="auto" w:fill="FFFFFF"/>
        </w:rPr>
        <w:t>W</w:t>
      </w:r>
      <w:r w:rsidR="00B86F88">
        <w:rPr>
          <w:color w:val="000000"/>
          <w:szCs w:val="26"/>
          <w:shd w:val="clear" w:color="auto" w:fill="FFFFFF"/>
        </w:rPr>
        <w:t xml:space="preserve">e stress that while industry custom and practice evidence is not categorically inadmissible, neither is it categorically admissible; its </w:t>
      </w:r>
      <w:r>
        <w:rPr>
          <w:color w:val="000000"/>
          <w:szCs w:val="26"/>
          <w:shd w:val="clear" w:color="auto" w:fill="FFFFFF"/>
        </w:rPr>
        <w:t xml:space="preserve">admissibility will depend on application of the ordinary rules of evidence in the circumstances of the case.  </w:t>
      </w:r>
      <w:r w:rsidR="00355CD7">
        <w:rPr>
          <w:color w:val="000000"/>
          <w:szCs w:val="26"/>
          <w:shd w:val="clear" w:color="auto" w:fill="FFFFFF"/>
        </w:rPr>
        <w:t xml:space="preserve">The Court of Appeal opinion provides appropriate guidance for conducting this inquiry, and we adopt the court’s </w:t>
      </w:r>
      <w:r w:rsidR="00B43818">
        <w:rPr>
          <w:color w:val="000000"/>
          <w:szCs w:val="26"/>
          <w:shd w:val="clear" w:color="auto" w:fill="FFFFFF"/>
        </w:rPr>
        <w:t xml:space="preserve">approach.  </w:t>
      </w:r>
      <w:r w:rsidR="007B1C31">
        <w:rPr>
          <w:color w:val="000000"/>
          <w:szCs w:val="26"/>
          <w:shd w:val="clear" w:color="auto" w:fill="FFFFFF"/>
        </w:rPr>
        <w:t xml:space="preserve">First, </w:t>
      </w:r>
      <w:r w:rsidR="00C52E21">
        <w:rPr>
          <w:color w:val="000000"/>
          <w:szCs w:val="26"/>
          <w:shd w:val="clear" w:color="auto" w:fill="FFFFFF"/>
        </w:rPr>
        <w:t xml:space="preserve">the party seeking admission of such evidence </w:t>
      </w:r>
      <w:r w:rsidR="00A542D5">
        <w:rPr>
          <w:color w:val="000000"/>
          <w:szCs w:val="26"/>
          <w:shd w:val="clear" w:color="auto" w:fill="FFFFFF"/>
        </w:rPr>
        <w:t xml:space="preserve">must </w:t>
      </w:r>
      <w:r w:rsidR="00E86EF6">
        <w:rPr>
          <w:color w:val="000000"/>
          <w:szCs w:val="26"/>
          <w:shd w:val="clear" w:color="auto" w:fill="FFFFFF"/>
        </w:rPr>
        <w:t xml:space="preserve">establish </w:t>
      </w:r>
      <w:r w:rsidR="00A542D5">
        <w:rPr>
          <w:color w:val="000000"/>
          <w:szCs w:val="26"/>
          <w:shd w:val="clear" w:color="auto" w:fill="FFFFFF"/>
        </w:rPr>
        <w:t>i</w:t>
      </w:r>
      <w:r w:rsidR="00C52E21">
        <w:rPr>
          <w:color w:val="000000"/>
          <w:szCs w:val="26"/>
          <w:shd w:val="clear" w:color="auto" w:fill="FFFFFF"/>
        </w:rPr>
        <w:t xml:space="preserve">ts relevance to </w:t>
      </w:r>
      <w:r w:rsidR="005E2F23">
        <w:rPr>
          <w:color w:val="000000"/>
          <w:szCs w:val="26"/>
          <w:shd w:val="clear" w:color="auto" w:fill="FFFFFF"/>
        </w:rPr>
        <w:t>at least one of the ele</w:t>
      </w:r>
      <w:r w:rsidR="00451E95">
        <w:rPr>
          <w:color w:val="000000"/>
          <w:szCs w:val="26"/>
          <w:shd w:val="clear" w:color="auto" w:fill="FFFFFF"/>
        </w:rPr>
        <w:t>ments of the risk-benefit test</w:t>
      </w:r>
      <w:r w:rsidR="00C86C5D">
        <w:rPr>
          <w:color w:val="000000"/>
          <w:szCs w:val="26"/>
          <w:shd w:val="clear" w:color="auto" w:fill="FFFFFF"/>
        </w:rPr>
        <w:t xml:space="preserve">, either </w:t>
      </w:r>
      <w:r w:rsidR="005E2F23">
        <w:rPr>
          <w:color w:val="000000"/>
          <w:szCs w:val="26"/>
          <w:shd w:val="clear" w:color="auto" w:fill="FFFFFF"/>
        </w:rPr>
        <w:t xml:space="preserve">causation or the </w:t>
      </w:r>
      <w:r w:rsidR="005E2F23">
        <w:rPr>
          <w:i/>
          <w:color w:val="000000"/>
          <w:szCs w:val="26"/>
          <w:shd w:val="clear" w:color="auto" w:fill="FFFFFF"/>
        </w:rPr>
        <w:t xml:space="preserve">Barker </w:t>
      </w:r>
      <w:r w:rsidR="005E2F23">
        <w:rPr>
          <w:color w:val="000000"/>
          <w:szCs w:val="26"/>
          <w:shd w:val="clear" w:color="auto" w:fill="FFFFFF"/>
        </w:rPr>
        <w:t>factors</w:t>
      </w:r>
      <w:r w:rsidR="00C52E21">
        <w:rPr>
          <w:color w:val="000000"/>
          <w:szCs w:val="26"/>
          <w:shd w:val="clear" w:color="auto" w:fill="FFFFFF"/>
        </w:rPr>
        <w:t>.</w:t>
      </w:r>
      <w:r w:rsidR="007B1C31">
        <w:rPr>
          <w:color w:val="000000"/>
          <w:szCs w:val="26"/>
          <w:shd w:val="clear" w:color="auto" w:fill="FFFFFF"/>
        </w:rPr>
        <w:t xml:space="preserve">  </w:t>
      </w:r>
      <w:r w:rsidR="007B1C31">
        <w:t>(</w:t>
      </w:r>
      <w:proofErr w:type="spellStart"/>
      <w:r w:rsidR="007B1C31">
        <w:t>Evid</w:t>
      </w:r>
      <w:proofErr w:type="spellEnd"/>
      <w:r w:rsidR="007B1C31">
        <w:t>. Code, § 351.)</w:t>
      </w:r>
      <w:r w:rsidR="00E86EF6">
        <w:t xml:space="preserve">  The evidence is relevant </w:t>
      </w:r>
      <w:r w:rsidR="006257DB">
        <w:t xml:space="preserve">to the </w:t>
      </w:r>
      <w:r w:rsidR="006257DB">
        <w:rPr>
          <w:i/>
        </w:rPr>
        <w:t>Barker</w:t>
      </w:r>
      <w:r w:rsidR="006257DB">
        <w:t xml:space="preserve"> inquiry </w:t>
      </w:r>
      <w:r w:rsidR="00E86EF6">
        <w:t xml:space="preserve">if it sheds light on whether, objectively speaking, the product </w:t>
      </w:r>
      <w:r w:rsidR="009530E1">
        <w:rPr>
          <w:color w:val="000000"/>
          <w:szCs w:val="26"/>
          <w:shd w:val="clear" w:color="auto" w:fill="FFFFFF"/>
        </w:rPr>
        <w:t xml:space="preserve">was designed as safely as it should have been, </w:t>
      </w:r>
      <w:r w:rsidR="00950E45">
        <w:rPr>
          <w:color w:val="000000"/>
          <w:szCs w:val="26"/>
          <w:shd w:val="clear" w:color="auto" w:fill="FFFFFF"/>
        </w:rPr>
        <w:t>given “the complexity of, and trade-offs implicit in, the design process.”  (</w:t>
      </w:r>
      <w:r w:rsidR="000B4A98">
        <w:rPr>
          <w:i/>
          <w:color w:val="000000"/>
          <w:szCs w:val="26"/>
          <w:shd w:val="clear" w:color="auto" w:fill="FFFFFF"/>
        </w:rPr>
        <w:t>Barker</w:t>
      </w:r>
      <w:r w:rsidR="000B4A98">
        <w:rPr>
          <w:color w:val="000000"/>
          <w:szCs w:val="26"/>
          <w:shd w:val="clear" w:color="auto" w:fill="FFFFFF"/>
        </w:rPr>
        <w:t xml:space="preserve">, </w:t>
      </w:r>
      <w:r w:rsidR="000B4A98">
        <w:rPr>
          <w:i/>
          <w:color w:val="000000"/>
          <w:szCs w:val="26"/>
          <w:shd w:val="clear" w:color="auto" w:fill="FFFFFF"/>
        </w:rPr>
        <w:t>supra</w:t>
      </w:r>
      <w:r w:rsidR="000B4A98">
        <w:rPr>
          <w:color w:val="000000"/>
          <w:szCs w:val="26"/>
          <w:shd w:val="clear" w:color="auto" w:fill="FFFFFF"/>
        </w:rPr>
        <w:t>, 20 Cal.3d</w:t>
      </w:r>
      <w:r w:rsidR="00950E45">
        <w:rPr>
          <w:color w:val="000000"/>
          <w:szCs w:val="26"/>
          <w:shd w:val="clear" w:color="auto" w:fill="FFFFFF"/>
        </w:rPr>
        <w:t xml:space="preserve"> p.</w:t>
      </w:r>
      <w:r w:rsidR="006C6239">
        <w:rPr>
          <w:color w:val="000000"/>
          <w:szCs w:val="26"/>
          <w:shd w:val="clear" w:color="auto" w:fill="FFFFFF"/>
        </w:rPr>
        <w:t> </w:t>
      </w:r>
      <w:r w:rsidR="00950E45">
        <w:rPr>
          <w:color w:val="000000"/>
          <w:szCs w:val="26"/>
          <w:shd w:val="clear" w:color="auto" w:fill="FFFFFF"/>
        </w:rPr>
        <w:t xml:space="preserve">432.)  </w:t>
      </w:r>
      <w:r w:rsidR="00D6022C">
        <w:rPr>
          <w:color w:val="000000"/>
          <w:szCs w:val="26"/>
          <w:shd w:val="clear" w:color="auto" w:fill="FFFFFF"/>
        </w:rPr>
        <w:t xml:space="preserve">Whether </w:t>
      </w:r>
      <w:r w:rsidR="00B43818">
        <w:rPr>
          <w:color w:val="000000"/>
          <w:szCs w:val="26"/>
          <w:shd w:val="clear" w:color="auto" w:fill="FFFFFF"/>
        </w:rPr>
        <w:t xml:space="preserve">the evidence </w:t>
      </w:r>
      <w:r w:rsidR="00C62A66">
        <w:rPr>
          <w:color w:val="000000"/>
          <w:szCs w:val="26"/>
          <w:shd w:val="clear" w:color="auto" w:fill="FFFFFF"/>
        </w:rPr>
        <w:t xml:space="preserve">serves this purpose </w:t>
      </w:r>
      <w:r w:rsidR="00B43818">
        <w:rPr>
          <w:color w:val="000000"/>
          <w:szCs w:val="26"/>
          <w:shd w:val="clear" w:color="auto" w:fill="FFFFFF"/>
        </w:rPr>
        <w:t xml:space="preserve">depends on whether, under the circumstances of the case, it is reasonable to </w:t>
      </w:r>
      <w:r w:rsidR="00F650E9">
        <w:rPr>
          <w:color w:val="000000"/>
          <w:szCs w:val="26"/>
          <w:shd w:val="clear" w:color="auto" w:fill="FFFFFF"/>
        </w:rPr>
        <w:t xml:space="preserve">conclude </w:t>
      </w:r>
      <w:r w:rsidR="00D6022C">
        <w:rPr>
          <w:color w:val="000000"/>
          <w:szCs w:val="26"/>
          <w:shd w:val="clear" w:color="auto" w:fill="FFFFFF"/>
        </w:rPr>
        <w:t>that other manufacturers’ choices do, as the Court of Appeal put it, “reflect legitimate, independent research and practical experience regarding the appropriate balance of product safety, cost, and functionality.”</w:t>
      </w:r>
      <w:r w:rsidR="00F650E9">
        <w:rPr>
          <w:color w:val="000000"/>
          <w:szCs w:val="26"/>
          <w:shd w:val="clear" w:color="auto" w:fill="FFFFFF"/>
        </w:rPr>
        <w:t xml:space="preserve">  If </w:t>
      </w:r>
      <w:r w:rsidR="001A1EEF">
        <w:rPr>
          <w:color w:val="000000"/>
          <w:szCs w:val="26"/>
          <w:shd w:val="clear" w:color="auto" w:fill="FFFFFF"/>
        </w:rPr>
        <w:t xml:space="preserve">the proponent of the evidence establishes a </w:t>
      </w:r>
      <w:r w:rsidR="00F650E9">
        <w:rPr>
          <w:color w:val="000000"/>
          <w:szCs w:val="26"/>
          <w:shd w:val="clear" w:color="auto" w:fill="FFFFFF"/>
        </w:rPr>
        <w:t xml:space="preserve">sufficient basis for drawing such a conclusion, </w:t>
      </w:r>
      <w:r w:rsidR="00E6226D">
        <w:rPr>
          <w:color w:val="000000"/>
          <w:szCs w:val="26"/>
          <w:shd w:val="clear" w:color="auto" w:fill="FFFFFF"/>
        </w:rPr>
        <w:t xml:space="preserve">the evidence is </w:t>
      </w:r>
      <w:r w:rsidR="001A1EEF">
        <w:rPr>
          <w:color w:val="000000"/>
          <w:szCs w:val="26"/>
          <w:shd w:val="clear" w:color="auto" w:fill="FFFFFF"/>
        </w:rPr>
        <w:t>admissible</w:t>
      </w:r>
      <w:r w:rsidR="00E6226D">
        <w:rPr>
          <w:color w:val="000000"/>
          <w:szCs w:val="26"/>
          <w:shd w:val="clear" w:color="auto" w:fill="FFFFFF"/>
        </w:rPr>
        <w:t>, even though one side or the other may argue it is entitled to little weight because industry participants have weighed the relevant considerations incorrectly.</w:t>
      </w:r>
      <w:r w:rsidR="00C62A66">
        <w:rPr>
          <w:color w:val="000000"/>
          <w:szCs w:val="26"/>
          <w:shd w:val="clear" w:color="auto" w:fill="FFFFFF"/>
        </w:rPr>
        <w:t xml:space="preserve">  The evidence </w:t>
      </w:r>
      <w:r w:rsidR="001A1EEF">
        <w:rPr>
          <w:color w:val="000000"/>
          <w:szCs w:val="26"/>
          <w:shd w:val="clear" w:color="auto" w:fill="FFFFFF"/>
        </w:rPr>
        <w:t xml:space="preserve">may not, however, be introduced simply </w:t>
      </w:r>
      <w:r w:rsidR="0075095F">
        <w:rPr>
          <w:color w:val="000000"/>
          <w:szCs w:val="26"/>
          <w:shd w:val="clear" w:color="auto" w:fill="FFFFFF"/>
        </w:rPr>
        <w:t xml:space="preserve">for the purpose of </w:t>
      </w:r>
      <w:r w:rsidR="001A1EEF">
        <w:rPr>
          <w:color w:val="000000"/>
          <w:szCs w:val="26"/>
          <w:shd w:val="clear" w:color="auto" w:fill="FFFFFF"/>
        </w:rPr>
        <w:t>show</w:t>
      </w:r>
      <w:r w:rsidR="0075095F">
        <w:rPr>
          <w:color w:val="000000"/>
          <w:szCs w:val="26"/>
          <w:shd w:val="clear" w:color="auto" w:fill="FFFFFF"/>
        </w:rPr>
        <w:t>ing</w:t>
      </w:r>
      <w:r w:rsidR="001A1EEF">
        <w:rPr>
          <w:color w:val="000000"/>
          <w:szCs w:val="26"/>
          <w:shd w:val="clear" w:color="auto" w:fill="FFFFFF"/>
        </w:rPr>
        <w:t xml:space="preserve"> </w:t>
      </w:r>
      <w:r w:rsidR="00C62A66">
        <w:rPr>
          <w:color w:val="000000"/>
          <w:szCs w:val="26"/>
          <w:shd w:val="clear" w:color="auto" w:fill="FFFFFF"/>
        </w:rPr>
        <w:t>the manufacturer was acting no worse than its competitors.</w:t>
      </w:r>
    </w:p>
    <w:p w14:paraId="0676162F" w14:textId="77777777" w:rsidR="00AE5AAD" w:rsidRDefault="00F82BE6">
      <w:pPr>
        <w:rPr>
          <w:color w:val="000000"/>
          <w:szCs w:val="26"/>
          <w:shd w:val="clear" w:color="auto" w:fill="FFFFFF"/>
        </w:rPr>
      </w:pPr>
      <w:r>
        <w:rPr>
          <w:color w:val="000000"/>
          <w:szCs w:val="26"/>
          <w:shd w:val="clear" w:color="auto" w:fill="FFFFFF"/>
        </w:rPr>
        <w:t>Next, e</w:t>
      </w:r>
      <w:r w:rsidR="007B1C31">
        <w:rPr>
          <w:color w:val="000000"/>
          <w:szCs w:val="26"/>
          <w:shd w:val="clear" w:color="auto" w:fill="FFFFFF"/>
        </w:rPr>
        <w:t xml:space="preserve">ven if the party seeking admission of such evidence meets this </w:t>
      </w:r>
      <w:r w:rsidR="00E86EF6">
        <w:rPr>
          <w:color w:val="000000"/>
          <w:szCs w:val="26"/>
          <w:shd w:val="clear" w:color="auto" w:fill="FFFFFF"/>
        </w:rPr>
        <w:t xml:space="preserve">threshold </w:t>
      </w:r>
      <w:r w:rsidR="007B1C31">
        <w:rPr>
          <w:color w:val="000000"/>
          <w:szCs w:val="26"/>
          <w:shd w:val="clear" w:color="auto" w:fill="FFFFFF"/>
        </w:rPr>
        <w:t xml:space="preserve">burden, the trial court retains the discretion to exclude this evidence if </w:t>
      </w:r>
      <w:r w:rsidR="007B1C31">
        <w:rPr>
          <w:color w:val="000000"/>
          <w:szCs w:val="26"/>
          <w:shd w:val="clear" w:color="auto" w:fill="FFFFFF"/>
        </w:rPr>
        <w:lastRenderedPageBreak/>
        <w:t>“its probative value is substantially outweighed by the probability that its admission will” either “necessitate undue consumption of time” or “create substantial danger of undue prejudice, of confusing the issues, or of misleading the jury.”  (</w:t>
      </w:r>
      <w:proofErr w:type="spellStart"/>
      <w:r w:rsidR="007B1C31">
        <w:rPr>
          <w:color w:val="000000"/>
          <w:szCs w:val="26"/>
          <w:shd w:val="clear" w:color="auto" w:fill="FFFFFF"/>
        </w:rPr>
        <w:t>Evid</w:t>
      </w:r>
      <w:proofErr w:type="spellEnd"/>
      <w:r w:rsidR="007B1C31">
        <w:rPr>
          <w:color w:val="000000"/>
          <w:szCs w:val="26"/>
          <w:shd w:val="clear" w:color="auto" w:fill="FFFFFF"/>
        </w:rPr>
        <w:t>. Code</w:t>
      </w:r>
      <w:r w:rsidR="00A96AC6">
        <w:rPr>
          <w:color w:val="000000"/>
          <w:szCs w:val="26"/>
          <w:shd w:val="clear" w:color="auto" w:fill="FFFFFF"/>
        </w:rPr>
        <w:t>,</w:t>
      </w:r>
      <w:r w:rsidR="007B1C31">
        <w:rPr>
          <w:color w:val="000000"/>
          <w:szCs w:val="26"/>
          <w:shd w:val="clear" w:color="auto" w:fill="FFFFFF"/>
        </w:rPr>
        <w:t xml:space="preserve"> §</w:t>
      </w:r>
      <w:r w:rsidR="0032289A">
        <w:rPr>
          <w:color w:val="000000"/>
          <w:szCs w:val="26"/>
          <w:shd w:val="clear" w:color="auto" w:fill="FFFFFF"/>
        </w:rPr>
        <w:t> </w:t>
      </w:r>
      <w:r w:rsidR="007B1C31">
        <w:rPr>
          <w:color w:val="000000"/>
          <w:szCs w:val="26"/>
          <w:shd w:val="clear" w:color="auto" w:fill="FFFFFF"/>
        </w:rPr>
        <w:t>352.)</w:t>
      </w:r>
      <w:r w:rsidR="00C62A66">
        <w:rPr>
          <w:color w:val="000000"/>
          <w:szCs w:val="26"/>
          <w:shd w:val="clear" w:color="auto" w:fill="FFFFFF"/>
        </w:rPr>
        <w:t xml:space="preserve">  </w:t>
      </w:r>
      <w:r w:rsidR="00E86EF6">
        <w:rPr>
          <w:color w:val="000000"/>
          <w:szCs w:val="26"/>
          <w:shd w:val="clear" w:color="auto" w:fill="FFFFFF"/>
        </w:rPr>
        <w:t>And finally</w:t>
      </w:r>
      <w:r w:rsidR="007B1C31">
        <w:rPr>
          <w:color w:val="000000"/>
          <w:szCs w:val="26"/>
          <w:shd w:val="clear" w:color="auto" w:fill="FFFFFF"/>
        </w:rPr>
        <w:t xml:space="preserve">, if </w:t>
      </w:r>
      <w:r w:rsidR="00754115">
        <w:rPr>
          <w:color w:val="000000"/>
          <w:szCs w:val="26"/>
          <w:shd w:val="clear" w:color="auto" w:fill="FFFFFF"/>
        </w:rPr>
        <w:t xml:space="preserve">the party opposing admission of this evidence makes a timely request, </w:t>
      </w:r>
      <w:r w:rsidR="007B1C31">
        <w:rPr>
          <w:color w:val="000000"/>
          <w:szCs w:val="26"/>
          <w:shd w:val="clear" w:color="auto" w:fill="FFFFFF"/>
        </w:rPr>
        <w:t xml:space="preserve">the trial court must issue a jury instruction </w:t>
      </w:r>
      <w:r w:rsidR="00754115">
        <w:rPr>
          <w:color w:val="000000"/>
          <w:szCs w:val="26"/>
          <w:shd w:val="clear" w:color="auto" w:fill="FFFFFF"/>
        </w:rPr>
        <w:t xml:space="preserve">that explains </w:t>
      </w:r>
      <w:r w:rsidR="0045376D">
        <w:rPr>
          <w:color w:val="000000"/>
          <w:szCs w:val="26"/>
          <w:shd w:val="clear" w:color="auto" w:fill="FFFFFF"/>
        </w:rPr>
        <w:t xml:space="preserve">how this evidence may and may not be considered under the risk-benefit test.  </w:t>
      </w:r>
      <w:r w:rsidR="0045376D">
        <w:t>(</w:t>
      </w:r>
      <w:proofErr w:type="spellStart"/>
      <w:r w:rsidR="0045376D">
        <w:t>Evid</w:t>
      </w:r>
      <w:proofErr w:type="spellEnd"/>
      <w:r w:rsidR="0045376D">
        <w:t>. Code, §</w:t>
      </w:r>
      <w:r w:rsidR="0032289A">
        <w:t> </w:t>
      </w:r>
      <w:r w:rsidR="0045376D">
        <w:t>355 [“</w:t>
      </w:r>
      <w:r w:rsidR="0045376D" w:rsidRPr="0045376D">
        <w:t>When evidence is admissible as to one party or for one purpose and is inadmissible as to another party or for another purpose, the court upon request shall restrict the evidence to its proper scope and instruct the jury accordingly.</w:t>
      </w:r>
      <w:r w:rsidR="0045376D">
        <w:t>”]</w:t>
      </w:r>
      <w:r w:rsidR="00974ADC">
        <w:t>.</w:t>
      </w:r>
      <w:r w:rsidR="0045376D">
        <w:t>)</w:t>
      </w:r>
      <w:r w:rsidR="001E4ED6" w:rsidRPr="00A6421F">
        <w:rPr>
          <w:rStyle w:val="FootnoteReference"/>
          <w:color w:val="000000"/>
          <w:szCs w:val="26"/>
          <w:shd w:val="clear" w:color="auto" w:fill="FFFFFF"/>
        </w:rPr>
        <w:footnoteReference w:id="7"/>
      </w:r>
    </w:p>
    <w:p w14:paraId="7B3DC264" w14:textId="77777777" w:rsidR="00AB4C29" w:rsidRPr="006E76CF" w:rsidRDefault="00BD150A" w:rsidP="00F67118">
      <w:pPr>
        <w:ind w:firstLine="0"/>
        <w:jc w:val="center"/>
        <w:rPr>
          <w:b/>
          <w:color w:val="000000"/>
          <w:szCs w:val="26"/>
          <w:shd w:val="clear" w:color="auto" w:fill="FFFFFF"/>
        </w:rPr>
      </w:pPr>
      <w:r>
        <w:rPr>
          <w:b/>
          <w:color w:val="000000"/>
          <w:szCs w:val="26"/>
          <w:shd w:val="clear" w:color="auto" w:fill="FFFFFF"/>
        </w:rPr>
        <w:t>III</w:t>
      </w:r>
      <w:r w:rsidR="006E76CF" w:rsidRPr="006E76CF">
        <w:rPr>
          <w:b/>
          <w:color w:val="000000"/>
          <w:szCs w:val="26"/>
          <w:shd w:val="clear" w:color="auto" w:fill="FFFFFF"/>
        </w:rPr>
        <w:t>.</w:t>
      </w:r>
    </w:p>
    <w:p w14:paraId="0B5774D0" w14:textId="77777777" w:rsidR="00840297" w:rsidRDefault="0034558E" w:rsidP="00F67118">
      <w:r>
        <w:rPr>
          <w:color w:val="000000"/>
          <w:szCs w:val="26"/>
          <w:shd w:val="clear" w:color="auto" w:fill="FFFFFF"/>
        </w:rPr>
        <w:t xml:space="preserve">Because industry custom and practice evidence </w:t>
      </w:r>
      <w:r w:rsidR="00EB6AA0">
        <w:rPr>
          <w:color w:val="000000"/>
          <w:szCs w:val="26"/>
          <w:shd w:val="clear" w:color="auto" w:fill="FFFFFF"/>
        </w:rPr>
        <w:t xml:space="preserve">can shed light on the appropriate inquiry under the risk-benefit test, the trial court was </w:t>
      </w:r>
      <w:r w:rsidR="000424E1">
        <w:rPr>
          <w:color w:val="000000"/>
          <w:szCs w:val="26"/>
          <w:shd w:val="clear" w:color="auto" w:fill="FFFFFF"/>
        </w:rPr>
        <w:t xml:space="preserve">correct to deny the </w:t>
      </w:r>
      <w:proofErr w:type="spellStart"/>
      <w:r w:rsidR="000424E1">
        <w:rPr>
          <w:color w:val="000000"/>
          <w:szCs w:val="26"/>
          <w:shd w:val="clear" w:color="auto" w:fill="FFFFFF"/>
        </w:rPr>
        <w:t>Kims</w:t>
      </w:r>
      <w:proofErr w:type="spellEnd"/>
      <w:r w:rsidR="000424E1">
        <w:rPr>
          <w:color w:val="000000"/>
          <w:szCs w:val="26"/>
          <w:shd w:val="clear" w:color="auto" w:fill="FFFFFF"/>
        </w:rPr>
        <w:t>’</w:t>
      </w:r>
      <w:r w:rsidR="00EC2CC4">
        <w:rPr>
          <w:color w:val="000000"/>
          <w:szCs w:val="26"/>
          <w:shd w:val="clear" w:color="auto" w:fill="FFFFFF"/>
        </w:rPr>
        <w:t xml:space="preserve"> motion in </w:t>
      </w:r>
      <w:proofErr w:type="spellStart"/>
      <w:r w:rsidR="00EC2CC4">
        <w:rPr>
          <w:color w:val="000000"/>
          <w:szCs w:val="26"/>
          <w:shd w:val="clear" w:color="auto" w:fill="FFFFFF"/>
        </w:rPr>
        <w:t>limine</w:t>
      </w:r>
      <w:proofErr w:type="spellEnd"/>
      <w:r w:rsidR="00EC2CC4">
        <w:rPr>
          <w:color w:val="000000"/>
          <w:szCs w:val="26"/>
          <w:shd w:val="clear" w:color="auto" w:fill="FFFFFF"/>
        </w:rPr>
        <w:t xml:space="preserve"> seeking to exclude all evidence of industry custom and practice in this case</w:t>
      </w:r>
      <w:r w:rsidR="000424E1">
        <w:rPr>
          <w:color w:val="000000"/>
          <w:szCs w:val="26"/>
          <w:shd w:val="clear" w:color="auto" w:fill="FFFFFF"/>
        </w:rPr>
        <w:t xml:space="preserve">.  </w:t>
      </w:r>
      <w:r w:rsidR="00B173C3">
        <w:rPr>
          <w:color w:val="000000"/>
          <w:szCs w:val="26"/>
          <w:shd w:val="clear" w:color="auto" w:fill="FFFFFF"/>
        </w:rPr>
        <w:t xml:space="preserve">The court was </w:t>
      </w:r>
      <w:r w:rsidR="00961EC0">
        <w:rPr>
          <w:color w:val="000000"/>
          <w:szCs w:val="26"/>
          <w:shd w:val="clear" w:color="auto" w:fill="FFFFFF"/>
        </w:rPr>
        <w:t>likewise</w:t>
      </w:r>
      <w:r w:rsidR="00B173C3">
        <w:rPr>
          <w:color w:val="000000"/>
          <w:szCs w:val="26"/>
          <w:shd w:val="clear" w:color="auto" w:fill="FFFFFF"/>
        </w:rPr>
        <w:t xml:space="preserve"> correct to admit the challenged evidence at trial.  </w:t>
      </w:r>
      <w:r w:rsidR="0074081F">
        <w:rPr>
          <w:color w:val="000000"/>
          <w:szCs w:val="26"/>
          <w:shd w:val="clear" w:color="auto" w:fill="FFFFFF"/>
        </w:rPr>
        <w:t xml:space="preserve">As noted, the </w:t>
      </w:r>
      <w:proofErr w:type="spellStart"/>
      <w:r w:rsidR="0074081F">
        <w:rPr>
          <w:color w:val="000000"/>
          <w:szCs w:val="26"/>
          <w:shd w:val="clear" w:color="auto" w:fill="FFFFFF"/>
        </w:rPr>
        <w:t>Kims</w:t>
      </w:r>
      <w:proofErr w:type="spellEnd"/>
      <w:r w:rsidR="0074081F">
        <w:rPr>
          <w:color w:val="000000"/>
          <w:szCs w:val="26"/>
          <w:shd w:val="clear" w:color="auto" w:fill="FFFFFF"/>
        </w:rPr>
        <w:t xml:space="preserve"> themselves </w:t>
      </w:r>
      <w:r w:rsidR="00F5668F">
        <w:rPr>
          <w:color w:val="000000"/>
          <w:szCs w:val="26"/>
          <w:shd w:val="clear" w:color="auto" w:fill="FFFFFF"/>
        </w:rPr>
        <w:t xml:space="preserve">introduced </w:t>
      </w:r>
      <w:r w:rsidR="00840297">
        <w:t>what they refer to as “</w:t>
      </w:r>
      <w:r w:rsidR="004A324A">
        <w:t>[t]</w:t>
      </w:r>
      <w:r w:rsidR="00840297">
        <w:t xml:space="preserve">rue industry custom evidence”:  the fact that none of Toyota’s competitors offered VSC as either standard or optional equipment on the 2005 models of their pickup trucks.  </w:t>
      </w:r>
      <w:proofErr w:type="spellStart"/>
      <w:r w:rsidR="00840297">
        <w:t>Lobenstein</w:t>
      </w:r>
      <w:proofErr w:type="spellEnd"/>
      <w:r w:rsidR="00840297">
        <w:t xml:space="preserve"> testified to this point during both direct </w:t>
      </w:r>
      <w:proofErr w:type="gramStart"/>
      <w:r w:rsidR="00840297">
        <w:t>examination</w:t>
      </w:r>
      <w:proofErr w:type="gramEnd"/>
      <w:r w:rsidR="00840297">
        <w:t xml:space="preserve"> by the </w:t>
      </w:r>
      <w:proofErr w:type="spellStart"/>
      <w:r w:rsidR="00840297">
        <w:t>Kims</w:t>
      </w:r>
      <w:proofErr w:type="spellEnd"/>
      <w:r w:rsidR="00840297">
        <w:t xml:space="preserve"> and cross</w:t>
      </w:r>
      <w:r w:rsidR="00712B11">
        <w:t>-</w:t>
      </w:r>
      <w:r w:rsidR="00840297">
        <w:t xml:space="preserve">examination by Toyota.  </w:t>
      </w:r>
      <w:r w:rsidR="00B82260">
        <w:t>T</w:t>
      </w:r>
      <w:r w:rsidR="00840297">
        <w:t xml:space="preserve">he </w:t>
      </w:r>
      <w:proofErr w:type="spellStart"/>
      <w:r w:rsidR="00840297">
        <w:t>Kims</w:t>
      </w:r>
      <w:proofErr w:type="spellEnd"/>
      <w:r w:rsidR="00840297">
        <w:t xml:space="preserve"> contended that evidence of industry custom was relevant to the risk-benefit analysis because it demonstrated Toyota’s actual weighing of the risks and benefits of the 2005 Toyota Tundra’s design.  The </w:t>
      </w:r>
      <w:proofErr w:type="spellStart"/>
      <w:r w:rsidR="00840297">
        <w:t>Kims</w:t>
      </w:r>
      <w:proofErr w:type="spellEnd"/>
      <w:r w:rsidR="00840297">
        <w:t xml:space="preserve"> argued to the jury that because</w:t>
      </w:r>
      <w:r w:rsidR="00840297" w:rsidRPr="00756C0D">
        <w:t xml:space="preserve"> Toyota knew that pickup trucks </w:t>
      </w:r>
      <w:r w:rsidR="00840297" w:rsidRPr="00756C0D">
        <w:lastRenderedPageBreak/>
        <w:t>have similar lo</w:t>
      </w:r>
      <w:r w:rsidR="00840297">
        <w:t xml:space="preserve">ss-of-control risks </w:t>
      </w:r>
      <w:r w:rsidR="00712B11">
        <w:t>to</w:t>
      </w:r>
      <w:r w:rsidR="00840297">
        <w:t xml:space="preserve"> SUVs, which were equipped with VSC as standard equipment, Toyota </w:t>
      </w:r>
      <w:r w:rsidR="00840297" w:rsidRPr="00756C0D">
        <w:t>knowingly disregarded th</w:t>
      </w:r>
      <w:r w:rsidR="00513EB0">
        <w:t>ese</w:t>
      </w:r>
      <w:r w:rsidR="00840297">
        <w:t xml:space="preserve"> loss-of-control </w:t>
      </w:r>
      <w:r w:rsidR="00840297" w:rsidRPr="00756C0D">
        <w:t>risk</w:t>
      </w:r>
      <w:r w:rsidR="00840297">
        <w:t>s in the pickup trucks</w:t>
      </w:r>
      <w:r w:rsidR="00840297" w:rsidRPr="00756C0D">
        <w:t xml:space="preserve"> because Toyota saw no competitive advantage in including </w:t>
      </w:r>
      <w:r w:rsidR="00840297">
        <w:t xml:space="preserve">VSC </w:t>
      </w:r>
      <w:r w:rsidR="00840297" w:rsidRPr="00756C0D">
        <w:t>as standard equipment</w:t>
      </w:r>
      <w:r w:rsidR="00840297">
        <w:t xml:space="preserve"> in their pickup trucks</w:t>
      </w:r>
      <w:r w:rsidR="00840297" w:rsidRPr="00756C0D">
        <w:t xml:space="preserve">.  </w:t>
      </w:r>
      <w:r w:rsidR="00840297">
        <w:t xml:space="preserve">The </w:t>
      </w:r>
      <w:proofErr w:type="spellStart"/>
      <w:r w:rsidR="00840297">
        <w:t>Kims</w:t>
      </w:r>
      <w:proofErr w:type="spellEnd"/>
      <w:r w:rsidR="00840297">
        <w:t xml:space="preserve"> therefore used the evidence of industry custom</w:t>
      </w:r>
      <w:r w:rsidR="00513EB0">
        <w:t xml:space="preserve"> to </w:t>
      </w:r>
      <w:r w:rsidR="00840297">
        <w:t>es</w:t>
      </w:r>
      <w:r w:rsidR="00840297" w:rsidRPr="00DE5447">
        <w:t>tablish</w:t>
      </w:r>
      <w:r w:rsidR="00840297">
        <w:t xml:space="preserve"> that </w:t>
      </w:r>
      <w:r w:rsidR="00513EB0">
        <w:t>Toyota’s decision not to make VSC standard</w:t>
      </w:r>
      <w:r w:rsidR="00862FD1">
        <w:t xml:space="preserve"> equipment</w:t>
      </w:r>
      <w:r w:rsidR="00513EB0">
        <w:t xml:space="preserve"> was </w:t>
      </w:r>
      <w:r w:rsidR="00513EB0" w:rsidRPr="00AC6AA6">
        <w:t>unrelated</w:t>
      </w:r>
      <w:r w:rsidR="00513EB0">
        <w:t xml:space="preserve"> to legitimate design considerations</w:t>
      </w:r>
      <w:r w:rsidR="00862FD1">
        <w:t>.</w:t>
      </w:r>
      <w:r w:rsidR="00513EB0">
        <w:t xml:space="preserve">  </w:t>
      </w:r>
    </w:p>
    <w:p w14:paraId="3528F40E" w14:textId="213860AB" w:rsidR="00841BF7" w:rsidRDefault="00AB24D4" w:rsidP="00F67118">
      <w:r>
        <w:t xml:space="preserve">The </w:t>
      </w:r>
      <w:proofErr w:type="spellStart"/>
      <w:r>
        <w:t>Kims</w:t>
      </w:r>
      <w:proofErr w:type="spellEnd"/>
      <w:r w:rsidR="00841BF7">
        <w:t xml:space="preserve"> argue that the trial court erred in admitting this evidence</w:t>
      </w:r>
      <w:r w:rsidR="00340060">
        <w:t>.</w:t>
      </w:r>
      <w:r w:rsidR="00CA4D54">
        <w:t xml:space="preserve"> </w:t>
      </w:r>
      <w:r w:rsidR="00340060">
        <w:t xml:space="preserve"> B</w:t>
      </w:r>
      <w:r w:rsidR="004E1190">
        <w:t xml:space="preserve">ut having elicited the evidence themselves, the </w:t>
      </w:r>
      <w:proofErr w:type="spellStart"/>
      <w:r w:rsidR="004E1190">
        <w:t>Kims</w:t>
      </w:r>
      <w:proofErr w:type="spellEnd"/>
      <w:r w:rsidR="004E1190">
        <w:t xml:space="preserve"> are </w:t>
      </w:r>
      <w:r w:rsidR="00340060">
        <w:t xml:space="preserve">hardly </w:t>
      </w:r>
      <w:r w:rsidR="004E1190">
        <w:t xml:space="preserve">in a position to object to its admission.  </w:t>
      </w:r>
      <w:r w:rsidR="00841BF7">
        <w:t xml:space="preserve">(E.g., </w:t>
      </w:r>
      <w:proofErr w:type="spellStart"/>
      <w:r w:rsidR="00841BF7">
        <w:rPr>
          <w:i/>
        </w:rPr>
        <w:t>Gjurich</w:t>
      </w:r>
      <w:proofErr w:type="spellEnd"/>
      <w:r w:rsidR="00841BF7">
        <w:rPr>
          <w:i/>
        </w:rPr>
        <w:t xml:space="preserve"> v. </w:t>
      </w:r>
      <w:proofErr w:type="spellStart"/>
      <w:r w:rsidR="00841BF7">
        <w:rPr>
          <w:i/>
        </w:rPr>
        <w:t>Fieg</w:t>
      </w:r>
      <w:proofErr w:type="spellEnd"/>
      <w:r w:rsidR="00841BF7">
        <w:t xml:space="preserve"> (1913) 164 Cal. 429, 433</w:t>
      </w:r>
      <w:r w:rsidR="005E1A35">
        <w:t>;</w:t>
      </w:r>
      <w:r w:rsidR="005E1A35">
        <w:rPr>
          <w:i/>
        </w:rPr>
        <w:t xml:space="preserve"> </w:t>
      </w:r>
      <w:r w:rsidR="005E1A35">
        <w:t xml:space="preserve">see also </w:t>
      </w:r>
      <w:r w:rsidR="005E1A35" w:rsidRPr="005E1A35">
        <w:rPr>
          <w:i/>
        </w:rPr>
        <w:t>People v. Williams</w:t>
      </w:r>
      <w:r w:rsidR="005E1A35">
        <w:rPr>
          <w:i/>
        </w:rPr>
        <w:t xml:space="preserve"> </w:t>
      </w:r>
      <w:r w:rsidR="005E1A35">
        <w:t xml:space="preserve">(1988) 44 Cal.3d 883, 912 [“It is axiomatic that a party who himself offers inadmissible evidence is estopped to assert error in regard thereto.”].)  </w:t>
      </w:r>
      <w:r w:rsidR="00863316">
        <w:t xml:space="preserve">In </w:t>
      </w:r>
      <w:r w:rsidR="005F35A9">
        <w:t>any event, as</w:t>
      </w:r>
      <w:r w:rsidR="00863316">
        <w:t xml:space="preserve"> noted, the evidence was </w:t>
      </w:r>
      <w:r w:rsidR="00650823">
        <w:t xml:space="preserve">relevant, and </w:t>
      </w:r>
      <w:r w:rsidR="000A3F1F">
        <w:t>therefore admissible</w:t>
      </w:r>
      <w:r w:rsidR="00E86EF6">
        <w:t xml:space="preserve"> in the </w:t>
      </w:r>
      <w:proofErr w:type="spellStart"/>
      <w:r w:rsidR="00E86EF6">
        <w:t>Kims</w:t>
      </w:r>
      <w:proofErr w:type="spellEnd"/>
      <w:r w:rsidR="00E86EF6">
        <w:t>’ case</w:t>
      </w:r>
      <w:r w:rsidR="00B803C0">
        <w:t xml:space="preserve">, insofar as it illuminated the </w:t>
      </w:r>
      <w:proofErr w:type="spellStart"/>
      <w:r w:rsidR="00B803C0">
        <w:t>decisionmaking</w:t>
      </w:r>
      <w:proofErr w:type="spellEnd"/>
      <w:r w:rsidR="00B803C0">
        <w:t xml:space="preserve"> process that resulted in </w:t>
      </w:r>
      <w:r w:rsidR="00B8066E">
        <w:t>the Tundra’s design.</w:t>
      </w:r>
    </w:p>
    <w:p w14:paraId="7F27822B" w14:textId="77777777" w:rsidR="00002229" w:rsidRPr="006E76CF" w:rsidRDefault="00840297" w:rsidP="00F67118">
      <w:pPr>
        <w:rPr>
          <w:color w:val="000000"/>
          <w:szCs w:val="26"/>
          <w:shd w:val="clear" w:color="auto" w:fill="FFFFFF"/>
        </w:rPr>
      </w:pPr>
      <w:r>
        <w:t xml:space="preserve">On cross-examination, Toyota elicited the same information from </w:t>
      </w:r>
      <w:proofErr w:type="spellStart"/>
      <w:r w:rsidR="00712B11">
        <w:t>Lobenstein</w:t>
      </w:r>
      <w:proofErr w:type="spellEnd"/>
      <w:r>
        <w:t xml:space="preserve">, as well as testimony regarding the industry practice of phasing new safety technologies into vehicles on the market.  The </w:t>
      </w:r>
      <w:proofErr w:type="spellStart"/>
      <w:r>
        <w:t>Kims</w:t>
      </w:r>
      <w:proofErr w:type="spellEnd"/>
      <w:r>
        <w:t xml:space="preserve"> did not object to this line of questioning, and even if they had, the questioning was not objectionable:  In response to questions raised by the </w:t>
      </w:r>
      <w:proofErr w:type="spellStart"/>
      <w:r>
        <w:t>Kims</w:t>
      </w:r>
      <w:proofErr w:type="spellEnd"/>
      <w:r>
        <w:t xml:space="preserve"> concerning Toyota’</w:t>
      </w:r>
      <w:r w:rsidR="007B5B7C">
        <w:t xml:space="preserve">s </w:t>
      </w:r>
      <w:proofErr w:type="spellStart"/>
      <w:r w:rsidR="007B5B7C">
        <w:t>decisionmaking</w:t>
      </w:r>
      <w:proofErr w:type="spellEnd"/>
      <w:r w:rsidR="007B5B7C">
        <w:t xml:space="preserve"> process</w:t>
      </w:r>
      <w:r>
        <w:t>, Toyota elicited additional evidence to explain how Toyota decides whether and when to implement</w:t>
      </w:r>
      <w:r w:rsidR="005E1A35">
        <w:t xml:space="preserve"> emerging safety technologies.  </w:t>
      </w:r>
      <w:r>
        <w:t>In so doing, it shed light on “the relative complexity of design decisions and the trade-offs that are frequently required in the adoption of alternative designs.”  (</w:t>
      </w:r>
      <w:r>
        <w:rPr>
          <w:i/>
        </w:rPr>
        <w:t>Barker</w:t>
      </w:r>
      <w:r>
        <w:t xml:space="preserve">, </w:t>
      </w:r>
      <w:r>
        <w:rPr>
          <w:i/>
        </w:rPr>
        <w:t>supra</w:t>
      </w:r>
      <w:r>
        <w:t>, 20 Cal.3d at p.</w:t>
      </w:r>
      <w:r w:rsidR="006C6239">
        <w:t> </w:t>
      </w:r>
      <w:r>
        <w:t>418.)</w:t>
      </w:r>
      <w:r w:rsidR="0006636C">
        <w:t xml:space="preserve">  We agree with the Court of Appeal that even if the </w:t>
      </w:r>
      <w:proofErr w:type="spellStart"/>
      <w:r w:rsidR="0006636C">
        <w:t>Kims</w:t>
      </w:r>
      <w:proofErr w:type="spellEnd"/>
      <w:r w:rsidR="0006636C">
        <w:t xml:space="preserve"> had not first put Toyota’s </w:t>
      </w:r>
      <w:proofErr w:type="spellStart"/>
      <w:r w:rsidR="0006636C">
        <w:t>decisionmaking</w:t>
      </w:r>
      <w:proofErr w:type="spellEnd"/>
      <w:r w:rsidR="0006636C">
        <w:t xml:space="preserve"> process at issue, </w:t>
      </w:r>
      <w:r w:rsidR="00002229" w:rsidRPr="006E76CF">
        <w:rPr>
          <w:color w:val="000000"/>
          <w:szCs w:val="26"/>
          <w:shd w:val="clear" w:color="auto" w:fill="FFFFFF"/>
        </w:rPr>
        <w:t xml:space="preserve">“testimony about how new safety technologies evolve and are phased in to vehicles in general, first as an </w:t>
      </w:r>
      <w:r w:rsidR="00002229" w:rsidRPr="006E76CF">
        <w:rPr>
          <w:color w:val="000000"/>
          <w:szCs w:val="26"/>
          <w:shd w:val="clear" w:color="auto" w:fill="FFFFFF"/>
        </w:rPr>
        <w:lastRenderedPageBreak/>
        <w:t>option and then as standard equipment, is relevant t</w:t>
      </w:r>
      <w:r w:rsidR="00002229">
        <w:rPr>
          <w:color w:val="000000"/>
          <w:szCs w:val="26"/>
          <w:shd w:val="clear" w:color="auto" w:fill="FFFFFF"/>
        </w:rPr>
        <w:t xml:space="preserve">o the risk-benefit </w:t>
      </w:r>
      <w:proofErr w:type="gramStart"/>
      <w:r w:rsidR="00002229">
        <w:rPr>
          <w:color w:val="000000"/>
          <w:szCs w:val="26"/>
          <w:shd w:val="clear" w:color="auto" w:fill="FFFFFF"/>
        </w:rPr>
        <w:t>analysis</w:t>
      </w:r>
      <w:r w:rsidR="00DB4B3B">
        <w:rPr>
          <w:color w:val="000000"/>
          <w:szCs w:val="26"/>
          <w:shd w:val="clear" w:color="auto" w:fill="FFFFFF"/>
        </w:rPr>
        <w:t xml:space="preserve"> .</w:t>
      </w:r>
      <w:proofErr w:type="gramEnd"/>
      <w:r w:rsidR="00DB4B3B">
        <w:rPr>
          <w:color w:val="000000"/>
          <w:szCs w:val="26"/>
          <w:shd w:val="clear" w:color="auto" w:fill="FFFFFF"/>
        </w:rPr>
        <w:t> . .</w:t>
      </w:r>
      <w:r w:rsidR="00002229">
        <w:rPr>
          <w:color w:val="000000"/>
          <w:szCs w:val="26"/>
          <w:shd w:val="clear" w:color="auto" w:fill="FFFFFF"/>
        </w:rPr>
        <w:t xml:space="preserve">” and thus admissible.  </w:t>
      </w:r>
    </w:p>
    <w:p w14:paraId="29B99798" w14:textId="77777777" w:rsidR="0066589B" w:rsidRDefault="005F6177" w:rsidP="00F67118">
      <w:pPr>
        <w:rPr>
          <w:color w:val="000000"/>
          <w:szCs w:val="26"/>
          <w:shd w:val="clear" w:color="auto" w:fill="FFFFFF"/>
        </w:rPr>
      </w:pPr>
      <w:r>
        <w:rPr>
          <w:color w:val="000000"/>
          <w:szCs w:val="26"/>
          <w:shd w:val="clear" w:color="auto" w:fill="FFFFFF"/>
        </w:rPr>
        <w:t xml:space="preserve">Toyota </w:t>
      </w:r>
      <w:r w:rsidR="001637A3">
        <w:rPr>
          <w:color w:val="000000"/>
          <w:szCs w:val="26"/>
          <w:shd w:val="clear" w:color="auto" w:fill="FFFFFF"/>
        </w:rPr>
        <w:t xml:space="preserve">also </w:t>
      </w:r>
      <w:r>
        <w:rPr>
          <w:color w:val="000000"/>
          <w:szCs w:val="26"/>
          <w:shd w:val="clear" w:color="auto" w:fill="FFFFFF"/>
        </w:rPr>
        <w:t xml:space="preserve">argues that the challenged evidence </w:t>
      </w:r>
      <w:r w:rsidR="008645C9">
        <w:rPr>
          <w:color w:val="000000"/>
          <w:szCs w:val="26"/>
          <w:shd w:val="clear" w:color="auto" w:fill="FFFFFF"/>
        </w:rPr>
        <w:t xml:space="preserve">was </w:t>
      </w:r>
      <w:r>
        <w:rPr>
          <w:color w:val="000000"/>
          <w:szCs w:val="26"/>
          <w:shd w:val="clear" w:color="auto" w:fill="FFFFFF"/>
        </w:rPr>
        <w:t xml:space="preserve">admissible </w:t>
      </w:r>
      <w:r w:rsidR="001637A3">
        <w:rPr>
          <w:color w:val="000000"/>
          <w:szCs w:val="26"/>
          <w:shd w:val="clear" w:color="auto" w:fill="FFFFFF"/>
        </w:rPr>
        <w:t xml:space="preserve">to shed light on the </w:t>
      </w:r>
      <w:r w:rsidR="007A4267">
        <w:rPr>
          <w:color w:val="000000"/>
          <w:szCs w:val="26"/>
          <w:shd w:val="clear" w:color="auto" w:fill="FFFFFF"/>
        </w:rPr>
        <w:t xml:space="preserve">safety of its design, absent standard VSC.  </w:t>
      </w:r>
      <w:r w:rsidR="006E76CF" w:rsidRPr="006E76CF">
        <w:rPr>
          <w:color w:val="000000"/>
          <w:szCs w:val="26"/>
          <w:shd w:val="clear" w:color="auto" w:fill="FFFFFF"/>
        </w:rPr>
        <w:t xml:space="preserve">Toyota argues </w:t>
      </w:r>
      <w:r w:rsidR="009B0BCE">
        <w:rPr>
          <w:color w:val="000000"/>
          <w:szCs w:val="26"/>
          <w:shd w:val="clear" w:color="auto" w:fill="FFFFFF"/>
        </w:rPr>
        <w:t xml:space="preserve">in particular </w:t>
      </w:r>
      <w:r w:rsidR="006E76CF" w:rsidRPr="006E76CF">
        <w:rPr>
          <w:color w:val="000000"/>
          <w:szCs w:val="26"/>
          <w:shd w:val="clear" w:color="auto" w:fill="FFFFFF"/>
        </w:rPr>
        <w:t xml:space="preserve">that the </w:t>
      </w:r>
      <w:r w:rsidR="00883F31">
        <w:rPr>
          <w:color w:val="000000"/>
          <w:szCs w:val="26"/>
          <w:shd w:val="clear" w:color="auto" w:fill="FFFFFF"/>
        </w:rPr>
        <w:t xml:space="preserve">jury was entitled to consider that the </w:t>
      </w:r>
      <w:proofErr w:type="spellStart"/>
      <w:r w:rsidR="006E76CF" w:rsidRPr="006E76CF">
        <w:rPr>
          <w:color w:val="000000"/>
          <w:szCs w:val="26"/>
          <w:shd w:val="clear" w:color="auto" w:fill="FFFFFF"/>
        </w:rPr>
        <w:t>Kims</w:t>
      </w:r>
      <w:proofErr w:type="spellEnd"/>
      <w:r w:rsidR="006E76CF" w:rsidRPr="006E76CF">
        <w:rPr>
          <w:color w:val="000000"/>
          <w:szCs w:val="26"/>
          <w:shd w:val="clear" w:color="auto" w:fill="FFFFFF"/>
        </w:rPr>
        <w:t xml:space="preserve">’ theory that the 2005 Toyota Tundra contained a design defect “meant that every 2005 pickup was defective.”  </w:t>
      </w:r>
      <w:r w:rsidR="000D2F40">
        <w:rPr>
          <w:color w:val="000000"/>
          <w:szCs w:val="26"/>
          <w:shd w:val="clear" w:color="auto" w:fill="FFFFFF"/>
        </w:rPr>
        <w:t xml:space="preserve">And indeed, Toyota asked the jury to do just that, arguing in closing </w:t>
      </w:r>
      <w:r w:rsidR="00DB4B3B">
        <w:rPr>
          <w:color w:val="000000"/>
          <w:szCs w:val="26"/>
          <w:shd w:val="clear" w:color="auto" w:fill="FFFFFF"/>
        </w:rPr>
        <w:t xml:space="preserve">argument </w:t>
      </w:r>
      <w:r w:rsidR="006E76CF" w:rsidRPr="006E76CF">
        <w:rPr>
          <w:color w:val="000000"/>
          <w:szCs w:val="26"/>
          <w:shd w:val="clear" w:color="auto" w:fill="FFFFFF"/>
        </w:rPr>
        <w:t>that “[n]</w:t>
      </w:r>
      <w:proofErr w:type="spellStart"/>
      <w:r w:rsidR="006E76CF" w:rsidRPr="006E76CF">
        <w:rPr>
          <w:color w:val="000000"/>
          <w:szCs w:val="26"/>
          <w:shd w:val="clear" w:color="auto" w:fill="FFFFFF"/>
        </w:rPr>
        <w:t>ot</w:t>
      </w:r>
      <w:proofErr w:type="spellEnd"/>
      <w:r w:rsidR="006E76CF" w:rsidRPr="006E76CF">
        <w:rPr>
          <w:color w:val="000000"/>
          <w:szCs w:val="26"/>
          <w:shd w:val="clear" w:color="auto" w:fill="FFFFFF"/>
        </w:rPr>
        <w:t xml:space="preserve"> a single pickup on the market in model year 2005 or </w:t>
      </w:r>
      <w:r w:rsidR="00A576E4">
        <w:rPr>
          <w:color w:val="000000"/>
          <w:szCs w:val="26"/>
          <w:shd w:val="clear" w:color="auto" w:fill="FFFFFF"/>
        </w:rPr>
        <w:t>’</w:t>
      </w:r>
      <w:r w:rsidR="006E76CF" w:rsidRPr="006E76CF">
        <w:rPr>
          <w:color w:val="000000"/>
          <w:szCs w:val="26"/>
          <w:shd w:val="clear" w:color="auto" w:fill="FFFFFF"/>
        </w:rPr>
        <w:t xml:space="preserve">6 had standard VSC.  And if the position of the plaintiffs is that every vehicle or every pickup that didn’t have VSC in 2005 was defective, then we sure have a lot of ticking </w:t>
      </w:r>
      <w:r w:rsidR="006E76CF" w:rsidRPr="00947F46">
        <w:rPr>
          <w:color w:val="000000"/>
          <w:szCs w:val="26"/>
          <w:shd w:val="clear" w:color="auto" w:fill="FFFFFF"/>
        </w:rPr>
        <w:t>time bombs out there.</w:t>
      </w:r>
      <w:r w:rsidR="0066589B">
        <w:rPr>
          <w:color w:val="000000"/>
          <w:szCs w:val="26"/>
          <w:shd w:val="clear" w:color="auto" w:fill="FFFFFF"/>
        </w:rPr>
        <w:t xml:space="preserve">”  </w:t>
      </w:r>
    </w:p>
    <w:p w14:paraId="4FF97251" w14:textId="15A779B1" w:rsidR="007D4CC3" w:rsidRDefault="00EB54A0">
      <w:pPr>
        <w:rPr>
          <w:color w:val="000000"/>
          <w:szCs w:val="26"/>
          <w:shd w:val="clear" w:color="auto" w:fill="FFFFFF"/>
        </w:rPr>
      </w:pPr>
      <w:r w:rsidRPr="00947F46">
        <w:rPr>
          <w:color w:val="000000"/>
          <w:szCs w:val="26"/>
          <w:shd w:val="clear" w:color="auto" w:fill="FFFFFF"/>
        </w:rPr>
        <w:t>The</w:t>
      </w:r>
      <w:r w:rsidR="006E76CF" w:rsidRPr="00947F46">
        <w:rPr>
          <w:color w:val="000000"/>
          <w:szCs w:val="26"/>
          <w:shd w:val="clear" w:color="auto" w:fill="FFFFFF"/>
        </w:rPr>
        <w:t xml:space="preserve"> Court of Appeal </w:t>
      </w:r>
      <w:r w:rsidR="00E86EF6">
        <w:rPr>
          <w:color w:val="000000"/>
          <w:szCs w:val="26"/>
          <w:shd w:val="clear" w:color="auto" w:fill="FFFFFF"/>
        </w:rPr>
        <w:t>criticiz</w:t>
      </w:r>
      <w:r w:rsidR="0066589B">
        <w:rPr>
          <w:color w:val="000000"/>
          <w:szCs w:val="26"/>
          <w:shd w:val="clear" w:color="auto" w:fill="FFFFFF"/>
        </w:rPr>
        <w:t xml:space="preserve">ed this </w:t>
      </w:r>
      <w:r w:rsidR="00DD5607">
        <w:rPr>
          <w:color w:val="000000"/>
          <w:szCs w:val="26"/>
          <w:shd w:val="clear" w:color="auto" w:fill="FFFFFF"/>
        </w:rPr>
        <w:t>theory</w:t>
      </w:r>
      <w:r w:rsidR="0066589B">
        <w:rPr>
          <w:color w:val="000000"/>
          <w:szCs w:val="26"/>
          <w:shd w:val="clear" w:color="auto" w:fill="FFFFFF"/>
        </w:rPr>
        <w:t xml:space="preserve">, </w:t>
      </w:r>
      <w:r w:rsidR="008A503A">
        <w:rPr>
          <w:color w:val="000000"/>
          <w:szCs w:val="26"/>
          <w:shd w:val="clear" w:color="auto" w:fill="FFFFFF"/>
        </w:rPr>
        <w:t>calling</w:t>
      </w:r>
      <w:r w:rsidR="0066589B">
        <w:rPr>
          <w:color w:val="000000"/>
          <w:szCs w:val="26"/>
          <w:shd w:val="clear" w:color="auto" w:fill="FFFFFF"/>
        </w:rPr>
        <w:t xml:space="preserve"> it </w:t>
      </w:r>
      <w:r w:rsidR="006E76CF" w:rsidRPr="00947F46">
        <w:rPr>
          <w:color w:val="000000"/>
          <w:szCs w:val="26"/>
          <w:shd w:val="clear" w:color="auto" w:fill="FFFFFF"/>
        </w:rPr>
        <w:t>“a prime example</w:t>
      </w:r>
      <w:r w:rsidR="001636BC" w:rsidRPr="00947F46">
        <w:rPr>
          <w:color w:val="000000"/>
          <w:szCs w:val="26"/>
          <w:shd w:val="clear" w:color="auto" w:fill="FFFFFF"/>
        </w:rPr>
        <w:t>”</w:t>
      </w:r>
      <w:r w:rsidR="006E76CF" w:rsidRPr="00947F46">
        <w:rPr>
          <w:color w:val="000000"/>
          <w:szCs w:val="26"/>
          <w:shd w:val="clear" w:color="auto" w:fill="FFFFFF"/>
        </w:rPr>
        <w:t xml:space="preserve"> of when industry custom and practice would not be </w:t>
      </w:r>
      <w:r w:rsidR="006F72DA" w:rsidRPr="00947F46">
        <w:rPr>
          <w:color w:val="000000"/>
          <w:szCs w:val="26"/>
          <w:shd w:val="clear" w:color="auto" w:fill="FFFFFF"/>
        </w:rPr>
        <w:t>relevant</w:t>
      </w:r>
      <w:r w:rsidR="008A503A">
        <w:rPr>
          <w:color w:val="000000"/>
          <w:szCs w:val="26"/>
          <w:shd w:val="clear" w:color="auto" w:fill="FFFFFF"/>
        </w:rPr>
        <w:t>.</w:t>
      </w:r>
      <w:r w:rsidR="00EF48A8" w:rsidRPr="00947F46">
        <w:rPr>
          <w:color w:val="000000"/>
          <w:szCs w:val="26"/>
          <w:shd w:val="clear" w:color="auto" w:fill="FFFFFF"/>
        </w:rPr>
        <w:t xml:space="preserve">  A</w:t>
      </w:r>
      <w:r w:rsidR="006E76CF" w:rsidRPr="00947F46">
        <w:rPr>
          <w:color w:val="000000"/>
          <w:szCs w:val="26"/>
          <w:shd w:val="clear" w:color="auto" w:fill="FFFFFF"/>
        </w:rPr>
        <w:t xml:space="preserve"> manufacturer’s compliance with industry custom</w:t>
      </w:r>
      <w:r w:rsidR="008A503A">
        <w:rPr>
          <w:color w:val="000000"/>
          <w:szCs w:val="26"/>
          <w:shd w:val="clear" w:color="auto" w:fill="FFFFFF"/>
        </w:rPr>
        <w:t>, the court explained,</w:t>
      </w:r>
      <w:r w:rsidR="006E76CF" w:rsidRPr="00947F46">
        <w:rPr>
          <w:color w:val="000000"/>
          <w:szCs w:val="26"/>
          <w:shd w:val="clear" w:color="auto" w:fill="FFFFFF"/>
        </w:rPr>
        <w:t xml:space="preserve"> “does not tend to prove the product is not dangerous: </w:t>
      </w:r>
      <w:r w:rsidR="001636BC" w:rsidRPr="00947F46">
        <w:rPr>
          <w:color w:val="000000"/>
          <w:szCs w:val="26"/>
          <w:shd w:val="clear" w:color="auto" w:fill="FFFFFF"/>
        </w:rPr>
        <w:t xml:space="preserve"> </w:t>
      </w:r>
      <w:r w:rsidR="006E76CF" w:rsidRPr="00947F46">
        <w:rPr>
          <w:color w:val="000000"/>
          <w:szCs w:val="26"/>
          <w:shd w:val="clear" w:color="auto" w:fill="FFFFFF"/>
        </w:rPr>
        <w:t>All manufacturers may be producing an uns</w:t>
      </w:r>
      <w:r w:rsidR="001636BC" w:rsidRPr="00947F46">
        <w:rPr>
          <w:color w:val="000000"/>
          <w:szCs w:val="26"/>
          <w:shd w:val="clear" w:color="auto" w:fill="FFFFFF"/>
        </w:rPr>
        <w:t>afe product.”</w:t>
      </w:r>
      <w:r w:rsidR="007D4CC3">
        <w:rPr>
          <w:color w:val="000000"/>
          <w:szCs w:val="26"/>
          <w:shd w:val="clear" w:color="auto" w:fill="FFFFFF"/>
        </w:rPr>
        <w:t xml:space="preserve">  </w:t>
      </w:r>
      <w:r w:rsidR="000B48BC">
        <w:rPr>
          <w:color w:val="000000"/>
          <w:szCs w:val="26"/>
          <w:shd w:val="clear" w:color="auto" w:fill="FFFFFF"/>
        </w:rPr>
        <w:t>Th</w:t>
      </w:r>
      <w:r w:rsidR="007A4267">
        <w:rPr>
          <w:color w:val="000000"/>
          <w:szCs w:val="26"/>
          <w:shd w:val="clear" w:color="auto" w:fill="FFFFFF"/>
        </w:rPr>
        <w:t xml:space="preserve">e premise is correct, but the conclusion </w:t>
      </w:r>
      <w:r w:rsidR="009B0BCE">
        <w:rPr>
          <w:color w:val="000000"/>
          <w:szCs w:val="26"/>
          <w:shd w:val="clear" w:color="auto" w:fill="FFFFFF"/>
        </w:rPr>
        <w:t xml:space="preserve">is somewhat </w:t>
      </w:r>
      <w:r w:rsidR="000B48BC">
        <w:rPr>
          <w:color w:val="000000"/>
          <w:szCs w:val="26"/>
          <w:shd w:val="clear" w:color="auto" w:fill="FFFFFF"/>
        </w:rPr>
        <w:t>overstated.  T</w:t>
      </w:r>
      <w:r w:rsidR="00BB5314">
        <w:rPr>
          <w:color w:val="000000"/>
          <w:szCs w:val="26"/>
          <w:shd w:val="clear" w:color="auto" w:fill="FFFFFF"/>
        </w:rPr>
        <w:t xml:space="preserve">he </w:t>
      </w:r>
      <w:r w:rsidR="00C638DF" w:rsidRPr="00947F46">
        <w:rPr>
          <w:color w:val="000000"/>
          <w:szCs w:val="26"/>
          <w:shd w:val="clear" w:color="auto" w:fill="FFFFFF"/>
        </w:rPr>
        <w:t xml:space="preserve">Court of Appeal </w:t>
      </w:r>
      <w:r w:rsidR="000B48BC">
        <w:rPr>
          <w:color w:val="000000"/>
          <w:szCs w:val="26"/>
          <w:shd w:val="clear" w:color="auto" w:fill="FFFFFF"/>
        </w:rPr>
        <w:t xml:space="preserve">was, of course, </w:t>
      </w:r>
      <w:r w:rsidR="006C1729">
        <w:rPr>
          <w:color w:val="000000"/>
          <w:szCs w:val="26"/>
          <w:shd w:val="clear" w:color="auto" w:fill="FFFFFF"/>
        </w:rPr>
        <w:t xml:space="preserve">right to note </w:t>
      </w:r>
      <w:r w:rsidR="003B0AEA">
        <w:rPr>
          <w:color w:val="000000"/>
          <w:szCs w:val="26"/>
          <w:shd w:val="clear" w:color="auto" w:fill="FFFFFF"/>
        </w:rPr>
        <w:t>that a</w:t>
      </w:r>
      <w:r w:rsidR="00AF464F">
        <w:rPr>
          <w:color w:val="000000"/>
          <w:szCs w:val="26"/>
          <w:shd w:val="clear" w:color="auto" w:fill="FFFFFF"/>
        </w:rPr>
        <w:t xml:space="preserve"> manufacturer’s compliance with industry custom </w:t>
      </w:r>
      <w:r w:rsidR="002F791D">
        <w:rPr>
          <w:color w:val="000000"/>
          <w:szCs w:val="26"/>
          <w:shd w:val="clear" w:color="auto" w:fill="FFFFFF"/>
        </w:rPr>
        <w:t>does not</w:t>
      </w:r>
      <w:r w:rsidR="008A503A">
        <w:rPr>
          <w:color w:val="000000"/>
          <w:szCs w:val="26"/>
          <w:shd w:val="clear" w:color="auto" w:fill="FFFFFF"/>
        </w:rPr>
        <w:t>, without more,</w:t>
      </w:r>
      <w:r w:rsidR="002F791D">
        <w:rPr>
          <w:color w:val="000000"/>
          <w:szCs w:val="26"/>
          <w:shd w:val="clear" w:color="auto" w:fill="FFFFFF"/>
        </w:rPr>
        <w:t xml:space="preserve"> </w:t>
      </w:r>
      <w:r w:rsidR="002F791D" w:rsidRPr="008A503A">
        <w:rPr>
          <w:i/>
          <w:color w:val="000000"/>
          <w:szCs w:val="26"/>
          <w:shd w:val="clear" w:color="auto" w:fill="FFFFFF"/>
        </w:rPr>
        <w:t>prove</w:t>
      </w:r>
      <w:r w:rsidR="002F791D">
        <w:rPr>
          <w:color w:val="000000"/>
          <w:szCs w:val="26"/>
          <w:shd w:val="clear" w:color="auto" w:fill="FFFFFF"/>
        </w:rPr>
        <w:t xml:space="preserve"> t</w:t>
      </w:r>
      <w:r w:rsidR="00512D1A">
        <w:rPr>
          <w:color w:val="000000"/>
          <w:szCs w:val="26"/>
          <w:shd w:val="clear" w:color="auto" w:fill="FFFFFF"/>
        </w:rPr>
        <w:t>hat a product is not dangerous</w:t>
      </w:r>
      <w:r w:rsidR="00C638DF">
        <w:rPr>
          <w:color w:val="000000"/>
          <w:szCs w:val="26"/>
          <w:shd w:val="clear" w:color="auto" w:fill="FFFFFF"/>
        </w:rPr>
        <w:t xml:space="preserve">.  </w:t>
      </w:r>
      <w:r w:rsidR="00734D65">
        <w:rPr>
          <w:color w:val="000000"/>
          <w:szCs w:val="26"/>
          <w:shd w:val="clear" w:color="auto" w:fill="FFFFFF"/>
        </w:rPr>
        <w:t>But</w:t>
      </w:r>
      <w:r w:rsidR="00176B3F">
        <w:rPr>
          <w:color w:val="000000"/>
          <w:szCs w:val="26"/>
          <w:shd w:val="clear" w:color="auto" w:fill="FFFFFF"/>
        </w:rPr>
        <w:t xml:space="preserve"> </w:t>
      </w:r>
      <w:r w:rsidR="007D4CC3">
        <w:rPr>
          <w:color w:val="000000"/>
          <w:szCs w:val="26"/>
          <w:shd w:val="clear" w:color="auto" w:fill="FFFFFF"/>
        </w:rPr>
        <w:t xml:space="preserve">as explained above, evidence of industry custom and practice may, in some cases, illuminate whether the product embodies excess preventable danger, given the trade-offs between competing design choices.  </w:t>
      </w:r>
      <w:r w:rsidR="001F1D24">
        <w:rPr>
          <w:color w:val="000000"/>
          <w:szCs w:val="26"/>
          <w:shd w:val="clear" w:color="auto" w:fill="FFFFFF"/>
        </w:rPr>
        <w:t>Here, othe</w:t>
      </w:r>
      <w:r w:rsidR="00F93D5B">
        <w:rPr>
          <w:color w:val="000000"/>
          <w:szCs w:val="26"/>
          <w:shd w:val="clear" w:color="auto" w:fill="FFFFFF"/>
        </w:rPr>
        <w:t xml:space="preserve">r evidence before the jury revealed the role that safety considerations play </w:t>
      </w:r>
      <w:r w:rsidR="005C2591">
        <w:rPr>
          <w:color w:val="000000"/>
          <w:szCs w:val="26"/>
          <w:shd w:val="clear" w:color="auto" w:fill="FFFFFF"/>
        </w:rPr>
        <w:t xml:space="preserve">in the development of new vehicle designs in the automotive industry.  The challenged </w:t>
      </w:r>
      <w:r w:rsidR="00F82BE6">
        <w:rPr>
          <w:color w:val="000000"/>
          <w:szCs w:val="26"/>
          <w:shd w:val="clear" w:color="auto" w:fill="FFFFFF"/>
        </w:rPr>
        <w:t xml:space="preserve">industry practice </w:t>
      </w:r>
      <w:r w:rsidR="005C2591">
        <w:rPr>
          <w:color w:val="000000"/>
          <w:szCs w:val="26"/>
          <w:shd w:val="clear" w:color="auto" w:fill="FFFFFF"/>
        </w:rPr>
        <w:t xml:space="preserve">evidence was admissible to shed light </w:t>
      </w:r>
      <w:r w:rsidR="006C1729">
        <w:rPr>
          <w:color w:val="000000"/>
          <w:szCs w:val="26"/>
          <w:shd w:val="clear" w:color="auto" w:fill="FFFFFF"/>
        </w:rPr>
        <w:t xml:space="preserve">on the safety of </w:t>
      </w:r>
      <w:r w:rsidR="002A6B09">
        <w:rPr>
          <w:color w:val="000000"/>
          <w:szCs w:val="26"/>
          <w:shd w:val="clear" w:color="auto" w:fill="FFFFFF"/>
        </w:rPr>
        <w:t xml:space="preserve">the Tundra’s </w:t>
      </w:r>
      <w:r w:rsidR="006C1729">
        <w:rPr>
          <w:color w:val="000000"/>
          <w:szCs w:val="26"/>
          <w:shd w:val="clear" w:color="auto" w:fill="FFFFFF"/>
        </w:rPr>
        <w:t>design, absent standard VSC</w:t>
      </w:r>
      <w:r w:rsidR="002A6B09">
        <w:rPr>
          <w:color w:val="000000"/>
          <w:szCs w:val="26"/>
          <w:shd w:val="clear" w:color="auto" w:fill="FFFFFF"/>
        </w:rPr>
        <w:t>.</w:t>
      </w:r>
    </w:p>
    <w:p w14:paraId="2FA36DEF" w14:textId="77777777" w:rsidR="006C0802" w:rsidRDefault="00AD7236" w:rsidP="00F67118">
      <w:pPr>
        <w:rPr>
          <w:color w:val="000000"/>
          <w:szCs w:val="26"/>
          <w:shd w:val="clear" w:color="auto" w:fill="FFFFFF"/>
        </w:rPr>
      </w:pPr>
      <w:r>
        <w:rPr>
          <w:color w:val="000000"/>
          <w:szCs w:val="26"/>
          <w:shd w:val="clear" w:color="auto" w:fill="FFFFFF"/>
        </w:rPr>
        <w:t>Once again, w</w:t>
      </w:r>
      <w:r w:rsidR="00A31EC7">
        <w:rPr>
          <w:color w:val="000000"/>
          <w:szCs w:val="26"/>
          <w:shd w:val="clear" w:color="auto" w:fill="FFFFFF"/>
        </w:rPr>
        <w:t>hether a manufacturer’s product is as safe as or safer than any product on the market is not the question in a strict products liability case.  But a</w:t>
      </w:r>
      <w:r w:rsidR="00A61936">
        <w:rPr>
          <w:color w:val="000000"/>
          <w:szCs w:val="26"/>
          <w:shd w:val="clear" w:color="auto" w:fill="FFFFFF"/>
        </w:rPr>
        <w:t xml:space="preserve"> </w:t>
      </w:r>
      <w:r w:rsidR="00A61936">
        <w:rPr>
          <w:color w:val="000000"/>
          <w:szCs w:val="26"/>
          <w:shd w:val="clear" w:color="auto" w:fill="FFFFFF"/>
        </w:rPr>
        <w:lastRenderedPageBreak/>
        <w:t>jury</w:t>
      </w:r>
      <w:r w:rsidR="007D4CC3">
        <w:rPr>
          <w:color w:val="000000"/>
          <w:szCs w:val="26"/>
          <w:shd w:val="clear" w:color="auto" w:fill="FFFFFF"/>
        </w:rPr>
        <w:t xml:space="preserve"> </w:t>
      </w:r>
      <w:r w:rsidR="00A61936">
        <w:rPr>
          <w:color w:val="000000"/>
          <w:szCs w:val="26"/>
          <w:shd w:val="clear" w:color="auto" w:fill="FFFFFF"/>
        </w:rPr>
        <w:t>may</w:t>
      </w:r>
      <w:r w:rsidR="00BE508B">
        <w:rPr>
          <w:color w:val="000000"/>
          <w:szCs w:val="26"/>
          <w:shd w:val="clear" w:color="auto" w:fill="FFFFFF"/>
        </w:rPr>
        <w:t>, in appropriate cases,</w:t>
      </w:r>
      <w:r w:rsidR="00A61936">
        <w:rPr>
          <w:color w:val="000000"/>
          <w:szCs w:val="26"/>
          <w:shd w:val="clear" w:color="auto" w:fill="FFFFFF"/>
        </w:rPr>
        <w:t xml:space="preserve"> consider </w:t>
      </w:r>
      <w:r w:rsidR="00A31EC7">
        <w:rPr>
          <w:color w:val="000000"/>
          <w:szCs w:val="26"/>
          <w:shd w:val="clear" w:color="auto" w:fill="FFFFFF"/>
        </w:rPr>
        <w:t xml:space="preserve">such </w:t>
      </w:r>
      <w:r w:rsidR="004C1787">
        <w:rPr>
          <w:color w:val="000000"/>
          <w:szCs w:val="26"/>
          <w:shd w:val="clear" w:color="auto" w:fill="FFFFFF"/>
        </w:rPr>
        <w:t>evidence</w:t>
      </w:r>
      <w:r w:rsidR="00A61936">
        <w:rPr>
          <w:color w:val="000000"/>
          <w:szCs w:val="26"/>
          <w:shd w:val="clear" w:color="auto" w:fill="FFFFFF"/>
        </w:rPr>
        <w:t xml:space="preserve">, just as it may consider </w:t>
      </w:r>
      <w:r w:rsidR="006A7948">
        <w:rPr>
          <w:color w:val="000000"/>
          <w:szCs w:val="26"/>
          <w:shd w:val="clear" w:color="auto" w:fill="FFFFFF"/>
        </w:rPr>
        <w:t>whether the manufacturer has complied with industry technical standards</w:t>
      </w:r>
      <w:r w:rsidR="00163294">
        <w:rPr>
          <w:color w:val="000000"/>
          <w:szCs w:val="26"/>
          <w:shd w:val="clear" w:color="auto" w:fill="FFFFFF"/>
        </w:rPr>
        <w:t>,</w:t>
      </w:r>
      <w:r w:rsidR="006A7948">
        <w:rPr>
          <w:color w:val="000000"/>
          <w:szCs w:val="26"/>
          <w:shd w:val="clear" w:color="auto" w:fill="FFFFFF"/>
        </w:rPr>
        <w:t xml:space="preserve"> </w:t>
      </w:r>
      <w:r w:rsidR="00B4183A">
        <w:rPr>
          <w:color w:val="000000"/>
          <w:szCs w:val="26"/>
          <w:shd w:val="clear" w:color="auto" w:fill="FFFFFF"/>
        </w:rPr>
        <w:t xml:space="preserve">in evaluating whether, on balance, </w:t>
      </w:r>
      <w:r w:rsidR="00EE0350">
        <w:rPr>
          <w:color w:val="000000"/>
          <w:szCs w:val="26"/>
          <w:shd w:val="clear" w:color="auto" w:fill="FFFFFF"/>
        </w:rPr>
        <w:t xml:space="preserve">the design </w:t>
      </w:r>
      <w:r w:rsidR="007D4CC3">
        <w:rPr>
          <w:color w:val="000000"/>
          <w:szCs w:val="26"/>
          <w:shd w:val="clear" w:color="auto" w:fill="FFFFFF"/>
        </w:rPr>
        <w:t>is defective</w:t>
      </w:r>
      <w:r w:rsidR="00EE0350">
        <w:rPr>
          <w:color w:val="000000"/>
          <w:szCs w:val="26"/>
          <w:shd w:val="clear" w:color="auto" w:fill="FFFFFF"/>
        </w:rPr>
        <w:t>.</w:t>
      </w:r>
      <w:r w:rsidR="006C0802">
        <w:rPr>
          <w:color w:val="000000"/>
          <w:szCs w:val="26"/>
          <w:shd w:val="clear" w:color="auto" w:fill="FFFFFF"/>
        </w:rPr>
        <w:t xml:space="preserve">  </w:t>
      </w:r>
    </w:p>
    <w:p w14:paraId="2BBD41DE" w14:textId="77777777" w:rsidR="00A630B7" w:rsidRDefault="00527EB4" w:rsidP="00F67118">
      <w:pPr>
        <w:ind w:firstLine="0"/>
        <w:jc w:val="center"/>
        <w:rPr>
          <w:b/>
        </w:rPr>
      </w:pPr>
      <w:r>
        <w:rPr>
          <w:b/>
        </w:rPr>
        <w:t>I</w:t>
      </w:r>
      <w:r w:rsidR="00574FD5">
        <w:rPr>
          <w:b/>
        </w:rPr>
        <w:t xml:space="preserve">V. </w:t>
      </w:r>
    </w:p>
    <w:p w14:paraId="1694A589" w14:textId="77777777" w:rsidR="00F163AB" w:rsidRPr="00F163AB" w:rsidRDefault="00527EB4" w:rsidP="00F67118">
      <w:r>
        <w:t>We</w:t>
      </w:r>
      <w:r w:rsidR="00F163AB" w:rsidRPr="00F163AB">
        <w:t xml:space="preserve"> affirm the judgment of the Court of Appeal.  </w:t>
      </w:r>
    </w:p>
    <w:p w14:paraId="5F9F41F9" w14:textId="77777777" w:rsidR="00AF464F" w:rsidRDefault="00AF464F" w:rsidP="00F67118"/>
    <w:p w14:paraId="7BB2D90D" w14:textId="77777777" w:rsidR="003F3813" w:rsidRPr="00205D93" w:rsidRDefault="003F3813" w:rsidP="00F67118">
      <w:pPr>
        <w:ind w:left="5040" w:firstLine="0"/>
        <w:rPr>
          <w:b/>
          <w:caps/>
        </w:rPr>
      </w:pPr>
      <w:bookmarkStart w:id="2" w:name="_GoBack"/>
      <w:r w:rsidRPr="00205D93">
        <w:rPr>
          <w:b/>
          <w:caps/>
        </w:rPr>
        <w:t>Kruger, J.</w:t>
      </w:r>
    </w:p>
    <w:bookmarkEnd w:id="2"/>
    <w:p w14:paraId="173DC1A2" w14:textId="77777777" w:rsidR="003F3813" w:rsidRDefault="003F3813" w:rsidP="00F67118">
      <w:pPr>
        <w:ind w:firstLine="0"/>
      </w:pPr>
    </w:p>
    <w:p w14:paraId="373A2BB5" w14:textId="77777777" w:rsidR="00F24FC5" w:rsidRDefault="002A6056" w:rsidP="00F67118">
      <w:pPr>
        <w:ind w:firstLine="0"/>
        <w:rPr>
          <w:b/>
        </w:rPr>
      </w:pPr>
      <w:r>
        <w:rPr>
          <w:b/>
        </w:rPr>
        <w:t>WE CONCUR:</w:t>
      </w:r>
    </w:p>
    <w:p w14:paraId="48E2D3BB" w14:textId="77777777" w:rsidR="00627956" w:rsidRDefault="00627956" w:rsidP="00627956">
      <w:pPr>
        <w:spacing w:line="240" w:lineRule="auto"/>
        <w:ind w:firstLine="0"/>
        <w:rPr>
          <w:b/>
        </w:rPr>
      </w:pPr>
    </w:p>
    <w:p w14:paraId="77DA8764" w14:textId="62E6BCB8" w:rsidR="00790B5A" w:rsidRDefault="00627956" w:rsidP="00627956">
      <w:pPr>
        <w:spacing w:line="240" w:lineRule="auto"/>
        <w:ind w:firstLine="0"/>
        <w:rPr>
          <w:b/>
        </w:rPr>
      </w:pPr>
      <w:r>
        <w:rPr>
          <w:b/>
        </w:rPr>
        <w:t>CANTIL-SAKAUYE, C. J.</w:t>
      </w:r>
    </w:p>
    <w:p w14:paraId="03DF0FA0" w14:textId="70ABF5C0" w:rsidR="00627956" w:rsidRDefault="00627956" w:rsidP="00627956">
      <w:pPr>
        <w:spacing w:line="240" w:lineRule="auto"/>
        <w:ind w:firstLine="0"/>
        <w:rPr>
          <w:b/>
        </w:rPr>
      </w:pPr>
      <w:r>
        <w:rPr>
          <w:b/>
        </w:rPr>
        <w:t>CHIN, J.</w:t>
      </w:r>
    </w:p>
    <w:p w14:paraId="0FFFBAE4" w14:textId="48E23D15" w:rsidR="00627956" w:rsidRDefault="00627956" w:rsidP="00627956">
      <w:pPr>
        <w:spacing w:line="240" w:lineRule="auto"/>
        <w:ind w:firstLine="0"/>
        <w:rPr>
          <w:b/>
        </w:rPr>
      </w:pPr>
      <w:r>
        <w:rPr>
          <w:b/>
        </w:rPr>
        <w:t>CORRIGAN, J.</w:t>
      </w:r>
    </w:p>
    <w:p w14:paraId="020F2D04" w14:textId="77777777" w:rsidR="00901D5F" w:rsidRDefault="00627956" w:rsidP="00627956">
      <w:pPr>
        <w:spacing w:line="240" w:lineRule="auto"/>
        <w:ind w:firstLine="0"/>
        <w:rPr>
          <w:b/>
        </w:rPr>
        <w:sectPr w:rsidR="00901D5F" w:rsidSect="00E167E1">
          <w:footerReference w:type="default" r:id="rId8"/>
          <w:footerReference w:type="first" r:id="rId9"/>
          <w:footnotePr>
            <w:numRestart w:val="eachSect"/>
          </w:footnotePr>
          <w:pgSz w:w="12240" w:h="15840"/>
          <w:pgMar w:top="1440" w:right="1800" w:bottom="1440" w:left="1800" w:header="720" w:footer="720" w:gutter="0"/>
          <w:cols w:space="720"/>
          <w:titlePg/>
          <w:docGrid w:linePitch="354"/>
        </w:sectPr>
      </w:pPr>
      <w:r>
        <w:rPr>
          <w:b/>
        </w:rPr>
        <w:t>CUÉLLAR, J.</w:t>
      </w:r>
    </w:p>
    <w:p w14:paraId="3698C2E0" w14:textId="680508E9" w:rsidR="00901D5F" w:rsidRPr="00901D5F" w:rsidRDefault="00901D5F" w:rsidP="00901D5F">
      <w:pPr>
        <w:spacing w:line="480" w:lineRule="exact"/>
        <w:ind w:firstLine="0"/>
        <w:rPr>
          <w:b/>
        </w:rPr>
      </w:pPr>
    </w:p>
    <w:p w14:paraId="1D78CAD8" w14:textId="77777777" w:rsidR="00901D5F" w:rsidRPr="00901D5F" w:rsidRDefault="00901D5F" w:rsidP="00901D5F">
      <w:pPr>
        <w:spacing w:line="480" w:lineRule="exact"/>
        <w:ind w:firstLine="0"/>
        <w:rPr>
          <w:b/>
        </w:rPr>
      </w:pPr>
    </w:p>
    <w:p w14:paraId="3E0A7C90" w14:textId="66EEFC5E" w:rsidR="00901D5F" w:rsidRPr="00901D5F" w:rsidRDefault="00901D5F" w:rsidP="00901D5F">
      <w:pPr>
        <w:spacing w:line="480" w:lineRule="exact"/>
        <w:ind w:firstLine="0"/>
      </w:pPr>
    </w:p>
    <w:p w14:paraId="33596DB7" w14:textId="41689F04" w:rsidR="00901D5F" w:rsidRPr="00901D5F" w:rsidRDefault="00901D5F" w:rsidP="00901D5F">
      <w:pPr>
        <w:spacing w:line="480" w:lineRule="exact"/>
        <w:ind w:firstLine="0"/>
        <w:rPr>
          <w:i/>
        </w:rPr>
      </w:pPr>
    </w:p>
    <w:p w14:paraId="08D2D150" w14:textId="77777777" w:rsidR="00901D5F" w:rsidRPr="00901D5F" w:rsidRDefault="00901D5F" w:rsidP="00901D5F">
      <w:pPr>
        <w:spacing w:line="480" w:lineRule="exact"/>
        <w:ind w:firstLine="0"/>
      </w:pPr>
    </w:p>
    <w:p w14:paraId="1AB496A6" w14:textId="77777777" w:rsidR="00901D5F" w:rsidRPr="00901D5F" w:rsidRDefault="00901D5F" w:rsidP="00901D5F">
      <w:pPr>
        <w:spacing w:line="480" w:lineRule="exact"/>
        <w:ind w:firstLine="0"/>
        <w:jc w:val="center"/>
        <w:rPr>
          <w:b/>
        </w:rPr>
      </w:pPr>
      <w:r w:rsidRPr="00901D5F">
        <w:rPr>
          <w:b/>
        </w:rPr>
        <w:t>CONCURRING OPINION BY DATO, J.</w:t>
      </w:r>
    </w:p>
    <w:p w14:paraId="1D0414B5" w14:textId="77777777" w:rsidR="00901D5F" w:rsidRPr="00901D5F" w:rsidRDefault="00901D5F" w:rsidP="00901D5F">
      <w:pPr>
        <w:spacing w:line="480" w:lineRule="exact"/>
        <w:ind w:firstLine="0"/>
      </w:pPr>
    </w:p>
    <w:p w14:paraId="409B1249" w14:textId="77777777" w:rsidR="00901D5F" w:rsidRPr="00901D5F" w:rsidRDefault="00901D5F" w:rsidP="00901D5F">
      <w:pPr>
        <w:spacing w:line="480" w:lineRule="auto"/>
        <w:ind w:firstLine="0"/>
        <w:rPr>
          <w:szCs w:val="24"/>
          <w:lang w:bidi="en-US"/>
        </w:rPr>
      </w:pPr>
      <w:r w:rsidRPr="00901D5F">
        <w:rPr>
          <w:szCs w:val="24"/>
          <w:lang w:bidi="en-US"/>
        </w:rPr>
        <w:tab/>
        <w:t xml:space="preserve">The answer you receive often depends on how you ask the question.  Here, the majority opinion broadly frames the issue before the court as whether industry custom-and-practice evidence may be introduced in a strict products liability action.  The answer, we learn, “depends on the purpose for which the evidence is offered.”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at pp. 1−2.)  As a statement of principle, this conclusion is unassailable, if a bit opaque.  The devil is in the details, and the critical question becomes for what purposes is such evidence admissible, and for what purposes is it not?</w:t>
      </w:r>
    </w:p>
    <w:p w14:paraId="18194CA5" w14:textId="77777777" w:rsidR="00901D5F" w:rsidRPr="00901D5F" w:rsidRDefault="00901D5F" w:rsidP="00901D5F">
      <w:pPr>
        <w:spacing w:line="480" w:lineRule="auto"/>
        <w:ind w:firstLine="0"/>
        <w:rPr>
          <w:szCs w:val="24"/>
          <w:lang w:bidi="en-US"/>
        </w:rPr>
      </w:pPr>
      <w:r w:rsidRPr="00901D5F">
        <w:rPr>
          <w:szCs w:val="24"/>
          <w:lang w:bidi="en-US"/>
        </w:rPr>
        <w:tab/>
        <w:t xml:space="preserve">Even before this court’s seminal design defect decision in </w:t>
      </w:r>
      <w:r w:rsidRPr="00901D5F">
        <w:rPr>
          <w:i/>
          <w:szCs w:val="24"/>
          <w:lang w:bidi="en-US"/>
        </w:rPr>
        <w:t xml:space="preserve">Barker </w:t>
      </w:r>
      <w:proofErr w:type="gramStart"/>
      <w:r w:rsidRPr="00901D5F">
        <w:rPr>
          <w:i/>
          <w:szCs w:val="24"/>
          <w:lang w:bidi="en-US"/>
        </w:rPr>
        <w:t>v.</w:t>
      </w:r>
      <w:proofErr w:type="gramEnd"/>
      <w:r w:rsidRPr="00901D5F">
        <w:rPr>
          <w:i/>
          <w:szCs w:val="24"/>
          <w:lang w:bidi="en-US"/>
        </w:rPr>
        <w:t xml:space="preserve"> Lull Engineering Co. </w:t>
      </w:r>
      <w:r w:rsidRPr="00901D5F">
        <w:rPr>
          <w:szCs w:val="24"/>
          <w:lang w:bidi="en-US"/>
        </w:rPr>
        <w:t>(1978) 20 Cal.3d 413 (</w:t>
      </w:r>
      <w:r w:rsidRPr="00901D5F">
        <w:rPr>
          <w:i/>
          <w:szCs w:val="24"/>
          <w:lang w:bidi="en-US"/>
        </w:rPr>
        <w:t>Barker</w:t>
      </w:r>
      <w:r w:rsidRPr="00901D5F">
        <w:rPr>
          <w:szCs w:val="24"/>
          <w:lang w:bidi="en-US"/>
        </w:rPr>
        <w:t xml:space="preserve">), the central question presented by this appeal was consistently characterized in narrower terms:  Is evidence of </w:t>
      </w:r>
      <w:r w:rsidRPr="00901D5F">
        <w:rPr>
          <w:i/>
          <w:szCs w:val="24"/>
          <w:lang w:bidi="en-US"/>
        </w:rPr>
        <w:t xml:space="preserve">compliance with </w:t>
      </w:r>
      <w:r w:rsidRPr="00901D5F">
        <w:rPr>
          <w:szCs w:val="24"/>
          <w:lang w:bidi="en-US"/>
        </w:rPr>
        <w:t xml:space="preserve">industry custom and practice admissible in a strict products liability action </w:t>
      </w:r>
      <w:r w:rsidRPr="00901D5F">
        <w:rPr>
          <w:i/>
          <w:szCs w:val="24"/>
          <w:lang w:bidi="en-US"/>
        </w:rPr>
        <w:t>when offered by the defendant to show that the product was not defective in design</w:t>
      </w:r>
      <w:r w:rsidRPr="00901D5F">
        <w:rPr>
          <w:szCs w:val="24"/>
          <w:lang w:bidi="en-US"/>
        </w:rPr>
        <w:t>?  And until relatively recently, the consistent answer from the Courts of Appeal to this narrower question was, “No.”  Since the pre-</w:t>
      </w:r>
      <w:r w:rsidRPr="00901D5F">
        <w:rPr>
          <w:i/>
          <w:szCs w:val="24"/>
          <w:lang w:bidi="en-US"/>
        </w:rPr>
        <w:t xml:space="preserve">Barker </w:t>
      </w:r>
      <w:r w:rsidRPr="00901D5F">
        <w:rPr>
          <w:szCs w:val="24"/>
          <w:lang w:bidi="en-US"/>
        </w:rPr>
        <w:t xml:space="preserve">decision in </w:t>
      </w:r>
      <w:proofErr w:type="spellStart"/>
      <w:r w:rsidRPr="00901D5F">
        <w:rPr>
          <w:i/>
          <w:szCs w:val="24"/>
          <w:lang w:bidi="en-US"/>
        </w:rPr>
        <w:t>Foglio</w:t>
      </w:r>
      <w:proofErr w:type="spellEnd"/>
      <w:r w:rsidRPr="00901D5F">
        <w:rPr>
          <w:i/>
          <w:szCs w:val="24"/>
          <w:lang w:bidi="en-US"/>
        </w:rPr>
        <w:t xml:space="preserve"> v. Western Auto Supply</w:t>
      </w:r>
      <w:r w:rsidRPr="00901D5F">
        <w:rPr>
          <w:szCs w:val="24"/>
          <w:lang w:bidi="en-US"/>
        </w:rPr>
        <w:t xml:space="preserve"> (1976) 56 Cal.App.3d 470, 477, California has followed a uniform and easily understood general rule:  Industry custom-and-practice evidence is typically inadmissible in a design </w:t>
      </w:r>
      <w:r w:rsidRPr="00901D5F">
        <w:rPr>
          <w:szCs w:val="24"/>
          <w:lang w:bidi="en-US"/>
        </w:rPr>
        <w:lastRenderedPageBreak/>
        <w:t xml:space="preserve">defect products liability action when offered by a defendant to show that the product was not defective.  (See </w:t>
      </w:r>
      <w:r w:rsidRPr="00901D5F">
        <w:rPr>
          <w:i/>
          <w:szCs w:val="24"/>
          <w:lang w:bidi="en-US"/>
        </w:rPr>
        <w:t>Titus v. Bethlehem Steel Corp</w:t>
      </w:r>
      <w:r w:rsidRPr="00901D5F">
        <w:rPr>
          <w:szCs w:val="24"/>
          <w:lang w:bidi="en-US"/>
        </w:rPr>
        <w:t xml:space="preserve">. (1979) 91 Cal.App.3d 372, 381–382; </w:t>
      </w:r>
      <w:proofErr w:type="spellStart"/>
      <w:r w:rsidRPr="00901D5F">
        <w:rPr>
          <w:i/>
          <w:szCs w:val="24"/>
          <w:lang w:bidi="en-US"/>
        </w:rPr>
        <w:t>Grimshaw</w:t>
      </w:r>
      <w:proofErr w:type="spellEnd"/>
      <w:r w:rsidRPr="00901D5F">
        <w:rPr>
          <w:i/>
          <w:szCs w:val="24"/>
          <w:lang w:bidi="en-US"/>
        </w:rPr>
        <w:t xml:space="preserve"> v. Ford Motor Co.</w:t>
      </w:r>
      <w:r w:rsidRPr="00901D5F">
        <w:rPr>
          <w:szCs w:val="24"/>
          <w:lang w:bidi="en-US"/>
        </w:rPr>
        <w:t xml:space="preserve"> (1981) 119 Cal.App.3d 757, 802–803; </w:t>
      </w:r>
      <w:r w:rsidRPr="00901D5F">
        <w:rPr>
          <w:i/>
          <w:szCs w:val="24"/>
          <w:lang w:bidi="en-US"/>
        </w:rPr>
        <w:t>Buell-Wilson v. Ford Motor Co.</w:t>
      </w:r>
      <w:r w:rsidRPr="00901D5F">
        <w:rPr>
          <w:szCs w:val="24"/>
          <w:lang w:bidi="en-US"/>
        </w:rPr>
        <w:t xml:space="preserve"> (2006) 141 Cal.App.4th 525, 545.)  There is nothing wrong with this general rule.  As the majority opinion acknowledges, the proper focus of a design defect case is the condition of the product, not the reasonableness of the manufacturer's conduct.  (</w:t>
      </w:r>
      <w:r w:rsidRPr="00901D5F">
        <w:rPr>
          <w:i/>
          <w:szCs w:val="24"/>
          <w:lang w:bidi="en-US"/>
        </w:rPr>
        <w:t>Barker</w:t>
      </w:r>
      <w:r w:rsidRPr="00901D5F">
        <w:rPr>
          <w:szCs w:val="24"/>
          <w:lang w:bidi="en-US"/>
        </w:rPr>
        <w:t>,</w:t>
      </w:r>
      <w:r w:rsidRPr="00901D5F">
        <w:rPr>
          <w:i/>
          <w:szCs w:val="24"/>
          <w:lang w:bidi="en-US"/>
        </w:rPr>
        <w:t xml:space="preserve"> supra</w:t>
      </w:r>
      <w:r w:rsidRPr="00901D5F">
        <w:rPr>
          <w:szCs w:val="24"/>
          <w:lang w:bidi="en-US"/>
        </w:rPr>
        <w:t>,</w:t>
      </w:r>
      <w:r w:rsidRPr="00901D5F">
        <w:rPr>
          <w:i/>
          <w:szCs w:val="24"/>
          <w:lang w:bidi="en-US"/>
        </w:rPr>
        <w:t xml:space="preserve"> </w:t>
      </w:r>
      <w:r w:rsidRPr="00901D5F">
        <w:rPr>
          <w:szCs w:val="24"/>
          <w:lang w:bidi="en-US"/>
        </w:rPr>
        <w:t>20 Cal.3d at p. 434.)  The fact that “everyone else is doing it” the same way may suggest that the manufacturer’s behavior was in some sense reasonable, but it says nothing about whether “the risk of danger inherent in the challenged [product] design outweighs the benefits of such design.”  (</w:t>
      </w:r>
      <w:r w:rsidRPr="00901D5F">
        <w:rPr>
          <w:i/>
          <w:szCs w:val="24"/>
          <w:lang w:bidi="en-US"/>
        </w:rPr>
        <w:t xml:space="preserve">Id. </w:t>
      </w:r>
      <w:r w:rsidRPr="00901D5F">
        <w:rPr>
          <w:szCs w:val="24"/>
          <w:lang w:bidi="en-US"/>
        </w:rPr>
        <w:t>at p. 430.)  What “everyone else is doing” is not relevant to whether a product can be designed better, and it invites jurors to inadvertently conflate the condition of the product with the behavior of the manufacturer.</w:t>
      </w:r>
    </w:p>
    <w:p w14:paraId="1D9E0C6B" w14:textId="77777777" w:rsidR="00901D5F" w:rsidRPr="00901D5F" w:rsidRDefault="00901D5F" w:rsidP="00901D5F">
      <w:pPr>
        <w:spacing w:line="480" w:lineRule="auto"/>
        <w:ind w:firstLine="0"/>
        <w:jc w:val="center"/>
        <w:rPr>
          <w:szCs w:val="24"/>
          <w:lang w:bidi="en-US"/>
        </w:rPr>
      </w:pPr>
      <w:r w:rsidRPr="00901D5F">
        <w:rPr>
          <w:szCs w:val="24"/>
          <w:lang w:bidi="en-US"/>
        </w:rPr>
        <w:t>A</w:t>
      </w:r>
    </w:p>
    <w:p w14:paraId="534F1A5E" w14:textId="77777777" w:rsidR="00901D5F" w:rsidRPr="00901D5F" w:rsidRDefault="00901D5F" w:rsidP="00901D5F">
      <w:pPr>
        <w:spacing w:line="480" w:lineRule="auto"/>
        <w:ind w:firstLine="0"/>
        <w:rPr>
          <w:szCs w:val="24"/>
          <w:lang w:bidi="en-US"/>
        </w:rPr>
      </w:pPr>
      <w:r w:rsidRPr="00901D5F">
        <w:rPr>
          <w:szCs w:val="24"/>
          <w:lang w:bidi="en-US"/>
        </w:rPr>
        <w:tab/>
        <w:t>Based in part on the broad phrasing of the question, the majority opinion cautiously retreats from what was heretofore a largely consistent general rule.  In markedly qualified language we are instructed that now, industry custom-and-practice evidence offered by a defendant in a design defect case “</w:t>
      </w:r>
      <w:r w:rsidRPr="00901D5F">
        <w:rPr>
          <w:i/>
          <w:szCs w:val="24"/>
          <w:lang w:bidi="en-US"/>
        </w:rPr>
        <w:t>may, depending on the circumstances,</w:t>
      </w:r>
      <w:r w:rsidRPr="00901D5F">
        <w:rPr>
          <w:szCs w:val="24"/>
          <w:lang w:bidi="en-US"/>
        </w:rPr>
        <w:t xml:space="preserve"> be admissible.”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xml:space="preserve">, at p. 14, italics added.)  “In </w:t>
      </w:r>
      <w:r w:rsidRPr="00901D5F">
        <w:rPr>
          <w:i/>
          <w:szCs w:val="24"/>
          <w:lang w:bidi="en-US"/>
        </w:rPr>
        <w:t>some</w:t>
      </w:r>
      <w:r w:rsidRPr="00901D5F">
        <w:rPr>
          <w:szCs w:val="24"/>
          <w:lang w:bidi="en-US"/>
        </w:rPr>
        <w:t xml:space="preserve"> cases,” we are told, “evidence of industry custom and practice can aid the jury’s understanding of [the] complexities and trade-offs” inherent in product design decisions “and thus </w:t>
      </w:r>
      <w:r w:rsidRPr="00901D5F">
        <w:rPr>
          <w:i/>
          <w:szCs w:val="24"/>
          <w:lang w:bidi="en-US"/>
        </w:rPr>
        <w:t>may</w:t>
      </w:r>
      <w:r w:rsidRPr="00901D5F">
        <w:rPr>
          <w:szCs w:val="24"/>
          <w:lang w:bidi="en-US"/>
        </w:rPr>
        <w:t xml:space="preserve"> provide </w:t>
      </w:r>
      <w:r w:rsidRPr="00901D5F">
        <w:rPr>
          <w:i/>
          <w:szCs w:val="24"/>
          <w:lang w:bidi="en-US"/>
        </w:rPr>
        <w:t>some</w:t>
      </w:r>
      <w:r w:rsidRPr="00901D5F">
        <w:rPr>
          <w:szCs w:val="24"/>
          <w:lang w:bidi="en-US"/>
        </w:rPr>
        <w:t xml:space="preserve"> assistance in determining whether the manufacturer has balanced the relevant considerations correctly.”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w:t>
      </w:r>
      <w:r w:rsidRPr="00901D5F">
        <w:rPr>
          <w:i/>
          <w:szCs w:val="24"/>
          <w:lang w:bidi="en-US"/>
        </w:rPr>
        <w:t xml:space="preserve"> </w:t>
      </w:r>
      <w:r w:rsidRPr="00901D5F">
        <w:rPr>
          <w:szCs w:val="24"/>
          <w:lang w:bidi="en-US"/>
        </w:rPr>
        <w:t xml:space="preserve">at p. 13, italics added.)  Which cases?  </w:t>
      </w:r>
      <w:r w:rsidRPr="00901D5F">
        <w:rPr>
          <w:szCs w:val="24"/>
          <w:lang w:bidi="en-US"/>
        </w:rPr>
        <w:lastRenderedPageBreak/>
        <w:t xml:space="preserve">The ones where “competing manufacturers’ independent design decisions [i.e., custom-and-practice evidence] </w:t>
      </w:r>
      <w:r w:rsidRPr="00901D5F">
        <w:rPr>
          <w:i/>
          <w:szCs w:val="24"/>
          <w:lang w:bidi="en-US"/>
        </w:rPr>
        <w:t>may</w:t>
      </w:r>
      <w:r w:rsidRPr="00901D5F">
        <w:rPr>
          <w:szCs w:val="24"/>
          <w:lang w:bidi="en-US"/>
        </w:rPr>
        <w:t xml:space="preserve"> reflect their own research or experience in balancing safety, cost, and functionality, and thus shed </w:t>
      </w:r>
      <w:r w:rsidRPr="00901D5F">
        <w:rPr>
          <w:i/>
          <w:szCs w:val="24"/>
          <w:lang w:bidi="en-US"/>
        </w:rPr>
        <w:t>some</w:t>
      </w:r>
      <w:r w:rsidRPr="00901D5F">
        <w:rPr>
          <w:szCs w:val="24"/>
          <w:lang w:bidi="en-US"/>
        </w:rPr>
        <w:t xml:space="preserve"> light on the appropriate balance of safety risks and </w:t>
      </w:r>
      <w:proofErr w:type="gramStart"/>
      <w:r w:rsidRPr="00901D5F">
        <w:rPr>
          <w:szCs w:val="24"/>
          <w:lang w:bidi="en-US"/>
        </w:rPr>
        <w:t>benefits .</w:t>
      </w:r>
      <w:proofErr w:type="gramEnd"/>
      <w:r w:rsidRPr="00901D5F">
        <w:rPr>
          <w:szCs w:val="24"/>
          <w:lang w:bidi="en-US"/>
        </w:rPr>
        <w:t xml:space="preserve"> . . .”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xml:space="preserve">, at p. 15, italics added; see also </w:t>
      </w:r>
      <w:proofErr w:type="spellStart"/>
      <w:r w:rsidRPr="00901D5F">
        <w:rPr>
          <w:szCs w:val="24"/>
          <w:lang w:bidi="en-US"/>
        </w:rPr>
        <w:t>maj.</w:t>
      </w:r>
      <w:proofErr w:type="spellEnd"/>
      <w:r w:rsidRPr="00901D5F">
        <w:rPr>
          <w:szCs w:val="24"/>
          <w:lang w:bidi="en-US"/>
        </w:rPr>
        <w:t xml:space="preserve">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xml:space="preserve">, at p. 21.)  </w:t>
      </w:r>
    </w:p>
    <w:p w14:paraId="1CB37C84" w14:textId="77777777" w:rsidR="00901D5F" w:rsidRPr="00901D5F" w:rsidRDefault="00901D5F" w:rsidP="00901D5F">
      <w:pPr>
        <w:spacing w:line="480" w:lineRule="auto"/>
        <w:ind w:firstLine="0"/>
        <w:rPr>
          <w:szCs w:val="24"/>
          <w:lang w:bidi="en-US"/>
        </w:rPr>
      </w:pPr>
      <w:r w:rsidRPr="00901D5F">
        <w:rPr>
          <w:szCs w:val="24"/>
          <w:lang w:bidi="en-US"/>
        </w:rPr>
        <w:tab/>
        <w:t xml:space="preserve">The majority opinion appears to endorse admission of a defendant's industry custom-and-practice evidence as a proxy for the foundational risks and benefits that a manufacturer </w:t>
      </w:r>
      <w:r w:rsidRPr="00901D5F">
        <w:rPr>
          <w:i/>
          <w:szCs w:val="24"/>
          <w:lang w:bidi="en-US"/>
        </w:rPr>
        <w:t xml:space="preserve">should </w:t>
      </w:r>
      <w:r w:rsidRPr="00901D5F">
        <w:rPr>
          <w:szCs w:val="24"/>
          <w:lang w:bidi="en-US"/>
        </w:rPr>
        <w:t xml:space="preserve">be evaluating in making product design decisions.  That is a little like permitting evidence that an allegedly defective product received a J.D. Power award or the Good Housekeeping Seal of Approval—without anyone testifying about the criteria for that particular honor—because awards of this type </w:t>
      </w:r>
      <w:r w:rsidRPr="00901D5F">
        <w:rPr>
          <w:i/>
          <w:iCs/>
          <w:szCs w:val="24"/>
          <w:lang w:bidi="en-US"/>
        </w:rPr>
        <w:t>may</w:t>
      </w:r>
      <w:r w:rsidRPr="00901D5F">
        <w:rPr>
          <w:szCs w:val="24"/>
          <w:lang w:bidi="en-US"/>
        </w:rPr>
        <w:t xml:space="preserve"> reflect a reasonable balancing of safety risks and benefits.  Jurors should not be left to guess.</w:t>
      </w:r>
    </w:p>
    <w:p w14:paraId="2CBC8ACD" w14:textId="77777777" w:rsidR="00901D5F" w:rsidRPr="00901D5F" w:rsidRDefault="00901D5F" w:rsidP="00901D5F">
      <w:pPr>
        <w:spacing w:line="480" w:lineRule="auto"/>
        <w:ind w:firstLine="0"/>
        <w:rPr>
          <w:szCs w:val="24"/>
          <w:lang w:bidi="en-US"/>
        </w:rPr>
      </w:pPr>
      <w:r w:rsidRPr="00901D5F">
        <w:rPr>
          <w:szCs w:val="24"/>
          <w:lang w:bidi="en-US"/>
        </w:rPr>
        <w:tab/>
        <w:t xml:space="preserve">Evidence of the foundational risks and benefits is always relevant in a products liability case alleging design defect based on </w:t>
      </w:r>
      <w:r w:rsidRPr="00901D5F">
        <w:rPr>
          <w:i/>
          <w:szCs w:val="24"/>
          <w:lang w:bidi="en-US"/>
        </w:rPr>
        <w:t>Barker</w:t>
      </w:r>
      <w:r w:rsidRPr="00901D5F">
        <w:rPr>
          <w:szCs w:val="24"/>
          <w:lang w:bidi="en-US"/>
        </w:rPr>
        <w:t>’s</w:t>
      </w:r>
      <w:r w:rsidRPr="00901D5F">
        <w:rPr>
          <w:i/>
          <w:szCs w:val="24"/>
          <w:lang w:bidi="en-US"/>
        </w:rPr>
        <w:t xml:space="preserve"> </w:t>
      </w:r>
      <w:r w:rsidRPr="00901D5F">
        <w:rPr>
          <w:szCs w:val="24"/>
          <w:lang w:bidi="en-US"/>
        </w:rPr>
        <w:t>risk-benefit analysis, where the burden is on the defendant manufacturer to prove that “the benefits of the challenged design outweigh the risk of danger inherent in such design.”  (</w:t>
      </w:r>
      <w:r w:rsidRPr="00901D5F">
        <w:rPr>
          <w:i/>
          <w:iCs/>
          <w:szCs w:val="24"/>
          <w:lang w:bidi="en-US"/>
        </w:rPr>
        <w:t>Barker</w:t>
      </w:r>
      <w:r w:rsidRPr="00901D5F">
        <w:rPr>
          <w:iCs/>
          <w:szCs w:val="24"/>
          <w:lang w:bidi="en-US"/>
        </w:rPr>
        <w:t>,</w:t>
      </w:r>
      <w:r w:rsidRPr="00901D5F">
        <w:rPr>
          <w:i/>
          <w:iCs/>
          <w:szCs w:val="24"/>
          <w:lang w:bidi="en-US"/>
        </w:rPr>
        <w:t xml:space="preserve"> supra</w:t>
      </w:r>
      <w:r w:rsidRPr="00901D5F">
        <w:rPr>
          <w:iCs/>
          <w:szCs w:val="24"/>
          <w:lang w:bidi="en-US"/>
        </w:rPr>
        <w:t>,</w:t>
      </w:r>
      <w:r w:rsidRPr="00901D5F">
        <w:rPr>
          <w:i/>
          <w:iCs/>
          <w:szCs w:val="24"/>
          <w:lang w:bidi="en-US"/>
        </w:rPr>
        <w:t xml:space="preserve"> </w:t>
      </w:r>
      <w:r w:rsidRPr="00901D5F">
        <w:rPr>
          <w:szCs w:val="24"/>
          <w:lang w:bidi="en-US"/>
        </w:rPr>
        <w:t xml:space="preserve">20 Cal.3d at p. 432.)  But without the underlying analysis, a manufacturer’s decision to produce a product in a particular way based on a particular design is merely a conclusion.  Only </w:t>
      </w:r>
      <w:r w:rsidRPr="00901D5F">
        <w:rPr>
          <w:i/>
          <w:szCs w:val="24"/>
          <w:lang w:bidi="en-US"/>
        </w:rPr>
        <w:t xml:space="preserve">if </w:t>
      </w:r>
      <w:r w:rsidRPr="00901D5F">
        <w:rPr>
          <w:szCs w:val="24"/>
          <w:lang w:bidi="en-US"/>
        </w:rPr>
        <w:t xml:space="preserve">a manufacturer's design decision is based on an appropriate balancing of risks and benefits </w:t>
      </w:r>
      <w:r w:rsidRPr="00901D5F">
        <w:rPr>
          <w:szCs w:val="24"/>
          <w:lang w:bidi="en-US"/>
        </w:rPr>
        <w:lastRenderedPageBreak/>
        <w:t>does the conclusion have some relevance to the defendant’s burden.</w:t>
      </w:r>
      <w:r w:rsidRPr="00DA3F1A">
        <w:rPr>
          <w:position w:val="6"/>
          <w:sz w:val="20"/>
          <w:lang w:bidi="en-US"/>
        </w:rPr>
        <w:footnoteReference w:id="8"/>
      </w:r>
      <w:r w:rsidRPr="00901D5F">
        <w:rPr>
          <w:szCs w:val="24"/>
          <w:lang w:bidi="en-US"/>
        </w:rPr>
        <w:t xml:space="preserve">  It is the </w:t>
      </w:r>
      <w:r w:rsidRPr="00901D5F">
        <w:rPr>
          <w:i/>
          <w:szCs w:val="24"/>
          <w:lang w:bidi="en-US"/>
        </w:rPr>
        <w:t xml:space="preserve">basis </w:t>
      </w:r>
      <w:r w:rsidRPr="00901D5F">
        <w:rPr>
          <w:szCs w:val="24"/>
          <w:lang w:bidi="en-US"/>
        </w:rPr>
        <w:t>for the design decision that the jury must analyze.  To admit the conclusion (the industry custom-and-practice evidence) before the foundational evidence establishing that the appropriate risks and benefits were balanced would be pure speculation.</w:t>
      </w:r>
    </w:p>
    <w:p w14:paraId="5825B2D0" w14:textId="77777777" w:rsidR="00901D5F" w:rsidRPr="00901D5F" w:rsidRDefault="00901D5F" w:rsidP="00901D5F">
      <w:pPr>
        <w:spacing w:line="480" w:lineRule="auto"/>
        <w:ind w:firstLine="0"/>
        <w:jc w:val="center"/>
        <w:rPr>
          <w:szCs w:val="24"/>
          <w:lang w:bidi="en-US"/>
        </w:rPr>
      </w:pPr>
      <w:r w:rsidRPr="00901D5F">
        <w:rPr>
          <w:szCs w:val="24"/>
          <w:lang w:bidi="en-US"/>
        </w:rPr>
        <w:t>B</w:t>
      </w:r>
    </w:p>
    <w:p w14:paraId="3949B552" w14:textId="77777777" w:rsidR="00901D5F" w:rsidRPr="00901D5F" w:rsidRDefault="00901D5F" w:rsidP="00901D5F">
      <w:pPr>
        <w:spacing w:line="480" w:lineRule="auto"/>
        <w:ind w:firstLine="0"/>
        <w:rPr>
          <w:szCs w:val="24"/>
          <w:lang w:bidi="en-US"/>
        </w:rPr>
      </w:pPr>
      <w:r w:rsidRPr="00901D5F">
        <w:rPr>
          <w:szCs w:val="24"/>
          <w:lang w:bidi="en-US"/>
        </w:rPr>
        <w:tab/>
        <w:t xml:space="preserve">The majority opinion acknowledges this cart-before-the-horse problem when it warns that industry custom-and-practice evidence is not “categorically admissible.”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at p. 18.)  In deciding if the evidence is admissible, trial court judges will be charged with determining “whether, under the circumstances of the case, it is reasonable to conclude that other manufacturers’ choices do, as the Court of Appeal put it, ‘reflect legitimate, independent research and practical experience regarding the appropriate balance of product safety, cost, and functionality.</w:t>
      </w:r>
      <w:proofErr w:type="gramStart"/>
      <w:r w:rsidRPr="00901D5F">
        <w:rPr>
          <w:szCs w:val="24"/>
          <w:lang w:bidi="en-US"/>
        </w:rPr>
        <w:t>’ ”</w:t>
      </w:r>
      <w:proofErr w:type="gramEnd"/>
      <w:r w:rsidRPr="00901D5F">
        <w:rPr>
          <w:szCs w:val="24"/>
          <w:lang w:bidi="en-US"/>
        </w:rPr>
        <w:t xml:space="preserve">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xml:space="preserve">, at p. 18.)  In other words, unless the defendant can establish that the other manufacturers’ design choices actually represented a balancing of the appropriate factors, the industry </w:t>
      </w:r>
      <w:r w:rsidRPr="00901D5F">
        <w:rPr>
          <w:szCs w:val="24"/>
          <w:lang w:bidi="en-US"/>
        </w:rPr>
        <w:lastRenderedPageBreak/>
        <w:t>custom-and-practice evidence is not relevant to any disputed issue and does not come in.  Trial judges are thus charged with an important gatekeeping role.</w:t>
      </w:r>
    </w:p>
    <w:p w14:paraId="5BBDE9DF" w14:textId="77777777" w:rsidR="00901D5F" w:rsidRPr="00901D5F" w:rsidRDefault="00901D5F" w:rsidP="00901D5F">
      <w:pPr>
        <w:spacing w:line="480" w:lineRule="auto"/>
        <w:ind w:firstLine="0"/>
        <w:rPr>
          <w:szCs w:val="24"/>
          <w:lang w:bidi="en-US"/>
        </w:rPr>
      </w:pPr>
      <w:r w:rsidRPr="00901D5F">
        <w:rPr>
          <w:szCs w:val="24"/>
          <w:lang w:bidi="en-US"/>
        </w:rPr>
        <w:tab/>
        <w:t xml:space="preserve">If the trial court ultimately concludes that the proffered design decisions of other manufacturers actually represented a balancing of the appropriate risks and benefits such that the evidence is admissible, the jury should be instructed on how the evidence </w:t>
      </w:r>
      <w:r w:rsidRPr="00901D5F">
        <w:rPr>
          <w:i/>
          <w:szCs w:val="24"/>
          <w:lang w:bidi="en-US"/>
        </w:rPr>
        <w:t>cannot</w:t>
      </w:r>
      <w:r w:rsidRPr="00901D5F">
        <w:rPr>
          <w:szCs w:val="24"/>
          <w:lang w:bidi="en-US"/>
        </w:rPr>
        <w:t xml:space="preserve"> be used.  In substance, jurors should be told that in determining whether the product is defective in design, the burden is on the defendant to prove that the benefits of the challenged design outweigh the risks.  Attempting to meet this burden, the defendant has introduced evidence of how other manufacturers designed similar products.  This evidence has been received for the limited purpose of evaluating whether the relevant risks and benefits were appropriately balanced.  A product can still be defective in design even if the manufacturer acted no differently than any other reasonable manufacturer, and you cannot consider the conduct of other manufacturers for the purpose of showing there was no design defect. </w:t>
      </w:r>
    </w:p>
    <w:p w14:paraId="1FC1FD1C" w14:textId="77777777" w:rsidR="00901D5F" w:rsidRPr="00901D5F" w:rsidRDefault="00901D5F" w:rsidP="00901D5F">
      <w:pPr>
        <w:spacing w:line="480" w:lineRule="auto"/>
        <w:ind w:firstLine="0"/>
        <w:jc w:val="center"/>
        <w:rPr>
          <w:szCs w:val="24"/>
          <w:lang w:bidi="en-US"/>
        </w:rPr>
      </w:pPr>
      <w:r w:rsidRPr="00901D5F">
        <w:rPr>
          <w:szCs w:val="24"/>
          <w:lang w:bidi="en-US"/>
        </w:rPr>
        <w:t>C</w:t>
      </w:r>
    </w:p>
    <w:p w14:paraId="7017E0A1" w14:textId="77777777" w:rsidR="00901D5F" w:rsidRPr="00901D5F" w:rsidRDefault="00901D5F" w:rsidP="00901D5F">
      <w:pPr>
        <w:spacing w:line="480" w:lineRule="auto"/>
        <w:ind w:firstLine="0"/>
        <w:rPr>
          <w:szCs w:val="24"/>
          <w:lang w:bidi="en-US"/>
        </w:rPr>
      </w:pPr>
      <w:r w:rsidRPr="00901D5F">
        <w:rPr>
          <w:szCs w:val="24"/>
          <w:lang w:bidi="en-US"/>
        </w:rPr>
        <w:tab/>
        <w:t xml:space="preserve">In the case before us, the evidence of industry custom and practice was offered in the first instance by the plaintiffs, who disavowed any objection.  I agree that under these circumstances, the trial court did not err in admitting such evidence.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at pp. 19–20.)  But, as the majority opinion suggests (</w:t>
      </w:r>
      <w:proofErr w:type="spellStart"/>
      <w:r w:rsidRPr="00901D5F">
        <w:rPr>
          <w:szCs w:val="24"/>
          <w:lang w:bidi="en-US"/>
        </w:rPr>
        <w:t>maj.</w:t>
      </w:r>
      <w:proofErr w:type="spellEnd"/>
      <w:r w:rsidRPr="00901D5F">
        <w:rPr>
          <w:szCs w:val="24"/>
          <w:lang w:bidi="en-US"/>
        </w:rPr>
        <w:t xml:space="preserve">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xml:space="preserve">, at p. 19), the jury should have been given a limiting instruction.  Plaintiffs proposed a series of special jury instructions that would have highlighted the limited relevance of such evidence.  (Maj. </w:t>
      </w:r>
      <w:proofErr w:type="spellStart"/>
      <w:r w:rsidRPr="00901D5F">
        <w:rPr>
          <w:szCs w:val="24"/>
          <w:lang w:bidi="en-US"/>
        </w:rPr>
        <w:t>opn</w:t>
      </w:r>
      <w:proofErr w:type="spellEnd"/>
      <w:r w:rsidRPr="00901D5F">
        <w:rPr>
          <w:szCs w:val="24"/>
          <w:lang w:bidi="en-US"/>
        </w:rPr>
        <w:t xml:space="preserve">. </w:t>
      </w:r>
      <w:r w:rsidRPr="00901D5F">
        <w:rPr>
          <w:i/>
          <w:szCs w:val="24"/>
          <w:lang w:bidi="en-US"/>
        </w:rPr>
        <w:t>ante</w:t>
      </w:r>
      <w:r w:rsidRPr="00901D5F">
        <w:rPr>
          <w:szCs w:val="24"/>
          <w:lang w:bidi="en-US"/>
        </w:rPr>
        <w:t xml:space="preserve">, at p. 3.)  Without indicating that the trial court was obligated to accept the </w:t>
      </w:r>
      <w:r w:rsidRPr="00901D5F">
        <w:rPr>
          <w:szCs w:val="24"/>
          <w:lang w:bidi="en-US"/>
        </w:rPr>
        <w:lastRenderedPageBreak/>
        <w:t xml:space="preserve">particular language proposed by plaintiffs, I would hold that the court erred in declining to provide </w:t>
      </w:r>
      <w:r w:rsidRPr="00901D5F">
        <w:rPr>
          <w:i/>
          <w:szCs w:val="24"/>
          <w:lang w:bidi="en-US"/>
        </w:rPr>
        <w:t>any</w:t>
      </w:r>
      <w:r w:rsidRPr="00901D5F">
        <w:rPr>
          <w:szCs w:val="24"/>
          <w:lang w:bidi="en-US"/>
        </w:rPr>
        <w:t xml:space="preserve"> limiting instruction.</w:t>
      </w:r>
    </w:p>
    <w:p w14:paraId="5F1168F0" w14:textId="3F909DD9" w:rsidR="0084096B" w:rsidRDefault="00901D5F" w:rsidP="00901D5F">
      <w:pPr>
        <w:spacing w:line="480" w:lineRule="auto"/>
        <w:ind w:firstLine="0"/>
        <w:rPr>
          <w:szCs w:val="24"/>
          <w:lang w:bidi="en-US"/>
        </w:rPr>
      </w:pPr>
      <w:r w:rsidRPr="00901D5F">
        <w:rPr>
          <w:szCs w:val="24"/>
          <w:lang w:bidi="en-US"/>
        </w:rPr>
        <w:tab/>
        <w:t xml:space="preserve">For several reasons, however, I am not persuaded it is reasonably probable that a limiting instruction in this case would have resulted in a more favorable verdict for plaintiffs.  (See </w:t>
      </w:r>
      <w:r w:rsidRPr="00901D5F">
        <w:rPr>
          <w:i/>
          <w:iCs/>
          <w:szCs w:val="24"/>
          <w:lang w:bidi="en-US"/>
        </w:rPr>
        <w:t>Soule v. General Motors Corp.</w:t>
      </w:r>
      <w:r w:rsidRPr="00901D5F">
        <w:rPr>
          <w:szCs w:val="24"/>
          <w:lang w:bidi="en-US"/>
        </w:rPr>
        <w:t xml:space="preserve"> (1994) 8 Cal.4th 548, 574, quoting </w:t>
      </w:r>
      <w:r w:rsidRPr="00901D5F">
        <w:rPr>
          <w:i/>
          <w:szCs w:val="24"/>
          <w:lang w:bidi="en-US"/>
        </w:rPr>
        <w:t>People v. Watson</w:t>
      </w:r>
      <w:r w:rsidRPr="00901D5F">
        <w:rPr>
          <w:szCs w:val="24"/>
          <w:lang w:bidi="en-US"/>
        </w:rPr>
        <w:t xml:space="preserve"> (1956) 46 Cal.2d 818, 835.)  First, the custom-and-practice evidence was largely elicited by plaintiffs to show that competitive advantage led to Toyota’s decision to offer vehicle stability control solely as an optional safety feature.  Second, after the trial court declined plaintiffs’ proposed special instructions, referring to them as “all argument,” plaintiffs’ counsel failed to identify during closing argument the specific limited purpose for which custom-and-practice evidence could be considered.  Third, although it was mentioned in Toyota’s closing argument, industry custom and practice was not defense counsel’s principal focus.  Rather, the vast majority of closing argument on both sides focused on causation, suggesting that a proper limiting instruction was unlikely to result in a different outcome for plaintiffs.</w:t>
      </w:r>
      <w:r w:rsidR="0084096B">
        <w:rPr>
          <w:szCs w:val="24"/>
          <w:lang w:bidi="en-US"/>
        </w:rPr>
        <w:br w:type="page"/>
      </w:r>
    </w:p>
    <w:p w14:paraId="6EB11928" w14:textId="77777777" w:rsidR="00901D5F" w:rsidRDefault="00901D5F" w:rsidP="00901D5F">
      <w:pPr>
        <w:spacing w:line="480" w:lineRule="auto"/>
        <w:ind w:firstLine="0"/>
        <w:rPr>
          <w:szCs w:val="24"/>
          <w:lang w:bidi="en-US"/>
        </w:rPr>
        <w:sectPr w:rsidR="00901D5F" w:rsidSect="0084096B">
          <w:footerReference w:type="default" r:id="rId10"/>
          <w:footerReference w:type="first" r:id="rId11"/>
          <w:footnotePr>
            <w:numRestart w:val="eachSect"/>
          </w:footnotePr>
          <w:pgSz w:w="12240" w:h="15840"/>
          <w:pgMar w:top="1440" w:right="1440" w:bottom="1440" w:left="1440" w:header="720" w:footer="720" w:gutter="0"/>
          <w:pgNumType w:start="1"/>
          <w:cols w:space="720"/>
          <w:titlePg/>
          <w:docGrid w:linePitch="354"/>
        </w:sectPr>
      </w:pPr>
      <w:r w:rsidRPr="00901D5F">
        <w:rPr>
          <w:szCs w:val="24"/>
          <w:lang w:bidi="en-US"/>
        </w:rPr>
        <w:lastRenderedPageBreak/>
        <w:tab/>
        <w:t>Because the instructional error was harmless, I concur with today’s affirmance of the Court of Appeal’s judgment.</w:t>
      </w:r>
    </w:p>
    <w:p w14:paraId="5278E53F" w14:textId="6716BF2D" w:rsidR="00901D5F" w:rsidRPr="00901D5F" w:rsidRDefault="00901D5F" w:rsidP="00901D5F">
      <w:pPr>
        <w:spacing w:line="480" w:lineRule="auto"/>
        <w:ind w:firstLine="0"/>
      </w:pPr>
    </w:p>
    <w:p w14:paraId="0B00EA45" w14:textId="77777777" w:rsidR="00901D5F" w:rsidRPr="00901D5F" w:rsidRDefault="00901D5F" w:rsidP="00901D5F">
      <w:pPr>
        <w:spacing w:line="240" w:lineRule="auto"/>
        <w:ind w:firstLine="0"/>
      </w:pPr>
    </w:p>
    <w:p w14:paraId="3D281562" w14:textId="77777777" w:rsidR="00901D5F" w:rsidRPr="00901D5F" w:rsidRDefault="00901D5F" w:rsidP="00901D5F">
      <w:pPr>
        <w:spacing w:line="240" w:lineRule="auto"/>
        <w:ind w:left="5040" w:firstLine="0"/>
      </w:pPr>
      <w:r w:rsidRPr="00901D5F">
        <w:rPr>
          <w:b/>
        </w:rPr>
        <w:t>DATO, J.</w:t>
      </w:r>
      <w:r w:rsidRPr="00901D5F">
        <w:rPr>
          <w:szCs w:val="26"/>
          <w:vertAlign w:val="superscript"/>
        </w:rPr>
        <w:footnoteReference w:id="9"/>
      </w:r>
    </w:p>
    <w:p w14:paraId="52B2D41C" w14:textId="77777777" w:rsidR="00901D5F" w:rsidRPr="00901D5F" w:rsidRDefault="00901D5F" w:rsidP="00901D5F">
      <w:pPr>
        <w:spacing w:line="480" w:lineRule="auto"/>
        <w:ind w:firstLine="0"/>
        <w:rPr>
          <w:szCs w:val="24"/>
          <w:lang w:bidi="en-US"/>
        </w:rPr>
      </w:pPr>
    </w:p>
    <w:p w14:paraId="31800A3E" w14:textId="77777777" w:rsidR="00901D5F" w:rsidRPr="00901D5F" w:rsidRDefault="00901D5F" w:rsidP="00901D5F">
      <w:pPr>
        <w:spacing w:line="480" w:lineRule="auto"/>
        <w:ind w:firstLine="0"/>
        <w:rPr>
          <w:b/>
          <w:szCs w:val="24"/>
          <w:lang w:bidi="en-US"/>
        </w:rPr>
      </w:pPr>
      <w:r w:rsidRPr="00901D5F">
        <w:rPr>
          <w:b/>
          <w:szCs w:val="24"/>
          <w:lang w:bidi="en-US"/>
        </w:rPr>
        <w:t>I CONCUR:</w:t>
      </w:r>
    </w:p>
    <w:p w14:paraId="1815BEB9" w14:textId="77777777" w:rsidR="00901D5F" w:rsidRPr="00901D5F" w:rsidRDefault="00901D5F" w:rsidP="00901D5F">
      <w:pPr>
        <w:spacing w:line="480" w:lineRule="auto"/>
        <w:ind w:firstLine="0"/>
        <w:rPr>
          <w:b/>
          <w:szCs w:val="24"/>
          <w:lang w:bidi="en-US"/>
        </w:rPr>
      </w:pPr>
      <w:r w:rsidRPr="00901D5F">
        <w:rPr>
          <w:b/>
          <w:szCs w:val="24"/>
          <w:lang w:bidi="en-US"/>
        </w:rPr>
        <w:t>LIU, J.</w:t>
      </w:r>
    </w:p>
    <w:p w14:paraId="373432D0" w14:textId="77777777" w:rsidR="00901D5F" w:rsidRDefault="00901D5F" w:rsidP="00627956">
      <w:pPr>
        <w:spacing w:line="240" w:lineRule="auto"/>
        <w:ind w:firstLine="0"/>
        <w:rPr>
          <w:b/>
        </w:rPr>
        <w:sectPr w:rsidR="00901D5F" w:rsidSect="00901D5F">
          <w:footnotePr>
            <w:numFmt w:val="chicago"/>
            <w:numRestart w:val="eachSect"/>
          </w:footnotePr>
          <w:type w:val="continuous"/>
          <w:pgSz w:w="12240" w:h="15840"/>
          <w:pgMar w:top="1440" w:right="1800" w:bottom="1440" w:left="1800" w:header="720" w:footer="720" w:gutter="0"/>
          <w:cols w:space="720"/>
          <w:titlePg/>
          <w:docGrid w:linePitch="354"/>
        </w:sectPr>
      </w:pPr>
    </w:p>
    <w:p w14:paraId="79EC6BDB" w14:textId="77777777" w:rsidR="00901D5F" w:rsidRPr="00901D5F" w:rsidRDefault="00901D5F" w:rsidP="00901D5F">
      <w:pPr>
        <w:spacing w:line="240" w:lineRule="auto"/>
        <w:ind w:firstLine="0"/>
        <w:rPr>
          <w:i/>
          <w:sz w:val="20"/>
        </w:rPr>
      </w:pPr>
      <w:r w:rsidRPr="00901D5F">
        <w:rPr>
          <w:i/>
          <w:sz w:val="20"/>
        </w:rPr>
        <w:lastRenderedPageBreak/>
        <w:t>See next page for addresses and telephone numbers for counsel who argued in Supreme Court.</w:t>
      </w:r>
    </w:p>
    <w:p w14:paraId="7DF2BCAC" w14:textId="77777777" w:rsidR="00901D5F" w:rsidRPr="00901D5F" w:rsidRDefault="00901D5F" w:rsidP="00901D5F">
      <w:pPr>
        <w:spacing w:line="240" w:lineRule="auto"/>
        <w:ind w:firstLine="0"/>
        <w:rPr>
          <w:i/>
          <w:sz w:val="20"/>
        </w:rPr>
      </w:pPr>
    </w:p>
    <w:p w14:paraId="643D0619" w14:textId="77777777" w:rsidR="00901D5F" w:rsidRPr="00901D5F" w:rsidRDefault="00901D5F" w:rsidP="00901D5F">
      <w:pPr>
        <w:spacing w:line="240" w:lineRule="auto"/>
        <w:ind w:firstLine="0"/>
        <w:rPr>
          <w:bCs/>
          <w:i/>
          <w:sz w:val="20"/>
        </w:rPr>
      </w:pPr>
      <w:r w:rsidRPr="00901D5F">
        <w:rPr>
          <w:b/>
          <w:sz w:val="20"/>
        </w:rPr>
        <w:t>Name of Opinion</w:t>
      </w:r>
      <w:r w:rsidRPr="00901D5F">
        <w:rPr>
          <w:sz w:val="20"/>
        </w:rPr>
        <w:t xml:space="preserve"> Kim v. Toyota Motor Corporation</w:t>
      </w:r>
    </w:p>
    <w:p w14:paraId="141FD16A"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23B18B4D" w14:textId="77777777" w:rsidR="00901D5F" w:rsidRPr="00901D5F" w:rsidRDefault="00901D5F" w:rsidP="00901D5F">
      <w:pPr>
        <w:spacing w:line="240" w:lineRule="auto"/>
        <w:ind w:firstLine="0"/>
        <w:rPr>
          <w:b/>
          <w:sz w:val="20"/>
        </w:rPr>
      </w:pPr>
    </w:p>
    <w:p w14:paraId="6D39E0DC" w14:textId="77777777" w:rsidR="00901D5F" w:rsidRPr="00901D5F" w:rsidRDefault="00901D5F" w:rsidP="00901D5F">
      <w:pPr>
        <w:spacing w:line="240" w:lineRule="auto"/>
        <w:ind w:firstLine="0"/>
        <w:rPr>
          <w:bCs/>
          <w:sz w:val="20"/>
        </w:rPr>
      </w:pPr>
      <w:r w:rsidRPr="00901D5F">
        <w:rPr>
          <w:b/>
          <w:sz w:val="20"/>
        </w:rPr>
        <w:t>Unpublished Opinion</w:t>
      </w:r>
    </w:p>
    <w:p w14:paraId="60745A98" w14:textId="77777777" w:rsidR="00901D5F" w:rsidRPr="00901D5F" w:rsidRDefault="00901D5F" w:rsidP="00901D5F">
      <w:pPr>
        <w:spacing w:line="240" w:lineRule="auto"/>
        <w:ind w:firstLine="0"/>
        <w:rPr>
          <w:sz w:val="20"/>
        </w:rPr>
      </w:pPr>
      <w:r w:rsidRPr="00901D5F">
        <w:rPr>
          <w:b/>
          <w:sz w:val="20"/>
        </w:rPr>
        <w:t>Original Appeal</w:t>
      </w:r>
    </w:p>
    <w:p w14:paraId="6AC47107" w14:textId="77777777" w:rsidR="00901D5F" w:rsidRPr="00901D5F" w:rsidRDefault="00901D5F" w:rsidP="00901D5F">
      <w:pPr>
        <w:spacing w:line="240" w:lineRule="auto"/>
        <w:ind w:firstLine="0"/>
        <w:rPr>
          <w:b/>
          <w:sz w:val="20"/>
        </w:rPr>
      </w:pPr>
      <w:r w:rsidRPr="00901D5F">
        <w:rPr>
          <w:b/>
          <w:sz w:val="20"/>
        </w:rPr>
        <w:t>Original Proceeding</w:t>
      </w:r>
    </w:p>
    <w:p w14:paraId="0D310465" w14:textId="77777777" w:rsidR="00901D5F" w:rsidRPr="00901D5F" w:rsidRDefault="00901D5F" w:rsidP="00901D5F">
      <w:pPr>
        <w:spacing w:line="240" w:lineRule="auto"/>
        <w:ind w:firstLine="0"/>
        <w:rPr>
          <w:sz w:val="20"/>
        </w:rPr>
      </w:pPr>
      <w:r w:rsidRPr="00901D5F">
        <w:rPr>
          <w:b/>
          <w:sz w:val="20"/>
        </w:rPr>
        <w:t>Review Granted</w:t>
      </w:r>
      <w:r w:rsidRPr="00901D5F">
        <w:rPr>
          <w:sz w:val="20"/>
        </w:rPr>
        <w:t xml:space="preserve"> XXX 243 Cal.App.4th 1366</w:t>
      </w:r>
    </w:p>
    <w:p w14:paraId="2C824AEB" w14:textId="77777777" w:rsidR="00901D5F" w:rsidRPr="00901D5F" w:rsidRDefault="00901D5F" w:rsidP="00901D5F">
      <w:pPr>
        <w:spacing w:line="240" w:lineRule="auto"/>
        <w:ind w:firstLine="0"/>
        <w:rPr>
          <w:b/>
          <w:sz w:val="20"/>
        </w:rPr>
      </w:pPr>
      <w:r w:rsidRPr="00901D5F">
        <w:rPr>
          <w:b/>
          <w:sz w:val="20"/>
        </w:rPr>
        <w:t>Rehearing Granted</w:t>
      </w:r>
    </w:p>
    <w:p w14:paraId="1D80E401" w14:textId="77777777" w:rsidR="00901D5F" w:rsidRPr="00901D5F" w:rsidRDefault="00901D5F" w:rsidP="00901D5F">
      <w:pPr>
        <w:spacing w:line="240" w:lineRule="auto"/>
        <w:ind w:firstLine="0"/>
        <w:rPr>
          <w:b/>
          <w:sz w:val="20"/>
        </w:rPr>
      </w:pPr>
    </w:p>
    <w:p w14:paraId="74B7AA8A"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45166878" w14:textId="77777777" w:rsidR="00901D5F" w:rsidRPr="00901D5F" w:rsidRDefault="00901D5F" w:rsidP="00901D5F">
      <w:pPr>
        <w:spacing w:line="240" w:lineRule="auto"/>
        <w:ind w:firstLine="0"/>
        <w:rPr>
          <w:b/>
          <w:sz w:val="20"/>
        </w:rPr>
      </w:pPr>
    </w:p>
    <w:p w14:paraId="07B292A6" w14:textId="77777777" w:rsidR="00901D5F" w:rsidRPr="00901D5F" w:rsidRDefault="00901D5F" w:rsidP="00901D5F">
      <w:pPr>
        <w:spacing w:line="240" w:lineRule="auto"/>
        <w:ind w:firstLine="0"/>
        <w:rPr>
          <w:bCs/>
          <w:sz w:val="20"/>
        </w:rPr>
      </w:pPr>
      <w:r w:rsidRPr="00901D5F">
        <w:rPr>
          <w:b/>
          <w:sz w:val="20"/>
        </w:rPr>
        <w:t>Opinion No.</w:t>
      </w:r>
      <w:r w:rsidRPr="00901D5F">
        <w:rPr>
          <w:sz w:val="20"/>
        </w:rPr>
        <w:t xml:space="preserve"> S232754</w:t>
      </w:r>
    </w:p>
    <w:p w14:paraId="68B08F9E" w14:textId="77777777" w:rsidR="00901D5F" w:rsidRPr="00901D5F" w:rsidRDefault="00901D5F" w:rsidP="00901D5F">
      <w:pPr>
        <w:spacing w:line="240" w:lineRule="auto"/>
        <w:ind w:firstLine="0"/>
        <w:rPr>
          <w:bCs/>
          <w:sz w:val="20"/>
        </w:rPr>
      </w:pPr>
      <w:r w:rsidRPr="00901D5F">
        <w:rPr>
          <w:b/>
          <w:sz w:val="20"/>
        </w:rPr>
        <w:t>Date Filed:</w:t>
      </w:r>
      <w:r w:rsidRPr="00901D5F">
        <w:rPr>
          <w:sz w:val="20"/>
        </w:rPr>
        <w:t xml:space="preserve"> August 27, 2018</w:t>
      </w:r>
    </w:p>
    <w:p w14:paraId="58828BC5"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2338E992" w14:textId="77777777" w:rsidR="00901D5F" w:rsidRPr="00901D5F" w:rsidRDefault="00901D5F" w:rsidP="00901D5F">
      <w:pPr>
        <w:spacing w:line="240" w:lineRule="auto"/>
        <w:ind w:firstLine="0"/>
        <w:rPr>
          <w:b/>
          <w:sz w:val="20"/>
        </w:rPr>
      </w:pPr>
    </w:p>
    <w:p w14:paraId="59655A2F" w14:textId="77777777" w:rsidR="00901D5F" w:rsidRPr="00901D5F" w:rsidRDefault="00901D5F" w:rsidP="00901D5F">
      <w:pPr>
        <w:spacing w:line="240" w:lineRule="auto"/>
        <w:ind w:firstLine="0"/>
        <w:rPr>
          <w:bCs/>
          <w:sz w:val="20"/>
        </w:rPr>
      </w:pPr>
      <w:r w:rsidRPr="00901D5F">
        <w:rPr>
          <w:b/>
          <w:sz w:val="20"/>
        </w:rPr>
        <w:t>Court:</w:t>
      </w:r>
      <w:r w:rsidRPr="00901D5F">
        <w:rPr>
          <w:sz w:val="20"/>
        </w:rPr>
        <w:t xml:space="preserve"> Superior</w:t>
      </w:r>
    </w:p>
    <w:p w14:paraId="2041963E" w14:textId="77777777" w:rsidR="00901D5F" w:rsidRPr="00901D5F" w:rsidRDefault="00901D5F" w:rsidP="00901D5F">
      <w:pPr>
        <w:spacing w:line="240" w:lineRule="auto"/>
        <w:ind w:firstLine="0"/>
        <w:rPr>
          <w:bCs/>
          <w:sz w:val="20"/>
        </w:rPr>
      </w:pPr>
      <w:r w:rsidRPr="00901D5F">
        <w:rPr>
          <w:b/>
          <w:sz w:val="20"/>
        </w:rPr>
        <w:t>County:</w:t>
      </w:r>
      <w:r w:rsidRPr="00901D5F">
        <w:rPr>
          <w:sz w:val="20"/>
        </w:rPr>
        <w:t xml:space="preserve"> Los Angeles</w:t>
      </w:r>
    </w:p>
    <w:p w14:paraId="0F2D81D9" w14:textId="77777777" w:rsidR="00901D5F" w:rsidRPr="00901D5F" w:rsidRDefault="00901D5F" w:rsidP="00901D5F">
      <w:pPr>
        <w:spacing w:line="240" w:lineRule="auto"/>
        <w:ind w:left="720" w:hanging="720"/>
        <w:rPr>
          <w:bCs/>
          <w:sz w:val="20"/>
        </w:rPr>
      </w:pPr>
      <w:r w:rsidRPr="00901D5F">
        <w:rPr>
          <w:b/>
          <w:sz w:val="20"/>
        </w:rPr>
        <w:t>Judge:</w:t>
      </w:r>
      <w:r w:rsidRPr="00901D5F">
        <w:rPr>
          <w:sz w:val="20"/>
        </w:rPr>
        <w:t xml:space="preserve"> Raul A. </w:t>
      </w:r>
      <w:proofErr w:type="spellStart"/>
      <w:r w:rsidRPr="00901D5F">
        <w:rPr>
          <w:sz w:val="20"/>
        </w:rPr>
        <w:t>Sahagun</w:t>
      </w:r>
      <w:proofErr w:type="spellEnd"/>
    </w:p>
    <w:p w14:paraId="5FDB1395" w14:textId="77777777" w:rsidR="00901D5F" w:rsidRPr="00901D5F" w:rsidRDefault="00901D5F" w:rsidP="00901D5F">
      <w:pPr>
        <w:spacing w:line="240" w:lineRule="auto"/>
        <w:ind w:firstLine="0"/>
        <w:rPr>
          <w:b/>
          <w:sz w:val="20"/>
        </w:rPr>
      </w:pPr>
    </w:p>
    <w:p w14:paraId="728B2C58" w14:textId="77777777" w:rsidR="00901D5F" w:rsidRPr="00901D5F" w:rsidRDefault="00901D5F" w:rsidP="00901D5F">
      <w:pPr>
        <w:spacing w:line="240" w:lineRule="auto"/>
        <w:ind w:firstLine="0"/>
        <w:rPr>
          <w:b/>
          <w:sz w:val="20"/>
        </w:rPr>
      </w:pPr>
      <w:r w:rsidRPr="00901D5F">
        <w:rPr>
          <w:b/>
          <w:sz w:val="20"/>
        </w:rPr>
        <w:t>__________________________________________________________________________________</w:t>
      </w:r>
    </w:p>
    <w:p w14:paraId="6031176A" w14:textId="77777777" w:rsidR="00901D5F" w:rsidRPr="00901D5F" w:rsidRDefault="00901D5F" w:rsidP="00901D5F">
      <w:pPr>
        <w:spacing w:line="240" w:lineRule="auto"/>
        <w:ind w:firstLine="0"/>
        <w:rPr>
          <w:b/>
          <w:sz w:val="20"/>
        </w:rPr>
      </w:pPr>
    </w:p>
    <w:p w14:paraId="565C29A1" w14:textId="77777777" w:rsidR="00901D5F" w:rsidRPr="00901D5F" w:rsidRDefault="00901D5F" w:rsidP="00901D5F">
      <w:pPr>
        <w:spacing w:line="240" w:lineRule="auto"/>
        <w:ind w:firstLine="0"/>
        <w:rPr>
          <w:b/>
          <w:sz w:val="20"/>
        </w:rPr>
      </w:pPr>
      <w:r w:rsidRPr="00901D5F">
        <w:rPr>
          <w:b/>
          <w:sz w:val="20"/>
        </w:rPr>
        <w:t>Counsel:</w:t>
      </w:r>
    </w:p>
    <w:p w14:paraId="28B5E373" w14:textId="77777777" w:rsidR="00901D5F" w:rsidRPr="00901D5F" w:rsidRDefault="00901D5F" w:rsidP="00901D5F">
      <w:pPr>
        <w:spacing w:line="240" w:lineRule="auto"/>
        <w:ind w:firstLine="0"/>
        <w:rPr>
          <w:b/>
          <w:sz w:val="20"/>
        </w:rPr>
      </w:pPr>
    </w:p>
    <w:p w14:paraId="64E38413" w14:textId="77777777" w:rsidR="00901D5F" w:rsidRPr="00901D5F" w:rsidRDefault="00901D5F" w:rsidP="00901D5F">
      <w:pPr>
        <w:spacing w:line="240" w:lineRule="auto"/>
        <w:ind w:firstLine="0"/>
        <w:rPr>
          <w:sz w:val="20"/>
        </w:rPr>
      </w:pPr>
      <w:r w:rsidRPr="00901D5F">
        <w:rPr>
          <w:sz w:val="20"/>
        </w:rPr>
        <w:t xml:space="preserve">Law Offices of Ian Herzog, Herzog, </w:t>
      </w:r>
      <w:proofErr w:type="spellStart"/>
      <w:r w:rsidRPr="00901D5F">
        <w:rPr>
          <w:sz w:val="20"/>
        </w:rPr>
        <w:t>Yuhas</w:t>
      </w:r>
      <w:proofErr w:type="spellEnd"/>
      <w:r w:rsidRPr="00901D5F">
        <w:rPr>
          <w:sz w:val="20"/>
        </w:rPr>
        <w:t xml:space="preserve">, Ehrlich &amp; </w:t>
      </w:r>
      <w:proofErr w:type="spellStart"/>
      <w:r w:rsidRPr="00901D5F">
        <w:rPr>
          <w:sz w:val="20"/>
        </w:rPr>
        <w:t>Ardell</w:t>
      </w:r>
      <w:proofErr w:type="spellEnd"/>
      <w:r w:rsidRPr="00901D5F">
        <w:rPr>
          <w:sz w:val="20"/>
        </w:rPr>
        <w:t xml:space="preserve">, Ian Herzog; Thomas F. </w:t>
      </w:r>
      <w:proofErr w:type="spellStart"/>
      <w:r w:rsidRPr="00901D5F">
        <w:rPr>
          <w:sz w:val="20"/>
        </w:rPr>
        <w:t>Yuhas</w:t>
      </w:r>
      <w:proofErr w:type="spellEnd"/>
      <w:r w:rsidRPr="00901D5F">
        <w:rPr>
          <w:sz w:val="20"/>
        </w:rPr>
        <w:t xml:space="preserve"> and Evan D. Marshall for Plaintiffs and Appellants.</w:t>
      </w:r>
    </w:p>
    <w:p w14:paraId="074EA9D1" w14:textId="77777777" w:rsidR="00901D5F" w:rsidRPr="00901D5F" w:rsidRDefault="00901D5F" w:rsidP="00901D5F">
      <w:pPr>
        <w:spacing w:line="240" w:lineRule="auto"/>
        <w:ind w:firstLine="0"/>
        <w:rPr>
          <w:sz w:val="20"/>
        </w:rPr>
      </w:pPr>
    </w:p>
    <w:p w14:paraId="6FD57364" w14:textId="77777777" w:rsidR="00901D5F" w:rsidRPr="00901D5F" w:rsidRDefault="00901D5F" w:rsidP="00901D5F">
      <w:pPr>
        <w:spacing w:line="240" w:lineRule="auto"/>
        <w:ind w:firstLine="0"/>
        <w:rPr>
          <w:sz w:val="20"/>
        </w:rPr>
      </w:pPr>
      <w:proofErr w:type="spellStart"/>
      <w:r w:rsidRPr="00901D5F">
        <w:rPr>
          <w:sz w:val="20"/>
        </w:rPr>
        <w:t>RoganLehrman</w:t>
      </w:r>
      <w:proofErr w:type="spellEnd"/>
      <w:r w:rsidRPr="00901D5F">
        <w:rPr>
          <w:sz w:val="20"/>
        </w:rPr>
        <w:t xml:space="preserve">, Patrick Rogan, Daniel R. Villegas; Bowman and Brooke, David P. Stone; Bingham </w:t>
      </w:r>
      <w:proofErr w:type="spellStart"/>
      <w:r w:rsidRPr="00901D5F">
        <w:rPr>
          <w:sz w:val="20"/>
        </w:rPr>
        <w:t>McCutchen</w:t>
      </w:r>
      <w:proofErr w:type="spellEnd"/>
      <w:r w:rsidRPr="00901D5F">
        <w:rPr>
          <w:sz w:val="20"/>
        </w:rPr>
        <w:t xml:space="preserve">, Morgan, Lewis &amp; </w:t>
      </w:r>
      <w:proofErr w:type="spellStart"/>
      <w:r w:rsidRPr="00901D5F">
        <w:rPr>
          <w:sz w:val="20"/>
        </w:rPr>
        <w:t>Bockius</w:t>
      </w:r>
      <w:proofErr w:type="spellEnd"/>
      <w:r w:rsidRPr="00901D5F">
        <w:rPr>
          <w:sz w:val="20"/>
        </w:rPr>
        <w:t xml:space="preserve">, Robert A. </w:t>
      </w:r>
      <w:proofErr w:type="spellStart"/>
      <w:r w:rsidRPr="00901D5F">
        <w:rPr>
          <w:sz w:val="20"/>
        </w:rPr>
        <w:t>Brundage</w:t>
      </w:r>
      <w:proofErr w:type="spellEnd"/>
      <w:r w:rsidRPr="00901D5F">
        <w:rPr>
          <w:sz w:val="20"/>
        </w:rPr>
        <w:t xml:space="preserve"> and Nicolette L. Young for Defendants and Respondents.</w:t>
      </w:r>
    </w:p>
    <w:p w14:paraId="6AB8B392" w14:textId="77777777" w:rsidR="00901D5F" w:rsidRPr="00901D5F" w:rsidRDefault="00901D5F" w:rsidP="00901D5F">
      <w:pPr>
        <w:spacing w:line="240" w:lineRule="auto"/>
        <w:ind w:firstLine="0"/>
        <w:rPr>
          <w:sz w:val="20"/>
        </w:rPr>
      </w:pPr>
    </w:p>
    <w:p w14:paraId="4ACDC5C6" w14:textId="77777777" w:rsidR="00901D5F" w:rsidRPr="00901D5F" w:rsidRDefault="00901D5F" w:rsidP="00901D5F">
      <w:pPr>
        <w:spacing w:line="240" w:lineRule="auto"/>
        <w:ind w:firstLine="0"/>
        <w:rPr>
          <w:sz w:val="20"/>
        </w:rPr>
      </w:pPr>
      <w:r w:rsidRPr="00901D5F">
        <w:rPr>
          <w:sz w:val="20"/>
        </w:rPr>
        <w:t xml:space="preserve">Horvitz &amp; Levy, Lisa </w:t>
      </w:r>
      <w:proofErr w:type="spellStart"/>
      <w:r w:rsidRPr="00901D5F">
        <w:rPr>
          <w:sz w:val="20"/>
        </w:rPr>
        <w:t>Perrochet</w:t>
      </w:r>
      <w:proofErr w:type="spellEnd"/>
      <w:r w:rsidRPr="00901D5F">
        <w:rPr>
          <w:sz w:val="20"/>
        </w:rPr>
        <w:t xml:space="preserve">, John A. Taylor, Jr., and Emily V. </w:t>
      </w:r>
      <w:proofErr w:type="spellStart"/>
      <w:r w:rsidRPr="00901D5F">
        <w:rPr>
          <w:sz w:val="20"/>
        </w:rPr>
        <w:t>Cuatto</w:t>
      </w:r>
      <w:proofErr w:type="spellEnd"/>
      <w:r w:rsidRPr="00901D5F">
        <w:rPr>
          <w:sz w:val="20"/>
        </w:rPr>
        <w:t xml:space="preserve"> for Alliance of Automobile Manufacturers as Amicus Curiae on behalf of Defendants and Respondents.</w:t>
      </w:r>
    </w:p>
    <w:p w14:paraId="53291FAF" w14:textId="77777777" w:rsidR="00901D5F" w:rsidRPr="00901D5F" w:rsidRDefault="00901D5F" w:rsidP="00901D5F">
      <w:pPr>
        <w:spacing w:line="240" w:lineRule="auto"/>
        <w:ind w:firstLine="0"/>
        <w:rPr>
          <w:sz w:val="20"/>
        </w:rPr>
      </w:pPr>
    </w:p>
    <w:p w14:paraId="6BB165D9" w14:textId="77777777" w:rsidR="00901D5F" w:rsidRPr="00901D5F" w:rsidRDefault="00901D5F" w:rsidP="00901D5F">
      <w:pPr>
        <w:spacing w:line="240" w:lineRule="auto"/>
        <w:ind w:firstLine="0"/>
        <w:rPr>
          <w:sz w:val="20"/>
        </w:rPr>
      </w:pPr>
      <w:r w:rsidRPr="00901D5F">
        <w:rPr>
          <w:sz w:val="20"/>
        </w:rPr>
        <w:t xml:space="preserve">Fred J. </w:t>
      </w:r>
      <w:proofErr w:type="spellStart"/>
      <w:r w:rsidRPr="00901D5F">
        <w:rPr>
          <w:sz w:val="20"/>
        </w:rPr>
        <w:t>Hiestand</w:t>
      </w:r>
      <w:proofErr w:type="spellEnd"/>
      <w:r w:rsidRPr="00901D5F">
        <w:rPr>
          <w:sz w:val="20"/>
        </w:rPr>
        <w:t>; Erika C. Frank and Heather L. Wallace for California Chamber of Commerce and the Civil Justice Association of California as Amici Curiae on behalf of Defendants and Respondents.</w:t>
      </w:r>
    </w:p>
    <w:p w14:paraId="0F9D178B" w14:textId="77777777" w:rsidR="00901D5F" w:rsidRPr="00901D5F" w:rsidRDefault="00901D5F" w:rsidP="00901D5F">
      <w:pPr>
        <w:spacing w:line="240" w:lineRule="auto"/>
        <w:ind w:firstLine="0"/>
        <w:rPr>
          <w:sz w:val="20"/>
        </w:rPr>
      </w:pPr>
    </w:p>
    <w:p w14:paraId="189CDD94" w14:textId="77777777" w:rsidR="00901D5F" w:rsidRPr="00901D5F" w:rsidRDefault="00901D5F" w:rsidP="00901D5F">
      <w:pPr>
        <w:spacing w:line="240" w:lineRule="auto"/>
        <w:ind w:firstLine="0"/>
        <w:rPr>
          <w:sz w:val="20"/>
        </w:rPr>
      </w:pPr>
      <w:proofErr w:type="spellStart"/>
      <w:r w:rsidRPr="00901D5F">
        <w:rPr>
          <w:sz w:val="20"/>
        </w:rPr>
        <w:t>Dykema</w:t>
      </w:r>
      <w:proofErr w:type="spellEnd"/>
      <w:r w:rsidRPr="00901D5F">
        <w:rPr>
          <w:sz w:val="20"/>
        </w:rPr>
        <w:t xml:space="preserve"> Gossett, John M. Thomas and Ashley R. </w:t>
      </w:r>
      <w:proofErr w:type="spellStart"/>
      <w:r w:rsidRPr="00901D5F">
        <w:rPr>
          <w:sz w:val="20"/>
        </w:rPr>
        <w:t>Fickel</w:t>
      </w:r>
      <w:proofErr w:type="spellEnd"/>
      <w:r w:rsidRPr="00901D5F">
        <w:rPr>
          <w:sz w:val="20"/>
        </w:rPr>
        <w:t xml:space="preserve"> for The Product Liability Advisory Council, Inc., as Amicus Curiae on behalf of Defendants and Respondents.</w:t>
      </w:r>
    </w:p>
    <w:p w14:paraId="54ED4570" w14:textId="77777777" w:rsidR="00901D5F" w:rsidRPr="00901D5F" w:rsidRDefault="00901D5F" w:rsidP="00901D5F">
      <w:pPr>
        <w:spacing w:line="240" w:lineRule="auto"/>
        <w:ind w:firstLine="0"/>
        <w:rPr>
          <w:sz w:val="20"/>
        </w:rPr>
      </w:pPr>
    </w:p>
    <w:p w14:paraId="2D8DCF40" w14:textId="77777777" w:rsidR="00901D5F" w:rsidRPr="00901D5F" w:rsidRDefault="00901D5F" w:rsidP="00901D5F">
      <w:pPr>
        <w:spacing w:line="240" w:lineRule="auto"/>
        <w:ind w:firstLine="0"/>
        <w:rPr>
          <w:sz w:val="20"/>
        </w:rPr>
      </w:pPr>
      <w:r w:rsidRPr="00901D5F">
        <w:rPr>
          <w:sz w:val="20"/>
        </w:rPr>
        <w:t xml:space="preserve">Haynes and Boone, Mary-Christine </w:t>
      </w:r>
      <w:proofErr w:type="spellStart"/>
      <w:r w:rsidRPr="00901D5F">
        <w:rPr>
          <w:sz w:val="20"/>
        </w:rPr>
        <w:t>Sungaila</w:t>
      </w:r>
      <w:proofErr w:type="spellEnd"/>
      <w:r w:rsidRPr="00901D5F">
        <w:rPr>
          <w:sz w:val="20"/>
        </w:rPr>
        <w:t xml:space="preserve"> and Martin M. Ellison for International Association of Defense Counsel as Amicus Curiae on behalf of Defendants and Respondents.</w:t>
      </w:r>
    </w:p>
    <w:p w14:paraId="3454A3DE" w14:textId="77777777" w:rsidR="00901D5F" w:rsidRPr="00901D5F" w:rsidRDefault="00901D5F" w:rsidP="00901D5F">
      <w:pPr>
        <w:spacing w:line="240" w:lineRule="auto"/>
        <w:ind w:firstLine="0"/>
        <w:rPr>
          <w:sz w:val="20"/>
        </w:rPr>
      </w:pPr>
    </w:p>
    <w:p w14:paraId="2E1F386B" w14:textId="77777777" w:rsidR="00901D5F" w:rsidRPr="00901D5F" w:rsidRDefault="00901D5F" w:rsidP="00901D5F">
      <w:pPr>
        <w:spacing w:line="240" w:lineRule="auto"/>
        <w:ind w:firstLine="0"/>
        <w:rPr>
          <w:sz w:val="20"/>
        </w:rPr>
      </w:pPr>
      <w:r w:rsidRPr="00901D5F">
        <w:rPr>
          <w:sz w:val="20"/>
        </w:rPr>
        <w:t xml:space="preserve">K&amp;L Gates, Edward P. Sangster and J. Nicholas </w:t>
      </w:r>
      <w:proofErr w:type="spellStart"/>
      <w:r w:rsidRPr="00901D5F">
        <w:rPr>
          <w:sz w:val="20"/>
        </w:rPr>
        <w:t>Ranjan</w:t>
      </w:r>
      <w:proofErr w:type="spellEnd"/>
      <w:r w:rsidRPr="00901D5F">
        <w:rPr>
          <w:sz w:val="20"/>
        </w:rPr>
        <w:t xml:space="preserve"> for Chamber of Commerce of the United States of America as Amicus Curiae on behalf of Defendants and Respondents.</w:t>
      </w:r>
    </w:p>
    <w:p w14:paraId="7EC42042" w14:textId="77777777" w:rsidR="00901D5F" w:rsidRPr="00901D5F" w:rsidRDefault="00901D5F" w:rsidP="00901D5F">
      <w:pPr>
        <w:spacing w:line="240" w:lineRule="auto"/>
        <w:ind w:firstLine="0"/>
        <w:rPr>
          <w:sz w:val="20"/>
        </w:rPr>
      </w:pPr>
    </w:p>
    <w:p w14:paraId="45167771" w14:textId="77777777" w:rsidR="00901D5F" w:rsidRPr="00901D5F" w:rsidRDefault="00901D5F" w:rsidP="00901D5F">
      <w:pPr>
        <w:spacing w:line="240" w:lineRule="auto"/>
        <w:ind w:firstLine="0"/>
        <w:rPr>
          <w:sz w:val="20"/>
        </w:rPr>
      </w:pPr>
    </w:p>
    <w:p w14:paraId="09F10072" w14:textId="77777777" w:rsidR="00901D5F" w:rsidRPr="00901D5F" w:rsidRDefault="00901D5F" w:rsidP="00901D5F">
      <w:pPr>
        <w:spacing w:line="240" w:lineRule="auto"/>
        <w:ind w:firstLine="0"/>
        <w:rPr>
          <w:b/>
          <w:sz w:val="20"/>
        </w:rPr>
      </w:pPr>
    </w:p>
    <w:p w14:paraId="7DAAD972" w14:textId="77777777" w:rsidR="00901D5F" w:rsidRPr="00901D5F" w:rsidRDefault="00901D5F" w:rsidP="00901D5F">
      <w:pPr>
        <w:spacing w:line="240" w:lineRule="auto"/>
        <w:ind w:firstLine="0"/>
        <w:rPr>
          <w:b/>
          <w:sz w:val="20"/>
        </w:rPr>
      </w:pPr>
    </w:p>
    <w:p w14:paraId="1E64E7EC" w14:textId="77777777" w:rsidR="00901D5F" w:rsidRPr="00901D5F" w:rsidRDefault="00901D5F" w:rsidP="00901D5F">
      <w:pPr>
        <w:spacing w:line="240" w:lineRule="auto"/>
        <w:ind w:firstLine="0"/>
        <w:rPr>
          <w:b/>
          <w:sz w:val="20"/>
        </w:rPr>
      </w:pPr>
    </w:p>
    <w:p w14:paraId="202205CE" w14:textId="77777777" w:rsidR="00901D5F" w:rsidRPr="00901D5F" w:rsidRDefault="00901D5F" w:rsidP="00901D5F">
      <w:pPr>
        <w:spacing w:line="240" w:lineRule="auto"/>
        <w:ind w:firstLine="0"/>
        <w:rPr>
          <w:b/>
          <w:sz w:val="20"/>
        </w:rPr>
      </w:pPr>
    </w:p>
    <w:p w14:paraId="544564BC" w14:textId="77777777" w:rsidR="00901D5F" w:rsidRPr="00901D5F" w:rsidRDefault="00901D5F" w:rsidP="00901D5F">
      <w:pPr>
        <w:spacing w:line="240" w:lineRule="auto"/>
        <w:ind w:firstLine="0"/>
        <w:rPr>
          <w:b/>
          <w:sz w:val="20"/>
        </w:rPr>
      </w:pPr>
      <w:r w:rsidRPr="00901D5F">
        <w:rPr>
          <w:b/>
          <w:sz w:val="20"/>
        </w:rPr>
        <w:br w:type="page"/>
      </w:r>
    </w:p>
    <w:p w14:paraId="05366348" w14:textId="77777777" w:rsidR="00901D5F" w:rsidRPr="00901D5F" w:rsidRDefault="00901D5F" w:rsidP="00901D5F">
      <w:pPr>
        <w:spacing w:line="240" w:lineRule="auto"/>
        <w:ind w:firstLine="0"/>
        <w:rPr>
          <w:b/>
          <w:sz w:val="20"/>
        </w:rPr>
      </w:pPr>
    </w:p>
    <w:p w14:paraId="128B729D" w14:textId="77777777" w:rsidR="00901D5F" w:rsidRPr="00901D5F" w:rsidRDefault="00901D5F" w:rsidP="00901D5F">
      <w:pPr>
        <w:spacing w:line="240" w:lineRule="auto"/>
        <w:ind w:firstLine="0"/>
        <w:rPr>
          <w:b/>
          <w:sz w:val="20"/>
        </w:rPr>
      </w:pPr>
    </w:p>
    <w:p w14:paraId="0AB8A005" w14:textId="77777777" w:rsidR="00901D5F" w:rsidRPr="00901D5F" w:rsidRDefault="00901D5F" w:rsidP="00901D5F">
      <w:pPr>
        <w:spacing w:line="240" w:lineRule="auto"/>
        <w:ind w:firstLine="0"/>
        <w:rPr>
          <w:b/>
          <w:sz w:val="20"/>
        </w:rPr>
      </w:pPr>
    </w:p>
    <w:p w14:paraId="67DF8F05" w14:textId="77777777" w:rsidR="00901D5F" w:rsidRPr="00901D5F" w:rsidRDefault="00901D5F" w:rsidP="00901D5F">
      <w:pPr>
        <w:spacing w:line="240" w:lineRule="auto"/>
        <w:ind w:firstLine="0"/>
        <w:rPr>
          <w:b/>
          <w:sz w:val="20"/>
        </w:rPr>
      </w:pPr>
      <w:r w:rsidRPr="00901D5F">
        <w:rPr>
          <w:b/>
          <w:sz w:val="20"/>
        </w:rPr>
        <w:t>Counsel who argued in Supreme Court (not intended for publication with opinion):</w:t>
      </w:r>
    </w:p>
    <w:p w14:paraId="067E9D4B" w14:textId="77777777" w:rsidR="00901D5F" w:rsidRPr="00901D5F" w:rsidRDefault="00901D5F" w:rsidP="00901D5F">
      <w:pPr>
        <w:spacing w:line="240" w:lineRule="auto"/>
        <w:ind w:firstLine="0"/>
        <w:rPr>
          <w:b/>
          <w:sz w:val="20"/>
        </w:rPr>
      </w:pPr>
    </w:p>
    <w:p w14:paraId="4264FDFE" w14:textId="77777777" w:rsidR="00901D5F" w:rsidRPr="00901D5F" w:rsidRDefault="00901D5F" w:rsidP="00901D5F">
      <w:pPr>
        <w:spacing w:line="240" w:lineRule="auto"/>
        <w:ind w:firstLine="0"/>
        <w:rPr>
          <w:b/>
          <w:sz w:val="20"/>
        </w:rPr>
      </w:pPr>
      <w:r w:rsidRPr="00901D5F">
        <w:rPr>
          <w:sz w:val="20"/>
        </w:rPr>
        <w:t>Ian Herzog</w:t>
      </w:r>
    </w:p>
    <w:p w14:paraId="3770D882" w14:textId="77777777" w:rsidR="00901D5F" w:rsidRPr="00901D5F" w:rsidRDefault="00901D5F" w:rsidP="00901D5F">
      <w:pPr>
        <w:spacing w:line="240" w:lineRule="auto"/>
        <w:ind w:firstLine="0"/>
        <w:rPr>
          <w:sz w:val="20"/>
        </w:rPr>
      </w:pPr>
      <w:r w:rsidRPr="00901D5F">
        <w:rPr>
          <w:sz w:val="20"/>
        </w:rPr>
        <w:t xml:space="preserve">Herzog, </w:t>
      </w:r>
      <w:proofErr w:type="spellStart"/>
      <w:r w:rsidRPr="00901D5F">
        <w:rPr>
          <w:sz w:val="20"/>
        </w:rPr>
        <w:t>Yuhas</w:t>
      </w:r>
      <w:proofErr w:type="spellEnd"/>
      <w:r w:rsidRPr="00901D5F">
        <w:rPr>
          <w:sz w:val="20"/>
        </w:rPr>
        <w:t xml:space="preserve">, Ehrlich &amp; </w:t>
      </w:r>
      <w:proofErr w:type="spellStart"/>
      <w:r w:rsidRPr="00901D5F">
        <w:rPr>
          <w:sz w:val="20"/>
        </w:rPr>
        <w:t>Ardell</w:t>
      </w:r>
      <w:proofErr w:type="spellEnd"/>
    </w:p>
    <w:p w14:paraId="7F2EC7E4" w14:textId="77777777" w:rsidR="00901D5F" w:rsidRPr="00901D5F" w:rsidRDefault="00901D5F" w:rsidP="00901D5F">
      <w:pPr>
        <w:spacing w:line="240" w:lineRule="auto"/>
        <w:ind w:firstLine="0"/>
        <w:rPr>
          <w:sz w:val="20"/>
        </w:rPr>
      </w:pPr>
      <w:r w:rsidRPr="00901D5F">
        <w:rPr>
          <w:sz w:val="20"/>
        </w:rPr>
        <w:t>11400 West Olympic Boulevard, Suite 1150</w:t>
      </w:r>
    </w:p>
    <w:p w14:paraId="40B77FC5" w14:textId="77777777" w:rsidR="00901D5F" w:rsidRPr="00901D5F" w:rsidRDefault="00901D5F" w:rsidP="00901D5F">
      <w:pPr>
        <w:spacing w:line="240" w:lineRule="auto"/>
        <w:ind w:firstLine="0"/>
        <w:rPr>
          <w:sz w:val="20"/>
        </w:rPr>
      </w:pPr>
      <w:r w:rsidRPr="00901D5F">
        <w:rPr>
          <w:sz w:val="20"/>
        </w:rPr>
        <w:t>Los Angeles, CA  90064</w:t>
      </w:r>
    </w:p>
    <w:p w14:paraId="5AAD91D7" w14:textId="77777777" w:rsidR="00901D5F" w:rsidRPr="00901D5F" w:rsidRDefault="00901D5F" w:rsidP="00901D5F">
      <w:pPr>
        <w:spacing w:line="240" w:lineRule="auto"/>
        <w:ind w:firstLine="0"/>
        <w:rPr>
          <w:sz w:val="20"/>
        </w:rPr>
      </w:pPr>
      <w:r w:rsidRPr="00901D5F">
        <w:rPr>
          <w:sz w:val="20"/>
        </w:rPr>
        <w:t>(310) 458-6660</w:t>
      </w:r>
    </w:p>
    <w:p w14:paraId="4FC0C6D0" w14:textId="77777777" w:rsidR="00901D5F" w:rsidRPr="00901D5F" w:rsidRDefault="00901D5F" w:rsidP="00901D5F">
      <w:pPr>
        <w:spacing w:line="240" w:lineRule="auto"/>
        <w:ind w:firstLine="0"/>
        <w:rPr>
          <w:sz w:val="20"/>
        </w:rPr>
      </w:pPr>
    </w:p>
    <w:p w14:paraId="3197EE02" w14:textId="77777777" w:rsidR="00901D5F" w:rsidRPr="00901D5F" w:rsidRDefault="00901D5F" w:rsidP="00901D5F">
      <w:pPr>
        <w:spacing w:line="240" w:lineRule="auto"/>
        <w:ind w:firstLine="0"/>
        <w:rPr>
          <w:sz w:val="20"/>
        </w:rPr>
      </w:pPr>
      <w:r w:rsidRPr="00901D5F">
        <w:rPr>
          <w:sz w:val="20"/>
        </w:rPr>
        <w:t xml:space="preserve">Robert A. </w:t>
      </w:r>
      <w:proofErr w:type="spellStart"/>
      <w:r w:rsidRPr="00901D5F">
        <w:rPr>
          <w:sz w:val="20"/>
        </w:rPr>
        <w:t>Brundage</w:t>
      </w:r>
      <w:proofErr w:type="spellEnd"/>
    </w:p>
    <w:p w14:paraId="2C929167" w14:textId="77777777" w:rsidR="00901D5F" w:rsidRPr="00901D5F" w:rsidRDefault="00901D5F" w:rsidP="00901D5F">
      <w:pPr>
        <w:spacing w:line="240" w:lineRule="auto"/>
        <w:ind w:firstLine="0"/>
        <w:rPr>
          <w:sz w:val="20"/>
        </w:rPr>
      </w:pPr>
      <w:r w:rsidRPr="00901D5F">
        <w:rPr>
          <w:sz w:val="20"/>
        </w:rPr>
        <w:t xml:space="preserve">Morgan, Lewis &amp; </w:t>
      </w:r>
      <w:proofErr w:type="spellStart"/>
      <w:r w:rsidRPr="00901D5F">
        <w:rPr>
          <w:sz w:val="20"/>
        </w:rPr>
        <w:t>Bockius</w:t>
      </w:r>
      <w:proofErr w:type="spellEnd"/>
    </w:p>
    <w:p w14:paraId="0DE0EB9F" w14:textId="77777777" w:rsidR="00901D5F" w:rsidRPr="00901D5F" w:rsidRDefault="00901D5F" w:rsidP="00901D5F">
      <w:pPr>
        <w:spacing w:line="240" w:lineRule="auto"/>
        <w:ind w:firstLine="0"/>
        <w:rPr>
          <w:sz w:val="20"/>
        </w:rPr>
      </w:pPr>
      <w:r w:rsidRPr="00901D5F">
        <w:rPr>
          <w:sz w:val="20"/>
        </w:rPr>
        <w:t>One Market, Spear Street Tower</w:t>
      </w:r>
    </w:p>
    <w:p w14:paraId="08BBE604" w14:textId="77777777" w:rsidR="00901D5F" w:rsidRPr="00901D5F" w:rsidRDefault="00901D5F" w:rsidP="00901D5F">
      <w:pPr>
        <w:spacing w:line="240" w:lineRule="auto"/>
        <w:ind w:firstLine="0"/>
        <w:rPr>
          <w:sz w:val="20"/>
        </w:rPr>
      </w:pPr>
      <w:r w:rsidRPr="00901D5F">
        <w:rPr>
          <w:sz w:val="20"/>
        </w:rPr>
        <w:t>San Francisco, CA  94105-1596</w:t>
      </w:r>
    </w:p>
    <w:p w14:paraId="2B73E439" w14:textId="77777777" w:rsidR="00901D5F" w:rsidRPr="00901D5F" w:rsidRDefault="00901D5F" w:rsidP="00901D5F">
      <w:pPr>
        <w:spacing w:line="240" w:lineRule="auto"/>
        <w:ind w:firstLine="0"/>
        <w:rPr>
          <w:sz w:val="20"/>
        </w:rPr>
      </w:pPr>
      <w:r w:rsidRPr="00901D5F">
        <w:rPr>
          <w:sz w:val="20"/>
        </w:rPr>
        <w:t>(415) 442-1000</w:t>
      </w:r>
    </w:p>
    <w:p w14:paraId="2A4E2792" w14:textId="2088B27D" w:rsidR="00627956" w:rsidRPr="002A6056" w:rsidRDefault="00627956" w:rsidP="00627956">
      <w:pPr>
        <w:spacing w:line="240" w:lineRule="auto"/>
        <w:ind w:firstLine="0"/>
        <w:rPr>
          <w:b/>
        </w:rPr>
      </w:pPr>
    </w:p>
    <w:sectPr w:rsidR="00627956" w:rsidRPr="002A605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D26A" w14:textId="77777777" w:rsidR="006C2423" w:rsidRDefault="006C2423">
      <w:r>
        <w:separator/>
      </w:r>
    </w:p>
  </w:endnote>
  <w:endnote w:type="continuationSeparator" w:id="0">
    <w:p w14:paraId="53DAEF5A" w14:textId="77777777" w:rsidR="006C2423" w:rsidRDefault="006C2423">
      <w:r>
        <w:continuationSeparator/>
      </w:r>
    </w:p>
  </w:endnote>
  <w:endnote w:type="continuationNotice" w:id="1">
    <w:p w14:paraId="270E7B99" w14:textId="77777777" w:rsidR="006C2423" w:rsidRDefault="006C24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F7BC" w14:textId="29ECA6A3" w:rsidR="00527EB4" w:rsidRDefault="00527EB4" w:rsidP="00487CF4">
    <w:pPr>
      <w:pStyle w:val="Footer"/>
      <w:ind w:firstLine="0"/>
      <w:jc w:val="center"/>
    </w:pPr>
    <w:r>
      <w:fldChar w:fldCharType="begin"/>
    </w:r>
    <w:r>
      <w:instrText>PAGE</w:instrText>
    </w:r>
    <w:r>
      <w:fldChar w:fldCharType="separate"/>
    </w:r>
    <w:r w:rsidR="004911C6">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80CF" w14:textId="046D0435" w:rsidR="00E167E1" w:rsidRDefault="00E167E1" w:rsidP="00E167E1">
    <w:pPr>
      <w:pStyle w:val="Footer"/>
      <w:jc w:val="center"/>
    </w:pPr>
    <w:r>
      <w:t>1</w:t>
    </w:r>
  </w:p>
  <w:p w14:paraId="65471C79" w14:textId="66993046" w:rsidR="00E167E1" w:rsidRPr="00980DFD" w:rsidRDefault="00E167E1" w:rsidP="00E167E1">
    <w:pPr>
      <w:pStyle w:val="Footer"/>
      <w:jc w:val="center"/>
    </w:pPr>
    <w:r w:rsidRPr="00980DFD">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34CF" w14:textId="101CB887" w:rsidR="00901D5F" w:rsidRDefault="00901D5F" w:rsidP="00487CF4">
    <w:pPr>
      <w:pStyle w:val="Footer"/>
      <w:ind w:firstLine="0"/>
      <w:jc w:val="center"/>
    </w:pPr>
    <w:r>
      <w:fldChar w:fldCharType="begin"/>
    </w:r>
    <w:r>
      <w:instrText>PAGE</w:instrText>
    </w:r>
    <w:r>
      <w:fldChar w:fldCharType="separate"/>
    </w:r>
    <w:r w:rsidR="004911C6">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02C0" w14:textId="77777777" w:rsidR="00901D5F" w:rsidRDefault="00901D5F" w:rsidP="00E167E1">
    <w:pPr>
      <w:pStyle w:val="Footer"/>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D3BC" w14:textId="77777777" w:rsidR="00430D68" w:rsidRDefault="004911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5779" w14:textId="77777777" w:rsidR="00430D68" w:rsidRDefault="004911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7C76" w14:textId="77777777" w:rsidR="00430D68" w:rsidRDefault="0049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894C" w14:textId="77777777" w:rsidR="006C2423" w:rsidRDefault="006C2423" w:rsidP="00380C2D">
      <w:pPr>
        <w:pStyle w:val="FootnoteText"/>
      </w:pPr>
      <w:r>
        <w:separator/>
      </w:r>
    </w:p>
  </w:footnote>
  <w:footnote w:type="continuationSeparator" w:id="0">
    <w:p w14:paraId="08745AC8" w14:textId="77777777" w:rsidR="006C2423" w:rsidRDefault="006C2423" w:rsidP="00380C2D">
      <w:pPr>
        <w:pStyle w:val="FootnoteText"/>
      </w:pPr>
      <w:r>
        <w:continuationSeparator/>
      </w:r>
    </w:p>
  </w:footnote>
  <w:footnote w:type="continuationNotice" w:id="1">
    <w:p w14:paraId="7EE9EFE4" w14:textId="77777777" w:rsidR="006C2423" w:rsidRPr="00380C2D" w:rsidRDefault="006C2423" w:rsidP="00380C2D">
      <w:pPr>
        <w:pStyle w:val="FootnoteText"/>
        <w:jc w:val="right"/>
        <w:rPr>
          <w:i/>
          <w:sz w:val="20"/>
        </w:rPr>
      </w:pPr>
    </w:p>
  </w:footnote>
  <w:footnote w:id="2">
    <w:p w14:paraId="39EDBDCE" w14:textId="0C39EE88" w:rsidR="00527EB4" w:rsidRDefault="00527EB4">
      <w:pPr>
        <w:pStyle w:val="FootnoteText"/>
      </w:pPr>
      <w:r>
        <w:rPr>
          <w:rStyle w:val="FootnoteReference"/>
        </w:rPr>
        <w:footnoteRef/>
      </w:r>
      <w:r>
        <w:t xml:space="preserve"> </w:t>
      </w:r>
      <w:r>
        <w:tab/>
        <w:t xml:space="preserve">The </w:t>
      </w:r>
      <w:proofErr w:type="spellStart"/>
      <w:r>
        <w:t>Kims</w:t>
      </w:r>
      <w:proofErr w:type="spellEnd"/>
      <w:r>
        <w:t xml:space="preserve"> also initially alleged negligence and breach of warranty, but voluntarily dismissed those causes of action before trial.</w:t>
      </w:r>
    </w:p>
  </w:footnote>
  <w:footnote w:id="3">
    <w:p w14:paraId="7097595B" w14:textId="77777777" w:rsidR="00527EB4" w:rsidRDefault="00527EB4">
      <w:pPr>
        <w:pStyle w:val="FootnoteText"/>
      </w:pPr>
      <w:r>
        <w:rPr>
          <w:rStyle w:val="FootnoteReference"/>
        </w:rPr>
        <w:footnoteRef/>
      </w:r>
      <w:r>
        <w:t xml:space="preserve"> </w:t>
      </w:r>
      <w:r>
        <w:tab/>
        <w:t>VSC is also known as electronic stability control</w:t>
      </w:r>
      <w:r w:rsidR="000E5938">
        <w:t>.</w:t>
      </w:r>
      <w:r>
        <w:t xml:space="preserve">  For the sake of consistency, this opinion uses the term VSC.</w:t>
      </w:r>
    </w:p>
  </w:footnote>
  <w:footnote w:id="4">
    <w:p w14:paraId="794BE9DF" w14:textId="77777777" w:rsidR="00527EB4" w:rsidRDefault="00527EB4">
      <w:pPr>
        <w:pStyle w:val="FootnoteText"/>
      </w:pPr>
      <w:r>
        <w:rPr>
          <w:rStyle w:val="FootnoteReference"/>
        </w:rPr>
        <w:footnoteRef/>
      </w:r>
      <w:r>
        <w:t xml:space="preserve"> </w:t>
      </w:r>
      <w:r w:rsidR="00B90850">
        <w:tab/>
      </w:r>
      <w:r>
        <w:t xml:space="preserve">The </w:t>
      </w:r>
      <w:proofErr w:type="spellStart"/>
      <w:r>
        <w:t>Kims</w:t>
      </w:r>
      <w:proofErr w:type="spellEnd"/>
      <w:r>
        <w:t xml:space="preserve"> also filed a motion in </w:t>
      </w:r>
      <w:proofErr w:type="spellStart"/>
      <w:r>
        <w:t>limine</w:t>
      </w:r>
      <w:proofErr w:type="spellEnd"/>
      <w:r>
        <w:t xml:space="preserve"> seeking to preclude “any argument, evidence or testimony that compliance with Federal Motor Vehicle Safety Standards (FMVSS) either (a) satisfies the manufacturer’s obligations in the manufacture or design of the subject vehicle, (b) demonstrates the subject vehicle was safe for its intended use, or (c) demonstrates a lack of defect in the subject </w:t>
      </w:r>
      <w:proofErr w:type="gramStart"/>
      <w:r>
        <w:t>vehicle .</w:t>
      </w:r>
      <w:proofErr w:type="gramEnd"/>
      <w:r w:rsidR="00BC006C">
        <w:t> </w:t>
      </w:r>
      <w:r>
        <w:t>.</w:t>
      </w:r>
      <w:r w:rsidR="00BC006C">
        <w:t> </w:t>
      </w:r>
      <w:r>
        <w:t>.</w:t>
      </w:r>
      <w:r w:rsidR="00BC006C">
        <w:t> </w:t>
      </w:r>
      <w:r>
        <w:t xml:space="preserve">.”  The trial court also denied this motion in </w:t>
      </w:r>
      <w:proofErr w:type="spellStart"/>
      <w:r>
        <w:t>limine</w:t>
      </w:r>
      <w:proofErr w:type="spellEnd"/>
      <w:r>
        <w:t xml:space="preserve">.  The </w:t>
      </w:r>
      <w:proofErr w:type="spellStart"/>
      <w:r>
        <w:t>Kims</w:t>
      </w:r>
      <w:proofErr w:type="spellEnd"/>
      <w:r>
        <w:t xml:space="preserve"> neither appealed th</w:t>
      </w:r>
      <w:r w:rsidR="00616DFF">
        <w:t>e</w:t>
      </w:r>
      <w:r>
        <w:t xml:space="preserve"> denial to the Court of Appeal nor sought our review of this issue.</w:t>
      </w:r>
    </w:p>
  </w:footnote>
  <w:footnote w:id="5">
    <w:p w14:paraId="70580CEA" w14:textId="72BB599C" w:rsidR="00B90850" w:rsidRPr="00B90850" w:rsidRDefault="00B90850">
      <w:pPr>
        <w:pStyle w:val="FootnoteText"/>
      </w:pPr>
      <w:r>
        <w:rPr>
          <w:rStyle w:val="FootnoteReference"/>
        </w:rPr>
        <w:footnoteRef/>
      </w:r>
      <w:r>
        <w:t xml:space="preserve"> </w:t>
      </w:r>
      <w:r>
        <w:tab/>
      </w:r>
      <w:r w:rsidR="000C7154">
        <w:t>The</w:t>
      </w:r>
      <w:r>
        <w:t xml:space="preserve"> Court of Appeal </w:t>
      </w:r>
      <w:r w:rsidR="006A5A16">
        <w:t xml:space="preserve">also </w:t>
      </w:r>
      <w:r w:rsidR="000C7154">
        <w:t>affirmed the</w:t>
      </w:r>
      <w:r>
        <w:t xml:space="preserve"> trial court’s rejection of a proposed jury instruction that </w:t>
      </w:r>
      <w:r w:rsidR="006A5A16">
        <w:t>would have advised the jury that it was “no defense” that the Tundra’s design “</w:t>
      </w:r>
      <w:r w:rsidRPr="00B90850">
        <w:t>met the standards of the motor vehicle industry at the time the Tundra was produced, or that Toyota’s competitors sold vehicles that were no safer than the Tundra, or had the same design defects, or lacked the same safety equipment.”</w:t>
      </w:r>
      <w:r>
        <w:t xml:space="preserve">  The Court of Appeal </w:t>
      </w:r>
      <w:r w:rsidR="00A07595">
        <w:t xml:space="preserve">concluded </w:t>
      </w:r>
      <w:r>
        <w:t>this proposed instruction</w:t>
      </w:r>
      <w:r w:rsidR="00A07595">
        <w:t xml:space="preserve">, as worded, </w:t>
      </w:r>
      <w:r>
        <w:t xml:space="preserve">was </w:t>
      </w:r>
      <w:r w:rsidRPr="00B90850">
        <w:t>“misleading, argumentative, and incomplete</w:t>
      </w:r>
      <w:r w:rsidR="00F23821">
        <w:t xml:space="preserve">.” </w:t>
      </w:r>
      <w:r>
        <w:t xml:space="preserve"> </w:t>
      </w:r>
      <w:r w:rsidR="006B7811">
        <w:t xml:space="preserve">The </w:t>
      </w:r>
      <w:proofErr w:type="spellStart"/>
      <w:r w:rsidR="00F23821">
        <w:t>Kims</w:t>
      </w:r>
      <w:proofErr w:type="spellEnd"/>
      <w:r w:rsidR="00F23821">
        <w:t xml:space="preserve"> have again attempted to defend their proposed jury instruction in their briefing to this court</w:t>
      </w:r>
      <w:r w:rsidR="009E5596">
        <w:t>.  Although the concurring opinion does not disagree with the Court of Appeal’s characterization of the</w:t>
      </w:r>
      <w:r w:rsidR="00A07595">
        <w:t xml:space="preserve"> </w:t>
      </w:r>
      <w:proofErr w:type="spellStart"/>
      <w:r w:rsidR="00A07595">
        <w:t>Kims</w:t>
      </w:r>
      <w:proofErr w:type="spellEnd"/>
      <w:r w:rsidR="00A07595">
        <w:t>’ proposed</w:t>
      </w:r>
      <w:r w:rsidR="009E5596">
        <w:t xml:space="preserve"> instruction, it concludes that </w:t>
      </w:r>
      <w:r w:rsidR="006B7811">
        <w:t>the trial court</w:t>
      </w:r>
      <w:r w:rsidR="003C38E5">
        <w:t xml:space="preserve"> “erred in </w:t>
      </w:r>
      <w:r w:rsidR="006B7811">
        <w:t xml:space="preserve">declining to provide </w:t>
      </w:r>
      <w:r w:rsidR="006B7811">
        <w:rPr>
          <w:i/>
        </w:rPr>
        <w:t xml:space="preserve">any </w:t>
      </w:r>
      <w:r w:rsidR="006B7811">
        <w:t xml:space="preserve">limiting instruction.”  (Conc. </w:t>
      </w:r>
      <w:proofErr w:type="spellStart"/>
      <w:r w:rsidR="006B7811">
        <w:t>opn</w:t>
      </w:r>
      <w:proofErr w:type="spellEnd"/>
      <w:r w:rsidR="006B7811">
        <w:t xml:space="preserve">. </w:t>
      </w:r>
      <w:r w:rsidR="002734E2">
        <w:t xml:space="preserve">of Dato, J., </w:t>
      </w:r>
      <w:r w:rsidR="002734E2" w:rsidRPr="002734E2">
        <w:rPr>
          <w:i/>
        </w:rPr>
        <w:t>post</w:t>
      </w:r>
      <w:r w:rsidR="002734E2">
        <w:t xml:space="preserve">, </w:t>
      </w:r>
      <w:r w:rsidR="006B7811">
        <w:t>at pp.</w:t>
      </w:r>
      <w:r w:rsidR="0037379A">
        <w:t> </w:t>
      </w:r>
      <w:r w:rsidR="006B7811">
        <w:t xml:space="preserve">5–6.)  </w:t>
      </w:r>
      <w:r w:rsidR="009E5596">
        <w:t>T</w:t>
      </w:r>
      <w:r w:rsidR="006B7811">
        <w:t>his</w:t>
      </w:r>
      <w:r w:rsidR="00F23821">
        <w:t xml:space="preserve"> </w:t>
      </w:r>
      <w:r>
        <w:t>issue falls outside the scope of our grant of review and we do not address i</w:t>
      </w:r>
      <w:r w:rsidRPr="006B7811">
        <w:t xml:space="preserve">t. </w:t>
      </w:r>
    </w:p>
  </w:footnote>
  <w:footnote w:id="6">
    <w:p w14:paraId="7CF4656A" w14:textId="77777777" w:rsidR="00B86F88" w:rsidRDefault="00F649C6">
      <w:pPr>
        <w:pStyle w:val="FootnoteText"/>
      </w:pPr>
      <w:r>
        <w:rPr>
          <w:rStyle w:val="FootnoteReference"/>
        </w:rPr>
        <w:footnoteRef/>
      </w:r>
      <w:r w:rsidR="00B86F88">
        <w:tab/>
        <w:t xml:space="preserve">In so concluding, we join the majority of states that have permitted </w:t>
      </w:r>
      <w:r w:rsidR="00B86F88" w:rsidRPr="005B5596">
        <w:t>the admission of evidence of industry custom and practice as relevant to, but not dispositive of, the existence of design defect under risk-benefit balancing tests similar to ours.  (</w:t>
      </w:r>
      <w:r w:rsidR="00B86F88">
        <w:t xml:space="preserve">See </w:t>
      </w:r>
      <w:r w:rsidR="00B86F88" w:rsidRPr="006B18BB">
        <w:rPr>
          <w:i/>
        </w:rPr>
        <w:t>Proof of Product Defect</w:t>
      </w:r>
      <w:r w:rsidR="00B86F88">
        <w:t xml:space="preserve">, </w:t>
      </w:r>
      <w:r w:rsidR="00B86F88">
        <w:rPr>
          <w:i/>
        </w:rPr>
        <w:t>supra</w:t>
      </w:r>
      <w:r w:rsidR="00B86F88">
        <w:t xml:space="preserve">, </w:t>
      </w:r>
      <w:r w:rsidR="00B86F88" w:rsidRPr="005B5596">
        <w:t>93 Ky. L.J.</w:t>
      </w:r>
      <w:r w:rsidR="00B86F88">
        <w:t xml:space="preserve"> at pp.</w:t>
      </w:r>
      <w:r w:rsidR="0032289A">
        <w:t> </w:t>
      </w:r>
      <w:r w:rsidR="00B86F88">
        <w:t xml:space="preserve">9–10; see also, e.g., </w:t>
      </w:r>
      <w:r w:rsidR="00B86F88" w:rsidRPr="006B18BB">
        <w:rPr>
          <w:i/>
        </w:rPr>
        <w:t>Back v. Wickes Corp</w:t>
      </w:r>
      <w:r w:rsidR="00B86F88" w:rsidRPr="005B5596">
        <w:t>.</w:t>
      </w:r>
      <w:r w:rsidR="00486714">
        <w:t xml:space="preserve">, </w:t>
      </w:r>
      <w:r w:rsidR="00486714">
        <w:rPr>
          <w:i/>
        </w:rPr>
        <w:t>supra</w:t>
      </w:r>
      <w:r w:rsidR="00486714">
        <w:t xml:space="preserve">, </w:t>
      </w:r>
      <w:r w:rsidR="00B86F88" w:rsidRPr="005B5596">
        <w:t xml:space="preserve">375 Mass. </w:t>
      </w:r>
      <w:r w:rsidR="00486714">
        <w:t xml:space="preserve">at pp. </w:t>
      </w:r>
      <w:r w:rsidR="00B86F88" w:rsidRPr="005B5596">
        <w:t>642–643</w:t>
      </w:r>
      <w:r w:rsidR="00B86F88">
        <w:t xml:space="preserve">; </w:t>
      </w:r>
      <w:r w:rsidR="00B86F88" w:rsidRPr="005B5596">
        <w:t>Wash. Rev. Code Ann. §</w:t>
      </w:r>
      <w:r w:rsidR="0032289A">
        <w:t> </w:t>
      </w:r>
      <w:r w:rsidR="00B86F88" w:rsidRPr="005B5596">
        <w:t>7.72.050(1) [“Evidence of custom in the product seller’s industry, technological feasibility or that the product was or was not, in compliance with nongovernmental standards or with legislative regulatory standards or administrative regulatory standards, whether relating to design, construction or performance of the product or to warnings or instructions as to its use may be consi</w:t>
      </w:r>
      <w:r w:rsidR="00B86F88">
        <w:t>dered by the trier of fact.”]</w:t>
      </w:r>
      <w:r w:rsidR="0032289A">
        <w:t>; but</w:t>
      </w:r>
      <w:r w:rsidR="00B86F88">
        <w:t xml:space="preserve"> see, e.g., </w:t>
      </w:r>
      <w:r w:rsidR="00B86F88" w:rsidRPr="006B18BB">
        <w:rPr>
          <w:i/>
        </w:rPr>
        <w:t xml:space="preserve">Lewis v. </w:t>
      </w:r>
      <w:proofErr w:type="spellStart"/>
      <w:r w:rsidR="00B86F88" w:rsidRPr="006B18BB">
        <w:rPr>
          <w:i/>
        </w:rPr>
        <w:t>Coffing</w:t>
      </w:r>
      <w:proofErr w:type="spellEnd"/>
      <w:r w:rsidR="00B86F88" w:rsidRPr="006B18BB">
        <w:rPr>
          <w:i/>
        </w:rPr>
        <w:t xml:space="preserve"> Hoist Div., Duff-Norton</w:t>
      </w:r>
      <w:r w:rsidR="00B86F88" w:rsidRPr="005B5596">
        <w:t xml:space="preserve"> (1987) 515 Pa. 334, 34</w:t>
      </w:r>
      <w:r w:rsidR="00B86F88">
        <w:t>3 [concluding that industry custom and practice evidence is irrelevant and therefore inadmissible in a strict products liability action].)</w:t>
      </w:r>
      <w:r>
        <w:t xml:space="preserve"> </w:t>
      </w:r>
    </w:p>
    <w:p w14:paraId="46E38FD0" w14:textId="77777777" w:rsidR="005B5596" w:rsidRDefault="00B86F88">
      <w:pPr>
        <w:pStyle w:val="FootnoteText"/>
      </w:pPr>
      <w:r>
        <w:tab/>
        <w:t xml:space="preserve">Our conclusion is also consistent with the general approach taken in the </w:t>
      </w:r>
      <w:r w:rsidR="00F649C6" w:rsidRPr="00F649C6">
        <w:t>Restatement</w:t>
      </w:r>
      <w:r>
        <w:t>, whose commentary states</w:t>
      </w:r>
      <w:proofErr w:type="gramStart"/>
      <w:r>
        <w:t>:</w:t>
      </w:r>
      <w:r w:rsidR="0032289A">
        <w:t xml:space="preserve"> </w:t>
      </w:r>
      <w:r w:rsidR="00F649C6" w:rsidRPr="00F649C6">
        <w:t xml:space="preserve"> “</w:t>
      </w:r>
      <w:proofErr w:type="gramEnd"/>
      <w:r w:rsidR="00F649C6" w:rsidRPr="00F649C6">
        <w:t>When a defendant demonstrates that its product design was the safest in use at the time of sale, it may be difficult for the plaintiff to prove that an alternative design could have been practically adopted.  The defendant is thus allowed to introduce evidence with regard to industry practice that bears on whether an alternative design was practicable.  Industry practice may also be relevant to whether the omission of an alternative design rendered the product not reasonably safe.  While such evidence is admissible, it is not necessarily dispositive</w:t>
      </w:r>
      <w:r>
        <w:t>.</w:t>
      </w:r>
      <w:r w:rsidR="00F649C6" w:rsidRPr="00F649C6">
        <w:t>”  (Rest.3d Torts, Products Liability, §</w:t>
      </w:r>
      <w:r w:rsidR="0032289A">
        <w:t> </w:t>
      </w:r>
      <w:r w:rsidR="00F649C6" w:rsidRPr="00F649C6">
        <w:t>2, com. d, p.</w:t>
      </w:r>
      <w:r w:rsidR="0032289A">
        <w:t> </w:t>
      </w:r>
      <w:r w:rsidR="00F649C6" w:rsidRPr="00F649C6">
        <w:t xml:space="preserve">20.)  </w:t>
      </w:r>
    </w:p>
    <w:p w14:paraId="23110597" w14:textId="77777777" w:rsidR="00F649C6" w:rsidRDefault="00F649C6" w:rsidP="00AC6AA6">
      <w:pPr>
        <w:pStyle w:val="FootnoteText"/>
        <w:ind w:firstLine="720"/>
      </w:pPr>
    </w:p>
  </w:footnote>
  <w:footnote w:id="7">
    <w:p w14:paraId="5F104254" w14:textId="77777777" w:rsidR="00527EB4" w:rsidRDefault="00527EB4">
      <w:pPr>
        <w:pStyle w:val="FootnoteText"/>
      </w:pPr>
      <w:r w:rsidRPr="00A86EB6">
        <w:rPr>
          <w:rStyle w:val="FootnoteReference"/>
        </w:rPr>
        <w:footnoteRef/>
      </w:r>
      <w:r w:rsidRPr="00A86EB6">
        <w:t xml:space="preserve"> </w:t>
      </w:r>
      <w:r>
        <w:tab/>
      </w:r>
      <w:r w:rsidRPr="00A86EB6">
        <w:t xml:space="preserve">We disapprove </w:t>
      </w:r>
      <w:r w:rsidRPr="00A86EB6">
        <w:rPr>
          <w:i/>
        </w:rPr>
        <w:t>Titus v. Bethlehem Steel Corp</w:t>
      </w:r>
      <w:r w:rsidRPr="00A86EB6">
        <w:t xml:space="preserve">. (1979) 91 Cal.App.3d 372, </w:t>
      </w:r>
      <w:proofErr w:type="spellStart"/>
      <w:r w:rsidRPr="00A86EB6">
        <w:rPr>
          <w:i/>
        </w:rPr>
        <w:t>Grimshaw</w:t>
      </w:r>
      <w:proofErr w:type="spellEnd"/>
      <w:r w:rsidRPr="00A86EB6">
        <w:t xml:space="preserve"> </w:t>
      </w:r>
      <w:r w:rsidRPr="00A86EB6">
        <w:rPr>
          <w:i/>
        </w:rPr>
        <w:t xml:space="preserve">v. Ford Motor Co. </w:t>
      </w:r>
      <w:r w:rsidRPr="00A86EB6">
        <w:t xml:space="preserve">(1981) 119 Cal.App.3d 757, and </w:t>
      </w:r>
      <w:r w:rsidRPr="00A86EB6">
        <w:rPr>
          <w:i/>
        </w:rPr>
        <w:t xml:space="preserve">Buell-Wilson v. Ford Motor Co. </w:t>
      </w:r>
      <w:r>
        <w:t>(2006) 141 Cal.App.4th</w:t>
      </w:r>
      <w:r w:rsidRPr="00A86EB6">
        <w:t xml:space="preserve"> 525,</w:t>
      </w:r>
      <w:r w:rsidRPr="00A86EB6">
        <w:rPr>
          <w:i/>
        </w:rPr>
        <w:t xml:space="preserve"> </w:t>
      </w:r>
      <w:r w:rsidRPr="00A86EB6">
        <w:t>insofar as they are inconsistent with the views expressed in this opinion.</w:t>
      </w:r>
    </w:p>
  </w:footnote>
  <w:footnote w:id="8">
    <w:p w14:paraId="25602E85" w14:textId="77777777" w:rsidR="0084096B" w:rsidRDefault="00901D5F" w:rsidP="00901D5F">
      <w:pPr>
        <w:pStyle w:val="FootnoteText"/>
      </w:pPr>
      <w:r>
        <w:tab/>
      </w:r>
      <w:r>
        <w:rPr>
          <w:rStyle w:val="FootnoteReference"/>
        </w:rPr>
        <w:footnoteRef/>
      </w:r>
      <w:r>
        <w:t xml:space="preserve"> </w:t>
      </w:r>
      <w:r>
        <w:tab/>
        <w:t xml:space="preserve">It is no answer to cite the virtue of a “two-way street” in suggesting that defendants should be allowed to introduce evidence of compliance with industry custom and practice because plaintiffs can similarly offer evidence of noncompliance.  (Maj. </w:t>
      </w:r>
      <w:proofErr w:type="spellStart"/>
      <w:r>
        <w:t>opn</w:t>
      </w:r>
      <w:proofErr w:type="spellEnd"/>
      <w:r>
        <w:t xml:space="preserve">. </w:t>
      </w:r>
      <w:r>
        <w:rPr>
          <w:i/>
        </w:rPr>
        <w:t>ante</w:t>
      </w:r>
      <w:r>
        <w:t xml:space="preserve">, at p. 18; see also </w:t>
      </w:r>
      <w:r>
        <w:rPr>
          <w:i/>
        </w:rPr>
        <w:t>id.</w:t>
      </w:r>
      <w:r>
        <w:t xml:space="preserve"> at p. 15.)  As the majority opinion elsewhere acknowledges in a different context (</w:t>
      </w:r>
      <w:proofErr w:type="spellStart"/>
      <w:r>
        <w:t>maj.</w:t>
      </w:r>
      <w:proofErr w:type="spellEnd"/>
      <w:r>
        <w:t xml:space="preserve"> </w:t>
      </w:r>
      <w:proofErr w:type="spellStart"/>
      <w:r>
        <w:t>opn</w:t>
      </w:r>
      <w:proofErr w:type="spellEnd"/>
      <w:r>
        <w:t xml:space="preserve">. </w:t>
      </w:r>
      <w:r>
        <w:rPr>
          <w:i/>
        </w:rPr>
        <w:t>ante</w:t>
      </w:r>
      <w:r>
        <w:t xml:space="preserve">, at p. 19), the same evidence may be admissible for one purpose but inadmissible for another.  (See </w:t>
      </w:r>
      <w:proofErr w:type="spellStart"/>
      <w:r>
        <w:t>Evid</w:t>
      </w:r>
      <w:proofErr w:type="spellEnd"/>
      <w:r>
        <w:t xml:space="preserve">. Code, § 355 [evidence may be admissible as to one party or for one purpose but inadmissible as to another party or for another purpose].)  Evidence of </w:t>
      </w:r>
      <w:r>
        <w:rPr>
          <w:i/>
        </w:rPr>
        <w:t>noncompliance</w:t>
      </w:r>
      <w:r>
        <w:t xml:space="preserve"> with custom and practice is admissible to show the technological and practical feasibility of an alternative design, whereas evidence of </w:t>
      </w:r>
      <w:r>
        <w:rPr>
          <w:i/>
        </w:rPr>
        <w:t>compliance</w:t>
      </w:r>
      <w:r>
        <w:t xml:space="preserve"> cannot prove a negative—that the design was </w:t>
      </w:r>
      <w:r>
        <w:rPr>
          <w:i/>
        </w:rPr>
        <w:t xml:space="preserve">not </w:t>
      </w:r>
      <w:r>
        <w:t>defective.</w:t>
      </w:r>
    </w:p>
    <w:p w14:paraId="15427CA7" w14:textId="788F1D33" w:rsidR="00901D5F" w:rsidRDefault="00901D5F" w:rsidP="00901D5F">
      <w:pPr>
        <w:pStyle w:val="FootnoteText"/>
      </w:pPr>
      <w:r>
        <w:t xml:space="preserve"> </w:t>
      </w:r>
    </w:p>
  </w:footnote>
  <w:footnote w:id="9">
    <w:p w14:paraId="32B4C40C" w14:textId="77777777" w:rsidR="00901D5F" w:rsidRDefault="00901D5F" w:rsidP="00901D5F">
      <w:pPr>
        <w:pStyle w:val="FootnoteText"/>
        <w:rPr>
          <w:szCs w:val="26"/>
        </w:rPr>
      </w:pPr>
      <w:r>
        <w:tab/>
      </w:r>
      <w:r>
        <w:rPr>
          <w:rStyle w:val="FootnoteReference"/>
          <w:szCs w:val="26"/>
        </w:rPr>
        <w:footnoteRef/>
      </w:r>
      <w:r>
        <w:t xml:space="preserve">  </w:t>
      </w:r>
      <w:r>
        <w:rPr>
          <w:szCs w:val="26"/>
        </w:rPr>
        <w:t>Associate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1E19" w14:textId="77777777" w:rsidR="00430D68" w:rsidRDefault="00491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4B64" w14:textId="77777777" w:rsidR="00430D68" w:rsidRDefault="00491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FFBB" w14:textId="77777777" w:rsidR="00430D68" w:rsidRDefault="00491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6D7"/>
    <w:multiLevelType w:val="hybridMultilevel"/>
    <w:tmpl w:val="32B499C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5BB198C"/>
    <w:multiLevelType w:val="hybridMultilevel"/>
    <w:tmpl w:val="8A5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C27"/>
    <w:multiLevelType w:val="hybridMultilevel"/>
    <w:tmpl w:val="5C34A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41C70"/>
    <w:multiLevelType w:val="hybridMultilevel"/>
    <w:tmpl w:val="C27C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2028"/>
    <w:multiLevelType w:val="hybridMultilevel"/>
    <w:tmpl w:val="A0BE02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0CB7BC0"/>
    <w:multiLevelType w:val="hybridMultilevel"/>
    <w:tmpl w:val="85A0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86B05"/>
    <w:multiLevelType w:val="hybridMultilevel"/>
    <w:tmpl w:val="62304620"/>
    <w:lvl w:ilvl="0" w:tplc="346C9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activeWritingStyle w:appName="MSWord" w:lang="en-US" w:vendorID="64" w:dllVersion="0" w:nlCheck="1" w:checkStyle="1"/>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27"/>
    <w:rsid w:val="00000A5F"/>
    <w:rsid w:val="00001E7A"/>
    <w:rsid w:val="000020BE"/>
    <w:rsid w:val="0000219A"/>
    <w:rsid w:val="00002229"/>
    <w:rsid w:val="0000429A"/>
    <w:rsid w:val="0000630D"/>
    <w:rsid w:val="00006389"/>
    <w:rsid w:val="00007346"/>
    <w:rsid w:val="00007AF7"/>
    <w:rsid w:val="00010F10"/>
    <w:rsid w:val="00013A19"/>
    <w:rsid w:val="00016D32"/>
    <w:rsid w:val="000175A4"/>
    <w:rsid w:val="00022C54"/>
    <w:rsid w:val="00022C55"/>
    <w:rsid w:val="000247E1"/>
    <w:rsid w:val="0002565C"/>
    <w:rsid w:val="000256AD"/>
    <w:rsid w:val="00025E0A"/>
    <w:rsid w:val="00026FF6"/>
    <w:rsid w:val="000271D8"/>
    <w:rsid w:val="00027410"/>
    <w:rsid w:val="00027DFF"/>
    <w:rsid w:val="00030074"/>
    <w:rsid w:val="000304A7"/>
    <w:rsid w:val="00031A5A"/>
    <w:rsid w:val="0003290F"/>
    <w:rsid w:val="00033643"/>
    <w:rsid w:val="00033EA2"/>
    <w:rsid w:val="00034D6C"/>
    <w:rsid w:val="00040472"/>
    <w:rsid w:val="00040958"/>
    <w:rsid w:val="000421DE"/>
    <w:rsid w:val="000424E1"/>
    <w:rsid w:val="00043DE9"/>
    <w:rsid w:val="00044056"/>
    <w:rsid w:val="000440F5"/>
    <w:rsid w:val="0004445A"/>
    <w:rsid w:val="000449F7"/>
    <w:rsid w:val="0004581E"/>
    <w:rsid w:val="00045A44"/>
    <w:rsid w:val="0004748A"/>
    <w:rsid w:val="0005049F"/>
    <w:rsid w:val="00054378"/>
    <w:rsid w:val="0005678D"/>
    <w:rsid w:val="00060F5A"/>
    <w:rsid w:val="00061400"/>
    <w:rsid w:val="00062DB9"/>
    <w:rsid w:val="000647AD"/>
    <w:rsid w:val="000654AD"/>
    <w:rsid w:val="0006568D"/>
    <w:rsid w:val="0006636C"/>
    <w:rsid w:val="000674F2"/>
    <w:rsid w:val="0007089B"/>
    <w:rsid w:val="00072759"/>
    <w:rsid w:val="00073E8E"/>
    <w:rsid w:val="0007623E"/>
    <w:rsid w:val="0007772A"/>
    <w:rsid w:val="000801E0"/>
    <w:rsid w:val="000805AE"/>
    <w:rsid w:val="00080C29"/>
    <w:rsid w:val="00080D55"/>
    <w:rsid w:val="00084CBC"/>
    <w:rsid w:val="000857F4"/>
    <w:rsid w:val="000859EB"/>
    <w:rsid w:val="00085CAA"/>
    <w:rsid w:val="000868B8"/>
    <w:rsid w:val="00087104"/>
    <w:rsid w:val="00090047"/>
    <w:rsid w:val="0009241D"/>
    <w:rsid w:val="000926E0"/>
    <w:rsid w:val="00092E2E"/>
    <w:rsid w:val="00094144"/>
    <w:rsid w:val="00096C5E"/>
    <w:rsid w:val="00097461"/>
    <w:rsid w:val="00097EE0"/>
    <w:rsid w:val="000A0606"/>
    <w:rsid w:val="000A1B95"/>
    <w:rsid w:val="000A1DCB"/>
    <w:rsid w:val="000A30FF"/>
    <w:rsid w:val="000A3F1F"/>
    <w:rsid w:val="000A7603"/>
    <w:rsid w:val="000B20DB"/>
    <w:rsid w:val="000B48BC"/>
    <w:rsid w:val="000B4A98"/>
    <w:rsid w:val="000B5B04"/>
    <w:rsid w:val="000B68FA"/>
    <w:rsid w:val="000B6AEF"/>
    <w:rsid w:val="000C100F"/>
    <w:rsid w:val="000C217E"/>
    <w:rsid w:val="000C297D"/>
    <w:rsid w:val="000C331E"/>
    <w:rsid w:val="000C3B83"/>
    <w:rsid w:val="000C3C95"/>
    <w:rsid w:val="000C413D"/>
    <w:rsid w:val="000C5D0C"/>
    <w:rsid w:val="000C5FD8"/>
    <w:rsid w:val="000C7154"/>
    <w:rsid w:val="000C7237"/>
    <w:rsid w:val="000C7DF7"/>
    <w:rsid w:val="000D2F40"/>
    <w:rsid w:val="000D6EAC"/>
    <w:rsid w:val="000E188C"/>
    <w:rsid w:val="000E2E16"/>
    <w:rsid w:val="000E313A"/>
    <w:rsid w:val="000E3BD9"/>
    <w:rsid w:val="000E3D08"/>
    <w:rsid w:val="000E3D84"/>
    <w:rsid w:val="000E4008"/>
    <w:rsid w:val="000E4208"/>
    <w:rsid w:val="000E5517"/>
    <w:rsid w:val="000E5938"/>
    <w:rsid w:val="000E5B7B"/>
    <w:rsid w:val="000F0E8D"/>
    <w:rsid w:val="000F2A6A"/>
    <w:rsid w:val="000F51FB"/>
    <w:rsid w:val="000F79B7"/>
    <w:rsid w:val="00100824"/>
    <w:rsid w:val="00100B99"/>
    <w:rsid w:val="00102D96"/>
    <w:rsid w:val="00103E2B"/>
    <w:rsid w:val="00104ADF"/>
    <w:rsid w:val="0010696D"/>
    <w:rsid w:val="0011118D"/>
    <w:rsid w:val="00112A4B"/>
    <w:rsid w:val="00112C44"/>
    <w:rsid w:val="00113734"/>
    <w:rsid w:val="001148F4"/>
    <w:rsid w:val="00117053"/>
    <w:rsid w:val="00120728"/>
    <w:rsid w:val="00120F64"/>
    <w:rsid w:val="00120FD3"/>
    <w:rsid w:val="001210BF"/>
    <w:rsid w:val="00121254"/>
    <w:rsid w:val="001215D4"/>
    <w:rsid w:val="0012179D"/>
    <w:rsid w:val="001219E5"/>
    <w:rsid w:val="00121CB8"/>
    <w:rsid w:val="001231F7"/>
    <w:rsid w:val="001235A4"/>
    <w:rsid w:val="00123E3D"/>
    <w:rsid w:val="001249E6"/>
    <w:rsid w:val="00124A7F"/>
    <w:rsid w:val="00124BAE"/>
    <w:rsid w:val="00125FD5"/>
    <w:rsid w:val="001262EA"/>
    <w:rsid w:val="001263B3"/>
    <w:rsid w:val="00126DBA"/>
    <w:rsid w:val="00126FEC"/>
    <w:rsid w:val="00127FE9"/>
    <w:rsid w:val="00131F4B"/>
    <w:rsid w:val="0013217C"/>
    <w:rsid w:val="00135265"/>
    <w:rsid w:val="0013556F"/>
    <w:rsid w:val="001368EA"/>
    <w:rsid w:val="001371B7"/>
    <w:rsid w:val="00137BBD"/>
    <w:rsid w:val="00140F6B"/>
    <w:rsid w:val="001427EA"/>
    <w:rsid w:val="00142810"/>
    <w:rsid w:val="001458FA"/>
    <w:rsid w:val="001461A6"/>
    <w:rsid w:val="00146386"/>
    <w:rsid w:val="0014757D"/>
    <w:rsid w:val="00150202"/>
    <w:rsid w:val="00150D61"/>
    <w:rsid w:val="0015153F"/>
    <w:rsid w:val="00151F9D"/>
    <w:rsid w:val="00152D3A"/>
    <w:rsid w:val="00153B59"/>
    <w:rsid w:val="00154EA1"/>
    <w:rsid w:val="00163294"/>
    <w:rsid w:val="001636BC"/>
    <w:rsid w:val="001637A3"/>
    <w:rsid w:val="001642D2"/>
    <w:rsid w:val="00164442"/>
    <w:rsid w:val="00164C9C"/>
    <w:rsid w:val="00165EB2"/>
    <w:rsid w:val="001711C9"/>
    <w:rsid w:val="001716DC"/>
    <w:rsid w:val="001748ED"/>
    <w:rsid w:val="00175A4A"/>
    <w:rsid w:val="00176613"/>
    <w:rsid w:val="00176B26"/>
    <w:rsid w:val="00176B3F"/>
    <w:rsid w:val="001810D7"/>
    <w:rsid w:val="00181FD9"/>
    <w:rsid w:val="00182703"/>
    <w:rsid w:val="001838C1"/>
    <w:rsid w:val="001841F6"/>
    <w:rsid w:val="00184990"/>
    <w:rsid w:val="0018785C"/>
    <w:rsid w:val="00191483"/>
    <w:rsid w:val="0019190D"/>
    <w:rsid w:val="00192550"/>
    <w:rsid w:val="00192EB9"/>
    <w:rsid w:val="00193846"/>
    <w:rsid w:val="00196F7D"/>
    <w:rsid w:val="001974D1"/>
    <w:rsid w:val="00197FA6"/>
    <w:rsid w:val="001A0805"/>
    <w:rsid w:val="001A118C"/>
    <w:rsid w:val="001A1B0B"/>
    <w:rsid w:val="001A1EEF"/>
    <w:rsid w:val="001A3376"/>
    <w:rsid w:val="001A5900"/>
    <w:rsid w:val="001A7286"/>
    <w:rsid w:val="001A77EA"/>
    <w:rsid w:val="001B309D"/>
    <w:rsid w:val="001B33DF"/>
    <w:rsid w:val="001B4B40"/>
    <w:rsid w:val="001B53A2"/>
    <w:rsid w:val="001B5B24"/>
    <w:rsid w:val="001C02EE"/>
    <w:rsid w:val="001C0C0E"/>
    <w:rsid w:val="001C17C4"/>
    <w:rsid w:val="001C1EC9"/>
    <w:rsid w:val="001C3B18"/>
    <w:rsid w:val="001C5C40"/>
    <w:rsid w:val="001C6378"/>
    <w:rsid w:val="001C7182"/>
    <w:rsid w:val="001C7610"/>
    <w:rsid w:val="001C7BC8"/>
    <w:rsid w:val="001D0E7C"/>
    <w:rsid w:val="001D1FCC"/>
    <w:rsid w:val="001D27AC"/>
    <w:rsid w:val="001D4F35"/>
    <w:rsid w:val="001D6A98"/>
    <w:rsid w:val="001E0A15"/>
    <w:rsid w:val="001E1692"/>
    <w:rsid w:val="001E24F1"/>
    <w:rsid w:val="001E2D2E"/>
    <w:rsid w:val="001E302F"/>
    <w:rsid w:val="001E4B76"/>
    <w:rsid w:val="001E4ED6"/>
    <w:rsid w:val="001E4F76"/>
    <w:rsid w:val="001E578C"/>
    <w:rsid w:val="001E6041"/>
    <w:rsid w:val="001E6043"/>
    <w:rsid w:val="001E6842"/>
    <w:rsid w:val="001E74FF"/>
    <w:rsid w:val="001F0C07"/>
    <w:rsid w:val="001F18B5"/>
    <w:rsid w:val="001F1D00"/>
    <w:rsid w:val="001F1D24"/>
    <w:rsid w:val="001F26AC"/>
    <w:rsid w:val="001F37B1"/>
    <w:rsid w:val="001F5BD5"/>
    <w:rsid w:val="001F5CEA"/>
    <w:rsid w:val="001F7CB7"/>
    <w:rsid w:val="00200416"/>
    <w:rsid w:val="0020241A"/>
    <w:rsid w:val="0020290D"/>
    <w:rsid w:val="00203B0B"/>
    <w:rsid w:val="00205D93"/>
    <w:rsid w:val="00205EDB"/>
    <w:rsid w:val="00207FBA"/>
    <w:rsid w:val="00210A69"/>
    <w:rsid w:val="002118FD"/>
    <w:rsid w:val="002123DC"/>
    <w:rsid w:val="0021290D"/>
    <w:rsid w:val="002133F6"/>
    <w:rsid w:val="002144E7"/>
    <w:rsid w:val="002155C2"/>
    <w:rsid w:val="0022019A"/>
    <w:rsid w:val="00221B2F"/>
    <w:rsid w:val="00221EF5"/>
    <w:rsid w:val="00221F98"/>
    <w:rsid w:val="002236A9"/>
    <w:rsid w:val="0022385B"/>
    <w:rsid w:val="00223EC7"/>
    <w:rsid w:val="0022559A"/>
    <w:rsid w:val="00225B72"/>
    <w:rsid w:val="00225BCC"/>
    <w:rsid w:val="00227895"/>
    <w:rsid w:val="00227D7A"/>
    <w:rsid w:val="0023155E"/>
    <w:rsid w:val="00231F61"/>
    <w:rsid w:val="00232AB1"/>
    <w:rsid w:val="00236E28"/>
    <w:rsid w:val="00237933"/>
    <w:rsid w:val="00243A31"/>
    <w:rsid w:val="00243B3E"/>
    <w:rsid w:val="002469A4"/>
    <w:rsid w:val="00246B79"/>
    <w:rsid w:val="00251ACC"/>
    <w:rsid w:val="00252621"/>
    <w:rsid w:val="00253A52"/>
    <w:rsid w:val="00253BCC"/>
    <w:rsid w:val="002544A3"/>
    <w:rsid w:val="002549EE"/>
    <w:rsid w:val="002570E2"/>
    <w:rsid w:val="00257644"/>
    <w:rsid w:val="00261AD5"/>
    <w:rsid w:val="00263B59"/>
    <w:rsid w:val="00264584"/>
    <w:rsid w:val="00264EC3"/>
    <w:rsid w:val="00265088"/>
    <w:rsid w:val="00265840"/>
    <w:rsid w:val="002664AF"/>
    <w:rsid w:val="00267109"/>
    <w:rsid w:val="002671BC"/>
    <w:rsid w:val="002672E8"/>
    <w:rsid w:val="002703E7"/>
    <w:rsid w:val="00271538"/>
    <w:rsid w:val="00272B3D"/>
    <w:rsid w:val="00272DD6"/>
    <w:rsid w:val="002734E2"/>
    <w:rsid w:val="002740CD"/>
    <w:rsid w:val="00276279"/>
    <w:rsid w:val="002767E4"/>
    <w:rsid w:val="00281A8C"/>
    <w:rsid w:val="002837A4"/>
    <w:rsid w:val="00291782"/>
    <w:rsid w:val="00291966"/>
    <w:rsid w:val="002924AF"/>
    <w:rsid w:val="002926DF"/>
    <w:rsid w:val="002934D4"/>
    <w:rsid w:val="0029395B"/>
    <w:rsid w:val="00295838"/>
    <w:rsid w:val="0029659F"/>
    <w:rsid w:val="002A2BBA"/>
    <w:rsid w:val="002A3111"/>
    <w:rsid w:val="002A35A8"/>
    <w:rsid w:val="002A468C"/>
    <w:rsid w:val="002A6056"/>
    <w:rsid w:val="002A6B09"/>
    <w:rsid w:val="002A6D63"/>
    <w:rsid w:val="002A7D42"/>
    <w:rsid w:val="002B11F7"/>
    <w:rsid w:val="002B24BE"/>
    <w:rsid w:val="002B29F8"/>
    <w:rsid w:val="002B32FB"/>
    <w:rsid w:val="002B4090"/>
    <w:rsid w:val="002C0246"/>
    <w:rsid w:val="002C0587"/>
    <w:rsid w:val="002C2BC7"/>
    <w:rsid w:val="002C2DB6"/>
    <w:rsid w:val="002C326C"/>
    <w:rsid w:val="002C4137"/>
    <w:rsid w:val="002C4217"/>
    <w:rsid w:val="002C6F4F"/>
    <w:rsid w:val="002C7147"/>
    <w:rsid w:val="002D1A5D"/>
    <w:rsid w:val="002D1BD7"/>
    <w:rsid w:val="002D1C69"/>
    <w:rsid w:val="002D6F91"/>
    <w:rsid w:val="002D7858"/>
    <w:rsid w:val="002D7AE9"/>
    <w:rsid w:val="002D7BA4"/>
    <w:rsid w:val="002E1051"/>
    <w:rsid w:val="002E1A34"/>
    <w:rsid w:val="002E28A7"/>
    <w:rsid w:val="002E28DC"/>
    <w:rsid w:val="002E2B82"/>
    <w:rsid w:val="002E2FAC"/>
    <w:rsid w:val="002E336C"/>
    <w:rsid w:val="002E40C5"/>
    <w:rsid w:val="002E4347"/>
    <w:rsid w:val="002E4A8F"/>
    <w:rsid w:val="002E5CBD"/>
    <w:rsid w:val="002E6609"/>
    <w:rsid w:val="002E75F7"/>
    <w:rsid w:val="002F0410"/>
    <w:rsid w:val="002F09E4"/>
    <w:rsid w:val="002F0B04"/>
    <w:rsid w:val="002F1024"/>
    <w:rsid w:val="002F287F"/>
    <w:rsid w:val="002F3349"/>
    <w:rsid w:val="002F3648"/>
    <w:rsid w:val="002F38BD"/>
    <w:rsid w:val="002F3C1F"/>
    <w:rsid w:val="002F5CFE"/>
    <w:rsid w:val="002F6598"/>
    <w:rsid w:val="002F77A7"/>
    <w:rsid w:val="002F791D"/>
    <w:rsid w:val="0030039D"/>
    <w:rsid w:val="003007E2"/>
    <w:rsid w:val="00301794"/>
    <w:rsid w:val="0030375E"/>
    <w:rsid w:val="00304AF2"/>
    <w:rsid w:val="0030509B"/>
    <w:rsid w:val="00310598"/>
    <w:rsid w:val="00310E3F"/>
    <w:rsid w:val="0031222D"/>
    <w:rsid w:val="00312B1F"/>
    <w:rsid w:val="00314F90"/>
    <w:rsid w:val="00316B5D"/>
    <w:rsid w:val="0032050F"/>
    <w:rsid w:val="00320E53"/>
    <w:rsid w:val="0032148C"/>
    <w:rsid w:val="0032191D"/>
    <w:rsid w:val="00321AED"/>
    <w:rsid w:val="003224A8"/>
    <w:rsid w:val="0032289A"/>
    <w:rsid w:val="003235DB"/>
    <w:rsid w:val="00323AC0"/>
    <w:rsid w:val="00323E5E"/>
    <w:rsid w:val="0032451A"/>
    <w:rsid w:val="00325A4E"/>
    <w:rsid w:val="00325ED1"/>
    <w:rsid w:val="00326124"/>
    <w:rsid w:val="0032677C"/>
    <w:rsid w:val="00327439"/>
    <w:rsid w:val="003300F1"/>
    <w:rsid w:val="00330B96"/>
    <w:rsid w:val="00330D08"/>
    <w:rsid w:val="00331D27"/>
    <w:rsid w:val="00335D5C"/>
    <w:rsid w:val="003360C7"/>
    <w:rsid w:val="003369B3"/>
    <w:rsid w:val="00336BB7"/>
    <w:rsid w:val="00337EBF"/>
    <w:rsid w:val="00340060"/>
    <w:rsid w:val="00340A4C"/>
    <w:rsid w:val="00341696"/>
    <w:rsid w:val="00341B99"/>
    <w:rsid w:val="00343559"/>
    <w:rsid w:val="00344170"/>
    <w:rsid w:val="003442DD"/>
    <w:rsid w:val="003449CB"/>
    <w:rsid w:val="0034558E"/>
    <w:rsid w:val="00346491"/>
    <w:rsid w:val="00346896"/>
    <w:rsid w:val="003502CF"/>
    <w:rsid w:val="00350750"/>
    <w:rsid w:val="00351703"/>
    <w:rsid w:val="00351B79"/>
    <w:rsid w:val="00352203"/>
    <w:rsid w:val="00352550"/>
    <w:rsid w:val="00355CD7"/>
    <w:rsid w:val="003560D4"/>
    <w:rsid w:val="0036387B"/>
    <w:rsid w:val="003638BD"/>
    <w:rsid w:val="00364D06"/>
    <w:rsid w:val="0036750F"/>
    <w:rsid w:val="00367539"/>
    <w:rsid w:val="00370E37"/>
    <w:rsid w:val="00372166"/>
    <w:rsid w:val="00373770"/>
    <w:rsid w:val="0037379A"/>
    <w:rsid w:val="003753AF"/>
    <w:rsid w:val="003776CD"/>
    <w:rsid w:val="00380C2D"/>
    <w:rsid w:val="00380E7B"/>
    <w:rsid w:val="00381B7C"/>
    <w:rsid w:val="003820B9"/>
    <w:rsid w:val="0038224E"/>
    <w:rsid w:val="003832DB"/>
    <w:rsid w:val="003836E8"/>
    <w:rsid w:val="00386C3F"/>
    <w:rsid w:val="0038793D"/>
    <w:rsid w:val="003937EE"/>
    <w:rsid w:val="0039385C"/>
    <w:rsid w:val="00393CB2"/>
    <w:rsid w:val="00395459"/>
    <w:rsid w:val="00395F26"/>
    <w:rsid w:val="003965C5"/>
    <w:rsid w:val="00397554"/>
    <w:rsid w:val="00397599"/>
    <w:rsid w:val="003A24A1"/>
    <w:rsid w:val="003A7C23"/>
    <w:rsid w:val="003B0AEA"/>
    <w:rsid w:val="003B1403"/>
    <w:rsid w:val="003B187A"/>
    <w:rsid w:val="003B1A7F"/>
    <w:rsid w:val="003B2562"/>
    <w:rsid w:val="003B350F"/>
    <w:rsid w:val="003B4577"/>
    <w:rsid w:val="003B64E0"/>
    <w:rsid w:val="003B6C8E"/>
    <w:rsid w:val="003B700E"/>
    <w:rsid w:val="003B731D"/>
    <w:rsid w:val="003C01BD"/>
    <w:rsid w:val="003C05A6"/>
    <w:rsid w:val="003C06A3"/>
    <w:rsid w:val="003C38E5"/>
    <w:rsid w:val="003C52F9"/>
    <w:rsid w:val="003C5C46"/>
    <w:rsid w:val="003C6B5B"/>
    <w:rsid w:val="003C6CE1"/>
    <w:rsid w:val="003C709A"/>
    <w:rsid w:val="003C74A5"/>
    <w:rsid w:val="003C7DC0"/>
    <w:rsid w:val="003D020F"/>
    <w:rsid w:val="003D0A61"/>
    <w:rsid w:val="003D0EF5"/>
    <w:rsid w:val="003D26B6"/>
    <w:rsid w:val="003D494C"/>
    <w:rsid w:val="003D4B4F"/>
    <w:rsid w:val="003D4BA7"/>
    <w:rsid w:val="003D5E11"/>
    <w:rsid w:val="003D5F1A"/>
    <w:rsid w:val="003E0AC9"/>
    <w:rsid w:val="003E153F"/>
    <w:rsid w:val="003E2A7E"/>
    <w:rsid w:val="003E3F10"/>
    <w:rsid w:val="003E5BCD"/>
    <w:rsid w:val="003E6C59"/>
    <w:rsid w:val="003E797A"/>
    <w:rsid w:val="003F0E7E"/>
    <w:rsid w:val="003F1513"/>
    <w:rsid w:val="003F1DD5"/>
    <w:rsid w:val="003F228B"/>
    <w:rsid w:val="003F3813"/>
    <w:rsid w:val="003F451E"/>
    <w:rsid w:val="003F466E"/>
    <w:rsid w:val="003F51BF"/>
    <w:rsid w:val="003F7ECC"/>
    <w:rsid w:val="0040181E"/>
    <w:rsid w:val="00402368"/>
    <w:rsid w:val="004034B3"/>
    <w:rsid w:val="00403B48"/>
    <w:rsid w:val="00404992"/>
    <w:rsid w:val="00405E59"/>
    <w:rsid w:val="004064B6"/>
    <w:rsid w:val="00407576"/>
    <w:rsid w:val="004108CB"/>
    <w:rsid w:val="00411A7D"/>
    <w:rsid w:val="00411D30"/>
    <w:rsid w:val="00412988"/>
    <w:rsid w:val="004138DA"/>
    <w:rsid w:val="0041509D"/>
    <w:rsid w:val="0041545A"/>
    <w:rsid w:val="00415A9B"/>
    <w:rsid w:val="00416613"/>
    <w:rsid w:val="00417663"/>
    <w:rsid w:val="004212E8"/>
    <w:rsid w:val="00423B6D"/>
    <w:rsid w:val="0042423A"/>
    <w:rsid w:val="004245F9"/>
    <w:rsid w:val="004246C8"/>
    <w:rsid w:val="00425FC0"/>
    <w:rsid w:val="004262BF"/>
    <w:rsid w:val="0042719F"/>
    <w:rsid w:val="00430173"/>
    <w:rsid w:val="004315B3"/>
    <w:rsid w:val="00431FAB"/>
    <w:rsid w:val="00432841"/>
    <w:rsid w:val="00433360"/>
    <w:rsid w:val="00433424"/>
    <w:rsid w:val="00433541"/>
    <w:rsid w:val="004339B9"/>
    <w:rsid w:val="00434855"/>
    <w:rsid w:val="004349F5"/>
    <w:rsid w:val="0043776B"/>
    <w:rsid w:val="00440DF7"/>
    <w:rsid w:val="004412F8"/>
    <w:rsid w:val="004419A0"/>
    <w:rsid w:val="00442CB8"/>
    <w:rsid w:val="0044333A"/>
    <w:rsid w:val="0044470A"/>
    <w:rsid w:val="00444CDB"/>
    <w:rsid w:val="00445742"/>
    <w:rsid w:val="00445A31"/>
    <w:rsid w:val="0044683E"/>
    <w:rsid w:val="00447CD6"/>
    <w:rsid w:val="00451E95"/>
    <w:rsid w:val="00452AEB"/>
    <w:rsid w:val="0045376D"/>
    <w:rsid w:val="00453B23"/>
    <w:rsid w:val="00454520"/>
    <w:rsid w:val="00454653"/>
    <w:rsid w:val="00454EA6"/>
    <w:rsid w:val="00455085"/>
    <w:rsid w:val="0045588E"/>
    <w:rsid w:val="00455B6A"/>
    <w:rsid w:val="004600C2"/>
    <w:rsid w:val="004602B3"/>
    <w:rsid w:val="004669CC"/>
    <w:rsid w:val="00466B1C"/>
    <w:rsid w:val="004704D6"/>
    <w:rsid w:val="00470D95"/>
    <w:rsid w:val="00470F36"/>
    <w:rsid w:val="00471F37"/>
    <w:rsid w:val="00473013"/>
    <w:rsid w:val="00473217"/>
    <w:rsid w:val="004734AE"/>
    <w:rsid w:val="00474DB2"/>
    <w:rsid w:val="00475AD9"/>
    <w:rsid w:val="00475C76"/>
    <w:rsid w:val="004808B8"/>
    <w:rsid w:val="00483749"/>
    <w:rsid w:val="0048467A"/>
    <w:rsid w:val="004848ED"/>
    <w:rsid w:val="00485210"/>
    <w:rsid w:val="00486714"/>
    <w:rsid w:val="00486AFF"/>
    <w:rsid w:val="0048754A"/>
    <w:rsid w:val="00487CF4"/>
    <w:rsid w:val="00487DAB"/>
    <w:rsid w:val="0049029E"/>
    <w:rsid w:val="00491135"/>
    <w:rsid w:val="004911C6"/>
    <w:rsid w:val="00491532"/>
    <w:rsid w:val="004928EB"/>
    <w:rsid w:val="00492A17"/>
    <w:rsid w:val="00493E1C"/>
    <w:rsid w:val="00494143"/>
    <w:rsid w:val="00496AD6"/>
    <w:rsid w:val="00496CC1"/>
    <w:rsid w:val="00497178"/>
    <w:rsid w:val="0049790B"/>
    <w:rsid w:val="004A0FE4"/>
    <w:rsid w:val="004A174E"/>
    <w:rsid w:val="004A2AD5"/>
    <w:rsid w:val="004A324A"/>
    <w:rsid w:val="004A3E49"/>
    <w:rsid w:val="004A4F0A"/>
    <w:rsid w:val="004A650D"/>
    <w:rsid w:val="004A74D2"/>
    <w:rsid w:val="004B13A8"/>
    <w:rsid w:val="004B22C5"/>
    <w:rsid w:val="004B2D98"/>
    <w:rsid w:val="004B45E7"/>
    <w:rsid w:val="004B4BEB"/>
    <w:rsid w:val="004B4CB8"/>
    <w:rsid w:val="004B5DF0"/>
    <w:rsid w:val="004B6253"/>
    <w:rsid w:val="004B64AA"/>
    <w:rsid w:val="004B72CB"/>
    <w:rsid w:val="004B7481"/>
    <w:rsid w:val="004B7AB4"/>
    <w:rsid w:val="004C1611"/>
    <w:rsid w:val="004C1787"/>
    <w:rsid w:val="004C46AF"/>
    <w:rsid w:val="004C4935"/>
    <w:rsid w:val="004C5292"/>
    <w:rsid w:val="004C5EFD"/>
    <w:rsid w:val="004C643B"/>
    <w:rsid w:val="004D03F1"/>
    <w:rsid w:val="004D0D6C"/>
    <w:rsid w:val="004D49A7"/>
    <w:rsid w:val="004D4BF1"/>
    <w:rsid w:val="004D6052"/>
    <w:rsid w:val="004D678D"/>
    <w:rsid w:val="004D7EFF"/>
    <w:rsid w:val="004E0CD8"/>
    <w:rsid w:val="004E1145"/>
    <w:rsid w:val="004E1190"/>
    <w:rsid w:val="004E232E"/>
    <w:rsid w:val="004E25F2"/>
    <w:rsid w:val="004E3BBB"/>
    <w:rsid w:val="004E513C"/>
    <w:rsid w:val="004E6FDD"/>
    <w:rsid w:val="004E7188"/>
    <w:rsid w:val="004E7E6B"/>
    <w:rsid w:val="004F1352"/>
    <w:rsid w:val="004F19A1"/>
    <w:rsid w:val="004F20FA"/>
    <w:rsid w:val="004F4291"/>
    <w:rsid w:val="004F4498"/>
    <w:rsid w:val="004F5251"/>
    <w:rsid w:val="00501332"/>
    <w:rsid w:val="005022D6"/>
    <w:rsid w:val="00502B8A"/>
    <w:rsid w:val="005053DB"/>
    <w:rsid w:val="005059EA"/>
    <w:rsid w:val="00506110"/>
    <w:rsid w:val="00510803"/>
    <w:rsid w:val="00511D35"/>
    <w:rsid w:val="00511E03"/>
    <w:rsid w:val="00512802"/>
    <w:rsid w:val="00512868"/>
    <w:rsid w:val="00512D1A"/>
    <w:rsid w:val="00513624"/>
    <w:rsid w:val="00513EB0"/>
    <w:rsid w:val="0051433F"/>
    <w:rsid w:val="00520097"/>
    <w:rsid w:val="005212A8"/>
    <w:rsid w:val="00521803"/>
    <w:rsid w:val="00521856"/>
    <w:rsid w:val="0052546D"/>
    <w:rsid w:val="00525B8B"/>
    <w:rsid w:val="00527EB4"/>
    <w:rsid w:val="00530BBD"/>
    <w:rsid w:val="00531E39"/>
    <w:rsid w:val="005327C0"/>
    <w:rsid w:val="0053404B"/>
    <w:rsid w:val="00535E4D"/>
    <w:rsid w:val="00536A2E"/>
    <w:rsid w:val="0053712B"/>
    <w:rsid w:val="00537F8D"/>
    <w:rsid w:val="005402ED"/>
    <w:rsid w:val="00540789"/>
    <w:rsid w:val="00540F9A"/>
    <w:rsid w:val="00541DA5"/>
    <w:rsid w:val="00542596"/>
    <w:rsid w:val="00542A90"/>
    <w:rsid w:val="0054392B"/>
    <w:rsid w:val="005450A4"/>
    <w:rsid w:val="00545221"/>
    <w:rsid w:val="0054610C"/>
    <w:rsid w:val="005468BA"/>
    <w:rsid w:val="00547BEF"/>
    <w:rsid w:val="00550EDD"/>
    <w:rsid w:val="00551135"/>
    <w:rsid w:val="00553196"/>
    <w:rsid w:val="005546EC"/>
    <w:rsid w:val="00556D35"/>
    <w:rsid w:val="00557782"/>
    <w:rsid w:val="00560428"/>
    <w:rsid w:val="005607AC"/>
    <w:rsid w:val="00563A15"/>
    <w:rsid w:val="00563C1B"/>
    <w:rsid w:val="00564273"/>
    <w:rsid w:val="00564584"/>
    <w:rsid w:val="0056620E"/>
    <w:rsid w:val="005668A7"/>
    <w:rsid w:val="00567DCD"/>
    <w:rsid w:val="00570883"/>
    <w:rsid w:val="005713B6"/>
    <w:rsid w:val="005719C5"/>
    <w:rsid w:val="00571BFD"/>
    <w:rsid w:val="00572102"/>
    <w:rsid w:val="00574187"/>
    <w:rsid w:val="00574FD5"/>
    <w:rsid w:val="00576ECF"/>
    <w:rsid w:val="005770A9"/>
    <w:rsid w:val="005778A3"/>
    <w:rsid w:val="005808A3"/>
    <w:rsid w:val="00580DCE"/>
    <w:rsid w:val="00581229"/>
    <w:rsid w:val="00581569"/>
    <w:rsid w:val="005844D5"/>
    <w:rsid w:val="00585577"/>
    <w:rsid w:val="00587725"/>
    <w:rsid w:val="00587771"/>
    <w:rsid w:val="00587B46"/>
    <w:rsid w:val="00587B4A"/>
    <w:rsid w:val="00590DD0"/>
    <w:rsid w:val="00591185"/>
    <w:rsid w:val="005912B0"/>
    <w:rsid w:val="00591D3B"/>
    <w:rsid w:val="005922F5"/>
    <w:rsid w:val="00592ACE"/>
    <w:rsid w:val="00592C17"/>
    <w:rsid w:val="00592D7C"/>
    <w:rsid w:val="00593D2D"/>
    <w:rsid w:val="00595268"/>
    <w:rsid w:val="00595950"/>
    <w:rsid w:val="00596E69"/>
    <w:rsid w:val="00597C99"/>
    <w:rsid w:val="005A12FE"/>
    <w:rsid w:val="005A2645"/>
    <w:rsid w:val="005A3A3C"/>
    <w:rsid w:val="005A646F"/>
    <w:rsid w:val="005B0319"/>
    <w:rsid w:val="005B0586"/>
    <w:rsid w:val="005B15F0"/>
    <w:rsid w:val="005B1ACB"/>
    <w:rsid w:val="005B2764"/>
    <w:rsid w:val="005B2939"/>
    <w:rsid w:val="005B2C70"/>
    <w:rsid w:val="005B35F5"/>
    <w:rsid w:val="005B4297"/>
    <w:rsid w:val="005B480B"/>
    <w:rsid w:val="005B5596"/>
    <w:rsid w:val="005B6D0C"/>
    <w:rsid w:val="005C2591"/>
    <w:rsid w:val="005C28C9"/>
    <w:rsid w:val="005C3741"/>
    <w:rsid w:val="005C4007"/>
    <w:rsid w:val="005C4CCE"/>
    <w:rsid w:val="005C7264"/>
    <w:rsid w:val="005D1404"/>
    <w:rsid w:val="005D288A"/>
    <w:rsid w:val="005D2D88"/>
    <w:rsid w:val="005D458F"/>
    <w:rsid w:val="005E0035"/>
    <w:rsid w:val="005E1146"/>
    <w:rsid w:val="005E1459"/>
    <w:rsid w:val="005E1A35"/>
    <w:rsid w:val="005E2935"/>
    <w:rsid w:val="005E2AA3"/>
    <w:rsid w:val="005E2F23"/>
    <w:rsid w:val="005E45FB"/>
    <w:rsid w:val="005E478A"/>
    <w:rsid w:val="005E5287"/>
    <w:rsid w:val="005E7627"/>
    <w:rsid w:val="005F01D7"/>
    <w:rsid w:val="005F03E4"/>
    <w:rsid w:val="005F0AC9"/>
    <w:rsid w:val="005F0B97"/>
    <w:rsid w:val="005F17DB"/>
    <w:rsid w:val="005F1D09"/>
    <w:rsid w:val="005F32A5"/>
    <w:rsid w:val="005F33AA"/>
    <w:rsid w:val="005F35A9"/>
    <w:rsid w:val="005F38F9"/>
    <w:rsid w:val="005F3F0A"/>
    <w:rsid w:val="005F6177"/>
    <w:rsid w:val="005F672F"/>
    <w:rsid w:val="005F6C69"/>
    <w:rsid w:val="00600FD9"/>
    <w:rsid w:val="006026A5"/>
    <w:rsid w:val="006038C1"/>
    <w:rsid w:val="00604A58"/>
    <w:rsid w:val="00607037"/>
    <w:rsid w:val="006070C9"/>
    <w:rsid w:val="00616DFF"/>
    <w:rsid w:val="00616FDE"/>
    <w:rsid w:val="006212D0"/>
    <w:rsid w:val="00621643"/>
    <w:rsid w:val="00622489"/>
    <w:rsid w:val="00624763"/>
    <w:rsid w:val="006257DB"/>
    <w:rsid w:val="00625B0E"/>
    <w:rsid w:val="00625EA7"/>
    <w:rsid w:val="00627956"/>
    <w:rsid w:val="00627FB0"/>
    <w:rsid w:val="006320AE"/>
    <w:rsid w:val="00632DEB"/>
    <w:rsid w:val="006339C2"/>
    <w:rsid w:val="006340C3"/>
    <w:rsid w:val="006350B6"/>
    <w:rsid w:val="00635A51"/>
    <w:rsid w:val="00635DC8"/>
    <w:rsid w:val="00636058"/>
    <w:rsid w:val="0063783A"/>
    <w:rsid w:val="006379B5"/>
    <w:rsid w:val="006404AF"/>
    <w:rsid w:val="00640C7C"/>
    <w:rsid w:val="00640F50"/>
    <w:rsid w:val="00640FC9"/>
    <w:rsid w:val="00641A4A"/>
    <w:rsid w:val="00641AC9"/>
    <w:rsid w:val="006428ED"/>
    <w:rsid w:val="00646019"/>
    <w:rsid w:val="006504A4"/>
    <w:rsid w:val="00650823"/>
    <w:rsid w:val="00651742"/>
    <w:rsid w:val="006517D2"/>
    <w:rsid w:val="00651924"/>
    <w:rsid w:val="006524D9"/>
    <w:rsid w:val="00652820"/>
    <w:rsid w:val="00652C57"/>
    <w:rsid w:val="00652FE0"/>
    <w:rsid w:val="00653658"/>
    <w:rsid w:val="00654FFC"/>
    <w:rsid w:val="0065591D"/>
    <w:rsid w:val="006577BC"/>
    <w:rsid w:val="00657F26"/>
    <w:rsid w:val="006606B7"/>
    <w:rsid w:val="006619F8"/>
    <w:rsid w:val="006621BD"/>
    <w:rsid w:val="00662846"/>
    <w:rsid w:val="006641F2"/>
    <w:rsid w:val="00664B52"/>
    <w:rsid w:val="0066589B"/>
    <w:rsid w:val="00665C84"/>
    <w:rsid w:val="0066701D"/>
    <w:rsid w:val="00667271"/>
    <w:rsid w:val="00667B3F"/>
    <w:rsid w:val="006703C5"/>
    <w:rsid w:val="00670892"/>
    <w:rsid w:val="00671203"/>
    <w:rsid w:val="00671D75"/>
    <w:rsid w:val="0067498D"/>
    <w:rsid w:val="006751D4"/>
    <w:rsid w:val="00676DB8"/>
    <w:rsid w:val="00677025"/>
    <w:rsid w:val="0067760B"/>
    <w:rsid w:val="006776C7"/>
    <w:rsid w:val="00677BC3"/>
    <w:rsid w:val="006803B5"/>
    <w:rsid w:val="0068080E"/>
    <w:rsid w:val="00680942"/>
    <w:rsid w:val="0068134A"/>
    <w:rsid w:val="00681C8B"/>
    <w:rsid w:val="00682988"/>
    <w:rsid w:val="00683701"/>
    <w:rsid w:val="00684E00"/>
    <w:rsid w:val="00684F31"/>
    <w:rsid w:val="00686937"/>
    <w:rsid w:val="00686B6D"/>
    <w:rsid w:val="00686D05"/>
    <w:rsid w:val="00687DEF"/>
    <w:rsid w:val="00690AA0"/>
    <w:rsid w:val="00690CBB"/>
    <w:rsid w:val="00691828"/>
    <w:rsid w:val="00691EFD"/>
    <w:rsid w:val="00693151"/>
    <w:rsid w:val="00695C15"/>
    <w:rsid w:val="006973E1"/>
    <w:rsid w:val="006A1C41"/>
    <w:rsid w:val="006A2F4F"/>
    <w:rsid w:val="006A4054"/>
    <w:rsid w:val="006A5A16"/>
    <w:rsid w:val="006A637E"/>
    <w:rsid w:val="006A67C8"/>
    <w:rsid w:val="006A7948"/>
    <w:rsid w:val="006B1D42"/>
    <w:rsid w:val="006B2931"/>
    <w:rsid w:val="006B3CD0"/>
    <w:rsid w:val="006B3DB7"/>
    <w:rsid w:val="006B4A37"/>
    <w:rsid w:val="006B5EC7"/>
    <w:rsid w:val="006B63D9"/>
    <w:rsid w:val="006B6E18"/>
    <w:rsid w:val="006B7782"/>
    <w:rsid w:val="006B7811"/>
    <w:rsid w:val="006C0802"/>
    <w:rsid w:val="006C1729"/>
    <w:rsid w:val="006C2423"/>
    <w:rsid w:val="006C29AF"/>
    <w:rsid w:val="006C3A21"/>
    <w:rsid w:val="006C6239"/>
    <w:rsid w:val="006D07EB"/>
    <w:rsid w:val="006D35BB"/>
    <w:rsid w:val="006D597A"/>
    <w:rsid w:val="006D64A1"/>
    <w:rsid w:val="006D6654"/>
    <w:rsid w:val="006D7B5D"/>
    <w:rsid w:val="006E1E18"/>
    <w:rsid w:val="006E328A"/>
    <w:rsid w:val="006E32C4"/>
    <w:rsid w:val="006E49CA"/>
    <w:rsid w:val="006E4D9E"/>
    <w:rsid w:val="006E724F"/>
    <w:rsid w:val="006E76CF"/>
    <w:rsid w:val="006E7F4D"/>
    <w:rsid w:val="006F2367"/>
    <w:rsid w:val="006F24D8"/>
    <w:rsid w:val="006F38A6"/>
    <w:rsid w:val="006F4AB9"/>
    <w:rsid w:val="006F6739"/>
    <w:rsid w:val="006F72DA"/>
    <w:rsid w:val="006F7BE9"/>
    <w:rsid w:val="006F7C13"/>
    <w:rsid w:val="00700075"/>
    <w:rsid w:val="00700BB6"/>
    <w:rsid w:val="007020E4"/>
    <w:rsid w:val="00702374"/>
    <w:rsid w:val="007026B0"/>
    <w:rsid w:val="00703EE4"/>
    <w:rsid w:val="007064C5"/>
    <w:rsid w:val="00707020"/>
    <w:rsid w:val="00707DD8"/>
    <w:rsid w:val="0071078C"/>
    <w:rsid w:val="007107F2"/>
    <w:rsid w:val="00711A2D"/>
    <w:rsid w:val="00712B11"/>
    <w:rsid w:val="007143E0"/>
    <w:rsid w:val="00714718"/>
    <w:rsid w:val="00714B31"/>
    <w:rsid w:val="00715669"/>
    <w:rsid w:val="00715696"/>
    <w:rsid w:val="0071612B"/>
    <w:rsid w:val="00717226"/>
    <w:rsid w:val="007178C3"/>
    <w:rsid w:val="00720573"/>
    <w:rsid w:val="00723597"/>
    <w:rsid w:val="0072377F"/>
    <w:rsid w:val="00723D2D"/>
    <w:rsid w:val="007259B2"/>
    <w:rsid w:val="0072610E"/>
    <w:rsid w:val="00726ABA"/>
    <w:rsid w:val="00727241"/>
    <w:rsid w:val="00730294"/>
    <w:rsid w:val="00731863"/>
    <w:rsid w:val="00731945"/>
    <w:rsid w:val="00733044"/>
    <w:rsid w:val="00734D65"/>
    <w:rsid w:val="0073595A"/>
    <w:rsid w:val="007360B8"/>
    <w:rsid w:val="0073611F"/>
    <w:rsid w:val="00736616"/>
    <w:rsid w:val="00736A0E"/>
    <w:rsid w:val="00736DA7"/>
    <w:rsid w:val="00736EC3"/>
    <w:rsid w:val="00736FCA"/>
    <w:rsid w:val="00737519"/>
    <w:rsid w:val="0074081F"/>
    <w:rsid w:val="007412B7"/>
    <w:rsid w:val="007417EB"/>
    <w:rsid w:val="00743082"/>
    <w:rsid w:val="0074361F"/>
    <w:rsid w:val="007438A7"/>
    <w:rsid w:val="00745B6C"/>
    <w:rsid w:val="007475B5"/>
    <w:rsid w:val="007477C8"/>
    <w:rsid w:val="0075095F"/>
    <w:rsid w:val="007509EC"/>
    <w:rsid w:val="00750AB0"/>
    <w:rsid w:val="00751983"/>
    <w:rsid w:val="00751A7B"/>
    <w:rsid w:val="00752B3B"/>
    <w:rsid w:val="00753A15"/>
    <w:rsid w:val="00753EAC"/>
    <w:rsid w:val="00753F74"/>
    <w:rsid w:val="00754115"/>
    <w:rsid w:val="00756C0D"/>
    <w:rsid w:val="00756F40"/>
    <w:rsid w:val="00757BB8"/>
    <w:rsid w:val="00760C51"/>
    <w:rsid w:val="00760E1F"/>
    <w:rsid w:val="00762237"/>
    <w:rsid w:val="00763C7B"/>
    <w:rsid w:val="00763C8A"/>
    <w:rsid w:val="00764B9A"/>
    <w:rsid w:val="0076525E"/>
    <w:rsid w:val="007662B8"/>
    <w:rsid w:val="007666DF"/>
    <w:rsid w:val="00767408"/>
    <w:rsid w:val="00771240"/>
    <w:rsid w:val="00771A8A"/>
    <w:rsid w:val="00772A6B"/>
    <w:rsid w:val="00773753"/>
    <w:rsid w:val="00775618"/>
    <w:rsid w:val="00775689"/>
    <w:rsid w:val="007803AA"/>
    <w:rsid w:val="00783F9F"/>
    <w:rsid w:val="00784D32"/>
    <w:rsid w:val="00787ED0"/>
    <w:rsid w:val="00790B5A"/>
    <w:rsid w:val="007914B4"/>
    <w:rsid w:val="00792E54"/>
    <w:rsid w:val="007955D8"/>
    <w:rsid w:val="00796E0F"/>
    <w:rsid w:val="00796FED"/>
    <w:rsid w:val="0079728B"/>
    <w:rsid w:val="00797442"/>
    <w:rsid w:val="007A0021"/>
    <w:rsid w:val="007A06C3"/>
    <w:rsid w:val="007A08EE"/>
    <w:rsid w:val="007A141B"/>
    <w:rsid w:val="007A2CA9"/>
    <w:rsid w:val="007A4267"/>
    <w:rsid w:val="007A4AC5"/>
    <w:rsid w:val="007A4E52"/>
    <w:rsid w:val="007A6CAD"/>
    <w:rsid w:val="007A70AA"/>
    <w:rsid w:val="007A73A3"/>
    <w:rsid w:val="007B0EDE"/>
    <w:rsid w:val="007B1C31"/>
    <w:rsid w:val="007B1D26"/>
    <w:rsid w:val="007B2808"/>
    <w:rsid w:val="007B333D"/>
    <w:rsid w:val="007B54FA"/>
    <w:rsid w:val="007B5B7C"/>
    <w:rsid w:val="007B63DD"/>
    <w:rsid w:val="007B6A55"/>
    <w:rsid w:val="007B70F6"/>
    <w:rsid w:val="007C27E6"/>
    <w:rsid w:val="007C311F"/>
    <w:rsid w:val="007C4DBD"/>
    <w:rsid w:val="007C5611"/>
    <w:rsid w:val="007C6604"/>
    <w:rsid w:val="007C685B"/>
    <w:rsid w:val="007C6A5E"/>
    <w:rsid w:val="007C79AA"/>
    <w:rsid w:val="007C7B8D"/>
    <w:rsid w:val="007D1834"/>
    <w:rsid w:val="007D1AB9"/>
    <w:rsid w:val="007D1FC9"/>
    <w:rsid w:val="007D2F17"/>
    <w:rsid w:val="007D38BF"/>
    <w:rsid w:val="007D3D8D"/>
    <w:rsid w:val="007D4CC3"/>
    <w:rsid w:val="007D6093"/>
    <w:rsid w:val="007D61DA"/>
    <w:rsid w:val="007D62E2"/>
    <w:rsid w:val="007D75FF"/>
    <w:rsid w:val="007D7C98"/>
    <w:rsid w:val="007D7F56"/>
    <w:rsid w:val="007E03A2"/>
    <w:rsid w:val="007E2239"/>
    <w:rsid w:val="007E2474"/>
    <w:rsid w:val="007E2479"/>
    <w:rsid w:val="007E2C60"/>
    <w:rsid w:val="007E32FE"/>
    <w:rsid w:val="007E76AF"/>
    <w:rsid w:val="007E79C2"/>
    <w:rsid w:val="007E7CE0"/>
    <w:rsid w:val="007F13D3"/>
    <w:rsid w:val="007F197D"/>
    <w:rsid w:val="007F1AC0"/>
    <w:rsid w:val="007F1C57"/>
    <w:rsid w:val="007F2331"/>
    <w:rsid w:val="007F2B39"/>
    <w:rsid w:val="007F2E88"/>
    <w:rsid w:val="007F3799"/>
    <w:rsid w:val="007F3E58"/>
    <w:rsid w:val="007F3EAF"/>
    <w:rsid w:val="007F4A25"/>
    <w:rsid w:val="007F4A5D"/>
    <w:rsid w:val="007F4F5D"/>
    <w:rsid w:val="007F5079"/>
    <w:rsid w:val="007F594E"/>
    <w:rsid w:val="007F6C3B"/>
    <w:rsid w:val="007F7CFD"/>
    <w:rsid w:val="008005AE"/>
    <w:rsid w:val="00803888"/>
    <w:rsid w:val="008043CD"/>
    <w:rsid w:val="00805729"/>
    <w:rsid w:val="008077D9"/>
    <w:rsid w:val="00810597"/>
    <w:rsid w:val="00810650"/>
    <w:rsid w:val="00810F46"/>
    <w:rsid w:val="00811304"/>
    <w:rsid w:val="0081212F"/>
    <w:rsid w:val="00812CCD"/>
    <w:rsid w:val="00813608"/>
    <w:rsid w:val="008137B6"/>
    <w:rsid w:val="00814FE4"/>
    <w:rsid w:val="008159B7"/>
    <w:rsid w:val="00815ACD"/>
    <w:rsid w:val="008168E1"/>
    <w:rsid w:val="00816B2E"/>
    <w:rsid w:val="00817181"/>
    <w:rsid w:val="00817784"/>
    <w:rsid w:val="008177DA"/>
    <w:rsid w:val="008205C1"/>
    <w:rsid w:val="00820EB6"/>
    <w:rsid w:val="00821723"/>
    <w:rsid w:val="0082175C"/>
    <w:rsid w:val="00822789"/>
    <w:rsid w:val="008231F2"/>
    <w:rsid w:val="00823E9B"/>
    <w:rsid w:val="008245FE"/>
    <w:rsid w:val="00824809"/>
    <w:rsid w:val="00824A26"/>
    <w:rsid w:val="00824E11"/>
    <w:rsid w:val="008259BA"/>
    <w:rsid w:val="00825DC1"/>
    <w:rsid w:val="0082609C"/>
    <w:rsid w:val="008261FF"/>
    <w:rsid w:val="008263FB"/>
    <w:rsid w:val="008267AF"/>
    <w:rsid w:val="00826A02"/>
    <w:rsid w:val="008300F3"/>
    <w:rsid w:val="008305E5"/>
    <w:rsid w:val="00830F01"/>
    <w:rsid w:val="008310F4"/>
    <w:rsid w:val="0083136B"/>
    <w:rsid w:val="00831912"/>
    <w:rsid w:val="008323F8"/>
    <w:rsid w:val="0083240D"/>
    <w:rsid w:val="00832F6E"/>
    <w:rsid w:val="00833321"/>
    <w:rsid w:val="00833755"/>
    <w:rsid w:val="00833E89"/>
    <w:rsid w:val="008344D9"/>
    <w:rsid w:val="00835279"/>
    <w:rsid w:val="00837258"/>
    <w:rsid w:val="00840297"/>
    <w:rsid w:val="0084096B"/>
    <w:rsid w:val="00841BF7"/>
    <w:rsid w:val="00841F80"/>
    <w:rsid w:val="008421D6"/>
    <w:rsid w:val="00842EF5"/>
    <w:rsid w:val="00844389"/>
    <w:rsid w:val="0084549A"/>
    <w:rsid w:val="00845A51"/>
    <w:rsid w:val="00847790"/>
    <w:rsid w:val="00847B17"/>
    <w:rsid w:val="00850293"/>
    <w:rsid w:val="00850C65"/>
    <w:rsid w:val="00850E2D"/>
    <w:rsid w:val="00851454"/>
    <w:rsid w:val="00851A1F"/>
    <w:rsid w:val="00852224"/>
    <w:rsid w:val="00853821"/>
    <w:rsid w:val="008544ED"/>
    <w:rsid w:val="00855DA6"/>
    <w:rsid w:val="00862BBC"/>
    <w:rsid w:val="00862FD1"/>
    <w:rsid w:val="00863316"/>
    <w:rsid w:val="00863788"/>
    <w:rsid w:val="008645C9"/>
    <w:rsid w:val="00865631"/>
    <w:rsid w:val="00865DD7"/>
    <w:rsid w:val="00866355"/>
    <w:rsid w:val="00866428"/>
    <w:rsid w:val="00871BF6"/>
    <w:rsid w:val="00873D67"/>
    <w:rsid w:val="00876527"/>
    <w:rsid w:val="0087675F"/>
    <w:rsid w:val="00876B65"/>
    <w:rsid w:val="00877C9C"/>
    <w:rsid w:val="0088005A"/>
    <w:rsid w:val="00880237"/>
    <w:rsid w:val="00880DFC"/>
    <w:rsid w:val="008814DA"/>
    <w:rsid w:val="008823CB"/>
    <w:rsid w:val="00883F31"/>
    <w:rsid w:val="00885AF4"/>
    <w:rsid w:val="00886374"/>
    <w:rsid w:val="008863DF"/>
    <w:rsid w:val="00887A0F"/>
    <w:rsid w:val="00887B60"/>
    <w:rsid w:val="00892FF9"/>
    <w:rsid w:val="00894F0A"/>
    <w:rsid w:val="00896D5F"/>
    <w:rsid w:val="008A01F7"/>
    <w:rsid w:val="008A0C12"/>
    <w:rsid w:val="008A1A44"/>
    <w:rsid w:val="008A2AF9"/>
    <w:rsid w:val="008A3A46"/>
    <w:rsid w:val="008A4248"/>
    <w:rsid w:val="008A4704"/>
    <w:rsid w:val="008A503A"/>
    <w:rsid w:val="008B1BF3"/>
    <w:rsid w:val="008B3728"/>
    <w:rsid w:val="008B4B78"/>
    <w:rsid w:val="008B54AE"/>
    <w:rsid w:val="008B5E40"/>
    <w:rsid w:val="008C086C"/>
    <w:rsid w:val="008C1151"/>
    <w:rsid w:val="008C1C52"/>
    <w:rsid w:val="008C33D1"/>
    <w:rsid w:val="008C6135"/>
    <w:rsid w:val="008C65AB"/>
    <w:rsid w:val="008C7877"/>
    <w:rsid w:val="008D0694"/>
    <w:rsid w:val="008D0AE3"/>
    <w:rsid w:val="008D13E3"/>
    <w:rsid w:val="008D2773"/>
    <w:rsid w:val="008D4619"/>
    <w:rsid w:val="008D478B"/>
    <w:rsid w:val="008D545F"/>
    <w:rsid w:val="008E00CB"/>
    <w:rsid w:val="008E152D"/>
    <w:rsid w:val="008E1608"/>
    <w:rsid w:val="008E2D6B"/>
    <w:rsid w:val="008E2FBC"/>
    <w:rsid w:val="008E3D39"/>
    <w:rsid w:val="008F2F25"/>
    <w:rsid w:val="008F314C"/>
    <w:rsid w:val="008F40D0"/>
    <w:rsid w:val="008F6E17"/>
    <w:rsid w:val="008F71D3"/>
    <w:rsid w:val="008F7787"/>
    <w:rsid w:val="008F7AD5"/>
    <w:rsid w:val="00900BC3"/>
    <w:rsid w:val="00901D5F"/>
    <w:rsid w:val="00901DB9"/>
    <w:rsid w:val="00902B42"/>
    <w:rsid w:val="0090529D"/>
    <w:rsid w:val="009066AF"/>
    <w:rsid w:val="00906AC0"/>
    <w:rsid w:val="00907ABF"/>
    <w:rsid w:val="00910C17"/>
    <w:rsid w:val="00910ED7"/>
    <w:rsid w:val="00913790"/>
    <w:rsid w:val="00913DA7"/>
    <w:rsid w:val="00913E89"/>
    <w:rsid w:val="009142D3"/>
    <w:rsid w:val="00916D6A"/>
    <w:rsid w:val="00917091"/>
    <w:rsid w:val="009178CF"/>
    <w:rsid w:val="00917BBA"/>
    <w:rsid w:val="00921222"/>
    <w:rsid w:val="009212D7"/>
    <w:rsid w:val="00921539"/>
    <w:rsid w:val="00921AF5"/>
    <w:rsid w:val="00923540"/>
    <w:rsid w:val="00924A03"/>
    <w:rsid w:val="009268AF"/>
    <w:rsid w:val="009276A3"/>
    <w:rsid w:val="00931033"/>
    <w:rsid w:val="009317A0"/>
    <w:rsid w:val="009317DB"/>
    <w:rsid w:val="00932935"/>
    <w:rsid w:val="00933514"/>
    <w:rsid w:val="009338B1"/>
    <w:rsid w:val="00933EBD"/>
    <w:rsid w:val="009348D1"/>
    <w:rsid w:val="00934F0B"/>
    <w:rsid w:val="00935EF3"/>
    <w:rsid w:val="00936A3D"/>
    <w:rsid w:val="00941AB0"/>
    <w:rsid w:val="00942E68"/>
    <w:rsid w:val="00943B84"/>
    <w:rsid w:val="00944081"/>
    <w:rsid w:val="009479CD"/>
    <w:rsid w:val="00947F46"/>
    <w:rsid w:val="009503A1"/>
    <w:rsid w:val="00950BA7"/>
    <w:rsid w:val="00950E45"/>
    <w:rsid w:val="00950E8A"/>
    <w:rsid w:val="0095197E"/>
    <w:rsid w:val="00951B24"/>
    <w:rsid w:val="00952BF8"/>
    <w:rsid w:val="009530E1"/>
    <w:rsid w:val="00953D0E"/>
    <w:rsid w:val="009565DD"/>
    <w:rsid w:val="00957129"/>
    <w:rsid w:val="00957F61"/>
    <w:rsid w:val="00961EC0"/>
    <w:rsid w:val="00962C53"/>
    <w:rsid w:val="00963436"/>
    <w:rsid w:val="009660DE"/>
    <w:rsid w:val="00966FDD"/>
    <w:rsid w:val="00967CE7"/>
    <w:rsid w:val="0097108D"/>
    <w:rsid w:val="0097208B"/>
    <w:rsid w:val="0097212A"/>
    <w:rsid w:val="00972DAA"/>
    <w:rsid w:val="009731C5"/>
    <w:rsid w:val="009735A2"/>
    <w:rsid w:val="009745B8"/>
    <w:rsid w:val="00974ADC"/>
    <w:rsid w:val="0097672F"/>
    <w:rsid w:val="0097788A"/>
    <w:rsid w:val="00980902"/>
    <w:rsid w:val="00980C0C"/>
    <w:rsid w:val="00980DFD"/>
    <w:rsid w:val="009816EB"/>
    <w:rsid w:val="0098229A"/>
    <w:rsid w:val="0098252C"/>
    <w:rsid w:val="00983D92"/>
    <w:rsid w:val="00983F93"/>
    <w:rsid w:val="009852A8"/>
    <w:rsid w:val="00986D51"/>
    <w:rsid w:val="00987AAA"/>
    <w:rsid w:val="009910B9"/>
    <w:rsid w:val="009914F3"/>
    <w:rsid w:val="00991EA5"/>
    <w:rsid w:val="009920E2"/>
    <w:rsid w:val="00992886"/>
    <w:rsid w:val="00992CE9"/>
    <w:rsid w:val="0099356C"/>
    <w:rsid w:val="00995149"/>
    <w:rsid w:val="00995BE3"/>
    <w:rsid w:val="009961E7"/>
    <w:rsid w:val="0099637F"/>
    <w:rsid w:val="009977BB"/>
    <w:rsid w:val="009A0991"/>
    <w:rsid w:val="009A26B1"/>
    <w:rsid w:val="009A3117"/>
    <w:rsid w:val="009A3572"/>
    <w:rsid w:val="009A6E1F"/>
    <w:rsid w:val="009A7BAD"/>
    <w:rsid w:val="009A7C76"/>
    <w:rsid w:val="009A7D86"/>
    <w:rsid w:val="009B07D1"/>
    <w:rsid w:val="009B0BCE"/>
    <w:rsid w:val="009B0E9E"/>
    <w:rsid w:val="009B2AB2"/>
    <w:rsid w:val="009B5989"/>
    <w:rsid w:val="009B5F36"/>
    <w:rsid w:val="009B6729"/>
    <w:rsid w:val="009B7BE6"/>
    <w:rsid w:val="009C08B3"/>
    <w:rsid w:val="009C0A0F"/>
    <w:rsid w:val="009C1048"/>
    <w:rsid w:val="009C4866"/>
    <w:rsid w:val="009C48A1"/>
    <w:rsid w:val="009C4C00"/>
    <w:rsid w:val="009C509B"/>
    <w:rsid w:val="009C5445"/>
    <w:rsid w:val="009C7F7F"/>
    <w:rsid w:val="009D0496"/>
    <w:rsid w:val="009D0FD1"/>
    <w:rsid w:val="009D1489"/>
    <w:rsid w:val="009D172B"/>
    <w:rsid w:val="009D2380"/>
    <w:rsid w:val="009D2D7D"/>
    <w:rsid w:val="009D3099"/>
    <w:rsid w:val="009D3DC8"/>
    <w:rsid w:val="009D628F"/>
    <w:rsid w:val="009D70D3"/>
    <w:rsid w:val="009E0C74"/>
    <w:rsid w:val="009E25CE"/>
    <w:rsid w:val="009E2B80"/>
    <w:rsid w:val="009E31A5"/>
    <w:rsid w:val="009E4F13"/>
    <w:rsid w:val="009E536D"/>
    <w:rsid w:val="009E54B2"/>
    <w:rsid w:val="009E5596"/>
    <w:rsid w:val="009E607F"/>
    <w:rsid w:val="009E62F9"/>
    <w:rsid w:val="009E774B"/>
    <w:rsid w:val="009F2AF9"/>
    <w:rsid w:val="009F2EC9"/>
    <w:rsid w:val="009F3C52"/>
    <w:rsid w:val="009F461F"/>
    <w:rsid w:val="009F471C"/>
    <w:rsid w:val="009F488E"/>
    <w:rsid w:val="009F5415"/>
    <w:rsid w:val="009F54B1"/>
    <w:rsid w:val="009F7158"/>
    <w:rsid w:val="009F74B5"/>
    <w:rsid w:val="009F762E"/>
    <w:rsid w:val="00A00856"/>
    <w:rsid w:val="00A02500"/>
    <w:rsid w:val="00A026F5"/>
    <w:rsid w:val="00A03434"/>
    <w:rsid w:val="00A05B4F"/>
    <w:rsid w:val="00A069D9"/>
    <w:rsid w:val="00A06C3B"/>
    <w:rsid w:val="00A07497"/>
    <w:rsid w:val="00A07595"/>
    <w:rsid w:val="00A107AD"/>
    <w:rsid w:val="00A11FC7"/>
    <w:rsid w:val="00A14550"/>
    <w:rsid w:val="00A1486D"/>
    <w:rsid w:val="00A14D51"/>
    <w:rsid w:val="00A16D6B"/>
    <w:rsid w:val="00A202B3"/>
    <w:rsid w:val="00A208B7"/>
    <w:rsid w:val="00A20A65"/>
    <w:rsid w:val="00A20DA8"/>
    <w:rsid w:val="00A215BB"/>
    <w:rsid w:val="00A21912"/>
    <w:rsid w:val="00A223E5"/>
    <w:rsid w:val="00A22DDC"/>
    <w:rsid w:val="00A26739"/>
    <w:rsid w:val="00A30FD9"/>
    <w:rsid w:val="00A31581"/>
    <w:rsid w:val="00A31EC7"/>
    <w:rsid w:val="00A31F34"/>
    <w:rsid w:val="00A3316F"/>
    <w:rsid w:val="00A3366F"/>
    <w:rsid w:val="00A33DE9"/>
    <w:rsid w:val="00A35736"/>
    <w:rsid w:val="00A3596D"/>
    <w:rsid w:val="00A35EF5"/>
    <w:rsid w:val="00A3687B"/>
    <w:rsid w:val="00A37C98"/>
    <w:rsid w:val="00A4010F"/>
    <w:rsid w:val="00A40E6D"/>
    <w:rsid w:val="00A435A3"/>
    <w:rsid w:val="00A4523F"/>
    <w:rsid w:val="00A46032"/>
    <w:rsid w:val="00A460A6"/>
    <w:rsid w:val="00A461F2"/>
    <w:rsid w:val="00A466A3"/>
    <w:rsid w:val="00A51307"/>
    <w:rsid w:val="00A52441"/>
    <w:rsid w:val="00A538D2"/>
    <w:rsid w:val="00A542D5"/>
    <w:rsid w:val="00A54737"/>
    <w:rsid w:val="00A5575C"/>
    <w:rsid w:val="00A5612A"/>
    <w:rsid w:val="00A5768B"/>
    <w:rsid w:val="00A576E4"/>
    <w:rsid w:val="00A60D21"/>
    <w:rsid w:val="00A61936"/>
    <w:rsid w:val="00A62955"/>
    <w:rsid w:val="00A62E5D"/>
    <w:rsid w:val="00A630B7"/>
    <w:rsid w:val="00A63250"/>
    <w:rsid w:val="00A63C87"/>
    <w:rsid w:val="00A6421F"/>
    <w:rsid w:val="00A64280"/>
    <w:rsid w:val="00A662A6"/>
    <w:rsid w:val="00A67ABA"/>
    <w:rsid w:val="00A67E25"/>
    <w:rsid w:val="00A70D6B"/>
    <w:rsid w:val="00A71661"/>
    <w:rsid w:val="00A7202B"/>
    <w:rsid w:val="00A72D23"/>
    <w:rsid w:val="00A72EDA"/>
    <w:rsid w:val="00A74520"/>
    <w:rsid w:val="00A74EC0"/>
    <w:rsid w:val="00A754EE"/>
    <w:rsid w:val="00A77450"/>
    <w:rsid w:val="00A776F0"/>
    <w:rsid w:val="00A8063C"/>
    <w:rsid w:val="00A81F67"/>
    <w:rsid w:val="00A8212A"/>
    <w:rsid w:val="00A82AE3"/>
    <w:rsid w:val="00A83B3A"/>
    <w:rsid w:val="00A84C59"/>
    <w:rsid w:val="00A85E2B"/>
    <w:rsid w:val="00A867DB"/>
    <w:rsid w:val="00A86EB6"/>
    <w:rsid w:val="00A873AD"/>
    <w:rsid w:val="00A87CA0"/>
    <w:rsid w:val="00A90E52"/>
    <w:rsid w:val="00A90FD9"/>
    <w:rsid w:val="00A921C2"/>
    <w:rsid w:val="00A9303A"/>
    <w:rsid w:val="00A93AB1"/>
    <w:rsid w:val="00A93BC4"/>
    <w:rsid w:val="00A940A1"/>
    <w:rsid w:val="00A946DC"/>
    <w:rsid w:val="00A9546B"/>
    <w:rsid w:val="00A9638D"/>
    <w:rsid w:val="00A96604"/>
    <w:rsid w:val="00A96AC6"/>
    <w:rsid w:val="00AA04FE"/>
    <w:rsid w:val="00AA0D0F"/>
    <w:rsid w:val="00AA1926"/>
    <w:rsid w:val="00AA1A1D"/>
    <w:rsid w:val="00AA24C5"/>
    <w:rsid w:val="00AA29C8"/>
    <w:rsid w:val="00AA3222"/>
    <w:rsid w:val="00AA3998"/>
    <w:rsid w:val="00AA42E0"/>
    <w:rsid w:val="00AA5D3F"/>
    <w:rsid w:val="00AA6E3A"/>
    <w:rsid w:val="00AA7616"/>
    <w:rsid w:val="00AA7F42"/>
    <w:rsid w:val="00AB1BBF"/>
    <w:rsid w:val="00AB24D4"/>
    <w:rsid w:val="00AB3D22"/>
    <w:rsid w:val="00AB4AE1"/>
    <w:rsid w:val="00AB4B48"/>
    <w:rsid w:val="00AB4C29"/>
    <w:rsid w:val="00AB5B50"/>
    <w:rsid w:val="00AB797F"/>
    <w:rsid w:val="00AB7C0F"/>
    <w:rsid w:val="00AB7C8F"/>
    <w:rsid w:val="00AC0824"/>
    <w:rsid w:val="00AC0981"/>
    <w:rsid w:val="00AC14DE"/>
    <w:rsid w:val="00AC244B"/>
    <w:rsid w:val="00AC25C8"/>
    <w:rsid w:val="00AC2B36"/>
    <w:rsid w:val="00AC3337"/>
    <w:rsid w:val="00AC3C09"/>
    <w:rsid w:val="00AC547D"/>
    <w:rsid w:val="00AC60C1"/>
    <w:rsid w:val="00AC6AA6"/>
    <w:rsid w:val="00AD0686"/>
    <w:rsid w:val="00AD1428"/>
    <w:rsid w:val="00AD2838"/>
    <w:rsid w:val="00AD2A54"/>
    <w:rsid w:val="00AD3C72"/>
    <w:rsid w:val="00AD3CE0"/>
    <w:rsid w:val="00AD4ED7"/>
    <w:rsid w:val="00AD5349"/>
    <w:rsid w:val="00AD5979"/>
    <w:rsid w:val="00AD5D65"/>
    <w:rsid w:val="00AD6638"/>
    <w:rsid w:val="00AD673B"/>
    <w:rsid w:val="00AD6EC5"/>
    <w:rsid w:val="00AD7094"/>
    <w:rsid w:val="00AD7236"/>
    <w:rsid w:val="00AE047B"/>
    <w:rsid w:val="00AE0C40"/>
    <w:rsid w:val="00AE156E"/>
    <w:rsid w:val="00AE2F65"/>
    <w:rsid w:val="00AE428D"/>
    <w:rsid w:val="00AE4374"/>
    <w:rsid w:val="00AE46D7"/>
    <w:rsid w:val="00AE5A45"/>
    <w:rsid w:val="00AE5AAD"/>
    <w:rsid w:val="00AE6CE6"/>
    <w:rsid w:val="00AE75C6"/>
    <w:rsid w:val="00AF01F8"/>
    <w:rsid w:val="00AF06C4"/>
    <w:rsid w:val="00AF1367"/>
    <w:rsid w:val="00AF1A2E"/>
    <w:rsid w:val="00AF1B0A"/>
    <w:rsid w:val="00AF2A64"/>
    <w:rsid w:val="00AF2F2D"/>
    <w:rsid w:val="00AF386E"/>
    <w:rsid w:val="00AF433F"/>
    <w:rsid w:val="00AF464F"/>
    <w:rsid w:val="00AF68E4"/>
    <w:rsid w:val="00AF6B23"/>
    <w:rsid w:val="00AF738C"/>
    <w:rsid w:val="00AF7BE0"/>
    <w:rsid w:val="00B003CF"/>
    <w:rsid w:val="00B021F1"/>
    <w:rsid w:val="00B04E7F"/>
    <w:rsid w:val="00B05021"/>
    <w:rsid w:val="00B05452"/>
    <w:rsid w:val="00B061E6"/>
    <w:rsid w:val="00B06C42"/>
    <w:rsid w:val="00B0764E"/>
    <w:rsid w:val="00B12915"/>
    <w:rsid w:val="00B138B9"/>
    <w:rsid w:val="00B13E39"/>
    <w:rsid w:val="00B15218"/>
    <w:rsid w:val="00B15585"/>
    <w:rsid w:val="00B15E04"/>
    <w:rsid w:val="00B1631C"/>
    <w:rsid w:val="00B16651"/>
    <w:rsid w:val="00B16B12"/>
    <w:rsid w:val="00B173C3"/>
    <w:rsid w:val="00B17F1B"/>
    <w:rsid w:val="00B21ADF"/>
    <w:rsid w:val="00B22C87"/>
    <w:rsid w:val="00B2553F"/>
    <w:rsid w:val="00B26C05"/>
    <w:rsid w:val="00B270A8"/>
    <w:rsid w:val="00B31363"/>
    <w:rsid w:val="00B33383"/>
    <w:rsid w:val="00B33C31"/>
    <w:rsid w:val="00B34464"/>
    <w:rsid w:val="00B34829"/>
    <w:rsid w:val="00B376C0"/>
    <w:rsid w:val="00B40921"/>
    <w:rsid w:val="00B40E37"/>
    <w:rsid w:val="00B41581"/>
    <w:rsid w:val="00B416E2"/>
    <w:rsid w:val="00B4183A"/>
    <w:rsid w:val="00B4183F"/>
    <w:rsid w:val="00B41F98"/>
    <w:rsid w:val="00B42A40"/>
    <w:rsid w:val="00B43818"/>
    <w:rsid w:val="00B455DE"/>
    <w:rsid w:val="00B45C79"/>
    <w:rsid w:val="00B46631"/>
    <w:rsid w:val="00B50016"/>
    <w:rsid w:val="00B51499"/>
    <w:rsid w:val="00B51FFB"/>
    <w:rsid w:val="00B529C8"/>
    <w:rsid w:val="00B53356"/>
    <w:rsid w:val="00B53567"/>
    <w:rsid w:val="00B53AAF"/>
    <w:rsid w:val="00B53F84"/>
    <w:rsid w:val="00B5554B"/>
    <w:rsid w:val="00B5556C"/>
    <w:rsid w:val="00B55D19"/>
    <w:rsid w:val="00B56340"/>
    <w:rsid w:val="00B56F10"/>
    <w:rsid w:val="00B57ED0"/>
    <w:rsid w:val="00B57F6C"/>
    <w:rsid w:val="00B60F51"/>
    <w:rsid w:val="00B62B94"/>
    <w:rsid w:val="00B63724"/>
    <w:rsid w:val="00B652B1"/>
    <w:rsid w:val="00B664F1"/>
    <w:rsid w:val="00B669B4"/>
    <w:rsid w:val="00B66E56"/>
    <w:rsid w:val="00B6769E"/>
    <w:rsid w:val="00B6790B"/>
    <w:rsid w:val="00B7047A"/>
    <w:rsid w:val="00B707B3"/>
    <w:rsid w:val="00B72D0B"/>
    <w:rsid w:val="00B74E83"/>
    <w:rsid w:val="00B74E89"/>
    <w:rsid w:val="00B74ED4"/>
    <w:rsid w:val="00B80056"/>
    <w:rsid w:val="00B803C0"/>
    <w:rsid w:val="00B8066E"/>
    <w:rsid w:val="00B82260"/>
    <w:rsid w:val="00B82A9D"/>
    <w:rsid w:val="00B83DF6"/>
    <w:rsid w:val="00B83F13"/>
    <w:rsid w:val="00B86F88"/>
    <w:rsid w:val="00B90850"/>
    <w:rsid w:val="00B91229"/>
    <w:rsid w:val="00B91A40"/>
    <w:rsid w:val="00B91A72"/>
    <w:rsid w:val="00B91AD0"/>
    <w:rsid w:val="00B92FAF"/>
    <w:rsid w:val="00B9697C"/>
    <w:rsid w:val="00B96D28"/>
    <w:rsid w:val="00B97102"/>
    <w:rsid w:val="00B97A03"/>
    <w:rsid w:val="00BA1452"/>
    <w:rsid w:val="00BA2EF6"/>
    <w:rsid w:val="00BA45D3"/>
    <w:rsid w:val="00BA582B"/>
    <w:rsid w:val="00BA749E"/>
    <w:rsid w:val="00BB0F0E"/>
    <w:rsid w:val="00BB2718"/>
    <w:rsid w:val="00BB362C"/>
    <w:rsid w:val="00BB3A70"/>
    <w:rsid w:val="00BB3D49"/>
    <w:rsid w:val="00BB5314"/>
    <w:rsid w:val="00BB5B8A"/>
    <w:rsid w:val="00BB6A44"/>
    <w:rsid w:val="00BB6A88"/>
    <w:rsid w:val="00BB7C12"/>
    <w:rsid w:val="00BC006C"/>
    <w:rsid w:val="00BC13E2"/>
    <w:rsid w:val="00BC2296"/>
    <w:rsid w:val="00BC2E35"/>
    <w:rsid w:val="00BC32D9"/>
    <w:rsid w:val="00BC3C04"/>
    <w:rsid w:val="00BC4703"/>
    <w:rsid w:val="00BC5627"/>
    <w:rsid w:val="00BC5746"/>
    <w:rsid w:val="00BC585D"/>
    <w:rsid w:val="00BC5D3B"/>
    <w:rsid w:val="00BC5F2D"/>
    <w:rsid w:val="00BC6901"/>
    <w:rsid w:val="00BC77BB"/>
    <w:rsid w:val="00BD0B02"/>
    <w:rsid w:val="00BD150A"/>
    <w:rsid w:val="00BD1FE4"/>
    <w:rsid w:val="00BD4450"/>
    <w:rsid w:val="00BD55A8"/>
    <w:rsid w:val="00BD5790"/>
    <w:rsid w:val="00BD6982"/>
    <w:rsid w:val="00BD6FAB"/>
    <w:rsid w:val="00BD71A0"/>
    <w:rsid w:val="00BD7465"/>
    <w:rsid w:val="00BD7585"/>
    <w:rsid w:val="00BD7627"/>
    <w:rsid w:val="00BE0465"/>
    <w:rsid w:val="00BE0C36"/>
    <w:rsid w:val="00BE18F2"/>
    <w:rsid w:val="00BE1C58"/>
    <w:rsid w:val="00BE2094"/>
    <w:rsid w:val="00BE36F3"/>
    <w:rsid w:val="00BE49FB"/>
    <w:rsid w:val="00BE4A61"/>
    <w:rsid w:val="00BE4A8C"/>
    <w:rsid w:val="00BE508B"/>
    <w:rsid w:val="00BE54EC"/>
    <w:rsid w:val="00BE64B4"/>
    <w:rsid w:val="00BE6CC6"/>
    <w:rsid w:val="00BE7147"/>
    <w:rsid w:val="00BE753C"/>
    <w:rsid w:val="00BE7EA9"/>
    <w:rsid w:val="00BF0054"/>
    <w:rsid w:val="00BF0348"/>
    <w:rsid w:val="00BF0698"/>
    <w:rsid w:val="00BF0F28"/>
    <w:rsid w:val="00BF14A8"/>
    <w:rsid w:val="00BF3277"/>
    <w:rsid w:val="00BF4065"/>
    <w:rsid w:val="00BF44CB"/>
    <w:rsid w:val="00BF4DEF"/>
    <w:rsid w:val="00BF5CED"/>
    <w:rsid w:val="00BF5EE8"/>
    <w:rsid w:val="00BF6309"/>
    <w:rsid w:val="00BF6E91"/>
    <w:rsid w:val="00C00AB6"/>
    <w:rsid w:val="00C01D86"/>
    <w:rsid w:val="00C01E0F"/>
    <w:rsid w:val="00C02090"/>
    <w:rsid w:val="00C02121"/>
    <w:rsid w:val="00C04D62"/>
    <w:rsid w:val="00C05026"/>
    <w:rsid w:val="00C058F7"/>
    <w:rsid w:val="00C0734B"/>
    <w:rsid w:val="00C07933"/>
    <w:rsid w:val="00C12773"/>
    <w:rsid w:val="00C12F26"/>
    <w:rsid w:val="00C1451E"/>
    <w:rsid w:val="00C150F0"/>
    <w:rsid w:val="00C16430"/>
    <w:rsid w:val="00C21705"/>
    <w:rsid w:val="00C2256C"/>
    <w:rsid w:val="00C22F1E"/>
    <w:rsid w:val="00C2376B"/>
    <w:rsid w:val="00C25245"/>
    <w:rsid w:val="00C25316"/>
    <w:rsid w:val="00C25D8B"/>
    <w:rsid w:val="00C26664"/>
    <w:rsid w:val="00C26784"/>
    <w:rsid w:val="00C26F49"/>
    <w:rsid w:val="00C26FA8"/>
    <w:rsid w:val="00C27F6B"/>
    <w:rsid w:val="00C302A6"/>
    <w:rsid w:val="00C31862"/>
    <w:rsid w:val="00C31F7B"/>
    <w:rsid w:val="00C33398"/>
    <w:rsid w:val="00C333FB"/>
    <w:rsid w:val="00C34B57"/>
    <w:rsid w:val="00C35513"/>
    <w:rsid w:val="00C35689"/>
    <w:rsid w:val="00C35A6F"/>
    <w:rsid w:val="00C364F1"/>
    <w:rsid w:val="00C405FF"/>
    <w:rsid w:val="00C407F0"/>
    <w:rsid w:val="00C40D4E"/>
    <w:rsid w:val="00C410AE"/>
    <w:rsid w:val="00C414BC"/>
    <w:rsid w:val="00C41978"/>
    <w:rsid w:val="00C46B5C"/>
    <w:rsid w:val="00C46FFE"/>
    <w:rsid w:val="00C472E6"/>
    <w:rsid w:val="00C47D76"/>
    <w:rsid w:val="00C51380"/>
    <w:rsid w:val="00C52B3F"/>
    <w:rsid w:val="00C52C43"/>
    <w:rsid w:val="00C52E21"/>
    <w:rsid w:val="00C54551"/>
    <w:rsid w:val="00C54852"/>
    <w:rsid w:val="00C5534B"/>
    <w:rsid w:val="00C55499"/>
    <w:rsid w:val="00C57053"/>
    <w:rsid w:val="00C570CA"/>
    <w:rsid w:val="00C617CB"/>
    <w:rsid w:val="00C6235E"/>
    <w:rsid w:val="00C62A66"/>
    <w:rsid w:val="00C63003"/>
    <w:rsid w:val="00C63025"/>
    <w:rsid w:val="00C638DF"/>
    <w:rsid w:val="00C65191"/>
    <w:rsid w:val="00C65CA3"/>
    <w:rsid w:val="00C66038"/>
    <w:rsid w:val="00C668B0"/>
    <w:rsid w:val="00C70DD7"/>
    <w:rsid w:val="00C70EC9"/>
    <w:rsid w:val="00C719A3"/>
    <w:rsid w:val="00C7213F"/>
    <w:rsid w:val="00C7223A"/>
    <w:rsid w:val="00C7230B"/>
    <w:rsid w:val="00C7354A"/>
    <w:rsid w:val="00C74132"/>
    <w:rsid w:val="00C75279"/>
    <w:rsid w:val="00C76053"/>
    <w:rsid w:val="00C804A9"/>
    <w:rsid w:val="00C82B5F"/>
    <w:rsid w:val="00C82FB3"/>
    <w:rsid w:val="00C839A2"/>
    <w:rsid w:val="00C845CA"/>
    <w:rsid w:val="00C84603"/>
    <w:rsid w:val="00C86544"/>
    <w:rsid w:val="00C86935"/>
    <w:rsid w:val="00C86C5D"/>
    <w:rsid w:val="00C87E74"/>
    <w:rsid w:val="00C87FA0"/>
    <w:rsid w:val="00C91E41"/>
    <w:rsid w:val="00C923F5"/>
    <w:rsid w:val="00C94F63"/>
    <w:rsid w:val="00C952E5"/>
    <w:rsid w:val="00C95863"/>
    <w:rsid w:val="00C9679E"/>
    <w:rsid w:val="00C9773D"/>
    <w:rsid w:val="00CA0C2C"/>
    <w:rsid w:val="00CA0ED3"/>
    <w:rsid w:val="00CA3158"/>
    <w:rsid w:val="00CA3964"/>
    <w:rsid w:val="00CA4A18"/>
    <w:rsid w:val="00CA4B22"/>
    <w:rsid w:val="00CA4D54"/>
    <w:rsid w:val="00CA6CDB"/>
    <w:rsid w:val="00CB0319"/>
    <w:rsid w:val="00CB0363"/>
    <w:rsid w:val="00CB0BE1"/>
    <w:rsid w:val="00CB398F"/>
    <w:rsid w:val="00CB4809"/>
    <w:rsid w:val="00CB5464"/>
    <w:rsid w:val="00CC01EB"/>
    <w:rsid w:val="00CC07E1"/>
    <w:rsid w:val="00CC1743"/>
    <w:rsid w:val="00CC1E29"/>
    <w:rsid w:val="00CC2657"/>
    <w:rsid w:val="00CC2AE5"/>
    <w:rsid w:val="00CC3D26"/>
    <w:rsid w:val="00CC4DD0"/>
    <w:rsid w:val="00CC4E8F"/>
    <w:rsid w:val="00CC51DD"/>
    <w:rsid w:val="00CC5446"/>
    <w:rsid w:val="00CC602A"/>
    <w:rsid w:val="00CC6945"/>
    <w:rsid w:val="00CC6BDC"/>
    <w:rsid w:val="00CD169D"/>
    <w:rsid w:val="00CD22E5"/>
    <w:rsid w:val="00CD47FB"/>
    <w:rsid w:val="00CD5D85"/>
    <w:rsid w:val="00CD7224"/>
    <w:rsid w:val="00CD73D9"/>
    <w:rsid w:val="00CE05E1"/>
    <w:rsid w:val="00CE09AF"/>
    <w:rsid w:val="00CE0A61"/>
    <w:rsid w:val="00CE0EC6"/>
    <w:rsid w:val="00CE1FD6"/>
    <w:rsid w:val="00CE2636"/>
    <w:rsid w:val="00CE290D"/>
    <w:rsid w:val="00CE2FDE"/>
    <w:rsid w:val="00CE3C22"/>
    <w:rsid w:val="00CE52BF"/>
    <w:rsid w:val="00CE666B"/>
    <w:rsid w:val="00CF07AA"/>
    <w:rsid w:val="00CF2560"/>
    <w:rsid w:val="00CF3ABC"/>
    <w:rsid w:val="00CF3E36"/>
    <w:rsid w:val="00CF4260"/>
    <w:rsid w:val="00CF4D45"/>
    <w:rsid w:val="00CF4DE4"/>
    <w:rsid w:val="00CF6DAB"/>
    <w:rsid w:val="00CF71B1"/>
    <w:rsid w:val="00CF76F1"/>
    <w:rsid w:val="00CF7735"/>
    <w:rsid w:val="00CF7985"/>
    <w:rsid w:val="00CF7C10"/>
    <w:rsid w:val="00D01388"/>
    <w:rsid w:val="00D013ED"/>
    <w:rsid w:val="00D019B6"/>
    <w:rsid w:val="00D051FF"/>
    <w:rsid w:val="00D058ED"/>
    <w:rsid w:val="00D05CAD"/>
    <w:rsid w:val="00D05CBB"/>
    <w:rsid w:val="00D1016A"/>
    <w:rsid w:val="00D12854"/>
    <w:rsid w:val="00D12BBA"/>
    <w:rsid w:val="00D131A6"/>
    <w:rsid w:val="00D152F1"/>
    <w:rsid w:val="00D15641"/>
    <w:rsid w:val="00D15F62"/>
    <w:rsid w:val="00D172C0"/>
    <w:rsid w:val="00D17680"/>
    <w:rsid w:val="00D17D8F"/>
    <w:rsid w:val="00D20133"/>
    <w:rsid w:val="00D2028B"/>
    <w:rsid w:val="00D21C87"/>
    <w:rsid w:val="00D22E4F"/>
    <w:rsid w:val="00D23C7A"/>
    <w:rsid w:val="00D23EE7"/>
    <w:rsid w:val="00D23FB8"/>
    <w:rsid w:val="00D242E4"/>
    <w:rsid w:val="00D2602F"/>
    <w:rsid w:val="00D26184"/>
    <w:rsid w:val="00D27801"/>
    <w:rsid w:val="00D27D4D"/>
    <w:rsid w:val="00D31101"/>
    <w:rsid w:val="00D314F2"/>
    <w:rsid w:val="00D31A8A"/>
    <w:rsid w:val="00D33014"/>
    <w:rsid w:val="00D33147"/>
    <w:rsid w:val="00D33A2F"/>
    <w:rsid w:val="00D37871"/>
    <w:rsid w:val="00D401BC"/>
    <w:rsid w:val="00D40A28"/>
    <w:rsid w:val="00D42467"/>
    <w:rsid w:val="00D42E04"/>
    <w:rsid w:val="00D42F46"/>
    <w:rsid w:val="00D43945"/>
    <w:rsid w:val="00D4422C"/>
    <w:rsid w:val="00D44304"/>
    <w:rsid w:val="00D445FB"/>
    <w:rsid w:val="00D44A6E"/>
    <w:rsid w:val="00D46E5E"/>
    <w:rsid w:val="00D47501"/>
    <w:rsid w:val="00D477EC"/>
    <w:rsid w:val="00D5047A"/>
    <w:rsid w:val="00D51756"/>
    <w:rsid w:val="00D520E1"/>
    <w:rsid w:val="00D5248E"/>
    <w:rsid w:val="00D527F1"/>
    <w:rsid w:val="00D52D24"/>
    <w:rsid w:val="00D544D2"/>
    <w:rsid w:val="00D54B89"/>
    <w:rsid w:val="00D54BCF"/>
    <w:rsid w:val="00D5571D"/>
    <w:rsid w:val="00D567C1"/>
    <w:rsid w:val="00D56FEB"/>
    <w:rsid w:val="00D6022C"/>
    <w:rsid w:val="00D60B88"/>
    <w:rsid w:val="00D62198"/>
    <w:rsid w:val="00D64278"/>
    <w:rsid w:val="00D64F5D"/>
    <w:rsid w:val="00D67220"/>
    <w:rsid w:val="00D70604"/>
    <w:rsid w:val="00D7130C"/>
    <w:rsid w:val="00D733E8"/>
    <w:rsid w:val="00D7466B"/>
    <w:rsid w:val="00D76D7E"/>
    <w:rsid w:val="00D7786A"/>
    <w:rsid w:val="00D807AB"/>
    <w:rsid w:val="00D825A9"/>
    <w:rsid w:val="00D8298A"/>
    <w:rsid w:val="00D82D19"/>
    <w:rsid w:val="00D83E17"/>
    <w:rsid w:val="00D8510C"/>
    <w:rsid w:val="00D85A45"/>
    <w:rsid w:val="00D8646E"/>
    <w:rsid w:val="00D9020D"/>
    <w:rsid w:val="00D90400"/>
    <w:rsid w:val="00D91862"/>
    <w:rsid w:val="00D920D2"/>
    <w:rsid w:val="00D92733"/>
    <w:rsid w:val="00D92B78"/>
    <w:rsid w:val="00D940CF"/>
    <w:rsid w:val="00D94117"/>
    <w:rsid w:val="00D96C64"/>
    <w:rsid w:val="00D97C12"/>
    <w:rsid w:val="00DA062C"/>
    <w:rsid w:val="00DA3F1A"/>
    <w:rsid w:val="00DA5668"/>
    <w:rsid w:val="00DA60C2"/>
    <w:rsid w:val="00DA6946"/>
    <w:rsid w:val="00DA6A49"/>
    <w:rsid w:val="00DA7486"/>
    <w:rsid w:val="00DA74E9"/>
    <w:rsid w:val="00DB0E1A"/>
    <w:rsid w:val="00DB16E3"/>
    <w:rsid w:val="00DB2145"/>
    <w:rsid w:val="00DB3890"/>
    <w:rsid w:val="00DB4370"/>
    <w:rsid w:val="00DB4974"/>
    <w:rsid w:val="00DB4B3B"/>
    <w:rsid w:val="00DB4C0A"/>
    <w:rsid w:val="00DB53A8"/>
    <w:rsid w:val="00DB6095"/>
    <w:rsid w:val="00DC0031"/>
    <w:rsid w:val="00DC0097"/>
    <w:rsid w:val="00DC0275"/>
    <w:rsid w:val="00DC1D65"/>
    <w:rsid w:val="00DC2749"/>
    <w:rsid w:val="00DC33A5"/>
    <w:rsid w:val="00DC3FC7"/>
    <w:rsid w:val="00DC4225"/>
    <w:rsid w:val="00DC5240"/>
    <w:rsid w:val="00DC60EB"/>
    <w:rsid w:val="00DC67EA"/>
    <w:rsid w:val="00DC7610"/>
    <w:rsid w:val="00DD031C"/>
    <w:rsid w:val="00DD2127"/>
    <w:rsid w:val="00DD2B24"/>
    <w:rsid w:val="00DD4184"/>
    <w:rsid w:val="00DD45B9"/>
    <w:rsid w:val="00DD4733"/>
    <w:rsid w:val="00DD48C4"/>
    <w:rsid w:val="00DD5607"/>
    <w:rsid w:val="00DD6860"/>
    <w:rsid w:val="00DD6B15"/>
    <w:rsid w:val="00DD719B"/>
    <w:rsid w:val="00DD7981"/>
    <w:rsid w:val="00DD79C4"/>
    <w:rsid w:val="00DE0DB0"/>
    <w:rsid w:val="00DE20C8"/>
    <w:rsid w:val="00DE2101"/>
    <w:rsid w:val="00DE4511"/>
    <w:rsid w:val="00DE5447"/>
    <w:rsid w:val="00DE6EBD"/>
    <w:rsid w:val="00DE706C"/>
    <w:rsid w:val="00DE71E5"/>
    <w:rsid w:val="00DF1B33"/>
    <w:rsid w:val="00DF2BA9"/>
    <w:rsid w:val="00DF3D78"/>
    <w:rsid w:val="00DF48B9"/>
    <w:rsid w:val="00DF4DB4"/>
    <w:rsid w:val="00DF5B1F"/>
    <w:rsid w:val="00DF5F77"/>
    <w:rsid w:val="00DF6172"/>
    <w:rsid w:val="00DF6A3D"/>
    <w:rsid w:val="00DF6D16"/>
    <w:rsid w:val="00E01939"/>
    <w:rsid w:val="00E01DF6"/>
    <w:rsid w:val="00E020F7"/>
    <w:rsid w:val="00E021F4"/>
    <w:rsid w:val="00E02F05"/>
    <w:rsid w:val="00E037F3"/>
    <w:rsid w:val="00E0490D"/>
    <w:rsid w:val="00E050E8"/>
    <w:rsid w:val="00E056E4"/>
    <w:rsid w:val="00E06A6F"/>
    <w:rsid w:val="00E06D40"/>
    <w:rsid w:val="00E106D9"/>
    <w:rsid w:val="00E10897"/>
    <w:rsid w:val="00E11302"/>
    <w:rsid w:val="00E1231A"/>
    <w:rsid w:val="00E12FF7"/>
    <w:rsid w:val="00E13CE3"/>
    <w:rsid w:val="00E13EA4"/>
    <w:rsid w:val="00E15716"/>
    <w:rsid w:val="00E16205"/>
    <w:rsid w:val="00E167E1"/>
    <w:rsid w:val="00E223DA"/>
    <w:rsid w:val="00E242DF"/>
    <w:rsid w:val="00E24AEA"/>
    <w:rsid w:val="00E25061"/>
    <w:rsid w:val="00E25BBE"/>
    <w:rsid w:val="00E269A1"/>
    <w:rsid w:val="00E27A11"/>
    <w:rsid w:val="00E30E43"/>
    <w:rsid w:val="00E30E73"/>
    <w:rsid w:val="00E311BE"/>
    <w:rsid w:val="00E31955"/>
    <w:rsid w:val="00E31B43"/>
    <w:rsid w:val="00E31C36"/>
    <w:rsid w:val="00E32B3A"/>
    <w:rsid w:val="00E33E00"/>
    <w:rsid w:val="00E343C2"/>
    <w:rsid w:val="00E3514A"/>
    <w:rsid w:val="00E3663B"/>
    <w:rsid w:val="00E37C93"/>
    <w:rsid w:val="00E415DC"/>
    <w:rsid w:val="00E41E4B"/>
    <w:rsid w:val="00E41E95"/>
    <w:rsid w:val="00E42AE8"/>
    <w:rsid w:val="00E44021"/>
    <w:rsid w:val="00E44ACF"/>
    <w:rsid w:val="00E47C42"/>
    <w:rsid w:val="00E50E80"/>
    <w:rsid w:val="00E515D5"/>
    <w:rsid w:val="00E5169E"/>
    <w:rsid w:val="00E51868"/>
    <w:rsid w:val="00E518E8"/>
    <w:rsid w:val="00E5225E"/>
    <w:rsid w:val="00E528DD"/>
    <w:rsid w:val="00E52AA0"/>
    <w:rsid w:val="00E52C32"/>
    <w:rsid w:val="00E53023"/>
    <w:rsid w:val="00E53607"/>
    <w:rsid w:val="00E56F83"/>
    <w:rsid w:val="00E6226D"/>
    <w:rsid w:val="00E64255"/>
    <w:rsid w:val="00E64D5F"/>
    <w:rsid w:val="00E64DB1"/>
    <w:rsid w:val="00E65D7B"/>
    <w:rsid w:val="00E66378"/>
    <w:rsid w:val="00E66396"/>
    <w:rsid w:val="00E6664B"/>
    <w:rsid w:val="00E66AB8"/>
    <w:rsid w:val="00E67F65"/>
    <w:rsid w:val="00E70207"/>
    <w:rsid w:val="00E7071F"/>
    <w:rsid w:val="00E70A6E"/>
    <w:rsid w:val="00E72121"/>
    <w:rsid w:val="00E722C1"/>
    <w:rsid w:val="00E72369"/>
    <w:rsid w:val="00E7301E"/>
    <w:rsid w:val="00E75AED"/>
    <w:rsid w:val="00E76D87"/>
    <w:rsid w:val="00E77083"/>
    <w:rsid w:val="00E82EAD"/>
    <w:rsid w:val="00E83C7F"/>
    <w:rsid w:val="00E84800"/>
    <w:rsid w:val="00E8498B"/>
    <w:rsid w:val="00E84A52"/>
    <w:rsid w:val="00E85DC3"/>
    <w:rsid w:val="00E86EF6"/>
    <w:rsid w:val="00E874DC"/>
    <w:rsid w:val="00E902D3"/>
    <w:rsid w:val="00E92969"/>
    <w:rsid w:val="00E9333C"/>
    <w:rsid w:val="00E9387C"/>
    <w:rsid w:val="00E93C31"/>
    <w:rsid w:val="00E941EA"/>
    <w:rsid w:val="00E95D4E"/>
    <w:rsid w:val="00E9734B"/>
    <w:rsid w:val="00EA0C5A"/>
    <w:rsid w:val="00EA102F"/>
    <w:rsid w:val="00EA22EB"/>
    <w:rsid w:val="00EA2E45"/>
    <w:rsid w:val="00EA31CE"/>
    <w:rsid w:val="00EA385C"/>
    <w:rsid w:val="00EA4F59"/>
    <w:rsid w:val="00EA5900"/>
    <w:rsid w:val="00EA5B15"/>
    <w:rsid w:val="00EA6FD3"/>
    <w:rsid w:val="00EA74B6"/>
    <w:rsid w:val="00EB0331"/>
    <w:rsid w:val="00EB092F"/>
    <w:rsid w:val="00EB0D9B"/>
    <w:rsid w:val="00EB1AB4"/>
    <w:rsid w:val="00EB2C80"/>
    <w:rsid w:val="00EB2EF6"/>
    <w:rsid w:val="00EB48A9"/>
    <w:rsid w:val="00EB5260"/>
    <w:rsid w:val="00EB54A0"/>
    <w:rsid w:val="00EB6AA0"/>
    <w:rsid w:val="00EB6DC9"/>
    <w:rsid w:val="00EB72A7"/>
    <w:rsid w:val="00EB7874"/>
    <w:rsid w:val="00EC0D99"/>
    <w:rsid w:val="00EC1646"/>
    <w:rsid w:val="00EC18F7"/>
    <w:rsid w:val="00EC194F"/>
    <w:rsid w:val="00EC2CC4"/>
    <w:rsid w:val="00EC333A"/>
    <w:rsid w:val="00EC36C2"/>
    <w:rsid w:val="00EC3BE6"/>
    <w:rsid w:val="00EC42FE"/>
    <w:rsid w:val="00EC4E8F"/>
    <w:rsid w:val="00EC523D"/>
    <w:rsid w:val="00EC5CEF"/>
    <w:rsid w:val="00EC7DD4"/>
    <w:rsid w:val="00ED2B16"/>
    <w:rsid w:val="00ED2D23"/>
    <w:rsid w:val="00ED44FA"/>
    <w:rsid w:val="00ED615B"/>
    <w:rsid w:val="00ED70B1"/>
    <w:rsid w:val="00ED7339"/>
    <w:rsid w:val="00ED7412"/>
    <w:rsid w:val="00EE0350"/>
    <w:rsid w:val="00EE0B97"/>
    <w:rsid w:val="00EE15BF"/>
    <w:rsid w:val="00EE295B"/>
    <w:rsid w:val="00EE543C"/>
    <w:rsid w:val="00EE61BB"/>
    <w:rsid w:val="00EE7CCF"/>
    <w:rsid w:val="00EF15F9"/>
    <w:rsid w:val="00EF1B53"/>
    <w:rsid w:val="00EF1D7F"/>
    <w:rsid w:val="00EF1F15"/>
    <w:rsid w:val="00EF1F38"/>
    <w:rsid w:val="00EF3053"/>
    <w:rsid w:val="00EF31C4"/>
    <w:rsid w:val="00EF48A8"/>
    <w:rsid w:val="00F00578"/>
    <w:rsid w:val="00F00B4E"/>
    <w:rsid w:val="00F01799"/>
    <w:rsid w:val="00F03491"/>
    <w:rsid w:val="00F057F2"/>
    <w:rsid w:val="00F05EE9"/>
    <w:rsid w:val="00F0612D"/>
    <w:rsid w:val="00F0615B"/>
    <w:rsid w:val="00F0779F"/>
    <w:rsid w:val="00F1215C"/>
    <w:rsid w:val="00F13F40"/>
    <w:rsid w:val="00F1452E"/>
    <w:rsid w:val="00F14BF8"/>
    <w:rsid w:val="00F163AB"/>
    <w:rsid w:val="00F163D4"/>
    <w:rsid w:val="00F164B9"/>
    <w:rsid w:val="00F16EAF"/>
    <w:rsid w:val="00F17066"/>
    <w:rsid w:val="00F17D02"/>
    <w:rsid w:val="00F21B7D"/>
    <w:rsid w:val="00F22363"/>
    <w:rsid w:val="00F228F2"/>
    <w:rsid w:val="00F23212"/>
    <w:rsid w:val="00F235E1"/>
    <w:rsid w:val="00F23821"/>
    <w:rsid w:val="00F249BD"/>
    <w:rsid w:val="00F24FC5"/>
    <w:rsid w:val="00F25E85"/>
    <w:rsid w:val="00F267F4"/>
    <w:rsid w:val="00F30125"/>
    <w:rsid w:val="00F30746"/>
    <w:rsid w:val="00F310EC"/>
    <w:rsid w:val="00F32604"/>
    <w:rsid w:val="00F34266"/>
    <w:rsid w:val="00F34580"/>
    <w:rsid w:val="00F34699"/>
    <w:rsid w:val="00F350C3"/>
    <w:rsid w:val="00F35848"/>
    <w:rsid w:val="00F359BC"/>
    <w:rsid w:val="00F35AED"/>
    <w:rsid w:val="00F402BE"/>
    <w:rsid w:val="00F40430"/>
    <w:rsid w:val="00F420EC"/>
    <w:rsid w:val="00F42A46"/>
    <w:rsid w:val="00F431AD"/>
    <w:rsid w:val="00F44C02"/>
    <w:rsid w:val="00F45E21"/>
    <w:rsid w:val="00F46025"/>
    <w:rsid w:val="00F46A28"/>
    <w:rsid w:val="00F46E82"/>
    <w:rsid w:val="00F46F1E"/>
    <w:rsid w:val="00F477D8"/>
    <w:rsid w:val="00F47A20"/>
    <w:rsid w:val="00F51CEE"/>
    <w:rsid w:val="00F52E52"/>
    <w:rsid w:val="00F54005"/>
    <w:rsid w:val="00F54C38"/>
    <w:rsid w:val="00F5668F"/>
    <w:rsid w:val="00F5699E"/>
    <w:rsid w:val="00F573F6"/>
    <w:rsid w:val="00F57C52"/>
    <w:rsid w:val="00F57E4E"/>
    <w:rsid w:val="00F6142B"/>
    <w:rsid w:val="00F62431"/>
    <w:rsid w:val="00F648B2"/>
    <w:rsid w:val="00F649C6"/>
    <w:rsid w:val="00F650E9"/>
    <w:rsid w:val="00F65515"/>
    <w:rsid w:val="00F66A03"/>
    <w:rsid w:val="00F66CA7"/>
    <w:rsid w:val="00F66FF7"/>
    <w:rsid w:val="00F67118"/>
    <w:rsid w:val="00F70EEE"/>
    <w:rsid w:val="00F7105C"/>
    <w:rsid w:val="00F719FE"/>
    <w:rsid w:val="00F73BA7"/>
    <w:rsid w:val="00F75072"/>
    <w:rsid w:val="00F755EE"/>
    <w:rsid w:val="00F76A5A"/>
    <w:rsid w:val="00F77B09"/>
    <w:rsid w:val="00F77E4C"/>
    <w:rsid w:val="00F8104F"/>
    <w:rsid w:val="00F81857"/>
    <w:rsid w:val="00F81D1B"/>
    <w:rsid w:val="00F82605"/>
    <w:rsid w:val="00F82BE6"/>
    <w:rsid w:val="00F82EF8"/>
    <w:rsid w:val="00F86727"/>
    <w:rsid w:val="00F90C0D"/>
    <w:rsid w:val="00F9167D"/>
    <w:rsid w:val="00F91DF9"/>
    <w:rsid w:val="00F92049"/>
    <w:rsid w:val="00F9290A"/>
    <w:rsid w:val="00F92CBB"/>
    <w:rsid w:val="00F92F9F"/>
    <w:rsid w:val="00F93D5B"/>
    <w:rsid w:val="00F93FF1"/>
    <w:rsid w:val="00F95673"/>
    <w:rsid w:val="00F96693"/>
    <w:rsid w:val="00F9699D"/>
    <w:rsid w:val="00F96A31"/>
    <w:rsid w:val="00F9744B"/>
    <w:rsid w:val="00FA333C"/>
    <w:rsid w:val="00FA3C0F"/>
    <w:rsid w:val="00FA44EA"/>
    <w:rsid w:val="00FA4AA1"/>
    <w:rsid w:val="00FA5340"/>
    <w:rsid w:val="00FB2D7C"/>
    <w:rsid w:val="00FB4703"/>
    <w:rsid w:val="00FB56BC"/>
    <w:rsid w:val="00FB6286"/>
    <w:rsid w:val="00FB75F1"/>
    <w:rsid w:val="00FB7C1D"/>
    <w:rsid w:val="00FC06F4"/>
    <w:rsid w:val="00FC12A5"/>
    <w:rsid w:val="00FC170A"/>
    <w:rsid w:val="00FC2274"/>
    <w:rsid w:val="00FC2493"/>
    <w:rsid w:val="00FC2B46"/>
    <w:rsid w:val="00FC32D6"/>
    <w:rsid w:val="00FC467D"/>
    <w:rsid w:val="00FC543E"/>
    <w:rsid w:val="00FC7359"/>
    <w:rsid w:val="00FC7CF3"/>
    <w:rsid w:val="00FD00C1"/>
    <w:rsid w:val="00FD00C3"/>
    <w:rsid w:val="00FD0C2E"/>
    <w:rsid w:val="00FD4CA8"/>
    <w:rsid w:val="00FD6401"/>
    <w:rsid w:val="00FD7ED4"/>
    <w:rsid w:val="00FE06E5"/>
    <w:rsid w:val="00FE0A86"/>
    <w:rsid w:val="00FE17EC"/>
    <w:rsid w:val="00FE1A1C"/>
    <w:rsid w:val="00FE3F6E"/>
    <w:rsid w:val="00FE461A"/>
    <w:rsid w:val="00FE4F4E"/>
    <w:rsid w:val="00FE5ED5"/>
    <w:rsid w:val="00FE5FAF"/>
    <w:rsid w:val="00FE6BE0"/>
    <w:rsid w:val="00FE75C1"/>
    <w:rsid w:val="00FF0733"/>
    <w:rsid w:val="00FF3EB2"/>
    <w:rsid w:val="00FF5F4B"/>
    <w:rsid w:val="00FF6653"/>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80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13A8"/>
    <w:pPr>
      <w:spacing w:line="480" w:lineRule="atLeast"/>
      <w:ind w:firstLine="720"/>
    </w:pPr>
    <w:rPr>
      <w:sz w:val="26"/>
    </w:rPr>
  </w:style>
  <w:style w:type="paragraph" w:styleId="Heading1">
    <w:name w:val="heading 1"/>
    <w:basedOn w:val="Normal"/>
    <w:next w:val="Normal"/>
    <w:qFormat/>
    <w:rsid w:val="00487CF4"/>
    <w:pPr>
      <w:keepNext/>
      <w:spacing w:before="260" w:line="240" w:lineRule="auto"/>
      <w:ind w:firstLine="0"/>
      <w:jc w:val="center"/>
      <w:outlineLvl w:val="0"/>
    </w:pPr>
    <w:rPr>
      <w:b/>
      <w:smallCaps/>
    </w:rPr>
  </w:style>
  <w:style w:type="paragraph" w:styleId="Heading2">
    <w:name w:val="heading 2"/>
    <w:basedOn w:val="Normal"/>
    <w:next w:val="Normal"/>
    <w:qFormat/>
    <w:rsid w:val="00EA385C"/>
    <w:pPr>
      <w:keepNext/>
      <w:tabs>
        <w:tab w:val="left" w:pos="1152"/>
      </w:tabs>
      <w:spacing w:before="260" w:line="240" w:lineRule="auto"/>
      <w:ind w:left="360" w:hanging="360"/>
      <w:outlineLvl w:val="1"/>
    </w:pPr>
    <w:rPr>
      <w:b/>
    </w:rPr>
  </w:style>
  <w:style w:type="paragraph" w:styleId="Heading3">
    <w:name w:val="heading 3"/>
    <w:basedOn w:val="Normal"/>
    <w:next w:val="Normal"/>
    <w:qFormat/>
    <w:rsid w:val="00487CF4"/>
    <w:pPr>
      <w:keepNext/>
      <w:tabs>
        <w:tab w:val="left" w:pos="1584"/>
      </w:tabs>
      <w:spacing w:before="260" w:line="240" w:lineRule="auto"/>
      <w:ind w:left="720" w:hanging="360"/>
      <w:jc w:val="center"/>
      <w:outlineLvl w:val="2"/>
    </w:pPr>
    <w:rPr>
      <w:i/>
    </w:rPr>
  </w:style>
  <w:style w:type="paragraph" w:styleId="Heading4">
    <w:name w:val="heading 4"/>
    <w:basedOn w:val="Normal"/>
    <w:qFormat/>
    <w:rsid w:val="00487CF4"/>
    <w:pPr>
      <w:keepNext/>
      <w:tabs>
        <w:tab w:val="left" w:pos="2016"/>
      </w:tabs>
      <w:spacing w:before="260" w:line="240" w:lineRule="auto"/>
      <w:ind w:left="1080" w:hanging="360"/>
      <w:outlineLvl w:val="3"/>
    </w:pPr>
    <w:rPr>
      <w:i/>
    </w:rPr>
  </w:style>
  <w:style w:type="paragraph" w:styleId="Heading5">
    <w:name w:val="heading 5"/>
    <w:basedOn w:val="Normal"/>
    <w:qFormat/>
    <w:rsid w:val="00C9773D"/>
    <w:pPr>
      <w:keepNext/>
      <w:tabs>
        <w:tab w:val="left" w:pos="2448"/>
      </w:tabs>
      <w:spacing w:before="260" w:line="240" w:lineRule="auto"/>
      <w:ind w:left="1440" w:hanging="3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uiPriority w:val="99"/>
    <w:semiHidden/>
    <w:rPr>
      <w:b/>
      <w:position w:val="6"/>
      <w:sz w:val="20"/>
    </w:rPr>
  </w:style>
  <w:style w:type="paragraph" w:styleId="FootnoteText">
    <w:name w:val="footnote text"/>
    <w:basedOn w:val="Normal"/>
    <w:link w:val="FootnoteTextChar"/>
    <w:uiPriority w:val="99"/>
    <w:semiHidden/>
    <w:rsid w:val="00380C2D"/>
    <w:pPr>
      <w:spacing w:line="240" w:lineRule="auto"/>
      <w:ind w:firstLine="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EndnoteText">
    <w:name w:val="endnote text"/>
    <w:basedOn w:val="Normal"/>
    <w:link w:val="EndnoteTextChar"/>
    <w:uiPriority w:val="99"/>
    <w:semiHidden/>
    <w:unhideWhenUsed/>
    <w:rsid w:val="00380C2D"/>
    <w:pPr>
      <w:spacing w:line="240" w:lineRule="auto"/>
    </w:pPr>
    <w:rPr>
      <w:sz w:val="20"/>
    </w:rPr>
  </w:style>
  <w:style w:type="character" w:customStyle="1" w:styleId="EndnoteTextChar">
    <w:name w:val="Endnote Text Char"/>
    <w:basedOn w:val="DefaultParagraphFont"/>
    <w:link w:val="EndnoteText"/>
    <w:uiPriority w:val="99"/>
    <w:semiHidden/>
    <w:rsid w:val="00380C2D"/>
  </w:style>
  <w:style w:type="character" w:styleId="EndnoteReference">
    <w:name w:val="endnote reference"/>
    <w:basedOn w:val="DefaultParagraphFont"/>
    <w:uiPriority w:val="99"/>
    <w:semiHidden/>
    <w:unhideWhenUsed/>
    <w:rsid w:val="00380C2D"/>
    <w:rPr>
      <w:vertAlign w:val="superscript"/>
    </w:rPr>
  </w:style>
  <w:style w:type="character" w:styleId="Emphasis">
    <w:name w:val="Emphasis"/>
    <w:basedOn w:val="DefaultParagraphFont"/>
    <w:uiPriority w:val="20"/>
    <w:qFormat/>
    <w:rsid w:val="0004748A"/>
    <w:rPr>
      <w:i/>
      <w:iCs/>
    </w:rPr>
  </w:style>
  <w:style w:type="character" w:styleId="Hyperlink">
    <w:name w:val="Hyperlink"/>
    <w:basedOn w:val="DefaultParagraphFont"/>
    <w:uiPriority w:val="99"/>
    <w:semiHidden/>
    <w:unhideWhenUsed/>
    <w:rsid w:val="0004748A"/>
    <w:rPr>
      <w:color w:val="0000FF"/>
      <w:u w:val="single"/>
    </w:rPr>
  </w:style>
  <w:style w:type="character" w:customStyle="1" w:styleId="costarpage">
    <w:name w:val="co_starpage"/>
    <w:basedOn w:val="DefaultParagraphFont"/>
    <w:rsid w:val="0004748A"/>
  </w:style>
  <w:style w:type="paragraph" w:styleId="ListParagraph">
    <w:name w:val="List Paragraph"/>
    <w:basedOn w:val="Normal"/>
    <w:uiPriority w:val="34"/>
    <w:qFormat/>
    <w:rsid w:val="009A0991"/>
    <w:pPr>
      <w:ind w:left="720"/>
      <w:contextualSpacing/>
    </w:pPr>
  </w:style>
  <w:style w:type="character" w:styleId="CommentReference">
    <w:name w:val="annotation reference"/>
    <w:basedOn w:val="DefaultParagraphFont"/>
    <w:uiPriority w:val="99"/>
    <w:semiHidden/>
    <w:unhideWhenUsed/>
    <w:rsid w:val="006F2367"/>
    <w:rPr>
      <w:sz w:val="16"/>
      <w:szCs w:val="16"/>
    </w:rPr>
  </w:style>
  <w:style w:type="paragraph" w:styleId="CommentText">
    <w:name w:val="annotation text"/>
    <w:basedOn w:val="Normal"/>
    <w:link w:val="CommentTextChar"/>
    <w:uiPriority w:val="99"/>
    <w:semiHidden/>
    <w:unhideWhenUsed/>
    <w:rsid w:val="006F2367"/>
    <w:pPr>
      <w:spacing w:line="240" w:lineRule="auto"/>
    </w:pPr>
    <w:rPr>
      <w:sz w:val="20"/>
    </w:rPr>
  </w:style>
  <w:style w:type="character" w:customStyle="1" w:styleId="CommentTextChar">
    <w:name w:val="Comment Text Char"/>
    <w:basedOn w:val="DefaultParagraphFont"/>
    <w:link w:val="CommentText"/>
    <w:uiPriority w:val="99"/>
    <w:semiHidden/>
    <w:rsid w:val="006F2367"/>
  </w:style>
  <w:style w:type="paragraph" w:styleId="CommentSubject">
    <w:name w:val="annotation subject"/>
    <w:basedOn w:val="CommentText"/>
    <w:next w:val="CommentText"/>
    <w:link w:val="CommentSubjectChar"/>
    <w:uiPriority w:val="99"/>
    <w:semiHidden/>
    <w:unhideWhenUsed/>
    <w:rsid w:val="006F2367"/>
    <w:rPr>
      <w:b/>
      <w:bCs/>
    </w:rPr>
  </w:style>
  <w:style w:type="character" w:customStyle="1" w:styleId="CommentSubjectChar">
    <w:name w:val="Comment Subject Char"/>
    <w:basedOn w:val="CommentTextChar"/>
    <w:link w:val="CommentSubject"/>
    <w:uiPriority w:val="99"/>
    <w:semiHidden/>
    <w:rsid w:val="006F2367"/>
    <w:rPr>
      <w:b/>
      <w:bCs/>
    </w:rPr>
  </w:style>
  <w:style w:type="paragraph" w:styleId="Revision">
    <w:name w:val="Revision"/>
    <w:hidden/>
    <w:uiPriority w:val="99"/>
    <w:semiHidden/>
    <w:rsid w:val="006F2367"/>
    <w:rPr>
      <w:sz w:val="26"/>
    </w:rPr>
  </w:style>
  <w:style w:type="paragraph" w:styleId="BalloonText">
    <w:name w:val="Balloon Text"/>
    <w:basedOn w:val="Normal"/>
    <w:link w:val="BalloonTextChar"/>
    <w:uiPriority w:val="99"/>
    <w:semiHidden/>
    <w:unhideWhenUsed/>
    <w:rsid w:val="006F2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67"/>
    <w:rPr>
      <w:rFonts w:ascii="Segoe UI" w:hAnsi="Segoe UI" w:cs="Segoe UI"/>
      <w:sz w:val="18"/>
      <w:szCs w:val="18"/>
    </w:rPr>
  </w:style>
  <w:style w:type="character" w:customStyle="1" w:styleId="FootnoteTextChar">
    <w:name w:val="Footnote Text Char"/>
    <w:basedOn w:val="DefaultParagraphFont"/>
    <w:link w:val="FootnoteText"/>
    <w:uiPriority w:val="99"/>
    <w:semiHidden/>
    <w:rsid w:val="00C82B5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7570">
      <w:bodyDiv w:val="1"/>
      <w:marLeft w:val="0"/>
      <w:marRight w:val="0"/>
      <w:marTop w:val="0"/>
      <w:marBottom w:val="0"/>
      <w:divBdr>
        <w:top w:val="none" w:sz="0" w:space="0" w:color="auto"/>
        <w:left w:val="none" w:sz="0" w:space="0" w:color="auto"/>
        <w:bottom w:val="none" w:sz="0" w:space="0" w:color="auto"/>
        <w:right w:val="none" w:sz="0" w:space="0" w:color="auto"/>
      </w:divBdr>
    </w:div>
    <w:div w:id="454910191">
      <w:bodyDiv w:val="1"/>
      <w:marLeft w:val="0"/>
      <w:marRight w:val="0"/>
      <w:marTop w:val="0"/>
      <w:marBottom w:val="0"/>
      <w:divBdr>
        <w:top w:val="none" w:sz="0" w:space="0" w:color="auto"/>
        <w:left w:val="none" w:sz="0" w:space="0" w:color="auto"/>
        <w:bottom w:val="none" w:sz="0" w:space="0" w:color="auto"/>
        <w:right w:val="none" w:sz="0" w:space="0" w:color="auto"/>
      </w:divBdr>
    </w:div>
    <w:div w:id="716591065">
      <w:bodyDiv w:val="1"/>
      <w:marLeft w:val="0"/>
      <w:marRight w:val="0"/>
      <w:marTop w:val="0"/>
      <w:marBottom w:val="0"/>
      <w:divBdr>
        <w:top w:val="none" w:sz="0" w:space="0" w:color="auto"/>
        <w:left w:val="none" w:sz="0" w:space="0" w:color="auto"/>
        <w:bottom w:val="none" w:sz="0" w:space="0" w:color="auto"/>
        <w:right w:val="none" w:sz="0" w:space="0" w:color="auto"/>
      </w:divBdr>
    </w:div>
    <w:div w:id="816336683">
      <w:bodyDiv w:val="1"/>
      <w:marLeft w:val="0"/>
      <w:marRight w:val="0"/>
      <w:marTop w:val="0"/>
      <w:marBottom w:val="0"/>
      <w:divBdr>
        <w:top w:val="none" w:sz="0" w:space="0" w:color="auto"/>
        <w:left w:val="none" w:sz="0" w:space="0" w:color="auto"/>
        <w:bottom w:val="none" w:sz="0" w:space="0" w:color="auto"/>
        <w:right w:val="none" w:sz="0" w:space="0" w:color="auto"/>
      </w:divBdr>
    </w:div>
    <w:div w:id="922372019">
      <w:bodyDiv w:val="1"/>
      <w:marLeft w:val="0"/>
      <w:marRight w:val="0"/>
      <w:marTop w:val="0"/>
      <w:marBottom w:val="0"/>
      <w:divBdr>
        <w:top w:val="none" w:sz="0" w:space="0" w:color="auto"/>
        <w:left w:val="none" w:sz="0" w:space="0" w:color="auto"/>
        <w:bottom w:val="none" w:sz="0" w:space="0" w:color="auto"/>
        <w:right w:val="none" w:sz="0" w:space="0" w:color="auto"/>
      </w:divBdr>
    </w:div>
    <w:div w:id="927276314">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
        <w:div w:id="1638955258">
          <w:marLeft w:val="0"/>
          <w:marRight w:val="0"/>
          <w:marTop w:val="240"/>
          <w:marBottom w:val="0"/>
          <w:divBdr>
            <w:top w:val="none" w:sz="0" w:space="0" w:color="auto"/>
            <w:left w:val="none" w:sz="0" w:space="0" w:color="auto"/>
            <w:bottom w:val="none" w:sz="0" w:space="0" w:color="auto"/>
            <w:right w:val="none" w:sz="0" w:space="0" w:color="auto"/>
          </w:divBdr>
          <w:divsChild>
            <w:div w:id="1273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9385">
      <w:bodyDiv w:val="1"/>
      <w:marLeft w:val="0"/>
      <w:marRight w:val="0"/>
      <w:marTop w:val="0"/>
      <w:marBottom w:val="0"/>
      <w:divBdr>
        <w:top w:val="none" w:sz="0" w:space="0" w:color="auto"/>
        <w:left w:val="none" w:sz="0" w:space="0" w:color="auto"/>
        <w:bottom w:val="none" w:sz="0" w:space="0" w:color="auto"/>
        <w:right w:val="none" w:sz="0" w:space="0" w:color="auto"/>
      </w:divBdr>
    </w:div>
    <w:div w:id="1052731328">
      <w:bodyDiv w:val="1"/>
      <w:marLeft w:val="0"/>
      <w:marRight w:val="0"/>
      <w:marTop w:val="0"/>
      <w:marBottom w:val="0"/>
      <w:divBdr>
        <w:top w:val="none" w:sz="0" w:space="0" w:color="auto"/>
        <w:left w:val="none" w:sz="0" w:space="0" w:color="auto"/>
        <w:bottom w:val="none" w:sz="0" w:space="0" w:color="auto"/>
        <w:right w:val="none" w:sz="0" w:space="0" w:color="auto"/>
      </w:divBdr>
      <w:divsChild>
        <w:div w:id="1020350068">
          <w:marLeft w:val="0"/>
          <w:marRight w:val="0"/>
          <w:marTop w:val="0"/>
          <w:marBottom w:val="0"/>
          <w:divBdr>
            <w:top w:val="none" w:sz="0" w:space="0" w:color="auto"/>
            <w:left w:val="none" w:sz="0" w:space="0" w:color="auto"/>
            <w:bottom w:val="none" w:sz="0" w:space="0" w:color="auto"/>
            <w:right w:val="none" w:sz="0" w:space="0" w:color="auto"/>
          </w:divBdr>
        </w:div>
        <w:div w:id="281419483">
          <w:marLeft w:val="0"/>
          <w:marRight w:val="0"/>
          <w:marTop w:val="240"/>
          <w:marBottom w:val="0"/>
          <w:divBdr>
            <w:top w:val="none" w:sz="0" w:space="0" w:color="auto"/>
            <w:left w:val="none" w:sz="0" w:space="0" w:color="auto"/>
            <w:bottom w:val="none" w:sz="0" w:space="0" w:color="auto"/>
            <w:right w:val="none" w:sz="0" w:space="0" w:color="auto"/>
          </w:divBdr>
          <w:divsChild>
            <w:div w:id="12888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2195">
      <w:bodyDiv w:val="1"/>
      <w:marLeft w:val="0"/>
      <w:marRight w:val="0"/>
      <w:marTop w:val="0"/>
      <w:marBottom w:val="0"/>
      <w:divBdr>
        <w:top w:val="none" w:sz="0" w:space="0" w:color="auto"/>
        <w:left w:val="none" w:sz="0" w:space="0" w:color="auto"/>
        <w:bottom w:val="none" w:sz="0" w:space="0" w:color="auto"/>
        <w:right w:val="none" w:sz="0" w:space="0" w:color="auto"/>
      </w:divBdr>
    </w:div>
    <w:div w:id="1124077605">
      <w:bodyDiv w:val="1"/>
      <w:marLeft w:val="0"/>
      <w:marRight w:val="0"/>
      <w:marTop w:val="0"/>
      <w:marBottom w:val="0"/>
      <w:divBdr>
        <w:top w:val="none" w:sz="0" w:space="0" w:color="auto"/>
        <w:left w:val="none" w:sz="0" w:space="0" w:color="auto"/>
        <w:bottom w:val="none" w:sz="0" w:space="0" w:color="auto"/>
        <w:right w:val="none" w:sz="0" w:space="0" w:color="auto"/>
      </w:divBdr>
      <w:divsChild>
        <w:div w:id="1292636894">
          <w:marLeft w:val="0"/>
          <w:marRight w:val="0"/>
          <w:marTop w:val="240"/>
          <w:marBottom w:val="0"/>
          <w:divBdr>
            <w:top w:val="none" w:sz="0" w:space="0" w:color="auto"/>
            <w:left w:val="none" w:sz="0" w:space="0" w:color="auto"/>
            <w:bottom w:val="none" w:sz="0" w:space="0" w:color="auto"/>
            <w:right w:val="none" w:sz="0" w:space="0" w:color="auto"/>
          </w:divBdr>
          <w:divsChild>
            <w:div w:id="1018657803">
              <w:marLeft w:val="0"/>
              <w:marRight w:val="0"/>
              <w:marTop w:val="0"/>
              <w:marBottom w:val="0"/>
              <w:divBdr>
                <w:top w:val="none" w:sz="0" w:space="0" w:color="auto"/>
                <w:left w:val="none" w:sz="0" w:space="0" w:color="auto"/>
                <w:bottom w:val="none" w:sz="0" w:space="0" w:color="auto"/>
                <w:right w:val="none" w:sz="0" w:space="0" w:color="auto"/>
              </w:divBdr>
            </w:div>
          </w:divsChild>
        </w:div>
        <w:div w:id="703529008">
          <w:marLeft w:val="0"/>
          <w:marRight w:val="0"/>
          <w:marTop w:val="240"/>
          <w:marBottom w:val="0"/>
          <w:divBdr>
            <w:top w:val="none" w:sz="0" w:space="0" w:color="auto"/>
            <w:left w:val="none" w:sz="0" w:space="0" w:color="auto"/>
            <w:bottom w:val="none" w:sz="0" w:space="0" w:color="auto"/>
            <w:right w:val="none" w:sz="0" w:space="0" w:color="auto"/>
          </w:divBdr>
          <w:divsChild>
            <w:div w:id="17528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620">
      <w:bodyDiv w:val="1"/>
      <w:marLeft w:val="0"/>
      <w:marRight w:val="0"/>
      <w:marTop w:val="0"/>
      <w:marBottom w:val="0"/>
      <w:divBdr>
        <w:top w:val="none" w:sz="0" w:space="0" w:color="auto"/>
        <w:left w:val="none" w:sz="0" w:space="0" w:color="auto"/>
        <w:bottom w:val="none" w:sz="0" w:space="0" w:color="auto"/>
        <w:right w:val="none" w:sz="0" w:space="0" w:color="auto"/>
      </w:divBdr>
    </w:div>
    <w:div w:id="1945186828">
      <w:bodyDiv w:val="1"/>
      <w:marLeft w:val="0"/>
      <w:marRight w:val="0"/>
      <w:marTop w:val="0"/>
      <w:marBottom w:val="0"/>
      <w:divBdr>
        <w:top w:val="none" w:sz="0" w:space="0" w:color="auto"/>
        <w:left w:val="none" w:sz="0" w:space="0" w:color="auto"/>
        <w:bottom w:val="none" w:sz="0" w:space="0" w:color="auto"/>
        <w:right w:val="none" w:sz="0" w:space="0" w:color="auto"/>
      </w:divBdr>
    </w:div>
    <w:div w:id="20543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B42F-8308-4C74-AC55-B16D599B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7980</Words>
  <Characters>42888</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2018-08-24T17:12:00Z</cp:lastPrinted>
  <dcterms:created xsi:type="dcterms:W3CDTF">2018-08-24T17:51:00Z</dcterms:created>
  <dcterms:modified xsi:type="dcterms:W3CDTF">2018-08-24T20:39:00Z</dcterms:modified>
</cp:coreProperties>
</file>