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C8DA8" w14:textId="77777777" w:rsidR="002738C4" w:rsidRDefault="00AC1306" w:rsidP="00AC1306">
      <w:pPr>
        <w:tabs>
          <w:tab w:val="left" w:pos="1440"/>
          <w:tab w:val="left" w:pos="4680"/>
          <w:tab w:val="center" w:pos="7200"/>
        </w:tabs>
        <w:spacing w:after="0"/>
        <w:jc w:val="center"/>
        <w:rPr>
          <w:sz w:val="36"/>
        </w:rPr>
      </w:pPr>
      <w:bookmarkStart w:id="0" w:name="MarkDocLoc"/>
      <w:bookmarkEnd w:id="0"/>
      <w:r>
        <w:rPr>
          <w:b/>
          <w:sz w:val="36"/>
        </w:rPr>
        <w:t>IN THE SUPREME COURT OF CALIFORNIA</w:t>
      </w:r>
    </w:p>
    <w:p w14:paraId="6E631BD4" w14:textId="77777777" w:rsidR="00AC1306" w:rsidRDefault="00AC1306" w:rsidP="00AC1306">
      <w:pPr>
        <w:tabs>
          <w:tab w:val="left" w:pos="1440"/>
          <w:tab w:val="left" w:pos="4680"/>
          <w:tab w:val="center" w:pos="7200"/>
        </w:tabs>
        <w:spacing w:after="0"/>
        <w:jc w:val="center"/>
      </w:pPr>
    </w:p>
    <w:p w14:paraId="6B2F7DE3" w14:textId="77777777" w:rsidR="00AC1306" w:rsidRDefault="00AC1306" w:rsidP="00AC1306">
      <w:pPr>
        <w:tabs>
          <w:tab w:val="left" w:pos="1440"/>
          <w:tab w:val="left" w:pos="4680"/>
          <w:tab w:val="center" w:pos="7200"/>
        </w:tabs>
        <w:spacing w:after="0"/>
        <w:jc w:val="center"/>
      </w:pPr>
      <w:r>
        <w:t>SWEETWATER UNION HIGH SCHOOL DISTRICT</w:t>
      </w:r>
      <w:r w:rsidR="00A959A4">
        <w:t>,</w:t>
      </w:r>
    </w:p>
    <w:p w14:paraId="17FD60A2" w14:textId="77777777" w:rsidR="00AC1306" w:rsidRDefault="00AC1306" w:rsidP="00AC1306">
      <w:pPr>
        <w:tabs>
          <w:tab w:val="left" w:pos="1440"/>
          <w:tab w:val="left" w:pos="4680"/>
          <w:tab w:val="center" w:pos="7200"/>
        </w:tabs>
        <w:spacing w:after="0"/>
        <w:jc w:val="center"/>
      </w:pPr>
      <w:r>
        <w:t>Plaintiff and Respondent</w:t>
      </w:r>
      <w:r w:rsidR="00A959A4">
        <w:t>,</w:t>
      </w:r>
    </w:p>
    <w:p w14:paraId="6E70E15E" w14:textId="77777777" w:rsidR="00AC1306" w:rsidRDefault="00AC1306" w:rsidP="00AC1306">
      <w:pPr>
        <w:tabs>
          <w:tab w:val="left" w:pos="1440"/>
          <w:tab w:val="left" w:pos="4680"/>
          <w:tab w:val="center" w:pos="7200"/>
        </w:tabs>
        <w:spacing w:after="0"/>
        <w:jc w:val="center"/>
      </w:pPr>
      <w:r>
        <w:t>v.</w:t>
      </w:r>
    </w:p>
    <w:p w14:paraId="7B82CE07" w14:textId="77777777" w:rsidR="00AC1306" w:rsidRDefault="00AC1306" w:rsidP="00AC1306">
      <w:pPr>
        <w:tabs>
          <w:tab w:val="left" w:pos="1440"/>
          <w:tab w:val="left" w:pos="4680"/>
          <w:tab w:val="center" w:pos="7200"/>
        </w:tabs>
        <w:spacing w:after="0"/>
        <w:jc w:val="center"/>
      </w:pPr>
      <w:r>
        <w:t>GILBANE BUILDING COMPANY et al.</w:t>
      </w:r>
      <w:r w:rsidR="00A959A4">
        <w:t>,</w:t>
      </w:r>
    </w:p>
    <w:p w14:paraId="6426DE8C" w14:textId="77777777" w:rsidR="00AC1306" w:rsidRDefault="00AC1306" w:rsidP="00AC1306">
      <w:pPr>
        <w:tabs>
          <w:tab w:val="left" w:pos="1440"/>
          <w:tab w:val="left" w:pos="4680"/>
          <w:tab w:val="center" w:pos="7200"/>
        </w:tabs>
        <w:spacing w:after="0"/>
        <w:jc w:val="center"/>
      </w:pPr>
      <w:r>
        <w:t>Defendants and Appellants.</w:t>
      </w:r>
    </w:p>
    <w:p w14:paraId="42349260" w14:textId="77777777" w:rsidR="00AC1306" w:rsidRDefault="00AC1306" w:rsidP="00AC1306">
      <w:pPr>
        <w:tabs>
          <w:tab w:val="left" w:pos="1440"/>
          <w:tab w:val="left" w:pos="4680"/>
          <w:tab w:val="center" w:pos="7200"/>
        </w:tabs>
        <w:spacing w:after="0"/>
        <w:jc w:val="center"/>
      </w:pPr>
    </w:p>
    <w:p w14:paraId="75E04DD4" w14:textId="77777777" w:rsidR="00AC1306" w:rsidRDefault="00AC1306" w:rsidP="00AC1306">
      <w:pPr>
        <w:tabs>
          <w:tab w:val="left" w:pos="1440"/>
          <w:tab w:val="left" w:pos="4680"/>
          <w:tab w:val="center" w:pos="7200"/>
        </w:tabs>
        <w:spacing w:after="0"/>
        <w:jc w:val="center"/>
      </w:pPr>
      <w:r>
        <w:t>S233526</w:t>
      </w:r>
    </w:p>
    <w:p w14:paraId="3916BFDE" w14:textId="77777777" w:rsidR="00AC1306" w:rsidRDefault="00AC1306" w:rsidP="00AC1306">
      <w:pPr>
        <w:tabs>
          <w:tab w:val="left" w:pos="1440"/>
          <w:tab w:val="left" w:pos="4680"/>
          <w:tab w:val="center" w:pos="7200"/>
        </w:tabs>
        <w:spacing w:after="0"/>
        <w:jc w:val="center"/>
      </w:pPr>
    </w:p>
    <w:p w14:paraId="38CB793F" w14:textId="77777777" w:rsidR="00AC1306" w:rsidRDefault="00AC1306" w:rsidP="00AC1306">
      <w:pPr>
        <w:tabs>
          <w:tab w:val="left" w:pos="1440"/>
          <w:tab w:val="left" w:pos="4680"/>
          <w:tab w:val="center" w:pos="7200"/>
        </w:tabs>
        <w:spacing w:after="0"/>
        <w:jc w:val="center"/>
      </w:pPr>
      <w:r>
        <w:t>Fourth Appellate District, Division One</w:t>
      </w:r>
    </w:p>
    <w:p w14:paraId="70F7384E" w14:textId="77777777" w:rsidR="00AC1306" w:rsidRDefault="00AC1306" w:rsidP="00AC1306">
      <w:pPr>
        <w:tabs>
          <w:tab w:val="left" w:pos="1440"/>
          <w:tab w:val="left" w:pos="4680"/>
          <w:tab w:val="center" w:pos="7200"/>
        </w:tabs>
        <w:spacing w:after="0"/>
        <w:jc w:val="center"/>
      </w:pPr>
      <w:r>
        <w:t>D067383</w:t>
      </w:r>
    </w:p>
    <w:p w14:paraId="5738010B" w14:textId="77777777" w:rsidR="00AC1306" w:rsidRDefault="00AC1306" w:rsidP="00AC1306">
      <w:pPr>
        <w:tabs>
          <w:tab w:val="left" w:pos="1440"/>
          <w:tab w:val="left" w:pos="4680"/>
          <w:tab w:val="center" w:pos="7200"/>
        </w:tabs>
        <w:spacing w:after="0"/>
        <w:jc w:val="center"/>
      </w:pPr>
    </w:p>
    <w:p w14:paraId="1A8CF4D1" w14:textId="77777777" w:rsidR="00AC1306" w:rsidRDefault="00AC1306" w:rsidP="00AC1306">
      <w:pPr>
        <w:tabs>
          <w:tab w:val="left" w:pos="1440"/>
          <w:tab w:val="left" w:pos="4680"/>
          <w:tab w:val="center" w:pos="7200"/>
        </w:tabs>
        <w:spacing w:after="0"/>
        <w:jc w:val="center"/>
      </w:pPr>
      <w:r>
        <w:t>San Diego County</w:t>
      </w:r>
      <w:r w:rsidR="00A959A4">
        <w:t xml:space="preserve"> Superior Court</w:t>
      </w:r>
    </w:p>
    <w:p w14:paraId="2C98A608" w14:textId="77777777" w:rsidR="00AC1306" w:rsidRDefault="00AC1306" w:rsidP="00AC1306">
      <w:pPr>
        <w:tabs>
          <w:tab w:val="left" w:pos="1440"/>
          <w:tab w:val="left" w:pos="4680"/>
          <w:tab w:val="center" w:pos="7200"/>
        </w:tabs>
        <w:spacing w:after="0"/>
        <w:jc w:val="center"/>
      </w:pPr>
      <w:r>
        <w:t>37-2014-00025070-CU-MC-CTL</w:t>
      </w:r>
    </w:p>
    <w:p w14:paraId="77264BE8" w14:textId="77777777" w:rsidR="00AC1306" w:rsidRDefault="00AC1306" w:rsidP="00AC1306">
      <w:pPr>
        <w:pBdr>
          <w:bottom w:val="single" w:sz="4" w:space="1" w:color="auto"/>
        </w:pBdr>
        <w:tabs>
          <w:tab w:val="left" w:pos="1440"/>
          <w:tab w:val="left" w:pos="4680"/>
          <w:tab w:val="center" w:pos="7200"/>
        </w:tabs>
        <w:spacing w:after="0"/>
        <w:jc w:val="center"/>
      </w:pPr>
    </w:p>
    <w:p w14:paraId="133AFCAB" w14:textId="77777777" w:rsidR="00AC1306" w:rsidRDefault="00AC1306" w:rsidP="00AC1306">
      <w:pPr>
        <w:tabs>
          <w:tab w:val="left" w:pos="1440"/>
          <w:tab w:val="left" w:pos="4680"/>
          <w:tab w:val="center" w:pos="7200"/>
        </w:tabs>
        <w:spacing w:after="0"/>
        <w:jc w:val="center"/>
      </w:pPr>
    </w:p>
    <w:p w14:paraId="58FBE97C" w14:textId="77777777" w:rsidR="00AC1306" w:rsidRDefault="00FA703F" w:rsidP="00AC1306">
      <w:pPr>
        <w:tabs>
          <w:tab w:val="left" w:pos="1440"/>
          <w:tab w:val="left" w:pos="4680"/>
          <w:tab w:val="center" w:pos="7200"/>
        </w:tabs>
        <w:spacing w:after="0"/>
        <w:jc w:val="center"/>
      </w:pPr>
      <w:r>
        <w:t>February 28</w:t>
      </w:r>
      <w:r w:rsidR="00AC1306">
        <w:t>, 201</w:t>
      </w:r>
      <w:r w:rsidR="002417CE">
        <w:t>9</w:t>
      </w:r>
    </w:p>
    <w:p w14:paraId="5339312F" w14:textId="77777777" w:rsidR="00AC1306" w:rsidRDefault="00AC1306" w:rsidP="00AC1306">
      <w:pPr>
        <w:tabs>
          <w:tab w:val="left" w:pos="1440"/>
          <w:tab w:val="left" w:pos="4680"/>
          <w:tab w:val="center" w:pos="7200"/>
        </w:tabs>
        <w:spacing w:after="0"/>
        <w:jc w:val="center"/>
      </w:pPr>
    </w:p>
    <w:p w14:paraId="413EF445" w14:textId="272DD07D" w:rsidR="00BF7168" w:rsidRDefault="00AC1306" w:rsidP="00AC1306">
      <w:pPr>
        <w:tabs>
          <w:tab w:val="left" w:pos="1440"/>
          <w:tab w:val="left" w:pos="4680"/>
          <w:tab w:val="center" w:pos="7200"/>
        </w:tabs>
        <w:spacing w:after="0"/>
        <w:jc w:val="left"/>
      </w:pPr>
      <w:r>
        <w:t xml:space="preserve">Justice Corrigan authored the opinion of the court, in which </w:t>
      </w:r>
      <w:r w:rsidR="00FA703F">
        <w:t>Chief Justice Cantil-Sakauye and Justices Chin, Liu, Cuéllar, Kruger, and Manella</w:t>
      </w:r>
      <w:r w:rsidR="00FA703F">
        <w:rPr>
          <w:rStyle w:val="FootnoteReference"/>
        </w:rPr>
        <w:footnoteReference w:id="2"/>
      </w:r>
      <w:r>
        <w:t xml:space="preserve"> concurred.</w:t>
      </w:r>
    </w:p>
    <w:p w14:paraId="0109282C" w14:textId="77C46DBE" w:rsidR="00C07CC5" w:rsidRDefault="00C07CC5" w:rsidP="00AC1306">
      <w:pPr>
        <w:tabs>
          <w:tab w:val="left" w:pos="1440"/>
          <w:tab w:val="left" w:pos="4680"/>
          <w:tab w:val="center" w:pos="7200"/>
        </w:tabs>
        <w:spacing w:after="0"/>
        <w:jc w:val="left"/>
      </w:pPr>
      <w:r>
        <w:t>____</w:t>
      </w:r>
      <w:bookmarkStart w:id="1" w:name="_GoBack"/>
      <w:bookmarkEnd w:id="1"/>
      <w:r>
        <w:t>______________________________________________________</w:t>
      </w:r>
    </w:p>
    <w:p w14:paraId="5420AA92" w14:textId="11A34FF4" w:rsidR="00C07CC5" w:rsidRDefault="00C07CC5" w:rsidP="00AC1306">
      <w:pPr>
        <w:tabs>
          <w:tab w:val="left" w:pos="1440"/>
          <w:tab w:val="left" w:pos="4680"/>
          <w:tab w:val="center" w:pos="7200"/>
        </w:tabs>
        <w:spacing w:after="0"/>
        <w:jc w:val="left"/>
        <w:sectPr w:rsidR="00C07CC5" w:rsidSect="00AC1306">
          <w:headerReference w:type="even" r:id="rId7"/>
          <w:headerReference w:type="default" r:id="rId8"/>
          <w:footerReference w:type="even" r:id="rId9"/>
          <w:footerReference w:type="default" r:id="rId10"/>
          <w:headerReference w:type="first" r:id="rId11"/>
          <w:footerReference w:type="first" r:id="rId12"/>
          <w:footnotePr>
            <w:numFmt w:val="chicago"/>
            <w:numRestart w:val="eachSect"/>
          </w:footnotePr>
          <w:pgSz w:w="12240" w:h="15840"/>
          <w:pgMar w:top="1800" w:right="2160" w:bottom="1440" w:left="2160" w:header="720" w:footer="720" w:gutter="0"/>
          <w:cols w:space="720"/>
          <w:titlePg/>
          <w:docGrid w:linePitch="367"/>
        </w:sectPr>
      </w:pPr>
    </w:p>
    <w:p w14:paraId="043C7C5C" w14:textId="77777777" w:rsidR="00AC1306" w:rsidRDefault="00AC1306">
      <w:pPr>
        <w:tabs>
          <w:tab w:val="left" w:pos="1440"/>
          <w:tab w:val="left" w:pos="4680"/>
          <w:tab w:val="center" w:pos="7200"/>
        </w:tabs>
        <w:spacing w:line="480" w:lineRule="atLeast"/>
        <w:sectPr w:rsidR="00AC1306" w:rsidSect="00BF7168">
          <w:footnotePr>
            <w:numFmt w:val="chicago"/>
            <w:numRestart w:val="eachSect"/>
          </w:footnotePr>
          <w:type w:val="continuous"/>
          <w:pgSz w:w="12240" w:h="15840"/>
          <w:pgMar w:top="1800" w:right="2160" w:bottom="1440" w:left="2160" w:header="720" w:footer="720" w:gutter="0"/>
          <w:cols w:space="720"/>
          <w:titlePg/>
          <w:docGrid w:linePitch="367"/>
        </w:sectPr>
      </w:pPr>
      <w:bookmarkStart w:id="2" w:name="Return"/>
      <w:bookmarkEnd w:id="2"/>
    </w:p>
    <w:p w14:paraId="1F7B7651" w14:textId="77777777" w:rsidR="00AC1306" w:rsidRDefault="00AC1306" w:rsidP="00AC1306">
      <w:pPr>
        <w:tabs>
          <w:tab w:val="left" w:pos="1440"/>
          <w:tab w:val="left" w:pos="4680"/>
          <w:tab w:val="center" w:pos="7200"/>
        </w:tabs>
        <w:jc w:val="center"/>
      </w:pPr>
      <w:r>
        <w:t>SWEETWATER UNION HIGH SCHOOL DISTRICT v.</w:t>
      </w:r>
      <w:r w:rsidR="00AB5119">
        <w:t xml:space="preserve"> GILBANE BUILDING COMPANY</w:t>
      </w:r>
    </w:p>
    <w:p w14:paraId="5E76D14C" w14:textId="77777777" w:rsidR="00AC1306" w:rsidRDefault="00AC1306" w:rsidP="00AC1306">
      <w:pPr>
        <w:tabs>
          <w:tab w:val="left" w:pos="1440"/>
          <w:tab w:val="left" w:pos="4680"/>
          <w:tab w:val="center" w:pos="7200"/>
        </w:tabs>
        <w:jc w:val="center"/>
      </w:pPr>
      <w:r>
        <w:t>S233526</w:t>
      </w:r>
    </w:p>
    <w:p w14:paraId="0F484294" w14:textId="77777777" w:rsidR="00AC1306" w:rsidRDefault="00AC1306" w:rsidP="00AC1306">
      <w:pPr>
        <w:tabs>
          <w:tab w:val="left" w:pos="1440"/>
          <w:tab w:val="left" w:pos="4680"/>
          <w:tab w:val="center" w:pos="7200"/>
        </w:tabs>
        <w:jc w:val="center"/>
      </w:pPr>
    </w:p>
    <w:p w14:paraId="622EE5CE" w14:textId="77777777" w:rsidR="00AC1306" w:rsidRDefault="00AC1306" w:rsidP="00AC1306">
      <w:pPr>
        <w:tabs>
          <w:tab w:val="left" w:pos="1440"/>
          <w:tab w:val="left" w:pos="4680"/>
          <w:tab w:val="center" w:pos="7200"/>
        </w:tabs>
        <w:jc w:val="center"/>
      </w:pPr>
      <w:r>
        <w:t>Opinion of the Court by Corrigan, J.</w:t>
      </w:r>
    </w:p>
    <w:p w14:paraId="3C32F8F6" w14:textId="77777777" w:rsidR="00AC1306" w:rsidRPr="00AC1306" w:rsidRDefault="00AC1306" w:rsidP="00AC1306">
      <w:pPr>
        <w:tabs>
          <w:tab w:val="left" w:pos="1440"/>
          <w:tab w:val="left" w:pos="4680"/>
          <w:tab w:val="center" w:pos="7200"/>
        </w:tabs>
        <w:jc w:val="center"/>
      </w:pPr>
    </w:p>
    <w:p w14:paraId="0A85C924" w14:textId="77777777" w:rsidR="003000DA" w:rsidRPr="00AC1306" w:rsidRDefault="00F2141E" w:rsidP="00AC1306">
      <w:pPr>
        <w:tabs>
          <w:tab w:val="left" w:pos="1440"/>
        </w:tabs>
        <w:ind w:firstLine="720"/>
      </w:pPr>
      <w:bookmarkStart w:id="3" w:name="mainstory"/>
      <w:bookmarkEnd w:id="3"/>
      <w:r>
        <w:t>The narrow question here is what kind of evidence a court may consider in ruling on a pretrial anti-SLAPP motion</w:t>
      </w:r>
      <w:r w:rsidR="00BB661B">
        <w:t xml:space="preserve"> </w:t>
      </w:r>
      <w:r w:rsidR="00907B3F">
        <w:t>in determining a</w:t>
      </w:r>
      <w:r w:rsidR="00BB661B">
        <w:t xml:space="preserve"> plaintiff’s probability of success</w:t>
      </w:r>
      <w:r>
        <w:t xml:space="preserve">.  The inquiry has two aspects.  One addresses the form in which the evidence is produced in connection with the motion.  The other evaluates whether that evidence will be admissible at an eventual trial.  We conclude the evidence produced by plaintiff </w:t>
      </w:r>
      <w:r w:rsidR="00877AEA">
        <w:t xml:space="preserve">Sweetwater Union High School District (the District) </w:t>
      </w:r>
      <w:r>
        <w:t xml:space="preserve">was </w:t>
      </w:r>
      <w:proofErr w:type="gramStart"/>
      <w:r>
        <w:t>properly considered</w:t>
      </w:r>
      <w:proofErr w:type="gramEnd"/>
      <w:r>
        <w:t xml:space="preserve"> and affirm the Court of Appeal’s judgment.  </w:t>
      </w:r>
    </w:p>
    <w:p w14:paraId="49822067" w14:textId="77777777" w:rsidR="003000DA" w:rsidRPr="00AC1306" w:rsidRDefault="003000DA" w:rsidP="00AC1306">
      <w:pPr>
        <w:pStyle w:val="Heading1"/>
        <w:rPr>
          <w:b w:val="0"/>
        </w:rPr>
      </w:pPr>
      <w:r w:rsidRPr="00AC1306">
        <w:rPr>
          <w:b w:val="0"/>
        </w:rPr>
        <w:t>I.  BACKGROUND</w:t>
      </w:r>
    </w:p>
    <w:p w14:paraId="2021DD58" w14:textId="77777777" w:rsidR="003000DA" w:rsidRPr="00AC1306" w:rsidRDefault="006A50C9" w:rsidP="00AC1306">
      <w:pPr>
        <w:tabs>
          <w:tab w:val="left" w:pos="1440"/>
        </w:tabs>
        <w:ind w:firstLine="720"/>
      </w:pPr>
      <w:r w:rsidRPr="00AC1306">
        <w:t xml:space="preserve">In November 2006, voters approved </w:t>
      </w:r>
      <w:r w:rsidR="00665C36" w:rsidRPr="00AC1306">
        <w:t>Proposition O</w:t>
      </w:r>
      <w:r w:rsidR="00D56A91" w:rsidRPr="00AC1306">
        <w:t>, a bond measure to fund</w:t>
      </w:r>
      <w:r w:rsidR="00665C36" w:rsidRPr="00AC1306">
        <w:t xml:space="preserve"> </w:t>
      </w:r>
      <w:r w:rsidRPr="00AC1306">
        <w:t xml:space="preserve">capital improvements in </w:t>
      </w:r>
      <w:r w:rsidR="00932E40">
        <w:t xml:space="preserve">the </w:t>
      </w:r>
      <w:r w:rsidR="00B63541">
        <w:t>District</w:t>
      </w:r>
      <w:r w:rsidRPr="00AC1306">
        <w:t xml:space="preserve">.  </w:t>
      </w:r>
      <w:r w:rsidR="00C475C4" w:rsidRPr="00AC1306">
        <w:t xml:space="preserve">The District solicited </w:t>
      </w:r>
      <w:r w:rsidRPr="00AC1306">
        <w:t>bids to manage various construction p</w:t>
      </w:r>
      <w:r w:rsidR="00CB77FA" w:rsidRPr="00AC1306">
        <w:t>rojects funded by the measure</w:t>
      </w:r>
      <w:r w:rsidR="00C475C4" w:rsidRPr="00AC1306">
        <w:t xml:space="preserve">.  It received </w:t>
      </w:r>
      <w:r w:rsidR="00CB77FA" w:rsidRPr="00AC1306">
        <w:t xml:space="preserve">seven proposals, including </w:t>
      </w:r>
      <w:r w:rsidR="00762D96">
        <w:t>a joint submission</w:t>
      </w:r>
      <w:r w:rsidR="006837F2">
        <w:t xml:space="preserve"> from </w:t>
      </w:r>
      <w:r w:rsidR="00FB3199">
        <w:t xml:space="preserve">defendants </w:t>
      </w:r>
      <w:r w:rsidR="006837F2">
        <w:t xml:space="preserve">Gilbane Building Company (Gilbane), The Seville Group, Inc. (SGI), and Gilbane/SGI, a joint venture (the Joint Venture).  </w:t>
      </w:r>
      <w:r w:rsidR="00C475C4" w:rsidRPr="00AC1306">
        <w:t xml:space="preserve">A </w:t>
      </w:r>
      <w:r w:rsidR="008D5FD7" w:rsidRPr="00AC1306">
        <w:t>screening committee</w:t>
      </w:r>
      <w:r w:rsidR="00C475C4" w:rsidRPr="00AC1306">
        <w:t xml:space="preserve"> selected three finalists</w:t>
      </w:r>
      <w:r w:rsidR="008D5FD7" w:rsidRPr="00AC1306">
        <w:t xml:space="preserve">.  </w:t>
      </w:r>
      <w:r w:rsidR="00846E17">
        <w:t>The</w:t>
      </w:r>
      <w:r w:rsidR="008D5FD7" w:rsidRPr="00AC1306">
        <w:t xml:space="preserve"> final r</w:t>
      </w:r>
      <w:r w:rsidR="005D7681">
        <w:t>eview committee, consisting of School S</w:t>
      </w:r>
      <w:r w:rsidR="008D5FD7" w:rsidRPr="00AC1306">
        <w:t>uperintendent Jesus Gandara and three others</w:t>
      </w:r>
      <w:r w:rsidR="00DD0BF0" w:rsidRPr="00AC1306">
        <w:t>,</w:t>
      </w:r>
      <w:r w:rsidR="008D5FD7" w:rsidRPr="00AC1306">
        <w:t xml:space="preserve"> selected </w:t>
      </w:r>
      <w:r w:rsidR="003B44A2" w:rsidRPr="00AC1306">
        <w:t>d</w:t>
      </w:r>
      <w:r w:rsidR="008D5FD7" w:rsidRPr="00AC1306">
        <w:t xml:space="preserve">efendants’ proposal </w:t>
      </w:r>
      <w:r w:rsidR="00DD0BF0" w:rsidRPr="00AC1306">
        <w:t xml:space="preserve">as the winning bid.  Gandara </w:t>
      </w:r>
      <w:r w:rsidR="00E619F8">
        <w:t>was authorized</w:t>
      </w:r>
      <w:r w:rsidR="00DD0BF0" w:rsidRPr="00AC1306">
        <w:t xml:space="preserve"> to negotiate a contract.  The </w:t>
      </w:r>
      <w:r w:rsidR="00E619F8">
        <w:t xml:space="preserve">District </w:t>
      </w:r>
      <w:r w:rsidR="00181107">
        <w:t>b</w:t>
      </w:r>
      <w:r w:rsidR="00DD0BF0" w:rsidRPr="00AC1306">
        <w:t>oard</w:t>
      </w:r>
      <w:r w:rsidR="003B44A2" w:rsidRPr="00AC1306">
        <w:t xml:space="preserve"> ultimately </w:t>
      </w:r>
      <w:r w:rsidR="00DD0BF0" w:rsidRPr="00AC1306">
        <w:t>a</w:t>
      </w:r>
      <w:r w:rsidR="00D826EF" w:rsidRPr="00AC1306">
        <w:t xml:space="preserve">pproved </w:t>
      </w:r>
      <w:proofErr w:type="gramStart"/>
      <w:r w:rsidR="00D826EF" w:rsidRPr="00AC1306">
        <w:t>several</w:t>
      </w:r>
      <w:proofErr w:type="gramEnd"/>
      <w:r w:rsidR="00D826EF" w:rsidRPr="00AC1306">
        <w:t xml:space="preserve"> contracts with d</w:t>
      </w:r>
      <w:r w:rsidR="00DD0BF0" w:rsidRPr="00AC1306">
        <w:t xml:space="preserve">efendants to </w:t>
      </w:r>
      <w:r w:rsidR="003B44A2" w:rsidRPr="00AC1306">
        <w:lastRenderedPageBreak/>
        <w:t>manage</w:t>
      </w:r>
      <w:r w:rsidR="00DD0BF0" w:rsidRPr="00AC1306">
        <w:t xml:space="preserve"> projects arising from </w:t>
      </w:r>
      <w:r w:rsidR="00665C36" w:rsidRPr="00AC1306">
        <w:t>Proposition O</w:t>
      </w:r>
      <w:r w:rsidR="00DD0BF0" w:rsidRPr="00AC1306">
        <w:t xml:space="preserve"> </w:t>
      </w:r>
      <w:r w:rsidR="003B44A2" w:rsidRPr="00AC1306">
        <w:t>and a previous</w:t>
      </w:r>
      <w:r w:rsidR="00DD0BF0" w:rsidRPr="00AC1306">
        <w:t xml:space="preserve"> measure.  </w:t>
      </w:r>
    </w:p>
    <w:p w14:paraId="4E354F36" w14:textId="77777777" w:rsidR="006A50C9" w:rsidRPr="00AC1306" w:rsidRDefault="0043315E" w:rsidP="00AC1306">
      <w:pPr>
        <w:tabs>
          <w:tab w:val="left" w:pos="1440"/>
        </w:tabs>
        <w:ind w:firstLine="720"/>
      </w:pPr>
      <w:r>
        <w:t>A</w:t>
      </w:r>
      <w:r w:rsidR="00E9017C" w:rsidRPr="00AC1306">
        <w:t xml:space="preserve"> criminal</w:t>
      </w:r>
      <w:r w:rsidR="0040235B" w:rsidRPr="00AC1306">
        <w:t xml:space="preserve"> bribery</w:t>
      </w:r>
      <w:r w:rsidR="00E9017C" w:rsidRPr="00AC1306">
        <w:t xml:space="preserve"> investigation into the awarding of the contracts</w:t>
      </w:r>
      <w:r w:rsidR="009127F0">
        <w:t xml:space="preserve"> resulted in </w:t>
      </w:r>
      <w:proofErr w:type="gramStart"/>
      <w:r w:rsidR="009127F0">
        <w:t>an</w:t>
      </w:r>
      <w:r w:rsidR="00805CEC" w:rsidRPr="00AC1306">
        <w:t xml:space="preserve"> indictment</w:t>
      </w:r>
      <w:proofErr w:type="gramEnd"/>
      <w:r w:rsidR="009127F0">
        <w:t>.  A</w:t>
      </w:r>
      <w:r w:rsidR="004841D7" w:rsidRPr="00AC1306">
        <w:t xml:space="preserve"> number of </w:t>
      </w:r>
      <w:r w:rsidR="00E9017C" w:rsidRPr="00AC1306">
        <w:t>guilty or no contest pleas</w:t>
      </w:r>
      <w:r w:rsidR="009127F0">
        <w:t xml:space="preserve"> followed</w:t>
      </w:r>
      <w:r w:rsidR="004841D7" w:rsidRPr="00AC1306">
        <w:t>,</w:t>
      </w:r>
      <w:r w:rsidR="00E9017C" w:rsidRPr="00AC1306">
        <w:t xml:space="preserve"> including </w:t>
      </w:r>
      <w:r w:rsidR="004841D7" w:rsidRPr="00AC1306">
        <w:t xml:space="preserve">those of </w:t>
      </w:r>
      <w:r w:rsidR="00E9017C" w:rsidRPr="00AC1306">
        <w:t>Superintendent Gandara</w:t>
      </w:r>
      <w:r w:rsidR="004841D7" w:rsidRPr="00AC1306">
        <w:t>,</w:t>
      </w:r>
      <w:r w:rsidR="004402BB">
        <w:t xml:space="preserve"> b</w:t>
      </w:r>
      <w:r w:rsidR="00E9017C" w:rsidRPr="00AC1306">
        <w:t xml:space="preserve">oard </w:t>
      </w:r>
      <w:r w:rsidR="004402BB">
        <w:t xml:space="preserve">of </w:t>
      </w:r>
      <w:proofErr w:type="gramStart"/>
      <w:r w:rsidR="004402BB">
        <w:t>t</w:t>
      </w:r>
      <w:r w:rsidR="00E9017C" w:rsidRPr="00AC1306">
        <w:t>rustees</w:t>
      </w:r>
      <w:proofErr w:type="gramEnd"/>
      <w:r w:rsidR="00E9017C" w:rsidRPr="00AC1306">
        <w:t xml:space="preserve"> </w:t>
      </w:r>
      <w:r w:rsidR="004402BB">
        <w:t xml:space="preserve">members </w:t>
      </w:r>
      <w:r w:rsidR="004841D7" w:rsidRPr="00AC1306">
        <w:t xml:space="preserve">Pearl </w:t>
      </w:r>
      <w:r w:rsidR="00E9017C" w:rsidRPr="00AC1306">
        <w:t xml:space="preserve">Quinones, </w:t>
      </w:r>
      <w:r w:rsidR="004841D7" w:rsidRPr="00AC1306">
        <w:t xml:space="preserve">Arlie </w:t>
      </w:r>
      <w:proofErr w:type="spellStart"/>
      <w:r w:rsidR="00E9017C" w:rsidRPr="00AC1306">
        <w:t>Ricasa</w:t>
      </w:r>
      <w:proofErr w:type="spellEnd"/>
      <w:r w:rsidR="00E9017C" w:rsidRPr="00AC1306">
        <w:t xml:space="preserve">, and </w:t>
      </w:r>
      <w:r w:rsidR="004841D7" w:rsidRPr="00AC1306">
        <w:t>Greg</w:t>
      </w:r>
      <w:r w:rsidR="008B22BD" w:rsidRPr="00AC1306">
        <w:t>ory</w:t>
      </w:r>
      <w:r w:rsidR="004841D7" w:rsidRPr="00AC1306">
        <w:t xml:space="preserve"> </w:t>
      </w:r>
      <w:r w:rsidR="00E9017C" w:rsidRPr="00AC1306">
        <w:t>Sandoval</w:t>
      </w:r>
      <w:r w:rsidR="004841D7" w:rsidRPr="00AC1306">
        <w:t xml:space="preserve">, as well as Gilbane </w:t>
      </w:r>
      <w:r w:rsidR="00A767CD">
        <w:t>program d</w:t>
      </w:r>
      <w:r w:rsidR="004841D7" w:rsidRPr="00AC1306">
        <w:t>irector</w:t>
      </w:r>
      <w:r w:rsidR="00E9017C" w:rsidRPr="00AC1306">
        <w:t xml:space="preserve"> </w:t>
      </w:r>
      <w:r w:rsidR="00851FE7" w:rsidRPr="00AC1306">
        <w:t xml:space="preserve">Henry </w:t>
      </w:r>
      <w:proofErr w:type="spellStart"/>
      <w:r w:rsidR="00851FE7" w:rsidRPr="00AC1306">
        <w:t>Amigable</w:t>
      </w:r>
      <w:proofErr w:type="spellEnd"/>
      <w:r w:rsidR="004841D7" w:rsidRPr="00AC1306">
        <w:t xml:space="preserve"> and SGI </w:t>
      </w:r>
      <w:r w:rsidR="00A767CD">
        <w:t>c</w:t>
      </w:r>
      <w:r w:rsidR="004841D7" w:rsidRPr="00AC1306">
        <w:t xml:space="preserve">hief </w:t>
      </w:r>
      <w:r w:rsidR="00A767CD">
        <w:t>e</w:t>
      </w:r>
      <w:r w:rsidR="004841D7" w:rsidRPr="00AC1306">
        <w:t xml:space="preserve">xecutive </w:t>
      </w:r>
      <w:r w:rsidR="00A767CD">
        <w:t>o</w:t>
      </w:r>
      <w:r w:rsidR="004841D7" w:rsidRPr="00AC1306">
        <w:t xml:space="preserve">fficer </w:t>
      </w:r>
      <w:r w:rsidR="00851FE7" w:rsidRPr="00AC1306">
        <w:t xml:space="preserve">Rene Flores.  </w:t>
      </w:r>
    </w:p>
    <w:p w14:paraId="6E2CA714" w14:textId="77777777" w:rsidR="006A50C9" w:rsidRPr="00AC1306" w:rsidRDefault="00701458" w:rsidP="00AC1306">
      <w:pPr>
        <w:tabs>
          <w:tab w:val="left" w:pos="1440"/>
        </w:tabs>
        <w:ind w:firstLine="720"/>
      </w:pPr>
      <w:r w:rsidRPr="00AC1306">
        <w:t>The District</w:t>
      </w:r>
      <w:r w:rsidR="00C66D21">
        <w:t xml:space="preserve"> sued</w:t>
      </w:r>
      <w:r w:rsidRPr="00AC1306">
        <w:t xml:space="preserve"> to void the contracts </w:t>
      </w:r>
      <w:r w:rsidR="00143CBB">
        <w:t xml:space="preserve">and secure disgorgement of funds already paid.  It </w:t>
      </w:r>
      <w:r w:rsidR="008B44B8" w:rsidRPr="00AC1306">
        <w:t>alleged that</w:t>
      </w:r>
      <w:r w:rsidR="0037173B" w:rsidRPr="00AC1306">
        <w:t xml:space="preserve"> </w:t>
      </w:r>
      <w:proofErr w:type="spellStart"/>
      <w:r w:rsidR="0037173B" w:rsidRPr="00AC1306">
        <w:t>Amigable</w:t>
      </w:r>
      <w:proofErr w:type="spellEnd"/>
      <w:r w:rsidR="0037173B" w:rsidRPr="00AC1306">
        <w:t xml:space="preserve">, Flores, and others gave </w:t>
      </w:r>
      <w:r w:rsidR="008B44B8" w:rsidRPr="00AC1306">
        <w:t xml:space="preserve">meals, vacations, and </w:t>
      </w:r>
      <w:r w:rsidR="0037173B" w:rsidRPr="00AC1306">
        <w:t xml:space="preserve">event </w:t>
      </w:r>
      <w:r w:rsidR="008B44B8" w:rsidRPr="00AC1306">
        <w:t xml:space="preserve">tickets to </w:t>
      </w:r>
      <w:r w:rsidR="00D81943">
        <w:t xml:space="preserve">Gandara, </w:t>
      </w:r>
      <w:r w:rsidR="005145D9">
        <w:t>b</w:t>
      </w:r>
      <w:r w:rsidR="00A8515D">
        <w:t>oard members</w:t>
      </w:r>
      <w:r w:rsidR="0037173B" w:rsidRPr="00AC1306">
        <w:t xml:space="preserve"> </w:t>
      </w:r>
      <w:r w:rsidR="004C73D2" w:rsidRPr="00AC1306">
        <w:t xml:space="preserve">and </w:t>
      </w:r>
      <w:r w:rsidR="0037173B" w:rsidRPr="00AC1306">
        <w:t xml:space="preserve">their families and friends.  </w:t>
      </w:r>
      <w:r w:rsidR="00B82693" w:rsidRPr="00AC1306">
        <w:t>(See Gov. Code, §§ 1090</w:t>
      </w:r>
      <w:r w:rsidR="00C533EE">
        <w:t>,</w:t>
      </w:r>
      <w:r w:rsidR="00B82693" w:rsidRPr="00AC1306">
        <w:t xml:space="preserve"> 1092, </w:t>
      </w:r>
      <w:proofErr w:type="spellStart"/>
      <w:r w:rsidR="00B82693" w:rsidRPr="00AC1306">
        <w:t>subd</w:t>
      </w:r>
      <w:proofErr w:type="spellEnd"/>
      <w:proofErr w:type="gramStart"/>
      <w:r w:rsidR="00B82693" w:rsidRPr="00AC1306">
        <w:t xml:space="preserve">. </w:t>
      </w:r>
      <w:proofErr w:type="gramEnd"/>
      <w:r w:rsidR="00B82693" w:rsidRPr="00AC1306">
        <w:t>(a).</w:t>
      </w:r>
      <w:r w:rsidR="00B82693" w:rsidRPr="00AC1306">
        <w:rPr>
          <w:rStyle w:val="FootnoteReference"/>
        </w:rPr>
        <w:footnoteReference w:id="3"/>
      </w:r>
      <w:r w:rsidR="00B82693" w:rsidRPr="00AC1306">
        <w:t xml:space="preserve">)  </w:t>
      </w:r>
      <w:r w:rsidR="00F11CA1" w:rsidRPr="00AC1306">
        <w:t xml:space="preserve">It also alleged contributions </w:t>
      </w:r>
      <w:r w:rsidR="00C533EE">
        <w:t xml:space="preserve">were made </w:t>
      </w:r>
      <w:r w:rsidR="00F11CA1" w:rsidRPr="00AC1306">
        <w:t xml:space="preserve">to </w:t>
      </w:r>
      <w:r w:rsidR="008B44B8" w:rsidRPr="00AC1306">
        <w:t>various campaigns, charities, and events on the officials’ behalf.</w:t>
      </w:r>
      <w:r w:rsidR="00F11CA1" w:rsidRPr="00AC1306">
        <w:rPr>
          <w:rStyle w:val="FootnoteReference"/>
        </w:rPr>
        <w:footnoteReference w:id="4"/>
      </w:r>
      <w:r w:rsidR="008B44B8" w:rsidRPr="00AC1306">
        <w:t xml:space="preserve">  </w:t>
      </w:r>
      <w:r w:rsidR="0081506E" w:rsidRPr="00AC1306">
        <w:t xml:space="preserve">The conduct allegedly occurred </w:t>
      </w:r>
      <w:r w:rsidR="0081506E" w:rsidRPr="00AC1306">
        <w:lastRenderedPageBreak/>
        <w:t xml:space="preserve">both before the passage of Proposition O and </w:t>
      </w:r>
      <w:r w:rsidR="00863165" w:rsidRPr="00AC1306">
        <w:t xml:space="preserve">during the bidding and </w:t>
      </w:r>
      <w:r w:rsidR="0081506E" w:rsidRPr="00AC1306">
        <w:t xml:space="preserve">approval process.  </w:t>
      </w:r>
    </w:p>
    <w:p w14:paraId="421289A6" w14:textId="77777777" w:rsidR="006A50C9" w:rsidRPr="00AC1306" w:rsidRDefault="00575016" w:rsidP="00AC1306">
      <w:pPr>
        <w:tabs>
          <w:tab w:val="left" w:pos="1440"/>
        </w:tabs>
        <w:ind w:firstLine="720"/>
        <w:rPr>
          <w:u w:val="double"/>
        </w:rPr>
      </w:pPr>
      <w:r>
        <w:t>Gilbane and the Joint Venture</w:t>
      </w:r>
      <w:r w:rsidR="008D3A26" w:rsidRPr="00AC1306">
        <w:rPr>
          <w:rStyle w:val="FootnoteReference"/>
        </w:rPr>
        <w:footnoteReference w:id="5"/>
      </w:r>
      <w:r>
        <w:t xml:space="preserve"> brought a special motion to strike under Code of Civil Procedure</w:t>
      </w:r>
      <w:r w:rsidR="00B30603">
        <w:rPr>
          <w:rStyle w:val="FootnoteReference"/>
        </w:rPr>
        <w:footnoteReference w:id="6"/>
      </w:r>
      <w:r>
        <w:t xml:space="preserve"> section 425.16 (the SLAPP</w:t>
      </w:r>
      <w:r w:rsidR="008D3A26">
        <w:rPr>
          <w:rStyle w:val="FootnoteReference"/>
        </w:rPr>
        <w:footnoteReference w:id="7"/>
      </w:r>
      <w:r>
        <w:t xml:space="preserve"> Act).  </w:t>
      </w:r>
      <w:r w:rsidR="00441132" w:rsidRPr="00AC1306">
        <w:t xml:space="preserve">Defendants </w:t>
      </w:r>
      <w:r w:rsidR="00F14E9D" w:rsidRPr="00AC1306">
        <w:t>urged</w:t>
      </w:r>
      <w:r w:rsidR="00441132" w:rsidRPr="00AC1306">
        <w:t xml:space="preserve"> the complaint stemmed from </w:t>
      </w:r>
      <w:r w:rsidR="005208E5" w:rsidRPr="00AC1306">
        <w:t xml:space="preserve">constitutionally </w:t>
      </w:r>
      <w:r w:rsidR="00441132" w:rsidRPr="00AC1306">
        <w:t xml:space="preserve">protected political expression.  </w:t>
      </w:r>
      <w:r w:rsidR="00C572D9" w:rsidRPr="00AC1306">
        <w:t xml:space="preserve">The District’s response relied </w:t>
      </w:r>
      <w:r w:rsidR="005F607F" w:rsidRPr="00AC1306">
        <w:t>on</w:t>
      </w:r>
      <w:r w:rsidR="005208E5" w:rsidRPr="00AC1306">
        <w:t xml:space="preserve"> evidence of the various guilty and no contest pleas</w:t>
      </w:r>
      <w:r w:rsidR="00C572D9" w:rsidRPr="00AC1306">
        <w:t xml:space="preserve">.  Each plea form incorporated a </w:t>
      </w:r>
      <w:r w:rsidR="005208E5" w:rsidRPr="00AC1306">
        <w:t xml:space="preserve">written factual narrative </w:t>
      </w:r>
      <w:r w:rsidR="0030633D" w:rsidRPr="00AC1306">
        <w:t xml:space="preserve">attested </w:t>
      </w:r>
      <w:r w:rsidR="00FD6048" w:rsidRPr="00AC1306">
        <w:t xml:space="preserve">to </w:t>
      </w:r>
      <w:r w:rsidR="0030633D" w:rsidRPr="00AC1306">
        <w:t xml:space="preserve">under penalty of </w:t>
      </w:r>
      <w:proofErr w:type="gramStart"/>
      <w:r w:rsidR="0030633D" w:rsidRPr="00AC1306">
        <w:t>perjury</w:t>
      </w:r>
      <w:proofErr w:type="gramEnd"/>
      <w:r w:rsidR="0030633D" w:rsidRPr="00AC1306">
        <w:t xml:space="preserve">. </w:t>
      </w:r>
      <w:r w:rsidR="00AC1158" w:rsidRPr="00AC1306">
        <w:t xml:space="preserve"> </w:t>
      </w:r>
      <w:proofErr w:type="spellStart"/>
      <w:r w:rsidR="00200BF4" w:rsidRPr="00AC1306">
        <w:t>Amigable’s</w:t>
      </w:r>
      <w:proofErr w:type="spellEnd"/>
      <w:r w:rsidR="00200BF4" w:rsidRPr="00AC1306">
        <w:t xml:space="preserve"> </w:t>
      </w:r>
      <w:r w:rsidR="00C572D9" w:rsidRPr="00AC1306">
        <w:t>narrative</w:t>
      </w:r>
      <w:r w:rsidR="00200BF4" w:rsidRPr="00AC1306">
        <w:t xml:space="preserve"> stated</w:t>
      </w:r>
      <w:r w:rsidR="00C8542D">
        <w:t xml:space="preserve">: </w:t>
      </w:r>
      <w:r w:rsidR="00200BF4" w:rsidRPr="00AC1306">
        <w:t xml:space="preserve"> “</w:t>
      </w:r>
      <w:r w:rsidR="00C8542D">
        <w:t xml:space="preserve">I </w:t>
      </w:r>
      <w:r w:rsidR="00200BF4" w:rsidRPr="00AC1306">
        <w:t xml:space="preserve">provided gifts, meals and tickets to entertainment events directly to </w:t>
      </w:r>
      <w:r w:rsidR="00A33397" w:rsidRPr="00AC1306">
        <w:t>[Superintendent</w:t>
      </w:r>
      <w:r w:rsidR="00200BF4" w:rsidRPr="00AC1306">
        <w:t xml:space="preserve"> Gandara</w:t>
      </w:r>
      <w:r w:rsidR="0021340E">
        <w:t xml:space="preserve"> and b</w:t>
      </w:r>
      <w:r w:rsidR="00A33397" w:rsidRPr="00AC1306">
        <w:t xml:space="preserve">oard members Sandoval, </w:t>
      </w:r>
      <w:proofErr w:type="spellStart"/>
      <w:r w:rsidR="00A33397" w:rsidRPr="00AC1306">
        <w:t>Ricasa</w:t>
      </w:r>
      <w:proofErr w:type="spellEnd"/>
      <w:r w:rsidR="00A33397" w:rsidRPr="00AC1306">
        <w:t>, and Quinones]</w:t>
      </w:r>
      <w:r w:rsidR="00200BF4" w:rsidRPr="00AC1306">
        <w:t xml:space="preserve">.  I provided the meals, </w:t>
      </w:r>
      <w:proofErr w:type="gramStart"/>
      <w:r w:rsidR="00200BF4" w:rsidRPr="00AC1306">
        <w:t>tickets</w:t>
      </w:r>
      <w:proofErr w:type="gramEnd"/>
      <w:r w:rsidR="00200BF4" w:rsidRPr="00AC1306">
        <w:t xml:space="preserve"> and gifts upon my initiative as sanctioned and encouraged by my employers.  I also provided meals, </w:t>
      </w:r>
      <w:proofErr w:type="gramStart"/>
      <w:r w:rsidR="00200BF4" w:rsidRPr="00AC1306">
        <w:t>tickets</w:t>
      </w:r>
      <w:proofErr w:type="gramEnd"/>
      <w:r w:rsidR="00200BF4" w:rsidRPr="00AC1306">
        <w:t xml:space="preserve"> and gifts at the request of the elected board members and the </w:t>
      </w:r>
      <w:r w:rsidR="00662B5F" w:rsidRPr="00AC1306">
        <w:t>Superintend</w:t>
      </w:r>
      <w:r w:rsidR="00674744" w:rsidRPr="00AC1306">
        <w:t>[</w:t>
      </w:r>
      <w:r w:rsidR="00662B5F" w:rsidRPr="00AC1306">
        <w:t>e</w:t>
      </w:r>
      <w:r w:rsidR="00674744" w:rsidRPr="00AC1306">
        <w:t>]</w:t>
      </w:r>
      <w:r w:rsidR="00662B5F" w:rsidRPr="00AC1306">
        <w:t>nt</w:t>
      </w:r>
      <w:r w:rsidR="00200BF4" w:rsidRPr="00AC1306">
        <w:t>.  The meals, tickets and gifts were made on behalf of my employers with the intent to influence the board</w:t>
      </w:r>
      <w:r w:rsidR="0023266D">
        <w:t>’</w:t>
      </w:r>
      <w:r w:rsidR="00200BF4" w:rsidRPr="00AC1306">
        <w:t xml:space="preserve">s decisions in granting construction contracts from the Sweetwater Union High School District to the firms for which I </w:t>
      </w:r>
      <w:r w:rsidR="00200BF4" w:rsidRPr="00AC1306">
        <w:lastRenderedPageBreak/>
        <w:t>was working.  My expenses were generated with the endorsement of my employers and they were reimbursed to me by my employers.  At no time did the elected board members or Superintend</w:t>
      </w:r>
      <w:r w:rsidR="006653E4" w:rsidRPr="00AC1306">
        <w:t>[</w:t>
      </w:r>
      <w:r w:rsidR="00200BF4" w:rsidRPr="00AC1306">
        <w:t>e</w:t>
      </w:r>
      <w:r w:rsidR="006653E4" w:rsidRPr="00AC1306">
        <w:t>]</w:t>
      </w:r>
      <w:proofErr w:type="spellStart"/>
      <w:r w:rsidR="00200BF4" w:rsidRPr="00AC1306">
        <w:t>nt</w:t>
      </w:r>
      <w:proofErr w:type="spellEnd"/>
      <w:r w:rsidR="00200BF4" w:rsidRPr="00AC1306">
        <w:t xml:space="preserve"> reimburse me or my employers for the meals, tickets or gifts I gave them on behalf of my employers.”  </w:t>
      </w:r>
      <w:r w:rsidR="005C5596" w:rsidRPr="00AC1306">
        <w:t xml:space="preserve">Flores’s </w:t>
      </w:r>
      <w:r w:rsidR="00A932D7" w:rsidRPr="00AC1306">
        <w:t>narrative</w:t>
      </w:r>
      <w:r w:rsidR="005C5596" w:rsidRPr="00AC1306">
        <w:t xml:space="preserve"> included a similar statement.  </w:t>
      </w:r>
      <w:proofErr w:type="spellStart"/>
      <w:r w:rsidR="005C5596" w:rsidRPr="00AC1306">
        <w:t>Ricasa’s</w:t>
      </w:r>
      <w:proofErr w:type="spellEnd"/>
      <w:r w:rsidR="005C5596" w:rsidRPr="00AC1306">
        <w:t xml:space="preserve"> </w:t>
      </w:r>
      <w:r w:rsidR="004D6D6B" w:rsidRPr="00AC1306">
        <w:t>statement read</w:t>
      </w:r>
      <w:r w:rsidR="005C5596" w:rsidRPr="00AC1306">
        <w:t xml:space="preserve"> in part:  “In 2009, I was an elected School Board Member for the Sweetwater Union High School District.  I accepted gifts from Rene Flores (SGI) in 2009 with a value of $2,099 and I did not report them. . . .  Rene Flores provided these gifts with the intent to influence my vote on business awarded to Seville Group, Inc.”  </w:t>
      </w:r>
      <w:r w:rsidR="00625374" w:rsidRPr="00AC1306">
        <w:t xml:space="preserve">Quinones’s </w:t>
      </w:r>
      <w:r w:rsidR="00280D00" w:rsidRPr="00AC1306">
        <w:t xml:space="preserve">statement said </w:t>
      </w:r>
      <w:r w:rsidR="00625374" w:rsidRPr="00AC1306">
        <w:t xml:space="preserve">that she “accepted gifts from Henry </w:t>
      </w:r>
      <w:proofErr w:type="spellStart"/>
      <w:r w:rsidR="00625374" w:rsidRPr="00AC1306">
        <w:t>Amigable</w:t>
      </w:r>
      <w:proofErr w:type="spellEnd"/>
      <w:r w:rsidR="00625374" w:rsidRPr="00AC1306">
        <w:t xml:space="preserve"> in 2007 with a total value </w:t>
      </w:r>
      <w:proofErr w:type="gramStart"/>
      <w:r w:rsidR="00625374" w:rsidRPr="00AC1306">
        <w:t>in excess of</w:t>
      </w:r>
      <w:proofErr w:type="gramEnd"/>
      <w:r w:rsidR="00625374" w:rsidRPr="00AC1306">
        <w:t xml:space="preserve"> $500.00 and I did not report them” and that “Henry </w:t>
      </w:r>
      <w:proofErr w:type="spellStart"/>
      <w:r w:rsidR="00625374" w:rsidRPr="00AC1306">
        <w:t>Amigable</w:t>
      </w:r>
      <w:proofErr w:type="spellEnd"/>
      <w:r w:rsidR="00625374" w:rsidRPr="00AC1306">
        <w:t xml:space="preserve"> provided these gifts with the intent to influence my vote on business awarded to Gilbane, his employer.”  </w:t>
      </w:r>
      <w:r w:rsidR="006F3B23" w:rsidRPr="00AC1306">
        <w:t xml:space="preserve">Both Sandoval’s and Gandara’s </w:t>
      </w:r>
      <w:r w:rsidR="00FB2AE9" w:rsidRPr="00AC1306">
        <w:t>statements</w:t>
      </w:r>
      <w:r w:rsidR="006F3B23" w:rsidRPr="00AC1306">
        <w:t xml:space="preserve"> indicated that they received gifts from </w:t>
      </w:r>
      <w:proofErr w:type="spellStart"/>
      <w:r w:rsidR="006F3B23" w:rsidRPr="00AC1306">
        <w:t>Amigable</w:t>
      </w:r>
      <w:proofErr w:type="spellEnd"/>
      <w:r w:rsidR="006F3B23" w:rsidRPr="00AC1306">
        <w:t xml:space="preserve"> and Flores “with a total value of more than” $2,770 (Sandoval) and $4,500 (Gandara) </w:t>
      </w:r>
      <w:r w:rsidR="00FB2AE9" w:rsidRPr="00AC1306">
        <w:t xml:space="preserve">and </w:t>
      </w:r>
      <w:r w:rsidR="006F3B23" w:rsidRPr="00AC1306">
        <w:t>failed to report them</w:t>
      </w:r>
      <w:r w:rsidR="000F3E70" w:rsidRPr="00AC1306">
        <w:t>.</w:t>
      </w:r>
      <w:r w:rsidR="006F3B23" w:rsidRPr="00AC1306">
        <w:t xml:space="preserve"> </w:t>
      </w:r>
      <w:r w:rsidR="000F3E70" w:rsidRPr="00AC1306">
        <w:t xml:space="preserve"> They acknowledged </w:t>
      </w:r>
      <w:r w:rsidR="006F3B23" w:rsidRPr="00AC1306">
        <w:t xml:space="preserve">these gifts were provided “to influence my vote on business awarded to” </w:t>
      </w:r>
      <w:r w:rsidR="008717FA" w:rsidRPr="00AC1306">
        <w:t>d</w:t>
      </w:r>
      <w:r w:rsidR="00EC77C1" w:rsidRPr="00AC1306">
        <w:t xml:space="preserve">efendants.  </w:t>
      </w:r>
    </w:p>
    <w:p w14:paraId="5C3787FC" w14:textId="77777777" w:rsidR="006A50C9" w:rsidRPr="00AC1306" w:rsidRDefault="00B666BD" w:rsidP="00AC1306">
      <w:pPr>
        <w:tabs>
          <w:tab w:val="left" w:pos="1440"/>
        </w:tabs>
        <w:ind w:firstLine="720"/>
      </w:pPr>
      <w:r w:rsidRPr="00AC1306">
        <w:t>The District</w:t>
      </w:r>
      <w:r w:rsidR="00B07A8A" w:rsidRPr="00AC1306">
        <w:t xml:space="preserve"> also relied on excerpts from the grand jury testimony of </w:t>
      </w:r>
      <w:proofErr w:type="gramStart"/>
      <w:r w:rsidR="00B07A8A" w:rsidRPr="00AC1306">
        <w:t>several</w:t>
      </w:r>
      <w:proofErr w:type="gramEnd"/>
      <w:r w:rsidR="00B07A8A" w:rsidRPr="00AC1306">
        <w:t xml:space="preserve"> witnesses, including </w:t>
      </w:r>
      <w:proofErr w:type="spellStart"/>
      <w:r w:rsidR="00B07A8A" w:rsidRPr="00AC1306">
        <w:t>Amigable</w:t>
      </w:r>
      <w:proofErr w:type="spellEnd"/>
      <w:r w:rsidR="00B07A8A" w:rsidRPr="00AC1306">
        <w:t xml:space="preserve"> and Flores, who described their conduct in providing meals and tickets to </w:t>
      </w:r>
      <w:r w:rsidR="000C36FD" w:rsidRPr="00AC1306">
        <w:t>p</w:t>
      </w:r>
      <w:r w:rsidR="00B07A8A" w:rsidRPr="00AC1306">
        <w:t>laintiff’s officers.</w:t>
      </w:r>
      <w:r w:rsidR="00B07A8A" w:rsidRPr="00AC1306">
        <w:rPr>
          <w:rStyle w:val="FootnoteReference"/>
        </w:rPr>
        <w:footnoteReference w:id="8"/>
      </w:r>
      <w:r w:rsidR="00B07A8A" w:rsidRPr="00AC1306">
        <w:t xml:space="preserve">  </w:t>
      </w:r>
      <w:r w:rsidR="00026F43" w:rsidRPr="00AC1306">
        <w:t xml:space="preserve">The court </w:t>
      </w:r>
      <w:r w:rsidR="00266034" w:rsidRPr="00AC1306">
        <w:t xml:space="preserve">overruled defendants’ </w:t>
      </w:r>
      <w:r w:rsidR="00266034" w:rsidRPr="00AC1306">
        <w:lastRenderedPageBreak/>
        <w:t xml:space="preserve">evidentiary objections and </w:t>
      </w:r>
      <w:r w:rsidR="00026F43" w:rsidRPr="00AC1306">
        <w:t xml:space="preserve">denied </w:t>
      </w:r>
      <w:r w:rsidR="00266034" w:rsidRPr="00AC1306">
        <w:t>their</w:t>
      </w:r>
      <w:r w:rsidR="00026F43" w:rsidRPr="00AC1306">
        <w:t xml:space="preserve"> </w:t>
      </w:r>
      <w:r w:rsidR="008C2C1B" w:rsidRPr="00AC1306">
        <w:t>special motion to strike</w:t>
      </w:r>
      <w:r w:rsidR="00026F43" w:rsidRPr="00AC1306">
        <w:t>.  The Court of Appeal affirmed.</w:t>
      </w:r>
      <w:r w:rsidR="00E713A1" w:rsidRPr="00AC1306">
        <w:rPr>
          <w:rStyle w:val="FootnoteReference"/>
        </w:rPr>
        <w:footnoteReference w:id="9"/>
      </w:r>
      <w:r w:rsidR="00026F43" w:rsidRPr="00AC1306">
        <w:t xml:space="preserve">  </w:t>
      </w:r>
    </w:p>
    <w:p w14:paraId="5968B0DA" w14:textId="77777777" w:rsidR="00085E7E" w:rsidRPr="00AC1306" w:rsidRDefault="00085E7E" w:rsidP="004B05C7">
      <w:pPr>
        <w:keepNext/>
        <w:jc w:val="center"/>
        <w:outlineLvl w:val="0"/>
        <w:rPr>
          <w:smallCaps/>
        </w:rPr>
      </w:pPr>
      <w:r w:rsidRPr="00AC1306">
        <w:rPr>
          <w:smallCaps/>
        </w:rPr>
        <w:t>II.  DISCUSSION</w:t>
      </w:r>
    </w:p>
    <w:p w14:paraId="20558106" w14:textId="77777777" w:rsidR="00750316" w:rsidRPr="004B05C7" w:rsidRDefault="00750316" w:rsidP="004B05C7">
      <w:pPr>
        <w:pStyle w:val="Heading2"/>
        <w:ind w:left="0" w:firstLine="0"/>
        <w:rPr>
          <w:b w:val="0"/>
        </w:rPr>
      </w:pPr>
      <w:r w:rsidRPr="004B05C7">
        <w:rPr>
          <w:b w:val="0"/>
        </w:rPr>
        <w:t xml:space="preserve">A.  </w:t>
      </w:r>
      <w:r w:rsidRPr="004B05C7">
        <w:rPr>
          <w:b w:val="0"/>
          <w:i/>
        </w:rPr>
        <w:t>The Anti-SLAPP Statute</w:t>
      </w:r>
    </w:p>
    <w:p w14:paraId="0B439741" w14:textId="77777777" w:rsidR="00F806B2" w:rsidRPr="00AC1306" w:rsidRDefault="00750316" w:rsidP="00AC1306">
      <w:pPr>
        <w:tabs>
          <w:tab w:val="left" w:pos="1440"/>
        </w:tabs>
        <w:ind w:firstLine="720"/>
      </w:pPr>
      <w:r w:rsidRPr="00AC1306">
        <w:t>“Code of Civil Procedure section 425.16 sets out a procedure for striking complaints in harassing lawsuits that are commonly known as SLAPP suits</w:t>
      </w:r>
      <w:r w:rsidR="00B62CEC" w:rsidRPr="00AC1306">
        <w:t> . . .</w:t>
      </w:r>
      <w:r w:rsidRPr="00AC1306">
        <w:t xml:space="preserve"> which are brought to challenge the exercise of constitutionally protected free speech rights.”  (</w:t>
      </w:r>
      <w:proofErr w:type="spellStart"/>
      <w:r w:rsidRPr="00AC1306">
        <w:rPr>
          <w:i/>
        </w:rPr>
        <w:t>Kibler</w:t>
      </w:r>
      <w:proofErr w:type="spellEnd"/>
      <w:r w:rsidRPr="00AC1306">
        <w:rPr>
          <w:i/>
        </w:rPr>
        <w:t xml:space="preserve"> v. Northern Inyo County Local Hospital Dist. </w:t>
      </w:r>
      <w:r w:rsidRPr="00AC1306">
        <w:t xml:space="preserve">(2006) 39 Cal.4th 192, 196.)  A cause of action arising from a person’s act in furtherance of the “right of petition or free speech under the </w:t>
      </w:r>
      <w:r w:rsidR="002C258B">
        <w:t xml:space="preserve">[federal or state] </w:t>
      </w:r>
      <w:r w:rsidRPr="00AC1306">
        <w:t xml:space="preserve">Constitution in connection with a public issue shall be subject to a special motion to strike, unless the court determines that the plaintiff has established that there is a probability” that the claim will prevail.  (§ 425.16, </w:t>
      </w:r>
      <w:proofErr w:type="spellStart"/>
      <w:r w:rsidRPr="00AC1306">
        <w:t>subd</w:t>
      </w:r>
      <w:proofErr w:type="spellEnd"/>
      <w:proofErr w:type="gramStart"/>
      <w:r w:rsidRPr="00AC1306">
        <w:t xml:space="preserve">. </w:t>
      </w:r>
      <w:proofErr w:type="gramEnd"/>
      <w:r w:rsidRPr="00AC1306">
        <w:t>(b)(1).)  “The anti-SLAPP statute does not insulate defendants from </w:t>
      </w:r>
      <w:r w:rsidRPr="00AC1306">
        <w:rPr>
          <w:i/>
          <w:iCs/>
        </w:rPr>
        <w:t>any</w:t>
      </w:r>
      <w:r w:rsidRPr="00AC1306">
        <w:t> liability for claims arising from the protected rights of petition or speech.  It only provides a procedure for weeding out, at an early stage, </w:t>
      </w:r>
      <w:r w:rsidRPr="00AC1306">
        <w:rPr>
          <w:i/>
          <w:iCs/>
        </w:rPr>
        <w:t>meritless</w:t>
      </w:r>
      <w:r w:rsidRPr="00AC1306">
        <w:t xml:space="preserve"> claims arising from protected activity.  Resolution of an anti-SLAPP motion involves two steps.  First, the defendant must establish that the challenged claim arises from activity protected by section 425.16.  [Citation.]  If the defendant makes the </w:t>
      </w:r>
      <w:r w:rsidRPr="00AC1306">
        <w:lastRenderedPageBreak/>
        <w:t>required showing, the burden shifts to the plaintiff to demonstrate the merit of the claim by establishing a probability of success.  We have described this second step as a ‘sum</w:t>
      </w:r>
      <w:r w:rsidR="00C846FE">
        <w:t>mary-judgment-like procedure.’</w:t>
      </w:r>
      <w:r w:rsidRPr="00AC1306">
        <w:t xml:space="preserve">  [Citation.]  The court does not weigh evidence or resolve conflicting factual claims.  Its inquiry is limited to whether the plaintiff has stated a legally sufficient claim and made </w:t>
      </w:r>
      <w:proofErr w:type="gramStart"/>
      <w:r w:rsidRPr="00AC1306">
        <w:t>a prima facie</w:t>
      </w:r>
      <w:proofErr w:type="gramEnd"/>
      <w:r w:rsidRPr="00AC1306">
        <w:t xml:space="preserve"> factual showing sufficient to sustain a favorable judgment.  It accepts the plaintiff’s evidence as true, and evaluates the defendant’s showing only to determine if it defeats the plaintiff’s claim as a matter of law.  [Citation.]  ‘[C]</w:t>
      </w:r>
      <w:proofErr w:type="spellStart"/>
      <w:r w:rsidRPr="00AC1306">
        <w:t>laims</w:t>
      </w:r>
      <w:proofErr w:type="spellEnd"/>
      <w:r w:rsidRPr="00AC1306">
        <w:t xml:space="preserve"> with the requisite minimal merit may proceed.’ ”  (</w:t>
      </w:r>
      <w:proofErr w:type="spellStart"/>
      <w:r w:rsidRPr="00AC1306">
        <w:rPr>
          <w:i/>
        </w:rPr>
        <w:t>Baral</w:t>
      </w:r>
      <w:proofErr w:type="spellEnd"/>
      <w:r w:rsidRPr="00AC1306">
        <w:rPr>
          <w:i/>
        </w:rPr>
        <w:t xml:space="preserve">, supra, </w:t>
      </w:r>
      <w:r w:rsidRPr="00AC1306">
        <w:t>1 Cal.5th at pp. 384-385</w:t>
      </w:r>
      <w:r w:rsidR="006E085E" w:rsidRPr="00AC1306">
        <w:t>, fn. omitted</w:t>
      </w:r>
      <w:r w:rsidRPr="00AC1306">
        <w:t xml:space="preserve">.)  “We review </w:t>
      </w:r>
      <w:r w:rsidRPr="00AC1306">
        <w:rPr>
          <w:bCs/>
        </w:rPr>
        <w:t>de novo</w:t>
      </w:r>
      <w:r w:rsidRPr="00AC1306">
        <w:t xml:space="preserve"> the grant or denial of an anti-</w:t>
      </w:r>
      <w:r w:rsidRPr="00AC1306">
        <w:rPr>
          <w:bCs/>
        </w:rPr>
        <w:t>SLAPP</w:t>
      </w:r>
      <w:r w:rsidRPr="00AC1306">
        <w:t xml:space="preserve"> motion.”  (</w:t>
      </w:r>
      <w:r w:rsidRPr="00AC1306">
        <w:rPr>
          <w:i/>
          <w:iCs/>
        </w:rPr>
        <w:t xml:space="preserve">Park v. Board of Trustees of California State University </w:t>
      </w:r>
      <w:r w:rsidRPr="00AC1306">
        <w:t>(2017) 2 Cal.5th 1057, 1067.)</w:t>
      </w:r>
      <w:r w:rsidR="005D2C53" w:rsidRPr="00AC1306">
        <w:t xml:space="preserve">  </w:t>
      </w:r>
      <w:r w:rsidR="00F806B2" w:rsidRPr="00AC1306">
        <w:t>As to the second step inquiry,</w:t>
      </w:r>
      <w:r w:rsidR="00D53D2B" w:rsidRPr="00AC1306">
        <w:t xml:space="preserve"> </w:t>
      </w:r>
      <w:r w:rsidR="00F806B2" w:rsidRPr="00AC1306">
        <w:t>a plaintiff seeking to demonstrate the merit of the claim “may not rely solely on its complaint, even if verified; instead, its proof must be made upon competent admissible evidence.”  (</w:t>
      </w:r>
      <w:r w:rsidR="00F806B2" w:rsidRPr="00AC1306">
        <w:rPr>
          <w:i/>
        </w:rPr>
        <w:t>San Diegans for Open Government v. San Diego State University Research Foundation</w:t>
      </w:r>
      <w:r w:rsidR="00346E55" w:rsidRPr="00AC1306">
        <w:t xml:space="preserve"> (2017) 13 Cal.App.5th 76, 95</w:t>
      </w:r>
      <w:r w:rsidR="00F806B2" w:rsidRPr="00AC1306">
        <w:t xml:space="preserve">; see </w:t>
      </w:r>
      <w:proofErr w:type="spellStart"/>
      <w:r w:rsidR="00F806B2" w:rsidRPr="00AC1306">
        <w:rPr>
          <w:i/>
          <w:iCs/>
        </w:rPr>
        <w:t>Grenier</w:t>
      </w:r>
      <w:proofErr w:type="spellEnd"/>
      <w:r w:rsidR="00F806B2" w:rsidRPr="00AC1306">
        <w:rPr>
          <w:i/>
          <w:iCs/>
        </w:rPr>
        <w:t xml:space="preserve"> v. Taylor</w:t>
      </w:r>
      <w:r w:rsidR="00F806B2" w:rsidRPr="00AC1306">
        <w:t xml:space="preserve"> (2015) 234 Cal.App.4th 471, 480; </w:t>
      </w:r>
      <w:r w:rsidR="00F806B2" w:rsidRPr="00AC1306">
        <w:rPr>
          <w:i/>
          <w:iCs/>
        </w:rPr>
        <w:t xml:space="preserve">City of Costa Mesa v. </w:t>
      </w:r>
      <w:proofErr w:type="spellStart"/>
      <w:r w:rsidR="00F806B2" w:rsidRPr="00AC1306">
        <w:rPr>
          <w:i/>
          <w:iCs/>
        </w:rPr>
        <w:t>D</w:t>
      </w:r>
      <w:r w:rsidR="00282E58" w:rsidRPr="00AC1306">
        <w:rPr>
          <w:i/>
          <w:iCs/>
        </w:rPr>
        <w:t>’</w:t>
      </w:r>
      <w:r w:rsidR="00F806B2" w:rsidRPr="00AC1306">
        <w:rPr>
          <w:i/>
          <w:iCs/>
        </w:rPr>
        <w:t>Alessio</w:t>
      </w:r>
      <w:proofErr w:type="spellEnd"/>
      <w:r w:rsidR="00F806B2" w:rsidRPr="00AC1306">
        <w:rPr>
          <w:i/>
          <w:iCs/>
        </w:rPr>
        <w:t xml:space="preserve"> Investments, LLC</w:t>
      </w:r>
      <w:r w:rsidR="00F806B2" w:rsidRPr="00AC1306">
        <w:rPr>
          <w:iCs/>
        </w:rPr>
        <w:t> </w:t>
      </w:r>
      <w:r w:rsidR="00F806B2" w:rsidRPr="00AC1306">
        <w:t xml:space="preserve">(2013) 214 Cal.App.4th 358, 376; </w:t>
      </w:r>
      <w:r w:rsidR="00F806B2" w:rsidRPr="00AC1306">
        <w:rPr>
          <w:i/>
          <w:iCs/>
        </w:rPr>
        <w:t>Paiva v. Nichols</w:t>
      </w:r>
      <w:r w:rsidR="00F806B2" w:rsidRPr="00AC1306">
        <w:t xml:space="preserve"> (2008) 168 Cal.App.4th 1007, 1017.)  </w:t>
      </w:r>
    </w:p>
    <w:p w14:paraId="3B0E4472" w14:textId="77777777" w:rsidR="00750316" w:rsidRPr="0022672F" w:rsidRDefault="004A497D" w:rsidP="0022672F">
      <w:pPr>
        <w:pStyle w:val="Heading2"/>
        <w:tabs>
          <w:tab w:val="clear" w:pos="1152"/>
          <w:tab w:val="left" w:pos="1170"/>
        </w:tabs>
        <w:ind w:left="0" w:firstLine="18"/>
        <w:rPr>
          <w:b w:val="0"/>
        </w:rPr>
      </w:pPr>
      <w:r w:rsidRPr="0022672F">
        <w:rPr>
          <w:b w:val="0"/>
        </w:rPr>
        <w:t>B</w:t>
      </w:r>
      <w:r w:rsidR="00750316" w:rsidRPr="0022672F">
        <w:rPr>
          <w:b w:val="0"/>
        </w:rPr>
        <w:t xml:space="preserve">.  </w:t>
      </w:r>
      <w:r w:rsidR="00750316" w:rsidRPr="0022672F">
        <w:rPr>
          <w:b w:val="0"/>
          <w:i/>
        </w:rPr>
        <w:t>Affidavits and Their Equivalents</w:t>
      </w:r>
    </w:p>
    <w:p w14:paraId="2D64AD38" w14:textId="77777777" w:rsidR="004A497D" w:rsidRPr="00AC1306" w:rsidRDefault="004E14DC" w:rsidP="00AC1306">
      <w:pPr>
        <w:tabs>
          <w:tab w:val="left" w:pos="1440"/>
        </w:tabs>
        <w:ind w:firstLine="720"/>
      </w:pPr>
      <w:r w:rsidRPr="00AC1306">
        <w:t xml:space="preserve">The anti-SLAPP statute describes </w:t>
      </w:r>
      <w:r w:rsidR="00453EE2" w:rsidRPr="00AC1306">
        <w:t>what</w:t>
      </w:r>
      <w:r w:rsidRPr="00AC1306">
        <w:t xml:space="preserve"> evidence a court may consider</w:t>
      </w:r>
      <w:r w:rsidR="009D025B">
        <w:t xml:space="preserve"> at the second step</w:t>
      </w:r>
      <w:r w:rsidRPr="00AC1306">
        <w:t xml:space="preserve">.  </w:t>
      </w:r>
      <w:r w:rsidR="009D025B">
        <w:t>It</w:t>
      </w:r>
      <w:r w:rsidR="00D23496" w:rsidRPr="00AC1306">
        <w:t xml:space="preserve"> </w:t>
      </w:r>
      <w:r w:rsidR="00D976A5" w:rsidRPr="00AC1306">
        <w:t>provides that “[</w:t>
      </w:r>
      <w:proofErr w:type="spellStart"/>
      <w:r w:rsidR="00D976A5" w:rsidRPr="00AC1306">
        <w:t>i</w:t>
      </w:r>
      <w:proofErr w:type="spellEnd"/>
      <w:r w:rsidR="00D976A5" w:rsidRPr="00AC1306">
        <w:t xml:space="preserve">]n making its determination, the court shall consider the pleadings, and supporting and opposing </w:t>
      </w:r>
      <w:r w:rsidR="00D976A5" w:rsidRPr="0073698D">
        <w:rPr>
          <w:i/>
        </w:rPr>
        <w:t>affidavits</w:t>
      </w:r>
      <w:r w:rsidR="00D976A5" w:rsidRPr="00AC1306">
        <w:t xml:space="preserve"> stating the facts upon which the liability or defense is based.”  </w:t>
      </w:r>
      <w:r w:rsidR="00D23496" w:rsidRPr="00AC1306">
        <w:t xml:space="preserve">(§ 425.16, </w:t>
      </w:r>
      <w:proofErr w:type="spellStart"/>
      <w:r w:rsidR="00D23496" w:rsidRPr="00AC1306">
        <w:t>subd</w:t>
      </w:r>
      <w:proofErr w:type="spellEnd"/>
      <w:proofErr w:type="gramStart"/>
      <w:r w:rsidR="00D23496" w:rsidRPr="00AC1306">
        <w:t xml:space="preserve">. </w:t>
      </w:r>
      <w:proofErr w:type="gramEnd"/>
      <w:r w:rsidR="00D23496" w:rsidRPr="00AC1306">
        <w:t>(b)(2)</w:t>
      </w:r>
      <w:r w:rsidR="0073698D">
        <w:t xml:space="preserve">, </w:t>
      </w:r>
      <w:r w:rsidR="0073698D">
        <w:lastRenderedPageBreak/>
        <w:t>italics added</w:t>
      </w:r>
      <w:r w:rsidR="00D23496" w:rsidRPr="00AC1306">
        <w:t xml:space="preserve">.)  </w:t>
      </w:r>
      <w:r w:rsidR="002448BE" w:rsidRPr="00AC1306">
        <w:t xml:space="preserve">“The pleadings are the formal allegations by the parties of their respective claims and defenses . . . .”  (§ 420.)  </w:t>
      </w:r>
      <w:r w:rsidR="00AE3754" w:rsidRPr="00AC1306">
        <w:t xml:space="preserve">A complaint must include a “statement of the facts constituting the cause of action, in ordinary and concise language.”  (§ 425.10, </w:t>
      </w:r>
      <w:proofErr w:type="spellStart"/>
      <w:r w:rsidR="00AE3754" w:rsidRPr="00AC1306">
        <w:t>subd</w:t>
      </w:r>
      <w:proofErr w:type="spellEnd"/>
      <w:proofErr w:type="gramStart"/>
      <w:r w:rsidR="00AE3754" w:rsidRPr="00AC1306">
        <w:t xml:space="preserve">. </w:t>
      </w:r>
      <w:proofErr w:type="gramEnd"/>
      <w:r w:rsidR="00AE3754" w:rsidRPr="00AC1306">
        <w:t xml:space="preserve">(a)(1).)  </w:t>
      </w:r>
      <w:r w:rsidR="00F06361">
        <w:t xml:space="preserve">The Code of Civil Procedure provides three ways in which testimony is taken:  by </w:t>
      </w:r>
      <w:proofErr w:type="gramStart"/>
      <w:r w:rsidR="00F06361">
        <w:t>affidavit</w:t>
      </w:r>
      <w:proofErr w:type="gramEnd"/>
      <w:r w:rsidR="00F06361">
        <w:t xml:space="preserve">, deposition, or oral examination.  </w:t>
      </w:r>
      <w:r w:rsidR="000B35DB" w:rsidRPr="00AC1306">
        <w:t xml:space="preserve">(§ 2002.)  </w:t>
      </w:r>
      <w:r w:rsidR="00AE3754" w:rsidRPr="00AC1306">
        <w:t>“</w:t>
      </w:r>
      <w:r w:rsidR="00D976A5" w:rsidRPr="00AC1306">
        <w:t xml:space="preserve">An affidavit is a written declaration under oath, made without notice to the adverse party.”  (§ 2003.)  </w:t>
      </w:r>
      <w:proofErr w:type="gramStart"/>
      <w:r w:rsidR="00D976A5" w:rsidRPr="00AC1306">
        <w:t>An affidavit</w:t>
      </w:r>
      <w:proofErr w:type="gramEnd"/>
      <w:r w:rsidR="00D976A5" w:rsidRPr="00AC1306">
        <w:t xml:space="preserve"> “may be taken before any officer authorized to administer oaths.”  (§ 2012; see also §§ 2013, 2014.)  </w:t>
      </w:r>
    </w:p>
    <w:p w14:paraId="0A561517" w14:textId="77777777" w:rsidR="00750316" w:rsidRDefault="000B35DB" w:rsidP="00AC1306">
      <w:pPr>
        <w:tabs>
          <w:tab w:val="left" w:pos="1440"/>
        </w:tabs>
        <w:ind w:firstLine="720"/>
      </w:pPr>
      <w:r w:rsidRPr="00AC1306">
        <w:t xml:space="preserve">Although not mentioned in </w:t>
      </w:r>
      <w:r w:rsidR="00225647" w:rsidRPr="00AC1306">
        <w:t>the SLAPP Act</w:t>
      </w:r>
      <w:r w:rsidRPr="00AC1306">
        <w:t xml:space="preserve">, </w:t>
      </w:r>
      <w:r w:rsidR="00A25F39" w:rsidRPr="00AC1306">
        <w:t xml:space="preserve">the Code of Civil Procedure also allows a court to consider, in lieu of </w:t>
      </w:r>
      <w:proofErr w:type="gramStart"/>
      <w:r w:rsidR="00A25F39" w:rsidRPr="00AC1306">
        <w:t>an affidavit</w:t>
      </w:r>
      <w:proofErr w:type="gramEnd"/>
      <w:r w:rsidR="00A25F39" w:rsidRPr="00AC1306">
        <w:t xml:space="preserve">, </w:t>
      </w:r>
      <w:r w:rsidR="003969AB">
        <w:t xml:space="preserve">certain written declarations.  To qualify as an alternative to </w:t>
      </w:r>
      <w:proofErr w:type="gramStart"/>
      <w:r w:rsidR="003969AB">
        <w:t>an affidavit</w:t>
      </w:r>
      <w:proofErr w:type="gramEnd"/>
      <w:r w:rsidR="003969AB">
        <w:t xml:space="preserve">, a declaration must be signed and recite that the person making it certifies it to be true under penalty of perjury.  The document must reflect the date and place of execution, if signed in California, or recite </w:t>
      </w:r>
      <w:r w:rsidR="00A73D27">
        <w:t xml:space="preserve">that it is executed “under the laws of the State of California.”  </w:t>
      </w:r>
      <w:r w:rsidR="00A25F39" w:rsidRPr="00AC1306">
        <w:t>(§ 2015.5</w:t>
      </w:r>
      <w:r w:rsidR="00853AC2" w:rsidRPr="00AC1306">
        <w:t xml:space="preserve">; see </w:t>
      </w:r>
      <w:proofErr w:type="spellStart"/>
      <w:r w:rsidRPr="00AC1306">
        <w:rPr>
          <w:i/>
          <w:iCs/>
        </w:rPr>
        <w:t>Kulshrestha</w:t>
      </w:r>
      <w:proofErr w:type="spellEnd"/>
      <w:r w:rsidRPr="00AC1306">
        <w:rPr>
          <w:i/>
          <w:iCs/>
        </w:rPr>
        <w:t xml:space="preserve"> </w:t>
      </w:r>
      <w:proofErr w:type="gramStart"/>
      <w:r w:rsidRPr="00AC1306">
        <w:rPr>
          <w:i/>
          <w:iCs/>
        </w:rPr>
        <w:t xml:space="preserve">v. </w:t>
      </w:r>
      <w:proofErr w:type="gramEnd"/>
      <w:r w:rsidRPr="00AC1306">
        <w:rPr>
          <w:i/>
          <w:iCs/>
        </w:rPr>
        <w:t>First Union Commercial Corp.</w:t>
      </w:r>
      <w:r w:rsidRPr="00AC1306">
        <w:t> (2004) 33 Cal.4th 601, 610</w:t>
      </w:r>
      <w:r w:rsidR="008A495A" w:rsidRPr="00AC1306">
        <w:t xml:space="preserve"> (</w:t>
      </w:r>
      <w:proofErr w:type="spellStart"/>
      <w:r w:rsidR="008A495A" w:rsidRPr="00AC1306">
        <w:rPr>
          <w:i/>
        </w:rPr>
        <w:t>Kulshrestha</w:t>
      </w:r>
      <w:proofErr w:type="spellEnd"/>
      <w:r w:rsidR="008A495A" w:rsidRPr="00AC1306">
        <w:t>)</w:t>
      </w:r>
      <w:r w:rsidR="00853AC2" w:rsidRPr="00AC1306">
        <w:t xml:space="preserve">.)  </w:t>
      </w:r>
    </w:p>
    <w:p w14:paraId="2373BB5F" w14:textId="77777777" w:rsidR="00105EAD" w:rsidRPr="00AC1306" w:rsidRDefault="00105EAD" w:rsidP="00105EAD">
      <w:pPr>
        <w:tabs>
          <w:tab w:val="left" w:pos="1440"/>
        </w:tabs>
        <w:ind w:firstLine="720"/>
      </w:pPr>
      <w:r w:rsidRPr="00AC1306">
        <w:t>The purpose of the statutory reference</w:t>
      </w:r>
      <w:r>
        <w:t>s</w:t>
      </w:r>
      <w:r w:rsidRPr="00AC1306">
        <w:t xml:space="preserve"> to affidavits and declarations is to enhance reliability.  “As with live testimony, the oath-taking procedures for affidavits help prevent </w:t>
      </w:r>
      <w:proofErr w:type="gramStart"/>
      <w:r w:rsidRPr="00AC1306">
        <w:t>perjury</w:t>
      </w:r>
      <w:proofErr w:type="gramEnd"/>
      <w:r w:rsidRPr="00AC1306">
        <w:t xml:space="preserve">.  [Citation.]  [¶]  In 1957, the Legislature enacted section 2015.5, authorizing declarations under penalty of </w:t>
      </w:r>
      <w:proofErr w:type="gramStart"/>
      <w:r w:rsidRPr="00AC1306">
        <w:t>perjury</w:t>
      </w:r>
      <w:proofErr w:type="gramEnd"/>
      <w:r w:rsidRPr="00AC1306">
        <w:t xml:space="preserve">.  [Citation.]  Lawmakers expressed concern that the oath-and-affidavit procedure was both cumbersome and widely ignored.  [Citation.]  Declarations serve as a more streamlined means of ensuring that the witness understands ‘the grave </w:t>
      </w:r>
      <w:r w:rsidRPr="00AC1306">
        <w:lastRenderedPageBreak/>
        <w:t>responsibility he has assumed with respect to the truth[].’ ”  (</w:t>
      </w:r>
      <w:proofErr w:type="spellStart"/>
      <w:r w:rsidRPr="00AC1306">
        <w:rPr>
          <w:i/>
        </w:rPr>
        <w:t>Kulshrestha</w:t>
      </w:r>
      <w:proofErr w:type="spellEnd"/>
      <w:r w:rsidRPr="00AC1306">
        <w:rPr>
          <w:i/>
        </w:rPr>
        <w:t>, supra,</w:t>
      </w:r>
      <w:r w:rsidRPr="00AC1306">
        <w:t xml:space="preserve"> 33 Cal.4th at p. 609.)  </w:t>
      </w:r>
      <w:proofErr w:type="spellStart"/>
      <w:r w:rsidRPr="00AC1306">
        <w:rPr>
          <w:i/>
        </w:rPr>
        <w:t>Kulshrestha</w:t>
      </w:r>
      <w:proofErr w:type="spellEnd"/>
      <w:r w:rsidRPr="00AC1306">
        <w:t xml:space="preserve"> concluded that </w:t>
      </w:r>
      <w:r>
        <w:t>the</w:t>
      </w:r>
      <w:r w:rsidRPr="00AC1306">
        <w:t xml:space="preserve"> out-of-state declaration </w:t>
      </w:r>
      <w:r>
        <w:t xml:space="preserve">at issue there </w:t>
      </w:r>
      <w:r w:rsidRPr="00AC1306">
        <w:t xml:space="preserve">failed to comply with section 2015.5 because it </w:t>
      </w:r>
      <w:r>
        <w:t xml:space="preserve">did not reflect </w:t>
      </w:r>
      <w:r w:rsidRPr="00AC1306">
        <w:t xml:space="preserve">it was made under penalty of California’s </w:t>
      </w:r>
      <w:proofErr w:type="gramStart"/>
      <w:r w:rsidRPr="00AC1306">
        <w:t>perjury</w:t>
      </w:r>
      <w:proofErr w:type="gramEnd"/>
      <w:r w:rsidRPr="00AC1306">
        <w:t xml:space="preserve"> laws.  (</w:t>
      </w:r>
      <w:proofErr w:type="spellStart"/>
      <w:r w:rsidRPr="00AC1306">
        <w:rPr>
          <w:i/>
        </w:rPr>
        <w:t>Kulshrestha</w:t>
      </w:r>
      <w:proofErr w:type="spellEnd"/>
      <w:r w:rsidRPr="00AC1306">
        <w:t xml:space="preserve">, at pp. 610-618.)  </w:t>
      </w:r>
    </w:p>
    <w:p w14:paraId="29E7DED7" w14:textId="77777777" w:rsidR="00600D14" w:rsidRPr="00AC1306" w:rsidRDefault="004059E9" w:rsidP="00AC1306">
      <w:pPr>
        <w:tabs>
          <w:tab w:val="left" w:pos="1440"/>
        </w:tabs>
        <w:ind w:firstLine="720"/>
      </w:pPr>
      <w:r w:rsidRPr="00AC1306">
        <w:t>Defendants argue that the factual narratives attached to the plea forms and the excer</w:t>
      </w:r>
      <w:r w:rsidR="00A616EA">
        <w:t>pts of the grand jury testimony are</w:t>
      </w:r>
      <w:r w:rsidRPr="00AC1306">
        <w:t xml:space="preserve"> hearsay because they were </w:t>
      </w:r>
      <w:proofErr w:type="gramStart"/>
      <w:r w:rsidRPr="00AC1306">
        <w:t>made out of</w:t>
      </w:r>
      <w:proofErr w:type="gramEnd"/>
      <w:r w:rsidRPr="00AC1306">
        <w:t xml:space="preserve"> court and were being offered for their truth.  (</w:t>
      </w:r>
      <w:proofErr w:type="spellStart"/>
      <w:r w:rsidRPr="00AC1306">
        <w:t>Evid</w:t>
      </w:r>
      <w:proofErr w:type="spellEnd"/>
      <w:proofErr w:type="gramStart"/>
      <w:r w:rsidRPr="00AC1306">
        <w:t xml:space="preserve">. </w:t>
      </w:r>
      <w:proofErr w:type="gramEnd"/>
      <w:r w:rsidRPr="00AC1306">
        <w:t xml:space="preserve">Code, § 1200.)  </w:t>
      </w:r>
      <w:r w:rsidR="005475A4" w:rsidRPr="00AC1306">
        <w:t xml:space="preserve">They urge </w:t>
      </w:r>
      <w:r w:rsidRPr="00AC1306">
        <w:t xml:space="preserve">the court could only consider them if they fell within </w:t>
      </w:r>
      <w:r w:rsidR="00460E6D">
        <w:t>the former testimony</w:t>
      </w:r>
      <w:r w:rsidR="00460E6D" w:rsidRPr="00AC1306">
        <w:t xml:space="preserve"> </w:t>
      </w:r>
      <w:r w:rsidRPr="00AC1306">
        <w:t xml:space="preserve">hearsay exception.  </w:t>
      </w:r>
      <w:r w:rsidR="00460E6D">
        <w:t>(</w:t>
      </w:r>
      <w:proofErr w:type="spellStart"/>
      <w:r w:rsidR="00460E6D">
        <w:t>Evid</w:t>
      </w:r>
      <w:proofErr w:type="spellEnd"/>
      <w:proofErr w:type="gramStart"/>
      <w:r w:rsidR="00460E6D">
        <w:t xml:space="preserve">. </w:t>
      </w:r>
      <w:proofErr w:type="gramEnd"/>
      <w:r w:rsidR="00460E6D">
        <w:t xml:space="preserve">Code, § 1292.)  </w:t>
      </w:r>
      <w:r w:rsidRPr="00AC1306">
        <w:t>Initially, we agree that the hearsay rule applies.  The Evidence Code states that, “[e]</w:t>
      </w:r>
      <w:proofErr w:type="spellStart"/>
      <w:r w:rsidRPr="00AC1306">
        <w:t>xcept</w:t>
      </w:r>
      <w:proofErr w:type="spellEnd"/>
      <w:r w:rsidRPr="00AC1306">
        <w:t xml:space="preserve"> as otherwise provided by statute, this code applies in every action before” the California courts.  (</w:t>
      </w:r>
      <w:proofErr w:type="spellStart"/>
      <w:r w:rsidRPr="00AC1306">
        <w:t>Evid</w:t>
      </w:r>
      <w:proofErr w:type="spellEnd"/>
      <w:proofErr w:type="gramStart"/>
      <w:r w:rsidRPr="00AC1306">
        <w:t xml:space="preserve">. </w:t>
      </w:r>
      <w:proofErr w:type="gramEnd"/>
      <w:r w:rsidRPr="00AC1306">
        <w:t xml:space="preserve">Code, § 300.)  </w:t>
      </w:r>
    </w:p>
    <w:p w14:paraId="3F5CA1D7" w14:textId="77777777" w:rsidR="00E7268F" w:rsidRDefault="004059E9" w:rsidP="00AC1306">
      <w:pPr>
        <w:tabs>
          <w:tab w:val="left" w:pos="1440"/>
        </w:tabs>
        <w:ind w:firstLine="720"/>
      </w:pPr>
      <w:r w:rsidRPr="00AC1306">
        <w:t xml:space="preserve">However, statutes allowing consideration of </w:t>
      </w:r>
      <w:proofErr w:type="gramStart"/>
      <w:r w:rsidR="0071415F">
        <w:t>some</w:t>
      </w:r>
      <w:proofErr w:type="gramEnd"/>
      <w:r w:rsidR="0071415F">
        <w:t xml:space="preserve"> statements</w:t>
      </w:r>
      <w:r w:rsidRPr="00AC1306">
        <w:t xml:space="preserve"> in resolving </w:t>
      </w:r>
      <w:r w:rsidR="00060499" w:rsidRPr="00AC1306">
        <w:t xml:space="preserve">pretrial </w:t>
      </w:r>
      <w:r w:rsidRPr="00AC1306">
        <w:t xml:space="preserve">motions </w:t>
      </w:r>
      <w:r w:rsidR="0071415F">
        <w:t>provide</w:t>
      </w:r>
      <w:r w:rsidRPr="00AC1306">
        <w:t xml:space="preserve"> an exception to the hearsay rule</w:t>
      </w:r>
      <w:r w:rsidR="003349D5">
        <w:t xml:space="preserve"> for purposes of the motion</w:t>
      </w:r>
      <w:r w:rsidRPr="00AC1306">
        <w:t xml:space="preserve">.  (See </w:t>
      </w:r>
      <w:r w:rsidRPr="00AC1306">
        <w:rPr>
          <w:i/>
        </w:rPr>
        <w:t xml:space="preserve">Elkins v. Superior Court </w:t>
      </w:r>
      <w:r w:rsidRPr="00AC1306">
        <w:t xml:space="preserve">(2007) 41 Cal.4th 1337, 1355; § 2009.)  </w:t>
      </w:r>
      <w:r w:rsidR="00E7268F" w:rsidRPr="00AC1306">
        <w:rPr>
          <w:i/>
        </w:rPr>
        <w:t>Elkins</w:t>
      </w:r>
      <w:r w:rsidR="00E7268F" w:rsidRPr="00AC1306">
        <w:t xml:space="preserve"> emphasized that “[a]</w:t>
      </w:r>
      <w:proofErr w:type="spellStart"/>
      <w:r w:rsidR="00E7268F" w:rsidRPr="00AC1306">
        <w:t>lthough</w:t>
      </w:r>
      <w:proofErr w:type="spellEnd"/>
      <w:r w:rsidR="00E7268F" w:rsidRPr="00AC1306">
        <w:t xml:space="preserve"> affidavits or declarations are authorized in certain </w:t>
      </w:r>
      <w:r w:rsidR="00E7268F" w:rsidRPr="00AC1306">
        <w:rPr>
          <w:i/>
        </w:rPr>
        <w:t>motion</w:t>
      </w:r>
      <w:r w:rsidR="00E7268F" w:rsidRPr="00AC1306">
        <w:t xml:space="preserve"> matters under Code of Civil Procedure section 2009, this statute does not authorize their admission at a contested </w:t>
      </w:r>
      <w:r w:rsidR="00E7268F" w:rsidRPr="00AC1306">
        <w:rPr>
          <w:i/>
        </w:rPr>
        <w:t>trial</w:t>
      </w:r>
      <w:r w:rsidR="00E7268F" w:rsidRPr="00AC1306">
        <w:t xml:space="preserve"> leading to judgment.”  (</w:t>
      </w:r>
      <w:r w:rsidR="00E7268F" w:rsidRPr="00AC1306">
        <w:rPr>
          <w:i/>
        </w:rPr>
        <w:t>Elkins</w:t>
      </w:r>
      <w:r w:rsidR="00E7268F" w:rsidRPr="00AC1306">
        <w:t xml:space="preserve">, at p. 1355.)  </w:t>
      </w:r>
      <w:r w:rsidR="00F669E2" w:rsidRPr="00AC1306">
        <w:t>A</w:t>
      </w:r>
      <w:r w:rsidR="006919EE" w:rsidRPr="00AC1306">
        <w:t xml:space="preserve">lthough </w:t>
      </w:r>
      <w:r w:rsidR="00600D14" w:rsidRPr="00AC1306">
        <w:t xml:space="preserve">affidavits and declarations </w:t>
      </w:r>
      <w:r w:rsidR="006919EE" w:rsidRPr="00AC1306">
        <w:t>constitute</w:t>
      </w:r>
      <w:r w:rsidR="00600D14" w:rsidRPr="00AC1306">
        <w:t xml:space="preserve"> hearsay </w:t>
      </w:r>
      <w:r w:rsidR="00476F02" w:rsidRPr="00AC1306">
        <w:t xml:space="preserve">when </w:t>
      </w:r>
      <w:r w:rsidR="00600D14" w:rsidRPr="00AC1306">
        <w:t>offered for the truth</w:t>
      </w:r>
      <w:r w:rsidR="00476F02" w:rsidRPr="00AC1306">
        <w:t xml:space="preserve"> of their content</w:t>
      </w:r>
      <w:r w:rsidR="006919EE" w:rsidRPr="00AC1306">
        <w:t>, section 425.16, subdivision (b)(2)</w:t>
      </w:r>
      <w:r w:rsidR="00CB1A8E" w:rsidRPr="00AC1306">
        <w:t xml:space="preserve"> </w:t>
      </w:r>
      <w:r w:rsidR="00931B14" w:rsidRPr="00AC1306">
        <w:t xml:space="preserve">permits their </w:t>
      </w:r>
      <w:r w:rsidR="00CB1A8E" w:rsidRPr="00AC1306">
        <w:t xml:space="preserve">consideration </w:t>
      </w:r>
      <w:r w:rsidR="00931B14" w:rsidRPr="00AC1306">
        <w:t xml:space="preserve">in ruling on a pretrial </w:t>
      </w:r>
      <w:r w:rsidR="00CB1A8E" w:rsidRPr="00AC1306">
        <w:t xml:space="preserve">anti-SLAPP motion.  </w:t>
      </w:r>
      <w:r w:rsidR="0074482B">
        <w:t>In connection with the form of the declaration, then, defe</w:t>
      </w:r>
      <w:r w:rsidR="00CB18A9">
        <w:t>n</w:t>
      </w:r>
      <w:r w:rsidR="0074482B">
        <w:t xml:space="preserve">dants’ hearsay objection fails.  These declarations </w:t>
      </w:r>
      <w:r w:rsidR="0081000C">
        <w:t>may be considered</w:t>
      </w:r>
      <w:r w:rsidR="0074482B">
        <w:t xml:space="preserve">, not because they satisfy </w:t>
      </w:r>
      <w:r w:rsidR="0074482B">
        <w:lastRenderedPageBreak/>
        <w:t xml:space="preserve">some other hearsay exception, but because they qualify as declarations or their equivalent under section </w:t>
      </w:r>
      <w:proofErr w:type="gramStart"/>
      <w:r w:rsidR="0074482B">
        <w:t>2015.5, and</w:t>
      </w:r>
      <w:proofErr w:type="gramEnd"/>
      <w:r w:rsidR="0074482B">
        <w:t xml:space="preserve"> can be considered under section 425.16.  </w:t>
      </w:r>
    </w:p>
    <w:p w14:paraId="5FB996BC" w14:textId="77777777" w:rsidR="004059E9" w:rsidRPr="00AC1306" w:rsidRDefault="00971DDB" w:rsidP="00AC1306">
      <w:pPr>
        <w:tabs>
          <w:tab w:val="left" w:pos="1440"/>
        </w:tabs>
        <w:ind w:firstLine="720"/>
      </w:pPr>
      <w:r w:rsidRPr="00AC1306">
        <w:t>T</w:t>
      </w:r>
      <w:r w:rsidR="00F4591E" w:rsidRPr="00AC1306">
        <w:t xml:space="preserve">he change of plea forms may constitute declarations under section 2015.5 if signed under penalty of </w:t>
      </w:r>
      <w:proofErr w:type="gramStart"/>
      <w:r w:rsidR="00F4591E" w:rsidRPr="00AC1306">
        <w:t>perjury</w:t>
      </w:r>
      <w:proofErr w:type="gramEnd"/>
      <w:r w:rsidR="00F4591E" w:rsidRPr="00AC1306">
        <w:t xml:space="preserve">.  (See </w:t>
      </w:r>
      <w:proofErr w:type="spellStart"/>
      <w:r w:rsidR="007B1DD1" w:rsidRPr="00AC1306">
        <w:rPr>
          <w:i/>
          <w:iCs/>
        </w:rPr>
        <w:t>Kulshrestha</w:t>
      </w:r>
      <w:proofErr w:type="spellEnd"/>
      <w:r w:rsidR="007B1DD1" w:rsidRPr="00AC1306">
        <w:rPr>
          <w:i/>
          <w:iCs/>
        </w:rPr>
        <w:t xml:space="preserve">, supra, </w:t>
      </w:r>
      <w:r w:rsidR="007B1DD1" w:rsidRPr="00AC1306">
        <w:t xml:space="preserve">33 Cal.4th at p. 606.)  </w:t>
      </w:r>
      <w:r w:rsidR="002C18D0" w:rsidRPr="00AC1306">
        <w:t>“[C]</w:t>
      </w:r>
      <w:proofErr w:type="spellStart"/>
      <w:r w:rsidR="002C18D0" w:rsidRPr="00AC1306">
        <w:t>ourts</w:t>
      </w:r>
      <w:proofErr w:type="spellEnd"/>
      <w:r w:rsidR="002C18D0" w:rsidRPr="00AC1306">
        <w:t xml:space="preserve"> have made clear that a declaration is defective under section 2015.5 absent an express facial link to California or its perjury laws.”  (</w:t>
      </w:r>
      <w:r w:rsidR="00E332D8" w:rsidRPr="00AC1306">
        <w:rPr>
          <w:i/>
        </w:rPr>
        <w:t>Id</w:t>
      </w:r>
      <w:r w:rsidR="00E332D8" w:rsidRPr="00AC1306">
        <w:t xml:space="preserve">. </w:t>
      </w:r>
      <w:r w:rsidR="002C18D0" w:rsidRPr="00AC1306">
        <w:t xml:space="preserve">at p. 612; see </w:t>
      </w:r>
      <w:r w:rsidR="002C18D0" w:rsidRPr="00AC1306">
        <w:rPr>
          <w:i/>
        </w:rPr>
        <w:t>People v. Bryant</w:t>
      </w:r>
      <w:r w:rsidR="002C18D0" w:rsidRPr="00AC1306">
        <w:t xml:space="preserve"> (2011) 191 Cal.App.4th 1457, 1470.)  </w:t>
      </w:r>
      <w:r w:rsidR="007B3232" w:rsidRPr="00AC1306">
        <w:t xml:space="preserve">The Court of Appeal below concluded that “[e]ach plea form submitted by Sweetwater with respect to the anti-SLAPP motion meets the requirements set forth in section 2015.5 of the Code of Civil Procedure.  Specifically, </w:t>
      </w:r>
      <w:proofErr w:type="gramStart"/>
      <w:r w:rsidR="007B3232" w:rsidRPr="00AC1306">
        <w:t>each individual</w:t>
      </w:r>
      <w:proofErr w:type="gramEnd"/>
      <w:r w:rsidR="007B3232" w:rsidRPr="00AC1306">
        <w:t xml:space="preserve"> who signed and dated a plea form attested to the truth of the contents</w:t>
      </w:r>
      <w:r w:rsidR="0046032D" w:rsidRPr="00AC1306">
        <w:t xml:space="preserve"> . . . </w:t>
      </w:r>
      <w:r w:rsidR="007B3232" w:rsidRPr="00AC1306">
        <w:t xml:space="preserve">under penalty of </w:t>
      </w:r>
      <w:proofErr w:type="gramStart"/>
      <w:r w:rsidR="007B3232" w:rsidRPr="00AC1306">
        <w:t>perjury</w:t>
      </w:r>
      <w:proofErr w:type="gramEnd"/>
      <w:r w:rsidR="007B3232" w:rsidRPr="00AC1306">
        <w:t xml:space="preserve"> under the laws of California.”  </w:t>
      </w:r>
      <w:r w:rsidR="007C5BD7" w:rsidRPr="00AC1306">
        <w:t>Accordingly</w:t>
      </w:r>
      <w:r w:rsidR="007B3232" w:rsidRPr="00AC1306">
        <w:t>, the change of plea forms</w:t>
      </w:r>
      <w:r w:rsidR="007C5BD7" w:rsidRPr="00AC1306">
        <w:t xml:space="preserve"> and the incorporated </w:t>
      </w:r>
      <w:r w:rsidR="007B3232" w:rsidRPr="00AC1306">
        <w:t>factual narratives qualify</w:t>
      </w:r>
      <w:r w:rsidR="009227E9" w:rsidRPr="00AC1306">
        <w:t xml:space="preserve"> as</w:t>
      </w:r>
      <w:r w:rsidR="007B3232" w:rsidRPr="00AC1306">
        <w:t xml:space="preserve"> declarations the court may consider in determining plaintiffs’ likelihood of success.  </w:t>
      </w:r>
    </w:p>
    <w:p w14:paraId="6DD89E22" w14:textId="77777777" w:rsidR="007B3232" w:rsidRPr="00AC1306" w:rsidRDefault="00F31E72" w:rsidP="00AC1306">
      <w:pPr>
        <w:tabs>
          <w:tab w:val="left" w:pos="1440"/>
        </w:tabs>
        <w:ind w:firstLine="720"/>
      </w:pPr>
      <w:r w:rsidRPr="00AC1306">
        <w:t xml:space="preserve">The excerpts of the grand jury testimony, however, require a different analysis.  </w:t>
      </w:r>
      <w:r w:rsidR="00F9108F" w:rsidRPr="00AC1306">
        <w:t xml:space="preserve">Although testimony before the grand jury is given under oath, a </w:t>
      </w:r>
      <w:r w:rsidR="00F9108F" w:rsidRPr="00AC1306">
        <w:rPr>
          <w:i/>
        </w:rPr>
        <w:t>transcript</w:t>
      </w:r>
      <w:r w:rsidR="00F9108F" w:rsidRPr="00AC1306">
        <w:t xml:space="preserve"> of </w:t>
      </w:r>
      <w:r w:rsidR="00D163CD">
        <w:t>that</w:t>
      </w:r>
      <w:r w:rsidR="00F9108F" w:rsidRPr="00AC1306">
        <w:t xml:space="preserve"> testimony is not a “written declaration under oath.”  (§ 2003.)  </w:t>
      </w:r>
      <w:r w:rsidR="00A54E3B" w:rsidRPr="00AC1306">
        <w:t xml:space="preserve">Rather, a transcript is a written memorialization of an oral </w:t>
      </w:r>
      <w:r w:rsidR="001C3F20" w:rsidRPr="00AC1306">
        <w:t>examination</w:t>
      </w:r>
      <w:r w:rsidR="00A54E3B" w:rsidRPr="00AC1306">
        <w:t xml:space="preserve"> under oath.  </w:t>
      </w:r>
      <w:r w:rsidR="001C3F20" w:rsidRPr="00AC1306">
        <w:t xml:space="preserve">(See § 2005 [defining “oral examination”].)  </w:t>
      </w:r>
      <w:r w:rsidR="009634C7" w:rsidRPr="00AC1306">
        <w:t xml:space="preserve">Likewise, a transcript of testimony is not a declaration under section 2015.5 because it is not “subscribed by” the testifying witness.  </w:t>
      </w:r>
    </w:p>
    <w:p w14:paraId="2A377783" w14:textId="77777777" w:rsidR="00002AD8" w:rsidRPr="00AC1306" w:rsidRDefault="00202F5C" w:rsidP="00AC1306">
      <w:pPr>
        <w:tabs>
          <w:tab w:val="left" w:pos="1440"/>
        </w:tabs>
        <w:ind w:firstLine="720"/>
      </w:pPr>
      <w:r>
        <w:t>Nevertheless, t</w:t>
      </w:r>
      <w:r w:rsidR="002F1411" w:rsidRPr="00AC1306">
        <w:t xml:space="preserve">he Court of Appeal concluded the grand jury testimony </w:t>
      </w:r>
      <w:r w:rsidR="002E5917">
        <w:t>could still</w:t>
      </w:r>
      <w:r w:rsidR="002F1411" w:rsidRPr="00AC1306">
        <w:t xml:space="preserve"> be considered because “</w:t>
      </w:r>
      <w:r w:rsidR="002B5C30" w:rsidRPr="00AC1306">
        <w:t xml:space="preserve">the </w:t>
      </w:r>
      <w:r w:rsidR="002B5C30" w:rsidRPr="00AC1306">
        <w:lastRenderedPageBreak/>
        <w:t xml:space="preserve">transcripts are of the same nature as a declaration in that the testimony is given under penalty of perjury.”  </w:t>
      </w:r>
      <w:r w:rsidR="00430B7A" w:rsidRPr="00AC1306">
        <w:t xml:space="preserve">The court relied on </w:t>
      </w:r>
      <w:r w:rsidR="00430B7A" w:rsidRPr="00AC1306">
        <w:rPr>
          <w:i/>
        </w:rPr>
        <w:t>Williams v. Saga Enterprises, Inc.</w:t>
      </w:r>
      <w:r w:rsidR="00430B7A" w:rsidRPr="00AC1306">
        <w:t xml:space="preserve"> (1990) 225 Cal.App.3d 142 (</w:t>
      </w:r>
      <w:r w:rsidR="00430B7A" w:rsidRPr="00AC1306">
        <w:rPr>
          <w:i/>
        </w:rPr>
        <w:t>Williams</w:t>
      </w:r>
      <w:r w:rsidR="00430B7A" w:rsidRPr="00AC1306">
        <w:t xml:space="preserve">).  </w:t>
      </w:r>
      <w:r w:rsidR="00430B7A" w:rsidRPr="00AC1306">
        <w:rPr>
          <w:i/>
        </w:rPr>
        <w:t>Williams</w:t>
      </w:r>
      <w:r w:rsidR="00430B7A" w:rsidRPr="00AC1306">
        <w:t xml:space="preserve"> involved a summary judgment motion</w:t>
      </w:r>
      <w:r w:rsidR="00A61418" w:rsidRPr="00AC1306">
        <w:t xml:space="preserve"> and held </w:t>
      </w:r>
      <w:r w:rsidR="006E12C6" w:rsidRPr="00AC1306">
        <w:t xml:space="preserve">the trial court could consider the transcript of testimony from a </w:t>
      </w:r>
      <w:r w:rsidR="00EB7E4B">
        <w:t>related</w:t>
      </w:r>
      <w:r w:rsidR="006E12C6" w:rsidRPr="00AC1306">
        <w:t xml:space="preserve"> criminal case.  </w:t>
      </w:r>
      <w:r w:rsidR="00002AD8" w:rsidRPr="00AC1306">
        <w:rPr>
          <w:i/>
        </w:rPr>
        <w:t>Williams</w:t>
      </w:r>
      <w:r w:rsidR="00002AD8" w:rsidRPr="00AC1306">
        <w:t xml:space="preserve"> acknowledged that the transcript did not qualify as former testimony under Evidence Code section 1292 because there was no showing that </w:t>
      </w:r>
      <w:r w:rsidR="006E12C6" w:rsidRPr="00AC1306">
        <w:t xml:space="preserve">the </w:t>
      </w:r>
      <w:r w:rsidR="002543DF" w:rsidRPr="00AC1306">
        <w:t>witness</w:t>
      </w:r>
      <w:r w:rsidR="00002AD8" w:rsidRPr="00AC1306">
        <w:t xml:space="preserve"> was unavailable</w:t>
      </w:r>
      <w:r w:rsidR="00CC46A8" w:rsidRPr="00AC1306">
        <w:t>.  It reasoned, however</w:t>
      </w:r>
      <w:r w:rsidR="00002AD8" w:rsidRPr="00AC1306">
        <w:t xml:space="preserve">, that “inasmuch as the recorded testimony was offered in support of the opposition to a summary judgment motion and serves effectively as a declaration by </w:t>
      </w:r>
      <w:r w:rsidR="006E12C6" w:rsidRPr="00AC1306">
        <w:t>[the witness]</w:t>
      </w:r>
      <w:r w:rsidR="00002AD8" w:rsidRPr="00AC1306">
        <w:t>, we treat it here as such.”  (</w:t>
      </w:r>
      <w:r w:rsidR="00AB7233" w:rsidRPr="00AC1306">
        <w:rPr>
          <w:i/>
        </w:rPr>
        <w:t>Williams</w:t>
      </w:r>
      <w:r w:rsidR="00AB7233" w:rsidRPr="00AC1306">
        <w:t xml:space="preserve">, </w:t>
      </w:r>
      <w:r w:rsidR="00002AD8" w:rsidRPr="00AC1306">
        <w:t xml:space="preserve">at p. 149, fn. 3.)  </w:t>
      </w:r>
    </w:p>
    <w:p w14:paraId="2CF0AB7E" w14:textId="77777777" w:rsidR="00002AD8" w:rsidRPr="00AC1306" w:rsidRDefault="0084508A" w:rsidP="00AC1306">
      <w:pPr>
        <w:tabs>
          <w:tab w:val="left" w:pos="1440"/>
        </w:tabs>
        <w:ind w:firstLine="720"/>
        <w:rPr>
          <w:iCs/>
        </w:rPr>
      </w:pPr>
      <w:r w:rsidRPr="00AC1306">
        <w:t>T</w:t>
      </w:r>
      <w:r w:rsidR="00B66C72" w:rsidRPr="00AC1306">
        <w:t>his analysis</w:t>
      </w:r>
      <w:r w:rsidRPr="00AC1306">
        <w:t xml:space="preserve"> is sound</w:t>
      </w:r>
      <w:r w:rsidR="00B66C72" w:rsidRPr="00AC1306">
        <w:t>.  The statutory scheme</w:t>
      </w:r>
      <w:r w:rsidR="00F43407">
        <w:t xml:space="preserve"> </w:t>
      </w:r>
      <w:r w:rsidR="00B66C72" w:rsidRPr="00AC1306">
        <w:t xml:space="preserve">already </w:t>
      </w:r>
      <w:r w:rsidR="00FE0230" w:rsidRPr="00AC1306">
        <w:t>permits</w:t>
      </w:r>
      <w:r w:rsidR="00B66C72" w:rsidRPr="00AC1306">
        <w:t xml:space="preserve"> consideration of </w:t>
      </w:r>
      <w:proofErr w:type="gramStart"/>
      <w:r w:rsidR="00B66C72" w:rsidRPr="00AC1306">
        <w:t>affidavit</w:t>
      </w:r>
      <w:proofErr w:type="gramEnd"/>
      <w:r w:rsidR="00B66C72" w:rsidRPr="00AC1306">
        <w:t xml:space="preserve"> equivalents.  </w:t>
      </w:r>
      <w:r w:rsidR="00F43407">
        <w:t xml:space="preserve">(§ 2015.5.)  </w:t>
      </w:r>
      <w:r w:rsidR="0050438D" w:rsidRPr="00AC1306">
        <w:t xml:space="preserve">As </w:t>
      </w:r>
      <w:proofErr w:type="spellStart"/>
      <w:r w:rsidR="0050438D" w:rsidRPr="00AC1306">
        <w:rPr>
          <w:i/>
          <w:iCs/>
        </w:rPr>
        <w:t>Kulshrestha</w:t>
      </w:r>
      <w:proofErr w:type="spellEnd"/>
      <w:r w:rsidR="0050438D" w:rsidRPr="00AC1306">
        <w:rPr>
          <w:iCs/>
        </w:rPr>
        <w:t xml:space="preserve"> </w:t>
      </w:r>
      <w:r w:rsidR="000C0EC6" w:rsidRPr="00AC1306">
        <w:rPr>
          <w:iCs/>
        </w:rPr>
        <w:t>noted</w:t>
      </w:r>
      <w:r w:rsidR="0050438D" w:rsidRPr="00AC1306">
        <w:rPr>
          <w:iCs/>
        </w:rPr>
        <w:t xml:space="preserve">, the important aspect of such evidence is that it be made under penalty of </w:t>
      </w:r>
      <w:r w:rsidR="002A36B5" w:rsidRPr="00AC1306">
        <w:rPr>
          <w:iCs/>
        </w:rPr>
        <w:t xml:space="preserve">California’s </w:t>
      </w:r>
      <w:proofErr w:type="gramStart"/>
      <w:r w:rsidR="0050438D" w:rsidRPr="00AC1306">
        <w:rPr>
          <w:iCs/>
        </w:rPr>
        <w:t>perjury</w:t>
      </w:r>
      <w:proofErr w:type="gramEnd"/>
      <w:r w:rsidR="0050438D" w:rsidRPr="00AC1306">
        <w:rPr>
          <w:iCs/>
        </w:rPr>
        <w:t xml:space="preserve"> law</w:t>
      </w:r>
      <w:r w:rsidR="002A36B5" w:rsidRPr="00AC1306">
        <w:rPr>
          <w:iCs/>
        </w:rPr>
        <w:t>s</w:t>
      </w:r>
      <w:r w:rsidR="0050438D" w:rsidRPr="00AC1306">
        <w:rPr>
          <w:iCs/>
        </w:rPr>
        <w:t xml:space="preserve">.  </w:t>
      </w:r>
      <w:r w:rsidR="000E270B" w:rsidRPr="00AC1306">
        <w:rPr>
          <w:iCs/>
        </w:rPr>
        <w:t xml:space="preserve">(See </w:t>
      </w:r>
      <w:proofErr w:type="spellStart"/>
      <w:r w:rsidR="000E270B" w:rsidRPr="00AC1306">
        <w:rPr>
          <w:i/>
          <w:iCs/>
        </w:rPr>
        <w:t>Kulshrestha</w:t>
      </w:r>
      <w:proofErr w:type="spellEnd"/>
      <w:r w:rsidR="000E270B" w:rsidRPr="00AC1306">
        <w:rPr>
          <w:i/>
          <w:iCs/>
        </w:rPr>
        <w:t>, supra,</w:t>
      </w:r>
      <w:r w:rsidR="000E270B" w:rsidRPr="00AC1306">
        <w:rPr>
          <w:iCs/>
        </w:rPr>
        <w:t xml:space="preserve"> 33 Cal.4th at pp. 610-618.)  </w:t>
      </w:r>
      <w:r w:rsidR="00216811">
        <w:rPr>
          <w:iCs/>
        </w:rPr>
        <w:t>Sworn t</w:t>
      </w:r>
      <w:r w:rsidR="0050438D" w:rsidRPr="00AC1306">
        <w:rPr>
          <w:iCs/>
        </w:rPr>
        <w:t xml:space="preserve">estimony made before a grand jury </w:t>
      </w:r>
      <w:r w:rsidR="00525DCB">
        <w:rPr>
          <w:iCs/>
        </w:rPr>
        <w:t xml:space="preserve">obviously is made under penalty of </w:t>
      </w:r>
      <w:proofErr w:type="gramStart"/>
      <w:r w:rsidR="00525DCB">
        <w:rPr>
          <w:iCs/>
        </w:rPr>
        <w:t>perjury</w:t>
      </w:r>
      <w:proofErr w:type="gramEnd"/>
      <w:r w:rsidR="0050438D" w:rsidRPr="00AC1306">
        <w:rPr>
          <w:iCs/>
        </w:rPr>
        <w:t xml:space="preserve">.  </w:t>
      </w:r>
      <w:r w:rsidR="006628AD" w:rsidRPr="00AC1306">
        <w:rPr>
          <w:iCs/>
        </w:rPr>
        <w:t xml:space="preserve">(Cf. </w:t>
      </w:r>
      <w:r w:rsidR="006628AD" w:rsidRPr="00AC1306">
        <w:rPr>
          <w:i/>
          <w:iCs/>
        </w:rPr>
        <w:t>People v. Snyder</w:t>
      </w:r>
      <w:r w:rsidR="006628AD" w:rsidRPr="00AC1306">
        <w:rPr>
          <w:iCs/>
        </w:rPr>
        <w:t xml:space="preserve"> (1958) 50 Cal.2d 190, 192.)  </w:t>
      </w:r>
      <w:r w:rsidR="00310C45" w:rsidRPr="00AC1306">
        <w:rPr>
          <w:iCs/>
        </w:rPr>
        <w:t>A</w:t>
      </w:r>
      <w:r w:rsidR="00F53627" w:rsidRPr="00AC1306">
        <w:rPr>
          <w:iCs/>
        </w:rPr>
        <w:t xml:space="preserve">s </w:t>
      </w:r>
      <w:r w:rsidR="00F53627" w:rsidRPr="00AC1306">
        <w:rPr>
          <w:i/>
          <w:iCs/>
        </w:rPr>
        <w:t>Williams</w:t>
      </w:r>
      <w:r w:rsidR="00F53627" w:rsidRPr="00AC1306">
        <w:rPr>
          <w:iCs/>
        </w:rPr>
        <w:t xml:space="preserve"> and the Court of Appeal reasoned, a transcript of </w:t>
      </w:r>
      <w:r w:rsidR="00A85022" w:rsidRPr="00AC1306">
        <w:rPr>
          <w:iCs/>
        </w:rPr>
        <w:t>this</w:t>
      </w:r>
      <w:r w:rsidR="00F53627" w:rsidRPr="00AC1306">
        <w:rPr>
          <w:iCs/>
        </w:rPr>
        <w:t xml:space="preserve"> testimony is the equivalent of a </w:t>
      </w:r>
      <w:r w:rsidR="001A2AC7" w:rsidRPr="00AC1306">
        <w:rPr>
          <w:iCs/>
        </w:rPr>
        <w:t xml:space="preserve">testifying witness’s </w:t>
      </w:r>
      <w:r w:rsidR="00F53627" w:rsidRPr="00AC1306">
        <w:rPr>
          <w:iCs/>
        </w:rPr>
        <w:t xml:space="preserve">declaration under penalty of </w:t>
      </w:r>
      <w:proofErr w:type="gramStart"/>
      <w:r w:rsidR="00F53627" w:rsidRPr="00AC1306">
        <w:rPr>
          <w:iCs/>
        </w:rPr>
        <w:t>perjury</w:t>
      </w:r>
      <w:proofErr w:type="gramEnd"/>
      <w:r w:rsidR="00F53627" w:rsidRPr="00AC1306">
        <w:rPr>
          <w:iCs/>
        </w:rPr>
        <w:t xml:space="preserve">, assuming the authenticity of the transcript can be established.  </w:t>
      </w:r>
      <w:r w:rsidR="00C66C6B" w:rsidRPr="00AC1306">
        <w:rPr>
          <w:iCs/>
        </w:rPr>
        <w:t xml:space="preserve">Defendants here do not contest authenticity.  </w:t>
      </w:r>
    </w:p>
    <w:p w14:paraId="27EFBE84" w14:textId="77777777" w:rsidR="00002AD8" w:rsidRPr="00AC1306" w:rsidRDefault="00CD4A70" w:rsidP="00AC1306">
      <w:pPr>
        <w:tabs>
          <w:tab w:val="left" w:pos="1440"/>
        </w:tabs>
        <w:ind w:firstLine="720"/>
      </w:pPr>
      <w:r>
        <w:rPr>
          <w:iCs/>
        </w:rPr>
        <w:t xml:space="preserve">The text of the anti-SLAPP statute does not speak directly to the </w:t>
      </w:r>
      <w:proofErr w:type="gramStart"/>
      <w:r>
        <w:rPr>
          <w:iCs/>
        </w:rPr>
        <w:t>issue, but</w:t>
      </w:r>
      <w:proofErr w:type="gramEnd"/>
      <w:r>
        <w:rPr>
          <w:iCs/>
        </w:rPr>
        <w:t xml:space="preserve"> permitting courts to consider recorded testimony is consistent with the purposes of the Act.  </w:t>
      </w:r>
      <w:r w:rsidR="003348FE">
        <w:rPr>
          <w:iCs/>
        </w:rPr>
        <w:t xml:space="preserve">The law’s central aim </w:t>
      </w:r>
      <w:r w:rsidR="007868C3" w:rsidRPr="00AC1306">
        <w:rPr>
          <w:iCs/>
        </w:rPr>
        <w:t>is “</w:t>
      </w:r>
      <w:r w:rsidR="003E47EB" w:rsidRPr="00AC1306">
        <w:t xml:space="preserve">screening out meritless claims that arise from protected activity, before the defendant is required to undergo </w:t>
      </w:r>
      <w:r w:rsidR="003E47EB" w:rsidRPr="00AC1306">
        <w:lastRenderedPageBreak/>
        <w:t>the expe</w:t>
      </w:r>
      <w:r w:rsidR="007868C3" w:rsidRPr="00AC1306">
        <w:t>nse and intrusion of discovery.”  (</w:t>
      </w:r>
      <w:proofErr w:type="spellStart"/>
      <w:r w:rsidR="002543DF" w:rsidRPr="00AC1306">
        <w:rPr>
          <w:i/>
        </w:rPr>
        <w:t>Baral</w:t>
      </w:r>
      <w:proofErr w:type="spellEnd"/>
      <w:r w:rsidR="002543DF" w:rsidRPr="00AC1306">
        <w:rPr>
          <w:i/>
        </w:rPr>
        <w:t xml:space="preserve">, supra, </w:t>
      </w:r>
      <w:r w:rsidR="003E47EB" w:rsidRPr="00AC1306">
        <w:t xml:space="preserve">1 Cal.5th </w:t>
      </w:r>
      <w:r w:rsidR="002543DF" w:rsidRPr="00AC1306">
        <w:t>at p.</w:t>
      </w:r>
      <w:r w:rsidR="003E47EB" w:rsidRPr="00AC1306">
        <w:t xml:space="preserve"> 392.)</w:t>
      </w:r>
      <w:r w:rsidR="007868C3" w:rsidRPr="00AC1306">
        <w:t xml:space="preserve">  </w:t>
      </w:r>
      <w:r w:rsidR="00B30C19">
        <w:t>T</w:t>
      </w:r>
      <w:r w:rsidR="00B93F76" w:rsidRPr="00AC1306">
        <w:t>he Legislature “h</w:t>
      </w:r>
      <w:r w:rsidR="00EA5807" w:rsidRPr="00AC1306">
        <w:t xml:space="preserve">as provided, and California courts have recognized, substantive and procedural limitations that protect </w:t>
      </w:r>
      <w:r w:rsidR="004B6777" w:rsidRPr="00AC1306">
        <w:t xml:space="preserve">plaintiffs </w:t>
      </w:r>
      <w:r w:rsidR="00EA5807" w:rsidRPr="00AC1306">
        <w:t>against overbroad applicati</w:t>
      </w:r>
      <w:r w:rsidR="004B6777" w:rsidRPr="00AC1306">
        <w:t>on of the anti-SLAPP mechanism. . . .  ‘</w:t>
      </w:r>
      <w:r w:rsidR="00EA5807" w:rsidRPr="00AC1306">
        <w:t xml:space="preserve">This court and the Courts of Appeal, noting the potential deprivation of jury trial that might result were [section 425.16 and similar] statutes construed to </w:t>
      </w:r>
      <w:r w:rsidR="004B6777" w:rsidRPr="00AC1306">
        <w:t xml:space="preserve">require the plaintiff first to </w:t>
      </w:r>
      <w:r w:rsidR="00EA5807" w:rsidRPr="00AC1306">
        <w:rPr>
          <w:i/>
        </w:rPr>
        <w:t>prove</w:t>
      </w:r>
      <w:r w:rsidR="00EA5807" w:rsidRPr="00AC1306">
        <w:t xml:space="preserve"> the specified claim to the trial court, have instead read the statutes as requiring the court to determine only if the plaintiff has stated and substantia</w:t>
      </w:r>
      <w:r w:rsidR="00713A13" w:rsidRPr="00AC1306">
        <w:t>ted a legally sufficient claim.</w:t>
      </w:r>
      <w:r w:rsidR="004B6777" w:rsidRPr="00AC1306">
        <w:t xml:space="preserve">’ ” </w:t>
      </w:r>
      <w:r w:rsidR="00EA5807" w:rsidRPr="00AC1306">
        <w:t xml:space="preserve"> (</w:t>
      </w:r>
      <w:r w:rsidR="00EA5807" w:rsidRPr="00AC1306">
        <w:rPr>
          <w:i/>
        </w:rPr>
        <w:t>Briggs v. Eden Council for Hope &amp; Opportunity</w:t>
      </w:r>
      <w:r w:rsidR="00EA5807" w:rsidRPr="00AC1306">
        <w:t xml:space="preserve"> (1999) 19 Cal.4th 1106, 1122-1123.)</w:t>
      </w:r>
      <w:r w:rsidR="004B6777" w:rsidRPr="00AC1306">
        <w:t xml:space="preserve">  </w:t>
      </w:r>
    </w:p>
    <w:p w14:paraId="336C9B35" w14:textId="77777777" w:rsidR="00002AD8" w:rsidRPr="00AC1306" w:rsidRDefault="00CF0EED" w:rsidP="00AC1306">
      <w:pPr>
        <w:tabs>
          <w:tab w:val="left" w:pos="1440"/>
        </w:tabs>
        <w:ind w:firstLine="720"/>
      </w:pPr>
      <w:r w:rsidRPr="00AC1306">
        <w:t>It would not serve the purposes</w:t>
      </w:r>
      <w:r w:rsidR="002361B7" w:rsidRPr="00AC1306">
        <w:t xml:space="preserve"> of the SLAPP </w:t>
      </w:r>
      <w:r w:rsidR="00A07C28" w:rsidRPr="00AC1306">
        <w:t>Act</w:t>
      </w:r>
      <w:r w:rsidR="002361B7" w:rsidRPr="00AC1306">
        <w:t xml:space="preserve"> to </w:t>
      </w:r>
      <w:r w:rsidR="006A18AD">
        <w:t xml:space="preserve">preclude </w:t>
      </w:r>
      <w:r w:rsidR="008F7564" w:rsidRPr="00AC1306">
        <w:t xml:space="preserve">consideration of testimony </w:t>
      </w:r>
      <w:r w:rsidR="009D2B3F" w:rsidRPr="00AC1306">
        <w:t>made under oath</w:t>
      </w:r>
      <w:r w:rsidR="008F7564" w:rsidRPr="00AC1306">
        <w:t>.  This sworn testimony is</w:t>
      </w:r>
      <w:r w:rsidR="009D2B3F" w:rsidRPr="00AC1306">
        <w:t xml:space="preserve"> at least as </w:t>
      </w:r>
      <w:proofErr w:type="gramStart"/>
      <w:r w:rsidR="009D2B3F" w:rsidRPr="00AC1306">
        <w:t>reliable</w:t>
      </w:r>
      <w:proofErr w:type="gramEnd"/>
      <w:r w:rsidR="009D2B3F" w:rsidRPr="00AC1306">
        <w:t xml:space="preserve"> as an affidavit or declaration.  </w:t>
      </w:r>
      <w:r w:rsidR="008F7564" w:rsidRPr="00AC1306">
        <w:t>A</w:t>
      </w:r>
      <w:r w:rsidR="00F52A94" w:rsidRPr="00AC1306">
        <w:t>n anti-SLAPP motion is filed early</w:t>
      </w:r>
      <w:r w:rsidR="00CB2EB4" w:rsidRPr="00AC1306">
        <w:t xml:space="preserve"> in the case, usually within 60 days of service of the complaint</w:t>
      </w:r>
      <w:r w:rsidR="008F7564" w:rsidRPr="00AC1306">
        <w:t xml:space="preserve">. </w:t>
      </w:r>
      <w:r w:rsidR="00CB2EB4" w:rsidRPr="00AC1306">
        <w:t xml:space="preserve"> (§ 425.16, </w:t>
      </w:r>
      <w:proofErr w:type="spellStart"/>
      <w:r w:rsidR="00CB2EB4" w:rsidRPr="00AC1306">
        <w:t>subd</w:t>
      </w:r>
      <w:proofErr w:type="spellEnd"/>
      <w:proofErr w:type="gramStart"/>
      <w:r w:rsidR="00CB2EB4" w:rsidRPr="00AC1306">
        <w:t xml:space="preserve">. </w:t>
      </w:r>
      <w:proofErr w:type="gramEnd"/>
      <w:r w:rsidR="00CB2EB4" w:rsidRPr="00AC1306">
        <w:t>(f)</w:t>
      </w:r>
      <w:r w:rsidR="008F7564" w:rsidRPr="00AC1306">
        <w:t>.</w:t>
      </w:r>
      <w:r w:rsidR="00CB2EB4" w:rsidRPr="00AC1306">
        <w:t>)</w:t>
      </w:r>
      <w:r w:rsidR="008F7564" w:rsidRPr="00AC1306">
        <w:t xml:space="preserve">  D</w:t>
      </w:r>
      <w:r w:rsidR="00CB2EB4" w:rsidRPr="00AC1306">
        <w:t xml:space="preserve">iscovery is stayed </w:t>
      </w:r>
      <w:r w:rsidR="00594C69">
        <w:t xml:space="preserve">once the motion is filed.  </w:t>
      </w:r>
      <w:r w:rsidR="00D635DA" w:rsidRPr="00AC1306">
        <w:t xml:space="preserve">(§ 425.16, </w:t>
      </w:r>
      <w:proofErr w:type="spellStart"/>
      <w:r w:rsidR="00D635DA" w:rsidRPr="00AC1306">
        <w:t>subd</w:t>
      </w:r>
      <w:proofErr w:type="spellEnd"/>
      <w:proofErr w:type="gramStart"/>
      <w:r w:rsidR="00D635DA" w:rsidRPr="00AC1306">
        <w:t xml:space="preserve">. </w:t>
      </w:r>
      <w:proofErr w:type="gramEnd"/>
      <w:r w:rsidR="00D635DA" w:rsidRPr="00AC1306">
        <w:t>(g)</w:t>
      </w:r>
      <w:r w:rsidR="008F7564" w:rsidRPr="00AC1306">
        <w:t>.</w:t>
      </w:r>
      <w:r w:rsidR="00D635DA" w:rsidRPr="00AC1306">
        <w:t>)</w:t>
      </w:r>
      <w:r w:rsidR="008F7564" w:rsidRPr="00AC1306">
        <w:t xml:space="preserve">  Under these circumstances</w:t>
      </w:r>
      <w:r w:rsidR="00D635DA" w:rsidRPr="00AC1306">
        <w:t>, it may not be practicable for a plaintiff to obtain declarations from various witnesses</w:t>
      </w:r>
      <w:r w:rsidR="008E2389" w:rsidRPr="00AC1306">
        <w:t>, particularly</w:t>
      </w:r>
      <w:r w:rsidR="00535603" w:rsidRPr="00AC1306">
        <w:t xml:space="preserve"> those</w:t>
      </w:r>
      <w:r w:rsidR="00D635DA" w:rsidRPr="00AC1306">
        <w:t xml:space="preserve"> associated with the defense.  Further, under the present circumstances, </w:t>
      </w:r>
      <w:r w:rsidR="001E6E09" w:rsidRPr="00AC1306">
        <w:t>even if</w:t>
      </w:r>
      <w:r w:rsidR="00D635DA" w:rsidRPr="00AC1306">
        <w:t xml:space="preserve"> declarations</w:t>
      </w:r>
      <w:r w:rsidR="001E6E09" w:rsidRPr="00AC1306">
        <w:t xml:space="preserve"> were</w:t>
      </w:r>
      <w:r w:rsidR="00D635DA" w:rsidRPr="00AC1306">
        <w:t xml:space="preserve"> obtained, </w:t>
      </w:r>
      <w:r w:rsidR="001E6E09" w:rsidRPr="00AC1306">
        <w:t xml:space="preserve">they </w:t>
      </w:r>
      <w:r w:rsidR="00D635DA" w:rsidRPr="00AC1306">
        <w:t>would have added little to the evidence already in plaintiff’</w:t>
      </w:r>
      <w:r w:rsidR="00942FA2" w:rsidRPr="00AC1306">
        <w:t>s</w:t>
      </w:r>
      <w:r w:rsidR="00D635DA" w:rsidRPr="00AC1306">
        <w:t xml:space="preserve"> possession.  It seems doubtful that the Legislature contemplated dismissal of a potentially meritorious suit </w:t>
      </w:r>
      <w:r w:rsidR="001E6E09" w:rsidRPr="00AC1306">
        <w:t xml:space="preserve">for want of </w:t>
      </w:r>
      <w:r w:rsidR="00D635DA" w:rsidRPr="00AC1306">
        <w:t>declarations largely duplicati</w:t>
      </w:r>
      <w:r w:rsidR="00E910FA">
        <w:t>ng</w:t>
      </w:r>
      <w:r w:rsidR="00D635DA" w:rsidRPr="00AC1306">
        <w:t xml:space="preserve"> available evidence.  </w:t>
      </w:r>
    </w:p>
    <w:p w14:paraId="688AFE24" w14:textId="77777777" w:rsidR="001E2CA5" w:rsidRPr="00AC1306" w:rsidRDefault="001E2CA5" w:rsidP="00AC1306">
      <w:pPr>
        <w:tabs>
          <w:tab w:val="left" w:pos="1440"/>
        </w:tabs>
        <w:ind w:firstLine="720"/>
      </w:pPr>
      <w:r w:rsidRPr="00AC1306">
        <w:rPr>
          <w:i/>
        </w:rPr>
        <w:t>Gatton v. A.P. Green Services, Inc.</w:t>
      </w:r>
      <w:r w:rsidRPr="00AC1306">
        <w:t xml:space="preserve"> (1998) 64 Cal.App.4th 688 (</w:t>
      </w:r>
      <w:r w:rsidRPr="00AC1306">
        <w:rPr>
          <w:i/>
        </w:rPr>
        <w:t>Gatton</w:t>
      </w:r>
      <w:r w:rsidRPr="00AC1306">
        <w:t xml:space="preserve">) </w:t>
      </w:r>
      <w:r w:rsidR="005325FC" w:rsidRPr="00AC1306">
        <w:t>reached</w:t>
      </w:r>
      <w:r w:rsidRPr="00AC1306">
        <w:t xml:space="preserve"> a different conclusion.  </w:t>
      </w:r>
      <w:r w:rsidR="00072C1C" w:rsidRPr="00AC1306">
        <w:t xml:space="preserve">In the summary </w:t>
      </w:r>
      <w:r w:rsidR="00072C1C" w:rsidRPr="00AC1306">
        <w:lastRenderedPageBreak/>
        <w:t xml:space="preserve">judgment context, </w:t>
      </w:r>
      <w:r w:rsidR="00DA1B43" w:rsidRPr="00AC1306">
        <w:rPr>
          <w:i/>
        </w:rPr>
        <w:t>Gatton</w:t>
      </w:r>
      <w:r w:rsidR="00DA1B43" w:rsidRPr="00AC1306">
        <w:t xml:space="preserve"> concluded the trial court could not consider excerpts from two depositions in a</w:t>
      </w:r>
      <w:r w:rsidR="00A3219F" w:rsidRPr="00AC1306">
        <w:t>nother</w:t>
      </w:r>
      <w:r w:rsidR="00DA1B43" w:rsidRPr="00AC1306">
        <w:t xml:space="preserve"> case </w:t>
      </w:r>
      <w:r w:rsidR="00466FDE" w:rsidRPr="00AC1306">
        <w:t xml:space="preserve">because </w:t>
      </w:r>
      <w:r w:rsidR="002F18EE" w:rsidRPr="00AC1306">
        <w:t>the plaintiffs failed to satisfy the requirements of the former testimony hearsay exception.  (</w:t>
      </w:r>
      <w:proofErr w:type="spellStart"/>
      <w:r w:rsidR="002F18EE" w:rsidRPr="00AC1306">
        <w:t>Evid</w:t>
      </w:r>
      <w:proofErr w:type="spellEnd"/>
      <w:proofErr w:type="gramStart"/>
      <w:r w:rsidR="002F18EE" w:rsidRPr="00AC1306">
        <w:t xml:space="preserve">. </w:t>
      </w:r>
      <w:proofErr w:type="gramEnd"/>
      <w:r w:rsidR="002F18EE" w:rsidRPr="00AC1306">
        <w:t xml:space="preserve">Code, § 1292.)  </w:t>
      </w:r>
      <w:r w:rsidRPr="00AC1306">
        <w:rPr>
          <w:i/>
        </w:rPr>
        <w:t>Gatton</w:t>
      </w:r>
      <w:r w:rsidRPr="00AC1306">
        <w:t xml:space="preserve"> criticized “</w:t>
      </w:r>
      <w:r w:rsidRPr="00AC1306">
        <w:rPr>
          <w:i/>
          <w:iCs/>
        </w:rPr>
        <w:t>Williams</w:t>
      </w:r>
      <w:r w:rsidRPr="00AC1306">
        <w:rPr>
          <w:iCs/>
        </w:rPr>
        <w:t>’s</w:t>
      </w:r>
      <w:r w:rsidRPr="00AC1306">
        <w:t> casual view of trial testimony from another trial and declarations on summary judgment as being ‘the same . . . .’  [Citation.]  Our Legislature has given this careful consideration and decided otherwise, mandating both unavailability, to ensure necessity, and a similar interest and motive in the prior proceeding, to ensure fairness.”  (</w:t>
      </w:r>
      <w:r w:rsidR="004A0014" w:rsidRPr="00AC1306">
        <w:rPr>
          <w:i/>
        </w:rPr>
        <w:t>Gatton</w:t>
      </w:r>
      <w:r w:rsidR="004A0014" w:rsidRPr="00AC1306">
        <w:t xml:space="preserve">, </w:t>
      </w:r>
      <w:r w:rsidRPr="00AC1306">
        <w:t xml:space="preserve">at p. 694.)  </w:t>
      </w:r>
      <w:r w:rsidRPr="00AC1306">
        <w:rPr>
          <w:i/>
        </w:rPr>
        <w:t>Gatton</w:t>
      </w:r>
      <w:r w:rsidRPr="00AC1306">
        <w:t xml:space="preserve"> reasoned that a “deposition from another case differs greatly from a declaration from the same witness saying that, if called to trial in the current case, the witness would testify in a particular manner on specified subjects.”  (</w:t>
      </w:r>
      <w:r w:rsidRPr="00AC1306">
        <w:rPr>
          <w:i/>
        </w:rPr>
        <w:t>Id</w:t>
      </w:r>
      <w:r w:rsidRPr="00AC1306">
        <w:t>. at p. 695</w:t>
      </w:r>
      <w:r w:rsidR="00626A55" w:rsidRPr="00AC1306">
        <w:t xml:space="preserve">; </w:t>
      </w:r>
      <w:r w:rsidRPr="00AC1306">
        <w:t xml:space="preserve">see </w:t>
      </w:r>
      <w:r w:rsidRPr="00AC1306">
        <w:rPr>
          <w:i/>
        </w:rPr>
        <w:t>L&amp;B Real Estate v. Superior Court</w:t>
      </w:r>
      <w:r w:rsidRPr="00AC1306">
        <w:t xml:space="preserve"> (1998) 67 Cal.App.4th 1342, 1346-1348 [following </w:t>
      </w:r>
      <w:r w:rsidRPr="00AC1306">
        <w:rPr>
          <w:i/>
        </w:rPr>
        <w:t>Gatton</w:t>
      </w:r>
      <w:r w:rsidRPr="00AC1306">
        <w:t>].)</w:t>
      </w:r>
      <w:r w:rsidR="00174EFA" w:rsidRPr="00AC1306">
        <w:t xml:space="preserve">  </w:t>
      </w:r>
    </w:p>
    <w:p w14:paraId="3744ACA1" w14:textId="77777777" w:rsidR="00DF1F1A" w:rsidRDefault="00174EFA" w:rsidP="00AC1306">
      <w:pPr>
        <w:tabs>
          <w:tab w:val="left" w:pos="1440"/>
        </w:tabs>
        <w:ind w:firstLine="720"/>
      </w:pPr>
      <w:r w:rsidRPr="00AC1306">
        <w:t xml:space="preserve">Relying on </w:t>
      </w:r>
      <w:r w:rsidRPr="00AC1306">
        <w:rPr>
          <w:i/>
        </w:rPr>
        <w:t>Gatton</w:t>
      </w:r>
      <w:r w:rsidRPr="00AC1306">
        <w:t xml:space="preserve">, defendants argue that </w:t>
      </w:r>
      <w:r w:rsidR="00D95A14">
        <w:t xml:space="preserve">a witness testifying </w:t>
      </w:r>
      <w:r w:rsidRPr="00AC1306">
        <w:t xml:space="preserve">in a different case may not have been cross-examined with the same motive as the parties here.  </w:t>
      </w:r>
      <w:r w:rsidR="00CA7616">
        <w:t xml:space="preserve">Their reliance is misplaced.  The former testimony exception is not the correct lens through which to examine this question.  When satisfied, the former testimony exception permits admissibility at trial because the earlier opportunity for cross-examination ensures </w:t>
      </w:r>
      <w:proofErr w:type="gramStart"/>
      <w:r w:rsidR="00CA7616">
        <w:t>sufficient</w:t>
      </w:r>
      <w:proofErr w:type="gramEnd"/>
      <w:r w:rsidR="00CA7616">
        <w:t xml:space="preserve"> reliability.  </w:t>
      </w:r>
      <w:r w:rsidR="00581419">
        <w:t xml:space="preserve">(See </w:t>
      </w:r>
      <w:r w:rsidR="00581419" w:rsidRPr="00581419">
        <w:rPr>
          <w:i/>
        </w:rPr>
        <w:t>People v. Gonzales</w:t>
      </w:r>
      <w:r w:rsidR="00581419">
        <w:t xml:space="preserve"> (2012) 54 Cal.4th 1234, 1262.)  </w:t>
      </w:r>
      <w:r w:rsidR="00CA7616">
        <w:t xml:space="preserve">In the </w:t>
      </w:r>
      <w:r w:rsidR="008E2D53">
        <w:t>anti-</w:t>
      </w:r>
      <w:r w:rsidR="00FC1BEB">
        <w:t>SLAPP motion</w:t>
      </w:r>
      <w:r w:rsidR="00CA7616">
        <w:t xml:space="preserve"> context, however, </w:t>
      </w:r>
      <w:r w:rsidR="00FC1BEB">
        <w:t xml:space="preserve">reliability stems from the oath-taking procedures required </w:t>
      </w:r>
      <w:r w:rsidR="00D0665A">
        <w:t>for</w:t>
      </w:r>
      <w:r w:rsidR="00FC1BEB">
        <w:t xml:space="preserve"> affidavits, or the execution under penalty of California </w:t>
      </w:r>
      <w:proofErr w:type="gramStart"/>
      <w:r w:rsidR="00FC1BEB">
        <w:t>perjury</w:t>
      </w:r>
      <w:proofErr w:type="gramEnd"/>
      <w:r w:rsidR="00FC1BEB">
        <w:t xml:space="preserve"> laws required by declarations.  (Cf. </w:t>
      </w:r>
      <w:proofErr w:type="spellStart"/>
      <w:r w:rsidR="00CA7616" w:rsidRPr="00FC1BEB">
        <w:rPr>
          <w:i/>
        </w:rPr>
        <w:t>Kulshrestha</w:t>
      </w:r>
      <w:proofErr w:type="spellEnd"/>
      <w:r w:rsidR="00FC1BEB" w:rsidRPr="00FC1BEB">
        <w:rPr>
          <w:i/>
        </w:rPr>
        <w:t>, supra,</w:t>
      </w:r>
      <w:r w:rsidR="00FC1BEB">
        <w:t xml:space="preserve"> </w:t>
      </w:r>
      <w:r w:rsidR="00CA7616">
        <w:t xml:space="preserve"> 33 Cal.4th 601, 606.)</w:t>
      </w:r>
      <w:r w:rsidR="00FC1BEB">
        <w:t xml:space="preserve">  </w:t>
      </w:r>
      <w:r w:rsidR="00455DE2">
        <w:t>Indeed, e</w:t>
      </w:r>
      <w:r w:rsidRPr="00AC1306">
        <w:t xml:space="preserve">ven affidavits or declarations produced specifically for </w:t>
      </w:r>
      <w:r w:rsidR="00C06F1A">
        <w:t>this</w:t>
      </w:r>
      <w:r w:rsidRPr="00AC1306">
        <w:t xml:space="preserve"> case would not be subject to cross-</w:t>
      </w:r>
      <w:r w:rsidRPr="00AC1306">
        <w:lastRenderedPageBreak/>
        <w:t>examination</w:t>
      </w:r>
      <w:r w:rsidR="00C71B63">
        <w:t>.  Yet</w:t>
      </w:r>
      <w:r w:rsidRPr="00AC1306">
        <w:t xml:space="preserve">, the statutory scheme clearly contemplates that courts </w:t>
      </w:r>
      <w:r w:rsidR="00615D3B">
        <w:t xml:space="preserve">may </w:t>
      </w:r>
      <w:r w:rsidRPr="00AC1306">
        <w:t xml:space="preserve">consider </w:t>
      </w:r>
      <w:r w:rsidR="00615D3B">
        <w:t>them</w:t>
      </w:r>
      <w:r w:rsidRPr="00AC1306">
        <w:t>.</w:t>
      </w:r>
      <w:r w:rsidR="00351C67" w:rsidRPr="00AC1306">
        <w:rPr>
          <w:rStyle w:val="FootnoteReference"/>
        </w:rPr>
        <w:footnoteReference w:id="10"/>
      </w:r>
      <w:r w:rsidRPr="00AC1306">
        <w:t xml:space="preserve">  </w:t>
      </w:r>
    </w:p>
    <w:p w14:paraId="609F7880" w14:textId="77777777" w:rsidR="00585A89" w:rsidRPr="00AC1306" w:rsidRDefault="00174EFA" w:rsidP="00AC1306">
      <w:pPr>
        <w:tabs>
          <w:tab w:val="left" w:pos="1440"/>
        </w:tabs>
        <w:ind w:firstLine="720"/>
      </w:pPr>
      <w:r w:rsidRPr="00AC1306">
        <w:t xml:space="preserve">Defendants further suggest that </w:t>
      </w:r>
      <w:r w:rsidR="0006575D" w:rsidRPr="00AC1306">
        <w:t xml:space="preserve">use of statements from a different case should not be allowed because “[n]o showing need be made that the declarant is available or unavailable, alive or dead, competent or demented.”  Defendants misunderstand the role of </w:t>
      </w:r>
      <w:r w:rsidR="001D526A">
        <w:t>these</w:t>
      </w:r>
      <w:r w:rsidR="0006575D" w:rsidRPr="00AC1306">
        <w:t xml:space="preserve"> statements</w:t>
      </w:r>
      <w:r w:rsidR="001D526A">
        <w:t xml:space="preserve"> in a second step anti-SLAPP procedure</w:t>
      </w:r>
      <w:r w:rsidR="0006575D" w:rsidRPr="00AC1306">
        <w:t xml:space="preserve">.  </w:t>
      </w:r>
      <w:r w:rsidR="00DE35F5">
        <w:t xml:space="preserve">As we explain in detail below (see </w:t>
      </w:r>
      <w:r w:rsidR="00DE35F5" w:rsidRPr="009747B3">
        <w:rPr>
          <w:i/>
        </w:rPr>
        <w:t>post</w:t>
      </w:r>
      <w:r w:rsidR="00DE35F5">
        <w:t>, at pp. 15-2</w:t>
      </w:r>
      <w:r w:rsidR="00944366">
        <w:t>1</w:t>
      </w:r>
      <w:r w:rsidR="00DE35F5">
        <w:t>), the</w:t>
      </w:r>
      <w:r w:rsidR="00FB6F17">
        <w:t xml:space="preserve"> </w:t>
      </w:r>
      <w:proofErr w:type="gramStart"/>
      <w:r w:rsidR="00FB6F17">
        <w:t>affidavit</w:t>
      </w:r>
      <w:proofErr w:type="gramEnd"/>
      <w:r w:rsidR="00FB6F17">
        <w:t xml:space="preserve"> or declaration is offered to demonstrate that admissible evidence exists to prove plaintiff’s claims.  The statements must reflect that they were made by competent witnesses with personal knowledge of the facts they swear to be true.  </w:t>
      </w:r>
      <w:r w:rsidR="00003839" w:rsidRPr="00AC1306">
        <w:t>A</w:t>
      </w:r>
      <w:r w:rsidR="00C13B6B" w:rsidRPr="00AC1306">
        <w:t xml:space="preserve"> transcript of </w:t>
      </w:r>
      <w:r w:rsidR="00003839" w:rsidRPr="00AC1306">
        <w:t>a witness’s</w:t>
      </w:r>
      <w:r w:rsidR="00C13B6B" w:rsidRPr="00AC1306">
        <w:t xml:space="preserve"> testimony under oath before a grand jury </w:t>
      </w:r>
      <w:r w:rsidR="00003839" w:rsidRPr="00AC1306">
        <w:t xml:space="preserve">would serve to establish personal knowledge </w:t>
      </w:r>
      <w:r w:rsidR="00CD240F">
        <w:t xml:space="preserve">and competence </w:t>
      </w:r>
      <w:r w:rsidR="00003839" w:rsidRPr="00AC1306">
        <w:t xml:space="preserve">in the same manner that </w:t>
      </w:r>
      <w:proofErr w:type="gramStart"/>
      <w:r w:rsidR="00003839" w:rsidRPr="00AC1306">
        <w:t>an affidavit</w:t>
      </w:r>
      <w:proofErr w:type="gramEnd"/>
      <w:r w:rsidR="00003839" w:rsidRPr="00AC1306">
        <w:t xml:space="preserve"> or declaration could.  </w:t>
      </w:r>
    </w:p>
    <w:p w14:paraId="60DEA26F" w14:textId="77777777" w:rsidR="003D3EE4" w:rsidRDefault="0081657A" w:rsidP="00AC1306">
      <w:pPr>
        <w:tabs>
          <w:tab w:val="left" w:pos="1440"/>
        </w:tabs>
        <w:ind w:firstLine="720"/>
      </w:pPr>
      <w:r w:rsidRPr="00AC1306">
        <w:t xml:space="preserve">In a somewhat related context, the statute governing summary judgment motions </w:t>
      </w:r>
      <w:r w:rsidR="000C0243" w:rsidRPr="00AC1306">
        <w:t>reflects a similar understanding of the role played by affidavits and declarations.  That statute requires that “[s]</w:t>
      </w:r>
      <w:proofErr w:type="spellStart"/>
      <w:r w:rsidR="000C0243" w:rsidRPr="00AC1306">
        <w:t>upporting</w:t>
      </w:r>
      <w:proofErr w:type="spellEnd"/>
      <w:r w:rsidR="000C0243" w:rsidRPr="00AC1306">
        <w:t xml:space="preserve"> and opposing affidavits or declarations shall be made by a person on personal knowledge, shall set forth admissible evidence, and shall show affirmatively that the affiant is competent to testify to the matters stated in the affidavits or declarations.”  </w:t>
      </w:r>
      <w:r w:rsidR="000C0243" w:rsidRPr="00AC1306">
        <w:lastRenderedPageBreak/>
        <w:t>(§</w:t>
      </w:r>
      <w:r w:rsidR="001220E5" w:rsidRPr="00AC1306">
        <w:t> </w:t>
      </w:r>
      <w:r w:rsidR="000C0243" w:rsidRPr="00AC1306">
        <w:t>437c,</w:t>
      </w:r>
      <w:r w:rsidR="007F26B3">
        <w:t> </w:t>
      </w:r>
      <w:proofErr w:type="spellStart"/>
      <w:r w:rsidR="000C0243" w:rsidRPr="00AC1306">
        <w:t>subd</w:t>
      </w:r>
      <w:proofErr w:type="spellEnd"/>
      <w:r w:rsidR="000C0243" w:rsidRPr="00AC1306">
        <w:t>.</w:t>
      </w:r>
      <w:r w:rsidR="007F26B3">
        <w:t> </w:t>
      </w:r>
      <w:r w:rsidR="000C0243" w:rsidRPr="00AC1306">
        <w:t>(d).)</w:t>
      </w:r>
      <w:r w:rsidR="00E835BD">
        <w:rPr>
          <w:rStyle w:val="FootnoteReference"/>
        </w:rPr>
        <w:footnoteReference w:id="11"/>
      </w:r>
      <w:r w:rsidR="000C0243" w:rsidRPr="00AC1306">
        <w:t xml:space="preserve">  </w:t>
      </w:r>
      <w:r w:rsidR="00BB090C" w:rsidRPr="00AC1306">
        <w:t>As noted, we have described the anti-SLAPP motion as a “summary-judgment-like procedure at an early stage of the litigation” designed to weed out meritless suits “ ‘ “without great cost to the SLAPP target.” ’ ”  (</w:t>
      </w:r>
      <w:r w:rsidR="00BB090C" w:rsidRPr="00AC1306">
        <w:rPr>
          <w:i/>
        </w:rPr>
        <w:t xml:space="preserve">Varian Medical Systems, Inc. v. </w:t>
      </w:r>
      <w:proofErr w:type="spellStart"/>
      <w:r w:rsidR="00BB090C" w:rsidRPr="00AC1306">
        <w:rPr>
          <w:i/>
        </w:rPr>
        <w:t>Delfino</w:t>
      </w:r>
      <w:proofErr w:type="spellEnd"/>
      <w:r w:rsidR="00BB090C" w:rsidRPr="00AC1306">
        <w:t xml:space="preserve"> (2005) 35 Cal.4th 180, 192; </w:t>
      </w:r>
      <w:r w:rsidR="00BB090C" w:rsidRPr="00C05664">
        <w:t>see</w:t>
      </w:r>
      <w:r w:rsidR="00BB090C" w:rsidRPr="00AC1306">
        <w:rPr>
          <w:i/>
        </w:rPr>
        <w:t xml:space="preserve"> </w:t>
      </w:r>
      <w:r w:rsidR="00975B53" w:rsidRPr="00AC1306">
        <w:rPr>
          <w:i/>
        </w:rPr>
        <w:t xml:space="preserve">Newport Harbor Ventures, LLC v. Morris </w:t>
      </w:r>
      <w:proofErr w:type="spellStart"/>
      <w:r w:rsidR="00975B53" w:rsidRPr="00AC1306">
        <w:rPr>
          <w:i/>
        </w:rPr>
        <w:t>Cerullo</w:t>
      </w:r>
      <w:proofErr w:type="spellEnd"/>
      <w:r w:rsidR="00975B53" w:rsidRPr="00AC1306">
        <w:rPr>
          <w:i/>
        </w:rPr>
        <w:t xml:space="preserve"> World Evangelism</w:t>
      </w:r>
      <w:r w:rsidR="00975B53" w:rsidRPr="00AC1306">
        <w:t xml:space="preserve"> (2018) 4 Cal.5th 637, 642</w:t>
      </w:r>
      <w:r w:rsidR="00BC4A57" w:rsidRPr="00AC1306">
        <w:t xml:space="preserve"> (</w:t>
      </w:r>
      <w:r w:rsidR="00BC4A57" w:rsidRPr="00AC1306">
        <w:rPr>
          <w:i/>
        </w:rPr>
        <w:t>Newport Harbor Ventures</w:t>
      </w:r>
      <w:r w:rsidR="00BC4A57" w:rsidRPr="00AC1306">
        <w:t>)</w:t>
      </w:r>
      <w:r w:rsidR="00975B53" w:rsidRPr="00AC1306">
        <w:t>.)</w:t>
      </w:r>
      <w:r w:rsidR="006B7AAA" w:rsidRPr="00AC1306">
        <w:t xml:space="preserve">  </w:t>
      </w:r>
      <w:r w:rsidR="00275FA1" w:rsidRPr="00AC1306">
        <w:t xml:space="preserve">Similarly, “it has always been ‘[t]he </w:t>
      </w:r>
      <w:proofErr w:type="gramStart"/>
      <w:r w:rsidR="00275FA1" w:rsidRPr="00AC1306">
        <w:t>purpose</w:t>
      </w:r>
      <w:proofErr w:type="gramEnd"/>
      <w:r w:rsidR="00275FA1" w:rsidRPr="00AC1306">
        <w:t xml:space="preserve"> of the law of summary judgment . . . to provide courts with a mechanism to cut through the parties’ pleadings </w:t>
      </w:r>
      <w:proofErr w:type="gramStart"/>
      <w:r w:rsidR="00275FA1" w:rsidRPr="00AC1306">
        <w:t>in order to</w:t>
      </w:r>
      <w:proofErr w:type="gramEnd"/>
      <w:r w:rsidR="00275FA1" w:rsidRPr="00AC1306">
        <w:t xml:space="preserve"> determine whether, despite their allegations, trial is in fact necessary to resolve their dispute.’</w:t>
      </w:r>
      <w:r w:rsidR="00066CFC" w:rsidRPr="00AC1306">
        <w:t xml:space="preserve">  [Citations.]  And section 437c has always required the evidence relied on in supporting or opposing papers to be </w:t>
      </w:r>
      <w:r w:rsidR="00066CFC" w:rsidRPr="00AC1306">
        <w:rPr>
          <w:i/>
        </w:rPr>
        <w:t>admissible</w:t>
      </w:r>
      <w:r w:rsidR="00066CFC" w:rsidRPr="00AC1306">
        <w:t xml:space="preserve">.”  </w:t>
      </w:r>
      <w:r w:rsidR="00C02135" w:rsidRPr="00AC1306">
        <w:t>(</w:t>
      </w:r>
      <w:r w:rsidR="00C02135" w:rsidRPr="00AC1306">
        <w:rPr>
          <w:i/>
        </w:rPr>
        <w:t>Perry v. Bakewell Hawthorne, LLC</w:t>
      </w:r>
      <w:r w:rsidR="00275FA1" w:rsidRPr="00AC1306">
        <w:t xml:space="preserve"> (2017) 2 Cal.5th 536, 542 </w:t>
      </w:r>
      <w:r w:rsidR="00C02135" w:rsidRPr="00AC1306">
        <w:t>(</w:t>
      </w:r>
      <w:r w:rsidR="00C02135" w:rsidRPr="00AC1306">
        <w:rPr>
          <w:i/>
        </w:rPr>
        <w:t>Perry</w:t>
      </w:r>
      <w:r w:rsidR="00C02135" w:rsidRPr="00AC1306">
        <w:t>)</w:t>
      </w:r>
      <w:r w:rsidR="00275FA1" w:rsidRPr="00AC1306">
        <w:t>.)</w:t>
      </w:r>
      <w:r w:rsidR="00C02135" w:rsidRPr="00AC1306">
        <w:t xml:space="preserve">  </w:t>
      </w:r>
    </w:p>
    <w:p w14:paraId="580A77A8" w14:textId="77777777" w:rsidR="0081657A" w:rsidRPr="00AC1306" w:rsidRDefault="003D3EE4" w:rsidP="00AC1306">
      <w:pPr>
        <w:tabs>
          <w:tab w:val="left" w:pos="1440"/>
        </w:tabs>
        <w:ind w:firstLine="720"/>
      </w:pPr>
      <w:r>
        <w:t>T</w:t>
      </w:r>
      <w:r w:rsidR="00AA08C9" w:rsidRPr="00AC1306">
        <w:t xml:space="preserve">here are </w:t>
      </w:r>
      <w:proofErr w:type="gramStart"/>
      <w:r w:rsidR="00AA08C9" w:rsidRPr="00AC1306">
        <w:t>important differences</w:t>
      </w:r>
      <w:proofErr w:type="gramEnd"/>
      <w:r w:rsidR="00AA08C9" w:rsidRPr="00AC1306">
        <w:t xml:space="preserve"> between the two schemes</w:t>
      </w:r>
      <w:r w:rsidR="009E30B6">
        <w:t>.  C</w:t>
      </w:r>
      <w:r w:rsidR="00AA08C9" w:rsidRPr="00AC1306">
        <w:t xml:space="preserve">hief among them </w:t>
      </w:r>
      <w:r w:rsidR="009E30B6">
        <w:t xml:space="preserve">is </w:t>
      </w:r>
      <w:r w:rsidR="00AA08C9" w:rsidRPr="00AC1306">
        <w:t xml:space="preserve">that </w:t>
      </w:r>
      <w:r w:rsidR="00A87948" w:rsidRPr="00AC1306">
        <w:t xml:space="preserve">an </w:t>
      </w:r>
      <w:r w:rsidR="00AA08C9" w:rsidRPr="00AC1306">
        <w:t xml:space="preserve">anti-SLAPP motion is filed </w:t>
      </w:r>
      <w:proofErr w:type="gramStart"/>
      <w:r w:rsidR="00AA08C9" w:rsidRPr="00AC1306">
        <w:t>much</w:t>
      </w:r>
      <w:proofErr w:type="gramEnd"/>
      <w:r w:rsidR="00AA08C9" w:rsidRPr="00AC1306">
        <w:t xml:space="preserve"> earlier and </w:t>
      </w:r>
      <w:r w:rsidR="00281DD7">
        <w:t>before</w:t>
      </w:r>
      <w:r w:rsidR="00AA08C9" w:rsidRPr="00AC1306">
        <w:t xml:space="preserve"> discovery</w:t>
      </w:r>
      <w:r w:rsidR="00281DD7">
        <w:t>.  However</w:t>
      </w:r>
      <w:r w:rsidR="00AA08C9" w:rsidRPr="00AC1306">
        <w:t xml:space="preserve">, to the extent both schemes are designed to determine whether </w:t>
      </w:r>
      <w:r w:rsidR="00A37EB0">
        <w:t xml:space="preserve">a suit </w:t>
      </w:r>
      <w:r w:rsidR="004506C0">
        <w:t xml:space="preserve">should be allowed to move forward, </w:t>
      </w:r>
      <w:r w:rsidR="008E3C99" w:rsidRPr="00AC1306">
        <w:t xml:space="preserve">both schemes should require </w:t>
      </w:r>
      <w:r w:rsidR="00F73D8A">
        <w:t xml:space="preserve">a showing based on </w:t>
      </w:r>
      <w:r w:rsidR="008E3C99" w:rsidRPr="00AC1306">
        <w:t>evidence potentially admissible at trial</w:t>
      </w:r>
      <w:r w:rsidR="009C579A">
        <w:t xml:space="preserve"> presented in the proper form</w:t>
      </w:r>
      <w:r w:rsidR="008E3C99" w:rsidRPr="00AC1306">
        <w:t xml:space="preserve">.  </w:t>
      </w:r>
      <w:r w:rsidR="00123B93">
        <w:t xml:space="preserve">The grand jury transcripts at issue here satisfy this requirement.  </w:t>
      </w:r>
    </w:p>
    <w:p w14:paraId="249D411F" w14:textId="77777777" w:rsidR="00003839" w:rsidRPr="00AC1306" w:rsidRDefault="00E07DA0" w:rsidP="00AC1306">
      <w:pPr>
        <w:tabs>
          <w:tab w:val="left" w:pos="1440"/>
        </w:tabs>
        <w:ind w:firstLine="720"/>
      </w:pPr>
      <w:r w:rsidRPr="00AC1306">
        <w:lastRenderedPageBreak/>
        <w:t>Thus, i</w:t>
      </w:r>
      <w:r w:rsidR="00D12829" w:rsidRPr="00AC1306">
        <w:t xml:space="preserve">n determining a plaintiff’s probability of success, </w:t>
      </w:r>
      <w:r w:rsidR="00703A19" w:rsidRPr="00AC1306">
        <w:t xml:space="preserve">the court </w:t>
      </w:r>
      <w:r w:rsidR="00D12829" w:rsidRPr="00AC1306">
        <w:t xml:space="preserve">may consider </w:t>
      </w:r>
      <w:r w:rsidR="00097949">
        <w:t>statements</w:t>
      </w:r>
      <w:r w:rsidR="00D12829" w:rsidRPr="00AC1306">
        <w:t xml:space="preserve"> that are the equivalent of affidavits and declarations </w:t>
      </w:r>
      <w:r w:rsidR="00097949">
        <w:t xml:space="preserve">because they were made </w:t>
      </w:r>
      <w:r w:rsidR="00B70BB6" w:rsidRPr="00AC1306">
        <w:t xml:space="preserve">under oath or penalty of </w:t>
      </w:r>
      <w:proofErr w:type="gramStart"/>
      <w:r w:rsidR="00B70BB6" w:rsidRPr="00AC1306">
        <w:t>perjury</w:t>
      </w:r>
      <w:proofErr w:type="gramEnd"/>
      <w:r w:rsidR="00B70BB6" w:rsidRPr="00AC1306">
        <w:t xml:space="preserve"> </w:t>
      </w:r>
      <w:r w:rsidR="00703A19" w:rsidRPr="00AC1306">
        <w:t>in</w:t>
      </w:r>
      <w:r w:rsidR="00B70BB6" w:rsidRPr="00AC1306">
        <w:t xml:space="preserve"> California.  </w:t>
      </w:r>
      <w:r w:rsidR="00312046" w:rsidRPr="00AC1306">
        <w:t xml:space="preserve">Here, the change of plea forms, factual narratives, and the excerpts from the grand jury testimony satisfy this requirement.  </w:t>
      </w:r>
      <w:r w:rsidR="00DE1720">
        <w:t>T</w:t>
      </w:r>
      <w:r w:rsidR="00312046" w:rsidRPr="00AC1306">
        <w:t xml:space="preserve">hat </w:t>
      </w:r>
      <w:r w:rsidR="00C51615" w:rsidRPr="00AC1306">
        <w:t xml:space="preserve">conclusion </w:t>
      </w:r>
      <w:r w:rsidR="00312046" w:rsidRPr="00AC1306">
        <w:t xml:space="preserve">does not end </w:t>
      </w:r>
      <w:r w:rsidR="004D4A4D">
        <w:t>the</w:t>
      </w:r>
      <w:r w:rsidR="00312046" w:rsidRPr="00AC1306">
        <w:t xml:space="preserve"> inquiry.  </w:t>
      </w:r>
    </w:p>
    <w:p w14:paraId="3FD81AFA" w14:textId="77777777" w:rsidR="00003839" w:rsidRPr="008A00C2" w:rsidRDefault="00312046" w:rsidP="008A00C2">
      <w:pPr>
        <w:pStyle w:val="Heading2"/>
        <w:tabs>
          <w:tab w:val="clear" w:pos="1152"/>
          <w:tab w:val="left" w:pos="1260"/>
        </w:tabs>
        <w:ind w:left="0" w:firstLine="0"/>
        <w:rPr>
          <w:b w:val="0"/>
        </w:rPr>
      </w:pPr>
      <w:r w:rsidRPr="008A00C2">
        <w:rPr>
          <w:b w:val="0"/>
        </w:rPr>
        <w:t xml:space="preserve">C.  </w:t>
      </w:r>
      <w:r w:rsidRPr="008A00C2">
        <w:rPr>
          <w:b w:val="0"/>
          <w:i/>
        </w:rPr>
        <w:t>The Materials Must Describe Admissible Evidence</w:t>
      </w:r>
    </w:p>
    <w:p w14:paraId="608FC50E" w14:textId="77777777" w:rsidR="0077629E" w:rsidRPr="00AC1306" w:rsidRDefault="00912C80" w:rsidP="00AC1306">
      <w:pPr>
        <w:tabs>
          <w:tab w:val="left" w:pos="1440"/>
        </w:tabs>
        <w:ind w:firstLine="720"/>
      </w:pPr>
      <w:r w:rsidRPr="00AC1306">
        <w:t xml:space="preserve">In addition to submission in the proper form, courts </w:t>
      </w:r>
      <w:r w:rsidR="003E6213" w:rsidRPr="00AC1306">
        <w:t xml:space="preserve">have long required that the evidence </w:t>
      </w:r>
      <w:r w:rsidR="008F7115">
        <w:t xml:space="preserve">relied on by the plaintiff </w:t>
      </w:r>
      <w:r w:rsidR="003E6213" w:rsidRPr="00AC1306">
        <w:t xml:space="preserve">be admissible at trial.  </w:t>
      </w:r>
      <w:r w:rsidR="00F43AA3" w:rsidRPr="00AC1306">
        <w:rPr>
          <w:i/>
        </w:rPr>
        <w:t>Wilcox v. Superior Court</w:t>
      </w:r>
      <w:r w:rsidR="00F43AA3" w:rsidRPr="00AC1306">
        <w:t xml:space="preserve"> (1994) 27 Cal.App.4th 809 </w:t>
      </w:r>
      <w:r w:rsidR="004A27F5" w:rsidRPr="00AC1306">
        <w:t>(</w:t>
      </w:r>
      <w:r w:rsidR="004A27F5" w:rsidRPr="00AC1306">
        <w:rPr>
          <w:i/>
        </w:rPr>
        <w:t>Wilcox</w:t>
      </w:r>
      <w:r w:rsidR="004A27F5" w:rsidRPr="00AC1306">
        <w:t xml:space="preserve">) </w:t>
      </w:r>
      <w:r w:rsidR="00F43AA3" w:rsidRPr="00AC1306">
        <w:t xml:space="preserve">(overruled on another ground in </w:t>
      </w:r>
      <w:proofErr w:type="spellStart"/>
      <w:r w:rsidR="00F43AA3" w:rsidRPr="00AC1306">
        <w:rPr>
          <w:i/>
        </w:rPr>
        <w:t>Equilon</w:t>
      </w:r>
      <w:proofErr w:type="spellEnd"/>
      <w:r w:rsidR="00F43AA3" w:rsidRPr="00AC1306">
        <w:rPr>
          <w:i/>
        </w:rPr>
        <w:t xml:space="preserve"> Enterprises</w:t>
      </w:r>
      <w:r w:rsidR="00990EA2" w:rsidRPr="00AC1306">
        <w:rPr>
          <w:i/>
        </w:rPr>
        <w:t xml:space="preserve">, supra, </w:t>
      </w:r>
      <w:r w:rsidR="00F43AA3" w:rsidRPr="00AC1306">
        <w:t xml:space="preserve">29 Cal.4th </w:t>
      </w:r>
      <w:r w:rsidR="00990EA2" w:rsidRPr="00AC1306">
        <w:t>at p.</w:t>
      </w:r>
      <w:r w:rsidR="00F43AA3" w:rsidRPr="00AC1306">
        <w:t xml:space="preserve"> 68, fn. 5) </w:t>
      </w:r>
      <w:r w:rsidR="00FE765C">
        <w:t xml:space="preserve">explained </w:t>
      </w:r>
      <w:r w:rsidR="00F43AA3" w:rsidRPr="00AC1306">
        <w:t>that unless “the evidence referred to was admissible, or at least not objected to, . . . there would be nothing for the trier of fact to credit.”  (</w:t>
      </w:r>
      <w:r w:rsidR="002D1E87" w:rsidRPr="00AC1306">
        <w:rPr>
          <w:i/>
        </w:rPr>
        <w:t>Wilcox</w:t>
      </w:r>
      <w:r w:rsidR="002D1E87" w:rsidRPr="00AC1306">
        <w:t>,</w:t>
      </w:r>
      <w:r w:rsidR="00F43AA3" w:rsidRPr="00AC1306">
        <w:t xml:space="preserve"> at p. 830.)</w:t>
      </w:r>
      <w:r w:rsidR="004F3A46" w:rsidRPr="00AC1306">
        <w:t xml:space="preserve">  Similarly, </w:t>
      </w:r>
      <w:r w:rsidR="004F3A46" w:rsidRPr="00AC1306">
        <w:rPr>
          <w:i/>
        </w:rPr>
        <w:t xml:space="preserve">Evans v. </w:t>
      </w:r>
      <w:proofErr w:type="spellStart"/>
      <w:r w:rsidR="004F3A46" w:rsidRPr="00AC1306">
        <w:rPr>
          <w:i/>
        </w:rPr>
        <w:t>Unkow</w:t>
      </w:r>
      <w:proofErr w:type="spellEnd"/>
      <w:r w:rsidR="004F3A46" w:rsidRPr="00AC1306">
        <w:t xml:space="preserve"> (1995) 38 Cal.App.4th 1490</w:t>
      </w:r>
      <w:r w:rsidR="00A10B3D" w:rsidRPr="00AC1306">
        <w:t xml:space="preserve"> (</w:t>
      </w:r>
      <w:r w:rsidR="00A10B3D" w:rsidRPr="00AC1306">
        <w:rPr>
          <w:i/>
        </w:rPr>
        <w:t>Evans</w:t>
      </w:r>
      <w:r w:rsidR="00A10B3D" w:rsidRPr="00AC1306">
        <w:t>)</w:t>
      </w:r>
      <w:r w:rsidR="004F3A46" w:rsidRPr="00AC1306">
        <w:t xml:space="preserve">, observed that “[a]n assessment of the probability of prevailing on the claim looks to </w:t>
      </w:r>
      <w:r w:rsidR="004F3A46" w:rsidRPr="0099706B">
        <w:rPr>
          <w:i/>
        </w:rPr>
        <w:t>trial</w:t>
      </w:r>
      <w:r w:rsidR="004F3A46" w:rsidRPr="00AC1306">
        <w:t xml:space="preserve">, and the evidence that will be presented at that time.  [Citation.]  Such evidence must be </w:t>
      </w:r>
      <w:r w:rsidR="004F3A46" w:rsidRPr="00AC1306">
        <w:rPr>
          <w:i/>
        </w:rPr>
        <w:t>admissible</w:t>
      </w:r>
      <w:r w:rsidR="004F3A46" w:rsidRPr="00AC1306">
        <w:t>.”  (</w:t>
      </w:r>
      <w:r w:rsidR="004F3A46" w:rsidRPr="00AC1306">
        <w:rPr>
          <w:i/>
        </w:rPr>
        <w:t>Id</w:t>
      </w:r>
      <w:r w:rsidR="004F3A46" w:rsidRPr="00AC1306">
        <w:t>. at p. 1497</w:t>
      </w:r>
      <w:r w:rsidR="005222EC" w:rsidRPr="00AC1306">
        <w:t>; see also</w:t>
      </w:r>
      <w:r w:rsidR="002F7289" w:rsidRPr="00AC1306">
        <w:t xml:space="preserve"> </w:t>
      </w:r>
      <w:proofErr w:type="spellStart"/>
      <w:r w:rsidR="002F7289" w:rsidRPr="00AC1306">
        <w:rPr>
          <w:i/>
        </w:rPr>
        <w:t>Tuchscher</w:t>
      </w:r>
      <w:proofErr w:type="spellEnd"/>
      <w:r w:rsidR="002F7289" w:rsidRPr="00AC1306">
        <w:rPr>
          <w:i/>
        </w:rPr>
        <w:t xml:space="preserve"> Development Enterprises, Inc. v. San Diego Unified Port Dist.</w:t>
      </w:r>
      <w:r w:rsidR="002F7289" w:rsidRPr="00AC1306">
        <w:t xml:space="preserve"> (2003) 106 Cal.App.4th 1219, 1235-1238</w:t>
      </w:r>
      <w:r w:rsidR="007F6476" w:rsidRPr="00AC1306">
        <w:t xml:space="preserve"> (</w:t>
      </w:r>
      <w:proofErr w:type="spellStart"/>
      <w:r w:rsidR="007F6476" w:rsidRPr="00AC1306">
        <w:rPr>
          <w:i/>
        </w:rPr>
        <w:t>Tuchscher</w:t>
      </w:r>
      <w:proofErr w:type="spellEnd"/>
      <w:r w:rsidR="007F6476" w:rsidRPr="00AC1306">
        <w:rPr>
          <w:i/>
        </w:rPr>
        <w:t xml:space="preserve"> Development Enterprises</w:t>
      </w:r>
      <w:r w:rsidR="007F6476" w:rsidRPr="00AC1306">
        <w:t>)</w:t>
      </w:r>
      <w:r w:rsidR="002F7289" w:rsidRPr="00AC1306">
        <w:t xml:space="preserve">; </w:t>
      </w:r>
      <w:r w:rsidR="005222EC" w:rsidRPr="00AC1306">
        <w:rPr>
          <w:i/>
        </w:rPr>
        <w:t xml:space="preserve">Church of Scientology v. </w:t>
      </w:r>
      <w:proofErr w:type="spellStart"/>
      <w:r w:rsidR="005222EC" w:rsidRPr="00AC1306">
        <w:rPr>
          <w:i/>
        </w:rPr>
        <w:t>Wollersheim</w:t>
      </w:r>
      <w:proofErr w:type="spellEnd"/>
      <w:r w:rsidR="005222EC" w:rsidRPr="00AC1306">
        <w:t xml:space="preserve"> (1996) 42 Cal.App.4th 628, 656</w:t>
      </w:r>
      <w:r w:rsidR="00A10B3D" w:rsidRPr="00AC1306">
        <w:t xml:space="preserve"> (</w:t>
      </w:r>
      <w:r w:rsidR="00A10B3D" w:rsidRPr="00AC1306">
        <w:rPr>
          <w:i/>
        </w:rPr>
        <w:t>Church of Scientology</w:t>
      </w:r>
      <w:r w:rsidR="00A10B3D" w:rsidRPr="00AC1306">
        <w:t>)</w:t>
      </w:r>
      <w:r w:rsidR="005222EC" w:rsidRPr="00AC1306">
        <w:t xml:space="preserve">, overruled on another ground in </w:t>
      </w:r>
      <w:proofErr w:type="spellStart"/>
      <w:r w:rsidR="0030542B" w:rsidRPr="00AC1306">
        <w:rPr>
          <w:i/>
        </w:rPr>
        <w:t>Equilon</w:t>
      </w:r>
      <w:proofErr w:type="spellEnd"/>
      <w:r w:rsidR="0030542B" w:rsidRPr="00AC1306">
        <w:rPr>
          <w:i/>
        </w:rPr>
        <w:t xml:space="preserve"> Enterprises</w:t>
      </w:r>
      <w:r w:rsidR="00606C89" w:rsidRPr="00AC1306">
        <w:rPr>
          <w:i/>
        </w:rPr>
        <w:t>,</w:t>
      </w:r>
      <w:r w:rsidR="00606C89" w:rsidRPr="00AC1306">
        <w:t xml:space="preserve"> at p.</w:t>
      </w:r>
      <w:r w:rsidR="0030542B" w:rsidRPr="00AC1306">
        <w:rPr>
          <w:i/>
        </w:rPr>
        <w:t xml:space="preserve"> </w:t>
      </w:r>
      <w:r w:rsidR="0030542B" w:rsidRPr="00AC1306">
        <w:t xml:space="preserve">68, fn. 5.)  </w:t>
      </w:r>
    </w:p>
    <w:p w14:paraId="06879AEF" w14:textId="77777777" w:rsidR="007131BC" w:rsidRDefault="00CA56B0" w:rsidP="00AC1306">
      <w:pPr>
        <w:tabs>
          <w:tab w:val="left" w:pos="1440"/>
        </w:tabs>
        <w:ind w:firstLine="720"/>
      </w:pPr>
      <w:r w:rsidRPr="00AC1306">
        <w:rPr>
          <w:i/>
        </w:rPr>
        <w:t xml:space="preserve">Wilson v. Parker, Covert &amp; </w:t>
      </w:r>
      <w:proofErr w:type="spellStart"/>
      <w:r w:rsidRPr="00AC1306">
        <w:rPr>
          <w:i/>
        </w:rPr>
        <w:t>Chidester</w:t>
      </w:r>
      <w:proofErr w:type="spellEnd"/>
      <w:r w:rsidRPr="00AC1306">
        <w:t xml:space="preserve"> (2002) 28 Cal.4th 811</w:t>
      </w:r>
      <w:r w:rsidR="00474047" w:rsidRPr="00AC1306">
        <w:t xml:space="preserve"> held </w:t>
      </w:r>
      <w:r w:rsidR="008817CE" w:rsidRPr="00AC1306">
        <w:t xml:space="preserve">a malicious prosecution claim was precluded because the earlier </w:t>
      </w:r>
      <w:r w:rsidR="000D1CD1" w:rsidRPr="00AC1306">
        <w:t>denial of an anti-SLAPP motion established probable cause for a suit</w:t>
      </w:r>
      <w:r w:rsidR="00A60A24" w:rsidRPr="00AC1306">
        <w:t>.</w:t>
      </w:r>
      <w:r w:rsidR="0077629E" w:rsidRPr="00AC1306">
        <w:t xml:space="preserve">  </w:t>
      </w:r>
      <w:r w:rsidR="00CB7FBE" w:rsidRPr="00AC1306">
        <w:rPr>
          <w:i/>
        </w:rPr>
        <w:t>Wilson</w:t>
      </w:r>
      <w:r w:rsidR="00CB7FBE" w:rsidRPr="00AC1306">
        <w:t xml:space="preserve"> observed that </w:t>
      </w:r>
      <w:r w:rsidR="0077629E" w:rsidRPr="00AC1306">
        <w:t>“</w:t>
      </w:r>
      <w:r w:rsidR="00CB7FBE" w:rsidRPr="00AC1306">
        <w:t xml:space="preserve">[a] </w:t>
      </w:r>
      <w:r w:rsidR="0077629E" w:rsidRPr="00AC1306">
        <w:t xml:space="preserve">claim that </w:t>
      </w:r>
      <w:r w:rsidR="0077629E" w:rsidRPr="00AC1306">
        <w:lastRenderedPageBreak/>
        <w:t xml:space="preserve">is legally sufficient </w:t>
      </w:r>
      <w:r w:rsidR="0077629E" w:rsidRPr="00AC1306">
        <w:rPr>
          <w:i/>
        </w:rPr>
        <w:t>and can be substantiated by competent evidence</w:t>
      </w:r>
      <w:r w:rsidR="0077629E" w:rsidRPr="00AC1306">
        <w:t xml:space="preserve"> is</w:t>
      </w:r>
      <w:r w:rsidR="00CB7FBE" w:rsidRPr="00AC1306">
        <w:t> . . .</w:t>
      </w:r>
      <w:r w:rsidR="0077629E" w:rsidRPr="00AC1306">
        <w:t xml:space="preserve"> one that a ‘reasonable attorney would have thought .</w:t>
      </w:r>
      <w:r w:rsidR="00CB7FBE" w:rsidRPr="00AC1306">
        <w:t> </w:t>
      </w:r>
      <w:r w:rsidR="0077629E" w:rsidRPr="00AC1306">
        <w:t>.</w:t>
      </w:r>
      <w:r w:rsidR="00CB7FBE" w:rsidRPr="00AC1306">
        <w:t> </w:t>
      </w:r>
      <w:r w:rsidR="0077629E" w:rsidRPr="00AC1306">
        <w:t>. tenable.’ ”  (</w:t>
      </w:r>
      <w:r w:rsidR="0077629E" w:rsidRPr="00AC1306">
        <w:rPr>
          <w:i/>
        </w:rPr>
        <w:t>Id</w:t>
      </w:r>
      <w:r w:rsidR="0077629E" w:rsidRPr="00AC1306">
        <w:t>. at p. 821</w:t>
      </w:r>
      <w:r w:rsidR="007F6476" w:rsidRPr="00AC1306">
        <w:t>, italics added</w:t>
      </w:r>
      <w:r w:rsidR="0077629E" w:rsidRPr="00AC1306">
        <w:t xml:space="preserve">.)  </w:t>
      </w:r>
      <w:r w:rsidR="007F6476" w:rsidRPr="00AC1306">
        <w:t xml:space="preserve">As one court observed, </w:t>
      </w:r>
      <w:r w:rsidR="007F6476" w:rsidRPr="00AC1306">
        <w:rPr>
          <w:i/>
        </w:rPr>
        <w:t>Wilson</w:t>
      </w:r>
      <w:r w:rsidR="00F27576" w:rsidRPr="00AC1306">
        <w:t xml:space="preserve"> </w:t>
      </w:r>
      <w:r w:rsidR="007F6476" w:rsidRPr="00AC1306">
        <w:t>“contemplates a SLAPP plaintiff’s presentation of competent, i.e., admissible, evidence in support of its prima facie case in opposition to the motion.”  (</w:t>
      </w:r>
      <w:proofErr w:type="spellStart"/>
      <w:r w:rsidR="007F6476" w:rsidRPr="00AC1306">
        <w:rPr>
          <w:i/>
        </w:rPr>
        <w:t>Tuchscher</w:t>
      </w:r>
      <w:proofErr w:type="spellEnd"/>
      <w:r w:rsidR="007F6476" w:rsidRPr="00AC1306">
        <w:rPr>
          <w:i/>
        </w:rPr>
        <w:t xml:space="preserve"> Development Enterprises, </w:t>
      </w:r>
      <w:r w:rsidR="006E5F11" w:rsidRPr="00AC1306">
        <w:rPr>
          <w:i/>
        </w:rPr>
        <w:t xml:space="preserve">supra, </w:t>
      </w:r>
      <w:r w:rsidR="007F6476" w:rsidRPr="00AC1306">
        <w:t xml:space="preserve">106 Cal.App.4th </w:t>
      </w:r>
      <w:r w:rsidR="006E5F11" w:rsidRPr="00AC1306">
        <w:t>at p.</w:t>
      </w:r>
      <w:r w:rsidR="007F6476" w:rsidRPr="00AC1306">
        <w:t xml:space="preserve"> 1237.)</w:t>
      </w:r>
      <w:r w:rsidR="009266CB" w:rsidRPr="00AC1306">
        <w:t xml:space="preserve">  </w:t>
      </w:r>
      <w:proofErr w:type="spellStart"/>
      <w:r w:rsidR="00DB3169" w:rsidRPr="00AC1306">
        <w:rPr>
          <w:i/>
        </w:rPr>
        <w:t>Baral</w:t>
      </w:r>
      <w:proofErr w:type="spellEnd"/>
      <w:r w:rsidR="00DB3169" w:rsidRPr="00AC1306">
        <w:t xml:space="preserve"> </w:t>
      </w:r>
      <w:r w:rsidR="00086560" w:rsidRPr="00AC1306">
        <w:t>explained</w:t>
      </w:r>
      <w:r w:rsidR="001514F1">
        <w:t>, “T</w:t>
      </w:r>
      <w:r w:rsidR="00DB3169" w:rsidRPr="00AC1306">
        <w:t xml:space="preserve">he court, without resolving evidentiary conflicts, must determine whether the plaintiff’s showing, </w:t>
      </w:r>
      <w:r w:rsidR="00DB3169" w:rsidRPr="00AC1306">
        <w:rPr>
          <w:i/>
        </w:rPr>
        <w:t>if accepted by the trier of fact, would be sufficient to sustain a favorable judgment</w:t>
      </w:r>
      <w:r w:rsidR="00DB3169" w:rsidRPr="00AC1306">
        <w:t>.”  (</w:t>
      </w:r>
      <w:proofErr w:type="spellStart"/>
      <w:r w:rsidR="00DB3169" w:rsidRPr="00AC1306">
        <w:rPr>
          <w:i/>
        </w:rPr>
        <w:t>Baral</w:t>
      </w:r>
      <w:proofErr w:type="spellEnd"/>
      <w:r w:rsidR="00DB3169" w:rsidRPr="00AC1306">
        <w:rPr>
          <w:i/>
        </w:rPr>
        <w:t>, supra,</w:t>
      </w:r>
      <w:r w:rsidR="00DB3169" w:rsidRPr="00AC1306">
        <w:t xml:space="preserve"> 1 Cal.5th at p. 396, italics added.)  </w:t>
      </w:r>
    </w:p>
    <w:p w14:paraId="1B4F6512" w14:textId="77777777" w:rsidR="005222EC" w:rsidRPr="00AC1306" w:rsidRDefault="00F0768C" w:rsidP="00AC1306">
      <w:pPr>
        <w:tabs>
          <w:tab w:val="left" w:pos="1440"/>
        </w:tabs>
        <w:ind w:firstLine="720"/>
      </w:pPr>
      <w:r>
        <w:t xml:space="preserve">Defendants return to their reliance on the former testimony hearsay exception.  </w:t>
      </w:r>
      <w:r w:rsidR="00465AF5" w:rsidRPr="00AC1306">
        <w:t>(</w:t>
      </w:r>
      <w:proofErr w:type="spellStart"/>
      <w:r w:rsidR="00465AF5" w:rsidRPr="00AC1306">
        <w:t>Evid</w:t>
      </w:r>
      <w:proofErr w:type="spellEnd"/>
      <w:proofErr w:type="gramStart"/>
      <w:r w:rsidR="00465AF5" w:rsidRPr="00AC1306">
        <w:t xml:space="preserve">. </w:t>
      </w:r>
      <w:proofErr w:type="gramEnd"/>
      <w:r w:rsidR="00465AF5" w:rsidRPr="00AC1306">
        <w:t xml:space="preserve">Code, § 1292.)  </w:t>
      </w:r>
      <w:r w:rsidR="00CA679D" w:rsidRPr="00AC1306">
        <w:t xml:space="preserve">That exception requires the declarant </w:t>
      </w:r>
      <w:r>
        <w:t>be</w:t>
      </w:r>
      <w:r w:rsidR="00CA679D" w:rsidRPr="00AC1306">
        <w:t xml:space="preserve"> unavailable as a witness</w:t>
      </w:r>
      <w:r w:rsidR="009F362F">
        <w:t>,</w:t>
      </w:r>
      <w:r w:rsidR="00CA679D" w:rsidRPr="00AC1306">
        <w:t xml:space="preserve"> and “[t]he issue is such that the party to the action or proceeding in which the former testimony was given had the right and opportunity to cross–examine the declarant with an interest and motive similar to that which the party against whom the testimony is offered has at the hearing.”  (</w:t>
      </w:r>
      <w:proofErr w:type="spellStart"/>
      <w:r w:rsidR="00CA679D" w:rsidRPr="00AC1306">
        <w:t>Evid</w:t>
      </w:r>
      <w:proofErr w:type="spellEnd"/>
      <w:proofErr w:type="gramStart"/>
      <w:r w:rsidR="00CA679D" w:rsidRPr="00AC1306">
        <w:t xml:space="preserve">. </w:t>
      </w:r>
      <w:proofErr w:type="gramEnd"/>
      <w:r w:rsidR="00CA679D" w:rsidRPr="00AC1306">
        <w:t xml:space="preserve">Code, § 1292, </w:t>
      </w:r>
      <w:proofErr w:type="spellStart"/>
      <w:r w:rsidR="00CA679D" w:rsidRPr="00AC1306">
        <w:t>subd</w:t>
      </w:r>
      <w:proofErr w:type="spellEnd"/>
      <w:proofErr w:type="gramStart"/>
      <w:r w:rsidR="00CA679D" w:rsidRPr="00AC1306">
        <w:t xml:space="preserve">. </w:t>
      </w:r>
      <w:proofErr w:type="gramEnd"/>
      <w:r w:rsidR="00CA679D" w:rsidRPr="00AC1306">
        <w:t xml:space="preserve">(a)(3).)  </w:t>
      </w:r>
      <w:r w:rsidR="008061E0" w:rsidRPr="00AC1306">
        <w:t xml:space="preserve">Defendants contend, unless </w:t>
      </w:r>
      <w:r w:rsidR="00D104A6" w:rsidRPr="00AC1306">
        <w:t xml:space="preserve">this showing </w:t>
      </w:r>
      <w:r w:rsidR="008061E0" w:rsidRPr="00AC1306">
        <w:t xml:space="preserve">is definitively made </w:t>
      </w:r>
      <w:r w:rsidR="008061E0" w:rsidRPr="004E3715">
        <w:rPr>
          <w:i/>
        </w:rPr>
        <w:t>at the hearing</w:t>
      </w:r>
      <w:r w:rsidR="008061E0" w:rsidRPr="00AC1306">
        <w:t xml:space="preserve">, </w:t>
      </w:r>
      <w:r w:rsidR="00D104A6" w:rsidRPr="00AC1306">
        <w:t xml:space="preserve">a court may </w:t>
      </w:r>
      <w:r w:rsidR="008061E0" w:rsidRPr="00AC1306">
        <w:t xml:space="preserve">not </w:t>
      </w:r>
      <w:r w:rsidR="00D104A6" w:rsidRPr="00AC1306">
        <w:t xml:space="preserve">consider </w:t>
      </w:r>
      <w:r w:rsidR="008061E0" w:rsidRPr="00AC1306">
        <w:t xml:space="preserve">the statements </w:t>
      </w:r>
      <w:r w:rsidR="00D104A6" w:rsidRPr="00AC1306">
        <w:t xml:space="preserve">in determining the probability of </w:t>
      </w:r>
      <w:r w:rsidR="00754B8C">
        <w:t>success</w:t>
      </w:r>
      <w:r w:rsidR="00D104A6" w:rsidRPr="00AC1306">
        <w:t>.</w:t>
      </w:r>
      <w:r w:rsidR="008061E0" w:rsidRPr="00AC1306">
        <w:rPr>
          <w:rStyle w:val="FootnoteReference"/>
        </w:rPr>
        <w:footnoteReference w:id="12"/>
      </w:r>
      <w:r w:rsidR="00D104A6" w:rsidRPr="00AC1306">
        <w:t xml:space="preserve">  </w:t>
      </w:r>
      <w:r w:rsidR="00416709">
        <w:t xml:space="preserve">The argument runs ahead of itself and accordingly </w:t>
      </w:r>
      <w:r w:rsidR="00416709">
        <w:lastRenderedPageBreak/>
        <w:t xml:space="preserve">fails.  </w:t>
      </w:r>
      <w:r w:rsidR="004C6538" w:rsidRPr="00AC1306">
        <w:t xml:space="preserve">As explained below, </w:t>
      </w:r>
      <w:r w:rsidR="0086089A">
        <w:t xml:space="preserve">evidence may be considered at the </w:t>
      </w:r>
      <w:r w:rsidR="00123B93">
        <w:t>anti-</w:t>
      </w:r>
      <w:r w:rsidR="0086089A">
        <w:t xml:space="preserve">SLAPP motion stage if it is reasonably </w:t>
      </w:r>
      <w:r w:rsidR="0086089A" w:rsidRPr="004B6F24">
        <w:t>possible</w:t>
      </w:r>
      <w:r w:rsidR="0086089A">
        <w:t xml:space="preserve"> the evidence </w:t>
      </w:r>
      <w:r w:rsidR="004B6F24">
        <w:t>set out in supporting affidavits, d</w:t>
      </w:r>
      <w:r w:rsidR="0057017D">
        <w:t>eclarations or their equivalent</w:t>
      </w:r>
      <w:r w:rsidR="004B6F24">
        <w:t xml:space="preserve"> </w:t>
      </w:r>
      <w:r w:rsidR="0086089A">
        <w:t xml:space="preserve">will be admissible at trial.  </w:t>
      </w:r>
    </w:p>
    <w:p w14:paraId="4FE51764" w14:textId="77777777" w:rsidR="006E7BB6" w:rsidRPr="00AC1306" w:rsidRDefault="00176321" w:rsidP="00AC1306">
      <w:pPr>
        <w:tabs>
          <w:tab w:val="left" w:pos="1440"/>
        </w:tabs>
        <w:ind w:firstLine="720"/>
      </w:pPr>
      <w:r w:rsidRPr="00AC1306">
        <w:t xml:space="preserve">In </w:t>
      </w:r>
      <w:r w:rsidRPr="00AC1306">
        <w:rPr>
          <w:i/>
        </w:rPr>
        <w:t>Fashion 21 v. Coalition for Humane Immigrant Rights of Los Angeles</w:t>
      </w:r>
      <w:r w:rsidRPr="00AC1306">
        <w:t xml:space="preserve"> (2004) 117 Cal.App.4th 1138</w:t>
      </w:r>
      <w:r w:rsidR="00E236F8" w:rsidRPr="00AC1306">
        <w:t xml:space="preserve"> (</w:t>
      </w:r>
      <w:r w:rsidR="00E236F8" w:rsidRPr="00AC1306">
        <w:rPr>
          <w:i/>
        </w:rPr>
        <w:t>Fashion 21</w:t>
      </w:r>
      <w:r w:rsidR="00E236F8" w:rsidRPr="00AC1306">
        <w:t>)</w:t>
      </w:r>
      <w:r w:rsidRPr="00AC1306">
        <w:t>, a clothing retailer sued</w:t>
      </w:r>
      <w:r w:rsidR="00A12A99" w:rsidRPr="00AC1306">
        <w:t>, alleging the defendants</w:t>
      </w:r>
      <w:r w:rsidRPr="00AC1306">
        <w:t xml:space="preserve"> </w:t>
      </w:r>
      <w:r w:rsidR="004A7415" w:rsidRPr="00AC1306">
        <w:t>handed out defamatory flyers at demonstration</w:t>
      </w:r>
      <w:r w:rsidR="00ED3D1F" w:rsidRPr="00AC1306">
        <w:t>s</w:t>
      </w:r>
      <w:r w:rsidR="004A7415" w:rsidRPr="00AC1306">
        <w:t xml:space="preserve"> outside </w:t>
      </w:r>
      <w:r w:rsidR="007F37F7" w:rsidRPr="00AC1306">
        <w:t>the plaintiff</w:t>
      </w:r>
      <w:r w:rsidR="00ED3D1F" w:rsidRPr="00AC1306">
        <w:t>s</w:t>
      </w:r>
      <w:r w:rsidR="007F37F7" w:rsidRPr="00AC1306">
        <w:t>’</w:t>
      </w:r>
      <w:r w:rsidR="004A7415" w:rsidRPr="00AC1306">
        <w:t xml:space="preserve"> stores.  </w:t>
      </w:r>
      <w:r w:rsidR="0064473E" w:rsidRPr="00AC1306">
        <w:t>In response to the defendant</w:t>
      </w:r>
      <w:r w:rsidR="00F45E40" w:rsidRPr="00AC1306">
        <w:t>s</w:t>
      </w:r>
      <w:r w:rsidR="0064473E" w:rsidRPr="00AC1306">
        <w:t>’</w:t>
      </w:r>
      <w:r w:rsidR="00F45E40" w:rsidRPr="00AC1306">
        <w:t xml:space="preserve"> anti-SLAPP motion, </w:t>
      </w:r>
      <w:r w:rsidR="00141A6C" w:rsidRPr="00AC1306">
        <w:t>the plaintiff</w:t>
      </w:r>
      <w:r w:rsidR="0064473E" w:rsidRPr="00AC1306">
        <w:t>s</w:t>
      </w:r>
      <w:r w:rsidR="00141A6C" w:rsidRPr="00AC1306">
        <w:t xml:space="preserve"> presented an edited videotape purporting to show one of the demonstrations.  (</w:t>
      </w:r>
      <w:r w:rsidR="00141A6C" w:rsidRPr="00AC1306">
        <w:rPr>
          <w:i/>
        </w:rPr>
        <w:t>Id</w:t>
      </w:r>
      <w:r w:rsidR="00141A6C" w:rsidRPr="00AC1306">
        <w:t xml:space="preserve">. at p. 1145.)  </w:t>
      </w:r>
      <w:r w:rsidR="00B55767" w:rsidRPr="00AC1306">
        <w:t>The defendant</w:t>
      </w:r>
      <w:r w:rsidR="008B7D8D" w:rsidRPr="00AC1306">
        <w:t>s</w:t>
      </w:r>
      <w:r w:rsidR="00B55767" w:rsidRPr="00AC1306">
        <w:t xml:space="preserve"> objected </w:t>
      </w:r>
      <w:r w:rsidR="004A65D9" w:rsidRPr="00AC1306">
        <w:t>that</w:t>
      </w:r>
      <w:r w:rsidR="00B55767" w:rsidRPr="00AC1306">
        <w:t xml:space="preserve"> the </w:t>
      </w:r>
      <w:r w:rsidR="00DA6144">
        <w:t xml:space="preserve">edited </w:t>
      </w:r>
      <w:r w:rsidR="00B55767" w:rsidRPr="00AC1306">
        <w:t xml:space="preserve">videotape was not properly authenticated.  </w:t>
      </w:r>
      <w:r w:rsidR="004A65D9" w:rsidRPr="00AC1306">
        <w:t xml:space="preserve">The court acknowledged that “[h]ad this videotape been offered at trial, </w:t>
      </w:r>
      <w:r w:rsidR="00B5384C">
        <w:t>[the defendant</w:t>
      </w:r>
      <w:r w:rsidR="00151E94">
        <w:t>s’</w:t>
      </w:r>
      <w:r w:rsidR="00B5384C">
        <w:t>]</w:t>
      </w:r>
      <w:r w:rsidR="004A65D9" w:rsidRPr="00AC1306">
        <w:t xml:space="preserve"> object</w:t>
      </w:r>
      <w:r w:rsidR="0080632D" w:rsidRPr="00AC1306">
        <w:t>ion would have been well taken</w:t>
      </w:r>
      <w:r w:rsidR="004A65D9" w:rsidRPr="00AC1306">
        <w:t>” (</w:t>
      </w:r>
      <w:r w:rsidR="0080632D" w:rsidRPr="00AC1306">
        <w:rPr>
          <w:i/>
        </w:rPr>
        <w:t>i</w:t>
      </w:r>
      <w:r w:rsidR="004A65D9" w:rsidRPr="00AC1306">
        <w:rPr>
          <w:i/>
        </w:rPr>
        <w:t>d</w:t>
      </w:r>
      <w:proofErr w:type="gramStart"/>
      <w:r w:rsidR="0080632D" w:rsidRPr="00AC1306">
        <w:t xml:space="preserve">. </w:t>
      </w:r>
      <w:proofErr w:type="gramEnd"/>
      <w:r w:rsidR="0080632D" w:rsidRPr="00AC1306">
        <w:t>at p. 1146</w:t>
      </w:r>
      <w:r w:rsidR="004A65D9" w:rsidRPr="00AC1306">
        <w:t>)</w:t>
      </w:r>
      <w:r w:rsidR="0080632D" w:rsidRPr="00AC1306">
        <w:t>, noting that, under Evidence Code section 1402, authentication required a showing</w:t>
      </w:r>
      <w:r w:rsidR="00983600" w:rsidRPr="00AC1306">
        <w:t xml:space="preserve"> </w:t>
      </w:r>
      <w:r w:rsidR="0080632D" w:rsidRPr="00AC1306">
        <w:t xml:space="preserve">that “the alteration did not change the </w:t>
      </w:r>
      <w:r w:rsidR="006776D3" w:rsidRPr="00AC1306">
        <w:t>meaning . . . of the instrument</w:t>
      </w:r>
      <w:r w:rsidR="0080632D" w:rsidRPr="00AC1306">
        <w:t>”</w:t>
      </w:r>
      <w:r w:rsidR="006776D3" w:rsidRPr="00AC1306">
        <w:t xml:space="preserve"> (</w:t>
      </w:r>
      <w:proofErr w:type="spellStart"/>
      <w:r w:rsidR="006776D3" w:rsidRPr="00AC1306">
        <w:t>Evid</w:t>
      </w:r>
      <w:proofErr w:type="spellEnd"/>
      <w:proofErr w:type="gramStart"/>
      <w:r w:rsidR="006776D3" w:rsidRPr="00AC1306">
        <w:t xml:space="preserve">. </w:t>
      </w:r>
      <w:proofErr w:type="gramEnd"/>
      <w:r w:rsidR="006776D3" w:rsidRPr="00AC1306">
        <w:t>Code, § 1402).</w:t>
      </w:r>
      <w:r w:rsidR="0080632D" w:rsidRPr="00AC1306">
        <w:t xml:space="preserve">  (See </w:t>
      </w:r>
      <w:r w:rsidR="0080632D" w:rsidRPr="00AC1306">
        <w:rPr>
          <w:i/>
        </w:rPr>
        <w:t>Fashion 21</w:t>
      </w:r>
      <w:r w:rsidR="00AA56C4" w:rsidRPr="00AC1306">
        <w:t xml:space="preserve">, at </w:t>
      </w:r>
      <w:r w:rsidR="00C505E6" w:rsidRPr="00AC1306">
        <w:t>p. 1146, fn. 9</w:t>
      </w:r>
      <w:r w:rsidR="0080632D" w:rsidRPr="00AC1306">
        <w:t>.)</w:t>
      </w:r>
      <w:r w:rsidR="00257EFE" w:rsidRPr="00AC1306">
        <w:rPr>
          <w:rStyle w:val="FootnoteReference"/>
        </w:rPr>
        <w:footnoteReference w:id="13"/>
      </w:r>
      <w:r w:rsidR="0080632D" w:rsidRPr="00AC1306">
        <w:t xml:space="preserve">  </w:t>
      </w:r>
      <w:r w:rsidR="006E7BB6" w:rsidRPr="00AC1306">
        <w:t xml:space="preserve">However, the court </w:t>
      </w:r>
      <w:r w:rsidR="00983600" w:rsidRPr="00AC1306">
        <w:t>concluded</w:t>
      </w:r>
      <w:r w:rsidR="006E7BB6" w:rsidRPr="00AC1306">
        <w:t xml:space="preserve"> the videotape</w:t>
      </w:r>
      <w:r w:rsidR="00607715" w:rsidRPr="00AC1306">
        <w:t xml:space="preserve"> could be </w:t>
      </w:r>
      <w:r w:rsidR="00607715" w:rsidRPr="00AC1306">
        <w:lastRenderedPageBreak/>
        <w:t>considered</w:t>
      </w:r>
      <w:r w:rsidR="006E7BB6" w:rsidRPr="00AC1306">
        <w:t>:  “[T]he proper view of ‘admissible evidence’ for purposes of the SLAPP statute is evidence which, by its nature, is capable of being admitted at trial, i.e., evidence which is competent, relevant and not barred by a substantive rule.  Courts have thus excluded evidence which would be barred at trial by the hearsay rule, or because it is speculative, not based on personal knowledge or consists of impermissible opinion testimony.  This type of evidence cannot be used by the plaintiff to establish a probability of success on the merits because it could</w:t>
      </w:r>
      <w:r w:rsidR="006E7BB6" w:rsidRPr="00AC1306">
        <w:rPr>
          <w:i/>
        </w:rPr>
        <w:t xml:space="preserve"> never </w:t>
      </w:r>
      <w:r w:rsidR="006E7BB6" w:rsidRPr="00AC1306">
        <w:t xml:space="preserve">be introduced at trial. . . .  [¶] </w:t>
      </w:r>
      <w:r w:rsidR="003B21EC" w:rsidRPr="00AC1306">
        <w:t xml:space="preserve"> </w:t>
      </w:r>
      <w:r w:rsidR="006E7BB6" w:rsidRPr="00AC1306">
        <w:t>Evidence such as the videotape in this case, which is only excludable on the ground it lacks proper authentication, stands on a different footing in terms of its ability to support the plaintiffs’ cause of action.</w:t>
      </w:r>
      <w:r w:rsidR="0056438E" w:rsidRPr="00AC1306">
        <w:t> . . .</w:t>
      </w:r>
      <w:r w:rsidR="006E7BB6" w:rsidRPr="00AC1306">
        <w:t xml:space="preserve">  </w:t>
      </w:r>
      <w:r w:rsidR="0056438E" w:rsidRPr="00AC1306">
        <w:t>[E]</w:t>
      </w:r>
      <w:proofErr w:type="spellStart"/>
      <w:r w:rsidR="006E7BB6" w:rsidRPr="00AC1306">
        <w:t>vidence</w:t>
      </w:r>
      <w:proofErr w:type="spellEnd"/>
      <w:r w:rsidR="006E7BB6" w:rsidRPr="00AC1306">
        <w:t xml:space="preserve"> that is made inadmissible only because the plaintiff failed to satisfy a precondition to its admissibility </w:t>
      </w:r>
      <w:r w:rsidR="007F2080" w:rsidRPr="00AC1306">
        <w:t xml:space="preserve">[at trial] </w:t>
      </w:r>
      <w:r w:rsidR="006E7BB6" w:rsidRPr="00AC1306">
        <w:t>could support a judgment for the plaintiff assuming the precondition could be satisfied.”  (</w:t>
      </w:r>
      <w:r w:rsidR="006E7BB6" w:rsidRPr="00AC1306">
        <w:rPr>
          <w:i/>
        </w:rPr>
        <w:t>Id</w:t>
      </w:r>
      <w:r w:rsidR="006E7BB6" w:rsidRPr="00AC1306">
        <w:t>. at pp. 1147-1148</w:t>
      </w:r>
      <w:r w:rsidR="00794623" w:rsidRPr="00AC1306">
        <w:t>, italics added</w:t>
      </w:r>
      <w:r w:rsidR="00DC2BF1" w:rsidRPr="00AC1306">
        <w:t xml:space="preserve">, </w:t>
      </w:r>
      <w:proofErr w:type="spellStart"/>
      <w:r w:rsidR="00DC2BF1" w:rsidRPr="00AC1306">
        <w:t>fn</w:t>
      </w:r>
      <w:r w:rsidR="00A8244F" w:rsidRPr="00AC1306">
        <w:t>s</w:t>
      </w:r>
      <w:proofErr w:type="spellEnd"/>
      <w:proofErr w:type="gramStart"/>
      <w:r w:rsidR="00DC2BF1" w:rsidRPr="00AC1306">
        <w:t xml:space="preserve">. </w:t>
      </w:r>
      <w:proofErr w:type="gramEnd"/>
      <w:r w:rsidR="00DC2BF1" w:rsidRPr="00AC1306">
        <w:t>omitted</w:t>
      </w:r>
      <w:r w:rsidR="006E7BB6" w:rsidRPr="00AC1306">
        <w:t xml:space="preserve">.)  </w:t>
      </w:r>
      <w:r w:rsidR="00810FBD" w:rsidRPr="00AC1306">
        <w:rPr>
          <w:i/>
        </w:rPr>
        <w:t>Fashion 21</w:t>
      </w:r>
      <w:r w:rsidR="00810FBD" w:rsidRPr="00AC1306">
        <w:t xml:space="preserve"> concluded:  “Given the high probability Fashion 21 would succeed in offering the videotape into evidence at trial and the ‘minimal’ showing necessary to overcome a SLAPP motion, we hold the trial court did not commit reversible error in considering the videotape in </w:t>
      </w:r>
      <w:r w:rsidR="00810FBD" w:rsidRPr="00AC1306">
        <w:lastRenderedPageBreak/>
        <w:t>determining Fashion 21’s likelihood of prevailing</w:t>
      </w:r>
      <w:r w:rsidR="00563503" w:rsidRPr="00AC1306">
        <w:t> . . . </w:t>
      </w:r>
      <w:r w:rsidR="00810FBD" w:rsidRPr="00AC1306">
        <w:t>.”  (</w:t>
      </w:r>
      <w:r w:rsidR="00810FBD" w:rsidRPr="00AC1306">
        <w:rPr>
          <w:i/>
        </w:rPr>
        <w:t>Id</w:t>
      </w:r>
      <w:r w:rsidR="00810FBD" w:rsidRPr="00AC1306">
        <w:t>. at p. 1148</w:t>
      </w:r>
      <w:r w:rsidR="00DC2BF1" w:rsidRPr="00AC1306">
        <w:t>, fn. omitted</w:t>
      </w:r>
      <w:r w:rsidR="00810FBD" w:rsidRPr="00AC1306">
        <w:t xml:space="preserve">.)  </w:t>
      </w:r>
    </w:p>
    <w:p w14:paraId="22BF257B" w14:textId="77777777" w:rsidR="002D6616" w:rsidRPr="00AC1306" w:rsidRDefault="00C823B7" w:rsidP="00AC1306">
      <w:pPr>
        <w:tabs>
          <w:tab w:val="left" w:pos="1440"/>
        </w:tabs>
        <w:ind w:firstLine="720"/>
      </w:pPr>
      <w:r w:rsidRPr="00AC1306">
        <w:t xml:space="preserve">Other cases support the distinction between evidence that </w:t>
      </w:r>
      <w:r w:rsidRPr="00AC1306">
        <w:rPr>
          <w:i/>
        </w:rPr>
        <w:t>may</w:t>
      </w:r>
      <w:r w:rsidRPr="00AC1306">
        <w:t xml:space="preserve"> be admissible at trial and evidence that could </w:t>
      </w:r>
      <w:r w:rsidRPr="00AC1306">
        <w:rPr>
          <w:i/>
        </w:rPr>
        <w:t>never</w:t>
      </w:r>
      <w:r w:rsidRPr="00AC1306">
        <w:t xml:space="preserve"> be admitted.  </w:t>
      </w:r>
      <w:r w:rsidR="004A27F5" w:rsidRPr="00AC1306">
        <w:t xml:space="preserve">For example, </w:t>
      </w:r>
      <w:proofErr w:type="spellStart"/>
      <w:r w:rsidRPr="00AC1306">
        <w:rPr>
          <w:i/>
        </w:rPr>
        <w:t>Healthsmart</w:t>
      </w:r>
      <w:proofErr w:type="spellEnd"/>
      <w:r w:rsidRPr="00AC1306">
        <w:rPr>
          <w:i/>
        </w:rPr>
        <w:t xml:space="preserve"> Pacific, Inc. v. </w:t>
      </w:r>
      <w:proofErr w:type="spellStart"/>
      <w:r w:rsidRPr="00AC1306">
        <w:rPr>
          <w:i/>
        </w:rPr>
        <w:t>Kabateck</w:t>
      </w:r>
      <w:proofErr w:type="spellEnd"/>
      <w:r w:rsidRPr="00AC1306">
        <w:rPr>
          <w:i/>
        </w:rPr>
        <w:t xml:space="preserve"> </w:t>
      </w:r>
      <w:r w:rsidRPr="00AC1306">
        <w:t xml:space="preserve">(2016) 7 Cal.App.5th 416, affirmed </w:t>
      </w:r>
      <w:r w:rsidR="000741A1" w:rsidRPr="00AC1306">
        <w:t>the grant of an anti-SLAPP motion because the defamation suit there was based on privileged statements.  (</w:t>
      </w:r>
      <w:r w:rsidR="000741A1" w:rsidRPr="00AC1306">
        <w:rPr>
          <w:i/>
        </w:rPr>
        <w:t>Id</w:t>
      </w:r>
      <w:r w:rsidR="000741A1" w:rsidRPr="00AC1306">
        <w:t xml:space="preserve">. at pp. 430-437.)  </w:t>
      </w:r>
      <w:r w:rsidR="00290D18" w:rsidRPr="00AC1306">
        <w:rPr>
          <w:i/>
        </w:rPr>
        <w:t>Wilcox</w:t>
      </w:r>
      <w:r w:rsidR="00290D18" w:rsidRPr="00AC1306">
        <w:t xml:space="preserve"> </w:t>
      </w:r>
      <w:r w:rsidR="009F3AFA" w:rsidRPr="00AC1306">
        <w:t xml:space="preserve">reached a similar conclusion </w:t>
      </w:r>
      <w:r w:rsidR="003C13B1">
        <w:t xml:space="preserve">in another defamation case, concluding that the petitioner could not overcome a privilege.  </w:t>
      </w:r>
      <w:r w:rsidR="003C13B1" w:rsidRPr="00AC1306">
        <w:t>(</w:t>
      </w:r>
      <w:r w:rsidR="003C13B1" w:rsidRPr="00AC1306">
        <w:rPr>
          <w:i/>
        </w:rPr>
        <w:t>Wilcox, supra,</w:t>
      </w:r>
      <w:r w:rsidR="003C13B1" w:rsidRPr="00AC1306">
        <w:t xml:space="preserve"> 27 Cal.App.4th at pp. 825-827</w:t>
      </w:r>
      <w:r w:rsidR="003C13B1">
        <w:t xml:space="preserve">.)  </w:t>
      </w:r>
      <w:r w:rsidR="009F3AFA" w:rsidRPr="00AC1306">
        <w:t xml:space="preserve">The </w:t>
      </w:r>
      <w:r w:rsidR="003162BD" w:rsidRPr="00AC1306">
        <w:t xml:space="preserve">privileged statements </w:t>
      </w:r>
      <w:r w:rsidR="009F3AFA" w:rsidRPr="00AC1306">
        <w:t xml:space="preserve">in both cases </w:t>
      </w:r>
      <w:r w:rsidR="009E2571" w:rsidRPr="00AC1306">
        <w:t xml:space="preserve">could not be admitted </w:t>
      </w:r>
      <w:r w:rsidR="00DE528E">
        <w:t xml:space="preserve">by substantive rule.  </w:t>
      </w:r>
      <w:r w:rsidR="00DE218C">
        <w:t xml:space="preserve">Likewise, </w:t>
      </w:r>
      <w:r w:rsidR="00442170" w:rsidRPr="00AC1306">
        <w:rPr>
          <w:i/>
        </w:rPr>
        <w:t>Evans</w:t>
      </w:r>
      <w:r w:rsidR="00442170" w:rsidRPr="00AC1306">
        <w:t xml:space="preserve"> concluded </w:t>
      </w:r>
      <w:r w:rsidR="009E2571" w:rsidRPr="00AC1306">
        <w:t xml:space="preserve">a statement made only on </w:t>
      </w:r>
      <w:r w:rsidR="00442170" w:rsidRPr="00AC1306">
        <w:t xml:space="preserve">information and belief </w:t>
      </w:r>
      <w:r w:rsidR="009E2571" w:rsidRPr="00AC1306">
        <w:t>was incompetent</w:t>
      </w:r>
      <w:r w:rsidR="002E1EA8">
        <w:t xml:space="preserve"> for lack of personal knowledge</w:t>
      </w:r>
      <w:r w:rsidR="009E2571" w:rsidRPr="00AC1306">
        <w:t xml:space="preserve">.  </w:t>
      </w:r>
      <w:r w:rsidR="00442170" w:rsidRPr="00AC1306">
        <w:t>(</w:t>
      </w:r>
      <w:r w:rsidR="00442170" w:rsidRPr="00AC1306">
        <w:rPr>
          <w:i/>
        </w:rPr>
        <w:t>Evans, supra,</w:t>
      </w:r>
      <w:r w:rsidR="00442170" w:rsidRPr="00AC1306">
        <w:t xml:space="preserve"> 38 Cal.App.4th at p. 1498</w:t>
      </w:r>
      <w:r w:rsidR="00A77A75" w:rsidRPr="00AC1306">
        <w:t xml:space="preserve">.)  In other words, such evidence suffers from “the sort of evidentiary problem a plaintiff will be incapable of curing by the time of trial.”  </w:t>
      </w:r>
      <w:r w:rsidR="00D5438E" w:rsidRPr="00AC1306">
        <w:t>(</w:t>
      </w:r>
      <w:r w:rsidR="006A3FBE" w:rsidRPr="00AC1306">
        <w:rPr>
          <w:i/>
        </w:rPr>
        <w:t>Gallagher v. Connell</w:t>
      </w:r>
      <w:r w:rsidR="006A3FBE" w:rsidRPr="00AC1306">
        <w:t xml:space="preserve"> (2004) 123 Cal.App.4th 1260</w:t>
      </w:r>
      <w:r w:rsidR="008E366A" w:rsidRPr="00AC1306">
        <w:t xml:space="preserve">, 1269.)  </w:t>
      </w:r>
    </w:p>
    <w:p w14:paraId="1A0DA478" w14:textId="77777777" w:rsidR="00A10B3D" w:rsidRDefault="006E329C" w:rsidP="00AC1306">
      <w:pPr>
        <w:tabs>
          <w:tab w:val="left" w:pos="1440"/>
        </w:tabs>
        <w:ind w:firstLine="720"/>
      </w:pPr>
      <w:r w:rsidRPr="00AC1306">
        <w:t xml:space="preserve">Although not involving an anti-SLAPP motion, </w:t>
      </w:r>
      <w:r w:rsidRPr="00AC1306">
        <w:rPr>
          <w:i/>
        </w:rPr>
        <w:t>Perry v. Bakewell Hawthorne, LLC</w:t>
      </w:r>
      <w:r w:rsidR="00101A55" w:rsidRPr="00AC1306">
        <w:rPr>
          <w:i/>
        </w:rPr>
        <w:t xml:space="preserve">, supra, </w:t>
      </w:r>
      <w:r w:rsidRPr="00AC1306">
        <w:t xml:space="preserve">2 Cal.5th 536, </w:t>
      </w:r>
      <w:r w:rsidR="00045118" w:rsidRPr="00AC1306">
        <w:t xml:space="preserve">538, </w:t>
      </w:r>
      <w:r w:rsidRPr="00AC1306">
        <w:t>is instructive</w:t>
      </w:r>
      <w:r w:rsidR="006D48AD" w:rsidRPr="00AC1306">
        <w:t xml:space="preserve">:  “[W]hen </w:t>
      </w:r>
      <w:r w:rsidRPr="00AC1306">
        <w:t xml:space="preserve">the court determines an expert opinion is inadmissible because disclosure requirements were not met, the opinion must be excluded from consideration at summary judgment if an objection is raised.”  </w:t>
      </w:r>
      <w:r w:rsidR="00547004" w:rsidRPr="00AC1306">
        <w:rPr>
          <w:i/>
        </w:rPr>
        <w:t>Perry</w:t>
      </w:r>
      <w:r w:rsidR="00547004" w:rsidRPr="00AC1306">
        <w:t xml:space="preserve"> noted that the summary judgment statute required that supporting affidavits and declarations “set </w:t>
      </w:r>
      <w:r w:rsidR="00956FA5">
        <w:t>forth admissible evidence</w:t>
      </w:r>
      <w:r w:rsidR="00547004" w:rsidRPr="00AC1306">
        <w:t xml:space="preserve">.”  (§ 437c, </w:t>
      </w:r>
      <w:proofErr w:type="spellStart"/>
      <w:r w:rsidR="00547004" w:rsidRPr="00AC1306">
        <w:t>subd</w:t>
      </w:r>
      <w:proofErr w:type="spellEnd"/>
      <w:r w:rsidR="00547004" w:rsidRPr="00AC1306">
        <w:t>.</w:t>
      </w:r>
      <w:r w:rsidR="003D6972">
        <w:t> </w:t>
      </w:r>
      <w:r w:rsidR="00547004" w:rsidRPr="00AC1306">
        <w:t>(d)</w:t>
      </w:r>
      <w:r w:rsidR="00EE5F13" w:rsidRPr="00AC1306">
        <w:t xml:space="preserve">; see </w:t>
      </w:r>
      <w:r w:rsidR="00EE5F13" w:rsidRPr="00AC1306">
        <w:rPr>
          <w:i/>
        </w:rPr>
        <w:t>Perry</w:t>
      </w:r>
      <w:r w:rsidR="00EE5F13" w:rsidRPr="00AC1306">
        <w:t>, at p. 541</w:t>
      </w:r>
      <w:r w:rsidR="00547004" w:rsidRPr="00AC1306">
        <w:t xml:space="preserve">.)  </w:t>
      </w:r>
      <w:r w:rsidR="00F7547C" w:rsidRPr="00AC1306">
        <w:t>“The condition that an expert’s declaration must set out admissible evidence, however, has determinative importance.</w:t>
      </w:r>
      <w:r w:rsidR="00465DAF" w:rsidRPr="00AC1306">
        <w:t> . . .</w:t>
      </w:r>
      <w:r w:rsidR="00F7547C" w:rsidRPr="00AC1306">
        <w:t xml:space="preserve">  </w:t>
      </w:r>
      <w:r w:rsidR="00465DAF" w:rsidRPr="00AC1306">
        <w:t>[T]</w:t>
      </w:r>
      <w:r w:rsidR="00F7547C" w:rsidRPr="00AC1306">
        <w:t xml:space="preserve">he summary judgment </w:t>
      </w:r>
      <w:r w:rsidR="00F7547C" w:rsidRPr="00AC1306">
        <w:lastRenderedPageBreak/>
        <w:t xml:space="preserve">statute still requires the evidence provided in declarations to be </w:t>
      </w:r>
      <w:r w:rsidR="00F7547C" w:rsidRPr="00AC1306">
        <w:rPr>
          <w:i/>
        </w:rPr>
        <w:t>admissible at trial</w:t>
      </w:r>
      <w:r w:rsidR="00F7547C" w:rsidRPr="00AC1306">
        <w:t xml:space="preserve">.  [Citations.]  Declarations themselves are not ordinarily admissible because they are hearsay.  But the </w:t>
      </w:r>
      <w:r w:rsidR="00F7547C" w:rsidRPr="00AC1306">
        <w:rPr>
          <w:i/>
        </w:rPr>
        <w:t>Kennedy</w:t>
      </w:r>
      <w:r w:rsidR="00F7547C" w:rsidRPr="00AC1306">
        <w:t xml:space="preserve"> court [</w:t>
      </w:r>
      <w:r w:rsidR="00F7547C" w:rsidRPr="00AC1306">
        <w:rPr>
          <w:i/>
        </w:rPr>
        <w:t>Kennedy v. Modesto City Hosp.</w:t>
      </w:r>
      <w:r w:rsidR="00F7547C" w:rsidRPr="00AC1306">
        <w:t xml:space="preserve"> (1990) 221 Cal.App.3d 575] erred when it suggested that the evidence contained in summary judgment declarations need not be admissible at trial.”  (</w:t>
      </w:r>
      <w:r w:rsidR="00F7547C" w:rsidRPr="00AC1306">
        <w:rPr>
          <w:i/>
        </w:rPr>
        <w:t>Perry</w:t>
      </w:r>
      <w:r w:rsidR="00F7547C" w:rsidRPr="00AC1306">
        <w:t xml:space="preserve">, at p. 541.)  </w:t>
      </w:r>
      <w:r w:rsidR="005143E4" w:rsidRPr="00AC1306">
        <w:rPr>
          <w:i/>
        </w:rPr>
        <w:t>Perry</w:t>
      </w:r>
      <w:r w:rsidR="005143E4" w:rsidRPr="00AC1306">
        <w:t xml:space="preserve"> reasoned that, because the failure to comply with the disclosure statute rendered the evidence </w:t>
      </w:r>
      <w:r w:rsidR="00753B5A" w:rsidRPr="00AC1306">
        <w:t xml:space="preserve">incurably </w:t>
      </w:r>
      <w:r w:rsidR="005143E4" w:rsidRPr="00AC1306">
        <w:t>inadmissible at trial, it could not properly be considered in ruling on a summary judgment motion.  (</w:t>
      </w:r>
      <w:r w:rsidR="005143E4" w:rsidRPr="00AC1306">
        <w:rPr>
          <w:i/>
        </w:rPr>
        <w:t>Id</w:t>
      </w:r>
      <w:r w:rsidR="005143E4" w:rsidRPr="00AC1306">
        <w:t>. at pp. 541-543.)</w:t>
      </w:r>
      <w:r w:rsidR="00822DCA">
        <w:rPr>
          <w:rStyle w:val="FootnoteReference"/>
        </w:rPr>
        <w:footnoteReference w:id="14"/>
      </w:r>
      <w:r w:rsidR="005143E4" w:rsidRPr="00AC1306">
        <w:t xml:space="preserve">  </w:t>
      </w:r>
    </w:p>
    <w:p w14:paraId="186B5FB2" w14:textId="77777777" w:rsidR="00523E54" w:rsidRPr="00523E54" w:rsidRDefault="00523E54" w:rsidP="00523E54">
      <w:pPr>
        <w:ind w:firstLine="720"/>
        <w:rPr>
          <w:rFonts w:eastAsia="Calibri"/>
          <w:szCs w:val="27"/>
        </w:rPr>
      </w:pPr>
      <w:r w:rsidRPr="00523E54">
        <w:rPr>
          <w:rFonts w:eastAsia="Calibri"/>
          <w:szCs w:val="27"/>
        </w:rPr>
        <w:t xml:space="preserve">This case, like </w:t>
      </w:r>
      <w:r w:rsidRPr="00523E54">
        <w:rPr>
          <w:rFonts w:eastAsia="Calibri"/>
          <w:i/>
          <w:iCs/>
          <w:szCs w:val="27"/>
        </w:rPr>
        <w:t>Fashion 21</w:t>
      </w:r>
      <w:r w:rsidRPr="00523E54">
        <w:rPr>
          <w:rFonts w:eastAsia="Calibri"/>
          <w:szCs w:val="27"/>
        </w:rPr>
        <w:t>, describes evidence that is potentially admissible at trial.</w:t>
      </w:r>
      <w:r>
        <w:rPr>
          <w:rFonts w:eastAsia="Calibri"/>
          <w:szCs w:val="27"/>
        </w:rPr>
        <w:t xml:space="preserve"> </w:t>
      </w:r>
      <w:r w:rsidRPr="00523E54">
        <w:rPr>
          <w:rFonts w:eastAsia="Calibri"/>
          <w:szCs w:val="27"/>
        </w:rPr>
        <w:t xml:space="preserve"> Here, unlike the facts in </w:t>
      </w:r>
      <w:r w:rsidRPr="00523E54">
        <w:rPr>
          <w:rFonts w:eastAsia="Calibri"/>
          <w:i/>
          <w:iCs/>
          <w:szCs w:val="27"/>
        </w:rPr>
        <w:t>Perry</w:t>
      </w:r>
      <w:r w:rsidRPr="00523E54">
        <w:rPr>
          <w:rFonts w:eastAsia="Calibri"/>
          <w:szCs w:val="27"/>
        </w:rPr>
        <w:t>, there is no categorical bar to statements contained in the grand jury transcript and plea forms.</w:t>
      </w:r>
      <w:r w:rsidR="00BF52A6">
        <w:rPr>
          <w:rFonts w:eastAsia="Calibri"/>
          <w:szCs w:val="27"/>
        </w:rPr>
        <w:t xml:space="preserve"> </w:t>
      </w:r>
      <w:r w:rsidRPr="00523E54">
        <w:rPr>
          <w:rFonts w:eastAsia="Calibri"/>
          <w:szCs w:val="27"/>
        </w:rPr>
        <w:t xml:space="preserve"> Indeed, the statements themselves appear to be statements against interest.</w:t>
      </w:r>
      <w:r w:rsidR="00BF52A6">
        <w:rPr>
          <w:rFonts w:eastAsia="Calibri"/>
          <w:szCs w:val="27"/>
        </w:rPr>
        <w:t xml:space="preserve"> </w:t>
      </w:r>
      <w:r w:rsidRPr="00523E54">
        <w:rPr>
          <w:rFonts w:eastAsia="Calibri"/>
          <w:szCs w:val="27"/>
        </w:rPr>
        <w:t xml:space="preserve"> (</w:t>
      </w:r>
      <w:proofErr w:type="spellStart"/>
      <w:r w:rsidRPr="00523E54">
        <w:rPr>
          <w:rFonts w:eastAsia="Calibri"/>
          <w:szCs w:val="27"/>
        </w:rPr>
        <w:t>Evid</w:t>
      </w:r>
      <w:proofErr w:type="spellEnd"/>
      <w:proofErr w:type="gramStart"/>
      <w:r w:rsidRPr="00523E54">
        <w:rPr>
          <w:rFonts w:eastAsia="Calibri"/>
          <w:szCs w:val="27"/>
        </w:rPr>
        <w:t xml:space="preserve">. </w:t>
      </w:r>
      <w:proofErr w:type="gramEnd"/>
      <w:r w:rsidRPr="00523E54">
        <w:rPr>
          <w:rFonts w:eastAsia="Calibri"/>
          <w:szCs w:val="27"/>
        </w:rPr>
        <w:t>Code, § 1230.)</w:t>
      </w:r>
      <w:r>
        <w:rPr>
          <w:rFonts w:eastAsia="Calibri"/>
          <w:szCs w:val="27"/>
        </w:rPr>
        <w:t xml:space="preserve"> </w:t>
      </w:r>
      <w:r w:rsidRPr="00523E54">
        <w:rPr>
          <w:rFonts w:eastAsia="Calibri"/>
          <w:szCs w:val="27"/>
        </w:rPr>
        <w:t xml:space="preserve"> Further, there are no undisputed factual circumstances suggesting the evidence would be inadmissible at trial.</w:t>
      </w:r>
      <w:r w:rsidR="009713F2">
        <w:rPr>
          <w:rFonts w:eastAsia="Calibri"/>
          <w:szCs w:val="27"/>
        </w:rPr>
        <w:t xml:space="preserve"> </w:t>
      </w:r>
      <w:r w:rsidRPr="00523E54">
        <w:rPr>
          <w:rFonts w:eastAsia="Calibri"/>
          <w:szCs w:val="27"/>
        </w:rPr>
        <w:t xml:space="preserve"> In </w:t>
      </w:r>
      <w:r w:rsidRPr="00523E54">
        <w:rPr>
          <w:rFonts w:eastAsia="Calibri"/>
          <w:i/>
          <w:iCs/>
          <w:szCs w:val="27"/>
        </w:rPr>
        <w:t>Fashion 21</w:t>
      </w:r>
      <w:r w:rsidRPr="00523E54">
        <w:rPr>
          <w:rFonts w:eastAsia="Calibri"/>
          <w:szCs w:val="27"/>
        </w:rPr>
        <w:t>, the videotape at issue could be admitted at trial if properly authenticated.</w:t>
      </w:r>
      <w:r>
        <w:rPr>
          <w:rFonts w:eastAsia="Calibri"/>
          <w:szCs w:val="27"/>
        </w:rPr>
        <w:t xml:space="preserve"> </w:t>
      </w:r>
      <w:r w:rsidRPr="00523E54">
        <w:rPr>
          <w:rFonts w:eastAsia="Calibri"/>
          <w:szCs w:val="27"/>
        </w:rPr>
        <w:t xml:space="preserve"> </w:t>
      </w:r>
      <w:r w:rsidR="000D5605">
        <w:rPr>
          <w:rFonts w:eastAsia="Calibri"/>
          <w:szCs w:val="27"/>
        </w:rPr>
        <w:t>I</w:t>
      </w:r>
      <w:r w:rsidRPr="00523E54">
        <w:rPr>
          <w:rFonts w:eastAsia="Calibri"/>
          <w:szCs w:val="27"/>
        </w:rPr>
        <w:t>n the videotaped demonstration, “employees and representatives of Fashion 21 . . . along with” others were present (</w:t>
      </w:r>
      <w:r w:rsidRPr="00523E54">
        <w:rPr>
          <w:rFonts w:eastAsia="Calibri"/>
          <w:i/>
          <w:iCs/>
          <w:szCs w:val="27"/>
        </w:rPr>
        <w:t>Fashion 21, supra,</w:t>
      </w:r>
      <w:r w:rsidRPr="00523E54">
        <w:rPr>
          <w:rFonts w:eastAsia="Calibri"/>
          <w:szCs w:val="27"/>
        </w:rPr>
        <w:t xml:space="preserve"> 117 Cal.App.4th at p. 1145), suggesting there were identifiable</w:t>
      </w:r>
      <w:r w:rsidRPr="00523E54">
        <w:rPr>
          <w:rFonts w:eastAsia="Calibri"/>
          <w:color w:val="0070C0"/>
          <w:szCs w:val="27"/>
        </w:rPr>
        <w:t xml:space="preserve"> </w:t>
      </w:r>
      <w:r w:rsidRPr="00523E54">
        <w:rPr>
          <w:rFonts w:eastAsia="Calibri"/>
          <w:szCs w:val="27"/>
        </w:rPr>
        <w:t>witnesses who had personal knowledge of the events.</w:t>
      </w:r>
      <w:r w:rsidR="009713F2">
        <w:rPr>
          <w:rFonts w:eastAsia="Calibri"/>
          <w:szCs w:val="27"/>
        </w:rPr>
        <w:t xml:space="preserve"> </w:t>
      </w:r>
      <w:r w:rsidRPr="00523E54">
        <w:rPr>
          <w:rFonts w:eastAsia="Calibri"/>
          <w:szCs w:val="27"/>
        </w:rPr>
        <w:t xml:space="preserve"> The </w:t>
      </w:r>
      <w:r w:rsidRPr="00523E54">
        <w:rPr>
          <w:rFonts w:eastAsia="Calibri"/>
          <w:szCs w:val="27"/>
        </w:rPr>
        <w:lastRenderedPageBreak/>
        <w:t>signers of those documents or other competent witnesses could testify at trial to support the District’s claims.</w:t>
      </w:r>
      <w:r w:rsidR="00D1417D">
        <w:rPr>
          <w:rFonts w:eastAsia="Calibri"/>
          <w:szCs w:val="27"/>
        </w:rPr>
        <w:t xml:space="preserve"> </w:t>
      </w:r>
      <w:r w:rsidRPr="00523E54">
        <w:rPr>
          <w:rFonts w:eastAsia="Calibri"/>
          <w:szCs w:val="27"/>
        </w:rPr>
        <w:t xml:space="preserve"> That live testimony would supplant any improper reliance on hearsay.</w:t>
      </w:r>
      <w:r w:rsidR="00CD08B3">
        <w:rPr>
          <w:rFonts w:eastAsia="Calibri"/>
          <w:szCs w:val="27"/>
        </w:rPr>
        <w:t xml:space="preserve"> </w:t>
      </w:r>
      <w:r w:rsidRPr="00523E54">
        <w:rPr>
          <w:rFonts w:eastAsia="Calibri"/>
          <w:szCs w:val="27"/>
        </w:rPr>
        <w:t xml:space="preserve"> Finally, plaintiff would have the opportunity to satisfy the requirements of any other applicable hearsay exceptions before admission at trial.</w:t>
      </w:r>
      <w:r w:rsidR="003F2154">
        <w:rPr>
          <w:rFonts w:eastAsia="Calibri"/>
          <w:szCs w:val="27"/>
        </w:rPr>
        <w:t xml:space="preserve"> </w:t>
      </w:r>
      <w:r w:rsidRPr="00523E54">
        <w:rPr>
          <w:rFonts w:eastAsia="Calibri"/>
          <w:szCs w:val="27"/>
        </w:rPr>
        <w:t xml:space="preserve"> </w:t>
      </w:r>
    </w:p>
    <w:p w14:paraId="6A42E9CE" w14:textId="77777777" w:rsidR="00D47DB2" w:rsidRPr="00AC1306" w:rsidRDefault="00D921EA" w:rsidP="00AC1306">
      <w:pPr>
        <w:tabs>
          <w:tab w:val="left" w:pos="1440"/>
        </w:tabs>
        <w:ind w:firstLine="720"/>
      </w:pPr>
      <w:r w:rsidRPr="00AC1306">
        <w:t xml:space="preserve">Our observation in the previous section regarding the timing of an anti-SLAPP motion and the stay of discovery applies equally here.  </w:t>
      </w:r>
      <w:r w:rsidR="00664296">
        <w:t>I</w:t>
      </w:r>
      <w:r w:rsidR="003C3E1D" w:rsidRPr="00AC1306">
        <w:t xml:space="preserve">t may not be possible </w:t>
      </w:r>
      <w:r w:rsidR="00A40E01" w:rsidRPr="00AC1306">
        <w:t xml:space="preserve">at the hearing to lay a foundation for trial admission, </w:t>
      </w:r>
      <w:r w:rsidR="003C3E1D" w:rsidRPr="00AC1306">
        <w:t xml:space="preserve">even if such a showing could be made after full discovery.  </w:t>
      </w:r>
      <w:r w:rsidR="008412F0">
        <w:t xml:space="preserve">While </w:t>
      </w:r>
      <w:r w:rsidR="007565DD" w:rsidRPr="00AC1306">
        <w:t xml:space="preserve">it may prove difficult </w:t>
      </w:r>
      <w:r w:rsidR="00562409" w:rsidRPr="00AC1306">
        <w:t xml:space="preserve">at this early stage </w:t>
      </w:r>
      <w:r w:rsidR="007565DD" w:rsidRPr="00AC1306">
        <w:t xml:space="preserve">to obtain declarations from those who have pled guilty </w:t>
      </w:r>
      <w:r w:rsidR="005D1967">
        <w:t xml:space="preserve">in the </w:t>
      </w:r>
      <w:r w:rsidR="007565DD" w:rsidRPr="00AC1306">
        <w:t xml:space="preserve">bribery </w:t>
      </w:r>
      <w:r w:rsidR="005D1967">
        <w:t xml:space="preserve">case, </w:t>
      </w:r>
      <w:r w:rsidR="00562409" w:rsidRPr="00AC1306">
        <w:t xml:space="preserve">it is </w:t>
      </w:r>
      <w:proofErr w:type="gramStart"/>
      <w:r w:rsidR="00562409" w:rsidRPr="00AC1306">
        <w:t>not unreasonable</w:t>
      </w:r>
      <w:proofErr w:type="gramEnd"/>
      <w:r w:rsidR="00562409" w:rsidRPr="00AC1306">
        <w:t xml:space="preserve"> to expect that those witnesses may be deposed and/or produced for trial.  </w:t>
      </w:r>
      <w:r w:rsidR="007565DD" w:rsidRPr="00AC1306">
        <w:t xml:space="preserve">To strike a complaint for failure to meet evidentiary obstacles that may be overcome at trial would not serve the </w:t>
      </w:r>
      <w:r w:rsidR="002D11A4" w:rsidRPr="00AC1306">
        <w:t xml:space="preserve">SLAPP Act’s </w:t>
      </w:r>
      <w:r w:rsidR="007565DD" w:rsidRPr="00AC1306">
        <w:t xml:space="preserve">protective purposes.  </w:t>
      </w:r>
      <w:r w:rsidR="00643B1A" w:rsidRPr="00AC1306">
        <w:t xml:space="preserve">Ultimately, the SLAPP Act </w:t>
      </w:r>
      <w:r w:rsidR="00D47DB2" w:rsidRPr="00AC1306">
        <w:t>was “intended to end meritless SLAPP suits early without great cost to the target</w:t>
      </w:r>
      <w:r w:rsidR="001709C4" w:rsidRPr="00AC1306">
        <w:t>” (</w:t>
      </w:r>
      <w:r w:rsidR="00D47DB2" w:rsidRPr="00AC1306">
        <w:rPr>
          <w:i/>
        </w:rPr>
        <w:t xml:space="preserve">Newport Harbor Ventures, </w:t>
      </w:r>
      <w:r w:rsidR="001709C4" w:rsidRPr="00AC1306">
        <w:rPr>
          <w:i/>
        </w:rPr>
        <w:t xml:space="preserve">supra, </w:t>
      </w:r>
      <w:r w:rsidR="00D47DB2" w:rsidRPr="00AC1306">
        <w:t xml:space="preserve">4 Cal.5th </w:t>
      </w:r>
      <w:r w:rsidR="001709C4" w:rsidRPr="00AC1306">
        <w:t>at p.</w:t>
      </w:r>
      <w:r w:rsidR="00D47DB2" w:rsidRPr="00AC1306">
        <w:t xml:space="preserve"> 644)</w:t>
      </w:r>
      <w:r w:rsidR="001709C4" w:rsidRPr="00AC1306">
        <w:t xml:space="preserve">, </w:t>
      </w:r>
      <w:r w:rsidR="001709C4" w:rsidRPr="00AC1306">
        <w:rPr>
          <w:i/>
        </w:rPr>
        <w:t>not</w:t>
      </w:r>
      <w:r w:rsidR="001709C4" w:rsidRPr="00AC1306">
        <w:t xml:space="preserve"> to abort potentially meritorious claims due to a lack of discovery.  </w:t>
      </w:r>
      <w:r w:rsidR="00DB070F">
        <w:t>N</w:t>
      </w:r>
      <w:r w:rsidR="00435774" w:rsidRPr="00AC1306">
        <w:t xml:space="preserve">otwithstanding the discovery </w:t>
      </w:r>
      <w:r w:rsidR="002717C4">
        <w:t xml:space="preserve">stay, </w:t>
      </w:r>
      <w:r w:rsidR="00435774" w:rsidRPr="00AC1306">
        <w:t xml:space="preserve">the court has discretion to order, upon </w:t>
      </w:r>
      <w:proofErr w:type="gramStart"/>
      <w:r w:rsidR="00435774" w:rsidRPr="00AC1306">
        <w:t>good cause</w:t>
      </w:r>
      <w:proofErr w:type="gramEnd"/>
      <w:r w:rsidR="00435774" w:rsidRPr="00AC1306">
        <w:t>, specified discovery</w:t>
      </w:r>
      <w:r w:rsidR="008B5CB7" w:rsidRPr="00AC1306">
        <w:t xml:space="preserve"> if required to overcome the hurdle of potential </w:t>
      </w:r>
      <w:r w:rsidR="00BA25EA">
        <w:t>in</w:t>
      </w:r>
      <w:r w:rsidR="008B5CB7" w:rsidRPr="00AC1306">
        <w:t>admissibility</w:t>
      </w:r>
      <w:r w:rsidR="001C24E2" w:rsidRPr="00AC1306">
        <w:t xml:space="preserve">.  (§ 425.16, </w:t>
      </w:r>
      <w:proofErr w:type="spellStart"/>
      <w:r w:rsidR="001C24E2" w:rsidRPr="00AC1306">
        <w:t>subd</w:t>
      </w:r>
      <w:proofErr w:type="spellEnd"/>
      <w:proofErr w:type="gramStart"/>
      <w:r w:rsidR="001C24E2" w:rsidRPr="00AC1306">
        <w:t xml:space="preserve">. </w:t>
      </w:r>
      <w:proofErr w:type="gramEnd"/>
      <w:r w:rsidR="001C24E2" w:rsidRPr="00AC1306">
        <w:t xml:space="preserve">(g).)  </w:t>
      </w:r>
    </w:p>
    <w:p w14:paraId="2410823E" w14:textId="77777777" w:rsidR="003D0CE4" w:rsidRPr="00AC1306" w:rsidRDefault="001614AF" w:rsidP="00AC1306">
      <w:pPr>
        <w:tabs>
          <w:tab w:val="left" w:pos="1440"/>
        </w:tabs>
        <w:ind w:firstLine="720"/>
      </w:pPr>
      <w:r w:rsidRPr="00AC1306">
        <w:t xml:space="preserve">In sum, </w:t>
      </w:r>
      <w:r w:rsidR="00EF0E08" w:rsidRPr="00AC1306">
        <w:t xml:space="preserve">at the second stage of </w:t>
      </w:r>
      <w:r w:rsidR="00D97E31">
        <w:t>an</w:t>
      </w:r>
      <w:r w:rsidR="00EF0E08" w:rsidRPr="00AC1306">
        <w:t xml:space="preserve"> anti-SLAPP </w:t>
      </w:r>
      <w:r w:rsidR="00D97E31">
        <w:t>hearing</w:t>
      </w:r>
      <w:r w:rsidR="00EF0E08" w:rsidRPr="00AC1306">
        <w:t xml:space="preserve">, </w:t>
      </w:r>
      <w:r w:rsidR="0076757D" w:rsidRPr="00AC1306">
        <w:t xml:space="preserve">the court </w:t>
      </w:r>
      <w:r w:rsidR="00FB4805" w:rsidRPr="00AC1306">
        <w:t>may</w:t>
      </w:r>
      <w:r w:rsidR="0076757D" w:rsidRPr="00AC1306">
        <w:t xml:space="preserve"> consider </w:t>
      </w:r>
      <w:r w:rsidR="009F1EBC" w:rsidRPr="00AC1306">
        <w:t xml:space="preserve">affidavits, declarations, </w:t>
      </w:r>
      <w:r w:rsidR="00D97E31">
        <w:t>and</w:t>
      </w:r>
      <w:r w:rsidR="009F1EBC" w:rsidRPr="00AC1306">
        <w:t xml:space="preserve"> their equivalent</w:t>
      </w:r>
      <w:r w:rsidR="00D97E31">
        <w:t xml:space="preserve">s if it is reasonably possible the proffered evidence set out in those statements will be </w:t>
      </w:r>
      <w:r w:rsidR="0076757D" w:rsidRPr="00AC1306">
        <w:t xml:space="preserve">admissible at trial.  </w:t>
      </w:r>
      <w:r w:rsidR="00D97E31">
        <w:t xml:space="preserve">Conversely, if the evidence relied upon </w:t>
      </w:r>
      <w:r w:rsidR="00D97E31" w:rsidRPr="00D97E31">
        <w:rPr>
          <w:i/>
        </w:rPr>
        <w:t>cannot</w:t>
      </w:r>
      <w:r w:rsidR="00D97E31">
        <w:t xml:space="preserve"> </w:t>
      </w:r>
      <w:r w:rsidR="00B3643F" w:rsidRPr="00AC1306">
        <w:t xml:space="preserve">be admitted at trial, </w:t>
      </w:r>
      <w:r w:rsidR="006761E2" w:rsidRPr="006761E2">
        <w:t xml:space="preserve">because it is categorically </w:t>
      </w:r>
      <w:proofErr w:type="gramStart"/>
      <w:r w:rsidR="006761E2" w:rsidRPr="006761E2">
        <w:t>barred</w:t>
      </w:r>
      <w:proofErr w:type="gramEnd"/>
      <w:r w:rsidR="006761E2" w:rsidRPr="006761E2">
        <w:t xml:space="preserve"> or undisputed factual </w:t>
      </w:r>
      <w:r w:rsidR="006761E2" w:rsidRPr="006761E2">
        <w:lastRenderedPageBreak/>
        <w:t>circ</w:t>
      </w:r>
      <w:r w:rsidR="006761E2">
        <w:t xml:space="preserve">umstances show inadmissibility, </w:t>
      </w:r>
      <w:r w:rsidR="00B3643F" w:rsidRPr="00AC1306">
        <w:t xml:space="preserve">the court may not consider it in the face of an objection.  </w:t>
      </w:r>
      <w:r w:rsidR="00562409" w:rsidRPr="00AC1306">
        <w:t>I</w:t>
      </w:r>
      <w:r w:rsidR="00B020A1">
        <w:t>f an</w:t>
      </w:r>
      <w:r w:rsidR="00562409" w:rsidRPr="00AC1306">
        <w:t xml:space="preserve"> evidentiary objection</w:t>
      </w:r>
      <w:r w:rsidR="00B020A1">
        <w:t xml:space="preserve"> is made</w:t>
      </w:r>
      <w:r w:rsidR="00562409" w:rsidRPr="00AC1306">
        <w:t xml:space="preserve">, the plaintiff may attempt to cure the </w:t>
      </w:r>
      <w:r w:rsidR="00076AD1">
        <w:t xml:space="preserve">asserted </w:t>
      </w:r>
      <w:r w:rsidR="00562409" w:rsidRPr="00AC1306">
        <w:t xml:space="preserve">defect or demonstrate the defect is curable.  </w:t>
      </w:r>
    </w:p>
    <w:p w14:paraId="28614869" w14:textId="77777777" w:rsidR="003D0CE4" w:rsidRPr="00AC1306" w:rsidRDefault="00C93D84" w:rsidP="00AC1306">
      <w:pPr>
        <w:pStyle w:val="Heading1"/>
        <w:rPr>
          <w:b w:val="0"/>
        </w:rPr>
      </w:pPr>
      <w:r w:rsidRPr="00AC1306">
        <w:rPr>
          <w:b w:val="0"/>
        </w:rPr>
        <w:t>III.  DISPOSITION</w:t>
      </w:r>
    </w:p>
    <w:p w14:paraId="3723AD5A" w14:textId="77777777" w:rsidR="00407257" w:rsidRPr="00AC1306" w:rsidRDefault="00407257" w:rsidP="00AC1306">
      <w:pPr>
        <w:tabs>
          <w:tab w:val="left" w:pos="1440"/>
        </w:tabs>
        <w:ind w:firstLine="720"/>
      </w:pPr>
      <w:r w:rsidRPr="00AC1306">
        <w:t xml:space="preserve">The Court of Appeal’s judgment is affirmed.  </w:t>
      </w:r>
    </w:p>
    <w:p w14:paraId="6EBE1AED" w14:textId="77777777" w:rsidR="00DB66D9" w:rsidRDefault="00DB66D9" w:rsidP="00AC1306">
      <w:pPr>
        <w:tabs>
          <w:tab w:val="left" w:pos="1440"/>
        </w:tabs>
        <w:ind w:firstLine="720"/>
      </w:pPr>
    </w:p>
    <w:p w14:paraId="0E1BF002" w14:textId="77777777" w:rsidR="00FA63F6" w:rsidRPr="00FA63F6" w:rsidRDefault="00FA63F6" w:rsidP="00FA63F6">
      <w:pPr>
        <w:tabs>
          <w:tab w:val="left" w:pos="1440"/>
        </w:tabs>
        <w:ind w:firstLine="720"/>
        <w:jc w:val="right"/>
        <w:rPr>
          <w:b/>
        </w:rPr>
      </w:pPr>
      <w:r w:rsidRPr="00FA63F6">
        <w:rPr>
          <w:b/>
        </w:rPr>
        <w:t>CORRIGAN, J.</w:t>
      </w:r>
    </w:p>
    <w:p w14:paraId="60D34495" w14:textId="77777777" w:rsidR="00FA63F6" w:rsidRDefault="00FA63F6" w:rsidP="00AC1306">
      <w:pPr>
        <w:tabs>
          <w:tab w:val="left" w:pos="1440"/>
        </w:tabs>
        <w:ind w:firstLine="720"/>
      </w:pPr>
    </w:p>
    <w:p w14:paraId="23FAE963" w14:textId="77777777" w:rsidR="00FA63F6" w:rsidRPr="00106FD1" w:rsidRDefault="00FA63F6" w:rsidP="00FA63F6">
      <w:pPr>
        <w:tabs>
          <w:tab w:val="left" w:pos="1440"/>
        </w:tabs>
        <w:rPr>
          <w:b/>
        </w:rPr>
      </w:pPr>
      <w:r w:rsidRPr="00106FD1">
        <w:rPr>
          <w:b/>
        </w:rPr>
        <w:t>We Concur:</w:t>
      </w:r>
    </w:p>
    <w:p w14:paraId="6BD84BF6" w14:textId="77777777" w:rsidR="00FA63F6" w:rsidRDefault="00FA63F6" w:rsidP="00AC1306">
      <w:pPr>
        <w:tabs>
          <w:tab w:val="left" w:pos="1440"/>
        </w:tabs>
        <w:ind w:firstLine="720"/>
      </w:pPr>
    </w:p>
    <w:p w14:paraId="63E703C4" w14:textId="77777777" w:rsidR="00FA703F" w:rsidRDefault="00FA703F" w:rsidP="00FA703F">
      <w:pPr>
        <w:spacing w:after="0" w:line="240" w:lineRule="auto"/>
        <w:rPr>
          <w:rFonts w:ascii="Times New Roman" w:hAnsi="Times New Roman"/>
          <w:b/>
          <w:sz w:val="26"/>
          <w:szCs w:val="26"/>
        </w:rPr>
      </w:pPr>
      <w:r>
        <w:rPr>
          <w:b/>
          <w:szCs w:val="26"/>
        </w:rPr>
        <w:t>CANTIL-SAKAUYE, C. J.</w:t>
      </w:r>
    </w:p>
    <w:p w14:paraId="30886985" w14:textId="77777777" w:rsidR="00FA703F" w:rsidRDefault="00FA703F" w:rsidP="00FA703F">
      <w:pPr>
        <w:spacing w:after="0" w:line="240" w:lineRule="auto"/>
        <w:rPr>
          <w:b/>
          <w:szCs w:val="26"/>
        </w:rPr>
      </w:pPr>
      <w:r>
        <w:rPr>
          <w:b/>
          <w:szCs w:val="26"/>
        </w:rPr>
        <w:t xml:space="preserve">CHIN, J.  </w:t>
      </w:r>
    </w:p>
    <w:p w14:paraId="7C44DBB2" w14:textId="77777777" w:rsidR="00FA703F" w:rsidRDefault="00FA703F" w:rsidP="00FA703F">
      <w:pPr>
        <w:spacing w:after="0" w:line="240" w:lineRule="auto"/>
        <w:rPr>
          <w:b/>
          <w:szCs w:val="26"/>
        </w:rPr>
      </w:pPr>
      <w:r>
        <w:rPr>
          <w:b/>
          <w:szCs w:val="26"/>
        </w:rPr>
        <w:t xml:space="preserve">LIU, J.  </w:t>
      </w:r>
    </w:p>
    <w:p w14:paraId="78AD2755" w14:textId="77777777" w:rsidR="00FA703F" w:rsidRDefault="00FA703F" w:rsidP="00FA703F">
      <w:pPr>
        <w:spacing w:after="0" w:line="240" w:lineRule="auto"/>
        <w:rPr>
          <w:b/>
          <w:szCs w:val="26"/>
        </w:rPr>
      </w:pPr>
      <w:r>
        <w:rPr>
          <w:b/>
          <w:szCs w:val="26"/>
        </w:rPr>
        <w:t>CUÉLLAR, J.</w:t>
      </w:r>
    </w:p>
    <w:p w14:paraId="25CAE8D5" w14:textId="77777777" w:rsidR="00191D07" w:rsidRDefault="00FA703F" w:rsidP="00191D07">
      <w:pPr>
        <w:spacing w:after="0" w:line="240" w:lineRule="auto"/>
        <w:jc w:val="left"/>
        <w:rPr>
          <w:b/>
        </w:rPr>
        <w:sectPr w:rsidR="00191D07" w:rsidSect="00AC1306">
          <w:footerReference w:type="first" r:id="rId13"/>
          <w:footnotePr>
            <w:numRestart w:val="eachSect"/>
          </w:footnotePr>
          <w:pgSz w:w="12240" w:h="15840"/>
          <w:pgMar w:top="1800" w:right="2160" w:bottom="1440" w:left="2160" w:header="720" w:footer="720" w:gutter="0"/>
          <w:pgNumType w:start="1"/>
          <w:cols w:space="720"/>
          <w:titlePg/>
          <w:docGrid w:linePitch="367"/>
        </w:sectPr>
      </w:pPr>
      <w:r>
        <w:rPr>
          <w:b/>
        </w:rPr>
        <w:t xml:space="preserve">KRUGER, J.  </w:t>
      </w:r>
    </w:p>
    <w:p w14:paraId="7452FE14" w14:textId="77777777" w:rsidR="00FA703F" w:rsidRDefault="00FA703F" w:rsidP="00FA703F">
      <w:pPr>
        <w:spacing w:after="0" w:line="240" w:lineRule="auto"/>
        <w:rPr>
          <w:b/>
        </w:rPr>
      </w:pPr>
      <w:r>
        <w:rPr>
          <w:b/>
        </w:rPr>
        <w:t>MANELLA, J.</w:t>
      </w:r>
      <w:r>
        <w:rPr>
          <w:rStyle w:val="FootnoteReference"/>
          <w:b w:val="0"/>
        </w:rPr>
        <w:footnoteReference w:id="15"/>
      </w:r>
    </w:p>
    <w:p w14:paraId="2EEA4924" w14:textId="77777777" w:rsidR="003A40DD" w:rsidRDefault="003A40DD" w:rsidP="00AC1306">
      <w:pPr>
        <w:tabs>
          <w:tab w:val="left" w:pos="1440"/>
        </w:tabs>
        <w:ind w:firstLine="720"/>
        <w:sectPr w:rsidR="003A40DD" w:rsidSect="00191D07">
          <w:footnotePr>
            <w:numFmt w:val="chicago"/>
            <w:numRestart w:val="eachSect"/>
          </w:footnotePr>
          <w:type w:val="continuous"/>
          <w:pgSz w:w="12240" w:h="15840"/>
          <w:pgMar w:top="1800" w:right="2160" w:bottom="1440" w:left="2160" w:header="720" w:footer="720" w:gutter="0"/>
          <w:pgNumType w:start="1"/>
          <w:cols w:space="720"/>
          <w:titlePg/>
          <w:docGrid w:linePitch="367"/>
        </w:sectPr>
      </w:pPr>
    </w:p>
    <w:p w14:paraId="6D04B7ED" w14:textId="77777777" w:rsidR="003A40DD" w:rsidRPr="003A40DD" w:rsidRDefault="003A40DD" w:rsidP="003A40DD">
      <w:pPr>
        <w:spacing w:after="0" w:line="240" w:lineRule="auto"/>
        <w:jc w:val="left"/>
        <w:rPr>
          <w:rFonts w:ascii="Times New Roman" w:hAnsi="Times New Roman"/>
          <w:i/>
          <w:sz w:val="20"/>
        </w:rPr>
      </w:pPr>
      <w:r w:rsidRPr="003A40DD">
        <w:rPr>
          <w:rFonts w:ascii="Times New Roman" w:hAnsi="Times New Roman"/>
          <w:i/>
          <w:sz w:val="20"/>
        </w:rPr>
        <w:lastRenderedPageBreak/>
        <w:t>See next page for addresses and telephone numbers for counsel who argued in Supreme Court.</w:t>
      </w:r>
    </w:p>
    <w:p w14:paraId="6910F4BC" w14:textId="77777777" w:rsidR="003A40DD" w:rsidRPr="003A40DD" w:rsidRDefault="003A40DD" w:rsidP="003A40DD">
      <w:pPr>
        <w:spacing w:after="0" w:line="240" w:lineRule="auto"/>
        <w:jc w:val="left"/>
        <w:rPr>
          <w:rFonts w:ascii="Times New Roman" w:hAnsi="Times New Roman"/>
          <w:i/>
          <w:sz w:val="20"/>
        </w:rPr>
      </w:pPr>
    </w:p>
    <w:p w14:paraId="4A89B107" w14:textId="77777777" w:rsidR="003A40DD" w:rsidRPr="003A40DD" w:rsidRDefault="003A40DD" w:rsidP="003A40DD">
      <w:pPr>
        <w:spacing w:after="0" w:line="240" w:lineRule="auto"/>
        <w:jc w:val="left"/>
        <w:rPr>
          <w:rFonts w:ascii="Times New Roman" w:hAnsi="Times New Roman"/>
          <w:bCs/>
          <w:i/>
          <w:sz w:val="20"/>
        </w:rPr>
      </w:pPr>
      <w:r w:rsidRPr="003A40DD">
        <w:rPr>
          <w:rFonts w:ascii="Times New Roman" w:hAnsi="Times New Roman"/>
          <w:b/>
          <w:sz w:val="20"/>
        </w:rPr>
        <w:t>Name of Opinion</w:t>
      </w:r>
      <w:r w:rsidRPr="003A40DD">
        <w:rPr>
          <w:rFonts w:ascii="Times New Roman" w:hAnsi="Times New Roman"/>
          <w:sz w:val="20"/>
        </w:rPr>
        <w:t xml:space="preserve"> Sweetwater Union High School District v. Gilbane Building Company</w:t>
      </w:r>
    </w:p>
    <w:p w14:paraId="1F59467E" w14:textId="77777777" w:rsidR="003A40DD" w:rsidRPr="003A40DD" w:rsidRDefault="003A40DD" w:rsidP="003A40DD">
      <w:pPr>
        <w:spacing w:after="0" w:line="240" w:lineRule="auto"/>
        <w:jc w:val="left"/>
        <w:rPr>
          <w:rFonts w:ascii="Times New Roman" w:hAnsi="Times New Roman"/>
          <w:b/>
          <w:sz w:val="20"/>
        </w:rPr>
      </w:pPr>
      <w:r w:rsidRPr="003A40DD">
        <w:rPr>
          <w:rFonts w:ascii="Times New Roman" w:hAnsi="Times New Roman"/>
          <w:b/>
          <w:sz w:val="20"/>
        </w:rPr>
        <w:t>__________________________________________________________________________________</w:t>
      </w:r>
    </w:p>
    <w:p w14:paraId="3EF2074C" w14:textId="77777777" w:rsidR="003A40DD" w:rsidRPr="003A40DD" w:rsidRDefault="003A40DD" w:rsidP="003A40DD">
      <w:pPr>
        <w:spacing w:after="0" w:line="240" w:lineRule="auto"/>
        <w:jc w:val="left"/>
        <w:rPr>
          <w:rFonts w:ascii="Times New Roman" w:hAnsi="Times New Roman"/>
          <w:b/>
          <w:sz w:val="20"/>
        </w:rPr>
      </w:pPr>
    </w:p>
    <w:p w14:paraId="660EB8F0" w14:textId="77777777" w:rsidR="003A40DD" w:rsidRPr="003A40DD" w:rsidRDefault="003A40DD" w:rsidP="003A40DD">
      <w:pPr>
        <w:spacing w:after="0" w:line="240" w:lineRule="auto"/>
        <w:jc w:val="left"/>
        <w:rPr>
          <w:rFonts w:ascii="Times New Roman" w:hAnsi="Times New Roman"/>
          <w:bCs/>
          <w:sz w:val="20"/>
        </w:rPr>
      </w:pPr>
      <w:r w:rsidRPr="003A40DD">
        <w:rPr>
          <w:rFonts w:ascii="Times New Roman" w:hAnsi="Times New Roman"/>
          <w:b/>
          <w:sz w:val="20"/>
        </w:rPr>
        <w:t>Unpublished Opinion</w:t>
      </w:r>
    </w:p>
    <w:p w14:paraId="5DD9B038" w14:textId="77777777" w:rsidR="003A40DD" w:rsidRPr="003A40DD" w:rsidRDefault="003A40DD" w:rsidP="003A40DD">
      <w:pPr>
        <w:spacing w:after="0" w:line="240" w:lineRule="auto"/>
        <w:jc w:val="left"/>
        <w:rPr>
          <w:rFonts w:ascii="Times New Roman" w:hAnsi="Times New Roman"/>
          <w:sz w:val="20"/>
        </w:rPr>
      </w:pPr>
      <w:r w:rsidRPr="003A40DD">
        <w:rPr>
          <w:rFonts w:ascii="Times New Roman" w:hAnsi="Times New Roman"/>
          <w:b/>
          <w:sz w:val="20"/>
        </w:rPr>
        <w:t>Original Appeal</w:t>
      </w:r>
    </w:p>
    <w:p w14:paraId="034A36CE" w14:textId="77777777" w:rsidR="003A40DD" w:rsidRPr="003A40DD" w:rsidRDefault="003A40DD" w:rsidP="003A40DD">
      <w:pPr>
        <w:spacing w:after="0" w:line="240" w:lineRule="auto"/>
        <w:jc w:val="left"/>
        <w:rPr>
          <w:rFonts w:ascii="Times New Roman" w:hAnsi="Times New Roman"/>
          <w:b/>
          <w:sz w:val="20"/>
        </w:rPr>
      </w:pPr>
      <w:r w:rsidRPr="003A40DD">
        <w:rPr>
          <w:rFonts w:ascii="Times New Roman" w:hAnsi="Times New Roman"/>
          <w:b/>
          <w:sz w:val="20"/>
        </w:rPr>
        <w:t>Original Proceeding</w:t>
      </w:r>
    </w:p>
    <w:p w14:paraId="512523DF" w14:textId="77777777" w:rsidR="003A40DD" w:rsidRPr="003A40DD" w:rsidRDefault="003A40DD" w:rsidP="003A40DD">
      <w:pPr>
        <w:spacing w:after="0" w:line="240" w:lineRule="auto"/>
        <w:jc w:val="left"/>
        <w:rPr>
          <w:rFonts w:ascii="Times New Roman" w:hAnsi="Times New Roman"/>
          <w:sz w:val="20"/>
        </w:rPr>
      </w:pPr>
      <w:r w:rsidRPr="003A40DD">
        <w:rPr>
          <w:rFonts w:ascii="Times New Roman" w:hAnsi="Times New Roman"/>
          <w:b/>
          <w:sz w:val="20"/>
        </w:rPr>
        <w:t>Review Granted</w:t>
      </w:r>
      <w:r w:rsidRPr="003A40DD">
        <w:rPr>
          <w:rFonts w:ascii="Times New Roman" w:hAnsi="Times New Roman"/>
          <w:sz w:val="20"/>
        </w:rPr>
        <w:t xml:space="preserve"> XXX 245 Cal.App.4th 19</w:t>
      </w:r>
    </w:p>
    <w:p w14:paraId="18DE1435" w14:textId="77777777" w:rsidR="003A40DD" w:rsidRPr="003A40DD" w:rsidRDefault="003A40DD" w:rsidP="003A40DD">
      <w:pPr>
        <w:spacing w:after="0" w:line="240" w:lineRule="auto"/>
        <w:jc w:val="left"/>
        <w:rPr>
          <w:rFonts w:ascii="Times New Roman" w:hAnsi="Times New Roman"/>
          <w:b/>
          <w:sz w:val="20"/>
        </w:rPr>
      </w:pPr>
      <w:r w:rsidRPr="003A40DD">
        <w:rPr>
          <w:rFonts w:ascii="Times New Roman" w:hAnsi="Times New Roman"/>
          <w:b/>
          <w:sz w:val="20"/>
        </w:rPr>
        <w:t>Rehearing Granted</w:t>
      </w:r>
    </w:p>
    <w:p w14:paraId="1AB9F8D8" w14:textId="77777777" w:rsidR="003A40DD" w:rsidRPr="003A40DD" w:rsidRDefault="003A40DD" w:rsidP="003A40DD">
      <w:pPr>
        <w:spacing w:after="0" w:line="240" w:lineRule="auto"/>
        <w:jc w:val="left"/>
        <w:rPr>
          <w:rFonts w:ascii="Times New Roman" w:hAnsi="Times New Roman"/>
          <w:b/>
          <w:sz w:val="20"/>
        </w:rPr>
      </w:pPr>
    </w:p>
    <w:p w14:paraId="6B8C23CC" w14:textId="77777777" w:rsidR="003A40DD" w:rsidRPr="003A40DD" w:rsidRDefault="003A40DD" w:rsidP="003A40DD">
      <w:pPr>
        <w:spacing w:after="0" w:line="240" w:lineRule="auto"/>
        <w:jc w:val="left"/>
        <w:rPr>
          <w:rFonts w:ascii="Times New Roman" w:hAnsi="Times New Roman"/>
          <w:b/>
          <w:sz w:val="20"/>
        </w:rPr>
      </w:pPr>
      <w:r w:rsidRPr="003A40DD">
        <w:rPr>
          <w:rFonts w:ascii="Times New Roman" w:hAnsi="Times New Roman"/>
          <w:b/>
          <w:sz w:val="20"/>
        </w:rPr>
        <w:t>__________________________________________________________________________________</w:t>
      </w:r>
    </w:p>
    <w:p w14:paraId="7A464530" w14:textId="77777777" w:rsidR="003A40DD" w:rsidRPr="003A40DD" w:rsidRDefault="003A40DD" w:rsidP="003A40DD">
      <w:pPr>
        <w:spacing w:after="0" w:line="240" w:lineRule="auto"/>
        <w:jc w:val="left"/>
        <w:rPr>
          <w:rFonts w:ascii="Times New Roman" w:hAnsi="Times New Roman"/>
          <w:b/>
          <w:sz w:val="20"/>
        </w:rPr>
      </w:pPr>
    </w:p>
    <w:p w14:paraId="74D93AD8" w14:textId="77777777" w:rsidR="003A40DD" w:rsidRPr="003A40DD" w:rsidRDefault="003A40DD" w:rsidP="003A40DD">
      <w:pPr>
        <w:spacing w:after="0" w:line="240" w:lineRule="auto"/>
        <w:jc w:val="left"/>
        <w:rPr>
          <w:rFonts w:ascii="Times New Roman" w:hAnsi="Times New Roman"/>
          <w:bCs/>
          <w:sz w:val="20"/>
        </w:rPr>
      </w:pPr>
      <w:r w:rsidRPr="003A40DD">
        <w:rPr>
          <w:rFonts w:ascii="Times New Roman" w:hAnsi="Times New Roman"/>
          <w:b/>
          <w:sz w:val="20"/>
        </w:rPr>
        <w:t>Opinion No.</w:t>
      </w:r>
      <w:r w:rsidRPr="003A40DD">
        <w:rPr>
          <w:rFonts w:ascii="Times New Roman" w:hAnsi="Times New Roman"/>
          <w:sz w:val="20"/>
        </w:rPr>
        <w:t xml:space="preserve"> S233526</w:t>
      </w:r>
    </w:p>
    <w:p w14:paraId="4CB36CC6" w14:textId="77777777" w:rsidR="003A40DD" w:rsidRPr="003A40DD" w:rsidRDefault="003A40DD" w:rsidP="003A40DD">
      <w:pPr>
        <w:spacing w:after="0" w:line="240" w:lineRule="auto"/>
        <w:jc w:val="left"/>
        <w:rPr>
          <w:rFonts w:ascii="Times New Roman" w:hAnsi="Times New Roman"/>
          <w:bCs/>
          <w:sz w:val="20"/>
        </w:rPr>
      </w:pPr>
      <w:r w:rsidRPr="003A40DD">
        <w:rPr>
          <w:rFonts w:ascii="Times New Roman" w:hAnsi="Times New Roman"/>
          <w:b/>
          <w:sz w:val="20"/>
        </w:rPr>
        <w:t>Date Filed:</w:t>
      </w:r>
      <w:r w:rsidRPr="003A40DD">
        <w:rPr>
          <w:rFonts w:ascii="Times New Roman" w:hAnsi="Times New Roman"/>
          <w:sz w:val="20"/>
        </w:rPr>
        <w:t xml:space="preserve"> February 28, 2019</w:t>
      </w:r>
    </w:p>
    <w:p w14:paraId="1A60CEF5" w14:textId="77777777" w:rsidR="003A40DD" w:rsidRPr="003A40DD" w:rsidRDefault="003A40DD" w:rsidP="003A40DD">
      <w:pPr>
        <w:spacing w:after="0" w:line="240" w:lineRule="auto"/>
        <w:jc w:val="left"/>
        <w:rPr>
          <w:rFonts w:ascii="Times New Roman" w:hAnsi="Times New Roman"/>
          <w:b/>
          <w:sz w:val="20"/>
        </w:rPr>
      </w:pPr>
      <w:r w:rsidRPr="003A40DD">
        <w:rPr>
          <w:rFonts w:ascii="Times New Roman" w:hAnsi="Times New Roman"/>
          <w:b/>
          <w:sz w:val="20"/>
        </w:rPr>
        <w:t>__________________________________________________________________________________</w:t>
      </w:r>
    </w:p>
    <w:p w14:paraId="0EF05D7B" w14:textId="77777777" w:rsidR="003A40DD" w:rsidRPr="003A40DD" w:rsidRDefault="003A40DD" w:rsidP="003A40DD">
      <w:pPr>
        <w:spacing w:after="0" w:line="240" w:lineRule="auto"/>
        <w:jc w:val="left"/>
        <w:rPr>
          <w:rFonts w:ascii="Times New Roman" w:hAnsi="Times New Roman"/>
          <w:b/>
          <w:sz w:val="20"/>
        </w:rPr>
      </w:pPr>
    </w:p>
    <w:p w14:paraId="363EEE4F" w14:textId="77777777" w:rsidR="003A40DD" w:rsidRPr="003A40DD" w:rsidRDefault="003A40DD" w:rsidP="003A40DD">
      <w:pPr>
        <w:spacing w:after="0" w:line="240" w:lineRule="auto"/>
        <w:jc w:val="left"/>
        <w:rPr>
          <w:rFonts w:ascii="Times New Roman" w:hAnsi="Times New Roman"/>
          <w:bCs/>
          <w:sz w:val="20"/>
        </w:rPr>
      </w:pPr>
      <w:r w:rsidRPr="003A40DD">
        <w:rPr>
          <w:rFonts w:ascii="Times New Roman" w:hAnsi="Times New Roman"/>
          <w:b/>
          <w:sz w:val="20"/>
        </w:rPr>
        <w:t>Court:</w:t>
      </w:r>
      <w:r w:rsidRPr="003A40DD">
        <w:rPr>
          <w:rFonts w:ascii="Times New Roman" w:hAnsi="Times New Roman"/>
          <w:sz w:val="20"/>
        </w:rPr>
        <w:t xml:space="preserve"> Superior</w:t>
      </w:r>
    </w:p>
    <w:p w14:paraId="27491023" w14:textId="77777777" w:rsidR="003A40DD" w:rsidRPr="003A40DD" w:rsidRDefault="003A40DD" w:rsidP="003A40DD">
      <w:pPr>
        <w:spacing w:after="0" w:line="240" w:lineRule="auto"/>
        <w:jc w:val="left"/>
        <w:rPr>
          <w:rFonts w:ascii="Times New Roman" w:hAnsi="Times New Roman"/>
          <w:bCs/>
          <w:sz w:val="20"/>
        </w:rPr>
      </w:pPr>
      <w:r w:rsidRPr="003A40DD">
        <w:rPr>
          <w:rFonts w:ascii="Times New Roman" w:hAnsi="Times New Roman"/>
          <w:b/>
          <w:sz w:val="20"/>
        </w:rPr>
        <w:t>County:</w:t>
      </w:r>
      <w:r w:rsidRPr="003A40DD">
        <w:rPr>
          <w:rFonts w:ascii="Times New Roman" w:hAnsi="Times New Roman"/>
          <w:sz w:val="20"/>
        </w:rPr>
        <w:t xml:space="preserve"> San Diego</w:t>
      </w:r>
    </w:p>
    <w:p w14:paraId="38FCD479" w14:textId="77777777" w:rsidR="003A40DD" w:rsidRPr="003A40DD" w:rsidRDefault="003A40DD" w:rsidP="003A40DD">
      <w:pPr>
        <w:spacing w:after="0" w:line="240" w:lineRule="auto"/>
        <w:ind w:left="720" w:hanging="720"/>
        <w:jc w:val="left"/>
        <w:rPr>
          <w:rFonts w:ascii="Times New Roman" w:hAnsi="Times New Roman"/>
          <w:bCs/>
          <w:sz w:val="20"/>
        </w:rPr>
      </w:pPr>
      <w:r w:rsidRPr="003A40DD">
        <w:rPr>
          <w:rFonts w:ascii="Times New Roman" w:hAnsi="Times New Roman"/>
          <w:b/>
          <w:sz w:val="20"/>
        </w:rPr>
        <w:t>Judge:</w:t>
      </w:r>
      <w:r w:rsidRPr="003A40DD">
        <w:rPr>
          <w:rFonts w:ascii="Times New Roman" w:hAnsi="Times New Roman"/>
          <w:sz w:val="20"/>
        </w:rPr>
        <w:t xml:space="preserve"> Eddie C. Sturgeon</w:t>
      </w:r>
    </w:p>
    <w:p w14:paraId="567003EB" w14:textId="77777777" w:rsidR="003A40DD" w:rsidRPr="003A40DD" w:rsidRDefault="003A40DD" w:rsidP="003A40DD">
      <w:pPr>
        <w:spacing w:after="0" w:line="240" w:lineRule="auto"/>
        <w:jc w:val="left"/>
        <w:rPr>
          <w:rFonts w:ascii="Times New Roman" w:hAnsi="Times New Roman"/>
          <w:b/>
          <w:sz w:val="20"/>
        </w:rPr>
      </w:pPr>
    </w:p>
    <w:p w14:paraId="22531FAC" w14:textId="77777777" w:rsidR="003A40DD" w:rsidRPr="003A40DD" w:rsidRDefault="003A40DD" w:rsidP="003A40DD">
      <w:pPr>
        <w:spacing w:after="0" w:line="240" w:lineRule="auto"/>
        <w:jc w:val="left"/>
        <w:rPr>
          <w:rFonts w:ascii="Times New Roman" w:hAnsi="Times New Roman"/>
          <w:b/>
          <w:sz w:val="20"/>
        </w:rPr>
      </w:pPr>
      <w:r w:rsidRPr="003A40DD">
        <w:rPr>
          <w:rFonts w:ascii="Times New Roman" w:hAnsi="Times New Roman"/>
          <w:b/>
          <w:sz w:val="20"/>
        </w:rPr>
        <w:t>__________________________________________________________________________________</w:t>
      </w:r>
    </w:p>
    <w:p w14:paraId="69F2C008" w14:textId="77777777" w:rsidR="003A40DD" w:rsidRPr="003A40DD" w:rsidRDefault="003A40DD" w:rsidP="003A40DD">
      <w:pPr>
        <w:spacing w:after="0" w:line="240" w:lineRule="auto"/>
        <w:jc w:val="left"/>
        <w:rPr>
          <w:rFonts w:ascii="Times New Roman" w:hAnsi="Times New Roman"/>
          <w:b/>
          <w:sz w:val="20"/>
        </w:rPr>
      </w:pPr>
    </w:p>
    <w:p w14:paraId="20BDD5BD" w14:textId="77777777" w:rsidR="003A40DD" w:rsidRPr="003A40DD" w:rsidRDefault="003A40DD" w:rsidP="003A40DD">
      <w:pPr>
        <w:spacing w:after="0" w:line="240" w:lineRule="auto"/>
        <w:jc w:val="left"/>
        <w:rPr>
          <w:rFonts w:ascii="Times New Roman" w:hAnsi="Times New Roman"/>
          <w:b/>
          <w:sz w:val="20"/>
        </w:rPr>
      </w:pPr>
      <w:r w:rsidRPr="003A40DD">
        <w:rPr>
          <w:rFonts w:ascii="Times New Roman" w:hAnsi="Times New Roman"/>
          <w:b/>
          <w:sz w:val="20"/>
        </w:rPr>
        <w:t>Counsel:</w:t>
      </w:r>
    </w:p>
    <w:p w14:paraId="2DBD7D8A" w14:textId="77777777" w:rsidR="003A40DD" w:rsidRPr="003A40DD" w:rsidRDefault="003A40DD" w:rsidP="003A40DD">
      <w:pPr>
        <w:spacing w:after="0" w:line="240" w:lineRule="auto"/>
        <w:jc w:val="left"/>
        <w:rPr>
          <w:rFonts w:ascii="Times New Roman" w:hAnsi="Times New Roman"/>
          <w:b/>
          <w:sz w:val="20"/>
        </w:rPr>
      </w:pPr>
    </w:p>
    <w:p w14:paraId="5985F4B8" w14:textId="77777777" w:rsidR="003A40DD" w:rsidRPr="003A40DD" w:rsidRDefault="003A40DD" w:rsidP="003A40DD">
      <w:pPr>
        <w:spacing w:after="0" w:line="240" w:lineRule="auto"/>
        <w:jc w:val="left"/>
        <w:rPr>
          <w:rFonts w:ascii="Times New Roman" w:hAnsi="Times New Roman"/>
          <w:sz w:val="20"/>
        </w:rPr>
      </w:pPr>
      <w:r w:rsidRPr="003A40DD">
        <w:rPr>
          <w:rFonts w:ascii="Times New Roman" w:hAnsi="Times New Roman"/>
          <w:sz w:val="20"/>
        </w:rPr>
        <w:t xml:space="preserve">Dentons US, Charles A. Bird, Christian D. </w:t>
      </w:r>
      <w:proofErr w:type="gramStart"/>
      <w:r w:rsidRPr="003A40DD">
        <w:rPr>
          <w:rFonts w:ascii="Times New Roman" w:hAnsi="Times New Roman"/>
          <w:sz w:val="20"/>
        </w:rPr>
        <w:t>Humphreys</w:t>
      </w:r>
      <w:proofErr w:type="gramEnd"/>
      <w:r w:rsidRPr="003A40DD">
        <w:rPr>
          <w:rFonts w:ascii="Times New Roman" w:hAnsi="Times New Roman"/>
          <w:sz w:val="20"/>
        </w:rPr>
        <w:t xml:space="preserve"> and Gary K. Brucker, Jr., for Defendants and Appellants.</w:t>
      </w:r>
    </w:p>
    <w:p w14:paraId="030A0BAB" w14:textId="77777777" w:rsidR="003A40DD" w:rsidRPr="003A40DD" w:rsidRDefault="003A40DD" w:rsidP="003A40DD">
      <w:pPr>
        <w:spacing w:after="0" w:line="240" w:lineRule="auto"/>
        <w:jc w:val="left"/>
        <w:rPr>
          <w:rFonts w:ascii="Times New Roman" w:hAnsi="Times New Roman"/>
          <w:b/>
          <w:sz w:val="20"/>
        </w:rPr>
      </w:pPr>
    </w:p>
    <w:p w14:paraId="336E43E9" w14:textId="77777777" w:rsidR="003A40DD" w:rsidRPr="003A40DD" w:rsidRDefault="003A40DD" w:rsidP="003A40DD">
      <w:pPr>
        <w:spacing w:after="0" w:line="240" w:lineRule="auto"/>
        <w:jc w:val="left"/>
        <w:rPr>
          <w:rFonts w:ascii="Times New Roman" w:hAnsi="Times New Roman"/>
          <w:sz w:val="20"/>
        </w:rPr>
      </w:pPr>
      <w:r w:rsidRPr="003A40DD">
        <w:rPr>
          <w:rFonts w:ascii="Times New Roman" w:hAnsi="Times New Roman"/>
          <w:sz w:val="20"/>
        </w:rPr>
        <w:t xml:space="preserve">Schwartz </w:t>
      </w:r>
      <w:proofErr w:type="spellStart"/>
      <w:r w:rsidRPr="003A40DD">
        <w:rPr>
          <w:rFonts w:ascii="Times New Roman" w:hAnsi="Times New Roman"/>
          <w:sz w:val="20"/>
        </w:rPr>
        <w:t>Semerdjian</w:t>
      </w:r>
      <w:proofErr w:type="spellEnd"/>
      <w:r w:rsidRPr="003A40DD">
        <w:rPr>
          <w:rFonts w:ascii="Times New Roman" w:hAnsi="Times New Roman"/>
          <w:sz w:val="20"/>
        </w:rPr>
        <w:t xml:space="preserve"> </w:t>
      </w:r>
      <w:proofErr w:type="spellStart"/>
      <w:r w:rsidRPr="003A40DD">
        <w:rPr>
          <w:rFonts w:ascii="Times New Roman" w:hAnsi="Times New Roman"/>
          <w:sz w:val="20"/>
        </w:rPr>
        <w:t>Cauley</w:t>
      </w:r>
      <w:proofErr w:type="spellEnd"/>
      <w:r w:rsidRPr="003A40DD">
        <w:rPr>
          <w:rFonts w:ascii="Times New Roman" w:hAnsi="Times New Roman"/>
          <w:sz w:val="20"/>
        </w:rPr>
        <w:t xml:space="preserve"> &amp; Moot, John S. Moot, Sarah Brite Evans, Alison K. Adelman; Baker Manock &amp; Jensen and James A. </w:t>
      </w:r>
      <w:proofErr w:type="spellStart"/>
      <w:r w:rsidRPr="003A40DD">
        <w:rPr>
          <w:rFonts w:ascii="Times New Roman" w:hAnsi="Times New Roman"/>
          <w:sz w:val="20"/>
        </w:rPr>
        <w:t>Ardaiz</w:t>
      </w:r>
      <w:proofErr w:type="spellEnd"/>
      <w:r w:rsidRPr="003A40DD">
        <w:rPr>
          <w:rFonts w:ascii="Times New Roman" w:hAnsi="Times New Roman"/>
          <w:sz w:val="20"/>
        </w:rPr>
        <w:t xml:space="preserve"> for Plaintiff and Respondent.</w:t>
      </w:r>
    </w:p>
    <w:p w14:paraId="2830229B" w14:textId="77777777" w:rsidR="003A40DD" w:rsidRPr="003A40DD" w:rsidRDefault="003A40DD" w:rsidP="003A40DD">
      <w:pPr>
        <w:spacing w:after="0" w:line="240" w:lineRule="auto"/>
        <w:jc w:val="left"/>
        <w:rPr>
          <w:rFonts w:ascii="Times New Roman" w:hAnsi="Times New Roman"/>
          <w:b/>
          <w:sz w:val="20"/>
        </w:rPr>
      </w:pPr>
    </w:p>
    <w:p w14:paraId="59AC606F" w14:textId="77777777" w:rsidR="003A40DD" w:rsidRPr="003A40DD" w:rsidRDefault="003A40DD" w:rsidP="003A40DD">
      <w:pPr>
        <w:spacing w:after="0" w:line="240" w:lineRule="auto"/>
        <w:jc w:val="left"/>
        <w:rPr>
          <w:rFonts w:ascii="Times New Roman" w:hAnsi="Times New Roman"/>
          <w:b/>
          <w:sz w:val="20"/>
        </w:rPr>
      </w:pPr>
    </w:p>
    <w:p w14:paraId="44FC7125" w14:textId="77777777" w:rsidR="003A40DD" w:rsidRPr="003A40DD" w:rsidRDefault="003A40DD" w:rsidP="003A40DD">
      <w:pPr>
        <w:spacing w:after="0" w:line="240" w:lineRule="auto"/>
        <w:jc w:val="left"/>
        <w:rPr>
          <w:rFonts w:ascii="Times New Roman" w:hAnsi="Times New Roman"/>
          <w:b/>
          <w:sz w:val="20"/>
        </w:rPr>
      </w:pPr>
      <w:r w:rsidRPr="003A40DD">
        <w:rPr>
          <w:rFonts w:ascii="Times New Roman" w:hAnsi="Times New Roman"/>
          <w:b/>
          <w:sz w:val="20"/>
        </w:rPr>
        <w:br w:type="page"/>
      </w:r>
    </w:p>
    <w:p w14:paraId="238D64B8" w14:textId="77777777" w:rsidR="003A40DD" w:rsidRPr="003A40DD" w:rsidRDefault="003A40DD" w:rsidP="003A40DD">
      <w:pPr>
        <w:spacing w:after="0" w:line="240" w:lineRule="auto"/>
        <w:jc w:val="left"/>
        <w:rPr>
          <w:rFonts w:ascii="Times New Roman" w:hAnsi="Times New Roman"/>
          <w:b/>
          <w:sz w:val="20"/>
        </w:rPr>
      </w:pPr>
    </w:p>
    <w:p w14:paraId="025DBD3D" w14:textId="77777777" w:rsidR="003A40DD" w:rsidRPr="003A40DD" w:rsidRDefault="003A40DD" w:rsidP="003A40DD">
      <w:pPr>
        <w:spacing w:after="0" w:line="240" w:lineRule="auto"/>
        <w:jc w:val="left"/>
        <w:rPr>
          <w:rFonts w:ascii="Times New Roman" w:hAnsi="Times New Roman"/>
          <w:b/>
          <w:sz w:val="20"/>
        </w:rPr>
      </w:pPr>
    </w:p>
    <w:p w14:paraId="61319131" w14:textId="77777777" w:rsidR="003A40DD" w:rsidRPr="003A40DD" w:rsidRDefault="003A40DD" w:rsidP="003A40DD">
      <w:pPr>
        <w:spacing w:after="0" w:line="240" w:lineRule="auto"/>
        <w:jc w:val="left"/>
        <w:rPr>
          <w:rFonts w:ascii="Times New Roman" w:hAnsi="Times New Roman"/>
          <w:b/>
          <w:sz w:val="20"/>
        </w:rPr>
      </w:pPr>
    </w:p>
    <w:p w14:paraId="459C024F" w14:textId="77777777" w:rsidR="003A40DD" w:rsidRPr="003A40DD" w:rsidRDefault="003A40DD" w:rsidP="003A40DD">
      <w:pPr>
        <w:spacing w:after="0" w:line="240" w:lineRule="auto"/>
        <w:jc w:val="left"/>
        <w:rPr>
          <w:rFonts w:ascii="Times New Roman" w:hAnsi="Times New Roman"/>
          <w:b/>
          <w:sz w:val="20"/>
        </w:rPr>
      </w:pPr>
      <w:r w:rsidRPr="003A40DD">
        <w:rPr>
          <w:rFonts w:ascii="Times New Roman" w:hAnsi="Times New Roman"/>
          <w:b/>
          <w:sz w:val="20"/>
        </w:rPr>
        <w:t>Counsel who argued in Supreme Court (not intended for publication with opinion):</w:t>
      </w:r>
    </w:p>
    <w:p w14:paraId="0D1164B3" w14:textId="77777777" w:rsidR="003A40DD" w:rsidRPr="003A40DD" w:rsidRDefault="003A40DD" w:rsidP="003A40DD">
      <w:pPr>
        <w:spacing w:after="0" w:line="240" w:lineRule="auto"/>
        <w:jc w:val="left"/>
        <w:rPr>
          <w:rFonts w:ascii="Times New Roman" w:hAnsi="Times New Roman"/>
          <w:b/>
          <w:sz w:val="20"/>
        </w:rPr>
      </w:pPr>
    </w:p>
    <w:p w14:paraId="6F50CBE4" w14:textId="77777777" w:rsidR="003A40DD" w:rsidRPr="003A40DD" w:rsidRDefault="003A40DD" w:rsidP="003A40DD">
      <w:pPr>
        <w:spacing w:after="0" w:line="240" w:lineRule="auto"/>
        <w:jc w:val="left"/>
        <w:rPr>
          <w:rFonts w:ascii="Times New Roman" w:hAnsi="Times New Roman"/>
          <w:sz w:val="20"/>
        </w:rPr>
      </w:pPr>
      <w:r w:rsidRPr="003A40DD">
        <w:rPr>
          <w:rFonts w:ascii="Times New Roman" w:hAnsi="Times New Roman"/>
          <w:sz w:val="20"/>
        </w:rPr>
        <w:t>Charles A. Bird</w:t>
      </w:r>
    </w:p>
    <w:p w14:paraId="09AAD1C2" w14:textId="77777777" w:rsidR="003A40DD" w:rsidRPr="003A40DD" w:rsidRDefault="003A40DD" w:rsidP="003A40DD">
      <w:pPr>
        <w:spacing w:after="0" w:line="240" w:lineRule="auto"/>
        <w:jc w:val="left"/>
        <w:rPr>
          <w:rFonts w:ascii="Times New Roman" w:hAnsi="Times New Roman"/>
          <w:sz w:val="20"/>
        </w:rPr>
      </w:pPr>
      <w:r w:rsidRPr="003A40DD">
        <w:rPr>
          <w:rFonts w:ascii="Times New Roman" w:hAnsi="Times New Roman"/>
          <w:sz w:val="20"/>
        </w:rPr>
        <w:t>Dentons US</w:t>
      </w:r>
    </w:p>
    <w:p w14:paraId="793DB08D" w14:textId="77777777" w:rsidR="003A40DD" w:rsidRPr="003A40DD" w:rsidRDefault="003A40DD" w:rsidP="003A40DD">
      <w:pPr>
        <w:spacing w:after="0" w:line="240" w:lineRule="auto"/>
        <w:jc w:val="left"/>
        <w:rPr>
          <w:rFonts w:ascii="Times New Roman" w:hAnsi="Times New Roman"/>
          <w:sz w:val="20"/>
        </w:rPr>
      </w:pPr>
      <w:r w:rsidRPr="003A40DD">
        <w:rPr>
          <w:rFonts w:ascii="Times New Roman" w:hAnsi="Times New Roman"/>
          <w:sz w:val="20"/>
        </w:rPr>
        <w:t>4655 Executive Drive, Suite 700</w:t>
      </w:r>
    </w:p>
    <w:p w14:paraId="4EAB1073" w14:textId="77777777" w:rsidR="003A40DD" w:rsidRPr="003A40DD" w:rsidRDefault="003A40DD" w:rsidP="003A40DD">
      <w:pPr>
        <w:spacing w:after="0" w:line="240" w:lineRule="auto"/>
        <w:jc w:val="left"/>
        <w:rPr>
          <w:rFonts w:ascii="Times New Roman" w:hAnsi="Times New Roman"/>
          <w:sz w:val="20"/>
        </w:rPr>
      </w:pPr>
      <w:r w:rsidRPr="003A40DD">
        <w:rPr>
          <w:rFonts w:ascii="Times New Roman" w:hAnsi="Times New Roman"/>
          <w:sz w:val="20"/>
        </w:rPr>
        <w:t>San Diego, CA  92121-3106</w:t>
      </w:r>
    </w:p>
    <w:p w14:paraId="13A2F61B" w14:textId="77777777" w:rsidR="003A40DD" w:rsidRPr="003A40DD" w:rsidRDefault="003A40DD" w:rsidP="003A40DD">
      <w:pPr>
        <w:spacing w:after="0" w:line="240" w:lineRule="auto"/>
        <w:jc w:val="left"/>
        <w:rPr>
          <w:rFonts w:ascii="Times New Roman" w:hAnsi="Times New Roman"/>
          <w:sz w:val="20"/>
        </w:rPr>
      </w:pPr>
      <w:r w:rsidRPr="003A40DD">
        <w:rPr>
          <w:rFonts w:ascii="Times New Roman" w:hAnsi="Times New Roman"/>
          <w:sz w:val="20"/>
        </w:rPr>
        <w:t>(619) 236-1414</w:t>
      </w:r>
    </w:p>
    <w:p w14:paraId="6DC8139E" w14:textId="77777777" w:rsidR="003A40DD" w:rsidRPr="003A40DD" w:rsidRDefault="003A40DD" w:rsidP="003A40DD">
      <w:pPr>
        <w:spacing w:after="0" w:line="240" w:lineRule="auto"/>
        <w:jc w:val="left"/>
        <w:rPr>
          <w:rFonts w:ascii="Times New Roman" w:hAnsi="Times New Roman"/>
          <w:sz w:val="20"/>
        </w:rPr>
      </w:pPr>
    </w:p>
    <w:p w14:paraId="2FA57BE0" w14:textId="77777777" w:rsidR="003A40DD" w:rsidRPr="003A40DD" w:rsidRDefault="003A40DD" w:rsidP="003A40DD">
      <w:pPr>
        <w:spacing w:after="0" w:line="240" w:lineRule="auto"/>
        <w:jc w:val="left"/>
        <w:rPr>
          <w:rFonts w:ascii="Times New Roman" w:hAnsi="Times New Roman"/>
          <w:sz w:val="20"/>
        </w:rPr>
      </w:pPr>
      <w:r w:rsidRPr="003A40DD">
        <w:rPr>
          <w:rFonts w:ascii="Times New Roman" w:hAnsi="Times New Roman"/>
          <w:sz w:val="20"/>
        </w:rPr>
        <w:t>John S. Moot</w:t>
      </w:r>
    </w:p>
    <w:p w14:paraId="7A8E145E" w14:textId="77777777" w:rsidR="003A40DD" w:rsidRPr="003A40DD" w:rsidRDefault="003A40DD" w:rsidP="003A40DD">
      <w:pPr>
        <w:spacing w:after="0" w:line="240" w:lineRule="auto"/>
        <w:jc w:val="left"/>
        <w:rPr>
          <w:rFonts w:ascii="Times New Roman" w:hAnsi="Times New Roman"/>
          <w:sz w:val="20"/>
        </w:rPr>
      </w:pPr>
      <w:r w:rsidRPr="003A40DD">
        <w:rPr>
          <w:rFonts w:ascii="Times New Roman" w:hAnsi="Times New Roman"/>
          <w:sz w:val="20"/>
        </w:rPr>
        <w:t xml:space="preserve">Schwartz </w:t>
      </w:r>
      <w:proofErr w:type="spellStart"/>
      <w:r w:rsidRPr="003A40DD">
        <w:rPr>
          <w:rFonts w:ascii="Times New Roman" w:hAnsi="Times New Roman"/>
          <w:sz w:val="20"/>
        </w:rPr>
        <w:t>Semerdjian</w:t>
      </w:r>
      <w:proofErr w:type="spellEnd"/>
      <w:r w:rsidRPr="003A40DD">
        <w:rPr>
          <w:rFonts w:ascii="Times New Roman" w:hAnsi="Times New Roman"/>
          <w:sz w:val="20"/>
        </w:rPr>
        <w:t xml:space="preserve"> </w:t>
      </w:r>
      <w:proofErr w:type="spellStart"/>
      <w:r w:rsidRPr="003A40DD">
        <w:rPr>
          <w:rFonts w:ascii="Times New Roman" w:hAnsi="Times New Roman"/>
          <w:sz w:val="20"/>
        </w:rPr>
        <w:t>Cauley</w:t>
      </w:r>
      <w:proofErr w:type="spellEnd"/>
      <w:r w:rsidRPr="003A40DD">
        <w:rPr>
          <w:rFonts w:ascii="Times New Roman" w:hAnsi="Times New Roman"/>
          <w:sz w:val="20"/>
        </w:rPr>
        <w:t xml:space="preserve"> &amp; Moot</w:t>
      </w:r>
    </w:p>
    <w:p w14:paraId="37B04BBE" w14:textId="77777777" w:rsidR="003A40DD" w:rsidRPr="003A40DD" w:rsidRDefault="003A40DD" w:rsidP="003A40DD">
      <w:pPr>
        <w:spacing w:after="0" w:line="240" w:lineRule="auto"/>
        <w:jc w:val="left"/>
        <w:rPr>
          <w:rFonts w:ascii="Times New Roman" w:hAnsi="Times New Roman"/>
          <w:sz w:val="20"/>
        </w:rPr>
      </w:pPr>
      <w:r w:rsidRPr="003A40DD">
        <w:rPr>
          <w:rFonts w:ascii="Times New Roman" w:hAnsi="Times New Roman"/>
          <w:sz w:val="20"/>
        </w:rPr>
        <w:t>101 West Broadway, Suite 810</w:t>
      </w:r>
    </w:p>
    <w:p w14:paraId="01567997" w14:textId="77777777" w:rsidR="003A40DD" w:rsidRPr="003A40DD" w:rsidRDefault="003A40DD" w:rsidP="003A40DD">
      <w:pPr>
        <w:spacing w:after="0" w:line="240" w:lineRule="auto"/>
        <w:jc w:val="left"/>
        <w:rPr>
          <w:rFonts w:ascii="Times New Roman" w:hAnsi="Times New Roman"/>
          <w:sz w:val="20"/>
        </w:rPr>
      </w:pPr>
      <w:r w:rsidRPr="003A40DD">
        <w:rPr>
          <w:rFonts w:ascii="Times New Roman" w:hAnsi="Times New Roman"/>
          <w:sz w:val="20"/>
        </w:rPr>
        <w:t>San Diego, CA  92101</w:t>
      </w:r>
    </w:p>
    <w:p w14:paraId="6D8346DB" w14:textId="77777777" w:rsidR="003A40DD" w:rsidRPr="003A40DD" w:rsidRDefault="003A40DD" w:rsidP="003A40DD">
      <w:pPr>
        <w:spacing w:after="0" w:line="240" w:lineRule="auto"/>
        <w:jc w:val="left"/>
        <w:rPr>
          <w:rFonts w:ascii="Times New Roman" w:hAnsi="Times New Roman"/>
          <w:b/>
          <w:sz w:val="20"/>
        </w:rPr>
      </w:pPr>
      <w:r w:rsidRPr="003A40DD">
        <w:rPr>
          <w:rFonts w:ascii="Times New Roman" w:hAnsi="Times New Roman"/>
          <w:sz w:val="20"/>
        </w:rPr>
        <w:t>(619) 236-8821</w:t>
      </w:r>
    </w:p>
    <w:p w14:paraId="604237D1" w14:textId="77777777" w:rsidR="00FA63F6" w:rsidRPr="00AC1306" w:rsidRDefault="00FA63F6" w:rsidP="00AC1306">
      <w:pPr>
        <w:tabs>
          <w:tab w:val="left" w:pos="1440"/>
        </w:tabs>
        <w:ind w:firstLine="720"/>
      </w:pPr>
    </w:p>
    <w:sectPr w:rsidR="00FA63F6" w:rsidRPr="00AC1306">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43072" w14:textId="77777777" w:rsidR="00854EF9" w:rsidRDefault="00854EF9">
      <w:r>
        <w:separator/>
      </w:r>
    </w:p>
  </w:endnote>
  <w:endnote w:type="continuationSeparator" w:id="0">
    <w:p w14:paraId="0DF83BBB" w14:textId="77777777" w:rsidR="00854EF9" w:rsidRDefault="00854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5BAAC" w14:textId="77777777" w:rsidR="00232E78" w:rsidRDefault="00232E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C5511" w14:textId="77777777" w:rsidR="002738C4" w:rsidRDefault="006F3B23">
    <w:pPr>
      <w:pStyle w:val="Footer"/>
    </w:pPr>
    <w:r>
      <w:fldChar w:fldCharType="begin"/>
    </w:r>
    <w:r>
      <w:instrText>PAGE</w:instrText>
    </w:r>
    <w:r>
      <w:fldChar w:fldCharType="separate"/>
    </w:r>
    <w:r w:rsidR="005B66EE">
      <w:rPr>
        <w:noProof/>
      </w:rPr>
      <w:t>21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27F62" w14:textId="77777777" w:rsidR="00232E78" w:rsidRDefault="00232E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5CDAD" w14:textId="77777777" w:rsidR="00AC1306" w:rsidRDefault="00AC1306">
    <w:pPr>
      <w:pStyle w:val="Footer"/>
    </w:pPr>
    <w: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22F2E" w14:textId="77777777" w:rsidR="003D2839" w:rsidRDefault="00DA012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45E8C" w14:textId="77777777" w:rsidR="003D2839" w:rsidRDefault="00DA012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3B3D4" w14:textId="77777777" w:rsidR="003D2839" w:rsidRDefault="00DA0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B6A43" w14:textId="77777777" w:rsidR="00854EF9" w:rsidRDefault="00854EF9">
      <w:r>
        <w:separator/>
      </w:r>
    </w:p>
  </w:footnote>
  <w:footnote w:type="continuationSeparator" w:id="0">
    <w:p w14:paraId="6FFD3AAE" w14:textId="77777777" w:rsidR="00854EF9" w:rsidRDefault="00AC1306">
      <w:pPr>
        <w:rPr>
          <w:sz w:val="22"/>
        </w:rPr>
      </w:pPr>
      <w:r>
        <w:continuationSeparator/>
      </w:r>
    </w:p>
  </w:footnote>
  <w:footnote w:type="continuationNotice" w:id="1">
    <w:p w14:paraId="6B525603" w14:textId="77777777" w:rsidR="00854EF9" w:rsidRDefault="00854EF9">
      <w:pPr>
        <w:jc w:val="right"/>
        <w:rPr>
          <w:i/>
          <w:sz w:val="20"/>
        </w:rPr>
      </w:pPr>
    </w:p>
  </w:footnote>
  <w:footnote w:id="2">
    <w:p w14:paraId="37A2E366" w14:textId="77777777" w:rsidR="00FA703F" w:rsidRDefault="00FA703F">
      <w:pPr>
        <w:pStyle w:val="FootnoteText"/>
      </w:pPr>
      <w:r>
        <w:rPr>
          <w:rStyle w:val="FootnoteReference"/>
        </w:rPr>
        <w:footnoteRef/>
      </w:r>
      <w:r>
        <w:t xml:space="preserve"> </w:t>
      </w:r>
      <w:r>
        <w:tab/>
      </w:r>
      <w:r w:rsidRPr="00FA703F">
        <w:t>Presiding Justice of the Court of Appeal, Second Appellate District, Division Four, assigned by the Chief Justice pursuant to article VI, section 6 of the California Constitution.</w:t>
      </w:r>
    </w:p>
  </w:footnote>
  <w:footnote w:id="3">
    <w:p w14:paraId="7EFA898E" w14:textId="77777777" w:rsidR="00B82693" w:rsidRDefault="00B82693" w:rsidP="00AC1306">
      <w:pPr>
        <w:pStyle w:val="FootnoteText"/>
      </w:pPr>
      <w:r>
        <w:rPr>
          <w:rStyle w:val="FootnoteReference"/>
        </w:rPr>
        <w:footnoteRef/>
      </w:r>
      <w:r>
        <w:t xml:space="preserve"> </w:t>
      </w:r>
      <w:r>
        <w:tab/>
        <w:t xml:space="preserve">Government Code section 1090, subdivision (a) prohibits </w:t>
      </w:r>
      <w:r w:rsidR="000B64CD">
        <w:t>listed</w:t>
      </w:r>
      <w:r>
        <w:t xml:space="preserve"> officers and employees </w:t>
      </w:r>
      <w:r w:rsidR="000B64CD">
        <w:t>from being</w:t>
      </w:r>
      <w:r>
        <w:t xml:space="preserve"> “financially interested in any contract made by them in their official capacity, or by </w:t>
      </w:r>
      <w:proofErr w:type="spellStart"/>
      <w:r>
        <w:t>any body</w:t>
      </w:r>
      <w:proofErr w:type="spellEnd"/>
      <w:r>
        <w:t xml:space="preserve"> or board of which they are members.”  Section 1090, subdivision (b) proscribes aiding and abetting a violation of subdivision (a).  “</w:t>
      </w:r>
      <w:r w:rsidRPr="00DE1354">
        <w:t>Every contract made in violation of any of the provisions of Section 1090 may be avoided at the instance of any party except the officer interested therein.</w:t>
      </w:r>
      <w:r>
        <w:t xml:space="preserve">”  (Gov. Code, § 1092, </w:t>
      </w:r>
      <w:proofErr w:type="spellStart"/>
      <w:r>
        <w:t>subd</w:t>
      </w:r>
      <w:proofErr w:type="spellEnd"/>
      <w:proofErr w:type="gramStart"/>
      <w:r>
        <w:t xml:space="preserve">. </w:t>
      </w:r>
      <w:proofErr w:type="gramEnd"/>
      <w:r>
        <w:t xml:space="preserve">(a).)  </w:t>
      </w:r>
    </w:p>
  </w:footnote>
  <w:footnote w:id="4">
    <w:p w14:paraId="6C7C140E" w14:textId="77777777" w:rsidR="00F11CA1" w:rsidRDefault="00F11CA1" w:rsidP="00AC1306">
      <w:pPr>
        <w:pStyle w:val="FootnoteText"/>
      </w:pPr>
      <w:r>
        <w:rPr>
          <w:rStyle w:val="FootnoteReference"/>
        </w:rPr>
        <w:footnoteRef/>
      </w:r>
      <w:r>
        <w:t xml:space="preserve"> </w:t>
      </w:r>
      <w:r>
        <w:tab/>
      </w:r>
      <w:r w:rsidR="008C551E">
        <w:t>T</w:t>
      </w:r>
      <w:r>
        <w:t>he Court of Appeal</w:t>
      </w:r>
      <w:r w:rsidR="009C4013">
        <w:t xml:space="preserve"> elaborated that “</w:t>
      </w:r>
      <w:r w:rsidR="003D2A01">
        <w:t> ‘</w:t>
      </w:r>
      <w:r w:rsidR="009C4013">
        <w:t>financial inducements</w:t>
      </w:r>
      <w:r w:rsidR="003D2A01">
        <w:t>’ </w:t>
      </w:r>
      <w:r w:rsidR="009C4013">
        <w:t xml:space="preserve">” included: </w:t>
      </w:r>
      <w:r>
        <w:t xml:space="preserve"> “</w:t>
      </w:r>
      <w:r w:rsidRPr="00F11CA1">
        <w:t xml:space="preserve">(1) </w:t>
      </w:r>
      <w:r>
        <w:t>‘</w:t>
      </w:r>
      <w:r w:rsidRPr="00F11CA1">
        <w:t>Numerous dinners at expensive restaurants,</w:t>
      </w:r>
      <w:r>
        <w:t>’</w:t>
      </w:r>
      <w:r w:rsidRPr="00F11CA1">
        <w:t xml:space="preserve"> (2) </w:t>
      </w:r>
      <w:r>
        <w:t>‘</w:t>
      </w:r>
      <w:r w:rsidRPr="00F11CA1">
        <w:t>Tickets to the theater and sporting events, including Charger games and</w:t>
      </w:r>
      <w:r w:rsidR="00487E7F">
        <w:t> . . .</w:t>
      </w:r>
      <w:r w:rsidRPr="00F11CA1">
        <w:t xml:space="preserve"> The Jersey Boys,</w:t>
      </w:r>
      <w:r>
        <w:t>’</w:t>
      </w:r>
      <w:r w:rsidRPr="00F11CA1">
        <w:t xml:space="preserve"> (3) </w:t>
      </w:r>
      <w:r>
        <w:t>‘</w:t>
      </w:r>
      <w:r w:rsidRPr="00F11CA1">
        <w:t>Hotel accommodations, food, and tickets to the Rose Bowl in Pasadena,</w:t>
      </w:r>
      <w:r>
        <w:t>’</w:t>
      </w:r>
      <w:r w:rsidRPr="00F11CA1">
        <w:t xml:space="preserve"> (4) </w:t>
      </w:r>
      <w:r>
        <w:t>‘</w:t>
      </w:r>
      <w:r w:rsidRPr="00F11CA1">
        <w:t xml:space="preserve">Airfare, hotel accommodations, wine tasting, and </w:t>
      </w:r>
      <w:proofErr w:type="gramStart"/>
      <w:r w:rsidRPr="00F11CA1">
        <w:t>a hot air</w:t>
      </w:r>
      <w:proofErr w:type="gramEnd"/>
      <w:r w:rsidRPr="00F11CA1">
        <w:t xml:space="preserve"> balloon ride in Napa Valley,</w:t>
      </w:r>
      <w:r>
        <w:t>’</w:t>
      </w:r>
      <w:r w:rsidRPr="00F11CA1">
        <w:t xml:space="preserve"> and (5) </w:t>
      </w:r>
      <w:r>
        <w:t>‘</w:t>
      </w:r>
      <w:r w:rsidRPr="00F11CA1">
        <w:t>Monetary contributions to beauty pageants, charities, and campaigns on behalf of District officials.</w:t>
      </w:r>
      <w:r>
        <w:t>’ </w:t>
      </w:r>
      <w:r w:rsidRPr="00F11CA1">
        <w:t>”</w:t>
      </w:r>
      <w:r>
        <w:t xml:space="preserve">  </w:t>
      </w:r>
    </w:p>
  </w:footnote>
  <w:footnote w:id="5">
    <w:p w14:paraId="6F1A4682" w14:textId="77777777" w:rsidR="008D3A26" w:rsidRDefault="008D3A26" w:rsidP="008D3A26">
      <w:pPr>
        <w:pStyle w:val="FootnoteText"/>
      </w:pPr>
      <w:r>
        <w:rPr>
          <w:rStyle w:val="FootnoteReference"/>
        </w:rPr>
        <w:footnoteRef/>
      </w:r>
      <w:r>
        <w:t xml:space="preserve"> </w:t>
      </w:r>
      <w:r>
        <w:tab/>
        <w:t xml:space="preserve">SGI did not join in the motion.  </w:t>
      </w:r>
    </w:p>
  </w:footnote>
  <w:footnote w:id="6">
    <w:p w14:paraId="5E0FD8F1" w14:textId="77777777" w:rsidR="00B30603" w:rsidRDefault="00B30603">
      <w:pPr>
        <w:pStyle w:val="FootnoteText"/>
      </w:pPr>
      <w:r>
        <w:rPr>
          <w:rStyle w:val="FootnoteReference"/>
        </w:rPr>
        <w:footnoteRef/>
      </w:r>
      <w:r>
        <w:t xml:space="preserve"> </w:t>
      </w:r>
      <w:r>
        <w:tab/>
        <w:t xml:space="preserve">Subsequent statutory references are to the Code of Civil Procedure unless otherwise noted.  </w:t>
      </w:r>
    </w:p>
  </w:footnote>
  <w:footnote w:id="7">
    <w:p w14:paraId="21028F29" w14:textId="77777777" w:rsidR="008D3A26" w:rsidRDefault="008D3A26">
      <w:pPr>
        <w:pStyle w:val="FootnoteText"/>
      </w:pPr>
      <w:r>
        <w:rPr>
          <w:rStyle w:val="FootnoteReference"/>
        </w:rPr>
        <w:footnoteRef/>
      </w:r>
      <w:r>
        <w:t xml:space="preserve"> </w:t>
      </w:r>
      <w:r w:rsidR="00030A9F">
        <w:tab/>
        <w:t>“ ‘SLAPP’ is an acronym for ‘strategic lawsuit against public participation.’ ”  (</w:t>
      </w:r>
      <w:proofErr w:type="spellStart"/>
      <w:r w:rsidR="00030A9F" w:rsidRPr="00A53790">
        <w:rPr>
          <w:i/>
        </w:rPr>
        <w:t>Baral</w:t>
      </w:r>
      <w:proofErr w:type="spellEnd"/>
      <w:r w:rsidR="00030A9F" w:rsidRPr="00A53790">
        <w:rPr>
          <w:i/>
        </w:rPr>
        <w:t xml:space="preserve"> v. </w:t>
      </w:r>
      <w:proofErr w:type="spellStart"/>
      <w:r w:rsidR="00030A9F" w:rsidRPr="00A53790">
        <w:rPr>
          <w:i/>
        </w:rPr>
        <w:t>Schnitt</w:t>
      </w:r>
      <w:proofErr w:type="spellEnd"/>
      <w:r w:rsidR="00030A9F">
        <w:t xml:space="preserve"> (2016) 1 Cal.5th 376, 381, fn. 1 (</w:t>
      </w:r>
      <w:proofErr w:type="spellStart"/>
      <w:r w:rsidR="00030A9F" w:rsidRPr="00091B52">
        <w:rPr>
          <w:i/>
        </w:rPr>
        <w:t>Baral</w:t>
      </w:r>
      <w:proofErr w:type="spellEnd"/>
      <w:r w:rsidR="00030A9F">
        <w:t xml:space="preserve">); </w:t>
      </w:r>
      <w:proofErr w:type="spellStart"/>
      <w:r w:rsidR="00030A9F" w:rsidRPr="00A53790">
        <w:rPr>
          <w:i/>
        </w:rPr>
        <w:t>Equilon</w:t>
      </w:r>
      <w:proofErr w:type="spellEnd"/>
      <w:r w:rsidR="00030A9F" w:rsidRPr="00A53790">
        <w:rPr>
          <w:i/>
        </w:rPr>
        <w:t xml:space="preserve"> Enterprises v. Consumer Cause, Inc.</w:t>
      </w:r>
      <w:r w:rsidR="00030A9F">
        <w:t xml:space="preserve"> (2002) 29 Cal.4th 53, 57 (</w:t>
      </w:r>
      <w:proofErr w:type="spellStart"/>
      <w:r w:rsidR="00030A9F" w:rsidRPr="001B655F">
        <w:rPr>
          <w:i/>
        </w:rPr>
        <w:t>Equilon</w:t>
      </w:r>
      <w:proofErr w:type="spellEnd"/>
      <w:r w:rsidR="00030A9F">
        <w:rPr>
          <w:i/>
        </w:rPr>
        <w:t xml:space="preserve"> Enterprises</w:t>
      </w:r>
      <w:r w:rsidR="00030A9F">
        <w:t xml:space="preserve">).)  </w:t>
      </w:r>
    </w:p>
  </w:footnote>
  <w:footnote w:id="8">
    <w:p w14:paraId="7A3AEA2A" w14:textId="77777777" w:rsidR="00B07A8A" w:rsidRDefault="00B07A8A" w:rsidP="00AC1306">
      <w:pPr>
        <w:pStyle w:val="FootnoteText"/>
      </w:pPr>
      <w:r>
        <w:rPr>
          <w:rStyle w:val="FootnoteReference"/>
        </w:rPr>
        <w:footnoteRef/>
      </w:r>
      <w:r>
        <w:t xml:space="preserve"> </w:t>
      </w:r>
      <w:r>
        <w:tab/>
        <w:t>These excer</w:t>
      </w:r>
      <w:r w:rsidR="00540802">
        <w:t>pts were lodged as exhibits to p</w:t>
      </w:r>
      <w:r>
        <w:t xml:space="preserve">laintiff’s summary judgment motion against </w:t>
      </w:r>
      <w:r w:rsidR="00392FC7">
        <w:t>SGI</w:t>
      </w:r>
      <w:r>
        <w:t xml:space="preserve">.  </w:t>
      </w:r>
    </w:p>
  </w:footnote>
  <w:footnote w:id="9">
    <w:p w14:paraId="41363808" w14:textId="77777777" w:rsidR="00E713A1" w:rsidRDefault="00E713A1" w:rsidP="00AC1306">
      <w:pPr>
        <w:pStyle w:val="FootnoteText"/>
      </w:pPr>
      <w:r>
        <w:rPr>
          <w:rStyle w:val="FootnoteReference"/>
        </w:rPr>
        <w:footnoteRef/>
      </w:r>
      <w:r>
        <w:t xml:space="preserve"> </w:t>
      </w:r>
      <w:r>
        <w:tab/>
        <w:t>After our grant of review, the parties have indicated that they have settled the case</w:t>
      </w:r>
      <w:r w:rsidR="00713C7C">
        <w:t xml:space="preserve">. </w:t>
      </w:r>
      <w:r w:rsidR="00603712">
        <w:t xml:space="preserve"> </w:t>
      </w:r>
      <w:r w:rsidR="00713C7C">
        <w:t xml:space="preserve">We exercise our discretion to </w:t>
      </w:r>
      <w:r>
        <w:t xml:space="preserve">retain the case to </w:t>
      </w:r>
      <w:r w:rsidR="005A0C67">
        <w:t xml:space="preserve">resolve </w:t>
      </w:r>
      <w:r w:rsidR="00AA0448">
        <w:t>a</w:t>
      </w:r>
      <w:r w:rsidR="005A0C67">
        <w:t xml:space="preserve"> conflict in the Courts of Appeal that precipitated our grant of </w:t>
      </w:r>
      <w:r>
        <w:t xml:space="preserve">review.  (See </w:t>
      </w:r>
      <w:r w:rsidR="005370CE" w:rsidRPr="005370CE">
        <w:rPr>
          <w:i/>
        </w:rPr>
        <w:t>State of</w:t>
      </w:r>
      <w:r w:rsidR="005370CE">
        <w:t xml:space="preserve"> </w:t>
      </w:r>
      <w:r w:rsidR="00603712" w:rsidRPr="00603712">
        <w:rPr>
          <w:i/>
        </w:rPr>
        <w:t>Cal. ex rel. State Lands Com</w:t>
      </w:r>
      <w:r w:rsidR="00AE10B4">
        <w:rPr>
          <w:i/>
        </w:rPr>
        <w:t>.</w:t>
      </w:r>
      <w:r w:rsidR="00603712" w:rsidRPr="00603712">
        <w:rPr>
          <w:i/>
        </w:rPr>
        <w:t xml:space="preserve"> v. Superior Court</w:t>
      </w:r>
      <w:r w:rsidR="00603712">
        <w:t xml:space="preserve"> (1995) 11 Cal.4th 50, 60-62.)</w:t>
      </w:r>
      <w:r w:rsidR="00FA463F">
        <w:t xml:space="preserve">  </w:t>
      </w:r>
    </w:p>
  </w:footnote>
  <w:footnote w:id="10">
    <w:p w14:paraId="58105E9A" w14:textId="77777777" w:rsidR="00351C67" w:rsidRDefault="00351C67" w:rsidP="00351C67">
      <w:pPr>
        <w:pStyle w:val="FootnoteText"/>
      </w:pPr>
      <w:r>
        <w:rPr>
          <w:rStyle w:val="FootnoteReference"/>
        </w:rPr>
        <w:footnoteRef/>
      </w:r>
      <w:r>
        <w:t xml:space="preserve"> </w:t>
      </w:r>
      <w:r>
        <w:tab/>
        <w:t xml:space="preserve">We disapprove </w:t>
      </w:r>
      <w:r w:rsidRPr="00F16D6C">
        <w:rPr>
          <w:i/>
        </w:rPr>
        <w:t>Gatton v. A.P. Green Services, Inc.</w:t>
      </w:r>
      <w:r>
        <w:rPr>
          <w:i/>
        </w:rPr>
        <w:t>, supra,</w:t>
      </w:r>
      <w:r w:rsidRPr="00F16D6C">
        <w:t xml:space="preserve"> 64 Cal.App.4th 688</w:t>
      </w:r>
      <w:r>
        <w:t xml:space="preserve">, and </w:t>
      </w:r>
      <w:r w:rsidRPr="00F16D6C">
        <w:rPr>
          <w:i/>
        </w:rPr>
        <w:t>L&amp;B Real Estate v. Superior Court</w:t>
      </w:r>
      <w:r>
        <w:rPr>
          <w:i/>
        </w:rPr>
        <w:t>, supra,</w:t>
      </w:r>
      <w:r w:rsidRPr="00F16D6C">
        <w:t xml:space="preserve"> 67 Cal.App.4th 1342</w:t>
      </w:r>
      <w:r>
        <w:t xml:space="preserve">, to the extent they are inconsistent with our opinion.  </w:t>
      </w:r>
    </w:p>
  </w:footnote>
  <w:footnote w:id="11">
    <w:p w14:paraId="070A0FAB" w14:textId="77777777" w:rsidR="00E835BD" w:rsidRDefault="00E835BD">
      <w:pPr>
        <w:pStyle w:val="FootnoteText"/>
      </w:pPr>
      <w:r>
        <w:rPr>
          <w:rStyle w:val="FootnoteReference"/>
        </w:rPr>
        <w:footnoteRef/>
      </w:r>
      <w:r>
        <w:t xml:space="preserve"> </w:t>
      </w:r>
      <w:r>
        <w:tab/>
        <w:t xml:space="preserve">We do not here create a different requirement for anti-SLAPP litigation.  As in the summary judgment context, </w:t>
      </w:r>
      <w:proofErr w:type="gramStart"/>
      <w:r>
        <w:t>an affidavit</w:t>
      </w:r>
      <w:proofErr w:type="gramEnd"/>
      <w:r>
        <w:t xml:space="preserve"> or declaration will generally be sufficient as to form if it satisfies section 437c, subdivision (d).  </w:t>
      </w:r>
    </w:p>
  </w:footnote>
  <w:footnote w:id="12">
    <w:p w14:paraId="2807BECE" w14:textId="77777777" w:rsidR="008061E0" w:rsidRDefault="008061E0" w:rsidP="00AC1306">
      <w:pPr>
        <w:pStyle w:val="FootnoteText"/>
      </w:pPr>
      <w:r>
        <w:rPr>
          <w:rStyle w:val="FootnoteReference"/>
        </w:rPr>
        <w:footnoteRef/>
      </w:r>
      <w:r>
        <w:t xml:space="preserve"> </w:t>
      </w:r>
      <w:r>
        <w:tab/>
      </w:r>
      <w:r w:rsidRPr="008061E0">
        <w:t xml:space="preserve">Defendants do not differentiate between the grand jury transcript and the plea forms, arguing both must satisfy the requirements for former testimony </w:t>
      </w:r>
      <w:proofErr w:type="gramStart"/>
      <w:r w:rsidRPr="008061E0">
        <w:t>in order to</w:t>
      </w:r>
      <w:proofErr w:type="gramEnd"/>
      <w:r w:rsidRPr="008061E0">
        <w:t xml:space="preserve"> be admitted.  </w:t>
      </w:r>
      <w:r>
        <w:t xml:space="preserve">It is doubtful that statements in </w:t>
      </w:r>
      <w:r w:rsidR="0013114D">
        <w:t>the</w:t>
      </w:r>
      <w:r>
        <w:t xml:space="preserve"> plea form</w:t>
      </w:r>
      <w:r w:rsidR="0013114D">
        <w:t>s</w:t>
      </w:r>
      <w:r>
        <w:t xml:space="preserve"> constitute “former testimony</w:t>
      </w:r>
      <w:r w:rsidR="00E32FD7">
        <w:t>.</w:t>
      </w:r>
      <w:r>
        <w:t xml:space="preserve">” </w:t>
      </w:r>
      <w:r w:rsidR="00E32FD7">
        <w:t xml:space="preserve"> </w:t>
      </w:r>
      <w:r>
        <w:t>(</w:t>
      </w:r>
      <w:proofErr w:type="spellStart"/>
      <w:r>
        <w:t>Evid</w:t>
      </w:r>
      <w:proofErr w:type="spellEnd"/>
      <w:proofErr w:type="gramStart"/>
      <w:r>
        <w:t xml:space="preserve">. </w:t>
      </w:r>
      <w:proofErr w:type="gramEnd"/>
      <w:r>
        <w:t xml:space="preserve">Code, § 1290.)  </w:t>
      </w:r>
      <w:r w:rsidR="00722AB0">
        <w:t xml:space="preserve">The more appropriate hearsay exception would be a declaration against interest.  </w:t>
      </w:r>
      <w:r w:rsidR="006B15DE">
        <w:t>(</w:t>
      </w:r>
      <w:proofErr w:type="spellStart"/>
      <w:r w:rsidR="006B15DE">
        <w:t>Evid</w:t>
      </w:r>
      <w:proofErr w:type="spellEnd"/>
      <w:proofErr w:type="gramStart"/>
      <w:r w:rsidR="006B15DE">
        <w:t xml:space="preserve">. </w:t>
      </w:r>
      <w:proofErr w:type="gramEnd"/>
      <w:r w:rsidR="006B15DE">
        <w:t xml:space="preserve">Code, § 1230.)  </w:t>
      </w:r>
      <w:r w:rsidR="00553272">
        <w:t>That exception also requires unavailability</w:t>
      </w:r>
      <w:r w:rsidR="009543B1">
        <w:t>,</w:t>
      </w:r>
      <w:r w:rsidR="00553272">
        <w:t xml:space="preserve"> but not a previous opportunity to cross-examine.  (See </w:t>
      </w:r>
      <w:proofErr w:type="spellStart"/>
      <w:r w:rsidR="00D60847">
        <w:t>Evid</w:t>
      </w:r>
      <w:proofErr w:type="spellEnd"/>
      <w:proofErr w:type="gramStart"/>
      <w:r w:rsidR="00D60847">
        <w:t xml:space="preserve">. </w:t>
      </w:r>
      <w:proofErr w:type="gramEnd"/>
      <w:r w:rsidR="00D60847">
        <w:t xml:space="preserve">Code, § 1292, </w:t>
      </w:r>
      <w:proofErr w:type="spellStart"/>
      <w:r w:rsidR="00D60847">
        <w:t>subd</w:t>
      </w:r>
      <w:proofErr w:type="spellEnd"/>
      <w:proofErr w:type="gramStart"/>
      <w:r w:rsidR="00D60847">
        <w:t xml:space="preserve">. </w:t>
      </w:r>
      <w:proofErr w:type="gramEnd"/>
      <w:r w:rsidR="00D60847">
        <w:t xml:space="preserve">(a)(3).)  </w:t>
      </w:r>
      <w:r w:rsidR="007C7904">
        <w:t>Detailed</w:t>
      </w:r>
      <w:r w:rsidR="00A7722B">
        <w:t xml:space="preserve"> explanations of one’s own criminal misconduct in a formal legal proceeding would surely seem </w:t>
      </w:r>
      <w:r w:rsidR="00AC5D1B">
        <w:t>to satisfy the exception.  “[A] guilty plea falls within the hearsay rule exception for declarations against penal interest.”  (</w:t>
      </w:r>
      <w:r w:rsidR="00AC5D1B" w:rsidRPr="00AC5D1B">
        <w:rPr>
          <w:i/>
        </w:rPr>
        <w:t>People v. Cummings</w:t>
      </w:r>
      <w:r w:rsidR="00AC5D1B">
        <w:t xml:space="preserve"> (1993) 4 Cal.4th 1233, 1321.)  </w:t>
      </w:r>
    </w:p>
  </w:footnote>
  <w:footnote w:id="13">
    <w:p w14:paraId="4C2FBAB4" w14:textId="77777777" w:rsidR="00257EFE" w:rsidRDefault="00257EFE" w:rsidP="00257EFE">
      <w:pPr>
        <w:pStyle w:val="FootnoteText"/>
      </w:pPr>
      <w:r>
        <w:rPr>
          <w:rStyle w:val="FootnoteReference"/>
        </w:rPr>
        <w:footnoteRef/>
      </w:r>
      <w:r>
        <w:t xml:space="preserve"> </w:t>
      </w:r>
      <w:r>
        <w:tab/>
        <w:t xml:space="preserve">The videotape was not accompanied by </w:t>
      </w:r>
      <w:proofErr w:type="gramStart"/>
      <w:r>
        <w:t>an affidavit</w:t>
      </w:r>
      <w:proofErr w:type="gramEnd"/>
      <w:r>
        <w:t xml:space="preserve"> or declaration.  (</w:t>
      </w:r>
      <w:r w:rsidRPr="009034D9">
        <w:rPr>
          <w:i/>
        </w:rPr>
        <w:t>Fashion 21, supra,</w:t>
      </w:r>
      <w:r>
        <w:t xml:space="preserve"> 117 Cal.App.4th at p. 1145.)  Apparently, the defendant</w:t>
      </w:r>
      <w:r w:rsidR="00067E8E">
        <w:t>s</w:t>
      </w:r>
      <w:r>
        <w:t xml:space="preserve"> did not </w:t>
      </w:r>
      <w:r w:rsidR="007E6051">
        <w:t xml:space="preserve">argue the tape could not be considered because it was not so supported.  </w:t>
      </w:r>
      <w:r>
        <w:t xml:space="preserve">The </w:t>
      </w:r>
      <w:r w:rsidRPr="007A10B0">
        <w:rPr>
          <w:i/>
        </w:rPr>
        <w:t>Fashion 21</w:t>
      </w:r>
      <w:r>
        <w:t xml:space="preserve"> court confined its discussion to whether the </w:t>
      </w:r>
      <w:r w:rsidR="0025199E">
        <w:t xml:space="preserve">edited </w:t>
      </w:r>
      <w:r>
        <w:t xml:space="preserve">tape could be admissible at trial.  (See </w:t>
      </w:r>
      <w:r w:rsidRPr="006E6377">
        <w:rPr>
          <w:i/>
        </w:rPr>
        <w:t>id</w:t>
      </w:r>
      <w:proofErr w:type="gramStart"/>
      <w:r>
        <w:t xml:space="preserve">. </w:t>
      </w:r>
      <w:proofErr w:type="gramEnd"/>
      <w:r>
        <w:t xml:space="preserve">at pp. 1145-1146.)  Ordinarily, we would expect a party seeking consideration of other kinds of evidence demonstrate its admissibility by a supporting </w:t>
      </w:r>
      <w:proofErr w:type="gramStart"/>
      <w:r>
        <w:t>affidavit</w:t>
      </w:r>
      <w:proofErr w:type="gramEnd"/>
      <w:r>
        <w:t xml:space="preserve"> or declaration.  </w:t>
      </w:r>
    </w:p>
  </w:footnote>
  <w:footnote w:id="14">
    <w:p w14:paraId="5E1A6B5F" w14:textId="77777777" w:rsidR="00822DCA" w:rsidRDefault="00822DCA">
      <w:pPr>
        <w:pStyle w:val="FootnoteText"/>
      </w:pPr>
      <w:r>
        <w:rPr>
          <w:rStyle w:val="FootnoteReference"/>
        </w:rPr>
        <w:footnoteRef/>
      </w:r>
      <w:r>
        <w:t xml:space="preserve"> </w:t>
      </w:r>
      <w:r>
        <w:tab/>
        <w:t xml:space="preserve">To clarify the distinction, the </w:t>
      </w:r>
      <w:r w:rsidRPr="00822DCA">
        <w:rPr>
          <w:i/>
        </w:rPr>
        <w:t>written statements themselves</w:t>
      </w:r>
      <w:r>
        <w:t xml:space="preserve"> need not be admissible at trial, but it must be reasonably possible that the </w:t>
      </w:r>
      <w:r w:rsidRPr="00822DCA">
        <w:rPr>
          <w:i/>
        </w:rPr>
        <w:t>facts asserted</w:t>
      </w:r>
      <w:r>
        <w:t xml:space="preserve"> in those statements can be established by admissible evidence at trial.  </w:t>
      </w:r>
    </w:p>
  </w:footnote>
  <w:footnote w:id="15">
    <w:p w14:paraId="36960F80" w14:textId="77777777" w:rsidR="00FA703F" w:rsidRDefault="00FA703F">
      <w:pPr>
        <w:pStyle w:val="FootnoteText"/>
      </w:pPr>
      <w:r>
        <w:rPr>
          <w:rStyle w:val="FootnoteReference"/>
        </w:rPr>
        <w:footnoteRef/>
      </w:r>
      <w:r>
        <w:t xml:space="preserve"> </w:t>
      </w:r>
      <w:r>
        <w:tab/>
      </w:r>
      <w:r w:rsidRPr="00FA703F">
        <w:t>Presiding Justice of the Court of Appeal, Second Appellate District, Division Four, assigned by the Chief Justice pursuant to article VI, section 6 of the California Constitution.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90111" w14:textId="77777777" w:rsidR="00232E78" w:rsidRDefault="00232E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3CC02" w14:textId="77777777" w:rsidR="00AC1306" w:rsidRDefault="00AC1306">
    <w:pPr>
      <w:pStyle w:val="Header"/>
    </w:pPr>
    <w:r>
      <w:t>SWEETWATER UNION HIGH SCHOOL DISTRICT v. GILBANE</w:t>
    </w:r>
    <w:r w:rsidR="00E054A7">
      <w:t> </w:t>
    </w:r>
    <w:r w:rsidR="00123092">
      <w:t>BUILDING COMPANY</w:t>
    </w:r>
  </w:p>
  <w:p w14:paraId="7C465A64" w14:textId="77777777" w:rsidR="00AC1306" w:rsidRDefault="00AC1306">
    <w:pPr>
      <w:pStyle w:val="Header"/>
    </w:pPr>
    <w:r>
      <w:t>Opinion of the Court by Corrigan, J.</w:t>
    </w:r>
  </w:p>
  <w:p w14:paraId="32069D4C" w14:textId="77777777" w:rsidR="00AC1306" w:rsidRDefault="00AC13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232E9" w14:textId="77777777" w:rsidR="00232E78" w:rsidRDefault="00232E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0C2F4" w14:textId="77777777" w:rsidR="003D2839" w:rsidRDefault="00DA012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C6414" w14:textId="77777777" w:rsidR="003D2839" w:rsidRDefault="00DA012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873CD" w14:textId="77777777" w:rsidR="003D2839" w:rsidRDefault="00DA01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0"/>
  <w:removePersonalInformation/>
  <w:removeDateAndTime/>
  <w:printFractionalCharacterWidth/>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doNotTrackMoves/>
  <w:defaultTabStop w:val="720"/>
  <w:doNotHyphenateCaps/>
  <w:displayHorizontalDrawingGridEvery w:val="0"/>
  <w:displayVerticalDrawingGridEvery w:val="0"/>
  <w:doNotUseMarginsForDrawingGridOrigin/>
  <w:noPunctuationKerning/>
  <w:characterSpacingControl w:val="doNotCompress"/>
  <w:footnotePr>
    <w:numFmt w:val="chicago"/>
    <w:numRestart w:val="eachSect"/>
    <w:footnote w:id="-1"/>
    <w:footnote w:id="0"/>
    <w:footnote w:id="1"/>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935BF"/>
    <w:rsid w:val="00000672"/>
    <w:rsid w:val="0000254E"/>
    <w:rsid w:val="00002AD8"/>
    <w:rsid w:val="00003308"/>
    <w:rsid w:val="00003839"/>
    <w:rsid w:val="000104EE"/>
    <w:rsid w:val="000128DC"/>
    <w:rsid w:val="00026F43"/>
    <w:rsid w:val="0002748C"/>
    <w:rsid w:val="00030A9F"/>
    <w:rsid w:val="00033068"/>
    <w:rsid w:val="000418D5"/>
    <w:rsid w:val="00045118"/>
    <w:rsid w:val="00052B6A"/>
    <w:rsid w:val="00054801"/>
    <w:rsid w:val="00060499"/>
    <w:rsid w:val="00060F27"/>
    <w:rsid w:val="00063871"/>
    <w:rsid w:val="00064BD4"/>
    <w:rsid w:val="00064DCF"/>
    <w:rsid w:val="000654D9"/>
    <w:rsid w:val="0006575D"/>
    <w:rsid w:val="00066CFC"/>
    <w:rsid w:val="00067C2F"/>
    <w:rsid w:val="00067E8E"/>
    <w:rsid w:val="00072C1C"/>
    <w:rsid w:val="00073074"/>
    <w:rsid w:val="000741A1"/>
    <w:rsid w:val="0007696C"/>
    <w:rsid w:val="00076AD1"/>
    <w:rsid w:val="00077724"/>
    <w:rsid w:val="00080612"/>
    <w:rsid w:val="000817F5"/>
    <w:rsid w:val="0008242E"/>
    <w:rsid w:val="000836F7"/>
    <w:rsid w:val="00084FFD"/>
    <w:rsid w:val="00085E54"/>
    <w:rsid w:val="00085E7E"/>
    <w:rsid w:val="00086560"/>
    <w:rsid w:val="00090A98"/>
    <w:rsid w:val="00091B52"/>
    <w:rsid w:val="00093A96"/>
    <w:rsid w:val="000948BE"/>
    <w:rsid w:val="000950A0"/>
    <w:rsid w:val="000951FE"/>
    <w:rsid w:val="00097949"/>
    <w:rsid w:val="000A0333"/>
    <w:rsid w:val="000A3CC2"/>
    <w:rsid w:val="000A4709"/>
    <w:rsid w:val="000A5095"/>
    <w:rsid w:val="000A7984"/>
    <w:rsid w:val="000B03E6"/>
    <w:rsid w:val="000B1BC9"/>
    <w:rsid w:val="000B35DB"/>
    <w:rsid w:val="000B4D88"/>
    <w:rsid w:val="000B64CD"/>
    <w:rsid w:val="000C0243"/>
    <w:rsid w:val="000C0EC6"/>
    <w:rsid w:val="000C2B7D"/>
    <w:rsid w:val="000C3382"/>
    <w:rsid w:val="000C36FD"/>
    <w:rsid w:val="000C783C"/>
    <w:rsid w:val="000D1CD1"/>
    <w:rsid w:val="000D5605"/>
    <w:rsid w:val="000D5AF3"/>
    <w:rsid w:val="000D5DB8"/>
    <w:rsid w:val="000D6228"/>
    <w:rsid w:val="000D6E13"/>
    <w:rsid w:val="000D7E51"/>
    <w:rsid w:val="000E270B"/>
    <w:rsid w:val="000F1B35"/>
    <w:rsid w:val="000F3E70"/>
    <w:rsid w:val="000F6D26"/>
    <w:rsid w:val="00101041"/>
    <w:rsid w:val="00101A55"/>
    <w:rsid w:val="00105EAD"/>
    <w:rsid w:val="00106FD1"/>
    <w:rsid w:val="00113C84"/>
    <w:rsid w:val="001145C1"/>
    <w:rsid w:val="001220E5"/>
    <w:rsid w:val="00123092"/>
    <w:rsid w:val="00123B93"/>
    <w:rsid w:val="0013114D"/>
    <w:rsid w:val="00135EA3"/>
    <w:rsid w:val="001364F6"/>
    <w:rsid w:val="00141A6C"/>
    <w:rsid w:val="00143CBB"/>
    <w:rsid w:val="00145DE8"/>
    <w:rsid w:val="00150195"/>
    <w:rsid w:val="001514F1"/>
    <w:rsid w:val="00151E94"/>
    <w:rsid w:val="0015352D"/>
    <w:rsid w:val="00157B1B"/>
    <w:rsid w:val="00157D42"/>
    <w:rsid w:val="0016098F"/>
    <w:rsid w:val="001614AF"/>
    <w:rsid w:val="001709C4"/>
    <w:rsid w:val="001748CE"/>
    <w:rsid w:val="00174EFA"/>
    <w:rsid w:val="00175D42"/>
    <w:rsid w:val="00176321"/>
    <w:rsid w:val="00181107"/>
    <w:rsid w:val="001845AD"/>
    <w:rsid w:val="001901EE"/>
    <w:rsid w:val="00191D07"/>
    <w:rsid w:val="00192A92"/>
    <w:rsid w:val="00193062"/>
    <w:rsid w:val="001942FD"/>
    <w:rsid w:val="00196568"/>
    <w:rsid w:val="0019748C"/>
    <w:rsid w:val="001A0D1E"/>
    <w:rsid w:val="001A2AC7"/>
    <w:rsid w:val="001A4073"/>
    <w:rsid w:val="001A51E8"/>
    <w:rsid w:val="001B0969"/>
    <w:rsid w:val="001B3278"/>
    <w:rsid w:val="001B3B61"/>
    <w:rsid w:val="001B50BA"/>
    <w:rsid w:val="001B655F"/>
    <w:rsid w:val="001C24E2"/>
    <w:rsid w:val="001C3F20"/>
    <w:rsid w:val="001C5AED"/>
    <w:rsid w:val="001C63D0"/>
    <w:rsid w:val="001D25BC"/>
    <w:rsid w:val="001D2BFA"/>
    <w:rsid w:val="001D2D81"/>
    <w:rsid w:val="001D3E0A"/>
    <w:rsid w:val="001D4208"/>
    <w:rsid w:val="001D526A"/>
    <w:rsid w:val="001E2CA5"/>
    <w:rsid w:val="001E3285"/>
    <w:rsid w:val="001E6205"/>
    <w:rsid w:val="001E6E09"/>
    <w:rsid w:val="001F0C66"/>
    <w:rsid w:val="001F20A5"/>
    <w:rsid w:val="001F2188"/>
    <w:rsid w:val="00200982"/>
    <w:rsid w:val="00200BF4"/>
    <w:rsid w:val="00202F5C"/>
    <w:rsid w:val="0020549E"/>
    <w:rsid w:val="00206473"/>
    <w:rsid w:val="002108E2"/>
    <w:rsid w:val="00211A0C"/>
    <w:rsid w:val="0021340E"/>
    <w:rsid w:val="00216811"/>
    <w:rsid w:val="00225647"/>
    <w:rsid w:val="0022672F"/>
    <w:rsid w:val="0023255A"/>
    <w:rsid w:val="0023266D"/>
    <w:rsid w:val="00232E5A"/>
    <w:rsid w:val="00232E78"/>
    <w:rsid w:val="00233C52"/>
    <w:rsid w:val="0023434B"/>
    <w:rsid w:val="0023573A"/>
    <w:rsid w:val="00236077"/>
    <w:rsid w:val="002361B7"/>
    <w:rsid w:val="00236AE7"/>
    <w:rsid w:val="002417CE"/>
    <w:rsid w:val="002448BE"/>
    <w:rsid w:val="002470B4"/>
    <w:rsid w:val="002512EE"/>
    <w:rsid w:val="0025199E"/>
    <w:rsid w:val="002543DF"/>
    <w:rsid w:val="00257EFE"/>
    <w:rsid w:val="00264EB0"/>
    <w:rsid w:val="00265DCB"/>
    <w:rsid w:val="00266034"/>
    <w:rsid w:val="002717C4"/>
    <w:rsid w:val="00271DED"/>
    <w:rsid w:val="00273830"/>
    <w:rsid w:val="002738C4"/>
    <w:rsid w:val="00275FA1"/>
    <w:rsid w:val="002807AF"/>
    <w:rsid w:val="00280D00"/>
    <w:rsid w:val="00281DD7"/>
    <w:rsid w:val="00282E58"/>
    <w:rsid w:val="002842BA"/>
    <w:rsid w:val="002862AB"/>
    <w:rsid w:val="00287643"/>
    <w:rsid w:val="00287CE0"/>
    <w:rsid w:val="00290D18"/>
    <w:rsid w:val="002915E0"/>
    <w:rsid w:val="002922F5"/>
    <w:rsid w:val="002930D0"/>
    <w:rsid w:val="0029407B"/>
    <w:rsid w:val="002A1328"/>
    <w:rsid w:val="002A2535"/>
    <w:rsid w:val="002A36B5"/>
    <w:rsid w:val="002A4E89"/>
    <w:rsid w:val="002B1EB5"/>
    <w:rsid w:val="002B209D"/>
    <w:rsid w:val="002B3A5E"/>
    <w:rsid w:val="002B556B"/>
    <w:rsid w:val="002B5C30"/>
    <w:rsid w:val="002C16DD"/>
    <w:rsid w:val="002C18D0"/>
    <w:rsid w:val="002C258B"/>
    <w:rsid w:val="002C3FE5"/>
    <w:rsid w:val="002C41AF"/>
    <w:rsid w:val="002C5899"/>
    <w:rsid w:val="002D0580"/>
    <w:rsid w:val="002D08A4"/>
    <w:rsid w:val="002D11A4"/>
    <w:rsid w:val="002D1E87"/>
    <w:rsid w:val="002D220C"/>
    <w:rsid w:val="002D30D9"/>
    <w:rsid w:val="002D31F1"/>
    <w:rsid w:val="002D6616"/>
    <w:rsid w:val="002E0A24"/>
    <w:rsid w:val="002E1EA8"/>
    <w:rsid w:val="002E3832"/>
    <w:rsid w:val="002E5917"/>
    <w:rsid w:val="002E5A11"/>
    <w:rsid w:val="002E6C9A"/>
    <w:rsid w:val="002F1411"/>
    <w:rsid w:val="002F18EE"/>
    <w:rsid w:val="002F236A"/>
    <w:rsid w:val="002F307D"/>
    <w:rsid w:val="002F6B75"/>
    <w:rsid w:val="002F7289"/>
    <w:rsid w:val="003000DA"/>
    <w:rsid w:val="00302BE9"/>
    <w:rsid w:val="0030542B"/>
    <w:rsid w:val="0030633D"/>
    <w:rsid w:val="00306CFF"/>
    <w:rsid w:val="00310C45"/>
    <w:rsid w:val="003113A6"/>
    <w:rsid w:val="00312046"/>
    <w:rsid w:val="003162BD"/>
    <w:rsid w:val="00316E6A"/>
    <w:rsid w:val="00321167"/>
    <w:rsid w:val="0032159C"/>
    <w:rsid w:val="0033015B"/>
    <w:rsid w:val="0033103D"/>
    <w:rsid w:val="00331C52"/>
    <w:rsid w:val="003348FE"/>
    <w:rsid w:val="003349D5"/>
    <w:rsid w:val="00335AB7"/>
    <w:rsid w:val="00337CC5"/>
    <w:rsid w:val="00344B75"/>
    <w:rsid w:val="00345662"/>
    <w:rsid w:val="00346D8F"/>
    <w:rsid w:val="00346E55"/>
    <w:rsid w:val="00350F08"/>
    <w:rsid w:val="00351C67"/>
    <w:rsid w:val="003607F5"/>
    <w:rsid w:val="0036399F"/>
    <w:rsid w:val="0036588B"/>
    <w:rsid w:val="00370275"/>
    <w:rsid w:val="003705E0"/>
    <w:rsid w:val="0037173B"/>
    <w:rsid w:val="00383EE2"/>
    <w:rsid w:val="00386975"/>
    <w:rsid w:val="00390FDD"/>
    <w:rsid w:val="00391DD6"/>
    <w:rsid w:val="00392FC7"/>
    <w:rsid w:val="00393BEE"/>
    <w:rsid w:val="003969AB"/>
    <w:rsid w:val="00396A87"/>
    <w:rsid w:val="003A40DD"/>
    <w:rsid w:val="003A481E"/>
    <w:rsid w:val="003A5EE9"/>
    <w:rsid w:val="003A7E3C"/>
    <w:rsid w:val="003B21EC"/>
    <w:rsid w:val="003B44A2"/>
    <w:rsid w:val="003C12DC"/>
    <w:rsid w:val="003C13B1"/>
    <w:rsid w:val="003C3E1D"/>
    <w:rsid w:val="003D0CE4"/>
    <w:rsid w:val="003D21CE"/>
    <w:rsid w:val="003D2A01"/>
    <w:rsid w:val="003D337F"/>
    <w:rsid w:val="003D3E4D"/>
    <w:rsid w:val="003D3EE4"/>
    <w:rsid w:val="003D6972"/>
    <w:rsid w:val="003E47EB"/>
    <w:rsid w:val="003E4BB0"/>
    <w:rsid w:val="003E4F16"/>
    <w:rsid w:val="003E6213"/>
    <w:rsid w:val="003F017A"/>
    <w:rsid w:val="003F067F"/>
    <w:rsid w:val="003F2154"/>
    <w:rsid w:val="003F4A55"/>
    <w:rsid w:val="003F5A12"/>
    <w:rsid w:val="00400B2D"/>
    <w:rsid w:val="00400BF4"/>
    <w:rsid w:val="00401995"/>
    <w:rsid w:val="00402177"/>
    <w:rsid w:val="0040235B"/>
    <w:rsid w:val="00404710"/>
    <w:rsid w:val="00405768"/>
    <w:rsid w:val="004059E9"/>
    <w:rsid w:val="00407257"/>
    <w:rsid w:val="00411588"/>
    <w:rsid w:val="00413EFA"/>
    <w:rsid w:val="00415F49"/>
    <w:rsid w:val="00416586"/>
    <w:rsid w:val="00416709"/>
    <w:rsid w:val="00420DF1"/>
    <w:rsid w:val="004266C6"/>
    <w:rsid w:val="00430B7A"/>
    <w:rsid w:val="00431899"/>
    <w:rsid w:val="00431ED7"/>
    <w:rsid w:val="0043315E"/>
    <w:rsid w:val="0043423F"/>
    <w:rsid w:val="00435774"/>
    <w:rsid w:val="004402BB"/>
    <w:rsid w:val="004410F3"/>
    <w:rsid w:val="00441132"/>
    <w:rsid w:val="00442170"/>
    <w:rsid w:val="0044574E"/>
    <w:rsid w:val="004457AD"/>
    <w:rsid w:val="00446144"/>
    <w:rsid w:val="004464AE"/>
    <w:rsid w:val="0045040B"/>
    <w:rsid w:val="004506C0"/>
    <w:rsid w:val="00450FBE"/>
    <w:rsid w:val="00451407"/>
    <w:rsid w:val="00453EE2"/>
    <w:rsid w:val="00455DE2"/>
    <w:rsid w:val="0046016F"/>
    <w:rsid w:val="0046032D"/>
    <w:rsid w:val="00460E6D"/>
    <w:rsid w:val="00465AF5"/>
    <w:rsid w:val="00465DAF"/>
    <w:rsid w:val="00466FDE"/>
    <w:rsid w:val="00467554"/>
    <w:rsid w:val="00474047"/>
    <w:rsid w:val="00475D41"/>
    <w:rsid w:val="00476294"/>
    <w:rsid w:val="00476F02"/>
    <w:rsid w:val="00482CC4"/>
    <w:rsid w:val="00483087"/>
    <w:rsid w:val="00483B6C"/>
    <w:rsid w:val="004841D7"/>
    <w:rsid w:val="00485849"/>
    <w:rsid w:val="00487E7F"/>
    <w:rsid w:val="0049303A"/>
    <w:rsid w:val="0049359F"/>
    <w:rsid w:val="004937C3"/>
    <w:rsid w:val="00495AAF"/>
    <w:rsid w:val="004A0014"/>
    <w:rsid w:val="004A1C20"/>
    <w:rsid w:val="004A27F5"/>
    <w:rsid w:val="004A497D"/>
    <w:rsid w:val="004A4BEE"/>
    <w:rsid w:val="004A65D9"/>
    <w:rsid w:val="004A7415"/>
    <w:rsid w:val="004B05C7"/>
    <w:rsid w:val="004B3C4D"/>
    <w:rsid w:val="004B6777"/>
    <w:rsid w:val="004B6F24"/>
    <w:rsid w:val="004C18FD"/>
    <w:rsid w:val="004C265E"/>
    <w:rsid w:val="004C26C8"/>
    <w:rsid w:val="004C34F4"/>
    <w:rsid w:val="004C6538"/>
    <w:rsid w:val="004C73D2"/>
    <w:rsid w:val="004D0578"/>
    <w:rsid w:val="004D3721"/>
    <w:rsid w:val="004D4A4D"/>
    <w:rsid w:val="004D6D6B"/>
    <w:rsid w:val="004E14DC"/>
    <w:rsid w:val="004E2E91"/>
    <w:rsid w:val="004E3715"/>
    <w:rsid w:val="004E4F94"/>
    <w:rsid w:val="004E77B9"/>
    <w:rsid w:val="004F0250"/>
    <w:rsid w:val="004F3A46"/>
    <w:rsid w:val="004F3FA6"/>
    <w:rsid w:val="004F71C9"/>
    <w:rsid w:val="00502F0F"/>
    <w:rsid w:val="0050438D"/>
    <w:rsid w:val="0051085F"/>
    <w:rsid w:val="00511489"/>
    <w:rsid w:val="005143E4"/>
    <w:rsid w:val="005145D9"/>
    <w:rsid w:val="0051641F"/>
    <w:rsid w:val="005169BD"/>
    <w:rsid w:val="005172BF"/>
    <w:rsid w:val="005208E5"/>
    <w:rsid w:val="005222EC"/>
    <w:rsid w:val="005227FA"/>
    <w:rsid w:val="00523E54"/>
    <w:rsid w:val="00525DCB"/>
    <w:rsid w:val="00527196"/>
    <w:rsid w:val="005325FC"/>
    <w:rsid w:val="00533BC9"/>
    <w:rsid w:val="00533E88"/>
    <w:rsid w:val="00535603"/>
    <w:rsid w:val="0053707C"/>
    <w:rsid w:val="005370CE"/>
    <w:rsid w:val="00540802"/>
    <w:rsid w:val="00540C87"/>
    <w:rsid w:val="00541D7C"/>
    <w:rsid w:val="005430EE"/>
    <w:rsid w:val="00544AB6"/>
    <w:rsid w:val="00547004"/>
    <w:rsid w:val="005475A4"/>
    <w:rsid w:val="00553272"/>
    <w:rsid w:val="00556ECD"/>
    <w:rsid w:val="005571B5"/>
    <w:rsid w:val="005572A0"/>
    <w:rsid w:val="00557388"/>
    <w:rsid w:val="00557C38"/>
    <w:rsid w:val="005604E5"/>
    <w:rsid w:val="00560747"/>
    <w:rsid w:val="00560A3C"/>
    <w:rsid w:val="00560EE3"/>
    <w:rsid w:val="00562409"/>
    <w:rsid w:val="00562CDF"/>
    <w:rsid w:val="00563503"/>
    <w:rsid w:val="0056438E"/>
    <w:rsid w:val="0057017D"/>
    <w:rsid w:val="00575016"/>
    <w:rsid w:val="00575A29"/>
    <w:rsid w:val="00575C69"/>
    <w:rsid w:val="00575F3B"/>
    <w:rsid w:val="00581419"/>
    <w:rsid w:val="00582C7A"/>
    <w:rsid w:val="005836CB"/>
    <w:rsid w:val="0058509F"/>
    <w:rsid w:val="00585A89"/>
    <w:rsid w:val="00590994"/>
    <w:rsid w:val="00594290"/>
    <w:rsid w:val="00594C69"/>
    <w:rsid w:val="005A0C67"/>
    <w:rsid w:val="005A1EE8"/>
    <w:rsid w:val="005A36A7"/>
    <w:rsid w:val="005B3AB6"/>
    <w:rsid w:val="005B607E"/>
    <w:rsid w:val="005B66EE"/>
    <w:rsid w:val="005B678E"/>
    <w:rsid w:val="005B77B5"/>
    <w:rsid w:val="005C0384"/>
    <w:rsid w:val="005C0971"/>
    <w:rsid w:val="005C135E"/>
    <w:rsid w:val="005C1644"/>
    <w:rsid w:val="005C5596"/>
    <w:rsid w:val="005D1967"/>
    <w:rsid w:val="005D2C53"/>
    <w:rsid w:val="005D46FA"/>
    <w:rsid w:val="005D7681"/>
    <w:rsid w:val="005E5B6F"/>
    <w:rsid w:val="005F0A49"/>
    <w:rsid w:val="005F1932"/>
    <w:rsid w:val="005F3EE2"/>
    <w:rsid w:val="005F607F"/>
    <w:rsid w:val="005F7555"/>
    <w:rsid w:val="00600D14"/>
    <w:rsid w:val="00603712"/>
    <w:rsid w:val="00604FC5"/>
    <w:rsid w:val="00606C89"/>
    <w:rsid w:val="00607715"/>
    <w:rsid w:val="00610C38"/>
    <w:rsid w:val="00611030"/>
    <w:rsid w:val="006121D2"/>
    <w:rsid w:val="00612AA3"/>
    <w:rsid w:val="00615D3B"/>
    <w:rsid w:val="00620C2C"/>
    <w:rsid w:val="00621F79"/>
    <w:rsid w:val="00623FD8"/>
    <w:rsid w:val="00625374"/>
    <w:rsid w:val="00626A55"/>
    <w:rsid w:val="0062750F"/>
    <w:rsid w:val="00634A8D"/>
    <w:rsid w:val="00636358"/>
    <w:rsid w:val="006433C2"/>
    <w:rsid w:val="00643B1A"/>
    <w:rsid w:val="0064473E"/>
    <w:rsid w:val="0064566D"/>
    <w:rsid w:val="00647C29"/>
    <w:rsid w:val="006555A8"/>
    <w:rsid w:val="00655B57"/>
    <w:rsid w:val="00656F13"/>
    <w:rsid w:val="006570C1"/>
    <w:rsid w:val="00657B0F"/>
    <w:rsid w:val="00662747"/>
    <w:rsid w:val="006628AD"/>
    <w:rsid w:val="00662B5F"/>
    <w:rsid w:val="00663357"/>
    <w:rsid w:val="00664296"/>
    <w:rsid w:val="006653E4"/>
    <w:rsid w:val="00665C36"/>
    <w:rsid w:val="00667A18"/>
    <w:rsid w:val="00667E4F"/>
    <w:rsid w:val="00670534"/>
    <w:rsid w:val="0067117B"/>
    <w:rsid w:val="00674744"/>
    <w:rsid w:val="006761E2"/>
    <w:rsid w:val="006776D3"/>
    <w:rsid w:val="00682F6F"/>
    <w:rsid w:val="006837F2"/>
    <w:rsid w:val="00686A06"/>
    <w:rsid w:val="006919EE"/>
    <w:rsid w:val="00692004"/>
    <w:rsid w:val="0069648D"/>
    <w:rsid w:val="006A18AD"/>
    <w:rsid w:val="006A3638"/>
    <w:rsid w:val="006A3FBE"/>
    <w:rsid w:val="006A435F"/>
    <w:rsid w:val="006A50C9"/>
    <w:rsid w:val="006A5668"/>
    <w:rsid w:val="006A5C4D"/>
    <w:rsid w:val="006B02D1"/>
    <w:rsid w:val="006B07F1"/>
    <w:rsid w:val="006B15DE"/>
    <w:rsid w:val="006B1D8A"/>
    <w:rsid w:val="006B7059"/>
    <w:rsid w:val="006B70C5"/>
    <w:rsid w:val="006B7AAA"/>
    <w:rsid w:val="006C5D3A"/>
    <w:rsid w:val="006D051A"/>
    <w:rsid w:val="006D064C"/>
    <w:rsid w:val="006D48AD"/>
    <w:rsid w:val="006E085E"/>
    <w:rsid w:val="006E12C6"/>
    <w:rsid w:val="006E329C"/>
    <w:rsid w:val="006E3886"/>
    <w:rsid w:val="006E4086"/>
    <w:rsid w:val="006E5F11"/>
    <w:rsid w:val="006E6377"/>
    <w:rsid w:val="006E69A0"/>
    <w:rsid w:val="006E7BB6"/>
    <w:rsid w:val="006F012F"/>
    <w:rsid w:val="006F3122"/>
    <w:rsid w:val="006F313C"/>
    <w:rsid w:val="006F3B23"/>
    <w:rsid w:val="006F571C"/>
    <w:rsid w:val="007003DC"/>
    <w:rsid w:val="0070079F"/>
    <w:rsid w:val="00701458"/>
    <w:rsid w:val="00703A19"/>
    <w:rsid w:val="00704955"/>
    <w:rsid w:val="00705200"/>
    <w:rsid w:val="00705296"/>
    <w:rsid w:val="007116E3"/>
    <w:rsid w:val="007131BC"/>
    <w:rsid w:val="007133CF"/>
    <w:rsid w:val="00713A13"/>
    <w:rsid w:val="00713AD4"/>
    <w:rsid w:val="00713C7C"/>
    <w:rsid w:val="0071415F"/>
    <w:rsid w:val="00722AB0"/>
    <w:rsid w:val="00731580"/>
    <w:rsid w:val="00732AE7"/>
    <w:rsid w:val="00732C7A"/>
    <w:rsid w:val="007355BB"/>
    <w:rsid w:val="0073698D"/>
    <w:rsid w:val="00736EC1"/>
    <w:rsid w:val="0073708F"/>
    <w:rsid w:val="00737337"/>
    <w:rsid w:val="00742D8C"/>
    <w:rsid w:val="0074482B"/>
    <w:rsid w:val="00745B4F"/>
    <w:rsid w:val="00745BD5"/>
    <w:rsid w:val="00745C2B"/>
    <w:rsid w:val="007462DC"/>
    <w:rsid w:val="00750316"/>
    <w:rsid w:val="00753B5A"/>
    <w:rsid w:val="00754B8C"/>
    <w:rsid w:val="007565DD"/>
    <w:rsid w:val="00762D96"/>
    <w:rsid w:val="0076757D"/>
    <w:rsid w:val="007730EF"/>
    <w:rsid w:val="00773357"/>
    <w:rsid w:val="0077629E"/>
    <w:rsid w:val="007778A7"/>
    <w:rsid w:val="007816AC"/>
    <w:rsid w:val="007849B8"/>
    <w:rsid w:val="00786099"/>
    <w:rsid w:val="007868C3"/>
    <w:rsid w:val="00787950"/>
    <w:rsid w:val="00794623"/>
    <w:rsid w:val="007957FD"/>
    <w:rsid w:val="00795DA4"/>
    <w:rsid w:val="00796499"/>
    <w:rsid w:val="00797E9B"/>
    <w:rsid w:val="007A0197"/>
    <w:rsid w:val="007A10B0"/>
    <w:rsid w:val="007A2EF7"/>
    <w:rsid w:val="007A4557"/>
    <w:rsid w:val="007A5B5A"/>
    <w:rsid w:val="007B0395"/>
    <w:rsid w:val="007B1B4E"/>
    <w:rsid w:val="007B1DD1"/>
    <w:rsid w:val="007B3232"/>
    <w:rsid w:val="007B33B7"/>
    <w:rsid w:val="007B39EA"/>
    <w:rsid w:val="007C0E7B"/>
    <w:rsid w:val="007C5BD7"/>
    <w:rsid w:val="007C6292"/>
    <w:rsid w:val="007C7904"/>
    <w:rsid w:val="007D19A6"/>
    <w:rsid w:val="007D45D0"/>
    <w:rsid w:val="007D5005"/>
    <w:rsid w:val="007E180A"/>
    <w:rsid w:val="007E1F08"/>
    <w:rsid w:val="007E3491"/>
    <w:rsid w:val="007E56A7"/>
    <w:rsid w:val="007E5894"/>
    <w:rsid w:val="007E6051"/>
    <w:rsid w:val="007F2080"/>
    <w:rsid w:val="007F26B3"/>
    <w:rsid w:val="007F37F7"/>
    <w:rsid w:val="007F63C2"/>
    <w:rsid w:val="007F6476"/>
    <w:rsid w:val="007F7E6E"/>
    <w:rsid w:val="00802736"/>
    <w:rsid w:val="008058CB"/>
    <w:rsid w:val="00805CEC"/>
    <w:rsid w:val="00805FE5"/>
    <w:rsid w:val="008061E0"/>
    <w:rsid w:val="0080632D"/>
    <w:rsid w:val="0081000C"/>
    <w:rsid w:val="00810FBD"/>
    <w:rsid w:val="0081506E"/>
    <w:rsid w:val="0081657A"/>
    <w:rsid w:val="00817B2D"/>
    <w:rsid w:val="00822A27"/>
    <w:rsid w:val="00822DCA"/>
    <w:rsid w:val="00823BFD"/>
    <w:rsid w:val="0082759C"/>
    <w:rsid w:val="00827FC4"/>
    <w:rsid w:val="00831544"/>
    <w:rsid w:val="008337C1"/>
    <w:rsid w:val="0083417E"/>
    <w:rsid w:val="008351D3"/>
    <w:rsid w:val="008412F0"/>
    <w:rsid w:val="00842D31"/>
    <w:rsid w:val="00843323"/>
    <w:rsid w:val="0084508A"/>
    <w:rsid w:val="00845526"/>
    <w:rsid w:val="00846E17"/>
    <w:rsid w:val="0085152C"/>
    <w:rsid w:val="00851FE7"/>
    <w:rsid w:val="00853AC2"/>
    <w:rsid w:val="00854EF9"/>
    <w:rsid w:val="0086089A"/>
    <w:rsid w:val="00860C79"/>
    <w:rsid w:val="008612DB"/>
    <w:rsid w:val="00863165"/>
    <w:rsid w:val="00871477"/>
    <w:rsid w:val="008717FA"/>
    <w:rsid w:val="008752D8"/>
    <w:rsid w:val="008774B0"/>
    <w:rsid w:val="00877AEA"/>
    <w:rsid w:val="008817CE"/>
    <w:rsid w:val="008926B3"/>
    <w:rsid w:val="008935BF"/>
    <w:rsid w:val="008A00C2"/>
    <w:rsid w:val="008A395F"/>
    <w:rsid w:val="008A3CAD"/>
    <w:rsid w:val="008A495A"/>
    <w:rsid w:val="008A6D38"/>
    <w:rsid w:val="008A6EB4"/>
    <w:rsid w:val="008B054E"/>
    <w:rsid w:val="008B16AF"/>
    <w:rsid w:val="008B22BD"/>
    <w:rsid w:val="008B4346"/>
    <w:rsid w:val="008B44B8"/>
    <w:rsid w:val="008B5728"/>
    <w:rsid w:val="008B5CB7"/>
    <w:rsid w:val="008B7D8D"/>
    <w:rsid w:val="008C1EE4"/>
    <w:rsid w:val="008C2C1B"/>
    <w:rsid w:val="008C551E"/>
    <w:rsid w:val="008C63C1"/>
    <w:rsid w:val="008D0E5F"/>
    <w:rsid w:val="008D10E7"/>
    <w:rsid w:val="008D3A26"/>
    <w:rsid w:val="008D3DC6"/>
    <w:rsid w:val="008D4F86"/>
    <w:rsid w:val="008D56F1"/>
    <w:rsid w:val="008D5FD7"/>
    <w:rsid w:val="008E2389"/>
    <w:rsid w:val="008E2D53"/>
    <w:rsid w:val="008E366A"/>
    <w:rsid w:val="008E3C99"/>
    <w:rsid w:val="008E52B7"/>
    <w:rsid w:val="008E664B"/>
    <w:rsid w:val="008F3940"/>
    <w:rsid w:val="008F4789"/>
    <w:rsid w:val="008F4966"/>
    <w:rsid w:val="008F7115"/>
    <w:rsid w:val="008F7564"/>
    <w:rsid w:val="00900657"/>
    <w:rsid w:val="00900ED4"/>
    <w:rsid w:val="009034D9"/>
    <w:rsid w:val="00904F2C"/>
    <w:rsid w:val="00906083"/>
    <w:rsid w:val="00907B3F"/>
    <w:rsid w:val="00911484"/>
    <w:rsid w:val="0091231B"/>
    <w:rsid w:val="009127F0"/>
    <w:rsid w:val="00912C80"/>
    <w:rsid w:val="0091336B"/>
    <w:rsid w:val="00921A5C"/>
    <w:rsid w:val="009227E9"/>
    <w:rsid w:val="009266CB"/>
    <w:rsid w:val="00931B14"/>
    <w:rsid w:val="00932E40"/>
    <w:rsid w:val="00942FA2"/>
    <w:rsid w:val="00944366"/>
    <w:rsid w:val="00945B16"/>
    <w:rsid w:val="00947642"/>
    <w:rsid w:val="00951A45"/>
    <w:rsid w:val="009543B1"/>
    <w:rsid w:val="00954DED"/>
    <w:rsid w:val="00955174"/>
    <w:rsid w:val="00956FA5"/>
    <w:rsid w:val="009634C7"/>
    <w:rsid w:val="0096353F"/>
    <w:rsid w:val="009671AE"/>
    <w:rsid w:val="00971148"/>
    <w:rsid w:val="009713F2"/>
    <w:rsid w:val="00971DDB"/>
    <w:rsid w:val="00972F7B"/>
    <w:rsid w:val="009747B3"/>
    <w:rsid w:val="00975B53"/>
    <w:rsid w:val="00982C2B"/>
    <w:rsid w:val="00983600"/>
    <w:rsid w:val="00990EA2"/>
    <w:rsid w:val="009931A6"/>
    <w:rsid w:val="0099390F"/>
    <w:rsid w:val="0099507F"/>
    <w:rsid w:val="0099706B"/>
    <w:rsid w:val="009A1A48"/>
    <w:rsid w:val="009A2200"/>
    <w:rsid w:val="009A3029"/>
    <w:rsid w:val="009B0B6C"/>
    <w:rsid w:val="009B1597"/>
    <w:rsid w:val="009B4272"/>
    <w:rsid w:val="009C1BAD"/>
    <w:rsid w:val="009C1C84"/>
    <w:rsid w:val="009C4013"/>
    <w:rsid w:val="009C579A"/>
    <w:rsid w:val="009D025B"/>
    <w:rsid w:val="009D2B3F"/>
    <w:rsid w:val="009E0270"/>
    <w:rsid w:val="009E2571"/>
    <w:rsid w:val="009E30B6"/>
    <w:rsid w:val="009E5B5D"/>
    <w:rsid w:val="009E60DF"/>
    <w:rsid w:val="009F02E5"/>
    <w:rsid w:val="009F0356"/>
    <w:rsid w:val="009F1EBC"/>
    <w:rsid w:val="009F362F"/>
    <w:rsid w:val="009F3AFA"/>
    <w:rsid w:val="009F7A71"/>
    <w:rsid w:val="00A07C28"/>
    <w:rsid w:val="00A10B3D"/>
    <w:rsid w:val="00A1174B"/>
    <w:rsid w:val="00A12A99"/>
    <w:rsid w:val="00A2161F"/>
    <w:rsid w:val="00A23D51"/>
    <w:rsid w:val="00A249BC"/>
    <w:rsid w:val="00A25C05"/>
    <w:rsid w:val="00A25F39"/>
    <w:rsid w:val="00A311E5"/>
    <w:rsid w:val="00A3219F"/>
    <w:rsid w:val="00A33397"/>
    <w:rsid w:val="00A34AC0"/>
    <w:rsid w:val="00A374B6"/>
    <w:rsid w:val="00A37EB0"/>
    <w:rsid w:val="00A40E01"/>
    <w:rsid w:val="00A40FCF"/>
    <w:rsid w:val="00A433E7"/>
    <w:rsid w:val="00A46F4C"/>
    <w:rsid w:val="00A53790"/>
    <w:rsid w:val="00A5387E"/>
    <w:rsid w:val="00A53A8A"/>
    <w:rsid w:val="00A53B5B"/>
    <w:rsid w:val="00A540FF"/>
    <w:rsid w:val="00A54E3B"/>
    <w:rsid w:val="00A60A24"/>
    <w:rsid w:val="00A61418"/>
    <w:rsid w:val="00A61653"/>
    <w:rsid w:val="00A616EA"/>
    <w:rsid w:val="00A73D27"/>
    <w:rsid w:val="00A76144"/>
    <w:rsid w:val="00A767CD"/>
    <w:rsid w:val="00A7722B"/>
    <w:rsid w:val="00A77A75"/>
    <w:rsid w:val="00A804A1"/>
    <w:rsid w:val="00A8244F"/>
    <w:rsid w:val="00A83243"/>
    <w:rsid w:val="00A84BC2"/>
    <w:rsid w:val="00A85022"/>
    <w:rsid w:val="00A8515D"/>
    <w:rsid w:val="00A87948"/>
    <w:rsid w:val="00A92E46"/>
    <w:rsid w:val="00A932D7"/>
    <w:rsid w:val="00A9459D"/>
    <w:rsid w:val="00A947E4"/>
    <w:rsid w:val="00A94F5C"/>
    <w:rsid w:val="00A950BA"/>
    <w:rsid w:val="00A959A4"/>
    <w:rsid w:val="00A963BA"/>
    <w:rsid w:val="00A969DB"/>
    <w:rsid w:val="00AA0448"/>
    <w:rsid w:val="00AA08C9"/>
    <w:rsid w:val="00AA56C4"/>
    <w:rsid w:val="00AA627E"/>
    <w:rsid w:val="00AA75BC"/>
    <w:rsid w:val="00AB37CA"/>
    <w:rsid w:val="00AB41A2"/>
    <w:rsid w:val="00AB5119"/>
    <w:rsid w:val="00AB7233"/>
    <w:rsid w:val="00AC0E01"/>
    <w:rsid w:val="00AC1158"/>
    <w:rsid w:val="00AC1306"/>
    <w:rsid w:val="00AC47AF"/>
    <w:rsid w:val="00AC5D1B"/>
    <w:rsid w:val="00AD2BBB"/>
    <w:rsid w:val="00AD4D3C"/>
    <w:rsid w:val="00AE0177"/>
    <w:rsid w:val="00AE0D54"/>
    <w:rsid w:val="00AE10B4"/>
    <w:rsid w:val="00AE3754"/>
    <w:rsid w:val="00AE7706"/>
    <w:rsid w:val="00AF0077"/>
    <w:rsid w:val="00AF0538"/>
    <w:rsid w:val="00AF1BC8"/>
    <w:rsid w:val="00AF3720"/>
    <w:rsid w:val="00AF3D94"/>
    <w:rsid w:val="00B004AC"/>
    <w:rsid w:val="00B00D73"/>
    <w:rsid w:val="00B020A1"/>
    <w:rsid w:val="00B02779"/>
    <w:rsid w:val="00B03981"/>
    <w:rsid w:val="00B04195"/>
    <w:rsid w:val="00B07A8A"/>
    <w:rsid w:val="00B121A4"/>
    <w:rsid w:val="00B1654F"/>
    <w:rsid w:val="00B20CEC"/>
    <w:rsid w:val="00B25A65"/>
    <w:rsid w:val="00B300A6"/>
    <w:rsid w:val="00B302E4"/>
    <w:rsid w:val="00B30603"/>
    <w:rsid w:val="00B30C19"/>
    <w:rsid w:val="00B31D86"/>
    <w:rsid w:val="00B3203C"/>
    <w:rsid w:val="00B3643F"/>
    <w:rsid w:val="00B4366E"/>
    <w:rsid w:val="00B457C6"/>
    <w:rsid w:val="00B52964"/>
    <w:rsid w:val="00B53321"/>
    <w:rsid w:val="00B5384C"/>
    <w:rsid w:val="00B55767"/>
    <w:rsid w:val="00B55D75"/>
    <w:rsid w:val="00B5790E"/>
    <w:rsid w:val="00B62928"/>
    <w:rsid w:val="00B62CEC"/>
    <w:rsid w:val="00B63541"/>
    <w:rsid w:val="00B666BD"/>
    <w:rsid w:val="00B66C72"/>
    <w:rsid w:val="00B67484"/>
    <w:rsid w:val="00B70BB6"/>
    <w:rsid w:val="00B74D42"/>
    <w:rsid w:val="00B775A0"/>
    <w:rsid w:val="00B82693"/>
    <w:rsid w:val="00B837A9"/>
    <w:rsid w:val="00B91A9C"/>
    <w:rsid w:val="00B91D49"/>
    <w:rsid w:val="00B93F76"/>
    <w:rsid w:val="00B941B2"/>
    <w:rsid w:val="00BA1416"/>
    <w:rsid w:val="00BA25EA"/>
    <w:rsid w:val="00BA5C62"/>
    <w:rsid w:val="00BA5C83"/>
    <w:rsid w:val="00BA6B23"/>
    <w:rsid w:val="00BB090C"/>
    <w:rsid w:val="00BB2685"/>
    <w:rsid w:val="00BB45A9"/>
    <w:rsid w:val="00BB661B"/>
    <w:rsid w:val="00BC1DF1"/>
    <w:rsid w:val="00BC4A57"/>
    <w:rsid w:val="00BC7031"/>
    <w:rsid w:val="00BD1BA7"/>
    <w:rsid w:val="00BD2269"/>
    <w:rsid w:val="00BD3CA5"/>
    <w:rsid w:val="00BE35BD"/>
    <w:rsid w:val="00BE3D0C"/>
    <w:rsid w:val="00BE4F67"/>
    <w:rsid w:val="00BF3F57"/>
    <w:rsid w:val="00BF52A6"/>
    <w:rsid w:val="00BF5B06"/>
    <w:rsid w:val="00BF7168"/>
    <w:rsid w:val="00C02135"/>
    <w:rsid w:val="00C03DB8"/>
    <w:rsid w:val="00C05664"/>
    <w:rsid w:val="00C06F1A"/>
    <w:rsid w:val="00C07CC5"/>
    <w:rsid w:val="00C10830"/>
    <w:rsid w:val="00C10887"/>
    <w:rsid w:val="00C13B6B"/>
    <w:rsid w:val="00C15352"/>
    <w:rsid w:val="00C209AB"/>
    <w:rsid w:val="00C2456B"/>
    <w:rsid w:val="00C307D9"/>
    <w:rsid w:val="00C37F36"/>
    <w:rsid w:val="00C40EF1"/>
    <w:rsid w:val="00C41F4C"/>
    <w:rsid w:val="00C475C4"/>
    <w:rsid w:val="00C505E6"/>
    <w:rsid w:val="00C51615"/>
    <w:rsid w:val="00C52BBC"/>
    <w:rsid w:val="00C533EE"/>
    <w:rsid w:val="00C572D9"/>
    <w:rsid w:val="00C629FC"/>
    <w:rsid w:val="00C66C6B"/>
    <w:rsid w:val="00C66D21"/>
    <w:rsid w:val="00C67004"/>
    <w:rsid w:val="00C715C5"/>
    <w:rsid w:val="00C71A17"/>
    <w:rsid w:val="00C71B63"/>
    <w:rsid w:val="00C71F02"/>
    <w:rsid w:val="00C7353C"/>
    <w:rsid w:val="00C7489F"/>
    <w:rsid w:val="00C76236"/>
    <w:rsid w:val="00C823B7"/>
    <w:rsid w:val="00C846FE"/>
    <w:rsid w:val="00C8542D"/>
    <w:rsid w:val="00C85BBE"/>
    <w:rsid w:val="00C86A63"/>
    <w:rsid w:val="00C87EA5"/>
    <w:rsid w:val="00C93D84"/>
    <w:rsid w:val="00C9458A"/>
    <w:rsid w:val="00C95154"/>
    <w:rsid w:val="00C97DD0"/>
    <w:rsid w:val="00CA332B"/>
    <w:rsid w:val="00CA56B0"/>
    <w:rsid w:val="00CA679D"/>
    <w:rsid w:val="00CA7616"/>
    <w:rsid w:val="00CB18A9"/>
    <w:rsid w:val="00CB1A8E"/>
    <w:rsid w:val="00CB2EB4"/>
    <w:rsid w:val="00CB431E"/>
    <w:rsid w:val="00CB474D"/>
    <w:rsid w:val="00CB77FA"/>
    <w:rsid w:val="00CB7FBE"/>
    <w:rsid w:val="00CC26F4"/>
    <w:rsid w:val="00CC46A8"/>
    <w:rsid w:val="00CD08B3"/>
    <w:rsid w:val="00CD15B5"/>
    <w:rsid w:val="00CD240F"/>
    <w:rsid w:val="00CD340C"/>
    <w:rsid w:val="00CD4A70"/>
    <w:rsid w:val="00CD580D"/>
    <w:rsid w:val="00CD6195"/>
    <w:rsid w:val="00CE708E"/>
    <w:rsid w:val="00CE7703"/>
    <w:rsid w:val="00CF0B83"/>
    <w:rsid w:val="00CF0EED"/>
    <w:rsid w:val="00CF1788"/>
    <w:rsid w:val="00CF3000"/>
    <w:rsid w:val="00CF5888"/>
    <w:rsid w:val="00CF69D2"/>
    <w:rsid w:val="00D00772"/>
    <w:rsid w:val="00D019CE"/>
    <w:rsid w:val="00D0461F"/>
    <w:rsid w:val="00D0665A"/>
    <w:rsid w:val="00D104A6"/>
    <w:rsid w:val="00D1254B"/>
    <w:rsid w:val="00D12829"/>
    <w:rsid w:val="00D1417D"/>
    <w:rsid w:val="00D147BC"/>
    <w:rsid w:val="00D163CD"/>
    <w:rsid w:val="00D164E3"/>
    <w:rsid w:val="00D23496"/>
    <w:rsid w:val="00D2560A"/>
    <w:rsid w:val="00D26F63"/>
    <w:rsid w:val="00D3146E"/>
    <w:rsid w:val="00D33AE5"/>
    <w:rsid w:val="00D3459D"/>
    <w:rsid w:val="00D35BD8"/>
    <w:rsid w:val="00D3672C"/>
    <w:rsid w:val="00D36796"/>
    <w:rsid w:val="00D37273"/>
    <w:rsid w:val="00D4200B"/>
    <w:rsid w:val="00D4442B"/>
    <w:rsid w:val="00D44672"/>
    <w:rsid w:val="00D45065"/>
    <w:rsid w:val="00D45A5A"/>
    <w:rsid w:val="00D47DB2"/>
    <w:rsid w:val="00D53D2B"/>
    <w:rsid w:val="00D5438E"/>
    <w:rsid w:val="00D55036"/>
    <w:rsid w:val="00D551FC"/>
    <w:rsid w:val="00D562D3"/>
    <w:rsid w:val="00D56A91"/>
    <w:rsid w:val="00D57B53"/>
    <w:rsid w:val="00D60847"/>
    <w:rsid w:val="00D635DA"/>
    <w:rsid w:val="00D63E5B"/>
    <w:rsid w:val="00D65918"/>
    <w:rsid w:val="00D7088A"/>
    <w:rsid w:val="00D77F9C"/>
    <w:rsid w:val="00D81943"/>
    <w:rsid w:val="00D826EF"/>
    <w:rsid w:val="00D921EA"/>
    <w:rsid w:val="00D95A14"/>
    <w:rsid w:val="00D96061"/>
    <w:rsid w:val="00D96110"/>
    <w:rsid w:val="00D976A5"/>
    <w:rsid w:val="00D97E31"/>
    <w:rsid w:val="00DA0124"/>
    <w:rsid w:val="00DA013A"/>
    <w:rsid w:val="00DA0C80"/>
    <w:rsid w:val="00DA186C"/>
    <w:rsid w:val="00DA1B43"/>
    <w:rsid w:val="00DA22DE"/>
    <w:rsid w:val="00DA6144"/>
    <w:rsid w:val="00DA62C5"/>
    <w:rsid w:val="00DB070F"/>
    <w:rsid w:val="00DB16D1"/>
    <w:rsid w:val="00DB3169"/>
    <w:rsid w:val="00DB5BE7"/>
    <w:rsid w:val="00DB66D9"/>
    <w:rsid w:val="00DB6DBC"/>
    <w:rsid w:val="00DC2BF1"/>
    <w:rsid w:val="00DC57ED"/>
    <w:rsid w:val="00DD0BF0"/>
    <w:rsid w:val="00DD28AC"/>
    <w:rsid w:val="00DD43CE"/>
    <w:rsid w:val="00DD6C4C"/>
    <w:rsid w:val="00DE1354"/>
    <w:rsid w:val="00DE1720"/>
    <w:rsid w:val="00DE218C"/>
    <w:rsid w:val="00DE35F5"/>
    <w:rsid w:val="00DE429A"/>
    <w:rsid w:val="00DE48A7"/>
    <w:rsid w:val="00DE528E"/>
    <w:rsid w:val="00DE6354"/>
    <w:rsid w:val="00DF1215"/>
    <w:rsid w:val="00DF1F1A"/>
    <w:rsid w:val="00DF6243"/>
    <w:rsid w:val="00DF7A01"/>
    <w:rsid w:val="00E03247"/>
    <w:rsid w:val="00E03376"/>
    <w:rsid w:val="00E05260"/>
    <w:rsid w:val="00E054A7"/>
    <w:rsid w:val="00E067AA"/>
    <w:rsid w:val="00E07DA0"/>
    <w:rsid w:val="00E126E3"/>
    <w:rsid w:val="00E147EE"/>
    <w:rsid w:val="00E169BA"/>
    <w:rsid w:val="00E20780"/>
    <w:rsid w:val="00E23655"/>
    <w:rsid w:val="00E236F8"/>
    <w:rsid w:val="00E23F5C"/>
    <w:rsid w:val="00E27A5A"/>
    <w:rsid w:val="00E32B1D"/>
    <w:rsid w:val="00E32FD7"/>
    <w:rsid w:val="00E332D8"/>
    <w:rsid w:val="00E410F4"/>
    <w:rsid w:val="00E45E6C"/>
    <w:rsid w:val="00E515BA"/>
    <w:rsid w:val="00E54E93"/>
    <w:rsid w:val="00E556C9"/>
    <w:rsid w:val="00E619F8"/>
    <w:rsid w:val="00E64349"/>
    <w:rsid w:val="00E646F0"/>
    <w:rsid w:val="00E65532"/>
    <w:rsid w:val="00E707A5"/>
    <w:rsid w:val="00E713A1"/>
    <w:rsid w:val="00E7268F"/>
    <w:rsid w:val="00E74E38"/>
    <w:rsid w:val="00E812AF"/>
    <w:rsid w:val="00E81461"/>
    <w:rsid w:val="00E82562"/>
    <w:rsid w:val="00E82D7B"/>
    <w:rsid w:val="00E835BD"/>
    <w:rsid w:val="00E849F5"/>
    <w:rsid w:val="00E85AE8"/>
    <w:rsid w:val="00E868AD"/>
    <w:rsid w:val="00E87F1A"/>
    <w:rsid w:val="00E9017C"/>
    <w:rsid w:val="00E910FA"/>
    <w:rsid w:val="00E92573"/>
    <w:rsid w:val="00E94679"/>
    <w:rsid w:val="00E978E6"/>
    <w:rsid w:val="00EA17BE"/>
    <w:rsid w:val="00EA2CBF"/>
    <w:rsid w:val="00EA4EE6"/>
    <w:rsid w:val="00EA5807"/>
    <w:rsid w:val="00EB5A29"/>
    <w:rsid w:val="00EB62D5"/>
    <w:rsid w:val="00EB63DE"/>
    <w:rsid w:val="00EB7E4B"/>
    <w:rsid w:val="00EC1591"/>
    <w:rsid w:val="00EC77C1"/>
    <w:rsid w:val="00ED204E"/>
    <w:rsid w:val="00ED3D1F"/>
    <w:rsid w:val="00EE06DB"/>
    <w:rsid w:val="00EE1F23"/>
    <w:rsid w:val="00EE42A6"/>
    <w:rsid w:val="00EE5F13"/>
    <w:rsid w:val="00EF0D7D"/>
    <w:rsid w:val="00EF0E08"/>
    <w:rsid w:val="00F06361"/>
    <w:rsid w:val="00F06AF1"/>
    <w:rsid w:val="00F0768C"/>
    <w:rsid w:val="00F10AC6"/>
    <w:rsid w:val="00F11CA1"/>
    <w:rsid w:val="00F13E7A"/>
    <w:rsid w:val="00F14D93"/>
    <w:rsid w:val="00F14E9D"/>
    <w:rsid w:val="00F16D6C"/>
    <w:rsid w:val="00F17443"/>
    <w:rsid w:val="00F211D2"/>
    <w:rsid w:val="00F2141E"/>
    <w:rsid w:val="00F220BA"/>
    <w:rsid w:val="00F2262A"/>
    <w:rsid w:val="00F2514F"/>
    <w:rsid w:val="00F27576"/>
    <w:rsid w:val="00F27E9E"/>
    <w:rsid w:val="00F31E72"/>
    <w:rsid w:val="00F34047"/>
    <w:rsid w:val="00F34DBC"/>
    <w:rsid w:val="00F416CB"/>
    <w:rsid w:val="00F43346"/>
    <w:rsid w:val="00F43407"/>
    <w:rsid w:val="00F43AA3"/>
    <w:rsid w:val="00F4591E"/>
    <w:rsid w:val="00F45AB7"/>
    <w:rsid w:val="00F45E40"/>
    <w:rsid w:val="00F460F9"/>
    <w:rsid w:val="00F52A94"/>
    <w:rsid w:val="00F53627"/>
    <w:rsid w:val="00F5563F"/>
    <w:rsid w:val="00F610C4"/>
    <w:rsid w:val="00F61724"/>
    <w:rsid w:val="00F62C44"/>
    <w:rsid w:val="00F6421D"/>
    <w:rsid w:val="00F64DE2"/>
    <w:rsid w:val="00F65CEE"/>
    <w:rsid w:val="00F669E2"/>
    <w:rsid w:val="00F67450"/>
    <w:rsid w:val="00F73726"/>
    <w:rsid w:val="00F73D8A"/>
    <w:rsid w:val="00F7547C"/>
    <w:rsid w:val="00F806B2"/>
    <w:rsid w:val="00F80F9C"/>
    <w:rsid w:val="00F8368A"/>
    <w:rsid w:val="00F856E9"/>
    <w:rsid w:val="00F9108F"/>
    <w:rsid w:val="00F93A92"/>
    <w:rsid w:val="00FA0D7D"/>
    <w:rsid w:val="00FA3C66"/>
    <w:rsid w:val="00FA463F"/>
    <w:rsid w:val="00FA63F6"/>
    <w:rsid w:val="00FA703F"/>
    <w:rsid w:val="00FB0836"/>
    <w:rsid w:val="00FB0E7C"/>
    <w:rsid w:val="00FB2AE9"/>
    <w:rsid w:val="00FB3199"/>
    <w:rsid w:val="00FB44C6"/>
    <w:rsid w:val="00FB4805"/>
    <w:rsid w:val="00FB5ECB"/>
    <w:rsid w:val="00FB6F17"/>
    <w:rsid w:val="00FC0126"/>
    <w:rsid w:val="00FC15E3"/>
    <w:rsid w:val="00FC1BEB"/>
    <w:rsid w:val="00FC3367"/>
    <w:rsid w:val="00FC421F"/>
    <w:rsid w:val="00FC46DA"/>
    <w:rsid w:val="00FC5CFB"/>
    <w:rsid w:val="00FC5D8D"/>
    <w:rsid w:val="00FC691D"/>
    <w:rsid w:val="00FD06B2"/>
    <w:rsid w:val="00FD2271"/>
    <w:rsid w:val="00FD30E0"/>
    <w:rsid w:val="00FD41F6"/>
    <w:rsid w:val="00FD6048"/>
    <w:rsid w:val="00FE0230"/>
    <w:rsid w:val="00FE765C"/>
    <w:rsid w:val="00FF0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6A2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306"/>
    <w:pPr>
      <w:spacing w:after="100" w:line="400" w:lineRule="exact"/>
      <w:jc w:val="both"/>
    </w:pPr>
    <w:rPr>
      <w:rFonts w:ascii="Century Schoolbook" w:hAnsi="Century Schoolbook"/>
      <w:sz w:val="27"/>
    </w:rPr>
  </w:style>
  <w:style w:type="paragraph" w:styleId="Heading1">
    <w:name w:val="heading 1"/>
    <w:basedOn w:val="Normal"/>
    <w:next w:val="Normal"/>
    <w:qFormat/>
    <w:rsid w:val="00AC1306"/>
    <w:pPr>
      <w:keepNext/>
      <w:spacing w:before="140" w:line="240" w:lineRule="atLeast"/>
      <w:jc w:val="center"/>
      <w:outlineLvl w:val="0"/>
    </w:pPr>
    <w:rPr>
      <w:b/>
      <w:smallCaps/>
    </w:rPr>
  </w:style>
  <w:style w:type="paragraph" w:styleId="Heading2">
    <w:name w:val="heading 2"/>
    <w:basedOn w:val="Normal"/>
    <w:next w:val="Normal"/>
    <w:qFormat/>
    <w:rsid w:val="00AC1306"/>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AC1306"/>
    <w:pPr>
      <w:keepNext/>
      <w:tabs>
        <w:tab w:val="left" w:pos="1584"/>
      </w:tabs>
      <w:spacing w:before="140" w:line="240" w:lineRule="atLeast"/>
      <w:ind w:left="1584" w:hanging="432"/>
      <w:jc w:val="left"/>
      <w:outlineLvl w:val="2"/>
    </w:pPr>
    <w:rPr>
      <w:i/>
    </w:rPr>
  </w:style>
  <w:style w:type="paragraph" w:styleId="Heading4">
    <w:name w:val="heading 4"/>
    <w:basedOn w:val="Normal"/>
    <w:rsid w:val="00AC1306"/>
    <w:pPr>
      <w:keepNext/>
      <w:tabs>
        <w:tab w:val="left" w:pos="2016"/>
      </w:tabs>
      <w:spacing w:before="140" w:line="240" w:lineRule="atLeast"/>
      <w:ind w:left="2016" w:hanging="432"/>
      <w:jc w:val="left"/>
      <w:outlineLvl w:val="3"/>
    </w:pPr>
    <w:rPr>
      <w:i/>
    </w:rPr>
  </w:style>
  <w:style w:type="paragraph" w:styleId="Heading5">
    <w:name w:val="heading 5"/>
    <w:basedOn w:val="Normal"/>
    <w:rsid w:val="00AC1306"/>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AC1306"/>
    <w:pPr>
      <w:ind w:left="720"/>
    </w:pPr>
  </w:style>
  <w:style w:type="paragraph" w:styleId="Footer">
    <w:name w:val="footer"/>
    <w:basedOn w:val="Normal"/>
    <w:qFormat/>
    <w:rsid w:val="00AC1306"/>
    <w:pPr>
      <w:tabs>
        <w:tab w:val="center" w:pos="3960"/>
        <w:tab w:val="right" w:pos="10080"/>
      </w:tabs>
      <w:spacing w:after="0" w:line="240" w:lineRule="auto"/>
      <w:jc w:val="center"/>
    </w:pPr>
    <w:rPr>
      <w:sz w:val="22"/>
    </w:rPr>
  </w:style>
  <w:style w:type="paragraph" w:styleId="Header">
    <w:name w:val="header"/>
    <w:basedOn w:val="Normal"/>
    <w:qFormat/>
    <w:rsid w:val="00AC1306"/>
    <w:pPr>
      <w:tabs>
        <w:tab w:val="center" w:pos="3960"/>
        <w:tab w:val="right" w:pos="10080"/>
      </w:tabs>
      <w:spacing w:after="80" w:line="240" w:lineRule="auto"/>
      <w:jc w:val="center"/>
    </w:pPr>
    <w:rPr>
      <w:sz w:val="22"/>
    </w:rPr>
  </w:style>
  <w:style w:type="character" w:styleId="FootnoteReference">
    <w:name w:val="footnote reference"/>
    <w:rsid w:val="00AC1306"/>
    <w:rPr>
      <w:rFonts w:ascii="Century Schoolbook" w:hAnsi="Century Schoolbook"/>
      <w:b/>
      <w:i w:val="0"/>
      <w:position w:val="4"/>
      <w:sz w:val="27"/>
      <w:vertAlign w:val="superscript"/>
    </w:rPr>
  </w:style>
  <w:style w:type="paragraph" w:styleId="FootnoteText">
    <w:name w:val="footnote text"/>
    <w:basedOn w:val="Normal"/>
    <w:rsid w:val="00AC1306"/>
    <w:pPr>
      <w:spacing w:line="300" w:lineRule="exact"/>
    </w:pPr>
  </w:style>
  <w:style w:type="paragraph" w:customStyle="1" w:styleId="Title1">
    <w:name w:val="Title1"/>
    <w:basedOn w:val="Normal"/>
    <w:rsid w:val="00AC1306"/>
    <w:pPr>
      <w:tabs>
        <w:tab w:val="left" w:pos="5760"/>
        <w:tab w:val="left" w:pos="6480"/>
      </w:tabs>
      <w:spacing w:line="240" w:lineRule="atLeast"/>
    </w:pPr>
  </w:style>
  <w:style w:type="paragraph" w:customStyle="1" w:styleId="Recommend">
    <w:name w:val="Recommend"/>
    <w:basedOn w:val="Normal"/>
    <w:rsid w:val="00AC1306"/>
  </w:style>
  <w:style w:type="paragraph" w:customStyle="1" w:styleId="Summary">
    <w:name w:val="Summary"/>
    <w:basedOn w:val="Normal"/>
    <w:rsid w:val="00AC1306"/>
    <w:pPr>
      <w:ind w:left="2160" w:hanging="2160"/>
    </w:pPr>
  </w:style>
  <w:style w:type="paragraph" w:customStyle="1" w:styleId="Text">
    <w:name w:val="Text"/>
    <w:basedOn w:val="Normal"/>
    <w:rsid w:val="00AC1306"/>
    <w:pPr>
      <w:tabs>
        <w:tab w:val="left" w:pos="720"/>
        <w:tab w:val="left" w:pos="1440"/>
        <w:tab w:val="left" w:pos="2160"/>
        <w:tab w:val="center" w:pos="4320"/>
      </w:tabs>
      <w:spacing w:line="480" w:lineRule="atLeast"/>
      <w:ind w:firstLine="540"/>
    </w:pPr>
  </w:style>
  <w:style w:type="paragraph" w:styleId="Date">
    <w:name w:val="Date"/>
    <w:basedOn w:val="Normal"/>
    <w:semiHidden/>
    <w:rsid w:val="00AC1306"/>
    <w:pPr>
      <w:jc w:val="right"/>
    </w:pPr>
  </w:style>
  <w:style w:type="character" w:styleId="PageNumber">
    <w:name w:val="page number"/>
    <w:semiHidden/>
    <w:rsid w:val="00AC1306"/>
  </w:style>
  <w:style w:type="paragraph" w:customStyle="1" w:styleId="subject">
    <w:name w:val="subject"/>
    <w:basedOn w:val="Normal"/>
    <w:rsid w:val="00AC1306"/>
    <w:pPr>
      <w:tabs>
        <w:tab w:val="left" w:pos="1008"/>
      </w:tabs>
      <w:ind w:left="990" w:hanging="990"/>
    </w:pPr>
    <w:rPr>
      <w:b/>
    </w:rPr>
  </w:style>
  <w:style w:type="paragraph" w:customStyle="1" w:styleId="Titles">
    <w:name w:val="Titles"/>
    <w:basedOn w:val="Normal"/>
    <w:rsid w:val="00AC1306"/>
    <w:pPr>
      <w:tabs>
        <w:tab w:val="left" w:pos="2160"/>
      </w:tabs>
      <w:ind w:left="2160" w:hanging="2160"/>
    </w:pPr>
    <w:rPr>
      <w:b/>
    </w:rPr>
  </w:style>
  <w:style w:type="paragraph" w:styleId="TOAHeading">
    <w:name w:val="toa heading"/>
    <w:basedOn w:val="Normal"/>
    <w:next w:val="Normal"/>
    <w:semiHidden/>
    <w:rsid w:val="00AC1306"/>
    <w:pPr>
      <w:spacing w:before="120"/>
    </w:pPr>
    <w:rPr>
      <w:b/>
    </w:rPr>
  </w:style>
  <w:style w:type="paragraph" w:styleId="TOC1">
    <w:name w:val="toc 1"/>
    <w:basedOn w:val="Normal"/>
    <w:next w:val="Normal"/>
    <w:autoRedefine/>
    <w:semiHidden/>
    <w:rsid w:val="00AC1306"/>
  </w:style>
  <w:style w:type="paragraph" w:styleId="TOC2">
    <w:name w:val="toc 2"/>
    <w:basedOn w:val="Normal"/>
    <w:next w:val="Normal"/>
    <w:autoRedefine/>
    <w:semiHidden/>
    <w:rsid w:val="00AC1306"/>
    <w:pPr>
      <w:ind w:left="259"/>
    </w:pPr>
  </w:style>
  <w:style w:type="paragraph" w:styleId="TOC3">
    <w:name w:val="toc 3"/>
    <w:basedOn w:val="Normal"/>
    <w:next w:val="Normal"/>
    <w:autoRedefine/>
    <w:semiHidden/>
    <w:rsid w:val="00AC1306"/>
    <w:pPr>
      <w:ind w:left="520"/>
    </w:pPr>
  </w:style>
  <w:style w:type="paragraph" w:styleId="TOC4">
    <w:name w:val="toc 4"/>
    <w:basedOn w:val="Normal"/>
    <w:next w:val="Normal"/>
    <w:autoRedefine/>
    <w:semiHidden/>
    <w:rsid w:val="00AC1306"/>
    <w:pPr>
      <w:ind w:left="780"/>
    </w:pPr>
  </w:style>
  <w:style w:type="paragraph" w:styleId="TOC5">
    <w:name w:val="toc 5"/>
    <w:basedOn w:val="Normal"/>
    <w:next w:val="Normal"/>
    <w:autoRedefine/>
    <w:semiHidden/>
    <w:rsid w:val="00AC1306"/>
    <w:pPr>
      <w:ind w:left="1040"/>
    </w:pPr>
  </w:style>
  <w:style w:type="paragraph" w:styleId="TOC6">
    <w:name w:val="toc 6"/>
    <w:basedOn w:val="Normal"/>
    <w:next w:val="Normal"/>
    <w:autoRedefine/>
    <w:semiHidden/>
    <w:rsid w:val="00AC1306"/>
    <w:pPr>
      <w:ind w:left="1300"/>
    </w:pPr>
  </w:style>
  <w:style w:type="paragraph" w:styleId="TOC7">
    <w:name w:val="toc 7"/>
    <w:basedOn w:val="Normal"/>
    <w:next w:val="Normal"/>
    <w:autoRedefine/>
    <w:semiHidden/>
    <w:rsid w:val="00AC1306"/>
    <w:pPr>
      <w:ind w:left="1560"/>
    </w:pPr>
  </w:style>
  <w:style w:type="paragraph" w:styleId="TOC8">
    <w:name w:val="toc 8"/>
    <w:basedOn w:val="Normal"/>
    <w:next w:val="Normal"/>
    <w:autoRedefine/>
    <w:semiHidden/>
    <w:rsid w:val="00AC1306"/>
    <w:pPr>
      <w:ind w:left="1820"/>
    </w:pPr>
  </w:style>
  <w:style w:type="paragraph" w:styleId="TOC9">
    <w:name w:val="toc 9"/>
    <w:basedOn w:val="Normal"/>
    <w:next w:val="Normal"/>
    <w:autoRedefine/>
    <w:semiHidden/>
    <w:rsid w:val="00AC1306"/>
    <w:pPr>
      <w:ind w:left="2080"/>
    </w:pPr>
  </w:style>
  <w:style w:type="paragraph" w:customStyle="1" w:styleId="Contents">
    <w:name w:val="Contents"/>
    <w:basedOn w:val="Normal"/>
    <w:rsid w:val="00AC1306"/>
    <w:pPr>
      <w:jc w:val="center"/>
    </w:pPr>
    <w:rPr>
      <w:b/>
      <w:spacing w:val="100"/>
    </w:rPr>
  </w:style>
  <w:style w:type="paragraph" w:styleId="NormalWeb">
    <w:name w:val="Normal (Web)"/>
    <w:basedOn w:val="Normal"/>
    <w:uiPriority w:val="99"/>
    <w:semiHidden/>
    <w:unhideWhenUsed/>
    <w:rsid w:val="002922F5"/>
    <w:rPr>
      <w:sz w:val="24"/>
      <w:szCs w:val="24"/>
    </w:rPr>
  </w:style>
  <w:style w:type="character" w:styleId="Hyperlink">
    <w:name w:val="Hyperlink"/>
    <w:uiPriority w:val="99"/>
    <w:unhideWhenUsed/>
    <w:rsid w:val="006E7BB6"/>
    <w:rPr>
      <w:color w:val="0000FF"/>
      <w:u w:val="single"/>
    </w:rPr>
  </w:style>
  <w:style w:type="paragraph" w:styleId="BalloonText">
    <w:name w:val="Balloon Text"/>
    <w:basedOn w:val="Normal"/>
    <w:link w:val="BalloonTextChar"/>
    <w:uiPriority w:val="99"/>
    <w:semiHidden/>
    <w:unhideWhenUsed/>
    <w:rsid w:val="00E45E6C"/>
    <w:rPr>
      <w:rFonts w:ascii="Tahoma" w:hAnsi="Tahoma" w:cs="Tahoma"/>
      <w:sz w:val="16"/>
      <w:szCs w:val="16"/>
    </w:rPr>
  </w:style>
  <w:style w:type="character" w:customStyle="1" w:styleId="BalloonTextChar">
    <w:name w:val="Balloon Text Char"/>
    <w:link w:val="BalloonText"/>
    <w:uiPriority w:val="99"/>
    <w:semiHidden/>
    <w:rsid w:val="00E45E6C"/>
    <w:rPr>
      <w:rFonts w:ascii="Tahoma" w:hAnsi="Tahoma" w:cs="Tahoma"/>
      <w:sz w:val="16"/>
      <w:szCs w:val="16"/>
    </w:rPr>
  </w:style>
  <w:style w:type="paragraph" w:styleId="BodyText">
    <w:name w:val="Body Text"/>
    <w:basedOn w:val="Normal"/>
    <w:link w:val="BodyTextChar"/>
    <w:qFormat/>
    <w:rsid w:val="00AC1306"/>
  </w:style>
  <w:style w:type="character" w:customStyle="1" w:styleId="BodyTextChar">
    <w:name w:val="Body Text Char"/>
    <w:link w:val="BodyText"/>
    <w:rsid w:val="00AC1306"/>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53445">
      <w:bodyDiv w:val="1"/>
      <w:marLeft w:val="0"/>
      <w:marRight w:val="0"/>
      <w:marTop w:val="0"/>
      <w:marBottom w:val="0"/>
      <w:divBdr>
        <w:top w:val="none" w:sz="0" w:space="0" w:color="auto"/>
        <w:left w:val="none" w:sz="0" w:space="0" w:color="auto"/>
        <w:bottom w:val="none" w:sz="0" w:space="0" w:color="auto"/>
        <w:right w:val="none" w:sz="0" w:space="0" w:color="auto"/>
      </w:divBdr>
    </w:div>
    <w:div w:id="513686148">
      <w:bodyDiv w:val="1"/>
      <w:marLeft w:val="0"/>
      <w:marRight w:val="0"/>
      <w:marTop w:val="0"/>
      <w:marBottom w:val="0"/>
      <w:divBdr>
        <w:top w:val="none" w:sz="0" w:space="0" w:color="auto"/>
        <w:left w:val="none" w:sz="0" w:space="0" w:color="auto"/>
        <w:bottom w:val="none" w:sz="0" w:space="0" w:color="auto"/>
        <w:right w:val="none" w:sz="0" w:space="0" w:color="auto"/>
      </w:divBdr>
    </w:div>
    <w:div w:id="625433430">
      <w:bodyDiv w:val="1"/>
      <w:marLeft w:val="0"/>
      <w:marRight w:val="0"/>
      <w:marTop w:val="0"/>
      <w:marBottom w:val="0"/>
      <w:divBdr>
        <w:top w:val="none" w:sz="0" w:space="0" w:color="auto"/>
        <w:left w:val="none" w:sz="0" w:space="0" w:color="auto"/>
        <w:bottom w:val="none" w:sz="0" w:space="0" w:color="auto"/>
        <w:right w:val="none" w:sz="0" w:space="0" w:color="auto"/>
      </w:divBdr>
    </w:div>
    <w:div w:id="653148918">
      <w:bodyDiv w:val="1"/>
      <w:marLeft w:val="0"/>
      <w:marRight w:val="0"/>
      <w:marTop w:val="0"/>
      <w:marBottom w:val="0"/>
      <w:divBdr>
        <w:top w:val="none" w:sz="0" w:space="0" w:color="auto"/>
        <w:left w:val="none" w:sz="0" w:space="0" w:color="auto"/>
        <w:bottom w:val="none" w:sz="0" w:space="0" w:color="auto"/>
        <w:right w:val="none" w:sz="0" w:space="0" w:color="auto"/>
      </w:divBdr>
    </w:div>
    <w:div w:id="727338221">
      <w:bodyDiv w:val="1"/>
      <w:marLeft w:val="0"/>
      <w:marRight w:val="0"/>
      <w:marTop w:val="0"/>
      <w:marBottom w:val="0"/>
      <w:divBdr>
        <w:top w:val="none" w:sz="0" w:space="0" w:color="auto"/>
        <w:left w:val="none" w:sz="0" w:space="0" w:color="auto"/>
        <w:bottom w:val="none" w:sz="0" w:space="0" w:color="auto"/>
        <w:right w:val="none" w:sz="0" w:space="0" w:color="auto"/>
      </w:divBdr>
    </w:div>
    <w:div w:id="848837709">
      <w:bodyDiv w:val="1"/>
      <w:marLeft w:val="0"/>
      <w:marRight w:val="0"/>
      <w:marTop w:val="0"/>
      <w:marBottom w:val="0"/>
      <w:divBdr>
        <w:top w:val="none" w:sz="0" w:space="0" w:color="auto"/>
        <w:left w:val="none" w:sz="0" w:space="0" w:color="auto"/>
        <w:bottom w:val="none" w:sz="0" w:space="0" w:color="auto"/>
        <w:right w:val="none" w:sz="0" w:space="0" w:color="auto"/>
      </w:divBdr>
    </w:div>
    <w:div w:id="916474262">
      <w:bodyDiv w:val="1"/>
      <w:marLeft w:val="0"/>
      <w:marRight w:val="0"/>
      <w:marTop w:val="0"/>
      <w:marBottom w:val="0"/>
      <w:divBdr>
        <w:top w:val="none" w:sz="0" w:space="0" w:color="auto"/>
        <w:left w:val="none" w:sz="0" w:space="0" w:color="auto"/>
        <w:bottom w:val="none" w:sz="0" w:space="0" w:color="auto"/>
        <w:right w:val="none" w:sz="0" w:space="0" w:color="auto"/>
      </w:divBdr>
    </w:div>
    <w:div w:id="1325546878">
      <w:bodyDiv w:val="1"/>
      <w:marLeft w:val="0"/>
      <w:marRight w:val="0"/>
      <w:marTop w:val="0"/>
      <w:marBottom w:val="0"/>
      <w:divBdr>
        <w:top w:val="none" w:sz="0" w:space="0" w:color="auto"/>
        <w:left w:val="none" w:sz="0" w:space="0" w:color="auto"/>
        <w:bottom w:val="none" w:sz="0" w:space="0" w:color="auto"/>
        <w:right w:val="none" w:sz="0" w:space="0" w:color="auto"/>
      </w:divBdr>
    </w:div>
    <w:div w:id="1457722863">
      <w:bodyDiv w:val="1"/>
      <w:marLeft w:val="0"/>
      <w:marRight w:val="0"/>
      <w:marTop w:val="0"/>
      <w:marBottom w:val="0"/>
      <w:divBdr>
        <w:top w:val="none" w:sz="0" w:space="0" w:color="auto"/>
        <w:left w:val="none" w:sz="0" w:space="0" w:color="auto"/>
        <w:bottom w:val="none" w:sz="0" w:space="0" w:color="auto"/>
        <w:right w:val="none" w:sz="0" w:space="0" w:color="auto"/>
      </w:divBdr>
    </w:div>
    <w:div w:id="149626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6E819-A319-4374-9987-FF979A7D2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5174</Words>
  <Characters>28879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33986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cp:lastModifiedBy/>
  <cp:revision>1</cp:revision>
  <cp:lastPrinted>2019-02-27T19:38:00Z</cp:lastPrinted>
  <dcterms:created xsi:type="dcterms:W3CDTF">2019-02-27T19:51:00Z</dcterms:created>
  <dcterms:modified xsi:type="dcterms:W3CDTF">2019-02-27T20:25:00Z</dcterms:modified>
</cp:coreProperties>
</file>