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F0FA4" w:rsidRPr="002A0D58" w:rsidP="00CF0FA4">
      <w:pPr>
        <w:rPr>
          <w:sz w:val="20"/>
        </w:rPr>
      </w:pPr>
      <w:bookmarkStart w:id="0" w:name="_GoBack"/>
      <w:bookmarkEnd w:id="0"/>
      <w:r>
        <w:rPr>
          <w:sz w:val="20"/>
        </w:rPr>
        <w:t>Filed 7/5/18</w:t>
      </w:r>
    </w:p>
    <w:p w:rsidR="00CF0FA4" w:rsidP="00CF0FA4">
      <w:pPr>
        <w:jc w:val="center"/>
      </w:pPr>
    </w:p>
    <w:p w:rsidR="00CF0FA4" w:rsidP="00CF0FA4">
      <w:pPr>
        <w:jc w:val="center"/>
      </w:pPr>
    </w:p>
    <w:p w:rsidR="00CF0FA4" w:rsidP="00CF0FA4">
      <w:pPr>
        <w:jc w:val="center"/>
      </w:pPr>
    </w:p>
    <w:p w:rsidR="00CF0FA4" w:rsidP="00CF0FA4">
      <w:pPr>
        <w:jc w:val="center"/>
        <w:rPr>
          <w:sz w:val="36"/>
        </w:rPr>
      </w:pPr>
      <w:r>
        <w:rPr>
          <w:b/>
          <w:sz w:val="36"/>
        </w:rPr>
        <w:t>IN THE SUPREME COURT OF CALIFORNIA</w:t>
      </w:r>
    </w:p>
    <w:p w:rsidR="00CF0FA4" w:rsidP="00CF0FA4">
      <w:pPr>
        <w:jc w:val="center"/>
      </w:pPr>
    </w:p>
    <w:p w:rsidR="00CF0FA4" w:rsidP="00CF0FA4">
      <w:pPr>
        <w:jc w:val="center"/>
      </w:pPr>
    </w:p>
    <w:p w:rsidR="00CF0FA4" w:rsidP="00CF0FA4">
      <w:pPr>
        <w:jc w:val="center"/>
      </w:pPr>
    </w:p>
    <w:p w:rsidR="00CF0FA4" w:rsidP="00CF0FA4">
      <w:pPr>
        <w:tabs>
          <w:tab w:val="left" w:pos="4680"/>
          <w:tab w:val="center" w:pos="7200"/>
        </w:tabs>
        <w:spacing w:line="240" w:lineRule="atLeast"/>
      </w:pPr>
      <w:bookmarkStart w:id="1" w:name="plaintiff"/>
      <w:bookmarkEnd w:id="1"/>
      <w:r>
        <w:t>DOMINIQUE LOPEZ</w:t>
      </w:r>
      <w:r>
        <w:t>, a Minor, etc</w:t>
      </w:r>
      <w:r>
        <w:t>.</w:t>
      </w:r>
      <w:r>
        <w:t>,</w:t>
      </w:r>
      <w:r>
        <w:tab/>
      </w:r>
      <w:r>
        <w:t>)</w:t>
      </w:r>
    </w:p>
    <w:p w:rsidR="00CF0FA4" w:rsidP="00CF0FA4">
      <w:pPr>
        <w:tabs>
          <w:tab w:val="left" w:pos="1440"/>
          <w:tab w:val="left" w:pos="4680"/>
          <w:tab w:val="center" w:pos="7200"/>
        </w:tabs>
        <w:spacing w:line="240" w:lineRule="atLeast"/>
      </w:pPr>
      <w:r>
        <w:tab/>
      </w:r>
      <w:r>
        <w:tab/>
        <w:t>)</w:t>
      </w:r>
    </w:p>
    <w:p w:rsidR="00CF0FA4" w:rsidP="00CF0FA4">
      <w:pPr>
        <w:tabs>
          <w:tab w:val="left" w:pos="1440"/>
          <w:tab w:val="left" w:pos="4680"/>
          <w:tab w:val="center" w:pos="7200"/>
        </w:tabs>
        <w:spacing w:line="240" w:lineRule="atLeast"/>
      </w:pPr>
      <w:r>
        <w:tab/>
      </w:r>
      <w:bookmarkStart w:id="2" w:name="LD"/>
      <w:bookmarkEnd w:id="2"/>
      <w:r>
        <w:t xml:space="preserve">Plaintiff and </w:t>
      </w:r>
      <w:r>
        <w:t>Appellant</w:t>
      </w:r>
      <w:r>
        <w:t>,</w:t>
      </w:r>
      <w:r>
        <w:tab/>
        <w:t>)</w:t>
      </w:r>
      <w:r w:rsidRPr="00C76DC6">
        <w:t xml:space="preserve"> </w:t>
      </w:r>
      <w:r>
        <w:tab/>
        <w:t>S</w:t>
      </w:r>
      <w:bookmarkStart w:id="3" w:name="casenum"/>
      <w:bookmarkEnd w:id="3"/>
      <w:r>
        <w:t>235357</w:t>
      </w:r>
    </w:p>
    <w:p w:rsidR="00CF0FA4" w:rsidP="00CF0FA4">
      <w:pPr>
        <w:tabs>
          <w:tab w:val="left" w:pos="1440"/>
          <w:tab w:val="left" w:pos="4680"/>
          <w:tab w:val="center" w:pos="7200"/>
        </w:tabs>
        <w:spacing w:line="240" w:lineRule="atLeast"/>
      </w:pPr>
      <w:r>
        <w:tab/>
      </w:r>
      <w:r>
        <w:tab/>
        <w:t>)</w:t>
      </w:r>
    </w:p>
    <w:p w:rsidR="00CF0FA4" w:rsidP="00CF0FA4">
      <w:pPr>
        <w:tabs>
          <w:tab w:val="left" w:pos="1440"/>
          <w:tab w:val="left" w:pos="4680"/>
          <w:tab w:val="center" w:pos="7200"/>
        </w:tabs>
        <w:spacing w:line="240" w:lineRule="atLeast"/>
      </w:pPr>
      <w:r>
        <w:tab/>
        <w:t>v.</w:t>
      </w:r>
      <w:r>
        <w:tab/>
        <w:t>)</w:t>
      </w:r>
      <w:r w:rsidRPr="00C76DC6">
        <w:t xml:space="preserve"> </w:t>
      </w:r>
      <w:r>
        <w:tab/>
      </w:r>
      <w:bookmarkStart w:id="4" w:name="appealnum"/>
      <w:bookmarkEnd w:id="4"/>
      <w:r>
        <w:t>Ct.App. 2/8 B256792</w:t>
      </w:r>
    </w:p>
    <w:p w:rsidR="00CF0FA4" w:rsidP="00CF0FA4">
      <w:pPr>
        <w:tabs>
          <w:tab w:val="left" w:pos="1440"/>
          <w:tab w:val="left" w:pos="4680"/>
          <w:tab w:val="center" w:pos="7200"/>
        </w:tabs>
        <w:spacing w:line="240" w:lineRule="atLeast"/>
      </w:pPr>
      <w:r>
        <w:tab/>
      </w:r>
      <w:r>
        <w:tab/>
        <w:t>)</w:t>
      </w:r>
    </w:p>
    <w:p w:rsidR="00CF0FA4" w:rsidP="00CF0FA4">
      <w:pPr>
        <w:tabs>
          <w:tab w:val="left" w:pos="4680"/>
          <w:tab w:val="center" w:pos="7200"/>
        </w:tabs>
        <w:spacing w:line="240" w:lineRule="atLeast"/>
      </w:pPr>
      <w:bookmarkStart w:id="5" w:name="defendant"/>
      <w:bookmarkEnd w:id="5"/>
      <w:r>
        <w:t>SONY ELECTRONICS, INC.</w:t>
      </w:r>
      <w:r>
        <w:t>,</w:t>
      </w:r>
      <w:r>
        <w:tab/>
        <w:t>)</w:t>
      </w:r>
      <w:r w:rsidRPr="00322DF4">
        <w:t xml:space="preserve"> </w:t>
      </w:r>
      <w:r>
        <w:tab/>
      </w:r>
      <w:bookmarkStart w:id="6" w:name="county"/>
      <w:bookmarkEnd w:id="6"/>
      <w:r>
        <w:t>Los Angeles</w:t>
      </w:r>
      <w:r>
        <w:t xml:space="preserve"> County</w:t>
      </w:r>
    </w:p>
    <w:p w:rsidR="00CF0FA4" w:rsidP="00CF0FA4">
      <w:pPr>
        <w:tabs>
          <w:tab w:val="left" w:pos="4680"/>
          <w:tab w:val="center" w:pos="7200"/>
        </w:tabs>
        <w:spacing w:line="240" w:lineRule="atLeast"/>
      </w:pPr>
      <w:r>
        <w:tab/>
        <w:t>)</w:t>
      </w:r>
      <w:r w:rsidRPr="00322DF4">
        <w:t xml:space="preserve"> </w:t>
      </w:r>
      <w:r>
        <w:tab/>
      </w:r>
      <w:bookmarkStart w:id="7" w:name="supernum"/>
      <w:bookmarkEnd w:id="7"/>
      <w:r>
        <w:t xml:space="preserve">Super. Ct. </w:t>
      </w:r>
      <w:r>
        <w:t xml:space="preserve">No. </w:t>
      </w:r>
      <w:r>
        <w:t>BC476544</w:t>
      </w:r>
    </w:p>
    <w:p w:rsidR="000D1F1F" w:rsidP="00CF0FA4">
      <w:pPr>
        <w:tabs>
          <w:tab w:val="left" w:pos="1440"/>
          <w:tab w:val="left" w:pos="4680"/>
          <w:tab w:val="center" w:pos="7200"/>
        </w:tabs>
        <w:spacing w:line="240" w:lineRule="atLeast"/>
      </w:pPr>
      <w:r>
        <w:tab/>
      </w:r>
      <w:bookmarkStart w:id="8" w:name="VD"/>
      <w:bookmarkEnd w:id="8"/>
      <w:r>
        <w:t xml:space="preserve">Defendant and </w:t>
      </w:r>
      <w:r>
        <w:t>Respondent.</w:t>
      </w:r>
      <w:r>
        <w:tab/>
        <w:t>)</w:t>
      </w:r>
    </w:p>
    <w:p w:rsidR="0045725A" w:rsidRPr="0045725A" w:rsidP="00CF0FA4">
      <w:pPr>
        <w:tabs>
          <w:tab w:val="left" w:leader="underscore" w:pos="4680"/>
        </w:tabs>
        <w:spacing w:line="240" w:lineRule="atLeast"/>
      </w:pPr>
      <w:r>
        <w:tab/>
        <w:t>)</w:t>
      </w:r>
    </w:p>
    <w:p w:rsidR="00CF0FA4" w:rsidP="0045725A">
      <w:pPr>
        <w:tabs>
          <w:tab w:val="left" w:pos="1440"/>
          <w:tab w:val="left" w:pos="4680"/>
          <w:tab w:val="center" w:pos="7200"/>
        </w:tabs>
      </w:pPr>
    </w:p>
    <w:p w:rsidR="0045725A" w:rsidP="0045725A">
      <w:pPr>
        <w:tabs>
          <w:tab w:val="left" w:pos="1440"/>
          <w:tab w:val="left" w:pos="4680"/>
          <w:tab w:val="center" w:pos="7200"/>
        </w:tabs>
        <w:spacing w:line="360" w:lineRule="auto"/>
      </w:pPr>
    </w:p>
    <w:p w:rsidR="00A54F57" w:rsidP="00222CDC">
      <w:pPr>
        <w:spacing w:line="360" w:lineRule="auto"/>
      </w:pPr>
      <w:bookmarkStart w:id="9" w:name="mainstory"/>
      <w:bookmarkEnd w:id="9"/>
      <w:r>
        <w:tab/>
      </w:r>
      <w:r>
        <w:t xml:space="preserve">When a child is </w:t>
      </w:r>
      <w:r>
        <w:t xml:space="preserve">allegedly </w:t>
      </w:r>
      <w:r>
        <w:t>harmed by</w:t>
      </w:r>
      <w:r>
        <w:t xml:space="preserve"> </w:t>
      </w:r>
      <w:r w:rsidRPr="005E6572">
        <w:t>in utero</w:t>
      </w:r>
      <w:r>
        <w:t xml:space="preserve"> exposure to </w:t>
      </w:r>
      <w:r>
        <w:t xml:space="preserve">hazardous </w:t>
      </w:r>
      <w:r>
        <w:t xml:space="preserve">chemicals, </w:t>
      </w:r>
      <w:r>
        <w:t>which</w:t>
      </w:r>
      <w:r>
        <w:t xml:space="preserve"> statute of limitations</w:t>
      </w:r>
      <w:r>
        <w:t xml:space="preserve"> applies:  that</w:t>
      </w:r>
      <w:r>
        <w:t xml:space="preserve"> </w:t>
      </w:r>
      <w:r>
        <w:t xml:space="preserve">for </w:t>
      </w:r>
      <w:r>
        <w:t xml:space="preserve">toxic exposure </w:t>
      </w:r>
      <w:r>
        <w:t xml:space="preserve">claims </w:t>
      </w:r>
      <w:r>
        <w:t>(Code Civ. Proc., § 340.8, subd. </w:t>
      </w:r>
      <w:r>
        <w:t>(a)</w:t>
      </w:r>
      <w:r>
        <w:t>)</w:t>
      </w:r>
      <w:r>
        <w:t>,</w:t>
      </w:r>
      <w:r>
        <w:rPr>
          <w:rStyle w:val="FootnoteReference"/>
        </w:rPr>
        <w:footnoteReference w:id="2"/>
      </w:r>
      <w:r>
        <w:t xml:space="preserve"> or</w:t>
      </w:r>
      <w:r>
        <w:t xml:space="preserve"> th</w:t>
      </w:r>
      <w:r>
        <w:t>at for</w:t>
      </w:r>
      <w:r>
        <w:t xml:space="preserve"> </w:t>
      </w:r>
      <w:r>
        <w:t xml:space="preserve">prenatal </w:t>
      </w:r>
      <w:r>
        <w:t xml:space="preserve">injuries </w:t>
      </w:r>
      <w:r>
        <w:t>(§ 340.4)?</w:t>
      </w:r>
      <w:r>
        <w:t xml:space="preserve">  The answer determines the viability of this lawsuit.</w:t>
      </w:r>
      <w:r>
        <w:t xml:space="preserve">  Becaus</w:t>
      </w:r>
      <w:r>
        <w:t>e</w:t>
      </w:r>
      <w:r>
        <w:t xml:space="preserve"> </w:t>
      </w:r>
      <w:r>
        <w:t>the toxic exposure statute</w:t>
      </w:r>
      <w:r>
        <w:t xml:space="preserve"> </w:t>
      </w:r>
      <w:r>
        <w:t>was</w:t>
      </w:r>
      <w:r>
        <w:t xml:space="preserve"> mo</w:t>
      </w:r>
      <w:r>
        <w:t>re</w:t>
      </w:r>
      <w:r>
        <w:t xml:space="preserve"> recent</w:t>
      </w:r>
      <w:r>
        <w:t>ly enacted</w:t>
      </w:r>
      <w:r>
        <w:t xml:space="preserve">, </w:t>
      </w:r>
      <w:r>
        <w:t>and its</w:t>
      </w:r>
      <w:r>
        <w:t xml:space="preserve"> language</w:t>
      </w:r>
      <w:r>
        <w:t xml:space="preserve"> plainly encompasses</w:t>
      </w:r>
      <w:r>
        <w:t xml:space="preserve"> prenatal injuries, </w:t>
      </w:r>
      <w:r>
        <w:t>we conclude</w:t>
      </w:r>
      <w:r>
        <w:t xml:space="preserve"> it applies here</w:t>
      </w:r>
      <w:r>
        <w:t xml:space="preserve">.  </w:t>
      </w:r>
      <w:r>
        <w:t>The limitation</w:t>
      </w:r>
      <w:r>
        <w:t>s period</w:t>
      </w:r>
      <w:r>
        <w:t xml:space="preserve"> for toxic exposure suits </w:t>
      </w:r>
      <w:r>
        <w:t>is t</w:t>
      </w:r>
      <w:r>
        <w:t>wo years, but it is tolled while the plaintiff is a minor.</w:t>
      </w:r>
      <w:r>
        <w:t xml:space="preserve">  (See § 352; </w:t>
      </w:r>
      <w:r>
        <w:rPr>
          <w:i/>
        </w:rPr>
        <w:t>Nguyen v. Western Digital Corp.</w:t>
      </w:r>
      <w:r>
        <w:t xml:space="preserve"> (2014) 229 Cal.App.4th 1522, </w:t>
      </w:r>
      <w:r>
        <w:t>1540-1541 (</w:t>
      </w:r>
      <w:r>
        <w:rPr>
          <w:i/>
        </w:rPr>
        <w:t>Nguyen</w:t>
      </w:r>
      <w:r>
        <w:t>)</w:t>
      </w:r>
      <w:r>
        <w:t>.)</w:t>
      </w:r>
      <w:r>
        <w:t xml:space="preserve">  Accordingly, the claims here are not time-barred, and the</w:t>
      </w:r>
      <w:r>
        <w:t xml:space="preserve"> </w:t>
      </w:r>
      <w:r>
        <w:t>trial court’s entry of summary judgment sho</w:t>
      </w:r>
      <w:r>
        <w:t>uld be reversed.</w:t>
      </w:r>
    </w:p>
    <w:p w:rsidR="00766A1C" w:rsidRPr="00BC32FE" w:rsidP="0036309E">
      <w:pPr>
        <w:keepNext/>
        <w:tabs>
          <w:tab w:val="left" w:pos="1440"/>
        </w:tabs>
        <w:spacing w:line="360" w:lineRule="auto"/>
        <w:jc w:val="center"/>
        <w:rPr>
          <w:caps/>
        </w:rPr>
      </w:pPr>
      <w:r w:rsidRPr="00BC32FE">
        <w:rPr>
          <w:caps/>
        </w:rPr>
        <w:t xml:space="preserve">I.  </w:t>
      </w:r>
      <w:r w:rsidRPr="00BC32FE">
        <w:rPr>
          <w:caps/>
        </w:rPr>
        <w:t>BACKGROUND</w:t>
      </w:r>
    </w:p>
    <w:p w:rsidR="00CB7AAF" w:rsidP="00CB7AAF">
      <w:pPr>
        <w:spacing w:line="360" w:lineRule="auto"/>
      </w:pPr>
      <w:r>
        <w:tab/>
      </w:r>
      <w:r>
        <w:t xml:space="preserve">Plaintiff </w:t>
      </w:r>
      <w:r>
        <w:t xml:space="preserve">Dominique Lopez was born on April 13, 1999, with </w:t>
      </w:r>
      <w:r>
        <w:t>multiple</w:t>
      </w:r>
      <w:r>
        <w:t xml:space="preserve"> birth defects, including </w:t>
      </w:r>
      <w:r>
        <w:t xml:space="preserve">chromosomal deletion, </w:t>
      </w:r>
      <w:r>
        <w:t>cervical vertebrae</w:t>
      </w:r>
      <w:r>
        <w:t xml:space="preserve"> fusion</w:t>
      </w:r>
      <w:r>
        <w:t xml:space="preserve">, facial asymmetry, dysplastic nails, diverticulum of the bladder, and a misshapen kidney.  She also </w:t>
      </w:r>
      <w:r>
        <w:t>suffers from</w:t>
      </w:r>
      <w:r>
        <w:t xml:space="preserve"> developmental delays. </w:t>
      </w:r>
      <w:r>
        <w:t xml:space="preserve"> </w:t>
      </w:r>
      <w:r>
        <w:t>For over 20 years, including the term of her pregnancy, p</w:t>
      </w:r>
      <w:r>
        <w:t xml:space="preserve">laintiff’s mother worked at </w:t>
      </w:r>
      <w:r>
        <w:t>a</w:t>
      </w:r>
      <w:r>
        <w:t xml:space="preserve"> Sony Electronics, Inc.</w:t>
      </w:r>
      <w:r>
        <w:t xml:space="preserve"> (Sony)</w:t>
      </w:r>
      <w:r>
        <w:t xml:space="preserve"> </w:t>
      </w:r>
      <w:r>
        <w:t>ma</w:t>
      </w:r>
      <w:r>
        <w:t>nufacturing plant</w:t>
      </w:r>
      <w:r>
        <w:t>.</w:t>
      </w:r>
      <w:r>
        <w:t xml:space="preserve">  </w:t>
      </w:r>
      <w:r>
        <w:t>She</w:t>
      </w:r>
      <w:r>
        <w:t xml:space="preserve"> allegedly worked with and around “teratogenic and reproductively toxic” chemicals. </w:t>
      </w:r>
    </w:p>
    <w:p w:rsidR="00DD7C58" w:rsidP="00CB7AAF">
      <w:pPr>
        <w:spacing w:line="360" w:lineRule="auto"/>
      </w:pPr>
      <w:r>
        <w:tab/>
      </w:r>
      <w:r>
        <w:t xml:space="preserve">Plaintiff </w:t>
      </w:r>
      <w:r>
        <w:t>sued</w:t>
      </w:r>
      <w:r>
        <w:t xml:space="preserve"> o</w:t>
      </w:r>
      <w:r>
        <w:t xml:space="preserve">n </w:t>
      </w:r>
      <w:r>
        <w:t xml:space="preserve">January 6, 2012, when </w:t>
      </w:r>
      <w:r>
        <w:t>she</w:t>
      </w:r>
      <w:r>
        <w:t xml:space="preserve"> was 12 years old. </w:t>
      </w:r>
      <w:r>
        <w:t xml:space="preserve"> </w:t>
      </w:r>
      <w:r>
        <w:t>She</w:t>
      </w:r>
      <w:r>
        <w:t xml:space="preserve"> </w:t>
      </w:r>
      <w:r>
        <w:t>alleged</w:t>
      </w:r>
      <w:r>
        <w:t xml:space="preserve"> </w:t>
      </w:r>
      <w:r>
        <w:t>that</w:t>
      </w:r>
      <w:r>
        <w:t xml:space="preserve"> </w:t>
      </w:r>
      <w:r>
        <w:t>she and her mother</w:t>
      </w:r>
      <w:r>
        <w:t xml:space="preserve"> </w:t>
      </w:r>
      <w:r>
        <w:t>were expos</w:t>
      </w:r>
      <w:r>
        <w:t>e</w:t>
      </w:r>
      <w:r>
        <w:t>d</w:t>
      </w:r>
      <w:r>
        <w:t xml:space="preserve"> to toxic chemicals at </w:t>
      </w:r>
      <w:r>
        <w:t xml:space="preserve">the </w:t>
      </w:r>
      <w:r>
        <w:t>Sony</w:t>
      </w:r>
      <w:r>
        <w:t xml:space="preserve"> plan</w:t>
      </w:r>
      <w:r>
        <w:t>t</w:t>
      </w:r>
      <w:r>
        <w:t xml:space="preserve">, </w:t>
      </w:r>
      <w:r>
        <w:t>resulting in</w:t>
      </w:r>
      <w:r>
        <w:t xml:space="preserve"> her birth defects</w:t>
      </w:r>
      <w:r>
        <w:t xml:space="preserve">. </w:t>
      </w:r>
      <w:r>
        <w:t xml:space="preserve"> </w:t>
      </w:r>
      <w:r>
        <w:t>Seeking</w:t>
      </w:r>
      <w:r>
        <w:t xml:space="preserve"> summary judgment</w:t>
      </w:r>
      <w:r>
        <w:t>, Sony</w:t>
      </w:r>
      <w:r>
        <w:t xml:space="preserve"> argued the </w:t>
      </w:r>
      <w:r>
        <w:t xml:space="preserve">action was </w:t>
      </w:r>
      <w:r>
        <w:t>time-</w:t>
      </w:r>
      <w:r>
        <w:t xml:space="preserve">barred </w:t>
      </w:r>
      <w:r>
        <w:t>under section </w:t>
      </w:r>
      <w:r>
        <w:t>340.4</w:t>
      </w:r>
      <w:r>
        <w:t>, the</w:t>
      </w:r>
      <w:r>
        <w:t xml:space="preserve"> six-year statute of li</w:t>
      </w:r>
      <w:r>
        <w:t>mitations for birth and prenatal</w:t>
      </w:r>
      <w:r>
        <w:t xml:space="preserve"> injuries</w:t>
      </w:r>
      <w:r>
        <w:t>.  It urged that, by August of 2000,</w:t>
      </w:r>
      <w:r>
        <w:t xml:space="preserve"> plaintiff’s </w:t>
      </w:r>
      <w:r>
        <w:t>mother</w:t>
      </w:r>
      <w:r>
        <w:t xml:space="preserve"> </w:t>
      </w:r>
      <w:r>
        <w:t xml:space="preserve">had reason </w:t>
      </w:r>
      <w:r>
        <w:t>to suspect</w:t>
      </w:r>
      <w:r>
        <w:t xml:space="preserve"> </w:t>
      </w:r>
      <w:r>
        <w:t>her</w:t>
      </w:r>
      <w:r>
        <w:t xml:space="preserve"> workplace chem</w:t>
      </w:r>
      <w:r>
        <w:t>ical exposure</w:t>
      </w:r>
      <w:r>
        <w:t xml:space="preserve"> had caused plaintiff’s birth defects</w:t>
      </w:r>
      <w:r>
        <w:t xml:space="preserve">. </w:t>
      </w:r>
      <w:r>
        <w:t xml:space="preserve"> </w:t>
      </w:r>
      <w:r>
        <w:t>P</w:t>
      </w:r>
      <w:r>
        <w:t xml:space="preserve">laintiff </w:t>
      </w:r>
      <w:r>
        <w:t xml:space="preserve">did not dispute </w:t>
      </w:r>
      <w:r>
        <w:t>this assertion</w:t>
      </w:r>
      <w:r>
        <w:t xml:space="preserve">.  Instead, she </w:t>
      </w:r>
      <w:r>
        <w:t xml:space="preserve">maintained </w:t>
      </w:r>
      <w:r w:rsidRPr="008D0018">
        <w:t xml:space="preserve">her action </w:t>
      </w:r>
      <w:r>
        <w:t>fell not under section 340.4</w:t>
      </w:r>
      <w:r>
        <w:t>,</w:t>
      </w:r>
      <w:r>
        <w:t xml:space="preserve"> </w:t>
      </w:r>
      <w:r>
        <w:t>governing prenatal injuries,</w:t>
      </w:r>
      <w:r>
        <w:t xml:space="preserve"> </w:t>
      </w:r>
      <w:r>
        <w:t xml:space="preserve">but under </w:t>
      </w:r>
      <w:r w:rsidRPr="008D0018">
        <w:t>sec</w:t>
      </w:r>
      <w:r>
        <w:t xml:space="preserve">tion 340.8, </w:t>
      </w:r>
      <w:r>
        <w:t>covering</w:t>
      </w:r>
      <w:r>
        <w:t xml:space="preserve"> inj</w:t>
      </w:r>
      <w:r>
        <w:t xml:space="preserve">uries caused by </w:t>
      </w:r>
      <w:r>
        <w:t>toxic</w:t>
      </w:r>
      <w:r>
        <w:t xml:space="preserve"> </w:t>
      </w:r>
      <w:r>
        <w:t>exposure</w:t>
      </w:r>
      <w:r>
        <w:t xml:space="preserve">.  </w:t>
      </w:r>
      <w:r>
        <w:t>S</w:t>
      </w:r>
      <w:r>
        <w:t xml:space="preserve">ection 340.8’s </w:t>
      </w:r>
      <w:r>
        <w:t>limitations period is only</w:t>
      </w:r>
      <w:r>
        <w:t xml:space="preserve"> two years</w:t>
      </w:r>
      <w:r>
        <w:t xml:space="preserve"> but</w:t>
      </w:r>
      <w:r>
        <w:t>,</w:t>
      </w:r>
      <w:r>
        <w:t xml:space="preserve"> unlike section 340.4</w:t>
      </w:r>
      <w:r>
        <w:t>,</w:t>
      </w:r>
      <w:r>
        <w:t xml:space="preserve"> </w:t>
      </w:r>
      <w:r>
        <w:t>it</w:t>
      </w:r>
      <w:r>
        <w:t xml:space="preserve"> </w:t>
      </w:r>
      <w:r>
        <w:t>permits tolling</w:t>
      </w:r>
      <w:r>
        <w:t xml:space="preserve"> during minority</w:t>
      </w:r>
      <w:r>
        <w:t xml:space="preserve"> </w:t>
      </w:r>
      <w:r>
        <w:t>and</w:t>
      </w:r>
      <w:r>
        <w:t xml:space="preserve"> </w:t>
      </w:r>
      <w:r>
        <w:t xml:space="preserve">periods of </w:t>
      </w:r>
      <w:r>
        <w:t>mental incapacity</w:t>
      </w:r>
      <w:r>
        <w:t xml:space="preserve">.  </w:t>
      </w:r>
    </w:p>
    <w:p w:rsidR="00CB7AAF" w:rsidP="00CB7AAF">
      <w:pPr>
        <w:spacing w:line="360" w:lineRule="auto"/>
      </w:pPr>
      <w:r>
        <w:tab/>
        <w:t xml:space="preserve">The trial court applied </w:t>
      </w:r>
      <w:r>
        <w:t xml:space="preserve">section 340.4 </w:t>
      </w:r>
      <w:r>
        <w:t xml:space="preserve">and </w:t>
      </w:r>
      <w:r>
        <w:t xml:space="preserve">granted summary judgment.  A </w:t>
      </w:r>
      <w:r>
        <w:t>divided panel of the Court of Appeal affirmed.  The majority disagreed</w:t>
      </w:r>
      <w:r>
        <w:t xml:space="preserve"> with the Sixth District Court of Appeal’s decision in </w:t>
      </w:r>
      <w:r>
        <w:rPr>
          <w:i/>
        </w:rPr>
        <w:t>Nguyen</w:t>
      </w:r>
      <w:r>
        <w:t xml:space="preserve">, </w:t>
      </w:r>
      <w:r>
        <w:rPr>
          <w:i/>
        </w:rPr>
        <w:t>supra</w:t>
      </w:r>
      <w:r>
        <w:t>, 229 Cal.App.4th 1522,</w:t>
      </w:r>
      <w:r w:rsidRPr="00227CDB">
        <w:t xml:space="preserve"> </w:t>
      </w:r>
      <w:r>
        <w:t>which had reached the opposite conclusion.  We granted review to resolve the conflict.</w:t>
      </w:r>
    </w:p>
    <w:p w:rsidR="00C05C8A" w:rsidRPr="00BB2F87" w:rsidP="00BB2F87">
      <w:pPr>
        <w:keepNext/>
        <w:tabs>
          <w:tab w:val="left" w:pos="1440"/>
        </w:tabs>
        <w:spacing w:line="360" w:lineRule="auto"/>
        <w:jc w:val="center"/>
        <w:rPr>
          <w:caps/>
        </w:rPr>
      </w:pPr>
      <w:r w:rsidRPr="00BC32FE">
        <w:rPr>
          <w:caps/>
        </w:rPr>
        <w:t xml:space="preserve">II.  </w:t>
      </w:r>
      <w:r w:rsidRPr="00BC32FE">
        <w:rPr>
          <w:caps/>
        </w:rPr>
        <w:t>DISCUSSION</w:t>
      </w:r>
    </w:p>
    <w:p w:rsidR="00402891" w:rsidRPr="00402891" w:rsidP="001876B0">
      <w:pPr>
        <w:keepNext/>
        <w:spacing w:line="360" w:lineRule="auto"/>
        <w:rPr>
          <w:i/>
        </w:rPr>
      </w:pPr>
      <w:r>
        <w:t>A.</w:t>
      </w:r>
      <w:r>
        <w:tab/>
      </w:r>
      <w:r>
        <w:rPr>
          <w:i/>
        </w:rPr>
        <w:t>The Relevant Statutes</w:t>
      </w:r>
    </w:p>
    <w:p w:rsidR="00FE0930" w:rsidP="00B3129C">
      <w:pPr>
        <w:spacing w:line="360" w:lineRule="auto"/>
      </w:pPr>
      <w:r>
        <w:tab/>
      </w:r>
      <w:r>
        <w:t xml:space="preserve">The </w:t>
      </w:r>
      <w:r w:rsidRPr="00DF5A5F">
        <w:rPr>
          <w:i/>
        </w:rPr>
        <w:t>prenatal injury</w:t>
      </w:r>
      <w:r>
        <w:t xml:space="preserve"> statute, s</w:t>
      </w:r>
      <w:r>
        <w:t>ection </w:t>
      </w:r>
      <w:r>
        <w:t>340.4</w:t>
      </w:r>
      <w:r>
        <w:t>,</w:t>
      </w:r>
      <w:r>
        <w:t xml:space="preserve"> </w:t>
      </w:r>
      <w:r>
        <w:t>states</w:t>
      </w:r>
      <w:r>
        <w:t>:  “An action by or on behalf of a minor for personal injuries sustained before or in the course of his or her birth must be commenced within six years after the date of</w:t>
      </w:r>
      <w:r>
        <w:t xml:space="preserve"> birth, and the time </w:t>
      </w:r>
      <w:r>
        <w:t>the minor is under any disability mentioned in Section 352</w:t>
      </w:r>
      <w:r>
        <w:t xml:space="preserve"> [providing for tolling during minority or </w:t>
      </w:r>
      <w:r>
        <w:t>incapacity</w:t>
      </w:r>
      <w:r>
        <w:t>]</w:t>
      </w:r>
      <w:r>
        <w:t xml:space="preserve"> shall not be excluded in computing the time limited for th</w:t>
      </w:r>
      <w:r>
        <w:t>e commencement of the action.”</w:t>
      </w:r>
    </w:p>
    <w:p w:rsidR="00B3129C" w:rsidRPr="006A08F2" w:rsidP="00B3129C">
      <w:pPr>
        <w:spacing w:line="360" w:lineRule="auto"/>
      </w:pPr>
      <w:r>
        <w:tab/>
      </w:r>
      <w:r>
        <w:t>The origins of th</w:t>
      </w:r>
      <w:r>
        <w:t>e prenatal</w:t>
      </w:r>
      <w:r>
        <w:t xml:space="preserve"> </w:t>
      </w:r>
      <w:r>
        <w:t>inju</w:t>
      </w:r>
      <w:r>
        <w:t xml:space="preserve">ry </w:t>
      </w:r>
      <w:r>
        <w:t>statute trace back to 1872</w:t>
      </w:r>
      <w:r>
        <w:t>, when the Legislature first authorized a right of action for injuries sustained before birth.  (</w:t>
      </w:r>
      <w:r>
        <w:rPr>
          <w:i/>
        </w:rPr>
        <w:t>Young v. Haines</w:t>
      </w:r>
      <w:r>
        <w:t xml:space="preserve"> (1986) 41 Cal.3d 883, 892</w:t>
      </w:r>
      <w:r>
        <w:t xml:space="preserve"> (</w:t>
      </w:r>
      <w:r>
        <w:rPr>
          <w:i/>
        </w:rPr>
        <w:t>Young</w:t>
      </w:r>
      <w:r>
        <w:t>)</w:t>
      </w:r>
      <w:r>
        <w:t xml:space="preserve">.)  </w:t>
      </w:r>
      <w:r>
        <w:t>The original statute</w:t>
      </w:r>
      <w:r>
        <w:rPr>
          <w:rStyle w:val="FootnoteReference"/>
        </w:rPr>
        <w:footnoteReference w:id="3"/>
      </w:r>
      <w:r>
        <w:t xml:space="preserve"> </w:t>
      </w:r>
      <w:r>
        <w:t>did n</w:t>
      </w:r>
      <w:r>
        <w:t xml:space="preserve">ot specify a limitations period. </w:t>
      </w:r>
      <w:r>
        <w:t xml:space="preserve"> </w:t>
      </w:r>
      <w:r>
        <w:t>A</w:t>
      </w:r>
      <w:r>
        <w:t xml:space="preserve"> later amendmen</w:t>
      </w:r>
      <w:r>
        <w:t>t incorporated the six-year limitations period for personal injuries and expressly prohibited tollin</w:t>
      </w:r>
      <w:r>
        <w:t xml:space="preserve">g.  (Stats. 1941, ch. 337, § 1, p. 1579; see </w:t>
      </w:r>
      <w:r>
        <w:rPr>
          <w:i/>
        </w:rPr>
        <w:t>Young</w:t>
      </w:r>
      <w:r>
        <w:t>, at p. 892.)</w:t>
      </w:r>
      <w:r>
        <w:t xml:space="preserve">  </w:t>
      </w:r>
      <w:r>
        <w:t>The amended statute</w:t>
      </w:r>
      <w:r>
        <w:t xml:space="preserve"> was reenacted without substantive change as section 340.4.  (Stats. 199</w:t>
      </w:r>
      <w:r>
        <w:t>2, ch. 163, § 16, p. 731.)</w:t>
      </w:r>
      <w:r>
        <w:t xml:space="preserve">  Thus, since 1941, the statute of limitations for prenatal injuries has been six years and is not tolled during minority.</w:t>
      </w:r>
    </w:p>
    <w:p w:rsidR="00FE0930" w:rsidP="00B3129C">
      <w:pPr>
        <w:spacing w:line="360" w:lineRule="auto"/>
      </w:pPr>
      <w:r>
        <w:tab/>
      </w:r>
      <w:r>
        <w:t xml:space="preserve">The </w:t>
      </w:r>
      <w:r>
        <w:rPr>
          <w:i/>
        </w:rPr>
        <w:t xml:space="preserve">toxic </w:t>
      </w:r>
      <w:r w:rsidRPr="00A0349F">
        <w:rPr>
          <w:i/>
        </w:rPr>
        <w:t>exposure</w:t>
      </w:r>
      <w:r>
        <w:t xml:space="preserve"> statute, </w:t>
      </w:r>
      <w:r w:rsidRPr="00A0349F">
        <w:t>s</w:t>
      </w:r>
      <w:r w:rsidRPr="00A0349F">
        <w:t>ection</w:t>
      </w:r>
      <w:r>
        <w:t> </w:t>
      </w:r>
      <w:r>
        <w:t xml:space="preserve">340.8, </w:t>
      </w:r>
      <w:r>
        <w:t>subdivision (a)</w:t>
      </w:r>
      <w:r>
        <w:t>,</w:t>
      </w:r>
      <w:r>
        <w:t xml:space="preserve"> states</w:t>
      </w:r>
      <w:r>
        <w:t xml:space="preserve">:  “In any civil action for injury or illness based upon exposure to a hazardous material or toxic substance, the time for commencement of the action shall be no later than either two years from the date of injury, or two years after the plaintiff becomes </w:t>
      </w:r>
      <w:r>
        <w:t>aware of, or reasonably should have become aware of, (1) an injury, (2) the physical cause of the injury, and (3) sufficient facts to put a reasonable person on inquiry notice that the injury was caused or contributed to by the wrongful act of another, whi</w:t>
      </w:r>
      <w:r>
        <w:t xml:space="preserve">chever occurs later.”  </w:t>
      </w:r>
      <w:r>
        <w:t xml:space="preserve">The statute further provides that </w:t>
      </w:r>
      <w:r>
        <w:t xml:space="preserve">a </w:t>
      </w:r>
      <w:r>
        <w:t>“</w:t>
      </w:r>
      <w:r>
        <w:t> ‘</w:t>
      </w:r>
      <w:r>
        <w:t>civil action for injury or illness based upon exposure to a hazardous material or toxic substance</w:t>
      </w:r>
      <w:r>
        <w:t>’ </w:t>
      </w:r>
      <w:r>
        <w:t xml:space="preserve">” in subdivision (a) “does </w:t>
      </w:r>
      <w:r w:rsidRPr="00CB36C8">
        <w:t>not</w:t>
      </w:r>
      <w:r>
        <w:t xml:space="preserve"> include an action subject to Section 340.2 or 340.5.”  (§ 340.8,</w:t>
      </w:r>
      <w:r>
        <w:t xml:space="preserve"> subd. (c)(1).)</w:t>
      </w:r>
      <w:r>
        <w:t xml:space="preserve">  These exceptions refer to the statutes of limitation</w:t>
      </w:r>
      <w:r>
        <w:t>s</w:t>
      </w:r>
      <w:r>
        <w:t xml:space="preserve"> specifically prescribed for asbestos-related injury claims (§ 340.2) and medical malpractice claims (§ 340.5).</w:t>
      </w:r>
    </w:p>
    <w:p w:rsidR="00617825" w:rsidP="00B3129C">
      <w:pPr>
        <w:spacing w:line="360" w:lineRule="auto"/>
      </w:pPr>
      <w:r>
        <w:tab/>
      </w:r>
      <w:r>
        <w:t xml:space="preserve">The toxic exposure </w:t>
      </w:r>
      <w:r>
        <w:t xml:space="preserve">statute </w:t>
      </w:r>
      <w:r>
        <w:t>became</w:t>
      </w:r>
      <w:r>
        <w:t xml:space="preserve"> effect</w:t>
      </w:r>
      <w:r>
        <w:t>ive</w:t>
      </w:r>
      <w:r>
        <w:t xml:space="preserve"> on January 1, 2004.  (Stat</w:t>
      </w:r>
      <w:r>
        <w:t xml:space="preserve">s. </w:t>
      </w:r>
      <w:r>
        <w:t>2003, ch. 873,</w:t>
      </w:r>
      <w:r>
        <w:t xml:space="preserve"> § 2,</w:t>
      </w:r>
      <w:r>
        <w:t xml:space="preserve"> p. 6398</w:t>
      </w:r>
      <w:r>
        <w:t>.)</w:t>
      </w:r>
      <w:r>
        <w:t xml:space="preserve">  </w:t>
      </w:r>
      <w:r>
        <w:t>W</w:t>
      </w:r>
      <w:r>
        <w:t xml:space="preserve">e had </w:t>
      </w:r>
      <w:r>
        <w:t xml:space="preserve">previously </w:t>
      </w:r>
      <w:r>
        <w:t xml:space="preserve">held that a </w:t>
      </w:r>
      <w:r>
        <w:t xml:space="preserve">tort </w:t>
      </w:r>
      <w:r>
        <w:t xml:space="preserve">cause of action </w:t>
      </w:r>
      <w:r>
        <w:t>does not accrue</w:t>
      </w:r>
      <w:r>
        <w:t xml:space="preserve"> until the plaintiff knows, or has reason</w:t>
      </w:r>
      <w:r>
        <w:t xml:space="preserve"> </w:t>
      </w:r>
      <w:r>
        <w:t xml:space="preserve">to suspect, </w:t>
      </w:r>
      <w:r w:rsidRPr="00A7225B">
        <w:t xml:space="preserve">that </w:t>
      </w:r>
      <w:r>
        <w:t xml:space="preserve">he was injured as a result of </w:t>
      </w:r>
      <w:r w:rsidRPr="00A7225B">
        <w:t>someone</w:t>
      </w:r>
      <w:r>
        <w:t>’s</w:t>
      </w:r>
      <w:r w:rsidRPr="00A7225B">
        <w:t xml:space="preserve"> </w:t>
      </w:r>
      <w:r>
        <w:t xml:space="preserve">wrongdoing. </w:t>
      </w:r>
      <w:r w:rsidRPr="00A7225B">
        <w:t xml:space="preserve"> (</w:t>
      </w:r>
      <w:r>
        <w:rPr>
          <w:i/>
        </w:rPr>
        <w:t>Norgart v. Upjohn Co.</w:t>
      </w:r>
      <w:r>
        <w:t xml:space="preserve"> </w:t>
      </w:r>
      <w:r>
        <w:t>(1999) 21 Cal.4th 383, 3</w:t>
      </w:r>
      <w:r>
        <w:t xml:space="preserve">97-399; </w:t>
      </w:r>
      <w:r w:rsidRPr="0042076E">
        <w:rPr>
          <w:i/>
        </w:rPr>
        <w:t>Jolly v. Eli Lilly &amp; Co.</w:t>
      </w:r>
      <w:r>
        <w:t xml:space="preserve"> (1988) 44 Cal.3d 1103, 1110-1111; see </w:t>
      </w:r>
      <w:r>
        <w:rPr>
          <w:i/>
        </w:rPr>
        <w:t>Clark v. Baxter Healthcare Corp.</w:t>
      </w:r>
      <w:r>
        <w:t xml:space="preserve"> (2000) 83 Cal.App.4th 1048, 1058-1060</w:t>
      </w:r>
      <w:r>
        <w:t>.</w:t>
      </w:r>
      <w:r>
        <w:t>)</w:t>
      </w:r>
      <w:r>
        <w:t xml:space="preserve">  This common </w:t>
      </w:r>
      <w:r>
        <w:t xml:space="preserve">law delayed discovery rule has long applied to prenatal injury claims.  (See </w:t>
      </w:r>
      <w:r>
        <w:rPr>
          <w:i/>
        </w:rPr>
        <w:t>Young</w:t>
      </w:r>
      <w:r>
        <w:t xml:space="preserve">, </w:t>
      </w:r>
      <w:r>
        <w:rPr>
          <w:i/>
        </w:rPr>
        <w:t>supra</w:t>
      </w:r>
      <w:r>
        <w:t xml:space="preserve">, 41 </w:t>
      </w:r>
      <w:r>
        <w:t>Cal.3d at pp. 892-893.)</w:t>
      </w:r>
      <w:r>
        <w:t xml:space="preserve">  The Legislature</w:t>
      </w:r>
      <w:r>
        <w:t xml:space="preserve"> declared</w:t>
      </w:r>
      <w:r>
        <w:t xml:space="preserve"> </w:t>
      </w:r>
      <w:r>
        <w:t xml:space="preserve">that </w:t>
      </w:r>
      <w:r>
        <w:t xml:space="preserve">section 340.8 </w:t>
      </w:r>
      <w:r>
        <w:t xml:space="preserve">was </w:t>
      </w:r>
      <w:r>
        <w:t xml:space="preserve">intended </w:t>
      </w:r>
      <w:r>
        <w:t>to codify</w:t>
      </w:r>
      <w:r>
        <w:t xml:space="preserve"> th</w:t>
      </w:r>
      <w:r>
        <w:t>e</w:t>
      </w:r>
      <w:r>
        <w:t xml:space="preserve"> </w:t>
      </w:r>
      <w:r>
        <w:t xml:space="preserve">delayed </w:t>
      </w:r>
      <w:r>
        <w:t xml:space="preserve">discovery rule </w:t>
      </w:r>
      <w:r>
        <w:t>for</w:t>
      </w:r>
      <w:r>
        <w:t xml:space="preserve"> personal injury and wrongful death</w:t>
      </w:r>
      <w:r>
        <w:t xml:space="preserve"> cases </w:t>
      </w:r>
      <w:r>
        <w:t>involving toxic</w:t>
      </w:r>
      <w:r>
        <w:t xml:space="preserve"> exposure.  (Stats. 2003, ch. 873, § 2, p.</w:t>
      </w:r>
      <w:r>
        <w:t> </w:t>
      </w:r>
      <w:r>
        <w:t>6398</w:t>
      </w:r>
      <w:r>
        <w:t xml:space="preserve">; see </w:t>
      </w:r>
      <w:r>
        <w:t xml:space="preserve">Sen. Com. on Judiciary, </w:t>
      </w:r>
      <w:r>
        <w:t>Analysis of Sen. Bill No. 331 (2003-2004 Reg. Sess.) as amended Apr. 29, 2003, p. 1</w:t>
      </w:r>
      <w:r>
        <w:t>.)</w:t>
      </w:r>
      <w:r>
        <w:rPr>
          <w:rStyle w:val="FootnoteReference"/>
        </w:rPr>
        <w:footnoteReference w:id="4"/>
      </w:r>
      <w:r>
        <w:t xml:space="preserve">  </w:t>
      </w:r>
      <w:r>
        <w:t>Section 340.8</w:t>
      </w:r>
      <w:r>
        <w:t xml:space="preserve"> has been applied broadly</w:t>
      </w:r>
      <w:r>
        <w:t>,</w:t>
      </w:r>
      <w:r>
        <w:t xml:space="preserve"> encompassing</w:t>
      </w:r>
      <w:r>
        <w:t xml:space="preserve"> both</w:t>
      </w:r>
      <w:r>
        <w:t xml:space="preserve"> </w:t>
      </w:r>
      <w:r>
        <w:t xml:space="preserve">environmental hazards </w:t>
      </w:r>
      <w:r>
        <w:t xml:space="preserve">and </w:t>
      </w:r>
      <w:r>
        <w:t>prescription drugs.  (</w:t>
      </w:r>
      <w:r>
        <w:t xml:space="preserve">See </w:t>
      </w:r>
      <w:r>
        <w:rPr>
          <w:i/>
        </w:rPr>
        <w:t>Nelson v. Indevus Pharmaceuticals, Inc.</w:t>
      </w:r>
      <w:r>
        <w:t xml:space="preserve"> (2006) 142 Cal.App</w:t>
      </w:r>
      <w:r>
        <w:t>.4th 1202, 1209</w:t>
      </w:r>
      <w:r>
        <w:t>.)</w:t>
      </w:r>
    </w:p>
    <w:p w:rsidR="00E056B3" w:rsidRPr="00E056B3" w:rsidP="00E056B3">
      <w:pPr>
        <w:keepNext/>
        <w:spacing w:line="360" w:lineRule="auto"/>
        <w:rPr>
          <w:i/>
        </w:rPr>
      </w:pPr>
      <w:r>
        <w:t>B.</w:t>
      </w:r>
      <w:r>
        <w:tab/>
      </w:r>
      <w:r>
        <w:rPr>
          <w:i/>
        </w:rPr>
        <w:t>T</w:t>
      </w:r>
      <w:r>
        <w:rPr>
          <w:i/>
        </w:rPr>
        <w:t>he Toxic Exposure Statute Applies</w:t>
      </w:r>
      <w:r>
        <w:rPr>
          <w:i/>
        </w:rPr>
        <w:t xml:space="preserve"> to Prenatal Toxic Injuries</w:t>
      </w:r>
    </w:p>
    <w:p w:rsidR="000A5849" w:rsidRPr="00433A73" w:rsidP="00FE428A">
      <w:pPr>
        <w:spacing w:line="360" w:lineRule="auto"/>
      </w:pPr>
      <w:r>
        <w:tab/>
      </w:r>
      <w:r>
        <w:t>T</w:t>
      </w:r>
      <w:r>
        <w:t>his case poses a pure question of statutory interpretation</w:t>
      </w:r>
      <w:r>
        <w:t>, subject to independent review</w:t>
      </w:r>
      <w:r>
        <w:t>.</w:t>
      </w:r>
      <w:r>
        <w:t xml:space="preserve">  (</w:t>
      </w:r>
      <w:r>
        <w:rPr>
          <w:i/>
        </w:rPr>
        <w:t>Pineda v. Williams-Sonoma Stores, Inc.</w:t>
      </w:r>
      <w:r>
        <w:t xml:space="preserve"> (2011) 51 Cal.4th 524, 529</w:t>
      </w:r>
      <w:r>
        <w:t>.)</w:t>
      </w:r>
      <w:r>
        <w:t xml:space="preserve"> </w:t>
      </w:r>
      <w:r>
        <w:t xml:space="preserve"> </w:t>
      </w:r>
      <w:r>
        <w:t>“</w:t>
      </w:r>
      <w:r>
        <w:t>O</w:t>
      </w:r>
      <w:r>
        <w:t xml:space="preserve">ur fundamental task is to determine the Legislature’s intent and give effect to the law’s purpose.  [Citation.]  We begin by examining the statute’s words </w:t>
      </w:r>
      <w:r>
        <w:t>‘ “</w:t>
      </w:r>
      <w:r>
        <w:t>because they generally provide the most reliable indicator of legislative intent.</w:t>
      </w:r>
      <w:r>
        <w:t xml:space="preserve">” </w:t>
      </w:r>
      <w:r>
        <w:t xml:space="preserve"> [Citation.] </w:t>
      </w:r>
      <w:r>
        <w:t xml:space="preserve"> </w:t>
      </w:r>
      <w:r>
        <w:t>I</w:t>
      </w:r>
      <w:r>
        <w:t>f the statutory language is clear and unambiguous our inquiry ends.</w:t>
      </w:r>
      <w:r>
        <w:t>’ ”</w:t>
      </w:r>
      <w:r>
        <w:t xml:space="preserve"> </w:t>
      </w:r>
      <w:r>
        <w:t xml:space="preserve"> (</w:t>
      </w:r>
      <w:r w:rsidRPr="00A1130B">
        <w:rPr>
          <w:i/>
        </w:rPr>
        <w:t>In re D.B.</w:t>
      </w:r>
      <w:r>
        <w:t xml:space="preserve"> (2014) 58 Cal.4th 941, 945</w:t>
      </w:r>
      <w:r>
        <w:t xml:space="preserve">.)  </w:t>
      </w:r>
      <w:r>
        <w:t>In that case, t</w:t>
      </w:r>
      <w:r>
        <w:t>he plain meaning of the statute is controlling, and “ ‘resort to extrinsic sources to determine the Legislature’s intent is unn</w:t>
      </w:r>
      <w:r>
        <w:t>ecessary.’ ”  (</w:t>
      </w:r>
      <w:r>
        <w:rPr>
          <w:i/>
        </w:rPr>
        <w:t>Ste. Marie v. Riverside County Regional Park &amp; Open-Space Dist.</w:t>
      </w:r>
      <w:r>
        <w:t xml:space="preserve"> (2009) 46 Cal.4th 282, 288.)</w:t>
      </w:r>
    </w:p>
    <w:p w:rsidR="00760CF2" w:rsidP="00C5483A">
      <w:pPr>
        <w:spacing w:line="360" w:lineRule="auto"/>
      </w:pPr>
      <w:r>
        <w:tab/>
        <w:t xml:space="preserve">Plaintiff’s </w:t>
      </w:r>
      <w:r>
        <w:t>case</w:t>
      </w:r>
      <w:r>
        <w:t xml:space="preserve"> </w:t>
      </w:r>
      <w:r>
        <w:t>appears</w:t>
      </w:r>
      <w:r>
        <w:t xml:space="preserve"> to fall within the ambit of both</w:t>
      </w:r>
      <w:r>
        <w:t xml:space="preserve"> statutes of</w:t>
      </w:r>
      <w:r>
        <w:t xml:space="preserve"> </w:t>
      </w:r>
      <w:r>
        <w:t xml:space="preserve">limitations.  </w:t>
      </w:r>
      <w:r>
        <w:t>It is</w:t>
      </w:r>
      <w:r>
        <w:t xml:space="preserve"> “[a]n action . . . for personal injuries sustained before</w:t>
      </w:r>
      <w:r>
        <w:t xml:space="preserve"> </w:t>
      </w:r>
      <w:r>
        <w:t>or in the course of . . . birth</w:t>
      </w:r>
      <w:r>
        <w:t>”</w:t>
      </w:r>
      <w:r>
        <w:t xml:space="preserve"> (§ 340.4)</w:t>
      </w:r>
      <w:r>
        <w:t xml:space="preserve"> </w:t>
      </w:r>
      <w:r>
        <w:t>and</w:t>
      </w:r>
      <w:r>
        <w:t xml:space="preserve"> </w:t>
      </w:r>
      <w:r>
        <w:t>a</w:t>
      </w:r>
      <w:r>
        <w:t xml:space="preserve"> </w:t>
      </w:r>
      <w:r>
        <w:t>“</w:t>
      </w:r>
      <w:r>
        <w:t>civil action for injury or illness based upon exposure to a hazardo</w:t>
      </w:r>
      <w:r>
        <w:t>us material or toxic substance</w:t>
      </w:r>
      <w:r>
        <w:t>”</w:t>
      </w:r>
      <w:r>
        <w:t xml:space="preserve"> (§ 340.8, subd. (a)).</w:t>
      </w:r>
      <w:r>
        <w:t xml:space="preserve">  </w:t>
      </w:r>
      <w:r>
        <w:t>Allegedly, p</w:t>
      </w:r>
      <w:r>
        <w:t>laintiff</w:t>
      </w:r>
      <w:r>
        <w:t>’s</w:t>
      </w:r>
      <w:r>
        <w:t xml:space="preserve"> </w:t>
      </w:r>
      <w:r>
        <w:t xml:space="preserve">injuries </w:t>
      </w:r>
      <w:r>
        <w:t xml:space="preserve">were </w:t>
      </w:r>
      <w:r>
        <w:t>both sustained</w:t>
      </w:r>
      <w:r>
        <w:t xml:space="preserve"> </w:t>
      </w:r>
      <w:r>
        <w:t xml:space="preserve">before birth </w:t>
      </w:r>
      <w:r w:rsidRPr="00CB36C8">
        <w:rPr>
          <w:i/>
        </w:rPr>
        <w:t>and</w:t>
      </w:r>
      <w:r>
        <w:t xml:space="preserve"> </w:t>
      </w:r>
      <w:r>
        <w:t xml:space="preserve">caused by </w:t>
      </w:r>
      <w:r>
        <w:t xml:space="preserve">toxic </w:t>
      </w:r>
      <w:r>
        <w:t>exposure</w:t>
      </w:r>
      <w:r>
        <w:t>.</w:t>
      </w:r>
    </w:p>
    <w:p w:rsidR="00D25B41" w:rsidRPr="00F273AB" w:rsidP="00C5483A">
      <w:pPr>
        <w:spacing w:line="360" w:lineRule="auto"/>
      </w:pPr>
      <w:r>
        <w:tab/>
        <w:t xml:space="preserve">When possible, </w:t>
      </w:r>
      <w:r>
        <w:t>courts seek to harmonize inconsistent statutes, construing them together to give effect to all of their provisions.  (</w:t>
      </w:r>
      <w:r>
        <w:rPr>
          <w:i/>
        </w:rPr>
        <w:t>State Dept. of Public Health v. Superior Court</w:t>
      </w:r>
      <w:r>
        <w:t xml:space="preserve"> (2015) 60 Cal.4th 940, 955</w:t>
      </w:r>
      <w:r>
        <w:t xml:space="preserve"> (</w:t>
      </w:r>
      <w:r>
        <w:rPr>
          <w:i/>
        </w:rPr>
        <w:t>State Dept. of Public Health</w:t>
      </w:r>
      <w:r>
        <w:t>)</w:t>
      </w:r>
      <w:r>
        <w:t>.)</w:t>
      </w:r>
      <w:r>
        <w:t xml:space="preserve">  Sony urges us to reconcile</w:t>
      </w:r>
      <w:r>
        <w:t xml:space="preserve"> the provisions by holding that section 340.8 applies to all toxic exposure injuries </w:t>
      </w:r>
      <w:r>
        <w:rPr>
          <w:i/>
        </w:rPr>
        <w:t>except</w:t>
      </w:r>
      <w:r>
        <w:t xml:space="preserve"> those incurred before birth.</w:t>
      </w:r>
      <w:r>
        <w:t xml:space="preserve">  </w:t>
      </w:r>
      <w:r>
        <w:t xml:space="preserve">“But </w:t>
      </w:r>
      <w:r>
        <w:t xml:space="preserve">the </w:t>
      </w:r>
      <w:r w:rsidRPr="00460AE5">
        <w:t>requirement that courts harmonize potentially inconsistent statutes when possible is not a licens</w:t>
      </w:r>
      <w:r w:rsidRPr="00460AE5">
        <w:t>e to redraft the statutes to strike a compromise that the Legislature did not reach.</w:t>
      </w:r>
      <w:r>
        <w:t>”</w:t>
      </w:r>
      <w:r>
        <w:t xml:space="preserve">  (</w:t>
      </w:r>
      <w:r>
        <w:rPr>
          <w:i/>
        </w:rPr>
        <w:t>State Dept. of Public Health</w:t>
      </w:r>
      <w:r>
        <w:t>,</w:t>
      </w:r>
      <w:r>
        <w:t xml:space="preserve"> at p. 956.)</w:t>
      </w:r>
      <w:r>
        <w:t xml:space="preserve">  Here, </w:t>
      </w:r>
      <w:r>
        <w:t>harmony is not possible</w:t>
      </w:r>
      <w:r>
        <w:t xml:space="preserve">.  </w:t>
      </w:r>
      <w:r>
        <w:t>E</w:t>
      </w:r>
      <w:r>
        <w:t>ach</w:t>
      </w:r>
      <w:r>
        <w:t xml:space="preserve"> statute </w:t>
      </w:r>
      <w:r>
        <w:t xml:space="preserve">plainly </w:t>
      </w:r>
      <w:r>
        <w:t>encompasses plaintiff’s claims, yet the choice of one automatically null</w:t>
      </w:r>
      <w:r>
        <w:t>ifies the other</w:t>
      </w:r>
      <w:r>
        <w:t>.</w:t>
      </w:r>
      <w:r>
        <w:t xml:space="preserve">  If section 340.4 applies, a subset of toxic exposure claims will be governed by a</w:t>
      </w:r>
      <w:r>
        <w:t>n untollable</w:t>
      </w:r>
      <w:r>
        <w:t xml:space="preserve"> six-year statute of limitations instead of the two-year toxic exposure </w:t>
      </w:r>
      <w:r>
        <w:t>limit</w:t>
      </w:r>
      <w:r>
        <w:t>, tolled during minority</w:t>
      </w:r>
      <w:r>
        <w:t>.  If section 340.8 applies, a subset of pre</w:t>
      </w:r>
      <w:r>
        <w:t xml:space="preserve">natal injury claims </w:t>
      </w:r>
      <w:r>
        <w:t xml:space="preserve">will </w:t>
      </w:r>
      <w:r>
        <w:t>fall under the</w:t>
      </w:r>
      <w:r>
        <w:t xml:space="preserve"> </w:t>
      </w:r>
      <w:r>
        <w:t xml:space="preserve">tollable </w:t>
      </w:r>
      <w:r>
        <w:t xml:space="preserve">two-year </w:t>
      </w:r>
      <w:r>
        <w:t>limit</w:t>
      </w:r>
      <w:r>
        <w:t xml:space="preserve"> </w:t>
      </w:r>
      <w:r>
        <w:t xml:space="preserve">instead of the </w:t>
      </w:r>
      <w:r>
        <w:t>s</w:t>
      </w:r>
      <w:r>
        <w:t>ix-year period.</w:t>
      </w:r>
      <w:r>
        <w:t xml:space="preserve">  </w:t>
      </w:r>
      <w:r>
        <w:t>We</w:t>
      </w:r>
      <w:r>
        <w:t xml:space="preserve"> must</w:t>
      </w:r>
      <w:r>
        <w:t xml:space="preserve"> determine which limitations period the Legislature intended</w:t>
      </w:r>
      <w:r>
        <w:t xml:space="preserve"> </w:t>
      </w:r>
      <w:r>
        <w:t>to apply</w:t>
      </w:r>
      <w:r>
        <w:t>.</w:t>
      </w:r>
      <w:r>
        <w:t xml:space="preserve"> </w:t>
      </w:r>
    </w:p>
    <w:p w:rsidR="009F7145" w:rsidP="00C5483A">
      <w:pPr>
        <w:spacing w:line="360" w:lineRule="auto"/>
      </w:pPr>
      <w:r>
        <w:tab/>
      </w:r>
      <w:r>
        <w:t xml:space="preserve">The rules for construing irreconcilable </w:t>
      </w:r>
      <w:r>
        <w:t xml:space="preserve">statutes are well </w:t>
      </w:r>
      <w:r>
        <w:t>established.  (</w:t>
      </w:r>
      <w:r>
        <w:rPr>
          <w:i/>
        </w:rPr>
        <w:t xml:space="preserve">State </w:t>
      </w:r>
      <w:r>
        <w:rPr>
          <w:i/>
        </w:rPr>
        <w:t>Dept. of Public Health</w:t>
      </w:r>
      <w:r>
        <w:t xml:space="preserve">, </w:t>
      </w:r>
      <w:r>
        <w:rPr>
          <w:i/>
        </w:rPr>
        <w:t>supra</w:t>
      </w:r>
      <w:r>
        <w:t xml:space="preserve">, </w:t>
      </w:r>
      <w:r>
        <w:t xml:space="preserve">60 Cal.4th at p. 960.) </w:t>
      </w:r>
      <w:r>
        <w:t xml:space="preserve"> </w:t>
      </w:r>
      <w:r>
        <w:t>“</w:t>
      </w:r>
      <w:r w:rsidRPr="00BC3051">
        <w:t>If conflicting statutes cannot be reconciled, later enactments supersede earlier ones</w:t>
      </w:r>
      <w:r>
        <w:t xml:space="preserve"> [citation]</w:t>
      </w:r>
      <w:r w:rsidRPr="00BC3051">
        <w:t>, and more specific provisions take precedence</w:t>
      </w:r>
      <w:r>
        <w:t xml:space="preserve"> over more general ones [citation</w:t>
      </w:r>
      <w:r w:rsidRPr="00BC3051">
        <w:t>]</w:t>
      </w:r>
      <w:r>
        <w:t>.”  (</w:t>
      </w:r>
      <w:r>
        <w:rPr>
          <w:i/>
        </w:rPr>
        <w:t>Collection Bureau o</w:t>
      </w:r>
      <w:r>
        <w:rPr>
          <w:i/>
        </w:rPr>
        <w:t>f San Jose v. Rumsey</w:t>
      </w:r>
      <w:r>
        <w:t xml:space="preserve"> (2000) 24 Cal.4th 301, 310</w:t>
      </w:r>
      <w:r>
        <w:t>; see</w:t>
      </w:r>
      <w:r>
        <w:t xml:space="preserve"> § 1859;</w:t>
      </w:r>
      <w:r>
        <w:t xml:space="preserve"> </w:t>
      </w:r>
      <w:r>
        <w:rPr>
          <w:i/>
        </w:rPr>
        <w:t>City of Petaluma v. Pac.</w:t>
      </w:r>
      <w:r>
        <w:rPr>
          <w:i/>
        </w:rPr>
        <w:t xml:space="preserve"> Tel. &amp; Tel. Co.</w:t>
      </w:r>
      <w:r>
        <w:t xml:space="preserve"> (1955) 44 Cal.2d 284, </w:t>
      </w:r>
      <w:r>
        <w:t>288</w:t>
      </w:r>
      <w:r w:rsidRPr="00BC3051">
        <w:t>.</w:t>
      </w:r>
      <w:r>
        <w:t xml:space="preserve">)  </w:t>
      </w:r>
      <w:r>
        <w:t>Th</w:t>
      </w:r>
      <w:r>
        <w:t>e</w:t>
      </w:r>
      <w:r>
        <w:t xml:space="preserve"> rule </w:t>
      </w:r>
      <w:r>
        <w:t>encompasses</w:t>
      </w:r>
      <w:r>
        <w:t xml:space="preserve"> competing</w:t>
      </w:r>
      <w:r>
        <w:t xml:space="preserve"> limitations</w:t>
      </w:r>
      <w:r>
        <w:t xml:space="preserve"> periods</w:t>
      </w:r>
      <w:r>
        <w:t>.</w:t>
      </w:r>
      <w:r>
        <w:t xml:space="preserve">  (</w:t>
      </w:r>
      <w:r>
        <w:rPr>
          <w:i/>
        </w:rPr>
        <w:t>Strother v. California Coastal Com</w:t>
      </w:r>
      <w:r>
        <w:rPr>
          <w:i/>
        </w:rPr>
        <w:t>.</w:t>
      </w:r>
      <w:r>
        <w:t xml:space="preserve"> (2009) 173 Cal.App.4th 873,</w:t>
      </w:r>
      <w:r>
        <w:t xml:space="preserve"> </w:t>
      </w:r>
      <w:r>
        <w:t>879</w:t>
      </w:r>
      <w:r>
        <w:t>; s</w:t>
      </w:r>
      <w:r>
        <w:t>e</w:t>
      </w:r>
      <w:r>
        <w:t>e, e.g.,</w:t>
      </w:r>
      <w:r>
        <w:t xml:space="preserve"> </w:t>
      </w:r>
      <w:r>
        <w:rPr>
          <w:i/>
        </w:rPr>
        <w:t>May v. City of Milpitas</w:t>
      </w:r>
      <w:r>
        <w:t xml:space="preserve"> (2013) 217 Cal.App.4th 1307, 1337;</w:t>
      </w:r>
      <w:r>
        <w:t xml:space="preserve"> </w:t>
      </w:r>
      <w:r>
        <w:rPr>
          <w:i/>
        </w:rPr>
        <w:t>Vafi v. McCloskey</w:t>
      </w:r>
      <w:r>
        <w:t xml:space="preserve"> (2011) 193 Cal.App.4th 874, 880; </w:t>
      </w:r>
      <w:r>
        <w:rPr>
          <w:i/>
        </w:rPr>
        <w:t>Committee for a Progressive Gilroy v. State Water Resources Control Bd.</w:t>
      </w:r>
      <w:r>
        <w:t xml:space="preserve"> (1987) 192 Cal.App.3d 847, 859.)</w:t>
      </w:r>
    </w:p>
    <w:p w:rsidR="00531F3B" w:rsidP="00C5483A">
      <w:pPr>
        <w:spacing w:line="360" w:lineRule="auto"/>
      </w:pPr>
      <w:r>
        <w:tab/>
      </w:r>
      <w:r>
        <w:t>Sec</w:t>
      </w:r>
      <w:r>
        <w:t>tion 340.8</w:t>
      </w:r>
      <w:r>
        <w:t xml:space="preserve"> post</w:t>
      </w:r>
      <w:r>
        <w:t xml:space="preserve">dates section 340.4 by </w:t>
      </w:r>
      <w:r>
        <w:t>more than 60 years.  Thi</w:t>
      </w:r>
      <w:r>
        <w:t>s fact is important, though it does not end the inquiry</w:t>
      </w:r>
      <w:r>
        <w:t>.  “[T]</w:t>
      </w:r>
      <w:r>
        <w:t>he rule that specific provisions take precedence over more general ones trumps the rule that later-enacted statutes have precedence.”  (</w:t>
      </w:r>
      <w:r>
        <w:rPr>
          <w:i/>
        </w:rPr>
        <w:t>State Dept.</w:t>
      </w:r>
      <w:r>
        <w:rPr>
          <w:i/>
        </w:rPr>
        <w:t xml:space="preserve"> of Public Health</w:t>
      </w:r>
      <w:r>
        <w:t xml:space="preserve">, </w:t>
      </w:r>
      <w:r>
        <w:rPr>
          <w:i/>
        </w:rPr>
        <w:t>supra</w:t>
      </w:r>
      <w:r>
        <w:t xml:space="preserve">, 60 Cal.4th </w:t>
      </w:r>
      <w:r>
        <w:t>at p. 960.)</w:t>
      </w:r>
      <w:r>
        <w:t xml:space="preserve">  We therefore </w:t>
      </w:r>
      <w:r>
        <w:t>examine</w:t>
      </w:r>
      <w:r>
        <w:t xml:space="preserve"> their relative specificity.</w:t>
      </w:r>
      <w:r>
        <w:t xml:space="preserve">  </w:t>
      </w:r>
      <w:r>
        <w:t>As drafted</w:t>
      </w:r>
      <w:r>
        <w:t xml:space="preserve">, </w:t>
      </w:r>
      <w:r>
        <w:t>neither</w:t>
      </w:r>
      <w:r>
        <w:t xml:space="preserve"> statute</w:t>
      </w:r>
      <w:r>
        <w:t xml:space="preserve"> is </w:t>
      </w:r>
      <w:r w:rsidRPr="00F2312F">
        <w:rPr>
          <w:i/>
        </w:rPr>
        <w:t>more</w:t>
      </w:r>
      <w:r>
        <w:t xml:space="preserve"> specific</w:t>
      </w:r>
      <w:r>
        <w:t xml:space="preserve"> than the other</w:t>
      </w:r>
      <w:r>
        <w:t xml:space="preserve">.  </w:t>
      </w:r>
      <w:r>
        <w:t>They both apply to personal injury claims.</w:t>
      </w:r>
      <w:r>
        <w:t xml:space="preserve">  However, a close reading confirms that the Legisla</w:t>
      </w:r>
      <w:r>
        <w:t>ture intended section 340.8, the later-enacted statute, to control here.</w:t>
      </w:r>
    </w:p>
    <w:p w:rsidR="00531F3B" w:rsidRPr="004B0727" w:rsidP="00C5483A">
      <w:pPr>
        <w:spacing w:line="360" w:lineRule="auto"/>
      </w:pPr>
      <w:r>
        <w:tab/>
        <w:t>Section 340.4 encompasses a clai</w:t>
      </w:r>
      <w:r>
        <w:t>m arising at a given time:  “A</w:t>
      </w:r>
      <w:r>
        <w:t>n action by or on behalf of a minor for personal injuries sustained before or in the course of his or her birth.”  By co</w:t>
      </w:r>
      <w:r>
        <w:t>ntrast, section 340.8, subdivision (a) provides a limitation on “</w:t>
      </w:r>
      <w:r w:rsidRPr="00267B17">
        <w:t>any</w:t>
      </w:r>
      <w:r>
        <w:t xml:space="preserve"> civil action for injury or illness based upon exposure to a hazardous material or toxic substance</w:t>
      </w:r>
      <w:r>
        <w:t>.</w:t>
      </w:r>
      <w:r>
        <w:t xml:space="preserve">”  </w:t>
      </w:r>
      <w:r>
        <w:t xml:space="preserve">Comparing the two, we see that the prenatal statute speaks </w:t>
      </w:r>
      <w:r>
        <w:t>not to the cause of injury,</w:t>
      </w:r>
      <w:r>
        <w:t xml:space="preserve"> but to </w:t>
      </w:r>
      <w:r>
        <w:rPr>
          <w:i/>
        </w:rPr>
        <w:t>when</w:t>
      </w:r>
      <w:r>
        <w:t xml:space="preserve"> it was inflicted.  The toxic exposure statute applies to any personal injury, regardless of when inflicted, if the </w:t>
      </w:r>
      <w:r>
        <w:rPr>
          <w:i/>
        </w:rPr>
        <w:t>cause</w:t>
      </w:r>
      <w:r>
        <w:t xml:space="preserve"> of injury was toxic exposure.  When an injury was caused and how it was caused are both specific aspects of the competing </w:t>
      </w:r>
      <w:r>
        <w:t xml:space="preserve">statutory provisions.  But neither is inherently more specific than the other.  Sony argues the different </w:t>
      </w:r>
      <w:r>
        <w:t>statutory triggers</w:t>
      </w:r>
      <w:r>
        <w:t xml:space="preserve"> create an ambiguity.  They do not.  Both statutes are clear.  The difference in </w:t>
      </w:r>
      <w:r>
        <w:t>how</w:t>
      </w:r>
      <w:r>
        <w:t xml:space="preserve"> the two statutes </w:t>
      </w:r>
      <w:r>
        <w:t xml:space="preserve">are triggered </w:t>
      </w:r>
      <w:r>
        <w:t xml:space="preserve">creates a </w:t>
      </w:r>
      <w:r w:rsidRPr="004B0727">
        <w:rPr>
          <w:i/>
        </w:rPr>
        <w:t>confli</w:t>
      </w:r>
      <w:r w:rsidRPr="004B0727">
        <w:rPr>
          <w:i/>
        </w:rPr>
        <w:t>ct</w:t>
      </w:r>
      <w:r>
        <w:t>, not an ambiguity.  It is this conflict we resolve under the guiding statutory language and interpretive tools.</w:t>
      </w:r>
    </w:p>
    <w:p w:rsidR="00B53ED7" w:rsidP="00C5483A">
      <w:pPr>
        <w:spacing w:line="360" w:lineRule="auto"/>
      </w:pPr>
      <w:r>
        <w:tab/>
      </w:r>
      <w:r>
        <w:t xml:space="preserve">The toxic exposure statute </w:t>
      </w:r>
      <w:r>
        <w:t xml:space="preserve">embraces “any” civil action.  (§ 340.8, subd. (a).) </w:t>
      </w:r>
      <w:r>
        <w:t xml:space="preserve"> </w:t>
      </w:r>
      <w:r>
        <w:t>“Any” is a term of broad inclusion</w:t>
      </w:r>
      <w:r>
        <w:t xml:space="preserve">, meaning “without limit </w:t>
      </w:r>
      <w:r>
        <w:t>and no matter what kind</w:t>
      </w:r>
      <w:r>
        <w:t>.</w:t>
      </w:r>
      <w:r>
        <w:t>”  (</w:t>
      </w:r>
      <w:r>
        <w:rPr>
          <w:i/>
        </w:rPr>
        <w:t>Delaney v. Superior Court</w:t>
      </w:r>
      <w:r>
        <w:t xml:space="preserve"> (1990) 50 Cal.3d 785, 798.)  </w:t>
      </w:r>
      <w:r>
        <w:t>T</w:t>
      </w:r>
      <w:r>
        <w:t xml:space="preserve">he word “any” </w:t>
      </w:r>
      <w:r>
        <w:t>means</w:t>
      </w:r>
      <w:r>
        <w:t xml:space="preserve"> that section 340.8 applies to </w:t>
      </w:r>
      <w:r w:rsidRPr="00216B4F">
        <w:rPr>
          <w:i/>
        </w:rPr>
        <w:t>all</w:t>
      </w:r>
      <w:r>
        <w:t xml:space="preserve"> actions described in the </w:t>
      </w:r>
      <w:r>
        <w:t xml:space="preserve">statute unless an express exception is made.  (See </w:t>
      </w:r>
      <w:r>
        <w:rPr>
          <w:i/>
        </w:rPr>
        <w:t>Delaney</w:t>
      </w:r>
      <w:r>
        <w:t>, at p. 798.)</w:t>
      </w:r>
    </w:p>
    <w:p w:rsidR="00D304D0" w:rsidP="00C5483A">
      <w:pPr>
        <w:spacing w:line="360" w:lineRule="auto"/>
      </w:pPr>
      <w:r>
        <w:tab/>
        <w:t xml:space="preserve">Section 340.8 </w:t>
      </w:r>
      <w:r>
        <w:t>make</w:t>
      </w:r>
      <w:r>
        <w:t xml:space="preserve">s </w:t>
      </w:r>
      <w:r>
        <w:t>two</w:t>
      </w:r>
      <w:r>
        <w:t xml:space="preserve"> exceptions to its </w:t>
      </w:r>
      <w:r>
        <w:t>broad</w:t>
      </w:r>
      <w:r>
        <w:t xml:space="preserve"> limitations rule.  </w:t>
      </w:r>
      <w:r>
        <w:t>T</w:t>
      </w:r>
      <w:r>
        <w:t>he choice to include these exceptions, and no other, also shows</w:t>
      </w:r>
      <w:r>
        <w:t xml:space="preserve"> the Legislature intended </w:t>
      </w:r>
      <w:r>
        <w:t xml:space="preserve">the toxic exposure statute </w:t>
      </w:r>
      <w:r>
        <w:t xml:space="preserve">to apply </w:t>
      </w:r>
      <w:r>
        <w:t>here</w:t>
      </w:r>
      <w:r>
        <w:t xml:space="preserve">.  </w:t>
      </w:r>
      <w:r>
        <w:t>S</w:t>
      </w:r>
      <w:r>
        <w:t xml:space="preserve">ection 340.8 states </w:t>
      </w:r>
      <w:r>
        <w:t>that the actions to which it applies do “</w:t>
      </w:r>
      <w:r>
        <w:t>not include an</w:t>
      </w:r>
      <w:r>
        <w:t xml:space="preserve"> action subject to Section 340.2</w:t>
      </w:r>
      <w:r>
        <w:t xml:space="preserve"> [alleging asbestos exposure]</w:t>
      </w:r>
      <w:r>
        <w:t xml:space="preserve"> or 340.5</w:t>
      </w:r>
      <w:r>
        <w:t xml:space="preserve"> [alleging medical malpractice]</w:t>
      </w:r>
      <w:r>
        <w:t>.”  (§ 340.8, subd. (c)(1).)</w:t>
      </w:r>
      <w:r>
        <w:t xml:space="preserve">  </w:t>
      </w:r>
      <w:r>
        <w:t xml:space="preserve">Section 340.8 does </w:t>
      </w:r>
      <w:r w:rsidRPr="009A314E">
        <w:rPr>
          <w:i/>
        </w:rPr>
        <w:t>not</w:t>
      </w:r>
      <w:r>
        <w:t xml:space="preserve"> make an exception for </w:t>
      </w:r>
      <w:r>
        <w:t xml:space="preserve">prenatal injury </w:t>
      </w:r>
      <w:r>
        <w:t>claims falling under section 340.4</w:t>
      </w:r>
      <w:r>
        <w:t>.</w:t>
      </w:r>
    </w:p>
    <w:p w:rsidR="006E2B39" w:rsidRPr="00FE75AC" w:rsidP="00C5483A">
      <w:pPr>
        <w:spacing w:line="360" w:lineRule="auto"/>
      </w:pPr>
      <w:r>
        <w:tab/>
        <w:t>“</w:t>
      </w:r>
      <w:r w:rsidRPr="006E2B39">
        <w:t>Under the maxim of statuto</w:t>
      </w:r>
      <w:r w:rsidRPr="006E2B39">
        <w:t xml:space="preserve">ry construction, </w:t>
      </w:r>
      <w:r w:rsidRPr="00C66123">
        <w:rPr>
          <w:i/>
        </w:rPr>
        <w:t>expressio unius est exclusio alterius</w:t>
      </w:r>
      <w:r w:rsidRPr="006E2B39">
        <w:t>, if exemptions are specified in a statute, we may not imply additional exemptions unless there is a clear legislative intent to the contrary.</w:t>
      </w:r>
      <w:r>
        <w:t>”  (</w:t>
      </w:r>
      <w:r>
        <w:rPr>
          <w:i/>
        </w:rPr>
        <w:t>Sierra Club v. State Bd. of Forestry</w:t>
      </w:r>
      <w:r>
        <w:t xml:space="preserve"> (1994) 7 Cal.4th 12</w:t>
      </w:r>
      <w:r>
        <w:t>15, 1230</w:t>
      </w:r>
      <w:r>
        <w:t xml:space="preserve">; see </w:t>
      </w:r>
      <w:r>
        <w:rPr>
          <w:i/>
        </w:rPr>
        <w:t>Vafi v. McCloskey</w:t>
      </w:r>
      <w:r>
        <w:t xml:space="preserve">, </w:t>
      </w:r>
      <w:r>
        <w:rPr>
          <w:i/>
        </w:rPr>
        <w:t>supra</w:t>
      </w:r>
      <w:r>
        <w:t>, 193 Cal.App.4th at p. 881.</w:t>
      </w:r>
      <w:r>
        <w:t xml:space="preserve">)  We have cautioned that the </w:t>
      </w:r>
      <w:r>
        <w:rPr>
          <w:i/>
        </w:rPr>
        <w:t>expressio</w:t>
      </w:r>
      <w:r>
        <w:rPr>
          <w:i/>
        </w:rPr>
        <w:t xml:space="preserve"> unius</w:t>
      </w:r>
      <w:r>
        <w:t xml:space="preserve"> inference properly arises only when there is reason to believe a legislative omission was intentional, such as when the </w:t>
      </w:r>
      <w:r>
        <w:t xml:space="preserve">statute contains a </w:t>
      </w:r>
      <w:r>
        <w:t>“specific list” or presents a “facially comprehensive treatment.”  (</w:t>
      </w:r>
      <w:r>
        <w:rPr>
          <w:i/>
        </w:rPr>
        <w:t>Howard Jarvis Taxpayers Assn. v. Padilla</w:t>
      </w:r>
      <w:r>
        <w:t xml:space="preserve"> (2016) 62 Cal.4th 486, 514.)  Here, there is a list.  Section 340.8, subdivision (c)(1) </w:t>
      </w:r>
      <w:r>
        <w:t>specifically excludes asbestos and medical malpractice clai</w:t>
      </w:r>
      <w:r>
        <w:t>ms</w:t>
      </w:r>
      <w:r>
        <w:t xml:space="preserve">.  The Legislature clearly recognized that section 340.8 </w:t>
      </w:r>
      <w:r>
        <w:t>could potentially</w:t>
      </w:r>
      <w:r>
        <w:t xml:space="preserve"> overlap </w:t>
      </w:r>
      <w:r>
        <w:t>other statutes of limitations</w:t>
      </w:r>
      <w:r>
        <w:t>,</w:t>
      </w:r>
      <w:r>
        <w:t xml:space="preserve"> as is</w:t>
      </w:r>
      <w:r>
        <w:t xml:space="preserve"> the case here.  </w:t>
      </w:r>
      <w:r>
        <w:t xml:space="preserve">The Legislature could have </w:t>
      </w:r>
      <w:r>
        <w:t>provided that prenatal injuries be excluded from</w:t>
      </w:r>
      <w:r>
        <w:t xml:space="preserve"> section 340.8</w:t>
      </w:r>
      <w:r>
        <w:t>’s reach</w:t>
      </w:r>
      <w:r>
        <w:t xml:space="preserve">.  </w:t>
      </w:r>
      <w:r>
        <w:t>It did not do so</w:t>
      </w:r>
      <w:r>
        <w:t xml:space="preserve">. </w:t>
      </w:r>
      <w:r>
        <w:t xml:space="preserve"> </w:t>
      </w:r>
      <w:r>
        <w:t xml:space="preserve">We </w:t>
      </w:r>
      <w:r>
        <w:t xml:space="preserve">will not create an </w:t>
      </w:r>
      <w:r>
        <w:t xml:space="preserve">exception </w:t>
      </w:r>
      <w:r>
        <w:t xml:space="preserve">the Legislature </w:t>
      </w:r>
      <w:r>
        <w:t>did not</w:t>
      </w:r>
      <w:r>
        <w:t xml:space="preserve"> enact</w:t>
      </w:r>
      <w:r>
        <w:t>.</w:t>
      </w:r>
      <w:r>
        <w:t xml:space="preserve">  (</w:t>
      </w:r>
      <w:r>
        <w:t xml:space="preserve">See </w:t>
      </w:r>
      <w:r>
        <w:rPr>
          <w:i/>
        </w:rPr>
        <w:t>Sierra Club</w:t>
      </w:r>
      <w:r>
        <w:t>, at p. 1230;</w:t>
      </w:r>
      <w:r>
        <w:t xml:space="preserve"> </w:t>
      </w:r>
      <w:r>
        <w:rPr>
          <w:i/>
        </w:rPr>
        <w:t>Williams v. Los Angeles Metropolitan Transit Authority</w:t>
      </w:r>
      <w:r>
        <w:t xml:space="preserve"> (1968) 68 Cal.2d 599, 603</w:t>
      </w:r>
      <w:r>
        <w:t xml:space="preserve"> (</w:t>
      </w:r>
      <w:r>
        <w:rPr>
          <w:i/>
        </w:rPr>
        <w:t>Williams</w:t>
      </w:r>
      <w:r>
        <w:t>)</w:t>
      </w:r>
      <w:r>
        <w:t>.</w:t>
      </w:r>
      <w:r>
        <w:t>)</w:t>
      </w:r>
    </w:p>
    <w:p w:rsidR="008B31E5" w:rsidRPr="00A6715D" w:rsidP="00C5483A">
      <w:pPr>
        <w:spacing w:line="360" w:lineRule="auto"/>
      </w:pPr>
      <w:r>
        <w:tab/>
      </w:r>
      <w:r>
        <w:t>Moreover, s</w:t>
      </w:r>
      <w:r>
        <w:t>ection 340.8, subdivision (d)</w:t>
      </w:r>
      <w:r>
        <w:t xml:space="preserve"> goes on to</w:t>
      </w:r>
      <w:r>
        <w:t xml:space="preserve"> state:  “Nothi</w:t>
      </w:r>
      <w:r>
        <w:t xml:space="preserve">ng in this section shall be construed to limit, abrogate, or change the law in effect on the effective date of this section with respect to actions </w:t>
      </w:r>
      <w:r>
        <w:rPr>
          <w:i/>
        </w:rPr>
        <w:t>not</w:t>
      </w:r>
      <w:r>
        <w:t xml:space="preserve"> based upon exposure to a hazardous material or toxic substance.”  (Italics added.)</w:t>
      </w:r>
      <w:r>
        <w:t xml:space="preserve">  By negative inferenc</w:t>
      </w:r>
      <w:r>
        <w:t xml:space="preserve">e, it appears that the Legislature </w:t>
      </w:r>
      <w:r>
        <w:rPr>
          <w:i/>
        </w:rPr>
        <w:t>did</w:t>
      </w:r>
      <w:r>
        <w:t xml:space="preserve"> intend to alter the </w:t>
      </w:r>
      <w:r>
        <w:t xml:space="preserve">law for all toxic exposure claims, </w:t>
      </w:r>
      <w:r>
        <w:t>except for those specifically excluded.</w:t>
      </w:r>
    </w:p>
    <w:p w:rsidR="002921FA" w:rsidP="00C5483A">
      <w:pPr>
        <w:spacing w:line="360" w:lineRule="auto"/>
      </w:pPr>
      <w:r>
        <w:tab/>
      </w:r>
      <w:r>
        <w:t xml:space="preserve">Citing various legislative committee reports, Sony argues the Legislature’s </w:t>
      </w:r>
      <w:r w:rsidRPr="00DD4D86">
        <w:rPr>
          <w:i/>
        </w:rPr>
        <w:t>sole</w:t>
      </w:r>
      <w:r>
        <w:t xml:space="preserve"> </w:t>
      </w:r>
      <w:r>
        <w:t xml:space="preserve">purpose in enacting section 340.8 was to codify the </w:t>
      </w:r>
      <w:r>
        <w:t>delayed discovery</w:t>
      </w:r>
      <w:r>
        <w:t xml:space="preserve"> </w:t>
      </w:r>
      <w:r>
        <w:t>doctrine for</w:t>
      </w:r>
      <w:r>
        <w:t xml:space="preserve"> toxic exposure cases</w:t>
      </w:r>
      <w:r>
        <w:t xml:space="preserve">.  The Legislature did declare </w:t>
      </w:r>
      <w:r>
        <w:t>an</w:t>
      </w:r>
      <w:r>
        <w:t xml:space="preserve"> intent</w:t>
      </w:r>
      <w:r>
        <w:t xml:space="preserve"> to codify the delayed discovery rule</w:t>
      </w:r>
      <w:r>
        <w:t xml:space="preserve"> </w:t>
      </w:r>
      <w:r>
        <w:t>(S</w:t>
      </w:r>
      <w:r>
        <w:t>tats. 2003, ch. 873, § 2, p. 6398)</w:t>
      </w:r>
      <w:r>
        <w:t xml:space="preserve">, and </w:t>
      </w:r>
      <w:r>
        <w:t xml:space="preserve">the </w:t>
      </w:r>
      <w:r>
        <w:t>statu</w:t>
      </w:r>
      <w:r>
        <w:t>tory language</w:t>
      </w:r>
      <w:r>
        <w:t xml:space="preserve"> </w:t>
      </w:r>
      <w:r>
        <w:t>reflects o</w:t>
      </w:r>
      <w:r>
        <w:t xml:space="preserve">ur holdings on </w:t>
      </w:r>
      <w:r>
        <w:t>that concept</w:t>
      </w:r>
      <w:r>
        <w:t xml:space="preserve">.  (§ 340.8, subds. (a), </w:t>
      </w:r>
      <w:r>
        <w:t xml:space="preserve">(b); see </w:t>
      </w:r>
      <w:r>
        <w:rPr>
          <w:i/>
        </w:rPr>
        <w:t>Norgart v. Upjohn Co.</w:t>
      </w:r>
      <w:r>
        <w:t xml:space="preserve">, </w:t>
      </w:r>
      <w:r>
        <w:rPr>
          <w:i/>
        </w:rPr>
        <w:t>supra</w:t>
      </w:r>
      <w:r>
        <w:t>, 21 Cal.4th at pp. 397-399.)</w:t>
      </w:r>
      <w:r>
        <w:t xml:space="preserve">  However</w:t>
      </w:r>
      <w:r>
        <w:t>, the text of section 340.8 does more.</w:t>
      </w:r>
      <w:r>
        <w:t xml:space="preserve">  It creates a two-year statute of limitations applicable to </w:t>
      </w:r>
      <w:r>
        <w:t xml:space="preserve">all </w:t>
      </w:r>
      <w:r>
        <w:t xml:space="preserve">hazardous </w:t>
      </w:r>
      <w:r>
        <w:t xml:space="preserve">exposure </w:t>
      </w:r>
      <w:r>
        <w:t xml:space="preserve">claims </w:t>
      </w:r>
      <w:r>
        <w:t xml:space="preserve">except those alleging </w:t>
      </w:r>
      <w:r>
        <w:t>injury due to asbestos</w:t>
      </w:r>
      <w:r>
        <w:t xml:space="preserve"> or medical malpractice</w:t>
      </w:r>
      <w:r>
        <w:t>.</w:t>
      </w:r>
      <w:r>
        <w:t xml:space="preserve">  </w:t>
      </w:r>
      <w:r>
        <w:t xml:space="preserve">We cannot ignore </w:t>
      </w:r>
      <w:r>
        <w:t xml:space="preserve">this </w:t>
      </w:r>
      <w:r>
        <w:t>additional</w:t>
      </w:r>
      <w:r>
        <w:t xml:space="preserve"> language.</w:t>
      </w:r>
      <w:r>
        <w:t xml:space="preserve"> </w:t>
      </w:r>
      <w:r>
        <w:t xml:space="preserve"> </w:t>
      </w:r>
      <w:r>
        <w:t>Moreover,</w:t>
      </w:r>
      <w:r>
        <w:t xml:space="preserve"> </w:t>
      </w:r>
      <w:r>
        <w:t xml:space="preserve">nothing in </w:t>
      </w:r>
      <w:r>
        <w:t>the legislative history</w:t>
      </w:r>
      <w:r>
        <w:t xml:space="preserve"> </w:t>
      </w:r>
      <w:r>
        <w:t>suggests</w:t>
      </w:r>
      <w:r>
        <w:t xml:space="preserve"> an intent</w:t>
      </w:r>
      <w:r>
        <w:t xml:space="preserve"> to exclude prenatal hazardous exposure </w:t>
      </w:r>
      <w:r>
        <w:t xml:space="preserve">claims </w:t>
      </w:r>
      <w:r>
        <w:t xml:space="preserve">from the reach </w:t>
      </w:r>
      <w:r>
        <w:t>of section 340.8</w:t>
      </w:r>
      <w:r>
        <w:t>.</w:t>
      </w:r>
      <w:r>
        <w:t xml:space="preserve">  Because the Legislature acts with one stated purpose does not preclude it from achieving other purposes as well.</w:t>
      </w:r>
    </w:p>
    <w:p w:rsidR="00304BF4" w:rsidRPr="007D066B" w:rsidP="00C5483A">
      <w:pPr>
        <w:spacing w:line="360" w:lineRule="auto"/>
      </w:pPr>
      <w:r>
        <w:tab/>
        <w:t xml:space="preserve">We addressed a similar question in </w:t>
      </w:r>
      <w:r>
        <w:rPr>
          <w:i/>
        </w:rPr>
        <w:t>Young</w:t>
      </w:r>
      <w:r>
        <w:t xml:space="preserve">, </w:t>
      </w:r>
      <w:r>
        <w:rPr>
          <w:i/>
        </w:rPr>
        <w:t>supra</w:t>
      </w:r>
      <w:r>
        <w:t xml:space="preserve">, 41 Cal.3d 883.  </w:t>
      </w:r>
      <w:r>
        <w:t xml:space="preserve">There, the plaintiff alleged </w:t>
      </w:r>
      <w:r>
        <w:t>injury</w:t>
      </w:r>
      <w:r>
        <w:t xml:space="preserve"> during birth </w:t>
      </w:r>
      <w:r>
        <w:t>caused by</w:t>
      </w:r>
      <w:r>
        <w:t xml:space="preserve"> the negligence o</w:t>
      </w:r>
      <w:r>
        <w:t>f health care providers.  (</w:t>
      </w:r>
      <w:r>
        <w:rPr>
          <w:i/>
        </w:rPr>
        <w:t>Id</w:t>
      </w:r>
      <w:r>
        <w:t>. at p. 889.)  The question was whether the action was governed by the prenatal injury statute of limitations</w:t>
      </w:r>
      <w:r>
        <w:rPr>
          <w:rStyle w:val="FootnoteReference"/>
        </w:rPr>
        <w:footnoteReference w:id="5"/>
      </w:r>
      <w:r>
        <w:t xml:space="preserve"> </w:t>
      </w:r>
      <w:r>
        <w:t>or the more recently enacted medical malpractice</w:t>
      </w:r>
      <w:r>
        <w:t xml:space="preserve"> statute</w:t>
      </w:r>
      <w:r>
        <w:t>.  (</w:t>
      </w:r>
      <w:r>
        <w:rPr>
          <w:i/>
        </w:rPr>
        <w:t>Young</w:t>
      </w:r>
      <w:r>
        <w:t>, at p. 889</w:t>
      </w:r>
      <w:r>
        <w:t xml:space="preserve">.)  </w:t>
      </w:r>
      <w:r>
        <w:t>Under</w:t>
      </w:r>
      <w:r>
        <w:t xml:space="preserve"> the delayed discovery rule, </w:t>
      </w:r>
      <w:r>
        <w:t>th</w:t>
      </w:r>
      <w:r>
        <w:t xml:space="preserve">e plaintiff’s claims would have been timely under the prenatal injury statute but not under the stricter </w:t>
      </w:r>
      <w:r>
        <w:t>medical malpractice</w:t>
      </w:r>
      <w:r>
        <w:t xml:space="preserve"> provisions</w:t>
      </w:r>
      <w:r>
        <w:t>.  (</w:t>
      </w:r>
      <w:r>
        <w:rPr>
          <w:i/>
        </w:rPr>
        <w:t>Id</w:t>
      </w:r>
      <w:r>
        <w:t>. at pp. 893-894; see § 340.5.)</w:t>
      </w:r>
      <w:r>
        <w:t xml:space="preserve">  We </w:t>
      </w:r>
      <w:r>
        <w:t>noted</w:t>
      </w:r>
      <w:r>
        <w:t xml:space="preserve"> that specific statutes prevail over conflicting provisions in more genera</w:t>
      </w:r>
      <w:r>
        <w:t xml:space="preserve">l statutes (see § 1859) but </w:t>
      </w:r>
      <w:r>
        <w:t>observed</w:t>
      </w:r>
      <w:r>
        <w:t xml:space="preserve"> “[t]he </w:t>
      </w:r>
      <w:r>
        <w:t xml:space="preserve">two </w:t>
      </w:r>
      <w:r w:rsidRPr="007349AA">
        <w:t xml:space="preserve">statutes on their face are equally specific. </w:t>
      </w:r>
      <w:r>
        <w:t xml:space="preserve"> </w:t>
      </w:r>
      <w:r w:rsidRPr="007349AA">
        <w:t>Section</w:t>
      </w:r>
      <w:r>
        <w:t> </w:t>
      </w:r>
      <w:r w:rsidRPr="007349AA">
        <w:t>29 governs all actions for prenatal and birth injuries, regardless of their cause.</w:t>
      </w:r>
      <w:r>
        <w:t xml:space="preserve">  Section </w:t>
      </w:r>
      <w:r w:rsidRPr="007349AA">
        <w:t>340.5 governs all actions for injuries caused by medical malpr</w:t>
      </w:r>
      <w:r w:rsidRPr="007349AA">
        <w:t>actice, regardless of the nature of the injury.</w:t>
      </w:r>
      <w:r>
        <w:t>”  (</w:t>
      </w:r>
      <w:r>
        <w:rPr>
          <w:i/>
        </w:rPr>
        <w:t>Young</w:t>
      </w:r>
      <w:r>
        <w:t xml:space="preserve">, at p. 894.)  </w:t>
      </w:r>
      <w:r>
        <w:t>W</w:t>
      </w:r>
      <w:r>
        <w:t xml:space="preserve">e concluded section 340.5 </w:t>
      </w:r>
      <w:r>
        <w:t>controlled</w:t>
      </w:r>
      <w:r>
        <w:t xml:space="preserve"> because it was later </w:t>
      </w:r>
      <w:r>
        <w:t xml:space="preserve">enacted </w:t>
      </w:r>
      <w:r>
        <w:t>a</w:t>
      </w:r>
      <w:r>
        <w:t>s part of</w:t>
      </w:r>
      <w:r>
        <w:t xml:space="preserve"> the Medical Injury Compensation Reform Act (MICRA),</w:t>
      </w:r>
      <w:r>
        <w:t xml:space="preserve"> </w:t>
      </w:r>
      <w:r>
        <w:t xml:space="preserve">“an interrelated legislative scheme enacted to deal </w:t>
      </w:r>
      <w:r>
        <w:t>specifically with all medical malpractice claims.”  (</w:t>
      </w:r>
      <w:r>
        <w:rPr>
          <w:i/>
        </w:rPr>
        <w:t>Young</w:t>
      </w:r>
      <w:r>
        <w:t xml:space="preserve">, at p. 894.)  Section 340.8 is the later-enacted statute here.  Although section 340.8 </w:t>
      </w:r>
      <w:r>
        <w:t>was not</w:t>
      </w:r>
      <w:r>
        <w:t xml:space="preserve"> part of a comprehensive scheme</w:t>
      </w:r>
      <w:r>
        <w:t xml:space="preserve">, </w:t>
      </w:r>
      <w:r>
        <w:t xml:space="preserve">its broad language signals </w:t>
      </w:r>
      <w:r>
        <w:t>the Legislature</w:t>
      </w:r>
      <w:r>
        <w:t xml:space="preserve">’s intent </w:t>
      </w:r>
      <w:r>
        <w:t>to</w:t>
      </w:r>
      <w:r>
        <w:t xml:space="preserve"> </w:t>
      </w:r>
      <w:r>
        <w:t>encompass all h</w:t>
      </w:r>
      <w:r>
        <w:t>azardous and toxic exposure claims, subject</w:t>
      </w:r>
      <w:r>
        <w:t xml:space="preserve"> only </w:t>
      </w:r>
      <w:r>
        <w:t xml:space="preserve">to </w:t>
      </w:r>
      <w:r>
        <w:t xml:space="preserve">two </w:t>
      </w:r>
      <w:r>
        <w:t>e</w:t>
      </w:r>
      <w:r>
        <w:t>xceptions</w:t>
      </w:r>
      <w:r>
        <w:t>.</w:t>
      </w:r>
      <w:r>
        <w:rPr>
          <w:rStyle w:val="FootnoteReference"/>
        </w:rPr>
        <w:footnoteReference w:id="6"/>
      </w:r>
    </w:p>
    <w:p w:rsidR="002921FA" w:rsidP="00C5483A">
      <w:pPr>
        <w:spacing w:line="360" w:lineRule="auto"/>
      </w:pPr>
      <w:r>
        <w:tab/>
      </w:r>
      <w:r>
        <w:t xml:space="preserve">Sony asserts that giving effect to section 340.8 would impliedly repeal section 340.4 for a subset of prebirth injuries.  </w:t>
      </w:r>
      <w:r>
        <w:t>R</w:t>
      </w:r>
      <w:r>
        <w:t>epeals by implication are disfavored.  “</w:t>
      </w:r>
      <w:r w:rsidRPr="00480A94">
        <w:t xml:space="preserve">We do not presume that </w:t>
      </w:r>
      <w:r w:rsidRPr="00480A94">
        <w:t>the Legislature intends, when it enacts a statute, to overthrow long-established principles of law unless such intention is clearly expressed or necessarily implied.</w:t>
      </w:r>
      <w:r>
        <w:t>”  (</w:t>
      </w:r>
      <w:r>
        <w:rPr>
          <w:i/>
        </w:rPr>
        <w:t>People v. Superior Court (Zamudio)</w:t>
      </w:r>
      <w:r>
        <w:t xml:space="preserve"> (2000) 23 Cal.4th 183, 199</w:t>
      </w:r>
      <w:r>
        <w:t xml:space="preserve">; see </w:t>
      </w:r>
      <w:r>
        <w:rPr>
          <w:i/>
        </w:rPr>
        <w:t>Williams</w:t>
      </w:r>
      <w:r>
        <w:t xml:space="preserve">, </w:t>
      </w:r>
      <w:r>
        <w:rPr>
          <w:i/>
        </w:rPr>
        <w:t>supra</w:t>
      </w:r>
      <w:r>
        <w:t xml:space="preserve">, 68 </w:t>
      </w:r>
      <w:r>
        <w:t>Cal.2d at p. 603.)  “Thus, ‘ </w:t>
      </w:r>
      <w:r w:rsidRPr="00A328FA">
        <w:t>“</w:t>
      </w:r>
      <w:r>
        <w:t> ‘</w:t>
      </w:r>
      <w:r w:rsidRPr="00A328FA">
        <w:t xml:space="preserve">we will find an implied repeal </w:t>
      </w:r>
      <w:r>
        <w:t>“</w:t>
      </w:r>
      <w:r w:rsidRPr="00A328FA">
        <w:t xml:space="preserve">only when there is no rational basis for harmonizing </w:t>
      </w:r>
      <w:r>
        <w:t>. . .</w:t>
      </w:r>
      <w:r w:rsidRPr="00A328FA">
        <w:t xml:space="preserve"> two potentially conflicting statutes [citation], and the statutes are </w:t>
      </w:r>
      <w:r>
        <w:t>‘</w:t>
      </w:r>
      <w:r w:rsidRPr="00A328FA">
        <w:t>irreconcilable, clearly repugnant, and so inconsistent that th</w:t>
      </w:r>
      <w:r w:rsidRPr="00A328FA">
        <w:t>e two cannot have concurrent operation.</w:t>
      </w:r>
      <w:r>
        <w:t>’ ” ’ ” ’ </w:t>
      </w:r>
      <w:r w:rsidRPr="00A328FA">
        <w:t>”</w:t>
      </w:r>
      <w:r>
        <w:t xml:space="preserve">  (</w:t>
      </w:r>
      <w:r>
        <w:rPr>
          <w:i/>
        </w:rPr>
        <w:t>Even Zohar Construction &amp; Remodeling, Inc. v. Bellaire Townhouses, LLC</w:t>
      </w:r>
      <w:r>
        <w:t xml:space="preserve"> (2015) 61 Cal.4th 830, 838</w:t>
      </w:r>
      <w:r>
        <w:t xml:space="preserve"> (</w:t>
      </w:r>
      <w:r>
        <w:rPr>
          <w:i/>
        </w:rPr>
        <w:t>Even Zohar</w:t>
      </w:r>
      <w:r>
        <w:t>)</w:t>
      </w:r>
      <w:r>
        <w:t>.)</w:t>
      </w:r>
      <w:r>
        <w:t xml:space="preserve">  </w:t>
      </w:r>
      <w:r>
        <w:t>W</w:t>
      </w:r>
      <w:r>
        <w:t>e have</w:t>
      </w:r>
      <w:r>
        <w:t>, in many instances</w:t>
      </w:r>
      <w:r>
        <w:t>,</w:t>
      </w:r>
      <w:r>
        <w:t xml:space="preserve"> </w:t>
      </w:r>
      <w:r>
        <w:t xml:space="preserve">found </w:t>
      </w:r>
      <w:r>
        <w:t>harmoniz</w:t>
      </w:r>
      <w:r>
        <w:t>ation possible</w:t>
      </w:r>
      <w:r>
        <w:t>.</w:t>
      </w:r>
      <w:r>
        <w:rPr>
          <w:rStyle w:val="FootnoteReference"/>
        </w:rPr>
        <w:footnoteReference w:id="7"/>
      </w:r>
      <w:r>
        <w:t xml:space="preserve">  </w:t>
      </w:r>
      <w:r>
        <w:t>This is not such an instance.</w:t>
      </w:r>
      <w:r>
        <w:t xml:space="preserve"> </w:t>
      </w:r>
      <w:r>
        <w:t xml:space="preserve"> Sections 340.4 and 340.8 cannot be</w:t>
      </w:r>
      <w:r>
        <w:t xml:space="preserve"> give</w:t>
      </w:r>
      <w:r>
        <w:t>n</w:t>
      </w:r>
      <w:r>
        <w:t xml:space="preserve"> “concurrent operation</w:t>
      </w:r>
      <w:r>
        <w:t>,</w:t>
      </w:r>
      <w:r>
        <w:t xml:space="preserve">” </w:t>
      </w:r>
      <w:r>
        <w:t>because</w:t>
      </w:r>
      <w:r>
        <w:t xml:space="preserve"> </w:t>
      </w:r>
      <w:r>
        <w:t>t</w:t>
      </w:r>
      <w:r>
        <w:t>wo different statutes of limitation</w:t>
      </w:r>
      <w:r>
        <w:t>s</w:t>
      </w:r>
      <w:r>
        <w:t xml:space="preserve"> cannot govern the same claim.  (</w:t>
      </w:r>
      <w:r>
        <w:t>See, e.g.,</w:t>
      </w:r>
      <w:r>
        <w:t xml:space="preserve"> </w:t>
      </w:r>
      <w:r>
        <w:rPr>
          <w:i/>
        </w:rPr>
        <w:t>Young</w:t>
      </w:r>
      <w:r>
        <w:t xml:space="preserve">, </w:t>
      </w:r>
      <w:r>
        <w:rPr>
          <w:i/>
        </w:rPr>
        <w:t>supra</w:t>
      </w:r>
      <w:r>
        <w:t xml:space="preserve">, 41 Cal.3d at p. 894; </w:t>
      </w:r>
      <w:r>
        <w:rPr>
          <w:i/>
        </w:rPr>
        <w:t>May v. City of Milpitas</w:t>
      </w:r>
      <w:r>
        <w:t xml:space="preserve">, </w:t>
      </w:r>
      <w:r>
        <w:rPr>
          <w:i/>
        </w:rPr>
        <w:t>supra</w:t>
      </w:r>
      <w:r>
        <w:t xml:space="preserve">, 217 Cal.App.4th at p. 1337; </w:t>
      </w:r>
      <w:r>
        <w:rPr>
          <w:i/>
        </w:rPr>
        <w:t xml:space="preserve">Vafi </w:t>
      </w:r>
      <w:r>
        <w:rPr>
          <w:i/>
        </w:rPr>
        <w:t>v. McCloskey</w:t>
      </w:r>
      <w:r>
        <w:t xml:space="preserve">, </w:t>
      </w:r>
      <w:r>
        <w:rPr>
          <w:i/>
        </w:rPr>
        <w:t>supra</w:t>
      </w:r>
      <w:r>
        <w:t>, 193 Cal.App.4th at pp. 880-881</w:t>
      </w:r>
      <w:r>
        <w:t>.)</w:t>
      </w:r>
      <w:r>
        <w:t xml:space="preserve">  </w:t>
      </w:r>
      <w:r>
        <w:t>T</w:t>
      </w:r>
      <w:r>
        <w:t>he implied repeal at issue here is limited in scope</w:t>
      </w:r>
      <w:r>
        <w:t>, however</w:t>
      </w:r>
      <w:r>
        <w:t xml:space="preserve">.  </w:t>
      </w:r>
      <w:r>
        <w:t>Section 340.8 supersedes section 340.4 only for prenatal injuries resulting from exposure to toxic or hazardous materials.  It does not a</w:t>
      </w:r>
      <w:r>
        <w:t>pply to injuries from other causes.  (See § 340.8, subd. (d).)</w:t>
      </w:r>
    </w:p>
    <w:p w:rsidR="003E0320" w:rsidRPr="003E0320" w:rsidP="0047689A">
      <w:pPr>
        <w:keepNext/>
        <w:spacing w:line="360" w:lineRule="auto"/>
        <w:rPr>
          <w:i/>
        </w:rPr>
      </w:pPr>
      <w:r>
        <w:t>C.</w:t>
      </w:r>
      <w:r>
        <w:tab/>
      </w:r>
      <w:r>
        <w:rPr>
          <w:i/>
        </w:rPr>
        <w:t>Applying the Toxic Exposure Statute Does Not Produce Absurd Results</w:t>
      </w:r>
    </w:p>
    <w:p w:rsidR="0047689A" w:rsidP="00C5483A">
      <w:pPr>
        <w:spacing w:line="360" w:lineRule="auto"/>
      </w:pPr>
      <w:r>
        <w:tab/>
        <w:t>To justify departing from a literal reading of a clearly worded statute, the result must be so unreasonable that the Legi</w:t>
      </w:r>
      <w:r>
        <w:t>slature could not have intended it.  (</w:t>
      </w:r>
      <w:r w:rsidRPr="00126347">
        <w:rPr>
          <w:i/>
        </w:rPr>
        <w:t>In re D.B.</w:t>
      </w:r>
      <w:r>
        <w:t xml:space="preserve">, </w:t>
      </w:r>
      <w:r>
        <w:rPr>
          <w:i/>
        </w:rPr>
        <w:t>supra</w:t>
      </w:r>
      <w:r>
        <w:t xml:space="preserve">, 58 Cal.4th at p. 946.)  </w:t>
      </w:r>
      <w:r>
        <w:t xml:space="preserve">Because section 340.8 permits minority tolling, </w:t>
      </w:r>
      <w:r>
        <w:t xml:space="preserve">applying </w:t>
      </w:r>
      <w:r>
        <w:t>it to</w:t>
      </w:r>
      <w:r>
        <w:t xml:space="preserve"> prenatal </w:t>
      </w:r>
      <w:r>
        <w:t xml:space="preserve">toxic exposure </w:t>
      </w:r>
      <w:r>
        <w:t xml:space="preserve">injuries </w:t>
      </w:r>
      <w:r>
        <w:t>c</w:t>
      </w:r>
      <w:r>
        <w:t>ould</w:t>
      </w:r>
      <w:r>
        <w:t xml:space="preserve"> potentially</w:t>
      </w:r>
      <w:r>
        <w:t xml:space="preserve"> enlarge the limitations period from a child</w:t>
      </w:r>
      <w:r>
        <w:t xml:space="preserve">’s sixth birthday </w:t>
      </w:r>
      <w:r>
        <w:t xml:space="preserve">to its 20th. </w:t>
      </w:r>
      <w:r>
        <w:t xml:space="preserve"> However, t</w:t>
      </w:r>
      <w:r>
        <w:t>his difference may not be as striking in</w:t>
      </w:r>
      <w:r>
        <w:t xml:space="preserve"> reality as it may appear.  T</w:t>
      </w:r>
      <w:r>
        <w:t>he discovery rule is available to extend the time for filing all prenatal injury claims, even under section 340.4</w:t>
      </w:r>
      <w:r>
        <w:t xml:space="preserve">.  </w:t>
      </w:r>
      <w:r>
        <w:t xml:space="preserve">(See </w:t>
      </w:r>
      <w:r>
        <w:rPr>
          <w:i/>
        </w:rPr>
        <w:t>Young</w:t>
      </w:r>
      <w:r>
        <w:t xml:space="preserve">, </w:t>
      </w:r>
      <w:r>
        <w:rPr>
          <w:i/>
        </w:rPr>
        <w:t>supra</w:t>
      </w:r>
      <w:r>
        <w:t xml:space="preserve">, 41 Cal.3d at pp. 892-893.)  </w:t>
      </w:r>
      <w:r>
        <w:t>Nonetheless, Sony</w:t>
      </w:r>
      <w:r>
        <w:t xml:space="preserve"> urges that </w:t>
      </w:r>
      <w:r>
        <w:t>the enlargement</w:t>
      </w:r>
      <w:r>
        <w:t xml:space="preserve"> </w:t>
      </w:r>
      <w:r>
        <w:t>of time possible under section 340.8 is so great as to be absurd</w:t>
      </w:r>
      <w:r>
        <w:t>.  The argument fails.</w:t>
      </w:r>
    </w:p>
    <w:p w:rsidR="009B22A6" w:rsidP="00C5483A">
      <w:pPr>
        <w:spacing w:line="360" w:lineRule="auto"/>
      </w:pPr>
      <w:r>
        <w:tab/>
      </w:r>
      <w:r>
        <w:t>The Legislat</w:t>
      </w:r>
      <w:r>
        <w:t xml:space="preserve">ure could reasonably have chosen to treat </w:t>
      </w:r>
      <w:r w:rsidRPr="006E4521">
        <w:t>in utero</w:t>
      </w:r>
      <w:r>
        <w:t xml:space="preserve"> toxic exposure cases differently from the more general class</w:t>
      </w:r>
      <w:r>
        <w:t xml:space="preserve"> of injuries suffered before or during birth.  The potential causes of many birth-related injuries will be readily identifiable, and it is reasonable to expect their effect will manifest before a child reaches age six.  </w:t>
      </w:r>
      <w:r>
        <w:t>A prohibition</w:t>
      </w:r>
      <w:r>
        <w:t xml:space="preserve"> against tollin</w:t>
      </w:r>
      <w:r>
        <w:t>g during</w:t>
      </w:r>
      <w:r>
        <w:t xml:space="preserve"> minority </w:t>
      </w:r>
      <w:r>
        <w:t>may not be onerous in those circumstances</w:t>
      </w:r>
      <w:r>
        <w:t>.</w:t>
      </w:r>
    </w:p>
    <w:p w:rsidR="00E73C94" w:rsidRPr="009E405F" w:rsidP="00C5483A">
      <w:pPr>
        <w:spacing w:line="360" w:lineRule="auto"/>
      </w:pPr>
      <w:r>
        <w:tab/>
        <w:t>The toxic exposure statute, on the other hand, is not limited to an identifiable period like gestation and birth.  It covers an exposure occurring at any age.  The exposure may also occur under circumst</w:t>
      </w:r>
      <w:r>
        <w:t xml:space="preserve">ances less likely to put a plaintiff on </w:t>
      </w:r>
      <w:r>
        <w:t>notice</w:t>
      </w:r>
      <w:r>
        <w:t>.  It may happen over a brief or extended period, in the workplace, the home, or other frequented locations.  The harmful effects of exposure may take longer to manifest</w:t>
      </w:r>
      <w:r>
        <w:t xml:space="preserve"> than injuries from other causes</w:t>
      </w:r>
      <w:r>
        <w:t>, regardl</w:t>
      </w:r>
      <w:r>
        <w:t>ess of whether the exposure occurred before or after birth</w:t>
      </w:r>
      <w:r>
        <w:t xml:space="preserve">.  The </w:t>
      </w:r>
      <w:r>
        <w:t xml:space="preserve">Legislature’s </w:t>
      </w:r>
      <w:r>
        <w:t>policy choice to permit tolling during a period of minority or incapacity, as section 352 does, reflects these differences.</w:t>
      </w:r>
      <w:r>
        <w:rPr>
          <w:rStyle w:val="FootnoteReference"/>
        </w:rPr>
        <w:footnoteReference w:id="8"/>
      </w:r>
    </w:p>
    <w:p w:rsidR="009206AC" w:rsidRPr="0009105F" w:rsidP="00B73696">
      <w:pPr>
        <w:spacing w:line="360" w:lineRule="auto"/>
      </w:pPr>
      <w:r>
        <w:tab/>
      </w:r>
      <w:r>
        <w:t>We presume</w:t>
      </w:r>
      <w:r>
        <w:t xml:space="preserve"> the Legislature was aware of section </w:t>
      </w:r>
      <w:r>
        <w:t>340</w:t>
      </w:r>
      <w:r>
        <w:t>.4</w:t>
      </w:r>
      <w:r>
        <w:t xml:space="preserve"> when it enacted section 340.8</w:t>
      </w:r>
      <w:r>
        <w:t>.</w:t>
      </w:r>
      <w:r>
        <w:t xml:space="preserve">  (See </w:t>
      </w:r>
      <w:r>
        <w:rPr>
          <w:i/>
        </w:rPr>
        <w:t>People v. Harrison</w:t>
      </w:r>
      <w:r>
        <w:t xml:space="preserve"> (1989) 48 Cal.3d 321, 329.)</w:t>
      </w:r>
      <w:r>
        <w:t xml:space="preserve">  Indeed,</w:t>
      </w:r>
      <w:r>
        <w:t xml:space="preserve"> it made exceptions for statutes </w:t>
      </w:r>
      <w:r>
        <w:t>that appear in the c</w:t>
      </w:r>
      <w:r>
        <w:t xml:space="preserve">ode </w:t>
      </w:r>
      <w:r>
        <w:t>before (§ 340.2) and immediately after (§ 340.5)</w:t>
      </w:r>
      <w:r>
        <w:t xml:space="preserve"> the prenatal injury statute</w:t>
      </w:r>
      <w:r>
        <w:t>.  (See § 340.8, subd. (c)(1</w:t>
      </w:r>
      <w:r>
        <w:t xml:space="preserve">).)  </w:t>
      </w:r>
      <w:r>
        <w:t>The Legislature</w:t>
      </w:r>
      <w:r>
        <w:t xml:space="preserve"> was also presumably aware of the </w:t>
      </w:r>
      <w:r>
        <w:t xml:space="preserve">long-standing rule that </w:t>
      </w:r>
      <w:r>
        <w:t>most</w:t>
      </w:r>
      <w:r>
        <w:t xml:space="preserve"> claims belonging to minors are tolled during minority.  (See § 352; </w:t>
      </w:r>
      <w:r>
        <w:rPr>
          <w:i/>
        </w:rPr>
        <w:t>Williams</w:t>
      </w:r>
      <w:r>
        <w:t xml:space="preserve">, </w:t>
      </w:r>
      <w:r>
        <w:rPr>
          <w:i/>
        </w:rPr>
        <w:t>supra</w:t>
      </w:r>
      <w:r>
        <w:t>, 68 Cal.2d at p. </w:t>
      </w:r>
      <w:r>
        <w:t>602.)</w:t>
      </w:r>
      <w:r>
        <w:t xml:space="preserve"> </w:t>
      </w:r>
      <w:r>
        <w:t xml:space="preserve"> </w:t>
      </w:r>
      <w:r>
        <w:t>N</w:t>
      </w:r>
      <w:r>
        <w:t>early 50 years ago</w:t>
      </w:r>
      <w:r>
        <w:t>,</w:t>
      </w:r>
      <w:r>
        <w:t xml:space="preserve"> we observed it was “</w:t>
      </w:r>
      <w:r w:rsidRPr="0058241D">
        <w:t xml:space="preserve">a deep and long </w:t>
      </w:r>
      <w:r w:rsidRPr="0058241D">
        <w:t>recognized principle of t</w:t>
      </w:r>
      <w:r>
        <w:t>he common law and of this state” that</w:t>
      </w:r>
      <w:r w:rsidRPr="0058241D">
        <w:t xml:space="preserve"> </w:t>
      </w:r>
      <w:r>
        <w:t>“</w:t>
      </w:r>
      <w:r w:rsidRPr="0058241D">
        <w:t>children are to be protected during their minority from the destruction of their rights by the running of the statute of limitations.</w:t>
      </w:r>
      <w:r>
        <w:t>”  (</w:t>
      </w:r>
      <w:r>
        <w:rPr>
          <w:i/>
        </w:rPr>
        <w:t>Williams</w:t>
      </w:r>
      <w:r>
        <w:t>, at p. 602.)</w:t>
      </w:r>
      <w:r>
        <w:t xml:space="preserve">  Yet, aware of this general tolli</w:t>
      </w:r>
      <w:r>
        <w:t>ng principle, the Legislature chose not to include section 340.4 among the enumerated exceptions to the toxic exposure statute.</w:t>
      </w:r>
      <w:r>
        <w:t xml:space="preserve">  It may well have considered a longer limitations period appropriate for injuries caused by </w:t>
      </w:r>
      <w:r w:rsidRPr="00FC2165">
        <w:t>in utero</w:t>
      </w:r>
      <w:r>
        <w:t xml:space="preserve"> </w:t>
      </w:r>
      <w:r>
        <w:t>exposure to hazardous subst</w:t>
      </w:r>
      <w:r>
        <w:t xml:space="preserve">ances due to potential difficulties in identifying such injuries in children or in tracing their source.  </w:t>
      </w:r>
      <w:r>
        <w:t xml:space="preserve">Although </w:t>
      </w:r>
      <w:r>
        <w:t>these</w:t>
      </w:r>
      <w:r>
        <w:t xml:space="preserve"> </w:t>
      </w:r>
      <w:r>
        <w:t>problems</w:t>
      </w:r>
      <w:r>
        <w:t xml:space="preserve"> might have been </w:t>
      </w:r>
      <w:r>
        <w:t>alleviated by</w:t>
      </w:r>
      <w:r>
        <w:t xml:space="preserve"> the common law delayed discovery rule</w:t>
      </w:r>
      <w:r>
        <w:t>, the Legislature may have considered application of that r</w:t>
      </w:r>
      <w:r>
        <w:t>ule under section 340.4</w:t>
      </w:r>
      <w:r>
        <w:t xml:space="preserve"> </w:t>
      </w:r>
      <w:r>
        <w:t>too uncertain.</w:t>
      </w:r>
      <w:r>
        <w:t xml:space="preserve">  After all, its purpose in enacting section 340.8 was to codify the discovery rule for “any” personal injury or wrongful death claim based on exposure to hazardous materials.</w:t>
      </w:r>
      <w:r>
        <w:t xml:space="preserve">  (§ 340.8, subd. (a).)</w:t>
      </w:r>
      <w:r>
        <w:t xml:space="preserve">  Alternately, the L</w:t>
      </w:r>
      <w:r>
        <w:t xml:space="preserve">egislature may have wished to </w:t>
      </w:r>
      <w:r>
        <w:t>avoid having different limitations periods apply depending on whether a toxic exposure produced injuries before or after birth.</w:t>
      </w:r>
      <w:r>
        <w:t xml:space="preserve">  </w:t>
      </w:r>
      <w:r>
        <w:t xml:space="preserve">Applying the same statute to all hazardous exposure claims, regardless of when they accrued, </w:t>
      </w:r>
      <w:r>
        <w:t>make</w:t>
      </w:r>
      <w:r>
        <w:t>s it unnecessary to confront</w:t>
      </w:r>
      <w:r>
        <w:t xml:space="preserve"> d</w:t>
      </w:r>
      <w:r>
        <w:t xml:space="preserve">ifficult factual questions </w:t>
      </w:r>
      <w:r>
        <w:t>about when an exposure</w:t>
      </w:r>
      <w:r>
        <w:t xml:space="preserve"> occurred and when it</w:t>
      </w:r>
      <w:r>
        <w:t xml:space="preserve"> caused injury</w:t>
      </w:r>
      <w:r>
        <w:t>.</w:t>
      </w:r>
    </w:p>
    <w:p w:rsidR="003A520D" w:rsidP="00FE428A">
      <w:pPr>
        <w:spacing w:line="360" w:lineRule="auto"/>
      </w:pPr>
      <w:r>
        <w:tab/>
        <w:t>“</w:t>
      </w:r>
      <w:r w:rsidRPr="003A520D">
        <w:t>When statutory language is unambiguous, we must f</w:t>
      </w:r>
      <w:r>
        <w:t>ollow its plain meaning ‘ </w:t>
      </w:r>
      <w:r w:rsidRPr="003A520D">
        <w:t>“</w:t>
      </w:r>
      <w:r>
        <w:t> ‘</w:t>
      </w:r>
      <w:r w:rsidRPr="003A520D">
        <w:t>whatever may be thought of the wisdom, expediency, or policy</w:t>
      </w:r>
      <w:r w:rsidRPr="003A520D">
        <w:t xml:space="preserve"> of the act, even if it appears probable that a different object was in the mind of the legislature.</w:t>
      </w:r>
      <w:r>
        <w:t>’ </w:t>
      </w:r>
      <w:r w:rsidRPr="003A520D">
        <w:t>”</w:t>
      </w:r>
      <w:r>
        <w:t> </w:t>
      </w:r>
      <w:r w:rsidRPr="003A520D">
        <w:t>’</w:t>
      </w:r>
      <w:r>
        <w:t> </w:t>
      </w:r>
      <w:r w:rsidRPr="003A520D">
        <w:t>”</w:t>
      </w:r>
      <w:r>
        <w:t xml:space="preserve">  (</w:t>
      </w:r>
      <w:r>
        <w:rPr>
          <w:i/>
        </w:rPr>
        <w:t>In re D.B.</w:t>
      </w:r>
      <w:r>
        <w:t xml:space="preserve">, </w:t>
      </w:r>
      <w:r>
        <w:rPr>
          <w:i/>
        </w:rPr>
        <w:t>supra</w:t>
      </w:r>
      <w:r>
        <w:t>, 58 Cal.4th at p. 948.)  Here, the language of section 340.8 clearly encompasses claims</w:t>
      </w:r>
      <w:r>
        <w:t xml:space="preserve"> of prenatal injury based on exposure to toxic substances</w:t>
      </w:r>
      <w:r>
        <w:t>.</w:t>
      </w:r>
      <w:r>
        <w:t xml:space="preserve">  Adhering to this language, and applying section 340.8 to all hazardous exposure claims, regardless of when the injury occurred, does not produce absurd results.</w:t>
      </w:r>
      <w:r>
        <w:t xml:space="preserve">  Although </w:t>
      </w:r>
      <w:r>
        <w:t>our construction of secti</w:t>
      </w:r>
      <w:r>
        <w:t xml:space="preserve">on 310.8 means that </w:t>
      </w:r>
      <w:r>
        <w:t xml:space="preserve">plaintiffs who suffer injury from prenatal </w:t>
      </w:r>
      <w:r>
        <w:t>toxic</w:t>
      </w:r>
      <w:r>
        <w:t xml:space="preserve"> exposure have up to 20 years to sue, there is no dispute that a</w:t>
      </w:r>
      <w:r>
        <w:t>n</w:t>
      </w:r>
      <w:r>
        <w:t xml:space="preserve"> </w:t>
      </w:r>
      <w:r>
        <w:rPr>
          <w:i/>
        </w:rPr>
        <w:t>infant</w:t>
      </w:r>
      <w:r>
        <w:t xml:space="preserve"> who is </w:t>
      </w:r>
      <w:r>
        <w:t xml:space="preserve">so </w:t>
      </w:r>
      <w:r>
        <w:t xml:space="preserve">exposed </w:t>
      </w:r>
      <w:r>
        <w:t>post</w:t>
      </w:r>
      <w:r>
        <w:t xml:space="preserve">delivery </w:t>
      </w:r>
      <w:r>
        <w:t xml:space="preserve">also </w:t>
      </w:r>
      <w:r>
        <w:t>has close to 20 years to file suit.  (See §§ </w:t>
      </w:r>
      <w:r>
        <w:t>340.8, subd. (a), 352.)  Limitatio</w:t>
      </w:r>
      <w:r>
        <w:t>ns rules are an exercise in line-drawing.  We cannot say it was implausible or absurd for the Legislature to redraw the line for prenatal injuries caused by toxic exposure.</w:t>
      </w:r>
      <w:r>
        <w:t xml:space="preserve"> </w:t>
      </w:r>
      <w:r>
        <w:t xml:space="preserve"> </w:t>
      </w:r>
      <w:r>
        <w:t>Accordingly, we conclude section 340.8</w:t>
      </w:r>
      <w:r>
        <w:t xml:space="preserve"> governs plaintiff’s action.</w:t>
      </w:r>
    </w:p>
    <w:p w:rsidR="001876B0" w:rsidRPr="001876B0" w:rsidP="001876B0">
      <w:pPr>
        <w:keepNext/>
        <w:spacing w:line="360" w:lineRule="auto"/>
        <w:rPr>
          <w:i/>
        </w:rPr>
      </w:pPr>
      <w:r>
        <w:t>D.</w:t>
      </w:r>
      <w:r>
        <w:tab/>
      </w:r>
      <w:r>
        <w:rPr>
          <w:i/>
        </w:rPr>
        <w:t>Application</w:t>
      </w:r>
    </w:p>
    <w:p w:rsidR="0043049B" w:rsidP="00C5483A">
      <w:pPr>
        <w:spacing w:line="360" w:lineRule="auto"/>
      </w:pPr>
      <w:r>
        <w:tab/>
      </w:r>
      <w:r>
        <w:t>At the earliest, p</w:t>
      </w:r>
      <w:r>
        <w:t xml:space="preserve">laintiff’s claims </w:t>
      </w:r>
      <w:r>
        <w:t xml:space="preserve">against Sony </w:t>
      </w:r>
      <w:r>
        <w:t>accrued in 1999</w:t>
      </w:r>
      <w:r>
        <w:t xml:space="preserve">, </w:t>
      </w:r>
      <w:r>
        <w:t>when s</w:t>
      </w:r>
      <w:r>
        <w:t xml:space="preserve">he was born. </w:t>
      </w:r>
      <w:r>
        <w:t xml:space="preserve"> Section 340.8 did not go int</w:t>
      </w:r>
      <w:r>
        <w:t>o effect until January 1, 2004.  (Stats. 2003, ch. 873,</w:t>
      </w:r>
      <w:r>
        <w:t xml:space="preserve"> § 2,</w:t>
      </w:r>
      <w:r>
        <w:t xml:space="preserve"> p. 6398.)  Before that time, plaintiff’s claims would have been subject to</w:t>
      </w:r>
      <w:r>
        <w:t xml:space="preserve"> </w:t>
      </w:r>
      <w:r>
        <w:t>secti</w:t>
      </w:r>
      <w:r>
        <w:t>on 340.4’s</w:t>
      </w:r>
      <w:r>
        <w:t xml:space="preserve"> shorter </w:t>
      </w:r>
      <w:r>
        <w:t>period</w:t>
      </w:r>
      <w:r>
        <w:t xml:space="preserve"> for filing suit</w:t>
      </w:r>
      <w:r>
        <w:t>.</w:t>
      </w:r>
    </w:p>
    <w:p w:rsidR="00467741" w:rsidP="00C5483A">
      <w:pPr>
        <w:spacing w:line="360" w:lineRule="auto"/>
      </w:pPr>
      <w:r>
        <w:tab/>
      </w:r>
      <w:r>
        <w:t xml:space="preserve">Previous decisions have established rules for determining the effect of </w:t>
      </w:r>
      <w:r>
        <w:t>extending a</w:t>
      </w:r>
      <w:r>
        <w:t xml:space="preserve"> limitations period.  “</w:t>
      </w:r>
      <w:r w:rsidRPr="0076716C">
        <w:t>As long as the former limitations period has not expired, an enlarged limitations period ordinarily applie</w:t>
      </w:r>
      <w:r w:rsidRPr="0076716C">
        <w:t xml:space="preserve">s and is said to apply prospectively to govern cases that are pending when, or instituted after, the enactment took effect. </w:t>
      </w:r>
      <w:r>
        <w:t xml:space="preserve"> </w:t>
      </w:r>
      <w:r w:rsidRPr="0076716C">
        <w:t>This is true even though the underlying conduct that is the subject of the litigation occurred prior to the new enactment.</w:t>
      </w:r>
      <w:r>
        <w:t>”  (</w:t>
      </w:r>
      <w:r>
        <w:rPr>
          <w:i/>
        </w:rPr>
        <w:t>Quarry v. Doe I</w:t>
      </w:r>
      <w:r>
        <w:t xml:space="preserve"> (2012) 53 Cal.4th 945, 956.)</w:t>
      </w:r>
      <w:r>
        <w:t xml:space="preserve">  B</w:t>
      </w:r>
      <w:r>
        <w:t xml:space="preserve">ecause section 340.8 was in effect in 2012, when plaintiff filed this lawsuit, it governs her claims so long as they were not time-barred under the previously applicable statute of limitations.  Section 340.4 </w:t>
      </w:r>
      <w:r>
        <w:t xml:space="preserve">required </w:t>
      </w:r>
      <w:r>
        <w:t xml:space="preserve">that plaintiff file suit within six years after her date of birth.  </w:t>
      </w:r>
      <w:r>
        <w:t>Her time for filing under section 340.4 would have expired on</w:t>
      </w:r>
      <w:r>
        <w:t xml:space="preserve"> April 13, 2005, more than a year </w:t>
      </w:r>
      <w:r>
        <w:rPr>
          <w:i/>
        </w:rPr>
        <w:t>after</w:t>
      </w:r>
      <w:r>
        <w:t xml:space="preserve"> section 340.8 became effective.  Accordingly, plaintiff’s claims had not lapse</w:t>
      </w:r>
      <w:r>
        <w:t xml:space="preserve">d and </w:t>
      </w:r>
      <w:r>
        <w:t xml:space="preserve">are governed by </w:t>
      </w:r>
      <w:r>
        <w:t>section 340.8</w:t>
      </w:r>
      <w:r>
        <w:t xml:space="preserve">.  </w:t>
      </w:r>
      <w:r>
        <w:t>C</w:t>
      </w:r>
      <w:r>
        <w:t>laims subject to this statute of limitations may be tolled during the plaintiff’s minority</w:t>
      </w:r>
      <w:r>
        <w:t xml:space="preserve">.  (See </w:t>
      </w:r>
      <w:r>
        <w:rPr>
          <w:i/>
        </w:rPr>
        <w:t>ante</w:t>
      </w:r>
      <w:r>
        <w:t xml:space="preserve">, at </w:t>
      </w:r>
      <w:r>
        <w:t>p. 11</w:t>
      </w:r>
      <w:r>
        <w:t xml:space="preserve">.)  Because plaintiff filed this lawsuit </w:t>
      </w:r>
      <w:r>
        <w:t>while still a minor</w:t>
      </w:r>
      <w:r>
        <w:t>, her claims are timely under section 340.8 p</w:t>
      </w:r>
      <w:r>
        <w:t>ursuant to section 352 tolling.  The trial court erred in granting summary judgment.</w:t>
      </w:r>
    </w:p>
    <w:p w:rsidR="00CF0FA4" w:rsidRPr="00BC32FE" w:rsidP="00CF0FA4">
      <w:pPr>
        <w:keepNext/>
        <w:tabs>
          <w:tab w:val="left" w:pos="1440"/>
        </w:tabs>
        <w:spacing w:line="360" w:lineRule="auto"/>
        <w:jc w:val="center"/>
        <w:rPr>
          <w:caps/>
        </w:rPr>
      </w:pPr>
      <w:r w:rsidRPr="00BC32FE">
        <w:rPr>
          <w:caps/>
        </w:rPr>
        <w:t>III.  DISPOSITION</w:t>
      </w:r>
    </w:p>
    <w:p w:rsidR="00D6323A" w:rsidP="00D6323A">
      <w:pPr>
        <w:spacing w:line="360" w:lineRule="auto"/>
      </w:pPr>
      <w:r>
        <w:tab/>
      </w:r>
      <w:r>
        <w:t xml:space="preserve">The </w:t>
      </w:r>
      <w:r>
        <w:t>judgment</w:t>
      </w:r>
      <w:r>
        <w:t xml:space="preserve"> </w:t>
      </w:r>
      <w:r>
        <w:t>of the Court of Appeal is reversed.  The case is to be</w:t>
      </w:r>
      <w:r>
        <w:t xml:space="preserve"> remanded </w:t>
      </w:r>
      <w:r>
        <w:t>to the trial court with directions to vacate its order granting summary jud</w:t>
      </w:r>
      <w:r>
        <w:t>gment</w:t>
      </w:r>
      <w:r>
        <w:t>.</w:t>
      </w:r>
    </w:p>
    <w:p w:rsidR="00467741" w:rsidP="00D6323A">
      <w:pPr>
        <w:spacing w:line="360" w:lineRule="auto"/>
      </w:pPr>
    </w:p>
    <w:p w:rsidR="00467741" w:rsidRPr="00E148A9" w:rsidP="00D6323A">
      <w:pPr>
        <w:spacing w:line="360" w:lineRule="auto"/>
      </w:pPr>
    </w:p>
    <w:p w:rsidR="00FB09D0" w:rsidRPr="00ED64A6" w:rsidP="00D6323A">
      <w:pPr>
        <w:spacing w:line="360" w:lineRule="auto"/>
        <w:rPr>
          <w:b/>
        </w:rPr>
      </w:pPr>
      <w:r>
        <w:tab/>
      </w:r>
      <w:r>
        <w:tab/>
      </w:r>
      <w:r>
        <w:tab/>
      </w:r>
      <w:r>
        <w:tab/>
      </w:r>
      <w:r>
        <w:tab/>
      </w:r>
      <w:r>
        <w:tab/>
      </w:r>
      <w:r>
        <w:tab/>
      </w:r>
      <w:r>
        <w:rPr>
          <w:b/>
        </w:rPr>
        <w:t>CORRIGAN, J.</w:t>
      </w:r>
    </w:p>
    <w:p w:rsidR="00467741" w:rsidP="00467741">
      <w:pPr>
        <w:spacing w:line="360" w:lineRule="auto"/>
        <w:rPr>
          <w:szCs w:val="26"/>
        </w:rPr>
      </w:pPr>
    </w:p>
    <w:p w:rsidR="00467741" w:rsidRPr="007130EF" w:rsidP="00467741">
      <w:pPr>
        <w:tabs>
          <w:tab w:val="left" w:pos="1440"/>
        </w:tabs>
        <w:spacing w:line="360" w:lineRule="auto"/>
        <w:rPr>
          <w:b/>
        </w:rPr>
      </w:pPr>
      <w:r w:rsidRPr="007130EF">
        <w:rPr>
          <w:b/>
        </w:rPr>
        <w:t>WE CONCUR:</w:t>
      </w:r>
    </w:p>
    <w:p w:rsidR="00467741" w:rsidP="00467741">
      <w:pPr>
        <w:spacing w:line="360" w:lineRule="auto"/>
      </w:pPr>
    </w:p>
    <w:p w:rsidR="008043FC" w:rsidP="008043FC">
      <w:pPr>
        <w:rPr>
          <w:b/>
          <w:szCs w:val="26"/>
        </w:rPr>
      </w:pPr>
      <w:r>
        <w:rPr>
          <w:b/>
          <w:szCs w:val="26"/>
        </w:rPr>
        <w:t>CANTIL-SAKAUYE, C. J.</w:t>
      </w:r>
    </w:p>
    <w:p w:rsidR="008043FC" w:rsidP="008043FC">
      <w:pPr>
        <w:rPr>
          <w:b/>
          <w:szCs w:val="26"/>
        </w:rPr>
      </w:pPr>
      <w:r>
        <w:rPr>
          <w:b/>
          <w:szCs w:val="26"/>
        </w:rPr>
        <w:t xml:space="preserve">CHIN, J.  </w:t>
      </w:r>
    </w:p>
    <w:p w:rsidR="008043FC" w:rsidP="008043FC">
      <w:pPr>
        <w:rPr>
          <w:b/>
          <w:szCs w:val="26"/>
        </w:rPr>
      </w:pPr>
      <w:r>
        <w:rPr>
          <w:b/>
          <w:szCs w:val="26"/>
        </w:rPr>
        <w:t xml:space="preserve">LIU, J.  </w:t>
      </w:r>
    </w:p>
    <w:p w:rsidR="008043FC" w:rsidP="008043FC">
      <w:pPr>
        <w:rPr>
          <w:b/>
          <w:szCs w:val="26"/>
        </w:rPr>
      </w:pPr>
      <w:r>
        <w:rPr>
          <w:b/>
          <w:szCs w:val="26"/>
        </w:rPr>
        <w:t>CUÉLLAR, J.</w:t>
      </w:r>
    </w:p>
    <w:p w:rsidR="008043FC" w:rsidP="008043FC">
      <w:pPr>
        <w:rPr>
          <w:b/>
          <w:szCs w:val="26"/>
        </w:rPr>
      </w:pPr>
      <w:r>
        <w:rPr>
          <w:b/>
        </w:rPr>
        <w:t>KRUGER, J</w:t>
      </w:r>
    </w:p>
    <w:p w:rsidR="00887B76" w:rsidP="008043FC">
      <w:pPr>
        <w:spacing w:line="360" w:lineRule="auto"/>
        <w:rPr>
          <w:b/>
        </w:rPr>
      </w:pPr>
      <w:r>
        <w:rPr>
          <w:b/>
        </w:rPr>
        <w:t>HOFFSTADT, J.*</w:t>
      </w:r>
    </w:p>
    <w:p w:rsidR="008043FC" w:rsidP="008043FC">
      <w:pPr>
        <w:spacing w:line="360" w:lineRule="auto"/>
      </w:pPr>
    </w:p>
    <w:p w:rsidR="008043FC" w:rsidP="008043FC">
      <w:pPr>
        <w:spacing w:after="240" w:line="480" w:lineRule="atLeast"/>
        <w:rPr>
          <w:sz w:val="22"/>
        </w:rPr>
      </w:pPr>
      <w:r>
        <w:t>_______________________</w:t>
      </w:r>
    </w:p>
    <w:p w:rsidR="002C364C" w:rsidP="008043FC">
      <w:pPr>
        <w:pStyle w:val="FootnoteText"/>
        <w:sectPr w:rsidSect="00EE4DA9">
          <w:headerReference w:type="even" r:id="rId5"/>
          <w:footerReference w:type="default" r:id="rId6"/>
          <w:pgSz w:w="12240" w:h="15840"/>
          <w:pgMar w:top="1440" w:right="1800" w:bottom="1440" w:left="1800" w:header="720" w:footer="720" w:gutter="0"/>
          <w:cols w:space="720"/>
        </w:sectPr>
      </w:pPr>
      <w:r>
        <w:rPr>
          <w:rStyle w:val="FootnoteReference"/>
        </w:rPr>
        <w:t>*</w:t>
      </w:r>
      <w:r>
        <w:t>         Associate</w:t>
      </w:r>
      <w:r>
        <w:t xml:space="preserve"> Justice of the Court of Appeal, Second Appellate District, Division Two, assigned by the Chief Justice pursuant to article VI, section 6 of the California Constitution.</w:t>
      </w:r>
    </w:p>
    <w:p w:rsidR="002C364C" w:rsidRPr="002C364C" w:rsidP="002C364C">
      <w:pPr>
        <w:rPr>
          <w:i/>
          <w:sz w:val="20"/>
        </w:rPr>
      </w:pPr>
      <w:r w:rsidRPr="002C364C">
        <w:rPr>
          <w:i/>
          <w:sz w:val="20"/>
        </w:rPr>
        <w:t>See next page for addresses and telephone numbers for counsel who argued in Supreme Co</w:t>
      </w:r>
      <w:r w:rsidRPr="002C364C">
        <w:rPr>
          <w:i/>
          <w:sz w:val="20"/>
        </w:rPr>
        <w:t>urt.</w:t>
      </w:r>
    </w:p>
    <w:p w:rsidR="002C364C" w:rsidRPr="002C364C" w:rsidP="002C364C">
      <w:pPr>
        <w:rPr>
          <w:i/>
          <w:sz w:val="20"/>
        </w:rPr>
      </w:pPr>
    </w:p>
    <w:p w:rsidR="002C364C" w:rsidRPr="002C364C" w:rsidP="002C364C">
      <w:pPr>
        <w:rPr>
          <w:bCs/>
          <w:i/>
          <w:sz w:val="20"/>
        </w:rPr>
      </w:pPr>
      <w:r w:rsidRPr="002C364C">
        <w:rPr>
          <w:b/>
          <w:sz w:val="20"/>
        </w:rPr>
        <w:t>Name of Opinion</w:t>
      </w:r>
      <w:r w:rsidRPr="002C364C">
        <w:rPr>
          <w:sz w:val="20"/>
        </w:rPr>
        <w:t xml:space="preserve"> Lopez v. Sony Electronics, Inc.</w:t>
      </w:r>
    </w:p>
    <w:p w:rsidR="002C364C" w:rsidRPr="002C364C" w:rsidP="002C364C">
      <w:pPr>
        <w:rPr>
          <w:b/>
          <w:sz w:val="20"/>
        </w:rPr>
      </w:pPr>
      <w:r w:rsidRPr="002C364C">
        <w:rPr>
          <w:b/>
          <w:sz w:val="20"/>
        </w:rPr>
        <w:t>__________________________________________________________________________________</w:t>
      </w:r>
    </w:p>
    <w:p w:rsidR="002C364C" w:rsidRPr="002C364C" w:rsidP="002C364C">
      <w:pPr>
        <w:rPr>
          <w:b/>
          <w:sz w:val="20"/>
        </w:rPr>
      </w:pPr>
    </w:p>
    <w:p w:rsidR="002C364C" w:rsidRPr="002C364C" w:rsidP="002C364C">
      <w:pPr>
        <w:rPr>
          <w:bCs/>
          <w:sz w:val="20"/>
        </w:rPr>
      </w:pPr>
      <w:r w:rsidRPr="002C364C">
        <w:rPr>
          <w:b/>
          <w:sz w:val="20"/>
        </w:rPr>
        <w:t>Unpublished Opinion</w:t>
      </w:r>
    </w:p>
    <w:p w:rsidR="002C364C" w:rsidRPr="002C364C" w:rsidP="002C364C">
      <w:pPr>
        <w:rPr>
          <w:sz w:val="20"/>
        </w:rPr>
      </w:pPr>
      <w:r w:rsidRPr="002C364C">
        <w:rPr>
          <w:b/>
          <w:sz w:val="20"/>
        </w:rPr>
        <w:t>Original Appeal</w:t>
      </w:r>
    </w:p>
    <w:p w:rsidR="002C364C" w:rsidRPr="002C364C" w:rsidP="002C364C">
      <w:pPr>
        <w:rPr>
          <w:b/>
          <w:sz w:val="20"/>
        </w:rPr>
      </w:pPr>
      <w:r w:rsidRPr="002C364C">
        <w:rPr>
          <w:b/>
          <w:sz w:val="20"/>
        </w:rPr>
        <w:t>Original Proceeding</w:t>
      </w:r>
    </w:p>
    <w:p w:rsidR="002C364C" w:rsidRPr="002C364C" w:rsidP="002C364C">
      <w:pPr>
        <w:rPr>
          <w:sz w:val="20"/>
        </w:rPr>
      </w:pPr>
      <w:r w:rsidRPr="002C364C">
        <w:rPr>
          <w:b/>
          <w:sz w:val="20"/>
        </w:rPr>
        <w:t>Review Granted</w:t>
      </w:r>
      <w:r w:rsidRPr="002C364C">
        <w:rPr>
          <w:sz w:val="20"/>
        </w:rPr>
        <w:t xml:space="preserve"> XXX 247 Cal.App.4th 444</w:t>
      </w:r>
    </w:p>
    <w:p w:rsidR="002C364C" w:rsidRPr="002C364C" w:rsidP="002C364C">
      <w:pPr>
        <w:rPr>
          <w:b/>
          <w:sz w:val="20"/>
        </w:rPr>
      </w:pPr>
      <w:r w:rsidRPr="002C364C">
        <w:rPr>
          <w:b/>
          <w:sz w:val="20"/>
        </w:rPr>
        <w:t>Rehearing Granted</w:t>
      </w:r>
    </w:p>
    <w:p w:rsidR="002C364C" w:rsidRPr="002C364C" w:rsidP="002C364C">
      <w:pPr>
        <w:rPr>
          <w:b/>
          <w:sz w:val="20"/>
        </w:rPr>
      </w:pPr>
    </w:p>
    <w:p w:rsidR="002C364C" w:rsidRPr="002C364C" w:rsidP="002C364C">
      <w:pPr>
        <w:rPr>
          <w:b/>
          <w:sz w:val="20"/>
        </w:rPr>
      </w:pPr>
      <w:r w:rsidRPr="002C364C">
        <w:rPr>
          <w:b/>
          <w:sz w:val="20"/>
        </w:rPr>
        <w:t>____</w:t>
      </w:r>
      <w:r w:rsidRPr="002C364C">
        <w:rPr>
          <w:b/>
          <w:sz w:val="20"/>
        </w:rPr>
        <w:t>______________________________________________________________________________</w:t>
      </w:r>
    </w:p>
    <w:p w:rsidR="002C364C" w:rsidRPr="002C364C" w:rsidP="002C364C">
      <w:pPr>
        <w:rPr>
          <w:b/>
          <w:sz w:val="20"/>
        </w:rPr>
      </w:pPr>
    </w:p>
    <w:p w:rsidR="002C364C" w:rsidRPr="002C364C" w:rsidP="002C364C">
      <w:pPr>
        <w:rPr>
          <w:bCs/>
          <w:sz w:val="20"/>
        </w:rPr>
      </w:pPr>
      <w:r w:rsidRPr="002C364C">
        <w:rPr>
          <w:b/>
          <w:sz w:val="20"/>
        </w:rPr>
        <w:t>Opinion No.</w:t>
      </w:r>
      <w:r w:rsidRPr="002C364C">
        <w:rPr>
          <w:sz w:val="20"/>
        </w:rPr>
        <w:t xml:space="preserve"> S235357</w:t>
      </w:r>
    </w:p>
    <w:p w:rsidR="002C364C" w:rsidRPr="002C364C" w:rsidP="002C364C">
      <w:pPr>
        <w:rPr>
          <w:bCs/>
          <w:sz w:val="20"/>
        </w:rPr>
      </w:pPr>
      <w:r w:rsidRPr="002C364C">
        <w:rPr>
          <w:b/>
          <w:sz w:val="20"/>
        </w:rPr>
        <w:t>Date Filed:</w:t>
      </w:r>
      <w:r w:rsidRPr="002C364C">
        <w:rPr>
          <w:sz w:val="20"/>
        </w:rPr>
        <w:t xml:space="preserve"> July 5, 2018</w:t>
      </w:r>
    </w:p>
    <w:p w:rsidR="002C364C" w:rsidRPr="002C364C" w:rsidP="002C364C">
      <w:pPr>
        <w:rPr>
          <w:b/>
          <w:sz w:val="20"/>
        </w:rPr>
      </w:pPr>
      <w:r w:rsidRPr="002C364C">
        <w:rPr>
          <w:b/>
          <w:sz w:val="20"/>
        </w:rPr>
        <w:t>__________________________________________________________________________________</w:t>
      </w:r>
    </w:p>
    <w:p w:rsidR="002C364C" w:rsidRPr="002C364C" w:rsidP="002C364C">
      <w:pPr>
        <w:rPr>
          <w:b/>
          <w:sz w:val="20"/>
        </w:rPr>
      </w:pPr>
    </w:p>
    <w:p w:rsidR="002C364C" w:rsidRPr="002C364C" w:rsidP="002C364C">
      <w:pPr>
        <w:rPr>
          <w:bCs/>
          <w:sz w:val="20"/>
        </w:rPr>
      </w:pPr>
      <w:r w:rsidRPr="002C364C">
        <w:rPr>
          <w:b/>
          <w:sz w:val="20"/>
        </w:rPr>
        <w:t>Court:</w:t>
      </w:r>
      <w:r w:rsidRPr="002C364C">
        <w:rPr>
          <w:sz w:val="20"/>
        </w:rPr>
        <w:t xml:space="preserve"> Superior</w:t>
      </w:r>
    </w:p>
    <w:p w:rsidR="002C364C" w:rsidRPr="002C364C" w:rsidP="002C364C">
      <w:pPr>
        <w:rPr>
          <w:bCs/>
          <w:sz w:val="20"/>
        </w:rPr>
      </w:pPr>
      <w:r w:rsidRPr="002C364C">
        <w:rPr>
          <w:b/>
          <w:sz w:val="20"/>
        </w:rPr>
        <w:t>County:</w:t>
      </w:r>
      <w:r w:rsidRPr="002C364C">
        <w:rPr>
          <w:sz w:val="20"/>
        </w:rPr>
        <w:t xml:space="preserve"> Los Angeles</w:t>
      </w:r>
    </w:p>
    <w:p w:rsidR="002C364C" w:rsidRPr="002C364C" w:rsidP="002C364C">
      <w:pPr>
        <w:ind w:left="720" w:hanging="720"/>
        <w:rPr>
          <w:bCs/>
          <w:sz w:val="20"/>
        </w:rPr>
      </w:pPr>
      <w:r w:rsidRPr="002C364C">
        <w:rPr>
          <w:b/>
          <w:sz w:val="20"/>
        </w:rPr>
        <w:t>Judge:</w:t>
      </w:r>
      <w:r w:rsidRPr="002C364C">
        <w:rPr>
          <w:sz w:val="20"/>
        </w:rPr>
        <w:t xml:space="preserve"> Frederick C. Shaller</w:t>
      </w:r>
    </w:p>
    <w:p w:rsidR="002C364C" w:rsidRPr="002C364C" w:rsidP="002C364C">
      <w:pPr>
        <w:rPr>
          <w:b/>
          <w:sz w:val="20"/>
        </w:rPr>
      </w:pPr>
    </w:p>
    <w:p w:rsidR="002C364C" w:rsidRPr="002C364C" w:rsidP="002C364C">
      <w:pPr>
        <w:rPr>
          <w:b/>
          <w:sz w:val="20"/>
        </w:rPr>
      </w:pPr>
      <w:r w:rsidRPr="002C364C">
        <w:rPr>
          <w:b/>
          <w:sz w:val="20"/>
        </w:rPr>
        <w:t>__________________________________________________________________________________</w:t>
      </w:r>
    </w:p>
    <w:p w:rsidR="002C364C" w:rsidRPr="002C364C" w:rsidP="002C364C">
      <w:pPr>
        <w:rPr>
          <w:b/>
          <w:sz w:val="20"/>
        </w:rPr>
      </w:pPr>
    </w:p>
    <w:p w:rsidR="002C364C" w:rsidRPr="002C364C" w:rsidP="002C364C">
      <w:pPr>
        <w:rPr>
          <w:b/>
          <w:sz w:val="20"/>
        </w:rPr>
      </w:pPr>
      <w:r w:rsidRPr="002C364C">
        <w:rPr>
          <w:b/>
          <w:sz w:val="20"/>
        </w:rPr>
        <w:t>Counsel:</w:t>
      </w:r>
    </w:p>
    <w:p w:rsidR="002C364C" w:rsidRPr="002C364C" w:rsidP="002C364C">
      <w:pPr>
        <w:rPr>
          <w:b/>
          <w:sz w:val="20"/>
        </w:rPr>
      </w:pPr>
    </w:p>
    <w:p w:rsidR="002C364C" w:rsidRPr="002C364C" w:rsidP="002C364C">
      <w:pPr>
        <w:rPr>
          <w:sz w:val="20"/>
        </w:rPr>
      </w:pPr>
      <w:r w:rsidRPr="002C364C">
        <w:rPr>
          <w:sz w:val="20"/>
        </w:rPr>
        <w:t>Waters Kraus &amp; Paul and Michael B. Gurien for Plaintiff and Appellant.</w:t>
      </w:r>
    </w:p>
    <w:p w:rsidR="002C364C" w:rsidRPr="002C364C" w:rsidP="002C364C">
      <w:pPr>
        <w:rPr>
          <w:sz w:val="20"/>
        </w:rPr>
      </w:pPr>
    </w:p>
    <w:p w:rsidR="002C364C" w:rsidRPr="002C364C" w:rsidP="002C364C">
      <w:pPr>
        <w:rPr>
          <w:sz w:val="20"/>
        </w:rPr>
      </w:pPr>
      <w:r w:rsidRPr="002C364C">
        <w:rPr>
          <w:sz w:val="20"/>
        </w:rPr>
        <w:t xml:space="preserve">Musick, Peeler &amp; Garrett, William A. Bossen, Alejandro H. </w:t>
      </w:r>
      <w:r w:rsidRPr="002C364C">
        <w:rPr>
          <w:caps/>
          <w:sz w:val="20"/>
        </w:rPr>
        <w:t>A</w:t>
      </w:r>
      <w:r w:rsidRPr="002C364C">
        <w:rPr>
          <w:sz w:val="20"/>
        </w:rPr>
        <w:t>haronian</w:t>
      </w:r>
      <w:r w:rsidRPr="002C364C">
        <w:rPr>
          <w:sz w:val="20"/>
        </w:rPr>
        <w:t xml:space="preserve"> and Cheryl A. Orr for Defendant and Respondent.</w:t>
      </w:r>
    </w:p>
    <w:p w:rsidR="002C364C" w:rsidRPr="002C364C" w:rsidP="002C364C">
      <w:pPr>
        <w:rPr>
          <w:sz w:val="20"/>
        </w:rPr>
      </w:pPr>
    </w:p>
    <w:p w:rsidR="002C364C" w:rsidRPr="002C364C" w:rsidP="002C364C">
      <w:pPr>
        <w:rPr>
          <w:sz w:val="20"/>
        </w:rPr>
      </w:pPr>
      <w:r w:rsidRPr="002C364C">
        <w:rPr>
          <w:sz w:val="20"/>
        </w:rPr>
        <w:t>Hugh F. Young, Jr.; Drinker Biddle &amp; Reath and Alan J. Lazarus for Product Liability Advisory Council, Inc., as Amicus Curiae on behalf of Defendant and Respondent.</w:t>
      </w:r>
    </w:p>
    <w:p w:rsidR="002C364C" w:rsidRPr="002C364C" w:rsidP="002C364C">
      <w:pPr>
        <w:rPr>
          <w:sz w:val="20"/>
        </w:rPr>
      </w:pPr>
    </w:p>
    <w:p w:rsidR="002C364C" w:rsidRPr="002C364C" w:rsidP="002C364C">
      <w:pPr>
        <w:rPr>
          <w:sz w:val="20"/>
        </w:rPr>
      </w:pPr>
      <w:r w:rsidRPr="002C364C">
        <w:rPr>
          <w:sz w:val="20"/>
        </w:rPr>
        <w:t>Keller/Anderle, Jennifer L. Keller, Yen-</w:t>
      </w:r>
      <w:r w:rsidRPr="002C364C">
        <w:rPr>
          <w:sz w:val="20"/>
        </w:rPr>
        <w:t>Shyang Tseng and Michael A. Schachter for Western Digital Corporation as Amicus Curiae on behalf of Defendant and Respondent.</w:t>
      </w:r>
    </w:p>
    <w:p w:rsidR="002C364C" w:rsidRPr="002C364C" w:rsidP="002C364C">
      <w:pPr>
        <w:rPr>
          <w:sz w:val="20"/>
        </w:rPr>
      </w:pPr>
    </w:p>
    <w:p w:rsidR="002C364C" w:rsidRPr="002C364C" w:rsidP="002C364C">
      <w:pPr>
        <w:rPr>
          <w:sz w:val="20"/>
        </w:rPr>
      </w:pPr>
      <w:r w:rsidRPr="002C364C">
        <w:rPr>
          <w:sz w:val="20"/>
        </w:rPr>
        <w:t xml:space="preserve">Horvitz &amp; Levy, Jeremy B. Rosen, John F. Querio, Scott P. Dixler; Janet Y. Galeria; and Fred J. Hiestand for Chamber of Commerce </w:t>
      </w:r>
      <w:r w:rsidRPr="002C364C">
        <w:rPr>
          <w:sz w:val="20"/>
        </w:rPr>
        <w:t>of the United States of America, American Insurance Association, Association of Southern California Defense Counsel and Civil Justice Association of California as Amici Curiae on behalf of Defendant and Respondent.</w:t>
      </w:r>
    </w:p>
    <w:p w:rsidR="002C364C" w:rsidRPr="002C364C" w:rsidP="002C364C">
      <w:pPr>
        <w:rPr>
          <w:sz w:val="20"/>
        </w:rPr>
      </w:pPr>
    </w:p>
    <w:p w:rsidR="002C364C" w:rsidRPr="002C364C" w:rsidP="002C364C">
      <w:pPr>
        <w:rPr>
          <w:b/>
          <w:sz w:val="20"/>
        </w:rPr>
      </w:pPr>
    </w:p>
    <w:p w:rsidR="002C364C" w:rsidRPr="002C364C" w:rsidP="002C364C">
      <w:pPr>
        <w:rPr>
          <w:b/>
          <w:sz w:val="20"/>
        </w:rPr>
      </w:pPr>
    </w:p>
    <w:p w:rsidR="002C364C" w:rsidRPr="002C364C" w:rsidP="002C364C">
      <w:pPr>
        <w:rPr>
          <w:b/>
          <w:sz w:val="20"/>
        </w:rPr>
      </w:pPr>
    </w:p>
    <w:p w:rsidR="002C364C" w:rsidRPr="002C364C" w:rsidP="002C364C">
      <w:pPr>
        <w:rPr>
          <w:b/>
          <w:sz w:val="20"/>
        </w:rPr>
      </w:pPr>
      <w:r w:rsidRPr="002C364C">
        <w:rPr>
          <w:b/>
          <w:sz w:val="20"/>
        </w:rPr>
        <w:br w:type="page"/>
      </w:r>
    </w:p>
    <w:p w:rsidR="002C364C" w:rsidRPr="002C364C" w:rsidP="002C364C">
      <w:pPr>
        <w:rPr>
          <w:b/>
          <w:sz w:val="20"/>
        </w:rPr>
      </w:pPr>
    </w:p>
    <w:p w:rsidR="002C364C" w:rsidRPr="002C364C" w:rsidP="002C364C">
      <w:pPr>
        <w:rPr>
          <w:b/>
          <w:sz w:val="20"/>
        </w:rPr>
      </w:pPr>
    </w:p>
    <w:p w:rsidR="002C364C" w:rsidRPr="002C364C" w:rsidP="002C364C">
      <w:pPr>
        <w:rPr>
          <w:b/>
          <w:sz w:val="20"/>
        </w:rPr>
      </w:pPr>
    </w:p>
    <w:p w:rsidR="002C364C" w:rsidRPr="002C364C" w:rsidP="002C364C">
      <w:pPr>
        <w:rPr>
          <w:b/>
          <w:sz w:val="20"/>
        </w:rPr>
      </w:pPr>
      <w:r w:rsidRPr="002C364C">
        <w:rPr>
          <w:b/>
          <w:sz w:val="20"/>
        </w:rPr>
        <w:t>Counsel who argued in Supreme Co</w:t>
      </w:r>
      <w:r w:rsidRPr="002C364C">
        <w:rPr>
          <w:b/>
          <w:sz w:val="20"/>
        </w:rPr>
        <w:t>urt (not intended for publication with opinion):</w:t>
      </w:r>
    </w:p>
    <w:p w:rsidR="002C364C" w:rsidRPr="002C364C" w:rsidP="002C364C">
      <w:pPr>
        <w:rPr>
          <w:b/>
          <w:sz w:val="20"/>
        </w:rPr>
      </w:pPr>
    </w:p>
    <w:p w:rsidR="002C364C" w:rsidRPr="002C364C" w:rsidP="002C364C">
      <w:pPr>
        <w:rPr>
          <w:sz w:val="20"/>
        </w:rPr>
      </w:pPr>
      <w:r w:rsidRPr="002C364C">
        <w:rPr>
          <w:sz w:val="20"/>
        </w:rPr>
        <w:t>Michael B. Gurien</w:t>
      </w:r>
    </w:p>
    <w:p w:rsidR="002C364C" w:rsidRPr="002C364C" w:rsidP="002C364C">
      <w:pPr>
        <w:rPr>
          <w:sz w:val="20"/>
        </w:rPr>
      </w:pPr>
      <w:r w:rsidRPr="002C364C">
        <w:rPr>
          <w:sz w:val="20"/>
        </w:rPr>
        <w:t>Waters Kraus &amp; Paul</w:t>
      </w:r>
    </w:p>
    <w:p w:rsidR="002C364C" w:rsidRPr="002C364C" w:rsidP="002C364C">
      <w:pPr>
        <w:rPr>
          <w:sz w:val="20"/>
          <w:lang w:val="es-ES"/>
        </w:rPr>
      </w:pPr>
      <w:r w:rsidRPr="002C364C">
        <w:rPr>
          <w:sz w:val="20"/>
          <w:lang w:val="es-ES"/>
        </w:rPr>
        <w:t>222 North Sepulveda Boulevard, Suite 1900</w:t>
      </w:r>
    </w:p>
    <w:p w:rsidR="002C364C" w:rsidRPr="002C364C" w:rsidP="002C364C">
      <w:pPr>
        <w:rPr>
          <w:sz w:val="20"/>
          <w:lang w:val="es-ES"/>
        </w:rPr>
      </w:pPr>
      <w:r w:rsidRPr="002C364C">
        <w:rPr>
          <w:sz w:val="20"/>
          <w:lang w:val="es-ES"/>
        </w:rPr>
        <w:t>El Segundo, CA  90245</w:t>
      </w:r>
    </w:p>
    <w:p w:rsidR="002C364C" w:rsidRPr="002C364C" w:rsidP="002C364C">
      <w:pPr>
        <w:rPr>
          <w:sz w:val="20"/>
        </w:rPr>
      </w:pPr>
      <w:r w:rsidRPr="002C364C">
        <w:rPr>
          <w:sz w:val="20"/>
        </w:rPr>
        <w:t>(310) 414-8146</w:t>
      </w:r>
    </w:p>
    <w:p w:rsidR="002C364C" w:rsidRPr="002C364C" w:rsidP="002C364C">
      <w:pPr>
        <w:rPr>
          <w:sz w:val="20"/>
        </w:rPr>
      </w:pPr>
    </w:p>
    <w:p w:rsidR="002C364C" w:rsidRPr="002C364C" w:rsidP="002C364C">
      <w:pPr>
        <w:rPr>
          <w:sz w:val="20"/>
        </w:rPr>
      </w:pPr>
      <w:r w:rsidRPr="002C364C">
        <w:rPr>
          <w:sz w:val="20"/>
        </w:rPr>
        <w:t>Cheryl A. Orr</w:t>
      </w:r>
    </w:p>
    <w:p w:rsidR="002C364C" w:rsidRPr="002C364C" w:rsidP="002C364C">
      <w:pPr>
        <w:rPr>
          <w:sz w:val="20"/>
        </w:rPr>
      </w:pPr>
      <w:r w:rsidRPr="002C364C">
        <w:rPr>
          <w:sz w:val="20"/>
        </w:rPr>
        <w:t>Musick, Peeler &amp; Garrett</w:t>
      </w:r>
    </w:p>
    <w:p w:rsidR="002C364C" w:rsidRPr="002C364C" w:rsidP="002C364C">
      <w:pPr>
        <w:rPr>
          <w:sz w:val="20"/>
        </w:rPr>
      </w:pPr>
      <w:r w:rsidRPr="002C364C">
        <w:rPr>
          <w:sz w:val="20"/>
        </w:rPr>
        <w:t>One Wilshire Boulevard, Suite 2000</w:t>
      </w:r>
    </w:p>
    <w:p w:rsidR="002C364C" w:rsidRPr="002C364C" w:rsidP="002C364C">
      <w:pPr>
        <w:rPr>
          <w:sz w:val="20"/>
        </w:rPr>
      </w:pPr>
      <w:r w:rsidRPr="002C364C">
        <w:rPr>
          <w:sz w:val="20"/>
        </w:rPr>
        <w:t>Los Angeles, C</w:t>
      </w:r>
      <w:r w:rsidRPr="002C364C">
        <w:rPr>
          <w:sz w:val="20"/>
        </w:rPr>
        <w:t>A  90017-3383</w:t>
      </w:r>
    </w:p>
    <w:p w:rsidR="002C364C" w:rsidRPr="002C364C" w:rsidP="002C364C">
      <w:pPr>
        <w:rPr>
          <w:b/>
          <w:sz w:val="20"/>
        </w:rPr>
      </w:pPr>
      <w:r w:rsidRPr="002C364C">
        <w:rPr>
          <w:sz w:val="20"/>
        </w:rPr>
        <w:t>(213) 629-7600</w:t>
      </w:r>
    </w:p>
    <w:p w:rsidR="008043FC" w:rsidP="008043FC">
      <w:pPr>
        <w:pStyle w:val="FootnoteText"/>
      </w:pPr>
    </w:p>
    <w:sectPr>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5CF">
    <w:pPr>
      <w:pStyle w:val="Footer"/>
      <w:jc w:val="cen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9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55F5" w:rsidP="004826D3">
      <w:r>
        <w:separator/>
      </w:r>
    </w:p>
  </w:footnote>
  <w:footnote w:type="continuationSeparator" w:id="1">
    <w:p w:rsidR="001355F5">
      <w:r>
        <w:continuationSeparator/>
      </w:r>
    </w:p>
  </w:footnote>
  <w:footnote w:id="2">
    <w:p w:rsidR="00D145B1">
      <w:pPr>
        <w:pStyle w:val="FootnoteText"/>
      </w:pPr>
      <w:r>
        <w:rPr>
          <w:rStyle w:val="FootnoteReference"/>
        </w:rPr>
        <w:footnoteRef/>
      </w:r>
      <w:r>
        <w:t xml:space="preserve"> </w:t>
      </w:r>
      <w:r>
        <w:tab/>
        <w:t>All statutory references are to the Code of Civil Procedure</w:t>
      </w:r>
      <w:r>
        <w:t xml:space="preserve"> unless otherwise stated</w:t>
      </w:r>
      <w:r>
        <w:t>.</w:t>
      </w:r>
    </w:p>
  </w:footnote>
  <w:footnote w:id="3">
    <w:p w:rsidR="00135B54">
      <w:pPr>
        <w:pStyle w:val="FootnoteText"/>
      </w:pPr>
      <w:r>
        <w:rPr>
          <w:rStyle w:val="FootnoteReference"/>
        </w:rPr>
        <w:footnoteRef/>
      </w:r>
      <w:r>
        <w:t xml:space="preserve"> </w:t>
      </w:r>
      <w:r>
        <w:tab/>
        <w:t>Former Civil Code section 29.</w:t>
      </w:r>
    </w:p>
  </w:footnote>
  <w:footnote w:id="4">
    <w:p w:rsidR="0042076E" w:rsidRPr="006F51B3">
      <w:pPr>
        <w:pStyle w:val="FootnoteText"/>
      </w:pPr>
      <w:r>
        <w:rPr>
          <w:rStyle w:val="FootnoteReference"/>
        </w:rPr>
        <w:footnoteRef/>
      </w:r>
      <w:r>
        <w:t xml:space="preserve"> </w:t>
      </w:r>
      <w:r>
        <w:tab/>
        <w:t xml:space="preserve">The Legislature also declared an intent </w:t>
      </w:r>
      <w:r>
        <w:t xml:space="preserve">to disapprove </w:t>
      </w:r>
      <w:r>
        <w:rPr>
          <w:i/>
        </w:rPr>
        <w:t xml:space="preserve">McKelvey v. Boeing North American, </w:t>
      </w:r>
      <w:r>
        <w:rPr>
          <w:i/>
        </w:rPr>
        <w:t>Inc.</w:t>
      </w:r>
      <w:r>
        <w:t xml:space="preserve"> (</w:t>
      </w:r>
      <w:r>
        <w:t>1999) 74 Cal.App.4th 151</w:t>
      </w:r>
      <w:r>
        <w:t>, 161</w:t>
      </w:r>
      <w:r>
        <w:t xml:space="preserve">, to the extent that case </w:t>
      </w:r>
      <w:r>
        <w:t>put the burden on plaintiffs to show they were unaware of</w:t>
      </w:r>
      <w:r>
        <w:t xml:space="preserve"> published reports </w:t>
      </w:r>
      <w:r>
        <w:t>suggesting a defendant’s wrongdoing.  (Stats.</w:t>
      </w:r>
      <w:r>
        <w:t xml:space="preserve"> </w:t>
      </w:r>
      <w:r>
        <w:t>2003</w:t>
      </w:r>
      <w:r>
        <w:t xml:space="preserve"> </w:t>
      </w:r>
      <w:r>
        <w:t>ch. 873, § 2, p.</w:t>
      </w:r>
      <w:r>
        <w:t> </w:t>
      </w:r>
      <w:r>
        <w:t>6398.)  To this end, section 340.8, subdivision (c)</w:t>
      </w:r>
      <w:r>
        <w:t xml:space="preserve">(2) </w:t>
      </w:r>
      <w:r>
        <w:t>states:  “Media reports</w:t>
      </w:r>
      <w:r>
        <w:t xml:space="preserve"> </w:t>
      </w:r>
      <w:r w:rsidRPr="00541F64">
        <w:t>regarding the hazardous material or toxic substance contamination do not, in and of themselves, constitute sufficient facts to put a reasonable person on inquiry notice that the injury or death was caused or contributed to by th</w:t>
      </w:r>
      <w:r w:rsidRPr="00541F64">
        <w:t>e wrongful act of another.</w:t>
      </w:r>
      <w:r>
        <w:t>”</w:t>
      </w:r>
    </w:p>
  </w:footnote>
  <w:footnote w:id="5">
    <w:p w:rsidR="004D121B" w:rsidRPr="004D121B">
      <w:pPr>
        <w:pStyle w:val="FootnoteText"/>
      </w:pPr>
      <w:r>
        <w:rPr>
          <w:rStyle w:val="FootnoteReference"/>
        </w:rPr>
        <w:footnoteRef/>
      </w:r>
      <w:r>
        <w:t xml:space="preserve"> </w:t>
      </w:r>
      <w:r>
        <w:tab/>
        <w:t xml:space="preserve">The specific statute at issue in </w:t>
      </w:r>
      <w:r>
        <w:rPr>
          <w:i/>
        </w:rPr>
        <w:t>Young</w:t>
      </w:r>
      <w:r>
        <w:t xml:space="preserve"> was </w:t>
      </w:r>
      <w:r>
        <w:t xml:space="preserve">former </w:t>
      </w:r>
      <w:r>
        <w:t xml:space="preserve">Civil Code section 29, the predecessor statute to section 340.4.  </w:t>
      </w:r>
      <w:r>
        <w:t>(Stats. 1992, ch. 163, § 16, p. 731.)</w:t>
      </w:r>
    </w:p>
  </w:footnote>
  <w:footnote w:id="6">
    <w:p w:rsidR="00363198" w:rsidRPr="007D4A02">
      <w:pPr>
        <w:pStyle w:val="FootnoteText"/>
      </w:pPr>
      <w:r>
        <w:rPr>
          <w:rStyle w:val="FootnoteReference"/>
        </w:rPr>
        <w:footnoteRef/>
      </w:r>
      <w:r>
        <w:t xml:space="preserve"> </w:t>
      </w:r>
      <w:r>
        <w:tab/>
      </w:r>
      <w:r>
        <w:t xml:space="preserve">Attempting to turn </w:t>
      </w:r>
      <w:r>
        <w:rPr>
          <w:i/>
        </w:rPr>
        <w:t>Young</w:t>
      </w:r>
      <w:r>
        <w:t xml:space="preserve"> to its advantage, Sony asserts that the pre</w:t>
      </w:r>
      <w:r>
        <w:t xml:space="preserve">natal injury statute is part of a long-standing statutory scheme.  The characterization is inapt.  The only related statute Sony identifies is Civil Code section 43.1, which authorizes a right of action for injuries sustained </w:t>
      </w:r>
      <w:r w:rsidRPr="00602350">
        <w:t>in utero</w:t>
      </w:r>
      <w:r>
        <w:t>.  (</w:t>
      </w:r>
      <w:r>
        <w:rPr>
          <w:i/>
        </w:rPr>
        <w:t>Snyder v. Michael’</w:t>
      </w:r>
      <w:r>
        <w:rPr>
          <w:i/>
        </w:rPr>
        <w:t>s Stores, Inc.</w:t>
      </w:r>
      <w:r>
        <w:t xml:space="preserve"> (1997) 16 Cal.4th 991, 996.)</w:t>
      </w:r>
      <w:r>
        <w:t xml:space="preserve">  These two statutes, </w:t>
      </w:r>
      <w:r>
        <w:t xml:space="preserve">which are </w:t>
      </w:r>
      <w:r>
        <w:t>both derived from former Civil Code section 29, do not comprise a statutory “scheme” comparable to MICRA.</w:t>
      </w:r>
    </w:p>
  </w:footnote>
  <w:footnote w:id="7">
    <w:p w:rsidR="00B23FEA">
      <w:pPr>
        <w:pStyle w:val="FootnoteText"/>
      </w:pPr>
      <w:r>
        <w:rPr>
          <w:rStyle w:val="FootnoteReference"/>
        </w:rPr>
        <w:footnoteRef/>
      </w:r>
      <w:r>
        <w:t xml:space="preserve"> </w:t>
      </w:r>
      <w:r>
        <w:tab/>
        <w:t xml:space="preserve">For example, in </w:t>
      </w:r>
      <w:r>
        <w:rPr>
          <w:i/>
        </w:rPr>
        <w:t>Even Zohar</w:t>
      </w:r>
      <w:r>
        <w:t xml:space="preserve"> we found no conflict between the statute limi</w:t>
      </w:r>
      <w:r>
        <w:t>ting repeated motions for reconsideration (§ 1008) and the statute authorizing relief from default (§ 473, subd. (b)).  (</w:t>
      </w:r>
      <w:r>
        <w:rPr>
          <w:i/>
        </w:rPr>
        <w:t>Even Zohar</w:t>
      </w:r>
      <w:r>
        <w:t>,</w:t>
      </w:r>
      <w:r>
        <w:t xml:space="preserve"> </w:t>
      </w:r>
      <w:r>
        <w:rPr>
          <w:i/>
        </w:rPr>
        <w:t>supra</w:t>
      </w:r>
      <w:r>
        <w:t>, 61 Cal.4th</w:t>
      </w:r>
      <w:r>
        <w:t xml:space="preserve"> at pp. 840-841.)  </w:t>
      </w:r>
      <w:r>
        <w:t>The</w:t>
      </w:r>
      <w:r>
        <w:t xml:space="preserve"> conclusion that section 1008 restricted repeated motions for relief under section 473, subdivision (b) gave full effect to the language of both statutes.  Similarly, in </w:t>
      </w:r>
      <w:r w:rsidRPr="00973FEA">
        <w:rPr>
          <w:i/>
        </w:rPr>
        <w:t>In re</w:t>
      </w:r>
      <w:r>
        <w:t xml:space="preserve"> </w:t>
      </w:r>
      <w:r>
        <w:rPr>
          <w:i/>
        </w:rPr>
        <w:t>Greg F.</w:t>
      </w:r>
      <w:r>
        <w:t xml:space="preserve"> (2012) 55 Cal.4th 393, 408, we concluded a </w:t>
      </w:r>
      <w:r>
        <w:t>statute</w:t>
      </w:r>
      <w:r>
        <w:t xml:space="preserve"> limiting the conditio</w:t>
      </w:r>
      <w:r>
        <w:t xml:space="preserve">ns for a juvenile ward’s institutional commitment did not impliedly repeal a long-standing </w:t>
      </w:r>
      <w:r>
        <w:t>provision</w:t>
      </w:r>
      <w:r>
        <w:t xml:space="preserve"> giving the juvenile court discretion to dismiss a wardship petition, even when such a dismissal could result in the ward’s commitment.  (See</w:t>
      </w:r>
      <w:r>
        <w:t xml:space="preserve"> Welf. &amp; Inst. </w:t>
      </w:r>
      <w:r>
        <w:t>Code, §§ </w:t>
      </w:r>
      <w:r>
        <w:t>733, subd. (c), 782;</w:t>
      </w:r>
      <w:r>
        <w:t xml:space="preserve"> see</w:t>
      </w:r>
      <w:r>
        <w:t xml:space="preserve"> also </w:t>
      </w:r>
      <w:r>
        <w:rPr>
          <w:i/>
        </w:rPr>
        <w:t>In re Michael G.</w:t>
      </w:r>
      <w:r>
        <w:t xml:space="preserve"> (1988) 44 Cal.3d 283, 289.)</w:t>
      </w:r>
    </w:p>
  </w:footnote>
  <w:footnote w:id="8">
    <w:p w:rsidR="00816EA4">
      <w:pPr>
        <w:pStyle w:val="FootnoteText"/>
      </w:pPr>
      <w:r>
        <w:rPr>
          <w:rStyle w:val="FootnoteReference"/>
        </w:rPr>
        <w:footnoteRef/>
      </w:r>
      <w:r>
        <w:t xml:space="preserve"> </w:t>
      </w:r>
      <w:r>
        <w:tab/>
        <w:t xml:space="preserve">The toxic exposure statute does not specifically mention tolling.  However, its limitations period </w:t>
      </w:r>
      <w:r>
        <w:t>appears subject</w:t>
      </w:r>
      <w:r>
        <w:t xml:space="preserve"> to tolling under section 352, subdivision (a).  (</w:t>
      </w:r>
      <w:r>
        <w:rPr>
          <w:i/>
        </w:rPr>
        <w:t>Nguye</w:t>
      </w:r>
      <w:r>
        <w:rPr>
          <w:i/>
        </w:rPr>
        <w:t>n</w:t>
      </w:r>
      <w:r>
        <w:t xml:space="preserve">, </w:t>
      </w:r>
      <w:r>
        <w:rPr>
          <w:i/>
        </w:rPr>
        <w:t>supra</w:t>
      </w:r>
      <w:r>
        <w:t xml:space="preserve">, 229 Cal.App.4th at pp. 1540-1541; see </w:t>
      </w:r>
      <w:r w:rsidRPr="00F626FF">
        <w:rPr>
          <w:i/>
        </w:rPr>
        <w:t>Williams</w:t>
      </w:r>
      <w:r>
        <w:t xml:space="preserve">, </w:t>
      </w:r>
      <w:r w:rsidRPr="00F626FF">
        <w:rPr>
          <w:i/>
        </w:rPr>
        <w:t>supra</w:t>
      </w:r>
      <w:r>
        <w:t xml:space="preserve">, </w:t>
      </w:r>
      <w:r w:rsidRPr="00F626FF">
        <w:t>68</w:t>
      </w:r>
      <w:r>
        <w:t xml:space="preserve"> Cal.2d at p. 601.)</w:t>
      </w:r>
      <w:r>
        <w:t xml:space="preserve">  </w:t>
      </w:r>
      <w:r>
        <w:t>The parties do not dispute this point.  However, an amicus curiae brief filed on Sony’s behalf contends a different rule should apply if the hazardous exposure occurred</w:t>
      </w:r>
      <w:r>
        <w:t xml:space="preserve"> before birth.  These amici argue the no-tolling rule of section 340.4 can be severed and applied to </w:t>
      </w:r>
      <w:r>
        <w:rPr>
          <w:i/>
        </w:rPr>
        <w:t>all</w:t>
      </w:r>
      <w:r>
        <w:t xml:space="preserve"> prenatal injury claims,</w:t>
      </w:r>
      <w:r>
        <w:t xml:space="preserve"> </w:t>
      </w:r>
      <w:r>
        <w:t>making</w:t>
      </w:r>
      <w:r>
        <w:t xml:space="preserve"> </w:t>
      </w:r>
      <w:r>
        <w:t xml:space="preserve">plaintiff’s claims untimely </w:t>
      </w:r>
      <w:r>
        <w:t>even if section 340.8 applies</w:t>
      </w:r>
      <w:r>
        <w:t xml:space="preserve">.  We are aware of no authority </w:t>
      </w:r>
      <w:r>
        <w:t>for</w:t>
      </w:r>
      <w:r>
        <w:t xml:space="preserve"> pars</w:t>
      </w:r>
      <w:r>
        <w:t>ing</w:t>
      </w:r>
      <w:r>
        <w:t xml:space="preserve"> statutory provision</w:t>
      </w:r>
      <w:r>
        <w:t xml:space="preserve">s in this fashion, restoring vitality to some parts while leaving others inoperative.  The </w:t>
      </w:r>
      <w:r>
        <w:t>amici</w:t>
      </w:r>
      <w:r>
        <w:t xml:space="preserve"> </w:t>
      </w:r>
      <w:r>
        <w:t>rely</w:t>
      </w:r>
      <w:r>
        <w:t xml:space="preserve"> on </w:t>
      </w:r>
      <w:r>
        <w:rPr>
          <w:i/>
        </w:rPr>
        <w:t>California Redevelopment Assn. v. Matosantos</w:t>
      </w:r>
      <w:r>
        <w:t xml:space="preserve"> (2011) 53 Cal.4th 231, 270-274, but there we were addressing the very different topic of </w:t>
      </w:r>
      <w:r>
        <w:t>excising</w:t>
      </w:r>
      <w:r>
        <w:t xml:space="preserve"> unconsti</w:t>
      </w:r>
      <w:r>
        <w:t xml:space="preserve">tutional portions of a statute to prevent invalidation of the whole.  That severability analysis is informed by the general presumption in favor of statutes’ constitutionality.  (See </w:t>
      </w:r>
      <w:r>
        <w:rPr>
          <w:i/>
        </w:rPr>
        <w:t>Santa Barbara Sch. Dist. v. Superior Court</w:t>
      </w:r>
      <w:r>
        <w:t xml:space="preserve"> (1975) 13 Cal.3d 315, 330-331;</w:t>
      </w:r>
      <w:r>
        <w:t xml:space="preserve"> </w:t>
      </w:r>
      <w:r>
        <w:rPr>
          <w:i/>
        </w:rPr>
        <w:t>In re Blaney</w:t>
      </w:r>
      <w:r>
        <w:t xml:space="preserve"> (1947) 30 Cal.2d 643, 655.)  No similar rationale supports the severance amici would have us conduct.</w:t>
      </w:r>
    </w:p>
    <w:p w:rsidR="00C61557">
      <w:pPr>
        <w:pStyle w:val="FootnoteText"/>
      </w:pPr>
      <w:r>
        <w:tab/>
        <w:t xml:space="preserve">Moreover, the language of section 340.4 does not support </w:t>
      </w:r>
      <w:r>
        <w:t>extending</w:t>
      </w:r>
      <w:r>
        <w:t xml:space="preserve"> the no-tolling rule outside the statute’s own boundaries.  Section 340.4</w:t>
      </w:r>
      <w:r>
        <w:t xml:space="preserve"> is a single sentence:  “An action by or on behalf of a minor for personal injuries sustained before or in the course of his or her birth must be commenced within six years after the date of birth, and the time the minor is under any disability mentioned i</w:t>
      </w:r>
      <w:r>
        <w:t>n Section 352 shall not be excluded in computing the time limited for the commencement of the action.”  Under a straightforward reading, “</w:t>
      </w:r>
      <w:r w:rsidRPr="00AC5151">
        <w:rPr>
          <w:i/>
        </w:rPr>
        <w:t>the</w:t>
      </w:r>
      <w:r>
        <w:t xml:space="preserve"> minor”</w:t>
      </w:r>
      <w:r>
        <w:t xml:space="preserve"> (</w:t>
      </w:r>
      <w:r>
        <w:t xml:space="preserve">§ 340.4, </w:t>
      </w:r>
      <w:r>
        <w:t>italics added)</w:t>
      </w:r>
      <w:r>
        <w:t xml:space="preserve"> in the second clause refers to the same “minor” in the first clause who </w:t>
      </w:r>
      <w:r>
        <w:t>must</w:t>
      </w:r>
      <w:r>
        <w:t xml:space="preserve"> file suit within six years.  Likewise, read in context, the second clause’s prohibition on tolling of “</w:t>
      </w:r>
      <w:r w:rsidRPr="00AC5151">
        <w:rPr>
          <w:i/>
        </w:rPr>
        <w:t>the</w:t>
      </w:r>
      <w:r>
        <w:t xml:space="preserve"> time limited for </w:t>
      </w:r>
      <w:r>
        <w:t xml:space="preserve">the </w:t>
      </w:r>
      <w:r>
        <w:t xml:space="preserve">commencement of </w:t>
      </w:r>
      <w:r w:rsidRPr="00AC5151">
        <w:rPr>
          <w:i/>
        </w:rPr>
        <w:t>the</w:t>
      </w:r>
      <w:r>
        <w:t xml:space="preserve"> action” </w:t>
      </w:r>
      <w:r>
        <w:t>(</w:t>
      </w:r>
      <w:r>
        <w:t xml:space="preserve">§ 340.4, </w:t>
      </w:r>
      <w:r>
        <w:t xml:space="preserve">italics added) </w:t>
      </w:r>
      <w:r>
        <w:t>refers</w:t>
      </w:r>
      <w:r>
        <w:t xml:space="preserve"> to the six-year limitations period established in the statute’s fir</w:t>
      </w:r>
      <w:r>
        <w:t>st clause.  There is no indication this provision was meant to apply to any actions other than those subject to section 340.4.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5CF"/>
  <w:p w:rsidR="002635CF"/>
  <w:p w:rsidR="002635CF" w:rsidP="004826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9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5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3E6A2C"/>
    <w:multiLevelType w:val="hybridMultilevel"/>
    <w:tmpl w:val="EB9C628C"/>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912059"/>
    <w:multiLevelType w:val="hybridMultilevel"/>
    <w:tmpl w:val="30C0959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6B36581E"/>
    <w:multiLevelType w:val="hybridMultilevel"/>
    <w:tmpl w:val="C1A8D9D0"/>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D17"/>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FA4"/>
    <w:pPr>
      <w:tabs>
        <w:tab w:val="center" w:pos="4320"/>
        <w:tab w:val="right" w:pos="8640"/>
      </w:tabs>
    </w:pPr>
  </w:style>
  <w:style w:type="character" w:styleId="FootnoteReference">
    <w:name w:val="footnote reference"/>
    <w:basedOn w:val="DefaultParagraphFont"/>
    <w:uiPriority w:val="99"/>
    <w:semiHidden/>
    <w:rsid w:val="00CF0FA4"/>
    <w:rPr>
      <w:b/>
      <w:position w:val="6"/>
      <w:sz w:val="20"/>
    </w:rPr>
  </w:style>
  <w:style w:type="paragraph" w:styleId="FootnoteText">
    <w:name w:val="footnote text"/>
    <w:basedOn w:val="Normal"/>
    <w:link w:val="FootnoteTextChar"/>
    <w:uiPriority w:val="99"/>
    <w:semiHidden/>
    <w:rsid w:val="00AF2E82"/>
    <w:pPr>
      <w:spacing w:after="120"/>
    </w:pPr>
  </w:style>
  <w:style w:type="paragraph" w:styleId="Header">
    <w:name w:val="header"/>
    <w:basedOn w:val="Normal"/>
    <w:rsid w:val="009B6D17"/>
    <w:pPr>
      <w:tabs>
        <w:tab w:val="center" w:pos="4320"/>
        <w:tab w:val="right" w:pos="8640"/>
      </w:tabs>
    </w:pPr>
  </w:style>
  <w:style w:type="paragraph" w:styleId="BalloonText">
    <w:name w:val="Balloon Text"/>
    <w:basedOn w:val="Normal"/>
    <w:link w:val="BalloonTextChar"/>
    <w:rsid w:val="000E2BFE"/>
    <w:rPr>
      <w:rFonts w:ascii="Tahoma" w:hAnsi="Tahoma" w:cs="Tahoma"/>
      <w:sz w:val="16"/>
      <w:szCs w:val="16"/>
    </w:rPr>
  </w:style>
  <w:style w:type="character" w:customStyle="1" w:styleId="BalloonTextChar">
    <w:name w:val="Balloon Text Char"/>
    <w:basedOn w:val="DefaultParagraphFont"/>
    <w:link w:val="BalloonText"/>
    <w:rsid w:val="000E2BFE"/>
    <w:rPr>
      <w:rFonts w:ascii="Tahoma" w:hAnsi="Tahoma" w:cs="Tahoma"/>
      <w:sz w:val="16"/>
      <w:szCs w:val="16"/>
    </w:rPr>
  </w:style>
  <w:style w:type="paragraph" w:styleId="ListParagraph">
    <w:name w:val="List Paragraph"/>
    <w:basedOn w:val="Normal"/>
    <w:uiPriority w:val="34"/>
    <w:qFormat/>
    <w:rsid w:val="00F24DB8"/>
    <w:pPr>
      <w:ind w:left="720"/>
      <w:contextualSpacing/>
    </w:pPr>
  </w:style>
  <w:style w:type="character" w:customStyle="1" w:styleId="FootnoteTextChar">
    <w:name w:val="Footnote Text Char"/>
    <w:basedOn w:val="DefaultParagraphFont"/>
    <w:link w:val="FootnoteText"/>
    <w:uiPriority w:val="99"/>
    <w:semiHidden/>
    <w:rsid w:val="008043F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2018-07-05T15:44:28Z</dcterms:created>
  <dcterms:modified xsi:type="dcterms:W3CDTF">2018-07-05T15:44:28Z</dcterms:modified>
</cp:coreProperties>
</file>