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708F" w14:textId="77777777" w:rsidR="00703AAD" w:rsidRDefault="00E33DB4" w:rsidP="00E33DB4">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1D58E030" w14:textId="77777777" w:rsidR="00E33DB4" w:rsidRDefault="00E33DB4" w:rsidP="00E33DB4">
      <w:pPr>
        <w:tabs>
          <w:tab w:val="left" w:pos="1440"/>
          <w:tab w:val="left" w:pos="4680"/>
          <w:tab w:val="center" w:pos="7200"/>
        </w:tabs>
        <w:spacing w:after="0"/>
        <w:jc w:val="center"/>
      </w:pPr>
    </w:p>
    <w:p w14:paraId="759D5ACA" w14:textId="77777777" w:rsidR="00E33DB4" w:rsidRDefault="00E33DB4" w:rsidP="00E33DB4">
      <w:pPr>
        <w:tabs>
          <w:tab w:val="left" w:pos="1440"/>
          <w:tab w:val="left" w:pos="4680"/>
          <w:tab w:val="center" w:pos="7200"/>
        </w:tabs>
        <w:spacing w:after="0"/>
        <w:jc w:val="center"/>
      </w:pPr>
      <w:r>
        <w:t>RAND RESOURCES, LLC, et al.,</w:t>
      </w:r>
    </w:p>
    <w:p w14:paraId="30B0F0EB" w14:textId="77777777" w:rsidR="00E33DB4" w:rsidRDefault="00E33DB4" w:rsidP="00E33DB4">
      <w:pPr>
        <w:tabs>
          <w:tab w:val="left" w:pos="1440"/>
          <w:tab w:val="left" w:pos="4680"/>
          <w:tab w:val="center" w:pos="7200"/>
        </w:tabs>
        <w:spacing w:after="0"/>
        <w:jc w:val="center"/>
      </w:pPr>
      <w:r>
        <w:t>Plaintiffs and Appellants,</w:t>
      </w:r>
    </w:p>
    <w:p w14:paraId="0F1732D4" w14:textId="77777777" w:rsidR="00E33DB4" w:rsidRDefault="00E33DB4" w:rsidP="00E33DB4">
      <w:pPr>
        <w:tabs>
          <w:tab w:val="left" w:pos="1440"/>
          <w:tab w:val="left" w:pos="4680"/>
          <w:tab w:val="center" w:pos="7200"/>
        </w:tabs>
        <w:spacing w:after="0"/>
        <w:jc w:val="center"/>
      </w:pPr>
      <w:r>
        <w:t>v.</w:t>
      </w:r>
    </w:p>
    <w:p w14:paraId="08059F20" w14:textId="77777777" w:rsidR="00E33DB4" w:rsidRDefault="00E33DB4" w:rsidP="00E33DB4">
      <w:pPr>
        <w:tabs>
          <w:tab w:val="left" w:pos="1440"/>
          <w:tab w:val="left" w:pos="4680"/>
          <w:tab w:val="center" w:pos="7200"/>
        </w:tabs>
        <w:spacing w:after="0"/>
        <w:jc w:val="center"/>
      </w:pPr>
      <w:r>
        <w:t>CITY OF CARSON et al.,</w:t>
      </w:r>
    </w:p>
    <w:p w14:paraId="5AB63343" w14:textId="77777777" w:rsidR="00E33DB4" w:rsidRDefault="00E33DB4" w:rsidP="00E33DB4">
      <w:pPr>
        <w:tabs>
          <w:tab w:val="left" w:pos="1440"/>
          <w:tab w:val="left" w:pos="4680"/>
          <w:tab w:val="center" w:pos="7200"/>
        </w:tabs>
        <w:spacing w:after="0"/>
        <w:jc w:val="center"/>
      </w:pPr>
      <w:r>
        <w:t>Defendants and Respondents.</w:t>
      </w:r>
    </w:p>
    <w:p w14:paraId="1AD98ABA" w14:textId="77777777" w:rsidR="00E33DB4" w:rsidRDefault="00E33DB4" w:rsidP="00E33DB4">
      <w:pPr>
        <w:tabs>
          <w:tab w:val="left" w:pos="1440"/>
          <w:tab w:val="left" w:pos="4680"/>
          <w:tab w:val="center" w:pos="7200"/>
        </w:tabs>
        <w:spacing w:after="0"/>
        <w:jc w:val="center"/>
      </w:pPr>
    </w:p>
    <w:p w14:paraId="26ABBEF0" w14:textId="77777777" w:rsidR="00E33DB4" w:rsidRDefault="00E33DB4" w:rsidP="00E33DB4">
      <w:pPr>
        <w:tabs>
          <w:tab w:val="left" w:pos="1440"/>
          <w:tab w:val="left" w:pos="4680"/>
          <w:tab w:val="center" w:pos="7200"/>
        </w:tabs>
        <w:spacing w:after="0"/>
        <w:jc w:val="center"/>
      </w:pPr>
      <w:r>
        <w:t>S235735</w:t>
      </w:r>
    </w:p>
    <w:p w14:paraId="25C8CDF6" w14:textId="77777777" w:rsidR="00E33DB4" w:rsidRDefault="00E33DB4" w:rsidP="00E33DB4">
      <w:pPr>
        <w:tabs>
          <w:tab w:val="left" w:pos="1440"/>
          <w:tab w:val="left" w:pos="4680"/>
          <w:tab w:val="center" w:pos="7200"/>
        </w:tabs>
        <w:spacing w:after="0"/>
        <w:jc w:val="center"/>
      </w:pPr>
    </w:p>
    <w:p w14:paraId="239228DE" w14:textId="77777777" w:rsidR="00E33DB4" w:rsidRDefault="00E33DB4" w:rsidP="00E33DB4">
      <w:pPr>
        <w:tabs>
          <w:tab w:val="left" w:pos="1440"/>
          <w:tab w:val="left" w:pos="4680"/>
          <w:tab w:val="center" w:pos="7200"/>
        </w:tabs>
        <w:spacing w:after="0"/>
        <w:jc w:val="center"/>
      </w:pPr>
      <w:r>
        <w:t>Second Appellate District, Division One</w:t>
      </w:r>
    </w:p>
    <w:p w14:paraId="39367F9A" w14:textId="77777777" w:rsidR="00E33DB4" w:rsidRDefault="00E33DB4" w:rsidP="00E33DB4">
      <w:pPr>
        <w:tabs>
          <w:tab w:val="left" w:pos="1440"/>
          <w:tab w:val="left" w:pos="4680"/>
          <w:tab w:val="center" w:pos="7200"/>
        </w:tabs>
        <w:spacing w:after="0"/>
        <w:jc w:val="center"/>
      </w:pPr>
      <w:r>
        <w:t>B264493</w:t>
      </w:r>
    </w:p>
    <w:p w14:paraId="7AC9FE33" w14:textId="77777777" w:rsidR="00E33DB4" w:rsidRDefault="00E33DB4" w:rsidP="00E33DB4">
      <w:pPr>
        <w:tabs>
          <w:tab w:val="left" w:pos="1440"/>
          <w:tab w:val="left" w:pos="4680"/>
          <w:tab w:val="center" w:pos="7200"/>
        </w:tabs>
        <w:spacing w:after="0"/>
        <w:jc w:val="center"/>
      </w:pPr>
    </w:p>
    <w:p w14:paraId="3229E0C4" w14:textId="77777777" w:rsidR="00E33DB4" w:rsidRDefault="00E33DB4" w:rsidP="00E33DB4">
      <w:pPr>
        <w:tabs>
          <w:tab w:val="left" w:pos="1440"/>
          <w:tab w:val="left" w:pos="4680"/>
          <w:tab w:val="center" w:pos="7200"/>
        </w:tabs>
        <w:spacing w:after="0"/>
        <w:jc w:val="center"/>
      </w:pPr>
      <w:r>
        <w:t>Los Angeles County</w:t>
      </w:r>
      <w:r w:rsidR="004975E5">
        <w:t xml:space="preserve"> Superior Court</w:t>
      </w:r>
    </w:p>
    <w:p w14:paraId="0BA08AF6" w14:textId="77777777" w:rsidR="00E33DB4" w:rsidRDefault="00E33DB4" w:rsidP="00E33DB4">
      <w:pPr>
        <w:tabs>
          <w:tab w:val="left" w:pos="1440"/>
          <w:tab w:val="left" w:pos="4680"/>
          <w:tab w:val="center" w:pos="7200"/>
        </w:tabs>
        <w:spacing w:after="0"/>
        <w:jc w:val="center"/>
      </w:pPr>
      <w:r>
        <w:t>BC564093</w:t>
      </w:r>
    </w:p>
    <w:p w14:paraId="28FFA4FC" w14:textId="77777777" w:rsidR="00E33DB4" w:rsidRDefault="00E33DB4" w:rsidP="00E33DB4">
      <w:pPr>
        <w:pBdr>
          <w:bottom w:val="single" w:sz="4" w:space="1" w:color="auto"/>
        </w:pBdr>
        <w:tabs>
          <w:tab w:val="left" w:pos="1440"/>
          <w:tab w:val="left" w:pos="4680"/>
          <w:tab w:val="center" w:pos="7200"/>
        </w:tabs>
        <w:spacing w:after="0"/>
        <w:jc w:val="center"/>
      </w:pPr>
    </w:p>
    <w:p w14:paraId="72691210" w14:textId="77777777" w:rsidR="00365876" w:rsidRDefault="00365876" w:rsidP="00E33DB4">
      <w:pPr>
        <w:tabs>
          <w:tab w:val="left" w:pos="1440"/>
          <w:tab w:val="left" w:pos="4680"/>
          <w:tab w:val="center" w:pos="7200"/>
        </w:tabs>
        <w:spacing w:after="0"/>
        <w:jc w:val="center"/>
      </w:pPr>
    </w:p>
    <w:p w14:paraId="43E6EAB2" w14:textId="77777777" w:rsidR="00FA3257" w:rsidRDefault="00057BB9" w:rsidP="00E33DB4">
      <w:pPr>
        <w:tabs>
          <w:tab w:val="left" w:pos="1440"/>
          <w:tab w:val="left" w:pos="4680"/>
          <w:tab w:val="center" w:pos="7200"/>
        </w:tabs>
        <w:spacing w:after="0"/>
        <w:jc w:val="center"/>
      </w:pPr>
      <w:r>
        <w:t>February 4</w:t>
      </w:r>
      <w:r w:rsidR="00FA3257">
        <w:t>, 2019</w:t>
      </w:r>
    </w:p>
    <w:p w14:paraId="0CC68450" w14:textId="77777777" w:rsidR="00FA3257" w:rsidRDefault="00FA3257" w:rsidP="00E33DB4">
      <w:pPr>
        <w:tabs>
          <w:tab w:val="left" w:pos="1440"/>
          <w:tab w:val="left" w:pos="4680"/>
          <w:tab w:val="center" w:pos="7200"/>
        </w:tabs>
        <w:spacing w:after="0"/>
        <w:jc w:val="center"/>
      </w:pPr>
    </w:p>
    <w:p w14:paraId="36CE95C7" w14:textId="77777777" w:rsidR="00E33DB4" w:rsidRDefault="00E33DB4" w:rsidP="00E33DB4">
      <w:pPr>
        <w:tabs>
          <w:tab w:val="left" w:pos="1440"/>
          <w:tab w:val="left" w:pos="4680"/>
          <w:tab w:val="center" w:pos="7200"/>
        </w:tabs>
        <w:spacing w:after="0"/>
        <w:jc w:val="left"/>
      </w:pPr>
      <w:r>
        <w:t xml:space="preserve">Justice Cuéllar </w:t>
      </w:r>
      <w:r w:rsidR="004975E5">
        <w:t xml:space="preserve">authored </w:t>
      </w:r>
      <w:r>
        <w:t xml:space="preserve">the opinion of the court, in which </w:t>
      </w:r>
      <w:r w:rsidR="00057BB9">
        <w:t xml:space="preserve">Chief Justice Cantil-Sakauye and Justices Chin, Corrigan, Liu, Kruger, and </w:t>
      </w:r>
      <w:proofErr w:type="spellStart"/>
      <w:r w:rsidR="00057BB9">
        <w:t>Ashmann-Gerst</w:t>
      </w:r>
      <w:proofErr w:type="spellEnd"/>
      <w:r w:rsidR="00053D8D">
        <w:rPr>
          <w:rStyle w:val="FootnoteReference"/>
        </w:rPr>
        <w:footnoteReference w:customMarkFollows="1" w:id="2"/>
        <w:t>*</w:t>
      </w:r>
      <w:r w:rsidR="00057BB9">
        <w:t xml:space="preserve"> concurred</w:t>
      </w:r>
      <w:r>
        <w:t>.</w:t>
      </w:r>
    </w:p>
    <w:p w14:paraId="2E54CD49" w14:textId="77777777" w:rsidR="00E33DB4" w:rsidRDefault="00E33DB4" w:rsidP="00E33DB4">
      <w:pPr>
        <w:pBdr>
          <w:bottom w:val="single" w:sz="4" w:space="1" w:color="auto"/>
        </w:pBdr>
        <w:tabs>
          <w:tab w:val="left" w:pos="1440"/>
          <w:tab w:val="left" w:pos="4680"/>
          <w:tab w:val="center" w:pos="7200"/>
        </w:tabs>
        <w:spacing w:after="0"/>
        <w:jc w:val="left"/>
      </w:pPr>
    </w:p>
    <w:p w14:paraId="065422C5" w14:textId="77777777" w:rsidR="00E33DB4" w:rsidRPr="00E33DB4" w:rsidRDefault="00E33DB4" w:rsidP="00E33DB4">
      <w:pPr>
        <w:pBdr>
          <w:bottom w:val="single" w:sz="4" w:space="1" w:color="auto"/>
        </w:pBdr>
        <w:tabs>
          <w:tab w:val="left" w:pos="1440"/>
          <w:tab w:val="left" w:pos="4680"/>
          <w:tab w:val="center" w:pos="7200"/>
        </w:tabs>
        <w:spacing w:line="480" w:lineRule="atLeast"/>
        <w:jc w:val="left"/>
      </w:pPr>
      <w:bookmarkStart w:id="2" w:name="Return"/>
      <w:bookmarkEnd w:id="2"/>
    </w:p>
    <w:p w14:paraId="64C68A59" w14:textId="77777777" w:rsidR="00E33DB4" w:rsidRDefault="00E33DB4">
      <w:pPr>
        <w:tabs>
          <w:tab w:val="left" w:pos="1440"/>
          <w:tab w:val="left" w:pos="4680"/>
          <w:tab w:val="center" w:pos="7200"/>
        </w:tabs>
        <w:spacing w:line="480" w:lineRule="atLeast"/>
        <w:sectPr w:rsidR="00E33DB4" w:rsidSect="00E33DB4">
          <w:headerReference w:type="default" r:id="rId7"/>
          <w:footerReference w:type="default" r:id="rId8"/>
          <w:pgSz w:w="12240" w:h="15840"/>
          <w:pgMar w:top="1800" w:right="2160" w:bottom="1440" w:left="2160" w:header="720" w:footer="720" w:gutter="0"/>
          <w:cols w:space="720"/>
          <w:titlePg/>
          <w:docGrid w:linePitch="367"/>
        </w:sectPr>
      </w:pPr>
    </w:p>
    <w:p w14:paraId="2FB66DAC" w14:textId="77777777" w:rsidR="00E33DB4" w:rsidRDefault="00E33DB4" w:rsidP="00E33DB4">
      <w:pPr>
        <w:tabs>
          <w:tab w:val="left" w:pos="1440"/>
          <w:tab w:val="left" w:pos="4680"/>
          <w:tab w:val="center" w:pos="7200"/>
        </w:tabs>
        <w:jc w:val="center"/>
      </w:pPr>
      <w:r>
        <w:lastRenderedPageBreak/>
        <w:t>RAND RESOURCES, LLC v. CITY OF CARSON</w:t>
      </w:r>
    </w:p>
    <w:p w14:paraId="049A2433" w14:textId="77777777" w:rsidR="00E33DB4" w:rsidRDefault="00E33DB4" w:rsidP="00E33DB4">
      <w:pPr>
        <w:tabs>
          <w:tab w:val="left" w:pos="1440"/>
          <w:tab w:val="left" w:pos="4680"/>
          <w:tab w:val="center" w:pos="7200"/>
        </w:tabs>
        <w:jc w:val="center"/>
      </w:pPr>
      <w:r>
        <w:t>S235735</w:t>
      </w:r>
    </w:p>
    <w:p w14:paraId="286B5B4C" w14:textId="77777777" w:rsidR="00E33DB4" w:rsidRDefault="00E33DB4" w:rsidP="00E33DB4">
      <w:pPr>
        <w:tabs>
          <w:tab w:val="left" w:pos="1440"/>
          <w:tab w:val="left" w:pos="4680"/>
          <w:tab w:val="center" w:pos="7200"/>
        </w:tabs>
        <w:jc w:val="center"/>
      </w:pPr>
    </w:p>
    <w:p w14:paraId="399A30E0" w14:textId="77777777" w:rsidR="00E33DB4" w:rsidRDefault="00E33DB4" w:rsidP="00E33DB4">
      <w:pPr>
        <w:tabs>
          <w:tab w:val="left" w:pos="1440"/>
          <w:tab w:val="left" w:pos="4680"/>
          <w:tab w:val="center" w:pos="7200"/>
        </w:tabs>
        <w:jc w:val="center"/>
      </w:pPr>
      <w:r>
        <w:t>Opinion of the Court by Cuéllar, J.</w:t>
      </w:r>
    </w:p>
    <w:p w14:paraId="6B51D90A" w14:textId="77777777" w:rsidR="00A1765E" w:rsidRPr="00E33DB4" w:rsidRDefault="00A1765E" w:rsidP="00E33DB4"/>
    <w:p w14:paraId="3E004267" w14:textId="77777777" w:rsidR="00CE3777" w:rsidRDefault="005B71A5" w:rsidP="00365876">
      <w:r w:rsidRPr="00E33DB4">
        <w:tab/>
      </w:r>
      <w:r w:rsidR="005C3F02">
        <w:t>T</w:t>
      </w:r>
      <w:r w:rsidR="00E908AA">
        <w:t>he</w:t>
      </w:r>
      <w:r w:rsidR="006F5622">
        <w:t xml:space="preserve"> City of Carson </w:t>
      </w:r>
      <w:r w:rsidR="009D022D">
        <w:t xml:space="preserve">(City) </w:t>
      </w:r>
      <w:r w:rsidR="005F3816">
        <w:t xml:space="preserve">hired </w:t>
      </w:r>
      <w:r w:rsidR="008B7417">
        <w:t>Rand Resources as</w:t>
      </w:r>
      <w:r w:rsidR="00E908AA">
        <w:t xml:space="preserve"> its </w:t>
      </w:r>
      <w:r w:rsidR="00B754DB">
        <w:t xml:space="preserve">agent to negotiate with the National Football League (NFL) </w:t>
      </w:r>
      <w:r w:rsidR="00044911">
        <w:t xml:space="preserve">about the possibility of </w:t>
      </w:r>
      <w:r w:rsidR="00EC6F3C">
        <w:t xml:space="preserve">building a football stadium in the </w:t>
      </w:r>
      <w:r w:rsidR="008B7417">
        <w:t>City</w:t>
      </w:r>
      <w:r w:rsidR="00044911">
        <w:t>.</w:t>
      </w:r>
      <w:r w:rsidR="00AA15DF">
        <w:t xml:space="preserve"> </w:t>
      </w:r>
      <w:r w:rsidR="005F3816">
        <w:t xml:space="preserve"> </w:t>
      </w:r>
      <w:r w:rsidR="00317219">
        <w:t xml:space="preserve">But </w:t>
      </w:r>
      <w:r w:rsidR="009D022D">
        <w:t xml:space="preserve">Rand </w:t>
      </w:r>
      <w:r w:rsidR="00AA15DF">
        <w:t xml:space="preserve">Resources </w:t>
      </w:r>
      <w:r w:rsidR="009D022D">
        <w:t>eventually sued</w:t>
      </w:r>
      <w:r w:rsidR="0007586A">
        <w:t xml:space="preserve"> the City</w:t>
      </w:r>
      <w:r w:rsidR="00AA15DF">
        <w:t xml:space="preserve">, its mayor, and rival developer Leonard Bloom </w:t>
      </w:r>
      <w:r w:rsidR="009D022D">
        <w:t xml:space="preserve">after </w:t>
      </w:r>
      <w:r w:rsidR="002946E0">
        <w:t>the City</w:t>
      </w:r>
      <w:r w:rsidR="009D022D">
        <w:t xml:space="preserve"> replaced Rand</w:t>
      </w:r>
      <w:r w:rsidR="00AA15DF">
        <w:t xml:space="preserve"> Resources</w:t>
      </w:r>
      <w:r w:rsidR="009D022D">
        <w:t xml:space="preserve"> with </w:t>
      </w:r>
      <w:r w:rsidR="00AA15DF">
        <w:t>Bloom’s company</w:t>
      </w:r>
      <w:r w:rsidR="002946E0">
        <w:t xml:space="preserve">.  The </w:t>
      </w:r>
      <w:r w:rsidR="00A34C74">
        <w:t xml:space="preserve">defendants responded by making a motion under </w:t>
      </w:r>
      <w:r w:rsidR="00015C3C">
        <w:t xml:space="preserve">a </w:t>
      </w:r>
      <w:r w:rsidR="00A34C74">
        <w:t>California</w:t>
      </w:r>
      <w:r w:rsidR="00015C3C">
        <w:t xml:space="preserve"> statute designed to </w:t>
      </w:r>
      <w:r w:rsidR="00D503C6">
        <w:t>hasten resolution of</w:t>
      </w:r>
      <w:r w:rsidR="00015C3C">
        <w:t xml:space="preserve"> </w:t>
      </w:r>
      <w:r w:rsidR="00BB73BE">
        <w:t>certain disputes commonly characterized as strategic lawsuits against public participation (SLAPP)</w:t>
      </w:r>
      <w:r w:rsidR="00806774">
        <w:t xml:space="preserve"> –– lawsuits</w:t>
      </w:r>
      <w:r w:rsidR="005C3F02">
        <w:t xml:space="preserve"> meant to chill the valid exercise of the public’s rights to free speech and petition for redress of grievances.</w:t>
      </w:r>
      <w:r w:rsidR="005C3F02" w:rsidRPr="00E33DB4">
        <w:t xml:space="preserve">  (Code Civ. Proc., § 425.16</w:t>
      </w:r>
      <w:r w:rsidR="004975E5">
        <w:t>,</w:t>
      </w:r>
      <w:r w:rsidR="005C3F02" w:rsidRPr="00E33DB4">
        <w:t xml:space="preserve"> </w:t>
      </w:r>
      <w:proofErr w:type="spellStart"/>
      <w:r w:rsidR="005C3F02" w:rsidRPr="00E33DB4">
        <w:t>subd</w:t>
      </w:r>
      <w:proofErr w:type="spellEnd"/>
      <w:r w:rsidR="005C3F02" w:rsidRPr="00E33DB4">
        <w:t>. (a)</w:t>
      </w:r>
      <w:r w:rsidR="00CE3777" w:rsidRPr="00E33DB4">
        <w:rPr>
          <w:rStyle w:val="FootnoteReference"/>
        </w:rPr>
        <w:footnoteReference w:id="3"/>
      </w:r>
      <w:r w:rsidR="005C3F02" w:rsidRPr="00E33DB4">
        <w:t xml:space="preserve">; see also </w:t>
      </w:r>
      <w:proofErr w:type="spellStart"/>
      <w:r w:rsidR="005C3F02" w:rsidRPr="00E33DB4">
        <w:rPr>
          <w:i/>
        </w:rPr>
        <w:t>Rusheen</w:t>
      </w:r>
      <w:proofErr w:type="spellEnd"/>
      <w:r w:rsidR="005C3F02" w:rsidRPr="00E33DB4">
        <w:rPr>
          <w:i/>
        </w:rPr>
        <w:t xml:space="preserve"> v. Cohen</w:t>
      </w:r>
      <w:r w:rsidR="005C3F02" w:rsidRPr="00E33DB4">
        <w:t xml:space="preserve"> (2006) 37 Cal.4th 1048, 1055 (</w:t>
      </w:r>
      <w:proofErr w:type="spellStart"/>
      <w:r w:rsidR="005C3F02" w:rsidRPr="00E33DB4">
        <w:rPr>
          <w:i/>
        </w:rPr>
        <w:t>Rusheen</w:t>
      </w:r>
      <w:proofErr w:type="spellEnd"/>
      <w:r w:rsidR="005C3F02" w:rsidRPr="00E33DB4">
        <w:t xml:space="preserve">).) </w:t>
      </w:r>
      <w:r w:rsidR="00CE3777">
        <w:t xml:space="preserve"> K</w:t>
      </w:r>
      <w:r w:rsidR="00B04535">
        <w:t xml:space="preserve">nown as the </w:t>
      </w:r>
      <w:r w:rsidR="00B04535" w:rsidRPr="00E33DB4">
        <w:t xml:space="preserve">anti-SLAPP </w:t>
      </w:r>
      <w:r w:rsidR="00CE3777">
        <w:t xml:space="preserve">statute, this law permits </w:t>
      </w:r>
      <w:r w:rsidR="009922C5">
        <w:t xml:space="preserve">a </w:t>
      </w:r>
      <w:r w:rsidR="00B04535" w:rsidRPr="00E33DB4">
        <w:t xml:space="preserve">defendant facing such </w:t>
      </w:r>
      <w:r w:rsidR="009922C5">
        <w:t xml:space="preserve">a </w:t>
      </w:r>
      <w:r w:rsidR="00B04535" w:rsidRPr="00E33DB4">
        <w:t xml:space="preserve">lawsuit </w:t>
      </w:r>
      <w:r w:rsidR="00CE3777">
        <w:t>to</w:t>
      </w:r>
      <w:r w:rsidR="00CE3777" w:rsidRPr="00E33DB4">
        <w:t xml:space="preserve"> </w:t>
      </w:r>
      <w:r w:rsidR="00B04535" w:rsidRPr="00E33DB4">
        <w:t xml:space="preserve">dispose of </w:t>
      </w:r>
      <w:r w:rsidR="009922C5">
        <w:t>it</w:t>
      </w:r>
      <w:r w:rsidR="009922C5" w:rsidRPr="00E33DB4">
        <w:t xml:space="preserve"> </w:t>
      </w:r>
      <w:r w:rsidR="00B04535" w:rsidRPr="00E33DB4">
        <w:t>through a special motion to strike</w:t>
      </w:r>
      <w:r w:rsidR="001B4A34">
        <w:t xml:space="preserve"> one or more causes of action.</w:t>
      </w:r>
    </w:p>
    <w:p w14:paraId="2B00474E" w14:textId="77777777" w:rsidR="00796C54" w:rsidRDefault="00FA3257" w:rsidP="00796C54">
      <w:pPr>
        <w:ind w:firstLine="720"/>
      </w:pPr>
      <w:r>
        <w:t xml:space="preserve">To describe the standard governing whether such a motion will succeed, the statute </w:t>
      </w:r>
      <w:r w:rsidR="00025930">
        <w:t xml:space="preserve">uses certain </w:t>
      </w:r>
      <w:r>
        <w:t>open-ended terms that raise nuance</w:t>
      </w:r>
      <w:r w:rsidR="00855F04">
        <w:t>d</w:t>
      </w:r>
      <w:r>
        <w:t xml:space="preserve"> questions of interpretation</w:t>
      </w:r>
      <w:r w:rsidR="001B4A34">
        <w:t xml:space="preserve">.  A special motion may target </w:t>
      </w:r>
      <w:r w:rsidR="00B04535" w:rsidRPr="00E33DB4">
        <w:t xml:space="preserve">“cause[s] of action against a person arising from any act of that person in furtherance of the person’s right of petition or free speech under the United States Constitution or the </w:t>
      </w:r>
      <w:r w:rsidR="00B04535" w:rsidRPr="00E33DB4">
        <w:lastRenderedPageBreak/>
        <w:t>California Constitution in connection with a public issue . . .</w:t>
      </w:r>
      <w:r w:rsidR="004975E5">
        <w:t xml:space="preserve"> </w:t>
      </w:r>
      <w:r w:rsidR="00B04535" w:rsidRPr="00E33DB4">
        <w:t xml:space="preserve">, unless the court determines that the plaintiff has established that there is a probability that the plaintiff will prevail on the claim.”  (§ 425.16, </w:t>
      </w:r>
      <w:proofErr w:type="spellStart"/>
      <w:r w:rsidR="00B04535" w:rsidRPr="00E33DB4">
        <w:t>subd</w:t>
      </w:r>
      <w:proofErr w:type="spellEnd"/>
      <w:r w:rsidR="00B04535" w:rsidRPr="00E33DB4">
        <w:t>. (b)(1).)</w:t>
      </w:r>
      <w:r w:rsidR="00B04535">
        <w:t xml:space="preserve">  A plaintiff who fails to persuade the court that he </w:t>
      </w:r>
      <w:r w:rsidR="004975E5">
        <w:t xml:space="preserve">or she </w:t>
      </w:r>
      <w:r w:rsidR="00B04535">
        <w:t xml:space="preserve">will probably prevail on the cause of action in question faces immediate dismissal of that cause of action.  </w:t>
      </w:r>
    </w:p>
    <w:p w14:paraId="44BC45AA" w14:textId="77777777" w:rsidR="0087074E" w:rsidRDefault="00025930" w:rsidP="00AA15DF">
      <w:pPr>
        <w:ind w:firstLine="720"/>
      </w:pPr>
      <w:r>
        <w:t>The question we tackle here is</w:t>
      </w:r>
      <w:r w:rsidRPr="003F4F12">
        <w:t xml:space="preserve"> </w:t>
      </w:r>
      <w:r w:rsidR="003F4F12" w:rsidRPr="003F4F12">
        <w:t>whether the causes of action asserted in Rand</w:t>
      </w:r>
      <w:r w:rsidR="007A6EDF">
        <w:t xml:space="preserve"> Resources</w:t>
      </w:r>
      <w:r w:rsidR="003F4F12" w:rsidRPr="003F4F12">
        <w:t xml:space="preserve">’ dispute with the City and other defendants arise — as required to </w:t>
      </w:r>
      <w:r>
        <w:t>advance</w:t>
      </w:r>
      <w:r w:rsidRPr="003F4F12">
        <w:t xml:space="preserve"> </w:t>
      </w:r>
      <w:r w:rsidR="003F4F12" w:rsidRPr="003F4F12">
        <w:t>a valid anti-SLAPP motion — from the defendants’ acts in furtherance of their right of free speech</w:t>
      </w:r>
      <w:r w:rsidR="0070024B">
        <w:t xml:space="preserve"> </w:t>
      </w:r>
      <w:r w:rsidR="003F4F12" w:rsidRPr="003F4F12">
        <w:t>in connection with a public issue.</w:t>
      </w:r>
      <w:r w:rsidR="00C34A00">
        <w:t xml:space="preserve">  </w:t>
      </w:r>
      <w:r w:rsidR="00BF29EB">
        <w:t xml:space="preserve">What we find is </w:t>
      </w:r>
      <w:r w:rsidR="00FE7CD4" w:rsidRPr="00E33DB4">
        <w:t>they do</w:t>
      </w:r>
      <w:r w:rsidR="00FF1014" w:rsidRPr="00E33DB4">
        <w:t xml:space="preserve"> not</w:t>
      </w:r>
      <w:r w:rsidR="00711008" w:rsidRPr="00E33DB4">
        <w:t xml:space="preserve">, </w:t>
      </w:r>
      <w:r w:rsidR="00341FC3" w:rsidRPr="00E33DB4">
        <w:t>aside</w:t>
      </w:r>
      <w:r w:rsidR="00711008" w:rsidRPr="00E33DB4">
        <w:t xml:space="preserve"> from two </w:t>
      </w:r>
      <w:r w:rsidR="00BF29EB">
        <w:t xml:space="preserve">discrete </w:t>
      </w:r>
      <w:r w:rsidR="00711008" w:rsidRPr="00E33DB4">
        <w:t xml:space="preserve">claims asserted </w:t>
      </w:r>
      <w:r w:rsidR="001C107F">
        <w:t xml:space="preserve">against </w:t>
      </w:r>
      <w:r w:rsidR="00AA15DF">
        <w:t>Bloom and his company</w:t>
      </w:r>
      <w:r w:rsidR="00512281">
        <w:t>.</w:t>
      </w:r>
      <w:r w:rsidR="00711008" w:rsidRPr="00E33DB4">
        <w:t xml:space="preserve"> </w:t>
      </w:r>
      <w:r w:rsidR="00512281">
        <w:t xml:space="preserve"> </w:t>
      </w:r>
      <w:r w:rsidR="002F13CF">
        <w:t>T</w:t>
      </w:r>
      <w:r w:rsidR="00F65B44">
        <w:t xml:space="preserve">he relevant provisions of the anti-SLAPP statute procedurally protect statements made “in connection with an issue under consideration or </w:t>
      </w:r>
      <w:r w:rsidR="007A4E44">
        <w:t>review</w:t>
      </w:r>
      <w:r w:rsidR="00F65B44">
        <w:t xml:space="preserve">” by a legislative body (§ 425.16, </w:t>
      </w:r>
      <w:proofErr w:type="spellStart"/>
      <w:r w:rsidR="00F65B44">
        <w:t>subd</w:t>
      </w:r>
      <w:proofErr w:type="spellEnd"/>
      <w:r w:rsidR="00F65B44">
        <w:t>. (e)(2)) or “any other conduct in furtherance of” the constitutional rights of petition or free speech “in connection with a public issue</w:t>
      </w:r>
      <w:r w:rsidR="0087074E">
        <w:t xml:space="preserve"> or an issue of public interest” (§ 425.16, </w:t>
      </w:r>
      <w:proofErr w:type="spellStart"/>
      <w:r w:rsidR="0087074E">
        <w:t>subd</w:t>
      </w:r>
      <w:proofErr w:type="spellEnd"/>
      <w:r w:rsidR="0087074E">
        <w:t xml:space="preserve">. (e)(4)). </w:t>
      </w:r>
      <w:r w:rsidR="00F65B44">
        <w:t xml:space="preserve"> </w:t>
      </w:r>
    </w:p>
    <w:p w14:paraId="05C96BCB" w14:textId="77777777" w:rsidR="005C660A" w:rsidRPr="00E33DB4" w:rsidRDefault="006666DD" w:rsidP="007A4E44">
      <w:pPr>
        <w:ind w:firstLine="720"/>
      </w:pPr>
      <w:r>
        <w:t>The</w:t>
      </w:r>
      <w:r w:rsidR="007A4E44">
        <w:t xml:space="preserve"> City Council </w:t>
      </w:r>
      <w:r>
        <w:t xml:space="preserve">indeed </w:t>
      </w:r>
      <w:r w:rsidR="00634B6F" w:rsidRPr="00E33DB4">
        <w:t>reviewed</w:t>
      </w:r>
      <w:r w:rsidR="0040003A" w:rsidRPr="00E33DB4">
        <w:t xml:space="preserve"> whether </w:t>
      </w:r>
      <w:r w:rsidR="00B02527">
        <w:t xml:space="preserve">to renew </w:t>
      </w:r>
      <w:r w:rsidR="0040003A" w:rsidRPr="00E33DB4">
        <w:t>plaintiff</w:t>
      </w:r>
      <w:r w:rsidR="003E43F5" w:rsidRPr="00E33DB4">
        <w:t>s</w:t>
      </w:r>
      <w:r w:rsidR="0040003A" w:rsidRPr="00E33DB4">
        <w:t>’</w:t>
      </w:r>
      <w:r w:rsidR="003E43F5" w:rsidRPr="00E33DB4">
        <w:t xml:space="preserve"> contract with the City</w:t>
      </w:r>
      <w:r w:rsidR="00634B6F" w:rsidRPr="00E33DB4">
        <w:t xml:space="preserve">.  </w:t>
      </w:r>
      <w:r w:rsidR="00FF7EEB">
        <w:t xml:space="preserve">But the anti-SLAPP statute </w:t>
      </w:r>
      <w:r w:rsidR="009E1744">
        <w:t xml:space="preserve">protects defendants’ statements made “in connection with” that issue only where such statements form the basis of plaintiffs’ claims — that is, where the statements themselves </w:t>
      </w:r>
      <w:r w:rsidR="007C3E84">
        <w:t>constitute</w:t>
      </w:r>
      <w:r w:rsidR="009E1744">
        <w:t xml:space="preserve"> the wrongs </w:t>
      </w:r>
      <w:r w:rsidR="00B2497C">
        <w:t>giving rise to the complaint</w:t>
      </w:r>
      <w:r w:rsidR="009E1744">
        <w:t>.</w:t>
      </w:r>
      <w:r w:rsidR="00634B6F" w:rsidRPr="00E33DB4">
        <w:t xml:space="preserve">  </w:t>
      </w:r>
      <w:r w:rsidR="00634B6F" w:rsidRPr="003B545B">
        <w:t xml:space="preserve">In this case, </w:t>
      </w:r>
      <w:r w:rsidR="00F9348B" w:rsidRPr="003B545B">
        <w:t xml:space="preserve">the </w:t>
      </w:r>
      <w:r w:rsidR="008D18CA" w:rsidRPr="003B545B">
        <w:t xml:space="preserve">statements on which plaintiffs based their claims </w:t>
      </w:r>
      <w:r w:rsidR="00F27029">
        <w:t xml:space="preserve">against the City defendants </w:t>
      </w:r>
      <w:r w:rsidR="00C86722" w:rsidRPr="003B545B">
        <w:t>were either (</w:t>
      </w:r>
      <w:r w:rsidR="00D54629" w:rsidRPr="003B545B">
        <w:t>1)</w:t>
      </w:r>
      <w:r w:rsidR="00F27029" w:rsidRPr="003B545B">
        <w:t> </w:t>
      </w:r>
      <w:r w:rsidR="00D54629" w:rsidRPr="003B545B">
        <w:t xml:space="preserve">unrelated to </w:t>
      </w:r>
      <w:r w:rsidR="00634B6F" w:rsidRPr="003B545B">
        <w:t>the</w:t>
      </w:r>
      <w:r w:rsidR="00777FBA" w:rsidRPr="003B545B">
        <w:t xml:space="preserve"> issue</w:t>
      </w:r>
      <w:r w:rsidR="00634B6F" w:rsidRPr="003B545B">
        <w:t xml:space="preserve"> considered by the City Council</w:t>
      </w:r>
      <w:r w:rsidR="00C86722" w:rsidRPr="003B545B">
        <w:t>, or (2)</w:t>
      </w:r>
      <w:r w:rsidR="00F27029" w:rsidRPr="003B545B">
        <w:t> </w:t>
      </w:r>
      <w:r w:rsidR="00C86722" w:rsidRPr="003B545B">
        <w:t xml:space="preserve">made long before the issue came “under consideration or review” by </w:t>
      </w:r>
      <w:r w:rsidR="00D54629" w:rsidRPr="003B545B">
        <w:t xml:space="preserve">the City Council.  </w:t>
      </w:r>
      <w:r w:rsidR="00C86722" w:rsidRPr="003B545B">
        <w:t>(§</w:t>
      </w:r>
      <w:r w:rsidR="00B8751C" w:rsidRPr="003B545B">
        <w:t> </w:t>
      </w:r>
      <w:r w:rsidR="00C86722" w:rsidRPr="003B545B">
        <w:t xml:space="preserve">425.16, </w:t>
      </w:r>
      <w:proofErr w:type="spellStart"/>
      <w:r w:rsidR="00C86722" w:rsidRPr="003B545B">
        <w:t>subd</w:t>
      </w:r>
      <w:proofErr w:type="spellEnd"/>
      <w:r w:rsidR="00C86722" w:rsidRPr="003B545B">
        <w:t xml:space="preserve">. (e)(2).)  Under such circumstances, we hold that </w:t>
      </w:r>
      <w:r w:rsidR="00A8146F" w:rsidRPr="003B545B">
        <w:lastRenderedPageBreak/>
        <w:t>these</w:t>
      </w:r>
      <w:r w:rsidR="00711008" w:rsidRPr="003B545B">
        <w:t xml:space="preserve"> </w:t>
      </w:r>
      <w:r w:rsidR="00C86722" w:rsidRPr="003B545B">
        <w:t xml:space="preserve">statements do not satisfy the requirements of </w:t>
      </w:r>
      <w:r w:rsidR="00474A73" w:rsidRPr="003B545B">
        <w:t>section 425.16</w:t>
      </w:r>
      <w:r w:rsidR="00474A73">
        <w:t xml:space="preserve">, </w:t>
      </w:r>
      <w:r w:rsidR="00C86722" w:rsidRPr="003B545B">
        <w:t>subdivision (e)(2)</w:t>
      </w:r>
      <w:r w:rsidR="005233CC" w:rsidRPr="003B545B">
        <w:t xml:space="preserve">.  </w:t>
      </w:r>
      <w:r w:rsidR="00711008" w:rsidRPr="003B545B">
        <w:t xml:space="preserve">In contrast, the statements attributed to the </w:t>
      </w:r>
      <w:r w:rsidR="00337DDA" w:rsidRPr="003B545B">
        <w:t xml:space="preserve">City’s </w:t>
      </w:r>
      <w:r w:rsidR="00711008" w:rsidRPr="003B545B">
        <w:t>codefendants</w:t>
      </w:r>
      <w:r w:rsidR="00C21E36">
        <w:t xml:space="preserve"> — </w:t>
      </w:r>
      <w:r w:rsidR="00AA15DF">
        <w:t>Bloom and his company</w:t>
      </w:r>
      <w:r w:rsidR="00C21E36">
        <w:t xml:space="preserve"> —</w:t>
      </w:r>
      <w:r w:rsidR="00341FC3" w:rsidRPr="003B545B">
        <w:t xml:space="preserve"> are at the heart of</w:t>
      </w:r>
      <w:r w:rsidR="00711008" w:rsidRPr="003B545B">
        <w:t xml:space="preserve"> </w:t>
      </w:r>
      <w:r w:rsidR="00FD51CE" w:rsidRPr="003B545B">
        <w:t>the</w:t>
      </w:r>
      <w:r w:rsidR="00711008" w:rsidRPr="003B545B">
        <w:t xml:space="preserve"> intentional interference claims asserted against </w:t>
      </w:r>
      <w:r w:rsidR="00341FC3" w:rsidRPr="003B545B">
        <w:t>these codefendants.</w:t>
      </w:r>
      <w:r w:rsidR="00341FC3" w:rsidRPr="00E33DB4">
        <w:t xml:space="preserve">  </w:t>
      </w:r>
      <w:r w:rsidR="00B8751C">
        <w:t>These</w:t>
      </w:r>
      <w:r w:rsidR="00341FC3" w:rsidRPr="00E33DB4">
        <w:t xml:space="preserve"> claims </w:t>
      </w:r>
      <w:r w:rsidR="00B8751C">
        <w:t xml:space="preserve">do </w:t>
      </w:r>
      <w:r w:rsidR="00341FC3" w:rsidRPr="00E33DB4">
        <w:t xml:space="preserve">fall </w:t>
      </w:r>
      <w:r w:rsidR="00711008" w:rsidRPr="00E33DB4">
        <w:t>within the ambit of subdivision</w:t>
      </w:r>
      <w:r w:rsidR="00341FC3" w:rsidRPr="00E33DB4">
        <w:t xml:space="preserve"> (e)(2</w:t>
      </w:r>
      <w:r w:rsidR="009E1744">
        <w:t xml:space="preserve">) because they </w:t>
      </w:r>
      <w:r w:rsidR="00C21E36">
        <w:t xml:space="preserve">rely on statements </w:t>
      </w:r>
      <w:r w:rsidR="00AA15DF">
        <w:t>Bloom</w:t>
      </w:r>
      <w:r w:rsidR="00C21E36">
        <w:t xml:space="preserve"> made “in connection with” the issue the City Council reviewed.</w:t>
      </w:r>
    </w:p>
    <w:p w14:paraId="1B3906D7" w14:textId="77777777" w:rsidR="00E44103" w:rsidRPr="00E33DB4" w:rsidRDefault="00240BBE" w:rsidP="00E33DB4">
      <w:pPr>
        <w:ind w:firstLine="720"/>
      </w:pPr>
      <w:r w:rsidRPr="00E33DB4">
        <w:t>We</w:t>
      </w:r>
      <w:r w:rsidR="00341FC3" w:rsidRPr="00E33DB4">
        <w:t xml:space="preserve"> also</w:t>
      </w:r>
      <w:r w:rsidRPr="00E33DB4">
        <w:t xml:space="preserve"> </w:t>
      </w:r>
      <w:r w:rsidR="00213E6B" w:rsidRPr="00E33DB4">
        <w:t xml:space="preserve">find </w:t>
      </w:r>
      <w:r w:rsidRPr="00E33DB4">
        <w:t>that</w:t>
      </w:r>
      <w:r w:rsidR="002020A1">
        <w:t xml:space="preserve"> </w:t>
      </w:r>
      <w:r w:rsidR="00754959">
        <w:t xml:space="preserve">none of </w:t>
      </w:r>
      <w:r w:rsidR="00711008" w:rsidRPr="00E33DB4">
        <w:t xml:space="preserve">defendants’ </w:t>
      </w:r>
      <w:r w:rsidRPr="00E33DB4">
        <w:t>statements</w:t>
      </w:r>
      <w:r w:rsidR="00B2497C">
        <w:t xml:space="preserve"> are within the scope of subdivision (e)(4) of the anti-SLAPP statute</w:t>
      </w:r>
      <w:r w:rsidR="00C21E36">
        <w:t xml:space="preserve">, save for those </w:t>
      </w:r>
      <w:r w:rsidR="00B2497C">
        <w:t xml:space="preserve">statements </w:t>
      </w:r>
      <w:r w:rsidR="00C21E36">
        <w:t xml:space="preserve">underlying the claims against </w:t>
      </w:r>
      <w:r w:rsidR="00AA15DF">
        <w:t>Bloom</w:t>
      </w:r>
      <w:r w:rsidRPr="00E33DB4">
        <w:t xml:space="preserve">.  </w:t>
      </w:r>
      <w:r w:rsidR="008E67CC" w:rsidRPr="00E33DB4">
        <w:t>T</w:t>
      </w:r>
      <w:r w:rsidR="00FE7CD4" w:rsidRPr="00E33DB4">
        <w:t xml:space="preserve">he parties </w:t>
      </w:r>
      <w:r w:rsidR="0035739D" w:rsidRPr="00E33DB4">
        <w:t>in this case</w:t>
      </w:r>
      <w:r w:rsidR="005871C5" w:rsidRPr="00E33DB4">
        <w:t xml:space="preserve"> </w:t>
      </w:r>
      <w:r w:rsidR="0040612E" w:rsidRPr="00E33DB4">
        <w:t>agree that</w:t>
      </w:r>
      <w:r w:rsidR="00FE7CD4" w:rsidRPr="00E33DB4">
        <w:t xml:space="preserve"> the building </w:t>
      </w:r>
      <w:r w:rsidR="00501EF3" w:rsidRPr="00E33DB4">
        <w:t xml:space="preserve">of a sports stadium in </w:t>
      </w:r>
      <w:r w:rsidR="001A7269" w:rsidRPr="00E33DB4">
        <w:t>the</w:t>
      </w:r>
      <w:r w:rsidR="00501EF3" w:rsidRPr="00E33DB4">
        <w:t xml:space="preserve"> City of Carson </w:t>
      </w:r>
      <w:r w:rsidR="00A820CA" w:rsidRPr="00E33DB4">
        <w:t xml:space="preserve">to </w:t>
      </w:r>
      <w:r w:rsidR="00FE7CD4" w:rsidRPr="00E33DB4">
        <w:t xml:space="preserve">host </w:t>
      </w:r>
      <w:r w:rsidR="005F3816">
        <w:t>an NFL</w:t>
      </w:r>
      <w:r w:rsidR="00FE7CD4" w:rsidRPr="00E33DB4">
        <w:t xml:space="preserve"> team</w:t>
      </w:r>
      <w:r w:rsidR="008E67CC" w:rsidRPr="00E33DB4">
        <w:t xml:space="preserve"> </w:t>
      </w:r>
      <w:r w:rsidR="006B7147" w:rsidRPr="00E33DB4">
        <w:t xml:space="preserve">is </w:t>
      </w:r>
      <w:r w:rsidR="00007572" w:rsidRPr="00E33DB4">
        <w:t>— given the wide-ranging impact that a project of such scale could have on the City —</w:t>
      </w:r>
      <w:r w:rsidR="006B7147" w:rsidRPr="00E33DB4">
        <w:t xml:space="preserve"> </w:t>
      </w:r>
      <w:r w:rsidR="008E67CC" w:rsidRPr="00E33DB4">
        <w:t>an issue of public interest</w:t>
      </w:r>
      <w:r w:rsidR="00FE7CD4" w:rsidRPr="00E33DB4">
        <w:t>.</w:t>
      </w:r>
      <w:r w:rsidR="008A4A38" w:rsidRPr="00E33DB4">
        <w:t xml:space="preserve">  </w:t>
      </w:r>
      <w:r w:rsidR="00E3672E" w:rsidRPr="00E33DB4">
        <w:t>Yet</w:t>
      </w:r>
      <w:r w:rsidR="005F59ED">
        <w:t>, except as to two claims,</w:t>
      </w:r>
      <w:r w:rsidR="00E3672E" w:rsidRPr="00E33DB4">
        <w:t xml:space="preserve"> the conduct </w:t>
      </w:r>
      <w:r w:rsidR="00406D1E" w:rsidRPr="00E33DB4">
        <w:t>providing the basis for</w:t>
      </w:r>
      <w:r w:rsidR="00E3672E" w:rsidRPr="00E33DB4">
        <w:t xml:space="preserve"> plaintiffs’</w:t>
      </w:r>
      <w:r w:rsidR="005C0B0F" w:rsidRPr="00E33DB4">
        <w:t xml:space="preserve"> claim</w:t>
      </w:r>
      <w:r w:rsidR="005565B3" w:rsidRPr="00E33DB4">
        <w:t>s</w:t>
      </w:r>
      <w:r w:rsidR="005C0B0F" w:rsidRPr="00E33DB4">
        <w:t xml:space="preserve"> </w:t>
      </w:r>
      <w:r w:rsidR="00D335F4">
        <w:t>has only the slightest bearing</w:t>
      </w:r>
      <w:r w:rsidR="004A116F" w:rsidRPr="00E33DB4">
        <w:t xml:space="preserve"> on </w:t>
      </w:r>
      <w:proofErr w:type="gramStart"/>
      <w:r w:rsidR="004A116F" w:rsidRPr="00E33DB4">
        <w:t>whether or not</w:t>
      </w:r>
      <w:proofErr w:type="gramEnd"/>
      <w:r w:rsidR="004A116F" w:rsidRPr="00E33DB4">
        <w:t>, or how, the stadium should be built, nor does it concern any comparable matter of public interest</w:t>
      </w:r>
      <w:r w:rsidR="00E3672E" w:rsidRPr="00E33DB4">
        <w:t>.</w:t>
      </w:r>
      <w:r w:rsidR="00A749FD" w:rsidRPr="00E33DB4">
        <w:t xml:space="preserve">  Instead,</w:t>
      </w:r>
      <w:r w:rsidR="005C0B0F" w:rsidRPr="00E33DB4">
        <w:t xml:space="preserve"> </w:t>
      </w:r>
      <w:r w:rsidR="005565B3" w:rsidRPr="00E33DB4">
        <w:t>the conversations underlying plaintiffs’ action</w:t>
      </w:r>
      <w:r w:rsidR="005C0B0F" w:rsidRPr="00E33DB4">
        <w:t xml:space="preserve"> relate</w:t>
      </w:r>
      <w:r w:rsidR="00A749FD" w:rsidRPr="00E33DB4">
        <w:t xml:space="preserve"> only to </w:t>
      </w:r>
      <w:r w:rsidR="005565B3" w:rsidRPr="00E33DB4">
        <w:t xml:space="preserve">who should </w:t>
      </w:r>
      <w:r w:rsidR="004A116F" w:rsidRPr="00E33DB4">
        <w:t xml:space="preserve">be responsible for the ordinary functions associated with representing </w:t>
      </w:r>
      <w:r w:rsidR="005565B3" w:rsidRPr="00E33DB4">
        <w:t xml:space="preserve">the City in the negotiations with the NFL — plaintiffs or </w:t>
      </w:r>
      <w:r w:rsidR="0072779F">
        <w:t xml:space="preserve">the </w:t>
      </w:r>
      <w:r w:rsidR="005565B3" w:rsidRPr="00E33DB4">
        <w:t xml:space="preserve">other entities named as the City’s codefendants.  </w:t>
      </w:r>
      <w:r w:rsidR="00CD66A0" w:rsidRPr="00E33DB4">
        <w:t>Since</w:t>
      </w:r>
      <w:r w:rsidR="005565B3" w:rsidRPr="00E33DB4">
        <w:t xml:space="preserve"> there is no evidence </w:t>
      </w:r>
      <w:r w:rsidR="00B71A90" w:rsidRPr="00E33DB4">
        <w:t xml:space="preserve">or persuasive argument </w:t>
      </w:r>
      <w:r w:rsidR="005565B3" w:rsidRPr="00E33DB4">
        <w:t xml:space="preserve">that </w:t>
      </w:r>
      <w:r w:rsidR="00DC2CF5" w:rsidRPr="00E33DB4">
        <w:t>the identity of the City’s agents</w:t>
      </w:r>
      <w:r w:rsidR="00B71A90" w:rsidRPr="00E33DB4">
        <w:t xml:space="preserve"> </w:t>
      </w:r>
      <w:r w:rsidR="005565B3" w:rsidRPr="00E33DB4">
        <w:t xml:space="preserve">was a matter of public </w:t>
      </w:r>
      <w:r w:rsidR="005F59ED">
        <w:t>interest</w:t>
      </w:r>
      <w:r w:rsidR="00C17A86" w:rsidRPr="00E33DB4">
        <w:t xml:space="preserve"> in this case</w:t>
      </w:r>
      <w:r w:rsidR="003B2384" w:rsidRPr="00E33DB4">
        <w:t>, defendants’ conduct does not qualify as protected activity</w:t>
      </w:r>
      <w:r w:rsidR="005C31C9" w:rsidRPr="00E33DB4">
        <w:t xml:space="preserve"> under section 425.16, subdivision (e)(4)</w:t>
      </w:r>
      <w:r w:rsidR="005565B3" w:rsidRPr="00E33DB4">
        <w:t>.</w:t>
      </w:r>
    </w:p>
    <w:p w14:paraId="75C83381" w14:textId="77777777" w:rsidR="005B71A5" w:rsidRPr="00E33DB4" w:rsidRDefault="00DD32E8" w:rsidP="00E33DB4">
      <w:pPr>
        <w:ind w:firstLine="720"/>
      </w:pPr>
      <w:r w:rsidRPr="00E33DB4">
        <w:t xml:space="preserve">Because we find </w:t>
      </w:r>
      <w:r w:rsidR="00641424" w:rsidRPr="00E33DB4">
        <w:t>some of</w:t>
      </w:r>
      <w:r w:rsidR="004E03F9" w:rsidRPr="00E33DB4">
        <w:t xml:space="preserve"> </w:t>
      </w:r>
      <w:r w:rsidR="00AA11BE" w:rsidRPr="00E33DB4">
        <w:t xml:space="preserve">plaintiffs’ causes of actions </w:t>
      </w:r>
      <w:r w:rsidR="00916368" w:rsidRPr="00E33DB4">
        <w:t>are</w:t>
      </w:r>
      <w:r w:rsidR="00AA11BE" w:rsidRPr="00E33DB4">
        <w:t xml:space="preserve"> based on </w:t>
      </w:r>
      <w:r w:rsidRPr="00E33DB4">
        <w:t xml:space="preserve">protected </w:t>
      </w:r>
      <w:r w:rsidR="00527956" w:rsidRPr="00E33DB4">
        <w:t xml:space="preserve">activities </w:t>
      </w:r>
      <w:r w:rsidRPr="00E33DB4">
        <w:t>under subdivision (e)(2) and (e)(4)</w:t>
      </w:r>
      <w:r w:rsidR="003821E1" w:rsidRPr="00E33DB4">
        <w:t xml:space="preserve"> of section 415.26</w:t>
      </w:r>
      <w:r w:rsidR="004E03F9" w:rsidRPr="00E33DB4">
        <w:t xml:space="preserve"> </w:t>
      </w:r>
      <w:r w:rsidR="00641424" w:rsidRPr="00E33DB4">
        <w:t xml:space="preserve">but </w:t>
      </w:r>
      <w:r w:rsidR="006C0762" w:rsidRPr="00E33DB4">
        <w:t>others</w:t>
      </w:r>
      <w:r w:rsidR="00194A05" w:rsidRPr="00E33DB4">
        <w:t xml:space="preserve"> </w:t>
      </w:r>
      <w:r w:rsidR="00641424" w:rsidRPr="00E33DB4">
        <w:t>are</w:t>
      </w:r>
      <w:r w:rsidR="0072779F">
        <w:t xml:space="preserve"> not</w:t>
      </w:r>
      <w:r w:rsidR="00C37615" w:rsidRPr="00E33DB4">
        <w:t xml:space="preserve">, </w:t>
      </w:r>
      <w:r w:rsidRPr="00E33DB4">
        <w:t>w</w:t>
      </w:r>
      <w:r w:rsidR="00EC5822" w:rsidRPr="00E33DB4">
        <w:t xml:space="preserve">e </w:t>
      </w:r>
      <w:r w:rsidR="004E2188" w:rsidRPr="00E33DB4">
        <w:t xml:space="preserve">affirm </w:t>
      </w:r>
      <w:r w:rsidR="00BD307E" w:rsidRPr="00E33DB4">
        <w:t xml:space="preserve">in part and reverse </w:t>
      </w:r>
      <w:r w:rsidR="00E56B5D">
        <w:t xml:space="preserve">and remand </w:t>
      </w:r>
      <w:r w:rsidR="00BD307E" w:rsidRPr="00E33DB4">
        <w:t xml:space="preserve">in part </w:t>
      </w:r>
      <w:r w:rsidR="007E6B0C" w:rsidRPr="00E33DB4">
        <w:t>the appellate court’</w:t>
      </w:r>
      <w:r w:rsidR="00835C1C" w:rsidRPr="00E33DB4">
        <w:t xml:space="preserve">s </w:t>
      </w:r>
      <w:r w:rsidR="00EC5822" w:rsidRPr="00E33DB4">
        <w:t>judgment</w:t>
      </w:r>
      <w:r w:rsidR="00E44103" w:rsidRPr="00E33DB4">
        <w:t>.</w:t>
      </w:r>
    </w:p>
    <w:p w14:paraId="1C6CCE0E" w14:textId="77777777" w:rsidR="001B4A34" w:rsidRPr="007A5ADD" w:rsidRDefault="001B4A34" w:rsidP="007A5ADD">
      <w:pPr>
        <w:pStyle w:val="Heading1"/>
        <w:numPr>
          <w:ilvl w:val="0"/>
          <w:numId w:val="1"/>
        </w:numPr>
        <w:ind w:left="0" w:firstLine="0"/>
      </w:pPr>
      <w:bookmarkStart w:id="3" w:name="mainstory"/>
      <w:bookmarkEnd w:id="3"/>
    </w:p>
    <w:p w14:paraId="1529C209" w14:textId="77777777" w:rsidR="00093434" w:rsidRPr="00E33DB4" w:rsidRDefault="00093434" w:rsidP="00E33DB4">
      <w:pPr>
        <w:ind w:firstLine="720"/>
      </w:pPr>
      <w:r w:rsidRPr="00E33DB4">
        <w:t>The plaintiffs in this case are R</w:t>
      </w:r>
      <w:r w:rsidR="00CE7C2C" w:rsidRPr="00E33DB4">
        <w:t xml:space="preserve">ichard Rand and his companies, </w:t>
      </w:r>
      <w:r w:rsidRPr="00E33DB4">
        <w:t>Rand Resources</w:t>
      </w:r>
      <w:r w:rsidR="00AC5A92" w:rsidRPr="00E33DB4">
        <w:t xml:space="preserve"> </w:t>
      </w:r>
      <w:r w:rsidR="008C01EB" w:rsidRPr="00E33DB4">
        <w:t>and Carson El Camino, LLC (collectively, Rand Resources</w:t>
      </w:r>
      <w:r w:rsidR="0076748E" w:rsidRPr="00E33DB4">
        <w:t xml:space="preserve"> or p</w:t>
      </w:r>
      <w:r w:rsidR="00563262" w:rsidRPr="00E33DB4">
        <w:t>laintiffs</w:t>
      </w:r>
      <w:r w:rsidR="008C01EB" w:rsidRPr="00E33DB4">
        <w:t>)</w:t>
      </w:r>
      <w:r w:rsidRPr="00E33DB4">
        <w:t>.  T</w:t>
      </w:r>
      <w:r w:rsidR="0097701D" w:rsidRPr="00E33DB4">
        <w:t>he def</w:t>
      </w:r>
      <w:r w:rsidR="006D33FF" w:rsidRPr="00E33DB4">
        <w:t xml:space="preserve">endants are the City of Carson </w:t>
      </w:r>
      <w:r w:rsidR="0097701D" w:rsidRPr="00E33DB4">
        <w:t>and its mayor, James Dear</w:t>
      </w:r>
      <w:r w:rsidR="007727DD">
        <w:t xml:space="preserve"> (collectively, the City defendants)</w:t>
      </w:r>
      <w:r w:rsidR="00BE4E75" w:rsidRPr="00E33DB4">
        <w:t xml:space="preserve">.  Also named as defendants are Leonard Bloom </w:t>
      </w:r>
      <w:r w:rsidR="0097701D" w:rsidRPr="00E33DB4">
        <w:t>and Bloom’s company</w:t>
      </w:r>
      <w:r w:rsidR="00563262" w:rsidRPr="00E33DB4">
        <w:t>,</w:t>
      </w:r>
      <w:r w:rsidR="0097701D" w:rsidRPr="00E33DB4">
        <w:t xml:space="preserve"> U.S. Capital, LLC</w:t>
      </w:r>
      <w:r w:rsidR="00BE4E75" w:rsidRPr="00E33DB4">
        <w:t xml:space="preserve"> (collectively, the Bloom defendants)</w:t>
      </w:r>
      <w:r w:rsidRPr="00E33DB4">
        <w:t xml:space="preserve">.  </w:t>
      </w:r>
      <w:r w:rsidR="009922C5">
        <w:t>According to the complaint, i</w:t>
      </w:r>
      <w:r w:rsidRPr="00E33DB4">
        <w:t xml:space="preserve">n 2012, </w:t>
      </w:r>
      <w:r w:rsidR="00C52E72" w:rsidRPr="00E33DB4">
        <w:t>Rand Resources</w:t>
      </w:r>
      <w:r w:rsidRPr="00E33DB4">
        <w:t xml:space="preserve"> and the City entered into a contract in which Rand </w:t>
      </w:r>
      <w:r w:rsidR="00C52E72" w:rsidRPr="00E33DB4">
        <w:t xml:space="preserve">Resources was </w:t>
      </w:r>
      <w:r w:rsidRPr="00E33DB4">
        <w:t xml:space="preserve">to act as the City’s exclusive agent </w:t>
      </w:r>
      <w:r w:rsidR="00BE4E75" w:rsidRPr="00E33DB4">
        <w:t xml:space="preserve">in </w:t>
      </w:r>
      <w:r w:rsidR="00010504" w:rsidRPr="00E33DB4">
        <w:t>ne</w:t>
      </w:r>
      <w:r w:rsidR="007329B3" w:rsidRPr="00E33DB4">
        <w:t xml:space="preserve">gotiating with the NFL to build “a new, state-of-the-art sports and entertainment complex within the City” that would </w:t>
      </w:r>
      <w:r w:rsidR="0013737A" w:rsidRPr="00E33DB4">
        <w:t>serve</w:t>
      </w:r>
      <w:r w:rsidR="007329B3" w:rsidRPr="00E33DB4">
        <w:t xml:space="preserve"> as the home stadium for an NFL team.  </w:t>
      </w:r>
      <w:r w:rsidRPr="00E33DB4">
        <w:t xml:space="preserve">All parties agree this development would </w:t>
      </w:r>
      <w:r w:rsidR="002B5790" w:rsidRPr="00E33DB4">
        <w:t xml:space="preserve">have transformed </w:t>
      </w:r>
      <w:r w:rsidRPr="00E33DB4">
        <w:t>the City</w:t>
      </w:r>
      <w:r w:rsidR="00E143F2">
        <w:t xml:space="preserve"> and was a matter of public interest</w:t>
      </w:r>
      <w:r w:rsidRPr="00E33DB4">
        <w:t>.</w:t>
      </w:r>
      <w:r w:rsidR="005F59ED">
        <w:t xml:space="preserve">  </w:t>
      </w:r>
    </w:p>
    <w:p w14:paraId="7E0589AA" w14:textId="77777777" w:rsidR="00093434" w:rsidRPr="00E33DB4" w:rsidRDefault="008276B8" w:rsidP="00E33DB4">
      <w:pPr>
        <w:ind w:firstLine="720"/>
      </w:pPr>
      <w:r>
        <w:t>The</w:t>
      </w:r>
      <w:r w:rsidRPr="00E33DB4">
        <w:t xml:space="preserve"> </w:t>
      </w:r>
      <w:r w:rsidR="002B5790" w:rsidRPr="00E33DB4">
        <w:t xml:space="preserve">agreement </w:t>
      </w:r>
      <w:r w:rsidR="00D9760C" w:rsidRPr="00E33DB4">
        <w:t>did not begin under the most auspicious circumstances</w:t>
      </w:r>
      <w:r w:rsidR="00093434" w:rsidRPr="00E33DB4">
        <w:t xml:space="preserve">.  </w:t>
      </w:r>
      <w:r w:rsidR="002420D8" w:rsidRPr="00E33DB4">
        <w:t xml:space="preserve">One of the City’s earlier </w:t>
      </w:r>
      <w:r w:rsidR="00967A1A" w:rsidRPr="00E33DB4">
        <w:t>mayors had attempted to extort</w:t>
      </w:r>
      <w:r w:rsidR="002420D8" w:rsidRPr="00E33DB4">
        <w:t xml:space="preserve"> a bribe from Rand</w:t>
      </w:r>
      <w:r w:rsidR="000E1751" w:rsidRPr="00E33DB4">
        <w:t>, and Rand,</w:t>
      </w:r>
      <w:r w:rsidR="006D33FF" w:rsidRPr="00E33DB4">
        <w:t xml:space="preserve"> </w:t>
      </w:r>
      <w:r w:rsidR="000E1751" w:rsidRPr="00E33DB4">
        <w:t>i</w:t>
      </w:r>
      <w:r w:rsidR="001654DC" w:rsidRPr="00E33DB4">
        <w:t xml:space="preserve">nstead of paying, </w:t>
      </w:r>
      <w:r w:rsidR="002420D8" w:rsidRPr="00E33DB4">
        <w:t>sue</w:t>
      </w:r>
      <w:r w:rsidR="00F36FCB" w:rsidRPr="00E33DB4">
        <w:t>d</w:t>
      </w:r>
      <w:r w:rsidR="00443CA7" w:rsidRPr="00E33DB4">
        <w:t xml:space="preserve"> </w:t>
      </w:r>
      <w:r w:rsidR="00E25D1E" w:rsidRPr="00E33DB4">
        <w:t>th</w:t>
      </w:r>
      <w:r w:rsidR="001319D8" w:rsidRPr="00E33DB4">
        <w:t xml:space="preserve">e mayor and the City.  </w:t>
      </w:r>
      <w:r w:rsidR="000E1751" w:rsidRPr="00E33DB4">
        <w:t xml:space="preserve">Rand won.  </w:t>
      </w:r>
      <w:r w:rsidR="00093434" w:rsidRPr="00E33DB4">
        <w:t xml:space="preserve">While the case was on appeal, </w:t>
      </w:r>
      <w:r w:rsidR="00402887" w:rsidRPr="00E33DB4">
        <w:t>the C</w:t>
      </w:r>
      <w:r w:rsidR="00563262" w:rsidRPr="00E33DB4">
        <w:t xml:space="preserve">ity </w:t>
      </w:r>
      <w:r w:rsidR="00402887" w:rsidRPr="00E33DB4">
        <w:t xml:space="preserve">and Rand Resources </w:t>
      </w:r>
      <w:r w:rsidR="00093434" w:rsidRPr="00E33DB4">
        <w:t>entered into an agreement</w:t>
      </w:r>
      <w:r w:rsidR="00563262" w:rsidRPr="00E33DB4">
        <w:t xml:space="preserve">, </w:t>
      </w:r>
      <w:r w:rsidR="00093434" w:rsidRPr="00E33DB4">
        <w:t>the Exclusive Negotiat</w:t>
      </w:r>
      <w:r w:rsidR="00563262" w:rsidRPr="00E33DB4">
        <w:t>ing Agreement</w:t>
      </w:r>
      <w:r w:rsidR="00D574C3" w:rsidRPr="00E33DB4">
        <w:t xml:space="preserve"> (ENA), </w:t>
      </w:r>
      <w:r w:rsidR="00E901B5" w:rsidRPr="00E33DB4">
        <w:t xml:space="preserve">which </w:t>
      </w:r>
      <w:r w:rsidR="00D20FE7" w:rsidRPr="00E33DB4">
        <w:t>govern</w:t>
      </w:r>
      <w:r w:rsidR="00E901B5" w:rsidRPr="00E33DB4">
        <w:t>ed</w:t>
      </w:r>
      <w:r w:rsidR="00833A20" w:rsidRPr="00E33DB4">
        <w:t>, inter alia,</w:t>
      </w:r>
      <w:r w:rsidR="00093434" w:rsidRPr="00E33DB4">
        <w:t xml:space="preserve"> development of Rand</w:t>
      </w:r>
      <w:r w:rsidR="00ED763A" w:rsidRPr="00E33DB4">
        <w:t xml:space="preserve"> Resources’</w:t>
      </w:r>
      <w:r w:rsidR="00093434" w:rsidRPr="00E33DB4">
        <w:t xml:space="preserve"> own land within the parcel that the City was hoping to turn into a sports stadium.  Rand </w:t>
      </w:r>
      <w:r w:rsidR="00463A2B" w:rsidRPr="00E33DB4">
        <w:t xml:space="preserve">Resources </w:t>
      </w:r>
      <w:r w:rsidR="00093434" w:rsidRPr="00E33DB4">
        <w:t>alleges the City extended the ENA multiple times.</w:t>
      </w:r>
    </w:p>
    <w:p w14:paraId="357F3A04" w14:textId="77777777" w:rsidR="00093434" w:rsidRPr="00E33DB4" w:rsidRDefault="00093434" w:rsidP="00E33DB4">
      <w:pPr>
        <w:ind w:firstLine="720"/>
      </w:pPr>
      <w:r w:rsidRPr="00E33DB4">
        <w:t xml:space="preserve">In 2012, Rand </w:t>
      </w:r>
      <w:r w:rsidR="00463A2B" w:rsidRPr="00E33DB4">
        <w:t xml:space="preserve">Resources </w:t>
      </w:r>
      <w:r w:rsidRPr="00E33DB4">
        <w:t xml:space="preserve">and the City entered into a new agreement, the contract underlying the dispute in this case.  Under this agreement, the Exclusive Agency Agreement (EAA), Rand </w:t>
      </w:r>
      <w:r w:rsidR="003D1B2B" w:rsidRPr="00E33DB4">
        <w:t xml:space="preserve">Resources </w:t>
      </w:r>
      <w:r w:rsidRPr="00E33DB4">
        <w:t xml:space="preserve">became the City’s exclusive authorized agent to negotiate with the NFL.  The EAA obligated the City not to </w:t>
      </w:r>
      <w:r w:rsidRPr="00E33DB4">
        <w:lastRenderedPageBreak/>
        <w:t>“engage, authorize or permit any other person or entity whomsoever to represent City, to negotiate on its behalf, or to otherwise act for City” in “coordinating and negotiating with the NFL for the designation and development</w:t>
      </w:r>
      <w:r w:rsidR="003D71C9" w:rsidRPr="00E33DB4">
        <w:t xml:space="preserve"> of an NFL football stadium.”</w:t>
      </w:r>
      <w:r w:rsidR="00B24F71">
        <w:t xml:space="preserve">  </w:t>
      </w:r>
      <w:r w:rsidRPr="00E33DB4">
        <w:t>As part of that exclusivity condition, the City committed that it “shall not itself, through its officials, employees or other agents, contact or attempt to communicate with the NFL or any agent or repre</w:t>
      </w:r>
      <w:r w:rsidR="00802795" w:rsidRPr="00E33DB4">
        <w:t>sentative of the NFL</w:t>
      </w:r>
      <w:r w:rsidR="00037619">
        <w:t>.”</w:t>
      </w:r>
    </w:p>
    <w:p w14:paraId="6CE17DA6" w14:textId="77777777" w:rsidR="00402887" w:rsidRPr="00E33DB4" w:rsidRDefault="00093434" w:rsidP="00E33DB4">
      <w:pPr>
        <w:ind w:firstLine="720"/>
      </w:pPr>
      <w:r w:rsidRPr="00E33DB4">
        <w:t xml:space="preserve">The EAA </w:t>
      </w:r>
      <w:r w:rsidR="00037619">
        <w:t>covered</w:t>
      </w:r>
      <w:r w:rsidRPr="00E33DB4">
        <w:t xml:space="preserve"> a term of two years but included an option for renewal.  The extension provision states</w:t>
      </w:r>
      <w:proofErr w:type="gramStart"/>
      <w:r w:rsidRPr="00E33DB4">
        <w:t>:  “</w:t>
      </w:r>
      <w:proofErr w:type="gramEnd"/>
      <w:r w:rsidRPr="00E33DB4">
        <w:t xml:space="preserve">The term may be extended by mutual written consent of the parties </w:t>
      </w:r>
      <w:r w:rsidR="0018598F" w:rsidRPr="00E33DB4">
        <w:t>for up to two (2) additional periods of one (1) year.</w:t>
      </w:r>
      <w:r w:rsidRPr="00E33DB4">
        <w:t xml:space="preserve">  The City’s City Manager, or designee, may grant such extension upon receipt of an extension request and a report from Agent indicating in specific terms the efforts of Agent to date </w:t>
      </w:r>
      <w:r w:rsidR="00DA3F80" w:rsidRPr="00E33DB4">
        <w:t>and the anticipated steps to be undertaken in the extension period for completion of the applicable planning and negotiation phases of the Project.</w:t>
      </w:r>
      <w:r w:rsidRPr="00E33DB4">
        <w:t xml:space="preserve">  To the extent that such efforts are reasonably determined by the City to be consistent with the requirements of this Agreement, the City shall grant such ex</w:t>
      </w:r>
      <w:r w:rsidR="00402887" w:rsidRPr="00E33DB4">
        <w:t>tension request.</w:t>
      </w:r>
      <w:r w:rsidR="001F5AA4" w:rsidRPr="00E33DB4">
        <w:t xml:space="preserve">  The granting of </w:t>
      </w:r>
      <w:r w:rsidR="00543CC7" w:rsidRPr="00E33DB4">
        <w:t>any extension pursuant to this Section 5 shall be within the sole and unfettered discretion of the City.</w:t>
      </w:r>
      <w:r w:rsidR="00402887" w:rsidRPr="00E33DB4">
        <w:t xml:space="preserve">”  </w:t>
      </w:r>
    </w:p>
    <w:p w14:paraId="219E2D1D" w14:textId="77777777" w:rsidR="00093434" w:rsidRPr="00E33DB4" w:rsidRDefault="00B24F71" w:rsidP="00E33DB4">
      <w:pPr>
        <w:ind w:firstLine="720"/>
      </w:pPr>
      <w:r>
        <w:t xml:space="preserve">Plaintiffs allege </w:t>
      </w:r>
      <w:r w:rsidR="00237DCD">
        <w:t xml:space="preserve">that </w:t>
      </w:r>
      <w:r w:rsidR="00093434" w:rsidRPr="00E33DB4">
        <w:t xml:space="preserve">City Attorney Bill </w:t>
      </w:r>
      <w:proofErr w:type="spellStart"/>
      <w:r w:rsidR="00093434" w:rsidRPr="00E33DB4">
        <w:t>Wynder</w:t>
      </w:r>
      <w:proofErr w:type="spellEnd"/>
      <w:r w:rsidR="00093434" w:rsidRPr="00E33DB4">
        <w:t xml:space="preserve"> </w:t>
      </w:r>
      <w:r w:rsidR="00237DCD">
        <w:t xml:space="preserve">nonetheless </w:t>
      </w:r>
      <w:r w:rsidR="00093434" w:rsidRPr="00E33DB4">
        <w:t xml:space="preserve">made certain representations to </w:t>
      </w:r>
      <w:r w:rsidR="003547B9" w:rsidRPr="00E33DB4">
        <w:t>Rand</w:t>
      </w:r>
      <w:r w:rsidR="00717FF7" w:rsidRPr="00E33DB4">
        <w:t xml:space="preserve"> </w:t>
      </w:r>
      <w:r w:rsidR="00093434" w:rsidRPr="00E33DB4">
        <w:t xml:space="preserve">regarding </w:t>
      </w:r>
      <w:r w:rsidR="006269B0" w:rsidRPr="00E33DB4">
        <w:t>extension of</w:t>
      </w:r>
      <w:r w:rsidR="00093434" w:rsidRPr="00E33DB4">
        <w:t xml:space="preserve"> the EAA.  In particular, </w:t>
      </w:r>
      <w:r w:rsidR="00D677C1" w:rsidRPr="00E33DB4">
        <w:t>p</w:t>
      </w:r>
      <w:r w:rsidR="00193266" w:rsidRPr="00E33DB4">
        <w:t>laintiffs assert</w:t>
      </w:r>
      <w:r w:rsidR="00093434" w:rsidRPr="00E33DB4">
        <w:t xml:space="preserve"> that “[</w:t>
      </w:r>
      <w:proofErr w:type="spellStart"/>
      <w:r w:rsidR="00093434" w:rsidRPr="00E33DB4">
        <w:t>i</w:t>
      </w:r>
      <w:proofErr w:type="spellEnd"/>
      <w:r w:rsidR="00093434" w:rsidRPr="00E33DB4">
        <w:t xml:space="preserve">]n August 2012 prior to Rand entering into the EAA, City Attorney Bill </w:t>
      </w:r>
      <w:proofErr w:type="spellStart"/>
      <w:r w:rsidR="00093434" w:rsidRPr="00E33DB4">
        <w:t>Wynder</w:t>
      </w:r>
      <w:proofErr w:type="spellEnd"/>
      <w:r w:rsidR="00093434" w:rsidRPr="00E33DB4">
        <w:t xml:space="preserve">, acting on behalf of the City, told Mr. Rand that, even though the EAA only initially provided for a term of two years, the City would extend the EAA for two years beyond that period, just as it had with the ENA, so long as Rand showed reasonable progress with respect to bringing an NFL franchise </w:t>
      </w:r>
      <w:r w:rsidR="00093434" w:rsidRPr="00E33DB4">
        <w:lastRenderedPageBreak/>
        <w:t>to Carson.”</w:t>
      </w:r>
      <w:r w:rsidR="002020A1">
        <w:t xml:space="preserve">  Plaintiffs allege that “[p]</w:t>
      </w:r>
      <w:proofErr w:type="spellStart"/>
      <w:r w:rsidR="002020A1">
        <w:t>ursuant</w:t>
      </w:r>
      <w:proofErr w:type="spellEnd"/>
      <w:r w:rsidR="002020A1">
        <w:t xml:space="preserve"> to the EAA,” they “expended significant time and resources in bringing an NFL team to Carson.”</w:t>
      </w:r>
    </w:p>
    <w:p w14:paraId="4C3562EA" w14:textId="77777777" w:rsidR="00093434" w:rsidRPr="00E33DB4" w:rsidRDefault="002020A1" w:rsidP="00E33DB4">
      <w:pPr>
        <w:ind w:firstLine="720"/>
      </w:pPr>
      <w:r>
        <w:t>What prompted plaintiffs’ lawsuit</w:t>
      </w:r>
      <w:r w:rsidR="00CF4982">
        <w:t xml:space="preserve"> </w:t>
      </w:r>
      <w:r>
        <w:t>was that the</w:t>
      </w:r>
      <w:r w:rsidR="00093434" w:rsidRPr="00E33DB4">
        <w:t xml:space="preserve"> City</w:t>
      </w:r>
      <w:r>
        <w:t xml:space="preserve"> </w:t>
      </w:r>
      <w:r w:rsidR="00093434" w:rsidRPr="00E33DB4">
        <w:t xml:space="preserve">“stopped adhering to the terms of the EAA” </w:t>
      </w:r>
      <w:r w:rsidR="007A5ADD" w:rsidRPr="00E33DB4">
        <w:t>around April 2013</w:t>
      </w:r>
      <w:r w:rsidR="007A5ADD">
        <w:t xml:space="preserve">, </w:t>
      </w:r>
      <w:r w:rsidR="00270C13" w:rsidRPr="00E33DB4">
        <w:t>within the</w:t>
      </w:r>
      <w:r w:rsidR="007A5ADD">
        <w:t xml:space="preserve"> initial term of the agreement and</w:t>
      </w:r>
      <w:r w:rsidR="00F66357" w:rsidRPr="00E33DB4">
        <w:t xml:space="preserve"> </w:t>
      </w:r>
      <w:r w:rsidR="00093434" w:rsidRPr="00E33DB4">
        <w:t xml:space="preserve">shortly after Rand settled his earlier litigation against the City.  </w:t>
      </w:r>
      <w:r w:rsidR="00C22663">
        <w:t>Rand alleges t</w:t>
      </w:r>
      <w:r w:rsidR="00093434" w:rsidRPr="00E33DB4">
        <w:t>he</w:t>
      </w:r>
      <w:r w:rsidR="00717FF7" w:rsidRPr="00E33DB4">
        <w:t xml:space="preserve"> City breached the exclusivity condition </w:t>
      </w:r>
      <w:r w:rsidR="00093434" w:rsidRPr="00E33DB4">
        <w:t>by</w:t>
      </w:r>
      <w:r w:rsidR="005F59ED">
        <w:t>, among other things,</w:t>
      </w:r>
      <w:r w:rsidR="00093434" w:rsidRPr="00E33DB4">
        <w:t xml:space="preserve"> allowing the Bloom defendants to act as its representative </w:t>
      </w:r>
      <w:r w:rsidR="0079731F" w:rsidRPr="00E33DB4">
        <w:t>in negotiating</w:t>
      </w:r>
      <w:r w:rsidR="00093434" w:rsidRPr="00E33DB4">
        <w:t xml:space="preserve"> with the NFL.</w:t>
      </w:r>
    </w:p>
    <w:p w14:paraId="37207962" w14:textId="77777777" w:rsidR="005819EB" w:rsidRPr="00E33DB4" w:rsidRDefault="00A41126" w:rsidP="00E33DB4">
      <w:pPr>
        <w:ind w:firstLine="720"/>
      </w:pPr>
      <w:r>
        <w:t>P</w:t>
      </w:r>
      <w:r w:rsidR="00CA2259" w:rsidRPr="00E33DB4">
        <w:t>laintiffs</w:t>
      </w:r>
      <w:r w:rsidR="006F682A" w:rsidRPr="00E33DB4">
        <w:t xml:space="preserve"> </w:t>
      </w:r>
      <w:r>
        <w:t xml:space="preserve">advance a variety of allegations to support these claims.  </w:t>
      </w:r>
      <w:bookmarkStart w:id="4" w:name="_Hlk531602700"/>
      <w:r w:rsidR="00E520B3" w:rsidRPr="00E33DB4">
        <w:t>The most pertinent</w:t>
      </w:r>
      <w:r w:rsidR="00093434" w:rsidRPr="00E33DB4">
        <w:t xml:space="preserve"> </w:t>
      </w:r>
      <w:r w:rsidR="00C951B0">
        <w:t>ones</w:t>
      </w:r>
      <w:r w:rsidR="0087784A">
        <w:t xml:space="preserve"> </w:t>
      </w:r>
      <w:r w:rsidR="00093434" w:rsidRPr="00E33DB4">
        <w:t>involve speech and so potentially implicate the anti-SLAPP st</w:t>
      </w:r>
      <w:bookmarkStart w:id="5" w:name="_Hlk514159060"/>
      <w:r w:rsidR="009A0E48" w:rsidRPr="00E33DB4">
        <w:t>atute</w:t>
      </w:r>
      <w:r w:rsidR="00B51536">
        <w:t xml:space="preserve">: </w:t>
      </w:r>
      <w:r w:rsidR="002020A1">
        <w:t xml:space="preserve"> </w:t>
      </w:r>
      <w:r w:rsidR="00B51536">
        <w:t xml:space="preserve">allegations </w:t>
      </w:r>
      <w:r w:rsidR="00DA6788" w:rsidRPr="00E33DB4">
        <w:t xml:space="preserve">that </w:t>
      </w:r>
      <w:r w:rsidR="009A0E48" w:rsidRPr="00E33DB4">
        <w:t>t</w:t>
      </w:r>
      <w:r w:rsidR="00093434" w:rsidRPr="00E33DB4">
        <w:t>he Bloom defendants and Mayor Dear “would send each other ‘confidential emails’ to discuss matters relating t</w:t>
      </w:r>
      <w:r w:rsidR="009A0E48" w:rsidRPr="00E33DB4">
        <w:t xml:space="preserve">o building a stadium in Carson”; </w:t>
      </w:r>
      <w:r w:rsidR="00120A0C" w:rsidRPr="00E33DB4">
        <w:t>“Mayor Dear regularly sent Mr. Bloom and U.S. Capital, LLC private and confidential City of Carson documents relating to development of an NFL stadium”</w:t>
      </w:r>
      <w:r w:rsidR="009A0E48" w:rsidRPr="00E33DB4">
        <w:t xml:space="preserve">; </w:t>
      </w:r>
      <w:r w:rsidR="00FC4541" w:rsidRPr="00E33DB4">
        <w:t xml:space="preserve">and </w:t>
      </w:r>
      <w:r w:rsidR="00093434" w:rsidRPr="00E33DB4">
        <w:t>“Messrs. Bloom and Dear were involved in discussions with the City as to how to ‘get around’ the EAA.”</w:t>
      </w:r>
      <w:bookmarkEnd w:id="4"/>
    </w:p>
    <w:p w14:paraId="73DD7E4A" w14:textId="77777777" w:rsidR="00093434" w:rsidRPr="00E33DB4" w:rsidRDefault="002B5790" w:rsidP="00E33DB4">
      <w:pPr>
        <w:ind w:firstLine="720"/>
      </w:pPr>
      <w:bookmarkStart w:id="6" w:name="_Hlk531602766"/>
      <w:r w:rsidRPr="00E33DB4">
        <w:t>With respect</w:t>
      </w:r>
      <w:r w:rsidR="00093434" w:rsidRPr="00E33DB4">
        <w:t xml:space="preserve"> to the Bloom defendants</w:t>
      </w:r>
      <w:r w:rsidRPr="00E33DB4">
        <w:t xml:space="preserve"> specifically</w:t>
      </w:r>
      <w:r w:rsidR="00093434" w:rsidRPr="00E33DB4">
        <w:t xml:space="preserve">, </w:t>
      </w:r>
      <w:r w:rsidR="00A03CE5" w:rsidRPr="00E33DB4">
        <w:t>plaintiffs allege</w:t>
      </w:r>
      <w:r w:rsidR="00AA15DF">
        <w:t xml:space="preserve">, </w:t>
      </w:r>
      <w:r w:rsidR="00093434" w:rsidRPr="00E33DB4">
        <w:t xml:space="preserve">“Leonard Bloom and U.S. Capital, LLC, with the knowledge and support of representatives of the City, including Mayor Dear, were contacting NFL representatives and purporting to be agents of the city with respect to bringing an NFL franchise to Carson.”  In addition, “Mr. Bloom was using promotional materials that were derivative of those created and used by Rand in connection with meetings with NFL officials and others.”  </w:t>
      </w:r>
      <w:r w:rsidR="00DC053E" w:rsidRPr="00E33DB4">
        <w:t xml:space="preserve">In August 2014, Bloom also directed the </w:t>
      </w:r>
      <w:r w:rsidR="00E32D0B" w:rsidRPr="00E33DB4">
        <w:t xml:space="preserve">vice president of his company </w:t>
      </w:r>
      <w:r w:rsidR="00DC053E" w:rsidRPr="00E33DB4">
        <w:t xml:space="preserve">“to form a new entity with the same </w:t>
      </w:r>
      <w:r w:rsidR="00DC053E" w:rsidRPr="00E33DB4">
        <w:lastRenderedPageBreak/>
        <w:t>exact name as Mr. Rand’s company that entered into the EAA, Rand Resources, LLC</w:t>
      </w:r>
      <w:r w:rsidR="00455119" w:rsidRPr="00E33DB4">
        <w:t>,</w:t>
      </w:r>
      <w:r w:rsidR="00A8087C" w:rsidRPr="00E33DB4">
        <w:t>”</w:t>
      </w:r>
      <w:r w:rsidR="00455119" w:rsidRPr="00E33DB4">
        <w:t xml:space="preserve"> presumably so that he could pass off the entity as Rand’s company.</w:t>
      </w:r>
      <w:r w:rsidR="00F55444" w:rsidRPr="00E33DB4">
        <w:t xml:space="preserve">  </w:t>
      </w:r>
    </w:p>
    <w:bookmarkEnd w:id="5"/>
    <w:p w14:paraId="1342C6FC" w14:textId="77777777" w:rsidR="00093434" w:rsidRPr="00E33DB4" w:rsidRDefault="007C448A" w:rsidP="00E33DB4">
      <w:pPr>
        <w:ind w:firstLine="720"/>
      </w:pPr>
      <w:r w:rsidRPr="00E33DB4">
        <w:t>Plaintiffs</w:t>
      </w:r>
      <w:r w:rsidR="00C27376" w:rsidRPr="00E33DB4">
        <w:t xml:space="preserve"> </w:t>
      </w:r>
      <w:r w:rsidRPr="00E33DB4">
        <w:t xml:space="preserve">also contend </w:t>
      </w:r>
      <w:r w:rsidR="00E13769">
        <w:t xml:space="preserve">the City and Bloom </w:t>
      </w:r>
      <w:r w:rsidR="00A67BBD" w:rsidRPr="00E33DB4">
        <w:t>d</w:t>
      </w:r>
      <w:r w:rsidR="00092C9B" w:rsidRPr="00E33DB4">
        <w:t>efendants</w:t>
      </w:r>
      <w:r w:rsidR="00093434" w:rsidRPr="00E33DB4">
        <w:t xml:space="preserve"> </w:t>
      </w:r>
      <w:r w:rsidR="00805A4E">
        <w:t>sought</w:t>
      </w:r>
      <w:r w:rsidR="00093434" w:rsidRPr="00E33DB4">
        <w:t xml:space="preserve"> to hide their activities.  </w:t>
      </w:r>
      <w:proofErr w:type="gramStart"/>
      <w:r w:rsidR="00093434" w:rsidRPr="00E33DB4">
        <w:t xml:space="preserve">In particular, </w:t>
      </w:r>
      <w:r w:rsidR="00FD54D3" w:rsidRPr="00E33DB4">
        <w:t>plaintiffs</w:t>
      </w:r>
      <w:proofErr w:type="gramEnd"/>
      <w:r w:rsidR="00FD54D3" w:rsidRPr="00E33DB4">
        <w:t xml:space="preserve"> allege that when Rand</w:t>
      </w:r>
      <w:r w:rsidR="00093434" w:rsidRPr="00E33DB4">
        <w:t xml:space="preserve"> asked Mayor Dear about Bloom, “[t]he Mayor falsely told Rand that he did not know Mr. Bloom and was not aware of what, if anything, Mr. Bloom was doing with respect to the City and the NFL.”</w:t>
      </w:r>
      <w:bookmarkEnd w:id="6"/>
    </w:p>
    <w:p w14:paraId="03D86CD2" w14:textId="77777777" w:rsidR="00093434" w:rsidRPr="00E33DB4" w:rsidRDefault="00093434" w:rsidP="00B00BB9">
      <w:pPr>
        <w:ind w:firstLine="720"/>
      </w:pPr>
      <w:r w:rsidRPr="00E33DB4">
        <w:t xml:space="preserve">In July 2014, Rand </w:t>
      </w:r>
      <w:r w:rsidR="00092C9B" w:rsidRPr="00E33DB4">
        <w:t xml:space="preserve">Resources </w:t>
      </w:r>
      <w:r w:rsidRPr="00E33DB4">
        <w:t xml:space="preserve">submitted to the City </w:t>
      </w:r>
      <w:r w:rsidR="007E3E0F" w:rsidRPr="00E33DB4">
        <w:t>a request to extend the EAA for another year</w:t>
      </w:r>
      <w:r w:rsidRPr="00E33DB4">
        <w:t xml:space="preserve">.  After Rand </w:t>
      </w:r>
      <w:r w:rsidR="002F729C" w:rsidRPr="00E33DB4">
        <w:t xml:space="preserve">Resources </w:t>
      </w:r>
      <w:r w:rsidR="00946D12">
        <w:t>presented its</w:t>
      </w:r>
      <w:r w:rsidR="002F729C" w:rsidRPr="00E33DB4">
        <w:t xml:space="preserve"> request</w:t>
      </w:r>
      <w:r w:rsidRPr="00E33DB4">
        <w:t xml:space="preserve"> but before the City voted upon the matter, Bloom “met with Mayor Dear and at least one Carson councilperson . . . to discuss and conspire about how to breach the EAA and not extend it.”  </w:t>
      </w:r>
      <w:r w:rsidR="006E2D9D">
        <w:t xml:space="preserve">Another meeting also took place days </w:t>
      </w:r>
      <w:r w:rsidRPr="00E33DB4">
        <w:t>before the vote</w:t>
      </w:r>
      <w:r w:rsidR="00DC537F" w:rsidRPr="00E33DB4">
        <w:t xml:space="preserve">, </w:t>
      </w:r>
      <w:r w:rsidR="006E2D9D">
        <w:t>this one attend</w:t>
      </w:r>
      <w:r w:rsidR="002020A1">
        <w:t>e</w:t>
      </w:r>
      <w:r w:rsidR="006E2D9D">
        <w:t xml:space="preserve">d by </w:t>
      </w:r>
      <w:r w:rsidRPr="00E33DB4">
        <w:t xml:space="preserve">Rand and City Attorney </w:t>
      </w:r>
      <w:proofErr w:type="spellStart"/>
      <w:r w:rsidRPr="00E33DB4">
        <w:t>Wynder</w:t>
      </w:r>
      <w:proofErr w:type="spellEnd"/>
      <w:r w:rsidRPr="00E33DB4">
        <w:t xml:space="preserve">.  </w:t>
      </w:r>
      <w:r w:rsidR="00B00BB9">
        <w:t xml:space="preserve">During this encounter, </w:t>
      </w:r>
      <w:proofErr w:type="spellStart"/>
      <w:r w:rsidR="00B00BB9">
        <w:t>Wynder</w:t>
      </w:r>
      <w:proofErr w:type="spellEnd"/>
      <w:r w:rsidRPr="00E33DB4">
        <w:t xml:space="preserve"> informed Rand that the City was not going to extend the agreement.  </w:t>
      </w:r>
      <w:proofErr w:type="spellStart"/>
      <w:r w:rsidRPr="00E33DB4">
        <w:t>Wynder</w:t>
      </w:r>
      <w:proofErr w:type="spellEnd"/>
      <w:r w:rsidRPr="00E33DB4">
        <w:t xml:space="preserve"> further stated that “the City had been ‘walking on eggshells’ with Leonard Bloom and ‘did not need’ Rand anymore.”  </w:t>
      </w:r>
      <w:r w:rsidR="009A0E48" w:rsidRPr="00E33DB4">
        <w:t>A</w:t>
      </w:r>
      <w:r w:rsidR="005A75CF" w:rsidRPr="00E33DB4">
        <w:t>ccording to p</w:t>
      </w:r>
      <w:r w:rsidR="009A0E48" w:rsidRPr="00E33DB4">
        <w:t>laintiffs, the City then committed another</w:t>
      </w:r>
      <w:r w:rsidRPr="00E33DB4">
        <w:t xml:space="preserve"> breach of the EAA </w:t>
      </w:r>
      <w:r w:rsidR="00EA2605" w:rsidRPr="00E33DB4">
        <w:t>when its City Council voted</w:t>
      </w:r>
      <w:r w:rsidRPr="00E33DB4">
        <w:t xml:space="preserve"> to deny the requested extension.</w:t>
      </w:r>
    </w:p>
    <w:p w14:paraId="20D35B67" w14:textId="77777777" w:rsidR="00093434" w:rsidRPr="00E33DB4" w:rsidRDefault="00093434" w:rsidP="00E33DB4">
      <w:pPr>
        <w:ind w:firstLine="720"/>
      </w:pPr>
      <w:r w:rsidRPr="00E33DB4">
        <w:t>On the strength of these allegations,</w:t>
      </w:r>
      <w:r w:rsidR="007512F4" w:rsidRPr="00E33DB4">
        <w:t xml:space="preserve"> </w:t>
      </w:r>
      <w:r w:rsidR="00650AC5" w:rsidRPr="00E33DB4">
        <w:t>p</w:t>
      </w:r>
      <w:r w:rsidR="00D87146" w:rsidRPr="00E33DB4">
        <w:t>laintiffs</w:t>
      </w:r>
      <w:r w:rsidR="00E4335B" w:rsidRPr="00E33DB4">
        <w:t xml:space="preserve"> </w:t>
      </w:r>
      <w:r w:rsidR="00D95ADB" w:rsidRPr="00E33DB4">
        <w:t>lodge</w:t>
      </w:r>
      <w:r w:rsidR="00341FC3" w:rsidRPr="00E33DB4">
        <w:t>d</w:t>
      </w:r>
      <w:r w:rsidR="002B5790" w:rsidRPr="00E33DB4">
        <w:t xml:space="preserve"> </w:t>
      </w:r>
      <w:r w:rsidR="003E366B" w:rsidRPr="00E33DB4">
        <w:t xml:space="preserve">a </w:t>
      </w:r>
      <w:r w:rsidRPr="00E33DB4">
        <w:t>six-count complaint against the City, Mayor Dear</w:t>
      </w:r>
      <w:r w:rsidR="00F91B5C" w:rsidRPr="00E33DB4">
        <w:t>,</w:t>
      </w:r>
      <w:r w:rsidRPr="00E33DB4">
        <w:t xml:space="preserve"> and the Bloom defendants. </w:t>
      </w:r>
      <w:r w:rsidR="001956F3" w:rsidRPr="00E33DB4">
        <w:t xml:space="preserve"> </w:t>
      </w:r>
      <w:r w:rsidRPr="00E33DB4">
        <w:t xml:space="preserve">The first three causes of action are directed at the City and include breach of contract, tortious breach of contract, and promissory fraud.  The next count </w:t>
      </w:r>
      <w:r w:rsidR="00682533" w:rsidRPr="00E33DB4">
        <w:t>of fraud</w:t>
      </w:r>
      <w:r w:rsidRPr="00E33DB4">
        <w:t xml:space="preserve"> is asserted against all defendants; and the last two counts — intentional interference with contract and intentional </w:t>
      </w:r>
      <w:r w:rsidRPr="00E33DB4">
        <w:lastRenderedPageBreak/>
        <w:t>interference with prospective economic advantage — are asserted against the Bloom defendants</w:t>
      </w:r>
      <w:r w:rsidR="00A24B8C">
        <w:t xml:space="preserve"> alone</w:t>
      </w:r>
      <w:r w:rsidRPr="00E33DB4">
        <w:t>.</w:t>
      </w:r>
    </w:p>
    <w:p w14:paraId="67665136" w14:textId="77777777" w:rsidR="0005119E" w:rsidRPr="00E33DB4" w:rsidRDefault="00093434" w:rsidP="00E33DB4">
      <w:pPr>
        <w:ind w:firstLine="720"/>
      </w:pPr>
      <w:r w:rsidRPr="00E33DB4">
        <w:t>Defendants</w:t>
      </w:r>
      <w:r w:rsidR="001A7CAD">
        <w:t xml:space="preserve"> responded by</w:t>
      </w:r>
      <w:r w:rsidRPr="00E33DB4">
        <w:t xml:space="preserve"> </w:t>
      </w:r>
      <w:r w:rsidR="001A7CAD">
        <w:t>making</w:t>
      </w:r>
      <w:r w:rsidRPr="00E33DB4">
        <w:t xml:space="preserve"> special motions to strike the second through sixth cause</w:t>
      </w:r>
      <w:r w:rsidR="00BD135A" w:rsidRPr="00E33DB4">
        <w:t>s</w:t>
      </w:r>
      <w:r w:rsidRPr="00E33DB4">
        <w:t xml:space="preserve"> of action.  The </w:t>
      </w:r>
      <w:r w:rsidR="00D34E3C" w:rsidRPr="00E33DB4">
        <w:t xml:space="preserve">trial </w:t>
      </w:r>
      <w:r w:rsidRPr="00E33DB4">
        <w:t>court g</w:t>
      </w:r>
      <w:r w:rsidR="00C11972" w:rsidRPr="00E33DB4">
        <w:t>ranted their motions</w:t>
      </w:r>
      <w:r w:rsidR="00F91B5C" w:rsidRPr="00E33DB4">
        <w:t>.  T</w:t>
      </w:r>
      <w:r w:rsidR="00C11972" w:rsidRPr="00E33DB4">
        <w:t>he appellate court</w:t>
      </w:r>
      <w:r w:rsidRPr="00E33DB4">
        <w:t xml:space="preserve"> </w:t>
      </w:r>
      <w:r w:rsidR="002020A1">
        <w:t>reversed, concluding</w:t>
      </w:r>
      <w:r w:rsidR="00345DF8">
        <w:t xml:space="preserve"> </w:t>
      </w:r>
      <w:r w:rsidR="00182D80" w:rsidRPr="00E33DB4">
        <w:t xml:space="preserve">the causes of action at issue </w:t>
      </w:r>
      <w:r w:rsidR="004A2321" w:rsidRPr="00E33DB4">
        <w:t xml:space="preserve">did not arise from </w:t>
      </w:r>
      <w:r w:rsidR="00A67E95" w:rsidRPr="00E33DB4">
        <w:t>conduct in</w:t>
      </w:r>
      <w:r w:rsidR="004A2321" w:rsidRPr="00E33DB4">
        <w:t xml:space="preserve"> furtherance of defendants’ constitutional rights of free speech</w:t>
      </w:r>
      <w:r w:rsidR="00FF65EB" w:rsidRPr="00E33DB4">
        <w:t xml:space="preserve"> in connection with a public issue</w:t>
      </w:r>
      <w:r w:rsidR="00737E8D" w:rsidRPr="00E33DB4">
        <w:t xml:space="preserve">, as defined by </w:t>
      </w:r>
      <w:r w:rsidR="007376E3" w:rsidRPr="00E33DB4">
        <w:t>section 425.16</w:t>
      </w:r>
      <w:r w:rsidRPr="00E33DB4">
        <w:t xml:space="preserve">.  </w:t>
      </w:r>
      <w:r w:rsidR="0005119E" w:rsidRPr="00E33DB4">
        <w:t>We granted review to clarify the scope of the statute</w:t>
      </w:r>
      <w:r w:rsidR="0073749A" w:rsidRPr="00E33DB4">
        <w:t>.</w:t>
      </w:r>
    </w:p>
    <w:p w14:paraId="5B4679CE" w14:textId="77777777" w:rsidR="00C04B50" w:rsidRDefault="00E35524" w:rsidP="00AA15DF">
      <w:pPr>
        <w:pStyle w:val="Heading1"/>
      </w:pPr>
      <w:r>
        <w:t>II</w:t>
      </w:r>
      <w:r w:rsidR="00AA15DF">
        <w:t>.</w:t>
      </w:r>
    </w:p>
    <w:p w14:paraId="39BBB0F9" w14:textId="77777777" w:rsidR="00E35524" w:rsidRPr="00FA3257" w:rsidRDefault="00E35524" w:rsidP="00050068">
      <w:pPr>
        <w:jc w:val="center"/>
      </w:pPr>
      <w:r>
        <w:rPr>
          <w:b/>
        </w:rPr>
        <w:t>A.</w:t>
      </w:r>
    </w:p>
    <w:p w14:paraId="708111D4" w14:textId="77777777" w:rsidR="00E213E8" w:rsidRPr="00E33DB4" w:rsidRDefault="00A41126" w:rsidP="00E33DB4">
      <w:pPr>
        <w:ind w:firstLine="720"/>
      </w:pPr>
      <w:r>
        <w:t>The Legislature enacted s</w:t>
      </w:r>
      <w:r w:rsidR="002B5790" w:rsidRPr="00E33DB4">
        <w:t xml:space="preserve">ection </w:t>
      </w:r>
      <w:r w:rsidR="00082A21" w:rsidRPr="00E33DB4">
        <w:t>425.16</w:t>
      </w:r>
      <w:r w:rsidR="002B5790" w:rsidRPr="00E33DB4">
        <w:t xml:space="preserve"> in response to </w:t>
      </w:r>
      <w:r w:rsidR="00E213E8" w:rsidRPr="00E33DB4">
        <w:t xml:space="preserve">“a disturbing increase in lawsuits brought primarily to chill the valid exercise of the constitutional rights of freedom of speech and petition for the redress of grievances.”  (§ 425.16, </w:t>
      </w:r>
      <w:proofErr w:type="spellStart"/>
      <w:r w:rsidR="00E213E8" w:rsidRPr="00E33DB4">
        <w:t>subd</w:t>
      </w:r>
      <w:proofErr w:type="spellEnd"/>
      <w:r w:rsidR="00E213E8" w:rsidRPr="00E33DB4">
        <w:t xml:space="preserve">. (a).)  </w:t>
      </w:r>
      <w:r w:rsidR="002B5790" w:rsidRPr="00E33DB4">
        <w:t xml:space="preserve">These lawsuits prompted the </w:t>
      </w:r>
      <w:r w:rsidR="00E4335B" w:rsidRPr="00E33DB4">
        <w:t xml:space="preserve">Legislature </w:t>
      </w:r>
      <w:r w:rsidR="002B5790" w:rsidRPr="00E33DB4">
        <w:t xml:space="preserve">to </w:t>
      </w:r>
      <w:r w:rsidR="0050520F" w:rsidRPr="00E33DB4">
        <w:t>declare</w:t>
      </w:r>
      <w:r w:rsidR="002B5790" w:rsidRPr="00E33DB4">
        <w:t xml:space="preserve"> </w:t>
      </w:r>
      <w:r w:rsidR="00E4335B" w:rsidRPr="00E33DB4">
        <w:t xml:space="preserve">that </w:t>
      </w:r>
      <w:r w:rsidR="00E213E8" w:rsidRPr="00E33DB4">
        <w:t xml:space="preserve">“it is in the public interest to encourage continued participation in matters of public significance, and that this participation should not be chilled through </w:t>
      </w:r>
      <w:r w:rsidR="00E4335B" w:rsidRPr="00E33DB4">
        <w:t xml:space="preserve">abuse of the judicial process.”  </w:t>
      </w:r>
      <w:r w:rsidR="00E213E8" w:rsidRPr="00E33DB4">
        <w:t>(</w:t>
      </w:r>
      <w:r w:rsidR="00E213E8" w:rsidRPr="00E33DB4">
        <w:rPr>
          <w:i/>
        </w:rPr>
        <w:t>Ibid.</w:t>
      </w:r>
      <w:r w:rsidR="00E213E8" w:rsidRPr="00E33DB4">
        <w:t>)</w:t>
      </w:r>
      <w:r w:rsidR="00E4335B" w:rsidRPr="00E33DB4">
        <w:t xml:space="preserve">  </w:t>
      </w:r>
      <w:r w:rsidR="002B5790" w:rsidRPr="00E33DB4">
        <w:t xml:space="preserve">To limit such risks, the anti-SLAPP legislation provides </w:t>
      </w:r>
      <w:r w:rsidR="007A421C" w:rsidRPr="00E33DB4">
        <w:t>a special motion to strike “</w:t>
      </w:r>
      <w:r w:rsidR="003B364C" w:rsidRPr="00E33DB4">
        <w:t xml:space="preserve">intended </w:t>
      </w:r>
      <w:r w:rsidR="007A421C" w:rsidRPr="00E33DB4">
        <w:t>to resolve quickly and relatively inexpensively meritless lawsuits that threaten free speech on matters of public interest.”  (</w:t>
      </w:r>
      <w:r w:rsidR="007A421C" w:rsidRPr="00E33DB4">
        <w:rPr>
          <w:i/>
        </w:rPr>
        <w:t xml:space="preserve">Newport Harbor Ventures, LLC v. Morris </w:t>
      </w:r>
      <w:proofErr w:type="spellStart"/>
      <w:r w:rsidR="007A421C" w:rsidRPr="00E33DB4">
        <w:rPr>
          <w:i/>
        </w:rPr>
        <w:t>Cerullo</w:t>
      </w:r>
      <w:proofErr w:type="spellEnd"/>
      <w:r w:rsidR="007A421C" w:rsidRPr="00E33DB4">
        <w:rPr>
          <w:i/>
        </w:rPr>
        <w:t xml:space="preserve"> World Evangelism</w:t>
      </w:r>
      <w:r w:rsidR="007A421C" w:rsidRPr="00E33DB4">
        <w:t xml:space="preserve"> (2018) 4 Cal.5th 637, 639.) </w:t>
      </w:r>
      <w:r w:rsidR="00044C08" w:rsidRPr="00E33DB4">
        <w:t xml:space="preserve"> </w:t>
      </w:r>
      <w:r w:rsidR="007A421C" w:rsidRPr="00E33DB4">
        <w:t xml:space="preserve">In 1997, the Legislature amended the statute </w:t>
      </w:r>
      <w:r w:rsidR="0061304B" w:rsidRPr="00E33DB4">
        <w:t>t</w:t>
      </w:r>
      <w:r w:rsidR="005D76D6" w:rsidRPr="00E33DB4">
        <w:t xml:space="preserve">o provide that, </w:t>
      </w:r>
      <w:r w:rsidR="008A6495" w:rsidRPr="00E33DB4">
        <w:t xml:space="preserve">directed </w:t>
      </w:r>
      <w:r w:rsidR="005835E3" w:rsidRPr="00E33DB4">
        <w:t xml:space="preserve">to </w:t>
      </w:r>
      <w:r w:rsidR="009922C5">
        <w:t>this</w:t>
      </w:r>
      <w:r w:rsidR="005835E3" w:rsidRPr="00E33DB4">
        <w:t xml:space="preserve"> end</w:t>
      </w:r>
      <w:r w:rsidR="005D76D6" w:rsidRPr="00E33DB4">
        <w:t xml:space="preserve">, the statute </w:t>
      </w:r>
      <w:r w:rsidR="0061304B" w:rsidRPr="00E33DB4">
        <w:t>“shall be construed broadly.”</w:t>
      </w:r>
      <w:r w:rsidR="00E4335B" w:rsidRPr="00E33DB4">
        <w:t xml:space="preserve">  (</w:t>
      </w:r>
      <w:r w:rsidR="007A421C" w:rsidRPr="00E33DB4">
        <w:t xml:space="preserve">§ 425.16, </w:t>
      </w:r>
      <w:proofErr w:type="spellStart"/>
      <w:r w:rsidR="007A421C" w:rsidRPr="00E33DB4">
        <w:t>subd</w:t>
      </w:r>
      <w:proofErr w:type="spellEnd"/>
      <w:r w:rsidR="007A421C" w:rsidRPr="00E33DB4">
        <w:t>. (a)</w:t>
      </w:r>
      <w:r w:rsidR="006064A2" w:rsidRPr="00E33DB4">
        <w:t xml:space="preserve">; see also </w:t>
      </w:r>
      <w:proofErr w:type="spellStart"/>
      <w:r w:rsidR="006064A2" w:rsidRPr="00E33DB4">
        <w:rPr>
          <w:i/>
        </w:rPr>
        <w:t>Equilon</w:t>
      </w:r>
      <w:proofErr w:type="spellEnd"/>
      <w:r w:rsidR="006064A2" w:rsidRPr="00E33DB4">
        <w:rPr>
          <w:i/>
        </w:rPr>
        <w:t xml:space="preserve"> Enterprises v. Consumer Cause</w:t>
      </w:r>
      <w:r w:rsidR="006064A2" w:rsidRPr="00E33DB4">
        <w:t xml:space="preserve">, </w:t>
      </w:r>
      <w:r w:rsidR="006064A2" w:rsidRPr="00E33DB4">
        <w:rPr>
          <w:i/>
        </w:rPr>
        <w:t>Inc.</w:t>
      </w:r>
      <w:r w:rsidR="006064A2" w:rsidRPr="00E33DB4">
        <w:t xml:space="preserve"> (2002) 29 Cal.4th 53, 59–60, fn. 3 </w:t>
      </w:r>
      <w:r w:rsidR="00434E84" w:rsidRPr="00E33DB4">
        <w:t>(</w:t>
      </w:r>
      <w:proofErr w:type="spellStart"/>
      <w:r w:rsidR="00A22DCD" w:rsidRPr="00E33DB4">
        <w:rPr>
          <w:i/>
        </w:rPr>
        <w:t>Equilon</w:t>
      </w:r>
      <w:proofErr w:type="spellEnd"/>
      <w:r w:rsidR="00434E84" w:rsidRPr="00E33DB4">
        <w:t xml:space="preserve">) </w:t>
      </w:r>
      <w:r w:rsidR="006064A2" w:rsidRPr="00E33DB4">
        <w:t>[</w:t>
      </w:r>
      <w:r w:rsidR="00A85D00">
        <w:t>providing</w:t>
      </w:r>
      <w:r w:rsidR="00A85D00" w:rsidRPr="00E33DB4">
        <w:t xml:space="preserve"> </w:t>
      </w:r>
      <w:r w:rsidR="006064A2" w:rsidRPr="00E33DB4">
        <w:t>a history of the anti-SLAP</w:t>
      </w:r>
      <w:r w:rsidR="00434E84" w:rsidRPr="00E33DB4">
        <w:t>P statute</w:t>
      </w:r>
      <w:r w:rsidR="006064A2" w:rsidRPr="00E33DB4">
        <w:t>].</w:t>
      </w:r>
      <w:r w:rsidR="00E4335B" w:rsidRPr="00E33DB4">
        <w:t>)</w:t>
      </w:r>
    </w:p>
    <w:p w14:paraId="2295D5E6" w14:textId="77777777" w:rsidR="00E213E8" w:rsidRPr="00E33DB4" w:rsidRDefault="00FB646A" w:rsidP="00FB646A">
      <w:pPr>
        <w:ind w:firstLine="720"/>
      </w:pPr>
      <w:r>
        <w:lastRenderedPageBreak/>
        <w:t>The procedure made available to defendants by the an</w:t>
      </w:r>
      <w:r w:rsidR="009922C5">
        <w:t>t</w:t>
      </w:r>
      <w:r>
        <w:t xml:space="preserve">i-SLAPP </w:t>
      </w:r>
      <w:r w:rsidR="00BC04AF">
        <w:t>statute</w:t>
      </w:r>
      <w:r>
        <w:t xml:space="preserve"> has a distinctive </w:t>
      </w:r>
      <w:r w:rsidR="00BC0302">
        <w:t xml:space="preserve">two-part </w:t>
      </w:r>
      <w:r>
        <w:t>structure.</w:t>
      </w:r>
      <w:r w:rsidR="00BC0302" w:rsidRPr="00E33DB4">
        <w:t xml:space="preserve">  (E.g., </w:t>
      </w:r>
      <w:r w:rsidR="00B24F71" w:rsidRPr="00E33DB4">
        <w:rPr>
          <w:i/>
        </w:rPr>
        <w:t>Barry v. State Bar of California</w:t>
      </w:r>
      <w:r w:rsidR="00B24F71" w:rsidRPr="00E33DB4">
        <w:t xml:space="preserve"> (2017) 2 Cal.5th 318, 321</w:t>
      </w:r>
      <w:r w:rsidR="00B24F71">
        <w:t xml:space="preserve">; </w:t>
      </w:r>
      <w:proofErr w:type="spellStart"/>
      <w:r w:rsidR="00B24F71" w:rsidRPr="00E33DB4">
        <w:rPr>
          <w:i/>
        </w:rPr>
        <w:t>Baral</w:t>
      </w:r>
      <w:proofErr w:type="spellEnd"/>
      <w:r w:rsidR="00B24F71" w:rsidRPr="00E33DB4">
        <w:rPr>
          <w:i/>
        </w:rPr>
        <w:t xml:space="preserve"> v. </w:t>
      </w:r>
      <w:proofErr w:type="spellStart"/>
      <w:r w:rsidR="00B24F71" w:rsidRPr="00E33DB4">
        <w:rPr>
          <w:i/>
        </w:rPr>
        <w:t>Schnitt</w:t>
      </w:r>
      <w:proofErr w:type="spellEnd"/>
      <w:r w:rsidR="00B24F71" w:rsidRPr="00E33DB4">
        <w:t xml:space="preserve"> (2016) 1 Cal.5th 376, 384 (</w:t>
      </w:r>
      <w:proofErr w:type="spellStart"/>
      <w:r w:rsidR="00B24F71" w:rsidRPr="00E33DB4">
        <w:rPr>
          <w:i/>
        </w:rPr>
        <w:t>Baral</w:t>
      </w:r>
      <w:proofErr w:type="spellEnd"/>
      <w:r w:rsidR="00B24F71" w:rsidRPr="00E33DB4">
        <w:t>);</w:t>
      </w:r>
      <w:r w:rsidR="00B24F71">
        <w:t xml:space="preserve"> </w:t>
      </w:r>
      <w:r w:rsidR="00B24F71" w:rsidRPr="00E33DB4">
        <w:rPr>
          <w:i/>
        </w:rPr>
        <w:t>Simpson Strong-Tie Co., Inc. v. Gore</w:t>
      </w:r>
      <w:r w:rsidR="00B24F71" w:rsidRPr="00E33DB4">
        <w:t xml:space="preserve"> (2010) 49 Cal.4th 12, 21;</w:t>
      </w:r>
      <w:r w:rsidR="00B24F71">
        <w:t xml:space="preserve"> </w:t>
      </w:r>
      <w:proofErr w:type="spellStart"/>
      <w:r w:rsidR="00BC0302" w:rsidRPr="00E33DB4">
        <w:rPr>
          <w:i/>
        </w:rPr>
        <w:t>Equilon</w:t>
      </w:r>
      <w:proofErr w:type="spellEnd"/>
      <w:r w:rsidR="00BC0302" w:rsidRPr="00E33DB4">
        <w:t xml:space="preserve">, </w:t>
      </w:r>
      <w:r w:rsidR="00BC0302" w:rsidRPr="00E33DB4">
        <w:rPr>
          <w:i/>
        </w:rPr>
        <w:t>supra</w:t>
      </w:r>
      <w:r w:rsidR="00BC0302" w:rsidRPr="00E33DB4">
        <w:t>, 29 Cal.4th at p. 67</w:t>
      </w:r>
      <w:r w:rsidR="00B24F71">
        <w:t>.</w:t>
      </w:r>
      <w:r w:rsidR="00BC0302" w:rsidRPr="00E33DB4">
        <w:t>)</w:t>
      </w:r>
      <w:r w:rsidR="00AA15DF">
        <w:t xml:space="preserve">  </w:t>
      </w:r>
      <w:r w:rsidR="00BC04AF">
        <w:t>A</w:t>
      </w:r>
      <w:r w:rsidR="008A6495" w:rsidRPr="00E33DB4">
        <w:t xml:space="preserve"> </w:t>
      </w:r>
      <w:r w:rsidR="003F5182" w:rsidRPr="00E33DB4">
        <w:t xml:space="preserve">court may strike a cause of action </w:t>
      </w:r>
      <w:r w:rsidR="00540026" w:rsidRPr="00E33DB4">
        <w:t xml:space="preserve">only if </w:t>
      </w:r>
      <w:r w:rsidR="00B525C1" w:rsidRPr="00E33DB4">
        <w:t xml:space="preserve">the </w:t>
      </w:r>
      <w:r w:rsidR="009922C5">
        <w:t xml:space="preserve">cause of </w:t>
      </w:r>
      <w:r w:rsidR="00B525C1" w:rsidRPr="00E33DB4">
        <w:t xml:space="preserve">action </w:t>
      </w:r>
      <w:r w:rsidR="005C5B6C" w:rsidRPr="00E33DB4">
        <w:t xml:space="preserve">(1) </w:t>
      </w:r>
      <w:r w:rsidR="00B525C1" w:rsidRPr="00E33DB4">
        <w:t xml:space="preserve">arises from </w:t>
      </w:r>
      <w:r w:rsidR="00105C7C" w:rsidRPr="00E33DB4">
        <w:t>an act</w:t>
      </w:r>
      <w:r w:rsidR="00B525C1" w:rsidRPr="00E33DB4">
        <w:t xml:space="preserve"> in furtherance of the right of petition or free speech “in connection with a public issue,” and </w:t>
      </w:r>
      <w:r w:rsidR="005409B3" w:rsidRPr="00E33DB4">
        <w:t xml:space="preserve">(2) </w:t>
      </w:r>
      <w:r w:rsidR="00B525C1" w:rsidRPr="00E33DB4">
        <w:t>the plaintiff has not established “a probability” of prevailing on the claim.</w:t>
      </w:r>
      <w:r w:rsidR="00534206" w:rsidRPr="00E33DB4">
        <w:t xml:space="preserve">  (§ 425.16, </w:t>
      </w:r>
      <w:proofErr w:type="spellStart"/>
      <w:r w:rsidR="00534206" w:rsidRPr="00E33DB4">
        <w:t>subd</w:t>
      </w:r>
      <w:proofErr w:type="spellEnd"/>
      <w:r w:rsidR="00534206" w:rsidRPr="00E33DB4">
        <w:t>. (b)(1) [</w:t>
      </w:r>
      <w:r w:rsidR="00E213E8" w:rsidRPr="00E33DB4">
        <w:t>“A cause of action against a person arising from any act of that person in furtherance of the person’s right of petition or free speech under the United States Constitution or the California Constitution in connection with a public issue shall be subject to a special motion to strike, unless the court determines that the plaintiff has established that there is a probability that the plaintiff will prevail on the claim”</w:t>
      </w:r>
      <w:r w:rsidR="00534206" w:rsidRPr="00E33DB4">
        <w:t>].)</w:t>
      </w:r>
    </w:p>
    <w:p w14:paraId="693B90F9" w14:textId="77777777" w:rsidR="006F1170" w:rsidRDefault="00674498" w:rsidP="006F1170">
      <w:pPr>
        <w:ind w:firstLine="720"/>
      </w:pPr>
      <w:r>
        <w:t xml:space="preserve">A defendant satisfies the first step of the analysis by demonstrating that </w:t>
      </w:r>
      <w:r w:rsidR="00730D27">
        <w:t>the “</w:t>
      </w:r>
      <w:r w:rsidRPr="00995F00">
        <w:t xml:space="preserve">conduct by which plaintiff claims to have been injured </w:t>
      </w:r>
      <w:r>
        <w:t>falls within one of the four categories described in subd</w:t>
      </w:r>
      <w:r w:rsidR="00902073">
        <w:t>ivision (e) [of section 425.16]” (</w:t>
      </w:r>
      <w:proofErr w:type="spellStart"/>
      <w:r w:rsidR="00902073" w:rsidRPr="00E33DB4">
        <w:rPr>
          <w:i/>
        </w:rPr>
        <w:t>Equilon</w:t>
      </w:r>
      <w:proofErr w:type="spellEnd"/>
      <w:r w:rsidR="00902073" w:rsidRPr="00E33DB4">
        <w:t xml:space="preserve">, </w:t>
      </w:r>
      <w:r w:rsidR="00902073" w:rsidRPr="00E33DB4">
        <w:rPr>
          <w:i/>
        </w:rPr>
        <w:t>supra</w:t>
      </w:r>
      <w:r w:rsidR="00842282">
        <w:t>, 29 Cal.4th at p. 66</w:t>
      </w:r>
      <w:r w:rsidR="00902073">
        <w:t>)</w:t>
      </w:r>
      <w:r w:rsidR="005F59ED">
        <w:t xml:space="preserve">, and </w:t>
      </w:r>
      <w:r w:rsidR="00842282">
        <w:t xml:space="preserve">that the plaintiff’s claims in fact </w:t>
      </w:r>
      <w:r w:rsidR="00842282">
        <w:rPr>
          <w:i/>
        </w:rPr>
        <w:t>arise</w:t>
      </w:r>
      <w:r w:rsidR="00842282">
        <w:t xml:space="preserve"> from that conduct</w:t>
      </w:r>
      <w:r w:rsidR="005F59ED">
        <w:t xml:space="preserve"> (</w:t>
      </w:r>
      <w:r w:rsidR="005F59ED" w:rsidRPr="00E33DB4">
        <w:rPr>
          <w:i/>
          <w:szCs w:val="26"/>
        </w:rPr>
        <w:t>Park v. Board of Trustees of California State University</w:t>
      </w:r>
      <w:r w:rsidR="005F59ED" w:rsidRPr="00E33DB4">
        <w:rPr>
          <w:szCs w:val="26"/>
        </w:rPr>
        <w:t xml:space="preserve"> (2017) 2 Cal.5th 1057, 1063 (</w:t>
      </w:r>
      <w:r w:rsidR="005F59ED" w:rsidRPr="00E33DB4">
        <w:rPr>
          <w:i/>
          <w:szCs w:val="26"/>
        </w:rPr>
        <w:t>Park</w:t>
      </w:r>
      <w:r w:rsidR="005F59ED" w:rsidRPr="00E33DB4">
        <w:rPr>
          <w:szCs w:val="26"/>
        </w:rPr>
        <w:t>)</w:t>
      </w:r>
      <w:r w:rsidR="005F59ED">
        <w:rPr>
          <w:szCs w:val="26"/>
        </w:rPr>
        <w:t>)</w:t>
      </w:r>
      <w:r w:rsidR="00842282">
        <w:t>.</w:t>
      </w:r>
      <w:r w:rsidR="006F1170">
        <w:t xml:space="preserve">  The</w:t>
      </w:r>
      <w:r w:rsidR="00902073">
        <w:t xml:space="preserve"> four categories </w:t>
      </w:r>
      <w:r w:rsidR="00842282">
        <w:t xml:space="preserve">in subdivision (e) </w:t>
      </w:r>
      <w:r w:rsidR="00902073">
        <w:t>describe conduct “</w:t>
      </w:r>
      <w:r w:rsidR="00902073" w:rsidRPr="00E33DB4">
        <w:t>in furtherance of a person’s right of petition or free speech under the United States or California Constitution in connection with a public issue</w:t>
      </w:r>
      <w:r w:rsidR="00902073">
        <w:t>.</w:t>
      </w:r>
      <w:r w:rsidR="00902073" w:rsidRPr="00E33DB4">
        <w:t>”</w:t>
      </w:r>
      <w:r w:rsidR="00902073">
        <w:t xml:space="preserve">  </w:t>
      </w:r>
      <w:r w:rsidR="00902073" w:rsidRPr="00E33DB4">
        <w:t xml:space="preserve">(§ 425.16, </w:t>
      </w:r>
      <w:proofErr w:type="spellStart"/>
      <w:r w:rsidR="00902073" w:rsidRPr="00E33DB4">
        <w:t>subd</w:t>
      </w:r>
      <w:proofErr w:type="spellEnd"/>
      <w:r w:rsidR="00902073" w:rsidRPr="00E33DB4">
        <w:t>. (e).)</w:t>
      </w:r>
      <w:r w:rsidR="00902073">
        <w:t xml:space="preserve"> </w:t>
      </w:r>
      <w:r>
        <w:t xml:space="preserve"> </w:t>
      </w:r>
      <w:r w:rsidR="00902073">
        <w:t xml:space="preserve">Defendants here contend </w:t>
      </w:r>
      <w:r w:rsidR="006F1170">
        <w:t xml:space="preserve">plaintiffs’ causes of action </w:t>
      </w:r>
      <w:r w:rsidR="006F1170" w:rsidRPr="00E33DB4">
        <w:t>arise from</w:t>
      </w:r>
      <w:r w:rsidR="006F1170">
        <w:t xml:space="preserve"> two of those categories:</w:t>
      </w:r>
      <w:r w:rsidR="006F1170" w:rsidRPr="00E33DB4">
        <w:t xml:space="preserve"> </w:t>
      </w:r>
      <w:r w:rsidR="006F1170">
        <w:t xml:space="preserve"> </w:t>
      </w:r>
      <w:r w:rsidR="006F1170" w:rsidRPr="00E33DB4">
        <w:t xml:space="preserve">communications </w:t>
      </w:r>
      <w:r w:rsidR="00E13769">
        <w:t>“</w:t>
      </w:r>
      <w:r w:rsidR="006F1170" w:rsidRPr="00E33DB4">
        <w:t xml:space="preserve">made in connection with an issue under consideration </w:t>
      </w:r>
      <w:r w:rsidR="00E13769">
        <w:t xml:space="preserve">or review </w:t>
      </w:r>
      <w:r w:rsidR="006F1170" w:rsidRPr="00E33DB4">
        <w:t xml:space="preserve">by a legislative body” </w:t>
      </w:r>
      <w:r w:rsidR="00E03295">
        <w:t>(</w:t>
      </w:r>
      <w:r w:rsidR="00A56DF6">
        <w:t>§ </w:t>
      </w:r>
      <w:r w:rsidR="00E03295" w:rsidRPr="00E33DB4">
        <w:t xml:space="preserve">425.16, </w:t>
      </w:r>
      <w:proofErr w:type="spellStart"/>
      <w:r w:rsidR="00E03295" w:rsidRPr="00E33DB4">
        <w:t>subd</w:t>
      </w:r>
      <w:proofErr w:type="spellEnd"/>
      <w:r w:rsidR="00E03295" w:rsidRPr="00E33DB4">
        <w:t xml:space="preserve">. </w:t>
      </w:r>
      <w:r w:rsidR="00E03295" w:rsidRPr="00E33DB4">
        <w:lastRenderedPageBreak/>
        <w:t>(e)</w:t>
      </w:r>
      <w:r w:rsidR="00E03295">
        <w:t xml:space="preserve">(2)) </w:t>
      </w:r>
      <w:r w:rsidR="006F1170">
        <w:t>and</w:t>
      </w:r>
      <w:r w:rsidR="006F1170" w:rsidRPr="00E33DB4">
        <w:t xml:space="preserve"> “conduct in furtherance of the exercise of . . . free speech in connection with a public issue or an issu</w:t>
      </w:r>
      <w:r w:rsidR="00E03295">
        <w:t>e of public interest</w:t>
      </w:r>
      <w:r w:rsidR="006F1170" w:rsidRPr="00E33DB4">
        <w:t>”</w:t>
      </w:r>
      <w:r w:rsidR="00E03295">
        <w:t xml:space="preserve"> (</w:t>
      </w:r>
      <w:r w:rsidR="001B76F4">
        <w:t>§ </w:t>
      </w:r>
      <w:r w:rsidR="00E03295" w:rsidRPr="00E33DB4">
        <w:t xml:space="preserve">425.16, </w:t>
      </w:r>
      <w:proofErr w:type="spellStart"/>
      <w:r w:rsidR="00E03295" w:rsidRPr="00E33DB4">
        <w:t>subd</w:t>
      </w:r>
      <w:proofErr w:type="spellEnd"/>
      <w:r w:rsidR="00E03295" w:rsidRPr="00E33DB4">
        <w:t>. (e)</w:t>
      </w:r>
      <w:r w:rsidR="005F59ED">
        <w:t>(4).).</w:t>
      </w:r>
    </w:p>
    <w:p w14:paraId="2D35980B" w14:textId="77777777" w:rsidR="001C031D" w:rsidRDefault="00C9159A" w:rsidP="001C031D">
      <w:pPr>
        <w:ind w:firstLine="720"/>
      </w:pPr>
      <w:r>
        <w:t>According to</w:t>
      </w:r>
      <w:r w:rsidR="001C031D" w:rsidRPr="00E33DB4">
        <w:t xml:space="preserve"> subdivision (e)(2) of section 425.16, “any written or oral statement or writing made in connection with an issue under consideration or review by a legislative, executive, or judicial body, or any other official proceeding authorized by law” is an “act in furtherance of a person’s right of petition or free speech under the United States or California Constitution in connection with a public issue.”  </w:t>
      </w:r>
      <w:r w:rsidR="005B3F1B">
        <w:t>By</w:t>
      </w:r>
      <w:r w:rsidR="001C031D" w:rsidRPr="00E33DB4">
        <w:t xml:space="preserve"> </w:t>
      </w:r>
      <w:r w:rsidR="005B3F1B">
        <w:t>requiring</w:t>
      </w:r>
      <w:r w:rsidR="001C031D" w:rsidRPr="00E33DB4">
        <w:t xml:space="preserve"> the communication </w:t>
      </w:r>
      <w:r w:rsidR="005B3F1B">
        <w:t>to</w:t>
      </w:r>
      <w:r w:rsidR="001C031D" w:rsidRPr="00E33DB4">
        <w:t xml:space="preserve"> be in connection “with </w:t>
      </w:r>
      <w:r w:rsidR="001C031D" w:rsidRPr="00E33DB4">
        <w:rPr>
          <w:i/>
        </w:rPr>
        <w:t>an issue</w:t>
      </w:r>
      <w:r w:rsidR="001C031D" w:rsidRPr="00E33DB4">
        <w:t xml:space="preserve"> under consideration or review” (§ 425.16, </w:t>
      </w:r>
      <w:proofErr w:type="spellStart"/>
      <w:r w:rsidR="001C031D" w:rsidRPr="00E33DB4">
        <w:t>subd</w:t>
      </w:r>
      <w:proofErr w:type="spellEnd"/>
      <w:r w:rsidR="001C031D" w:rsidRPr="00E33DB4">
        <w:t xml:space="preserve">. (e)(2), italics added), the terms of subdivision </w:t>
      </w:r>
      <w:r w:rsidR="001C031D">
        <w:t>(</w:t>
      </w:r>
      <w:r w:rsidR="001C031D" w:rsidRPr="00E33DB4">
        <w:t>e</w:t>
      </w:r>
      <w:r w:rsidR="001C031D">
        <w:t>)</w:t>
      </w:r>
      <w:r w:rsidR="001C031D" w:rsidRPr="00E33DB4">
        <w:t>(2) make clear that “it is insufficient to assert that the acts alleged were ‘in connection with’ an official proceeding.”  (</w:t>
      </w:r>
      <w:r w:rsidR="001C031D" w:rsidRPr="00E33DB4">
        <w:rPr>
          <w:i/>
        </w:rPr>
        <w:t>Paul v. Friedman</w:t>
      </w:r>
      <w:r w:rsidR="001C031D" w:rsidRPr="00E33DB4">
        <w:t xml:space="preserve"> (2002) 95 Cal.App.4th 853, 867.)  Instead, “[t]here must be a connection with an issue under review in that proceeding.”  (</w:t>
      </w:r>
      <w:r w:rsidR="001C031D" w:rsidRPr="00E33DB4">
        <w:rPr>
          <w:i/>
        </w:rPr>
        <w:t>Ibid.</w:t>
      </w:r>
      <w:r w:rsidR="001C031D" w:rsidRPr="00E33DB4">
        <w:t xml:space="preserve">; see also </w:t>
      </w:r>
      <w:r w:rsidR="00B24F71" w:rsidRPr="00E33DB4">
        <w:rPr>
          <w:i/>
        </w:rPr>
        <w:t>McConnell v. Innovative Artists Talent &amp; Literary Agency, Inc.</w:t>
      </w:r>
      <w:r w:rsidR="00B24F71" w:rsidRPr="00E33DB4">
        <w:t xml:space="preserve"> (2009) 175 Cal.App.4th 169, 177 [same]</w:t>
      </w:r>
      <w:r w:rsidR="00B24F71">
        <w:t xml:space="preserve">; </w:t>
      </w:r>
      <w:r w:rsidR="001C031D" w:rsidRPr="00E33DB4">
        <w:rPr>
          <w:i/>
        </w:rPr>
        <w:t>Blackburn v. Brady</w:t>
      </w:r>
      <w:r w:rsidR="001C031D" w:rsidRPr="00E33DB4">
        <w:t xml:space="preserve"> (2004) 116 Cal.App.4th 670, 677 [same].)</w:t>
      </w:r>
    </w:p>
    <w:p w14:paraId="7C16B3EF" w14:textId="77777777" w:rsidR="00B50BB7" w:rsidRPr="00E33DB4" w:rsidRDefault="00C025B7" w:rsidP="0016683D">
      <w:pPr>
        <w:ind w:firstLine="720"/>
      </w:pPr>
      <w:r>
        <w:t>Alternatively, under</w:t>
      </w:r>
      <w:r w:rsidR="0008602A">
        <w:t xml:space="preserve"> s</w:t>
      </w:r>
      <w:r w:rsidR="00B50BB7" w:rsidRPr="00E33DB4">
        <w:t xml:space="preserve">ubdivision </w:t>
      </w:r>
      <w:r w:rsidR="00B50BB7">
        <w:t>(</w:t>
      </w:r>
      <w:r w:rsidR="00B50BB7" w:rsidRPr="00E33DB4">
        <w:t>e</w:t>
      </w:r>
      <w:r w:rsidR="00B50BB7">
        <w:t>)</w:t>
      </w:r>
      <w:r w:rsidR="00B50BB7" w:rsidRPr="00E33DB4">
        <w:t>(4) of section 425.16</w:t>
      </w:r>
      <w:r w:rsidR="0008602A">
        <w:t xml:space="preserve">, </w:t>
      </w:r>
      <w:r w:rsidR="00B50BB7" w:rsidRPr="00E33DB4">
        <w:t xml:space="preserve">plaintiffs’ </w:t>
      </w:r>
      <w:r w:rsidR="009922C5">
        <w:t xml:space="preserve">causes of </w:t>
      </w:r>
      <w:r w:rsidR="00B50BB7" w:rsidRPr="00E33DB4">
        <w:t xml:space="preserve">action </w:t>
      </w:r>
      <w:r w:rsidR="0008602A">
        <w:t xml:space="preserve">must </w:t>
      </w:r>
      <w:r w:rsidR="00B50BB7" w:rsidRPr="00E33DB4">
        <w:t>arise from defendants’ conduct “in connection with a public issue or an issue of public interest</w:t>
      </w:r>
      <w:r>
        <w:t>.</w:t>
      </w:r>
      <w:r w:rsidR="00E13769">
        <w:t>”</w:t>
      </w:r>
      <w:r w:rsidR="00B24F71">
        <w:t xml:space="preserve"> </w:t>
      </w:r>
      <w:r w:rsidR="00B50BB7" w:rsidRPr="00E33DB4">
        <w:t>(</w:t>
      </w:r>
      <w:r w:rsidR="007E51F6">
        <w:t>S</w:t>
      </w:r>
      <w:r w:rsidR="00B50BB7" w:rsidRPr="00E33DB4">
        <w:t xml:space="preserve">ee, e.g., </w:t>
      </w:r>
      <w:proofErr w:type="spellStart"/>
      <w:r w:rsidR="00B50BB7" w:rsidRPr="00E33DB4">
        <w:rPr>
          <w:i/>
        </w:rPr>
        <w:t>Tamkin</w:t>
      </w:r>
      <w:proofErr w:type="spellEnd"/>
      <w:r w:rsidR="00B50BB7" w:rsidRPr="00E33DB4">
        <w:rPr>
          <w:i/>
        </w:rPr>
        <w:t xml:space="preserve"> v. CBS Broadcasting, Inc.</w:t>
      </w:r>
      <w:r w:rsidR="00B50BB7" w:rsidRPr="00E33DB4">
        <w:t xml:space="preserve"> (2011) 193 Cal.App.4th 133, 142–143 [“A cause of action arises from protected activity within the meaning of section 425.16, subdivision (e)</w:t>
      </w:r>
      <w:r w:rsidR="00050068">
        <w:t>(4) if (1) </w:t>
      </w:r>
      <w:r w:rsidR="00B50BB7" w:rsidRPr="00E33DB4">
        <w:t>defendants’ acts underlying the cause of action, and on which th</w:t>
      </w:r>
      <w:r w:rsidR="00050068">
        <w:t>e cause of action is based, (2) </w:t>
      </w:r>
      <w:r w:rsidR="00B50BB7" w:rsidRPr="00E33DB4">
        <w:t>were acts in furtherance of defendants’ right</w:t>
      </w:r>
      <w:r w:rsidR="00050068">
        <w:t xml:space="preserve"> of petition or free speech (3) </w:t>
      </w:r>
      <w:r w:rsidR="00B50BB7" w:rsidRPr="00E33DB4">
        <w:t>in connection with a public issue”]</w:t>
      </w:r>
      <w:r w:rsidR="00B50BB7">
        <w:t>.)</w:t>
      </w:r>
    </w:p>
    <w:p w14:paraId="0E01E524" w14:textId="77777777" w:rsidR="00C23CF6" w:rsidRDefault="006F721B">
      <w:pPr>
        <w:ind w:firstLine="720"/>
      </w:pPr>
      <w:r>
        <w:lastRenderedPageBreak/>
        <w:t xml:space="preserve">Not surprisingly, </w:t>
      </w:r>
      <w:r w:rsidR="00714883">
        <w:t xml:space="preserve">we have struggled with the </w:t>
      </w:r>
      <w:r w:rsidR="00B50BB7" w:rsidRPr="00E33DB4">
        <w:t>question of what makes something an issue of public interest</w:t>
      </w:r>
      <w:r w:rsidR="001138C8">
        <w:t>.</w:t>
      </w:r>
      <w:r w:rsidR="005F0F89">
        <w:t xml:space="preserve"> </w:t>
      </w:r>
      <w:r w:rsidR="001138C8">
        <w:t xml:space="preserve"> </w:t>
      </w:r>
      <w:r w:rsidR="00B50BB7" w:rsidRPr="00E33DB4">
        <w:t>(</w:t>
      </w:r>
      <w:r w:rsidR="001138C8">
        <w:t>S</w:t>
      </w:r>
      <w:r w:rsidR="00B50BB7" w:rsidRPr="00E33DB4">
        <w:t xml:space="preserve">ee </w:t>
      </w:r>
      <w:r w:rsidR="00B50BB7" w:rsidRPr="00E33DB4">
        <w:rPr>
          <w:i/>
        </w:rPr>
        <w:t>Briggs</w:t>
      </w:r>
      <w:r w:rsidR="00E13769">
        <w:rPr>
          <w:i/>
        </w:rPr>
        <w:t xml:space="preserve"> v. Eden Council for Hope &amp; Opportunity </w:t>
      </w:r>
      <w:r w:rsidR="00E13769">
        <w:t xml:space="preserve">(1999) </w:t>
      </w:r>
      <w:r w:rsidR="00B50BB7" w:rsidRPr="00E33DB4">
        <w:t xml:space="preserve">19 Cal.4th </w:t>
      </w:r>
      <w:r w:rsidR="00E13769">
        <w:t>1106,</w:t>
      </w:r>
      <w:r w:rsidR="00B50BB7" w:rsidRPr="00E33DB4">
        <w:t xml:space="preserve"> 1122 &amp; fn. 9</w:t>
      </w:r>
      <w:r w:rsidR="0054372A">
        <w:t>)</w:t>
      </w:r>
      <w:r w:rsidR="008B4579">
        <w:t xml:space="preserve">.  </w:t>
      </w:r>
      <w:r w:rsidR="0054372A">
        <w:t xml:space="preserve">The </w:t>
      </w:r>
      <w:r>
        <w:t>appellate</w:t>
      </w:r>
      <w:r w:rsidR="0054372A">
        <w:t xml:space="preserve"> courts, however,</w:t>
      </w:r>
      <w:r w:rsidR="00EC5701">
        <w:t xml:space="preserve"> have </w:t>
      </w:r>
      <w:r w:rsidR="008B4579">
        <w:t xml:space="preserve">derived some guiding principles that </w:t>
      </w:r>
      <w:r w:rsidR="00EC5701">
        <w:t>characterize a matter of public interest</w:t>
      </w:r>
      <w:r w:rsidR="00C812D6">
        <w:t xml:space="preserve">. </w:t>
      </w:r>
      <w:r w:rsidR="00050068">
        <w:t xml:space="preserve"> </w:t>
      </w:r>
      <w:r w:rsidR="00C812D6">
        <w:t xml:space="preserve">We </w:t>
      </w:r>
      <w:r w:rsidR="0054372A">
        <w:t xml:space="preserve">share the consensus view </w:t>
      </w:r>
      <w:r w:rsidR="00EC5701">
        <w:t xml:space="preserve">that “a matter of concern to the speaker and a relatively small, specific audience is not a matter of public interest,” and that “[a] person cannot turn otherwise private information into a matter of public interest simply by communicating it to </w:t>
      </w:r>
      <w:proofErr w:type="gramStart"/>
      <w:r w:rsidR="00EC5701">
        <w:t>a large number of</w:t>
      </w:r>
      <w:proofErr w:type="gramEnd"/>
      <w:r w:rsidR="00EC5701">
        <w:t xml:space="preserve"> people.”  (</w:t>
      </w:r>
      <w:r w:rsidR="00EC5701">
        <w:rPr>
          <w:i/>
        </w:rPr>
        <w:t>Rand Resources</w:t>
      </w:r>
      <w:r w:rsidR="00EC5701">
        <w:t>,</w:t>
      </w:r>
      <w:r w:rsidR="00E13769">
        <w:t xml:space="preserve"> </w:t>
      </w:r>
      <w:r w:rsidR="00E13769">
        <w:rPr>
          <w:i/>
        </w:rPr>
        <w:t>LLC v. City of Carson</w:t>
      </w:r>
      <w:r w:rsidR="00E13769">
        <w:t xml:space="preserve"> (2016) </w:t>
      </w:r>
      <w:r w:rsidR="00EC5701">
        <w:t xml:space="preserve">247 Cal.App.4th </w:t>
      </w:r>
      <w:r w:rsidR="00E13769">
        <w:t>1080, 1092 (</w:t>
      </w:r>
      <w:r w:rsidR="00E13769">
        <w:rPr>
          <w:i/>
        </w:rPr>
        <w:t xml:space="preserve">Rand </w:t>
      </w:r>
      <w:r w:rsidR="00E13769" w:rsidRPr="00E13769">
        <w:rPr>
          <w:i/>
        </w:rPr>
        <w:t>Resources</w:t>
      </w:r>
      <w:r w:rsidR="00E13769">
        <w:t>)</w:t>
      </w:r>
      <w:r w:rsidR="00EC5701">
        <w:t xml:space="preserve">, quoting </w:t>
      </w:r>
      <w:r w:rsidR="00EC5701">
        <w:rPr>
          <w:i/>
        </w:rPr>
        <w:t xml:space="preserve">Weinberg v. </w:t>
      </w:r>
      <w:proofErr w:type="spellStart"/>
      <w:r w:rsidR="00EC5701">
        <w:rPr>
          <w:i/>
        </w:rPr>
        <w:t>Feisel</w:t>
      </w:r>
      <w:proofErr w:type="spellEnd"/>
      <w:r w:rsidR="00EC5701">
        <w:t xml:space="preserve"> (2003) 110 Cal.App.4th 1122, 1132–</w:t>
      </w:r>
      <w:r w:rsidR="00B24F71">
        <w:t>11</w:t>
      </w:r>
      <w:r w:rsidR="00EC5701">
        <w:t xml:space="preserve">33.)  </w:t>
      </w:r>
    </w:p>
    <w:p w14:paraId="79C05FBB" w14:textId="77777777" w:rsidR="00ED2D1D" w:rsidRDefault="00EC5701">
      <w:pPr>
        <w:ind w:firstLine="720"/>
      </w:pPr>
      <w:r>
        <w:t xml:space="preserve">Here, the </w:t>
      </w:r>
      <w:r w:rsidR="004C23B1">
        <w:t xml:space="preserve">Court of Appeal properly </w:t>
      </w:r>
      <w:r w:rsidR="00CA5FFF">
        <w:t xml:space="preserve">identified three nonexclusive and sometimes overlapping categories of statements within </w:t>
      </w:r>
      <w:r w:rsidR="00ED6A4F">
        <w:t xml:space="preserve">the ambit of </w:t>
      </w:r>
      <w:r w:rsidR="00CA5FFF">
        <w:t xml:space="preserve">subdivision (e)(4).  (See </w:t>
      </w:r>
      <w:r w:rsidR="00CA5FFF">
        <w:rPr>
          <w:i/>
        </w:rPr>
        <w:t>Rand Resources</w:t>
      </w:r>
      <w:r w:rsidR="00CA5FFF">
        <w:t xml:space="preserve">, </w:t>
      </w:r>
      <w:r w:rsidR="00CA5FFF">
        <w:rPr>
          <w:i/>
        </w:rPr>
        <w:t>supra</w:t>
      </w:r>
      <w:r w:rsidR="00CA5FFF">
        <w:t xml:space="preserve">, </w:t>
      </w:r>
      <w:r w:rsidR="00CA5FFF" w:rsidRPr="00E33DB4">
        <w:t>247 Cal.App.4th</w:t>
      </w:r>
      <w:r w:rsidR="00CA5FFF">
        <w:t xml:space="preserve"> at pp. 1091–1092.)  The first is when the statement or conduct concerns “a person or entity in the public eye”; the second, when it involves </w:t>
      </w:r>
      <w:r w:rsidR="005D5B7F">
        <w:t>“</w:t>
      </w:r>
      <w:r w:rsidR="00CA5FFF">
        <w:t xml:space="preserve">conduct that could </w:t>
      </w:r>
      <w:r w:rsidR="005D5B7F">
        <w:t xml:space="preserve">directly </w:t>
      </w:r>
      <w:r w:rsidR="00CA5FFF">
        <w:t xml:space="preserve">affect </w:t>
      </w:r>
      <w:proofErr w:type="gramStart"/>
      <w:r w:rsidR="005D5B7F">
        <w:t xml:space="preserve">a </w:t>
      </w:r>
      <w:r w:rsidR="00CA5FFF">
        <w:t>large number of</w:t>
      </w:r>
      <w:proofErr w:type="gramEnd"/>
      <w:r w:rsidR="00CA5FFF">
        <w:t xml:space="preserve"> people beyond the direct participants”; and the third, when it involves “a topic of widespread, public interest.”  (</w:t>
      </w:r>
      <w:r w:rsidR="00CA5FFF">
        <w:rPr>
          <w:i/>
        </w:rPr>
        <w:t>Rivero v. American Federation of State, County, and Municipal Employees, AFL–CIO</w:t>
      </w:r>
      <w:r w:rsidR="00CA5FFF">
        <w:t xml:space="preserve"> (2003) 105 Cal.App.4th 913, 919</w:t>
      </w:r>
      <w:r w:rsidR="005D5B7F">
        <w:t xml:space="preserve">; see </w:t>
      </w:r>
      <w:r w:rsidR="005D5B7F">
        <w:rPr>
          <w:i/>
        </w:rPr>
        <w:t>id.</w:t>
      </w:r>
      <w:r w:rsidR="005D5B7F">
        <w:t xml:space="preserve"> at pp. 919–924</w:t>
      </w:r>
      <w:r w:rsidR="00CA5FFF">
        <w:t>.)</w:t>
      </w:r>
      <w:r w:rsidR="003E7672">
        <w:t xml:space="preserve"> </w:t>
      </w:r>
    </w:p>
    <w:p w14:paraId="642577FA" w14:textId="77777777" w:rsidR="00ED2D1D" w:rsidRDefault="007E51F6">
      <w:pPr>
        <w:ind w:firstLine="720"/>
      </w:pPr>
      <w:r>
        <w:t xml:space="preserve">But to prevail on an anti-SLAPP motion, a defendant must do more than identify some speech </w:t>
      </w:r>
      <w:r w:rsidR="00A72CC0">
        <w:t>touching on a matter of public interest</w:t>
      </w:r>
      <w:r>
        <w:t xml:space="preserve">.  </w:t>
      </w:r>
      <w:r w:rsidR="00ED2D1D">
        <w:t xml:space="preserve">As we have explained, </w:t>
      </w:r>
      <w:proofErr w:type="gramStart"/>
      <w:r w:rsidR="00ED2D1D">
        <w:t>“</w:t>
      </w:r>
      <w:r w:rsidR="00E82CCD">
        <w:t xml:space="preserve"> </w:t>
      </w:r>
      <w:r w:rsidR="00ED2D1D">
        <w:t>‘</w:t>
      </w:r>
      <w:proofErr w:type="gramEnd"/>
      <w:r w:rsidR="00ED2D1D">
        <w:t xml:space="preserve">the defendant’s act underlying the plaintiff’s cause of action must </w:t>
      </w:r>
      <w:r w:rsidR="00ED2D1D">
        <w:rPr>
          <w:i/>
        </w:rPr>
        <w:t>itself</w:t>
      </w:r>
      <w:r w:rsidR="00ED2D1D">
        <w:t xml:space="preserve"> have been an act in furtherance of the right of petition or free speech.’ ”  (</w:t>
      </w:r>
      <w:r w:rsidR="005F59ED" w:rsidRPr="005F59ED">
        <w:rPr>
          <w:i/>
          <w:szCs w:val="26"/>
        </w:rPr>
        <w:t>Park</w:t>
      </w:r>
      <w:r w:rsidR="005F59ED">
        <w:rPr>
          <w:szCs w:val="26"/>
        </w:rPr>
        <w:t xml:space="preserve">, </w:t>
      </w:r>
      <w:r w:rsidR="00235407">
        <w:rPr>
          <w:i/>
          <w:szCs w:val="26"/>
        </w:rPr>
        <w:t>supra</w:t>
      </w:r>
      <w:r w:rsidR="00235407">
        <w:rPr>
          <w:szCs w:val="26"/>
        </w:rPr>
        <w:t>,</w:t>
      </w:r>
      <w:r w:rsidR="00235407">
        <w:rPr>
          <w:i/>
          <w:szCs w:val="26"/>
        </w:rPr>
        <w:t xml:space="preserve"> </w:t>
      </w:r>
      <w:r w:rsidR="00ED2D1D" w:rsidRPr="005F59ED">
        <w:rPr>
          <w:szCs w:val="26"/>
        </w:rPr>
        <w:t>2</w:t>
      </w:r>
      <w:r w:rsidR="00ED2D1D" w:rsidRPr="00E33DB4">
        <w:rPr>
          <w:szCs w:val="26"/>
        </w:rPr>
        <w:t xml:space="preserve"> Cal.5th </w:t>
      </w:r>
      <w:r w:rsidR="005F59ED">
        <w:rPr>
          <w:szCs w:val="26"/>
        </w:rPr>
        <w:t>at p.</w:t>
      </w:r>
      <w:r w:rsidR="00ED2D1D" w:rsidRPr="00E33DB4">
        <w:rPr>
          <w:szCs w:val="26"/>
        </w:rPr>
        <w:t xml:space="preserve"> 1063 [holding that </w:t>
      </w:r>
      <w:r w:rsidR="00ED2D1D">
        <w:rPr>
          <w:szCs w:val="26"/>
        </w:rPr>
        <w:t xml:space="preserve">in </w:t>
      </w:r>
      <w:r w:rsidR="00ED2D1D" w:rsidRPr="00E33DB4">
        <w:rPr>
          <w:szCs w:val="26"/>
        </w:rPr>
        <w:t xml:space="preserve">deciding whether the “arising from” requirement is met, “courts should </w:t>
      </w:r>
      <w:r w:rsidR="00ED2D1D" w:rsidRPr="00E33DB4">
        <w:rPr>
          <w:szCs w:val="26"/>
        </w:rPr>
        <w:lastRenderedPageBreak/>
        <w:t>consider the elements of the challenged claim and what actions by the defendant supply those elements and consequently form the basis for liability”].</w:t>
      </w:r>
      <w:r w:rsidR="00ED2D1D" w:rsidRPr="00E33DB4">
        <w:t>)</w:t>
      </w:r>
      <w:r w:rsidR="00ED2D1D">
        <w:t xml:space="preserve">  In other words, </w:t>
      </w:r>
      <w:r w:rsidR="002A5081">
        <w:t>a claim does not “arise from” protected activity simply because it</w:t>
      </w:r>
      <w:r w:rsidR="00ED2D1D">
        <w:t xml:space="preserve"> was filed after, or because of, protected activity</w:t>
      </w:r>
      <w:r w:rsidR="002A5081">
        <w:t xml:space="preserve">, or when protected activity merely provides evidentiary support or context for the claim.  </w:t>
      </w:r>
      <w:r w:rsidR="00ED2D1D">
        <w:t>Rather, the protected activity must “supply e</w:t>
      </w:r>
      <w:r w:rsidR="00AC0722">
        <w:t>lements of the challenged claim</w:t>
      </w:r>
      <w:r w:rsidR="0070024B">
        <w:t>.</w:t>
      </w:r>
      <w:r w:rsidR="00ED2D1D">
        <w:t>”  (</w:t>
      </w:r>
      <w:r w:rsidR="00ED2D1D">
        <w:rPr>
          <w:i/>
        </w:rPr>
        <w:t>Id.</w:t>
      </w:r>
      <w:r w:rsidR="00ED2D1D">
        <w:t xml:space="preserve"> at p. 1064.)</w:t>
      </w:r>
    </w:p>
    <w:p w14:paraId="0C789328" w14:textId="77777777" w:rsidR="007450F1" w:rsidRDefault="00A43F98" w:rsidP="00E33DB4">
      <w:pPr>
        <w:ind w:firstLine="720"/>
      </w:pPr>
      <w:bookmarkStart w:id="7" w:name="_Hlk531874053"/>
      <w:r>
        <w:t>In what follows, we</w:t>
      </w:r>
      <w:r w:rsidR="007B7B0B">
        <w:t xml:space="preserve"> consider </w:t>
      </w:r>
      <w:r w:rsidR="001663CC">
        <w:t>counts</w:t>
      </w:r>
      <w:r w:rsidR="005F658A">
        <w:t xml:space="preserve"> two through six of the complaint </w:t>
      </w:r>
      <w:r w:rsidR="0027332D">
        <w:t xml:space="preserve">within the above framework, asking, first, what </w:t>
      </w:r>
      <w:proofErr w:type="gramStart"/>
      <w:r w:rsidR="0027332D">
        <w:t>conduct</w:t>
      </w:r>
      <w:proofErr w:type="gramEnd"/>
      <w:r w:rsidR="0027332D">
        <w:t xml:space="preserve"> or statements underlie plaintiffs’ claims; and second, whether the conduct </w:t>
      </w:r>
      <w:r w:rsidR="00B40693">
        <w:t>was “in furtherance of</w:t>
      </w:r>
      <w:r w:rsidR="00B40693" w:rsidRPr="0027332D">
        <w:t>”</w:t>
      </w:r>
      <w:r w:rsidR="00B40693" w:rsidRPr="003B545B">
        <w:t xml:space="preserve"> </w:t>
      </w:r>
      <w:r w:rsidR="00822A44" w:rsidRPr="003B545B">
        <w:t>defendants’ rights of petition or free speech “in connection with a public issue</w:t>
      </w:r>
      <w:r w:rsidR="00C033B0" w:rsidRPr="003B545B">
        <w:t>,” as defined by either subdivision (e)(2) or (e)(4)</w:t>
      </w:r>
      <w:r w:rsidR="00A8356D" w:rsidRPr="003B545B">
        <w:t>.</w:t>
      </w:r>
      <w:r w:rsidR="00235407">
        <w:t xml:space="preserve">  (§ 425.16, </w:t>
      </w:r>
      <w:proofErr w:type="spellStart"/>
      <w:r w:rsidR="00235407">
        <w:t>subd</w:t>
      </w:r>
      <w:proofErr w:type="spellEnd"/>
      <w:r w:rsidR="00235407">
        <w:t>. (e).)</w:t>
      </w:r>
      <w:r w:rsidR="00F16AAE">
        <w:t xml:space="preserve">  </w:t>
      </w:r>
    </w:p>
    <w:p w14:paraId="08B21723" w14:textId="77777777" w:rsidR="007E51F6" w:rsidRPr="007E51F6" w:rsidRDefault="00E35524" w:rsidP="007E51F6">
      <w:pPr>
        <w:jc w:val="center"/>
        <w:rPr>
          <w:b/>
        </w:rPr>
      </w:pPr>
      <w:r>
        <w:rPr>
          <w:b/>
        </w:rPr>
        <w:t>B</w:t>
      </w:r>
      <w:r w:rsidR="007E51F6" w:rsidRPr="007E51F6">
        <w:rPr>
          <w:b/>
        </w:rPr>
        <w:t>.</w:t>
      </w:r>
    </w:p>
    <w:bookmarkEnd w:id="7"/>
    <w:p w14:paraId="332E56A2" w14:textId="77777777" w:rsidR="006F0572" w:rsidRDefault="0067029B" w:rsidP="00BC1CE6">
      <w:pPr>
        <w:ind w:firstLine="720"/>
      </w:pPr>
      <w:r>
        <w:t>P</w:t>
      </w:r>
      <w:r w:rsidR="00BC1CE6">
        <w:t>laintiffs’</w:t>
      </w:r>
      <w:r w:rsidR="00CD35AF">
        <w:t xml:space="preserve"> </w:t>
      </w:r>
      <w:r w:rsidR="006F0572">
        <w:t>second and fourth claims</w:t>
      </w:r>
      <w:r w:rsidR="00E41028">
        <w:t xml:space="preserve"> </w:t>
      </w:r>
      <w:r w:rsidR="001B4A34">
        <w:t xml:space="preserve">allege </w:t>
      </w:r>
      <w:r w:rsidR="00CD35AF">
        <w:t>tortious breach of contract</w:t>
      </w:r>
      <w:r w:rsidR="00E75EE3">
        <w:t xml:space="preserve"> against the City defendants and fraud against all defendants, respectively</w:t>
      </w:r>
      <w:r w:rsidR="001B4A34">
        <w:t xml:space="preserve">.  But they </w:t>
      </w:r>
      <w:r w:rsidR="00E75EE3">
        <w:t>rest</w:t>
      </w:r>
      <w:r w:rsidR="00CD35AF">
        <w:t xml:space="preserve"> on </w:t>
      </w:r>
      <w:r w:rsidR="006F0572">
        <w:t>allegations</w:t>
      </w:r>
      <w:r w:rsidR="001B4A34">
        <w:t xml:space="preserve"> that are virtually identical</w:t>
      </w:r>
      <w:r w:rsidR="00CB3D93">
        <w:t>.</w:t>
      </w:r>
      <w:r w:rsidR="006F0572">
        <w:rPr>
          <w:rStyle w:val="FootnoteReference"/>
        </w:rPr>
        <w:footnoteReference w:id="4"/>
      </w:r>
      <w:r w:rsidR="001663CC">
        <w:t xml:space="preserve">  Although plaintiffs’ </w:t>
      </w:r>
      <w:r w:rsidR="009A142A">
        <w:t xml:space="preserve">third claim involves promissory </w:t>
      </w:r>
      <w:r w:rsidR="001663CC">
        <w:t xml:space="preserve">fraud, it differs in </w:t>
      </w:r>
      <w:r w:rsidR="007743BA">
        <w:t xml:space="preserve">material ways </w:t>
      </w:r>
      <w:r w:rsidR="0040592E">
        <w:t>from the tortious breac</w:t>
      </w:r>
      <w:r w:rsidR="001138C8">
        <w:t xml:space="preserve">h </w:t>
      </w:r>
      <w:r w:rsidR="0040592E">
        <w:t>of contract and fraud claims</w:t>
      </w:r>
      <w:r w:rsidR="007743BA">
        <w:t xml:space="preserve">, so we treat it </w:t>
      </w:r>
      <w:r w:rsidR="001663CC">
        <w:t>separately.</w:t>
      </w:r>
    </w:p>
    <w:p w14:paraId="13BE522E" w14:textId="77777777" w:rsidR="00D1620E" w:rsidRDefault="00CB3D93">
      <w:pPr>
        <w:ind w:firstLine="720"/>
        <w:rPr>
          <w:szCs w:val="26"/>
        </w:rPr>
      </w:pPr>
      <w:r>
        <w:t>The</w:t>
      </w:r>
      <w:r w:rsidR="004B5A6B">
        <w:t xml:space="preserve"> crux of </w:t>
      </w:r>
      <w:r w:rsidR="00951FC7">
        <w:t xml:space="preserve">the second and fourth claims </w:t>
      </w:r>
      <w:r>
        <w:rPr>
          <w:szCs w:val="26"/>
        </w:rPr>
        <w:t xml:space="preserve">is that defendants concealed and affirmatively lied about the City’s </w:t>
      </w:r>
      <w:r>
        <w:rPr>
          <w:szCs w:val="26"/>
        </w:rPr>
        <w:lastRenderedPageBreak/>
        <w:t>breach of the exclusivity provision.</w:t>
      </w:r>
      <w:r w:rsidR="005B1414">
        <w:rPr>
          <w:szCs w:val="26"/>
        </w:rPr>
        <w:t xml:space="preserve">  </w:t>
      </w:r>
      <w:r w:rsidR="006B1D78">
        <w:rPr>
          <w:szCs w:val="26"/>
        </w:rPr>
        <w:t xml:space="preserve">(See </w:t>
      </w:r>
      <w:r w:rsidR="006B1D78">
        <w:rPr>
          <w:i/>
          <w:szCs w:val="26"/>
        </w:rPr>
        <w:t>Park</w:t>
      </w:r>
      <w:r w:rsidR="006B1D78">
        <w:rPr>
          <w:szCs w:val="26"/>
        </w:rPr>
        <w:t xml:space="preserve">, </w:t>
      </w:r>
      <w:r w:rsidR="006B1D78">
        <w:rPr>
          <w:i/>
          <w:szCs w:val="26"/>
        </w:rPr>
        <w:t>supra</w:t>
      </w:r>
      <w:r w:rsidR="006B1D78">
        <w:rPr>
          <w:szCs w:val="26"/>
        </w:rPr>
        <w:t>, 2 Cal.5th at p. 1060.)</w:t>
      </w:r>
      <w:r w:rsidR="00BD7B72">
        <w:rPr>
          <w:szCs w:val="26"/>
        </w:rPr>
        <w:t xml:space="preserve">  </w:t>
      </w:r>
      <w:r w:rsidRPr="00CB3D93">
        <w:rPr>
          <w:szCs w:val="26"/>
        </w:rPr>
        <w:t>Plaintiffs allege that Mayor Dear and the Bloom defendants conspired to conceal the City’s breach of the exclusivity provision by meeting in secret, exchanging “confidential emails,” and “form[</w:t>
      </w:r>
      <w:proofErr w:type="spellStart"/>
      <w:r w:rsidRPr="00CB3D93">
        <w:rPr>
          <w:szCs w:val="26"/>
        </w:rPr>
        <w:t>ing</w:t>
      </w:r>
      <w:proofErr w:type="spellEnd"/>
      <w:r w:rsidRPr="00CB3D93">
        <w:rPr>
          <w:szCs w:val="26"/>
        </w:rPr>
        <w:t xml:space="preserve">] a new </w:t>
      </w:r>
      <w:proofErr w:type="gramStart"/>
      <w:r w:rsidRPr="00CB3D93">
        <w:rPr>
          <w:szCs w:val="26"/>
        </w:rPr>
        <w:t>entity .</w:t>
      </w:r>
      <w:proofErr w:type="gramEnd"/>
      <w:r w:rsidRPr="00CB3D93">
        <w:rPr>
          <w:szCs w:val="26"/>
        </w:rPr>
        <w:t> . . with the same exact name as Plaintiff Rand Resources” to “make it appear that [Bloom] was affiliated with and controlled Rand Resources.”</w:t>
      </w:r>
      <w:r w:rsidR="00B24F71">
        <w:rPr>
          <w:szCs w:val="26"/>
        </w:rPr>
        <w:t xml:space="preserve">  </w:t>
      </w:r>
      <w:r w:rsidRPr="00CB3D93">
        <w:rPr>
          <w:szCs w:val="26"/>
        </w:rPr>
        <w:t>Plaintiffs also allege affirmative misrepresentations, including</w:t>
      </w:r>
      <w:r w:rsidR="00A719E5">
        <w:rPr>
          <w:szCs w:val="26"/>
        </w:rPr>
        <w:t xml:space="preserve"> that Mayor Dear </w:t>
      </w:r>
      <w:r w:rsidRPr="00CB3D93">
        <w:rPr>
          <w:szCs w:val="26"/>
        </w:rPr>
        <w:t>false</w:t>
      </w:r>
      <w:r w:rsidR="00A719E5">
        <w:rPr>
          <w:szCs w:val="26"/>
        </w:rPr>
        <w:t xml:space="preserve">ly told </w:t>
      </w:r>
      <w:r w:rsidRPr="00CB3D93">
        <w:rPr>
          <w:szCs w:val="26"/>
        </w:rPr>
        <w:t>Rand that the mayor “did not know Mr. Bloom and was not aware of what, if anything, Mr. Bloom was doing with respect to th</w:t>
      </w:r>
      <w:r w:rsidR="00A719E5">
        <w:rPr>
          <w:szCs w:val="26"/>
        </w:rPr>
        <w:t xml:space="preserve">e City and the NFL”; and that </w:t>
      </w:r>
      <w:proofErr w:type="spellStart"/>
      <w:r w:rsidR="00A719E5">
        <w:rPr>
          <w:szCs w:val="26"/>
        </w:rPr>
        <w:t>Wynder</w:t>
      </w:r>
      <w:proofErr w:type="spellEnd"/>
      <w:r w:rsidR="00A719E5">
        <w:rPr>
          <w:szCs w:val="26"/>
        </w:rPr>
        <w:t xml:space="preserve"> </w:t>
      </w:r>
      <w:r w:rsidR="00E41028">
        <w:rPr>
          <w:szCs w:val="26"/>
        </w:rPr>
        <w:t>“falsely told Mr. Rand that, so long as Rand showed reasonable progress</w:t>
      </w:r>
      <w:r w:rsidR="00A719E5">
        <w:rPr>
          <w:szCs w:val="26"/>
        </w:rPr>
        <w:t>,” the EAA would be renewed.</w:t>
      </w:r>
    </w:p>
    <w:p w14:paraId="07637393" w14:textId="77777777" w:rsidR="00CD35AF" w:rsidRDefault="001042D7">
      <w:pPr>
        <w:ind w:firstLine="720"/>
        <w:rPr>
          <w:szCs w:val="26"/>
        </w:rPr>
      </w:pPr>
      <w:r>
        <w:rPr>
          <w:szCs w:val="26"/>
        </w:rPr>
        <w:t xml:space="preserve">Among </w:t>
      </w:r>
      <w:r w:rsidR="00C10B1B">
        <w:rPr>
          <w:szCs w:val="26"/>
        </w:rPr>
        <w:t xml:space="preserve">these allegations, </w:t>
      </w:r>
      <w:r w:rsidR="00DB7552">
        <w:rPr>
          <w:szCs w:val="26"/>
        </w:rPr>
        <w:t xml:space="preserve">Mayor Dear’s and </w:t>
      </w:r>
      <w:proofErr w:type="spellStart"/>
      <w:r w:rsidR="00DB7552">
        <w:rPr>
          <w:szCs w:val="26"/>
        </w:rPr>
        <w:t>Wynder’s</w:t>
      </w:r>
      <w:proofErr w:type="spellEnd"/>
      <w:r w:rsidR="00DB7552">
        <w:rPr>
          <w:szCs w:val="26"/>
        </w:rPr>
        <w:t xml:space="preserve"> false statements to Rand</w:t>
      </w:r>
      <w:r w:rsidR="0046606F">
        <w:rPr>
          <w:szCs w:val="26"/>
        </w:rPr>
        <w:t xml:space="preserve"> supply an element of the fraud-based claims:  misrepresentation in the form of concealment, nondisclosure, or false representation.</w:t>
      </w:r>
      <w:r w:rsidR="00EB3346" w:rsidRPr="00B62430">
        <w:rPr>
          <w:b/>
          <w:szCs w:val="26"/>
          <w:vertAlign w:val="superscript"/>
        </w:rPr>
        <w:footnoteReference w:id="5"/>
      </w:r>
      <w:r w:rsidR="0046606F">
        <w:rPr>
          <w:szCs w:val="26"/>
        </w:rPr>
        <w:t xml:space="preserve">  These misrepresentations </w:t>
      </w:r>
      <w:r w:rsidR="00775EB5">
        <w:rPr>
          <w:szCs w:val="26"/>
        </w:rPr>
        <w:t xml:space="preserve">are not simply “evidence of liability or </w:t>
      </w:r>
      <w:r w:rsidR="00210532">
        <w:rPr>
          <w:szCs w:val="26"/>
        </w:rPr>
        <w:t>a step leading to some different act for which liability is asserted”; they are themselves the “wrong[s] complained of.”  (</w:t>
      </w:r>
      <w:r w:rsidR="0070024B" w:rsidRPr="005F59ED">
        <w:rPr>
          <w:i/>
          <w:szCs w:val="26"/>
        </w:rPr>
        <w:t>Park</w:t>
      </w:r>
      <w:r w:rsidR="0070024B">
        <w:rPr>
          <w:szCs w:val="26"/>
        </w:rPr>
        <w:t xml:space="preserve">, </w:t>
      </w:r>
      <w:r w:rsidR="0070024B">
        <w:rPr>
          <w:i/>
          <w:szCs w:val="26"/>
        </w:rPr>
        <w:t>supra</w:t>
      </w:r>
      <w:r w:rsidR="0070024B">
        <w:rPr>
          <w:szCs w:val="26"/>
        </w:rPr>
        <w:t>,</w:t>
      </w:r>
      <w:r w:rsidR="0070024B">
        <w:rPr>
          <w:i/>
          <w:szCs w:val="26"/>
        </w:rPr>
        <w:t xml:space="preserve"> </w:t>
      </w:r>
      <w:r w:rsidR="0070024B" w:rsidRPr="005F59ED">
        <w:rPr>
          <w:szCs w:val="26"/>
        </w:rPr>
        <w:t>2</w:t>
      </w:r>
      <w:r w:rsidR="0070024B" w:rsidRPr="00E33DB4">
        <w:rPr>
          <w:szCs w:val="26"/>
        </w:rPr>
        <w:t xml:space="preserve"> Cal.5th </w:t>
      </w:r>
      <w:r w:rsidR="0070024B">
        <w:rPr>
          <w:szCs w:val="26"/>
        </w:rPr>
        <w:t>at p.</w:t>
      </w:r>
      <w:r w:rsidR="0070024B" w:rsidRPr="00E33DB4">
        <w:rPr>
          <w:szCs w:val="26"/>
        </w:rPr>
        <w:t xml:space="preserve"> 10</w:t>
      </w:r>
      <w:r w:rsidR="0070024B">
        <w:rPr>
          <w:szCs w:val="26"/>
        </w:rPr>
        <w:t>60</w:t>
      </w:r>
      <w:r w:rsidR="00210532">
        <w:rPr>
          <w:i/>
          <w:szCs w:val="26"/>
        </w:rPr>
        <w:t>.</w:t>
      </w:r>
      <w:r w:rsidR="00210532">
        <w:rPr>
          <w:szCs w:val="26"/>
        </w:rPr>
        <w:t>)</w:t>
      </w:r>
      <w:r w:rsidR="00741D44">
        <w:rPr>
          <w:szCs w:val="26"/>
        </w:rPr>
        <w:t xml:space="preserve">  </w:t>
      </w:r>
      <w:r w:rsidR="00BD7B72">
        <w:rPr>
          <w:szCs w:val="26"/>
        </w:rPr>
        <w:t xml:space="preserve">They </w:t>
      </w:r>
      <w:r w:rsidR="007933CC">
        <w:rPr>
          <w:szCs w:val="26"/>
        </w:rPr>
        <w:t xml:space="preserve">therefore satisfy the </w:t>
      </w:r>
      <w:r w:rsidR="00C10B1B">
        <w:rPr>
          <w:szCs w:val="26"/>
        </w:rPr>
        <w:t xml:space="preserve">anti-SLAPP </w:t>
      </w:r>
      <w:r w:rsidR="007933CC">
        <w:rPr>
          <w:szCs w:val="26"/>
        </w:rPr>
        <w:lastRenderedPageBreak/>
        <w:t>requirement that the challenged claim “</w:t>
      </w:r>
      <w:proofErr w:type="spellStart"/>
      <w:r w:rsidR="007933CC">
        <w:rPr>
          <w:szCs w:val="26"/>
        </w:rPr>
        <w:t>aris</w:t>
      </w:r>
      <w:proofErr w:type="spellEnd"/>
      <w:r w:rsidR="00CA5125">
        <w:rPr>
          <w:szCs w:val="26"/>
        </w:rPr>
        <w:t>[</w:t>
      </w:r>
      <w:r w:rsidR="007933CC">
        <w:rPr>
          <w:szCs w:val="26"/>
        </w:rPr>
        <w:t>e</w:t>
      </w:r>
      <w:r w:rsidR="00CA5125">
        <w:rPr>
          <w:szCs w:val="26"/>
        </w:rPr>
        <w:t>]</w:t>
      </w:r>
      <w:r w:rsidR="007933CC">
        <w:rPr>
          <w:szCs w:val="26"/>
        </w:rPr>
        <w:t xml:space="preserve"> from” defendants’ </w:t>
      </w:r>
      <w:r w:rsidR="00A20713">
        <w:rPr>
          <w:szCs w:val="26"/>
        </w:rPr>
        <w:t>conduct.</w:t>
      </w:r>
      <w:r w:rsidR="00E1625D">
        <w:rPr>
          <w:szCs w:val="26"/>
        </w:rPr>
        <w:t xml:space="preserve"> </w:t>
      </w:r>
      <w:r w:rsidR="009435CA">
        <w:rPr>
          <w:szCs w:val="26"/>
        </w:rPr>
        <w:t xml:space="preserve"> </w:t>
      </w:r>
      <w:r w:rsidR="0046606F">
        <w:rPr>
          <w:szCs w:val="26"/>
        </w:rPr>
        <w:t>(§ 42</w:t>
      </w:r>
      <w:r w:rsidR="00512874">
        <w:rPr>
          <w:szCs w:val="26"/>
        </w:rPr>
        <w:t>5</w:t>
      </w:r>
      <w:r w:rsidR="0046606F">
        <w:rPr>
          <w:szCs w:val="26"/>
        </w:rPr>
        <w:t xml:space="preserve">.16, </w:t>
      </w:r>
      <w:proofErr w:type="spellStart"/>
      <w:r w:rsidR="0046606F">
        <w:rPr>
          <w:szCs w:val="26"/>
        </w:rPr>
        <w:t>subd</w:t>
      </w:r>
      <w:proofErr w:type="spellEnd"/>
      <w:r w:rsidR="0046606F">
        <w:rPr>
          <w:szCs w:val="26"/>
        </w:rPr>
        <w:t>. (b)(1)</w:t>
      </w:r>
      <w:r w:rsidR="00741D44">
        <w:rPr>
          <w:szCs w:val="26"/>
        </w:rPr>
        <w:t>.)</w:t>
      </w:r>
      <w:r w:rsidR="00B62430" w:rsidRPr="00B62430">
        <w:rPr>
          <w:szCs w:val="26"/>
        </w:rPr>
        <w:t xml:space="preserve"> </w:t>
      </w:r>
    </w:p>
    <w:p w14:paraId="0D557F1C" w14:textId="77777777" w:rsidR="001663CC" w:rsidRDefault="00741D44">
      <w:pPr>
        <w:ind w:firstLine="720"/>
      </w:pPr>
      <w:r>
        <w:rPr>
          <w:szCs w:val="26"/>
        </w:rPr>
        <w:t>But</w:t>
      </w:r>
      <w:r w:rsidR="00CC6FE7">
        <w:rPr>
          <w:szCs w:val="26"/>
        </w:rPr>
        <w:t xml:space="preserve"> </w:t>
      </w:r>
      <w:r>
        <w:rPr>
          <w:szCs w:val="26"/>
        </w:rPr>
        <w:t xml:space="preserve">these </w:t>
      </w:r>
      <w:proofErr w:type="gramStart"/>
      <w:r>
        <w:rPr>
          <w:szCs w:val="26"/>
        </w:rPr>
        <w:t>particular statements</w:t>
      </w:r>
      <w:proofErr w:type="gramEnd"/>
      <w:r>
        <w:rPr>
          <w:szCs w:val="26"/>
        </w:rPr>
        <w:t xml:space="preserve"> were </w:t>
      </w:r>
      <w:r w:rsidR="001663CC">
        <w:rPr>
          <w:szCs w:val="26"/>
        </w:rPr>
        <w:t xml:space="preserve">not </w:t>
      </w:r>
      <w:r>
        <w:rPr>
          <w:szCs w:val="26"/>
        </w:rPr>
        <w:t>made “</w:t>
      </w:r>
      <w:r w:rsidR="001663CC">
        <w:rPr>
          <w:szCs w:val="26"/>
        </w:rPr>
        <w:t xml:space="preserve">in connection with” </w:t>
      </w:r>
      <w:r w:rsidR="00445812">
        <w:rPr>
          <w:szCs w:val="26"/>
        </w:rPr>
        <w:t xml:space="preserve">either </w:t>
      </w:r>
      <w:r w:rsidR="00A6692C">
        <w:rPr>
          <w:szCs w:val="26"/>
        </w:rPr>
        <w:t>the issue before the City Council — the relevant legislative bo</w:t>
      </w:r>
      <w:r w:rsidR="001663CC">
        <w:rPr>
          <w:szCs w:val="26"/>
        </w:rPr>
        <w:t xml:space="preserve">dy, under subdivision (e)(2) — </w:t>
      </w:r>
      <w:r w:rsidR="00A6692C">
        <w:rPr>
          <w:szCs w:val="26"/>
        </w:rPr>
        <w:t>or an issue of public interest</w:t>
      </w:r>
      <w:r w:rsidR="009A0D9A">
        <w:rPr>
          <w:szCs w:val="26"/>
        </w:rPr>
        <w:t>, under subdivision (e)(4)</w:t>
      </w:r>
      <w:r w:rsidR="00A6692C">
        <w:rPr>
          <w:szCs w:val="26"/>
        </w:rPr>
        <w:t xml:space="preserve">.  </w:t>
      </w:r>
      <w:r w:rsidR="00DF538B">
        <w:rPr>
          <w:szCs w:val="26"/>
        </w:rPr>
        <w:t xml:space="preserve">A closer look at the facts </w:t>
      </w:r>
      <w:proofErr w:type="gramStart"/>
      <w:r w:rsidR="00DF538B">
        <w:rPr>
          <w:szCs w:val="26"/>
        </w:rPr>
        <w:t>in light of</w:t>
      </w:r>
      <w:proofErr w:type="gramEnd"/>
      <w:r w:rsidR="00DF538B">
        <w:rPr>
          <w:szCs w:val="26"/>
        </w:rPr>
        <w:t xml:space="preserve"> these two statutory provisions shows why.</w:t>
      </w:r>
    </w:p>
    <w:p w14:paraId="23FA0B32" w14:textId="77777777" w:rsidR="00A43F6B" w:rsidRDefault="00911CC6">
      <w:pPr>
        <w:ind w:firstLine="720"/>
      </w:pPr>
      <w:r>
        <w:t xml:space="preserve">Consider first </w:t>
      </w:r>
      <w:r w:rsidR="001663CC">
        <w:t>subdivision (e)(2)</w:t>
      </w:r>
      <w:r w:rsidR="00B36FDC">
        <w:t>.  It</w:t>
      </w:r>
      <w:r w:rsidR="00892D4A" w:rsidRPr="00E33DB4">
        <w:t xml:space="preserve"> is undisputed that the </w:t>
      </w:r>
      <w:r w:rsidR="00E55CA2" w:rsidRPr="00E33DB4">
        <w:t>City Council</w:t>
      </w:r>
      <w:r w:rsidR="00892D4A" w:rsidRPr="00E33DB4">
        <w:t xml:space="preserve"> met and took </w:t>
      </w:r>
      <w:r w:rsidR="009A2814">
        <w:t>a vote affecting Rand Resources and the Bloom defendants</w:t>
      </w:r>
      <w:r w:rsidR="001663CC">
        <w:t>.  B</w:t>
      </w:r>
      <w:r w:rsidR="00A45B48" w:rsidRPr="00E33DB4">
        <w:t xml:space="preserve">ut </w:t>
      </w:r>
      <w:r w:rsidR="00892D4A" w:rsidRPr="00E33DB4">
        <w:t xml:space="preserve">the issue </w:t>
      </w:r>
      <w:r w:rsidR="00845FC5">
        <w:t xml:space="preserve">that </w:t>
      </w:r>
      <w:r w:rsidR="00892D4A" w:rsidRPr="00E33DB4">
        <w:t xml:space="preserve">the </w:t>
      </w:r>
      <w:r w:rsidR="00E55CA2" w:rsidRPr="00E33DB4">
        <w:t xml:space="preserve">legislative body reviewed, considered, and voted on </w:t>
      </w:r>
      <w:r w:rsidR="00892D4A" w:rsidRPr="00E33DB4">
        <w:t>was whether to extend the EAA</w:t>
      </w:r>
      <w:r w:rsidR="009A2814">
        <w:t xml:space="preserve"> with Rand Resources in 2014</w:t>
      </w:r>
      <w:r w:rsidR="00892D4A" w:rsidRPr="00E33DB4">
        <w:t>.</w:t>
      </w:r>
      <w:r w:rsidR="009A2814">
        <w:t xml:space="preserve">  </w:t>
      </w:r>
      <w:r w:rsidR="00892D4A" w:rsidRPr="00E33DB4">
        <w:t>The City Council did not</w:t>
      </w:r>
      <w:r w:rsidR="00B37C8E">
        <w:t xml:space="preserve"> separately</w:t>
      </w:r>
      <w:r w:rsidR="00892D4A" w:rsidRPr="00E33DB4">
        <w:t xml:space="preserve"> consider whether </w:t>
      </w:r>
      <w:r w:rsidR="00CD0111" w:rsidRPr="00E33DB4">
        <w:t xml:space="preserve">the </w:t>
      </w:r>
      <w:r w:rsidR="00892D4A" w:rsidRPr="00E33DB4">
        <w:t xml:space="preserve">Bloom </w:t>
      </w:r>
      <w:r w:rsidR="00CD0111" w:rsidRPr="00E33DB4">
        <w:t xml:space="preserve">defendants </w:t>
      </w:r>
      <w:r w:rsidR="00892D4A" w:rsidRPr="00E33DB4">
        <w:t xml:space="preserve">should be allowed to represent the City during the </w:t>
      </w:r>
      <w:r w:rsidR="00CD0111" w:rsidRPr="00E33DB4">
        <w:t xml:space="preserve">original </w:t>
      </w:r>
      <w:r w:rsidR="00892D4A" w:rsidRPr="00E33DB4">
        <w:t>term of the EAA</w:t>
      </w:r>
      <w:r w:rsidR="008A78F9">
        <w:t xml:space="preserve">, </w:t>
      </w:r>
      <w:r w:rsidR="00901785" w:rsidRPr="00E33DB4">
        <w:t xml:space="preserve">when the City was </w:t>
      </w:r>
      <w:r w:rsidR="000F762D">
        <w:t>legally bound</w:t>
      </w:r>
      <w:r w:rsidR="00901785" w:rsidRPr="00E33DB4">
        <w:t xml:space="preserve"> to use Rand Resources as its exclusive agent.  </w:t>
      </w:r>
      <w:r w:rsidR="002A5177">
        <w:t>O</w:t>
      </w:r>
      <w:r w:rsidR="00753FA3" w:rsidRPr="00E33DB4">
        <w:t>nly</w:t>
      </w:r>
      <w:r w:rsidR="00901785" w:rsidRPr="00E33DB4">
        <w:t xml:space="preserve"> </w:t>
      </w:r>
      <w:r w:rsidR="00C646AF">
        <w:t>communications made in connection with the</w:t>
      </w:r>
      <w:r w:rsidR="00C646AF" w:rsidRPr="00E33DB4">
        <w:t xml:space="preserve"> renewal of the EAA</w:t>
      </w:r>
      <w:r w:rsidR="00C646AF">
        <w:t xml:space="preserve"> </w:t>
      </w:r>
      <w:r w:rsidR="002A5177">
        <w:t xml:space="preserve">— </w:t>
      </w:r>
      <w:r w:rsidR="001972E5">
        <w:t>what</w:t>
      </w:r>
      <w:r w:rsidR="002A5177">
        <w:t xml:space="preserve"> the City Council </w:t>
      </w:r>
      <w:proofErr w:type="gramStart"/>
      <w:r w:rsidR="002A5177">
        <w:t>actually considered</w:t>
      </w:r>
      <w:proofErr w:type="gramEnd"/>
      <w:r w:rsidR="002A5177">
        <w:t xml:space="preserve"> — </w:t>
      </w:r>
      <w:r w:rsidR="00C646AF">
        <w:t>constitute</w:t>
      </w:r>
      <w:r w:rsidR="00C646AF" w:rsidRPr="00E33DB4">
        <w:t xml:space="preserve"> </w:t>
      </w:r>
      <w:r w:rsidR="00901785" w:rsidRPr="00E33DB4">
        <w:t>“</w:t>
      </w:r>
      <w:r w:rsidR="00892D4A" w:rsidRPr="00E33DB4">
        <w:t>written or oral statement</w:t>
      </w:r>
      <w:r w:rsidR="009A2814">
        <w:t>[s]</w:t>
      </w:r>
      <w:r w:rsidR="00892D4A" w:rsidRPr="00E33DB4">
        <w:t xml:space="preserve"> </w:t>
      </w:r>
      <w:r w:rsidR="00901785" w:rsidRPr="00E33DB4">
        <w:t>or writing</w:t>
      </w:r>
      <w:r w:rsidR="009A2814">
        <w:t>[s]</w:t>
      </w:r>
      <w:r w:rsidR="00901785" w:rsidRPr="00E33DB4">
        <w:t xml:space="preserve"> </w:t>
      </w:r>
      <w:r w:rsidR="00892D4A" w:rsidRPr="00E33DB4">
        <w:t>made in connection</w:t>
      </w:r>
      <w:r w:rsidR="009A2814">
        <w:t xml:space="preserve"> with an issue under </w:t>
      </w:r>
      <w:r w:rsidR="00845FC5">
        <w:t xml:space="preserve">consideration or </w:t>
      </w:r>
      <w:r w:rsidR="009A2814">
        <w:t xml:space="preserve">review” by the City </w:t>
      </w:r>
      <w:r w:rsidR="00C646AF">
        <w:t xml:space="preserve">Council.  (§ 425.16, </w:t>
      </w:r>
      <w:proofErr w:type="spellStart"/>
      <w:r w:rsidR="00C646AF">
        <w:t>subd</w:t>
      </w:r>
      <w:proofErr w:type="spellEnd"/>
      <w:r w:rsidR="00C646AF">
        <w:t xml:space="preserve">. (e)(2).)  </w:t>
      </w:r>
      <w:r w:rsidR="00815E39">
        <w:t>Plaintiff</w:t>
      </w:r>
      <w:r w:rsidR="00845FC5">
        <w:t>s</w:t>
      </w:r>
      <w:r w:rsidR="00815E39">
        <w:t xml:space="preserve"> present no other rationale for treating statements that are the basis of these claims </w:t>
      </w:r>
      <w:r w:rsidR="00845FC5">
        <w:t xml:space="preserve">as </w:t>
      </w:r>
      <w:r w:rsidR="00815E39">
        <w:t xml:space="preserve">covered by subdivision (e)(2).  </w:t>
      </w:r>
      <w:r w:rsidR="00901785" w:rsidRPr="00E33DB4">
        <w:t>S</w:t>
      </w:r>
      <w:r w:rsidR="00892D4A" w:rsidRPr="00E33DB4">
        <w:t>tatements concerning any</w:t>
      </w:r>
      <w:r w:rsidR="001F3B16" w:rsidRPr="00E33DB4">
        <w:t>thing els</w:t>
      </w:r>
      <w:r w:rsidR="002A5177">
        <w:t>e</w:t>
      </w:r>
      <w:r w:rsidR="00815E39">
        <w:t xml:space="preserve"> at issue in these claims</w:t>
      </w:r>
      <w:r w:rsidR="002A5177">
        <w:t xml:space="preserve">, </w:t>
      </w:r>
      <w:r w:rsidR="001F3B16" w:rsidRPr="00E33DB4">
        <w:t>including</w:t>
      </w:r>
      <w:r w:rsidR="00892D4A" w:rsidRPr="00E33DB4">
        <w:t xml:space="preserve"> </w:t>
      </w:r>
      <w:r w:rsidR="00C646AF">
        <w:t xml:space="preserve">those </w:t>
      </w:r>
      <w:r w:rsidR="002A5177">
        <w:t xml:space="preserve">reflecting or </w:t>
      </w:r>
      <w:r w:rsidR="009A0D9A">
        <w:t xml:space="preserve">concealing </w:t>
      </w:r>
      <w:r w:rsidR="001972E5">
        <w:t>a breach</w:t>
      </w:r>
      <w:r w:rsidR="00C646AF">
        <w:t xml:space="preserve"> of the EAA’s exclusivity provisio</w:t>
      </w:r>
      <w:r w:rsidR="002A5177">
        <w:t xml:space="preserve">n, </w:t>
      </w:r>
      <w:r w:rsidR="00892D4A" w:rsidRPr="00E33DB4">
        <w:t xml:space="preserve">fall outside the scope </w:t>
      </w:r>
      <w:r w:rsidR="008A78F9">
        <w:t>of</w:t>
      </w:r>
      <w:r w:rsidR="00B2233E">
        <w:t xml:space="preserve"> </w:t>
      </w:r>
      <w:r w:rsidR="00815E39">
        <w:t>this subdivision</w:t>
      </w:r>
      <w:r w:rsidR="00110D39" w:rsidRPr="00E33DB4">
        <w:t>.</w:t>
      </w:r>
    </w:p>
    <w:p w14:paraId="4A8C5594" w14:textId="77777777" w:rsidR="00D06766" w:rsidRDefault="001663CC" w:rsidP="00B2233E">
      <w:pPr>
        <w:ind w:firstLine="720"/>
      </w:pPr>
      <w:r>
        <w:t>As to subdivision (e)(4)</w:t>
      </w:r>
      <w:r w:rsidR="00D76260">
        <w:t xml:space="preserve">, </w:t>
      </w:r>
      <w:r w:rsidR="00144900">
        <w:t>the parties agree that building an NFL stadium in the City is a matter of public int</w:t>
      </w:r>
      <w:r w:rsidR="008A78F9">
        <w:t xml:space="preserve">erest.  </w:t>
      </w:r>
      <w:r w:rsidR="00650959">
        <w:t xml:space="preserve">But </w:t>
      </w:r>
      <w:r w:rsidR="00D06766">
        <w:rPr>
          <w:szCs w:val="26"/>
        </w:rPr>
        <w:t xml:space="preserve">defendants’ speech concerned only the narrower issue of </w:t>
      </w:r>
      <w:r w:rsidR="00D06766" w:rsidRPr="00650959">
        <w:rPr>
          <w:i/>
          <w:szCs w:val="26"/>
        </w:rPr>
        <w:t>who</w:t>
      </w:r>
      <w:r w:rsidR="00D06766">
        <w:rPr>
          <w:szCs w:val="26"/>
        </w:rPr>
        <w:t xml:space="preserve"> should represent the City in the negotiations with the NFL</w:t>
      </w:r>
      <w:r w:rsidR="00B96BFE">
        <w:rPr>
          <w:szCs w:val="26"/>
        </w:rPr>
        <w:t xml:space="preserve">.  The affirmative misrepresentations, for instance, concerned only the </w:t>
      </w:r>
      <w:r w:rsidR="00B96BFE">
        <w:rPr>
          <w:szCs w:val="26"/>
        </w:rPr>
        <w:lastRenderedPageBreak/>
        <w:t xml:space="preserve">falsehoods that Mayor Dear did not know Bloom and was not aware of his involvement in the NFL negotiations, and that the City would continue to let Rand be its exclusive agent if his company made “reasonable progress.”  Neither of these statements was directed to the public issue of whether to </w:t>
      </w:r>
      <w:r w:rsidR="00B96BFE">
        <w:t>“</w:t>
      </w:r>
      <w:proofErr w:type="spellStart"/>
      <w:r w:rsidR="00B96BFE">
        <w:t>hav</w:t>
      </w:r>
      <w:proofErr w:type="spellEnd"/>
      <w:r w:rsidR="00B96BFE">
        <w:t>[e] an NFL team, stadium, and associated developments in Carson” or what trade-offs might be entailed in the process</w:t>
      </w:r>
      <w:r w:rsidR="00B24F71">
        <w:t xml:space="preserve">. </w:t>
      </w:r>
      <w:r w:rsidR="00B96BFE">
        <w:t xml:space="preserve"> (</w:t>
      </w:r>
      <w:r w:rsidR="00B96BFE">
        <w:rPr>
          <w:i/>
        </w:rPr>
        <w:t>Rand Resources</w:t>
      </w:r>
      <w:r w:rsidR="00B96BFE">
        <w:t xml:space="preserve">, </w:t>
      </w:r>
      <w:r w:rsidR="00B96BFE">
        <w:rPr>
          <w:i/>
        </w:rPr>
        <w:t>supra</w:t>
      </w:r>
      <w:r w:rsidR="00B96BFE">
        <w:t>, 247 Cal.App.4th at p. 1093</w:t>
      </w:r>
      <w:r w:rsidR="00B24F71">
        <w:t>.</w:t>
      </w:r>
      <w:r w:rsidR="00B96BFE">
        <w:t xml:space="preserve">)  Rather, </w:t>
      </w:r>
      <w:r w:rsidR="003203CD">
        <w:t xml:space="preserve">what Mayor Dear and </w:t>
      </w:r>
      <w:proofErr w:type="spellStart"/>
      <w:r w:rsidR="003203CD">
        <w:t>Wynder</w:t>
      </w:r>
      <w:proofErr w:type="spellEnd"/>
      <w:r w:rsidR="003203CD">
        <w:t xml:space="preserve"> misrepresented — the issue “in connection with” their statements — was the identity of the City’s agent in negotiations with the NFL.</w:t>
      </w:r>
      <w:r w:rsidR="00B96BFE">
        <w:rPr>
          <w:szCs w:val="26"/>
        </w:rPr>
        <w:t xml:space="preserve">  </w:t>
      </w:r>
    </w:p>
    <w:p w14:paraId="04BBF57F" w14:textId="77777777" w:rsidR="000319AB" w:rsidRPr="00512281" w:rsidRDefault="001B4A34" w:rsidP="00B2233E">
      <w:pPr>
        <w:ind w:firstLine="720"/>
      </w:pPr>
      <w:r>
        <w:t>D</w:t>
      </w:r>
      <w:r w:rsidR="00B2233E">
        <w:t>efendant</w:t>
      </w:r>
      <w:r>
        <w:t>s disagree.</w:t>
      </w:r>
      <w:r w:rsidR="00CD35AF">
        <w:t xml:space="preserve"> </w:t>
      </w:r>
      <w:r w:rsidR="00B24F71">
        <w:t xml:space="preserve"> </w:t>
      </w:r>
      <w:r w:rsidR="00CD35AF">
        <w:t>“</w:t>
      </w:r>
      <w:r>
        <w:t xml:space="preserve">Speech </w:t>
      </w:r>
      <w:r w:rsidR="00CD35AF">
        <w:t>about ‘who’ should represent the City in its NFL negotiations</w:t>
      </w:r>
      <w:r>
        <w:t>,” they contend</w:t>
      </w:r>
      <w:r w:rsidR="003452F7">
        <w:t>,</w:t>
      </w:r>
      <w:r w:rsidR="00CD35AF">
        <w:t xml:space="preserve"> </w:t>
      </w:r>
      <w:r>
        <w:t>“</w:t>
      </w:r>
      <w:r w:rsidR="00CD35AF">
        <w:t xml:space="preserve">is just as protected as the speech ‘of’ that exclusive representation with the NFL” — “[t]he two kinds of speech are inextricably intertwined.”  </w:t>
      </w:r>
      <w:r w:rsidR="00B2233E">
        <w:t xml:space="preserve">What </w:t>
      </w:r>
      <w:r w:rsidR="003203CD">
        <w:t xml:space="preserve">defendants </w:t>
      </w:r>
      <w:r w:rsidR="00CD35AF">
        <w:t xml:space="preserve">fail to explain </w:t>
      </w:r>
      <w:r w:rsidR="00B2233E">
        <w:t xml:space="preserve">is </w:t>
      </w:r>
      <w:r w:rsidR="00CD35AF">
        <w:t>how or why</w:t>
      </w:r>
      <w:r w:rsidR="00B2233E">
        <w:t xml:space="preserve"> that</w:t>
      </w:r>
      <w:r w:rsidR="00845FC5">
        <w:t xml:space="preserve"> i</w:t>
      </w:r>
      <w:r w:rsidR="00B2233E">
        <w:t>s the case here</w:t>
      </w:r>
      <w:r w:rsidR="00650959">
        <w:t xml:space="preserve">, </w:t>
      </w:r>
      <w:r w:rsidR="00650959">
        <w:rPr>
          <w:szCs w:val="26"/>
        </w:rPr>
        <w:t>under circumstances where no obvious connection existed between the identity of the representative and a matter of public concern</w:t>
      </w:r>
      <w:r w:rsidR="00CD35AF">
        <w:t xml:space="preserve">.  </w:t>
      </w:r>
    </w:p>
    <w:p w14:paraId="39C5BDBD" w14:textId="77777777" w:rsidR="00A42987" w:rsidRDefault="0046658C" w:rsidP="000319AB">
      <w:pPr>
        <w:ind w:firstLine="720"/>
        <w:rPr>
          <w:szCs w:val="26"/>
        </w:rPr>
      </w:pPr>
      <w:r>
        <w:rPr>
          <w:szCs w:val="26"/>
        </w:rPr>
        <w:t>D</w:t>
      </w:r>
      <w:r w:rsidR="000319AB" w:rsidRPr="000319AB">
        <w:rPr>
          <w:szCs w:val="26"/>
        </w:rPr>
        <w:t xml:space="preserve">efendants </w:t>
      </w:r>
      <w:r w:rsidR="00CC6FE7">
        <w:rPr>
          <w:szCs w:val="26"/>
        </w:rPr>
        <w:t>instead</w:t>
      </w:r>
      <w:r w:rsidR="000319AB" w:rsidRPr="000319AB">
        <w:rPr>
          <w:szCs w:val="26"/>
        </w:rPr>
        <w:t xml:space="preserve"> contend that this case is no different than </w:t>
      </w:r>
      <w:proofErr w:type="spellStart"/>
      <w:r w:rsidR="000319AB" w:rsidRPr="000319AB">
        <w:rPr>
          <w:i/>
          <w:szCs w:val="26"/>
        </w:rPr>
        <w:t>Tuchscher</w:t>
      </w:r>
      <w:proofErr w:type="spellEnd"/>
      <w:r w:rsidR="000319AB" w:rsidRPr="000319AB">
        <w:rPr>
          <w:i/>
          <w:szCs w:val="26"/>
        </w:rPr>
        <w:t xml:space="preserve"> Development Enterprises, Inc. v. San Diego Unified Port Dist.</w:t>
      </w:r>
      <w:r w:rsidR="000319AB" w:rsidRPr="000319AB">
        <w:rPr>
          <w:szCs w:val="26"/>
        </w:rPr>
        <w:t> (2003) 106 Cal.App.4th 1219 (</w:t>
      </w:r>
      <w:proofErr w:type="spellStart"/>
      <w:r w:rsidR="000319AB" w:rsidRPr="000319AB">
        <w:rPr>
          <w:i/>
          <w:szCs w:val="26"/>
        </w:rPr>
        <w:t>Tuchscher</w:t>
      </w:r>
      <w:proofErr w:type="spellEnd"/>
      <w:r w:rsidR="000319AB" w:rsidRPr="000319AB">
        <w:rPr>
          <w:szCs w:val="26"/>
        </w:rPr>
        <w:t xml:space="preserve">).  In </w:t>
      </w:r>
      <w:proofErr w:type="spellStart"/>
      <w:r w:rsidR="000319AB" w:rsidRPr="000319AB">
        <w:rPr>
          <w:i/>
          <w:szCs w:val="26"/>
        </w:rPr>
        <w:t>Tuchscher</w:t>
      </w:r>
      <w:proofErr w:type="spellEnd"/>
      <w:r w:rsidR="000319AB" w:rsidRPr="000319AB">
        <w:rPr>
          <w:szCs w:val="26"/>
        </w:rPr>
        <w:t xml:space="preserve">, a developer had an exclusive deal with a city to “take preliminary steps and negotiate towards a development agreement for the creation of a </w:t>
      </w:r>
      <w:proofErr w:type="gramStart"/>
      <w:r w:rsidR="000319AB" w:rsidRPr="000319AB">
        <w:rPr>
          <w:szCs w:val="26"/>
        </w:rPr>
        <w:t>mixed use</w:t>
      </w:r>
      <w:proofErr w:type="gramEnd"/>
      <w:r w:rsidR="000319AB" w:rsidRPr="000319AB">
        <w:rPr>
          <w:szCs w:val="26"/>
        </w:rPr>
        <w:t xml:space="preserve"> real estate project . . . on certain bayfront property within the City.”  (</w:t>
      </w:r>
      <w:r w:rsidR="000319AB" w:rsidRPr="000319AB">
        <w:rPr>
          <w:i/>
          <w:szCs w:val="26"/>
        </w:rPr>
        <w:t xml:space="preserve">Id. </w:t>
      </w:r>
      <w:r w:rsidR="000319AB" w:rsidRPr="000319AB">
        <w:rPr>
          <w:szCs w:val="26"/>
        </w:rPr>
        <w:t>at p. 1227.)  The parties did not dispute that the planned development was an issue of public interest.  (</w:t>
      </w:r>
      <w:r w:rsidR="000319AB" w:rsidRPr="000319AB">
        <w:rPr>
          <w:i/>
          <w:szCs w:val="26"/>
        </w:rPr>
        <w:t xml:space="preserve">Id. </w:t>
      </w:r>
      <w:r w:rsidR="000319AB" w:rsidRPr="000319AB">
        <w:rPr>
          <w:szCs w:val="26"/>
        </w:rPr>
        <w:t xml:space="preserve">at p. 1233.)  </w:t>
      </w:r>
    </w:p>
    <w:p w14:paraId="720CC2C4" w14:textId="77777777" w:rsidR="000319AB" w:rsidRPr="000319AB" w:rsidRDefault="001042D7" w:rsidP="000319AB">
      <w:pPr>
        <w:ind w:firstLine="720"/>
        <w:rPr>
          <w:szCs w:val="26"/>
        </w:rPr>
      </w:pPr>
      <w:r>
        <w:rPr>
          <w:szCs w:val="26"/>
        </w:rPr>
        <w:t>Yet</w:t>
      </w:r>
      <w:r w:rsidR="00A42987">
        <w:rPr>
          <w:szCs w:val="26"/>
        </w:rPr>
        <w:t xml:space="preserve"> ultimately</w:t>
      </w:r>
      <w:r w:rsidR="000319AB" w:rsidRPr="000319AB">
        <w:rPr>
          <w:szCs w:val="26"/>
        </w:rPr>
        <w:t xml:space="preserve">, the developer and city failed to reach an agreement on the project.  The developer then sued, alleging the </w:t>
      </w:r>
      <w:r w:rsidR="000319AB" w:rsidRPr="000319AB">
        <w:rPr>
          <w:szCs w:val="26"/>
        </w:rPr>
        <w:lastRenderedPageBreak/>
        <w:t xml:space="preserve">defendants had interfered with the contract it had with the city.  To support its claims, the developer introduced evidence of communications between the defendants, a rival developer, and the city.  The </w:t>
      </w:r>
      <w:r w:rsidR="00845FC5">
        <w:rPr>
          <w:szCs w:val="26"/>
        </w:rPr>
        <w:t>developer’s</w:t>
      </w:r>
      <w:r w:rsidR="00845FC5" w:rsidRPr="000319AB">
        <w:rPr>
          <w:szCs w:val="26"/>
        </w:rPr>
        <w:t xml:space="preserve"> </w:t>
      </w:r>
      <w:r w:rsidR="000319AB" w:rsidRPr="000319AB">
        <w:rPr>
          <w:szCs w:val="26"/>
        </w:rPr>
        <w:t>claims failed when the trial court granted the defendants’ motion to strike under section 425.16 and the appellate court affirmed.</w:t>
      </w:r>
    </w:p>
    <w:p w14:paraId="6E98C180" w14:textId="77777777" w:rsidR="00226599" w:rsidRPr="001663CC" w:rsidRDefault="000319AB" w:rsidP="000319AB">
      <w:pPr>
        <w:ind w:firstLine="720"/>
        <w:rPr>
          <w:szCs w:val="26"/>
        </w:rPr>
      </w:pPr>
      <w:proofErr w:type="spellStart"/>
      <w:r w:rsidRPr="000319AB">
        <w:rPr>
          <w:i/>
          <w:szCs w:val="26"/>
        </w:rPr>
        <w:t>Tuchscher</w:t>
      </w:r>
      <w:proofErr w:type="spellEnd"/>
      <w:r w:rsidRPr="000319AB">
        <w:rPr>
          <w:i/>
          <w:szCs w:val="26"/>
        </w:rPr>
        <w:t xml:space="preserve"> </w:t>
      </w:r>
      <w:r w:rsidRPr="000319AB">
        <w:rPr>
          <w:szCs w:val="26"/>
        </w:rPr>
        <w:t xml:space="preserve">is distinguishable.  Unlike </w:t>
      </w:r>
      <w:r w:rsidR="00B53050">
        <w:rPr>
          <w:szCs w:val="26"/>
        </w:rPr>
        <w:t xml:space="preserve">any </w:t>
      </w:r>
      <w:r w:rsidRPr="000319AB">
        <w:rPr>
          <w:szCs w:val="26"/>
        </w:rPr>
        <w:t xml:space="preserve">communications at issue here, those in </w:t>
      </w:r>
      <w:proofErr w:type="spellStart"/>
      <w:r w:rsidRPr="000319AB">
        <w:rPr>
          <w:i/>
          <w:szCs w:val="26"/>
        </w:rPr>
        <w:t>Tuchscher</w:t>
      </w:r>
      <w:proofErr w:type="spellEnd"/>
      <w:r w:rsidRPr="000319AB">
        <w:rPr>
          <w:szCs w:val="26"/>
        </w:rPr>
        <w:t xml:space="preserve"> pertained</w:t>
      </w:r>
      <w:r w:rsidR="00845FC5">
        <w:rPr>
          <w:szCs w:val="26"/>
        </w:rPr>
        <w:t xml:space="preserve"> to </w:t>
      </w:r>
      <w:r w:rsidRPr="000319AB">
        <w:rPr>
          <w:szCs w:val="26"/>
        </w:rPr>
        <w:t>the actual development of real estate —</w:t>
      </w:r>
      <w:r w:rsidRPr="000319AB">
        <w:rPr>
          <w:i/>
          <w:szCs w:val="26"/>
        </w:rPr>
        <w:t xml:space="preserve"> </w:t>
      </w:r>
      <w:r w:rsidRPr="000319AB">
        <w:rPr>
          <w:szCs w:val="26"/>
        </w:rPr>
        <w:t>an issue of public interest</w:t>
      </w:r>
      <w:r w:rsidR="001663CC">
        <w:rPr>
          <w:szCs w:val="26"/>
        </w:rPr>
        <w:t xml:space="preserve"> — and formed the basis of the developer’s claims</w:t>
      </w:r>
      <w:r w:rsidRPr="000319AB">
        <w:rPr>
          <w:szCs w:val="26"/>
        </w:rPr>
        <w:t xml:space="preserve">.  For instance, the challenged communications in </w:t>
      </w:r>
      <w:proofErr w:type="spellStart"/>
      <w:r w:rsidRPr="000319AB">
        <w:rPr>
          <w:i/>
          <w:szCs w:val="26"/>
        </w:rPr>
        <w:t>Tuchscher</w:t>
      </w:r>
      <w:proofErr w:type="spellEnd"/>
      <w:r w:rsidRPr="000319AB">
        <w:rPr>
          <w:i/>
          <w:szCs w:val="26"/>
        </w:rPr>
        <w:t xml:space="preserve"> </w:t>
      </w:r>
      <w:r w:rsidRPr="000319AB">
        <w:rPr>
          <w:szCs w:val="26"/>
        </w:rPr>
        <w:t xml:space="preserve">included a letter from the rival developer to a defendant discussing such matters as the construction of </w:t>
      </w:r>
      <w:proofErr w:type="gramStart"/>
      <w:r w:rsidRPr="000319AB">
        <w:rPr>
          <w:szCs w:val="26"/>
        </w:rPr>
        <w:t>“ ‘</w:t>
      </w:r>
      <w:proofErr w:type="gramEnd"/>
      <w:r w:rsidRPr="000319AB">
        <w:rPr>
          <w:szCs w:val="26"/>
        </w:rPr>
        <w:t>H St. Marina View Parkway,’ ” the demolition of “ ‘the existing structures on Port property,’ ” and the development of “ ‘residential housing on the adjacent fee owned property and commercial on Port property.’ ”  (</w:t>
      </w:r>
      <w:proofErr w:type="spellStart"/>
      <w:r w:rsidRPr="000319AB">
        <w:rPr>
          <w:i/>
          <w:szCs w:val="26"/>
        </w:rPr>
        <w:t>Tuchscher</w:t>
      </w:r>
      <w:proofErr w:type="spellEnd"/>
      <w:r w:rsidRPr="000319AB">
        <w:rPr>
          <w:szCs w:val="26"/>
        </w:rPr>
        <w:t xml:space="preserve">, </w:t>
      </w:r>
      <w:r w:rsidRPr="000319AB">
        <w:rPr>
          <w:i/>
          <w:szCs w:val="26"/>
        </w:rPr>
        <w:t>supra</w:t>
      </w:r>
      <w:r w:rsidR="00226599">
        <w:rPr>
          <w:szCs w:val="26"/>
        </w:rPr>
        <w:t>, 106 Cal.App.4th at p. 1229.)</w:t>
      </w:r>
      <w:r w:rsidR="001663CC">
        <w:rPr>
          <w:szCs w:val="26"/>
        </w:rPr>
        <w:t xml:space="preserve">  If, as the Court of Appeal in </w:t>
      </w:r>
      <w:proofErr w:type="spellStart"/>
      <w:r w:rsidR="001663CC">
        <w:rPr>
          <w:i/>
          <w:szCs w:val="26"/>
        </w:rPr>
        <w:t>Tuchscher</w:t>
      </w:r>
      <w:proofErr w:type="spellEnd"/>
      <w:r w:rsidR="001663CC">
        <w:rPr>
          <w:szCs w:val="26"/>
        </w:rPr>
        <w:t xml:space="preserve"> said, these communications were “the activity underlying [the developer’s]</w:t>
      </w:r>
      <w:r w:rsidR="00226599">
        <w:rPr>
          <w:szCs w:val="26"/>
        </w:rPr>
        <w:t xml:space="preserve"> </w:t>
      </w:r>
      <w:r w:rsidR="001663CC">
        <w:rPr>
          <w:szCs w:val="26"/>
        </w:rPr>
        <w:t xml:space="preserve">causes of action,” </w:t>
      </w:r>
      <w:proofErr w:type="spellStart"/>
      <w:r w:rsidR="001663CC">
        <w:rPr>
          <w:i/>
          <w:szCs w:val="26"/>
        </w:rPr>
        <w:t>Tuc</w:t>
      </w:r>
      <w:r w:rsidR="00B24F71">
        <w:rPr>
          <w:i/>
          <w:szCs w:val="26"/>
        </w:rPr>
        <w:t>h</w:t>
      </w:r>
      <w:r w:rsidR="001663CC">
        <w:rPr>
          <w:i/>
          <w:szCs w:val="26"/>
        </w:rPr>
        <w:t>scher</w:t>
      </w:r>
      <w:proofErr w:type="spellEnd"/>
      <w:r w:rsidR="001663CC">
        <w:rPr>
          <w:szCs w:val="26"/>
        </w:rPr>
        <w:t xml:space="preserve"> is instructive mainly in its differences from this case.  (</w:t>
      </w:r>
      <w:r w:rsidR="001663CC">
        <w:rPr>
          <w:i/>
          <w:szCs w:val="26"/>
        </w:rPr>
        <w:t>Id.</w:t>
      </w:r>
      <w:r w:rsidR="001663CC">
        <w:rPr>
          <w:szCs w:val="26"/>
        </w:rPr>
        <w:t xml:space="preserve"> at p.</w:t>
      </w:r>
      <w:r w:rsidR="00CC6FE7">
        <w:rPr>
          <w:szCs w:val="26"/>
        </w:rPr>
        <w:t> </w:t>
      </w:r>
      <w:r w:rsidR="001663CC">
        <w:rPr>
          <w:szCs w:val="26"/>
        </w:rPr>
        <w:t>1233.)</w:t>
      </w:r>
    </w:p>
    <w:p w14:paraId="754445B5" w14:textId="77777777" w:rsidR="000319AB" w:rsidRPr="000319AB" w:rsidRDefault="00226599" w:rsidP="000319AB">
      <w:pPr>
        <w:ind w:firstLine="720"/>
        <w:rPr>
          <w:szCs w:val="26"/>
        </w:rPr>
      </w:pPr>
      <w:r>
        <w:rPr>
          <w:szCs w:val="26"/>
        </w:rPr>
        <w:t>N</w:t>
      </w:r>
      <w:r w:rsidR="000319AB" w:rsidRPr="000319AB">
        <w:rPr>
          <w:szCs w:val="26"/>
        </w:rPr>
        <w:t>o such communication</w:t>
      </w:r>
      <w:r w:rsidR="00C11E18">
        <w:rPr>
          <w:szCs w:val="26"/>
        </w:rPr>
        <w:t>s</w:t>
      </w:r>
      <w:r w:rsidR="000319AB" w:rsidRPr="000319AB">
        <w:rPr>
          <w:szCs w:val="26"/>
        </w:rPr>
        <w:t xml:space="preserve"> relating to the building of the NFL st</w:t>
      </w:r>
      <w:r w:rsidR="00DB7552">
        <w:rPr>
          <w:szCs w:val="26"/>
        </w:rPr>
        <w:t xml:space="preserve">adium underlie plaintiffs’ </w:t>
      </w:r>
      <w:r w:rsidR="00C11E18">
        <w:rPr>
          <w:szCs w:val="26"/>
        </w:rPr>
        <w:t>fraud-based</w:t>
      </w:r>
      <w:r w:rsidR="00DB7552">
        <w:rPr>
          <w:szCs w:val="26"/>
        </w:rPr>
        <w:t xml:space="preserve"> claim</w:t>
      </w:r>
      <w:r w:rsidR="00C11E18">
        <w:rPr>
          <w:szCs w:val="26"/>
        </w:rPr>
        <w:t>s</w:t>
      </w:r>
      <w:r w:rsidR="000319AB" w:rsidRPr="000319AB">
        <w:rPr>
          <w:szCs w:val="26"/>
        </w:rPr>
        <w:t>.  True</w:t>
      </w:r>
      <w:r w:rsidR="00844CDB">
        <w:rPr>
          <w:szCs w:val="26"/>
        </w:rPr>
        <w:t xml:space="preserve">:  </w:t>
      </w:r>
      <w:r w:rsidR="000319AB" w:rsidRPr="000319AB">
        <w:rPr>
          <w:szCs w:val="26"/>
        </w:rPr>
        <w:t xml:space="preserve">the defendants </w:t>
      </w:r>
      <w:r w:rsidR="009922C5">
        <w:rPr>
          <w:szCs w:val="26"/>
        </w:rPr>
        <w:t xml:space="preserve">allegedly </w:t>
      </w:r>
      <w:r w:rsidR="00DF538B">
        <w:rPr>
          <w:szCs w:val="26"/>
        </w:rPr>
        <w:t xml:space="preserve">discussed </w:t>
      </w:r>
      <w:r w:rsidR="00AF530D" w:rsidRPr="000319AB">
        <w:rPr>
          <w:szCs w:val="26"/>
        </w:rPr>
        <w:t>bui</w:t>
      </w:r>
      <w:r w:rsidR="00AF530D">
        <w:rPr>
          <w:szCs w:val="26"/>
        </w:rPr>
        <w:t xml:space="preserve">lding a stadium among themselves and </w:t>
      </w:r>
      <w:r w:rsidR="00DF538B">
        <w:rPr>
          <w:szCs w:val="26"/>
        </w:rPr>
        <w:t>with</w:t>
      </w:r>
      <w:r w:rsidR="000319AB" w:rsidRPr="000319AB">
        <w:rPr>
          <w:szCs w:val="26"/>
        </w:rPr>
        <w:t xml:space="preserve"> the NFL</w:t>
      </w:r>
      <w:r w:rsidR="00784B82">
        <w:rPr>
          <w:szCs w:val="26"/>
        </w:rPr>
        <w:t xml:space="preserve">, </w:t>
      </w:r>
      <w:r w:rsidR="00107F4B">
        <w:rPr>
          <w:szCs w:val="26"/>
        </w:rPr>
        <w:t>while</w:t>
      </w:r>
      <w:r w:rsidR="00784B82">
        <w:rPr>
          <w:szCs w:val="26"/>
        </w:rPr>
        <w:t xml:space="preserve"> Bloom </w:t>
      </w:r>
      <w:r w:rsidR="00DF538B">
        <w:rPr>
          <w:szCs w:val="26"/>
        </w:rPr>
        <w:t xml:space="preserve">forged </w:t>
      </w:r>
      <w:r w:rsidR="00784B82">
        <w:rPr>
          <w:szCs w:val="26"/>
        </w:rPr>
        <w:t>a deliberately confusing parallel entity.</w:t>
      </w:r>
      <w:r w:rsidR="000319AB" w:rsidRPr="000319AB">
        <w:rPr>
          <w:szCs w:val="26"/>
        </w:rPr>
        <w:t xml:space="preserve"> </w:t>
      </w:r>
      <w:r w:rsidR="00784B82">
        <w:rPr>
          <w:szCs w:val="26"/>
        </w:rPr>
        <w:t xml:space="preserve"> </w:t>
      </w:r>
      <w:r w:rsidR="000319AB" w:rsidRPr="000319AB">
        <w:rPr>
          <w:szCs w:val="26"/>
        </w:rPr>
        <w:t xml:space="preserve">But those discussions </w:t>
      </w:r>
      <w:r w:rsidR="00BA5952">
        <w:rPr>
          <w:szCs w:val="26"/>
        </w:rPr>
        <w:t xml:space="preserve">and activities </w:t>
      </w:r>
      <w:r w:rsidR="000319AB" w:rsidRPr="000319AB">
        <w:rPr>
          <w:szCs w:val="26"/>
        </w:rPr>
        <w:t xml:space="preserve">are not the misrepresentations that </w:t>
      </w:r>
      <w:r w:rsidR="00BA5952">
        <w:rPr>
          <w:szCs w:val="26"/>
        </w:rPr>
        <w:t>form</w:t>
      </w:r>
      <w:r w:rsidR="000319AB" w:rsidRPr="000319AB">
        <w:rPr>
          <w:szCs w:val="26"/>
        </w:rPr>
        <w:t xml:space="preserve"> the basis of the </w:t>
      </w:r>
      <w:r w:rsidR="00C11E18">
        <w:rPr>
          <w:szCs w:val="26"/>
        </w:rPr>
        <w:t>fraud</w:t>
      </w:r>
      <w:r w:rsidR="000319AB" w:rsidRPr="000319AB">
        <w:rPr>
          <w:szCs w:val="26"/>
        </w:rPr>
        <w:t xml:space="preserve">.  Rather, they </w:t>
      </w:r>
      <w:r w:rsidR="00DF538B">
        <w:rPr>
          <w:szCs w:val="26"/>
        </w:rPr>
        <w:t>serve as</w:t>
      </w:r>
      <w:r w:rsidR="00DF538B" w:rsidRPr="000319AB">
        <w:rPr>
          <w:szCs w:val="26"/>
        </w:rPr>
        <w:t xml:space="preserve"> </w:t>
      </w:r>
      <w:r w:rsidR="000319AB" w:rsidRPr="000319AB">
        <w:rPr>
          <w:szCs w:val="26"/>
        </w:rPr>
        <w:t xml:space="preserve">evidence that </w:t>
      </w:r>
      <w:r w:rsidR="00845FC5">
        <w:rPr>
          <w:szCs w:val="26"/>
        </w:rPr>
        <w:t>the City’s</w:t>
      </w:r>
      <w:r w:rsidR="000319AB" w:rsidRPr="000319AB">
        <w:rPr>
          <w:szCs w:val="26"/>
        </w:rPr>
        <w:t xml:space="preserve"> </w:t>
      </w:r>
      <w:r w:rsidR="00845FC5">
        <w:rPr>
          <w:szCs w:val="26"/>
        </w:rPr>
        <w:t>statements</w:t>
      </w:r>
      <w:r w:rsidR="000319AB" w:rsidRPr="000319AB">
        <w:rPr>
          <w:szCs w:val="26"/>
        </w:rPr>
        <w:t xml:space="preserve"> to plaintiffs in denying Bloom’s involvement were fraudulent.  (See </w:t>
      </w:r>
      <w:r w:rsidR="000319AB" w:rsidRPr="000319AB">
        <w:rPr>
          <w:i/>
          <w:szCs w:val="26"/>
        </w:rPr>
        <w:t>Park</w:t>
      </w:r>
      <w:r w:rsidR="000319AB" w:rsidRPr="000319AB">
        <w:rPr>
          <w:szCs w:val="26"/>
        </w:rPr>
        <w:t xml:space="preserve">, </w:t>
      </w:r>
      <w:r w:rsidR="000319AB" w:rsidRPr="000319AB">
        <w:rPr>
          <w:i/>
          <w:szCs w:val="26"/>
        </w:rPr>
        <w:t>supra</w:t>
      </w:r>
      <w:r w:rsidR="000319AB" w:rsidRPr="000319AB">
        <w:rPr>
          <w:szCs w:val="26"/>
        </w:rPr>
        <w:t xml:space="preserve">, 2 Cal.5th at p. 1068.)  In other words, communications exchanged between the City, the Bloom </w:t>
      </w:r>
      <w:r w:rsidR="000319AB" w:rsidRPr="000319AB">
        <w:rPr>
          <w:szCs w:val="26"/>
        </w:rPr>
        <w:lastRenderedPageBreak/>
        <w:t xml:space="preserve">defendants, and the NFL did not defraud plaintiffs; the </w:t>
      </w:r>
      <w:r w:rsidR="00C11E18">
        <w:rPr>
          <w:szCs w:val="26"/>
        </w:rPr>
        <w:t xml:space="preserve">City </w:t>
      </w:r>
      <w:r w:rsidR="000319AB" w:rsidRPr="000319AB">
        <w:rPr>
          <w:szCs w:val="26"/>
        </w:rPr>
        <w:t>defendants’ lie a</w:t>
      </w:r>
      <w:r>
        <w:rPr>
          <w:szCs w:val="26"/>
        </w:rPr>
        <w:t xml:space="preserve">bout their communications did.  </w:t>
      </w:r>
      <w:r w:rsidR="000319AB" w:rsidRPr="000319AB">
        <w:rPr>
          <w:szCs w:val="26"/>
        </w:rPr>
        <w:t xml:space="preserve">The lie, however, related only to the matter of </w:t>
      </w:r>
      <w:r w:rsidR="000319AB" w:rsidRPr="000319AB">
        <w:rPr>
          <w:i/>
          <w:szCs w:val="26"/>
        </w:rPr>
        <w:t xml:space="preserve">who </w:t>
      </w:r>
      <w:r w:rsidR="000319AB" w:rsidRPr="000319AB">
        <w:rPr>
          <w:szCs w:val="26"/>
        </w:rPr>
        <w:t>was representing the City.  It had nothing to do with the merits of whether, how, and in what form the stadium should be built.</w:t>
      </w:r>
    </w:p>
    <w:p w14:paraId="5733147B" w14:textId="77777777" w:rsidR="00603F28" w:rsidRDefault="00B53050" w:rsidP="000319AB">
      <w:pPr>
        <w:ind w:firstLine="720"/>
        <w:rPr>
          <w:szCs w:val="26"/>
        </w:rPr>
      </w:pPr>
      <w:r>
        <w:rPr>
          <w:szCs w:val="26"/>
        </w:rPr>
        <w:t>Defendants also</w:t>
      </w:r>
      <w:r w:rsidR="000319AB" w:rsidRPr="000319AB">
        <w:rPr>
          <w:szCs w:val="26"/>
        </w:rPr>
        <w:t xml:space="preserve"> argue </w:t>
      </w:r>
      <w:r w:rsidR="00845FC5">
        <w:rPr>
          <w:szCs w:val="26"/>
        </w:rPr>
        <w:t xml:space="preserve">that </w:t>
      </w:r>
      <w:r w:rsidR="000319AB" w:rsidRPr="000319AB">
        <w:rPr>
          <w:szCs w:val="26"/>
        </w:rPr>
        <w:t>the issue of who served as the City’s agent is a matter of public significance because “the better the negotiating party, the more likely that an NF</w:t>
      </w:r>
      <w:r w:rsidR="00226599">
        <w:rPr>
          <w:szCs w:val="26"/>
        </w:rPr>
        <w:t xml:space="preserve">L stadium would be delivered.”  </w:t>
      </w:r>
      <w:r w:rsidR="000319AB" w:rsidRPr="000319AB">
        <w:rPr>
          <w:szCs w:val="26"/>
        </w:rPr>
        <w:t xml:space="preserve">As a preliminary matter, we reject the proposition that any connection at all — however </w:t>
      </w:r>
      <w:r w:rsidR="00DF538B">
        <w:rPr>
          <w:szCs w:val="26"/>
        </w:rPr>
        <w:t>fleeting or tangential</w:t>
      </w:r>
      <w:r w:rsidR="00DF538B" w:rsidRPr="000319AB">
        <w:rPr>
          <w:szCs w:val="26"/>
        </w:rPr>
        <w:t xml:space="preserve"> </w:t>
      </w:r>
      <w:r w:rsidR="000319AB" w:rsidRPr="000319AB">
        <w:rPr>
          <w:szCs w:val="26"/>
        </w:rPr>
        <w:t xml:space="preserve">— between the challenged conduct and an issue of public interest would suffice to satisfy the requirements of section 425.16, subdivision (e)(4).  (See, e.g., </w:t>
      </w:r>
      <w:r w:rsidR="000319AB" w:rsidRPr="000319AB">
        <w:rPr>
          <w:i/>
          <w:szCs w:val="26"/>
        </w:rPr>
        <w:t>Jewett v. Capital One Bank</w:t>
      </w:r>
      <w:r w:rsidR="000319AB" w:rsidRPr="000319AB">
        <w:rPr>
          <w:szCs w:val="26"/>
        </w:rPr>
        <w:t xml:space="preserve"> (2003) 113 Cal.App.4th 805, 814 [reversing the grant of a special motion to strike when “the attempt to connect the solicitations [the speech at hand] with an issue of public interest is tenuous at best”]; </w:t>
      </w:r>
      <w:proofErr w:type="spellStart"/>
      <w:r w:rsidR="000319AB" w:rsidRPr="000319AB">
        <w:rPr>
          <w:i/>
          <w:szCs w:val="26"/>
        </w:rPr>
        <w:t>Bikkina</w:t>
      </w:r>
      <w:proofErr w:type="spellEnd"/>
      <w:r w:rsidR="000319AB" w:rsidRPr="000319AB">
        <w:rPr>
          <w:i/>
          <w:szCs w:val="26"/>
        </w:rPr>
        <w:t xml:space="preserve"> v. Mahadevan </w:t>
      </w:r>
      <w:r w:rsidR="000319AB" w:rsidRPr="000319AB">
        <w:rPr>
          <w:szCs w:val="26"/>
        </w:rPr>
        <w:t>(2015) 241 Cal.App.4th 70, 84 (</w:t>
      </w:r>
      <w:proofErr w:type="spellStart"/>
      <w:r w:rsidR="000319AB" w:rsidRPr="000319AB">
        <w:rPr>
          <w:i/>
          <w:szCs w:val="26"/>
        </w:rPr>
        <w:t>Bikkina</w:t>
      </w:r>
      <w:proofErr w:type="spellEnd"/>
      <w:r w:rsidR="000319AB" w:rsidRPr="000319AB">
        <w:rPr>
          <w:szCs w:val="26"/>
        </w:rPr>
        <w:t xml:space="preserve">) [holding that the defendant’s statements did not qualify as being in connection with an issue of public interest when the </w:t>
      </w:r>
      <w:r w:rsidR="00845FC5">
        <w:rPr>
          <w:szCs w:val="26"/>
        </w:rPr>
        <w:t>“</w:t>
      </w:r>
      <w:r w:rsidR="000319AB" w:rsidRPr="000319AB">
        <w:rPr>
          <w:szCs w:val="26"/>
        </w:rPr>
        <w:t xml:space="preserve">statements were only remotely related to the broader subject of global warming or climate change”].)  </w:t>
      </w:r>
    </w:p>
    <w:p w14:paraId="5DA5A9E5" w14:textId="77777777" w:rsidR="000319AB" w:rsidRDefault="00DF538B" w:rsidP="000319AB">
      <w:pPr>
        <w:ind w:firstLine="720"/>
        <w:rPr>
          <w:szCs w:val="26"/>
        </w:rPr>
      </w:pPr>
      <w:r>
        <w:rPr>
          <w:szCs w:val="26"/>
        </w:rPr>
        <w:t>At a</w:t>
      </w:r>
      <w:r w:rsidRPr="000319AB">
        <w:rPr>
          <w:szCs w:val="26"/>
        </w:rPr>
        <w:t xml:space="preserve"> </w:t>
      </w:r>
      <w:r w:rsidR="000319AB" w:rsidRPr="000319AB">
        <w:rPr>
          <w:szCs w:val="26"/>
        </w:rPr>
        <w:t xml:space="preserve">sufficiently high </w:t>
      </w:r>
      <w:r>
        <w:rPr>
          <w:szCs w:val="26"/>
        </w:rPr>
        <w:t>level</w:t>
      </w:r>
      <w:r w:rsidRPr="000319AB">
        <w:rPr>
          <w:szCs w:val="26"/>
        </w:rPr>
        <w:t xml:space="preserve"> </w:t>
      </w:r>
      <w:r w:rsidR="000319AB" w:rsidRPr="000319AB">
        <w:rPr>
          <w:szCs w:val="26"/>
        </w:rPr>
        <w:t xml:space="preserve">of generalization, any conduct </w:t>
      </w:r>
      <w:r>
        <w:rPr>
          <w:szCs w:val="26"/>
        </w:rPr>
        <w:t>can appear</w:t>
      </w:r>
      <w:r w:rsidR="00603F28">
        <w:rPr>
          <w:szCs w:val="26"/>
        </w:rPr>
        <w:t xml:space="preserve"> </w:t>
      </w:r>
      <w:r w:rsidR="000319AB" w:rsidRPr="000319AB">
        <w:rPr>
          <w:szCs w:val="26"/>
        </w:rPr>
        <w:t xml:space="preserve">rationally related to a </w:t>
      </w:r>
      <w:r w:rsidR="001B4A34">
        <w:rPr>
          <w:szCs w:val="26"/>
        </w:rPr>
        <w:t>broader</w:t>
      </w:r>
      <w:r w:rsidR="001B4A34" w:rsidRPr="000319AB">
        <w:rPr>
          <w:szCs w:val="26"/>
        </w:rPr>
        <w:t xml:space="preserve"> </w:t>
      </w:r>
      <w:r w:rsidR="000319AB" w:rsidRPr="000319AB">
        <w:rPr>
          <w:szCs w:val="26"/>
        </w:rPr>
        <w:t xml:space="preserve">issue of public importance.  </w:t>
      </w:r>
      <w:r w:rsidR="00F00E99">
        <w:rPr>
          <w:szCs w:val="26"/>
        </w:rPr>
        <w:t>What a court scrutinizing the nature of speech in the anti-SLAPP context must focus</w:t>
      </w:r>
      <w:r w:rsidR="00AF530D">
        <w:rPr>
          <w:szCs w:val="26"/>
        </w:rPr>
        <w:t xml:space="preserve"> </w:t>
      </w:r>
      <w:r w:rsidR="000319AB" w:rsidRPr="000319AB">
        <w:rPr>
          <w:szCs w:val="26"/>
        </w:rPr>
        <w:t xml:space="preserve">on </w:t>
      </w:r>
      <w:r w:rsidR="00F00E99">
        <w:rPr>
          <w:szCs w:val="26"/>
        </w:rPr>
        <w:t xml:space="preserve">is </w:t>
      </w:r>
      <w:r w:rsidR="000319AB" w:rsidRPr="000319AB">
        <w:rPr>
          <w:szCs w:val="26"/>
        </w:rPr>
        <w:t xml:space="preserve">the speech at hand, rather than the prospects that such speech may </w:t>
      </w:r>
      <w:r w:rsidR="009A3704">
        <w:rPr>
          <w:szCs w:val="26"/>
        </w:rPr>
        <w:t xml:space="preserve">conceivably </w:t>
      </w:r>
      <w:r w:rsidR="000319AB" w:rsidRPr="000319AB">
        <w:rPr>
          <w:szCs w:val="26"/>
        </w:rPr>
        <w:t xml:space="preserve">have indirect consequences </w:t>
      </w:r>
      <w:r w:rsidR="009B26E1">
        <w:rPr>
          <w:szCs w:val="26"/>
        </w:rPr>
        <w:t>for</w:t>
      </w:r>
      <w:r w:rsidR="000319AB" w:rsidRPr="000319AB">
        <w:rPr>
          <w:szCs w:val="26"/>
        </w:rPr>
        <w:t xml:space="preserve"> an issue of public concern.  (E.g., </w:t>
      </w:r>
      <w:proofErr w:type="spellStart"/>
      <w:r w:rsidR="000319AB" w:rsidRPr="000319AB">
        <w:rPr>
          <w:i/>
          <w:szCs w:val="26"/>
        </w:rPr>
        <w:t>Bikkina</w:t>
      </w:r>
      <w:proofErr w:type="spellEnd"/>
      <w:r w:rsidR="000319AB" w:rsidRPr="000319AB">
        <w:rPr>
          <w:szCs w:val="26"/>
        </w:rPr>
        <w:t xml:space="preserve">, </w:t>
      </w:r>
      <w:r w:rsidR="000319AB" w:rsidRPr="000319AB">
        <w:rPr>
          <w:i/>
          <w:szCs w:val="26"/>
        </w:rPr>
        <w:t>supra</w:t>
      </w:r>
      <w:r w:rsidR="000319AB" w:rsidRPr="000319AB">
        <w:rPr>
          <w:szCs w:val="26"/>
        </w:rPr>
        <w:t xml:space="preserve">, 241 Cal.App.4th at p. 85 [“Here, the specific nature of the speech was about falsified data and plagiarism in two scientific papers, not about global warming”]; </w:t>
      </w:r>
      <w:r w:rsidR="000319AB" w:rsidRPr="000319AB">
        <w:rPr>
          <w:i/>
          <w:szCs w:val="26"/>
        </w:rPr>
        <w:t xml:space="preserve">Consumer </w:t>
      </w:r>
      <w:r w:rsidR="000319AB" w:rsidRPr="000319AB">
        <w:rPr>
          <w:i/>
          <w:szCs w:val="26"/>
        </w:rPr>
        <w:lastRenderedPageBreak/>
        <w:t xml:space="preserve">Justice Center v. </w:t>
      </w:r>
      <w:proofErr w:type="spellStart"/>
      <w:r w:rsidR="000319AB" w:rsidRPr="000319AB">
        <w:rPr>
          <w:i/>
          <w:szCs w:val="26"/>
        </w:rPr>
        <w:t>Trimedica</w:t>
      </w:r>
      <w:proofErr w:type="spellEnd"/>
      <w:r w:rsidR="000319AB" w:rsidRPr="000319AB">
        <w:rPr>
          <w:i/>
          <w:szCs w:val="26"/>
        </w:rPr>
        <w:t xml:space="preserve"> International, Inc.</w:t>
      </w:r>
      <w:r w:rsidR="000319AB" w:rsidRPr="000319AB">
        <w:rPr>
          <w:szCs w:val="26"/>
        </w:rPr>
        <w:t> (2003) 107 Cal.App.4th 595, 601 [“I</w:t>
      </w:r>
      <w:r w:rsidR="00143F02">
        <w:rPr>
          <w:szCs w:val="26"/>
        </w:rPr>
        <w:t xml:space="preserve">f we were to accept [defendant’s] </w:t>
      </w:r>
      <w:r w:rsidR="000319AB" w:rsidRPr="000319AB">
        <w:rPr>
          <w:szCs w:val="26"/>
        </w:rPr>
        <w:t xml:space="preserve">argument that we should examine the nature of the speech in terms of generalities instead of specifics, then nearly any claim could be sufficiently abstracted to fall within the anti-SLAPP statute”]; </w:t>
      </w:r>
      <w:r w:rsidR="000319AB" w:rsidRPr="000319AB">
        <w:rPr>
          <w:i/>
          <w:szCs w:val="26"/>
        </w:rPr>
        <w:t>Commonwealth Energy Corp. v. Investor Data Exchange, Inc.</w:t>
      </w:r>
      <w:r w:rsidR="000319AB" w:rsidRPr="000319AB">
        <w:rPr>
          <w:szCs w:val="26"/>
        </w:rPr>
        <w:t> (2003) 110 Cal.App.4th 26, 34 [“While investment scams </w:t>
      </w:r>
      <w:r w:rsidR="000319AB" w:rsidRPr="000319AB">
        <w:rPr>
          <w:i/>
          <w:iCs/>
          <w:szCs w:val="26"/>
        </w:rPr>
        <w:t>generally</w:t>
      </w:r>
      <w:r w:rsidR="000319AB" w:rsidRPr="000319AB">
        <w:rPr>
          <w:szCs w:val="26"/>
        </w:rPr>
        <w:t> might affect large numbers of people, the specific speech here was a telemarketing pitch for a particular service marketed to a very few numb</w:t>
      </w:r>
      <w:r w:rsidR="00143F02">
        <w:rPr>
          <w:szCs w:val="26"/>
        </w:rPr>
        <w:t>er of people. . . </w:t>
      </w:r>
      <w:r w:rsidR="000319AB" w:rsidRPr="000319AB">
        <w:rPr>
          <w:szCs w:val="26"/>
        </w:rPr>
        <w:t xml:space="preserve">. </w:t>
      </w:r>
      <w:r w:rsidR="0070024B">
        <w:rPr>
          <w:szCs w:val="26"/>
        </w:rPr>
        <w:t xml:space="preserve"> </w:t>
      </w:r>
      <w:r w:rsidR="000319AB" w:rsidRPr="000319AB">
        <w:rPr>
          <w:szCs w:val="26"/>
        </w:rPr>
        <w:t>The speech was about [defendant</w:t>
      </w:r>
      <w:r w:rsidR="00143F02">
        <w:rPr>
          <w:szCs w:val="26"/>
        </w:rPr>
        <w:t>’s</w:t>
      </w:r>
      <w:r w:rsidR="000319AB" w:rsidRPr="000319AB">
        <w:rPr>
          <w:szCs w:val="26"/>
        </w:rPr>
        <w:t>] </w:t>
      </w:r>
      <w:r w:rsidR="000319AB" w:rsidRPr="000319AB">
        <w:rPr>
          <w:i/>
          <w:iCs/>
          <w:szCs w:val="26"/>
        </w:rPr>
        <w:t>services</w:t>
      </w:r>
      <w:r w:rsidR="000319AB" w:rsidRPr="000319AB">
        <w:rPr>
          <w:szCs w:val="26"/>
        </w:rPr>
        <w:t xml:space="preserve">, not about investment scams in general”].) </w:t>
      </w:r>
    </w:p>
    <w:p w14:paraId="37738FA8" w14:textId="77777777" w:rsidR="00226599" w:rsidRPr="000319AB" w:rsidRDefault="00143F02" w:rsidP="000319AB">
      <w:pPr>
        <w:ind w:firstLine="720"/>
        <w:rPr>
          <w:szCs w:val="26"/>
        </w:rPr>
      </w:pPr>
      <w:r>
        <w:rPr>
          <w:szCs w:val="26"/>
        </w:rPr>
        <w:t xml:space="preserve">We acknowledge that </w:t>
      </w:r>
      <w:r w:rsidR="00226599">
        <w:rPr>
          <w:szCs w:val="26"/>
        </w:rPr>
        <w:t xml:space="preserve">who </w:t>
      </w:r>
      <w:r w:rsidR="0015442A">
        <w:rPr>
          <w:szCs w:val="26"/>
        </w:rPr>
        <w:t xml:space="preserve">precisely </w:t>
      </w:r>
      <w:r w:rsidR="00226599">
        <w:rPr>
          <w:szCs w:val="26"/>
        </w:rPr>
        <w:t xml:space="preserve">represents a city in sports franchise negotiations </w:t>
      </w:r>
      <w:r w:rsidR="000F4CEE">
        <w:rPr>
          <w:szCs w:val="26"/>
        </w:rPr>
        <w:t xml:space="preserve">could </w:t>
      </w:r>
      <w:r w:rsidR="009A3704">
        <w:rPr>
          <w:szCs w:val="26"/>
        </w:rPr>
        <w:t xml:space="preserve">indeed </w:t>
      </w:r>
      <w:r w:rsidR="000F4CEE">
        <w:rPr>
          <w:szCs w:val="26"/>
        </w:rPr>
        <w:t>conceivably</w:t>
      </w:r>
      <w:r w:rsidR="002E1C49">
        <w:rPr>
          <w:szCs w:val="26"/>
        </w:rPr>
        <w:t xml:space="preserve"> </w:t>
      </w:r>
      <w:r w:rsidR="0015442A">
        <w:rPr>
          <w:szCs w:val="26"/>
        </w:rPr>
        <w:t>prove a matter</w:t>
      </w:r>
      <w:r w:rsidR="00226599">
        <w:rPr>
          <w:szCs w:val="26"/>
        </w:rPr>
        <w:t xml:space="preserve"> of public interest.  </w:t>
      </w:r>
      <w:r>
        <w:rPr>
          <w:szCs w:val="26"/>
        </w:rPr>
        <w:t>The</w:t>
      </w:r>
      <w:r w:rsidR="00226599">
        <w:rPr>
          <w:szCs w:val="26"/>
        </w:rPr>
        <w:t xml:space="preserve"> identity of the speaker and </w:t>
      </w:r>
      <w:r w:rsidR="00226599" w:rsidRPr="000319AB">
        <w:rPr>
          <w:szCs w:val="26"/>
        </w:rPr>
        <w:t>the concededly important subj</w:t>
      </w:r>
      <w:r w:rsidR="00226599">
        <w:rPr>
          <w:szCs w:val="26"/>
        </w:rPr>
        <w:t xml:space="preserve">ect of the speaker’s speech </w:t>
      </w:r>
      <w:r w:rsidR="002E1C49">
        <w:rPr>
          <w:szCs w:val="26"/>
        </w:rPr>
        <w:t>may</w:t>
      </w:r>
      <w:r w:rsidR="00AC6FA8">
        <w:rPr>
          <w:szCs w:val="26"/>
        </w:rPr>
        <w:t>, in some cases,</w:t>
      </w:r>
      <w:r w:rsidR="00226599">
        <w:rPr>
          <w:szCs w:val="26"/>
        </w:rPr>
        <w:t xml:space="preserve"> </w:t>
      </w:r>
      <w:r w:rsidR="00226599" w:rsidRPr="000319AB">
        <w:rPr>
          <w:szCs w:val="26"/>
        </w:rPr>
        <w:t>be sufficiently linked so that the speech relating to the speaker’s identity constitutes “conduct in furtherance of the exercise of the constitutional right of . . . free speech in connection with a public issue or an</w:t>
      </w:r>
      <w:r>
        <w:rPr>
          <w:szCs w:val="26"/>
        </w:rPr>
        <w:t xml:space="preserve"> issue of public interest.”  (§ </w:t>
      </w:r>
      <w:r w:rsidR="00226599" w:rsidRPr="000319AB">
        <w:rPr>
          <w:szCs w:val="26"/>
        </w:rPr>
        <w:t xml:space="preserve">425.16, </w:t>
      </w:r>
      <w:proofErr w:type="spellStart"/>
      <w:r w:rsidR="00226599" w:rsidRPr="000319AB">
        <w:rPr>
          <w:szCs w:val="26"/>
        </w:rPr>
        <w:t>subd</w:t>
      </w:r>
      <w:proofErr w:type="spellEnd"/>
      <w:r w:rsidR="00226599" w:rsidRPr="000319AB">
        <w:rPr>
          <w:szCs w:val="26"/>
        </w:rPr>
        <w:t xml:space="preserve">. (e)(4).)  But defendants’ argument does not allow us to </w:t>
      </w:r>
      <w:r w:rsidR="009A3704">
        <w:rPr>
          <w:szCs w:val="26"/>
        </w:rPr>
        <w:t>justify</w:t>
      </w:r>
      <w:r w:rsidR="009A3704" w:rsidRPr="000319AB">
        <w:rPr>
          <w:szCs w:val="26"/>
        </w:rPr>
        <w:t xml:space="preserve"> </w:t>
      </w:r>
      <w:r w:rsidR="00226599" w:rsidRPr="000319AB">
        <w:rPr>
          <w:szCs w:val="26"/>
        </w:rPr>
        <w:t>such a conclusion here</w:t>
      </w:r>
      <w:r w:rsidR="001B4A34">
        <w:rPr>
          <w:szCs w:val="26"/>
        </w:rPr>
        <w:t xml:space="preserve">.  </w:t>
      </w:r>
      <w:r w:rsidR="005E4DCA">
        <w:rPr>
          <w:szCs w:val="26"/>
        </w:rPr>
        <w:t xml:space="preserve">Defendants failed to suggest </w:t>
      </w:r>
      <w:r w:rsidR="0015442A">
        <w:rPr>
          <w:szCs w:val="26"/>
        </w:rPr>
        <w:t xml:space="preserve">anything </w:t>
      </w:r>
      <w:r w:rsidR="005E4DCA">
        <w:rPr>
          <w:szCs w:val="26"/>
        </w:rPr>
        <w:t xml:space="preserve">more than </w:t>
      </w:r>
      <w:r w:rsidR="0015442A">
        <w:rPr>
          <w:szCs w:val="26"/>
        </w:rPr>
        <w:t xml:space="preserve">the most </w:t>
      </w:r>
      <w:r w:rsidR="005E4DCA">
        <w:rPr>
          <w:szCs w:val="26"/>
        </w:rPr>
        <w:t>attenuated connection between the identity of the City’s agent and a matter of public importance.</w:t>
      </w:r>
      <w:r w:rsidR="00F351B9" w:rsidRPr="003B545B">
        <w:rPr>
          <w:b/>
          <w:szCs w:val="26"/>
          <w:vertAlign w:val="superscript"/>
        </w:rPr>
        <w:footnoteReference w:id="6"/>
      </w:r>
      <w:r w:rsidR="00226599">
        <w:t xml:space="preserve">  Nor is there anything in the record to support the </w:t>
      </w:r>
      <w:r w:rsidR="00226599">
        <w:lastRenderedPageBreak/>
        <w:t xml:space="preserve">conclusion that the nature of the representation at issue involved </w:t>
      </w:r>
      <w:r w:rsidR="00BD6A98">
        <w:t>more</w:t>
      </w:r>
      <w:r w:rsidR="00226599">
        <w:t xml:space="preserve"> than routine functions ordinarily associated with such arrangements.</w:t>
      </w:r>
      <w:r w:rsidR="00B24F71">
        <w:t xml:space="preserve">  </w:t>
      </w:r>
      <w:r w:rsidR="00226599">
        <w:t>The failure to introduce such evidence is a material deficiency since defendants bear the burden at the first stage of the anti-SLAPP analysis</w:t>
      </w:r>
      <w:r w:rsidR="00F16AAE">
        <w:t xml:space="preserve">.  </w:t>
      </w:r>
      <w:r w:rsidR="00F16AAE" w:rsidRPr="00E33DB4">
        <w:t xml:space="preserve">(See </w:t>
      </w:r>
      <w:proofErr w:type="spellStart"/>
      <w:r w:rsidR="00F16AAE" w:rsidRPr="00E33DB4">
        <w:rPr>
          <w:i/>
        </w:rPr>
        <w:t>Baral</w:t>
      </w:r>
      <w:proofErr w:type="spellEnd"/>
      <w:r w:rsidR="00F16AAE" w:rsidRPr="00E33DB4">
        <w:t xml:space="preserve">, </w:t>
      </w:r>
      <w:r w:rsidR="00F16AAE" w:rsidRPr="00E33DB4">
        <w:rPr>
          <w:i/>
        </w:rPr>
        <w:t>supra</w:t>
      </w:r>
      <w:r w:rsidR="00F16AAE" w:rsidRPr="00E33DB4">
        <w:t>, 1 Cal.5th at p. 396 [“At the first step, the moving defendant bears the burden of identifying all allegations of protected activity, and the claims fo</w:t>
      </w:r>
      <w:r w:rsidR="00F16AAE">
        <w:t xml:space="preserve">r relief supported by them”].)  </w:t>
      </w:r>
      <w:r w:rsidR="00226599">
        <w:t>Defendants have not carried their burden.</w:t>
      </w:r>
    </w:p>
    <w:p w14:paraId="675AF539" w14:textId="77777777" w:rsidR="00226599" w:rsidRDefault="000319AB" w:rsidP="000319AB">
      <w:pPr>
        <w:ind w:firstLine="720"/>
        <w:rPr>
          <w:szCs w:val="26"/>
        </w:rPr>
      </w:pPr>
      <w:r w:rsidRPr="000319AB">
        <w:rPr>
          <w:szCs w:val="26"/>
        </w:rPr>
        <w:t xml:space="preserve">Ultimately, the conversations underlying plaintiffs’ claims focus on who should be responsible for </w:t>
      </w:r>
      <w:r w:rsidR="00602A33">
        <w:rPr>
          <w:szCs w:val="26"/>
        </w:rPr>
        <w:t>day-to-day</w:t>
      </w:r>
      <w:r w:rsidRPr="000319AB">
        <w:rPr>
          <w:szCs w:val="26"/>
        </w:rPr>
        <w:t xml:space="preserve"> functions associated with representing the City, not whether an NFL stadi</w:t>
      </w:r>
      <w:r w:rsidR="00226599">
        <w:rPr>
          <w:szCs w:val="26"/>
        </w:rPr>
        <w:t>um should be built.</w:t>
      </w:r>
      <w:r w:rsidR="00787E36">
        <w:rPr>
          <w:szCs w:val="26"/>
        </w:rPr>
        <w:t xml:space="preserve">  Any furtive communications and behind-the-scenes machinations that </w:t>
      </w:r>
      <w:r w:rsidR="00787E36">
        <w:rPr>
          <w:i/>
          <w:szCs w:val="26"/>
        </w:rPr>
        <w:t>did</w:t>
      </w:r>
      <w:r w:rsidR="00787E36">
        <w:rPr>
          <w:szCs w:val="26"/>
        </w:rPr>
        <w:t xml:space="preserve"> relate to the merits of an NFL stadium did not form the basis of plaintiffs’ fraud claims.</w:t>
      </w:r>
    </w:p>
    <w:p w14:paraId="277E79B4" w14:textId="77777777" w:rsidR="00226599" w:rsidRDefault="00093EF7" w:rsidP="000319AB">
      <w:pPr>
        <w:ind w:firstLine="720"/>
        <w:rPr>
          <w:szCs w:val="26"/>
        </w:rPr>
      </w:pPr>
      <w:r>
        <w:t>Similar complications arise in plaintiffs</w:t>
      </w:r>
      <w:r w:rsidR="00845FC5">
        <w:t>’</w:t>
      </w:r>
      <w:r w:rsidR="002D2FE4">
        <w:t xml:space="preserve"> third </w:t>
      </w:r>
      <w:r w:rsidR="004C66A1">
        <w:t>claim, for promissory fraud against the City defendants</w:t>
      </w:r>
      <w:r w:rsidR="00787E36">
        <w:t xml:space="preserve">.  Promissory fraud </w:t>
      </w:r>
      <w:r>
        <w:t>arises</w:t>
      </w:r>
      <w:r w:rsidR="00DE7E79">
        <w:t xml:space="preserve"> where a promise is made without </w:t>
      </w:r>
      <w:r>
        <w:t>any</w:t>
      </w:r>
      <w:r w:rsidR="00DE7E79">
        <w:t xml:space="preserve"> intention to perform. </w:t>
      </w:r>
      <w:r w:rsidR="00845FC5">
        <w:t xml:space="preserve"> </w:t>
      </w:r>
      <w:r w:rsidR="00DE7E79" w:rsidRPr="00926DE4">
        <w:rPr>
          <w:szCs w:val="26"/>
        </w:rPr>
        <w:t>(</w:t>
      </w:r>
      <w:r w:rsidR="00DE7E79" w:rsidRPr="00926DE4">
        <w:rPr>
          <w:i/>
          <w:szCs w:val="26"/>
        </w:rPr>
        <w:t>Lazar v. Superior Court</w:t>
      </w:r>
      <w:r w:rsidR="00DE7E79" w:rsidRPr="00926DE4">
        <w:rPr>
          <w:szCs w:val="26"/>
        </w:rPr>
        <w:t xml:space="preserve"> (1996) 12 Cal.4th 631, 638 [“A promise to do something necessarily implies the intention to perform; hence, where a promise is made without such intention, there is an implied misrepresentation of fact that may be actionable fraud”].)</w:t>
      </w:r>
      <w:r w:rsidR="00405F3F">
        <w:rPr>
          <w:szCs w:val="26"/>
        </w:rPr>
        <w:t xml:space="preserve">  The claim arises </w:t>
      </w:r>
      <w:r w:rsidR="001504F1">
        <w:rPr>
          <w:szCs w:val="26"/>
        </w:rPr>
        <w:t>directly</w:t>
      </w:r>
      <w:r w:rsidR="00E119B6">
        <w:rPr>
          <w:szCs w:val="26"/>
        </w:rPr>
        <w:t xml:space="preserve"> </w:t>
      </w:r>
      <w:r w:rsidR="00405F3F">
        <w:rPr>
          <w:szCs w:val="26"/>
        </w:rPr>
        <w:t xml:space="preserve">from </w:t>
      </w:r>
      <w:proofErr w:type="spellStart"/>
      <w:r w:rsidR="00405F3F">
        <w:rPr>
          <w:szCs w:val="26"/>
        </w:rPr>
        <w:t>Wynder’s</w:t>
      </w:r>
      <w:proofErr w:type="spellEnd"/>
      <w:r w:rsidR="00405F3F">
        <w:rPr>
          <w:szCs w:val="26"/>
        </w:rPr>
        <w:t xml:space="preserve"> statement to Rand, before he signed the EAA, that “so long as Plaintiffs showed reasonable progress with respect to bringing an NFL franchise to Carson, the EAA would be extended,” </w:t>
      </w:r>
      <w:r w:rsidR="00405F3F">
        <w:rPr>
          <w:szCs w:val="26"/>
        </w:rPr>
        <w:lastRenderedPageBreak/>
        <w:t>followed by the City Council’s denial of an extension to the EAA in 2014.</w:t>
      </w:r>
    </w:p>
    <w:p w14:paraId="3A0FBABE" w14:textId="77777777" w:rsidR="00405F3F" w:rsidRPr="00405F3F" w:rsidRDefault="00405F3F" w:rsidP="00405F3F">
      <w:pPr>
        <w:ind w:firstLine="720"/>
        <w:rPr>
          <w:szCs w:val="26"/>
        </w:rPr>
      </w:pPr>
      <w:r>
        <w:rPr>
          <w:szCs w:val="26"/>
        </w:rPr>
        <w:t xml:space="preserve">Because </w:t>
      </w:r>
      <w:proofErr w:type="spellStart"/>
      <w:r>
        <w:rPr>
          <w:szCs w:val="26"/>
        </w:rPr>
        <w:t>Wynder’s</w:t>
      </w:r>
      <w:proofErr w:type="spellEnd"/>
      <w:r>
        <w:rPr>
          <w:szCs w:val="26"/>
        </w:rPr>
        <w:t xml:space="preserve"> promise </w:t>
      </w:r>
      <w:r w:rsidR="00E83515">
        <w:rPr>
          <w:szCs w:val="26"/>
        </w:rPr>
        <w:t xml:space="preserve">supplies </w:t>
      </w:r>
      <w:r>
        <w:rPr>
          <w:szCs w:val="26"/>
        </w:rPr>
        <w:t>an element of the promissory fraud claim</w:t>
      </w:r>
      <w:r w:rsidR="001504F1">
        <w:rPr>
          <w:szCs w:val="26"/>
        </w:rPr>
        <w:t xml:space="preserve"> </w:t>
      </w:r>
      <w:r w:rsidRPr="00405F3F">
        <w:rPr>
          <w:szCs w:val="26"/>
        </w:rPr>
        <w:t>(</w:t>
      </w:r>
      <w:proofErr w:type="spellStart"/>
      <w:r w:rsidRPr="00405F3F">
        <w:rPr>
          <w:i/>
          <w:szCs w:val="26"/>
        </w:rPr>
        <w:t>Rossberg</w:t>
      </w:r>
      <w:proofErr w:type="spellEnd"/>
      <w:r w:rsidRPr="00405F3F">
        <w:rPr>
          <w:i/>
          <w:szCs w:val="26"/>
        </w:rPr>
        <w:t xml:space="preserve"> v. Bank of America, N.A.</w:t>
      </w:r>
      <w:r w:rsidRPr="00405F3F">
        <w:rPr>
          <w:szCs w:val="26"/>
        </w:rPr>
        <w:t xml:space="preserve"> (2013) 219 Cal.App.4th 1481, 1498), </w:t>
      </w:r>
      <w:r w:rsidR="001504F1">
        <w:rPr>
          <w:szCs w:val="26"/>
        </w:rPr>
        <w:t xml:space="preserve">it </w:t>
      </w:r>
      <w:r w:rsidR="00E83515">
        <w:rPr>
          <w:szCs w:val="26"/>
        </w:rPr>
        <w:t xml:space="preserve">properly </w:t>
      </w:r>
      <w:r w:rsidRPr="00405F3F">
        <w:rPr>
          <w:szCs w:val="26"/>
        </w:rPr>
        <w:t>arises from speech</w:t>
      </w:r>
      <w:r w:rsidR="00E83515">
        <w:rPr>
          <w:szCs w:val="26"/>
        </w:rPr>
        <w:t xml:space="preserve"> that might be protected under section 425.16, subdivision (e)(2) or (e)(4)</w:t>
      </w:r>
      <w:r w:rsidRPr="00405F3F">
        <w:rPr>
          <w:szCs w:val="26"/>
        </w:rPr>
        <w:t xml:space="preserve">.  (See </w:t>
      </w:r>
      <w:r w:rsidR="00E119B6" w:rsidRPr="00E119B6">
        <w:rPr>
          <w:i/>
          <w:szCs w:val="26"/>
        </w:rPr>
        <w:t>Park</w:t>
      </w:r>
      <w:r w:rsidR="00E119B6">
        <w:rPr>
          <w:szCs w:val="26"/>
        </w:rPr>
        <w:t xml:space="preserve">, </w:t>
      </w:r>
      <w:r w:rsidR="00845FC5">
        <w:rPr>
          <w:i/>
          <w:szCs w:val="26"/>
        </w:rPr>
        <w:t>supra</w:t>
      </w:r>
      <w:r w:rsidR="00845FC5">
        <w:rPr>
          <w:szCs w:val="26"/>
        </w:rPr>
        <w:t>,</w:t>
      </w:r>
      <w:r w:rsidR="00845FC5">
        <w:rPr>
          <w:i/>
          <w:szCs w:val="26"/>
        </w:rPr>
        <w:t xml:space="preserve"> </w:t>
      </w:r>
      <w:r w:rsidRPr="00E119B6">
        <w:rPr>
          <w:szCs w:val="26"/>
        </w:rPr>
        <w:t>2</w:t>
      </w:r>
      <w:r w:rsidRPr="00405F3F">
        <w:rPr>
          <w:szCs w:val="26"/>
        </w:rPr>
        <w:t xml:space="preserve"> Cal.5th </w:t>
      </w:r>
      <w:r w:rsidR="00E119B6">
        <w:rPr>
          <w:szCs w:val="26"/>
        </w:rPr>
        <w:t>at p.</w:t>
      </w:r>
      <w:r w:rsidR="00845FC5">
        <w:rPr>
          <w:szCs w:val="26"/>
        </w:rPr>
        <w:t> </w:t>
      </w:r>
      <w:r w:rsidR="00E119B6">
        <w:rPr>
          <w:szCs w:val="26"/>
        </w:rPr>
        <w:t xml:space="preserve">1063.)  </w:t>
      </w:r>
      <w:proofErr w:type="spellStart"/>
      <w:r w:rsidR="00E119B6">
        <w:rPr>
          <w:szCs w:val="26"/>
        </w:rPr>
        <w:t>Wynder’s</w:t>
      </w:r>
      <w:proofErr w:type="spellEnd"/>
      <w:r w:rsidR="00E119B6">
        <w:rPr>
          <w:szCs w:val="26"/>
        </w:rPr>
        <w:t xml:space="preserve"> statement, unlike Mayor Dear’s, did relat</w:t>
      </w:r>
      <w:r w:rsidR="005809D6">
        <w:rPr>
          <w:szCs w:val="26"/>
        </w:rPr>
        <w:t xml:space="preserve">e to the EAA renewal issue </w:t>
      </w:r>
      <w:r w:rsidR="00E119B6">
        <w:rPr>
          <w:szCs w:val="26"/>
        </w:rPr>
        <w:t>before the City Council.</w:t>
      </w:r>
    </w:p>
    <w:p w14:paraId="087BE863" w14:textId="77777777" w:rsidR="00405F3F" w:rsidRPr="00405F3F" w:rsidRDefault="00405F3F" w:rsidP="00405F3F">
      <w:pPr>
        <w:ind w:firstLine="720"/>
        <w:rPr>
          <w:szCs w:val="26"/>
        </w:rPr>
      </w:pPr>
      <w:r w:rsidRPr="00405F3F">
        <w:rPr>
          <w:szCs w:val="26"/>
        </w:rPr>
        <w:t xml:space="preserve">Yet </w:t>
      </w:r>
      <w:proofErr w:type="spellStart"/>
      <w:r w:rsidRPr="00405F3F">
        <w:rPr>
          <w:szCs w:val="26"/>
        </w:rPr>
        <w:t>Wynder’s</w:t>
      </w:r>
      <w:proofErr w:type="spellEnd"/>
      <w:r w:rsidRPr="00405F3F">
        <w:rPr>
          <w:szCs w:val="26"/>
        </w:rPr>
        <w:t xml:space="preserve"> statement was made in 2012, about two years before the renewal issue even came before the City Council.</w:t>
      </w:r>
      <w:r w:rsidRPr="003B545B">
        <w:rPr>
          <w:b/>
          <w:szCs w:val="26"/>
          <w:vertAlign w:val="superscript"/>
        </w:rPr>
        <w:footnoteReference w:id="7"/>
      </w:r>
      <w:r w:rsidRPr="00405F3F">
        <w:rPr>
          <w:szCs w:val="26"/>
        </w:rPr>
        <w:t xml:space="preserve">  Section 425.16, subdivision (e)(2) </w:t>
      </w:r>
      <w:r w:rsidR="005809D6">
        <w:rPr>
          <w:szCs w:val="26"/>
        </w:rPr>
        <w:t>protects only those</w:t>
      </w:r>
      <w:r w:rsidR="00E83515">
        <w:rPr>
          <w:szCs w:val="26"/>
        </w:rPr>
        <w:t xml:space="preserve"> </w:t>
      </w:r>
      <w:r w:rsidRPr="00405F3F">
        <w:rPr>
          <w:szCs w:val="26"/>
        </w:rPr>
        <w:t>“written or oral statement</w:t>
      </w:r>
      <w:r w:rsidR="005809D6">
        <w:rPr>
          <w:szCs w:val="26"/>
        </w:rPr>
        <w:t>[s]</w:t>
      </w:r>
      <w:r w:rsidRPr="00405F3F">
        <w:rPr>
          <w:szCs w:val="26"/>
        </w:rPr>
        <w:t xml:space="preserve"> or writing</w:t>
      </w:r>
      <w:r w:rsidR="005809D6">
        <w:rPr>
          <w:szCs w:val="26"/>
        </w:rPr>
        <w:t>[s]</w:t>
      </w:r>
      <w:r w:rsidRPr="00405F3F">
        <w:rPr>
          <w:szCs w:val="26"/>
        </w:rPr>
        <w:t xml:space="preserve"> made in connection with an issue </w:t>
      </w:r>
      <w:r w:rsidRPr="005809D6">
        <w:rPr>
          <w:i/>
          <w:szCs w:val="26"/>
        </w:rPr>
        <w:t>under consideration or review</w:t>
      </w:r>
      <w:r w:rsidR="005809D6">
        <w:rPr>
          <w:szCs w:val="26"/>
        </w:rPr>
        <w:t xml:space="preserve">.”  </w:t>
      </w:r>
      <w:r w:rsidR="005809D6" w:rsidRPr="00405F3F">
        <w:rPr>
          <w:szCs w:val="26"/>
        </w:rPr>
        <w:t>(</w:t>
      </w:r>
      <w:r w:rsidR="00FF384B">
        <w:rPr>
          <w:szCs w:val="26"/>
        </w:rPr>
        <w:t>I</w:t>
      </w:r>
      <w:r w:rsidR="00845FC5">
        <w:rPr>
          <w:szCs w:val="26"/>
        </w:rPr>
        <w:t xml:space="preserve">talics </w:t>
      </w:r>
      <w:r w:rsidR="005809D6">
        <w:rPr>
          <w:szCs w:val="26"/>
        </w:rPr>
        <w:t>added</w:t>
      </w:r>
      <w:r w:rsidR="005809D6" w:rsidRPr="00405F3F">
        <w:rPr>
          <w:szCs w:val="26"/>
        </w:rPr>
        <w:t>.)</w:t>
      </w:r>
      <w:r w:rsidR="005809D6">
        <w:rPr>
          <w:szCs w:val="26"/>
        </w:rPr>
        <w:t xml:space="preserve">  </w:t>
      </w:r>
      <w:r w:rsidRPr="00405F3F">
        <w:rPr>
          <w:szCs w:val="26"/>
        </w:rPr>
        <w:t xml:space="preserve">The subdivision thus appears to contemplate </w:t>
      </w:r>
      <w:r w:rsidR="005809D6">
        <w:rPr>
          <w:szCs w:val="26"/>
        </w:rPr>
        <w:t>an ongoing</w:t>
      </w:r>
      <w:r w:rsidRPr="00405F3F">
        <w:rPr>
          <w:szCs w:val="26"/>
        </w:rPr>
        <w:t xml:space="preserve"> </w:t>
      </w:r>
      <w:r w:rsidR="005809D6">
        <w:rPr>
          <w:szCs w:val="26"/>
        </w:rPr>
        <w:t xml:space="preserve">— or, at the very least, immediately pending — </w:t>
      </w:r>
      <w:r w:rsidRPr="00405F3F">
        <w:rPr>
          <w:szCs w:val="26"/>
        </w:rPr>
        <w:t xml:space="preserve">official proceeding.  Conversely, if an issue is not presently “under consideration or review” by such authorized bodies, then no expression — even if related to that issue — could be “made in connection with an issue under consideration or review.”  (§ 425.16, </w:t>
      </w:r>
      <w:proofErr w:type="spellStart"/>
      <w:r w:rsidRPr="00405F3F">
        <w:rPr>
          <w:szCs w:val="26"/>
        </w:rPr>
        <w:t>subd</w:t>
      </w:r>
      <w:proofErr w:type="spellEnd"/>
      <w:r w:rsidRPr="00405F3F">
        <w:rPr>
          <w:szCs w:val="26"/>
        </w:rPr>
        <w:t>. (e)(2).)</w:t>
      </w:r>
    </w:p>
    <w:p w14:paraId="148EDDE2" w14:textId="77777777" w:rsidR="0036640E" w:rsidRDefault="00847210" w:rsidP="00405F3F">
      <w:pPr>
        <w:ind w:firstLine="720"/>
        <w:rPr>
          <w:szCs w:val="26"/>
        </w:rPr>
      </w:pPr>
      <w:r>
        <w:rPr>
          <w:szCs w:val="26"/>
        </w:rPr>
        <w:t>What our</w:t>
      </w:r>
      <w:r w:rsidR="00405F3F" w:rsidRPr="00405F3F">
        <w:rPr>
          <w:szCs w:val="26"/>
        </w:rPr>
        <w:t xml:space="preserve"> appellate courts have declined to </w:t>
      </w:r>
      <w:r>
        <w:rPr>
          <w:szCs w:val="26"/>
        </w:rPr>
        <w:t xml:space="preserve">do is presume speech meets </w:t>
      </w:r>
      <w:r w:rsidR="00405F3F" w:rsidRPr="00405F3F">
        <w:rPr>
          <w:szCs w:val="26"/>
        </w:rPr>
        <w:t>the requirements of section 425.16, subdivision (e)(2) when no official proceeding was pending at the time of the speech.  (</w:t>
      </w:r>
      <w:r w:rsidR="00D13F75" w:rsidRPr="00405F3F">
        <w:rPr>
          <w:i/>
          <w:szCs w:val="26"/>
        </w:rPr>
        <w:t>Mission Beverage Co. v. Pabst Brewing Co., LLC</w:t>
      </w:r>
      <w:r w:rsidR="00D13F75" w:rsidRPr="00405F3F">
        <w:rPr>
          <w:szCs w:val="26"/>
        </w:rPr>
        <w:t xml:space="preserve"> (2</w:t>
      </w:r>
      <w:r w:rsidR="00D13F75">
        <w:rPr>
          <w:szCs w:val="26"/>
        </w:rPr>
        <w:t xml:space="preserve">017) </w:t>
      </w:r>
      <w:r w:rsidR="00D13F75">
        <w:rPr>
          <w:szCs w:val="26"/>
        </w:rPr>
        <w:lastRenderedPageBreak/>
        <w:t>15 Cal.App.5th 686, 703 [“[P]</w:t>
      </w:r>
      <w:r w:rsidR="00D13F75" w:rsidRPr="00405F3F">
        <w:rPr>
          <w:szCs w:val="26"/>
        </w:rPr>
        <w:t>reparatory communications do not qualify as a protected activity if future litigation is not anticipated, and is therefore only a ‘possibility’ — and this is true even if the communication is a necessary prerequisit</w:t>
      </w:r>
      <w:r w:rsidR="00D13F75">
        <w:rPr>
          <w:szCs w:val="26"/>
        </w:rPr>
        <w:t>e to any future litigation.”]</w:t>
      </w:r>
      <w:r w:rsidR="00405F3F" w:rsidRPr="00405F3F">
        <w:rPr>
          <w:szCs w:val="26"/>
        </w:rPr>
        <w:t xml:space="preserve">; </w:t>
      </w:r>
      <w:r w:rsidR="00405F3F" w:rsidRPr="00405F3F">
        <w:rPr>
          <w:i/>
          <w:szCs w:val="26"/>
        </w:rPr>
        <w:t>Kajima Engineering &amp; Construction, Inc. v. City of Los Angeles</w:t>
      </w:r>
      <w:r w:rsidR="00405F3F" w:rsidRPr="00405F3F">
        <w:rPr>
          <w:szCs w:val="26"/>
        </w:rPr>
        <w:t xml:space="preserve"> (2002) 95 Cal.App.4th 921, 930 [“Kajima admits that ‘a majority of the alleged acts occurred, if at all, </w:t>
      </w:r>
      <w:r w:rsidR="00405F3F" w:rsidRPr="003F2E3E">
        <w:rPr>
          <w:i/>
          <w:szCs w:val="26"/>
        </w:rPr>
        <w:t>at or about the time [it] submitted its bid in early 1995</w:t>
      </w:r>
      <w:r w:rsidR="00405F3F" w:rsidRPr="00405F3F">
        <w:rPr>
          <w:szCs w:val="26"/>
        </w:rPr>
        <w:t>.’ . . . Kajima was not exercising its right of petition at the time of the alleged acts; it was seeking to secure and working on a construction project”];</w:t>
      </w:r>
      <w:r w:rsidR="00D13F75">
        <w:rPr>
          <w:szCs w:val="26"/>
        </w:rPr>
        <w:t xml:space="preserve"> </w:t>
      </w:r>
      <w:r w:rsidR="00D13F75" w:rsidRPr="00405F3F">
        <w:rPr>
          <w:i/>
          <w:szCs w:val="26"/>
        </w:rPr>
        <w:t>People ex rel. 20th Century Ins. Co. v. Building Permit Consultants, Inc.</w:t>
      </w:r>
      <w:r w:rsidR="00D13F75" w:rsidRPr="00405F3F">
        <w:rPr>
          <w:szCs w:val="26"/>
        </w:rPr>
        <w:t xml:space="preserve"> (2000) 86 Cal.App.4th 280, 285 [stating that “[a]t the time defendants created and submitted their reports and claims, there was no ‘issue under consideration’ pending before any official proceeding” and concluding “defendants failed to make a prima facie showing that the causes of action in the lawsuit arose from free speech or petition activity”]</w:t>
      </w:r>
      <w:r w:rsidR="00CC6A9A">
        <w:rPr>
          <w:szCs w:val="26"/>
        </w:rPr>
        <w:t>.)</w:t>
      </w:r>
      <w:r w:rsidR="00405F3F" w:rsidRPr="00405F3F">
        <w:rPr>
          <w:szCs w:val="26"/>
        </w:rPr>
        <w:t xml:space="preserve"> </w:t>
      </w:r>
      <w:r w:rsidR="00D13F75">
        <w:rPr>
          <w:szCs w:val="26"/>
        </w:rPr>
        <w:t xml:space="preserve"> </w:t>
      </w:r>
      <w:r w:rsidR="00405F3F" w:rsidRPr="00405F3F">
        <w:rPr>
          <w:szCs w:val="26"/>
        </w:rPr>
        <w:t>We agree.</w:t>
      </w:r>
      <w:r>
        <w:rPr>
          <w:szCs w:val="26"/>
        </w:rPr>
        <w:t xml:space="preserve">  </w:t>
      </w:r>
      <w:r w:rsidR="0048206D">
        <w:rPr>
          <w:szCs w:val="26"/>
        </w:rPr>
        <w:t>“</w:t>
      </w:r>
      <w:r w:rsidR="00375652">
        <w:rPr>
          <w:szCs w:val="26"/>
        </w:rPr>
        <w:t>[</w:t>
      </w:r>
      <w:r w:rsidR="0048206D">
        <w:rPr>
          <w:szCs w:val="26"/>
        </w:rPr>
        <w:t>U</w:t>
      </w:r>
      <w:r w:rsidR="00375652">
        <w:rPr>
          <w:szCs w:val="26"/>
        </w:rPr>
        <w:t>]</w:t>
      </w:r>
      <w:proofErr w:type="spellStart"/>
      <w:r w:rsidR="0048206D">
        <w:rPr>
          <w:szCs w:val="26"/>
        </w:rPr>
        <w:t>nder</w:t>
      </w:r>
      <w:proofErr w:type="spellEnd"/>
      <w:r w:rsidR="0048206D">
        <w:rPr>
          <w:szCs w:val="26"/>
        </w:rPr>
        <w:t xml:space="preserve"> consideration or review” does not mean any issue a legislative body may conceivably decide to take up months or years in the future.  </w:t>
      </w:r>
      <w:proofErr w:type="spellStart"/>
      <w:r w:rsidR="00405F3F" w:rsidRPr="00405F3F">
        <w:rPr>
          <w:szCs w:val="26"/>
        </w:rPr>
        <w:t>Wynder’s</w:t>
      </w:r>
      <w:proofErr w:type="spellEnd"/>
      <w:r w:rsidR="00405F3F" w:rsidRPr="00405F3F">
        <w:rPr>
          <w:szCs w:val="26"/>
        </w:rPr>
        <w:t xml:space="preserve"> statement was not made at the time or on the eve of the renewal decision</w:t>
      </w:r>
      <w:r w:rsidR="005809D6">
        <w:rPr>
          <w:szCs w:val="26"/>
        </w:rPr>
        <w:t>;</w:t>
      </w:r>
      <w:r w:rsidR="00405F3F" w:rsidRPr="00405F3F">
        <w:rPr>
          <w:szCs w:val="26"/>
        </w:rPr>
        <w:t xml:space="preserve"> it was made years before the issue came under review by the City Council.  </w:t>
      </w:r>
      <w:proofErr w:type="spellStart"/>
      <w:r w:rsidR="00405F3F" w:rsidRPr="00405F3F">
        <w:rPr>
          <w:szCs w:val="26"/>
        </w:rPr>
        <w:t>Wynder</w:t>
      </w:r>
      <w:proofErr w:type="spellEnd"/>
      <w:r w:rsidR="00405F3F" w:rsidRPr="00405F3F">
        <w:rPr>
          <w:szCs w:val="26"/>
        </w:rPr>
        <w:t xml:space="preserve"> </w:t>
      </w:r>
      <w:r w:rsidR="00D13F75">
        <w:rPr>
          <w:szCs w:val="26"/>
        </w:rPr>
        <w:t xml:space="preserve">did not </w:t>
      </w:r>
      <w:r w:rsidR="00405F3F" w:rsidRPr="00405F3F">
        <w:rPr>
          <w:szCs w:val="26"/>
        </w:rPr>
        <w:t xml:space="preserve">even refer to the City Council’s review process in his promise.  </w:t>
      </w:r>
    </w:p>
    <w:p w14:paraId="47E2D841" w14:textId="77777777" w:rsidR="00BD4E7F" w:rsidRPr="003171E1" w:rsidRDefault="001504F1" w:rsidP="00405F3F">
      <w:pPr>
        <w:ind w:firstLine="720"/>
        <w:rPr>
          <w:szCs w:val="26"/>
        </w:rPr>
      </w:pPr>
      <w:r>
        <w:rPr>
          <w:szCs w:val="26"/>
        </w:rPr>
        <w:t xml:space="preserve">Nor does </w:t>
      </w:r>
      <w:proofErr w:type="spellStart"/>
      <w:r w:rsidR="00BD4E7F">
        <w:rPr>
          <w:szCs w:val="26"/>
        </w:rPr>
        <w:t>Wynder’s</w:t>
      </w:r>
      <w:proofErr w:type="spellEnd"/>
      <w:r w:rsidR="00BD4E7F">
        <w:rPr>
          <w:szCs w:val="26"/>
        </w:rPr>
        <w:t xml:space="preserve"> 2012 promise</w:t>
      </w:r>
      <w:r w:rsidR="00B4478D">
        <w:rPr>
          <w:szCs w:val="26"/>
        </w:rPr>
        <w:t xml:space="preserve"> </w:t>
      </w:r>
      <w:r w:rsidR="0048206D">
        <w:rPr>
          <w:szCs w:val="26"/>
        </w:rPr>
        <w:t>relating</w:t>
      </w:r>
      <w:r w:rsidR="00B4478D">
        <w:rPr>
          <w:szCs w:val="26"/>
        </w:rPr>
        <w:t xml:space="preserve"> to the EAA extension</w:t>
      </w:r>
      <w:r w:rsidR="0048206D">
        <w:rPr>
          <w:szCs w:val="26"/>
        </w:rPr>
        <w:t xml:space="preserve"> </w:t>
      </w:r>
      <w:r>
        <w:rPr>
          <w:szCs w:val="26"/>
        </w:rPr>
        <w:t>merit</w:t>
      </w:r>
      <w:r w:rsidR="00BD4E7F">
        <w:rPr>
          <w:szCs w:val="26"/>
        </w:rPr>
        <w:t xml:space="preserve"> protec</w:t>
      </w:r>
      <w:r w:rsidR="00B4478D">
        <w:rPr>
          <w:szCs w:val="26"/>
        </w:rPr>
        <w:t>tion as speech “in connection with a public issue or an issue of public interest” under subdivision (e)(4).</w:t>
      </w:r>
      <w:r w:rsidR="000D1652">
        <w:rPr>
          <w:szCs w:val="26"/>
        </w:rPr>
        <w:t xml:space="preserve">  Even charitably reading </w:t>
      </w:r>
      <w:proofErr w:type="spellStart"/>
      <w:r w:rsidR="000D1652">
        <w:rPr>
          <w:szCs w:val="26"/>
        </w:rPr>
        <w:t>Wynder’s</w:t>
      </w:r>
      <w:proofErr w:type="spellEnd"/>
      <w:r w:rsidR="000D1652">
        <w:rPr>
          <w:szCs w:val="26"/>
        </w:rPr>
        <w:t xml:space="preserve"> statement </w:t>
      </w:r>
      <w:r w:rsidR="0048206D">
        <w:rPr>
          <w:szCs w:val="26"/>
        </w:rPr>
        <w:t>to encompass</w:t>
      </w:r>
      <w:r w:rsidR="000D1652">
        <w:rPr>
          <w:szCs w:val="26"/>
        </w:rPr>
        <w:t xml:space="preserve"> the identity of the City’s agent</w:t>
      </w:r>
      <w:r w:rsidR="0048206D">
        <w:rPr>
          <w:szCs w:val="26"/>
        </w:rPr>
        <w:t xml:space="preserve"> ––</w:t>
      </w:r>
      <w:r w:rsidR="000D1652">
        <w:rPr>
          <w:szCs w:val="26"/>
        </w:rPr>
        <w:t xml:space="preserve"> </w:t>
      </w:r>
      <w:r w:rsidR="002E1C49">
        <w:rPr>
          <w:szCs w:val="26"/>
        </w:rPr>
        <w:t xml:space="preserve">as we did in connection with plaintiffs’ </w:t>
      </w:r>
      <w:r w:rsidR="00D13F75">
        <w:rPr>
          <w:szCs w:val="26"/>
        </w:rPr>
        <w:t xml:space="preserve">other </w:t>
      </w:r>
      <w:r w:rsidR="002E1C49">
        <w:rPr>
          <w:szCs w:val="26"/>
        </w:rPr>
        <w:t>fraud-based claims</w:t>
      </w:r>
      <w:r w:rsidR="0048206D">
        <w:rPr>
          <w:szCs w:val="26"/>
        </w:rPr>
        <w:t xml:space="preserve"> ––</w:t>
      </w:r>
      <w:r w:rsidR="002E1C49">
        <w:rPr>
          <w:szCs w:val="26"/>
        </w:rPr>
        <w:t xml:space="preserve"> </w:t>
      </w:r>
      <w:r w:rsidR="0048206D">
        <w:rPr>
          <w:szCs w:val="26"/>
        </w:rPr>
        <w:t xml:space="preserve">defendants have not shown the </w:t>
      </w:r>
      <w:r w:rsidR="000D1652">
        <w:rPr>
          <w:szCs w:val="26"/>
        </w:rPr>
        <w:t xml:space="preserve">issue </w:t>
      </w:r>
      <w:r w:rsidR="0048206D">
        <w:rPr>
          <w:szCs w:val="26"/>
        </w:rPr>
        <w:t>to be one</w:t>
      </w:r>
      <w:r w:rsidR="000D1652">
        <w:rPr>
          <w:szCs w:val="26"/>
        </w:rPr>
        <w:t xml:space="preserve"> of public interest in this case.</w:t>
      </w:r>
      <w:r w:rsidR="004A62AC">
        <w:rPr>
          <w:szCs w:val="26"/>
        </w:rPr>
        <w:t xml:space="preserve">  (Cf. </w:t>
      </w:r>
      <w:proofErr w:type="spellStart"/>
      <w:r w:rsidR="003171E1">
        <w:rPr>
          <w:i/>
          <w:szCs w:val="26"/>
        </w:rPr>
        <w:lastRenderedPageBreak/>
        <w:t>Tuchscher</w:t>
      </w:r>
      <w:proofErr w:type="spellEnd"/>
      <w:r w:rsidR="003171E1">
        <w:rPr>
          <w:szCs w:val="26"/>
        </w:rPr>
        <w:t xml:space="preserve">, </w:t>
      </w:r>
      <w:r w:rsidR="003171E1">
        <w:rPr>
          <w:i/>
          <w:szCs w:val="26"/>
        </w:rPr>
        <w:t>supra</w:t>
      </w:r>
      <w:r w:rsidR="003171E1">
        <w:rPr>
          <w:szCs w:val="26"/>
        </w:rPr>
        <w:t>, 106 Cal.App.4th</w:t>
      </w:r>
      <w:r w:rsidR="00A25AB8">
        <w:rPr>
          <w:szCs w:val="26"/>
        </w:rPr>
        <w:t xml:space="preserve"> at p. 1233 [finding claims within the ambit of subdivision (e)(4) where they arose from “communications to either the City or Lennar involving the proposed development of Crystal Bay and other bayfront property”].) </w:t>
      </w:r>
    </w:p>
    <w:p w14:paraId="648F1572" w14:textId="77777777" w:rsidR="00A2722E" w:rsidRDefault="00A2722E">
      <w:pPr>
        <w:ind w:firstLine="720"/>
      </w:pPr>
      <w:r>
        <w:rPr>
          <w:szCs w:val="26"/>
        </w:rPr>
        <w:t xml:space="preserve">The City elliptically suggests another basis to strike the promissory fraud claim:  in 2014, days before the City Council considered the EAA extension, </w:t>
      </w:r>
      <w:proofErr w:type="spellStart"/>
      <w:r>
        <w:rPr>
          <w:szCs w:val="26"/>
        </w:rPr>
        <w:t>Wynder</w:t>
      </w:r>
      <w:proofErr w:type="spellEnd"/>
      <w:r>
        <w:rPr>
          <w:szCs w:val="26"/>
        </w:rPr>
        <w:t xml:space="preserve"> told Rand the City would not be extending the EAA because it “did not need” Rand anymore and had been “walking on eggshells” with Bloom.  True:  the statement may be </w:t>
      </w:r>
      <w:proofErr w:type="gramStart"/>
      <w:r>
        <w:rPr>
          <w:szCs w:val="26"/>
        </w:rPr>
        <w:t>evidence</w:t>
      </w:r>
      <w:proofErr w:type="gramEnd"/>
      <w:r>
        <w:rPr>
          <w:szCs w:val="26"/>
        </w:rPr>
        <w:t xml:space="preserve"> the City was acting in bad faith.  It tends to show the City had already made up its mind not to extend the EAA, certainly, and it involves protected activity (</w:t>
      </w:r>
      <w:r w:rsidRPr="00926DE4">
        <w:t>speech in the form of an oral statement) relating to an issue considered by a legislative body (renewal of the EAA)</w:t>
      </w:r>
      <w:r>
        <w:t>.  But this is not enough.</w:t>
      </w:r>
    </w:p>
    <w:p w14:paraId="60369C77" w14:textId="77777777" w:rsidR="00A52AF2" w:rsidRDefault="0048206D" w:rsidP="003B545B">
      <w:pPr>
        <w:ind w:firstLine="720"/>
        <w:rPr>
          <w:szCs w:val="26"/>
        </w:rPr>
      </w:pPr>
      <w:r>
        <w:t xml:space="preserve">What the </w:t>
      </w:r>
      <w:r w:rsidR="00A2722E">
        <w:t xml:space="preserve">anti-SLAPP statute </w:t>
      </w:r>
      <w:r w:rsidR="0045702B">
        <w:t xml:space="preserve">protects </w:t>
      </w:r>
      <w:r>
        <w:t xml:space="preserve">is </w:t>
      </w:r>
      <w:r w:rsidR="00D77D09">
        <w:t xml:space="preserve">speech </w:t>
      </w:r>
      <w:r w:rsidR="0045702B">
        <w:t>that “provide</w:t>
      </w:r>
      <w:r w:rsidR="00D77D09">
        <w:t>s</w:t>
      </w:r>
      <w:r w:rsidR="0045702B">
        <w:t xml:space="preserve"> the basis for liability.”  </w:t>
      </w:r>
      <w:r w:rsidR="0045702B" w:rsidRPr="0045702B">
        <w:t>(</w:t>
      </w:r>
      <w:r w:rsidR="0045702B" w:rsidRPr="0045702B">
        <w:rPr>
          <w:i/>
        </w:rPr>
        <w:t>Park</w:t>
      </w:r>
      <w:r w:rsidR="0045702B" w:rsidRPr="0045702B">
        <w:t xml:space="preserve">, </w:t>
      </w:r>
      <w:r w:rsidR="0045702B" w:rsidRPr="0045702B">
        <w:rPr>
          <w:i/>
        </w:rPr>
        <w:t>supra</w:t>
      </w:r>
      <w:r w:rsidR="0045702B" w:rsidRPr="0045702B">
        <w:t>, 2 Cal.5th</w:t>
      </w:r>
      <w:r w:rsidR="0045702B" w:rsidRPr="0045702B">
        <w:rPr>
          <w:i/>
        </w:rPr>
        <w:t xml:space="preserve"> </w:t>
      </w:r>
      <w:r w:rsidR="0045702B" w:rsidRPr="0045702B">
        <w:t xml:space="preserve">at pp. 1060, 1065 [instructing that in determining whether a cause of action arises from protected speech, courts must distinguish “between speech that provides the basis for liability and speech that provides evidence of liability”].)  This, the statement does not do.  Rather, the statement is analogous to the comments found in </w:t>
      </w:r>
      <w:r w:rsidR="0045702B" w:rsidRPr="0045702B">
        <w:rPr>
          <w:i/>
        </w:rPr>
        <w:t xml:space="preserve">Park </w:t>
      </w:r>
      <w:r w:rsidR="0045702B" w:rsidRPr="0045702B">
        <w:t>to fall outside the scope of section 425.16.</w:t>
      </w:r>
      <w:r w:rsidR="005809D6">
        <w:t xml:space="preserve">  (See </w:t>
      </w:r>
      <w:r w:rsidR="005809D6">
        <w:rPr>
          <w:i/>
        </w:rPr>
        <w:t>id.</w:t>
      </w:r>
      <w:r w:rsidR="005809D6">
        <w:t xml:space="preserve"> at p. 1068 [“The tenure decision may have been communicated orally or in writing, but that communication does not convert Park’s suit to one arising from such speech.  The dean’s alleged comments may supply evidence of animus, but that does not convert the statements themselves into the basis for liability”].)</w:t>
      </w:r>
      <w:r w:rsidR="0045702B" w:rsidRPr="0045702B">
        <w:t xml:space="preserve">  As was the case in </w:t>
      </w:r>
      <w:r w:rsidR="0045702B" w:rsidRPr="0045702B">
        <w:rPr>
          <w:i/>
        </w:rPr>
        <w:t>Park</w:t>
      </w:r>
      <w:r w:rsidR="0045702B" w:rsidRPr="0045702B">
        <w:t xml:space="preserve">, </w:t>
      </w:r>
      <w:proofErr w:type="spellStart"/>
      <w:r w:rsidR="0045702B" w:rsidRPr="0045702B">
        <w:t>Wynder’s</w:t>
      </w:r>
      <w:proofErr w:type="spellEnd"/>
      <w:r w:rsidR="0045702B" w:rsidRPr="0045702B">
        <w:t xml:space="preserve"> </w:t>
      </w:r>
      <w:r w:rsidR="00A24E9C">
        <w:t>2014 statement</w:t>
      </w:r>
      <w:r w:rsidR="0045702B" w:rsidRPr="0045702B">
        <w:t xml:space="preserve"> — leaving aside any refusal to renew the contract — would not </w:t>
      </w:r>
      <w:r w:rsidR="00A24E9C">
        <w:t xml:space="preserve">form the </w:t>
      </w:r>
      <w:r w:rsidR="00A24E9C">
        <w:lastRenderedPageBreak/>
        <w:t>basis of a promissory fraud claim</w:t>
      </w:r>
      <w:r w:rsidR="009A3704">
        <w:t>.  B</w:t>
      </w:r>
      <w:r w:rsidR="0045702B" w:rsidRPr="0045702B">
        <w:t>ut the wrongful refusal to renew the contract, even without the pri</w:t>
      </w:r>
      <w:r w:rsidR="00A24E9C">
        <w:t>or communication, “surely could</w:t>
      </w:r>
      <w:r w:rsidR="0045702B" w:rsidRPr="0045702B">
        <w:t>.</w:t>
      </w:r>
      <w:r w:rsidR="00A24E9C">
        <w:t>”</w:t>
      </w:r>
      <w:r w:rsidR="0045702B" w:rsidRPr="0045702B">
        <w:t xml:space="preserve">  (</w:t>
      </w:r>
      <w:r w:rsidR="0045702B" w:rsidRPr="0045702B">
        <w:rPr>
          <w:i/>
          <w:iCs/>
        </w:rPr>
        <w:t>Ibid.</w:t>
      </w:r>
      <w:r w:rsidR="0045702B" w:rsidRPr="0045702B">
        <w:t>)</w:t>
      </w:r>
    </w:p>
    <w:p w14:paraId="2A1D6A35" w14:textId="77777777" w:rsidR="007228DF" w:rsidRPr="000C57F2" w:rsidRDefault="00E35524" w:rsidP="003B545B">
      <w:pPr>
        <w:pStyle w:val="Heading1"/>
      </w:pPr>
      <w:r>
        <w:t>C</w:t>
      </w:r>
      <w:r w:rsidR="007228DF">
        <w:t>.</w:t>
      </w:r>
    </w:p>
    <w:p w14:paraId="45803916" w14:textId="77777777" w:rsidR="00A02F75" w:rsidRDefault="002F64A4" w:rsidP="000319AB">
      <w:pPr>
        <w:ind w:firstLine="720"/>
        <w:rPr>
          <w:szCs w:val="26"/>
        </w:rPr>
      </w:pPr>
      <w:r>
        <w:rPr>
          <w:szCs w:val="26"/>
        </w:rPr>
        <w:t xml:space="preserve">We turn </w:t>
      </w:r>
      <w:r w:rsidR="001A4833">
        <w:rPr>
          <w:szCs w:val="26"/>
        </w:rPr>
        <w:t>next to plaintiffs’ claims</w:t>
      </w:r>
      <w:r w:rsidR="00363CE4">
        <w:rPr>
          <w:szCs w:val="26"/>
        </w:rPr>
        <w:t xml:space="preserve"> against the Bloom defendants</w:t>
      </w:r>
      <w:r w:rsidR="001A4833">
        <w:rPr>
          <w:szCs w:val="26"/>
        </w:rPr>
        <w:t xml:space="preserve"> for intentional interference with contract and intentional interference with prospective economic advantage. </w:t>
      </w:r>
      <w:r w:rsidR="00A456C4">
        <w:rPr>
          <w:szCs w:val="26"/>
        </w:rPr>
        <w:t xml:space="preserve"> </w:t>
      </w:r>
      <w:r w:rsidR="00363CE4">
        <w:rPr>
          <w:szCs w:val="26"/>
        </w:rPr>
        <w:t>Plaintiffs assert the Bloom defendants disrupted t</w:t>
      </w:r>
      <w:r w:rsidR="004C0515">
        <w:rPr>
          <w:szCs w:val="26"/>
        </w:rPr>
        <w:t>he</w:t>
      </w:r>
      <w:r w:rsidR="00363CE4">
        <w:rPr>
          <w:szCs w:val="26"/>
        </w:rPr>
        <w:t xml:space="preserve"> relationship between plaintiffs and the City by interfering with plaintiffs’ twin rights under the EAA and </w:t>
      </w:r>
      <w:r w:rsidR="009D0CDC">
        <w:rPr>
          <w:szCs w:val="26"/>
        </w:rPr>
        <w:t>with plaintiffs’</w:t>
      </w:r>
      <w:r w:rsidR="00363CE4">
        <w:rPr>
          <w:szCs w:val="26"/>
        </w:rPr>
        <w:t xml:space="preserve"> prospective economic adva</w:t>
      </w:r>
      <w:r w:rsidR="00641E4E">
        <w:rPr>
          <w:szCs w:val="26"/>
        </w:rPr>
        <w:t>ntage as the City’s exclusive agent in negotiations</w:t>
      </w:r>
      <w:r w:rsidR="00363CE4">
        <w:rPr>
          <w:szCs w:val="26"/>
        </w:rPr>
        <w:t>.</w:t>
      </w:r>
      <w:r w:rsidR="00031594">
        <w:rPr>
          <w:szCs w:val="26"/>
        </w:rPr>
        <w:t xml:space="preserve">  </w:t>
      </w:r>
      <w:r w:rsidR="009D0CDC">
        <w:rPr>
          <w:szCs w:val="26"/>
        </w:rPr>
        <w:t>The two intentional interference</w:t>
      </w:r>
      <w:r w:rsidR="009D0CDC" w:rsidRPr="00A456C4">
        <w:rPr>
          <w:szCs w:val="26"/>
        </w:rPr>
        <w:t xml:space="preserve"> claims share many elements</w:t>
      </w:r>
      <w:r w:rsidR="00AC6FA8">
        <w:rPr>
          <w:szCs w:val="26"/>
        </w:rPr>
        <w:t xml:space="preserve"> — principally, an</w:t>
      </w:r>
      <w:r w:rsidR="004C0515">
        <w:rPr>
          <w:szCs w:val="26"/>
        </w:rPr>
        <w:t xml:space="preserve"> </w:t>
      </w:r>
      <w:r w:rsidR="009D0CDC">
        <w:rPr>
          <w:szCs w:val="26"/>
        </w:rPr>
        <w:t xml:space="preserve">intentional act by the defendant </w:t>
      </w:r>
      <w:r w:rsidR="009D0CDC" w:rsidRPr="00A456C4">
        <w:rPr>
          <w:szCs w:val="26"/>
        </w:rPr>
        <w:t>designed to disrupt the relationship be</w:t>
      </w:r>
      <w:r w:rsidR="009D0CDC">
        <w:rPr>
          <w:szCs w:val="26"/>
        </w:rPr>
        <w:t xml:space="preserve">tween the plaintiff and a third </w:t>
      </w:r>
      <w:r w:rsidR="009D0CDC" w:rsidRPr="00A456C4">
        <w:rPr>
          <w:szCs w:val="26"/>
        </w:rPr>
        <w:t>party.</w:t>
      </w:r>
      <w:r w:rsidR="009D0CDC">
        <w:rPr>
          <w:szCs w:val="26"/>
        </w:rPr>
        <w:t xml:space="preserve">  (</w:t>
      </w:r>
      <w:r w:rsidR="009D0CDC" w:rsidRPr="00A456C4">
        <w:rPr>
          <w:i/>
          <w:szCs w:val="26"/>
        </w:rPr>
        <w:t>Edwards v. Arthur Andersen LLP</w:t>
      </w:r>
      <w:r w:rsidR="009D0CDC" w:rsidRPr="00A456C4">
        <w:rPr>
          <w:szCs w:val="26"/>
        </w:rPr>
        <w:t xml:space="preserve"> (2008) 44 Cal.4th 937, 944 [stating that an intentional interference with prospective economic advantage claim requires, among other things, “an intentional act by the defendant, designed t</w:t>
      </w:r>
      <w:r w:rsidR="009D0CDC">
        <w:rPr>
          <w:szCs w:val="26"/>
        </w:rPr>
        <w:t xml:space="preserve">o disrupt the relationship”]; </w:t>
      </w:r>
      <w:proofErr w:type="spellStart"/>
      <w:r w:rsidR="009D0CDC" w:rsidRPr="00926DE4">
        <w:rPr>
          <w:i/>
        </w:rPr>
        <w:t>Quelimane</w:t>
      </w:r>
      <w:proofErr w:type="spellEnd"/>
      <w:r w:rsidR="009D0CDC" w:rsidRPr="00926DE4">
        <w:rPr>
          <w:i/>
        </w:rPr>
        <w:t xml:space="preserve"> Co. v. Stewart Title Guaranty Co.</w:t>
      </w:r>
      <w:r w:rsidR="009D0CDC" w:rsidRPr="00926DE4">
        <w:t xml:space="preserve"> (1998) 19 Cal.4th 26, 55 [laying out the elements of an intentional interference with contract claim, one of which is</w:t>
      </w:r>
      <w:r w:rsidR="00CC6A9A">
        <w:t xml:space="preserve"> that the defendant undertook “ </w:t>
      </w:r>
      <w:r w:rsidR="009D0CDC" w:rsidRPr="00926DE4">
        <w:t>‘intentional acts designed to induce a breach or disruption of the contractual relationship’ ”</w:t>
      </w:r>
      <w:r w:rsidR="00A02F75">
        <w:rPr>
          <w:szCs w:val="26"/>
        </w:rPr>
        <w:t>].</w:t>
      </w:r>
      <w:r w:rsidR="009D0CDC">
        <w:rPr>
          <w:szCs w:val="26"/>
        </w:rPr>
        <w:t xml:space="preserve">) </w:t>
      </w:r>
    </w:p>
    <w:p w14:paraId="631AE5EB" w14:textId="77777777" w:rsidR="0048206D" w:rsidRDefault="002B7E30" w:rsidP="000C57F2">
      <w:pPr>
        <w:ind w:firstLine="720"/>
        <w:rPr>
          <w:szCs w:val="26"/>
        </w:rPr>
      </w:pPr>
      <w:r>
        <w:rPr>
          <w:szCs w:val="26"/>
        </w:rPr>
        <w:t>P</w:t>
      </w:r>
      <w:r w:rsidR="00A70D85">
        <w:rPr>
          <w:szCs w:val="26"/>
        </w:rPr>
        <w:t>laintiffs</w:t>
      </w:r>
      <w:r>
        <w:rPr>
          <w:szCs w:val="26"/>
        </w:rPr>
        <w:t xml:space="preserve"> advance two related arguments </w:t>
      </w:r>
      <w:r w:rsidR="00AC6FA8">
        <w:rPr>
          <w:szCs w:val="26"/>
        </w:rPr>
        <w:t>in making</w:t>
      </w:r>
      <w:r w:rsidR="00565D5E">
        <w:rPr>
          <w:szCs w:val="26"/>
        </w:rPr>
        <w:t xml:space="preserve"> these </w:t>
      </w:r>
      <w:r>
        <w:rPr>
          <w:szCs w:val="26"/>
        </w:rPr>
        <w:t>claims</w:t>
      </w:r>
      <w:r w:rsidR="0048206D">
        <w:rPr>
          <w:szCs w:val="26"/>
        </w:rPr>
        <w:t>.  F</w:t>
      </w:r>
      <w:r w:rsidR="00390EC9">
        <w:rPr>
          <w:szCs w:val="26"/>
        </w:rPr>
        <w:t>irst</w:t>
      </w:r>
      <w:r w:rsidR="0048206D">
        <w:rPr>
          <w:szCs w:val="26"/>
        </w:rPr>
        <w:t>, they contend</w:t>
      </w:r>
      <w:r w:rsidR="00375652">
        <w:rPr>
          <w:szCs w:val="26"/>
        </w:rPr>
        <w:t xml:space="preserve"> </w:t>
      </w:r>
      <w:r w:rsidR="00A70D85">
        <w:rPr>
          <w:szCs w:val="26"/>
        </w:rPr>
        <w:t>t</w:t>
      </w:r>
      <w:r w:rsidR="00A02F75">
        <w:rPr>
          <w:szCs w:val="26"/>
        </w:rPr>
        <w:t xml:space="preserve">he Bloom defendants </w:t>
      </w:r>
      <w:r w:rsidR="00A70D85">
        <w:rPr>
          <w:szCs w:val="26"/>
        </w:rPr>
        <w:t>“began acting as the City’s agent” by “contacting NFL representatives” using Rand Resources’ promotional materials and company name</w:t>
      </w:r>
      <w:r w:rsidR="0048206D">
        <w:rPr>
          <w:szCs w:val="26"/>
        </w:rPr>
        <w:t xml:space="preserve">.  Second, plaintiffs claim </w:t>
      </w:r>
      <w:r w:rsidR="00F57BA2">
        <w:rPr>
          <w:szCs w:val="26"/>
        </w:rPr>
        <w:t>that “[a]</w:t>
      </w:r>
      <w:proofErr w:type="spellStart"/>
      <w:r w:rsidR="00F57BA2">
        <w:rPr>
          <w:szCs w:val="26"/>
        </w:rPr>
        <w:t>fter</w:t>
      </w:r>
      <w:proofErr w:type="spellEnd"/>
      <w:r w:rsidR="00F57BA2">
        <w:rPr>
          <w:szCs w:val="26"/>
        </w:rPr>
        <w:t xml:space="preserve"> Rand provided the City with its [EAA] extension request but before the City voted on </w:t>
      </w:r>
      <w:r w:rsidR="00F57BA2">
        <w:rPr>
          <w:szCs w:val="26"/>
        </w:rPr>
        <w:lastRenderedPageBreak/>
        <w:t>the extension,” the Bloom defendants met with Mayor Dear and a councilmember to “conspire about how to breach the EAA and not extend it</w:t>
      </w:r>
      <w:r w:rsidR="00375652">
        <w:rPr>
          <w:szCs w:val="26"/>
        </w:rPr>
        <w:t>.”</w:t>
      </w:r>
      <w:r w:rsidR="00D530BB">
        <w:rPr>
          <w:szCs w:val="26"/>
        </w:rPr>
        <w:t xml:space="preserve">  </w:t>
      </w:r>
    </w:p>
    <w:p w14:paraId="19F35BEA" w14:textId="77777777" w:rsidR="00BD5372" w:rsidRPr="000C57F2" w:rsidRDefault="00D530BB" w:rsidP="000C57F2">
      <w:pPr>
        <w:ind w:firstLine="720"/>
        <w:rPr>
          <w:szCs w:val="26"/>
        </w:rPr>
      </w:pPr>
      <w:r>
        <w:rPr>
          <w:szCs w:val="26"/>
        </w:rPr>
        <w:t xml:space="preserve">These two courses of conduct </w:t>
      </w:r>
      <w:r w:rsidR="006A4177">
        <w:rPr>
          <w:szCs w:val="26"/>
        </w:rPr>
        <w:t>are more than “merely a reference to a category of evidence that plaintiffs have to prove</w:t>
      </w:r>
      <w:r w:rsidR="003B75B9">
        <w:rPr>
          <w:szCs w:val="26"/>
        </w:rPr>
        <w:t xml:space="preserve"> their claims</w:t>
      </w:r>
      <w:r w:rsidR="00AC6FA8">
        <w:rPr>
          <w:szCs w:val="26"/>
        </w:rPr>
        <w:t>.</w:t>
      </w:r>
      <w:r w:rsidR="003B75B9">
        <w:rPr>
          <w:szCs w:val="26"/>
        </w:rPr>
        <w:t xml:space="preserve">” </w:t>
      </w:r>
      <w:r w:rsidR="00AC6FA8">
        <w:rPr>
          <w:szCs w:val="26"/>
        </w:rPr>
        <w:t xml:space="preserve"> </w:t>
      </w:r>
      <w:r w:rsidR="003B75B9" w:rsidRPr="00926DE4">
        <w:t>(</w:t>
      </w:r>
      <w:r w:rsidR="003B75B9" w:rsidRPr="00926DE4">
        <w:rPr>
          <w:i/>
        </w:rPr>
        <w:t>Rand Resources</w:t>
      </w:r>
      <w:r w:rsidR="003B75B9" w:rsidRPr="00926DE4">
        <w:t xml:space="preserve">, </w:t>
      </w:r>
      <w:r w:rsidR="003B75B9" w:rsidRPr="00926DE4">
        <w:rPr>
          <w:i/>
        </w:rPr>
        <w:t>supra</w:t>
      </w:r>
      <w:r w:rsidR="00302D1C">
        <w:t>, 247 Cal.App.4th at p. 1096</w:t>
      </w:r>
      <w:r w:rsidR="00AC6FA8">
        <w:t>.</w:t>
      </w:r>
      <w:r w:rsidR="00302D1C">
        <w:t>)</w:t>
      </w:r>
      <w:r w:rsidR="00A54344">
        <w:t xml:space="preserve">  </w:t>
      </w:r>
      <w:r w:rsidR="00AE371B">
        <w:rPr>
          <w:szCs w:val="26"/>
        </w:rPr>
        <w:t>T</w:t>
      </w:r>
      <w:r w:rsidR="00B0081C">
        <w:rPr>
          <w:szCs w:val="26"/>
        </w:rPr>
        <w:t>he Bloom defendants’ communications with the NFL served only as evidence of plaintiffs’ fraud-based claims</w:t>
      </w:r>
      <w:r w:rsidR="0048206D">
        <w:rPr>
          <w:szCs w:val="26"/>
        </w:rPr>
        <w:t>.  Y</w:t>
      </w:r>
      <w:r w:rsidR="00BD494D">
        <w:rPr>
          <w:szCs w:val="26"/>
        </w:rPr>
        <w:t>et the very</w:t>
      </w:r>
      <w:r w:rsidR="00B0081C">
        <w:rPr>
          <w:szCs w:val="26"/>
        </w:rPr>
        <w:t xml:space="preserve"> same communications </w:t>
      </w:r>
      <w:r w:rsidR="00BD494D">
        <w:rPr>
          <w:szCs w:val="26"/>
        </w:rPr>
        <w:t>constitute</w:t>
      </w:r>
      <w:r w:rsidR="00B0081C">
        <w:rPr>
          <w:szCs w:val="26"/>
        </w:rPr>
        <w:t xml:space="preserve"> the conduct by which plaintiffs claim to have been injured in their intentional interference claims.  (See </w:t>
      </w:r>
      <w:r w:rsidR="00B0081C">
        <w:rPr>
          <w:i/>
          <w:szCs w:val="26"/>
        </w:rPr>
        <w:t>Park</w:t>
      </w:r>
      <w:r w:rsidR="00B0081C">
        <w:rPr>
          <w:szCs w:val="26"/>
        </w:rPr>
        <w:t xml:space="preserve">, </w:t>
      </w:r>
      <w:r w:rsidR="00B0081C">
        <w:rPr>
          <w:i/>
          <w:szCs w:val="26"/>
        </w:rPr>
        <w:t>supra</w:t>
      </w:r>
      <w:r w:rsidR="00B0081C">
        <w:rPr>
          <w:szCs w:val="26"/>
        </w:rPr>
        <w:t xml:space="preserve">, </w:t>
      </w:r>
      <w:r w:rsidR="00A54344">
        <w:rPr>
          <w:szCs w:val="26"/>
        </w:rPr>
        <w:t xml:space="preserve">2 Cal.5th at p. 1064.)  Similarly, although Bloom’s secret communications with the City served as evidence of, or context for, claims based in fraud, those very communications </w:t>
      </w:r>
      <w:r w:rsidR="00A54344">
        <w:rPr>
          <w:i/>
          <w:szCs w:val="26"/>
        </w:rPr>
        <w:t xml:space="preserve">are </w:t>
      </w:r>
      <w:r w:rsidR="00A54344">
        <w:rPr>
          <w:szCs w:val="26"/>
        </w:rPr>
        <w:t xml:space="preserve">the interference now complained of in claims five and six.  (See </w:t>
      </w:r>
      <w:r w:rsidR="00A54344">
        <w:rPr>
          <w:i/>
          <w:szCs w:val="26"/>
        </w:rPr>
        <w:t>ibid.</w:t>
      </w:r>
      <w:r w:rsidR="00A54344">
        <w:rPr>
          <w:szCs w:val="26"/>
        </w:rPr>
        <w:t>)</w:t>
      </w:r>
    </w:p>
    <w:p w14:paraId="2819D6EF" w14:textId="77777777" w:rsidR="004922EC" w:rsidRDefault="00BE5EE8" w:rsidP="003B545B">
      <w:pPr>
        <w:ind w:firstLine="720"/>
        <w:rPr>
          <w:szCs w:val="26"/>
        </w:rPr>
      </w:pPr>
      <w:r>
        <w:rPr>
          <w:szCs w:val="26"/>
        </w:rPr>
        <w:t>Moreover</w:t>
      </w:r>
      <w:r w:rsidR="00D530BB">
        <w:rPr>
          <w:szCs w:val="26"/>
        </w:rPr>
        <w:t>,</w:t>
      </w:r>
      <w:r w:rsidR="00B403E2">
        <w:rPr>
          <w:szCs w:val="26"/>
        </w:rPr>
        <w:t xml:space="preserve"> the Bloom defendants’ acts giving rise to plaintiffs’ </w:t>
      </w:r>
      <w:r w:rsidR="00AB0333">
        <w:rPr>
          <w:szCs w:val="26"/>
        </w:rPr>
        <w:t>intentional interference claims were “in connection with a public issue,” as defined in subdivision (e)(2) and (e)(4) of the anti-SLAPP statute</w:t>
      </w:r>
      <w:r w:rsidR="009816CC">
        <w:rPr>
          <w:szCs w:val="26"/>
        </w:rPr>
        <w:t>.</w:t>
      </w:r>
      <w:r w:rsidR="00294113">
        <w:rPr>
          <w:szCs w:val="26"/>
        </w:rPr>
        <w:t xml:space="preserve">  In contrast to </w:t>
      </w:r>
      <w:proofErr w:type="spellStart"/>
      <w:r w:rsidR="00294113">
        <w:rPr>
          <w:szCs w:val="26"/>
        </w:rPr>
        <w:t>Wynder’s</w:t>
      </w:r>
      <w:proofErr w:type="spellEnd"/>
      <w:r w:rsidR="00294113">
        <w:rPr>
          <w:szCs w:val="26"/>
        </w:rPr>
        <w:t xml:space="preserve"> 2012 promise, the Bloom defendants </w:t>
      </w:r>
      <w:r w:rsidR="00A23B69">
        <w:rPr>
          <w:szCs w:val="26"/>
        </w:rPr>
        <w:t>lobbied Mayor Dear and a councilmember in 2014, “[a]</w:t>
      </w:r>
      <w:proofErr w:type="spellStart"/>
      <w:r w:rsidR="00A23B69">
        <w:rPr>
          <w:szCs w:val="26"/>
        </w:rPr>
        <w:t>fter</w:t>
      </w:r>
      <w:proofErr w:type="spellEnd"/>
      <w:r w:rsidR="00A23B69">
        <w:rPr>
          <w:szCs w:val="26"/>
        </w:rPr>
        <w:t xml:space="preserve"> Rand provided the City with its extension request but before the City voted on the extension.”</w:t>
      </w:r>
      <w:r w:rsidR="00375652">
        <w:rPr>
          <w:szCs w:val="26"/>
        </w:rPr>
        <w:t xml:space="preserve">  </w:t>
      </w:r>
      <w:r w:rsidR="00A23B69">
        <w:rPr>
          <w:szCs w:val="26"/>
        </w:rPr>
        <w:t>The Bloom defendants’ communications — designed to influence the City’s renewal decision</w:t>
      </w:r>
      <w:r w:rsidR="00832D47">
        <w:rPr>
          <w:szCs w:val="26"/>
        </w:rPr>
        <w:t xml:space="preserve"> while the renewal application was pending</w:t>
      </w:r>
      <w:r w:rsidR="00A23B69">
        <w:rPr>
          <w:szCs w:val="26"/>
        </w:rPr>
        <w:t xml:space="preserve"> — are reasonably considered communications “in connection with an issue under consideration or review by a legislative . . . body” within the meaning of subdivision (e)(2).</w:t>
      </w:r>
      <w:r w:rsidR="004922EC">
        <w:rPr>
          <w:szCs w:val="26"/>
        </w:rPr>
        <w:t xml:space="preserve">  Indeed, they </w:t>
      </w:r>
      <w:r>
        <w:rPr>
          <w:szCs w:val="26"/>
        </w:rPr>
        <w:t xml:space="preserve">appear to be </w:t>
      </w:r>
      <w:r w:rsidR="004922EC">
        <w:rPr>
          <w:szCs w:val="26"/>
        </w:rPr>
        <w:t>part of Bloom’s lobbying the City not to renew the EAA and instead to use Bloom’s company as the City’s negotiator.</w:t>
      </w:r>
    </w:p>
    <w:p w14:paraId="025747C6" w14:textId="77777777" w:rsidR="004A0BE9" w:rsidRDefault="004922EC" w:rsidP="003B545B">
      <w:pPr>
        <w:rPr>
          <w:szCs w:val="26"/>
        </w:rPr>
      </w:pPr>
      <w:r>
        <w:rPr>
          <w:szCs w:val="26"/>
        </w:rPr>
        <w:lastRenderedPageBreak/>
        <w:tab/>
      </w:r>
      <w:r w:rsidR="0015442A">
        <w:rPr>
          <w:szCs w:val="26"/>
        </w:rPr>
        <w:t>Along with</w:t>
      </w:r>
      <w:r w:rsidR="00A80E90">
        <w:rPr>
          <w:szCs w:val="26"/>
        </w:rPr>
        <w:t xml:space="preserve"> their direct lobbying efforts, the Bloom defendants allegedly contacted and met with NFL representatives </w:t>
      </w:r>
      <w:r w:rsidR="00101C3A">
        <w:rPr>
          <w:szCs w:val="26"/>
        </w:rPr>
        <w:t>to discuss a</w:t>
      </w:r>
      <w:r w:rsidR="009B6C6C">
        <w:rPr>
          <w:szCs w:val="26"/>
        </w:rPr>
        <w:t xml:space="preserve"> possible NFL franchise in </w:t>
      </w:r>
      <w:r w:rsidR="00375652">
        <w:rPr>
          <w:szCs w:val="26"/>
        </w:rPr>
        <w:t>the City</w:t>
      </w:r>
      <w:r w:rsidR="009B6C6C">
        <w:rPr>
          <w:szCs w:val="26"/>
        </w:rPr>
        <w:t>.</w:t>
      </w:r>
      <w:r w:rsidR="00A80E90">
        <w:rPr>
          <w:szCs w:val="26"/>
        </w:rPr>
        <w:t xml:space="preserve">  </w:t>
      </w:r>
      <w:r w:rsidR="005E66E0">
        <w:rPr>
          <w:szCs w:val="26"/>
        </w:rPr>
        <w:t xml:space="preserve">Although in this case the identity of the City’s exclusive agent was not a matter of public interest, the NFL’s possible franchise relocation to the City </w:t>
      </w:r>
      <w:r w:rsidR="005E66E0">
        <w:rPr>
          <w:i/>
          <w:szCs w:val="26"/>
        </w:rPr>
        <w:t>was</w:t>
      </w:r>
      <w:r w:rsidR="005E66E0">
        <w:rPr>
          <w:szCs w:val="26"/>
        </w:rPr>
        <w:t xml:space="preserve"> a matter of public interest.  </w:t>
      </w:r>
      <w:r w:rsidR="00BE5EE8">
        <w:rPr>
          <w:szCs w:val="26"/>
        </w:rPr>
        <w:t>A</w:t>
      </w:r>
      <w:r w:rsidR="005E66E0">
        <w:rPr>
          <w:szCs w:val="26"/>
        </w:rPr>
        <w:t xml:space="preserve">s in </w:t>
      </w:r>
      <w:proofErr w:type="spellStart"/>
      <w:r w:rsidR="005E66E0">
        <w:rPr>
          <w:i/>
          <w:szCs w:val="26"/>
        </w:rPr>
        <w:t>Tuchscher</w:t>
      </w:r>
      <w:proofErr w:type="spellEnd"/>
      <w:r w:rsidR="005E66E0">
        <w:rPr>
          <w:szCs w:val="26"/>
        </w:rPr>
        <w:t xml:space="preserve">, the Bloom defendants’ statements to the NFL regarding that matter of public interest are themselves statements “in connection with a public issue or an issue of public interest.”  (§ 425.16, </w:t>
      </w:r>
      <w:proofErr w:type="spellStart"/>
      <w:r w:rsidR="005E66E0">
        <w:rPr>
          <w:szCs w:val="26"/>
        </w:rPr>
        <w:t>subd</w:t>
      </w:r>
      <w:proofErr w:type="spellEnd"/>
      <w:r w:rsidR="005E66E0">
        <w:rPr>
          <w:szCs w:val="26"/>
        </w:rPr>
        <w:t>. (e)(4).)</w:t>
      </w:r>
    </w:p>
    <w:p w14:paraId="69692C34" w14:textId="77777777" w:rsidR="008A2964" w:rsidRPr="000C57F2" w:rsidRDefault="00CA2B4D" w:rsidP="000C57F2">
      <w:pPr>
        <w:ind w:firstLine="720"/>
        <w:rPr>
          <w:szCs w:val="26"/>
        </w:rPr>
      </w:pPr>
      <w:r>
        <w:rPr>
          <w:szCs w:val="26"/>
        </w:rPr>
        <w:t>In short, the Bloom d</w:t>
      </w:r>
      <w:r w:rsidR="004A0BE9">
        <w:rPr>
          <w:szCs w:val="26"/>
        </w:rPr>
        <w:t xml:space="preserve">efendants’ </w:t>
      </w:r>
      <w:r w:rsidR="00101C3A">
        <w:rPr>
          <w:szCs w:val="26"/>
        </w:rPr>
        <w:t>communications with</w:t>
      </w:r>
      <w:r w:rsidR="004A0BE9">
        <w:rPr>
          <w:szCs w:val="26"/>
        </w:rPr>
        <w:t xml:space="preserve"> the NFL </w:t>
      </w:r>
      <w:r w:rsidR="00DB4C94">
        <w:rPr>
          <w:szCs w:val="26"/>
        </w:rPr>
        <w:t xml:space="preserve">— like the communications at issue in </w:t>
      </w:r>
      <w:proofErr w:type="spellStart"/>
      <w:r w:rsidR="00DB4C94">
        <w:rPr>
          <w:i/>
          <w:szCs w:val="26"/>
        </w:rPr>
        <w:t>Tuchscher</w:t>
      </w:r>
      <w:proofErr w:type="spellEnd"/>
      <w:r w:rsidR="00840E8D" w:rsidRPr="00AF530D">
        <w:rPr>
          <w:szCs w:val="26"/>
        </w:rPr>
        <w:t>,</w:t>
      </w:r>
      <w:r w:rsidR="00DB4C94">
        <w:rPr>
          <w:szCs w:val="26"/>
        </w:rPr>
        <w:t xml:space="preserve"> and unlike those in plaintiffs’ fraud-based claims — </w:t>
      </w:r>
      <w:r w:rsidR="0074235F">
        <w:rPr>
          <w:szCs w:val="26"/>
        </w:rPr>
        <w:t>formed the basis of the interference claims</w:t>
      </w:r>
      <w:r w:rsidR="0048206D">
        <w:rPr>
          <w:szCs w:val="26"/>
        </w:rPr>
        <w:t xml:space="preserve">.  Moreover, they </w:t>
      </w:r>
      <w:r w:rsidR="004A0BE9">
        <w:rPr>
          <w:szCs w:val="26"/>
        </w:rPr>
        <w:t xml:space="preserve">were made “in connection with” the issue of bringing </w:t>
      </w:r>
      <w:r w:rsidR="00DB4C94">
        <w:rPr>
          <w:szCs w:val="26"/>
        </w:rPr>
        <w:t>a</w:t>
      </w:r>
      <w:r w:rsidR="00840E8D">
        <w:rPr>
          <w:szCs w:val="26"/>
        </w:rPr>
        <w:t xml:space="preserve"> football</w:t>
      </w:r>
      <w:r w:rsidR="00DB4C94">
        <w:rPr>
          <w:szCs w:val="26"/>
        </w:rPr>
        <w:t xml:space="preserve"> </w:t>
      </w:r>
      <w:r w:rsidR="004A0BE9">
        <w:rPr>
          <w:szCs w:val="26"/>
        </w:rPr>
        <w:t xml:space="preserve">franchise to </w:t>
      </w:r>
      <w:r w:rsidR="00375652">
        <w:rPr>
          <w:szCs w:val="26"/>
        </w:rPr>
        <w:t>the City</w:t>
      </w:r>
      <w:r w:rsidR="0074235F">
        <w:rPr>
          <w:szCs w:val="26"/>
        </w:rPr>
        <w:t xml:space="preserve">.  Likewise, defendants’ statements to </w:t>
      </w:r>
      <w:r w:rsidR="00375652">
        <w:rPr>
          <w:szCs w:val="26"/>
        </w:rPr>
        <w:t>Mayor Dear</w:t>
      </w:r>
      <w:r w:rsidR="0074235F">
        <w:rPr>
          <w:szCs w:val="26"/>
        </w:rPr>
        <w:t xml:space="preserve"> in 2014, while the EAA extension was pending before the City Council, also formed </w:t>
      </w:r>
      <w:r w:rsidR="00DB4C94">
        <w:rPr>
          <w:szCs w:val="26"/>
        </w:rPr>
        <w:t xml:space="preserve">the basis of the interference claims </w:t>
      </w:r>
      <w:r w:rsidR="00661A91" w:rsidRPr="003B545B">
        <w:rPr>
          <w:szCs w:val="26"/>
        </w:rPr>
        <w:t>and</w:t>
      </w:r>
      <w:r w:rsidR="00661A91">
        <w:rPr>
          <w:szCs w:val="26"/>
        </w:rPr>
        <w:t xml:space="preserve"> were made “in connection with</w:t>
      </w:r>
      <w:r w:rsidR="00C933B1">
        <w:rPr>
          <w:szCs w:val="26"/>
        </w:rPr>
        <w:t xml:space="preserve">” the issue of </w:t>
      </w:r>
      <w:r w:rsidR="0070024B">
        <w:rPr>
          <w:szCs w:val="26"/>
        </w:rPr>
        <w:t xml:space="preserve">the </w:t>
      </w:r>
      <w:r w:rsidR="00C933B1">
        <w:rPr>
          <w:szCs w:val="26"/>
        </w:rPr>
        <w:t>EAA renewal that was before the City Council</w:t>
      </w:r>
      <w:r w:rsidR="0076210C">
        <w:rPr>
          <w:szCs w:val="26"/>
        </w:rPr>
        <w:t xml:space="preserve">. </w:t>
      </w:r>
    </w:p>
    <w:p w14:paraId="02D1A65B" w14:textId="77777777" w:rsidR="00686B9A" w:rsidRPr="00E33DB4" w:rsidRDefault="00895606" w:rsidP="00E33DB4">
      <w:pPr>
        <w:pStyle w:val="Heading1"/>
      </w:pPr>
      <w:bookmarkStart w:id="8" w:name="_Hlk521506383"/>
      <w:r>
        <w:t>III</w:t>
      </w:r>
      <w:bookmarkEnd w:id="8"/>
      <w:r w:rsidR="005125EE" w:rsidRPr="00E33DB4">
        <w:t>.</w:t>
      </w:r>
    </w:p>
    <w:p w14:paraId="3FE7A4E9" w14:textId="77777777" w:rsidR="00C80151" w:rsidRDefault="00F90303" w:rsidP="00C80151">
      <w:pPr>
        <w:ind w:firstLine="720"/>
      </w:pPr>
      <w:r>
        <w:t>At the heart of this case is a dispute</w:t>
      </w:r>
      <w:r w:rsidRPr="00E33DB4">
        <w:t xml:space="preserve"> about who represents a city in its negotiations with a </w:t>
      </w:r>
      <w:r w:rsidR="0048206D">
        <w:t xml:space="preserve">national </w:t>
      </w:r>
      <w:r w:rsidRPr="00E33DB4">
        <w:t xml:space="preserve">sports </w:t>
      </w:r>
      <w:r w:rsidR="00840E8D">
        <w:t>league</w:t>
      </w:r>
      <w:r w:rsidRPr="00E33DB4">
        <w:t xml:space="preserve">.  </w:t>
      </w:r>
      <w:r w:rsidR="00AF530D">
        <w:t xml:space="preserve">Defendants in </w:t>
      </w:r>
      <w:r w:rsidR="00F00E99">
        <w:t>that</w:t>
      </w:r>
      <w:r w:rsidR="00AF530D">
        <w:t xml:space="preserve"> dispute </w:t>
      </w:r>
      <w:r w:rsidR="00F00E99">
        <w:t>made a motion under</w:t>
      </w:r>
      <w:r w:rsidR="00AF530D">
        <w:t xml:space="preserve"> the anti-SLAPP statute, which </w:t>
      </w:r>
      <w:r w:rsidR="00C80151">
        <w:t xml:space="preserve">must be read broadly, </w:t>
      </w:r>
      <w:proofErr w:type="gramStart"/>
      <w:r w:rsidR="00C80151">
        <w:t>in light of</w:t>
      </w:r>
      <w:proofErr w:type="gramEnd"/>
      <w:r w:rsidR="00C80151">
        <w:t xml:space="preserve"> its remedial purpose</w:t>
      </w:r>
      <w:r w:rsidR="00512874">
        <w:t>.</w:t>
      </w:r>
      <w:r w:rsidR="00C80151">
        <w:rPr>
          <w:i/>
        </w:rPr>
        <w:t xml:space="preserve"> </w:t>
      </w:r>
      <w:r w:rsidR="00512874">
        <w:rPr>
          <w:i/>
        </w:rPr>
        <w:t xml:space="preserve"> </w:t>
      </w:r>
      <w:r w:rsidR="00C80151">
        <w:t>(</w:t>
      </w:r>
      <w:r w:rsidR="00512874">
        <w:t>S</w:t>
      </w:r>
      <w:r w:rsidR="00C80151">
        <w:t xml:space="preserve">ee, e.g., </w:t>
      </w:r>
      <w:proofErr w:type="spellStart"/>
      <w:r w:rsidR="00C80151">
        <w:rPr>
          <w:i/>
        </w:rPr>
        <w:t>Equilon</w:t>
      </w:r>
      <w:proofErr w:type="spellEnd"/>
      <w:r w:rsidR="00C80151">
        <w:t>,</w:t>
      </w:r>
      <w:r w:rsidR="00C80151">
        <w:rPr>
          <w:i/>
        </w:rPr>
        <w:t xml:space="preserve"> </w:t>
      </w:r>
      <w:r w:rsidR="00C80151">
        <w:t>29 Cal.4th at pp. 59–60</w:t>
      </w:r>
      <w:r w:rsidR="00512874">
        <w:t>.</w:t>
      </w:r>
      <w:r w:rsidR="00C80151">
        <w:t>)</w:t>
      </w:r>
      <w:r w:rsidR="00D77D09">
        <w:t xml:space="preserve"> </w:t>
      </w:r>
      <w:r w:rsidR="00C80151">
        <w:t xml:space="preserve"> But we do not understand it to swallow </w:t>
      </w:r>
      <w:r w:rsidR="00607A3B">
        <w:t xml:space="preserve">a </w:t>
      </w:r>
      <w:r w:rsidR="004D0458">
        <w:t>person’s</w:t>
      </w:r>
      <w:r w:rsidR="00607A3B">
        <w:t xml:space="preserve"> </w:t>
      </w:r>
      <w:r w:rsidR="00C80151">
        <w:t>every contact with government, nor</w:t>
      </w:r>
      <w:r w:rsidR="007F1C25">
        <w:t xml:space="preserve"> does</w:t>
      </w:r>
      <w:r w:rsidR="00C80151">
        <w:t xml:space="preserve"> </w:t>
      </w:r>
      <w:r w:rsidR="007F1C25">
        <w:t>it</w:t>
      </w:r>
      <w:r w:rsidR="00C80151">
        <w:t xml:space="preserve"> absorb every commercial dispute that happens to touch on the public interest.  </w:t>
      </w:r>
      <w:r w:rsidR="000B3CB3">
        <w:t xml:space="preserve">What </w:t>
      </w:r>
      <w:r w:rsidR="00A93589">
        <w:t xml:space="preserve">the statute </w:t>
      </w:r>
      <w:r w:rsidR="005A59A6">
        <w:lastRenderedPageBreak/>
        <w:t>targets</w:t>
      </w:r>
      <w:r w:rsidR="00B76E96">
        <w:t xml:space="preserve"> </w:t>
      </w:r>
      <w:r w:rsidR="00A93589">
        <w:t>in a dispute like this one is liability premised on speech or petitioning activity “in connection with” a public issue.</w:t>
      </w:r>
    </w:p>
    <w:p w14:paraId="34AE4CCC" w14:textId="77777777" w:rsidR="00F90303" w:rsidRPr="00E33DB4" w:rsidRDefault="00F90303" w:rsidP="00F90303">
      <w:pPr>
        <w:ind w:firstLine="720"/>
      </w:pPr>
      <w:r w:rsidRPr="00E33DB4">
        <w:t xml:space="preserve">While </w:t>
      </w:r>
      <w:r>
        <w:t xml:space="preserve">many of the claims </w:t>
      </w:r>
      <w:r w:rsidR="00C80151">
        <w:t xml:space="preserve">at issue here </w:t>
      </w:r>
      <w:r>
        <w:t>— those alleging fraud, for instance — necessarily</w:t>
      </w:r>
      <w:r w:rsidRPr="00E33DB4">
        <w:t xml:space="preserve"> involved oral and written exchanges, </w:t>
      </w:r>
      <w:r>
        <w:t xml:space="preserve">few of those exchanges were themselves the </w:t>
      </w:r>
      <w:r w:rsidR="00512874">
        <w:t>“</w:t>
      </w:r>
      <w:r>
        <w:t>wrong</w:t>
      </w:r>
      <w:r w:rsidR="00512874">
        <w:t>[</w:t>
      </w:r>
      <w:r>
        <w:t>s</w:t>
      </w:r>
      <w:r w:rsidR="00512874">
        <w:t>]</w:t>
      </w:r>
      <w:r w:rsidR="00DB4C14">
        <w:t>” about which plaintiffs</w:t>
      </w:r>
      <w:r w:rsidR="00512874">
        <w:t xml:space="preserve"> complained.  (</w:t>
      </w:r>
      <w:r w:rsidR="00512874" w:rsidRPr="005F59ED">
        <w:rPr>
          <w:i/>
          <w:szCs w:val="26"/>
        </w:rPr>
        <w:t>Park</w:t>
      </w:r>
      <w:r w:rsidR="00512874">
        <w:rPr>
          <w:szCs w:val="26"/>
        </w:rPr>
        <w:t xml:space="preserve">, </w:t>
      </w:r>
      <w:r w:rsidR="00512874">
        <w:rPr>
          <w:i/>
          <w:szCs w:val="26"/>
        </w:rPr>
        <w:t>supra</w:t>
      </w:r>
      <w:r w:rsidR="00512874">
        <w:rPr>
          <w:szCs w:val="26"/>
        </w:rPr>
        <w:t>,</w:t>
      </w:r>
      <w:r w:rsidR="00512874">
        <w:rPr>
          <w:i/>
          <w:szCs w:val="26"/>
        </w:rPr>
        <w:t xml:space="preserve"> </w:t>
      </w:r>
      <w:r w:rsidR="00512874" w:rsidRPr="005F59ED">
        <w:rPr>
          <w:szCs w:val="26"/>
        </w:rPr>
        <w:t>2</w:t>
      </w:r>
      <w:r w:rsidR="00512874" w:rsidRPr="00E33DB4">
        <w:rPr>
          <w:szCs w:val="26"/>
        </w:rPr>
        <w:t xml:space="preserve"> Cal.5th </w:t>
      </w:r>
      <w:r w:rsidR="00512874">
        <w:rPr>
          <w:szCs w:val="26"/>
        </w:rPr>
        <w:t>at p.</w:t>
      </w:r>
      <w:r w:rsidR="00512874" w:rsidRPr="00E33DB4">
        <w:rPr>
          <w:szCs w:val="26"/>
        </w:rPr>
        <w:t xml:space="preserve"> 10</w:t>
      </w:r>
      <w:r w:rsidR="00512874">
        <w:rPr>
          <w:szCs w:val="26"/>
        </w:rPr>
        <w:t>60.)</w:t>
      </w:r>
      <w:r>
        <w:t xml:space="preserve">  With two exceptions, the communications that </w:t>
      </w:r>
      <w:r w:rsidRPr="00C6729F">
        <w:rPr>
          <w:i/>
        </w:rPr>
        <w:t>did</w:t>
      </w:r>
      <w:r>
        <w:t xml:space="preserve"> give rise to plaintiffs’ claims were not made “in </w:t>
      </w:r>
      <w:r w:rsidR="00BC264A">
        <w:t xml:space="preserve">furtherance of” defendants’ rights of free speech or petition “in </w:t>
      </w:r>
      <w:r>
        <w:t xml:space="preserve">connection with a public issue.”  </w:t>
      </w:r>
      <w:r w:rsidRPr="00E33DB4">
        <w:t>(§</w:t>
      </w:r>
      <w:r>
        <w:t> </w:t>
      </w:r>
      <w:r w:rsidRPr="00E33DB4">
        <w:t xml:space="preserve">425.16, </w:t>
      </w:r>
      <w:proofErr w:type="spellStart"/>
      <w:r w:rsidRPr="00E33DB4">
        <w:t>subd</w:t>
      </w:r>
      <w:proofErr w:type="spellEnd"/>
      <w:r w:rsidRPr="00E33DB4">
        <w:t xml:space="preserve">. (b)(1).)  </w:t>
      </w:r>
      <w:r>
        <w:t>Such speech does not merit anti-SLAPP protection.</w:t>
      </w:r>
    </w:p>
    <w:p w14:paraId="1DC509E6" w14:textId="77777777" w:rsidR="000B3CB3" w:rsidRDefault="00D34296" w:rsidP="00E33DB4">
      <w:pPr>
        <w:ind w:firstLine="720"/>
      </w:pPr>
      <w:r>
        <w:t xml:space="preserve">Plaintiffs’ intentional interference claims are different.  Where </w:t>
      </w:r>
      <w:r w:rsidR="00DF4316">
        <w:t>other claims</w:t>
      </w:r>
      <w:r w:rsidR="00DA4EA5">
        <w:t xml:space="preserve"> aro</w:t>
      </w:r>
      <w:r>
        <w:t xml:space="preserve">se from </w:t>
      </w:r>
      <w:r w:rsidR="00DF4316">
        <w:t>speech peripherally related to the issue of public interest (the relocation of an NFL franchise) or tenuously involving</w:t>
      </w:r>
      <w:r w:rsidR="00DA4EA5">
        <w:t xml:space="preserve"> an issue </w:t>
      </w:r>
      <w:r w:rsidR="00311EDB">
        <w:t>that would eventually come before</w:t>
      </w:r>
      <w:r w:rsidR="00DA4EA5">
        <w:t xml:space="preserve"> a legislative body (the EAA extension), </w:t>
      </w:r>
      <w:r w:rsidR="0023147F">
        <w:t xml:space="preserve">the intentional interference claims </w:t>
      </w:r>
      <w:r w:rsidR="002677AB">
        <w:t xml:space="preserve">arose from the Bloom defendants’ speech “in connection with” both the EAA extension in 2014 and the public interest issue of attracting the NFL to </w:t>
      </w:r>
      <w:r w:rsidR="00375652">
        <w:t>the City</w:t>
      </w:r>
      <w:r w:rsidR="002677AB">
        <w:t>.</w:t>
      </w:r>
      <w:r w:rsidR="002929D6">
        <w:t xml:space="preserve">  The </w:t>
      </w:r>
      <w:r w:rsidR="00CC4C31" w:rsidRPr="00E33DB4">
        <w:t>Court of Appeal erred in denying the motion to strike these two claims at the first stage of the anti-SLAPP analysis.</w:t>
      </w:r>
      <w:r w:rsidR="007107BE" w:rsidRPr="00E33DB4">
        <w:t xml:space="preserve">  The court’s judgment in other respects was correct.</w:t>
      </w:r>
    </w:p>
    <w:p w14:paraId="2B198397" w14:textId="77777777" w:rsidR="00267679" w:rsidRPr="00E33DB4" w:rsidRDefault="00967E6C" w:rsidP="00E33DB4">
      <w:pPr>
        <w:ind w:firstLine="720"/>
      </w:pPr>
      <w:r>
        <w:t>We</w:t>
      </w:r>
      <w:r w:rsidR="00B20B3C" w:rsidRPr="00E33DB4">
        <w:t xml:space="preserve"> affirm</w:t>
      </w:r>
      <w:r w:rsidR="00D934B1" w:rsidRPr="00E33DB4">
        <w:t xml:space="preserve"> in part and reverse in part</w:t>
      </w:r>
      <w:r w:rsidR="008560E5" w:rsidRPr="00E33DB4">
        <w:t xml:space="preserve"> the Court of Appeal’s judgment</w:t>
      </w:r>
      <w:r w:rsidR="00BC74C7">
        <w:t xml:space="preserve">. </w:t>
      </w:r>
      <w:r w:rsidR="001228CF">
        <w:t xml:space="preserve"> </w:t>
      </w:r>
      <w:r w:rsidR="00BC74C7">
        <w:t xml:space="preserve">We </w:t>
      </w:r>
      <w:r>
        <w:t xml:space="preserve">remand the matter </w:t>
      </w:r>
      <w:r w:rsidR="00BD6A98">
        <w:t>for proceedings consistent with this opinio</w:t>
      </w:r>
      <w:r w:rsidR="003E1887">
        <w:t xml:space="preserve">n — </w:t>
      </w:r>
      <w:r w:rsidR="00BD6A98">
        <w:t>including a determination</w:t>
      </w:r>
      <w:r w:rsidR="003E1887">
        <w:t xml:space="preserve"> </w:t>
      </w:r>
      <w:r w:rsidR="00BD6A98">
        <w:t xml:space="preserve">of whether plaintiffs have established a probability of prevailing on their intentional interference claims. </w:t>
      </w:r>
      <w:r w:rsidR="00340BA1">
        <w:t xml:space="preserve"> (§ 425.16, </w:t>
      </w:r>
      <w:proofErr w:type="spellStart"/>
      <w:r w:rsidR="00340BA1">
        <w:t>subd</w:t>
      </w:r>
      <w:proofErr w:type="spellEnd"/>
      <w:r w:rsidR="00340BA1">
        <w:t>. (b)(1).)</w:t>
      </w:r>
    </w:p>
    <w:p w14:paraId="0CD9F2D4" w14:textId="77777777" w:rsidR="00A931A1" w:rsidRDefault="00A931A1" w:rsidP="00064A6F">
      <w:pPr>
        <w:ind w:left="4320" w:firstLine="720"/>
        <w:rPr>
          <w:b/>
        </w:rPr>
      </w:pPr>
    </w:p>
    <w:p w14:paraId="2045609F" w14:textId="77777777" w:rsidR="00A931A1" w:rsidRDefault="00A931A1" w:rsidP="00064A6F">
      <w:pPr>
        <w:ind w:left="4320" w:firstLine="720"/>
        <w:rPr>
          <w:b/>
        </w:rPr>
      </w:pPr>
    </w:p>
    <w:p w14:paraId="209870AE" w14:textId="77777777" w:rsidR="00A931A1" w:rsidRDefault="00A931A1" w:rsidP="00064A6F">
      <w:pPr>
        <w:ind w:left="4320" w:firstLine="720"/>
        <w:rPr>
          <w:b/>
        </w:rPr>
      </w:pPr>
    </w:p>
    <w:p w14:paraId="1327908A" w14:textId="77777777" w:rsidR="00C828C3" w:rsidRPr="00E33DB4" w:rsidRDefault="00C828C3" w:rsidP="00064A6F">
      <w:pPr>
        <w:ind w:left="4320" w:firstLine="720"/>
        <w:rPr>
          <w:b/>
          <w:smallCaps/>
        </w:rPr>
      </w:pPr>
      <w:r w:rsidRPr="00E33DB4">
        <w:rPr>
          <w:b/>
        </w:rPr>
        <w:lastRenderedPageBreak/>
        <w:t>C</w:t>
      </w:r>
      <w:r w:rsidRPr="00E33DB4">
        <w:rPr>
          <w:b/>
          <w:caps/>
        </w:rPr>
        <w:t>uéllar</w:t>
      </w:r>
      <w:r w:rsidRPr="00E33DB4">
        <w:rPr>
          <w:b/>
          <w:smallCaps/>
        </w:rPr>
        <w:t>, J.</w:t>
      </w:r>
    </w:p>
    <w:p w14:paraId="6FE0C2FD" w14:textId="77777777" w:rsidR="00A931A1" w:rsidRDefault="00A931A1" w:rsidP="00A931A1">
      <w:pPr>
        <w:spacing w:after="0" w:line="240" w:lineRule="auto"/>
        <w:rPr>
          <w:b/>
        </w:rPr>
      </w:pPr>
    </w:p>
    <w:p w14:paraId="1CA56158" w14:textId="77777777" w:rsidR="004B0A68" w:rsidRDefault="00375652" w:rsidP="00A931A1">
      <w:pPr>
        <w:spacing w:after="0" w:line="240" w:lineRule="auto"/>
        <w:rPr>
          <w:b/>
        </w:rPr>
      </w:pPr>
      <w:r>
        <w:rPr>
          <w:b/>
        </w:rPr>
        <w:t>We Concur:</w:t>
      </w:r>
    </w:p>
    <w:p w14:paraId="0F942325" w14:textId="77777777" w:rsidR="00A931A1" w:rsidRPr="00DB5D45" w:rsidRDefault="00A931A1" w:rsidP="00A931A1">
      <w:pPr>
        <w:tabs>
          <w:tab w:val="left" w:pos="1440"/>
        </w:tabs>
        <w:spacing w:after="0" w:line="240" w:lineRule="auto"/>
        <w:rPr>
          <w:b/>
          <w:caps/>
        </w:rPr>
      </w:pPr>
      <w:r w:rsidRPr="00DB5D45">
        <w:rPr>
          <w:b/>
          <w:caps/>
        </w:rPr>
        <w:t>Cantil-Sakauye, C. J.</w:t>
      </w:r>
    </w:p>
    <w:p w14:paraId="4115026E" w14:textId="77777777" w:rsidR="00A931A1" w:rsidRPr="00DB5D45" w:rsidRDefault="00A931A1" w:rsidP="00A931A1">
      <w:pPr>
        <w:tabs>
          <w:tab w:val="left" w:pos="1440"/>
        </w:tabs>
        <w:spacing w:after="0" w:line="240" w:lineRule="auto"/>
        <w:rPr>
          <w:b/>
          <w:caps/>
        </w:rPr>
      </w:pPr>
      <w:r w:rsidRPr="00DB5D45">
        <w:rPr>
          <w:b/>
          <w:caps/>
        </w:rPr>
        <w:t>Chin, J.</w:t>
      </w:r>
    </w:p>
    <w:p w14:paraId="5E0B1472" w14:textId="77777777" w:rsidR="00A931A1" w:rsidRPr="00DB5D45" w:rsidRDefault="00A931A1" w:rsidP="00A931A1">
      <w:pPr>
        <w:tabs>
          <w:tab w:val="left" w:pos="1440"/>
        </w:tabs>
        <w:spacing w:after="0" w:line="240" w:lineRule="auto"/>
        <w:rPr>
          <w:b/>
          <w:caps/>
        </w:rPr>
      </w:pPr>
      <w:r w:rsidRPr="00DB5D45">
        <w:rPr>
          <w:b/>
          <w:caps/>
        </w:rPr>
        <w:t>Corrigan, J.</w:t>
      </w:r>
    </w:p>
    <w:p w14:paraId="6A1C3520" w14:textId="77777777" w:rsidR="00A931A1" w:rsidRPr="00DB5D45" w:rsidRDefault="00A931A1" w:rsidP="00A931A1">
      <w:pPr>
        <w:tabs>
          <w:tab w:val="left" w:pos="1440"/>
        </w:tabs>
        <w:spacing w:after="0" w:line="240" w:lineRule="auto"/>
        <w:rPr>
          <w:b/>
          <w:caps/>
        </w:rPr>
      </w:pPr>
      <w:r w:rsidRPr="00DB5D45">
        <w:rPr>
          <w:b/>
          <w:caps/>
        </w:rPr>
        <w:t>Liu, J.</w:t>
      </w:r>
    </w:p>
    <w:p w14:paraId="572EF30D" w14:textId="77777777" w:rsidR="00A931A1" w:rsidRPr="00DB5D45" w:rsidRDefault="00A931A1" w:rsidP="00A931A1">
      <w:pPr>
        <w:tabs>
          <w:tab w:val="left" w:pos="1440"/>
        </w:tabs>
        <w:spacing w:after="0" w:line="240" w:lineRule="auto"/>
        <w:rPr>
          <w:caps/>
        </w:rPr>
      </w:pPr>
      <w:r w:rsidRPr="00DB5D45">
        <w:rPr>
          <w:b/>
          <w:caps/>
        </w:rPr>
        <w:t>Kruger, J.</w:t>
      </w:r>
    </w:p>
    <w:p w14:paraId="3F2F1F2D" w14:textId="77777777" w:rsidR="00A931A1" w:rsidRDefault="00A931A1" w:rsidP="00A931A1">
      <w:pPr>
        <w:spacing w:after="0" w:line="240" w:lineRule="auto"/>
      </w:pPr>
      <w:r>
        <w:rPr>
          <w:b/>
        </w:rPr>
        <w:t>ASHMANN-GERST, J.</w:t>
      </w:r>
      <w:r>
        <w:rPr>
          <w:rStyle w:val="FootnoteReference"/>
          <w:b w:val="0"/>
        </w:rPr>
        <w:footnoteReference w:customMarkFollows="1" w:id="8"/>
        <w:t>*</w:t>
      </w:r>
    </w:p>
    <w:p w14:paraId="0DCBD8F1" w14:textId="77777777" w:rsidR="007A726A" w:rsidRDefault="007A726A" w:rsidP="00A931A1">
      <w:pPr>
        <w:spacing w:after="0" w:line="240" w:lineRule="auto"/>
        <w:rPr>
          <w:b/>
        </w:rPr>
        <w:sectPr w:rsidR="007A726A" w:rsidSect="00E33DB4">
          <w:footerReference w:type="first" r:id="rId9"/>
          <w:pgSz w:w="12240" w:h="15840"/>
          <w:pgMar w:top="1800" w:right="2160" w:bottom="1440" w:left="2160" w:header="720" w:footer="720" w:gutter="0"/>
          <w:pgNumType w:start="1"/>
          <w:cols w:space="720"/>
          <w:titlePg/>
          <w:docGrid w:linePitch="367"/>
        </w:sectPr>
      </w:pPr>
    </w:p>
    <w:p w14:paraId="604E55FD" w14:textId="77777777" w:rsidR="007A726A" w:rsidRPr="007A726A" w:rsidRDefault="007A726A" w:rsidP="007A726A">
      <w:pPr>
        <w:spacing w:after="0" w:line="240" w:lineRule="auto"/>
        <w:jc w:val="left"/>
        <w:rPr>
          <w:rFonts w:ascii="Times New Roman" w:hAnsi="Times New Roman"/>
          <w:i/>
          <w:sz w:val="20"/>
        </w:rPr>
      </w:pPr>
      <w:r w:rsidRPr="007A726A">
        <w:rPr>
          <w:rFonts w:ascii="Times New Roman" w:hAnsi="Times New Roman"/>
          <w:i/>
          <w:sz w:val="20"/>
        </w:rPr>
        <w:lastRenderedPageBreak/>
        <w:t>See next page for addresses and telephone numbers for counsel who argued in Supreme Court.</w:t>
      </w:r>
    </w:p>
    <w:p w14:paraId="3845ACD8" w14:textId="77777777" w:rsidR="007A726A" w:rsidRPr="007A726A" w:rsidRDefault="007A726A" w:rsidP="007A726A">
      <w:pPr>
        <w:spacing w:after="0" w:line="240" w:lineRule="auto"/>
        <w:jc w:val="left"/>
        <w:rPr>
          <w:rFonts w:ascii="Times New Roman" w:hAnsi="Times New Roman"/>
          <w:i/>
          <w:sz w:val="20"/>
        </w:rPr>
      </w:pPr>
    </w:p>
    <w:p w14:paraId="64049D74" w14:textId="77777777" w:rsidR="007A726A" w:rsidRPr="007A726A" w:rsidRDefault="007A726A" w:rsidP="007A726A">
      <w:pPr>
        <w:spacing w:after="0" w:line="240" w:lineRule="auto"/>
        <w:jc w:val="left"/>
        <w:rPr>
          <w:rFonts w:ascii="Times New Roman" w:hAnsi="Times New Roman"/>
          <w:bCs/>
          <w:i/>
          <w:sz w:val="20"/>
        </w:rPr>
      </w:pPr>
      <w:r w:rsidRPr="007A726A">
        <w:rPr>
          <w:rFonts w:ascii="Times New Roman" w:hAnsi="Times New Roman"/>
          <w:b/>
          <w:sz w:val="20"/>
        </w:rPr>
        <w:t>Name of Opinion</w:t>
      </w:r>
      <w:r w:rsidRPr="007A726A">
        <w:rPr>
          <w:rFonts w:ascii="Times New Roman" w:hAnsi="Times New Roman"/>
          <w:sz w:val="20"/>
        </w:rPr>
        <w:t xml:space="preserve"> Rand Resources, LLC v. City of Carson</w:t>
      </w:r>
    </w:p>
    <w:p w14:paraId="201953D1"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__________________________________________________________________________________</w:t>
      </w:r>
    </w:p>
    <w:p w14:paraId="06B14941" w14:textId="77777777" w:rsidR="007A726A" w:rsidRPr="007A726A" w:rsidRDefault="007A726A" w:rsidP="007A726A">
      <w:pPr>
        <w:spacing w:after="0" w:line="240" w:lineRule="auto"/>
        <w:jc w:val="left"/>
        <w:rPr>
          <w:rFonts w:ascii="Times New Roman" w:hAnsi="Times New Roman"/>
          <w:b/>
          <w:sz w:val="20"/>
        </w:rPr>
      </w:pPr>
    </w:p>
    <w:p w14:paraId="5A53EB4C" w14:textId="77777777" w:rsidR="007A726A" w:rsidRPr="007A726A" w:rsidRDefault="007A726A" w:rsidP="007A726A">
      <w:pPr>
        <w:spacing w:after="0" w:line="240" w:lineRule="auto"/>
        <w:jc w:val="left"/>
        <w:rPr>
          <w:rFonts w:ascii="Times New Roman" w:hAnsi="Times New Roman"/>
          <w:bCs/>
          <w:sz w:val="20"/>
        </w:rPr>
      </w:pPr>
      <w:r w:rsidRPr="007A726A">
        <w:rPr>
          <w:rFonts w:ascii="Times New Roman" w:hAnsi="Times New Roman"/>
          <w:b/>
          <w:sz w:val="20"/>
        </w:rPr>
        <w:t>Unpublished Opinion</w:t>
      </w:r>
    </w:p>
    <w:p w14:paraId="6076B4A6"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b/>
          <w:sz w:val="20"/>
        </w:rPr>
        <w:t>Original Appeal</w:t>
      </w:r>
    </w:p>
    <w:p w14:paraId="44FD2FAD"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Original Proceeding</w:t>
      </w:r>
    </w:p>
    <w:p w14:paraId="401AE4DA"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b/>
          <w:sz w:val="20"/>
        </w:rPr>
        <w:t>Review Granted</w:t>
      </w:r>
      <w:r w:rsidRPr="007A726A">
        <w:rPr>
          <w:rFonts w:ascii="Times New Roman" w:hAnsi="Times New Roman"/>
          <w:sz w:val="20"/>
        </w:rPr>
        <w:t xml:space="preserve"> XXX 247 Cal.App.4th 1080</w:t>
      </w:r>
    </w:p>
    <w:p w14:paraId="62CA5357"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Rehearing Granted</w:t>
      </w:r>
    </w:p>
    <w:p w14:paraId="06EC09C6" w14:textId="77777777" w:rsidR="007A726A" w:rsidRPr="007A726A" w:rsidRDefault="007A726A" w:rsidP="007A726A">
      <w:pPr>
        <w:spacing w:after="0" w:line="240" w:lineRule="auto"/>
        <w:jc w:val="left"/>
        <w:rPr>
          <w:rFonts w:ascii="Times New Roman" w:hAnsi="Times New Roman"/>
          <w:b/>
          <w:sz w:val="20"/>
        </w:rPr>
      </w:pPr>
    </w:p>
    <w:p w14:paraId="283FAA40"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__________________________________________________________________________________</w:t>
      </w:r>
    </w:p>
    <w:p w14:paraId="2D73315E" w14:textId="77777777" w:rsidR="007A726A" w:rsidRPr="007A726A" w:rsidRDefault="007A726A" w:rsidP="007A726A">
      <w:pPr>
        <w:spacing w:after="0" w:line="240" w:lineRule="auto"/>
        <w:jc w:val="left"/>
        <w:rPr>
          <w:rFonts w:ascii="Times New Roman" w:hAnsi="Times New Roman"/>
          <w:b/>
          <w:sz w:val="20"/>
        </w:rPr>
      </w:pPr>
    </w:p>
    <w:p w14:paraId="3739AE01" w14:textId="77777777" w:rsidR="007A726A" w:rsidRPr="007A726A" w:rsidRDefault="007A726A" w:rsidP="007A726A">
      <w:pPr>
        <w:spacing w:after="0" w:line="240" w:lineRule="auto"/>
        <w:jc w:val="left"/>
        <w:rPr>
          <w:rFonts w:ascii="Times New Roman" w:hAnsi="Times New Roman"/>
          <w:bCs/>
          <w:sz w:val="20"/>
        </w:rPr>
      </w:pPr>
      <w:r w:rsidRPr="007A726A">
        <w:rPr>
          <w:rFonts w:ascii="Times New Roman" w:hAnsi="Times New Roman"/>
          <w:b/>
          <w:sz w:val="20"/>
        </w:rPr>
        <w:t>Opinion No.</w:t>
      </w:r>
      <w:r w:rsidRPr="007A726A">
        <w:rPr>
          <w:rFonts w:ascii="Times New Roman" w:hAnsi="Times New Roman"/>
          <w:sz w:val="20"/>
        </w:rPr>
        <w:t xml:space="preserve"> S235735</w:t>
      </w:r>
    </w:p>
    <w:p w14:paraId="3AD52173" w14:textId="77777777" w:rsidR="007A726A" w:rsidRPr="007A726A" w:rsidRDefault="007A726A" w:rsidP="007A726A">
      <w:pPr>
        <w:spacing w:after="0" w:line="240" w:lineRule="auto"/>
        <w:jc w:val="left"/>
        <w:rPr>
          <w:rFonts w:ascii="Times New Roman" w:hAnsi="Times New Roman"/>
          <w:bCs/>
          <w:sz w:val="20"/>
        </w:rPr>
      </w:pPr>
      <w:r w:rsidRPr="007A726A">
        <w:rPr>
          <w:rFonts w:ascii="Times New Roman" w:hAnsi="Times New Roman"/>
          <w:b/>
          <w:sz w:val="20"/>
        </w:rPr>
        <w:t>Date Filed:</w:t>
      </w:r>
      <w:r w:rsidRPr="007A726A">
        <w:rPr>
          <w:rFonts w:ascii="Times New Roman" w:hAnsi="Times New Roman"/>
          <w:sz w:val="20"/>
        </w:rPr>
        <w:t xml:space="preserve"> February 4, 2019</w:t>
      </w:r>
    </w:p>
    <w:p w14:paraId="1D70FE63"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__________________________________________________________________________________</w:t>
      </w:r>
    </w:p>
    <w:p w14:paraId="12DBEBFE" w14:textId="77777777" w:rsidR="007A726A" w:rsidRPr="007A726A" w:rsidRDefault="007A726A" w:rsidP="007A726A">
      <w:pPr>
        <w:spacing w:after="0" w:line="240" w:lineRule="auto"/>
        <w:jc w:val="left"/>
        <w:rPr>
          <w:rFonts w:ascii="Times New Roman" w:hAnsi="Times New Roman"/>
          <w:b/>
          <w:sz w:val="20"/>
        </w:rPr>
      </w:pPr>
    </w:p>
    <w:p w14:paraId="19F92274" w14:textId="77777777" w:rsidR="007A726A" w:rsidRPr="007A726A" w:rsidRDefault="007A726A" w:rsidP="007A726A">
      <w:pPr>
        <w:spacing w:after="0" w:line="240" w:lineRule="auto"/>
        <w:jc w:val="left"/>
        <w:rPr>
          <w:rFonts w:ascii="Times New Roman" w:hAnsi="Times New Roman"/>
          <w:bCs/>
          <w:sz w:val="20"/>
        </w:rPr>
      </w:pPr>
      <w:r w:rsidRPr="007A726A">
        <w:rPr>
          <w:rFonts w:ascii="Times New Roman" w:hAnsi="Times New Roman"/>
          <w:b/>
          <w:sz w:val="20"/>
        </w:rPr>
        <w:t>Court:</w:t>
      </w:r>
      <w:r w:rsidRPr="007A726A">
        <w:rPr>
          <w:rFonts w:ascii="Times New Roman" w:hAnsi="Times New Roman"/>
          <w:sz w:val="20"/>
        </w:rPr>
        <w:t xml:space="preserve"> Superior</w:t>
      </w:r>
    </w:p>
    <w:p w14:paraId="05AB71F1" w14:textId="77777777" w:rsidR="007A726A" w:rsidRPr="007A726A" w:rsidRDefault="007A726A" w:rsidP="007A726A">
      <w:pPr>
        <w:spacing w:after="0" w:line="240" w:lineRule="auto"/>
        <w:jc w:val="left"/>
        <w:rPr>
          <w:rFonts w:ascii="Times New Roman" w:hAnsi="Times New Roman"/>
          <w:bCs/>
          <w:sz w:val="20"/>
        </w:rPr>
      </w:pPr>
      <w:r w:rsidRPr="007A726A">
        <w:rPr>
          <w:rFonts w:ascii="Times New Roman" w:hAnsi="Times New Roman"/>
          <w:b/>
          <w:sz w:val="20"/>
        </w:rPr>
        <w:t>County:</w:t>
      </w:r>
      <w:r w:rsidRPr="007A726A">
        <w:rPr>
          <w:rFonts w:ascii="Times New Roman" w:hAnsi="Times New Roman"/>
          <w:sz w:val="20"/>
        </w:rPr>
        <w:t xml:space="preserve"> Los Angeles</w:t>
      </w:r>
    </w:p>
    <w:p w14:paraId="1D3EEE10" w14:textId="77777777" w:rsidR="007A726A" w:rsidRPr="007A726A" w:rsidRDefault="007A726A" w:rsidP="007A726A">
      <w:pPr>
        <w:spacing w:after="0" w:line="240" w:lineRule="auto"/>
        <w:ind w:left="720" w:hanging="720"/>
        <w:jc w:val="left"/>
        <w:rPr>
          <w:rFonts w:ascii="Times New Roman" w:hAnsi="Times New Roman"/>
          <w:bCs/>
          <w:sz w:val="20"/>
        </w:rPr>
      </w:pPr>
      <w:r w:rsidRPr="007A726A">
        <w:rPr>
          <w:rFonts w:ascii="Times New Roman" w:hAnsi="Times New Roman"/>
          <w:b/>
          <w:sz w:val="20"/>
        </w:rPr>
        <w:t>Judge:</w:t>
      </w:r>
      <w:r w:rsidRPr="007A726A">
        <w:rPr>
          <w:rFonts w:ascii="Times New Roman" w:hAnsi="Times New Roman"/>
          <w:sz w:val="20"/>
        </w:rPr>
        <w:t xml:space="preserve"> Michael L. Stern</w:t>
      </w:r>
    </w:p>
    <w:p w14:paraId="123FA88B" w14:textId="77777777" w:rsidR="007A726A" w:rsidRPr="007A726A" w:rsidRDefault="007A726A" w:rsidP="007A726A">
      <w:pPr>
        <w:spacing w:after="0" w:line="240" w:lineRule="auto"/>
        <w:jc w:val="left"/>
        <w:rPr>
          <w:rFonts w:ascii="Times New Roman" w:hAnsi="Times New Roman"/>
          <w:b/>
          <w:sz w:val="20"/>
        </w:rPr>
      </w:pPr>
    </w:p>
    <w:p w14:paraId="2F318FF9"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__________________________________________________________________________________</w:t>
      </w:r>
    </w:p>
    <w:p w14:paraId="1B6D1522" w14:textId="77777777" w:rsidR="007A726A" w:rsidRPr="007A726A" w:rsidRDefault="007A726A" w:rsidP="007A726A">
      <w:pPr>
        <w:spacing w:after="0" w:line="240" w:lineRule="auto"/>
        <w:jc w:val="left"/>
        <w:rPr>
          <w:rFonts w:ascii="Times New Roman" w:hAnsi="Times New Roman"/>
          <w:b/>
          <w:sz w:val="20"/>
        </w:rPr>
      </w:pPr>
    </w:p>
    <w:p w14:paraId="42D06C61"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Counsel:</w:t>
      </w:r>
    </w:p>
    <w:p w14:paraId="50DA9376" w14:textId="77777777" w:rsidR="007A726A" w:rsidRPr="007A726A" w:rsidRDefault="007A726A" w:rsidP="007A726A">
      <w:pPr>
        <w:spacing w:after="0" w:line="240" w:lineRule="auto"/>
        <w:jc w:val="left"/>
        <w:rPr>
          <w:rFonts w:ascii="Times New Roman" w:hAnsi="Times New Roman"/>
          <w:b/>
          <w:sz w:val="20"/>
        </w:rPr>
      </w:pPr>
    </w:p>
    <w:p w14:paraId="6C5807FB"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 xml:space="preserve">Huang Ybarra Singer &amp; May, Huang Ybarra </w:t>
      </w:r>
      <w:proofErr w:type="spellStart"/>
      <w:r w:rsidRPr="007A726A">
        <w:rPr>
          <w:rFonts w:ascii="Times New Roman" w:hAnsi="Times New Roman"/>
          <w:sz w:val="20"/>
        </w:rPr>
        <w:t>Gelberg</w:t>
      </w:r>
      <w:proofErr w:type="spellEnd"/>
      <w:r w:rsidRPr="007A726A">
        <w:rPr>
          <w:rFonts w:ascii="Times New Roman" w:hAnsi="Times New Roman"/>
          <w:sz w:val="20"/>
        </w:rPr>
        <w:t xml:space="preserve"> &amp; May, Joseph J. Ybarra, Aaron M. May, Kevin H. Scott and Carlos A. Singer for Plaintiffs and Appellants.</w:t>
      </w:r>
    </w:p>
    <w:p w14:paraId="08371A87" w14:textId="77777777" w:rsidR="007A726A" w:rsidRPr="007A726A" w:rsidRDefault="007A726A" w:rsidP="007A726A">
      <w:pPr>
        <w:spacing w:after="0" w:line="240" w:lineRule="auto"/>
        <w:jc w:val="left"/>
        <w:rPr>
          <w:rFonts w:ascii="Times New Roman" w:hAnsi="Times New Roman"/>
          <w:sz w:val="20"/>
        </w:rPr>
      </w:pPr>
    </w:p>
    <w:p w14:paraId="450167B6" w14:textId="77777777" w:rsidR="007A726A" w:rsidRPr="007A726A" w:rsidRDefault="007A726A" w:rsidP="007A726A">
      <w:pPr>
        <w:spacing w:after="0" w:line="240" w:lineRule="auto"/>
        <w:jc w:val="left"/>
        <w:rPr>
          <w:rFonts w:ascii="Times New Roman" w:hAnsi="Times New Roman"/>
          <w:sz w:val="20"/>
        </w:rPr>
      </w:pPr>
      <w:proofErr w:type="spellStart"/>
      <w:r w:rsidRPr="007A726A">
        <w:rPr>
          <w:rFonts w:ascii="Times New Roman" w:hAnsi="Times New Roman"/>
          <w:sz w:val="20"/>
        </w:rPr>
        <w:t>Aleshire</w:t>
      </w:r>
      <w:proofErr w:type="spellEnd"/>
      <w:r w:rsidRPr="007A726A">
        <w:rPr>
          <w:rFonts w:ascii="Times New Roman" w:hAnsi="Times New Roman"/>
          <w:sz w:val="20"/>
        </w:rPr>
        <w:t xml:space="preserve"> &amp; </w:t>
      </w:r>
      <w:proofErr w:type="spellStart"/>
      <w:r w:rsidRPr="007A726A">
        <w:rPr>
          <w:rFonts w:ascii="Times New Roman" w:hAnsi="Times New Roman"/>
          <w:sz w:val="20"/>
        </w:rPr>
        <w:t>Wynder</w:t>
      </w:r>
      <w:proofErr w:type="spellEnd"/>
      <w:r w:rsidRPr="007A726A">
        <w:rPr>
          <w:rFonts w:ascii="Times New Roman" w:hAnsi="Times New Roman"/>
          <w:sz w:val="20"/>
        </w:rPr>
        <w:t xml:space="preserve">, Sunny K. </w:t>
      </w:r>
      <w:proofErr w:type="spellStart"/>
      <w:r w:rsidRPr="007A726A">
        <w:rPr>
          <w:rFonts w:ascii="Times New Roman" w:hAnsi="Times New Roman"/>
          <w:sz w:val="20"/>
        </w:rPr>
        <w:t>Soltani</w:t>
      </w:r>
      <w:proofErr w:type="spellEnd"/>
      <w:r w:rsidRPr="007A726A">
        <w:rPr>
          <w:rFonts w:ascii="Times New Roman" w:hAnsi="Times New Roman"/>
          <w:sz w:val="20"/>
        </w:rPr>
        <w:t xml:space="preserve">, William W. </w:t>
      </w:r>
      <w:proofErr w:type="spellStart"/>
      <w:r w:rsidRPr="007A726A">
        <w:rPr>
          <w:rFonts w:ascii="Times New Roman" w:hAnsi="Times New Roman"/>
          <w:sz w:val="20"/>
        </w:rPr>
        <w:t>Wynder</w:t>
      </w:r>
      <w:proofErr w:type="spellEnd"/>
      <w:r w:rsidRPr="007A726A">
        <w:rPr>
          <w:rFonts w:ascii="Times New Roman" w:hAnsi="Times New Roman"/>
          <w:sz w:val="20"/>
        </w:rPr>
        <w:t>, Anthony R. Taylor and Christina M. Burrows for Defendants and Respondents City of Carson and James Dear.</w:t>
      </w:r>
    </w:p>
    <w:p w14:paraId="61F49392" w14:textId="77777777" w:rsidR="007A726A" w:rsidRPr="007A726A" w:rsidRDefault="007A726A" w:rsidP="007A726A">
      <w:pPr>
        <w:spacing w:after="0" w:line="240" w:lineRule="auto"/>
        <w:jc w:val="left"/>
        <w:rPr>
          <w:rFonts w:ascii="Times New Roman" w:hAnsi="Times New Roman"/>
          <w:sz w:val="20"/>
        </w:rPr>
      </w:pPr>
    </w:p>
    <w:p w14:paraId="7ECE3BCD" w14:textId="77777777" w:rsidR="007A726A" w:rsidRPr="007A726A" w:rsidRDefault="007A726A" w:rsidP="007A726A">
      <w:pPr>
        <w:spacing w:after="0" w:line="240" w:lineRule="auto"/>
        <w:jc w:val="left"/>
        <w:rPr>
          <w:rFonts w:ascii="Times New Roman" w:hAnsi="Times New Roman"/>
          <w:sz w:val="20"/>
        </w:rPr>
      </w:pPr>
      <w:proofErr w:type="spellStart"/>
      <w:r w:rsidRPr="007A726A">
        <w:rPr>
          <w:rFonts w:ascii="Times New Roman" w:hAnsi="Times New Roman"/>
          <w:sz w:val="20"/>
        </w:rPr>
        <w:t>Tamborelli</w:t>
      </w:r>
      <w:proofErr w:type="spellEnd"/>
      <w:r w:rsidRPr="007A726A">
        <w:rPr>
          <w:rFonts w:ascii="Times New Roman" w:hAnsi="Times New Roman"/>
          <w:sz w:val="20"/>
        </w:rPr>
        <w:t xml:space="preserve"> Law Group and John V. </w:t>
      </w:r>
      <w:proofErr w:type="spellStart"/>
      <w:r w:rsidRPr="007A726A">
        <w:rPr>
          <w:rFonts w:ascii="Times New Roman" w:hAnsi="Times New Roman"/>
          <w:sz w:val="20"/>
        </w:rPr>
        <w:t>Tamborelli</w:t>
      </w:r>
      <w:proofErr w:type="spellEnd"/>
      <w:r w:rsidRPr="007A726A">
        <w:rPr>
          <w:rFonts w:ascii="Times New Roman" w:hAnsi="Times New Roman"/>
          <w:sz w:val="20"/>
        </w:rPr>
        <w:t xml:space="preserve"> for Defendants and Respondents Leonard Bloom and U.S. Capital LLC.</w:t>
      </w:r>
    </w:p>
    <w:p w14:paraId="48D919AA" w14:textId="77777777" w:rsidR="007A726A" w:rsidRPr="007A726A" w:rsidRDefault="007A726A" w:rsidP="007A726A">
      <w:pPr>
        <w:spacing w:after="0" w:line="240" w:lineRule="auto"/>
        <w:jc w:val="left"/>
        <w:rPr>
          <w:rFonts w:ascii="Times New Roman" w:hAnsi="Times New Roman"/>
          <w:sz w:val="20"/>
        </w:rPr>
      </w:pPr>
    </w:p>
    <w:p w14:paraId="4BBA61B4"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Burke, Williams &amp; Sorensen, Thomas B. Brown and Amy E. Hoyt for League of California Cities and California State Association of Counties as Amici Curiae on behalf of Defendant and Respondent City of Carson.</w:t>
      </w:r>
    </w:p>
    <w:p w14:paraId="48431327" w14:textId="77777777" w:rsidR="007A726A" w:rsidRPr="007A726A" w:rsidRDefault="007A726A" w:rsidP="007A726A">
      <w:pPr>
        <w:spacing w:after="0" w:line="240" w:lineRule="auto"/>
        <w:jc w:val="left"/>
        <w:rPr>
          <w:rFonts w:ascii="Times New Roman" w:hAnsi="Times New Roman"/>
          <w:sz w:val="20"/>
        </w:rPr>
      </w:pPr>
    </w:p>
    <w:p w14:paraId="50429410"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 xml:space="preserve">Davis Wright Tremaine, Kelli L. Sager, Thomas R. Burke, Rochelle L. Wilcox and Dan </w:t>
      </w:r>
      <w:proofErr w:type="spellStart"/>
      <w:r w:rsidRPr="007A726A">
        <w:rPr>
          <w:rFonts w:ascii="Times New Roman" w:hAnsi="Times New Roman"/>
          <w:sz w:val="20"/>
        </w:rPr>
        <w:t>Laidman</w:t>
      </w:r>
      <w:proofErr w:type="spellEnd"/>
      <w:r w:rsidRPr="007A726A">
        <w:rPr>
          <w:rFonts w:ascii="Times New Roman" w:hAnsi="Times New Roman"/>
          <w:sz w:val="20"/>
        </w:rPr>
        <w:t xml:space="preserve"> for California Newspaper Publishers Association, Californians Aware, The Center for Investigative Reporting, First Amendment Coalition, The Reporters Committee for Freedom of the Press, A&amp;E Television Networks, LLC, BuzzFeed, Inc. Cable News Network, Inc., CBS Corporation, Dow Jones &amp; Company, First Look Media Works, Inc., The Hearst Corporation, NBCUniversal Media, LLC, The New York Times Company and The Motion Picture Association of America as Amici Curiae on behalf of Defendants and Respondents City of Carson, James Dear and Leonard Bloom.</w:t>
      </w:r>
    </w:p>
    <w:p w14:paraId="2536FBF0" w14:textId="77777777" w:rsidR="007A726A" w:rsidRPr="007A726A" w:rsidRDefault="007A726A" w:rsidP="007A726A">
      <w:pPr>
        <w:spacing w:after="0" w:line="240" w:lineRule="auto"/>
        <w:jc w:val="left"/>
        <w:rPr>
          <w:rFonts w:ascii="Times New Roman" w:hAnsi="Times New Roman"/>
          <w:sz w:val="20"/>
        </w:rPr>
      </w:pPr>
    </w:p>
    <w:p w14:paraId="496BDCA9" w14:textId="77777777" w:rsidR="007A726A" w:rsidRPr="007A726A" w:rsidRDefault="007A726A" w:rsidP="007A726A">
      <w:pPr>
        <w:spacing w:after="0" w:line="240" w:lineRule="auto"/>
        <w:jc w:val="left"/>
        <w:rPr>
          <w:rFonts w:ascii="Times New Roman" w:hAnsi="Times New Roman"/>
          <w:b/>
          <w:sz w:val="20"/>
        </w:rPr>
      </w:pPr>
    </w:p>
    <w:p w14:paraId="49FD1B42" w14:textId="77777777" w:rsidR="007A726A" w:rsidRPr="007A726A" w:rsidRDefault="007A726A" w:rsidP="007A726A">
      <w:pPr>
        <w:spacing w:after="0" w:line="240" w:lineRule="auto"/>
        <w:jc w:val="left"/>
        <w:rPr>
          <w:rFonts w:ascii="Times New Roman" w:hAnsi="Times New Roman"/>
          <w:b/>
          <w:sz w:val="20"/>
        </w:rPr>
      </w:pPr>
    </w:p>
    <w:p w14:paraId="0E0B80FB" w14:textId="77777777" w:rsidR="007A726A" w:rsidRPr="007A726A" w:rsidRDefault="007A726A" w:rsidP="007A726A">
      <w:pPr>
        <w:spacing w:after="0" w:line="240" w:lineRule="auto"/>
        <w:jc w:val="left"/>
        <w:rPr>
          <w:rFonts w:ascii="Times New Roman" w:hAnsi="Times New Roman"/>
          <w:b/>
          <w:sz w:val="20"/>
        </w:rPr>
      </w:pPr>
    </w:p>
    <w:p w14:paraId="6A5FD407" w14:textId="77777777" w:rsidR="007A726A" w:rsidRPr="007A726A" w:rsidRDefault="007A726A" w:rsidP="007A726A">
      <w:pPr>
        <w:spacing w:after="0" w:line="240" w:lineRule="auto"/>
        <w:jc w:val="left"/>
        <w:rPr>
          <w:rFonts w:ascii="Times New Roman" w:hAnsi="Times New Roman"/>
          <w:b/>
          <w:sz w:val="20"/>
        </w:rPr>
      </w:pPr>
    </w:p>
    <w:p w14:paraId="79560F3E"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br w:type="page"/>
      </w:r>
    </w:p>
    <w:p w14:paraId="7593C3A4" w14:textId="77777777" w:rsidR="007A726A" w:rsidRPr="007A726A" w:rsidRDefault="007A726A" w:rsidP="007A726A">
      <w:pPr>
        <w:spacing w:after="0" w:line="240" w:lineRule="auto"/>
        <w:jc w:val="left"/>
        <w:rPr>
          <w:rFonts w:ascii="Times New Roman" w:hAnsi="Times New Roman"/>
          <w:b/>
          <w:sz w:val="20"/>
        </w:rPr>
      </w:pPr>
    </w:p>
    <w:p w14:paraId="40C5702D" w14:textId="77777777" w:rsidR="007A726A" w:rsidRPr="007A726A" w:rsidRDefault="007A726A" w:rsidP="007A726A">
      <w:pPr>
        <w:spacing w:after="0" w:line="240" w:lineRule="auto"/>
        <w:jc w:val="left"/>
        <w:rPr>
          <w:rFonts w:ascii="Times New Roman" w:hAnsi="Times New Roman"/>
          <w:b/>
          <w:sz w:val="20"/>
        </w:rPr>
      </w:pPr>
    </w:p>
    <w:p w14:paraId="716D4317" w14:textId="77777777" w:rsidR="007A726A" w:rsidRPr="007A726A" w:rsidRDefault="007A726A" w:rsidP="007A726A">
      <w:pPr>
        <w:spacing w:after="0" w:line="240" w:lineRule="auto"/>
        <w:jc w:val="left"/>
        <w:rPr>
          <w:rFonts w:ascii="Times New Roman" w:hAnsi="Times New Roman"/>
          <w:b/>
          <w:sz w:val="20"/>
        </w:rPr>
      </w:pPr>
    </w:p>
    <w:p w14:paraId="07B3B3E8"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b/>
          <w:sz w:val="20"/>
        </w:rPr>
        <w:t>Counsel who argued in Supreme Court (not intended for publication with opinion):</w:t>
      </w:r>
    </w:p>
    <w:p w14:paraId="14098A26" w14:textId="77777777" w:rsidR="007A726A" w:rsidRPr="007A726A" w:rsidRDefault="007A726A" w:rsidP="007A726A">
      <w:pPr>
        <w:spacing w:after="0" w:line="240" w:lineRule="auto"/>
        <w:jc w:val="left"/>
        <w:rPr>
          <w:rFonts w:ascii="Times New Roman" w:hAnsi="Times New Roman"/>
          <w:b/>
          <w:sz w:val="20"/>
        </w:rPr>
      </w:pPr>
    </w:p>
    <w:p w14:paraId="4D05967E"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Kevin H. Scott</w:t>
      </w:r>
    </w:p>
    <w:p w14:paraId="6A6B2C93"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 xml:space="preserve">Huang Ybarra </w:t>
      </w:r>
      <w:proofErr w:type="spellStart"/>
      <w:r w:rsidRPr="007A726A">
        <w:rPr>
          <w:rFonts w:ascii="Times New Roman" w:hAnsi="Times New Roman"/>
          <w:sz w:val="20"/>
        </w:rPr>
        <w:t>Gelberg</w:t>
      </w:r>
      <w:proofErr w:type="spellEnd"/>
      <w:r w:rsidRPr="007A726A">
        <w:rPr>
          <w:rFonts w:ascii="Times New Roman" w:hAnsi="Times New Roman"/>
          <w:sz w:val="20"/>
        </w:rPr>
        <w:t xml:space="preserve"> &amp; May</w:t>
      </w:r>
    </w:p>
    <w:p w14:paraId="2C99E436"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550 South Hope Street, Suite 1850</w:t>
      </w:r>
    </w:p>
    <w:p w14:paraId="26D4B92B"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Los Angeles, CA  90071-1560</w:t>
      </w:r>
    </w:p>
    <w:p w14:paraId="49D08063"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(213) 884-4900</w:t>
      </w:r>
    </w:p>
    <w:p w14:paraId="5EDA20AB" w14:textId="77777777" w:rsidR="007A726A" w:rsidRPr="007A726A" w:rsidRDefault="007A726A" w:rsidP="007A726A">
      <w:pPr>
        <w:spacing w:after="0" w:line="240" w:lineRule="auto"/>
        <w:jc w:val="left"/>
        <w:rPr>
          <w:rFonts w:ascii="Times New Roman" w:hAnsi="Times New Roman"/>
          <w:sz w:val="20"/>
        </w:rPr>
      </w:pPr>
    </w:p>
    <w:p w14:paraId="71241DA1"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Anthony R. Taylor</w:t>
      </w:r>
    </w:p>
    <w:p w14:paraId="11919DB5" w14:textId="77777777" w:rsidR="007A726A" w:rsidRPr="007A726A" w:rsidRDefault="007A726A" w:rsidP="007A726A">
      <w:pPr>
        <w:spacing w:after="0" w:line="240" w:lineRule="auto"/>
        <w:jc w:val="left"/>
        <w:rPr>
          <w:rFonts w:ascii="Times New Roman" w:hAnsi="Times New Roman"/>
          <w:sz w:val="20"/>
        </w:rPr>
      </w:pPr>
      <w:proofErr w:type="spellStart"/>
      <w:r w:rsidRPr="007A726A">
        <w:rPr>
          <w:rFonts w:ascii="Times New Roman" w:hAnsi="Times New Roman"/>
          <w:sz w:val="20"/>
        </w:rPr>
        <w:t>Aleshire</w:t>
      </w:r>
      <w:proofErr w:type="spellEnd"/>
      <w:r w:rsidRPr="007A726A">
        <w:rPr>
          <w:rFonts w:ascii="Times New Roman" w:hAnsi="Times New Roman"/>
          <w:sz w:val="20"/>
        </w:rPr>
        <w:t xml:space="preserve"> &amp; </w:t>
      </w:r>
      <w:proofErr w:type="spellStart"/>
      <w:r w:rsidRPr="007A726A">
        <w:rPr>
          <w:rFonts w:ascii="Times New Roman" w:hAnsi="Times New Roman"/>
          <w:sz w:val="20"/>
        </w:rPr>
        <w:t>Wynder</w:t>
      </w:r>
      <w:proofErr w:type="spellEnd"/>
    </w:p>
    <w:p w14:paraId="1A5BD1BE"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18881 Von Karman Avenue, Suite 1700</w:t>
      </w:r>
    </w:p>
    <w:p w14:paraId="4F8A2736"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Irvine, CA  92612</w:t>
      </w:r>
    </w:p>
    <w:p w14:paraId="020F1D82"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(949) 223-1170</w:t>
      </w:r>
    </w:p>
    <w:p w14:paraId="18EBC45E" w14:textId="77777777" w:rsidR="007A726A" w:rsidRPr="007A726A" w:rsidRDefault="007A726A" w:rsidP="007A726A">
      <w:pPr>
        <w:spacing w:after="0" w:line="240" w:lineRule="auto"/>
        <w:jc w:val="left"/>
        <w:rPr>
          <w:rFonts w:ascii="Times New Roman" w:hAnsi="Times New Roman"/>
          <w:sz w:val="20"/>
        </w:rPr>
      </w:pPr>
    </w:p>
    <w:p w14:paraId="27D91036"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 xml:space="preserve">John V. </w:t>
      </w:r>
      <w:proofErr w:type="spellStart"/>
      <w:r w:rsidRPr="007A726A">
        <w:rPr>
          <w:rFonts w:ascii="Times New Roman" w:hAnsi="Times New Roman"/>
          <w:sz w:val="20"/>
        </w:rPr>
        <w:t>Tamborelli</w:t>
      </w:r>
      <w:proofErr w:type="spellEnd"/>
    </w:p>
    <w:p w14:paraId="4D4FABBA" w14:textId="77777777" w:rsidR="007A726A" w:rsidRPr="007A726A" w:rsidRDefault="007A726A" w:rsidP="007A726A">
      <w:pPr>
        <w:spacing w:after="0" w:line="240" w:lineRule="auto"/>
        <w:jc w:val="left"/>
        <w:rPr>
          <w:rFonts w:ascii="Times New Roman" w:hAnsi="Times New Roman"/>
          <w:sz w:val="20"/>
        </w:rPr>
      </w:pPr>
      <w:proofErr w:type="spellStart"/>
      <w:r w:rsidRPr="007A726A">
        <w:rPr>
          <w:rFonts w:ascii="Times New Roman" w:hAnsi="Times New Roman"/>
          <w:sz w:val="20"/>
        </w:rPr>
        <w:t>Tamborelli</w:t>
      </w:r>
      <w:proofErr w:type="spellEnd"/>
      <w:r w:rsidRPr="007A726A">
        <w:rPr>
          <w:rFonts w:ascii="Times New Roman" w:hAnsi="Times New Roman"/>
          <w:sz w:val="20"/>
        </w:rPr>
        <w:t xml:space="preserve"> Law Group</w:t>
      </w:r>
    </w:p>
    <w:p w14:paraId="047BDCAF"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21700 Oxnard Street, Suite 1590</w:t>
      </w:r>
    </w:p>
    <w:p w14:paraId="1ECDDE72" w14:textId="77777777" w:rsidR="007A726A" w:rsidRPr="007A726A" w:rsidRDefault="007A726A" w:rsidP="007A726A">
      <w:pPr>
        <w:spacing w:after="0" w:line="240" w:lineRule="auto"/>
        <w:jc w:val="left"/>
        <w:rPr>
          <w:rFonts w:ascii="Times New Roman" w:hAnsi="Times New Roman"/>
          <w:sz w:val="20"/>
        </w:rPr>
      </w:pPr>
      <w:r w:rsidRPr="007A726A">
        <w:rPr>
          <w:rFonts w:ascii="Times New Roman" w:hAnsi="Times New Roman"/>
          <w:sz w:val="20"/>
        </w:rPr>
        <w:t>Woodland Hills, CA  91367</w:t>
      </w:r>
    </w:p>
    <w:p w14:paraId="5ADB9015" w14:textId="77777777" w:rsidR="007A726A" w:rsidRPr="007A726A" w:rsidRDefault="007A726A" w:rsidP="007A726A">
      <w:pPr>
        <w:spacing w:after="0" w:line="240" w:lineRule="auto"/>
        <w:jc w:val="left"/>
        <w:rPr>
          <w:rFonts w:ascii="Times New Roman" w:hAnsi="Times New Roman"/>
          <w:b/>
          <w:sz w:val="20"/>
        </w:rPr>
      </w:pPr>
      <w:r w:rsidRPr="007A726A">
        <w:rPr>
          <w:rFonts w:ascii="Times New Roman" w:hAnsi="Times New Roman"/>
          <w:sz w:val="20"/>
        </w:rPr>
        <w:t>(818) 710-3696</w:t>
      </w:r>
    </w:p>
    <w:p w14:paraId="34335936" w14:textId="77777777" w:rsidR="007A726A" w:rsidRPr="003F2E3E" w:rsidRDefault="007A726A" w:rsidP="00A931A1">
      <w:pPr>
        <w:spacing w:after="0" w:line="240" w:lineRule="auto"/>
        <w:rPr>
          <w:b/>
        </w:rPr>
      </w:pPr>
    </w:p>
    <w:sectPr w:rsidR="007A726A" w:rsidRPr="003F2E3E" w:rsidSect="007A726A">
      <w:headerReference w:type="default" r:id="rId10"/>
      <w:footerReference w:type="default" r:id="rId11"/>
      <w:footerReference w:type="first" r:id="rId12"/>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3BDD" w14:textId="77777777" w:rsidR="00B83E49" w:rsidRDefault="00B83E49">
      <w:r>
        <w:separator/>
      </w:r>
    </w:p>
  </w:endnote>
  <w:endnote w:type="continuationSeparator" w:id="0">
    <w:p w14:paraId="523673F4" w14:textId="77777777" w:rsidR="00B83E49" w:rsidRDefault="00B8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21320"/>
      <w:docPartObj>
        <w:docPartGallery w:val="Page Numbers (Bottom of Page)"/>
        <w:docPartUnique/>
      </w:docPartObj>
    </w:sdtPr>
    <w:sdtEndPr>
      <w:rPr>
        <w:noProof/>
      </w:rPr>
    </w:sdtEndPr>
    <w:sdtContent>
      <w:p w14:paraId="1B5CA7D2" w14:textId="04123558" w:rsidR="00884540" w:rsidRDefault="00884540">
        <w:pPr>
          <w:pStyle w:val="Footer"/>
        </w:pPr>
        <w:r>
          <w:fldChar w:fldCharType="begin"/>
        </w:r>
        <w:r>
          <w:instrText xml:space="preserve"> PAGE   \* MERGEFORMAT </w:instrText>
        </w:r>
        <w:r>
          <w:fldChar w:fldCharType="separate"/>
        </w:r>
        <w:r>
          <w:rPr>
            <w:noProof/>
          </w:rPr>
          <w:t>2</w:t>
        </w:r>
        <w:r>
          <w:rPr>
            <w:noProof/>
          </w:rPr>
          <w:fldChar w:fldCharType="end"/>
        </w:r>
      </w:p>
    </w:sdtContent>
  </w:sdt>
  <w:p w14:paraId="67D2E47C" w14:textId="77777777" w:rsidR="00884540" w:rsidRDefault="0088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0AC5" w14:textId="77777777" w:rsidR="007E51F6" w:rsidRDefault="007E51F6">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11D" w14:textId="0618684E" w:rsidR="00884540" w:rsidRDefault="00884540">
    <w:pPr>
      <w:pStyle w:val="Footer"/>
    </w:pPr>
  </w:p>
  <w:p w14:paraId="27D7C34F" w14:textId="77777777" w:rsidR="00884540" w:rsidRDefault="00884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ABA6" w14:textId="4F47CB5B" w:rsidR="000A4FBF" w:rsidRPr="000A4FBF" w:rsidRDefault="000A4FBF" w:rsidP="000A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BB98" w14:textId="77777777" w:rsidR="00B83E49" w:rsidRDefault="00B83E49">
      <w:r>
        <w:separator/>
      </w:r>
    </w:p>
  </w:footnote>
  <w:footnote w:type="continuationSeparator" w:id="0">
    <w:p w14:paraId="238C179C" w14:textId="77777777" w:rsidR="00B83E49" w:rsidRDefault="00B83E49">
      <w:pPr>
        <w:rPr>
          <w:sz w:val="22"/>
        </w:rPr>
      </w:pPr>
      <w:r>
        <w:continuationSeparator/>
      </w:r>
    </w:p>
  </w:footnote>
  <w:footnote w:type="continuationNotice" w:id="1">
    <w:p w14:paraId="540754FB" w14:textId="77777777" w:rsidR="00B83E49" w:rsidRDefault="00B83E49">
      <w:pPr>
        <w:jc w:val="right"/>
        <w:rPr>
          <w:i/>
          <w:sz w:val="20"/>
        </w:rPr>
      </w:pPr>
    </w:p>
  </w:footnote>
  <w:footnote w:id="2">
    <w:p w14:paraId="59376699" w14:textId="77777777" w:rsidR="00053D8D" w:rsidRDefault="00053D8D">
      <w:pPr>
        <w:pStyle w:val="FootnoteText"/>
      </w:pPr>
      <w:r>
        <w:rPr>
          <w:rStyle w:val="FootnoteReference"/>
        </w:rPr>
        <w:t>*</w:t>
      </w:r>
      <w:r>
        <w:t xml:space="preserve"> </w:t>
      </w:r>
      <w:r>
        <w:tab/>
      </w:r>
      <w:r w:rsidRPr="00053D8D">
        <w:t>Associate Justice of the Court of Appeal, Second Appellate District, Division Two assigned by the Chief Justice pursuant to article VI, section 6 of the California Constitution.</w:t>
      </w:r>
    </w:p>
  </w:footnote>
  <w:footnote w:id="3">
    <w:p w14:paraId="3D67E95A" w14:textId="77777777" w:rsidR="00CE3777" w:rsidRDefault="00CE3777" w:rsidP="00CE3777">
      <w:pPr>
        <w:pStyle w:val="FootnoteText"/>
      </w:pPr>
      <w:r>
        <w:rPr>
          <w:rStyle w:val="FootnoteReference"/>
        </w:rPr>
        <w:footnoteRef/>
      </w:r>
      <w:r>
        <w:t xml:space="preserve"> </w:t>
      </w:r>
      <w:r>
        <w:tab/>
        <w:t>All further references to section 425.16 are to the Code of Civil Procedure.</w:t>
      </w:r>
    </w:p>
  </w:footnote>
  <w:footnote w:id="4">
    <w:p w14:paraId="566FFF81" w14:textId="77777777" w:rsidR="007E51F6" w:rsidRDefault="007E51F6">
      <w:pPr>
        <w:pStyle w:val="FootnoteText"/>
      </w:pPr>
      <w:r>
        <w:rPr>
          <w:rStyle w:val="FootnoteReference"/>
        </w:rPr>
        <w:footnoteRef/>
      </w:r>
      <w:r>
        <w:t xml:space="preserve"> </w:t>
      </w:r>
      <w:r w:rsidR="009435CA">
        <w:tab/>
      </w:r>
      <w:r>
        <w:t>We have established a “general rule precluding tort recovery for noninsurance contract breach,” except to the extent the claim is simply a fraud claim by another name.  (</w:t>
      </w:r>
      <w:r>
        <w:rPr>
          <w:i/>
        </w:rPr>
        <w:t>Freeman &amp; Mills, Inc. v. Belcher Oil Co.</w:t>
      </w:r>
      <w:r>
        <w:t xml:space="preserve"> (1995) 11 Cal.4th 85, 102.)</w:t>
      </w:r>
      <w:r>
        <w:rPr>
          <w:i/>
        </w:rPr>
        <w:t xml:space="preserve">  </w:t>
      </w:r>
      <w:r w:rsidR="009922C5">
        <w:t xml:space="preserve">Plaintiffs’ tortious breach claim (count two) does appear to be a fraud claim by another name, </w:t>
      </w:r>
      <w:r>
        <w:t xml:space="preserve">and we thus refer to </w:t>
      </w:r>
      <w:r w:rsidR="009922C5">
        <w:t>it</w:t>
      </w:r>
      <w:r>
        <w:t xml:space="preserve"> </w:t>
      </w:r>
      <w:r w:rsidR="00143F02">
        <w:t xml:space="preserve">as among </w:t>
      </w:r>
      <w:r>
        <w:t xml:space="preserve">plaintiffs’ fraud-based claims. </w:t>
      </w:r>
    </w:p>
  </w:footnote>
  <w:footnote w:id="5">
    <w:p w14:paraId="21A9E197" w14:textId="77777777" w:rsidR="007E51F6" w:rsidRDefault="007E51F6" w:rsidP="00EB3346">
      <w:pPr>
        <w:pStyle w:val="FootnoteText"/>
      </w:pPr>
      <w:r>
        <w:rPr>
          <w:rStyle w:val="FootnoteReference"/>
        </w:rPr>
        <w:footnoteRef/>
      </w:r>
      <w:r>
        <w:t xml:space="preserve"> </w:t>
      </w:r>
      <w:r w:rsidR="009435CA">
        <w:tab/>
      </w:r>
      <w:r>
        <w:t xml:space="preserve">Mayor Dear’s and </w:t>
      </w:r>
      <w:proofErr w:type="spellStart"/>
      <w:r>
        <w:t>Wynder’s</w:t>
      </w:r>
      <w:proofErr w:type="spellEnd"/>
      <w:r>
        <w:t xml:space="preserve"> statements, not directly or indirectly attributable to the Bloom defendants, cannot </w:t>
      </w:r>
      <w:r w:rsidR="000F4CEE">
        <w:t xml:space="preserve">supply the elements of </w:t>
      </w:r>
      <w:r>
        <w:t xml:space="preserve">a fraud claim asserted against the Bloom defendants.  (See </w:t>
      </w:r>
      <w:r>
        <w:rPr>
          <w:i/>
        </w:rPr>
        <w:t>City of Montebello v. Vasquez</w:t>
      </w:r>
      <w:r>
        <w:t> (2016) 1 Cal.5th 409, 426</w:t>
      </w:r>
      <w:r>
        <w:rPr>
          <w:i/>
        </w:rPr>
        <w:t xml:space="preserve"> </w:t>
      </w:r>
      <w:r>
        <w:t xml:space="preserve">[distinguishing between activities of the municipal government and those of individuals, who happened to be officials of the municipality]; </w:t>
      </w:r>
      <w:r>
        <w:rPr>
          <w:i/>
        </w:rPr>
        <w:t>Area 51 Productions, Inc. v. City of Alameda</w:t>
      </w:r>
      <w:r>
        <w:t xml:space="preserve"> (2018) 20 Cal.App.5th 581, 599–600 [agreeing that “</w:t>
      </w:r>
      <w:r>
        <w:rPr>
          <w:i/>
          <w:iCs/>
        </w:rPr>
        <w:t>Vasquez</w:t>
      </w:r>
      <w:r>
        <w:t xml:space="preserve"> . . . </w:t>
      </w:r>
      <w:r w:rsidR="00235407">
        <w:t>‘</w:t>
      </w:r>
      <w:r>
        <w:t>emphasizes that each person’s conduct is to be analyzed separately’ ”].)</w:t>
      </w:r>
    </w:p>
  </w:footnote>
  <w:footnote w:id="6">
    <w:p w14:paraId="0D401CA6" w14:textId="77777777" w:rsidR="007E51F6" w:rsidRDefault="007E51F6" w:rsidP="00F351B9">
      <w:pPr>
        <w:pStyle w:val="FootnoteText"/>
      </w:pPr>
      <w:r>
        <w:rPr>
          <w:rStyle w:val="FootnoteReference"/>
        </w:rPr>
        <w:footnoteRef/>
      </w:r>
      <w:r>
        <w:t xml:space="preserve"> </w:t>
      </w:r>
      <w:r>
        <w:tab/>
        <w:t>The Court of Appeal noted that the City was not paying Rand Resources at all for its work as an agent.  (</w:t>
      </w:r>
      <w:r>
        <w:rPr>
          <w:i/>
        </w:rPr>
        <w:t>Rand Resources</w:t>
      </w:r>
      <w:r>
        <w:t xml:space="preserve">, </w:t>
      </w:r>
      <w:r>
        <w:rPr>
          <w:i/>
        </w:rPr>
        <w:t>supra</w:t>
      </w:r>
      <w:r>
        <w:t>, 247 Cal.App.4th at p. 1094.)  As such, we need not address the City’s argument that “an EAA for the City’s agent to negotiate the potential development of a large-scale project . . . fall[s] squarely within the definition of an issue of public interest [in part] because an agent could be paid a substantial amount of public funds for a project of great public significance.”</w:t>
      </w:r>
    </w:p>
  </w:footnote>
  <w:footnote w:id="7">
    <w:p w14:paraId="6F97C805" w14:textId="77777777" w:rsidR="007E51F6" w:rsidRDefault="007E51F6" w:rsidP="00405F3F">
      <w:pPr>
        <w:pStyle w:val="FootnoteText"/>
      </w:pPr>
      <w:r>
        <w:rPr>
          <w:rStyle w:val="FootnoteReference"/>
        </w:rPr>
        <w:footnoteRef/>
      </w:r>
      <w:r>
        <w:t xml:space="preserve"> </w:t>
      </w:r>
      <w:r>
        <w:tab/>
        <w:t>Although the City Council approved the EAA in 20</w:t>
      </w:r>
      <w:r w:rsidR="00887ECF">
        <w:t>12, the parties do not dispute</w:t>
      </w:r>
      <w:r>
        <w:t xml:space="preserve"> that the EAA is a va</w:t>
      </w:r>
      <w:r w:rsidR="00887ECF">
        <w:t>lid contract, and defendants do</w:t>
      </w:r>
      <w:r>
        <w:t xml:space="preserve"> not seem to have </w:t>
      </w:r>
      <w:r w:rsidR="00887ECF">
        <w:t>argued</w:t>
      </w:r>
      <w:r>
        <w:t xml:space="preserve"> the City Council’s approval of the EAA in 2012 was relevant until they briefed the case before us.  We therefore do not consider the action of the City Council in 2012.</w:t>
      </w:r>
    </w:p>
  </w:footnote>
  <w:footnote w:id="8">
    <w:p w14:paraId="2CE15F1B" w14:textId="77777777" w:rsidR="00A931A1" w:rsidRDefault="00A931A1">
      <w:pPr>
        <w:pStyle w:val="FootnoteText"/>
      </w:pPr>
      <w:r>
        <w:rPr>
          <w:rStyle w:val="FootnoteReference"/>
        </w:rPr>
        <w:t>*</w:t>
      </w:r>
      <w:r>
        <w:t xml:space="preserve"> </w:t>
      </w:r>
      <w:r>
        <w:tab/>
      </w:r>
      <w:r w:rsidRPr="00A931A1">
        <w:t>Associate Justice of the Court of Appeal, Second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095D" w14:textId="77777777" w:rsidR="007E51F6" w:rsidRDefault="007E51F6">
    <w:pPr>
      <w:pStyle w:val="Header"/>
    </w:pPr>
    <w:r>
      <w:t>RAND RESOURCES, LLC v. CITY OF CARSON</w:t>
    </w:r>
  </w:p>
  <w:p w14:paraId="4C970016" w14:textId="77777777" w:rsidR="007E51F6" w:rsidRDefault="007E51F6">
    <w:pPr>
      <w:pStyle w:val="Header"/>
    </w:pPr>
    <w:r>
      <w:t>Opinion of the Court by Cuéllar, J.</w:t>
    </w:r>
  </w:p>
  <w:p w14:paraId="57EB3AE3" w14:textId="77777777" w:rsidR="007E51F6" w:rsidRDefault="007E5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41C3" w14:textId="77777777" w:rsidR="000A4FBF" w:rsidRDefault="000A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DB9"/>
    <w:multiLevelType w:val="hybridMultilevel"/>
    <w:tmpl w:val="94146A0E"/>
    <w:lvl w:ilvl="0" w:tplc="28862A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67574"/>
    <w:multiLevelType w:val="hybridMultilevel"/>
    <w:tmpl w:val="F7B68562"/>
    <w:lvl w:ilvl="0" w:tplc="D4F4448C">
      <w:start w:val="1"/>
      <w:numFmt w:val="upperRoman"/>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15:restartNumberingAfterBreak="0">
    <w:nsid w:val="37C655EE"/>
    <w:multiLevelType w:val="hybridMultilevel"/>
    <w:tmpl w:val="B4081192"/>
    <w:lvl w:ilvl="0" w:tplc="53509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C3797"/>
    <w:multiLevelType w:val="hybridMultilevel"/>
    <w:tmpl w:val="AD94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9D4B5F"/>
    <w:multiLevelType w:val="hybridMultilevel"/>
    <w:tmpl w:val="62885064"/>
    <w:lvl w:ilvl="0" w:tplc="FC6422E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removePersonalInformation/>
  <w:removeDateAndTime/>
  <w:printFractionalCharacterWidth/>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9"/>
    <w:rsid w:val="00001AF4"/>
    <w:rsid w:val="00002119"/>
    <w:rsid w:val="000038A5"/>
    <w:rsid w:val="00004696"/>
    <w:rsid w:val="00006490"/>
    <w:rsid w:val="00007224"/>
    <w:rsid w:val="00007572"/>
    <w:rsid w:val="000077B8"/>
    <w:rsid w:val="00007984"/>
    <w:rsid w:val="000100A0"/>
    <w:rsid w:val="00010504"/>
    <w:rsid w:val="000116FE"/>
    <w:rsid w:val="00012DE2"/>
    <w:rsid w:val="00012FD5"/>
    <w:rsid w:val="00014000"/>
    <w:rsid w:val="00015C3C"/>
    <w:rsid w:val="000236A0"/>
    <w:rsid w:val="00024CB3"/>
    <w:rsid w:val="0002560B"/>
    <w:rsid w:val="00025930"/>
    <w:rsid w:val="00030507"/>
    <w:rsid w:val="00031594"/>
    <w:rsid w:val="000319AB"/>
    <w:rsid w:val="00031C01"/>
    <w:rsid w:val="00032C42"/>
    <w:rsid w:val="00035E0F"/>
    <w:rsid w:val="00036038"/>
    <w:rsid w:val="00037619"/>
    <w:rsid w:val="000403B7"/>
    <w:rsid w:val="000411B5"/>
    <w:rsid w:val="00041A30"/>
    <w:rsid w:val="00041D89"/>
    <w:rsid w:val="00041DD2"/>
    <w:rsid w:val="00044911"/>
    <w:rsid w:val="00044B64"/>
    <w:rsid w:val="00044C08"/>
    <w:rsid w:val="00046130"/>
    <w:rsid w:val="00046C29"/>
    <w:rsid w:val="0004719B"/>
    <w:rsid w:val="000473D5"/>
    <w:rsid w:val="000479B1"/>
    <w:rsid w:val="00050068"/>
    <w:rsid w:val="0005109A"/>
    <w:rsid w:val="0005119E"/>
    <w:rsid w:val="00051602"/>
    <w:rsid w:val="00051DA9"/>
    <w:rsid w:val="00051F81"/>
    <w:rsid w:val="000523B6"/>
    <w:rsid w:val="00053D8D"/>
    <w:rsid w:val="000550C5"/>
    <w:rsid w:val="000550D1"/>
    <w:rsid w:val="00055841"/>
    <w:rsid w:val="00057ACD"/>
    <w:rsid w:val="00057BB9"/>
    <w:rsid w:val="00061A55"/>
    <w:rsid w:val="00062555"/>
    <w:rsid w:val="000632F6"/>
    <w:rsid w:val="00064A6F"/>
    <w:rsid w:val="000706FE"/>
    <w:rsid w:val="00071F8F"/>
    <w:rsid w:val="0007330A"/>
    <w:rsid w:val="00073821"/>
    <w:rsid w:val="00073D10"/>
    <w:rsid w:val="0007586A"/>
    <w:rsid w:val="00081E9F"/>
    <w:rsid w:val="00082048"/>
    <w:rsid w:val="0008266E"/>
    <w:rsid w:val="00082A21"/>
    <w:rsid w:val="00084602"/>
    <w:rsid w:val="00084AF4"/>
    <w:rsid w:val="00084D39"/>
    <w:rsid w:val="0008602A"/>
    <w:rsid w:val="00087208"/>
    <w:rsid w:val="000879FE"/>
    <w:rsid w:val="00091D56"/>
    <w:rsid w:val="000927D2"/>
    <w:rsid w:val="00092C9B"/>
    <w:rsid w:val="0009324F"/>
    <w:rsid w:val="000932D9"/>
    <w:rsid w:val="00093434"/>
    <w:rsid w:val="00093D22"/>
    <w:rsid w:val="00093EF7"/>
    <w:rsid w:val="00093F4B"/>
    <w:rsid w:val="0009513C"/>
    <w:rsid w:val="000A0116"/>
    <w:rsid w:val="000A4FBF"/>
    <w:rsid w:val="000A523D"/>
    <w:rsid w:val="000A5F3E"/>
    <w:rsid w:val="000A70F3"/>
    <w:rsid w:val="000A74F6"/>
    <w:rsid w:val="000B0AA0"/>
    <w:rsid w:val="000B0BA6"/>
    <w:rsid w:val="000B303C"/>
    <w:rsid w:val="000B36C6"/>
    <w:rsid w:val="000B371D"/>
    <w:rsid w:val="000B3BC2"/>
    <w:rsid w:val="000B3CB3"/>
    <w:rsid w:val="000B41D1"/>
    <w:rsid w:val="000B427E"/>
    <w:rsid w:val="000B428B"/>
    <w:rsid w:val="000B72E5"/>
    <w:rsid w:val="000B7BA0"/>
    <w:rsid w:val="000C0712"/>
    <w:rsid w:val="000C1785"/>
    <w:rsid w:val="000C1AB7"/>
    <w:rsid w:val="000C1AED"/>
    <w:rsid w:val="000C2B56"/>
    <w:rsid w:val="000C4CFC"/>
    <w:rsid w:val="000C57F2"/>
    <w:rsid w:val="000C7694"/>
    <w:rsid w:val="000C7864"/>
    <w:rsid w:val="000D0498"/>
    <w:rsid w:val="000D0578"/>
    <w:rsid w:val="000D1652"/>
    <w:rsid w:val="000D2294"/>
    <w:rsid w:val="000D3201"/>
    <w:rsid w:val="000D3311"/>
    <w:rsid w:val="000D4631"/>
    <w:rsid w:val="000D57B2"/>
    <w:rsid w:val="000D6464"/>
    <w:rsid w:val="000E1751"/>
    <w:rsid w:val="000E1FF0"/>
    <w:rsid w:val="000E2C3F"/>
    <w:rsid w:val="000E2F21"/>
    <w:rsid w:val="000E3C52"/>
    <w:rsid w:val="000E3EA6"/>
    <w:rsid w:val="000E73D7"/>
    <w:rsid w:val="000E7CB5"/>
    <w:rsid w:val="000F3915"/>
    <w:rsid w:val="000F42F3"/>
    <w:rsid w:val="000F4CEE"/>
    <w:rsid w:val="000F4E1E"/>
    <w:rsid w:val="000F5FF0"/>
    <w:rsid w:val="000F653C"/>
    <w:rsid w:val="000F6E9A"/>
    <w:rsid w:val="000F762D"/>
    <w:rsid w:val="001007F8"/>
    <w:rsid w:val="00101C3A"/>
    <w:rsid w:val="001042D7"/>
    <w:rsid w:val="00105C7C"/>
    <w:rsid w:val="00105D46"/>
    <w:rsid w:val="00107F4B"/>
    <w:rsid w:val="00110553"/>
    <w:rsid w:val="001109C3"/>
    <w:rsid w:val="00110D39"/>
    <w:rsid w:val="00110D77"/>
    <w:rsid w:val="001114BC"/>
    <w:rsid w:val="001138C8"/>
    <w:rsid w:val="00113D26"/>
    <w:rsid w:val="00114CB4"/>
    <w:rsid w:val="00116F4B"/>
    <w:rsid w:val="00117153"/>
    <w:rsid w:val="00117DD2"/>
    <w:rsid w:val="0012024B"/>
    <w:rsid w:val="00120A0C"/>
    <w:rsid w:val="00120DFB"/>
    <w:rsid w:val="0012129C"/>
    <w:rsid w:val="001228CF"/>
    <w:rsid w:val="0012586A"/>
    <w:rsid w:val="00125EC4"/>
    <w:rsid w:val="00127BD0"/>
    <w:rsid w:val="00130157"/>
    <w:rsid w:val="001318C3"/>
    <w:rsid w:val="001319D8"/>
    <w:rsid w:val="001332C4"/>
    <w:rsid w:val="00133F77"/>
    <w:rsid w:val="00134690"/>
    <w:rsid w:val="00135A98"/>
    <w:rsid w:val="00135F51"/>
    <w:rsid w:val="00136A32"/>
    <w:rsid w:val="00137021"/>
    <w:rsid w:val="0013737A"/>
    <w:rsid w:val="001400F2"/>
    <w:rsid w:val="00140D00"/>
    <w:rsid w:val="0014109B"/>
    <w:rsid w:val="00141508"/>
    <w:rsid w:val="0014250C"/>
    <w:rsid w:val="00142E4A"/>
    <w:rsid w:val="00143F02"/>
    <w:rsid w:val="001441BC"/>
    <w:rsid w:val="001442B3"/>
    <w:rsid w:val="00144900"/>
    <w:rsid w:val="00144C8A"/>
    <w:rsid w:val="00146652"/>
    <w:rsid w:val="001472A5"/>
    <w:rsid w:val="00150152"/>
    <w:rsid w:val="001504F1"/>
    <w:rsid w:val="0015058D"/>
    <w:rsid w:val="00150B8E"/>
    <w:rsid w:val="00150D27"/>
    <w:rsid w:val="00150DB4"/>
    <w:rsid w:val="00152908"/>
    <w:rsid w:val="00152FF4"/>
    <w:rsid w:val="0015442A"/>
    <w:rsid w:val="00161E88"/>
    <w:rsid w:val="00162215"/>
    <w:rsid w:val="00163472"/>
    <w:rsid w:val="00163E5F"/>
    <w:rsid w:val="001654DC"/>
    <w:rsid w:val="00165857"/>
    <w:rsid w:val="00165860"/>
    <w:rsid w:val="001663CC"/>
    <w:rsid w:val="0016683D"/>
    <w:rsid w:val="00170502"/>
    <w:rsid w:val="001717C0"/>
    <w:rsid w:val="001721D3"/>
    <w:rsid w:val="00172DEA"/>
    <w:rsid w:val="00173DD8"/>
    <w:rsid w:val="00174031"/>
    <w:rsid w:val="001769F7"/>
    <w:rsid w:val="0018241D"/>
    <w:rsid w:val="00182706"/>
    <w:rsid w:val="00182A8C"/>
    <w:rsid w:val="00182D80"/>
    <w:rsid w:val="00183FFE"/>
    <w:rsid w:val="00184206"/>
    <w:rsid w:val="00184B02"/>
    <w:rsid w:val="0018598F"/>
    <w:rsid w:val="001872CC"/>
    <w:rsid w:val="001901DB"/>
    <w:rsid w:val="00192C85"/>
    <w:rsid w:val="00192EF7"/>
    <w:rsid w:val="00193266"/>
    <w:rsid w:val="0019465A"/>
    <w:rsid w:val="00194A05"/>
    <w:rsid w:val="00194F48"/>
    <w:rsid w:val="00194FFC"/>
    <w:rsid w:val="001956F3"/>
    <w:rsid w:val="0019684B"/>
    <w:rsid w:val="001972E5"/>
    <w:rsid w:val="001A1CBA"/>
    <w:rsid w:val="001A2A76"/>
    <w:rsid w:val="001A34E0"/>
    <w:rsid w:val="001A4398"/>
    <w:rsid w:val="001A4833"/>
    <w:rsid w:val="001A5675"/>
    <w:rsid w:val="001A693E"/>
    <w:rsid w:val="001A7269"/>
    <w:rsid w:val="001A7A82"/>
    <w:rsid w:val="001A7CAD"/>
    <w:rsid w:val="001A7F5E"/>
    <w:rsid w:val="001B09C8"/>
    <w:rsid w:val="001B0C5D"/>
    <w:rsid w:val="001B0C7D"/>
    <w:rsid w:val="001B170D"/>
    <w:rsid w:val="001B21E9"/>
    <w:rsid w:val="001B2726"/>
    <w:rsid w:val="001B4A34"/>
    <w:rsid w:val="001B5FE0"/>
    <w:rsid w:val="001B6225"/>
    <w:rsid w:val="001B76F4"/>
    <w:rsid w:val="001B7D20"/>
    <w:rsid w:val="001B7F93"/>
    <w:rsid w:val="001C031D"/>
    <w:rsid w:val="001C0F2C"/>
    <w:rsid w:val="001C107F"/>
    <w:rsid w:val="001C1684"/>
    <w:rsid w:val="001C308C"/>
    <w:rsid w:val="001C34F5"/>
    <w:rsid w:val="001C3C51"/>
    <w:rsid w:val="001C4D04"/>
    <w:rsid w:val="001C56A7"/>
    <w:rsid w:val="001C5D32"/>
    <w:rsid w:val="001C6380"/>
    <w:rsid w:val="001C673B"/>
    <w:rsid w:val="001D3001"/>
    <w:rsid w:val="001D3575"/>
    <w:rsid w:val="001D40C7"/>
    <w:rsid w:val="001D420D"/>
    <w:rsid w:val="001D474F"/>
    <w:rsid w:val="001D49D8"/>
    <w:rsid w:val="001D4FA5"/>
    <w:rsid w:val="001D56DF"/>
    <w:rsid w:val="001D6A4F"/>
    <w:rsid w:val="001E31CA"/>
    <w:rsid w:val="001E36EA"/>
    <w:rsid w:val="001E3875"/>
    <w:rsid w:val="001E4655"/>
    <w:rsid w:val="001E4B59"/>
    <w:rsid w:val="001E5694"/>
    <w:rsid w:val="001E76C5"/>
    <w:rsid w:val="001F3B16"/>
    <w:rsid w:val="001F5AA4"/>
    <w:rsid w:val="001F65D1"/>
    <w:rsid w:val="00201F51"/>
    <w:rsid w:val="002020A1"/>
    <w:rsid w:val="00204761"/>
    <w:rsid w:val="00204A24"/>
    <w:rsid w:val="002056EF"/>
    <w:rsid w:val="00210532"/>
    <w:rsid w:val="00211113"/>
    <w:rsid w:val="00211D66"/>
    <w:rsid w:val="00212235"/>
    <w:rsid w:val="002132E5"/>
    <w:rsid w:val="002135DB"/>
    <w:rsid w:val="00213E6B"/>
    <w:rsid w:val="00216624"/>
    <w:rsid w:val="002169E7"/>
    <w:rsid w:val="002217C2"/>
    <w:rsid w:val="002223BB"/>
    <w:rsid w:val="00223A04"/>
    <w:rsid w:val="00223A38"/>
    <w:rsid w:val="0022434A"/>
    <w:rsid w:val="0022538B"/>
    <w:rsid w:val="002253F4"/>
    <w:rsid w:val="00226599"/>
    <w:rsid w:val="002278FA"/>
    <w:rsid w:val="0023147F"/>
    <w:rsid w:val="002323D1"/>
    <w:rsid w:val="00232A0C"/>
    <w:rsid w:val="002331C7"/>
    <w:rsid w:val="00234355"/>
    <w:rsid w:val="00235407"/>
    <w:rsid w:val="002356D8"/>
    <w:rsid w:val="00235958"/>
    <w:rsid w:val="00235D57"/>
    <w:rsid w:val="00235D85"/>
    <w:rsid w:val="0023732F"/>
    <w:rsid w:val="00237DCD"/>
    <w:rsid w:val="00240BBE"/>
    <w:rsid w:val="00241719"/>
    <w:rsid w:val="002420D8"/>
    <w:rsid w:val="00242713"/>
    <w:rsid w:val="0024361D"/>
    <w:rsid w:val="00247557"/>
    <w:rsid w:val="00250F2C"/>
    <w:rsid w:val="00251317"/>
    <w:rsid w:val="00251D06"/>
    <w:rsid w:val="00252BAE"/>
    <w:rsid w:val="00254523"/>
    <w:rsid w:val="002557D1"/>
    <w:rsid w:val="00256254"/>
    <w:rsid w:val="0025785E"/>
    <w:rsid w:val="00260370"/>
    <w:rsid w:val="002605FE"/>
    <w:rsid w:val="00260AB6"/>
    <w:rsid w:val="00260D66"/>
    <w:rsid w:val="00261031"/>
    <w:rsid w:val="00261695"/>
    <w:rsid w:val="00267679"/>
    <w:rsid w:val="002677AB"/>
    <w:rsid w:val="00267B36"/>
    <w:rsid w:val="00270C13"/>
    <w:rsid w:val="002714E1"/>
    <w:rsid w:val="0027294C"/>
    <w:rsid w:val="00272BFA"/>
    <w:rsid w:val="002731C8"/>
    <w:rsid w:val="0027332D"/>
    <w:rsid w:val="002737ED"/>
    <w:rsid w:val="002741CE"/>
    <w:rsid w:val="002751FD"/>
    <w:rsid w:val="0027698B"/>
    <w:rsid w:val="002775B0"/>
    <w:rsid w:val="002828B9"/>
    <w:rsid w:val="002840B6"/>
    <w:rsid w:val="00284752"/>
    <w:rsid w:val="00286400"/>
    <w:rsid w:val="0028733D"/>
    <w:rsid w:val="002929D6"/>
    <w:rsid w:val="00292B05"/>
    <w:rsid w:val="00294113"/>
    <w:rsid w:val="002946E0"/>
    <w:rsid w:val="00294FA3"/>
    <w:rsid w:val="00295703"/>
    <w:rsid w:val="00295B00"/>
    <w:rsid w:val="002964BA"/>
    <w:rsid w:val="00296B6F"/>
    <w:rsid w:val="002975CF"/>
    <w:rsid w:val="00297B18"/>
    <w:rsid w:val="002A0626"/>
    <w:rsid w:val="002A20FB"/>
    <w:rsid w:val="002A32DD"/>
    <w:rsid w:val="002A5081"/>
    <w:rsid w:val="002A5177"/>
    <w:rsid w:val="002A617E"/>
    <w:rsid w:val="002A623D"/>
    <w:rsid w:val="002A7913"/>
    <w:rsid w:val="002B0192"/>
    <w:rsid w:val="002B0833"/>
    <w:rsid w:val="002B0AD4"/>
    <w:rsid w:val="002B10D4"/>
    <w:rsid w:val="002B1329"/>
    <w:rsid w:val="002B28A8"/>
    <w:rsid w:val="002B2A1E"/>
    <w:rsid w:val="002B2FF1"/>
    <w:rsid w:val="002B43D7"/>
    <w:rsid w:val="002B5790"/>
    <w:rsid w:val="002B77D5"/>
    <w:rsid w:val="002B7E30"/>
    <w:rsid w:val="002C0021"/>
    <w:rsid w:val="002C0264"/>
    <w:rsid w:val="002C02D6"/>
    <w:rsid w:val="002C1329"/>
    <w:rsid w:val="002C36A9"/>
    <w:rsid w:val="002C559F"/>
    <w:rsid w:val="002C55A6"/>
    <w:rsid w:val="002D0650"/>
    <w:rsid w:val="002D108A"/>
    <w:rsid w:val="002D18A4"/>
    <w:rsid w:val="002D246C"/>
    <w:rsid w:val="002D2FE4"/>
    <w:rsid w:val="002D30CC"/>
    <w:rsid w:val="002D6F5E"/>
    <w:rsid w:val="002E073A"/>
    <w:rsid w:val="002E1C49"/>
    <w:rsid w:val="002E1C8B"/>
    <w:rsid w:val="002E1CFD"/>
    <w:rsid w:val="002E41BD"/>
    <w:rsid w:val="002E4243"/>
    <w:rsid w:val="002E609B"/>
    <w:rsid w:val="002E6978"/>
    <w:rsid w:val="002E6F4E"/>
    <w:rsid w:val="002F1147"/>
    <w:rsid w:val="002F1232"/>
    <w:rsid w:val="002F129F"/>
    <w:rsid w:val="002F13CF"/>
    <w:rsid w:val="002F2D87"/>
    <w:rsid w:val="002F434B"/>
    <w:rsid w:val="002F64A4"/>
    <w:rsid w:val="002F6718"/>
    <w:rsid w:val="002F729C"/>
    <w:rsid w:val="002F7A53"/>
    <w:rsid w:val="00301865"/>
    <w:rsid w:val="0030203F"/>
    <w:rsid w:val="003029D3"/>
    <w:rsid w:val="00302D1C"/>
    <w:rsid w:val="0030316B"/>
    <w:rsid w:val="0030364F"/>
    <w:rsid w:val="003049E3"/>
    <w:rsid w:val="003051DB"/>
    <w:rsid w:val="00307242"/>
    <w:rsid w:val="00311C72"/>
    <w:rsid w:val="00311EDB"/>
    <w:rsid w:val="00312F34"/>
    <w:rsid w:val="00313258"/>
    <w:rsid w:val="003150AE"/>
    <w:rsid w:val="003165D4"/>
    <w:rsid w:val="00316892"/>
    <w:rsid w:val="003171E1"/>
    <w:rsid w:val="00317219"/>
    <w:rsid w:val="003203CD"/>
    <w:rsid w:val="0032053B"/>
    <w:rsid w:val="0032161E"/>
    <w:rsid w:val="003216CF"/>
    <w:rsid w:val="00322919"/>
    <w:rsid w:val="0032330B"/>
    <w:rsid w:val="00323CB7"/>
    <w:rsid w:val="0032416D"/>
    <w:rsid w:val="003249FF"/>
    <w:rsid w:val="00326654"/>
    <w:rsid w:val="003304FE"/>
    <w:rsid w:val="003323CD"/>
    <w:rsid w:val="00332FFC"/>
    <w:rsid w:val="003352E6"/>
    <w:rsid w:val="00335EC3"/>
    <w:rsid w:val="00336BB2"/>
    <w:rsid w:val="00337585"/>
    <w:rsid w:val="003375E6"/>
    <w:rsid w:val="00337DDA"/>
    <w:rsid w:val="00340BA1"/>
    <w:rsid w:val="00340E14"/>
    <w:rsid w:val="00341FC3"/>
    <w:rsid w:val="00342CD7"/>
    <w:rsid w:val="003430B0"/>
    <w:rsid w:val="0034499C"/>
    <w:rsid w:val="003452F7"/>
    <w:rsid w:val="00345600"/>
    <w:rsid w:val="00345A05"/>
    <w:rsid w:val="00345DF8"/>
    <w:rsid w:val="00345FE6"/>
    <w:rsid w:val="00346362"/>
    <w:rsid w:val="003465AD"/>
    <w:rsid w:val="00346B92"/>
    <w:rsid w:val="00347D30"/>
    <w:rsid w:val="00350B26"/>
    <w:rsid w:val="00352375"/>
    <w:rsid w:val="003531CE"/>
    <w:rsid w:val="00354099"/>
    <w:rsid w:val="003542B3"/>
    <w:rsid w:val="003547B9"/>
    <w:rsid w:val="00354899"/>
    <w:rsid w:val="00355E9A"/>
    <w:rsid w:val="003562D6"/>
    <w:rsid w:val="003562FD"/>
    <w:rsid w:val="0035739D"/>
    <w:rsid w:val="00357440"/>
    <w:rsid w:val="00360CF6"/>
    <w:rsid w:val="003611F3"/>
    <w:rsid w:val="00361470"/>
    <w:rsid w:val="00363192"/>
    <w:rsid w:val="00363CE4"/>
    <w:rsid w:val="00364F46"/>
    <w:rsid w:val="00365876"/>
    <w:rsid w:val="00365EC3"/>
    <w:rsid w:val="0036640E"/>
    <w:rsid w:val="003678F8"/>
    <w:rsid w:val="00367A32"/>
    <w:rsid w:val="00371E62"/>
    <w:rsid w:val="00374ED1"/>
    <w:rsid w:val="00375652"/>
    <w:rsid w:val="00375739"/>
    <w:rsid w:val="00375876"/>
    <w:rsid w:val="00376F26"/>
    <w:rsid w:val="00377037"/>
    <w:rsid w:val="00381EC2"/>
    <w:rsid w:val="003821E1"/>
    <w:rsid w:val="003824AF"/>
    <w:rsid w:val="003826E3"/>
    <w:rsid w:val="00383B1D"/>
    <w:rsid w:val="00385673"/>
    <w:rsid w:val="0038596B"/>
    <w:rsid w:val="00386419"/>
    <w:rsid w:val="00390EC9"/>
    <w:rsid w:val="00392933"/>
    <w:rsid w:val="00392F06"/>
    <w:rsid w:val="00394FD0"/>
    <w:rsid w:val="00395D6C"/>
    <w:rsid w:val="003966E3"/>
    <w:rsid w:val="00396723"/>
    <w:rsid w:val="0039672F"/>
    <w:rsid w:val="003976A3"/>
    <w:rsid w:val="003979BA"/>
    <w:rsid w:val="00397A41"/>
    <w:rsid w:val="003A16B1"/>
    <w:rsid w:val="003A3532"/>
    <w:rsid w:val="003A3F35"/>
    <w:rsid w:val="003A6E0B"/>
    <w:rsid w:val="003B1C09"/>
    <w:rsid w:val="003B2384"/>
    <w:rsid w:val="003B364C"/>
    <w:rsid w:val="003B4AEF"/>
    <w:rsid w:val="003B545B"/>
    <w:rsid w:val="003B75B9"/>
    <w:rsid w:val="003B7AED"/>
    <w:rsid w:val="003C023C"/>
    <w:rsid w:val="003C075A"/>
    <w:rsid w:val="003C0B08"/>
    <w:rsid w:val="003C0B35"/>
    <w:rsid w:val="003C1E7A"/>
    <w:rsid w:val="003C2294"/>
    <w:rsid w:val="003C284F"/>
    <w:rsid w:val="003C3560"/>
    <w:rsid w:val="003C7620"/>
    <w:rsid w:val="003C7CEB"/>
    <w:rsid w:val="003D130F"/>
    <w:rsid w:val="003D1B2B"/>
    <w:rsid w:val="003D2017"/>
    <w:rsid w:val="003D4549"/>
    <w:rsid w:val="003D481C"/>
    <w:rsid w:val="003D71C9"/>
    <w:rsid w:val="003E1887"/>
    <w:rsid w:val="003E1A54"/>
    <w:rsid w:val="003E1F94"/>
    <w:rsid w:val="003E2613"/>
    <w:rsid w:val="003E293E"/>
    <w:rsid w:val="003E366B"/>
    <w:rsid w:val="003E4169"/>
    <w:rsid w:val="003E43F5"/>
    <w:rsid w:val="003E761A"/>
    <w:rsid w:val="003E7672"/>
    <w:rsid w:val="003F05E8"/>
    <w:rsid w:val="003F10B6"/>
    <w:rsid w:val="003F2E3E"/>
    <w:rsid w:val="003F34CE"/>
    <w:rsid w:val="003F4F12"/>
    <w:rsid w:val="003F4FD3"/>
    <w:rsid w:val="003F5182"/>
    <w:rsid w:val="003F60DF"/>
    <w:rsid w:val="003F6151"/>
    <w:rsid w:val="003F6C55"/>
    <w:rsid w:val="003F6F9B"/>
    <w:rsid w:val="0040003A"/>
    <w:rsid w:val="00402887"/>
    <w:rsid w:val="00403B7D"/>
    <w:rsid w:val="0040462D"/>
    <w:rsid w:val="00405106"/>
    <w:rsid w:val="004056CC"/>
    <w:rsid w:val="00405794"/>
    <w:rsid w:val="0040592E"/>
    <w:rsid w:val="004059D3"/>
    <w:rsid w:val="00405F3F"/>
    <w:rsid w:val="0040612E"/>
    <w:rsid w:val="004064D6"/>
    <w:rsid w:val="00406D1E"/>
    <w:rsid w:val="00407A07"/>
    <w:rsid w:val="00410C00"/>
    <w:rsid w:val="00410DB1"/>
    <w:rsid w:val="004134B5"/>
    <w:rsid w:val="0041479C"/>
    <w:rsid w:val="004151EF"/>
    <w:rsid w:val="00420542"/>
    <w:rsid w:val="0042082E"/>
    <w:rsid w:val="00420A21"/>
    <w:rsid w:val="00420AE7"/>
    <w:rsid w:val="00421391"/>
    <w:rsid w:val="004219BC"/>
    <w:rsid w:val="00422196"/>
    <w:rsid w:val="00422EA4"/>
    <w:rsid w:val="004243D7"/>
    <w:rsid w:val="0042564C"/>
    <w:rsid w:val="00425CDC"/>
    <w:rsid w:val="00426F85"/>
    <w:rsid w:val="0043157C"/>
    <w:rsid w:val="0043330A"/>
    <w:rsid w:val="004336D0"/>
    <w:rsid w:val="00434E84"/>
    <w:rsid w:val="00437A49"/>
    <w:rsid w:val="00440101"/>
    <w:rsid w:val="00442CBC"/>
    <w:rsid w:val="00442F60"/>
    <w:rsid w:val="00443421"/>
    <w:rsid w:val="00443ACA"/>
    <w:rsid w:val="00443CA7"/>
    <w:rsid w:val="00444816"/>
    <w:rsid w:val="00445812"/>
    <w:rsid w:val="004467F4"/>
    <w:rsid w:val="0044688C"/>
    <w:rsid w:val="00450A62"/>
    <w:rsid w:val="00451AAF"/>
    <w:rsid w:val="00451AC9"/>
    <w:rsid w:val="00454A18"/>
    <w:rsid w:val="00455119"/>
    <w:rsid w:val="00455749"/>
    <w:rsid w:val="00455799"/>
    <w:rsid w:val="004564F3"/>
    <w:rsid w:val="0045702B"/>
    <w:rsid w:val="00460424"/>
    <w:rsid w:val="00460C7F"/>
    <w:rsid w:val="0046111C"/>
    <w:rsid w:val="00461681"/>
    <w:rsid w:val="004617BA"/>
    <w:rsid w:val="00461BC0"/>
    <w:rsid w:val="00463A2B"/>
    <w:rsid w:val="0046441E"/>
    <w:rsid w:val="0046606F"/>
    <w:rsid w:val="0046658C"/>
    <w:rsid w:val="0046771E"/>
    <w:rsid w:val="00467989"/>
    <w:rsid w:val="00467A9E"/>
    <w:rsid w:val="0047050F"/>
    <w:rsid w:val="00472D65"/>
    <w:rsid w:val="00474A73"/>
    <w:rsid w:val="00481B70"/>
    <w:rsid w:val="0048206D"/>
    <w:rsid w:val="004825BA"/>
    <w:rsid w:val="00484613"/>
    <w:rsid w:val="0048658B"/>
    <w:rsid w:val="004866DE"/>
    <w:rsid w:val="00486AF0"/>
    <w:rsid w:val="0049052B"/>
    <w:rsid w:val="004907BD"/>
    <w:rsid w:val="00490D48"/>
    <w:rsid w:val="00490E51"/>
    <w:rsid w:val="0049115E"/>
    <w:rsid w:val="0049185F"/>
    <w:rsid w:val="004922EC"/>
    <w:rsid w:val="00492AC1"/>
    <w:rsid w:val="00493B57"/>
    <w:rsid w:val="00495B19"/>
    <w:rsid w:val="00496A00"/>
    <w:rsid w:val="00497317"/>
    <w:rsid w:val="004975E5"/>
    <w:rsid w:val="004A094A"/>
    <w:rsid w:val="004A0BE9"/>
    <w:rsid w:val="004A0CAF"/>
    <w:rsid w:val="004A116F"/>
    <w:rsid w:val="004A2321"/>
    <w:rsid w:val="004A2941"/>
    <w:rsid w:val="004A3681"/>
    <w:rsid w:val="004A62AC"/>
    <w:rsid w:val="004A6410"/>
    <w:rsid w:val="004B0A68"/>
    <w:rsid w:val="004B13FE"/>
    <w:rsid w:val="004B20EF"/>
    <w:rsid w:val="004B24F5"/>
    <w:rsid w:val="004B346F"/>
    <w:rsid w:val="004B3D8B"/>
    <w:rsid w:val="004B40AF"/>
    <w:rsid w:val="004B4D42"/>
    <w:rsid w:val="004B59F2"/>
    <w:rsid w:val="004B5A6B"/>
    <w:rsid w:val="004B70A7"/>
    <w:rsid w:val="004B7890"/>
    <w:rsid w:val="004B7935"/>
    <w:rsid w:val="004C0515"/>
    <w:rsid w:val="004C155A"/>
    <w:rsid w:val="004C1715"/>
    <w:rsid w:val="004C1C70"/>
    <w:rsid w:val="004C23B1"/>
    <w:rsid w:val="004C2AC7"/>
    <w:rsid w:val="004C5574"/>
    <w:rsid w:val="004C66A1"/>
    <w:rsid w:val="004C6792"/>
    <w:rsid w:val="004D0458"/>
    <w:rsid w:val="004D1D9F"/>
    <w:rsid w:val="004D1F23"/>
    <w:rsid w:val="004D48F2"/>
    <w:rsid w:val="004D50BA"/>
    <w:rsid w:val="004D7330"/>
    <w:rsid w:val="004D7BD7"/>
    <w:rsid w:val="004E03F9"/>
    <w:rsid w:val="004E04F8"/>
    <w:rsid w:val="004E1487"/>
    <w:rsid w:val="004E186F"/>
    <w:rsid w:val="004E2188"/>
    <w:rsid w:val="004E62BE"/>
    <w:rsid w:val="004F0B27"/>
    <w:rsid w:val="004F128A"/>
    <w:rsid w:val="004F2AA6"/>
    <w:rsid w:val="004F2F8E"/>
    <w:rsid w:val="004F58C1"/>
    <w:rsid w:val="00501EF3"/>
    <w:rsid w:val="005022B1"/>
    <w:rsid w:val="00502CDA"/>
    <w:rsid w:val="005049EE"/>
    <w:rsid w:val="00504A74"/>
    <w:rsid w:val="0050520F"/>
    <w:rsid w:val="00506053"/>
    <w:rsid w:val="00506458"/>
    <w:rsid w:val="00506D9A"/>
    <w:rsid w:val="00507852"/>
    <w:rsid w:val="00507924"/>
    <w:rsid w:val="00510200"/>
    <w:rsid w:val="00510583"/>
    <w:rsid w:val="00510942"/>
    <w:rsid w:val="00511393"/>
    <w:rsid w:val="00512281"/>
    <w:rsid w:val="00512430"/>
    <w:rsid w:val="005125EE"/>
    <w:rsid w:val="00512874"/>
    <w:rsid w:val="005155B7"/>
    <w:rsid w:val="00516A8B"/>
    <w:rsid w:val="00517931"/>
    <w:rsid w:val="005226EC"/>
    <w:rsid w:val="00523086"/>
    <w:rsid w:val="005233CC"/>
    <w:rsid w:val="00523C70"/>
    <w:rsid w:val="00523EDE"/>
    <w:rsid w:val="00526117"/>
    <w:rsid w:val="00526306"/>
    <w:rsid w:val="00526AA8"/>
    <w:rsid w:val="00527956"/>
    <w:rsid w:val="00533282"/>
    <w:rsid w:val="00533943"/>
    <w:rsid w:val="00534206"/>
    <w:rsid w:val="00536B6F"/>
    <w:rsid w:val="005372E7"/>
    <w:rsid w:val="00540026"/>
    <w:rsid w:val="0054025C"/>
    <w:rsid w:val="0054070E"/>
    <w:rsid w:val="005409B3"/>
    <w:rsid w:val="0054372A"/>
    <w:rsid w:val="00543CB4"/>
    <w:rsid w:val="00543CC7"/>
    <w:rsid w:val="00544EEF"/>
    <w:rsid w:val="005457F4"/>
    <w:rsid w:val="005472BB"/>
    <w:rsid w:val="00550A7F"/>
    <w:rsid w:val="00552E77"/>
    <w:rsid w:val="005554CE"/>
    <w:rsid w:val="0055620E"/>
    <w:rsid w:val="005563C4"/>
    <w:rsid w:val="005565B3"/>
    <w:rsid w:val="00557E19"/>
    <w:rsid w:val="00557F22"/>
    <w:rsid w:val="00561047"/>
    <w:rsid w:val="005615BC"/>
    <w:rsid w:val="0056280F"/>
    <w:rsid w:val="00563262"/>
    <w:rsid w:val="00565515"/>
    <w:rsid w:val="005655DC"/>
    <w:rsid w:val="00565D5E"/>
    <w:rsid w:val="005661C8"/>
    <w:rsid w:val="0056674C"/>
    <w:rsid w:val="00567518"/>
    <w:rsid w:val="00567D64"/>
    <w:rsid w:val="005709AF"/>
    <w:rsid w:val="00571346"/>
    <w:rsid w:val="005741DE"/>
    <w:rsid w:val="00574D69"/>
    <w:rsid w:val="00575A64"/>
    <w:rsid w:val="005762A0"/>
    <w:rsid w:val="00576420"/>
    <w:rsid w:val="00577E15"/>
    <w:rsid w:val="005800C9"/>
    <w:rsid w:val="005809AD"/>
    <w:rsid w:val="005809D6"/>
    <w:rsid w:val="005819EB"/>
    <w:rsid w:val="005835E3"/>
    <w:rsid w:val="00584E8C"/>
    <w:rsid w:val="005871C5"/>
    <w:rsid w:val="005871D1"/>
    <w:rsid w:val="0059075A"/>
    <w:rsid w:val="00591EC1"/>
    <w:rsid w:val="0059210D"/>
    <w:rsid w:val="0059244C"/>
    <w:rsid w:val="00592A26"/>
    <w:rsid w:val="0059356A"/>
    <w:rsid w:val="00594514"/>
    <w:rsid w:val="005948CA"/>
    <w:rsid w:val="005949B1"/>
    <w:rsid w:val="00594B72"/>
    <w:rsid w:val="00595A78"/>
    <w:rsid w:val="00596B4D"/>
    <w:rsid w:val="005A0155"/>
    <w:rsid w:val="005A2558"/>
    <w:rsid w:val="005A2E4D"/>
    <w:rsid w:val="005A59A6"/>
    <w:rsid w:val="005A7169"/>
    <w:rsid w:val="005A75CF"/>
    <w:rsid w:val="005B1414"/>
    <w:rsid w:val="005B2633"/>
    <w:rsid w:val="005B2773"/>
    <w:rsid w:val="005B3F1B"/>
    <w:rsid w:val="005B5239"/>
    <w:rsid w:val="005B71A5"/>
    <w:rsid w:val="005C0B0F"/>
    <w:rsid w:val="005C31C9"/>
    <w:rsid w:val="005C32F8"/>
    <w:rsid w:val="005C36E3"/>
    <w:rsid w:val="005C3F02"/>
    <w:rsid w:val="005C5B6C"/>
    <w:rsid w:val="005C660A"/>
    <w:rsid w:val="005D2F16"/>
    <w:rsid w:val="005D38A5"/>
    <w:rsid w:val="005D44D8"/>
    <w:rsid w:val="005D58A5"/>
    <w:rsid w:val="005D5B7F"/>
    <w:rsid w:val="005D5EE5"/>
    <w:rsid w:val="005D6D66"/>
    <w:rsid w:val="005D76D6"/>
    <w:rsid w:val="005E03EA"/>
    <w:rsid w:val="005E2521"/>
    <w:rsid w:val="005E2E78"/>
    <w:rsid w:val="005E3E43"/>
    <w:rsid w:val="005E407A"/>
    <w:rsid w:val="005E4213"/>
    <w:rsid w:val="005E4249"/>
    <w:rsid w:val="005E4DCA"/>
    <w:rsid w:val="005E66E0"/>
    <w:rsid w:val="005E6EED"/>
    <w:rsid w:val="005F073E"/>
    <w:rsid w:val="005F0F89"/>
    <w:rsid w:val="005F23D9"/>
    <w:rsid w:val="005F3816"/>
    <w:rsid w:val="005F3A12"/>
    <w:rsid w:val="005F3C7D"/>
    <w:rsid w:val="005F4DF3"/>
    <w:rsid w:val="005F59ED"/>
    <w:rsid w:val="005F6354"/>
    <w:rsid w:val="005F658A"/>
    <w:rsid w:val="005F7E7C"/>
    <w:rsid w:val="00600777"/>
    <w:rsid w:val="00600E4A"/>
    <w:rsid w:val="00602A33"/>
    <w:rsid w:val="00603369"/>
    <w:rsid w:val="0060380D"/>
    <w:rsid w:val="00603D36"/>
    <w:rsid w:val="00603F28"/>
    <w:rsid w:val="00604677"/>
    <w:rsid w:val="00605AE1"/>
    <w:rsid w:val="006064A2"/>
    <w:rsid w:val="006077CE"/>
    <w:rsid w:val="00607A3B"/>
    <w:rsid w:val="0061279C"/>
    <w:rsid w:val="00612E51"/>
    <w:rsid w:val="00612E80"/>
    <w:rsid w:val="0061304B"/>
    <w:rsid w:val="0061330B"/>
    <w:rsid w:val="00613A41"/>
    <w:rsid w:val="006149C2"/>
    <w:rsid w:val="00614EF2"/>
    <w:rsid w:val="00615310"/>
    <w:rsid w:val="006157D4"/>
    <w:rsid w:val="00615AA3"/>
    <w:rsid w:val="00615B9A"/>
    <w:rsid w:val="00616126"/>
    <w:rsid w:val="00616177"/>
    <w:rsid w:val="00616B29"/>
    <w:rsid w:val="00620842"/>
    <w:rsid w:val="0062215D"/>
    <w:rsid w:val="006228A7"/>
    <w:rsid w:val="00623052"/>
    <w:rsid w:val="0062480B"/>
    <w:rsid w:val="00624A90"/>
    <w:rsid w:val="0062541D"/>
    <w:rsid w:val="006255CF"/>
    <w:rsid w:val="006269B0"/>
    <w:rsid w:val="006277B4"/>
    <w:rsid w:val="0063045B"/>
    <w:rsid w:val="00630912"/>
    <w:rsid w:val="006333DF"/>
    <w:rsid w:val="0063399A"/>
    <w:rsid w:val="0063463A"/>
    <w:rsid w:val="00634B6F"/>
    <w:rsid w:val="00634D8F"/>
    <w:rsid w:val="00636812"/>
    <w:rsid w:val="00640441"/>
    <w:rsid w:val="00641424"/>
    <w:rsid w:val="00641E4E"/>
    <w:rsid w:val="00642228"/>
    <w:rsid w:val="00644749"/>
    <w:rsid w:val="00644F0A"/>
    <w:rsid w:val="0064503B"/>
    <w:rsid w:val="00645B79"/>
    <w:rsid w:val="00650959"/>
    <w:rsid w:val="00650AC5"/>
    <w:rsid w:val="00650AE8"/>
    <w:rsid w:val="0065290E"/>
    <w:rsid w:val="00654383"/>
    <w:rsid w:val="00654854"/>
    <w:rsid w:val="00655987"/>
    <w:rsid w:val="006562E8"/>
    <w:rsid w:val="0065646F"/>
    <w:rsid w:val="006569E5"/>
    <w:rsid w:val="00656B63"/>
    <w:rsid w:val="00657268"/>
    <w:rsid w:val="0065797E"/>
    <w:rsid w:val="00660516"/>
    <w:rsid w:val="0066112C"/>
    <w:rsid w:val="006619DB"/>
    <w:rsid w:val="00661A91"/>
    <w:rsid w:val="00662199"/>
    <w:rsid w:val="00663E9E"/>
    <w:rsid w:val="006666DD"/>
    <w:rsid w:val="006668A7"/>
    <w:rsid w:val="0067016A"/>
    <w:rsid w:val="0067029B"/>
    <w:rsid w:val="006704B2"/>
    <w:rsid w:val="00670D33"/>
    <w:rsid w:val="0067234C"/>
    <w:rsid w:val="00674498"/>
    <w:rsid w:val="0067689F"/>
    <w:rsid w:val="00677FC7"/>
    <w:rsid w:val="00677FD9"/>
    <w:rsid w:val="00680607"/>
    <w:rsid w:val="006811CE"/>
    <w:rsid w:val="006816B8"/>
    <w:rsid w:val="00681FCB"/>
    <w:rsid w:val="00682533"/>
    <w:rsid w:val="006826BF"/>
    <w:rsid w:val="00683510"/>
    <w:rsid w:val="00684C7F"/>
    <w:rsid w:val="00684D49"/>
    <w:rsid w:val="0068529D"/>
    <w:rsid w:val="00686B9A"/>
    <w:rsid w:val="00687E9E"/>
    <w:rsid w:val="00690CEC"/>
    <w:rsid w:val="00691449"/>
    <w:rsid w:val="00692433"/>
    <w:rsid w:val="00693734"/>
    <w:rsid w:val="00693D9F"/>
    <w:rsid w:val="00697067"/>
    <w:rsid w:val="006A0094"/>
    <w:rsid w:val="006A1280"/>
    <w:rsid w:val="006A17E5"/>
    <w:rsid w:val="006A1C17"/>
    <w:rsid w:val="006A27DD"/>
    <w:rsid w:val="006A4177"/>
    <w:rsid w:val="006A5913"/>
    <w:rsid w:val="006A5CAA"/>
    <w:rsid w:val="006A69DE"/>
    <w:rsid w:val="006B0887"/>
    <w:rsid w:val="006B0B0C"/>
    <w:rsid w:val="006B0FDF"/>
    <w:rsid w:val="006B1CFF"/>
    <w:rsid w:val="006B1D78"/>
    <w:rsid w:val="006B4249"/>
    <w:rsid w:val="006B4680"/>
    <w:rsid w:val="006B4B30"/>
    <w:rsid w:val="006B5435"/>
    <w:rsid w:val="006B6091"/>
    <w:rsid w:val="006B663F"/>
    <w:rsid w:val="006B671F"/>
    <w:rsid w:val="006B6AE6"/>
    <w:rsid w:val="006B7147"/>
    <w:rsid w:val="006B72B0"/>
    <w:rsid w:val="006C00F6"/>
    <w:rsid w:val="006C0762"/>
    <w:rsid w:val="006C11F9"/>
    <w:rsid w:val="006C3DC4"/>
    <w:rsid w:val="006C4971"/>
    <w:rsid w:val="006C4E1E"/>
    <w:rsid w:val="006C5033"/>
    <w:rsid w:val="006C567E"/>
    <w:rsid w:val="006C6870"/>
    <w:rsid w:val="006D1E0D"/>
    <w:rsid w:val="006D33FF"/>
    <w:rsid w:val="006D36CA"/>
    <w:rsid w:val="006D429A"/>
    <w:rsid w:val="006D6655"/>
    <w:rsid w:val="006D6AD4"/>
    <w:rsid w:val="006D70F7"/>
    <w:rsid w:val="006D740F"/>
    <w:rsid w:val="006D7D50"/>
    <w:rsid w:val="006E1F63"/>
    <w:rsid w:val="006E251E"/>
    <w:rsid w:val="006E2B75"/>
    <w:rsid w:val="006E2D9D"/>
    <w:rsid w:val="006E44E8"/>
    <w:rsid w:val="006E69FF"/>
    <w:rsid w:val="006E6D9C"/>
    <w:rsid w:val="006E6E4C"/>
    <w:rsid w:val="006E71FE"/>
    <w:rsid w:val="006E7D60"/>
    <w:rsid w:val="006F0222"/>
    <w:rsid w:val="006F02BE"/>
    <w:rsid w:val="006F0572"/>
    <w:rsid w:val="006F1170"/>
    <w:rsid w:val="006F36E1"/>
    <w:rsid w:val="006F4F99"/>
    <w:rsid w:val="006F5622"/>
    <w:rsid w:val="006F564B"/>
    <w:rsid w:val="006F5894"/>
    <w:rsid w:val="006F5BAD"/>
    <w:rsid w:val="006F682A"/>
    <w:rsid w:val="006F721B"/>
    <w:rsid w:val="0070024B"/>
    <w:rsid w:val="00700925"/>
    <w:rsid w:val="007014D3"/>
    <w:rsid w:val="00701E0C"/>
    <w:rsid w:val="00702227"/>
    <w:rsid w:val="007028F2"/>
    <w:rsid w:val="00703AAD"/>
    <w:rsid w:val="00703C27"/>
    <w:rsid w:val="00705B34"/>
    <w:rsid w:val="00707932"/>
    <w:rsid w:val="0071079B"/>
    <w:rsid w:val="007107BE"/>
    <w:rsid w:val="00711008"/>
    <w:rsid w:val="0071180F"/>
    <w:rsid w:val="00712AE5"/>
    <w:rsid w:val="00712BC8"/>
    <w:rsid w:val="00713FF3"/>
    <w:rsid w:val="00714883"/>
    <w:rsid w:val="00714977"/>
    <w:rsid w:val="00716C0F"/>
    <w:rsid w:val="007175CA"/>
    <w:rsid w:val="00717FF7"/>
    <w:rsid w:val="0072089F"/>
    <w:rsid w:val="00720E3E"/>
    <w:rsid w:val="007214C9"/>
    <w:rsid w:val="007228DF"/>
    <w:rsid w:val="007239D0"/>
    <w:rsid w:val="00723D71"/>
    <w:rsid w:val="0072576E"/>
    <w:rsid w:val="00726F09"/>
    <w:rsid w:val="00727103"/>
    <w:rsid w:val="0072779F"/>
    <w:rsid w:val="00730D27"/>
    <w:rsid w:val="0073246A"/>
    <w:rsid w:val="007325C5"/>
    <w:rsid w:val="007326A9"/>
    <w:rsid w:val="007329B3"/>
    <w:rsid w:val="00732E1A"/>
    <w:rsid w:val="0073435D"/>
    <w:rsid w:val="00735570"/>
    <w:rsid w:val="007355F0"/>
    <w:rsid w:val="0073663B"/>
    <w:rsid w:val="00736BB8"/>
    <w:rsid w:val="0073749A"/>
    <w:rsid w:val="007376E3"/>
    <w:rsid w:val="00737E8D"/>
    <w:rsid w:val="00741D44"/>
    <w:rsid w:val="00741E62"/>
    <w:rsid w:val="0074235F"/>
    <w:rsid w:val="00743E64"/>
    <w:rsid w:val="00744818"/>
    <w:rsid w:val="0074489E"/>
    <w:rsid w:val="00744B8C"/>
    <w:rsid w:val="00744BEC"/>
    <w:rsid w:val="00744F2A"/>
    <w:rsid w:val="007450F1"/>
    <w:rsid w:val="007454E4"/>
    <w:rsid w:val="007471FB"/>
    <w:rsid w:val="00750C0E"/>
    <w:rsid w:val="00750E43"/>
    <w:rsid w:val="00750F50"/>
    <w:rsid w:val="007512F4"/>
    <w:rsid w:val="00753FA3"/>
    <w:rsid w:val="00754959"/>
    <w:rsid w:val="007604FA"/>
    <w:rsid w:val="00760765"/>
    <w:rsid w:val="00760F93"/>
    <w:rsid w:val="0076210C"/>
    <w:rsid w:val="007636DC"/>
    <w:rsid w:val="00763F44"/>
    <w:rsid w:val="0076456A"/>
    <w:rsid w:val="0076533B"/>
    <w:rsid w:val="00765FD6"/>
    <w:rsid w:val="00766CCA"/>
    <w:rsid w:val="00767239"/>
    <w:rsid w:val="0076748E"/>
    <w:rsid w:val="00771719"/>
    <w:rsid w:val="007727DD"/>
    <w:rsid w:val="00772D74"/>
    <w:rsid w:val="00773194"/>
    <w:rsid w:val="00773761"/>
    <w:rsid w:val="007743BA"/>
    <w:rsid w:val="00774706"/>
    <w:rsid w:val="00775EB5"/>
    <w:rsid w:val="00776C7A"/>
    <w:rsid w:val="0077797A"/>
    <w:rsid w:val="00777FBA"/>
    <w:rsid w:val="00782566"/>
    <w:rsid w:val="007835B3"/>
    <w:rsid w:val="00784476"/>
    <w:rsid w:val="00784B82"/>
    <w:rsid w:val="00785ACD"/>
    <w:rsid w:val="00785F3A"/>
    <w:rsid w:val="007875D6"/>
    <w:rsid w:val="00787E36"/>
    <w:rsid w:val="00790C0A"/>
    <w:rsid w:val="00790D84"/>
    <w:rsid w:val="007933CC"/>
    <w:rsid w:val="00794257"/>
    <w:rsid w:val="00796C54"/>
    <w:rsid w:val="0079730A"/>
    <w:rsid w:val="0079731F"/>
    <w:rsid w:val="00797985"/>
    <w:rsid w:val="007A04FE"/>
    <w:rsid w:val="007A2F48"/>
    <w:rsid w:val="007A304F"/>
    <w:rsid w:val="007A30C2"/>
    <w:rsid w:val="007A421C"/>
    <w:rsid w:val="007A4E44"/>
    <w:rsid w:val="007A5ADD"/>
    <w:rsid w:val="007A6CC7"/>
    <w:rsid w:val="007A6EDF"/>
    <w:rsid w:val="007A726A"/>
    <w:rsid w:val="007A7360"/>
    <w:rsid w:val="007A7480"/>
    <w:rsid w:val="007B3949"/>
    <w:rsid w:val="007B3FD9"/>
    <w:rsid w:val="007B4A7B"/>
    <w:rsid w:val="007B518A"/>
    <w:rsid w:val="007B573E"/>
    <w:rsid w:val="007B5B28"/>
    <w:rsid w:val="007B5BDB"/>
    <w:rsid w:val="007B68FA"/>
    <w:rsid w:val="007B7B0B"/>
    <w:rsid w:val="007B7E7D"/>
    <w:rsid w:val="007B7EFD"/>
    <w:rsid w:val="007B7F1F"/>
    <w:rsid w:val="007C2A10"/>
    <w:rsid w:val="007C3E84"/>
    <w:rsid w:val="007C448A"/>
    <w:rsid w:val="007C4B73"/>
    <w:rsid w:val="007C573E"/>
    <w:rsid w:val="007C6DFD"/>
    <w:rsid w:val="007C6E58"/>
    <w:rsid w:val="007C7AD5"/>
    <w:rsid w:val="007D1785"/>
    <w:rsid w:val="007D17F3"/>
    <w:rsid w:val="007D5030"/>
    <w:rsid w:val="007D506C"/>
    <w:rsid w:val="007E034E"/>
    <w:rsid w:val="007E08DC"/>
    <w:rsid w:val="007E3E0F"/>
    <w:rsid w:val="007E51F6"/>
    <w:rsid w:val="007E5B3B"/>
    <w:rsid w:val="007E6B0C"/>
    <w:rsid w:val="007E6D71"/>
    <w:rsid w:val="007E7039"/>
    <w:rsid w:val="007F1C25"/>
    <w:rsid w:val="007F25F5"/>
    <w:rsid w:val="007F27DE"/>
    <w:rsid w:val="007F3083"/>
    <w:rsid w:val="007F3320"/>
    <w:rsid w:val="007F4814"/>
    <w:rsid w:val="007F4EAF"/>
    <w:rsid w:val="007F5019"/>
    <w:rsid w:val="007F5A44"/>
    <w:rsid w:val="007F7013"/>
    <w:rsid w:val="0080215C"/>
    <w:rsid w:val="008021BA"/>
    <w:rsid w:val="00802795"/>
    <w:rsid w:val="008033B5"/>
    <w:rsid w:val="00803984"/>
    <w:rsid w:val="00805A4E"/>
    <w:rsid w:val="00806151"/>
    <w:rsid w:val="008062E4"/>
    <w:rsid w:val="00806774"/>
    <w:rsid w:val="0080754E"/>
    <w:rsid w:val="008102E3"/>
    <w:rsid w:val="00810DA5"/>
    <w:rsid w:val="00810F42"/>
    <w:rsid w:val="00810FFB"/>
    <w:rsid w:val="00812ACF"/>
    <w:rsid w:val="008135CA"/>
    <w:rsid w:val="008136E4"/>
    <w:rsid w:val="00814782"/>
    <w:rsid w:val="00814D3E"/>
    <w:rsid w:val="008159DD"/>
    <w:rsid w:val="00815E39"/>
    <w:rsid w:val="00815FF9"/>
    <w:rsid w:val="00816488"/>
    <w:rsid w:val="00816580"/>
    <w:rsid w:val="00817DE2"/>
    <w:rsid w:val="0082075D"/>
    <w:rsid w:val="0082088B"/>
    <w:rsid w:val="00822A44"/>
    <w:rsid w:val="00824972"/>
    <w:rsid w:val="00824BDF"/>
    <w:rsid w:val="00824DBC"/>
    <w:rsid w:val="00826786"/>
    <w:rsid w:val="0082708C"/>
    <w:rsid w:val="008276B8"/>
    <w:rsid w:val="00827CC6"/>
    <w:rsid w:val="00832462"/>
    <w:rsid w:val="008324E7"/>
    <w:rsid w:val="0083260D"/>
    <w:rsid w:val="00832D47"/>
    <w:rsid w:val="00833A20"/>
    <w:rsid w:val="00833EAD"/>
    <w:rsid w:val="008354A6"/>
    <w:rsid w:val="00835C1C"/>
    <w:rsid w:val="00836E18"/>
    <w:rsid w:val="00840E8D"/>
    <w:rsid w:val="0084154F"/>
    <w:rsid w:val="00841B24"/>
    <w:rsid w:val="00842282"/>
    <w:rsid w:val="00842B99"/>
    <w:rsid w:val="00843891"/>
    <w:rsid w:val="00844455"/>
    <w:rsid w:val="00844CDB"/>
    <w:rsid w:val="008450FC"/>
    <w:rsid w:val="00845F34"/>
    <w:rsid w:val="00845FC5"/>
    <w:rsid w:val="008464E4"/>
    <w:rsid w:val="00847210"/>
    <w:rsid w:val="00851028"/>
    <w:rsid w:val="008522B0"/>
    <w:rsid w:val="00853689"/>
    <w:rsid w:val="008545AB"/>
    <w:rsid w:val="00855F04"/>
    <w:rsid w:val="00855FA0"/>
    <w:rsid w:val="008560E5"/>
    <w:rsid w:val="00856865"/>
    <w:rsid w:val="00861776"/>
    <w:rsid w:val="00862B75"/>
    <w:rsid w:val="00863BD0"/>
    <w:rsid w:val="008654F8"/>
    <w:rsid w:val="00867284"/>
    <w:rsid w:val="0087074E"/>
    <w:rsid w:val="00871740"/>
    <w:rsid w:val="00872238"/>
    <w:rsid w:val="00873AA2"/>
    <w:rsid w:val="00876325"/>
    <w:rsid w:val="0087784A"/>
    <w:rsid w:val="0088067B"/>
    <w:rsid w:val="00881FDC"/>
    <w:rsid w:val="00882E7A"/>
    <w:rsid w:val="00883B46"/>
    <w:rsid w:val="0088408E"/>
    <w:rsid w:val="0088410B"/>
    <w:rsid w:val="00884540"/>
    <w:rsid w:val="00884558"/>
    <w:rsid w:val="00884F5C"/>
    <w:rsid w:val="00885317"/>
    <w:rsid w:val="00885450"/>
    <w:rsid w:val="008858AB"/>
    <w:rsid w:val="00885ABB"/>
    <w:rsid w:val="00886931"/>
    <w:rsid w:val="0088755F"/>
    <w:rsid w:val="00887ECF"/>
    <w:rsid w:val="00890E76"/>
    <w:rsid w:val="00892D4A"/>
    <w:rsid w:val="00893097"/>
    <w:rsid w:val="00895606"/>
    <w:rsid w:val="00895D5F"/>
    <w:rsid w:val="00895DC8"/>
    <w:rsid w:val="008A0013"/>
    <w:rsid w:val="008A124F"/>
    <w:rsid w:val="008A180D"/>
    <w:rsid w:val="008A1D87"/>
    <w:rsid w:val="008A2857"/>
    <w:rsid w:val="008A2964"/>
    <w:rsid w:val="008A2E07"/>
    <w:rsid w:val="008A3366"/>
    <w:rsid w:val="008A354F"/>
    <w:rsid w:val="008A36FA"/>
    <w:rsid w:val="008A4A38"/>
    <w:rsid w:val="008A4A4B"/>
    <w:rsid w:val="008A5D2D"/>
    <w:rsid w:val="008A6495"/>
    <w:rsid w:val="008A6817"/>
    <w:rsid w:val="008A6E4E"/>
    <w:rsid w:val="008A78F9"/>
    <w:rsid w:val="008A7DD6"/>
    <w:rsid w:val="008B03D0"/>
    <w:rsid w:val="008B23F9"/>
    <w:rsid w:val="008B2866"/>
    <w:rsid w:val="008B4579"/>
    <w:rsid w:val="008B4D6C"/>
    <w:rsid w:val="008B6883"/>
    <w:rsid w:val="008B7417"/>
    <w:rsid w:val="008C01EB"/>
    <w:rsid w:val="008C1055"/>
    <w:rsid w:val="008C12EF"/>
    <w:rsid w:val="008C17F5"/>
    <w:rsid w:val="008C1AD7"/>
    <w:rsid w:val="008C4F3E"/>
    <w:rsid w:val="008C7851"/>
    <w:rsid w:val="008C7D96"/>
    <w:rsid w:val="008D16A6"/>
    <w:rsid w:val="008D18CA"/>
    <w:rsid w:val="008D24AB"/>
    <w:rsid w:val="008D2F66"/>
    <w:rsid w:val="008D4B96"/>
    <w:rsid w:val="008D5288"/>
    <w:rsid w:val="008D52E7"/>
    <w:rsid w:val="008D54AA"/>
    <w:rsid w:val="008E2D6F"/>
    <w:rsid w:val="008E3C06"/>
    <w:rsid w:val="008E4B58"/>
    <w:rsid w:val="008E577B"/>
    <w:rsid w:val="008E5AAF"/>
    <w:rsid w:val="008E6576"/>
    <w:rsid w:val="008E67CC"/>
    <w:rsid w:val="008E6DC0"/>
    <w:rsid w:val="008E724D"/>
    <w:rsid w:val="008E7C82"/>
    <w:rsid w:val="008F1EED"/>
    <w:rsid w:val="008F22FD"/>
    <w:rsid w:val="008F37C3"/>
    <w:rsid w:val="008F47D7"/>
    <w:rsid w:val="008F5335"/>
    <w:rsid w:val="008F5415"/>
    <w:rsid w:val="008F609D"/>
    <w:rsid w:val="00900163"/>
    <w:rsid w:val="00901785"/>
    <w:rsid w:val="00901FAE"/>
    <w:rsid w:val="00902073"/>
    <w:rsid w:val="00902C0E"/>
    <w:rsid w:val="00903C8A"/>
    <w:rsid w:val="00904307"/>
    <w:rsid w:val="0090472F"/>
    <w:rsid w:val="00905A2E"/>
    <w:rsid w:val="009060D2"/>
    <w:rsid w:val="00906D0B"/>
    <w:rsid w:val="00910410"/>
    <w:rsid w:val="009104A5"/>
    <w:rsid w:val="00910F1A"/>
    <w:rsid w:val="00911615"/>
    <w:rsid w:val="0091170A"/>
    <w:rsid w:val="00911CC6"/>
    <w:rsid w:val="0091292F"/>
    <w:rsid w:val="009132CC"/>
    <w:rsid w:val="00913DB1"/>
    <w:rsid w:val="0091426E"/>
    <w:rsid w:val="00915E31"/>
    <w:rsid w:val="00916368"/>
    <w:rsid w:val="00916657"/>
    <w:rsid w:val="00916CA8"/>
    <w:rsid w:val="00917B4A"/>
    <w:rsid w:val="00917DFE"/>
    <w:rsid w:val="009200BF"/>
    <w:rsid w:val="00924A3A"/>
    <w:rsid w:val="00926DE4"/>
    <w:rsid w:val="009313D6"/>
    <w:rsid w:val="00931DDD"/>
    <w:rsid w:val="00933741"/>
    <w:rsid w:val="00937BA0"/>
    <w:rsid w:val="00941A7A"/>
    <w:rsid w:val="0094350E"/>
    <w:rsid w:val="009435CA"/>
    <w:rsid w:val="0094618A"/>
    <w:rsid w:val="00946D12"/>
    <w:rsid w:val="009513A5"/>
    <w:rsid w:val="00951FC7"/>
    <w:rsid w:val="009536F0"/>
    <w:rsid w:val="00954575"/>
    <w:rsid w:val="0095469C"/>
    <w:rsid w:val="00956CC1"/>
    <w:rsid w:val="009629BB"/>
    <w:rsid w:val="00963661"/>
    <w:rsid w:val="00963798"/>
    <w:rsid w:val="00967A1A"/>
    <w:rsid w:val="00967C3B"/>
    <w:rsid w:val="00967E6C"/>
    <w:rsid w:val="00972C55"/>
    <w:rsid w:val="00972C83"/>
    <w:rsid w:val="009735B7"/>
    <w:rsid w:val="0097415B"/>
    <w:rsid w:val="00974735"/>
    <w:rsid w:val="00975292"/>
    <w:rsid w:val="0097680D"/>
    <w:rsid w:val="0097701D"/>
    <w:rsid w:val="009777DB"/>
    <w:rsid w:val="0098018C"/>
    <w:rsid w:val="009816CC"/>
    <w:rsid w:val="00981856"/>
    <w:rsid w:val="00982389"/>
    <w:rsid w:val="00983460"/>
    <w:rsid w:val="00985A9C"/>
    <w:rsid w:val="009867B5"/>
    <w:rsid w:val="009903B9"/>
    <w:rsid w:val="00990F01"/>
    <w:rsid w:val="009922C5"/>
    <w:rsid w:val="009939C8"/>
    <w:rsid w:val="00993DCB"/>
    <w:rsid w:val="009943BE"/>
    <w:rsid w:val="009953FE"/>
    <w:rsid w:val="00995F00"/>
    <w:rsid w:val="00996F6D"/>
    <w:rsid w:val="009978C3"/>
    <w:rsid w:val="009A03D3"/>
    <w:rsid w:val="009A05FD"/>
    <w:rsid w:val="009A073E"/>
    <w:rsid w:val="009A0B62"/>
    <w:rsid w:val="009A0D9A"/>
    <w:rsid w:val="009A0E48"/>
    <w:rsid w:val="009A142A"/>
    <w:rsid w:val="009A2814"/>
    <w:rsid w:val="009A3704"/>
    <w:rsid w:val="009A38DA"/>
    <w:rsid w:val="009A41F6"/>
    <w:rsid w:val="009A4E96"/>
    <w:rsid w:val="009A57D2"/>
    <w:rsid w:val="009A691F"/>
    <w:rsid w:val="009A795E"/>
    <w:rsid w:val="009B0688"/>
    <w:rsid w:val="009B1377"/>
    <w:rsid w:val="009B26E1"/>
    <w:rsid w:val="009B2A82"/>
    <w:rsid w:val="009B5EFA"/>
    <w:rsid w:val="009B6680"/>
    <w:rsid w:val="009B6C21"/>
    <w:rsid w:val="009B6C6C"/>
    <w:rsid w:val="009C0F59"/>
    <w:rsid w:val="009C3D29"/>
    <w:rsid w:val="009C3D90"/>
    <w:rsid w:val="009C5954"/>
    <w:rsid w:val="009C6B2C"/>
    <w:rsid w:val="009C70B1"/>
    <w:rsid w:val="009C7880"/>
    <w:rsid w:val="009D022D"/>
    <w:rsid w:val="009D02F1"/>
    <w:rsid w:val="009D0928"/>
    <w:rsid w:val="009D0CDC"/>
    <w:rsid w:val="009D1C75"/>
    <w:rsid w:val="009D35F3"/>
    <w:rsid w:val="009D39A3"/>
    <w:rsid w:val="009D4951"/>
    <w:rsid w:val="009D4EDB"/>
    <w:rsid w:val="009D556D"/>
    <w:rsid w:val="009D640A"/>
    <w:rsid w:val="009D68B5"/>
    <w:rsid w:val="009D6E90"/>
    <w:rsid w:val="009E1744"/>
    <w:rsid w:val="009E217B"/>
    <w:rsid w:val="009E24E3"/>
    <w:rsid w:val="009E4269"/>
    <w:rsid w:val="009E55A4"/>
    <w:rsid w:val="009E5BB4"/>
    <w:rsid w:val="009F4588"/>
    <w:rsid w:val="009F5757"/>
    <w:rsid w:val="009F5C1E"/>
    <w:rsid w:val="00A001F6"/>
    <w:rsid w:val="00A00435"/>
    <w:rsid w:val="00A0049A"/>
    <w:rsid w:val="00A00C00"/>
    <w:rsid w:val="00A00F40"/>
    <w:rsid w:val="00A02F75"/>
    <w:rsid w:val="00A03CE5"/>
    <w:rsid w:val="00A04977"/>
    <w:rsid w:val="00A050E7"/>
    <w:rsid w:val="00A06351"/>
    <w:rsid w:val="00A068A2"/>
    <w:rsid w:val="00A07C7B"/>
    <w:rsid w:val="00A10A37"/>
    <w:rsid w:val="00A138C2"/>
    <w:rsid w:val="00A145C5"/>
    <w:rsid w:val="00A1487E"/>
    <w:rsid w:val="00A16128"/>
    <w:rsid w:val="00A17100"/>
    <w:rsid w:val="00A17347"/>
    <w:rsid w:val="00A1765E"/>
    <w:rsid w:val="00A20713"/>
    <w:rsid w:val="00A21019"/>
    <w:rsid w:val="00A2150F"/>
    <w:rsid w:val="00A22DCD"/>
    <w:rsid w:val="00A23B69"/>
    <w:rsid w:val="00A23F26"/>
    <w:rsid w:val="00A24432"/>
    <w:rsid w:val="00A24B8C"/>
    <w:rsid w:val="00A24E9C"/>
    <w:rsid w:val="00A258AE"/>
    <w:rsid w:val="00A25AB8"/>
    <w:rsid w:val="00A2722E"/>
    <w:rsid w:val="00A30F22"/>
    <w:rsid w:val="00A31D6A"/>
    <w:rsid w:val="00A32524"/>
    <w:rsid w:val="00A325C8"/>
    <w:rsid w:val="00A3274F"/>
    <w:rsid w:val="00A33DC6"/>
    <w:rsid w:val="00A34160"/>
    <w:rsid w:val="00A3439F"/>
    <w:rsid w:val="00A34C74"/>
    <w:rsid w:val="00A37734"/>
    <w:rsid w:val="00A41126"/>
    <w:rsid w:val="00A414D6"/>
    <w:rsid w:val="00A4194E"/>
    <w:rsid w:val="00A4278D"/>
    <w:rsid w:val="00A42987"/>
    <w:rsid w:val="00A42E5C"/>
    <w:rsid w:val="00A43F6B"/>
    <w:rsid w:val="00A43F98"/>
    <w:rsid w:val="00A45012"/>
    <w:rsid w:val="00A456C4"/>
    <w:rsid w:val="00A45B48"/>
    <w:rsid w:val="00A475F3"/>
    <w:rsid w:val="00A5129F"/>
    <w:rsid w:val="00A51D16"/>
    <w:rsid w:val="00A52AF2"/>
    <w:rsid w:val="00A52B38"/>
    <w:rsid w:val="00A54344"/>
    <w:rsid w:val="00A552C4"/>
    <w:rsid w:val="00A56315"/>
    <w:rsid w:val="00A56DF6"/>
    <w:rsid w:val="00A57F51"/>
    <w:rsid w:val="00A601F3"/>
    <w:rsid w:val="00A60C89"/>
    <w:rsid w:val="00A61422"/>
    <w:rsid w:val="00A62202"/>
    <w:rsid w:val="00A625ED"/>
    <w:rsid w:val="00A63AE9"/>
    <w:rsid w:val="00A63BDA"/>
    <w:rsid w:val="00A64088"/>
    <w:rsid w:val="00A64F63"/>
    <w:rsid w:val="00A651C7"/>
    <w:rsid w:val="00A6623E"/>
    <w:rsid w:val="00A6692C"/>
    <w:rsid w:val="00A671FA"/>
    <w:rsid w:val="00A67B26"/>
    <w:rsid w:val="00A67BBD"/>
    <w:rsid w:val="00A67C32"/>
    <w:rsid w:val="00A67E95"/>
    <w:rsid w:val="00A70D85"/>
    <w:rsid w:val="00A719E5"/>
    <w:rsid w:val="00A72CC0"/>
    <w:rsid w:val="00A72F80"/>
    <w:rsid w:val="00A73C54"/>
    <w:rsid w:val="00A7498E"/>
    <w:rsid w:val="00A749FD"/>
    <w:rsid w:val="00A75863"/>
    <w:rsid w:val="00A768E4"/>
    <w:rsid w:val="00A77CCD"/>
    <w:rsid w:val="00A8087C"/>
    <w:rsid w:val="00A80E90"/>
    <w:rsid w:val="00A8146F"/>
    <w:rsid w:val="00A81E67"/>
    <w:rsid w:val="00A820CA"/>
    <w:rsid w:val="00A8356D"/>
    <w:rsid w:val="00A8473B"/>
    <w:rsid w:val="00A84D3B"/>
    <w:rsid w:val="00A85D00"/>
    <w:rsid w:val="00A86843"/>
    <w:rsid w:val="00A87567"/>
    <w:rsid w:val="00A87AF5"/>
    <w:rsid w:val="00A90EAC"/>
    <w:rsid w:val="00A910B0"/>
    <w:rsid w:val="00A9298A"/>
    <w:rsid w:val="00A92CD0"/>
    <w:rsid w:val="00A931A1"/>
    <w:rsid w:val="00A93589"/>
    <w:rsid w:val="00A94E55"/>
    <w:rsid w:val="00AA0E76"/>
    <w:rsid w:val="00AA11BE"/>
    <w:rsid w:val="00AA15DF"/>
    <w:rsid w:val="00AA22EC"/>
    <w:rsid w:val="00AA2584"/>
    <w:rsid w:val="00AA49CC"/>
    <w:rsid w:val="00AA4CF3"/>
    <w:rsid w:val="00AA52AD"/>
    <w:rsid w:val="00AB0333"/>
    <w:rsid w:val="00AB0D8B"/>
    <w:rsid w:val="00AB150B"/>
    <w:rsid w:val="00AB426F"/>
    <w:rsid w:val="00AB58C0"/>
    <w:rsid w:val="00AB63D0"/>
    <w:rsid w:val="00AB63D5"/>
    <w:rsid w:val="00AB7BC0"/>
    <w:rsid w:val="00AC0383"/>
    <w:rsid w:val="00AC0722"/>
    <w:rsid w:val="00AC08D4"/>
    <w:rsid w:val="00AC112F"/>
    <w:rsid w:val="00AC1C36"/>
    <w:rsid w:val="00AC2AA7"/>
    <w:rsid w:val="00AC2E4B"/>
    <w:rsid w:val="00AC2E80"/>
    <w:rsid w:val="00AC5954"/>
    <w:rsid w:val="00AC5A92"/>
    <w:rsid w:val="00AC6FA8"/>
    <w:rsid w:val="00AD01F5"/>
    <w:rsid w:val="00AD1372"/>
    <w:rsid w:val="00AD14A7"/>
    <w:rsid w:val="00AD376E"/>
    <w:rsid w:val="00AD3A06"/>
    <w:rsid w:val="00AD3A82"/>
    <w:rsid w:val="00AD56D8"/>
    <w:rsid w:val="00AD58E0"/>
    <w:rsid w:val="00AD5B67"/>
    <w:rsid w:val="00AD6780"/>
    <w:rsid w:val="00AE100C"/>
    <w:rsid w:val="00AE1DD9"/>
    <w:rsid w:val="00AE371B"/>
    <w:rsid w:val="00AE4DBF"/>
    <w:rsid w:val="00AE5167"/>
    <w:rsid w:val="00AF1E07"/>
    <w:rsid w:val="00AF240F"/>
    <w:rsid w:val="00AF29D8"/>
    <w:rsid w:val="00AF2B38"/>
    <w:rsid w:val="00AF2DF2"/>
    <w:rsid w:val="00AF360C"/>
    <w:rsid w:val="00AF37A8"/>
    <w:rsid w:val="00AF4833"/>
    <w:rsid w:val="00AF499E"/>
    <w:rsid w:val="00AF4A17"/>
    <w:rsid w:val="00AF4F1F"/>
    <w:rsid w:val="00AF530D"/>
    <w:rsid w:val="00AF5A95"/>
    <w:rsid w:val="00AF72A7"/>
    <w:rsid w:val="00AF7823"/>
    <w:rsid w:val="00AF7E44"/>
    <w:rsid w:val="00B0055F"/>
    <w:rsid w:val="00B0081C"/>
    <w:rsid w:val="00B00BB9"/>
    <w:rsid w:val="00B01266"/>
    <w:rsid w:val="00B02527"/>
    <w:rsid w:val="00B02FBB"/>
    <w:rsid w:val="00B04535"/>
    <w:rsid w:val="00B05848"/>
    <w:rsid w:val="00B06164"/>
    <w:rsid w:val="00B06A35"/>
    <w:rsid w:val="00B06AE0"/>
    <w:rsid w:val="00B06F3E"/>
    <w:rsid w:val="00B070F5"/>
    <w:rsid w:val="00B07685"/>
    <w:rsid w:val="00B10018"/>
    <w:rsid w:val="00B11835"/>
    <w:rsid w:val="00B12155"/>
    <w:rsid w:val="00B12502"/>
    <w:rsid w:val="00B14275"/>
    <w:rsid w:val="00B14AF0"/>
    <w:rsid w:val="00B15095"/>
    <w:rsid w:val="00B172ED"/>
    <w:rsid w:val="00B17604"/>
    <w:rsid w:val="00B1767F"/>
    <w:rsid w:val="00B17800"/>
    <w:rsid w:val="00B17834"/>
    <w:rsid w:val="00B20B3C"/>
    <w:rsid w:val="00B22018"/>
    <w:rsid w:val="00B22185"/>
    <w:rsid w:val="00B2233E"/>
    <w:rsid w:val="00B22386"/>
    <w:rsid w:val="00B23BC9"/>
    <w:rsid w:val="00B2497C"/>
    <w:rsid w:val="00B24F71"/>
    <w:rsid w:val="00B25186"/>
    <w:rsid w:val="00B2538A"/>
    <w:rsid w:val="00B2607C"/>
    <w:rsid w:val="00B279A5"/>
    <w:rsid w:val="00B3074A"/>
    <w:rsid w:val="00B30A1F"/>
    <w:rsid w:val="00B31426"/>
    <w:rsid w:val="00B317AD"/>
    <w:rsid w:val="00B31C23"/>
    <w:rsid w:val="00B32F5C"/>
    <w:rsid w:val="00B331D8"/>
    <w:rsid w:val="00B3327E"/>
    <w:rsid w:val="00B349B4"/>
    <w:rsid w:val="00B350D6"/>
    <w:rsid w:val="00B352C0"/>
    <w:rsid w:val="00B35DCA"/>
    <w:rsid w:val="00B36FDC"/>
    <w:rsid w:val="00B37434"/>
    <w:rsid w:val="00B37C8E"/>
    <w:rsid w:val="00B403E2"/>
    <w:rsid w:val="00B40693"/>
    <w:rsid w:val="00B413F4"/>
    <w:rsid w:val="00B424A2"/>
    <w:rsid w:val="00B42641"/>
    <w:rsid w:val="00B43864"/>
    <w:rsid w:val="00B4478D"/>
    <w:rsid w:val="00B45924"/>
    <w:rsid w:val="00B45DA8"/>
    <w:rsid w:val="00B45F45"/>
    <w:rsid w:val="00B469CB"/>
    <w:rsid w:val="00B473DA"/>
    <w:rsid w:val="00B50BB7"/>
    <w:rsid w:val="00B50BB9"/>
    <w:rsid w:val="00B51536"/>
    <w:rsid w:val="00B51C30"/>
    <w:rsid w:val="00B525C1"/>
    <w:rsid w:val="00B53050"/>
    <w:rsid w:val="00B53FC5"/>
    <w:rsid w:val="00B541CF"/>
    <w:rsid w:val="00B610E0"/>
    <w:rsid w:val="00B61E6D"/>
    <w:rsid w:val="00B62430"/>
    <w:rsid w:val="00B65630"/>
    <w:rsid w:val="00B6629C"/>
    <w:rsid w:val="00B67181"/>
    <w:rsid w:val="00B67E58"/>
    <w:rsid w:val="00B705C4"/>
    <w:rsid w:val="00B71A90"/>
    <w:rsid w:val="00B71AB3"/>
    <w:rsid w:val="00B71F66"/>
    <w:rsid w:val="00B72007"/>
    <w:rsid w:val="00B725FE"/>
    <w:rsid w:val="00B727AA"/>
    <w:rsid w:val="00B73F0B"/>
    <w:rsid w:val="00B7450C"/>
    <w:rsid w:val="00B74BC4"/>
    <w:rsid w:val="00B754DB"/>
    <w:rsid w:val="00B759D1"/>
    <w:rsid w:val="00B76CC1"/>
    <w:rsid w:val="00B76E96"/>
    <w:rsid w:val="00B76E98"/>
    <w:rsid w:val="00B81D7C"/>
    <w:rsid w:val="00B824EF"/>
    <w:rsid w:val="00B82A96"/>
    <w:rsid w:val="00B83979"/>
    <w:rsid w:val="00B83A8D"/>
    <w:rsid w:val="00B83C73"/>
    <w:rsid w:val="00B83E49"/>
    <w:rsid w:val="00B84288"/>
    <w:rsid w:val="00B84B32"/>
    <w:rsid w:val="00B86016"/>
    <w:rsid w:val="00B8751C"/>
    <w:rsid w:val="00B93F62"/>
    <w:rsid w:val="00B94B64"/>
    <w:rsid w:val="00B95EA6"/>
    <w:rsid w:val="00B96BFE"/>
    <w:rsid w:val="00B9706E"/>
    <w:rsid w:val="00BA0C68"/>
    <w:rsid w:val="00BA2C21"/>
    <w:rsid w:val="00BA5952"/>
    <w:rsid w:val="00BB0019"/>
    <w:rsid w:val="00BB1638"/>
    <w:rsid w:val="00BB20C8"/>
    <w:rsid w:val="00BB26F3"/>
    <w:rsid w:val="00BB4D40"/>
    <w:rsid w:val="00BB73BE"/>
    <w:rsid w:val="00BB7C51"/>
    <w:rsid w:val="00BB7F64"/>
    <w:rsid w:val="00BC0302"/>
    <w:rsid w:val="00BC04AF"/>
    <w:rsid w:val="00BC0A69"/>
    <w:rsid w:val="00BC0E37"/>
    <w:rsid w:val="00BC17F5"/>
    <w:rsid w:val="00BC1CE6"/>
    <w:rsid w:val="00BC264A"/>
    <w:rsid w:val="00BC2FC4"/>
    <w:rsid w:val="00BC33E3"/>
    <w:rsid w:val="00BC3B18"/>
    <w:rsid w:val="00BC5268"/>
    <w:rsid w:val="00BC5641"/>
    <w:rsid w:val="00BC74C7"/>
    <w:rsid w:val="00BC77DE"/>
    <w:rsid w:val="00BD135A"/>
    <w:rsid w:val="00BD26FB"/>
    <w:rsid w:val="00BD2B1D"/>
    <w:rsid w:val="00BD307E"/>
    <w:rsid w:val="00BD3A6A"/>
    <w:rsid w:val="00BD43F2"/>
    <w:rsid w:val="00BD494D"/>
    <w:rsid w:val="00BD49BA"/>
    <w:rsid w:val="00BD4E7F"/>
    <w:rsid w:val="00BD4EE2"/>
    <w:rsid w:val="00BD5372"/>
    <w:rsid w:val="00BD6A98"/>
    <w:rsid w:val="00BD7B72"/>
    <w:rsid w:val="00BE0F47"/>
    <w:rsid w:val="00BE1DB2"/>
    <w:rsid w:val="00BE2576"/>
    <w:rsid w:val="00BE3969"/>
    <w:rsid w:val="00BE4E75"/>
    <w:rsid w:val="00BE5C22"/>
    <w:rsid w:val="00BE5EE8"/>
    <w:rsid w:val="00BF0B59"/>
    <w:rsid w:val="00BF16E5"/>
    <w:rsid w:val="00BF29EB"/>
    <w:rsid w:val="00BF30A8"/>
    <w:rsid w:val="00BF4538"/>
    <w:rsid w:val="00BF7D6C"/>
    <w:rsid w:val="00C00154"/>
    <w:rsid w:val="00C006C8"/>
    <w:rsid w:val="00C00F55"/>
    <w:rsid w:val="00C01271"/>
    <w:rsid w:val="00C01B00"/>
    <w:rsid w:val="00C0211F"/>
    <w:rsid w:val="00C024BD"/>
    <w:rsid w:val="00C025B7"/>
    <w:rsid w:val="00C033B0"/>
    <w:rsid w:val="00C040A1"/>
    <w:rsid w:val="00C0494D"/>
    <w:rsid w:val="00C04AF4"/>
    <w:rsid w:val="00C04B50"/>
    <w:rsid w:val="00C0666D"/>
    <w:rsid w:val="00C1076E"/>
    <w:rsid w:val="00C10794"/>
    <w:rsid w:val="00C10B1B"/>
    <w:rsid w:val="00C11972"/>
    <w:rsid w:val="00C11E18"/>
    <w:rsid w:val="00C138C7"/>
    <w:rsid w:val="00C14955"/>
    <w:rsid w:val="00C1523F"/>
    <w:rsid w:val="00C154D5"/>
    <w:rsid w:val="00C168EC"/>
    <w:rsid w:val="00C17A86"/>
    <w:rsid w:val="00C21450"/>
    <w:rsid w:val="00C21E36"/>
    <w:rsid w:val="00C223B8"/>
    <w:rsid w:val="00C224A7"/>
    <w:rsid w:val="00C22663"/>
    <w:rsid w:val="00C237DF"/>
    <w:rsid w:val="00C23CF6"/>
    <w:rsid w:val="00C24AAA"/>
    <w:rsid w:val="00C253F0"/>
    <w:rsid w:val="00C25F29"/>
    <w:rsid w:val="00C27376"/>
    <w:rsid w:val="00C3126C"/>
    <w:rsid w:val="00C313FF"/>
    <w:rsid w:val="00C330FE"/>
    <w:rsid w:val="00C343C2"/>
    <w:rsid w:val="00C34A00"/>
    <w:rsid w:val="00C34D4E"/>
    <w:rsid w:val="00C353F8"/>
    <w:rsid w:val="00C35C7A"/>
    <w:rsid w:val="00C35E12"/>
    <w:rsid w:val="00C37615"/>
    <w:rsid w:val="00C4243A"/>
    <w:rsid w:val="00C42493"/>
    <w:rsid w:val="00C43115"/>
    <w:rsid w:val="00C46385"/>
    <w:rsid w:val="00C466A6"/>
    <w:rsid w:val="00C475FE"/>
    <w:rsid w:val="00C50D11"/>
    <w:rsid w:val="00C51293"/>
    <w:rsid w:val="00C52E72"/>
    <w:rsid w:val="00C537BE"/>
    <w:rsid w:val="00C53BC1"/>
    <w:rsid w:val="00C53DAA"/>
    <w:rsid w:val="00C552CD"/>
    <w:rsid w:val="00C57D0F"/>
    <w:rsid w:val="00C57E7B"/>
    <w:rsid w:val="00C60088"/>
    <w:rsid w:val="00C60899"/>
    <w:rsid w:val="00C60C47"/>
    <w:rsid w:val="00C6264E"/>
    <w:rsid w:val="00C646AF"/>
    <w:rsid w:val="00C6512F"/>
    <w:rsid w:val="00C65D3D"/>
    <w:rsid w:val="00C65ED9"/>
    <w:rsid w:val="00C6729F"/>
    <w:rsid w:val="00C67371"/>
    <w:rsid w:val="00C67450"/>
    <w:rsid w:val="00C703C9"/>
    <w:rsid w:val="00C7136B"/>
    <w:rsid w:val="00C7184A"/>
    <w:rsid w:val="00C72338"/>
    <w:rsid w:val="00C72AF0"/>
    <w:rsid w:val="00C73CDB"/>
    <w:rsid w:val="00C73FE5"/>
    <w:rsid w:val="00C76061"/>
    <w:rsid w:val="00C7712B"/>
    <w:rsid w:val="00C77E53"/>
    <w:rsid w:val="00C80151"/>
    <w:rsid w:val="00C812D6"/>
    <w:rsid w:val="00C81D76"/>
    <w:rsid w:val="00C828C3"/>
    <w:rsid w:val="00C83BE9"/>
    <w:rsid w:val="00C84AB4"/>
    <w:rsid w:val="00C86722"/>
    <w:rsid w:val="00C9159A"/>
    <w:rsid w:val="00C91B0F"/>
    <w:rsid w:val="00C9226D"/>
    <w:rsid w:val="00C933B1"/>
    <w:rsid w:val="00C951B0"/>
    <w:rsid w:val="00CA0A4D"/>
    <w:rsid w:val="00CA0AE5"/>
    <w:rsid w:val="00CA0E76"/>
    <w:rsid w:val="00CA2259"/>
    <w:rsid w:val="00CA2B4D"/>
    <w:rsid w:val="00CA3B8B"/>
    <w:rsid w:val="00CA4485"/>
    <w:rsid w:val="00CA46C5"/>
    <w:rsid w:val="00CA4F92"/>
    <w:rsid w:val="00CA5125"/>
    <w:rsid w:val="00CA53D5"/>
    <w:rsid w:val="00CA5568"/>
    <w:rsid w:val="00CA5FFF"/>
    <w:rsid w:val="00CA6BAF"/>
    <w:rsid w:val="00CA7290"/>
    <w:rsid w:val="00CB0441"/>
    <w:rsid w:val="00CB1024"/>
    <w:rsid w:val="00CB22BE"/>
    <w:rsid w:val="00CB2A29"/>
    <w:rsid w:val="00CB3D93"/>
    <w:rsid w:val="00CB4360"/>
    <w:rsid w:val="00CB463A"/>
    <w:rsid w:val="00CB5039"/>
    <w:rsid w:val="00CB69FB"/>
    <w:rsid w:val="00CB7B58"/>
    <w:rsid w:val="00CB7BAA"/>
    <w:rsid w:val="00CC029E"/>
    <w:rsid w:val="00CC02AD"/>
    <w:rsid w:val="00CC07D9"/>
    <w:rsid w:val="00CC0AA1"/>
    <w:rsid w:val="00CC101F"/>
    <w:rsid w:val="00CC12DE"/>
    <w:rsid w:val="00CC2B08"/>
    <w:rsid w:val="00CC2CAF"/>
    <w:rsid w:val="00CC2CBC"/>
    <w:rsid w:val="00CC4C31"/>
    <w:rsid w:val="00CC5E92"/>
    <w:rsid w:val="00CC6A9A"/>
    <w:rsid w:val="00CC6FE7"/>
    <w:rsid w:val="00CC79AC"/>
    <w:rsid w:val="00CD0111"/>
    <w:rsid w:val="00CD2FA9"/>
    <w:rsid w:val="00CD35AF"/>
    <w:rsid w:val="00CD360D"/>
    <w:rsid w:val="00CD3C3A"/>
    <w:rsid w:val="00CD4172"/>
    <w:rsid w:val="00CD5B34"/>
    <w:rsid w:val="00CD6041"/>
    <w:rsid w:val="00CD66A0"/>
    <w:rsid w:val="00CD7303"/>
    <w:rsid w:val="00CD74E5"/>
    <w:rsid w:val="00CE0626"/>
    <w:rsid w:val="00CE1DC7"/>
    <w:rsid w:val="00CE3777"/>
    <w:rsid w:val="00CE511C"/>
    <w:rsid w:val="00CE5498"/>
    <w:rsid w:val="00CE689E"/>
    <w:rsid w:val="00CE77B3"/>
    <w:rsid w:val="00CE7C2C"/>
    <w:rsid w:val="00CF3443"/>
    <w:rsid w:val="00CF4982"/>
    <w:rsid w:val="00CF4BDA"/>
    <w:rsid w:val="00CF5A7E"/>
    <w:rsid w:val="00CF676F"/>
    <w:rsid w:val="00CF68A0"/>
    <w:rsid w:val="00CF7F3B"/>
    <w:rsid w:val="00D001CE"/>
    <w:rsid w:val="00D007E1"/>
    <w:rsid w:val="00D00AA3"/>
    <w:rsid w:val="00D02291"/>
    <w:rsid w:val="00D03626"/>
    <w:rsid w:val="00D04DB9"/>
    <w:rsid w:val="00D04DD8"/>
    <w:rsid w:val="00D050EC"/>
    <w:rsid w:val="00D06069"/>
    <w:rsid w:val="00D06766"/>
    <w:rsid w:val="00D07DDD"/>
    <w:rsid w:val="00D10336"/>
    <w:rsid w:val="00D10B2C"/>
    <w:rsid w:val="00D11CB0"/>
    <w:rsid w:val="00D12784"/>
    <w:rsid w:val="00D13757"/>
    <w:rsid w:val="00D13A91"/>
    <w:rsid w:val="00D13F75"/>
    <w:rsid w:val="00D142EC"/>
    <w:rsid w:val="00D155FD"/>
    <w:rsid w:val="00D1620E"/>
    <w:rsid w:val="00D170FB"/>
    <w:rsid w:val="00D20BEB"/>
    <w:rsid w:val="00D20FE7"/>
    <w:rsid w:val="00D22520"/>
    <w:rsid w:val="00D22A55"/>
    <w:rsid w:val="00D24ABC"/>
    <w:rsid w:val="00D25134"/>
    <w:rsid w:val="00D25B36"/>
    <w:rsid w:val="00D26074"/>
    <w:rsid w:val="00D27447"/>
    <w:rsid w:val="00D27976"/>
    <w:rsid w:val="00D3059F"/>
    <w:rsid w:val="00D31086"/>
    <w:rsid w:val="00D3181E"/>
    <w:rsid w:val="00D32524"/>
    <w:rsid w:val="00D329F4"/>
    <w:rsid w:val="00D32CD3"/>
    <w:rsid w:val="00D32F41"/>
    <w:rsid w:val="00D335F4"/>
    <w:rsid w:val="00D34296"/>
    <w:rsid w:val="00D343DE"/>
    <w:rsid w:val="00D34E3C"/>
    <w:rsid w:val="00D35FC0"/>
    <w:rsid w:val="00D36C5F"/>
    <w:rsid w:val="00D37A80"/>
    <w:rsid w:val="00D41BEC"/>
    <w:rsid w:val="00D41E9F"/>
    <w:rsid w:val="00D4209B"/>
    <w:rsid w:val="00D43333"/>
    <w:rsid w:val="00D43530"/>
    <w:rsid w:val="00D4374A"/>
    <w:rsid w:val="00D43BB5"/>
    <w:rsid w:val="00D44062"/>
    <w:rsid w:val="00D45329"/>
    <w:rsid w:val="00D460B8"/>
    <w:rsid w:val="00D47DDA"/>
    <w:rsid w:val="00D50206"/>
    <w:rsid w:val="00D503C6"/>
    <w:rsid w:val="00D50581"/>
    <w:rsid w:val="00D506A3"/>
    <w:rsid w:val="00D510EC"/>
    <w:rsid w:val="00D52252"/>
    <w:rsid w:val="00D530BB"/>
    <w:rsid w:val="00D539F2"/>
    <w:rsid w:val="00D54629"/>
    <w:rsid w:val="00D54A15"/>
    <w:rsid w:val="00D54F6E"/>
    <w:rsid w:val="00D56B27"/>
    <w:rsid w:val="00D574C3"/>
    <w:rsid w:val="00D600C2"/>
    <w:rsid w:val="00D60C95"/>
    <w:rsid w:val="00D61C9F"/>
    <w:rsid w:val="00D63449"/>
    <w:rsid w:val="00D63699"/>
    <w:rsid w:val="00D6416E"/>
    <w:rsid w:val="00D656D3"/>
    <w:rsid w:val="00D65921"/>
    <w:rsid w:val="00D66041"/>
    <w:rsid w:val="00D677C1"/>
    <w:rsid w:val="00D70149"/>
    <w:rsid w:val="00D71DE0"/>
    <w:rsid w:val="00D73810"/>
    <w:rsid w:val="00D73F59"/>
    <w:rsid w:val="00D7553E"/>
    <w:rsid w:val="00D76260"/>
    <w:rsid w:val="00D773DA"/>
    <w:rsid w:val="00D77D09"/>
    <w:rsid w:val="00D8121B"/>
    <w:rsid w:val="00D82BF4"/>
    <w:rsid w:val="00D850B2"/>
    <w:rsid w:val="00D85185"/>
    <w:rsid w:val="00D86F67"/>
    <w:rsid w:val="00D87146"/>
    <w:rsid w:val="00D911B8"/>
    <w:rsid w:val="00D92434"/>
    <w:rsid w:val="00D934B1"/>
    <w:rsid w:val="00D95ADB"/>
    <w:rsid w:val="00D96977"/>
    <w:rsid w:val="00D970DA"/>
    <w:rsid w:val="00D9760C"/>
    <w:rsid w:val="00DA1CCE"/>
    <w:rsid w:val="00DA21A9"/>
    <w:rsid w:val="00DA236F"/>
    <w:rsid w:val="00DA30D2"/>
    <w:rsid w:val="00DA3F80"/>
    <w:rsid w:val="00DA44D5"/>
    <w:rsid w:val="00DA4EA5"/>
    <w:rsid w:val="00DA5388"/>
    <w:rsid w:val="00DA6788"/>
    <w:rsid w:val="00DB0015"/>
    <w:rsid w:val="00DB0FA8"/>
    <w:rsid w:val="00DB1472"/>
    <w:rsid w:val="00DB15C8"/>
    <w:rsid w:val="00DB3120"/>
    <w:rsid w:val="00DB4C14"/>
    <w:rsid w:val="00DB4C94"/>
    <w:rsid w:val="00DB6689"/>
    <w:rsid w:val="00DB6F9F"/>
    <w:rsid w:val="00DB7494"/>
    <w:rsid w:val="00DB7552"/>
    <w:rsid w:val="00DC053E"/>
    <w:rsid w:val="00DC26F3"/>
    <w:rsid w:val="00DC2CF5"/>
    <w:rsid w:val="00DC537F"/>
    <w:rsid w:val="00DC55D5"/>
    <w:rsid w:val="00DD0485"/>
    <w:rsid w:val="00DD32E8"/>
    <w:rsid w:val="00DD3301"/>
    <w:rsid w:val="00DD338E"/>
    <w:rsid w:val="00DD3CAF"/>
    <w:rsid w:val="00DD3E3B"/>
    <w:rsid w:val="00DD717C"/>
    <w:rsid w:val="00DD7F0C"/>
    <w:rsid w:val="00DE0639"/>
    <w:rsid w:val="00DE19A2"/>
    <w:rsid w:val="00DE301C"/>
    <w:rsid w:val="00DE4717"/>
    <w:rsid w:val="00DE4AD1"/>
    <w:rsid w:val="00DE50BD"/>
    <w:rsid w:val="00DE6AA7"/>
    <w:rsid w:val="00DE7E79"/>
    <w:rsid w:val="00DF0B9E"/>
    <w:rsid w:val="00DF21DF"/>
    <w:rsid w:val="00DF279E"/>
    <w:rsid w:val="00DF2A7E"/>
    <w:rsid w:val="00DF2C19"/>
    <w:rsid w:val="00DF30FF"/>
    <w:rsid w:val="00DF37B0"/>
    <w:rsid w:val="00DF3F7C"/>
    <w:rsid w:val="00DF4316"/>
    <w:rsid w:val="00DF4919"/>
    <w:rsid w:val="00DF512D"/>
    <w:rsid w:val="00DF538B"/>
    <w:rsid w:val="00E00136"/>
    <w:rsid w:val="00E03295"/>
    <w:rsid w:val="00E04805"/>
    <w:rsid w:val="00E04AD3"/>
    <w:rsid w:val="00E05DFD"/>
    <w:rsid w:val="00E066B9"/>
    <w:rsid w:val="00E06856"/>
    <w:rsid w:val="00E0769D"/>
    <w:rsid w:val="00E07749"/>
    <w:rsid w:val="00E119B6"/>
    <w:rsid w:val="00E11C29"/>
    <w:rsid w:val="00E1316D"/>
    <w:rsid w:val="00E13769"/>
    <w:rsid w:val="00E143F2"/>
    <w:rsid w:val="00E1625D"/>
    <w:rsid w:val="00E16D98"/>
    <w:rsid w:val="00E175C3"/>
    <w:rsid w:val="00E20DCC"/>
    <w:rsid w:val="00E213E8"/>
    <w:rsid w:val="00E216FB"/>
    <w:rsid w:val="00E235BD"/>
    <w:rsid w:val="00E24DFF"/>
    <w:rsid w:val="00E2510E"/>
    <w:rsid w:val="00E255D5"/>
    <w:rsid w:val="00E25B47"/>
    <w:rsid w:val="00E25D1E"/>
    <w:rsid w:val="00E30055"/>
    <w:rsid w:val="00E315D0"/>
    <w:rsid w:val="00E32571"/>
    <w:rsid w:val="00E32D0B"/>
    <w:rsid w:val="00E33DB4"/>
    <w:rsid w:val="00E34C2A"/>
    <w:rsid w:val="00E35524"/>
    <w:rsid w:val="00E3572B"/>
    <w:rsid w:val="00E3622A"/>
    <w:rsid w:val="00E3672E"/>
    <w:rsid w:val="00E41028"/>
    <w:rsid w:val="00E410C9"/>
    <w:rsid w:val="00E41A5A"/>
    <w:rsid w:val="00E42FB1"/>
    <w:rsid w:val="00E4335B"/>
    <w:rsid w:val="00E43FA9"/>
    <w:rsid w:val="00E44103"/>
    <w:rsid w:val="00E442F2"/>
    <w:rsid w:val="00E45542"/>
    <w:rsid w:val="00E458E3"/>
    <w:rsid w:val="00E462A9"/>
    <w:rsid w:val="00E46C8E"/>
    <w:rsid w:val="00E50998"/>
    <w:rsid w:val="00E50DCC"/>
    <w:rsid w:val="00E5121F"/>
    <w:rsid w:val="00E520B3"/>
    <w:rsid w:val="00E55028"/>
    <w:rsid w:val="00E55636"/>
    <w:rsid w:val="00E5599F"/>
    <w:rsid w:val="00E55CA2"/>
    <w:rsid w:val="00E56B5D"/>
    <w:rsid w:val="00E57776"/>
    <w:rsid w:val="00E666C2"/>
    <w:rsid w:val="00E706B8"/>
    <w:rsid w:val="00E71C39"/>
    <w:rsid w:val="00E75D62"/>
    <w:rsid w:val="00E75EE3"/>
    <w:rsid w:val="00E80923"/>
    <w:rsid w:val="00E80ACD"/>
    <w:rsid w:val="00E80B34"/>
    <w:rsid w:val="00E80ED5"/>
    <w:rsid w:val="00E8209F"/>
    <w:rsid w:val="00E82CCD"/>
    <w:rsid w:val="00E8337E"/>
    <w:rsid w:val="00E834CC"/>
    <w:rsid w:val="00E83515"/>
    <w:rsid w:val="00E8370F"/>
    <w:rsid w:val="00E84109"/>
    <w:rsid w:val="00E84AEE"/>
    <w:rsid w:val="00E85663"/>
    <w:rsid w:val="00E86E60"/>
    <w:rsid w:val="00E875BB"/>
    <w:rsid w:val="00E876D3"/>
    <w:rsid w:val="00E901B5"/>
    <w:rsid w:val="00E908AA"/>
    <w:rsid w:val="00E9336B"/>
    <w:rsid w:val="00E93699"/>
    <w:rsid w:val="00E97AB2"/>
    <w:rsid w:val="00EA0081"/>
    <w:rsid w:val="00EA0DD2"/>
    <w:rsid w:val="00EA2605"/>
    <w:rsid w:val="00EA5C72"/>
    <w:rsid w:val="00EA6E98"/>
    <w:rsid w:val="00EA7B71"/>
    <w:rsid w:val="00EA7C00"/>
    <w:rsid w:val="00EB3346"/>
    <w:rsid w:val="00EB3B4B"/>
    <w:rsid w:val="00EB56A7"/>
    <w:rsid w:val="00EB5F68"/>
    <w:rsid w:val="00EB6AF4"/>
    <w:rsid w:val="00EB7B74"/>
    <w:rsid w:val="00EB7FAA"/>
    <w:rsid w:val="00EC0ED2"/>
    <w:rsid w:val="00EC1157"/>
    <w:rsid w:val="00EC1269"/>
    <w:rsid w:val="00EC12B3"/>
    <w:rsid w:val="00EC2616"/>
    <w:rsid w:val="00EC5266"/>
    <w:rsid w:val="00EC56FA"/>
    <w:rsid w:val="00EC5701"/>
    <w:rsid w:val="00EC5822"/>
    <w:rsid w:val="00EC6ABB"/>
    <w:rsid w:val="00EC6F3C"/>
    <w:rsid w:val="00EC7EA0"/>
    <w:rsid w:val="00ED021B"/>
    <w:rsid w:val="00ED03B6"/>
    <w:rsid w:val="00ED0918"/>
    <w:rsid w:val="00ED1A33"/>
    <w:rsid w:val="00ED1FA4"/>
    <w:rsid w:val="00ED2D1D"/>
    <w:rsid w:val="00ED4380"/>
    <w:rsid w:val="00ED478D"/>
    <w:rsid w:val="00ED48D4"/>
    <w:rsid w:val="00ED588D"/>
    <w:rsid w:val="00ED6A4F"/>
    <w:rsid w:val="00ED763A"/>
    <w:rsid w:val="00EE3227"/>
    <w:rsid w:val="00EE32E1"/>
    <w:rsid w:val="00EE591F"/>
    <w:rsid w:val="00EE5D5F"/>
    <w:rsid w:val="00EE682A"/>
    <w:rsid w:val="00EF0439"/>
    <w:rsid w:val="00EF10F2"/>
    <w:rsid w:val="00EF2A23"/>
    <w:rsid w:val="00EF2ABF"/>
    <w:rsid w:val="00EF377E"/>
    <w:rsid w:val="00EF4969"/>
    <w:rsid w:val="00EF74C0"/>
    <w:rsid w:val="00F00E99"/>
    <w:rsid w:val="00F016DA"/>
    <w:rsid w:val="00F05399"/>
    <w:rsid w:val="00F059BD"/>
    <w:rsid w:val="00F05C13"/>
    <w:rsid w:val="00F0604A"/>
    <w:rsid w:val="00F069F7"/>
    <w:rsid w:val="00F076E9"/>
    <w:rsid w:val="00F14251"/>
    <w:rsid w:val="00F152B0"/>
    <w:rsid w:val="00F16AAE"/>
    <w:rsid w:val="00F16B06"/>
    <w:rsid w:val="00F17B86"/>
    <w:rsid w:val="00F2004D"/>
    <w:rsid w:val="00F20CBD"/>
    <w:rsid w:val="00F21FCF"/>
    <w:rsid w:val="00F2276F"/>
    <w:rsid w:val="00F24E52"/>
    <w:rsid w:val="00F256F6"/>
    <w:rsid w:val="00F257DB"/>
    <w:rsid w:val="00F27029"/>
    <w:rsid w:val="00F275A5"/>
    <w:rsid w:val="00F300D2"/>
    <w:rsid w:val="00F30692"/>
    <w:rsid w:val="00F32213"/>
    <w:rsid w:val="00F351B9"/>
    <w:rsid w:val="00F35836"/>
    <w:rsid w:val="00F36FCB"/>
    <w:rsid w:val="00F372CA"/>
    <w:rsid w:val="00F37BDB"/>
    <w:rsid w:val="00F4157B"/>
    <w:rsid w:val="00F424E9"/>
    <w:rsid w:val="00F43637"/>
    <w:rsid w:val="00F44E5A"/>
    <w:rsid w:val="00F458E1"/>
    <w:rsid w:val="00F46D27"/>
    <w:rsid w:val="00F473CC"/>
    <w:rsid w:val="00F47A68"/>
    <w:rsid w:val="00F47E25"/>
    <w:rsid w:val="00F47F33"/>
    <w:rsid w:val="00F51196"/>
    <w:rsid w:val="00F51BAB"/>
    <w:rsid w:val="00F52AE4"/>
    <w:rsid w:val="00F52C83"/>
    <w:rsid w:val="00F52E71"/>
    <w:rsid w:val="00F54143"/>
    <w:rsid w:val="00F54294"/>
    <w:rsid w:val="00F55444"/>
    <w:rsid w:val="00F560E7"/>
    <w:rsid w:val="00F57BA2"/>
    <w:rsid w:val="00F57C4C"/>
    <w:rsid w:val="00F57CBF"/>
    <w:rsid w:val="00F57E40"/>
    <w:rsid w:val="00F615FE"/>
    <w:rsid w:val="00F619E1"/>
    <w:rsid w:val="00F62B3E"/>
    <w:rsid w:val="00F63075"/>
    <w:rsid w:val="00F638DB"/>
    <w:rsid w:val="00F64CAF"/>
    <w:rsid w:val="00F64CEF"/>
    <w:rsid w:val="00F65B44"/>
    <w:rsid w:val="00F66357"/>
    <w:rsid w:val="00F67A9F"/>
    <w:rsid w:val="00F70E8B"/>
    <w:rsid w:val="00F71948"/>
    <w:rsid w:val="00F72898"/>
    <w:rsid w:val="00F72960"/>
    <w:rsid w:val="00F73CF9"/>
    <w:rsid w:val="00F76542"/>
    <w:rsid w:val="00F76CB3"/>
    <w:rsid w:val="00F77269"/>
    <w:rsid w:val="00F77906"/>
    <w:rsid w:val="00F77F51"/>
    <w:rsid w:val="00F80325"/>
    <w:rsid w:val="00F8172A"/>
    <w:rsid w:val="00F81DC3"/>
    <w:rsid w:val="00F81F91"/>
    <w:rsid w:val="00F8287C"/>
    <w:rsid w:val="00F82C52"/>
    <w:rsid w:val="00F82F30"/>
    <w:rsid w:val="00F8322F"/>
    <w:rsid w:val="00F8486B"/>
    <w:rsid w:val="00F90303"/>
    <w:rsid w:val="00F91B5C"/>
    <w:rsid w:val="00F91C49"/>
    <w:rsid w:val="00F91EBA"/>
    <w:rsid w:val="00F9348B"/>
    <w:rsid w:val="00F94D87"/>
    <w:rsid w:val="00F9569C"/>
    <w:rsid w:val="00F95786"/>
    <w:rsid w:val="00F970ED"/>
    <w:rsid w:val="00F975EC"/>
    <w:rsid w:val="00F97F5C"/>
    <w:rsid w:val="00FA0458"/>
    <w:rsid w:val="00FA0D82"/>
    <w:rsid w:val="00FA293D"/>
    <w:rsid w:val="00FA3257"/>
    <w:rsid w:val="00FA3743"/>
    <w:rsid w:val="00FA399E"/>
    <w:rsid w:val="00FA4154"/>
    <w:rsid w:val="00FA42DC"/>
    <w:rsid w:val="00FA49F3"/>
    <w:rsid w:val="00FA4C00"/>
    <w:rsid w:val="00FA5514"/>
    <w:rsid w:val="00FA5927"/>
    <w:rsid w:val="00FA66AB"/>
    <w:rsid w:val="00FB03ED"/>
    <w:rsid w:val="00FB09BC"/>
    <w:rsid w:val="00FB15DE"/>
    <w:rsid w:val="00FB1732"/>
    <w:rsid w:val="00FB261A"/>
    <w:rsid w:val="00FB2D64"/>
    <w:rsid w:val="00FB3854"/>
    <w:rsid w:val="00FB3CC4"/>
    <w:rsid w:val="00FB4233"/>
    <w:rsid w:val="00FB5825"/>
    <w:rsid w:val="00FB646A"/>
    <w:rsid w:val="00FB6567"/>
    <w:rsid w:val="00FB6B96"/>
    <w:rsid w:val="00FB6C2C"/>
    <w:rsid w:val="00FB7568"/>
    <w:rsid w:val="00FC2D49"/>
    <w:rsid w:val="00FC4541"/>
    <w:rsid w:val="00FC48D8"/>
    <w:rsid w:val="00FC4FDB"/>
    <w:rsid w:val="00FC59B9"/>
    <w:rsid w:val="00FD0320"/>
    <w:rsid w:val="00FD116A"/>
    <w:rsid w:val="00FD1481"/>
    <w:rsid w:val="00FD28C5"/>
    <w:rsid w:val="00FD292C"/>
    <w:rsid w:val="00FD2DC4"/>
    <w:rsid w:val="00FD4550"/>
    <w:rsid w:val="00FD4F6E"/>
    <w:rsid w:val="00FD51CE"/>
    <w:rsid w:val="00FD5353"/>
    <w:rsid w:val="00FD54D3"/>
    <w:rsid w:val="00FD5698"/>
    <w:rsid w:val="00FD5B88"/>
    <w:rsid w:val="00FD7319"/>
    <w:rsid w:val="00FE02E6"/>
    <w:rsid w:val="00FE082E"/>
    <w:rsid w:val="00FE112E"/>
    <w:rsid w:val="00FE3808"/>
    <w:rsid w:val="00FE39EA"/>
    <w:rsid w:val="00FE7788"/>
    <w:rsid w:val="00FE7CD4"/>
    <w:rsid w:val="00FF1014"/>
    <w:rsid w:val="00FF13EF"/>
    <w:rsid w:val="00FF369D"/>
    <w:rsid w:val="00FF384B"/>
    <w:rsid w:val="00FF478E"/>
    <w:rsid w:val="00FF4F9B"/>
    <w:rsid w:val="00FF5951"/>
    <w:rsid w:val="00FF5A96"/>
    <w:rsid w:val="00FF65EB"/>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DB4"/>
    <w:pPr>
      <w:spacing w:after="100" w:line="400" w:lineRule="exact"/>
      <w:jc w:val="both"/>
    </w:pPr>
    <w:rPr>
      <w:rFonts w:ascii="Century Schoolbook" w:hAnsi="Century Schoolbook"/>
      <w:sz w:val="27"/>
    </w:rPr>
  </w:style>
  <w:style w:type="paragraph" w:styleId="Heading1">
    <w:name w:val="heading 1"/>
    <w:basedOn w:val="Normal"/>
    <w:next w:val="Normal"/>
    <w:qFormat/>
    <w:rsid w:val="00E33DB4"/>
    <w:pPr>
      <w:keepNext/>
      <w:spacing w:before="140" w:line="240" w:lineRule="atLeast"/>
      <w:jc w:val="center"/>
      <w:outlineLvl w:val="0"/>
    </w:pPr>
    <w:rPr>
      <w:b/>
      <w:smallCaps/>
    </w:rPr>
  </w:style>
  <w:style w:type="paragraph" w:styleId="Heading2">
    <w:name w:val="heading 2"/>
    <w:basedOn w:val="Normal"/>
    <w:next w:val="Normal"/>
    <w:qFormat/>
    <w:rsid w:val="00E33DB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33DB4"/>
    <w:pPr>
      <w:keepNext/>
      <w:tabs>
        <w:tab w:val="left" w:pos="1584"/>
      </w:tabs>
      <w:spacing w:before="140" w:line="240" w:lineRule="atLeast"/>
      <w:ind w:left="1584" w:hanging="432"/>
      <w:jc w:val="left"/>
      <w:outlineLvl w:val="2"/>
    </w:pPr>
    <w:rPr>
      <w:i/>
    </w:rPr>
  </w:style>
  <w:style w:type="paragraph" w:styleId="Heading4">
    <w:name w:val="heading 4"/>
    <w:basedOn w:val="Normal"/>
    <w:rsid w:val="00E33DB4"/>
    <w:pPr>
      <w:keepNext/>
      <w:tabs>
        <w:tab w:val="left" w:pos="2016"/>
      </w:tabs>
      <w:spacing w:before="140" w:line="240" w:lineRule="atLeast"/>
      <w:ind w:left="2016" w:hanging="432"/>
      <w:jc w:val="left"/>
      <w:outlineLvl w:val="3"/>
    </w:pPr>
    <w:rPr>
      <w:i/>
    </w:rPr>
  </w:style>
  <w:style w:type="paragraph" w:styleId="Heading5">
    <w:name w:val="heading 5"/>
    <w:basedOn w:val="Normal"/>
    <w:rsid w:val="00E33DB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33DB4"/>
    <w:pPr>
      <w:ind w:left="720"/>
    </w:pPr>
  </w:style>
  <w:style w:type="paragraph" w:styleId="Footer">
    <w:name w:val="footer"/>
    <w:basedOn w:val="Normal"/>
    <w:link w:val="FooterChar"/>
    <w:uiPriority w:val="99"/>
    <w:qFormat/>
    <w:rsid w:val="00E33DB4"/>
    <w:pPr>
      <w:tabs>
        <w:tab w:val="center" w:pos="3960"/>
        <w:tab w:val="right" w:pos="10080"/>
      </w:tabs>
      <w:spacing w:after="0" w:line="240" w:lineRule="auto"/>
      <w:jc w:val="center"/>
    </w:pPr>
    <w:rPr>
      <w:sz w:val="22"/>
    </w:rPr>
  </w:style>
  <w:style w:type="paragraph" w:styleId="Header">
    <w:name w:val="header"/>
    <w:basedOn w:val="Normal"/>
    <w:qFormat/>
    <w:rsid w:val="00E33DB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33DB4"/>
    <w:rPr>
      <w:rFonts w:ascii="Century Schoolbook" w:hAnsi="Century Schoolbook"/>
      <w:b/>
      <w:i w:val="0"/>
      <w:position w:val="4"/>
      <w:sz w:val="27"/>
      <w:vertAlign w:val="superscript"/>
    </w:rPr>
  </w:style>
  <w:style w:type="paragraph" w:styleId="FootnoteText">
    <w:name w:val="footnote text"/>
    <w:basedOn w:val="Normal"/>
    <w:link w:val="FootnoteTextChar"/>
    <w:rsid w:val="00E33DB4"/>
    <w:pPr>
      <w:spacing w:line="300" w:lineRule="exact"/>
    </w:pPr>
  </w:style>
  <w:style w:type="paragraph" w:customStyle="1" w:styleId="Title1">
    <w:name w:val="Title1"/>
    <w:basedOn w:val="Normal"/>
    <w:rsid w:val="00E33DB4"/>
    <w:pPr>
      <w:tabs>
        <w:tab w:val="left" w:pos="5760"/>
        <w:tab w:val="left" w:pos="6480"/>
      </w:tabs>
      <w:spacing w:line="240" w:lineRule="atLeast"/>
    </w:pPr>
  </w:style>
  <w:style w:type="paragraph" w:customStyle="1" w:styleId="Recommend">
    <w:name w:val="Recommend"/>
    <w:basedOn w:val="Normal"/>
    <w:rsid w:val="00E33DB4"/>
  </w:style>
  <w:style w:type="paragraph" w:customStyle="1" w:styleId="Summary">
    <w:name w:val="Summary"/>
    <w:basedOn w:val="Normal"/>
    <w:rsid w:val="00E33DB4"/>
    <w:pPr>
      <w:ind w:left="2160" w:hanging="2160"/>
    </w:pPr>
  </w:style>
  <w:style w:type="paragraph" w:customStyle="1" w:styleId="Text">
    <w:name w:val="Text"/>
    <w:basedOn w:val="Normal"/>
    <w:rsid w:val="00E33DB4"/>
    <w:pPr>
      <w:tabs>
        <w:tab w:val="left" w:pos="720"/>
        <w:tab w:val="left" w:pos="1440"/>
        <w:tab w:val="left" w:pos="2160"/>
        <w:tab w:val="center" w:pos="4320"/>
      </w:tabs>
      <w:spacing w:line="480" w:lineRule="atLeast"/>
      <w:ind w:firstLine="540"/>
    </w:pPr>
  </w:style>
  <w:style w:type="paragraph" w:styleId="Date">
    <w:name w:val="Date"/>
    <w:basedOn w:val="Normal"/>
    <w:semiHidden/>
    <w:rsid w:val="00E33DB4"/>
    <w:pPr>
      <w:jc w:val="right"/>
    </w:pPr>
  </w:style>
  <w:style w:type="character" w:styleId="PageNumber">
    <w:name w:val="page number"/>
    <w:basedOn w:val="DefaultParagraphFont"/>
    <w:semiHidden/>
    <w:rsid w:val="00E33DB4"/>
  </w:style>
  <w:style w:type="paragraph" w:customStyle="1" w:styleId="subject">
    <w:name w:val="subject"/>
    <w:basedOn w:val="Normal"/>
    <w:rsid w:val="00E33DB4"/>
    <w:pPr>
      <w:tabs>
        <w:tab w:val="left" w:pos="1008"/>
      </w:tabs>
      <w:ind w:left="990" w:hanging="990"/>
    </w:pPr>
    <w:rPr>
      <w:b/>
    </w:rPr>
  </w:style>
  <w:style w:type="paragraph" w:customStyle="1" w:styleId="Titles">
    <w:name w:val="Titles"/>
    <w:basedOn w:val="Normal"/>
    <w:rsid w:val="00E33DB4"/>
    <w:pPr>
      <w:tabs>
        <w:tab w:val="left" w:pos="2160"/>
      </w:tabs>
      <w:ind w:left="2160" w:hanging="2160"/>
    </w:pPr>
    <w:rPr>
      <w:b/>
    </w:rPr>
  </w:style>
  <w:style w:type="paragraph" w:styleId="TOAHeading">
    <w:name w:val="toa heading"/>
    <w:basedOn w:val="Normal"/>
    <w:next w:val="Normal"/>
    <w:semiHidden/>
    <w:rsid w:val="00E33DB4"/>
    <w:pPr>
      <w:spacing w:before="120"/>
    </w:pPr>
    <w:rPr>
      <w:b/>
    </w:rPr>
  </w:style>
  <w:style w:type="paragraph" w:styleId="TOC1">
    <w:name w:val="toc 1"/>
    <w:basedOn w:val="Normal"/>
    <w:next w:val="Normal"/>
    <w:autoRedefine/>
    <w:semiHidden/>
    <w:rsid w:val="00E33DB4"/>
  </w:style>
  <w:style w:type="paragraph" w:styleId="TOC2">
    <w:name w:val="toc 2"/>
    <w:basedOn w:val="Normal"/>
    <w:next w:val="Normal"/>
    <w:autoRedefine/>
    <w:semiHidden/>
    <w:rsid w:val="00E33DB4"/>
    <w:pPr>
      <w:ind w:left="259"/>
    </w:pPr>
  </w:style>
  <w:style w:type="paragraph" w:styleId="TOC3">
    <w:name w:val="toc 3"/>
    <w:basedOn w:val="Normal"/>
    <w:next w:val="Normal"/>
    <w:autoRedefine/>
    <w:semiHidden/>
    <w:rsid w:val="00E33DB4"/>
    <w:pPr>
      <w:ind w:left="520"/>
    </w:pPr>
  </w:style>
  <w:style w:type="paragraph" w:styleId="TOC4">
    <w:name w:val="toc 4"/>
    <w:basedOn w:val="Normal"/>
    <w:next w:val="Normal"/>
    <w:autoRedefine/>
    <w:semiHidden/>
    <w:rsid w:val="00E33DB4"/>
    <w:pPr>
      <w:ind w:left="780"/>
    </w:pPr>
  </w:style>
  <w:style w:type="paragraph" w:styleId="TOC5">
    <w:name w:val="toc 5"/>
    <w:basedOn w:val="Normal"/>
    <w:next w:val="Normal"/>
    <w:autoRedefine/>
    <w:semiHidden/>
    <w:rsid w:val="00E33DB4"/>
    <w:pPr>
      <w:ind w:left="1040"/>
    </w:pPr>
  </w:style>
  <w:style w:type="paragraph" w:styleId="TOC6">
    <w:name w:val="toc 6"/>
    <w:basedOn w:val="Normal"/>
    <w:next w:val="Normal"/>
    <w:autoRedefine/>
    <w:semiHidden/>
    <w:rsid w:val="00E33DB4"/>
    <w:pPr>
      <w:ind w:left="1300"/>
    </w:pPr>
  </w:style>
  <w:style w:type="paragraph" w:styleId="TOC7">
    <w:name w:val="toc 7"/>
    <w:basedOn w:val="Normal"/>
    <w:next w:val="Normal"/>
    <w:autoRedefine/>
    <w:semiHidden/>
    <w:rsid w:val="00E33DB4"/>
    <w:pPr>
      <w:ind w:left="1560"/>
    </w:pPr>
  </w:style>
  <w:style w:type="paragraph" w:styleId="TOC8">
    <w:name w:val="toc 8"/>
    <w:basedOn w:val="Normal"/>
    <w:next w:val="Normal"/>
    <w:autoRedefine/>
    <w:semiHidden/>
    <w:rsid w:val="00E33DB4"/>
    <w:pPr>
      <w:ind w:left="1820"/>
    </w:pPr>
  </w:style>
  <w:style w:type="paragraph" w:styleId="TOC9">
    <w:name w:val="toc 9"/>
    <w:basedOn w:val="Normal"/>
    <w:next w:val="Normal"/>
    <w:autoRedefine/>
    <w:semiHidden/>
    <w:rsid w:val="00E33DB4"/>
    <w:pPr>
      <w:ind w:left="2080"/>
    </w:pPr>
  </w:style>
  <w:style w:type="paragraph" w:customStyle="1" w:styleId="Contents">
    <w:name w:val="Contents"/>
    <w:basedOn w:val="Normal"/>
    <w:rsid w:val="00E33DB4"/>
    <w:pPr>
      <w:jc w:val="center"/>
    </w:pPr>
    <w:rPr>
      <w:b/>
      <w:spacing w:val="100"/>
    </w:rPr>
  </w:style>
  <w:style w:type="paragraph" w:styleId="BalloonText">
    <w:name w:val="Balloon Text"/>
    <w:basedOn w:val="Normal"/>
    <w:link w:val="BalloonTextChar"/>
    <w:uiPriority w:val="99"/>
    <w:semiHidden/>
    <w:unhideWhenUsed/>
    <w:rsid w:val="000F5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F0"/>
    <w:rPr>
      <w:rFonts w:ascii="Segoe UI" w:hAnsi="Segoe UI" w:cs="Segoe UI"/>
      <w:sz w:val="18"/>
      <w:szCs w:val="18"/>
    </w:rPr>
  </w:style>
  <w:style w:type="paragraph" w:styleId="ListParagraph">
    <w:name w:val="List Paragraph"/>
    <w:basedOn w:val="Normal"/>
    <w:uiPriority w:val="34"/>
    <w:qFormat/>
    <w:rsid w:val="00686B9A"/>
    <w:pPr>
      <w:ind w:left="720"/>
      <w:contextualSpacing/>
    </w:pPr>
  </w:style>
  <w:style w:type="character" w:styleId="CommentReference">
    <w:name w:val="annotation reference"/>
    <w:basedOn w:val="DefaultParagraphFont"/>
    <w:uiPriority w:val="99"/>
    <w:semiHidden/>
    <w:unhideWhenUsed/>
    <w:rsid w:val="00294FA3"/>
    <w:rPr>
      <w:sz w:val="16"/>
      <w:szCs w:val="16"/>
    </w:rPr>
  </w:style>
  <w:style w:type="paragraph" w:styleId="CommentText">
    <w:name w:val="annotation text"/>
    <w:basedOn w:val="Normal"/>
    <w:link w:val="CommentTextChar"/>
    <w:uiPriority w:val="99"/>
    <w:semiHidden/>
    <w:unhideWhenUsed/>
    <w:rsid w:val="00294FA3"/>
    <w:rPr>
      <w:sz w:val="20"/>
    </w:rPr>
  </w:style>
  <w:style w:type="character" w:customStyle="1" w:styleId="CommentTextChar">
    <w:name w:val="Comment Text Char"/>
    <w:basedOn w:val="DefaultParagraphFont"/>
    <w:link w:val="CommentText"/>
    <w:uiPriority w:val="99"/>
    <w:semiHidden/>
    <w:rsid w:val="00294FA3"/>
  </w:style>
  <w:style w:type="paragraph" w:styleId="CommentSubject">
    <w:name w:val="annotation subject"/>
    <w:basedOn w:val="CommentText"/>
    <w:next w:val="CommentText"/>
    <w:link w:val="CommentSubjectChar"/>
    <w:uiPriority w:val="99"/>
    <w:semiHidden/>
    <w:unhideWhenUsed/>
    <w:rsid w:val="00294FA3"/>
    <w:rPr>
      <w:b/>
      <w:bCs/>
    </w:rPr>
  </w:style>
  <w:style w:type="character" w:customStyle="1" w:styleId="CommentSubjectChar">
    <w:name w:val="Comment Subject Char"/>
    <w:basedOn w:val="CommentTextChar"/>
    <w:link w:val="CommentSubject"/>
    <w:uiPriority w:val="99"/>
    <w:semiHidden/>
    <w:rsid w:val="00294FA3"/>
    <w:rPr>
      <w:b/>
      <w:bCs/>
    </w:rPr>
  </w:style>
  <w:style w:type="paragraph" w:styleId="z-TopofForm">
    <w:name w:val="HTML Top of Form"/>
    <w:basedOn w:val="Normal"/>
    <w:next w:val="Normal"/>
    <w:link w:val="z-TopofFormChar"/>
    <w:hidden/>
    <w:uiPriority w:val="99"/>
    <w:semiHidden/>
    <w:unhideWhenUsed/>
    <w:rsid w:val="00B332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327E"/>
    <w:rPr>
      <w:rFonts w:ascii="Arial" w:hAnsi="Arial" w:cs="Arial"/>
      <w:vanish/>
      <w:sz w:val="16"/>
      <w:szCs w:val="16"/>
    </w:rPr>
  </w:style>
  <w:style w:type="paragraph" w:styleId="PlainText">
    <w:name w:val="Plain Text"/>
    <w:basedOn w:val="Normal"/>
    <w:link w:val="PlainTextChar"/>
    <w:uiPriority w:val="99"/>
    <w:unhideWhenUsed/>
    <w:rsid w:val="00732E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32E1A"/>
    <w:rPr>
      <w:rFonts w:ascii="Calibri" w:eastAsiaTheme="minorHAnsi" w:hAnsi="Calibri" w:cstheme="minorBidi"/>
      <w:sz w:val="22"/>
      <w:szCs w:val="21"/>
    </w:rPr>
  </w:style>
  <w:style w:type="paragraph" w:styleId="Revision">
    <w:name w:val="Revision"/>
    <w:hidden/>
    <w:uiPriority w:val="99"/>
    <w:semiHidden/>
    <w:rsid w:val="00814D3E"/>
    <w:rPr>
      <w:sz w:val="26"/>
    </w:rPr>
  </w:style>
  <w:style w:type="character" w:customStyle="1" w:styleId="FootnoteTextChar">
    <w:name w:val="Footnote Text Char"/>
    <w:basedOn w:val="DefaultParagraphFont"/>
    <w:link w:val="FootnoteText"/>
    <w:rsid w:val="00C4243A"/>
    <w:rPr>
      <w:rFonts w:ascii="Century Schoolbook" w:hAnsi="Century Schoolbook"/>
      <w:sz w:val="27"/>
    </w:rPr>
  </w:style>
  <w:style w:type="paragraph" w:styleId="BodyText">
    <w:name w:val="Body Text"/>
    <w:basedOn w:val="Normal"/>
    <w:link w:val="BodyTextChar"/>
    <w:qFormat/>
    <w:rsid w:val="00E33DB4"/>
  </w:style>
  <w:style w:type="character" w:customStyle="1" w:styleId="BodyTextChar">
    <w:name w:val="Body Text Char"/>
    <w:basedOn w:val="DefaultParagraphFont"/>
    <w:link w:val="BodyText"/>
    <w:rsid w:val="00E33DB4"/>
    <w:rPr>
      <w:rFonts w:ascii="Century Schoolbook" w:hAnsi="Century Schoolbook"/>
      <w:sz w:val="27"/>
    </w:rPr>
  </w:style>
  <w:style w:type="character" w:styleId="Strong">
    <w:name w:val="Strong"/>
    <w:basedOn w:val="DefaultParagraphFont"/>
    <w:uiPriority w:val="22"/>
    <w:qFormat/>
    <w:rsid w:val="00C7184A"/>
    <w:rPr>
      <w:b/>
      <w:bCs/>
    </w:rPr>
  </w:style>
  <w:style w:type="character" w:customStyle="1" w:styleId="FooterChar">
    <w:name w:val="Footer Char"/>
    <w:basedOn w:val="DefaultParagraphFont"/>
    <w:link w:val="Footer"/>
    <w:uiPriority w:val="99"/>
    <w:rsid w:val="00884540"/>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2307">
      <w:bodyDiv w:val="1"/>
      <w:marLeft w:val="0"/>
      <w:marRight w:val="0"/>
      <w:marTop w:val="0"/>
      <w:marBottom w:val="0"/>
      <w:divBdr>
        <w:top w:val="none" w:sz="0" w:space="0" w:color="auto"/>
        <w:left w:val="none" w:sz="0" w:space="0" w:color="auto"/>
        <w:bottom w:val="none" w:sz="0" w:space="0" w:color="auto"/>
        <w:right w:val="none" w:sz="0" w:space="0" w:color="auto"/>
      </w:divBdr>
    </w:div>
    <w:div w:id="224949758">
      <w:bodyDiv w:val="1"/>
      <w:marLeft w:val="0"/>
      <w:marRight w:val="0"/>
      <w:marTop w:val="0"/>
      <w:marBottom w:val="0"/>
      <w:divBdr>
        <w:top w:val="none" w:sz="0" w:space="0" w:color="auto"/>
        <w:left w:val="none" w:sz="0" w:space="0" w:color="auto"/>
        <w:bottom w:val="none" w:sz="0" w:space="0" w:color="auto"/>
        <w:right w:val="none" w:sz="0" w:space="0" w:color="auto"/>
      </w:divBdr>
    </w:div>
    <w:div w:id="345713387">
      <w:bodyDiv w:val="1"/>
      <w:marLeft w:val="0"/>
      <w:marRight w:val="0"/>
      <w:marTop w:val="0"/>
      <w:marBottom w:val="0"/>
      <w:divBdr>
        <w:top w:val="none" w:sz="0" w:space="0" w:color="auto"/>
        <w:left w:val="none" w:sz="0" w:space="0" w:color="auto"/>
        <w:bottom w:val="none" w:sz="0" w:space="0" w:color="auto"/>
        <w:right w:val="none" w:sz="0" w:space="0" w:color="auto"/>
      </w:divBdr>
    </w:div>
    <w:div w:id="355742098">
      <w:bodyDiv w:val="1"/>
      <w:marLeft w:val="0"/>
      <w:marRight w:val="0"/>
      <w:marTop w:val="0"/>
      <w:marBottom w:val="0"/>
      <w:divBdr>
        <w:top w:val="none" w:sz="0" w:space="0" w:color="auto"/>
        <w:left w:val="none" w:sz="0" w:space="0" w:color="auto"/>
        <w:bottom w:val="none" w:sz="0" w:space="0" w:color="auto"/>
        <w:right w:val="none" w:sz="0" w:space="0" w:color="auto"/>
      </w:divBdr>
    </w:div>
    <w:div w:id="491680081">
      <w:bodyDiv w:val="1"/>
      <w:marLeft w:val="0"/>
      <w:marRight w:val="0"/>
      <w:marTop w:val="0"/>
      <w:marBottom w:val="0"/>
      <w:divBdr>
        <w:top w:val="none" w:sz="0" w:space="0" w:color="auto"/>
        <w:left w:val="none" w:sz="0" w:space="0" w:color="auto"/>
        <w:bottom w:val="none" w:sz="0" w:space="0" w:color="auto"/>
        <w:right w:val="none" w:sz="0" w:space="0" w:color="auto"/>
      </w:divBdr>
    </w:div>
    <w:div w:id="588854122">
      <w:bodyDiv w:val="1"/>
      <w:marLeft w:val="0"/>
      <w:marRight w:val="0"/>
      <w:marTop w:val="0"/>
      <w:marBottom w:val="0"/>
      <w:divBdr>
        <w:top w:val="none" w:sz="0" w:space="0" w:color="auto"/>
        <w:left w:val="none" w:sz="0" w:space="0" w:color="auto"/>
        <w:bottom w:val="none" w:sz="0" w:space="0" w:color="auto"/>
        <w:right w:val="none" w:sz="0" w:space="0" w:color="auto"/>
      </w:divBdr>
    </w:div>
    <w:div w:id="795829072">
      <w:bodyDiv w:val="1"/>
      <w:marLeft w:val="0"/>
      <w:marRight w:val="0"/>
      <w:marTop w:val="0"/>
      <w:marBottom w:val="0"/>
      <w:divBdr>
        <w:top w:val="none" w:sz="0" w:space="0" w:color="auto"/>
        <w:left w:val="none" w:sz="0" w:space="0" w:color="auto"/>
        <w:bottom w:val="none" w:sz="0" w:space="0" w:color="auto"/>
        <w:right w:val="none" w:sz="0" w:space="0" w:color="auto"/>
      </w:divBdr>
    </w:div>
    <w:div w:id="946041356">
      <w:bodyDiv w:val="1"/>
      <w:marLeft w:val="0"/>
      <w:marRight w:val="0"/>
      <w:marTop w:val="0"/>
      <w:marBottom w:val="0"/>
      <w:divBdr>
        <w:top w:val="none" w:sz="0" w:space="0" w:color="auto"/>
        <w:left w:val="none" w:sz="0" w:space="0" w:color="auto"/>
        <w:bottom w:val="none" w:sz="0" w:space="0" w:color="auto"/>
        <w:right w:val="none" w:sz="0" w:space="0" w:color="auto"/>
      </w:divBdr>
      <w:divsChild>
        <w:div w:id="2144080639">
          <w:marLeft w:val="0"/>
          <w:marRight w:val="0"/>
          <w:marTop w:val="0"/>
          <w:marBottom w:val="0"/>
          <w:divBdr>
            <w:top w:val="none" w:sz="0" w:space="0" w:color="auto"/>
            <w:left w:val="none" w:sz="0" w:space="0" w:color="auto"/>
            <w:bottom w:val="none" w:sz="0" w:space="0" w:color="auto"/>
            <w:right w:val="none" w:sz="0" w:space="0" w:color="auto"/>
          </w:divBdr>
          <w:divsChild>
            <w:div w:id="591471885">
              <w:marLeft w:val="169"/>
              <w:marRight w:val="169"/>
              <w:marTop w:val="56"/>
              <w:marBottom w:val="113"/>
              <w:divBdr>
                <w:top w:val="single" w:sz="6" w:space="6" w:color="CCCCCC"/>
                <w:left w:val="single" w:sz="6" w:space="6" w:color="CCCCCC"/>
                <w:bottom w:val="single" w:sz="6" w:space="6" w:color="CCCCCC"/>
                <w:right w:val="single" w:sz="6" w:space="6" w:color="CCCCCC"/>
              </w:divBdr>
            </w:div>
          </w:divsChild>
        </w:div>
      </w:divsChild>
    </w:div>
    <w:div w:id="999846288">
      <w:bodyDiv w:val="1"/>
      <w:marLeft w:val="0"/>
      <w:marRight w:val="0"/>
      <w:marTop w:val="0"/>
      <w:marBottom w:val="0"/>
      <w:divBdr>
        <w:top w:val="none" w:sz="0" w:space="0" w:color="auto"/>
        <w:left w:val="none" w:sz="0" w:space="0" w:color="auto"/>
        <w:bottom w:val="none" w:sz="0" w:space="0" w:color="auto"/>
        <w:right w:val="none" w:sz="0" w:space="0" w:color="auto"/>
      </w:divBdr>
    </w:div>
    <w:div w:id="1010571970">
      <w:bodyDiv w:val="1"/>
      <w:marLeft w:val="0"/>
      <w:marRight w:val="0"/>
      <w:marTop w:val="0"/>
      <w:marBottom w:val="0"/>
      <w:divBdr>
        <w:top w:val="none" w:sz="0" w:space="0" w:color="auto"/>
        <w:left w:val="none" w:sz="0" w:space="0" w:color="auto"/>
        <w:bottom w:val="none" w:sz="0" w:space="0" w:color="auto"/>
        <w:right w:val="none" w:sz="0" w:space="0" w:color="auto"/>
      </w:divBdr>
    </w:div>
    <w:div w:id="1019430825">
      <w:bodyDiv w:val="1"/>
      <w:marLeft w:val="0"/>
      <w:marRight w:val="0"/>
      <w:marTop w:val="0"/>
      <w:marBottom w:val="0"/>
      <w:divBdr>
        <w:top w:val="none" w:sz="0" w:space="0" w:color="auto"/>
        <w:left w:val="none" w:sz="0" w:space="0" w:color="auto"/>
        <w:bottom w:val="none" w:sz="0" w:space="0" w:color="auto"/>
        <w:right w:val="none" w:sz="0" w:space="0" w:color="auto"/>
      </w:divBdr>
    </w:div>
    <w:div w:id="1207572078">
      <w:bodyDiv w:val="1"/>
      <w:marLeft w:val="0"/>
      <w:marRight w:val="0"/>
      <w:marTop w:val="0"/>
      <w:marBottom w:val="0"/>
      <w:divBdr>
        <w:top w:val="none" w:sz="0" w:space="0" w:color="auto"/>
        <w:left w:val="none" w:sz="0" w:space="0" w:color="auto"/>
        <w:bottom w:val="none" w:sz="0" w:space="0" w:color="auto"/>
        <w:right w:val="none" w:sz="0" w:space="0" w:color="auto"/>
      </w:divBdr>
    </w:div>
    <w:div w:id="1292173397">
      <w:bodyDiv w:val="1"/>
      <w:marLeft w:val="0"/>
      <w:marRight w:val="0"/>
      <w:marTop w:val="0"/>
      <w:marBottom w:val="0"/>
      <w:divBdr>
        <w:top w:val="none" w:sz="0" w:space="0" w:color="auto"/>
        <w:left w:val="none" w:sz="0" w:space="0" w:color="auto"/>
        <w:bottom w:val="none" w:sz="0" w:space="0" w:color="auto"/>
        <w:right w:val="none" w:sz="0" w:space="0" w:color="auto"/>
      </w:divBdr>
    </w:div>
    <w:div w:id="1373919379">
      <w:bodyDiv w:val="1"/>
      <w:marLeft w:val="0"/>
      <w:marRight w:val="0"/>
      <w:marTop w:val="0"/>
      <w:marBottom w:val="0"/>
      <w:divBdr>
        <w:top w:val="none" w:sz="0" w:space="0" w:color="auto"/>
        <w:left w:val="none" w:sz="0" w:space="0" w:color="auto"/>
        <w:bottom w:val="none" w:sz="0" w:space="0" w:color="auto"/>
        <w:right w:val="none" w:sz="0" w:space="0" w:color="auto"/>
      </w:divBdr>
    </w:div>
    <w:div w:id="1417481614">
      <w:bodyDiv w:val="1"/>
      <w:marLeft w:val="0"/>
      <w:marRight w:val="0"/>
      <w:marTop w:val="0"/>
      <w:marBottom w:val="0"/>
      <w:divBdr>
        <w:top w:val="none" w:sz="0" w:space="0" w:color="auto"/>
        <w:left w:val="none" w:sz="0" w:space="0" w:color="auto"/>
        <w:bottom w:val="none" w:sz="0" w:space="0" w:color="auto"/>
        <w:right w:val="none" w:sz="0" w:space="0" w:color="auto"/>
      </w:divBdr>
    </w:div>
    <w:div w:id="1493372982">
      <w:bodyDiv w:val="1"/>
      <w:marLeft w:val="0"/>
      <w:marRight w:val="0"/>
      <w:marTop w:val="0"/>
      <w:marBottom w:val="0"/>
      <w:divBdr>
        <w:top w:val="none" w:sz="0" w:space="0" w:color="auto"/>
        <w:left w:val="none" w:sz="0" w:space="0" w:color="auto"/>
        <w:bottom w:val="none" w:sz="0" w:space="0" w:color="auto"/>
        <w:right w:val="none" w:sz="0" w:space="0" w:color="auto"/>
      </w:divBdr>
    </w:div>
    <w:div w:id="1588423243">
      <w:bodyDiv w:val="1"/>
      <w:marLeft w:val="0"/>
      <w:marRight w:val="0"/>
      <w:marTop w:val="0"/>
      <w:marBottom w:val="0"/>
      <w:divBdr>
        <w:top w:val="none" w:sz="0" w:space="0" w:color="auto"/>
        <w:left w:val="none" w:sz="0" w:space="0" w:color="auto"/>
        <w:bottom w:val="none" w:sz="0" w:space="0" w:color="auto"/>
        <w:right w:val="none" w:sz="0" w:space="0" w:color="auto"/>
      </w:divBdr>
    </w:div>
    <w:div w:id="1600061891">
      <w:bodyDiv w:val="1"/>
      <w:marLeft w:val="0"/>
      <w:marRight w:val="0"/>
      <w:marTop w:val="0"/>
      <w:marBottom w:val="0"/>
      <w:divBdr>
        <w:top w:val="none" w:sz="0" w:space="0" w:color="auto"/>
        <w:left w:val="none" w:sz="0" w:space="0" w:color="auto"/>
        <w:bottom w:val="none" w:sz="0" w:space="0" w:color="auto"/>
        <w:right w:val="none" w:sz="0" w:space="0" w:color="auto"/>
      </w:divBdr>
    </w:div>
    <w:div w:id="1604730976">
      <w:bodyDiv w:val="1"/>
      <w:marLeft w:val="0"/>
      <w:marRight w:val="0"/>
      <w:marTop w:val="0"/>
      <w:marBottom w:val="0"/>
      <w:divBdr>
        <w:top w:val="none" w:sz="0" w:space="0" w:color="auto"/>
        <w:left w:val="none" w:sz="0" w:space="0" w:color="auto"/>
        <w:bottom w:val="none" w:sz="0" w:space="0" w:color="auto"/>
        <w:right w:val="none" w:sz="0" w:space="0" w:color="auto"/>
      </w:divBdr>
    </w:div>
    <w:div w:id="1619295190">
      <w:bodyDiv w:val="1"/>
      <w:marLeft w:val="0"/>
      <w:marRight w:val="0"/>
      <w:marTop w:val="0"/>
      <w:marBottom w:val="0"/>
      <w:divBdr>
        <w:top w:val="none" w:sz="0" w:space="0" w:color="auto"/>
        <w:left w:val="none" w:sz="0" w:space="0" w:color="auto"/>
        <w:bottom w:val="none" w:sz="0" w:space="0" w:color="auto"/>
        <w:right w:val="none" w:sz="0" w:space="0" w:color="auto"/>
      </w:divBdr>
    </w:div>
    <w:div w:id="1623611740">
      <w:bodyDiv w:val="1"/>
      <w:marLeft w:val="0"/>
      <w:marRight w:val="0"/>
      <w:marTop w:val="0"/>
      <w:marBottom w:val="0"/>
      <w:divBdr>
        <w:top w:val="none" w:sz="0" w:space="0" w:color="auto"/>
        <w:left w:val="none" w:sz="0" w:space="0" w:color="auto"/>
        <w:bottom w:val="none" w:sz="0" w:space="0" w:color="auto"/>
        <w:right w:val="none" w:sz="0" w:space="0" w:color="auto"/>
      </w:divBdr>
    </w:div>
    <w:div w:id="1955556929">
      <w:bodyDiv w:val="1"/>
      <w:marLeft w:val="0"/>
      <w:marRight w:val="0"/>
      <w:marTop w:val="0"/>
      <w:marBottom w:val="0"/>
      <w:divBdr>
        <w:top w:val="none" w:sz="0" w:space="0" w:color="auto"/>
        <w:left w:val="none" w:sz="0" w:space="0" w:color="auto"/>
        <w:bottom w:val="none" w:sz="0" w:space="0" w:color="auto"/>
        <w:right w:val="none" w:sz="0" w:space="0" w:color="auto"/>
      </w:divBdr>
    </w:div>
    <w:div w:id="21010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7376</Words>
  <Characters>39599</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2019-02-01T18:14:00Z</cp:lastPrinted>
  <dcterms:created xsi:type="dcterms:W3CDTF">2019-02-01T19:00:00Z</dcterms:created>
  <dcterms:modified xsi:type="dcterms:W3CDTF">2019-02-01T20:42:00Z</dcterms:modified>
</cp:coreProperties>
</file>