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84464" w:rsidRPr="003E19D2">
      <w:pPr>
        <w:rPr>
          <w:sz w:val="20"/>
        </w:rPr>
      </w:pPr>
      <w:bookmarkStart w:id="0" w:name="_GoBack"/>
      <w:bookmarkEnd w:id="0"/>
      <w:r>
        <w:rPr>
          <w:sz w:val="20"/>
        </w:rPr>
        <w:t>Filed 8/30/18</w:t>
      </w:r>
    </w:p>
    <w:p w:rsidR="00D84464">
      <w:pPr>
        <w:jc w:val="center"/>
      </w:pPr>
    </w:p>
    <w:p w:rsidR="00D84464">
      <w:pPr>
        <w:jc w:val="center"/>
      </w:pPr>
    </w:p>
    <w:p w:rsidR="00D84464">
      <w:pPr>
        <w:jc w:val="center"/>
      </w:pPr>
    </w:p>
    <w:p w:rsidR="00D84464">
      <w:pPr>
        <w:jc w:val="center"/>
        <w:rPr>
          <w:sz w:val="36"/>
        </w:rPr>
      </w:pPr>
      <w:r>
        <w:rPr>
          <w:b/>
          <w:sz w:val="36"/>
        </w:rPr>
        <w:t>IN THE SUPREME COURT OF CALIFORNIA</w:t>
      </w:r>
    </w:p>
    <w:p w:rsidR="00D84464">
      <w:pPr>
        <w:jc w:val="center"/>
      </w:pPr>
    </w:p>
    <w:p w:rsidR="00D84464">
      <w:pPr>
        <w:jc w:val="center"/>
      </w:pPr>
    </w:p>
    <w:p w:rsidR="00D84464">
      <w:pPr>
        <w:jc w:val="center"/>
      </w:pPr>
    </w:p>
    <w:p w:rsidR="00D07C20" w:rsidP="00D07C20">
      <w:pPr>
        <w:tabs>
          <w:tab w:val="left" w:pos="4680"/>
          <w:tab w:val="center" w:pos="7200"/>
        </w:tabs>
        <w:spacing w:line="240" w:lineRule="atLeast"/>
      </w:pPr>
      <w:bookmarkStart w:id="1" w:name="plaintiff"/>
      <w:bookmarkEnd w:id="1"/>
      <w:r>
        <w:t>In re C.B., a Person Coming Under the</w:t>
      </w:r>
      <w:r>
        <w:tab/>
        <w:t>)</w:t>
      </w:r>
    </w:p>
    <w:p w:rsidR="00D07C20" w:rsidP="00D07C20">
      <w:pPr>
        <w:tabs>
          <w:tab w:val="left" w:pos="4680"/>
          <w:tab w:val="center" w:pos="7200"/>
        </w:tabs>
        <w:spacing w:line="240" w:lineRule="atLeast"/>
      </w:pPr>
      <w:r>
        <w:t>Juvenile Court Law.</w:t>
      </w:r>
      <w:r>
        <w:tab/>
        <w:t>)</w:t>
      </w:r>
    </w:p>
    <w:p w:rsidR="00D07C20" w:rsidP="00D07C20">
      <w:pPr>
        <w:tabs>
          <w:tab w:val="left" w:leader="underscore" w:pos="4680"/>
        </w:tabs>
        <w:spacing w:line="240" w:lineRule="atLeast"/>
        <w:rPr>
          <w:u w:val="single"/>
        </w:rPr>
      </w:pPr>
      <w:r>
        <w:tab/>
        <w:t>)</w:t>
      </w:r>
    </w:p>
    <w:p w:rsidR="00D07C20">
      <w:pPr>
        <w:tabs>
          <w:tab w:val="left" w:pos="4680"/>
          <w:tab w:val="center" w:pos="7200"/>
        </w:tabs>
        <w:spacing w:line="240" w:lineRule="atLeast"/>
        <w:rPr>
          <w:szCs w:val="26"/>
        </w:rPr>
      </w:pPr>
      <w:r>
        <w:rPr>
          <w:szCs w:val="26"/>
        </w:rPr>
        <w:tab/>
        <w:t>)</w:t>
      </w:r>
    </w:p>
    <w:p w:rsidR="00D84464">
      <w:pPr>
        <w:tabs>
          <w:tab w:val="left" w:pos="4680"/>
          <w:tab w:val="center" w:pos="7200"/>
        </w:tabs>
        <w:spacing w:line="240" w:lineRule="atLeast"/>
      </w:pPr>
      <w:r w:rsidRPr="00D07C20">
        <w:rPr>
          <w:szCs w:val="26"/>
        </w:rPr>
        <w:t>THE PEOPLE</w:t>
      </w:r>
      <w:r>
        <w:t>,</w:t>
      </w:r>
      <w:r>
        <w:tab/>
        <w:t>)</w:t>
      </w:r>
    </w:p>
    <w:p w:rsidR="00D84464">
      <w:pPr>
        <w:tabs>
          <w:tab w:val="left" w:pos="1440"/>
          <w:tab w:val="left" w:pos="4680"/>
          <w:tab w:val="center" w:pos="7200"/>
        </w:tabs>
        <w:spacing w:line="240" w:lineRule="atLeast"/>
      </w:pPr>
      <w:r>
        <w:tab/>
      </w:r>
      <w:r>
        <w:tab/>
        <w:t>)</w:t>
      </w:r>
    </w:p>
    <w:p w:rsidR="00D84464">
      <w:pPr>
        <w:tabs>
          <w:tab w:val="left" w:pos="1440"/>
          <w:tab w:val="left" w:pos="4680"/>
          <w:tab w:val="center" w:pos="7200"/>
        </w:tabs>
        <w:spacing w:line="240" w:lineRule="atLeast"/>
      </w:pPr>
      <w:r>
        <w:tab/>
      </w:r>
      <w:bookmarkStart w:id="2" w:name="LD"/>
      <w:bookmarkEnd w:id="2"/>
      <w:r>
        <w:t>Plaintiff and Respondent,</w:t>
      </w:r>
      <w:r>
        <w:tab/>
        <w:t>)</w:t>
      </w:r>
    </w:p>
    <w:p w:rsidR="00D84464">
      <w:pPr>
        <w:tabs>
          <w:tab w:val="left" w:pos="1440"/>
          <w:tab w:val="left" w:pos="4680"/>
          <w:tab w:val="center" w:pos="7200"/>
        </w:tabs>
        <w:spacing w:line="240" w:lineRule="atLeast"/>
      </w:pPr>
      <w:r>
        <w:tab/>
      </w:r>
      <w:r>
        <w:tab/>
        <w:t>)</w:t>
      </w:r>
      <w:r>
        <w:tab/>
        <w:t>S</w:t>
      </w:r>
      <w:bookmarkStart w:id="3" w:name="casenum"/>
      <w:bookmarkEnd w:id="3"/>
      <w:r>
        <w:t>237801</w:t>
      </w:r>
    </w:p>
    <w:p w:rsidR="00D84464">
      <w:pPr>
        <w:tabs>
          <w:tab w:val="left" w:pos="1440"/>
          <w:tab w:val="left" w:pos="4680"/>
          <w:tab w:val="center" w:pos="7200"/>
        </w:tabs>
        <w:spacing w:line="240" w:lineRule="atLeast"/>
      </w:pPr>
      <w:r>
        <w:tab/>
        <w:t>v.</w:t>
      </w:r>
      <w:r>
        <w:tab/>
        <w:t>)</w:t>
      </w:r>
    </w:p>
    <w:p w:rsidR="00D84464">
      <w:pPr>
        <w:tabs>
          <w:tab w:val="left" w:pos="1440"/>
          <w:tab w:val="left" w:pos="4680"/>
          <w:tab w:val="center" w:pos="7200"/>
        </w:tabs>
        <w:spacing w:line="240" w:lineRule="atLeast"/>
      </w:pPr>
      <w:r>
        <w:tab/>
      </w:r>
      <w:r>
        <w:tab/>
        <w:t>)</w:t>
      </w:r>
      <w:r>
        <w:tab/>
      </w:r>
      <w:bookmarkStart w:id="4" w:name="appealnum"/>
      <w:bookmarkEnd w:id="4"/>
      <w:r w:rsidR="002C3FB0">
        <w:t>Ct.App. 1/3</w:t>
      </w:r>
      <w:r>
        <w:t xml:space="preserve"> A146277</w:t>
      </w:r>
    </w:p>
    <w:p w:rsidR="00D84464">
      <w:pPr>
        <w:tabs>
          <w:tab w:val="left" w:pos="4680"/>
          <w:tab w:val="center" w:pos="7200"/>
        </w:tabs>
        <w:spacing w:line="240" w:lineRule="atLeast"/>
      </w:pPr>
      <w:bookmarkStart w:id="5" w:name="defendant"/>
      <w:bookmarkEnd w:id="5"/>
      <w:r>
        <w:t>C.B.,</w:t>
      </w:r>
      <w:r>
        <w:tab/>
        <w:t>)</w:t>
      </w:r>
    </w:p>
    <w:p w:rsidR="00D84464">
      <w:pPr>
        <w:tabs>
          <w:tab w:val="left" w:pos="4680"/>
          <w:tab w:val="center" w:pos="7200"/>
        </w:tabs>
        <w:spacing w:line="240" w:lineRule="atLeast"/>
      </w:pPr>
      <w:r>
        <w:tab/>
        <w:t>)</w:t>
      </w:r>
      <w:r>
        <w:tab/>
      </w:r>
      <w:bookmarkStart w:id="6" w:name="county"/>
      <w:bookmarkEnd w:id="6"/>
      <w:r>
        <w:t>Contra Costa County</w:t>
      </w:r>
    </w:p>
    <w:p w:rsidR="00D84464">
      <w:pPr>
        <w:tabs>
          <w:tab w:val="left" w:pos="1440"/>
          <w:tab w:val="left" w:pos="4680"/>
          <w:tab w:val="center" w:pos="7200"/>
        </w:tabs>
        <w:spacing w:line="240" w:lineRule="atLeast"/>
      </w:pPr>
      <w:r>
        <w:tab/>
      </w:r>
      <w:bookmarkStart w:id="7" w:name="VD"/>
      <w:bookmarkEnd w:id="7"/>
      <w:r>
        <w:t>Defendant and Appellant.</w:t>
      </w:r>
      <w:r>
        <w:tab/>
        <w:t>)</w:t>
      </w:r>
      <w:r>
        <w:tab/>
      </w:r>
      <w:bookmarkStart w:id="8" w:name="supernum"/>
      <w:bookmarkEnd w:id="8"/>
      <w:r>
        <w:t>Super. Ct. No. J1301073</w:t>
      </w:r>
    </w:p>
    <w:p w:rsidR="00D84464">
      <w:pPr>
        <w:tabs>
          <w:tab w:val="left" w:leader="underscore" w:pos="4680"/>
        </w:tabs>
        <w:spacing w:line="240" w:lineRule="atLeast"/>
        <w:rPr>
          <w:u w:val="single"/>
        </w:rPr>
      </w:pPr>
      <w:r>
        <w:tab/>
        <w:t>)</w:t>
      </w:r>
    </w:p>
    <w:p w:rsidR="00472C8A" w:rsidP="00472C8A">
      <w:pPr>
        <w:tabs>
          <w:tab w:val="left" w:pos="4680"/>
          <w:tab w:val="center" w:pos="7200"/>
        </w:tabs>
        <w:spacing w:line="240" w:lineRule="atLeast"/>
      </w:pPr>
      <w:r>
        <w:tab/>
        <w:t>)</w:t>
      </w:r>
    </w:p>
    <w:p w:rsidR="00472C8A" w:rsidP="00472C8A">
      <w:pPr>
        <w:tabs>
          <w:tab w:val="left" w:pos="4680"/>
          <w:tab w:val="center" w:pos="7200"/>
        </w:tabs>
        <w:spacing w:line="240" w:lineRule="atLeast"/>
      </w:pPr>
      <w:r>
        <w:t>In re C.H., a Person Coming Under the</w:t>
      </w:r>
      <w:r>
        <w:tab/>
        <w:t>)</w:t>
      </w:r>
    </w:p>
    <w:p w:rsidR="00472C8A" w:rsidP="00472C8A">
      <w:pPr>
        <w:tabs>
          <w:tab w:val="left" w:pos="4680"/>
          <w:tab w:val="center" w:pos="7200"/>
        </w:tabs>
        <w:spacing w:line="240" w:lineRule="atLeast"/>
      </w:pPr>
      <w:r>
        <w:t>Juvenile Court Law.</w:t>
      </w:r>
      <w:r>
        <w:tab/>
        <w:t>)</w:t>
      </w:r>
    </w:p>
    <w:p w:rsidR="00472C8A" w:rsidP="00472C8A">
      <w:pPr>
        <w:tabs>
          <w:tab w:val="left" w:leader="underscore" w:pos="4680"/>
        </w:tabs>
        <w:spacing w:line="240" w:lineRule="atLeast"/>
        <w:rPr>
          <w:u w:val="single"/>
        </w:rPr>
      </w:pPr>
      <w:r>
        <w:tab/>
        <w:t>)</w:t>
      </w:r>
    </w:p>
    <w:p w:rsidR="00472C8A" w:rsidP="00472C8A">
      <w:pPr>
        <w:tabs>
          <w:tab w:val="left" w:pos="4680"/>
          <w:tab w:val="center" w:pos="7200"/>
        </w:tabs>
        <w:spacing w:line="240" w:lineRule="atLeast"/>
        <w:rPr>
          <w:szCs w:val="26"/>
        </w:rPr>
      </w:pPr>
      <w:r>
        <w:rPr>
          <w:szCs w:val="26"/>
        </w:rPr>
        <w:tab/>
        <w:t>)</w:t>
      </w:r>
    </w:p>
    <w:p w:rsidR="00472C8A" w:rsidP="00472C8A">
      <w:pPr>
        <w:tabs>
          <w:tab w:val="left" w:pos="4680"/>
          <w:tab w:val="center" w:pos="7200"/>
        </w:tabs>
        <w:spacing w:line="240" w:lineRule="atLeast"/>
      </w:pPr>
      <w:r w:rsidRPr="00D07C20">
        <w:rPr>
          <w:szCs w:val="26"/>
        </w:rPr>
        <w:t>THE PEOPLE</w:t>
      </w:r>
      <w:r>
        <w:t>,</w:t>
      </w:r>
      <w:r>
        <w:tab/>
        <w:t>)</w:t>
      </w:r>
    </w:p>
    <w:p w:rsidR="00472C8A" w:rsidP="00472C8A">
      <w:pPr>
        <w:tabs>
          <w:tab w:val="left" w:pos="1440"/>
          <w:tab w:val="left" w:pos="4680"/>
          <w:tab w:val="center" w:pos="7200"/>
        </w:tabs>
        <w:spacing w:line="240" w:lineRule="atLeast"/>
      </w:pPr>
      <w:r>
        <w:tab/>
      </w:r>
      <w:r>
        <w:tab/>
        <w:t>)</w:t>
      </w:r>
    </w:p>
    <w:p w:rsidR="00472C8A" w:rsidP="00472C8A">
      <w:pPr>
        <w:tabs>
          <w:tab w:val="left" w:pos="1440"/>
          <w:tab w:val="left" w:pos="4680"/>
          <w:tab w:val="center" w:pos="7200"/>
        </w:tabs>
        <w:spacing w:line="240" w:lineRule="atLeast"/>
      </w:pPr>
      <w:r>
        <w:tab/>
        <w:t>Plaintiff and Respondent,</w:t>
      </w:r>
      <w:r>
        <w:tab/>
        <w:t>)</w:t>
      </w:r>
    </w:p>
    <w:p w:rsidR="00472C8A" w:rsidP="00472C8A">
      <w:pPr>
        <w:tabs>
          <w:tab w:val="left" w:pos="1440"/>
          <w:tab w:val="left" w:pos="4680"/>
          <w:tab w:val="center" w:pos="7200"/>
        </w:tabs>
        <w:spacing w:line="240" w:lineRule="atLeast"/>
      </w:pPr>
      <w:r>
        <w:tab/>
      </w:r>
      <w:r>
        <w:tab/>
        <w:t>)</w:t>
      </w:r>
      <w:r>
        <w:tab/>
        <w:t>S237762</w:t>
      </w:r>
    </w:p>
    <w:p w:rsidR="00472C8A" w:rsidP="00472C8A">
      <w:pPr>
        <w:tabs>
          <w:tab w:val="left" w:pos="1440"/>
          <w:tab w:val="left" w:pos="4680"/>
          <w:tab w:val="center" w:pos="7200"/>
        </w:tabs>
        <w:spacing w:line="240" w:lineRule="atLeast"/>
      </w:pPr>
      <w:r>
        <w:tab/>
        <w:t>v.</w:t>
      </w:r>
      <w:r>
        <w:tab/>
        <w:t>)</w:t>
      </w:r>
    </w:p>
    <w:p w:rsidR="00472C8A" w:rsidP="00472C8A">
      <w:pPr>
        <w:tabs>
          <w:tab w:val="left" w:pos="1440"/>
          <w:tab w:val="left" w:pos="4680"/>
          <w:tab w:val="center" w:pos="7200"/>
        </w:tabs>
        <w:spacing w:line="240" w:lineRule="atLeast"/>
      </w:pPr>
      <w:r>
        <w:tab/>
      </w:r>
      <w:r>
        <w:tab/>
        <w:t>)</w:t>
      </w:r>
      <w:r>
        <w:tab/>
        <w:t>Ct.App. 1/3</w:t>
      </w:r>
      <w:r>
        <w:t xml:space="preserve"> A146120</w:t>
      </w:r>
    </w:p>
    <w:p w:rsidR="00472C8A" w:rsidP="00472C8A">
      <w:pPr>
        <w:tabs>
          <w:tab w:val="left" w:pos="4680"/>
          <w:tab w:val="center" w:pos="7200"/>
        </w:tabs>
        <w:spacing w:line="240" w:lineRule="atLeast"/>
      </w:pPr>
      <w:r>
        <w:t>C.H.,</w:t>
      </w:r>
      <w:r>
        <w:tab/>
        <w:t>)</w:t>
      </w:r>
    </w:p>
    <w:p w:rsidR="00472C8A" w:rsidP="00472C8A">
      <w:pPr>
        <w:tabs>
          <w:tab w:val="left" w:pos="4680"/>
          <w:tab w:val="center" w:pos="7200"/>
        </w:tabs>
        <w:spacing w:line="240" w:lineRule="atLeast"/>
      </w:pPr>
      <w:r>
        <w:tab/>
        <w:t>)</w:t>
      </w:r>
      <w:r>
        <w:tab/>
        <w:t>Contra Costa County</w:t>
      </w:r>
    </w:p>
    <w:p w:rsidR="00472C8A" w:rsidP="00472C8A">
      <w:pPr>
        <w:tabs>
          <w:tab w:val="left" w:pos="1440"/>
          <w:tab w:val="left" w:pos="4680"/>
          <w:tab w:val="center" w:pos="7200"/>
        </w:tabs>
        <w:spacing w:line="240" w:lineRule="atLeast"/>
      </w:pPr>
      <w:r>
        <w:tab/>
        <w:t>Defendant and Appellant.</w:t>
      </w:r>
      <w:r>
        <w:tab/>
        <w:t>)</w:t>
      </w:r>
      <w:r>
        <w:tab/>
        <w:t>Super. Ct. No. J1100679</w:t>
      </w:r>
    </w:p>
    <w:p w:rsidR="00472C8A" w:rsidP="00472C8A">
      <w:pPr>
        <w:tabs>
          <w:tab w:val="left" w:leader="underscore" w:pos="4680"/>
        </w:tabs>
        <w:spacing w:line="240" w:lineRule="atLeast"/>
        <w:rPr>
          <w:u w:val="single"/>
        </w:rPr>
      </w:pPr>
      <w:r>
        <w:tab/>
        <w:t>)</w:t>
      </w:r>
    </w:p>
    <w:p w:rsidR="00D84464">
      <w:pPr>
        <w:tabs>
          <w:tab w:val="left" w:pos="1440"/>
          <w:tab w:val="left" w:pos="4680"/>
          <w:tab w:val="center" w:pos="7200"/>
        </w:tabs>
        <w:spacing w:line="480" w:lineRule="atLeast"/>
      </w:pPr>
    </w:p>
    <w:p w:rsidR="00D84464" w:rsidP="00DA5CF1">
      <w:pPr>
        <w:tabs>
          <w:tab w:val="left" w:pos="1440"/>
        </w:tabs>
        <w:spacing w:line="480" w:lineRule="atLeast"/>
        <w:ind w:firstLine="720"/>
      </w:pPr>
      <w:bookmarkStart w:id="9" w:name="mainstory"/>
      <w:bookmarkEnd w:id="9"/>
      <w:r>
        <w:t xml:space="preserve">The </w:t>
      </w:r>
      <w:r w:rsidR="009105AB">
        <w:t xml:space="preserve">California </w:t>
      </w:r>
      <w:r w:rsidR="00702FCB">
        <w:t>Department of Justice</w:t>
      </w:r>
      <w:r w:rsidR="00671DB7">
        <w:t xml:space="preserve"> maintains a databank</w:t>
      </w:r>
      <w:r>
        <w:t xml:space="preserve"> of DNA samples </w:t>
      </w:r>
      <w:r w:rsidR="00C2393B">
        <w:t xml:space="preserve">and genetic profiles </w:t>
      </w:r>
      <w:r>
        <w:t xml:space="preserve">collected from certain adult and juvenile offenders </w:t>
      </w:r>
      <w:r>
        <w:t>who have been arrested, convicted, or declared wards of the court.  (Pen. Code, §§ 295–300.4.)</w:t>
      </w:r>
      <w:r>
        <w:rPr>
          <w:rStyle w:val="FootnoteReference"/>
        </w:rPr>
        <w:footnoteReference w:id="3"/>
      </w:r>
      <w:r w:rsidR="00822A7F">
        <w:t xml:space="preserve">  J</w:t>
      </w:r>
      <w:r>
        <w:t xml:space="preserve">uveniles </w:t>
      </w:r>
      <w:r w:rsidR="00702FCB">
        <w:t>declared wards based on</w:t>
      </w:r>
      <w:r>
        <w:t xml:space="preserve"> </w:t>
      </w:r>
      <w:r w:rsidR="004B32D4">
        <w:t xml:space="preserve">felony </w:t>
      </w:r>
      <w:r>
        <w:t>conduct must submit samples</w:t>
      </w:r>
      <w:r w:rsidR="00C432AE">
        <w:t>, but</w:t>
      </w:r>
      <w:r w:rsidR="004B32D4">
        <w:t xml:space="preserve"> </w:t>
      </w:r>
      <w:r w:rsidR="0097247D">
        <w:t>need not do so</w:t>
      </w:r>
      <w:r w:rsidR="004B32D4">
        <w:t xml:space="preserve"> for</w:t>
      </w:r>
      <w:r w:rsidR="00C432AE">
        <w:t xml:space="preserve"> </w:t>
      </w:r>
      <w:r w:rsidR="004B32D4">
        <w:t>most</w:t>
      </w:r>
      <w:r w:rsidR="00C432AE">
        <w:t xml:space="preserve"> misdemeanor </w:t>
      </w:r>
      <w:r w:rsidR="004B32D4">
        <w:t>offense</w:t>
      </w:r>
      <w:r w:rsidR="00C432AE">
        <w:t>s</w:t>
      </w:r>
      <w:r>
        <w:t>.  (§ 296, subd. (a).)  The Legislature has also establis</w:t>
      </w:r>
      <w:r w:rsidR="009B626A">
        <w:t>hed a procedure to seek destruction of a sample</w:t>
      </w:r>
      <w:r>
        <w:t xml:space="preserve"> and expungement </w:t>
      </w:r>
      <w:r w:rsidR="009B626A">
        <w:t>of a</w:t>
      </w:r>
      <w:r w:rsidR="00DE0C1D">
        <w:t xml:space="preserve"> profile </w:t>
      </w:r>
      <w:r>
        <w:t>from th</w:t>
      </w:r>
      <w:r w:rsidR="00671DB7">
        <w:t>e databank</w:t>
      </w:r>
      <w:r w:rsidR="00DE0C1D">
        <w:t>.  (§ 299.)</w:t>
      </w:r>
    </w:p>
    <w:p w:rsidR="009B626A" w:rsidP="00D07C20">
      <w:pPr>
        <w:tabs>
          <w:tab w:val="left" w:pos="1440"/>
        </w:tabs>
        <w:spacing w:line="480" w:lineRule="atLeast"/>
        <w:ind w:firstLine="720"/>
      </w:pPr>
      <w:r>
        <w:t>In 2014, the passage of</w:t>
      </w:r>
      <w:r w:rsidR="00DE0C1D">
        <w:t xml:space="preserve"> Proposition 47</w:t>
      </w:r>
      <w:r w:rsidR="00702FCB">
        <w:t xml:space="preserve"> reclassifi</w:t>
      </w:r>
      <w:r w:rsidR="00A2703A">
        <w:t>ed various</w:t>
      </w:r>
      <w:r w:rsidR="00DE0C1D">
        <w:t xml:space="preserve"> drug and property offenses</w:t>
      </w:r>
      <w:r w:rsidR="00A539EE">
        <w:t xml:space="preserve"> from felonies to misdemeanors</w:t>
      </w:r>
      <w:r w:rsidR="000E3519">
        <w:t xml:space="preserve">. </w:t>
      </w:r>
      <w:r w:rsidR="00DE0C1D">
        <w:t xml:space="preserve"> (</w:t>
      </w:r>
      <w:r w:rsidRPr="000E3519" w:rsidR="000E3519">
        <w:t>Voter Information Guide</w:t>
      </w:r>
      <w:r w:rsidR="000E3519">
        <w:t>,</w:t>
      </w:r>
      <w:r w:rsidRPr="000E3519" w:rsidR="000E3519">
        <w:t xml:space="preserve"> Gen. Elec. (Nov. 4, 2014)</w:t>
      </w:r>
      <w:r w:rsidR="000E3519">
        <w:t xml:space="preserve"> text of Prop. 47, </w:t>
      </w:r>
      <w:r w:rsidR="00FC5685">
        <w:t xml:space="preserve">§§ 5–13, </w:t>
      </w:r>
      <w:r w:rsidR="000E3519">
        <w:t>pp. 71</w:t>
      </w:r>
      <w:r w:rsidR="00FC5685">
        <w:t>‒</w:t>
      </w:r>
      <w:r w:rsidR="000E3519">
        <w:t>73 (Proposition 47 Voter Guide</w:t>
      </w:r>
      <w:r w:rsidR="00A539EE">
        <w:t>).</w:t>
      </w:r>
      <w:r w:rsidR="00B56F1C">
        <w:t>)</w:t>
      </w:r>
      <w:r w:rsidR="00DE0C1D">
        <w:t xml:space="preserve">  </w:t>
      </w:r>
      <w:r>
        <w:t>Appellants here are juveniles who were declared wards of the court based on conduct that was felonious when committed.  They urge that because their acts are now misdemeanors, they are entitled to have their DNA samples and profiles removed from the databank.  We hold that Proposition 47 does not authorize that relief, nor does equal protection compel it.  The judgments of the Courts of Appeal are affirmed.</w:t>
      </w:r>
    </w:p>
    <w:p w:rsidR="00671DB7" w:rsidRPr="00794918" w:rsidP="0090334A">
      <w:pPr>
        <w:keepNext/>
        <w:tabs>
          <w:tab w:val="left" w:pos="1440"/>
        </w:tabs>
        <w:spacing w:line="480" w:lineRule="atLeast"/>
        <w:jc w:val="center"/>
        <w:rPr>
          <w:caps/>
        </w:rPr>
      </w:pPr>
      <w:r w:rsidRPr="00794918">
        <w:rPr>
          <w:smallCaps/>
        </w:rPr>
        <w:t xml:space="preserve">I.  </w:t>
      </w:r>
      <w:r w:rsidRPr="00794918" w:rsidR="00794918">
        <w:t>BACKGROUND</w:t>
      </w:r>
    </w:p>
    <w:p w:rsidR="00F94EBC" w:rsidP="009B626A">
      <w:pPr>
        <w:tabs>
          <w:tab w:val="left" w:pos="1440"/>
        </w:tabs>
        <w:spacing w:line="480" w:lineRule="atLeast"/>
        <w:ind w:firstLine="720"/>
      </w:pPr>
      <w:r>
        <w:t>These two</w:t>
      </w:r>
      <w:r w:rsidR="009B626A">
        <w:t xml:space="preserve"> cases raise the identical legal issues and were consolidated</w:t>
      </w:r>
      <w:r w:rsidR="007F6900">
        <w:t xml:space="preserve"> for argument and decision.</w:t>
      </w:r>
    </w:p>
    <w:p w:rsidR="007F6900" w:rsidP="007F6900">
      <w:pPr>
        <w:tabs>
          <w:tab w:val="left" w:pos="1440"/>
        </w:tabs>
        <w:spacing w:line="480" w:lineRule="atLeast"/>
        <w:ind w:firstLine="720"/>
      </w:pPr>
      <w:r>
        <w:t xml:space="preserve">In 2011, </w:t>
      </w:r>
      <w:r>
        <w:t xml:space="preserve">C.H. entered a department store with two friends, changed into a pair of pants in </w:t>
      </w:r>
      <w:r>
        <w:t>a</w:t>
      </w:r>
      <w:r>
        <w:t xml:space="preserve"> dressing room, and left the store alone without paying for the new pants.  </w:t>
      </w:r>
      <w:r>
        <w:t>H</w:t>
      </w:r>
      <w:r>
        <w:t>e s</w:t>
      </w:r>
      <w:r w:rsidR="0097247D">
        <w:t>aw his friends fighting</w:t>
      </w:r>
      <w:r w:rsidR="009105AB">
        <w:t xml:space="preserve"> with a loss</w:t>
      </w:r>
      <w:r>
        <w:t xml:space="preserve"> prevention officer and joined in, kicking the officer in the head.  C.H. was arrested and admitted </w:t>
      </w:r>
      <w:r w:rsidR="009B626A">
        <w:t>both</w:t>
      </w:r>
      <w:r>
        <w:t xml:space="preserve"> </w:t>
      </w:r>
      <w:r>
        <w:t>theft and assault</w:t>
      </w:r>
      <w:r w:rsidR="005924A5">
        <w:t>.</w:t>
      </w:r>
    </w:p>
    <w:p w:rsidR="007F6900" w:rsidP="007F6900">
      <w:pPr>
        <w:tabs>
          <w:tab w:val="left" w:pos="1440"/>
        </w:tabs>
        <w:spacing w:line="480" w:lineRule="atLeast"/>
        <w:ind w:firstLine="720"/>
      </w:pPr>
      <w:r>
        <w:t>A</w:t>
      </w:r>
      <w:r>
        <w:t xml:space="preserve"> juvenile wardship petition</w:t>
      </w:r>
      <w:r>
        <w:t xml:space="preserve"> was sustained, with findings that C.H. committed </w:t>
      </w:r>
      <w:r w:rsidR="00B56F1C">
        <w:t>felony</w:t>
      </w:r>
      <w:r w:rsidR="009B626A">
        <w:t xml:space="preserve"> </w:t>
      </w:r>
      <w:r>
        <w:t>grand th</w:t>
      </w:r>
      <w:r w:rsidR="009B626A">
        <w:t>eft person</w:t>
      </w:r>
      <w:r>
        <w:t xml:space="preserve">.  (Welf. &amp; Inst. Code, </w:t>
      </w:r>
      <w:r w:rsidR="002C3FB0">
        <w:t xml:space="preserve">former </w:t>
      </w:r>
      <w:r>
        <w:t xml:space="preserve">§ 602, </w:t>
      </w:r>
      <w:r>
        <w:t xml:space="preserve">subd. (a); </w:t>
      </w:r>
      <w:r w:rsidR="005924A5">
        <w:t>Pen. Code, § 487, subd. (c)</w:t>
      </w:r>
      <w:r>
        <w:t xml:space="preserve">.)  </w:t>
      </w:r>
      <w:r w:rsidR="009B626A">
        <w:t>He</w:t>
      </w:r>
      <w:r>
        <w:t xml:space="preserve"> was ordered to submit fingerprints and DNA samples</w:t>
      </w:r>
      <w:r w:rsidR="0097247D">
        <w:t xml:space="preserve"> to the California Department of Justice</w:t>
      </w:r>
      <w:r>
        <w:t>.  (Pen. Code, §§ 296, 296</w:t>
      </w:r>
      <w:r w:rsidR="005924A5">
        <w:t>.1</w:t>
      </w:r>
      <w:r>
        <w:t>.)</w:t>
      </w:r>
    </w:p>
    <w:p w:rsidR="002F135A" w:rsidP="00D07C20">
      <w:pPr>
        <w:tabs>
          <w:tab w:val="left" w:pos="1440"/>
        </w:tabs>
        <w:spacing w:line="480" w:lineRule="atLeast"/>
        <w:ind w:firstLine="720"/>
      </w:pPr>
      <w:r>
        <w:t xml:space="preserve">In 2013, </w:t>
      </w:r>
      <w:r w:rsidR="006A38CF">
        <w:t>C.B.</w:t>
      </w:r>
      <w:r w:rsidR="009652B7">
        <w:t xml:space="preserve"> entered an unoccupied hom</w:t>
      </w:r>
      <w:r w:rsidR="009B626A">
        <w:t xml:space="preserve">e and took jewelry, a wallet, cell phone, and </w:t>
      </w:r>
      <w:r w:rsidR="009652B7">
        <w:t xml:space="preserve">video game system. </w:t>
      </w:r>
      <w:r w:rsidR="00952128">
        <w:t xml:space="preserve"> When the homeowner </w:t>
      </w:r>
      <w:r w:rsidR="009B626A">
        <w:t xml:space="preserve">unexpectedly </w:t>
      </w:r>
      <w:r w:rsidR="00952128">
        <w:t>returned, C.B.</w:t>
      </w:r>
      <w:r w:rsidR="009652B7">
        <w:t xml:space="preserve"> brandished a knife </w:t>
      </w:r>
      <w:r w:rsidR="005B5A22">
        <w:t xml:space="preserve">to attempt </w:t>
      </w:r>
      <w:r w:rsidR="009652B7">
        <w:t xml:space="preserve">escape.  The victim and witnesses detained C.B., who confessed </w:t>
      </w:r>
      <w:r w:rsidR="005924A5">
        <w:t>when police officers arrived.</w:t>
      </w:r>
    </w:p>
    <w:p w:rsidR="009652B7" w:rsidP="00D07C20">
      <w:pPr>
        <w:tabs>
          <w:tab w:val="left" w:pos="1440"/>
        </w:tabs>
        <w:spacing w:line="480" w:lineRule="atLeast"/>
        <w:ind w:firstLine="720"/>
      </w:pPr>
      <w:r>
        <w:t xml:space="preserve">The court sustained </w:t>
      </w:r>
      <w:r w:rsidR="00947036">
        <w:t xml:space="preserve">a wardship petition </w:t>
      </w:r>
      <w:r w:rsidR="005B5A22">
        <w:t>based on</w:t>
      </w:r>
      <w:r>
        <w:t xml:space="preserve"> </w:t>
      </w:r>
      <w:r w:rsidR="005924A5">
        <w:t>misdemeanor</w:t>
      </w:r>
      <w:r w:rsidR="00947036">
        <w:t xml:space="preserve"> </w:t>
      </w:r>
      <w:r w:rsidR="002F135A">
        <w:t xml:space="preserve">residential burglary </w:t>
      </w:r>
      <w:r w:rsidR="00947036">
        <w:t xml:space="preserve">and </w:t>
      </w:r>
      <w:r w:rsidR="005924A5">
        <w:t xml:space="preserve">felony </w:t>
      </w:r>
      <w:r w:rsidR="00947036">
        <w:t>grand theft person</w:t>
      </w:r>
      <w:r w:rsidR="002F135A">
        <w:t>.  (</w:t>
      </w:r>
      <w:r w:rsidR="00947036">
        <w:t xml:space="preserve">Welf. &amp; Inst. Code, </w:t>
      </w:r>
      <w:r w:rsidR="002C3FB0">
        <w:t xml:space="preserve">former </w:t>
      </w:r>
      <w:r w:rsidR="00947036">
        <w:t xml:space="preserve">§ 602, subd. (a); </w:t>
      </w:r>
      <w:r w:rsidR="002F135A">
        <w:t>Pen. Code, §§ 459, 460, subd</w:t>
      </w:r>
      <w:r w:rsidR="005924A5">
        <w:t>. (b), 487, subd. (c)</w:t>
      </w:r>
      <w:r w:rsidR="002F135A">
        <w:t xml:space="preserve">.)  C.B. was </w:t>
      </w:r>
      <w:r w:rsidR="00947036">
        <w:t xml:space="preserve">also </w:t>
      </w:r>
      <w:r w:rsidR="002F135A">
        <w:t>ordered to submit fingerprints and DNA sample</w:t>
      </w:r>
      <w:r w:rsidR="005924A5">
        <w:t>s.  (Pen. Code, §§ 296, 296.1</w:t>
      </w:r>
      <w:r w:rsidR="002F135A">
        <w:t>.)</w:t>
      </w:r>
    </w:p>
    <w:p w:rsidR="007F6900" w:rsidP="007F6900">
      <w:pPr>
        <w:tabs>
          <w:tab w:val="left" w:pos="1440"/>
        </w:tabs>
        <w:spacing w:line="480" w:lineRule="atLeast"/>
        <w:ind w:firstLine="720"/>
      </w:pPr>
      <w:r>
        <w:t xml:space="preserve">In 2015, </w:t>
      </w:r>
      <w:r w:rsidR="006E455C">
        <w:t>after</w:t>
      </w:r>
      <w:r>
        <w:t xml:space="preserve"> voter</w:t>
      </w:r>
      <w:r w:rsidR="006E455C">
        <w:t>s approved</w:t>
      </w:r>
      <w:r>
        <w:t xml:space="preserve"> Pr</w:t>
      </w:r>
      <w:r w:rsidR="0097247D">
        <w:t>oposition 47, C.B. and C.H.</w:t>
      </w:r>
      <w:r>
        <w:t xml:space="preserve"> petitioned to have their felony violations redesignated as misdeme</w:t>
      </w:r>
      <w:r w:rsidR="00947036">
        <w:t xml:space="preserve">anors, their fines reduced, and </w:t>
      </w:r>
      <w:r>
        <w:t>th</w:t>
      </w:r>
      <w:r w:rsidR="005B5A22">
        <w:t xml:space="preserve">eir DNA samples </w:t>
      </w:r>
      <w:r w:rsidR="0085231B">
        <w:t>and profile</w:t>
      </w:r>
      <w:r w:rsidR="00947036">
        <w:t>s</w:t>
      </w:r>
      <w:r>
        <w:t xml:space="preserve"> expunged from the </w:t>
      </w:r>
      <w:r w:rsidR="00947036">
        <w:t>state</w:t>
      </w:r>
      <w:r>
        <w:t xml:space="preserve"> databank.</w:t>
      </w:r>
      <w:r w:rsidR="005924A5">
        <w:t xml:space="preserve">  (See §§ 299, 490.2, 1170.18</w:t>
      </w:r>
      <w:r>
        <w:t>.)  In each case, the tr</w:t>
      </w:r>
      <w:r w:rsidR="006E455C">
        <w:t>ial court</w:t>
      </w:r>
      <w:r w:rsidR="00A539EE">
        <w:t>s</w:t>
      </w:r>
      <w:r w:rsidR="006E455C">
        <w:t xml:space="preserve"> </w:t>
      </w:r>
      <w:r>
        <w:t>redesignate</w:t>
      </w:r>
      <w:r w:rsidR="006E455C">
        <w:t>d</w:t>
      </w:r>
      <w:r>
        <w:t xml:space="preserve"> the offense</w:t>
      </w:r>
      <w:r w:rsidR="001F1033">
        <w:t xml:space="preserve"> as </w:t>
      </w:r>
      <w:r w:rsidR="006E455C">
        <w:t xml:space="preserve">a </w:t>
      </w:r>
      <w:r>
        <w:t>misdemeanor and reduce</w:t>
      </w:r>
      <w:r w:rsidR="006E455C">
        <w:t>d</w:t>
      </w:r>
      <w:r>
        <w:t xml:space="preserve"> the fine</w:t>
      </w:r>
      <w:r w:rsidR="00A539EE">
        <w:t xml:space="preserve">.  </w:t>
      </w:r>
      <w:r w:rsidR="005B5A22">
        <w:t>However,</w:t>
      </w:r>
      <w:r w:rsidR="001F1033">
        <w:t xml:space="preserve"> both</w:t>
      </w:r>
      <w:r>
        <w:t xml:space="preserve"> motion</w:t>
      </w:r>
      <w:r w:rsidR="001F1033">
        <w:t>s</w:t>
      </w:r>
      <w:r w:rsidR="005924A5">
        <w:t xml:space="preserve"> for expungement</w:t>
      </w:r>
      <w:r w:rsidR="005B5A22">
        <w:t xml:space="preserve"> were denied</w:t>
      </w:r>
      <w:r w:rsidR="005924A5">
        <w:t>.</w:t>
      </w:r>
    </w:p>
    <w:p w:rsidR="00C432AE" w:rsidP="00D07C20">
      <w:pPr>
        <w:tabs>
          <w:tab w:val="left" w:pos="1440"/>
        </w:tabs>
        <w:spacing w:line="480" w:lineRule="atLeast"/>
        <w:ind w:firstLine="720"/>
      </w:pPr>
      <w:r>
        <w:t>Two different panels of the Court of Appeal affirmed, one by a divided vote.  (</w:t>
      </w:r>
      <w:r>
        <w:rPr>
          <w:i/>
        </w:rPr>
        <w:t>In re C.B.</w:t>
      </w:r>
      <w:r>
        <w:t xml:space="preserve"> (2016) 2 Cal.App.5th 1112</w:t>
      </w:r>
      <w:r w:rsidR="00181193">
        <w:t xml:space="preserve">; </w:t>
      </w:r>
      <w:r w:rsidR="00181193">
        <w:rPr>
          <w:i/>
        </w:rPr>
        <w:t>id.</w:t>
      </w:r>
      <w:r w:rsidR="00787AAB">
        <w:t xml:space="preserve"> at p. 1128</w:t>
      </w:r>
      <w:r w:rsidR="00181193">
        <w:t xml:space="preserve"> (dis. opn. of</w:t>
      </w:r>
      <w:r>
        <w:t xml:space="preserve"> Pollak, Acting P.</w:t>
      </w:r>
      <w:r w:rsidR="002C3FB0">
        <w:t xml:space="preserve"> </w:t>
      </w:r>
      <w:r>
        <w:t>J.</w:t>
      </w:r>
      <w:r w:rsidR="00181193">
        <w:t>)</w:t>
      </w:r>
      <w:r>
        <w:t xml:space="preserve">; </w:t>
      </w:r>
      <w:r>
        <w:rPr>
          <w:i/>
        </w:rPr>
        <w:t>In re C.H.</w:t>
      </w:r>
      <w:r>
        <w:t xml:space="preserve"> (2016) 2 Cal.App.5th 1139.)  In </w:t>
      </w:r>
      <w:r>
        <w:rPr>
          <w:i/>
        </w:rPr>
        <w:t>In re C.B.</w:t>
      </w:r>
      <w:r>
        <w:t>, t</w:t>
      </w:r>
      <w:r w:rsidR="0090334A">
        <w:t xml:space="preserve">he majority </w:t>
      </w:r>
      <w:r w:rsidR="006E455C">
        <w:t xml:space="preserve">concluded </w:t>
      </w:r>
      <w:r w:rsidR="0090334A">
        <w:t xml:space="preserve">Proposition 47 </w:t>
      </w:r>
      <w:r w:rsidR="006E455C">
        <w:t>did not</w:t>
      </w:r>
      <w:r w:rsidR="0090334A">
        <w:t xml:space="preserve"> expand the existing </w:t>
      </w:r>
      <w:r w:rsidR="005B5A22">
        <w:t>grounds for expungement</w:t>
      </w:r>
      <w:r w:rsidR="00FB1349">
        <w:t xml:space="preserve">.  </w:t>
      </w:r>
      <w:r w:rsidR="0090334A">
        <w:t xml:space="preserve">Moreover, </w:t>
      </w:r>
      <w:r w:rsidR="006E455C">
        <w:t xml:space="preserve">after Proposition 47’s passage </w:t>
      </w:r>
      <w:r w:rsidR="001F1033">
        <w:t xml:space="preserve">the Legislature had </w:t>
      </w:r>
      <w:r w:rsidR="0090334A">
        <w:t>amended section 299, subdivision (f)</w:t>
      </w:r>
      <w:r>
        <w:t>,</w:t>
      </w:r>
      <w:r w:rsidR="0090334A">
        <w:t xml:space="preserve"> to clarify t</w:t>
      </w:r>
      <w:r w:rsidR="001F1033">
        <w:t xml:space="preserve">hat redesignation </w:t>
      </w:r>
      <w:r w:rsidR="00952128">
        <w:t>of</w:t>
      </w:r>
      <w:r w:rsidR="0090334A">
        <w:t xml:space="preserve"> a felony to a misdemeanor was not a b</w:t>
      </w:r>
      <w:r w:rsidR="005B5A22">
        <w:t>asis for removal</w:t>
      </w:r>
      <w:r w:rsidR="0090334A">
        <w:t xml:space="preserve">.  </w:t>
      </w:r>
      <w:r w:rsidR="002C3FB0">
        <w:t>(</w:t>
      </w:r>
      <w:r w:rsidRPr="002C3FB0" w:rsidR="002C3FB0">
        <w:rPr>
          <w:i/>
        </w:rPr>
        <w:t>In re C.B</w:t>
      </w:r>
      <w:r w:rsidRPr="002C3FB0" w:rsidR="0090334A">
        <w:rPr>
          <w:i/>
        </w:rPr>
        <w:t>.</w:t>
      </w:r>
      <w:r w:rsidRPr="002C3FB0" w:rsidR="002C3FB0">
        <w:t>,</w:t>
      </w:r>
      <w:r w:rsidR="002C3FB0">
        <w:t xml:space="preserve"> at pp. 1118–1128.)</w:t>
      </w:r>
      <w:r w:rsidR="0090334A">
        <w:t xml:space="preserve">  The dissent argued that Proposition 47 required redesignated offenses to be treated as misdemeanors for </w:t>
      </w:r>
      <w:r w:rsidRPr="004B32D4" w:rsidR="0090334A">
        <w:rPr>
          <w:i/>
        </w:rPr>
        <w:t>all</w:t>
      </w:r>
      <w:r w:rsidR="0090334A">
        <w:t xml:space="preserve"> purposes, including </w:t>
      </w:r>
      <w:r w:rsidR="00952128">
        <w:t>elig</w:t>
      </w:r>
      <w:r w:rsidR="005B5A22">
        <w:t xml:space="preserve">ibility for retention </w:t>
      </w:r>
      <w:r w:rsidR="001F1033">
        <w:t>in</w:t>
      </w:r>
      <w:r w:rsidR="0090334A">
        <w:t xml:space="preserve"> the databank</w:t>
      </w:r>
      <w:r w:rsidR="00FB1349">
        <w:t>.</w:t>
      </w:r>
      <w:r w:rsidR="0097247D">
        <w:t xml:space="preserve">  </w:t>
      </w:r>
      <w:r w:rsidR="00AF66EE">
        <w:t xml:space="preserve">(See § 1170.18, subd. (k).)  </w:t>
      </w:r>
      <w:r w:rsidR="0097247D">
        <w:t xml:space="preserve">The </w:t>
      </w:r>
      <w:r w:rsidR="001F1033">
        <w:t xml:space="preserve">dissent urged that the </w:t>
      </w:r>
      <w:r w:rsidR="0097247D">
        <w:t xml:space="preserve">Legislature’s </w:t>
      </w:r>
      <w:r>
        <w:t>amendment of section 299, subdivision (f), was invalid because it contravened Proposition 47.</w:t>
      </w:r>
    </w:p>
    <w:p w:rsidR="0001722E" w:rsidRPr="00FE3E88" w:rsidP="00D07C20">
      <w:pPr>
        <w:tabs>
          <w:tab w:val="left" w:pos="1440"/>
        </w:tabs>
        <w:spacing w:line="480" w:lineRule="atLeast"/>
        <w:ind w:firstLine="720"/>
      </w:pPr>
      <w:r>
        <w:rPr>
          <w:i/>
        </w:rPr>
        <w:t>In re C.H.</w:t>
      </w:r>
      <w:r>
        <w:t xml:space="preserve"> </w:t>
      </w:r>
      <w:r w:rsidR="005B5A22">
        <w:t xml:space="preserve">was </w:t>
      </w:r>
      <w:r>
        <w:t>issued the same day</w:t>
      </w:r>
      <w:r w:rsidR="005B5A22">
        <w:t>.  There</w:t>
      </w:r>
      <w:r>
        <w:t xml:space="preserve">, a unanimous court interpreted the statutory scheme similarly to the </w:t>
      </w:r>
      <w:r>
        <w:rPr>
          <w:i/>
        </w:rPr>
        <w:t>In re C.B.</w:t>
      </w:r>
      <w:r>
        <w:t xml:space="preserve"> majority</w:t>
      </w:r>
      <w:r w:rsidR="001F1033">
        <w:t>.  It held</w:t>
      </w:r>
      <w:r>
        <w:t xml:space="preserve"> that Proposition 47 did not change the circumstance that C.H.’s conduct had </w:t>
      </w:r>
      <w:r w:rsidR="001F1033">
        <w:t>been</w:t>
      </w:r>
      <w:r w:rsidR="00A539EE">
        <w:t xml:space="preserve"> a felony when committed and</w:t>
      </w:r>
      <w:r>
        <w:t xml:space="preserve"> his sample had been properly collected</w:t>
      </w:r>
      <w:r w:rsidR="005B5A22">
        <w:t>.  N</w:t>
      </w:r>
      <w:r w:rsidR="000B1C3D">
        <w:t>o</w:t>
      </w:r>
      <w:r w:rsidR="0097247D">
        <w:t xml:space="preserve">thing in section 299 </w:t>
      </w:r>
      <w:r w:rsidR="000B1C3D">
        <w:t>or section 1170.18 auth</w:t>
      </w:r>
      <w:r w:rsidR="001F1033">
        <w:t xml:space="preserve">orized expungement based on </w:t>
      </w:r>
      <w:r w:rsidR="000B1C3D">
        <w:t>subsequent redesignation of C.H.’s offense.  (</w:t>
      </w:r>
      <w:r w:rsidR="000B1C3D">
        <w:rPr>
          <w:i/>
        </w:rPr>
        <w:t>In re C.H.</w:t>
      </w:r>
      <w:r w:rsidR="000B1C3D">
        <w:t xml:space="preserve">, </w:t>
      </w:r>
      <w:r w:rsidR="000B1C3D">
        <w:rPr>
          <w:i/>
        </w:rPr>
        <w:t>supra</w:t>
      </w:r>
      <w:r w:rsidR="000B1C3D">
        <w:t>, 2 Cal.App.5th at pp. 1145–115</w:t>
      </w:r>
      <w:r w:rsidR="001F1033">
        <w:t xml:space="preserve">1.)  The court </w:t>
      </w:r>
      <w:r w:rsidR="000B1C3D">
        <w:t xml:space="preserve">expressly disagreed with </w:t>
      </w:r>
      <w:r w:rsidR="000B1C3D">
        <w:rPr>
          <w:i/>
        </w:rPr>
        <w:t>Alejandro N. v. Superior Court</w:t>
      </w:r>
      <w:r w:rsidR="000B1C3D">
        <w:t xml:space="preserve"> (</w:t>
      </w:r>
      <w:r w:rsidR="00AC4DCA">
        <w:t>2015) 238 Cal.App.4th 1209, 1226–1230</w:t>
      </w:r>
      <w:r w:rsidR="000B1C3D">
        <w:t xml:space="preserve">, which had held </w:t>
      </w:r>
      <w:r w:rsidR="001F1033">
        <w:t>to the contrary</w:t>
      </w:r>
      <w:r w:rsidR="000B1C3D">
        <w:t xml:space="preserve">.  </w:t>
      </w:r>
      <w:r w:rsidR="000B1C3D">
        <w:rPr>
          <w:i/>
        </w:rPr>
        <w:t>In re C.H.</w:t>
      </w:r>
      <w:r w:rsidR="000B1C3D">
        <w:t xml:space="preserve"> also </w:t>
      </w:r>
      <w:r w:rsidR="00FE3E88">
        <w:t xml:space="preserve">rejected </w:t>
      </w:r>
      <w:r w:rsidR="006E455C">
        <w:t>the</w:t>
      </w:r>
      <w:r w:rsidR="00FE3E88">
        <w:t xml:space="preserve"> argument that equal protection principles required expung</w:t>
      </w:r>
      <w:r w:rsidR="00D44816">
        <w:t>e</w:t>
      </w:r>
      <w:r w:rsidR="00FE3E88">
        <w:t>ment.  (</w:t>
      </w:r>
      <w:r w:rsidR="00FE3E88">
        <w:rPr>
          <w:i/>
        </w:rPr>
        <w:t>In re C.H.</w:t>
      </w:r>
      <w:r w:rsidR="00FE3E88">
        <w:t>, at pp. 1151–1152.)</w:t>
      </w:r>
    </w:p>
    <w:p w:rsidR="00D07C20" w:rsidRPr="00794918" w:rsidP="00ED7F95">
      <w:pPr>
        <w:keepNext/>
        <w:tabs>
          <w:tab w:val="left" w:pos="1440"/>
        </w:tabs>
        <w:spacing w:line="480" w:lineRule="atLeast"/>
        <w:jc w:val="center"/>
        <w:rPr>
          <w:caps/>
          <w:smallCaps/>
        </w:rPr>
      </w:pPr>
      <w:r w:rsidRPr="00794918">
        <w:rPr>
          <w:smallCaps/>
        </w:rPr>
        <w:t xml:space="preserve">II. </w:t>
      </w:r>
      <w:r w:rsidR="00FD7FD0">
        <w:rPr>
          <w:smallCaps/>
        </w:rPr>
        <w:t xml:space="preserve"> </w:t>
      </w:r>
      <w:r w:rsidRPr="00794918" w:rsidR="00794918">
        <w:t>DISCUSSION</w:t>
      </w:r>
    </w:p>
    <w:p w:rsidR="00AF7570" w:rsidRPr="00AF7570" w:rsidP="00ED7F95">
      <w:pPr>
        <w:keepNext/>
        <w:tabs>
          <w:tab w:val="left" w:pos="1440"/>
        </w:tabs>
        <w:spacing w:line="480" w:lineRule="atLeast"/>
        <w:ind w:firstLine="720"/>
        <w:rPr>
          <w:i/>
        </w:rPr>
      </w:pPr>
      <w:r>
        <w:t>A</w:t>
      </w:r>
      <w:r w:rsidRPr="00AF7570" w:rsidR="00936A73">
        <w:t>.</w:t>
      </w:r>
      <w:r w:rsidRPr="00AF7570" w:rsidR="00936A73">
        <w:tab/>
      </w:r>
      <w:r>
        <w:rPr>
          <w:i/>
        </w:rPr>
        <w:t xml:space="preserve">Legal </w:t>
      </w:r>
      <w:r>
        <w:rPr>
          <w:i/>
        </w:rPr>
        <w:t>Background</w:t>
      </w:r>
    </w:p>
    <w:p w:rsidR="00BD5017" w:rsidRPr="00936A73" w:rsidP="00ED7F95">
      <w:pPr>
        <w:keepNext/>
        <w:tabs>
          <w:tab w:val="left" w:pos="1440"/>
        </w:tabs>
        <w:spacing w:line="480" w:lineRule="atLeast"/>
        <w:ind w:firstLine="720"/>
        <w:rPr>
          <w:i/>
          <w:u w:val="single"/>
        </w:rPr>
      </w:pPr>
      <w:r>
        <w:rPr>
          <w:i/>
        </w:rPr>
        <w:tab/>
      </w:r>
      <w:r w:rsidR="008E6548">
        <w:t>1</w:t>
      </w:r>
      <w:r w:rsidRPr="00AF7570">
        <w:t>.</w:t>
      </w:r>
      <w:r w:rsidRPr="00AF7570">
        <w:tab/>
      </w:r>
      <w:r w:rsidR="00C04713">
        <w:rPr>
          <w:i/>
        </w:rPr>
        <w:t xml:space="preserve">The State </w:t>
      </w:r>
      <w:r w:rsidR="00C2393B">
        <w:rPr>
          <w:i/>
        </w:rPr>
        <w:t xml:space="preserve">DNA </w:t>
      </w:r>
      <w:r w:rsidR="00C04713">
        <w:rPr>
          <w:i/>
        </w:rPr>
        <w:t>Databank</w:t>
      </w:r>
    </w:p>
    <w:p w:rsidR="004B32D4" w:rsidP="00D07C20">
      <w:pPr>
        <w:tabs>
          <w:tab w:val="left" w:pos="1440"/>
        </w:tabs>
        <w:spacing w:line="480" w:lineRule="atLeast"/>
        <w:ind w:firstLine="720"/>
      </w:pPr>
      <w:r>
        <w:t xml:space="preserve">For </w:t>
      </w:r>
      <w:r w:rsidR="005B5A22">
        <w:t>several</w:t>
      </w:r>
      <w:r>
        <w:t xml:space="preserve"> decades, “California law [has] required the collection of biological samples from individuals convicted of certain offenses.  In 1983, the Legislature enacted legislation requiring certain sex offenders to provide blood and saliva samples before their release or discharge.  (Stats. 1983, ch. 700, § 1, pp. 2680–2681, codified at Pen. Code, former § 290.2.)  In 1998, the Legislature enacted the </w:t>
      </w:r>
      <w:r w:rsidR="00787AAB">
        <w:t>‘</w:t>
      </w:r>
      <w:r>
        <w:t xml:space="preserve">DNA and Forensic Identification Data Base and Data Bank Act </w:t>
      </w:r>
      <w:r w:rsidR="0014002A">
        <w:t>of 1998</w:t>
      </w:r>
      <w:r>
        <w:t>,</w:t>
      </w:r>
      <w:r w:rsidR="00125A87">
        <w:t>’</w:t>
      </w:r>
      <w:r>
        <w:t xml:space="preserve"> which required the collection of DNA samples from persons convicted of certain felony offenses, including certain sex offenses, homicide offenses, kidnapping, and felony assault or battery.  (Sta</w:t>
      </w:r>
      <w:r w:rsidR="00787AAB">
        <w:t>ts. 1998, ch. 696, § 2, pp. 4571</w:t>
      </w:r>
      <w:r>
        <w:t>–4579; Pen. Code, former § 296, subd. (a).)”</w:t>
      </w:r>
      <w:r>
        <w:t xml:space="preserve">  (</w:t>
      </w:r>
      <w:r>
        <w:rPr>
          <w:i/>
        </w:rPr>
        <w:t>People v. Buza</w:t>
      </w:r>
      <w:r>
        <w:t xml:space="preserve"> (2018</w:t>
      </w:r>
      <w:r w:rsidR="00787AAB">
        <w:t>) 4</w:t>
      </w:r>
      <w:r w:rsidR="0085231B">
        <w:t xml:space="preserve"> Cal.5th </w:t>
      </w:r>
      <w:r w:rsidR="00787AAB">
        <w:t>658, 665</w:t>
      </w:r>
      <w:r>
        <w:t>.)</w:t>
      </w:r>
      <w:r w:rsidR="006F7049">
        <w:t xml:space="preserve">  In 2004, the voters adopted Proposition 69</w:t>
      </w:r>
      <w:r w:rsidR="00A539EE">
        <w:t>, which</w:t>
      </w:r>
      <w:r w:rsidR="00814647">
        <w:t xml:space="preserve"> amended the </w:t>
      </w:r>
      <w:r w:rsidR="0014002A">
        <w:t>a</w:t>
      </w:r>
      <w:r w:rsidR="00814647">
        <w:t>ct to further expand</w:t>
      </w:r>
      <w:r w:rsidR="006F7049">
        <w:t xml:space="preserve"> the </w:t>
      </w:r>
      <w:r>
        <w:t>class of those</w:t>
      </w:r>
      <w:r w:rsidR="006F7049">
        <w:t xml:space="preserve"> </w:t>
      </w:r>
      <w:r w:rsidR="005B5A22">
        <w:t>obligated</w:t>
      </w:r>
      <w:r w:rsidR="006F7049">
        <w:t xml:space="preserve"> to submit samples</w:t>
      </w:r>
      <w:r w:rsidR="00814647">
        <w:t>.  This expanded group</w:t>
      </w:r>
      <w:r w:rsidR="006F7049">
        <w:t xml:space="preserve"> include</w:t>
      </w:r>
      <w:r w:rsidR="00814647">
        <w:t>d</w:t>
      </w:r>
      <w:r w:rsidR="006F7049">
        <w:t xml:space="preserve"> all juveniles adjudged wards of the court based on felony conduct.  (</w:t>
      </w:r>
      <w:r w:rsidR="000E3519">
        <w:t xml:space="preserve">Voter Information Guide, Gen. Elec. (Nov. 2, 2004) text of </w:t>
      </w:r>
      <w:r w:rsidR="006F7049">
        <w:t>Prop. 69</w:t>
      </w:r>
      <w:r>
        <w:t>, § </w:t>
      </w:r>
      <w:r w:rsidR="002C3FB0">
        <w:t>III.</w:t>
      </w:r>
      <w:r>
        <w:t>3</w:t>
      </w:r>
      <w:r w:rsidR="000E3519">
        <w:t>, pp. 137-138 (Proposition 69 Voter Guide)</w:t>
      </w:r>
      <w:r>
        <w:t>.)</w:t>
      </w:r>
    </w:p>
    <w:p w:rsidR="00DF0DF1" w:rsidP="00D07C20">
      <w:pPr>
        <w:tabs>
          <w:tab w:val="left" w:pos="1440"/>
        </w:tabs>
        <w:spacing w:line="480" w:lineRule="atLeast"/>
        <w:ind w:firstLine="720"/>
      </w:pPr>
      <w:r>
        <w:t>The</w:t>
      </w:r>
      <w:r>
        <w:t xml:space="preserve"> DNA </w:t>
      </w:r>
      <w:r w:rsidR="000E3519">
        <w:t>and Forensic Identification Data</w:t>
      </w:r>
      <w:r w:rsidR="00737D86">
        <w:t>b</w:t>
      </w:r>
      <w:r w:rsidR="000E3519">
        <w:t>ase and Data Bank Act of 1998 (DNA Act)</w:t>
      </w:r>
      <w:r>
        <w:t xml:space="preserve"> requires submission of</w:t>
      </w:r>
      <w:r>
        <w:t xml:space="preserve"> “buccal swab samples, right thumbprints, and a full palm print impression of each hand, and any blood specimens or other biological samples required pursuant to this chapter for law enforcement identification analysis.”  (§ 296, subd. (a).)  The buccal swab samples contain the offender’s DNA.  (See § 295, subd. (e).)  </w:t>
      </w:r>
      <w:r>
        <w:t>S</w:t>
      </w:r>
      <w:r>
        <w:t xml:space="preserve">amples </w:t>
      </w:r>
      <w:r w:rsidR="00C04713">
        <w:t xml:space="preserve">are submitted to the California Department of Justice’s DNA Laboratory, which creates and stores </w:t>
      </w:r>
      <w:r>
        <w:t xml:space="preserve">a genetic profile </w:t>
      </w:r>
      <w:r w:rsidR="00C04713">
        <w:t xml:space="preserve">in the databank.  (§§ 295, 295.1; see </w:t>
      </w:r>
      <w:r w:rsidR="00C04713">
        <w:rPr>
          <w:i/>
        </w:rPr>
        <w:t>People v. Buza</w:t>
      </w:r>
      <w:r w:rsidR="00C04713">
        <w:t xml:space="preserve">, </w:t>
      </w:r>
      <w:r w:rsidR="00C04713">
        <w:rPr>
          <w:i/>
        </w:rPr>
        <w:t>supra</w:t>
      </w:r>
      <w:r w:rsidR="00787AAB">
        <w:t>, 4</w:t>
      </w:r>
      <w:r w:rsidR="00515747">
        <w:t xml:space="preserve"> Cal.5th at p. </w:t>
      </w:r>
      <w:r w:rsidR="00787AAB">
        <w:t>666</w:t>
      </w:r>
      <w:r w:rsidR="00C04713">
        <w:t>.)</w:t>
      </w:r>
      <w:r>
        <w:rPr>
          <w:rStyle w:val="FootnoteReference"/>
        </w:rPr>
        <w:footnoteReference w:id="4"/>
      </w:r>
    </w:p>
    <w:p w:rsidR="00C04713" w:rsidRPr="00C04713" w:rsidP="00D07C20">
      <w:pPr>
        <w:tabs>
          <w:tab w:val="left" w:pos="1440"/>
        </w:tabs>
        <w:spacing w:line="480" w:lineRule="atLeast"/>
        <w:ind w:firstLine="720"/>
        <w:rPr>
          <w:i/>
        </w:rPr>
      </w:pPr>
      <w:r>
        <w:tab/>
        <w:t>2</w:t>
      </w:r>
      <w:r w:rsidR="00AF7570">
        <w:t>.</w:t>
      </w:r>
      <w:r w:rsidR="00AF7570">
        <w:tab/>
      </w:r>
      <w:r>
        <w:rPr>
          <w:i/>
        </w:rPr>
        <w:t>Proposition 47</w:t>
      </w:r>
    </w:p>
    <w:p w:rsidR="00A02DBF" w:rsidP="00D07C20">
      <w:pPr>
        <w:tabs>
          <w:tab w:val="left" w:pos="1440"/>
        </w:tabs>
        <w:spacing w:line="480" w:lineRule="atLeast"/>
        <w:ind w:firstLine="720"/>
      </w:pPr>
      <w:r>
        <w:t xml:space="preserve">In 2014, </w:t>
      </w:r>
      <w:r>
        <w:t xml:space="preserve">Proposition 47 reclassified as misdemeanors various drug- and theft-related offenses previously treated as felonies or wobblers.  </w:t>
      </w:r>
      <w:r w:rsidR="00973706">
        <w:t>(</w:t>
      </w:r>
      <w:r w:rsidR="00973706">
        <w:rPr>
          <w:i/>
        </w:rPr>
        <w:t>People v. Valencia</w:t>
      </w:r>
      <w:r w:rsidR="00973706">
        <w:t xml:space="preserve"> (2017) 3 Cal.5th 347, 355.)  </w:t>
      </w:r>
      <w:r w:rsidR="008706A9">
        <w:t xml:space="preserve">The initiative had both prospective and retroactive aspects, reducing punishments going forward and providing relief for those who had already suffered felony convictions.  To achieve its retroactive purposes, the initiative added section 1170.18, which authorized a petition for recall of sentence or reclassification of an offense.  Felons currently serving a sentence based on conduct now reclassified as a misdemeanor </w:t>
      </w:r>
      <w:r w:rsidR="005B5A22">
        <w:t>could</w:t>
      </w:r>
      <w:r w:rsidR="008706A9">
        <w:t xml:space="preserve"> petition for recall of their sentences and </w:t>
      </w:r>
      <w:r w:rsidR="005B5A22">
        <w:t>imposition of a</w:t>
      </w:r>
      <w:r w:rsidR="008706A9">
        <w:t xml:space="preserve"> sentence consistent with their new misdemeanor status.</w:t>
      </w:r>
      <w:r w:rsidR="00973706">
        <w:t xml:space="preserve">  (§ 1170.18, subds. (a)–(b); </w:t>
      </w:r>
      <w:r w:rsidR="00973706">
        <w:rPr>
          <w:i/>
        </w:rPr>
        <w:t>People v. Page</w:t>
      </w:r>
      <w:r w:rsidR="00973706">
        <w:t xml:space="preserve"> (2017) 3 Cal.5th</w:t>
      </w:r>
      <w:r w:rsidR="005B5A22">
        <w:t xml:space="preserve"> 1175, 1179.)  T</w:t>
      </w:r>
      <w:r w:rsidR="004E5394">
        <w:t xml:space="preserve">hose </w:t>
      </w:r>
      <w:r w:rsidR="008706A9">
        <w:t>who had already completed a felony sentence</w:t>
      </w:r>
      <w:r w:rsidR="005B5A22">
        <w:t xml:space="preserve"> could apply</w:t>
      </w:r>
      <w:r w:rsidR="004E5394">
        <w:t xml:space="preserve"> to have the </w:t>
      </w:r>
      <w:r w:rsidR="00973706">
        <w:t xml:space="preserve">felony redesignated as a misdemeanor.  (§ 1170.18, subds. (f)–(h).)  </w:t>
      </w:r>
      <w:r w:rsidR="005B5A22">
        <w:t>Notably</w:t>
      </w:r>
      <w:r w:rsidR="00973706">
        <w:t xml:space="preserve">, the initiative </w:t>
      </w:r>
      <w:r w:rsidR="008706A9">
        <w:t xml:space="preserve">gives </w:t>
      </w:r>
      <w:r w:rsidR="00973706">
        <w:t xml:space="preserve">redesignation </w:t>
      </w:r>
      <w:r w:rsidR="008706A9">
        <w:t>broad effect</w:t>
      </w:r>
      <w:r w:rsidR="002C3FB0">
        <w:t>:  “A</w:t>
      </w:r>
      <w:r w:rsidR="00973706">
        <w:t xml:space="preserve"> felony conviction that is recalled and resentenced under subdivision (b) or designated as a misdemeanor under subdivision (g) shall be considered a misdemeanor for all purposes</w:t>
      </w:r>
      <w:r w:rsidR="008706A9">
        <w:t xml:space="preserve"> . . . .</w:t>
      </w:r>
      <w:r w:rsidR="00973706">
        <w:t>”  (§ 1170.18, subd. (k).)</w:t>
      </w:r>
      <w:r>
        <w:rPr>
          <w:rStyle w:val="FootnoteReference"/>
        </w:rPr>
        <w:footnoteReference w:id="5"/>
      </w:r>
    </w:p>
    <w:p w:rsidR="00AF7570" w:rsidRPr="00AF7570" w:rsidP="00AF7570">
      <w:pPr>
        <w:tabs>
          <w:tab w:val="left" w:pos="1440"/>
        </w:tabs>
        <w:spacing w:line="480" w:lineRule="atLeast"/>
        <w:ind w:firstLine="720"/>
      </w:pPr>
      <w:r>
        <w:t>N</w:t>
      </w:r>
      <w:r w:rsidR="00C2393B">
        <w:t>o</w:t>
      </w:r>
      <w:r w:rsidR="00160863">
        <w:t xml:space="preserve">thing in the text of section 1170.18 </w:t>
      </w:r>
      <w:r w:rsidR="000F267E">
        <w:t>explicit</w:t>
      </w:r>
      <w:r w:rsidR="00160863">
        <w:t>ly applies to juveniles.  T</w:t>
      </w:r>
      <w:r w:rsidR="00326DBD">
        <w:t>he various provisions for resentencing or redesignation</w:t>
      </w:r>
      <w:r w:rsidR="00160863">
        <w:t xml:space="preserve"> speak entirely in terms of sentences and convictions, as opposed to juvenile adjudications.  (See, e.g., § 1170.18, subds. (a), (b), (f), (k).)  </w:t>
      </w:r>
      <w:r w:rsidR="000D787B">
        <w:t>“</w:t>
      </w:r>
      <w:r w:rsidR="0085231B">
        <w:t>A</w:t>
      </w:r>
      <w:r w:rsidR="00160863">
        <w:t xml:space="preserve"> juvenile adjudication is not a conviction.”  (</w:t>
      </w:r>
      <w:r w:rsidR="00160863">
        <w:rPr>
          <w:i/>
        </w:rPr>
        <w:t>People v. Robinson</w:t>
      </w:r>
      <w:r w:rsidR="00160863">
        <w:t xml:space="preserve"> (2010) 47 Cal.4th </w:t>
      </w:r>
      <w:r w:rsidR="000D787B">
        <w:t xml:space="preserve">1104, 1117, fn. 14; see Welf. &amp; Inst. </w:t>
      </w:r>
      <w:r w:rsidR="004E5394">
        <w:t xml:space="preserve">Code, § 203.)  </w:t>
      </w:r>
      <w:r w:rsidR="00C24859">
        <w:t xml:space="preserve">However, </w:t>
      </w:r>
      <w:r w:rsidR="000D787B">
        <w:rPr>
          <w:i/>
        </w:rPr>
        <w:t>Alejandro N. v. Superior Court</w:t>
      </w:r>
      <w:r w:rsidR="002C3FB0">
        <w:t xml:space="preserve">, </w:t>
      </w:r>
      <w:r w:rsidRPr="002C3FB0" w:rsidR="002C3FB0">
        <w:rPr>
          <w:i/>
        </w:rPr>
        <w:t>supra</w:t>
      </w:r>
      <w:r w:rsidR="002C3FB0">
        <w:t>,</w:t>
      </w:r>
      <w:r w:rsidR="000D787B">
        <w:t xml:space="preserve"> </w:t>
      </w:r>
      <w:r w:rsidR="002C3FB0">
        <w:t>238 Cal.App.4th at pp.</w:t>
      </w:r>
      <w:r w:rsidR="008275C5">
        <w:t> </w:t>
      </w:r>
      <w:r w:rsidR="005822B4">
        <w:t>1224–1226</w:t>
      </w:r>
      <w:r w:rsidR="00C24859">
        <w:t>,</w:t>
      </w:r>
      <w:r w:rsidR="004E5394">
        <w:t xml:space="preserve"> concluded section 1170.18 applies equally to juveniles.  T</w:t>
      </w:r>
      <w:r w:rsidR="00D11E2A">
        <w:t>he People do not contest</w:t>
      </w:r>
      <w:r w:rsidR="0097247D">
        <w:t xml:space="preserve"> </w:t>
      </w:r>
      <w:r>
        <w:t>the</w:t>
      </w:r>
      <w:r w:rsidR="0097247D">
        <w:t xml:space="preserve"> application to</w:t>
      </w:r>
      <w:r>
        <w:t xml:space="preserve"> </w:t>
      </w:r>
      <w:r w:rsidR="0097247D">
        <w:t xml:space="preserve">juvenile cases, </w:t>
      </w:r>
      <w:r w:rsidR="00C24859">
        <w:t>and we accept the People’s concession.</w:t>
      </w:r>
    </w:p>
    <w:p w:rsidR="00AF7570" w:rsidRPr="00E847D3" w:rsidP="00AF7570">
      <w:pPr>
        <w:tabs>
          <w:tab w:val="left" w:pos="1440"/>
        </w:tabs>
        <w:spacing w:before="240" w:line="240" w:lineRule="atLeast"/>
        <w:ind w:left="1440" w:hanging="720"/>
        <w:rPr>
          <w:szCs w:val="26"/>
        </w:rPr>
      </w:pPr>
      <w:r>
        <w:rPr>
          <w:szCs w:val="26"/>
        </w:rPr>
        <w:t>B</w:t>
      </w:r>
      <w:r>
        <w:rPr>
          <w:szCs w:val="26"/>
        </w:rPr>
        <w:t>.</w:t>
      </w:r>
      <w:r>
        <w:rPr>
          <w:szCs w:val="26"/>
        </w:rPr>
        <w:tab/>
      </w:r>
      <w:r>
        <w:rPr>
          <w:i/>
          <w:szCs w:val="26"/>
        </w:rPr>
        <w:t>The Scope of the Statutory Entitlement to Expungement from the State Databank</w:t>
      </w:r>
    </w:p>
    <w:p w:rsidR="00936A73" w:rsidRPr="00EE0D16" w:rsidP="00D07C20">
      <w:pPr>
        <w:tabs>
          <w:tab w:val="left" w:pos="1440"/>
        </w:tabs>
        <w:spacing w:line="480" w:lineRule="atLeast"/>
        <w:ind w:firstLine="720"/>
        <w:rPr>
          <w:rFonts w:cs="Calibri"/>
        </w:rPr>
      </w:pPr>
      <w:r w:rsidRPr="00EE0D16">
        <w:rPr>
          <w:rFonts w:cs="Calibri"/>
        </w:rPr>
        <w:t xml:space="preserve">C.B. </w:t>
      </w:r>
      <w:r w:rsidRPr="00EE0D16" w:rsidR="00811862">
        <w:rPr>
          <w:rFonts w:cs="Calibri"/>
        </w:rPr>
        <w:t>and C.H. argue</w:t>
      </w:r>
      <w:r w:rsidRPr="00EE0D16">
        <w:rPr>
          <w:rFonts w:cs="Calibri"/>
        </w:rPr>
        <w:t xml:space="preserve"> Proposition 47’s “misdemeanor for all purposes” requirement (§ 1170.18, subd. (k))</w:t>
      </w:r>
      <w:r w:rsidRPr="00EE0D16" w:rsidR="00811862">
        <w:rPr>
          <w:rFonts w:cs="Calibri"/>
        </w:rPr>
        <w:t xml:space="preserve"> entitle</w:t>
      </w:r>
      <w:r w:rsidRPr="00EE0D16" w:rsidR="00326DBD">
        <w:rPr>
          <w:rFonts w:cs="Calibri"/>
        </w:rPr>
        <w:t>s</w:t>
      </w:r>
      <w:r w:rsidRPr="00EE0D16" w:rsidR="00811862">
        <w:rPr>
          <w:rFonts w:cs="Calibri"/>
        </w:rPr>
        <w:t xml:space="preserve"> the</w:t>
      </w:r>
      <w:r w:rsidRPr="00EE0D16">
        <w:rPr>
          <w:rFonts w:cs="Calibri"/>
        </w:rPr>
        <w:t xml:space="preserve">m to exclusion from the DNA </w:t>
      </w:r>
      <w:r w:rsidRPr="00EE0D16" w:rsidR="002641B6">
        <w:rPr>
          <w:rFonts w:cs="Calibri"/>
        </w:rPr>
        <w:t>databank</w:t>
      </w:r>
      <w:r w:rsidRPr="00EE0D16">
        <w:rPr>
          <w:rFonts w:cs="Calibri"/>
        </w:rPr>
        <w:t xml:space="preserve">.  That contention hinges on the construction of two different voter </w:t>
      </w:r>
      <w:r w:rsidRPr="00EE0D16" w:rsidR="00326DBD">
        <w:rPr>
          <w:rFonts w:cs="Calibri"/>
        </w:rPr>
        <w:t>enactments, Proposition</w:t>
      </w:r>
      <w:r w:rsidRPr="00EE0D16">
        <w:rPr>
          <w:rFonts w:cs="Calibri"/>
        </w:rPr>
        <w:t xml:space="preserve"> 69</w:t>
      </w:r>
      <w:r w:rsidRPr="00EE0D16" w:rsidR="00326DBD">
        <w:rPr>
          <w:rFonts w:cs="Calibri"/>
        </w:rPr>
        <w:t>, which expanded the databank,</w:t>
      </w:r>
      <w:r w:rsidRPr="00EE0D16">
        <w:rPr>
          <w:rFonts w:cs="Calibri"/>
        </w:rPr>
        <w:t xml:space="preserve"> and </w:t>
      </w:r>
      <w:r w:rsidRPr="00EE0D16" w:rsidR="00326DBD">
        <w:rPr>
          <w:rFonts w:cs="Calibri"/>
        </w:rPr>
        <w:t xml:space="preserve">Proposition </w:t>
      </w:r>
      <w:r w:rsidRPr="00EE0D16">
        <w:rPr>
          <w:rFonts w:cs="Calibri"/>
        </w:rPr>
        <w:t>47</w:t>
      </w:r>
      <w:r w:rsidRPr="00EE0D16" w:rsidR="00326DBD">
        <w:rPr>
          <w:rFonts w:cs="Calibri"/>
        </w:rPr>
        <w:t>, which reclassified various offenses</w:t>
      </w:r>
      <w:r w:rsidRPr="00EE0D16">
        <w:rPr>
          <w:rFonts w:cs="Calibri"/>
        </w:rPr>
        <w:t>.  We apply the same interpretive principles to initiatives as to legislative enactments, beginning with the text as the best guide to voter intent and turning to extrinsic source</w:t>
      </w:r>
      <w:r w:rsidRPr="00EE0D16" w:rsidR="005651F0">
        <w:rPr>
          <w:rFonts w:cs="Calibri"/>
        </w:rPr>
        <w:t xml:space="preserve">s such as ballot materials </w:t>
      </w:r>
      <w:r w:rsidRPr="00EE0D16" w:rsidR="00326DBD">
        <w:rPr>
          <w:rFonts w:cs="Calibri"/>
        </w:rPr>
        <w:t xml:space="preserve">when necessary </w:t>
      </w:r>
      <w:r w:rsidRPr="00EE0D16" w:rsidR="005651F0">
        <w:rPr>
          <w:rFonts w:cs="Calibri"/>
        </w:rPr>
        <w:t>to resolve</w:t>
      </w:r>
      <w:r w:rsidRPr="00EE0D16">
        <w:rPr>
          <w:rFonts w:cs="Calibri"/>
        </w:rPr>
        <w:t xml:space="preserve"> ambiguities.  (</w:t>
      </w:r>
      <w:r w:rsidRPr="00EE0D16" w:rsidR="00ED7F95">
        <w:rPr>
          <w:rFonts w:cs="Calibri"/>
          <w:i/>
        </w:rPr>
        <w:t>People v. Park</w:t>
      </w:r>
      <w:r w:rsidRPr="00EE0D16" w:rsidR="00ED7F95">
        <w:rPr>
          <w:rFonts w:cs="Calibri"/>
        </w:rPr>
        <w:t xml:space="preserve"> (2013) 56 Cal.4th 782, 796</w:t>
      </w:r>
      <w:r w:rsidRPr="00EE0D16" w:rsidR="000B05F7">
        <w:rPr>
          <w:rFonts w:cs="Calibri"/>
        </w:rPr>
        <w:softHyphen/>
        <w:t>–798</w:t>
      </w:r>
      <w:r w:rsidRPr="00EE0D16" w:rsidR="00ED7F95">
        <w:rPr>
          <w:rFonts w:cs="Calibri"/>
        </w:rPr>
        <w:t xml:space="preserve">; </w:t>
      </w:r>
      <w:r w:rsidRPr="00EE0D16">
        <w:rPr>
          <w:rFonts w:cs="Calibri"/>
          <w:i/>
        </w:rPr>
        <w:t>Kwikset Corp. v. Superior Court</w:t>
      </w:r>
      <w:r w:rsidRPr="00EE0D16">
        <w:rPr>
          <w:rFonts w:cs="Calibri"/>
        </w:rPr>
        <w:t xml:space="preserve"> (2011) 51 Cal.4th </w:t>
      </w:r>
      <w:r w:rsidRPr="00EE0D16" w:rsidR="00825D56">
        <w:rPr>
          <w:rFonts w:cs="Calibri"/>
        </w:rPr>
        <w:t>310, 321</w:t>
      </w:r>
      <w:r w:rsidRPr="00EE0D16" w:rsidR="005651F0">
        <w:rPr>
          <w:rFonts w:cs="Calibri"/>
        </w:rPr>
        <w:t>.</w:t>
      </w:r>
      <w:r w:rsidRPr="00EE0D16">
        <w:rPr>
          <w:rFonts w:cs="Calibri"/>
        </w:rPr>
        <w:t>)</w:t>
      </w:r>
      <w:r w:rsidRPr="00EE0D16" w:rsidR="005651F0">
        <w:rPr>
          <w:rFonts w:cs="Calibri"/>
        </w:rPr>
        <w:t xml:space="preserve">  Where possible, we </w:t>
      </w:r>
      <w:r w:rsidRPr="00EE0D16" w:rsidR="00326DBD">
        <w:rPr>
          <w:rFonts w:cs="Calibri"/>
        </w:rPr>
        <w:t>seek</w:t>
      </w:r>
      <w:r w:rsidRPr="00EE0D16" w:rsidR="005651F0">
        <w:rPr>
          <w:rFonts w:cs="Calibri"/>
        </w:rPr>
        <w:t xml:space="preserve"> to harmonize the measures, giving full effect to each.  (</w:t>
      </w:r>
      <w:r w:rsidRPr="00EE0D16" w:rsidR="00C92446">
        <w:rPr>
          <w:rFonts w:cs="Calibri"/>
          <w:i/>
        </w:rPr>
        <w:t>State Farm Mutual Automobile Ins. Co.</w:t>
      </w:r>
      <w:r w:rsidRPr="00EE0D16" w:rsidR="002C3FB0">
        <w:rPr>
          <w:rFonts w:cs="Calibri"/>
          <w:i/>
        </w:rPr>
        <w:t xml:space="preserve"> v. Garamendi</w:t>
      </w:r>
      <w:r w:rsidRPr="00EE0D16" w:rsidR="00C92446">
        <w:rPr>
          <w:rFonts w:cs="Calibri"/>
        </w:rPr>
        <w:t xml:space="preserve"> (2004) 32 Cal.4th 1029, 1043.)</w:t>
      </w:r>
    </w:p>
    <w:p w:rsidR="00AF7570" w:rsidRPr="00601422" w:rsidP="00AF7570">
      <w:pPr>
        <w:tabs>
          <w:tab w:val="left" w:pos="1440"/>
        </w:tabs>
        <w:spacing w:line="480" w:lineRule="atLeast"/>
        <w:ind w:firstLine="720"/>
      </w:pPr>
      <w:r>
        <w:tab/>
        <w:t>1</w:t>
      </w:r>
      <w:r>
        <w:t>.</w:t>
      </w:r>
      <w:r>
        <w:tab/>
      </w:r>
      <w:r w:rsidRPr="00936A73">
        <w:rPr>
          <w:i/>
        </w:rPr>
        <w:t>Text</w:t>
      </w:r>
    </w:p>
    <w:p w:rsidR="00E87A2D" w:rsidRPr="00EE0D16" w:rsidP="006D5E9D">
      <w:pPr>
        <w:tabs>
          <w:tab w:val="left" w:pos="1440"/>
        </w:tabs>
        <w:spacing w:line="480" w:lineRule="atLeast"/>
        <w:ind w:firstLine="720"/>
        <w:rPr>
          <w:rFonts w:cs="Calibri"/>
        </w:rPr>
      </w:pPr>
      <w:r w:rsidRPr="00EE0D16">
        <w:rPr>
          <w:rFonts w:cs="Calibri"/>
        </w:rPr>
        <w:t>T</w:t>
      </w:r>
      <w:r w:rsidRPr="00EE0D16" w:rsidR="00F10ACD">
        <w:rPr>
          <w:rFonts w:cs="Calibri"/>
        </w:rPr>
        <w:t>he DNA Act, as modified by Proposition 69</w:t>
      </w:r>
      <w:r w:rsidRPr="00EE0D16">
        <w:rPr>
          <w:rFonts w:cs="Calibri"/>
        </w:rPr>
        <w:t xml:space="preserve">, </w:t>
      </w:r>
      <w:r w:rsidRPr="00EE0D16" w:rsidR="00326DBD">
        <w:rPr>
          <w:rFonts w:cs="Calibri"/>
        </w:rPr>
        <w:t xml:space="preserve">identifies </w:t>
      </w:r>
      <w:r w:rsidRPr="00EE0D16" w:rsidR="008137A4">
        <w:rPr>
          <w:rFonts w:cs="Calibri"/>
        </w:rPr>
        <w:t>those who m</w:t>
      </w:r>
      <w:r w:rsidRPr="00EE0D16">
        <w:rPr>
          <w:rFonts w:cs="Calibri"/>
        </w:rPr>
        <w:t>ust provide</w:t>
      </w:r>
      <w:r w:rsidRPr="00EE0D16" w:rsidR="00EB0838">
        <w:rPr>
          <w:rFonts w:cs="Calibri"/>
        </w:rPr>
        <w:t xml:space="preserve"> samples for </w:t>
      </w:r>
      <w:r w:rsidRPr="00EE0D16" w:rsidR="00671DB7">
        <w:rPr>
          <w:rFonts w:cs="Calibri"/>
        </w:rPr>
        <w:t>the databank</w:t>
      </w:r>
      <w:r w:rsidRPr="00EE0D16" w:rsidR="008137A4">
        <w:rPr>
          <w:rFonts w:cs="Calibri"/>
        </w:rPr>
        <w:t>.</w:t>
      </w:r>
      <w:r w:rsidRPr="00EE0D16" w:rsidR="00325403">
        <w:rPr>
          <w:rFonts w:cs="Calibri"/>
        </w:rPr>
        <w:t xml:space="preserve">  Since 2004, </w:t>
      </w:r>
      <w:r w:rsidRPr="00EE0D16">
        <w:rPr>
          <w:rFonts w:cs="Calibri"/>
        </w:rPr>
        <w:t>that group</w:t>
      </w:r>
      <w:r w:rsidRPr="00EE0D16" w:rsidR="00325403">
        <w:rPr>
          <w:rFonts w:cs="Calibri"/>
        </w:rPr>
        <w:t xml:space="preserve"> has </w:t>
      </w:r>
      <w:r w:rsidRPr="00EE0D16">
        <w:rPr>
          <w:rFonts w:cs="Calibri"/>
        </w:rPr>
        <w:t>included</w:t>
      </w:r>
      <w:r w:rsidRPr="00EE0D16" w:rsidR="00084068">
        <w:rPr>
          <w:rFonts w:cs="Calibri"/>
        </w:rPr>
        <w:t xml:space="preserve"> “any juvenile who is adjudicated under Section 602 of the Welfare and Institutions Code for committing any felony offense.”  (§ 296, subd. (a)(1).)  </w:t>
      </w:r>
      <w:r w:rsidRPr="00EE0D16">
        <w:rPr>
          <w:rFonts w:cs="Calibri"/>
        </w:rPr>
        <w:t xml:space="preserve">C.B. and C.H. became obligated to submit samples when </w:t>
      </w:r>
      <w:r w:rsidR="000F267E">
        <w:rPr>
          <w:rFonts w:cs="Calibri"/>
        </w:rPr>
        <w:t xml:space="preserve">they were found to have committed </w:t>
      </w:r>
      <w:r w:rsidR="00B56F1C">
        <w:rPr>
          <w:rFonts w:cs="Calibri"/>
        </w:rPr>
        <w:t>felonies</w:t>
      </w:r>
      <w:r w:rsidRPr="00EE0D16">
        <w:rPr>
          <w:rFonts w:cs="Calibri"/>
        </w:rPr>
        <w:t>.  C.B. and C.H.</w:t>
      </w:r>
      <w:r w:rsidRPr="00EE0D16" w:rsidR="00084068">
        <w:rPr>
          <w:rFonts w:cs="Calibri"/>
        </w:rPr>
        <w:t xml:space="preserve"> would not </w:t>
      </w:r>
      <w:r w:rsidRPr="00EE0D16" w:rsidR="00326DBD">
        <w:rPr>
          <w:rFonts w:cs="Calibri"/>
        </w:rPr>
        <w:t xml:space="preserve">be under </w:t>
      </w:r>
      <w:r w:rsidRPr="00EE0D16" w:rsidR="00157EC6">
        <w:rPr>
          <w:rFonts w:cs="Calibri"/>
        </w:rPr>
        <w:t xml:space="preserve">a similar obligation </w:t>
      </w:r>
      <w:r w:rsidRPr="00EE0D16" w:rsidR="002C3FB0">
        <w:rPr>
          <w:rFonts w:cs="Calibri"/>
        </w:rPr>
        <w:t>today because Proposition 47 reclassified various crimes, including theirs, from felonies to misdemeanors</w:t>
      </w:r>
      <w:r w:rsidRPr="00EE0D16" w:rsidR="00DB31F8">
        <w:rPr>
          <w:rFonts w:cs="Calibri"/>
        </w:rPr>
        <w:t>.  (See § 490</w:t>
      </w:r>
      <w:r w:rsidRPr="00EE0D16">
        <w:rPr>
          <w:rFonts w:cs="Calibri"/>
        </w:rPr>
        <w:t xml:space="preserve">.2, </w:t>
      </w:r>
      <w:r w:rsidR="004E396D">
        <w:rPr>
          <w:rFonts w:cs="Calibri"/>
        </w:rPr>
        <w:t>added</w:t>
      </w:r>
      <w:r w:rsidRPr="00EE0D16">
        <w:rPr>
          <w:rFonts w:cs="Calibri"/>
        </w:rPr>
        <w:t xml:space="preserve"> by Prop. 47, § 8.)</w:t>
      </w:r>
    </w:p>
    <w:p w:rsidR="000B2F0E" w:rsidRPr="00E4055A" w:rsidP="006D5E9D">
      <w:pPr>
        <w:tabs>
          <w:tab w:val="left" w:pos="1440"/>
        </w:tabs>
        <w:spacing w:line="480" w:lineRule="atLeast"/>
        <w:ind w:firstLine="720"/>
        <w:rPr>
          <w:rFonts w:cs="Calibri"/>
          <w:b/>
        </w:rPr>
      </w:pPr>
      <w:r w:rsidRPr="00EE0D16">
        <w:rPr>
          <w:rFonts w:cs="Calibri"/>
        </w:rPr>
        <w:t xml:space="preserve">With respect to sample </w:t>
      </w:r>
      <w:r w:rsidRPr="005B5A22">
        <w:rPr>
          <w:rFonts w:cs="Calibri"/>
          <w:i/>
        </w:rPr>
        <w:t>submission</w:t>
      </w:r>
      <w:r w:rsidRPr="00EE0D16" w:rsidR="00157EC6">
        <w:rPr>
          <w:rFonts w:cs="Calibri"/>
        </w:rPr>
        <w:t>, Propositions 69 and 47 interact harmoniously.  Proposition 69 identifies</w:t>
      </w:r>
      <w:r w:rsidRPr="00EE0D16" w:rsidR="00C24859">
        <w:rPr>
          <w:rFonts w:cs="Calibri"/>
        </w:rPr>
        <w:t>,</w:t>
      </w:r>
      <w:r w:rsidRPr="00EE0D16" w:rsidR="00157EC6">
        <w:rPr>
          <w:rFonts w:cs="Calibri"/>
        </w:rPr>
        <w:t xml:space="preserve"> in the abstract</w:t>
      </w:r>
      <w:r w:rsidRPr="00EE0D16" w:rsidR="00C24859">
        <w:rPr>
          <w:rFonts w:cs="Calibri"/>
        </w:rPr>
        <w:t>,</w:t>
      </w:r>
      <w:r w:rsidRPr="00EE0D16" w:rsidR="00157EC6">
        <w:rPr>
          <w:rFonts w:cs="Calibri"/>
        </w:rPr>
        <w:t xml:space="preserve"> juveniles who must submi</w:t>
      </w:r>
      <w:r w:rsidRPr="00EE0D16">
        <w:rPr>
          <w:rFonts w:cs="Calibri"/>
        </w:rPr>
        <w:t xml:space="preserve">t samples, principally </w:t>
      </w:r>
      <w:r w:rsidRPr="00EE0D16" w:rsidR="00B86096">
        <w:rPr>
          <w:rFonts w:cs="Calibri"/>
        </w:rPr>
        <w:t xml:space="preserve">those adjudicated </w:t>
      </w:r>
      <w:r w:rsidRPr="00EE0D16" w:rsidR="00157EC6">
        <w:rPr>
          <w:rFonts w:cs="Calibri"/>
        </w:rPr>
        <w:t>ward</w:t>
      </w:r>
      <w:r w:rsidRPr="00EE0D16">
        <w:rPr>
          <w:rFonts w:cs="Calibri"/>
        </w:rPr>
        <w:t>s for having committed felonies</w:t>
      </w:r>
      <w:r w:rsidRPr="00EE0D16" w:rsidR="00C24859">
        <w:rPr>
          <w:rFonts w:cs="Calibri"/>
        </w:rPr>
        <w:t xml:space="preserve">.  </w:t>
      </w:r>
      <w:r w:rsidRPr="00EE0D16" w:rsidR="00084068">
        <w:rPr>
          <w:rFonts w:cs="Calibri"/>
        </w:rPr>
        <w:t xml:space="preserve">Proposition 47 operates prospectively to </w:t>
      </w:r>
      <w:r w:rsidRPr="00EE0D16">
        <w:rPr>
          <w:rFonts w:cs="Calibri"/>
        </w:rPr>
        <w:t>narrow</w:t>
      </w:r>
      <w:r w:rsidRPr="00EE0D16" w:rsidR="00084068">
        <w:rPr>
          <w:rFonts w:cs="Calibri"/>
        </w:rPr>
        <w:t xml:space="preserve"> the class of juveniles who must submit samples</w:t>
      </w:r>
      <w:r w:rsidRPr="00EE0D16" w:rsidR="00157EC6">
        <w:rPr>
          <w:rFonts w:cs="Calibri"/>
        </w:rPr>
        <w:t xml:space="preserve"> b</w:t>
      </w:r>
      <w:r w:rsidRPr="00EE0D16" w:rsidR="00DB31F8">
        <w:rPr>
          <w:rFonts w:cs="Calibri"/>
        </w:rPr>
        <w:t xml:space="preserve">ecause it </w:t>
      </w:r>
      <w:r w:rsidRPr="00EE0D16">
        <w:rPr>
          <w:rFonts w:cs="Calibri"/>
        </w:rPr>
        <w:t>redefin</w:t>
      </w:r>
      <w:r w:rsidRPr="00EE0D16" w:rsidR="00DB31F8">
        <w:rPr>
          <w:rFonts w:cs="Calibri"/>
        </w:rPr>
        <w:t>es</w:t>
      </w:r>
      <w:r w:rsidRPr="00EE0D16" w:rsidR="00157EC6">
        <w:rPr>
          <w:rFonts w:cs="Calibri"/>
        </w:rPr>
        <w:t xml:space="preserve"> what </w:t>
      </w:r>
      <w:r w:rsidR="005B5A22">
        <w:rPr>
          <w:rFonts w:cs="Calibri"/>
        </w:rPr>
        <w:t xml:space="preserve">offenses </w:t>
      </w:r>
      <w:r w:rsidRPr="00EE0D16" w:rsidR="00157EC6">
        <w:rPr>
          <w:rFonts w:cs="Calibri"/>
        </w:rPr>
        <w:t>a</w:t>
      </w:r>
      <w:r w:rsidR="005B5A22">
        <w:rPr>
          <w:rFonts w:cs="Calibri"/>
        </w:rPr>
        <w:t>re felonies</w:t>
      </w:r>
      <w:r w:rsidRPr="00EE0D16" w:rsidR="00084068">
        <w:rPr>
          <w:rFonts w:cs="Calibri"/>
        </w:rPr>
        <w:t>.</w:t>
      </w:r>
      <w:r w:rsidR="008A4CBD">
        <w:rPr>
          <w:rFonts w:cs="Calibri"/>
        </w:rPr>
        <w:t xml:space="preserve">  </w:t>
      </w:r>
      <w:r w:rsidRPr="00EE0D16" w:rsidR="00C24859">
        <w:rPr>
          <w:rFonts w:cs="Calibri"/>
        </w:rPr>
        <w:t>While</w:t>
      </w:r>
      <w:r w:rsidRPr="00EE0D16" w:rsidR="00157EC6">
        <w:rPr>
          <w:rFonts w:cs="Calibri"/>
        </w:rPr>
        <w:t xml:space="preserve"> </w:t>
      </w:r>
      <w:r w:rsidR="008A4CBD">
        <w:rPr>
          <w:rFonts w:cs="Calibri"/>
        </w:rPr>
        <w:t xml:space="preserve">Proposition 47 spares </w:t>
      </w:r>
      <w:r w:rsidRPr="00EE0D16" w:rsidR="00157EC6">
        <w:rPr>
          <w:rFonts w:cs="Calibri"/>
        </w:rPr>
        <w:t xml:space="preserve">some </w:t>
      </w:r>
      <w:r w:rsidR="008A4CBD">
        <w:rPr>
          <w:rFonts w:cs="Calibri"/>
        </w:rPr>
        <w:t>future offenders</w:t>
      </w:r>
      <w:r w:rsidRPr="00EE0D16" w:rsidR="00157EC6">
        <w:rPr>
          <w:rFonts w:cs="Calibri"/>
        </w:rPr>
        <w:t xml:space="preserve"> </w:t>
      </w:r>
      <w:r w:rsidR="008A4CBD">
        <w:rPr>
          <w:rFonts w:cs="Calibri"/>
        </w:rPr>
        <w:t xml:space="preserve">a </w:t>
      </w:r>
      <w:r w:rsidRPr="00EE0D16" w:rsidR="00157EC6">
        <w:rPr>
          <w:rFonts w:cs="Calibri"/>
        </w:rPr>
        <w:t>duty to submit samples</w:t>
      </w:r>
      <w:r w:rsidRPr="00EE0D16" w:rsidR="00C24859">
        <w:rPr>
          <w:rFonts w:cs="Calibri"/>
        </w:rPr>
        <w:t xml:space="preserve">, </w:t>
      </w:r>
      <w:r w:rsidR="008A4CBD">
        <w:rPr>
          <w:rFonts w:cs="Calibri"/>
        </w:rPr>
        <w:t xml:space="preserve">it does not alter the past reality </w:t>
      </w:r>
      <w:r w:rsidRPr="00EE0D16" w:rsidR="00C24859">
        <w:rPr>
          <w:rFonts w:cs="Calibri"/>
        </w:rPr>
        <w:t xml:space="preserve">that </w:t>
      </w:r>
      <w:r w:rsidR="00BF4AB2">
        <w:rPr>
          <w:rFonts w:cs="Calibri"/>
        </w:rPr>
        <w:t>C.B. and C.H.</w:t>
      </w:r>
      <w:r w:rsidRPr="00EE0D16" w:rsidR="00C24859">
        <w:rPr>
          <w:rFonts w:cs="Calibri"/>
        </w:rPr>
        <w:t xml:space="preserve"> were adjudicated to have committed felonies and were obligated </w:t>
      </w:r>
      <w:r w:rsidR="008A4CBD">
        <w:rPr>
          <w:rFonts w:cs="Calibri"/>
        </w:rPr>
        <w:t xml:space="preserve">at the time </w:t>
      </w:r>
      <w:r w:rsidRPr="00EE0D16" w:rsidR="00C24859">
        <w:rPr>
          <w:rFonts w:cs="Calibri"/>
        </w:rPr>
        <w:t>to provide samples</w:t>
      </w:r>
      <w:r w:rsidRPr="00EE0D16" w:rsidR="00157EC6">
        <w:rPr>
          <w:rFonts w:cs="Calibri"/>
        </w:rPr>
        <w:t xml:space="preserve"> </w:t>
      </w:r>
      <w:r w:rsidRPr="00EE0D16" w:rsidR="00C24859">
        <w:rPr>
          <w:rFonts w:cs="Calibri"/>
        </w:rPr>
        <w:t>based on those adjudications</w:t>
      </w:r>
      <w:r w:rsidRPr="00EE0D16" w:rsidR="00157EC6">
        <w:rPr>
          <w:rFonts w:cs="Calibri"/>
        </w:rPr>
        <w:t>.</w:t>
      </w:r>
    </w:p>
    <w:p w:rsidR="00936A73" w:rsidRPr="00EE0D16" w:rsidP="006D5E9D">
      <w:pPr>
        <w:tabs>
          <w:tab w:val="left" w:pos="1440"/>
        </w:tabs>
        <w:spacing w:line="480" w:lineRule="atLeast"/>
        <w:ind w:firstLine="720"/>
        <w:rPr>
          <w:rFonts w:cs="Calibri"/>
        </w:rPr>
      </w:pPr>
      <w:r w:rsidRPr="00EE0D16">
        <w:rPr>
          <w:rFonts w:cs="Calibri"/>
        </w:rPr>
        <w:t>Section 299</w:t>
      </w:r>
      <w:r w:rsidRPr="00EE0D16" w:rsidR="006D5E9D">
        <w:rPr>
          <w:rFonts w:cs="Calibri"/>
        </w:rPr>
        <w:t xml:space="preserve"> governs </w:t>
      </w:r>
      <w:r w:rsidRPr="005B5A22" w:rsidR="006D5E9D">
        <w:rPr>
          <w:rFonts w:cs="Calibri"/>
          <w:i/>
        </w:rPr>
        <w:t>retention</w:t>
      </w:r>
      <w:r w:rsidRPr="00EE0D16">
        <w:rPr>
          <w:rFonts w:cs="Calibri"/>
        </w:rPr>
        <w:t xml:space="preserve"> of samples after </w:t>
      </w:r>
      <w:r w:rsidRPr="00EE0D16" w:rsidR="00DB31F8">
        <w:rPr>
          <w:rFonts w:cs="Calibri"/>
        </w:rPr>
        <w:t>they have been submitted</w:t>
      </w:r>
      <w:r w:rsidRPr="00EE0D16" w:rsidR="006D5E9D">
        <w:rPr>
          <w:rFonts w:cs="Calibri"/>
        </w:rPr>
        <w:t>.</w:t>
      </w:r>
      <w:r w:rsidRPr="00671DB7" w:rsidR="006D5E9D">
        <w:t xml:space="preserve">  </w:t>
      </w:r>
      <w:r w:rsidRPr="00EE0D16" w:rsidR="007032C6">
        <w:rPr>
          <w:rFonts w:cs="Calibri"/>
        </w:rPr>
        <w:t>S</w:t>
      </w:r>
      <w:r w:rsidRPr="00EE0D16" w:rsidR="0037032B">
        <w:rPr>
          <w:rFonts w:cs="Calibri"/>
        </w:rPr>
        <w:t>ection 299, s</w:t>
      </w:r>
      <w:r w:rsidRPr="00EE0D16" w:rsidR="007032C6">
        <w:rPr>
          <w:rFonts w:cs="Calibri"/>
        </w:rPr>
        <w:t>ubdivi</w:t>
      </w:r>
      <w:r w:rsidRPr="007032C6" w:rsidR="007032C6">
        <w:rPr>
          <w:szCs w:val="26"/>
        </w:rPr>
        <w:t>sion (a)</w:t>
      </w:r>
      <w:r w:rsidR="00B861B2">
        <w:rPr>
          <w:szCs w:val="26"/>
        </w:rPr>
        <w:t>, says</w:t>
      </w:r>
      <w:r w:rsidRPr="007032C6" w:rsidR="007032C6">
        <w:rPr>
          <w:szCs w:val="26"/>
        </w:rPr>
        <w:t xml:space="preserve">: </w:t>
      </w:r>
      <w:r w:rsidR="00B861B2">
        <w:rPr>
          <w:szCs w:val="26"/>
        </w:rPr>
        <w:t xml:space="preserve"> </w:t>
      </w:r>
      <w:r w:rsidRPr="007032C6" w:rsidR="007032C6">
        <w:rPr>
          <w:szCs w:val="26"/>
        </w:rPr>
        <w:t>“</w:t>
      </w:r>
      <w:r w:rsidRPr="007032C6">
        <w:rPr>
          <w:szCs w:val="26"/>
          <w:bdr w:val="none" w:sz="0" w:space="0" w:color="auto" w:frame="1"/>
        </w:rPr>
        <w:t>A person whose DNA profile has been included in the databank pursuant to this chapter shall have his or her DNA specimen and sample destroyed and searchable database profile expunged from the databank program pursuant to the procedures set forth in subdivision (b) if the person has no past or present offense or pending charge which qualifies that person for inclusion within the state’s DNA and Forensic Identification Database and Databank Program and there otherwise is no legal basis for retaining the specimen or sample or searchable profile</w:t>
      </w:r>
      <w:r w:rsidRPr="007032C6" w:rsidR="007032C6">
        <w:rPr>
          <w:szCs w:val="26"/>
          <w:bdr w:val="none" w:sz="0" w:space="0" w:color="auto" w:frame="1"/>
        </w:rPr>
        <w:t>.”</w:t>
      </w:r>
      <w:r w:rsidR="007032C6">
        <w:rPr>
          <w:szCs w:val="26"/>
          <w:bdr w:val="none" w:sz="0" w:space="0" w:color="auto" w:frame="1"/>
        </w:rPr>
        <w:t xml:space="preserve">  </w:t>
      </w:r>
      <w:r w:rsidR="005B5A22">
        <w:rPr>
          <w:szCs w:val="26"/>
          <w:bdr w:val="none" w:sz="0" w:space="0" w:color="auto" w:frame="1"/>
        </w:rPr>
        <w:t>As enacted, s</w:t>
      </w:r>
      <w:r w:rsidR="007032C6">
        <w:rPr>
          <w:szCs w:val="26"/>
          <w:bdr w:val="none" w:sz="0" w:space="0" w:color="auto" w:frame="1"/>
        </w:rPr>
        <w:t>ub</w:t>
      </w:r>
      <w:r w:rsidR="0037032B">
        <w:rPr>
          <w:szCs w:val="26"/>
          <w:bdr w:val="none" w:sz="0" w:space="0" w:color="auto" w:frame="1"/>
        </w:rPr>
        <w:t xml:space="preserve">division (a) sets out three </w:t>
      </w:r>
      <w:r w:rsidR="007032C6">
        <w:rPr>
          <w:szCs w:val="26"/>
          <w:bdr w:val="none" w:sz="0" w:space="0" w:color="auto" w:frame="1"/>
        </w:rPr>
        <w:t>conditions for expungement</w:t>
      </w:r>
      <w:r w:rsidR="00DB31F8">
        <w:rPr>
          <w:szCs w:val="26"/>
          <w:bdr w:val="none" w:sz="0" w:space="0" w:color="auto" w:frame="1"/>
        </w:rPr>
        <w:t>:  (1)</w:t>
      </w:r>
      <w:r w:rsidR="007032C6">
        <w:rPr>
          <w:szCs w:val="26"/>
          <w:bdr w:val="none" w:sz="0" w:space="0" w:color="auto" w:frame="1"/>
        </w:rPr>
        <w:t xml:space="preserve"> “no past or present </w:t>
      </w:r>
      <w:r w:rsidRPr="007032C6" w:rsidR="007032C6">
        <w:rPr>
          <w:szCs w:val="26"/>
          <w:bdr w:val="none" w:sz="0" w:space="0" w:color="auto" w:frame="1"/>
        </w:rPr>
        <w:t>offense or pending charge which qualifies that person for inclusion</w:t>
      </w:r>
      <w:r w:rsidR="00DB31F8">
        <w:rPr>
          <w:szCs w:val="26"/>
          <w:bdr w:val="none" w:sz="0" w:space="0" w:color="auto" w:frame="1"/>
        </w:rPr>
        <w:t>,</w:t>
      </w:r>
      <w:r w:rsidR="007032C6">
        <w:rPr>
          <w:szCs w:val="26"/>
          <w:bdr w:val="none" w:sz="0" w:space="0" w:color="auto" w:frame="1"/>
        </w:rPr>
        <w:t xml:space="preserve">” </w:t>
      </w:r>
      <w:r w:rsidR="00DB31F8">
        <w:rPr>
          <w:szCs w:val="26"/>
          <w:bdr w:val="none" w:sz="0" w:space="0" w:color="auto" w:frame="1"/>
        </w:rPr>
        <w:t>(2)</w:t>
      </w:r>
      <w:r w:rsidR="007032C6">
        <w:rPr>
          <w:szCs w:val="26"/>
          <w:bdr w:val="none" w:sz="0" w:space="0" w:color="auto" w:frame="1"/>
        </w:rPr>
        <w:t xml:space="preserve"> no alternate legal basis for retention</w:t>
      </w:r>
      <w:r w:rsidR="00DB31F8">
        <w:rPr>
          <w:szCs w:val="26"/>
          <w:bdr w:val="none" w:sz="0" w:space="0" w:color="auto" w:frame="1"/>
        </w:rPr>
        <w:t>, and (3) compliance with</w:t>
      </w:r>
      <w:r w:rsidR="007032C6">
        <w:rPr>
          <w:szCs w:val="26"/>
          <w:bdr w:val="none" w:sz="0" w:space="0" w:color="auto" w:frame="1"/>
        </w:rPr>
        <w:t xml:space="preserve"> “the proc</w:t>
      </w:r>
      <w:r w:rsidR="00D746DE">
        <w:rPr>
          <w:szCs w:val="26"/>
          <w:bdr w:val="none" w:sz="0" w:space="0" w:color="auto" w:frame="1"/>
        </w:rPr>
        <w:t>edures set forth in subdivision </w:t>
      </w:r>
      <w:r w:rsidR="007032C6">
        <w:rPr>
          <w:szCs w:val="26"/>
          <w:bdr w:val="none" w:sz="0" w:space="0" w:color="auto" w:frame="1"/>
        </w:rPr>
        <w:t>(b).”</w:t>
      </w:r>
    </w:p>
    <w:p w:rsidR="00157C79" w:rsidRPr="00157C79" w:rsidP="006D5E9D">
      <w:pPr>
        <w:tabs>
          <w:tab w:val="left" w:pos="1440"/>
        </w:tabs>
        <w:spacing w:line="480" w:lineRule="atLeast"/>
        <w:ind w:firstLine="720"/>
        <w:rPr>
          <w:szCs w:val="26"/>
          <w:bdr w:val="none" w:sz="0" w:space="0" w:color="auto" w:frame="1"/>
        </w:rPr>
      </w:pPr>
      <w:r w:rsidRPr="00EE0D16">
        <w:rPr>
          <w:rFonts w:cs="Calibri"/>
        </w:rPr>
        <w:t>After</w:t>
      </w:r>
      <w:r w:rsidRPr="00EE0D16" w:rsidR="0037032B">
        <w:rPr>
          <w:rFonts w:cs="Calibri"/>
        </w:rPr>
        <w:t xml:space="preserve"> </w:t>
      </w:r>
      <w:r w:rsidRPr="00EE0D16" w:rsidR="00D746DE">
        <w:rPr>
          <w:rFonts w:cs="Calibri"/>
        </w:rPr>
        <w:t>Proposition 47</w:t>
      </w:r>
      <w:r w:rsidRPr="00EE0D16">
        <w:rPr>
          <w:rFonts w:cs="Calibri"/>
        </w:rPr>
        <w:t>,</w:t>
      </w:r>
      <w:r w:rsidRPr="00EE0D16" w:rsidR="00D746DE">
        <w:rPr>
          <w:rFonts w:cs="Calibri"/>
        </w:rPr>
        <w:t xml:space="preserve"> C.B. and</w:t>
      </w:r>
      <w:r w:rsidRPr="00EE0D16" w:rsidR="0037032B">
        <w:rPr>
          <w:rFonts w:cs="Calibri"/>
        </w:rPr>
        <w:t xml:space="preserve"> C.H. </w:t>
      </w:r>
      <w:r w:rsidR="00282CF7">
        <w:rPr>
          <w:rFonts w:cs="Calibri"/>
        </w:rPr>
        <w:t>now appear to</w:t>
      </w:r>
      <w:r w:rsidRPr="00EE0D16">
        <w:rPr>
          <w:rFonts w:cs="Calibri"/>
        </w:rPr>
        <w:t xml:space="preserve"> </w:t>
      </w:r>
      <w:r w:rsidR="00282CF7">
        <w:rPr>
          <w:rFonts w:cs="Calibri"/>
        </w:rPr>
        <w:t>satisfy</w:t>
      </w:r>
      <w:r w:rsidRPr="00EE0D16" w:rsidR="0037032B">
        <w:rPr>
          <w:rFonts w:cs="Calibri"/>
        </w:rPr>
        <w:t xml:space="preserve"> the first </w:t>
      </w:r>
      <w:r w:rsidRPr="00EE0D16">
        <w:rPr>
          <w:rFonts w:cs="Calibri"/>
        </w:rPr>
        <w:t xml:space="preserve">and second </w:t>
      </w:r>
      <w:r w:rsidRPr="00EE0D16" w:rsidR="0037032B">
        <w:rPr>
          <w:rFonts w:cs="Calibri"/>
        </w:rPr>
        <w:t>conditions.  The</w:t>
      </w:r>
      <w:r w:rsidRPr="00EE0D16" w:rsidR="00D746DE">
        <w:rPr>
          <w:rFonts w:cs="Calibri"/>
        </w:rPr>
        <w:t>ir</w:t>
      </w:r>
      <w:r w:rsidRPr="00EE0D16" w:rsidR="0037032B">
        <w:rPr>
          <w:rFonts w:cs="Calibri"/>
        </w:rPr>
        <w:t xml:space="preserve"> felon</w:t>
      </w:r>
      <w:r w:rsidRPr="00EE0D16" w:rsidR="00D746DE">
        <w:rPr>
          <w:rFonts w:cs="Calibri"/>
        </w:rPr>
        <w:t xml:space="preserve">y findings </w:t>
      </w:r>
      <w:r w:rsidRPr="00EE0D16" w:rsidR="0037032B">
        <w:rPr>
          <w:rFonts w:cs="Calibri"/>
        </w:rPr>
        <w:t>have b</w:t>
      </w:r>
      <w:r w:rsidRPr="00EE0D16" w:rsidR="00D746DE">
        <w:rPr>
          <w:rFonts w:cs="Calibri"/>
        </w:rPr>
        <w:t>een reclassified</w:t>
      </w:r>
      <w:r w:rsidRPr="00EE0D16" w:rsidR="0037032B">
        <w:rPr>
          <w:rFonts w:cs="Calibri"/>
        </w:rPr>
        <w:t xml:space="preserve"> and </w:t>
      </w:r>
      <w:r w:rsidR="00103A97">
        <w:rPr>
          <w:rFonts w:cs="Calibri"/>
        </w:rPr>
        <w:t xml:space="preserve">their </w:t>
      </w:r>
      <w:r w:rsidRPr="00EE0D16" w:rsidR="0037032B">
        <w:rPr>
          <w:rFonts w:cs="Calibri"/>
        </w:rPr>
        <w:t xml:space="preserve">offenses </w:t>
      </w:r>
      <w:r w:rsidRPr="00EE0D16">
        <w:rPr>
          <w:rFonts w:cs="Calibri"/>
        </w:rPr>
        <w:t xml:space="preserve">redesignated </w:t>
      </w:r>
      <w:r w:rsidR="00181193">
        <w:rPr>
          <w:rFonts w:cs="Calibri"/>
        </w:rPr>
        <w:t xml:space="preserve">as misdemeanors.  </w:t>
      </w:r>
      <w:r w:rsidRPr="00EE0D16" w:rsidR="00B861B2">
        <w:rPr>
          <w:rFonts w:cs="Calibri"/>
        </w:rPr>
        <w:t>U</w:t>
      </w:r>
      <w:r w:rsidRPr="00EE0D16" w:rsidR="0037032B">
        <w:rPr>
          <w:rFonts w:cs="Calibri"/>
        </w:rPr>
        <w:t>nder section 296</w:t>
      </w:r>
      <w:r w:rsidRPr="00EE0D16" w:rsidR="00B861B2">
        <w:rPr>
          <w:rFonts w:cs="Calibri"/>
        </w:rPr>
        <w:t>,</w:t>
      </w:r>
      <w:r w:rsidRPr="00EE0D16" w:rsidR="0037032B">
        <w:rPr>
          <w:rFonts w:cs="Calibri"/>
        </w:rPr>
        <w:t xml:space="preserve"> a juvenile adjudication based on a misdemeanor petty theft violation (§ 490.2) does not trigger an obligation to submit a samp</w:t>
      </w:r>
      <w:r w:rsidRPr="00EE0D16" w:rsidR="00D746DE">
        <w:rPr>
          <w:rFonts w:cs="Calibri"/>
        </w:rPr>
        <w:t>le for inclusion</w:t>
      </w:r>
      <w:r w:rsidRPr="00EE0D16" w:rsidR="0037032B">
        <w:rPr>
          <w:rFonts w:cs="Calibri"/>
        </w:rPr>
        <w:t>.  Section 299, subdivision (a)</w:t>
      </w:r>
      <w:r w:rsidRPr="00EE0D16" w:rsidR="00B86096">
        <w:rPr>
          <w:rFonts w:cs="Calibri"/>
        </w:rPr>
        <w:t>,</w:t>
      </w:r>
      <w:r w:rsidRPr="00EE0D16" w:rsidR="0037032B">
        <w:rPr>
          <w:rFonts w:cs="Calibri"/>
        </w:rPr>
        <w:t xml:space="preserve"> is written in the present</w:t>
      </w:r>
      <w:r w:rsidRPr="00EE0D16" w:rsidR="00A15953">
        <w:rPr>
          <w:rFonts w:cs="Calibri"/>
        </w:rPr>
        <w:t xml:space="preserve"> tense; C.B. and C.H. do not currently</w:t>
      </w:r>
      <w:r w:rsidRPr="00EE0D16" w:rsidR="0037032B">
        <w:rPr>
          <w:rFonts w:cs="Calibri"/>
        </w:rPr>
        <w:t xml:space="preserve"> have any “past or present offense </w:t>
      </w:r>
      <w:r w:rsidRPr="00EE0D16" w:rsidR="002C3FB0">
        <w:rPr>
          <w:rFonts w:cs="Calibri"/>
        </w:rPr>
        <w:t>. . . </w:t>
      </w:r>
      <w:r w:rsidRPr="00EE0D16" w:rsidR="0037032B">
        <w:rPr>
          <w:rFonts w:cs="Calibri"/>
        </w:rPr>
        <w:t>which qualifies [them] for inclusion</w:t>
      </w:r>
      <w:r w:rsidRPr="00EE0D16" w:rsidR="00D746DE">
        <w:rPr>
          <w:rFonts w:cs="Calibri"/>
        </w:rPr>
        <w:t>.</w:t>
      </w:r>
      <w:r w:rsidRPr="00EE0D16" w:rsidR="0037032B">
        <w:rPr>
          <w:rFonts w:cs="Calibri"/>
        </w:rPr>
        <w:t xml:space="preserve">” </w:t>
      </w:r>
      <w:r w:rsidRPr="00EE0D16" w:rsidR="00D746DE">
        <w:rPr>
          <w:rFonts w:cs="Calibri"/>
        </w:rPr>
        <w:t xml:space="preserve"> Further, the People </w:t>
      </w:r>
      <w:r w:rsidR="00103A97">
        <w:rPr>
          <w:rFonts w:cs="Calibri"/>
        </w:rPr>
        <w:t>present</w:t>
      </w:r>
      <w:r w:rsidRPr="00EE0D16" w:rsidR="00D746DE">
        <w:rPr>
          <w:rFonts w:cs="Calibri"/>
        </w:rPr>
        <w:t xml:space="preserve"> no other </w:t>
      </w:r>
      <w:r w:rsidRPr="00502FB6">
        <w:rPr>
          <w:szCs w:val="26"/>
          <w:bdr w:val="none" w:sz="0" w:space="0" w:color="auto" w:frame="1"/>
        </w:rPr>
        <w:t>legal bas</w:t>
      </w:r>
      <w:r w:rsidR="00D746DE">
        <w:rPr>
          <w:szCs w:val="26"/>
          <w:bdr w:val="none" w:sz="0" w:space="0" w:color="auto" w:frame="1"/>
        </w:rPr>
        <w:t xml:space="preserve">is for retaining their samples.  </w:t>
      </w:r>
      <w:r w:rsidR="000F267E">
        <w:rPr>
          <w:szCs w:val="26"/>
          <w:bdr w:val="none" w:sz="0" w:space="0" w:color="auto" w:frame="1"/>
        </w:rPr>
        <w:t>As for</w:t>
      </w:r>
      <w:r>
        <w:rPr>
          <w:szCs w:val="26"/>
          <w:bdr w:val="none" w:sz="0" w:space="0" w:color="auto" w:frame="1"/>
        </w:rPr>
        <w:t xml:space="preserve"> the third condition, petitioners </w:t>
      </w:r>
      <w:r w:rsidR="00103A97">
        <w:rPr>
          <w:szCs w:val="26"/>
          <w:bdr w:val="none" w:sz="0" w:space="0" w:color="auto" w:frame="1"/>
        </w:rPr>
        <w:t>did mak</w:t>
      </w:r>
      <w:r w:rsidR="000F267E">
        <w:rPr>
          <w:szCs w:val="26"/>
          <w:bdr w:val="none" w:sz="0" w:space="0" w:color="auto" w:frame="1"/>
        </w:rPr>
        <w:t>e</w:t>
      </w:r>
      <w:r w:rsidR="00D746DE">
        <w:rPr>
          <w:szCs w:val="26"/>
          <w:bdr w:val="none" w:sz="0" w:space="0" w:color="auto" w:frame="1"/>
        </w:rPr>
        <w:t xml:space="preserve"> </w:t>
      </w:r>
      <w:r w:rsidRPr="00502FB6">
        <w:rPr>
          <w:szCs w:val="26"/>
          <w:bdr w:val="none" w:sz="0" w:space="0" w:color="auto" w:frame="1"/>
        </w:rPr>
        <w:t>written request</w:t>
      </w:r>
      <w:r w:rsidR="00D746DE">
        <w:rPr>
          <w:szCs w:val="26"/>
          <w:bdr w:val="none" w:sz="0" w:space="0" w:color="auto" w:frame="1"/>
        </w:rPr>
        <w:t>s</w:t>
      </w:r>
      <w:r w:rsidRPr="00502FB6">
        <w:rPr>
          <w:szCs w:val="26"/>
          <w:bdr w:val="none" w:sz="0" w:space="0" w:color="auto" w:frame="1"/>
        </w:rPr>
        <w:t xml:space="preserve"> </w:t>
      </w:r>
      <w:r w:rsidR="00D746DE">
        <w:rPr>
          <w:szCs w:val="26"/>
          <w:bdr w:val="none" w:sz="0" w:space="0" w:color="auto" w:frame="1"/>
        </w:rPr>
        <w:t>for destruction</w:t>
      </w:r>
      <w:r w:rsidR="00E87A2D">
        <w:rPr>
          <w:szCs w:val="26"/>
          <w:bdr w:val="none" w:sz="0" w:space="0" w:color="auto" w:frame="1"/>
        </w:rPr>
        <w:t xml:space="preserve"> and expungement under section </w:t>
      </w:r>
      <w:r>
        <w:rPr>
          <w:szCs w:val="26"/>
          <w:bdr w:val="none" w:sz="0" w:space="0" w:color="auto" w:frame="1"/>
        </w:rPr>
        <w:t>299, subd</w:t>
      </w:r>
      <w:r w:rsidR="00BF4AB2">
        <w:rPr>
          <w:szCs w:val="26"/>
          <w:bdr w:val="none" w:sz="0" w:space="0" w:color="auto" w:frame="1"/>
        </w:rPr>
        <w:t>ivision (b)</w:t>
      </w:r>
      <w:r w:rsidR="00103A97">
        <w:rPr>
          <w:szCs w:val="26"/>
          <w:bdr w:val="none" w:sz="0" w:space="0" w:color="auto" w:frame="1"/>
        </w:rPr>
        <w:t xml:space="preserve">, but they do not satisfy the </w:t>
      </w:r>
      <w:r w:rsidR="00BF4AB2">
        <w:rPr>
          <w:szCs w:val="26"/>
          <w:bdr w:val="none" w:sz="0" w:space="0" w:color="auto" w:frame="1"/>
        </w:rPr>
        <w:t xml:space="preserve">further </w:t>
      </w:r>
      <w:r w:rsidR="00103A97">
        <w:rPr>
          <w:szCs w:val="26"/>
          <w:bdr w:val="none" w:sz="0" w:space="0" w:color="auto" w:frame="1"/>
        </w:rPr>
        <w:t xml:space="preserve">requirements set out in </w:t>
      </w:r>
      <w:r w:rsidR="00BF4AB2">
        <w:rPr>
          <w:szCs w:val="26"/>
          <w:bdr w:val="none" w:sz="0" w:space="0" w:color="auto" w:frame="1"/>
        </w:rPr>
        <w:t>that provision</w:t>
      </w:r>
      <w:r w:rsidR="00D746DE">
        <w:rPr>
          <w:szCs w:val="26"/>
          <w:bdr w:val="none" w:sz="0" w:space="0" w:color="auto" w:frame="1"/>
        </w:rPr>
        <w:t>.</w:t>
      </w:r>
    </w:p>
    <w:p w:rsidR="00B215B1" w:rsidRPr="00EE0D16" w:rsidP="006D5E9D">
      <w:pPr>
        <w:tabs>
          <w:tab w:val="left" w:pos="1440"/>
        </w:tabs>
        <w:spacing w:line="480" w:lineRule="atLeast"/>
        <w:ind w:firstLine="720"/>
        <w:rPr>
          <w:rFonts w:cs="Calibri"/>
        </w:rPr>
      </w:pPr>
      <w:r w:rsidRPr="00EE0D16">
        <w:rPr>
          <w:rFonts w:cs="Calibri"/>
        </w:rPr>
        <w:t xml:space="preserve">To explain </w:t>
      </w:r>
      <w:r w:rsidR="00103A97">
        <w:rPr>
          <w:rFonts w:cs="Calibri"/>
        </w:rPr>
        <w:t>the nature of their failure</w:t>
      </w:r>
      <w:r w:rsidRPr="00EE0D16" w:rsidR="00D746DE">
        <w:rPr>
          <w:rFonts w:cs="Calibri"/>
        </w:rPr>
        <w:t xml:space="preserve">, we trace the history of </w:t>
      </w:r>
      <w:r w:rsidR="00B2584B">
        <w:rPr>
          <w:rFonts w:cs="Calibri"/>
        </w:rPr>
        <w:t xml:space="preserve">section 299, </w:t>
      </w:r>
      <w:r w:rsidRPr="00EE0D16" w:rsidR="00502FB6">
        <w:rPr>
          <w:rFonts w:cs="Calibri"/>
        </w:rPr>
        <w:t>subdivision</w:t>
      </w:r>
      <w:r w:rsidRPr="00EE0D16" w:rsidR="00B86096">
        <w:rPr>
          <w:rFonts w:cs="Calibri"/>
        </w:rPr>
        <w:t xml:space="preserve"> (b)</w:t>
      </w:r>
      <w:r w:rsidR="00103A97">
        <w:rPr>
          <w:rFonts w:cs="Calibri"/>
        </w:rPr>
        <w:t>’s procedures</w:t>
      </w:r>
      <w:r w:rsidRPr="00EE0D16" w:rsidR="00B86096">
        <w:rPr>
          <w:rFonts w:cs="Calibri"/>
        </w:rPr>
        <w:t xml:space="preserve">.  </w:t>
      </w:r>
      <w:r w:rsidRPr="00EE0D16">
        <w:rPr>
          <w:rFonts w:cs="Calibri"/>
        </w:rPr>
        <w:t xml:space="preserve">Since the </w:t>
      </w:r>
      <w:r w:rsidRPr="00EE0D16" w:rsidR="005D2823">
        <w:rPr>
          <w:rFonts w:cs="Calibri"/>
        </w:rPr>
        <w:t>databank’s inception, submis</w:t>
      </w:r>
      <w:r w:rsidRPr="00EE0D16">
        <w:rPr>
          <w:rFonts w:cs="Calibri"/>
        </w:rPr>
        <w:t xml:space="preserve">sion and removal </w:t>
      </w:r>
      <w:r w:rsidRPr="00EE0D16" w:rsidR="00C2393B">
        <w:rPr>
          <w:rFonts w:cs="Calibri"/>
        </w:rPr>
        <w:t>of samples have</w:t>
      </w:r>
      <w:r w:rsidR="00103A97">
        <w:rPr>
          <w:rFonts w:cs="Calibri"/>
        </w:rPr>
        <w:t xml:space="preserve"> </w:t>
      </w:r>
      <w:r w:rsidRPr="00EE0D16" w:rsidR="005D2823">
        <w:rPr>
          <w:rFonts w:cs="Calibri"/>
        </w:rPr>
        <w:t>been governed by di</w:t>
      </w:r>
      <w:r w:rsidR="000F267E">
        <w:rPr>
          <w:rFonts w:cs="Calibri"/>
        </w:rPr>
        <w:t xml:space="preserve">fferent </w:t>
      </w:r>
      <w:r w:rsidRPr="00EE0D16" w:rsidR="005D2823">
        <w:rPr>
          <w:rFonts w:cs="Calibri"/>
        </w:rPr>
        <w:t>standards</w:t>
      </w:r>
      <w:r w:rsidRPr="00EE0D16">
        <w:rPr>
          <w:rFonts w:cs="Calibri"/>
        </w:rPr>
        <w:t>.</w:t>
      </w:r>
      <w:r w:rsidRPr="00EE0D16" w:rsidR="009A0485">
        <w:rPr>
          <w:rFonts w:cs="Calibri"/>
        </w:rPr>
        <w:t xml:space="preserve">  In 1983, the state began collecting blood and saliva samples from menta</w:t>
      </w:r>
      <w:r w:rsidRPr="00EE0D16" w:rsidR="005D2823">
        <w:rPr>
          <w:rFonts w:cs="Calibri"/>
        </w:rPr>
        <w:t>lly disordered sex offenders</w:t>
      </w:r>
      <w:r w:rsidRPr="00EE0D16" w:rsidR="00DB31F8">
        <w:rPr>
          <w:rFonts w:cs="Calibri"/>
        </w:rPr>
        <w:t xml:space="preserve"> but provided no mechanism</w:t>
      </w:r>
      <w:r w:rsidRPr="00EE0D16" w:rsidR="009A0485">
        <w:rPr>
          <w:rFonts w:cs="Calibri"/>
        </w:rPr>
        <w:t xml:space="preserve"> for removal or expungement.  (Former § 290.2, enacted by </w:t>
      </w:r>
      <w:r w:rsidRPr="00EE0D16" w:rsidR="00A059AA">
        <w:rPr>
          <w:rFonts w:cs="Calibri"/>
        </w:rPr>
        <w:t>Stats. 1983, ch. </w:t>
      </w:r>
      <w:r w:rsidRPr="00EE0D16" w:rsidR="009A0485">
        <w:rPr>
          <w:rFonts w:cs="Calibri"/>
        </w:rPr>
        <w:t xml:space="preserve">700, § 1, pp. 2680–2681.) </w:t>
      </w:r>
      <w:r w:rsidRPr="00EE0D16" w:rsidR="00772A18">
        <w:rPr>
          <w:rFonts w:cs="Calibri"/>
        </w:rPr>
        <w:t xml:space="preserve"> By 1996, the categories of offenders</w:t>
      </w:r>
      <w:r w:rsidRPr="00EE0D16" w:rsidR="009A0485">
        <w:rPr>
          <w:rFonts w:cs="Calibri"/>
        </w:rPr>
        <w:t xml:space="preserve"> required to submit samples had expanded to inclu</w:t>
      </w:r>
      <w:r w:rsidRPr="00EE0D16" w:rsidR="00DB31F8">
        <w:rPr>
          <w:rFonts w:cs="Calibri"/>
        </w:rPr>
        <w:t>de those convicted of certain</w:t>
      </w:r>
      <w:r w:rsidRPr="00EE0D16" w:rsidR="009A0485">
        <w:rPr>
          <w:rFonts w:cs="Calibri"/>
        </w:rPr>
        <w:t xml:space="preserve"> violent felonies.  (Former § 290.2, subdivision (a),</w:t>
      </w:r>
      <w:r w:rsidRPr="00EE0D16" w:rsidR="00B861B2">
        <w:rPr>
          <w:rFonts w:cs="Calibri"/>
        </w:rPr>
        <w:t xml:space="preserve"> as amended by Stats. 1996, ch. </w:t>
      </w:r>
      <w:r w:rsidRPr="00EE0D16" w:rsidR="009A0485">
        <w:rPr>
          <w:rFonts w:cs="Calibri"/>
        </w:rPr>
        <w:t xml:space="preserve">917, § 2, p. 5217.)  Biological evidence </w:t>
      </w:r>
      <w:r w:rsidRPr="00EE0D16" w:rsidR="00A059AA">
        <w:rPr>
          <w:rFonts w:cs="Calibri"/>
        </w:rPr>
        <w:t xml:space="preserve">from </w:t>
      </w:r>
      <w:r w:rsidR="00103A97">
        <w:rPr>
          <w:rFonts w:cs="Calibri"/>
        </w:rPr>
        <w:t xml:space="preserve">known or unknown </w:t>
      </w:r>
      <w:r w:rsidRPr="000F267E" w:rsidR="00A059AA">
        <w:rPr>
          <w:rFonts w:cs="Calibri"/>
        </w:rPr>
        <w:t>suspects</w:t>
      </w:r>
      <w:r w:rsidRPr="00EE0D16" w:rsidR="00DB31F8">
        <w:rPr>
          <w:rFonts w:cs="Calibri"/>
        </w:rPr>
        <w:t xml:space="preserve"> </w:t>
      </w:r>
      <w:r w:rsidRPr="00EE0D16" w:rsidR="00A059AA">
        <w:rPr>
          <w:rFonts w:cs="Calibri"/>
        </w:rPr>
        <w:t>could a</w:t>
      </w:r>
      <w:r w:rsidRPr="00EE0D16" w:rsidR="00B86096">
        <w:rPr>
          <w:rFonts w:cs="Calibri"/>
        </w:rPr>
        <w:t>lso be included in the databank</w:t>
      </w:r>
      <w:r w:rsidR="00103A97">
        <w:rPr>
          <w:rFonts w:cs="Calibri"/>
        </w:rPr>
        <w:t>, but had to be stricken if an</w:t>
      </w:r>
      <w:r w:rsidRPr="00EE0D16" w:rsidR="00A059AA">
        <w:rPr>
          <w:rFonts w:cs="Calibri"/>
        </w:rPr>
        <w:t xml:space="preserve"> individual was </w:t>
      </w:r>
      <w:r w:rsidRPr="00EE0D16" w:rsidR="00DB31F8">
        <w:rPr>
          <w:rFonts w:cs="Calibri"/>
        </w:rPr>
        <w:t xml:space="preserve">later </w:t>
      </w:r>
      <w:r w:rsidRPr="00EE0D16" w:rsidR="00A059AA">
        <w:rPr>
          <w:rFonts w:cs="Calibri"/>
        </w:rPr>
        <w:t>excluded as a suspect.  (</w:t>
      </w:r>
      <w:r w:rsidRPr="00EE0D16" w:rsidR="00A059AA">
        <w:rPr>
          <w:rFonts w:cs="Calibri"/>
          <w:i/>
        </w:rPr>
        <w:t>Id.</w:t>
      </w:r>
      <w:r w:rsidRPr="00EE0D16" w:rsidR="00A059AA">
        <w:rPr>
          <w:rFonts w:cs="Calibri"/>
        </w:rPr>
        <w:t>, subd. (f)(3).)  The law still contained no p</w:t>
      </w:r>
      <w:r w:rsidRPr="00EE0D16" w:rsidR="005D2823">
        <w:rPr>
          <w:rFonts w:cs="Calibri"/>
        </w:rPr>
        <w:t xml:space="preserve">rovision for removing samples submitted by those </w:t>
      </w:r>
      <w:r w:rsidRPr="000F267E" w:rsidR="005D2823">
        <w:rPr>
          <w:rFonts w:cs="Calibri"/>
        </w:rPr>
        <w:t>convicted</w:t>
      </w:r>
      <w:r w:rsidRPr="00EE0D16" w:rsidR="005D2823">
        <w:rPr>
          <w:rFonts w:cs="Calibri"/>
        </w:rPr>
        <w:t xml:space="preserve"> of </w:t>
      </w:r>
      <w:r w:rsidRPr="00EE0D16" w:rsidR="00A059AA">
        <w:rPr>
          <w:rFonts w:cs="Calibri"/>
        </w:rPr>
        <w:t>crime</w:t>
      </w:r>
      <w:r w:rsidRPr="00EE0D16" w:rsidR="005D2823">
        <w:rPr>
          <w:rFonts w:cs="Calibri"/>
        </w:rPr>
        <w:t>s</w:t>
      </w:r>
      <w:r w:rsidRPr="00EE0D16" w:rsidR="00A059AA">
        <w:rPr>
          <w:rFonts w:cs="Calibri"/>
        </w:rPr>
        <w:t>.</w:t>
      </w:r>
    </w:p>
    <w:p w:rsidR="009F1C7D" w:rsidRPr="00EE0D16" w:rsidP="006D5E9D">
      <w:pPr>
        <w:tabs>
          <w:tab w:val="left" w:pos="1440"/>
        </w:tabs>
        <w:spacing w:line="480" w:lineRule="atLeast"/>
        <w:ind w:firstLine="720"/>
        <w:rPr>
          <w:rFonts w:cs="Calibri"/>
        </w:rPr>
      </w:pPr>
      <w:r w:rsidRPr="00EE0D16">
        <w:rPr>
          <w:rFonts w:cs="Calibri"/>
        </w:rPr>
        <w:t>In 1998, the DNA Act</w:t>
      </w:r>
      <w:r w:rsidRPr="00EE0D16" w:rsidR="00A059AA">
        <w:rPr>
          <w:rFonts w:cs="Calibri"/>
        </w:rPr>
        <w:t xml:space="preserve"> comprehensively revised the statutory scheme for </w:t>
      </w:r>
      <w:r w:rsidRPr="00EE0D16" w:rsidR="00DB31F8">
        <w:rPr>
          <w:rFonts w:cs="Calibri"/>
        </w:rPr>
        <w:t xml:space="preserve">both </w:t>
      </w:r>
      <w:r w:rsidRPr="00EE0D16" w:rsidR="00A059AA">
        <w:rPr>
          <w:rFonts w:cs="Calibri"/>
        </w:rPr>
        <w:t>collection and retention of samples, repealing</w:t>
      </w:r>
      <w:r w:rsidRPr="00EE0D16" w:rsidR="00772A18">
        <w:rPr>
          <w:rFonts w:cs="Calibri"/>
        </w:rPr>
        <w:t xml:space="preserve"> former section 290.2 and add</w:t>
      </w:r>
      <w:r w:rsidRPr="00EE0D16" w:rsidR="00A059AA">
        <w:rPr>
          <w:rFonts w:cs="Calibri"/>
        </w:rPr>
        <w:t>ing a new</w:t>
      </w:r>
      <w:r w:rsidRPr="00EE0D16" w:rsidR="00772A18">
        <w:rPr>
          <w:rFonts w:cs="Calibri"/>
        </w:rPr>
        <w:t xml:space="preserve"> chapter to the Penal Code</w:t>
      </w:r>
      <w:r w:rsidRPr="00EE0D16" w:rsidR="00A059AA">
        <w:rPr>
          <w:rFonts w:cs="Calibri"/>
        </w:rPr>
        <w:t>.  (Stats. 1998, ch. 696, pp. 4571–4587</w:t>
      </w:r>
      <w:r w:rsidRPr="00EE0D16" w:rsidR="00915A29">
        <w:rPr>
          <w:rFonts w:cs="Calibri"/>
        </w:rPr>
        <w:t xml:space="preserve">; see </w:t>
      </w:r>
      <w:r w:rsidRPr="00EE0D16" w:rsidR="00915A29">
        <w:rPr>
          <w:rFonts w:cs="Calibri"/>
          <w:i/>
        </w:rPr>
        <w:t>People v. Brewer</w:t>
      </w:r>
      <w:r w:rsidRPr="00EE0D16" w:rsidR="00915A29">
        <w:rPr>
          <w:rFonts w:cs="Calibri"/>
        </w:rPr>
        <w:t xml:space="preserve"> (2001) 87 Cal.App.4th 1298, 1301–1303</w:t>
      </w:r>
      <w:r w:rsidRPr="00EE0D16" w:rsidR="00A059AA">
        <w:rPr>
          <w:rFonts w:cs="Calibri"/>
        </w:rPr>
        <w:t>.)</w:t>
      </w:r>
      <w:r w:rsidRPr="00EE0D16" w:rsidR="00772A18">
        <w:rPr>
          <w:rFonts w:cs="Calibri"/>
        </w:rPr>
        <w:t xml:space="preserve">  The universe of those required to submit samples again expanded</w:t>
      </w:r>
      <w:r w:rsidRPr="00EE0D16" w:rsidR="00DB31F8">
        <w:rPr>
          <w:rFonts w:cs="Calibri"/>
        </w:rPr>
        <w:t>.</w:t>
      </w:r>
      <w:r w:rsidRPr="00EE0D16" w:rsidR="00772A18">
        <w:rPr>
          <w:rFonts w:cs="Calibri"/>
        </w:rPr>
        <w:t xml:space="preserve"> </w:t>
      </w:r>
      <w:r w:rsidRPr="00EE0D16" w:rsidR="00DB31F8">
        <w:rPr>
          <w:rFonts w:cs="Calibri"/>
        </w:rPr>
        <w:t xml:space="preserve"> (F</w:t>
      </w:r>
      <w:r w:rsidRPr="00EE0D16" w:rsidR="00772A18">
        <w:rPr>
          <w:rFonts w:cs="Calibri"/>
        </w:rPr>
        <w:t>ormer § 296, enacted by Stats. 1998, ch. 696, § 2, pp. 4574–4575</w:t>
      </w:r>
      <w:r w:rsidRPr="00EE0D16" w:rsidR="00DB31F8">
        <w:rPr>
          <w:rFonts w:cs="Calibri"/>
        </w:rPr>
        <w:t>.</w:t>
      </w:r>
      <w:r w:rsidRPr="00EE0D16" w:rsidR="00772A18">
        <w:rPr>
          <w:rFonts w:cs="Calibri"/>
        </w:rPr>
        <w:t>)</w:t>
      </w:r>
      <w:r w:rsidRPr="00EE0D16" w:rsidR="00DB31F8">
        <w:rPr>
          <w:rFonts w:cs="Calibri"/>
        </w:rPr>
        <w:t xml:space="preserve">  F</w:t>
      </w:r>
      <w:r w:rsidRPr="00EE0D16" w:rsidR="00772A18">
        <w:rPr>
          <w:rFonts w:cs="Calibri"/>
        </w:rPr>
        <w:t>or the first time</w:t>
      </w:r>
      <w:r w:rsidRPr="00EE0D16" w:rsidR="00415752">
        <w:rPr>
          <w:rFonts w:cs="Calibri"/>
        </w:rPr>
        <w:t>,</w:t>
      </w:r>
      <w:r w:rsidRPr="00EE0D16" w:rsidR="00CB25B5">
        <w:rPr>
          <w:rFonts w:cs="Calibri"/>
        </w:rPr>
        <w:t xml:space="preserve"> the revised statutory scheme provided</w:t>
      </w:r>
      <w:r w:rsidRPr="00EE0D16" w:rsidR="00772A18">
        <w:rPr>
          <w:rFonts w:cs="Calibri"/>
        </w:rPr>
        <w:t xml:space="preserve"> standards for removal</w:t>
      </w:r>
      <w:r w:rsidRPr="00EE0D16">
        <w:rPr>
          <w:rFonts w:cs="Calibri"/>
        </w:rPr>
        <w:t xml:space="preserve"> of samples </w:t>
      </w:r>
      <w:r w:rsidRPr="00EE0D16" w:rsidR="00CB25B5">
        <w:rPr>
          <w:rFonts w:cs="Calibri"/>
        </w:rPr>
        <w:t xml:space="preserve">taken from those who had </w:t>
      </w:r>
      <w:r w:rsidRPr="00EE0D16">
        <w:rPr>
          <w:rFonts w:cs="Calibri"/>
        </w:rPr>
        <w:t xml:space="preserve">previously </w:t>
      </w:r>
      <w:r w:rsidRPr="00EE0D16" w:rsidR="00CB25B5">
        <w:rPr>
          <w:rFonts w:cs="Calibri"/>
        </w:rPr>
        <w:t xml:space="preserve">been </w:t>
      </w:r>
      <w:r w:rsidRPr="00EE0D16">
        <w:rPr>
          <w:rFonts w:cs="Calibri"/>
        </w:rPr>
        <w:t xml:space="preserve">charged </w:t>
      </w:r>
      <w:r w:rsidR="003133B6">
        <w:rPr>
          <w:rFonts w:cs="Calibri"/>
        </w:rPr>
        <w:t xml:space="preserve">with </w:t>
      </w:r>
      <w:r w:rsidRPr="00EE0D16">
        <w:rPr>
          <w:rFonts w:cs="Calibri"/>
        </w:rPr>
        <w:t>or convicted of a crime</w:t>
      </w:r>
      <w:r w:rsidRPr="00EE0D16" w:rsidR="00CB25B5">
        <w:rPr>
          <w:rFonts w:cs="Calibri"/>
        </w:rPr>
        <w:t>.</w:t>
      </w:r>
      <w:r w:rsidRPr="00EE0D16" w:rsidR="00772A18">
        <w:rPr>
          <w:rFonts w:cs="Calibri"/>
        </w:rPr>
        <w:t xml:space="preserve"> </w:t>
      </w:r>
      <w:r w:rsidRPr="00EE0D16" w:rsidR="00CB25B5">
        <w:rPr>
          <w:rFonts w:cs="Calibri"/>
        </w:rPr>
        <w:t xml:space="preserve"> (F</w:t>
      </w:r>
      <w:r w:rsidRPr="00EE0D16" w:rsidR="00772A18">
        <w:rPr>
          <w:rFonts w:cs="Calibri"/>
        </w:rPr>
        <w:t xml:space="preserve">ormer § 299, enacted by Stats. 1998, ch. 696, § 2, </w:t>
      </w:r>
      <w:r w:rsidRPr="00EE0D16">
        <w:rPr>
          <w:rFonts w:cs="Calibri"/>
        </w:rPr>
        <w:t>pp. 4582</w:t>
      </w:r>
      <w:r w:rsidRPr="00EE0D16" w:rsidR="00772A18">
        <w:rPr>
          <w:rFonts w:cs="Calibri"/>
        </w:rPr>
        <w:t>–45</w:t>
      </w:r>
      <w:r w:rsidRPr="00EE0D16">
        <w:rPr>
          <w:rFonts w:cs="Calibri"/>
        </w:rPr>
        <w:t>83)</w:t>
      </w:r>
      <w:r w:rsidRPr="00EE0D16" w:rsidR="00772A18">
        <w:rPr>
          <w:rFonts w:cs="Calibri"/>
        </w:rPr>
        <w:t>.</w:t>
      </w:r>
      <w:r w:rsidRPr="00EE0D16">
        <w:rPr>
          <w:rFonts w:cs="Calibri"/>
        </w:rPr>
        <w:t xml:space="preserve">  In cases of reversal,</w:t>
      </w:r>
      <w:r w:rsidRPr="00EE0D16" w:rsidR="00CB25B5">
        <w:rPr>
          <w:rFonts w:cs="Calibri"/>
        </w:rPr>
        <w:t xml:space="preserve"> acquittal</w:t>
      </w:r>
      <w:r w:rsidRPr="00EE0D16">
        <w:rPr>
          <w:rFonts w:cs="Calibri"/>
        </w:rPr>
        <w:t xml:space="preserve">, or a finding of factual innocence, </w:t>
      </w:r>
      <w:r w:rsidRPr="00EE0D16" w:rsidR="00415752">
        <w:rPr>
          <w:rFonts w:cs="Calibri"/>
        </w:rPr>
        <w:t xml:space="preserve">the </w:t>
      </w:r>
      <w:r w:rsidRPr="00EE0D16">
        <w:rPr>
          <w:rFonts w:cs="Calibri"/>
        </w:rPr>
        <w:t xml:space="preserve">court </w:t>
      </w:r>
      <w:r w:rsidRPr="00EE0D16" w:rsidR="00037786">
        <w:rPr>
          <w:rFonts w:cs="Calibri"/>
        </w:rPr>
        <w:t>entering the</w:t>
      </w:r>
      <w:r w:rsidRPr="00EE0D16" w:rsidR="00415752">
        <w:rPr>
          <w:rFonts w:cs="Calibri"/>
        </w:rPr>
        <w:t xml:space="preserve"> judgment </w:t>
      </w:r>
      <w:r w:rsidRPr="00EE0D16">
        <w:rPr>
          <w:rFonts w:cs="Calibri"/>
        </w:rPr>
        <w:t>was directed to order expungement.  (</w:t>
      </w:r>
      <w:r w:rsidRPr="00EE0D16" w:rsidR="004E1AF4">
        <w:rPr>
          <w:rFonts w:cs="Calibri"/>
          <w:i/>
        </w:rPr>
        <w:t>I</w:t>
      </w:r>
      <w:r w:rsidRPr="00EE0D16">
        <w:rPr>
          <w:rFonts w:cs="Calibri"/>
          <w:i/>
        </w:rPr>
        <w:t>d.</w:t>
      </w:r>
      <w:r w:rsidRPr="00EE0D16" w:rsidR="00415752">
        <w:rPr>
          <w:rFonts w:cs="Calibri"/>
        </w:rPr>
        <w:t>, subd. </w:t>
      </w:r>
      <w:r w:rsidRPr="00EE0D16" w:rsidR="004E1AF4">
        <w:rPr>
          <w:rFonts w:cs="Calibri"/>
        </w:rPr>
        <w:t>(a).</w:t>
      </w:r>
      <w:r w:rsidRPr="00EE0D16">
        <w:rPr>
          <w:rFonts w:cs="Calibri"/>
        </w:rPr>
        <w:t>)</w:t>
      </w:r>
      <w:r w:rsidRPr="00EE0D16" w:rsidR="004E1AF4">
        <w:rPr>
          <w:rFonts w:cs="Calibri"/>
        </w:rPr>
        <w:t xml:space="preserve">  In the alternative, an affected individual could request expungement.  (</w:t>
      </w:r>
      <w:r w:rsidRPr="00EE0D16" w:rsidR="004E1AF4">
        <w:rPr>
          <w:rFonts w:cs="Calibri"/>
          <w:i/>
        </w:rPr>
        <w:t>Id.</w:t>
      </w:r>
      <w:r w:rsidRPr="00EE0D16" w:rsidR="004E1AF4">
        <w:rPr>
          <w:rFonts w:cs="Calibri"/>
        </w:rPr>
        <w:t>, subd. (b)(1).)</w:t>
      </w:r>
      <w:r>
        <w:rPr>
          <w:rStyle w:val="FootnoteReference"/>
          <w:rFonts w:cs="Calibri"/>
        </w:rPr>
        <w:footnoteReference w:id="6"/>
      </w:r>
    </w:p>
    <w:p w:rsidR="00FE7797" w:rsidRPr="00EE0D16" w:rsidP="006D5E9D">
      <w:pPr>
        <w:tabs>
          <w:tab w:val="left" w:pos="1440"/>
        </w:tabs>
        <w:spacing w:line="480" w:lineRule="atLeast"/>
        <w:ind w:firstLine="720"/>
        <w:rPr>
          <w:rFonts w:cs="Calibri"/>
        </w:rPr>
      </w:pPr>
      <w:r w:rsidRPr="00EE0D16">
        <w:rPr>
          <w:rFonts w:cs="Calibri"/>
        </w:rPr>
        <w:t xml:space="preserve">In 2004, </w:t>
      </w:r>
      <w:r w:rsidRPr="00EE0D16" w:rsidR="004E1AF4">
        <w:rPr>
          <w:rFonts w:cs="Calibri"/>
        </w:rPr>
        <w:t>Proposition 69 reorganized the expungement provisions</w:t>
      </w:r>
      <w:r w:rsidRPr="00EE0D16" w:rsidR="005D2823">
        <w:rPr>
          <w:rFonts w:cs="Calibri"/>
        </w:rPr>
        <w:t xml:space="preserve"> </w:t>
      </w:r>
      <w:r w:rsidRPr="00EE0D16" w:rsidR="00415752">
        <w:rPr>
          <w:rFonts w:cs="Calibri"/>
        </w:rPr>
        <w:t>and</w:t>
      </w:r>
      <w:r w:rsidRPr="00EE0D16" w:rsidR="004E1AF4">
        <w:rPr>
          <w:rFonts w:cs="Calibri"/>
        </w:rPr>
        <w:t xml:space="preserve"> </w:t>
      </w:r>
      <w:r w:rsidR="001220F5">
        <w:rPr>
          <w:rFonts w:cs="Calibri"/>
        </w:rPr>
        <w:t xml:space="preserve">amended </w:t>
      </w:r>
      <w:r w:rsidRPr="00EE0D16" w:rsidR="004E1AF4">
        <w:rPr>
          <w:rFonts w:cs="Calibri"/>
        </w:rPr>
        <w:t>the pr</w:t>
      </w:r>
      <w:r w:rsidR="001220F5">
        <w:rPr>
          <w:rFonts w:cs="Calibri"/>
        </w:rPr>
        <w:t>ocedures for obtain</w:t>
      </w:r>
      <w:r w:rsidRPr="00EE0D16" w:rsidR="004E1AF4">
        <w:rPr>
          <w:rFonts w:cs="Calibri"/>
        </w:rPr>
        <w:t xml:space="preserve">ing </w:t>
      </w:r>
      <w:r w:rsidR="001220F5">
        <w:rPr>
          <w:rFonts w:cs="Calibri"/>
        </w:rPr>
        <w:t>removal</w:t>
      </w:r>
      <w:r w:rsidR="003133B6">
        <w:rPr>
          <w:rFonts w:cs="Calibri"/>
        </w:rPr>
        <w:t>, which was still available only</w:t>
      </w:r>
      <w:r w:rsidR="001220F5">
        <w:rPr>
          <w:rFonts w:cs="Calibri"/>
        </w:rPr>
        <w:t xml:space="preserve"> in </w:t>
      </w:r>
      <w:r w:rsidRPr="00EE0D16" w:rsidR="004E1AF4">
        <w:rPr>
          <w:rFonts w:cs="Calibri"/>
        </w:rPr>
        <w:t xml:space="preserve">limited </w:t>
      </w:r>
      <w:r w:rsidR="001220F5">
        <w:rPr>
          <w:rFonts w:cs="Calibri"/>
        </w:rPr>
        <w:t>circumstances</w:t>
      </w:r>
      <w:r w:rsidRPr="00EE0D16" w:rsidR="004E1AF4">
        <w:rPr>
          <w:rFonts w:cs="Calibri"/>
        </w:rPr>
        <w:t>.  (Prop</w:t>
      </w:r>
      <w:r w:rsidRPr="00EE0D16" w:rsidR="005D2823">
        <w:rPr>
          <w:rFonts w:cs="Calibri"/>
        </w:rPr>
        <w:t>.</w:t>
      </w:r>
      <w:r w:rsidRPr="00EE0D16" w:rsidR="004E1AF4">
        <w:rPr>
          <w:rFonts w:cs="Calibri"/>
        </w:rPr>
        <w:t xml:space="preserve"> 69</w:t>
      </w:r>
      <w:r w:rsidR="00DA6A30">
        <w:rPr>
          <w:rFonts w:cs="Calibri"/>
        </w:rPr>
        <w:t xml:space="preserve"> Voter Guide, </w:t>
      </w:r>
      <w:r w:rsidR="00DA6A30">
        <w:rPr>
          <w:rFonts w:cs="Calibri"/>
          <w:i/>
        </w:rPr>
        <w:t>supra</w:t>
      </w:r>
      <w:r w:rsidR="00DA6A30">
        <w:rPr>
          <w:rFonts w:cs="Calibri"/>
        </w:rPr>
        <w:t>, text of Prop. 69</w:t>
      </w:r>
      <w:r w:rsidRPr="00EE0D16" w:rsidR="005D2823">
        <w:rPr>
          <w:rFonts w:cs="Calibri"/>
        </w:rPr>
        <w:t>, § </w:t>
      </w:r>
      <w:r w:rsidRPr="00EE0D16" w:rsidR="00981BD1">
        <w:rPr>
          <w:rFonts w:cs="Calibri"/>
        </w:rPr>
        <w:t>III.</w:t>
      </w:r>
      <w:r w:rsidRPr="00EE0D16" w:rsidR="005D2823">
        <w:rPr>
          <w:rFonts w:cs="Calibri"/>
        </w:rPr>
        <w:t>9</w:t>
      </w:r>
      <w:r w:rsidR="00767353">
        <w:rPr>
          <w:rFonts w:cs="Calibri"/>
        </w:rPr>
        <w:t>, pp. 141</w:t>
      </w:r>
      <w:r w:rsidR="00FC5685">
        <w:t>–</w:t>
      </w:r>
      <w:r w:rsidR="00767353">
        <w:rPr>
          <w:rFonts w:cs="Calibri"/>
        </w:rPr>
        <w:t>142</w:t>
      </w:r>
      <w:r w:rsidRPr="00EE0D16" w:rsidR="004E1AF4">
        <w:rPr>
          <w:rFonts w:cs="Calibri"/>
        </w:rPr>
        <w:t xml:space="preserve">.)  The court’s independent duty to </w:t>
      </w:r>
      <w:r w:rsidRPr="00EE0D16" w:rsidR="00384D6D">
        <w:rPr>
          <w:rFonts w:cs="Calibri"/>
        </w:rPr>
        <w:t>order</w:t>
      </w:r>
      <w:r w:rsidRPr="00EE0D16" w:rsidR="004E1AF4">
        <w:rPr>
          <w:rFonts w:cs="Calibri"/>
        </w:rPr>
        <w:t xml:space="preserve"> expungement was eliminated</w:t>
      </w:r>
      <w:r w:rsidRPr="00EE0D16" w:rsidR="005D2823">
        <w:rPr>
          <w:rFonts w:cs="Calibri"/>
        </w:rPr>
        <w:t>.  (</w:t>
      </w:r>
      <w:r w:rsidRPr="00EE0D16" w:rsidR="005D2823">
        <w:rPr>
          <w:rFonts w:cs="Calibri"/>
          <w:i/>
        </w:rPr>
        <w:t>Ibid.</w:t>
      </w:r>
      <w:r w:rsidRPr="00EE0D16" w:rsidR="00551F8A">
        <w:rPr>
          <w:rFonts w:cs="Calibri"/>
        </w:rPr>
        <w:t>; see former § 299, subd. (a), as enacted by Stats. 1998, ch. 696, § 2, p. 4582.</w:t>
      </w:r>
      <w:r w:rsidRPr="00EE0D16" w:rsidR="005D2823">
        <w:rPr>
          <w:rFonts w:cs="Calibri"/>
        </w:rPr>
        <w:t>)</w:t>
      </w:r>
      <w:r w:rsidRPr="00EE0D16" w:rsidR="00551F8A">
        <w:rPr>
          <w:rFonts w:cs="Calibri"/>
        </w:rPr>
        <w:t xml:space="preserve">  </w:t>
      </w:r>
      <w:r w:rsidRPr="00EE0D16" w:rsidR="00384D6D">
        <w:rPr>
          <w:rFonts w:cs="Calibri"/>
        </w:rPr>
        <w:t>T</w:t>
      </w:r>
      <w:r w:rsidRPr="00EE0D16" w:rsidR="00551F8A">
        <w:rPr>
          <w:rFonts w:cs="Calibri"/>
        </w:rPr>
        <w:t>he</w:t>
      </w:r>
      <w:r w:rsidRPr="00EE0D16" w:rsidR="004E1AF4">
        <w:rPr>
          <w:rFonts w:cs="Calibri"/>
        </w:rPr>
        <w:t xml:space="preserve"> Department of Justice </w:t>
      </w:r>
      <w:r w:rsidRPr="00EE0D16" w:rsidR="00384D6D">
        <w:rPr>
          <w:rFonts w:cs="Calibri"/>
        </w:rPr>
        <w:t>was no longer required</w:t>
      </w:r>
      <w:r w:rsidRPr="00EE0D16" w:rsidR="00551F8A">
        <w:rPr>
          <w:rFonts w:cs="Calibri"/>
        </w:rPr>
        <w:t xml:space="preserve"> to periodic</w:t>
      </w:r>
      <w:r w:rsidRPr="00EE0D16" w:rsidR="00384D6D">
        <w:rPr>
          <w:rFonts w:cs="Calibri"/>
        </w:rPr>
        <w:t>ally</w:t>
      </w:r>
      <w:r w:rsidRPr="00EE0D16" w:rsidR="00551F8A">
        <w:rPr>
          <w:rFonts w:cs="Calibri"/>
        </w:rPr>
        <w:t xml:space="preserve"> review and purge samples from former suspects.</w:t>
      </w:r>
      <w:r w:rsidRPr="00EE0D16" w:rsidR="00FB4E3F">
        <w:rPr>
          <w:rFonts w:cs="Calibri"/>
        </w:rPr>
        <w:t xml:space="preserve"> </w:t>
      </w:r>
      <w:r w:rsidRPr="00EE0D16" w:rsidR="00551F8A">
        <w:rPr>
          <w:rFonts w:cs="Calibri"/>
        </w:rPr>
        <w:t xml:space="preserve"> </w:t>
      </w:r>
      <w:r w:rsidRPr="00EE0D16" w:rsidR="00FB4E3F">
        <w:rPr>
          <w:rFonts w:cs="Calibri"/>
        </w:rPr>
        <w:t>(</w:t>
      </w:r>
      <w:r w:rsidRPr="00EE0D16" w:rsidR="00551F8A">
        <w:rPr>
          <w:rFonts w:cs="Calibri"/>
        </w:rPr>
        <w:t>Prop. 69</w:t>
      </w:r>
      <w:r w:rsidR="00737D86">
        <w:rPr>
          <w:rFonts w:cs="Calibri"/>
        </w:rPr>
        <w:t xml:space="preserve"> Voter Guide</w:t>
      </w:r>
      <w:r w:rsidR="00767353">
        <w:rPr>
          <w:rFonts w:cs="Calibri"/>
        </w:rPr>
        <w:t xml:space="preserve">, </w:t>
      </w:r>
      <w:r w:rsidR="00767353">
        <w:rPr>
          <w:rFonts w:cs="Calibri"/>
          <w:i/>
        </w:rPr>
        <w:t>supra</w:t>
      </w:r>
      <w:r w:rsidR="00767353">
        <w:rPr>
          <w:rFonts w:cs="Calibri"/>
        </w:rPr>
        <w:t>, text of Prop. 69</w:t>
      </w:r>
      <w:r w:rsidRPr="00EE0D16" w:rsidR="00551F8A">
        <w:rPr>
          <w:rFonts w:cs="Calibri"/>
        </w:rPr>
        <w:t>, § </w:t>
      </w:r>
      <w:r w:rsidRPr="00EE0D16" w:rsidR="00981BD1">
        <w:rPr>
          <w:rFonts w:cs="Calibri"/>
        </w:rPr>
        <w:t>III.</w:t>
      </w:r>
      <w:r w:rsidRPr="00EE0D16" w:rsidR="00551F8A">
        <w:rPr>
          <w:rFonts w:cs="Calibri"/>
        </w:rPr>
        <w:t>9</w:t>
      </w:r>
      <w:r w:rsidR="00767353">
        <w:rPr>
          <w:rFonts w:cs="Calibri"/>
        </w:rPr>
        <w:t>, pp. 141</w:t>
      </w:r>
      <w:r w:rsidR="00FC5685">
        <w:t>–</w:t>
      </w:r>
      <w:r w:rsidR="00767353">
        <w:rPr>
          <w:rFonts w:cs="Calibri"/>
        </w:rPr>
        <w:t>142</w:t>
      </w:r>
      <w:r w:rsidRPr="00EE0D16" w:rsidR="005D2823">
        <w:rPr>
          <w:rFonts w:cs="Calibri"/>
        </w:rPr>
        <w:t>; see former § </w:t>
      </w:r>
      <w:r w:rsidRPr="00EE0D16" w:rsidR="00551F8A">
        <w:rPr>
          <w:rFonts w:cs="Calibri"/>
        </w:rPr>
        <w:t>299, subd. (d)</w:t>
      </w:r>
      <w:r w:rsidRPr="00EE0D16" w:rsidR="005D2823">
        <w:rPr>
          <w:rFonts w:cs="Calibri"/>
        </w:rPr>
        <w:t xml:space="preserve">, as enacted by Stats. </w:t>
      </w:r>
      <w:r w:rsidRPr="00EE0D16" w:rsidR="00551F8A">
        <w:rPr>
          <w:rFonts w:cs="Calibri"/>
        </w:rPr>
        <w:t>2000</w:t>
      </w:r>
      <w:r w:rsidRPr="00EE0D16" w:rsidR="005D2823">
        <w:rPr>
          <w:rFonts w:cs="Calibri"/>
        </w:rPr>
        <w:t xml:space="preserve">, ch. </w:t>
      </w:r>
      <w:r w:rsidRPr="00EE0D16" w:rsidR="00551F8A">
        <w:rPr>
          <w:rFonts w:cs="Calibri"/>
        </w:rPr>
        <w:t>823, § 5</w:t>
      </w:r>
      <w:r w:rsidRPr="00EE0D16" w:rsidR="005D2823">
        <w:rPr>
          <w:rFonts w:cs="Calibri"/>
        </w:rPr>
        <w:t>, pp. </w:t>
      </w:r>
      <w:r w:rsidRPr="00EE0D16" w:rsidR="00A95627">
        <w:rPr>
          <w:rFonts w:cs="Calibri"/>
        </w:rPr>
        <w:t>5680</w:t>
      </w:r>
      <w:r w:rsidRPr="00EE0D16" w:rsidR="005D2823">
        <w:rPr>
          <w:rFonts w:cs="Calibri"/>
        </w:rPr>
        <w:t>–</w:t>
      </w:r>
      <w:r w:rsidRPr="00EE0D16" w:rsidR="00A95627">
        <w:rPr>
          <w:rFonts w:cs="Calibri"/>
        </w:rPr>
        <w:t>5681</w:t>
      </w:r>
      <w:r w:rsidRPr="00EE0D16" w:rsidR="00FB4E3F">
        <w:rPr>
          <w:rFonts w:cs="Calibri"/>
        </w:rPr>
        <w:t>.)</w:t>
      </w:r>
      <w:r w:rsidRPr="00EE0D16" w:rsidR="00981BD1">
        <w:rPr>
          <w:rFonts w:cs="Calibri"/>
        </w:rPr>
        <w:t xml:space="preserve">  An</w:t>
      </w:r>
      <w:r w:rsidRPr="00EE0D16" w:rsidR="00FB4E3F">
        <w:rPr>
          <w:rFonts w:cs="Calibri"/>
        </w:rPr>
        <w:t xml:space="preserve"> additional basis </w:t>
      </w:r>
      <w:r w:rsidRPr="00EE0D16" w:rsidR="00981BD1">
        <w:rPr>
          <w:rFonts w:cs="Calibri"/>
        </w:rPr>
        <w:t>for expungement was added</w:t>
      </w:r>
      <w:r w:rsidRPr="00EE0D16" w:rsidR="00384D6D">
        <w:rPr>
          <w:rFonts w:cs="Calibri"/>
        </w:rPr>
        <w:t>, however</w:t>
      </w:r>
      <w:r w:rsidRPr="00EE0D16" w:rsidR="00415752">
        <w:rPr>
          <w:rFonts w:cs="Calibri"/>
        </w:rPr>
        <w:t>.  B</w:t>
      </w:r>
      <w:r w:rsidRPr="00EE0D16" w:rsidR="00981BD1">
        <w:rPr>
          <w:rFonts w:cs="Calibri"/>
        </w:rPr>
        <w:t xml:space="preserve">ecause Proposition 69 </w:t>
      </w:r>
      <w:r w:rsidRPr="00EE0D16" w:rsidR="00CB355E">
        <w:rPr>
          <w:rFonts w:cs="Calibri"/>
        </w:rPr>
        <w:t xml:space="preserve">for the first time </w:t>
      </w:r>
      <w:r w:rsidRPr="00EE0D16" w:rsidR="00981BD1">
        <w:rPr>
          <w:rFonts w:cs="Calibri"/>
        </w:rPr>
        <w:t xml:space="preserve">extended the duty to submit samples to specified </w:t>
      </w:r>
      <w:r w:rsidRPr="00EE0D16" w:rsidR="00981BD1">
        <w:rPr>
          <w:rFonts w:cs="Calibri"/>
          <w:i/>
        </w:rPr>
        <w:t>arrestees</w:t>
      </w:r>
      <w:r w:rsidRPr="00EE0D16" w:rsidR="00981BD1">
        <w:rPr>
          <w:rFonts w:cs="Calibri"/>
        </w:rPr>
        <w:t xml:space="preserve">, it also allowed </w:t>
      </w:r>
      <w:r w:rsidRPr="00EE0D16" w:rsidR="00CB355E">
        <w:rPr>
          <w:rFonts w:cs="Calibri"/>
        </w:rPr>
        <w:t xml:space="preserve">individuals </w:t>
      </w:r>
      <w:r w:rsidRPr="00EE0D16" w:rsidR="00415752">
        <w:rPr>
          <w:rFonts w:cs="Calibri"/>
        </w:rPr>
        <w:t>to seek expungement if</w:t>
      </w:r>
      <w:r w:rsidRPr="00EE0D16" w:rsidR="00384D6D">
        <w:rPr>
          <w:rFonts w:cs="Calibri"/>
        </w:rPr>
        <w:t xml:space="preserve"> </w:t>
      </w:r>
      <w:r w:rsidRPr="00EE0D16" w:rsidR="00CB355E">
        <w:rPr>
          <w:rFonts w:cs="Calibri"/>
        </w:rPr>
        <w:t xml:space="preserve">charges were </w:t>
      </w:r>
      <w:r w:rsidRPr="00EE0D16" w:rsidR="00384D6D">
        <w:rPr>
          <w:rFonts w:cs="Calibri"/>
        </w:rPr>
        <w:t xml:space="preserve">not </w:t>
      </w:r>
      <w:r w:rsidRPr="00EE0D16" w:rsidR="00CB355E">
        <w:rPr>
          <w:rFonts w:cs="Calibri"/>
        </w:rPr>
        <w:t xml:space="preserve">filed or were </w:t>
      </w:r>
      <w:r w:rsidRPr="00EE0D16" w:rsidR="00384D6D">
        <w:rPr>
          <w:rFonts w:cs="Calibri"/>
        </w:rPr>
        <w:t xml:space="preserve">subsequently </w:t>
      </w:r>
      <w:r w:rsidRPr="00EE0D16" w:rsidR="00CB355E">
        <w:rPr>
          <w:rFonts w:cs="Calibri"/>
        </w:rPr>
        <w:t>dismissed.  (§ 299, subd. (b)(1).)</w:t>
      </w:r>
      <w:r w:rsidRPr="00EE0D16" w:rsidR="009035D0">
        <w:rPr>
          <w:rFonts w:cs="Calibri"/>
        </w:rPr>
        <w:t xml:space="preserve">  Even with this addition, the grounds for exclusion </w:t>
      </w:r>
      <w:r w:rsidRPr="00EE0D16" w:rsidR="00CB355E">
        <w:rPr>
          <w:rFonts w:cs="Calibri"/>
        </w:rPr>
        <w:t xml:space="preserve">from the databank </w:t>
      </w:r>
      <w:r w:rsidRPr="00EE0D16" w:rsidR="00076B70">
        <w:rPr>
          <w:rFonts w:cs="Calibri"/>
        </w:rPr>
        <w:t>remain</w:t>
      </w:r>
      <w:r w:rsidRPr="00EE0D16" w:rsidR="009035D0">
        <w:rPr>
          <w:rFonts w:cs="Calibri"/>
        </w:rPr>
        <w:t xml:space="preserve"> narrower</w:t>
      </w:r>
      <w:r w:rsidRPr="00EE0D16" w:rsidR="00CB355E">
        <w:rPr>
          <w:rFonts w:cs="Calibri"/>
        </w:rPr>
        <w:t xml:space="preserve"> than the grounds for inclusion</w:t>
      </w:r>
      <w:r w:rsidRPr="00EE0D16" w:rsidR="00384D6D">
        <w:rPr>
          <w:rFonts w:cs="Calibri"/>
        </w:rPr>
        <w:t xml:space="preserve"> in the first instance</w:t>
      </w:r>
      <w:r w:rsidRPr="00EE0D16" w:rsidR="00CB355E">
        <w:rPr>
          <w:rFonts w:cs="Calibri"/>
        </w:rPr>
        <w:t>.</w:t>
      </w:r>
      <w:r>
        <w:rPr>
          <w:rStyle w:val="FootnoteReference"/>
          <w:rFonts w:cs="Calibri"/>
        </w:rPr>
        <w:footnoteReference w:id="7"/>
      </w:r>
    </w:p>
    <w:p w:rsidR="00FF7E5A" w:rsidRPr="00103A97" w:rsidP="006D5E9D">
      <w:pPr>
        <w:tabs>
          <w:tab w:val="left" w:pos="1440"/>
        </w:tabs>
        <w:spacing w:line="480" w:lineRule="atLeast"/>
        <w:ind w:firstLine="720"/>
        <w:rPr>
          <w:rFonts w:cs="Calibri"/>
        </w:rPr>
      </w:pPr>
      <w:r w:rsidRPr="00EE0D16">
        <w:rPr>
          <w:rFonts w:cs="Calibri"/>
        </w:rPr>
        <w:t>In an important particular, t</w:t>
      </w:r>
      <w:r w:rsidRPr="00EE0D16" w:rsidR="00FE7797">
        <w:rPr>
          <w:rFonts w:cs="Calibri"/>
        </w:rPr>
        <w:t>he current sch</w:t>
      </w:r>
      <w:r w:rsidRPr="00EE0D16" w:rsidR="00DE60CB">
        <w:rPr>
          <w:rFonts w:cs="Calibri"/>
        </w:rPr>
        <w:t xml:space="preserve">eme </w:t>
      </w:r>
      <w:r w:rsidRPr="00EE0D16">
        <w:rPr>
          <w:rFonts w:cs="Calibri"/>
        </w:rPr>
        <w:t>operates as it has since the</w:t>
      </w:r>
      <w:r w:rsidRPr="00EE0D16" w:rsidR="00DE60CB">
        <w:rPr>
          <w:rFonts w:cs="Calibri"/>
        </w:rPr>
        <w:t xml:space="preserve"> </w:t>
      </w:r>
      <w:r w:rsidRPr="00EE0D16">
        <w:rPr>
          <w:rFonts w:cs="Calibri"/>
        </w:rPr>
        <w:t xml:space="preserve">databank’s </w:t>
      </w:r>
      <w:r w:rsidRPr="00EE0D16" w:rsidR="00DE60CB">
        <w:rPr>
          <w:rFonts w:cs="Calibri"/>
        </w:rPr>
        <w:t>inception:</w:t>
      </w:r>
      <w:r w:rsidRPr="00EE0D16" w:rsidR="00FE7797">
        <w:rPr>
          <w:rFonts w:cs="Calibri"/>
        </w:rPr>
        <w:t xml:space="preserve"> </w:t>
      </w:r>
      <w:r w:rsidRPr="00EE0D16" w:rsidR="00DE60CB">
        <w:rPr>
          <w:rFonts w:cs="Calibri"/>
        </w:rPr>
        <w:t xml:space="preserve"> </w:t>
      </w:r>
      <w:r w:rsidRPr="00EE0D16" w:rsidR="00FE7797">
        <w:rPr>
          <w:rFonts w:cs="Calibri"/>
        </w:rPr>
        <w:t>a</w:t>
      </w:r>
      <w:r w:rsidRPr="00EE0D16" w:rsidR="009035D0">
        <w:rPr>
          <w:rFonts w:cs="Calibri"/>
        </w:rPr>
        <w:t xml:space="preserve"> </w:t>
      </w:r>
      <w:r w:rsidRPr="00EE0D16" w:rsidR="00CB355E">
        <w:rPr>
          <w:rFonts w:cs="Calibri"/>
        </w:rPr>
        <w:t>show</w:t>
      </w:r>
      <w:r w:rsidRPr="00EE0D16" w:rsidR="00FE7797">
        <w:rPr>
          <w:rFonts w:cs="Calibri"/>
        </w:rPr>
        <w:t xml:space="preserve">ing of </w:t>
      </w:r>
      <w:r w:rsidRPr="00EE0D16" w:rsidR="00CB355E">
        <w:rPr>
          <w:rFonts w:cs="Calibri"/>
        </w:rPr>
        <w:t xml:space="preserve">changed circumstances eliminating a duty to </w:t>
      </w:r>
      <w:r w:rsidRPr="00EE0D16" w:rsidR="00CB355E">
        <w:rPr>
          <w:rFonts w:cs="Calibri"/>
          <w:i/>
        </w:rPr>
        <w:t>submit</w:t>
      </w:r>
      <w:r w:rsidRPr="00EE0D16" w:rsidR="00CB355E">
        <w:rPr>
          <w:rFonts w:cs="Calibri"/>
        </w:rPr>
        <w:t xml:space="preserve"> a sample </w:t>
      </w:r>
      <w:r w:rsidRPr="00EE0D16" w:rsidR="00FE7797">
        <w:rPr>
          <w:rFonts w:cs="Calibri"/>
        </w:rPr>
        <w:t xml:space="preserve">is an insufficient </w:t>
      </w:r>
      <w:r w:rsidRPr="00EE0D16" w:rsidR="00CB355E">
        <w:rPr>
          <w:rFonts w:cs="Calibri"/>
        </w:rPr>
        <w:t xml:space="preserve">basis for </w:t>
      </w:r>
      <w:r w:rsidRPr="00EE0D16" w:rsidR="00CB355E">
        <w:rPr>
          <w:rFonts w:cs="Calibri"/>
          <w:i/>
        </w:rPr>
        <w:t>expungement</w:t>
      </w:r>
      <w:r w:rsidRPr="00EE0D16" w:rsidR="00CB355E">
        <w:rPr>
          <w:rFonts w:cs="Calibri"/>
        </w:rPr>
        <w:t xml:space="preserve"> of a sample already submitted.</w:t>
      </w:r>
      <w:r w:rsidRPr="00EE0D16" w:rsidR="00FE7797">
        <w:rPr>
          <w:rFonts w:cs="Calibri"/>
        </w:rPr>
        <w:t xml:space="preserve">  </w:t>
      </w:r>
      <w:r w:rsidRPr="00EE0D16" w:rsidR="002413A0">
        <w:rPr>
          <w:rFonts w:cs="Calibri"/>
        </w:rPr>
        <w:t>As</w:t>
      </w:r>
      <w:r w:rsidR="00103A97">
        <w:rPr>
          <w:rFonts w:cs="Calibri"/>
        </w:rPr>
        <w:t xml:space="preserve"> </w:t>
      </w:r>
      <w:r w:rsidRPr="00EE0D16" w:rsidR="008A11FD">
        <w:rPr>
          <w:rFonts w:cs="Calibri"/>
          <w:i/>
        </w:rPr>
        <w:t>Coffey v. Superior Court</w:t>
      </w:r>
      <w:r w:rsidRPr="00EE0D16" w:rsidR="008A11FD">
        <w:rPr>
          <w:rFonts w:cs="Calibri"/>
        </w:rPr>
        <w:t xml:space="preserve"> (2005) 129 Cal.App.4th </w:t>
      </w:r>
      <w:r w:rsidRPr="00EE0D16">
        <w:rPr>
          <w:rFonts w:cs="Calibri"/>
        </w:rPr>
        <w:t>809, 823</w:t>
      </w:r>
      <w:r w:rsidRPr="00EE0D16" w:rsidR="002413A0">
        <w:rPr>
          <w:rFonts w:cs="Calibri"/>
        </w:rPr>
        <w:t xml:space="preserve">, </w:t>
      </w:r>
      <w:r w:rsidR="00103A97">
        <w:rPr>
          <w:rFonts w:cs="Calibri"/>
        </w:rPr>
        <w:t xml:space="preserve">explained, </w:t>
      </w:r>
      <w:r w:rsidRPr="00EE0D16">
        <w:rPr>
          <w:rFonts w:cs="Calibri"/>
        </w:rPr>
        <w:t>the DNA</w:t>
      </w:r>
      <w:r w:rsidRPr="00EE0D16" w:rsidR="008A11FD">
        <w:rPr>
          <w:rFonts w:cs="Calibri"/>
        </w:rPr>
        <w:t xml:space="preserve"> Act does not “permit expungement of the DNA profile (or destruction of the samples </w:t>
      </w:r>
      <w:r w:rsidRPr="00EE0D16">
        <w:rPr>
          <w:rFonts w:cs="Calibri"/>
        </w:rPr>
        <w:t>or specimens) merely because [a]</w:t>
      </w:r>
      <w:r w:rsidRPr="00EE0D16" w:rsidR="008A11FD">
        <w:rPr>
          <w:rFonts w:cs="Calibri"/>
        </w:rPr>
        <w:t xml:space="preserve"> charge was subsequently reduced to a misdemeanor:  the [Act] permits expu</w:t>
      </w:r>
      <w:r w:rsidRPr="00EE0D16" w:rsidR="002413A0">
        <w:rPr>
          <w:rFonts w:cs="Calibri"/>
        </w:rPr>
        <w:t>ngement only on limited grounds.”</w:t>
      </w:r>
      <w:r w:rsidRPr="00EE0D16" w:rsidR="008A11FD">
        <w:rPr>
          <w:rFonts w:cs="Calibri"/>
        </w:rPr>
        <w:t xml:space="preserve">  </w:t>
      </w:r>
      <w:r w:rsidRPr="00EE0D16">
        <w:rPr>
          <w:rFonts w:cs="Calibri"/>
        </w:rPr>
        <w:t xml:space="preserve">A petitioner must demonstrate </w:t>
      </w:r>
      <w:r w:rsidRPr="00EE0D16" w:rsidR="00FE7797">
        <w:rPr>
          <w:rFonts w:cs="Calibri"/>
        </w:rPr>
        <w:t xml:space="preserve">one of four </w:t>
      </w:r>
      <w:r w:rsidRPr="00EE0D16">
        <w:rPr>
          <w:rFonts w:cs="Calibri"/>
        </w:rPr>
        <w:t>specific conditions</w:t>
      </w:r>
      <w:r w:rsidRPr="00EE0D16" w:rsidR="002413A0">
        <w:rPr>
          <w:rFonts w:cs="Calibri"/>
        </w:rPr>
        <w:t xml:space="preserve">:  (1) </w:t>
      </w:r>
      <w:r w:rsidRPr="00EE0D16" w:rsidR="00FE42CB">
        <w:rPr>
          <w:rFonts w:cs="Calibri"/>
        </w:rPr>
        <w:t xml:space="preserve">charges were </w:t>
      </w:r>
      <w:r w:rsidRPr="00EE0D16" w:rsidR="002413A0">
        <w:rPr>
          <w:rFonts w:cs="Calibri"/>
        </w:rPr>
        <w:t xml:space="preserve">either not filed or </w:t>
      </w:r>
      <w:r w:rsidRPr="00EE0D16" w:rsidR="00FE42CB">
        <w:rPr>
          <w:rFonts w:cs="Calibri"/>
        </w:rPr>
        <w:t xml:space="preserve">were dismissed, (2) </w:t>
      </w:r>
      <w:r w:rsidRPr="00EE0D16">
        <w:rPr>
          <w:rFonts w:cs="Calibri"/>
        </w:rPr>
        <w:t>charges resulted in an</w:t>
      </w:r>
      <w:r w:rsidRPr="00EE0D16" w:rsidR="002413A0">
        <w:rPr>
          <w:rFonts w:cs="Calibri"/>
        </w:rPr>
        <w:t xml:space="preserve"> acquitt</w:t>
      </w:r>
      <w:r w:rsidRPr="00EE0D16">
        <w:rPr>
          <w:rFonts w:cs="Calibri"/>
        </w:rPr>
        <w:t>al</w:t>
      </w:r>
      <w:r w:rsidRPr="00EE0D16" w:rsidR="00FE42CB">
        <w:rPr>
          <w:rFonts w:cs="Calibri"/>
        </w:rPr>
        <w:t>, (3) any conviction was reversed and the case dismisse</w:t>
      </w:r>
      <w:r w:rsidRPr="00EE0D16">
        <w:rPr>
          <w:rFonts w:cs="Calibri"/>
        </w:rPr>
        <w:t>d, or (4) the petitioner</w:t>
      </w:r>
      <w:r w:rsidRPr="00EE0D16" w:rsidR="00FE42CB">
        <w:rPr>
          <w:rFonts w:cs="Calibri"/>
        </w:rPr>
        <w:t xml:space="preserve"> was </w:t>
      </w:r>
      <w:r w:rsidRPr="00EE0D16" w:rsidR="002413A0">
        <w:rPr>
          <w:rFonts w:cs="Calibri"/>
        </w:rPr>
        <w:t>found</w:t>
      </w:r>
      <w:r w:rsidRPr="00EE0D16" w:rsidR="00FE42CB">
        <w:rPr>
          <w:rFonts w:cs="Calibri"/>
        </w:rPr>
        <w:t xml:space="preserve"> factually innocent</w:t>
      </w:r>
      <w:r w:rsidRPr="00EE0D16" w:rsidR="002413A0">
        <w:rPr>
          <w:rFonts w:cs="Calibri"/>
        </w:rPr>
        <w:t>.  (§ 299, subd. </w:t>
      </w:r>
      <w:r w:rsidRPr="00EE0D16" w:rsidR="00FE7797">
        <w:rPr>
          <w:rFonts w:cs="Calibri"/>
        </w:rPr>
        <w:t>(b)</w:t>
      </w:r>
      <w:r w:rsidRPr="00EE0D16" w:rsidR="00FE42CB">
        <w:rPr>
          <w:rFonts w:cs="Calibri"/>
        </w:rPr>
        <w:t>(1)–(4)</w:t>
      </w:r>
      <w:r w:rsidRPr="00EE0D16">
        <w:rPr>
          <w:rFonts w:cs="Calibri"/>
        </w:rPr>
        <w:t>.</w:t>
      </w:r>
      <w:r w:rsidRPr="00EE0D16" w:rsidR="00FE7797">
        <w:rPr>
          <w:rFonts w:cs="Calibri"/>
        </w:rPr>
        <w:t>)  Th</w:t>
      </w:r>
      <w:r w:rsidRPr="00EE0D16" w:rsidR="002413A0">
        <w:rPr>
          <w:rFonts w:cs="Calibri"/>
        </w:rPr>
        <w:t>e applicant</w:t>
      </w:r>
      <w:r w:rsidRPr="00EE0D16" w:rsidR="00FE7797">
        <w:rPr>
          <w:rFonts w:cs="Calibri"/>
        </w:rPr>
        <w:t xml:space="preserve"> must request</w:t>
      </w:r>
      <w:r w:rsidRPr="00EE0D16" w:rsidR="002413A0">
        <w:rPr>
          <w:rFonts w:cs="Calibri"/>
        </w:rPr>
        <w:t xml:space="preserve"> </w:t>
      </w:r>
      <w:r w:rsidRPr="00EE0D16">
        <w:rPr>
          <w:rFonts w:cs="Calibri"/>
        </w:rPr>
        <w:t>expungement</w:t>
      </w:r>
      <w:r w:rsidRPr="00EE0D16" w:rsidR="002413A0">
        <w:rPr>
          <w:rFonts w:cs="Calibri"/>
        </w:rPr>
        <w:t xml:space="preserve"> in writing</w:t>
      </w:r>
      <w:r w:rsidRPr="00EE0D16" w:rsidR="00FE7797">
        <w:rPr>
          <w:rFonts w:cs="Calibri"/>
        </w:rPr>
        <w:t xml:space="preserve">, with copies to the DNA Laboratory </w:t>
      </w:r>
      <w:r w:rsidRPr="00EE0D16" w:rsidR="002413A0">
        <w:rPr>
          <w:rFonts w:cs="Calibri"/>
        </w:rPr>
        <w:t xml:space="preserve">of the Department of Justice, the </w:t>
      </w:r>
      <w:r w:rsidRPr="00EE0D16" w:rsidR="00FE7797">
        <w:rPr>
          <w:rFonts w:cs="Calibri"/>
        </w:rPr>
        <w:t>trial court</w:t>
      </w:r>
      <w:r w:rsidRPr="00EE0D16" w:rsidR="002413A0">
        <w:rPr>
          <w:rFonts w:cs="Calibri"/>
        </w:rPr>
        <w:t>,</w:t>
      </w:r>
      <w:r w:rsidRPr="00EE0D16" w:rsidR="00FE7797">
        <w:rPr>
          <w:rFonts w:cs="Calibri"/>
        </w:rPr>
        <w:t xml:space="preserve"> and </w:t>
      </w:r>
      <w:r w:rsidRPr="00EE0D16" w:rsidR="002413A0">
        <w:rPr>
          <w:rFonts w:cs="Calibri"/>
        </w:rPr>
        <w:t xml:space="preserve">the </w:t>
      </w:r>
      <w:r w:rsidRPr="00EE0D16" w:rsidR="00FE7797">
        <w:rPr>
          <w:rFonts w:cs="Calibri"/>
        </w:rPr>
        <w:t>prosecuting attorney.  (§ 299, subd</w:t>
      </w:r>
      <w:r w:rsidR="00AB1912">
        <w:rPr>
          <w:rFonts w:cs="Calibri"/>
        </w:rPr>
        <w:t>s</w:t>
      </w:r>
      <w:r w:rsidRPr="00EE0D16" w:rsidR="00FE7797">
        <w:rPr>
          <w:rFonts w:cs="Calibri"/>
        </w:rPr>
        <w:t>. </w:t>
      </w:r>
      <w:r w:rsidR="00AB1912">
        <w:rPr>
          <w:rFonts w:cs="Calibri"/>
        </w:rPr>
        <w:t xml:space="preserve">(b), </w:t>
      </w:r>
      <w:r w:rsidRPr="00EE0D16" w:rsidR="00FE7797">
        <w:rPr>
          <w:rFonts w:cs="Calibri"/>
        </w:rPr>
        <w:t>(c)(1).)  There</w:t>
      </w:r>
      <w:r w:rsidRPr="00EE0D16" w:rsidR="002413A0">
        <w:rPr>
          <w:rFonts w:cs="Calibri"/>
        </w:rPr>
        <w:t>after, the applicant</w:t>
      </w:r>
      <w:r w:rsidRPr="00EE0D16" w:rsidR="00FE7797">
        <w:rPr>
          <w:rFonts w:cs="Calibri"/>
        </w:rPr>
        <w:t xml:space="preserve"> must make “the necessary showing at a noticed hearing</w:t>
      </w:r>
      <w:r w:rsidR="00103A97">
        <w:rPr>
          <w:rFonts w:cs="Calibri"/>
        </w:rPr>
        <w:t>.</w:t>
      </w:r>
      <w:r w:rsidRPr="00EE0D16" w:rsidR="00FE7797">
        <w:rPr>
          <w:rFonts w:cs="Calibri"/>
        </w:rPr>
        <w:t xml:space="preserve">” </w:t>
      </w:r>
      <w:r w:rsidR="00103A97">
        <w:rPr>
          <w:rFonts w:cs="Calibri"/>
        </w:rPr>
        <w:t xml:space="preserve"> </w:t>
      </w:r>
      <w:r w:rsidRPr="00EE0D16" w:rsidR="00FE7797">
        <w:rPr>
          <w:rFonts w:cs="Calibri"/>
        </w:rPr>
        <w:t>(</w:t>
      </w:r>
      <w:r w:rsidR="00103A97">
        <w:rPr>
          <w:rFonts w:cs="Calibri"/>
          <w:i/>
        </w:rPr>
        <w:t>I</w:t>
      </w:r>
      <w:r w:rsidRPr="00EE0D16" w:rsidR="00FE7797">
        <w:rPr>
          <w:rFonts w:cs="Calibri"/>
          <w:i/>
        </w:rPr>
        <w:t>d.</w:t>
      </w:r>
      <w:r w:rsidRPr="00EE0D16" w:rsidR="00FE7797">
        <w:rPr>
          <w:rFonts w:cs="Calibri"/>
        </w:rPr>
        <w:t>, subd. (c)(2)</w:t>
      </w:r>
      <w:r w:rsidR="00103A97">
        <w:rPr>
          <w:rFonts w:cs="Calibri"/>
        </w:rPr>
        <w:t>.</w:t>
      </w:r>
      <w:r w:rsidRPr="00EE0D16" w:rsidR="00FE7797">
        <w:rPr>
          <w:rFonts w:cs="Calibri"/>
        </w:rPr>
        <w:t>)</w:t>
      </w:r>
      <w:r w:rsidR="00103A97">
        <w:rPr>
          <w:rFonts w:cs="Calibri"/>
        </w:rPr>
        <w:t xml:space="preserve">  T</w:t>
      </w:r>
      <w:r w:rsidRPr="00EE0D16" w:rsidR="00FE7797">
        <w:rPr>
          <w:rFonts w:cs="Calibri"/>
        </w:rPr>
        <w:t xml:space="preserve">he court </w:t>
      </w:r>
      <w:r w:rsidRPr="00EE0D16">
        <w:rPr>
          <w:rFonts w:cs="Calibri"/>
        </w:rPr>
        <w:t>has discretion to determine</w:t>
      </w:r>
      <w:r w:rsidRPr="00EE0D16" w:rsidR="00FE7797">
        <w:rPr>
          <w:rFonts w:cs="Calibri"/>
        </w:rPr>
        <w:t xml:space="preserve"> whether that showing is sufficient</w:t>
      </w:r>
      <w:r w:rsidR="00103A97">
        <w:rPr>
          <w:rFonts w:cs="Calibri"/>
        </w:rPr>
        <w:t>.</w:t>
      </w:r>
      <w:r w:rsidRPr="00EE0D16" w:rsidR="00FE7797">
        <w:rPr>
          <w:rFonts w:cs="Calibri"/>
        </w:rPr>
        <w:t xml:space="preserve"> </w:t>
      </w:r>
      <w:r w:rsidR="00103A97">
        <w:rPr>
          <w:rFonts w:cs="Calibri"/>
        </w:rPr>
        <w:t xml:space="preserve"> </w:t>
      </w:r>
      <w:r w:rsidRPr="00EE0D16" w:rsidR="00FE7797">
        <w:rPr>
          <w:rFonts w:cs="Calibri"/>
        </w:rPr>
        <w:t>(</w:t>
      </w:r>
      <w:r w:rsidR="00103A97">
        <w:rPr>
          <w:rFonts w:cs="Calibri"/>
          <w:i/>
        </w:rPr>
        <w:t>I</w:t>
      </w:r>
      <w:r w:rsidRPr="00EE0D16" w:rsidR="00FE7797">
        <w:rPr>
          <w:rFonts w:cs="Calibri"/>
          <w:i/>
        </w:rPr>
        <w:t>d.</w:t>
      </w:r>
      <w:r w:rsidRPr="00EE0D16" w:rsidR="00FE7797">
        <w:rPr>
          <w:rFonts w:cs="Calibri"/>
        </w:rPr>
        <w:t>, subd. (c)(1)</w:t>
      </w:r>
      <w:r w:rsidR="00103A97">
        <w:rPr>
          <w:rFonts w:cs="Calibri"/>
        </w:rPr>
        <w:t>.)</w:t>
      </w:r>
      <w:r w:rsidRPr="00EE0D16" w:rsidR="00FE7797">
        <w:rPr>
          <w:rFonts w:cs="Calibri"/>
        </w:rPr>
        <w:t xml:space="preserve">  </w:t>
      </w:r>
      <w:r w:rsidRPr="00EE0D16" w:rsidR="002413A0">
        <w:rPr>
          <w:rFonts w:cs="Calibri"/>
        </w:rPr>
        <w:t>The Department of Justice i</w:t>
      </w:r>
      <w:r w:rsidRPr="00EE0D16" w:rsidR="00FE7797">
        <w:rPr>
          <w:rFonts w:cs="Calibri"/>
        </w:rPr>
        <w:t xml:space="preserve">s obligated to expunge a sample only after receiving a court order directing </w:t>
      </w:r>
      <w:r w:rsidRPr="00EE0D16" w:rsidR="002413A0">
        <w:rPr>
          <w:rFonts w:cs="Calibri"/>
        </w:rPr>
        <w:t>that action, along with</w:t>
      </w:r>
      <w:r w:rsidRPr="00EE0D16" w:rsidR="00FE7797">
        <w:rPr>
          <w:rFonts w:cs="Calibri"/>
        </w:rPr>
        <w:t xml:space="preserve"> documentary proo</w:t>
      </w:r>
      <w:r w:rsidRPr="00EE0D16" w:rsidR="002413A0">
        <w:rPr>
          <w:rFonts w:cs="Calibri"/>
        </w:rPr>
        <w:t xml:space="preserve">f that one of the four </w:t>
      </w:r>
      <w:r w:rsidRPr="00EE0D16">
        <w:rPr>
          <w:rFonts w:cs="Calibri"/>
        </w:rPr>
        <w:t>condition</w:t>
      </w:r>
      <w:r w:rsidRPr="00EE0D16" w:rsidR="00FE7797">
        <w:rPr>
          <w:rFonts w:cs="Calibri"/>
        </w:rPr>
        <w:t>s for expungement has been satisfied.  (</w:t>
      </w:r>
      <w:r w:rsidRPr="00EE0D16" w:rsidR="00FE7797">
        <w:rPr>
          <w:rFonts w:cs="Calibri"/>
          <w:i/>
        </w:rPr>
        <w:t>Id.</w:t>
      </w:r>
      <w:r w:rsidRPr="00EE0D16" w:rsidR="00FE7797">
        <w:rPr>
          <w:rFonts w:cs="Calibri"/>
        </w:rPr>
        <w:t>, subd. (c)(2)(B), (D).)</w:t>
      </w:r>
      <w:r w:rsidR="00103A97">
        <w:rPr>
          <w:rFonts w:cs="Calibri"/>
        </w:rPr>
        <w:t xml:space="preserve">  </w:t>
      </w:r>
      <w:r w:rsidR="00103A97">
        <w:rPr>
          <w:rFonts w:cs="Calibri"/>
          <w:i/>
        </w:rPr>
        <w:t>Coffey</w:t>
      </w:r>
      <w:r w:rsidR="00103A97">
        <w:rPr>
          <w:rFonts w:cs="Calibri"/>
        </w:rPr>
        <w:t xml:space="preserve"> was decided before Proposition 47 was passed.  The question here is whether </w:t>
      </w:r>
      <w:r w:rsidR="00103A97">
        <w:rPr>
          <w:rFonts w:cs="Calibri"/>
          <w:i/>
        </w:rPr>
        <w:t>Coffey</w:t>
      </w:r>
      <w:r w:rsidR="00103A97">
        <w:rPr>
          <w:rFonts w:cs="Calibri"/>
        </w:rPr>
        <w:t xml:space="preserve"> remains good law.  We conclude that it does.</w:t>
      </w:r>
    </w:p>
    <w:p w:rsidR="00295989" w:rsidRPr="00EE0D16" w:rsidP="00836C8B">
      <w:pPr>
        <w:tabs>
          <w:tab w:val="left" w:pos="1440"/>
        </w:tabs>
        <w:spacing w:line="480" w:lineRule="atLeast"/>
        <w:ind w:firstLine="720"/>
        <w:rPr>
          <w:rFonts w:cs="Calibri"/>
        </w:rPr>
      </w:pPr>
      <w:r>
        <w:rPr>
          <w:rFonts w:cs="Calibri"/>
        </w:rPr>
        <w:t xml:space="preserve">After </w:t>
      </w:r>
      <w:r w:rsidRPr="00EE0D16" w:rsidR="00836C8B">
        <w:rPr>
          <w:rFonts w:cs="Calibri"/>
        </w:rPr>
        <w:t>the court’s redesignation orders, C.B. and C.H. no longer stand adjudicated of felonies.  But they cannot meet the add</w:t>
      </w:r>
      <w:r w:rsidR="00AB1912">
        <w:rPr>
          <w:rFonts w:cs="Calibri"/>
        </w:rPr>
        <w:t>itional expungement requirements</w:t>
      </w:r>
      <w:r w:rsidRPr="00EE0D16" w:rsidR="00836C8B">
        <w:rPr>
          <w:rFonts w:cs="Calibri"/>
        </w:rPr>
        <w:t xml:space="preserve"> of subdivision (b):  lack </w:t>
      </w:r>
      <w:r w:rsidRPr="00EE0D16" w:rsidR="00AF66EE">
        <w:rPr>
          <w:rFonts w:cs="Calibri"/>
        </w:rPr>
        <w:t>of</w:t>
      </w:r>
      <w:r w:rsidRPr="00EE0D16" w:rsidR="00836C8B">
        <w:rPr>
          <w:rFonts w:cs="Calibri"/>
        </w:rPr>
        <w:t xml:space="preserve"> charges, acquittal, appellate reversal, or a finding of factual innocence.</w:t>
      </w:r>
      <w:r w:rsidRPr="00EE0D16" w:rsidR="00251104">
        <w:rPr>
          <w:rFonts w:cs="Calibri"/>
        </w:rPr>
        <w:t xml:space="preserve">  On the face of the statute, eligibility for expungement is conf</w:t>
      </w:r>
      <w:r w:rsidRPr="00EE0D16" w:rsidR="00FE42CB">
        <w:rPr>
          <w:rFonts w:cs="Calibri"/>
        </w:rPr>
        <w:t xml:space="preserve">ined to these </w:t>
      </w:r>
      <w:r w:rsidRPr="00EE0D16" w:rsidR="00251104">
        <w:rPr>
          <w:rFonts w:cs="Calibri"/>
        </w:rPr>
        <w:t xml:space="preserve">circumstances.  Nothing in section 299 </w:t>
      </w:r>
      <w:r w:rsidRPr="00EE0D16" w:rsidR="00836C8B">
        <w:rPr>
          <w:rFonts w:cs="Calibri"/>
        </w:rPr>
        <w:t>authorizes</w:t>
      </w:r>
      <w:r w:rsidRPr="00EE0D16">
        <w:rPr>
          <w:rFonts w:cs="Calibri"/>
        </w:rPr>
        <w:t xml:space="preserve"> expungement on the ground that conduct previously deemed a felony </w:t>
      </w:r>
      <w:r w:rsidR="00767353">
        <w:rPr>
          <w:rFonts w:cs="Calibri"/>
        </w:rPr>
        <w:t>is now</w:t>
      </w:r>
      <w:r w:rsidRPr="00EE0D16">
        <w:rPr>
          <w:rFonts w:cs="Calibri"/>
        </w:rPr>
        <w:t xml:space="preserve"> punished only as a misdemeanor.</w:t>
      </w:r>
      <w:r>
        <w:rPr>
          <w:rStyle w:val="FootnoteReference"/>
          <w:rFonts w:cs="Calibri"/>
        </w:rPr>
        <w:footnoteReference w:id="8"/>
      </w:r>
    </w:p>
    <w:p w:rsidR="002C4B30" w:rsidRPr="00334AA0" w:rsidP="006D5E9D">
      <w:pPr>
        <w:tabs>
          <w:tab w:val="left" w:pos="1440"/>
        </w:tabs>
        <w:spacing w:line="480" w:lineRule="atLeast"/>
        <w:ind w:firstLine="720"/>
        <w:rPr>
          <w:rFonts w:cs="Calibri"/>
          <w:b/>
        </w:rPr>
      </w:pPr>
      <w:r w:rsidRPr="00EE0D16">
        <w:rPr>
          <w:rFonts w:cs="Calibri"/>
        </w:rPr>
        <w:t>This r</w:t>
      </w:r>
      <w:r w:rsidRPr="00EE0D16" w:rsidR="00295989">
        <w:rPr>
          <w:rFonts w:cs="Calibri"/>
        </w:rPr>
        <w:t xml:space="preserve">eading </w:t>
      </w:r>
      <w:r w:rsidRPr="00EE0D16">
        <w:rPr>
          <w:rFonts w:cs="Calibri"/>
        </w:rPr>
        <w:t xml:space="preserve">of </w:t>
      </w:r>
      <w:r w:rsidRPr="00EE0D16" w:rsidR="00295989">
        <w:rPr>
          <w:rFonts w:cs="Calibri"/>
        </w:rPr>
        <w:t xml:space="preserve">the </w:t>
      </w:r>
      <w:r w:rsidRPr="00EE0D16">
        <w:rPr>
          <w:rFonts w:cs="Calibri"/>
        </w:rPr>
        <w:t>DNA Act</w:t>
      </w:r>
      <w:r w:rsidRPr="00EE0D16">
        <w:rPr>
          <w:rFonts w:cs="Calibri"/>
        </w:rPr>
        <w:t>,</w:t>
      </w:r>
      <w:r w:rsidRPr="00EE0D16">
        <w:rPr>
          <w:rFonts w:cs="Calibri"/>
        </w:rPr>
        <w:t xml:space="preserve"> as amended by</w:t>
      </w:r>
      <w:r w:rsidRPr="00EE0D16" w:rsidR="00F221DC">
        <w:rPr>
          <w:rFonts w:cs="Calibri"/>
        </w:rPr>
        <w:t xml:space="preserve"> Proposition 69</w:t>
      </w:r>
      <w:r w:rsidRPr="00EE0D16">
        <w:rPr>
          <w:rFonts w:cs="Calibri"/>
        </w:rPr>
        <w:t>,</w:t>
      </w:r>
      <w:r w:rsidRPr="00EE0D16" w:rsidR="00295989">
        <w:rPr>
          <w:rFonts w:cs="Calibri"/>
        </w:rPr>
        <w:t xml:space="preserve"> </w:t>
      </w:r>
      <w:r w:rsidRPr="00EE0D16">
        <w:rPr>
          <w:rFonts w:cs="Calibri"/>
        </w:rPr>
        <w:t>do</w:t>
      </w:r>
      <w:r w:rsidRPr="00EE0D16" w:rsidR="00295989">
        <w:rPr>
          <w:rFonts w:cs="Calibri"/>
        </w:rPr>
        <w:t>es no</w:t>
      </w:r>
      <w:r w:rsidRPr="00EE0D16">
        <w:rPr>
          <w:rFonts w:cs="Calibri"/>
        </w:rPr>
        <w:t>t</w:t>
      </w:r>
      <w:r w:rsidRPr="00EE0D16" w:rsidR="00295989">
        <w:rPr>
          <w:rFonts w:cs="Calibri"/>
        </w:rPr>
        <w:t xml:space="preserve"> confl</w:t>
      </w:r>
      <w:r w:rsidRPr="00EE0D16" w:rsidR="00157C79">
        <w:rPr>
          <w:rFonts w:cs="Calibri"/>
        </w:rPr>
        <w:t xml:space="preserve">ict with </w:t>
      </w:r>
      <w:r w:rsidRPr="00EE0D16" w:rsidR="00FE7797">
        <w:rPr>
          <w:rFonts w:cs="Calibri"/>
        </w:rPr>
        <w:t xml:space="preserve">the text of </w:t>
      </w:r>
      <w:r w:rsidRPr="00EE0D16" w:rsidR="00157C79">
        <w:rPr>
          <w:rFonts w:cs="Calibri"/>
        </w:rPr>
        <w:t>Proposition 47</w:t>
      </w:r>
      <w:r w:rsidRPr="00EE0D16">
        <w:rPr>
          <w:rFonts w:cs="Calibri"/>
        </w:rPr>
        <w:t>, which provides that f</w:t>
      </w:r>
      <w:r w:rsidRPr="00EE0D16" w:rsidR="000B2F0E">
        <w:rPr>
          <w:rFonts w:cs="Calibri"/>
        </w:rPr>
        <w:t>elonies redesignat</w:t>
      </w:r>
      <w:r w:rsidRPr="00EE0D16" w:rsidR="00295989">
        <w:rPr>
          <w:rFonts w:cs="Calibri"/>
        </w:rPr>
        <w:t xml:space="preserve">ed as misdemeanors must be treated as such for “all purposes.”  </w:t>
      </w:r>
      <w:r w:rsidR="00AB1912">
        <w:rPr>
          <w:rFonts w:cs="Calibri"/>
        </w:rPr>
        <w:t>(§ 1170.18, subd. </w:t>
      </w:r>
      <w:r w:rsidRPr="00EE0D16" w:rsidR="00157C79">
        <w:rPr>
          <w:rFonts w:cs="Calibri"/>
        </w:rPr>
        <w:t xml:space="preserve">(k).)  </w:t>
      </w:r>
      <w:r w:rsidRPr="00EE0D16" w:rsidR="000B2F0E">
        <w:rPr>
          <w:rFonts w:cs="Calibri"/>
        </w:rPr>
        <w:t xml:space="preserve">Section 296’s imposition of a duty to </w:t>
      </w:r>
      <w:r w:rsidRPr="00EE0D16" w:rsidR="000B2F0E">
        <w:rPr>
          <w:rFonts w:cs="Calibri"/>
          <w:i/>
        </w:rPr>
        <w:t>submit</w:t>
      </w:r>
      <w:r w:rsidRPr="00EE0D16" w:rsidR="000B2F0E">
        <w:rPr>
          <w:rFonts w:cs="Calibri"/>
        </w:rPr>
        <w:t xml:space="preserve"> a sampl</w:t>
      </w:r>
      <w:r w:rsidRPr="00EE0D16" w:rsidR="00BB4134">
        <w:rPr>
          <w:rFonts w:cs="Calibri"/>
        </w:rPr>
        <w:t xml:space="preserve">e hinges on the </w:t>
      </w:r>
      <w:r w:rsidRPr="00EE0D16" w:rsidR="000B2F0E">
        <w:rPr>
          <w:rFonts w:cs="Calibri"/>
        </w:rPr>
        <w:t>classification of the offense</w:t>
      </w:r>
      <w:r w:rsidRPr="00EE0D16" w:rsidR="00BB4134">
        <w:rPr>
          <w:rFonts w:cs="Calibri"/>
        </w:rPr>
        <w:t xml:space="preserve"> at the time of adjudication.  A later reclassification to</w:t>
      </w:r>
      <w:r w:rsidRPr="00EE0D16" w:rsidR="000B2F0E">
        <w:rPr>
          <w:rFonts w:cs="Calibri"/>
        </w:rPr>
        <w:t xml:space="preserve"> a misdemeanor </w:t>
      </w:r>
      <w:r w:rsidRPr="00EE0D16" w:rsidR="00BB4134">
        <w:rPr>
          <w:rFonts w:cs="Calibri"/>
        </w:rPr>
        <w:t>leaves that</w:t>
      </w:r>
      <w:r w:rsidRPr="00EE0D16" w:rsidR="000B2F0E">
        <w:rPr>
          <w:rFonts w:cs="Calibri"/>
        </w:rPr>
        <w:t xml:space="preserve"> former duty</w:t>
      </w:r>
      <w:r w:rsidRPr="00EE0D16" w:rsidR="00103A97">
        <w:rPr>
          <w:rFonts w:cs="Calibri"/>
        </w:rPr>
        <w:t xml:space="preserve"> undisturbed</w:t>
      </w:r>
      <w:r w:rsidRPr="00EE0D16" w:rsidR="000B2F0E">
        <w:rPr>
          <w:rFonts w:cs="Calibri"/>
        </w:rPr>
        <w:t xml:space="preserve">.  Section 299 hinges eligibility for </w:t>
      </w:r>
      <w:r w:rsidRPr="00EE0D16" w:rsidR="000B2F0E">
        <w:rPr>
          <w:rFonts w:cs="Calibri"/>
          <w:i/>
        </w:rPr>
        <w:t>expungement</w:t>
      </w:r>
      <w:r w:rsidRPr="00EE0D16" w:rsidR="000B2F0E">
        <w:rPr>
          <w:rFonts w:cs="Calibri"/>
        </w:rPr>
        <w:t xml:space="preserve"> </w:t>
      </w:r>
      <w:r w:rsidRPr="00EE0D16">
        <w:rPr>
          <w:rFonts w:cs="Calibri"/>
        </w:rPr>
        <w:t>not only</w:t>
      </w:r>
      <w:r w:rsidRPr="00EE0D16" w:rsidR="000B2F0E">
        <w:rPr>
          <w:rFonts w:cs="Calibri"/>
        </w:rPr>
        <w:t xml:space="preserve"> on the present status of any offense,</w:t>
      </w:r>
      <w:r w:rsidRPr="00EE0D16" w:rsidR="00BB4134">
        <w:rPr>
          <w:rFonts w:cs="Calibri"/>
        </w:rPr>
        <w:t xml:space="preserve"> but also </w:t>
      </w:r>
      <w:r w:rsidRPr="00EE0D16" w:rsidR="000B2F0E">
        <w:rPr>
          <w:rFonts w:cs="Calibri"/>
        </w:rPr>
        <w:t xml:space="preserve">on a range of other conditions, none of which are satisfied by the </w:t>
      </w:r>
      <w:r w:rsidRPr="00EE0D16">
        <w:rPr>
          <w:rFonts w:cs="Calibri"/>
        </w:rPr>
        <w:t>re</w:t>
      </w:r>
      <w:r w:rsidRPr="00EE0D16" w:rsidR="000B2F0E">
        <w:rPr>
          <w:rFonts w:cs="Calibri"/>
        </w:rPr>
        <w:t>class</w:t>
      </w:r>
      <w:r w:rsidR="00103A97">
        <w:rPr>
          <w:rFonts w:cs="Calibri"/>
        </w:rPr>
        <w:t>ification of the offense</w:t>
      </w:r>
      <w:r w:rsidRPr="00EE0D16" w:rsidR="000B2F0E">
        <w:rPr>
          <w:rFonts w:cs="Calibri"/>
        </w:rPr>
        <w:t xml:space="preserve">.  </w:t>
      </w:r>
      <w:r w:rsidRPr="00EE0D16">
        <w:rPr>
          <w:rFonts w:cs="Calibri"/>
        </w:rPr>
        <w:t>The Legislature or drafters of Proposition 69 could have subjected submission and retention of samples to the same standards, so that someone no longer obligated to submit a sample w</w:t>
      </w:r>
      <w:r w:rsidR="00A04CBA">
        <w:rPr>
          <w:rFonts w:cs="Calibri"/>
        </w:rPr>
        <w:t>ould be entitled to expungement</w:t>
      </w:r>
      <w:r w:rsidRPr="00EE0D16">
        <w:rPr>
          <w:rFonts w:cs="Calibri"/>
        </w:rPr>
        <w:t xml:space="preserve">. </w:t>
      </w:r>
      <w:r w:rsidRPr="00EE0D16" w:rsidR="009A4278">
        <w:rPr>
          <w:rFonts w:cs="Calibri"/>
        </w:rPr>
        <w:t xml:space="preserve"> Alternatively, t</w:t>
      </w:r>
      <w:r w:rsidRPr="00EE0D16" w:rsidR="00295989">
        <w:rPr>
          <w:rFonts w:cs="Calibri"/>
        </w:rPr>
        <w:t xml:space="preserve">he drafters of Proposition 47 could have </w:t>
      </w:r>
      <w:r w:rsidRPr="00EE0D16">
        <w:rPr>
          <w:rFonts w:cs="Calibri"/>
        </w:rPr>
        <w:t>provided that reclassification was now a basis for expungement</w:t>
      </w:r>
      <w:r w:rsidR="00A04CBA">
        <w:rPr>
          <w:rFonts w:cs="Calibri"/>
        </w:rPr>
        <w:t>.  Such a provision would have addressed</w:t>
      </w:r>
      <w:r w:rsidRPr="00EE0D16">
        <w:rPr>
          <w:rFonts w:cs="Calibri"/>
        </w:rPr>
        <w:t xml:space="preserve"> the established rule from </w:t>
      </w:r>
      <w:r w:rsidRPr="00EE0D16">
        <w:rPr>
          <w:rFonts w:cs="Calibri"/>
          <w:i/>
        </w:rPr>
        <w:t>Coffey v. Superior Court</w:t>
      </w:r>
      <w:r w:rsidRPr="00EE0D16">
        <w:rPr>
          <w:rFonts w:cs="Calibri"/>
        </w:rPr>
        <w:t xml:space="preserve">, </w:t>
      </w:r>
      <w:r w:rsidRPr="00EE0D16">
        <w:rPr>
          <w:rFonts w:cs="Calibri"/>
          <w:i/>
        </w:rPr>
        <w:t>supra</w:t>
      </w:r>
      <w:r w:rsidRPr="00EE0D16">
        <w:rPr>
          <w:rFonts w:cs="Calibri"/>
        </w:rPr>
        <w:t>, 129 Cal.App.4th 809, that later reduction of a felony to a</w:t>
      </w:r>
      <w:r w:rsidR="00A04CBA">
        <w:rPr>
          <w:rFonts w:cs="Calibri"/>
        </w:rPr>
        <w:t xml:space="preserve"> misdemeanor does</w:t>
      </w:r>
      <w:r w:rsidRPr="00EE0D16">
        <w:rPr>
          <w:rFonts w:cs="Calibri"/>
        </w:rPr>
        <w:t xml:space="preserve"> not support expungement.  Neither alternative </w:t>
      </w:r>
      <w:r w:rsidRPr="00EE0D16" w:rsidR="00361EA4">
        <w:rPr>
          <w:rFonts w:cs="Calibri"/>
        </w:rPr>
        <w:t>was pursued.</w:t>
      </w:r>
    </w:p>
    <w:p w:rsidR="00D027CC" w:rsidP="008C2B06">
      <w:pPr>
        <w:tabs>
          <w:tab w:val="left" w:pos="1440"/>
        </w:tabs>
        <w:spacing w:line="480" w:lineRule="atLeast"/>
        <w:ind w:firstLine="720"/>
      </w:pPr>
      <w:r w:rsidRPr="00EE0D16">
        <w:rPr>
          <w:rFonts w:cs="Calibri"/>
        </w:rPr>
        <w:t xml:space="preserve">C.B. and C.H. offer three </w:t>
      </w:r>
      <w:r w:rsidRPr="00EE0D16" w:rsidR="00BD3109">
        <w:rPr>
          <w:rFonts w:cs="Calibri"/>
        </w:rPr>
        <w:t xml:space="preserve">interrelated </w:t>
      </w:r>
      <w:r w:rsidRPr="00EE0D16">
        <w:rPr>
          <w:rFonts w:cs="Calibri"/>
        </w:rPr>
        <w:t xml:space="preserve">textual arguments.  First, they stress that section </w:t>
      </w:r>
      <w:r>
        <w:t xml:space="preserve">1170.18, subdivision </w:t>
      </w:r>
      <w:r>
        <w:t>(k)</w:t>
      </w:r>
      <w:r w:rsidR="006E4A03">
        <w:t>,</w:t>
      </w:r>
      <w:r>
        <w:t xml:space="preserve"> </w:t>
      </w:r>
      <w:r w:rsidR="00F4514B">
        <w:t>contain</w:t>
      </w:r>
      <w:r>
        <w:t>s</w:t>
      </w:r>
      <w:r>
        <w:t xml:space="preserve"> only one exception</w:t>
      </w:r>
      <w:r w:rsidR="00F4514B">
        <w:t xml:space="preserve"> to its “misdemeanor for all purposes” rule</w:t>
      </w:r>
      <w:r>
        <w:t xml:space="preserve">, </w:t>
      </w:r>
      <w:r w:rsidR="00361EA4">
        <w:t xml:space="preserve">the continued limitation on </w:t>
      </w:r>
      <w:r>
        <w:t>gun possession.  The v</w:t>
      </w:r>
      <w:r w:rsidRPr="009B4CAA">
        <w:rPr>
          <w:szCs w:val="26"/>
        </w:rPr>
        <w:t xml:space="preserve">oters </w:t>
      </w:r>
      <w:r>
        <w:rPr>
          <w:szCs w:val="26"/>
        </w:rPr>
        <w:t xml:space="preserve">should be </w:t>
      </w:r>
      <w:r w:rsidRPr="009B4CAA">
        <w:rPr>
          <w:szCs w:val="26"/>
        </w:rPr>
        <w:t xml:space="preserve">presumed to </w:t>
      </w:r>
      <w:r>
        <w:rPr>
          <w:szCs w:val="26"/>
        </w:rPr>
        <w:t>know of the state’s DNA collection, and did not add</w:t>
      </w:r>
      <w:r w:rsidRPr="009B4CAA">
        <w:rPr>
          <w:szCs w:val="26"/>
        </w:rPr>
        <w:t xml:space="preserve"> </w:t>
      </w:r>
      <w:r w:rsidR="00F4514B">
        <w:rPr>
          <w:szCs w:val="26"/>
        </w:rPr>
        <w:t>an</w:t>
      </w:r>
      <w:r>
        <w:rPr>
          <w:szCs w:val="26"/>
        </w:rPr>
        <w:t xml:space="preserve"> additional </w:t>
      </w:r>
      <w:r w:rsidRPr="009B4CAA">
        <w:rPr>
          <w:szCs w:val="26"/>
        </w:rPr>
        <w:t>exception</w:t>
      </w:r>
      <w:r>
        <w:rPr>
          <w:szCs w:val="26"/>
        </w:rPr>
        <w:t xml:space="preserve"> for DNA samples.</w:t>
      </w:r>
      <w:r>
        <w:t xml:space="preserve">  </w:t>
      </w:r>
      <w:r>
        <w:rPr>
          <w:szCs w:val="26"/>
        </w:rPr>
        <w:t>(</w:t>
      </w:r>
      <w:r w:rsidRPr="009B0472">
        <w:rPr>
          <w:i/>
        </w:rPr>
        <w:t>Alejandro N.</w:t>
      </w:r>
      <w:r>
        <w:rPr>
          <w:i/>
        </w:rPr>
        <w:t xml:space="preserve"> v. Superior Court</w:t>
      </w:r>
      <w:r>
        <w:t xml:space="preserve">, </w:t>
      </w:r>
      <w:r>
        <w:rPr>
          <w:i/>
        </w:rPr>
        <w:t>supra</w:t>
      </w:r>
      <w:r>
        <w:t>, 238 Cal.App.4th at p</w:t>
      </w:r>
      <w:r w:rsidR="00353350">
        <w:t>p</w:t>
      </w:r>
      <w:r>
        <w:t>. </w:t>
      </w:r>
      <w:r>
        <w:rPr>
          <w:szCs w:val="26"/>
        </w:rPr>
        <w:t>1227</w:t>
      </w:r>
      <w:r w:rsidR="00353350">
        <w:rPr>
          <w:szCs w:val="26"/>
        </w:rPr>
        <w:t>–1228</w:t>
      </w:r>
      <w:r>
        <w:rPr>
          <w:szCs w:val="26"/>
        </w:rPr>
        <w:t xml:space="preserve">; </w:t>
      </w:r>
      <w:r>
        <w:rPr>
          <w:i/>
          <w:szCs w:val="26"/>
        </w:rPr>
        <w:t>In re C.B.</w:t>
      </w:r>
      <w:r>
        <w:rPr>
          <w:szCs w:val="26"/>
        </w:rPr>
        <w:t xml:space="preserve">, </w:t>
      </w:r>
      <w:r>
        <w:rPr>
          <w:i/>
          <w:szCs w:val="26"/>
        </w:rPr>
        <w:t>supra</w:t>
      </w:r>
      <w:r>
        <w:rPr>
          <w:szCs w:val="26"/>
        </w:rPr>
        <w:t>, 2 Cal.App.5th at p. 113</w:t>
      </w:r>
      <w:r w:rsidR="00353350">
        <w:rPr>
          <w:szCs w:val="26"/>
        </w:rPr>
        <w:t xml:space="preserve">0 (dis. opn. of Pollak, </w:t>
      </w:r>
      <w:r w:rsidR="00D440FC">
        <w:t xml:space="preserve">Acting P. </w:t>
      </w:r>
      <w:r w:rsidR="00353350">
        <w:rPr>
          <w:szCs w:val="26"/>
        </w:rPr>
        <w:t>J.)</w:t>
      </w:r>
      <w:r>
        <w:t>.</w:t>
      </w:r>
      <w:r>
        <w:t>)</w:t>
      </w:r>
      <w:r>
        <w:t xml:space="preserve">  The difficulty with this argument is </w:t>
      </w:r>
      <w:r w:rsidR="00640448">
        <w:t xml:space="preserve">that no exception is needed to conclude that </w:t>
      </w:r>
      <w:r>
        <w:t xml:space="preserve">expungement </w:t>
      </w:r>
      <w:r w:rsidR="00640448">
        <w:t xml:space="preserve">is not a consequence of </w:t>
      </w:r>
      <w:r>
        <w:t>redesignat</w:t>
      </w:r>
      <w:r w:rsidR="00640448">
        <w:t>ion</w:t>
      </w:r>
      <w:r w:rsidR="00FF7E5A">
        <w:t xml:space="preserve">.  </w:t>
      </w:r>
      <w:r w:rsidR="00640448">
        <w:t>After Proposition 47</w:t>
      </w:r>
      <w:r>
        <w:t xml:space="preserve">, redesignation of a category of offenses </w:t>
      </w:r>
      <w:r w:rsidR="006E4A03">
        <w:t>can terminate</w:t>
      </w:r>
      <w:r>
        <w:t xml:space="preserve"> the duty to </w:t>
      </w:r>
      <w:r w:rsidRPr="00640448">
        <w:rPr>
          <w:i/>
        </w:rPr>
        <w:t>submit</w:t>
      </w:r>
      <w:r>
        <w:t xml:space="preserve"> samples.  But redesignation is </w:t>
      </w:r>
      <w:r w:rsidR="008B0DF0">
        <w:t xml:space="preserve">largely </w:t>
      </w:r>
      <w:r>
        <w:t xml:space="preserve">immaterial to </w:t>
      </w:r>
      <w:r w:rsidRPr="00640448">
        <w:rPr>
          <w:i/>
        </w:rPr>
        <w:t>expungement</w:t>
      </w:r>
      <w:r w:rsidR="00640448">
        <w:t>, which does not hinge on whether an offense would give rise to a duty to submit were it committed today</w:t>
      </w:r>
      <w:r>
        <w:t>.  There is no inconsistency between treating</w:t>
      </w:r>
      <w:r w:rsidR="00FD64A9">
        <w:t xml:space="preserve"> a redesignated offense as a misdemeanor for all purposes and declining to expunge a previously submitted DNA sample</w:t>
      </w:r>
      <w:r w:rsidR="00A04CBA">
        <w:t>.</w:t>
      </w:r>
    </w:p>
    <w:p w:rsidR="008C2B06" w:rsidRPr="00D027CC" w:rsidP="008C2B06">
      <w:pPr>
        <w:tabs>
          <w:tab w:val="left" w:pos="1440"/>
        </w:tabs>
        <w:spacing w:line="480" w:lineRule="atLeast"/>
        <w:ind w:firstLine="720"/>
      </w:pPr>
      <w:r>
        <w:t>C.B. and C.H.</w:t>
      </w:r>
      <w:r w:rsidR="00A04CBA">
        <w:t xml:space="preserve"> </w:t>
      </w:r>
      <w:r w:rsidR="00AB1912">
        <w:t>next</w:t>
      </w:r>
      <w:r>
        <w:t xml:space="preserve"> contend redesignation of their offenses qualifies them for expungement</w:t>
      </w:r>
      <w:r w:rsidR="0027154B">
        <w:rPr>
          <w:szCs w:val="26"/>
        </w:rPr>
        <w:t xml:space="preserve"> because they have no </w:t>
      </w:r>
      <w:r>
        <w:rPr>
          <w:szCs w:val="26"/>
        </w:rPr>
        <w:t xml:space="preserve">past or present offense that would “qualif[y them] for inclusion” in the databank.  (§ 299, subd. (a); </w:t>
      </w:r>
      <w:r>
        <w:rPr>
          <w:i/>
          <w:szCs w:val="26"/>
        </w:rPr>
        <w:t>Alejandro N. v. Superior Court</w:t>
      </w:r>
      <w:r>
        <w:rPr>
          <w:szCs w:val="26"/>
        </w:rPr>
        <w:t xml:space="preserve">, </w:t>
      </w:r>
      <w:r>
        <w:rPr>
          <w:i/>
          <w:szCs w:val="26"/>
        </w:rPr>
        <w:t>supra</w:t>
      </w:r>
      <w:r>
        <w:rPr>
          <w:szCs w:val="26"/>
        </w:rPr>
        <w:t xml:space="preserve">, </w:t>
      </w:r>
      <w:r w:rsidR="00950FCF">
        <w:rPr>
          <w:szCs w:val="26"/>
        </w:rPr>
        <w:t xml:space="preserve">238 </w:t>
      </w:r>
      <w:r w:rsidRPr="00950FCF" w:rsidR="00950FCF">
        <w:rPr>
          <w:szCs w:val="26"/>
        </w:rPr>
        <w:t xml:space="preserve">Cal.App.4th </w:t>
      </w:r>
      <w:r w:rsidR="00950FCF">
        <w:rPr>
          <w:szCs w:val="26"/>
        </w:rPr>
        <w:t>at p. 1229</w:t>
      </w:r>
      <w:r>
        <w:rPr>
          <w:szCs w:val="26"/>
        </w:rPr>
        <w:t xml:space="preserve"> [</w:t>
      </w:r>
      <w:r w:rsidR="00950FCF">
        <w:rPr>
          <w:szCs w:val="26"/>
        </w:rPr>
        <w:t>redesignated</w:t>
      </w:r>
      <w:r>
        <w:rPr>
          <w:szCs w:val="26"/>
        </w:rPr>
        <w:t xml:space="preserve"> o</w:t>
      </w:r>
      <w:r w:rsidRPr="00A212C9">
        <w:rPr>
          <w:szCs w:val="26"/>
        </w:rPr>
        <w:t>ffense</w:t>
      </w:r>
      <w:r w:rsidR="00950FCF">
        <w:rPr>
          <w:szCs w:val="26"/>
        </w:rPr>
        <w:t>s</w:t>
      </w:r>
      <w:r>
        <w:rPr>
          <w:szCs w:val="26"/>
        </w:rPr>
        <w:t xml:space="preserve"> </w:t>
      </w:r>
      <w:r w:rsidR="00950FCF">
        <w:rPr>
          <w:szCs w:val="26"/>
        </w:rPr>
        <w:t>are “disqualified for DNA sample retention”</w:t>
      </w:r>
      <w:r>
        <w:rPr>
          <w:szCs w:val="26"/>
        </w:rPr>
        <w:t xml:space="preserve">].)  This </w:t>
      </w:r>
      <w:r w:rsidR="00361EA4">
        <w:rPr>
          <w:szCs w:val="26"/>
        </w:rPr>
        <w:t>argument ignores the fact that</w:t>
      </w:r>
      <w:r w:rsidR="00334AA0">
        <w:rPr>
          <w:szCs w:val="26"/>
        </w:rPr>
        <w:t xml:space="preserve"> section 299, subdivision (a), does not operate in isolation:</w:t>
      </w:r>
      <w:r w:rsidR="00361EA4">
        <w:rPr>
          <w:szCs w:val="26"/>
        </w:rPr>
        <w:t xml:space="preserve"> </w:t>
      </w:r>
      <w:r w:rsidR="00334AA0">
        <w:rPr>
          <w:szCs w:val="26"/>
        </w:rPr>
        <w:t xml:space="preserve"> b</w:t>
      </w:r>
      <w:r>
        <w:rPr>
          <w:szCs w:val="26"/>
        </w:rPr>
        <w:t xml:space="preserve">y its terms, section 299 also requires </w:t>
      </w:r>
      <w:r w:rsidR="0033291D">
        <w:rPr>
          <w:szCs w:val="26"/>
        </w:rPr>
        <w:t>satisfaction of at least one of the additional conditions in subdivision (b).</w:t>
      </w:r>
    </w:p>
    <w:p w:rsidR="0033291D" w:rsidRPr="00F527A3" w:rsidP="0033291D">
      <w:pPr>
        <w:tabs>
          <w:tab w:val="left" w:pos="1440"/>
        </w:tabs>
        <w:spacing w:line="480" w:lineRule="atLeast"/>
        <w:ind w:firstLine="720"/>
      </w:pPr>
      <w:r>
        <w:t>Finally, C</w:t>
      </w:r>
      <w:r w:rsidR="00BD3109">
        <w:t xml:space="preserve">.B. and C.H. argue that </w:t>
      </w:r>
      <w:r>
        <w:t xml:space="preserve">section 299, subdivision (b)’s express list of conditions </w:t>
      </w:r>
      <w:r w:rsidR="004D2F64">
        <w:t>should not be deemed exhaustive</w:t>
      </w:r>
      <w:r>
        <w:t xml:space="preserve">.  They </w:t>
      </w:r>
      <w:r w:rsidR="00A04CBA">
        <w:t>rely on</w:t>
      </w:r>
      <w:r>
        <w:t xml:space="preserve"> </w:t>
      </w:r>
      <w:r w:rsidRPr="009B0472">
        <w:rPr>
          <w:i/>
        </w:rPr>
        <w:t>Alejandro N.</w:t>
      </w:r>
      <w:r>
        <w:rPr>
          <w:i/>
        </w:rPr>
        <w:t xml:space="preserve"> v. Superior Court</w:t>
      </w:r>
      <w:r>
        <w:t xml:space="preserve">, </w:t>
      </w:r>
      <w:r>
        <w:rPr>
          <w:i/>
        </w:rPr>
        <w:t>supra</w:t>
      </w:r>
      <w:r>
        <w:t xml:space="preserve">, 238 Cal.App.4th </w:t>
      </w:r>
      <w:r w:rsidR="00F527A3">
        <w:t>at pages 122</w:t>
      </w:r>
      <w:r>
        <w:t>8–</w:t>
      </w:r>
      <w:r w:rsidR="00F527A3">
        <w:t>122</w:t>
      </w:r>
      <w:r>
        <w:t>9, which so held</w:t>
      </w:r>
      <w:r w:rsidR="00361EA4">
        <w:t>.  They also cite</w:t>
      </w:r>
      <w:r>
        <w:t xml:space="preserve"> </w:t>
      </w:r>
      <w:r>
        <w:rPr>
          <w:i/>
        </w:rPr>
        <w:t>Coffey v. Superior Court</w:t>
      </w:r>
      <w:r>
        <w:t xml:space="preserve">, </w:t>
      </w:r>
      <w:r>
        <w:rPr>
          <w:i/>
        </w:rPr>
        <w:t>supra</w:t>
      </w:r>
      <w:r>
        <w:t xml:space="preserve">, </w:t>
      </w:r>
      <w:r w:rsidR="0056358C">
        <w:t xml:space="preserve">129 Cal.App.4th </w:t>
      </w:r>
      <w:r w:rsidR="006946CC">
        <w:t>at pages 816–817</w:t>
      </w:r>
      <w:r>
        <w:t>, which considered a constitutional challenge to the retention of a DNA sample</w:t>
      </w:r>
      <w:r w:rsidR="00F527A3">
        <w:t xml:space="preserve">, </w:t>
      </w:r>
      <w:r w:rsidR="00D257C3">
        <w:t>even though</w:t>
      </w:r>
      <w:r w:rsidR="00F527A3">
        <w:t xml:space="preserve"> that </w:t>
      </w:r>
      <w:r w:rsidR="006946CC">
        <w:t xml:space="preserve">petitioner had not sought to satisfy </w:t>
      </w:r>
      <w:r w:rsidR="00F527A3">
        <w:t xml:space="preserve">the statutory </w:t>
      </w:r>
      <w:r w:rsidR="004D2F64">
        <w:t xml:space="preserve">section 299 </w:t>
      </w:r>
      <w:r w:rsidR="00F527A3">
        <w:t>condi</w:t>
      </w:r>
      <w:r w:rsidR="006946CC">
        <w:t>tions for expungement</w:t>
      </w:r>
      <w:r>
        <w:t xml:space="preserve">.  </w:t>
      </w:r>
      <w:r w:rsidR="00334AA0">
        <w:t>(S</w:t>
      </w:r>
      <w:r w:rsidR="00F527A3">
        <w:t>ee</w:t>
      </w:r>
      <w:r w:rsidR="006946CC">
        <w:t xml:space="preserve"> also</w:t>
      </w:r>
      <w:r w:rsidR="00F527A3">
        <w:t xml:space="preserve"> </w:t>
      </w:r>
      <w:r w:rsidR="00F527A3">
        <w:rPr>
          <w:i/>
        </w:rPr>
        <w:t>In re C.B.</w:t>
      </w:r>
      <w:r w:rsidR="00F527A3">
        <w:t xml:space="preserve">, </w:t>
      </w:r>
      <w:r w:rsidR="00F527A3">
        <w:rPr>
          <w:i/>
        </w:rPr>
        <w:t>supra</w:t>
      </w:r>
      <w:r w:rsidR="00F527A3">
        <w:t>, 2 Cal.App.5th at pp. 1130–1131,</w:t>
      </w:r>
      <w:r w:rsidR="006946CC">
        <w:t xml:space="preserve"> 1137 (dis. opn. of Pollak, </w:t>
      </w:r>
      <w:r w:rsidR="00D440FC">
        <w:t>Acting P. J.</w:t>
      </w:r>
      <w:r w:rsidR="006946CC">
        <w:t>)</w:t>
      </w:r>
      <w:r w:rsidR="009105AB">
        <w:t>.</w:t>
      </w:r>
      <w:r w:rsidR="00334AA0">
        <w:t>)</w:t>
      </w:r>
      <w:r w:rsidR="00F527A3">
        <w:t xml:space="preserve">  </w:t>
      </w:r>
      <w:r w:rsidR="00361EA4">
        <w:rPr>
          <w:i/>
        </w:rPr>
        <w:t>Coffey</w:t>
      </w:r>
      <w:r w:rsidR="00361EA4">
        <w:t xml:space="preserve"> stands fo</w:t>
      </w:r>
      <w:r w:rsidR="001C074D">
        <w:t>r an unexceptional principle:  the</w:t>
      </w:r>
      <w:r w:rsidR="00361EA4">
        <w:t xml:space="preserve"> state or federal </w:t>
      </w:r>
      <w:r w:rsidR="001C074D">
        <w:t>C</w:t>
      </w:r>
      <w:r w:rsidR="00361EA4">
        <w:t xml:space="preserve">onstitution may impose limits on the operation of a statutory scheme above and beyond those contained in the scheme itself.  </w:t>
      </w:r>
      <w:r w:rsidR="00361EA4">
        <w:rPr>
          <w:i/>
        </w:rPr>
        <w:t>Coffey</w:t>
      </w:r>
      <w:r w:rsidR="00361EA4">
        <w:t xml:space="preserve"> offers no authority for what C.B. and C.H. seek here, judicial</w:t>
      </w:r>
      <w:r w:rsidR="00F527A3">
        <w:t xml:space="preserve"> amend</w:t>
      </w:r>
      <w:r w:rsidR="00361EA4">
        <w:t xml:space="preserve">ment of </w:t>
      </w:r>
      <w:r w:rsidR="00F527A3">
        <w:t>a statute based on purely statutory con</w:t>
      </w:r>
      <w:r w:rsidR="00F87709">
        <w:t xml:space="preserve">siderations.  </w:t>
      </w:r>
      <w:r w:rsidRPr="009B0472" w:rsidR="00F527A3">
        <w:rPr>
          <w:i/>
        </w:rPr>
        <w:t>Alejandro N.</w:t>
      </w:r>
      <w:r w:rsidR="00640448">
        <w:rPr>
          <w:i/>
        </w:rPr>
        <w:t xml:space="preserve"> v. Superior Court</w:t>
      </w:r>
      <w:r w:rsidR="00F87709">
        <w:t xml:space="preserve">, </w:t>
      </w:r>
      <w:r w:rsidR="00F87709">
        <w:rPr>
          <w:i/>
        </w:rPr>
        <w:t>supra</w:t>
      </w:r>
      <w:r w:rsidR="00F87709">
        <w:t>, 238 Cal.App.4th 1209,</w:t>
      </w:r>
      <w:r w:rsidR="00F527A3">
        <w:t xml:space="preserve"> </w:t>
      </w:r>
      <w:r w:rsidR="00F87709">
        <w:t>to the extent it held th</w:t>
      </w:r>
      <w:r w:rsidR="00361EA4">
        <w:t xml:space="preserve">e language of Proposition 47 could justify </w:t>
      </w:r>
      <w:r w:rsidR="00F527A3">
        <w:t xml:space="preserve">inserting an additional unwritten basis for expungement into section 299, </w:t>
      </w:r>
      <w:r w:rsidR="00F87709">
        <w:t>subdivision (b)</w:t>
      </w:r>
      <w:r w:rsidR="00361EA4">
        <w:t>, was mistaken</w:t>
      </w:r>
      <w:r w:rsidR="00640448">
        <w:t>, and is disapproved</w:t>
      </w:r>
      <w:r w:rsidR="00F527A3">
        <w:t>.</w:t>
      </w:r>
    </w:p>
    <w:p w:rsidR="008C2B06" w:rsidRPr="00F527A3" w:rsidP="006D5E9D">
      <w:pPr>
        <w:tabs>
          <w:tab w:val="left" w:pos="1440"/>
        </w:tabs>
        <w:spacing w:line="480" w:lineRule="atLeast"/>
        <w:ind w:firstLine="720"/>
      </w:pPr>
      <w:r w:rsidRPr="00EE0D16">
        <w:rPr>
          <w:rFonts w:cs="Calibri"/>
        </w:rPr>
        <w:t>In sum, the text of</w:t>
      </w:r>
      <w:r w:rsidRPr="00EE0D16" w:rsidR="00FF7E5A">
        <w:rPr>
          <w:rFonts w:cs="Calibri"/>
        </w:rPr>
        <w:t xml:space="preserve"> Proposition 47 and the DNA</w:t>
      </w:r>
      <w:r w:rsidRPr="00EE0D16">
        <w:rPr>
          <w:rFonts w:cs="Calibri"/>
        </w:rPr>
        <w:t xml:space="preserve"> Act </w:t>
      </w:r>
      <w:r w:rsidRPr="00EE0D16" w:rsidR="00FF7E5A">
        <w:rPr>
          <w:rFonts w:cs="Calibri"/>
        </w:rPr>
        <w:t xml:space="preserve">as amended by Proposition 69 </w:t>
      </w:r>
      <w:r w:rsidRPr="00EE0D16">
        <w:rPr>
          <w:rFonts w:cs="Calibri"/>
        </w:rPr>
        <w:t xml:space="preserve">can be harmonized.  Proposition 47 narrows the universe of those who must submit samples in the future under section 296.  It does not, however, expand the universe of those who may </w:t>
      </w:r>
      <w:r w:rsidRPr="00EE0D16" w:rsidR="00F87709">
        <w:rPr>
          <w:rFonts w:cs="Calibri"/>
        </w:rPr>
        <w:t xml:space="preserve">seek </w:t>
      </w:r>
      <w:r w:rsidRPr="00EE0D16">
        <w:rPr>
          <w:rFonts w:cs="Calibri"/>
        </w:rPr>
        <w:t>expunge</w:t>
      </w:r>
      <w:r w:rsidRPr="00EE0D16" w:rsidR="00F87709">
        <w:rPr>
          <w:rFonts w:cs="Calibri"/>
        </w:rPr>
        <w:t xml:space="preserve">ment of </w:t>
      </w:r>
      <w:r w:rsidRPr="00EE0D16">
        <w:rPr>
          <w:rFonts w:cs="Calibri"/>
        </w:rPr>
        <w:t>samples already submitted.</w:t>
      </w:r>
    </w:p>
    <w:p w:rsidR="006D5E9D" w:rsidRPr="00601422" w:rsidP="00AC4DCA">
      <w:pPr>
        <w:keepNext/>
        <w:tabs>
          <w:tab w:val="left" w:pos="1440"/>
        </w:tabs>
        <w:spacing w:line="480" w:lineRule="atLeast"/>
        <w:ind w:firstLine="720"/>
        <w:rPr>
          <w:u w:val="single"/>
        </w:rPr>
      </w:pPr>
      <w:r>
        <w:tab/>
        <w:t>2</w:t>
      </w:r>
      <w:r w:rsidR="00936A73">
        <w:t>.</w:t>
      </w:r>
      <w:r w:rsidR="00936A73">
        <w:tab/>
      </w:r>
      <w:r w:rsidR="00CB1471">
        <w:rPr>
          <w:i/>
        </w:rPr>
        <w:t>Ballot Arguments</w:t>
      </w:r>
      <w:r w:rsidR="00D440FC">
        <w:rPr>
          <w:i/>
        </w:rPr>
        <w:t xml:space="preserve"> and Other Indicia of Purpose</w:t>
      </w:r>
    </w:p>
    <w:p w:rsidR="005C356D" w:rsidRPr="00EE0D16" w:rsidP="006D5E9D">
      <w:pPr>
        <w:tabs>
          <w:tab w:val="left" w:pos="1440"/>
        </w:tabs>
        <w:spacing w:line="480" w:lineRule="atLeast"/>
        <w:ind w:firstLine="720"/>
        <w:rPr>
          <w:rFonts w:cs="Calibri"/>
        </w:rPr>
      </w:pPr>
      <w:r w:rsidRPr="00EE0D16">
        <w:rPr>
          <w:rFonts w:cs="Calibri"/>
        </w:rPr>
        <w:t xml:space="preserve">This interpretation of the statutory scheme </w:t>
      </w:r>
      <w:r w:rsidRPr="00EE0D16" w:rsidR="00B60FC0">
        <w:rPr>
          <w:rFonts w:cs="Calibri"/>
        </w:rPr>
        <w:t>advances</w:t>
      </w:r>
      <w:r w:rsidRPr="00EE0D16">
        <w:rPr>
          <w:rFonts w:cs="Calibri"/>
        </w:rPr>
        <w:t xml:space="preserve"> the ballot arguments put forwa</w:t>
      </w:r>
      <w:r w:rsidR="009D479F">
        <w:rPr>
          <w:rFonts w:cs="Calibri"/>
        </w:rPr>
        <w:t>rd in support of Proposition 69</w:t>
      </w:r>
      <w:r w:rsidRPr="00EE0D16">
        <w:rPr>
          <w:rFonts w:cs="Calibri"/>
        </w:rPr>
        <w:t xml:space="preserve"> and </w:t>
      </w:r>
      <w:r w:rsidRPr="00EE0D16" w:rsidR="00B60FC0">
        <w:rPr>
          <w:rFonts w:cs="Calibri"/>
        </w:rPr>
        <w:t>is consistent with</w:t>
      </w:r>
      <w:r w:rsidRPr="00EE0D16" w:rsidR="00F221DC">
        <w:rPr>
          <w:rFonts w:cs="Calibri"/>
        </w:rPr>
        <w:t xml:space="preserve"> those </w:t>
      </w:r>
      <w:r w:rsidRPr="00EE0D16">
        <w:rPr>
          <w:rFonts w:cs="Calibri"/>
        </w:rPr>
        <w:t>articulated in support of Proposition 47.</w:t>
      </w:r>
    </w:p>
    <w:p w:rsidR="006B54B8" w:rsidP="005C356D">
      <w:pPr>
        <w:tabs>
          <w:tab w:val="left" w:pos="1440"/>
        </w:tabs>
        <w:spacing w:line="480" w:lineRule="atLeast"/>
        <w:ind w:firstLine="720"/>
        <w:rPr>
          <w:szCs w:val="26"/>
        </w:rPr>
      </w:pPr>
      <w:r>
        <w:rPr>
          <w:szCs w:val="26"/>
        </w:rPr>
        <w:t>Proponents of Proposition 69 offered two</w:t>
      </w:r>
      <w:r w:rsidR="004D2F64">
        <w:rPr>
          <w:szCs w:val="26"/>
        </w:rPr>
        <w:t xml:space="preserve"> principal reasons for</w:t>
      </w:r>
      <w:r>
        <w:rPr>
          <w:szCs w:val="26"/>
        </w:rPr>
        <w:t xml:space="preserve"> expanding the state’s existing DNA </w:t>
      </w:r>
      <w:r w:rsidR="002641B6">
        <w:rPr>
          <w:szCs w:val="26"/>
        </w:rPr>
        <w:t>databank</w:t>
      </w:r>
      <w:r w:rsidR="006E4A03">
        <w:rPr>
          <w:szCs w:val="26"/>
        </w:rPr>
        <w:t xml:space="preserve"> to include</w:t>
      </w:r>
      <w:r>
        <w:rPr>
          <w:szCs w:val="26"/>
        </w:rPr>
        <w:t xml:space="preserve"> samples from all felons and some arrestees.  First, the measure would allow law enforcement to solve additional cases.</w:t>
      </w:r>
      <w:r>
        <w:rPr>
          <w:rStyle w:val="FootnoteReference"/>
          <w:szCs w:val="26"/>
        </w:rPr>
        <w:footnoteReference w:id="9"/>
      </w:r>
      <w:r>
        <w:rPr>
          <w:szCs w:val="26"/>
        </w:rPr>
        <w:t xml:space="preserve">  </w:t>
      </w:r>
      <w:r w:rsidR="00B60FC0">
        <w:rPr>
          <w:szCs w:val="26"/>
        </w:rPr>
        <w:t>Second, it c</w:t>
      </w:r>
      <w:r>
        <w:rPr>
          <w:szCs w:val="26"/>
        </w:rPr>
        <w:t xml:space="preserve">ould exclude </w:t>
      </w:r>
      <w:r>
        <w:rPr>
          <w:szCs w:val="26"/>
        </w:rPr>
        <w:t>individuals as potential suspects</w:t>
      </w:r>
      <w:r w:rsidR="00B60FC0">
        <w:rPr>
          <w:szCs w:val="26"/>
        </w:rPr>
        <w:t>, thus preventing wrongful accusation.</w:t>
      </w:r>
      <w:r>
        <w:rPr>
          <w:rStyle w:val="FootnoteReference"/>
          <w:szCs w:val="26"/>
        </w:rPr>
        <w:footnoteReference w:id="10"/>
      </w:r>
      <w:r>
        <w:rPr>
          <w:szCs w:val="26"/>
        </w:rPr>
        <w:t xml:space="preserve">  Highlighting these twin purposes, the initiative was titled the “DNA Fingerprint, Unsolved Crime and Innocence Protection Act.”  (</w:t>
      </w:r>
      <w:r w:rsidRPr="00F221DC" w:rsidR="00F221DC">
        <w:rPr>
          <w:szCs w:val="26"/>
        </w:rPr>
        <w:t>Prop. 69</w:t>
      </w:r>
      <w:r w:rsidR="00767353">
        <w:rPr>
          <w:szCs w:val="26"/>
        </w:rPr>
        <w:t xml:space="preserve"> Voter Guide, </w:t>
      </w:r>
      <w:r w:rsidR="00767353">
        <w:rPr>
          <w:i/>
          <w:szCs w:val="26"/>
        </w:rPr>
        <w:t>supra</w:t>
      </w:r>
      <w:r w:rsidR="00767353">
        <w:rPr>
          <w:szCs w:val="26"/>
        </w:rPr>
        <w:t>, text of Prop. 69</w:t>
      </w:r>
      <w:r w:rsidR="00F221DC">
        <w:rPr>
          <w:szCs w:val="26"/>
        </w:rPr>
        <w:t>, § I.</w:t>
      </w:r>
      <w:r>
        <w:rPr>
          <w:szCs w:val="26"/>
        </w:rPr>
        <w:t>(a)</w:t>
      </w:r>
      <w:r w:rsidR="00767353">
        <w:rPr>
          <w:szCs w:val="26"/>
        </w:rPr>
        <w:t>, p. 135</w:t>
      </w:r>
      <w:r w:rsidR="00156F1B">
        <w:rPr>
          <w:szCs w:val="26"/>
        </w:rPr>
        <w:t>.)  The initiative’s codified and uncodified statements of purpose likewise stressed</w:t>
      </w:r>
      <w:r w:rsidR="00A04CBA">
        <w:rPr>
          <w:szCs w:val="26"/>
        </w:rPr>
        <w:t xml:space="preserve"> apprehension and exoneration</w:t>
      </w:r>
      <w:r w:rsidR="00156F1B">
        <w:rPr>
          <w:szCs w:val="26"/>
        </w:rPr>
        <w:t xml:space="preserve"> in equal measure</w:t>
      </w:r>
      <w:r w:rsidR="00B60FC0">
        <w:rPr>
          <w:szCs w:val="26"/>
        </w:rPr>
        <w:t>.</w:t>
      </w:r>
      <w:r>
        <w:rPr>
          <w:rStyle w:val="FootnoteReference"/>
          <w:szCs w:val="26"/>
        </w:rPr>
        <w:footnoteReference w:id="11"/>
      </w:r>
    </w:p>
    <w:p w:rsidR="00B75988" w:rsidRPr="00B75988" w:rsidP="005C356D">
      <w:pPr>
        <w:tabs>
          <w:tab w:val="left" w:pos="1440"/>
        </w:tabs>
        <w:spacing w:line="480" w:lineRule="atLeast"/>
        <w:ind w:firstLine="720"/>
        <w:rPr>
          <w:szCs w:val="26"/>
        </w:rPr>
      </w:pPr>
      <w:r>
        <w:rPr>
          <w:szCs w:val="26"/>
        </w:rPr>
        <w:t>Interpreting the</w:t>
      </w:r>
      <w:r w:rsidR="00F221DC">
        <w:rPr>
          <w:szCs w:val="26"/>
        </w:rPr>
        <w:t xml:space="preserve"> </w:t>
      </w:r>
      <w:r w:rsidR="00B60FC0">
        <w:rPr>
          <w:szCs w:val="26"/>
        </w:rPr>
        <w:t xml:space="preserve">amended </w:t>
      </w:r>
      <w:r w:rsidR="00F221DC">
        <w:rPr>
          <w:szCs w:val="26"/>
        </w:rPr>
        <w:t>DNA Act</w:t>
      </w:r>
      <w:r>
        <w:rPr>
          <w:szCs w:val="26"/>
        </w:rPr>
        <w:t xml:space="preserve"> by its terms, </w:t>
      </w:r>
      <w:r w:rsidR="00B60FC0">
        <w:rPr>
          <w:szCs w:val="26"/>
        </w:rPr>
        <w:t>to require</w:t>
      </w:r>
      <w:r>
        <w:rPr>
          <w:szCs w:val="26"/>
        </w:rPr>
        <w:t xml:space="preserve"> more stringent condit</w:t>
      </w:r>
      <w:r w:rsidR="00B60FC0">
        <w:rPr>
          <w:szCs w:val="26"/>
        </w:rPr>
        <w:t xml:space="preserve">ions for expungement than </w:t>
      </w:r>
      <w:r>
        <w:rPr>
          <w:szCs w:val="26"/>
        </w:rPr>
        <w:t>for initial inclusion, supports these purposes.  The b</w:t>
      </w:r>
      <w:r w:rsidR="002641B6">
        <w:rPr>
          <w:szCs w:val="26"/>
        </w:rPr>
        <w:t>roader the databank</w:t>
      </w:r>
      <w:r w:rsidR="00F87709">
        <w:rPr>
          <w:szCs w:val="26"/>
        </w:rPr>
        <w:t>’s reach</w:t>
      </w:r>
      <w:r>
        <w:rPr>
          <w:szCs w:val="26"/>
        </w:rPr>
        <w:t>, consistent with voter intent and constitutional limits, the more likely a sample</w:t>
      </w:r>
      <w:r w:rsidR="00B86096">
        <w:rPr>
          <w:szCs w:val="26"/>
        </w:rPr>
        <w:t xml:space="preserve"> will be available to inculpate, or exculpate, </w:t>
      </w:r>
      <w:r>
        <w:rPr>
          <w:szCs w:val="26"/>
        </w:rPr>
        <w:t xml:space="preserve">a </w:t>
      </w:r>
      <w:r w:rsidR="00825D56">
        <w:rPr>
          <w:szCs w:val="26"/>
        </w:rPr>
        <w:t>suspect in a given case.</w:t>
      </w:r>
    </w:p>
    <w:p w:rsidR="00B50628" w:rsidRPr="00EE0D16" w:rsidP="006D5E9D">
      <w:pPr>
        <w:tabs>
          <w:tab w:val="left" w:pos="1440"/>
        </w:tabs>
        <w:spacing w:line="480" w:lineRule="atLeast"/>
        <w:ind w:firstLine="720"/>
        <w:rPr>
          <w:rFonts w:cs="Calibri"/>
        </w:rPr>
      </w:pPr>
      <w:r w:rsidRPr="00EE0D16">
        <w:rPr>
          <w:rFonts w:cs="Calibri"/>
        </w:rPr>
        <w:t xml:space="preserve">As for </w:t>
      </w:r>
      <w:r w:rsidRPr="00EE0D16" w:rsidR="00195DFB">
        <w:rPr>
          <w:rFonts w:cs="Calibri"/>
        </w:rPr>
        <w:t>Proposition 47</w:t>
      </w:r>
      <w:r w:rsidRPr="00EE0D16">
        <w:rPr>
          <w:rFonts w:cs="Calibri"/>
        </w:rPr>
        <w:t>, proponents</w:t>
      </w:r>
      <w:r w:rsidRPr="00EE0D16" w:rsidR="00D05851">
        <w:rPr>
          <w:rFonts w:cs="Calibri"/>
        </w:rPr>
        <w:t xml:space="preserve"> </w:t>
      </w:r>
      <w:r w:rsidRPr="00EE0D16" w:rsidR="00195DFB">
        <w:rPr>
          <w:rFonts w:cs="Calibri"/>
        </w:rPr>
        <w:t>emphasiz</w:t>
      </w:r>
      <w:r w:rsidRPr="00EE0D16" w:rsidR="00D05851">
        <w:rPr>
          <w:rFonts w:cs="Calibri"/>
        </w:rPr>
        <w:t>e</w:t>
      </w:r>
      <w:r w:rsidRPr="00EE0D16" w:rsidR="00195DFB">
        <w:rPr>
          <w:rFonts w:cs="Calibri"/>
        </w:rPr>
        <w:t xml:space="preserve">d the goal of reducing costs and reallocating both prosecutorial and prison resources.  Reclassifying various felonies as misdemeanors, proponents urged, would “focus[] law enforcement </w:t>
      </w:r>
      <w:r w:rsidRPr="00EE0D16" w:rsidR="002C3FB0">
        <w:rPr>
          <w:rFonts w:cs="Calibri"/>
        </w:rPr>
        <w:t>dollars</w:t>
      </w:r>
      <w:r w:rsidRPr="00EE0D16" w:rsidR="00195DFB">
        <w:rPr>
          <w:rFonts w:cs="Calibri"/>
        </w:rPr>
        <w:t xml:space="preserve"> on violent and serious crime” and “[s]top[] wasting money on warehousing people in prisons for nonviolent petty crimes, saving hundreds of millions of taxpayer funds every year.”  (</w:t>
      </w:r>
      <w:r w:rsidR="00767353">
        <w:rPr>
          <w:szCs w:val="26"/>
        </w:rPr>
        <w:t xml:space="preserve">Prop. 47 Voter Guide, </w:t>
      </w:r>
      <w:r w:rsidR="00767353">
        <w:rPr>
          <w:i/>
          <w:szCs w:val="26"/>
        </w:rPr>
        <w:t>supra</w:t>
      </w:r>
      <w:r w:rsidR="00767353">
        <w:rPr>
          <w:szCs w:val="26"/>
        </w:rPr>
        <w:t>,</w:t>
      </w:r>
      <w:r w:rsidR="007A7F85">
        <w:rPr>
          <w:szCs w:val="26"/>
        </w:rPr>
        <w:t xml:space="preserve"> argument in favor of Prop. 47, p. 38</w:t>
      </w:r>
      <w:r w:rsidRPr="00EE0D16" w:rsidR="00195DFB">
        <w:rPr>
          <w:rFonts w:cs="Calibri"/>
        </w:rPr>
        <w:t>;</w:t>
      </w:r>
      <w:r w:rsidR="009D479F">
        <w:rPr>
          <w:rFonts w:cs="Calibri"/>
        </w:rPr>
        <w:t xml:space="preserve"> see</w:t>
      </w:r>
      <w:r w:rsidRPr="00EE0D16" w:rsidR="00195DFB">
        <w:rPr>
          <w:rFonts w:cs="Calibri"/>
        </w:rPr>
        <w:t xml:space="preserve"> </w:t>
      </w:r>
      <w:r w:rsidRPr="00EE0D16" w:rsidR="00D05851">
        <w:rPr>
          <w:rFonts w:cs="Calibri"/>
          <w:i/>
        </w:rPr>
        <w:t>id.</w:t>
      </w:r>
      <w:r w:rsidRPr="00EE0D16" w:rsidR="002C3FB0">
        <w:rPr>
          <w:rFonts w:cs="Calibri"/>
        </w:rPr>
        <w:t xml:space="preserve">, rebuttal to argument </w:t>
      </w:r>
      <w:r w:rsidR="007D2AF3">
        <w:rPr>
          <w:rFonts w:cs="Calibri"/>
        </w:rPr>
        <w:t>a</w:t>
      </w:r>
      <w:r w:rsidRPr="00EE0D16" w:rsidR="007D2AF3">
        <w:rPr>
          <w:rFonts w:cs="Calibri"/>
        </w:rPr>
        <w:t>gainst</w:t>
      </w:r>
      <w:r w:rsidRPr="00EE0D16" w:rsidR="002C3FB0">
        <w:rPr>
          <w:rFonts w:cs="Calibri"/>
        </w:rPr>
        <w:t xml:space="preserve"> Prop. 47,</w:t>
      </w:r>
      <w:r w:rsidR="00FC5685">
        <w:rPr>
          <w:rFonts w:cs="Calibri"/>
        </w:rPr>
        <w:t xml:space="preserve"> </w:t>
      </w:r>
      <w:r w:rsidRPr="00EE0D16" w:rsidR="00D05851">
        <w:rPr>
          <w:rFonts w:cs="Calibri"/>
        </w:rPr>
        <w:t>p. 39.)</w:t>
      </w:r>
      <w:r w:rsidRPr="00EE0D16" w:rsidR="00965814">
        <w:rPr>
          <w:rFonts w:cs="Calibri"/>
        </w:rPr>
        <w:t xml:space="preserve">  </w:t>
      </w:r>
      <w:r w:rsidRPr="00EE0D16" w:rsidR="009641C8">
        <w:rPr>
          <w:rFonts w:cs="Calibri"/>
        </w:rPr>
        <w:t xml:space="preserve">The measure’s uncodified findings and statement of </w:t>
      </w:r>
      <w:r w:rsidRPr="00EE0D16">
        <w:rPr>
          <w:rFonts w:cs="Calibri"/>
        </w:rPr>
        <w:t>p</w:t>
      </w:r>
      <w:r w:rsidRPr="00EE0D16">
        <w:rPr>
          <w:rFonts w:cs="Calibri"/>
        </w:rPr>
        <w:t>urpose likewise emp</w:t>
      </w:r>
      <w:r w:rsidRPr="00EE0D16" w:rsidR="00F87709">
        <w:rPr>
          <w:rFonts w:cs="Calibri"/>
        </w:rPr>
        <w:t>hasize</w:t>
      </w:r>
      <w:r w:rsidRPr="00EE0D16" w:rsidR="006E4A03">
        <w:rPr>
          <w:rFonts w:cs="Calibri"/>
        </w:rPr>
        <w:t>d</w:t>
      </w:r>
      <w:r w:rsidRPr="00EE0D16" w:rsidR="00F87709">
        <w:rPr>
          <w:rFonts w:cs="Calibri"/>
        </w:rPr>
        <w:t xml:space="preserve"> </w:t>
      </w:r>
      <w:r w:rsidRPr="00EE0D16">
        <w:rPr>
          <w:rFonts w:cs="Calibri"/>
        </w:rPr>
        <w:t>“ensur[ing] that prison spending is focused on viole</w:t>
      </w:r>
      <w:r w:rsidR="00A04CBA">
        <w:rPr>
          <w:rFonts w:cs="Calibri"/>
        </w:rPr>
        <w:t>nt and serious offenses” (</w:t>
      </w:r>
      <w:r w:rsidR="00B56F1C">
        <w:rPr>
          <w:rFonts w:cs="Calibri"/>
          <w:i/>
        </w:rPr>
        <w:t>i</w:t>
      </w:r>
      <w:r w:rsidR="00767353">
        <w:rPr>
          <w:rFonts w:cs="Calibri"/>
          <w:i/>
        </w:rPr>
        <w:t>d.</w:t>
      </w:r>
      <w:r w:rsidR="00767353">
        <w:rPr>
          <w:rFonts w:cs="Calibri"/>
        </w:rPr>
        <w:t xml:space="preserve">, text of </w:t>
      </w:r>
      <w:r w:rsidR="00A04CBA">
        <w:rPr>
          <w:rFonts w:cs="Calibri"/>
        </w:rPr>
        <w:t>Prop. </w:t>
      </w:r>
      <w:r w:rsidRPr="00EE0D16">
        <w:rPr>
          <w:rFonts w:cs="Calibri"/>
        </w:rPr>
        <w:t>47, § 2</w:t>
      </w:r>
      <w:r w:rsidR="00767353">
        <w:rPr>
          <w:rFonts w:cs="Calibri"/>
        </w:rPr>
        <w:t>, p. 70</w:t>
      </w:r>
      <w:r w:rsidRPr="00EE0D16">
        <w:rPr>
          <w:rFonts w:cs="Calibri"/>
        </w:rPr>
        <w:t>) and “sav[ing] significant sta</w:t>
      </w:r>
      <w:r w:rsidRPr="00EE0D16" w:rsidR="001C074D">
        <w:rPr>
          <w:rFonts w:cs="Calibri"/>
        </w:rPr>
        <w:t>te corrections dollars” that could</w:t>
      </w:r>
      <w:r w:rsidRPr="00EE0D16">
        <w:rPr>
          <w:rFonts w:cs="Calibri"/>
        </w:rPr>
        <w:t xml:space="preserve"> better be spent elsewhere (</w:t>
      </w:r>
      <w:r w:rsidRPr="00EE0D16">
        <w:rPr>
          <w:rFonts w:cs="Calibri"/>
          <w:i/>
        </w:rPr>
        <w:t>id.</w:t>
      </w:r>
      <w:r w:rsidRPr="00EE0D16">
        <w:rPr>
          <w:rFonts w:cs="Calibri"/>
        </w:rPr>
        <w:t>, § 3(6)</w:t>
      </w:r>
      <w:r w:rsidR="00767353">
        <w:rPr>
          <w:rFonts w:cs="Calibri"/>
        </w:rPr>
        <w:t>, p. 70</w:t>
      </w:r>
      <w:r w:rsidRPr="00EE0D16">
        <w:rPr>
          <w:rFonts w:cs="Calibri"/>
        </w:rPr>
        <w:t>).</w:t>
      </w:r>
    </w:p>
    <w:p w:rsidR="000B1433" w:rsidRPr="00EE0D16" w:rsidP="006D5E9D">
      <w:pPr>
        <w:tabs>
          <w:tab w:val="left" w:pos="1440"/>
        </w:tabs>
        <w:spacing w:line="480" w:lineRule="atLeast"/>
        <w:ind w:firstLine="720"/>
        <w:rPr>
          <w:rFonts w:cs="Calibri"/>
        </w:rPr>
      </w:pPr>
      <w:r w:rsidRPr="00EE0D16">
        <w:rPr>
          <w:rFonts w:cs="Calibri"/>
        </w:rPr>
        <w:t xml:space="preserve">Absent from these materials is any indication </w:t>
      </w:r>
      <w:r w:rsidRPr="00EE0D16" w:rsidR="00D05851">
        <w:rPr>
          <w:rFonts w:cs="Calibri"/>
        </w:rPr>
        <w:t xml:space="preserve">Proposition 47 was intended to retroactively </w:t>
      </w:r>
      <w:r w:rsidRPr="00EE0D16" w:rsidR="00B60FC0">
        <w:rPr>
          <w:rFonts w:cs="Calibri"/>
        </w:rPr>
        <w:t xml:space="preserve">alter </w:t>
      </w:r>
      <w:r w:rsidRPr="00EE0D16">
        <w:rPr>
          <w:rFonts w:cs="Calibri"/>
        </w:rPr>
        <w:t xml:space="preserve">the </w:t>
      </w:r>
      <w:r w:rsidRPr="00EE0D16" w:rsidR="00D05851">
        <w:rPr>
          <w:rFonts w:cs="Calibri"/>
        </w:rPr>
        <w:t xml:space="preserve">state’s </w:t>
      </w:r>
      <w:r w:rsidRPr="00EE0D16" w:rsidR="00B60FC0">
        <w:rPr>
          <w:rFonts w:cs="Calibri"/>
        </w:rPr>
        <w:t xml:space="preserve">existing </w:t>
      </w:r>
      <w:r w:rsidRPr="00EE0D16" w:rsidR="00D05851">
        <w:rPr>
          <w:rFonts w:cs="Calibri"/>
        </w:rPr>
        <w:t xml:space="preserve">DNA </w:t>
      </w:r>
      <w:r w:rsidRPr="00EE0D16" w:rsidR="002641B6">
        <w:rPr>
          <w:rFonts w:cs="Calibri"/>
        </w:rPr>
        <w:t>databank</w:t>
      </w:r>
      <w:r w:rsidRPr="00EE0D16">
        <w:rPr>
          <w:rFonts w:cs="Calibri"/>
        </w:rPr>
        <w:t>.</w:t>
      </w:r>
      <w:r w:rsidRPr="00EE0D16" w:rsidR="00D05851">
        <w:rPr>
          <w:rFonts w:cs="Calibri"/>
        </w:rPr>
        <w:t xml:space="preserve">  </w:t>
      </w:r>
      <w:r w:rsidR="00A04CBA">
        <w:rPr>
          <w:rFonts w:cs="Calibri"/>
        </w:rPr>
        <w:t>Modifying</w:t>
      </w:r>
      <w:r w:rsidRPr="00EE0D16" w:rsidR="00D05851">
        <w:rPr>
          <w:rFonts w:cs="Calibri"/>
        </w:rPr>
        <w:t xml:space="preserve"> th</w:t>
      </w:r>
      <w:r w:rsidRPr="00EE0D16" w:rsidR="007A7F85">
        <w:rPr>
          <w:rFonts w:cs="Calibri"/>
        </w:rPr>
        <w:t>e databank</w:t>
      </w:r>
      <w:r w:rsidRPr="00EE0D16" w:rsidR="009E4D86">
        <w:rPr>
          <w:rFonts w:cs="Calibri"/>
        </w:rPr>
        <w:t xml:space="preserve"> </w:t>
      </w:r>
      <w:r w:rsidRPr="00EE0D16" w:rsidR="00D05851">
        <w:rPr>
          <w:rFonts w:cs="Calibri"/>
        </w:rPr>
        <w:t xml:space="preserve">neither advances nor </w:t>
      </w:r>
      <w:r w:rsidRPr="00EE0D16" w:rsidR="00F87709">
        <w:rPr>
          <w:rFonts w:cs="Calibri"/>
        </w:rPr>
        <w:t xml:space="preserve">impedes </w:t>
      </w:r>
      <w:r w:rsidRPr="00EE0D16" w:rsidR="00D05851">
        <w:rPr>
          <w:rFonts w:cs="Calibri"/>
        </w:rPr>
        <w:t>Proposition 47</w:t>
      </w:r>
      <w:r w:rsidRPr="00EE0D16" w:rsidR="00F87709">
        <w:rPr>
          <w:rFonts w:cs="Calibri"/>
        </w:rPr>
        <w:t>’s goals to r</w:t>
      </w:r>
      <w:r w:rsidRPr="00EE0D16" w:rsidR="00D05851">
        <w:rPr>
          <w:rFonts w:cs="Calibri"/>
        </w:rPr>
        <w:t>educ</w:t>
      </w:r>
      <w:r w:rsidRPr="00EE0D16" w:rsidR="00F87709">
        <w:rPr>
          <w:rFonts w:cs="Calibri"/>
        </w:rPr>
        <w:t xml:space="preserve">e </w:t>
      </w:r>
      <w:r w:rsidRPr="00EE0D16" w:rsidR="00D05851">
        <w:rPr>
          <w:rFonts w:cs="Calibri"/>
        </w:rPr>
        <w:t xml:space="preserve">the prison population and </w:t>
      </w:r>
      <w:r w:rsidRPr="00EE0D16" w:rsidR="00385BCB">
        <w:rPr>
          <w:rFonts w:cs="Calibri"/>
        </w:rPr>
        <w:t>re</w:t>
      </w:r>
      <w:r w:rsidRPr="00EE0D16" w:rsidR="00D05851">
        <w:rPr>
          <w:rFonts w:cs="Calibri"/>
        </w:rPr>
        <w:t>allocat</w:t>
      </w:r>
      <w:r w:rsidRPr="00EE0D16" w:rsidR="00F87709">
        <w:rPr>
          <w:rFonts w:cs="Calibri"/>
        </w:rPr>
        <w:t xml:space="preserve">e </w:t>
      </w:r>
      <w:r w:rsidRPr="00EE0D16" w:rsidR="003071C4">
        <w:rPr>
          <w:rFonts w:cs="Calibri"/>
        </w:rPr>
        <w:t xml:space="preserve">resources.  </w:t>
      </w:r>
      <w:r w:rsidR="00A04CBA">
        <w:rPr>
          <w:rFonts w:cs="Calibri"/>
        </w:rPr>
        <w:t>Even reframing</w:t>
      </w:r>
      <w:r w:rsidRPr="00EE0D16">
        <w:rPr>
          <w:rFonts w:cs="Calibri"/>
        </w:rPr>
        <w:t xml:space="preserve"> Proposition 47’s </w:t>
      </w:r>
      <w:r w:rsidR="00A04CBA">
        <w:rPr>
          <w:rFonts w:cs="Calibri"/>
        </w:rPr>
        <w:t>goal more</w:t>
      </w:r>
      <w:r w:rsidRPr="00EE0D16" w:rsidR="002641B6">
        <w:rPr>
          <w:rFonts w:cs="Calibri"/>
        </w:rPr>
        <w:t xml:space="preserve"> generally</w:t>
      </w:r>
      <w:r w:rsidRPr="00EE0D16">
        <w:rPr>
          <w:rFonts w:cs="Calibri"/>
        </w:rPr>
        <w:t xml:space="preserve"> as reducing the puni</w:t>
      </w:r>
      <w:r w:rsidR="00A04CBA">
        <w:rPr>
          <w:rFonts w:cs="Calibri"/>
        </w:rPr>
        <w:t>shment for certain crimes</w:t>
      </w:r>
      <w:r w:rsidRPr="00EE0D16">
        <w:rPr>
          <w:rFonts w:cs="Calibri"/>
        </w:rPr>
        <w:t xml:space="preserve"> does not suggest a different conclusion.  </w:t>
      </w:r>
      <w:r w:rsidR="00A04CBA">
        <w:rPr>
          <w:rFonts w:cs="Calibri"/>
        </w:rPr>
        <w:t>Because</w:t>
      </w:r>
      <w:r w:rsidRPr="00EE0D16">
        <w:rPr>
          <w:rFonts w:cs="Calibri"/>
        </w:rPr>
        <w:t xml:space="preserve"> requir</w:t>
      </w:r>
      <w:r w:rsidR="00A04CBA">
        <w:rPr>
          <w:rFonts w:cs="Calibri"/>
        </w:rPr>
        <w:t>ing</w:t>
      </w:r>
      <w:r w:rsidRPr="00EE0D16">
        <w:rPr>
          <w:rFonts w:cs="Calibri"/>
        </w:rPr>
        <w:t xml:space="preserve"> th</w:t>
      </w:r>
      <w:r w:rsidR="00A04CBA">
        <w:rPr>
          <w:rFonts w:cs="Calibri"/>
        </w:rPr>
        <w:t>e submission of a sample is not punishment</w:t>
      </w:r>
      <w:r w:rsidRPr="00EE0D16">
        <w:rPr>
          <w:rFonts w:cs="Calibri"/>
        </w:rPr>
        <w:t xml:space="preserve"> (</w:t>
      </w:r>
      <w:r w:rsidRPr="00EE0D16" w:rsidR="001535A1">
        <w:rPr>
          <w:rFonts w:cs="Calibri"/>
          <w:i/>
        </w:rPr>
        <w:t>Good v. Superior Court</w:t>
      </w:r>
      <w:r w:rsidRPr="00EE0D16" w:rsidR="00385BCB">
        <w:rPr>
          <w:rFonts w:cs="Calibri"/>
        </w:rPr>
        <w:t xml:space="preserve">, </w:t>
      </w:r>
      <w:r w:rsidRPr="00EE0D16" w:rsidR="00385BCB">
        <w:rPr>
          <w:rFonts w:cs="Calibri"/>
          <w:i/>
        </w:rPr>
        <w:t>supra</w:t>
      </w:r>
      <w:r w:rsidRPr="00EE0D16" w:rsidR="00385BCB">
        <w:rPr>
          <w:rFonts w:cs="Calibri"/>
        </w:rPr>
        <w:t>,</w:t>
      </w:r>
      <w:r w:rsidRPr="00EE0D16" w:rsidR="001535A1">
        <w:rPr>
          <w:rFonts w:cs="Calibri"/>
        </w:rPr>
        <w:t xml:space="preserve"> 158 Cal.App.4th </w:t>
      </w:r>
      <w:r w:rsidRPr="00EE0D16" w:rsidR="00385BCB">
        <w:rPr>
          <w:rFonts w:cs="Calibri"/>
        </w:rPr>
        <w:t>at p. </w:t>
      </w:r>
      <w:r w:rsidRPr="00EE0D16" w:rsidR="001535A1">
        <w:rPr>
          <w:rFonts w:cs="Calibri"/>
        </w:rPr>
        <w:t xml:space="preserve">1510; </w:t>
      </w:r>
      <w:r w:rsidRPr="00EE0D16" w:rsidR="00D50DE4">
        <w:rPr>
          <w:rFonts w:cs="Calibri"/>
          <w:i/>
        </w:rPr>
        <w:t>People v. Travis</w:t>
      </w:r>
      <w:r w:rsidRPr="00EE0D16" w:rsidR="004D2F64">
        <w:rPr>
          <w:rFonts w:cs="Calibri"/>
        </w:rPr>
        <w:t xml:space="preserve"> (2006</w:t>
      </w:r>
      <w:r w:rsidRPr="00EE0D16" w:rsidR="00D50DE4">
        <w:rPr>
          <w:rFonts w:cs="Calibri"/>
        </w:rPr>
        <w:t>) 139</w:t>
      </w:r>
      <w:r w:rsidRPr="00EE0D16">
        <w:rPr>
          <w:rFonts w:cs="Calibri"/>
        </w:rPr>
        <w:t xml:space="preserve"> Cal.App.4th </w:t>
      </w:r>
      <w:r w:rsidRPr="00EE0D16" w:rsidR="00D50DE4">
        <w:rPr>
          <w:rFonts w:cs="Calibri"/>
        </w:rPr>
        <w:t>1271</w:t>
      </w:r>
      <w:r w:rsidRPr="00EE0D16">
        <w:rPr>
          <w:rFonts w:cs="Calibri"/>
        </w:rPr>
        <w:t xml:space="preserve">, </w:t>
      </w:r>
      <w:r w:rsidRPr="00EE0D16" w:rsidR="00D50DE4">
        <w:rPr>
          <w:rFonts w:cs="Calibri"/>
        </w:rPr>
        <w:t>1295</w:t>
      </w:r>
      <w:r w:rsidRPr="00EE0D16">
        <w:rPr>
          <w:rFonts w:cs="Calibri"/>
        </w:rPr>
        <w:t>)</w:t>
      </w:r>
      <w:r w:rsidR="00A04CBA">
        <w:rPr>
          <w:rFonts w:cs="Calibri"/>
        </w:rPr>
        <w:t>, i</w:t>
      </w:r>
      <w:r w:rsidRPr="00EE0D16" w:rsidR="00B60FC0">
        <w:rPr>
          <w:rFonts w:cs="Calibri"/>
        </w:rPr>
        <w:t>t follows that</w:t>
      </w:r>
      <w:r w:rsidR="00A04CBA">
        <w:rPr>
          <w:rFonts w:cs="Calibri"/>
        </w:rPr>
        <w:t xml:space="preserve"> </w:t>
      </w:r>
      <w:r w:rsidRPr="00EE0D16">
        <w:rPr>
          <w:rFonts w:cs="Calibri"/>
        </w:rPr>
        <w:t xml:space="preserve">retention of a sample </w:t>
      </w:r>
      <w:r w:rsidR="009D479F">
        <w:rPr>
          <w:rFonts w:cs="Calibri"/>
        </w:rPr>
        <w:t xml:space="preserve">is </w:t>
      </w:r>
      <w:r w:rsidRPr="00EE0D16" w:rsidR="00B60FC0">
        <w:rPr>
          <w:rFonts w:cs="Calibri"/>
        </w:rPr>
        <w:t>not punishment</w:t>
      </w:r>
      <w:r w:rsidR="0050348E">
        <w:rPr>
          <w:rFonts w:cs="Calibri"/>
        </w:rPr>
        <w:t xml:space="preserve"> either</w:t>
      </w:r>
      <w:r w:rsidRPr="00EE0D16" w:rsidR="00B60FC0">
        <w:rPr>
          <w:rFonts w:cs="Calibri"/>
        </w:rPr>
        <w:t>.</w:t>
      </w:r>
    </w:p>
    <w:p w:rsidR="00657AF6" w:rsidRPr="00155457" w:rsidP="00657AF6">
      <w:pPr>
        <w:tabs>
          <w:tab w:val="left" w:pos="1440"/>
        </w:tabs>
        <w:spacing w:line="480" w:lineRule="atLeast"/>
        <w:ind w:firstLine="720"/>
        <w:rPr>
          <w:szCs w:val="26"/>
        </w:rPr>
      </w:pPr>
      <w:r>
        <w:t>C.B. and C.H. highlight cases that have construed Pr</w:t>
      </w:r>
      <w:r w:rsidR="00767353">
        <w:t>oposition 47 as broadly intending</w:t>
      </w:r>
      <w:r>
        <w:t xml:space="preserve"> </w:t>
      </w:r>
      <w:r>
        <w:rPr>
          <w:szCs w:val="26"/>
        </w:rPr>
        <w:t>to extinguish all collateral consequences</w:t>
      </w:r>
      <w:r w:rsidR="0050348E">
        <w:rPr>
          <w:szCs w:val="26"/>
        </w:rPr>
        <w:t xml:space="preserve"> for redesignated offenses</w:t>
      </w:r>
      <w:r>
        <w:rPr>
          <w:szCs w:val="26"/>
        </w:rPr>
        <w:t>, other than</w:t>
      </w:r>
      <w:r w:rsidR="000D7B32">
        <w:rPr>
          <w:szCs w:val="26"/>
        </w:rPr>
        <w:t xml:space="preserve"> </w:t>
      </w:r>
      <w:r>
        <w:rPr>
          <w:szCs w:val="26"/>
        </w:rPr>
        <w:t xml:space="preserve">limits on </w:t>
      </w:r>
      <w:r w:rsidR="00364362">
        <w:rPr>
          <w:szCs w:val="26"/>
        </w:rPr>
        <w:t xml:space="preserve">future </w:t>
      </w:r>
      <w:r>
        <w:rPr>
          <w:szCs w:val="26"/>
        </w:rPr>
        <w:t>gun posse</w:t>
      </w:r>
      <w:r w:rsidR="00364362">
        <w:rPr>
          <w:szCs w:val="26"/>
        </w:rPr>
        <w:t>ssion</w:t>
      </w:r>
      <w:r>
        <w:rPr>
          <w:szCs w:val="26"/>
        </w:rPr>
        <w:t xml:space="preserve">.  (See </w:t>
      </w:r>
      <w:r>
        <w:rPr>
          <w:i/>
          <w:szCs w:val="26"/>
        </w:rPr>
        <w:t>People v. Evans</w:t>
      </w:r>
      <w:r>
        <w:rPr>
          <w:szCs w:val="26"/>
        </w:rPr>
        <w:t xml:space="preserve"> (2016) 6 Cal.App.5th 894, 900–901</w:t>
      </w:r>
      <w:r w:rsidR="00601422">
        <w:rPr>
          <w:szCs w:val="26"/>
        </w:rPr>
        <w:t xml:space="preserve">, </w:t>
      </w:r>
      <w:r>
        <w:rPr>
          <w:szCs w:val="26"/>
        </w:rPr>
        <w:t>r</w:t>
      </w:r>
      <w:r w:rsidR="0027154B">
        <w:rPr>
          <w:szCs w:val="26"/>
        </w:rPr>
        <w:t>eview</w:t>
      </w:r>
      <w:r>
        <w:rPr>
          <w:szCs w:val="26"/>
        </w:rPr>
        <w:t xml:space="preserve"> granted and held on other grounds for </w:t>
      </w:r>
      <w:r>
        <w:rPr>
          <w:i/>
          <w:szCs w:val="26"/>
        </w:rPr>
        <w:t>People v. Valenzuela</w:t>
      </w:r>
      <w:r w:rsidR="00601422">
        <w:rPr>
          <w:szCs w:val="26"/>
        </w:rPr>
        <w:t xml:space="preserve">, </w:t>
      </w:r>
      <w:r w:rsidR="00B2584B">
        <w:rPr>
          <w:szCs w:val="26"/>
        </w:rPr>
        <w:t xml:space="preserve">review granted Mar. 1, 2017, </w:t>
      </w:r>
      <w:r w:rsidR="00601422">
        <w:rPr>
          <w:szCs w:val="26"/>
        </w:rPr>
        <w:t>S239122</w:t>
      </w:r>
      <w:r>
        <w:rPr>
          <w:szCs w:val="26"/>
        </w:rPr>
        <w:t xml:space="preserve">; </w:t>
      </w:r>
      <w:r>
        <w:rPr>
          <w:i/>
          <w:szCs w:val="26"/>
        </w:rPr>
        <w:t>Alejandro N. v. Superior Court</w:t>
      </w:r>
      <w:r>
        <w:rPr>
          <w:szCs w:val="26"/>
        </w:rPr>
        <w:t xml:space="preserve">, </w:t>
      </w:r>
      <w:r w:rsidR="001632BC">
        <w:rPr>
          <w:i/>
          <w:szCs w:val="26"/>
        </w:rPr>
        <w:t>supra</w:t>
      </w:r>
      <w:r w:rsidR="001632BC">
        <w:rPr>
          <w:szCs w:val="26"/>
        </w:rPr>
        <w:t xml:space="preserve">, </w:t>
      </w:r>
      <w:r>
        <w:rPr>
          <w:szCs w:val="26"/>
        </w:rPr>
        <w:t xml:space="preserve">238 </w:t>
      </w:r>
      <w:r w:rsidRPr="00657AF6">
        <w:rPr>
          <w:szCs w:val="26"/>
        </w:rPr>
        <w:t xml:space="preserve">Cal.App.4th </w:t>
      </w:r>
      <w:r>
        <w:rPr>
          <w:szCs w:val="26"/>
        </w:rPr>
        <w:t xml:space="preserve">at p. 1228; </w:t>
      </w:r>
      <w:r>
        <w:rPr>
          <w:i/>
          <w:szCs w:val="26"/>
        </w:rPr>
        <w:t>In re C.B.</w:t>
      </w:r>
      <w:r>
        <w:rPr>
          <w:szCs w:val="26"/>
        </w:rPr>
        <w:t xml:space="preserve">, </w:t>
      </w:r>
      <w:r>
        <w:rPr>
          <w:i/>
          <w:szCs w:val="26"/>
        </w:rPr>
        <w:t>supra</w:t>
      </w:r>
      <w:r w:rsidR="000D7B32">
        <w:rPr>
          <w:szCs w:val="26"/>
        </w:rPr>
        <w:t xml:space="preserve">, 2 Cal.App.5th at p. 1130 (dis. opn. of </w:t>
      </w:r>
      <w:r>
        <w:rPr>
          <w:szCs w:val="26"/>
        </w:rPr>
        <w:t>Pollak</w:t>
      </w:r>
      <w:r w:rsidR="000D7B32">
        <w:rPr>
          <w:szCs w:val="26"/>
        </w:rPr>
        <w:t xml:space="preserve">, </w:t>
      </w:r>
      <w:r w:rsidR="00D440FC">
        <w:t>Acting P. J.</w:t>
      </w:r>
      <w:r w:rsidR="000D7B32">
        <w:rPr>
          <w:szCs w:val="26"/>
        </w:rPr>
        <w:t>)</w:t>
      </w:r>
      <w:r>
        <w:rPr>
          <w:szCs w:val="26"/>
        </w:rPr>
        <w:t xml:space="preserve">.)  In their view, </w:t>
      </w:r>
      <w:r w:rsidR="000D7B32">
        <w:rPr>
          <w:szCs w:val="26"/>
        </w:rPr>
        <w:t xml:space="preserve">this intent supports </w:t>
      </w:r>
      <w:r>
        <w:rPr>
          <w:szCs w:val="26"/>
        </w:rPr>
        <w:t>e</w:t>
      </w:r>
      <w:r w:rsidRPr="00D50B07">
        <w:rPr>
          <w:szCs w:val="26"/>
        </w:rPr>
        <w:t xml:space="preserve">xpungement </w:t>
      </w:r>
      <w:r w:rsidR="00A04CBA">
        <w:rPr>
          <w:szCs w:val="26"/>
        </w:rPr>
        <w:t>because their</w:t>
      </w:r>
      <w:r w:rsidR="000D7B32">
        <w:rPr>
          <w:szCs w:val="26"/>
        </w:rPr>
        <w:t xml:space="preserve"> offenses </w:t>
      </w:r>
      <w:r w:rsidR="00A04CBA">
        <w:rPr>
          <w:szCs w:val="26"/>
        </w:rPr>
        <w:t xml:space="preserve">have been </w:t>
      </w:r>
      <w:r w:rsidR="000D7B32">
        <w:rPr>
          <w:szCs w:val="26"/>
        </w:rPr>
        <w:t>redesignated</w:t>
      </w:r>
      <w:r>
        <w:rPr>
          <w:szCs w:val="26"/>
        </w:rPr>
        <w:t>.</w:t>
      </w:r>
    </w:p>
    <w:p w:rsidR="00657AF6" w:rsidRPr="00220A6D" w:rsidP="00657AF6">
      <w:pPr>
        <w:tabs>
          <w:tab w:val="left" w:pos="1440"/>
        </w:tabs>
        <w:spacing w:line="480" w:lineRule="atLeast"/>
        <w:ind w:firstLine="720"/>
        <w:rPr>
          <w:szCs w:val="26"/>
        </w:rPr>
      </w:pPr>
      <w:r w:rsidRPr="00155457">
        <w:rPr>
          <w:szCs w:val="26"/>
        </w:rPr>
        <w:t>Th</w:t>
      </w:r>
      <w:r w:rsidR="00A04CBA">
        <w:rPr>
          <w:szCs w:val="26"/>
        </w:rPr>
        <w:t>e</w:t>
      </w:r>
      <w:r w:rsidR="00364362">
        <w:rPr>
          <w:szCs w:val="26"/>
        </w:rPr>
        <w:t xml:space="preserve"> argument fails</w:t>
      </w:r>
      <w:r w:rsidR="00A04CBA">
        <w:rPr>
          <w:szCs w:val="26"/>
        </w:rPr>
        <w:t>.</w:t>
      </w:r>
      <w:r w:rsidR="00364362">
        <w:rPr>
          <w:szCs w:val="26"/>
        </w:rPr>
        <w:t xml:space="preserve"> </w:t>
      </w:r>
      <w:r w:rsidR="00A04CBA">
        <w:rPr>
          <w:szCs w:val="26"/>
        </w:rPr>
        <w:t xml:space="preserve"> T</w:t>
      </w:r>
      <w:r w:rsidR="00364362">
        <w:rPr>
          <w:szCs w:val="26"/>
        </w:rPr>
        <w:t>here is no</w:t>
      </w:r>
      <w:r>
        <w:rPr>
          <w:szCs w:val="26"/>
        </w:rPr>
        <w:t xml:space="preserve"> evidence the voter</w:t>
      </w:r>
      <w:r w:rsidR="00E50F76">
        <w:rPr>
          <w:szCs w:val="26"/>
        </w:rPr>
        <w:t>s</w:t>
      </w:r>
      <w:r w:rsidR="000E0157">
        <w:rPr>
          <w:szCs w:val="26"/>
        </w:rPr>
        <w:t xml:space="preserve"> intended to expand</w:t>
      </w:r>
      <w:r>
        <w:rPr>
          <w:szCs w:val="26"/>
        </w:rPr>
        <w:t xml:space="preserve"> the grounds for expungement.  While many other sections of the Penal Code were amended (see </w:t>
      </w:r>
      <w:r>
        <w:rPr>
          <w:i/>
          <w:szCs w:val="26"/>
        </w:rPr>
        <w:t>People v. Valencia</w:t>
      </w:r>
      <w:r>
        <w:rPr>
          <w:szCs w:val="26"/>
        </w:rPr>
        <w:t xml:space="preserve">, </w:t>
      </w:r>
      <w:r>
        <w:rPr>
          <w:i/>
          <w:szCs w:val="26"/>
        </w:rPr>
        <w:t>supra</w:t>
      </w:r>
      <w:r>
        <w:rPr>
          <w:szCs w:val="26"/>
        </w:rPr>
        <w:t xml:space="preserve">, 3 Cal.5th at p. 355), the text of </w:t>
      </w:r>
      <w:r w:rsidR="00364362">
        <w:rPr>
          <w:szCs w:val="26"/>
        </w:rPr>
        <w:t>the expungement statute</w:t>
      </w:r>
      <w:r>
        <w:rPr>
          <w:szCs w:val="26"/>
        </w:rPr>
        <w:t xml:space="preserve"> was left untouched.  </w:t>
      </w:r>
      <w:r w:rsidR="001C074D">
        <w:rPr>
          <w:szCs w:val="26"/>
        </w:rPr>
        <w:t>Proposition 47 necessarily</w:t>
      </w:r>
      <w:r w:rsidR="00364362">
        <w:rPr>
          <w:szCs w:val="26"/>
        </w:rPr>
        <w:t xml:space="preserve"> </w:t>
      </w:r>
      <w:r>
        <w:rPr>
          <w:szCs w:val="26"/>
        </w:rPr>
        <w:t>revis</w:t>
      </w:r>
      <w:r w:rsidR="00364362">
        <w:rPr>
          <w:szCs w:val="26"/>
        </w:rPr>
        <w:t>ed the operation of</w:t>
      </w:r>
      <w:r>
        <w:rPr>
          <w:szCs w:val="26"/>
        </w:rPr>
        <w:t xml:space="preserve"> section 296</w:t>
      </w:r>
      <w:r w:rsidR="00364362">
        <w:rPr>
          <w:szCs w:val="26"/>
        </w:rPr>
        <w:t>’s</w:t>
      </w:r>
      <w:r>
        <w:rPr>
          <w:szCs w:val="26"/>
        </w:rPr>
        <w:t xml:space="preserve"> </w:t>
      </w:r>
      <w:r w:rsidR="00364362">
        <w:rPr>
          <w:szCs w:val="26"/>
        </w:rPr>
        <w:t>requirement that a sample be submitted after a felony conviction</w:t>
      </w:r>
      <w:r w:rsidR="001C074D">
        <w:rPr>
          <w:szCs w:val="26"/>
        </w:rPr>
        <w:t xml:space="preserve"> by changing what </w:t>
      </w:r>
      <w:r w:rsidR="00A04CBA">
        <w:rPr>
          <w:szCs w:val="26"/>
        </w:rPr>
        <w:t>crimes constitute</w:t>
      </w:r>
      <w:r w:rsidR="001C074D">
        <w:rPr>
          <w:szCs w:val="26"/>
        </w:rPr>
        <w:t xml:space="preserve"> a felony</w:t>
      </w:r>
      <w:r>
        <w:rPr>
          <w:szCs w:val="26"/>
        </w:rPr>
        <w:t xml:space="preserve">.  </w:t>
      </w:r>
      <w:r w:rsidR="00364362">
        <w:rPr>
          <w:szCs w:val="26"/>
        </w:rPr>
        <w:t>But Proposition 47 did not modify</w:t>
      </w:r>
      <w:r>
        <w:rPr>
          <w:szCs w:val="26"/>
        </w:rPr>
        <w:t xml:space="preserve"> section 299,</w:t>
      </w:r>
      <w:r w:rsidR="000D7B32">
        <w:rPr>
          <w:szCs w:val="26"/>
        </w:rPr>
        <w:t xml:space="preserve"> subdivision (b)</w:t>
      </w:r>
      <w:r w:rsidR="00E50F76">
        <w:rPr>
          <w:szCs w:val="26"/>
        </w:rPr>
        <w:t>,</w:t>
      </w:r>
      <w:r w:rsidR="000D7B32">
        <w:rPr>
          <w:szCs w:val="26"/>
        </w:rPr>
        <w:t xml:space="preserve"> </w:t>
      </w:r>
      <w:r w:rsidR="00364362">
        <w:rPr>
          <w:szCs w:val="26"/>
        </w:rPr>
        <w:t>to insert</w:t>
      </w:r>
      <w:r w:rsidR="000D7B32">
        <w:rPr>
          <w:szCs w:val="26"/>
        </w:rPr>
        <w:t xml:space="preserve"> a </w:t>
      </w:r>
      <w:r w:rsidR="00A04CBA">
        <w:rPr>
          <w:szCs w:val="26"/>
        </w:rPr>
        <w:t xml:space="preserve">new </w:t>
      </w:r>
      <w:r>
        <w:rPr>
          <w:szCs w:val="26"/>
        </w:rPr>
        <w:t>fifth basis for expungement.</w:t>
      </w:r>
    </w:p>
    <w:p w:rsidR="00387C9D" w:rsidP="00657AF6">
      <w:pPr>
        <w:tabs>
          <w:tab w:val="left" w:pos="1440"/>
        </w:tabs>
        <w:spacing w:line="480" w:lineRule="atLeast"/>
        <w:ind w:firstLine="720"/>
      </w:pPr>
      <w:r>
        <w:rPr>
          <w:szCs w:val="26"/>
        </w:rPr>
        <w:t xml:space="preserve"> </w:t>
      </w:r>
      <w:r w:rsidR="00442DC8">
        <w:rPr>
          <w:szCs w:val="26"/>
        </w:rPr>
        <w:t>C</w:t>
      </w:r>
      <w:r w:rsidR="000D7B32">
        <w:rPr>
          <w:szCs w:val="26"/>
        </w:rPr>
        <w:t>.</w:t>
      </w:r>
      <w:r w:rsidR="00442DC8">
        <w:rPr>
          <w:szCs w:val="26"/>
        </w:rPr>
        <w:t>H</w:t>
      </w:r>
      <w:r w:rsidR="000D7B32">
        <w:rPr>
          <w:szCs w:val="26"/>
        </w:rPr>
        <w:t>.</w:t>
      </w:r>
      <w:r w:rsidR="00442DC8">
        <w:rPr>
          <w:szCs w:val="26"/>
        </w:rPr>
        <w:t xml:space="preserve"> </w:t>
      </w:r>
      <w:r w:rsidR="000D7B32">
        <w:rPr>
          <w:szCs w:val="26"/>
        </w:rPr>
        <w:t xml:space="preserve">also </w:t>
      </w:r>
      <w:r w:rsidR="00442DC8">
        <w:rPr>
          <w:szCs w:val="26"/>
        </w:rPr>
        <w:t xml:space="preserve">highlights </w:t>
      </w:r>
      <w:r w:rsidR="00B83925">
        <w:rPr>
          <w:szCs w:val="26"/>
        </w:rPr>
        <w:t>Prop</w:t>
      </w:r>
      <w:r w:rsidR="000D7B32">
        <w:rPr>
          <w:szCs w:val="26"/>
        </w:rPr>
        <w:t>osition</w:t>
      </w:r>
      <w:r w:rsidR="00B83925">
        <w:rPr>
          <w:szCs w:val="26"/>
        </w:rPr>
        <w:t xml:space="preserve"> 47</w:t>
      </w:r>
      <w:r w:rsidR="000D7B32">
        <w:rPr>
          <w:szCs w:val="26"/>
        </w:rPr>
        <w:t>’s</w:t>
      </w:r>
      <w:r w:rsidR="00B83925">
        <w:rPr>
          <w:szCs w:val="26"/>
        </w:rPr>
        <w:t xml:space="preserve"> </w:t>
      </w:r>
      <w:r w:rsidR="000D7B32">
        <w:rPr>
          <w:szCs w:val="26"/>
        </w:rPr>
        <w:t xml:space="preserve">direction that its provisions </w:t>
      </w:r>
      <w:r w:rsidR="00601422">
        <w:rPr>
          <w:szCs w:val="26"/>
        </w:rPr>
        <w:t xml:space="preserve">“shall be </w:t>
      </w:r>
      <w:r w:rsidR="00B83925">
        <w:t>liberal</w:t>
      </w:r>
      <w:r w:rsidR="000D7B32">
        <w:t xml:space="preserve">ly construed </w:t>
      </w:r>
      <w:r w:rsidR="00B83925">
        <w:t xml:space="preserve">to effectuate </w:t>
      </w:r>
      <w:r w:rsidR="000D7B32">
        <w:t xml:space="preserve">its </w:t>
      </w:r>
      <w:r w:rsidR="00B83925">
        <w:t>purposes</w:t>
      </w:r>
      <w:r w:rsidR="000D7B32">
        <w:t>.”  (Prop. 47</w:t>
      </w:r>
      <w:r w:rsidR="00767353">
        <w:t xml:space="preserve"> Voter Guide, </w:t>
      </w:r>
      <w:r w:rsidR="00767353">
        <w:rPr>
          <w:i/>
        </w:rPr>
        <w:t>supra</w:t>
      </w:r>
      <w:r w:rsidR="00767353">
        <w:t>, text of Prop. 47</w:t>
      </w:r>
      <w:r w:rsidR="000D7B32">
        <w:t>, § 18</w:t>
      </w:r>
      <w:r w:rsidR="00767353">
        <w:t>, p. 74</w:t>
      </w:r>
      <w:r w:rsidR="000D7B32">
        <w:t xml:space="preserve">; see </w:t>
      </w:r>
      <w:r w:rsidR="000D7B32">
        <w:rPr>
          <w:i/>
        </w:rPr>
        <w:t>id.</w:t>
      </w:r>
      <w:r w:rsidR="000D7B32">
        <w:t>, § 15</w:t>
      </w:r>
      <w:r w:rsidR="00D30807">
        <w:t>, p. 74</w:t>
      </w:r>
      <w:r>
        <w:t xml:space="preserve">.)  The initiative’s </w:t>
      </w:r>
      <w:r w:rsidR="00F26FE2">
        <w:t xml:space="preserve">overt ends </w:t>
      </w:r>
      <w:r>
        <w:t xml:space="preserve">emphasize reallocating resources and saving money by </w:t>
      </w:r>
      <w:r w:rsidR="00B83925">
        <w:t xml:space="preserve">reducing </w:t>
      </w:r>
      <w:r w:rsidR="00A04CBA">
        <w:t>penaltie</w:t>
      </w:r>
      <w:r>
        <w:t xml:space="preserve">s for certain offenses.  The retention of already-submitted samples generates no additional </w:t>
      </w:r>
      <w:r w:rsidR="00364362">
        <w:t>costs and imposes no punishment</w:t>
      </w:r>
      <w:r>
        <w:t xml:space="preserve">.  Whether samples are retained or not is </w:t>
      </w:r>
      <w:r w:rsidR="000E0157">
        <w:t>unrelated</w:t>
      </w:r>
      <w:r>
        <w:t xml:space="preserve"> to the </w:t>
      </w:r>
      <w:r w:rsidR="000E0157">
        <w:t xml:space="preserve">stated </w:t>
      </w:r>
      <w:r>
        <w:t>purposes of Proposition 47</w:t>
      </w:r>
      <w:r w:rsidR="000E0157">
        <w:t>.  T</w:t>
      </w:r>
      <w:r w:rsidR="001632BC">
        <w:t>he princip</w:t>
      </w:r>
      <w:r w:rsidR="00E50F76">
        <w:t xml:space="preserve">le of liberal construction </w:t>
      </w:r>
      <w:r w:rsidR="001632BC">
        <w:t>does not advance C.H.’s cause</w:t>
      </w:r>
      <w:r>
        <w:t>.</w:t>
      </w:r>
    </w:p>
    <w:p w:rsidR="008C2B06" w:rsidP="004A5B5E">
      <w:pPr>
        <w:tabs>
          <w:tab w:val="left" w:pos="1440"/>
        </w:tabs>
        <w:spacing w:line="480" w:lineRule="atLeast"/>
        <w:ind w:firstLine="720"/>
        <w:rPr>
          <w:szCs w:val="26"/>
        </w:rPr>
      </w:pPr>
      <w:r>
        <w:rPr>
          <w:szCs w:val="26"/>
        </w:rPr>
        <w:t>C.B. and C.H. argue</w:t>
      </w:r>
      <w:r w:rsidR="00CF7694">
        <w:rPr>
          <w:szCs w:val="26"/>
        </w:rPr>
        <w:t xml:space="preserve"> that the state’s </w:t>
      </w:r>
      <w:r w:rsidR="00E25524">
        <w:rPr>
          <w:szCs w:val="26"/>
        </w:rPr>
        <w:t xml:space="preserve">public safety </w:t>
      </w:r>
      <w:r w:rsidR="00CF7694">
        <w:rPr>
          <w:szCs w:val="26"/>
        </w:rPr>
        <w:t xml:space="preserve">interest in </w:t>
      </w:r>
      <w:r w:rsidRPr="00364362" w:rsidR="00CF7694">
        <w:rPr>
          <w:i/>
          <w:szCs w:val="26"/>
        </w:rPr>
        <w:t>collecting</w:t>
      </w:r>
      <w:r w:rsidR="00CF7694">
        <w:rPr>
          <w:szCs w:val="26"/>
        </w:rPr>
        <w:t xml:space="preserve"> samples </w:t>
      </w:r>
      <w:r w:rsidR="00387C9D">
        <w:rPr>
          <w:szCs w:val="26"/>
        </w:rPr>
        <w:t xml:space="preserve">under </w:t>
      </w:r>
      <w:r w:rsidR="00364362">
        <w:rPr>
          <w:szCs w:val="26"/>
        </w:rPr>
        <w:t>Proposition 69</w:t>
      </w:r>
      <w:r w:rsidR="00387C9D">
        <w:rPr>
          <w:szCs w:val="26"/>
        </w:rPr>
        <w:t xml:space="preserve"> </w:t>
      </w:r>
      <w:r w:rsidR="00CF7694">
        <w:rPr>
          <w:szCs w:val="26"/>
        </w:rPr>
        <w:t xml:space="preserve">does not extend to most misdemeanants, </w:t>
      </w:r>
      <w:r w:rsidR="000E0157">
        <w:rPr>
          <w:szCs w:val="26"/>
        </w:rPr>
        <w:t>so</w:t>
      </w:r>
      <w:r w:rsidR="001407FA">
        <w:rPr>
          <w:szCs w:val="26"/>
        </w:rPr>
        <w:t xml:space="preserve"> expungement would </w:t>
      </w:r>
      <w:r w:rsidR="00364362">
        <w:rPr>
          <w:szCs w:val="26"/>
        </w:rPr>
        <w:t>not conflict</w:t>
      </w:r>
      <w:r w:rsidR="00387C9D">
        <w:rPr>
          <w:szCs w:val="26"/>
        </w:rPr>
        <w:t xml:space="preserve"> with </w:t>
      </w:r>
      <w:r w:rsidR="0059657E">
        <w:rPr>
          <w:szCs w:val="26"/>
        </w:rPr>
        <w:t>the initiative’s</w:t>
      </w:r>
      <w:r w:rsidR="001407FA">
        <w:rPr>
          <w:szCs w:val="26"/>
        </w:rPr>
        <w:t xml:space="preserve"> purposes.  </w:t>
      </w:r>
      <w:r w:rsidR="00601422">
        <w:rPr>
          <w:szCs w:val="26"/>
        </w:rPr>
        <w:t>(S</w:t>
      </w:r>
      <w:r w:rsidR="00387C9D">
        <w:rPr>
          <w:szCs w:val="26"/>
        </w:rPr>
        <w:t xml:space="preserve">ee </w:t>
      </w:r>
      <w:r w:rsidR="00387C9D">
        <w:rPr>
          <w:i/>
          <w:szCs w:val="26"/>
        </w:rPr>
        <w:t>In re C.B.</w:t>
      </w:r>
      <w:r w:rsidR="00387C9D">
        <w:rPr>
          <w:szCs w:val="26"/>
        </w:rPr>
        <w:t xml:space="preserve">, </w:t>
      </w:r>
      <w:r w:rsidR="00387C9D">
        <w:rPr>
          <w:i/>
          <w:szCs w:val="26"/>
        </w:rPr>
        <w:t>supra</w:t>
      </w:r>
      <w:r w:rsidR="00387C9D">
        <w:rPr>
          <w:szCs w:val="26"/>
        </w:rPr>
        <w:t>, 2 Cal.App.5th at pp. </w:t>
      </w:r>
      <w:r w:rsidR="00CF7694">
        <w:rPr>
          <w:szCs w:val="26"/>
        </w:rPr>
        <w:t>1137–1138</w:t>
      </w:r>
      <w:r w:rsidR="00387C9D">
        <w:rPr>
          <w:szCs w:val="26"/>
        </w:rPr>
        <w:t xml:space="preserve"> (dis. opn. of Pollak, </w:t>
      </w:r>
      <w:r w:rsidR="00D440FC">
        <w:t>Acting P. J.</w:t>
      </w:r>
      <w:r w:rsidR="00387C9D">
        <w:rPr>
          <w:szCs w:val="26"/>
        </w:rPr>
        <w:t>)</w:t>
      </w:r>
      <w:r w:rsidR="00601422">
        <w:rPr>
          <w:szCs w:val="26"/>
        </w:rPr>
        <w:t>.)</w:t>
      </w:r>
      <w:r w:rsidR="00CF7694">
        <w:rPr>
          <w:szCs w:val="26"/>
        </w:rPr>
        <w:t xml:space="preserve">  </w:t>
      </w:r>
      <w:r w:rsidR="000E0157">
        <w:rPr>
          <w:szCs w:val="26"/>
        </w:rPr>
        <w:t>Yet</w:t>
      </w:r>
      <w:r w:rsidR="001407FA">
        <w:rPr>
          <w:szCs w:val="26"/>
        </w:rPr>
        <w:t xml:space="preserve"> t</w:t>
      </w:r>
      <w:r w:rsidR="00CF7694">
        <w:rPr>
          <w:szCs w:val="26"/>
        </w:rPr>
        <w:t xml:space="preserve">he state’s interest in </w:t>
      </w:r>
      <w:r w:rsidR="00CF7694">
        <w:rPr>
          <w:i/>
          <w:szCs w:val="26"/>
        </w:rPr>
        <w:t>retaining</w:t>
      </w:r>
      <w:r w:rsidR="00CF7694">
        <w:rPr>
          <w:szCs w:val="26"/>
        </w:rPr>
        <w:t xml:space="preserve"> samples </w:t>
      </w:r>
      <w:r w:rsidR="0059657E">
        <w:rPr>
          <w:szCs w:val="26"/>
        </w:rPr>
        <w:t>is also</w:t>
      </w:r>
      <w:r>
        <w:rPr>
          <w:szCs w:val="26"/>
        </w:rPr>
        <w:t xml:space="preserve"> as broad as Prop</w:t>
      </w:r>
      <w:r w:rsidR="00CF7694">
        <w:rPr>
          <w:szCs w:val="26"/>
        </w:rPr>
        <w:t>osition</w:t>
      </w:r>
      <w:r>
        <w:rPr>
          <w:szCs w:val="26"/>
        </w:rPr>
        <w:t xml:space="preserve"> 69</w:t>
      </w:r>
      <w:r w:rsidR="00CF7694">
        <w:rPr>
          <w:szCs w:val="26"/>
        </w:rPr>
        <w:t xml:space="preserve"> and section 299 indicate.  If one looks to section 296 to define the sta</w:t>
      </w:r>
      <w:r w:rsidR="001407FA">
        <w:rPr>
          <w:szCs w:val="26"/>
        </w:rPr>
        <w:t xml:space="preserve">te’s interest in collecting </w:t>
      </w:r>
      <w:r w:rsidR="00A04CBA">
        <w:rPr>
          <w:szCs w:val="26"/>
        </w:rPr>
        <w:t>samples</w:t>
      </w:r>
      <w:r w:rsidR="00CF7694">
        <w:rPr>
          <w:szCs w:val="26"/>
        </w:rPr>
        <w:t xml:space="preserve">, one must </w:t>
      </w:r>
      <w:r w:rsidR="001632BC">
        <w:rPr>
          <w:szCs w:val="26"/>
        </w:rPr>
        <w:t xml:space="preserve">look equally </w:t>
      </w:r>
      <w:r w:rsidR="00CF7694">
        <w:rPr>
          <w:szCs w:val="26"/>
        </w:rPr>
        <w:t>to section 299</w:t>
      </w:r>
      <w:r w:rsidR="00A04CBA">
        <w:rPr>
          <w:szCs w:val="26"/>
        </w:rPr>
        <w:t>’s</w:t>
      </w:r>
      <w:r w:rsidR="00CF7694">
        <w:rPr>
          <w:szCs w:val="26"/>
        </w:rPr>
        <w:t xml:space="preserve"> </w:t>
      </w:r>
      <w:r>
        <w:rPr>
          <w:szCs w:val="26"/>
        </w:rPr>
        <w:t>limits on expungement</w:t>
      </w:r>
      <w:r w:rsidR="00A04CBA">
        <w:rPr>
          <w:szCs w:val="26"/>
        </w:rPr>
        <w:t xml:space="preserve"> to determine </w:t>
      </w:r>
      <w:r w:rsidR="00CF7694">
        <w:rPr>
          <w:szCs w:val="26"/>
        </w:rPr>
        <w:t xml:space="preserve">the state’s interest </w:t>
      </w:r>
      <w:r w:rsidR="00A04CBA">
        <w:rPr>
          <w:szCs w:val="26"/>
        </w:rPr>
        <w:t>in retaining them</w:t>
      </w:r>
      <w:r>
        <w:rPr>
          <w:szCs w:val="26"/>
        </w:rPr>
        <w:t>.</w:t>
      </w:r>
      <w:r w:rsidR="0059657E">
        <w:rPr>
          <w:szCs w:val="26"/>
        </w:rPr>
        <w:t xml:space="preserve">  </w:t>
      </w:r>
      <w:r w:rsidR="00364362">
        <w:rPr>
          <w:szCs w:val="26"/>
        </w:rPr>
        <w:t>Expand</w:t>
      </w:r>
      <w:r w:rsidR="0059657E">
        <w:rPr>
          <w:szCs w:val="26"/>
        </w:rPr>
        <w:t xml:space="preserve">ing expungement </w:t>
      </w:r>
      <w:r w:rsidR="00364362">
        <w:rPr>
          <w:szCs w:val="26"/>
        </w:rPr>
        <w:t xml:space="preserve">beyond the explicit requirements of </w:t>
      </w:r>
      <w:r w:rsidR="0059657E">
        <w:rPr>
          <w:szCs w:val="26"/>
        </w:rPr>
        <w:t>section 299 would be inconsistent with Proposition 69’s purposes.</w:t>
      </w:r>
    </w:p>
    <w:p w:rsidR="009A3BA1" w:rsidRPr="00E4055A" w:rsidP="004A5B5E">
      <w:pPr>
        <w:tabs>
          <w:tab w:val="left" w:pos="1440"/>
        </w:tabs>
        <w:spacing w:line="480" w:lineRule="atLeast"/>
        <w:ind w:firstLine="720"/>
        <w:rPr>
          <w:b/>
        </w:rPr>
      </w:pPr>
      <w:r>
        <w:t xml:space="preserve">In a related argument, </w:t>
      </w:r>
      <w:r w:rsidRPr="007C4312">
        <w:t xml:space="preserve">C.B. </w:t>
      </w:r>
      <w:r>
        <w:t xml:space="preserve">contends he has a privacy interest in his sample that exceeds the </w:t>
      </w:r>
      <w:r w:rsidR="00601422">
        <w:t>state’s public safety interest.</w:t>
      </w:r>
      <w:r>
        <w:t xml:space="preserve">  </w:t>
      </w:r>
      <w:r>
        <w:t xml:space="preserve">C.B. does not contest the compelling nature of the state’s interest in </w:t>
      </w:r>
      <w:r w:rsidR="00364362">
        <w:t xml:space="preserve">properly </w:t>
      </w:r>
      <w:r>
        <w:t xml:space="preserve">prosecuting crimes </w:t>
      </w:r>
      <w:r w:rsidR="00364362">
        <w:t>and exonerating the innocent.</w:t>
      </w:r>
      <w:r>
        <w:t xml:space="preserve"> </w:t>
      </w:r>
      <w:r w:rsidR="00364362">
        <w:t xml:space="preserve"> </w:t>
      </w:r>
      <w:r>
        <w:t>(</w:t>
      </w:r>
      <w:r>
        <w:rPr>
          <w:i/>
        </w:rPr>
        <w:t>People v. Robinson</w:t>
      </w:r>
      <w:r w:rsidR="002C3FB0">
        <w:rPr>
          <w:i/>
        </w:rPr>
        <w:t>, supra,</w:t>
      </w:r>
      <w:r>
        <w:t xml:space="preserve"> 47 Cal.4th </w:t>
      </w:r>
      <w:r w:rsidR="002C3FB0">
        <w:t>at p.</w:t>
      </w:r>
      <w:r>
        <w:t xml:space="preserve"> 1121</w:t>
      </w:r>
      <w:r w:rsidR="00364362">
        <w:t>.</w:t>
      </w:r>
      <w:r>
        <w:t xml:space="preserve">) </w:t>
      </w:r>
      <w:r w:rsidR="00364362">
        <w:t xml:space="preserve"> He does not claim </w:t>
      </w:r>
      <w:r>
        <w:t>that collection of samples under section 296 as it applied before passage of Proposition 47 violat</w:t>
      </w:r>
      <w:r w:rsidR="000E0157">
        <w:t>e</w:t>
      </w:r>
      <w:r w:rsidR="00A55D74">
        <w:t>d</w:t>
      </w:r>
      <w:r>
        <w:t xml:space="preserve"> </w:t>
      </w:r>
      <w:r w:rsidR="00E50F76">
        <w:t xml:space="preserve">his </w:t>
      </w:r>
      <w:r>
        <w:t>privacy rights</w:t>
      </w:r>
      <w:r w:rsidR="00A55D74">
        <w:t>.</w:t>
      </w:r>
      <w:r>
        <w:t xml:space="preserve"> </w:t>
      </w:r>
      <w:r w:rsidR="00A55D74">
        <w:t xml:space="preserve"> </w:t>
      </w:r>
      <w:r>
        <w:t>(</w:t>
      </w:r>
      <w:r w:rsidR="00A55D74">
        <w:t xml:space="preserve">See </w:t>
      </w:r>
      <w:r>
        <w:rPr>
          <w:i/>
        </w:rPr>
        <w:t>People v. Travis</w:t>
      </w:r>
      <w:r w:rsidR="004D2F64">
        <w:t xml:space="preserve">, </w:t>
      </w:r>
      <w:r w:rsidR="004D2F64">
        <w:rPr>
          <w:i/>
        </w:rPr>
        <w:t>supra</w:t>
      </w:r>
      <w:r w:rsidR="004D2F64">
        <w:t>,</w:t>
      </w:r>
      <w:r>
        <w:t xml:space="preserve"> 139 Cal.App.4th </w:t>
      </w:r>
      <w:r w:rsidR="004D2F64">
        <w:t>at pp. </w:t>
      </w:r>
      <w:r>
        <w:t>1281–1290</w:t>
      </w:r>
      <w:r w:rsidR="00A55D74">
        <w:t>.)</w:t>
      </w:r>
      <w:r>
        <w:t xml:space="preserve">  </w:t>
      </w:r>
      <w:r>
        <w:t>Instead, his argument appears to be that passage of Proposition 47 indicates a reduced state interest in collecting certain s</w:t>
      </w:r>
      <w:r w:rsidR="00A55D74">
        <w:t>amples</w:t>
      </w:r>
      <w:r w:rsidR="000E0157">
        <w:t xml:space="preserve">.  </w:t>
      </w:r>
      <w:r w:rsidR="00A55D74">
        <w:t>He reasons that</w:t>
      </w:r>
      <w:r>
        <w:t xml:space="preserve"> his privacy interests should now outweigh any state interest in retention.  Once again, </w:t>
      </w:r>
      <w:r w:rsidR="000E0157">
        <w:t>there is no basis</w:t>
      </w:r>
      <w:r>
        <w:t xml:space="preserve"> to disregard section 299 as an equally relevant </w:t>
      </w:r>
      <w:r w:rsidR="001632BC">
        <w:t>measure</w:t>
      </w:r>
      <w:r>
        <w:t xml:space="preserve"> of the state’s interest in retaining samples.</w:t>
      </w:r>
      <w:r w:rsidR="004A00C0">
        <w:t xml:space="preserve">  The passage of Proposition 47 did nothing to </w:t>
      </w:r>
      <w:r w:rsidR="00A55D74">
        <w:t>diminish</w:t>
      </w:r>
      <w:r w:rsidR="004A00C0">
        <w:t xml:space="preserve"> that interest.  </w:t>
      </w:r>
      <w:r>
        <w:t xml:space="preserve">If, as C.B. concedes, </w:t>
      </w:r>
      <w:r w:rsidR="004A00C0">
        <w:t xml:space="preserve">neither </w:t>
      </w:r>
      <w:r>
        <w:t>the collection of his sam</w:t>
      </w:r>
      <w:r w:rsidR="004A00C0">
        <w:t xml:space="preserve">ple nor </w:t>
      </w:r>
      <w:r w:rsidR="000E0157">
        <w:t>its retention</w:t>
      </w:r>
      <w:r w:rsidR="004A00C0">
        <w:t xml:space="preserve"> was a</w:t>
      </w:r>
      <w:r>
        <w:t xml:space="preserve"> privacy</w:t>
      </w:r>
      <w:r w:rsidR="004A00C0">
        <w:t xml:space="preserve"> violation before </w:t>
      </w:r>
      <w:r>
        <w:t xml:space="preserve">Proposition 47, </w:t>
      </w:r>
      <w:r w:rsidR="001632BC">
        <w:t>approval</w:t>
      </w:r>
      <w:r w:rsidR="00427CD9">
        <w:t xml:space="preserve"> of the initiative does not change that</w:t>
      </w:r>
      <w:r>
        <w:t xml:space="preserve"> calculus.</w:t>
      </w:r>
    </w:p>
    <w:p w:rsidR="00A04CBA" w:rsidP="00B83925">
      <w:pPr>
        <w:tabs>
          <w:tab w:val="left" w:pos="1440"/>
        </w:tabs>
        <w:spacing w:line="480" w:lineRule="atLeast"/>
        <w:ind w:firstLine="720"/>
      </w:pPr>
      <w:r>
        <w:t>C.B. discusses his privacy interests solely as a means of bolstering his claim that the statutory scheme should be read in a particular fashion.  He disavows the assertion of any constitutional privacy claim.  Accordingly, we express no views whatsoever on the merits of such a claim.</w:t>
      </w:r>
    </w:p>
    <w:p w:rsidR="0059552F" w:rsidP="00B83925">
      <w:pPr>
        <w:tabs>
          <w:tab w:val="left" w:pos="1440"/>
        </w:tabs>
        <w:spacing w:line="480" w:lineRule="atLeast"/>
        <w:ind w:firstLine="720"/>
      </w:pPr>
      <w:r>
        <w:t xml:space="preserve">In short, </w:t>
      </w:r>
      <w:r>
        <w:t>no</w:t>
      </w:r>
      <w:r w:rsidR="00A55D74">
        <w:t xml:space="preserve"> purpose</w:t>
      </w:r>
      <w:r>
        <w:t xml:space="preserve"> underlying Pr</w:t>
      </w:r>
      <w:r w:rsidR="00A55D74">
        <w:t>oposition</w:t>
      </w:r>
      <w:r>
        <w:t xml:space="preserve"> 47 </w:t>
      </w:r>
      <w:r w:rsidR="00A55D74">
        <w:t>or</w:t>
      </w:r>
      <w:r>
        <w:t xml:space="preserve"> 69 </w:t>
      </w:r>
      <w:r>
        <w:t>require</w:t>
      </w:r>
      <w:r>
        <w:t>s</w:t>
      </w:r>
      <w:r>
        <w:t xml:space="preserve"> expungemen</w:t>
      </w:r>
      <w:r w:rsidR="00096ACB">
        <w:t>t here.  Proposition 69 expands</w:t>
      </w:r>
      <w:r>
        <w:t xml:space="preserve"> the state’s databan</w:t>
      </w:r>
      <w:r>
        <w:t xml:space="preserve">k to advance the </w:t>
      </w:r>
      <w:r>
        <w:t>compelling interest</w:t>
      </w:r>
      <w:r w:rsidR="005A185C">
        <w:t>s</w:t>
      </w:r>
      <w:r>
        <w:t xml:space="preserve"> in public safety </w:t>
      </w:r>
      <w:r w:rsidR="005A185C">
        <w:t xml:space="preserve">and appropriate exoneration </w:t>
      </w:r>
      <w:r>
        <w:t>through more accurate identification of criminals.  The retention of existing samples is consistent with th</w:t>
      </w:r>
      <w:r w:rsidR="00096ACB">
        <w:t>at goal.  Proposition 47 reduces</w:t>
      </w:r>
      <w:r>
        <w:t xml:space="preserve"> punishments for certain crimes as a means of refocusing prison and prosecutorial resources on other crimes judge</w:t>
      </w:r>
      <w:r w:rsidR="00E50F76">
        <w:t>d</w:t>
      </w:r>
      <w:r>
        <w:t xml:space="preserve"> more serious.  Nothing in the retention of samples hinders those aims.</w:t>
      </w:r>
      <w:r>
        <w:rPr>
          <w:rStyle w:val="FootnoteReference"/>
        </w:rPr>
        <w:footnoteReference w:id="12"/>
      </w:r>
    </w:p>
    <w:p w:rsidR="007A7F85" w:rsidRPr="00951F16" w:rsidP="008C2B06">
      <w:pPr>
        <w:keepNext/>
        <w:tabs>
          <w:tab w:val="left" w:pos="1440"/>
        </w:tabs>
        <w:spacing w:before="240" w:line="240" w:lineRule="atLeast"/>
        <w:ind w:left="1440" w:hanging="720"/>
      </w:pPr>
      <w:r>
        <w:t>C</w:t>
      </w:r>
      <w:r>
        <w:t>.</w:t>
      </w:r>
      <w:r w:rsidR="00936A73">
        <w:tab/>
      </w:r>
      <w:r w:rsidRPr="00936A73" w:rsidR="00985913">
        <w:rPr>
          <w:i/>
        </w:rPr>
        <w:t>Equal Protection</w:t>
      </w:r>
    </w:p>
    <w:p w:rsidR="00601311" w:rsidRPr="00C34646" w:rsidP="00985913">
      <w:pPr>
        <w:tabs>
          <w:tab w:val="left" w:pos="1440"/>
        </w:tabs>
        <w:spacing w:line="480" w:lineRule="atLeast"/>
        <w:ind w:firstLine="720"/>
        <w:rPr>
          <w:szCs w:val="26"/>
        </w:rPr>
      </w:pPr>
      <w:r>
        <w:t>C.H. argues that reading the</w:t>
      </w:r>
      <w:r>
        <w:t xml:space="preserve"> statutory schem</w:t>
      </w:r>
      <w:r>
        <w:t xml:space="preserve">e </w:t>
      </w:r>
      <w:r w:rsidR="00A55D74">
        <w:t xml:space="preserve">to allow retention of his </w:t>
      </w:r>
      <w:r>
        <w:t>sample</w:t>
      </w:r>
      <w:r>
        <w:t xml:space="preserve"> </w:t>
      </w:r>
      <w:r w:rsidR="00A55D74">
        <w:t>in</w:t>
      </w:r>
      <w:r>
        <w:t xml:space="preserve"> the databank deprives him</w:t>
      </w:r>
      <w:r>
        <w:t xml:space="preserve"> of equal protection under the state and federal Constitutions.  (U.S. Const., 14th Amend.; Cal. Const., art. I, § 7, subd. (a).)</w:t>
      </w:r>
      <w:r>
        <w:rPr>
          <w:rStyle w:val="FootnoteReference"/>
        </w:rPr>
        <w:footnoteReference w:id="13"/>
      </w:r>
      <w:r>
        <w:t xml:space="preserve">  </w:t>
      </w:r>
      <w:r w:rsidR="00B05716">
        <w:t xml:space="preserve">He contends offenders who commit </w:t>
      </w:r>
      <w:r w:rsidR="00A061FD">
        <w:t xml:space="preserve">future </w:t>
      </w:r>
      <w:r w:rsidR="00B05716">
        <w:t xml:space="preserve">acts reclassified as misdemeanors by Proposition 47 and </w:t>
      </w:r>
      <w:r w:rsidR="00E62BF2">
        <w:t>those who committed the same act</w:t>
      </w:r>
      <w:r w:rsidR="00B86096">
        <w:t>s before</w:t>
      </w:r>
      <w:r w:rsidR="00B05716">
        <w:t xml:space="preserve"> the initiative’s passage must be treated the same with respect to inclusion of samples in the stat</w:t>
      </w:r>
      <w:r w:rsidRPr="00BC5872" w:rsidR="00B05716">
        <w:rPr>
          <w:szCs w:val="26"/>
        </w:rPr>
        <w:t>e’s DNA databank.</w:t>
      </w:r>
    </w:p>
    <w:p w:rsidR="00C07A92" w:rsidP="00CC7CCD">
      <w:pPr>
        <w:tabs>
          <w:tab w:val="left" w:pos="1440"/>
        </w:tabs>
        <w:spacing w:line="480" w:lineRule="atLeast"/>
        <w:ind w:firstLine="720"/>
        <w:rPr>
          <w:szCs w:val="26"/>
        </w:rPr>
      </w:pPr>
      <w:r w:rsidRPr="00C34646">
        <w:rPr>
          <w:szCs w:val="26"/>
        </w:rPr>
        <w:t xml:space="preserve">“ ‘The concept of </w:t>
      </w:r>
      <w:r w:rsidRPr="00C34646">
        <w:rPr>
          <w:rStyle w:val="sssh"/>
          <w:szCs w:val="26"/>
        </w:rPr>
        <w:t>equal protection</w:t>
      </w:r>
      <w:r w:rsidRPr="00C34646">
        <w:rPr>
          <w:szCs w:val="26"/>
        </w:rPr>
        <w:t xml:space="preserve"> recognizes that persons who are </w:t>
      </w:r>
      <w:r w:rsidRPr="00C34646">
        <w:rPr>
          <w:rStyle w:val="sssh"/>
          <w:szCs w:val="26"/>
        </w:rPr>
        <w:t>similarly situated</w:t>
      </w:r>
      <w:r w:rsidR="00850821">
        <w:rPr>
          <w:szCs w:val="26"/>
        </w:rPr>
        <w:t xml:space="preserve"> with respect to a law’</w:t>
      </w:r>
      <w:r w:rsidRPr="00C34646">
        <w:rPr>
          <w:szCs w:val="26"/>
        </w:rPr>
        <w:t>s legitimate purposes m</w:t>
      </w:r>
      <w:r w:rsidRPr="00850821">
        <w:rPr>
          <w:szCs w:val="26"/>
        </w:rPr>
        <w:t>ust be treated equally.’ ”  (</w:t>
      </w:r>
      <w:r w:rsidRPr="00850821">
        <w:rPr>
          <w:i/>
          <w:szCs w:val="26"/>
        </w:rPr>
        <w:t>People v. Valencia</w:t>
      </w:r>
      <w:r w:rsidR="007201E3">
        <w:rPr>
          <w:szCs w:val="26"/>
        </w:rPr>
        <w:t xml:space="preserve">, </w:t>
      </w:r>
      <w:r w:rsidR="007201E3">
        <w:rPr>
          <w:i/>
          <w:szCs w:val="26"/>
        </w:rPr>
        <w:t>supra</w:t>
      </w:r>
      <w:r w:rsidR="007201E3">
        <w:rPr>
          <w:szCs w:val="26"/>
        </w:rPr>
        <w:t>,</w:t>
      </w:r>
      <w:r w:rsidRPr="00850821">
        <w:rPr>
          <w:szCs w:val="26"/>
        </w:rPr>
        <w:t xml:space="preserve"> 3 </w:t>
      </w:r>
      <w:r w:rsidRPr="00850821" w:rsidR="00850821">
        <w:rPr>
          <w:szCs w:val="26"/>
        </w:rPr>
        <w:t xml:space="preserve">Cal.5th </w:t>
      </w:r>
      <w:r w:rsidR="007201E3">
        <w:rPr>
          <w:szCs w:val="26"/>
        </w:rPr>
        <w:t>at p. </w:t>
      </w:r>
      <w:r w:rsidRPr="00850821" w:rsidR="00850821">
        <w:rPr>
          <w:szCs w:val="26"/>
        </w:rPr>
        <w:t>376</w:t>
      </w:r>
      <w:r w:rsidR="00A55D74">
        <w:rPr>
          <w:szCs w:val="26"/>
        </w:rPr>
        <w:t xml:space="preserve">.)  </w:t>
      </w:r>
      <w:r w:rsidRPr="00850821" w:rsidR="00850821">
        <w:rPr>
          <w:szCs w:val="26"/>
        </w:rPr>
        <w:t>I</w:t>
      </w:r>
      <w:r w:rsidR="00850821">
        <w:rPr>
          <w:szCs w:val="26"/>
        </w:rPr>
        <w:t xml:space="preserve">t does not </w:t>
      </w:r>
      <w:r w:rsidR="00A55D74">
        <w:rPr>
          <w:szCs w:val="26"/>
        </w:rPr>
        <w:t>require, however, that d</w:t>
      </w:r>
      <w:r w:rsidRPr="00850821" w:rsidR="00850821">
        <w:rPr>
          <w:rStyle w:val="sssh"/>
          <w:szCs w:val="26"/>
        </w:rPr>
        <w:t xml:space="preserve">ifferent </w:t>
      </w:r>
      <w:r w:rsidR="00A55D74">
        <w:rPr>
          <w:rStyle w:val="sssh"/>
          <w:szCs w:val="26"/>
        </w:rPr>
        <w:t xml:space="preserve">things must be treated as </w:t>
      </w:r>
      <w:r w:rsidR="00A55D74">
        <w:rPr>
          <w:szCs w:val="26"/>
        </w:rPr>
        <w:t>though they a</w:t>
      </w:r>
      <w:r w:rsidRPr="00850821" w:rsidR="00850821">
        <w:rPr>
          <w:szCs w:val="26"/>
        </w:rPr>
        <w:t>re the same.</w:t>
      </w:r>
      <w:r w:rsidR="00850821">
        <w:rPr>
          <w:szCs w:val="26"/>
        </w:rPr>
        <w:t xml:space="preserve">  (</w:t>
      </w:r>
      <w:r w:rsidR="00850821">
        <w:rPr>
          <w:i/>
          <w:szCs w:val="26"/>
        </w:rPr>
        <w:t>Briggs v. Brown</w:t>
      </w:r>
      <w:r w:rsidR="00850821">
        <w:rPr>
          <w:szCs w:val="26"/>
        </w:rPr>
        <w:t xml:space="preserve"> (2017) 3 Cal.5th 808, 842.)</w:t>
      </w:r>
      <w:r w:rsidR="001A732F">
        <w:rPr>
          <w:szCs w:val="26"/>
        </w:rPr>
        <w:t xml:space="preserve">  Drawing on</w:t>
      </w:r>
      <w:r w:rsidR="00850821">
        <w:rPr>
          <w:szCs w:val="26"/>
        </w:rPr>
        <w:t xml:space="preserve"> these </w:t>
      </w:r>
      <w:r w:rsidR="001A732F">
        <w:rPr>
          <w:szCs w:val="26"/>
        </w:rPr>
        <w:t xml:space="preserve">two </w:t>
      </w:r>
      <w:r w:rsidR="00850821">
        <w:rPr>
          <w:szCs w:val="26"/>
        </w:rPr>
        <w:t xml:space="preserve">principles, we have </w:t>
      </w:r>
      <w:r w:rsidR="00427CD9">
        <w:rPr>
          <w:szCs w:val="26"/>
        </w:rPr>
        <w:t>noted that a meritorious equal protection claim</w:t>
      </w:r>
      <w:r w:rsidR="008B53A7">
        <w:rPr>
          <w:szCs w:val="26"/>
        </w:rPr>
        <w:t xml:space="preserve"> must demonstrate </w:t>
      </w:r>
      <w:r w:rsidR="00850821">
        <w:rPr>
          <w:szCs w:val="26"/>
        </w:rPr>
        <w:t>“ ‘ “</w:t>
      </w:r>
      <w:r w:rsidRPr="00BC5872" w:rsidR="00850821">
        <w:rPr>
          <w:szCs w:val="26"/>
        </w:rPr>
        <w:t xml:space="preserve">that the state has adopted a classification that affects two or more </w:t>
      </w:r>
      <w:r w:rsidRPr="00BC5872" w:rsidR="00850821">
        <w:rPr>
          <w:i/>
          <w:iCs/>
          <w:szCs w:val="26"/>
        </w:rPr>
        <w:t>similarly situated</w:t>
      </w:r>
      <w:r w:rsidRPr="00BC5872" w:rsidR="00850821">
        <w:rPr>
          <w:szCs w:val="26"/>
        </w:rPr>
        <w:t xml:space="preserve"> </w:t>
      </w:r>
      <w:r w:rsidR="00684739">
        <w:rPr>
          <w:szCs w:val="26"/>
        </w:rPr>
        <w:t>groups in an unequal manner.</w:t>
      </w:r>
      <w:r w:rsidR="00850821">
        <w:rPr>
          <w:szCs w:val="26"/>
        </w:rPr>
        <w:t>” ’ ”  (</w:t>
      </w:r>
      <w:r w:rsidR="00850821">
        <w:rPr>
          <w:i/>
          <w:szCs w:val="26"/>
        </w:rPr>
        <w:t>People v. Morales</w:t>
      </w:r>
      <w:r w:rsidR="00850821">
        <w:rPr>
          <w:szCs w:val="26"/>
        </w:rPr>
        <w:t xml:space="preserve"> (2016) 63 </w:t>
      </w:r>
      <w:r w:rsidRPr="00BC5872" w:rsidR="00850821">
        <w:rPr>
          <w:szCs w:val="26"/>
        </w:rPr>
        <w:t xml:space="preserve">Cal.4th </w:t>
      </w:r>
      <w:r w:rsidR="00850821">
        <w:rPr>
          <w:szCs w:val="26"/>
        </w:rPr>
        <w:t>399, 408.)</w:t>
      </w:r>
      <w:r w:rsidR="00CC7CCD">
        <w:rPr>
          <w:szCs w:val="26"/>
        </w:rPr>
        <w:t xml:space="preserve">  </w:t>
      </w:r>
      <w:r w:rsidR="0077794A">
        <w:rPr>
          <w:szCs w:val="26"/>
        </w:rPr>
        <w:t>“Similarly situated” in this context means that the compared groups are “ ‘similarly situated for purposes of the law challenged.’ ”  (</w:t>
      </w:r>
      <w:r w:rsidR="0077794A">
        <w:rPr>
          <w:i/>
          <w:szCs w:val="26"/>
        </w:rPr>
        <w:t>Cooley v. Superior Court</w:t>
      </w:r>
      <w:r w:rsidR="0077794A">
        <w:rPr>
          <w:szCs w:val="26"/>
        </w:rPr>
        <w:t xml:space="preserve"> (2002) 29 </w:t>
      </w:r>
      <w:r w:rsidRPr="0077794A" w:rsidR="0077794A">
        <w:rPr>
          <w:szCs w:val="26"/>
        </w:rPr>
        <w:t xml:space="preserve">Cal.4th </w:t>
      </w:r>
      <w:r>
        <w:rPr>
          <w:szCs w:val="26"/>
        </w:rPr>
        <w:t xml:space="preserve">228, 253.)  </w:t>
      </w:r>
      <w:r w:rsidR="0077794A">
        <w:rPr>
          <w:szCs w:val="26"/>
        </w:rPr>
        <w:t>C.H.</w:t>
      </w:r>
      <w:r>
        <w:rPr>
          <w:szCs w:val="26"/>
        </w:rPr>
        <w:t xml:space="preserve"> contends those who committed offenses subject to Proposition 47 reclassification before the initiative and those who committed the same offenses after are sufficiently similarly situated to warrant application of equal protection principles.  We assume</w:t>
      </w:r>
      <w:r w:rsidR="005A185C">
        <w:rPr>
          <w:szCs w:val="26"/>
        </w:rPr>
        <w:t>, without deciding, that</w:t>
      </w:r>
      <w:r>
        <w:rPr>
          <w:szCs w:val="26"/>
        </w:rPr>
        <w:t xml:space="preserve"> this is so.</w:t>
      </w:r>
    </w:p>
    <w:p w:rsidR="00C07A92" w:rsidP="00D07C20">
      <w:pPr>
        <w:tabs>
          <w:tab w:val="left" w:pos="1440"/>
        </w:tabs>
        <w:spacing w:line="480" w:lineRule="atLeast"/>
        <w:ind w:firstLine="720"/>
        <w:rPr>
          <w:szCs w:val="26"/>
        </w:rPr>
      </w:pPr>
      <w:r>
        <w:rPr>
          <w:szCs w:val="26"/>
        </w:rPr>
        <w:t>C.H</w:t>
      </w:r>
      <w:r w:rsidR="005A185C">
        <w:rPr>
          <w:szCs w:val="26"/>
        </w:rPr>
        <w:t>. presents no argument that a</w:t>
      </w:r>
      <w:r>
        <w:rPr>
          <w:szCs w:val="26"/>
        </w:rPr>
        <w:t xml:space="preserve"> </w:t>
      </w:r>
      <w:r>
        <w:rPr>
          <w:szCs w:val="26"/>
        </w:rPr>
        <w:t xml:space="preserve">distinction </w:t>
      </w:r>
      <w:r>
        <w:rPr>
          <w:szCs w:val="26"/>
        </w:rPr>
        <w:t xml:space="preserve">between those who committed offenses before </w:t>
      </w:r>
      <w:r w:rsidR="005A185C">
        <w:rPr>
          <w:szCs w:val="26"/>
        </w:rPr>
        <w:t>and after November 2014</w:t>
      </w:r>
      <w:r w:rsidR="00F03C48">
        <w:rPr>
          <w:szCs w:val="26"/>
        </w:rPr>
        <w:t xml:space="preserve"> </w:t>
      </w:r>
      <w:r>
        <w:rPr>
          <w:szCs w:val="26"/>
        </w:rPr>
        <w:t>implicates a suspect classification or fundamental right</w:t>
      </w:r>
      <w:r w:rsidR="005A185C">
        <w:rPr>
          <w:szCs w:val="26"/>
        </w:rPr>
        <w:t>.  C</w:t>
      </w:r>
      <w:r w:rsidR="005156F4">
        <w:rPr>
          <w:szCs w:val="26"/>
        </w:rPr>
        <w:t>ounsel acknowledged at oral argument that no such argument had been preserved</w:t>
      </w:r>
      <w:r>
        <w:rPr>
          <w:szCs w:val="26"/>
        </w:rPr>
        <w:t xml:space="preserve">.  In the absence of </w:t>
      </w:r>
      <w:r w:rsidR="00495C46">
        <w:rPr>
          <w:szCs w:val="26"/>
        </w:rPr>
        <w:t xml:space="preserve">any demonstration of </w:t>
      </w:r>
      <w:r w:rsidR="005156F4">
        <w:rPr>
          <w:szCs w:val="26"/>
        </w:rPr>
        <w:t xml:space="preserve">a suspect classification or </w:t>
      </w:r>
      <w:r w:rsidR="00F03C48">
        <w:rPr>
          <w:szCs w:val="26"/>
        </w:rPr>
        <w:t xml:space="preserve">a distinction </w:t>
      </w:r>
      <w:r w:rsidR="00495C46">
        <w:rPr>
          <w:szCs w:val="26"/>
        </w:rPr>
        <w:t xml:space="preserve">that </w:t>
      </w:r>
      <w:r w:rsidR="00F03C48">
        <w:rPr>
          <w:szCs w:val="26"/>
        </w:rPr>
        <w:t xml:space="preserve">impacts </w:t>
      </w:r>
      <w:r w:rsidR="005156F4">
        <w:rPr>
          <w:szCs w:val="26"/>
        </w:rPr>
        <w:t>a fundamental right</w:t>
      </w:r>
      <w:r w:rsidR="002F3123">
        <w:rPr>
          <w:szCs w:val="26"/>
        </w:rPr>
        <w:t xml:space="preserve">, </w:t>
      </w:r>
      <w:r w:rsidR="006719F1">
        <w:rPr>
          <w:szCs w:val="26"/>
        </w:rPr>
        <w:t>the challenged disparity in treatment</w:t>
      </w:r>
      <w:r>
        <w:rPr>
          <w:szCs w:val="26"/>
        </w:rPr>
        <w:t xml:space="preserve"> </w:t>
      </w:r>
      <w:r w:rsidR="002F3123">
        <w:rPr>
          <w:szCs w:val="26"/>
        </w:rPr>
        <w:t xml:space="preserve">need only </w:t>
      </w:r>
      <w:r w:rsidR="00561914">
        <w:rPr>
          <w:szCs w:val="26"/>
        </w:rPr>
        <w:t>survive rational basis scrutiny</w:t>
      </w:r>
      <w:r w:rsidR="002F3123">
        <w:rPr>
          <w:szCs w:val="26"/>
        </w:rPr>
        <w:t>.</w:t>
      </w:r>
      <w:r w:rsidR="006E4F20">
        <w:rPr>
          <w:szCs w:val="26"/>
        </w:rPr>
        <w:t xml:space="preserve">  (</w:t>
      </w:r>
      <w:r w:rsidR="006E4F20">
        <w:rPr>
          <w:i/>
          <w:szCs w:val="26"/>
        </w:rPr>
        <w:t>Johnson v. Department of Justice</w:t>
      </w:r>
      <w:r w:rsidR="007201E3">
        <w:rPr>
          <w:szCs w:val="26"/>
        </w:rPr>
        <w:t xml:space="preserve">, </w:t>
      </w:r>
      <w:r w:rsidR="007201E3">
        <w:rPr>
          <w:i/>
          <w:szCs w:val="26"/>
        </w:rPr>
        <w:t>supra</w:t>
      </w:r>
      <w:r w:rsidR="007201E3">
        <w:rPr>
          <w:szCs w:val="26"/>
        </w:rPr>
        <w:t>,</w:t>
      </w:r>
      <w:r w:rsidR="006E4F20">
        <w:rPr>
          <w:szCs w:val="26"/>
        </w:rPr>
        <w:t xml:space="preserve"> 60 </w:t>
      </w:r>
      <w:r w:rsidRPr="006E4F20" w:rsidR="006E4F20">
        <w:rPr>
          <w:szCs w:val="26"/>
        </w:rPr>
        <w:t xml:space="preserve">Cal.4th </w:t>
      </w:r>
      <w:r w:rsidR="007201E3">
        <w:rPr>
          <w:szCs w:val="26"/>
        </w:rPr>
        <w:t>at p. </w:t>
      </w:r>
      <w:r w:rsidR="006E4F20">
        <w:rPr>
          <w:szCs w:val="26"/>
        </w:rPr>
        <w:t>881.)  Any reasonably conceivable basi</w:t>
      </w:r>
      <w:r w:rsidR="006719F1">
        <w:rPr>
          <w:szCs w:val="26"/>
        </w:rPr>
        <w:t>s for the disparity</w:t>
      </w:r>
      <w:r w:rsidR="00472C8A">
        <w:rPr>
          <w:szCs w:val="26"/>
        </w:rPr>
        <w:t xml:space="preserve"> </w:t>
      </w:r>
      <w:r w:rsidR="005A185C">
        <w:rPr>
          <w:szCs w:val="26"/>
        </w:rPr>
        <w:t xml:space="preserve">that is </w:t>
      </w:r>
      <w:r w:rsidR="00472C8A">
        <w:rPr>
          <w:szCs w:val="26"/>
        </w:rPr>
        <w:t>rooted in a legitimate government purpose</w:t>
      </w:r>
      <w:r w:rsidR="006E4F20">
        <w:rPr>
          <w:szCs w:val="26"/>
        </w:rPr>
        <w:t>, whether or not expressly ar</w:t>
      </w:r>
      <w:r w:rsidR="00483D2F">
        <w:rPr>
          <w:szCs w:val="26"/>
        </w:rPr>
        <w:t xml:space="preserve">ticulated by </w:t>
      </w:r>
      <w:r w:rsidR="00472C8A">
        <w:rPr>
          <w:szCs w:val="26"/>
        </w:rPr>
        <w:t xml:space="preserve">the </w:t>
      </w:r>
      <w:r w:rsidR="006E4F20">
        <w:rPr>
          <w:szCs w:val="26"/>
        </w:rPr>
        <w:t xml:space="preserve">voters, </w:t>
      </w:r>
      <w:r w:rsidR="005A185C">
        <w:rPr>
          <w:szCs w:val="26"/>
        </w:rPr>
        <w:t>is</w:t>
      </w:r>
      <w:r w:rsidR="006E4F20">
        <w:rPr>
          <w:szCs w:val="26"/>
        </w:rPr>
        <w:t xml:space="preserve"> suffic</w:t>
      </w:r>
      <w:r w:rsidR="005A185C">
        <w:rPr>
          <w:szCs w:val="26"/>
        </w:rPr>
        <w:t>i</w:t>
      </w:r>
      <w:r w:rsidR="006E4F20">
        <w:rPr>
          <w:szCs w:val="26"/>
        </w:rPr>
        <w:t>e</w:t>
      </w:r>
      <w:r w:rsidR="005A185C">
        <w:rPr>
          <w:szCs w:val="26"/>
        </w:rPr>
        <w:t>nt</w:t>
      </w:r>
      <w:r w:rsidR="006E4F20">
        <w:rPr>
          <w:szCs w:val="26"/>
        </w:rPr>
        <w:t>.  (</w:t>
      </w:r>
      <w:r w:rsidR="00E63224">
        <w:rPr>
          <w:szCs w:val="26"/>
        </w:rPr>
        <w:t xml:space="preserve">See </w:t>
      </w:r>
      <w:r w:rsidR="006E4F20">
        <w:rPr>
          <w:i/>
          <w:szCs w:val="26"/>
        </w:rPr>
        <w:t>People v. Turnage</w:t>
      </w:r>
      <w:r w:rsidR="006E4F20">
        <w:rPr>
          <w:szCs w:val="26"/>
        </w:rPr>
        <w:t xml:space="preserve"> (2012) 55 </w:t>
      </w:r>
      <w:r w:rsidRPr="006E4F20" w:rsidR="006E4F20">
        <w:rPr>
          <w:szCs w:val="26"/>
        </w:rPr>
        <w:t xml:space="preserve">Cal.4th </w:t>
      </w:r>
      <w:r w:rsidR="00F03C48">
        <w:rPr>
          <w:szCs w:val="26"/>
        </w:rPr>
        <w:t>62, 74–75.)</w:t>
      </w:r>
    </w:p>
    <w:p w:rsidR="009A3BA1" w:rsidP="00D07C20">
      <w:pPr>
        <w:tabs>
          <w:tab w:val="left" w:pos="1440"/>
        </w:tabs>
        <w:spacing w:line="480" w:lineRule="atLeast"/>
        <w:ind w:firstLine="720"/>
        <w:rPr>
          <w:szCs w:val="26"/>
        </w:rPr>
      </w:pPr>
      <w:r>
        <w:rPr>
          <w:szCs w:val="26"/>
        </w:rPr>
        <w:t xml:space="preserve">Here, the voters rationally could differentiate between </w:t>
      </w:r>
      <w:r w:rsidR="00C07A92">
        <w:rPr>
          <w:szCs w:val="26"/>
        </w:rPr>
        <w:t>those who have submitted samples and those w</w:t>
      </w:r>
      <w:r>
        <w:rPr>
          <w:szCs w:val="26"/>
        </w:rPr>
        <w:t>ho have not based on cost considerations</w:t>
      </w:r>
      <w:r w:rsidR="00C07A92">
        <w:rPr>
          <w:szCs w:val="26"/>
        </w:rPr>
        <w:t xml:space="preserve">.  </w:t>
      </w:r>
      <w:r w:rsidR="00AA644D">
        <w:rPr>
          <w:szCs w:val="26"/>
        </w:rPr>
        <w:t xml:space="preserve">(See </w:t>
      </w:r>
      <w:r w:rsidR="00AA644D">
        <w:rPr>
          <w:i/>
          <w:szCs w:val="26"/>
        </w:rPr>
        <w:t>People v. Chatman</w:t>
      </w:r>
      <w:r w:rsidR="00AA644D">
        <w:rPr>
          <w:szCs w:val="26"/>
        </w:rPr>
        <w:t xml:space="preserve"> (2018) 4 Cal.5th 277, 290 [“Preserving the government’s financial integrity and resources is a legitimate state interest.”].)  </w:t>
      </w:r>
      <w:r>
        <w:rPr>
          <w:szCs w:val="26"/>
        </w:rPr>
        <w:t>They could conclude some crimes a</w:t>
      </w:r>
      <w:r w:rsidR="00396784">
        <w:rPr>
          <w:szCs w:val="26"/>
        </w:rPr>
        <w:t>re</w:t>
      </w:r>
      <w:r w:rsidR="002F3123">
        <w:rPr>
          <w:szCs w:val="26"/>
        </w:rPr>
        <w:t xml:space="preserve"> no longer serious enough to justify the additiona</w:t>
      </w:r>
      <w:r w:rsidR="00765CD6">
        <w:rPr>
          <w:szCs w:val="26"/>
        </w:rPr>
        <w:t>l cost</w:t>
      </w:r>
      <w:r w:rsidR="00396784">
        <w:rPr>
          <w:szCs w:val="26"/>
        </w:rPr>
        <w:t>s</w:t>
      </w:r>
      <w:r w:rsidR="00765CD6">
        <w:rPr>
          <w:szCs w:val="26"/>
        </w:rPr>
        <w:t xml:space="preserve"> of obtaining samples.</w:t>
      </w:r>
      <w:r w:rsidR="002F3123">
        <w:rPr>
          <w:szCs w:val="26"/>
        </w:rPr>
        <w:t xml:space="preserve"> </w:t>
      </w:r>
      <w:r w:rsidR="00765CD6">
        <w:rPr>
          <w:szCs w:val="26"/>
        </w:rPr>
        <w:t xml:space="preserve"> Y</w:t>
      </w:r>
      <w:r w:rsidR="002F3123">
        <w:rPr>
          <w:szCs w:val="26"/>
        </w:rPr>
        <w:t xml:space="preserve">et </w:t>
      </w:r>
      <w:r>
        <w:rPr>
          <w:szCs w:val="26"/>
        </w:rPr>
        <w:t xml:space="preserve">they could also view </w:t>
      </w:r>
      <w:r w:rsidR="002F3123">
        <w:rPr>
          <w:szCs w:val="26"/>
        </w:rPr>
        <w:t>the risk of</w:t>
      </w:r>
      <w:r w:rsidR="005A185C">
        <w:rPr>
          <w:szCs w:val="26"/>
        </w:rPr>
        <w:t xml:space="preserve"> recidivism from those who </w:t>
      </w:r>
      <w:r w:rsidR="002F3123">
        <w:rPr>
          <w:szCs w:val="26"/>
        </w:rPr>
        <w:t xml:space="preserve">committed similar crimes </w:t>
      </w:r>
      <w:r w:rsidR="00E63224">
        <w:rPr>
          <w:szCs w:val="26"/>
        </w:rPr>
        <w:t>when they</w:t>
      </w:r>
      <w:r w:rsidR="005A185C">
        <w:rPr>
          <w:szCs w:val="26"/>
        </w:rPr>
        <w:t xml:space="preserve"> were felonies</w:t>
      </w:r>
      <w:r w:rsidR="002F3123">
        <w:rPr>
          <w:szCs w:val="26"/>
        </w:rPr>
        <w:t xml:space="preserve"> </w:t>
      </w:r>
      <w:r>
        <w:rPr>
          <w:szCs w:val="26"/>
        </w:rPr>
        <w:t xml:space="preserve">as not </w:t>
      </w:r>
      <w:r w:rsidR="00E322A1">
        <w:rPr>
          <w:szCs w:val="26"/>
        </w:rPr>
        <w:t xml:space="preserve">slight </w:t>
      </w:r>
      <w:r>
        <w:rPr>
          <w:szCs w:val="26"/>
        </w:rPr>
        <w:t xml:space="preserve">enough </w:t>
      </w:r>
      <w:r w:rsidR="00E322A1">
        <w:rPr>
          <w:szCs w:val="26"/>
        </w:rPr>
        <w:t>to justify</w:t>
      </w:r>
      <w:r w:rsidR="002F3123">
        <w:rPr>
          <w:szCs w:val="26"/>
        </w:rPr>
        <w:t xml:space="preserve"> the additional </w:t>
      </w:r>
      <w:r w:rsidR="00561914">
        <w:rPr>
          <w:szCs w:val="26"/>
        </w:rPr>
        <w:t>cost</w:t>
      </w:r>
      <w:r w:rsidR="00396784">
        <w:rPr>
          <w:szCs w:val="26"/>
        </w:rPr>
        <w:t>s</w:t>
      </w:r>
      <w:r w:rsidR="002F3123">
        <w:rPr>
          <w:szCs w:val="26"/>
        </w:rPr>
        <w:t xml:space="preserve"> of expunging samples already obtained</w:t>
      </w:r>
      <w:r w:rsidR="005A185C">
        <w:rPr>
          <w:szCs w:val="26"/>
        </w:rPr>
        <w:t>.  Such</w:t>
      </w:r>
      <w:r>
        <w:rPr>
          <w:szCs w:val="26"/>
        </w:rPr>
        <w:t xml:space="preserve"> </w:t>
      </w:r>
      <w:r w:rsidR="005A185C">
        <w:rPr>
          <w:szCs w:val="26"/>
        </w:rPr>
        <w:t xml:space="preserve">expenditures </w:t>
      </w:r>
      <w:r w:rsidR="00396784">
        <w:rPr>
          <w:szCs w:val="26"/>
        </w:rPr>
        <w:t>would diminish</w:t>
      </w:r>
      <w:r>
        <w:rPr>
          <w:szCs w:val="26"/>
        </w:rPr>
        <w:t xml:space="preserve"> the savings </w:t>
      </w:r>
      <w:r w:rsidR="005A185C">
        <w:rPr>
          <w:szCs w:val="26"/>
        </w:rPr>
        <w:t xml:space="preserve">derived </w:t>
      </w:r>
      <w:r>
        <w:rPr>
          <w:szCs w:val="26"/>
        </w:rPr>
        <w:t xml:space="preserve">from other portions of the initiative and the amounts available to pursue the initiative’s ends.  (See </w:t>
      </w:r>
      <w:r>
        <w:t>Prop. 47</w:t>
      </w:r>
      <w:r w:rsidR="00D30807">
        <w:t xml:space="preserve"> Voter Guide, </w:t>
      </w:r>
      <w:r w:rsidR="00D30807">
        <w:rPr>
          <w:i/>
        </w:rPr>
        <w:t>supra</w:t>
      </w:r>
      <w:r w:rsidR="00D30807">
        <w:t>, text of Prop. 47</w:t>
      </w:r>
      <w:r>
        <w:t>, § 4</w:t>
      </w:r>
      <w:r w:rsidR="00D30807">
        <w:t>, p. 70</w:t>
      </w:r>
      <w:r>
        <w:t xml:space="preserve"> [creating </w:t>
      </w:r>
      <w:r w:rsidR="00396784">
        <w:t>the “ ‘Safe Neighborhoods and Schools Fund’ ”]; Gov. Code, § 7599.1, subd. (a) [size of the Fund dependent on a calculation of “the savings that accrued to the state from the implementation of” the initiative]</w:t>
      </w:r>
      <w:r>
        <w:t>.)</w:t>
      </w:r>
      <w:r w:rsidR="00A3221E">
        <w:rPr>
          <w:szCs w:val="26"/>
        </w:rPr>
        <w:t xml:space="preserve">  C.H. </w:t>
      </w:r>
      <w:r w:rsidR="006719F1">
        <w:rPr>
          <w:szCs w:val="26"/>
        </w:rPr>
        <w:t xml:space="preserve">bears the </w:t>
      </w:r>
      <w:r w:rsidR="00A3221E">
        <w:rPr>
          <w:szCs w:val="26"/>
        </w:rPr>
        <w:t>burden of negating every plausible grou</w:t>
      </w:r>
      <w:r w:rsidR="006719F1">
        <w:rPr>
          <w:szCs w:val="26"/>
        </w:rPr>
        <w:t>nd for the contest</w:t>
      </w:r>
      <w:r w:rsidR="00A3221E">
        <w:rPr>
          <w:szCs w:val="26"/>
        </w:rPr>
        <w:t>e</w:t>
      </w:r>
      <w:r w:rsidR="00561914">
        <w:rPr>
          <w:szCs w:val="26"/>
        </w:rPr>
        <w:t>d</w:t>
      </w:r>
      <w:r w:rsidR="00A3221E">
        <w:rPr>
          <w:szCs w:val="26"/>
        </w:rPr>
        <w:t xml:space="preserve"> difference in treatment</w:t>
      </w:r>
      <w:r w:rsidR="006719F1">
        <w:rPr>
          <w:szCs w:val="26"/>
        </w:rPr>
        <w:t>.  (S</w:t>
      </w:r>
      <w:r w:rsidR="00A3221E">
        <w:rPr>
          <w:szCs w:val="26"/>
        </w:rPr>
        <w:t xml:space="preserve">ee </w:t>
      </w:r>
      <w:r w:rsidR="00396784">
        <w:rPr>
          <w:i/>
          <w:szCs w:val="26"/>
        </w:rPr>
        <w:t>People v. Turnage</w:t>
      </w:r>
      <w:r w:rsidR="00396784">
        <w:rPr>
          <w:szCs w:val="26"/>
        </w:rPr>
        <w:t xml:space="preserve">, </w:t>
      </w:r>
      <w:r w:rsidR="00396784">
        <w:rPr>
          <w:i/>
          <w:szCs w:val="26"/>
        </w:rPr>
        <w:t>supra</w:t>
      </w:r>
      <w:r w:rsidR="00396784">
        <w:rPr>
          <w:szCs w:val="26"/>
        </w:rPr>
        <w:t>,</w:t>
      </w:r>
      <w:r w:rsidR="006719F1">
        <w:rPr>
          <w:szCs w:val="26"/>
        </w:rPr>
        <w:t xml:space="preserve"> </w:t>
      </w:r>
      <w:r w:rsidR="00D440FC">
        <w:rPr>
          <w:szCs w:val="26"/>
        </w:rPr>
        <w:t xml:space="preserve">55 </w:t>
      </w:r>
      <w:r w:rsidRPr="00D440FC" w:rsidR="00D440FC">
        <w:rPr>
          <w:szCs w:val="26"/>
        </w:rPr>
        <w:t xml:space="preserve">Cal.4th </w:t>
      </w:r>
      <w:r w:rsidR="006719F1">
        <w:rPr>
          <w:szCs w:val="26"/>
        </w:rPr>
        <w:t>at p. 75.</w:t>
      </w:r>
      <w:r w:rsidR="00A3221E">
        <w:rPr>
          <w:szCs w:val="26"/>
        </w:rPr>
        <w:t>)</w:t>
      </w:r>
      <w:r w:rsidR="006719F1">
        <w:rPr>
          <w:szCs w:val="26"/>
        </w:rPr>
        <w:t xml:space="preserve">  Because he </w:t>
      </w:r>
      <w:r w:rsidR="00A061FD">
        <w:rPr>
          <w:szCs w:val="26"/>
        </w:rPr>
        <w:t>cannot</w:t>
      </w:r>
      <w:r w:rsidR="006719F1">
        <w:rPr>
          <w:szCs w:val="26"/>
        </w:rPr>
        <w:t xml:space="preserve">, his constitutional challenge </w:t>
      </w:r>
      <w:r w:rsidR="001A732F">
        <w:rPr>
          <w:szCs w:val="26"/>
        </w:rPr>
        <w:t>must fail</w:t>
      </w:r>
      <w:r w:rsidR="006719F1">
        <w:rPr>
          <w:szCs w:val="26"/>
        </w:rPr>
        <w:t>.</w:t>
      </w:r>
    </w:p>
    <w:p w:rsidR="00D07C20" w:rsidRPr="00794918" w:rsidP="00240873">
      <w:pPr>
        <w:pStyle w:val="Heading1"/>
        <w:rPr>
          <w:b w:val="0"/>
          <w:smallCaps w:val="0"/>
        </w:rPr>
      </w:pPr>
      <w:r>
        <w:rPr>
          <w:b w:val="0"/>
        </w:rPr>
        <w:t xml:space="preserve">III.  </w:t>
      </w:r>
      <w:r w:rsidRPr="00794918" w:rsidR="00794918">
        <w:rPr>
          <w:b w:val="0"/>
          <w:smallCaps w:val="0"/>
        </w:rPr>
        <w:t>DISPOSITION</w:t>
      </w:r>
    </w:p>
    <w:p w:rsidR="00D07C20" w:rsidP="00240873">
      <w:pPr>
        <w:keepNext/>
        <w:tabs>
          <w:tab w:val="left" w:pos="1440"/>
        </w:tabs>
        <w:spacing w:line="480" w:lineRule="atLeast"/>
        <w:ind w:firstLine="720"/>
      </w:pPr>
      <w:r>
        <w:t>W</w:t>
      </w:r>
      <w:r>
        <w:t>e affirm the judgment</w:t>
      </w:r>
      <w:r w:rsidR="008C2B06">
        <w:t>s</w:t>
      </w:r>
      <w:r>
        <w:t xml:space="preserve"> of the Court</w:t>
      </w:r>
      <w:r w:rsidR="008C2B06">
        <w:t>s</w:t>
      </w:r>
      <w:r>
        <w:t xml:space="preserve"> of Appeal.</w:t>
      </w:r>
    </w:p>
    <w:p w:rsidR="00D07C20" w:rsidRPr="00794918" w:rsidP="00240873">
      <w:pPr>
        <w:keepNext/>
        <w:tabs>
          <w:tab w:val="left" w:pos="1440"/>
        </w:tabs>
        <w:spacing w:line="480" w:lineRule="atLeast"/>
        <w:ind w:firstLine="720"/>
      </w:pPr>
      <w:r>
        <w:rPr>
          <w:b/>
          <w:bCs/>
          <w:smallCaps/>
        </w:rPr>
        <w:tab/>
      </w:r>
      <w:r>
        <w:rPr>
          <w:b/>
          <w:bCs/>
          <w:smallCaps/>
        </w:rPr>
        <w:tab/>
      </w:r>
      <w:r>
        <w:rPr>
          <w:b/>
          <w:bCs/>
          <w:smallCaps/>
        </w:rPr>
        <w:tab/>
      </w:r>
      <w:r>
        <w:rPr>
          <w:b/>
          <w:bCs/>
          <w:smallCaps/>
        </w:rPr>
        <w:tab/>
      </w:r>
      <w:r>
        <w:rPr>
          <w:b/>
          <w:bCs/>
          <w:smallCaps/>
        </w:rPr>
        <w:tab/>
      </w:r>
      <w:r>
        <w:rPr>
          <w:b/>
          <w:bCs/>
          <w:smallCaps/>
        </w:rPr>
        <w:tab/>
      </w:r>
      <w:r w:rsidRPr="00794918" w:rsidR="00794918">
        <w:rPr>
          <w:b/>
          <w:bCs/>
        </w:rPr>
        <w:t>CORRIGAN, J.</w:t>
      </w:r>
    </w:p>
    <w:p w:rsidR="00D07C20" w:rsidP="00240873">
      <w:pPr>
        <w:keepNext/>
        <w:tabs>
          <w:tab w:val="left" w:pos="1440"/>
        </w:tabs>
        <w:spacing w:line="480" w:lineRule="atLeast"/>
      </w:pPr>
    </w:p>
    <w:p w:rsidR="00181193" w:rsidRPr="00181193" w:rsidP="00240873">
      <w:pPr>
        <w:keepNext/>
        <w:tabs>
          <w:tab w:val="left" w:pos="1440"/>
        </w:tabs>
        <w:spacing w:line="480" w:lineRule="atLeast"/>
        <w:rPr>
          <w:b/>
        </w:rPr>
      </w:pPr>
      <w:r w:rsidRPr="00181193">
        <w:rPr>
          <w:b/>
        </w:rPr>
        <w:t>WE CONCUR:</w:t>
      </w:r>
    </w:p>
    <w:p w:rsidR="00181193">
      <w:pPr>
        <w:rPr>
          <w:rFonts w:ascii="Georgia" w:hAnsi="Georgia"/>
          <w:szCs w:val="21"/>
        </w:rPr>
      </w:pPr>
    </w:p>
    <w:p w:rsidR="00FB2E0A" w:rsidP="00FB2E0A">
      <w:pPr>
        <w:rPr>
          <w:b/>
          <w:szCs w:val="26"/>
        </w:rPr>
      </w:pPr>
      <w:r>
        <w:rPr>
          <w:b/>
          <w:szCs w:val="26"/>
        </w:rPr>
        <w:t>CANTIL-SAKAUYE, C. J.</w:t>
      </w:r>
    </w:p>
    <w:p w:rsidR="00FB2E0A" w:rsidP="00FB2E0A">
      <w:pPr>
        <w:rPr>
          <w:b/>
          <w:szCs w:val="26"/>
        </w:rPr>
      </w:pPr>
      <w:r>
        <w:rPr>
          <w:b/>
          <w:szCs w:val="26"/>
        </w:rPr>
        <w:t xml:space="preserve">CHIN, J.  </w:t>
      </w:r>
    </w:p>
    <w:p w:rsidR="00FB2E0A" w:rsidP="00FB2E0A">
      <w:pPr>
        <w:rPr>
          <w:b/>
          <w:szCs w:val="26"/>
        </w:rPr>
      </w:pPr>
      <w:r>
        <w:rPr>
          <w:b/>
          <w:szCs w:val="26"/>
        </w:rPr>
        <w:t xml:space="preserve">LIU, J.  </w:t>
      </w:r>
    </w:p>
    <w:p w:rsidR="00FB2E0A" w:rsidP="00FB2E0A">
      <w:pPr>
        <w:rPr>
          <w:b/>
          <w:szCs w:val="26"/>
        </w:rPr>
      </w:pPr>
      <w:r>
        <w:rPr>
          <w:b/>
          <w:szCs w:val="26"/>
        </w:rPr>
        <w:t>CUÉLLAR, J.</w:t>
      </w:r>
    </w:p>
    <w:p w:rsidR="00181193">
      <w:pPr>
        <w:rPr>
          <w:b/>
        </w:rPr>
      </w:pPr>
      <w:r>
        <w:rPr>
          <w:b/>
        </w:rPr>
        <w:t xml:space="preserve">KRUGER, J.  </w:t>
      </w:r>
    </w:p>
    <w:p w:rsidR="00FB2E0A" w:rsidRPr="00FB2E0A">
      <w:pPr>
        <w:rPr>
          <w:b/>
        </w:rPr>
      </w:pPr>
      <w:r>
        <w:rPr>
          <w:b/>
        </w:rPr>
        <w:t>MURRAY, J.*</w:t>
      </w:r>
    </w:p>
    <w:p w:rsidR="00EE0D16" w:rsidP="00181193">
      <w:pPr>
        <w:tabs>
          <w:tab w:val="right" w:pos="7200"/>
        </w:tabs>
        <w:rPr>
          <w:b/>
          <w:caps/>
        </w:rPr>
      </w:pPr>
      <w:r>
        <w:tab/>
      </w:r>
    </w:p>
    <w:p w:rsidR="00F03C48" w:rsidP="00181193">
      <w:pPr>
        <w:rPr>
          <w:rFonts w:ascii="Georgia" w:hAnsi="Georgia"/>
          <w:szCs w:val="21"/>
        </w:rPr>
      </w:pPr>
    </w:p>
    <w:p w:rsidR="00FB2E0A" w:rsidP="00181193">
      <w:pPr>
        <w:rPr>
          <w:rFonts w:ascii="Georgia" w:hAnsi="Georgia"/>
          <w:szCs w:val="21"/>
        </w:rPr>
      </w:pPr>
    </w:p>
    <w:p w:rsidR="00FB2E0A" w:rsidP="00181193">
      <w:pPr>
        <w:rPr>
          <w:rFonts w:ascii="Georgia" w:hAnsi="Georgia"/>
          <w:szCs w:val="21"/>
        </w:rPr>
      </w:pPr>
    </w:p>
    <w:p w:rsidR="00FB2E0A" w:rsidP="00181193">
      <w:pPr>
        <w:rPr>
          <w:rFonts w:ascii="Georgia" w:hAnsi="Georgia"/>
          <w:szCs w:val="21"/>
        </w:rPr>
      </w:pPr>
    </w:p>
    <w:p w:rsidR="00FB2E0A" w:rsidP="00FB2E0A">
      <w:pPr>
        <w:spacing w:after="240" w:line="480" w:lineRule="atLeast"/>
        <w:rPr>
          <w:sz w:val="22"/>
        </w:rPr>
      </w:pPr>
      <w:r>
        <w:t>_______________________</w:t>
      </w:r>
    </w:p>
    <w:p w:rsidR="003E19D2" w:rsidP="00FB2E0A">
      <w:pPr>
        <w:sectPr w:rsidSect="00A2703A">
          <w:footerReference w:type="default" r:id="rId5"/>
          <w:footerReference w:type="first" r:id="rId6"/>
          <w:pgSz w:w="12240" w:h="15840" w:code="1"/>
          <w:pgMar w:top="1440" w:right="1800" w:bottom="1440" w:left="1800" w:header="720" w:footer="720" w:gutter="0"/>
          <w:cols w:space="720"/>
          <w:titlePg/>
        </w:sectPr>
      </w:pPr>
      <w:r>
        <w:rPr>
          <w:rStyle w:val="FootnoteReference"/>
        </w:rPr>
        <w:t>*</w:t>
      </w:r>
      <w:r>
        <w:t>         Associate Justice of the Court of Appeal, Third Appellate District, assigned by the Chief Justice pursuant to article VI, section 6 of the California Constitution.</w:t>
      </w:r>
    </w:p>
    <w:p w:rsidR="003E19D2" w:rsidRPr="003E19D2" w:rsidP="003E19D2"/>
    <w:p w:rsidR="003E19D2" w:rsidRPr="003E19D2" w:rsidP="003E19D2"/>
    <w:p w:rsidR="003E19D2" w:rsidRPr="003E19D2" w:rsidP="003E19D2"/>
    <w:p w:rsidR="003E19D2" w:rsidRPr="003E19D2" w:rsidP="003E19D2">
      <w:pPr>
        <w:rPr>
          <w:b/>
          <w:caps/>
        </w:rPr>
      </w:pPr>
    </w:p>
    <w:p w:rsidR="003E19D2" w:rsidRPr="003E19D2" w:rsidP="003E19D2">
      <w:pPr>
        <w:rPr>
          <w:i/>
        </w:rPr>
      </w:pPr>
    </w:p>
    <w:p w:rsidR="003E19D2" w:rsidRPr="003E19D2" w:rsidP="003E19D2">
      <w:pPr>
        <w:rPr>
          <w:i/>
        </w:rPr>
      </w:pPr>
    </w:p>
    <w:p w:rsidR="003E19D2" w:rsidRPr="003E19D2" w:rsidP="003E19D2">
      <w:pPr>
        <w:rPr>
          <w:b/>
          <w:caps/>
        </w:rPr>
      </w:pPr>
    </w:p>
    <w:p w:rsidR="003E19D2" w:rsidRPr="003E19D2" w:rsidP="003E19D2">
      <w:pPr>
        <w:rPr>
          <w:i/>
        </w:rPr>
      </w:pPr>
    </w:p>
    <w:p w:rsidR="003E19D2" w:rsidRPr="003E19D2" w:rsidP="003E19D2"/>
    <w:p w:rsidR="003E19D2" w:rsidRPr="003E19D2" w:rsidP="003E19D2">
      <w:pPr>
        <w:rPr>
          <w:b/>
        </w:rPr>
      </w:pPr>
    </w:p>
    <w:p w:rsidR="003E19D2" w:rsidRPr="003E19D2" w:rsidP="003E19D2">
      <w:pPr>
        <w:jc w:val="center"/>
        <w:rPr>
          <w:b/>
          <w:caps/>
        </w:rPr>
      </w:pPr>
      <w:bookmarkStart w:id="10" w:name="opinion"/>
      <w:bookmarkEnd w:id="10"/>
      <w:r w:rsidRPr="003E19D2">
        <w:rPr>
          <w:b/>
          <w:caps/>
        </w:rPr>
        <w:t xml:space="preserve">CONCURRING OPINION BY </w:t>
      </w:r>
      <w:bookmarkStart w:id="11" w:name="justice"/>
      <w:bookmarkEnd w:id="11"/>
      <w:r w:rsidRPr="003E19D2">
        <w:rPr>
          <w:b/>
          <w:caps/>
        </w:rPr>
        <w:t>LIU, J.</w:t>
      </w:r>
    </w:p>
    <w:p w:rsidR="003E19D2" w:rsidRPr="003E19D2" w:rsidP="003E19D2"/>
    <w:p w:rsidR="003E19D2" w:rsidRPr="003E19D2" w:rsidP="003E19D2"/>
    <w:p w:rsidR="003E19D2" w:rsidRPr="003E19D2" w:rsidP="003E19D2">
      <w:pPr>
        <w:spacing w:line="480" w:lineRule="atLeast"/>
        <w:ind w:firstLine="720"/>
      </w:pPr>
      <w:r w:rsidRPr="003E19D2">
        <w:t xml:space="preserve">Our holdings today — that C.B. and C.H. do not qualify for expungement under Penal Code section 299 (maj. opn., </w:t>
      </w:r>
      <w:r w:rsidRPr="003E19D2">
        <w:rPr>
          <w:i/>
        </w:rPr>
        <w:t>ante</w:t>
      </w:r>
      <w:r w:rsidRPr="003E19D2">
        <w:t>, at pp. 6–18) and that there is a rational basis for treating individuals who have already submitted DNA samples differently from those who have not (</w:t>
      </w:r>
      <w:r w:rsidRPr="003E19D2">
        <w:rPr>
          <w:i/>
        </w:rPr>
        <w:t>id.</w:t>
      </w:r>
      <w:r w:rsidRPr="003E19D2">
        <w:t xml:space="preserve"> at pp. 18–20) — are limited to the claims presented in these cases.  As noted, neither C.B. nor C.H. pressed any claim that the state’s retention of his DNA samples implicates a constitutionally protected privacy interest.  (</w:t>
      </w:r>
      <w:r w:rsidRPr="003E19D2">
        <w:rPr>
          <w:i/>
        </w:rPr>
        <w:t>Id.</w:t>
      </w:r>
      <w:r w:rsidRPr="003E19D2">
        <w:t xml:space="preserve"> at pp. 17, 19; see Cal. Const., art. I, § 1; </w:t>
      </w:r>
      <w:r w:rsidRPr="003E19D2">
        <w:rPr>
          <w:i/>
        </w:rPr>
        <w:t>People v. Buza</w:t>
      </w:r>
      <w:r w:rsidRPr="003E19D2">
        <w:t xml:space="preserve"> (2018) 4 Cal.5th 658, 689–690.)  Such a claim may give rise to a cause of action under the California right to privacy (see </w:t>
      </w:r>
      <w:r w:rsidRPr="003E19D2">
        <w:rPr>
          <w:i/>
        </w:rPr>
        <w:t>Hill v. National Collegiate Athletic Assn.</w:t>
      </w:r>
      <w:r w:rsidRPr="003E19D2">
        <w:t xml:space="preserve"> (1994) 7 Cal.4th 1, 35–40) or require a more stringent equal protection analysis (see </w:t>
      </w:r>
      <w:r w:rsidRPr="003E19D2">
        <w:rPr>
          <w:i/>
        </w:rPr>
        <w:t>Serrano v. Priest</w:t>
      </w:r>
      <w:r w:rsidRPr="003E19D2">
        <w:t xml:space="preserve"> (1971) 5 Cal.3d 584, 597) in a future case.</w:t>
      </w:r>
    </w:p>
    <w:p w:rsidR="003E19D2" w:rsidRPr="003E19D2" w:rsidP="003E19D2">
      <w:pPr>
        <w:spacing w:line="480" w:lineRule="atLeast"/>
      </w:pPr>
    </w:p>
    <w:p w:rsidR="003E19D2" w:rsidRPr="003E19D2" w:rsidP="003E19D2">
      <w:pPr>
        <w:spacing w:line="480" w:lineRule="atLeast"/>
        <w:rPr>
          <w:b/>
        </w:rPr>
      </w:pPr>
      <w:r w:rsidRPr="003E19D2">
        <w:tab/>
      </w:r>
      <w:r w:rsidRPr="003E19D2">
        <w:tab/>
      </w:r>
      <w:r w:rsidRPr="003E19D2">
        <w:tab/>
      </w:r>
      <w:r w:rsidRPr="003E19D2">
        <w:tab/>
      </w:r>
      <w:r w:rsidRPr="003E19D2">
        <w:tab/>
      </w:r>
      <w:r w:rsidRPr="003E19D2">
        <w:tab/>
      </w:r>
      <w:r w:rsidRPr="003E19D2">
        <w:tab/>
      </w:r>
      <w:r w:rsidRPr="003E19D2">
        <w:rPr>
          <w:b/>
        </w:rPr>
        <w:t>LIU, J.</w:t>
      </w:r>
    </w:p>
    <w:p w:rsidR="003E19D2" w:rsidP="00FB2E0A">
      <w:pPr>
        <w:rPr>
          <w:rFonts w:ascii="Baskerville Old Face" w:hAnsi="Baskerville Old Face"/>
        </w:rPr>
        <w:sectPr w:rsidSect="003E19D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pPr>
    </w:p>
    <w:p w:rsidR="003E19D2" w:rsidRPr="003E19D2" w:rsidP="003E19D2">
      <w:pPr>
        <w:rPr>
          <w:i/>
          <w:sz w:val="20"/>
        </w:rPr>
      </w:pPr>
      <w:r w:rsidRPr="003E19D2">
        <w:rPr>
          <w:i/>
          <w:sz w:val="20"/>
        </w:rPr>
        <w:t>See next page for addresses and telephone numbers for counsel who argued in Supreme Court.</w:t>
      </w:r>
    </w:p>
    <w:p w:rsidR="003E19D2" w:rsidRPr="003E19D2" w:rsidP="003E19D2">
      <w:pPr>
        <w:rPr>
          <w:i/>
          <w:sz w:val="20"/>
        </w:rPr>
      </w:pPr>
    </w:p>
    <w:p w:rsidR="003E19D2" w:rsidRPr="003E19D2" w:rsidP="003E19D2">
      <w:pPr>
        <w:rPr>
          <w:bCs/>
          <w:i/>
          <w:sz w:val="20"/>
        </w:rPr>
      </w:pPr>
      <w:r w:rsidRPr="003E19D2">
        <w:rPr>
          <w:b/>
          <w:sz w:val="20"/>
        </w:rPr>
        <w:t>Name of Opinion</w:t>
      </w:r>
      <w:r w:rsidRPr="003E19D2">
        <w:rPr>
          <w:sz w:val="20"/>
        </w:rPr>
        <w:t xml:space="preserve"> In re C.B. and In re C.H.</w:t>
      </w:r>
    </w:p>
    <w:p w:rsidR="003E19D2" w:rsidRPr="003E19D2" w:rsidP="003E19D2">
      <w:pPr>
        <w:rPr>
          <w:b/>
          <w:sz w:val="20"/>
        </w:rPr>
      </w:pPr>
      <w:r w:rsidRPr="003E19D2">
        <w:rPr>
          <w:b/>
          <w:sz w:val="20"/>
        </w:rPr>
        <w:t>__________________________________________________________________________________</w:t>
      </w:r>
    </w:p>
    <w:p w:rsidR="003E19D2" w:rsidRPr="003E19D2" w:rsidP="003E19D2">
      <w:pPr>
        <w:rPr>
          <w:b/>
          <w:sz w:val="20"/>
        </w:rPr>
      </w:pPr>
    </w:p>
    <w:p w:rsidR="003E19D2" w:rsidRPr="003E19D2" w:rsidP="003E19D2">
      <w:pPr>
        <w:rPr>
          <w:bCs/>
          <w:sz w:val="20"/>
        </w:rPr>
      </w:pPr>
      <w:r w:rsidRPr="003E19D2">
        <w:rPr>
          <w:b/>
          <w:sz w:val="20"/>
        </w:rPr>
        <w:t>Unpublished Opinion</w:t>
      </w:r>
    </w:p>
    <w:p w:rsidR="003E19D2" w:rsidRPr="003E19D2" w:rsidP="003E19D2">
      <w:pPr>
        <w:rPr>
          <w:sz w:val="20"/>
        </w:rPr>
      </w:pPr>
      <w:r w:rsidRPr="003E19D2">
        <w:rPr>
          <w:b/>
          <w:sz w:val="20"/>
        </w:rPr>
        <w:t>Original Appeal</w:t>
      </w:r>
    </w:p>
    <w:p w:rsidR="003E19D2" w:rsidRPr="003E19D2" w:rsidP="003E19D2">
      <w:pPr>
        <w:rPr>
          <w:b/>
          <w:sz w:val="20"/>
        </w:rPr>
      </w:pPr>
      <w:r w:rsidRPr="003E19D2">
        <w:rPr>
          <w:b/>
          <w:sz w:val="20"/>
        </w:rPr>
        <w:t>Original Proceeding</w:t>
      </w:r>
    </w:p>
    <w:p w:rsidR="003E19D2" w:rsidRPr="003E19D2" w:rsidP="003E19D2">
      <w:pPr>
        <w:rPr>
          <w:sz w:val="20"/>
        </w:rPr>
      </w:pPr>
      <w:r w:rsidRPr="003E19D2">
        <w:rPr>
          <w:b/>
          <w:sz w:val="20"/>
        </w:rPr>
        <w:t>Review Granted</w:t>
      </w:r>
      <w:r w:rsidRPr="003E19D2">
        <w:rPr>
          <w:sz w:val="20"/>
        </w:rPr>
        <w:t xml:space="preserve"> XXX 2 Cal.App.5th 1112 and 2 Cal.App.5th 1139</w:t>
      </w:r>
    </w:p>
    <w:p w:rsidR="003E19D2" w:rsidRPr="003E19D2" w:rsidP="003E19D2">
      <w:pPr>
        <w:rPr>
          <w:b/>
          <w:sz w:val="20"/>
        </w:rPr>
      </w:pPr>
      <w:r w:rsidRPr="003E19D2">
        <w:rPr>
          <w:b/>
          <w:sz w:val="20"/>
        </w:rPr>
        <w:t>Rehearing Granted</w:t>
      </w:r>
    </w:p>
    <w:p w:rsidR="003E19D2" w:rsidRPr="003E19D2" w:rsidP="003E19D2">
      <w:pPr>
        <w:rPr>
          <w:b/>
          <w:sz w:val="20"/>
        </w:rPr>
      </w:pPr>
    </w:p>
    <w:p w:rsidR="003E19D2" w:rsidRPr="003E19D2" w:rsidP="003E19D2">
      <w:pPr>
        <w:rPr>
          <w:b/>
          <w:sz w:val="20"/>
        </w:rPr>
      </w:pPr>
      <w:r w:rsidRPr="003E19D2">
        <w:rPr>
          <w:b/>
          <w:sz w:val="20"/>
        </w:rPr>
        <w:t>__________________________________________________________________________________</w:t>
      </w:r>
    </w:p>
    <w:p w:rsidR="003E19D2" w:rsidRPr="003E19D2" w:rsidP="003E19D2">
      <w:pPr>
        <w:rPr>
          <w:b/>
          <w:sz w:val="20"/>
        </w:rPr>
      </w:pPr>
    </w:p>
    <w:p w:rsidR="003E19D2" w:rsidRPr="003E19D2" w:rsidP="003E19D2">
      <w:pPr>
        <w:rPr>
          <w:bCs/>
          <w:sz w:val="20"/>
        </w:rPr>
      </w:pPr>
      <w:r w:rsidRPr="003E19D2">
        <w:rPr>
          <w:b/>
          <w:sz w:val="20"/>
        </w:rPr>
        <w:t>Opinion No.</w:t>
      </w:r>
      <w:r w:rsidRPr="003E19D2">
        <w:rPr>
          <w:sz w:val="20"/>
        </w:rPr>
        <w:t xml:space="preserve"> S237801 &amp; S237762</w:t>
      </w:r>
    </w:p>
    <w:p w:rsidR="003E19D2" w:rsidRPr="003E19D2" w:rsidP="003E19D2">
      <w:pPr>
        <w:rPr>
          <w:bCs/>
          <w:sz w:val="20"/>
        </w:rPr>
      </w:pPr>
      <w:r w:rsidRPr="003E19D2">
        <w:rPr>
          <w:b/>
          <w:sz w:val="20"/>
        </w:rPr>
        <w:t>Date Filed:</w:t>
      </w:r>
      <w:r w:rsidRPr="003E19D2">
        <w:rPr>
          <w:sz w:val="20"/>
        </w:rPr>
        <w:t xml:space="preserve"> August 30, 2018</w:t>
      </w:r>
    </w:p>
    <w:p w:rsidR="003E19D2" w:rsidRPr="003E19D2" w:rsidP="003E19D2">
      <w:pPr>
        <w:rPr>
          <w:b/>
          <w:sz w:val="20"/>
        </w:rPr>
      </w:pPr>
      <w:r w:rsidRPr="003E19D2">
        <w:rPr>
          <w:b/>
          <w:sz w:val="20"/>
        </w:rPr>
        <w:t>__________________________________________________________________________________</w:t>
      </w:r>
    </w:p>
    <w:p w:rsidR="003E19D2" w:rsidRPr="003E19D2" w:rsidP="003E19D2">
      <w:pPr>
        <w:rPr>
          <w:b/>
          <w:sz w:val="20"/>
        </w:rPr>
      </w:pPr>
    </w:p>
    <w:p w:rsidR="003E19D2" w:rsidRPr="003E19D2" w:rsidP="003E19D2">
      <w:pPr>
        <w:rPr>
          <w:bCs/>
          <w:sz w:val="20"/>
        </w:rPr>
      </w:pPr>
      <w:r w:rsidRPr="003E19D2">
        <w:rPr>
          <w:b/>
          <w:sz w:val="20"/>
        </w:rPr>
        <w:t>Court:</w:t>
      </w:r>
      <w:r w:rsidRPr="003E19D2">
        <w:rPr>
          <w:sz w:val="20"/>
        </w:rPr>
        <w:t xml:space="preserve"> Superior</w:t>
      </w:r>
    </w:p>
    <w:p w:rsidR="003E19D2" w:rsidRPr="003E19D2" w:rsidP="003E19D2">
      <w:pPr>
        <w:rPr>
          <w:bCs/>
          <w:sz w:val="20"/>
        </w:rPr>
      </w:pPr>
      <w:r w:rsidRPr="003E19D2">
        <w:rPr>
          <w:b/>
          <w:sz w:val="20"/>
        </w:rPr>
        <w:t xml:space="preserve">County: </w:t>
      </w:r>
      <w:r w:rsidRPr="003E19D2">
        <w:rPr>
          <w:sz w:val="20"/>
        </w:rPr>
        <w:t>Contra Costa</w:t>
      </w:r>
    </w:p>
    <w:p w:rsidR="003E19D2" w:rsidRPr="003E19D2" w:rsidP="003E19D2">
      <w:pPr>
        <w:ind w:left="720" w:hanging="720"/>
        <w:rPr>
          <w:bCs/>
          <w:sz w:val="20"/>
        </w:rPr>
      </w:pPr>
      <w:r w:rsidRPr="003E19D2">
        <w:rPr>
          <w:b/>
          <w:sz w:val="20"/>
        </w:rPr>
        <w:t>Judge:</w:t>
      </w:r>
      <w:r w:rsidRPr="003E19D2">
        <w:rPr>
          <w:sz w:val="20"/>
        </w:rPr>
        <w:t xml:space="preserve"> Thomas M. Maddock</w:t>
      </w:r>
    </w:p>
    <w:p w:rsidR="003E19D2" w:rsidRPr="003E19D2" w:rsidP="003E19D2">
      <w:pPr>
        <w:rPr>
          <w:b/>
          <w:sz w:val="20"/>
        </w:rPr>
      </w:pPr>
    </w:p>
    <w:p w:rsidR="003E19D2" w:rsidRPr="003E19D2" w:rsidP="003E19D2">
      <w:pPr>
        <w:rPr>
          <w:b/>
          <w:sz w:val="20"/>
        </w:rPr>
      </w:pPr>
      <w:r w:rsidRPr="003E19D2">
        <w:rPr>
          <w:b/>
          <w:sz w:val="20"/>
        </w:rPr>
        <w:t>__________________________________________________________________________________</w:t>
      </w:r>
    </w:p>
    <w:p w:rsidR="003E19D2" w:rsidRPr="003E19D2" w:rsidP="003E19D2">
      <w:pPr>
        <w:rPr>
          <w:b/>
          <w:sz w:val="20"/>
        </w:rPr>
      </w:pPr>
    </w:p>
    <w:p w:rsidR="003E19D2" w:rsidRPr="003E19D2" w:rsidP="003E19D2">
      <w:pPr>
        <w:rPr>
          <w:b/>
          <w:sz w:val="20"/>
        </w:rPr>
      </w:pPr>
      <w:r w:rsidRPr="003E19D2">
        <w:rPr>
          <w:b/>
          <w:sz w:val="20"/>
        </w:rPr>
        <w:t>Counsel:</w:t>
      </w:r>
    </w:p>
    <w:p w:rsidR="003E19D2" w:rsidRPr="003E19D2" w:rsidP="003E19D2">
      <w:pPr>
        <w:rPr>
          <w:b/>
          <w:sz w:val="20"/>
        </w:rPr>
      </w:pPr>
    </w:p>
    <w:p w:rsidR="003E19D2" w:rsidRPr="003E19D2" w:rsidP="003E19D2">
      <w:pPr>
        <w:rPr>
          <w:sz w:val="20"/>
        </w:rPr>
      </w:pPr>
      <w:r w:rsidRPr="003E19D2">
        <w:rPr>
          <w:sz w:val="20"/>
        </w:rPr>
        <w:t>Anne Mania, under appointment by the Supreme Court, for Defendant and Appellant C.B.</w:t>
      </w:r>
    </w:p>
    <w:p w:rsidR="003E19D2" w:rsidRPr="003E19D2" w:rsidP="003E19D2">
      <w:pPr>
        <w:rPr>
          <w:sz w:val="20"/>
        </w:rPr>
      </w:pPr>
    </w:p>
    <w:p w:rsidR="003E19D2" w:rsidRPr="003E19D2" w:rsidP="003E19D2">
      <w:pPr>
        <w:rPr>
          <w:sz w:val="20"/>
        </w:rPr>
      </w:pPr>
      <w:r w:rsidRPr="003E19D2">
        <w:rPr>
          <w:sz w:val="20"/>
        </w:rPr>
        <w:t>Patricia Noel Cooney, under appointment by the Supreme Court, for Defendant and Appellant C.H.</w:t>
      </w:r>
    </w:p>
    <w:p w:rsidR="003E19D2" w:rsidRPr="003E19D2" w:rsidP="003E19D2">
      <w:pPr>
        <w:rPr>
          <w:sz w:val="20"/>
        </w:rPr>
      </w:pPr>
    </w:p>
    <w:p w:rsidR="003E19D2" w:rsidRPr="003E19D2" w:rsidP="003E19D2">
      <w:pPr>
        <w:rPr>
          <w:sz w:val="20"/>
        </w:rPr>
      </w:pPr>
      <w:r w:rsidRPr="003E19D2">
        <w:rPr>
          <w:sz w:val="20"/>
        </w:rPr>
        <w:t>Kamala D. Harris and Xavier Becerra, Attorneys General, Gerald A. Engler Chief Assistant Attorney General, Jeffrey M. Laurence, Assistant Attorney General, Donna M. Provenzano, Aileen Bunney, Laurence K. Sullivan, Eric D. Share and Enid A. Camps, Deputy Attorneys General, for Plaintiff and Respondent in No. S237801.</w:t>
      </w:r>
    </w:p>
    <w:p w:rsidR="003E19D2" w:rsidRPr="003E19D2" w:rsidP="003E19D2">
      <w:pPr>
        <w:rPr>
          <w:b/>
          <w:sz w:val="20"/>
        </w:rPr>
      </w:pPr>
    </w:p>
    <w:p w:rsidR="003E19D2" w:rsidRPr="003E19D2" w:rsidP="003E19D2">
      <w:pPr>
        <w:rPr>
          <w:sz w:val="20"/>
        </w:rPr>
      </w:pPr>
      <w:r w:rsidRPr="003E19D2">
        <w:rPr>
          <w:sz w:val="20"/>
        </w:rPr>
        <w:t>Kamala D. Harris and Xavier Becerra, Attorneys General, Gerald A. Engler Chief Assistant Attorney General, Jeffrey M. Laurence, Assistant Attorney General, Laurence K. Sullivan, Eric D. Share, Huy T. Luong and Enid A. Camps, Deputy Attorneys General, for Plaintiff and Respondent in No. S237762.</w:t>
      </w:r>
    </w:p>
    <w:p w:rsidR="003E19D2" w:rsidRPr="003E19D2" w:rsidP="003E19D2">
      <w:pPr>
        <w:rPr>
          <w:b/>
          <w:sz w:val="20"/>
        </w:rPr>
      </w:pPr>
    </w:p>
    <w:p w:rsidR="003E19D2" w:rsidRPr="003E19D2" w:rsidP="003E19D2">
      <w:pPr>
        <w:rPr>
          <w:sz w:val="20"/>
        </w:rPr>
      </w:pPr>
      <w:r w:rsidRPr="003E19D2">
        <w:rPr>
          <w:sz w:val="20"/>
        </w:rPr>
        <w:t>Jackie Lacey, District Attorney (Los Angeles), Roberta Schwartz and John Pomeroy, Deputy District Attorneys, for Los Angeles County District Attorney as Amicus Curiae on behalf of Plaintiff and Respondent in No. S237762.</w:t>
      </w:r>
    </w:p>
    <w:p w:rsidR="003E19D2" w:rsidRPr="003E19D2" w:rsidP="003E19D2">
      <w:pPr>
        <w:rPr>
          <w:b/>
          <w:sz w:val="20"/>
        </w:rPr>
      </w:pPr>
      <w:r w:rsidRPr="003E19D2">
        <w:rPr>
          <w:b/>
          <w:sz w:val="20"/>
        </w:rPr>
        <w:br w:type="page"/>
      </w:r>
    </w:p>
    <w:p w:rsidR="003E19D2" w:rsidRPr="003E19D2" w:rsidP="003E19D2">
      <w:pPr>
        <w:rPr>
          <w:b/>
          <w:sz w:val="20"/>
        </w:rPr>
      </w:pPr>
    </w:p>
    <w:p w:rsidR="003E19D2" w:rsidRPr="003E19D2" w:rsidP="003E19D2">
      <w:pPr>
        <w:rPr>
          <w:b/>
          <w:sz w:val="20"/>
        </w:rPr>
      </w:pPr>
    </w:p>
    <w:p w:rsidR="003E19D2" w:rsidRPr="003E19D2" w:rsidP="003E19D2">
      <w:pPr>
        <w:rPr>
          <w:b/>
          <w:sz w:val="20"/>
        </w:rPr>
      </w:pPr>
    </w:p>
    <w:p w:rsidR="003E19D2" w:rsidRPr="003E19D2" w:rsidP="003E19D2">
      <w:pPr>
        <w:rPr>
          <w:b/>
          <w:sz w:val="20"/>
        </w:rPr>
      </w:pPr>
      <w:r w:rsidRPr="003E19D2">
        <w:rPr>
          <w:b/>
          <w:sz w:val="20"/>
        </w:rPr>
        <w:t>Counsel who argued in Supreme Court (not intended for publication with opinion):</w:t>
      </w:r>
    </w:p>
    <w:p w:rsidR="003E19D2" w:rsidRPr="003E19D2" w:rsidP="003E19D2">
      <w:pPr>
        <w:rPr>
          <w:b/>
          <w:sz w:val="20"/>
        </w:rPr>
      </w:pPr>
    </w:p>
    <w:p w:rsidR="003E19D2" w:rsidRPr="003E19D2" w:rsidP="003E19D2">
      <w:pPr>
        <w:rPr>
          <w:sz w:val="20"/>
        </w:rPr>
      </w:pPr>
      <w:r w:rsidRPr="003E19D2">
        <w:rPr>
          <w:sz w:val="20"/>
        </w:rPr>
        <w:t>Anne Mania</w:t>
      </w:r>
    </w:p>
    <w:p w:rsidR="003E19D2" w:rsidRPr="003E19D2" w:rsidP="003E19D2">
      <w:pPr>
        <w:rPr>
          <w:sz w:val="20"/>
        </w:rPr>
      </w:pPr>
      <w:r w:rsidRPr="003E19D2">
        <w:rPr>
          <w:sz w:val="20"/>
        </w:rPr>
        <w:t>Law Office of Anne Mania</w:t>
      </w:r>
    </w:p>
    <w:p w:rsidR="003E19D2" w:rsidRPr="003E19D2" w:rsidP="003E19D2">
      <w:pPr>
        <w:rPr>
          <w:sz w:val="20"/>
        </w:rPr>
      </w:pPr>
      <w:r w:rsidRPr="003E19D2">
        <w:rPr>
          <w:sz w:val="20"/>
        </w:rPr>
        <w:t>1946 Embarcadero</w:t>
      </w:r>
    </w:p>
    <w:p w:rsidR="003E19D2" w:rsidRPr="003E19D2" w:rsidP="003E19D2">
      <w:pPr>
        <w:rPr>
          <w:sz w:val="20"/>
        </w:rPr>
      </w:pPr>
      <w:r w:rsidRPr="003E19D2">
        <w:rPr>
          <w:sz w:val="20"/>
        </w:rPr>
        <w:t>Oakland, CA  94606</w:t>
      </w:r>
    </w:p>
    <w:p w:rsidR="003E19D2" w:rsidRPr="003E19D2" w:rsidP="003E19D2">
      <w:pPr>
        <w:rPr>
          <w:sz w:val="20"/>
        </w:rPr>
      </w:pPr>
      <w:r w:rsidRPr="003E19D2">
        <w:rPr>
          <w:sz w:val="20"/>
        </w:rPr>
        <w:t>(510) 479-1818</w:t>
      </w:r>
    </w:p>
    <w:p w:rsidR="003E19D2" w:rsidRPr="003E19D2" w:rsidP="003E19D2">
      <w:pPr>
        <w:rPr>
          <w:sz w:val="20"/>
        </w:rPr>
      </w:pPr>
    </w:p>
    <w:p w:rsidR="003E19D2" w:rsidRPr="003E19D2" w:rsidP="003E19D2">
      <w:pPr>
        <w:rPr>
          <w:sz w:val="20"/>
        </w:rPr>
      </w:pPr>
      <w:r w:rsidRPr="003E19D2">
        <w:rPr>
          <w:sz w:val="20"/>
        </w:rPr>
        <w:t>Enid A. Camps</w:t>
      </w:r>
    </w:p>
    <w:p w:rsidR="003E19D2" w:rsidRPr="003E19D2" w:rsidP="003E19D2">
      <w:pPr>
        <w:rPr>
          <w:sz w:val="20"/>
        </w:rPr>
      </w:pPr>
      <w:r w:rsidRPr="003E19D2">
        <w:rPr>
          <w:sz w:val="20"/>
        </w:rPr>
        <w:t>Deputy Attorney General</w:t>
      </w:r>
    </w:p>
    <w:p w:rsidR="003E19D2" w:rsidRPr="003E19D2" w:rsidP="003E19D2">
      <w:pPr>
        <w:rPr>
          <w:sz w:val="20"/>
        </w:rPr>
      </w:pPr>
      <w:r w:rsidRPr="003E19D2">
        <w:rPr>
          <w:sz w:val="20"/>
        </w:rPr>
        <w:t>455 Golden Gate Avenue, Suite 11000</w:t>
      </w:r>
    </w:p>
    <w:p w:rsidR="003E19D2" w:rsidRPr="003E19D2" w:rsidP="003E19D2">
      <w:pPr>
        <w:rPr>
          <w:sz w:val="20"/>
        </w:rPr>
      </w:pPr>
      <w:r w:rsidRPr="003E19D2">
        <w:rPr>
          <w:sz w:val="20"/>
        </w:rPr>
        <w:t>San Francisco, CA  94102-7004</w:t>
      </w:r>
    </w:p>
    <w:p w:rsidR="003E19D2" w:rsidRPr="003E19D2" w:rsidP="003E19D2">
      <w:pPr>
        <w:rPr>
          <w:sz w:val="20"/>
        </w:rPr>
      </w:pPr>
      <w:r w:rsidRPr="003E19D2">
        <w:rPr>
          <w:sz w:val="20"/>
        </w:rPr>
        <w:t>(415) 703-5976</w:t>
      </w:r>
    </w:p>
    <w:p w:rsidR="00FB0C6E" w:rsidP="00FB2E0A">
      <w:pPr>
        <w:rPr>
          <w:rFonts w:ascii="Baskerville Old Face" w:hAnsi="Baskerville Old Face"/>
        </w:rPr>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724">
    <w:pPr>
      <w:pStyle w:val="Footer"/>
      <w:jc w:val="center"/>
    </w:pPr>
    <w:r>
      <w:fldChar w:fldCharType="begin"/>
    </w:r>
    <w:r>
      <w:instrText>PAGE</w:instrText>
    </w:r>
    <w:r>
      <w:fldChar w:fldCharType="separate"/>
    </w:r>
    <w:r w:rsidR="009E430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E0A" w:rsidP="00FB2E0A">
    <w:pPr>
      <w:pStyle w:val="Footer"/>
      <w:jc w:val="center"/>
    </w:pPr>
    <w:r>
      <w:t>SEE CONCURRING OPINION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5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FE9">
    <w:pPr>
      <w:pStyle w:val="Footer"/>
      <w:jc w:val="cen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5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9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9B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0724">
      <w:r>
        <w:separator/>
      </w:r>
    </w:p>
  </w:footnote>
  <w:footnote w:type="continuationSeparator" w:id="1">
    <w:p w:rsidR="00780724">
      <w:pPr>
        <w:rPr>
          <w:sz w:val="22"/>
        </w:rPr>
      </w:pPr>
      <w:r>
        <w:rPr>
          <w:sz w:val="22"/>
        </w:rPr>
        <w:continuationSeparator/>
      </w:r>
    </w:p>
    <w:p w:rsidR="00780724">
      <w:pPr>
        <w:rPr>
          <w:sz w:val="22"/>
        </w:rPr>
      </w:pPr>
    </w:p>
    <w:p w:rsidR="00780724">
      <w:pPr>
        <w:rPr>
          <w:i/>
          <w:sz w:val="20"/>
        </w:rPr>
      </w:pPr>
      <w:r>
        <w:rPr>
          <w:i/>
          <w:sz w:val="20"/>
        </w:rPr>
        <w:t>(footnote continued from previous page)</w:t>
      </w:r>
    </w:p>
    <w:p w:rsidR="00780724">
      <w:pPr>
        <w:rPr>
          <w:sz w:val="22"/>
        </w:rPr>
      </w:pPr>
    </w:p>
  </w:footnote>
  <w:footnote w:type="continuationNotice" w:id="2">
    <w:p w:rsidR="00780724">
      <w:pPr>
        <w:rPr>
          <w:i/>
          <w:sz w:val="22"/>
        </w:rPr>
      </w:pPr>
    </w:p>
    <w:p w:rsidR="00780724">
      <w:pPr>
        <w:jc w:val="right"/>
        <w:rPr>
          <w:i/>
          <w:sz w:val="20"/>
        </w:rPr>
      </w:pPr>
      <w:r>
        <w:rPr>
          <w:i/>
          <w:sz w:val="20"/>
        </w:rPr>
        <w:t>(footnote continued on next page)</w:t>
      </w:r>
    </w:p>
  </w:footnote>
  <w:footnote w:id="3">
    <w:p w:rsidR="00780724" w:rsidP="00D2657E">
      <w:pPr>
        <w:pStyle w:val="FootnoteText"/>
      </w:pPr>
      <w:r>
        <w:rPr>
          <w:rStyle w:val="FootnoteReference"/>
        </w:rPr>
        <w:footnoteRef/>
      </w:r>
      <w:r>
        <w:t xml:space="preserve"> </w:t>
      </w:r>
      <w:r>
        <w:tab/>
        <w:t>All further unlabeled statutory references are to the Penal Code.</w:t>
      </w:r>
    </w:p>
  </w:footnote>
  <w:footnote w:id="4">
    <w:p w:rsidR="00780724">
      <w:pPr>
        <w:pStyle w:val="FootnoteText"/>
      </w:pPr>
      <w:r>
        <w:rPr>
          <w:rStyle w:val="FootnoteReference"/>
        </w:rPr>
        <w:footnoteRef/>
      </w:r>
      <w:r>
        <w:t xml:space="preserve"> </w:t>
      </w:r>
      <w:r>
        <w:tab/>
        <w:t>Hereafter, we use “sample” as a shorthand for the full range of biological samples and profile information submitted and stored under the DNA Act, as amended by Proposition 69.</w:t>
      </w:r>
    </w:p>
  </w:footnote>
  <w:footnote w:id="5">
    <w:p w:rsidR="00780724" w:rsidP="00D440FC">
      <w:pPr>
        <w:pStyle w:val="FootnoteText"/>
      </w:pPr>
      <w:r>
        <w:rPr>
          <w:rStyle w:val="FootnoteReference"/>
        </w:rPr>
        <w:footnoteRef/>
      </w:r>
      <w:r>
        <w:t xml:space="preserve"> </w:t>
      </w:r>
      <w:r>
        <w:tab/>
        <w:t xml:space="preserve">The only exception to </w:t>
      </w:r>
      <w:r w:rsidRPr="00326DBD">
        <w:rPr>
          <w:szCs w:val="26"/>
        </w:rPr>
        <w:t xml:space="preserve">this “for all purposes” provision is that </w:t>
      </w:r>
      <w:r>
        <w:rPr>
          <w:szCs w:val="26"/>
        </w:rPr>
        <w:t xml:space="preserve">a grant of relief </w:t>
      </w:r>
      <w:r w:rsidRPr="00326DBD">
        <w:rPr>
          <w:szCs w:val="26"/>
        </w:rPr>
        <w:t>“</w:t>
      </w:r>
      <w:r w:rsidRPr="00326DBD">
        <w:rPr>
          <w:szCs w:val="26"/>
          <w:bdr w:val="none" w:sz="0" w:space="0" w:color="auto" w:frame="1"/>
        </w:rPr>
        <w:t>shall not permit that person to own, possess, or have in his or her custody or control a firearm or prevent his or her conviction under Chapter 2 (commencing with Section 29800) of Division 9 of Title 4 of Part 6.”  (§ 1170.18, subd. (k).)</w:t>
      </w:r>
    </w:p>
  </w:footnote>
  <w:footnote w:id="6">
    <w:p w:rsidR="00780724" w:rsidP="00D440FC">
      <w:pPr>
        <w:pStyle w:val="FootnoteText"/>
      </w:pPr>
      <w:r>
        <w:rPr>
          <w:rStyle w:val="FootnoteReference"/>
        </w:rPr>
        <w:footnoteRef/>
      </w:r>
      <w:r>
        <w:t xml:space="preserve"> </w:t>
      </w:r>
      <w:r>
        <w:tab/>
        <w:t>Former section 299, subdivision (d), also continued the provision for removing samples from individuals determined to no longer be suspects.  (Former</w:t>
      </w:r>
      <w:r w:rsidRPr="00EE0D16">
        <w:rPr>
          <w:rFonts w:cs="Calibri"/>
        </w:rPr>
        <w:t xml:space="preserve"> § 299, subd. (d), enacted by Stats. 1998, ch. 696, § 2, p. 4583.)</w:t>
      </w:r>
    </w:p>
  </w:footnote>
  <w:footnote w:id="7">
    <w:p w:rsidR="00780724" w:rsidP="008B0DF0">
      <w:pPr>
        <w:pStyle w:val="FootnoteText"/>
      </w:pPr>
      <w:r>
        <w:rPr>
          <w:rStyle w:val="FootnoteReference"/>
        </w:rPr>
        <w:footnoteRef/>
      </w:r>
      <w:r>
        <w:t xml:space="preserve"> </w:t>
      </w:r>
      <w:r>
        <w:tab/>
        <w:t>The provisions of the DNA Act dealing with offenses subject to sex offender and arsonist registration reflect another area where the duty to submit a sample and the right to expungement are not coextensive.  Section 296, subdivision (a)(3), requires both felony and misdemeanor offenders to register as sex offenders or arsonists to submit a sample.  While the presence of a duty to register requires the submission of a sample, the expiration of that duty does not give rise to a corr</w:t>
      </w:r>
      <w:r w:rsidRPr="006744F1">
        <w:rPr>
          <w:szCs w:val="26"/>
        </w:rPr>
        <w:t>esponding right to expungement:  “Notwithstanding any other law, the Department of Justice DNA Laboratory is not required to expunge DNA profile or forensic identification information or destroy or return specimens, samples, or print impressions taken pursuant to this section if the duty to register [as a sex offender</w:t>
      </w:r>
      <w:r>
        <w:rPr>
          <w:szCs w:val="26"/>
        </w:rPr>
        <w:t xml:space="preserve"> or arsonist</w:t>
      </w:r>
      <w:r w:rsidRPr="006744F1">
        <w:rPr>
          <w:szCs w:val="26"/>
        </w:rPr>
        <w:t>] is terminated.”  (§ 299, subd. (e).)</w:t>
      </w:r>
    </w:p>
  </w:footnote>
  <w:footnote w:id="8">
    <w:p w:rsidR="00780724" w:rsidRPr="00181193" w:rsidP="00F16B1F">
      <w:pPr>
        <w:pStyle w:val="FootnoteText"/>
        <w:rPr>
          <w:b/>
        </w:rPr>
      </w:pPr>
      <w:r>
        <w:rPr>
          <w:rStyle w:val="FootnoteReference"/>
        </w:rPr>
        <w:footnoteRef/>
      </w:r>
      <w:r>
        <w:t xml:space="preserve"> </w:t>
      </w:r>
      <w:r>
        <w:tab/>
        <w:t xml:space="preserve">C.B. and C.H. argue that the basis for expungement they would have us add to the statute is analogous to the existing bases for expungement in cases of acquittal or reversal on appeal.  But reduction of a crime from a felony to a misdemeanor differs from the statutorily recognized bases in a crucial respect:  it lacks a determination that the defendant has not been proven to have </w:t>
      </w:r>
      <w:r>
        <w:rPr>
          <w:i/>
        </w:rPr>
        <w:t>any</w:t>
      </w:r>
      <w:r>
        <w:t xml:space="preserve"> </w:t>
      </w:r>
      <w:r w:rsidRPr="00256A10">
        <w:t>criminal</w:t>
      </w:r>
      <w:r>
        <w:t xml:space="preserve"> culpability.</w:t>
      </w:r>
    </w:p>
  </w:footnote>
  <w:footnote w:id="9">
    <w:p w:rsidR="00780724" w:rsidP="00B60FC0">
      <w:pPr>
        <w:pStyle w:val="FootnoteText"/>
        <w:spacing w:after="120"/>
      </w:pPr>
      <w:r>
        <w:rPr>
          <w:rStyle w:val="FootnoteReference"/>
        </w:rPr>
        <w:footnoteRef/>
      </w:r>
      <w:r>
        <w:t xml:space="preserve"> </w:t>
      </w:r>
      <w:r>
        <w:tab/>
      </w:r>
      <w:r>
        <w:rPr>
          <w:szCs w:val="26"/>
        </w:rPr>
        <w:t xml:space="preserve">See Proposition 69 Voter Guide, </w:t>
      </w:r>
      <w:r>
        <w:rPr>
          <w:i/>
          <w:szCs w:val="26"/>
        </w:rPr>
        <w:t>supra</w:t>
      </w:r>
      <w:r>
        <w:rPr>
          <w:szCs w:val="26"/>
        </w:rPr>
        <w:t>, argument in favor of Proposition 69, page 62 (“DNA IDENTIFIES CRIMINALS”; the measure “helps solve crime”; “Currently, California’s DNA database is too small,” allowing more crimes to go unsolved).</w:t>
      </w:r>
    </w:p>
  </w:footnote>
  <w:footnote w:id="10">
    <w:p w:rsidR="00780724" w:rsidP="006D7EBC">
      <w:pPr>
        <w:pStyle w:val="FootnoteText"/>
        <w:spacing w:after="120"/>
      </w:pPr>
      <w:r>
        <w:rPr>
          <w:rStyle w:val="FootnoteReference"/>
        </w:rPr>
        <w:footnoteRef/>
      </w:r>
      <w:r>
        <w:t xml:space="preserve"> </w:t>
      </w:r>
      <w:r>
        <w:tab/>
      </w:r>
      <w:r>
        <w:rPr>
          <w:szCs w:val="26"/>
        </w:rPr>
        <w:t xml:space="preserve">See Proposition 69 Voter Guide, </w:t>
      </w:r>
      <w:r>
        <w:rPr>
          <w:i/>
          <w:szCs w:val="26"/>
        </w:rPr>
        <w:t>supra</w:t>
      </w:r>
      <w:r>
        <w:rPr>
          <w:szCs w:val="26"/>
        </w:rPr>
        <w:t xml:space="preserve">, argument in favor of Proposition 69, page 62 (the measure will “help[] </w:t>
      </w:r>
      <w:r w:rsidRPr="006B54B8">
        <w:rPr>
          <w:szCs w:val="26"/>
        </w:rPr>
        <w:t>. . .</w:t>
      </w:r>
      <w:r>
        <w:rPr>
          <w:szCs w:val="26"/>
        </w:rPr>
        <w:t xml:space="preserve"> free those wrongfully accused”; “DNA evidence is one of the most effective ways to prove someone was not involved with a crime.  69’s complete DNA database helps ensure people are not wrongfully accused.”).</w:t>
      </w:r>
    </w:p>
  </w:footnote>
  <w:footnote w:id="11">
    <w:p w:rsidR="00780724">
      <w:pPr>
        <w:pStyle w:val="FootnoteText"/>
      </w:pPr>
      <w:r>
        <w:rPr>
          <w:rStyle w:val="FootnoteReference"/>
        </w:rPr>
        <w:footnoteRef/>
      </w:r>
      <w:r>
        <w:t xml:space="preserve"> </w:t>
      </w:r>
      <w:r>
        <w:tab/>
        <w:t xml:space="preserve">See </w:t>
      </w:r>
      <w:r>
        <w:rPr>
          <w:szCs w:val="26"/>
        </w:rPr>
        <w:t>Penal Code section</w:t>
      </w:r>
      <w:r w:rsidRPr="00B75988">
        <w:rPr>
          <w:szCs w:val="26"/>
        </w:rPr>
        <w:t> </w:t>
      </w:r>
      <w:r>
        <w:rPr>
          <w:szCs w:val="26"/>
        </w:rPr>
        <w:t>295, subdivision (c) (the purpose of the state’s databank is to assist law enforcement “in the expeditious and accurate detection and prosecution of individuals responsible for sex offenses and other crimes [and] the exclusion of suspects who are being investigated for these crimes”); Proposition</w:t>
      </w:r>
      <w:r w:rsidRPr="00F221DC">
        <w:rPr>
          <w:szCs w:val="26"/>
        </w:rPr>
        <w:t xml:space="preserve"> 69</w:t>
      </w:r>
      <w:r>
        <w:rPr>
          <w:szCs w:val="26"/>
        </w:rPr>
        <w:t xml:space="preserve"> Voter Guide, </w:t>
      </w:r>
      <w:r>
        <w:rPr>
          <w:i/>
          <w:szCs w:val="26"/>
        </w:rPr>
        <w:t>supra</w:t>
      </w:r>
      <w:r>
        <w:rPr>
          <w:szCs w:val="26"/>
        </w:rPr>
        <w:t xml:space="preserve">, text of Proposition 69, section II.(a)–(g), page 135; </w:t>
      </w:r>
      <w:r>
        <w:rPr>
          <w:i/>
        </w:rPr>
        <w:t>Good v. Superior Court</w:t>
      </w:r>
      <w:r>
        <w:t xml:space="preserve"> (2008) 158 Cal.App.4th 1494, 1508–1509</w:t>
      </w:r>
      <w:r>
        <w:rPr>
          <w:szCs w:val="26"/>
        </w:rPr>
        <w:t>.</w:t>
      </w:r>
    </w:p>
  </w:footnote>
  <w:footnote w:id="12">
    <w:p w:rsidR="00780724" w:rsidP="00640448">
      <w:pPr>
        <w:pStyle w:val="FootnoteText"/>
        <w:spacing w:after="120"/>
      </w:pPr>
      <w:r>
        <w:rPr>
          <w:rStyle w:val="FootnoteReference"/>
        </w:rPr>
        <w:footnoteRef/>
      </w:r>
      <w:r>
        <w:t xml:space="preserve"> </w:t>
      </w:r>
      <w:r>
        <w:tab/>
        <w:t>The People also rely on section 299, subdivision (f), as amended by the Legislature in 2015.  That provision limits a court’s ability “</w:t>
      </w:r>
      <w:r w:rsidRPr="00EE50F9">
        <w:rPr>
          <w:szCs w:val="26"/>
          <w:bdr w:val="none" w:sz="0" w:space="0" w:color="auto" w:frame="1"/>
        </w:rPr>
        <w:t>to relieve a person of the separate administrative duty to provide specimens, samples, or print impressions required by this chapter if a person has been found guilty or was adjudicated a ward of the court by a trier of fact of a qualifying offense as defined in subdivision (a) of Section 296, or was found not guilty by reason of insanity or pleads no contest to a qualifying offense as defined in subdivision (a) of Section 296</w:t>
      </w:r>
      <w:r>
        <w:rPr>
          <w:szCs w:val="26"/>
          <w:bdr w:val="none" w:sz="0" w:space="0" w:color="auto" w:frame="1"/>
        </w:rPr>
        <w:t>.”  (§ 299, subd. (f).)  In 2015, the Legislature amended the provision to add section 1170.18 to the list of laws explicitly identified as not supplying a basis for court relief from the duty to submit a sample.  (§ 299, subd. (f), as amended by Stats. 2015, ch. 487, § 4.)  Given our determination that other portions of the statutory scheme preclude the relief petitioners seek, we need not address the import of this provision.</w:t>
      </w:r>
    </w:p>
  </w:footnote>
  <w:footnote w:id="13">
    <w:p w:rsidR="00780724">
      <w:pPr>
        <w:pStyle w:val="FootnoteText"/>
      </w:pPr>
      <w:r>
        <w:rPr>
          <w:rStyle w:val="FootnoteReference"/>
        </w:rPr>
        <w:footnoteRef/>
      </w:r>
      <w:r>
        <w:t xml:space="preserve"> </w:t>
      </w:r>
      <w:r>
        <w:tab/>
        <w:t xml:space="preserve">C.H. does not differentiate between the state and federal Constitutions or suggest the analysis under either should differ.  Accordingly, we address his state and federal claims together.  (See, e.g., </w:t>
      </w:r>
      <w:r>
        <w:rPr>
          <w:i/>
        </w:rPr>
        <w:t>Johnson v. Department of Justice</w:t>
      </w:r>
      <w:r>
        <w:t xml:space="preserve"> (2015) 60 Cal.4th 871, 881.)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75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9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9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oNotTrackMoves/>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uiPriority w:val="99"/>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ing1Char">
    <w:name w:val="Heading 1 Char"/>
    <w:link w:val="Heading1"/>
    <w:rsid w:val="00D07C20"/>
    <w:rPr>
      <w:b/>
      <w:smallCaps/>
      <w:sz w:val="26"/>
    </w:rPr>
  </w:style>
  <w:style w:type="paragraph" w:styleId="PlainText">
    <w:name w:val="Plain Text"/>
    <w:basedOn w:val="Normal"/>
    <w:link w:val="PlainTextChar"/>
    <w:uiPriority w:val="99"/>
    <w:unhideWhenUsed/>
    <w:rsid w:val="009B0472"/>
    <w:rPr>
      <w:rFonts w:ascii="Georgia" w:hAnsi="Georgia"/>
      <w:szCs w:val="21"/>
    </w:rPr>
  </w:style>
  <w:style w:type="character" w:customStyle="1" w:styleId="PlainTextChar">
    <w:name w:val="Plain Text Char"/>
    <w:link w:val="PlainText"/>
    <w:uiPriority w:val="99"/>
    <w:rsid w:val="009B0472"/>
    <w:rPr>
      <w:rFonts w:ascii="Georgia" w:hAnsi="Georgia" w:cs="Times New Roman"/>
      <w:sz w:val="26"/>
      <w:szCs w:val="21"/>
    </w:rPr>
  </w:style>
  <w:style w:type="character" w:customStyle="1" w:styleId="sssh">
    <w:name w:val="ss_sh"/>
    <w:basedOn w:val="DefaultParagraphFont"/>
    <w:rsid w:val="00C34646"/>
  </w:style>
  <w:style w:type="character" w:styleId="Hyperlink">
    <w:name w:val="Hyperlink"/>
    <w:uiPriority w:val="99"/>
    <w:semiHidden/>
    <w:unhideWhenUsed/>
    <w:rsid w:val="00156F1B"/>
    <w:rPr>
      <w:color w:val="0077CC"/>
      <w:u w:val="single"/>
    </w:rPr>
  </w:style>
  <w:style w:type="paragraph" w:styleId="BalloonText">
    <w:name w:val="Balloon Text"/>
    <w:basedOn w:val="Normal"/>
    <w:link w:val="BalloonTextChar"/>
    <w:uiPriority w:val="99"/>
    <w:semiHidden/>
    <w:unhideWhenUsed/>
    <w:rsid w:val="005C2E3E"/>
    <w:rPr>
      <w:rFonts w:ascii="Segoe UI" w:hAnsi="Segoe UI" w:cs="Segoe UI"/>
      <w:sz w:val="18"/>
      <w:szCs w:val="18"/>
    </w:rPr>
  </w:style>
  <w:style w:type="character" w:customStyle="1" w:styleId="BalloonTextChar">
    <w:name w:val="Balloon Text Char"/>
    <w:link w:val="BalloonText"/>
    <w:uiPriority w:val="99"/>
    <w:semiHidden/>
    <w:rsid w:val="005C2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5420</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2018-08-30T16:27:44Z</dcterms:created>
  <dcterms:modified xsi:type="dcterms:W3CDTF">2018-08-30T16:27:44Z</dcterms:modified>
</cp:coreProperties>
</file>