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8753E" w14:textId="77777777" w:rsidR="001837B9" w:rsidRDefault="00653173" w:rsidP="004436D7">
      <w:pPr>
        <w:tabs>
          <w:tab w:val="left" w:pos="1440"/>
        </w:tabs>
        <w:ind w:right="270"/>
        <w:jc w:val="center"/>
        <w:rPr>
          <w:sz w:val="36"/>
        </w:rPr>
      </w:pPr>
      <w:bookmarkStart w:id="0" w:name="_GoBack"/>
      <w:bookmarkEnd w:id="0"/>
      <w:r>
        <w:rPr>
          <w:b/>
          <w:sz w:val="36"/>
        </w:rPr>
        <w:t>IN THE SUPREME COURT OF CALIFORNIA</w:t>
      </w:r>
    </w:p>
    <w:p w14:paraId="5AC68A16" w14:textId="77777777" w:rsidR="001837B9" w:rsidRDefault="001837B9" w:rsidP="004436D7">
      <w:pPr>
        <w:ind w:right="360"/>
        <w:jc w:val="center"/>
      </w:pPr>
    </w:p>
    <w:p w14:paraId="0DAC6189" w14:textId="77777777" w:rsidR="001837B9" w:rsidRDefault="00653173" w:rsidP="00505E86">
      <w:pPr>
        <w:tabs>
          <w:tab w:val="left" w:pos="4680"/>
          <w:tab w:val="center" w:pos="7200"/>
        </w:tabs>
        <w:spacing w:after="0"/>
        <w:jc w:val="center"/>
      </w:pPr>
      <w:bookmarkStart w:id="1" w:name="plaintiff"/>
      <w:bookmarkEnd w:id="1"/>
      <w:r>
        <w:t>STANLEY WILSON,</w:t>
      </w:r>
    </w:p>
    <w:p w14:paraId="29267BB2" w14:textId="77777777" w:rsidR="001837B9" w:rsidRDefault="00653173" w:rsidP="00505E86">
      <w:pPr>
        <w:tabs>
          <w:tab w:val="left" w:pos="1440"/>
        </w:tabs>
        <w:spacing w:after="0"/>
        <w:jc w:val="center"/>
      </w:pPr>
      <w:bookmarkStart w:id="2" w:name="LD"/>
      <w:bookmarkEnd w:id="2"/>
      <w:r>
        <w:t>Plaintiff and Appellant,</w:t>
      </w:r>
    </w:p>
    <w:p w14:paraId="4464149C" w14:textId="77777777" w:rsidR="009B73D2" w:rsidRDefault="009B73D2" w:rsidP="00505E86">
      <w:pPr>
        <w:tabs>
          <w:tab w:val="left" w:pos="1440"/>
          <w:tab w:val="left" w:pos="4680"/>
          <w:tab w:val="center" w:pos="7200"/>
        </w:tabs>
        <w:spacing w:after="0"/>
        <w:ind w:right="360"/>
        <w:jc w:val="center"/>
      </w:pPr>
    </w:p>
    <w:p w14:paraId="4E77804F" w14:textId="77777777" w:rsidR="001837B9" w:rsidRDefault="00653173" w:rsidP="00505E86">
      <w:pPr>
        <w:tabs>
          <w:tab w:val="left" w:pos="1440"/>
        </w:tabs>
        <w:spacing w:after="0"/>
        <w:jc w:val="center"/>
      </w:pPr>
      <w:r>
        <w:t>v.</w:t>
      </w:r>
    </w:p>
    <w:p w14:paraId="59823628" w14:textId="77777777" w:rsidR="009B73D2" w:rsidRDefault="009B73D2" w:rsidP="00505E86">
      <w:pPr>
        <w:tabs>
          <w:tab w:val="left" w:pos="1440"/>
          <w:tab w:val="left" w:pos="4680"/>
          <w:tab w:val="center" w:pos="7200"/>
        </w:tabs>
        <w:spacing w:after="0"/>
        <w:ind w:right="360"/>
        <w:jc w:val="center"/>
      </w:pPr>
    </w:p>
    <w:p w14:paraId="7364861A" w14:textId="77777777" w:rsidR="009B73D2" w:rsidRDefault="00653173" w:rsidP="00505E86">
      <w:pPr>
        <w:tabs>
          <w:tab w:val="left" w:pos="4680"/>
          <w:tab w:val="center" w:pos="7200"/>
        </w:tabs>
        <w:spacing w:after="0"/>
        <w:jc w:val="center"/>
      </w:pPr>
      <w:bookmarkStart w:id="3" w:name="appealnum"/>
      <w:bookmarkStart w:id="4" w:name="defendant"/>
      <w:bookmarkEnd w:id="3"/>
      <w:bookmarkEnd w:id="4"/>
      <w:r>
        <w:t>CABLE NEWS NETWORK, INC., et al.</w:t>
      </w:r>
      <w:r w:rsidR="009B73D2">
        <w:t>,</w:t>
      </w:r>
    </w:p>
    <w:p w14:paraId="72799106" w14:textId="77777777" w:rsidR="001837B9" w:rsidRDefault="00653173" w:rsidP="00505E86">
      <w:pPr>
        <w:tabs>
          <w:tab w:val="left" w:pos="4680"/>
          <w:tab w:val="center" w:pos="7200"/>
        </w:tabs>
        <w:spacing w:after="0"/>
        <w:jc w:val="center"/>
      </w:pPr>
      <w:bookmarkStart w:id="5" w:name="county"/>
      <w:bookmarkStart w:id="6" w:name="VD"/>
      <w:bookmarkEnd w:id="5"/>
      <w:bookmarkEnd w:id="6"/>
      <w:r>
        <w:t>Defendants and Respondents.</w:t>
      </w:r>
      <w:bookmarkStart w:id="7" w:name="MarkDocLoc"/>
      <w:bookmarkEnd w:id="7"/>
    </w:p>
    <w:p w14:paraId="3CBD7D81" w14:textId="77777777" w:rsidR="009B73D2" w:rsidRDefault="009B73D2" w:rsidP="00505E86">
      <w:pPr>
        <w:tabs>
          <w:tab w:val="left" w:pos="4680"/>
          <w:tab w:val="center" w:pos="7200"/>
        </w:tabs>
        <w:spacing w:after="0"/>
        <w:ind w:right="360"/>
        <w:jc w:val="center"/>
      </w:pPr>
    </w:p>
    <w:p w14:paraId="4C848E1C" w14:textId="77777777" w:rsidR="00E10EA3" w:rsidRDefault="00E10EA3" w:rsidP="00505E86">
      <w:pPr>
        <w:tabs>
          <w:tab w:val="left" w:pos="4680"/>
          <w:tab w:val="center" w:pos="7200"/>
        </w:tabs>
        <w:spacing w:after="0"/>
        <w:jc w:val="center"/>
      </w:pPr>
      <w:r>
        <w:t>S239686</w:t>
      </w:r>
    </w:p>
    <w:p w14:paraId="144CB69F" w14:textId="77777777" w:rsidR="00E10EA3" w:rsidRDefault="00E10EA3" w:rsidP="00505E86">
      <w:pPr>
        <w:tabs>
          <w:tab w:val="left" w:pos="4680"/>
          <w:tab w:val="center" w:pos="7200"/>
        </w:tabs>
        <w:spacing w:after="0"/>
        <w:ind w:right="360"/>
        <w:jc w:val="center"/>
      </w:pPr>
    </w:p>
    <w:p w14:paraId="5E069B32" w14:textId="77777777" w:rsidR="009B73D2" w:rsidRDefault="009B73D2" w:rsidP="00505E86">
      <w:pPr>
        <w:tabs>
          <w:tab w:val="left" w:pos="4680"/>
          <w:tab w:val="center" w:pos="7200"/>
        </w:tabs>
        <w:spacing w:after="0"/>
        <w:jc w:val="center"/>
      </w:pPr>
      <w:r>
        <w:t>Second Appellate District, Division One</w:t>
      </w:r>
    </w:p>
    <w:p w14:paraId="3E7CB829" w14:textId="77777777" w:rsidR="009B73D2" w:rsidRDefault="009B73D2" w:rsidP="00505E86">
      <w:pPr>
        <w:tabs>
          <w:tab w:val="left" w:pos="4680"/>
          <w:tab w:val="center" w:pos="7200"/>
        </w:tabs>
        <w:spacing w:after="0"/>
        <w:jc w:val="center"/>
      </w:pPr>
      <w:r>
        <w:t>B264944</w:t>
      </w:r>
    </w:p>
    <w:p w14:paraId="51B1E56B" w14:textId="77777777" w:rsidR="009B73D2" w:rsidRDefault="009B73D2" w:rsidP="00505E86">
      <w:pPr>
        <w:tabs>
          <w:tab w:val="left" w:pos="4680"/>
          <w:tab w:val="center" w:pos="7200"/>
        </w:tabs>
        <w:spacing w:after="0"/>
        <w:ind w:right="360"/>
        <w:jc w:val="center"/>
      </w:pPr>
    </w:p>
    <w:p w14:paraId="30BB229F" w14:textId="77777777" w:rsidR="009B73D2" w:rsidRDefault="009B73D2" w:rsidP="00505E86">
      <w:pPr>
        <w:tabs>
          <w:tab w:val="left" w:pos="4680"/>
          <w:tab w:val="center" w:pos="7200"/>
        </w:tabs>
        <w:spacing w:after="0"/>
        <w:jc w:val="center"/>
      </w:pPr>
      <w:r>
        <w:t>Los Angeles County Superior Court</w:t>
      </w:r>
    </w:p>
    <w:p w14:paraId="162C050E" w14:textId="77777777" w:rsidR="009B73D2" w:rsidRDefault="009B73D2" w:rsidP="00505E86">
      <w:pPr>
        <w:tabs>
          <w:tab w:val="left" w:pos="4680"/>
          <w:tab w:val="center" w:pos="7200"/>
        </w:tabs>
        <w:spacing w:after="0"/>
        <w:ind w:right="90"/>
        <w:jc w:val="center"/>
      </w:pPr>
      <w:r>
        <w:t>BC559720</w:t>
      </w:r>
    </w:p>
    <w:p w14:paraId="31CAB504" w14:textId="77777777" w:rsidR="009B73D2" w:rsidRDefault="009B73D2" w:rsidP="00505E86">
      <w:pPr>
        <w:tabs>
          <w:tab w:val="left" w:pos="4680"/>
          <w:tab w:val="center" w:pos="7200"/>
        </w:tabs>
        <w:spacing w:after="0"/>
        <w:ind w:right="180"/>
        <w:jc w:val="left"/>
      </w:pPr>
      <w:r>
        <w:t>_________________________________________________________</w:t>
      </w:r>
    </w:p>
    <w:p w14:paraId="488F2681" w14:textId="77777777" w:rsidR="009B73D2" w:rsidRDefault="009B73D2" w:rsidP="00B90841">
      <w:pPr>
        <w:tabs>
          <w:tab w:val="left" w:pos="4680"/>
          <w:tab w:val="center" w:pos="7200"/>
        </w:tabs>
        <w:spacing w:after="0"/>
        <w:jc w:val="center"/>
      </w:pPr>
    </w:p>
    <w:p w14:paraId="36C50AB7" w14:textId="4E8F5AF8" w:rsidR="009B73D2" w:rsidRDefault="0036511C" w:rsidP="00B90841">
      <w:pPr>
        <w:tabs>
          <w:tab w:val="left" w:pos="4680"/>
          <w:tab w:val="center" w:pos="7200"/>
        </w:tabs>
        <w:spacing w:after="0"/>
        <w:jc w:val="center"/>
      </w:pPr>
      <w:r>
        <w:t>July 22</w:t>
      </w:r>
      <w:r w:rsidR="009B73D2">
        <w:t>, 2019</w:t>
      </w:r>
    </w:p>
    <w:p w14:paraId="4038DEE1" w14:textId="77777777" w:rsidR="009B73D2" w:rsidRDefault="009B73D2" w:rsidP="00B90841">
      <w:pPr>
        <w:tabs>
          <w:tab w:val="left" w:pos="4680"/>
          <w:tab w:val="center" w:pos="7200"/>
        </w:tabs>
        <w:spacing w:after="0"/>
        <w:jc w:val="center"/>
      </w:pPr>
    </w:p>
    <w:p w14:paraId="60CB33C1" w14:textId="24DBB08D" w:rsidR="009B73D2" w:rsidRDefault="009B73D2" w:rsidP="00B90841">
      <w:pPr>
        <w:tabs>
          <w:tab w:val="left" w:pos="4680"/>
          <w:tab w:val="center" w:pos="7200"/>
        </w:tabs>
        <w:spacing w:after="0"/>
        <w:jc w:val="left"/>
      </w:pPr>
      <w:r>
        <w:t xml:space="preserve">Justice Kruger authored the opinion of the </w:t>
      </w:r>
      <w:r w:rsidR="00B90841">
        <w:t>C</w:t>
      </w:r>
      <w:r>
        <w:t xml:space="preserve">ourt, in which </w:t>
      </w:r>
      <w:r w:rsidR="0036511C">
        <w:t>Chief Justice Cantil-Sakauye and Justices Chin, Corrigan, Liu, Cuéllar, and Groban</w:t>
      </w:r>
      <w:r>
        <w:t xml:space="preserve"> concurred.</w:t>
      </w:r>
    </w:p>
    <w:p w14:paraId="6E8D6108" w14:textId="77777777" w:rsidR="00EC494C" w:rsidRDefault="00EC494C" w:rsidP="00B90841">
      <w:pPr>
        <w:tabs>
          <w:tab w:val="left" w:pos="4680"/>
          <w:tab w:val="center" w:pos="7200"/>
        </w:tabs>
        <w:spacing w:after="0"/>
        <w:jc w:val="left"/>
      </w:pPr>
    </w:p>
    <w:p w14:paraId="40D05BA7" w14:textId="77777777" w:rsidR="009B73D2" w:rsidRDefault="009B73D2" w:rsidP="00B90841">
      <w:pPr>
        <w:tabs>
          <w:tab w:val="left" w:pos="4680"/>
          <w:tab w:val="center" w:pos="7200"/>
        </w:tabs>
        <w:spacing w:after="0"/>
        <w:jc w:val="left"/>
      </w:pPr>
      <w:r>
        <w:t>_________________________________________________________</w:t>
      </w:r>
    </w:p>
    <w:p w14:paraId="1458F74D" w14:textId="77777777" w:rsidR="005007CE" w:rsidRDefault="005007CE">
      <w:pPr>
        <w:tabs>
          <w:tab w:val="left" w:pos="1440"/>
          <w:tab w:val="left" w:pos="4680"/>
          <w:tab w:val="center" w:pos="7200"/>
        </w:tabs>
        <w:spacing w:line="480" w:lineRule="atLeast"/>
      </w:pPr>
    </w:p>
    <w:p w14:paraId="34141273" w14:textId="77777777" w:rsidR="00E10EA3" w:rsidRDefault="00E10EA3">
      <w:pPr>
        <w:tabs>
          <w:tab w:val="left" w:pos="1440"/>
          <w:tab w:val="left" w:pos="4680"/>
          <w:tab w:val="center" w:pos="7200"/>
        </w:tabs>
        <w:spacing w:line="480" w:lineRule="atLeast"/>
        <w:sectPr w:rsidR="00E10EA3" w:rsidSect="00110472">
          <w:headerReference w:type="default" r:id="rId7"/>
          <w:footerReference w:type="default" r:id="rId8"/>
          <w:pgSz w:w="12240" w:h="15840" w:code="1"/>
          <w:pgMar w:top="1440" w:right="2160" w:bottom="1440" w:left="2160" w:header="720" w:footer="720" w:gutter="0"/>
          <w:cols w:space="720"/>
          <w:titlePg/>
          <w:docGrid w:linePitch="367"/>
        </w:sectPr>
      </w:pPr>
    </w:p>
    <w:p w14:paraId="01149894" w14:textId="77777777" w:rsidR="005007CE" w:rsidRDefault="00E10EA3" w:rsidP="00E10EA3">
      <w:pPr>
        <w:tabs>
          <w:tab w:val="left" w:pos="1440"/>
          <w:tab w:val="left" w:pos="4680"/>
          <w:tab w:val="center" w:pos="7200"/>
        </w:tabs>
        <w:jc w:val="center"/>
      </w:pPr>
      <w:r>
        <w:lastRenderedPageBreak/>
        <w:t>WILSON v. CABLE NEWS NETWORK, INC.</w:t>
      </w:r>
    </w:p>
    <w:p w14:paraId="0E2E0E3B" w14:textId="77777777" w:rsidR="00E10EA3" w:rsidRDefault="00E10EA3" w:rsidP="00E10EA3">
      <w:pPr>
        <w:tabs>
          <w:tab w:val="left" w:pos="1440"/>
          <w:tab w:val="left" w:pos="4680"/>
          <w:tab w:val="center" w:pos="7200"/>
        </w:tabs>
        <w:jc w:val="center"/>
      </w:pPr>
      <w:r>
        <w:t>S239686</w:t>
      </w:r>
    </w:p>
    <w:p w14:paraId="17E4A436" w14:textId="77777777" w:rsidR="00E10EA3" w:rsidRDefault="00E10EA3" w:rsidP="00E10EA3">
      <w:pPr>
        <w:tabs>
          <w:tab w:val="left" w:pos="1440"/>
          <w:tab w:val="left" w:pos="4680"/>
          <w:tab w:val="center" w:pos="7200"/>
        </w:tabs>
        <w:jc w:val="center"/>
      </w:pPr>
    </w:p>
    <w:p w14:paraId="397C6221" w14:textId="77777777" w:rsidR="00E10EA3" w:rsidRDefault="00E10EA3" w:rsidP="00E10EA3">
      <w:pPr>
        <w:tabs>
          <w:tab w:val="left" w:pos="1440"/>
          <w:tab w:val="left" w:pos="4680"/>
          <w:tab w:val="center" w:pos="7200"/>
        </w:tabs>
        <w:jc w:val="center"/>
      </w:pPr>
      <w:r>
        <w:t>Opinion of the Court by Kruger, J.</w:t>
      </w:r>
    </w:p>
    <w:p w14:paraId="73CD5826" w14:textId="77777777" w:rsidR="00E10EA3" w:rsidRDefault="00E10EA3" w:rsidP="00E10EA3">
      <w:pPr>
        <w:tabs>
          <w:tab w:val="left" w:pos="1440"/>
          <w:tab w:val="left" w:pos="4680"/>
          <w:tab w:val="center" w:pos="7200"/>
        </w:tabs>
        <w:jc w:val="center"/>
      </w:pPr>
    </w:p>
    <w:p w14:paraId="27BBAF54" w14:textId="77777777" w:rsidR="00540427" w:rsidRPr="005007CE" w:rsidRDefault="00E5094F" w:rsidP="00414F44">
      <w:pPr>
        <w:tabs>
          <w:tab w:val="left" w:pos="1440"/>
        </w:tabs>
        <w:ind w:firstLine="720"/>
      </w:pPr>
      <w:bookmarkStart w:id="8" w:name="mainstory"/>
      <w:bookmarkEnd w:id="8"/>
      <w:r w:rsidRPr="005007CE">
        <w:t>Code of Civil Procedure section 425.16</w:t>
      </w:r>
      <w:r w:rsidR="00AC2058" w:rsidRPr="005007CE">
        <w:t xml:space="preserve"> (section 425.16)</w:t>
      </w:r>
      <w:r w:rsidR="00317DBA" w:rsidRPr="005007CE">
        <w:t xml:space="preserve">, </w:t>
      </w:r>
      <w:r w:rsidRPr="005007CE">
        <w:t xml:space="preserve">commonly known as the anti-SLAPP </w:t>
      </w:r>
      <w:r w:rsidR="00317DBA" w:rsidRPr="005007CE">
        <w:t xml:space="preserve">statute, </w:t>
      </w:r>
      <w:r w:rsidR="00317BC8" w:rsidRPr="005007CE">
        <w:t>allows defendant</w:t>
      </w:r>
      <w:r w:rsidR="00806F99" w:rsidRPr="005007CE">
        <w:t xml:space="preserve">s </w:t>
      </w:r>
      <w:r w:rsidR="00317BC8" w:rsidRPr="005007CE">
        <w:t xml:space="preserve">to request </w:t>
      </w:r>
      <w:r w:rsidR="00806F99" w:rsidRPr="005007CE">
        <w:t xml:space="preserve">early judicial </w:t>
      </w:r>
      <w:r w:rsidR="00BB19EE" w:rsidRPr="005007CE">
        <w:t xml:space="preserve">screening </w:t>
      </w:r>
      <w:r w:rsidR="00234E63" w:rsidRPr="005007CE">
        <w:t xml:space="preserve">of </w:t>
      </w:r>
      <w:r w:rsidR="00317DBA" w:rsidRPr="005007CE">
        <w:t xml:space="preserve">legal claims </w:t>
      </w:r>
      <w:r w:rsidR="00DF19D4" w:rsidRPr="005007CE">
        <w:t>targeting free speech or petitioning</w:t>
      </w:r>
      <w:r w:rsidR="00EB2C15" w:rsidRPr="005007CE">
        <w:t xml:space="preserve"> activities</w:t>
      </w:r>
      <w:r w:rsidR="00DF19D4" w:rsidRPr="005007CE">
        <w:t>.</w:t>
      </w:r>
      <w:r w:rsidR="00B01FB8" w:rsidRPr="005007CE">
        <w:t xml:space="preserve">  </w:t>
      </w:r>
      <w:r w:rsidR="00C8272B" w:rsidRPr="005007CE">
        <w:t>W</w:t>
      </w:r>
      <w:r w:rsidR="004D5B92" w:rsidRPr="005007CE">
        <w:t xml:space="preserve">e consider two questions concerning the application of the anti-SLAPP statute </w:t>
      </w:r>
      <w:r w:rsidR="00540427" w:rsidRPr="005007CE">
        <w:t xml:space="preserve">to </w:t>
      </w:r>
      <w:r w:rsidR="00EE07DE" w:rsidRPr="005007CE">
        <w:t xml:space="preserve">certain </w:t>
      </w:r>
      <w:r w:rsidR="00540427" w:rsidRPr="005007CE">
        <w:t>claims</w:t>
      </w:r>
      <w:r w:rsidR="00F64B7D" w:rsidRPr="005007CE">
        <w:t xml:space="preserve"> arising </w:t>
      </w:r>
      <w:r w:rsidR="00F22B8F" w:rsidRPr="005007CE">
        <w:t>in the employment context</w:t>
      </w:r>
      <w:r w:rsidR="00540427" w:rsidRPr="005007CE">
        <w:t>.</w:t>
      </w:r>
    </w:p>
    <w:p w14:paraId="6641F75D" w14:textId="73ED5555" w:rsidR="003F6C58" w:rsidRPr="005007CE" w:rsidRDefault="00540427" w:rsidP="00414F44">
      <w:pPr>
        <w:tabs>
          <w:tab w:val="left" w:pos="1440"/>
        </w:tabs>
        <w:ind w:firstLine="720"/>
      </w:pPr>
      <w:r w:rsidRPr="005007CE">
        <w:t xml:space="preserve">The </w:t>
      </w:r>
      <w:r w:rsidR="00465C12" w:rsidRPr="005007CE">
        <w:t xml:space="preserve">primary question before us </w:t>
      </w:r>
      <w:r w:rsidRPr="005007CE">
        <w:t xml:space="preserve">concerns the </w:t>
      </w:r>
      <w:r w:rsidR="00262B7E" w:rsidRPr="005007CE">
        <w:t xml:space="preserve">statute’s </w:t>
      </w:r>
      <w:r w:rsidRPr="005007CE">
        <w:t xml:space="preserve">application to </w:t>
      </w:r>
      <w:r w:rsidR="00AC33AD" w:rsidRPr="005007CE">
        <w:t>employment discrimination and retaliation claims.  Here</w:t>
      </w:r>
      <w:r w:rsidR="00465C12" w:rsidRPr="005007CE">
        <w:t xml:space="preserve">, </w:t>
      </w:r>
      <w:r w:rsidRPr="005007CE">
        <w:t xml:space="preserve">a journalist </w:t>
      </w:r>
      <w:r w:rsidR="00AC33AD" w:rsidRPr="005007CE">
        <w:t xml:space="preserve">alleges </w:t>
      </w:r>
      <w:r w:rsidRPr="005007CE">
        <w:t xml:space="preserve">that his employer denied him promotions, gave him unfavorable assignments, and ultimately fired him for unlawful discriminatory and retaliatory reasons.  Some </w:t>
      </w:r>
      <w:r w:rsidR="00FE55AE">
        <w:t>c</w:t>
      </w:r>
      <w:r w:rsidRPr="005007CE">
        <w:t xml:space="preserve">ourts of </w:t>
      </w:r>
      <w:r w:rsidR="00FE55AE">
        <w:t>a</w:t>
      </w:r>
      <w:r w:rsidRPr="005007CE">
        <w:t xml:space="preserve">ppeal, including the court in this case, have concluded the anti-SLAPP statute </w:t>
      </w:r>
      <w:r w:rsidR="00262B7E" w:rsidRPr="005007CE">
        <w:t xml:space="preserve">cannot be used to screen claims alleging discriminatory or retaliatory </w:t>
      </w:r>
      <w:r w:rsidR="00B36B68" w:rsidRPr="005007CE">
        <w:t xml:space="preserve">employment </w:t>
      </w:r>
      <w:r w:rsidR="00EC0A47" w:rsidRPr="005007CE">
        <w:t xml:space="preserve">actions.  </w:t>
      </w:r>
      <w:r w:rsidRPr="005007CE">
        <w:t>We hold otherwise</w:t>
      </w:r>
      <w:r w:rsidR="00465C12" w:rsidRPr="005007CE">
        <w:t xml:space="preserve">.  </w:t>
      </w:r>
      <w:r w:rsidR="00EC0A47" w:rsidRPr="005007CE">
        <w:t>The statute contains no exception for discrimination or retaliation claims, and in some cases the act</w:t>
      </w:r>
      <w:r w:rsidR="00723AEE" w:rsidRPr="005007CE">
        <w:t>ion</w:t>
      </w:r>
      <w:r w:rsidR="00EC0A47" w:rsidRPr="005007CE">
        <w:t xml:space="preserve">s </w:t>
      </w:r>
      <w:r w:rsidR="004932D3" w:rsidRPr="005007CE">
        <w:t xml:space="preserve">a </w:t>
      </w:r>
      <w:r w:rsidR="00EC0A47" w:rsidRPr="005007CE">
        <w:t xml:space="preserve">plaintiff alleges in support of his or her claim may qualify as protected speech or petitioning activity under section 425.16.  In such cases, </w:t>
      </w:r>
      <w:r w:rsidR="006C1890" w:rsidRPr="005007CE">
        <w:t xml:space="preserve">the plaintiff’s </w:t>
      </w:r>
      <w:r w:rsidR="00274ED0" w:rsidRPr="005007CE">
        <w:t>allegation</w:t>
      </w:r>
      <w:r w:rsidR="00534483" w:rsidRPr="005007CE">
        <w:t xml:space="preserve">s about the defendant’s </w:t>
      </w:r>
      <w:r w:rsidR="003F6D3B" w:rsidRPr="005007CE">
        <w:t xml:space="preserve">invidious </w:t>
      </w:r>
      <w:r w:rsidR="00534483" w:rsidRPr="005007CE">
        <w:t>motives</w:t>
      </w:r>
      <w:r w:rsidR="00274ED0" w:rsidRPr="005007CE">
        <w:t xml:space="preserve"> </w:t>
      </w:r>
      <w:r w:rsidR="004112DC" w:rsidRPr="005007CE">
        <w:t>will</w:t>
      </w:r>
      <w:r w:rsidR="00956337" w:rsidRPr="005007CE">
        <w:t xml:space="preserve"> not shield </w:t>
      </w:r>
      <w:r w:rsidR="004223FC" w:rsidRPr="005007CE">
        <w:t xml:space="preserve">the </w:t>
      </w:r>
      <w:r w:rsidR="00806D1C" w:rsidRPr="005007CE">
        <w:t xml:space="preserve">claim </w:t>
      </w:r>
      <w:r w:rsidR="004223FC" w:rsidRPr="005007CE">
        <w:t>from the same</w:t>
      </w:r>
      <w:r w:rsidR="00806D1C" w:rsidRPr="005007CE">
        <w:t xml:space="preserve"> </w:t>
      </w:r>
      <w:r w:rsidR="005E1CBD" w:rsidRPr="005007CE">
        <w:t xml:space="preserve">preliminary screening </w:t>
      </w:r>
      <w:r w:rsidR="004223FC" w:rsidRPr="005007CE">
        <w:t>for</w:t>
      </w:r>
      <w:r w:rsidR="00806D1C" w:rsidRPr="005007CE">
        <w:t xml:space="preserve"> minimal merit </w:t>
      </w:r>
      <w:r w:rsidR="00E66939" w:rsidRPr="005007CE">
        <w:t xml:space="preserve">that would apply to </w:t>
      </w:r>
      <w:r w:rsidR="0070677A" w:rsidRPr="005007CE">
        <w:t xml:space="preserve">any other claim </w:t>
      </w:r>
      <w:r w:rsidR="00B543CD" w:rsidRPr="005007CE">
        <w:t>arising from protected activity</w:t>
      </w:r>
      <w:r w:rsidR="0070677A" w:rsidRPr="005007CE">
        <w:t>.</w:t>
      </w:r>
      <w:r w:rsidR="009C7C4B" w:rsidRPr="005007CE">
        <w:t xml:space="preserve">  </w:t>
      </w:r>
      <w:r w:rsidR="00450E9D" w:rsidRPr="005007CE">
        <w:t>T</w:t>
      </w:r>
      <w:r w:rsidR="00EC0A47" w:rsidRPr="005007CE">
        <w:t>h</w:t>
      </w:r>
      <w:r w:rsidR="00045B80" w:rsidRPr="005007CE">
        <w:t>e</w:t>
      </w:r>
      <w:r w:rsidR="0070390F" w:rsidRPr="005007CE">
        <w:t xml:space="preserve"> </w:t>
      </w:r>
      <w:r w:rsidR="006530AF" w:rsidRPr="005007CE">
        <w:t xml:space="preserve">defendant </w:t>
      </w:r>
      <w:r w:rsidR="00A37CD4" w:rsidRPr="005007CE">
        <w:t xml:space="preserve">employer </w:t>
      </w:r>
      <w:r w:rsidR="00505E86">
        <w:t xml:space="preserve">in this case </w:t>
      </w:r>
      <w:r w:rsidR="00A37CD4" w:rsidRPr="005007CE">
        <w:t>has show</w:t>
      </w:r>
      <w:r w:rsidR="003342F1" w:rsidRPr="005007CE">
        <w:t>n</w:t>
      </w:r>
      <w:r w:rsidR="00A37CD4" w:rsidRPr="005007CE">
        <w:t xml:space="preserve"> </w:t>
      </w:r>
      <w:r w:rsidR="003F6C58" w:rsidRPr="005007CE">
        <w:t xml:space="preserve">plaintiff’s </w:t>
      </w:r>
      <w:r w:rsidR="000535E8" w:rsidRPr="005007CE">
        <w:t xml:space="preserve">claims </w:t>
      </w:r>
      <w:r w:rsidR="00F70B23" w:rsidRPr="005007CE">
        <w:t xml:space="preserve">arise </w:t>
      </w:r>
      <w:r w:rsidR="00CA6234" w:rsidRPr="005007CE">
        <w:t xml:space="preserve">in </w:t>
      </w:r>
      <w:r w:rsidR="0092433B" w:rsidRPr="005007CE">
        <w:t xml:space="preserve">limited </w:t>
      </w:r>
      <w:r w:rsidR="00CA6234" w:rsidRPr="005007CE">
        <w:t>part</w:t>
      </w:r>
      <w:r w:rsidR="00A71618" w:rsidRPr="005007CE">
        <w:t>—</w:t>
      </w:r>
      <w:r w:rsidR="00CA6234" w:rsidRPr="005007CE">
        <w:t>though not in whole</w:t>
      </w:r>
      <w:r w:rsidR="00A71618" w:rsidRPr="005007CE">
        <w:t>—</w:t>
      </w:r>
      <w:r w:rsidR="000535E8" w:rsidRPr="005007CE">
        <w:t xml:space="preserve">from </w:t>
      </w:r>
      <w:r w:rsidR="006530AF" w:rsidRPr="005007CE">
        <w:t>protected activity</w:t>
      </w:r>
      <w:r w:rsidR="00F8328F" w:rsidRPr="005007CE">
        <w:t xml:space="preserve">.  </w:t>
      </w:r>
      <w:r w:rsidR="0092433B" w:rsidRPr="005007CE">
        <w:t xml:space="preserve">The </w:t>
      </w:r>
      <w:r w:rsidR="00CA6234" w:rsidRPr="005007CE">
        <w:t xml:space="preserve">employer is </w:t>
      </w:r>
      <w:r w:rsidR="00135600" w:rsidRPr="005007CE">
        <w:t xml:space="preserve">therefore </w:t>
      </w:r>
      <w:r w:rsidR="00CA6234" w:rsidRPr="005007CE">
        <w:t xml:space="preserve">entitled to a </w:t>
      </w:r>
      <w:r w:rsidR="00AF746E" w:rsidRPr="005007CE">
        <w:t xml:space="preserve">determination </w:t>
      </w:r>
      <w:r w:rsidR="00FE55AE">
        <w:lastRenderedPageBreak/>
        <w:t xml:space="preserve">of </w:t>
      </w:r>
      <w:r w:rsidR="00AF746E" w:rsidRPr="005007CE">
        <w:t xml:space="preserve">whether </w:t>
      </w:r>
      <w:r w:rsidR="0072382E" w:rsidRPr="005007CE">
        <w:t>th</w:t>
      </w:r>
      <w:r w:rsidR="001D37E9" w:rsidRPr="005007CE">
        <w:t>os</w:t>
      </w:r>
      <w:r w:rsidR="0072382E" w:rsidRPr="005007CE">
        <w:t xml:space="preserve">e </w:t>
      </w:r>
      <w:r w:rsidR="001D37E9" w:rsidRPr="005007CE">
        <w:t xml:space="preserve">limited </w:t>
      </w:r>
      <w:r w:rsidR="00EA319E" w:rsidRPr="005007CE">
        <w:t>p</w:t>
      </w:r>
      <w:r w:rsidR="00F70B23" w:rsidRPr="005007CE">
        <w:t>ortion</w:t>
      </w:r>
      <w:r w:rsidR="00EA319E" w:rsidRPr="005007CE">
        <w:t xml:space="preserve">s of </w:t>
      </w:r>
      <w:r w:rsidR="003342F1" w:rsidRPr="005007CE">
        <w:t>plaintiff’s claims have</w:t>
      </w:r>
      <w:r w:rsidR="00BC442F" w:rsidRPr="005007CE">
        <w:t xml:space="preserve"> </w:t>
      </w:r>
      <w:r w:rsidR="00EC0A47" w:rsidRPr="005007CE">
        <w:t xml:space="preserve">sufficient potential </w:t>
      </w:r>
      <w:r w:rsidR="00BC442F" w:rsidRPr="005007CE">
        <w:t>merit</w:t>
      </w:r>
      <w:r w:rsidR="00EC0A47" w:rsidRPr="005007CE">
        <w:t xml:space="preserve"> to proceed</w:t>
      </w:r>
      <w:r w:rsidR="00BC442F" w:rsidRPr="005007CE">
        <w:t>.</w:t>
      </w:r>
    </w:p>
    <w:p w14:paraId="0BBBA06D" w14:textId="77777777" w:rsidR="004112DC" w:rsidRPr="005007CE" w:rsidRDefault="0092433B" w:rsidP="00414F44">
      <w:pPr>
        <w:tabs>
          <w:tab w:val="left" w:pos="1440"/>
        </w:tabs>
        <w:ind w:firstLine="720"/>
      </w:pPr>
      <w:r w:rsidRPr="005007CE">
        <w:t xml:space="preserve">The second question concerns </w:t>
      </w:r>
      <w:r w:rsidR="00EC1445" w:rsidRPr="005007CE">
        <w:t xml:space="preserve">the application of </w:t>
      </w:r>
      <w:r w:rsidR="004D7CBF" w:rsidRPr="005007CE">
        <w:t xml:space="preserve">the anti-SLAPP statute to </w:t>
      </w:r>
      <w:r w:rsidRPr="005007CE">
        <w:t xml:space="preserve">the journalist’s </w:t>
      </w:r>
      <w:r w:rsidR="004D7CBF" w:rsidRPr="005007CE">
        <w:t>claim that defendant defamed him by privately discussing the alleged reasons for his termination with potential employers</w:t>
      </w:r>
      <w:r w:rsidR="001C0091" w:rsidRPr="005007CE">
        <w:t xml:space="preserve"> and</w:t>
      </w:r>
      <w:r w:rsidR="007E5FB8" w:rsidRPr="005007CE">
        <w:t xml:space="preserve"> others</w:t>
      </w:r>
      <w:r w:rsidR="004D7CBF" w:rsidRPr="005007CE">
        <w:t xml:space="preserve">.  </w:t>
      </w:r>
      <w:r w:rsidR="0066475D" w:rsidRPr="005007CE">
        <w:t xml:space="preserve">We conclude </w:t>
      </w:r>
      <w:r w:rsidR="00FE55AE">
        <w:t xml:space="preserve">that </w:t>
      </w:r>
      <w:r w:rsidR="0066475D" w:rsidRPr="005007CE">
        <w:t>t</w:t>
      </w:r>
      <w:r w:rsidR="00045B80" w:rsidRPr="005007CE">
        <w:t xml:space="preserve">his claim need not be </w:t>
      </w:r>
      <w:r w:rsidR="004112DC" w:rsidRPr="005007CE">
        <w:t>screen</w:t>
      </w:r>
      <w:r w:rsidR="00045B80" w:rsidRPr="005007CE">
        <w:t>ed</w:t>
      </w:r>
      <w:r w:rsidR="004112DC" w:rsidRPr="005007CE">
        <w:t xml:space="preserve"> for merit because the</w:t>
      </w:r>
      <w:r w:rsidR="00FA6FE5" w:rsidRPr="005007CE">
        <w:t>se</w:t>
      </w:r>
      <w:r w:rsidR="004112DC" w:rsidRPr="005007CE">
        <w:t xml:space="preserve"> </w:t>
      </w:r>
      <w:r w:rsidR="00FA6FE5" w:rsidRPr="005007CE">
        <w:t xml:space="preserve">privately communicated </w:t>
      </w:r>
      <w:r w:rsidR="004112DC" w:rsidRPr="005007CE">
        <w:t>remarks</w:t>
      </w:r>
      <w:r w:rsidR="00140C8E" w:rsidRPr="005007CE">
        <w:t xml:space="preserve"> </w:t>
      </w:r>
      <w:r w:rsidR="004468A5" w:rsidRPr="005007CE">
        <w:t xml:space="preserve">were not made in connection with </w:t>
      </w:r>
      <w:r w:rsidR="004112DC" w:rsidRPr="005007CE">
        <w:t xml:space="preserve">any issue of public </w:t>
      </w:r>
      <w:r w:rsidR="00F70B23" w:rsidRPr="005007CE">
        <w:t>significance</w:t>
      </w:r>
      <w:r w:rsidR="001D37E9" w:rsidRPr="005007CE">
        <w:t>, as the statute requires</w:t>
      </w:r>
      <w:r w:rsidR="004112DC" w:rsidRPr="005007CE">
        <w:t>.</w:t>
      </w:r>
      <w:r w:rsidR="00B36B68" w:rsidRPr="005007CE">
        <w:t xml:space="preserve">  </w:t>
      </w:r>
      <w:r w:rsidR="001D37E9" w:rsidRPr="005007CE">
        <w:t>(See § 425.16, subds. </w:t>
      </w:r>
      <w:r w:rsidR="002B4A9F">
        <w:t xml:space="preserve">(a), </w:t>
      </w:r>
      <w:r w:rsidR="001D37E9" w:rsidRPr="005007CE">
        <w:t xml:space="preserve">(b)(1), (e)(4).)  </w:t>
      </w:r>
      <w:r w:rsidR="00B36B68" w:rsidRPr="005007CE">
        <w:t>We thus affirm in part, reverse in part, and remand for further proceedings.</w:t>
      </w:r>
    </w:p>
    <w:p w14:paraId="38062FD1" w14:textId="77777777" w:rsidR="00653173" w:rsidRPr="005007CE" w:rsidRDefault="00C2037C" w:rsidP="00443D0F">
      <w:pPr>
        <w:jc w:val="center"/>
        <w:rPr>
          <w:b/>
        </w:rPr>
      </w:pPr>
      <w:r w:rsidRPr="005007CE">
        <w:rPr>
          <w:b/>
        </w:rPr>
        <w:t>I.</w:t>
      </w:r>
    </w:p>
    <w:p w14:paraId="606543EF" w14:textId="67F90E60" w:rsidR="00E45F9E" w:rsidRPr="005007CE" w:rsidRDefault="00615AD7" w:rsidP="00414F44">
      <w:pPr>
        <w:tabs>
          <w:tab w:val="left" w:pos="1440"/>
        </w:tabs>
        <w:ind w:firstLine="720"/>
      </w:pPr>
      <w:r w:rsidRPr="005007CE">
        <w:t>P</w:t>
      </w:r>
      <w:r w:rsidR="00CF20C3" w:rsidRPr="005007CE">
        <w:t xml:space="preserve">laintiff </w:t>
      </w:r>
      <w:r w:rsidR="00E45F9E" w:rsidRPr="005007CE">
        <w:t xml:space="preserve">Stanley Wilson </w:t>
      </w:r>
      <w:r w:rsidR="0087561D" w:rsidRPr="005007CE">
        <w:t xml:space="preserve">began working for Cable News Network, Inc., in </w:t>
      </w:r>
      <w:r w:rsidR="00541904" w:rsidRPr="005007CE">
        <w:t>1996</w:t>
      </w:r>
      <w:r w:rsidR="0087561D" w:rsidRPr="005007CE">
        <w:t xml:space="preserve">, and </w:t>
      </w:r>
      <w:r w:rsidRPr="005007CE">
        <w:t xml:space="preserve">wrote and produced </w:t>
      </w:r>
      <w:r w:rsidR="008E2BAA" w:rsidRPr="005007CE">
        <w:t>stories</w:t>
      </w:r>
      <w:r w:rsidR="00CF20C3" w:rsidRPr="005007CE">
        <w:t xml:space="preserve"> </w:t>
      </w:r>
      <w:r w:rsidR="0087561D" w:rsidRPr="005007CE">
        <w:t xml:space="preserve">for the network </w:t>
      </w:r>
      <w:r w:rsidR="00A9542E" w:rsidRPr="005007CE">
        <w:t xml:space="preserve">for </w:t>
      </w:r>
      <w:r w:rsidR="003524E1" w:rsidRPr="005007CE">
        <w:t xml:space="preserve">more than </w:t>
      </w:r>
      <w:r w:rsidR="00A9542E" w:rsidRPr="005007CE">
        <w:t>17 years.</w:t>
      </w:r>
      <w:r w:rsidR="00CF20C3" w:rsidRPr="005007CE">
        <w:t xml:space="preserve">  </w:t>
      </w:r>
      <w:r w:rsidR="00437285" w:rsidRPr="005007CE">
        <w:t xml:space="preserve">During his tenure, Wilson </w:t>
      </w:r>
      <w:r w:rsidR="008E2BAA" w:rsidRPr="005007CE">
        <w:t xml:space="preserve">covered </w:t>
      </w:r>
      <w:r w:rsidR="006117FF" w:rsidRPr="005007CE">
        <w:t xml:space="preserve">matters of general public </w:t>
      </w:r>
      <w:r w:rsidR="0065316E" w:rsidRPr="005007CE">
        <w:t>importance</w:t>
      </w:r>
      <w:r w:rsidR="006117FF" w:rsidRPr="005007CE">
        <w:t xml:space="preserve">, including </w:t>
      </w:r>
      <w:r w:rsidR="007137DB" w:rsidRPr="005007CE">
        <w:t xml:space="preserve">multiple presidential elections, </w:t>
      </w:r>
      <w:r w:rsidR="00FE55AE">
        <w:t xml:space="preserve">the </w:t>
      </w:r>
      <w:r w:rsidR="007137DB" w:rsidRPr="00EB225C">
        <w:t>Bush v. Gore</w:t>
      </w:r>
      <w:r w:rsidR="00FE55AE">
        <w:t xml:space="preserve"> </w:t>
      </w:r>
      <w:r w:rsidR="00367FDB">
        <w:t>controversy</w:t>
      </w:r>
      <w:r w:rsidR="007137DB" w:rsidRPr="005007CE">
        <w:t xml:space="preserve">, the </w:t>
      </w:r>
      <w:r w:rsidR="00FE55AE">
        <w:t xml:space="preserve">September 11, 2001 </w:t>
      </w:r>
      <w:r w:rsidR="007137DB" w:rsidRPr="005007CE">
        <w:t xml:space="preserve">attacks, and Hurricane Katrina.  </w:t>
      </w:r>
      <w:r w:rsidR="00353B6C" w:rsidRPr="005007CE">
        <w:t xml:space="preserve">For his work, </w:t>
      </w:r>
      <w:r w:rsidR="00F7467E" w:rsidRPr="005007CE">
        <w:t xml:space="preserve">Wilson attained </w:t>
      </w:r>
      <w:r w:rsidR="00353B6C" w:rsidRPr="005007CE">
        <w:t>recognition in the field</w:t>
      </w:r>
      <w:r w:rsidR="00A9542E" w:rsidRPr="005007CE">
        <w:t xml:space="preserve">, receiving three Emmy </w:t>
      </w:r>
      <w:r w:rsidR="00FE55AE">
        <w:t xml:space="preserve">awards </w:t>
      </w:r>
      <w:r w:rsidR="00A9542E" w:rsidRPr="005007CE">
        <w:t xml:space="preserve">and many other </w:t>
      </w:r>
      <w:r w:rsidR="004B0945" w:rsidRPr="005007CE">
        <w:t xml:space="preserve">journalism </w:t>
      </w:r>
      <w:r w:rsidR="00FE55AE">
        <w:t>honors</w:t>
      </w:r>
      <w:r w:rsidR="004B0945" w:rsidRPr="005007CE">
        <w:t>.</w:t>
      </w:r>
    </w:p>
    <w:p w14:paraId="27EC0DF4" w14:textId="7F239B27" w:rsidR="004B0945" w:rsidRPr="005007CE" w:rsidRDefault="00437285" w:rsidP="00414F44">
      <w:pPr>
        <w:tabs>
          <w:tab w:val="left" w:pos="1440"/>
        </w:tabs>
        <w:ind w:firstLine="720"/>
      </w:pPr>
      <w:r w:rsidRPr="005007CE">
        <w:t xml:space="preserve">In 2004, Wilson, who is </w:t>
      </w:r>
      <w:r w:rsidR="00B543CD" w:rsidRPr="005007CE">
        <w:t>African</w:t>
      </w:r>
      <w:r w:rsidR="00FE55AE">
        <w:t xml:space="preserve"> </w:t>
      </w:r>
      <w:r w:rsidR="00B543CD" w:rsidRPr="005007CE">
        <w:t>American</w:t>
      </w:r>
      <w:r w:rsidR="00A71618" w:rsidRPr="005007CE">
        <w:t xml:space="preserve"> and Latino</w:t>
      </w:r>
      <w:r w:rsidR="00B543CD" w:rsidRPr="005007CE">
        <w:t xml:space="preserve">, </w:t>
      </w:r>
      <w:r w:rsidRPr="005007CE">
        <w:t xml:space="preserve">began </w:t>
      </w:r>
      <w:r w:rsidR="00B544A6" w:rsidRPr="005007CE">
        <w:t>rais</w:t>
      </w:r>
      <w:r w:rsidRPr="005007CE">
        <w:t>ing</w:t>
      </w:r>
      <w:r w:rsidR="00B544A6" w:rsidRPr="005007CE">
        <w:t xml:space="preserve"> concerns about </w:t>
      </w:r>
      <w:r w:rsidRPr="005007CE">
        <w:t xml:space="preserve">the network’s treatment of </w:t>
      </w:r>
      <w:r w:rsidR="00EC2331" w:rsidRPr="005007CE">
        <w:t>African-American men</w:t>
      </w:r>
      <w:r w:rsidR="00841034" w:rsidRPr="005007CE">
        <w:t xml:space="preserve">.  </w:t>
      </w:r>
      <w:r w:rsidR="004B0945" w:rsidRPr="005007CE">
        <w:t xml:space="preserve">He also </w:t>
      </w:r>
      <w:r w:rsidR="0028198C" w:rsidRPr="005007CE">
        <w:t>t</w:t>
      </w:r>
      <w:r w:rsidR="004B0945" w:rsidRPr="005007CE">
        <w:t xml:space="preserve">ook </w:t>
      </w:r>
      <w:r w:rsidR="005759FC" w:rsidRPr="005007CE">
        <w:t xml:space="preserve">a five-week </w:t>
      </w:r>
      <w:r w:rsidR="004B0945" w:rsidRPr="005007CE">
        <w:t xml:space="preserve">paternity leave after the birth of his </w:t>
      </w:r>
      <w:r w:rsidR="005759FC" w:rsidRPr="005007CE">
        <w:t xml:space="preserve">twin </w:t>
      </w:r>
      <w:r w:rsidR="004B0945" w:rsidRPr="005007CE">
        <w:t>child</w:t>
      </w:r>
      <w:r w:rsidR="00C1487D" w:rsidRPr="005007CE">
        <w:t>ren</w:t>
      </w:r>
      <w:r w:rsidR="00FE55AE">
        <w:t xml:space="preserve"> in 2013</w:t>
      </w:r>
      <w:r w:rsidR="0028198C" w:rsidRPr="005007CE">
        <w:t>.</w:t>
      </w:r>
      <w:r w:rsidR="00C1487D" w:rsidRPr="005007CE">
        <w:t xml:space="preserve">  </w:t>
      </w:r>
      <w:r w:rsidR="002F199C" w:rsidRPr="005007CE">
        <w:t>According to Wilson, t</w:t>
      </w:r>
      <w:r w:rsidR="002D21B4" w:rsidRPr="005007CE">
        <w:t xml:space="preserve">he </w:t>
      </w:r>
      <w:r w:rsidR="004555B0" w:rsidRPr="005007CE">
        <w:t xml:space="preserve">network </w:t>
      </w:r>
      <w:r w:rsidR="00C1487D" w:rsidRPr="005007CE">
        <w:t xml:space="preserve">rewarded </w:t>
      </w:r>
      <w:r w:rsidR="002F199C" w:rsidRPr="005007CE">
        <w:t xml:space="preserve">him </w:t>
      </w:r>
      <w:r w:rsidR="00C1487D" w:rsidRPr="005007CE">
        <w:t>with menial assignments</w:t>
      </w:r>
      <w:r w:rsidR="00317716" w:rsidRPr="005007CE">
        <w:t xml:space="preserve"> and </w:t>
      </w:r>
      <w:r w:rsidR="00C1487D" w:rsidRPr="005007CE">
        <w:t>denied him promotion</w:t>
      </w:r>
      <w:r w:rsidR="00C45DCB" w:rsidRPr="005007CE">
        <w:t>s in favor of younger</w:t>
      </w:r>
      <w:r w:rsidR="0056498F" w:rsidRPr="005007CE">
        <w:t xml:space="preserve"> and </w:t>
      </w:r>
      <w:r w:rsidR="00C45DCB" w:rsidRPr="005007CE">
        <w:t>less</w:t>
      </w:r>
      <w:r w:rsidR="00FE55AE">
        <w:t xml:space="preserve"> </w:t>
      </w:r>
      <w:r w:rsidR="00C45DCB" w:rsidRPr="005007CE">
        <w:t>experienced</w:t>
      </w:r>
      <w:r w:rsidR="0056498F" w:rsidRPr="005007CE">
        <w:t xml:space="preserve"> </w:t>
      </w:r>
      <w:r w:rsidR="002F0A55">
        <w:t>W</w:t>
      </w:r>
      <w:r w:rsidR="00C45DCB" w:rsidRPr="005007CE">
        <w:t>hite candidates</w:t>
      </w:r>
      <w:r w:rsidR="001B53C7" w:rsidRPr="005007CE">
        <w:t>.</w:t>
      </w:r>
    </w:p>
    <w:p w14:paraId="25E01339" w14:textId="77777777" w:rsidR="00B2259F" w:rsidRPr="005007CE" w:rsidRDefault="00A64DA2" w:rsidP="00414F44">
      <w:pPr>
        <w:tabs>
          <w:tab w:val="left" w:pos="1440"/>
        </w:tabs>
        <w:ind w:firstLine="720"/>
      </w:pPr>
      <w:r w:rsidRPr="005007CE">
        <w:t xml:space="preserve">Wilson’s tenure came to an end </w:t>
      </w:r>
      <w:r w:rsidR="00D00AF7" w:rsidRPr="005007CE">
        <w:t xml:space="preserve">in 2014, after </w:t>
      </w:r>
      <w:r w:rsidR="00B2259F" w:rsidRPr="005007CE">
        <w:t xml:space="preserve">Wilson drafted a story covering the </w:t>
      </w:r>
      <w:r w:rsidR="00F70B23" w:rsidRPr="005007CE">
        <w:t xml:space="preserve">unexpected </w:t>
      </w:r>
      <w:r w:rsidR="00B2259F" w:rsidRPr="005007CE">
        <w:t>re</w:t>
      </w:r>
      <w:r w:rsidR="00125CEE" w:rsidRPr="005007CE">
        <w:t>tirement</w:t>
      </w:r>
      <w:r w:rsidR="00B2259F" w:rsidRPr="005007CE">
        <w:t xml:space="preserve"> of Los Angeles County </w:t>
      </w:r>
      <w:r w:rsidR="004223FC" w:rsidRPr="005007CE">
        <w:t>S</w:t>
      </w:r>
      <w:r w:rsidR="00B2259F" w:rsidRPr="005007CE">
        <w:t xml:space="preserve">heriff Lee Baca.  An editor reviewing the draft </w:t>
      </w:r>
      <w:r w:rsidR="002F4674" w:rsidRPr="005007CE">
        <w:lastRenderedPageBreak/>
        <w:t xml:space="preserve">flagged </w:t>
      </w:r>
      <w:r w:rsidR="006C336E" w:rsidRPr="005007CE">
        <w:t>several passages that appeared similar to another news organization’s published story</w:t>
      </w:r>
      <w:r w:rsidR="00B2259F" w:rsidRPr="005007CE">
        <w:t xml:space="preserve">.  </w:t>
      </w:r>
      <w:r w:rsidR="004C5EB0" w:rsidRPr="005007CE">
        <w:t xml:space="preserve">Citing concerns about plagiarism, the network placed </w:t>
      </w:r>
      <w:r w:rsidR="00B2259F" w:rsidRPr="005007CE">
        <w:t>Wilson on leave of absence and ultimately fired</w:t>
      </w:r>
      <w:r w:rsidR="004C5EB0" w:rsidRPr="005007CE">
        <w:t xml:space="preserve"> him</w:t>
      </w:r>
      <w:r w:rsidR="00B2259F" w:rsidRPr="005007CE">
        <w:t>.</w:t>
      </w:r>
    </w:p>
    <w:p w14:paraId="204E336C" w14:textId="6289CC1D" w:rsidR="004B0945" w:rsidRPr="005007CE" w:rsidRDefault="00B2259F" w:rsidP="00414F44">
      <w:pPr>
        <w:tabs>
          <w:tab w:val="left" w:pos="1440"/>
        </w:tabs>
        <w:ind w:firstLine="720"/>
      </w:pPr>
      <w:r w:rsidRPr="005007CE">
        <w:t>Wilson f</w:t>
      </w:r>
      <w:r w:rsidR="004B0945" w:rsidRPr="005007CE">
        <w:t>iled suit</w:t>
      </w:r>
      <w:r w:rsidR="002D21B4" w:rsidRPr="005007CE">
        <w:t xml:space="preserve"> against Cable News Network, </w:t>
      </w:r>
      <w:r w:rsidR="004223FC" w:rsidRPr="005007CE">
        <w:t xml:space="preserve">Inc., </w:t>
      </w:r>
      <w:r w:rsidR="002D21B4" w:rsidRPr="005007CE">
        <w:t>various affiliated corporate entities, and his supervisor</w:t>
      </w:r>
      <w:r w:rsidR="00EC2331" w:rsidRPr="005007CE">
        <w:t xml:space="preserve">.  (For simplicity’s sake, we will refer to </w:t>
      </w:r>
      <w:r w:rsidR="002F0A55">
        <w:t>d</w:t>
      </w:r>
      <w:r w:rsidR="00EC2331" w:rsidRPr="005007CE">
        <w:t xml:space="preserve">efendants collectively as CNN.)  </w:t>
      </w:r>
      <w:r w:rsidR="00C641FF" w:rsidRPr="005007CE">
        <w:t xml:space="preserve">Wilson’s complaint contains seven causes of action, six of which </w:t>
      </w:r>
      <w:r w:rsidR="001D37E9" w:rsidRPr="005007CE">
        <w:t xml:space="preserve">challenge </w:t>
      </w:r>
      <w:r w:rsidR="00C641FF" w:rsidRPr="005007CE">
        <w:t>CNN’s alleged</w:t>
      </w:r>
      <w:r w:rsidR="003D0179" w:rsidRPr="005007CE">
        <w:t xml:space="preserve"> discrimination and retaliation.  Specifically, Wilson allege</w:t>
      </w:r>
      <w:r w:rsidR="00434BAC" w:rsidRPr="005007CE">
        <w:t>s</w:t>
      </w:r>
      <w:r w:rsidR="00FD464C" w:rsidRPr="005007CE">
        <w:t xml:space="preserve"> he was denied promotions, given unfavorable assignments, and ultimately fired because of his </w:t>
      </w:r>
      <w:r w:rsidR="00794CFE" w:rsidRPr="005007CE">
        <w:t>race</w:t>
      </w:r>
      <w:r w:rsidR="001B53C7" w:rsidRPr="005007CE">
        <w:t xml:space="preserve"> and other protected characteristics</w:t>
      </w:r>
      <w:r w:rsidR="00794CFE" w:rsidRPr="005007CE">
        <w:t>,</w:t>
      </w:r>
      <w:r w:rsidR="001B53C7" w:rsidRPr="005007CE">
        <w:rPr>
          <w:rStyle w:val="FootnoteReference"/>
        </w:rPr>
        <w:footnoteReference w:id="2"/>
      </w:r>
      <w:r w:rsidR="001B53C7" w:rsidRPr="005007CE">
        <w:t xml:space="preserve"> </w:t>
      </w:r>
      <w:r w:rsidRPr="005007CE">
        <w:t xml:space="preserve">as well as </w:t>
      </w:r>
      <w:r w:rsidR="00FD464C" w:rsidRPr="005007CE">
        <w:t xml:space="preserve">in </w:t>
      </w:r>
      <w:r w:rsidRPr="005007CE">
        <w:t xml:space="preserve">retaliation for </w:t>
      </w:r>
      <w:r w:rsidR="004A2C0F" w:rsidRPr="005007CE">
        <w:t xml:space="preserve">exercising his right to </w:t>
      </w:r>
      <w:r w:rsidRPr="005007CE">
        <w:t>mak</w:t>
      </w:r>
      <w:r w:rsidR="0028198C" w:rsidRPr="005007CE">
        <w:t>e</w:t>
      </w:r>
      <w:r w:rsidRPr="005007CE">
        <w:t xml:space="preserve"> complaints ab</w:t>
      </w:r>
      <w:r w:rsidR="00C45DCB" w:rsidRPr="005007CE">
        <w:t>out discrimination</w:t>
      </w:r>
      <w:r w:rsidR="00AC2058" w:rsidRPr="005007CE">
        <w:t xml:space="preserve"> and </w:t>
      </w:r>
      <w:r w:rsidR="0028198C" w:rsidRPr="005007CE">
        <w:t xml:space="preserve">his right to </w:t>
      </w:r>
      <w:r w:rsidR="00AC2058" w:rsidRPr="005007CE">
        <w:t xml:space="preserve">take </w:t>
      </w:r>
      <w:r w:rsidR="0028198C" w:rsidRPr="005007CE">
        <w:t>pa</w:t>
      </w:r>
      <w:r w:rsidR="00B66457">
        <w:t>rental</w:t>
      </w:r>
      <w:r w:rsidR="0028198C" w:rsidRPr="005007CE">
        <w:t xml:space="preserve"> leave</w:t>
      </w:r>
      <w:r w:rsidR="00434BAC" w:rsidRPr="005007CE">
        <w:t>.</w:t>
      </w:r>
      <w:r w:rsidR="001630C8" w:rsidRPr="005007CE">
        <w:t xml:space="preserve"> </w:t>
      </w:r>
      <w:r w:rsidR="00434BAC" w:rsidRPr="005007CE">
        <w:t xml:space="preserve"> </w:t>
      </w:r>
      <w:r w:rsidR="009F28C1" w:rsidRPr="005007CE">
        <w:t>(</w:t>
      </w:r>
      <w:r w:rsidR="00434BAC" w:rsidRPr="005007CE">
        <w:t>S</w:t>
      </w:r>
      <w:r w:rsidR="009F28C1" w:rsidRPr="005007CE">
        <w:t xml:space="preserve">ee Gov. Code, </w:t>
      </w:r>
      <w:r w:rsidR="00074158" w:rsidRPr="005007CE">
        <w:t>§</w:t>
      </w:r>
      <w:r w:rsidR="009F28C1" w:rsidRPr="005007CE">
        <w:t>§ </w:t>
      </w:r>
      <w:r w:rsidR="00074158" w:rsidRPr="005007CE">
        <w:t>12940, 12945.2</w:t>
      </w:r>
      <w:r w:rsidR="00434BAC" w:rsidRPr="005007CE">
        <w:t>.</w:t>
      </w:r>
      <w:r w:rsidR="00074158" w:rsidRPr="005007CE">
        <w:t>)</w:t>
      </w:r>
      <w:r w:rsidR="00FD464C" w:rsidRPr="005007CE">
        <w:t xml:space="preserve">  He further allege</w:t>
      </w:r>
      <w:r w:rsidR="00434BAC" w:rsidRPr="005007CE">
        <w:t>s</w:t>
      </w:r>
      <w:r w:rsidR="00FD464C" w:rsidRPr="005007CE">
        <w:t xml:space="preserve"> </w:t>
      </w:r>
      <w:r w:rsidRPr="005007CE">
        <w:t xml:space="preserve">wrongful termination in violation </w:t>
      </w:r>
      <w:r w:rsidR="00794CFE" w:rsidRPr="005007CE">
        <w:t xml:space="preserve">of the public policy against </w:t>
      </w:r>
      <w:r w:rsidR="00353424" w:rsidRPr="005007CE">
        <w:t xml:space="preserve">employment </w:t>
      </w:r>
      <w:r w:rsidR="00794CFE" w:rsidRPr="005007CE">
        <w:t>discrimination and retaliation</w:t>
      </w:r>
      <w:r w:rsidR="00434BAC" w:rsidRPr="005007CE">
        <w:t xml:space="preserve">. </w:t>
      </w:r>
      <w:r w:rsidR="001630C8" w:rsidRPr="005007CE">
        <w:t xml:space="preserve"> </w:t>
      </w:r>
      <w:r w:rsidRPr="005007CE">
        <w:t>(</w:t>
      </w:r>
      <w:r w:rsidR="00434BAC" w:rsidRPr="005007CE">
        <w:t>S</w:t>
      </w:r>
      <w:r w:rsidRPr="005007CE">
        <w:t xml:space="preserve">ee </w:t>
      </w:r>
      <w:r w:rsidR="00794CFE" w:rsidRPr="005007CE">
        <w:rPr>
          <w:i/>
        </w:rPr>
        <w:t>Gantt v. Sentry Insurance</w:t>
      </w:r>
      <w:r w:rsidR="00794CFE" w:rsidRPr="005007CE">
        <w:t xml:space="preserve"> (1992) 1 Cal.4th 1083, 1089–1097</w:t>
      </w:r>
      <w:r w:rsidR="00434BAC" w:rsidRPr="005007CE">
        <w:t>.</w:t>
      </w:r>
      <w:r w:rsidRPr="005007CE">
        <w:t xml:space="preserve">)  </w:t>
      </w:r>
      <w:r w:rsidR="000C3073" w:rsidRPr="005007CE">
        <w:t xml:space="preserve">In </w:t>
      </w:r>
      <w:r w:rsidR="003D0179" w:rsidRPr="005007CE">
        <w:t xml:space="preserve">his seventh and final cause of action, </w:t>
      </w:r>
      <w:r w:rsidR="000C3073" w:rsidRPr="005007CE">
        <w:t>Wilson allege</w:t>
      </w:r>
      <w:r w:rsidR="00434BAC" w:rsidRPr="005007CE">
        <w:t>s</w:t>
      </w:r>
      <w:r w:rsidR="000C3073" w:rsidRPr="005007CE">
        <w:t xml:space="preserve"> that </w:t>
      </w:r>
      <w:r w:rsidR="004E315A" w:rsidRPr="005007CE">
        <w:t>CNN</w:t>
      </w:r>
      <w:r w:rsidR="002D21B4" w:rsidRPr="005007CE">
        <w:t xml:space="preserve"> defamed him by </w:t>
      </w:r>
      <w:r w:rsidR="003A635A" w:rsidRPr="005007CE">
        <w:t xml:space="preserve">telling </w:t>
      </w:r>
      <w:r w:rsidR="002D21B4" w:rsidRPr="005007CE">
        <w:t>prospective employers and others that Wilson had committed plagiarism</w:t>
      </w:r>
      <w:r w:rsidR="003A635A" w:rsidRPr="005007CE">
        <w:t xml:space="preserve"> in violation of CNN’s standards and practices</w:t>
      </w:r>
      <w:r w:rsidR="002D21B4" w:rsidRPr="005007CE">
        <w:t>.</w:t>
      </w:r>
    </w:p>
    <w:p w14:paraId="7317752C" w14:textId="77777777" w:rsidR="002D21B4" w:rsidRPr="005007CE" w:rsidRDefault="002D21B4" w:rsidP="00414F44">
      <w:pPr>
        <w:tabs>
          <w:tab w:val="left" w:pos="1440"/>
        </w:tabs>
        <w:ind w:firstLine="720"/>
        <w:rPr>
          <w:b/>
        </w:rPr>
      </w:pPr>
      <w:r w:rsidRPr="005007CE">
        <w:t>CNN filed an anti-SLAPP motion.</w:t>
      </w:r>
      <w:r w:rsidR="005E048A" w:rsidRPr="005007CE">
        <w:t xml:space="preserve">  (§ 425.16.)</w:t>
      </w:r>
      <w:r w:rsidR="005E048A" w:rsidRPr="005007CE">
        <w:rPr>
          <w:rStyle w:val="FootnoteReference"/>
        </w:rPr>
        <w:footnoteReference w:id="3"/>
      </w:r>
      <w:r w:rsidRPr="005007CE">
        <w:t xml:space="preserve">  It argued that the first six causes of action arose, in wh</w:t>
      </w:r>
      <w:r w:rsidR="005E048A" w:rsidRPr="005007CE">
        <w:t xml:space="preserve">ole or in part, </w:t>
      </w:r>
      <w:r w:rsidR="00F70B23" w:rsidRPr="005007CE">
        <w:t>from</w:t>
      </w:r>
      <w:r w:rsidR="005E048A" w:rsidRPr="005007CE">
        <w:t xml:space="preserve"> </w:t>
      </w:r>
      <w:r w:rsidR="005E048A" w:rsidRPr="005007CE">
        <w:lastRenderedPageBreak/>
        <w:t>Wilson’s termination, and CNN’s</w:t>
      </w:r>
      <w:r w:rsidRPr="005007CE">
        <w:t xml:space="preserve"> </w:t>
      </w:r>
      <w:r w:rsidR="00B773E5" w:rsidRPr="005007CE">
        <w:t xml:space="preserve">decision to </w:t>
      </w:r>
      <w:r w:rsidR="00346078" w:rsidRPr="005007CE">
        <w:t xml:space="preserve">fire Wilson </w:t>
      </w:r>
      <w:r w:rsidRPr="005007CE">
        <w:t>was in</w:t>
      </w:r>
      <w:r w:rsidR="005E048A" w:rsidRPr="005007CE">
        <w:t xml:space="preserve"> furtherance of </w:t>
      </w:r>
      <w:r w:rsidR="00F70B23" w:rsidRPr="005007CE">
        <w:t>it</w:t>
      </w:r>
      <w:r w:rsidR="005E048A" w:rsidRPr="005007CE">
        <w:t xml:space="preserve">s </w:t>
      </w:r>
      <w:r w:rsidRPr="005007CE">
        <w:t xml:space="preserve">right </w:t>
      </w:r>
      <w:r w:rsidR="005E048A" w:rsidRPr="005007CE">
        <w:t xml:space="preserve">to </w:t>
      </w:r>
      <w:r w:rsidR="00B45D11" w:rsidRPr="005007CE">
        <w:t xml:space="preserve">determine who should </w:t>
      </w:r>
      <w:r w:rsidR="00DD049E" w:rsidRPr="005007CE">
        <w:t xml:space="preserve">speak </w:t>
      </w:r>
      <w:r w:rsidR="00B45D11" w:rsidRPr="005007CE">
        <w:t xml:space="preserve">on its behalf </w:t>
      </w:r>
      <w:r w:rsidR="005E048A" w:rsidRPr="005007CE">
        <w:t>on matters of public interest</w:t>
      </w:r>
      <w:r w:rsidRPr="005007CE">
        <w:t>.  CNN further argued that the defamation cause of action arose fr</w:t>
      </w:r>
      <w:r w:rsidR="00E243E4" w:rsidRPr="005007CE">
        <w:t>om protected speech because its statements as to whether Wilson met CNN’s editorial standards in reporting on a matter of public interest furthered CNN’s exercise of free speech rights</w:t>
      </w:r>
      <w:r w:rsidRPr="005007CE">
        <w:t>.  The trial court agre</w:t>
      </w:r>
      <w:r w:rsidR="00206CEB" w:rsidRPr="005007CE">
        <w:t>ed with these arguments,</w:t>
      </w:r>
      <w:r w:rsidRPr="005007CE">
        <w:t xml:space="preserve"> concluded that Wilson had not shown </w:t>
      </w:r>
      <w:r w:rsidR="00CA79A2" w:rsidRPr="005007CE">
        <w:t xml:space="preserve">any of his claims had </w:t>
      </w:r>
      <w:r w:rsidR="001A660A" w:rsidRPr="005007CE">
        <w:t xml:space="preserve">minimal </w:t>
      </w:r>
      <w:r w:rsidR="00CA79A2" w:rsidRPr="005007CE">
        <w:t xml:space="preserve">merit, and </w:t>
      </w:r>
      <w:r w:rsidR="00206CEB" w:rsidRPr="005007CE">
        <w:t>granted the</w:t>
      </w:r>
      <w:r w:rsidR="00E243E4" w:rsidRPr="005007CE">
        <w:t xml:space="preserve"> motion.</w:t>
      </w:r>
    </w:p>
    <w:p w14:paraId="65F70900" w14:textId="6027ED16" w:rsidR="00E55681" w:rsidRPr="005007CE" w:rsidRDefault="00E55681" w:rsidP="00414F44">
      <w:pPr>
        <w:tabs>
          <w:tab w:val="left" w:pos="1440"/>
        </w:tabs>
        <w:ind w:firstLine="720"/>
        <w:rPr>
          <w:szCs w:val="26"/>
        </w:rPr>
      </w:pPr>
      <w:r w:rsidRPr="005007CE">
        <w:t>A divided Court of Appeal reversed.</w:t>
      </w:r>
      <w:r w:rsidR="0058018C">
        <w:t xml:space="preserve"> </w:t>
      </w:r>
      <w:r w:rsidRPr="005007CE">
        <w:t xml:space="preserve"> (</w:t>
      </w:r>
      <w:r w:rsidRPr="005007CE">
        <w:rPr>
          <w:i/>
        </w:rPr>
        <w:t>Wilson v. Cable News Network, Inc.</w:t>
      </w:r>
      <w:r w:rsidRPr="005007CE">
        <w:t xml:space="preserve"> (2016) 6 Cal.App.5th 822</w:t>
      </w:r>
      <w:r w:rsidR="00181314" w:rsidRPr="005007CE">
        <w:t xml:space="preserve">, review granted </w:t>
      </w:r>
      <w:r w:rsidR="00F80FF0" w:rsidRPr="005007CE">
        <w:t>Mar. 1, 2017</w:t>
      </w:r>
      <w:r w:rsidR="00181314" w:rsidRPr="005007CE">
        <w:t>, S239686</w:t>
      </w:r>
      <w:r w:rsidR="002F0A55" w:rsidRPr="005007CE">
        <w:t xml:space="preserve"> (</w:t>
      </w:r>
      <w:r w:rsidR="002F0A55" w:rsidRPr="005007CE">
        <w:rPr>
          <w:i/>
        </w:rPr>
        <w:t>Wilson</w:t>
      </w:r>
      <w:r w:rsidR="002F0A55" w:rsidRPr="005007CE">
        <w:t>)</w:t>
      </w:r>
      <w:r w:rsidRPr="005007CE">
        <w:t xml:space="preserve">; see </w:t>
      </w:r>
      <w:r w:rsidRPr="005007CE">
        <w:rPr>
          <w:i/>
        </w:rPr>
        <w:t>id.</w:t>
      </w:r>
      <w:r w:rsidRPr="005007CE">
        <w:t xml:space="preserve"> at p. 840 (dis. opn. of Rothschild, </w:t>
      </w:r>
      <w:r w:rsidR="00EA3F14" w:rsidRPr="005007CE">
        <w:t>P. </w:t>
      </w:r>
      <w:r w:rsidRPr="005007CE">
        <w:t>J.).)</w:t>
      </w:r>
      <w:r w:rsidR="00206CEB" w:rsidRPr="005007CE">
        <w:t xml:space="preserve">  </w:t>
      </w:r>
      <w:r w:rsidR="00B45D11" w:rsidRPr="005007CE">
        <w:t>T</w:t>
      </w:r>
      <w:r w:rsidR="00206CEB" w:rsidRPr="005007CE">
        <w:t xml:space="preserve">he majority </w:t>
      </w:r>
      <w:r w:rsidR="00FC78B1" w:rsidRPr="005007CE">
        <w:t>hel</w:t>
      </w:r>
      <w:r w:rsidR="000079FF" w:rsidRPr="005007CE">
        <w:t xml:space="preserve">d </w:t>
      </w:r>
      <w:r w:rsidR="002722D2" w:rsidRPr="005007CE">
        <w:t xml:space="preserve">the trial court erred in granting the motion to strike </w:t>
      </w:r>
      <w:r w:rsidR="00B45D11" w:rsidRPr="005007CE">
        <w:t xml:space="preserve">Wilson’s employment discrimination and retaliation claims </w:t>
      </w:r>
      <w:r w:rsidR="002722D2" w:rsidRPr="005007CE">
        <w:t xml:space="preserve">because the claims arose from </w:t>
      </w:r>
      <w:r w:rsidR="000079FF" w:rsidRPr="005007CE">
        <w:rPr>
          <w:szCs w:val="26"/>
        </w:rPr>
        <w:t>“</w:t>
      </w:r>
      <w:r w:rsidR="00456152" w:rsidRPr="005007CE">
        <w:rPr>
          <w:szCs w:val="26"/>
        </w:rPr>
        <w:t>defendants’ allegedly discriminatory and retaliatory conduct against him, not the particular manifestations of the discrimination and retaliation, such as denying promotions, assigning him menial tasks, and firing him.</w:t>
      </w:r>
      <w:r w:rsidR="00206CEB" w:rsidRPr="005007CE">
        <w:rPr>
          <w:szCs w:val="26"/>
        </w:rPr>
        <w:t>”  (</w:t>
      </w:r>
      <w:r w:rsidR="00206CEB" w:rsidRPr="005007CE">
        <w:rPr>
          <w:i/>
          <w:szCs w:val="26"/>
        </w:rPr>
        <w:t>Id.</w:t>
      </w:r>
      <w:r w:rsidR="00206CEB" w:rsidRPr="005007CE">
        <w:rPr>
          <w:szCs w:val="26"/>
        </w:rPr>
        <w:t xml:space="preserve"> at </w:t>
      </w:r>
      <w:r w:rsidR="00456152" w:rsidRPr="005007CE">
        <w:rPr>
          <w:szCs w:val="26"/>
        </w:rPr>
        <w:t>p. 836</w:t>
      </w:r>
      <w:r w:rsidR="00206CEB" w:rsidRPr="005007CE">
        <w:rPr>
          <w:szCs w:val="26"/>
        </w:rPr>
        <w:t>.)</w:t>
      </w:r>
      <w:r w:rsidR="00456152" w:rsidRPr="005007CE">
        <w:rPr>
          <w:szCs w:val="26"/>
        </w:rPr>
        <w:t xml:space="preserve">  </w:t>
      </w:r>
      <w:r w:rsidR="00C73744" w:rsidRPr="005007CE">
        <w:rPr>
          <w:szCs w:val="26"/>
        </w:rPr>
        <w:t>R</w:t>
      </w:r>
      <w:r w:rsidR="00FC78B1" w:rsidRPr="005007CE">
        <w:rPr>
          <w:szCs w:val="26"/>
        </w:rPr>
        <w:t>easoning that</w:t>
      </w:r>
      <w:r w:rsidR="00456152" w:rsidRPr="005007CE">
        <w:rPr>
          <w:szCs w:val="26"/>
        </w:rPr>
        <w:t xml:space="preserve"> discrimination and retaliation </w:t>
      </w:r>
      <w:r w:rsidR="00DA4112" w:rsidRPr="005007CE">
        <w:rPr>
          <w:szCs w:val="26"/>
        </w:rPr>
        <w:t xml:space="preserve">do not qualify as protected activity, </w:t>
      </w:r>
      <w:r w:rsidR="00456152" w:rsidRPr="005007CE">
        <w:rPr>
          <w:szCs w:val="26"/>
        </w:rPr>
        <w:t>even when committed by a news organization, the majority concluded the ant</w:t>
      </w:r>
      <w:r w:rsidR="001311D3" w:rsidRPr="005007CE">
        <w:rPr>
          <w:szCs w:val="26"/>
        </w:rPr>
        <w:t>i</w:t>
      </w:r>
      <w:r w:rsidR="00456152" w:rsidRPr="005007CE">
        <w:rPr>
          <w:szCs w:val="26"/>
        </w:rPr>
        <w:t>-SLAPP</w:t>
      </w:r>
      <w:r w:rsidR="00C73744" w:rsidRPr="005007CE">
        <w:rPr>
          <w:szCs w:val="26"/>
        </w:rPr>
        <w:t xml:space="preserve"> statute </w:t>
      </w:r>
      <w:r w:rsidR="00BB027E" w:rsidRPr="005007CE">
        <w:rPr>
          <w:szCs w:val="26"/>
        </w:rPr>
        <w:t xml:space="preserve">did </w:t>
      </w:r>
      <w:r w:rsidR="00C73744" w:rsidRPr="005007CE">
        <w:rPr>
          <w:szCs w:val="26"/>
        </w:rPr>
        <w:t>not apply</w:t>
      </w:r>
      <w:r w:rsidR="00456152" w:rsidRPr="005007CE">
        <w:rPr>
          <w:szCs w:val="26"/>
        </w:rPr>
        <w:t>.  (</w:t>
      </w:r>
      <w:r w:rsidR="00456152" w:rsidRPr="005007CE">
        <w:rPr>
          <w:i/>
          <w:szCs w:val="26"/>
        </w:rPr>
        <w:t>Id.</w:t>
      </w:r>
      <w:r w:rsidR="00456152" w:rsidRPr="005007CE">
        <w:rPr>
          <w:szCs w:val="26"/>
        </w:rPr>
        <w:t xml:space="preserve"> at </w:t>
      </w:r>
      <w:r w:rsidR="00BB027E" w:rsidRPr="005007CE">
        <w:rPr>
          <w:szCs w:val="26"/>
        </w:rPr>
        <w:t>p</w:t>
      </w:r>
      <w:r w:rsidR="00456152" w:rsidRPr="005007CE">
        <w:rPr>
          <w:szCs w:val="26"/>
        </w:rPr>
        <w:t>p. </w:t>
      </w:r>
      <w:r w:rsidR="00BB027E" w:rsidRPr="005007CE">
        <w:rPr>
          <w:szCs w:val="26"/>
        </w:rPr>
        <w:t>834–</w:t>
      </w:r>
      <w:r w:rsidR="00456152" w:rsidRPr="005007CE">
        <w:rPr>
          <w:szCs w:val="26"/>
        </w:rPr>
        <w:t>837.)  The dissent disagreed</w:t>
      </w:r>
      <w:r w:rsidR="00A82F00" w:rsidRPr="005007CE">
        <w:rPr>
          <w:szCs w:val="26"/>
        </w:rPr>
        <w:t xml:space="preserve">, </w:t>
      </w:r>
      <w:r w:rsidR="00456152" w:rsidRPr="005007CE">
        <w:rPr>
          <w:szCs w:val="26"/>
        </w:rPr>
        <w:t xml:space="preserve">urging that the </w:t>
      </w:r>
      <w:r w:rsidR="0018480C" w:rsidRPr="005007CE">
        <w:rPr>
          <w:szCs w:val="26"/>
        </w:rPr>
        <w:t xml:space="preserve">claims </w:t>
      </w:r>
      <w:r w:rsidR="00456152" w:rsidRPr="005007CE">
        <w:rPr>
          <w:szCs w:val="26"/>
        </w:rPr>
        <w:t xml:space="preserve">arose from CNN’s decision </w:t>
      </w:r>
      <w:r w:rsidR="0070239E" w:rsidRPr="005007CE">
        <w:rPr>
          <w:szCs w:val="26"/>
        </w:rPr>
        <w:t xml:space="preserve">about </w:t>
      </w:r>
      <w:r w:rsidR="00456152" w:rsidRPr="005007CE">
        <w:rPr>
          <w:szCs w:val="26"/>
        </w:rPr>
        <w:t>who would report the news on its behalf, a decision in furtherance of CNN’s exercise of free speech rights.</w:t>
      </w:r>
      <w:r w:rsidR="00D72D25" w:rsidRPr="005007CE">
        <w:rPr>
          <w:szCs w:val="26"/>
        </w:rPr>
        <w:t xml:space="preserve">  </w:t>
      </w:r>
      <w:r w:rsidR="00456152" w:rsidRPr="005007CE">
        <w:rPr>
          <w:szCs w:val="26"/>
        </w:rPr>
        <w:t>(</w:t>
      </w:r>
      <w:r w:rsidR="00456152" w:rsidRPr="005007CE">
        <w:rPr>
          <w:i/>
          <w:szCs w:val="26"/>
        </w:rPr>
        <w:t>Id.</w:t>
      </w:r>
      <w:r w:rsidR="00456152" w:rsidRPr="005007CE">
        <w:rPr>
          <w:szCs w:val="26"/>
        </w:rPr>
        <w:t xml:space="preserve"> at pp.</w:t>
      </w:r>
      <w:r w:rsidR="00D54F68" w:rsidRPr="005007CE">
        <w:rPr>
          <w:szCs w:val="26"/>
        </w:rPr>
        <w:t> </w:t>
      </w:r>
      <w:r w:rsidR="00CB1EA0" w:rsidRPr="005007CE">
        <w:rPr>
          <w:szCs w:val="26"/>
        </w:rPr>
        <w:t>840–842</w:t>
      </w:r>
      <w:r w:rsidR="0059091F" w:rsidRPr="005007CE">
        <w:rPr>
          <w:szCs w:val="26"/>
        </w:rPr>
        <w:t xml:space="preserve"> (dis. opn. of Rothschild, </w:t>
      </w:r>
      <w:r w:rsidR="00EA3F14" w:rsidRPr="005007CE">
        <w:rPr>
          <w:szCs w:val="26"/>
        </w:rPr>
        <w:t>P. </w:t>
      </w:r>
      <w:r w:rsidR="0059091F" w:rsidRPr="005007CE">
        <w:rPr>
          <w:szCs w:val="26"/>
        </w:rPr>
        <w:t>J</w:t>
      </w:r>
      <w:r w:rsidR="00CB1EA0" w:rsidRPr="005007CE">
        <w:rPr>
          <w:szCs w:val="26"/>
        </w:rPr>
        <w:t>.)</w:t>
      </w:r>
      <w:r w:rsidR="004555B0" w:rsidRPr="005007CE">
        <w:rPr>
          <w:szCs w:val="26"/>
        </w:rPr>
        <w:t>.)</w:t>
      </w:r>
      <w:r w:rsidR="00C2569C" w:rsidRPr="005007CE">
        <w:rPr>
          <w:szCs w:val="26"/>
        </w:rPr>
        <w:t xml:space="preserve">  </w:t>
      </w:r>
      <w:r w:rsidR="000079FF" w:rsidRPr="005007CE">
        <w:t>The majority and dissent likewise disagreed over the treatment of Wilson’s defamation claim</w:t>
      </w:r>
      <w:r w:rsidR="0070239E" w:rsidRPr="005007CE">
        <w:t xml:space="preserve">: </w:t>
      </w:r>
      <w:r w:rsidR="003502E1" w:rsidRPr="005007CE">
        <w:t xml:space="preserve"> </w:t>
      </w:r>
      <w:r w:rsidR="0070239E" w:rsidRPr="005007CE">
        <w:t xml:space="preserve">The majority thought the trial court was wrong to strike the claim, while the dissent </w:t>
      </w:r>
      <w:r w:rsidR="0070239E" w:rsidRPr="005007CE">
        <w:lastRenderedPageBreak/>
        <w:t>took the opposite view</w:t>
      </w:r>
      <w:r w:rsidR="000079FF" w:rsidRPr="005007CE">
        <w:t xml:space="preserve">.  (See </w:t>
      </w:r>
      <w:r w:rsidR="00EA3F14" w:rsidRPr="005007CE">
        <w:rPr>
          <w:i/>
        </w:rPr>
        <w:t>id.</w:t>
      </w:r>
      <w:r w:rsidR="000079FF" w:rsidRPr="005007CE">
        <w:t xml:space="preserve"> at pp. 837–840; </w:t>
      </w:r>
      <w:r w:rsidR="000079FF" w:rsidRPr="005007CE">
        <w:rPr>
          <w:i/>
        </w:rPr>
        <w:t>id.</w:t>
      </w:r>
      <w:r w:rsidR="000079FF" w:rsidRPr="005007CE">
        <w:t xml:space="preserve"> at pp. 845–846 (dis. opn. of Rothschild, </w:t>
      </w:r>
      <w:r w:rsidR="00EA3F14" w:rsidRPr="005007CE">
        <w:t>P. </w:t>
      </w:r>
      <w:r w:rsidR="000079FF" w:rsidRPr="005007CE">
        <w:t>J.).)</w:t>
      </w:r>
    </w:p>
    <w:p w14:paraId="5121341E" w14:textId="77777777" w:rsidR="0095234B" w:rsidRDefault="000079FF" w:rsidP="00414F44">
      <w:pPr>
        <w:tabs>
          <w:tab w:val="left" w:pos="1440"/>
        </w:tabs>
        <w:ind w:firstLine="720"/>
        <w:rPr>
          <w:szCs w:val="26"/>
        </w:rPr>
      </w:pPr>
      <w:r w:rsidRPr="005007CE">
        <w:rPr>
          <w:szCs w:val="26"/>
        </w:rPr>
        <w:t>The Court of Appeal’s decision</w:t>
      </w:r>
      <w:r w:rsidR="00173F8A" w:rsidRPr="005007CE">
        <w:rPr>
          <w:szCs w:val="26"/>
        </w:rPr>
        <w:t xml:space="preserve"> in this case</w:t>
      </w:r>
      <w:r w:rsidRPr="005007CE">
        <w:rPr>
          <w:szCs w:val="26"/>
        </w:rPr>
        <w:t xml:space="preserve"> </w:t>
      </w:r>
      <w:r w:rsidR="00CB1EA0" w:rsidRPr="005007CE">
        <w:rPr>
          <w:szCs w:val="26"/>
        </w:rPr>
        <w:t xml:space="preserve">added to a growing divide </w:t>
      </w:r>
      <w:r w:rsidR="00CB1EA0" w:rsidRPr="005007CE">
        <w:t>over whether</w:t>
      </w:r>
      <w:r w:rsidR="00AF501E" w:rsidRPr="005007CE">
        <w:t xml:space="preserve">, in an employment discrimination or retaliation </w:t>
      </w:r>
      <w:r w:rsidR="004555B0" w:rsidRPr="005007CE">
        <w:t>case</w:t>
      </w:r>
      <w:r w:rsidR="00AF501E" w:rsidRPr="005007CE">
        <w:t xml:space="preserve">, the </w:t>
      </w:r>
      <w:r w:rsidR="00BC5F86" w:rsidRPr="005007CE">
        <w:t xml:space="preserve">employer’s alleged motive to discriminate or retaliate </w:t>
      </w:r>
      <w:r w:rsidR="00AF501E" w:rsidRPr="005007CE">
        <w:t xml:space="preserve">eliminates any anti-SLAPP protection that </w:t>
      </w:r>
      <w:r w:rsidR="00F01506" w:rsidRPr="005007CE">
        <w:t>might otherwise attach to the employer’s employment practices.</w:t>
      </w:r>
      <w:r w:rsidR="000D3949" w:rsidRPr="005007CE">
        <w:rPr>
          <w:rStyle w:val="FootnoteReference"/>
        </w:rPr>
        <w:footnoteReference w:id="4"/>
      </w:r>
      <w:r w:rsidR="00D12113" w:rsidRPr="005007CE">
        <w:rPr>
          <w:szCs w:val="26"/>
        </w:rPr>
        <w:t xml:space="preserve">  </w:t>
      </w:r>
      <w:r w:rsidR="00CB1EA0" w:rsidRPr="005007CE">
        <w:rPr>
          <w:szCs w:val="26"/>
        </w:rPr>
        <w:t>We took review</w:t>
      </w:r>
      <w:r w:rsidR="0070239E" w:rsidRPr="005007CE">
        <w:rPr>
          <w:szCs w:val="26"/>
        </w:rPr>
        <w:t xml:space="preserve"> to answer that question and to address the application of the anti-SLAPP statute to </w:t>
      </w:r>
      <w:r w:rsidR="00DD1A10" w:rsidRPr="005007CE">
        <w:rPr>
          <w:szCs w:val="26"/>
        </w:rPr>
        <w:t>Wilson’s related defamation claim</w:t>
      </w:r>
      <w:r w:rsidR="00CB1EA0" w:rsidRPr="005007CE">
        <w:rPr>
          <w:szCs w:val="26"/>
        </w:rPr>
        <w:t>.</w:t>
      </w:r>
    </w:p>
    <w:p w14:paraId="0820F7A2" w14:textId="77777777" w:rsidR="00C2037C" w:rsidRPr="005007CE" w:rsidRDefault="00C2037C" w:rsidP="00443D0F">
      <w:pPr>
        <w:keepNext/>
        <w:jc w:val="center"/>
        <w:rPr>
          <w:b/>
        </w:rPr>
      </w:pPr>
      <w:r w:rsidRPr="005007CE">
        <w:rPr>
          <w:b/>
        </w:rPr>
        <w:lastRenderedPageBreak/>
        <w:t>II.</w:t>
      </w:r>
    </w:p>
    <w:p w14:paraId="73C8C762" w14:textId="77777777" w:rsidR="00EF2BCA" w:rsidRPr="005007CE" w:rsidRDefault="00ED0C7A" w:rsidP="00414F44">
      <w:pPr>
        <w:tabs>
          <w:tab w:val="left" w:pos="1440"/>
        </w:tabs>
        <w:ind w:firstLine="720"/>
        <w:rPr>
          <w:szCs w:val="26"/>
        </w:rPr>
      </w:pPr>
      <w:r w:rsidRPr="005007CE">
        <w:t>Enacted</w:t>
      </w:r>
      <w:r w:rsidR="00234E63" w:rsidRPr="005007CE">
        <w:t xml:space="preserve"> by the Legislature in 1992, the anti-SLAPP statute is designed </w:t>
      </w:r>
      <w:r w:rsidR="00916118" w:rsidRPr="005007CE">
        <w:t xml:space="preserve">to protect </w:t>
      </w:r>
      <w:r w:rsidR="0087561D" w:rsidRPr="005007CE">
        <w:t xml:space="preserve">defendants from </w:t>
      </w:r>
      <w:r w:rsidR="00EF2BCA" w:rsidRPr="005007CE">
        <w:t xml:space="preserve">meritless </w:t>
      </w:r>
      <w:r w:rsidR="00EE6671" w:rsidRPr="005007CE">
        <w:t xml:space="preserve">lawsuits </w:t>
      </w:r>
      <w:r w:rsidR="00EF2BCA" w:rsidRPr="005007CE">
        <w:t xml:space="preserve">that </w:t>
      </w:r>
      <w:r w:rsidR="00916118" w:rsidRPr="005007CE">
        <w:t>might chill</w:t>
      </w:r>
      <w:r w:rsidR="0087561D" w:rsidRPr="005007CE">
        <w:t xml:space="preserve"> the exercise of </w:t>
      </w:r>
      <w:r w:rsidR="006E563B" w:rsidRPr="005007CE">
        <w:t xml:space="preserve">their </w:t>
      </w:r>
      <w:r w:rsidR="0087561D" w:rsidRPr="005007CE">
        <w:t xml:space="preserve">rights to speak and petition on matters of public concern.  </w:t>
      </w:r>
      <w:r w:rsidR="004F6198" w:rsidRPr="005007CE">
        <w:t xml:space="preserve">(See § 425.16, subd. (a); </w:t>
      </w:r>
      <w:r w:rsidR="004F6198" w:rsidRPr="005007CE">
        <w:rPr>
          <w:i/>
        </w:rPr>
        <w:t>Rand Resources, LLC v. City of Carson</w:t>
      </w:r>
      <w:r w:rsidR="004F6198" w:rsidRPr="005007CE">
        <w:t xml:space="preserve"> (2019) 6 Cal.5th 610, 619; </w:t>
      </w:r>
      <w:r w:rsidR="004F6198" w:rsidRPr="005007CE">
        <w:rPr>
          <w:i/>
        </w:rPr>
        <w:t>Varian Medical Systems, Inc. v. Delfino</w:t>
      </w:r>
      <w:r w:rsidR="004F6198" w:rsidRPr="005007CE">
        <w:t xml:space="preserve"> (2005) 35 Cal.4th 180, 192.)  </w:t>
      </w:r>
      <w:r w:rsidR="00EF2BCA" w:rsidRPr="005007CE">
        <w:t>To that end, t</w:t>
      </w:r>
      <w:r w:rsidR="00FE052C" w:rsidRPr="005007CE">
        <w:t xml:space="preserve">he statute authorizes a </w:t>
      </w:r>
      <w:r w:rsidR="00AC7872" w:rsidRPr="005007CE">
        <w:t xml:space="preserve">special </w:t>
      </w:r>
      <w:r w:rsidR="00FE052C" w:rsidRPr="005007CE">
        <w:t xml:space="preserve">motion to strike claims </w:t>
      </w:r>
      <w:r w:rsidR="008672F6" w:rsidRPr="005007CE">
        <w:t xml:space="preserve">“arising from any act of that person in furtherance of the person’s right of petition or free speech under the United States Constitution or the California Constitution in connection with a public issue.”  </w:t>
      </w:r>
      <w:r w:rsidR="00FE052C" w:rsidRPr="005007CE">
        <w:rPr>
          <w:szCs w:val="26"/>
        </w:rPr>
        <w:t>(§ 425.16, subd. (b)(1).)</w:t>
      </w:r>
    </w:p>
    <w:p w14:paraId="78960103" w14:textId="0869887A" w:rsidR="009D3CFF" w:rsidRPr="005007CE" w:rsidRDefault="00EE4A75" w:rsidP="00414F44">
      <w:pPr>
        <w:tabs>
          <w:tab w:val="left" w:pos="1440"/>
        </w:tabs>
        <w:ind w:firstLine="720"/>
      </w:pPr>
      <w:r w:rsidRPr="005007CE">
        <w:rPr>
          <w:szCs w:val="26"/>
        </w:rPr>
        <w:t xml:space="preserve">A court evaluates an anti-SLAPP motion </w:t>
      </w:r>
      <w:r w:rsidR="008C6AEC" w:rsidRPr="005007CE">
        <w:rPr>
          <w:szCs w:val="26"/>
        </w:rPr>
        <w:t xml:space="preserve">in two steps.  </w:t>
      </w:r>
      <w:r w:rsidR="003D7B42" w:rsidRPr="005007CE">
        <w:rPr>
          <w:szCs w:val="26"/>
        </w:rPr>
        <w:t>“Initially, the moving defendant bears the burden of establishing that the challenged allegations or claims ‘aris[e] from’ protected activity in which the defendant has engaged.  [Citations.]  If the defendant carries its burden, the plaintiff must then demonstrate its claims have at least ‘minimal merit.’ ”  (</w:t>
      </w:r>
      <w:r w:rsidR="003D7B42" w:rsidRPr="005007CE">
        <w:rPr>
          <w:i/>
          <w:szCs w:val="26"/>
        </w:rPr>
        <w:t>Park v. Board of Trustees of California State University</w:t>
      </w:r>
      <w:r w:rsidR="003D7B42" w:rsidRPr="005007CE">
        <w:rPr>
          <w:szCs w:val="26"/>
        </w:rPr>
        <w:t xml:space="preserve"> (2017) 2 Cal.5th 1057, 1061</w:t>
      </w:r>
      <w:r w:rsidR="00912479" w:rsidRPr="005007CE">
        <w:rPr>
          <w:szCs w:val="26"/>
        </w:rPr>
        <w:t xml:space="preserve"> (</w:t>
      </w:r>
      <w:r w:rsidR="00912479" w:rsidRPr="005007CE">
        <w:rPr>
          <w:i/>
          <w:szCs w:val="26"/>
        </w:rPr>
        <w:t>Park</w:t>
      </w:r>
      <w:r w:rsidR="00912479" w:rsidRPr="005007CE">
        <w:rPr>
          <w:szCs w:val="26"/>
        </w:rPr>
        <w:t>)</w:t>
      </w:r>
      <w:r w:rsidR="003D7B42" w:rsidRPr="005007CE">
        <w:rPr>
          <w:szCs w:val="26"/>
        </w:rPr>
        <w:t>.)</w:t>
      </w:r>
      <w:r w:rsidR="009D3CFF" w:rsidRPr="005007CE">
        <w:rPr>
          <w:szCs w:val="26"/>
        </w:rPr>
        <w:t xml:space="preserve">  If the plai</w:t>
      </w:r>
      <w:r w:rsidR="005E02C4" w:rsidRPr="005007CE">
        <w:rPr>
          <w:szCs w:val="26"/>
        </w:rPr>
        <w:t xml:space="preserve">ntiff fails to meet that burden, </w:t>
      </w:r>
      <w:r w:rsidRPr="005007CE">
        <w:rPr>
          <w:szCs w:val="26"/>
        </w:rPr>
        <w:t xml:space="preserve">the court </w:t>
      </w:r>
      <w:r w:rsidR="00916118" w:rsidRPr="005007CE">
        <w:rPr>
          <w:szCs w:val="26"/>
        </w:rPr>
        <w:t xml:space="preserve">will </w:t>
      </w:r>
      <w:r w:rsidRPr="005007CE">
        <w:rPr>
          <w:szCs w:val="26"/>
        </w:rPr>
        <w:t xml:space="preserve">strike the </w:t>
      </w:r>
      <w:r w:rsidR="005E02C4" w:rsidRPr="005007CE">
        <w:rPr>
          <w:szCs w:val="26"/>
        </w:rPr>
        <w:t xml:space="preserve">claim.  </w:t>
      </w:r>
      <w:r w:rsidR="009D3CFF" w:rsidRPr="005007CE">
        <w:t>Subject to certain exceptions not relevant here, a defendant that prevails on a special motion to strike is entitled to attorney fees and costs.  (</w:t>
      </w:r>
      <w:r w:rsidR="006F204B" w:rsidRPr="005007CE">
        <w:t>§ 425.16</w:t>
      </w:r>
      <w:r w:rsidR="009D3CFF" w:rsidRPr="005007CE">
        <w:t>, subd. (c).)</w:t>
      </w:r>
    </w:p>
    <w:p w14:paraId="2DB1BBEA" w14:textId="55CB25A8" w:rsidR="0009495F" w:rsidRPr="005007CE" w:rsidRDefault="00912479" w:rsidP="00414F44">
      <w:pPr>
        <w:tabs>
          <w:tab w:val="left" w:pos="1440"/>
        </w:tabs>
        <w:ind w:firstLine="720"/>
        <w:rPr>
          <w:szCs w:val="26"/>
        </w:rPr>
      </w:pPr>
      <w:r w:rsidRPr="005007CE">
        <w:t xml:space="preserve">Because the Court of Appeal determined CNN had failed to carry its initial burden, we are </w:t>
      </w:r>
      <w:r w:rsidR="00EE6671" w:rsidRPr="005007CE">
        <w:t xml:space="preserve">here </w:t>
      </w:r>
      <w:r w:rsidRPr="005007CE">
        <w:t>concerned only with the first step</w:t>
      </w:r>
      <w:r w:rsidR="005E02C4" w:rsidRPr="005007CE">
        <w:t xml:space="preserve"> of the analysis.</w:t>
      </w:r>
      <w:r w:rsidR="00F41D89" w:rsidRPr="005007CE">
        <w:t xml:space="preserve">  </w:t>
      </w:r>
      <w:r w:rsidR="00B77C30" w:rsidRPr="005007CE">
        <w:rPr>
          <w:szCs w:val="26"/>
        </w:rPr>
        <w:t xml:space="preserve">The defendant’s first-step burden is to identify the activity </w:t>
      </w:r>
      <w:r w:rsidR="00F81EF9" w:rsidRPr="005007CE">
        <w:rPr>
          <w:szCs w:val="26"/>
        </w:rPr>
        <w:t xml:space="preserve">each </w:t>
      </w:r>
      <w:r w:rsidR="00B77C30" w:rsidRPr="005007CE">
        <w:rPr>
          <w:szCs w:val="26"/>
        </w:rPr>
        <w:t>challenged claim rest</w:t>
      </w:r>
      <w:r w:rsidR="00F81EF9" w:rsidRPr="005007CE">
        <w:rPr>
          <w:szCs w:val="26"/>
        </w:rPr>
        <w:t>s</w:t>
      </w:r>
      <w:r w:rsidR="00B77C30" w:rsidRPr="005007CE">
        <w:rPr>
          <w:szCs w:val="26"/>
        </w:rPr>
        <w:t xml:space="preserve"> on and demonstrate that </w:t>
      </w:r>
      <w:r w:rsidR="007C2A8D" w:rsidRPr="005007CE">
        <w:rPr>
          <w:szCs w:val="26"/>
        </w:rPr>
        <w:t xml:space="preserve">that </w:t>
      </w:r>
      <w:r w:rsidR="00B77C30" w:rsidRPr="005007CE">
        <w:rPr>
          <w:szCs w:val="26"/>
        </w:rPr>
        <w:t xml:space="preserve">activity is protected by the anti-SLAPP statute.  </w:t>
      </w:r>
      <w:r w:rsidR="005E0978" w:rsidRPr="005007CE">
        <w:rPr>
          <w:szCs w:val="26"/>
        </w:rPr>
        <w:t xml:space="preserve">A “claim may be struck only if the speech or petitioning </w:t>
      </w:r>
      <w:r w:rsidR="005E0978" w:rsidRPr="005007CE">
        <w:rPr>
          <w:szCs w:val="26"/>
        </w:rPr>
        <w:lastRenderedPageBreak/>
        <w:t xml:space="preserve">activity </w:t>
      </w:r>
      <w:r w:rsidR="005E0978" w:rsidRPr="005007CE">
        <w:rPr>
          <w:i/>
          <w:iCs/>
          <w:szCs w:val="26"/>
        </w:rPr>
        <w:t>itself</w:t>
      </w:r>
      <w:r w:rsidR="005E0978" w:rsidRPr="005007CE">
        <w:rPr>
          <w:szCs w:val="26"/>
        </w:rPr>
        <w:t xml:space="preserve"> is the wrong complained of, and not just evidence of liability or a step leading to some different act for which liability is asserted.”  (</w:t>
      </w:r>
      <w:r w:rsidR="008C6AEC" w:rsidRPr="005007CE">
        <w:rPr>
          <w:i/>
          <w:szCs w:val="26"/>
        </w:rPr>
        <w:t>Park</w:t>
      </w:r>
      <w:r w:rsidR="008C6AEC" w:rsidRPr="005007CE">
        <w:rPr>
          <w:szCs w:val="26"/>
        </w:rPr>
        <w:t xml:space="preserve">, </w:t>
      </w:r>
      <w:r w:rsidR="008C6AEC" w:rsidRPr="005007CE">
        <w:rPr>
          <w:i/>
          <w:szCs w:val="26"/>
        </w:rPr>
        <w:t>supra</w:t>
      </w:r>
      <w:r w:rsidR="008C6AEC" w:rsidRPr="005007CE">
        <w:rPr>
          <w:szCs w:val="26"/>
        </w:rPr>
        <w:t>, 2 Cal.5th at p. </w:t>
      </w:r>
      <w:r w:rsidR="005E0978" w:rsidRPr="005007CE">
        <w:rPr>
          <w:szCs w:val="26"/>
        </w:rPr>
        <w:t xml:space="preserve">1060.)  </w:t>
      </w:r>
      <w:r w:rsidR="00AC7872" w:rsidRPr="005007CE">
        <w:rPr>
          <w:szCs w:val="26"/>
        </w:rPr>
        <w:t xml:space="preserve">To determine whether </w:t>
      </w:r>
      <w:r w:rsidR="002E6B69">
        <w:rPr>
          <w:szCs w:val="26"/>
        </w:rPr>
        <w:t>a claim arises from protected activity</w:t>
      </w:r>
      <w:r w:rsidR="00AC7872" w:rsidRPr="005007CE">
        <w:rPr>
          <w:szCs w:val="26"/>
        </w:rPr>
        <w:t>, c</w:t>
      </w:r>
      <w:r w:rsidR="0009495F" w:rsidRPr="005007CE">
        <w:rPr>
          <w:szCs w:val="26"/>
        </w:rPr>
        <w:t xml:space="preserve">ourts </w:t>
      </w:r>
      <w:r w:rsidR="001D5D0B" w:rsidRPr="005007CE">
        <w:rPr>
          <w:szCs w:val="26"/>
        </w:rPr>
        <w:t xml:space="preserve">must </w:t>
      </w:r>
      <w:r w:rsidR="00860F9D" w:rsidRPr="005007CE">
        <w:rPr>
          <w:szCs w:val="26"/>
        </w:rPr>
        <w:t>“</w:t>
      </w:r>
      <w:r w:rsidR="0009495F" w:rsidRPr="005007CE">
        <w:rPr>
          <w:szCs w:val="26"/>
        </w:rPr>
        <w:t>consider the elements of the challenged claim and what actions by the defendant supply those elements and consequently form the basis for liability.”  (</w:t>
      </w:r>
      <w:r w:rsidR="0009495F" w:rsidRPr="005007CE">
        <w:rPr>
          <w:i/>
          <w:szCs w:val="26"/>
        </w:rPr>
        <w:t>Id.</w:t>
      </w:r>
      <w:r w:rsidR="0009495F" w:rsidRPr="005007CE">
        <w:rPr>
          <w:szCs w:val="26"/>
        </w:rPr>
        <w:t xml:space="preserve"> at p. 1063.)  </w:t>
      </w:r>
      <w:r w:rsidR="0078026F" w:rsidRPr="005007CE">
        <w:rPr>
          <w:szCs w:val="26"/>
        </w:rPr>
        <w:t xml:space="preserve">Courts </w:t>
      </w:r>
      <w:r w:rsidR="0009495F" w:rsidRPr="005007CE">
        <w:rPr>
          <w:szCs w:val="26"/>
        </w:rPr>
        <w:t xml:space="preserve">then </w:t>
      </w:r>
      <w:r w:rsidR="0078026F" w:rsidRPr="005007CE">
        <w:rPr>
          <w:szCs w:val="26"/>
        </w:rPr>
        <w:t xml:space="preserve">must </w:t>
      </w:r>
      <w:r w:rsidR="0009495F" w:rsidRPr="005007CE">
        <w:rPr>
          <w:szCs w:val="26"/>
        </w:rPr>
        <w:t xml:space="preserve">evaluate whether the defendant has shown any of these actions fall within one or more of the </w:t>
      </w:r>
      <w:r w:rsidR="002A3505" w:rsidRPr="005007CE">
        <w:rPr>
          <w:szCs w:val="26"/>
        </w:rPr>
        <w:t xml:space="preserve">four </w:t>
      </w:r>
      <w:r w:rsidR="008C6AEC" w:rsidRPr="005007CE">
        <w:rPr>
          <w:szCs w:val="26"/>
        </w:rPr>
        <w:t xml:space="preserve">categories </w:t>
      </w:r>
      <w:r w:rsidR="0078026F" w:rsidRPr="005007CE">
        <w:rPr>
          <w:szCs w:val="26"/>
        </w:rPr>
        <w:t xml:space="preserve">of </w:t>
      </w:r>
      <w:r w:rsidR="00B16046" w:rsidRPr="005007CE">
        <w:rPr>
          <w:szCs w:val="26"/>
        </w:rPr>
        <w:t>“</w:t>
      </w:r>
      <w:r w:rsidR="00FE55AE">
        <w:rPr>
          <w:szCs w:val="26"/>
        </w:rPr>
        <w:t> ‘</w:t>
      </w:r>
      <w:r w:rsidR="00B16046" w:rsidRPr="005007CE">
        <w:rPr>
          <w:szCs w:val="26"/>
        </w:rPr>
        <w:t>act</w:t>
      </w:r>
      <w:r w:rsidR="00FE55AE">
        <w:rPr>
          <w:szCs w:val="26"/>
        </w:rPr>
        <w:t>[</w:t>
      </w:r>
      <w:r w:rsidR="00B16046" w:rsidRPr="005007CE">
        <w:rPr>
          <w:szCs w:val="26"/>
        </w:rPr>
        <w:t>s</w:t>
      </w:r>
      <w:r w:rsidR="00FE55AE">
        <w:rPr>
          <w:szCs w:val="26"/>
        </w:rPr>
        <w:t>]’ </w:t>
      </w:r>
      <w:r w:rsidR="00B16046" w:rsidRPr="005007CE">
        <w:rPr>
          <w:szCs w:val="26"/>
        </w:rPr>
        <w:t xml:space="preserve">” </w:t>
      </w:r>
      <w:r w:rsidR="0009495F" w:rsidRPr="005007CE">
        <w:rPr>
          <w:szCs w:val="26"/>
        </w:rPr>
        <w:t>protected by the anti-SLAPP statute.  (</w:t>
      </w:r>
      <w:r w:rsidR="005E0978" w:rsidRPr="005007CE">
        <w:rPr>
          <w:szCs w:val="26"/>
        </w:rPr>
        <w:t xml:space="preserve">§ 425.16, subd. (e); </w:t>
      </w:r>
      <w:r w:rsidR="0009495F" w:rsidRPr="005007CE">
        <w:rPr>
          <w:i/>
          <w:szCs w:val="26"/>
        </w:rPr>
        <w:t>Equilon Enterprises v. Consumer Cause, Inc.</w:t>
      </w:r>
      <w:r w:rsidR="00F81EF9" w:rsidRPr="005007CE">
        <w:rPr>
          <w:szCs w:val="26"/>
        </w:rPr>
        <w:t xml:space="preserve"> (2002)</w:t>
      </w:r>
      <w:r w:rsidR="0009495F" w:rsidRPr="005007CE">
        <w:rPr>
          <w:szCs w:val="26"/>
        </w:rPr>
        <w:t xml:space="preserve"> 29 Cal.4th </w:t>
      </w:r>
      <w:r w:rsidR="00F81EF9" w:rsidRPr="005007CE">
        <w:rPr>
          <w:szCs w:val="26"/>
        </w:rPr>
        <w:t xml:space="preserve">53, </w:t>
      </w:r>
      <w:r w:rsidR="0009495F" w:rsidRPr="005007CE">
        <w:rPr>
          <w:szCs w:val="26"/>
        </w:rPr>
        <w:t>66.)</w:t>
      </w:r>
    </w:p>
    <w:p w14:paraId="1682C22C" w14:textId="3F99BB01" w:rsidR="005007CE" w:rsidRDefault="00CB4A41" w:rsidP="00414F44">
      <w:pPr>
        <w:tabs>
          <w:tab w:val="left" w:pos="1440"/>
        </w:tabs>
        <w:ind w:firstLine="720"/>
        <w:rPr>
          <w:szCs w:val="26"/>
        </w:rPr>
      </w:pPr>
      <w:r w:rsidRPr="005007CE">
        <w:rPr>
          <w:szCs w:val="26"/>
        </w:rPr>
        <w:t>CNN relies on section 425.16, subdivision (e)(4), which protects “any other conduct in furtherance of the exercise of the constitutional right of petition or the constitutional right of free speech in connection with a public issue or an issue of public interest.”</w:t>
      </w:r>
      <w:r w:rsidR="00541904" w:rsidRPr="005007CE">
        <w:rPr>
          <w:rStyle w:val="FootnoteReference"/>
          <w:szCs w:val="26"/>
        </w:rPr>
        <w:footnoteReference w:id="5"/>
      </w:r>
      <w:r w:rsidRPr="005007CE">
        <w:rPr>
          <w:szCs w:val="26"/>
        </w:rPr>
        <w:t xml:space="preserve">  Whether Wilson’s claims arise from activity protected by this provision is a matter we consider de novo.  (</w:t>
      </w:r>
      <w:r w:rsidRPr="005007CE">
        <w:rPr>
          <w:i/>
          <w:szCs w:val="26"/>
        </w:rPr>
        <w:t>Park</w:t>
      </w:r>
      <w:r w:rsidRPr="005007CE">
        <w:rPr>
          <w:szCs w:val="26"/>
        </w:rPr>
        <w:t xml:space="preserve">, </w:t>
      </w:r>
      <w:r w:rsidRPr="005007CE">
        <w:rPr>
          <w:i/>
          <w:szCs w:val="26"/>
        </w:rPr>
        <w:t>supra</w:t>
      </w:r>
      <w:r w:rsidRPr="005007CE">
        <w:rPr>
          <w:szCs w:val="26"/>
        </w:rPr>
        <w:t>, 2 Cal.5th at p. 1067)</w:t>
      </w:r>
      <w:r w:rsidR="003F1B75">
        <w:rPr>
          <w:szCs w:val="26"/>
        </w:rPr>
        <w:t xml:space="preserve">, </w:t>
      </w:r>
      <w:r w:rsidR="00384168">
        <w:rPr>
          <w:szCs w:val="26"/>
        </w:rPr>
        <w:t>evaluat</w:t>
      </w:r>
      <w:r w:rsidR="003F1B75">
        <w:rPr>
          <w:szCs w:val="26"/>
        </w:rPr>
        <w:t>ing the context and content of the asserted activity (</w:t>
      </w:r>
      <w:r w:rsidR="003F1B75">
        <w:rPr>
          <w:i/>
        </w:rPr>
        <w:t>FilmOn.com Inc. v. DoubleVerify Inc.</w:t>
      </w:r>
      <w:r w:rsidR="003F1B75">
        <w:t xml:space="preserve"> (2019) 7 Cal.5th 133, 144–145, 149).</w:t>
      </w:r>
      <w:r w:rsidR="003F1B75">
        <w:rPr>
          <w:szCs w:val="26"/>
        </w:rPr>
        <w:t xml:space="preserve"> </w:t>
      </w:r>
    </w:p>
    <w:p w14:paraId="315FD45F" w14:textId="77777777" w:rsidR="00CB498F" w:rsidRPr="005007CE" w:rsidRDefault="00CB4A41" w:rsidP="00443D0F">
      <w:pPr>
        <w:jc w:val="center"/>
        <w:rPr>
          <w:b/>
        </w:rPr>
      </w:pPr>
      <w:r w:rsidRPr="005007CE">
        <w:rPr>
          <w:b/>
        </w:rPr>
        <w:t>I</w:t>
      </w:r>
      <w:r w:rsidR="00826169" w:rsidRPr="005007CE">
        <w:rPr>
          <w:b/>
        </w:rPr>
        <w:t>II</w:t>
      </w:r>
      <w:r w:rsidR="00856E38" w:rsidRPr="005007CE">
        <w:rPr>
          <w:b/>
        </w:rPr>
        <w:t>.</w:t>
      </w:r>
    </w:p>
    <w:p w14:paraId="446317CE" w14:textId="07A7E6BD" w:rsidR="004B434F" w:rsidRPr="005007CE" w:rsidRDefault="00E54BAF" w:rsidP="00414F44">
      <w:pPr>
        <w:keepNext/>
        <w:tabs>
          <w:tab w:val="left" w:pos="720"/>
        </w:tabs>
        <w:ind w:firstLine="720"/>
        <w:rPr>
          <w:b/>
        </w:rPr>
      </w:pPr>
      <w:r w:rsidRPr="005007CE">
        <w:t xml:space="preserve">Wilson’s </w:t>
      </w:r>
      <w:r w:rsidR="001B0850" w:rsidRPr="005007CE">
        <w:t xml:space="preserve">intentional discrimination and retaliation claims are the centerpiece of his </w:t>
      </w:r>
      <w:r w:rsidRPr="005007CE">
        <w:t>complaint</w:t>
      </w:r>
      <w:r w:rsidR="00CB4A41" w:rsidRPr="005007CE">
        <w:t xml:space="preserve">.  </w:t>
      </w:r>
      <w:r w:rsidR="001B0850" w:rsidRPr="005007CE">
        <w:t xml:space="preserve">To prove </w:t>
      </w:r>
      <w:r w:rsidR="00DF5D23" w:rsidRPr="005007CE">
        <w:t xml:space="preserve">unlawful </w:t>
      </w:r>
      <w:r w:rsidR="001B0850" w:rsidRPr="005007CE">
        <w:t xml:space="preserve">discrimination, </w:t>
      </w:r>
      <w:r w:rsidR="00CB4A41" w:rsidRPr="005007CE">
        <w:rPr>
          <w:szCs w:val="26"/>
        </w:rPr>
        <w:t>Wilson</w:t>
      </w:r>
      <w:r w:rsidR="00DF5D23" w:rsidRPr="005007CE">
        <w:rPr>
          <w:szCs w:val="26"/>
        </w:rPr>
        <w:t xml:space="preserve"> must</w:t>
      </w:r>
      <w:r w:rsidR="00A204BB" w:rsidRPr="005007CE">
        <w:rPr>
          <w:szCs w:val="26"/>
        </w:rPr>
        <w:t xml:space="preserve"> show </w:t>
      </w:r>
      <w:r w:rsidR="00CB4A41" w:rsidRPr="005007CE">
        <w:rPr>
          <w:szCs w:val="26"/>
        </w:rPr>
        <w:t xml:space="preserve">he was a member of a </w:t>
      </w:r>
      <w:r w:rsidR="00CB4A41" w:rsidRPr="005007CE">
        <w:rPr>
          <w:szCs w:val="26"/>
        </w:rPr>
        <w:lastRenderedPageBreak/>
        <w:t>protected class</w:t>
      </w:r>
      <w:r w:rsidR="00FE55AE">
        <w:rPr>
          <w:szCs w:val="26"/>
        </w:rPr>
        <w:t>;</w:t>
      </w:r>
      <w:r w:rsidR="00CB4A41" w:rsidRPr="005007CE">
        <w:rPr>
          <w:szCs w:val="26"/>
        </w:rPr>
        <w:t xml:space="preserve"> was performing competently in the position he held, and suffered an adverse employment action such as termination or demotion; and that other circumstances suggest a discriminatory motive.  (</w:t>
      </w:r>
      <w:r w:rsidR="00CB4A41" w:rsidRPr="005007CE">
        <w:rPr>
          <w:i/>
          <w:szCs w:val="26"/>
        </w:rPr>
        <w:t>Guz v. Bechtel National, Inc.</w:t>
      </w:r>
      <w:r w:rsidR="00CB4A41" w:rsidRPr="005007CE">
        <w:rPr>
          <w:szCs w:val="26"/>
        </w:rPr>
        <w:t xml:space="preserve"> (2000) 24 Cal.4th 317, 355.)</w:t>
      </w:r>
      <w:r w:rsidR="00CB4A41" w:rsidRPr="005007CE">
        <w:rPr>
          <w:rStyle w:val="FootnoteReference"/>
          <w:szCs w:val="26"/>
        </w:rPr>
        <w:footnoteReference w:id="6"/>
      </w:r>
      <w:r w:rsidR="00CB4A41" w:rsidRPr="005007CE">
        <w:rPr>
          <w:szCs w:val="26"/>
        </w:rPr>
        <w:t xml:space="preserve">  </w:t>
      </w:r>
      <w:r w:rsidR="00DF5D23" w:rsidRPr="005007CE">
        <w:rPr>
          <w:szCs w:val="26"/>
        </w:rPr>
        <w:t xml:space="preserve">To </w:t>
      </w:r>
      <w:r w:rsidR="00EB225C">
        <w:rPr>
          <w:szCs w:val="26"/>
        </w:rPr>
        <w:t>prove</w:t>
      </w:r>
      <w:r w:rsidR="00DF5D23" w:rsidRPr="005007CE">
        <w:rPr>
          <w:szCs w:val="26"/>
        </w:rPr>
        <w:t xml:space="preserve"> </w:t>
      </w:r>
      <w:r w:rsidR="00C162F7" w:rsidRPr="005007CE">
        <w:rPr>
          <w:szCs w:val="26"/>
        </w:rPr>
        <w:t xml:space="preserve">unlawful </w:t>
      </w:r>
      <w:r w:rsidR="00DF5D23" w:rsidRPr="005007CE">
        <w:rPr>
          <w:szCs w:val="26"/>
        </w:rPr>
        <w:t>retaliation</w:t>
      </w:r>
      <w:r w:rsidR="00C162F7" w:rsidRPr="005007CE">
        <w:rPr>
          <w:szCs w:val="26"/>
        </w:rPr>
        <w:t xml:space="preserve">, </w:t>
      </w:r>
      <w:r w:rsidR="00DF5D23" w:rsidRPr="005007CE">
        <w:rPr>
          <w:szCs w:val="26"/>
        </w:rPr>
        <w:t xml:space="preserve">Wilson must </w:t>
      </w:r>
      <w:r w:rsidR="00CB4A41" w:rsidRPr="005007CE">
        <w:rPr>
          <w:szCs w:val="26"/>
        </w:rPr>
        <w:t xml:space="preserve">likewise show CNN subjected him to adverse employment actions for impermissible reasons—namely, because he exercised rights guaranteed him by law.  (See </w:t>
      </w:r>
      <w:r w:rsidR="00CB4A41" w:rsidRPr="005007CE">
        <w:rPr>
          <w:i/>
          <w:szCs w:val="26"/>
        </w:rPr>
        <w:t>Yanowitz v. L’Oreal USA, Inc.</w:t>
      </w:r>
      <w:r w:rsidR="00CB4A41" w:rsidRPr="005007CE">
        <w:rPr>
          <w:szCs w:val="26"/>
        </w:rPr>
        <w:t xml:space="preserve"> (2005) 36 Cal.4th 1028, 1042 [retaliation under </w:t>
      </w:r>
      <w:r w:rsidR="00AC2058" w:rsidRPr="005007CE">
        <w:rPr>
          <w:szCs w:val="26"/>
        </w:rPr>
        <w:t>the Fair Employment and Housing Act</w:t>
      </w:r>
      <w:r w:rsidR="00CB4A41" w:rsidRPr="005007CE">
        <w:rPr>
          <w:szCs w:val="26"/>
        </w:rPr>
        <w:t xml:space="preserve">]; </w:t>
      </w:r>
      <w:r w:rsidR="00CB4A41" w:rsidRPr="005007CE">
        <w:rPr>
          <w:i/>
          <w:szCs w:val="26"/>
        </w:rPr>
        <w:t>Rogers v. County of Los Angeles</w:t>
      </w:r>
      <w:r w:rsidR="00CB4A41" w:rsidRPr="005007CE">
        <w:rPr>
          <w:szCs w:val="26"/>
        </w:rPr>
        <w:t xml:space="preserve"> (2011) 198 Cal.App.4th 480, 491 [retaliation for taking family leave].)  Finally, Wilson’s wrongful termination claim turns on proof that Wilson was terminated and the reason for the firing violates public policy.  (</w:t>
      </w:r>
      <w:r w:rsidR="00CB4A41" w:rsidRPr="005007CE">
        <w:rPr>
          <w:i/>
          <w:szCs w:val="26"/>
        </w:rPr>
        <w:t>Gantt v. Sentry Insurance</w:t>
      </w:r>
      <w:r w:rsidR="00CB4A41" w:rsidRPr="005007CE">
        <w:rPr>
          <w:szCs w:val="26"/>
        </w:rPr>
        <w:t xml:space="preserve">, </w:t>
      </w:r>
      <w:r w:rsidR="00CB4A41" w:rsidRPr="005007CE">
        <w:rPr>
          <w:i/>
          <w:szCs w:val="26"/>
        </w:rPr>
        <w:t>supra</w:t>
      </w:r>
      <w:r w:rsidR="00CB4A41" w:rsidRPr="005007CE">
        <w:rPr>
          <w:szCs w:val="26"/>
        </w:rPr>
        <w:t>, 1 Cal.4th at pp. 1089–1090.)</w:t>
      </w:r>
      <w:r w:rsidR="00CB4A41" w:rsidRPr="005007CE">
        <w:rPr>
          <w:rStyle w:val="FootnoteReference"/>
          <w:szCs w:val="26"/>
        </w:rPr>
        <w:footnoteReference w:id="7"/>
      </w:r>
      <w:r w:rsidR="00CB4A41" w:rsidRPr="005007CE">
        <w:rPr>
          <w:szCs w:val="26"/>
        </w:rPr>
        <w:t xml:space="preserve">  In sum, all of Wilson’s </w:t>
      </w:r>
      <w:r w:rsidR="00CB4A41" w:rsidRPr="005007CE">
        <w:rPr>
          <w:szCs w:val="26"/>
        </w:rPr>
        <w:lastRenderedPageBreak/>
        <w:t xml:space="preserve">employment-related claims depend on two kinds of allegations:  (1) that </w:t>
      </w:r>
      <w:r w:rsidR="006B0C49">
        <w:rPr>
          <w:szCs w:val="26"/>
        </w:rPr>
        <w:t>CNN</w:t>
      </w:r>
      <w:r w:rsidR="00CB4A41" w:rsidRPr="005007CE">
        <w:rPr>
          <w:szCs w:val="26"/>
        </w:rPr>
        <w:t xml:space="preserve"> </w:t>
      </w:r>
      <w:r w:rsidR="00CB4A41" w:rsidRPr="005007CE">
        <w:t xml:space="preserve">subjected Wilson to an adverse employment action or actions, and (2) that </w:t>
      </w:r>
      <w:r w:rsidR="006B0C49">
        <w:t>it</w:t>
      </w:r>
      <w:r w:rsidR="00CB4A41" w:rsidRPr="005007CE">
        <w:t xml:space="preserve"> took these adverse actions for discriminatory or retaliatory reasons.</w:t>
      </w:r>
      <w:r w:rsidR="009164E6" w:rsidRPr="005007CE">
        <w:t xml:space="preserve">  The critical threshold question </w:t>
      </w:r>
      <w:r w:rsidR="005263AD" w:rsidRPr="005007CE">
        <w:t xml:space="preserve">before us </w:t>
      </w:r>
      <w:r w:rsidR="009164E6" w:rsidRPr="005007CE">
        <w:t xml:space="preserve">is whether </w:t>
      </w:r>
      <w:r w:rsidR="004B434F" w:rsidRPr="005007CE">
        <w:t>such claims can ever be said to be based on an “act .</w:t>
      </w:r>
      <w:r w:rsidR="002F0A55">
        <w:t> </w:t>
      </w:r>
      <w:r w:rsidR="004B434F" w:rsidRPr="005007CE">
        <w:t>.</w:t>
      </w:r>
      <w:r w:rsidR="002F0A55">
        <w:t> </w:t>
      </w:r>
      <w:r w:rsidR="004B434F" w:rsidRPr="005007CE">
        <w:t xml:space="preserve">. in furtherance” of speech and petitioning rights under section 425.16, subdivisions (b)(1) and (e)(4).  </w:t>
      </w:r>
      <w:r w:rsidR="005263AD" w:rsidRPr="005007CE">
        <w:t>The Court of Appeal answered no</w:t>
      </w:r>
      <w:r w:rsidR="00FE5234" w:rsidRPr="005007CE">
        <w:t>.  W</w:t>
      </w:r>
      <w:r w:rsidR="00B231D6" w:rsidRPr="005007CE">
        <w:t xml:space="preserve">e </w:t>
      </w:r>
      <w:r w:rsidR="006B2AFE" w:rsidRPr="005007CE">
        <w:t>disagree</w:t>
      </w:r>
      <w:r w:rsidR="00B231D6" w:rsidRPr="005007CE">
        <w:t>.</w:t>
      </w:r>
    </w:p>
    <w:p w14:paraId="289504C4" w14:textId="77777777" w:rsidR="00826169" w:rsidRPr="005007CE" w:rsidRDefault="00826169" w:rsidP="005915F5">
      <w:pPr>
        <w:jc w:val="center"/>
        <w:rPr>
          <w:b/>
        </w:rPr>
      </w:pPr>
      <w:r w:rsidRPr="005007CE">
        <w:rPr>
          <w:b/>
        </w:rPr>
        <w:t>A.</w:t>
      </w:r>
    </w:p>
    <w:p w14:paraId="77E49F41" w14:textId="77777777" w:rsidR="00FD464C" w:rsidRPr="005007CE" w:rsidRDefault="000F0A94" w:rsidP="00414F44">
      <w:pPr>
        <w:tabs>
          <w:tab w:val="left" w:pos="1440"/>
        </w:tabs>
        <w:ind w:firstLine="720"/>
      </w:pPr>
      <w:r w:rsidRPr="005007CE">
        <w:t xml:space="preserve">Whether it is unlawful for a person to perform a particular action or engage in a particular activity often depends on whether the person has a good </w:t>
      </w:r>
      <w:r w:rsidR="00353424" w:rsidRPr="005007CE">
        <w:t xml:space="preserve">reason for doing it—or, at least, </w:t>
      </w:r>
      <w:r w:rsidR="001C127F" w:rsidRPr="005007CE">
        <w:t>has no</w:t>
      </w:r>
      <w:r w:rsidR="00D06095" w:rsidRPr="005007CE">
        <w:t xml:space="preserve"> bad reason for </w:t>
      </w:r>
      <w:r w:rsidR="001C127F" w:rsidRPr="005007CE">
        <w:t xml:space="preserve">doing </w:t>
      </w:r>
      <w:r w:rsidR="00D06095" w:rsidRPr="005007CE">
        <w:t xml:space="preserve">it.  </w:t>
      </w:r>
      <w:r w:rsidR="00D55DDD" w:rsidRPr="005007CE">
        <w:t>F</w:t>
      </w:r>
      <w:r w:rsidR="00D06095" w:rsidRPr="005007CE">
        <w:t xml:space="preserve">or example, it is ordinarily perfectly lawful for a person to possess a </w:t>
      </w:r>
      <w:r w:rsidR="001C127F" w:rsidRPr="005007CE">
        <w:t>screwdriver</w:t>
      </w:r>
      <w:r w:rsidR="00B01E40" w:rsidRPr="005007CE">
        <w:t xml:space="preserve">, </w:t>
      </w:r>
      <w:r w:rsidR="00D06095" w:rsidRPr="005007CE">
        <w:t xml:space="preserve">but </w:t>
      </w:r>
      <w:r w:rsidR="00D55DDD" w:rsidRPr="005007CE">
        <w:t xml:space="preserve">to </w:t>
      </w:r>
      <w:r w:rsidR="00D06095" w:rsidRPr="005007CE">
        <w:t>possess</w:t>
      </w:r>
      <w:r w:rsidR="00D55DDD" w:rsidRPr="005007CE">
        <w:t xml:space="preserve"> one</w:t>
      </w:r>
      <w:r w:rsidR="00D06095" w:rsidRPr="005007CE">
        <w:t xml:space="preserve"> for the purpose of burglarizing a house</w:t>
      </w:r>
      <w:r w:rsidR="00D55DDD" w:rsidRPr="005007CE">
        <w:t xml:space="preserve"> </w:t>
      </w:r>
      <w:r w:rsidR="00F74B03" w:rsidRPr="005007CE">
        <w:t>is</w:t>
      </w:r>
      <w:r w:rsidR="00D06095" w:rsidRPr="005007CE">
        <w:t xml:space="preserve"> a </w:t>
      </w:r>
      <w:r w:rsidR="002006D1" w:rsidRPr="005007CE">
        <w:t>criminal offense</w:t>
      </w:r>
      <w:r w:rsidR="00D06095" w:rsidRPr="005007CE">
        <w:t>.  (</w:t>
      </w:r>
      <w:r w:rsidR="00DF5D23" w:rsidRPr="005007CE">
        <w:t xml:space="preserve">See </w:t>
      </w:r>
      <w:r w:rsidR="00D06095" w:rsidRPr="005007CE">
        <w:t>Pen. Code, §</w:t>
      </w:r>
      <w:r w:rsidR="00D54F68" w:rsidRPr="005007CE">
        <w:t> </w:t>
      </w:r>
      <w:r w:rsidR="00D06095" w:rsidRPr="005007CE">
        <w:t>466.)</w:t>
      </w:r>
      <w:r w:rsidR="0028198C" w:rsidRPr="005007CE">
        <w:t xml:space="preserve">  </w:t>
      </w:r>
      <w:r w:rsidR="003D73B0" w:rsidRPr="005007CE">
        <w:t xml:space="preserve">It is likewise lawful to file a lawsuit—even a meritless one—but </w:t>
      </w:r>
      <w:r w:rsidR="00D55DDD" w:rsidRPr="005007CE">
        <w:t>to do so</w:t>
      </w:r>
      <w:r w:rsidR="000F4CBF" w:rsidRPr="005007CE">
        <w:t xml:space="preserve"> for the sake of </w:t>
      </w:r>
      <w:r w:rsidR="00D55DDD" w:rsidRPr="005007CE">
        <w:t xml:space="preserve">impoverishing </w:t>
      </w:r>
      <w:r w:rsidR="000F4CBF" w:rsidRPr="005007CE">
        <w:t>an enemy constitutes the tort of malicious prosecution.  (</w:t>
      </w:r>
      <w:r w:rsidR="00B01E40" w:rsidRPr="005007CE">
        <w:t>See</w:t>
      </w:r>
      <w:r w:rsidR="00895AD5" w:rsidRPr="005007CE">
        <w:t xml:space="preserve"> </w:t>
      </w:r>
      <w:r w:rsidR="00895AD5" w:rsidRPr="005007CE">
        <w:rPr>
          <w:i/>
        </w:rPr>
        <w:t>Bertero v. National General Corp.</w:t>
      </w:r>
      <w:r w:rsidR="00B65184" w:rsidRPr="005007CE">
        <w:t xml:space="preserve"> (1974) 13 Cal.3d 43, 49–51</w:t>
      </w:r>
      <w:r w:rsidR="000F4CBF" w:rsidRPr="005007CE">
        <w:t>.)</w:t>
      </w:r>
      <w:r w:rsidR="00283B44" w:rsidRPr="005007CE">
        <w:t xml:space="preserve">  </w:t>
      </w:r>
      <w:r w:rsidR="0026233E" w:rsidRPr="005007CE">
        <w:t>The laws</w:t>
      </w:r>
      <w:r w:rsidR="00C019BB" w:rsidRPr="005007CE">
        <w:t xml:space="preserve"> proscribing</w:t>
      </w:r>
      <w:r w:rsidR="0026233E" w:rsidRPr="005007CE">
        <w:t xml:space="preserve"> </w:t>
      </w:r>
      <w:r w:rsidR="002E6B69">
        <w:t xml:space="preserve">intentional </w:t>
      </w:r>
      <w:r w:rsidR="0026233E" w:rsidRPr="005007CE">
        <w:t xml:space="preserve">discrimination </w:t>
      </w:r>
      <w:r w:rsidR="00BB38CD" w:rsidRPr="005007CE">
        <w:t>and retaliation</w:t>
      </w:r>
      <w:r w:rsidR="0026233E" w:rsidRPr="005007CE">
        <w:t xml:space="preserve"> </w:t>
      </w:r>
      <w:r w:rsidR="00BB38CD" w:rsidRPr="005007CE">
        <w:t xml:space="preserve">in employment and other </w:t>
      </w:r>
      <w:r w:rsidR="00993E5C" w:rsidRPr="005007CE">
        <w:t>areas</w:t>
      </w:r>
      <w:r w:rsidR="00BB38CD" w:rsidRPr="005007CE">
        <w:t xml:space="preserve"> </w:t>
      </w:r>
      <w:r w:rsidR="0026233E" w:rsidRPr="005007CE">
        <w:t>belong to this category</w:t>
      </w:r>
      <w:r w:rsidR="00C019BB" w:rsidRPr="005007CE">
        <w:t xml:space="preserve"> of prohibitions</w:t>
      </w:r>
      <w:r w:rsidR="0026233E" w:rsidRPr="005007CE">
        <w:t xml:space="preserve">.  It is ordinarily perfectly permissible for an employer to decide not to hire, not to promote, or to fire an employee.  </w:t>
      </w:r>
      <w:r w:rsidR="00BB38CD" w:rsidRPr="005007CE">
        <w:t>Th</w:t>
      </w:r>
      <w:r w:rsidR="0026233E" w:rsidRPr="005007CE">
        <w:t>e employer may not</w:t>
      </w:r>
      <w:r w:rsidR="00BB38CD" w:rsidRPr="005007CE">
        <w:t>, however,</w:t>
      </w:r>
      <w:r w:rsidR="0026233E" w:rsidRPr="005007CE">
        <w:t xml:space="preserve"> </w:t>
      </w:r>
      <w:r w:rsidR="00D55DDD" w:rsidRPr="005007CE">
        <w:t>act based on</w:t>
      </w:r>
      <w:r w:rsidR="004F6460" w:rsidRPr="005007CE">
        <w:t xml:space="preserve"> </w:t>
      </w:r>
      <w:r w:rsidR="0026233E" w:rsidRPr="005007CE">
        <w:t>“the race, religious creed, color, national origin,” or other protected characteristic of the employee</w:t>
      </w:r>
      <w:r w:rsidR="00BF48A3" w:rsidRPr="005007CE">
        <w:t xml:space="preserve"> (Gov. Code, § 12940, subd. (a))</w:t>
      </w:r>
      <w:r w:rsidR="0026233E" w:rsidRPr="005007CE">
        <w:t xml:space="preserve">, or because the employee has exercised </w:t>
      </w:r>
      <w:r w:rsidR="007A16CC" w:rsidRPr="005007CE">
        <w:t xml:space="preserve">certain </w:t>
      </w:r>
      <w:r w:rsidR="00C019BB" w:rsidRPr="005007CE">
        <w:t>rights guaranteed by law</w:t>
      </w:r>
      <w:r w:rsidR="004435D6" w:rsidRPr="005007CE">
        <w:t>, including the right to complain about discrimination</w:t>
      </w:r>
      <w:r w:rsidR="00BF48A3" w:rsidRPr="005007CE">
        <w:t xml:space="preserve"> (e.g., </w:t>
      </w:r>
      <w:r w:rsidR="00BF48A3" w:rsidRPr="005007CE">
        <w:rPr>
          <w:i/>
        </w:rPr>
        <w:t>id.</w:t>
      </w:r>
      <w:r w:rsidR="00BF48A3" w:rsidRPr="005007CE">
        <w:t>, subd. (h))</w:t>
      </w:r>
      <w:r w:rsidR="0026233E" w:rsidRPr="005007CE">
        <w:t>.</w:t>
      </w:r>
    </w:p>
    <w:p w14:paraId="18BE6877" w14:textId="7960CEEF" w:rsidR="00FB19BA" w:rsidRPr="005007CE" w:rsidRDefault="00242763" w:rsidP="00414F44">
      <w:pPr>
        <w:tabs>
          <w:tab w:val="left" w:pos="1440"/>
        </w:tabs>
        <w:ind w:firstLine="720"/>
      </w:pPr>
      <w:r w:rsidRPr="005007CE">
        <w:lastRenderedPageBreak/>
        <w:t xml:space="preserve">This feature of the antidiscrimination and antiretaliation laws </w:t>
      </w:r>
      <w:r w:rsidR="00D95975" w:rsidRPr="005007CE">
        <w:t xml:space="preserve">has </w:t>
      </w:r>
      <w:r w:rsidRPr="005007CE">
        <w:t xml:space="preserve">led </w:t>
      </w:r>
      <w:r w:rsidR="004D3F9F" w:rsidRPr="005007CE">
        <w:t xml:space="preserve">some appellate courts, including </w:t>
      </w:r>
      <w:r w:rsidR="00F675EC" w:rsidRPr="005007CE">
        <w:t>the Court of Appeal in this case,</w:t>
      </w:r>
      <w:r w:rsidR="00267CBB" w:rsidRPr="005007CE">
        <w:t xml:space="preserve"> </w:t>
      </w:r>
      <w:r w:rsidR="00F675EC" w:rsidRPr="005007CE">
        <w:t>to conclude that discrimination and retaliation claims fall outside the scope of the anti-SLAPP statut</w:t>
      </w:r>
      <w:r w:rsidR="006D6D1F" w:rsidRPr="005007CE">
        <w:t>e</w:t>
      </w:r>
      <w:r w:rsidR="00267CBB" w:rsidRPr="005007CE">
        <w:t xml:space="preserve">.  The </w:t>
      </w:r>
      <w:r w:rsidR="00D95975" w:rsidRPr="005007CE">
        <w:t xml:space="preserve">appellate </w:t>
      </w:r>
      <w:r w:rsidR="00267CBB" w:rsidRPr="005007CE">
        <w:t xml:space="preserve">court </w:t>
      </w:r>
      <w:r w:rsidR="00D95975" w:rsidRPr="005007CE">
        <w:t xml:space="preserve">here </w:t>
      </w:r>
      <w:r w:rsidR="00267CBB" w:rsidRPr="005007CE">
        <w:t xml:space="preserve">reasoned that </w:t>
      </w:r>
      <w:r w:rsidR="002C4E3E" w:rsidRPr="005007CE">
        <w:t xml:space="preserve">because </w:t>
      </w:r>
      <w:r w:rsidR="00417AB4" w:rsidRPr="005007CE">
        <w:t xml:space="preserve">the adverse employment actions Wilson alleged would </w:t>
      </w:r>
      <w:r w:rsidR="00CF46CC" w:rsidRPr="005007CE">
        <w:t xml:space="preserve">have </w:t>
      </w:r>
      <w:r w:rsidR="00417AB4" w:rsidRPr="005007CE">
        <w:t>be</w:t>
      </w:r>
      <w:r w:rsidR="00CF46CC" w:rsidRPr="005007CE">
        <w:t>en</w:t>
      </w:r>
      <w:r w:rsidR="00417AB4" w:rsidRPr="005007CE">
        <w:t xml:space="preserve"> </w:t>
      </w:r>
      <w:r w:rsidR="007668BE" w:rsidRPr="005007CE">
        <w:t xml:space="preserve">perfectly </w:t>
      </w:r>
      <w:r w:rsidR="00417AB4" w:rsidRPr="005007CE">
        <w:t xml:space="preserve">lawful in the absence of CNN’s discriminatory or retaliatory motive, </w:t>
      </w:r>
      <w:r w:rsidR="00267CBB" w:rsidRPr="005007CE">
        <w:t xml:space="preserve">Wilson’s claims must be based on </w:t>
      </w:r>
      <w:r w:rsidR="007A4E62" w:rsidRPr="005007CE">
        <w:t>C</w:t>
      </w:r>
      <w:r w:rsidR="00417AB4" w:rsidRPr="005007CE">
        <w:t xml:space="preserve">NN’s </w:t>
      </w:r>
      <w:r w:rsidR="00C77DB1" w:rsidRPr="005007CE">
        <w:t xml:space="preserve">unprotected </w:t>
      </w:r>
      <w:r w:rsidR="00417AB4" w:rsidRPr="005007CE">
        <w:t>discrimination or retaliation</w:t>
      </w:r>
      <w:r w:rsidR="00802867" w:rsidRPr="005007CE">
        <w:t>—</w:t>
      </w:r>
      <w:r w:rsidR="0067438D" w:rsidRPr="005007CE">
        <w:t xml:space="preserve">and </w:t>
      </w:r>
      <w:r w:rsidR="00417AB4" w:rsidRPr="005007CE">
        <w:t xml:space="preserve">not </w:t>
      </w:r>
      <w:r w:rsidR="00483662" w:rsidRPr="005007CE">
        <w:t>“the particular manifestations of the discrimination and retaliation, such as denying promotions, assigning him menial tasks, and firing him.”  (</w:t>
      </w:r>
      <w:r w:rsidR="00483662" w:rsidRPr="005007CE">
        <w:rPr>
          <w:i/>
        </w:rPr>
        <w:t>Wilson</w:t>
      </w:r>
      <w:r w:rsidR="00483662" w:rsidRPr="005007CE">
        <w:t>,</w:t>
      </w:r>
      <w:r w:rsidR="00CF46CC" w:rsidRPr="005007CE">
        <w:t xml:space="preserve"> </w:t>
      </w:r>
      <w:r w:rsidR="00CF46CC" w:rsidRPr="005007CE">
        <w:rPr>
          <w:i/>
        </w:rPr>
        <w:t>supra</w:t>
      </w:r>
      <w:r w:rsidR="00CF46CC" w:rsidRPr="005007CE">
        <w:t>,</w:t>
      </w:r>
      <w:r w:rsidR="00483662" w:rsidRPr="005007CE">
        <w:t xml:space="preserve"> 6 Cal.App.5th at p.</w:t>
      </w:r>
      <w:r w:rsidR="00ED598A">
        <w:t> </w:t>
      </w:r>
      <w:r w:rsidR="00483662" w:rsidRPr="005007CE">
        <w:t>836</w:t>
      </w:r>
      <w:r w:rsidR="00ED598A">
        <w:t>, rev. granted</w:t>
      </w:r>
      <w:r w:rsidR="00483662" w:rsidRPr="005007CE">
        <w:t xml:space="preserve">.)  </w:t>
      </w:r>
      <w:r w:rsidR="00EE0E29" w:rsidRPr="005007CE">
        <w:t xml:space="preserve">On </w:t>
      </w:r>
      <w:r w:rsidR="002B131D" w:rsidRPr="005007CE">
        <w:t>this view</w:t>
      </w:r>
      <w:r w:rsidR="00EE0E29" w:rsidRPr="005007CE">
        <w:t xml:space="preserve">, it does not matter that </w:t>
      </w:r>
      <w:r w:rsidR="00483662" w:rsidRPr="005007CE">
        <w:t xml:space="preserve">one of these “particular manifestations” might otherwise qualify as protected </w:t>
      </w:r>
      <w:r w:rsidR="00997042" w:rsidRPr="005007CE">
        <w:t xml:space="preserve">speech or petitioning </w:t>
      </w:r>
      <w:r w:rsidR="00483662" w:rsidRPr="005007CE">
        <w:t xml:space="preserve">activity.  </w:t>
      </w:r>
      <w:r w:rsidR="00EE0E29" w:rsidRPr="005007CE">
        <w:t xml:space="preserve">If the plaintiff alleges the </w:t>
      </w:r>
      <w:r w:rsidR="00172001" w:rsidRPr="005007CE">
        <w:t xml:space="preserve">defendant acted for </w:t>
      </w:r>
      <w:r w:rsidR="00EE0E29" w:rsidRPr="005007CE">
        <w:t>discriminatory or retaliatory</w:t>
      </w:r>
      <w:r w:rsidR="004E4622" w:rsidRPr="005007CE">
        <w:t xml:space="preserve"> </w:t>
      </w:r>
      <w:r w:rsidR="000833B6" w:rsidRPr="005007CE">
        <w:t>reasons</w:t>
      </w:r>
      <w:r w:rsidR="004E4622" w:rsidRPr="005007CE">
        <w:t>, th</w:t>
      </w:r>
      <w:r w:rsidR="000833B6" w:rsidRPr="005007CE">
        <w:t>e</w:t>
      </w:r>
      <w:r w:rsidR="004E4622" w:rsidRPr="005007CE">
        <w:t xml:space="preserve"> </w:t>
      </w:r>
      <w:r w:rsidR="00E65914" w:rsidRPr="005007CE">
        <w:t xml:space="preserve">plaintiff’s </w:t>
      </w:r>
      <w:r w:rsidR="004E4622" w:rsidRPr="005007CE">
        <w:t xml:space="preserve">allegation </w:t>
      </w:r>
      <w:r w:rsidR="004A112B" w:rsidRPr="005007CE">
        <w:t xml:space="preserve">of illicit motive </w:t>
      </w:r>
      <w:r w:rsidR="004E4622" w:rsidRPr="005007CE">
        <w:t xml:space="preserve">will defeat </w:t>
      </w:r>
      <w:r w:rsidR="00C30C51" w:rsidRPr="005007CE">
        <w:t xml:space="preserve">any </w:t>
      </w:r>
      <w:r w:rsidR="001E1A73" w:rsidRPr="005007CE">
        <w:t xml:space="preserve">argument for </w:t>
      </w:r>
      <w:r w:rsidR="004E4622" w:rsidRPr="005007CE">
        <w:t>anti-SLAPP protection.</w:t>
      </w:r>
    </w:p>
    <w:p w14:paraId="5BBA6DC7" w14:textId="5B6C1C7A" w:rsidR="006610FA" w:rsidRPr="005007CE" w:rsidRDefault="005B1B4D" w:rsidP="00414F44">
      <w:pPr>
        <w:tabs>
          <w:tab w:val="left" w:pos="1440"/>
        </w:tabs>
        <w:ind w:firstLine="720"/>
        <w:rPr>
          <w:szCs w:val="26"/>
        </w:rPr>
      </w:pPr>
      <w:r w:rsidRPr="005007CE">
        <w:t>This view cannot be squared with either the statutory text or our precedent interpreting it.</w:t>
      </w:r>
      <w:r w:rsidR="0069302F" w:rsidRPr="005007CE">
        <w:t xml:space="preserve">  </w:t>
      </w:r>
      <w:r w:rsidR="00916A78" w:rsidRPr="005007CE">
        <w:t xml:space="preserve">It is true that a cause of action for </w:t>
      </w:r>
      <w:r w:rsidR="002E6B69">
        <w:t xml:space="preserve">intentional </w:t>
      </w:r>
      <w:r w:rsidR="00916A78" w:rsidRPr="005007CE">
        <w:t xml:space="preserve">discrimination would be incomplete without allegations of a discriminatory motive.  But a cause of action for discrimination would likewise be incomplete without allegations of concrete adverse action.  </w:t>
      </w:r>
      <w:r w:rsidR="00F325EE" w:rsidRPr="005007CE">
        <w:rPr>
          <w:szCs w:val="26"/>
        </w:rPr>
        <w:t xml:space="preserve">(See </w:t>
      </w:r>
      <w:r w:rsidR="00F325EE" w:rsidRPr="005007CE">
        <w:rPr>
          <w:i/>
          <w:szCs w:val="26"/>
        </w:rPr>
        <w:t>Guz</w:t>
      </w:r>
      <w:r w:rsidR="0025634D" w:rsidRPr="005007CE">
        <w:rPr>
          <w:i/>
          <w:szCs w:val="26"/>
        </w:rPr>
        <w:t xml:space="preserve"> v. Bechtel National, Inc.</w:t>
      </w:r>
      <w:r w:rsidR="00F325EE" w:rsidRPr="005007CE">
        <w:rPr>
          <w:szCs w:val="26"/>
        </w:rPr>
        <w:t xml:space="preserve">, </w:t>
      </w:r>
      <w:r w:rsidR="00F325EE" w:rsidRPr="005007CE">
        <w:rPr>
          <w:i/>
          <w:szCs w:val="26"/>
        </w:rPr>
        <w:t>supra</w:t>
      </w:r>
      <w:r w:rsidR="00F325EE" w:rsidRPr="005007CE">
        <w:rPr>
          <w:szCs w:val="26"/>
        </w:rPr>
        <w:t>, 24 Cal.4th at p.</w:t>
      </w:r>
      <w:r w:rsidR="0025634D" w:rsidRPr="005007CE">
        <w:rPr>
          <w:szCs w:val="26"/>
        </w:rPr>
        <w:t> </w:t>
      </w:r>
      <w:r w:rsidR="00F325EE" w:rsidRPr="005007CE">
        <w:rPr>
          <w:szCs w:val="26"/>
        </w:rPr>
        <w:t xml:space="preserve">355.)  </w:t>
      </w:r>
      <w:r w:rsidR="00916A78" w:rsidRPr="005007CE">
        <w:t>For pleading purposes, both are necessary elements; neither is privileged over the other.</w:t>
      </w:r>
      <w:r w:rsidR="00D95975" w:rsidRPr="005007CE">
        <w:t xml:space="preserve">  </w:t>
      </w:r>
      <w:r w:rsidR="00283B44" w:rsidRPr="005007CE">
        <w:t xml:space="preserve">It follows that even if a </w:t>
      </w:r>
      <w:r w:rsidR="009E4806" w:rsidRPr="005007CE">
        <w:t xml:space="preserve">plaintiff’s discrimination claim </w:t>
      </w:r>
      <w:r w:rsidR="009A4DD2" w:rsidRPr="005007CE">
        <w:t xml:space="preserve">can be said to be </w:t>
      </w:r>
      <w:r w:rsidR="009E4806" w:rsidRPr="005007CE">
        <w:t xml:space="preserve">based in </w:t>
      </w:r>
      <w:r w:rsidR="00D8455D" w:rsidRPr="005007CE">
        <w:t>part on the employer’s purported wrongful motives</w:t>
      </w:r>
      <w:r w:rsidR="00283B44" w:rsidRPr="005007CE">
        <w:t xml:space="preserve">, it </w:t>
      </w:r>
      <w:r w:rsidR="009A4DD2" w:rsidRPr="005007CE">
        <w:t xml:space="preserve">is necessarily </w:t>
      </w:r>
      <w:r w:rsidR="009A4DD2" w:rsidRPr="005007CE">
        <w:rPr>
          <w:i/>
        </w:rPr>
        <w:t>also</w:t>
      </w:r>
      <w:r w:rsidR="009A4DD2" w:rsidRPr="005007CE">
        <w:t xml:space="preserve"> based on </w:t>
      </w:r>
      <w:r w:rsidR="00283B44" w:rsidRPr="005007CE">
        <w:t xml:space="preserve">the </w:t>
      </w:r>
      <w:r w:rsidR="00FB7D11" w:rsidRPr="005007CE">
        <w:t>employer’s allege</w:t>
      </w:r>
      <w:r w:rsidR="004E6246" w:rsidRPr="005007CE">
        <w:t>d acts</w:t>
      </w:r>
      <w:r w:rsidR="00B66896" w:rsidRPr="005007CE">
        <w:t>—</w:t>
      </w:r>
      <w:r w:rsidR="00292305" w:rsidRPr="005007CE">
        <w:t xml:space="preserve">that is, </w:t>
      </w:r>
      <w:r w:rsidR="00D01FA6" w:rsidRPr="005007CE">
        <w:t xml:space="preserve">the </w:t>
      </w:r>
      <w:r w:rsidR="009441AC" w:rsidRPr="005007CE">
        <w:t>various</w:t>
      </w:r>
      <w:r w:rsidR="00D01FA6" w:rsidRPr="005007CE">
        <w:t xml:space="preserve"> outward “manifestations” of the employer’s alleged </w:t>
      </w:r>
      <w:r w:rsidR="009441AC" w:rsidRPr="005007CE">
        <w:t xml:space="preserve">wrongful </w:t>
      </w:r>
      <w:r w:rsidR="00D01FA6" w:rsidRPr="005007CE">
        <w:t xml:space="preserve">intent, such as failing to promote, </w:t>
      </w:r>
      <w:r w:rsidR="00D01FA6" w:rsidRPr="005007CE">
        <w:lastRenderedPageBreak/>
        <w:t>giving unfavorable assignments, or firing.</w:t>
      </w:r>
      <w:r w:rsidR="004E6246" w:rsidRPr="005007CE">
        <w:t xml:space="preserve">  (</w:t>
      </w:r>
      <w:r w:rsidR="004E6246" w:rsidRPr="005007CE">
        <w:rPr>
          <w:i/>
        </w:rPr>
        <w:t>Wilson</w:t>
      </w:r>
      <w:r w:rsidR="004E6246" w:rsidRPr="005007CE">
        <w:t xml:space="preserve">, </w:t>
      </w:r>
      <w:r w:rsidR="00B01E40" w:rsidRPr="005007CE">
        <w:rPr>
          <w:i/>
        </w:rPr>
        <w:t>supra</w:t>
      </w:r>
      <w:r w:rsidR="00B01E40" w:rsidRPr="005007CE">
        <w:t xml:space="preserve">, </w:t>
      </w:r>
      <w:r w:rsidR="004E6246" w:rsidRPr="005007CE">
        <w:t>6 Cal.App.5th at p.</w:t>
      </w:r>
      <w:r w:rsidR="003502E1" w:rsidRPr="005007CE">
        <w:t> </w:t>
      </w:r>
      <w:r w:rsidR="004E6246" w:rsidRPr="005007CE">
        <w:t>836</w:t>
      </w:r>
      <w:r w:rsidR="002F0A55">
        <w:t>, rev. granted</w:t>
      </w:r>
      <w:r w:rsidR="004E6246" w:rsidRPr="005007CE">
        <w:t xml:space="preserve">; see Black’s Law Dict. (6th ed. 1990) p. 25, col. 2 [defining “act” </w:t>
      </w:r>
      <w:r w:rsidR="00D8460D" w:rsidRPr="005007CE">
        <w:t xml:space="preserve">as the </w:t>
      </w:r>
      <w:r w:rsidR="002F0A55" w:rsidRPr="005007CE">
        <w:t>“</w:t>
      </w:r>
      <w:r w:rsidR="00D8460D" w:rsidRPr="005007CE">
        <w:t xml:space="preserve">external manifestation of [an] actor’s will” and, </w:t>
      </w:r>
      <w:r w:rsidR="00FA013D" w:rsidRPr="005007CE">
        <w:t xml:space="preserve">more </w:t>
      </w:r>
      <w:r w:rsidR="004E6246" w:rsidRPr="005007CE">
        <w:t>general</w:t>
      </w:r>
      <w:r w:rsidR="00FA013D" w:rsidRPr="005007CE">
        <w:t>ly</w:t>
      </w:r>
      <w:r w:rsidR="004E6246" w:rsidRPr="005007CE">
        <w:t>,</w:t>
      </w:r>
      <w:r w:rsidR="00D8460D" w:rsidRPr="005007CE">
        <w:t xml:space="preserve"> as “</w:t>
      </w:r>
      <w:r w:rsidR="004E6246" w:rsidRPr="005007CE">
        <w:t xml:space="preserve">an effect produced in the external world by an exercise of the power of a person objectively, prompted by intention”].)  </w:t>
      </w:r>
      <w:r w:rsidR="00A5385A" w:rsidRPr="005007CE">
        <w:t xml:space="preserve">Under </w:t>
      </w:r>
      <w:r w:rsidR="002E6B69">
        <w:t>the first step of the anti-SLAPP analysis</w:t>
      </w:r>
      <w:r w:rsidR="00A5385A" w:rsidRPr="005007CE">
        <w:t>, that is the end of the stor</w:t>
      </w:r>
      <w:r w:rsidR="00F2692E" w:rsidRPr="005007CE">
        <w:t>y</w:t>
      </w:r>
      <w:r w:rsidR="00B32090" w:rsidRPr="005007CE">
        <w:t xml:space="preserve">, for it is the defendant’s acts that matter.  </w:t>
      </w:r>
      <w:r w:rsidR="005A7859" w:rsidRPr="005007CE">
        <w:t>(</w:t>
      </w:r>
      <w:r w:rsidR="00ED598A">
        <w:t xml:space="preserve">See </w:t>
      </w:r>
      <w:r w:rsidR="005A7859" w:rsidRPr="005007CE">
        <w:t>§</w:t>
      </w:r>
      <w:r w:rsidR="00D8460D" w:rsidRPr="005007CE">
        <w:t> </w:t>
      </w:r>
      <w:r w:rsidR="005A7859" w:rsidRPr="005007CE">
        <w:t>425.16, subd. (b)</w:t>
      </w:r>
      <w:r w:rsidR="00D8460D" w:rsidRPr="005007CE">
        <w:t>(1)</w:t>
      </w:r>
      <w:r w:rsidR="00FA013D" w:rsidRPr="005007CE">
        <w:t xml:space="preserve"> [protecting “any act of that person” in furtherance of particular rights]</w:t>
      </w:r>
      <w:r w:rsidR="005A7859" w:rsidRPr="005007CE">
        <w:t xml:space="preserve">; </w:t>
      </w:r>
      <w:r w:rsidR="005A7859" w:rsidRPr="005007CE">
        <w:rPr>
          <w:i/>
          <w:szCs w:val="26"/>
        </w:rPr>
        <w:t>Park</w:t>
      </w:r>
      <w:r w:rsidR="005A7859" w:rsidRPr="005007CE">
        <w:rPr>
          <w:szCs w:val="26"/>
        </w:rPr>
        <w:t xml:space="preserve">, </w:t>
      </w:r>
      <w:r w:rsidR="005A7859" w:rsidRPr="005007CE">
        <w:rPr>
          <w:i/>
          <w:szCs w:val="26"/>
        </w:rPr>
        <w:t>supra</w:t>
      </w:r>
      <w:r w:rsidR="005A7859" w:rsidRPr="005007CE">
        <w:rPr>
          <w:szCs w:val="26"/>
        </w:rPr>
        <w:t xml:space="preserve">, 2 Cal.5th at p. 1063 [at the first </w:t>
      </w:r>
      <w:r w:rsidR="003562A1" w:rsidRPr="005007CE">
        <w:rPr>
          <w:szCs w:val="26"/>
        </w:rPr>
        <w:t xml:space="preserve">step of the anti-SLAPP inquiry, courts must </w:t>
      </w:r>
      <w:r w:rsidR="005A7859" w:rsidRPr="005007CE">
        <w:t xml:space="preserve">“consider </w:t>
      </w:r>
      <w:r w:rsidR="005A7859" w:rsidRPr="005007CE">
        <w:rPr>
          <w:szCs w:val="26"/>
        </w:rPr>
        <w:t xml:space="preserve">the elements of the challenged claim and what </w:t>
      </w:r>
      <w:r w:rsidR="005A7859" w:rsidRPr="005007CE">
        <w:rPr>
          <w:i/>
          <w:szCs w:val="26"/>
        </w:rPr>
        <w:t>actions</w:t>
      </w:r>
      <w:r w:rsidR="005A7859" w:rsidRPr="005007CE">
        <w:rPr>
          <w:szCs w:val="26"/>
        </w:rPr>
        <w:t xml:space="preserve"> by the defendant supply those elements and consequently form the basis for liabilit</w:t>
      </w:r>
      <w:r w:rsidR="003562A1" w:rsidRPr="005007CE">
        <w:rPr>
          <w:szCs w:val="26"/>
        </w:rPr>
        <w:t>y</w:t>
      </w:r>
      <w:r w:rsidR="003502E1" w:rsidRPr="005007CE">
        <w:rPr>
          <w:szCs w:val="26"/>
        </w:rPr>
        <w:t>,</w:t>
      </w:r>
      <w:r w:rsidR="003562A1" w:rsidRPr="005007CE">
        <w:rPr>
          <w:szCs w:val="26"/>
        </w:rPr>
        <w:t>” italics added</w:t>
      </w:r>
      <w:r w:rsidR="00FA013D" w:rsidRPr="005007CE">
        <w:rPr>
          <w:szCs w:val="26"/>
        </w:rPr>
        <w:t>]</w:t>
      </w:r>
      <w:r w:rsidR="003562A1" w:rsidRPr="005007CE">
        <w:rPr>
          <w:szCs w:val="26"/>
        </w:rPr>
        <w:t>.)</w:t>
      </w:r>
      <w:r w:rsidR="00E020E1" w:rsidRPr="005007CE">
        <w:rPr>
          <w:szCs w:val="26"/>
        </w:rPr>
        <w:t xml:space="preserve">  </w:t>
      </w:r>
      <w:r w:rsidR="006610FA" w:rsidRPr="005007CE">
        <w:rPr>
          <w:szCs w:val="26"/>
        </w:rPr>
        <w:t>If the acts alleged in support of the plaintiff’s claim are of the sort protected by the anti-SLAPP statute, then anti-SLAPP protections apply.</w:t>
      </w:r>
    </w:p>
    <w:p w14:paraId="1A124F40" w14:textId="0A46A664" w:rsidR="006A085E" w:rsidRPr="005007CE" w:rsidRDefault="007E59AD" w:rsidP="00414F44">
      <w:pPr>
        <w:tabs>
          <w:tab w:val="left" w:pos="1440"/>
        </w:tabs>
        <w:ind w:firstLine="720"/>
      </w:pPr>
      <w:r w:rsidRPr="005007CE">
        <w:t xml:space="preserve">Resisting this conclusion, Wilson </w:t>
      </w:r>
      <w:r w:rsidR="00C95261" w:rsidRPr="005007CE">
        <w:t xml:space="preserve">contends </w:t>
      </w:r>
      <w:r w:rsidRPr="005007CE">
        <w:t xml:space="preserve">that </w:t>
      </w:r>
      <w:r w:rsidR="00256326" w:rsidRPr="005007CE">
        <w:t>“</w:t>
      </w:r>
      <w:r w:rsidR="00290782" w:rsidRPr="005007CE">
        <w:t>t</w:t>
      </w:r>
      <w:r w:rsidRPr="005007CE">
        <w:t>he basis of CNN’s alleged liability is not staffing or hiring for a news position, but discriminatory treatment and actions.</w:t>
      </w:r>
      <w:r w:rsidR="00256326" w:rsidRPr="005007CE">
        <w:t>”</w:t>
      </w:r>
      <w:r w:rsidRPr="005007CE">
        <w:t xml:space="preserve">  But the discriminatory treatment and actions Wilson alleges </w:t>
      </w:r>
      <w:r w:rsidR="009E26CF" w:rsidRPr="005007CE">
        <w:t xml:space="preserve">in support of his claims </w:t>
      </w:r>
      <w:r w:rsidRPr="005007CE">
        <w:rPr>
          <w:i/>
        </w:rPr>
        <w:t>are</w:t>
      </w:r>
      <w:r w:rsidRPr="005007CE">
        <w:t xml:space="preserve"> </w:t>
      </w:r>
      <w:r w:rsidR="009E26CF" w:rsidRPr="005007CE">
        <w:t xml:space="preserve">actions related to the staffing of CNN’s newsroom.  </w:t>
      </w:r>
      <w:r w:rsidRPr="005007CE">
        <w:t xml:space="preserve">The argument thus boils down to an assertion that, for purposes of the first step of the anti-SLAPP analysis, </w:t>
      </w:r>
      <w:r w:rsidR="00FA013D" w:rsidRPr="005007CE">
        <w:t xml:space="preserve">a </w:t>
      </w:r>
      <w:r w:rsidRPr="005007CE">
        <w:t xml:space="preserve">court </w:t>
      </w:r>
      <w:r w:rsidR="00A873E2" w:rsidRPr="005007CE">
        <w:t xml:space="preserve">must </w:t>
      </w:r>
      <w:r w:rsidRPr="005007CE">
        <w:t xml:space="preserve">accept Wilson’s </w:t>
      </w:r>
      <w:r w:rsidR="004E4ED8" w:rsidRPr="005007CE">
        <w:t xml:space="preserve">allegation that the </w:t>
      </w:r>
      <w:r w:rsidR="00601168" w:rsidRPr="005007CE">
        <w:t xml:space="preserve">challenged </w:t>
      </w:r>
      <w:r w:rsidR="00274286" w:rsidRPr="005007CE">
        <w:t xml:space="preserve">personnel </w:t>
      </w:r>
      <w:r w:rsidR="004E4ED8" w:rsidRPr="005007CE">
        <w:t>actions were taken for discriminatory reasons and are therefore unlawful</w:t>
      </w:r>
      <w:r w:rsidR="00D707C0" w:rsidRPr="005007CE">
        <w:t>.</w:t>
      </w:r>
      <w:r w:rsidR="00DB3425" w:rsidRPr="005007CE">
        <w:t xml:space="preserve">  (See </w:t>
      </w:r>
      <w:r w:rsidR="00DB3425" w:rsidRPr="005007CE">
        <w:rPr>
          <w:i/>
        </w:rPr>
        <w:t>Wilson</w:t>
      </w:r>
      <w:r w:rsidR="00DB3425" w:rsidRPr="005007CE">
        <w:t xml:space="preserve">, </w:t>
      </w:r>
      <w:r w:rsidR="00DB3425" w:rsidRPr="005007CE">
        <w:rPr>
          <w:i/>
        </w:rPr>
        <w:t>supra</w:t>
      </w:r>
      <w:r w:rsidR="00DB3425" w:rsidRPr="005007CE">
        <w:t xml:space="preserve">, 6 Cal.App.5th at p. 836, rev. granted.)  </w:t>
      </w:r>
      <w:r w:rsidR="00FC2FAC">
        <w:t>This</w:t>
      </w:r>
      <w:r w:rsidR="00F66DFB" w:rsidRPr="005007CE">
        <w:t xml:space="preserve"> </w:t>
      </w:r>
      <w:r w:rsidR="004258CB" w:rsidRPr="005007CE">
        <w:t xml:space="preserve">is not how the </w:t>
      </w:r>
      <w:r w:rsidR="00161CC6" w:rsidRPr="005007CE">
        <w:t xml:space="preserve">anti-SLAPP </w:t>
      </w:r>
      <w:r w:rsidR="004258CB" w:rsidRPr="005007CE">
        <w:t>statute works.</w:t>
      </w:r>
      <w:r w:rsidR="00692C29" w:rsidRPr="005007CE">
        <w:t xml:space="preserve">  </w:t>
      </w:r>
      <w:r w:rsidR="006A085E" w:rsidRPr="005007CE">
        <w:t xml:space="preserve">In deciding an anti-SLAPP motion, a court </w:t>
      </w:r>
      <w:r w:rsidR="005A1FB6" w:rsidRPr="005007CE">
        <w:t xml:space="preserve">must </w:t>
      </w:r>
      <w:r w:rsidR="00C242E9" w:rsidRPr="005007CE">
        <w:t xml:space="preserve">at the second step </w:t>
      </w:r>
      <w:r w:rsidR="006A085E" w:rsidRPr="005007CE">
        <w:t xml:space="preserve">“ ‘accept as true the </w:t>
      </w:r>
      <w:r w:rsidR="006A085E" w:rsidRPr="005007CE">
        <w:rPr>
          <w:i/>
        </w:rPr>
        <w:t>evidence</w:t>
      </w:r>
      <w:r w:rsidR="006A085E" w:rsidRPr="005007CE">
        <w:t xml:space="preserve"> favorable to </w:t>
      </w:r>
      <w:r w:rsidR="002F0A55">
        <w:t xml:space="preserve">the </w:t>
      </w:r>
      <w:r w:rsidR="006A085E" w:rsidRPr="005007CE">
        <w:t>plaintiff</w:t>
      </w:r>
      <w:r w:rsidR="003F6D3B" w:rsidRPr="005007CE">
        <w:t>.</w:t>
      </w:r>
      <w:r w:rsidR="006A085E" w:rsidRPr="005007CE">
        <w:t>’ ”</w:t>
      </w:r>
      <w:r w:rsidR="003F6D3B" w:rsidRPr="005007CE">
        <w:t xml:space="preserve">  </w:t>
      </w:r>
      <w:r w:rsidR="006A085E" w:rsidRPr="005007CE">
        <w:t>(</w:t>
      </w:r>
      <w:r w:rsidR="006A085E" w:rsidRPr="005007CE">
        <w:rPr>
          <w:i/>
        </w:rPr>
        <w:t>Soukup v. Law Offices of Herbert Hafif</w:t>
      </w:r>
      <w:r w:rsidR="006A085E" w:rsidRPr="005007CE">
        <w:t xml:space="preserve"> (2006) 39 Cal.4th 260, 269, fn. 3, italics added.)  </w:t>
      </w:r>
      <w:r w:rsidR="00DB3425" w:rsidRPr="005007CE">
        <w:t>But w</w:t>
      </w:r>
      <w:r w:rsidR="006A085E" w:rsidRPr="005007CE">
        <w:t xml:space="preserve">e have never insisted that the </w:t>
      </w:r>
      <w:r w:rsidR="006A085E" w:rsidRPr="005007CE">
        <w:lastRenderedPageBreak/>
        <w:t xml:space="preserve">complaint’s </w:t>
      </w:r>
      <w:r w:rsidR="006A085E" w:rsidRPr="00F56DA5">
        <w:t>allegations</w:t>
      </w:r>
      <w:r w:rsidR="006A085E" w:rsidRPr="005007CE">
        <w:t xml:space="preserve"> be given similar credence in the face of contrary evidence</w:t>
      </w:r>
      <w:r w:rsidR="00DA1FA1" w:rsidRPr="005007CE">
        <w:t xml:space="preserve"> at the first step</w:t>
      </w:r>
      <w:r w:rsidR="006A085E" w:rsidRPr="005007CE">
        <w:t xml:space="preserve">.  Such </w:t>
      </w:r>
      <w:r w:rsidR="00FA013D" w:rsidRPr="005007CE">
        <w:t xml:space="preserve">conclusive </w:t>
      </w:r>
      <w:r w:rsidR="006A085E" w:rsidRPr="005007CE">
        <w:t>deference would be difficult to reconcile with the statutory admonition that courts must look beyond the pleadings to consider any party evidentiary submissions as well.  (§ 425.16, subd. (b)(2).)</w:t>
      </w:r>
    </w:p>
    <w:p w14:paraId="4B770990" w14:textId="510BB664" w:rsidR="00856771" w:rsidRPr="005007CE" w:rsidRDefault="00DB3425" w:rsidP="00414F44">
      <w:pPr>
        <w:tabs>
          <w:tab w:val="left" w:pos="1440"/>
        </w:tabs>
        <w:ind w:firstLine="720"/>
      </w:pPr>
      <w:r w:rsidRPr="005007CE">
        <w:t xml:space="preserve">Nor does the anti-SLAPP statute </w:t>
      </w:r>
      <w:r w:rsidR="00372141" w:rsidRPr="005007CE">
        <w:t>require</w:t>
      </w:r>
      <w:r w:rsidRPr="005007CE">
        <w:t xml:space="preserve"> a defendant </w:t>
      </w:r>
      <w:r w:rsidR="00372141" w:rsidRPr="005007CE">
        <w:t xml:space="preserve">to </w:t>
      </w:r>
      <w:r w:rsidRPr="005007CE">
        <w:t>disprov</w:t>
      </w:r>
      <w:r w:rsidR="00372141" w:rsidRPr="005007CE">
        <w:t>e</w:t>
      </w:r>
      <w:r w:rsidRPr="005007CE">
        <w:t xml:space="preserve"> allegations of illicit motive.  </w:t>
      </w:r>
      <w:r w:rsidR="00D53D62" w:rsidRPr="005007CE">
        <w:t>At the first step</w:t>
      </w:r>
      <w:r w:rsidR="00692C29" w:rsidRPr="005007CE">
        <w:t xml:space="preserve"> </w:t>
      </w:r>
      <w:r w:rsidR="00D53D62" w:rsidRPr="005007CE">
        <w:t xml:space="preserve">of the analysis, the defendant must make two related showings.  Comparing </w:t>
      </w:r>
      <w:r w:rsidR="00ED598A">
        <w:t xml:space="preserve">its </w:t>
      </w:r>
      <w:r w:rsidR="00D53D62" w:rsidRPr="005007CE">
        <w:t xml:space="preserve"> statements and conduct against the statute, </w:t>
      </w:r>
      <w:r w:rsidR="00ED598A">
        <w:t xml:space="preserve">it </w:t>
      </w:r>
      <w:r w:rsidR="00D53D62" w:rsidRPr="005007CE">
        <w:t xml:space="preserve">must demonstrate activity qualifying for protection.  (See § 425.16, subd. (e).)  </w:t>
      </w:r>
      <w:r w:rsidR="00144D80" w:rsidRPr="005007CE">
        <w:t>And c</w:t>
      </w:r>
      <w:r w:rsidR="00D53D62" w:rsidRPr="005007CE">
        <w:t xml:space="preserve">omparing that protected activity against the complaint, </w:t>
      </w:r>
      <w:r w:rsidR="0001720E">
        <w:t>it</w:t>
      </w:r>
      <w:r w:rsidR="00D53D62" w:rsidRPr="005007CE">
        <w:t xml:space="preserve"> must also demonstrate that the activity supplies one or more elements of a plaintiff’s claims.  (</w:t>
      </w:r>
      <w:r w:rsidR="00D53D62" w:rsidRPr="005007CE">
        <w:rPr>
          <w:i/>
        </w:rPr>
        <w:t>Id.</w:t>
      </w:r>
      <w:r w:rsidR="00D53D62" w:rsidRPr="005007CE">
        <w:t xml:space="preserve">, subd. (b)(1); see </w:t>
      </w:r>
      <w:r w:rsidR="00D53D62" w:rsidRPr="005007CE">
        <w:rPr>
          <w:i/>
        </w:rPr>
        <w:t>Rand Resources, LLC v. City of Carson</w:t>
      </w:r>
      <w:r w:rsidR="00D53D62" w:rsidRPr="005007CE">
        <w:t xml:space="preserve">, </w:t>
      </w:r>
      <w:r w:rsidR="00D53D62" w:rsidRPr="005007CE">
        <w:rPr>
          <w:i/>
        </w:rPr>
        <w:t>supra</w:t>
      </w:r>
      <w:r w:rsidR="00D53D62" w:rsidRPr="005007CE">
        <w:t>, 6 Cal.5th at p. 620 [“</w:t>
      </w:r>
      <w:r w:rsidR="00D53D62" w:rsidRPr="005007CE">
        <w:rPr>
          <w:color w:val="222222"/>
          <w:szCs w:val="26"/>
        </w:rPr>
        <w:t xml:space="preserve">A defendant satisfies the first step of the analysis by demonstrating that the ‘conduct by which plaintiff claims to have been injured falls within one of the four categories described in subdivision (e) [of section 425.16]’ [citation], and that the plaintiff’s claims in fact </w:t>
      </w:r>
      <w:r w:rsidR="00D53D62" w:rsidRPr="005007CE">
        <w:rPr>
          <w:i/>
          <w:iCs/>
          <w:color w:val="222222"/>
          <w:szCs w:val="26"/>
        </w:rPr>
        <w:t>arise</w:t>
      </w:r>
      <w:r w:rsidR="00D53D62" w:rsidRPr="005007CE">
        <w:rPr>
          <w:color w:val="222222"/>
          <w:szCs w:val="26"/>
        </w:rPr>
        <w:t xml:space="preserve"> from that conduct [citation].”].)</w:t>
      </w:r>
      <w:r w:rsidR="00856771" w:rsidRPr="005007CE">
        <w:rPr>
          <w:color w:val="222222"/>
          <w:szCs w:val="26"/>
        </w:rPr>
        <w:t xml:space="preserve">  </w:t>
      </w:r>
      <w:r w:rsidR="00D53D62" w:rsidRPr="005007CE">
        <w:t xml:space="preserve">At this stage, the question is only whether a defendant has </w:t>
      </w:r>
      <w:r w:rsidR="0071486B" w:rsidRPr="005007CE">
        <w:t xml:space="preserve">made </w:t>
      </w:r>
      <w:r w:rsidR="001A1F58" w:rsidRPr="005007CE">
        <w:t xml:space="preserve">out </w:t>
      </w:r>
      <w:r w:rsidR="00D53D62" w:rsidRPr="005007CE">
        <w:t xml:space="preserve">a prima facie case that activity underlying </w:t>
      </w:r>
      <w:r w:rsidR="002F0A55">
        <w:t xml:space="preserve">a </w:t>
      </w:r>
      <w:r w:rsidR="00D53D62" w:rsidRPr="005007CE">
        <w:t xml:space="preserve">plaintiff’s claims is </w:t>
      </w:r>
      <w:r w:rsidR="00FA013D" w:rsidRPr="005007CE">
        <w:t xml:space="preserve">statutorily </w:t>
      </w:r>
      <w:r w:rsidR="00D53D62" w:rsidRPr="005007CE">
        <w:t>protected (</w:t>
      </w:r>
      <w:r w:rsidR="00D53D62" w:rsidRPr="005007CE">
        <w:rPr>
          <w:i/>
        </w:rPr>
        <w:t>City of Montebello v. Vasquez</w:t>
      </w:r>
      <w:r w:rsidR="002F0A55">
        <w:t xml:space="preserve"> (2016)</w:t>
      </w:r>
      <w:r w:rsidR="00D53D62" w:rsidRPr="005007CE">
        <w:t xml:space="preserve"> 1 Cal.5th </w:t>
      </w:r>
      <w:r w:rsidR="002F0A55">
        <w:t xml:space="preserve">409, </w:t>
      </w:r>
      <w:r w:rsidR="00D53D62" w:rsidRPr="005007CE">
        <w:t xml:space="preserve">420; </w:t>
      </w:r>
      <w:r w:rsidR="00D53D62" w:rsidRPr="005007CE">
        <w:rPr>
          <w:i/>
          <w:color w:val="000000" w:themeColor="text1"/>
          <w:szCs w:val="26"/>
        </w:rPr>
        <w:t>Simpson Strong-Tie Co., Inc. v. Gore</w:t>
      </w:r>
      <w:r w:rsidR="002F0A55">
        <w:rPr>
          <w:color w:val="000000" w:themeColor="text1"/>
          <w:szCs w:val="26"/>
        </w:rPr>
        <w:t xml:space="preserve"> (2010) </w:t>
      </w:r>
      <w:r w:rsidR="00D53D62" w:rsidRPr="005007CE">
        <w:rPr>
          <w:color w:val="000000" w:themeColor="text1"/>
          <w:szCs w:val="26"/>
        </w:rPr>
        <w:t xml:space="preserve">49 Cal.4th </w:t>
      </w:r>
      <w:r w:rsidR="002F0A55">
        <w:rPr>
          <w:color w:val="000000" w:themeColor="text1"/>
          <w:szCs w:val="26"/>
        </w:rPr>
        <w:t xml:space="preserve">12, </w:t>
      </w:r>
      <w:r w:rsidR="00D53D62" w:rsidRPr="005007CE">
        <w:rPr>
          <w:color w:val="000000" w:themeColor="text1"/>
          <w:szCs w:val="26"/>
        </w:rPr>
        <w:t>21</w:t>
      </w:r>
      <w:r w:rsidR="00D53D62" w:rsidRPr="005007CE">
        <w:t>)</w:t>
      </w:r>
      <w:r w:rsidR="00372141" w:rsidRPr="005007CE">
        <w:t xml:space="preserve">, not whether it has shown </w:t>
      </w:r>
      <w:r w:rsidR="00DE1EAE" w:rsidRPr="005007CE">
        <w:t xml:space="preserve">its acts </w:t>
      </w:r>
      <w:r w:rsidR="00372141" w:rsidRPr="005007CE">
        <w:t xml:space="preserve">are ultimately </w:t>
      </w:r>
      <w:r w:rsidR="00DE1EAE" w:rsidRPr="005007CE">
        <w:t>lawful.</w:t>
      </w:r>
    </w:p>
    <w:p w14:paraId="30B6C5CF" w14:textId="605DD40E" w:rsidR="00290782" w:rsidRPr="005007CE" w:rsidRDefault="004C3BFD" w:rsidP="00414F44">
      <w:pPr>
        <w:tabs>
          <w:tab w:val="left" w:pos="1440"/>
        </w:tabs>
        <w:ind w:firstLine="720"/>
        <w:rPr>
          <w:color w:val="000000" w:themeColor="text1"/>
          <w:szCs w:val="26"/>
          <w:shd w:val="clear" w:color="auto" w:fill="FFFFFF"/>
        </w:rPr>
      </w:pPr>
      <w:r w:rsidRPr="005007CE">
        <w:t xml:space="preserve">We so held in </w:t>
      </w:r>
      <w:r w:rsidR="00C64DF3" w:rsidRPr="005007CE">
        <w:rPr>
          <w:i/>
        </w:rPr>
        <w:t>Navellier v. Sletten</w:t>
      </w:r>
      <w:r w:rsidR="00C64DF3" w:rsidRPr="005007CE">
        <w:t xml:space="preserve"> (2002) 29 Cal.4th 82</w:t>
      </w:r>
      <w:r w:rsidR="00885047" w:rsidRPr="005007CE">
        <w:t xml:space="preserve">.  </w:t>
      </w:r>
      <w:r w:rsidR="00ED598A">
        <w:t xml:space="preserve">There, </w:t>
      </w:r>
      <w:r w:rsidR="003400D7" w:rsidRPr="005007CE">
        <w:t xml:space="preserve">the </w:t>
      </w:r>
      <w:r w:rsidR="00C64DF3" w:rsidRPr="005007CE">
        <w:t xml:space="preserve">plaintiffs urged </w:t>
      </w:r>
      <w:r w:rsidR="00ED598A">
        <w:t xml:space="preserve">that </w:t>
      </w:r>
      <w:r w:rsidR="00C64DF3" w:rsidRPr="005007CE">
        <w:t>the defendant’s petitioning activity should receive no protection because it was not a valid</w:t>
      </w:r>
      <w:r w:rsidR="00C64DF3" w:rsidRPr="005007CE">
        <w:rPr>
          <w:color w:val="000000" w:themeColor="text1"/>
          <w:szCs w:val="26"/>
        </w:rPr>
        <w:t xml:space="preserve"> exercise of speech and petitioning rights</w:t>
      </w:r>
      <w:r w:rsidR="003400D7" w:rsidRPr="005007CE">
        <w:rPr>
          <w:color w:val="000000" w:themeColor="text1"/>
          <w:szCs w:val="26"/>
        </w:rPr>
        <w:t>, the defendant having previously waived the right to engage in the activity</w:t>
      </w:r>
      <w:r w:rsidR="00C64DF3" w:rsidRPr="005007CE">
        <w:rPr>
          <w:color w:val="000000" w:themeColor="text1"/>
          <w:szCs w:val="26"/>
        </w:rPr>
        <w:t xml:space="preserve">.  </w:t>
      </w:r>
      <w:r w:rsidR="005410DE" w:rsidRPr="005007CE">
        <w:rPr>
          <w:color w:val="000000" w:themeColor="text1"/>
          <w:szCs w:val="26"/>
        </w:rPr>
        <w:t xml:space="preserve">We </w:t>
      </w:r>
      <w:r w:rsidR="00831A8A" w:rsidRPr="005007CE">
        <w:rPr>
          <w:color w:val="000000" w:themeColor="text1"/>
          <w:szCs w:val="26"/>
        </w:rPr>
        <w:t>disagreed</w:t>
      </w:r>
      <w:r w:rsidR="00BC5178" w:rsidRPr="005007CE">
        <w:rPr>
          <w:color w:val="000000" w:themeColor="text1"/>
          <w:szCs w:val="26"/>
        </w:rPr>
        <w:t xml:space="preserve">.  We acknowledged that the preamble to the statute </w:t>
      </w:r>
      <w:r w:rsidR="00BC5178" w:rsidRPr="005007CE">
        <w:rPr>
          <w:color w:val="000000" w:themeColor="text1"/>
          <w:szCs w:val="26"/>
        </w:rPr>
        <w:lastRenderedPageBreak/>
        <w:t xml:space="preserve">does </w:t>
      </w:r>
      <w:r w:rsidR="00202B86" w:rsidRPr="005007CE">
        <w:rPr>
          <w:color w:val="000000" w:themeColor="text1"/>
          <w:szCs w:val="26"/>
        </w:rPr>
        <w:t xml:space="preserve">reflect </w:t>
      </w:r>
      <w:r w:rsidR="00BC5178" w:rsidRPr="005007CE">
        <w:rPr>
          <w:color w:val="000000" w:themeColor="text1"/>
          <w:szCs w:val="26"/>
        </w:rPr>
        <w:t>a purpose to protect the “valid exercise” of speech and petition rights.  (§ 425.16, subd. (a).)  But</w:t>
      </w:r>
      <w:r w:rsidR="00C64DF3" w:rsidRPr="005007CE">
        <w:rPr>
          <w:color w:val="000000" w:themeColor="text1"/>
          <w:szCs w:val="26"/>
        </w:rPr>
        <w:t xml:space="preserve"> </w:t>
      </w:r>
      <w:r w:rsidR="004273C9" w:rsidRPr="005007CE">
        <w:rPr>
          <w:color w:val="000000" w:themeColor="text1"/>
          <w:szCs w:val="26"/>
        </w:rPr>
        <w:t>the Legislature’s expression of</w:t>
      </w:r>
      <w:r w:rsidR="00C64DF3" w:rsidRPr="005007CE">
        <w:rPr>
          <w:color w:val="000000" w:themeColor="text1"/>
          <w:szCs w:val="26"/>
          <w:shd w:val="clear" w:color="auto" w:fill="FFFFFF"/>
        </w:rPr>
        <w:t xml:space="preserve"> </w:t>
      </w:r>
      <w:r w:rsidR="004273C9" w:rsidRPr="005007CE">
        <w:rPr>
          <w:color w:val="000000" w:themeColor="text1"/>
          <w:szCs w:val="26"/>
          <w:shd w:val="clear" w:color="auto" w:fill="FFFFFF"/>
        </w:rPr>
        <w:t>“</w:t>
      </w:r>
      <w:r w:rsidR="00C64DF3" w:rsidRPr="005007CE">
        <w:rPr>
          <w:color w:val="000000" w:themeColor="text1"/>
          <w:szCs w:val="26"/>
          <w:shd w:val="clear" w:color="auto" w:fill="FFFFFF"/>
        </w:rPr>
        <w:t>a concern in the statute</w:t>
      </w:r>
      <w:r w:rsidR="007423B7" w:rsidRPr="005007CE">
        <w:rPr>
          <w:color w:val="000000" w:themeColor="text1"/>
          <w:szCs w:val="26"/>
          <w:shd w:val="clear" w:color="auto" w:fill="FFFFFF"/>
        </w:rPr>
        <w:t>’</w:t>
      </w:r>
      <w:r w:rsidR="00C64DF3" w:rsidRPr="005007CE">
        <w:rPr>
          <w:color w:val="000000" w:themeColor="text1"/>
          <w:szCs w:val="26"/>
          <w:shd w:val="clear" w:color="auto" w:fill="FFFFFF"/>
        </w:rPr>
        <w:t xml:space="preserve">s preamble with lawsuits that chill </w:t>
      </w:r>
      <w:r w:rsidR="0040244B" w:rsidRPr="005007CE">
        <w:rPr>
          <w:color w:val="000000" w:themeColor="text1"/>
          <w:szCs w:val="26"/>
          <w:shd w:val="clear" w:color="auto" w:fill="FFFFFF"/>
        </w:rPr>
        <w:t xml:space="preserve">the </w:t>
      </w:r>
      <w:r w:rsidR="00C64DF3" w:rsidRPr="005007CE">
        <w:rPr>
          <w:color w:val="000000" w:themeColor="text1"/>
          <w:szCs w:val="26"/>
          <w:shd w:val="clear" w:color="auto" w:fill="FFFFFF"/>
        </w:rPr>
        <w:t>valid exercise of First Amendment rights does not mean that a court may read a separate</w:t>
      </w:r>
      <w:r w:rsidR="00B97F00" w:rsidRPr="005007CE">
        <w:rPr>
          <w:color w:val="000000" w:themeColor="text1"/>
          <w:szCs w:val="26"/>
          <w:shd w:val="clear" w:color="auto" w:fill="FFFFFF"/>
        </w:rPr>
        <w:t xml:space="preserve"> </w:t>
      </w:r>
      <w:r w:rsidR="00C64DF3" w:rsidRPr="005007CE">
        <w:rPr>
          <w:color w:val="000000" w:themeColor="text1"/>
          <w:szCs w:val="26"/>
          <w:shd w:val="clear" w:color="auto" w:fill="FFFFFF"/>
        </w:rPr>
        <w:t xml:space="preserve">proof-of-validity requirement into the operative sections of the statute.  [Citations.]  </w:t>
      </w:r>
      <w:r w:rsidR="007423B7" w:rsidRPr="005007CE">
        <w:rPr>
          <w:color w:val="000000" w:themeColor="text1"/>
          <w:szCs w:val="26"/>
          <w:shd w:val="clear" w:color="auto" w:fill="FFFFFF"/>
        </w:rPr>
        <w:t>Rather, any ‘claimed illegitimacy of the defendant’s acts is an issue which the plaintiff must raise</w:t>
      </w:r>
      <w:r w:rsidR="00B97F00" w:rsidRPr="005007CE">
        <w:rPr>
          <w:color w:val="000000" w:themeColor="text1"/>
          <w:szCs w:val="26"/>
          <w:shd w:val="clear" w:color="auto" w:fill="FFFFFF"/>
        </w:rPr>
        <w:t xml:space="preserve"> </w:t>
      </w:r>
      <w:r w:rsidR="007423B7" w:rsidRPr="005007CE">
        <w:rPr>
          <w:i/>
          <w:iCs/>
          <w:color w:val="000000" w:themeColor="text1"/>
          <w:szCs w:val="26"/>
          <w:shd w:val="clear" w:color="auto" w:fill="FFFFFF"/>
        </w:rPr>
        <w:t>and</w:t>
      </w:r>
      <w:r w:rsidR="00B97F00" w:rsidRPr="005007CE">
        <w:rPr>
          <w:color w:val="000000" w:themeColor="text1"/>
          <w:szCs w:val="26"/>
          <w:shd w:val="clear" w:color="auto" w:fill="FFFFFF"/>
        </w:rPr>
        <w:t xml:space="preserve"> </w:t>
      </w:r>
      <w:r w:rsidR="007423B7" w:rsidRPr="005007CE">
        <w:rPr>
          <w:color w:val="000000" w:themeColor="text1"/>
          <w:szCs w:val="26"/>
          <w:shd w:val="clear" w:color="auto" w:fill="FFFFFF"/>
        </w:rPr>
        <w:t>support in the context of the discharge of the plaintiff’s [secondary] burden to provide a prima facie showing of the merits of the plaintiff’s case.’ ”  (</w:t>
      </w:r>
      <w:r w:rsidR="007423B7" w:rsidRPr="005007CE">
        <w:rPr>
          <w:i/>
          <w:color w:val="000000" w:themeColor="text1"/>
          <w:szCs w:val="26"/>
          <w:shd w:val="clear" w:color="auto" w:fill="FFFFFF"/>
        </w:rPr>
        <w:t>Navellier</w:t>
      </w:r>
      <w:r w:rsidR="007423B7" w:rsidRPr="005007CE">
        <w:rPr>
          <w:color w:val="000000" w:themeColor="text1"/>
          <w:szCs w:val="26"/>
          <w:shd w:val="clear" w:color="auto" w:fill="FFFFFF"/>
        </w:rPr>
        <w:t>, at p.</w:t>
      </w:r>
      <w:r w:rsidR="00103B70" w:rsidRPr="005007CE">
        <w:rPr>
          <w:color w:val="000000" w:themeColor="text1"/>
          <w:szCs w:val="26"/>
          <w:shd w:val="clear" w:color="auto" w:fill="FFFFFF"/>
        </w:rPr>
        <w:t> </w:t>
      </w:r>
      <w:r w:rsidR="00202B86" w:rsidRPr="005007CE">
        <w:rPr>
          <w:color w:val="000000" w:themeColor="text1"/>
          <w:szCs w:val="26"/>
          <w:shd w:val="clear" w:color="auto" w:fill="FFFFFF"/>
        </w:rPr>
        <w:t>94</w:t>
      </w:r>
      <w:r w:rsidR="00ED5725" w:rsidRPr="005007CE">
        <w:rPr>
          <w:color w:val="000000" w:themeColor="text1"/>
          <w:szCs w:val="26"/>
          <w:shd w:val="clear" w:color="auto" w:fill="FFFFFF"/>
        </w:rPr>
        <w:t xml:space="preserve">; </w:t>
      </w:r>
      <w:r w:rsidR="00ED5725" w:rsidRPr="005007CE">
        <w:t xml:space="preserve">see </w:t>
      </w:r>
      <w:r w:rsidR="00ED5725" w:rsidRPr="005007CE">
        <w:rPr>
          <w:i/>
        </w:rPr>
        <w:t>City of Montebello v. Vasquez</w:t>
      </w:r>
      <w:r w:rsidR="002369AB">
        <w:t xml:space="preserve">, </w:t>
      </w:r>
      <w:r w:rsidR="002369AB" w:rsidRPr="002369AB">
        <w:rPr>
          <w:i/>
        </w:rPr>
        <w:t>supra</w:t>
      </w:r>
      <w:r w:rsidR="002369AB">
        <w:t xml:space="preserve">, </w:t>
      </w:r>
      <w:r w:rsidR="00ED5725" w:rsidRPr="005007CE">
        <w:t xml:space="preserve">1 Cal.5th </w:t>
      </w:r>
      <w:r w:rsidR="002369AB">
        <w:t>at pp. </w:t>
      </w:r>
      <w:r w:rsidR="00ED5725" w:rsidRPr="005007CE">
        <w:t>422–425 [lawfulness of activity generally addressed in the second step]</w:t>
      </w:r>
      <w:r w:rsidR="007423B7" w:rsidRPr="005007CE">
        <w:rPr>
          <w:color w:val="000000" w:themeColor="text1"/>
          <w:szCs w:val="26"/>
          <w:shd w:val="clear" w:color="auto" w:fill="FFFFFF"/>
        </w:rPr>
        <w:t>.)</w:t>
      </w:r>
      <w:r w:rsidR="00BE16ED" w:rsidRPr="005007CE">
        <w:rPr>
          <w:color w:val="000000" w:themeColor="text1"/>
          <w:szCs w:val="26"/>
          <w:shd w:val="clear" w:color="auto" w:fill="FFFFFF"/>
        </w:rPr>
        <w:t xml:space="preserve">  </w:t>
      </w:r>
      <w:r w:rsidR="006A35D0" w:rsidRPr="005007CE">
        <w:t xml:space="preserve">To </w:t>
      </w:r>
      <w:r w:rsidR="004E45D8" w:rsidRPr="005007CE">
        <w:t xml:space="preserve">conclude </w:t>
      </w:r>
      <w:r w:rsidR="005D626D" w:rsidRPr="005007CE">
        <w:t xml:space="preserve">otherwise would effectively shift to the defendant </w:t>
      </w:r>
      <w:r w:rsidR="006A35D0" w:rsidRPr="005007CE">
        <w:t xml:space="preserve">a burden </w:t>
      </w:r>
      <w:r w:rsidR="004E3B94" w:rsidRPr="005007CE">
        <w:t xml:space="preserve">statutorily assigned to the </w:t>
      </w:r>
      <w:r w:rsidR="006A35D0" w:rsidRPr="005007CE">
        <w:t xml:space="preserve">plaintiff.  (See § 425.16, subd. (b)(1) [if acts are protected, </w:t>
      </w:r>
      <w:r w:rsidR="00ED5725" w:rsidRPr="005007CE">
        <w:t>it is for the</w:t>
      </w:r>
      <w:r w:rsidR="006A35D0" w:rsidRPr="005007CE">
        <w:t xml:space="preserve"> “plaintiff [to] establish[] that there is a probability that the plaintiff will prevail</w:t>
      </w:r>
      <w:r w:rsidR="00ED598A">
        <w:t xml:space="preserve"> on the claim</w:t>
      </w:r>
      <w:r w:rsidR="006A35D0" w:rsidRPr="005007CE">
        <w:t>”].)</w:t>
      </w:r>
    </w:p>
    <w:p w14:paraId="6ECF70A3" w14:textId="3320C498" w:rsidR="00DE130C" w:rsidRPr="005007CE" w:rsidRDefault="00DE130C" w:rsidP="00414F44">
      <w:pPr>
        <w:tabs>
          <w:tab w:val="left" w:pos="1440"/>
        </w:tabs>
        <w:ind w:firstLine="720"/>
      </w:pPr>
      <w:r w:rsidRPr="005007CE">
        <w:t>Consis</w:t>
      </w:r>
      <w:r w:rsidR="00561926" w:rsidRPr="005007CE">
        <w:t xml:space="preserve">tent with this </w:t>
      </w:r>
      <w:r w:rsidR="00DE6CEA" w:rsidRPr="005007CE">
        <w:t>understanding</w:t>
      </w:r>
      <w:r w:rsidR="00561926" w:rsidRPr="005007CE">
        <w:t xml:space="preserve">, </w:t>
      </w:r>
      <w:r w:rsidRPr="005007CE">
        <w:t xml:space="preserve">at the first step </w:t>
      </w:r>
      <w:r w:rsidR="00561926" w:rsidRPr="005007CE">
        <w:t>of the anti-SLAPP analysis</w:t>
      </w:r>
      <w:r w:rsidR="00002833" w:rsidRPr="005007CE">
        <w:t>,</w:t>
      </w:r>
      <w:r w:rsidR="00561926" w:rsidRPr="005007CE">
        <w:t xml:space="preserve"> we </w:t>
      </w:r>
      <w:r w:rsidRPr="005007CE">
        <w:t xml:space="preserve">routinely </w:t>
      </w:r>
      <w:r w:rsidR="00561926" w:rsidRPr="005007CE">
        <w:t xml:space="preserve">have </w:t>
      </w:r>
      <w:r w:rsidRPr="005007CE">
        <w:t xml:space="preserve">examined the conduct of defendants without </w:t>
      </w:r>
      <w:r w:rsidR="00FC3926">
        <w:t>relying on</w:t>
      </w:r>
      <w:r w:rsidRPr="005007CE">
        <w:t xml:space="preserve"> what</w:t>
      </w:r>
      <w:r w:rsidR="00FF47DE" w:rsidRPr="005007CE">
        <w:t>ever improper motive the plaintiff alleged</w:t>
      </w:r>
      <w:r w:rsidRPr="005007CE">
        <w:t>.</w:t>
      </w:r>
      <w:r w:rsidR="00B633B0" w:rsidRPr="005007CE">
        <w:t xml:space="preserve">  For example, </w:t>
      </w:r>
      <w:r w:rsidR="00176455" w:rsidRPr="005007CE">
        <w:t xml:space="preserve">in </w:t>
      </w:r>
      <w:r w:rsidR="00176455" w:rsidRPr="005007CE">
        <w:rPr>
          <w:i/>
        </w:rPr>
        <w:t>Jarrow Formulas, Inc. v. LaMarche</w:t>
      </w:r>
      <w:r w:rsidR="00176455" w:rsidRPr="005007CE">
        <w:t xml:space="preserve"> (2003) 31 Cal.4th 728, we considered whether claims for malicious prosecution could be subject to an anti-SLAPP motion.  The plaintiff urged that filing an action without probable cause was not activity in furtherance of constitutional speech and petition rights, and so such claims should be</w:t>
      </w:r>
      <w:r w:rsidR="0044673E" w:rsidRPr="005007CE">
        <w:t xml:space="preserve"> exempt</w:t>
      </w:r>
      <w:r w:rsidR="00176455" w:rsidRPr="005007CE">
        <w:t xml:space="preserve">.  We rejected the argument.  </w:t>
      </w:r>
      <w:r w:rsidR="0044673E" w:rsidRPr="005007CE">
        <w:rPr>
          <w:szCs w:val="26"/>
        </w:rPr>
        <w:t xml:space="preserve">That the claim arose from the filing of a lawsuit, protected First Amendment activity, was alone dispositive; allegations that the suit was filed </w:t>
      </w:r>
      <w:r w:rsidR="00947D68" w:rsidRPr="005007CE">
        <w:rPr>
          <w:szCs w:val="26"/>
        </w:rPr>
        <w:t xml:space="preserve">without probable cause—or, for that matter, </w:t>
      </w:r>
      <w:r w:rsidR="0044673E" w:rsidRPr="005007CE">
        <w:rPr>
          <w:szCs w:val="26"/>
        </w:rPr>
        <w:t xml:space="preserve">based on </w:t>
      </w:r>
      <w:r w:rsidR="00947D68" w:rsidRPr="005007CE">
        <w:rPr>
          <w:szCs w:val="26"/>
        </w:rPr>
        <w:t>a malicious motive—</w:t>
      </w:r>
      <w:r w:rsidR="0044673E" w:rsidRPr="005007CE">
        <w:rPr>
          <w:szCs w:val="26"/>
        </w:rPr>
        <w:t xml:space="preserve">were irrelevant at the first step, and mattered only at the second step.  </w:t>
      </w:r>
      <w:r w:rsidR="0044673E" w:rsidRPr="005007CE">
        <w:rPr>
          <w:szCs w:val="26"/>
        </w:rPr>
        <w:lastRenderedPageBreak/>
        <w:t>(</w:t>
      </w:r>
      <w:r w:rsidR="002369AB" w:rsidRPr="002369AB">
        <w:rPr>
          <w:i/>
          <w:szCs w:val="26"/>
        </w:rPr>
        <w:t>Id.</w:t>
      </w:r>
      <w:r w:rsidR="0044673E" w:rsidRPr="005007CE">
        <w:rPr>
          <w:szCs w:val="26"/>
        </w:rPr>
        <w:t xml:space="preserve"> at pp. 739–740; see </w:t>
      </w:r>
      <w:r w:rsidR="00B633B0" w:rsidRPr="005007CE">
        <w:rPr>
          <w:i/>
        </w:rPr>
        <w:t>Soukup v. Law Offices of Herbert Hafif</w:t>
      </w:r>
      <w:r w:rsidR="00C827B1" w:rsidRPr="005007CE">
        <w:t xml:space="preserve">, </w:t>
      </w:r>
      <w:r w:rsidR="00C827B1" w:rsidRPr="005007CE">
        <w:rPr>
          <w:i/>
        </w:rPr>
        <w:t>supra</w:t>
      </w:r>
      <w:r w:rsidR="00C827B1" w:rsidRPr="005007CE">
        <w:t xml:space="preserve">, </w:t>
      </w:r>
      <w:r w:rsidR="00BF0AD1" w:rsidRPr="005007CE">
        <w:rPr>
          <w:szCs w:val="26"/>
        </w:rPr>
        <w:t>39 Cal.4th</w:t>
      </w:r>
      <w:r w:rsidR="00C827B1" w:rsidRPr="005007CE">
        <w:rPr>
          <w:szCs w:val="26"/>
        </w:rPr>
        <w:t xml:space="preserve"> at pp. </w:t>
      </w:r>
      <w:r w:rsidR="00BF0AD1" w:rsidRPr="005007CE">
        <w:rPr>
          <w:szCs w:val="26"/>
        </w:rPr>
        <w:t>291–292.)</w:t>
      </w:r>
    </w:p>
    <w:p w14:paraId="27210046" w14:textId="77777777" w:rsidR="00DE130C" w:rsidRPr="005007CE" w:rsidRDefault="00BF0AD1" w:rsidP="00414F44">
      <w:pPr>
        <w:tabs>
          <w:tab w:val="left" w:pos="1440"/>
        </w:tabs>
        <w:ind w:firstLine="720"/>
      </w:pPr>
      <w:r w:rsidRPr="005007CE">
        <w:t xml:space="preserve">The same was true in </w:t>
      </w:r>
      <w:r w:rsidRPr="005007CE">
        <w:rPr>
          <w:i/>
        </w:rPr>
        <w:t>Park</w:t>
      </w:r>
      <w:r w:rsidRPr="005007CE">
        <w:t>.  There</w:t>
      </w:r>
      <w:r w:rsidR="00694FBE" w:rsidRPr="005007CE">
        <w:t xml:space="preserve">, </w:t>
      </w:r>
      <w:r w:rsidR="00074961" w:rsidRPr="005007CE">
        <w:t>when</w:t>
      </w:r>
      <w:r w:rsidR="00694FBE" w:rsidRPr="005007CE">
        <w:t xml:space="preserve"> consider</w:t>
      </w:r>
      <w:r w:rsidR="00074961" w:rsidRPr="005007CE">
        <w:t>ing “what actions by the defendant supply [the] elements” of a claim (</w:t>
      </w:r>
      <w:r w:rsidR="00074961" w:rsidRPr="005007CE">
        <w:rPr>
          <w:i/>
        </w:rPr>
        <w:t>Park</w:t>
      </w:r>
      <w:r w:rsidR="00074961" w:rsidRPr="005007CE">
        <w:t xml:space="preserve">, </w:t>
      </w:r>
      <w:r w:rsidR="00074961" w:rsidRPr="005007CE">
        <w:rPr>
          <w:i/>
        </w:rPr>
        <w:t>supra</w:t>
      </w:r>
      <w:r w:rsidR="00074961" w:rsidRPr="005007CE">
        <w:t>, 2 Cal.5t</w:t>
      </w:r>
      <w:r w:rsidRPr="005007CE">
        <w:t>h at p.</w:t>
      </w:r>
      <w:r w:rsidR="00103B70" w:rsidRPr="005007CE">
        <w:t> </w:t>
      </w:r>
      <w:r w:rsidRPr="005007CE">
        <w:t>1063), we determined a</w:t>
      </w:r>
      <w:r w:rsidR="00074961" w:rsidRPr="005007CE">
        <w:t xml:space="preserve"> discrimination suit arose from the decisi</w:t>
      </w:r>
      <w:r w:rsidRPr="005007CE">
        <w:t>on to deny the plaintiff tenure</w:t>
      </w:r>
      <w:r w:rsidR="00074961" w:rsidRPr="005007CE">
        <w:t xml:space="preserve"> and examined whether that decision was protected, without reference to the alleged </w:t>
      </w:r>
      <w:r w:rsidR="00BA1853" w:rsidRPr="005007CE">
        <w:t xml:space="preserve">discriminatory </w:t>
      </w:r>
      <w:r w:rsidR="00074961" w:rsidRPr="005007CE">
        <w:t>motive (</w:t>
      </w:r>
      <w:r w:rsidR="00074961" w:rsidRPr="005007CE">
        <w:rPr>
          <w:i/>
        </w:rPr>
        <w:t>id.</w:t>
      </w:r>
      <w:r w:rsidR="00074961" w:rsidRPr="005007CE">
        <w:t xml:space="preserve"> at pp. 1071–1072).</w:t>
      </w:r>
      <w:r w:rsidR="00DA0AD4" w:rsidRPr="005007CE">
        <w:t xml:space="preserve">  And </w:t>
      </w:r>
      <w:r w:rsidR="00DE130C" w:rsidRPr="005007CE">
        <w:t xml:space="preserve">in </w:t>
      </w:r>
      <w:r w:rsidR="00DE130C" w:rsidRPr="005007CE">
        <w:rPr>
          <w:i/>
        </w:rPr>
        <w:t>Rand Resources, LLC v. City of Carson</w:t>
      </w:r>
      <w:r w:rsidR="00EA7227" w:rsidRPr="005007CE">
        <w:t xml:space="preserve">, </w:t>
      </w:r>
      <w:r w:rsidR="00EA7227" w:rsidRPr="005007CE">
        <w:rPr>
          <w:i/>
        </w:rPr>
        <w:t>supra</w:t>
      </w:r>
      <w:r w:rsidR="00EA7227" w:rsidRPr="005007CE">
        <w:t>,</w:t>
      </w:r>
      <w:r w:rsidR="001519C2" w:rsidRPr="005007CE">
        <w:t xml:space="preserve"> </w:t>
      </w:r>
      <w:r w:rsidR="00962511" w:rsidRPr="005007CE">
        <w:t>6</w:t>
      </w:r>
      <w:r w:rsidR="00DE130C" w:rsidRPr="005007CE">
        <w:t xml:space="preserve"> Cal.5th </w:t>
      </w:r>
      <w:r w:rsidR="00962511" w:rsidRPr="005007CE">
        <w:t>610</w:t>
      </w:r>
      <w:r w:rsidR="00DE130C" w:rsidRPr="005007CE">
        <w:t>, we considered whether claims for intentional interference with contract and prospective economic advantage arose from protected activity.  The claims r</w:t>
      </w:r>
      <w:r w:rsidR="00002833" w:rsidRPr="005007CE">
        <w:t xml:space="preserve">ested in part on </w:t>
      </w:r>
      <w:r w:rsidR="00BA1853" w:rsidRPr="005007CE">
        <w:t xml:space="preserve">the </w:t>
      </w:r>
      <w:r w:rsidR="00002833" w:rsidRPr="005007CE">
        <w:t>defendants’ lobbying the</w:t>
      </w:r>
      <w:r w:rsidR="00DE130C" w:rsidRPr="005007CE">
        <w:t xml:space="preserve"> city council and lobbying on behalf of the city.  These acts were lawful, considered on their own, but alleged to be wrongful b</w:t>
      </w:r>
      <w:r w:rsidR="00147481" w:rsidRPr="005007CE">
        <w:t>ecause taken with the intent to disrupt existing and potential contractual relations</w:t>
      </w:r>
      <w:r w:rsidR="00DE130C" w:rsidRPr="005007CE">
        <w:t>.  We examined whether the acts themselves were protecte</w:t>
      </w:r>
      <w:r w:rsidR="005E78CB" w:rsidRPr="005007CE">
        <w:t xml:space="preserve">d, without ever suggesting that the plaintiffs’ </w:t>
      </w:r>
      <w:r w:rsidR="00DE130C" w:rsidRPr="005007CE">
        <w:t xml:space="preserve">allegations </w:t>
      </w:r>
      <w:r w:rsidR="005E78CB" w:rsidRPr="005007CE">
        <w:t xml:space="preserve">of wrongful motive were sufficient to </w:t>
      </w:r>
      <w:r w:rsidR="009B7A8A" w:rsidRPr="005007CE">
        <w:t xml:space="preserve">remove </w:t>
      </w:r>
      <w:r w:rsidR="00147481" w:rsidRPr="005007CE">
        <w:t xml:space="preserve">the lobbying activity </w:t>
      </w:r>
      <w:r w:rsidR="009B7A8A" w:rsidRPr="005007CE">
        <w:t xml:space="preserve">from </w:t>
      </w:r>
      <w:r w:rsidR="007F41FA" w:rsidRPr="005007CE">
        <w:t xml:space="preserve">the statute’s </w:t>
      </w:r>
      <w:r w:rsidR="00147481" w:rsidRPr="005007CE">
        <w:t>aegis</w:t>
      </w:r>
      <w:r w:rsidR="00DE130C" w:rsidRPr="005007CE">
        <w:t xml:space="preserve">.  (See </w:t>
      </w:r>
      <w:r w:rsidR="00002833" w:rsidRPr="005007CE">
        <w:rPr>
          <w:i/>
        </w:rPr>
        <w:t>id.</w:t>
      </w:r>
      <w:r w:rsidR="00A82F33" w:rsidRPr="005007CE">
        <w:t xml:space="preserve"> at pp. </w:t>
      </w:r>
      <w:r w:rsidR="00962511" w:rsidRPr="005007CE">
        <w:t>628</w:t>
      </w:r>
      <w:r w:rsidR="00103B70" w:rsidRPr="005007CE">
        <w:t>–</w:t>
      </w:r>
      <w:r w:rsidR="00962511" w:rsidRPr="005007CE">
        <w:t>630</w:t>
      </w:r>
      <w:r w:rsidR="00DE130C" w:rsidRPr="005007CE">
        <w:t>.)</w:t>
      </w:r>
      <w:r w:rsidR="0068471E" w:rsidRPr="005007CE">
        <w:rPr>
          <w:rStyle w:val="FootnoteReference"/>
        </w:rPr>
        <w:footnoteReference w:id="8"/>
      </w:r>
    </w:p>
    <w:p w14:paraId="38143600" w14:textId="26F078BC" w:rsidR="001137F3" w:rsidRPr="005007CE" w:rsidRDefault="00F54E58" w:rsidP="00414F44">
      <w:pPr>
        <w:tabs>
          <w:tab w:val="left" w:pos="1440"/>
        </w:tabs>
        <w:ind w:firstLine="720"/>
      </w:pPr>
      <w:r w:rsidRPr="005007CE">
        <w:lastRenderedPageBreak/>
        <w:t xml:space="preserve">To be </w:t>
      </w:r>
      <w:r w:rsidR="00F56DA5">
        <w:t>clear</w:t>
      </w:r>
      <w:r w:rsidRPr="005007CE">
        <w:t xml:space="preserve">, we do not hold that a </w:t>
      </w:r>
      <w:r w:rsidR="00313846" w:rsidRPr="005007CE">
        <w:rPr>
          <w:szCs w:val="26"/>
        </w:rPr>
        <w:t xml:space="preserve">defendant’s motives are categorically </w:t>
      </w:r>
      <w:r w:rsidR="00697441" w:rsidRPr="005007CE">
        <w:rPr>
          <w:szCs w:val="26"/>
        </w:rPr>
        <w:t xml:space="preserve">off-limits </w:t>
      </w:r>
      <w:r w:rsidR="008366BF" w:rsidRPr="005007CE">
        <w:rPr>
          <w:szCs w:val="26"/>
        </w:rPr>
        <w:t xml:space="preserve">in determining </w:t>
      </w:r>
      <w:r w:rsidR="004D6250" w:rsidRPr="005007CE">
        <w:rPr>
          <w:szCs w:val="26"/>
        </w:rPr>
        <w:t>whether an act qualifies as protected activit</w:t>
      </w:r>
      <w:r w:rsidR="00697441" w:rsidRPr="005007CE">
        <w:rPr>
          <w:szCs w:val="26"/>
        </w:rPr>
        <w:t>y</w:t>
      </w:r>
      <w:r w:rsidR="00313846" w:rsidRPr="005007CE">
        <w:rPr>
          <w:szCs w:val="26"/>
        </w:rPr>
        <w:t xml:space="preserve"> under the anti-SLAPP statute.  W</w:t>
      </w:r>
      <w:r w:rsidR="00697441" w:rsidRPr="005007CE">
        <w:rPr>
          <w:szCs w:val="26"/>
        </w:rPr>
        <w:t xml:space="preserve">e hold only that the plaintiff’s allegations cannot be dispositive of the </w:t>
      </w:r>
      <w:r w:rsidR="00526E73" w:rsidRPr="005007CE">
        <w:rPr>
          <w:szCs w:val="26"/>
        </w:rPr>
        <w:t>question</w:t>
      </w:r>
      <w:r w:rsidR="00697441" w:rsidRPr="005007CE">
        <w:rPr>
          <w:szCs w:val="26"/>
        </w:rPr>
        <w:t>.</w:t>
      </w:r>
      <w:r w:rsidR="005015D4" w:rsidRPr="005007CE">
        <w:rPr>
          <w:szCs w:val="26"/>
        </w:rPr>
        <w:t xml:space="preserve">  </w:t>
      </w:r>
      <w:r w:rsidR="00724C2A" w:rsidRPr="005007CE">
        <w:t>I</w:t>
      </w:r>
      <w:r w:rsidR="00724C2A" w:rsidRPr="005007CE">
        <w:rPr>
          <w:color w:val="000000"/>
          <w:szCs w:val="26"/>
        </w:rPr>
        <w:t>n some cas</w:t>
      </w:r>
      <w:r w:rsidR="00A43145" w:rsidRPr="005007CE">
        <w:rPr>
          <w:color w:val="000000"/>
          <w:szCs w:val="26"/>
        </w:rPr>
        <w:t xml:space="preserve">es </w:t>
      </w:r>
      <w:r w:rsidR="001A3B49" w:rsidRPr="005007CE">
        <w:rPr>
          <w:color w:val="000000"/>
          <w:szCs w:val="26"/>
        </w:rPr>
        <w:t>(</w:t>
      </w:r>
      <w:r w:rsidR="00A43145" w:rsidRPr="005007CE">
        <w:rPr>
          <w:color w:val="000000"/>
          <w:szCs w:val="26"/>
        </w:rPr>
        <w:t xml:space="preserve">including this one, </w:t>
      </w:r>
      <w:r w:rsidR="002A7AEF" w:rsidRPr="005007CE">
        <w:rPr>
          <w:color w:val="000000"/>
          <w:szCs w:val="26"/>
        </w:rPr>
        <w:t xml:space="preserve">as </w:t>
      </w:r>
      <w:r w:rsidR="005015D4" w:rsidRPr="005007CE">
        <w:rPr>
          <w:color w:val="000000"/>
          <w:szCs w:val="26"/>
        </w:rPr>
        <w:t>we explain below</w:t>
      </w:r>
      <w:r w:rsidR="001A3B49" w:rsidRPr="005007CE">
        <w:rPr>
          <w:color w:val="000000"/>
          <w:szCs w:val="26"/>
        </w:rPr>
        <w:t xml:space="preserve">), </w:t>
      </w:r>
      <w:r w:rsidR="00724C2A" w:rsidRPr="005007CE">
        <w:rPr>
          <w:color w:val="000000"/>
          <w:szCs w:val="26"/>
        </w:rPr>
        <w:t>whether the defendant’s act qualifies as one in furtherance of protected speech or petitioning will depend on whether the defendant took the action for speech-related reasons.</w:t>
      </w:r>
      <w:r w:rsidR="00697441" w:rsidRPr="005007CE">
        <w:t xml:space="preserve">  </w:t>
      </w:r>
      <w:r w:rsidR="00724C2A" w:rsidRPr="005007CE">
        <w:t xml:space="preserve">Nothing in the statutory scheme prevents </w:t>
      </w:r>
      <w:r w:rsidR="001137F3" w:rsidRPr="005007CE">
        <w:t xml:space="preserve">the defendant from introducing evidence </w:t>
      </w:r>
      <w:r w:rsidR="00724C2A" w:rsidRPr="005007CE">
        <w:t>establishing such reasons.</w:t>
      </w:r>
      <w:r w:rsidR="00546C64" w:rsidRPr="005007CE">
        <w:t xml:space="preserve">  But there is an important difference between permitting the defendant to </w:t>
      </w:r>
      <w:r w:rsidR="00755D2D" w:rsidRPr="005007CE">
        <w:t xml:space="preserve">present </w:t>
      </w:r>
      <w:r w:rsidR="00546C64" w:rsidRPr="005007CE">
        <w:t xml:space="preserve">evidence </w:t>
      </w:r>
      <w:r w:rsidR="00C728B3" w:rsidRPr="005007CE">
        <w:t xml:space="preserve">of its own motives in an effort to make out </w:t>
      </w:r>
      <w:r w:rsidR="00546C64" w:rsidRPr="005007CE">
        <w:t>its prima facie case of protected activity and treating a plaintiff’s allegations of illicit motive as a bar to anti-SLAPP protectio</w:t>
      </w:r>
      <w:r w:rsidR="00BA4CFF" w:rsidRPr="005007CE">
        <w:t>n</w:t>
      </w:r>
      <w:r w:rsidR="00A07AD2" w:rsidRPr="005007CE">
        <w:t>, as Wilson would have us do here</w:t>
      </w:r>
      <w:r w:rsidR="00BA4CFF" w:rsidRPr="005007CE">
        <w:t>.</w:t>
      </w:r>
    </w:p>
    <w:p w14:paraId="7A687D28" w14:textId="61A6C922" w:rsidR="006610FA" w:rsidRPr="005007CE" w:rsidRDefault="00FA6E00" w:rsidP="00414F44">
      <w:pPr>
        <w:tabs>
          <w:tab w:val="left" w:pos="1440"/>
        </w:tabs>
        <w:ind w:firstLine="720"/>
        <w:rPr>
          <w:szCs w:val="26"/>
        </w:rPr>
      </w:pPr>
      <w:r w:rsidRPr="005007CE">
        <w:t xml:space="preserve">To </w:t>
      </w:r>
      <w:r w:rsidR="00994C75" w:rsidRPr="005007CE">
        <w:t xml:space="preserve">conclude otherwise </w:t>
      </w:r>
      <w:r w:rsidR="006610FA" w:rsidRPr="005007CE">
        <w:t>would effectively immunize claims of discrimination or retaliation from anti-SLAPP scrutiny, even though the statutory text establishes no such immunity.  As originally drafted, “[n]othing in the statute itself categorically exclude[d] any particular type of action from its operation.”  (</w:t>
      </w:r>
      <w:r w:rsidR="006610FA" w:rsidRPr="005007CE">
        <w:rPr>
          <w:i/>
        </w:rPr>
        <w:t>Navellier v. Sletten</w:t>
      </w:r>
      <w:r w:rsidR="006610FA" w:rsidRPr="005007CE">
        <w:t xml:space="preserve">, </w:t>
      </w:r>
      <w:r w:rsidR="006610FA" w:rsidRPr="005007CE">
        <w:rPr>
          <w:i/>
        </w:rPr>
        <w:t>supra</w:t>
      </w:r>
      <w:r w:rsidR="006610FA" w:rsidRPr="005007CE">
        <w:t xml:space="preserve">, 29 Cal.4th at p. 92.)  And although subsequent amendments to the statutory scheme have added exclusions (see Code Civ. Proc., </w:t>
      </w:r>
      <w:r w:rsidR="006610FA" w:rsidRPr="005007CE">
        <w:rPr>
          <w:color w:val="000000" w:themeColor="text1"/>
          <w:szCs w:val="26"/>
        </w:rPr>
        <w:t>§ </w:t>
      </w:r>
      <w:r w:rsidR="006610FA" w:rsidRPr="005007CE">
        <w:t>425.17</w:t>
      </w:r>
      <w:r w:rsidR="006610FA" w:rsidRPr="005007CE">
        <w:rPr>
          <w:color w:val="000000" w:themeColor="text1"/>
          <w:szCs w:val="26"/>
        </w:rPr>
        <w:t xml:space="preserve">; </w:t>
      </w:r>
      <w:r w:rsidR="006610FA" w:rsidRPr="005007CE">
        <w:rPr>
          <w:i/>
          <w:color w:val="000000" w:themeColor="text1"/>
          <w:szCs w:val="26"/>
        </w:rPr>
        <w:t xml:space="preserve">Simpson Strong-Tie </w:t>
      </w:r>
      <w:r w:rsidR="006610FA" w:rsidRPr="005007CE">
        <w:rPr>
          <w:i/>
          <w:color w:val="000000" w:themeColor="text1"/>
          <w:szCs w:val="26"/>
        </w:rPr>
        <w:lastRenderedPageBreak/>
        <w:t>Co., Inc. v. Gore</w:t>
      </w:r>
      <w:r w:rsidR="002369AB">
        <w:rPr>
          <w:color w:val="000000" w:themeColor="text1"/>
          <w:szCs w:val="26"/>
        </w:rPr>
        <w:t xml:space="preserve">, </w:t>
      </w:r>
      <w:r w:rsidR="002369AB" w:rsidRPr="002369AB">
        <w:rPr>
          <w:i/>
          <w:color w:val="000000" w:themeColor="text1"/>
          <w:szCs w:val="26"/>
        </w:rPr>
        <w:t>supra</w:t>
      </w:r>
      <w:r w:rsidR="002369AB">
        <w:rPr>
          <w:color w:val="000000" w:themeColor="text1"/>
          <w:szCs w:val="26"/>
        </w:rPr>
        <w:t xml:space="preserve">, </w:t>
      </w:r>
      <w:r w:rsidR="006610FA" w:rsidRPr="005007CE">
        <w:rPr>
          <w:color w:val="000000" w:themeColor="text1"/>
          <w:szCs w:val="26"/>
        </w:rPr>
        <w:t xml:space="preserve">49 Cal.4th </w:t>
      </w:r>
      <w:r w:rsidR="002369AB">
        <w:rPr>
          <w:color w:val="000000" w:themeColor="text1"/>
          <w:szCs w:val="26"/>
        </w:rPr>
        <w:t>at pp. </w:t>
      </w:r>
      <w:r w:rsidR="006610FA" w:rsidRPr="005007CE">
        <w:rPr>
          <w:color w:val="000000" w:themeColor="text1"/>
          <w:szCs w:val="26"/>
        </w:rPr>
        <w:t>21–22</w:t>
      </w:r>
      <w:r w:rsidR="006610FA" w:rsidRPr="005007CE">
        <w:t>), there are none for discrimination or retaliation actions.  Nor can we infer that failure to include such an exception was a legislative oversight</w:t>
      </w:r>
      <w:r w:rsidR="006B31E4" w:rsidRPr="005007CE">
        <w:t>.  A</w:t>
      </w:r>
      <w:r w:rsidR="006610FA" w:rsidRPr="005007CE">
        <w:t xml:space="preserve">fter all, a meritless discrimination claim, like other meritless claims, is capable of “chill[ing] the valid exercise of the constitutional rights of freedom of speech and petition for the redress of grievances.”  (§ 425.16, subd. (a); see </w:t>
      </w:r>
      <w:r w:rsidR="006610FA" w:rsidRPr="005007CE">
        <w:rPr>
          <w:i/>
        </w:rPr>
        <w:t>Ingels v. Westwood One Broadcasting Services, Inc.</w:t>
      </w:r>
      <w:r w:rsidR="006610FA" w:rsidRPr="005007CE">
        <w:t xml:space="preserve"> (2005) 129 Cal.App.4th 1050, 1064 [upholding strike of caller’s age discrimination claim against call-in radio talk show].)</w:t>
      </w:r>
    </w:p>
    <w:p w14:paraId="15965B99" w14:textId="76A0D600" w:rsidR="00892684" w:rsidRPr="005007CE" w:rsidRDefault="00F5609C" w:rsidP="00414F44">
      <w:pPr>
        <w:tabs>
          <w:tab w:val="left" w:pos="1440"/>
        </w:tabs>
        <w:ind w:firstLine="720"/>
      </w:pPr>
      <w:r w:rsidRPr="005007CE">
        <w:t xml:space="preserve">Wilson, echoing the Court of Appeal, expresses </w:t>
      </w:r>
      <w:r w:rsidR="00892684" w:rsidRPr="005007CE">
        <w:t>concern that if the plaintiff’s allegations of discriminatory motives are not considered at the first step of the anti-SLAPP analysis, “ ‘most, if not all, harassment, discrimination, and retaliation cases [will be subject] to motions to strike.’ ”  (</w:t>
      </w:r>
      <w:r w:rsidR="00892684" w:rsidRPr="005007CE">
        <w:rPr>
          <w:i/>
        </w:rPr>
        <w:t>Wilson</w:t>
      </w:r>
      <w:r w:rsidR="00892684" w:rsidRPr="005007CE">
        <w:t xml:space="preserve">, </w:t>
      </w:r>
      <w:r w:rsidR="00892684" w:rsidRPr="005007CE">
        <w:rPr>
          <w:i/>
        </w:rPr>
        <w:t>supra</w:t>
      </w:r>
      <w:r w:rsidR="00892684" w:rsidRPr="005007CE">
        <w:t xml:space="preserve">, 6 Cal.App.5th at p. 835, rev. granted, quoting </w:t>
      </w:r>
      <w:r w:rsidR="00892684" w:rsidRPr="005007CE">
        <w:rPr>
          <w:i/>
        </w:rPr>
        <w:t>Nam v. Regents of University of California</w:t>
      </w:r>
      <w:r w:rsidR="00892684" w:rsidRPr="005007CE">
        <w:t xml:space="preserve">, </w:t>
      </w:r>
      <w:r w:rsidR="00892684" w:rsidRPr="005007CE">
        <w:rPr>
          <w:i/>
        </w:rPr>
        <w:t>supra</w:t>
      </w:r>
      <w:r w:rsidR="00892684" w:rsidRPr="005007CE">
        <w:t>, 1 Cal.App.5th at p. 1189.)  This result would impose substantial burdens on discrimination and retaliation plaintiffs, who would be compelled to establish the potential merit of their claims at an early stage of the litigation, generally “without the benefit of discovery and with the threat of attorney fees looming.”  (</w:t>
      </w:r>
      <w:r w:rsidR="00892684" w:rsidRPr="005007CE">
        <w:rPr>
          <w:i/>
        </w:rPr>
        <w:t>Nam</w:t>
      </w:r>
      <w:r w:rsidR="00892684" w:rsidRPr="005007CE">
        <w:t xml:space="preserve">, at p. 1189; accord, </w:t>
      </w:r>
      <w:r w:rsidR="00892684" w:rsidRPr="005007CE">
        <w:rPr>
          <w:i/>
        </w:rPr>
        <w:t>Bonni v. St. Joseph Health System</w:t>
      </w:r>
      <w:r w:rsidR="00892684" w:rsidRPr="005007CE">
        <w:t xml:space="preserve">, </w:t>
      </w:r>
      <w:r w:rsidR="00892684" w:rsidRPr="005007CE">
        <w:rPr>
          <w:i/>
        </w:rPr>
        <w:t>supra</w:t>
      </w:r>
      <w:r w:rsidR="00892684" w:rsidRPr="005007CE">
        <w:t xml:space="preserve">, 13 Cal.App.5th at p. 864, rev. granted; see </w:t>
      </w:r>
      <w:r w:rsidR="00892684" w:rsidRPr="005007CE">
        <w:rPr>
          <w:i/>
        </w:rPr>
        <w:t>Wilson</w:t>
      </w:r>
      <w:r w:rsidR="00892684" w:rsidRPr="005007CE">
        <w:t>, at p. 835.)</w:t>
      </w:r>
    </w:p>
    <w:p w14:paraId="4444BDFF" w14:textId="77777777" w:rsidR="00892684" w:rsidRPr="005007CE" w:rsidRDefault="009D1711" w:rsidP="00414F44">
      <w:pPr>
        <w:tabs>
          <w:tab w:val="left" w:pos="1440"/>
        </w:tabs>
        <w:ind w:firstLine="720"/>
      </w:pPr>
      <w:r w:rsidRPr="005007CE">
        <w:rPr>
          <w:rStyle w:val="CommentReference"/>
          <w:sz w:val="27"/>
          <w:szCs w:val="26"/>
        </w:rPr>
        <w:t>The concern is overstated</w:t>
      </w:r>
      <w:r w:rsidR="00A30312" w:rsidRPr="005007CE">
        <w:rPr>
          <w:rStyle w:val="CommentReference"/>
          <w:sz w:val="27"/>
          <w:szCs w:val="26"/>
        </w:rPr>
        <w:t>.  W</w:t>
      </w:r>
      <w:r w:rsidR="00FD256A" w:rsidRPr="005007CE">
        <w:rPr>
          <w:rStyle w:val="CommentReference"/>
          <w:sz w:val="27"/>
          <w:szCs w:val="26"/>
        </w:rPr>
        <w:t xml:space="preserve">e see no realistic possibility that anti-SLAPP motions will become a routine feature of </w:t>
      </w:r>
      <w:r w:rsidR="00B10CFA" w:rsidRPr="005007CE">
        <w:rPr>
          <w:rStyle w:val="CommentReference"/>
          <w:sz w:val="27"/>
          <w:szCs w:val="26"/>
        </w:rPr>
        <w:t xml:space="preserve">the </w:t>
      </w:r>
      <w:r w:rsidR="00FD256A" w:rsidRPr="005007CE">
        <w:rPr>
          <w:rStyle w:val="CommentReference"/>
          <w:sz w:val="27"/>
          <w:szCs w:val="26"/>
        </w:rPr>
        <w:t>litigation</w:t>
      </w:r>
      <w:r w:rsidR="00B10CFA" w:rsidRPr="005007CE">
        <w:rPr>
          <w:rStyle w:val="CommentReference"/>
          <w:sz w:val="27"/>
          <w:szCs w:val="26"/>
        </w:rPr>
        <w:t xml:space="preserve"> of discrimination or retaliation claims</w:t>
      </w:r>
      <w:r w:rsidR="00431DF3" w:rsidRPr="005007CE">
        <w:rPr>
          <w:rStyle w:val="CommentReference"/>
          <w:sz w:val="27"/>
          <w:szCs w:val="26"/>
        </w:rPr>
        <w:t xml:space="preserve">.  </w:t>
      </w:r>
      <w:r w:rsidR="001B695D" w:rsidRPr="005007CE">
        <w:t>T</w:t>
      </w:r>
      <w:r w:rsidR="00892684" w:rsidRPr="005007CE">
        <w:t>he anti-SLAPP statute does not apply simply because an employer protests that its personnel decisions followed, or were communicated through, speech or petitioning activity</w:t>
      </w:r>
      <w:r w:rsidR="005151E2" w:rsidRPr="005007CE">
        <w:t xml:space="preserve">.  A </w:t>
      </w:r>
      <w:r w:rsidR="00892684" w:rsidRPr="005007CE">
        <w:t xml:space="preserve">claim may be struck under the anti-SLAPP statute “only if the speech </w:t>
      </w:r>
      <w:r w:rsidR="00892684" w:rsidRPr="005007CE">
        <w:lastRenderedPageBreak/>
        <w:t xml:space="preserve">or petitioning activity </w:t>
      </w:r>
      <w:r w:rsidR="00892684" w:rsidRPr="005007CE">
        <w:rPr>
          <w:i/>
        </w:rPr>
        <w:t>itself</w:t>
      </w:r>
      <w:r w:rsidR="00892684" w:rsidRPr="005007CE">
        <w:t xml:space="preserve"> is the wrong complained of, and not just evidence of liability or a step leading to some different act for which liability is asserted.”  (</w:t>
      </w:r>
      <w:r w:rsidR="00892684" w:rsidRPr="005007CE">
        <w:rPr>
          <w:i/>
        </w:rPr>
        <w:t>Park</w:t>
      </w:r>
      <w:r w:rsidR="00892684" w:rsidRPr="005007CE">
        <w:t xml:space="preserve">, </w:t>
      </w:r>
      <w:r w:rsidR="00892684" w:rsidRPr="005007CE">
        <w:rPr>
          <w:i/>
        </w:rPr>
        <w:t>supra</w:t>
      </w:r>
      <w:r w:rsidR="00892684" w:rsidRPr="005007CE">
        <w:t xml:space="preserve">, 2 Cal.5th at p. 1060.)  Put differently, to carry its burden at the first step, the defendant </w:t>
      </w:r>
      <w:r w:rsidR="0075668B" w:rsidRPr="005007CE">
        <w:t xml:space="preserve">in a discrimination </w:t>
      </w:r>
      <w:r w:rsidR="005E7D94" w:rsidRPr="005007CE">
        <w:t xml:space="preserve">suit </w:t>
      </w:r>
      <w:r w:rsidR="00892684" w:rsidRPr="005007CE">
        <w:t>must show that the complained-of adverse action, in and of itself, is an act in furtherance of its speech or petitioning rights.  Cases that fit that description are the exception, not the rule.</w:t>
      </w:r>
    </w:p>
    <w:p w14:paraId="1C39A912" w14:textId="77777777" w:rsidR="00892684" w:rsidRPr="005007CE" w:rsidRDefault="005151E2" w:rsidP="00414F44">
      <w:pPr>
        <w:tabs>
          <w:tab w:val="left" w:pos="1440"/>
        </w:tabs>
        <w:ind w:firstLine="720"/>
      </w:pPr>
      <w:r w:rsidRPr="005007CE">
        <w:t xml:space="preserve">A brief survey of the case law </w:t>
      </w:r>
      <w:r w:rsidR="00A055D3" w:rsidRPr="005007CE">
        <w:t>illustrate</w:t>
      </w:r>
      <w:r w:rsidR="00F54E58" w:rsidRPr="005007CE">
        <w:t>s</w:t>
      </w:r>
      <w:r w:rsidR="00A055D3" w:rsidRPr="005007CE">
        <w:t xml:space="preserve"> </w:t>
      </w:r>
      <w:r w:rsidRPr="005007CE">
        <w:t xml:space="preserve">the </w:t>
      </w:r>
      <w:r w:rsidR="0097201E" w:rsidRPr="005007CE">
        <w:t>point</w:t>
      </w:r>
      <w:r w:rsidRPr="005007CE">
        <w:t xml:space="preserve">.  </w:t>
      </w:r>
      <w:r w:rsidR="00892684" w:rsidRPr="005007CE">
        <w:t xml:space="preserve">For example, in </w:t>
      </w:r>
      <w:r w:rsidR="00892684" w:rsidRPr="005007CE">
        <w:rPr>
          <w:i/>
        </w:rPr>
        <w:t>Martin v. Inland Empire Utilities Agency</w:t>
      </w:r>
      <w:r w:rsidR="00892684" w:rsidRPr="005007CE">
        <w:t xml:space="preserve"> (2011) 198 Cal.App.4th 611, 624–625,</w:t>
      </w:r>
      <w:r w:rsidR="00F465FF" w:rsidRPr="005007CE">
        <w:t xml:space="preserve"> the court denied a government agency’s motion to strike an employee’s discrimination claim because the claim arose </w:t>
      </w:r>
      <w:r w:rsidR="00892684" w:rsidRPr="005007CE">
        <w:t xml:space="preserve">from </w:t>
      </w:r>
      <w:r w:rsidR="00F465FF" w:rsidRPr="005007CE">
        <w:t xml:space="preserve">various </w:t>
      </w:r>
      <w:r w:rsidR="00892684" w:rsidRPr="005007CE">
        <w:t>act</w:t>
      </w:r>
      <w:r w:rsidR="00F465FF" w:rsidRPr="005007CE">
        <w:t>ion</w:t>
      </w:r>
      <w:r w:rsidR="00892684" w:rsidRPr="005007CE">
        <w:t xml:space="preserve">s </w:t>
      </w:r>
      <w:r w:rsidR="00F465FF" w:rsidRPr="005007CE">
        <w:t xml:space="preserve">that had culminated in the employee’s constructive discharge, even though </w:t>
      </w:r>
      <w:r w:rsidR="00892684" w:rsidRPr="005007CE">
        <w:t xml:space="preserve">the complaint also mentioned statements critical of the plaintiff’s performance.  In </w:t>
      </w:r>
      <w:r w:rsidR="00892684" w:rsidRPr="005007CE">
        <w:rPr>
          <w:i/>
        </w:rPr>
        <w:t>McConnell v. Innovative Artists Talent &amp; Literary Agency, Inc.</w:t>
      </w:r>
      <w:r w:rsidR="00892684" w:rsidRPr="005007CE">
        <w:t xml:space="preserve"> (2009) 175 Cal.App.4th 169, 176–177, the plaintiffs sued over the modification of their job duties and subsequent termination in retaliation for their filing lawsuits; that these allegedly retaliatory acts were conveyed in writing did not render them protected.</w:t>
      </w:r>
      <w:r w:rsidR="00892684" w:rsidRPr="005007CE">
        <w:rPr>
          <w:i/>
        </w:rPr>
        <w:t xml:space="preserve">  </w:t>
      </w:r>
      <w:r w:rsidR="00892684" w:rsidRPr="005007CE">
        <w:t xml:space="preserve">And in </w:t>
      </w:r>
      <w:r w:rsidR="00892684" w:rsidRPr="005007CE">
        <w:rPr>
          <w:i/>
        </w:rPr>
        <w:t>Department of Fair Employment &amp; Housing v. 1105 Alta Loma Road Apartments, LLC</w:t>
      </w:r>
      <w:r w:rsidR="00892684" w:rsidRPr="005007CE">
        <w:t xml:space="preserve"> (2007) 154 Cal.App.4th 1273, 1284–1285, the plaintiff’s disability discrimination claims arose from a landlord’s failure to accommodate a disability by giving sufficient time to seek alternative housing, not the unlawful detainer action the landlord filed.</w:t>
      </w:r>
    </w:p>
    <w:p w14:paraId="6B17CB50" w14:textId="2CB7FCA6" w:rsidR="00892684" w:rsidRPr="005007CE" w:rsidRDefault="00196933" w:rsidP="00414F44">
      <w:pPr>
        <w:tabs>
          <w:tab w:val="left" w:pos="1440"/>
        </w:tabs>
        <w:ind w:firstLine="720"/>
      </w:pPr>
      <w:r w:rsidRPr="005007CE">
        <w:t>I</w:t>
      </w:r>
      <w:r w:rsidR="00C54071" w:rsidRPr="005007CE">
        <w:t xml:space="preserve">n </w:t>
      </w:r>
      <w:r w:rsidR="004651A3" w:rsidRPr="005007CE">
        <w:t xml:space="preserve">the relatively </w:t>
      </w:r>
      <w:r w:rsidR="00454D09" w:rsidRPr="005007CE">
        <w:t xml:space="preserve">unusual case in which the </w:t>
      </w:r>
      <w:r w:rsidR="000644F8" w:rsidRPr="005007CE">
        <w:t xml:space="preserve">discrimination or retaliation </w:t>
      </w:r>
      <w:r w:rsidR="00454D09" w:rsidRPr="005007CE">
        <w:t xml:space="preserve">defendant </w:t>
      </w:r>
      <w:r w:rsidR="008B668C" w:rsidRPr="005007CE">
        <w:t xml:space="preserve">does meet its </w:t>
      </w:r>
      <w:r w:rsidR="00C36E23" w:rsidRPr="005007CE">
        <w:t xml:space="preserve">first-step </w:t>
      </w:r>
      <w:r w:rsidR="008B668C" w:rsidRPr="005007CE">
        <w:t xml:space="preserve">burden of showing </w:t>
      </w:r>
      <w:r w:rsidR="00C54071" w:rsidRPr="005007CE">
        <w:t xml:space="preserve">that </w:t>
      </w:r>
      <w:r w:rsidR="000F6953" w:rsidRPr="005007CE">
        <w:t xml:space="preserve">its </w:t>
      </w:r>
      <w:r w:rsidR="00C54071" w:rsidRPr="005007CE">
        <w:t xml:space="preserve">challenged actions qualify as protected activity, </w:t>
      </w:r>
      <w:r w:rsidRPr="005007CE">
        <w:t>the burden shift</w:t>
      </w:r>
      <w:r w:rsidR="00ED598A">
        <w:t>s</w:t>
      </w:r>
      <w:r w:rsidRPr="005007CE">
        <w:t xml:space="preserve"> to the plaintiff.  But </w:t>
      </w:r>
      <w:r w:rsidR="00B04FF9" w:rsidRPr="005007CE">
        <w:t xml:space="preserve">the plaintiff’s </w:t>
      </w:r>
      <w:r w:rsidR="00C36E23" w:rsidRPr="005007CE">
        <w:t xml:space="preserve">second-step </w:t>
      </w:r>
      <w:r w:rsidR="00B04FF9" w:rsidRPr="005007CE">
        <w:lastRenderedPageBreak/>
        <w:t xml:space="preserve">burden is </w:t>
      </w:r>
      <w:r w:rsidR="00C36E23" w:rsidRPr="005007CE">
        <w:t xml:space="preserve">a </w:t>
      </w:r>
      <w:r w:rsidR="005F22CB" w:rsidRPr="005007CE">
        <w:t>limited</w:t>
      </w:r>
      <w:r w:rsidR="00C36E23" w:rsidRPr="005007CE">
        <w:t xml:space="preserve"> one</w:t>
      </w:r>
      <w:r w:rsidR="00454D09" w:rsidRPr="005007CE">
        <w:t xml:space="preserve">.  </w:t>
      </w:r>
      <w:r w:rsidR="00B04FF9" w:rsidRPr="005007CE">
        <w:t>T</w:t>
      </w:r>
      <w:r w:rsidR="00892684" w:rsidRPr="005007CE">
        <w:t>he plaintiff need not prove her case to the court (</w:t>
      </w:r>
      <w:r w:rsidR="00892684" w:rsidRPr="005007CE">
        <w:rPr>
          <w:i/>
        </w:rPr>
        <w:t>Briggs v. Eden Council for Hope &amp; Opportunity</w:t>
      </w:r>
      <w:r w:rsidR="00892684" w:rsidRPr="005007CE">
        <w:t xml:space="preserve">, </w:t>
      </w:r>
      <w:r w:rsidR="00892684" w:rsidRPr="005007CE">
        <w:rPr>
          <w:i/>
        </w:rPr>
        <w:t>supra</w:t>
      </w:r>
      <w:r w:rsidR="00892684" w:rsidRPr="005007CE">
        <w:t>, 19 Cal.4th at p. 1123); the bar sits lower, at a demonstration of “minimal merit” (</w:t>
      </w:r>
      <w:r w:rsidR="00892684" w:rsidRPr="005007CE">
        <w:rPr>
          <w:i/>
        </w:rPr>
        <w:t>Navellier v. Sletten</w:t>
      </w:r>
      <w:r w:rsidR="00892684" w:rsidRPr="005007CE">
        <w:t xml:space="preserve">, </w:t>
      </w:r>
      <w:r w:rsidR="00892684" w:rsidRPr="005007CE">
        <w:rPr>
          <w:i/>
        </w:rPr>
        <w:t>supra</w:t>
      </w:r>
      <w:r w:rsidR="00892684" w:rsidRPr="005007CE">
        <w:t>, 29 Cal.4th at p. 89).  At this stage, “ ‘[t]he court does not weigh evidence or resolve conflicting factual claims.  Its inquiry is limited to whether the plaintiff has stated a legally sufficient claim and made a prima facie factual showing sufficient to sustain a favorable judgment.  It accepts the plaintiff’s evidence as true, and evaluates the defendant’s showing only to determine if it defeats the plaintiff’s claim as a matter of law.’ ”  (</w:t>
      </w:r>
      <w:r w:rsidR="00892684" w:rsidRPr="005007CE">
        <w:rPr>
          <w:i/>
        </w:rPr>
        <w:t>Sweetwater Union High School Dist. v. Gilbane Building Co.</w:t>
      </w:r>
      <w:r w:rsidR="00892684" w:rsidRPr="005007CE">
        <w:t xml:space="preserve"> (2019) 6 Cal.5th 931, 940, quoting </w:t>
      </w:r>
      <w:r w:rsidR="00892684" w:rsidRPr="005007CE">
        <w:rPr>
          <w:i/>
        </w:rPr>
        <w:t>Baral v. Schnitt</w:t>
      </w:r>
      <w:r w:rsidR="00892684" w:rsidRPr="005007CE">
        <w:t xml:space="preserve"> (2016) 1 Cal.5th 376, 384–385; see </w:t>
      </w:r>
      <w:r w:rsidR="00892684" w:rsidRPr="005007CE">
        <w:rPr>
          <w:i/>
          <w:szCs w:val="26"/>
        </w:rPr>
        <w:t>Wilson v. Parker, Covert &amp; Chidester</w:t>
      </w:r>
      <w:r w:rsidR="00892684" w:rsidRPr="005007CE">
        <w:rPr>
          <w:szCs w:val="26"/>
        </w:rPr>
        <w:t xml:space="preserve"> (2002) 28 Cal.4th 811, 821</w:t>
      </w:r>
      <w:r w:rsidR="00892684" w:rsidRPr="005007CE">
        <w:t>.)</w:t>
      </w:r>
    </w:p>
    <w:p w14:paraId="0ADFA99C" w14:textId="77777777" w:rsidR="00D54D1D" w:rsidRPr="005007CE" w:rsidRDefault="005E7D94" w:rsidP="00414F44">
      <w:pPr>
        <w:tabs>
          <w:tab w:val="left" w:pos="1440"/>
        </w:tabs>
        <w:ind w:firstLine="720"/>
      </w:pPr>
      <w:r w:rsidRPr="005007CE">
        <w:t>True, i</w:t>
      </w:r>
      <w:r w:rsidR="00892684" w:rsidRPr="005007CE">
        <w:t xml:space="preserve">n the absence of discovery, even this reduced barrier </w:t>
      </w:r>
      <w:r w:rsidR="004C7621" w:rsidRPr="005007CE">
        <w:t xml:space="preserve">could </w:t>
      </w:r>
      <w:r w:rsidR="00892684" w:rsidRPr="005007CE">
        <w:t xml:space="preserve">pose </w:t>
      </w:r>
      <w:r w:rsidR="004C7621" w:rsidRPr="005007CE">
        <w:t xml:space="preserve">particular </w:t>
      </w:r>
      <w:r w:rsidR="00892684" w:rsidRPr="005007CE">
        <w:t>difficulties</w:t>
      </w:r>
      <w:r w:rsidR="004C7621" w:rsidRPr="005007CE">
        <w:t xml:space="preserve"> for discrimination and retaliation plaintiffs, whose claims depend on </w:t>
      </w:r>
      <w:r w:rsidR="00E9791D" w:rsidRPr="005007CE">
        <w:t xml:space="preserve">assertions </w:t>
      </w:r>
      <w:r w:rsidR="00B34325" w:rsidRPr="005007CE">
        <w:t xml:space="preserve">of motive that are </w:t>
      </w:r>
      <w:r w:rsidR="004C7621" w:rsidRPr="005007CE">
        <w:t xml:space="preserve">peculiarly within the defendant’s knowledge.  But </w:t>
      </w:r>
      <w:r w:rsidR="00892684" w:rsidRPr="005007CE">
        <w:t>“</w:t>
      </w:r>
      <w:r w:rsidR="004C7621" w:rsidRPr="005007CE">
        <w:t>[c]</w:t>
      </w:r>
      <w:r w:rsidR="00892684" w:rsidRPr="005007CE">
        <w:t>ourts deciding anti-SLAPP motions . . . are empowered to mitigate their impact by ordering, where appropriate, ‘that specified discovery be conducted notwithstanding’ the motion’s pendency.”  (</w:t>
      </w:r>
      <w:r w:rsidR="00892684" w:rsidRPr="005007CE">
        <w:rPr>
          <w:i/>
          <w:szCs w:val="26"/>
        </w:rPr>
        <w:t>Equilon Enterprises v. Consumer Cause, Inc.</w:t>
      </w:r>
      <w:r w:rsidR="00892684" w:rsidRPr="005007CE">
        <w:rPr>
          <w:szCs w:val="26"/>
        </w:rPr>
        <w:t xml:space="preserve">, </w:t>
      </w:r>
      <w:r w:rsidR="00892684" w:rsidRPr="005007CE">
        <w:rPr>
          <w:i/>
          <w:szCs w:val="26"/>
        </w:rPr>
        <w:t>supra</w:t>
      </w:r>
      <w:r w:rsidR="00892684" w:rsidRPr="005007CE">
        <w:rPr>
          <w:szCs w:val="26"/>
        </w:rPr>
        <w:t xml:space="preserve">, 29 Cal.4th at p. 66, quoting § 425.16, subd. (g).)  A court exercising its discretion to grant or deny a motion under </w:t>
      </w:r>
      <w:r w:rsidR="00ED598A">
        <w:rPr>
          <w:szCs w:val="26"/>
        </w:rPr>
        <w:t xml:space="preserve">section 425.16, </w:t>
      </w:r>
      <w:r w:rsidR="00892684" w:rsidRPr="005007CE">
        <w:rPr>
          <w:szCs w:val="26"/>
        </w:rPr>
        <w:t>subdivision (g) should remain mindful that the anti-SLAPP statute was adopted to end meritless suits targeting protected speech, “</w:t>
      </w:r>
      <w:r w:rsidR="00892684" w:rsidRPr="005007CE">
        <w:rPr>
          <w:i/>
          <w:szCs w:val="26"/>
        </w:rPr>
        <w:t>not</w:t>
      </w:r>
      <w:r w:rsidR="00892684" w:rsidRPr="005007CE">
        <w:rPr>
          <w:szCs w:val="26"/>
        </w:rPr>
        <w:t xml:space="preserve"> to abort potentially meritorious claims due to a lack of discovery.”  (</w:t>
      </w:r>
      <w:r w:rsidR="00892684" w:rsidRPr="005007CE">
        <w:rPr>
          <w:i/>
        </w:rPr>
        <w:t>Sweetwater Union High School Dist. v. Gilbane Building Co.</w:t>
      </w:r>
      <w:r w:rsidR="00892684" w:rsidRPr="005007CE">
        <w:t xml:space="preserve">, </w:t>
      </w:r>
      <w:r w:rsidR="00892684" w:rsidRPr="005007CE">
        <w:rPr>
          <w:i/>
        </w:rPr>
        <w:t>supra</w:t>
      </w:r>
      <w:r w:rsidR="00892684" w:rsidRPr="005007CE">
        <w:t xml:space="preserve">, 6 Cal.5th at p. 949.)  Where a defendant relies on motive evidence in support of an anti-SLAPP </w:t>
      </w:r>
      <w:r w:rsidR="00892684" w:rsidRPr="005007CE">
        <w:lastRenderedPageBreak/>
        <w:t>motion, a plaintiff’s request for discovery concerning the asserted motive may often present paradigmatic “good cause.”  (§ 425.16, subd. (g).)</w:t>
      </w:r>
    </w:p>
    <w:p w14:paraId="417A8EBA" w14:textId="77777777" w:rsidR="0019464C" w:rsidRPr="005007CE" w:rsidRDefault="00DC2EF4" w:rsidP="00414F44">
      <w:pPr>
        <w:tabs>
          <w:tab w:val="left" w:pos="1440"/>
        </w:tabs>
        <w:ind w:firstLine="720"/>
      </w:pPr>
      <w:r w:rsidRPr="005007CE">
        <w:t xml:space="preserve">With careful attention to the limited nature of a plaintiff’s second step showing, and to granting discovery in appropriate cases, courts can mitigate the burden </w:t>
      </w:r>
      <w:r w:rsidR="003D2BAD" w:rsidRPr="005007CE">
        <w:t xml:space="preserve">of anti-SLAPP enforcement </w:t>
      </w:r>
      <w:r w:rsidRPr="005007CE">
        <w:t>on discrimination and retaliation plaintiffs</w:t>
      </w:r>
      <w:r w:rsidR="008C15CE" w:rsidRPr="005007CE">
        <w:t xml:space="preserve">, </w:t>
      </w:r>
      <w:r w:rsidR="000C5938" w:rsidRPr="005007CE">
        <w:t xml:space="preserve">even if </w:t>
      </w:r>
      <w:r w:rsidR="008C15CE" w:rsidRPr="005007CE">
        <w:t xml:space="preserve">they cannot eliminate </w:t>
      </w:r>
      <w:r w:rsidR="004B1C98" w:rsidRPr="005007CE">
        <w:t>it</w:t>
      </w:r>
      <w:r w:rsidR="008C15CE" w:rsidRPr="005007CE">
        <w:t xml:space="preserve"> altogether</w:t>
      </w:r>
      <w:r w:rsidRPr="005007CE">
        <w:t>.</w:t>
      </w:r>
      <w:r w:rsidR="00D54D1D" w:rsidRPr="005007CE">
        <w:t xml:space="preserve">  </w:t>
      </w:r>
      <w:r w:rsidR="0019464C" w:rsidRPr="005007CE">
        <w:t xml:space="preserve">If </w:t>
      </w:r>
      <w:r w:rsidR="00851926" w:rsidRPr="005007CE">
        <w:t xml:space="preserve">the Legislature </w:t>
      </w:r>
      <w:r w:rsidR="003D6867" w:rsidRPr="005007CE">
        <w:t xml:space="preserve">believes </w:t>
      </w:r>
      <w:r w:rsidR="00A063D2" w:rsidRPr="005007CE">
        <w:t xml:space="preserve">the </w:t>
      </w:r>
      <w:r w:rsidR="004B1C98" w:rsidRPr="005007CE">
        <w:t xml:space="preserve">residual </w:t>
      </w:r>
      <w:r w:rsidR="00A063D2" w:rsidRPr="005007CE">
        <w:t>burden is unnecessary or excessive</w:t>
      </w:r>
      <w:r w:rsidR="0019464C" w:rsidRPr="005007CE">
        <w:t xml:space="preserve">, </w:t>
      </w:r>
      <w:r w:rsidR="00851926" w:rsidRPr="005007CE">
        <w:t xml:space="preserve">it </w:t>
      </w:r>
      <w:r w:rsidR="00A0006A" w:rsidRPr="005007CE">
        <w:t xml:space="preserve">certainly </w:t>
      </w:r>
      <w:r w:rsidR="0019464C" w:rsidRPr="005007CE">
        <w:t xml:space="preserve">can adjust the statutory scheme, as it has </w:t>
      </w:r>
      <w:r w:rsidR="00EA319E" w:rsidRPr="005007CE">
        <w:t>before</w:t>
      </w:r>
      <w:r w:rsidR="0019464C" w:rsidRPr="005007CE">
        <w:t xml:space="preserve">.  </w:t>
      </w:r>
      <w:r w:rsidR="001067EB" w:rsidRPr="005007CE">
        <w:t xml:space="preserve">We </w:t>
      </w:r>
      <w:r w:rsidR="00F51EEE" w:rsidRPr="005007CE">
        <w:t>can</w:t>
      </w:r>
      <w:r w:rsidR="001067EB" w:rsidRPr="005007CE">
        <w:t xml:space="preserve">not, however, </w:t>
      </w:r>
      <w:r w:rsidR="00DD429F" w:rsidRPr="005007CE">
        <w:t>rewrite the statute to create a</w:t>
      </w:r>
      <w:r w:rsidR="00C377C4" w:rsidRPr="005007CE">
        <w:t xml:space="preserve">n </w:t>
      </w:r>
      <w:r w:rsidR="00DD429F" w:rsidRPr="005007CE">
        <w:t>exception the Legislature has not enacted</w:t>
      </w:r>
      <w:r w:rsidR="00111E43" w:rsidRPr="005007CE">
        <w:t>.</w:t>
      </w:r>
    </w:p>
    <w:p w14:paraId="15C2533C" w14:textId="77777777" w:rsidR="00A83655" w:rsidRPr="005007CE" w:rsidRDefault="00A83655" w:rsidP="00414F44">
      <w:pPr>
        <w:tabs>
          <w:tab w:val="left" w:pos="1440"/>
        </w:tabs>
        <w:ind w:firstLine="720"/>
      </w:pPr>
      <w:r w:rsidRPr="005007CE">
        <w:t xml:space="preserve">In sum, we conclude that for anti-SLAPP purposes discrimination and retaliation claims arise from the adverse actions allegedly taken, </w:t>
      </w:r>
      <w:r w:rsidR="00797269" w:rsidRPr="005007CE">
        <w:t xml:space="preserve">notwithstanding </w:t>
      </w:r>
      <w:r w:rsidRPr="005007CE">
        <w:t xml:space="preserve">the plaintiff’s allegation that the actions were taken for an improper purpose.  If conduct that supplies a necessary element of a claim is protected, the defendant’s burden at the first step of the anti-SLAPP analysis has been carried, </w:t>
      </w:r>
      <w:r w:rsidR="009003E4" w:rsidRPr="005007CE">
        <w:t xml:space="preserve">regardless of </w:t>
      </w:r>
      <w:r w:rsidRPr="005007CE">
        <w:t xml:space="preserve">any alleged motivations that supply other elements of the claim.  We disapprove </w:t>
      </w:r>
      <w:r w:rsidRPr="005007CE">
        <w:rPr>
          <w:i/>
        </w:rPr>
        <w:t>Bonni v. St. Joseph</w:t>
      </w:r>
      <w:r w:rsidRPr="005007CE">
        <w:t xml:space="preserve"> </w:t>
      </w:r>
      <w:r w:rsidRPr="005007CE">
        <w:rPr>
          <w:i/>
        </w:rPr>
        <w:t>Health System</w:t>
      </w:r>
      <w:r w:rsidRPr="005007CE">
        <w:t xml:space="preserve">, </w:t>
      </w:r>
      <w:r w:rsidRPr="005007CE">
        <w:rPr>
          <w:i/>
        </w:rPr>
        <w:t>supra</w:t>
      </w:r>
      <w:r w:rsidRPr="005007CE">
        <w:t xml:space="preserve">, 13 Cal.App.5th 851, review granted, and </w:t>
      </w:r>
      <w:r w:rsidRPr="005007CE">
        <w:rPr>
          <w:i/>
        </w:rPr>
        <w:t>Nam v. Regents of University of California</w:t>
      </w:r>
      <w:r w:rsidRPr="005007CE">
        <w:t xml:space="preserve">, </w:t>
      </w:r>
      <w:r w:rsidRPr="005007CE">
        <w:rPr>
          <w:i/>
        </w:rPr>
        <w:t>supra</w:t>
      </w:r>
      <w:r w:rsidRPr="005007CE">
        <w:t>, 1 Cal.App.5th 1176, to the extent they are inconsistent with this conclusion.</w:t>
      </w:r>
    </w:p>
    <w:p w14:paraId="5AFFDA38" w14:textId="77777777" w:rsidR="00772E99" w:rsidRPr="005007CE" w:rsidRDefault="00826169" w:rsidP="00443D0F">
      <w:pPr>
        <w:keepNext/>
        <w:tabs>
          <w:tab w:val="left" w:pos="1440"/>
        </w:tabs>
        <w:jc w:val="center"/>
        <w:rPr>
          <w:b/>
        </w:rPr>
      </w:pPr>
      <w:r w:rsidRPr="005007CE">
        <w:rPr>
          <w:b/>
        </w:rPr>
        <w:t>B</w:t>
      </w:r>
      <w:r w:rsidR="00772E99" w:rsidRPr="005007CE">
        <w:rPr>
          <w:b/>
        </w:rPr>
        <w:t>.</w:t>
      </w:r>
    </w:p>
    <w:p w14:paraId="246383BE" w14:textId="77777777" w:rsidR="00AD2B9E" w:rsidRPr="005007CE" w:rsidRDefault="00E84235" w:rsidP="00414F44">
      <w:pPr>
        <w:tabs>
          <w:tab w:val="left" w:pos="1440"/>
        </w:tabs>
        <w:ind w:firstLine="720"/>
        <w:rPr>
          <w:szCs w:val="26"/>
        </w:rPr>
      </w:pPr>
      <w:r w:rsidRPr="005007CE">
        <w:rPr>
          <w:szCs w:val="26"/>
        </w:rPr>
        <w:t>W</w:t>
      </w:r>
      <w:r w:rsidR="00913AF7" w:rsidRPr="005007CE">
        <w:rPr>
          <w:szCs w:val="26"/>
        </w:rPr>
        <w:t xml:space="preserve">ith </w:t>
      </w:r>
      <w:r w:rsidR="00DA4B29" w:rsidRPr="005007CE">
        <w:rPr>
          <w:szCs w:val="26"/>
        </w:rPr>
        <w:t xml:space="preserve">these principles </w:t>
      </w:r>
      <w:r w:rsidR="00913AF7" w:rsidRPr="005007CE">
        <w:rPr>
          <w:szCs w:val="26"/>
        </w:rPr>
        <w:t>in mind, w</w:t>
      </w:r>
      <w:r w:rsidRPr="005007CE">
        <w:rPr>
          <w:szCs w:val="26"/>
        </w:rPr>
        <w:t xml:space="preserve">e </w:t>
      </w:r>
      <w:r w:rsidR="00CB5615" w:rsidRPr="005007CE">
        <w:rPr>
          <w:szCs w:val="26"/>
        </w:rPr>
        <w:t>re</w:t>
      </w:r>
      <w:r w:rsidR="00913AF7" w:rsidRPr="005007CE">
        <w:rPr>
          <w:szCs w:val="26"/>
        </w:rPr>
        <w:t>turn t</w:t>
      </w:r>
      <w:r w:rsidR="00CB5615" w:rsidRPr="005007CE">
        <w:rPr>
          <w:szCs w:val="26"/>
        </w:rPr>
        <w:t xml:space="preserve">o </w:t>
      </w:r>
      <w:r w:rsidR="00913AF7" w:rsidRPr="005007CE">
        <w:rPr>
          <w:szCs w:val="26"/>
        </w:rPr>
        <w:t xml:space="preserve">the allegations in </w:t>
      </w:r>
      <w:r w:rsidR="00A01083" w:rsidRPr="005007CE">
        <w:rPr>
          <w:szCs w:val="26"/>
        </w:rPr>
        <w:t xml:space="preserve">Wilson’s </w:t>
      </w:r>
      <w:r w:rsidR="00CB5615" w:rsidRPr="005007CE">
        <w:rPr>
          <w:szCs w:val="26"/>
        </w:rPr>
        <w:t>complaint</w:t>
      </w:r>
      <w:r w:rsidR="00423754" w:rsidRPr="005007CE">
        <w:rPr>
          <w:szCs w:val="26"/>
        </w:rPr>
        <w:t xml:space="preserve">.  </w:t>
      </w:r>
      <w:r w:rsidR="00795DC0" w:rsidRPr="005007CE">
        <w:rPr>
          <w:szCs w:val="26"/>
        </w:rPr>
        <w:t xml:space="preserve">Wilson </w:t>
      </w:r>
      <w:r w:rsidR="005C6304" w:rsidRPr="005007CE">
        <w:rPr>
          <w:szCs w:val="26"/>
        </w:rPr>
        <w:t xml:space="preserve">alleges a range of adverse </w:t>
      </w:r>
      <w:r w:rsidR="004E6209" w:rsidRPr="005007CE">
        <w:rPr>
          <w:szCs w:val="26"/>
        </w:rPr>
        <w:t xml:space="preserve">employment </w:t>
      </w:r>
      <w:r w:rsidR="005C6304" w:rsidRPr="005007CE">
        <w:rPr>
          <w:szCs w:val="26"/>
        </w:rPr>
        <w:t>actions, but the most prominent</w:t>
      </w:r>
      <w:r w:rsidR="007C6168" w:rsidRPr="005007CE">
        <w:rPr>
          <w:szCs w:val="26"/>
        </w:rPr>
        <w:t xml:space="preserve"> </w:t>
      </w:r>
      <w:r w:rsidR="005C6304" w:rsidRPr="005007CE">
        <w:rPr>
          <w:szCs w:val="26"/>
        </w:rPr>
        <w:t xml:space="preserve">is CNN’s decision in January 2014 to </w:t>
      </w:r>
      <w:r w:rsidR="003342F1" w:rsidRPr="005007CE">
        <w:rPr>
          <w:szCs w:val="26"/>
        </w:rPr>
        <w:t xml:space="preserve">terminate </w:t>
      </w:r>
      <w:r w:rsidR="00795DC0" w:rsidRPr="005007CE">
        <w:rPr>
          <w:szCs w:val="26"/>
        </w:rPr>
        <w:t>him</w:t>
      </w:r>
      <w:r w:rsidR="005C6304" w:rsidRPr="005007CE">
        <w:rPr>
          <w:szCs w:val="26"/>
        </w:rPr>
        <w:t xml:space="preserve">.  Expressly or implicitly, Wilson’s firing supplies an element of the first six claims in the </w:t>
      </w:r>
      <w:r w:rsidR="005C6304" w:rsidRPr="005007CE">
        <w:rPr>
          <w:szCs w:val="26"/>
        </w:rPr>
        <w:lastRenderedPageBreak/>
        <w:t xml:space="preserve">complaint.  </w:t>
      </w:r>
      <w:r w:rsidR="000714B4" w:rsidRPr="005007CE">
        <w:rPr>
          <w:szCs w:val="26"/>
        </w:rPr>
        <w:t>T</w:t>
      </w:r>
      <w:r w:rsidR="005C6304" w:rsidRPr="005007CE">
        <w:rPr>
          <w:szCs w:val="26"/>
        </w:rPr>
        <w:t xml:space="preserve">hese claims </w:t>
      </w:r>
      <w:r w:rsidR="0043494D" w:rsidRPr="005007CE">
        <w:rPr>
          <w:szCs w:val="26"/>
        </w:rPr>
        <w:t xml:space="preserve">thus </w:t>
      </w:r>
      <w:r w:rsidR="005C6304" w:rsidRPr="005007CE">
        <w:rPr>
          <w:szCs w:val="26"/>
        </w:rPr>
        <w:t>all arise—at least in part—from this adverse action.</w:t>
      </w:r>
      <w:r w:rsidR="000714B4" w:rsidRPr="005007CE">
        <w:rPr>
          <w:szCs w:val="26"/>
        </w:rPr>
        <w:t xml:space="preserve">  (See </w:t>
      </w:r>
      <w:r w:rsidR="000714B4" w:rsidRPr="005007CE">
        <w:rPr>
          <w:i/>
          <w:szCs w:val="26"/>
        </w:rPr>
        <w:t>Park</w:t>
      </w:r>
      <w:r w:rsidR="000714B4" w:rsidRPr="005007CE">
        <w:rPr>
          <w:szCs w:val="26"/>
        </w:rPr>
        <w:t xml:space="preserve">, </w:t>
      </w:r>
      <w:r w:rsidR="000714B4" w:rsidRPr="005007CE">
        <w:rPr>
          <w:i/>
          <w:szCs w:val="26"/>
        </w:rPr>
        <w:t>supra</w:t>
      </w:r>
      <w:r w:rsidR="000714B4" w:rsidRPr="005007CE">
        <w:rPr>
          <w:szCs w:val="26"/>
        </w:rPr>
        <w:t xml:space="preserve">, 2 Cal.5th </w:t>
      </w:r>
      <w:r w:rsidR="0043494D" w:rsidRPr="005007CE">
        <w:rPr>
          <w:szCs w:val="26"/>
        </w:rPr>
        <w:t>1057.)</w:t>
      </w:r>
      <w:r w:rsidR="00A2729B" w:rsidRPr="005007CE">
        <w:rPr>
          <w:szCs w:val="26"/>
        </w:rPr>
        <w:t xml:space="preserve">  We </w:t>
      </w:r>
      <w:r w:rsidR="005A6F39" w:rsidRPr="005007CE">
        <w:rPr>
          <w:szCs w:val="26"/>
        </w:rPr>
        <w:t xml:space="preserve">therefore </w:t>
      </w:r>
      <w:r w:rsidR="009D5619" w:rsidRPr="005007CE">
        <w:rPr>
          <w:szCs w:val="26"/>
        </w:rPr>
        <w:t>begin by</w:t>
      </w:r>
      <w:r w:rsidR="00A2729B" w:rsidRPr="005007CE">
        <w:rPr>
          <w:szCs w:val="26"/>
        </w:rPr>
        <w:t xml:space="preserve"> consider</w:t>
      </w:r>
      <w:r w:rsidR="009D5619" w:rsidRPr="005007CE">
        <w:rPr>
          <w:szCs w:val="26"/>
        </w:rPr>
        <w:t>ing</w:t>
      </w:r>
      <w:r w:rsidR="00A2729B" w:rsidRPr="005007CE">
        <w:rPr>
          <w:szCs w:val="26"/>
        </w:rPr>
        <w:t xml:space="preserve"> whether firing Wilson qualifies as an act in furtherance of CNN’s right </w:t>
      </w:r>
      <w:r w:rsidR="008E359C" w:rsidRPr="005007CE">
        <w:rPr>
          <w:szCs w:val="26"/>
        </w:rPr>
        <w:t>to</w:t>
      </w:r>
      <w:r w:rsidR="00A2729B" w:rsidRPr="005007CE">
        <w:rPr>
          <w:szCs w:val="26"/>
        </w:rPr>
        <w:t xml:space="preserve"> free speech.</w:t>
      </w:r>
      <w:r w:rsidR="008B13FF" w:rsidRPr="005007CE">
        <w:rPr>
          <w:szCs w:val="26"/>
        </w:rPr>
        <w:t xml:space="preserve"> </w:t>
      </w:r>
      <w:r w:rsidR="00257CE8" w:rsidRPr="005007CE">
        <w:rPr>
          <w:szCs w:val="26"/>
        </w:rPr>
        <w:t xml:space="preserve"> </w:t>
      </w:r>
      <w:r w:rsidR="008B13FF" w:rsidRPr="005007CE">
        <w:rPr>
          <w:szCs w:val="26"/>
        </w:rPr>
        <w:t>(§</w:t>
      </w:r>
      <w:r w:rsidR="003342F1" w:rsidRPr="005007CE">
        <w:rPr>
          <w:szCs w:val="26"/>
        </w:rPr>
        <w:t> </w:t>
      </w:r>
      <w:r w:rsidR="008B13FF" w:rsidRPr="005007CE">
        <w:rPr>
          <w:szCs w:val="26"/>
        </w:rPr>
        <w:t>425.16, subd. (b)(1).)</w:t>
      </w:r>
    </w:p>
    <w:p w14:paraId="18C1CAFF" w14:textId="287939FD" w:rsidR="00913AF7" w:rsidRPr="005007CE" w:rsidRDefault="005C6304" w:rsidP="00414F44">
      <w:pPr>
        <w:tabs>
          <w:tab w:val="left" w:pos="1440"/>
        </w:tabs>
        <w:ind w:firstLine="720"/>
        <w:rPr>
          <w:szCs w:val="26"/>
        </w:rPr>
      </w:pPr>
      <w:r w:rsidRPr="005007CE">
        <w:rPr>
          <w:szCs w:val="26"/>
        </w:rPr>
        <w:t>CNN is a cable and Internet news organization.  Its publication of news concerning matters of public interest is an exercise of free speech rights secured by the state and federal Constitutions.</w:t>
      </w:r>
      <w:r w:rsidR="00041CBC" w:rsidRPr="005007CE">
        <w:rPr>
          <w:rStyle w:val="FootnoteReference"/>
          <w:szCs w:val="26"/>
        </w:rPr>
        <w:footnoteReference w:id="9"/>
      </w:r>
      <w:r w:rsidR="00632812" w:rsidRPr="005007CE">
        <w:rPr>
          <w:szCs w:val="26"/>
        </w:rPr>
        <w:t xml:space="preserve">  </w:t>
      </w:r>
      <w:r w:rsidR="00625E93">
        <w:rPr>
          <w:szCs w:val="26"/>
        </w:rPr>
        <w:t>CNN does not contend t</w:t>
      </w:r>
      <w:r w:rsidR="00126DB4" w:rsidRPr="005007CE">
        <w:rPr>
          <w:szCs w:val="26"/>
        </w:rPr>
        <w:t xml:space="preserve">he termination of Wilson’s employment is </w:t>
      </w:r>
      <w:r w:rsidR="00625E93">
        <w:rPr>
          <w:szCs w:val="26"/>
        </w:rPr>
        <w:t>itself</w:t>
      </w:r>
      <w:r w:rsidR="00126DB4" w:rsidRPr="005007CE">
        <w:rPr>
          <w:szCs w:val="26"/>
        </w:rPr>
        <w:t xml:space="preserve"> speech.  But t</w:t>
      </w:r>
      <w:r w:rsidRPr="005007CE">
        <w:rPr>
          <w:szCs w:val="26"/>
        </w:rPr>
        <w:t xml:space="preserve">o insulate the exercise of free speech rights against chilling litigation, the Legislature has defined protected activity to </w:t>
      </w:r>
      <w:r w:rsidR="005A6F39" w:rsidRPr="005007CE">
        <w:rPr>
          <w:szCs w:val="26"/>
        </w:rPr>
        <w:t>include</w:t>
      </w:r>
      <w:r w:rsidRPr="005007CE">
        <w:rPr>
          <w:szCs w:val="26"/>
        </w:rPr>
        <w:t xml:space="preserve"> not only the act of speaking, but “any other conduct in furtherance of the exercise of” constitutional speech rights on matters of public interest.  (§ 425.16, subd. (e)(4).)  CNN </w:t>
      </w:r>
      <w:r w:rsidR="00913AF7" w:rsidRPr="005007CE">
        <w:rPr>
          <w:szCs w:val="26"/>
        </w:rPr>
        <w:t xml:space="preserve">makes two arguments for application of that provision here.  First, it argues that </w:t>
      </w:r>
      <w:r w:rsidRPr="005007CE">
        <w:rPr>
          <w:szCs w:val="26"/>
        </w:rPr>
        <w:t xml:space="preserve">its selection of </w:t>
      </w:r>
      <w:r w:rsidR="00913AF7" w:rsidRPr="005007CE">
        <w:rPr>
          <w:szCs w:val="26"/>
        </w:rPr>
        <w:t xml:space="preserve">content producers </w:t>
      </w:r>
      <w:r w:rsidRPr="005007CE">
        <w:rPr>
          <w:szCs w:val="26"/>
        </w:rPr>
        <w:t xml:space="preserve">is conduct in furtherance of its exercise of speech rights.  </w:t>
      </w:r>
      <w:r w:rsidR="00913AF7" w:rsidRPr="005007CE">
        <w:rPr>
          <w:szCs w:val="26"/>
        </w:rPr>
        <w:t xml:space="preserve">Second, it argues that its decision to </w:t>
      </w:r>
      <w:r w:rsidR="00913AF7" w:rsidRPr="005007CE">
        <w:rPr>
          <w:szCs w:val="26"/>
        </w:rPr>
        <w:lastRenderedPageBreak/>
        <w:t xml:space="preserve">enforce </w:t>
      </w:r>
      <w:r w:rsidR="00940E62" w:rsidRPr="005007CE">
        <w:rPr>
          <w:szCs w:val="26"/>
        </w:rPr>
        <w:t xml:space="preserve">its </w:t>
      </w:r>
      <w:r w:rsidR="00913AF7" w:rsidRPr="005007CE">
        <w:rPr>
          <w:szCs w:val="26"/>
        </w:rPr>
        <w:t xml:space="preserve">journalistic standards </w:t>
      </w:r>
      <w:r w:rsidR="008372EB" w:rsidRPr="005007CE">
        <w:rPr>
          <w:szCs w:val="26"/>
        </w:rPr>
        <w:t xml:space="preserve">by </w:t>
      </w:r>
      <w:r w:rsidR="00913AF7" w:rsidRPr="005007CE">
        <w:rPr>
          <w:szCs w:val="26"/>
        </w:rPr>
        <w:t>terminating a writer for alleged plagiarism constitutes conduct in furtherance of protected activity.</w:t>
      </w:r>
    </w:p>
    <w:p w14:paraId="5D954A3D" w14:textId="77777777" w:rsidR="000B275F" w:rsidRPr="005007CE" w:rsidRDefault="008B6E5B" w:rsidP="00414F44">
      <w:pPr>
        <w:tabs>
          <w:tab w:val="left" w:pos="1440"/>
        </w:tabs>
        <w:ind w:firstLine="720"/>
        <w:rPr>
          <w:szCs w:val="26"/>
        </w:rPr>
      </w:pPr>
      <w:r w:rsidRPr="005007CE">
        <w:rPr>
          <w:szCs w:val="26"/>
        </w:rPr>
        <w:t xml:space="preserve">The </w:t>
      </w:r>
      <w:r w:rsidR="00316180" w:rsidRPr="005007CE">
        <w:rPr>
          <w:szCs w:val="26"/>
        </w:rPr>
        <w:t xml:space="preserve">anti-SLAPP </w:t>
      </w:r>
      <w:r w:rsidRPr="005007CE">
        <w:rPr>
          <w:szCs w:val="26"/>
        </w:rPr>
        <w:t xml:space="preserve">statute provides no </w:t>
      </w:r>
      <w:r w:rsidR="00F44892" w:rsidRPr="005007CE">
        <w:rPr>
          <w:szCs w:val="26"/>
        </w:rPr>
        <w:t xml:space="preserve">explicit </w:t>
      </w:r>
      <w:r w:rsidRPr="005007CE">
        <w:rPr>
          <w:szCs w:val="26"/>
        </w:rPr>
        <w:t xml:space="preserve">guidance </w:t>
      </w:r>
      <w:r w:rsidR="00EA319E" w:rsidRPr="005007CE">
        <w:rPr>
          <w:szCs w:val="26"/>
        </w:rPr>
        <w:t xml:space="preserve">for </w:t>
      </w:r>
      <w:r w:rsidR="00913AF7" w:rsidRPr="005007CE">
        <w:rPr>
          <w:szCs w:val="26"/>
        </w:rPr>
        <w:t>evaluating these</w:t>
      </w:r>
      <w:r w:rsidR="00C4446F" w:rsidRPr="005007CE">
        <w:rPr>
          <w:szCs w:val="26"/>
        </w:rPr>
        <w:t xml:space="preserve"> argument</w:t>
      </w:r>
      <w:r w:rsidR="00913AF7" w:rsidRPr="005007CE">
        <w:rPr>
          <w:szCs w:val="26"/>
        </w:rPr>
        <w:t>s</w:t>
      </w:r>
      <w:r w:rsidR="00F44892" w:rsidRPr="005007CE">
        <w:rPr>
          <w:szCs w:val="26"/>
        </w:rPr>
        <w:t>.</w:t>
      </w:r>
      <w:r w:rsidRPr="005007CE">
        <w:rPr>
          <w:szCs w:val="26"/>
        </w:rPr>
        <w:t xml:space="preserve"> </w:t>
      </w:r>
      <w:r w:rsidR="00F41D89" w:rsidRPr="005007CE">
        <w:rPr>
          <w:szCs w:val="26"/>
        </w:rPr>
        <w:t xml:space="preserve"> Section 425.16, s</w:t>
      </w:r>
      <w:r w:rsidR="00F56CC0" w:rsidRPr="005007CE">
        <w:rPr>
          <w:szCs w:val="26"/>
        </w:rPr>
        <w:t>ubdivision (e)(4)</w:t>
      </w:r>
      <w:r w:rsidR="0073122E" w:rsidRPr="005007CE">
        <w:rPr>
          <w:szCs w:val="26"/>
        </w:rPr>
        <w:t>,</w:t>
      </w:r>
      <w:r w:rsidR="005B4299" w:rsidRPr="005007CE">
        <w:rPr>
          <w:szCs w:val="26"/>
        </w:rPr>
        <w:t xml:space="preserve"> </w:t>
      </w:r>
      <w:r w:rsidR="006E6D18" w:rsidRPr="005007CE">
        <w:rPr>
          <w:szCs w:val="26"/>
        </w:rPr>
        <w:t xml:space="preserve">does not define </w:t>
      </w:r>
      <w:r w:rsidR="00CA4C1C" w:rsidRPr="005007CE">
        <w:rPr>
          <w:szCs w:val="26"/>
        </w:rPr>
        <w:t xml:space="preserve">precisely </w:t>
      </w:r>
      <w:r w:rsidR="006310B7" w:rsidRPr="005007CE">
        <w:rPr>
          <w:szCs w:val="26"/>
        </w:rPr>
        <w:t>how</w:t>
      </w:r>
      <w:r w:rsidR="00F56CC0" w:rsidRPr="005007CE">
        <w:rPr>
          <w:szCs w:val="26"/>
        </w:rPr>
        <w:t>, or to what extent,</w:t>
      </w:r>
      <w:r w:rsidR="006E6D18" w:rsidRPr="005007CE">
        <w:rPr>
          <w:szCs w:val="26"/>
        </w:rPr>
        <w:t xml:space="preserve"> conduct must further the exercise of speech or petition rights</w:t>
      </w:r>
      <w:r w:rsidR="00653029" w:rsidRPr="005007CE">
        <w:rPr>
          <w:szCs w:val="26"/>
        </w:rPr>
        <w:t xml:space="preserve"> to merit protection.  At a minimum, the subdivision</w:t>
      </w:r>
      <w:r w:rsidR="006E6D18" w:rsidRPr="005007CE">
        <w:rPr>
          <w:szCs w:val="26"/>
        </w:rPr>
        <w:t xml:space="preserve"> shields expressive conduct—th</w:t>
      </w:r>
      <w:r w:rsidR="00834A76" w:rsidRPr="005007CE">
        <w:rPr>
          <w:szCs w:val="26"/>
        </w:rPr>
        <w:t>e burning of flags, the wearing of armbands,</w:t>
      </w:r>
      <w:r w:rsidR="006E6D18" w:rsidRPr="005007CE">
        <w:rPr>
          <w:szCs w:val="26"/>
        </w:rPr>
        <w:t xml:space="preserve"> and the like—that, although </w:t>
      </w:r>
      <w:r w:rsidR="00653029" w:rsidRPr="005007CE">
        <w:rPr>
          <w:szCs w:val="26"/>
        </w:rPr>
        <w:t>not a “written or oral statement or writing” (§ 425.16, subd. (e)(1)–(3)),</w:t>
      </w:r>
      <w:r w:rsidR="00D171C9" w:rsidRPr="005007CE">
        <w:rPr>
          <w:szCs w:val="26"/>
        </w:rPr>
        <w:t xml:space="preserve"> may </w:t>
      </w:r>
      <w:r w:rsidR="00D8075C" w:rsidRPr="005007CE">
        <w:rPr>
          <w:szCs w:val="26"/>
        </w:rPr>
        <w:t xml:space="preserve">similarly communicate views regarding </w:t>
      </w:r>
      <w:r w:rsidR="00F55B2E" w:rsidRPr="005007CE">
        <w:rPr>
          <w:szCs w:val="26"/>
        </w:rPr>
        <w:t>“</w:t>
      </w:r>
      <w:r w:rsidR="00D8075C" w:rsidRPr="005007CE">
        <w:rPr>
          <w:szCs w:val="26"/>
        </w:rPr>
        <w:t xml:space="preserve">matters of </w:t>
      </w:r>
      <w:r w:rsidR="00D171C9" w:rsidRPr="005007CE">
        <w:rPr>
          <w:szCs w:val="26"/>
        </w:rPr>
        <w:t>public significance</w:t>
      </w:r>
      <w:r w:rsidR="00F55B2E" w:rsidRPr="005007CE">
        <w:rPr>
          <w:szCs w:val="26"/>
        </w:rPr>
        <w:t>”</w:t>
      </w:r>
      <w:r w:rsidR="00D171C9" w:rsidRPr="005007CE">
        <w:rPr>
          <w:szCs w:val="26"/>
        </w:rPr>
        <w:t xml:space="preserve"> </w:t>
      </w:r>
      <w:r w:rsidR="00653029" w:rsidRPr="005007CE">
        <w:rPr>
          <w:szCs w:val="26"/>
        </w:rPr>
        <w:t>(</w:t>
      </w:r>
      <w:r w:rsidR="00653029" w:rsidRPr="005007CE">
        <w:rPr>
          <w:i/>
          <w:szCs w:val="26"/>
        </w:rPr>
        <w:t>id.</w:t>
      </w:r>
      <w:r w:rsidR="00653029" w:rsidRPr="005007CE">
        <w:rPr>
          <w:szCs w:val="26"/>
        </w:rPr>
        <w:t xml:space="preserve">, subd. (a)).  </w:t>
      </w:r>
      <w:r w:rsidR="00834A76" w:rsidRPr="005007CE">
        <w:rPr>
          <w:szCs w:val="26"/>
        </w:rPr>
        <w:t xml:space="preserve">(See, e.g., </w:t>
      </w:r>
      <w:r w:rsidR="00834A76" w:rsidRPr="005007CE">
        <w:rPr>
          <w:i/>
          <w:szCs w:val="26"/>
        </w:rPr>
        <w:t>Texas v. Johnson</w:t>
      </w:r>
      <w:r w:rsidR="00834A76" w:rsidRPr="005007CE">
        <w:rPr>
          <w:szCs w:val="26"/>
        </w:rPr>
        <w:t xml:space="preserve"> (1989) 491 U.S. 397, 404–406</w:t>
      </w:r>
      <w:r w:rsidR="006C60CE" w:rsidRPr="005007CE">
        <w:rPr>
          <w:szCs w:val="26"/>
        </w:rPr>
        <w:t xml:space="preserve"> [flag burning]</w:t>
      </w:r>
      <w:r w:rsidR="00834A76" w:rsidRPr="005007CE">
        <w:rPr>
          <w:szCs w:val="26"/>
        </w:rPr>
        <w:t xml:space="preserve">; </w:t>
      </w:r>
      <w:r w:rsidR="00834A76" w:rsidRPr="005007CE">
        <w:rPr>
          <w:i/>
          <w:szCs w:val="26"/>
        </w:rPr>
        <w:t xml:space="preserve">Tinker v. Des Moines </w:t>
      </w:r>
      <w:r w:rsidR="006310B7" w:rsidRPr="005007CE">
        <w:rPr>
          <w:i/>
          <w:szCs w:val="26"/>
        </w:rPr>
        <w:t>School Dist.</w:t>
      </w:r>
      <w:r w:rsidR="00834A76" w:rsidRPr="005007CE">
        <w:rPr>
          <w:szCs w:val="26"/>
        </w:rPr>
        <w:t xml:space="preserve"> (1969) 393 U.S. 503, 5</w:t>
      </w:r>
      <w:r w:rsidR="006310B7" w:rsidRPr="005007CE">
        <w:rPr>
          <w:szCs w:val="26"/>
        </w:rPr>
        <w:t>05–506</w:t>
      </w:r>
      <w:r w:rsidR="006C60CE" w:rsidRPr="005007CE">
        <w:rPr>
          <w:szCs w:val="26"/>
        </w:rPr>
        <w:t xml:space="preserve"> [armbands]</w:t>
      </w:r>
      <w:r w:rsidR="00834A76" w:rsidRPr="005007CE">
        <w:rPr>
          <w:szCs w:val="26"/>
        </w:rPr>
        <w:t>.)</w:t>
      </w:r>
      <w:r w:rsidR="006310B7" w:rsidRPr="005007CE">
        <w:rPr>
          <w:szCs w:val="26"/>
        </w:rPr>
        <w:t xml:space="preserve">  </w:t>
      </w:r>
      <w:r w:rsidR="00653029" w:rsidRPr="005007CE">
        <w:rPr>
          <w:szCs w:val="26"/>
        </w:rPr>
        <w:t>Indeed, the legislative history suggests expressive conduct was foremost in the Legislature’s thinking when subdivision (e)(4) was added.</w:t>
      </w:r>
      <w:r w:rsidR="00653029" w:rsidRPr="005007CE">
        <w:rPr>
          <w:rStyle w:val="FootnoteReference"/>
          <w:szCs w:val="26"/>
        </w:rPr>
        <w:footnoteReference w:id="10"/>
      </w:r>
      <w:r w:rsidR="006E6D18" w:rsidRPr="005007CE">
        <w:rPr>
          <w:szCs w:val="26"/>
        </w:rPr>
        <w:t xml:space="preserve"> </w:t>
      </w:r>
      <w:r w:rsidR="00653029" w:rsidRPr="005007CE">
        <w:rPr>
          <w:szCs w:val="26"/>
        </w:rPr>
        <w:t xml:space="preserve"> But the text</w:t>
      </w:r>
      <w:r w:rsidR="004114E6" w:rsidRPr="005007CE">
        <w:rPr>
          <w:szCs w:val="26"/>
        </w:rPr>
        <w:t xml:space="preserve">’s reference to </w:t>
      </w:r>
      <w:r w:rsidR="004114E6" w:rsidRPr="005007CE">
        <w:rPr>
          <w:szCs w:val="26"/>
        </w:rPr>
        <w:lastRenderedPageBreak/>
        <w:t>acts “in furtherance” of speech or petitioning rights</w:t>
      </w:r>
      <w:r w:rsidR="00653029" w:rsidRPr="005007CE">
        <w:rPr>
          <w:szCs w:val="26"/>
        </w:rPr>
        <w:t xml:space="preserve"> </w:t>
      </w:r>
      <w:r w:rsidR="002473F3" w:rsidRPr="005007CE">
        <w:rPr>
          <w:szCs w:val="26"/>
        </w:rPr>
        <w:t xml:space="preserve">can also </w:t>
      </w:r>
      <w:r w:rsidR="00653029" w:rsidRPr="005007CE">
        <w:rPr>
          <w:szCs w:val="26"/>
        </w:rPr>
        <w:t xml:space="preserve">reasonably </w:t>
      </w:r>
      <w:r w:rsidR="002473F3" w:rsidRPr="005007CE">
        <w:rPr>
          <w:szCs w:val="26"/>
        </w:rPr>
        <w:t xml:space="preserve">be read to </w:t>
      </w:r>
      <w:r w:rsidR="00653029" w:rsidRPr="005007CE">
        <w:rPr>
          <w:szCs w:val="26"/>
        </w:rPr>
        <w:t xml:space="preserve">extend to </w:t>
      </w:r>
      <w:r w:rsidR="00E34988" w:rsidRPr="005007CE">
        <w:rPr>
          <w:szCs w:val="26"/>
        </w:rPr>
        <w:t xml:space="preserve">at least </w:t>
      </w:r>
      <w:r w:rsidR="00EA7F0A" w:rsidRPr="005007CE">
        <w:rPr>
          <w:szCs w:val="26"/>
        </w:rPr>
        <w:t xml:space="preserve">certain </w:t>
      </w:r>
      <w:r w:rsidR="00423D8C" w:rsidRPr="005007CE">
        <w:rPr>
          <w:szCs w:val="26"/>
        </w:rPr>
        <w:t xml:space="preserve">conduct that, though itself containing no </w:t>
      </w:r>
      <w:r w:rsidR="00A30B54" w:rsidRPr="005007CE">
        <w:rPr>
          <w:szCs w:val="26"/>
        </w:rPr>
        <w:t xml:space="preserve">expressive </w:t>
      </w:r>
      <w:r w:rsidR="00423D8C" w:rsidRPr="005007CE">
        <w:rPr>
          <w:szCs w:val="26"/>
        </w:rPr>
        <w:t xml:space="preserve">elements, </w:t>
      </w:r>
      <w:r w:rsidR="00A30B54" w:rsidRPr="005007CE">
        <w:rPr>
          <w:szCs w:val="26"/>
        </w:rPr>
        <w:t xml:space="preserve">facilitates </w:t>
      </w:r>
      <w:r w:rsidR="006C60CE" w:rsidRPr="005007CE">
        <w:rPr>
          <w:szCs w:val="26"/>
        </w:rPr>
        <w:t>expression.</w:t>
      </w:r>
    </w:p>
    <w:p w14:paraId="434DE971" w14:textId="77777777" w:rsidR="008747CB" w:rsidRPr="005007CE" w:rsidRDefault="00E84911" w:rsidP="00414F44">
      <w:pPr>
        <w:tabs>
          <w:tab w:val="left" w:pos="1440"/>
        </w:tabs>
        <w:ind w:firstLine="720"/>
        <w:rPr>
          <w:szCs w:val="26"/>
        </w:rPr>
      </w:pPr>
      <w:r w:rsidRPr="005007CE">
        <w:rPr>
          <w:szCs w:val="26"/>
        </w:rPr>
        <w:t>A</w:t>
      </w:r>
      <w:r w:rsidR="008832AD" w:rsidRPr="005007CE">
        <w:rPr>
          <w:szCs w:val="26"/>
        </w:rPr>
        <w:t xml:space="preserve"> news organization’s </w:t>
      </w:r>
      <w:r w:rsidR="006661DD" w:rsidRPr="005007CE">
        <w:rPr>
          <w:szCs w:val="26"/>
        </w:rPr>
        <w:t xml:space="preserve">hiring or firing of </w:t>
      </w:r>
      <w:r w:rsidR="008832AD" w:rsidRPr="005007CE">
        <w:rPr>
          <w:szCs w:val="26"/>
        </w:rPr>
        <w:t>employees</w:t>
      </w:r>
      <w:r w:rsidR="00E34988" w:rsidRPr="005007CE">
        <w:rPr>
          <w:szCs w:val="26"/>
        </w:rPr>
        <w:t>—like virtually everything</w:t>
      </w:r>
      <w:r w:rsidR="009753B0" w:rsidRPr="005007CE">
        <w:rPr>
          <w:szCs w:val="26"/>
        </w:rPr>
        <w:t xml:space="preserve"> a news organization does—facilitates the organization’s</w:t>
      </w:r>
      <w:r w:rsidR="007B1B26" w:rsidRPr="005007CE">
        <w:rPr>
          <w:szCs w:val="26"/>
        </w:rPr>
        <w:t xml:space="preserve"> speech</w:t>
      </w:r>
      <w:r w:rsidR="00A96561" w:rsidRPr="005007CE">
        <w:rPr>
          <w:szCs w:val="26"/>
        </w:rPr>
        <w:t xml:space="preserve"> to some degree</w:t>
      </w:r>
      <w:r w:rsidR="009753B0" w:rsidRPr="005007CE">
        <w:rPr>
          <w:szCs w:val="26"/>
        </w:rPr>
        <w:t>.</w:t>
      </w:r>
      <w:r w:rsidR="00913AF7" w:rsidRPr="005007CE">
        <w:rPr>
          <w:szCs w:val="26"/>
        </w:rPr>
        <w:t xml:space="preserve">  </w:t>
      </w:r>
      <w:r w:rsidR="00635B62" w:rsidRPr="005007CE">
        <w:rPr>
          <w:szCs w:val="26"/>
        </w:rPr>
        <w:t>But it does not follow that everything the news organization does qualifies as protected activity</w:t>
      </w:r>
      <w:r w:rsidR="006C60CE" w:rsidRPr="005007CE">
        <w:rPr>
          <w:szCs w:val="26"/>
        </w:rPr>
        <w:t xml:space="preserve"> under the anti-SLAPP statute</w:t>
      </w:r>
      <w:r w:rsidR="00635B62" w:rsidRPr="005007CE">
        <w:rPr>
          <w:szCs w:val="26"/>
        </w:rPr>
        <w:t>.  The First Amendment does not immunize news organizations from laws of gener</w:t>
      </w:r>
      <w:r w:rsidR="00EC7CDB" w:rsidRPr="005007CE">
        <w:rPr>
          <w:szCs w:val="26"/>
        </w:rPr>
        <w:t>al applicability “simply because their enforcement .</w:t>
      </w:r>
      <w:r w:rsidR="004D2939" w:rsidRPr="005007CE">
        <w:rPr>
          <w:szCs w:val="26"/>
        </w:rPr>
        <w:t> </w:t>
      </w:r>
      <w:r w:rsidR="00EC7CDB" w:rsidRPr="005007CE">
        <w:rPr>
          <w:szCs w:val="26"/>
        </w:rPr>
        <w:t>.</w:t>
      </w:r>
      <w:r w:rsidR="004D2939" w:rsidRPr="005007CE">
        <w:rPr>
          <w:szCs w:val="26"/>
        </w:rPr>
        <w:t> </w:t>
      </w:r>
      <w:r w:rsidR="00EC7CDB" w:rsidRPr="005007CE">
        <w:rPr>
          <w:szCs w:val="26"/>
        </w:rPr>
        <w:t xml:space="preserve">. has incidental effects on </w:t>
      </w:r>
      <w:r w:rsidR="000B275F" w:rsidRPr="005007CE">
        <w:rPr>
          <w:szCs w:val="26"/>
        </w:rPr>
        <w:t xml:space="preserve">[the press’s] </w:t>
      </w:r>
      <w:r w:rsidR="00EC7CDB" w:rsidRPr="005007CE">
        <w:rPr>
          <w:szCs w:val="26"/>
        </w:rPr>
        <w:t>ability to gather and report the news.”  (</w:t>
      </w:r>
      <w:r w:rsidR="00EC7CDB" w:rsidRPr="005007CE">
        <w:rPr>
          <w:i/>
          <w:szCs w:val="26"/>
        </w:rPr>
        <w:t>Cohen v. Cowles Media Co.</w:t>
      </w:r>
      <w:r w:rsidR="00EC7CDB" w:rsidRPr="005007CE">
        <w:rPr>
          <w:szCs w:val="26"/>
        </w:rPr>
        <w:t xml:space="preserve"> (1991) 501 U.S. 663, 669.)  We likewise do not read the anti-SLAPP</w:t>
      </w:r>
      <w:r w:rsidR="000B275F" w:rsidRPr="005007CE">
        <w:rPr>
          <w:szCs w:val="26"/>
        </w:rPr>
        <w:t xml:space="preserve"> statute</w:t>
      </w:r>
      <w:r w:rsidR="00EC7CDB" w:rsidRPr="005007CE">
        <w:rPr>
          <w:szCs w:val="26"/>
        </w:rPr>
        <w:t xml:space="preserve"> to </w:t>
      </w:r>
      <w:r w:rsidR="00A96561" w:rsidRPr="005007CE">
        <w:rPr>
          <w:szCs w:val="26"/>
        </w:rPr>
        <w:t xml:space="preserve">call for </w:t>
      </w:r>
      <w:r w:rsidR="005D7521" w:rsidRPr="005007CE">
        <w:rPr>
          <w:szCs w:val="26"/>
        </w:rPr>
        <w:t xml:space="preserve">preliminary </w:t>
      </w:r>
      <w:r w:rsidR="00961870" w:rsidRPr="005007CE">
        <w:rPr>
          <w:szCs w:val="26"/>
        </w:rPr>
        <w:t xml:space="preserve">screening </w:t>
      </w:r>
      <w:r w:rsidR="00A96561" w:rsidRPr="005007CE">
        <w:rPr>
          <w:szCs w:val="26"/>
        </w:rPr>
        <w:t xml:space="preserve">of </w:t>
      </w:r>
      <w:r w:rsidR="00EC7CDB" w:rsidRPr="005007CE">
        <w:rPr>
          <w:szCs w:val="26"/>
        </w:rPr>
        <w:t xml:space="preserve">every claim that might be brought against a news organization, merely because the claim might have incidental effects on the organization’s operation.  The question </w:t>
      </w:r>
      <w:r w:rsidR="00A0467A" w:rsidRPr="005007CE">
        <w:rPr>
          <w:szCs w:val="26"/>
        </w:rPr>
        <w:t xml:space="preserve">we must consider is </w:t>
      </w:r>
      <w:r w:rsidR="009753B0" w:rsidRPr="005007CE">
        <w:rPr>
          <w:szCs w:val="26"/>
        </w:rPr>
        <w:t xml:space="preserve">whether, and when, </w:t>
      </w:r>
      <w:r w:rsidR="007F417C" w:rsidRPr="005007CE">
        <w:rPr>
          <w:szCs w:val="26"/>
        </w:rPr>
        <w:t xml:space="preserve">a news organization’s </w:t>
      </w:r>
      <w:r w:rsidR="009753B0" w:rsidRPr="005007CE">
        <w:rPr>
          <w:szCs w:val="26"/>
        </w:rPr>
        <w:t xml:space="preserve">selection of </w:t>
      </w:r>
      <w:r w:rsidR="00F55B2E" w:rsidRPr="005007CE">
        <w:rPr>
          <w:szCs w:val="26"/>
        </w:rPr>
        <w:t xml:space="preserve">its </w:t>
      </w:r>
      <w:r w:rsidR="009753B0" w:rsidRPr="005007CE">
        <w:rPr>
          <w:szCs w:val="26"/>
        </w:rPr>
        <w:t xml:space="preserve">employees bears a </w:t>
      </w:r>
      <w:r w:rsidR="00ED140A" w:rsidRPr="005007CE">
        <w:rPr>
          <w:szCs w:val="26"/>
        </w:rPr>
        <w:t xml:space="preserve">sufficiently substantial </w:t>
      </w:r>
      <w:r w:rsidR="009753B0" w:rsidRPr="005007CE">
        <w:rPr>
          <w:szCs w:val="26"/>
        </w:rPr>
        <w:t xml:space="preserve">relationship to </w:t>
      </w:r>
      <w:r w:rsidR="007B1B26" w:rsidRPr="005007CE">
        <w:rPr>
          <w:szCs w:val="26"/>
        </w:rPr>
        <w:t xml:space="preserve">the </w:t>
      </w:r>
      <w:r w:rsidR="00F04068" w:rsidRPr="005007CE">
        <w:rPr>
          <w:szCs w:val="26"/>
        </w:rPr>
        <w:t xml:space="preserve">organization’s </w:t>
      </w:r>
      <w:r w:rsidR="007B1B26" w:rsidRPr="005007CE">
        <w:rPr>
          <w:szCs w:val="26"/>
        </w:rPr>
        <w:t xml:space="preserve">ability to speak on matters of public concern to qualify as </w:t>
      </w:r>
      <w:r w:rsidR="00094F38" w:rsidRPr="005007CE">
        <w:rPr>
          <w:szCs w:val="26"/>
        </w:rPr>
        <w:t>conduct in furtherance</w:t>
      </w:r>
      <w:r w:rsidR="00F04068" w:rsidRPr="005007CE">
        <w:rPr>
          <w:szCs w:val="26"/>
        </w:rPr>
        <w:t xml:space="preserve"> of constitutional speech rights.</w:t>
      </w:r>
    </w:p>
    <w:p w14:paraId="1F016161" w14:textId="77777777" w:rsidR="00D119C2" w:rsidRPr="005007CE" w:rsidRDefault="00D119C2" w:rsidP="00443D0F">
      <w:pPr>
        <w:tabs>
          <w:tab w:val="left" w:pos="1440"/>
        </w:tabs>
        <w:jc w:val="center"/>
        <w:rPr>
          <w:b/>
          <w:szCs w:val="26"/>
        </w:rPr>
      </w:pPr>
      <w:r w:rsidRPr="005007CE">
        <w:rPr>
          <w:b/>
          <w:szCs w:val="26"/>
        </w:rPr>
        <w:t>1.</w:t>
      </w:r>
    </w:p>
    <w:p w14:paraId="13018B1A" w14:textId="77777777" w:rsidR="00210289" w:rsidRPr="005007CE" w:rsidRDefault="00543539" w:rsidP="00414F44">
      <w:pPr>
        <w:tabs>
          <w:tab w:val="left" w:pos="1440"/>
        </w:tabs>
        <w:ind w:firstLine="720"/>
        <w:rPr>
          <w:szCs w:val="26"/>
        </w:rPr>
      </w:pPr>
      <w:r w:rsidRPr="005007CE">
        <w:rPr>
          <w:szCs w:val="26"/>
        </w:rPr>
        <w:t>We begin with</w:t>
      </w:r>
      <w:r w:rsidR="005E4C2A" w:rsidRPr="005007CE">
        <w:rPr>
          <w:szCs w:val="26"/>
        </w:rPr>
        <w:t xml:space="preserve"> the first, and broader, of </w:t>
      </w:r>
      <w:r w:rsidR="00913AF7" w:rsidRPr="005007CE">
        <w:rPr>
          <w:szCs w:val="26"/>
        </w:rPr>
        <w:t>CNN’s</w:t>
      </w:r>
      <w:r w:rsidR="005E4C2A" w:rsidRPr="005007CE">
        <w:rPr>
          <w:szCs w:val="26"/>
        </w:rPr>
        <w:t xml:space="preserve"> two arguments</w:t>
      </w:r>
      <w:r w:rsidR="00EC7CDB" w:rsidRPr="005007CE">
        <w:rPr>
          <w:szCs w:val="26"/>
        </w:rPr>
        <w:t xml:space="preserve">:  that its </w:t>
      </w:r>
      <w:r w:rsidR="00F55B2E" w:rsidRPr="005007CE">
        <w:rPr>
          <w:szCs w:val="26"/>
        </w:rPr>
        <w:t>decisions</w:t>
      </w:r>
      <w:r w:rsidR="00EC7CDB" w:rsidRPr="005007CE">
        <w:rPr>
          <w:szCs w:val="26"/>
        </w:rPr>
        <w:t xml:space="preserve"> to hire or fire writers and other content producers </w:t>
      </w:r>
      <w:r w:rsidR="00151204" w:rsidRPr="005007CE">
        <w:rPr>
          <w:szCs w:val="26"/>
        </w:rPr>
        <w:t xml:space="preserve">categorically </w:t>
      </w:r>
      <w:r w:rsidR="00F55B2E" w:rsidRPr="005007CE">
        <w:rPr>
          <w:szCs w:val="26"/>
        </w:rPr>
        <w:t xml:space="preserve">qualify </w:t>
      </w:r>
      <w:r w:rsidR="00EC7CDB" w:rsidRPr="005007CE">
        <w:rPr>
          <w:szCs w:val="26"/>
        </w:rPr>
        <w:t>as conduct in furtherance of its speech rights</w:t>
      </w:r>
      <w:r w:rsidR="005E4C2A" w:rsidRPr="005007CE">
        <w:rPr>
          <w:szCs w:val="26"/>
        </w:rPr>
        <w:t xml:space="preserve">.  </w:t>
      </w:r>
      <w:r w:rsidR="00CA17B2" w:rsidRPr="005007CE">
        <w:rPr>
          <w:szCs w:val="26"/>
        </w:rPr>
        <w:t xml:space="preserve">The argument rests on two basic propositions.  One, </w:t>
      </w:r>
      <w:r w:rsidR="00DC1351" w:rsidRPr="005007CE">
        <w:rPr>
          <w:szCs w:val="26"/>
        </w:rPr>
        <w:t xml:space="preserve">the </w:t>
      </w:r>
      <w:r w:rsidR="00703FF4" w:rsidRPr="005007CE">
        <w:rPr>
          <w:szCs w:val="26"/>
        </w:rPr>
        <w:t xml:space="preserve">right of a news organization to speak includes the right to exercise editorial control and judgment—that is, the right to choose what news it will report </w:t>
      </w:r>
      <w:r w:rsidR="00703FF4" w:rsidRPr="005007CE">
        <w:rPr>
          <w:szCs w:val="26"/>
        </w:rPr>
        <w:lastRenderedPageBreak/>
        <w:t xml:space="preserve">and how the news will be reported.  </w:t>
      </w:r>
      <w:r w:rsidR="005C6304" w:rsidRPr="005007CE">
        <w:rPr>
          <w:color w:val="222222"/>
          <w:szCs w:val="26"/>
        </w:rPr>
        <w:t>(</w:t>
      </w:r>
      <w:r w:rsidR="005C6304" w:rsidRPr="005007CE">
        <w:rPr>
          <w:i/>
        </w:rPr>
        <w:t>Miami Herald Publishing Co. v. Tornillo</w:t>
      </w:r>
      <w:r w:rsidR="005C6304" w:rsidRPr="005007CE">
        <w:t xml:space="preserve"> (1974) 418 U.S. 241, 258.)  </w:t>
      </w:r>
      <w:r w:rsidR="00CA17B2" w:rsidRPr="005007CE">
        <w:rPr>
          <w:color w:val="222222"/>
          <w:szCs w:val="26"/>
        </w:rPr>
        <w:t>And two</w:t>
      </w:r>
      <w:r w:rsidR="00EC7CDB" w:rsidRPr="005007CE">
        <w:rPr>
          <w:color w:val="222222"/>
          <w:szCs w:val="26"/>
        </w:rPr>
        <w:t>,</w:t>
      </w:r>
      <w:r w:rsidR="00353D97" w:rsidRPr="005007CE">
        <w:rPr>
          <w:color w:val="222222"/>
          <w:szCs w:val="26"/>
        </w:rPr>
        <w:t xml:space="preserve"> an</w:t>
      </w:r>
      <w:r w:rsidR="000B301E" w:rsidRPr="005007CE">
        <w:rPr>
          <w:color w:val="222222"/>
          <w:szCs w:val="26"/>
        </w:rPr>
        <w:t xml:space="preserve"> entity can act and speak </w:t>
      </w:r>
      <w:r w:rsidR="005226CC" w:rsidRPr="005007CE">
        <w:rPr>
          <w:szCs w:val="26"/>
        </w:rPr>
        <w:t>o</w:t>
      </w:r>
      <w:r w:rsidR="00210289" w:rsidRPr="005007CE">
        <w:rPr>
          <w:szCs w:val="26"/>
        </w:rPr>
        <w:t xml:space="preserve">nly through the individuals that comprise and represent </w:t>
      </w:r>
      <w:r w:rsidR="000B301E" w:rsidRPr="005007CE">
        <w:rPr>
          <w:szCs w:val="26"/>
        </w:rPr>
        <w:t>it</w:t>
      </w:r>
      <w:r w:rsidR="00EC7CDB" w:rsidRPr="005007CE">
        <w:rPr>
          <w:szCs w:val="26"/>
        </w:rPr>
        <w:t xml:space="preserve">.  </w:t>
      </w:r>
      <w:r w:rsidR="00EF6FBD" w:rsidRPr="005007CE">
        <w:rPr>
          <w:szCs w:val="26"/>
        </w:rPr>
        <w:t xml:space="preserve">The </w:t>
      </w:r>
      <w:r w:rsidR="005226CC" w:rsidRPr="005007CE">
        <w:rPr>
          <w:szCs w:val="26"/>
        </w:rPr>
        <w:t xml:space="preserve">law </w:t>
      </w:r>
      <w:r w:rsidR="00EF6FBD" w:rsidRPr="005007CE">
        <w:rPr>
          <w:szCs w:val="26"/>
        </w:rPr>
        <w:t xml:space="preserve">thus </w:t>
      </w:r>
      <w:r w:rsidR="005226CC" w:rsidRPr="005007CE">
        <w:rPr>
          <w:szCs w:val="26"/>
        </w:rPr>
        <w:t xml:space="preserve">recognizes </w:t>
      </w:r>
      <w:r w:rsidR="000A7BCA" w:rsidRPr="005007CE">
        <w:rPr>
          <w:szCs w:val="26"/>
        </w:rPr>
        <w:t xml:space="preserve">that, to exercise </w:t>
      </w:r>
      <w:r w:rsidR="002E30C3" w:rsidRPr="005007CE">
        <w:rPr>
          <w:szCs w:val="26"/>
        </w:rPr>
        <w:t xml:space="preserve">certain </w:t>
      </w:r>
      <w:r w:rsidR="000A7BCA" w:rsidRPr="005007CE">
        <w:rPr>
          <w:szCs w:val="26"/>
        </w:rPr>
        <w:t xml:space="preserve">First Amendment freedoms, </w:t>
      </w:r>
      <w:r w:rsidR="00F16E7F" w:rsidRPr="005007CE">
        <w:rPr>
          <w:szCs w:val="26"/>
        </w:rPr>
        <w:t xml:space="preserve">such as the right of free exercise of religion, </w:t>
      </w:r>
      <w:r w:rsidR="000A7BCA" w:rsidRPr="005007CE">
        <w:rPr>
          <w:szCs w:val="26"/>
        </w:rPr>
        <w:t xml:space="preserve">an entity </w:t>
      </w:r>
      <w:r w:rsidR="00210289" w:rsidRPr="005007CE">
        <w:rPr>
          <w:szCs w:val="26"/>
        </w:rPr>
        <w:t xml:space="preserve">“must retain the </w:t>
      </w:r>
      <w:r w:rsidR="00C628EE" w:rsidRPr="005007CE">
        <w:rPr>
          <w:szCs w:val="26"/>
        </w:rPr>
        <w:t xml:space="preserve">corollary </w:t>
      </w:r>
      <w:r w:rsidR="00210289" w:rsidRPr="005007CE">
        <w:rPr>
          <w:szCs w:val="26"/>
        </w:rPr>
        <w:t>right to select its voice.”  (</w:t>
      </w:r>
      <w:r w:rsidR="00210289" w:rsidRPr="005007CE">
        <w:rPr>
          <w:i/>
          <w:szCs w:val="26"/>
        </w:rPr>
        <w:t>Petruska v. Gannon University</w:t>
      </w:r>
      <w:r w:rsidR="00210289" w:rsidRPr="005007CE">
        <w:rPr>
          <w:szCs w:val="26"/>
        </w:rPr>
        <w:t xml:space="preserve"> (3d Cir. 2006) 462 F.3d 294, 306</w:t>
      </w:r>
      <w:r w:rsidR="00ED598A">
        <w:rPr>
          <w:szCs w:val="26"/>
        </w:rPr>
        <w:t xml:space="preserve">; see </w:t>
      </w:r>
      <w:r w:rsidR="00ED598A" w:rsidRPr="00ED598A">
        <w:rPr>
          <w:i/>
          <w:szCs w:val="26"/>
        </w:rPr>
        <w:t>ibid.</w:t>
      </w:r>
      <w:r w:rsidR="009F21D6" w:rsidRPr="005007CE">
        <w:rPr>
          <w:szCs w:val="26"/>
        </w:rPr>
        <w:t xml:space="preserve"> [ministerial exception to federal employment discrimination law]</w:t>
      </w:r>
      <w:r w:rsidR="00210289" w:rsidRPr="005007CE">
        <w:rPr>
          <w:szCs w:val="26"/>
        </w:rPr>
        <w:t xml:space="preserve">; </w:t>
      </w:r>
      <w:r w:rsidR="000B45AA" w:rsidRPr="005007CE">
        <w:rPr>
          <w:szCs w:val="26"/>
        </w:rPr>
        <w:t>accord</w:t>
      </w:r>
      <w:r w:rsidR="00E4367D" w:rsidRPr="005007CE">
        <w:rPr>
          <w:szCs w:val="26"/>
        </w:rPr>
        <w:t xml:space="preserve">, </w:t>
      </w:r>
      <w:r w:rsidR="00210289" w:rsidRPr="005007CE">
        <w:rPr>
          <w:i/>
          <w:szCs w:val="26"/>
        </w:rPr>
        <w:t xml:space="preserve">Hosanna-Tabor Evangelical </w:t>
      </w:r>
      <w:r w:rsidR="00C628EE" w:rsidRPr="005007CE">
        <w:rPr>
          <w:i/>
          <w:szCs w:val="26"/>
        </w:rPr>
        <w:t xml:space="preserve">Lutheran Church and School </w:t>
      </w:r>
      <w:r w:rsidR="00210289" w:rsidRPr="005007CE">
        <w:rPr>
          <w:i/>
          <w:szCs w:val="26"/>
        </w:rPr>
        <w:t>v. EEOC</w:t>
      </w:r>
      <w:r w:rsidR="00210289" w:rsidRPr="005007CE">
        <w:rPr>
          <w:szCs w:val="26"/>
        </w:rPr>
        <w:t xml:space="preserve"> (2012) 565 U.S. 171, 185 [“it is impermissible for the government to contradict a church’s determination of who can act as its ministers”].)</w:t>
      </w:r>
    </w:p>
    <w:p w14:paraId="3D421526" w14:textId="77777777" w:rsidR="00210289" w:rsidRPr="005007CE" w:rsidRDefault="004E2E4D" w:rsidP="00414F44">
      <w:pPr>
        <w:tabs>
          <w:tab w:val="left" w:pos="1440"/>
        </w:tabs>
        <w:ind w:firstLine="720"/>
        <w:rPr>
          <w:szCs w:val="26"/>
        </w:rPr>
      </w:pPr>
      <w:r w:rsidRPr="005007CE">
        <w:rPr>
          <w:szCs w:val="26"/>
        </w:rPr>
        <w:t>But</w:t>
      </w:r>
      <w:r w:rsidR="00F54E58" w:rsidRPr="005007CE">
        <w:rPr>
          <w:szCs w:val="26"/>
        </w:rPr>
        <w:t xml:space="preserve"> in the area of press freedom</w:t>
      </w:r>
      <w:r w:rsidR="00E7734C" w:rsidRPr="005007CE">
        <w:rPr>
          <w:szCs w:val="26"/>
        </w:rPr>
        <w:t>s</w:t>
      </w:r>
      <w:r w:rsidR="00F54E58" w:rsidRPr="005007CE">
        <w:rPr>
          <w:szCs w:val="26"/>
        </w:rPr>
        <w:t xml:space="preserve">, </w:t>
      </w:r>
      <w:r w:rsidRPr="005007CE">
        <w:rPr>
          <w:szCs w:val="26"/>
        </w:rPr>
        <w:t>it has long been established that t</w:t>
      </w:r>
      <w:r w:rsidR="00210289" w:rsidRPr="005007CE">
        <w:rPr>
          <w:szCs w:val="26"/>
        </w:rPr>
        <w:t>he First Amendment does not</w:t>
      </w:r>
      <w:r w:rsidRPr="005007CE">
        <w:rPr>
          <w:szCs w:val="26"/>
        </w:rPr>
        <w:t xml:space="preserve"> </w:t>
      </w:r>
      <w:r w:rsidR="00210289" w:rsidRPr="005007CE">
        <w:rPr>
          <w:szCs w:val="26"/>
        </w:rPr>
        <w:t xml:space="preserve">guarantee a news </w:t>
      </w:r>
      <w:r w:rsidR="00997E57" w:rsidRPr="005007CE">
        <w:rPr>
          <w:szCs w:val="26"/>
        </w:rPr>
        <w:t xml:space="preserve">organization </w:t>
      </w:r>
      <w:r w:rsidR="00210289" w:rsidRPr="005007CE">
        <w:rPr>
          <w:szCs w:val="26"/>
        </w:rPr>
        <w:t xml:space="preserve">absolute control over who may write, report, or </w:t>
      </w:r>
      <w:r w:rsidR="009049C3" w:rsidRPr="005007CE">
        <w:rPr>
          <w:szCs w:val="26"/>
        </w:rPr>
        <w:t xml:space="preserve">even </w:t>
      </w:r>
      <w:r w:rsidR="00210289" w:rsidRPr="005007CE">
        <w:rPr>
          <w:szCs w:val="26"/>
        </w:rPr>
        <w:t>edit on its behalf.  (</w:t>
      </w:r>
      <w:r w:rsidR="00210289" w:rsidRPr="005007CE">
        <w:rPr>
          <w:i/>
          <w:szCs w:val="26"/>
        </w:rPr>
        <w:t xml:space="preserve">Associated Press v. </w:t>
      </w:r>
      <w:r w:rsidR="00B62C27" w:rsidRPr="005007CE">
        <w:rPr>
          <w:i/>
          <w:szCs w:val="26"/>
        </w:rPr>
        <w:t xml:space="preserve">Labor </w:t>
      </w:r>
      <w:r w:rsidR="00210289" w:rsidRPr="005007CE">
        <w:rPr>
          <w:i/>
          <w:szCs w:val="26"/>
        </w:rPr>
        <w:t>Board</w:t>
      </w:r>
      <w:r w:rsidR="00210289" w:rsidRPr="005007CE">
        <w:rPr>
          <w:szCs w:val="26"/>
        </w:rPr>
        <w:t xml:space="preserve"> (1937) 301 U.S. 103, 130–133</w:t>
      </w:r>
      <w:r w:rsidR="00C81B09" w:rsidRPr="005007CE">
        <w:rPr>
          <w:szCs w:val="26"/>
        </w:rPr>
        <w:t xml:space="preserve"> (</w:t>
      </w:r>
      <w:r w:rsidR="00C81B09" w:rsidRPr="005007CE">
        <w:rPr>
          <w:i/>
          <w:szCs w:val="26"/>
        </w:rPr>
        <w:t>Associated Press</w:t>
      </w:r>
      <w:r w:rsidR="00C81B09" w:rsidRPr="005007CE">
        <w:rPr>
          <w:szCs w:val="26"/>
        </w:rPr>
        <w:t>)</w:t>
      </w:r>
      <w:r w:rsidR="00210289" w:rsidRPr="005007CE">
        <w:rPr>
          <w:szCs w:val="26"/>
        </w:rPr>
        <w:t xml:space="preserve">.)  In </w:t>
      </w:r>
      <w:r w:rsidR="00210289" w:rsidRPr="005007CE">
        <w:rPr>
          <w:i/>
          <w:szCs w:val="26"/>
        </w:rPr>
        <w:t>Associated Press</w:t>
      </w:r>
      <w:r w:rsidR="00210289" w:rsidRPr="005007CE">
        <w:rPr>
          <w:szCs w:val="26"/>
        </w:rPr>
        <w:t xml:space="preserve">, the </w:t>
      </w:r>
      <w:r w:rsidR="00B62C27" w:rsidRPr="005007CE">
        <w:rPr>
          <w:szCs w:val="26"/>
        </w:rPr>
        <w:t xml:space="preserve">National Labor Relations Board (NLRB) charged the respondent news organization with unlawfully discharging an editorial employee for engaging in union activity and ordered the employee reinstated.  Challenging the NLRB’s order on First Amendment grounds, the </w:t>
      </w:r>
      <w:r w:rsidR="00335366" w:rsidRPr="005007CE">
        <w:rPr>
          <w:szCs w:val="26"/>
        </w:rPr>
        <w:t xml:space="preserve">news organization </w:t>
      </w:r>
      <w:r w:rsidR="00210289" w:rsidRPr="005007CE">
        <w:rPr>
          <w:szCs w:val="26"/>
        </w:rPr>
        <w:t>urged that “whatever may be the case with respect to employees in its mechanical departments it must have absolute and unrestricted freedom to employ and to discharge those who . . . edit the news.”  (</w:t>
      </w:r>
      <w:r w:rsidR="00210289" w:rsidRPr="005007CE">
        <w:rPr>
          <w:i/>
          <w:szCs w:val="26"/>
        </w:rPr>
        <w:t>Id.</w:t>
      </w:r>
      <w:r w:rsidR="00210289" w:rsidRPr="005007CE">
        <w:rPr>
          <w:szCs w:val="26"/>
        </w:rPr>
        <w:t xml:space="preserve"> at p. 131.)  The Supreme Court rejected this as an “unsound generalization” </w:t>
      </w:r>
      <w:r w:rsidR="003342F1" w:rsidRPr="005007CE">
        <w:rPr>
          <w:szCs w:val="26"/>
        </w:rPr>
        <w:t>(</w:t>
      </w:r>
      <w:r w:rsidR="003342F1" w:rsidRPr="005007CE">
        <w:rPr>
          <w:i/>
          <w:szCs w:val="26"/>
        </w:rPr>
        <w:t>ibid.</w:t>
      </w:r>
      <w:r w:rsidR="003342F1" w:rsidRPr="005007CE">
        <w:rPr>
          <w:szCs w:val="26"/>
        </w:rPr>
        <w:t>),</w:t>
      </w:r>
      <w:r w:rsidR="00210289" w:rsidRPr="005007CE">
        <w:rPr>
          <w:szCs w:val="26"/>
        </w:rPr>
        <w:t xml:space="preserve"> </w:t>
      </w:r>
      <w:r w:rsidR="00CA17B2" w:rsidRPr="005007CE">
        <w:rPr>
          <w:szCs w:val="26"/>
        </w:rPr>
        <w:t xml:space="preserve">noting that </w:t>
      </w:r>
      <w:r w:rsidR="00EC7CDB" w:rsidRPr="005007CE">
        <w:rPr>
          <w:szCs w:val="26"/>
        </w:rPr>
        <w:t>t</w:t>
      </w:r>
      <w:r w:rsidR="00210289" w:rsidRPr="005007CE">
        <w:rPr>
          <w:szCs w:val="26"/>
        </w:rPr>
        <w:t>he constitutional guarantees of free speech and a free press afford “[t]he publisher of a newspaper . . . no special immunity from the application of general laws” (</w:t>
      </w:r>
      <w:r w:rsidR="003342F1" w:rsidRPr="005007CE">
        <w:rPr>
          <w:i/>
          <w:szCs w:val="26"/>
        </w:rPr>
        <w:t>i</w:t>
      </w:r>
      <w:r w:rsidR="00210289" w:rsidRPr="005007CE">
        <w:rPr>
          <w:i/>
          <w:szCs w:val="26"/>
        </w:rPr>
        <w:t>d.</w:t>
      </w:r>
      <w:r w:rsidR="00210289" w:rsidRPr="005007CE">
        <w:rPr>
          <w:szCs w:val="26"/>
        </w:rPr>
        <w:t xml:space="preserve"> at </w:t>
      </w:r>
      <w:r w:rsidR="00CA17B2" w:rsidRPr="005007CE">
        <w:rPr>
          <w:szCs w:val="26"/>
        </w:rPr>
        <w:t>p</w:t>
      </w:r>
      <w:r w:rsidR="00210289" w:rsidRPr="005007CE">
        <w:rPr>
          <w:szCs w:val="26"/>
        </w:rPr>
        <w:t>.</w:t>
      </w:r>
      <w:r w:rsidR="00C46882" w:rsidRPr="005007CE">
        <w:rPr>
          <w:szCs w:val="26"/>
        </w:rPr>
        <w:t> </w:t>
      </w:r>
      <w:r w:rsidR="00210289" w:rsidRPr="005007CE">
        <w:rPr>
          <w:szCs w:val="26"/>
        </w:rPr>
        <w:t xml:space="preserve">132; </w:t>
      </w:r>
      <w:r w:rsidR="00210289" w:rsidRPr="005007CE">
        <w:t xml:space="preserve">see </w:t>
      </w:r>
      <w:r w:rsidR="00210289" w:rsidRPr="005007CE">
        <w:rPr>
          <w:i/>
        </w:rPr>
        <w:t>Pittsburgh Press Co. v. Human Rel</w:t>
      </w:r>
      <w:r w:rsidR="00C628EE" w:rsidRPr="005007CE">
        <w:rPr>
          <w:i/>
        </w:rPr>
        <w:t>. Comm’n</w:t>
      </w:r>
      <w:r w:rsidR="00210289" w:rsidRPr="005007CE">
        <w:t xml:space="preserve"> (1973) 413 U.S. 376, 382–383; </w:t>
      </w:r>
      <w:r w:rsidR="00210289" w:rsidRPr="005007CE">
        <w:rPr>
          <w:i/>
        </w:rPr>
        <w:t xml:space="preserve">Shulman v. Group </w:t>
      </w:r>
      <w:r w:rsidR="00210289" w:rsidRPr="005007CE">
        <w:rPr>
          <w:i/>
        </w:rPr>
        <w:lastRenderedPageBreak/>
        <w:t>W Productions, Inc.</w:t>
      </w:r>
      <w:r w:rsidR="00210289" w:rsidRPr="005007CE">
        <w:t xml:space="preserve"> </w:t>
      </w:r>
      <w:r w:rsidR="009049C3" w:rsidRPr="005007CE">
        <w:t>(1998) 18 Cal.4th 200,</w:t>
      </w:r>
      <w:r w:rsidR="00210289" w:rsidRPr="005007CE">
        <w:t> 239</w:t>
      </w:r>
      <w:r w:rsidR="003342F1" w:rsidRPr="005007CE">
        <w:t>)</w:t>
      </w:r>
      <w:r w:rsidR="00210289" w:rsidRPr="005007CE">
        <w:rPr>
          <w:szCs w:val="26"/>
        </w:rPr>
        <w:t>.  Regulation of the press’s labor practices was permi</w:t>
      </w:r>
      <w:r w:rsidR="009049C3" w:rsidRPr="005007CE">
        <w:rPr>
          <w:szCs w:val="26"/>
        </w:rPr>
        <w:t>ssible, provided it</w:t>
      </w:r>
      <w:r w:rsidR="00210289" w:rsidRPr="005007CE">
        <w:rPr>
          <w:szCs w:val="26"/>
        </w:rPr>
        <w:t xml:space="preserve"> left untrammeled “the full freedom and liberty of the petitioner to publish the news as it desires it published or to enforce policies of its own choosing with respect to the editing and rewriting of news for publication.”  (</w:t>
      </w:r>
      <w:r w:rsidR="003342F1" w:rsidRPr="005007CE">
        <w:rPr>
          <w:i/>
          <w:szCs w:val="26"/>
        </w:rPr>
        <w:t>Associated Press</w:t>
      </w:r>
      <w:r w:rsidR="003342F1" w:rsidRPr="005007CE">
        <w:rPr>
          <w:szCs w:val="26"/>
        </w:rPr>
        <w:t>,</w:t>
      </w:r>
      <w:r w:rsidR="00210289" w:rsidRPr="005007CE">
        <w:rPr>
          <w:szCs w:val="26"/>
        </w:rPr>
        <w:t xml:space="preserve"> at p. 133.)</w:t>
      </w:r>
    </w:p>
    <w:p w14:paraId="2B322F31" w14:textId="0A9CFAE6" w:rsidR="00210289" w:rsidRPr="005007CE" w:rsidRDefault="0084084E" w:rsidP="00414F44">
      <w:pPr>
        <w:tabs>
          <w:tab w:val="left" w:pos="1440"/>
        </w:tabs>
        <w:ind w:firstLine="720"/>
        <w:rPr>
          <w:szCs w:val="26"/>
        </w:rPr>
      </w:pPr>
      <w:r w:rsidRPr="005007CE">
        <w:rPr>
          <w:color w:val="222222"/>
          <w:szCs w:val="26"/>
        </w:rPr>
        <w:t>Courts i</w:t>
      </w:r>
      <w:r w:rsidR="007213E9" w:rsidRPr="005007CE">
        <w:rPr>
          <w:color w:val="222222"/>
          <w:szCs w:val="26"/>
        </w:rPr>
        <w:t>n various contexts</w:t>
      </w:r>
      <w:r w:rsidRPr="005007CE">
        <w:rPr>
          <w:color w:val="222222"/>
          <w:szCs w:val="26"/>
        </w:rPr>
        <w:t xml:space="preserve"> </w:t>
      </w:r>
      <w:r w:rsidR="004E2E4D" w:rsidRPr="005007CE">
        <w:rPr>
          <w:color w:val="222222"/>
          <w:szCs w:val="26"/>
        </w:rPr>
        <w:t xml:space="preserve">have </w:t>
      </w:r>
      <w:r w:rsidR="00BD0C84" w:rsidRPr="005007CE">
        <w:rPr>
          <w:color w:val="222222"/>
          <w:szCs w:val="26"/>
        </w:rPr>
        <w:t xml:space="preserve">applied these principles to distinguish </w:t>
      </w:r>
      <w:r w:rsidR="00662436" w:rsidRPr="005007CE">
        <w:rPr>
          <w:color w:val="222222"/>
          <w:szCs w:val="26"/>
        </w:rPr>
        <w:t xml:space="preserve">between permissible regulation and </w:t>
      </w:r>
      <w:r w:rsidR="00E9508B" w:rsidRPr="005007CE">
        <w:rPr>
          <w:color w:val="222222"/>
          <w:szCs w:val="26"/>
        </w:rPr>
        <w:t xml:space="preserve">unconstitutional </w:t>
      </w:r>
      <w:r w:rsidR="00662436" w:rsidRPr="005007CE">
        <w:rPr>
          <w:color w:val="222222"/>
          <w:szCs w:val="26"/>
        </w:rPr>
        <w:t xml:space="preserve">interference with a newspaper’s editorial judgment.  In </w:t>
      </w:r>
      <w:r w:rsidR="00662436" w:rsidRPr="005007CE">
        <w:rPr>
          <w:i/>
          <w:color w:val="222222"/>
          <w:szCs w:val="26"/>
        </w:rPr>
        <w:t>Passaic Daily News v. N</w:t>
      </w:r>
      <w:r w:rsidR="00C628EE" w:rsidRPr="005007CE">
        <w:rPr>
          <w:i/>
          <w:color w:val="222222"/>
          <w:szCs w:val="26"/>
        </w:rPr>
        <w:t>.</w:t>
      </w:r>
      <w:r w:rsidR="00662436" w:rsidRPr="005007CE">
        <w:rPr>
          <w:i/>
          <w:color w:val="222222"/>
          <w:szCs w:val="26"/>
        </w:rPr>
        <w:t>L</w:t>
      </w:r>
      <w:r w:rsidR="00C628EE" w:rsidRPr="005007CE">
        <w:rPr>
          <w:i/>
          <w:color w:val="222222"/>
          <w:szCs w:val="26"/>
        </w:rPr>
        <w:t>.</w:t>
      </w:r>
      <w:r w:rsidR="00662436" w:rsidRPr="005007CE">
        <w:rPr>
          <w:i/>
          <w:color w:val="222222"/>
          <w:szCs w:val="26"/>
        </w:rPr>
        <w:t>R</w:t>
      </w:r>
      <w:r w:rsidR="00C628EE" w:rsidRPr="005007CE">
        <w:rPr>
          <w:i/>
          <w:color w:val="222222"/>
          <w:szCs w:val="26"/>
        </w:rPr>
        <w:t>.</w:t>
      </w:r>
      <w:r w:rsidR="00662436" w:rsidRPr="005007CE">
        <w:rPr>
          <w:i/>
          <w:color w:val="222222"/>
          <w:szCs w:val="26"/>
        </w:rPr>
        <w:t>B</w:t>
      </w:r>
      <w:r w:rsidR="00C628EE" w:rsidRPr="005007CE">
        <w:rPr>
          <w:i/>
          <w:color w:val="222222"/>
          <w:szCs w:val="26"/>
        </w:rPr>
        <w:t>.</w:t>
      </w:r>
      <w:r w:rsidR="00662436" w:rsidRPr="005007CE">
        <w:rPr>
          <w:color w:val="222222"/>
          <w:szCs w:val="26"/>
        </w:rPr>
        <w:t xml:space="preserve"> (D.C. Cir. 1984) 736 F.2d 1543</w:t>
      </w:r>
      <w:r w:rsidR="00C81B09" w:rsidRPr="005007CE">
        <w:rPr>
          <w:color w:val="222222"/>
          <w:szCs w:val="26"/>
        </w:rPr>
        <w:t xml:space="preserve">, </w:t>
      </w:r>
      <w:r w:rsidR="009935FD" w:rsidRPr="005007CE">
        <w:rPr>
          <w:color w:val="222222"/>
          <w:szCs w:val="26"/>
        </w:rPr>
        <w:t xml:space="preserve">1549, </w:t>
      </w:r>
      <w:r w:rsidR="00662436" w:rsidRPr="005007CE">
        <w:rPr>
          <w:color w:val="222222"/>
          <w:szCs w:val="26"/>
        </w:rPr>
        <w:t xml:space="preserve">for example, </w:t>
      </w:r>
      <w:r w:rsidR="00C22C47" w:rsidRPr="005007CE">
        <w:rPr>
          <w:color w:val="222222"/>
          <w:szCs w:val="26"/>
        </w:rPr>
        <w:t xml:space="preserve">the court held that </w:t>
      </w:r>
      <w:r w:rsidR="00B94C30" w:rsidRPr="005007CE">
        <w:rPr>
          <w:color w:val="222222"/>
          <w:szCs w:val="26"/>
        </w:rPr>
        <w:t xml:space="preserve">the NLRB could order the reinstatement of a newspaper columnist unlawfully discharged for engaging in union activity, </w:t>
      </w:r>
      <w:r w:rsidR="009935FD" w:rsidRPr="005007CE">
        <w:rPr>
          <w:color w:val="222222"/>
          <w:szCs w:val="26"/>
        </w:rPr>
        <w:t xml:space="preserve">though it </w:t>
      </w:r>
      <w:r w:rsidR="008B2E58" w:rsidRPr="005007CE">
        <w:rPr>
          <w:color w:val="222222"/>
          <w:szCs w:val="26"/>
        </w:rPr>
        <w:t xml:space="preserve">drew the line at </w:t>
      </w:r>
      <w:r w:rsidR="009049C3" w:rsidRPr="005007CE">
        <w:rPr>
          <w:color w:val="222222"/>
          <w:szCs w:val="26"/>
        </w:rPr>
        <w:t>compulsory</w:t>
      </w:r>
      <w:r w:rsidR="00210289" w:rsidRPr="005007CE">
        <w:rPr>
          <w:color w:val="222222"/>
          <w:szCs w:val="26"/>
        </w:rPr>
        <w:t xml:space="preserve"> future publication of his weekly column.  </w:t>
      </w:r>
      <w:r w:rsidR="00C22C47" w:rsidRPr="005007CE">
        <w:rPr>
          <w:color w:val="222222"/>
          <w:szCs w:val="26"/>
          <w:shd w:val="clear" w:color="auto" w:fill="FFFFFF"/>
        </w:rPr>
        <w:t xml:space="preserve">In </w:t>
      </w:r>
      <w:r w:rsidR="00210289" w:rsidRPr="005007CE">
        <w:rPr>
          <w:i/>
          <w:szCs w:val="26"/>
        </w:rPr>
        <w:t>McDermott v. Ampersand Pub</w:t>
      </w:r>
      <w:r w:rsidR="00C628EE" w:rsidRPr="005007CE">
        <w:rPr>
          <w:i/>
          <w:szCs w:val="26"/>
        </w:rPr>
        <w:t>.</w:t>
      </w:r>
      <w:r w:rsidR="00210289" w:rsidRPr="005007CE">
        <w:rPr>
          <w:i/>
          <w:szCs w:val="26"/>
        </w:rPr>
        <w:t>, LLC</w:t>
      </w:r>
      <w:r w:rsidR="00210289" w:rsidRPr="005007CE">
        <w:rPr>
          <w:szCs w:val="26"/>
        </w:rPr>
        <w:t xml:space="preserve"> (9th Cir. 2010) 593 F.3d 950</w:t>
      </w:r>
      <w:r w:rsidR="003E5958" w:rsidRPr="005007CE">
        <w:rPr>
          <w:szCs w:val="26"/>
        </w:rPr>
        <w:t xml:space="preserve">, </w:t>
      </w:r>
      <w:r w:rsidR="003342F1" w:rsidRPr="005007CE">
        <w:rPr>
          <w:szCs w:val="26"/>
        </w:rPr>
        <w:t xml:space="preserve">in contrast, </w:t>
      </w:r>
      <w:r w:rsidR="00C22C47" w:rsidRPr="005007CE">
        <w:rPr>
          <w:szCs w:val="26"/>
        </w:rPr>
        <w:t>the court invalidated an NLRB order re</w:t>
      </w:r>
      <w:r w:rsidR="00786022" w:rsidRPr="005007CE">
        <w:rPr>
          <w:szCs w:val="26"/>
        </w:rPr>
        <w:t>quiring reinstatement of news reporters and editors</w:t>
      </w:r>
      <w:r w:rsidR="009935FD" w:rsidRPr="005007CE">
        <w:rPr>
          <w:szCs w:val="26"/>
        </w:rPr>
        <w:t xml:space="preserve">, but it did so because these individuals had been </w:t>
      </w:r>
      <w:r w:rsidR="00786022" w:rsidRPr="005007CE">
        <w:rPr>
          <w:szCs w:val="26"/>
        </w:rPr>
        <w:t xml:space="preserve">discharged for “union activity directed at pressuring the newspaper’s owner and publisher </w:t>
      </w:r>
      <w:r w:rsidR="005957D8" w:rsidRPr="005007CE">
        <w:rPr>
          <w:szCs w:val="26"/>
        </w:rPr>
        <w:t xml:space="preserve">to refrain </w:t>
      </w:r>
      <w:r w:rsidR="00786022" w:rsidRPr="005007CE">
        <w:rPr>
          <w:szCs w:val="26"/>
        </w:rPr>
        <w:t>from exercising editorial control over news reporting”</w:t>
      </w:r>
      <w:r w:rsidR="009935FD" w:rsidRPr="005007CE">
        <w:rPr>
          <w:szCs w:val="26"/>
        </w:rPr>
        <w:t xml:space="preserve">; the court explained that under the circumstances, </w:t>
      </w:r>
      <w:r w:rsidR="003178E4" w:rsidRPr="005007CE">
        <w:rPr>
          <w:szCs w:val="26"/>
        </w:rPr>
        <w:t xml:space="preserve">relief </w:t>
      </w:r>
      <w:r w:rsidR="00786022" w:rsidRPr="005007CE">
        <w:rPr>
          <w:szCs w:val="26"/>
        </w:rPr>
        <w:t>“in support of union activity aimed at obtaining editorial control poses a threat of violating” the newspaper’s First Amendment editorial rights.  (</w:t>
      </w:r>
      <w:r w:rsidR="00786022" w:rsidRPr="005007CE">
        <w:rPr>
          <w:i/>
          <w:szCs w:val="26"/>
        </w:rPr>
        <w:t>Id.</w:t>
      </w:r>
      <w:r w:rsidR="00786022" w:rsidRPr="005007CE">
        <w:rPr>
          <w:szCs w:val="26"/>
        </w:rPr>
        <w:t xml:space="preserve"> at p.</w:t>
      </w:r>
      <w:r w:rsidR="00C46882" w:rsidRPr="005007CE">
        <w:rPr>
          <w:szCs w:val="26"/>
        </w:rPr>
        <w:t> </w:t>
      </w:r>
      <w:r w:rsidR="00786022" w:rsidRPr="005007CE">
        <w:rPr>
          <w:szCs w:val="26"/>
        </w:rPr>
        <w:t>953</w:t>
      </w:r>
      <w:r w:rsidR="005957D8" w:rsidRPr="005007CE">
        <w:rPr>
          <w:szCs w:val="26"/>
        </w:rPr>
        <w:t xml:space="preserve">; but see </w:t>
      </w:r>
      <w:r w:rsidR="005957D8" w:rsidRPr="005007CE">
        <w:rPr>
          <w:i/>
          <w:szCs w:val="26"/>
        </w:rPr>
        <w:t>id.</w:t>
      </w:r>
      <w:r w:rsidR="005957D8" w:rsidRPr="005007CE">
        <w:rPr>
          <w:szCs w:val="26"/>
        </w:rPr>
        <w:t xml:space="preserve"> at pp. 968–971 (dis. opn. of Hawkins, J.) [injunction ordering reinstatement does not risk 1st Amend. </w:t>
      </w:r>
      <w:r w:rsidR="0073122E" w:rsidRPr="005007CE">
        <w:rPr>
          <w:szCs w:val="26"/>
        </w:rPr>
        <w:t>i</w:t>
      </w:r>
      <w:r w:rsidR="005957D8" w:rsidRPr="005007CE">
        <w:rPr>
          <w:szCs w:val="26"/>
        </w:rPr>
        <w:t>nfringement]</w:t>
      </w:r>
      <w:r w:rsidR="00786022" w:rsidRPr="005007CE">
        <w:rPr>
          <w:szCs w:val="26"/>
        </w:rPr>
        <w:t>.)</w:t>
      </w:r>
      <w:r w:rsidR="00BC6C03" w:rsidRPr="005007CE">
        <w:rPr>
          <w:szCs w:val="26"/>
        </w:rPr>
        <w:t xml:space="preserve">  </w:t>
      </w:r>
      <w:r w:rsidR="008855A9" w:rsidRPr="005007CE">
        <w:rPr>
          <w:szCs w:val="26"/>
        </w:rPr>
        <w:t>I</w:t>
      </w:r>
      <w:r w:rsidR="00BC6C03" w:rsidRPr="005007CE">
        <w:rPr>
          <w:szCs w:val="26"/>
        </w:rPr>
        <w:t xml:space="preserve">n </w:t>
      </w:r>
      <w:r w:rsidR="00BC6C03" w:rsidRPr="005007CE">
        <w:rPr>
          <w:i/>
          <w:szCs w:val="26"/>
        </w:rPr>
        <w:t>N</w:t>
      </w:r>
      <w:r w:rsidR="00210289" w:rsidRPr="005007CE">
        <w:rPr>
          <w:i/>
          <w:szCs w:val="26"/>
        </w:rPr>
        <w:t>elson v. McClatchy Newspapers</w:t>
      </w:r>
      <w:r w:rsidR="00210289" w:rsidRPr="005007CE">
        <w:rPr>
          <w:szCs w:val="26"/>
        </w:rPr>
        <w:t xml:space="preserve"> (W</w:t>
      </w:r>
      <w:r w:rsidR="00C628EE" w:rsidRPr="005007CE">
        <w:rPr>
          <w:szCs w:val="26"/>
        </w:rPr>
        <w:t>n</w:t>
      </w:r>
      <w:r w:rsidR="00210289" w:rsidRPr="005007CE">
        <w:rPr>
          <w:szCs w:val="26"/>
        </w:rPr>
        <w:t xml:space="preserve">. 1997) 936 P.2d 1123, </w:t>
      </w:r>
      <w:r w:rsidR="00634F1E" w:rsidRPr="005007CE">
        <w:rPr>
          <w:szCs w:val="26"/>
        </w:rPr>
        <w:t xml:space="preserve">the Washington Supreme Court held that the First Amendment partially </w:t>
      </w:r>
      <w:r w:rsidR="009E0527" w:rsidRPr="005007CE">
        <w:rPr>
          <w:szCs w:val="26"/>
        </w:rPr>
        <w:t xml:space="preserve">invalidated </w:t>
      </w:r>
      <w:r w:rsidR="00634F1E" w:rsidRPr="005007CE">
        <w:rPr>
          <w:szCs w:val="26"/>
        </w:rPr>
        <w:t>a statute prohibiting discrimination against employees for political participation</w:t>
      </w:r>
      <w:r w:rsidR="00F75C4F" w:rsidRPr="005007CE">
        <w:rPr>
          <w:szCs w:val="26"/>
        </w:rPr>
        <w:t xml:space="preserve"> because, in its judgment, the nature of the regulation directly interfered with </w:t>
      </w:r>
      <w:r w:rsidR="00F75C4F" w:rsidRPr="005007CE">
        <w:rPr>
          <w:szCs w:val="26"/>
        </w:rPr>
        <w:lastRenderedPageBreak/>
        <w:t xml:space="preserve">the plaintiff newspaper’s ability </w:t>
      </w:r>
      <w:r w:rsidR="00634F1E" w:rsidRPr="005007CE">
        <w:rPr>
          <w:szCs w:val="26"/>
        </w:rPr>
        <w:t>to maintain journalistic integrity</w:t>
      </w:r>
      <w:r w:rsidR="00F75C4F" w:rsidRPr="005007CE">
        <w:rPr>
          <w:szCs w:val="26"/>
        </w:rPr>
        <w:t xml:space="preserve"> and credibility by restricting its employees’ political activism</w:t>
      </w:r>
      <w:r w:rsidR="009E0527" w:rsidRPr="005007CE">
        <w:rPr>
          <w:szCs w:val="26"/>
        </w:rPr>
        <w:t>.</w:t>
      </w:r>
      <w:r w:rsidR="00634F1E" w:rsidRPr="005007CE">
        <w:rPr>
          <w:szCs w:val="26"/>
        </w:rPr>
        <w:t xml:space="preserve">  (</w:t>
      </w:r>
      <w:r w:rsidR="009E0527" w:rsidRPr="005007CE">
        <w:rPr>
          <w:i/>
          <w:szCs w:val="26"/>
        </w:rPr>
        <w:t>Id.</w:t>
      </w:r>
      <w:r w:rsidR="009E0527" w:rsidRPr="005007CE">
        <w:rPr>
          <w:szCs w:val="26"/>
        </w:rPr>
        <w:t xml:space="preserve"> at p. 113</w:t>
      </w:r>
      <w:r w:rsidR="00ED598A">
        <w:rPr>
          <w:szCs w:val="26"/>
        </w:rPr>
        <w:t>3</w:t>
      </w:r>
      <w:r w:rsidR="009E0527" w:rsidRPr="005007CE">
        <w:rPr>
          <w:szCs w:val="26"/>
        </w:rPr>
        <w:t>; b</w:t>
      </w:r>
      <w:r w:rsidR="00634F1E" w:rsidRPr="005007CE">
        <w:rPr>
          <w:szCs w:val="26"/>
        </w:rPr>
        <w:t xml:space="preserve">ut see </w:t>
      </w:r>
      <w:r w:rsidR="00210289" w:rsidRPr="005007CE">
        <w:rPr>
          <w:i/>
          <w:szCs w:val="26"/>
        </w:rPr>
        <w:t>id.</w:t>
      </w:r>
      <w:r w:rsidR="00210289" w:rsidRPr="005007CE">
        <w:rPr>
          <w:szCs w:val="26"/>
        </w:rPr>
        <w:t xml:space="preserve"> at p.</w:t>
      </w:r>
      <w:r w:rsidR="009E0527" w:rsidRPr="005007CE">
        <w:rPr>
          <w:szCs w:val="26"/>
        </w:rPr>
        <w:t> </w:t>
      </w:r>
      <w:r w:rsidR="00210289" w:rsidRPr="005007CE">
        <w:rPr>
          <w:szCs w:val="26"/>
        </w:rPr>
        <w:t>1133 (dis. opn. of Dolliver, J.) [“The First Amendment does not give a newspaper immunity from general laws absent a showing of interference with the newspaper’s right to determine what to print</w:t>
      </w:r>
      <w:r w:rsidR="008975B0">
        <w:rPr>
          <w:szCs w:val="26"/>
        </w:rPr>
        <w:t>.</w:t>
      </w:r>
      <w:r w:rsidR="00210289" w:rsidRPr="005007CE">
        <w:rPr>
          <w:szCs w:val="26"/>
        </w:rPr>
        <w:t>”].)</w:t>
      </w:r>
      <w:r w:rsidR="009C2B80" w:rsidRPr="005007CE">
        <w:rPr>
          <w:rStyle w:val="FootnoteReference"/>
          <w:szCs w:val="26"/>
        </w:rPr>
        <w:footnoteReference w:id="11"/>
      </w:r>
    </w:p>
    <w:p w14:paraId="3F494337" w14:textId="77777777" w:rsidR="00DE5BC4" w:rsidRPr="005007CE" w:rsidRDefault="00031733" w:rsidP="00414F44">
      <w:pPr>
        <w:tabs>
          <w:tab w:val="left" w:pos="1440"/>
        </w:tabs>
        <w:ind w:firstLine="720"/>
        <w:rPr>
          <w:szCs w:val="26"/>
        </w:rPr>
      </w:pPr>
      <w:r w:rsidRPr="005007CE">
        <w:rPr>
          <w:szCs w:val="26"/>
        </w:rPr>
        <w:t xml:space="preserve">The considerations raised in these cases differ, but </w:t>
      </w:r>
      <w:r w:rsidR="003D0F3E" w:rsidRPr="005007CE">
        <w:rPr>
          <w:szCs w:val="26"/>
        </w:rPr>
        <w:t>the</w:t>
      </w:r>
      <w:r w:rsidR="00852C79" w:rsidRPr="005007CE">
        <w:rPr>
          <w:szCs w:val="26"/>
        </w:rPr>
        <w:t xml:space="preserve"> bottom line</w:t>
      </w:r>
      <w:r w:rsidR="003D0F3E" w:rsidRPr="005007CE">
        <w:rPr>
          <w:szCs w:val="26"/>
        </w:rPr>
        <w:t xml:space="preserve"> is </w:t>
      </w:r>
      <w:r w:rsidR="00083DF3" w:rsidRPr="005007CE">
        <w:rPr>
          <w:szCs w:val="26"/>
        </w:rPr>
        <w:t xml:space="preserve">this:  Not every staffing decision a </w:t>
      </w:r>
      <w:r w:rsidR="0078101B" w:rsidRPr="005007CE">
        <w:rPr>
          <w:szCs w:val="26"/>
        </w:rPr>
        <w:t xml:space="preserve">news organization </w:t>
      </w:r>
      <w:r w:rsidR="00083DF3" w:rsidRPr="005007CE">
        <w:rPr>
          <w:szCs w:val="26"/>
        </w:rPr>
        <w:t>makes</w:t>
      </w:r>
      <w:r w:rsidR="00A150CD" w:rsidRPr="005007CE">
        <w:rPr>
          <w:szCs w:val="26"/>
        </w:rPr>
        <w:t>—even with respect to those who write, edit, or otherwise produce content—</w:t>
      </w:r>
      <w:r w:rsidR="001551A4" w:rsidRPr="005007CE">
        <w:rPr>
          <w:szCs w:val="26"/>
        </w:rPr>
        <w:t>enjoys constitutional protection</w:t>
      </w:r>
      <w:r w:rsidR="003E61A3" w:rsidRPr="005007CE">
        <w:rPr>
          <w:szCs w:val="26"/>
        </w:rPr>
        <w:t xml:space="preserve">.  </w:t>
      </w:r>
      <w:r w:rsidR="001067EB" w:rsidRPr="005007CE">
        <w:rPr>
          <w:szCs w:val="26"/>
        </w:rPr>
        <w:t>As a general rule</w:t>
      </w:r>
      <w:r w:rsidR="003E61A3" w:rsidRPr="005007CE">
        <w:rPr>
          <w:szCs w:val="26"/>
        </w:rPr>
        <w:t xml:space="preserve">, </w:t>
      </w:r>
      <w:r w:rsidR="006639C4" w:rsidRPr="005007CE">
        <w:rPr>
          <w:szCs w:val="26"/>
        </w:rPr>
        <w:t xml:space="preserve">application </w:t>
      </w:r>
      <w:r w:rsidR="00B74323" w:rsidRPr="005007CE">
        <w:rPr>
          <w:szCs w:val="26"/>
        </w:rPr>
        <w:t xml:space="preserve">of laws prohibiting </w:t>
      </w:r>
      <w:r w:rsidR="001551A4" w:rsidRPr="005007CE">
        <w:rPr>
          <w:szCs w:val="26"/>
        </w:rPr>
        <w:t xml:space="preserve">racial and other </w:t>
      </w:r>
      <w:r w:rsidR="000A7671" w:rsidRPr="005007CE">
        <w:rPr>
          <w:szCs w:val="26"/>
        </w:rPr>
        <w:t xml:space="preserve">forms of </w:t>
      </w:r>
      <w:r w:rsidR="00B74323" w:rsidRPr="005007CE">
        <w:rPr>
          <w:szCs w:val="26"/>
        </w:rPr>
        <w:t xml:space="preserve">discrimination </w:t>
      </w:r>
      <w:r w:rsidR="009E116C" w:rsidRPr="005007CE">
        <w:rPr>
          <w:szCs w:val="26"/>
        </w:rPr>
        <w:t xml:space="preserve">will leave the </w:t>
      </w:r>
      <w:r w:rsidR="0078101B" w:rsidRPr="005007CE">
        <w:rPr>
          <w:szCs w:val="26"/>
        </w:rPr>
        <w:t xml:space="preserve">organization </w:t>
      </w:r>
      <w:r w:rsidR="009E116C" w:rsidRPr="005007CE">
        <w:rPr>
          <w:szCs w:val="26"/>
        </w:rPr>
        <w:t xml:space="preserve">with </w:t>
      </w:r>
      <w:r w:rsidR="00083DF3" w:rsidRPr="005007CE">
        <w:rPr>
          <w:szCs w:val="26"/>
        </w:rPr>
        <w:t>“the full freedom and liberty</w:t>
      </w:r>
      <w:r w:rsidR="00F564E1" w:rsidRPr="005007CE">
        <w:rPr>
          <w:szCs w:val="26"/>
        </w:rPr>
        <w:t>” to “</w:t>
      </w:r>
      <w:r w:rsidR="00083DF3" w:rsidRPr="005007CE">
        <w:rPr>
          <w:szCs w:val="26"/>
        </w:rPr>
        <w:t>publish the news as it desires it published</w:t>
      </w:r>
      <w:r w:rsidR="00F564E1" w:rsidRPr="005007CE">
        <w:rPr>
          <w:szCs w:val="26"/>
        </w:rPr>
        <w:t>.”  (</w:t>
      </w:r>
      <w:r w:rsidR="00F564E1" w:rsidRPr="005007CE">
        <w:rPr>
          <w:i/>
          <w:szCs w:val="26"/>
        </w:rPr>
        <w:t>Associated Press</w:t>
      </w:r>
      <w:r w:rsidR="00F564E1" w:rsidRPr="005007CE">
        <w:rPr>
          <w:szCs w:val="26"/>
        </w:rPr>
        <w:t xml:space="preserve">, </w:t>
      </w:r>
      <w:r w:rsidR="00F564E1" w:rsidRPr="005007CE">
        <w:rPr>
          <w:i/>
          <w:szCs w:val="26"/>
        </w:rPr>
        <w:t>supra</w:t>
      </w:r>
      <w:r w:rsidR="00F564E1" w:rsidRPr="005007CE">
        <w:rPr>
          <w:szCs w:val="26"/>
        </w:rPr>
        <w:t>, 301 U.S. at p.</w:t>
      </w:r>
      <w:r w:rsidR="00C46882" w:rsidRPr="005007CE">
        <w:rPr>
          <w:szCs w:val="26"/>
        </w:rPr>
        <w:t> </w:t>
      </w:r>
      <w:r w:rsidR="00F564E1" w:rsidRPr="005007CE">
        <w:rPr>
          <w:szCs w:val="26"/>
        </w:rPr>
        <w:t>133.)</w:t>
      </w:r>
      <w:r w:rsidR="00EE60D1" w:rsidRPr="005007CE">
        <w:rPr>
          <w:szCs w:val="26"/>
        </w:rPr>
        <w:t xml:space="preserve">  </w:t>
      </w:r>
      <w:r w:rsidR="000D726C" w:rsidRPr="005007CE">
        <w:rPr>
          <w:szCs w:val="26"/>
        </w:rPr>
        <w:t xml:space="preserve">It follows that, </w:t>
      </w:r>
      <w:r w:rsidR="00780892" w:rsidRPr="005007CE">
        <w:rPr>
          <w:szCs w:val="26"/>
        </w:rPr>
        <w:t xml:space="preserve">also </w:t>
      </w:r>
      <w:r w:rsidR="000D726C" w:rsidRPr="005007CE">
        <w:rPr>
          <w:szCs w:val="26"/>
        </w:rPr>
        <w:t xml:space="preserve">as a general rule, </w:t>
      </w:r>
      <w:r w:rsidR="00395922" w:rsidRPr="005007CE">
        <w:rPr>
          <w:szCs w:val="26"/>
        </w:rPr>
        <w:t xml:space="preserve">a legal challenge to a particular staffing decision </w:t>
      </w:r>
      <w:r w:rsidR="000D726C" w:rsidRPr="005007CE">
        <w:rPr>
          <w:szCs w:val="26"/>
        </w:rPr>
        <w:t xml:space="preserve">will </w:t>
      </w:r>
      <w:r w:rsidR="00567F0B" w:rsidRPr="005007CE">
        <w:rPr>
          <w:szCs w:val="26"/>
        </w:rPr>
        <w:t xml:space="preserve">have no substantial effect on the news organization’s ability to speak on </w:t>
      </w:r>
      <w:r w:rsidR="00AA606E" w:rsidRPr="005007CE">
        <w:rPr>
          <w:szCs w:val="26"/>
        </w:rPr>
        <w:t>public issues, which is the anti-SLAPP statute’s concern</w:t>
      </w:r>
      <w:r w:rsidR="00F4294C" w:rsidRPr="005007CE">
        <w:rPr>
          <w:szCs w:val="26"/>
        </w:rPr>
        <w:t>.</w:t>
      </w:r>
    </w:p>
    <w:p w14:paraId="78A47BB4" w14:textId="34220C02" w:rsidR="0061158E" w:rsidRPr="005007CE" w:rsidRDefault="00600FE2" w:rsidP="00414F44">
      <w:pPr>
        <w:tabs>
          <w:tab w:val="left" w:pos="1440"/>
        </w:tabs>
        <w:ind w:firstLine="720"/>
        <w:rPr>
          <w:color w:val="222222"/>
          <w:szCs w:val="26"/>
        </w:rPr>
      </w:pPr>
      <w:r w:rsidRPr="005007CE">
        <w:rPr>
          <w:szCs w:val="26"/>
        </w:rPr>
        <w:t xml:space="preserve">Like most general rules, this one </w:t>
      </w:r>
      <w:r w:rsidR="00620DA4" w:rsidRPr="005007CE">
        <w:rPr>
          <w:szCs w:val="26"/>
        </w:rPr>
        <w:t xml:space="preserve">does admit of exceptions.  </w:t>
      </w:r>
      <w:r w:rsidR="00F55E73" w:rsidRPr="005007CE">
        <w:rPr>
          <w:szCs w:val="26"/>
        </w:rPr>
        <w:t xml:space="preserve">Indeed, </w:t>
      </w:r>
      <w:r w:rsidR="0078101B" w:rsidRPr="005007CE">
        <w:rPr>
          <w:szCs w:val="26"/>
        </w:rPr>
        <w:t>Wilson himself acknowledges</w:t>
      </w:r>
      <w:r w:rsidR="00F55E73" w:rsidRPr="005007CE">
        <w:rPr>
          <w:szCs w:val="26"/>
        </w:rPr>
        <w:t xml:space="preserve"> that</w:t>
      </w:r>
      <w:r w:rsidR="00B72254" w:rsidRPr="005007CE">
        <w:rPr>
          <w:szCs w:val="26"/>
        </w:rPr>
        <w:t xml:space="preserve"> in some instances </w:t>
      </w:r>
      <w:r w:rsidR="00210289" w:rsidRPr="005007CE">
        <w:t xml:space="preserve">a news organization’s </w:t>
      </w:r>
      <w:r w:rsidR="00BF48A3" w:rsidRPr="005007CE">
        <w:t xml:space="preserve">hiring </w:t>
      </w:r>
      <w:r w:rsidR="00210289" w:rsidRPr="005007CE">
        <w:t>decisions could qualify as conduct in furtherance of the organization’s constitutionally protected speech on matters of</w:t>
      </w:r>
      <w:r w:rsidR="009C57EA" w:rsidRPr="005007CE">
        <w:t xml:space="preserve"> public interest.  </w:t>
      </w:r>
      <w:r w:rsidR="00FD620F" w:rsidRPr="005007CE">
        <w:t>He</w:t>
      </w:r>
      <w:r w:rsidR="00780892" w:rsidRPr="005007CE">
        <w:t xml:space="preserve"> agrees, </w:t>
      </w:r>
      <w:r w:rsidR="00FD620F" w:rsidRPr="005007CE">
        <w:t xml:space="preserve">for example, </w:t>
      </w:r>
      <w:r w:rsidR="00FD620F" w:rsidRPr="005007CE">
        <w:lastRenderedPageBreak/>
        <w:t xml:space="preserve">that a </w:t>
      </w:r>
      <w:r w:rsidR="00B062FF" w:rsidRPr="005007CE">
        <w:t>television producer’s decision about whom to cast in a program can constitute part of the message conveyed</w:t>
      </w:r>
      <w:r w:rsidR="005E537D" w:rsidRPr="005007CE">
        <w:t>, thus meriting anti-SLAPP protection</w:t>
      </w:r>
      <w:r w:rsidR="00B062FF" w:rsidRPr="005007CE">
        <w:t>.</w:t>
      </w:r>
      <w:r w:rsidR="00ED3445" w:rsidRPr="005007CE">
        <w:t xml:space="preserve">  (Cf. </w:t>
      </w:r>
      <w:r w:rsidR="00ED3445" w:rsidRPr="005007CE">
        <w:rPr>
          <w:i/>
          <w:szCs w:val="26"/>
        </w:rPr>
        <w:t>Hunter v. CBS Broadcasting Inc.</w:t>
      </w:r>
      <w:r w:rsidR="00ED3445" w:rsidRPr="005007CE">
        <w:t xml:space="preserve">, </w:t>
      </w:r>
      <w:r w:rsidR="00ED3445" w:rsidRPr="005007CE">
        <w:rPr>
          <w:i/>
        </w:rPr>
        <w:t>supra</w:t>
      </w:r>
      <w:r w:rsidR="00ED3445" w:rsidRPr="005007CE">
        <w:t>,</w:t>
      </w:r>
      <w:r w:rsidR="00ED3445" w:rsidRPr="005007CE">
        <w:rPr>
          <w:szCs w:val="26"/>
        </w:rPr>
        <w:t xml:space="preserve"> 221 Cal.App.4th at p. 1527 [holding that choice of on-air employee to speak on behalf of news organization furthers organization’s exercise of speech rights].)  </w:t>
      </w:r>
      <w:r w:rsidR="00EA319E" w:rsidRPr="005007CE">
        <w:rPr>
          <w:szCs w:val="26"/>
        </w:rPr>
        <w:t>Likewise</w:t>
      </w:r>
      <w:r w:rsidR="007D11F8" w:rsidRPr="005007CE">
        <w:rPr>
          <w:szCs w:val="26"/>
        </w:rPr>
        <w:t xml:space="preserve">, </w:t>
      </w:r>
      <w:r w:rsidR="00C23A7D" w:rsidRPr="005007CE">
        <w:rPr>
          <w:szCs w:val="26"/>
        </w:rPr>
        <w:t xml:space="preserve">the decision to </w:t>
      </w:r>
      <w:r w:rsidR="00EA319E" w:rsidRPr="005007CE">
        <w:rPr>
          <w:szCs w:val="26"/>
        </w:rPr>
        <w:t xml:space="preserve">hire or fire </w:t>
      </w:r>
      <w:r w:rsidR="00C23A7D" w:rsidRPr="005007CE">
        <w:rPr>
          <w:szCs w:val="26"/>
        </w:rPr>
        <w:t xml:space="preserve">an employee who is </w:t>
      </w:r>
      <w:r w:rsidR="007D11F8" w:rsidRPr="005007CE">
        <w:rPr>
          <w:szCs w:val="26"/>
        </w:rPr>
        <w:t xml:space="preserve">vested with </w:t>
      </w:r>
      <w:r w:rsidR="00C23A7D" w:rsidRPr="005007CE">
        <w:rPr>
          <w:szCs w:val="26"/>
        </w:rPr>
        <w:t xml:space="preserve">ultimate </w:t>
      </w:r>
      <w:r w:rsidR="007D11F8" w:rsidRPr="005007CE">
        <w:rPr>
          <w:szCs w:val="26"/>
        </w:rPr>
        <w:t>authority to determine a</w:t>
      </w:r>
      <w:r w:rsidR="0092279E" w:rsidRPr="005007CE">
        <w:rPr>
          <w:szCs w:val="26"/>
        </w:rPr>
        <w:t xml:space="preserve"> </w:t>
      </w:r>
      <w:r w:rsidR="007D11F8" w:rsidRPr="005007CE">
        <w:rPr>
          <w:szCs w:val="26"/>
        </w:rPr>
        <w:t>n</w:t>
      </w:r>
      <w:r w:rsidR="0092279E" w:rsidRPr="005007CE">
        <w:rPr>
          <w:szCs w:val="26"/>
        </w:rPr>
        <w:t>ews</w:t>
      </w:r>
      <w:r w:rsidR="007D11F8" w:rsidRPr="005007CE">
        <w:rPr>
          <w:szCs w:val="26"/>
        </w:rPr>
        <w:t xml:space="preserve"> organization’s message </w:t>
      </w:r>
      <w:r w:rsidR="003C1AF2" w:rsidRPr="005007CE">
        <w:rPr>
          <w:szCs w:val="26"/>
        </w:rPr>
        <w:t xml:space="preserve">might </w:t>
      </w:r>
      <w:r w:rsidR="00C23A7D" w:rsidRPr="005007CE">
        <w:rPr>
          <w:szCs w:val="26"/>
        </w:rPr>
        <w:t xml:space="preserve">well </w:t>
      </w:r>
      <w:r w:rsidR="003C1AF2" w:rsidRPr="005007CE">
        <w:rPr>
          <w:szCs w:val="26"/>
        </w:rPr>
        <w:t>have a substantial effect on the organization’s ability to speak as it chooses on matters of public concern.</w:t>
      </w:r>
      <w:r w:rsidR="002F640E" w:rsidRPr="005007CE">
        <w:rPr>
          <w:szCs w:val="26"/>
        </w:rPr>
        <w:t xml:space="preserve">  L</w:t>
      </w:r>
      <w:r w:rsidR="0061158E" w:rsidRPr="005007CE" w:rsidDel="00FD39F8">
        <w:rPr>
          <w:color w:val="222222"/>
          <w:szCs w:val="26"/>
        </w:rPr>
        <w:t xml:space="preserve">awsuits directed at </w:t>
      </w:r>
      <w:r w:rsidR="005C3BB0" w:rsidRPr="005007CE">
        <w:rPr>
          <w:color w:val="222222"/>
          <w:szCs w:val="26"/>
        </w:rPr>
        <w:t xml:space="preserve">influencing </w:t>
      </w:r>
      <w:r w:rsidR="0061158E" w:rsidRPr="005007CE" w:rsidDel="00FD39F8">
        <w:rPr>
          <w:color w:val="222222"/>
          <w:szCs w:val="26"/>
        </w:rPr>
        <w:t xml:space="preserve">the </w:t>
      </w:r>
      <w:r w:rsidR="005C3BB0" w:rsidRPr="005007CE">
        <w:rPr>
          <w:color w:val="222222"/>
          <w:szCs w:val="26"/>
        </w:rPr>
        <w:t xml:space="preserve">selection of individuals who wield that type of ultimate authority </w:t>
      </w:r>
      <w:r w:rsidR="002F640E" w:rsidRPr="005007CE">
        <w:rPr>
          <w:color w:val="222222"/>
          <w:szCs w:val="26"/>
        </w:rPr>
        <w:t xml:space="preserve">could chill </w:t>
      </w:r>
      <w:r w:rsidR="0061158E" w:rsidRPr="005007CE" w:rsidDel="00FD39F8">
        <w:rPr>
          <w:color w:val="222222"/>
          <w:szCs w:val="26"/>
        </w:rPr>
        <w:t>participation in the discussion of public issues</w:t>
      </w:r>
      <w:r w:rsidR="006772D8" w:rsidRPr="005007CE">
        <w:rPr>
          <w:color w:val="222222"/>
          <w:szCs w:val="26"/>
        </w:rPr>
        <w:t xml:space="preserve">, </w:t>
      </w:r>
      <w:r w:rsidR="0061158E" w:rsidRPr="005007CE" w:rsidDel="00FD39F8">
        <w:rPr>
          <w:color w:val="222222"/>
          <w:szCs w:val="26"/>
        </w:rPr>
        <w:t>as surely as suits targeting the act of speaking itself.</w:t>
      </w:r>
      <w:r w:rsidR="002F640E" w:rsidRPr="005007CE">
        <w:rPr>
          <w:color w:val="222222"/>
          <w:szCs w:val="26"/>
        </w:rPr>
        <w:t xml:space="preserve">  But n</w:t>
      </w:r>
      <w:r w:rsidR="0061158E" w:rsidRPr="005007CE" w:rsidDel="00FD39F8">
        <w:rPr>
          <w:color w:val="222222"/>
          <w:szCs w:val="26"/>
        </w:rPr>
        <w:t>ot so with other employees in a newsroom</w:t>
      </w:r>
      <w:r w:rsidR="005C3BB0" w:rsidRPr="005007CE">
        <w:rPr>
          <w:color w:val="222222"/>
          <w:szCs w:val="26"/>
        </w:rPr>
        <w:t xml:space="preserve"> </w:t>
      </w:r>
      <w:r w:rsidR="0061158E" w:rsidRPr="005007CE" w:rsidDel="00FD39F8">
        <w:rPr>
          <w:color w:val="222222"/>
          <w:szCs w:val="26"/>
        </w:rPr>
        <w:t>who</w:t>
      </w:r>
      <w:r w:rsidR="002F640E" w:rsidRPr="005007CE">
        <w:rPr>
          <w:color w:val="222222"/>
          <w:szCs w:val="26"/>
        </w:rPr>
        <w:t xml:space="preserve"> </w:t>
      </w:r>
      <w:r w:rsidR="002937AF" w:rsidRPr="005007CE">
        <w:rPr>
          <w:color w:val="222222"/>
          <w:szCs w:val="26"/>
        </w:rPr>
        <w:t xml:space="preserve">may contribute to, but lack ultimate say over, their </w:t>
      </w:r>
      <w:r w:rsidR="005C3BB0" w:rsidRPr="005007CE">
        <w:rPr>
          <w:color w:val="222222"/>
          <w:szCs w:val="26"/>
        </w:rPr>
        <w:t>employer’s speech</w:t>
      </w:r>
      <w:r w:rsidR="0061158E" w:rsidRPr="005007CE" w:rsidDel="00FD39F8">
        <w:rPr>
          <w:color w:val="222222"/>
          <w:szCs w:val="26"/>
        </w:rPr>
        <w:t>.  (</w:t>
      </w:r>
      <w:r w:rsidR="003805BC" w:rsidRPr="005007CE">
        <w:rPr>
          <w:color w:val="222222"/>
          <w:szCs w:val="26"/>
        </w:rPr>
        <w:t>See</w:t>
      </w:r>
      <w:r w:rsidR="0061158E" w:rsidRPr="005007CE" w:rsidDel="00FD39F8">
        <w:rPr>
          <w:color w:val="222222"/>
          <w:szCs w:val="26"/>
        </w:rPr>
        <w:t xml:space="preserve"> </w:t>
      </w:r>
      <w:r w:rsidR="0061158E" w:rsidRPr="005007CE" w:rsidDel="00FD39F8">
        <w:rPr>
          <w:i/>
          <w:color w:val="222222"/>
          <w:szCs w:val="26"/>
        </w:rPr>
        <w:t>Manson v. Little Rock Newspapers, Inc.</w:t>
      </w:r>
      <w:r w:rsidR="0061158E" w:rsidRPr="005007CE" w:rsidDel="00FD39F8">
        <w:rPr>
          <w:color w:val="222222"/>
          <w:szCs w:val="26"/>
        </w:rPr>
        <w:t xml:space="preserve"> (E.D.Ark. 1999) 42 F.Supp.2d 856, 865 [“A reporter has no free-standing First Amendment right to have her article</w:t>
      </w:r>
      <w:r w:rsidR="002369AB">
        <w:rPr>
          <w:color w:val="222222"/>
          <w:szCs w:val="26"/>
        </w:rPr>
        <w:t>s</w:t>
      </w:r>
      <w:r w:rsidR="0061158E" w:rsidRPr="005007CE" w:rsidDel="00FD39F8">
        <w:rPr>
          <w:color w:val="222222"/>
          <w:szCs w:val="26"/>
        </w:rPr>
        <w:t xml:space="preserve"> published by a privately-owned newspaper for which she works</w:t>
      </w:r>
      <w:r w:rsidR="00C628EE" w:rsidRPr="005007CE">
        <w:rPr>
          <w:color w:val="222222"/>
          <w:szCs w:val="26"/>
        </w:rPr>
        <w:t>.</w:t>
      </w:r>
      <w:r w:rsidR="0061158E" w:rsidRPr="005007CE" w:rsidDel="00FD39F8">
        <w:rPr>
          <w:color w:val="222222"/>
          <w:szCs w:val="26"/>
        </w:rPr>
        <w:t xml:space="preserve">”].)  </w:t>
      </w:r>
      <w:r w:rsidR="002937AF" w:rsidRPr="005007CE">
        <w:rPr>
          <w:color w:val="222222"/>
          <w:szCs w:val="26"/>
        </w:rPr>
        <w:t>S</w:t>
      </w:r>
      <w:r w:rsidR="0061158E" w:rsidRPr="005007CE" w:rsidDel="00FD39F8">
        <w:rPr>
          <w:color w:val="222222"/>
          <w:szCs w:val="26"/>
        </w:rPr>
        <w:t xml:space="preserve">uits over </w:t>
      </w:r>
      <w:r w:rsidR="00C645EB" w:rsidRPr="005007CE">
        <w:rPr>
          <w:color w:val="222222"/>
          <w:szCs w:val="26"/>
        </w:rPr>
        <w:t xml:space="preserve">the </w:t>
      </w:r>
      <w:r w:rsidR="0061158E" w:rsidRPr="005007CE" w:rsidDel="00FD39F8">
        <w:rPr>
          <w:color w:val="222222"/>
          <w:szCs w:val="26"/>
        </w:rPr>
        <w:t>hiring</w:t>
      </w:r>
      <w:r w:rsidR="006772D8" w:rsidRPr="005007CE">
        <w:rPr>
          <w:color w:val="222222"/>
          <w:szCs w:val="26"/>
        </w:rPr>
        <w:t xml:space="preserve"> </w:t>
      </w:r>
      <w:r w:rsidR="0061158E" w:rsidRPr="005007CE" w:rsidDel="00FD39F8">
        <w:rPr>
          <w:color w:val="222222"/>
          <w:szCs w:val="26"/>
        </w:rPr>
        <w:t xml:space="preserve">and firing </w:t>
      </w:r>
      <w:r w:rsidR="00C645EB" w:rsidRPr="005007CE">
        <w:rPr>
          <w:color w:val="222222"/>
          <w:szCs w:val="26"/>
        </w:rPr>
        <w:t>of such employees</w:t>
      </w:r>
      <w:r w:rsidR="00423384" w:rsidRPr="005007CE">
        <w:rPr>
          <w:color w:val="222222"/>
          <w:szCs w:val="26"/>
        </w:rPr>
        <w:t>—without more—</w:t>
      </w:r>
      <w:r w:rsidR="0061158E" w:rsidRPr="005007CE" w:rsidDel="00FD39F8">
        <w:rPr>
          <w:color w:val="222222"/>
          <w:szCs w:val="26"/>
        </w:rPr>
        <w:t>pose no comparable threat to the exercise of editorial discretion</w:t>
      </w:r>
      <w:r w:rsidR="006772D8" w:rsidRPr="005007CE">
        <w:rPr>
          <w:color w:val="222222"/>
          <w:szCs w:val="26"/>
        </w:rPr>
        <w:t>.</w:t>
      </w:r>
    </w:p>
    <w:p w14:paraId="592AA9B7" w14:textId="77777777" w:rsidR="00B9226C" w:rsidRPr="005007CE" w:rsidRDefault="00245A18" w:rsidP="00414F44">
      <w:pPr>
        <w:tabs>
          <w:tab w:val="left" w:pos="1440"/>
        </w:tabs>
        <w:ind w:firstLine="720"/>
        <w:rPr>
          <w:szCs w:val="26"/>
        </w:rPr>
      </w:pPr>
      <w:r w:rsidRPr="005007CE">
        <w:rPr>
          <w:color w:val="222222"/>
          <w:szCs w:val="26"/>
        </w:rPr>
        <w:t xml:space="preserve">As the movant, CNN has the burden of showing Wilson’s role bore such a relationship to its exercise of editorial control as to warrant protection under the anti-SLAPP statute.  </w:t>
      </w:r>
      <w:r w:rsidR="002F640E" w:rsidRPr="005007CE">
        <w:rPr>
          <w:color w:val="222222"/>
          <w:szCs w:val="26"/>
        </w:rPr>
        <w:t xml:space="preserve">CNN has failed to make that showing.  </w:t>
      </w:r>
      <w:r w:rsidRPr="005007CE">
        <w:rPr>
          <w:color w:val="222222"/>
          <w:szCs w:val="26"/>
        </w:rPr>
        <w:t>CNN does not contend that as a field producer Wilson had authority to decide what CNN would air.  Instead, CNN relies solely on Wilson’s part-time role as a writer for its website</w:t>
      </w:r>
      <w:r w:rsidR="00747E64" w:rsidRPr="005007CE">
        <w:rPr>
          <w:color w:val="222222"/>
          <w:szCs w:val="26"/>
        </w:rPr>
        <w:t>, a comparatively minor part of his duties</w:t>
      </w:r>
      <w:r w:rsidRPr="005007CE">
        <w:rPr>
          <w:color w:val="222222"/>
          <w:szCs w:val="26"/>
        </w:rPr>
        <w:t xml:space="preserve">.  But CNN does not demonstrate </w:t>
      </w:r>
      <w:r w:rsidR="00ED598A">
        <w:rPr>
          <w:color w:val="222222"/>
          <w:szCs w:val="26"/>
        </w:rPr>
        <w:t xml:space="preserve">that </w:t>
      </w:r>
      <w:r w:rsidRPr="005007CE">
        <w:rPr>
          <w:color w:val="222222"/>
          <w:szCs w:val="26"/>
        </w:rPr>
        <w:t xml:space="preserve">Wilson, in his capacity as a writer, had authority to determine what would appear on CNN’s </w:t>
      </w:r>
      <w:r w:rsidRPr="005007CE">
        <w:rPr>
          <w:color w:val="222222"/>
          <w:szCs w:val="26"/>
        </w:rPr>
        <w:lastRenderedPageBreak/>
        <w:t xml:space="preserve">website.  Indeed, the facts of this case demonstrate the contrary.  Wilson’s work was vetted and reviewed by others who did have editorial power, and who decided whether his work should—or in the case of the Baca story, should not—be published by CNN.  </w:t>
      </w:r>
      <w:r w:rsidR="00412CB4" w:rsidRPr="005007CE">
        <w:rPr>
          <w:color w:val="222222"/>
          <w:szCs w:val="26"/>
        </w:rPr>
        <w:t xml:space="preserve">As far </w:t>
      </w:r>
      <w:r w:rsidRPr="005007CE">
        <w:rPr>
          <w:color w:val="222222"/>
          <w:szCs w:val="26"/>
        </w:rPr>
        <w:t>as the record shows, Wilson was one of countless employees whose work contributes to what a large news organization like CNN says about the issues of the day, but was not among those who appear on-air to speak for the organization or exercise authority behind the scenes to determine CNN’s message.</w:t>
      </w:r>
      <w:r w:rsidR="002F3C44" w:rsidRPr="005007CE">
        <w:rPr>
          <w:color w:val="222222"/>
          <w:szCs w:val="26"/>
        </w:rPr>
        <w:t xml:space="preserve">  </w:t>
      </w:r>
      <w:r w:rsidR="002F3C44" w:rsidRPr="005007CE">
        <w:rPr>
          <w:szCs w:val="26"/>
        </w:rPr>
        <w:t xml:space="preserve">CNN’s </w:t>
      </w:r>
      <w:r w:rsidR="00C645EB" w:rsidRPr="005007CE">
        <w:rPr>
          <w:szCs w:val="26"/>
        </w:rPr>
        <w:t>decision</w:t>
      </w:r>
      <w:r w:rsidR="00747E64" w:rsidRPr="005007CE">
        <w:rPr>
          <w:szCs w:val="26"/>
        </w:rPr>
        <w:t>s concerning which assignments to give Wilson and</w:t>
      </w:r>
      <w:r w:rsidR="00C645EB" w:rsidRPr="005007CE">
        <w:rPr>
          <w:szCs w:val="26"/>
        </w:rPr>
        <w:t xml:space="preserve"> </w:t>
      </w:r>
      <w:r w:rsidR="004F626A" w:rsidRPr="005007CE">
        <w:rPr>
          <w:szCs w:val="26"/>
        </w:rPr>
        <w:t xml:space="preserve">whether to </w:t>
      </w:r>
      <w:r w:rsidR="002F3C44" w:rsidRPr="005007CE">
        <w:rPr>
          <w:szCs w:val="26"/>
        </w:rPr>
        <w:t xml:space="preserve">continue </w:t>
      </w:r>
      <w:r w:rsidR="004F626A" w:rsidRPr="005007CE">
        <w:rPr>
          <w:szCs w:val="26"/>
        </w:rPr>
        <w:t>employ</w:t>
      </w:r>
      <w:r w:rsidR="002F3C44" w:rsidRPr="005007CE">
        <w:rPr>
          <w:szCs w:val="26"/>
        </w:rPr>
        <w:t>ing</w:t>
      </w:r>
      <w:r w:rsidR="004F626A" w:rsidRPr="005007CE">
        <w:rPr>
          <w:szCs w:val="26"/>
        </w:rPr>
        <w:t xml:space="preserve"> </w:t>
      </w:r>
      <w:r w:rsidR="00747E64" w:rsidRPr="005007CE">
        <w:rPr>
          <w:szCs w:val="26"/>
        </w:rPr>
        <w:t>him</w:t>
      </w:r>
      <w:r w:rsidR="00B9226C" w:rsidRPr="005007CE">
        <w:rPr>
          <w:szCs w:val="26"/>
        </w:rPr>
        <w:t xml:space="preserve">, without more, </w:t>
      </w:r>
      <w:r w:rsidR="007909BB" w:rsidRPr="005007CE">
        <w:rPr>
          <w:szCs w:val="26"/>
        </w:rPr>
        <w:t xml:space="preserve">had no substantial </w:t>
      </w:r>
      <w:r w:rsidR="00617768" w:rsidRPr="005007CE">
        <w:rPr>
          <w:szCs w:val="26"/>
        </w:rPr>
        <w:t xml:space="preserve">relationship to </w:t>
      </w:r>
      <w:r w:rsidR="007909BB" w:rsidRPr="005007CE">
        <w:rPr>
          <w:szCs w:val="26"/>
        </w:rPr>
        <w:t>CNN’s ability to speak on matters of public concern</w:t>
      </w:r>
      <w:r w:rsidR="004F626A" w:rsidRPr="005007CE">
        <w:rPr>
          <w:szCs w:val="26"/>
        </w:rPr>
        <w:t>.</w:t>
      </w:r>
      <w:r w:rsidR="00C645EB" w:rsidRPr="005007CE">
        <w:rPr>
          <w:szCs w:val="26"/>
        </w:rPr>
        <w:t xml:space="preserve">  It follows that a claim based on </w:t>
      </w:r>
      <w:r w:rsidR="00B13841" w:rsidRPr="005007CE">
        <w:rPr>
          <w:szCs w:val="26"/>
        </w:rPr>
        <w:t xml:space="preserve">these </w:t>
      </w:r>
      <w:r w:rsidR="00C645EB" w:rsidRPr="005007CE">
        <w:rPr>
          <w:szCs w:val="26"/>
        </w:rPr>
        <w:t>decision</w:t>
      </w:r>
      <w:r w:rsidR="00B13841" w:rsidRPr="005007CE">
        <w:rPr>
          <w:szCs w:val="26"/>
        </w:rPr>
        <w:t>s</w:t>
      </w:r>
      <w:r w:rsidR="00C645EB" w:rsidRPr="005007CE">
        <w:rPr>
          <w:szCs w:val="26"/>
        </w:rPr>
        <w:t>, without more, falls outside the reach of the anti-SLAPP statute.</w:t>
      </w:r>
    </w:p>
    <w:p w14:paraId="54BDBF1A" w14:textId="77777777" w:rsidR="00D119C2" w:rsidRPr="005007CE" w:rsidRDefault="00D119C2" w:rsidP="00443D0F">
      <w:pPr>
        <w:tabs>
          <w:tab w:val="left" w:pos="1440"/>
        </w:tabs>
        <w:jc w:val="center"/>
        <w:rPr>
          <w:b/>
          <w:szCs w:val="26"/>
        </w:rPr>
      </w:pPr>
      <w:r w:rsidRPr="005007CE">
        <w:rPr>
          <w:b/>
          <w:szCs w:val="26"/>
        </w:rPr>
        <w:t>2.</w:t>
      </w:r>
    </w:p>
    <w:p w14:paraId="0E591852" w14:textId="77777777" w:rsidR="00C645EB" w:rsidRPr="005007CE" w:rsidRDefault="00F20237" w:rsidP="00414F44">
      <w:pPr>
        <w:tabs>
          <w:tab w:val="left" w:pos="1440"/>
        </w:tabs>
        <w:ind w:firstLine="720"/>
      </w:pPr>
      <w:r w:rsidRPr="005007CE">
        <w:t xml:space="preserve">CNN’s </w:t>
      </w:r>
      <w:r w:rsidR="001F11F4" w:rsidRPr="005007CE">
        <w:t>second, and narrower, argument</w:t>
      </w:r>
      <w:r w:rsidR="00157D65" w:rsidRPr="005007CE">
        <w:t xml:space="preserve"> focuses on </w:t>
      </w:r>
      <w:r w:rsidRPr="005007CE">
        <w:t xml:space="preserve">its specific </w:t>
      </w:r>
      <w:r w:rsidR="00157D65" w:rsidRPr="005007CE">
        <w:t>asserted reason for terminating Wilson</w:t>
      </w:r>
      <w:r w:rsidR="00CE008A" w:rsidRPr="005007CE">
        <w:t>—his alleged plagiarism—</w:t>
      </w:r>
      <w:r w:rsidRPr="005007CE">
        <w:t xml:space="preserve">rather than </w:t>
      </w:r>
      <w:r w:rsidR="00A15F9A" w:rsidRPr="005007CE">
        <w:t xml:space="preserve">his </w:t>
      </w:r>
      <w:r w:rsidRPr="005007CE">
        <w:t xml:space="preserve">general </w:t>
      </w:r>
      <w:r w:rsidR="00A15F9A" w:rsidRPr="005007CE">
        <w:t>role as a content producer</w:t>
      </w:r>
      <w:r w:rsidR="00157D65" w:rsidRPr="005007CE">
        <w:t xml:space="preserve">.  </w:t>
      </w:r>
      <w:r w:rsidR="002A02B8" w:rsidRPr="005007CE">
        <w:t xml:space="preserve">In support of its motion, CNN submitted numerous declarations attesting that it became aware of possible plagiarism by Wilson, investigated the possibility, and elected to terminate Wilson based on its findings.  </w:t>
      </w:r>
      <w:r w:rsidR="00213561" w:rsidRPr="005007CE">
        <w:t>CNN’s declarations also detail CNN’s prohibition against plagiarism, its policy of sanctioning employees who engage in plagiarism, and the editorial controls CNN ha</w:t>
      </w:r>
      <w:r w:rsidR="00C24A5B" w:rsidRPr="005007CE">
        <w:t>s</w:t>
      </w:r>
      <w:r w:rsidR="00213561" w:rsidRPr="005007CE">
        <w:t xml:space="preserve"> in place to ensure plagiarism w</w:t>
      </w:r>
      <w:r w:rsidR="00C24A5B" w:rsidRPr="005007CE">
        <w:t>ill</w:t>
      </w:r>
      <w:r w:rsidR="00213561" w:rsidRPr="005007CE">
        <w:t xml:space="preserve"> not occur.</w:t>
      </w:r>
    </w:p>
    <w:p w14:paraId="0B06CD65" w14:textId="77777777" w:rsidR="00213561" w:rsidRPr="005007CE" w:rsidRDefault="00747047" w:rsidP="00414F44">
      <w:pPr>
        <w:tabs>
          <w:tab w:val="left" w:pos="1440"/>
        </w:tabs>
        <w:ind w:firstLine="720"/>
      </w:pPr>
      <w:r w:rsidRPr="005007CE">
        <w:t>Wilson acknowledge</w:t>
      </w:r>
      <w:r w:rsidR="00600FE2" w:rsidRPr="005007CE">
        <w:t>s</w:t>
      </w:r>
      <w:r w:rsidRPr="005007CE">
        <w:t xml:space="preserve"> his termination followed an investigation into plagiarism, though </w:t>
      </w:r>
      <w:r w:rsidR="00600FE2" w:rsidRPr="005007CE">
        <w:t xml:space="preserve">he </w:t>
      </w:r>
      <w:r w:rsidRPr="005007CE">
        <w:t>dispute</w:t>
      </w:r>
      <w:r w:rsidR="00600FE2" w:rsidRPr="005007CE">
        <w:t>s CNN’s conclusions and claims the plagiarism rationale was pretextual</w:t>
      </w:r>
      <w:r w:rsidRPr="005007CE">
        <w:t xml:space="preserve">.  </w:t>
      </w:r>
      <w:r w:rsidR="0069129D" w:rsidRPr="005007CE">
        <w:t xml:space="preserve">We need not, however, determine whether Wilson plagiarized, </w:t>
      </w:r>
      <w:r w:rsidR="0069129D" w:rsidRPr="005007CE">
        <w:lastRenderedPageBreak/>
        <w:t xml:space="preserve">or whether any plagiarism was a true motive for his termination.  </w:t>
      </w:r>
      <w:r w:rsidR="0046297C" w:rsidRPr="005007CE">
        <w:t>T</w:t>
      </w:r>
      <w:r w:rsidR="0069129D" w:rsidRPr="005007CE">
        <w:t xml:space="preserve">he question is only whether CNN has </w:t>
      </w:r>
      <w:r w:rsidR="004527BC" w:rsidRPr="005007CE">
        <w:t xml:space="preserve">made out </w:t>
      </w:r>
      <w:r w:rsidR="0069129D" w:rsidRPr="005007CE">
        <w:t xml:space="preserve">a prima facie </w:t>
      </w:r>
      <w:r w:rsidR="007343A2" w:rsidRPr="005007CE">
        <w:t>case</w:t>
      </w:r>
      <w:r w:rsidR="0069129D" w:rsidRPr="005007CE">
        <w:t xml:space="preserve"> that activity underlying Wilson’s claims is protected.  (</w:t>
      </w:r>
      <w:r w:rsidR="0069129D" w:rsidRPr="005007CE">
        <w:rPr>
          <w:i/>
        </w:rPr>
        <w:t>City of Montebello v. Vasquez</w:t>
      </w:r>
      <w:r w:rsidR="007343A2" w:rsidRPr="005007CE">
        <w:t>,</w:t>
      </w:r>
      <w:r w:rsidR="007343A2" w:rsidRPr="005007CE">
        <w:rPr>
          <w:i/>
        </w:rPr>
        <w:t xml:space="preserve"> supra</w:t>
      </w:r>
      <w:r w:rsidR="007343A2" w:rsidRPr="005007CE">
        <w:t xml:space="preserve">, </w:t>
      </w:r>
      <w:r w:rsidR="0069129D" w:rsidRPr="005007CE">
        <w:t xml:space="preserve">1 Cal.5th </w:t>
      </w:r>
      <w:r w:rsidR="007343A2" w:rsidRPr="005007CE">
        <w:t xml:space="preserve">at p. 420; </w:t>
      </w:r>
      <w:r w:rsidR="007343A2" w:rsidRPr="005007CE">
        <w:rPr>
          <w:i/>
          <w:color w:val="000000" w:themeColor="text1"/>
          <w:szCs w:val="26"/>
        </w:rPr>
        <w:t>Simpson Strong-Tie Co., Inc. v. Gore</w:t>
      </w:r>
      <w:r w:rsidR="007343A2" w:rsidRPr="005007CE">
        <w:rPr>
          <w:color w:val="000000" w:themeColor="text1"/>
          <w:szCs w:val="26"/>
        </w:rPr>
        <w:t xml:space="preserve">, </w:t>
      </w:r>
      <w:r w:rsidR="007343A2" w:rsidRPr="005007CE">
        <w:rPr>
          <w:i/>
          <w:color w:val="000000" w:themeColor="text1"/>
          <w:szCs w:val="26"/>
        </w:rPr>
        <w:t>supra</w:t>
      </w:r>
      <w:r w:rsidR="007343A2" w:rsidRPr="005007CE">
        <w:rPr>
          <w:color w:val="000000" w:themeColor="text1"/>
          <w:szCs w:val="26"/>
        </w:rPr>
        <w:t>, 49 Cal.4th at p. 21</w:t>
      </w:r>
      <w:r w:rsidR="007343A2" w:rsidRPr="005007CE">
        <w:t>.)</w:t>
      </w:r>
    </w:p>
    <w:p w14:paraId="1F0259BC" w14:textId="28CEC5B6" w:rsidR="00C54865" w:rsidRPr="005007CE" w:rsidRDefault="00CB2877" w:rsidP="00414F44">
      <w:pPr>
        <w:tabs>
          <w:tab w:val="left" w:pos="1440"/>
        </w:tabs>
        <w:ind w:firstLine="720"/>
        <w:rPr>
          <w:color w:val="222222"/>
          <w:szCs w:val="26"/>
        </w:rPr>
      </w:pPr>
      <w:r w:rsidRPr="005007CE">
        <w:t>CNN’</w:t>
      </w:r>
      <w:r w:rsidR="00BF2E4D" w:rsidRPr="005007CE">
        <w:t xml:space="preserve">s plagiarism rationale for terminating Wilson </w:t>
      </w:r>
      <w:r w:rsidR="007260F1" w:rsidRPr="005007CE">
        <w:t>e</w:t>
      </w:r>
      <w:r w:rsidR="00423384" w:rsidRPr="005007CE">
        <w:t xml:space="preserve">vokes a line of cases </w:t>
      </w:r>
      <w:r w:rsidR="00F671CB" w:rsidRPr="005007CE">
        <w:t xml:space="preserve">concerning </w:t>
      </w:r>
      <w:r w:rsidR="00AD1C5A" w:rsidRPr="005007CE">
        <w:t xml:space="preserve">the right of news organizations to </w:t>
      </w:r>
      <w:r w:rsidR="005560C0" w:rsidRPr="005007CE">
        <w:t xml:space="preserve">maintain </w:t>
      </w:r>
      <w:r w:rsidR="00407A33" w:rsidRPr="005007CE">
        <w:t>and enforce s</w:t>
      </w:r>
      <w:r w:rsidR="005560C0" w:rsidRPr="005007CE">
        <w:t xml:space="preserve">tandards </w:t>
      </w:r>
      <w:r w:rsidR="00407A33" w:rsidRPr="005007CE">
        <w:t>of journalistic ethics</w:t>
      </w:r>
      <w:r w:rsidR="00A1660A" w:rsidRPr="005007CE">
        <w:t xml:space="preserve">.  </w:t>
      </w:r>
      <w:r w:rsidR="00D85845" w:rsidRPr="005007CE">
        <w:t xml:space="preserve">In </w:t>
      </w:r>
      <w:r w:rsidR="00D85845" w:rsidRPr="005007CE">
        <w:rPr>
          <w:i/>
          <w:color w:val="222222"/>
          <w:szCs w:val="26"/>
        </w:rPr>
        <w:t>Newspaper Guild</w:t>
      </w:r>
      <w:r w:rsidR="000018CB" w:rsidRPr="005007CE">
        <w:rPr>
          <w:i/>
          <w:color w:val="222222"/>
          <w:szCs w:val="26"/>
        </w:rPr>
        <w:t xml:space="preserve">, </w:t>
      </w:r>
      <w:r w:rsidR="003D71AA" w:rsidRPr="005007CE">
        <w:rPr>
          <w:i/>
          <w:color w:val="222222"/>
          <w:szCs w:val="26"/>
        </w:rPr>
        <w:t>e</w:t>
      </w:r>
      <w:r w:rsidR="000018CB" w:rsidRPr="005007CE">
        <w:rPr>
          <w:i/>
          <w:color w:val="222222"/>
          <w:szCs w:val="26"/>
        </w:rPr>
        <w:t>tc.</w:t>
      </w:r>
      <w:r w:rsidR="00D85845" w:rsidRPr="005007CE">
        <w:rPr>
          <w:i/>
          <w:color w:val="222222"/>
          <w:szCs w:val="26"/>
        </w:rPr>
        <w:t xml:space="preserve"> v. N.L.R.B.</w:t>
      </w:r>
      <w:r w:rsidR="00D85845" w:rsidRPr="005007CE">
        <w:rPr>
          <w:color w:val="222222"/>
          <w:szCs w:val="26"/>
        </w:rPr>
        <w:t xml:space="preserve"> (D.C. Cir. 1980) 636 F.2d 550</w:t>
      </w:r>
      <w:r w:rsidR="00211690" w:rsidRPr="005007CE">
        <w:rPr>
          <w:color w:val="222222"/>
          <w:szCs w:val="26"/>
        </w:rPr>
        <w:t xml:space="preserve"> (</w:t>
      </w:r>
      <w:r w:rsidR="00211690" w:rsidRPr="005007CE">
        <w:rPr>
          <w:i/>
          <w:color w:val="222222"/>
          <w:szCs w:val="26"/>
        </w:rPr>
        <w:t>Newspaper Guild</w:t>
      </w:r>
      <w:r w:rsidR="00211690" w:rsidRPr="005007CE">
        <w:rPr>
          <w:color w:val="222222"/>
          <w:szCs w:val="26"/>
        </w:rPr>
        <w:t>)</w:t>
      </w:r>
      <w:r w:rsidR="00D85845" w:rsidRPr="005007CE">
        <w:rPr>
          <w:color w:val="222222"/>
          <w:szCs w:val="26"/>
        </w:rPr>
        <w:t xml:space="preserve">, the D.C. Circuit held </w:t>
      </w:r>
      <w:r w:rsidR="0001720E">
        <w:rPr>
          <w:color w:val="222222"/>
          <w:szCs w:val="26"/>
        </w:rPr>
        <w:t xml:space="preserve">that </w:t>
      </w:r>
      <w:r w:rsidR="00D85845" w:rsidRPr="005007CE">
        <w:rPr>
          <w:color w:val="222222"/>
          <w:szCs w:val="26"/>
        </w:rPr>
        <w:t xml:space="preserve">a newspaper’s code of ethics—unlike other terms of employment—is not the proper subject of mandatory collective bargaining.  It explained:  </w:t>
      </w:r>
      <w:r w:rsidR="00DE7D3E" w:rsidRPr="005007CE">
        <w:rPr>
          <w:color w:val="000000"/>
          <w:szCs w:val="26"/>
        </w:rPr>
        <w:t>“</w:t>
      </w:r>
      <w:r w:rsidR="000018CB" w:rsidRPr="005007CE">
        <w:rPr>
          <w:color w:val="000000"/>
          <w:szCs w:val="26"/>
        </w:rPr>
        <w:t>[</w:t>
      </w:r>
      <w:r w:rsidR="00DE7D3E" w:rsidRPr="005007CE">
        <w:rPr>
          <w:color w:val="000000"/>
          <w:szCs w:val="26"/>
        </w:rPr>
        <w:t>P</w:t>
      </w:r>
      <w:r w:rsidR="000018CB" w:rsidRPr="005007CE">
        <w:rPr>
          <w:color w:val="000000"/>
          <w:szCs w:val="26"/>
        </w:rPr>
        <w:t>]</w:t>
      </w:r>
      <w:r w:rsidR="00B1569A" w:rsidRPr="005007CE">
        <w:rPr>
          <w:color w:val="000000"/>
          <w:szCs w:val="26"/>
        </w:rPr>
        <w:t xml:space="preserve">rotection </w:t>
      </w:r>
      <w:r w:rsidR="00B1569A" w:rsidRPr="005007CE">
        <w:rPr>
          <w:color w:val="222222"/>
          <w:szCs w:val="26"/>
        </w:rPr>
        <w:t>of the editorial integrity of a newspaper lies at the core of publishing control.  In a very real sense, that characteristic is to a newspaper or magazine what machinery is to a manufacturer.  At least with respect to most news publications, credibility is central to their ultimate product and to the conduct of the enterprise.</w:t>
      </w:r>
      <w:r w:rsidR="005733AE" w:rsidRPr="005007CE">
        <w:rPr>
          <w:color w:val="222222"/>
          <w:szCs w:val="26"/>
        </w:rPr>
        <w:t> </w:t>
      </w:r>
      <w:r w:rsidR="00ED3B3D" w:rsidRPr="005007CE">
        <w:rPr>
          <w:color w:val="222222"/>
          <w:szCs w:val="26"/>
        </w:rPr>
        <w:t>.</w:t>
      </w:r>
      <w:r w:rsidR="005733AE" w:rsidRPr="005007CE">
        <w:rPr>
          <w:color w:val="222222"/>
          <w:szCs w:val="26"/>
        </w:rPr>
        <w:t> </w:t>
      </w:r>
      <w:r w:rsidR="00ED3B3D" w:rsidRPr="005007CE">
        <w:rPr>
          <w:color w:val="222222"/>
          <w:szCs w:val="26"/>
        </w:rPr>
        <w:t>.</w:t>
      </w:r>
      <w:r w:rsidR="005733AE" w:rsidRPr="005007CE">
        <w:rPr>
          <w:color w:val="222222"/>
          <w:szCs w:val="26"/>
        </w:rPr>
        <w:t> </w:t>
      </w:r>
      <w:r w:rsidR="00ED3B3D" w:rsidRPr="005007CE">
        <w:rPr>
          <w:color w:val="222222"/>
          <w:szCs w:val="26"/>
        </w:rPr>
        <w:t>.</w:t>
      </w:r>
      <w:r w:rsidR="00B1569A" w:rsidRPr="005007CE">
        <w:rPr>
          <w:color w:val="222222"/>
          <w:szCs w:val="26"/>
        </w:rPr>
        <w:t xml:space="preserve">  [¶]  </w:t>
      </w:r>
      <w:r w:rsidR="002369AB">
        <w:rPr>
          <w:color w:val="222222"/>
          <w:szCs w:val="26"/>
        </w:rPr>
        <w:t xml:space="preserve">. . . </w:t>
      </w:r>
      <w:r w:rsidR="00ED3B3D" w:rsidRPr="005007CE">
        <w:rPr>
          <w:color w:val="222222"/>
          <w:szCs w:val="26"/>
        </w:rPr>
        <w:t xml:space="preserve">[A] </w:t>
      </w:r>
      <w:r w:rsidR="00B1569A" w:rsidRPr="005007CE">
        <w:rPr>
          <w:color w:val="222222"/>
          <w:szCs w:val="26"/>
        </w:rPr>
        <w:t>news publication must be free to establish</w:t>
      </w:r>
      <w:r w:rsidR="00A45549" w:rsidRPr="005007CE">
        <w:rPr>
          <w:color w:val="222222"/>
          <w:szCs w:val="26"/>
        </w:rPr>
        <w:t>[,] without interference, reasonable rules designed to prevent its employees from engaging in activities which may directly compromise their standing as responsible journalists and that of the publication for which they work as a medium of integrity.</w:t>
      </w:r>
      <w:r w:rsidR="00B1569A" w:rsidRPr="005007CE">
        <w:rPr>
          <w:color w:val="222222"/>
          <w:szCs w:val="26"/>
        </w:rPr>
        <w:t>”</w:t>
      </w:r>
      <w:r w:rsidR="000A3A6B" w:rsidRPr="005007CE">
        <w:rPr>
          <w:color w:val="222222"/>
          <w:szCs w:val="26"/>
        </w:rPr>
        <w:t xml:space="preserve">  (</w:t>
      </w:r>
      <w:r w:rsidR="000A3A6B" w:rsidRPr="005007CE">
        <w:rPr>
          <w:i/>
          <w:color w:val="222222"/>
          <w:szCs w:val="26"/>
        </w:rPr>
        <w:t>Id.</w:t>
      </w:r>
      <w:r w:rsidR="000A3A6B" w:rsidRPr="005007CE">
        <w:rPr>
          <w:color w:val="222222"/>
          <w:szCs w:val="26"/>
        </w:rPr>
        <w:t xml:space="preserve"> at pp. 560–561</w:t>
      </w:r>
      <w:r w:rsidR="000018CB" w:rsidRPr="005007CE">
        <w:rPr>
          <w:color w:val="222222"/>
          <w:szCs w:val="26"/>
        </w:rPr>
        <w:t>, fns. omitted</w:t>
      </w:r>
      <w:r w:rsidR="000A3A6B" w:rsidRPr="005007CE">
        <w:rPr>
          <w:color w:val="222222"/>
          <w:szCs w:val="26"/>
        </w:rPr>
        <w:t>.)</w:t>
      </w:r>
      <w:r w:rsidR="00D85845" w:rsidRPr="005007CE">
        <w:rPr>
          <w:color w:val="222222"/>
          <w:szCs w:val="26"/>
        </w:rPr>
        <w:t xml:space="preserve">  </w:t>
      </w:r>
      <w:r w:rsidR="00C54865" w:rsidRPr="005007CE">
        <w:rPr>
          <w:color w:val="222222"/>
          <w:szCs w:val="26"/>
        </w:rPr>
        <w:t>T</w:t>
      </w:r>
      <w:r w:rsidR="00D85845" w:rsidRPr="005007CE">
        <w:rPr>
          <w:color w:val="222222"/>
          <w:szCs w:val="26"/>
        </w:rPr>
        <w:t xml:space="preserve">he Washington Supreme Court </w:t>
      </w:r>
      <w:r w:rsidR="00C54865" w:rsidRPr="005007CE">
        <w:rPr>
          <w:color w:val="222222"/>
          <w:szCs w:val="26"/>
        </w:rPr>
        <w:t xml:space="preserve">would later draw on this reasoning to </w:t>
      </w:r>
      <w:r w:rsidR="00D85845" w:rsidRPr="005007CE">
        <w:rPr>
          <w:color w:val="222222"/>
          <w:szCs w:val="26"/>
        </w:rPr>
        <w:t>invalidat</w:t>
      </w:r>
      <w:r w:rsidR="00C54865" w:rsidRPr="005007CE">
        <w:rPr>
          <w:color w:val="222222"/>
          <w:szCs w:val="26"/>
        </w:rPr>
        <w:t>e</w:t>
      </w:r>
      <w:r w:rsidR="00D85845" w:rsidRPr="005007CE">
        <w:rPr>
          <w:color w:val="222222"/>
          <w:szCs w:val="26"/>
        </w:rPr>
        <w:t xml:space="preserve"> the state’s political participation law as applied to </w:t>
      </w:r>
      <w:r w:rsidR="00DE7D3E" w:rsidRPr="005007CE">
        <w:rPr>
          <w:color w:val="222222"/>
          <w:szCs w:val="26"/>
        </w:rPr>
        <w:t>a newspaper that had adopted rule</w:t>
      </w:r>
      <w:r w:rsidR="003342F1" w:rsidRPr="005007CE">
        <w:rPr>
          <w:color w:val="222222"/>
          <w:szCs w:val="26"/>
        </w:rPr>
        <w:t>s</w:t>
      </w:r>
      <w:r w:rsidR="00DE7D3E" w:rsidRPr="005007CE">
        <w:rPr>
          <w:color w:val="222222"/>
          <w:szCs w:val="26"/>
        </w:rPr>
        <w:t xml:space="preserve"> against employees’ political activism</w:t>
      </w:r>
      <w:r w:rsidR="00A45549" w:rsidRPr="005007CE">
        <w:rPr>
          <w:color w:val="222222"/>
          <w:szCs w:val="26"/>
        </w:rPr>
        <w:t xml:space="preserve">.  </w:t>
      </w:r>
      <w:r w:rsidR="00D85845" w:rsidRPr="005007CE">
        <w:rPr>
          <w:color w:val="222222"/>
          <w:szCs w:val="26"/>
        </w:rPr>
        <w:t>(</w:t>
      </w:r>
      <w:r w:rsidR="00D85845" w:rsidRPr="005007CE">
        <w:rPr>
          <w:i/>
          <w:color w:val="222222"/>
          <w:szCs w:val="26"/>
        </w:rPr>
        <w:t>Nelson v. McClatchy Newspapers</w:t>
      </w:r>
      <w:r w:rsidR="00D85845" w:rsidRPr="005007CE">
        <w:rPr>
          <w:color w:val="222222"/>
          <w:szCs w:val="26"/>
        </w:rPr>
        <w:t xml:space="preserve">, </w:t>
      </w:r>
      <w:r w:rsidR="00D85845" w:rsidRPr="005007CE">
        <w:rPr>
          <w:i/>
          <w:color w:val="222222"/>
          <w:szCs w:val="26"/>
        </w:rPr>
        <w:t>supra</w:t>
      </w:r>
      <w:r w:rsidR="00D85845" w:rsidRPr="005007CE">
        <w:rPr>
          <w:color w:val="222222"/>
          <w:szCs w:val="26"/>
        </w:rPr>
        <w:t>, 936 P.2d at pp. 1131–1132.)</w:t>
      </w:r>
      <w:r w:rsidR="00AD01CF" w:rsidRPr="005007CE">
        <w:rPr>
          <w:color w:val="222222"/>
          <w:szCs w:val="26"/>
        </w:rPr>
        <w:t xml:space="preserve">  </w:t>
      </w:r>
      <w:r w:rsidR="00C54865" w:rsidRPr="005007CE">
        <w:rPr>
          <w:color w:val="222222"/>
          <w:szCs w:val="26"/>
        </w:rPr>
        <w:t xml:space="preserve">“Editorial integrity and credibility,” it held, “are core objectives of editorial </w:t>
      </w:r>
      <w:r w:rsidR="00C54865" w:rsidRPr="005007CE">
        <w:rPr>
          <w:color w:val="222222"/>
          <w:szCs w:val="26"/>
        </w:rPr>
        <w:lastRenderedPageBreak/>
        <w:t>control and thus merit protection under the free press clauses.”  (</w:t>
      </w:r>
      <w:r w:rsidR="00C54865" w:rsidRPr="005007CE">
        <w:rPr>
          <w:i/>
          <w:color w:val="222222"/>
          <w:szCs w:val="26"/>
        </w:rPr>
        <w:t>Id.</w:t>
      </w:r>
      <w:r w:rsidR="00C54865" w:rsidRPr="005007CE">
        <w:rPr>
          <w:color w:val="222222"/>
          <w:szCs w:val="26"/>
        </w:rPr>
        <w:t xml:space="preserve"> at p. 1131.)</w:t>
      </w:r>
    </w:p>
    <w:p w14:paraId="3839440F" w14:textId="1355568E" w:rsidR="00C22D0B" w:rsidRPr="005007CE" w:rsidRDefault="002A00C3" w:rsidP="00414F44">
      <w:pPr>
        <w:tabs>
          <w:tab w:val="left" w:pos="1440"/>
        </w:tabs>
        <w:ind w:firstLine="720"/>
      </w:pPr>
      <w:r w:rsidRPr="005007CE">
        <w:t>We need not precisely delineate the reach of</w:t>
      </w:r>
      <w:r w:rsidR="00610986" w:rsidRPr="005007CE">
        <w:t xml:space="preserve"> the relevant constitutional principles here</w:t>
      </w:r>
      <w:r w:rsidR="00777357" w:rsidRPr="005007CE">
        <w:t>.  (</w:t>
      </w:r>
      <w:r w:rsidR="00777357" w:rsidRPr="005007CE">
        <w:rPr>
          <w:i/>
        </w:rPr>
        <w:t>City of Montebello v. Vasquez</w:t>
      </w:r>
      <w:r w:rsidR="00777357" w:rsidRPr="005007CE">
        <w:t>,</w:t>
      </w:r>
      <w:r w:rsidR="00777357" w:rsidRPr="005007CE">
        <w:rPr>
          <w:i/>
        </w:rPr>
        <w:t xml:space="preserve"> supra</w:t>
      </w:r>
      <w:r w:rsidR="00777357" w:rsidRPr="005007CE">
        <w:t>, 1 Cal.5th at p</w:t>
      </w:r>
      <w:r w:rsidR="003342F1" w:rsidRPr="005007CE">
        <w:t>p</w:t>
      </w:r>
      <w:r w:rsidR="00777357" w:rsidRPr="005007CE">
        <w:t>. 421–</w:t>
      </w:r>
      <w:r w:rsidR="00610986" w:rsidRPr="005007CE">
        <w:t>422</w:t>
      </w:r>
      <w:r w:rsidR="00777357" w:rsidRPr="005007CE">
        <w:t>.)</w:t>
      </w:r>
      <w:r w:rsidR="00610986" w:rsidRPr="005007CE">
        <w:t xml:space="preserve">  The only question before us is whether, as CNN argues, </w:t>
      </w:r>
      <w:r w:rsidR="00C4571D">
        <w:t>it</w:t>
      </w:r>
      <w:r w:rsidR="00610986" w:rsidRPr="005007CE">
        <w:t xml:space="preserve">s decision to terminate </w:t>
      </w:r>
      <w:r w:rsidR="00C4571D">
        <w:t>Wilson</w:t>
      </w:r>
      <w:r w:rsidR="00AD01CF" w:rsidRPr="005007CE">
        <w:t xml:space="preserve"> for plagiarism</w:t>
      </w:r>
      <w:r w:rsidR="00610986" w:rsidRPr="005007CE">
        <w:t xml:space="preserve"> </w:t>
      </w:r>
      <w:r w:rsidR="00C4571D">
        <w:t>wa</w:t>
      </w:r>
      <w:r w:rsidR="00C4571D" w:rsidRPr="005007CE">
        <w:t xml:space="preserve">s </w:t>
      </w:r>
      <w:r w:rsidR="00AD01CF" w:rsidRPr="005007CE">
        <w:t xml:space="preserve">conduct </w:t>
      </w:r>
      <w:r w:rsidR="00610986" w:rsidRPr="005007CE">
        <w:t>“</w:t>
      </w:r>
      <w:r w:rsidR="00AD01CF" w:rsidRPr="005007CE">
        <w:t>in furtherance of</w:t>
      </w:r>
      <w:r w:rsidR="00610986" w:rsidRPr="005007CE">
        <w:t>” the organization’s speech rights within the meaning of section 425.16</w:t>
      </w:r>
      <w:r w:rsidR="000018CB" w:rsidRPr="005007CE">
        <w:t>, subdivisions (b)(1) and (e)</w:t>
      </w:r>
      <w:r w:rsidR="00610986" w:rsidRPr="005007CE">
        <w:t xml:space="preserve">.  </w:t>
      </w:r>
      <w:r w:rsidR="005E49EB" w:rsidRPr="005007CE">
        <w:t>We</w:t>
      </w:r>
      <w:r w:rsidR="00610986" w:rsidRPr="005007CE">
        <w:t xml:space="preserve"> conclude </w:t>
      </w:r>
      <w:r w:rsidR="00533623" w:rsidRPr="005007CE">
        <w:t xml:space="preserve">it </w:t>
      </w:r>
      <w:r w:rsidR="00C4571D">
        <w:t>wa</w:t>
      </w:r>
      <w:r w:rsidR="00533623" w:rsidRPr="005007CE">
        <w:t>s.</w:t>
      </w:r>
    </w:p>
    <w:p w14:paraId="07F4C739" w14:textId="71964791" w:rsidR="00764E39" w:rsidRPr="005007CE" w:rsidRDefault="00C22D0B" w:rsidP="00414F44">
      <w:pPr>
        <w:tabs>
          <w:tab w:val="left" w:pos="1440"/>
        </w:tabs>
        <w:ind w:firstLine="720"/>
        <w:rPr>
          <w:color w:val="222222"/>
          <w:szCs w:val="26"/>
        </w:rPr>
      </w:pPr>
      <w:r w:rsidRPr="005007CE">
        <w:rPr>
          <w:color w:val="222222"/>
          <w:szCs w:val="26"/>
        </w:rPr>
        <w:t>Online and on air, CNN covers myriad “matters of public significance.”  (§ 425.16, subd. (</w:t>
      </w:r>
      <w:r w:rsidR="009576A2">
        <w:rPr>
          <w:color w:val="222222"/>
          <w:szCs w:val="26"/>
        </w:rPr>
        <w:t>a</w:t>
      </w:r>
      <w:r w:rsidRPr="005007CE">
        <w:rPr>
          <w:color w:val="222222"/>
          <w:szCs w:val="26"/>
        </w:rPr>
        <w:t xml:space="preserve">).)  </w:t>
      </w:r>
      <w:r w:rsidR="00384168">
        <w:rPr>
          <w:color w:val="222222"/>
          <w:szCs w:val="26"/>
        </w:rPr>
        <w:t>Its broadcasts and publications include extensive “speech in connection with a public issue or an issue of public interest.”  (</w:t>
      </w:r>
      <w:r w:rsidR="00384168">
        <w:rPr>
          <w:i/>
          <w:color w:val="222222"/>
          <w:szCs w:val="26"/>
        </w:rPr>
        <w:t>Id.</w:t>
      </w:r>
      <w:r w:rsidR="00384168">
        <w:rPr>
          <w:color w:val="222222"/>
          <w:szCs w:val="26"/>
        </w:rPr>
        <w:t xml:space="preserve">, § sub. (e)(4).)  </w:t>
      </w:r>
      <w:r w:rsidR="00C4571D">
        <w:rPr>
          <w:color w:val="222222"/>
          <w:szCs w:val="26"/>
        </w:rPr>
        <w:t>CNN presented evidence tending to show that i</w:t>
      </w:r>
      <w:r w:rsidRPr="005007CE">
        <w:rPr>
          <w:color w:val="222222"/>
          <w:szCs w:val="26"/>
        </w:rPr>
        <w:t xml:space="preserve">ts ability to participate meaningfully in public discourse on these subjects depends on its </w:t>
      </w:r>
      <w:r w:rsidR="0072434B" w:rsidRPr="005007CE">
        <w:rPr>
          <w:color w:val="222222"/>
          <w:szCs w:val="26"/>
        </w:rPr>
        <w:t xml:space="preserve">integrity and </w:t>
      </w:r>
      <w:r w:rsidRPr="005007CE">
        <w:rPr>
          <w:color w:val="222222"/>
          <w:szCs w:val="26"/>
        </w:rPr>
        <w:t>credibility</w:t>
      </w:r>
      <w:r w:rsidR="00F30B48">
        <w:rPr>
          <w:color w:val="222222"/>
          <w:szCs w:val="26"/>
        </w:rPr>
        <w:t>.  P</w:t>
      </w:r>
      <w:r w:rsidR="00304E21" w:rsidRPr="005007CE">
        <w:t xml:space="preserve">lagiarism is </w:t>
      </w:r>
      <w:r w:rsidR="00397287" w:rsidRPr="005007CE">
        <w:t xml:space="preserve">universally </w:t>
      </w:r>
      <w:r w:rsidR="00304E21" w:rsidRPr="005007CE">
        <w:t xml:space="preserve">recognized as a serious breach of journalistic ethics.  </w:t>
      </w:r>
      <w:r w:rsidR="00533623" w:rsidRPr="005007CE">
        <w:t xml:space="preserve">Disciplining an </w:t>
      </w:r>
      <w:r w:rsidR="00A45549" w:rsidRPr="005007CE">
        <w:rPr>
          <w:color w:val="222222"/>
          <w:szCs w:val="26"/>
        </w:rPr>
        <w:t xml:space="preserve">employee for </w:t>
      </w:r>
      <w:r w:rsidR="002B719B" w:rsidRPr="005007CE">
        <w:rPr>
          <w:color w:val="222222"/>
          <w:szCs w:val="26"/>
        </w:rPr>
        <w:t xml:space="preserve">violating </w:t>
      </w:r>
      <w:r w:rsidR="004F4D18" w:rsidRPr="005007CE">
        <w:rPr>
          <w:color w:val="222222"/>
          <w:szCs w:val="26"/>
        </w:rPr>
        <w:t xml:space="preserve">such </w:t>
      </w:r>
      <w:r w:rsidR="002B719B" w:rsidRPr="005007CE">
        <w:rPr>
          <w:color w:val="222222"/>
          <w:szCs w:val="26"/>
        </w:rPr>
        <w:t xml:space="preserve">ethical standards </w:t>
      </w:r>
      <w:r w:rsidR="00A45549" w:rsidRPr="005007CE">
        <w:rPr>
          <w:color w:val="222222"/>
          <w:szCs w:val="26"/>
        </w:rPr>
        <w:t>furthers a news organization’s exercise of editorial control to ensure the organization’s reputation</w:t>
      </w:r>
      <w:r w:rsidR="006D182F" w:rsidRPr="005007CE">
        <w:rPr>
          <w:color w:val="222222"/>
          <w:szCs w:val="26"/>
        </w:rPr>
        <w:t>,</w:t>
      </w:r>
      <w:r w:rsidR="00A45549" w:rsidRPr="005007CE">
        <w:rPr>
          <w:color w:val="222222"/>
          <w:szCs w:val="26"/>
        </w:rPr>
        <w:t xml:space="preserve"> and the </w:t>
      </w:r>
      <w:r w:rsidR="00144E76" w:rsidRPr="005007CE">
        <w:rPr>
          <w:color w:val="222222"/>
          <w:szCs w:val="26"/>
        </w:rPr>
        <w:t xml:space="preserve">credibility </w:t>
      </w:r>
      <w:r w:rsidR="00A45549" w:rsidRPr="005007CE">
        <w:rPr>
          <w:color w:val="222222"/>
          <w:szCs w:val="26"/>
        </w:rPr>
        <w:t xml:space="preserve">of what it chooses to publish </w:t>
      </w:r>
      <w:r w:rsidR="00533623" w:rsidRPr="005007CE">
        <w:rPr>
          <w:color w:val="222222"/>
          <w:szCs w:val="26"/>
        </w:rPr>
        <w:t xml:space="preserve">or </w:t>
      </w:r>
      <w:r w:rsidR="00A45549" w:rsidRPr="005007CE">
        <w:rPr>
          <w:color w:val="222222"/>
          <w:szCs w:val="26"/>
        </w:rPr>
        <w:t>broadcast</w:t>
      </w:r>
      <w:r w:rsidR="006D182F" w:rsidRPr="005007CE">
        <w:rPr>
          <w:color w:val="222222"/>
          <w:szCs w:val="26"/>
        </w:rPr>
        <w:t>,</w:t>
      </w:r>
      <w:r w:rsidR="00A45549" w:rsidRPr="005007CE">
        <w:rPr>
          <w:color w:val="222222"/>
          <w:szCs w:val="26"/>
        </w:rPr>
        <w:t xml:space="preserve"> is </w:t>
      </w:r>
      <w:r w:rsidR="00AC421E" w:rsidRPr="005007CE">
        <w:rPr>
          <w:color w:val="222222"/>
          <w:szCs w:val="26"/>
        </w:rPr>
        <w:t>preserved</w:t>
      </w:r>
      <w:r w:rsidR="00A45549" w:rsidRPr="005007CE">
        <w:rPr>
          <w:color w:val="222222"/>
          <w:szCs w:val="26"/>
        </w:rPr>
        <w:t>.</w:t>
      </w:r>
      <w:r w:rsidR="008372EB" w:rsidRPr="005007CE">
        <w:rPr>
          <w:color w:val="222222"/>
          <w:szCs w:val="26"/>
        </w:rPr>
        <w:t xml:space="preserve">  These objectives </w:t>
      </w:r>
      <w:r w:rsidR="00144E76" w:rsidRPr="005007CE">
        <w:rPr>
          <w:color w:val="222222"/>
          <w:szCs w:val="26"/>
        </w:rPr>
        <w:t xml:space="preserve">lie </w:t>
      </w:r>
      <w:r w:rsidR="00211690" w:rsidRPr="005007CE">
        <w:rPr>
          <w:color w:val="222222"/>
          <w:szCs w:val="26"/>
        </w:rPr>
        <w:t>“</w:t>
      </w:r>
      <w:r w:rsidR="00144E76" w:rsidRPr="005007CE">
        <w:rPr>
          <w:color w:val="222222"/>
          <w:szCs w:val="26"/>
        </w:rPr>
        <w:t>at the core</w:t>
      </w:r>
      <w:r w:rsidR="00211690" w:rsidRPr="005007CE">
        <w:rPr>
          <w:color w:val="222222"/>
          <w:szCs w:val="26"/>
        </w:rPr>
        <w:t xml:space="preserve">” </w:t>
      </w:r>
      <w:r w:rsidR="00144E76" w:rsidRPr="005007CE">
        <w:rPr>
          <w:color w:val="222222"/>
          <w:szCs w:val="26"/>
        </w:rPr>
        <w:t>of the press function</w:t>
      </w:r>
      <w:r w:rsidR="002B719B" w:rsidRPr="005007CE">
        <w:rPr>
          <w:color w:val="222222"/>
          <w:szCs w:val="26"/>
        </w:rPr>
        <w:t>.</w:t>
      </w:r>
      <w:r w:rsidR="00211690" w:rsidRPr="005007CE">
        <w:rPr>
          <w:color w:val="222222"/>
          <w:szCs w:val="26"/>
        </w:rPr>
        <w:t xml:space="preserve"> </w:t>
      </w:r>
      <w:r w:rsidR="00C46882" w:rsidRPr="005007CE">
        <w:rPr>
          <w:color w:val="222222"/>
          <w:szCs w:val="26"/>
        </w:rPr>
        <w:t xml:space="preserve"> </w:t>
      </w:r>
      <w:r w:rsidR="003342F1" w:rsidRPr="005007CE">
        <w:rPr>
          <w:color w:val="222222"/>
          <w:szCs w:val="26"/>
        </w:rPr>
        <w:t>(</w:t>
      </w:r>
      <w:r w:rsidR="00211690" w:rsidRPr="005007CE">
        <w:rPr>
          <w:i/>
          <w:color w:val="222222"/>
          <w:szCs w:val="26"/>
        </w:rPr>
        <w:t>Newspaper Guild</w:t>
      </w:r>
      <w:r w:rsidR="00211690" w:rsidRPr="005007CE">
        <w:rPr>
          <w:color w:val="222222"/>
          <w:szCs w:val="26"/>
        </w:rPr>
        <w:t xml:space="preserve">, </w:t>
      </w:r>
      <w:r w:rsidR="00211690" w:rsidRPr="005007CE">
        <w:rPr>
          <w:i/>
          <w:color w:val="222222"/>
          <w:szCs w:val="26"/>
        </w:rPr>
        <w:t>supra</w:t>
      </w:r>
      <w:r w:rsidR="00211690" w:rsidRPr="005007CE">
        <w:rPr>
          <w:color w:val="222222"/>
          <w:szCs w:val="26"/>
        </w:rPr>
        <w:t>, 636 F.2d at p.</w:t>
      </w:r>
      <w:r w:rsidR="00C46882" w:rsidRPr="005007CE">
        <w:rPr>
          <w:color w:val="222222"/>
          <w:szCs w:val="26"/>
        </w:rPr>
        <w:t> </w:t>
      </w:r>
      <w:r w:rsidR="00211690" w:rsidRPr="005007CE">
        <w:rPr>
          <w:color w:val="222222"/>
          <w:szCs w:val="26"/>
        </w:rPr>
        <w:t>560</w:t>
      </w:r>
      <w:r w:rsidR="000018CB" w:rsidRPr="005007CE">
        <w:rPr>
          <w:color w:val="222222"/>
          <w:szCs w:val="26"/>
        </w:rPr>
        <w:t xml:space="preserve">; see </w:t>
      </w:r>
      <w:r w:rsidR="000018CB" w:rsidRPr="005007CE">
        <w:rPr>
          <w:i/>
          <w:color w:val="222222"/>
          <w:szCs w:val="26"/>
        </w:rPr>
        <w:t>id.</w:t>
      </w:r>
      <w:r w:rsidR="000018CB" w:rsidRPr="005007CE">
        <w:rPr>
          <w:color w:val="222222"/>
          <w:szCs w:val="26"/>
        </w:rPr>
        <w:t xml:space="preserve"> at p. </w:t>
      </w:r>
      <w:r w:rsidR="00211690" w:rsidRPr="005007CE">
        <w:rPr>
          <w:color w:val="222222"/>
          <w:szCs w:val="26"/>
        </w:rPr>
        <w:t>561</w:t>
      </w:r>
      <w:r w:rsidR="008372EB" w:rsidRPr="005007CE">
        <w:rPr>
          <w:color w:val="222222"/>
          <w:szCs w:val="26"/>
        </w:rPr>
        <w:t>.</w:t>
      </w:r>
      <w:r w:rsidR="003342F1" w:rsidRPr="005007CE">
        <w:rPr>
          <w:color w:val="222222"/>
          <w:szCs w:val="26"/>
        </w:rPr>
        <w:t>)</w:t>
      </w:r>
      <w:r w:rsidR="008372EB" w:rsidRPr="005007CE">
        <w:rPr>
          <w:color w:val="222222"/>
          <w:szCs w:val="26"/>
        </w:rPr>
        <w:t xml:space="preserve">  </w:t>
      </w:r>
      <w:r w:rsidR="00C05425" w:rsidRPr="005007CE">
        <w:rPr>
          <w:color w:val="222222"/>
          <w:szCs w:val="26"/>
        </w:rPr>
        <w:t xml:space="preserve">CNN has made out a prima facie case that </w:t>
      </w:r>
      <w:r w:rsidR="00835BA8" w:rsidRPr="005007CE">
        <w:rPr>
          <w:color w:val="222222"/>
          <w:szCs w:val="26"/>
        </w:rPr>
        <w:t>its</w:t>
      </w:r>
      <w:r w:rsidR="00C05425" w:rsidRPr="005007CE">
        <w:rPr>
          <w:color w:val="222222"/>
          <w:szCs w:val="26"/>
        </w:rPr>
        <w:t xml:space="preserve"> s</w:t>
      </w:r>
      <w:r w:rsidR="002B719B" w:rsidRPr="005007CE">
        <w:rPr>
          <w:color w:val="222222"/>
          <w:szCs w:val="26"/>
        </w:rPr>
        <w:t xml:space="preserve">taffing decision </w:t>
      </w:r>
      <w:r w:rsidR="00835BA8" w:rsidRPr="005007CE">
        <w:rPr>
          <w:color w:val="222222"/>
          <w:szCs w:val="26"/>
        </w:rPr>
        <w:t xml:space="preserve">was </w:t>
      </w:r>
      <w:r w:rsidR="002B719B" w:rsidRPr="005007CE">
        <w:rPr>
          <w:color w:val="222222"/>
          <w:szCs w:val="26"/>
        </w:rPr>
        <w:t xml:space="preserve">based on </w:t>
      </w:r>
      <w:r w:rsidR="00835BA8" w:rsidRPr="005007CE">
        <w:rPr>
          <w:color w:val="222222"/>
          <w:szCs w:val="26"/>
        </w:rPr>
        <w:t>such consideration</w:t>
      </w:r>
      <w:r w:rsidR="002B719B" w:rsidRPr="005007CE">
        <w:rPr>
          <w:color w:val="222222"/>
          <w:szCs w:val="26"/>
        </w:rPr>
        <w:t>s</w:t>
      </w:r>
      <w:r w:rsidR="00835BA8" w:rsidRPr="005007CE">
        <w:rPr>
          <w:color w:val="222222"/>
          <w:szCs w:val="26"/>
        </w:rPr>
        <w:t>, and that such decisions</w:t>
      </w:r>
      <w:r w:rsidR="002B719B" w:rsidRPr="005007CE">
        <w:rPr>
          <w:color w:val="222222"/>
          <w:szCs w:val="26"/>
        </w:rPr>
        <w:t xml:space="preserve"> </w:t>
      </w:r>
      <w:r w:rsidR="00C05425" w:rsidRPr="005007CE">
        <w:rPr>
          <w:color w:val="222222"/>
          <w:szCs w:val="26"/>
        </w:rPr>
        <w:t xml:space="preserve">protect </w:t>
      </w:r>
      <w:r w:rsidR="00835BA8" w:rsidRPr="005007CE">
        <w:rPr>
          <w:color w:val="222222"/>
          <w:szCs w:val="26"/>
        </w:rPr>
        <w:t>the</w:t>
      </w:r>
      <w:r w:rsidR="00C05425" w:rsidRPr="005007CE">
        <w:rPr>
          <w:color w:val="222222"/>
          <w:szCs w:val="26"/>
        </w:rPr>
        <w:t xml:space="preserve"> ability </w:t>
      </w:r>
      <w:r w:rsidR="00835BA8" w:rsidRPr="005007CE">
        <w:rPr>
          <w:color w:val="222222"/>
          <w:szCs w:val="26"/>
        </w:rPr>
        <w:t xml:space="preserve">of a news organization </w:t>
      </w:r>
      <w:r w:rsidR="00C05425" w:rsidRPr="005007CE">
        <w:rPr>
          <w:color w:val="222222"/>
          <w:szCs w:val="26"/>
        </w:rPr>
        <w:t xml:space="preserve">to contribute credibly to </w:t>
      </w:r>
      <w:r w:rsidR="00835BA8" w:rsidRPr="005007CE">
        <w:rPr>
          <w:color w:val="222222"/>
          <w:szCs w:val="26"/>
        </w:rPr>
        <w:t xml:space="preserve">the </w:t>
      </w:r>
      <w:r w:rsidR="00C05425" w:rsidRPr="005007CE">
        <w:rPr>
          <w:color w:val="222222"/>
          <w:szCs w:val="26"/>
        </w:rPr>
        <w:t>discussion of public matters</w:t>
      </w:r>
      <w:r w:rsidR="00BA5870" w:rsidRPr="005007CE">
        <w:rPr>
          <w:color w:val="222222"/>
          <w:szCs w:val="26"/>
        </w:rPr>
        <w:t>.</w:t>
      </w:r>
      <w:r w:rsidR="00384168">
        <w:rPr>
          <w:color w:val="222222"/>
          <w:szCs w:val="26"/>
        </w:rPr>
        <w:t xml:space="preserve">  The staffing decision thus qualifies as “conduct in furtherance” of CNN’s “speech in connection with” public matter.  (§ 425.16, subd. (e)(4).)</w:t>
      </w:r>
    </w:p>
    <w:p w14:paraId="548B8C07" w14:textId="77777777" w:rsidR="00D13ECB" w:rsidRPr="005007CE" w:rsidRDefault="00F0388F" w:rsidP="00414F44">
      <w:pPr>
        <w:tabs>
          <w:tab w:val="left" w:pos="1440"/>
        </w:tabs>
        <w:ind w:firstLine="720"/>
        <w:rPr>
          <w:color w:val="222222"/>
          <w:szCs w:val="26"/>
        </w:rPr>
      </w:pPr>
      <w:r w:rsidRPr="005007CE">
        <w:rPr>
          <w:rFonts w:cstheme="minorHAnsi"/>
          <w:color w:val="000000"/>
          <w:szCs w:val="26"/>
          <w:lang w:eastAsia="zh-CN"/>
        </w:rPr>
        <w:lastRenderedPageBreak/>
        <w:t>But CNN’s invocation of journalistic ethics only takes it so far.  T</w:t>
      </w:r>
      <w:r w:rsidR="00FE7F59" w:rsidRPr="005007CE">
        <w:rPr>
          <w:rFonts w:cstheme="minorHAnsi"/>
          <w:color w:val="000000"/>
          <w:szCs w:val="26"/>
          <w:lang w:eastAsia="zh-CN"/>
        </w:rPr>
        <w:t xml:space="preserve">he </w:t>
      </w:r>
      <w:r w:rsidR="00860F9D" w:rsidRPr="005007CE">
        <w:rPr>
          <w:rFonts w:cstheme="minorHAnsi"/>
          <w:color w:val="000000"/>
          <w:szCs w:val="26"/>
          <w:lang w:eastAsia="zh-CN"/>
        </w:rPr>
        <w:t xml:space="preserve">lone </w:t>
      </w:r>
      <w:r w:rsidR="00FE7F59" w:rsidRPr="005007CE">
        <w:rPr>
          <w:rFonts w:cstheme="minorHAnsi"/>
          <w:color w:val="000000"/>
          <w:szCs w:val="26"/>
          <w:lang w:eastAsia="zh-CN"/>
        </w:rPr>
        <w:t xml:space="preserve">act CNN justifies as motivated by the need to enforce editorial standards forbidding plagiarism is its termination of Wilson.  CNN’s own evidence demonstrates that it was unaware of any potential plagiarism until a few weeks before Wilson was let go.  CNN has </w:t>
      </w:r>
      <w:r w:rsidR="009E24AA" w:rsidRPr="005007CE">
        <w:rPr>
          <w:rFonts w:cstheme="minorHAnsi"/>
          <w:color w:val="000000"/>
          <w:szCs w:val="26"/>
          <w:lang w:eastAsia="zh-CN"/>
        </w:rPr>
        <w:t xml:space="preserve">thus </w:t>
      </w:r>
      <w:r w:rsidR="00FE7F59" w:rsidRPr="005007CE">
        <w:rPr>
          <w:rFonts w:cstheme="minorHAnsi"/>
          <w:color w:val="000000"/>
          <w:szCs w:val="26"/>
          <w:lang w:eastAsia="zh-CN"/>
        </w:rPr>
        <w:t xml:space="preserve">carried its first-step burden only insofar as Wilson’s employment-related claims arise from his termination.  To the extent Wilson’s </w:t>
      </w:r>
      <w:r w:rsidR="00FE7F59" w:rsidRPr="005007CE">
        <w:rPr>
          <w:color w:val="222222"/>
          <w:szCs w:val="26"/>
        </w:rPr>
        <w:t xml:space="preserve">causes of action include claims of illegal </w:t>
      </w:r>
      <w:r w:rsidR="008D1040" w:rsidRPr="005007CE">
        <w:rPr>
          <w:color w:val="222222"/>
          <w:szCs w:val="26"/>
        </w:rPr>
        <w:t xml:space="preserve">discrimination and retaliation </w:t>
      </w:r>
      <w:r w:rsidR="00EF274A" w:rsidRPr="005007CE">
        <w:rPr>
          <w:color w:val="222222"/>
          <w:szCs w:val="26"/>
        </w:rPr>
        <w:t xml:space="preserve">based on </w:t>
      </w:r>
      <w:r w:rsidR="007C14B4" w:rsidRPr="005007CE">
        <w:rPr>
          <w:color w:val="222222"/>
          <w:szCs w:val="26"/>
        </w:rPr>
        <w:t xml:space="preserve">other </w:t>
      </w:r>
      <w:r w:rsidR="00247DCD" w:rsidRPr="005007CE">
        <w:rPr>
          <w:color w:val="222222"/>
          <w:szCs w:val="26"/>
        </w:rPr>
        <w:t>acts</w:t>
      </w:r>
      <w:r w:rsidR="00866E48" w:rsidRPr="005007CE">
        <w:rPr>
          <w:color w:val="222222"/>
          <w:szCs w:val="26"/>
        </w:rPr>
        <w:t>—</w:t>
      </w:r>
      <w:r w:rsidR="008D1040" w:rsidRPr="005007CE">
        <w:rPr>
          <w:rFonts w:cstheme="minorHAnsi"/>
          <w:color w:val="000000"/>
          <w:szCs w:val="26"/>
          <w:lang w:eastAsia="zh-CN"/>
        </w:rPr>
        <w:t>passing him over for promotions, menial assignments, and so on—the</w:t>
      </w:r>
      <w:r w:rsidR="00247DCD" w:rsidRPr="005007CE">
        <w:rPr>
          <w:rFonts w:cstheme="minorHAnsi"/>
          <w:color w:val="000000"/>
          <w:szCs w:val="26"/>
          <w:lang w:eastAsia="zh-CN"/>
        </w:rPr>
        <w:t>se</w:t>
      </w:r>
      <w:r w:rsidR="008D1040" w:rsidRPr="005007CE">
        <w:rPr>
          <w:rFonts w:cstheme="minorHAnsi"/>
          <w:color w:val="000000"/>
          <w:szCs w:val="26"/>
          <w:lang w:eastAsia="zh-CN"/>
        </w:rPr>
        <w:t xml:space="preserve"> causes of action will survive, even if the termination-specific claims are stricken.</w:t>
      </w:r>
      <w:r w:rsidR="008D1040" w:rsidRPr="005007CE">
        <w:rPr>
          <w:color w:val="222222"/>
          <w:szCs w:val="26"/>
        </w:rPr>
        <w:t xml:space="preserve">  </w:t>
      </w:r>
      <w:r w:rsidR="00FE7F59" w:rsidRPr="005007CE">
        <w:rPr>
          <w:color w:val="222222"/>
          <w:szCs w:val="26"/>
        </w:rPr>
        <w:t xml:space="preserve">(See </w:t>
      </w:r>
      <w:r w:rsidR="00FE7F59" w:rsidRPr="005007CE">
        <w:rPr>
          <w:i/>
          <w:color w:val="222222"/>
          <w:szCs w:val="26"/>
        </w:rPr>
        <w:t>Baral v. Schnitt</w:t>
      </w:r>
      <w:r w:rsidR="00FE7F59" w:rsidRPr="005007CE">
        <w:rPr>
          <w:color w:val="222222"/>
          <w:szCs w:val="26"/>
        </w:rPr>
        <w:t xml:space="preserve">, </w:t>
      </w:r>
      <w:r w:rsidR="00FE7F59" w:rsidRPr="005007CE">
        <w:rPr>
          <w:i/>
          <w:color w:val="222222"/>
          <w:szCs w:val="26"/>
        </w:rPr>
        <w:t>supra</w:t>
      </w:r>
      <w:r w:rsidR="00FE7F59" w:rsidRPr="005007CE">
        <w:rPr>
          <w:color w:val="222222"/>
          <w:szCs w:val="26"/>
        </w:rPr>
        <w:t>, 1 Cal.5th at pp. 393–394 [anti-SLAPP motions target only those claims within a cause of action that rest on protected activity].)</w:t>
      </w:r>
    </w:p>
    <w:p w14:paraId="0887DCD6" w14:textId="77777777" w:rsidR="00FE7F59" w:rsidRPr="005007CE" w:rsidRDefault="00C1355F" w:rsidP="00414F44">
      <w:pPr>
        <w:tabs>
          <w:tab w:val="left" w:pos="1440"/>
        </w:tabs>
        <w:ind w:firstLine="720"/>
        <w:rPr>
          <w:color w:val="000000"/>
          <w:szCs w:val="26"/>
          <w:lang w:eastAsia="zh-CN"/>
        </w:rPr>
      </w:pPr>
      <w:r w:rsidRPr="005007CE">
        <w:rPr>
          <w:color w:val="222222"/>
          <w:szCs w:val="26"/>
        </w:rPr>
        <w:t xml:space="preserve">Because the Court of Appeal </w:t>
      </w:r>
      <w:r w:rsidR="00FE7F59" w:rsidRPr="005007CE">
        <w:rPr>
          <w:rFonts w:cstheme="minorHAnsi"/>
          <w:color w:val="000000"/>
          <w:szCs w:val="26"/>
          <w:lang w:eastAsia="zh-CN"/>
        </w:rPr>
        <w:t xml:space="preserve">concluded CNN had wholly failed to meet its </w:t>
      </w:r>
      <w:r w:rsidR="00AA2135" w:rsidRPr="005007CE">
        <w:rPr>
          <w:rFonts w:cstheme="minorHAnsi"/>
          <w:color w:val="000000"/>
          <w:szCs w:val="26"/>
          <w:lang w:eastAsia="zh-CN"/>
        </w:rPr>
        <w:t xml:space="preserve">first-step </w:t>
      </w:r>
      <w:r w:rsidR="00FE7F59" w:rsidRPr="005007CE">
        <w:rPr>
          <w:rFonts w:cstheme="minorHAnsi"/>
          <w:color w:val="000000"/>
          <w:szCs w:val="26"/>
          <w:lang w:eastAsia="zh-CN"/>
        </w:rPr>
        <w:t xml:space="preserve">burden, it did not address </w:t>
      </w:r>
      <w:r w:rsidR="00AA2135" w:rsidRPr="005007CE">
        <w:rPr>
          <w:rFonts w:cstheme="minorHAnsi"/>
          <w:color w:val="000000"/>
          <w:szCs w:val="26"/>
          <w:lang w:eastAsia="zh-CN"/>
        </w:rPr>
        <w:t xml:space="preserve">whether Wilson’s termination claims </w:t>
      </w:r>
      <w:r w:rsidR="00AB6AE8" w:rsidRPr="005007CE">
        <w:rPr>
          <w:rFonts w:cstheme="minorHAnsi"/>
          <w:color w:val="000000"/>
          <w:szCs w:val="26"/>
          <w:lang w:eastAsia="zh-CN"/>
        </w:rPr>
        <w:t xml:space="preserve">must be stricken, or whether they instead </w:t>
      </w:r>
      <w:r w:rsidR="00AA2135" w:rsidRPr="005007CE">
        <w:rPr>
          <w:rFonts w:cstheme="minorHAnsi"/>
          <w:color w:val="000000"/>
          <w:szCs w:val="26"/>
          <w:lang w:eastAsia="zh-CN"/>
        </w:rPr>
        <w:t xml:space="preserve">have the requisite minimal merit to proceed.  </w:t>
      </w:r>
      <w:r w:rsidR="005E49EB" w:rsidRPr="005007CE">
        <w:rPr>
          <w:rFonts w:cstheme="minorHAnsi"/>
          <w:color w:val="000000"/>
          <w:szCs w:val="26"/>
          <w:lang w:eastAsia="zh-CN"/>
        </w:rPr>
        <w:t>W</w:t>
      </w:r>
      <w:r w:rsidR="00FE7F59" w:rsidRPr="005007CE">
        <w:rPr>
          <w:rFonts w:cstheme="minorHAnsi"/>
          <w:color w:val="000000"/>
          <w:szCs w:val="26"/>
          <w:lang w:eastAsia="zh-CN"/>
        </w:rPr>
        <w:t xml:space="preserve">e remand on these claims so the Court of Appeal may </w:t>
      </w:r>
      <w:r w:rsidR="001C5469" w:rsidRPr="005007CE">
        <w:rPr>
          <w:rFonts w:cstheme="minorHAnsi"/>
          <w:color w:val="000000"/>
          <w:szCs w:val="26"/>
          <w:lang w:eastAsia="zh-CN"/>
        </w:rPr>
        <w:t xml:space="preserve">address that issue </w:t>
      </w:r>
      <w:r w:rsidR="00FE7F59" w:rsidRPr="005007CE">
        <w:rPr>
          <w:rFonts w:cstheme="minorHAnsi"/>
          <w:color w:val="000000"/>
          <w:szCs w:val="26"/>
          <w:lang w:eastAsia="zh-CN"/>
        </w:rPr>
        <w:t>in the first instance.</w:t>
      </w:r>
    </w:p>
    <w:p w14:paraId="5F2FAD9F" w14:textId="77777777" w:rsidR="00206259" w:rsidRPr="005007CE" w:rsidRDefault="00826169" w:rsidP="00443D0F">
      <w:pPr>
        <w:keepNext/>
        <w:tabs>
          <w:tab w:val="left" w:pos="1440"/>
        </w:tabs>
        <w:jc w:val="center"/>
        <w:rPr>
          <w:b/>
        </w:rPr>
      </w:pPr>
      <w:r w:rsidRPr="005007CE">
        <w:rPr>
          <w:b/>
        </w:rPr>
        <w:t>IV</w:t>
      </w:r>
      <w:r w:rsidR="00206259" w:rsidRPr="005007CE">
        <w:rPr>
          <w:b/>
        </w:rPr>
        <w:t>.</w:t>
      </w:r>
    </w:p>
    <w:p w14:paraId="43248939" w14:textId="77777777" w:rsidR="00D70441" w:rsidRPr="005007CE" w:rsidRDefault="00D36E80" w:rsidP="00414F44">
      <w:pPr>
        <w:tabs>
          <w:tab w:val="left" w:pos="1440"/>
        </w:tabs>
        <w:ind w:firstLine="720"/>
      </w:pPr>
      <w:r w:rsidRPr="005007CE">
        <w:t xml:space="preserve">We turn </w:t>
      </w:r>
      <w:r w:rsidR="00FD6E3E" w:rsidRPr="005007CE">
        <w:t xml:space="preserve">next </w:t>
      </w:r>
      <w:r w:rsidRPr="005007CE">
        <w:t xml:space="preserve">to </w:t>
      </w:r>
      <w:r w:rsidR="00A178E6" w:rsidRPr="005007CE">
        <w:t xml:space="preserve">Wilson’s </w:t>
      </w:r>
      <w:r w:rsidRPr="005007CE">
        <w:t xml:space="preserve">defamation </w:t>
      </w:r>
      <w:r w:rsidR="00A178E6" w:rsidRPr="005007CE">
        <w:t xml:space="preserve">claim.  According to the complaint, CNN </w:t>
      </w:r>
      <w:r w:rsidR="007F23B6" w:rsidRPr="005007CE">
        <w:t xml:space="preserve">told third parties, including prospective employers, </w:t>
      </w:r>
      <w:r w:rsidR="00A178E6" w:rsidRPr="005007CE">
        <w:t xml:space="preserve">that Wilson “had plagiarized . . . passages in the </w:t>
      </w:r>
      <w:r w:rsidR="00FE02FA" w:rsidRPr="005007CE">
        <w:t>Baca story and thereby violated CNN standards and practices.”</w:t>
      </w:r>
      <w:r w:rsidR="00871A19" w:rsidRPr="005007CE">
        <w:rPr>
          <w:rStyle w:val="FootnoteReference"/>
        </w:rPr>
        <w:footnoteReference w:id="12"/>
      </w:r>
      <w:r w:rsidR="00FE02FA" w:rsidRPr="005007CE">
        <w:t xml:space="preserve">  </w:t>
      </w:r>
      <w:r w:rsidR="00CD1A33" w:rsidRPr="005007CE">
        <w:t xml:space="preserve">Wilson’s declaration also </w:t>
      </w:r>
      <w:r w:rsidR="00871A19" w:rsidRPr="005007CE">
        <w:t>describe</w:t>
      </w:r>
      <w:r w:rsidR="00CD1A33" w:rsidRPr="005007CE">
        <w:t xml:space="preserve">s a statement </w:t>
      </w:r>
      <w:r w:rsidR="00871A19" w:rsidRPr="005007CE">
        <w:t xml:space="preserve">by </w:t>
      </w:r>
      <w:r w:rsidR="00CD1A33" w:rsidRPr="005007CE">
        <w:lastRenderedPageBreak/>
        <w:t>a CNN human resources manager</w:t>
      </w:r>
      <w:r w:rsidR="00871A19" w:rsidRPr="005007CE">
        <w:t>, at a meeting with Wilson</w:t>
      </w:r>
      <w:r w:rsidR="00CD1A33" w:rsidRPr="005007CE">
        <w:t xml:space="preserve"> </w:t>
      </w:r>
      <w:r w:rsidR="00871A19" w:rsidRPr="005007CE">
        <w:t>and</w:t>
      </w:r>
      <w:r w:rsidR="00CD1A33" w:rsidRPr="005007CE">
        <w:t xml:space="preserve"> Wilson’s supervisor, defendant Peter Janos, that Wilson had plagiarized</w:t>
      </w:r>
      <w:r w:rsidR="00871A19" w:rsidRPr="005007CE">
        <w:t>.</w:t>
      </w:r>
      <w:r w:rsidR="00CD1A33" w:rsidRPr="005007CE">
        <w:t xml:space="preserve">  </w:t>
      </w:r>
      <w:r w:rsidR="00C970EB" w:rsidRPr="005007CE">
        <w:t>Wilson and CNN</w:t>
      </w:r>
      <w:r w:rsidR="00FE02FA" w:rsidRPr="005007CE">
        <w:t xml:space="preserve"> di</w:t>
      </w:r>
      <w:r w:rsidR="00E8071F" w:rsidRPr="005007CE">
        <w:t>sagree over whether th</w:t>
      </w:r>
      <w:r w:rsidR="001E64A2" w:rsidRPr="005007CE">
        <w:t>ese statements were</w:t>
      </w:r>
      <w:r w:rsidR="007A2A13" w:rsidRPr="005007CE">
        <w:t xml:space="preserve"> </w:t>
      </w:r>
      <w:r w:rsidR="001A7C24" w:rsidRPr="005007CE">
        <w:t>“</w:t>
      </w:r>
      <w:r w:rsidR="007A2A13" w:rsidRPr="005007CE">
        <w:rPr>
          <w:szCs w:val="26"/>
        </w:rPr>
        <w:t xml:space="preserve">conduct in furtherance of the exercise of </w:t>
      </w:r>
      <w:r w:rsidR="001A7C24" w:rsidRPr="005007CE">
        <w:rPr>
          <w:szCs w:val="26"/>
        </w:rPr>
        <w:t xml:space="preserve">[free speech rights] </w:t>
      </w:r>
      <w:r w:rsidR="007A2A13" w:rsidRPr="005007CE">
        <w:rPr>
          <w:szCs w:val="26"/>
        </w:rPr>
        <w:t>in connection with a public issue or an issue of public interest</w:t>
      </w:r>
      <w:r w:rsidR="007A2A13" w:rsidRPr="005007CE">
        <w:t>.</w:t>
      </w:r>
      <w:r w:rsidR="00FE02FA" w:rsidRPr="005007CE">
        <w:t>”  (§ 425.16, subd. (e)(4).)</w:t>
      </w:r>
      <w:r w:rsidR="00311DCB" w:rsidRPr="005007CE">
        <w:t xml:space="preserve">  </w:t>
      </w:r>
      <w:r w:rsidR="005E49EB" w:rsidRPr="005007CE">
        <w:t>We</w:t>
      </w:r>
      <w:r w:rsidR="00311DCB" w:rsidRPr="005007CE">
        <w:t xml:space="preserve"> conclude </w:t>
      </w:r>
      <w:r w:rsidR="001E64A2" w:rsidRPr="005007CE">
        <w:t>they were</w:t>
      </w:r>
      <w:r w:rsidR="00EA319E" w:rsidRPr="005007CE">
        <w:t xml:space="preserve"> </w:t>
      </w:r>
      <w:r w:rsidR="00311DCB" w:rsidRPr="005007CE">
        <w:t>not.</w:t>
      </w:r>
    </w:p>
    <w:p w14:paraId="6BB12F17" w14:textId="77777777" w:rsidR="003D0A18" w:rsidRPr="005007CE" w:rsidRDefault="003D0A18" w:rsidP="00443D0F">
      <w:pPr>
        <w:keepNext/>
        <w:tabs>
          <w:tab w:val="left" w:pos="1440"/>
        </w:tabs>
        <w:jc w:val="center"/>
        <w:rPr>
          <w:b/>
        </w:rPr>
      </w:pPr>
      <w:r w:rsidRPr="005007CE">
        <w:rPr>
          <w:b/>
        </w:rPr>
        <w:t>A.</w:t>
      </w:r>
    </w:p>
    <w:p w14:paraId="076867F7" w14:textId="2CBFB886" w:rsidR="00432129" w:rsidRPr="005007CE" w:rsidRDefault="00C4638D" w:rsidP="00414F44">
      <w:pPr>
        <w:tabs>
          <w:tab w:val="left" w:pos="1440"/>
        </w:tabs>
        <w:ind w:firstLine="720"/>
      </w:pPr>
      <w:r w:rsidRPr="005007CE">
        <w:t xml:space="preserve">In contrast to </w:t>
      </w:r>
      <w:r w:rsidR="009A3610" w:rsidRPr="005007CE">
        <w:t>Wilson’s employment-related claims</w:t>
      </w:r>
      <w:r w:rsidR="00A230DD" w:rsidRPr="005007CE">
        <w:t xml:space="preserve">, </w:t>
      </w:r>
      <w:r w:rsidR="00646E39" w:rsidRPr="005007CE">
        <w:t xml:space="preserve">Wilson’s defamation claim is based on </w:t>
      </w:r>
      <w:r w:rsidR="00376AA5" w:rsidRPr="005007CE">
        <w:t xml:space="preserve">CNN’s </w:t>
      </w:r>
      <w:r w:rsidR="00646E39" w:rsidRPr="005007CE">
        <w:t>speech</w:t>
      </w:r>
      <w:r w:rsidR="003A67EA" w:rsidRPr="005007CE">
        <w:t xml:space="preserve"> </w:t>
      </w:r>
      <w:r w:rsidR="008C21AA" w:rsidRPr="005007CE">
        <w:t xml:space="preserve">rather than any </w:t>
      </w:r>
      <w:r w:rsidR="008F6E1C" w:rsidRPr="005007CE">
        <w:t>tangible action</w:t>
      </w:r>
      <w:r w:rsidR="003A67EA" w:rsidRPr="005007CE">
        <w:t>.</w:t>
      </w:r>
      <w:r w:rsidR="00D42BF6" w:rsidRPr="005007CE">
        <w:t xml:space="preserve">  </w:t>
      </w:r>
      <w:r w:rsidR="005F5B84" w:rsidRPr="005007CE">
        <w:t xml:space="preserve">A </w:t>
      </w:r>
      <w:r w:rsidR="00D42BF6" w:rsidRPr="005007CE">
        <w:t xml:space="preserve">casual reader of the anti-SLAPP statute might wonder </w:t>
      </w:r>
      <w:r w:rsidR="005F5B84" w:rsidRPr="005007CE">
        <w:t xml:space="preserve">whether this </w:t>
      </w:r>
      <w:r w:rsidR="00D42BF6" w:rsidRPr="005007CE">
        <w:t xml:space="preserve">makes a </w:t>
      </w:r>
      <w:r w:rsidR="005F5B84" w:rsidRPr="005007CE">
        <w:t>difference, since</w:t>
      </w:r>
      <w:r w:rsidR="00787770" w:rsidRPr="005007CE">
        <w:t xml:space="preserve"> </w:t>
      </w:r>
      <w:r w:rsidRPr="005007CE">
        <w:t>unlike the other provisions of subdivision (e)</w:t>
      </w:r>
      <w:r w:rsidR="009576A2">
        <w:t xml:space="preserve"> of section 425.16</w:t>
      </w:r>
      <w:r w:rsidRPr="005007CE">
        <w:t xml:space="preserve">, </w:t>
      </w:r>
      <w:r w:rsidR="00A7088C" w:rsidRPr="005007CE">
        <w:t>subdivision (e)(4) refers to “conduct</w:t>
      </w:r>
      <w:r w:rsidR="007710B5" w:rsidRPr="005007CE">
        <w:t>,</w:t>
      </w:r>
      <w:r w:rsidR="00A7088C" w:rsidRPr="005007CE">
        <w:t>”</w:t>
      </w:r>
      <w:r w:rsidR="00135BCC" w:rsidRPr="005007CE">
        <w:t xml:space="preserve"> not “statement</w:t>
      </w:r>
      <w:r w:rsidRPr="005007CE">
        <w:t>[</w:t>
      </w:r>
      <w:r w:rsidR="00135BCC" w:rsidRPr="005007CE">
        <w:t>s</w:t>
      </w:r>
      <w:r w:rsidRPr="005007CE">
        <w:t>]</w:t>
      </w:r>
      <w:r w:rsidR="00787770" w:rsidRPr="005007CE">
        <w:t>.</w:t>
      </w:r>
      <w:r w:rsidR="00135BCC" w:rsidRPr="005007CE">
        <w:t>”</w:t>
      </w:r>
      <w:r w:rsidR="00787770" w:rsidRPr="005007CE">
        <w:t xml:space="preserve">  </w:t>
      </w:r>
      <w:r w:rsidR="00D42BF6" w:rsidRPr="005007CE">
        <w:t>But c</w:t>
      </w:r>
      <w:r w:rsidR="00633509" w:rsidRPr="005007CE">
        <w:t xml:space="preserve">ourts (including this one) </w:t>
      </w:r>
      <w:r w:rsidR="00135BCC" w:rsidRPr="005007CE">
        <w:t>have</w:t>
      </w:r>
      <w:r w:rsidR="00091958" w:rsidRPr="005007CE">
        <w:t xml:space="preserve"> </w:t>
      </w:r>
      <w:r w:rsidR="00B74435" w:rsidRPr="005007CE">
        <w:t xml:space="preserve">generally assumed that </w:t>
      </w:r>
      <w:r w:rsidR="009A621C" w:rsidRPr="005007CE">
        <w:t xml:space="preserve">this reference to </w:t>
      </w:r>
      <w:r w:rsidR="00B74435" w:rsidRPr="005007CE">
        <w:t>“conduct” includes oral or written statement</w:t>
      </w:r>
      <w:r w:rsidR="00D1375B" w:rsidRPr="005007CE">
        <w:t>s</w:t>
      </w:r>
      <w:r w:rsidR="00B74435" w:rsidRPr="005007CE">
        <w:t>,</w:t>
      </w:r>
      <w:r w:rsidRPr="005007CE">
        <w:rPr>
          <w:rStyle w:val="FootnoteReference"/>
        </w:rPr>
        <w:footnoteReference w:id="13"/>
      </w:r>
      <w:r w:rsidR="00D1375B" w:rsidRPr="005007CE">
        <w:t xml:space="preserve"> and </w:t>
      </w:r>
      <w:r w:rsidR="00D005B8" w:rsidRPr="005007CE">
        <w:t xml:space="preserve">a </w:t>
      </w:r>
      <w:r w:rsidR="00D42BF6" w:rsidRPr="005007CE">
        <w:t>closer reading of the statute</w:t>
      </w:r>
      <w:r w:rsidR="00432129" w:rsidRPr="005007CE">
        <w:t xml:space="preserve"> reveals </w:t>
      </w:r>
      <w:r w:rsidR="00D42BF6" w:rsidRPr="005007CE">
        <w:t>why</w:t>
      </w:r>
      <w:r w:rsidR="000001FF" w:rsidRPr="005007CE">
        <w:t xml:space="preserve"> </w:t>
      </w:r>
      <w:r w:rsidR="00432129" w:rsidRPr="005007CE">
        <w:t xml:space="preserve">the assumption </w:t>
      </w:r>
      <w:r w:rsidR="000001FF" w:rsidRPr="005007CE">
        <w:t>is correct</w:t>
      </w:r>
      <w:r w:rsidR="00BF750F" w:rsidRPr="005007CE">
        <w:t>.</w:t>
      </w:r>
      <w:r w:rsidR="00A156DB" w:rsidRPr="005007CE">
        <w:t xml:space="preserve"> </w:t>
      </w:r>
    </w:p>
    <w:p w14:paraId="4B6923B4" w14:textId="77777777" w:rsidR="00A63B9D" w:rsidRPr="005007CE" w:rsidRDefault="00432129" w:rsidP="00414F44">
      <w:pPr>
        <w:tabs>
          <w:tab w:val="left" w:pos="1440"/>
        </w:tabs>
        <w:ind w:firstLine="720"/>
      </w:pPr>
      <w:r w:rsidRPr="005007CE">
        <w:t>The reason is straightforward:  S</w:t>
      </w:r>
      <w:r w:rsidR="007A2A13" w:rsidRPr="005007CE">
        <w:t>ection 425.16, subdivision (e)(1)</w:t>
      </w:r>
      <w:r w:rsidR="00391434" w:rsidRPr="005007CE">
        <w:t>, (2), and</w:t>
      </w:r>
      <w:r w:rsidR="007A2A13" w:rsidRPr="005007CE">
        <w:t xml:space="preserve"> (3), each describe circumstances in which a “written or oral statement or writing” </w:t>
      </w:r>
      <w:r w:rsidR="00D42BF6" w:rsidRPr="005007CE">
        <w:t xml:space="preserve">is </w:t>
      </w:r>
      <w:r w:rsidR="007A2A13" w:rsidRPr="005007CE">
        <w:t>eligible for protection</w:t>
      </w:r>
      <w:r w:rsidR="00787770" w:rsidRPr="005007CE">
        <w:t xml:space="preserve"> as an “act</w:t>
      </w:r>
      <w:r w:rsidR="00091958" w:rsidRPr="005007CE">
        <w:t>”</w:t>
      </w:r>
      <w:r w:rsidR="00787770" w:rsidRPr="005007CE">
        <w:t xml:space="preserve"> in furtherance of speech or petitioning rights</w:t>
      </w:r>
      <w:r w:rsidR="00D42BF6" w:rsidRPr="005007CE">
        <w:t>—</w:t>
      </w:r>
      <w:r w:rsidR="00091958" w:rsidRPr="005007CE">
        <w:t xml:space="preserve">when the statement is made before an official proceeding, made in </w:t>
      </w:r>
      <w:r w:rsidR="00C623DC" w:rsidRPr="005007CE">
        <w:t xml:space="preserve">a </w:t>
      </w:r>
      <w:r w:rsidR="003C3CE7" w:rsidRPr="005007CE">
        <w:t xml:space="preserve">public </w:t>
      </w:r>
      <w:r w:rsidR="00C623DC" w:rsidRPr="005007CE">
        <w:t>place</w:t>
      </w:r>
      <w:r w:rsidR="003C3CE7" w:rsidRPr="005007CE">
        <w:t xml:space="preserve"> on a public issue</w:t>
      </w:r>
      <w:r w:rsidR="00C623DC" w:rsidRPr="005007CE">
        <w:t xml:space="preserve">, and so on.  </w:t>
      </w:r>
      <w:r w:rsidR="00D27B69" w:rsidRPr="005007CE">
        <w:t>S</w:t>
      </w:r>
      <w:r w:rsidR="007A2A13" w:rsidRPr="005007CE">
        <w:t xml:space="preserve">ubdivision (e)(4) extends protection to “any other conduct” that </w:t>
      </w:r>
      <w:r w:rsidR="007A2A13" w:rsidRPr="005007CE">
        <w:lastRenderedPageBreak/>
        <w:t xml:space="preserve">meets </w:t>
      </w:r>
      <w:r w:rsidR="00091958" w:rsidRPr="005007CE">
        <w:t xml:space="preserve">the </w:t>
      </w:r>
      <w:r w:rsidR="007A2A13" w:rsidRPr="005007CE">
        <w:t>requirements</w:t>
      </w:r>
      <w:r w:rsidR="00A139A5" w:rsidRPr="005007CE">
        <w:t xml:space="preserve"> specified in that subdivision</w:t>
      </w:r>
      <w:r w:rsidR="007A2A13" w:rsidRPr="005007CE">
        <w:t xml:space="preserve">.  </w:t>
      </w:r>
      <w:r w:rsidRPr="005007CE">
        <w:t xml:space="preserve">Even though the </w:t>
      </w:r>
      <w:r w:rsidR="007B452C" w:rsidRPr="005007CE">
        <w:t xml:space="preserve">word “conduct” is often used, particularly in the First Amendment context, in </w:t>
      </w:r>
      <w:r w:rsidR="006F44FB" w:rsidRPr="005007CE">
        <w:t xml:space="preserve">contradistinction </w:t>
      </w:r>
      <w:r w:rsidR="007B452C" w:rsidRPr="005007CE">
        <w:t>to “speech</w:t>
      </w:r>
      <w:r w:rsidRPr="005007CE">
        <w:t>,</w:t>
      </w:r>
      <w:r w:rsidR="007B452C" w:rsidRPr="005007CE">
        <w:t>”  the use of the phrase “</w:t>
      </w:r>
      <w:r w:rsidR="007B452C" w:rsidRPr="005007CE">
        <w:rPr>
          <w:i/>
        </w:rPr>
        <w:t>other</w:t>
      </w:r>
      <w:r w:rsidR="007B452C" w:rsidRPr="005007CE">
        <w:t xml:space="preserve"> conduct”</w:t>
      </w:r>
      <w:r w:rsidR="006F44FB" w:rsidRPr="005007CE">
        <w:t xml:space="preserve"> (</w:t>
      </w:r>
      <w:r w:rsidR="002369AB" w:rsidRPr="002369AB">
        <w:rPr>
          <w:i/>
        </w:rPr>
        <w:t>ibid.</w:t>
      </w:r>
      <w:r w:rsidR="002369AB">
        <w:t xml:space="preserve">, </w:t>
      </w:r>
      <w:r w:rsidR="006F44FB" w:rsidRPr="005007CE">
        <w:t>italics added)</w:t>
      </w:r>
      <w:r w:rsidR="007B452C" w:rsidRPr="005007CE">
        <w:t xml:space="preserve"> </w:t>
      </w:r>
      <w:r w:rsidR="00C623DC" w:rsidRPr="005007CE">
        <w:t xml:space="preserve">indicates </w:t>
      </w:r>
      <w:r w:rsidR="007B452C" w:rsidRPr="005007CE">
        <w:t xml:space="preserve">the Legislature regarded </w:t>
      </w:r>
      <w:r w:rsidR="00C55EA6" w:rsidRPr="005007CE">
        <w:t xml:space="preserve">the acts of speaking or writing identified in the preceding provisions </w:t>
      </w:r>
      <w:r w:rsidR="007B452C" w:rsidRPr="005007CE">
        <w:t>as “conduct”</w:t>
      </w:r>
      <w:r w:rsidR="006F44FB" w:rsidRPr="005007CE">
        <w:t xml:space="preserve"> too.</w:t>
      </w:r>
      <w:r w:rsidR="007B452C" w:rsidRPr="005007CE">
        <w:t xml:space="preserve">  It follows that “conduct” in </w:t>
      </w:r>
      <w:r w:rsidR="00C55EA6" w:rsidRPr="005007CE">
        <w:t xml:space="preserve">subdivision (e)(4) is intended </w:t>
      </w:r>
      <w:r w:rsidR="00F054D6" w:rsidRPr="005007CE">
        <w:t xml:space="preserve">to embrace </w:t>
      </w:r>
      <w:r w:rsidR="00092BE3" w:rsidRPr="005007CE">
        <w:t xml:space="preserve">speech, as well as </w:t>
      </w:r>
      <w:r w:rsidR="00A30FFA" w:rsidRPr="005007CE">
        <w:t xml:space="preserve">tangible </w:t>
      </w:r>
      <w:r w:rsidR="00092BE3" w:rsidRPr="005007CE">
        <w:t xml:space="preserve">action.  </w:t>
      </w:r>
      <w:r w:rsidR="000B5A03" w:rsidRPr="005007CE">
        <w:t>T</w:t>
      </w:r>
      <w:r w:rsidR="006E74E9" w:rsidRPr="005007CE">
        <w:t xml:space="preserve">o the </w:t>
      </w:r>
      <w:r w:rsidR="000B00BF" w:rsidRPr="005007CE">
        <w:t xml:space="preserve">extent there is any doubt, </w:t>
      </w:r>
      <w:r w:rsidR="002431A0" w:rsidRPr="005007CE">
        <w:t xml:space="preserve">we construe the statute broadly to achieve its purposes.  </w:t>
      </w:r>
      <w:r w:rsidR="00C55EA6" w:rsidRPr="005007CE">
        <w:t>(</w:t>
      </w:r>
      <w:r w:rsidR="004D77D3" w:rsidRPr="005007CE">
        <w:t>§ 425.16, subd. (a)</w:t>
      </w:r>
      <w:r w:rsidR="00C55EA6" w:rsidRPr="005007CE">
        <w:t>.)</w:t>
      </w:r>
    </w:p>
    <w:p w14:paraId="1B8B9A57" w14:textId="0DD1DC75" w:rsidR="0022098F" w:rsidRPr="005007CE" w:rsidRDefault="009D52EA" w:rsidP="00414F44">
      <w:pPr>
        <w:tabs>
          <w:tab w:val="left" w:pos="1440"/>
        </w:tabs>
        <w:ind w:firstLine="720"/>
      </w:pPr>
      <w:r w:rsidRPr="005007CE">
        <w:t xml:space="preserve">The </w:t>
      </w:r>
      <w:r w:rsidR="0001258D" w:rsidRPr="005007CE">
        <w:t xml:space="preserve">harder question concerns </w:t>
      </w:r>
      <w:r w:rsidR="009A783F" w:rsidRPr="005007CE">
        <w:t xml:space="preserve">precisely </w:t>
      </w:r>
      <w:r w:rsidRPr="005007CE">
        <w:t xml:space="preserve">what </w:t>
      </w:r>
      <w:r w:rsidR="0001258D" w:rsidRPr="005007CE">
        <w:t xml:space="preserve">kinds of </w:t>
      </w:r>
      <w:r w:rsidRPr="005007CE">
        <w:t>speech are cove</w:t>
      </w:r>
      <w:r w:rsidR="007557A7" w:rsidRPr="005007CE">
        <w:t>red</w:t>
      </w:r>
      <w:r w:rsidR="00781570" w:rsidRPr="005007CE">
        <w:t xml:space="preserve"> by subdivision (e)(4).  Unlike </w:t>
      </w:r>
      <w:r w:rsidR="001C4182" w:rsidRPr="005007CE">
        <w:t xml:space="preserve">its neighboring subdivisions—which define protected conduct “not only by its </w:t>
      </w:r>
      <w:r w:rsidR="003F6219" w:rsidRPr="005007CE">
        <w:t xml:space="preserve">content, but also by its </w:t>
      </w:r>
      <w:r w:rsidR="001C4182" w:rsidRPr="005007CE">
        <w:t>location, its audience, and its timing”</w:t>
      </w:r>
      <w:r w:rsidR="002369AB" w:rsidRPr="002369AB">
        <w:t xml:space="preserve"> </w:t>
      </w:r>
      <w:r w:rsidR="002369AB" w:rsidRPr="005007CE">
        <w:t>(</w:t>
      </w:r>
      <w:r w:rsidR="002369AB" w:rsidRPr="005007CE">
        <w:rPr>
          <w:i/>
        </w:rPr>
        <w:t>FilmOn.com Inc. v. DoubleVerify Inc.</w:t>
      </w:r>
      <w:r w:rsidR="002369AB" w:rsidRPr="005007CE">
        <w:t xml:space="preserve">, </w:t>
      </w:r>
      <w:r w:rsidR="002369AB" w:rsidRPr="005007CE">
        <w:rPr>
          <w:i/>
        </w:rPr>
        <w:t>supra</w:t>
      </w:r>
      <w:r w:rsidR="002369AB" w:rsidRPr="005007CE">
        <w:t>, 7 Cal.5th at p. 14</w:t>
      </w:r>
      <w:r w:rsidR="002369AB">
        <w:t>3</w:t>
      </w:r>
      <w:r w:rsidR="002369AB" w:rsidRPr="005007CE">
        <w:t>)</w:t>
      </w:r>
      <w:r w:rsidR="001C4182" w:rsidRPr="005007CE">
        <w:t>—the “catchall” provision of subdivision (e)(4) contains “no similar contextual references to help courts discern the type of conduct and speech to protect”</w:t>
      </w:r>
      <w:r w:rsidR="002369AB">
        <w:t xml:space="preserve"> (</w:t>
      </w:r>
      <w:r w:rsidR="002369AB" w:rsidRPr="002369AB">
        <w:rPr>
          <w:i/>
        </w:rPr>
        <w:t>id.</w:t>
      </w:r>
      <w:r w:rsidR="002369AB">
        <w:t xml:space="preserve"> at p. 144).</w:t>
      </w:r>
      <w:r w:rsidR="007557A7" w:rsidRPr="005007CE">
        <w:t xml:space="preserve">  </w:t>
      </w:r>
      <w:r w:rsidR="009D0803" w:rsidRPr="005007CE">
        <w:t xml:space="preserve">But </w:t>
      </w:r>
      <w:r w:rsidR="00AD669B" w:rsidRPr="005007CE">
        <w:t>when a general provision follows specific examples, as subdivision (e)(4) follows subdivision (e)(1) through (e)(3), we generally understand that provision as “</w:t>
      </w:r>
      <w:r w:rsidR="001E64A2" w:rsidRPr="005007CE">
        <w:t> </w:t>
      </w:r>
      <w:r w:rsidR="000430FE" w:rsidRPr="005007CE">
        <w:t>‘ “restricted to those things that are similar to those which are enumerated specifically.” ’ ”  (</w:t>
      </w:r>
      <w:r w:rsidR="000430FE" w:rsidRPr="005007CE">
        <w:rPr>
          <w:i/>
        </w:rPr>
        <w:t>Costco Wholesale Corp. v. Superior Court</w:t>
      </w:r>
      <w:r w:rsidR="000430FE" w:rsidRPr="005007CE">
        <w:t xml:space="preserve"> (2009) 47 Cal.4th 725, 743; </w:t>
      </w:r>
      <w:r w:rsidR="006B0C49">
        <w:t xml:space="preserve">accord, </w:t>
      </w:r>
      <w:r w:rsidR="000430FE" w:rsidRPr="005007CE">
        <w:rPr>
          <w:i/>
        </w:rPr>
        <w:t>FilmOn.</w:t>
      </w:r>
      <w:r w:rsidR="005733AE" w:rsidRPr="005007CE">
        <w:rPr>
          <w:i/>
        </w:rPr>
        <w:t>c</w:t>
      </w:r>
      <w:r w:rsidR="000430FE" w:rsidRPr="005007CE">
        <w:rPr>
          <w:i/>
        </w:rPr>
        <w:t>om Inc.</w:t>
      </w:r>
      <w:r w:rsidR="001C4A6F" w:rsidRPr="005007CE">
        <w:t>,</w:t>
      </w:r>
      <w:r w:rsidR="000430FE" w:rsidRPr="005007CE">
        <w:t xml:space="preserve"> at p. </w:t>
      </w:r>
      <w:r w:rsidR="001C4A6F" w:rsidRPr="005007CE">
        <w:t>144</w:t>
      </w:r>
      <w:r w:rsidR="000430FE" w:rsidRPr="005007CE">
        <w:t>.)</w:t>
      </w:r>
    </w:p>
    <w:p w14:paraId="55ACCF4D" w14:textId="107A1662" w:rsidR="00A63B9D" w:rsidRPr="005007CE" w:rsidRDefault="00E90EC5" w:rsidP="00414F44">
      <w:pPr>
        <w:tabs>
          <w:tab w:val="left" w:pos="1440"/>
        </w:tabs>
        <w:ind w:firstLine="720"/>
        <w:rPr>
          <w:b/>
          <w:i/>
        </w:rPr>
      </w:pPr>
      <w:r w:rsidRPr="005007CE">
        <w:t xml:space="preserve">The common thread that runs through </w:t>
      </w:r>
      <w:r w:rsidR="00121EA0" w:rsidRPr="005007CE">
        <w:t xml:space="preserve">subdivision (e)(1) through (e)(3) </w:t>
      </w:r>
      <w:r w:rsidRPr="005007CE">
        <w:t xml:space="preserve">is that each provision protects speech that contributes </w:t>
      </w:r>
      <w:r w:rsidR="00121EA0" w:rsidRPr="005007CE">
        <w:t xml:space="preserve">to the public discussion or resolution of </w:t>
      </w:r>
      <w:r w:rsidR="003F10D7" w:rsidRPr="005007CE">
        <w:t xml:space="preserve">public </w:t>
      </w:r>
      <w:r w:rsidR="007557A7" w:rsidRPr="005007CE">
        <w:t>issues</w:t>
      </w:r>
      <w:r w:rsidR="003F10D7" w:rsidRPr="005007CE">
        <w:t xml:space="preserve">—a thread that also ties these provisions together with </w:t>
      </w:r>
      <w:r w:rsidR="001A4F9C" w:rsidRPr="005007CE">
        <w:t xml:space="preserve">the </w:t>
      </w:r>
      <w:r w:rsidR="003F10D7" w:rsidRPr="005007CE">
        <w:t xml:space="preserve">statute’s stated purpose of furthering </w:t>
      </w:r>
      <w:r w:rsidR="00A63B9D" w:rsidRPr="005007CE">
        <w:t xml:space="preserve">“continued participation in matters of public significance.”  (§ 425.16, subd. (a).)  </w:t>
      </w:r>
      <w:r w:rsidR="004852BF" w:rsidRPr="005007CE">
        <w:t xml:space="preserve">It </w:t>
      </w:r>
      <w:r w:rsidR="003F10D7" w:rsidRPr="005007CE">
        <w:t xml:space="preserve">follows </w:t>
      </w:r>
      <w:r w:rsidR="004852BF" w:rsidRPr="005007CE">
        <w:t xml:space="preserve">that </w:t>
      </w:r>
      <w:r w:rsidR="00A75995" w:rsidRPr="005007CE">
        <w:t>a defendant who claims</w:t>
      </w:r>
      <w:r w:rsidR="00A139A5" w:rsidRPr="005007CE">
        <w:t xml:space="preserve"> its speech was </w:t>
      </w:r>
      <w:r w:rsidR="00A139A5" w:rsidRPr="005007CE">
        <w:lastRenderedPageBreak/>
        <w:t xml:space="preserve">protected as “conduct </w:t>
      </w:r>
      <w:r w:rsidR="0022098F" w:rsidRPr="005007CE">
        <w:rPr>
          <w:szCs w:val="26"/>
        </w:rPr>
        <w:t>in furtherance of the exercise of [free speech rights] in connection with a public issue or an issue of public interest</w:t>
      </w:r>
      <w:r w:rsidR="0022098F" w:rsidRPr="005007CE">
        <w:t xml:space="preserve">” </w:t>
      </w:r>
      <w:r w:rsidR="001E64A2" w:rsidRPr="005007CE">
        <w:t>(</w:t>
      </w:r>
      <w:r w:rsidR="001E64A2" w:rsidRPr="005007CE">
        <w:rPr>
          <w:i/>
        </w:rPr>
        <w:t>id.</w:t>
      </w:r>
      <w:r w:rsidR="001E64A2" w:rsidRPr="005007CE">
        <w:t xml:space="preserve">, subd. (e)(4)) </w:t>
      </w:r>
      <w:r w:rsidR="0022098F" w:rsidRPr="005007CE">
        <w:t xml:space="preserve">must show not only that its speech </w:t>
      </w:r>
      <w:r w:rsidR="00BD5200" w:rsidRPr="005007CE">
        <w:t xml:space="preserve">referred to </w:t>
      </w:r>
      <w:r w:rsidR="0022098F" w:rsidRPr="005007CE">
        <w:t>a</w:t>
      </w:r>
      <w:r w:rsidR="00837CA8" w:rsidRPr="005007CE">
        <w:t xml:space="preserve">n issue </w:t>
      </w:r>
      <w:r w:rsidR="0022098F" w:rsidRPr="005007CE">
        <w:t>of public interest, b</w:t>
      </w:r>
      <w:r w:rsidR="00BD5200" w:rsidRPr="005007CE">
        <w:t xml:space="preserve">ut also that its speech contributed </w:t>
      </w:r>
      <w:r w:rsidR="00A63B9D" w:rsidRPr="005007CE">
        <w:t xml:space="preserve">to public discussion or </w:t>
      </w:r>
      <w:r w:rsidR="00954A2C" w:rsidRPr="005007CE">
        <w:t xml:space="preserve">resolution of </w:t>
      </w:r>
      <w:r w:rsidR="0099110B" w:rsidRPr="005007CE">
        <w:t xml:space="preserve">the </w:t>
      </w:r>
      <w:r w:rsidR="00A63B9D" w:rsidRPr="005007CE">
        <w:t>issue</w:t>
      </w:r>
      <w:r w:rsidR="005E70B4" w:rsidRPr="005007CE">
        <w:t xml:space="preserve"> (</w:t>
      </w:r>
      <w:r w:rsidR="001E64A2" w:rsidRPr="005007CE">
        <w:t>s</w:t>
      </w:r>
      <w:r w:rsidR="005E70B4" w:rsidRPr="005007CE">
        <w:t xml:space="preserve">ee </w:t>
      </w:r>
      <w:r w:rsidR="005E70B4" w:rsidRPr="005007CE">
        <w:rPr>
          <w:i/>
        </w:rPr>
        <w:t>FilmOn.</w:t>
      </w:r>
      <w:r w:rsidR="005733AE" w:rsidRPr="005007CE">
        <w:rPr>
          <w:i/>
        </w:rPr>
        <w:t>c</w:t>
      </w:r>
      <w:r w:rsidR="005E70B4" w:rsidRPr="005007CE">
        <w:rPr>
          <w:i/>
        </w:rPr>
        <w:t>om Inc. v. DoubleVerify Inc.</w:t>
      </w:r>
      <w:r w:rsidR="005E70B4" w:rsidRPr="005007CE">
        <w:t xml:space="preserve">, </w:t>
      </w:r>
      <w:r w:rsidR="005E70B4" w:rsidRPr="005007CE">
        <w:rPr>
          <w:i/>
        </w:rPr>
        <w:t>supra</w:t>
      </w:r>
      <w:r w:rsidR="005E70B4" w:rsidRPr="005007CE">
        <w:t xml:space="preserve">, </w:t>
      </w:r>
      <w:r w:rsidR="001C4A6F" w:rsidRPr="005007CE">
        <w:t>7</w:t>
      </w:r>
      <w:r w:rsidR="005E70B4" w:rsidRPr="005007CE">
        <w:t xml:space="preserve"> Cal.5th at p</w:t>
      </w:r>
      <w:r w:rsidR="00745E49" w:rsidRPr="005007CE">
        <w:t>p</w:t>
      </w:r>
      <w:r w:rsidR="005E70B4" w:rsidRPr="005007CE">
        <w:t>. </w:t>
      </w:r>
      <w:r w:rsidR="00745E49" w:rsidRPr="005007CE">
        <w:t>150–152</w:t>
      </w:r>
      <w:r w:rsidR="005E70B4" w:rsidRPr="005007CE">
        <w:t xml:space="preserve">; </w:t>
      </w:r>
      <w:r w:rsidR="004852BF" w:rsidRPr="005007CE">
        <w:rPr>
          <w:i/>
        </w:rPr>
        <w:t>City of Industry v. City of Fillmore</w:t>
      </w:r>
      <w:r w:rsidR="004852BF" w:rsidRPr="005007CE">
        <w:t xml:space="preserve"> (2011) 198 Cal.App.4th 191, 217–218</w:t>
      </w:r>
      <w:r w:rsidR="004852BF" w:rsidRPr="005007CE">
        <w:rPr>
          <w:szCs w:val="26"/>
        </w:rPr>
        <w:t>;</w:t>
      </w:r>
      <w:r w:rsidR="004852BF" w:rsidRPr="005007CE">
        <w:t xml:space="preserve"> </w:t>
      </w:r>
      <w:r w:rsidR="004852BF" w:rsidRPr="005007CE">
        <w:rPr>
          <w:i/>
        </w:rPr>
        <w:t>Wilbanks v. Wolk</w:t>
      </w:r>
      <w:r w:rsidR="004852BF" w:rsidRPr="005007CE">
        <w:t xml:space="preserve">, </w:t>
      </w:r>
      <w:r w:rsidR="004852BF" w:rsidRPr="005007CE">
        <w:rPr>
          <w:i/>
        </w:rPr>
        <w:t>supra</w:t>
      </w:r>
      <w:r w:rsidR="004852BF" w:rsidRPr="005007CE">
        <w:t>, 121 Cal.App.4th at p. 898</w:t>
      </w:r>
      <w:r w:rsidR="001E64A2" w:rsidRPr="005007CE">
        <w:t>)</w:t>
      </w:r>
      <w:r w:rsidR="004852BF" w:rsidRPr="005007CE">
        <w:t>.</w:t>
      </w:r>
    </w:p>
    <w:p w14:paraId="619992B0" w14:textId="77777777" w:rsidR="003D0A18" w:rsidRPr="005007CE" w:rsidRDefault="003D0A18" w:rsidP="00443D0F">
      <w:pPr>
        <w:keepNext/>
        <w:tabs>
          <w:tab w:val="left" w:pos="1440"/>
        </w:tabs>
        <w:jc w:val="center"/>
        <w:rPr>
          <w:b/>
        </w:rPr>
      </w:pPr>
      <w:r w:rsidRPr="005007CE">
        <w:rPr>
          <w:b/>
        </w:rPr>
        <w:t>B.</w:t>
      </w:r>
    </w:p>
    <w:p w14:paraId="5B9D6259" w14:textId="17E4B8E2" w:rsidR="00DA22D5" w:rsidRPr="005007CE" w:rsidRDefault="00DA22D5" w:rsidP="00414F44">
      <w:pPr>
        <w:tabs>
          <w:tab w:val="left" w:pos="1440"/>
        </w:tabs>
        <w:ind w:firstLine="720"/>
      </w:pPr>
      <w:r w:rsidRPr="005007CE">
        <w:t>CNN argues its statements were in connection with three issues of public significance:  Los Angeles County Sheriff Lee Baca’s retirement, Wilson’s plagiarism, and the general subject of journalistic ethics.</w:t>
      </w:r>
      <w:r w:rsidR="00B670E8" w:rsidRPr="005007CE">
        <w:t xml:space="preserve">  </w:t>
      </w:r>
      <w:r w:rsidR="00DC2D8C" w:rsidRPr="005007CE">
        <w:t>Considering each in turn,</w:t>
      </w:r>
      <w:r w:rsidR="00B670E8" w:rsidRPr="005007CE">
        <w:t xml:space="preserve"> we conclude Wilson’s defamation claim does not arise from speech on “a public issue or </w:t>
      </w:r>
      <w:r w:rsidR="0001704E" w:rsidRPr="005007CE">
        <w:t xml:space="preserve">an </w:t>
      </w:r>
      <w:r w:rsidR="00B670E8" w:rsidRPr="005007CE">
        <w:t>issue of public interest” (</w:t>
      </w:r>
      <w:r w:rsidR="00DC2D8C" w:rsidRPr="005007CE">
        <w:t>§ 425.16,</w:t>
      </w:r>
      <w:r w:rsidR="00D86D95" w:rsidRPr="005007CE">
        <w:t xml:space="preserve"> subd. (e)(4)) that contribute</w:t>
      </w:r>
      <w:r w:rsidR="00FC2FAC">
        <w:t>d</w:t>
      </w:r>
      <w:r w:rsidR="00D86D95" w:rsidRPr="005007CE">
        <w:t xml:space="preserve"> to public discussion of that issue.</w:t>
      </w:r>
    </w:p>
    <w:p w14:paraId="3FD2C633" w14:textId="67E1929D" w:rsidR="00745259" w:rsidRPr="005007CE" w:rsidRDefault="00911FB6" w:rsidP="00414F44">
      <w:pPr>
        <w:tabs>
          <w:tab w:val="left" w:pos="1440"/>
        </w:tabs>
        <w:ind w:firstLine="720"/>
      </w:pPr>
      <w:r w:rsidRPr="005007CE">
        <w:t xml:space="preserve">Sheriff </w:t>
      </w:r>
      <w:r w:rsidR="007F24C3" w:rsidRPr="005007CE">
        <w:t>Baca’s retirement wa</w:t>
      </w:r>
      <w:r w:rsidR="00B670E8" w:rsidRPr="005007CE">
        <w:t>s</w:t>
      </w:r>
      <w:r w:rsidR="00D86D95" w:rsidRPr="005007CE">
        <w:t xml:space="preserve"> </w:t>
      </w:r>
      <w:r w:rsidR="0053313F" w:rsidRPr="005007CE">
        <w:t xml:space="preserve">indeed </w:t>
      </w:r>
      <w:r w:rsidR="00D86D95" w:rsidRPr="005007CE">
        <w:t>a matter of public interest.</w:t>
      </w:r>
      <w:r w:rsidR="00106117" w:rsidRPr="005007CE">
        <w:rPr>
          <w:rStyle w:val="FootnoteReference"/>
        </w:rPr>
        <w:footnoteReference w:id="14"/>
      </w:r>
      <w:r w:rsidR="00B670E8" w:rsidRPr="005007CE">
        <w:t xml:space="preserve"> </w:t>
      </w:r>
      <w:r w:rsidR="006340E9" w:rsidRPr="005007CE">
        <w:t xml:space="preserve"> </w:t>
      </w:r>
      <w:r w:rsidR="00236710" w:rsidRPr="005007CE">
        <w:t xml:space="preserve">But </w:t>
      </w:r>
      <w:r w:rsidR="00B670E8" w:rsidRPr="005007CE">
        <w:t>Wilson’s claim does not</w:t>
      </w:r>
      <w:r w:rsidR="00236710" w:rsidRPr="005007CE">
        <w:t xml:space="preserve"> </w:t>
      </w:r>
      <w:r w:rsidR="00B670E8" w:rsidRPr="005007CE">
        <w:t xml:space="preserve">rest on statements CNN </w:t>
      </w:r>
      <w:r w:rsidR="00B670E8" w:rsidRPr="005007CE">
        <w:lastRenderedPageBreak/>
        <w:t>made about that subject</w:t>
      </w:r>
      <w:r w:rsidR="00F416D7" w:rsidRPr="005007CE">
        <w:t>; it rests instead on</w:t>
      </w:r>
      <w:r w:rsidR="00B670E8" w:rsidRPr="005007CE">
        <w:t xml:space="preserve"> </w:t>
      </w:r>
      <w:r w:rsidRPr="005007CE">
        <w:t xml:space="preserve">statements </w:t>
      </w:r>
      <w:r w:rsidR="00B670E8" w:rsidRPr="005007CE">
        <w:t xml:space="preserve">about the reason for Wilson’s termination.  </w:t>
      </w:r>
      <w:r w:rsidR="005D1185" w:rsidRPr="005007CE">
        <w:t>T</w:t>
      </w:r>
      <w:r w:rsidR="00B670E8" w:rsidRPr="005007CE">
        <w:t xml:space="preserve">he story Wilson wrote could have been about </w:t>
      </w:r>
      <w:r w:rsidR="00A822F8" w:rsidRPr="005007CE">
        <w:t>some other topic entirely</w:t>
      </w:r>
      <w:r w:rsidR="00C0319B" w:rsidRPr="005007CE">
        <w:t>—the state of global financial markets, gardening tips, or anything else under the sun—</w:t>
      </w:r>
      <w:r w:rsidR="00B670E8" w:rsidRPr="005007CE">
        <w:t>an</w:t>
      </w:r>
      <w:r w:rsidR="007F1A2A" w:rsidRPr="005007CE">
        <w:t xml:space="preserve">d his </w:t>
      </w:r>
      <w:r w:rsidR="00DC5C77" w:rsidRPr="005007CE">
        <w:t xml:space="preserve">defamation </w:t>
      </w:r>
      <w:r w:rsidR="007F1A2A" w:rsidRPr="005007CE">
        <w:t>claim would be the same.</w:t>
      </w:r>
      <w:r w:rsidR="007D68A2" w:rsidRPr="005007CE">
        <w:t xml:space="preserve">  </w:t>
      </w:r>
      <w:r w:rsidR="00BB5C39" w:rsidRPr="005007CE">
        <w:t xml:space="preserve">CNN’s </w:t>
      </w:r>
      <w:r w:rsidR="00C31A46" w:rsidRPr="005007CE">
        <w:t xml:space="preserve">alleged statements, although they </w:t>
      </w:r>
      <w:r w:rsidR="001F32C7" w:rsidRPr="005007CE">
        <w:t>tangentially</w:t>
      </w:r>
      <w:r w:rsidR="007D68A2" w:rsidRPr="005007CE">
        <w:t xml:space="preserve"> </w:t>
      </w:r>
      <w:r w:rsidR="00BB5C39" w:rsidRPr="005007CE">
        <w:t>reference</w:t>
      </w:r>
      <w:r w:rsidR="00C31A46" w:rsidRPr="005007CE">
        <w:t>d</w:t>
      </w:r>
      <w:r w:rsidR="00BB5C39" w:rsidRPr="005007CE">
        <w:t xml:space="preserve"> </w:t>
      </w:r>
      <w:r w:rsidR="007D68A2" w:rsidRPr="005007CE">
        <w:t>Sheriff Baca’s retirement</w:t>
      </w:r>
      <w:r w:rsidR="006A65A3" w:rsidRPr="005007CE">
        <w:t>,</w:t>
      </w:r>
      <w:r w:rsidR="007D68A2" w:rsidRPr="005007CE">
        <w:t xml:space="preserve"> </w:t>
      </w:r>
      <w:r w:rsidR="00C31A46" w:rsidRPr="005007CE">
        <w:t xml:space="preserve">did not </w:t>
      </w:r>
      <w:r w:rsidR="00BB5C39" w:rsidRPr="005007CE">
        <w:t>contribute to any public, or even private, discussion of that subject.</w:t>
      </w:r>
      <w:r w:rsidRPr="005007CE">
        <w:t xml:space="preserve">  It follows that </w:t>
      </w:r>
      <w:r w:rsidR="00C31A46" w:rsidRPr="005007CE">
        <w:t xml:space="preserve">the defamation claim does not arise from </w:t>
      </w:r>
      <w:r w:rsidRPr="005007CE">
        <w:t>statements made “in connection with” any public issue related to Sheriff Baca’s retirement.</w:t>
      </w:r>
      <w:r w:rsidR="007526C8">
        <w:t xml:space="preserve">  (§ 425.16, subd. (e)(4).)</w:t>
      </w:r>
    </w:p>
    <w:p w14:paraId="140A7283" w14:textId="07C39169" w:rsidR="006424D2" w:rsidRPr="005007CE" w:rsidRDefault="002A15A6" w:rsidP="00414F44">
      <w:pPr>
        <w:tabs>
          <w:tab w:val="left" w:pos="1440"/>
        </w:tabs>
        <w:ind w:firstLine="720"/>
      </w:pPr>
      <w:r w:rsidRPr="005007CE">
        <w:t xml:space="preserve">CNN contends </w:t>
      </w:r>
      <w:r w:rsidR="00DC5C77" w:rsidRPr="005007CE">
        <w:t>the actual subject of its statement</w:t>
      </w:r>
      <w:r w:rsidRPr="005007CE">
        <w:t xml:space="preserve">, Wilson’s professional competence and the reasons for his termination, is </w:t>
      </w:r>
      <w:r w:rsidR="007701C3" w:rsidRPr="005007CE">
        <w:t xml:space="preserve">also </w:t>
      </w:r>
      <w:r w:rsidRPr="005007CE">
        <w:t>an issue of public interest</w:t>
      </w:r>
      <w:r w:rsidR="005E1EF8" w:rsidRPr="005007CE">
        <w:t xml:space="preserve">.  </w:t>
      </w:r>
      <w:r w:rsidR="000A04E1" w:rsidRPr="005007CE">
        <w:t xml:space="preserve">But not </w:t>
      </w:r>
      <w:r w:rsidR="007D68A2" w:rsidRPr="005007CE">
        <w:t>every employment dispute</w:t>
      </w:r>
      <w:r w:rsidR="000A04E1" w:rsidRPr="005007CE">
        <w:t xml:space="preserve">—even at </w:t>
      </w:r>
      <w:r w:rsidR="00D256F6" w:rsidRPr="005007CE">
        <w:t>a prominent news organization</w:t>
      </w:r>
      <w:r w:rsidR="000A04E1" w:rsidRPr="005007CE">
        <w:t>—is a matter of public significance</w:t>
      </w:r>
      <w:r w:rsidRPr="005007CE">
        <w:t xml:space="preserve">.  </w:t>
      </w:r>
      <w:r w:rsidR="00F56DA5">
        <w:t xml:space="preserve">Certainly </w:t>
      </w:r>
      <w:r w:rsidR="007D68A2" w:rsidRPr="005007CE">
        <w:t>s</w:t>
      </w:r>
      <w:r w:rsidR="00096710" w:rsidRPr="005007CE">
        <w:t>ome</w:t>
      </w:r>
      <w:r w:rsidRPr="005007CE">
        <w:t xml:space="preserve"> </w:t>
      </w:r>
      <w:r w:rsidR="00201EF7" w:rsidRPr="005007CE">
        <w:t>individual</w:t>
      </w:r>
      <w:r w:rsidR="00096710" w:rsidRPr="005007CE">
        <w:t>s</w:t>
      </w:r>
      <w:r w:rsidR="00ED1F15" w:rsidRPr="005007CE">
        <w:t xml:space="preserve"> may be so prominent</w:t>
      </w:r>
      <w:r w:rsidR="00B21360" w:rsidRPr="005007CE">
        <w:t>, or</w:t>
      </w:r>
      <w:r w:rsidR="009576A2">
        <w:t xml:space="preserve"> </w:t>
      </w:r>
      <w:r w:rsidR="00B21360" w:rsidRPr="005007CE">
        <w:t>in such a prominent position,</w:t>
      </w:r>
      <w:r w:rsidR="007A11A0" w:rsidRPr="005007CE">
        <w:t xml:space="preserve"> </w:t>
      </w:r>
      <w:r w:rsidR="00ED1F15" w:rsidRPr="005007CE">
        <w:t>that</w:t>
      </w:r>
      <w:r w:rsidR="00096710" w:rsidRPr="005007CE">
        <w:t xml:space="preserve"> any discussion of them</w:t>
      </w:r>
      <w:r w:rsidR="00DC5C77" w:rsidRPr="005007CE">
        <w:t xml:space="preserve"> </w:t>
      </w:r>
      <w:r w:rsidR="00CD2662" w:rsidRPr="005007CE">
        <w:t>concerns a matter of public interest</w:t>
      </w:r>
      <w:r w:rsidRPr="005007CE">
        <w:t>.  (</w:t>
      </w:r>
      <w:r w:rsidR="005E1EF8" w:rsidRPr="005007CE">
        <w:t xml:space="preserve">See </w:t>
      </w:r>
      <w:r w:rsidR="00D73817" w:rsidRPr="005007CE">
        <w:rPr>
          <w:i/>
        </w:rPr>
        <w:t>McGarry</w:t>
      </w:r>
      <w:r w:rsidR="00E70868" w:rsidRPr="005007CE">
        <w:rPr>
          <w:i/>
        </w:rPr>
        <w:t xml:space="preserve"> v. </w:t>
      </w:r>
      <w:r w:rsidR="00E70868" w:rsidRPr="005007CE">
        <w:rPr>
          <w:i/>
          <w:szCs w:val="26"/>
        </w:rPr>
        <w:t>University of San Diego</w:t>
      </w:r>
      <w:r w:rsidR="00B25805" w:rsidRPr="005007CE">
        <w:rPr>
          <w:szCs w:val="26"/>
        </w:rPr>
        <w:t xml:space="preserve">, </w:t>
      </w:r>
      <w:r w:rsidR="00B25805" w:rsidRPr="005007CE">
        <w:rPr>
          <w:i/>
          <w:szCs w:val="26"/>
        </w:rPr>
        <w:t>supra</w:t>
      </w:r>
      <w:r w:rsidR="00B25805" w:rsidRPr="005007CE">
        <w:rPr>
          <w:szCs w:val="26"/>
        </w:rPr>
        <w:t xml:space="preserve">, </w:t>
      </w:r>
      <w:r w:rsidR="00781E7F" w:rsidRPr="005007CE">
        <w:rPr>
          <w:szCs w:val="26"/>
        </w:rPr>
        <w:t xml:space="preserve">154 Cal.App.4th </w:t>
      </w:r>
      <w:r w:rsidR="00B25805" w:rsidRPr="005007CE">
        <w:rPr>
          <w:szCs w:val="26"/>
        </w:rPr>
        <w:t>at p. </w:t>
      </w:r>
      <w:r w:rsidR="00781E7F" w:rsidRPr="005007CE">
        <w:rPr>
          <w:szCs w:val="26"/>
        </w:rPr>
        <w:t>110</w:t>
      </w:r>
      <w:r w:rsidR="00BD1BC8" w:rsidRPr="005007CE">
        <w:rPr>
          <w:szCs w:val="26"/>
        </w:rPr>
        <w:t>.</w:t>
      </w:r>
      <w:r w:rsidRPr="005007CE">
        <w:rPr>
          <w:szCs w:val="26"/>
        </w:rPr>
        <w:t>)</w:t>
      </w:r>
      <w:r w:rsidR="00D73817" w:rsidRPr="005007CE">
        <w:rPr>
          <w:szCs w:val="26"/>
        </w:rPr>
        <w:t xml:space="preserve">  </w:t>
      </w:r>
      <w:r w:rsidR="007D68A2" w:rsidRPr="005007CE">
        <w:rPr>
          <w:szCs w:val="26"/>
        </w:rPr>
        <w:t>But a</w:t>
      </w:r>
      <w:r w:rsidR="00D86D95" w:rsidRPr="005007CE">
        <w:rPr>
          <w:szCs w:val="26"/>
        </w:rPr>
        <w:t xml:space="preserve">bsent </w:t>
      </w:r>
      <w:r w:rsidR="007D68A2" w:rsidRPr="005007CE">
        <w:rPr>
          <w:szCs w:val="26"/>
        </w:rPr>
        <w:t xml:space="preserve">unusual </w:t>
      </w:r>
      <w:r w:rsidR="00D86D95" w:rsidRPr="005007CE">
        <w:rPr>
          <w:szCs w:val="26"/>
        </w:rPr>
        <w:t>circumstances</w:t>
      </w:r>
      <w:r w:rsidR="00D73817" w:rsidRPr="005007CE">
        <w:t xml:space="preserve">, </w:t>
      </w:r>
      <w:r w:rsidR="007D68A2" w:rsidRPr="005007CE">
        <w:t xml:space="preserve">a </w:t>
      </w:r>
      <w:r w:rsidR="00D73817" w:rsidRPr="005007CE">
        <w:t>garden-variety employment dispute</w:t>
      </w:r>
      <w:r w:rsidR="007D68A2" w:rsidRPr="005007CE">
        <w:t xml:space="preserve"> concerning a nonpublic figure</w:t>
      </w:r>
      <w:r w:rsidR="00D73817" w:rsidRPr="005007CE">
        <w:t xml:space="preserve"> </w:t>
      </w:r>
      <w:r w:rsidR="007D68A2" w:rsidRPr="005007CE">
        <w:t xml:space="preserve">will </w:t>
      </w:r>
      <w:r w:rsidR="00D73817" w:rsidRPr="005007CE">
        <w:t>implicate no public</w:t>
      </w:r>
      <w:r w:rsidR="00BD1BC8" w:rsidRPr="005007CE">
        <w:t xml:space="preserve"> issue.  (See, e</w:t>
      </w:r>
      <w:r w:rsidR="00D73817" w:rsidRPr="005007CE">
        <w:t>.g.,</w:t>
      </w:r>
      <w:r w:rsidR="00BD1BC8" w:rsidRPr="005007CE">
        <w:t xml:space="preserve"> </w:t>
      </w:r>
      <w:r w:rsidR="00BD1BC8" w:rsidRPr="005007CE">
        <w:rPr>
          <w:i/>
        </w:rPr>
        <w:t>Baughn v. Department of Forestry &amp; Fire Protection</w:t>
      </w:r>
      <w:r w:rsidR="00E46818" w:rsidRPr="005007CE">
        <w:t xml:space="preserve"> (2016) 246 Cal.App.4th 328, 337–339</w:t>
      </w:r>
      <w:r w:rsidR="00BD1BC8" w:rsidRPr="005007CE">
        <w:t xml:space="preserve">; </w:t>
      </w:r>
      <w:r w:rsidR="007D6C6F" w:rsidRPr="005007CE">
        <w:rPr>
          <w:i/>
        </w:rPr>
        <w:t>Albanese v. Menounos</w:t>
      </w:r>
      <w:r w:rsidR="007D6C6F" w:rsidRPr="005007CE">
        <w:t xml:space="preserve"> (2013) 218 Cal.App.4th 923,</w:t>
      </w:r>
      <w:r w:rsidR="00BE7FAA" w:rsidRPr="005007CE">
        <w:t> 934–937</w:t>
      </w:r>
      <w:r w:rsidR="00834D37" w:rsidRPr="005007CE">
        <w:t>;</w:t>
      </w:r>
      <w:r w:rsidR="00154D4A" w:rsidRPr="005007CE">
        <w:t xml:space="preserve"> </w:t>
      </w:r>
      <w:r w:rsidR="00154D4A" w:rsidRPr="005007CE">
        <w:rPr>
          <w:i/>
        </w:rPr>
        <w:t>Carpenter</w:t>
      </w:r>
      <w:r w:rsidR="00E70868" w:rsidRPr="005007CE">
        <w:rPr>
          <w:i/>
        </w:rPr>
        <w:t xml:space="preserve"> v. Jack in the Box Corp.</w:t>
      </w:r>
      <w:r w:rsidR="00781E7F" w:rsidRPr="005007CE">
        <w:t xml:space="preserve"> (2007) 151 Cal.App.4th 454, 472</w:t>
      </w:r>
      <w:r w:rsidR="00154D4A" w:rsidRPr="005007CE">
        <w:t>;</w:t>
      </w:r>
      <w:r w:rsidR="00B713FF" w:rsidRPr="005007CE">
        <w:t xml:space="preserve"> </w:t>
      </w:r>
      <w:r w:rsidR="00B713FF" w:rsidRPr="005007CE">
        <w:rPr>
          <w:i/>
        </w:rPr>
        <w:t>Olaes v. Nationwide Mutual Ins. Co.</w:t>
      </w:r>
      <w:r w:rsidR="00B713FF" w:rsidRPr="005007CE">
        <w:t xml:space="preserve"> (2006) 135 Cal.App.4th 1501, 1510–1511;</w:t>
      </w:r>
      <w:r w:rsidR="00D73817" w:rsidRPr="005007CE">
        <w:t xml:space="preserve"> </w:t>
      </w:r>
      <w:r w:rsidR="00154D4A" w:rsidRPr="005007CE">
        <w:rPr>
          <w:i/>
        </w:rPr>
        <w:t>Du Charme</w:t>
      </w:r>
      <w:r w:rsidR="00BD1BC8" w:rsidRPr="005007CE">
        <w:rPr>
          <w:i/>
        </w:rPr>
        <w:t xml:space="preserve"> v. International Brotherhood of Electrical </w:t>
      </w:r>
      <w:r w:rsidR="00BD1BC8" w:rsidRPr="005007CE">
        <w:rPr>
          <w:i/>
        </w:rPr>
        <w:lastRenderedPageBreak/>
        <w:t>Workers</w:t>
      </w:r>
      <w:r w:rsidR="007D6C6F" w:rsidRPr="005007CE">
        <w:t xml:space="preserve"> </w:t>
      </w:r>
      <w:r w:rsidR="003C25B3" w:rsidRPr="005007CE">
        <w:t xml:space="preserve">(2003) </w:t>
      </w:r>
      <w:r w:rsidR="00BD1BC8" w:rsidRPr="005007CE">
        <w:t xml:space="preserve">110 Cal.App.4th </w:t>
      </w:r>
      <w:r w:rsidR="003C25B3" w:rsidRPr="005007CE">
        <w:t xml:space="preserve">107, </w:t>
      </w:r>
      <w:r w:rsidR="00667E08" w:rsidRPr="005007CE">
        <w:t>113–119</w:t>
      </w:r>
      <w:r w:rsidR="00154D4A" w:rsidRPr="005007CE">
        <w:t>;</w:t>
      </w:r>
      <w:r w:rsidR="00154D4A" w:rsidRPr="005007CE">
        <w:rPr>
          <w:i/>
        </w:rPr>
        <w:t xml:space="preserve"> </w:t>
      </w:r>
      <w:r w:rsidR="00BD1BC8" w:rsidRPr="005007CE">
        <w:rPr>
          <w:i/>
        </w:rPr>
        <w:t>Rivero v. American Federation of State, County and Municipal Employees, AFL-CIO</w:t>
      </w:r>
      <w:r w:rsidR="00BD1BC8" w:rsidRPr="005007CE">
        <w:t xml:space="preserve"> (2003) 105 Cal.App.4th 913, </w:t>
      </w:r>
      <w:r w:rsidR="00BE7FAA" w:rsidRPr="005007CE">
        <w:t>919–929</w:t>
      </w:r>
      <w:r w:rsidR="00D73817" w:rsidRPr="005007CE">
        <w:t>.)</w:t>
      </w:r>
      <w:r w:rsidR="00BE7FAA" w:rsidRPr="005007CE">
        <w:t xml:space="preserve">  Workplace misconduct “below some threshold level of significance </w:t>
      </w:r>
      <w:r w:rsidR="00667E08" w:rsidRPr="005007CE">
        <w:t>i</w:t>
      </w:r>
      <w:r w:rsidR="00BE7FAA" w:rsidRPr="005007CE">
        <w:t>s not an issue of public interest, even though it implicates a public policy.”  (</w:t>
      </w:r>
      <w:r w:rsidR="00BE7FAA" w:rsidRPr="005007CE">
        <w:rPr>
          <w:i/>
        </w:rPr>
        <w:t>Rivero</w:t>
      </w:r>
      <w:r w:rsidR="00BE7FAA" w:rsidRPr="005007CE">
        <w:t>, at p. 924</w:t>
      </w:r>
      <w:r w:rsidR="00EC78F2" w:rsidRPr="005007CE">
        <w:t>.)</w:t>
      </w:r>
    </w:p>
    <w:p w14:paraId="6FD7D937" w14:textId="7A0C26F5" w:rsidR="00B670E8" w:rsidRPr="005007CE" w:rsidRDefault="00096710" w:rsidP="00414F44">
      <w:pPr>
        <w:tabs>
          <w:tab w:val="left" w:pos="1440"/>
        </w:tabs>
        <w:ind w:firstLine="720"/>
        <w:rPr>
          <w:szCs w:val="26"/>
        </w:rPr>
      </w:pPr>
      <w:bookmarkStart w:id="9" w:name="_Hlk531685678"/>
      <w:r w:rsidRPr="005007CE">
        <w:t>B</w:t>
      </w:r>
      <w:r w:rsidR="00D73817" w:rsidRPr="005007CE">
        <w:t>ased on the evidence CNN presented in suppor</w:t>
      </w:r>
      <w:r w:rsidR="00CD2662" w:rsidRPr="005007CE">
        <w:t xml:space="preserve">t of its motion, </w:t>
      </w:r>
      <w:r w:rsidRPr="005007CE">
        <w:t>Wilson is not</w:t>
      </w:r>
      <w:r w:rsidR="00CD2662" w:rsidRPr="005007CE">
        <w:t xml:space="preserve"> a </w:t>
      </w:r>
      <w:r w:rsidR="00D73817" w:rsidRPr="005007CE">
        <w:t>figure</w:t>
      </w:r>
      <w:r w:rsidR="00CD2662" w:rsidRPr="005007CE">
        <w:t xml:space="preserve"> so prominently in the public eye that any remark about him </w:t>
      </w:r>
      <w:r w:rsidR="00283199" w:rsidRPr="005007CE">
        <w:t>would qualify as speech on a matter of public concern</w:t>
      </w:r>
      <w:r w:rsidR="00D73817" w:rsidRPr="005007CE">
        <w:t>.</w:t>
      </w:r>
      <w:r w:rsidR="00E66714">
        <w:t xml:space="preserve"> </w:t>
      </w:r>
      <w:r w:rsidR="006F4EAA" w:rsidRPr="005007CE">
        <w:t xml:space="preserve"> </w:t>
      </w:r>
      <w:r w:rsidR="00283199" w:rsidRPr="005007CE">
        <w:t>CNN cites as proof of Wilson’s prominence the numerous stories Wilson’s lawsuit and the Court of A</w:t>
      </w:r>
      <w:r w:rsidR="00C210FE" w:rsidRPr="005007CE">
        <w:t xml:space="preserve">ppeal decision generated.  </w:t>
      </w:r>
      <w:r w:rsidR="00283199" w:rsidRPr="005007CE">
        <w:t>This reliance is unavailing:  “[T]hose charged with defamation cannot, by their own conduct, create their own defense by making the claimant a public figure.”  (</w:t>
      </w:r>
      <w:r w:rsidR="00283199" w:rsidRPr="005007CE">
        <w:rPr>
          <w:i/>
        </w:rPr>
        <w:t>Hutchinson v. Proxmire</w:t>
      </w:r>
      <w:r w:rsidR="00283199" w:rsidRPr="005007CE">
        <w:t xml:space="preserve"> (1979) 443 U.S. 111, 135.)  Nor does Wilson’s own evidence of his awards make</w:t>
      </w:r>
      <w:r w:rsidR="00DC5C77" w:rsidRPr="005007CE">
        <w:t xml:space="preserve"> him a person of such notoriety</w:t>
      </w:r>
      <w:r w:rsidR="00283199" w:rsidRPr="005007CE">
        <w:t xml:space="preserve"> that a statement about the reason for his termination would </w:t>
      </w:r>
      <w:r w:rsidR="0080562C" w:rsidRPr="005007CE">
        <w:t xml:space="preserve">necessarily </w:t>
      </w:r>
      <w:r w:rsidR="00283199" w:rsidRPr="005007CE">
        <w:t>concern</w:t>
      </w:r>
      <w:r w:rsidR="00063DC5" w:rsidRPr="005007CE">
        <w:t xml:space="preserve"> an issue of public interest (cf. </w:t>
      </w:r>
      <w:r w:rsidR="00063DC5" w:rsidRPr="005007CE">
        <w:rPr>
          <w:i/>
        </w:rPr>
        <w:t xml:space="preserve">McGarry v. </w:t>
      </w:r>
      <w:r w:rsidR="00063DC5" w:rsidRPr="005007CE">
        <w:rPr>
          <w:i/>
          <w:szCs w:val="26"/>
        </w:rPr>
        <w:t>University of San Diego</w:t>
      </w:r>
      <w:r w:rsidR="00063DC5" w:rsidRPr="005007CE">
        <w:rPr>
          <w:szCs w:val="26"/>
        </w:rPr>
        <w:t xml:space="preserve">, </w:t>
      </w:r>
      <w:r w:rsidR="00063DC5" w:rsidRPr="005007CE">
        <w:rPr>
          <w:i/>
          <w:szCs w:val="26"/>
        </w:rPr>
        <w:t>supra</w:t>
      </w:r>
      <w:r w:rsidR="00063DC5" w:rsidRPr="005007CE">
        <w:rPr>
          <w:szCs w:val="26"/>
        </w:rPr>
        <w:t>, 154 Cal.App.4th at p. 110 [reasons for dismissing prominent university football coach of public interest]).</w:t>
      </w:r>
    </w:p>
    <w:bookmarkEnd w:id="9"/>
    <w:p w14:paraId="46B4F3B6" w14:textId="6C63EB39" w:rsidR="009576A2" w:rsidRDefault="009576A2" w:rsidP="00414F44">
      <w:pPr>
        <w:pStyle w:val="FootnoteText"/>
        <w:spacing w:line="400" w:lineRule="exact"/>
        <w:ind w:firstLine="720"/>
      </w:pPr>
      <w:r>
        <w:t xml:space="preserve">CNN argues the Court of Appeal erred by making Wilson’s status as a figure in the public eye a </w:t>
      </w:r>
      <w:r w:rsidRPr="006F4EAA">
        <w:rPr>
          <w:i/>
        </w:rPr>
        <w:t>necessary</w:t>
      </w:r>
      <w:r>
        <w:t xml:space="preserve"> component of any showing that CNN’s statement about him was protected activity.  But the Court of Appeal did no such thing.  Rather, the court held that if Wilson were a figure in the public eye, that status could be a </w:t>
      </w:r>
      <w:r>
        <w:rPr>
          <w:i/>
        </w:rPr>
        <w:t>sufficient</w:t>
      </w:r>
      <w:r>
        <w:t xml:space="preserve"> basis to conclude statements about him would be on a matter of public interest.  (</w:t>
      </w:r>
      <w:r>
        <w:rPr>
          <w:i/>
        </w:rPr>
        <w:t>Wilson</w:t>
      </w:r>
      <w:r>
        <w:t xml:space="preserve">, </w:t>
      </w:r>
      <w:r>
        <w:rPr>
          <w:i/>
        </w:rPr>
        <w:t>supra</w:t>
      </w:r>
      <w:r>
        <w:t xml:space="preserve">, 6 Cal.App.5th at pp. 832–833, rev. granted.) </w:t>
      </w:r>
      <w:r w:rsidR="00414F44">
        <w:t xml:space="preserve"> </w:t>
      </w:r>
      <w:r>
        <w:t>Other grounds might also have justified that conclusion even if Wilson were not well-known.  (</w:t>
      </w:r>
      <w:r>
        <w:rPr>
          <w:i/>
        </w:rPr>
        <w:t>Ibid.</w:t>
      </w:r>
      <w:r>
        <w:t xml:space="preserve">)  We hold likewise:  that a statement is about a </w:t>
      </w:r>
      <w:r>
        <w:lastRenderedPageBreak/>
        <w:t>person or entity in the public eye may be sufficient, but is not necessary, to establish the statement is “free speech in connection with a public issue or an issue of public interest.”  (</w:t>
      </w:r>
      <w:r w:rsidRPr="007423B7">
        <w:rPr>
          <w:color w:val="000000" w:themeColor="text1"/>
          <w:szCs w:val="26"/>
        </w:rPr>
        <w:t>§ </w:t>
      </w:r>
      <w:r>
        <w:t xml:space="preserve">425.16, subd. (e)(4); see </w:t>
      </w:r>
      <w:r>
        <w:rPr>
          <w:i/>
        </w:rPr>
        <w:t>FilmOn.com Inc. v. DoubleVerify Inc.</w:t>
      </w:r>
      <w:r>
        <w:t xml:space="preserve">, </w:t>
      </w:r>
      <w:r>
        <w:rPr>
          <w:i/>
        </w:rPr>
        <w:t>supra</w:t>
      </w:r>
      <w:r>
        <w:t xml:space="preserve">, 7 Cal.5th at pp. 145–146; </w:t>
      </w:r>
      <w:r>
        <w:rPr>
          <w:i/>
        </w:rPr>
        <w:t>Rand Resources, LLC v. City of Carson, supra</w:t>
      </w:r>
      <w:r>
        <w:t>, 6 Cal.5th at p. 621.)</w:t>
      </w:r>
    </w:p>
    <w:p w14:paraId="26F67A24" w14:textId="03DE07CA" w:rsidR="000F4077" w:rsidRPr="005007CE" w:rsidRDefault="00D73817" w:rsidP="00414F44">
      <w:pPr>
        <w:tabs>
          <w:tab w:val="left" w:pos="1440"/>
        </w:tabs>
        <w:ind w:firstLine="720"/>
        <w:rPr>
          <w:szCs w:val="26"/>
        </w:rPr>
      </w:pPr>
      <w:r w:rsidRPr="005007CE">
        <w:t>CNN</w:t>
      </w:r>
      <w:r w:rsidR="00283199" w:rsidRPr="005007CE">
        <w:t xml:space="preserve">’s </w:t>
      </w:r>
      <w:r w:rsidR="00DF1EB0" w:rsidRPr="005007CE">
        <w:t xml:space="preserve">final </w:t>
      </w:r>
      <w:r w:rsidR="00283199" w:rsidRPr="005007CE">
        <w:t>argument is that</w:t>
      </w:r>
      <w:r w:rsidR="00096710" w:rsidRPr="005007CE">
        <w:t>, even if Wilson is not a figure in the public eye,</w:t>
      </w:r>
      <w:r w:rsidR="00283199" w:rsidRPr="005007CE">
        <w:t xml:space="preserve"> </w:t>
      </w:r>
      <w:r w:rsidRPr="005007CE">
        <w:t>disc</w:t>
      </w:r>
      <w:r w:rsidR="00096710" w:rsidRPr="005007CE">
        <w:t>ussion of hi</w:t>
      </w:r>
      <w:r w:rsidR="00283199" w:rsidRPr="005007CE">
        <w:t xml:space="preserve">s termination </w:t>
      </w:r>
      <w:r w:rsidRPr="005007CE">
        <w:t xml:space="preserve">implicates a larger issue that indisputably </w:t>
      </w:r>
      <w:r w:rsidRPr="005007CE">
        <w:rPr>
          <w:i/>
        </w:rPr>
        <w:t>is</w:t>
      </w:r>
      <w:r w:rsidR="00EC78F2" w:rsidRPr="005007CE">
        <w:t xml:space="preserve"> of public interest—</w:t>
      </w:r>
      <w:r w:rsidRPr="005007CE">
        <w:t>journalistic ethics.</w:t>
      </w:r>
      <w:r w:rsidR="00EC78F2" w:rsidRPr="005007CE">
        <w:t xml:space="preserve"> </w:t>
      </w:r>
      <w:r w:rsidR="00CC2304" w:rsidRPr="005007CE">
        <w:t xml:space="preserve"> </w:t>
      </w:r>
      <w:r w:rsidR="00DD0567" w:rsidRPr="005007CE">
        <w:t xml:space="preserve">This </w:t>
      </w:r>
      <w:r w:rsidR="00DF1EB0" w:rsidRPr="005007CE">
        <w:t>argument rests on “</w:t>
      </w:r>
      <w:r w:rsidR="00CC2304" w:rsidRPr="005007CE">
        <w:rPr>
          <w:szCs w:val="26"/>
        </w:rPr>
        <w:t>what might be called the synecdoche theory of public issue in the anti-SLAPP statute</w:t>
      </w:r>
      <w:r w:rsidR="00DF1EB0" w:rsidRPr="005007CE">
        <w:rPr>
          <w:szCs w:val="26"/>
        </w:rPr>
        <w:t>” (</w:t>
      </w:r>
      <w:r w:rsidR="00DF1EB0" w:rsidRPr="005007CE">
        <w:rPr>
          <w:i/>
          <w:szCs w:val="26"/>
        </w:rPr>
        <w:t>Commonwealth Energy</w:t>
      </w:r>
      <w:r w:rsidR="0001704E" w:rsidRPr="005007CE">
        <w:rPr>
          <w:i/>
          <w:szCs w:val="26"/>
        </w:rPr>
        <w:t xml:space="preserve"> Corp.</w:t>
      </w:r>
      <w:r w:rsidR="00DF1EB0" w:rsidRPr="005007CE">
        <w:rPr>
          <w:i/>
          <w:szCs w:val="26"/>
        </w:rPr>
        <w:t xml:space="preserve"> v. Investor Data</w:t>
      </w:r>
      <w:r w:rsidR="00DF1EB0" w:rsidRPr="005007CE">
        <w:rPr>
          <w:szCs w:val="26"/>
        </w:rPr>
        <w:t xml:space="preserve"> </w:t>
      </w:r>
      <w:r w:rsidR="0001704E" w:rsidRPr="005007CE">
        <w:rPr>
          <w:i/>
          <w:szCs w:val="26"/>
        </w:rPr>
        <w:t>Exchange, Inc.</w:t>
      </w:r>
      <w:r w:rsidR="0001704E" w:rsidRPr="005007CE">
        <w:rPr>
          <w:szCs w:val="26"/>
        </w:rPr>
        <w:t xml:space="preserve"> </w:t>
      </w:r>
      <w:r w:rsidR="00DF1EB0" w:rsidRPr="005007CE">
        <w:rPr>
          <w:szCs w:val="26"/>
        </w:rPr>
        <w:t>(2003) 110 Cal.App.4th 26, 34</w:t>
      </w:r>
      <w:r w:rsidR="000F4077" w:rsidRPr="005007CE">
        <w:rPr>
          <w:szCs w:val="26"/>
        </w:rPr>
        <w:t>)</w:t>
      </w:r>
      <w:r w:rsidR="00DF1EB0" w:rsidRPr="005007CE">
        <w:rPr>
          <w:szCs w:val="26"/>
        </w:rPr>
        <w:t>:  that the discussion of a purported lapse on the part of one of its writers is equivalent to a conversation about the ethical lapses of all journalists everywhere.  But for anti-SLAPP purposes, as courts have long recognized, “[t]</w:t>
      </w:r>
      <w:r w:rsidR="000F4077" w:rsidRPr="005007CE">
        <w:rPr>
          <w:szCs w:val="26"/>
        </w:rPr>
        <w:t xml:space="preserve">he </w:t>
      </w:r>
      <w:r w:rsidR="00CC2304" w:rsidRPr="005007CE">
        <w:rPr>
          <w:szCs w:val="26"/>
        </w:rPr>
        <w:t>part is not synonymous with the greater whole.</w:t>
      </w:r>
      <w:r w:rsidR="004000F3" w:rsidRPr="005007CE">
        <w:rPr>
          <w:szCs w:val="26"/>
        </w:rPr>
        <w:t>”  (</w:t>
      </w:r>
      <w:r w:rsidR="004000F3" w:rsidRPr="005007CE">
        <w:rPr>
          <w:i/>
          <w:szCs w:val="26"/>
        </w:rPr>
        <w:t>Ibid.</w:t>
      </w:r>
      <w:r w:rsidR="008F7968" w:rsidRPr="005007CE">
        <w:rPr>
          <w:szCs w:val="26"/>
        </w:rPr>
        <w:t xml:space="preserve">) </w:t>
      </w:r>
      <w:r w:rsidR="004000F3" w:rsidRPr="005007CE">
        <w:rPr>
          <w:szCs w:val="26"/>
        </w:rPr>
        <w:t xml:space="preserve"> </w:t>
      </w:r>
      <w:r w:rsidR="008F7968" w:rsidRPr="005007CE">
        <w:rPr>
          <w:szCs w:val="26"/>
        </w:rPr>
        <w:t xml:space="preserve">Contrary to arguments </w:t>
      </w:r>
      <w:r w:rsidR="00E66714">
        <w:rPr>
          <w:szCs w:val="26"/>
        </w:rPr>
        <w:t xml:space="preserve">that various </w:t>
      </w:r>
      <w:r w:rsidR="008F7968" w:rsidRPr="005007CE">
        <w:rPr>
          <w:szCs w:val="26"/>
        </w:rPr>
        <w:t xml:space="preserve">defendants have pressed over the years, </w:t>
      </w:r>
      <w:r w:rsidR="004000F3" w:rsidRPr="005007CE">
        <w:rPr>
          <w:szCs w:val="26"/>
        </w:rPr>
        <w:t>“</w:t>
      </w:r>
      <w:r w:rsidR="008F7968" w:rsidRPr="005007CE">
        <w:rPr>
          <w:szCs w:val="26"/>
        </w:rPr>
        <w:t xml:space="preserve">[s]elling </w:t>
      </w:r>
      <w:r w:rsidR="00CC2304" w:rsidRPr="005007CE">
        <w:rPr>
          <w:szCs w:val="26"/>
        </w:rPr>
        <w:t>an herbal breast enlargement product is not a disquisition on alternative medicine.  Lying about the supervisor of eight union workers is not singing one of those old Pete Seeger union songs (e.g., ‘There Once Was a Union Maid’).  And</w:t>
      </w:r>
      <w:r w:rsidR="005F3D88" w:rsidRPr="005007CE">
        <w:rPr>
          <w:szCs w:val="26"/>
        </w:rPr>
        <w:t xml:space="preserve"> .</w:t>
      </w:r>
      <w:r w:rsidR="00FA3EB1" w:rsidRPr="005007CE">
        <w:rPr>
          <w:szCs w:val="26"/>
        </w:rPr>
        <w:t> </w:t>
      </w:r>
      <w:r w:rsidR="005F3D88" w:rsidRPr="005007CE">
        <w:rPr>
          <w:szCs w:val="26"/>
        </w:rPr>
        <w:t>.</w:t>
      </w:r>
      <w:r w:rsidR="00FA3EB1" w:rsidRPr="005007CE">
        <w:rPr>
          <w:szCs w:val="26"/>
        </w:rPr>
        <w:t> </w:t>
      </w:r>
      <w:r w:rsidR="005F3D88" w:rsidRPr="005007CE">
        <w:rPr>
          <w:szCs w:val="26"/>
        </w:rPr>
        <w:t xml:space="preserve">. </w:t>
      </w:r>
      <w:r w:rsidR="00CC2304" w:rsidRPr="005007CE">
        <w:rPr>
          <w:szCs w:val="26"/>
        </w:rPr>
        <w:t>hawking an investigatory service is not an economics lecture on the importance of information for efficient markets.”</w:t>
      </w:r>
      <w:r w:rsidR="008F7968" w:rsidRPr="005007CE">
        <w:rPr>
          <w:szCs w:val="26"/>
        </w:rPr>
        <w:t xml:space="preserve">  (</w:t>
      </w:r>
      <w:r w:rsidR="008F7968" w:rsidRPr="005007CE">
        <w:rPr>
          <w:i/>
          <w:szCs w:val="26"/>
        </w:rPr>
        <w:t>Ibid.</w:t>
      </w:r>
      <w:r w:rsidR="008F7968" w:rsidRPr="005007CE">
        <w:rPr>
          <w:szCs w:val="26"/>
        </w:rPr>
        <w:t>;</w:t>
      </w:r>
      <w:r w:rsidR="004000F3" w:rsidRPr="005007CE">
        <w:rPr>
          <w:szCs w:val="26"/>
        </w:rPr>
        <w:t xml:space="preserve"> </w:t>
      </w:r>
      <w:r w:rsidR="00DF1EB0" w:rsidRPr="005007CE">
        <w:rPr>
          <w:szCs w:val="26"/>
        </w:rPr>
        <w:t xml:space="preserve">accord, </w:t>
      </w:r>
      <w:r w:rsidR="004000F3" w:rsidRPr="005007CE">
        <w:rPr>
          <w:i/>
        </w:rPr>
        <w:t>FilmOn.</w:t>
      </w:r>
      <w:r w:rsidR="00267ED8">
        <w:rPr>
          <w:i/>
        </w:rPr>
        <w:t>c</w:t>
      </w:r>
      <w:r w:rsidR="004000F3" w:rsidRPr="005007CE">
        <w:rPr>
          <w:i/>
        </w:rPr>
        <w:t>om Inc. v. DoubleVerify Inc.</w:t>
      </w:r>
      <w:r w:rsidR="004000F3" w:rsidRPr="005007CE">
        <w:t xml:space="preserve">, </w:t>
      </w:r>
      <w:r w:rsidR="004000F3" w:rsidRPr="005007CE">
        <w:rPr>
          <w:i/>
        </w:rPr>
        <w:t>supra</w:t>
      </w:r>
      <w:r w:rsidR="004000F3" w:rsidRPr="005007CE">
        <w:t xml:space="preserve">, </w:t>
      </w:r>
      <w:r w:rsidR="00745E49" w:rsidRPr="005007CE">
        <w:t>7</w:t>
      </w:r>
      <w:r w:rsidR="004000F3" w:rsidRPr="005007CE">
        <w:t xml:space="preserve"> Cal.5th at p. </w:t>
      </w:r>
      <w:r w:rsidR="00745E49" w:rsidRPr="005007CE">
        <w:t>152</w:t>
      </w:r>
      <w:r w:rsidR="004000F3" w:rsidRPr="005007CE">
        <w:t xml:space="preserve">; </w:t>
      </w:r>
      <w:r w:rsidR="00CC2304" w:rsidRPr="005007CE">
        <w:rPr>
          <w:i/>
          <w:szCs w:val="26"/>
        </w:rPr>
        <w:t>Consumer Justice Center v. Trimedica International, Inc.</w:t>
      </w:r>
      <w:r w:rsidR="00CC2304" w:rsidRPr="005007CE">
        <w:rPr>
          <w:szCs w:val="26"/>
        </w:rPr>
        <w:t xml:space="preserve"> (2003) 107 Cal.App.4th 595, 601</w:t>
      </w:r>
      <w:r w:rsidR="008F7968" w:rsidRPr="005007CE">
        <w:rPr>
          <w:szCs w:val="26"/>
        </w:rPr>
        <w:t xml:space="preserve">; </w:t>
      </w:r>
      <w:r w:rsidR="008F7968" w:rsidRPr="005007CE">
        <w:rPr>
          <w:i/>
          <w:szCs w:val="26"/>
        </w:rPr>
        <w:t>Rivero</w:t>
      </w:r>
      <w:r w:rsidR="008F7968" w:rsidRPr="005007CE">
        <w:rPr>
          <w:i/>
        </w:rPr>
        <w:t xml:space="preserve"> v. American Federation of State, County and Municipal Employees, AFL-CIO</w:t>
      </w:r>
      <w:r w:rsidR="008F7968" w:rsidRPr="005007CE">
        <w:t xml:space="preserve">, </w:t>
      </w:r>
      <w:r w:rsidR="008F7968" w:rsidRPr="005007CE">
        <w:rPr>
          <w:i/>
        </w:rPr>
        <w:t>supra</w:t>
      </w:r>
      <w:r w:rsidR="008F7968" w:rsidRPr="005007CE">
        <w:t>, 105 Cal.App.4th at pp. 919, 924</w:t>
      </w:r>
      <w:r w:rsidR="00CC2304" w:rsidRPr="005007CE">
        <w:rPr>
          <w:szCs w:val="26"/>
        </w:rPr>
        <w:t>.)</w:t>
      </w:r>
    </w:p>
    <w:p w14:paraId="58B87591" w14:textId="103D409A" w:rsidR="00D86D95" w:rsidRPr="005007CE" w:rsidRDefault="006F5379" w:rsidP="00414F44">
      <w:pPr>
        <w:tabs>
          <w:tab w:val="left" w:pos="1440"/>
        </w:tabs>
        <w:ind w:firstLine="720"/>
      </w:pPr>
      <w:r w:rsidRPr="005007CE">
        <w:rPr>
          <w:szCs w:val="26"/>
        </w:rPr>
        <w:lastRenderedPageBreak/>
        <w:t>Similarly</w:t>
      </w:r>
      <w:r w:rsidR="00E66714">
        <w:rPr>
          <w:szCs w:val="26"/>
        </w:rPr>
        <w:t>,</w:t>
      </w:r>
      <w:r w:rsidRPr="005007CE">
        <w:rPr>
          <w:szCs w:val="26"/>
        </w:rPr>
        <w:t xml:space="preserve"> here, </w:t>
      </w:r>
      <w:r w:rsidR="00B62505" w:rsidRPr="005007CE">
        <w:rPr>
          <w:szCs w:val="26"/>
        </w:rPr>
        <w:t>CNN’s alleged statement</w:t>
      </w:r>
      <w:r w:rsidR="00B82D22" w:rsidRPr="005007CE">
        <w:rPr>
          <w:szCs w:val="26"/>
        </w:rPr>
        <w:t>s</w:t>
      </w:r>
      <w:r w:rsidRPr="005007CE">
        <w:rPr>
          <w:szCs w:val="26"/>
        </w:rPr>
        <w:t xml:space="preserve"> about an isolated plagiarism incident </w:t>
      </w:r>
      <w:r w:rsidR="00D86D95" w:rsidRPr="005007CE">
        <w:rPr>
          <w:szCs w:val="26"/>
        </w:rPr>
        <w:t>did not contribute to</w:t>
      </w:r>
      <w:r w:rsidR="006340E9" w:rsidRPr="005007CE">
        <w:rPr>
          <w:szCs w:val="26"/>
        </w:rPr>
        <w:t xml:space="preserve"> </w:t>
      </w:r>
      <w:r w:rsidR="00FA7476" w:rsidRPr="005007CE">
        <w:rPr>
          <w:szCs w:val="26"/>
        </w:rPr>
        <w:t xml:space="preserve">public </w:t>
      </w:r>
      <w:r w:rsidR="00B62505" w:rsidRPr="005007CE">
        <w:rPr>
          <w:szCs w:val="26"/>
        </w:rPr>
        <w:t xml:space="preserve">debate about </w:t>
      </w:r>
      <w:r w:rsidR="00D75004" w:rsidRPr="005007CE">
        <w:rPr>
          <w:szCs w:val="26"/>
        </w:rPr>
        <w:t>when authors may or may not borrow</w:t>
      </w:r>
      <w:r w:rsidR="00B62505" w:rsidRPr="005007CE">
        <w:rPr>
          <w:szCs w:val="26"/>
        </w:rPr>
        <w:t xml:space="preserve"> w</w:t>
      </w:r>
      <w:r w:rsidR="00871566" w:rsidRPr="005007CE">
        <w:rPr>
          <w:szCs w:val="26"/>
        </w:rPr>
        <w:t xml:space="preserve">ithout </w:t>
      </w:r>
      <w:r w:rsidR="00C60316" w:rsidRPr="005007CE">
        <w:rPr>
          <w:szCs w:val="26"/>
        </w:rPr>
        <w:t>attribution</w:t>
      </w:r>
      <w:r w:rsidR="00B62505" w:rsidRPr="005007CE">
        <w:rPr>
          <w:szCs w:val="26"/>
        </w:rPr>
        <w:t xml:space="preserve">.  </w:t>
      </w:r>
      <w:r w:rsidR="00962511" w:rsidRPr="005007CE">
        <w:rPr>
          <w:szCs w:val="26"/>
        </w:rPr>
        <w:t>“What a court scrutinizing the nature of speech in the anti-SLAPP context must focus on is the speech at hand, rather than the prospects that such speech may conceivably have indirect consequences for an issue of public concern.”  (</w:t>
      </w:r>
      <w:r w:rsidR="00962511" w:rsidRPr="005007CE">
        <w:rPr>
          <w:i/>
          <w:szCs w:val="26"/>
        </w:rPr>
        <w:t>Rand Resources, LLC v. City of Carson, supra</w:t>
      </w:r>
      <w:r w:rsidR="00962511" w:rsidRPr="005007CE">
        <w:rPr>
          <w:szCs w:val="26"/>
        </w:rPr>
        <w:t xml:space="preserve">, 6 Cal.5th at p. 625; see </w:t>
      </w:r>
      <w:r w:rsidR="00962511" w:rsidRPr="005007CE">
        <w:rPr>
          <w:i/>
          <w:szCs w:val="26"/>
        </w:rPr>
        <w:t>Consumer Justice Center v. Trimedica International, Inc.</w:t>
      </w:r>
      <w:r w:rsidR="00962511" w:rsidRPr="005007CE">
        <w:rPr>
          <w:szCs w:val="26"/>
        </w:rPr>
        <w:t>,</w:t>
      </w:r>
      <w:r w:rsidR="00962511" w:rsidRPr="005007CE">
        <w:rPr>
          <w:i/>
          <w:szCs w:val="26"/>
        </w:rPr>
        <w:t xml:space="preserve"> supra</w:t>
      </w:r>
      <w:r w:rsidR="00962511" w:rsidRPr="005007CE">
        <w:rPr>
          <w:szCs w:val="26"/>
        </w:rPr>
        <w:t>,</w:t>
      </w:r>
      <w:r w:rsidR="00962511" w:rsidRPr="005007CE">
        <w:rPr>
          <w:i/>
          <w:szCs w:val="26"/>
        </w:rPr>
        <w:t xml:space="preserve"> </w:t>
      </w:r>
      <w:r w:rsidR="00962511" w:rsidRPr="005007CE">
        <w:rPr>
          <w:szCs w:val="26"/>
        </w:rPr>
        <w:t>107 Cal.App.4th at p. 601 [</w:t>
      </w:r>
      <w:r w:rsidR="00CC2304" w:rsidRPr="005007CE">
        <w:rPr>
          <w:szCs w:val="26"/>
        </w:rPr>
        <w:t>“If we were</w:t>
      </w:r>
      <w:r w:rsidR="00B62505" w:rsidRPr="005007CE">
        <w:rPr>
          <w:szCs w:val="26"/>
        </w:rPr>
        <w:t xml:space="preserve"> to accept [defendant’s] argument that we should examine the nature of the speech in terms of generalities instead of specifics, then nearly any claim could be sufficiently abstracted to fall within the anti-SLAPP statute”</w:t>
      </w:r>
      <w:r w:rsidR="00D86D95" w:rsidRPr="005007CE">
        <w:rPr>
          <w:szCs w:val="26"/>
        </w:rPr>
        <w:t>]</w:t>
      </w:r>
      <w:r w:rsidR="00B62505" w:rsidRPr="005007CE">
        <w:rPr>
          <w:szCs w:val="26"/>
        </w:rPr>
        <w:t>.)</w:t>
      </w:r>
      <w:r w:rsidR="00AD7A52" w:rsidRPr="005007CE">
        <w:rPr>
          <w:szCs w:val="26"/>
        </w:rPr>
        <w:t xml:space="preserve">  To sweep in a claim about falsehoods made </w:t>
      </w:r>
      <w:r w:rsidR="00E66714">
        <w:rPr>
          <w:szCs w:val="26"/>
        </w:rPr>
        <w:t>regarding</w:t>
      </w:r>
      <w:r w:rsidR="00AD7A52" w:rsidRPr="005007CE">
        <w:rPr>
          <w:szCs w:val="26"/>
        </w:rPr>
        <w:t xml:space="preserve"> a nonpublic figure, where the falsehoods do not contribute in any meaningful way to </w:t>
      </w:r>
      <w:r w:rsidR="000F4077" w:rsidRPr="005007CE">
        <w:rPr>
          <w:szCs w:val="26"/>
        </w:rPr>
        <w:t xml:space="preserve">discussion or resolution of </w:t>
      </w:r>
      <w:r w:rsidR="00AD7A52" w:rsidRPr="005007CE">
        <w:rPr>
          <w:szCs w:val="26"/>
        </w:rPr>
        <w:t xml:space="preserve">an ongoing matter of public significance, would </w:t>
      </w:r>
      <w:r w:rsidR="00AC1EF8" w:rsidRPr="005007CE">
        <w:rPr>
          <w:szCs w:val="26"/>
        </w:rPr>
        <w:t>do nothing to</w:t>
      </w:r>
      <w:r w:rsidR="00AD7A52" w:rsidRPr="005007CE">
        <w:rPr>
          <w:szCs w:val="26"/>
        </w:rPr>
        <w:t xml:space="preserve"> </w:t>
      </w:r>
      <w:r w:rsidR="00AC1EF8" w:rsidRPr="005007CE">
        <w:rPr>
          <w:szCs w:val="26"/>
        </w:rPr>
        <w:t>advance</w:t>
      </w:r>
      <w:r w:rsidR="00AD7A52" w:rsidRPr="005007CE">
        <w:rPr>
          <w:szCs w:val="26"/>
        </w:rPr>
        <w:t xml:space="preserve"> the statute’s stated purpose of shielding defendants from </w:t>
      </w:r>
      <w:r w:rsidR="00D86D95" w:rsidRPr="005007CE">
        <w:t xml:space="preserve">meritless </w:t>
      </w:r>
      <w:r w:rsidR="00AD7A52" w:rsidRPr="005007CE">
        <w:t xml:space="preserve">lawsuits designed to chill </w:t>
      </w:r>
      <w:r w:rsidR="00D86D95" w:rsidRPr="005007CE">
        <w:t>speech and petitioning on matters of public interest or controversy.  (See § 425.16, subd.</w:t>
      </w:r>
      <w:r w:rsidR="00962511" w:rsidRPr="005007CE">
        <w:t> </w:t>
      </w:r>
      <w:r w:rsidR="00D86D95" w:rsidRPr="005007CE">
        <w:t>(a).)</w:t>
      </w:r>
    </w:p>
    <w:p w14:paraId="3783283F" w14:textId="49506258" w:rsidR="00DE6001" w:rsidRPr="005007CE" w:rsidRDefault="00DE6001" w:rsidP="00414F44">
      <w:pPr>
        <w:tabs>
          <w:tab w:val="left" w:pos="1440"/>
        </w:tabs>
        <w:ind w:firstLine="720"/>
        <w:rPr>
          <w:szCs w:val="26"/>
        </w:rPr>
      </w:pPr>
      <w:r w:rsidRPr="005007CE">
        <w:t>Relevant</w:t>
      </w:r>
      <w:r w:rsidR="00E66714">
        <w:t>,</w:t>
      </w:r>
      <w:r w:rsidRPr="005007CE">
        <w:t xml:space="preserve"> too</w:t>
      </w:r>
      <w:r w:rsidR="00E66714">
        <w:t>,</w:t>
      </w:r>
      <w:r w:rsidRPr="005007CE">
        <w:t xml:space="preserve"> is the private context of the alleged statements.  Granted, private communications may qualify as protected activity</w:t>
      </w:r>
      <w:r w:rsidR="00F56DA5">
        <w:t xml:space="preserve"> in some circumstances</w:t>
      </w:r>
      <w:r w:rsidRPr="005007CE">
        <w:t>.  (</w:t>
      </w:r>
      <w:r w:rsidRPr="005007CE">
        <w:rPr>
          <w:i/>
        </w:rPr>
        <w:t>FilmOn.</w:t>
      </w:r>
      <w:r w:rsidR="005733AE" w:rsidRPr="005007CE">
        <w:rPr>
          <w:i/>
        </w:rPr>
        <w:t>c</w:t>
      </w:r>
      <w:r w:rsidRPr="005007CE">
        <w:rPr>
          <w:i/>
        </w:rPr>
        <w:t>om Inc. v. DoubleVerify Inc.</w:t>
      </w:r>
      <w:r w:rsidRPr="005007CE">
        <w:t xml:space="preserve">, </w:t>
      </w:r>
      <w:r w:rsidRPr="005007CE">
        <w:rPr>
          <w:i/>
        </w:rPr>
        <w:t>supra</w:t>
      </w:r>
      <w:r w:rsidRPr="005007CE">
        <w:t xml:space="preserve">, 7 Cal.5th at p. 146; </w:t>
      </w:r>
      <w:r w:rsidRPr="005007CE">
        <w:rPr>
          <w:i/>
        </w:rPr>
        <w:t>Navellier v. Sletten</w:t>
      </w:r>
      <w:r w:rsidRPr="005007CE">
        <w:t xml:space="preserve">, </w:t>
      </w:r>
      <w:r w:rsidRPr="005007CE">
        <w:rPr>
          <w:i/>
        </w:rPr>
        <w:t>supra</w:t>
      </w:r>
      <w:r w:rsidRPr="005007CE">
        <w:t xml:space="preserve">,  29 Cal.4th at p. 91.)  But the private context eliminates any possibility of protection under section 425.16, subdivision (e)(3), </w:t>
      </w:r>
      <w:r w:rsidR="00F56DA5">
        <w:t xml:space="preserve">for example, and here </w:t>
      </w:r>
      <w:r w:rsidRPr="005007CE">
        <w:t>makes heavier CNN’s burden of showing that, notwithstanding the private context, the alleged statements nevertheless contributed to discussion or resolution of a public issue</w:t>
      </w:r>
      <w:r w:rsidR="00F56DA5">
        <w:t xml:space="preserve"> for purposes of subdivision (e)(4)</w:t>
      </w:r>
      <w:r w:rsidRPr="005007CE">
        <w:t xml:space="preserve">.  (See </w:t>
      </w:r>
      <w:r w:rsidRPr="005007CE">
        <w:rPr>
          <w:i/>
        </w:rPr>
        <w:t>FilmOn.</w:t>
      </w:r>
      <w:r w:rsidR="005733AE" w:rsidRPr="005007CE">
        <w:rPr>
          <w:i/>
        </w:rPr>
        <w:t>c</w:t>
      </w:r>
      <w:r w:rsidRPr="005007CE">
        <w:rPr>
          <w:i/>
        </w:rPr>
        <w:t>om Inc.</w:t>
      </w:r>
      <w:r w:rsidRPr="005007CE">
        <w:t>, at pp. 146, 150–151.)</w:t>
      </w:r>
    </w:p>
    <w:p w14:paraId="3DABDA4B" w14:textId="77777777" w:rsidR="00634DB8" w:rsidRPr="005007CE" w:rsidRDefault="007B725D" w:rsidP="00414F44">
      <w:pPr>
        <w:tabs>
          <w:tab w:val="left" w:pos="1440"/>
        </w:tabs>
        <w:ind w:firstLine="720"/>
      </w:pPr>
      <w:r w:rsidRPr="005007CE">
        <w:lastRenderedPageBreak/>
        <w:t xml:space="preserve">This case does not resemble other cases in which speech </w:t>
      </w:r>
      <w:r w:rsidR="00A22FF2" w:rsidRPr="005007CE">
        <w:t xml:space="preserve">concerning the actions of individual </w:t>
      </w:r>
      <w:r w:rsidR="00AD7A52" w:rsidRPr="005007CE">
        <w:t>nonpublic figure</w:t>
      </w:r>
      <w:r w:rsidR="00A22FF2" w:rsidRPr="005007CE">
        <w:t>s</w:t>
      </w:r>
      <w:r w:rsidR="00AD7A52" w:rsidRPr="005007CE">
        <w:t xml:space="preserve"> </w:t>
      </w:r>
      <w:r w:rsidRPr="005007CE">
        <w:t xml:space="preserve">has been held to </w:t>
      </w:r>
      <w:r w:rsidR="00AD7A52" w:rsidRPr="005007CE">
        <w:t xml:space="preserve">contribute to </w:t>
      </w:r>
      <w:r w:rsidR="004843A5" w:rsidRPr="005007CE">
        <w:t xml:space="preserve">ongoing </w:t>
      </w:r>
      <w:r w:rsidR="00364010" w:rsidRPr="005007CE">
        <w:t>debate on a public controversy.</w:t>
      </w:r>
      <w:r w:rsidR="002903ED" w:rsidRPr="005007CE">
        <w:t xml:space="preserve"> </w:t>
      </w:r>
      <w:r w:rsidR="00F2122E" w:rsidRPr="005007CE">
        <w:t xml:space="preserve"> </w:t>
      </w:r>
      <w:r w:rsidR="00AD7A52" w:rsidRPr="005007CE">
        <w:t>F</w:t>
      </w:r>
      <w:r w:rsidR="006424AD" w:rsidRPr="005007CE">
        <w:t xml:space="preserve">or example, in </w:t>
      </w:r>
      <w:r w:rsidR="006424AD" w:rsidRPr="005007CE">
        <w:rPr>
          <w:i/>
        </w:rPr>
        <w:t>Taus v. Loftus</w:t>
      </w:r>
      <w:r w:rsidR="006424AD" w:rsidRPr="005007CE">
        <w:t xml:space="preserve"> (2007) 40 Cal.4th 683, </w:t>
      </w:r>
      <w:r w:rsidR="00871566" w:rsidRPr="005007CE">
        <w:t>712–713,</w:t>
      </w:r>
      <w:r w:rsidR="004048EA" w:rsidRPr="005007CE">
        <w:t xml:space="preserve"> </w:t>
      </w:r>
      <w:r w:rsidR="00A22FF2" w:rsidRPr="005007CE">
        <w:t xml:space="preserve">we considered the case of </w:t>
      </w:r>
      <w:r w:rsidR="006424AD" w:rsidRPr="005007CE">
        <w:t xml:space="preserve">two scholars who </w:t>
      </w:r>
      <w:r w:rsidR="0079309A" w:rsidRPr="005007CE">
        <w:t xml:space="preserve">had </w:t>
      </w:r>
      <w:r w:rsidR="006424AD" w:rsidRPr="005007CE">
        <w:t xml:space="preserve">investigated a claimed instance of repressed memory recovery and </w:t>
      </w:r>
      <w:r w:rsidR="0079309A" w:rsidRPr="005007CE">
        <w:t xml:space="preserve">who </w:t>
      </w:r>
      <w:r w:rsidR="00172435" w:rsidRPr="005007CE">
        <w:t xml:space="preserve">had </w:t>
      </w:r>
      <w:r w:rsidR="006424AD" w:rsidRPr="005007CE">
        <w:t xml:space="preserve">published and lectured on </w:t>
      </w:r>
      <w:r w:rsidR="00871566" w:rsidRPr="005007CE">
        <w:t>the case study to urge caution in acceptance of such memories</w:t>
      </w:r>
      <w:r w:rsidR="00A22FF2" w:rsidRPr="005007CE">
        <w:t>.</w:t>
      </w:r>
      <w:r w:rsidR="0011426C" w:rsidRPr="005007CE">
        <w:t xml:space="preserve">  </w:t>
      </w:r>
      <w:r w:rsidR="00A22FF2" w:rsidRPr="005007CE">
        <w:t>We had no difficulty concluding the scholars’ speech</w:t>
      </w:r>
      <w:r w:rsidR="009C0334" w:rsidRPr="005007CE">
        <w:t xml:space="preserve"> </w:t>
      </w:r>
      <w:r w:rsidR="009C0323" w:rsidRPr="005007CE">
        <w:t xml:space="preserve">concerning </w:t>
      </w:r>
      <w:r w:rsidR="009C0334" w:rsidRPr="005007CE">
        <w:t>the lessons they drew from their case study</w:t>
      </w:r>
      <w:r w:rsidR="00A22FF2" w:rsidRPr="005007CE">
        <w:t xml:space="preserve"> </w:t>
      </w:r>
      <w:r w:rsidR="0011426C" w:rsidRPr="005007CE">
        <w:t xml:space="preserve">was entitled to anti-SLAPP protection; </w:t>
      </w:r>
      <w:r w:rsidR="009C0334" w:rsidRPr="005007CE">
        <w:t xml:space="preserve">the speech </w:t>
      </w:r>
      <w:r w:rsidR="0011426C" w:rsidRPr="005007CE">
        <w:t xml:space="preserve">contributed to discussion of a matter of ongoing public debate.  </w:t>
      </w:r>
      <w:r w:rsidR="00687280" w:rsidRPr="005007CE">
        <w:t>Similarly, t</w:t>
      </w:r>
      <w:r w:rsidR="00871566" w:rsidRPr="005007CE">
        <w:t xml:space="preserve">he Court of Appeal in </w:t>
      </w:r>
      <w:r w:rsidR="00871566" w:rsidRPr="005007CE">
        <w:rPr>
          <w:i/>
        </w:rPr>
        <w:t>M.</w:t>
      </w:r>
      <w:r w:rsidR="0051345F" w:rsidRPr="005007CE">
        <w:rPr>
          <w:i/>
        </w:rPr>
        <w:t> </w:t>
      </w:r>
      <w:r w:rsidR="00871566" w:rsidRPr="005007CE">
        <w:rPr>
          <w:i/>
        </w:rPr>
        <w:t>G.</w:t>
      </w:r>
      <w:r w:rsidR="00557D23" w:rsidRPr="005007CE">
        <w:rPr>
          <w:i/>
        </w:rPr>
        <w:t xml:space="preserve"> v. Time Warner, Inc.</w:t>
      </w:r>
      <w:r w:rsidR="00557D23" w:rsidRPr="005007CE">
        <w:t xml:space="preserve"> (2001) 89 Cal.App.4th 623 </w:t>
      </w:r>
      <w:r w:rsidR="00615363" w:rsidRPr="005007CE">
        <w:t xml:space="preserve">held </w:t>
      </w:r>
      <w:r w:rsidR="00557D23" w:rsidRPr="005007CE">
        <w:t>that a magazine article and television program address</w:t>
      </w:r>
      <w:r w:rsidR="0061563C" w:rsidRPr="005007CE">
        <w:t>ing</w:t>
      </w:r>
      <w:r w:rsidR="00557D23" w:rsidRPr="005007CE">
        <w:t xml:space="preserve"> “the general topic of </w:t>
      </w:r>
      <w:r w:rsidR="0051345F" w:rsidRPr="005007CE">
        <w:t xml:space="preserve">child </w:t>
      </w:r>
      <w:r w:rsidR="00557D23" w:rsidRPr="005007CE">
        <w:t xml:space="preserve">molestation in youth sports,” a significant public issue, </w:t>
      </w:r>
      <w:r w:rsidR="0061563C" w:rsidRPr="005007CE">
        <w:t xml:space="preserve">were protected, </w:t>
      </w:r>
      <w:r w:rsidR="00F96388" w:rsidRPr="005007CE">
        <w:t xml:space="preserve">even </w:t>
      </w:r>
      <w:r w:rsidR="001868CE" w:rsidRPr="005007CE">
        <w:t xml:space="preserve">though </w:t>
      </w:r>
      <w:r w:rsidR="00847A9F" w:rsidRPr="005007CE">
        <w:t>the article and program</w:t>
      </w:r>
      <w:r w:rsidR="00EE170C" w:rsidRPr="005007CE">
        <w:t xml:space="preserve"> illustrated </w:t>
      </w:r>
      <w:r w:rsidR="00F96388" w:rsidRPr="005007CE">
        <w:t>their</w:t>
      </w:r>
      <w:r w:rsidR="002A527D" w:rsidRPr="005007CE">
        <w:t xml:space="preserve"> discussion with </w:t>
      </w:r>
      <w:r w:rsidR="00557D23" w:rsidRPr="005007CE">
        <w:t>examples</w:t>
      </w:r>
      <w:r w:rsidR="001F6383" w:rsidRPr="005007CE">
        <w:t xml:space="preserve"> </w:t>
      </w:r>
      <w:r w:rsidR="00EE170C" w:rsidRPr="005007CE">
        <w:t>of specific instances of misconduct</w:t>
      </w:r>
      <w:r w:rsidR="00847A9F" w:rsidRPr="005007CE">
        <w:t xml:space="preserve">. </w:t>
      </w:r>
      <w:r w:rsidR="00EE170C" w:rsidRPr="005007CE">
        <w:t xml:space="preserve"> </w:t>
      </w:r>
      <w:r w:rsidR="00557D23" w:rsidRPr="005007CE">
        <w:t>(</w:t>
      </w:r>
      <w:r w:rsidR="00557D23" w:rsidRPr="005007CE">
        <w:rPr>
          <w:i/>
        </w:rPr>
        <w:t>Id.</w:t>
      </w:r>
      <w:r w:rsidR="00F96388" w:rsidRPr="005007CE">
        <w:t xml:space="preserve"> at p.</w:t>
      </w:r>
      <w:r w:rsidR="0051345F" w:rsidRPr="005007CE">
        <w:t> </w:t>
      </w:r>
      <w:r w:rsidR="00F96388" w:rsidRPr="005007CE">
        <w:t>629.)</w:t>
      </w:r>
      <w:r w:rsidR="00AD7A52" w:rsidRPr="005007CE">
        <w:t xml:space="preserve">  No comparable </w:t>
      </w:r>
      <w:r w:rsidR="000F4077" w:rsidRPr="005007CE">
        <w:t>connection</w:t>
      </w:r>
      <w:r w:rsidR="00342828" w:rsidRPr="005007CE">
        <w:t xml:space="preserve"> between Wilson’s alleged misconduct and </w:t>
      </w:r>
      <w:r w:rsidR="00D245A0" w:rsidRPr="005007CE">
        <w:t xml:space="preserve">any public issue </w:t>
      </w:r>
      <w:r w:rsidR="000F4077" w:rsidRPr="005007CE">
        <w:t>is</w:t>
      </w:r>
      <w:r w:rsidR="00AD7A52" w:rsidRPr="005007CE">
        <w:t xml:space="preserve"> present here</w:t>
      </w:r>
      <w:r w:rsidR="0011426C" w:rsidRPr="005007CE">
        <w:t>.</w:t>
      </w:r>
    </w:p>
    <w:p w14:paraId="04E24E2F" w14:textId="77777777" w:rsidR="001631BB" w:rsidRPr="005007CE" w:rsidRDefault="00CF4D2F" w:rsidP="00414F44">
      <w:pPr>
        <w:tabs>
          <w:tab w:val="left" w:pos="1440"/>
        </w:tabs>
        <w:ind w:firstLine="720"/>
      </w:pPr>
      <w:r w:rsidRPr="005007CE">
        <w:t>For these reasons, we conclude</w:t>
      </w:r>
      <w:r w:rsidR="00634DB8" w:rsidRPr="005007CE">
        <w:t xml:space="preserve"> </w:t>
      </w:r>
      <w:r w:rsidR="00202FD3" w:rsidRPr="005007CE">
        <w:t>CNN</w:t>
      </w:r>
      <w:r w:rsidR="0092279E" w:rsidRPr="005007CE">
        <w:t>’s</w:t>
      </w:r>
      <w:r w:rsidR="00202FD3" w:rsidRPr="005007CE">
        <w:t xml:space="preserve"> </w:t>
      </w:r>
      <w:r w:rsidR="00634DB8" w:rsidRPr="005007CE">
        <w:t xml:space="preserve">privately communicated </w:t>
      </w:r>
      <w:r w:rsidR="0092279E" w:rsidRPr="005007CE">
        <w:t xml:space="preserve">statements </w:t>
      </w:r>
      <w:r w:rsidR="00634DB8" w:rsidRPr="005007CE">
        <w:t xml:space="preserve">about Wilson’s purported violation of journalistic ethics </w:t>
      </w:r>
      <w:r w:rsidR="0092279E" w:rsidRPr="005007CE">
        <w:t>do not constitute</w:t>
      </w:r>
      <w:r w:rsidR="00202FD3" w:rsidRPr="005007CE">
        <w:t xml:space="preserve"> “conduct in furtherance of . . . the constitutional right of free speech in connection with a public issue or an issue of public interest.”  (§ 425.16, subd. (e)(4).)</w:t>
      </w:r>
      <w:r w:rsidR="005A20B3" w:rsidRPr="005007CE" w:rsidDel="005A20B3">
        <w:t xml:space="preserve"> </w:t>
      </w:r>
    </w:p>
    <w:p w14:paraId="78DE19DE" w14:textId="77777777" w:rsidR="00497105" w:rsidRPr="005007CE" w:rsidRDefault="00497105" w:rsidP="00443D0F">
      <w:pPr>
        <w:keepNext/>
        <w:tabs>
          <w:tab w:val="left" w:pos="1440"/>
        </w:tabs>
        <w:jc w:val="center"/>
        <w:rPr>
          <w:b/>
        </w:rPr>
      </w:pPr>
      <w:r w:rsidRPr="005007CE">
        <w:rPr>
          <w:b/>
        </w:rPr>
        <w:t>V.</w:t>
      </w:r>
    </w:p>
    <w:p w14:paraId="7B934DB6" w14:textId="5754890F" w:rsidR="00497105" w:rsidRPr="005007CE" w:rsidRDefault="0092279E" w:rsidP="00414F44">
      <w:pPr>
        <w:keepNext/>
        <w:tabs>
          <w:tab w:val="left" w:pos="1440"/>
        </w:tabs>
        <w:ind w:firstLine="720"/>
      </w:pPr>
      <w:r w:rsidRPr="005007CE">
        <w:t>CNN has</w:t>
      </w:r>
      <w:r w:rsidR="0080562C" w:rsidRPr="005007CE">
        <w:t xml:space="preserve"> failed to </w:t>
      </w:r>
      <w:r w:rsidR="001466CE" w:rsidRPr="005007CE">
        <w:t xml:space="preserve">carry </w:t>
      </w:r>
      <w:r w:rsidRPr="005007CE">
        <w:t>its</w:t>
      </w:r>
      <w:r w:rsidR="0080562C" w:rsidRPr="005007CE">
        <w:t xml:space="preserve"> first-step burden with respect to </w:t>
      </w:r>
      <w:r w:rsidR="00860F9D" w:rsidRPr="005007CE">
        <w:t xml:space="preserve">many </w:t>
      </w:r>
      <w:r w:rsidR="0080562C" w:rsidRPr="005007CE">
        <w:t xml:space="preserve">of </w:t>
      </w:r>
      <w:r w:rsidR="00C60316" w:rsidRPr="005007CE">
        <w:t>Wilson’s</w:t>
      </w:r>
      <w:r w:rsidR="0080562C" w:rsidRPr="005007CE">
        <w:t xml:space="preserve"> claims</w:t>
      </w:r>
      <w:r w:rsidR="00E6790B" w:rsidRPr="005007CE">
        <w:t>,</w:t>
      </w:r>
      <w:r w:rsidR="0080562C" w:rsidRPr="005007CE">
        <w:t xml:space="preserve"> but </w:t>
      </w:r>
      <w:r w:rsidR="00E6790B" w:rsidRPr="005007CE">
        <w:t xml:space="preserve">it </w:t>
      </w:r>
      <w:r w:rsidR="0080562C" w:rsidRPr="005007CE">
        <w:t>ha</w:t>
      </w:r>
      <w:r w:rsidRPr="005007CE">
        <w:t>s</w:t>
      </w:r>
      <w:r w:rsidR="0080562C" w:rsidRPr="005007CE">
        <w:t xml:space="preserve"> </w:t>
      </w:r>
      <w:r w:rsidR="001466CE" w:rsidRPr="005007CE">
        <w:t>met that</w:t>
      </w:r>
      <w:r w:rsidR="0080562C" w:rsidRPr="005007CE">
        <w:t xml:space="preserve"> burden with respect to those claims based on the termination of </w:t>
      </w:r>
      <w:r w:rsidRPr="005007CE">
        <w:t>hi</w:t>
      </w:r>
      <w:r w:rsidR="00860F9D" w:rsidRPr="005007CE">
        <w:t xml:space="preserve">s </w:t>
      </w:r>
      <w:r w:rsidR="0080562C" w:rsidRPr="005007CE">
        <w:t xml:space="preserve">employment.  </w:t>
      </w:r>
      <w:r w:rsidR="00E66714">
        <w:t>CNN</w:t>
      </w:r>
      <w:r w:rsidRPr="005007CE">
        <w:t xml:space="preserve"> is</w:t>
      </w:r>
      <w:r w:rsidR="005B5B3C" w:rsidRPr="005007CE">
        <w:t xml:space="preserve"> therefore entitled to preliminary </w:t>
      </w:r>
      <w:r w:rsidR="005B5B3C" w:rsidRPr="005007CE">
        <w:lastRenderedPageBreak/>
        <w:t xml:space="preserve">screening of </w:t>
      </w:r>
      <w:r w:rsidR="00860F9D" w:rsidRPr="005007CE">
        <w:t>those claims</w:t>
      </w:r>
      <w:r w:rsidR="005B5B3C" w:rsidRPr="005007CE">
        <w:t xml:space="preserve"> to determine whether </w:t>
      </w:r>
      <w:r w:rsidR="00860F9D" w:rsidRPr="005007CE">
        <w:t>they have</w:t>
      </w:r>
      <w:r w:rsidR="005B5B3C" w:rsidRPr="005007CE">
        <w:t xml:space="preserve"> minimal merit.  </w:t>
      </w:r>
      <w:r w:rsidR="00045B80" w:rsidRPr="005007CE">
        <w:t>W</w:t>
      </w:r>
      <w:r w:rsidR="00497105" w:rsidRPr="005007CE">
        <w:t>e affirm the Court of Appeal</w:t>
      </w:r>
      <w:r w:rsidR="004C73E4" w:rsidRPr="005007CE">
        <w:t>’s judgment</w:t>
      </w:r>
      <w:r w:rsidR="001A4F9C" w:rsidRPr="005007CE">
        <w:t xml:space="preserve"> in part, reverse in part, and remand for further proceedings not inconsistent with this opinion</w:t>
      </w:r>
      <w:r w:rsidR="00497105" w:rsidRPr="005007CE">
        <w:t>.</w:t>
      </w:r>
    </w:p>
    <w:p w14:paraId="5D1926E4" w14:textId="77777777" w:rsidR="00B07CC6" w:rsidRPr="005007CE" w:rsidRDefault="00B07CC6" w:rsidP="00414F44">
      <w:pPr>
        <w:keepNext/>
        <w:tabs>
          <w:tab w:val="left" w:pos="1440"/>
        </w:tabs>
        <w:ind w:firstLine="720"/>
        <w:jc w:val="left"/>
      </w:pPr>
    </w:p>
    <w:p w14:paraId="28F5E8B3" w14:textId="77777777" w:rsidR="00497105" w:rsidRPr="005007CE" w:rsidRDefault="00E66714" w:rsidP="00414F44">
      <w:pPr>
        <w:keepNext/>
        <w:tabs>
          <w:tab w:val="left" w:pos="5040"/>
          <w:tab w:val="left" w:pos="5760"/>
        </w:tabs>
        <w:ind w:firstLine="720"/>
        <w:rPr>
          <w:b/>
        </w:rPr>
      </w:pPr>
      <w:r w:rsidRPr="00F30B48">
        <w:rPr>
          <w:b/>
        </w:rPr>
        <w:tab/>
      </w:r>
      <w:r w:rsidRPr="00F30B48">
        <w:rPr>
          <w:b/>
        </w:rPr>
        <w:tab/>
      </w:r>
      <w:r>
        <w:rPr>
          <w:b/>
        </w:rPr>
        <w:t xml:space="preserve">     </w:t>
      </w:r>
      <w:r w:rsidR="00497105" w:rsidRPr="005007CE">
        <w:rPr>
          <w:b/>
        </w:rPr>
        <w:t>KRUGER, J.</w:t>
      </w:r>
    </w:p>
    <w:p w14:paraId="7CECD5C5" w14:textId="704F90BE" w:rsidR="00497105" w:rsidRDefault="00045B80" w:rsidP="00443D0F">
      <w:pPr>
        <w:rPr>
          <w:b/>
        </w:rPr>
      </w:pPr>
      <w:r w:rsidRPr="00443D0F">
        <w:rPr>
          <w:b/>
        </w:rPr>
        <w:t>We Concur:</w:t>
      </w:r>
    </w:p>
    <w:p w14:paraId="3770C88D" w14:textId="0DEA8579" w:rsidR="0036511C" w:rsidRDefault="0036511C" w:rsidP="0036511C">
      <w:pPr>
        <w:spacing w:after="0" w:line="240" w:lineRule="auto"/>
        <w:rPr>
          <w:b/>
        </w:rPr>
      </w:pPr>
      <w:r>
        <w:rPr>
          <w:b/>
        </w:rPr>
        <w:t>CANTIL-SAKAUYE, C. J.</w:t>
      </w:r>
    </w:p>
    <w:p w14:paraId="790F2049" w14:textId="7DF381E3" w:rsidR="0036511C" w:rsidRDefault="0036511C" w:rsidP="0036511C">
      <w:pPr>
        <w:spacing w:after="0" w:line="240" w:lineRule="auto"/>
        <w:rPr>
          <w:b/>
        </w:rPr>
      </w:pPr>
      <w:r>
        <w:rPr>
          <w:b/>
        </w:rPr>
        <w:t>CHIN, J.</w:t>
      </w:r>
    </w:p>
    <w:p w14:paraId="01CAE8DD" w14:textId="04A2D65F" w:rsidR="0036511C" w:rsidRDefault="0036511C" w:rsidP="0036511C">
      <w:pPr>
        <w:spacing w:after="0" w:line="240" w:lineRule="auto"/>
        <w:rPr>
          <w:b/>
        </w:rPr>
      </w:pPr>
      <w:r>
        <w:rPr>
          <w:b/>
        </w:rPr>
        <w:t>CORRIGAN, J.</w:t>
      </w:r>
    </w:p>
    <w:p w14:paraId="7606B939" w14:textId="79D5911D" w:rsidR="0036511C" w:rsidRDefault="0036511C" w:rsidP="0036511C">
      <w:pPr>
        <w:spacing w:after="0" w:line="240" w:lineRule="auto"/>
        <w:rPr>
          <w:b/>
        </w:rPr>
      </w:pPr>
      <w:r>
        <w:rPr>
          <w:b/>
        </w:rPr>
        <w:t>LIU, J.</w:t>
      </w:r>
    </w:p>
    <w:p w14:paraId="112D10AE" w14:textId="50306118" w:rsidR="0036511C" w:rsidRDefault="0036511C" w:rsidP="0036511C">
      <w:pPr>
        <w:spacing w:after="0" w:line="240" w:lineRule="auto"/>
        <w:rPr>
          <w:b/>
        </w:rPr>
      </w:pPr>
      <w:r>
        <w:rPr>
          <w:b/>
        </w:rPr>
        <w:t>CUÉLLAR, J.</w:t>
      </w:r>
    </w:p>
    <w:p w14:paraId="487CED72" w14:textId="4F9E82C6" w:rsidR="0036511C" w:rsidRDefault="0036511C" w:rsidP="0036511C">
      <w:pPr>
        <w:spacing w:after="0" w:line="240" w:lineRule="auto"/>
        <w:rPr>
          <w:b/>
        </w:rPr>
      </w:pPr>
      <w:r>
        <w:rPr>
          <w:b/>
        </w:rPr>
        <w:t>GROBAN, J.</w:t>
      </w:r>
    </w:p>
    <w:p w14:paraId="2003BB24" w14:textId="77777777" w:rsidR="00D96898" w:rsidRDefault="00D96898" w:rsidP="00443D0F">
      <w:pPr>
        <w:rPr>
          <w:b/>
        </w:rPr>
        <w:sectPr w:rsidR="00D96898" w:rsidSect="004C5389">
          <w:pgSz w:w="12240" w:h="15840" w:code="1"/>
          <w:pgMar w:top="1440" w:right="2160" w:bottom="1440" w:left="2160" w:header="720" w:footer="720" w:gutter="0"/>
          <w:pgNumType w:start="1"/>
          <w:cols w:space="720"/>
          <w:titlePg/>
          <w:docGrid w:linePitch="367"/>
        </w:sectPr>
      </w:pPr>
    </w:p>
    <w:p w14:paraId="4DB12493" w14:textId="77777777" w:rsidR="00D96898" w:rsidRPr="00D96898" w:rsidRDefault="00D96898" w:rsidP="00D96898">
      <w:pPr>
        <w:spacing w:after="0" w:line="240" w:lineRule="auto"/>
        <w:jc w:val="left"/>
        <w:rPr>
          <w:rFonts w:ascii="Times New Roman" w:hAnsi="Times New Roman"/>
          <w:i/>
          <w:sz w:val="20"/>
        </w:rPr>
      </w:pPr>
      <w:r w:rsidRPr="00D96898">
        <w:rPr>
          <w:rFonts w:ascii="Times New Roman" w:hAnsi="Times New Roman"/>
          <w:i/>
          <w:sz w:val="20"/>
        </w:rPr>
        <w:lastRenderedPageBreak/>
        <w:t>See next page for addresses and telephone numbers for counsel who argued in Supreme Court.</w:t>
      </w:r>
    </w:p>
    <w:p w14:paraId="1FD4FBC3" w14:textId="77777777" w:rsidR="00D96898" w:rsidRPr="00D96898" w:rsidRDefault="00D96898" w:rsidP="00D96898">
      <w:pPr>
        <w:spacing w:after="0" w:line="240" w:lineRule="auto"/>
        <w:jc w:val="left"/>
        <w:rPr>
          <w:rFonts w:ascii="Times New Roman" w:hAnsi="Times New Roman"/>
          <w:i/>
          <w:sz w:val="20"/>
        </w:rPr>
      </w:pPr>
    </w:p>
    <w:p w14:paraId="48CB31F2" w14:textId="77777777" w:rsidR="00D96898" w:rsidRPr="00D96898" w:rsidRDefault="00D96898" w:rsidP="00D96898">
      <w:pPr>
        <w:spacing w:after="0" w:line="240" w:lineRule="auto"/>
        <w:jc w:val="left"/>
        <w:rPr>
          <w:rFonts w:ascii="Times New Roman" w:hAnsi="Times New Roman"/>
          <w:bCs/>
          <w:i/>
          <w:sz w:val="20"/>
        </w:rPr>
      </w:pPr>
      <w:r w:rsidRPr="00D96898">
        <w:rPr>
          <w:rFonts w:ascii="Times New Roman" w:hAnsi="Times New Roman"/>
          <w:b/>
          <w:sz w:val="20"/>
        </w:rPr>
        <w:t>Name of Opinion</w:t>
      </w:r>
      <w:r w:rsidRPr="00D96898">
        <w:rPr>
          <w:rFonts w:ascii="Times New Roman" w:hAnsi="Times New Roman"/>
          <w:sz w:val="20"/>
        </w:rPr>
        <w:t xml:space="preserve"> Wilson v. Cable News Network, Inc.</w:t>
      </w:r>
    </w:p>
    <w:p w14:paraId="3647DD0B" w14:textId="77777777" w:rsidR="00D96898" w:rsidRPr="00D96898" w:rsidRDefault="00D96898" w:rsidP="00D96898">
      <w:pPr>
        <w:spacing w:after="0" w:line="240" w:lineRule="auto"/>
        <w:jc w:val="left"/>
        <w:rPr>
          <w:rFonts w:ascii="Times New Roman" w:hAnsi="Times New Roman"/>
          <w:b/>
          <w:sz w:val="20"/>
        </w:rPr>
      </w:pPr>
      <w:r w:rsidRPr="00D96898">
        <w:rPr>
          <w:rFonts w:ascii="Times New Roman" w:hAnsi="Times New Roman"/>
          <w:b/>
          <w:sz w:val="20"/>
        </w:rPr>
        <w:t>__________________________________________________________________________________</w:t>
      </w:r>
    </w:p>
    <w:p w14:paraId="7DF7B773" w14:textId="77777777" w:rsidR="00D96898" w:rsidRPr="00D96898" w:rsidRDefault="00D96898" w:rsidP="00D96898">
      <w:pPr>
        <w:spacing w:after="0" w:line="240" w:lineRule="auto"/>
        <w:jc w:val="left"/>
        <w:rPr>
          <w:rFonts w:ascii="Times New Roman" w:hAnsi="Times New Roman"/>
          <w:b/>
          <w:sz w:val="20"/>
        </w:rPr>
      </w:pPr>
    </w:p>
    <w:p w14:paraId="2345A96B" w14:textId="77777777" w:rsidR="00D96898" w:rsidRPr="00D96898" w:rsidRDefault="00D96898" w:rsidP="00D96898">
      <w:pPr>
        <w:spacing w:after="0" w:line="240" w:lineRule="auto"/>
        <w:jc w:val="left"/>
        <w:rPr>
          <w:rFonts w:ascii="Times New Roman" w:hAnsi="Times New Roman"/>
          <w:bCs/>
          <w:sz w:val="20"/>
        </w:rPr>
      </w:pPr>
      <w:r w:rsidRPr="00D96898">
        <w:rPr>
          <w:rFonts w:ascii="Times New Roman" w:hAnsi="Times New Roman"/>
          <w:b/>
          <w:sz w:val="20"/>
        </w:rPr>
        <w:t>Unpublished Opinion</w:t>
      </w:r>
    </w:p>
    <w:p w14:paraId="4281446A" w14:textId="77777777" w:rsidR="00D96898" w:rsidRPr="00D96898" w:rsidRDefault="00D96898" w:rsidP="00D96898">
      <w:pPr>
        <w:spacing w:after="0" w:line="240" w:lineRule="auto"/>
        <w:jc w:val="left"/>
        <w:rPr>
          <w:rFonts w:ascii="Times New Roman" w:hAnsi="Times New Roman"/>
          <w:sz w:val="20"/>
        </w:rPr>
      </w:pPr>
      <w:r w:rsidRPr="00D96898">
        <w:rPr>
          <w:rFonts w:ascii="Times New Roman" w:hAnsi="Times New Roman"/>
          <w:b/>
          <w:sz w:val="20"/>
        </w:rPr>
        <w:t>Original Appeal</w:t>
      </w:r>
    </w:p>
    <w:p w14:paraId="742A687A" w14:textId="77777777" w:rsidR="00D96898" w:rsidRPr="00D96898" w:rsidRDefault="00D96898" w:rsidP="00D96898">
      <w:pPr>
        <w:spacing w:after="0" w:line="240" w:lineRule="auto"/>
        <w:jc w:val="left"/>
        <w:rPr>
          <w:rFonts w:ascii="Times New Roman" w:hAnsi="Times New Roman"/>
          <w:b/>
          <w:sz w:val="20"/>
        </w:rPr>
      </w:pPr>
      <w:r w:rsidRPr="00D96898">
        <w:rPr>
          <w:rFonts w:ascii="Times New Roman" w:hAnsi="Times New Roman"/>
          <w:b/>
          <w:sz w:val="20"/>
        </w:rPr>
        <w:t>Original Proceeding</w:t>
      </w:r>
    </w:p>
    <w:p w14:paraId="19F70596" w14:textId="77777777" w:rsidR="00D96898" w:rsidRPr="00D96898" w:rsidRDefault="00D96898" w:rsidP="00D96898">
      <w:pPr>
        <w:spacing w:after="0" w:line="240" w:lineRule="auto"/>
        <w:jc w:val="left"/>
        <w:rPr>
          <w:rFonts w:ascii="Times New Roman" w:hAnsi="Times New Roman"/>
          <w:sz w:val="20"/>
        </w:rPr>
      </w:pPr>
      <w:r w:rsidRPr="00D96898">
        <w:rPr>
          <w:rFonts w:ascii="Times New Roman" w:hAnsi="Times New Roman"/>
          <w:b/>
          <w:sz w:val="20"/>
        </w:rPr>
        <w:t>Review Granted</w:t>
      </w:r>
      <w:r w:rsidRPr="00D96898">
        <w:rPr>
          <w:rFonts w:ascii="Times New Roman" w:hAnsi="Times New Roman"/>
          <w:sz w:val="20"/>
        </w:rPr>
        <w:t xml:space="preserve"> XXX 6 Cal.App.5th 822</w:t>
      </w:r>
    </w:p>
    <w:p w14:paraId="349E094F" w14:textId="77777777" w:rsidR="00D96898" w:rsidRPr="00D96898" w:rsidRDefault="00D96898" w:rsidP="00D96898">
      <w:pPr>
        <w:spacing w:after="0" w:line="240" w:lineRule="auto"/>
        <w:jc w:val="left"/>
        <w:rPr>
          <w:rFonts w:ascii="Times New Roman" w:hAnsi="Times New Roman"/>
          <w:b/>
          <w:sz w:val="20"/>
        </w:rPr>
      </w:pPr>
      <w:r w:rsidRPr="00D96898">
        <w:rPr>
          <w:rFonts w:ascii="Times New Roman" w:hAnsi="Times New Roman"/>
          <w:b/>
          <w:sz w:val="20"/>
        </w:rPr>
        <w:t>Rehearing Granted</w:t>
      </w:r>
    </w:p>
    <w:p w14:paraId="2DD7EFEC" w14:textId="77777777" w:rsidR="00D96898" w:rsidRPr="00D96898" w:rsidRDefault="00D96898" w:rsidP="00D96898">
      <w:pPr>
        <w:spacing w:after="0" w:line="240" w:lineRule="auto"/>
        <w:jc w:val="left"/>
        <w:rPr>
          <w:rFonts w:ascii="Times New Roman" w:hAnsi="Times New Roman"/>
          <w:b/>
          <w:sz w:val="20"/>
        </w:rPr>
      </w:pPr>
    </w:p>
    <w:p w14:paraId="501BEA81" w14:textId="77777777" w:rsidR="00D96898" w:rsidRPr="00D96898" w:rsidRDefault="00D96898" w:rsidP="00D96898">
      <w:pPr>
        <w:spacing w:after="0" w:line="240" w:lineRule="auto"/>
        <w:jc w:val="left"/>
        <w:rPr>
          <w:rFonts w:ascii="Times New Roman" w:hAnsi="Times New Roman"/>
          <w:b/>
          <w:sz w:val="20"/>
        </w:rPr>
      </w:pPr>
      <w:r w:rsidRPr="00D96898">
        <w:rPr>
          <w:rFonts w:ascii="Times New Roman" w:hAnsi="Times New Roman"/>
          <w:b/>
          <w:sz w:val="20"/>
        </w:rPr>
        <w:t>__________________________________________________________________________________</w:t>
      </w:r>
    </w:p>
    <w:p w14:paraId="5A00326D" w14:textId="77777777" w:rsidR="00D96898" w:rsidRPr="00D96898" w:rsidRDefault="00D96898" w:rsidP="00D96898">
      <w:pPr>
        <w:spacing w:after="0" w:line="240" w:lineRule="auto"/>
        <w:jc w:val="left"/>
        <w:rPr>
          <w:rFonts w:ascii="Times New Roman" w:hAnsi="Times New Roman"/>
          <w:b/>
          <w:sz w:val="20"/>
        </w:rPr>
      </w:pPr>
    </w:p>
    <w:p w14:paraId="549B5816" w14:textId="77777777" w:rsidR="00D96898" w:rsidRPr="00D96898" w:rsidRDefault="00D96898" w:rsidP="00D96898">
      <w:pPr>
        <w:spacing w:after="0" w:line="240" w:lineRule="auto"/>
        <w:jc w:val="left"/>
        <w:rPr>
          <w:rFonts w:ascii="Times New Roman" w:hAnsi="Times New Roman"/>
          <w:bCs/>
          <w:sz w:val="20"/>
        </w:rPr>
      </w:pPr>
      <w:r w:rsidRPr="00D96898">
        <w:rPr>
          <w:rFonts w:ascii="Times New Roman" w:hAnsi="Times New Roman"/>
          <w:b/>
          <w:sz w:val="20"/>
        </w:rPr>
        <w:t>Opinion No.</w:t>
      </w:r>
      <w:r w:rsidRPr="00D96898">
        <w:rPr>
          <w:rFonts w:ascii="Times New Roman" w:hAnsi="Times New Roman"/>
          <w:sz w:val="20"/>
        </w:rPr>
        <w:t xml:space="preserve"> S239686</w:t>
      </w:r>
    </w:p>
    <w:p w14:paraId="668F31AF" w14:textId="77777777" w:rsidR="00D96898" w:rsidRPr="00D96898" w:rsidRDefault="00D96898" w:rsidP="00D96898">
      <w:pPr>
        <w:spacing w:after="0" w:line="240" w:lineRule="auto"/>
        <w:jc w:val="left"/>
        <w:rPr>
          <w:rFonts w:ascii="Times New Roman" w:hAnsi="Times New Roman"/>
          <w:bCs/>
          <w:sz w:val="20"/>
        </w:rPr>
      </w:pPr>
      <w:r w:rsidRPr="00D96898">
        <w:rPr>
          <w:rFonts w:ascii="Times New Roman" w:hAnsi="Times New Roman"/>
          <w:b/>
          <w:sz w:val="20"/>
        </w:rPr>
        <w:t>Date Filed:</w:t>
      </w:r>
      <w:r w:rsidRPr="00D96898">
        <w:rPr>
          <w:rFonts w:ascii="Times New Roman" w:hAnsi="Times New Roman"/>
          <w:sz w:val="20"/>
        </w:rPr>
        <w:t xml:space="preserve"> July 22, 2019</w:t>
      </w:r>
    </w:p>
    <w:p w14:paraId="1E7203C8" w14:textId="77777777" w:rsidR="00D96898" w:rsidRPr="00D96898" w:rsidRDefault="00D96898" w:rsidP="00D96898">
      <w:pPr>
        <w:spacing w:after="0" w:line="240" w:lineRule="auto"/>
        <w:jc w:val="left"/>
        <w:rPr>
          <w:rFonts w:ascii="Times New Roman" w:hAnsi="Times New Roman"/>
          <w:b/>
          <w:sz w:val="20"/>
        </w:rPr>
      </w:pPr>
      <w:r w:rsidRPr="00D96898">
        <w:rPr>
          <w:rFonts w:ascii="Times New Roman" w:hAnsi="Times New Roman"/>
          <w:b/>
          <w:sz w:val="20"/>
        </w:rPr>
        <w:t>__________________________________________________________________________________</w:t>
      </w:r>
    </w:p>
    <w:p w14:paraId="1707D724" w14:textId="77777777" w:rsidR="00D96898" w:rsidRPr="00D96898" w:rsidRDefault="00D96898" w:rsidP="00D96898">
      <w:pPr>
        <w:spacing w:after="0" w:line="240" w:lineRule="auto"/>
        <w:jc w:val="left"/>
        <w:rPr>
          <w:rFonts w:ascii="Times New Roman" w:hAnsi="Times New Roman"/>
          <w:b/>
          <w:sz w:val="20"/>
        </w:rPr>
      </w:pPr>
    </w:p>
    <w:p w14:paraId="22D53E7F" w14:textId="77777777" w:rsidR="00D96898" w:rsidRPr="00D96898" w:rsidRDefault="00D96898" w:rsidP="00D96898">
      <w:pPr>
        <w:spacing w:after="0" w:line="240" w:lineRule="auto"/>
        <w:jc w:val="left"/>
        <w:rPr>
          <w:rFonts w:ascii="Times New Roman" w:hAnsi="Times New Roman"/>
          <w:bCs/>
          <w:sz w:val="20"/>
        </w:rPr>
      </w:pPr>
      <w:r w:rsidRPr="00D96898">
        <w:rPr>
          <w:rFonts w:ascii="Times New Roman" w:hAnsi="Times New Roman"/>
          <w:b/>
          <w:sz w:val="20"/>
        </w:rPr>
        <w:t>Court:</w:t>
      </w:r>
      <w:r w:rsidRPr="00D96898">
        <w:rPr>
          <w:rFonts w:ascii="Times New Roman" w:hAnsi="Times New Roman"/>
          <w:sz w:val="20"/>
        </w:rPr>
        <w:t xml:space="preserve"> Superior</w:t>
      </w:r>
    </w:p>
    <w:p w14:paraId="69CB4D60" w14:textId="77777777" w:rsidR="00D96898" w:rsidRPr="00D96898" w:rsidRDefault="00D96898" w:rsidP="00D96898">
      <w:pPr>
        <w:spacing w:after="0" w:line="240" w:lineRule="auto"/>
        <w:jc w:val="left"/>
        <w:rPr>
          <w:rFonts w:ascii="Times New Roman" w:hAnsi="Times New Roman"/>
          <w:bCs/>
          <w:sz w:val="20"/>
        </w:rPr>
      </w:pPr>
      <w:r w:rsidRPr="00D96898">
        <w:rPr>
          <w:rFonts w:ascii="Times New Roman" w:hAnsi="Times New Roman"/>
          <w:b/>
          <w:sz w:val="20"/>
        </w:rPr>
        <w:t>County:</w:t>
      </w:r>
      <w:r w:rsidRPr="00D96898">
        <w:rPr>
          <w:rFonts w:ascii="Times New Roman" w:hAnsi="Times New Roman"/>
          <w:sz w:val="20"/>
        </w:rPr>
        <w:t xml:space="preserve"> Los Angeles</w:t>
      </w:r>
    </w:p>
    <w:p w14:paraId="37644167" w14:textId="77777777" w:rsidR="00D96898" w:rsidRPr="00D96898" w:rsidRDefault="00D96898" w:rsidP="00D96898">
      <w:pPr>
        <w:spacing w:after="0" w:line="240" w:lineRule="auto"/>
        <w:ind w:left="720" w:hanging="720"/>
        <w:jc w:val="left"/>
        <w:rPr>
          <w:rFonts w:ascii="Times New Roman" w:hAnsi="Times New Roman"/>
          <w:bCs/>
          <w:sz w:val="20"/>
        </w:rPr>
      </w:pPr>
      <w:r w:rsidRPr="00D96898">
        <w:rPr>
          <w:rFonts w:ascii="Times New Roman" w:hAnsi="Times New Roman"/>
          <w:b/>
          <w:sz w:val="20"/>
        </w:rPr>
        <w:t>Judge:</w:t>
      </w:r>
      <w:r w:rsidRPr="00D96898">
        <w:rPr>
          <w:rFonts w:ascii="Times New Roman" w:hAnsi="Times New Roman"/>
          <w:sz w:val="20"/>
        </w:rPr>
        <w:t xml:space="preserve"> Mel Red Recana</w:t>
      </w:r>
    </w:p>
    <w:p w14:paraId="1C2DEAFB" w14:textId="77777777" w:rsidR="00D96898" w:rsidRPr="00D96898" w:rsidRDefault="00D96898" w:rsidP="00D96898">
      <w:pPr>
        <w:spacing w:after="0" w:line="240" w:lineRule="auto"/>
        <w:jc w:val="left"/>
        <w:rPr>
          <w:rFonts w:ascii="Times New Roman" w:hAnsi="Times New Roman"/>
          <w:b/>
          <w:sz w:val="20"/>
        </w:rPr>
      </w:pPr>
    </w:p>
    <w:p w14:paraId="289C5B81" w14:textId="77777777" w:rsidR="00D96898" w:rsidRPr="00D96898" w:rsidRDefault="00D96898" w:rsidP="00D96898">
      <w:pPr>
        <w:spacing w:after="0" w:line="240" w:lineRule="auto"/>
        <w:jc w:val="left"/>
        <w:rPr>
          <w:rFonts w:ascii="Times New Roman" w:hAnsi="Times New Roman"/>
          <w:b/>
          <w:sz w:val="20"/>
        </w:rPr>
      </w:pPr>
      <w:r w:rsidRPr="00D96898">
        <w:rPr>
          <w:rFonts w:ascii="Times New Roman" w:hAnsi="Times New Roman"/>
          <w:b/>
          <w:sz w:val="20"/>
        </w:rPr>
        <w:t>__________________________________________________________________________________</w:t>
      </w:r>
    </w:p>
    <w:p w14:paraId="116F1FCF" w14:textId="77777777" w:rsidR="00D96898" w:rsidRPr="00D96898" w:rsidRDefault="00D96898" w:rsidP="00D96898">
      <w:pPr>
        <w:spacing w:after="0" w:line="240" w:lineRule="auto"/>
        <w:jc w:val="left"/>
        <w:rPr>
          <w:rFonts w:ascii="Times New Roman" w:hAnsi="Times New Roman"/>
          <w:b/>
          <w:sz w:val="20"/>
        </w:rPr>
      </w:pPr>
    </w:p>
    <w:p w14:paraId="6F2407A9" w14:textId="77777777" w:rsidR="00D96898" w:rsidRPr="00D96898" w:rsidRDefault="00D96898" w:rsidP="00D96898">
      <w:pPr>
        <w:spacing w:after="0" w:line="240" w:lineRule="auto"/>
        <w:jc w:val="left"/>
        <w:rPr>
          <w:rFonts w:ascii="Times New Roman" w:hAnsi="Times New Roman"/>
          <w:b/>
          <w:sz w:val="20"/>
        </w:rPr>
      </w:pPr>
      <w:r w:rsidRPr="00D96898">
        <w:rPr>
          <w:rFonts w:ascii="Times New Roman" w:hAnsi="Times New Roman"/>
          <w:b/>
          <w:sz w:val="20"/>
        </w:rPr>
        <w:t>Counsel:</w:t>
      </w:r>
    </w:p>
    <w:p w14:paraId="5446D8D4" w14:textId="77777777" w:rsidR="00D96898" w:rsidRPr="00D96898" w:rsidRDefault="00D96898" w:rsidP="00D96898">
      <w:pPr>
        <w:spacing w:after="0" w:line="240" w:lineRule="auto"/>
        <w:jc w:val="left"/>
        <w:rPr>
          <w:rFonts w:ascii="Times New Roman" w:hAnsi="Times New Roman"/>
          <w:b/>
          <w:sz w:val="20"/>
        </w:rPr>
      </w:pPr>
    </w:p>
    <w:p w14:paraId="3CF90F5D" w14:textId="77777777" w:rsidR="00D96898" w:rsidRPr="00D96898" w:rsidRDefault="00D96898" w:rsidP="00D96898">
      <w:pPr>
        <w:spacing w:after="0" w:line="240" w:lineRule="auto"/>
        <w:jc w:val="left"/>
        <w:rPr>
          <w:rFonts w:ascii="Times New Roman" w:hAnsi="Times New Roman"/>
          <w:sz w:val="20"/>
        </w:rPr>
      </w:pPr>
      <w:r w:rsidRPr="00D96898">
        <w:rPr>
          <w:rFonts w:ascii="Times New Roman" w:hAnsi="Times New Roman"/>
          <w:sz w:val="20"/>
        </w:rPr>
        <w:t>Law Offices of Lisa L. Maki, Lisa L. Maki, Jennifer Ostertag; Shegerian &amp; Associates, Jill P. McDonnell and Carney R. Shegerian for Plaintiff and Appellant.</w:t>
      </w:r>
    </w:p>
    <w:p w14:paraId="39CF2E2A" w14:textId="77777777" w:rsidR="00D96898" w:rsidRPr="00D96898" w:rsidRDefault="00D96898" w:rsidP="00D96898">
      <w:pPr>
        <w:spacing w:after="0" w:line="240" w:lineRule="auto"/>
        <w:jc w:val="left"/>
        <w:rPr>
          <w:rFonts w:ascii="Times New Roman" w:hAnsi="Times New Roman"/>
          <w:sz w:val="20"/>
        </w:rPr>
      </w:pPr>
    </w:p>
    <w:p w14:paraId="5C2AD0C1" w14:textId="77777777" w:rsidR="00D96898" w:rsidRPr="00D96898" w:rsidRDefault="00D96898" w:rsidP="00D96898">
      <w:pPr>
        <w:spacing w:after="0" w:line="240" w:lineRule="auto"/>
        <w:jc w:val="left"/>
        <w:rPr>
          <w:rFonts w:ascii="Times New Roman" w:hAnsi="Times New Roman"/>
          <w:sz w:val="20"/>
        </w:rPr>
      </w:pPr>
      <w:r w:rsidRPr="00D96898">
        <w:rPr>
          <w:rFonts w:ascii="Times New Roman" w:hAnsi="Times New Roman"/>
          <w:sz w:val="20"/>
        </w:rPr>
        <w:t>FEM Law Group and F. Edie Mermelstein for Consumer Attorneys of California as Amicus Curiae on behalf of Plaintiff and Appellant.</w:t>
      </w:r>
    </w:p>
    <w:p w14:paraId="71977199" w14:textId="77777777" w:rsidR="00D96898" w:rsidRPr="00D96898" w:rsidRDefault="00D96898" w:rsidP="00D96898">
      <w:pPr>
        <w:spacing w:after="0" w:line="240" w:lineRule="auto"/>
        <w:jc w:val="left"/>
        <w:rPr>
          <w:rFonts w:ascii="Times New Roman" w:hAnsi="Times New Roman"/>
          <w:sz w:val="20"/>
        </w:rPr>
      </w:pPr>
    </w:p>
    <w:p w14:paraId="59EDF397" w14:textId="77777777" w:rsidR="00D96898" w:rsidRPr="00D96898" w:rsidRDefault="00D96898" w:rsidP="00D96898">
      <w:pPr>
        <w:spacing w:after="0" w:line="240" w:lineRule="auto"/>
        <w:jc w:val="left"/>
        <w:rPr>
          <w:rFonts w:ascii="Times New Roman" w:hAnsi="Times New Roman"/>
          <w:sz w:val="20"/>
        </w:rPr>
      </w:pPr>
      <w:r w:rsidRPr="00D96898">
        <w:rPr>
          <w:rFonts w:ascii="Times New Roman" w:hAnsi="Times New Roman"/>
          <w:sz w:val="20"/>
        </w:rPr>
        <w:t>Briggs Law Corporation, Cory J. Briggs and Anthony N. Kim for California Taxpayers Action Network as Amicus Curiae on behalf of Plaintiff and Appellant.</w:t>
      </w:r>
    </w:p>
    <w:p w14:paraId="18A6CF2F" w14:textId="77777777" w:rsidR="00D96898" w:rsidRPr="00D96898" w:rsidRDefault="00D96898" w:rsidP="00D96898">
      <w:pPr>
        <w:spacing w:after="0" w:line="240" w:lineRule="auto"/>
        <w:jc w:val="left"/>
        <w:rPr>
          <w:rFonts w:ascii="Times New Roman" w:hAnsi="Times New Roman"/>
          <w:sz w:val="20"/>
        </w:rPr>
      </w:pPr>
    </w:p>
    <w:p w14:paraId="5267040E" w14:textId="77777777" w:rsidR="00D96898" w:rsidRPr="00D96898" w:rsidRDefault="00D96898" w:rsidP="00D96898">
      <w:pPr>
        <w:spacing w:after="0" w:line="240" w:lineRule="auto"/>
        <w:jc w:val="left"/>
        <w:rPr>
          <w:rFonts w:ascii="Times New Roman" w:hAnsi="Times New Roman"/>
          <w:sz w:val="20"/>
        </w:rPr>
      </w:pPr>
      <w:r w:rsidRPr="00D96898">
        <w:rPr>
          <w:rFonts w:ascii="Times New Roman" w:hAnsi="Times New Roman"/>
          <w:sz w:val="20"/>
        </w:rPr>
        <w:t>Mitchell Silberberg &amp; Knupp, Adam Levin, Aaron M. Wais, Jolene Konnersman and Christopher A. Elliott for Defendants and Respondents.</w:t>
      </w:r>
    </w:p>
    <w:p w14:paraId="55137FF3" w14:textId="77777777" w:rsidR="00D96898" w:rsidRPr="00D96898" w:rsidRDefault="00D96898" w:rsidP="00D96898">
      <w:pPr>
        <w:spacing w:after="0" w:line="240" w:lineRule="auto"/>
        <w:jc w:val="left"/>
        <w:rPr>
          <w:rFonts w:ascii="Times New Roman" w:hAnsi="Times New Roman"/>
          <w:sz w:val="20"/>
        </w:rPr>
      </w:pPr>
    </w:p>
    <w:p w14:paraId="68207893" w14:textId="77777777" w:rsidR="00D96898" w:rsidRPr="00D96898" w:rsidRDefault="00D96898" w:rsidP="00D96898">
      <w:pPr>
        <w:spacing w:after="0" w:line="240" w:lineRule="auto"/>
        <w:jc w:val="left"/>
        <w:rPr>
          <w:rFonts w:ascii="Times New Roman" w:hAnsi="Times New Roman"/>
          <w:sz w:val="20"/>
        </w:rPr>
      </w:pPr>
      <w:r w:rsidRPr="00D96898">
        <w:rPr>
          <w:rFonts w:ascii="Times New Roman" w:hAnsi="Times New Roman"/>
          <w:sz w:val="20"/>
        </w:rPr>
        <w:t>Davis Wright Tremaine, Kelli L. Sager, Rochelle Wilcox and Dan Laidman for Los Angeles Times Communications LLP, CBS Corporation, NBCUniversal Media, LLC, American Broadcasting Companies, Inc., Fox Networks Group, Inc., California News Publishers Association and First Amendment Coalition as Amici Curiae on behalf of Defendants and Respondents.</w:t>
      </w:r>
    </w:p>
    <w:p w14:paraId="40BE7D70" w14:textId="77777777" w:rsidR="00D96898" w:rsidRPr="00D96898" w:rsidRDefault="00D96898" w:rsidP="00D96898">
      <w:pPr>
        <w:spacing w:after="0" w:line="240" w:lineRule="auto"/>
        <w:jc w:val="left"/>
        <w:rPr>
          <w:rFonts w:ascii="Times New Roman" w:hAnsi="Times New Roman"/>
          <w:sz w:val="20"/>
        </w:rPr>
      </w:pPr>
    </w:p>
    <w:p w14:paraId="66DF09F3" w14:textId="77777777" w:rsidR="00D96898" w:rsidRPr="00D96898" w:rsidRDefault="00D96898" w:rsidP="00D96898">
      <w:pPr>
        <w:spacing w:after="0" w:line="240" w:lineRule="auto"/>
        <w:jc w:val="left"/>
        <w:rPr>
          <w:rFonts w:ascii="Times New Roman" w:hAnsi="Times New Roman"/>
          <w:sz w:val="20"/>
        </w:rPr>
      </w:pPr>
      <w:r w:rsidRPr="00D96898">
        <w:rPr>
          <w:rFonts w:ascii="Times New Roman" w:hAnsi="Times New Roman"/>
          <w:sz w:val="20"/>
        </w:rPr>
        <w:t>Horvitz &amp; Levy, Jeremy B. Rosen, Felix Shafir and Ryan C. Chapman for California Hospital Association as Amicus Curiae on behalf of Defendants and Respondents.</w:t>
      </w:r>
    </w:p>
    <w:p w14:paraId="158DAE6F" w14:textId="77777777" w:rsidR="00D96898" w:rsidRPr="00D96898" w:rsidRDefault="00D96898" w:rsidP="00D96898">
      <w:pPr>
        <w:spacing w:after="0" w:line="240" w:lineRule="auto"/>
        <w:jc w:val="left"/>
        <w:rPr>
          <w:rFonts w:ascii="Times New Roman" w:hAnsi="Times New Roman"/>
          <w:sz w:val="20"/>
        </w:rPr>
      </w:pPr>
    </w:p>
    <w:p w14:paraId="7769952A" w14:textId="77777777" w:rsidR="00D96898" w:rsidRPr="00D96898" w:rsidRDefault="00D96898" w:rsidP="00D96898">
      <w:pPr>
        <w:spacing w:after="0" w:line="240" w:lineRule="auto"/>
        <w:jc w:val="left"/>
        <w:rPr>
          <w:rFonts w:ascii="Times New Roman" w:hAnsi="Times New Roman"/>
          <w:b/>
          <w:sz w:val="20"/>
        </w:rPr>
      </w:pPr>
    </w:p>
    <w:p w14:paraId="288C58FB" w14:textId="77777777" w:rsidR="00D96898" w:rsidRPr="00D96898" w:rsidRDefault="00D96898" w:rsidP="00D96898">
      <w:pPr>
        <w:spacing w:after="0" w:line="240" w:lineRule="auto"/>
        <w:jc w:val="left"/>
        <w:rPr>
          <w:rFonts w:ascii="Times New Roman" w:hAnsi="Times New Roman"/>
          <w:b/>
          <w:sz w:val="20"/>
        </w:rPr>
      </w:pPr>
    </w:p>
    <w:p w14:paraId="2B3E5E3E" w14:textId="77777777" w:rsidR="00D96898" w:rsidRPr="00D96898" w:rsidRDefault="00D96898" w:rsidP="00D96898">
      <w:pPr>
        <w:spacing w:after="0" w:line="240" w:lineRule="auto"/>
        <w:jc w:val="left"/>
        <w:rPr>
          <w:rFonts w:ascii="Times New Roman" w:hAnsi="Times New Roman"/>
          <w:b/>
          <w:sz w:val="20"/>
        </w:rPr>
      </w:pPr>
    </w:p>
    <w:p w14:paraId="12B227D3" w14:textId="77777777" w:rsidR="00D96898" w:rsidRPr="00D96898" w:rsidRDefault="00D96898" w:rsidP="00D96898">
      <w:pPr>
        <w:spacing w:after="0" w:line="240" w:lineRule="auto"/>
        <w:jc w:val="left"/>
        <w:rPr>
          <w:rFonts w:ascii="Times New Roman" w:hAnsi="Times New Roman"/>
          <w:b/>
          <w:sz w:val="20"/>
        </w:rPr>
      </w:pPr>
    </w:p>
    <w:p w14:paraId="57AE7F13" w14:textId="77777777" w:rsidR="00D96898" w:rsidRPr="00D96898" w:rsidRDefault="00D96898" w:rsidP="00D96898">
      <w:pPr>
        <w:spacing w:after="0" w:line="240" w:lineRule="auto"/>
        <w:jc w:val="left"/>
        <w:rPr>
          <w:rFonts w:ascii="Times New Roman" w:hAnsi="Times New Roman"/>
          <w:b/>
          <w:sz w:val="20"/>
        </w:rPr>
      </w:pPr>
      <w:r w:rsidRPr="00D96898">
        <w:rPr>
          <w:rFonts w:ascii="Times New Roman" w:hAnsi="Times New Roman"/>
          <w:b/>
          <w:sz w:val="20"/>
        </w:rPr>
        <w:br w:type="page"/>
      </w:r>
    </w:p>
    <w:p w14:paraId="5C4DE94C" w14:textId="77777777" w:rsidR="00D96898" w:rsidRPr="00D96898" w:rsidRDefault="00D96898" w:rsidP="00D96898">
      <w:pPr>
        <w:spacing w:after="0" w:line="240" w:lineRule="auto"/>
        <w:jc w:val="left"/>
        <w:rPr>
          <w:rFonts w:ascii="Times New Roman" w:hAnsi="Times New Roman"/>
          <w:b/>
          <w:sz w:val="20"/>
        </w:rPr>
      </w:pPr>
    </w:p>
    <w:p w14:paraId="33FBE9F1" w14:textId="77777777" w:rsidR="00D96898" w:rsidRPr="00D96898" w:rsidRDefault="00D96898" w:rsidP="00D96898">
      <w:pPr>
        <w:spacing w:after="0" w:line="240" w:lineRule="auto"/>
        <w:jc w:val="left"/>
        <w:rPr>
          <w:rFonts w:ascii="Times New Roman" w:hAnsi="Times New Roman"/>
          <w:b/>
          <w:sz w:val="20"/>
        </w:rPr>
      </w:pPr>
    </w:p>
    <w:p w14:paraId="624A9A84" w14:textId="77777777" w:rsidR="00D96898" w:rsidRPr="00D96898" w:rsidRDefault="00D96898" w:rsidP="00D96898">
      <w:pPr>
        <w:spacing w:after="0" w:line="240" w:lineRule="auto"/>
        <w:jc w:val="left"/>
        <w:rPr>
          <w:rFonts w:ascii="Times New Roman" w:hAnsi="Times New Roman"/>
          <w:b/>
          <w:sz w:val="20"/>
        </w:rPr>
      </w:pPr>
    </w:p>
    <w:p w14:paraId="63169D3B" w14:textId="77777777" w:rsidR="00D96898" w:rsidRPr="00D96898" w:rsidRDefault="00D96898" w:rsidP="00D96898">
      <w:pPr>
        <w:spacing w:after="0" w:line="240" w:lineRule="auto"/>
        <w:jc w:val="left"/>
        <w:rPr>
          <w:rFonts w:ascii="Times New Roman" w:hAnsi="Times New Roman"/>
          <w:b/>
          <w:sz w:val="20"/>
        </w:rPr>
      </w:pPr>
      <w:r w:rsidRPr="00D96898">
        <w:rPr>
          <w:rFonts w:ascii="Times New Roman" w:hAnsi="Times New Roman"/>
          <w:b/>
          <w:sz w:val="20"/>
        </w:rPr>
        <w:t>Counsel who argued in Supreme Court (not intended for publication with opinion):</w:t>
      </w:r>
    </w:p>
    <w:p w14:paraId="759AD41F" w14:textId="77777777" w:rsidR="00D96898" w:rsidRPr="00D96898" w:rsidRDefault="00D96898" w:rsidP="00D96898">
      <w:pPr>
        <w:spacing w:after="0" w:line="240" w:lineRule="auto"/>
        <w:jc w:val="left"/>
        <w:rPr>
          <w:rFonts w:ascii="Times New Roman" w:hAnsi="Times New Roman"/>
          <w:b/>
          <w:sz w:val="20"/>
        </w:rPr>
      </w:pPr>
    </w:p>
    <w:p w14:paraId="4FC8947C" w14:textId="77777777" w:rsidR="00D96898" w:rsidRPr="00D96898" w:rsidRDefault="00D96898" w:rsidP="00D96898">
      <w:pPr>
        <w:spacing w:after="0" w:line="240" w:lineRule="auto"/>
        <w:jc w:val="left"/>
        <w:rPr>
          <w:rFonts w:ascii="Times New Roman" w:hAnsi="Times New Roman"/>
          <w:sz w:val="20"/>
        </w:rPr>
      </w:pPr>
      <w:r w:rsidRPr="00D96898">
        <w:rPr>
          <w:rFonts w:ascii="Times New Roman" w:hAnsi="Times New Roman"/>
          <w:sz w:val="20"/>
        </w:rPr>
        <w:t>Jill P. McDonnell</w:t>
      </w:r>
    </w:p>
    <w:p w14:paraId="5CF53030" w14:textId="77777777" w:rsidR="00D96898" w:rsidRPr="00D96898" w:rsidRDefault="00D96898" w:rsidP="00D96898">
      <w:pPr>
        <w:spacing w:after="0" w:line="240" w:lineRule="auto"/>
        <w:jc w:val="left"/>
        <w:rPr>
          <w:rFonts w:ascii="Times New Roman" w:hAnsi="Times New Roman"/>
          <w:sz w:val="20"/>
        </w:rPr>
      </w:pPr>
      <w:r w:rsidRPr="00D96898">
        <w:rPr>
          <w:rFonts w:ascii="Times New Roman" w:hAnsi="Times New Roman"/>
          <w:sz w:val="20"/>
        </w:rPr>
        <w:t>Shegerian &amp; Associates</w:t>
      </w:r>
    </w:p>
    <w:p w14:paraId="454684CB" w14:textId="77777777" w:rsidR="00D96898" w:rsidRPr="00D96898" w:rsidRDefault="00D96898" w:rsidP="00D96898">
      <w:pPr>
        <w:spacing w:after="0" w:line="240" w:lineRule="auto"/>
        <w:jc w:val="left"/>
        <w:rPr>
          <w:rFonts w:ascii="Times New Roman" w:hAnsi="Times New Roman"/>
          <w:sz w:val="20"/>
        </w:rPr>
      </w:pPr>
      <w:r w:rsidRPr="00D96898">
        <w:rPr>
          <w:rFonts w:ascii="Times New Roman" w:hAnsi="Times New Roman"/>
          <w:sz w:val="20"/>
        </w:rPr>
        <w:t>225 Santa Monica Boulevard, Suite 700</w:t>
      </w:r>
    </w:p>
    <w:p w14:paraId="3D61340A" w14:textId="77777777" w:rsidR="00D96898" w:rsidRPr="00D96898" w:rsidRDefault="00D96898" w:rsidP="00D96898">
      <w:pPr>
        <w:spacing w:after="0" w:line="240" w:lineRule="auto"/>
        <w:jc w:val="left"/>
        <w:rPr>
          <w:rFonts w:ascii="Times New Roman" w:hAnsi="Times New Roman"/>
          <w:sz w:val="20"/>
        </w:rPr>
      </w:pPr>
      <w:r w:rsidRPr="00D96898">
        <w:rPr>
          <w:rFonts w:ascii="Times New Roman" w:hAnsi="Times New Roman"/>
          <w:sz w:val="20"/>
        </w:rPr>
        <w:t>Santa Monica, CA  90401</w:t>
      </w:r>
    </w:p>
    <w:p w14:paraId="55164ABC" w14:textId="77777777" w:rsidR="00D96898" w:rsidRPr="00D96898" w:rsidRDefault="00D96898" w:rsidP="00D96898">
      <w:pPr>
        <w:spacing w:after="0" w:line="240" w:lineRule="auto"/>
        <w:jc w:val="left"/>
        <w:rPr>
          <w:rFonts w:ascii="Times New Roman" w:hAnsi="Times New Roman"/>
          <w:sz w:val="20"/>
        </w:rPr>
      </w:pPr>
      <w:r w:rsidRPr="00D96898">
        <w:rPr>
          <w:rFonts w:ascii="Times New Roman" w:hAnsi="Times New Roman"/>
          <w:sz w:val="20"/>
        </w:rPr>
        <w:t>(310) 860-0770</w:t>
      </w:r>
    </w:p>
    <w:p w14:paraId="533DE5BD" w14:textId="77777777" w:rsidR="00D96898" w:rsidRPr="00D96898" w:rsidRDefault="00D96898" w:rsidP="00D96898">
      <w:pPr>
        <w:spacing w:after="0" w:line="240" w:lineRule="auto"/>
        <w:jc w:val="left"/>
        <w:rPr>
          <w:rFonts w:ascii="Times New Roman" w:hAnsi="Times New Roman"/>
          <w:sz w:val="20"/>
        </w:rPr>
      </w:pPr>
    </w:p>
    <w:p w14:paraId="08A35C87" w14:textId="77777777" w:rsidR="00D96898" w:rsidRPr="00D96898" w:rsidRDefault="00D96898" w:rsidP="00D96898">
      <w:pPr>
        <w:spacing w:after="0" w:line="240" w:lineRule="auto"/>
        <w:jc w:val="left"/>
        <w:rPr>
          <w:rFonts w:ascii="Times New Roman" w:hAnsi="Times New Roman"/>
          <w:sz w:val="20"/>
        </w:rPr>
      </w:pPr>
      <w:r w:rsidRPr="00D96898">
        <w:rPr>
          <w:rFonts w:ascii="Times New Roman" w:hAnsi="Times New Roman"/>
          <w:sz w:val="20"/>
        </w:rPr>
        <w:t>Adam Levin</w:t>
      </w:r>
    </w:p>
    <w:p w14:paraId="7E216AD9" w14:textId="77777777" w:rsidR="00D96898" w:rsidRPr="00D96898" w:rsidRDefault="00D96898" w:rsidP="00D96898">
      <w:pPr>
        <w:spacing w:after="0" w:line="240" w:lineRule="auto"/>
        <w:jc w:val="left"/>
        <w:rPr>
          <w:rFonts w:ascii="Times New Roman" w:hAnsi="Times New Roman"/>
          <w:sz w:val="20"/>
        </w:rPr>
      </w:pPr>
      <w:r w:rsidRPr="00D96898">
        <w:rPr>
          <w:rFonts w:ascii="Times New Roman" w:hAnsi="Times New Roman"/>
          <w:sz w:val="20"/>
        </w:rPr>
        <w:t>Mitchell Silberberg &amp; Knupp</w:t>
      </w:r>
    </w:p>
    <w:p w14:paraId="630D15CB" w14:textId="77777777" w:rsidR="00D96898" w:rsidRPr="00D96898" w:rsidRDefault="00D96898" w:rsidP="00D96898">
      <w:pPr>
        <w:spacing w:after="0" w:line="240" w:lineRule="auto"/>
        <w:jc w:val="left"/>
        <w:rPr>
          <w:rFonts w:ascii="Times New Roman" w:hAnsi="Times New Roman"/>
          <w:sz w:val="20"/>
        </w:rPr>
      </w:pPr>
      <w:r w:rsidRPr="00D96898">
        <w:rPr>
          <w:rFonts w:ascii="Times New Roman" w:hAnsi="Times New Roman"/>
          <w:sz w:val="20"/>
        </w:rPr>
        <w:t>2049 Century Park East, 18th Floor</w:t>
      </w:r>
    </w:p>
    <w:p w14:paraId="0809FC78" w14:textId="77777777" w:rsidR="00D96898" w:rsidRPr="00D96898" w:rsidRDefault="00D96898" w:rsidP="00D96898">
      <w:pPr>
        <w:spacing w:after="0" w:line="240" w:lineRule="auto"/>
        <w:jc w:val="left"/>
        <w:rPr>
          <w:rFonts w:ascii="Times New Roman" w:hAnsi="Times New Roman"/>
          <w:sz w:val="20"/>
        </w:rPr>
      </w:pPr>
      <w:r w:rsidRPr="00D96898">
        <w:rPr>
          <w:rFonts w:ascii="Times New Roman" w:hAnsi="Times New Roman"/>
          <w:sz w:val="20"/>
        </w:rPr>
        <w:t>Los Angeles, CA  90067</w:t>
      </w:r>
    </w:p>
    <w:p w14:paraId="02273468" w14:textId="77777777" w:rsidR="00D96898" w:rsidRPr="00D96898" w:rsidRDefault="00D96898" w:rsidP="00D96898">
      <w:pPr>
        <w:spacing w:after="0" w:line="240" w:lineRule="auto"/>
        <w:jc w:val="left"/>
        <w:rPr>
          <w:rFonts w:ascii="Times New Roman" w:hAnsi="Times New Roman"/>
          <w:b/>
          <w:sz w:val="20"/>
        </w:rPr>
      </w:pPr>
      <w:r w:rsidRPr="00D96898">
        <w:rPr>
          <w:rFonts w:ascii="Times New Roman" w:hAnsi="Times New Roman"/>
          <w:sz w:val="20"/>
        </w:rPr>
        <w:t>(310) 312-2000</w:t>
      </w:r>
    </w:p>
    <w:p w14:paraId="05C46424" w14:textId="637F26E3" w:rsidR="0036511C" w:rsidRPr="00443D0F" w:rsidRDefault="0036511C" w:rsidP="00443D0F">
      <w:pPr>
        <w:rPr>
          <w:b/>
        </w:rPr>
      </w:pPr>
    </w:p>
    <w:sectPr w:rsidR="0036511C" w:rsidRPr="00443D0F">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C0EFD" w14:textId="77777777" w:rsidR="00367FDB" w:rsidRDefault="00367FDB">
      <w:r>
        <w:separator/>
      </w:r>
    </w:p>
  </w:endnote>
  <w:endnote w:type="continuationSeparator" w:id="0">
    <w:p w14:paraId="42690B00" w14:textId="77777777" w:rsidR="00367FDB" w:rsidRDefault="00367FDB">
      <w:r>
        <w:continuationSeparator/>
      </w:r>
    </w:p>
  </w:endnote>
  <w:endnote w:type="continuationNotice" w:id="1">
    <w:p w14:paraId="3C89EE95" w14:textId="77777777" w:rsidR="00367FDB" w:rsidRDefault="00367F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F70A9" w14:textId="77777777" w:rsidR="00367FDB" w:rsidRDefault="00367FDB">
    <w:pPr>
      <w:pStyle w:val="Footer"/>
    </w:pPr>
    <w:r>
      <w:fldChar w:fldCharType="begin"/>
    </w:r>
    <w:r>
      <w:instrText>PAGE</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1C180" w14:textId="76D90C29" w:rsidR="00D96898" w:rsidRPr="00D96898" w:rsidRDefault="00D96898" w:rsidP="00D96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116E0" w14:textId="77777777" w:rsidR="00367FDB" w:rsidRDefault="00367FDB">
      <w:r>
        <w:separator/>
      </w:r>
    </w:p>
  </w:footnote>
  <w:footnote w:type="continuationSeparator" w:id="0">
    <w:p w14:paraId="63B47D3E" w14:textId="77777777" w:rsidR="00367FDB" w:rsidRPr="008F7F27" w:rsidRDefault="00367FDB">
      <w:pPr>
        <w:rPr>
          <w:i/>
          <w:sz w:val="22"/>
        </w:rPr>
      </w:pPr>
      <w:r>
        <w:continuationSeparator/>
      </w:r>
    </w:p>
  </w:footnote>
  <w:footnote w:type="continuationNotice" w:id="1">
    <w:p w14:paraId="0A9EF661" w14:textId="77777777" w:rsidR="00367FDB" w:rsidRPr="008F7F27" w:rsidRDefault="00367FDB" w:rsidP="00C231B8">
      <w:pPr>
        <w:pStyle w:val="Footer"/>
        <w:rPr>
          <w:i/>
          <w:szCs w:val="22"/>
        </w:rPr>
      </w:pPr>
    </w:p>
  </w:footnote>
  <w:footnote w:id="2">
    <w:p w14:paraId="01CBE46B" w14:textId="76550800" w:rsidR="00367FDB" w:rsidRDefault="00367FDB" w:rsidP="005007CE">
      <w:pPr>
        <w:pStyle w:val="FootnoteText"/>
      </w:pPr>
      <w:r>
        <w:rPr>
          <w:rStyle w:val="FootnoteReference"/>
        </w:rPr>
        <w:footnoteRef/>
      </w:r>
      <w:r>
        <w:tab/>
        <w:t>Wilson was 51 when he was fired.  His wife had a medical condition.  On these facts, Wilson alleges CNN discriminated against him because of his age and association with a disabled person.  (See Gov. Code, §§ 12926, subd. (m), 12940, subd. (a).)</w:t>
      </w:r>
    </w:p>
  </w:footnote>
  <w:footnote w:id="3">
    <w:p w14:paraId="06067D05" w14:textId="77777777" w:rsidR="00367FDB" w:rsidRDefault="00367FDB" w:rsidP="005007CE">
      <w:pPr>
        <w:pStyle w:val="FootnoteText"/>
      </w:pPr>
      <w:r>
        <w:rPr>
          <w:rStyle w:val="FootnoteReference"/>
        </w:rPr>
        <w:footnoteRef/>
      </w:r>
      <w:r>
        <w:t xml:space="preserve"> </w:t>
      </w:r>
      <w:r>
        <w:tab/>
        <w:t xml:space="preserve">An anti-SLAPP motion seeks to strike a “[s]trategic lawsuit against public participation,” that is, a “SLAPP.”  (See </w:t>
      </w:r>
      <w:r>
        <w:rPr>
          <w:i/>
        </w:rPr>
        <w:t>Briggs v. Eden Council for Hope &amp; Opportunity</w:t>
      </w:r>
      <w:r>
        <w:t xml:space="preserve"> (1999) </w:t>
      </w:r>
      <w:r w:rsidRPr="00FA1E53">
        <w:rPr>
          <w:color w:val="000000" w:themeColor="text1"/>
          <w:szCs w:val="26"/>
        </w:rPr>
        <w:t>19 Cal.4th 1106,</w:t>
      </w:r>
      <w:r>
        <w:rPr>
          <w:color w:val="000000" w:themeColor="text1"/>
          <w:szCs w:val="26"/>
        </w:rPr>
        <w:t xml:space="preserve"> 1109 &amp; fn. 1.)</w:t>
      </w:r>
    </w:p>
  </w:footnote>
  <w:footnote w:id="4">
    <w:p w14:paraId="41F6D95F" w14:textId="3054CB88" w:rsidR="00367FDB" w:rsidRDefault="00367FDB" w:rsidP="005007CE">
      <w:pPr>
        <w:pStyle w:val="FootnoteText"/>
      </w:pPr>
      <w:r>
        <w:rPr>
          <w:rStyle w:val="FootnoteReference"/>
        </w:rPr>
        <w:footnoteRef/>
      </w:r>
      <w:r>
        <w:t xml:space="preserve"> </w:t>
      </w:r>
      <w:r>
        <w:tab/>
        <w:t xml:space="preserve">Compare </w:t>
      </w:r>
      <w:r>
        <w:rPr>
          <w:i/>
        </w:rPr>
        <w:t>Bonni v. St. Joseph</w:t>
      </w:r>
      <w:r>
        <w:t xml:space="preserve"> </w:t>
      </w:r>
      <w:r>
        <w:rPr>
          <w:i/>
        </w:rPr>
        <w:t>Health System</w:t>
      </w:r>
      <w:r>
        <w:t xml:space="preserve"> (2017) 13 Cal.App.5th 851, 861, 863–864 (basis for a retaliation claim is the defendant’s unprotected retaliatory motive for an adverse action, not the adverse action itself), review granted November 1, 2017, S244148; </w:t>
      </w:r>
      <w:r>
        <w:rPr>
          <w:i/>
        </w:rPr>
        <w:t>Nam v. Regents of University of California</w:t>
      </w:r>
      <w:r>
        <w:t xml:space="preserve"> (2016) 1 Cal.App.5th 1176, 1187–1193 (basis includes the defendant’s retaliatory motive) with </w:t>
      </w:r>
      <w:r>
        <w:rPr>
          <w:i/>
        </w:rPr>
        <w:t>Symmonds v. Mahoney</w:t>
      </w:r>
      <w:r>
        <w:t xml:space="preserve"> (2019) 31 Cal.App.5th 1096, 1108 (alleged “discriminatory motive” does not “negate[] protections that otherwise would apply to the defendant’s conduct” under the anti-SLAPP statute), review granted April 24, 2019, S254646; </w:t>
      </w:r>
      <w:r>
        <w:rPr>
          <w:i/>
        </w:rPr>
        <w:t>Daniel v. Wayans</w:t>
      </w:r>
      <w:r>
        <w:t xml:space="preserve"> (2017) 8 Cal.App.5th 367, 380 (courts should focus on allegations of conduct, not motive, because “ ‘ “[c]auses of action do not arise from motives; they arise from acts” ’ ”), review granted May 10, 2017, S240704; </w:t>
      </w:r>
      <w:r w:rsidRPr="003D0375">
        <w:rPr>
          <w:i/>
          <w:szCs w:val="26"/>
        </w:rPr>
        <w:t>Hunter v. CBS Broadcasting</w:t>
      </w:r>
      <w:r>
        <w:rPr>
          <w:i/>
          <w:szCs w:val="26"/>
        </w:rPr>
        <w:t>,</w:t>
      </w:r>
      <w:r w:rsidRPr="003D0375">
        <w:rPr>
          <w:i/>
          <w:szCs w:val="26"/>
        </w:rPr>
        <w:t xml:space="preserve"> Inc.</w:t>
      </w:r>
      <w:r w:rsidRPr="003D0375">
        <w:rPr>
          <w:szCs w:val="26"/>
        </w:rPr>
        <w:t xml:space="preserve"> (2013) 221 Cal.App.4th 1510</w:t>
      </w:r>
      <w:r>
        <w:rPr>
          <w:szCs w:val="26"/>
        </w:rPr>
        <w:t xml:space="preserve">, 1520 (same); </w:t>
      </w:r>
      <w:r w:rsidRPr="00C55E35">
        <w:rPr>
          <w:i/>
          <w:szCs w:val="26"/>
        </w:rPr>
        <w:t>Tuszynska</w:t>
      </w:r>
      <w:r>
        <w:rPr>
          <w:i/>
          <w:szCs w:val="26"/>
        </w:rPr>
        <w:t xml:space="preserve"> v. Cunningham</w:t>
      </w:r>
      <w:r>
        <w:rPr>
          <w:szCs w:val="26"/>
        </w:rPr>
        <w:t xml:space="preserve"> (2011) 199 </w:t>
      </w:r>
      <w:r w:rsidRPr="00C55E35">
        <w:rPr>
          <w:szCs w:val="26"/>
        </w:rPr>
        <w:t xml:space="preserve">Cal.App.4th </w:t>
      </w:r>
      <w:r>
        <w:rPr>
          <w:szCs w:val="26"/>
        </w:rPr>
        <w:t xml:space="preserve">257, 268–269 (same); see also </w:t>
      </w:r>
      <w:r>
        <w:rPr>
          <w:i/>
        </w:rPr>
        <w:t>San Diegans for Open Government v. San Diego State University Research Foundation</w:t>
      </w:r>
      <w:r>
        <w:t xml:space="preserve"> (2017) 13 Cal.App.5th 76, 104 (in a self-dealing case, concluding the underlying conduct, not the alleged motive, is the basis), review granted August 16, 2017, S242529</w:t>
      </w:r>
      <w:r>
        <w:rPr>
          <w:szCs w:val="26"/>
        </w:rPr>
        <w:t>.</w:t>
      </w:r>
    </w:p>
  </w:footnote>
  <w:footnote w:id="5">
    <w:p w14:paraId="35FDF6F5" w14:textId="77777777" w:rsidR="00367FDB" w:rsidRDefault="00367FDB" w:rsidP="005007CE">
      <w:pPr>
        <w:pStyle w:val="FootnoteText"/>
      </w:pPr>
      <w:r>
        <w:rPr>
          <w:rStyle w:val="FootnoteReference"/>
        </w:rPr>
        <w:footnoteRef/>
      </w:r>
      <w:r>
        <w:t xml:space="preserve"> </w:t>
      </w:r>
      <w:r>
        <w:tab/>
        <w:t>The other parts of subdivision (e) shield statements and writings made in connection with official proceedings or in public on matters of public interest.  (See § 425.16, subd. (e)(1)–(3).)</w:t>
      </w:r>
    </w:p>
  </w:footnote>
  <w:footnote w:id="6">
    <w:p w14:paraId="6AF7DD4F" w14:textId="77777777" w:rsidR="00367FDB" w:rsidRPr="00CF1F3B" w:rsidRDefault="00367FDB" w:rsidP="005007CE">
      <w:pPr>
        <w:pStyle w:val="FootnoteText"/>
      </w:pPr>
      <w:r>
        <w:rPr>
          <w:rStyle w:val="FootnoteReference"/>
        </w:rPr>
        <w:footnoteRef/>
      </w:r>
      <w:r>
        <w:t xml:space="preserve"> </w:t>
      </w:r>
      <w:r>
        <w:tab/>
        <w:t>These are the elements of a disparate-treatment claim of discrimination—that is, a claim of “</w:t>
      </w:r>
      <w:r>
        <w:rPr>
          <w:i/>
        </w:rPr>
        <w:t>intentional</w:t>
      </w:r>
      <w:r>
        <w:t xml:space="preserve"> discrimination against one or more persons on prohibited grounds.”  (</w:t>
      </w:r>
      <w:r>
        <w:rPr>
          <w:i/>
        </w:rPr>
        <w:t>Guz</w:t>
      </w:r>
      <w:r>
        <w:rPr>
          <w:i/>
          <w:szCs w:val="26"/>
        </w:rPr>
        <w:t xml:space="preserve"> v. Bechtel National, Inc.</w:t>
      </w:r>
      <w:r>
        <w:t xml:space="preserve">, </w:t>
      </w:r>
      <w:r>
        <w:rPr>
          <w:i/>
        </w:rPr>
        <w:t>supra</w:t>
      </w:r>
      <w:r>
        <w:t xml:space="preserve">, 24 Cal.4th at p. 354, fn. 20.)  A plaintiff may also raise other theories of discrimination or harassment, each of which has different elements.  (See </w:t>
      </w:r>
      <w:r>
        <w:rPr>
          <w:i/>
        </w:rPr>
        <w:t>ibid.</w:t>
      </w:r>
      <w:r>
        <w:t xml:space="preserve"> [recognizing disparate-impact theory of discrimination, that is, the theory “that regardless of motive, a </w:t>
      </w:r>
      <w:r>
        <w:rPr>
          <w:i/>
        </w:rPr>
        <w:t>facially neutral</w:t>
      </w:r>
      <w:r>
        <w:t xml:space="preserve"> employer practice or policy, bearing no manifest relationship to job requirements, </w:t>
      </w:r>
      <w:r>
        <w:rPr>
          <w:i/>
        </w:rPr>
        <w:t>in fact</w:t>
      </w:r>
      <w:r>
        <w:t xml:space="preserve"> had a disproportionate adverse effect on members of the protected class”]; </w:t>
      </w:r>
      <w:r>
        <w:rPr>
          <w:i/>
        </w:rPr>
        <w:t>Hughes v. Pair</w:t>
      </w:r>
      <w:r>
        <w:t xml:space="preserve"> (2009) 46 Cal.4th 1035, 1043 [quid pro quo harassment]; </w:t>
      </w:r>
      <w:r>
        <w:rPr>
          <w:i/>
        </w:rPr>
        <w:t>Lyle v. Warner Brothers Television Productions</w:t>
      </w:r>
      <w:r>
        <w:t xml:space="preserve"> (2006) 38 Cal.4th 264, 279 [hostile work environment harassment].)  Wilson does not rely on any of those theories here.</w:t>
      </w:r>
    </w:p>
  </w:footnote>
  <w:footnote w:id="7">
    <w:p w14:paraId="41F20467" w14:textId="77777777" w:rsidR="00367FDB" w:rsidRPr="009A5674" w:rsidRDefault="00367FDB" w:rsidP="005007CE">
      <w:pPr>
        <w:pStyle w:val="FootnoteText"/>
      </w:pPr>
      <w:r>
        <w:rPr>
          <w:rStyle w:val="FootnoteReference"/>
        </w:rPr>
        <w:footnoteRef/>
      </w:r>
      <w:r>
        <w:t xml:space="preserve"> </w:t>
      </w:r>
      <w:r>
        <w:tab/>
      </w:r>
      <w:r>
        <w:rPr>
          <w:szCs w:val="26"/>
        </w:rPr>
        <w:t>The same is true of the sixth claim for declaratory relief, which is derivative of the other five.  The complaint alleges an actual controversy as to whether CNN’s decision to terminate Wilson was motivated by discrimination.</w:t>
      </w:r>
    </w:p>
  </w:footnote>
  <w:footnote w:id="8">
    <w:p w14:paraId="7C9FC20D" w14:textId="1FD8637B" w:rsidR="00367FDB" w:rsidRDefault="00367FDB" w:rsidP="005007CE">
      <w:pPr>
        <w:pStyle w:val="FootnoteText"/>
      </w:pPr>
      <w:r>
        <w:rPr>
          <w:rStyle w:val="FootnoteReference"/>
        </w:rPr>
        <w:footnoteRef/>
      </w:r>
      <w:r>
        <w:tab/>
        <w:t>Many courts of appeal, too, have correctly recognized that the text of the anti-SLAPP statute and our precedent require a court at the first step to examine the defendant’s actions without regard to the plaintiff’s allegations about the defendant’s motives.  (</w:t>
      </w:r>
      <w:r>
        <w:rPr>
          <w:i/>
        </w:rPr>
        <w:t>Symmonds v. Mahoney</w:t>
      </w:r>
      <w:r>
        <w:t xml:space="preserve">, </w:t>
      </w:r>
      <w:r>
        <w:rPr>
          <w:i/>
        </w:rPr>
        <w:t>supra</w:t>
      </w:r>
      <w:r>
        <w:t xml:space="preserve">, 31 Cal.App.5th at pp. 1106–1108, rev. granted; </w:t>
      </w:r>
      <w:r>
        <w:rPr>
          <w:i/>
        </w:rPr>
        <w:t>San Diegans for Open Government v. San Diego State University Research Foundation</w:t>
      </w:r>
      <w:r>
        <w:t xml:space="preserve">, </w:t>
      </w:r>
      <w:r>
        <w:rPr>
          <w:i/>
        </w:rPr>
        <w:t>supra</w:t>
      </w:r>
      <w:r>
        <w:t xml:space="preserve">, 13 Cal.App.5th at p. 104, rev. granted; </w:t>
      </w:r>
      <w:r>
        <w:rPr>
          <w:i/>
        </w:rPr>
        <w:t>Daniel v. Wayans</w:t>
      </w:r>
      <w:r>
        <w:t xml:space="preserve">, </w:t>
      </w:r>
      <w:r>
        <w:rPr>
          <w:i/>
        </w:rPr>
        <w:t>supra</w:t>
      </w:r>
      <w:r>
        <w:t xml:space="preserve">, 8 Cal.App.5th at p. 380, rev. granted; </w:t>
      </w:r>
      <w:r>
        <w:rPr>
          <w:i/>
        </w:rPr>
        <w:t xml:space="preserve">Collier v. </w:t>
      </w:r>
      <w:r w:rsidRPr="00B4143A">
        <w:rPr>
          <w:i/>
        </w:rPr>
        <w:t>Harris</w:t>
      </w:r>
      <w:r>
        <w:t xml:space="preserve"> (2015) 240 Cal.App.4th 41, 53–54; </w:t>
      </w:r>
      <w:r w:rsidRPr="00B4143A">
        <w:rPr>
          <w:i/>
        </w:rPr>
        <w:t>DeCambre v.</w:t>
      </w:r>
      <w:r>
        <w:rPr>
          <w:i/>
        </w:rPr>
        <w:t xml:space="preserve"> Rady Children’s Hospital-San</w:t>
      </w:r>
      <w:r w:rsidRPr="00B4143A">
        <w:rPr>
          <w:i/>
        </w:rPr>
        <w:t xml:space="preserve"> Diego</w:t>
      </w:r>
      <w:r>
        <w:t xml:space="preserve"> (2015) 235 Cal.App.4th 1, 22</w:t>
      </w:r>
      <w:r>
        <w:rPr>
          <w:szCs w:val="26"/>
        </w:rPr>
        <w:t xml:space="preserve">, disapproved on another ground in </w:t>
      </w:r>
      <w:r>
        <w:rPr>
          <w:i/>
          <w:szCs w:val="26"/>
        </w:rPr>
        <w:t>Park</w:t>
      </w:r>
      <w:r>
        <w:rPr>
          <w:szCs w:val="26"/>
        </w:rPr>
        <w:t xml:space="preserve">, </w:t>
      </w:r>
      <w:r>
        <w:rPr>
          <w:i/>
          <w:szCs w:val="26"/>
        </w:rPr>
        <w:t>supra</w:t>
      </w:r>
      <w:r>
        <w:rPr>
          <w:szCs w:val="26"/>
        </w:rPr>
        <w:t>, 2 Cal.5th at p. 1070</w:t>
      </w:r>
      <w:r>
        <w:t xml:space="preserve">; </w:t>
      </w:r>
      <w:r w:rsidRPr="000A04F8">
        <w:rPr>
          <w:i/>
          <w:szCs w:val="26"/>
        </w:rPr>
        <w:t xml:space="preserve">Hunter </w:t>
      </w:r>
      <w:r w:rsidRPr="003D0375">
        <w:rPr>
          <w:i/>
          <w:szCs w:val="26"/>
        </w:rPr>
        <w:t>v. CBS Broadcasting Inc.</w:t>
      </w:r>
      <w:r>
        <w:t xml:space="preserve">, </w:t>
      </w:r>
      <w:r>
        <w:rPr>
          <w:i/>
        </w:rPr>
        <w:t>supra</w:t>
      </w:r>
      <w:r>
        <w:t>,</w:t>
      </w:r>
      <w:r w:rsidRPr="003D0375">
        <w:rPr>
          <w:szCs w:val="26"/>
        </w:rPr>
        <w:t xml:space="preserve"> 221 Cal.App.4th </w:t>
      </w:r>
      <w:r>
        <w:rPr>
          <w:szCs w:val="26"/>
        </w:rPr>
        <w:t xml:space="preserve">at p. 1520; </w:t>
      </w:r>
      <w:r>
        <w:rPr>
          <w:i/>
          <w:szCs w:val="26"/>
        </w:rPr>
        <w:t>People ex rel. Fire Ins. Exchange v. Anapol</w:t>
      </w:r>
      <w:r>
        <w:rPr>
          <w:szCs w:val="26"/>
        </w:rPr>
        <w:t xml:space="preserve"> (2012) 211 Cal.App.4th 809, 823; </w:t>
      </w:r>
      <w:r>
        <w:rPr>
          <w:i/>
          <w:szCs w:val="26"/>
        </w:rPr>
        <w:t>Nesson v. Northern Inyo County Local Hospital Dist.</w:t>
      </w:r>
      <w:r>
        <w:rPr>
          <w:szCs w:val="26"/>
        </w:rPr>
        <w:t xml:space="preserve"> (2012) 204 Cal.App.4th 65, 83, disapproved on another ground in </w:t>
      </w:r>
      <w:r>
        <w:rPr>
          <w:i/>
          <w:szCs w:val="26"/>
        </w:rPr>
        <w:t>Park</w:t>
      </w:r>
      <w:r>
        <w:rPr>
          <w:szCs w:val="26"/>
        </w:rPr>
        <w:t xml:space="preserve">, </w:t>
      </w:r>
      <w:r>
        <w:rPr>
          <w:i/>
          <w:szCs w:val="26"/>
        </w:rPr>
        <w:t>supra</w:t>
      </w:r>
      <w:r>
        <w:rPr>
          <w:szCs w:val="26"/>
        </w:rPr>
        <w:t xml:space="preserve">, 2 Cal.5th at p. 1070; </w:t>
      </w:r>
      <w:r w:rsidRPr="00C55E35">
        <w:rPr>
          <w:i/>
          <w:szCs w:val="26"/>
        </w:rPr>
        <w:t>Tuszynska</w:t>
      </w:r>
      <w:r>
        <w:rPr>
          <w:i/>
          <w:szCs w:val="26"/>
        </w:rPr>
        <w:t xml:space="preserve"> v. Cunningham</w:t>
      </w:r>
      <w:r>
        <w:t xml:space="preserve">, </w:t>
      </w:r>
      <w:r>
        <w:rPr>
          <w:i/>
        </w:rPr>
        <w:t>supra</w:t>
      </w:r>
      <w:r>
        <w:t>,</w:t>
      </w:r>
      <w:r>
        <w:rPr>
          <w:szCs w:val="26"/>
        </w:rPr>
        <w:t xml:space="preserve"> 199 </w:t>
      </w:r>
      <w:r w:rsidRPr="00C55E35">
        <w:rPr>
          <w:szCs w:val="26"/>
        </w:rPr>
        <w:t xml:space="preserve">Cal.App.4th </w:t>
      </w:r>
      <w:r>
        <w:rPr>
          <w:szCs w:val="26"/>
        </w:rPr>
        <w:t xml:space="preserve">at pp. 268–269; </w:t>
      </w:r>
      <w:r>
        <w:rPr>
          <w:i/>
          <w:szCs w:val="26"/>
        </w:rPr>
        <w:t>Wallace v. McCubbin</w:t>
      </w:r>
      <w:r>
        <w:rPr>
          <w:szCs w:val="26"/>
        </w:rPr>
        <w:t xml:space="preserve"> (2011) 196 Cal</w:t>
      </w:r>
      <w:r w:rsidRPr="00712103">
        <w:rPr>
          <w:color w:val="000000" w:themeColor="text1"/>
          <w:szCs w:val="26"/>
        </w:rPr>
        <w:t>.App.4th 1169</w:t>
      </w:r>
      <w:r>
        <w:rPr>
          <w:color w:val="000000" w:themeColor="text1"/>
          <w:szCs w:val="26"/>
        </w:rPr>
        <w:t xml:space="preserve">, 1186; </w:t>
      </w:r>
      <w:r>
        <w:rPr>
          <w:i/>
          <w:szCs w:val="26"/>
        </w:rPr>
        <w:t>Gallanis-Politis v. Medina</w:t>
      </w:r>
      <w:r>
        <w:rPr>
          <w:szCs w:val="26"/>
        </w:rPr>
        <w:t xml:space="preserve"> (2007) 152 </w:t>
      </w:r>
      <w:r w:rsidRPr="00291E54">
        <w:rPr>
          <w:szCs w:val="26"/>
        </w:rPr>
        <w:t xml:space="preserve">Cal.App.4th </w:t>
      </w:r>
      <w:r>
        <w:rPr>
          <w:szCs w:val="26"/>
        </w:rPr>
        <w:t>600, 612–613, fn. 8</w:t>
      </w:r>
      <w:r>
        <w:rPr>
          <w:color w:val="000000" w:themeColor="text1"/>
          <w:szCs w:val="26"/>
        </w:rPr>
        <w:t>.)</w:t>
      </w:r>
    </w:p>
  </w:footnote>
  <w:footnote w:id="9">
    <w:p w14:paraId="17E45660" w14:textId="77777777" w:rsidR="00367FDB" w:rsidRDefault="00367FDB" w:rsidP="005007CE">
      <w:pPr>
        <w:pStyle w:val="FootnoteText"/>
      </w:pPr>
      <w:r>
        <w:rPr>
          <w:rStyle w:val="FootnoteReference"/>
        </w:rPr>
        <w:footnoteRef/>
      </w:r>
      <w:r>
        <w:t xml:space="preserve"> </w:t>
      </w:r>
      <w:r>
        <w:tab/>
      </w:r>
      <w:r>
        <w:rPr>
          <w:szCs w:val="26"/>
        </w:rPr>
        <w:t xml:space="preserve">See </w:t>
      </w:r>
      <w:r>
        <w:rPr>
          <w:i/>
          <w:color w:val="222222"/>
          <w:szCs w:val="26"/>
        </w:rPr>
        <w:t>Reno v. American Civil Liberties Un</w:t>
      </w:r>
      <w:r w:rsidRPr="00694FBE">
        <w:rPr>
          <w:i/>
          <w:color w:val="222222"/>
          <w:szCs w:val="26"/>
        </w:rPr>
        <w:t>ion</w:t>
      </w:r>
      <w:r>
        <w:rPr>
          <w:color w:val="222222"/>
          <w:szCs w:val="26"/>
        </w:rPr>
        <w:t xml:space="preserve"> (1997) 521 U.S. 844, 870 (publication of Internet content entitled to 1st Amend. protection); </w:t>
      </w:r>
      <w:r>
        <w:rPr>
          <w:i/>
        </w:rPr>
        <w:t>Turner Broadcasting System, Inc. v. FCC</w:t>
      </w:r>
      <w:r>
        <w:t xml:space="preserve"> (1994) 512 U.S. 622, 636 (“Cable programmers . . . engage in and transmit speech, and they are entitled to the protection of the speech and press provisions </w:t>
      </w:r>
      <w:r w:rsidRPr="00516FE5">
        <w:rPr>
          <w:szCs w:val="26"/>
        </w:rPr>
        <w:t>of the First Amendment”</w:t>
      </w:r>
      <w:r>
        <w:rPr>
          <w:szCs w:val="26"/>
        </w:rPr>
        <w:t>)</w:t>
      </w:r>
      <w:r w:rsidRPr="00516FE5">
        <w:rPr>
          <w:szCs w:val="26"/>
        </w:rPr>
        <w:t xml:space="preserve">; </w:t>
      </w:r>
      <w:r w:rsidRPr="00516FE5">
        <w:rPr>
          <w:i/>
          <w:szCs w:val="26"/>
        </w:rPr>
        <w:t>Leathers v. Medlock</w:t>
      </w:r>
      <w:r w:rsidRPr="00516FE5">
        <w:rPr>
          <w:szCs w:val="26"/>
        </w:rPr>
        <w:t xml:space="preserve"> (1991) 499 U.S. 439, 444 </w:t>
      </w:r>
      <w:r>
        <w:rPr>
          <w:szCs w:val="26"/>
        </w:rPr>
        <w:t>(</w:t>
      </w:r>
      <w:r w:rsidRPr="00516FE5">
        <w:rPr>
          <w:szCs w:val="26"/>
        </w:rPr>
        <w:t>“Cable television provides to its subscribers news, information</w:t>
      </w:r>
      <w:r w:rsidRPr="004A6BAB">
        <w:rPr>
          <w:szCs w:val="26"/>
        </w:rPr>
        <w:t xml:space="preserve">, and entertainment. </w:t>
      </w:r>
      <w:r>
        <w:rPr>
          <w:szCs w:val="26"/>
        </w:rPr>
        <w:t xml:space="preserve"> </w:t>
      </w:r>
      <w:r w:rsidRPr="004A6BAB">
        <w:rPr>
          <w:szCs w:val="26"/>
        </w:rPr>
        <w:t>It is engaged in ‘speech’ under the First Amendment, and is, in much of its operation, part of the ‘press.’ ”</w:t>
      </w:r>
      <w:r>
        <w:rPr>
          <w:szCs w:val="26"/>
        </w:rPr>
        <w:t>)</w:t>
      </w:r>
      <w:r w:rsidRPr="004A6BAB">
        <w:rPr>
          <w:szCs w:val="26"/>
        </w:rPr>
        <w:t xml:space="preserve">; </w:t>
      </w:r>
      <w:r>
        <w:rPr>
          <w:i/>
          <w:szCs w:val="26"/>
        </w:rPr>
        <w:t>Park</w:t>
      </w:r>
      <w:r>
        <w:rPr>
          <w:szCs w:val="26"/>
        </w:rPr>
        <w:t xml:space="preserve">, </w:t>
      </w:r>
      <w:r>
        <w:rPr>
          <w:i/>
          <w:szCs w:val="26"/>
        </w:rPr>
        <w:t>supra</w:t>
      </w:r>
      <w:r>
        <w:rPr>
          <w:szCs w:val="26"/>
        </w:rPr>
        <w:t xml:space="preserve">, 2 Cal.5th at page 1071 (“The reporting of news, whether in print or on air, is constitutionally protected free speech.”); </w:t>
      </w:r>
      <w:r w:rsidRPr="004A6BAB">
        <w:rPr>
          <w:szCs w:val="26"/>
        </w:rPr>
        <w:t>Cal</w:t>
      </w:r>
      <w:r>
        <w:rPr>
          <w:szCs w:val="26"/>
        </w:rPr>
        <w:t>ifornia</w:t>
      </w:r>
      <w:r w:rsidRPr="004A6BAB">
        <w:rPr>
          <w:szCs w:val="26"/>
        </w:rPr>
        <w:t xml:space="preserve"> Const</w:t>
      </w:r>
      <w:r>
        <w:rPr>
          <w:szCs w:val="26"/>
        </w:rPr>
        <w:t>itution</w:t>
      </w:r>
      <w:r w:rsidRPr="004A6BAB">
        <w:rPr>
          <w:szCs w:val="26"/>
        </w:rPr>
        <w:t>, art</w:t>
      </w:r>
      <w:r>
        <w:rPr>
          <w:szCs w:val="26"/>
        </w:rPr>
        <w:t>icle</w:t>
      </w:r>
      <w:r w:rsidRPr="004A6BAB">
        <w:rPr>
          <w:szCs w:val="26"/>
        </w:rPr>
        <w:t xml:space="preserve"> I, </w:t>
      </w:r>
      <w:r>
        <w:rPr>
          <w:szCs w:val="26"/>
        </w:rPr>
        <w:t>section</w:t>
      </w:r>
      <w:r w:rsidRPr="004A6BAB">
        <w:rPr>
          <w:szCs w:val="26"/>
        </w:rPr>
        <w:t> 2</w:t>
      </w:r>
      <w:r>
        <w:rPr>
          <w:szCs w:val="26"/>
        </w:rPr>
        <w:t xml:space="preserve">, subdivision </w:t>
      </w:r>
      <w:r w:rsidRPr="004A6BAB">
        <w:rPr>
          <w:szCs w:val="26"/>
        </w:rPr>
        <w:t xml:space="preserve">(a) </w:t>
      </w:r>
      <w:r>
        <w:rPr>
          <w:szCs w:val="26"/>
        </w:rPr>
        <w:t>(</w:t>
      </w:r>
      <w:r w:rsidRPr="004A6BAB">
        <w:rPr>
          <w:szCs w:val="26"/>
        </w:rPr>
        <w:t>“</w:t>
      </w:r>
      <w:r w:rsidRPr="004A6BAB">
        <w:rPr>
          <w:rStyle w:val="ssparacontent"/>
          <w:szCs w:val="26"/>
        </w:rPr>
        <w:t>Every person may freely speak, write and publish his or her sentiments on all subjects . . .</w:t>
      </w:r>
      <w:r>
        <w:rPr>
          <w:rStyle w:val="ssparacontent"/>
          <w:szCs w:val="26"/>
        </w:rPr>
        <w:t> </w:t>
      </w:r>
      <w:r w:rsidRPr="004A6BAB">
        <w:rPr>
          <w:rStyle w:val="ssparacontent"/>
          <w:szCs w:val="26"/>
        </w:rPr>
        <w:t>.</w:t>
      </w:r>
      <w:r>
        <w:rPr>
          <w:rStyle w:val="ssparacontent"/>
          <w:szCs w:val="26"/>
        </w:rPr>
        <w:t>”)</w:t>
      </w:r>
      <w:r>
        <w:t>.</w:t>
      </w:r>
    </w:p>
  </w:footnote>
  <w:footnote w:id="10">
    <w:p w14:paraId="2DD258D9" w14:textId="16E0350A" w:rsidR="00367FDB" w:rsidRDefault="00367FDB" w:rsidP="005007CE">
      <w:pPr>
        <w:pStyle w:val="FootnoteText"/>
      </w:pPr>
      <w:r>
        <w:rPr>
          <w:rStyle w:val="FootnoteReference"/>
        </w:rPr>
        <w:footnoteRef/>
      </w:r>
      <w:r>
        <w:t xml:space="preserve"> </w:t>
      </w:r>
      <w:r>
        <w:tab/>
        <w:t xml:space="preserve">The provision was inserted in 1997, five years after original enactment of the anti-SLAPP statute.  The committee reports are uniform in describing the motivation for the provision.  Proponents asserted “that the constitutional right of free speech and petition also includes constitutionally protected expressive conduct.”  (Sen. Com. on Judiciary, Analysis of Sen. Bill No. 1296 (1997–1998 Reg. Sess.) as amended May 12, 1997, p. 4; Sen. Rules Com., Off. of Sen. Floor Analyses, 3d reading analysis of Sen. Bill No. 1296 (1997–1998 Reg. Sess.) as amended June 23, 1997, p. 4.)  The Legislature agreed and sought to codify the principle that expressive conduct, like expressive speech, is protected activity.  (See, e.g., Sen. Com. on Judiciary, Analysis of Sen. Bill No. 1296, </w:t>
      </w:r>
      <w:r w:rsidRPr="00332F0D">
        <w:rPr>
          <w:i/>
        </w:rPr>
        <w:t>supra</w:t>
      </w:r>
      <w:r>
        <w:t xml:space="preserve">, pp. 3–4; Sen. Rules Com., Off. of Sen. Floor Analyses, 3d reading analysis of Sen. Bill No. 1296, </w:t>
      </w:r>
      <w:r w:rsidRPr="00C628EE">
        <w:rPr>
          <w:i/>
        </w:rPr>
        <w:t>supra</w:t>
      </w:r>
      <w:r>
        <w:t>, p. 4; Assem. Com. on Judiciary, Analysis of Sen. Bill No. 1296 (1997–1998 Reg. Sess.) as amended May 12, 1997, p. 4.)</w:t>
      </w:r>
    </w:p>
  </w:footnote>
  <w:footnote w:id="11">
    <w:p w14:paraId="79A74A9B" w14:textId="29C29D21" w:rsidR="00367FDB" w:rsidRDefault="00367FDB" w:rsidP="005007CE">
      <w:pPr>
        <w:pStyle w:val="FootnoteText"/>
      </w:pPr>
      <w:r>
        <w:rPr>
          <w:rStyle w:val="FootnoteReference"/>
        </w:rPr>
        <w:footnoteRef/>
      </w:r>
      <w:r w:rsidRPr="00FE7F59">
        <w:t xml:space="preserve"> </w:t>
      </w:r>
      <w:r w:rsidRPr="003126AA">
        <w:tab/>
      </w:r>
      <w:r>
        <w:t xml:space="preserve">As another example, </w:t>
      </w:r>
      <w:r>
        <w:rPr>
          <w:szCs w:val="26"/>
        </w:rPr>
        <w:t>i</w:t>
      </w:r>
      <w:r w:rsidRPr="00FE7F59">
        <w:rPr>
          <w:szCs w:val="26"/>
        </w:rPr>
        <w:t xml:space="preserve">n </w:t>
      </w:r>
      <w:r w:rsidRPr="00FE7F59">
        <w:rPr>
          <w:i/>
          <w:szCs w:val="26"/>
        </w:rPr>
        <w:t>Hausch v. Do</w:t>
      </w:r>
      <w:r>
        <w:rPr>
          <w:i/>
          <w:szCs w:val="26"/>
        </w:rPr>
        <w:t>n</w:t>
      </w:r>
      <w:r w:rsidRPr="00FE7F59">
        <w:rPr>
          <w:i/>
          <w:szCs w:val="26"/>
        </w:rPr>
        <w:t>rey</w:t>
      </w:r>
      <w:r>
        <w:rPr>
          <w:i/>
          <w:szCs w:val="26"/>
        </w:rPr>
        <w:t xml:space="preserve"> of Nevada, Inc.</w:t>
      </w:r>
      <w:r w:rsidRPr="00FE7F59">
        <w:rPr>
          <w:szCs w:val="26"/>
        </w:rPr>
        <w:t xml:space="preserve"> </w:t>
      </w:r>
      <w:r>
        <w:rPr>
          <w:szCs w:val="26"/>
        </w:rPr>
        <w:t>(D.Nev. 1993) 833 F.Supp. 822, 832, the federal district court rejected a newspaper’s First Amendment defense to the employment discrimination claim of a managing editor based on failure to promote her to the position of editor, reasoning that the application of antidiscrimination laws did not burden the newspaper’s “ability to control the content and character of their newspaper’s message.”</w:t>
      </w:r>
    </w:p>
  </w:footnote>
  <w:footnote w:id="12">
    <w:p w14:paraId="21E60AFB" w14:textId="77777777" w:rsidR="00367FDB" w:rsidRDefault="00367FDB" w:rsidP="005007CE">
      <w:pPr>
        <w:pStyle w:val="FootnoteText"/>
      </w:pPr>
      <w:r>
        <w:rPr>
          <w:rStyle w:val="FootnoteReference"/>
        </w:rPr>
        <w:footnoteRef/>
      </w:r>
      <w:r>
        <w:t xml:space="preserve"> </w:t>
      </w:r>
      <w:r>
        <w:tab/>
        <w:t>Wilson’s complaint alleges the statements to those outside the company on information and belief.  No contextual details are provided.</w:t>
      </w:r>
    </w:p>
  </w:footnote>
  <w:footnote w:id="13">
    <w:p w14:paraId="113FFD9A" w14:textId="02E53B67" w:rsidR="00367FDB" w:rsidRDefault="00367FDB" w:rsidP="005007CE">
      <w:pPr>
        <w:pStyle w:val="FootnoteText"/>
      </w:pPr>
      <w:r>
        <w:rPr>
          <w:rStyle w:val="FootnoteReference"/>
        </w:rPr>
        <w:footnoteRef/>
      </w:r>
      <w:r>
        <w:t xml:space="preserve"> </w:t>
      </w:r>
      <w:r>
        <w:tab/>
        <w:t xml:space="preserve">See, e.g., </w:t>
      </w:r>
      <w:r>
        <w:rPr>
          <w:i/>
        </w:rPr>
        <w:t>FilmOn.com Inc. v. DoubleVerify Inc.</w:t>
      </w:r>
      <w:r w:rsidR="003F1B75">
        <w:t xml:space="preserve">, </w:t>
      </w:r>
      <w:r w:rsidR="003F1B75">
        <w:rPr>
          <w:i/>
        </w:rPr>
        <w:t>supra</w:t>
      </w:r>
      <w:r w:rsidR="003F1B75">
        <w:t>,</w:t>
      </w:r>
      <w:r>
        <w:t xml:space="preserve"> 7 Cal.5th </w:t>
      </w:r>
      <w:r w:rsidR="003F1B75">
        <w:t>at p. </w:t>
      </w:r>
      <w:r>
        <w:t xml:space="preserve">149 (applying § 425.16, subd. (e)(4) to statements); </w:t>
      </w:r>
      <w:r>
        <w:rPr>
          <w:i/>
        </w:rPr>
        <w:t>Rand Resources, LLC v. City of Carson</w:t>
      </w:r>
      <w:r>
        <w:t xml:space="preserve">, </w:t>
      </w:r>
      <w:r>
        <w:rPr>
          <w:i/>
        </w:rPr>
        <w:t>supra</w:t>
      </w:r>
      <w:r>
        <w:t xml:space="preserve">, 6 Cal.5th at pp. 621–628 (same); </w:t>
      </w:r>
      <w:r>
        <w:rPr>
          <w:i/>
        </w:rPr>
        <w:t xml:space="preserve">McGarry v. </w:t>
      </w:r>
      <w:r w:rsidRPr="004A4DF3">
        <w:rPr>
          <w:i/>
          <w:szCs w:val="26"/>
        </w:rPr>
        <w:t>University of San Diego</w:t>
      </w:r>
      <w:r w:rsidRPr="004A4DF3">
        <w:rPr>
          <w:szCs w:val="26"/>
        </w:rPr>
        <w:t xml:space="preserve"> (2007) 154 Cal.</w:t>
      </w:r>
      <w:r>
        <w:rPr>
          <w:szCs w:val="26"/>
        </w:rPr>
        <w:t xml:space="preserve">App.4th 97, 109–111 (same); </w:t>
      </w:r>
      <w:r>
        <w:rPr>
          <w:i/>
          <w:szCs w:val="26"/>
        </w:rPr>
        <w:t>Vogel v. Felice</w:t>
      </w:r>
      <w:r>
        <w:rPr>
          <w:szCs w:val="26"/>
        </w:rPr>
        <w:t xml:space="preserve"> (2005) 127 </w:t>
      </w:r>
      <w:r w:rsidRPr="00104852">
        <w:rPr>
          <w:szCs w:val="26"/>
        </w:rPr>
        <w:t xml:space="preserve">Cal.App.4th </w:t>
      </w:r>
      <w:r>
        <w:rPr>
          <w:szCs w:val="26"/>
        </w:rPr>
        <w:t xml:space="preserve">1006, 1015 (same); </w:t>
      </w:r>
      <w:r>
        <w:rPr>
          <w:i/>
        </w:rPr>
        <w:t>Wilbanks v. Wolk</w:t>
      </w:r>
      <w:r>
        <w:t xml:space="preserve"> (2004) 121 Cal.App.4th 883, 897–898 (same).</w:t>
      </w:r>
    </w:p>
  </w:footnote>
  <w:footnote w:id="14">
    <w:p w14:paraId="5EF0BC2F" w14:textId="3211B2F1" w:rsidR="00367FDB" w:rsidRPr="007F24C3" w:rsidRDefault="00367FDB" w:rsidP="005007CE">
      <w:pPr>
        <w:pStyle w:val="FootnoteText"/>
      </w:pPr>
      <w:r>
        <w:rPr>
          <w:rStyle w:val="FootnoteReference"/>
        </w:rPr>
        <w:footnoteRef/>
      </w:r>
      <w:r>
        <w:t xml:space="preserve"> </w:t>
      </w:r>
      <w:r>
        <w:tab/>
        <w:t xml:space="preserve">The sudden, unexpected retirement of a public official (Mather &amp; Sewell, </w:t>
      </w:r>
      <w:r>
        <w:rPr>
          <w:i/>
        </w:rPr>
        <w:t>Sheriff Lee Baca’s retirement:  ‘Very shocking and very surprising</w:t>
      </w:r>
      <w:r w:rsidRPr="003D71AA">
        <w:t>,</w:t>
      </w:r>
      <w:r>
        <w:rPr>
          <w:i/>
        </w:rPr>
        <w:t>’</w:t>
      </w:r>
      <w:r>
        <w:t xml:space="preserve"> L.A. Times (Jan. 7, 2014) </w:t>
      </w:r>
      <w:r>
        <w:rPr>
          <w:b/>
        </w:rPr>
        <w:t>&lt;</w:t>
      </w:r>
      <w:r w:rsidRPr="003C5FF6">
        <w:t>https://www.latimes.com/local/lanow/la-xpm-2014-jan-07-la-me-ln-sheriffs-bacas-retirement-very-shocking-and-very-surprising-20140107-story.html</w:t>
      </w:r>
      <w:r>
        <w:t xml:space="preserve">&gt; [as of July 22, 2019]), who later was convicted of obstructing the FBI investigation into inmate abuse in county jails (Stevens, </w:t>
      </w:r>
      <w:r>
        <w:rPr>
          <w:i/>
        </w:rPr>
        <w:t>Ex-Los Angeles Sheriff Lee Baca Is Sentenced to 3 Years in Prison</w:t>
      </w:r>
      <w:r>
        <w:t xml:space="preserve">, N.Y. Times (May 12, 2017) </w:t>
      </w:r>
      <w:r>
        <w:rPr>
          <w:b/>
        </w:rPr>
        <w:t>&lt;</w:t>
      </w:r>
      <w:r w:rsidRPr="003C5FF6">
        <w:t>https://www.nytimes.com/2017/05/12/us/lee-baca-los-angeles-county-sheriff-sentenced-prison.html</w:t>
      </w:r>
      <w:r>
        <w:t>&gt; [as of July 22, 2019]), was a chapter in an ongoing scandal that implicated public concerns such as government misfeasance and prison reform.  All Internet citations in this opinion are archived by year, docket number, and case name at &lt;https://www.courts.ca.gov/38324.htm&gt;.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E6BBA" w14:textId="77777777" w:rsidR="00367FDB" w:rsidRDefault="00367FDB">
    <w:pPr>
      <w:pStyle w:val="Header"/>
    </w:pPr>
    <w:r>
      <w:t>WILSON v. CABLE NEWS NETWORK, INC.</w:t>
    </w:r>
  </w:p>
  <w:p w14:paraId="38F78DB2" w14:textId="77777777" w:rsidR="00367FDB" w:rsidRDefault="00367FDB">
    <w:pPr>
      <w:pStyle w:val="Header"/>
    </w:pPr>
    <w:r>
      <w:t>Opinion of the Court by Kruger, J.</w:t>
    </w:r>
  </w:p>
  <w:p w14:paraId="0C03B850" w14:textId="77777777" w:rsidR="00367FDB" w:rsidRDefault="00367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D66C1" w14:textId="77777777" w:rsidR="00D96898" w:rsidRPr="00D96898" w:rsidRDefault="00D96898" w:rsidP="00D96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70A6E"/>
    <w:multiLevelType w:val="hybridMultilevel"/>
    <w:tmpl w:val="85F6AEB0"/>
    <w:lvl w:ilvl="0" w:tplc="A16C3B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103BA6"/>
    <w:multiLevelType w:val="hybridMultilevel"/>
    <w:tmpl w:val="B12698B4"/>
    <w:lvl w:ilvl="0" w:tplc="69F67C8E">
      <w:start w:val="1"/>
      <w:numFmt w:val="decimal"/>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C16EEB"/>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3B078C6"/>
    <w:multiLevelType w:val="hybridMultilevel"/>
    <w:tmpl w:val="AA1EB510"/>
    <w:lvl w:ilvl="0" w:tplc="1F86CC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activeWritingStyle w:appName="MSWord" w:lang="en-US" w:vendorID="64" w:dllVersion="5" w:nlCheck="1" w:checkStyle="1"/>
  <w:activeWritingStyle w:appName="MSWord" w:lang="en-US" w:vendorID="64" w:dllVersion="0" w:nlCheck="1" w:checkStyle="0"/>
  <w:activeWritingStyle w:appName="MSWord" w:lang="en-US" w:vendorID="64" w:dllVersion="4096" w:nlCheck="1" w:checkStyle="0"/>
  <w:activeWritingStyle w:appName="MSWord" w:lang="de-DE" w:vendorID="64" w:dllVersion="4096" w:nlCheck="1" w:checkStyle="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73"/>
    <w:rsid w:val="000001FF"/>
    <w:rsid w:val="00000758"/>
    <w:rsid w:val="00000D6B"/>
    <w:rsid w:val="000018CB"/>
    <w:rsid w:val="00001E01"/>
    <w:rsid w:val="00002833"/>
    <w:rsid w:val="00002BC9"/>
    <w:rsid w:val="00003437"/>
    <w:rsid w:val="000040A8"/>
    <w:rsid w:val="00005362"/>
    <w:rsid w:val="00005EDB"/>
    <w:rsid w:val="00006761"/>
    <w:rsid w:val="00006CD5"/>
    <w:rsid w:val="0000776A"/>
    <w:rsid w:val="000079FF"/>
    <w:rsid w:val="00010724"/>
    <w:rsid w:val="0001181A"/>
    <w:rsid w:val="0001258D"/>
    <w:rsid w:val="000125C8"/>
    <w:rsid w:val="00012B8D"/>
    <w:rsid w:val="00012E2E"/>
    <w:rsid w:val="00015A4C"/>
    <w:rsid w:val="00015FE9"/>
    <w:rsid w:val="000161FC"/>
    <w:rsid w:val="00016255"/>
    <w:rsid w:val="0001704E"/>
    <w:rsid w:val="0001720E"/>
    <w:rsid w:val="00020AD7"/>
    <w:rsid w:val="00021A89"/>
    <w:rsid w:val="00023572"/>
    <w:rsid w:val="0002365E"/>
    <w:rsid w:val="00025918"/>
    <w:rsid w:val="00026CDB"/>
    <w:rsid w:val="000276BB"/>
    <w:rsid w:val="00027B21"/>
    <w:rsid w:val="000303D7"/>
    <w:rsid w:val="00030AD7"/>
    <w:rsid w:val="00030CE7"/>
    <w:rsid w:val="0003136C"/>
    <w:rsid w:val="000314E2"/>
    <w:rsid w:val="00031733"/>
    <w:rsid w:val="00031895"/>
    <w:rsid w:val="00032394"/>
    <w:rsid w:val="00032528"/>
    <w:rsid w:val="0003302B"/>
    <w:rsid w:val="00033264"/>
    <w:rsid w:val="00033717"/>
    <w:rsid w:val="00034871"/>
    <w:rsid w:val="00034C73"/>
    <w:rsid w:val="00034D0A"/>
    <w:rsid w:val="00035D91"/>
    <w:rsid w:val="0003688B"/>
    <w:rsid w:val="000372E8"/>
    <w:rsid w:val="0004050D"/>
    <w:rsid w:val="00040B41"/>
    <w:rsid w:val="00041CBC"/>
    <w:rsid w:val="000430FE"/>
    <w:rsid w:val="000441E1"/>
    <w:rsid w:val="000443A2"/>
    <w:rsid w:val="00045B80"/>
    <w:rsid w:val="000465CC"/>
    <w:rsid w:val="00046DE8"/>
    <w:rsid w:val="00047551"/>
    <w:rsid w:val="00047792"/>
    <w:rsid w:val="0005144E"/>
    <w:rsid w:val="00051E1A"/>
    <w:rsid w:val="000525AE"/>
    <w:rsid w:val="000535E8"/>
    <w:rsid w:val="00053F0D"/>
    <w:rsid w:val="000543CA"/>
    <w:rsid w:val="000551C0"/>
    <w:rsid w:val="00055B05"/>
    <w:rsid w:val="00056078"/>
    <w:rsid w:val="0005720D"/>
    <w:rsid w:val="00057B37"/>
    <w:rsid w:val="00061FC6"/>
    <w:rsid w:val="00063ADD"/>
    <w:rsid w:val="00063DC5"/>
    <w:rsid w:val="000644D1"/>
    <w:rsid w:val="000644F8"/>
    <w:rsid w:val="00065862"/>
    <w:rsid w:val="00066DB0"/>
    <w:rsid w:val="00067B23"/>
    <w:rsid w:val="00070432"/>
    <w:rsid w:val="000714B4"/>
    <w:rsid w:val="00071EAE"/>
    <w:rsid w:val="0007201D"/>
    <w:rsid w:val="00072957"/>
    <w:rsid w:val="00072F82"/>
    <w:rsid w:val="00073767"/>
    <w:rsid w:val="00074158"/>
    <w:rsid w:val="00074268"/>
    <w:rsid w:val="00074961"/>
    <w:rsid w:val="00074D37"/>
    <w:rsid w:val="00074EC6"/>
    <w:rsid w:val="00075402"/>
    <w:rsid w:val="000762CC"/>
    <w:rsid w:val="00076718"/>
    <w:rsid w:val="00077D33"/>
    <w:rsid w:val="000803AD"/>
    <w:rsid w:val="00081E36"/>
    <w:rsid w:val="00082326"/>
    <w:rsid w:val="0008280A"/>
    <w:rsid w:val="00082C8E"/>
    <w:rsid w:val="000833B6"/>
    <w:rsid w:val="000836CF"/>
    <w:rsid w:val="00083B4F"/>
    <w:rsid w:val="00083DF3"/>
    <w:rsid w:val="00084276"/>
    <w:rsid w:val="00084E6D"/>
    <w:rsid w:val="000859B5"/>
    <w:rsid w:val="00086E19"/>
    <w:rsid w:val="00087BC6"/>
    <w:rsid w:val="00091958"/>
    <w:rsid w:val="00092BE3"/>
    <w:rsid w:val="00094611"/>
    <w:rsid w:val="00094789"/>
    <w:rsid w:val="0009495F"/>
    <w:rsid w:val="00094F38"/>
    <w:rsid w:val="0009508F"/>
    <w:rsid w:val="00095589"/>
    <w:rsid w:val="00096048"/>
    <w:rsid w:val="00096710"/>
    <w:rsid w:val="00096D45"/>
    <w:rsid w:val="00096F9F"/>
    <w:rsid w:val="000A04E1"/>
    <w:rsid w:val="000A04F8"/>
    <w:rsid w:val="000A1961"/>
    <w:rsid w:val="000A3A6B"/>
    <w:rsid w:val="000A587C"/>
    <w:rsid w:val="000A59B5"/>
    <w:rsid w:val="000A5F41"/>
    <w:rsid w:val="000A659C"/>
    <w:rsid w:val="000A68B8"/>
    <w:rsid w:val="000A7559"/>
    <w:rsid w:val="000A7671"/>
    <w:rsid w:val="000A7BCA"/>
    <w:rsid w:val="000B00BF"/>
    <w:rsid w:val="000B0165"/>
    <w:rsid w:val="000B1728"/>
    <w:rsid w:val="000B275F"/>
    <w:rsid w:val="000B301E"/>
    <w:rsid w:val="000B327C"/>
    <w:rsid w:val="000B3546"/>
    <w:rsid w:val="000B444F"/>
    <w:rsid w:val="000B45AA"/>
    <w:rsid w:val="000B4868"/>
    <w:rsid w:val="000B5A03"/>
    <w:rsid w:val="000B623F"/>
    <w:rsid w:val="000B700B"/>
    <w:rsid w:val="000B76C0"/>
    <w:rsid w:val="000C0B9B"/>
    <w:rsid w:val="000C3073"/>
    <w:rsid w:val="000C3122"/>
    <w:rsid w:val="000C45A3"/>
    <w:rsid w:val="000C5938"/>
    <w:rsid w:val="000C5E4B"/>
    <w:rsid w:val="000C60AE"/>
    <w:rsid w:val="000D170F"/>
    <w:rsid w:val="000D2221"/>
    <w:rsid w:val="000D248B"/>
    <w:rsid w:val="000D28F9"/>
    <w:rsid w:val="000D30C5"/>
    <w:rsid w:val="000D3949"/>
    <w:rsid w:val="000D471A"/>
    <w:rsid w:val="000D5495"/>
    <w:rsid w:val="000D5921"/>
    <w:rsid w:val="000D602A"/>
    <w:rsid w:val="000D605C"/>
    <w:rsid w:val="000D6847"/>
    <w:rsid w:val="000D726C"/>
    <w:rsid w:val="000E148A"/>
    <w:rsid w:val="000E19AE"/>
    <w:rsid w:val="000E48FD"/>
    <w:rsid w:val="000E4C15"/>
    <w:rsid w:val="000E761F"/>
    <w:rsid w:val="000E785B"/>
    <w:rsid w:val="000F09B4"/>
    <w:rsid w:val="000F0A94"/>
    <w:rsid w:val="000F0E27"/>
    <w:rsid w:val="000F346B"/>
    <w:rsid w:val="000F3526"/>
    <w:rsid w:val="000F4077"/>
    <w:rsid w:val="000F458C"/>
    <w:rsid w:val="000F4C7C"/>
    <w:rsid w:val="000F4CBF"/>
    <w:rsid w:val="000F6953"/>
    <w:rsid w:val="000F705E"/>
    <w:rsid w:val="0010001E"/>
    <w:rsid w:val="001012D1"/>
    <w:rsid w:val="001039FC"/>
    <w:rsid w:val="00103B70"/>
    <w:rsid w:val="001041F7"/>
    <w:rsid w:val="001047A2"/>
    <w:rsid w:val="00104852"/>
    <w:rsid w:val="00104981"/>
    <w:rsid w:val="00104B04"/>
    <w:rsid w:val="00104BD3"/>
    <w:rsid w:val="00106117"/>
    <w:rsid w:val="001067EB"/>
    <w:rsid w:val="00107431"/>
    <w:rsid w:val="00107B69"/>
    <w:rsid w:val="00110472"/>
    <w:rsid w:val="0011136C"/>
    <w:rsid w:val="00111E43"/>
    <w:rsid w:val="00112ACA"/>
    <w:rsid w:val="001137F3"/>
    <w:rsid w:val="00113F6C"/>
    <w:rsid w:val="0011426C"/>
    <w:rsid w:val="001142ED"/>
    <w:rsid w:val="00115A20"/>
    <w:rsid w:val="00115CD2"/>
    <w:rsid w:val="001160E4"/>
    <w:rsid w:val="00116A2B"/>
    <w:rsid w:val="00116CE5"/>
    <w:rsid w:val="00120595"/>
    <w:rsid w:val="00120C98"/>
    <w:rsid w:val="00120CD3"/>
    <w:rsid w:val="0012120B"/>
    <w:rsid w:val="0012196B"/>
    <w:rsid w:val="00121EA0"/>
    <w:rsid w:val="00122100"/>
    <w:rsid w:val="001223F9"/>
    <w:rsid w:val="0012317C"/>
    <w:rsid w:val="00124098"/>
    <w:rsid w:val="00124589"/>
    <w:rsid w:val="00125CEE"/>
    <w:rsid w:val="00126DB4"/>
    <w:rsid w:val="001273F7"/>
    <w:rsid w:val="0012798B"/>
    <w:rsid w:val="00127C08"/>
    <w:rsid w:val="00130667"/>
    <w:rsid w:val="001311D3"/>
    <w:rsid w:val="00131B47"/>
    <w:rsid w:val="00132119"/>
    <w:rsid w:val="00132A3A"/>
    <w:rsid w:val="00132CF7"/>
    <w:rsid w:val="0013343A"/>
    <w:rsid w:val="0013387A"/>
    <w:rsid w:val="00135044"/>
    <w:rsid w:val="00135600"/>
    <w:rsid w:val="00135620"/>
    <w:rsid w:val="00135BCC"/>
    <w:rsid w:val="00135CC9"/>
    <w:rsid w:val="001401B6"/>
    <w:rsid w:val="00140C8E"/>
    <w:rsid w:val="001413BB"/>
    <w:rsid w:val="00142137"/>
    <w:rsid w:val="00143021"/>
    <w:rsid w:val="00144D80"/>
    <w:rsid w:val="00144E76"/>
    <w:rsid w:val="001461E0"/>
    <w:rsid w:val="0014646A"/>
    <w:rsid w:val="001466CE"/>
    <w:rsid w:val="00146857"/>
    <w:rsid w:val="00147481"/>
    <w:rsid w:val="0014782A"/>
    <w:rsid w:val="00147B59"/>
    <w:rsid w:val="00150440"/>
    <w:rsid w:val="00150F88"/>
    <w:rsid w:val="00151204"/>
    <w:rsid w:val="0015138E"/>
    <w:rsid w:val="001519C2"/>
    <w:rsid w:val="00151EF8"/>
    <w:rsid w:val="00151FDB"/>
    <w:rsid w:val="00152937"/>
    <w:rsid w:val="00153F2D"/>
    <w:rsid w:val="00154D4A"/>
    <w:rsid w:val="001551A4"/>
    <w:rsid w:val="00156F91"/>
    <w:rsid w:val="00157BF6"/>
    <w:rsid w:val="00157D65"/>
    <w:rsid w:val="00160F70"/>
    <w:rsid w:val="00161CC6"/>
    <w:rsid w:val="001630C8"/>
    <w:rsid w:val="00163182"/>
    <w:rsid w:val="001631BB"/>
    <w:rsid w:val="001638CF"/>
    <w:rsid w:val="00164398"/>
    <w:rsid w:val="001646F1"/>
    <w:rsid w:val="00165787"/>
    <w:rsid w:val="00166D17"/>
    <w:rsid w:val="00167A2B"/>
    <w:rsid w:val="00171044"/>
    <w:rsid w:val="00171609"/>
    <w:rsid w:val="00171AD9"/>
    <w:rsid w:val="00171B28"/>
    <w:rsid w:val="00172001"/>
    <w:rsid w:val="00172435"/>
    <w:rsid w:val="00172756"/>
    <w:rsid w:val="00173AE1"/>
    <w:rsid w:val="00173F8A"/>
    <w:rsid w:val="0017470A"/>
    <w:rsid w:val="0017510B"/>
    <w:rsid w:val="00175FF3"/>
    <w:rsid w:val="00176348"/>
    <w:rsid w:val="00176455"/>
    <w:rsid w:val="00176BAF"/>
    <w:rsid w:val="00177689"/>
    <w:rsid w:val="0018036F"/>
    <w:rsid w:val="00180560"/>
    <w:rsid w:val="00180667"/>
    <w:rsid w:val="0018069E"/>
    <w:rsid w:val="00181314"/>
    <w:rsid w:val="0018189F"/>
    <w:rsid w:val="00182FA2"/>
    <w:rsid w:val="001837B9"/>
    <w:rsid w:val="001839FB"/>
    <w:rsid w:val="001842B5"/>
    <w:rsid w:val="0018480C"/>
    <w:rsid w:val="00184BC8"/>
    <w:rsid w:val="001857AD"/>
    <w:rsid w:val="001868CE"/>
    <w:rsid w:val="00187B8D"/>
    <w:rsid w:val="00190501"/>
    <w:rsid w:val="0019109D"/>
    <w:rsid w:val="00191FD7"/>
    <w:rsid w:val="00193518"/>
    <w:rsid w:val="00193ED4"/>
    <w:rsid w:val="0019464C"/>
    <w:rsid w:val="00194C46"/>
    <w:rsid w:val="001950A5"/>
    <w:rsid w:val="0019647E"/>
    <w:rsid w:val="00196933"/>
    <w:rsid w:val="00196969"/>
    <w:rsid w:val="00196F02"/>
    <w:rsid w:val="001973D2"/>
    <w:rsid w:val="00197AEF"/>
    <w:rsid w:val="00197B98"/>
    <w:rsid w:val="00197BFE"/>
    <w:rsid w:val="001A0CDA"/>
    <w:rsid w:val="001A121F"/>
    <w:rsid w:val="001A1250"/>
    <w:rsid w:val="001A15F9"/>
    <w:rsid w:val="001A172B"/>
    <w:rsid w:val="001A1F58"/>
    <w:rsid w:val="001A219A"/>
    <w:rsid w:val="001A34A0"/>
    <w:rsid w:val="001A3B49"/>
    <w:rsid w:val="001A4184"/>
    <w:rsid w:val="001A4F9C"/>
    <w:rsid w:val="001A50F5"/>
    <w:rsid w:val="001A5D15"/>
    <w:rsid w:val="001A660A"/>
    <w:rsid w:val="001A7C24"/>
    <w:rsid w:val="001B0850"/>
    <w:rsid w:val="001B2991"/>
    <w:rsid w:val="001B2A49"/>
    <w:rsid w:val="001B301C"/>
    <w:rsid w:val="001B35EC"/>
    <w:rsid w:val="001B4F20"/>
    <w:rsid w:val="001B53C7"/>
    <w:rsid w:val="001B695D"/>
    <w:rsid w:val="001B6A3D"/>
    <w:rsid w:val="001B6F0A"/>
    <w:rsid w:val="001C0091"/>
    <w:rsid w:val="001C05F6"/>
    <w:rsid w:val="001C0B0A"/>
    <w:rsid w:val="001C127F"/>
    <w:rsid w:val="001C22F3"/>
    <w:rsid w:val="001C26B9"/>
    <w:rsid w:val="001C2C04"/>
    <w:rsid w:val="001C3BFF"/>
    <w:rsid w:val="001C4182"/>
    <w:rsid w:val="001C46F9"/>
    <w:rsid w:val="001C4A6F"/>
    <w:rsid w:val="001C5469"/>
    <w:rsid w:val="001C6088"/>
    <w:rsid w:val="001C6905"/>
    <w:rsid w:val="001C6D08"/>
    <w:rsid w:val="001D0E17"/>
    <w:rsid w:val="001D1AD2"/>
    <w:rsid w:val="001D2090"/>
    <w:rsid w:val="001D244F"/>
    <w:rsid w:val="001D27D4"/>
    <w:rsid w:val="001D2A9F"/>
    <w:rsid w:val="001D2B1B"/>
    <w:rsid w:val="001D37E9"/>
    <w:rsid w:val="001D3A3E"/>
    <w:rsid w:val="001D3E6D"/>
    <w:rsid w:val="001D4F18"/>
    <w:rsid w:val="001D4FC7"/>
    <w:rsid w:val="001D5133"/>
    <w:rsid w:val="001D5650"/>
    <w:rsid w:val="001D5D0B"/>
    <w:rsid w:val="001D64B7"/>
    <w:rsid w:val="001D7377"/>
    <w:rsid w:val="001E1936"/>
    <w:rsid w:val="001E1973"/>
    <w:rsid w:val="001E1A73"/>
    <w:rsid w:val="001E2A95"/>
    <w:rsid w:val="001E2DD3"/>
    <w:rsid w:val="001E3E36"/>
    <w:rsid w:val="001E49FD"/>
    <w:rsid w:val="001E64A2"/>
    <w:rsid w:val="001F0813"/>
    <w:rsid w:val="001F117F"/>
    <w:rsid w:val="001F11F4"/>
    <w:rsid w:val="001F15F7"/>
    <w:rsid w:val="001F1DFC"/>
    <w:rsid w:val="001F2291"/>
    <w:rsid w:val="001F2B50"/>
    <w:rsid w:val="001F32C7"/>
    <w:rsid w:val="001F3643"/>
    <w:rsid w:val="001F3BE2"/>
    <w:rsid w:val="001F3EE6"/>
    <w:rsid w:val="001F5F9E"/>
    <w:rsid w:val="001F6383"/>
    <w:rsid w:val="001F740E"/>
    <w:rsid w:val="002006D1"/>
    <w:rsid w:val="00200B67"/>
    <w:rsid w:val="00200D75"/>
    <w:rsid w:val="00201AB4"/>
    <w:rsid w:val="00201EF7"/>
    <w:rsid w:val="00202B86"/>
    <w:rsid w:val="00202E89"/>
    <w:rsid w:val="00202F49"/>
    <w:rsid w:val="00202FD3"/>
    <w:rsid w:val="00203209"/>
    <w:rsid w:val="00203A37"/>
    <w:rsid w:val="00203B19"/>
    <w:rsid w:val="00204565"/>
    <w:rsid w:val="00206259"/>
    <w:rsid w:val="00206CEB"/>
    <w:rsid w:val="00206D3C"/>
    <w:rsid w:val="00210289"/>
    <w:rsid w:val="00210F2B"/>
    <w:rsid w:val="00211690"/>
    <w:rsid w:val="002129DB"/>
    <w:rsid w:val="00213561"/>
    <w:rsid w:val="002152D1"/>
    <w:rsid w:val="00216CEA"/>
    <w:rsid w:val="00220906"/>
    <w:rsid w:val="0022098F"/>
    <w:rsid w:val="00222E4D"/>
    <w:rsid w:val="00223B64"/>
    <w:rsid w:val="00223D1C"/>
    <w:rsid w:val="002243F1"/>
    <w:rsid w:val="00225CFA"/>
    <w:rsid w:val="0022602E"/>
    <w:rsid w:val="002261EB"/>
    <w:rsid w:val="002269EA"/>
    <w:rsid w:val="002273C0"/>
    <w:rsid w:val="0022768B"/>
    <w:rsid w:val="00231EDE"/>
    <w:rsid w:val="00233FDB"/>
    <w:rsid w:val="00234E63"/>
    <w:rsid w:val="00236710"/>
    <w:rsid w:val="002369AB"/>
    <w:rsid w:val="00236F7B"/>
    <w:rsid w:val="00237743"/>
    <w:rsid w:val="00240C91"/>
    <w:rsid w:val="00241124"/>
    <w:rsid w:val="0024143C"/>
    <w:rsid w:val="002424BF"/>
    <w:rsid w:val="00242763"/>
    <w:rsid w:val="00242FA6"/>
    <w:rsid w:val="002431A0"/>
    <w:rsid w:val="002442CC"/>
    <w:rsid w:val="00245A18"/>
    <w:rsid w:val="0024606D"/>
    <w:rsid w:val="00246D76"/>
    <w:rsid w:val="00246DFF"/>
    <w:rsid w:val="00247070"/>
    <w:rsid w:val="002473F3"/>
    <w:rsid w:val="00247DCD"/>
    <w:rsid w:val="00247F87"/>
    <w:rsid w:val="00247FF2"/>
    <w:rsid w:val="0025262D"/>
    <w:rsid w:val="00253B8D"/>
    <w:rsid w:val="002552B2"/>
    <w:rsid w:val="00256326"/>
    <w:rsid w:val="0025634D"/>
    <w:rsid w:val="002564E3"/>
    <w:rsid w:val="00256D54"/>
    <w:rsid w:val="00257712"/>
    <w:rsid w:val="00257CE8"/>
    <w:rsid w:val="00260C18"/>
    <w:rsid w:val="00260C52"/>
    <w:rsid w:val="00261AAD"/>
    <w:rsid w:val="0026233E"/>
    <w:rsid w:val="00262568"/>
    <w:rsid w:val="00262B7E"/>
    <w:rsid w:val="00262BDF"/>
    <w:rsid w:val="002630A3"/>
    <w:rsid w:val="00265821"/>
    <w:rsid w:val="0026583D"/>
    <w:rsid w:val="00265D7B"/>
    <w:rsid w:val="00267CBB"/>
    <w:rsid w:val="00267EC1"/>
    <w:rsid w:val="00267ED8"/>
    <w:rsid w:val="00270137"/>
    <w:rsid w:val="00270297"/>
    <w:rsid w:val="0027177F"/>
    <w:rsid w:val="002722D2"/>
    <w:rsid w:val="0027317D"/>
    <w:rsid w:val="00273270"/>
    <w:rsid w:val="00273831"/>
    <w:rsid w:val="00273A98"/>
    <w:rsid w:val="00273E19"/>
    <w:rsid w:val="00274286"/>
    <w:rsid w:val="00274BCE"/>
    <w:rsid w:val="00274ED0"/>
    <w:rsid w:val="00275113"/>
    <w:rsid w:val="002751D0"/>
    <w:rsid w:val="002757C0"/>
    <w:rsid w:val="00276D37"/>
    <w:rsid w:val="002774A0"/>
    <w:rsid w:val="00281304"/>
    <w:rsid w:val="0028198C"/>
    <w:rsid w:val="002827A0"/>
    <w:rsid w:val="00282C87"/>
    <w:rsid w:val="00283156"/>
    <w:rsid w:val="00283199"/>
    <w:rsid w:val="00283424"/>
    <w:rsid w:val="00283A79"/>
    <w:rsid w:val="00283B44"/>
    <w:rsid w:val="0028493C"/>
    <w:rsid w:val="00284AC8"/>
    <w:rsid w:val="00285AD6"/>
    <w:rsid w:val="00285FB7"/>
    <w:rsid w:val="0028641F"/>
    <w:rsid w:val="002876E9"/>
    <w:rsid w:val="002900CD"/>
    <w:rsid w:val="002903ED"/>
    <w:rsid w:val="00290782"/>
    <w:rsid w:val="00290FE1"/>
    <w:rsid w:val="00291D7E"/>
    <w:rsid w:val="00291E62"/>
    <w:rsid w:val="00292305"/>
    <w:rsid w:val="00292E14"/>
    <w:rsid w:val="002937AF"/>
    <w:rsid w:val="00293DA1"/>
    <w:rsid w:val="002948FD"/>
    <w:rsid w:val="00294C0A"/>
    <w:rsid w:val="00295381"/>
    <w:rsid w:val="0029583D"/>
    <w:rsid w:val="00296482"/>
    <w:rsid w:val="00297337"/>
    <w:rsid w:val="002A00C3"/>
    <w:rsid w:val="002A02B8"/>
    <w:rsid w:val="002A0E81"/>
    <w:rsid w:val="002A15A6"/>
    <w:rsid w:val="002A1F80"/>
    <w:rsid w:val="002A2439"/>
    <w:rsid w:val="002A340F"/>
    <w:rsid w:val="002A3505"/>
    <w:rsid w:val="002A37D8"/>
    <w:rsid w:val="002A3D53"/>
    <w:rsid w:val="002A4DD0"/>
    <w:rsid w:val="002A527D"/>
    <w:rsid w:val="002A595C"/>
    <w:rsid w:val="002A653D"/>
    <w:rsid w:val="002A7058"/>
    <w:rsid w:val="002A789D"/>
    <w:rsid w:val="002A7908"/>
    <w:rsid w:val="002A7966"/>
    <w:rsid w:val="002A7AEF"/>
    <w:rsid w:val="002B0EF4"/>
    <w:rsid w:val="002B131D"/>
    <w:rsid w:val="002B2194"/>
    <w:rsid w:val="002B3DFE"/>
    <w:rsid w:val="002B41B0"/>
    <w:rsid w:val="002B41CF"/>
    <w:rsid w:val="002B4A9F"/>
    <w:rsid w:val="002B6622"/>
    <w:rsid w:val="002B719B"/>
    <w:rsid w:val="002B7BB4"/>
    <w:rsid w:val="002B7FE4"/>
    <w:rsid w:val="002C0156"/>
    <w:rsid w:val="002C0380"/>
    <w:rsid w:val="002C0BD4"/>
    <w:rsid w:val="002C0D70"/>
    <w:rsid w:val="002C1CAE"/>
    <w:rsid w:val="002C3A1C"/>
    <w:rsid w:val="002C3F78"/>
    <w:rsid w:val="002C4D07"/>
    <w:rsid w:val="002C4E3E"/>
    <w:rsid w:val="002C62C0"/>
    <w:rsid w:val="002C7D31"/>
    <w:rsid w:val="002D07D8"/>
    <w:rsid w:val="002D21B4"/>
    <w:rsid w:val="002D2262"/>
    <w:rsid w:val="002D3BEE"/>
    <w:rsid w:val="002D463E"/>
    <w:rsid w:val="002D4B02"/>
    <w:rsid w:val="002D57BF"/>
    <w:rsid w:val="002D5FE6"/>
    <w:rsid w:val="002D6EE8"/>
    <w:rsid w:val="002D6F14"/>
    <w:rsid w:val="002E079C"/>
    <w:rsid w:val="002E25E0"/>
    <w:rsid w:val="002E2813"/>
    <w:rsid w:val="002E30C3"/>
    <w:rsid w:val="002E47C0"/>
    <w:rsid w:val="002E4CA3"/>
    <w:rsid w:val="002E572A"/>
    <w:rsid w:val="002E5AB8"/>
    <w:rsid w:val="002E5B4C"/>
    <w:rsid w:val="002E6148"/>
    <w:rsid w:val="002E67F5"/>
    <w:rsid w:val="002E6B69"/>
    <w:rsid w:val="002F0A55"/>
    <w:rsid w:val="002F0B02"/>
    <w:rsid w:val="002F10BB"/>
    <w:rsid w:val="002F199C"/>
    <w:rsid w:val="002F21BB"/>
    <w:rsid w:val="002F23E1"/>
    <w:rsid w:val="002F34AA"/>
    <w:rsid w:val="002F3C44"/>
    <w:rsid w:val="002F3D34"/>
    <w:rsid w:val="002F4674"/>
    <w:rsid w:val="002F5769"/>
    <w:rsid w:val="002F5A7F"/>
    <w:rsid w:val="002F5CD7"/>
    <w:rsid w:val="002F640E"/>
    <w:rsid w:val="002F7267"/>
    <w:rsid w:val="002F7821"/>
    <w:rsid w:val="002F7AAF"/>
    <w:rsid w:val="002F7D35"/>
    <w:rsid w:val="00300395"/>
    <w:rsid w:val="00301111"/>
    <w:rsid w:val="00301263"/>
    <w:rsid w:val="00302667"/>
    <w:rsid w:val="003026FF"/>
    <w:rsid w:val="00303376"/>
    <w:rsid w:val="00303819"/>
    <w:rsid w:val="00303D0F"/>
    <w:rsid w:val="00304728"/>
    <w:rsid w:val="00304E21"/>
    <w:rsid w:val="003053D3"/>
    <w:rsid w:val="0030593E"/>
    <w:rsid w:val="00305C4E"/>
    <w:rsid w:val="00307996"/>
    <w:rsid w:val="00307B7F"/>
    <w:rsid w:val="00307ED7"/>
    <w:rsid w:val="00310A7C"/>
    <w:rsid w:val="00311414"/>
    <w:rsid w:val="00311DCB"/>
    <w:rsid w:val="003126AA"/>
    <w:rsid w:val="00313846"/>
    <w:rsid w:val="00314F98"/>
    <w:rsid w:val="00316180"/>
    <w:rsid w:val="00316436"/>
    <w:rsid w:val="00317716"/>
    <w:rsid w:val="003178E4"/>
    <w:rsid w:val="00317A90"/>
    <w:rsid w:val="00317BC8"/>
    <w:rsid w:val="00317DB5"/>
    <w:rsid w:val="00317DBA"/>
    <w:rsid w:val="00322735"/>
    <w:rsid w:val="00322874"/>
    <w:rsid w:val="00322B55"/>
    <w:rsid w:val="00322EA3"/>
    <w:rsid w:val="00323369"/>
    <w:rsid w:val="003248D6"/>
    <w:rsid w:val="00324D9C"/>
    <w:rsid w:val="003255ED"/>
    <w:rsid w:val="0032618C"/>
    <w:rsid w:val="00327A8E"/>
    <w:rsid w:val="00332210"/>
    <w:rsid w:val="00332539"/>
    <w:rsid w:val="00332F0D"/>
    <w:rsid w:val="00333795"/>
    <w:rsid w:val="003342F1"/>
    <w:rsid w:val="00334956"/>
    <w:rsid w:val="00334E3D"/>
    <w:rsid w:val="00335366"/>
    <w:rsid w:val="00335867"/>
    <w:rsid w:val="00337071"/>
    <w:rsid w:val="0033736D"/>
    <w:rsid w:val="0034006C"/>
    <w:rsid w:val="0034007C"/>
    <w:rsid w:val="003400D7"/>
    <w:rsid w:val="00340A30"/>
    <w:rsid w:val="003412DA"/>
    <w:rsid w:val="00341562"/>
    <w:rsid w:val="00342828"/>
    <w:rsid w:val="00344EE3"/>
    <w:rsid w:val="003457B4"/>
    <w:rsid w:val="00346078"/>
    <w:rsid w:val="003464A2"/>
    <w:rsid w:val="00346965"/>
    <w:rsid w:val="00346A6F"/>
    <w:rsid w:val="00347A69"/>
    <w:rsid w:val="003502E1"/>
    <w:rsid w:val="00351093"/>
    <w:rsid w:val="003513BD"/>
    <w:rsid w:val="00351F2B"/>
    <w:rsid w:val="003524E1"/>
    <w:rsid w:val="0035268F"/>
    <w:rsid w:val="00352AEA"/>
    <w:rsid w:val="00353102"/>
    <w:rsid w:val="00353328"/>
    <w:rsid w:val="00353424"/>
    <w:rsid w:val="00353B6C"/>
    <w:rsid w:val="00353D97"/>
    <w:rsid w:val="003544AD"/>
    <w:rsid w:val="0035542F"/>
    <w:rsid w:val="003562A1"/>
    <w:rsid w:val="00356465"/>
    <w:rsid w:val="00356906"/>
    <w:rsid w:val="00357626"/>
    <w:rsid w:val="00357A0E"/>
    <w:rsid w:val="0036116C"/>
    <w:rsid w:val="00362375"/>
    <w:rsid w:val="003626C9"/>
    <w:rsid w:val="00364010"/>
    <w:rsid w:val="0036506D"/>
    <w:rsid w:val="0036511C"/>
    <w:rsid w:val="00365E6B"/>
    <w:rsid w:val="003674BC"/>
    <w:rsid w:val="00367549"/>
    <w:rsid w:val="00367C61"/>
    <w:rsid w:val="00367FDB"/>
    <w:rsid w:val="003705B3"/>
    <w:rsid w:val="00370608"/>
    <w:rsid w:val="00371E5B"/>
    <w:rsid w:val="00372141"/>
    <w:rsid w:val="0037304A"/>
    <w:rsid w:val="00374693"/>
    <w:rsid w:val="0037582B"/>
    <w:rsid w:val="00376557"/>
    <w:rsid w:val="00376AA5"/>
    <w:rsid w:val="003771FA"/>
    <w:rsid w:val="00377246"/>
    <w:rsid w:val="00377C02"/>
    <w:rsid w:val="003805BC"/>
    <w:rsid w:val="00380FFD"/>
    <w:rsid w:val="0038151E"/>
    <w:rsid w:val="0038203F"/>
    <w:rsid w:val="0038204D"/>
    <w:rsid w:val="003826F9"/>
    <w:rsid w:val="00382C28"/>
    <w:rsid w:val="00382C84"/>
    <w:rsid w:val="00384168"/>
    <w:rsid w:val="0038418A"/>
    <w:rsid w:val="00384EFD"/>
    <w:rsid w:val="003859EA"/>
    <w:rsid w:val="0038741B"/>
    <w:rsid w:val="00391434"/>
    <w:rsid w:val="003919E6"/>
    <w:rsid w:val="00391B55"/>
    <w:rsid w:val="00395872"/>
    <w:rsid w:val="00395922"/>
    <w:rsid w:val="00396422"/>
    <w:rsid w:val="0039653B"/>
    <w:rsid w:val="00396B68"/>
    <w:rsid w:val="00397287"/>
    <w:rsid w:val="003976FC"/>
    <w:rsid w:val="003A0B7C"/>
    <w:rsid w:val="003A11C3"/>
    <w:rsid w:val="003A1479"/>
    <w:rsid w:val="003A2EB4"/>
    <w:rsid w:val="003A635A"/>
    <w:rsid w:val="003A67EA"/>
    <w:rsid w:val="003A761D"/>
    <w:rsid w:val="003A7F75"/>
    <w:rsid w:val="003B0507"/>
    <w:rsid w:val="003B111B"/>
    <w:rsid w:val="003B1558"/>
    <w:rsid w:val="003B1E0F"/>
    <w:rsid w:val="003B2558"/>
    <w:rsid w:val="003B262B"/>
    <w:rsid w:val="003B2B90"/>
    <w:rsid w:val="003B3A18"/>
    <w:rsid w:val="003B5583"/>
    <w:rsid w:val="003B55E7"/>
    <w:rsid w:val="003B5E22"/>
    <w:rsid w:val="003B5F96"/>
    <w:rsid w:val="003B6C67"/>
    <w:rsid w:val="003C1AF2"/>
    <w:rsid w:val="003C25B3"/>
    <w:rsid w:val="003C3CE7"/>
    <w:rsid w:val="003C43BA"/>
    <w:rsid w:val="003C5CEB"/>
    <w:rsid w:val="003C5FF6"/>
    <w:rsid w:val="003C7F50"/>
    <w:rsid w:val="003D0179"/>
    <w:rsid w:val="003D0A0C"/>
    <w:rsid w:val="003D0A18"/>
    <w:rsid w:val="003D0F3E"/>
    <w:rsid w:val="003D1C1D"/>
    <w:rsid w:val="003D1C70"/>
    <w:rsid w:val="003D2BAD"/>
    <w:rsid w:val="003D64D0"/>
    <w:rsid w:val="003D6867"/>
    <w:rsid w:val="003D708F"/>
    <w:rsid w:val="003D71AA"/>
    <w:rsid w:val="003D73B0"/>
    <w:rsid w:val="003D793F"/>
    <w:rsid w:val="003D7B42"/>
    <w:rsid w:val="003E035C"/>
    <w:rsid w:val="003E080C"/>
    <w:rsid w:val="003E2311"/>
    <w:rsid w:val="003E3C20"/>
    <w:rsid w:val="003E51D0"/>
    <w:rsid w:val="003E5958"/>
    <w:rsid w:val="003E61A3"/>
    <w:rsid w:val="003E65EA"/>
    <w:rsid w:val="003E6A0B"/>
    <w:rsid w:val="003E6FC9"/>
    <w:rsid w:val="003E7ED5"/>
    <w:rsid w:val="003F0235"/>
    <w:rsid w:val="003F10D7"/>
    <w:rsid w:val="003F17D0"/>
    <w:rsid w:val="003F1B75"/>
    <w:rsid w:val="003F2601"/>
    <w:rsid w:val="003F2BE5"/>
    <w:rsid w:val="003F2F53"/>
    <w:rsid w:val="003F3BC5"/>
    <w:rsid w:val="003F3C84"/>
    <w:rsid w:val="003F440B"/>
    <w:rsid w:val="003F44F8"/>
    <w:rsid w:val="003F5C4F"/>
    <w:rsid w:val="003F6219"/>
    <w:rsid w:val="003F6C58"/>
    <w:rsid w:val="003F6C6D"/>
    <w:rsid w:val="003F6D3B"/>
    <w:rsid w:val="003F70F7"/>
    <w:rsid w:val="004000F3"/>
    <w:rsid w:val="00400FEB"/>
    <w:rsid w:val="00401C3C"/>
    <w:rsid w:val="0040244B"/>
    <w:rsid w:val="00402EFF"/>
    <w:rsid w:val="004035D5"/>
    <w:rsid w:val="004048EA"/>
    <w:rsid w:val="00404EA4"/>
    <w:rsid w:val="00405A4F"/>
    <w:rsid w:val="004070A7"/>
    <w:rsid w:val="00407A33"/>
    <w:rsid w:val="00407E7C"/>
    <w:rsid w:val="004107F8"/>
    <w:rsid w:val="004112DC"/>
    <w:rsid w:val="004114E6"/>
    <w:rsid w:val="00411979"/>
    <w:rsid w:val="004126DF"/>
    <w:rsid w:val="00412CB4"/>
    <w:rsid w:val="00412F20"/>
    <w:rsid w:val="00414535"/>
    <w:rsid w:val="00414F44"/>
    <w:rsid w:val="0041713E"/>
    <w:rsid w:val="004176E1"/>
    <w:rsid w:val="00417862"/>
    <w:rsid w:val="00417AB4"/>
    <w:rsid w:val="00417D54"/>
    <w:rsid w:val="004200BD"/>
    <w:rsid w:val="00420DE8"/>
    <w:rsid w:val="004219CC"/>
    <w:rsid w:val="004223FC"/>
    <w:rsid w:val="004226C5"/>
    <w:rsid w:val="00422EBE"/>
    <w:rsid w:val="004232A7"/>
    <w:rsid w:val="00423384"/>
    <w:rsid w:val="00423658"/>
    <w:rsid w:val="00423754"/>
    <w:rsid w:val="0042397E"/>
    <w:rsid w:val="00423D8C"/>
    <w:rsid w:val="004258CB"/>
    <w:rsid w:val="00425C2B"/>
    <w:rsid w:val="004267F5"/>
    <w:rsid w:val="00426F08"/>
    <w:rsid w:val="004273C9"/>
    <w:rsid w:val="004279FD"/>
    <w:rsid w:val="004307C0"/>
    <w:rsid w:val="00431DF3"/>
    <w:rsid w:val="00432129"/>
    <w:rsid w:val="0043326D"/>
    <w:rsid w:val="00433F78"/>
    <w:rsid w:val="0043494D"/>
    <w:rsid w:val="00434BAC"/>
    <w:rsid w:val="004355F1"/>
    <w:rsid w:val="004369AB"/>
    <w:rsid w:val="00437285"/>
    <w:rsid w:val="00440303"/>
    <w:rsid w:val="00440A45"/>
    <w:rsid w:val="004427D1"/>
    <w:rsid w:val="0044310E"/>
    <w:rsid w:val="004435A2"/>
    <w:rsid w:val="004435D6"/>
    <w:rsid w:val="004436D7"/>
    <w:rsid w:val="00443D0F"/>
    <w:rsid w:val="00446728"/>
    <w:rsid w:val="0044673E"/>
    <w:rsid w:val="004468A5"/>
    <w:rsid w:val="004503E0"/>
    <w:rsid w:val="00450E9D"/>
    <w:rsid w:val="00451111"/>
    <w:rsid w:val="0045195C"/>
    <w:rsid w:val="00451D25"/>
    <w:rsid w:val="00452097"/>
    <w:rsid w:val="004527BC"/>
    <w:rsid w:val="00454D09"/>
    <w:rsid w:val="004555B0"/>
    <w:rsid w:val="00456152"/>
    <w:rsid w:val="004561FA"/>
    <w:rsid w:val="004575CA"/>
    <w:rsid w:val="00461BA0"/>
    <w:rsid w:val="0046297C"/>
    <w:rsid w:val="004629DD"/>
    <w:rsid w:val="00463B48"/>
    <w:rsid w:val="00464C2C"/>
    <w:rsid w:val="004651A3"/>
    <w:rsid w:val="00465C12"/>
    <w:rsid w:val="00467DF6"/>
    <w:rsid w:val="0047014B"/>
    <w:rsid w:val="00472330"/>
    <w:rsid w:val="00472B15"/>
    <w:rsid w:val="0047310C"/>
    <w:rsid w:val="004734DC"/>
    <w:rsid w:val="0047357B"/>
    <w:rsid w:val="004744E6"/>
    <w:rsid w:val="0047590C"/>
    <w:rsid w:val="00475A36"/>
    <w:rsid w:val="0047678A"/>
    <w:rsid w:val="00476A17"/>
    <w:rsid w:val="00477ADB"/>
    <w:rsid w:val="00477C2A"/>
    <w:rsid w:val="00480110"/>
    <w:rsid w:val="0048021C"/>
    <w:rsid w:val="00480C74"/>
    <w:rsid w:val="00483662"/>
    <w:rsid w:val="0048370C"/>
    <w:rsid w:val="004839D2"/>
    <w:rsid w:val="004843A5"/>
    <w:rsid w:val="00484540"/>
    <w:rsid w:val="00484E4B"/>
    <w:rsid w:val="004852BF"/>
    <w:rsid w:val="004855D4"/>
    <w:rsid w:val="004856F9"/>
    <w:rsid w:val="00485F38"/>
    <w:rsid w:val="004870FD"/>
    <w:rsid w:val="00487DEB"/>
    <w:rsid w:val="004903DD"/>
    <w:rsid w:val="00491A37"/>
    <w:rsid w:val="004932D3"/>
    <w:rsid w:val="00493A3B"/>
    <w:rsid w:val="0049504E"/>
    <w:rsid w:val="004955E3"/>
    <w:rsid w:val="00495F5C"/>
    <w:rsid w:val="00497105"/>
    <w:rsid w:val="004971B0"/>
    <w:rsid w:val="004A0984"/>
    <w:rsid w:val="004A112B"/>
    <w:rsid w:val="004A2A16"/>
    <w:rsid w:val="004A2C0F"/>
    <w:rsid w:val="004A32F7"/>
    <w:rsid w:val="004A3943"/>
    <w:rsid w:val="004A4DF3"/>
    <w:rsid w:val="004A6BAB"/>
    <w:rsid w:val="004B0945"/>
    <w:rsid w:val="004B1C98"/>
    <w:rsid w:val="004B2153"/>
    <w:rsid w:val="004B3B92"/>
    <w:rsid w:val="004B434F"/>
    <w:rsid w:val="004B481D"/>
    <w:rsid w:val="004B5D53"/>
    <w:rsid w:val="004B733C"/>
    <w:rsid w:val="004B755A"/>
    <w:rsid w:val="004B7B04"/>
    <w:rsid w:val="004C0353"/>
    <w:rsid w:val="004C2919"/>
    <w:rsid w:val="004C2BF5"/>
    <w:rsid w:val="004C2C63"/>
    <w:rsid w:val="004C2E74"/>
    <w:rsid w:val="004C3904"/>
    <w:rsid w:val="004C3BFD"/>
    <w:rsid w:val="004C3D5D"/>
    <w:rsid w:val="004C5389"/>
    <w:rsid w:val="004C5EB0"/>
    <w:rsid w:val="004C6951"/>
    <w:rsid w:val="004C73E4"/>
    <w:rsid w:val="004C7621"/>
    <w:rsid w:val="004D2378"/>
    <w:rsid w:val="004D2939"/>
    <w:rsid w:val="004D2E3F"/>
    <w:rsid w:val="004D3383"/>
    <w:rsid w:val="004D3F9F"/>
    <w:rsid w:val="004D5964"/>
    <w:rsid w:val="004D5B92"/>
    <w:rsid w:val="004D6250"/>
    <w:rsid w:val="004D709E"/>
    <w:rsid w:val="004D715D"/>
    <w:rsid w:val="004D77D3"/>
    <w:rsid w:val="004D79B4"/>
    <w:rsid w:val="004D7CBF"/>
    <w:rsid w:val="004D7F8A"/>
    <w:rsid w:val="004E06A7"/>
    <w:rsid w:val="004E06CD"/>
    <w:rsid w:val="004E1001"/>
    <w:rsid w:val="004E1105"/>
    <w:rsid w:val="004E1241"/>
    <w:rsid w:val="004E1FE8"/>
    <w:rsid w:val="004E2E4D"/>
    <w:rsid w:val="004E315A"/>
    <w:rsid w:val="004E3B94"/>
    <w:rsid w:val="004E45D8"/>
    <w:rsid w:val="004E4622"/>
    <w:rsid w:val="004E4ED8"/>
    <w:rsid w:val="004E5AF5"/>
    <w:rsid w:val="004E604E"/>
    <w:rsid w:val="004E6209"/>
    <w:rsid w:val="004E6246"/>
    <w:rsid w:val="004F0035"/>
    <w:rsid w:val="004F146B"/>
    <w:rsid w:val="004F1AB4"/>
    <w:rsid w:val="004F2E88"/>
    <w:rsid w:val="004F3577"/>
    <w:rsid w:val="004F44E9"/>
    <w:rsid w:val="004F455F"/>
    <w:rsid w:val="004F4D18"/>
    <w:rsid w:val="004F4FE1"/>
    <w:rsid w:val="004F5C1C"/>
    <w:rsid w:val="004F6198"/>
    <w:rsid w:val="004F626A"/>
    <w:rsid w:val="004F6460"/>
    <w:rsid w:val="004F6D69"/>
    <w:rsid w:val="004F6EAD"/>
    <w:rsid w:val="004F6F3F"/>
    <w:rsid w:val="005007CE"/>
    <w:rsid w:val="005014F8"/>
    <w:rsid w:val="005015D4"/>
    <w:rsid w:val="00501B2C"/>
    <w:rsid w:val="005022B8"/>
    <w:rsid w:val="0050299D"/>
    <w:rsid w:val="00502A8B"/>
    <w:rsid w:val="00502CF5"/>
    <w:rsid w:val="00502F16"/>
    <w:rsid w:val="00503C8B"/>
    <w:rsid w:val="005048C3"/>
    <w:rsid w:val="00504C32"/>
    <w:rsid w:val="00505E86"/>
    <w:rsid w:val="00507579"/>
    <w:rsid w:val="0051345F"/>
    <w:rsid w:val="00513DD6"/>
    <w:rsid w:val="005151E2"/>
    <w:rsid w:val="00515A58"/>
    <w:rsid w:val="00515C53"/>
    <w:rsid w:val="005164A5"/>
    <w:rsid w:val="00516FE5"/>
    <w:rsid w:val="00517620"/>
    <w:rsid w:val="00517876"/>
    <w:rsid w:val="00517FC3"/>
    <w:rsid w:val="005206E3"/>
    <w:rsid w:val="00521819"/>
    <w:rsid w:val="005226CC"/>
    <w:rsid w:val="00522DB3"/>
    <w:rsid w:val="005230F5"/>
    <w:rsid w:val="0052316C"/>
    <w:rsid w:val="00524464"/>
    <w:rsid w:val="00524A2B"/>
    <w:rsid w:val="00524AA2"/>
    <w:rsid w:val="005257E3"/>
    <w:rsid w:val="005260F6"/>
    <w:rsid w:val="00526353"/>
    <w:rsid w:val="005263AD"/>
    <w:rsid w:val="00526E73"/>
    <w:rsid w:val="00530038"/>
    <w:rsid w:val="0053313F"/>
    <w:rsid w:val="00533623"/>
    <w:rsid w:val="00533882"/>
    <w:rsid w:val="00534483"/>
    <w:rsid w:val="00534793"/>
    <w:rsid w:val="00535188"/>
    <w:rsid w:val="00535CAF"/>
    <w:rsid w:val="00536291"/>
    <w:rsid w:val="00536773"/>
    <w:rsid w:val="00536A06"/>
    <w:rsid w:val="0053752F"/>
    <w:rsid w:val="00537A88"/>
    <w:rsid w:val="00540427"/>
    <w:rsid w:val="00540D85"/>
    <w:rsid w:val="005410DE"/>
    <w:rsid w:val="00541904"/>
    <w:rsid w:val="00541C0F"/>
    <w:rsid w:val="0054261F"/>
    <w:rsid w:val="00543539"/>
    <w:rsid w:val="00544309"/>
    <w:rsid w:val="00544C1B"/>
    <w:rsid w:val="0054607B"/>
    <w:rsid w:val="00546C64"/>
    <w:rsid w:val="00551FA4"/>
    <w:rsid w:val="0055232B"/>
    <w:rsid w:val="005533F6"/>
    <w:rsid w:val="005538B5"/>
    <w:rsid w:val="005560C0"/>
    <w:rsid w:val="00556F75"/>
    <w:rsid w:val="00557D23"/>
    <w:rsid w:val="00560D85"/>
    <w:rsid w:val="00561926"/>
    <w:rsid w:val="00561990"/>
    <w:rsid w:val="005623B2"/>
    <w:rsid w:val="0056357C"/>
    <w:rsid w:val="00563F5A"/>
    <w:rsid w:val="005641B7"/>
    <w:rsid w:val="0056498F"/>
    <w:rsid w:val="00566077"/>
    <w:rsid w:val="00567760"/>
    <w:rsid w:val="00567B4E"/>
    <w:rsid w:val="00567F0B"/>
    <w:rsid w:val="005701C0"/>
    <w:rsid w:val="00571000"/>
    <w:rsid w:val="00571DA3"/>
    <w:rsid w:val="00572167"/>
    <w:rsid w:val="005733AE"/>
    <w:rsid w:val="005747E7"/>
    <w:rsid w:val="005759FC"/>
    <w:rsid w:val="00576305"/>
    <w:rsid w:val="005763E3"/>
    <w:rsid w:val="005771CD"/>
    <w:rsid w:val="0058018C"/>
    <w:rsid w:val="005810D7"/>
    <w:rsid w:val="00581BC6"/>
    <w:rsid w:val="0058212B"/>
    <w:rsid w:val="00583574"/>
    <w:rsid w:val="00583686"/>
    <w:rsid w:val="005836DD"/>
    <w:rsid w:val="00583CC7"/>
    <w:rsid w:val="00584ED7"/>
    <w:rsid w:val="0058501C"/>
    <w:rsid w:val="00585091"/>
    <w:rsid w:val="005856AA"/>
    <w:rsid w:val="005859E7"/>
    <w:rsid w:val="00587A11"/>
    <w:rsid w:val="00590307"/>
    <w:rsid w:val="0059078D"/>
    <w:rsid w:val="0059091F"/>
    <w:rsid w:val="0059097A"/>
    <w:rsid w:val="005915F5"/>
    <w:rsid w:val="00591673"/>
    <w:rsid w:val="005933CD"/>
    <w:rsid w:val="005957D8"/>
    <w:rsid w:val="0059593F"/>
    <w:rsid w:val="00595D23"/>
    <w:rsid w:val="005964E5"/>
    <w:rsid w:val="005A07B0"/>
    <w:rsid w:val="005A1C5F"/>
    <w:rsid w:val="005A1FB6"/>
    <w:rsid w:val="005A20B3"/>
    <w:rsid w:val="005A2DD2"/>
    <w:rsid w:val="005A36F0"/>
    <w:rsid w:val="005A4E9F"/>
    <w:rsid w:val="005A53D7"/>
    <w:rsid w:val="005A6F39"/>
    <w:rsid w:val="005A7859"/>
    <w:rsid w:val="005A7DC0"/>
    <w:rsid w:val="005B1B4D"/>
    <w:rsid w:val="005B255F"/>
    <w:rsid w:val="005B3F01"/>
    <w:rsid w:val="005B4081"/>
    <w:rsid w:val="005B4299"/>
    <w:rsid w:val="005B467C"/>
    <w:rsid w:val="005B5111"/>
    <w:rsid w:val="005B5B3C"/>
    <w:rsid w:val="005B648D"/>
    <w:rsid w:val="005B6618"/>
    <w:rsid w:val="005B76C1"/>
    <w:rsid w:val="005B772A"/>
    <w:rsid w:val="005C05C1"/>
    <w:rsid w:val="005C0D6F"/>
    <w:rsid w:val="005C0E0C"/>
    <w:rsid w:val="005C1ADA"/>
    <w:rsid w:val="005C3A37"/>
    <w:rsid w:val="005C3B99"/>
    <w:rsid w:val="005C3BB0"/>
    <w:rsid w:val="005C4980"/>
    <w:rsid w:val="005C5313"/>
    <w:rsid w:val="005C5A4E"/>
    <w:rsid w:val="005C6304"/>
    <w:rsid w:val="005C6BB7"/>
    <w:rsid w:val="005C742B"/>
    <w:rsid w:val="005D096F"/>
    <w:rsid w:val="005D1185"/>
    <w:rsid w:val="005D168F"/>
    <w:rsid w:val="005D358F"/>
    <w:rsid w:val="005D3661"/>
    <w:rsid w:val="005D44C3"/>
    <w:rsid w:val="005D48CD"/>
    <w:rsid w:val="005D4D01"/>
    <w:rsid w:val="005D4F9D"/>
    <w:rsid w:val="005D58C0"/>
    <w:rsid w:val="005D626D"/>
    <w:rsid w:val="005D7521"/>
    <w:rsid w:val="005E02C4"/>
    <w:rsid w:val="005E048A"/>
    <w:rsid w:val="005E0978"/>
    <w:rsid w:val="005E0B33"/>
    <w:rsid w:val="005E1ADF"/>
    <w:rsid w:val="005E1CBD"/>
    <w:rsid w:val="005E1EF8"/>
    <w:rsid w:val="005E33D7"/>
    <w:rsid w:val="005E36E9"/>
    <w:rsid w:val="005E3B6A"/>
    <w:rsid w:val="005E4238"/>
    <w:rsid w:val="005E49EB"/>
    <w:rsid w:val="005E4C2A"/>
    <w:rsid w:val="005E537D"/>
    <w:rsid w:val="005E70B4"/>
    <w:rsid w:val="005E78CB"/>
    <w:rsid w:val="005E7AEC"/>
    <w:rsid w:val="005E7C76"/>
    <w:rsid w:val="005E7D94"/>
    <w:rsid w:val="005F0BDD"/>
    <w:rsid w:val="005F0E52"/>
    <w:rsid w:val="005F22CB"/>
    <w:rsid w:val="005F24A4"/>
    <w:rsid w:val="005F2919"/>
    <w:rsid w:val="005F3D88"/>
    <w:rsid w:val="005F40A5"/>
    <w:rsid w:val="005F481F"/>
    <w:rsid w:val="005F489A"/>
    <w:rsid w:val="005F4CFF"/>
    <w:rsid w:val="005F5B84"/>
    <w:rsid w:val="005F72C8"/>
    <w:rsid w:val="005F76DC"/>
    <w:rsid w:val="006004C2"/>
    <w:rsid w:val="0060086F"/>
    <w:rsid w:val="00600FE2"/>
    <w:rsid w:val="00601168"/>
    <w:rsid w:val="006107A1"/>
    <w:rsid w:val="00610986"/>
    <w:rsid w:val="0061158E"/>
    <w:rsid w:val="006117FF"/>
    <w:rsid w:val="00613105"/>
    <w:rsid w:val="00615363"/>
    <w:rsid w:val="006153C6"/>
    <w:rsid w:val="0061563C"/>
    <w:rsid w:val="006156A3"/>
    <w:rsid w:val="006158EF"/>
    <w:rsid w:val="00615AD7"/>
    <w:rsid w:val="006160C6"/>
    <w:rsid w:val="0061638C"/>
    <w:rsid w:val="006166EB"/>
    <w:rsid w:val="00616EFF"/>
    <w:rsid w:val="00617768"/>
    <w:rsid w:val="006207CD"/>
    <w:rsid w:val="00620DA4"/>
    <w:rsid w:val="006217D5"/>
    <w:rsid w:val="006223F2"/>
    <w:rsid w:val="0062240F"/>
    <w:rsid w:val="00625E93"/>
    <w:rsid w:val="006302B2"/>
    <w:rsid w:val="006310B7"/>
    <w:rsid w:val="00631A9B"/>
    <w:rsid w:val="00632812"/>
    <w:rsid w:val="00633306"/>
    <w:rsid w:val="00633509"/>
    <w:rsid w:val="006340E9"/>
    <w:rsid w:val="00634618"/>
    <w:rsid w:val="00634DB8"/>
    <w:rsid w:val="00634F1E"/>
    <w:rsid w:val="006354A8"/>
    <w:rsid w:val="00635B62"/>
    <w:rsid w:val="006376BA"/>
    <w:rsid w:val="00641499"/>
    <w:rsid w:val="00641959"/>
    <w:rsid w:val="006424AD"/>
    <w:rsid w:val="006424D2"/>
    <w:rsid w:val="00642F5F"/>
    <w:rsid w:val="006451AD"/>
    <w:rsid w:val="00645BD2"/>
    <w:rsid w:val="00646CF9"/>
    <w:rsid w:val="00646E39"/>
    <w:rsid w:val="00647E14"/>
    <w:rsid w:val="00653029"/>
    <w:rsid w:val="006530AF"/>
    <w:rsid w:val="0065316E"/>
    <w:rsid w:val="00653173"/>
    <w:rsid w:val="006531F0"/>
    <w:rsid w:val="00654C13"/>
    <w:rsid w:val="006550D3"/>
    <w:rsid w:val="006553CD"/>
    <w:rsid w:val="0065604B"/>
    <w:rsid w:val="006610FA"/>
    <w:rsid w:val="006622AD"/>
    <w:rsid w:val="00662436"/>
    <w:rsid w:val="0066380E"/>
    <w:rsid w:val="006639C4"/>
    <w:rsid w:val="0066475D"/>
    <w:rsid w:val="00664E56"/>
    <w:rsid w:val="00665B30"/>
    <w:rsid w:val="006661DD"/>
    <w:rsid w:val="0066657C"/>
    <w:rsid w:val="006674F4"/>
    <w:rsid w:val="00667875"/>
    <w:rsid w:val="00667E08"/>
    <w:rsid w:val="00671072"/>
    <w:rsid w:val="006716E7"/>
    <w:rsid w:val="006725DA"/>
    <w:rsid w:val="006727C2"/>
    <w:rsid w:val="0067438D"/>
    <w:rsid w:val="0067628B"/>
    <w:rsid w:val="006765B4"/>
    <w:rsid w:val="006765C7"/>
    <w:rsid w:val="006772D8"/>
    <w:rsid w:val="006775DA"/>
    <w:rsid w:val="00677CCE"/>
    <w:rsid w:val="00681076"/>
    <w:rsid w:val="0068166D"/>
    <w:rsid w:val="00683266"/>
    <w:rsid w:val="0068471E"/>
    <w:rsid w:val="00684A00"/>
    <w:rsid w:val="00684D6A"/>
    <w:rsid w:val="00685137"/>
    <w:rsid w:val="00685797"/>
    <w:rsid w:val="00685E73"/>
    <w:rsid w:val="00686721"/>
    <w:rsid w:val="00687280"/>
    <w:rsid w:val="00687FC9"/>
    <w:rsid w:val="0069129D"/>
    <w:rsid w:val="00691792"/>
    <w:rsid w:val="00691E65"/>
    <w:rsid w:val="0069245B"/>
    <w:rsid w:val="00692C29"/>
    <w:rsid w:val="0069302F"/>
    <w:rsid w:val="00694C45"/>
    <w:rsid w:val="00694FBE"/>
    <w:rsid w:val="0069616B"/>
    <w:rsid w:val="00696433"/>
    <w:rsid w:val="00696AFA"/>
    <w:rsid w:val="00697004"/>
    <w:rsid w:val="00697017"/>
    <w:rsid w:val="00697441"/>
    <w:rsid w:val="00697C1D"/>
    <w:rsid w:val="006A085E"/>
    <w:rsid w:val="006A0961"/>
    <w:rsid w:val="006A16DF"/>
    <w:rsid w:val="006A1B52"/>
    <w:rsid w:val="006A272C"/>
    <w:rsid w:val="006A2A08"/>
    <w:rsid w:val="006A35D0"/>
    <w:rsid w:val="006A3E50"/>
    <w:rsid w:val="006A513B"/>
    <w:rsid w:val="006A5323"/>
    <w:rsid w:val="006A65A3"/>
    <w:rsid w:val="006A6CE2"/>
    <w:rsid w:val="006B0C49"/>
    <w:rsid w:val="006B2AFE"/>
    <w:rsid w:val="006B2B1E"/>
    <w:rsid w:val="006B2D61"/>
    <w:rsid w:val="006B2F5E"/>
    <w:rsid w:val="006B31E4"/>
    <w:rsid w:val="006B6115"/>
    <w:rsid w:val="006B6448"/>
    <w:rsid w:val="006B666A"/>
    <w:rsid w:val="006B671A"/>
    <w:rsid w:val="006B6E39"/>
    <w:rsid w:val="006B71CE"/>
    <w:rsid w:val="006C17FA"/>
    <w:rsid w:val="006C1890"/>
    <w:rsid w:val="006C1BAD"/>
    <w:rsid w:val="006C1F6A"/>
    <w:rsid w:val="006C2473"/>
    <w:rsid w:val="006C3020"/>
    <w:rsid w:val="006C336E"/>
    <w:rsid w:val="006C5F28"/>
    <w:rsid w:val="006C60CE"/>
    <w:rsid w:val="006C6A15"/>
    <w:rsid w:val="006C6D8A"/>
    <w:rsid w:val="006C79FF"/>
    <w:rsid w:val="006C7CF9"/>
    <w:rsid w:val="006D02EB"/>
    <w:rsid w:val="006D0546"/>
    <w:rsid w:val="006D0B20"/>
    <w:rsid w:val="006D182F"/>
    <w:rsid w:val="006D26C4"/>
    <w:rsid w:val="006D2D59"/>
    <w:rsid w:val="006D3E83"/>
    <w:rsid w:val="006D45E4"/>
    <w:rsid w:val="006D5446"/>
    <w:rsid w:val="006D5BD0"/>
    <w:rsid w:val="006D5D5D"/>
    <w:rsid w:val="006D6D1F"/>
    <w:rsid w:val="006D710D"/>
    <w:rsid w:val="006E1525"/>
    <w:rsid w:val="006E1629"/>
    <w:rsid w:val="006E479E"/>
    <w:rsid w:val="006E563A"/>
    <w:rsid w:val="006E563B"/>
    <w:rsid w:val="006E5D05"/>
    <w:rsid w:val="006E6B86"/>
    <w:rsid w:val="006E6D18"/>
    <w:rsid w:val="006E738D"/>
    <w:rsid w:val="006E74E9"/>
    <w:rsid w:val="006E7D04"/>
    <w:rsid w:val="006E7F65"/>
    <w:rsid w:val="006F0111"/>
    <w:rsid w:val="006F204B"/>
    <w:rsid w:val="006F22CD"/>
    <w:rsid w:val="006F2CE1"/>
    <w:rsid w:val="006F44FB"/>
    <w:rsid w:val="006F45F2"/>
    <w:rsid w:val="006F4A92"/>
    <w:rsid w:val="006F4C5A"/>
    <w:rsid w:val="006F4EAA"/>
    <w:rsid w:val="006F5379"/>
    <w:rsid w:val="006F7BA0"/>
    <w:rsid w:val="007005BB"/>
    <w:rsid w:val="00702194"/>
    <w:rsid w:val="0070239E"/>
    <w:rsid w:val="0070263B"/>
    <w:rsid w:val="00702C9C"/>
    <w:rsid w:val="00702EB3"/>
    <w:rsid w:val="007030B2"/>
    <w:rsid w:val="00703641"/>
    <w:rsid w:val="0070390F"/>
    <w:rsid w:val="00703FF4"/>
    <w:rsid w:val="0070559D"/>
    <w:rsid w:val="00705A38"/>
    <w:rsid w:val="0070677A"/>
    <w:rsid w:val="0070688F"/>
    <w:rsid w:val="0070745E"/>
    <w:rsid w:val="00707880"/>
    <w:rsid w:val="007115D6"/>
    <w:rsid w:val="007115F4"/>
    <w:rsid w:val="00711AF1"/>
    <w:rsid w:val="00711C57"/>
    <w:rsid w:val="00712103"/>
    <w:rsid w:val="007128BB"/>
    <w:rsid w:val="007129FD"/>
    <w:rsid w:val="007137DB"/>
    <w:rsid w:val="00713C48"/>
    <w:rsid w:val="00713E57"/>
    <w:rsid w:val="00714436"/>
    <w:rsid w:val="0071486B"/>
    <w:rsid w:val="007148C8"/>
    <w:rsid w:val="0071529A"/>
    <w:rsid w:val="007153CD"/>
    <w:rsid w:val="007153DB"/>
    <w:rsid w:val="007159B4"/>
    <w:rsid w:val="00716E08"/>
    <w:rsid w:val="0071741C"/>
    <w:rsid w:val="00717671"/>
    <w:rsid w:val="00717DF8"/>
    <w:rsid w:val="00720260"/>
    <w:rsid w:val="00720B8A"/>
    <w:rsid w:val="007211C4"/>
    <w:rsid w:val="00721219"/>
    <w:rsid w:val="007213E9"/>
    <w:rsid w:val="007224DC"/>
    <w:rsid w:val="0072382E"/>
    <w:rsid w:val="00723A11"/>
    <w:rsid w:val="00723AEE"/>
    <w:rsid w:val="00723F6B"/>
    <w:rsid w:val="0072434B"/>
    <w:rsid w:val="00724C2A"/>
    <w:rsid w:val="007260F1"/>
    <w:rsid w:val="007311A8"/>
    <w:rsid w:val="0073122E"/>
    <w:rsid w:val="00731FEE"/>
    <w:rsid w:val="00732C6C"/>
    <w:rsid w:val="00733E6F"/>
    <w:rsid w:val="007343A2"/>
    <w:rsid w:val="0073504E"/>
    <w:rsid w:val="007355E8"/>
    <w:rsid w:val="007362B9"/>
    <w:rsid w:val="00736465"/>
    <w:rsid w:val="007375A9"/>
    <w:rsid w:val="007376C6"/>
    <w:rsid w:val="00737D18"/>
    <w:rsid w:val="00740851"/>
    <w:rsid w:val="00741196"/>
    <w:rsid w:val="00741272"/>
    <w:rsid w:val="007413AC"/>
    <w:rsid w:val="00742140"/>
    <w:rsid w:val="007423B7"/>
    <w:rsid w:val="00742538"/>
    <w:rsid w:val="00742E13"/>
    <w:rsid w:val="00743F09"/>
    <w:rsid w:val="00745259"/>
    <w:rsid w:val="00745594"/>
    <w:rsid w:val="00745E49"/>
    <w:rsid w:val="00747047"/>
    <w:rsid w:val="0074710B"/>
    <w:rsid w:val="00747E64"/>
    <w:rsid w:val="0075134C"/>
    <w:rsid w:val="0075210B"/>
    <w:rsid w:val="007526C8"/>
    <w:rsid w:val="007529A4"/>
    <w:rsid w:val="0075344A"/>
    <w:rsid w:val="00753644"/>
    <w:rsid w:val="00753C44"/>
    <w:rsid w:val="00753D93"/>
    <w:rsid w:val="007545BA"/>
    <w:rsid w:val="007557A7"/>
    <w:rsid w:val="00755D2D"/>
    <w:rsid w:val="0075632E"/>
    <w:rsid w:val="0075668B"/>
    <w:rsid w:val="00757204"/>
    <w:rsid w:val="00760ADA"/>
    <w:rsid w:val="00762716"/>
    <w:rsid w:val="00764E39"/>
    <w:rsid w:val="00765679"/>
    <w:rsid w:val="007668BE"/>
    <w:rsid w:val="007676C4"/>
    <w:rsid w:val="00767816"/>
    <w:rsid w:val="00767E89"/>
    <w:rsid w:val="007701C3"/>
    <w:rsid w:val="007710B5"/>
    <w:rsid w:val="00771449"/>
    <w:rsid w:val="00771C24"/>
    <w:rsid w:val="00771FE6"/>
    <w:rsid w:val="00772E99"/>
    <w:rsid w:val="00773F52"/>
    <w:rsid w:val="00775A55"/>
    <w:rsid w:val="007762F7"/>
    <w:rsid w:val="00776374"/>
    <w:rsid w:val="00776E86"/>
    <w:rsid w:val="00776EA1"/>
    <w:rsid w:val="007770F3"/>
    <w:rsid w:val="00777357"/>
    <w:rsid w:val="0077765C"/>
    <w:rsid w:val="0078026F"/>
    <w:rsid w:val="007805E4"/>
    <w:rsid w:val="00780892"/>
    <w:rsid w:val="00780FAB"/>
    <w:rsid w:val="0078101B"/>
    <w:rsid w:val="00781570"/>
    <w:rsid w:val="00781E7F"/>
    <w:rsid w:val="00782B5F"/>
    <w:rsid w:val="00782C57"/>
    <w:rsid w:val="00782EA6"/>
    <w:rsid w:val="00783195"/>
    <w:rsid w:val="007834D0"/>
    <w:rsid w:val="0078393A"/>
    <w:rsid w:val="007839E4"/>
    <w:rsid w:val="00784F81"/>
    <w:rsid w:val="00786022"/>
    <w:rsid w:val="007873E9"/>
    <w:rsid w:val="00787770"/>
    <w:rsid w:val="007901F3"/>
    <w:rsid w:val="007909BB"/>
    <w:rsid w:val="007909BD"/>
    <w:rsid w:val="00791BD1"/>
    <w:rsid w:val="0079309A"/>
    <w:rsid w:val="00793472"/>
    <w:rsid w:val="00793BC5"/>
    <w:rsid w:val="00794CFE"/>
    <w:rsid w:val="00795DC0"/>
    <w:rsid w:val="00797269"/>
    <w:rsid w:val="007A11A0"/>
    <w:rsid w:val="007A16CC"/>
    <w:rsid w:val="007A2A13"/>
    <w:rsid w:val="007A2A31"/>
    <w:rsid w:val="007A3E76"/>
    <w:rsid w:val="007A4E62"/>
    <w:rsid w:val="007A510F"/>
    <w:rsid w:val="007A611E"/>
    <w:rsid w:val="007A6ECB"/>
    <w:rsid w:val="007B14F8"/>
    <w:rsid w:val="007B1B26"/>
    <w:rsid w:val="007B23C5"/>
    <w:rsid w:val="007B2690"/>
    <w:rsid w:val="007B2997"/>
    <w:rsid w:val="007B452C"/>
    <w:rsid w:val="007B7142"/>
    <w:rsid w:val="007B7188"/>
    <w:rsid w:val="007B725D"/>
    <w:rsid w:val="007C0E8A"/>
    <w:rsid w:val="007C1077"/>
    <w:rsid w:val="007C14B4"/>
    <w:rsid w:val="007C2A8D"/>
    <w:rsid w:val="007C3256"/>
    <w:rsid w:val="007C4848"/>
    <w:rsid w:val="007C4FFE"/>
    <w:rsid w:val="007C5FEA"/>
    <w:rsid w:val="007C6168"/>
    <w:rsid w:val="007C6AF9"/>
    <w:rsid w:val="007C7B92"/>
    <w:rsid w:val="007D08F3"/>
    <w:rsid w:val="007D09C0"/>
    <w:rsid w:val="007D11F8"/>
    <w:rsid w:val="007D1512"/>
    <w:rsid w:val="007D2392"/>
    <w:rsid w:val="007D2D25"/>
    <w:rsid w:val="007D33E4"/>
    <w:rsid w:val="007D3C0F"/>
    <w:rsid w:val="007D4F90"/>
    <w:rsid w:val="007D577E"/>
    <w:rsid w:val="007D6289"/>
    <w:rsid w:val="007D68A2"/>
    <w:rsid w:val="007D6973"/>
    <w:rsid w:val="007D6C6F"/>
    <w:rsid w:val="007D72D1"/>
    <w:rsid w:val="007D7440"/>
    <w:rsid w:val="007D745E"/>
    <w:rsid w:val="007D7CB0"/>
    <w:rsid w:val="007E0D5A"/>
    <w:rsid w:val="007E0D74"/>
    <w:rsid w:val="007E13EF"/>
    <w:rsid w:val="007E1AAE"/>
    <w:rsid w:val="007E232C"/>
    <w:rsid w:val="007E2518"/>
    <w:rsid w:val="007E291A"/>
    <w:rsid w:val="007E2A60"/>
    <w:rsid w:val="007E3438"/>
    <w:rsid w:val="007E59AD"/>
    <w:rsid w:val="007E5FB8"/>
    <w:rsid w:val="007E6A08"/>
    <w:rsid w:val="007E797A"/>
    <w:rsid w:val="007E7D49"/>
    <w:rsid w:val="007F1A2A"/>
    <w:rsid w:val="007F23B6"/>
    <w:rsid w:val="007F24C3"/>
    <w:rsid w:val="007F359B"/>
    <w:rsid w:val="007F3FC7"/>
    <w:rsid w:val="007F417C"/>
    <w:rsid w:val="007F41FA"/>
    <w:rsid w:val="007F5DA4"/>
    <w:rsid w:val="007F76C2"/>
    <w:rsid w:val="00800AAB"/>
    <w:rsid w:val="0080136D"/>
    <w:rsid w:val="00801B9D"/>
    <w:rsid w:val="00801DA4"/>
    <w:rsid w:val="00802867"/>
    <w:rsid w:val="00803068"/>
    <w:rsid w:val="00803313"/>
    <w:rsid w:val="00804C4B"/>
    <w:rsid w:val="00804DCB"/>
    <w:rsid w:val="0080562C"/>
    <w:rsid w:val="0080611D"/>
    <w:rsid w:val="00806BF1"/>
    <w:rsid w:val="00806D1C"/>
    <w:rsid w:val="00806F99"/>
    <w:rsid w:val="008071C2"/>
    <w:rsid w:val="0080721E"/>
    <w:rsid w:val="00807F58"/>
    <w:rsid w:val="008100E6"/>
    <w:rsid w:val="00812267"/>
    <w:rsid w:val="00814C1A"/>
    <w:rsid w:val="008153A0"/>
    <w:rsid w:val="008157E4"/>
    <w:rsid w:val="008164FF"/>
    <w:rsid w:val="00816B46"/>
    <w:rsid w:val="00817722"/>
    <w:rsid w:val="00820952"/>
    <w:rsid w:val="0082142B"/>
    <w:rsid w:val="008221A2"/>
    <w:rsid w:val="00823C5E"/>
    <w:rsid w:val="00824FC6"/>
    <w:rsid w:val="008257A7"/>
    <w:rsid w:val="00825979"/>
    <w:rsid w:val="00825AD9"/>
    <w:rsid w:val="00826169"/>
    <w:rsid w:val="0082748D"/>
    <w:rsid w:val="00831203"/>
    <w:rsid w:val="008319DA"/>
    <w:rsid w:val="00831A8A"/>
    <w:rsid w:val="00832177"/>
    <w:rsid w:val="00834A76"/>
    <w:rsid w:val="00834D37"/>
    <w:rsid w:val="00835885"/>
    <w:rsid w:val="00835BA8"/>
    <w:rsid w:val="00835E92"/>
    <w:rsid w:val="0083662A"/>
    <w:rsid w:val="008366BF"/>
    <w:rsid w:val="008366DC"/>
    <w:rsid w:val="00836918"/>
    <w:rsid w:val="008372EB"/>
    <w:rsid w:val="0083774A"/>
    <w:rsid w:val="00837CA8"/>
    <w:rsid w:val="00840422"/>
    <w:rsid w:val="008407DA"/>
    <w:rsid w:val="0084084E"/>
    <w:rsid w:val="00841034"/>
    <w:rsid w:val="008413C1"/>
    <w:rsid w:val="00845D99"/>
    <w:rsid w:val="008461B0"/>
    <w:rsid w:val="008471CE"/>
    <w:rsid w:val="00847A9F"/>
    <w:rsid w:val="008511B6"/>
    <w:rsid w:val="00851926"/>
    <w:rsid w:val="00851F20"/>
    <w:rsid w:val="00852913"/>
    <w:rsid w:val="00852C79"/>
    <w:rsid w:val="00853092"/>
    <w:rsid w:val="00854303"/>
    <w:rsid w:val="008544AB"/>
    <w:rsid w:val="00854DA0"/>
    <w:rsid w:val="00855BDE"/>
    <w:rsid w:val="00856771"/>
    <w:rsid w:val="00856E1E"/>
    <w:rsid w:val="00856E38"/>
    <w:rsid w:val="0085761C"/>
    <w:rsid w:val="00857E6D"/>
    <w:rsid w:val="0086036E"/>
    <w:rsid w:val="0086047A"/>
    <w:rsid w:val="008605A2"/>
    <w:rsid w:val="00860BFD"/>
    <w:rsid w:val="00860F9D"/>
    <w:rsid w:val="008631C8"/>
    <w:rsid w:val="008648EF"/>
    <w:rsid w:val="008663C9"/>
    <w:rsid w:val="0086676C"/>
    <w:rsid w:val="00866E48"/>
    <w:rsid w:val="008672F6"/>
    <w:rsid w:val="0086773C"/>
    <w:rsid w:val="00870692"/>
    <w:rsid w:val="008710AF"/>
    <w:rsid w:val="00871566"/>
    <w:rsid w:val="00871A19"/>
    <w:rsid w:val="00872204"/>
    <w:rsid w:val="00872AF3"/>
    <w:rsid w:val="00873094"/>
    <w:rsid w:val="00873663"/>
    <w:rsid w:val="008745DA"/>
    <w:rsid w:val="008747CB"/>
    <w:rsid w:val="00874E37"/>
    <w:rsid w:val="008754F1"/>
    <w:rsid w:val="0087561D"/>
    <w:rsid w:val="00882346"/>
    <w:rsid w:val="008832AD"/>
    <w:rsid w:val="00883FB3"/>
    <w:rsid w:val="00884067"/>
    <w:rsid w:val="00884704"/>
    <w:rsid w:val="00884A4C"/>
    <w:rsid w:val="00885047"/>
    <w:rsid w:val="00885179"/>
    <w:rsid w:val="008855A9"/>
    <w:rsid w:val="00887293"/>
    <w:rsid w:val="008877D1"/>
    <w:rsid w:val="00887D2C"/>
    <w:rsid w:val="00891C88"/>
    <w:rsid w:val="00892684"/>
    <w:rsid w:val="008935AD"/>
    <w:rsid w:val="00895374"/>
    <w:rsid w:val="0089553C"/>
    <w:rsid w:val="00895AD5"/>
    <w:rsid w:val="008970F1"/>
    <w:rsid w:val="008975B0"/>
    <w:rsid w:val="008976F8"/>
    <w:rsid w:val="008979CA"/>
    <w:rsid w:val="008A042F"/>
    <w:rsid w:val="008A0CB4"/>
    <w:rsid w:val="008A14B7"/>
    <w:rsid w:val="008A1FD2"/>
    <w:rsid w:val="008A3698"/>
    <w:rsid w:val="008A396E"/>
    <w:rsid w:val="008A62FE"/>
    <w:rsid w:val="008A6794"/>
    <w:rsid w:val="008A6C4D"/>
    <w:rsid w:val="008A6D51"/>
    <w:rsid w:val="008A70D2"/>
    <w:rsid w:val="008A79DD"/>
    <w:rsid w:val="008A7F71"/>
    <w:rsid w:val="008B02E5"/>
    <w:rsid w:val="008B055F"/>
    <w:rsid w:val="008B05D5"/>
    <w:rsid w:val="008B13FF"/>
    <w:rsid w:val="008B2095"/>
    <w:rsid w:val="008B2E58"/>
    <w:rsid w:val="008B3202"/>
    <w:rsid w:val="008B36AE"/>
    <w:rsid w:val="008B3AE2"/>
    <w:rsid w:val="008B65C9"/>
    <w:rsid w:val="008B668C"/>
    <w:rsid w:val="008B6E5B"/>
    <w:rsid w:val="008B6FAB"/>
    <w:rsid w:val="008B767F"/>
    <w:rsid w:val="008B7FF0"/>
    <w:rsid w:val="008C03BE"/>
    <w:rsid w:val="008C04E1"/>
    <w:rsid w:val="008C15CE"/>
    <w:rsid w:val="008C1A35"/>
    <w:rsid w:val="008C21AA"/>
    <w:rsid w:val="008C29B8"/>
    <w:rsid w:val="008C3306"/>
    <w:rsid w:val="008C3A1B"/>
    <w:rsid w:val="008C3E2E"/>
    <w:rsid w:val="008C4391"/>
    <w:rsid w:val="008C5C64"/>
    <w:rsid w:val="008C6664"/>
    <w:rsid w:val="008C6AEC"/>
    <w:rsid w:val="008C7B60"/>
    <w:rsid w:val="008D0067"/>
    <w:rsid w:val="008D1040"/>
    <w:rsid w:val="008D412A"/>
    <w:rsid w:val="008D4ABE"/>
    <w:rsid w:val="008D4EEE"/>
    <w:rsid w:val="008D5045"/>
    <w:rsid w:val="008D5A6A"/>
    <w:rsid w:val="008D5F20"/>
    <w:rsid w:val="008D68A7"/>
    <w:rsid w:val="008D7DE8"/>
    <w:rsid w:val="008E23E2"/>
    <w:rsid w:val="008E2B97"/>
    <w:rsid w:val="008E2BAA"/>
    <w:rsid w:val="008E2D63"/>
    <w:rsid w:val="008E3511"/>
    <w:rsid w:val="008E359C"/>
    <w:rsid w:val="008E449E"/>
    <w:rsid w:val="008E50AD"/>
    <w:rsid w:val="008E573A"/>
    <w:rsid w:val="008E6D3A"/>
    <w:rsid w:val="008E7273"/>
    <w:rsid w:val="008E77B6"/>
    <w:rsid w:val="008F0958"/>
    <w:rsid w:val="008F1193"/>
    <w:rsid w:val="008F1BF1"/>
    <w:rsid w:val="008F3367"/>
    <w:rsid w:val="008F35E2"/>
    <w:rsid w:val="008F3E01"/>
    <w:rsid w:val="008F5C51"/>
    <w:rsid w:val="008F6E1C"/>
    <w:rsid w:val="008F7437"/>
    <w:rsid w:val="008F7968"/>
    <w:rsid w:val="008F7CDE"/>
    <w:rsid w:val="008F7F27"/>
    <w:rsid w:val="009003E4"/>
    <w:rsid w:val="00901951"/>
    <w:rsid w:val="009049C3"/>
    <w:rsid w:val="0090572D"/>
    <w:rsid w:val="00906E94"/>
    <w:rsid w:val="009077DC"/>
    <w:rsid w:val="009112B4"/>
    <w:rsid w:val="00911FB6"/>
    <w:rsid w:val="00912479"/>
    <w:rsid w:val="00913AF7"/>
    <w:rsid w:val="009145CE"/>
    <w:rsid w:val="00914681"/>
    <w:rsid w:val="00916118"/>
    <w:rsid w:val="009164E6"/>
    <w:rsid w:val="0091654B"/>
    <w:rsid w:val="00916A78"/>
    <w:rsid w:val="00920354"/>
    <w:rsid w:val="0092070F"/>
    <w:rsid w:val="009213E0"/>
    <w:rsid w:val="00921ABE"/>
    <w:rsid w:val="00922096"/>
    <w:rsid w:val="009220CB"/>
    <w:rsid w:val="0092279E"/>
    <w:rsid w:val="0092433B"/>
    <w:rsid w:val="00925646"/>
    <w:rsid w:val="0092588D"/>
    <w:rsid w:val="00927253"/>
    <w:rsid w:val="009315E5"/>
    <w:rsid w:val="0093274E"/>
    <w:rsid w:val="00933DE1"/>
    <w:rsid w:val="00936ED1"/>
    <w:rsid w:val="00937B34"/>
    <w:rsid w:val="00940A6D"/>
    <w:rsid w:val="00940E62"/>
    <w:rsid w:val="00942238"/>
    <w:rsid w:val="009424FC"/>
    <w:rsid w:val="00943EA1"/>
    <w:rsid w:val="009441AC"/>
    <w:rsid w:val="009454F1"/>
    <w:rsid w:val="00945522"/>
    <w:rsid w:val="0094780F"/>
    <w:rsid w:val="00947D68"/>
    <w:rsid w:val="00950E22"/>
    <w:rsid w:val="0095234B"/>
    <w:rsid w:val="00953045"/>
    <w:rsid w:val="00953B6B"/>
    <w:rsid w:val="0095425D"/>
    <w:rsid w:val="00954732"/>
    <w:rsid w:val="00954A2C"/>
    <w:rsid w:val="00954C4F"/>
    <w:rsid w:val="00954EDB"/>
    <w:rsid w:val="00956337"/>
    <w:rsid w:val="009570B7"/>
    <w:rsid w:val="009576A2"/>
    <w:rsid w:val="00961870"/>
    <w:rsid w:val="009623C6"/>
    <w:rsid w:val="00962511"/>
    <w:rsid w:val="009628EF"/>
    <w:rsid w:val="00963089"/>
    <w:rsid w:val="00963EE3"/>
    <w:rsid w:val="00963FAE"/>
    <w:rsid w:val="0096488C"/>
    <w:rsid w:val="00965B49"/>
    <w:rsid w:val="00965C77"/>
    <w:rsid w:val="00966C35"/>
    <w:rsid w:val="009675CB"/>
    <w:rsid w:val="00967A41"/>
    <w:rsid w:val="00970458"/>
    <w:rsid w:val="00970896"/>
    <w:rsid w:val="0097097B"/>
    <w:rsid w:val="0097201E"/>
    <w:rsid w:val="00972968"/>
    <w:rsid w:val="00972E86"/>
    <w:rsid w:val="00973497"/>
    <w:rsid w:val="00973971"/>
    <w:rsid w:val="00973DD4"/>
    <w:rsid w:val="00975267"/>
    <w:rsid w:val="009753B0"/>
    <w:rsid w:val="00975440"/>
    <w:rsid w:val="00975B7F"/>
    <w:rsid w:val="00980ACD"/>
    <w:rsid w:val="00980D39"/>
    <w:rsid w:val="009812C6"/>
    <w:rsid w:val="00982450"/>
    <w:rsid w:val="0098280D"/>
    <w:rsid w:val="0098364E"/>
    <w:rsid w:val="00984106"/>
    <w:rsid w:val="00984406"/>
    <w:rsid w:val="009848CB"/>
    <w:rsid w:val="00986192"/>
    <w:rsid w:val="00986B43"/>
    <w:rsid w:val="0099086F"/>
    <w:rsid w:val="0099110B"/>
    <w:rsid w:val="0099177E"/>
    <w:rsid w:val="009917EE"/>
    <w:rsid w:val="009935FD"/>
    <w:rsid w:val="00993E5C"/>
    <w:rsid w:val="00994C75"/>
    <w:rsid w:val="00995734"/>
    <w:rsid w:val="009969CD"/>
    <w:rsid w:val="00996E2E"/>
    <w:rsid w:val="00997042"/>
    <w:rsid w:val="00997072"/>
    <w:rsid w:val="00997646"/>
    <w:rsid w:val="00997E57"/>
    <w:rsid w:val="009A00A8"/>
    <w:rsid w:val="009A0E4C"/>
    <w:rsid w:val="009A29EC"/>
    <w:rsid w:val="009A2D29"/>
    <w:rsid w:val="009A31B9"/>
    <w:rsid w:val="009A3282"/>
    <w:rsid w:val="009A3610"/>
    <w:rsid w:val="009A3628"/>
    <w:rsid w:val="009A3E1C"/>
    <w:rsid w:val="009A4DD2"/>
    <w:rsid w:val="009A5674"/>
    <w:rsid w:val="009A6076"/>
    <w:rsid w:val="009A621C"/>
    <w:rsid w:val="009A675A"/>
    <w:rsid w:val="009A783F"/>
    <w:rsid w:val="009B07E5"/>
    <w:rsid w:val="009B126B"/>
    <w:rsid w:val="009B1534"/>
    <w:rsid w:val="009B1715"/>
    <w:rsid w:val="009B49E5"/>
    <w:rsid w:val="009B5988"/>
    <w:rsid w:val="009B5ADD"/>
    <w:rsid w:val="009B5DC2"/>
    <w:rsid w:val="009B5DE8"/>
    <w:rsid w:val="009B63E3"/>
    <w:rsid w:val="009B6F26"/>
    <w:rsid w:val="009B73D2"/>
    <w:rsid w:val="009B7A8A"/>
    <w:rsid w:val="009B7C7F"/>
    <w:rsid w:val="009C0231"/>
    <w:rsid w:val="009C0323"/>
    <w:rsid w:val="009C0334"/>
    <w:rsid w:val="009C0E41"/>
    <w:rsid w:val="009C13C3"/>
    <w:rsid w:val="009C193A"/>
    <w:rsid w:val="009C22DE"/>
    <w:rsid w:val="009C2A19"/>
    <w:rsid w:val="009C2B80"/>
    <w:rsid w:val="009C3467"/>
    <w:rsid w:val="009C398E"/>
    <w:rsid w:val="009C4068"/>
    <w:rsid w:val="009C41AA"/>
    <w:rsid w:val="009C4997"/>
    <w:rsid w:val="009C57EA"/>
    <w:rsid w:val="009C5D35"/>
    <w:rsid w:val="009C7C4B"/>
    <w:rsid w:val="009D002F"/>
    <w:rsid w:val="009D00E9"/>
    <w:rsid w:val="009D0803"/>
    <w:rsid w:val="009D0D96"/>
    <w:rsid w:val="009D0E4C"/>
    <w:rsid w:val="009D0F98"/>
    <w:rsid w:val="009D1711"/>
    <w:rsid w:val="009D17F5"/>
    <w:rsid w:val="009D19A6"/>
    <w:rsid w:val="009D2B0D"/>
    <w:rsid w:val="009D3CFF"/>
    <w:rsid w:val="009D3EEC"/>
    <w:rsid w:val="009D4817"/>
    <w:rsid w:val="009D51A9"/>
    <w:rsid w:val="009D52EA"/>
    <w:rsid w:val="009D5619"/>
    <w:rsid w:val="009D5C22"/>
    <w:rsid w:val="009D739F"/>
    <w:rsid w:val="009D7BD1"/>
    <w:rsid w:val="009D7BFB"/>
    <w:rsid w:val="009E04BF"/>
    <w:rsid w:val="009E0527"/>
    <w:rsid w:val="009E0F8D"/>
    <w:rsid w:val="009E116C"/>
    <w:rsid w:val="009E199F"/>
    <w:rsid w:val="009E1AD0"/>
    <w:rsid w:val="009E1EF4"/>
    <w:rsid w:val="009E24AA"/>
    <w:rsid w:val="009E26CF"/>
    <w:rsid w:val="009E291C"/>
    <w:rsid w:val="009E2F86"/>
    <w:rsid w:val="009E3873"/>
    <w:rsid w:val="009E3971"/>
    <w:rsid w:val="009E39DA"/>
    <w:rsid w:val="009E458E"/>
    <w:rsid w:val="009E4806"/>
    <w:rsid w:val="009E50D2"/>
    <w:rsid w:val="009E5275"/>
    <w:rsid w:val="009E5BA6"/>
    <w:rsid w:val="009E654A"/>
    <w:rsid w:val="009F21D6"/>
    <w:rsid w:val="009F28C1"/>
    <w:rsid w:val="009F316D"/>
    <w:rsid w:val="009F4122"/>
    <w:rsid w:val="009F484B"/>
    <w:rsid w:val="009F5319"/>
    <w:rsid w:val="009F5EA4"/>
    <w:rsid w:val="009F7311"/>
    <w:rsid w:val="009F781B"/>
    <w:rsid w:val="00A0006A"/>
    <w:rsid w:val="00A01041"/>
    <w:rsid w:val="00A01083"/>
    <w:rsid w:val="00A0187A"/>
    <w:rsid w:val="00A03038"/>
    <w:rsid w:val="00A0467A"/>
    <w:rsid w:val="00A05093"/>
    <w:rsid w:val="00A055D3"/>
    <w:rsid w:val="00A05621"/>
    <w:rsid w:val="00A05A05"/>
    <w:rsid w:val="00A063D2"/>
    <w:rsid w:val="00A06D68"/>
    <w:rsid w:val="00A07AD2"/>
    <w:rsid w:val="00A128C6"/>
    <w:rsid w:val="00A128FF"/>
    <w:rsid w:val="00A12A72"/>
    <w:rsid w:val="00A132A3"/>
    <w:rsid w:val="00A139A5"/>
    <w:rsid w:val="00A14FAE"/>
    <w:rsid w:val="00A150CD"/>
    <w:rsid w:val="00A15425"/>
    <w:rsid w:val="00A1545B"/>
    <w:rsid w:val="00A156DB"/>
    <w:rsid w:val="00A15F9A"/>
    <w:rsid w:val="00A16247"/>
    <w:rsid w:val="00A1660A"/>
    <w:rsid w:val="00A16DE7"/>
    <w:rsid w:val="00A178E6"/>
    <w:rsid w:val="00A204BB"/>
    <w:rsid w:val="00A22304"/>
    <w:rsid w:val="00A22FF2"/>
    <w:rsid w:val="00A230DD"/>
    <w:rsid w:val="00A233B9"/>
    <w:rsid w:val="00A2364D"/>
    <w:rsid w:val="00A23E39"/>
    <w:rsid w:val="00A24721"/>
    <w:rsid w:val="00A248CA"/>
    <w:rsid w:val="00A24F22"/>
    <w:rsid w:val="00A2520C"/>
    <w:rsid w:val="00A25F71"/>
    <w:rsid w:val="00A264D1"/>
    <w:rsid w:val="00A26BA7"/>
    <w:rsid w:val="00A2729B"/>
    <w:rsid w:val="00A30312"/>
    <w:rsid w:val="00A30B54"/>
    <w:rsid w:val="00A30FFA"/>
    <w:rsid w:val="00A3151D"/>
    <w:rsid w:val="00A32C2F"/>
    <w:rsid w:val="00A33900"/>
    <w:rsid w:val="00A34D5E"/>
    <w:rsid w:val="00A35DAA"/>
    <w:rsid w:val="00A35DDF"/>
    <w:rsid w:val="00A35FD9"/>
    <w:rsid w:val="00A36586"/>
    <w:rsid w:val="00A36B31"/>
    <w:rsid w:val="00A36C5A"/>
    <w:rsid w:val="00A37CD4"/>
    <w:rsid w:val="00A407FD"/>
    <w:rsid w:val="00A41B1E"/>
    <w:rsid w:val="00A426F1"/>
    <w:rsid w:val="00A43145"/>
    <w:rsid w:val="00A43551"/>
    <w:rsid w:val="00A43B67"/>
    <w:rsid w:val="00A43F04"/>
    <w:rsid w:val="00A4447B"/>
    <w:rsid w:val="00A45549"/>
    <w:rsid w:val="00A46070"/>
    <w:rsid w:val="00A473CA"/>
    <w:rsid w:val="00A475DA"/>
    <w:rsid w:val="00A47FFE"/>
    <w:rsid w:val="00A5026C"/>
    <w:rsid w:val="00A5049E"/>
    <w:rsid w:val="00A51770"/>
    <w:rsid w:val="00A51862"/>
    <w:rsid w:val="00A51F89"/>
    <w:rsid w:val="00A5382B"/>
    <w:rsid w:val="00A5385A"/>
    <w:rsid w:val="00A53A01"/>
    <w:rsid w:val="00A53B96"/>
    <w:rsid w:val="00A5463C"/>
    <w:rsid w:val="00A554EC"/>
    <w:rsid w:val="00A55E7A"/>
    <w:rsid w:val="00A617BF"/>
    <w:rsid w:val="00A623A2"/>
    <w:rsid w:val="00A636C6"/>
    <w:rsid w:val="00A63AFB"/>
    <w:rsid w:val="00A63B9D"/>
    <w:rsid w:val="00A64979"/>
    <w:rsid w:val="00A64BC8"/>
    <w:rsid w:val="00A64DA2"/>
    <w:rsid w:val="00A64EBE"/>
    <w:rsid w:val="00A651B4"/>
    <w:rsid w:val="00A65D7B"/>
    <w:rsid w:val="00A65F2C"/>
    <w:rsid w:val="00A665DF"/>
    <w:rsid w:val="00A7088C"/>
    <w:rsid w:val="00A714BC"/>
    <w:rsid w:val="00A71618"/>
    <w:rsid w:val="00A72C27"/>
    <w:rsid w:val="00A7331B"/>
    <w:rsid w:val="00A73DE0"/>
    <w:rsid w:val="00A745CC"/>
    <w:rsid w:val="00A7558D"/>
    <w:rsid w:val="00A75995"/>
    <w:rsid w:val="00A75B27"/>
    <w:rsid w:val="00A764F5"/>
    <w:rsid w:val="00A76572"/>
    <w:rsid w:val="00A77043"/>
    <w:rsid w:val="00A776B1"/>
    <w:rsid w:val="00A77ED3"/>
    <w:rsid w:val="00A80076"/>
    <w:rsid w:val="00A804BE"/>
    <w:rsid w:val="00A81290"/>
    <w:rsid w:val="00A822F8"/>
    <w:rsid w:val="00A82A3F"/>
    <w:rsid w:val="00A82F00"/>
    <w:rsid w:val="00A82F33"/>
    <w:rsid w:val="00A83655"/>
    <w:rsid w:val="00A83C2C"/>
    <w:rsid w:val="00A862AE"/>
    <w:rsid w:val="00A870AC"/>
    <w:rsid w:val="00A873E2"/>
    <w:rsid w:val="00A913DA"/>
    <w:rsid w:val="00A917F4"/>
    <w:rsid w:val="00A91C46"/>
    <w:rsid w:val="00A92367"/>
    <w:rsid w:val="00A92E85"/>
    <w:rsid w:val="00A93017"/>
    <w:rsid w:val="00A94EDF"/>
    <w:rsid w:val="00A9542E"/>
    <w:rsid w:val="00A96561"/>
    <w:rsid w:val="00A96AC8"/>
    <w:rsid w:val="00A96D04"/>
    <w:rsid w:val="00A970C2"/>
    <w:rsid w:val="00A97AD6"/>
    <w:rsid w:val="00AA090A"/>
    <w:rsid w:val="00AA14E6"/>
    <w:rsid w:val="00AA2135"/>
    <w:rsid w:val="00AA376D"/>
    <w:rsid w:val="00AA4278"/>
    <w:rsid w:val="00AA45BB"/>
    <w:rsid w:val="00AA528A"/>
    <w:rsid w:val="00AA5E07"/>
    <w:rsid w:val="00AA606E"/>
    <w:rsid w:val="00AA6F9B"/>
    <w:rsid w:val="00AA7E59"/>
    <w:rsid w:val="00AB0B56"/>
    <w:rsid w:val="00AB2AD9"/>
    <w:rsid w:val="00AB476F"/>
    <w:rsid w:val="00AB5379"/>
    <w:rsid w:val="00AB6AE8"/>
    <w:rsid w:val="00AB6EFD"/>
    <w:rsid w:val="00AB753C"/>
    <w:rsid w:val="00AC0823"/>
    <w:rsid w:val="00AC0D26"/>
    <w:rsid w:val="00AC1A55"/>
    <w:rsid w:val="00AC1EF8"/>
    <w:rsid w:val="00AC2058"/>
    <w:rsid w:val="00AC2669"/>
    <w:rsid w:val="00AC332E"/>
    <w:rsid w:val="00AC33AD"/>
    <w:rsid w:val="00AC421E"/>
    <w:rsid w:val="00AC495E"/>
    <w:rsid w:val="00AC4E84"/>
    <w:rsid w:val="00AC4EF4"/>
    <w:rsid w:val="00AC7872"/>
    <w:rsid w:val="00AD01CF"/>
    <w:rsid w:val="00AD140B"/>
    <w:rsid w:val="00AD1C5A"/>
    <w:rsid w:val="00AD21F6"/>
    <w:rsid w:val="00AD2924"/>
    <w:rsid w:val="00AD2B9E"/>
    <w:rsid w:val="00AD2F1F"/>
    <w:rsid w:val="00AD36EA"/>
    <w:rsid w:val="00AD3DAF"/>
    <w:rsid w:val="00AD485E"/>
    <w:rsid w:val="00AD58ED"/>
    <w:rsid w:val="00AD5B19"/>
    <w:rsid w:val="00AD6618"/>
    <w:rsid w:val="00AD669B"/>
    <w:rsid w:val="00AD7A52"/>
    <w:rsid w:val="00AD7DCB"/>
    <w:rsid w:val="00AE051D"/>
    <w:rsid w:val="00AE121B"/>
    <w:rsid w:val="00AE1F69"/>
    <w:rsid w:val="00AE2215"/>
    <w:rsid w:val="00AE2FED"/>
    <w:rsid w:val="00AE364C"/>
    <w:rsid w:val="00AE427F"/>
    <w:rsid w:val="00AE4784"/>
    <w:rsid w:val="00AE5265"/>
    <w:rsid w:val="00AE58D1"/>
    <w:rsid w:val="00AE59CF"/>
    <w:rsid w:val="00AE5B6D"/>
    <w:rsid w:val="00AE64BB"/>
    <w:rsid w:val="00AE72A6"/>
    <w:rsid w:val="00AE7BC5"/>
    <w:rsid w:val="00AE7D30"/>
    <w:rsid w:val="00AF0E7F"/>
    <w:rsid w:val="00AF160E"/>
    <w:rsid w:val="00AF2646"/>
    <w:rsid w:val="00AF37FD"/>
    <w:rsid w:val="00AF4BEB"/>
    <w:rsid w:val="00AF4CDB"/>
    <w:rsid w:val="00AF4FA6"/>
    <w:rsid w:val="00AF501E"/>
    <w:rsid w:val="00AF51D1"/>
    <w:rsid w:val="00AF5CAD"/>
    <w:rsid w:val="00AF6F36"/>
    <w:rsid w:val="00AF7163"/>
    <w:rsid w:val="00AF7202"/>
    <w:rsid w:val="00AF746E"/>
    <w:rsid w:val="00AF7B91"/>
    <w:rsid w:val="00AF7F0B"/>
    <w:rsid w:val="00B01E40"/>
    <w:rsid w:val="00B01FB8"/>
    <w:rsid w:val="00B02709"/>
    <w:rsid w:val="00B0296F"/>
    <w:rsid w:val="00B02E28"/>
    <w:rsid w:val="00B04453"/>
    <w:rsid w:val="00B04FF9"/>
    <w:rsid w:val="00B05298"/>
    <w:rsid w:val="00B056A9"/>
    <w:rsid w:val="00B062FF"/>
    <w:rsid w:val="00B06F84"/>
    <w:rsid w:val="00B07CC6"/>
    <w:rsid w:val="00B07EE2"/>
    <w:rsid w:val="00B10266"/>
    <w:rsid w:val="00B1049B"/>
    <w:rsid w:val="00B10CFA"/>
    <w:rsid w:val="00B10D56"/>
    <w:rsid w:val="00B11B61"/>
    <w:rsid w:val="00B13841"/>
    <w:rsid w:val="00B13C2B"/>
    <w:rsid w:val="00B13D02"/>
    <w:rsid w:val="00B13F75"/>
    <w:rsid w:val="00B14C38"/>
    <w:rsid w:val="00B1505A"/>
    <w:rsid w:val="00B1569A"/>
    <w:rsid w:val="00B15C67"/>
    <w:rsid w:val="00B15F83"/>
    <w:rsid w:val="00B16046"/>
    <w:rsid w:val="00B161AF"/>
    <w:rsid w:val="00B17579"/>
    <w:rsid w:val="00B177C2"/>
    <w:rsid w:val="00B20776"/>
    <w:rsid w:val="00B210F3"/>
    <w:rsid w:val="00B21360"/>
    <w:rsid w:val="00B22202"/>
    <w:rsid w:val="00B2259F"/>
    <w:rsid w:val="00B226AA"/>
    <w:rsid w:val="00B2278D"/>
    <w:rsid w:val="00B231D6"/>
    <w:rsid w:val="00B23330"/>
    <w:rsid w:val="00B234CE"/>
    <w:rsid w:val="00B236D4"/>
    <w:rsid w:val="00B23A6B"/>
    <w:rsid w:val="00B23E05"/>
    <w:rsid w:val="00B247D3"/>
    <w:rsid w:val="00B24AA7"/>
    <w:rsid w:val="00B25805"/>
    <w:rsid w:val="00B259C2"/>
    <w:rsid w:val="00B268B7"/>
    <w:rsid w:val="00B270B3"/>
    <w:rsid w:val="00B305C7"/>
    <w:rsid w:val="00B30887"/>
    <w:rsid w:val="00B30C5E"/>
    <w:rsid w:val="00B3191A"/>
    <w:rsid w:val="00B31AE0"/>
    <w:rsid w:val="00B32090"/>
    <w:rsid w:val="00B3310F"/>
    <w:rsid w:val="00B34325"/>
    <w:rsid w:val="00B3519B"/>
    <w:rsid w:val="00B35CFA"/>
    <w:rsid w:val="00B35E43"/>
    <w:rsid w:val="00B36789"/>
    <w:rsid w:val="00B36B68"/>
    <w:rsid w:val="00B3709F"/>
    <w:rsid w:val="00B4143A"/>
    <w:rsid w:val="00B41D73"/>
    <w:rsid w:val="00B41EDC"/>
    <w:rsid w:val="00B421E8"/>
    <w:rsid w:val="00B42E76"/>
    <w:rsid w:val="00B43673"/>
    <w:rsid w:val="00B44661"/>
    <w:rsid w:val="00B45D11"/>
    <w:rsid w:val="00B46A00"/>
    <w:rsid w:val="00B51F95"/>
    <w:rsid w:val="00B5266C"/>
    <w:rsid w:val="00B52FA4"/>
    <w:rsid w:val="00B542FF"/>
    <w:rsid w:val="00B543CD"/>
    <w:rsid w:val="00B544A6"/>
    <w:rsid w:val="00B54E43"/>
    <w:rsid w:val="00B569C2"/>
    <w:rsid w:val="00B56E50"/>
    <w:rsid w:val="00B57FF9"/>
    <w:rsid w:val="00B62010"/>
    <w:rsid w:val="00B623E5"/>
    <w:rsid w:val="00B62505"/>
    <w:rsid w:val="00B62510"/>
    <w:rsid w:val="00B62C27"/>
    <w:rsid w:val="00B633B0"/>
    <w:rsid w:val="00B63C2D"/>
    <w:rsid w:val="00B65184"/>
    <w:rsid w:val="00B66457"/>
    <w:rsid w:val="00B66698"/>
    <w:rsid w:val="00B66896"/>
    <w:rsid w:val="00B66A7E"/>
    <w:rsid w:val="00B66D4A"/>
    <w:rsid w:val="00B670E8"/>
    <w:rsid w:val="00B67215"/>
    <w:rsid w:val="00B67235"/>
    <w:rsid w:val="00B67CA2"/>
    <w:rsid w:val="00B70854"/>
    <w:rsid w:val="00B70B78"/>
    <w:rsid w:val="00B70FEA"/>
    <w:rsid w:val="00B713FF"/>
    <w:rsid w:val="00B72254"/>
    <w:rsid w:val="00B739E6"/>
    <w:rsid w:val="00B74323"/>
    <w:rsid w:val="00B74346"/>
    <w:rsid w:val="00B74435"/>
    <w:rsid w:val="00B7453B"/>
    <w:rsid w:val="00B74F0E"/>
    <w:rsid w:val="00B769D6"/>
    <w:rsid w:val="00B7739B"/>
    <w:rsid w:val="00B773E5"/>
    <w:rsid w:val="00B77C30"/>
    <w:rsid w:val="00B77E5F"/>
    <w:rsid w:val="00B80ABD"/>
    <w:rsid w:val="00B8243A"/>
    <w:rsid w:val="00B82C16"/>
    <w:rsid w:val="00B82D22"/>
    <w:rsid w:val="00B830A2"/>
    <w:rsid w:val="00B83B5C"/>
    <w:rsid w:val="00B84AA4"/>
    <w:rsid w:val="00B865DD"/>
    <w:rsid w:val="00B868B6"/>
    <w:rsid w:val="00B86C65"/>
    <w:rsid w:val="00B8741B"/>
    <w:rsid w:val="00B87826"/>
    <w:rsid w:val="00B90841"/>
    <w:rsid w:val="00B91298"/>
    <w:rsid w:val="00B9161F"/>
    <w:rsid w:val="00B9226C"/>
    <w:rsid w:val="00B932CE"/>
    <w:rsid w:val="00B933CB"/>
    <w:rsid w:val="00B94C30"/>
    <w:rsid w:val="00B9564A"/>
    <w:rsid w:val="00B95B85"/>
    <w:rsid w:val="00B97063"/>
    <w:rsid w:val="00B974FE"/>
    <w:rsid w:val="00B978BA"/>
    <w:rsid w:val="00B97F00"/>
    <w:rsid w:val="00BA1671"/>
    <w:rsid w:val="00BA1853"/>
    <w:rsid w:val="00BA1EEA"/>
    <w:rsid w:val="00BA4005"/>
    <w:rsid w:val="00BA4B41"/>
    <w:rsid w:val="00BA4CFF"/>
    <w:rsid w:val="00BA57EF"/>
    <w:rsid w:val="00BA5870"/>
    <w:rsid w:val="00BA6902"/>
    <w:rsid w:val="00BA7208"/>
    <w:rsid w:val="00BA74A3"/>
    <w:rsid w:val="00BA7599"/>
    <w:rsid w:val="00BA7690"/>
    <w:rsid w:val="00BB027E"/>
    <w:rsid w:val="00BB127C"/>
    <w:rsid w:val="00BB19EE"/>
    <w:rsid w:val="00BB25A1"/>
    <w:rsid w:val="00BB3171"/>
    <w:rsid w:val="00BB35AD"/>
    <w:rsid w:val="00BB38CD"/>
    <w:rsid w:val="00BB396F"/>
    <w:rsid w:val="00BB4DA9"/>
    <w:rsid w:val="00BB5C39"/>
    <w:rsid w:val="00BB5F03"/>
    <w:rsid w:val="00BB6640"/>
    <w:rsid w:val="00BB676B"/>
    <w:rsid w:val="00BB7E34"/>
    <w:rsid w:val="00BC041C"/>
    <w:rsid w:val="00BC0AD2"/>
    <w:rsid w:val="00BC0BB1"/>
    <w:rsid w:val="00BC2839"/>
    <w:rsid w:val="00BC442F"/>
    <w:rsid w:val="00BC4ABF"/>
    <w:rsid w:val="00BC4C94"/>
    <w:rsid w:val="00BC5178"/>
    <w:rsid w:val="00BC5F86"/>
    <w:rsid w:val="00BC6933"/>
    <w:rsid w:val="00BC6C03"/>
    <w:rsid w:val="00BC71DC"/>
    <w:rsid w:val="00BC7554"/>
    <w:rsid w:val="00BC7A5F"/>
    <w:rsid w:val="00BD0C84"/>
    <w:rsid w:val="00BD1BBB"/>
    <w:rsid w:val="00BD1BC8"/>
    <w:rsid w:val="00BD239C"/>
    <w:rsid w:val="00BD25B7"/>
    <w:rsid w:val="00BD2C3C"/>
    <w:rsid w:val="00BD3131"/>
    <w:rsid w:val="00BD3E38"/>
    <w:rsid w:val="00BD5200"/>
    <w:rsid w:val="00BD726C"/>
    <w:rsid w:val="00BD7B12"/>
    <w:rsid w:val="00BE069D"/>
    <w:rsid w:val="00BE16ED"/>
    <w:rsid w:val="00BE186D"/>
    <w:rsid w:val="00BE2D9F"/>
    <w:rsid w:val="00BE31FF"/>
    <w:rsid w:val="00BE3528"/>
    <w:rsid w:val="00BE48DF"/>
    <w:rsid w:val="00BE49A4"/>
    <w:rsid w:val="00BE54EE"/>
    <w:rsid w:val="00BE5F3A"/>
    <w:rsid w:val="00BE6483"/>
    <w:rsid w:val="00BE6DEB"/>
    <w:rsid w:val="00BE7DAB"/>
    <w:rsid w:val="00BE7FAA"/>
    <w:rsid w:val="00BF0AD1"/>
    <w:rsid w:val="00BF1532"/>
    <w:rsid w:val="00BF2DF4"/>
    <w:rsid w:val="00BF2E4D"/>
    <w:rsid w:val="00BF407C"/>
    <w:rsid w:val="00BF48A3"/>
    <w:rsid w:val="00BF5DD0"/>
    <w:rsid w:val="00BF750F"/>
    <w:rsid w:val="00C019BB"/>
    <w:rsid w:val="00C01A23"/>
    <w:rsid w:val="00C01C02"/>
    <w:rsid w:val="00C021F1"/>
    <w:rsid w:val="00C0279C"/>
    <w:rsid w:val="00C02E76"/>
    <w:rsid w:val="00C03154"/>
    <w:rsid w:val="00C0319B"/>
    <w:rsid w:val="00C0421A"/>
    <w:rsid w:val="00C04EB7"/>
    <w:rsid w:val="00C05425"/>
    <w:rsid w:val="00C0587B"/>
    <w:rsid w:val="00C078E8"/>
    <w:rsid w:val="00C07903"/>
    <w:rsid w:val="00C079B9"/>
    <w:rsid w:val="00C07E16"/>
    <w:rsid w:val="00C1025D"/>
    <w:rsid w:val="00C113C9"/>
    <w:rsid w:val="00C11880"/>
    <w:rsid w:val="00C12F43"/>
    <w:rsid w:val="00C133A0"/>
    <w:rsid w:val="00C133FD"/>
    <w:rsid w:val="00C1355F"/>
    <w:rsid w:val="00C1487D"/>
    <w:rsid w:val="00C14BB5"/>
    <w:rsid w:val="00C162F7"/>
    <w:rsid w:val="00C16771"/>
    <w:rsid w:val="00C1688E"/>
    <w:rsid w:val="00C168EA"/>
    <w:rsid w:val="00C17471"/>
    <w:rsid w:val="00C17BC8"/>
    <w:rsid w:val="00C17C46"/>
    <w:rsid w:val="00C17DDD"/>
    <w:rsid w:val="00C2037C"/>
    <w:rsid w:val="00C203C8"/>
    <w:rsid w:val="00C205BA"/>
    <w:rsid w:val="00C20941"/>
    <w:rsid w:val="00C210FE"/>
    <w:rsid w:val="00C2117A"/>
    <w:rsid w:val="00C212B2"/>
    <w:rsid w:val="00C22C47"/>
    <w:rsid w:val="00C22D0B"/>
    <w:rsid w:val="00C231B8"/>
    <w:rsid w:val="00C2396D"/>
    <w:rsid w:val="00C23A7D"/>
    <w:rsid w:val="00C23EEC"/>
    <w:rsid w:val="00C242E9"/>
    <w:rsid w:val="00C24A5B"/>
    <w:rsid w:val="00C24BBC"/>
    <w:rsid w:val="00C24DA8"/>
    <w:rsid w:val="00C2569C"/>
    <w:rsid w:val="00C25719"/>
    <w:rsid w:val="00C25A0A"/>
    <w:rsid w:val="00C25FDC"/>
    <w:rsid w:val="00C27488"/>
    <w:rsid w:val="00C30363"/>
    <w:rsid w:val="00C30C51"/>
    <w:rsid w:val="00C31A46"/>
    <w:rsid w:val="00C31B15"/>
    <w:rsid w:val="00C322DA"/>
    <w:rsid w:val="00C32AAA"/>
    <w:rsid w:val="00C32C86"/>
    <w:rsid w:val="00C34028"/>
    <w:rsid w:val="00C35633"/>
    <w:rsid w:val="00C35EE7"/>
    <w:rsid w:val="00C3650F"/>
    <w:rsid w:val="00C366A7"/>
    <w:rsid w:val="00C36E23"/>
    <w:rsid w:val="00C370F5"/>
    <w:rsid w:val="00C3712C"/>
    <w:rsid w:val="00C377C4"/>
    <w:rsid w:val="00C37899"/>
    <w:rsid w:val="00C37DB5"/>
    <w:rsid w:val="00C40671"/>
    <w:rsid w:val="00C40B09"/>
    <w:rsid w:val="00C41368"/>
    <w:rsid w:val="00C415A1"/>
    <w:rsid w:val="00C41FC7"/>
    <w:rsid w:val="00C42128"/>
    <w:rsid w:val="00C43F64"/>
    <w:rsid w:val="00C4446F"/>
    <w:rsid w:val="00C444C7"/>
    <w:rsid w:val="00C4464B"/>
    <w:rsid w:val="00C44734"/>
    <w:rsid w:val="00C44823"/>
    <w:rsid w:val="00C4571D"/>
    <w:rsid w:val="00C45DCB"/>
    <w:rsid w:val="00C4638D"/>
    <w:rsid w:val="00C46882"/>
    <w:rsid w:val="00C472F6"/>
    <w:rsid w:val="00C47B65"/>
    <w:rsid w:val="00C5049E"/>
    <w:rsid w:val="00C50ABC"/>
    <w:rsid w:val="00C50D41"/>
    <w:rsid w:val="00C51E6C"/>
    <w:rsid w:val="00C5342C"/>
    <w:rsid w:val="00C54071"/>
    <w:rsid w:val="00C542F5"/>
    <w:rsid w:val="00C54865"/>
    <w:rsid w:val="00C55372"/>
    <w:rsid w:val="00C55EA6"/>
    <w:rsid w:val="00C57190"/>
    <w:rsid w:val="00C57A1E"/>
    <w:rsid w:val="00C57BEF"/>
    <w:rsid w:val="00C60316"/>
    <w:rsid w:val="00C60EEA"/>
    <w:rsid w:val="00C61032"/>
    <w:rsid w:val="00C617A3"/>
    <w:rsid w:val="00C617F3"/>
    <w:rsid w:val="00C61B9D"/>
    <w:rsid w:val="00C61E7F"/>
    <w:rsid w:val="00C623DC"/>
    <w:rsid w:val="00C628EE"/>
    <w:rsid w:val="00C63159"/>
    <w:rsid w:val="00C63160"/>
    <w:rsid w:val="00C641FF"/>
    <w:rsid w:val="00C645EB"/>
    <w:rsid w:val="00C64827"/>
    <w:rsid w:val="00C64DF3"/>
    <w:rsid w:val="00C65DA9"/>
    <w:rsid w:val="00C6775C"/>
    <w:rsid w:val="00C705F6"/>
    <w:rsid w:val="00C7096F"/>
    <w:rsid w:val="00C712FF"/>
    <w:rsid w:val="00C72385"/>
    <w:rsid w:val="00C72872"/>
    <w:rsid w:val="00C728B3"/>
    <w:rsid w:val="00C72DC7"/>
    <w:rsid w:val="00C73744"/>
    <w:rsid w:val="00C74DE5"/>
    <w:rsid w:val="00C75204"/>
    <w:rsid w:val="00C766DD"/>
    <w:rsid w:val="00C7749A"/>
    <w:rsid w:val="00C77B9C"/>
    <w:rsid w:val="00C77DB1"/>
    <w:rsid w:val="00C80A4C"/>
    <w:rsid w:val="00C8138B"/>
    <w:rsid w:val="00C81B09"/>
    <w:rsid w:val="00C82127"/>
    <w:rsid w:val="00C8272B"/>
    <w:rsid w:val="00C827B1"/>
    <w:rsid w:val="00C84504"/>
    <w:rsid w:val="00C851D0"/>
    <w:rsid w:val="00C85300"/>
    <w:rsid w:val="00C86917"/>
    <w:rsid w:val="00C90915"/>
    <w:rsid w:val="00C90FE3"/>
    <w:rsid w:val="00C91BE4"/>
    <w:rsid w:val="00C92428"/>
    <w:rsid w:val="00C93195"/>
    <w:rsid w:val="00C9392B"/>
    <w:rsid w:val="00C93EB2"/>
    <w:rsid w:val="00C94406"/>
    <w:rsid w:val="00C94FE7"/>
    <w:rsid w:val="00C95261"/>
    <w:rsid w:val="00C9543F"/>
    <w:rsid w:val="00C95B01"/>
    <w:rsid w:val="00C9688A"/>
    <w:rsid w:val="00C96B0B"/>
    <w:rsid w:val="00C970EB"/>
    <w:rsid w:val="00C97FEE"/>
    <w:rsid w:val="00CA17B2"/>
    <w:rsid w:val="00CA2544"/>
    <w:rsid w:val="00CA2653"/>
    <w:rsid w:val="00CA38B1"/>
    <w:rsid w:val="00CA3E78"/>
    <w:rsid w:val="00CA4C1C"/>
    <w:rsid w:val="00CA5490"/>
    <w:rsid w:val="00CA567D"/>
    <w:rsid w:val="00CA6234"/>
    <w:rsid w:val="00CA6DB7"/>
    <w:rsid w:val="00CA79A2"/>
    <w:rsid w:val="00CA79F8"/>
    <w:rsid w:val="00CA7FF8"/>
    <w:rsid w:val="00CB1EA0"/>
    <w:rsid w:val="00CB1EAF"/>
    <w:rsid w:val="00CB25F4"/>
    <w:rsid w:val="00CB2877"/>
    <w:rsid w:val="00CB3994"/>
    <w:rsid w:val="00CB498F"/>
    <w:rsid w:val="00CB4A41"/>
    <w:rsid w:val="00CB4AA4"/>
    <w:rsid w:val="00CB4FA0"/>
    <w:rsid w:val="00CB51D7"/>
    <w:rsid w:val="00CB5615"/>
    <w:rsid w:val="00CB67C2"/>
    <w:rsid w:val="00CB6823"/>
    <w:rsid w:val="00CB6EF2"/>
    <w:rsid w:val="00CB6F65"/>
    <w:rsid w:val="00CB7058"/>
    <w:rsid w:val="00CB7190"/>
    <w:rsid w:val="00CC0B98"/>
    <w:rsid w:val="00CC1F93"/>
    <w:rsid w:val="00CC2304"/>
    <w:rsid w:val="00CC24BA"/>
    <w:rsid w:val="00CC2985"/>
    <w:rsid w:val="00CC476A"/>
    <w:rsid w:val="00CC6280"/>
    <w:rsid w:val="00CC7289"/>
    <w:rsid w:val="00CC7358"/>
    <w:rsid w:val="00CC7D99"/>
    <w:rsid w:val="00CD05E6"/>
    <w:rsid w:val="00CD1A33"/>
    <w:rsid w:val="00CD2662"/>
    <w:rsid w:val="00CD58A1"/>
    <w:rsid w:val="00CD5F47"/>
    <w:rsid w:val="00CD745B"/>
    <w:rsid w:val="00CE008A"/>
    <w:rsid w:val="00CE334B"/>
    <w:rsid w:val="00CE5279"/>
    <w:rsid w:val="00CE627F"/>
    <w:rsid w:val="00CE702F"/>
    <w:rsid w:val="00CE7E71"/>
    <w:rsid w:val="00CF0ED9"/>
    <w:rsid w:val="00CF15A0"/>
    <w:rsid w:val="00CF1893"/>
    <w:rsid w:val="00CF1F3B"/>
    <w:rsid w:val="00CF1F7F"/>
    <w:rsid w:val="00CF20C3"/>
    <w:rsid w:val="00CF2B18"/>
    <w:rsid w:val="00CF2B3A"/>
    <w:rsid w:val="00CF2D48"/>
    <w:rsid w:val="00CF33B7"/>
    <w:rsid w:val="00CF409E"/>
    <w:rsid w:val="00CF46CC"/>
    <w:rsid w:val="00CF4D2F"/>
    <w:rsid w:val="00CF5371"/>
    <w:rsid w:val="00CF5539"/>
    <w:rsid w:val="00CF5ACA"/>
    <w:rsid w:val="00D005B8"/>
    <w:rsid w:val="00D00AF7"/>
    <w:rsid w:val="00D00DC5"/>
    <w:rsid w:val="00D01FA6"/>
    <w:rsid w:val="00D02700"/>
    <w:rsid w:val="00D02BC2"/>
    <w:rsid w:val="00D0333E"/>
    <w:rsid w:val="00D03F02"/>
    <w:rsid w:val="00D053D1"/>
    <w:rsid w:val="00D05FA6"/>
    <w:rsid w:val="00D06095"/>
    <w:rsid w:val="00D061A4"/>
    <w:rsid w:val="00D0664C"/>
    <w:rsid w:val="00D07C1E"/>
    <w:rsid w:val="00D1057B"/>
    <w:rsid w:val="00D10626"/>
    <w:rsid w:val="00D116C0"/>
    <w:rsid w:val="00D119C2"/>
    <w:rsid w:val="00D12113"/>
    <w:rsid w:val="00D12856"/>
    <w:rsid w:val="00D12E37"/>
    <w:rsid w:val="00D133E8"/>
    <w:rsid w:val="00D1375B"/>
    <w:rsid w:val="00D13D9F"/>
    <w:rsid w:val="00D13ECB"/>
    <w:rsid w:val="00D14268"/>
    <w:rsid w:val="00D14EF6"/>
    <w:rsid w:val="00D15253"/>
    <w:rsid w:val="00D16DFC"/>
    <w:rsid w:val="00D171C9"/>
    <w:rsid w:val="00D17355"/>
    <w:rsid w:val="00D20E2E"/>
    <w:rsid w:val="00D21BE6"/>
    <w:rsid w:val="00D21C39"/>
    <w:rsid w:val="00D245A0"/>
    <w:rsid w:val="00D24677"/>
    <w:rsid w:val="00D256F6"/>
    <w:rsid w:val="00D258BA"/>
    <w:rsid w:val="00D268D2"/>
    <w:rsid w:val="00D272B1"/>
    <w:rsid w:val="00D27B69"/>
    <w:rsid w:val="00D307B0"/>
    <w:rsid w:val="00D3135F"/>
    <w:rsid w:val="00D31ADF"/>
    <w:rsid w:val="00D32E6B"/>
    <w:rsid w:val="00D36023"/>
    <w:rsid w:val="00D36CA1"/>
    <w:rsid w:val="00D36E80"/>
    <w:rsid w:val="00D3767D"/>
    <w:rsid w:val="00D40B3C"/>
    <w:rsid w:val="00D41742"/>
    <w:rsid w:val="00D41803"/>
    <w:rsid w:val="00D41F5E"/>
    <w:rsid w:val="00D42BF6"/>
    <w:rsid w:val="00D43447"/>
    <w:rsid w:val="00D44507"/>
    <w:rsid w:val="00D44737"/>
    <w:rsid w:val="00D44B40"/>
    <w:rsid w:val="00D455CF"/>
    <w:rsid w:val="00D463B5"/>
    <w:rsid w:val="00D468F7"/>
    <w:rsid w:val="00D47356"/>
    <w:rsid w:val="00D50B2D"/>
    <w:rsid w:val="00D50CA8"/>
    <w:rsid w:val="00D51BE1"/>
    <w:rsid w:val="00D51C96"/>
    <w:rsid w:val="00D52BDE"/>
    <w:rsid w:val="00D52FCA"/>
    <w:rsid w:val="00D532F9"/>
    <w:rsid w:val="00D53754"/>
    <w:rsid w:val="00D539AC"/>
    <w:rsid w:val="00D53D62"/>
    <w:rsid w:val="00D54B9E"/>
    <w:rsid w:val="00D54D1D"/>
    <w:rsid w:val="00D54F68"/>
    <w:rsid w:val="00D5548B"/>
    <w:rsid w:val="00D55567"/>
    <w:rsid w:val="00D55DDD"/>
    <w:rsid w:val="00D55FB2"/>
    <w:rsid w:val="00D560B3"/>
    <w:rsid w:val="00D60098"/>
    <w:rsid w:val="00D62A7F"/>
    <w:rsid w:val="00D63999"/>
    <w:rsid w:val="00D63AFD"/>
    <w:rsid w:val="00D63D14"/>
    <w:rsid w:val="00D64891"/>
    <w:rsid w:val="00D64F19"/>
    <w:rsid w:val="00D66489"/>
    <w:rsid w:val="00D66BAA"/>
    <w:rsid w:val="00D67F34"/>
    <w:rsid w:val="00D70441"/>
    <w:rsid w:val="00D707C0"/>
    <w:rsid w:val="00D71ACC"/>
    <w:rsid w:val="00D72D25"/>
    <w:rsid w:val="00D73583"/>
    <w:rsid w:val="00D73817"/>
    <w:rsid w:val="00D74127"/>
    <w:rsid w:val="00D748EB"/>
    <w:rsid w:val="00D74936"/>
    <w:rsid w:val="00D75004"/>
    <w:rsid w:val="00D750CE"/>
    <w:rsid w:val="00D763BE"/>
    <w:rsid w:val="00D769CF"/>
    <w:rsid w:val="00D801F7"/>
    <w:rsid w:val="00D8075C"/>
    <w:rsid w:val="00D81F6F"/>
    <w:rsid w:val="00D832F9"/>
    <w:rsid w:val="00D84387"/>
    <w:rsid w:val="00D8455D"/>
    <w:rsid w:val="00D8460D"/>
    <w:rsid w:val="00D8563A"/>
    <w:rsid w:val="00D85845"/>
    <w:rsid w:val="00D866D6"/>
    <w:rsid w:val="00D86D95"/>
    <w:rsid w:val="00D87495"/>
    <w:rsid w:val="00D87F8F"/>
    <w:rsid w:val="00D92FD5"/>
    <w:rsid w:val="00D937EB"/>
    <w:rsid w:val="00D9385E"/>
    <w:rsid w:val="00D94426"/>
    <w:rsid w:val="00D94CAC"/>
    <w:rsid w:val="00D95137"/>
    <w:rsid w:val="00D955F6"/>
    <w:rsid w:val="00D95975"/>
    <w:rsid w:val="00D95D3C"/>
    <w:rsid w:val="00D96898"/>
    <w:rsid w:val="00D97BDC"/>
    <w:rsid w:val="00DA0AD4"/>
    <w:rsid w:val="00DA1011"/>
    <w:rsid w:val="00DA1220"/>
    <w:rsid w:val="00DA1FA1"/>
    <w:rsid w:val="00DA22D5"/>
    <w:rsid w:val="00DA2E68"/>
    <w:rsid w:val="00DA4112"/>
    <w:rsid w:val="00DA4B29"/>
    <w:rsid w:val="00DA4C90"/>
    <w:rsid w:val="00DA4ECE"/>
    <w:rsid w:val="00DA5016"/>
    <w:rsid w:val="00DA51A4"/>
    <w:rsid w:val="00DA5F00"/>
    <w:rsid w:val="00DA662F"/>
    <w:rsid w:val="00DA7448"/>
    <w:rsid w:val="00DB11F5"/>
    <w:rsid w:val="00DB3425"/>
    <w:rsid w:val="00DB3F1D"/>
    <w:rsid w:val="00DB64B6"/>
    <w:rsid w:val="00DB656B"/>
    <w:rsid w:val="00DB6F1D"/>
    <w:rsid w:val="00DB71B9"/>
    <w:rsid w:val="00DB7F44"/>
    <w:rsid w:val="00DC0B74"/>
    <w:rsid w:val="00DC1351"/>
    <w:rsid w:val="00DC1516"/>
    <w:rsid w:val="00DC1758"/>
    <w:rsid w:val="00DC2547"/>
    <w:rsid w:val="00DC2D8C"/>
    <w:rsid w:val="00DC2EF4"/>
    <w:rsid w:val="00DC4244"/>
    <w:rsid w:val="00DC44A7"/>
    <w:rsid w:val="00DC4CCF"/>
    <w:rsid w:val="00DC5B82"/>
    <w:rsid w:val="00DC5C77"/>
    <w:rsid w:val="00DC5E99"/>
    <w:rsid w:val="00DC74F7"/>
    <w:rsid w:val="00DC7EA1"/>
    <w:rsid w:val="00DD00C7"/>
    <w:rsid w:val="00DD02C6"/>
    <w:rsid w:val="00DD049E"/>
    <w:rsid w:val="00DD0567"/>
    <w:rsid w:val="00DD1A10"/>
    <w:rsid w:val="00DD32A3"/>
    <w:rsid w:val="00DD429F"/>
    <w:rsid w:val="00DD56FB"/>
    <w:rsid w:val="00DD65F5"/>
    <w:rsid w:val="00DD728B"/>
    <w:rsid w:val="00DD771C"/>
    <w:rsid w:val="00DE0AD8"/>
    <w:rsid w:val="00DE0EB3"/>
    <w:rsid w:val="00DE1281"/>
    <w:rsid w:val="00DE1291"/>
    <w:rsid w:val="00DE130C"/>
    <w:rsid w:val="00DE1EAE"/>
    <w:rsid w:val="00DE31F4"/>
    <w:rsid w:val="00DE3458"/>
    <w:rsid w:val="00DE3F0A"/>
    <w:rsid w:val="00DE454E"/>
    <w:rsid w:val="00DE4D32"/>
    <w:rsid w:val="00DE5BC4"/>
    <w:rsid w:val="00DE6001"/>
    <w:rsid w:val="00DE6263"/>
    <w:rsid w:val="00DE6CEA"/>
    <w:rsid w:val="00DE7D3E"/>
    <w:rsid w:val="00DF0997"/>
    <w:rsid w:val="00DF1965"/>
    <w:rsid w:val="00DF19D4"/>
    <w:rsid w:val="00DF1EB0"/>
    <w:rsid w:val="00DF28D4"/>
    <w:rsid w:val="00DF3014"/>
    <w:rsid w:val="00DF303A"/>
    <w:rsid w:val="00DF46B7"/>
    <w:rsid w:val="00DF5D23"/>
    <w:rsid w:val="00DF6791"/>
    <w:rsid w:val="00DF77E9"/>
    <w:rsid w:val="00DF780C"/>
    <w:rsid w:val="00E01660"/>
    <w:rsid w:val="00E01BB2"/>
    <w:rsid w:val="00E020E1"/>
    <w:rsid w:val="00E0315B"/>
    <w:rsid w:val="00E0489E"/>
    <w:rsid w:val="00E059B0"/>
    <w:rsid w:val="00E059D1"/>
    <w:rsid w:val="00E05B21"/>
    <w:rsid w:val="00E05E3B"/>
    <w:rsid w:val="00E05FB0"/>
    <w:rsid w:val="00E06BC5"/>
    <w:rsid w:val="00E078CE"/>
    <w:rsid w:val="00E07D1E"/>
    <w:rsid w:val="00E105D8"/>
    <w:rsid w:val="00E10EA3"/>
    <w:rsid w:val="00E15B4B"/>
    <w:rsid w:val="00E1627F"/>
    <w:rsid w:val="00E169C3"/>
    <w:rsid w:val="00E16D13"/>
    <w:rsid w:val="00E17C52"/>
    <w:rsid w:val="00E21C6B"/>
    <w:rsid w:val="00E2230B"/>
    <w:rsid w:val="00E23145"/>
    <w:rsid w:val="00E243E4"/>
    <w:rsid w:val="00E244A6"/>
    <w:rsid w:val="00E24654"/>
    <w:rsid w:val="00E249DA"/>
    <w:rsid w:val="00E24C8E"/>
    <w:rsid w:val="00E25A2E"/>
    <w:rsid w:val="00E2715A"/>
    <w:rsid w:val="00E31645"/>
    <w:rsid w:val="00E32837"/>
    <w:rsid w:val="00E33333"/>
    <w:rsid w:val="00E34988"/>
    <w:rsid w:val="00E358F8"/>
    <w:rsid w:val="00E37939"/>
    <w:rsid w:val="00E41825"/>
    <w:rsid w:val="00E42B7D"/>
    <w:rsid w:val="00E4367D"/>
    <w:rsid w:val="00E439DB"/>
    <w:rsid w:val="00E45A55"/>
    <w:rsid w:val="00E45C3A"/>
    <w:rsid w:val="00E45F9E"/>
    <w:rsid w:val="00E46818"/>
    <w:rsid w:val="00E46B74"/>
    <w:rsid w:val="00E476FB"/>
    <w:rsid w:val="00E47912"/>
    <w:rsid w:val="00E47A6A"/>
    <w:rsid w:val="00E47A9F"/>
    <w:rsid w:val="00E5094F"/>
    <w:rsid w:val="00E5108E"/>
    <w:rsid w:val="00E5187B"/>
    <w:rsid w:val="00E519A3"/>
    <w:rsid w:val="00E519D0"/>
    <w:rsid w:val="00E52028"/>
    <w:rsid w:val="00E54BAF"/>
    <w:rsid w:val="00E55681"/>
    <w:rsid w:val="00E55FD4"/>
    <w:rsid w:val="00E5647B"/>
    <w:rsid w:val="00E604F2"/>
    <w:rsid w:val="00E61162"/>
    <w:rsid w:val="00E625F3"/>
    <w:rsid w:val="00E62BDB"/>
    <w:rsid w:val="00E6389D"/>
    <w:rsid w:val="00E63DA8"/>
    <w:rsid w:val="00E64722"/>
    <w:rsid w:val="00E64C00"/>
    <w:rsid w:val="00E65914"/>
    <w:rsid w:val="00E66714"/>
    <w:rsid w:val="00E66939"/>
    <w:rsid w:val="00E6790B"/>
    <w:rsid w:val="00E679EC"/>
    <w:rsid w:val="00E70868"/>
    <w:rsid w:val="00E70F3A"/>
    <w:rsid w:val="00E716E2"/>
    <w:rsid w:val="00E72506"/>
    <w:rsid w:val="00E76E32"/>
    <w:rsid w:val="00E7734C"/>
    <w:rsid w:val="00E77D26"/>
    <w:rsid w:val="00E8071F"/>
    <w:rsid w:val="00E80CF9"/>
    <w:rsid w:val="00E8135E"/>
    <w:rsid w:val="00E82234"/>
    <w:rsid w:val="00E829B3"/>
    <w:rsid w:val="00E82B19"/>
    <w:rsid w:val="00E82BE9"/>
    <w:rsid w:val="00E82D3B"/>
    <w:rsid w:val="00E83E34"/>
    <w:rsid w:val="00E84235"/>
    <w:rsid w:val="00E84911"/>
    <w:rsid w:val="00E86374"/>
    <w:rsid w:val="00E87B82"/>
    <w:rsid w:val="00E9022A"/>
    <w:rsid w:val="00E90EC5"/>
    <w:rsid w:val="00E913F0"/>
    <w:rsid w:val="00E9258E"/>
    <w:rsid w:val="00E9260E"/>
    <w:rsid w:val="00E92684"/>
    <w:rsid w:val="00E93504"/>
    <w:rsid w:val="00E93D42"/>
    <w:rsid w:val="00E9452C"/>
    <w:rsid w:val="00E9508B"/>
    <w:rsid w:val="00E95E0D"/>
    <w:rsid w:val="00E96677"/>
    <w:rsid w:val="00E96DFA"/>
    <w:rsid w:val="00E974D5"/>
    <w:rsid w:val="00E976EE"/>
    <w:rsid w:val="00E9791D"/>
    <w:rsid w:val="00EA004A"/>
    <w:rsid w:val="00EA052E"/>
    <w:rsid w:val="00EA0584"/>
    <w:rsid w:val="00EA1F47"/>
    <w:rsid w:val="00EA2EC7"/>
    <w:rsid w:val="00EA319E"/>
    <w:rsid w:val="00EA321E"/>
    <w:rsid w:val="00EA3878"/>
    <w:rsid w:val="00EA3F14"/>
    <w:rsid w:val="00EA3F54"/>
    <w:rsid w:val="00EA46E3"/>
    <w:rsid w:val="00EA6090"/>
    <w:rsid w:val="00EA7227"/>
    <w:rsid w:val="00EA74BE"/>
    <w:rsid w:val="00EA7AC3"/>
    <w:rsid w:val="00EA7F0A"/>
    <w:rsid w:val="00EB0638"/>
    <w:rsid w:val="00EB225C"/>
    <w:rsid w:val="00EB239D"/>
    <w:rsid w:val="00EB2C15"/>
    <w:rsid w:val="00EB2F38"/>
    <w:rsid w:val="00EB4187"/>
    <w:rsid w:val="00EB4E87"/>
    <w:rsid w:val="00EB64BF"/>
    <w:rsid w:val="00EB682B"/>
    <w:rsid w:val="00EB6C7C"/>
    <w:rsid w:val="00EB7788"/>
    <w:rsid w:val="00EC0A47"/>
    <w:rsid w:val="00EC0F28"/>
    <w:rsid w:val="00EC1373"/>
    <w:rsid w:val="00EC1445"/>
    <w:rsid w:val="00EC2331"/>
    <w:rsid w:val="00EC2ED7"/>
    <w:rsid w:val="00EC494C"/>
    <w:rsid w:val="00EC5A70"/>
    <w:rsid w:val="00EC6183"/>
    <w:rsid w:val="00EC78F2"/>
    <w:rsid w:val="00EC7A46"/>
    <w:rsid w:val="00EC7CDB"/>
    <w:rsid w:val="00ED03B6"/>
    <w:rsid w:val="00ED0C7A"/>
    <w:rsid w:val="00ED140A"/>
    <w:rsid w:val="00ED1F15"/>
    <w:rsid w:val="00ED3445"/>
    <w:rsid w:val="00ED3B3D"/>
    <w:rsid w:val="00ED441C"/>
    <w:rsid w:val="00ED4C77"/>
    <w:rsid w:val="00ED5725"/>
    <w:rsid w:val="00ED598A"/>
    <w:rsid w:val="00ED5B9E"/>
    <w:rsid w:val="00ED5DB7"/>
    <w:rsid w:val="00ED665F"/>
    <w:rsid w:val="00EE06BE"/>
    <w:rsid w:val="00EE07DE"/>
    <w:rsid w:val="00EE092F"/>
    <w:rsid w:val="00EE0E29"/>
    <w:rsid w:val="00EE13B2"/>
    <w:rsid w:val="00EE170C"/>
    <w:rsid w:val="00EE17C4"/>
    <w:rsid w:val="00EE1F78"/>
    <w:rsid w:val="00EE27C0"/>
    <w:rsid w:val="00EE288F"/>
    <w:rsid w:val="00EE2CA0"/>
    <w:rsid w:val="00EE3281"/>
    <w:rsid w:val="00EE3B32"/>
    <w:rsid w:val="00EE48CD"/>
    <w:rsid w:val="00EE4A75"/>
    <w:rsid w:val="00EE60A3"/>
    <w:rsid w:val="00EE60D1"/>
    <w:rsid w:val="00EE6316"/>
    <w:rsid w:val="00EE6671"/>
    <w:rsid w:val="00EE68ED"/>
    <w:rsid w:val="00EE6FB7"/>
    <w:rsid w:val="00EE7A41"/>
    <w:rsid w:val="00EF0269"/>
    <w:rsid w:val="00EF2280"/>
    <w:rsid w:val="00EF274A"/>
    <w:rsid w:val="00EF2BCA"/>
    <w:rsid w:val="00EF2D66"/>
    <w:rsid w:val="00EF2F14"/>
    <w:rsid w:val="00EF3E3A"/>
    <w:rsid w:val="00EF58EC"/>
    <w:rsid w:val="00EF6FBD"/>
    <w:rsid w:val="00EF76BE"/>
    <w:rsid w:val="00EF76D8"/>
    <w:rsid w:val="00EF7848"/>
    <w:rsid w:val="00F0044A"/>
    <w:rsid w:val="00F00539"/>
    <w:rsid w:val="00F01506"/>
    <w:rsid w:val="00F0219C"/>
    <w:rsid w:val="00F03452"/>
    <w:rsid w:val="00F0388F"/>
    <w:rsid w:val="00F03F65"/>
    <w:rsid w:val="00F04068"/>
    <w:rsid w:val="00F04D0E"/>
    <w:rsid w:val="00F04F58"/>
    <w:rsid w:val="00F054D6"/>
    <w:rsid w:val="00F05921"/>
    <w:rsid w:val="00F0659C"/>
    <w:rsid w:val="00F06972"/>
    <w:rsid w:val="00F10447"/>
    <w:rsid w:val="00F11711"/>
    <w:rsid w:val="00F12862"/>
    <w:rsid w:val="00F139F3"/>
    <w:rsid w:val="00F16C3C"/>
    <w:rsid w:val="00F16E7F"/>
    <w:rsid w:val="00F20237"/>
    <w:rsid w:val="00F2060B"/>
    <w:rsid w:val="00F2122E"/>
    <w:rsid w:val="00F218B4"/>
    <w:rsid w:val="00F22408"/>
    <w:rsid w:val="00F22B8F"/>
    <w:rsid w:val="00F22EB0"/>
    <w:rsid w:val="00F246D1"/>
    <w:rsid w:val="00F249C5"/>
    <w:rsid w:val="00F25ABA"/>
    <w:rsid w:val="00F2692E"/>
    <w:rsid w:val="00F26FCA"/>
    <w:rsid w:val="00F30680"/>
    <w:rsid w:val="00F30B48"/>
    <w:rsid w:val="00F310C7"/>
    <w:rsid w:val="00F32168"/>
    <w:rsid w:val="00F32355"/>
    <w:rsid w:val="00F325EE"/>
    <w:rsid w:val="00F328ED"/>
    <w:rsid w:val="00F33B94"/>
    <w:rsid w:val="00F364D6"/>
    <w:rsid w:val="00F3736F"/>
    <w:rsid w:val="00F37788"/>
    <w:rsid w:val="00F416D7"/>
    <w:rsid w:val="00F41D34"/>
    <w:rsid w:val="00F41D89"/>
    <w:rsid w:val="00F42695"/>
    <w:rsid w:val="00F42837"/>
    <w:rsid w:val="00F4294C"/>
    <w:rsid w:val="00F43A0D"/>
    <w:rsid w:val="00F44892"/>
    <w:rsid w:val="00F465FF"/>
    <w:rsid w:val="00F467AE"/>
    <w:rsid w:val="00F46BCD"/>
    <w:rsid w:val="00F4759D"/>
    <w:rsid w:val="00F47E7B"/>
    <w:rsid w:val="00F50A34"/>
    <w:rsid w:val="00F51EEE"/>
    <w:rsid w:val="00F52692"/>
    <w:rsid w:val="00F52780"/>
    <w:rsid w:val="00F52B8D"/>
    <w:rsid w:val="00F538E7"/>
    <w:rsid w:val="00F54E58"/>
    <w:rsid w:val="00F55738"/>
    <w:rsid w:val="00F55B2E"/>
    <w:rsid w:val="00F55E73"/>
    <w:rsid w:val="00F5609C"/>
    <w:rsid w:val="00F564E1"/>
    <w:rsid w:val="00F56CC0"/>
    <w:rsid w:val="00F56D95"/>
    <w:rsid w:val="00F56DA5"/>
    <w:rsid w:val="00F575C7"/>
    <w:rsid w:val="00F60F9C"/>
    <w:rsid w:val="00F63374"/>
    <w:rsid w:val="00F6474A"/>
    <w:rsid w:val="00F64B4D"/>
    <w:rsid w:val="00F64B7D"/>
    <w:rsid w:val="00F65C42"/>
    <w:rsid w:val="00F66572"/>
    <w:rsid w:val="00F6691B"/>
    <w:rsid w:val="00F66DFB"/>
    <w:rsid w:val="00F6714D"/>
    <w:rsid w:val="00F671CB"/>
    <w:rsid w:val="00F675EC"/>
    <w:rsid w:val="00F70B23"/>
    <w:rsid w:val="00F70D5A"/>
    <w:rsid w:val="00F70FC5"/>
    <w:rsid w:val="00F71A48"/>
    <w:rsid w:val="00F72478"/>
    <w:rsid w:val="00F73178"/>
    <w:rsid w:val="00F73568"/>
    <w:rsid w:val="00F736F3"/>
    <w:rsid w:val="00F7467E"/>
    <w:rsid w:val="00F7477A"/>
    <w:rsid w:val="00F748A2"/>
    <w:rsid w:val="00F74B03"/>
    <w:rsid w:val="00F75C4F"/>
    <w:rsid w:val="00F76B1A"/>
    <w:rsid w:val="00F7789F"/>
    <w:rsid w:val="00F77AA2"/>
    <w:rsid w:val="00F77AFF"/>
    <w:rsid w:val="00F77C7B"/>
    <w:rsid w:val="00F80FF0"/>
    <w:rsid w:val="00F816BD"/>
    <w:rsid w:val="00F81EF9"/>
    <w:rsid w:val="00F82FB3"/>
    <w:rsid w:val="00F83159"/>
    <w:rsid w:val="00F8328F"/>
    <w:rsid w:val="00F837AF"/>
    <w:rsid w:val="00F85D01"/>
    <w:rsid w:val="00F85D9A"/>
    <w:rsid w:val="00F86930"/>
    <w:rsid w:val="00F87F33"/>
    <w:rsid w:val="00F90EEA"/>
    <w:rsid w:val="00F910AF"/>
    <w:rsid w:val="00F925FC"/>
    <w:rsid w:val="00F95923"/>
    <w:rsid w:val="00F96388"/>
    <w:rsid w:val="00F971D5"/>
    <w:rsid w:val="00FA013D"/>
    <w:rsid w:val="00FA1E53"/>
    <w:rsid w:val="00FA3693"/>
    <w:rsid w:val="00FA3EB1"/>
    <w:rsid w:val="00FA4DF0"/>
    <w:rsid w:val="00FA5F1D"/>
    <w:rsid w:val="00FA6E00"/>
    <w:rsid w:val="00FA6FE5"/>
    <w:rsid w:val="00FA7476"/>
    <w:rsid w:val="00FA768D"/>
    <w:rsid w:val="00FB0EBF"/>
    <w:rsid w:val="00FB1748"/>
    <w:rsid w:val="00FB182A"/>
    <w:rsid w:val="00FB19BA"/>
    <w:rsid w:val="00FB34C9"/>
    <w:rsid w:val="00FB568C"/>
    <w:rsid w:val="00FB625A"/>
    <w:rsid w:val="00FB66C0"/>
    <w:rsid w:val="00FB68F7"/>
    <w:rsid w:val="00FB70B8"/>
    <w:rsid w:val="00FB7D11"/>
    <w:rsid w:val="00FC0F8F"/>
    <w:rsid w:val="00FC21C8"/>
    <w:rsid w:val="00FC25E8"/>
    <w:rsid w:val="00FC2FAC"/>
    <w:rsid w:val="00FC3926"/>
    <w:rsid w:val="00FC42AA"/>
    <w:rsid w:val="00FC4427"/>
    <w:rsid w:val="00FC6429"/>
    <w:rsid w:val="00FC6C80"/>
    <w:rsid w:val="00FC717C"/>
    <w:rsid w:val="00FC74F7"/>
    <w:rsid w:val="00FC78B1"/>
    <w:rsid w:val="00FC78CA"/>
    <w:rsid w:val="00FD07D6"/>
    <w:rsid w:val="00FD256A"/>
    <w:rsid w:val="00FD39F8"/>
    <w:rsid w:val="00FD40CA"/>
    <w:rsid w:val="00FD464C"/>
    <w:rsid w:val="00FD620F"/>
    <w:rsid w:val="00FD68C0"/>
    <w:rsid w:val="00FD691E"/>
    <w:rsid w:val="00FD6E3E"/>
    <w:rsid w:val="00FD7059"/>
    <w:rsid w:val="00FD7972"/>
    <w:rsid w:val="00FD7BFE"/>
    <w:rsid w:val="00FE02FA"/>
    <w:rsid w:val="00FE052C"/>
    <w:rsid w:val="00FE2291"/>
    <w:rsid w:val="00FE3732"/>
    <w:rsid w:val="00FE3BB1"/>
    <w:rsid w:val="00FE4A2D"/>
    <w:rsid w:val="00FE5234"/>
    <w:rsid w:val="00FE52C7"/>
    <w:rsid w:val="00FE55AE"/>
    <w:rsid w:val="00FE7F59"/>
    <w:rsid w:val="00FF21BF"/>
    <w:rsid w:val="00FF2724"/>
    <w:rsid w:val="00FF2AEE"/>
    <w:rsid w:val="00FF394E"/>
    <w:rsid w:val="00FF446A"/>
    <w:rsid w:val="00FF468E"/>
    <w:rsid w:val="00FF47DE"/>
    <w:rsid w:val="00FF4D3B"/>
    <w:rsid w:val="00FF5D1F"/>
    <w:rsid w:val="00FF5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D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7CE"/>
    <w:pPr>
      <w:spacing w:after="100" w:line="400" w:lineRule="exact"/>
      <w:jc w:val="both"/>
    </w:pPr>
    <w:rPr>
      <w:rFonts w:ascii="Century Schoolbook" w:hAnsi="Century Schoolbook"/>
      <w:sz w:val="27"/>
      <w:szCs w:val="20"/>
    </w:rPr>
  </w:style>
  <w:style w:type="paragraph" w:styleId="Heading1">
    <w:name w:val="heading 1"/>
    <w:basedOn w:val="Normal"/>
    <w:next w:val="Normal"/>
    <w:qFormat/>
    <w:rsid w:val="005007CE"/>
    <w:pPr>
      <w:keepNext/>
      <w:spacing w:before="140" w:line="240" w:lineRule="atLeast"/>
      <w:jc w:val="center"/>
      <w:outlineLvl w:val="0"/>
    </w:pPr>
    <w:rPr>
      <w:b/>
      <w:smallCaps/>
    </w:rPr>
  </w:style>
  <w:style w:type="paragraph" w:styleId="Heading2">
    <w:name w:val="heading 2"/>
    <w:basedOn w:val="Normal"/>
    <w:next w:val="Normal"/>
    <w:qFormat/>
    <w:rsid w:val="005007CE"/>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5007CE"/>
    <w:pPr>
      <w:keepNext/>
      <w:tabs>
        <w:tab w:val="left" w:pos="1584"/>
      </w:tabs>
      <w:spacing w:before="140" w:line="240" w:lineRule="atLeast"/>
      <w:ind w:left="1584" w:hanging="432"/>
      <w:jc w:val="left"/>
      <w:outlineLvl w:val="2"/>
    </w:pPr>
    <w:rPr>
      <w:i/>
    </w:rPr>
  </w:style>
  <w:style w:type="paragraph" w:styleId="Heading4">
    <w:name w:val="heading 4"/>
    <w:basedOn w:val="Normal"/>
    <w:rsid w:val="005007CE"/>
    <w:pPr>
      <w:keepNext/>
      <w:tabs>
        <w:tab w:val="left" w:pos="2016"/>
      </w:tabs>
      <w:spacing w:before="140" w:line="240" w:lineRule="atLeast"/>
      <w:ind w:left="2016" w:hanging="432"/>
      <w:jc w:val="left"/>
      <w:outlineLvl w:val="3"/>
    </w:pPr>
    <w:rPr>
      <w:i/>
    </w:rPr>
  </w:style>
  <w:style w:type="paragraph" w:styleId="Heading5">
    <w:name w:val="heading 5"/>
    <w:basedOn w:val="Normal"/>
    <w:rsid w:val="005007CE"/>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5007CE"/>
    <w:pPr>
      <w:ind w:left="720"/>
    </w:pPr>
  </w:style>
  <w:style w:type="paragraph" w:styleId="Footer">
    <w:name w:val="footer"/>
    <w:basedOn w:val="Normal"/>
    <w:qFormat/>
    <w:rsid w:val="005007CE"/>
    <w:pPr>
      <w:tabs>
        <w:tab w:val="center" w:pos="3960"/>
        <w:tab w:val="right" w:pos="10080"/>
      </w:tabs>
      <w:spacing w:after="0" w:line="240" w:lineRule="auto"/>
      <w:jc w:val="center"/>
    </w:pPr>
    <w:rPr>
      <w:sz w:val="22"/>
    </w:rPr>
  </w:style>
  <w:style w:type="paragraph" w:styleId="Header">
    <w:name w:val="header"/>
    <w:basedOn w:val="Normal"/>
    <w:qFormat/>
    <w:rsid w:val="005007CE"/>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5007CE"/>
    <w:rPr>
      <w:rFonts w:ascii="Century Schoolbook" w:hAnsi="Century Schoolbook"/>
      <w:b/>
      <w:i w:val="0"/>
      <w:position w:val="4"/>
      <w:sz w:val="27"/>
      <w:vertAlign w:val="superscript"/>
    </w:rPr>
  </w:style>
  <w:style w:type="paragraph" w:styleId="FootnoteText">
    <w:name w:val="footnote text"/>
    <w:basedOn w:val="Normal"/>
    <w:link w:val="FootnoteTextChar"/>
    <w:rsid w:val="005007CE"/>
    <w:pPr>
      <w:spacing w:line="300" w:lineRule="exact"/>
    </w:pPr>
  </w:style>
  <w:style w:type="paragraph" w:customStyle="1" w:styleId="Title1">
    <w:name w:val="Title1"/>
    <w:basedOn w:val="Normal"/>
    <w:rsid w:val="005007CE"/>
    <w:pPr>
      <w:tabs>
        <w:tab w:val="left" w:pos="5760"/>
        <w:tab w:val="left" w:pos="6480"/>
      </w:tabs>
      <w:spacing w:line="240" w:lineRule="atLeast"/>
    </w:pPr>
  </w:style>
  <w:style w:type="paragraph" w:customStyle="1" w:styleId="Recommend">
    <w:name w:val="Recommend"/>
    <w:basedOn w:val="Normal"/>
    <w:rsid w:val="005007CE"/>
  </w:style>
  <w:style w:type="paragraph" w:customStyle="1" w:styleId="Summary">
    <w:name w:val="Summary"/>
    <w:basedOn w:val="Normal"/>
    <w:rsid w:val="005007CE"/>
    <w:pPr>
      <w:ind w:left="2160" w:hanging="2160"/>
    </w:pPr>
  </w:style>
  <w:style w:type="paragraph" w:customStyle="1" w:styleId="Text">
    <w:name w:val="Text"/>
    <w:basedOn w:val="Normal"/>
    <w:rsid w:val="005007CE"/>
    <w:pPr>
      <w:tabs>
        <w:tab w:val="left" w:pos="720"/>
        <w:tab w:val="left" w:pos="1440"/>
        <w:tab w:val="left" w:pos="2160"/>
        <w:tab w:val="center" w:pos="4320"/>
      </w:tabs>
      <w:spacing w:line="480" w:lineRule="atLeast"/>
      <w:ind w:firstLine="540"/>
    </w:pPr>
  </w:style>
  <w:style w:type="paragraph" w:styleId="Date">
    <w:name w:val="Date"/>
    <w:basedOn w:val="Normal"/>
    <w:semiHidden/>
    <w:rsid w:val="005007CE"/>
    <w:pPr>
      <w:jc w:val="right"/>
    </w:pPr>
  </w:style>
  <w:style w:type="character" w:styleId="PageNumber">
    <w:name w:val="page number"/>
    <w:basedOn w:val="DefaultParagraphFont"/>
    <w:semiHidden/>
    <w:rsid w:val="005007CE"/>
  </w:style>
  <w:style w:type="paragraph" w:customStyle="1" w:styleId="subject">
    <w:name w:val="subject"/>
    <w:basedOn w:val="Normal"/>
    <w:rsid w:val="005007CE"/>
    <w:pPr>
      <w:tabs>
        <w:tab w:val="left" w:pos="1008"/>
      </w:tabs>
      <w:ind w:left="990" w:hanging="990"/>
    </w:pPr>
    <w:rPr>
      <w:b/>
    </w:rPr>
  </w:style>
  <w:style w:type="paragraph" w:customStyle="1" w:styleId="Titles">
    <w:name w:val="Titles"/>
    <w:basedOn w:val="Normal"/>
    <w:rsid w:val="005007CE"/>
    <w:pPr>
      <w:tabs>
        <w:tab w:val="left" w:pos="2160"/>
      </w:tabs>
      <w:ind w:left="2160" w:hanging="2160"/>
    </w:pPr>
    <w:rPr>
      <w:b/>
    </w:rPr>
  </w:style>
  <w:style w:type="paragraph" w:styleId="TOAHeading">
    <w:name w:val="toa heading"/>
    <w:basedOn w:val="Normal"/>
    <w:next w:val="Normal"/>
    <w:semiHidden/>
    <w:rsid w:val="005007CE"/>
    <w:pPr>
      <w:spacing w:before="120"/>
    </w:pPr>
    <w:rPr>
      <w:b/>
    </w:rPr>
  </w:style>
  <w:style w:type="paragraph" w:styleId="TOC1">
    <w:name w:val="toc 1"/>
    <w:basedOn w:val="Normal"/>
    <w:next w:val="Normal"/>
    <w:autoRedefine/>
    <w:semiHidden/>
    <w:rsid w:val="005007CE"/>
  </w:style>
  <w:style w:type="paragraph" w:styleId="TOC2">
    <w:name w:val="toc 2"/>
    <w:basedOn w:val="Normal"/>
    <w:next w:val="Normal"/>
    <w:autoRedefine/>
    <w:semiHidden/>
    <w:rsid w:val="005007CE"/>
    <w:pPr>
      <w:ind w:left="259"/>
    </w:pPr>
  </w:style>
  <w:style w:type="paragraph" w:styleId="TOC3">
    <w:name w:val="toc 3"/>
    <w:basedOn w:val="Normal"/>
    <w:next w:val="Normal"/>
    <w:autoRedefine/>
    <w:semiHidden/>
    <w:rsid w:val="005007CE"/>
    <w:pPr>
      <w:ind w:left="520"/>
    </w:pPr>
  </w:style>
  <w:style w:type="paragraph" w:styleId="TOC4">
    <w:name w:val="toc 4"/>
    <w:basedOn w:val="Normal"/>
    <w:next w:val="Normal"/>
    <w:autoRedefine/>
    <w:semiHidden/>
    <w:rsid w:val="005007CE"/>
    <w:pPr>
      <w:ind w:left="780"/>
    </w:pPr>
  </w:style>
  <w:style w:type="paragraph" w:styleId="TOC5">
    <w:name w:val="toc 5"/>
    <w:basedOn w:val="Normal"/>
    <w:next w:val="Normal"/>
    <w:autoRedefine/>
    <w:semiHidden/>
    <w:rsid w:val="005007CE"/>
    <w:pPr>
      <w:ind w:left="1040"/>
    </w:pPr>
  </w:style>
  <w:style w:type="paragraph" w:styleId="TOC6">
    <w:name w:val="toc 6"/>
    <w:basedOn w:val="Normal"/>
    <w:next w:val="Normal"/>
    <w:autoRedefine/>
    <w:semiHidden/>
    <w:rsid w:val="005007CE"/>
    <w:pPr>
      <w:ind w:left="1300"/>
    </w:pPr>
  </w:style>
  <w:style w:type="paragraph" w:styleId="TOC7">
    <w:name w:val="toc 7"/>
    <w:basedOn w:val="Normal"/>
    <w:next w:val="Normal"/>
    <w:autoRedefine/>
    <w:semiHidden/>
    <w:rsid w:val="005007CE"/>
    <w:pPr>
      <w:ind w:left="1560"/>
    </w:pPr>
  </w:style>
  <w:style w:type="paragraph" w:styleId="TOC8">
    <w:name w:val="toc 8"/>
    <w:basedOn w:val="Normal"/>
    <w:next w:val="Normal"/>
    <w:autoRedefine/>
    <w:semiHidden/>
    <w:rsid w:val="005007CE"/>
    <w:pPr>
      <w:ind w:left="1820"/>
    </w:pPr>
  </w:style>
  <w:style w:type="paragraph" w:styleId="TOC9">
    <w:name w:val="toc 9"/>
    <w:basedOn w:val="Normal"/>
    <w:next w:val="Normal"/>
    <w:autoRedefine/>
    <w:semiHidden/>
    <w:rsid w:val="005007CE"/>
    <w:pPr>
      <w:ind w:left="2080"/>
    </w:pPr>
  </w:style>
  <w:style w:type="paragraph" w:customStyle="1" w:styleId="Contents">
    <w:name w:val="Contents"/>
    <w:basedOn w:val="Normal"/>
    <w:rsid w:val="005007CE"/>
    <w:pPr>
      <w:jc w:val="center"/>
    </w:pPr>
    <w:rPr>
      <w:b/>
      <w:spacing w:val="100"/>
    </w:rPr>
  </w:style>
  <w:style w:type="paragraph" w:styleId="PlainText">
    <w:name w:val="Plain Text"/>
    <w:basedOn w:val="Normal"/>
    <w:link w:val="PlainTextChar"/>
    <w:uiPriority w:val="99"/>
    <w:unhideWhenUsed/>
    <w:rsid w:val="00CB498F"/>
    <w:rPr>
      <w:rFonts w:ascii="Georgia" w:hAnsi="Georgia" w:cstheme="minorBidi"/>
      <w:szCs w:val="21"/>
    </w:rPr>
  </w:style>
  <w:style w:type="character" w:customStyle="1" w:styleId="PlainTextChar">
    <w:name w:val="Plain Text Char"/>
    <w:basedOn w:val="DefaultParagraphFont"/>
    <w:link w:val="PlainText"/>
    <w:uiPriority w:val="99"/>
    <w:rsid w:val="00CB498F"/>
    <w:rPr>
      <w:rFonts w:ascii="Georgia" w:hAnsi="Georgia" w:cstheme="minorBidi"/>
      <w:sz w:val="26"/>
      <w:szCs w:val="21"/>
    </w:rPr>
  </w:style>
  <w:style w:type="character" w:customStyle="1" w:styleId="ssparacontent">
    <w:name w:val="ss_paracontent"/>
    <w:basedOn w:val="DefaultParagraphFont"/>
    <w:rsid w:val="004A6BAB"/>
  </w:style>
  <w:style w:type="paragraph" w:styleId="ListParagraph">
    <w:name w:val="List Paragraph"/>
    <w:basedOn w:val="Normal"/>
    <w:uiPriority w:val="34"/>
    <w:qFormat/>
    <w:rsid w:val="00D31ADF"/>
    <w:pPr>
      <w:ind w:left="720"/>
      <w:contextualSpacing/>
    </w:pPr>
  </w:style>
  <w:style w:type="character" w:styleId="Hyperlink">
    <w:name w:val="Hyperlink"/>
    <w:basedOn w:val="DefaultParagraphFont"/>
    <w:uiPriority w:val="99"/>
    <w:unhideWhenUsed/>
    <w:rsid w:val="00C64DF3"/>
    <w:rPr>
      <w:color w:val="0000FF"/>
      <w:u w:val="single"/>
    </w:rPr>
  </w:style>
  <w:style w:type="character" w:customStyle="1" w:styleId="FootnoteTextChar">
    <w:name w:val="Footnote Text Char"/>
    <w:basedOn w:val="DefaultParagraphFont"/>
    <w:link w:val="FootnoteText"/>
    <w:rsid w:val="00FB68F7"/>
    <w:rPr>
      <w:rFonts w:ascii="Century Schoolbook" w:hAnsi="Century Schoolbook"/>
      <w:sz w:val="27"/>
      <w:szCs w:val="20"/>
    </w:rPr>
  </w:style>
  <w:style w:type="character" w:styleId="CommentReference">
    <w:name w:val="annotation reference"/>
    <w:basedOn w:val="DefaultParagraphFont"/>
    <w:uiPriority w:val="99"/>
    <w:semiHidden/>
    <w:unhideWhenUsed/>
    <w:rsid w:val="00E06BC5"/>
    <w:rPr>
      <w:sz w:val="16"/>
      <w:szCs w:val="16"/>
    </w:rPr>
  </w:style>
  <w:style w:type="paragraph" w:styleId="CommentText">
    <w:name w:val="annotation text"/>
    <w:basedOn w:val="Normal"/>
    <w:link w:val="CommentTextChar"/>
    <w:uiPriority w:val="99"/>
    <w:semiHidden/>
    <w:unhideWhenUsed/>
    <w:rsid w:val="00E06BC5"/>
    <w:rPr>
      <w:sz w:val="20"/>
    </w:rPr>
  </w:style>
  <w:style w:type="character" w:customStyle="1" w:styleId="CommentTextChar">
    <w:name w:val="Comment Text Char"/>
    <w:basedOn w:val="DefaultParagraphFont"/>
    <w:link w:val="CommentText"/>
    <w:uiPriority w:val="99"/>
    <w:semiHidden/>
    <w:rsid w:val="00E06BC5"/>
    <w:rPr>
      <w:sz w:val="20"/>
      <w:szCs w:val="20"/>
    </w:rPr>
  </w:style>
  <w:style w:type="paragraph" w:styleId="CommentSubject">
    <w:name w:val="annotation subject"/>
    <w:basedOn w:val="CommentText"/>
    <w:next w:val="CommentText"/>
    <w:link w:val="CommentSubjectChar"/>
    <w:uiPriority w:val="99"/>
    <w:semiHidden/>
    <w:unhideWhenUsed/>
    <w:rsid w:val="00E06BC5"/>
    <w:rPr>
      <w:b/>
      <w:bCs/>
    </w:rPr>
  </w:style>
  <w:style w:type="character" w:customStyle="1" w:styleId="CommentSubjectChar">
    <w:name w:val="Comment Subject Char"/>
    <w:basedOn w:val="CommentTextChar"/>
    <w:link w:val="CommentSubject"/>
    <w:uiPriority w:val="99"/>
    <w:semiHidden/>
    <w:rsid w:val="00E06BC5"/>
    <w:rPr>
      <w:b/>
      <w:bCs/>
      <w:sz w:val="20"/>
      <w:szCs w:val="20"/>
    </w:rPr>
  </w:style>
  <w:style w:type="paragraph" w:styleId="Revision">
    <w:name w:val="Revision"/>
    <w:hidden/>
    <w:uiPriority w:val="99"/>
    <w:semiHidden/>
    <w:rsid w:val="00E06BC5"/>
  </w:style>
  <w:style w:type="paragraph" w:styleId="BalloonText">
    <w:name w:val="Balloon Text"/>
    <w:basedOn w:val="Normal"/>
    <w:link w:val="BalloonTextChar"/>
    <w:uiPriority w:val="99"/>
    <w:semiHidden/>
    <w:unhideWhenUsed/>
    <w:rsid w:val="00E06BC5"/>
    <w:rPr>
      <w:rFonts w:ascii="Tahoma" w:hAnsi="Tahoma" w:cs="Tahoma"/>
      <w:sz w:val="16"/>
      <w:szCs w:val="16"/>
    </w:rPr>
  </w:style>
  <w:style w:type="character" w:customStyle="1" w:styleId="BalloonTextChar">
    <w:name w:val="Balloon Text Char"/>
    <w:basedOn w:val="DefaultParagraphFont"/>
    <w:link w:val="BalloonText"/>
    <w:uiPriority w:val="99"/>
    <w:semiHidden/>
    <w:rsid w:val="00E06BC5"/>
    <w:rPr>
      <w:rFonts w:ascii="Tahoma" w:hAnsi="Tahoma" w:cs="Tahoma"/>
      <w:sz w:val="16"/>
      <w:szCs w:val="16"/>
    </w:rPr>
  </w:style>
  <w:style w:type="character" w:customStyle="1" w:styleId="UnresolvedMention1">
    <w:name w:val="Unresolved Mention1"/>
    <w:basedOn w:val="DefaultParagraphFont"/>
    <w:uiPriority w:val="99"/>
    <w:semiHidden/>
    <w:unhideWhenUsed/>
    <w:rsid w:val="003C5FF6"/>
    <w:rPr>
      <w:color w:val="605E5C"/>
      <w:shd w:val="clear" w:color="auto" w:fill="E1DFDD"/>
    </w:rPr>
  </w:style>
  <w:style w:type="paragraph" w:styleId="BodyText">
    <w:name w:val="Body Text"/>
    <w:basedOn w:val="Normal"/>
    <w:link w:val="BodyTextChar"/>
    <w:qFormat/>
    <w:rsid w:val="005007CE"/>
  </w:style>
  <w:style w:type="character" w:customStyle="1" w:styleId="BodyTextChar">
    <w:name w:val="Body Text Char"/>
    <w:basedOn w:val="DefaultParagraphFont"/>
    <w:link w:val="BodyText"/>
    <w:rsid w:val="005007CE"/>
    <w:rPr>
      <w:rFonts w:ascii="Century Schoolbook" w:hAnsi="Century Schoolbook"/>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368989">
      <w:bodyDiv w:val="1"/>
      <w:marLeft w:val="0"/>
      <w:marRight w:val="0"/>
      <w:marTop w:val="0"/>
      <w:marBottom w:val="0"/>
      <w:divBdr>
        <w:top w:val="none" w:sz="0" w:space="0" w:color="auto"/>
        <w:left w:val="none" w:sz="0" w:space="0" w:color="auto"/>
        <w:bottom w:val="none" w:sz="0" w:space="0" w:color="auto"/>
        <w:right w:val="none" w:sz="0" w:space="0" w:color="auto"/>
      </w:divBdr>
    </w:div>
    <w:div w:id="933900686">
      <w:bodyDiv w:val="1"/>
      <w:marLeft w:val="0"/>
      <w:marRight w:val="0"/>
      <w:marTop w:val="0"/>
      <w:marBottom w:val="0"/>
      <w:divBdr>
        <w:top w:val="none" w:sz="0" w:space="0" w:color="auto"/>
        <w:left w:val="none" w:sz="0" w:space="0" w:color="auto"/>
        <w:bottom w:val="none" w:sz="0" w:space="0" w:color="auto"/>
        <w:right w:val="none" w:sz="0" w:space="0" w:color="auto"/>
      </w:divBdr>
    </w:div>
    <w:div w:id="1106804692">
      <w:bodyDiv w:val="1"/>
      <w:marLeft w:val="0"/>
      <w:marRight w:val="0"/>
      <w:marTop w:val="0"/>
      <w:marBottom w:val="0"/>
      <w:divBdr>
        <w:top w:val="none" w:sz="0" w:space="0" w:color="auto"/>
        <w:left w:val="none" w:sz="0" w:space="0" w:color="auto"/>
        <w:bottom w:val="none" w:sz="0" w:space="0" w:color="auto"/>
        <w:right w:val="none" w:sz="0" w:space="0" w:color="auto"/>
      </w:divBdr>
    </w:div>
    <w:div w:id="1109206711">
      <w:bodyDiv w:val="1"/>
      <w:marLeft w:val="0"/>
      <w:marRight w:val="0"/>
      <w:marTop w:val="0"/>
      <w:marBottom w:val="0"/>
      <w:divBdr>
        <w:top w:val="none" w:sz="0" w:space="0" w:color="auto"/>
        <w:left w:val="none" w:sz="0" w:space="0" w:color="auto"/>
        <w:bottom w:val="none" w:sz="0" w:space="0" w:color="auto"/>
        <w:right w:val="none" w:sz="0" w:space="0" w:color="auto"/>
      </w:divBdr>
    </w:div>
    <w:div w:id="1156068302">
      <w:bodyDiv w:val="1"/>
      <w:marLeft w:val="0"/>
      <w:marRight w:val="0"/>
      <w:marTop w:val="0"/>
      <w:marBottom w:val="0"/>
      <w:divBdr>
        <w:top w:val="none" w:sz="0" w:space="0" w:color="auto"/>
        <w:left w:val="none" w:sz="0" w:space="0" w:color="auto"/>
        <w:bottom w:val="none" w:sz="0" w:space="0" w:color="auto"/>
        <w:right w:val="none" w:sz="0" w:space="0" w:color="auto"/>
      </w:divBdr>
    </w:div>
    <w:div w:id="1428497072">
      <w:bodyDiv w:val="1"/>
      <w:marLeft w:val="0"/>
      <w:marRight w:val="0"/>
      <w:marTop w:val="0"/>
      <w:marBottom w:val="0"/>
      <w:divBdr>
        <w:top w:val="none" w:sz="0" w:space="0" w:color="auto"/>
        <w:left w:val="none" w:sz="0" w:space="0" w:color="auto"/>
        <w:bottom w:val="none" w:sz="0" w:space="0" w:color="auto"/>
        <w:right w:val="none" w:sz="0" w:space="0" w:color="auto"/>
      </w:divBdr>
    </w:div>
    <w:div w:id="1453816774">
      <w:bodyDiv w:val="1"/>
      <w:marLeft w:val="0"/>
      <w:marRight w:val="0"/>
      <w:marTop w:val="0"/>
      <w:marBottom w:val="0"/>
      <w:divBdr>
        <w:top w:val="none" w:sz="0" w:space="0" w:color="auto"/>
        <w:left w:val="none" w:sz="0" w:space="0" w:color="auto"/>
        <w:bottom w:val="none" w:sz="0" w:space="0" w:color="auto"/>
        <w:right w:val="none" w:sz="0" w:space="0" w:color="auto"/>
      </w:divBdr>
    </w:div>
    <w:div w:id="1567911779">
      <w:bodyDiv w:val="1"/>
      <w:marLeft w:val="0"/>
      <w:marRight w:val="0"/>
      <w:marTop w:val="0"/>
      <w:marBottom w:val="0"/>
      <w:divBdr>
        <w:top w:val="none" w:sz="0" w:space="0" w:color="auto"/>
        <w:left w:val="none" w:sz="0" w:space="0" w:color="auto"/>
        <w:bottom w:val="none" w:sz="0" w:space="0" w:color="auto"/>
        <w:right w:val="none" w:sz="0" w:space="0" w:color="auto"/>
      </w:divBdr>
    </w:div>
    <w:div w:id="1850101651">
      <w:bodyDiv w:val="1"/>
      <w:marLeft w:val="0"/>
      <w:marRight w:val="0"/>
      <w:marTop w:val="0"/>
      <w:marBottom w:val="0"/>
      <w:divBdr>
        <w:top w:val="none" w:sz="0" w:space="0" w:color="auto"/>
        <w:left w:val="none" w:sz="0" w:space="0" w:color="auto"/>
        <w:bottom w:val="none" w:sz="0" w:space="0" w:color="auto"/>
        <w:right w:val="none" w:sz="0" w:space="0" w:color="auto"/>
      </w:divBdr>
    </w:div>
    <w:div w:id="201479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9575</Words>
  <Characters>54578</Characters>
  <Application>Microsoft Office Word</Application>
  <DocSecurity>0</DocSecurity>
  <Lines>454</Lines>
  <Paragraphs>128</Paragraphs>
  <ScaleCrop>false</ScaleCrop>
  <Company/>
  <LinksUpToDate>false</LinksUpToDate>
  <CharactersWithSpaces>64025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2019-08-16T22:58:00Z</dcterms:created>
  <dcterms:modified xsi:type="dcterms:W3CDTF">2019-08-16T22:58:00Z</dcterms:modified>
</cp:coreProperties>
</file>