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C24CE" w14:textId="18A0D2C2" w:rsidR="00E96279" w:rsidRDefault="00EF5A3A" w:rsidP="00EF5A3A">
      <w:pPr>
        <w:tabs>
          <w:tab w:val="left" w:pos="1440"/>
          <w:tab w:val="left" w:pos="4680"/>
          <w:tab w:val="center" w:pos="7200"/>
        </w:tabs>
        <w:spacing w:after="0"/>
        <w:jc w:val="center"/>
        <w:rPr>
          <w:sz w:val="36"/>
          <w:szCs w:val="26"/>
        </w:rPr>
      </w:pPr>
      <w:bookmarkStart w:id="0" w:name="MarkDocLoc"/>
      <w:bookmarkStart w:id="1" w:name="_Hlk12277029"/>
      <w:bookmarkEnd w:id="0"/>
      <w:r>
        <w:rPr>
          <w:b/>
          <w:sz w:val="36"/>
          <w:szCs w:val="26"/>
        </w:rPr>
        <w:t>IN THE SUPREME COURT OF CALIFORNIA</w:t>
      </w:r>
    </w:p>
    <w:p w14:paraId="6CC20E74" w14:textId="6BB157E6" w:rsidR="00EF5A3A" w:rsidRDefault="00EF5A3A" w:rsidP="00EF5A3A">
      <w:pPr>
        <w:tabs>
          <w:tab w:val="left" w:pos="1440"/>
          <w:tab w:val="left" w:pos="4680"/>
          <w:tab w:val="center" w:pos="7200"/>
        </w:tabs>
        <w:spacing w:after="0"/>
        <w:jc w:val="center"/>
        <w:rPr>
          <w:szCs w:val="26"/>
        </w:rPr>
      </w:pPr>
    </w:p>
    <w:p w14:paraId="0D85F1CB" w14:textId="77B6B55B" w:rsidR="00EF5A3A" w:rsidRDefault="00EF5A3A" w:rsidP="00EF5A3A">
      <w:pPr>
        <w:tabs>
          <w:tab w:val="left" w:pos="1440"/>
          <w:tab w:val="left" w:pos="4680"/>
          <w:tab w:val="center" w:pos="7200"/>
        </w:tabs>
        <w:spacing w:after="0"/>
        <w:jc w:val="center"/>
        <w:rPr>
          <w:szCs w:val="26"/>
        </w:rPr>
      </w:pPr>
      <w:r>
        <w:rPr>
          <w:szCs w:val="26"/>
        </w:rPr>
        <w:t>K.J., a Minor, etc., et al.</w:t>
      </w:r>
      <w:r w:rsidR="00F94D9B">
        <w:rPr>
          <w:szCs w:val="26"/>
        </w:rPr>
        <w:t>,</w:t>
      </w:r>
    </w:p>
    <w:p w14:paraId="2601936E" w14:textId="1709D10E" w:rsidR="00F94D9B" w:rsidRDefault="00EF5A3A" w:rsidP="00EF5A3A">
      <w:pPr>
        <w:tabs>
          <w:tab w:val="left" w:pos="1440"/>
          <w:tab w:val="left" w:pos="4680"/>
          <w:tab w:val="center" w:pos="7200"/>
        </w:tabs>
        <w:spacing w:after="0"/>
        <w:jc w:val="center"/>
        <w:rPr>
          <w:szCs w:val="26"/>
        </w:rPr>
      </w:pPr>
      <w:r>
        <w:rPr>
          <w:szCs w:val="26"/>
        </w:rPr>
        <w:t>Plaintiffs</w:t>
      </w:r>
      <w:r w:rsidR="00F94D9B">
        <w:rPr>
          <w:szCs w:val="26"/>
        </w:rPr>
        <w:t>,</w:t>
      </w:r>
    </w:p>
    <w:p w14:paraId="7CB93BB4" w14:textId="6EA5CBFE" w:rsidR="00F94D9B" w:rsidRDefault="00EF5A3A" w:rsidP="00EF5A3A">
      <w:pPr>
        <w:tabs>
          <w:tab w:val="left" w:pos="1440"/>
          <w:tab w:val="left" w:pos="4680"/>
          <w:tab w:val="center" w:pos="7200"/>
        </w:tabs>
        <w:spacing w:after="0"/>
        <w:jc w:val="center"/>
        <w:rPr>
          <w:szCs w:val="26"/>
        </w:rPr>
      </w:pPr>
      <w:r>
        <w:rPr>
          <w:szCs w:val="26"/>
        </w:rPr>
        <w:t>v.</w:t>
      </w:r>
    </w:p>
    <w:p w14:paraId="2F828816" w14:textId="02C072AF" w:rsidR="00EF5A3A" w:rsidRDefault="00EF5A3A" w:rsidP="00EF5A3A">
      <w:pPr>
        <w:tabs>
          <w:tab w:val="left" w:pos="1440"/>
          <w:tab w:val="left" w:pos="4680"/>
          <w:tab w:val="center" w:pos="7200"/>
        </w:tabs>
        <w:spacing w:after="0"/>
        <w:jc w:val="center"/>
        <w:rPr>
          <w:szCs w:val="26"/>
        </w:rPr>
      </w:pPr>
      <w:r>
        <w:rPr>
          <w:szCs w:val="26"/>
        </w:rPr>
        <w:t>LOS ANGELES UNIFIED SCHOOL DISTRICT et al.</w:t>
      </w:r>
      <w:r w:rsidR="00381DE0">
        <w:rPr>
          <w:szCs w:val="26"/>
        </w:rPr>
        <w:t>,</w:t>
      </w:r>
    </w:p>
    <w:p w14:paraId="35266929" w14:textId="4D375D4F" w:rsidR="00F94D9B" w:rsidRDefault="00F94D9B" w:rsidP="00EF5A3A">
      <w:pPr>
        <w:tabs>
          <w:tab w:val="left" w:pos="1440"/>
          <w:tab w:val="left" w:pos="4680"/>
          <w:tab w:val="center" w:pos="7200"/>
        </w:tabs>
        <w:spacing w:after="0"/>
        <w:jc w:val="center"/>
        <w:rPr>
          <w:szCs w:val="26"/>
        </w:rPr>
      </w:pPr>
      <w:r>
        <w:rPr>
          <w:szCs w:val="26"/>
        </w:rPr>
        <w:t>Defendants and Respondents;</w:t>
      </w:r>
    </w:p>
    <w:p w14:paraId="48B10144" w14:textId="7975DCDC" w:rsidR="00EF5A3A" w:rsidRDefault="00EF5A3A" w:rsidP="00EF5A3A">
      <w:pPr>
        <w:tabs>
          <w:tab w:val="left" w:pos="1440"/>
          <w:tab w:val="left" w:pos="4680"/>
          <w:tab w:val="center" w:pos="7200"/>
        </w:tabs>
        <w:spacing w:after="0"/>
        <w:jc w:val="center"/>
        <w:rPr>
          <w:szCs w:val="26"/>
        </w:rPr>
      </w:pPr>
      <w:r>
        <w:rPr>
          <w:szCs w:val="26"/>
        </w:rPr>
        <w:t>LUIS A. CARRILLO,</w:t>
      </w:r>
    </w:p>
    <w:p w14:paraId="517211A2" w14:textId="1F4CE4D9" w:rsidR="00EF5A3A" w:rsidRDefault="00EF5A3A" w:rsidP="00EF5A3A">
      <w:pPr>
        <w:tabs>
          <w:tab w:val="left" w:pos="1440"/>
          <w:tab w:val="left" w:pos="4680"/>
          <w:tab w:val="center" w:pos="7200"/>
        </w:tabs>
        <w:spacing w:after="0"/>
        <w:jc w:val="center"/>
        <w:rPr>
          <w:szCs w:val="26"/>
        </w:rPr>
      </w:pPr>
      <w:r>
        <w:rPr>
          <w:szCs w:val="26"/>
        </w:rPr>
        <w:t>Objector and Appellant.</w:t>
      </w:r>
    </w:p>
    <w:p w14:paraId="5EDAE4EB" w14:textId="0E8D073B" w:rsidR="00EF5A3A" w:rsidRDefault="00EF5A3A" w:rsidP="00EF5A3A">
      <w:pPr>
        <w:tabs>
          <w:tab w:val="left" w:pos="1440"/>
          <w:tab w:val="left" w:pos="4680"/>
          <w:tab w:val="center" w:pos="7200"/>
        </w:tabs>
        <w:spacing w:after="0"/>
        <w:jc w:val="center"/>
        <w:rPr>
          <w:szCs w:val="26"/>
        </w:rPr>
      </w:pPr>
    </w:p>
    <w:p w14:paraId="535B1F93" w14:textId="7ED821B5" w:rsidR="00EF5A3A" w:rsidRDefault="00EF5A3A" w:rsidP="00EF5A3A">
      <w:pPr>
        <w:tabs>
          <w:tab w:val="left" w:pos="1440"/>
          <w:tab w:val="left" w:pos="4680"/>
          <w:tab w:val="center" w:pos="7200"/>
        </w:tabs>
        <w:spacing w:after="0"/>
        <w:jc w:val="center"/>
        <w:rPr>
          <w:szCs w:val="26"/>
        </w:rPr>
      </w:pPr>
      <w:r>
        <w:rPr>
          <w:szCs w:val="26"/>
        </w:rPr>
        <w:t>S241057</w:t>
      </w:r>
    </w:p>
    <w:p w14:paraId="44921B4F" w14:textId="342E7799" w:rsidR="00EF5A3A" w:rsidRDefault="00EF5A3A" w:rsidP="00EF5A3A">
      <w:pPr>
        <w:tabs>
          <w:tab w:val="left" w:pos="1440"/>
          <w:tab w:val="left" w:pos="4680"/>
          <w:tab w:val="center" w:pos="7200"/>
        </w:tabs>
        <w:spacing w:after="0"/>
        <w:jc w:val="center"/>
        <w:rPr>
          <w:szCs w:val="26"/>
        </w:rPr>
      </w:pPr>
    </w:p>
    <w:p w14:paraId="75AEF083" w14:textId="67DE53E0" w:rsidR="00EF5A3A" w:rsidRDefault="00EF5A3A" w:rsidP="00EF5A3A">
      <w:pPr>
        <w:tabs>
          <w:tab w:val="left" w:pos="1440"/>
          <w:tab w:val="left" w:pos="4680"/>
          <w:tab w:val="center" w:pos="7200"/>
        </w:tabs>
        <w:spacing w:after="0"/>
        <w:jc w:val="center"/>
        <w:rPr>
          <w:szCs w:val="26"/>
        </w:rPr>
      </w:pPr>
      <w:r>
        <w:rPr>
          <w:szCs w:val="26"/>
        </w:rPr>
        <w:t>Second Appellate District, Division Three</w:t>
      </w:r>
    </w:p>
    <w:p w14:paraId="5744A71E" w14:textId="53645C8D" w:rsidR="00EF5A3A" w:rsidRDefault="00EF5A3A" w:rsidP="00EF5A3A">
      <w:pPr>
        <w:tabs>
          <w:tab w:val="left" w:pos="1440"/>
          <w:tab w:val="left" w:pos="4680"/>
          <w:tab w:val="center" w:pos="7200"/>
        </w:tabs>
        <w:spacing w:after="0"/>
        <w:jc w:val="center"/>
        <w:rPr>
          <w:szCs w:val="26"/>
        </w:rPr>
      </w:pPr>
      <w:r>
        <w:rPr>
          <w:szCs w:val="26"/>
        </w:rPr>
        <w:t>B269864</w:t>
      </w:r>
    </w:p>
    <w:p w14:paraId="4C3F773F" w14:textId="39CE868D" w:rsidR="00EF5A3A" w:rsidRDefault="00EF5A3A" w:rsidP="00EF5A3A">
      <w:pPr>
        <w:tabs>
          <w:tab w:val="left" w:pos="1440"/>
          <w:tab w:val="left" w:pos="4680"/>
          <w:tab w:val="center" w:pos="7200"/>
        </w:tabs>
        <w:spacing w:after="0"/>
        <w:jc w:val="center"/>
        <w:rPr>
          <w:szCs w:val="26"/>
        </w:rPr>
      </w:pPr>
    </w:p>
    <w:p w14:paraId="430CA0D2" w14:textId="64449A76" w:rsidR="00EF5A3A" w:rsidRDefault="00EF5A3A" w:rsidP="00EF5A3A">
      <w:pPr>
        <w:tabs>
          <w:tab w:val="left" w:pos="1440"/>
          <w:tab w:val="left" w:pos="4680"/>
          <w:tab w:val="center" w:pos="7200"/>
        </w:tabs>
        <w:spacing w:after="0"/>
        <w:jc w:val="center"/>
        <w:rPr>
          <w:szCs w:val="26"/>
        </w:rPr>
      </w:pPr>
      <w:r>
        <w:rPr>
          <w:szCs w:val="26"/>
        </w:rPr>
        <w:t>Los Angeles County Superior Court</w:t>
      </w:r>
    </w:p>
    <w:p w14:paraId="36E6929C" w14:textId="192B791D" w:rsidR="00EF5A3A" w:rsidRDefault="00EF5A3A" w:rsidP="00EF5A3A">
      <w:pPr>
        <w:tabs>
          <w:tab w:val="left" w:pos="1440"/>
          <w:tab w:val="left" w:pos="4680"/>
          <w:tab w:val="center" w:pos="7200"/>
        </w:tabs>
        <w:spacing w:after="0"/>
        <w:jc w:val="center"/>
        <w:rPr>
          <w:szCs w:val="26"/>
        </w:rPr>
      </w:pPr>
      <w:r>
        <w:rPr>
          <w:szCs w:val="26"/>
        </w:rPr>
        <w:t>BC505356</w:t>
      </w:r>
    </w:p>
    <w:p w14:paraId="33D1F9D2" w14:textId="1969AE2E" w:rsidR="00EF5A3A" w:rsidRDefault="00EF5A3A" w:rsidP="00EF5A3A">
      <w:pPr>
        <w:pBdr>
          <w:bottom w:val="single" w:sz="4" w:space="1" w:color="auto"/>
        </w:pBdr>
        <w:tabs>
          <w:tab w:val="left" w:pos="1440"/>
          <w:tab w:val="left" w:pos="4680"/>
          <w:tab w:val="center" w:pos="7200"/>
        </w:tabs>
        <w:spacing w:after="0"/>
        <w:jc w:val="center"/>
        <w:rPr>
          <w:szCs w:val="26"/>
        </w:rPr>
      </w:pPr>
    </w:p>
    <w:p w14:paraId="064BD9BB" w14:textId="26EC8532" w:rsidR="00EF5A3A" w:rsidRDefault="00EF5A3A" w:rsidP="00EF5A3A">
      <w:pPr>
        <w:tabs>
          <w:tab w:val="left" w:pos="1440"/>
          <w:tab w:val="left" w:pos="4680"/>
          <w:tab w:val="center" w:pos="7200"/>
        </w:tabs>
        <w:spacing w:after="0"/>
        <w:jc w:val="center"/>
        <w:rPr>
          <w:szCs w:val="26"/>
        </w:rPr>
      </w:pPr>
    </w:p>
    <w:p w14:paraId="5ABE93B9" w14:textId="4248BF03" w:rsidR="00EF5A3A" w:rsidRDefault="00CD77E9" w:rsidP="00EF5A3A">
      <w:pPr>
        <w:tabs>
          <w:tab w:val="left" w:pos="1440"/>
          <w:tab w:val="left" w:pos="4680"/>
          <w:tab w:val="center" w:pos="7200"/>
        </w:tabs>
        <w:spacing w:after="0"/>
        <w:jc w:val="center"/>
        <w:rPr>
          <w:szCs w:val="26"/>
        </w:rPr>
      </w:pPr>
      <w:r>
        <w:rPr>
          <w:szCs w:val="26"/>
        </w:rPr>
        <w:t xml:space="preserve">January 30, </w:t>
      </w:r>
      <w:r w:rsidR="00EF5A3A">
        <w:rPr>
          <w:szCs w:val="26"/>
        </w:rPr>
        <w:t>2020</w:t>
      </w:r>
    </w:p>
    <w:p w14:paraId="3F195709" w14:textId="4A2CC2B8" w:rsidR="00EF5A3A" w:rsidRDefault="00EF5A3A" w:rsidP="00EF5A3A">
      <w:pPr>
        <w:tabs>
          <w:tab w:val="left" w:pos="1440"/>
          <w:tab w:val="left" w:pos="4680"/>
          <w:tab w:val="center" w:pos="7200"/>
        </w:tabs>
        <w:spacing w:after="0"/>
        <w:jc w:val="center"/>
        <w:rPr>
          <w:szCs w:val="26"/>
        </w:rPr>
      </w:pPr>
    </w:p>
    <w:p w14:paraId="6BA6DC49" w14:textId="03CCF508" w:rsidR="00CD77E9" w:rsidRDefault="00EF5A3A" w:rsidP="00CD77E9">
      <w:pPr>
        <w:tabs>
          <w:tab w:val="left" w:pos="1440"/>
          <w:tab w:val="left" w:pos="4680"/>
          <w:tab w:val="center" w:pos="7200"/>
        </w:tabs>
        <w:spacing w:after="0"/>
        <w:jc w:val="left"/>
        <w:rPr>
          <w:szCs w:val="26"/>
        </w:rPr>
      </w:pPr>
      <w:r>
        <w:rPr>
          <w:szCs w:val="26"/>
        </w:rPr>
        <w:t xml:space="preserve">Justice Groban authored the opinion of the </w:t>
      </w:r>
      <w:r w:rsidR="00D231B8">
        <w:rPr>
          <w:szCs w:val="26"/>
        </w:rPr>
        <w:t>C</w:t>
      </w:r>
      <w:r>
        <w:rPr>
          <w:szCs w:val="26"/>
        </w:rPr>
        <w:t>ourt, in which</w:t>
      </w:r>
      <w:r w:rsidR="00CD77E9">
        <w:rPr>
          <w:szCs w:val="26"/>
        </w:rPr>
        <w:t xml:space="preserve"> Chief Justice Cantil-Sakauye and Justices Chin, Corrigan, Liu, Cuéllar, and Kruger </w:t>
      </w:r>
      <w:r>
        <w:rPr>
          <w:szCs w:val="26"/>
        </w:rPr>
        <w:t>concurred.</w:t>
      </w:r>
    </w:p>
    <w:p w14:paraId="22E6F1A4" w14:textId="77777777" w:rsidR="00EF5A3A" w:rsidRPr="00EF5A3A" w:rsidRDefault="00EF5A3A" w:rsidP="00EF5A3A">
      <w:pPr>
        <w:pBdr>
          <w:bottom w:val="single" w:sz="4" w:space="1" w:color="auto"/>
        </w:pBdr>
        <w:tabs>
          <w:tab w:val="left" w:pos="1440"/>
          <w:tab w:val="left" w:pos="4680"/>
          <w:tab w:val="center" w:pos="7200"/>
        </w:tabs>
        <w:jc w:val="left"/>
        <w:rPr>
          <w:szCs w:val="26"/>
        </w:rPr>
      </w:pPr>
      <w:bookmarkStart w:id="2" w:name="Return"/>
      <w:bookmarkEnd w:id="2"/>
    </w:p>
    <w:p w14:paraId="717F8DAE" w14:textId="77777777" w:rsidR="00EF5A3A" w:rsidRDefault="00EF5A3A" w:rsidP="00B15EF4">
      <w:pPr>
        <w:tabs>
          <w:tab w:val="left" w:pos="1440"/>
          <w:tab w:val="left" w:pos="4680"/>
          <w:tab w:val="center" w:pos="7200"/>
        </w:tabs>
        <w:rPr>
          <w:szCs w:val="26"/>
        </w:rPr>
        <w:sectPr w:rsidR="00EF5A3A" w:rsidSect="00EF5A3A">
          <w:headerReference w:type="default" r:id="rId8"/>
          <w:footerReference w:type="even" r:id="rId9"/>
          <w:footerReference w:type="default" r:id="rId10"/>
          <w:pgSz w:w="12240" w:h="15840"/>
          <w:pgMar w:top="1800" w:right="2160" w:bottom="1440" w:left="2160" w:header="720" w:footer="720" w:gutter="0"/>
          <w:cols w:space="720"/>
          <w:titlePg/>
          <w:docGrid w:linePitch="367"/>
        </w:sectPr>
      </w:pPr>
    </w:p>
    <w:p w14:paraId="7D0B3825" w14:textId="5AC2AE4B" w:rsidR="00EF5A3A" w:rsidRDefault="00EF5A3A" w:rsidP="00EF5A3A">
      <w:pPr>
        <w:tabs>
          <w:tab w:val="left" w:pos="1440"/>
          <w:tab w:val="left" w:pos="4680"/>
          <w:tab w:val="center" w:pos="7200"/>
        </w:tabs>
        <w:jc w:val="center"/>
        <w:rPr>
          <w:szCs w:val="26"/>
        </w:rPr>
      </w:pPr>
      <w:r>
        <w:rPr>
          <w:szCs w:val="26"/>
        </w:rPr>
        <w:lastRenderedPageBreak/>
        <w:t>K.J. v. L</w:t>
      </w:r>
      <w:r w:rsidR="00F94D9B">
        <w:rPr>
          <w:szCs w:val="26"/>
        </w:rPr>
        <w:t>OS ANGELES UNIFIED SCHOOL DISTRICT</w:t>
      </w:r>
    </w:p>
    <w:p w14:paraId="11B2C457" w14:textId="600C155F" w:rsidR="00EF5A3A" w:rsidRDefault="00EF5A3A" w:rsidP="00EF5A3A">
      <w:pPr>
        <w:tabs>
          <w:tab w:val="left" w:pos="1440"/>
          <w:tab w:val="left" w:pos="4680"/>
          <w:tab w:val="center" w:pos="7200"/>
        </w:tabs>
        <w:jc w:val="center"/>
        <w:rPr>
          <w:szCs w:val="26"/>
        </w:rPr>
      </w:pPr>
      <w:r>
        <w:rPr>
          <w:szCs w:val="26"/>
        </w:rPr>
        <w:t>S241057</w:t>
      </w:r>
    </w:p>
    <w:p w14:paraId="4A9CBDCB" w14:textId="7A29FE3E" w:rsidR="00EF5A3A" w:rsidRDefault="00EF5A3A" w:rsidP="00EF5A3A">
      <w:pPr>
        <w:tabs>
          <w:tab w:val="left" w:pos="1440"/>
          <w:tab w:val="left" w:pos="4680"/>
          <w:tab w:val="center" w:pos="7200"/>
        </w:tabs>
        <w:jc w:val="center"/>
        <w:rPr>
          <w:szCs w:val="26"/>
        </w:rPr>
      </w:pPr>
    </w:p>
    <w:p w14:paraId="380B8723" w14:textId="5A566EC7" w:rsidR="00EF5A3A" w:rsidRDefault="00EF5A3A" w:rsidP="00EF5A3A">
      <w:pPr>
        <w:tabs>
          <w:tab w:val="left" w:pos="1440"/>
          <w:tab w:val="left" w:pos="4680"/>
          <w:tab w:val="center" w:pos="7200"/>
        </w:tabs>
        <w:jc w:val="center"/>
        <w:rPr>
          <w:szCs w:val="26"/>
        </w:rPr>
      </w:pPr>
      <w:r>
        <w:rPr>
          <w:szCs w:val="26"/>
        </w:rPr>
        <w:t>Opinion of the Court by Groban, J.</w:t>
      </w:r>
    </w:p>
    <w:p w14:paraId="40E4AF2B" w14:textId="77777777" w:rsidR="00EF5A3A" w:rsidRPr="00EF5A3A" w:rsidRDefault="00EF5A3A" w:rsidP="00EF5A3A">
      <w:pPr>
        <w:tabs>
          <w:tab w:val="left" w:pos="1440"/>
          <w:tab w:val="left" w:pos="4680"/>
          <w:tab w:val="center" w:pos="7200"/>
        </w:tabs>
        <w:jc w:val="center"/>
        <w:rPr>
          <w:szCs w:val="26"/>
        </w:rPr>
      </w:pPr>
    </w:p>
    <w:p w14:paraId="2E9B8277" w14:textId="55443863" w:rsidR="00F536C6" w:rsidRPr="00EF5A3A" w:rsidRDefault="00EC4E5A" w:rsidP="00EF5A3A">
      <w:pPr>
        <w:ind w:firstLine="720"/>
        <w:rPr>
          <w:szCs w:val="26"/>
        </w:rPr>
      </w:pPr>
      <w:bookmarkStart w:id="4" w:name="mainstory"/>
      <w:bookmarkEnd w:id="4"/>
      <w:r w:rsidRPr="00EF5A3A">
        <w:rPr>
          <w:szCs w:val="26"/>
        </w:rPr>
        <w:t>This</w:t>
      </w:r>
      <w:r w:rsidR="000B26F9" w:rsidRPr="00EF5A3A">
        <w:rPr>
          <w:szCs w:val="26"/>
        </w:rPr>
        <w:t xml:space="preserve"> case </w:t>
      </w:r>
      <w:r w:rsidR="00ED6A59" w:rsidRPr="00EF5A3A">
        <w:rPr>
          <w:szCs w:val="26"/>
        </w:rPr>
        <w:t xml:space="preserve">presents a narrow question of procedural law:  </w:t>
      </w:r>
      <w:r w:rsidR="00AA3CB1" w:rsidRPr="00EF5A3A">
        <w:rPr>
          <w:szCs w:val="26"/>
        </w:rPr>
        <w:t xml:space="preserve">Does a Court of Appeal have jurisdiction to review an order directing an attorney to pay sanctions when </w:t>
      </w:r>
      <w:r w:rsidR="00DA6858" w:rsidRPr="00EF5A3A">
        <w:rPr>
          <w:szCs w:val="26"/>
        </w:rPr>
        <w:t>the notice of appeal</w:t>
      </w:r>
      <w:r w:rsidR="0006119E" w:rsidRPr="00EF5A3A">
        <w:rPr>
          <w:szCs w:val="26"/>
        </w:rPr>
        <w:t xml:space="preserve"> </w:t>
      </w:r>
      <w:r w:rsidR="00DA6858" w:rsidRPr="00EF5A3A">
        <w:rPr>
          <w:szCs w:val="26"/>
        </w:rPr>
        <w:t xml:space="preserve">identifies the </w:t>
      </w:r>
      <w:r w:rsidR="0006119E" w:rsidRPr="00EF5A3A">
        <w:rPr>
          <w:szCs w:val="26"/>
        </w:rPr>
        <w:t xml:space="preserve">attorney’s </w:t>
      </w:r>
      <w:r w:rsidR="00DA6858" w:rsidRPr="00EF5A3A">
        <w:rPr>
          <w:szCs w:val="26"/>
        </w:rPr>
        <w:t>client as the appealing part</w:t>
      </w:r>
      <w:r w:rsidR="0006119E" w:rsidRPr="00EF5A3A">
        <w:rPr>
          <w:szCs w:val="26"/>
        </w:rPr>
        <w:t>y</w:t>
      </w:r>
      <w:r w:rsidR="00C276EE" w:rsidRPr="00EF5A3A">
        <w:rPr>
          <w:szCs w:val="26"/>
        </w:rPr>
        <w:t xml:space="preserve">, but other indicia make clear </w:t>
      </w:r>
      <w:r w:rsidR="008E2802" w:rsidRPr="00EF5A3A">
        <w:rPr>
          <w:szCs w:val="26"/>
        </w:rPr>
        <w:t xml:space="preserve">that </w:t>
      </w:r>
      <w:r w:rsidR="00C276EE" w:rsidRPr="00EF5A3A">
        <w:rPr>
          <w:szCs w:val="26"/>
        </w:rPr>
        <w:t xml:space="preserve">the attorney </w:t>
      </w:r>
      <w:r w:rsidR="008E2802" w:rsidRPr="00EF5A3A">
        <w:rPr>
          <w:szCs w:val="26"/>
        </w:rPr>
        <w:t>was the party seeking review</w:t>
      </w:r>
      <w:r w:rsidR="0006119E" w:rsidRPr="00EF5A3A">
        <w:rPr>
          <w:szCs w:val="26"/>
        </w:rPr>
        <w:t xml:space="preserve">?  </w:t>
      </w:r>
      <w:r w:rsidRPr="00EF5A3A">
        <w:rPr>
          <w:szCs w:val="26"/>
        </w:rPr>
        <w:t>T</w:t>
      </w:r>
      <w:r w:rsidR="000B26F9" w:rsidRPr="00EF5A3A">
        <w:rPr>
          <w:szCs w:val="26"/>
        </w:rPr>
        <w:t>he Court of Appeal</w:t>
      </w:r>
      <w:r w:rsidRPr="00EF5A3A">
        <w:rPr>
          <w:szCs w:val="26"/>
        </w:rPr>
        <w:t xml:space="preserve"> dismissed the </w:t>
      </w:r>
      <w:r w:rsidR="0006119E" w:rsidRPr="00EF5A3A">
        <w:rPr>
          <w:szCs w:val="26"/>
        </w:rPr>
        <w:t>appeal</w:t>
      </w:r>
      <w:r w:rsidRPr="00EF5A3A">
        <w:rPr>
          <w:szCs w:val="26"/>
        </w:rPr>
        <w:t xml:space="preserve">, concluding that </w:t>
      </w:r>
      <w:r w:rsidR="00F536C6" w:rsidRPr="00EF5A3A">
        <w:rPr>
          <w:szCs w:val="26"/>
        </w:rPr>
        <w:t xml:space="preserve">the </w:t>
      </w:r>
      <w:r w:rsidR="006A10D4" w:rsidRPr="00EF5A3A">
        <w:rPr>
          <w:szCs w:val="26"/>
        </w:rPr>
        <w:t xml:space="preserve">attorney’s </w:t>
      </w:r>
      <w:r w:rsidR="00F536C6" w:rsidRPr="00EF5A3A">
        <w:rPr>
          <w:szCs w:val="26"/>
        </w:rPr>
        <w:t xml:space="preserve">client </w:t>
      </w:r>
      <w:r w:rsidR="003B3E17" w:rsidRPr="00EF5A3A">
        <w:rPr>
          <w:szCs w:val="26"/>
        </w:rPr>
        <w:t xml:space="preserve">lacked </w:t>
      </w:r>
      <w:r w:rsidR="00F536C6" w:rsidRPr="00EF5A3A">
        <w:rPr>
          <w:szCs w:val="26"/>
        </w:rPr>
        <w:t>standing to</w:t>
      </w:r>
      <w:r w:rsidR="001C1386" w:rsidRPr="00EF5A3A">
        <w:rPr>
          <w:szCs w:val="26"/>
        </w:rPr>
        <w:t xml:space="preserve"> challenge the </w:t>
      </w:r>
      <w:r w:rsidR="000C7431" w:rsidRPr="00EF5A3A">
        <w:rPr>
          <w:szCs w:val="26"/>
        </w:rPr>
        <w:t xml:space="preserve">sanctions </w:t>
      </w:r>
      <w:r w:rsidR="001C1386" w:rsidRPr="00EF5A3A">
        <w:rPr>
          <w:szCs w:val="26"/>
        </w:rPr>
        <w:t>order</w:t>
      </w:r>
      <w:r w:rsidR="002232A3" w:rsidRPr="00EF5A3A">
        <w:rPr>
          <w:szCs w:val="26"/>
        </w:rPr>
        <w:t xml:space="preserve"> </w:t>
      </w:r>
      <w:r w:rsidR="00F536C6" w:rsidRPr="00EF5A3A">
        <w:rPr>
          <w:szCs w:val="26"/>
        </w:rPr>
        <w:t>and that</w:t>
      </w:r>
      <w:r w:rsidR="00EA7FFB" w:rsidRPr="00EF5A3A">
        <w:rPr>
          <w:szCs w:val="26"/>
        </w:rPr>
        <w:t xml:space="preserve"> </w:t>
      </w:r>
      <w:r w:rsidR="006F0CB1" w:rsidRPr="00EF5A3A">
        <w:rPr>
          <w:szCs w:val="26"/>
        </w:rPr>
        <w:t>the notice</w:t>
      </w:r>
      <w:r w:rsidR="00C0210B" w:rsidRPr="00EF5A3A">
        <w:rPr>
          <w:szCs w:val="26"/>
        </w:rPr>
        <w:t xml:space="preserve"> of appeal</w:t>
      </w:r>
      <w:r w:rsidR="006F0CB1" w:rsidRPr="00EF5A3A">
        <w:rPr>
          <w:szCs w:val="26"/>
        </w:rPr>
        <w:t xml:space="preserve"> could not be liberally construed to include </w:t>
      </w:r>
      <w:r w:rsidR="00015F2A" w:rsidRPr="00EF5A3A">
        <w:rPr>
          <w:szCs w:val="26"/>
        </w:rPr>
        <w:t>the omitted attorney</w:t>
      </w:r>
      <w:r w:rsidR="006F0CB1" w:rsidRPr="00EF5A3A">
        <w:rPr>
          <w:szCs w:val="26"/>
        </w:rPr>
        <w:t xml:space="preserve">. </w:t>
      </w:r>
      <w:r w:rsidR="00DA6858" w:rsidRPr="00EF5A3A">
        <w:rPr>
          <w:szCs w:val="26"/>
        </w:rPr>
        <w:t xml:space="preserve"> </w:t>
      </w:r>
      <w:r w:rsidR="00510302" w:rsidRPr="00EF5A3A">
        <w:rPr>
          <w:szCs w:val="26"/>
        </w:rPr>
        <w:t xml:space="preserve">  </w:t>
      </w:r>
    </w:p>
    <w:p w14:paraId="1EE8E95F" w14:textId="353423FA" w:rsidR="00FB5CC1" w:rsidRPr="00EF5A3A" w:rsidRDefault="00946365" w:rsidP="00EF5A3A">
      <w:pPr>
        <w:ind w:firstLine="720"/>
        <w:rPr>
          <w:szCs w:val="26"/>
        </w:rPr>
      </w:pPr>
      <w:r w:rsidRPr="00EF5A3A">
        <w:rPr>
          <w:szCs w:val="26"/>
        </w:rPr>
        <w:t>W</w:t>
      </w:r>
      <w:r w:rsidR="00F536C6" w:rsidRPr="00EF5A3A">
        <w:rPr>
          <w:szCs w:val="26"/>
        </w:rPr>
        <w:t>e reverse</w:t>
      </w:r>
      <w:r w:rsidR="00F46952" w:rsidRPr="00EF5A3A">
        <w:rPr>
          <w:szCs w:val="26"/>
        </w:rPr>
        <w:t xml:space="preserve"> the Court of Appeal’s dismissal </w:t>
      </w:r>
      <w:r w:rsidR="00EC4E5A" w:rsidRPr="00EF5A3A">
        <w:rPr>
          <w:szCs w:val="26"/>
        </w:rPr>
        <w:t>and hold that</w:t>
      </w:r>
      <w:r w:rsidR="00D4190A" w:rsidRPr="00EF5A3A">
        <w:rPr>
          <w:szCs w:val="26"/>
        </w:rPr>
        <w:t>,</w:t>
      </w:r>
      <w:r w:rsidR="00EC4E5A" w:rsidRPr="00EF5A3A">
        <w:rPr>
          <w:szCs w:val="26"/>
        </w:rPr>
        <w:t xml:space="preserve"> </w:t>
      </w:r>
      <w:r w:rsidR="00601C38" w:rsidRPr="00EF5A3A">
        <w:rPr>
          <w:szCs w:val="26"/>
        </w:rPr>
        <w:t>when it is clear</w:t>
      </w:r>
      <w:r w:rsidR="006F0CB1" w:rsidRPr="00EF5A3A">
        <w:rPr>
          <w:szCs w:val="26"/>
        </w:rPr>
        <w:t xml:space="preserve"> </w:t>
      </w:r>
      <w:r w:rsidR="008E2802" w:rsidRPr="00EF5A3A">
        <w:rPr>
          <w:szCs w:val="26"/>
        </w:rPr>
        <w:t xml:space="preserve">from the record that </w:t>
      </w:r>
      <w:r w:rsidR="00B209EA" w:rsidRPr="00EF5A3A">
        <w:rPr>
          <w:szCs w:val="26"/>
        </w:rPr>
        <w:t xml:space="preserve">the </w:t>
      </w:r>
      <w:r w:rsidR="000C7431" w:rsidRPr="00EF5A3A">
        <w:rPr>
          <w:szCs w:val="26"/>
        </w:rPr>
        <w:t xml:space="preserve">omitted </w:t>
      </w:r>
      <w:r w:rsidR="00601C38" w:rsidRPr="00EF5A3A">
        <w:rPr>
          <w:szCs w:val="26"/>
        </w:rPr>
        <w:t xml:space="preserve">attorney intended </w:t>
      </w:r>
      <w:r w:rsidR="000C7431" w:rsidRPr="00EF5A3A">
        <w:rPr>
          <w:szCs w:val="26"/>
        </w:rPr>
        <w:t>to participate</w:t>
      </w:r>
      <w:r w:rsidR="00B209EA" w:rsidRPr="00EF5A3A">
        <w:rPr>
          <w:szCs w:val="26"/>
        </w:rPr>
        <w:t xml:space="preserve"> in the </w:t>
      </w:r>
      <w:r w:rsidR="00601C38" w:rsidRPr="00EF5A3A">
        <w:rPr>
          <w:szCs w:val="26"/>
        </w:rPr>
        <w:t>appeal</w:t>
      </w:r>
      <w:r w:rsidR="00015F2A" w:rsidRPr="00EF5A3A">
        <w:rPr>
          <w:szCs w:val="26"/>
        </w:rPr>
        <w:t xml:space="preserve"> </w:t>
      </w:r>
      <w:r w:rsidR="00601C38" w:rsidRPr="00EF5A3A">
        <w:rPr>
          <w:szCs w:val="26"/>
        </w:rPr>
        <w:t xml:space="preserve">and the respondent was not misled or prejudiced by the omission, the rule of liberal construction </w:t>
      </w:r>
      <w:r w:rsidR="00C276EE" w:rsidRPr="00EF5A3A">
        <w:rPr>
          <w:szCs w:val="26"/>
        </w:rPr>
        <w:t xml:space="preserve">compels </w:t>
      </w:r>
      <w:r w:rsidR="006F0CB1" w:rsidRPr="00EF5A3A">
        <w:rPr>
          <w:szCs w:val="26"/>
        </w:rPr>
        <w:t>that</w:t>
      </w:r>
      <w:r w:rsidR="00601C38" w:rsidRPr="00EF5A3A">
        <w:rPr>
          <w:szCs w:val="26"/>
        </w:rPr>
        <w:t xml:space="preserve"> the</w:t>
      </w:r>
      <w:r w:rsidR="006F0CB1" w:rsidRPr="00EF5A3A">
        <w:rPr>
          <w:szCs w:val="26"/>
        </w:rPr>
        <w:t xml:space="preserve"> notice be construed</w:t>
      </w:r>
      <w:r w:rsidR="00601C38" w:rsidRPr="00EF5A3A">
        <w:rPr>
          <w:szCs w:val="26"/>
        </w:rPr>
        <w:t xml:space="preserve"> to include the omitted attorney.  </w:t>
      </w:r>
      <w:r w:rsidRPr="00EF5A3A">
        <w:rPr>
          <w:szCs w:val="26"/>
        </w:rPr>
        <w:t xml:space="preserve">We further </w:t>
      </w:r>
      <w:r w:rsidR="00B209EA" w:rsidRPr="00EF5A3A">
        <w:rPr>
          <w:szCs w:val="26"/>
        </w:rPr>
        <w:t>conclude</w:t>
      </w:r>
      <w:r w:rsidR="00C65857" w:rsidRPr="00EF5A3A">
        <w:rPr>
          <w:szCs w:val="26"/>
        </w:rPr>
        <w:t xml:space="preserve"> that test </w:t>
      </w:r>
      <w:r w:rsidR="00725163" w:rsidRPr="00EF5A3A">
        <w:rPr>
          <w:szCs w:val="26"/>
        </w:rPr>
        <w:t>i</w:t>
      </w:r>
      <w:r w:rsidR="00C65857" w:rsidRPr="00EF5A3A">
        <w:rPr>
          <w:szCs w:val="26"/>
        </w:rPr>
        <w:t>s</w:t>
      </w:r>
      <w:r w:rsidR="003B3E17" w:rsidRPr="00EF5A3A">
        <w:rPr>
          <w:szCs w:val="26"/>
        </w:rPr>
        <w:t xml:space="preserve"> satisfied </w:t>
      </w:r>
      <w:r w:rsidR="00F70EE1" w:rsidRPr="00EF5A3A">
        <w:rPr>
          <w:szCs w:val="26"/>
        </w:rPr>
        <w:t xml:space="preserve">here </w:t>
      </w:r>
      <w:r w:rsidR="00182F21" w:rsidRPr="00EF5A3A">
        <w:rPr>
          <w:szCs w:val="26"/>
        </w:rPr>
        <w:t xml:space="preserve">based on </w:t>
      </w:r>
      <w:r w:rsidR="00C276EE" w:rsidRPr="00EF5A3A">
        <w:rPr>
          <w:szCs w:val="26"/>
        </w:rPr>
        <w:t>the following</w:t>
      </w:r>
      <w:r w:rsidR="00182F21" w:rsidRPr="00EF5A3A">
        <w:rPr>
          <w:szCs w:val="26"/>
        </w:rPr>
        <w:t>:  (1</w:t>
      </w:r>
      <w:r w:rsidR="002C5A0D" w:rsidRPr="00EF5A3A">
        <w:rPr>
          <w:szCs w:val="26"/>
        </w:rPr>
        <w:t>) </w:t>
      </w:r>
      <w:r w:rsidR="00182F21" w:rsidRPr="00EF5A3A">
        <w:rPr>
          <w:szCs w:val="26"/>
        </w:rPr>
        <w:t>t</w:t>
      </w:r>
      <w:r w:rsidR="005768EA" w:rsidRPr="00EF5A3A">
        <w:rPr>
          <w:szCs w:val="26"/>
        </w:rPr>
        <w:t>he</w:t>
      </w:r>
      <w:r w:rsidR="00601C38" w:rsidRPr="00EF5A3A">
        <w:rPr>
          <w:szCs w:val="26"/>
        </w:rPr>
        <w:t xml:space="preserve"> notice of appeal expressly designated the sanctions order as the sole order or judgment at issue in the appeal; </w:t>
      </w:r>
      <w:r w:rsidR="00182F21" w:rsidRPr="00EF5A3A">
        <w:rPr>
          <w:szCs w:val="26"/>
        </w:rPr>
        <w:t>(</w:t>
      </w:r>
      <w:r w:rsidR="00601C38" w:rsidRPr="00EF5A3A">
        <w:rPr>
          <w:szCs w:val="26"/>
        </w:rPr>
        <w:t>2</w:t>
      </w:r>
      <w:r w:rsidR="00182F21" w:rsidRPr="00EF5A3A">
        <w:rPr>
          <w:szCs w:val="26"/>
        </w:rPr>
        <w:t>) the</w:t>
      </w:r>
      <w:r w:rsidR="000546F6" w:rsidRPr="00EF5A3A">
        <w:rPr>
          <w:szCs w:val="26"/>
        </w:rPr>
        <w:t xml:space="preserve"> challenged</w:t>
      </w:r>
      <w:r w:rsidR="00182F21" w:rsidRPr="00EF5A3A">
        <w:rPr>
          <w:szCs w:val="26"/>
        </w:rPr>
        <w:t xml:space="preserve"> order only imposed </w:t>
      </w:r>
      <w:r w:rsidR="00FB5CC1" w:rsidRPr="00EF5A3A">
        <w:rPr>
          <w:szCs w:val="26"/>
        </w:rPr>
        <w:t xml:space="preserve">sanctions </w:t>
      </w:r>
      <w:r w:rsidR="00182F21" w:rsidRPr="00EF5A3A">
        <w:rPr>
          <w:szCs w:val="26"/>
        </w:rPr>
        <w:t xml:space="preserve">against the attorney and had no effect on the rights of </w:t>
      </w:r>
      <w:r w:rsidR="000C7431" w:rsidRPr="00EF5A3A">
        <w:rPr>
          <w:szCs w:val="26"/>
        </w:rPr>
        <w:t xml:space="preserve">the </w:t>
      </w:r>
      <w:r w:rsidR="00601C38" w:rsidRPr="00EF5A3A">
        <w:rPr>
          <w:szCs w:val="26"/>
        </w:rPr>
        <w:t>client</w:t>
      </w:r>
      <w:r w:rsidR="00182F21" w:rsidRPr="00EF5A3A">
        <w:rPr>
          <w:szCs w:val="26"/>
        </w:rPr>
        <w:t>; (</w:t>
      </w:r>
      <w:r w:rsidR="00601C38" w:rsidRPr="00EF5A3A">
        <w:rPr>
          <w:szCs w:val="26"/>
        </w:rPr>
        <w:t>3</w:t>
      </w:r>
      <w:r w:rsidR="00182F21" w:rsidRPr="00EF5A3A">
        <w:rPr>
          <w:szCs w:val="26"/>
        </w:rPr>
        <w:t>)</w:t>
      </w:r>
      <w:r w:rsidR="003370AA" w:rsidRPr="00EF5A3A">
        <w:rPr>
          <w:szCs w:val="26"/>
        </w:rPr>
        <w:t xml:space="preserve"> </w:t>
      </w:r>
      <w:r w:rsidR="00F23A8E" w:rsidRPr="00EF5A3A">
        <w:rPr>
          <w:szCs w:val="26"/>
        </w:rPr>
        <w:t xml:space="preserve">during the trial court proceedings, </w:t>
      </w:r>
      <w:r w:rsidR="008828D4" w:rsidRPr="00EF5A3A">
        <w:rPr>
          <w:szCs w:val="26"/>
        </w:rPr>
        <w:t>the attorney engaged in substantial litigation</w:t>
      </w:r>
      <w:r w:rsidR="00C96CB1" w:rsidRPr="00EF5A3A">
        <w:rPr>
          <w:szCs w:val="26"/>
        </w:rPr>
        <w:t xml:space="preserve"> regarding</w:t>
      </w:r>
      <w:r w:rsidR="008828D4" w:rsidRPr="00EF5A3A">
        <w:rPr>
          <w:szCs w:val="26"/>
        </w:rPr>
        <w:t xml:space="preserve"> the</w:t>
      </w:r>
      <w:r w:rsidR="00D217B5" w:rsidRPr="00EF5A3A">
        <w:rPr>
          <w:szCs w:val="26"/>
        </w:rPr>
        <w:t xml:space="preserve"> </w:t>
      </w:r>
      <w:r w:rsidR="006A0E5D" w:rsidRPr="00EF5A3A">
        <w:rPr>
          <w:szCs w:val="26"/>
        </w:rPr>
        <w:t xml:space="preserve">sanctions </w:t>
      </w:r>
      <w:r w:rsidR="00FF3499" w:rsidRPr="00EF5A3A">
        <w:rPr>
          <w:szCs w:val="26"/>
        </w:rPr>
        <w:t xml:space="preserve">motions </w:t>
      </w:r>
      <w:r w:rsidR="008828D4" w:rsidRPr="00EF5A3A">
        <w:rPr>
          <w:szCs w:val="26"/>
        </w:rPr>
        <w:t xml:space="preserve">that focused exclusively on </w:t>
      </w:r>
      <w:r w:rsidR="00D134E7" w:rsidRPr="00EF5A3A">
        <w:rPr>
          <w:szCs w:val="26"/>
        </w:rPr>
        <w:t xml:space="preserve">whether </w:t>
      </w:r>
      <w:r w:rsidR="003370AA" w:rsidRPr="00EF5A3A">
        <w:rPr>
          <w:szCs w:val="26"/>
        </w:rPr>
        <w:t>the</w:t>
      </w:r>
      <w:r w:rsidR="00D217B5" w:rsidRPr="00EF5A3A">
        <w:rPr>
          <w:szCs w:val="26"/>
        </w:rPr>
        <w:t xml:space="preserve"> court had authority to discipline him</w:t>
      </w:r>
      <w:r w:rsidR="003370AA" w:rsidRPr="00EF5A3A">
        <w:rPr>
          <w:szCs w:val="26"/>
        </w:rPr>
        <w:t>; and (</w:t>
      </w:r>
      <w:r w:rsidR="00F23A8E" w:rsidRPr="00EF5A3A">
        <w:rPr>
          <w:szCs w:val="26"/>
        </w:rPr>
        <w:t>4</w:t>
      </w:r>
      <w:r w:rsidR="003370AA" w:rsidRPr="00EF5A3A">
        <w:rPr>
          <w:szCs w:val="26"/>
        </w:rPr>
        <w:t xml:space="preserve">) </w:t>
      </w:r>
      <w:r w:rsidR="00F23A8E" w:rsidRPr="00EF5A3A">
        <w:rPr>
          <w:szCs w:val="26"/>
        </w:rPr>
        <w:t>the adverse part</w:t>
      </w:r>
      <w:r w:rsidR="00F70EE1" w:rsidRPr="00EF5A3A">
        <w:rPr>
          <w:szCs w:val="26"/>
        </w:rPr>
        <w:t>y</w:t>
      </w:r>
      <w:r w:rsidR="00F23A8E" w:rsidRPr="00EF5A3A">
        <w:rPr>
          <w:szCs w:val="26"/>
        </w:rPr>
        <w:t xml:space="preserve">, </w:t>
      </w:r>
      <w:r w:rsidR="003370AA" w:rsidRPr="00EF5A3A">
        <w:rPr>
          <w:szCs w:val="26"/>
        </w:rPr>
        <w:t>L</w:t>
      </w:r>
      <w:r w:rsidR="000546F6" w:rsidRPr="00EF5A3A">
        <w:rPr>
          <w:szCs w:val="26"/>
        </w:rPr>
        <w:t xml:space="preserve">os Angeles Unified School District, </w:t>
      </w:r>
      <w:r w:rsidR="00663554" w:rsidRPr="00EF5A3A">
        <w:rPr>
          <w:szCs w:val="26"/>
        </w:rPr>
        <w:t>did not</w:t>
      </w:r>
      <w:r w:rsidR="003370AA" w:rsidRPr="00EF5A3A">
        <w:rPr>
          <w:szCs w:val="26"/>
        </w:rPr>
        <w:t xml:space="preserve"> </w:t>
      </w:r>
      <w:r w:rsidR="00531DF4" w:rsidRPr="00EF5A3A">
        <w:rPr>
          <w:szCs w:val="26"/>
        </w:rPr>
        <w:t xml:space="preserve">assert </w:t>
      </w:r>
      <w:r w:rsidR="003370AA" w:rsidRPr="00EF5A3A">
        <w:rPr>
          <w:szCs w:val="26"/>
        </w:rPr>
        <w:t xml:space="preserve">that it was misled </w:t>
      </w:r>
      <w:r w:rsidR="003370AA" w:rsidRPr="00EF5A3A">
        <w:rPr>
          <w:szCs w:val="26"/>
        </w:rPr>
        <w:lastRenderedPageBreak/>
        <w:t>or prejudiced from the notice’s failure to reference the attorney</w:t>
      </w:r>
      <w:r w:rsidR="00F70EE1" w:rsidRPr="00EF5A3A">
        <w:rPr>
          <w:szCs w:val="26"/>
        </w:rPr>
        <w:t xml:space="preserve"> as an appealing party</w:t>
      </w:r>
      <w:r w:rsidR="003370AA" w:rsidRPr="00EF5A3A">
        <w:rPr>
          <w:szCs w:val="26"/>
        </w:rPr>
        <w:t xml:space="preserve">.  </w:t>
      </w:r>
    </w:p>
    <w:p w14:paraId="064D7D93" w14:textId="77777777" w:rsidR="000B26F9" w:rsidRPr="00EF5A3A" w:rsidRDefault="000B26F9" w:rsidP="00EF5A3A">
      <w:pPr>
        <w:pStyle w:val="Heading1"/>
      </w:pPr>
      <w:r w:rsidRPr="00EF5A3A">
        <w:t>I.</w:t>
      </w:r>
      <w:r w:rsidR="00CF5A2C" w:rsidRPr="00EF5A3A">
        <w:t xml:space="preserve"> </w:t>
      </w:r>
      <w:r w:rsidRPr="00EF5A3A">
        <w:t xml:space="preserve"> Background</w:t>
      </w:r>
    </w:p>
    <w:p w14:paraId="65D719C3" w14:textId="77777777" w:rsidR="001970C2" w:rsidRPr="00EF5A3A" w:rsidRDefault="001970C2" w:rsidP="00EF5A3A">
      <w:pPr>
        <w:pStyle w:val="Heading2"/>
      </w:pPr>
      <w:r w:rsidRPr="00EF5A3A">
        <w:t xml:space="preserve">A. Trial Court Proceedings </w:t>
      </w:r>
    </w:p>
    <w:p w14:paraId="080431DF" w14:textId="75470A14" w:rsidR="006F3DB5" w:rsidRPr="00EF5A3A" w:rsidRDefault="00326F29" w:rsidP="00EF5A3A">
      <w:pPr>
        <w:ind w:firstLine="720"/>
        <w:rPr>
          <w:szCs w:val="26"/>
        </w:rPr>
      </w:pPr>
      <w:r w:rsidRPr="00EF5A3A">
        <w:rPr>
          <w:szCs w:val="26"/>
        </w:rPr>
        <w:t xml:space="preserve">Attorney Luis Carrillo represented </w:t>
      </w:r>
      <w:r w:rsidR="006F3DB5" w:rsidRPr="00EF5A3A">
        <w:rPr>
          <w:szCs w:val="26"/>
        </w:rPr>
        <w:t xml:space="preserve">K.J., a minor, </w:t>
      </w:r>
      <w:r w:rsidRPr="00EF5A3A">
        <w:rPr>
          <w:szCs w:val="26"/>
        </w:rPr>
        <w:t>in</w:t>
      </w:r>
      <w:r w:rsidR="006F3DB5" w:rsidRPr="00EF5A3A">
        <w:rPr>
          <w:szCs w:val="26"/>
        </w:rPr>
        <w:t xml:space="preserve"> </w:t>
      </w:r>
      <w:r w:rsidR="00667463" w:rsidRPr="00EF5A3A">
        <w:rPr>
          <w:szCs w:val="26"/>
        </w:rPr>
        <w:t xml:space="preserve">a </w:t>
      </w:r>
      <w:r w:rsidR="006F3DB5" w:rsidRPr="00EF5A3A">
        <w:rPr>
          <w:szCs w:val="26"/>
        </w:rPr>
        <w:t xml:space="preserve">negligence action against the Los Angeles Unified School District </w:t>
      </w:r>
      <w:r w:rsidR="00C1114A">
        <w:rPr>
          <w:szCs w:val="26"/>
        </w:rPr>
        <w:t xml:space="preserve">and district personnel </w:t>
      </w:r>
      <w:r w:rsidR="006F3DB5" w:rsidRPr="00EF5A3A">
        <w:rPr>
          <w:szCs w:val="26"/>
        </w:rPr>
        <w:t>(</w:t>
      </w:r>
      <w:r w:rsidR="00C1114A">
        <w:rPr>
          <w:szCs w:val="26"/>
        </w:rPr>
        <w:t xml:space="preserve">collectively </w:t>
      </w:r>
      <w:r w:rsidR="006F3DB5" w:rsidRPr="00EF5A3A">
        <w:rPr>
          <w:szCs w:val="26"/>
        </w:rPr>
        <w:t>LAUSD</w:t>
      </w:r>
      <w:r w:rsidRPr="00EF5A3A">
        <w:rPr>
          <w:szCs w:val="26"/>
        </w:rPr>
        <w:t>) arising from a sexual assault that occurred on LAUSD property.</w:t>
      </w:r>
      <w:r w:rsidR="006F3DB5" w:rsidRPr="00EF5A3A">
        <w:rPr>
          <w:szCs w:val="26"/>
        </w:rPr>
        <w:t xml:space="preserve">  During the</w:t>
      </w:r>
      <w:r w:rsidRPr="00EF5A3A">
        <w:rPr>
          <w:szCs w:val="26"/>
        </w:rPr>
        <w:t xml:space="preserve"> </w:t>
      </w:r>
      <w:r w:rsidR="006F3DB5" w:rsidRPr="00EF5A3A">
        <w:rPr>
          <w:szCs w:val="26"/>
        </w:rPr>
        <w:t xml:space="preserve">litigation, </w:t>
      </w:r>
      <w:r w:rsidRPr="00EF5A3A">
        <w:rPr>
          <w:szCs w:val="26"/>
        </w:rPr>
        <w:t xml:space="preserve">LAUSD filed </w:t>
      </w:r>
      <w:r w:rsidR="00320B1E" w:rsidRPr="00EF5A3A">
        <w:rPr>
          <w:szCs w:val="26"/>
        </w:rPr>
        <w:t xml:space="preserve">an application </w:t>
      </w:r>
      <w:r w:rsidR="00A652F1" w:rsidRPr="00EF5A3A">
        <w:rPr>
          <w:szCs w:val="26"/>
        </w:rPr>
        <w:t xml:space="preserve">for </w:t>
      </w:r>
      <w:r w:rsidRPr="00EF5A3A">
        <w:rPr>
          <w:szCs w:val="26"/>
        </w:rPr>
        <w:t xml:space="preserve">sanctions </w:t>
      </w:r>
      <w:r w:rsidR="003D08D0" w:rsidRPr="00EF5A3A">
        <w:rPr>
          <w:szCs w:val="26"/>
        </w:rPr>
        <w:t>a</w:t>
      </w:r>
      <w:r w:rsidR="00176F1B" w:rsidRPr="00EF5A3A">
        <w:rPr>
          <w:szCs w:val="26"/>
        </w:rPr>
        <w:t xml:space="preserve">sserting </w:t>
      </w:r>
      <w:r w:rsidR="003D08D0" w:rsidRPr="00EF5A3A">
        <w:rPr>
          <w:szCs w:val="26"/>
        </w:rPr>
        <w:t>that</w:t>
      </w:r>
      <w:r w:rsidRPr="00EF5A3A">
        <w:rPr>
          <w:szCs w:val="26"/>
        </w:rPr>
        <w:t xml:space="preserve"> Carrillo</w:t>
      </w:r>
      <w:r w:rsidR="003D08D0" w:rsidRPr="00EF5A3A">
        <w:rPr>
          <w:szCs w:val="26"/>
        </w:rPr>
        <w:t xml:space="preserve"> </w:t>
      </w:r>
      <w:r w:rsidR="00176F1B" w:rsidRPr="00EF5A3A">
        <w:rPr>
          <w:szCs w:val="26"/>
        </w:rPr>
        <w:t>had</w:t>
      </w:r>
      <w:r w:rsidR="009A1489" w:rsidRPr="00EF5A3A">
        <w:rPr>
          <w:szCs w:val="26"/>
        </w:rPr>
        <w:t xml:space="preserve"> willfully</w:t>
      </w:r>
      <w:r w:rsidR="00176F1B" w:rsidRPr="00EF5A3A">
        <w:rPr>
          <w:szCs w:val="26"/>
        </w:rPr>
        <w:t xml:space="preserve"> </w:t>
      </w:r>
      <w:r w:rsidR="00E01199" w:rsidRPr="00EF5A3A">
        <w:rPr>
          <w:szCs w:val="26"/>
        </w:rPr>
        <w:t xml:space="preserve">obstructed </w:t>
      </w:r>
      <w:r w:rsidR="0028085E" w:rsidRPr="00EF5A3A">
        <w:rPr>
          <w:szCs w:val="26"/>
        </w:rPr>
        <w:t>a</w:t>
      </w:r>
      <w:r w:rsidR="009B0721" w:rsidRPr="00EF5A3A">
        <w:rPr>
          <w:szCs w:val="26"/>
        </w:rPr>
        <w:t xml:space="preserve"> court-ordered</w:t>
      </w:r>
      <w:r w:rsidRPr="00EF5A3A">
        <w:rPr>
          <w:szCs w:val="26"/>
        </w:rPr>
        <w:t xml:space="preserve"> </w:t>
      </w:r>
      <w:r w:rsidR="00E01199" w:rsidRPr="00EF5A3A">
        <w:rPr>
          <w:szCs w:val="26"/>
        </w:rPr>
        <w:t xml:space="preserve">psychiatric </w:t>
      </w:r>
      <w:r w:rsidR="006F3DB5" w:rsidRPr="00EF5A3A">
        <w:rPr>
          <w:szCs w:val="26"/>
        </w:rPr>
        <w:t>examination</w:t>
      </w:r>
      <w:r w:rsidRPr="00EF5A3A">
        <w:rPr>
          <w:szCs w:val="26"/>
        </w:rPr>
        <w:t xml:space="preserve"> </w:t>
      </w:r>
      <w:r w:rsidR="00667463" w:rsidRPr="00EF5A3A">
        <w:rPr>
          <w:szCs w:val="26"/>
        </w:rPr>
        <w:t xml:space="preserve">of </w:t>
      </w:r>
      <w:r w:rsidR="00C1114A">
        <w:rPr>
          <w:szCs w:val="26"/>
        </w:rPr>
        <w:t>K.J.</w:t>
      </w:r>
      <w:r w:rsidR="00667463" w:rsidRPr="00EF5A3A">
        <w:rPr>
          <w:szCs w:val="26"/>
        </w:rPr>
        <w:t xml:space="preserve"> by directing the examiner not to ask </w:t>
      </w:r>
      <w:r w:rsidR="00E01199" w:rsidRPr="00EF5A3A">
        <w:rPr>
          <w:szCs w:val="26"/>
        </w:rPr>
        <w:t>questions about the details of the assault.  LAUSD</w:t>
      </w:r>
      <w:r w:rsidR="00176F1B" w:rsidRPr="00EF5A3A">
        <w:rPr>
          <w:szCs w:val="26"/>
        </w:rPr>
        <w:t xml:space="preserve"> contended that </w:t>
      </w:r>
      <w:r w:rsidR="00E01199" w:rsidRPr="00EF5A3A">
        <w:rPr>
          <w:szCs w:val="26"/>
        </w:rPr>
        <w:t xml:space="preserve">Carrillo’s conduct </w:t>
      </w:r>
      <w:r w:rsidR="009A1489" w:rsidRPr="00EF5A3A">
        <w:rPr>
          <w:szCs w:val="26"/>
        </w:rPr>
        <w:t xml:space="preserve">directly </w:t>
      </w:r>
      <w:r w:rsidR="00E01199" w:rsidRPr="00EF5A3A">
        <w:rPr>
          <w:szCs w:val="26"/>
        </w:rPr>
        <w:t xml:space="preserve">violated a </w:t>
      </w:r>
      <w:r w:rsidR="009A1489" w:rsidRPr="00EF5A3A">
        <w:rPr>
          <w:szCs w:val="26"/>
        </w:rPr>
        <w:t xml:space="preserve">prior </w:t>
      </w:r>
      <w:r w:rsidR="00176F1B" w:rsidRPr="00EF5A3A">
        <w:rPr>
          <w:szCs w:val="26"/>
        </w:rPr>
        <w:t xml:space="preserve">discovery </w:t>
      </w:r>
      <w:r w:rsidR="00E01199" w:rsidRPr="00EF5A3A">
        <w:rPr>
          <w:szCs w:val="26"/>
        </w:rPr>
        <w:t>order</w:t>
      </w:r>
      <w:r w:rsidR="00667463" w:rsidRPr="00EF5A3A">
        <w:rPr>
          <w:szCs w:val="26"/>
        </w:rPr>
        <w:t xml:space="preserve"> </w:t>
      </w:r>
      <w:r w:rsidR="00176F1B" w:rsidRPr="00EF5A3A">
        <w:rPr>
          <w:szCs w:val="26"/>
        </w:rPr>
        <w:t xml:space="preserve">in which the trial court had </w:t>
      </w:r>
      <w:r w:rsidR="009A1489" w:rsidRPr="00EF5A3A">
        <w:rPr>
          <w:szCs w:val="26"/>
        </w:rPr>
        <w:t>declined to place any</w:t>
      </w:r>
      <w:r w:rsidR="00667463" w:rsidRPr="00EF5A3A">
        <w:rPr>
          <w:szCs w:val="26"/>
        </w:rPr>
        <w:t xml:space="preserve"> such limitations on the examin</w:t>
      </w:r>
      <w:r w:rsidR="00320B1E" w:rsidRPr="00EF5A3A">
        <w:rPr>
          <w:szCs w:val="26"/>
        </w:rPr>
        <w:t>er</w:t>
      </w:r>
      <w:r w:rsidR="006F3DB5" w:rsidRPr="00EF5A3A">
        <w:rPr>
          <w:szCs w:val="26"/>
        </w:rPr>
        <w:t>.</w:t>
      </w:r>
    </w:p>
    <w:p w14:paraId="23F9FE4C" w14:textId="2C550AE2" w:rsidR="006F3DB5" w:rsidRPr="00EF5A3A" w:rsidRDefault="008F07BF" w:rsidP="00EF5A3A">
      <w:pPr>
        <w:ind w:firstLine="720"/>
        <w:rPr>
          <w:szCs w:val="26"/>
        </w:rPr>
      </w:pPr>
      <w:r w:rsidRPr="00EF5A3A">
        <w:rPr>
          <w:szCs w:val="26"/>
        </w:rPr>
        <w:t>After</w:t>
      </w:r>
      <w:r w:rsidR="005768EA" w:rsidRPr="00EF5A3A">
        <w:rPr>
          <w:szCs w:val="26"/>
        </w:rPr>
        <w:t xml:space="preserve"> issuing an order to show cause and</w:t>
      </w:r>
      <w:r w:rsidR="00216A45" w:rsidRPr="00EF5A3A">
        <w:rPr>
          <w:szCs w:val="26"/>
        </w:rPr>
        <w:t xml:space="preserve"> </w:t>
      </w:r>
      <w:r w:rsidR="00320B1E" w:rsidRPr="00EF5A3A">
        <w:rPr>
          <w:szCs w:val="26"/>
        </w:rPr>
        <w:t xml:space="preserve">holding </w:t>
      </w:r>
      <w:r w:rsidR="00E01199" w:rsidRPr="00EF5A3A">
        <w:rPr>
          <w:szCs w:val="26"/>
        </w:rPr>
        <w:t xml:space="preserve">an evidentiary hearing, </w:t>
      </w:r>
      <w:r w:rsidR="0074658F" w:rsidRPr="00EF5A3A">
        <w:rPr>
          <w:szCs w:val="26"/>
        </w:rPr>
        <w:t>t</w:t>
      </w:r>
      <w:r w:rsidR="006F3DB5" w:rsidRPr="00EF5A3A">
        <w:rPr>
          <w:szCs w:val="26"/>
        </w:rPr>
        <w:t xml:space="preserve">he trial court </w:t>
      </w:r>
      <w:r w:rsidR="005768EA" w:rsidRPr="00EF5A3A">
        <w:rPr>
          <w:szCs w:val="26"/>
        </w:rPr>
        <w:t>entered</w:t>
      </w:r>
      <w:r w:rsidR="006F3DB5" w:rsidRPr="00EF5A3A">
        <w:rPr>
          <w:szCs w:val="26"/>
        </w:rPr>
        <w:t xml:space="preserve"> a</w:t>
      </w:r>
      <w:r w:rsidR="00176F1B" w:rsidRPr="00EF5A3A">
        <w:rPr>
          <w:szCs w:val="26"/>
        </w:rPr>
        <w:t xml:space="preserve">n order of contempt </w:t>
      </w:r>
      <w:r w:rsidR="00E01199" w:rsidRPr="00EF5A3A">
        <w:rPr>
          <w:szCs w:val="26"/>
        </w:rPr>
        <w:t xml:space="preserve">finding </w:t>
      </w:r>
      <w:r w:rsidR="006F3DB5" w:rsidRPr="00EF5A3A">
        <w:rPr>
          <w:szCs w:val="26"/>
        </w:rPr>
        <w:t>Carrillo</w:t>
      </w:r>
      <w:r w:rsidR="0074658F" w:rsidRPr="00EF5A3A">
        <w:rPr>
          <w:szCs w:val="26"/>
        </w:rPr>
        <w:t xml:space="preserve"> </w:t>
      </w:r>
      <w:r w:rsidR="00906488" w:rsidRPr="00EF5A3A">
        <w:rPr>
          <w:szCs w:val="26"/>
        </w:rPr>
        <w:t>guilty of</w:t>
      </w:r>
      <w:r w:rsidR="0057732B" w:rsidRPr="00EF5A3A">
        <w:rPr>
          <w:szCs w:val="26"/>
        </w:rPr>
        <w:t xml:space="preserve"> willfully</w:t>
      </w:r>
      <w:r w:rsidR="0074658F" w:rsidRPr="00EF5A3A">
        <w:rPr>
          <w:szCs w:val="26"/>
        </w:rPr>
        <w:t xml:space="preserve"> disobe</w:t>
      </w:r>
      <w:r w:rsidR="0057732B" w:rsidRPr="00EF5A3A">
        <w:rPr>
          <w:szCs w:val="26"/>
        </w:rPr>
        <w:t>y</w:t>
      </w:r>
      <w:r w:rsidR="00906488" w:rsidRPr="00EF5A3A">
        <w:rPr>
          <w:szCs w:val="26"/>
        </w:rPr>
        <w:t>ing</w:t>
      </w:r>
      <w:r w:rsidR="0074658F" w:rsidRPr="00EF5A3A">
        <w:rPr>
          <w:szCs w:val="26"/>
        </w:rPr>
        <w:t xml:space="preserve"> the </w:t>
      </w:r>
      <w:r w:rsidR="00667463" w:rsidRPr="00EF5A3A">
        <w:rPr>
          <w:szCs w:val="26"/>
        </w:rPr>
        <w:t xml:space="preserve">prior discovery </w:t>
      </w:r>
      <w:r w:rsidR="0074658F" w:rsidRPr="00EF5A3A">
        <w:rPr>
          <w:szCs w:val="26"/>
        </w:rPr>
        <w:t>order</w:t>
      </w:r>
      <w:r w:rsidR="006F3DB5" w:rsidRPr="00EF5A3A">
        <w:rPr>
          <w:szCs w:val="26"/>
        </w:rPr>
        <w:t xml:space="preserve">. </w:t>
      </w:r>
      <w:r w:rsidR="00953457" w:rsidRPr="00EF5A3A">
        <w:rPr>
          <w:szCs w:val="26"/>
        </w:rPr>
        <w:t xml:space="preserve"> </w:t>
      </w:r>
      <w:r w:rsidR="006F3DB5" w:rsidRPr="00EF5A3A">
        <w:rPr>
          <w:szCs w:val="26"/>
        </w:rPr>
        <w:t>The</w:t>
      </w:r>
      <w:r w:rsidR="00667463" w:rsidRPr="00EF5A3A">
        <w:rPr>
          <w:szCs w:val="26"/>
        </w:rPr>
        <w:t xml:space="preserve"> </w:t>
      </w:r>
      <w:r w:rsidR="008978BD" w:rsidRPr="00EF5A3A">
        <w:rPr>
          <w:szCs w:val="26"/>
        </w:rPr>
        <w:t xml:space="preserve">court </w:t>
      </w:r>
      <w:r w:rsidR="00424068" w:rsidRPr="00EF5A3A">
        <w:rPr>
          <w:szCs w:val="26"/>
        </w:rPr>
        <w:t>order</w:t>
      </w:r>
      <w:r w:rsidR="008978BD" w:rsidRPr="00EF5A3A">
        <w:rPr>
          <w:szCs w:val="26"/>
        </w:rPr>
        <w:t>ed</w:t>
      </w:r>
      <w:r w:rsidR="00320B1E" w:rsidRPr="00EF5A3A">
        <w:rPr>
          <w:szCs w:val="26"/>
        </w:rPr>
        <w:t xml:space="preserve"> </w:t>
      </w:r>
      <w:r w:rsidR="009A1489" w:rsidRPr="00EF5A3A">
        <w:rPr>
          <w:szCs w:val="26"/>
        </w:rPr>
        <w:t xml:space="preserve">Carrillo to serve </w:t>
      </w:r>
      <w:r w:rsidR="006F3DB5" w:rsidRPr="00EF5A3A">
        <w:rPr>
          <w:szCs w:val="26"/>
        </w:rPr>
        <w:t>24</w:t>
      </w:r>
      <w:r w:rsidR="009A1489" w:rsidRPr="00EF5A3A">
        <w:rPr>
          <w:szCs w:val="26"/>
        </w:rPr>
        <w:t xml:space="preserve"> </w:t>
      </w:r>
      <w:r w:rsidR="006F3DB5" w:rsidRPr="00EF5A3A">
        <w:rPr>
          <w:szCs w:val="26"/>
        </w:rPr>
        <w:t>hour</w:t>
      </w:r>
      <w:r w:rsidR="00424068" w:rsidRPr="00EF5A3A">
        <w:rPr>
          <w:szCs w:val="26"/>
        </w:rPr>
        <w:t>s in</w:t>
      </w:r>
      <w:r w:rsidR="009A1489" w:rsidRPr="00EF5A3A">
        <w:rPr>
          <w:szCs w:val="26"/>
        </w:rPr>
        <w:t xml:space="preserve"> county</w:t>
      </w:r>
      <w:r w:rsidR="00424068" w:rsidRPr="00EF5A3A">
        <w:rPr>
          <w:szCs w:val="26"/>
        </w:rPr>
        <w:t xml:space="preserve"> jail</w:t>
      </w:r>
      <w:r w:rsidR="009A1489" w:rsidRPr="00EF5A3A">
        <w:rPr>
          <w:szCs w:val="26"/>
        </w:rPr>
        <w:t xml:space="preserve"> and to pay a </w:t>
      </w:r>
      <w:r w:rsidR="006F3DB5" w:rsidRPr="00EF5A3A">
        <w:rPr>
          <w:szCs w:val="26"/>
        </w:rPr>
        <w:t>$750 fine</w:t>
      </w:r>
      <w:r w:rsidR="009A1489" w:rsidRPr="00EF5A3A">
        <w:rPr>
          <w:szCs w:val="26"/>
        </w:rPr>
        <w:t>.  The court</w:t>
      </w:r>
      <w:r w:rsidR="00E92B64" w:rsidRPr="00EF5A3A">
        <w:rPr>
          <w:szCs w:val="26"/>
        </w:rPr>
        <w:t>’s order</w:t>
      </w:r>
      <w:r w:rsidR="009A1489" w:rsidRPr="00EF5A3A">
        <w:rPr>
          <w:szCs w:val="26"/>
        </w:rPr>
        <w:t xml:space="preserve"> also </w:t>
      </w:r>
      <w:r w:rsidR="00424068" w:rsidRPr="00EF5A3A">
        <w:rPr>
          <w:szCs w:val="26"/>
        </w:rPr>
        <w:t>i</w:t>
      </w:r>
      <w:r w:rsidR="0074658F" w:rsidRPr="00EF5A3A">
        <w:rPr>
          <w:szCs w:val="26"/>
        </w:rPr>
        <w:t xml:space="preserve">nvited </w:t>
      </w:r>
      <w:r w:rsidR="006F3DB5" w:rsidRPr="00EF5A3A">
        <w:rPr>
          <w:szCs w:val="26"/>
        </w:rPr>
        <w:t xml:space="preserve">LAUSD </w:t>
      </w:r>
      <w:r w:rsidR="0074658F" w:rsidRPr="00EF5A3A">
        <w:rPr>
          <w:szCs w:val="26"/>
        </w:rPr>
        <w:t>to file a</w:t>
      </w:r>
      <w:r w:rsidR="00667463" w:rsidRPr="00EF5A3A">
        <w:rPr>
          <w:szCs w:val="26"/>
        </w:rPr>
        <w:t xml:space="preserve"> supplemental</w:t>
      </w:r>
      <w:r w:rsidR="0074658F" w:rsidRPr="00EF5A3A">
        <w:rPr>
          <w:szCs w:val="26"/>
        </w:rPr>
        <w:t xml:space="preserve"> </w:t>
      </w:r>
      <w:r w:rsidR="00424068" w:rsidRPr="00EF5A3A">
        <w:rPr>
          <w:szCs w:val="26"/>
        </w:rPr>
        <w:t xml:space="preserve">application </w:t>
      </w:r>
      <w:r w:rsidR="0074658F" w:rsidRPr="00EF5A3A">
        <w:rPr>
          <w:szCs w:val="26"/>
        </w:rPr>
        <w:t xml:space="preserve">to recover the fees </w:t>
      </w:r>
      <w:r w:rsidR="000546F6" w:rsidRPr="00EF5A3A">
        <w:rPr>
          <w:szCs w:val="26"/>
        </w:rPr>
        <w:t xml:space="preserve">and costs </w:t>
      </w:r>
      <w:r w:rsidR="0074658F" w:rsidRPr="00EF5A3A">
        <w:rPr>
          <w:szCs w:val="26"/>
        </w:rPr>
        <w:t xml:space="preserve">it had expended in litigating the </w:t>
      </w:r>
      <w:r w:rsidR="00667463" w:rsidRPr="00EF5A3A">
        <w:rPr>
          <w:szCs w:val="26"/>
        </w:rPr>
        <w:t>sanctions motion</w:t>
      </w:r>
      <w:r w:rsidR="00424068" w:rsidRPr="00EF5A3A">
        <w:rPr>
          <w:szCs w:val="26"/>
        </w:rPr>
        <w:t xml:space="preserve"> and </w:t>
      </w:r>
      <w:r w:rsidR="00015F2A" w:rsidRPr="00EF5A3A">
        <w:rPr>
          <w:szCs w:val="26"/>
        </w:rPr>
        <w:t xml:space="preserve">the </w:t>
      </w:r>
      <w:r w:rsidR="00424068" w:rsidRPr="00EF5A3A">
        <w:rPr>
          <w:szCs w:val="26"/>
        </w:rPr>
        <w:t>contempt proceedings</w:t>
      </w:r>
      <w:r w:rsidR="0074658F" w:rsidRPr="00EF5A3A">
        <w:rPr>
          <w:szCs w:val="26"/>
        </w:rPr>
        <w:t>.</w:t>
      </w:r>
      <w:r w:rsidR="00216A45" w:rsidRPr="00EF5A3A">
        <w:rPr>
          <w:szCs w:val="26"/>
        </w:rPr>
        <w:t xml:space="preserve"> </w:t>
      </w:r>
      <w:r w:rsidR="00424068" w:rsidRPr="00EF5A3A">
        <w:rPr>
          <w:szCs w:val="26"/>
        </w:rPr>
        <w:t xml:space="preserve"> </w:t>
      </w:r>
      <w:r w:rsidR="006F3DB5" w:rsidRPr="00EF5A3A">
        <w:rPr>
          <w:szCs w:val="26"/>
        </w:rPr>
        <w:t>Carrillo</w:t>
      </w:r>
      <w:r w:rsidR="00216A45" w:rsidRPr="00EF5A3A">
        <w:rPr>
          <w:szCs w:val="26"/>
        </w:rPr>
        <w:t xml:space="preserve"> </w:t>
      </w:r>
      <w:r w:rsidR="00953457" w:rsidRPr="00EF5A3A">
        <w:rPr>
          <w:szCs w:val="26"/>
        </w:rPr>
        <w:t xml:space="preserve">filed a </w:t>
      </w:r>
      <w:r w:rsidR="006F3DB5" w:rsidRPr="00EF5A3A">
        <w:rPr>
          <w:szCs w:val="26"/>
        </w:rPr>
        <w:t>petition for a writ of habeas corpus</w:t>
      </w:r>
      <w:r w:rsidR="00E92B64" w:rsidRPr="00EF5A3A">
        <w:rPr>
          <w:szCs w:val="26"/>
        </w:rPr>
        <w:t xml:space="preserve"> </w:t>
      </w:r>
      <w:r w:rsidR="008978BD" w:rsidRPr="00EF5A3A">
        <w:rPr>
          <w:szCs w:val="26"/>
        </w:rPr>
        <w:t xml:space="preserve">in the Court of Appeal </w:t>
      </w:r>
      <w:r w:rsidR="00953457" w:rsidRPr="00EF5A3A">
        <w:rPr>
          <w:szCs w:val="26"/>
        </w:rPr>
        <w:t>challenging the</w:t>
      </w:r>
      <w:r w:rsidR="0074658F" w:rsidRPr="00EF5A3A">
        <w:rPr>
          <w:szCs w:val="26"/>
        </w:rPr>
        <w:t xml:space="preserve"> </w:t>
      </w:r>
      <w:r w:rsidR="00953457" w:rsidRPr="00EF5A3A">
        <w:rPr>
          <w:szCs w:val="26"/>
        </w:rPr>
        <w:t>contempt order</w:t>
      </w:r>
      <w:r w:rsidR="00A03FC3" w:rsidRPr="00EF5A3A">
        <w:rPr>
          <w:szCs w:val="26"/>
        </w:rPr>
        <w:t xml:space="preserve">. </w:t>
      </w:r>
      <w:r w:rsidR="006F3DB5" w:rsidRPr="00EF5A3A">
        <w:rPr>
          <w:szCs w:val="26"/>
        </w:rPr>
        <w:t xml:space="preserve"> </w:t>
      </w:r>
      <w:r w:rsidR="00216A45" w:rsidRPr="00EF5A3A">
        <w:rPr>
          <w:szCs w:val="26"/>
        </w:rPr>
        <w:t xml:space="preserve">On October 26, 2015, </w:t>
      </w:r>
      <w:r w:rsidR="0074658F" w:rsidRPr="00EF5A3A">
        <w:rPr>
          <w:szCs w:val="26"/>
        </w:rPr>
        <w:t xml:space="preserve">the Court of Appeal </w:t>
      </w:r>
      <w:r w:rsidR="00667463" w:rsidRPr="00EF5A3A">
        <w:rPr>
          <w:szCs w:val="26"/>
        </w:rPr>
        <w:t>issue</w:t>
      </w:r>
      <w:r w:rsidR="0074658F" w:rsidRPr="00EF5A3A">
        <w:rPr>
          <w:szCs w:val="26"/>
        </w:rPr>
        <w:t>d</w:t>
      </w:r>
      <w:r w:rsidR="00667463" w:rsidRPr="00EF5A3A">
        <w:rPr>
          <w:szCs w:val="26"/>
        </w:rPr>
        <w:t xml:space="preserve"> a</w:t>
      </w:r>
      <w:r w:rsidR="008978BD" w:rsidRPr="00EF5A3A">
        <w:rPr>
          <w:szCs w:val="26"/>
        </w:rPr>
        <w:t>n order staying the order of contempt</w:t>
      </w:r>
      <w:r w:rsidR="006F3DB5" w:rsidRPr="00EF5A3A">
        <w:rPr>
          <w:szCs w:val="26"/>
        </w:rPr>
        <w:t>.</w:t>
      </w:r>
    </w:p>
    <w:p w14:paraId="489D6B9F" w14:textId="558F4A81" w:rsidR="0062240D" w:rsidRPr="00EF5A3A" w:rsidRDefault="00216A45" w:rsidP="00EF5A3A">
      <w:pPr>
        <w:ind w:firstLine="720"/>
        <w:rPr>
          <w:szCs w:val="26"/>
        </w:rPr>
      </w:pPr>
      <w:r w:rsidRPr="00EF5A3A">
        <w:rPr>
          <w:szCs w:val="26"/>
        </w:rPr>
        <w:t xml:space="preserve">While the stay was in effect, </w:t>
      </w:r>
      <w:r w:rsidR="006F3DB5" w:rsidRPr="00EF5A3A">
        <w:rPr>
          <w:szCs w:val="26"/>
        </w:rPr>
        <w:t>LAUSD</w:t>
      </w:r>
      <w:r w:rsidR="0062240D" w:rsidRPr="00EF5A3A">
        <w:rPr>
          <w:szCs w:val="26"/>
        </w:rPr>
        <w:t xml:space="preserve"> </w:t>
      </w:r>
      <w:r w:rsidR="006F3DB5" w:rsidRPr="00EF5A3A">
        <w:rPr>
          <w:szCs w:val="26"/>
        </w:rPr>
        <w:t xml:space="preserve">filed </w:t>
      </w:r>
      <w:r w:rsidR="00015F2A" w:rsidRPr="00EF5A3A">
        <w:rPr>
          <w:szCs w:val="26"/>
        </w:rPr>
        <w:t>its</w:t>
      </w:r>
      <w:r w:rsidR="00E53755" w:rsidRPr="00EF5A3A">
        <w:rPr>
          <w:szCs w:val="26"/>
        </w:rPr>
        <w:t xml:space="preserve"> supplemental </w:t>
      </w:r>
      <w:r w:rsidR="00424068" w:rsidRPr="00EF5A3A">
        <w:rPr>
          <w:szCs w:val="26"/>
        </w:rPr>
        <w:t>application</w:t>
      </w:r>
      <w:r w:rsidR="00015F2A" w:rsidRPr="00EF5A3A">
        <w:rPr>
          <w:szCs w:val="26"/>
        </w:rPr>
        <w:t xml:space="preserve">, which sought </w:t>
      </w:r>
      <w:r w:rsidR="00E92B64" w:rsidRPr="00EF5A3A">
        <w:rPr>
          <w:szCs w:val="26"/>
        </w:rPr>
        <w:t>$100,000 in</w:t>
      </w:r>
      <w:r w:rsidR="00E53755" w:rsidRPr="00EF5A3A">
        <w:rPr>
          <w:szCs w:val="26"/>
        </w:rPr>
        <w:t xml:space="preserve"> sanctions</w:t>
      </w:r>
      <w:r w:rsidR="006F3DB5" w:rsidRPr="00EF5A3A">
        <w:rPr>
          <w:szCs w:val="26"/>
        </w:rPr>
        <w:t xml:space="preserve"> </w:t>
      </w:r>
      <w:r w:rsidR="00E92B64" w:rsidRPr="00EF5A3A">
        <w:rPr>
          <w:szCs w:val="26"/>
        </w:rPr>
        <w:t xml:space="preserve">from </w:t>
      </w:r>
      <w:r w:rsidR="0071568B" w:rsidRPr="00EF5A3A">
        <w:rPr>
          <w:szCs w:val="26"/>
        </w:rPr>
        <w:t>Ca</w:t>
      </w:r>
      <w:r w:rsidRPr="00EF5A3A">
        <w:rPr>
          <w:szCs w:val="26"/>
        </w:rPr>
        <w:t>r</w:t>
      </w:r>
      <w:r w:rsidR="0071568B" w:rsidRPr="00EF5A3A">
        <w:rPr>
          <w:szCs w:val="26"/>
        </w:rPr>
        <w:t xml:space="preserve">rillo and his </w:t>
      </w:r>
      <w:r w:rsidR="00E53755" w:rsidRPr="00EF5A3A">
        <w:rPr>
          <w:szCs w:val="26"/>
        </w:rPr>
        <w:t xml:space="preserve">law </w:t>
      </w:r>
      <w:r w:rsidR="00E92B64" w:rsidRPr="00EF5A3A">
        <w:rPr>
          <w:szCs w:val="26"/>
        </w:rPr>
        <w:t>firm</w:t>
      </w:r>
      <w:r w:rsidR="005768EA" w:rsidRPr="00EF5A3A">
        <w:rPr>
          <w:szCs w:val="26"/>
        </w:rPr>
        <w:t xml:space="preserve">.  The requested sanctions included </w:t>
      </w:r>
      <w:r w:rsidR="0071568B" w:rsidRPr="00EF5A3A">
        <w:rPr>
          <w:szCs w:val="26"/>
        </w:rPr>
        <w:t>$52,247 in fees and costs</w:t>
      </w:r>
      <w:r w:rsidR="00DF0DF9" w:rsidRPr="00EF5A3A">
        <w:rPr>
          <w:szCs w:val="26"/>
        </w:rPr>
        <w:t xml:space="preserve"> </w:t>
      </w:r>
      <w:r w:rsidR="00833DC6" w:rsidRPr="00EF5A3A">
        <w:rPr>
          <w:szCs w:val="26"/>
        </w:rPr>
        <w:t xml:space="preserve">that </w:t>
      </w:r>
      <w:r w:rsidR="00DF0DF9" w:rsidRPr="00EF5A3A">
        <w:rPr>
          <w:szCs w:val="26"/>
        </w:rPr>
        <w:t>LAUSD</w:t>
      </w:r>
      <w:r w:rsidRPr="00EF5A3A">
        <w:rPr>
          <w:szCs w:val="26"/>
        </w:rPr>
        <w:t xml:space="preserve"> </w:t>
      </w:r>
      <w:r w:rsidR="00DF0DF9" w:rsidRPr="00EF5A3A">
        <w:rPr>
          <w:szCs w:val="26"/>
        </w:rPr>
        <w:t xml:space="preserve">had </w:t>
      </w:r>
      <w:r w:rsidR="0071568B" w:rsidRPr="00EF5A3A">
        <w:rPr>
          <w:szCs w:val="26"/>
        </w:rPr>
        <w:t>incurred</w:t>
      </w:r>
      <w:r w:rsidRPr="00EF5A3A">
        <w:rPr>
          <w:szCs w:val="26"/>
        </w:rPr>
        <w:t xml:space="preserve"> </w:t>
      </w:r>
      <w:r w:rsidR="0062240D" w:rsidRPr="00EF5A3A">
        <w:rPr>
          <w:szCs w:val="26"/>
        </w:rPr>
        <w:t xml:space="preserve">in litigating </w:t>
      </w:r>
      <w:r w:rsidR="0028085E" w:rsidRPr="00EF5A3A">
        <w:rPr>
          <w:szCs w:val="26"/>
        </w:rPr>
        <w:t>the</w:t>
      </w:r>
      <w:r w:rsidR="00E92B64" w:rsidRPr="00EF5A3A">
        <w:rPr>
          <w:szCs w:val="26"/>
        </w:rPr>
        <w:t xml:space="preserve"> </w:t>
      </w:r>
      <w:r w:rsidR="00015F2A" w:rsidRPr="00EF5A3A">
        <w:rPr>
          <w:szCs w:val="26"/>
        </w:rPr>
        <w:lastRenderedPageBreak/>
        <w:t>original</w:t>
      </w:r>
      <w:r w:rsidR="00E92B64" w:rsidRPr="00EF5A3A">
        <w:rPr>
          <w:szCs w:val="26"/>
        </w:rPr>
        <w:t xml:space="preserve"> </w:t>
      </w:r>
      <w:r w:rsidR="0028085E" w:rsidRPr="00EF5A3A">
        <w:rPr>
          <w:szCs w:val="26"/>
        </w:rPr>
        <w:t>application</w:t>
      </w:r>
      <w:r w:rsidR="00E92B64" w:rsidRPr="00EF5A3A">
        <w:rPr>
          <w:szCs w:val="26"/>
        </w:rPr>
        <w:t xml:space="preserve"> for</w:t>
      </w:r>
      <w:r w:rsidR="0062240D" w:rsidRPr="00EF5A3A">
        <w:rPr>
          <w:szCs w:val="26"/>
        </w:rPr>
        <w:t xml:space="preserve"> sanctions</w:t>
      </w:r>
      <w:r w:rsidR="00E92B64" w:rsidRPr="00EF5A3A">
        <w:rPr>
          <w:szCs w:val="26"/>
        </w:rPr>
        <w:t xml:space="preserve"> </w:t>
      </w:r>
      <w:r w:rsidR="0071568B" w:rsidRPr="00EF5A3A">
        <w:rPr>
          <w:szCs w:val="26"/>
        </w:rPr>
        <w:t xml:space="preserve">and an additional $47,752 </w:t>
      </w:r>
      <w:r w:rsidR="0062240D" w:rsidRPr="00EF5A3A">
        <w:rPr>
          <w:szCs w:val="26"/>
        </w:rPr>
        <w:t>penalty</w:t>
      </w:r>
      <w:r w:rsidR="0071568B" w:rsidRPr="00EF5A3A">
        <w:rPr>
          <w:szCs w:val="26"/>
        </w:rPr>
        <w:t xml:space="preserve"> to “</w:t>
      </w:r>
      <w:r w:rsidR="006F3DB5" w:rsidRPr="00EF5A3A">
        <w:rPr>
          <w:szCs w:val="26"/>
        </w:rPr>
        <w:t>deter future misconduct.</w:t>
      </w:r>
      <w:r w:rsidR="0071568B" w:rsidRPr="00EF5A3A">
        <w:rPr>
          <w:szCs w:val="26"/>
        </w:rPr>
        <w:t>”</w:t>
      </w:r>
    </w:p>
    <w:p w14:paraId="5A368D93" w14:textId="1BCD942A" w:rsidR="006F3DB5" w:rsidRPr="00EF5A3A" w:rsidRDefault="00216A45" w:rsidP="00EF5A3A">
      <w:pPr>
        <w:ind w:firstLine="720"/>
        <w:rPr>
          <w:szCs w:val="26"/>
        </w:rPr>
      </w:pPr>
      <w:r w:rsidRPr="00EF5A3A">
        <w:rPr>
          <w:szCs w:val="26"/>
        </w:rPr>
        <w:t>At the hearing</w:t>
      </w:r>
      <w:r w:rsidR="00424068" w:rsidRPr="00EF5A3A">
        <w:rPr>
          <w:szCs w:val="26"/>
        </w:rPr>
        <w:t xml:space="preserve"> on the supplemental application</w:t>
      </w:r>
      <w:r w:rsidRPr="00EF5A3A">
        <w:rPr>
          <w:szCs w:val="26"/>
        </w:rPr>
        <w:t xml:space="preserve">, the court informed the parties that it intended </w:t>
      </w:r>
      <w:r w:rsidR="006F3DB5" w:rsidRPr="00EF5A3A">
        <w:rPr>
          <w:szCs w:val="26"/>
        </w:rPr>
        <w:t>to</w:t>
      </w:r>
      <w:r w:rsidRPr="00EF5A3A">
        <w:rPr>
          <w:szCs w:val="26"/>
        </w:rPr>
        <w:t xml:space="preserve"> order Carrillo to pay</w:t>
      </w:r>
      <w:r w:rsidR="0062240D" w:rsidRPr="00EF5A3A">
        <w:rPr>
          <w:szCs w:val="26"/>
        </w:rPr>
        <w:t xml:space="preserve"> </w:t>
      </w:r>
      <w:r w:rsidR="00424068" w:rsidRPr="00EF5A3A">
        <w:rPr>
          <w:szCs w:val="26"/>
        </w:rPr>
        <w:t>discovery</w:t>
      </w:r>
      <w:r w:rsidR="0062240D" w:rsidRPr="00EF5A3A">
        <w:rPr>
          <w:szCs w:val="26"/>
        </w:rPr>
        <w:t xml:space="preserve"> sanctions totaling </w:t>
      </w:r>
      <w:r w:rsidR="006F3DB5" w:rsidRPr="00EF5A3A">
        <w:rPr>
          <w:szCs w:val="26"/>
        </w:rPr>
        <w:t xml:space="preserve">$16,111. </w:t>
      </w:r>
      <w:r w:rsidR="00E53755" w:rsidRPr="00EF5A3A">
        <w:rPr>
          <w:szCs w:val="26"/>
        </w:rPr>
        <w:t xml:space="preserve"> </w:t>
      </w:r>
      <w:r w:rsidR="006E01B9" w:rsidRPr="00EF5A3A">
        <w:rPr>
          <w:szCs w:val="26"/>
        </w:rPr>
        <w:t>K.J.’s cocounsel</w:t>
      </w:r>
      <w:r w:rsidR="00E92B64" w:rsidRPr="00EF5A3A">
        <w:rPr>
          <w:szCs w:val="26"/>
        </w:rPr>
        <w:t>, John Henrichs</w:t>
      </w:r>
      <w:r w:rsidR="00FF00C3" w:rsidRPr="00EF5A3A">
        <w:rPr>
          <w:szCs w:val="26"/>
        </w:rPr>
        <w:t>,</w:t>
      </w:r>
      <w:r w:rsidR="0062240D" w:rsidRPr="00EF5A3A">
        <w:rPr>
          <w:szCs w:val="26"/>
        </w:rPr>
        <w:t xml:space="preserve"> </w:t>
      </w:r>
      <w:r w:rsidR="0028085E" w:rsidRPr="00EF5A3A">
        <w:rPr>
          <w:szCs w:val="26"/>
        </w:rPr>
        <w:t xml:space="preserve">argued that </w:t>
      </w:r>
      <w:r w:rsidRPr="00EF5A3A">
        <w:rPr>
          <w:szCs w:val="26"/>
        </w:rPr>
        <w:t xml:space="preserve">the </w:t>
      </w:r>
      <w:r w:rsidR="00015F2A" w:rsidRPr="00EF5A3A">
        <w:rPr>
          <w:szCs w:val="26"/>
        </w:rPr>
        <w:t>Court of Appeal’s stay of the contempt order barred the trial court from entering any further sanctions against</w:t>
      </w:r>
      <w:r w:rsidR="00424068" w:rsidRPr="00EF5A3A">
        <w:rPr>
          <w:szCs w:val="26"/>
        </w:rPr>
        <w:t xml:space="preserve"> Carrillo</w:t>
      </w:r>
      <w:r w:rsidR="00E53755" w:rsidRPr="00EF5A3A">
        <w:rPr>
          <w:szCs w:val="26"/>
        </w:rPr>
        <w:t>.</w:t>
      </w:r>
      <w:r w:rsidR="006E01B9" w:rsidRPr="00EF5A3A">
        <w:rPr>
          <w:szCs w:val="26"/>
        </w:rPr>
        <w:t xml:space="preserve"> </w:t>
      </w:r>
      <w:r w:rsidR="00E53755" w:rsidRPr="00EF5A3A">
        <w:rPr>
          <w:szCs w:val="26"/>
        </w:rPr>
        <w:t xml:space="preserve"> In response, the trial court explained that it was not “</w:t>
      </w:r>
      <w:r w:rsidR="006F3DB5" w:rsidRPr="00EF5A3A">
        <w:rPr>
          <w:szCs w:val="26"/>
        </w:rPr>
        <w:t xml:space="preserve">looking at this as contempt sanctions. </w:t>
      </w:r>
      <w:r w:rsidR="006E01B9" w:rsidRPr="00EF5A3A">
        <w:rPr>
          <w:szCs w:val="26"/>
        </w:rPr>
        <w:t xml:space="preserve"> </w:t>
      </w:r>
      <w:r w:rsidR="006F3DB5" w:rsidRPr="00EF5A3A">
        <w:rPr>
          <w:szCs w:val="26"/>
        </w:rPr>
        <w:t xml:space="preserve">I mean, </w:t>
      </w:r>
      <w:proofErr w:type="gramStart"/>
      <w:r w:rsidR="006F3DB5" w:rsidRPr="00EF5A3A">
        <w:rPr>
          <w:szCs w:val="26"/>
        </w:rPr>
        <w:t>it</w:t>
      </w:r>
      <w:r w:rsidR="006E01B9" w:rsidRPr="00EF5A3A">
        <w:rPr>
          <w:szCs w:val="26"/>
        </w:rPr>
        <w:t>’</w:t>
      </w:r>
      <w:r w:rsidR="006F3DB5" w:rsidRPr="00EF5A3A">
        <w:rPr>
          <w:szCs w:val="26"/>
        </w:rPr>
        <w:t>s</w:t>
      </w:r>
      <w:proofErr w:type="gramEnd"/>
      <w:r w:rsidR="006F3DB5" w:rsidRPr="00EF5A3A">
        <w:rPr>
          <w:szCs w:val="26"/>
        </w:rPr>
        <w:t xml:space="preserve"> arising out [of] that incident and it came up in connection with a contempt hearing, but it</w:t>
      </w:r>
      <w:r w:rsidR="00E53755" w:rsidRPr="00EF5A3A">
        <w:rPr>
          <w:szCs w:val="26"/>
        </w:rPr>
        <w:t>’</w:t>
      </w:r>
      <w:r w:rsidR="006F3DB5" w:rsidRPr="00EF5A3A">
        <w:rPr>
          <w:szCs w:val="26"/>
        </w:rPr>
        <w:t xml:space="preserve">s really a motion for interference with [the] discovery process. </w:t>
      </w:r>
      <w:r w:rsidR="009A1489" w:rsidRPr="00EF5A3A">
        <w:rPr>
          <w:szCs w:val="26"/>
        </w:rPr>
        <w:t xml:space="preserve"> </w:t>
      </w:r>
      <w:r w:rsidR="00550B6A" w:rsidRPr="00EF5A3A">
        <w:rPr>
          <w:szCs w:val="26"/>
        </w:rPr>
        <w:t xml:space="preserve">[¶] </w:t>
      </w:r>
      <w:r w:rsidR="00A03FC3" w:rsidRPr="00EF5A3A">
        <w:rPr>
          <w:szCs w:val="26"/>
        </w:rPr>
        <w:t>. . </w:t>
      </w:r>
      <w:r w:rsidR="00550B6A" w:rsidRPr="00EF5A3A">
        <w:rPr>
          <w:szCs w:val="26"/>
        </w:rPr>
        <w:t>.</w:t>
      </w:r>
      <w:r w:rsidR="00B0003E" w:rsidRPr="00EF5A3A">
        <w:rPr>
          <w:szCs w:val="26"/>
        </w:rPr>
        <w:t> </w:t>
      </w:r>
      <w:r w:rsidR="00550B6A" w:rsidRPr="00EF5A3A">
        <w:rPr>
          <w:szCs w:val="26"/>
        </w:rPr>
        <w:t>[¶]</w:t>
      </w:r>
      <w:r w:rsidR="00E53755" w:rsidRPr="00EF5A3A">
        <w:rPr>
          <w:szCs w:val="26"/>
        </w:rPr>
        <w:t xml:space="preserve"> </w:t>
      </w:r>
      <w:r w:rsidR="006A0E5D" w:rsidRPr="00EF5A3A">
        <w:rPr>
          <w:szCs w:val="26"/>
        </w:rPr>
        <w:t xml:space="preserve"> </w:t>
      </w:r>
      <w:r w:rsidR="006F3DB5" w:rsidRPr="00EF5A3A">
        <w:rPr>
          <w:szCs w:val="26"/>
        </w:rPr>
        <w:t xml:space="preserve">So, this particular decision will stand, in my view, regardless of what the appellate decision is. </w:t>
      </w:r>
      <w:r w:rsidR="006A0E5D" w:rsidRPr="00EF5A3A">
        <w:rPr>
          <w:szCs w:val="26"/>
        </w:rPr>
        <w:t xml:space="preserve"> </w:t>
      </w:r>
      <w:r w:rsidR="006F3DB5" w:rsidRPr="00EF5A3A">
        <w:rPr>
          <w:szCs w:val="26"/>
        </w:rPr>
        <w:t xml:space="preserve">[¶] </w:t>
      </w:r>
      <w:r w:rsidR="00A03FC3" w:rsidRPr="00EF5A3A">
        <w:rPr>
          <w:szCs w:val="26"/>
        </w:rPr>
        <w:t>. . </w:t>
      </w:r>
      <w:r w:rsidR="006F3DB5" w:rsidRPr="00EF5A3A">
        <w:rPr>
          <w:szCs w:val="26"/>
        </w:rPr>
        <w:t xml:space="preserve">. [¶] </w:t>
      </w:r>
      <w:r w:rsidR="006A0E5D" w:rsidRPr="00EF5A3A">
        <w:rPr>
          <w:szCs w:val="26"/>
        </w:rPr>
        <w:t xml:space="preserve"> </w:t>
      </w:r>
      <w:r w:rsidR="006F3DB5" w:rsidRPr="00EF5A3A">
        <w:rPr>
          <w:szCs w:val="26"/>
        </w:rPr>
        <w:t>There is no penal component on this award.</w:t>
      </w:r>
      <w:r w:rsidR="00550B6A" w:rsidRPr="00EF5A3A">
        <w:rPr>
          <w:szCs w:val="26"/>
        </w:rPr>
        <w:t>”</w:t>
      </w:r>
      <w:r w:rsidR="006E01B9" w:rsidRPr="00EF5A3A">
        <w:rPr>
          <w:szCs w:val="26"/>
        </w:rPr>
        <w:t xml:space="preserve">  </w:t>
      </w:r>
      <w:r w:rsidR="006F3DB5" w:rsidRPr="00EF5A3A">
        <w:rPr>
          <w:szCs w:val="26"/>
        </w:rPr>
        <w:t xml:space="preserve">On December 1, 2015, the trial court </w:t>
      </w:r>
      <w:r w:rsidR="00FF00C3" w:rsidRPr="00EF5A3A">
        <w:rPr>
          <w:szCs w:val="26"/>
        </w:rPr>
        <w:t>entered</w:t>
      </w:r>
      <w:r w:rsidR="006F3DB5" w:rsidRPr="00EF5A3A">
        <w:rPr>
          <w:szCs w:val="26"/>
        </w:rPr>
        <w:t xml:space="preserve"> a</w:t>
      </w:r>
      <w:r w:rsidR="00424068" w:rsidRPr="00EF5A3A">
        <w:rPr>
          <w:szCs w:val="26"/>
        </w:rPr>
        <w:t xml:space="preserve">n </w:t>
      </w:r>
      <w:r w:rsidR="006F3DB5" w:rsidRPr="00EF5A3A">
        <w:rPr>
          <w:szCs w:val="26"/>
        </w:rPr>
        <w:t>order</w:t>
      </w:r>
      <w:r w:rsidR="006E01B9" w:rsidRPr="00EF5A3A">
        <w:rPr>
          <w:szCs w:val="26"/>
        </w:rPr>
        <w:t xml:space="preserve"> </w:t>
      </w:r>
      <w:r w:rsidR="00AE3341" w:rsidRPr="00EF5A3A">
        <w:rPr>
          <w:szCs w:val="26"/>
        </w:rPr>
        <w:t xml:space="preserve">directing </w:t>
      </w:r>
      <w:r w:rsidR="00550B6A" w:rsidRPr="00EF5A3A">
        <w:rPr>
          <w:szCs w:val="26"/>
        </w:rPr>
        <w:t>“</w:t>
      </w:r>
      <w:r w:rsidR="006F3DB5" w:rsidRPr="00EF5A3A">
        <w:rPr>
          <w:szCs w:val="26"/>
        </w:rPr>
        <w:t>Luis A. Carrillo, individually, and/or the Law Offices of Luis A. Carrillo, jointly and severally</w:t>
      </w:r>
      <w:r w:rsidR="00550B6A" w:rsidRPr="00EF5A3A">
        <w:rPr>
          <w:szCs w:val="26"/>
        </w:rPr>
        <w:t>”</w:t>
      </w:r>
      <w:r w:rsidR="006F3DB5" w:rsidRPr="00EF5A3A">
        <w:rPr>
          <w:szCs w:val="26"/>
        </w:rPr>
        <w:t xml:space="preserve"> </w:t>
      </w:r>
      <w:r w:rsidR="00AE3341" w:rsidRPr="00EF5A3A">
        <w:rPr>
          <w:szCs w:val="26"/>
        </w:rPr>
        <w:t xml:space="preserve">to </w:t>
      </w:r>
      <w:r w:rsidR="006F3DB5" w:rsidRPr="00EF5A3A">
        <w:rPr>
          <w:szCs w:val="26"/>
        </w:rPr>
        <w:t>pay $16,111 to LAUSD.</w:t>
      </w:r>
      <w:r w:rsidR="00A03FC3" w:rsidRPr="00EF5A3A">
        <w:rPr>
          <w:szCs w:val="26"/>
        </w:rPr>
        <w:t xml:space="preserve">  </w:t>
      </w:r>
      <w:r w:rsidR="00E67CF5" w:rsidRPr="00EF5A3A">
        <w:rPr>
          <w:szCs w:val="26"/>
        </w:rPr>
        <w:t>The</w:t>
      </w:r>
      <w:r w:rsidR="00DA359F" w:rsidRPr="00EF5A3A">
        <w:rPr>
          <w:szCs w:val="26"/>
        </w:rPr>
        <w:t xml:space="preserve"> order</w:t>
      </w:r>
      <w:r w:rsidR="00C06842" w:rsidRPr="00EF5A3A">
        <w:rPr>
          <w:szCs w:val="26"/>
        </w:rPr>
        <w:t xml:space="preserve"> pertained only to </w:t>
      </w:r>
      <w:r w:rsidR="00DA359F" w:rsidRPr="00EF5A3A">
        <w:rPr>
          <w:szCs w:val="26"/>
        </w:rPr>
        <w:t>Carrillo</w:t>
      </w:r>
      <w:r w:rsidR="00301218" w:rsidRPr="00EF5A3A">
        <w:rPr>
          <w:szCs w:val="26"/>
        </w:rPr>
        <w:t xml:space="preserve">; it had </w:t>
      </w:r>
      <w:r w:rsidR="00C06842" w:rsidRPr="00EF5A3A">
        <w:rPr>
          <w:szCs w:val="26"/>
        </w:rPr>
        <w:t xml:space="preserve">no effect on </w:t>
      </w:r>
      <w:r w:rsidR="00DA359F" w:rsidRPr="00EF5A3A">
        <w:rPr>
          <w:szCs w:val="26"/>
        </w:rPr>
        <w:t xml:space="preserve">K.J.   </w:t>
      </w:r>
      <w:r w:rsidR="00E67CF5" w:rsidRPr="00EF5A3A">
        <w:rPr>
          <w:szCs w:val="26"/>
        </w:rPr>
        <w:t xml:space="preserve">  </w:t>
      </w:r>
    </w:p>
    <w:p w14:paraId="79E21FEF" w14:textId="364C6144" w:rsidR="006F3DB5" w:rsidRPr="00EF5A3A" w:rsidRDefault="006E01B9" w:rsidP="00EF5A3A">
      <w:pPr>
        <w:ind w:firstLine="720"/>
        <w:rPr>
          <w:szCs w:val="26"/>
        </w:rPr>
      </w:pPr>
      <w:r w:rsidRPr="00EF5A3A">
        <w:rPr>
          <w:szCs w:val="26"/>
        </w:rPr>
        <w:t>Several weeks</w:t>
      </w:r>
      <w:r w:rsidR="0062240D" w:rsidRPr="00EF5A3A">
        <w:rPr>
          <w:szCs w:val="26"/>
        </w:rPr>
        <w:t xml:space="preserve"> </w:t>
      </w:r>
      <w:r w:rsidR="009A1489" w:rsidRPr="00EF5A3A">
        <w:rPr>
          <w:szCs w:val="26"/>
        </w:rPr>
        <w:t>after the order was filed</w:t>
      </w:r>
      <w:r w:rsidR="0062240D" w:rsidRPr="00EF5A3A">
        <w:rPr>
          <w:szCs w:val="26"/>
        </w:rPr>
        <w:t xml:space="preserve">, </w:t>
      </w:r>
      <w:r w:rsidR="00881AAC" w:rsidRPr="00EF5A3A">
        <w:rPr>
          <w:szCs w:val="26"/>
        </w:rPr>
        <w:t>the Court of Appeal issued a “</w:t>
      </w:r>
      <w:r w:rsidR="00F93C09" w:rsidRPr="00EF5A3A">
        <w:rPr>
          <w:szCs w:val="26"/>
        </w:rPr>
        <w:t xml:space="preserve">suggestive </w:t>
      </w:r>
      <w:r w:rsidR="006F3DB5" w:rsidRPr="00EF5A3A">
        <w:rPr>
          <w:i/>
          <w:iCs/>
          <w:szCs w:val="26"/>
        </w:rPr>
        <w:t>Palma</w:t>
      </w:r>
      <w:r w:rsidR="006F3DB5" w:rsidRPr="00EF5A3A">
        <w:rPr>
          <w:szCs w:val="26"/>
        </w:rPr>
        <w:t xml:space="preserve"> notice</w:t>
      </w:r>
      <w:r w:rsidR="00881AAC" w:rsidRPr="00EF5A3A">
        <w:rPr>
          <w:szCs w:val="26"/>
        </w:rPr>
        <w:t>”</w:t>
      </w:r>
      <w:r w:rsidR="00F93C09" w:rsidRPr="00EF5A3A">
        <w:rPr>
          <w:szCs w:val="26"/>
        </w:rPr>
        <w:t xml:space="preserve"> (</w:t>
      </w:r>
      <w:r w:rsidR="00881AAC" w:rsidRPr="00EF5A3A">
        <w:rPr>
          <w:szCs w:val="26"/>
        </w:rPr>
        <w:t>see</w:t>
      </w:r>
      <w:r w:rsidR="00727BD8" w:rsidRPr="00EF5A3A">
        <w:rPr>
          <w:szCs w:val="26"/>
        </w:rPr>
        <w:t xml:space="preserve"> </w:t>
      </w:r>
      <w:r w:rsidR="00727BD8" w:rsidRPr="00EF5A3A">
        <w:rPr>
          <w:i/>
          <w:iCs/>
          <w:szCs w:val="26"/>
        </w:rPr>
        <w:t>Brown, Winfield &amp; Canzoneri, Inc. v. Superior Court</w:t>
      </w:r>
      <w:r w:rsidR="00727BD8" w:rsidRPr="00EF5A3A">
        <w:rPr>
          <w:szCs w:val="26"/>
        </w:rPr>
        <w:t xml:space="preserve"> (2010) 47 Cal.4th 1233, 1238;</w:t>
      </w:r>
      <w:r w:rsidR="00881AAC" w:rsidRPr="00EF5A3A">
        <w:rPr>
          <w:szCs w:val="26"/>
        </w:rPr>
        <w:t xml:space="preserve"> </w:t>
      </w:r>
      <w:r w:rsidR="00881AAC" w:rsidRPr="00EF5A3A">
        <w:rPr>
          <w:i/>
          <w:iCs/>
          <w:szCs w:val="26"/>
        </w:rPr>
        <w:t>Palma v. U.S. Industrial Fasteners, Inc</w:t>
      </w:r>
      <w:r w:rsidR="00881AAC" w:rsidRPr="00EF5A3A">
        <w:rPr>
          <w:szCs w:val="26"/>
        </w:rPr>
        <w:t>. (1984) 36 Cal.3d 171</w:t>
      </w:r>
      <w:r w:rsidR="0033062A">
        <w:rPr>
          <w:szCs w:val="26"/>
        </w:rPr>
        <w:t>)</w:t>
      </w:r>
      <w:r w:rsidR="002C5A0D" w:rsidRPr="00EF5A3A">
        <w:rPr>
          <w:szCs w:val="26"/>
        </w:rPr>
        <w:t>,</w:t>
      </w:r>
      <w:r w:rsidR="00881AAC" w:rsidRPr="00EF5A3A">
        <w:rPr>
          <w:szCs w:val="26"/>
        </w:rPr>
        <w:t xml:space="preserve"> informing the trial court </w:t>
      </w:r>
      <w:r w:rsidR="00192EF6" w:rsidRPr="00EF5A3A">
        <w:rPr>
          <w:szCs w:val="26"/>
        </w:rPr>
        <w:t xml:space="preserve">that </w:t>
      </w:r>
      <w:r w:rsidR="006F3DB5" w:rsidRPr="00EF5A3A">
        <w:rPr>
          <w:szCs w:val="26"/>
        </w:rPr>
        <w:t xml:space="preserve">there </w:t>
      </w:r>
      <w:r w:rsidR="00F93C09" w:rsidRPr="00EF5A3A">
        <w:rPr>
          <w:szCs w:val="26"/>
        </w:rPr>
        <w:t>was</w:t>
      </w:r>
      <w:r w:rsidR="00192EF6" w:rsidRPr="00EF5A3A">
        <w:rPr>
          <w:szCs w:val="26"/>
        </w:rPr>
        <w:t xml:space="preserve"> </w:t>
      </w:r>
      <w:r w:rsidR="00F93C09" w:rsidRPr="00EF5A3A">
        <w:rPr>
          <w:szCs w:val="26"/>
        </w:rPr>
        <w:t>in</w:t>
      </w:r>
      <w:r w:rsidR="00881AAC" w:rsidRPr="00EF5A3A">
        <w:rPr>
          <w:szCs w:val="26"/>
        </w:rPr>
        <w:t xml:space="preserve">sufficient evidence to find </w:t>
      </w:r>
      <w:r w:rsidR="006F3DB5" w:rsidRPr="00EF5A3A">
        <w:rPr>
          <w:szCs w:val="26"/>
        </w:rPr>
        <w:t xml:space="preserve">Carrillo had willfully disobeyed the </w:t>
      </w:r>
      <w:r w:rsidRPr="00EF5A3A">
        <w:rPr>
          <w:szCs w:val="26"/>
        </w:rPr>
        <w:t>discover</w:t>
      </w:r>
      <w:r w:rsidR="0062240D" w:rsidRPr="00EF5A3A">
        <w:rPr>
          <w:szCs w:val="26"/>
        </w:rPr>
        <w:t xml:space="preserve">y </w:t>
      </w:r>
      <w:r w:rsidR="006F3DB5" w:rsidRPr="00EF5A3A">
        <w:rPr>
          <w:szCs w:val="26"/>
        </w:rPr>
        <w:t>order</w:t>
      </w:r>
      <w:r w:rsidRPr="00EF5A3A">
        <w:rPr>
          <w:szCs w:val="26"/>
        </w:rPr>
        <w:t xml:space="preserve">, </w:t>
      </w:r>
      <w:r w:rsidR="00881AAC" w:rsidRPr="00EF5A3A">
        <w:rPr>
          <w:szCs w:val="26"/>
        </w:rPr>
        <w:t xml:space="preserve">and that it intended </w:t>
      </w:r>
      <w:r w:rsidR="006F3DB5" w:rsidRPr="00EF5A3A">
        <w:rPr>
          <w:szCs w:val="26"/>
        </w:rPr>
        <w:t>to issue a peremptory writ of mandate</w:t>
      </w:r>
      <w:r w:rsidR="00881AAC" w:rsidRPr="00EF5A3A">
        <w:rPr>
          <w:szCs w:val="26"/>
        </w:rPr>
        <w:t xml:space="preserve"> compelling the </w:t>
      </w:r>
      <w:r w:rsidR="0076195D" w:rsidRPr="00EF5A3A">
        <w:rPr>
          <w:szCs w:val="26"/>
        </w:rPr>
        <w:t xml:space="preserve">trial </w:t>
      </w:r>
      <w:r w:rsidR="00881AAC" w:rsidRPr="00EF5A3A">
        <w:rPr>
          <w:szCs w:val="26"/>
        </w:rPr>
        <w:t>court to enter a new order finding Carrillo not guilty of contempt</w:t>
      </w:r>
      <w:r w:rsidR="006F3DB5" w:rsidRPr="00EF5A3A">
        <w:rPr>
          <w:szCs w:val="26"/>
        </w:rPr>
        <w:t>.</w:t>
      </w:r>
    </w:p>
    <w:p w14:paraId="72F0045D" w14:textId="752A1EDC" w:rsidR="001970C2" w:rsidRPr="00EF5A3A" w:rsidRDefault="006D50D6" w:rsidP="00EF5A3A">
      <w:pPr>
        <w:ind w:firstLine="720"/>
        <w:rPr>
          <w:szCs w:val="26"/>
        </w:rPr>
      </w:pPr>
      <w:r w:rsidRPr="00EF5A3A">
        <w:rPr>
          <w:szCs w:val="26"/>
        </w:rPr>
        <w:t xml:space="preserve">In response to the </w:t>
      </w:r>
      <w:r w:rsidRPr="00EF5A3A">
        <w:rPr>
          <w:i/>
          <w:iCs/>
          <w:szCs w:val="26"/>
        </w:rPr>
        <w:t>Palma</w:t>
      </w:r>
      <w:r w:rsidRPr="00EF5A3A">
        <w:rPr>
          <w:szCs w:val="26"/>
        </w:rPr>
        <w:t xml:space="preserve"> notice</w:t>
      </w:r>
      <w:r w:rsidR="006F3DB5" w:rsidRPr="00EF5A3A">
        <w:rPr>
          <w:szCs w:val="26"/>
        </w:rPr>
        <w:t xml:space="preserve">, the trial court vacated its </w:t>
      </w:r>
      <w:r w:rsidR="006E01B9" w:rsidRPr="00EF5A3A">
        <w:rPr>
          <w:szCs w:val="26"/>
        </w:rPr>
        <w:t xml:space="preserve">contempt </w:t>
      </w:r>
      <w:r w:rsidR="006F3DB5" w:rsidRPr="00EF5A3A">
        <w:rPr>
          <w:szCs w:val="26"/>
        </w:rPr>
        <w:t xml:space="preserve">order and issued a new order finding Carrillo not guilty of </w:t>
      </w:r>
      <w:r w:rsidR="00812796" w:rsidRPr="00EF5A3A">
        <w:rPr>
          <w:szCs w:val="26"/>
        </w:rPr>
        <w:t xml:space="preserve">willfully disobeying the prior discovery </w:t>
      </w:r>
      <w:r w:rsidR="006F3DB5" w:rsidRPr="00EF5A3A">
        <w:rPr>
          <w:szCs w:val="26"/>
        </w:rPr>
        <w:t xml:space="preserve">order. </w:t>
      </w:r>
      <w:r w:rsidR="00881AAC" w:rsidRPr="00EF5A3A">
        <w:rPr>
          <w:szCs w:val="26"/>
        </w:rPr>
        <w:t xml:space="preserve"> The </w:t>
      </w:r>
      <w:r w:rsidR="0062240D" w:rsidRPr="00EF5A3A">
        <w:rPr>
          <w:szCs w:val="26"/>
        </w:rPr>
        <w:lastRenderedPageBreak/>
        <w:t>court</w:t>
      </w:r>
      <w:r w:rsidR="00AE3341" w:rsidRPr="00EF5A3A">
        <w:rPr>
          <w:szCs w:val="26"/>
        </w:rPr>
        <w:t>’s order</w:t>
      </w:r>
      <w:r w:rsidR="006E01B9" w:rsidRPr="00EF5A3A">
        <w:rPr>
          <w:szCs w:val="26"/>
        </w:rPr>
        <w:t xml:space="preserve"> clarified, however, that </w:t>
      </w:r>
      <w:r w:rsidR="0062240D" w:rsidRPr="00EF5A3A">
        <w:rPr>
          <w:szCs w:val="26"/>
        </w:rPr>
        <w:t>the</w:t>
      </w:r>
      <w:r w:rsidR="006E01B9" w:rsidRPr="00EF5A3A">
        <w:rPr>
          <w:szCs w:val="26"/>
        </w:rPr>
        <w:t xml:space="preserve"> “</w:t>
      </w:r>
      <w:r w:rsidR="006F3DB5" w:rsidRPr="00EF5A3A">
        <w:rPr>
          <w:szCs w:val="26"/>
        </w:rPr>
        <w:t xml:space="preserve">new order </w:t>
      </w:r>
      <w:r w:rsidR="0062240D" w:rsidRPr="00EF5A3A">
        <w:rPr>
          <w:szCs w:val="26"/>
        </w:rPr>
        <w:t xml:space="preserve">[did not] </w:t>
      </w:r>
      <w:r w:rsidR="00A03FC3" w:rsidRPr="00EF5A3A">
        <w:rPr>
          <w:szCs w:val="26"/>
        </w:rPr>
        <w:t>. . </w:t>
      </w:r>
      <w:r w:rsidR="0062240D" w:rsidRPr="00EF5A3A">
        <w:rPr>
          <w:szCs w:val="26"/>
        </w:rPr>
        <w:t xml:space="preserve">. </w:t>
      </w:r>
      <w:r w:rsidR="006F3DB5" w:rsidRPr="00EF5A3A">
        <w:rPr>
          <w:szCs w:val="26"/>
        </w:rPr>
        <w:t>reverse or change the Court</w:t>
      </w:r>
      <w:r w:rsidR="001970C2" w:rsidRPr="00EF5A3A">
        <w:rPr>
          <w:szCs w:val="26"/>
        </w:rPr>
        <w:t>’</w:t>
      </w:r>
      <w:r w:rsidR="006F3DB5" w:rsidRPr="00EF5A3A">
        <w:rPr>
          <w:szCs w:val="26"/>
        </w:rPr>
        <w:t>s previous order, dated December 1, 2015, awarding sanctions totaling $16,111.00 to LAUSD, based upon its finding that [Carrillo] had violated discovery statutes</w:t>
      </w:r>
      <w:r w:rsidR="00C1114A">
        <w:rPr>
          <w:szCs w:val="26"/>
        </w:rPr>
        <w:t> </w:t>
      </w:r>
      <w:r w:rsidR="001970C2" w:rsidRPr="00EF5A3A">
        <w:rPr>
          <w:szCs w:val="26"/>
        </w:rPr>
        <w:t>.</w:t>
      </w:r>
      <w:r w:rsidR="00C1114A">
        <w:rPr>
          <w:szCs w:val="26"/>
        </w:rPr>
        <w:t> . . .</w:t>
      </w:r>
      <w:r w:rsidR="001970C2" w:rsidRPr="00EF5A3A">
        <w:rPr>
          <w:szCs w:val="26"/>
        </w:rPr>
        <w:t>”</w:t>
      </w:r>
      <w:r w:rsidR="003F741E" w:rsidRPr="00EF5A3A">
        <w:rPr>
          <w:szCs w:val="26"/>
        </w:rPr>
        <w:t xml:space="preserve">  </w:t>
      </w:r>
    </w:p>
    <w:p w14:paraId="7CE45D64" w14:textId="53889112" w:rsidR="006F3DB5" w:rsidRPr="00EF5A3A" w:rsidRDefault="006F3DB5" w:rsidP="00EF5A3A">
      <w:pPr>
        <w:ind w:firstLine="720"/>
        <w:rPr>
          <w:szCs w:val="26"/>
        </w:rPr>
      </w:pPr>
      <w:r w:rsidRPr="00EF5A3A">
        <w:rPr>
          <w:szCs w:val="26"/>
        </w:rPr>
        <w:t xml:space="preserve">On January 26, 2016, </w:t>
      </w:r>
      <w:r w:rsidR="001970C2" w:rsidRPr="00EF5A3A">
        <w:rPr>
          <w:szCs w:val="26"/>
        </w:rPr>
        <w:t xml:space="preserve">attorney Mark Allen filed a notice </w:t>
      </w:r>
      <w:r w:rsidRPr="00EF5A3A">
        <w:rPr>
          <w:szCs w:val="26"/>
        </w:rPr>
        <w:t>of appeal</w:t>
      </w:r>
      <w:r w:rsidR="00774965" w:rsidRPr="00EF5A3A">
        <w:rPr>
          <w:szCs w:val="26"/>
        </w:rPr>
        <w:t xml:space="preserve"> using</w:t>
      </w:r>
      <w:r w:rsidR="002F7E10" w:rsidRPr="00EF5A3A">
        <w:rPr>
          <w:szCs w:val="26"/>
        </w:rPr>
        <w:t xml:space="preserve"> </w:t>
      </w:r>
      <w:r w:rsidR="00774965" w:rsidRPr="00EF5A3A">
        <w:rPr>
          <w:szCs w:val="26"/>
        </w:rPr>
        <w:t xml:space="preserve">Judicial Council </w:t>
      </w:r>
      <w:r w:rsidR="00C1114A">
        <w:rPr>
          <w:szCs w:val="26"/>
        </w:rPr>
        <w:t>f</w:t>
      </w:r>
      <w:r w:rsidR="00774965" w:rsidRPr="00EF5A3A">
        <w:rPr>
          <w:szCs w:val="26"/>
        </w:rPr>
        <w:t xml:space="preserve">orm APP-002.  In </w:t>
      </w:r>
      <w:r w:rsidR="001F3766" w:rsidRPr="00EF5A3A">
        <w:rPr>
          <w:szCs w:val="26"/>
        </w:rPr>
        <w:t>the caption area</w:t>
      </w:r>
      <w:r w:rsidR="000E25A9" w:rsidRPr="00EF5A3A">
        <w:rPr>
          <w:szCs w:val="26"/>
        </w:rPr>
        <w:t xml:space="preserve"> of the standard form</w:t>
      </w:r>
      <w:r w:rsidR="001F3766" w:rsidRPr="00EF5A3A">
        <w:rPr>
          <w:szCs w:val="26"/>
        </w:rPr>
        <w:t xml:space="preserve">, </w:t>
      </w:r>
      <w:r w:rsidR="00774965" w:rsidRPr="00EF5A3A">
        <w:rPr>
          <w:szCs w:val="26"/>
        </w:rPr>
        <w:t xml:space="preserve">Allen identified himself as </w:t>
      </w:r>
      <w:r w:rsidR="001F3766" w:rsidRPr="00EF5A3A">
        <w:rPr>
          <w:szCs w:val="26"/>
        </w:rPr>
        <w:t xml:space="preserve">K.J.’s </w:t>
      </w:r>
      <w:r w:rsidR="00774965" w:rsidRPr="00EF5A3A">
        <w:rPr>
          <w:szCs w:val="26"/>
        </w:rPr>
        <w:t>attorney</w:t>
      </w:r>
      <w:r w:rsidR="001F3766" w:rsidRPr="00EF5A3A">
        <w:rPr>
          <w:szCs w:val="26"/>
        </w:rPr>
        <w:t>, and incorporated the same case</w:t>
      </w:r>
      <w:r w:rsidR="00C1114A">
        <w:rPr>
          <w:szCs w:val="26"/>
        </w:rPr>
        <w:t xml:space="preserve"> </w:t>
      </w:r>
      <w:r w:rsidR="00883A9B">
        <w:rPr>
          <w:szCs w:val="26"/>
        </w:rPr>
        <w:t>title</w:t>
      </w:r>
      <w:r w:rsidR="001F3766" w:rsidRPr="00EF5A3A">
        <w:rPr>
          <w:szCs w:val="26"/>
        </w:rPr>
        <w:t xml:space="preserve"> that was used in the </w:t>
      </w:r>
      <w:r w:rsidR="00774965" w:rsidRPr="00EF5A3A">
        <w:rPr>
          <w:szCs w:val="26"/>
        </w:rPr>
        <w:t>trial court</w:t>
      </w:r>
      <w:r w:rsidR="00727BD8" w:rsidRPr="00EF5A3A">
        <w:rPr>
          <w:szCs w:val="26"/>
        </w:rPr>
        <w:t>, “</w:t>
      </w:r>
      <w:r w:rsidR="001F3766" w:rsidRPr="00EF5A3A">
        <w:rPr>
          <w:szCs w:val="26"/>
        </w:rPr>
        <w:t>K.J., a minor through her guardian ad litem,</w:t>
      </w:r>
      <w:r w:rsidR="0033062A">
        <w:rPr>
          <w:szCs w:val="26"/>
        </w:rPr>
        <w:t> </w:t>
      </w:r>
      <w:r w:rsidR="00A03FC3" w:rsidRPr="00EF5A3A">
        <w:rPr>
          <w:szCs w:val="26"/>
        </w:rPr>
        <w:t>.</w:t>
      </w:r>
      <w:r w:rsidR="0033062A">
        <w:rPr>
          <w:szCs w:val="26"/>
        </w:rPr>
        <w:t> </w:t>
      </w:r>
      <w:r w:rsidR="00A03FC3" w:rsidRPr="00EF5A3A">
        <w:rPr>
          <w:szCs w:val="26"/>
        </w:rPr>
        <w:t>.</w:t>
      </w:r>
      <w:r w:rsidR="0033062A">
        <w:rPr>
          <w:szCs w:val="26"/>
        </w:rPr>
        <w:t> </w:t>
      </w:r>
      <w:r w:rsidR="001F3766" w:rsidRPr="00EF5A3A">
        <w:rPr>
          <w:szCs w:val="26"/>
        </w:rPr>
        <w:t xml:space="preserve">. v. Los Angeles Unified School District.”  Section one of the </w:t>
      </w:r>
      <w:r w:rsidR="00727BD8" w:rsidRPr="00EF5A3A">
        <w:rPr>
          <w:szCs w:val="26"/>
        </w:rPr>
        <w:t xml:space="preserve">notice </w:t>
      </w:r>
      <w:r w:rsidR="000E25A9" w:rsidRPr="00EF5A3A">
        <w:rPr>
          <w:szCs w:val="26"/>
        </w:rPr>
        <w:t>stated</w:t>
      </w:r>
      <w:r w:rsidR="001F3766" w:rsidRPr="00EF5A3A">
        <w:rPr>
          <w:szCs w:val="26"/>
        </w:rPr>
        <w:t xml:space="preserve">:  </w:t>
      </w:r>
      <w:r w:rsidR="00CF6E3E" w:rsidRPr="00EF5A3A">
        <w:rPr>
          <w:szCs w:val="26"/>
        </w:rPr>
        <w:t>“1</w:t>
      </w:r>
      <w:r w:rsidR="00A03FC3" w:rsidRPr="00EF5A3A">
        <w:rPr>
          <w:szCs w:val="26"/>
        </w:rPr>
        <w:t>. </w:t>
      </w:r>
      <w:r w:rsidR="00CF6E3E" w:rsidRPr="00EF5A3A">
        <w:rPr>
          <w:szCs w:val="26"/>
        </w:rPr>
        <w:t xml:space="preserve">NOTICE IS HEREBY GIVEN THAT </w:t>
      </w:r>
      <w:r w:rsidR="00A03FC3" w:rsidRPr="00EF5A3A">
        <w:rPr>
          <w:szCs w:val="26"/>
        </w:rPr>
        <w:t>. . </w:t>
      </w:r>
      <w:r w:rsidR="003E34D4" w:rsidRPr="00EF5A3A">
        <w:rPr>
          <w:szCs w:val="26"/>
        </w:rPr>
        <w:t xml:space="preserve">. </w:t>
      </w:r>
      <w:r w:rsidR="00CF6E3E" w:rsidRPr="00EF5A3A">
        <w:rPr>
          <w:szCs w:val="26"/>
        </w:rPr>
        <w:t xml:space="preserve">K.J., a minor through her guardian ad litem, </w:t>
      </w:r>
      <w:r w:rsidR="00A03FC3" w:rsidRPr="00EF5A3A">
        <w:rPr>
          <w:szCs w:val="26"/>
        </w:rPr>
        <w:t>. . </w:t>
      </w:r>
      <w:r w:rsidR="00906488" w:rsidRPr="00EF5A3A">
        <w:rPr>
          <w:szCs w:val="26"/>
        </w:rPr>
        <w:t xml:space="preserve">. </w:t>
      </w:r>
      <w:r w:rsidR="00CF6E3E" w:rsidRPr="00EF5A3A">
        <w:rPr>
          <w:szCs w:val="26"/>
        </w:rPr>
        <w:t xml:space="preserve">appeals from the </w:t>
      </w:r>
      <w:r w:rsidR="00A03FC3" w:rsidRPr="00EF5A3A">
        <w:rPr>
          <w:szCs w:val="26"/>
        </w:rPr>
        <w:t>. . </w:t>
      </w:r>
      <w:r w:rsidR="00E97348" w:rsidRPr="00EF5A3A">
        <w:rPr>
          <w:szCs w:val="26"/>
        </w:rPr>
        <w:t>.</w:t>
      </w:r>
      <w:r w:rsidR="00CF6E3E" w:rsidRPr="00EF5A3A">
        <w:rPr>
          <w:szCs w:val="26"/>
        </w:rPr>
        <w:t xml:space="preserve"> order in this case, which was entered on </w:t>
      </w:r>
      <w:r w:rsidR="00A03FC3" w:rsidRPr="00EF5A3A">
        <w:rPr>
          <w:szCs w:val="26"/>
        </w:rPr>
        <w:t>. . </w:t>
      </w:r>
      <w:r w:rsidR="003E34D4" w:rsidRPr="00EF5A3A">
        <w:rPr>
          <w:szCs w:val="26"/>
        </w:rPr>
        <w:t>.</w:t>
      </w:r>
      <w:r w:rsidR="00F57006" w:rsidRPr="00EF5A3A">
        <w:rPr>
          <w:szCs w:val="26"/>
        </w:rPr>
        <w:t xml:space="preserve"> </w:t>
      </w:r>
      <w:r w:rsidR="001970C2" w:rsidRPr="00EF5A3A">
        <w:rPr>
          <w:szCs w:val="26"/>
        </w:rPr>
        <w:t>December 1, 2015</w:t>
      </w:r>
      <w:r w:rsidR="00F57006" w:rsidRPr="00EF5A3A">
        <w:rPr>
          <w:szCs w:val="26"/>
        </w:rPr>
        <w:t>[</w:t>
      </w:r>
      <w:r w:rsidR="00E97348" w:rsidRPr="00EF5A3A">
        <w:rPr>
          <w:szCs w:val="26"/>
        </w:rPr>
        <w:t>.</w:t>
      </w:r>
      <w:r w:rsidR="00F57006" w:rsidRPr="00EF5A3A">
        <w:rPr>
          <w:szCs w:val="26"/>
        </w:rPr>
        <w:t>]</w:t>
      </w:r>
      <w:r w:rsidR="00E97348" w:rsidRPr="00EF5A3A">
        <w:rPr>
          <w:szCs w:val="26"/>
        </w:rPr>
        <w:t xml:space="preserve">” </w:t>
      </w:r>
      <w:r w:rsidR="00B0003E" w:rsidRPr="00EF5A3A">
        <w:rPr>
          <w:szCs w:val="26"/>
        </w:rPr>
        <w:t xml:space="preserve"> </w:t>
      </w:r>
      <w:r w:rsidR="00E97348" w:rsidRPr="00EF5A3A">
        <w:rPr>
          <w:szCs w:val="26"/>
        </w:rPr>
        <w:t xml:space="preserve">In a </w:t>
      </w:r>
      <w:r w:rsidR="00910D5F" w:rsidRPr="00EF5A3A">
        <w:rPr>
          <w:szCs w:val="26"/>
        </w:rPr>
        <w:t xml:space="preserve">preprinted </w:t>
      </w:r>
      <w:r w:rsidR="00E97348" w:rsidRPr="00EF5A3A">
        <w:rPr>
          <w:szCs w:val="26"/>
        </w:rPr>
        <w:t>list that allows the appellant to</w:t>
      </w:r>
      <w:r w:rsidR="004472F6" w:rsidRPr="00EF5A3A">
        <w:rPr>
          <w:szCs w:val="26"/>
        </w:rPr>
        <w:t xml:space="preserve"> designate </w:t>
      </w:r>
      <w:r w:rsidR="00E97348" w:rsidRPr="00EF5A3A">
        <w:rPr>
          <w:szCs w:val="26"/>
        </w:rPr>
        <w:t xml:space="preserve">the type of judgment or order being appealed from, </w:t>
      </w:r>
      <w:r w:rsidR="004472F6" w:rsidRPr="00EF5A3A">
        <w:rPr>
          <w:szCs w:val="26"/>
        </w:rPr>
        <w:t xml:space="preserve">a </w:t>
      </w:r>
      <w:r w:rsidR="00E97348" w:rsidRPr="00EF5A3A">
        <w:rPr>
          <w:szCs w:val="26"/>
        </w:rPr>
        <w:t>box</w:t>
      </w:r>
      <w:r w:rsidR="000F7469" w:rsidRPr="00EF5A3A">
        <w:rPr>
          <w:szCs w:val="26"/>
        </w:rPr>
        <w:t xml:space="preserve"> was checked</w:t>
      </w:r>
      <w:r w:rsidR="004472F6" w:rsidRPr="00EF5A3A">
        <w:rPr>
          <w:szCs w:val="26"/>
        </w:rPr>
        <w:t xml:space="preserve"> indicating</w:t>
      </w:r>
      <w:r w:rsidR="00910D5F" w:rsidRPr="00EF5A3A">
        <w:rPr>
          <w:szCs w:val="26"/>
        </w:rPr>
        <w:t xml:space="preserve"> an appeal of a</w:t>
      </w:r>
      <w:r w:rsidR="008A61A5" w:rsidRPr="00EF5A3A">
        <w:rPr>
          <w:szCs w:val="26"/>
        </w:rPr>
        <w:t xml:space="preserve">n order </w:t>
      </w:r>
      <w:r w:rsidR="00910D5F" w:rsidRPr="00EF5A3A">
        <w:rPr>
          <w:szCs w:val="26"/>
        </w:rPr>
        <w:t>pursuant to</w:t>
      </w:r>
      <w:r w:rsidR="001B2B75" w:rsidRPr="00EF5A3A">
        <w:rPr>
          <w:szCs w:val="26"/>
        </w:rPr>
        <w:t xml:space="preserve"> </w:t>
      </w:r>
      <w:r w:rsidR="008A61A5" w:rsidRPr="00EF5A3A">
        <w:rPr>
          <w:szCs w:val="26"/>
        </w:rPr>
        <w:t>“</w:t>
      </w:r>
      <w:r w:rsidR="001B2B75" w:rsidRPr="00EF5A3A">
        <w:rPr>
          <w:szCs w:val="26"/>
        </w:rPr>
        <w:t>Code of Civil Procedure section 904.1(a)(3)</w:t>
      </w:r>
      <w:r w:rsidR="004472F6" w:rsidRPr="00EF5A3A">
        <w:rPr>
          <w:szCs w:val="26"/>
        </w:rPr>
        <w:t>–</w:t>
      </w:r>
      <w:r w:rsidR="001B2B75" w:rsidRPr="00EF5A3A">
        <w:rPr>
          <w:szCs w:val="26"/>
        </w:rPr>
        <w:t>(13).</w:t>
      </w:r>
      <w:r w:rsidR="008A61A5" w:rsidRPr="00EF5A3A">
        <w:rPr>
          <w:szCs w:val="26"/>
        </w:rPr>
        <w:t>”</w:t>
      </w:r>
      <w:r w:rsidR="00EC4B2C" w:rsidRPr="00EF5A3A">
        <w:rPr>
          <w:rStyle w:val="FootnoteReference"/>
          <w:szCs w:val="26"/>
        </w:rPr>
        <w:footnoteReference w:id="2"/>
      </w:r>
      <w:r w:rsidR="00EC4B2C" w:rsidRPr="00EF5A3A">
        <w:rPr>
          <w:szCs w:val="26"/>
        </w:rPr>
        <w:t xml:space="preserve"> </w:t>
      </w:r>
      <w:r w:rsidR="001B2B75" w:rsidRPr="00EF5A3A">
        <w:rPr>
          <w:szCs w:val="26"/>
        </w:rPr>
        <w:t xml:space="preserve"> </w:t>
      </w:r>
      <w:r w:rsidR="00862ABC" w:rsidRPr="00EF5A3A">
        <w:rPr>
          <w:szCs w:val="26"/>
        </w:rPr>
        <w:t xml:space="preserve">Allen signed the </w:t>
      </w:r>
      <w:r w:rsidR="00727BD8" w:rsidRPr="00EF5A3A">
        <w:rPr>
          <w:szCs w:val="26"/>
        </w:rPr>
        <w:t>notice</w:t>
      </w:r>
      <w:r w:rsidR="00F57006" w:rsidRPr="00EF5A3A">
        <w:rPr>
          <w:szCs w:val="26"/>
        </w:rPr>
        <w:t>,</w:t>
      </w:r>
      <w:r w:rsidR="00862ABC" w:rsidRPr="00EF5A3A">
        <w:rPr>
          <w:szCs w:val="26"/>
        </w:rPr>
        <w:t xml:space="preserve"> </w:t>
      </w:r>
      <w:r w:rsidR="00F57006" w:rsidRPr="00EF5A3A">
        <w:rPr>
          <w:szCs w:val="26"/>
        </w:rPr>
        <w:t>which</w:t>
      </w:r>
      <w:r w:rsidR="00AE3341" w:rsidRPr="00EF5A3A">
        <w:rPr>
          <w:szCs w:val="26"/>
        </w:rPr>
        <w:t xml:space="preserve"> </w:t>
      </w:r>
      <w:r w:rsidR="0062240D" w:rsidRPr="00EF5A3A">
        <w:rPr>
          <w:szCs w:val="26"/>
        </w:rPr>
        <w:t xml:space="preserve">contained no reference </w:t>
      </w:r>
      <w:r w:rsidR="001970C2" w:rsidRPr="00EF5A3A">
        <w:rPr>
          <w:szCs w:val="26"/>
        </w:rPr>
        <w:t>to Carrillo.</w:t>
      </w:r>
      <w:r w:rsidR="00AE3341" w:rsidRPr="00EF5A3A">
        <w:rPr>
          <w:szCs w:val="26"/>
        </w:rPr>
        <w:t xml:space="preserve">  </w:t>
      </w:r>
    </w:p>
    <w:p w14:paraId="5FDFBE09" w14:textId="3B3D9D55" w:rsidR="006F3DB5" w:rsidRPr="00EF5A3A" w:rsidRDefault="001970C2" w:rsidP="00EF5A3A">
      <w:pPr>
        <w:pStyle w:val="Heading2"/>
      </w:pPr>
      <w:r w:rsidRPr="00EF5A3A">
        <w:t>B.</w:t>
      </w:r>
      <w:r w:rsidR="0066364D" w:rsidRPr="00EF5A3A">
        <w:t xml:space="preserve"> </w:t>
      </w:r>
      <w:r w:rsidRPr="00EF5A3A">
        <w:t xml:space="preserve">The Court of Appeal’s Dismissal </w:t>
      </w:r>
      <w:r w:rsidR="006D50D6" w:rsidRPr="00EF5A3A">
        <w:t>of the Appeal</w:t>
      </w:r>
    </w:p>
    <w:p w14:paraId="258A5116" w14:textId="45C99514" w:rsidR="007C0546" w:rsidRPr="00EF5A3A" w:rsidRDefault="007C0546" w:rsidP="00EF5A3A">
      <w:pPr>
        <w:pStyle w:val="Heading3"/>
      </w:pPr>
      <w:r w:rsidRPr="00EF5A3A">
        <w:t>1. The parties’ contentions on appeal</w:t>
      </w:r>
    </w:p>
    <w:p w14:paraId="46558F76" w14:textId="5CC2121D" w:rsidR="003F773D" w:rsidRPr="00EF5A3A" w:rsidRDefault="00D217B5" w:rsidP="00EF5A3A">
      <w:pPr>
        <w:ind w:firstLine="720"/>
        <w:rPr>
          <w:szCs w:val="26"/>
        </w:rPr>
      </w:pPr>
      <w:r w:rsidRPr="00EF5A3A">
        <w:rPr>
          <w:szCs w:val="26"/>
        </w:rPr>
        <w:t>The appellant’s</w:t>
      </w:r>
      <w:r w:rsidR="00015F2A" w:rsidRPr="00EF5A3A">
        <w:rPr>
          <w:szCs w:val="26"/>
        </w:rPr>
        <w:t xml:space="preserve"> opening brief</w:t>
      </w:r>
      <w:r w:rsidR="0066364D" w:rsidRPr="00EF5A3A">
        <w:rPr>
          <w:szCs w:val="26"/>
        </w:rPr>
        <w:t xml:space="preserve"> </w:t>
      </w:r>
      <w:r w:rsidR="00BB423F" w:rsidRPr="00EF5A3A">
        <w:rPr>
          <w:szCs w:val="26"/>
        </w:rPr>
        <w:t>argued</w:t>
      </w:r>
      <w:r w:rsidR="006D50D6" w:rsidRPr="00EF5A3A">
        <w:rPr>
          <w:szCs w:val="26"/>
        </w:rPr>
        <w:t xml:space="preserve"> that the trial court’s </w:t>
      </w:r>
      <w:r w:rsidR="00A64EA7" w:rsidRPr="00EF5A3A">
        <w:rPr>
          <w:szCs w:val="26"/>
        </w:rPr>
        <w:t xml:space="preserve">sanctions </w:t>
      </w:r>
      <w:r w:rsidRPr="00EF5A3A">
        <w:rPr>
          <w:szCs w:val="26"/>
        </w:rPr>
        <w:t xml:space="preserve">order </w:t>
      </w:r>
      <w:r w:rsidR="00783EB1" w:rsidRPr="00EF5A3A">
        <w:rPr>
          <w:szCs w:val="26"/>
        </w:rPr>
        <w:t xml:space="preserve">should be reversed for two reasons.  First, </w:t>
      </w:r>
      <w:r w:rsidRPr="00EF5A3A">
        <w:rPr>
          <w:szCs w:val="26"/>
        </w:rPr>
        <w:t xml:space="preserve">appellant </w:t>
      </w:r>
      <w:r w:rsidR="00DF67C7" w:rsidRPr="00EF5A3A">
        <w:rPr>
          <w:szCs w:val="26"/>
        </w:rPr>
        <w:t xml:space="preserve">contended </w:t>
      </w:r>
      <w:r w:rsidR="003F773D" w:rsidRPr="00EF5A3A">
        <w:rPr>
          <w:szCs w:val="26"/>
        </w:rPr>
        <w:t>the</w:t>
      </w:r>
      <w:r w:rsidR="00783EB1" w:rsidRPr="00EF5A3A">
        <w:rPr>
          <w:szCs w:val="26"/>
        </w:rPr>
        <w:t xml:space="preserve"> Court of Appeal’s stay of the contempt </w:t>
      </w:r>
      <w:r w:rsidR="00783EB1" w:rsidRPr="00EF5A3A">
        <w:rPr>
          <w:szCs w:val="26"/>
        </w:rPr>
        <w:lastRenderedPageBreak/>
        <w:t xml:space="preserve">order </w:t>
      </w:r>
      <w:r w:rsidR="00906488" w:rsidRPr="00EF5A3A">
        <w:rPr>
          <w:szCs w:val="26"/>
        </w:rPr>
        <w:t xml:space="preserve">had </w:t>
      </w:r>
      <w:r w:rsidR="00783EB1" w:rsidRPr="00EF5A3A">
        <w:rPr>
          <w:szCs w:val="26"/>
        </w:rPr>
        <w:t>divested the trial court of</w:t>
      </w:r>
      <w:r w:rsidR="00975169" w:rsidRPr="00EF5A3A">
        <w:rPr>
          <w:szCs w:val="26"/>
        </w:rPr>
        <w:t xml:space="preserve"> </w:t>
      </w:r>
      <w:r w:rsidR="00783EB1" w:rsidRPr="00EF5A3A">
        <w:rPr>
          <w:szCs w:val="26"/>
        </w:rPr>
        <w:t xml:space="preserve">authority to issue the subsequent sanctions </w:t>
      </w:r>
      <w:r w:rsidR="003F773D" w:rsidRPr="00EF5A3A">
        <w:rPr>
          <w:szCs w:val="26"/>
        </w:rPr>
        <w:t>order</w:t>
      </w:r>
      <w:r w:rsidR="00783EB1" w:rsidRPr="00EF5A3A">
        <w:rPr>
          <w:szCs w:val="26"/>
        </w:rPr>
        <w:t xml:space="preserve">.  In support, </w:t>
      </w:r>
      <w:r w:rsidRPr="00EF5A3A">
        <w:rPr>
          <w:szCs w:val="26"/>
        </w:rPr>
        <w:t>appellant</w:t>
      </w:r>
      <w:r w:rsidR="00783EB1" w:rsidRPr="00EF5A3A">
        <w:rPr>
          <w:szCs w:val="26"/>
        </w:rPr>
        <w:t xml:space="preserve"> noted that the contempt order included language </w:t>
      </w:r>
      <w:r w:rsidR="003F773D" w:rsidRPr="00EF5A3A">
        <w:rPr>
          <w:szCs w:val="26"/>
        </w:rPr>
        <w:t>inviting LAUSD to seek the</w:t>
      </w:r>
      <w:r w:rsidR="00A64EA7" w:rsidRPr="00EF5A3A">
        <w:rPr>
          <w:szCs w:val="26"/>
        </w:rPr>
        <w:t xml:space="preserve"> </w:t>
      </w:r>
      <w:r w:rsidR="0076195D" w:rsidRPr="00EF5A3A">
        <w:rPr>
          <w:szCs w:val="26"/>
        </w:rPr>
        <w:t xml:space="preserve">very </w:t>
      </w:r>
      <w:r w:rsidR="003F773D" w:rsidRPr="00EF5A3A">
        <w:rPr>
          <w:szCs w:val="26"/>
        </w:rPr>
        <w:t xml:space="preserve">fees and costs </w:t>
      </w:r>
      <w:r w:rsidR="00975169" w:rsidRPr="00EF5A3A">
        <w:rPr>
          <w:szCs w:val="26"/>
        </w:rPr>
        <w:t xml:space="preserve">the court </w:t>
      </w:r>
      <w:r w:rsidR="006D50D6" w:rsidRPr="00EF5A3A">
        <w:rPr>
          <w:szCs w:val="26"/>
        </w:rPr>
        <w:t xml:space="preserve">had </w:t>
      </w:r>
      <w:r w:rsidR="00975169" w:rsidRPr="00EF5A3A">
        <w:rPr>
          <w:szCs w:val="26"/>
        </w:rPr>
        <w:t xml:space="preserve">awarded in its subsequent </w:t>
      </w:r>
      <w:r w:rsidR="0066364D" w:rsidRPr="00EF5A3A">
        <w:rPr>
          <w:szCs w:val="26"/>
        </w:rPr>
        <w:t xml:space="preserve">sanctions </w:t>
      </w:r>
      <w:r w:rsidR="003F773D" w:rsidRPr="00EF5A3A">
        <w:rPr>
          <w:szCs w:val="26"/>
        </w:rPr>
        <w:t>order.  Second,</w:t>
      </w:r>
      <w:r w:rsidR="00783EB1" w:rsidRPr="00EF5A3A">
        <w:rPr>
          <w:szCs w:val="26"/>
        </w:rPr>
        <w:t xml:space="preserve"> </w:t>
      </w:r>
      <w:r w:rsidRPr="00EF5A3A">
        <w:rPr>
          <w:szCs w:val="26"/>
        </w:rPr>
        <w:t>appellant</w:t>
      </w:r>
      <w:r w:rsidR="00783EB1" w:rsidRPr="00EF5A3A">
        <w:rPr>
          <w:szCs w:val="26"/>
        </w:rPr>
        <w:t xml:space="preserve"> a</w:t>
      </w:r>
      <w:r w:rsidR="003F773D" w:rsidRPr="00EF5A3A">
        <w:rPr>
          <w:szCs w:val="26"/>
        </w:rPr>
        <w:t>rgued that</w:t>
      </w:r>
      <w:r w:rsidR="00B0620B" w:rsidRPr="00EF5A3A">
        <w:rPr>
          <w:szCs w:val="26"/>
        </w:rPr>
        <w:t xml:space="preserve"> once the </w:t>
      </w:r>
      <w:r w:rsidR="003F773D" w:rsidRPr="00EF5A3A">
        <w:rPr>
          <w:szCs w:val="26"/>
        </w:rPr>
        <w:t>trial court</w:t>
      </w:r>
      <w:r w:rsidR="00783EB1" w:rsidRPr="00EF5A3A">
        <w:rPr>
          <w:szCs w:val="26"/>
        </w:rPr>
        <w:t xml:space="preserve"> had</w:t>
      </w:r>
      <w:r w:rsidR="003F773D" w:rsidRPr="00EF5A3A">
        <w:rPr>
          <w:szCs w:val="26"/>
        </w:rPr>
        <w:t xml:space="preserve"> vacated </w:t>
      </w:r>
      <w:r w:rsidR="00783EB1" w:rsidRPr="00EF5A3A">
        <w:rPr>
          <w:szCs w:val="26"/>
        </w:rPr>
        <w:t>its</w:t>
      </w:r>
      <w:r w:rsidR="003F773D" w:rsidRPr="00EF5A3A">
        <w:rPr>
          <w:szCs w:val="26"/>
        </w:rPr>
        <w:t xml:space="preserve"> contempt order</w:t>
      </w:r>
      <w:r w:rsidR="00783EB1" w:rsidRPr="00EF5A3A">
        <w:rPr>
          <w:szCs w:val="26"/>
        </w:rPr>
        <w:t xml:space="preserve">, </w:t>
      </w:r>
      <w:r w:rsidR="0066364D" w:rsidRPr="00EF5A3A">
        <w:rPr>
          <w:szCs w:val="26"/>
        </w:rPr>
        <w:t xml:space="preserve">it </w:t>
      </w:r>
      <w:r w:rsidR="00FF00C3" w:rsidRPr="00EF5A3A">
        <w:rPr>
          <w:szCs w:val="26"/>
        </w:rPr>
        <w:t xml:space="preserve">had </w:t>
      </w:r>
      <w:r w:rsidR="00F14496" w:rsidRPr="00EF5A3A">
        <w:rPr>
          <w:szCs w:val="26"/>
        </w:rPr>
        <w:t xml:space="preserve">no </w:t>
      </w:r>
      <w:r w:rsidR="0066364D" w:rsidRPr="00EF5A3A">
        <w:rPr>
          <w:szCs w:val="26"/>
        </w:rPr>
        <w:t xml:space="preserve">basis </w:t>
      </w:r>
      <w:r w:rsidR="00783EB1" w:rsidRPr="00EF5A3A">
        <w:rPr>
          <w:szCs w:val="26"/>
        </w:rPr>
        <w:t>to</w:t>
      </w:r>
      <w:r w:rsidR="00B0620B" w:rsidRPr="00EF5A3A">
        <w:rPr>
          <w:szCs w:val="26"/>
        </w:rPr>
        <w:t xml:space="preserve"> direct the payment of</w:t>
      </w:r>
      <w:r w:rsidR="0066364D" w:rsidRPr="00EF5A3A">
        <w:rPr>
          <w:szCs w:val="26"/>
        </w:rPr>
        <w:t xml:space="preserve"> </w:t>
      </w:r>
      <w:r w:rsidR="00F14496" w:rsidRPr="00EF5A3A">
        <w:rPr>
          <w:szCs w:val="26"/>
        </w:rPr>
        <w:t xml:space="preserve">further </w:t>
      </w:r>
      <w:r w:rsidR="0066364D" w:rsidRPr="00EF5A3A">
        <w:rPr>
          <w:szCs w:val="26"/>
        </w:rPr>
        <w:t>sanctions</w:t>
      </w:r>
      <w:r w:rsidR="00B0620B" w:rsidRPr="00EF5A3A">
        <w:rPr>
          <w:szCs w:val="26"/>
        </w:rPr>
        <w:t xml:space="preserve"> </w:t>
      </w:r>
      <w:r w:rsidR="00F14496" w:rsidRPr="00EF5A3A">
        <w:rPr>
          <w:szCs w:val="26"/>
        </w:rPr>
        <w:t xml:space="preserve">based </w:t>
      </w:r>
      <w:r w:rsidR="0066364D" w:rsidRPr="00EF5A3A">
        <w:rPr>
          <w:szCs w:val="26"/>
        </w:rPr>
        <w:t>on the same conduct that was at issue in the contempt proceedings</w:t>
      </w:r>
      <w:r w:rsidR="00783EB1" w:rsidRPr="00EF5A3A">
        <w:rPr>
          <w:szCs w:val="26"/>
        </w:rPr>
        <w:t>.</w:t>
      </w:r>
      <w:r w:rsidR="003F773D" w:rsidRPr="00EF5A3A">
        <w:rPr>
          <w:szCs w:val="26"/>
        </w:rPr>
        <w:t xml:space="preserve"> </w:t>
      </w:r>
    </w:p>
    <w:p w14:paraId="5B6D6CDE" w14:textId="68443F32" w:rsidR="00694483" w:rsidRPr="00EF5A3A" w:rsidRDefault="00A64EA7" w:rsidP="00EF5A3A">
      <w:pPr>
        <w:ind w:firstLine="720"/>
        <w:rPr>
          <w:szCs w:val="26"/>
        </w:rPr>
      </w:pPr>
      <w:r w:rsidRPr="00EF5A3A">
        <w:rPr>
          <w:szCs w:val="26"/>
        </w:rPr>
        <w:t xml:space="preserve">In its respondent’s brief, </w:t>
      </w:r>
      <w:r w:rsidR="005E3DAB" w:rsidRPr="00EF5A3A">
        <w:rPr>
          <w:szCs w:val="26"/>
        </w:rPr>
        <w:t>LAUSD</w:t>
      </w:r>
      <w:r w:rsidR="0066364D" w:rsidRPr="00EF5A3A">
        <w:rPr>
          <w:szCs w:val="26"/>
        </w:rPr>
        <w:t xml:space="preserve"> </w:t>
      </w:r>
      <w:r w:rsidR="003B46A9" w:rsidRPr="00EF5A3A">
        <w:rPr>
          <w:szCs w:val="26"/>
        </w:rPr>
        <w:t>argued</w:t>
      </w:r>
      <w:r w:rsidR="005E3DAB" w:rsidRPr="00EF5A3A">
        <w:rPr>
          <w:szCs w:val="26"/>
        </w:rPr>
        <w:t xml:space="preserve"> </w:t>
      </w:r>
      <w:r w:rsidRPr="00EF5A3A">
        <w:rPr>
          <w:szCs w:val="26"/>
        </w:rPr>
        <w:t xml:space="preserve">for the first time </w:t>
      </w:r>
      <w:r w:rsidR="005E3DAB" w:rsidRPr="00EF5A3A">
        <w:rPr>
          <w:szCs w:val="26"/>
        </w:rPr>
        <w:t>that the</w:t>
      </w:r>
      <w:r w:rsidR="0066364D" w:rsidRPr="00EF5A3A">
        <w:rPr>
          <w:szCs w:val="26"/>
        </w:rPr>
        <w:t xml:space="preserve"> appeal should</w:t>
      </w:r>
      <w:r w:rsidR="00833DC6" w:rsidRPr="00EF5A3A">
        <w:rPr>
          <w:szCs w:val="26"/>
        </w:rPr>
        <w:t xml:space="preserve"> be</w:t>
      </w:r>
      <w:r w:rsidR="0066364D" w:rsidRPr="00EF5A3A">
        <w:rPr>
          <w:szCs w:val="26"/>
        </w:rPr>
        <w:t xml:space="preserve"> </w:t>
      </w:r>
      <w:r w:rsidR="003B46A9" w:rsidRPr="00EF5A3A">
        <w:rPr>
          <w:szCs w:val="26"/>
        </w:rPr>
        <w:t xml:space="preserve">dismissed based on </w:t>
      </w:r>
      <w:r w:rsidR="0066364D" w:rsidRPr="00EF5A3A">
        <w:rPr>
          <w:szCs w:val="26"/>
        </w:rPr>
        <w:t>K.J.’</w:t>
      </w:r>
      <w:r w:rsidR="003B46A9" w:rsidRPr="00EF5A3A">
        <w:rPr>
          <w:szCs w:val="26"/>
        </w:rPr>
        <w:t>s “obvious lack of standing”</w:t>
      </w:r>
      <w:r w:rsidR="008A3E43" w:rsidRPr="00EF5A3A">
        <w:rPr>
          <w:szCs w:val="26"/>
        </w:rPr>
        <w:t xml:space="preserve"> to challenge an order that</w:t>
      </w:r>
      <w:r w:rsidR="0076195D" w:rsidRPr="00EF5A3A">
        <w:rPr>
          <w:szCs w:val="26"/>
        </w:rPr>
        <w:t xml:space="preserve"> </w:t>
      </w:r>
      <w:r w:rsidR="002F7E10" w:rsidRPr="00EF5A3A">
        <w:rPr>
          <w:szCs w:val="26"/>
        </w:rPr>
        <w:t xml:space="preserve">only imposed sanctions </w:t>
      </w:r>
      <w:r w:rsidR="00D217B5" w:rsidRPr="00EF5A3A">
        <w:rPr>
          <w:szCs w:val="26"/>
        </w:rPr>
        <w:t xml:space="preserve">against </w:t>
      </w:r>
      <w:r w:rsidR="00862ABC" w:rsidRPr="00EF5A3A">
        <w:rPr>
          <w:szCs w:val="26"/>
        </w:rPr>
        <w:t>Ca</w:t>
      </w:r>
      <w:r w:rsidR="00F57006" w:rsidRPr="00EF5A3A">
        <w:rPr>
          <w:szCs w:val="26"/>
        </w:rPr>
        <w:t>r</w:t>
      </w:r>
      <w:r w:rsidR="00862ABC" w:rsidRPr="00EF5A3A">
        <w:rPr>
          <w:szCs w:val="26"/>
        </w:rPr>
        <w:t>rillo</w:t>
      </w:r>
      <w:r w:rsidR="00336A7A" w:rsidRPr="00EF5A3A">
        <w:rPr>
          <w:szCs w:val="26"/>
        </w:rPr>
        <w:t xml:space="preserve">. </w:t>
      </w:r>
      <w:r w:rsidR="002F7E10" w:rsidRPr="00EF5A3A">
        <w:rPr>
          <w:szCs w:val="26"/>
        </w:rPr>
        <w:t xml:space="preserve"> </w:t>
      </w:r>
      <w:r w:rsidR="001B2B75" w:rsidRPr="00EF5A3A">
        <w:rPr>
          <w:szCs w:val="26"/>
        </w:rPr>
        <w:t xml:space="preserve">LAUSD did not address whether </w:t>
      </w:r>
      <w:r w:rsidR="006349FF" w:rsidRPr="00EF5A3A">
        <w:rPr>
          <w:szCs w:val="26"/>
        </w:rPr>
        <w:t xml:space="preserve">the </w:t>
      </w:r>
      <w:r w:rsidR="00862ABC" w:rsidRPr="00EF5A3A">
        <w:rPr>
          <w:szCs w:val="26"/>
        </w:rPr>
        <w:t xml:space="preserve">notice </w:t>
      </w:r>
      <w:r w:rsidR="00E22349" w:rsidRPr="00EF5A3A">
        <w:rPr>
          <w:szCs w:val="26"/>
        </w:rPr>
        <w:t xml:space="preserve">of appeal </w:t>
      </w:r>
      <w:r w:rsidR="00862ABC" w:rsidRPr="00EF5A3A">
        <w:rPr>
          <w:szCs w:val="26"/>
        </w:rPr>
        <w:t xml:space="preserve">could or should be construed </w:t>
      </w:r>
      <w:r w:rsidR="006349FF" w:rsidRPr="00EF5A3A">
        <w:rPr>
          <w:szCs w:val="26"/>
        </w:rPr>
        <w:t>to include Carrillo</w:t>
      </w:r>
      <w:r w:rsidR="001B2B75" w:rsidRPr="00EF5A3A">
        <w:rPr>
          <w:szCs w:val="26"/>
        </w:rPr>
        <w:t xml:space="preserve">.  </w:t>
      </w:r>
      <w:r w:rsidR="00694483" w:rsidRPr="00EF5A3A">
        <w:rPr>
          <w:szCs w:val="26"/>
        </w:rPr>
        <w:t>LAUSD</w:t>
      </w:r>
      <w:r w:rsidR="00A22F3D" w:rsidRPr="00EF5A3A">
        <w:rPr>
          <w:szCs w:val="26"/>
        </w:rPr>
        <w:t>’s brief also</w:t>
      </w:r>
      <w:r w:rsidR="001A4B9E" w:rsidRPr="00EF5A3A">
        <w:rPr>
          <w:szCs w:val="26"/>
        </w:rPr>
        <w:t xml:space="preserve"> responded to the </w:t>
      </w:r>
      <w:proofErr w:type="gramStart"/>
      <w:r w:rsidR="00F57006" w:rsidRPr="00EF5A3A">
        <w:rPr>
          <w:szCs w:val="26"/>
        </w:rPr>
        <w:t>merits</w:t>
      </w:r>
      <w:proofErr w:type="gramEnd"/>
      <w:r w:rsidR="00F57006" w:rsidRPr="00EF5A3A">
        <w:rPr>
          <w:szCs w:val="26"/>
        </w:rPr>
        <w:t xml:space="preserve"> </w:t>
      </w:r>
      <w:r w:rsidR="001A4B9E" w:rsidRPr="00EF5A3A">
        <w:rPr>
          <w:szCs w:val="26"/>
        </w:rPr>
        <w:t>arguments raised in the opening brief</w:t>
      </w:r>
      <w:r w:rsidR="008A3E43" w:rsidRPr="00EF5A3A">
        <w:rPr>
          <w:szCs w:val="26"/>
        </w:rPr>
        <w:t xml:space="preserve">, contending </w:t>
      </w:r>
      <w:r w:rsidR="0076195D" w:rsidRPr="00EF5A3A">
        <w:rPr>
          <w:szCs w:val="26"/>
        </w:rPr>
        <w:t xml:space="preserve">that </w:t>
      </w:r>
      <w:r w:rsidR="00A22F3D" w:rsidRPr="00EF5A3A">
        <w:rPr>
          <w:szCs w:val="26"/>
        </w:rPr>
        <w:t>th</w:t>
      </w:r>
      <w:r w:rsidR="00694483" w:rsidRPr="00EF5A3A">
        <w:rPr>
          <w:szCs w:val="26"/>
        </w:rPr>
        <w:t xml:space="preserve">e Court of Appeal’s stay of the contempt order did not </w:t>
      </w:r>
      <w:r w:rsidR="00A22F3D" w:rsidRPr="00EF5A3A">
        <w:rPr>
          <w:szCs w:val="26"/>
        </w:rPr>
        <w:t>preclude the trial court from entering a</w:t>
      </w:r>
      <w:r w:rsidR="008A3E43" w:rsidRPr="00EF5A3A">
        <w:rPr>
          <w:szCs w:val="26"/>
        </w:rPr>
        <w:t xml:space="preserve"> separate </w:t>
      </w:r>
      <w:r w:rsidR="00FF00C3" w:rsidRPr="00EF5A3A">
        <w:rPr>
          <w:szCs w:val="26"/>
        </w:rPr>
        <w:t xml:space="preserve">sanctions </w:t>
      </w:r>
      <w:r w:rsidR="008A3E43" w:rsidRPr="00EF5A3A">
        <w:rPr>
          <w:szCs w:val="26"/>
        </w:rPr>
        <w:t xml:space="preserve">order </w:t>
      </w:r>
      <w:r w:rsidR="00FF00C3" w:rsidRPr="00EF5A3A">
        <w:rPr>
          <w:szCs w:val="26"/>
        </w:rPr>
        <w:t xml:space="preserve">for </w:t>
      </w:r>
      <w:r w:rsidR="00A22F3D" w:rsidRPr="00EF5A3A">
        <w:rPr>
          <w:szCs w:val="26"/>
        </w:rPr>
        <w:t xml:space="preserve">discovery </w:t>
      </w:r>
      <w:r w:rsidR="008A3E43" w:rsidRPr="00EF5A3A">
        <w:rPr>
          <w:szCs w:val="26"/>
        </w:rPr>
        <w:t>violations</w:t>
      </w:r>
      <w:r w:rsidR="00694483" w:rsidRPr="00EF5A3A">
        <w:rPr>
          <w:szCs w:val="26"/>
        </w:rPr>
        <w:t xml:space="preserve">.  </w:t>
      </w:r>
    </w:p>
    <w:p w14:paraId="0FF67A09" w14:textId="4C772F36" w:rsidR="00685BCF" w:rsidRPr="00EF5A3A" w:rsidRDefault="00C96CB1" w:rsidP="00EF5A3A">
      <w:pPr>
        <w:ind w:firstLine="720"/>
        <w:rPr>
          <w:szCs w:val="26"/>
        </w:rPr>
      </w:pPr>
      <w:r w:rsidRPr="00EF5A3A">
        <w:rPr>
          <w:szCs w:val="26"/>
        </w:rPr>
        <w:t>Appellant’s</w:t>
      </w:r>
      <w:r w:rsidR="00251FDB" w:rsidRPr="00EF5A3A">
        <w:rPr>
          <w:szCs w:val="26"/>
        </w:rPr>
        <w:t xml:space="preserve"> </w:t>
      </w:r>
      <w:r w:rsidR="00694483" w:rsidRPr="00EF5A3A">
        <w:rPr>
          <w:szCs w:val="26"/>
        </w:rPr>
        <w:t>reply</w:t>
      </w:r>
      <w:r w:rsidR="00F14496" w:rsidRPr="00EF5A3A">
        <w:rPr>
          <w:szCs w:val="26"/>
        </w:rPr>
        <w:t xml:space="preserve"> brief</w:t>
      </w:r>
      <w:r w:rsidR="00181291" w:rsidRPr="00EF5A3A">
        <w:rPr>
          <w:szCs w:val="26"/>
        </w:rPr>
        <w:t xml:space="preserve"> </w:t>
      </w:r>
      <w:r w:rsidR="00FF00C3" w:rsidRPr="00EF5A3A">
        <w:rPr>
          <w:szCs w:val="26"/>
        </w:rPr>
        <w:t xml:space="preserve">did not dispute </w:t>
      </w:r>
      <w:r w:rsidR="00C1114A">
        <w:rPr>
          <w:szCs w:val="26"/>
        </w:rPr>
        <w:t xml:space="preserve">that </w:t>
      </w:r>
      <w:r w:rsidRPr="00EF5A3A">
        <w:rPr>
          <w:szCs w:val="26"/>
        </w:rPr>
        <w:t xml:space="preserve">K.J. </w:t>
      </w:r>
      <w:r w:rsidR="00181291" w:rsidRPr="00EF5A3A">
        <w:rPr>
          <w:szCs w:val="26"/>
        </w:rPr>
        <w:t>lacked standing to challenge the sanctions order</w:t>
      </w:r>
      <w:r w:rsidR="00A22F3D" w:rsidRPr="00EF5A3A">
        <w:rPr>
          <w:szCs w:val="26"/>
        </w:rPr>
        <w:t xml:space="preserve">.  </w:t>
      </w:r>
      <w:r w:rsidRPr="00EF5A3A">
        <w:rPr>
          <w:szCs w:val="26"/>
        </w:rPr>
        <w:t xml:space="preserve">The brief asserted, </w:t>
      </w:r>
      <w:r w:rsidR="00A22F3D" w:rsidRPr="00EF5A3A">
        <w:rPr>
          <w:szCs w:val="26"/>
        </w:rPr>
        <w:t xml:space="preserve">however, that in furtherance of the </w:t>
      </w:r>
      <w:r w:rsidR="00685BCF" w:rsidRPr="00EF5A3A">
        <w:rPr>
          <w:szCs w:val="26"/>
        </w:rPr>
        <w:t>“strong policy in favor of hearing appeals on their merits</w:t>
      </w:r>
      <w:r w:rsidR="00181291" w:rsidRPr="00EF5A3A">
        <w:rPr>
          <w:szCs w:val="26"/>
        </w:rPr>
        <w:t>,</w:t>
      </w:r>
      <w:r w:rsidR="00A22F3D" w:rsidRPr="00EF5A3A">
        <w:rPr>
          <w:szCs w:val="26"/>
        </w:rPr>
        <w:t xml:space="preserve">” </w:t>
      </w:r>
      <w:r w:rsidRPr="00EF5A3A">
        <w:rPr>
          <w:szCs w:val="26"/>
        </w:rPr>
        <w:t>the</w:t>
      </w:r>
      <w:r w:rsidR="00A22F3D" w:rsidRPr="00EF5A3A">
        <w:rPr>
          <w:szCs w:val="26"/>
        </w:rPr>
        <w:t xml:space="preserve"> notice</w:t>
      </w:r>
      <w:r w:rsidR="008A3E43" w:rsidRPr="00EF5A3A">
        <w:rPr>
          <w:szCs w:val="26"/>
        </w:rPr>
        <w:t xml:space="preserve"> of appeal</w:t>
      </w:r>
      <w:r w:rsidR="00A22F3D" w:rsidRPr="00EF5A3A">
        <w:rPr>
          <w:szCs w:val="26"/>
        </w:rPr>
        <w:t xml:space="preserve"> </w:t>
      </w:r>
      <w:r w:rsidR="00A64EA7" w:rsidRPr="00EF5A3A">
        <w:rPr>
          <w:szCs w:val="26"/>
        </w:rPr>
        <w:t xml:space="preserve">should be liberally construed </w:t>
      </w:r>
      <w:r w:rsidR="00A22F3D" w:rsidRPr="00EF5A3A">
        <w:rPr>
          <w:szCs w:val="26"/>
        </w:rPr>
        <w:t>to include Carrillo</w:t>
      </w:r>
      <w:r w:rsidR="008A3E43" w:rsidRPr="00EF5A3A">
        <w:rPr>
          <w:szCs w:val="26"/>
        </w:rPr>
        <w:t xml:space="preserve"> as an intended party to the appeal</w:t>
      </w:r>
      <w:r w:rsidR="00685BCF" w:rsidRPr="00EF5A3A">
        <w:rPr>
          <w:szCs w:val="26"/>
        </w:rPr>
        <w:t xml:space="preserve">.  </w:t>
      </w:r>
      <w:r w:rsidRPr="00EF5A3A">
        <w:rPr>
          <w:szCs w:val="26"/>
        </w:rPr>
        <w:t>The brief</w:t>
      </w:r>
      <w:r w:rsidR="00A22F3D" w:rsidRPr="00EF5A3A">
        <w:rPr>
          <w:szCs w:val="26"/>
        </w:rPr>
        <w:t xml:space="preserve"> </w:t>
      </w:r>
      <w:r w:rsidRPr="00EF5A3A">
        <w:rPr>
          <w:szCs w:val="26"/>
        </w:rPr>
        <w:t>contended</w:t>
      </w:r>
      <w:r w:rsidR="00A22F3D" w:rsidRPr="00EF5A3A">
        <w:rPr>
          <w:szCs w:val="26"/>
        </w:rPr>
        <w:t xml:space="preserve"> </w:t>
      </w:r>
      <w:r w:rsidR="008A3E43" w:rsidRPr="00EF5A3A">
        <w:rPr>
          <w:szCs w:val="26"/>
        </w:rPr>
        <w:t xml:space="preserve">that </w:t>
      </w:r>
      <w:r w:rsidR="00E41375" w:rsidRPr="00EF5A3A">
        <w:rPr>
          <w:szCs w:val="26"/>
        </w:rPr>
        <w:t>because the notice sought review of an order that directed only Carrillo to pay sanctions</w:t>
      </w:r>
      <w:r w:rsidR="006D38D9" w:rsidRPr="00EF5A3A">
        <w:rPr>
          <w:szCs w:val="26"/>
        </w:rPr>
        <w:t>, it was clear</w:t>
      </w:r>
      <w:r w:rsidR="00E41375" w:rsidRPr="00EF5A3A">
        <w:rPr>
          <w:szCs w:val="26"/>
        </w:rPr>
        <w:t xml:space="preserve"> </w:t>
      </w:r>
      <w:r w:rsidR="00FD0922" w:rsidRPr="00EF5A3A">
        <w:rPr>
          <w:szCs w:val="26"/>
        </w:rPr>
        <w:t xml:space="preserve">that </w:t>
      </w:r>
      <w:r w:rsidR="006D38D9" w:rsidRPr="00EF5A3A">
        <w:rPr>
          <w:szCs w:val="26"/>
        </w:rPr>
        <w:t>Carrillo was the intended “underlying litigant</w:t>
      </w:r>
      <w:r w:rsidR="00FD0922" w:rsidRPr="00EF5A3A">
        <w:rPr>
          <w:szCs w:val="26"/>
        </w:rPr>
        <w:t>.</w:t>
      </w:r>
      <w:r w:rsidR="006D38D9" w:rsidRPr="00EF5A3A">
        <w:rPr>
          <w:szCs w:val="26"/>
        </w:rPr>
        <w:t>”</w:t>
      </w:r>
      <w:r w:rsidR="007C0546" w:rsidRPr="00EF5A3A">
        <w:rPr>
          <w:szCs w:val="26"/>
        </w:rPr>
        <w:t xml:space="preserve"> </w:t>
      </w:r>
    </w:p>
    <w:p w14:paraId="7DB468A2" w14:textId="533485BD" w:rsidR="007C0546" w:rsidRPr="00EF5A3A" w:rsidRDefault="007C0546" w:rsidP="00883A9B">
      <w:pPr>
        <w:pStyle w:val="Heading3"/>
      </w:pPr>
      <w:r w:rsidRPr="00EF5A3A">
        <w:t xml:space="preserve">2. The Court of Appeal’s </w:t>
      </w:r>
      <w:r w:rsidR="00A30B9C" w:rsidRPr="00EF5A3A">
        <w:t>r</w:t>
      </w:r>
      <w:r w:rsidRPr="00EF5A3A">
        <w:t>uling</w:t>
      </w:r>
    </w:p>
    <w:p w14:paraId="0D1F05FE" w14:textId="3659802B" w:rsidR="00E33910" w:rsidRPr="00EF5A3A" w:rsidRDefault="00910BC2" w:rsidP="00EF5A3A">
      <w:pPr>
        <w:ind w:firstLine="720"/>
        <w:rPr>
          <w:szCs w:val="26"/>
        </w:rPr>
      </w:pPr>
      <w:r w:rsidRPr="00EF5A3A">
        <w:rPr>
          <w:szCs w:val="26"/>
        </w:rPr>
        <w:t>T</w:t>
      </w:r>
      <w:r w:rsidR="007E690D" w:rsidRPr="00EF5A3A">
        <w:rPr>
          <w:szCs w:val="26"/>
        </w:rPr>
        <w:t xml:space="preserve">he </w:t>
      </w:r>
      <w:r w:rsidR="007C0546" w:rsidRPr="00EF5A3A">
        <w:rPr>
          <w:szCs w:val="26"/>
        </w:rPr>
        <w:t xml:space="preserve">Court of Appeal </w:t>
      </w:r>
      <w:r w:rsidR="007E690D" w:rsidRPr="00EF5A3A">
        <w:rPr>
          <w:szCs w:val="26"/>
        </w:rPr>
        <w:t xml:space="preserve">dismissed the </w:t>
      </w:r>
      <w:r w:rsidR="00A30B9C" w:rsidRPr="00EF5A3A">
        <w:rPr>
          <w:szCs w:val="26"/>
        </w:rPr>
        <w:t>appeal</w:t>
      </w:r>
      <w:r w:rsidR="007E690D" w:rsidRPr="00EF5A3A">
        <w:rPr>
          <w:szCs w:val="26"/>
        </w:rPr>
        <w:t xml:space="preserve"> for lack of jurisdiction.  </w:t>
      </w:r>
      <w:r w:rsidRPr="00EF5A3A">
        <w:rPr>
          <w:szCs w:val="26"/>
        </w:rPr>
        <w:t>Citing</w:t>
      </w:r>
      <w:r w:rsidR="007E690D" w:rsidRPr="00EF5A3A">
        <w:rPr>
          <w:szCs w:val="26"/>
        </w:rPr>
        <w:t xml:space="preserve"> </w:t>
      </w:r>
      <w:r w:rsidR="007E690D" w:rsidRPr="00EF5A3A">
        <w:rPr>
          <w:i/>
          <w:iCs/>
          <w:szCs w:val="26"/>
        </w:rPr>
        <w:t>Calhoun v. Vallejo City Unified School Dist.</w:t>
      </w:r>
      <w:r w:rsidR="007E690D" w:rsidRPr="00EF5A3A">
        <w:rPr>
          <w:szCs w:val="26"/>
        </w:rPr>
        <w:t xml:space="preserve"> (1993) 20 Cal.App.4th 39 (</w:t>
      </w:r>
      <w:r w:rsidR="007E690D" w:rsidRPr="00EF5A3A">
        <w:rPr>
          <w:i/>
          <w:iCs/>
          <w:szCs w:val="26"/>
        </w:rPr>
        <w:t>Calhoun</w:t>
      </w:r>
      <w:r w:rsidR="007E690D" w:rsidRPr="00EF5A3A">
        <w:rPr>
          <w:szCs w:val="26"/>
        </w:rPr>
        <w:t>)</w:t>
      </w:r>
      <w:r w:rsidRPr="00EF5A3A">
        <w:rPr>
          <w:szCs w:val="26"/>
        </w:rPr>
        <w:t xml:space="preserve"> and </w:t>
      </w:r>
      <w:r w:rsidRPr="00EF5A3A">
        <w:rPr>
          <w:i/>
          <w:iCs/>
          <w:szCs w:val="26"/>
        </w:rPr>
        <w:t xml:space="preserve">People v. Indiana Lumbermens Mutual Ins. Co. </w:t>
      </w:r>
      <w:r w:rsidRPr="00EF5A3A">
        <w:rPr>
          <w:szCs w:val="26"/>
        </w:rPr>
        <w:t>(2014) 226 Cal.App.4th 1 (</w:t>
      </w:r>
      <w:r w:rsidRPr="00EF5A3A">
        <w:rPr>
          <w:i/>
          <w:iCs/>
          <w:szCs w:val="26"/>
        </w:rPr>
        <w:t xml:space="preserve">Indiana </w:t>
      </w:r>
      <w:r w:rsidRPr="00EF5A3A">
        <w:rPr>
          <w:i/>
          <w:iCs/>
          <w:szCs w:val="26"/>
        </w:rPr>
        <w:lastRenderedPageBreak/>
        <w:t>Lumbermens</w:t>
      </w:r>
      <w:r w:rsidRPr="00EF5A3A">
        <w:rPr>
          <w:szCs w:val="26"/>
        </w:rPr>
        <w:t>)</w:t>
      </w:r>
      <w:r w:rsidR="007E690D" w:rsidRPr="00EF5A3A">
        <w:rPr>
          <w:szCs w:val="26"/>
        </w:rPr>
        <w:t>,</w:t>
      </w:r>
      <w:r w:rsidRPr="00EF5A3A">
        <w:rPr>
          <w:szCs w:val="26"/>
        </w:rPr>
        <w:t xml:space="preserve"> the court held that </w:t>
      </w:r>
      <w:r w:rsidR="007E690D" w:rsidRPr="00EF5A3A">
        <w:rPr>
          <w:szCs w:val="26"/>
        </w:rPr>
        <w:t xml:space="preserve">when a sanctions order is entered against an attorney, </w:t>
      </w:r>
      <w:r w:rsidR="008D5B4E" w:rsidRPr="00EF5A3A">
        <w:rPr>
          <w:szCs w:val="26"/>
        </w:rPr>
        <w:t>the right of appeal is vested “</w:t>
      </w:r>
      <w:r w:rsidR="00C01A98" w:rsidRPr="00EF5A3A">
        <w:rPr>
          <w:szCs w:val="26"/>
        </w:rPr>
        <w:t> </w:t>
      </w:r>
      <w:r w:rsidR="00B0620B" w:rsidRPr="00EF5A3A">
        <w:rPr>
          <w:szCs w:val="26"/>
        </w:rPr>
        <w:t>‘</w:t>
      </w:r>
      <w:r w:rsidR="008D5B4E" w:rsidRPr="00EF5A3A">
        <w:rPr>
          <w:szCs w:val="26"/>
        </w:rPr>
        <w:t>in [the attorney], not [</w:t>
      </w:r>
      <w:r w:rsidR="007C0546" w:rsidRPr="00EF5A3A">
        <w:rPr>
          <w:szCs w:val="26"/>
        </w:rPr>
        <w:t xml:space="preserve">the </w:t>
      </w:r>
      <w:r w:rsidR="008D5B4E" w:rsidRPr="00EF5A3A">
        <w:rPr>
          <w:szCs w:val="26"/>
        </w:rPr>
        <w:t>attorney’s client].</w:t>
      </w:r>
      <w:r w:rsidR="0054314D" w:rsidRPr="00EF5A3A">
        <w:rPr>
          <w:szCs w:val="26"/>
        </w:rPr>
        <w:t> . . .</w:t>
      </w:r>
      <w:r w:rsidR="008D5B4E" w:rsidRPr="00EF5A3A">
        <w:rPr>
          <w:szCs w:val="26"/>
        </w:rPr>
        <w:t xml:space="preserve">  Absent any attempted appeal by the sanctioned party, the sanction ruling is not . . . reviewable.</w:t>
      </w:r>
      <w:r w:rsidR="00B0620B" w:rsidRPr="00EF5A3A">
        <w:rPr>
          <w:szCs w:val="26"/>
        </w:rPr>
        <w:t>’</w:t>
      </w:r>
      <w:r w:rsidR="00D87633" w:rsidRPr="00EF5A3A">
        <w:rPr>
          <w:szCs w:val="26"/>
        </w:rPr>
        <w:t xml:space="preserve"> </w:t>
      </w:r>
      <w:r w:rsidR="008D5B4E" w:rsidRPr="00EF5A3A">
        <w:rPr>
          <w:szCs w:val="26"/>
        </w:rPr>
        <w:t>”  (</w:t>
      </w:r>
      <w:r w:rsidR="00F95DB1" w:rsidRPr="00EF5A3A">
        <w:rPr>
          <w:szCs w:val="26"/>
        </w:rPr>
        <w:t>Q</w:t>
      </w:r>
      <w:r w:rsidR="00B0620B" w:rsidRPr="00EF5A3A">
        <w:rPr>
          <w:szCs w:val="26"/>
        </w:rPr>
        <w:t xml:space="preserve">uoting </w:t>
      </w:r>
      <w:r w:rsidR="008D5B4E" w:rsidRPr="00EF5A3A">
        <w:rPr>
          <w:i/>
          <w:iCs/>
          <w:szCs w:val="26"/>
        </w:rPr>
        <w:t xml:space="preserve">Calhoun, </w:t>
      </w:r>
      <w:r w:rsidR="008D5B4E" w:rsidRPr="00EF5A3A">
        <w:rPr>
          <w:szCs w:val="26"/>
        </w:rPr>
        <w:t xml:space="preserve">at p. </w:t>
      </w:r>
      <w:r w:rsidR="00833DC6" w:rsidRPr="00EF5A3A">
        <w:rPr>
          <w:szCs w:val="26"/>
        </w:rPr>
        <w:t>42</w:t>
      </w:r>
      <w:r w:rsidR="008D5B4E" w:rsidRPr="00EF5A3A">
        <w:rPr>
          <w:szCs w:val="26"/>
        </w:rPr>
        <w:t>.)</w:t>
      </w:r>
      <w:r w:rsidR="00FD0922" w:rsidRPr="00EF5A3A">
        <w:rPr>
          <w:szCs w:val="26"/>
        </w:rPr>
        <w:t xml:space="preserve"> </w:t>
      </w:r>
      <w:r w:rsidR="00B0620B" w:rsidRPr="00EF5A3A">
        <w:rPr>
          <w:szCs w:val="26"/>
        </w:rPr>
        <w:t xml:space="preserve"> </w:t>
      </w:r>
      <w:r w:rsidR="008D5B4E" w:rsidRPr="00EF5A3A">
        <w:rPr>
          <w:szCs w:val="26"/>
        </w:rPr>
        <w:t xml:space="preserve">The court </w:t>
      </w:r>
      <w:r w:rsidR="00FF00C3" w:rsidRPr="00EF5A3A">
        <w:rPr>
          <w:szCs w:val="26"/>
        </w:rPr>
        <w:t xml:space="preserve">also </w:t>
      </w:r>
      <w:r w:rsidR="00FD0922" w:rsidRPr="00EF5A3A">
        <w:rPr>
          <w:szCs w:val="26"/>
        </w:rPr>
        <w:t>rejected</w:t>
      </w:r>
      <w:r w:rsidR="008D5B4E" w:rsidRPr="00EF5A3A">
        <w:rPr>
          <w:szCs w:val="26"/>
        </w:rPr>
        <w:t xml:space="preserve"> K.J.’s </w:t>
      </w:r>
      <w:r w:rsidR="00DF0DF9" w:rsidRPr="00EF5A3A">
        <w:rPr>
          <w:szCs w:val="26"/>
        </w:rPr>
        <w:t>assertion</w:t>
      </w:r>
      <w:r w:rsidRPr="00EF5A3A">
        <w:rPr>
          <w:szCs w:val="26"/>
        </w:rPr>
        <w:t xml:space="preserve"> that the notice</w:t>
      </w:r>
      <w:r w:rsidR="00FD0922" w:rsidRPr="00EF5A3A">
        <w:rPr>
          <w:szCs w:val="26"/>
        </w:rPr>
        <w:t xml:space="preserve"> of appeal </w:t>
      </w:r>
      <w:r w:rsidR="00B0620B" w:rsidRPr="00EF5A3A">
        <w:rPr>
          <w:szCs w:val="26"/>
        </w:rPr>
        <w:t>should</w:t>
      </w:r>
      <w:r w:rsidR="00FD0922" w:rsidRPr="00EF5A3A">
        <w:rPr>
          <w:szCs w:val="26"/>
        </w:rPr>
        <w:t xml:space="preserve"> </w:t>
      </w:r>
      <w:r w:rsidRPr="00EF5A3A">
        <w:rPr>
          <w:szCs w:val="26"/>
        </w:rPr>
        <w:t xml:space="preserve">be </w:t>
      </w:r>
      <w:r w:rsidR="004C7BFB" w:rsidRPr="00EF5A3A">
        <w:rPr>
          <w:szCs w:val="26"/>
        </w:rPr>
        <w:t xml:space="preserve">construed </w:t>
      </w:r>
      <w:r w:rsidR="00A30B9C" w:rsidRPr="00EF5A3A">
        <w:rPr>
          <w:szCs w:val="26"/>
        </w:rPr>
        <w:t>to include Carrillo</w:t>
      </w:r>
      <w:r w:rsidR="00FD0922" w:rsidRPr="00EF5A3A">
        <w:rPr>
          <w:szCs w:val="26"/>
        </w:rPr>
        <w:t>, explaining</w:t>
      </w:r>
      <w:r w:rsidR="0076195D" w:rsidRPr="00EF5A3A">
        <w:rPr>
          <w:szCs w:val="26"/>
        </w:rPr>
        <w:t xml:space="preserve"> that</w:t>
      </w:r>
      <w:r w:rsidR="00FD0922" w:rsidRPr="00EF5A3A">
        <w:rPr>
          <w:szCs w:val="26"/>
        </w:rPr>
        <w:t xml:space="preserve"> </w:t>
      </w:r>
      <w:r w:rsidR="00FF00C3" w:rsidRPr="00EF5A3A">
        <w:rPr>
          <w:szCs w:val="26"/>
        </w:rPr>
        <w:t xml:space="preserve">the liberal construction requirement could not be </w:t>
      </w:r>
      <w:r w:rsidR="00DF0DF9" w:rsidRPr="00EF5A3A">
        <w:rPr>
          <w:szCs w:val="26"/>
        </w:rPr>
        <w:t>“</w:t>
      </w:r>
      <w:r w:rsidR="00E33910" w:rsidRPr="00EF5A3A">
        <w:rPr>
          <w:szCs w:val="26"/>
        </w:rPr>
        <w:t>stretch</w:t>
      </w:r>
      <w:r w:rsidR="00FF00C3" w:rsidRPr="00EF5A3A">
        <w:rPr>
          <w:szCs w:val="26"/>
        </w:rPr>
        <w:t xml:space="preserve">[ed] . . . </w:t>
      </w:r>
      <w:r w:rsidR="00E33910" w:rsidRPr="00EF5A3A">
        <w:rPr>
          <w:szCs w:val="26"/>
        </w:rPr>
        <w:t>so far as to deem a notice of appeal to include an unnamed party.”</w:t>
      </w:r>
      <w:r w:rsidR="00EB0D5F" w:rsidRPr="00EF5A3A">
        <w:rPr>
          <w:szCs w:val="26"/>
        </w:rPr>
        <w:t xml:space="preserve"> </w:t>
      </w:r>
    </w:p>
    <w:p w14:paraId="7A358D8E" w14:textId="77777777" w:rsidR="00EF55FF" w:rsidRPr="00EF5A3A" w:rsidRDefault="004B7BE9" w:rsidP="00EF5A3A">
      <w:pPr>
        <w:ind w:firstLine="720"/>
        <w:rPr>
          <w:szCs w:val="26"/>
        </w:rPr>
      </w:pPr>
      <w:r w:rsidRPr="00EF5A3A">
        <w:rPr>
          <w:szCs w:val="26"/>
        </w:rPr>
        <w:t xml:space="preserve">Carrillo filed a petition for review </w:t>
      </w:r>
      <w:r w:rsidR="00BF60F6" w:rsidRPr="00EF5A3A">
        <w:rPr>
          <w:szCs w:val="26"/>
        </w:rPr>
        <w:t>seeking resolution of</w:t>
      </w:r>
      <w:r w:rsidR="004D6109" w:rsidRPr="00EF5A3A">
        <w:rPr>
          <w:szCs w:val="26"/>
        </w:rPr>
        <w:t xml:space="preserve"> the following question:  </w:t>
      </w:r>
      <w:r w:rsidR="00015F2A" w:rsidRPr="00EF5A3A">
        <w:rPr>
          <w:szCs w:val="26"/>
        </w:rPr>
        <w:t>Does</w:t>
      </w:r>
      <w:r w:rsidR="004D6109" w:rsidRPr="00EF5A3A">
        <w:rPr>
          <w:szCs w:val="26"/>
        </w:rPr>
        <w:t xml:space="preserve"> the </w:t>
      </w:r>
      <w:r w:rsidR="00F07841" w:rsidRPr="00EF5A3A">
        <w:rPr>
          <w:szCs w:val="26"/>
        </w:rPr>
        <w:t>Court of Appeal</w:t>
      </w:r>
      <w:r w:rsidR="004D6109" w:rsidRPr="00EF5A3A">
        <w:rPr>
          <w:szCs w:val="26"/>
        </w:rPr>
        <w:t xml:space="preserve"> </w:t>
      </w:r>
      <w:r w:rsidR="00015F2A" w:rsidRPr="00EF5A3A">
        <w:rPr>
          <w:szCs w:val="26"/>
        </w:rPr>
        <w:t>lack jurisdiction to review an</w:t>
      </w:r>
      <w:r w:rsidR="004A195F" w:rsidRPr="00EF5A3A">
        <w:rPr>
          <w:szCs w:val="26"/>
        </w:rPr>
        <w:t xml:space="preserve"> order imposing sanctions on an attorney</w:t>
      </w:r>
      <w:r w:rsidR="004D6109" w:rsidRPr="00EF5A3A">
        <w:rPr>
          <w:szCs w:val="26"/>
        </w:rPr>
        <w:t xml:space="preserve"> </w:t>
      </w:r>
      <w:r w:rsidR="00F07841" w:rsidRPr="00EF5A3A">
        <w:rPr>
          <w:szCs w:val="26"/>
        </w:rPr>
        <w:t xml:space="preserve">when the notice of appeal is brought in the name of </w:t>
      </w:r>
      <w:r w:rsidR="004D6109" w:rsidRPr="00EF5A3A">
        <w:rPr>
          <w:szCs w:val="26"/>
        </w:rPr>
        <w:t xml:space="preserve">the client rather than the attorney, or does the liberal construction requirement set forth in California Rules of Court, rule 8.100(a)(2) </w:t>
      </w:r>
      <w:r w:rsidR="00015F2A" w:rsidRPr="00EF5A3A">
        <w:rPr>
          <w:szCs w:val="26"/>
        </w:rPr>
        <w:t>permit</w:t>
      </w:r>
      <w:r w:rsidR="004D6109" w:rsidRPr="00EF5A3A">
        <w:rPr>
          <w:szCs w:val="26"/>
        </w:rPr>
        <w:t xml:space="preserve"> the court to construe the notice to include the omitted attorney?</w:t>
      </w:r>
      <w:r w:rsidRPr="00EF5A3A">
        <w:rPr>
          <w:szCs w:val="26"/>
        </w:rPr>
        <w:t xml:space="preserve"> </w:t>
      </w:r>
      <w:r w:rsidR="00A62FCC" w:rsidRPr="00EF5A3A">
        <w:rPr>
          <w:szCs w:val="26"/>
        </w:rPr>
        <w:t xml:space="preserve">  </w:t>
      </w:r>
    </w:p>
    <w:p w14:paraId="738467D6" w14:textId="77777777" w:rsidR="000B26F9" w:rsidRPr="00EF5A3A" w:rsidRDefault="000B26F9" w:rsidP="00EF5A3A">
      <w:pPr>
        <w:pStyle w:val="Heading1"/>
      </w:pPr>
      <w:r w:rsidRPr="00EF5A3A">
        <w:t>II.</w:t>
      </w:r>
      <w:r w:rsidR="005305EA" w:rsidRPr="00EF5A3A">
        <w:t xml:space="preserve"> </w:t>
      </w:r>
      <w:r w:rsidRPr="00EF5A3A">
        <w:t xml:space="preserve"> Discussion</w:t>
      </w:r>
    </w:p>
    <w:p w14:paraId="18519F36" w14:textId="665B5EE0" w:rsidR="00201C3D" w:rsidRPr="00EF5A3A" w:rsidRDefault="00833DC6" w:rsidP="00EF5A3A">
      <w:pPr>
        <w:ind w:firstLine="720"/>
        <w:rPr>
          <w:szCs w:val="26"/>
        </w:rPr>
      </w:pPr>
      <w:r w:rsidRPr="00EF5A3A">
        <w:rPr>
          <w:szCs w:val="26"/>
        </w:rPr>
        <w:t>“</w:t>
      </w:r>
      <w:r w:rsidR="004B6270" w:rsidRPr="00EF5A3A">
        <w:rPr>
          <w:szCs w:val="26"/>
        </w:rPr>
        <w:t>[</w:t>
      </w:r>
      <w:r w:rsidR="006A0E5D" w:rsidRPr="00EF5A3A">
        <w:rPr>
          <w:szCs w:val="26"/>
        </w:rPr>
        <w:t>T</w:t>
      </w:r>
      <w:r w:rsidR="004B6270" w:rsidRPr="00EF5A3A">
        <w:rPr>
          <w:szCs w:val="26"/>
        </w:rPr>
        <w:t>]</w:t>
      </w:r>
      <w:r w:rsidR="006A0E5D" w:rsidRPr="00EF5A3A">
        <w:rPr>
          <w:szCs w:val="26"/>
        </w:rPr>
        <w:t>he timely filing of an appropriate notice of appeal or its legal equivalent is an absolute prerequisite to the exercise of appellate jurisdiction.”  (</w:t>
      </w:r>
      <w:r w:rsidR="006A0E5D" w:rsidRPr="00EF5A3A">
        <w:rPr>
          <w:i/>
          <w:iCs/>
          <w:szCs w:val="26"/>
        </w:rPr>
        <w:t>Hollister Convalescent Hosp., Inc. v. Rico</w:t>
      </w:r>
      <w:r w:rsidR="006A0E5D" w:rsidRPr="00EF5A3A">
        <w:rPr>
          <w:szCs w:val="26"/>
        </w:rPr>
        <w:t xml:space="preserve"> (1975) 15 Cal.3d 660, </w:t>
      </w:r>
      <w:r w:rsidR="004B6270" w:rsidRPr="00EF5A3A">
        <w:rPr>
          <w:szCs w:val="26"/>
        </w:rPr>
        <w:t xml:space="preserve">670 </w:t>
      </w:r>
      <w:r w:rsidR="00141196" w:rsidRPr="00EF5A3A">
        <w:rPr>
          <w:szCs w:val="26"/>
        </w:rPr>
        <w:t>(</w:t>
      </w:r>
      <w:r w:rsidR="00141196" w:rsidRPr="00EF5A3A">
        <w:rPr>
          <w:i/>
          <w:iCs/>
          <w:szCs w:val="26"/>
        </w:rPr>
        <w:t>Hollister</w:t>
      </w:r>
      <w:r w:rsidR="00141196" w:rsidRPr="00EF5A3A">
        <w:rPr>
          <w:szCs w:val="26"/>
        </w:rPr>
        <w:t>)</w:t>
      </w:r>
      <w:r w:rsidR="006A0E5D" w:rsidRPr="00EF5A3A">
        <w:rPr>
          <w:szCs w:val="26"/>
        </w:rPr>
        <w:t>.)  The parties dispute whether Carrillo satisfied that jurisdictional requirement here given that the notice of appeal listed only K.J. as the appealing party.  Carrillo argues that, contrary to the Court of Appeal’s holding, the rule of liberal construction permits a reviewing court to construe a notice of appeal from a sanctions order to include a sanctioned attorney who is not referenced in the notice.  LAUSD disagrees, contending the Court of Appeal correctly concluded it had no authority to read an unnamed party into the notice.</w:t>
      </w:r>
      <w:r w:rsidR="00EC4B2C" w:rsidRPr="00EF5A3A">
        <w:rPr>
          <w:szCs w:val="26"/>
        </w:rPr>
        <w:t xml:space="preserve">  </w:t>
      </w:r>
    </w:p>
    <w:p w14:paraId="0E5589D3" w14:textId="5D6C7A18" w:rsidR="00EF03D8" w:rsidRPr="00EF5A3A" w:rsidRDefault="00AF4A67" w:rsidP="00EF5A3A">
      <w:pPr>
        <w:pStyle w:val="Heading2"/>
      </w:pPr>
      <w:r w:rsidRPr="00EF5A3A">
        <w:lastRenderedPageBreak/>
        <w:t xml:space="preserve">A. </w:t>
      </w:r>
      <w:r w:rsidR="00EF03D8" w:rsidRPr="00EF5A3A">
        <w:t xml:space="preserve">Summary of </w:t>
      </w:r>
      <w:r w:rsidR="00DE5419" w:rsidRPr="00EF5A3A">
        <w:t xml:space="preserve">the </w:t>
      </w:r>
      <w:r w:rsidR="005858B7" w:rsidRPr="00EF5A3A">
        <w:t xml:space="preserve">Rules Governing the Notice of Appeal </w:t>
      </w:r>
    </w:p>
    <w:p w14:paraId="029527C4" w14:textId="024FADD7" w:rsidR="004F7246" w:rsidRPr="00EF5A3A" w:rsidRDefault="00086525" w:rsidP="00EF5A3A">
      <w:pPr>
        <w:ind w:firstLine="720"/>
        <w:rPr>
          <w:szCs w:val="26"/>
        </w:rPr>
      </w:pPr>
      <w:r w:rsidRPr="00EF5A3A">
        <w:rPr>
          <w:szCs w:val="26"/>
        </w:rPr>
        <w:t>California Rule</w:t>
      </w:r>
      <w:r w:rsidR="00A13465" w:rsidRPr="00EF5A3A">
        <w:rPr>
          <w:szCs w:val="26"/>
        </w:rPr>
        <w:t>s</w:t>
      </w:r>
      <w:r w:rsidRPr="00EF5A3A">
        <w:rPr>
          <w:szCs w:val="26"/>
        </w:rPr>
        <w:t xml:space="preserve"> of Court</w:t>
      </w:r>
      <w:r w:rsidR="00304BBD" w:rsidRPr="00EF5A3A">
        <w:rPr>
          <w:szCs w:val="26"/>
        </w:rPr>
        <w:t>, rule</w:t>
      </w:r>
      <w:r w:rsidRPr="00EF5A3A">
        <w:rPr>
          <w:szCs w:val="26"/>
        </w:rPr>
        <w:t xml:space="preserve"> 8.100(a)(1)</w:t>
      </w:r>
      <w:r w:rsidR="00E2038E">
        <w:rPr>
          <w:rStyle w:val="FootnoteReference"/>
          <w:szCs w:val="26"/>
        </w:rPr>
        <w:footnoteReference w:id="3"/>
      </w:r>
      <w:r w:rsidRPr="00EF5A3A">
        <w:rPr>
          <w:szCs w:val="26"/>
        </w:rPr>
        <w:t xml:space="preserve"> </w:t>
      </w:r>
      <w:r w:rsidR="00015F2A" w:rsidRPr="00EF5A3A">
        <w:rPr>
          <w:szCs w:val="26"/>
        </w:rPr>
        <w:t xml:space="preserve">requires that, </w:t>
      </w:r>
      <w:r w:rsidRPr="00EF5A3A">
        <w:rPr>
          <w:szCs w:val="26"/>
        </w:rPr>
        <w:t>“</w:t>
      </w:r>
      <w:r w:rsidR="00015F2A" w:rsidRPr="00EF5A3A">
        <w:rPr>
          <w:szCs w:val="26"/>
        </w:rPr>
        <w:t>[t]</w:t>
      </w:r>
      <w:r w:rsidRPr="00EF5A3A">
        <w:rPr>
          <w:szCs w:val="26"/>
        </w:rPr>
        <w:t>o appeal from a superior court judgment or an appealable order of a superior court</w:t>
      </w:r>
      <w:r w:rsidR="00C01A98" w:rsidRPr="00EF5A3A">
        <w:rPr>
          <w:szCs w:val="26"/>
        </w:rPr>
        <w:t xml:space="preserve">, </w:t>
      </w:r>
      <w:r w:rsidR="004B03FB" w:rsidRPr="00EF5A3A">
        <w:rPr>
          <w:szCs w:val="26"/>
        </w:rPr>
        <w:t>. . </w:t>
      </w:r>
      <w:r w:rsidRPr="00EF5A3A">
        <w:rPr>
          <w:szCs w:val="26"/>
        </w:rPr>
        <w:t xml:space="preserve">. an appellant must serve and file a notice of appeal in that superior court.”  </w:t>
      </w:r>
      <w:r w:rsidR="00E2038E">
        <w:rPr>
          <w:szCs w:val="26"/>
        </w:rPr>
        <w:t>Rule 8.100</w:t>
      </w:r>
      <w:r w:rsidRPr="00EF5A3A">
        <w:rPr>
          <w:szCs w:val="26"/>
        </w:rPr>
        <w:t>(a)(2)</w:t>
      </w:r>
      <w:r w:rsidR="00215731" w:rsidRPr="00EF5A3A">
        <w:rPr>
          <w:szCs w:val="26"/>
        </w:rPr>
        <w:t xml:space="preserve"> further</w:t>
      </w:r>
      <w:r w:rsidRPr="00EF5A3A">
        <w:rPr>
          <w:szCs w:val="26"/>
        </w:rPr>
        <w:t xml:space="preserve"> provides that “</w:t>
      </w:r>
      <w:r w:rsidR="00E2038E">
        <w:rPr>
          <w:szCs w:val="26"/>
        </w:rPr>
        <w:t>[</w:t>
      </w:r>
      <w:r w:rsidRPr="00EF5A3A">
        <w:rPr>
          <w:szCs w:val="26"/>
        </w:rPr>
        <w:t>t</w:t>
      </w:r>
      <w:r w:rsidR="00E2038E">
        <w:rPr>
          <w:szCs w:val="26"/>
        </w:rPr>
        <w:t>]</w:t>
      </w:r>
      <w:r w:rsidRPr="00EF5A3A">
        <w:rPr>
          <w:szCs w:val="26"/>
        </w:rPr>
        <w:t>he notice of appeal must be liberally construed.  The notice is sufficient if it identifies the particular judgment or order being appealed</w:t>
      </w:r>
      <w:r w:rsidR="00C523EC">
        <w:rPr>
          <w:szCs w:val="26"/>
        </w:rPr>
        <w:t>.</w:t>
      </w:r>
      <w:r w:rsidRPr="00EF5A3A">
        <w:rPr>
          <w:szCs w:val="26"/>
        </w:rPr>
        <w:t>”</w:t>
      </w:r>
      <w:r w:rsidR="00E67CF5" w:rsidRPr="00EF5A3A">
        <w:rPr>
          <w:szCs w:val="26"/>
        </w:rPr>
        <w:t xml:space="preserve">  </w:t>
      </w:r>
      <w:bookmarkStart w:id="5" w:name="_Hlk17699303"/>
      <w:r w:rsidR="004F7246" w:rsidRPr="00EF5A3A">
        <w:rPr>
          <w:szCs w:val="26"/>
        </w:rPr>
        <w:t xml:space="preserve">In an article describing the purpose and scope of the </w:t>
      </w:r>
      <w:r w:rsidR="00A13D95" w:rsidRPr="00EF5A3A">
        <w:rPr>
          <w:szCs w:val="26"/>
        </w:rPr>
        <w:t>original</w:t>
      </w:r>
      <w:r w:rsidR="00AC2A0E" w:rsidRPr="00EF5A3A">
        <w:rPr>
          <w:szCs w:val="26"/>
        </w:rPr>
        <w:t xml:space="preserve"> </w:t>
      </w:r>
      <w:r w:rsidR="004F7246" w:rsidRPr="00EF5A3A">
        <w:rPr>
          <w:szCs w:val="26"/>
        </w:rPr>
        <w:t xml:space="preserve">Rules </w:t>
      </w:r>
      <w:r w:rsidR="00AC2A0E" w:rsidRPr="00EF5A3A">
        <w:rPr>
          <w:szCs w:val="26"/>
        </w:rPr>
        <w:t xml:space="preserve">on </w:t>
      </w:r>
      <w:r w:rsidR="004F7246" w:rsidRPr="00EF5A3A">
        <w:rPr>
          <w:szCs w:val="26"/>
        </w:rPr>
        <w:t>Appeal</w:t>
      </w:r>
      <w:r w:rsidR="00E415A1" w:rsidRPr="00EF5A3A">
        <w:rPr>
          <w:szCs w:val="26"/>
        </w:rPr>
        <w:t xml:space="preserve">, which became effective on July 1, 1943 and </w:t>
      </w:r>
      <w:r w:rsidR="004F7246" w:rsidRPr="00EF5A3A">
        <w:rPr>
          <w:szCs w:val="26"/>
        </w:rPr>
        <w:t>contained a</w:t>
      </w:r>
      <w:r w:rsidR="0051524C" w:rsidRPr="00EF5A3A">
        <w:rPr>
          <w:szCs w:val="26"/>
        </w:rPr>
        <w:t xml:space="preserve"> provision</w:t>
      </w:r>
      <w:r w:rsidR="00A13D95" w:rsidRPr="00EF5A3A">
        <w:rPr>
          <w:szCs w:val="26"/>
        </w:rPr>
        <w:t xml:space="preserve"> </w:t>
      </w:r>
      <w:r w:rsidR="0051524C" w:rsidRPr="00EF5A3A">
        <w:rPr>
          <w:szCs w:val="26"/>
        </w:rPr>
        <w:t xml:space="preserve">that is </w:t>
      </w:r>
      <w:r w:rsidR="004F7246" w:rsidRPr="00EF5A3A">
        <w:rPr>
          <w:szCs w:val="26"/>
        </w:rPr>
        <w:t>essentially identical</w:t>
      </w:r>
      <w:r w:rsidR="0051524C" w:rsidRPr="00EF5A3A">
        <w:rPr>
          <w:szCs w:val="26"/>
        </w:rPr>
        <w:t xml:space="preserve"> to </w:t>
      </w:r>
      <w:r w:rsidR="00FE55CF" w:rsidRPr="00EF5A3A">
        <w:rPr>
          <w:szCs w:val="26"/>
        </w:rPr>
        <w:t xml:space="preserve">current </w:t>
      </w:r>
      <w:r w:rsidR="0051524C" w:rsidRPr="00EF5A3A">
        <w:rPr>
          <w:szCs w:val="26"/>
        </w:rPr>
        <w:t>rule 8.100(a)(2)</w:t>
      </w:r>
      <w:r w:rsidR="00E415A1" w:rsidRPr="00EF5A3A">
        <w:rPr>
          <w:szCs w:val="26"/>
        </w:rPr>
        <w:t xml:space="preserve"> (see former rule 1(a))</w:t>
      </w:r>
      <w:r w:rsidR="004F7246" w:rsidRPr="00EF5A3A">
        <w:rPr>
          <w:szCs w:val="26"/>
        </w:rPr>
        <w:t>, the rule</w:t>
      </w:r>
      <w:r w:rsidR="006A0E5D" w:rsidRPr="00EF5A3A">
        <w:rPr>
          <w:szCs w:val="26"/>
        </w:rPr>
        <w:t>s</w:t>
      </w:r>
      <w:r w:rsidR="004F7246" w:rsidRPr="00EF5A3A">
        <w:rPr>
          <w:szCs w:val="26"/>
        </w:rPr>
        <w:t xml:space="preserve">’ drafter, B.E. Witkin, explained that </w:t>
      </w:r>
      <w:bookmarkEnd w:id="5"/>
      <w:r w:rsidR="004F7246" w:rsidRPr="00EF5A3A">
        <w:rPr>
          <w:szCs w:val="26"/>
        </w:rPr>
        <w:t xml:space="preserve">the Judicial Council had chosen not to impose any further “requirements </w:t>
      </w:r>
      <w:r w:rsidR="00AC2A0E" w:rsidRPr="00EF5A3A">
        <w:rPr>
          <w:szCs w:val="26"/>
        </w:rPr>
        <w:t>. . </w:t>
      </w:r>
      <w:r w:rsidR="004F7246" w:rsidRPr="00EF5A3A">
        <w:rPr>
          <w:szCs w:val="26"/>
        </w:rPr>
        <w:t xml:space="preserve">. as to the contents of the notice </w:t>
      </w:r>
      <w:r w:rsidR="004B03FB" w:rsidRPr="00EF5A3A">
        <w:rPr>
          <w:szCs w:val="26"/>
        </w:rPr>
        <w:t>. . </w:t>
      </w:r>
      <w:r w:rsidR="004F7246" w:rsidRPr="00EF5A3A">
        <w:rPr>
          <w:szCs w:val="26"/>
        </w:rPr>
        <w:t xml:space="preserve">. on the ground that . . . this basic, jurisdictional notice should be simple, to make it relatively immune from attack on technical grounds.”  (Witkin, </w:t>
      </w:r>
      <w:r w:rsidR="004F7246" w:rsidRPr="00EF5A3A">
        <w:rPr>
          <w:i/>
          <w:iCs/>
          <w:szCs w:val="26"/>
        </w:rPr>
        <w:t>New California Rules on Appeal</w:t>
      </w:r>
      <w:r w:rsidR="004F7246" w:rsidRPr="00EF5A3A">
        <w:rPr>
          <w:szCs w:val="26"/>
        </w:rPr>
        <w:t xml:space="preserve"> (1944) 17 So.Cal.</w:t>
      </w:r>
      <w:r w:rsidR="00E2038E">
        <w:rPr>
          <w:szCs w:val="26"/>
        </w:rPr>
        <w:t xml:space="preserve"> </w:t>
      </w:r>
      <w:r w:rsidR="004F7246" w:rsidRPr="00EF5A3A">
        <w:rPr>
          <w:szCs w:val="26"/>
        </w:rPr>
        <w:t>L.Rev. 79, 8</w:t>
      </w:r>
      <w:r w:rsidR="00AC2A0E" w:rsidRPr="00EF5A3A">
        <w:rPr>
          <w:szCs w:val="26"/>
        </w:rPr>
        <w:t>3</w:t>
      </w:r>
      <w:r w:rsidR="004F7246" w:rsidRPr="00EF5A3A">
        <w:rPr>
          <w:szCs w:val="26"/>
        </w:rPr>
        <w:t xml:space="preserve"> (hereafter </w:t>
      </w:r>
      <w:r w:rsidR="004F7246" w:rsidRPr="00EF5A3A">
        <w:rPr>
          <w:i/>
          <w:iCs/>
          <w:szCs w:val="26"/>
        </w:rPr>
        <w:t>New California Rules on Appeal</w:t>
      </w:r>
      <w:r w:rsidR="004F7246" w:rsidRPr="00EF5A3A">
        <w:rPr>
          <w:szCs w:val="26"/>
        </w:rPr>
        <w:t>).)</w:t>
      </w:r>
    </w:p>
    <w:p w14:paraId="53BCE785" w14:textId="7590B166" w:rsidR="00141196" w:rsidRPr="00EF5A3A" w:rsidRDefault="006A0E5D" w:rsidP="00EF5A3A">
      <w:pPr>
        <w:ind w:firstLine="720"/>
        <w:rPr>
          <w:color w:val="000000" w:themeColor="text1"/>
          <w:szCs w:val="26"/>
        </w:rPr>
      </w:pPr>
      <w:r w:rsidRPr="00EF5A3A">
        <w:rPr>
          <w:color w:val="000000" w:themeColor="text1"/>
          <w:szCs w:val="26"/>
        </w:rPr>
        <w:t xml:space="preserve">Rule 8.100(a)(2)’s </w:t>
      </w:r>
      <w:r w:rsidR="00FF0EA1" w:rsidRPr="00EF5A3A">
        <w:rPr>
          <w:color w:val="000000" w:themeColor="text1"/>
          <w:szCs w:val="26"/>
        </w:rPr>
        <w:t xml:space="preserve">liberal construction </w:t>
      </w:r>
      <w:r w:rsidR="008172D0" w:rsidRPr="00EF5A3A">
        <w:rPr>
          <w:color w:val="000000" w:themeColor="text1"/>
          <w:szCs w:val="26"/>
        </w:rPr>
        <w:t xml:space="preserve">requirement </w:t>
      </w:r>
      <w:r w:rsidR="00F53900" w:rsidRPr="00EF5A3A">
        <w:rPr>
          <w:color w:val="000000" w:themeColor="text1"/>
          <w:szCs w:val="26"/>
        </w:rPr>
        <w:t xml:space="preserve">reflects the long-standing </w:t>
      </w:r>
      <w:r w:rsidR="00F53900" w:rsidRPr="00883A9B">
        <w:rPr>
          <w:color w:val="000000" w:themeColor="text1"/>
          <w:szCs w:val="26"/>
        </w:rPr>
        <w:t>“</w:t>
      </w:r>
      <w:r w:rsidR="00757F9D" w:rsidRPr="00883A9B">
        <w:rPr>
          <w:color w:val="000000" w:themeColor="text1"/>
          <w:szCs w:val="26"/>
        </w:rPr>
        <w:t> ‘</w:t>
      </w:r>
      <w:r w:rsidR="00564553" w:rsidRPr="00EF5A3A">
        <w:rPr>
          <w:color w:val="000000" w:themeColor="text1"/>
          <w:szCs w:val="26"/>
        </w:rPr>
        <w:t xml:space="preserve">law of this state that notices of appeal are to be liberally construed so as to protect the right of appeal if it is reasonably clear what </w:t>
      </w:r>
      <w:r w:rsidR="004B6270" w:rsidRPr="00EF5A3A">
        <w:rPr>
          <w:color w:val="000000" w:themeColor="text1"/>
          <w:szCs w:val="26"/>
        </w:rPr>
        <w:t xml:space="preserve">[the] </w:t>
      </w:r>
      <w:r w:rsidR="00564553" w:rsidRPr="00EF5A3A">
        <w:rPr>
          <w:color w:val="000000" w:themeColor="text1"/>
          <w:szCs w:val="26"/>
        </w:rPr>
        <w:t>appellant was trying to appeal from, and where the respondent could not possibly have been misled or prejudiced.</w:t>
      </w:r>
      <w:r w:rsidR="00D65E1F" w:rsidRPr="00EF5A3A">
        <w:rPr>
          <w:color w:val="000000" w:themeColor="text1"/>
          <w:szCs w:val="26"/>
        </w:rPr>
        <w:t>’</w:t>
      </w:r>
      <w:r w:rsidR="00E2038E">
        <w:rPr>
          <w:color w:val="000000" w:themeColor="text1"/>
          <w:szCs w:val="26"/>
        </w:rPr>
        <w:t> </w:t>
      </w:r>
      <w:r w:rsidR="00564553" w:rsidRPr="00EF5A3A">
        <w:rPr>
          <w:color w:val="000000" w:themeColor="text1"/>
          <w:szCs w:val="26"/>
        </w:rPr>
        <w:t>”  (</w:t>
      </w:r>
      <w:r w:rsidR="00D65E1F" w:rsidRPr="00EF5A3A">
        <w:rPr>
          <w:i/>
          <w:iCs/>
          <w:color w:val="000000" w:themeColor="text1"/>
          <w:szCs w:val="26"/>
        </w:rPr>
        <w:t>In re Joshua S</w:t>
      </w:r>
      <w:r w:rsidR="00D65E1F" w:rsidRPr="00EF5A3A">
        <w:rPr>
          <w:color w:val="000000" w:themeColor="text1"/>
          <w:szCs w:val="26"/>
        </w:rPr>
        <w:t>. (2007) 41 Cal.4th 261, 272</w:t>
      </w:r>
      <w:r w:rsidR="00015F2A" w:rsidRPr="00EF5A3A">
        <w:rPr>
          <w:color w:val="000000" w:themeColor="text1"/>
          <w:szCs w:val="26"/>
        </w:rPr>
        <w:t xml:space="preserve">; see </w:t>
      </w:r>
      <w:r w:rsidR="00564553" w:rsidRPr="00EF5A3A">
        <w:rPr>
          <w:i/>
          <w:iCs/>
          <w:color w:val="000000" w:themeColor="text1"/>
          <w:szCs w:val="26"/>
        </w:rPr>
        <w:t>Luz v. Lopes</w:t>
      </w:r>
      <w:r w:rsidR="00564553" w:rsidRPr="00EF5A3A">
        <w:rPr>
          <w:color w:val="000000" w:themeColor="text1"/>
          <w:szCs w:val="26"/>
        </w:rPr>
        <w:t xml:space="preserve"> (1960) </w:t>
      </w:r>
      <w:r w:rsidR="00B453C7" w:rsidRPr="00EF5A3A">
        <w:rPr>
          <w:color w:val="000000" w:themeColor="text1"/>
          <w:szCs w:val="26"/>
        </w:rPr>
        <w:t>55 Cal.2d 54</w:t>
      </w:r>
      <w:r w:rsidR="00564553" w:rsidRPr="00EF5A3A">
        <w:rPr>
          <w:color w:val="000000" w:themeColor="text1"/>
          <w:szCs w:val="26"/>
        </w:rPr>
        <w:t>, 59</w:t>
      </w:r>
      <w:r w:rsidR="005A753D" w:rsidRPr="00EF5A3A">
        <w:rPr>
          <w:color w:val="000000" w:themeColor="text1"/>
          <w:szCs w:val="26"/>
        </w:rPr>
        <w:t>.)</w:t>
      </w:r>
      <w:r w:rsidR="005069BE" w:rsidRPr="00EF5A3A">
        <w:rPr>
          <w:color w:val="000000" w:themeColor="text1"/>
          <w:szCs w:val="26"/>
        </w:rPr>
        <w:t xml:space="preserve">  </w:t>
      </w:r>
      <w:r w:rsidR="00325932" w:rsidRPr="00EF5A3A">
        <w:rPr>
          <w:color w:val="000000" w:themeColor="text1"/>
          <w:szCs w:val="26"/>
        </w:rPr>
        <w:t xml:space="preserve">The </w:t>
      </w:r>
      <w:r w:rsidR="008172D0" w:rsidRPr="00EF5A3A">
        <w:rPr>
          <w:color w:val="000000" w:themeColor="text1"/>
          <w:szCs w:val="26"/>
        </w:rPr>
        <w:t xml:space="preserve">rule </w:t>
      </w:r>
      <w:r w:rsidR="00B27E8C" w:rsidRPr="00EF5A3A">
        <w:rPr>
          <w:color w:val="000000" w:themeColor="text1"/>
          <w:szCs w:val="26"/>
        </w:rPr>
        <w:t xml:space="preserve">is intended to </w:t>
      </w:r>
      <w:r w:rsidR="008D2D51" w:rsidRPr="00EF5A3A">
        <w:rPr>
          <w:color w:val="000000" w:themeColor="text1"/>
          <w:szCs w:val="26"/>
        </w:rPr>
        <w:t>“</w:t>
      </w:r>
      <w:r w:rsidR="00B27E8C" w:rsidRPr="00EF5A3A">
        <w:rPr>
          <w:color w:val="000000" w:themeColor="text1"/>
          <w:szCs w:val="26"/>
        </w:rPr>
        <w:t>implement the strong public policy favoring the hearing of appeals on the merits</w:t>
      </w:r>
      <w:r w:rsidR="008D2D51" w:rsidRPr="00EF5A3A">
        <w:rPr>
          <w:color w:val="000000" w:themeColor="text1"/>
          <w:szCs w:val="26"/>
        </w:rPr>
        <w:t>.</w:t>
      </w:r>
      <w:r w:rsidR="00B27E8C" w:rsidRPr="00EF5A3A">
        <w:rPr>
          <w:color w:val="000000" w:themeColor="text1"/>
          <w:szCs w:val="26"/>
        </w:rPr>
        <w:t>”</w:t>
      </w:r>
      <w:r w:rsidR="00022FD9" w:rsidRPr="00EF5A3A">
        <w:rPr>
          <w:color w:val="000000" w:themeColor="text1"/>
          <w:szCs w:val="26"/>
        </w:rPr>
        <w:t xml:space="preserve"> </w:t>
      </w:r>
      <w:r w:rsidR="00B27E8C" w:rsidRPr="00EF5A3A">
        <w:rPr>
          <w:color w:val="000000" w:themeColor="text1"/>
          <w:szCs w:val="26"/>
        </w:rPr>
        <w:t xml:space="preserve"> (</w:t>
      </w:r>
      <w:r w:rsidR="008D2D51" w:rsidRPr="00EF5A3A">
        <w:rPr>
          <w:i/>
          <w:iCs/>
          <w:color w:val="000000" w:themeColor="text1"/>
          <w:szCs w:val="26"/>
        </w:rPr>
        <w:t xml:space="preserve">Norco Delivery Service, </w:t>
      </w:r>
      <w:r w:rsidR="008D2D51" w:rsidRPr="00EF5A3A">
        <w:rPr>
          <w:i/>
          <w:iCs/>
          <w:color w:val="000000" w:themeColor="text1"/>
          <w:szCs w:val="26"/>
        </w:rPr>
        <w:lastRenderedPageBreak/>
        <w:t>Inc. v. Owens</w:t>
      </w:r>
      <w:r w:rsidR="00E2038E">
        <w:rPr>
          <w:i/>
          <w:iCs/>
          <w:color w:val="000000" w:themeColor="text1"/>
          <w:szCs w:val="26"/>
        </w:rPr>
        <w:t>-</w:t>
      </w:r>
      <w:r w:rsidR="008D2D51" w:rsidRPr="00EF5A3A">
        <w:rPr>
          <w:i/>
          <w:iCs/>
          <w:color w:val="000000" w:themeColor="text1"/>
          <w:szCs w:val="26"/>
        </w:rPr>
        <w:t>Corning Fiberglas</w:t>
      </w:r>
      <w:r w:rsidR="004B6270" w:rsidRPr="00EF5A3A">
        <w:rPr>
          <w:i/>
          <w:iCs/>
          <w:color w:val="000000" w:themeColor="text1"/>
          <w:szCs w:val="26"/>
        </w:rPr>
        <w:t>, Inc.</w:t>
      </w:r>
      <w:r w:rsidR="008D2D51" w:rsidRPr="00EF5A3A">
        <w:rPr>
          <w:color w:val="000000" w:themeColor="text1"/>
          <w:szCs w:val="26"/>
        </w:rPr>
        <w:t xml:space="preserve"> (1998) 64 Cal.App.4th 955, 960; </w:t>
      </w:r>
      <w:r w:rsidR="00812796" w:rsidRPr="00EF5A3A">
        <w:rPr>
          <w:color w:val="000000" w:themeColor="text1"/>
          <w:szCs w:val="26"/>
        </w:rPr>
        <w:t xml:space="preserve">see </w:t>
      </w:r>
      <w:r w:rsidR="00B27E8C" w:rsidRPr="00EF5A3A">
        <w:rPr>
          <w:i/>
          <w:iCs/>
          <w:color w:val="000000" w:themeColor="text1"/>
          <w:szCs w:val="26"/>
        </w:rPr>
        <w:t>Glassco v. El Sereno Country Club</w:t>
      </w:r>
      <w:r w:rsidR="004B6270" w:rsidRPr="00EF5A3A">
        <w:rPr>
          <w:i/>
          <w:iCs/>
          <w:color w:val="000000" w:themeColor="text1"/>
          <w:szCs w:val="26"/>
        </w:rPr>
        <w:t>, Inc.</w:t>
      </w:r>
      <w:r w:rsidR="00B27E8C" w:rsidRPr="00EF5A3A">
        <w:rPr>
          <w:color w:val="000000" w:themeColor="text1"/>
          <w:szCs w:val="26"/>
        </w:rPr>
        <w:t xml:space="preserve"> (1932) 217 Cal. 90, 92 [“notices of appeal are to be liberally construed with a view to hearing causes on their merits”]; </w:t>
      </w:r>
      <w:r w:rsidR="001C0487" w:rsidRPr="00EF5A3A">
        <w:rPr>
          <w:i/>
          <w:iCs/>
          <w:color w:val="000000" w:themeColor="text1"/>
          <w:szCs w:val="26"/>
        </w:rPr>
        <w:t xml:space="preserve">Kellett v. Marvel </w:t>
      </w:r>
      <w:r w:rsidR="001C0487" w:rsidRPr="00EF5A3A">
        <w:rPr>
          <w:color w:val="000000" w:themeColor="text1"/>
          <w:szCs w:val="26"/>
        </w:rPr>
        <w:t xml:space="preserve">(1936) 6 Cal.2d 464, </w:t>
      </w:r>
      <w:r w:rsidR="00AB1466" w:rsidRPr="00EF5A3A">
        <w:rPr>
          <w:color w:val="000000" w:themeColor="text1"/>
          <w:szCs w:val="26"/>
        </w:rPr>
        <w:t>471 [“notices of appeal are liberally construed to preserve the right of review unless it appears that the respondent has been misled”]</w:t>
      </w:r>
      <w:r w:rsidR="004338DD" w:rsidRPr="00EF5A3A">
        <w:rPr>
          <w:color w:val="000000" w:themeColor="text1"/>
          <w:szCs w:val="26"/>
        </w:rPr>
        <w:t>.)</w:t>
      </w:r>
      <w:r w:rsidR="00141196" w:rsidRPr="00EF5A3A">
        <w:rPr>
          <w:color w:val="000000" w:themeColor="text1"/>
          <w:szCs w:val="26"/>
        </w:rPr>
        <w:t xml:space="preserve">  </w:t>
      </w:r>
    </w:p>
    <w:p w14:paraId="76CFC306" w14:textId="6272DD8A" w:rsidR="005858B7" w:rsidRPr="00EF5A3A" w:rsidRDefault="0071229D" w:rsidP="00EF5A3A">
      <w:pPr>
        <w:ind w:firstLine="720"/>
        <w:rPr>
          <w:color w:val="000000" w:themeColor="text1"/>
          <w:szCs w:val="26"/>
        </w:rPr>
      </w:pPr>
      <w:r w:rsidRPr="00EF5A3A">
        <w:rPr>
          <w:color w:val="000000" w:themeColor="text1"/>
          <w:szCs w:val="26"/>
        </w:rPr>
        <w:t xml:space="preserve">Considered together, </w:t>
      </w:r>
      <w:r w:rsidR="00E2038E">
        <w:rPr>
          <w:color w:val="000000" w:themeColor="text1"/>
          <w:szCs w:val="26"/>
        </w:rPr>
        <w:t>r</w:t>
      </w:r>
      <w:r w:rsidR="00F75A8D" w:rsidRPr="00EF5A3A">
        <w:rPr>
          <w:color w:val="000000" w:themeColor="text1"/>
          <w:szCs w:val="26"/>
        </w:rPr>
        <w:t>ule</w:t>
      </w:r>
      <w:r w:rsidR="00E2038E">
        <w:rPr>
          <w:color w:val="000000" w:themeColor="text1"/>
          <w:szCs w:val="26"/>
        </w:rPr>
        <w:t>s</w:t>
      </w:r>
      <w:r w:rsidR="00F75A8D" w:rsidRPr="00EF5A3A">
        <w:rPr>
          <w:color w:val="000000" w:themeColor="text1"/>
          <w:szCs w:val="26"/>
        </w:rPr>
        <w:t xml:space="preserve"> 8.100</w:t>
      </w:r>
      <w:r w:rsidR="005858B7" w:rsidRPr="00EF5A3A">
        <w:rPr>
          <w:color w:val="000000" w:themeColor="text1"/>
          <w:szCs w:val="26"/>
        </w:rPr>
        <w:t xml:space="preserve">(a)(1) and </w:t>
      </w:r>
      <w:r w:rsidR="00E2038E">
        <w:rPr>
          <w:color w:val="000000" w:themeColor="text1"/>
          <w:szCs w:val="26"/>
        </w:rPr>
        <w:t>8.100</w:t>
      </w:r>
      <w:r w:rsidR="005858B7" w:rsidRPr="00EF5A3A">
        <w:rPr>
          <w:color w:val="000000" w:themeColor="text1"/>
          <w:szCs w:val="26"/>
        </w:rPr>
        <w:t xml:space="preserve">(a)(2) reflect the different standards that </w:t>
      </w:r>
      <w:r w:rsidR="006424C8" w:rsidRPr="00EF5A3A">
        <w:rPr>
          <w:color w:val="000000" w:themeColor="text1"/>
          <w:szCs w:val="26"/>
        </w:rPr>
        <w:t>govern</w:t>
      </w:r>
      <w:r w:rsidR="005858B7" w:rsidRPr="00EF5A3A">
        <w:rPr>
          <w:color w:val="000000" w:themeColor="text1"/>
          <w:szCs w:val="26"/>
        </w:rPr>
        <w:t xml:space="preserve"> the filing of the notice of appeal versus the content of the notice</w:t>
      </w:r>
      <w:r w:rsidR="00F75A8D" w:rsidRPr="00EF5A3A">
        <w:rPr>
          <w:color w:val="000000" w:themeColor="text1"/>
          <w:szCs w:val="26"/>
        </w:rPr>
        <w:t xml:space="preserve"> with respect to appellate jurisdiction</w:t>
      </w:r>
      <w:r w:rsidR="005858B7" w:rsidRPr="00EF5A3A">
        <w:rPr>
          <w:color w:val="000000" w:themeColor="text1"/>
          <w:szCs w:val="26"/>
        </w:rPr>
        <w:t xml:space="preserve">:  </w:t>
      </w:r>
      <w:r w:rsidR="00E2038E">
        <w:rPr>
          <w:color w:val="000000" w:themeColor="text1"/>
          <w:szCs w:val="26"/>
        </w:rPr>
        <w:t>W</w:t>
      </w:r>
      <w:r w:rsidR="005858B7" w:rsidRPr="00EF5A3A">
        <w:rPr>
          <w:color w:val="000000" w:themeColor="text1"/>
          <w:szCs w:val="26"/>
        </w:rPr>
        <w:t>hile the timely filing of a notice of appeal</w:t>
      </w:r>
      <w:r w:rsidR="00F75A8D" w:rsidRPr="00EF5A3A">
        <w:rPr>
          <w:color w:val="000000" w:themeColor="text1"/>
          <w:szCs w:val="26"/>
        </w:rPr>
        <w:t xml:space="preserve"> </w:t>
      </w:r>
      <w:r w:rsidR="005858B7" w:rsidRPr="00EF5A3A">
        <w:rPr>
          <w:color w:val="000000" w:themeColor="text1"/>
          <w:szCs w:val="26"/>
        </w:rPr>
        <w:t xml:space="preserve">is </w:t>
      </w:r>
      <w:r w:rsidR="00F75A8D" w:rsidRPr="00EF5A3A">
        <w:rPr>
          <w:color w:val="000000" w:themeColor="text1"/>
          <w:szCs w:val="26"/>
        </w:rPr>
        <w:t xml:space="preserve">an absolute </w:t>
      </w:r>
      <w:r w:rsidR="005858B7" w:rsidRPr="00EF5A3A">
        <w:rPr>
          <w:color w:val="000000" w:themeColor="text1"/>
          <w:szCs w:val="26"/>
        </w:rPr>
        <w:t>jurisdictional prerequisite</w:t>
      </w:r>
      <w:r w:rsidR="00F75A8D" w:rsidRPr="00EF5A3A">
        <w:rPr>
          <w:color w:val="000000" w:themeColor="text1"/>
          <w:szCs w:val="26"/>
        </w:rPr>
        <w:t xml:space="preserve"> (</w:t>
      </w:r>
      <w:r w:rsidR="00E415A1" w:rsidRPr="00EF5A3A">
        <w:rPr>
          <w:color w:val="000000" w:themeColor="text1"/>
          <w:szCs w:val="26"/>
        </w:rPr>
        <w:t xml:space="preserve">see </w:t>
      </w:r>
      <w:r w:rsidR="00F75A8D" w:rsidRPr="00EF5A3A">
        <w:rPr>
          <w:i/>
          <w:iCs/>
          <w:szCs w:val="26"/>
        </w:rPr>
        <w:t xml:space="preserve">Hollister, supra, </w:t>
      </w:r>
      <w:r w:rsidR="004B6270" w:rsidRPr="00EF5A3A">
        <w:rPr>
          <w:iCs/>
          <w:szCs w:val="26"/>
        </w:rPr>
        <w:t>1</w:t>
      </w:r>
      <w:r w:rsidR="00F75A8D" w:rsidRPr="00EF5A3A">
        <w:rPr>
          <w:szCs w:val="26"/>
        </w:rPr>
        <w:t>5 Cal.3d at p. 669</w:t>
      </w:r>
      <w:r w:rsidR="00A02540" w:rsidRPr="00EF5A3A">
        <w:rPr>
          <w:szCs w:val="26"/>
        </w:rPr>
        <w:t xml:space="preserve">; </w:t>
      </w:r>
      <w:r w:rsidR="00E415A1" w:rsidRPr="00EF5A3A">
        <w:rPr>
          <w:szCs w:val="26"/>
        </w:rPr>
        <w:t xml:space="preserve">Cal. Rules of Court, </w:t>
      </w:r>
      <w:r w:rsidR="00A02540" w:rsidRPr="00EF5A3A">
        <w:rPr>
          <w:szCs w:val="26"/>
        </w:rPr>
        <w:t>rule 8.104(b) [“</w:t>
      </w:r>
      <w:r w:rsidR="00A85DB6" w:rsidRPr="00EF5A3A">
        <w:rPr>
          <w:szCs w:val="26"/>
        </w:rPr>
        <w:t>[i]</w:t>
      </w:r>
      <w:r w:rsidR="00A02540" w:rsidRPr="00EF5A3A">
        <w:rPr>
          <w:szCs w:val="26"/>
        </w:rPr>
        <w:t>f a notice of appeal is filed late, the reviewing court must dismiss the appeal”]</w:t>
      </w:r>
      <w:r w:rsidR="00A85DB6" w:rsidRPr="00EF5A3A">
        <w:rPr>
          <w:rStyle w:val="FootnoteReference"/>
          <w:color w:val="000000" w:themeColor="text1"/>
          <w:szCs w:val="26"/>
        </w:rPr>
        <w:footnoteReference w:id="4"/>
      </w:r>
      <w:r w:rsidR="00A02540" w:rsidRPr="00EF5A3A">
        <w:rPr>
          <w:szCs w:val="26"/>
        </w:rPr>
        <w:t>)</w:t>
      </w:r>
      <w:r w:rsidR="005858B7" w:rsidRPr="00EF5A3A">
        <w:rPr>
          <w:color w:val="000000" w:themeColor="text1"/>
          <w:szCs w:val="26"/>
        </w:rPr>
        <w:t xml:space="preserve">, </w:t>
      </w:r>
      <w:r w:rsidR="00EE7760" w:rsidRPr="00EF5A3A">
        <w:rPr>
          <w:color w:val="000000" w:themeColor="text1"/>
          <w:szCs w:val="26"/>
        </w:rPr>
        <w:t>t</w:t>
      </w:r>
      <w:r w:rsidR="00763595" w:rsidRPr="00EF5A3A">
        <w:rPr>
          <w:color w:val="000000" w:themeColor="text1"/>
          <w:szCs w:val="26"/>
        </w:rPr>
        <w:t>echnical accuracy in the contents of the notice is not.  (See</w:t>
      </w:r>
      <w:r w:rsidR="00763595" w:rsidRPr="00EF5A3A">
        <w:rPr>
          <w:i/>
          <w:iCs/>
          <w:color w:val="000000" w:themeColor="text1"/>
          <w:szCs w:val="26"/>
        </w:rPr>
        <w:t xml:space="preserve"> Beltram v. Appellate Department</w:t>
      </w:r>
      <w:r w:rsidR="00763595" w:rsidRPr="00EF5A3A">
        <w:rPr>
          <w:color w:val="000000" w:themeColor="text1"/>
          <w:szCs w:val="26"/>
        </w:rPr>
        <w:t xml:space="preserve"> (1977) 66 Cal.App.3d 711,</w:t>
      </w:r>
      <w:r w:rsidR="007A1666" w:rsidRPr="00EF5A3A">
        <w:rPr>
          <w:color w:val="000000" w:themeColor="text1"/>
          <w:szCs w:val="26"/>
        </w:rPr>
        <w:t xml:space="preserve"> 714</w:t>
      </w:r>
      <w:r w:rsidR="00763595" w:rsidRPr="00EF5A3A">
        <w:rPr>
          <w:color w:val="000000" w:themeColor="text1"/>
          <w:szCs w:val="26"/>
        </w:rPr>
        <w:t xml:space="preserve"> (</w:t>
      </w:r>
      <w:r w:rsidR="00763595" w:rsidRPr="00EF5A3A">
        <w:rPr>
          <w:i/>
          <w:iCs/>
          <w:color w:val="000000" w:themeColor="text1"/>
          <w:szCs w:val="26"/>
        </w:rPr>
        <w:t>Beltram</w:t>
      </w:r>
      <w:r w:rsidR="00763595" w:rsidRPr="00EF5A3A">
        <w:rPr>
          <w:color w:val="000000" w:themeColor="text1"/>
          <w:szCs w:val="26"/>
        </w:rPr>
        <w:t xml:space="preserve">) [“[t]he general rule is that although failure to file a notice of appeal is a jurisdictional defect that cannot be remedied, once a notice is filed it is to be construed liberally in favor of its sufficiency”].)  </w:t>
      </w:r>
      <w:r w:rsidR="00C71A4F" w:rsidRPr="00EF5A3A">
        <w:rPr>
          <w:color w:val="000000" w:themeColor="text1"/>
          <w:szCs w:val="26"/>
        </w:rPr>
        <w:t>O</w:t>
      </w:r>
      <w:r w:rsidR="00C7359B" w:rsidRPr="00EF5A3A">
        <w:rPr>
          <w:color w:val="000000" w:themeColor="text1"/>
          <w:szCs w:val="26"/>
        </w:rPr>
        <w:t>nce a notice</w:t>
      </w:r>
      <w:r w:rsidR="00962AED" w:rsidRPr="00EF5A3A">
        <w:rPr>
          <w:color w:val="000000" w:themeColor="text1"/>
          <w:szCs w:val="26"/>
        </w:rPr>
        <w:t xml:space="preserve"> of appeal</w:t>
      </w:r>
      <w:r w:rsidR="00C7359B" w:rsidRPr="00EF5A3A">
        <w:rPr>
          <w:color w:val="000000" w:themeColor="text1"/>
          <w:szCs w:val="26"/>
        </w:rPr>
        <w:t xml:space="preserve"> is timely filed, the </w:t>
      </w:r>
      <w:r w:rsidR="00763595" w:rsidRPr="00EF5A3A">
        <w:rPr>
          <w:color w:val="000000" w:themeColor="text1"/>
          <w:szCs w:val="26"/>
        </w:rPr>
        <w:t>liberal construction requirement</w:t>
      </w:r>
      <w:r w:rsidR="00C7359B" w:rsidRPr="00EF5A3A">
        <w:rPr>
          <w:color w:val="000000" w:themeColor="text1"/>
          <w:szCs w:val="26"/>
        </w:rPr>
        <w:t xml:space="preserve"> </w:t>
      </w:r>
      <w:r w:rsidR="00C037C3" w:rsidRPr="00EF5A3A">
        <w:rPr>
          <w:color w:val="000000" w:themeColor="text1"/>
          <w:szCs w:val="26"/>
        </w:rPr>
        <w:t>compels</w:t>
      </w:r>
      <w:r w:rsidR="00763595" w:rsidRPr="00EF5A3A">
        <w:rPr>
          <w:color w:val="000000" w:themeColor="text1"/>
          <w:szCs w:val="26"/>
        </w:rPr>
        <w:t xml:space="preserve"> a reviewing court </w:t>
      </w:r>
      <w:r w:rsidR="00C7359B" w:rsidRPr="00EF5A3A">
        <w:rPr>
          <w:color w:val="000000" w:themeColor="text1"/>
          <w:szCs w:val="26"/>
        </w:rPr>
        <w:t>to</w:t>
      </w:r>
      <w:r w:rsidR="00763595" w:rsidRPr="00EF5A3A">
        <w:rPr>
          <w:color w:val="000000" w:themeColor="text1"/>
          <w:szCs w:val="26"/>
        </w:rPr>
        <w:t xml:space="preserve"> evaluate whether</w:t>
      </w:r>
      <w:r w:rsidR="002D594D" w:rsidRPr="00EF5A3A">
        <w:rPr>
          <w:color w:val="000000" w:themeColor="text1"/>
          <w:szCs w:val="26"/>
        </w:rPr>
        <w:t xml:space="preserve"> the</w:t>
      </w:r>
      <w:r w:rsidR="00962AED" w:rsidRPr="00EF5A3A">
        <w:rPr>
          <w:color w:val="000000" w:themeColor="text1"/>
          <w:szCs w:val="26"/>
        </w:rPr>
        <w:t xml:space="preserve"> </w:t>
      </w:r>
      <w:r w:rsidR="002D594D" w:rsidRPr="00EF5A3A">
        <w:rPr>
          <w:color w:val="000000" w:themeColor="text1"/>
          <w:szCs w:val="26"/>
        </w:rPr>
        <w:t>notice</w:t>
      </w:r>
      <w:r w:rsidR="00763595" w:rsidRPr="00EF5A3A">
        <w:rPr>
          <w:color w:val="000000" w:themeColor="text1"/>
          <w:szCs w:val="26"/>
        </w:rPr>
        <w:t xml:space="preserve">, </w:t>
      </w:r>
      <w:r w:rsidR="00C7359B" w:rsidRPr="00EF5A3A">
        <w:rPr>
          <w:color w:val="000000" w:themeColor="text1"/>
          <w:szCs w:val="26"/>
        </w:rPr>
        <w:t>despite</w:t>
      </w:r>
      <w:r w:rsidR="00763595" w:rsidRPr="00EF5A3A">
        <w:rPr>
          <w:color w:val="000000" w:themeColor="text1"/>
          <w:szCs w:val="26"/>
        </w:rPr>
        <w:t xml:space="preserve"> </w:t>
      </w:r>
      <w:r w:rsidR="00C7359B" w:rsidRPr="00EF5A3A">
        <w:rPr>
          <w:color w:val="000000" w:themeColor="text1"/>
          <w:szCs w:val="26"/>
        </w:rPr>
        <w:t>any</w:t>
      </w:r>
      <w:r w:rsidR="00763595" w:rsidRPr="00EF5A3A">
        <w:rPr>
          <w:color w:val="000000" w:themeColor="text1"/>
          <w:szCs w:val="26"/>
        </w:rPr>
        <w:t xml:space="preserve"> </w:t>
      </w:r>
      <w:r w:rsidR="00A02540" w:rsidRPr="00EF5A3A">
        <w:rPr>
          <w:color w:val="000000" w:themeColor="text1"/>
          <w:szCs w:val="26"/>
        </w:rPr>
        <w:t xml:space="preserve">technical </w:t>
      </w:r>
      <w:r w:rsidR="00962AED" w:rsidRPr="00EF5A3A">
        <w:rPr>
          <w:color w:val="000000" w:themeColor="text1"/>
          <w:szCs w:val="26"/>
        </w:rPr>
        <w:t>defect</w:t>
      </w:r>
      <w:r w:rsidR="00763595" w:rsidRPr="00EF5A3A">
        <w:rPr>
          <w:color w:val="000000" w:themeColor="text1"/>
          <w:szCs w:val="26"/>
        </w:rPr>
        <w:t>,</w:t>
      </w:r>
      <w:r w:rsidR="002D594D" w:rsidRPr="00EF5A3A">
        <w:rPr>
          <w:color w:val="000000" w:themeColor="text1"/>
          <w:szCs w:val="26"/>
        </w:rPr>
        <w:t xml:space="preserve"> nonetheless </w:t>
      </w:r>
      <w:r w:rsidR="00763595" w:rsidRPr="00EF5A3A">
        <w:rPr>
          <w:color w:val="000000" w:themeColor="text1"/>
          <w:szCs w:val="26"/>
        </w:rPr>
        <w:t>serve</w:t>
      </w:r>
      <w:r w:rsidR="002D594D" w:rsidRPr="00EF5A3A">
        <w:rPr>
          <w:color w:val="000000" w:themeColor="text1"/>
          <w:szCs w:val="26"/>
        </w:rPr>
        <w:t>d</w:t>
      </w:r>
      <w:r w:rsidR="00763595" w:rsidRPr="00EF5A3A">
        <w:rPr>
          <w:color w:val="000000" w:themeColor="text1"/>
          <w:szCs w:val="26"/>
        </w:rPr>
        <w:t xml:space="preserve"> its </w:t>
      </w:r>
      <w:r w:rsidR="00C037C3" w:rsidRPr="00EF5A3A">
        <w:rPr>
          <w:color w:val="000000" w:themeColor="text1"/>
          <w:szCs w:val="26"/>
        </w:rPr>
        <w:t>basic</w:t>
      </w:r>
      <w:r w:rsidR="00763595" w:rsidRPr="00EF5A3A">
        <w:rPr>
          <w:color w:val="000000" w:themeColor="text1"/>
          <w:szCs w:val="26"/>
        </w:rPr>
        <w:t xml:space="preserve"> </w:t>
      </w:r>
      <w:r w:rsidR="00C7359B" w:rsidRPr="00EF5A3A">
        <w:rPr>
          <w:color w:val="000000" w:themeColor="text1"/>
          <w:szCs w:val="26"/>
        </w:rPr>
        <w:t>function</w:t>
      </w:r>
      <w:r w:rsidR="00440FD3" w:rsidRPr="00EF5A3A">
        <w:rPr>
          <w:color w:val="000000" w:themeColor="text1"/>
          <w:szCs w:val="26"/>
        </w:rPr>
        <w:t xml:space="preserve"> — to </w:t>
      </w:r>
      <w:r w:rsidR="002018D9" w:rsidRPr="00EF5A3A">
        <w:rPr>
          <w:color w:val="000000" w:themeColor="text1"/>
          <w:szCs w:val="26"/>
        </w:rPr>
        <w:t>provide notice of</w:t>
      </w:r>
      <w:r w:rsidR="00C037C3" w:rsidRPr="00EF5A3A">
        <w:rPr>
          <w:color w:val="000000" w:themeColor="text1"/>
          <w:szCs w:val="26"/>
        </w:rPr>
        <w:t xml:space="preserve"> who is </w:t>
      </w:r>
      <w:r w:rsidR="002018D9" w:rsidRPr="00EF5A3A">
        <w:rPr>
          <w:color w:val="000000" w:themeColor="text1"/>
          <w:szCs w:val="26"/>
        </w:rPr>
        <w:t xml:space="preserve">seeking review </w:t>
      </w:r>
      <w:r w:rsidR="00663554" w:rsidRPr="00EF5A3A">
        <w:rPr>
          <w:color w:val="000000" w:themeColor="text1"/>
          <w:szCs w:val="26"/>
        </w:rPr>
        <w:t xml:space="preserve">of </w:t>
      </w:r>
      <w:r w:rsidR="00962AED" w:rsidRPr="00EF5A3A">
        <w:rPr>
          <w:color w:val="000000" w:themeColor="text1"/>
          <w:szCs w:val="26"/>
        </w:rPr>
        <w:t>what order or judgment</w:t>
      </w:r>
      <w:r w:rsidR="00C037C3" w:rsidRPr="00EF5A3A">
        <w:rPr>
          <w:color w:val="000000" w:themeColor="text1"/>
          <w:szCs w:val="26"/>
        </w:rPr>
        <w:t xml:space="preserve"> — so as to properly invoke appellate jurisdiction</w:t>
      </w:r>
      <w:r w:rsidRPr="00EF5A3A">
        <w:rPr>
          <w:color w:val="000000" w:themeColor="text1"/>
          <w:szCs w:val="26"/>
        </w:rPr>
        <w:t xml:space="preserve">. </w:t>
      </w:r>
    </w:p>
    <w:p w14:paraId="76A5E683" w14:textId="02B86F2F" w:rsidR="004A2F88" w:rsidRPr="00EF5A3A" w:rsidRDefault="003C70D2" w:rsidP="00EF5A3A">
      <w:pPr>
        <w:ind w:firstLine="720"/>
        <w:rPr>
          <w:color w:val="000000" w:themeColor="text1"/>
          <w:szCs w:val="26"/>
        </w:rPr>
      </w:pPr>
      <w:r w:rsidRPr="00EF5A3A">
        <w:rPr>
          <w:color w:val="000000" w:themeColor="text1"/>
          <w:szCs w:val="26"/>
        </w:rPr>
        <w:lastRenderedPageBreak/>
        <w:t>I</w:t>
      </w:r>
      <w:r w:rsidR="00564553" w:rsidRPr="00EF5A3A">
        <w:rPr>
          <w:color w:val="000000" w:themeColor="text1"/>
          <w:szCs w:val="26"/>
        </w:rPr>
        <w:t xml:space="preserve">n </w:t>
      </w:r>
      <w:r w:rsidR="00564553" w:rsidRPr="00EF5A3A">
        <w:rPr>
          <w:i/>
          <w:iCs/>
          <w:color w:val="000000" w:themeColor="text1"/>
          <w:szCs w:val="26"/>
        </w:rPr>
        <w:t>Chung Sing v. Southern Pac</w:t>
      </w:r>
      <w:r w:rsidR="00236337" w:rsidRPr="00EF5A3A">
        <w:rPr>
          <w:i/>
          <w:iCs/>
          <w:color w:val="000000" w:themeColor="text1"/>
          <w:szCs w:val="26"/>
        </w:rPr>
        <w:t xml:space="preserve">ific </w:t>
      </w:r>
      <w:r w:rsidR="00564553" w:rsidRPr="00EF5A3A">
        <w:rPr>
          <w:i/>
          <w:iCs/>
          <w:color w:val="000000" w:themeColor="text1"/>
          <w:szCs w:val="26"/>
        </w:rPr>
        <w:t>Co.</w:t>
      </w:r>
      <w:r w:rsidR="00564553" w:rsidRPr="00EF5A3A">
        <w:rPr>
          <w:color w:val="000000" w:themeColor="text1"/>
          <w:szCs w:val="26"/>
        </w:rPr>
        <w:t xml:space="preserve"> (1918) </w:t>
      </w:r>
      <w:bookmarkStart w:id="6" w:name="_Hlk17448008"/>
      <w:r w:rsidR="00564553" w:rsidRPr="00EF5A3A">
        <w:rPr>
          <w:color w:val="000000" w:themeColor="text1"/>
          <w:szCs w:val="26"/>
        </w:rPr>
        <w:t>178 Cal. 261</w:t>
      </w:r>
      <w:bookmarkEnd w:id="6"/>
      <w:r w:rsidR="00D64C26" w:rsidRPr="00EF5A3A">
        <w:rPr>
          <w:color w:val="000000" w:themeColor="text1"/>
          <w:szCs w:val="26"/>
        </w:rPr>
        <w:t xml:space="preserve"> (</w:t>
      </w:r>
      <w:r w:rsidR="00D64C26" w:rsidRPr="00EF5A3A">
        <w:rPr>
          <w:i/>
          <w:iCs/>
          <w:color w:val="000000" w:themeColor="text1"/>
          <w:szCs w:val="26"/>
        </w:rPr>
        <w:t>Chung Sin</w:t>
      </w:r>
      <w:r w:rsidR="009D0A87" w:rsidRPr="00EF5A3A">
        <w:rPr>
          <w:i/>
          <w:iCs/>
          <w:color w:val="000000" w:themeColor="text1"/>
          <w:szCs w:val="26"/>
        </w:rPr>
        <w:t>g</w:t>
      </w:r>
      <w:r w:rsidR="00D64C26" w:rsidRPr="00EF5A3A">
        <w:rPr>
          <w:color w:val="000000" w:themeColor="text1"/>
          <w:szCs w:val="26"/>
        </w:rPr>
        <w:t>)</w:t>
      </w:r>
      <w:r w:rsidR="00564553" w:rsidRPr="00EF5A3A">
        <w:rPr>
          <w:color w:val="000000" w:themeColor="text1"/>
          <w:szCs w:val="26"/>
        </w:rPr>
        <w:t xml:space="preserve">, </w:t>
      </w:r>
      <w:r w:rsidR="00D64C26" w:rsidRPr="00EF5A3A">
        <w:rPr>
          <w:color w:val="000000" w:themeColor="text1"/>
          <w:szCs w:val="26"/>
        </w:rPr>
        <w:t>we</w:t>
      </w:r>
      <w:r w:rsidR="00A4446A" w:rsidRPr="00EF5A3A">
        <w:rPr>
          <w:color w:val="000000" w:themeColor="text1"/>
          <w:szCs w:val="26"/>
        </w:rPr>
        <w:t xml:space="preserve"> </w:t>
      </w:r>
      <w:r w:rsidR="00055084" w:rsidRPr="00EF5A3A">
        <w:rPr>
          <w:color w:val="000000" w:themeColor="text1"/>
          <w:szCs w:val="26"/>
        </w:rPr>
        <w:t xml:space="preserve">applied the </w:t>
      </w:r>
      <w:r w:rsidR="00C3056A" w:rsidRPr="00EF5A3A">
        <w:rPr>
          <w:color w:val="000000" w:themeColor="text1"/>
          <w:szCs w:val="26"/>
        </w:rPr>
        <w:t>liberal const</w:t>
      </w:r>
      <w:r w:rsidR="002A272A" w:rsidRPr="00EF5A3A">
        <w:rPr>
          <w:color w:val="000000" w:themeColor="text1"/>
          <w:szCs w:val="26"/>
        </w:rPr>
        <w:t>ruction requirement</w:t>
      </w:r>
      <w:r w:rsidR="004A2F88" w:rsidRPr="00EF5A3A">
        <w:rPr>
          <w:color w:val="000000" w:themeColor="text1"/>
          <w:szCs w:val="26"/>
        </w:rPr>
        <w:t xml:space="preserve"> </w:t>
      </w:r>
      <w:r w:rsidR="004C0420" w:rsidRPr="00EF5A3A">
        <w:rPr>
          <w:color w:val="000000" w:themeColor="text1"/>
          <w:szCs w:val="26"/>
        </w:rPr>
        <w:t>to</w:t>
      </w:r>
      <w:r w:rsidR="00C1183A" w:rsidRPr="00EF5A3A">
        <w:rPr>
          <w:color w:val="000000" w:themeColor="text1"/>
          <w:szCs w:val="26"/>
        </w:rPr>
        <w:t xml:space="preserve"> </w:t>
      </w:r>
      <w:r w:rsidR="00CE15BC" w:rsidRPr="00EF5A3A">
        <w:rPr>
          <w:color w:val="000000" w:themeColor="text1"/>
          <w:szCs w:val="26"/>
        </w:rPr>
        <w:t xml:space="preserve">a </w:t>
      </w:r>
      <w:r w:rsidR="00452149" w:rsidRPr="00EF5A3A">
        <w:rPr>
          <w:color w:val="000000" w:themeColor="text1"/>
          <w:szCs w:val="26"/>
        </w:rPr>
        <w:t>notice of appeal that had misnamed one</w:t>
      </w:r>
      <w:r w:rsidR="00D33419" w:rsidRPr="00EF5A3A">
        <w:rPr>
          <w:color w:val="000000" w:themeColor="text1"/>
          <w:szCs w:val="26"/>
        </w:rPr>
        <w:t xml:space="preserve"> </w:t>
      </w:r>
      <w:r w:rsidR="00452149" w:rsidRPr="00EF5A3A">
        <w:rPr>
          <w:color w:val="000000" w:themeColor="text1"/>
          <w:szCs w:val="26"/>
        </w:rPr>
        <w:t>of the appealing parties</w:t>
      </w:r>
      <w:r w:rsidR="00654A86" w:rsidRPr="00EF5A3A">
        <w:rPr>
          <w:color w:val="000000" w:themeColor="text1"/>
          <w:szCs w:val="26"/>
        </w:rPr>
        <w:t xml:space="preserve">.  </w:t>
      </w:r>
      <w:r w:rsidR="004338DD" w:rsidRPr="00EF5A3A">
        <w:rPr>
          <w:color w:val="000000" w:themeColor="text1"/>
          <w:szCs w:val="26"/>
        </w:rPr>
        <w:t xml:space="preserve">The plaintiff in </w:t>
      </w:r>
      <w:r w:rsidR="004338DD" w:rsidRPr="00EF5A3A">
        <w:rPr>
          <w:i/>
          <w:iCs/>
          <w:color w:val="000000" w:themeColor="text1"/>
          <w:szCs w:val="26"/>
        </w:rPr>
        <w:t>Chung Sing</w:t>
      </w:r>
      <w:r w:rsidR="004338DD" w:rsidRPr="00EF5A3A">
        <w:rPr>
          <w:color w:val="000000" w:themeColor="text1"/>
          <w:szCs w:val="26"/>
        </w:rPr>
        <w:t xml:space="preserve"> obtained </w:t>
      </w:r>
      <w:r w:rsidR="00654A86" w:rsidRPr="00EF5A3A">
        <w:rPr>
          <w:color w:val="000000" w:themeColor="text1"/>
          <w:szCs w:val="26"/>
        </w:rPr>
        <w:t xml:space="preserve">a </w:t>
      </w:r>
      <w:r w:rsidR="00012DE1" w:rsidRPr="00EF5A3A">
        <w:rPr>
          <w:color w:val="000000" w:themeColor="text1"/>
          <w:szCs w:val="26"/>
        </w:rPr>
        <w:t>judgment against three defendants, Southern Pacific Company, H.</w:t>
      </w:r>
      <w:r w:rsidR="00C01A98" w:rsidRPr="00EF5A3A">
        <w:rPr>
          <w:color w:val="000000" w:themeColor="text1"/>
          <w:szCs w:val="26"/>
        </w:rPr>
        <w:t xml:space="preserve"> </w:t>
      </w:r>
      <w:r w:rsidR="00012DE1" w:rsidRPr="00EF5A3A">
        <w:rPr>
          <w:color w:val="000000" w:themeColor="text1"/>
          <w:szCs w:val="26"/>
        </w:rPr>
        <w:t>W. Crumri</w:t>
      </w:r>
      <w:r w:rsidR="00CB704D" w:rsidRPr="00EF5A3A">
        <w:rPr>
          <w:color w:val="000000" w:themeColor="text1"/>
          <w:szCs w:val="26"/>
        </w:rPr>
        <w:t>n</w:t>
      </w:r>
      <w:r w:rsidR="00012DE1" w:rsidRPr="00EF5A3A">
        <w:rPr>
          <w:color w:val="000000" w:themeColor="text1"/>
          <w:szCs w:val="26"/>
        </w:rPr>
        <w:t xml:space="preserve">e and George Blackburn.  </w:t>
      </w:r>
      <w:r w:rsidR="00E46AE3" w:rsidRPr="00EF5A3A">
        <w:rPr>
          <w:color w:val="000000" w:themeColor="text1"/>
          <w:szCs w:val="26"/>
        </w:rPr>
        <w:t>Defendants’ counsel filed</w:t>
      </w:r>
      <w:r w:rsidR="00012DE1" w:rsidRPr="00EF5A3A">
        <w:rPr>
          <w:color w:val="000000" w:themeColor="text1"/>
          <w:szCs w:val="26"/>
        </w:rPr>
        <w:t xml:space="preserve"> </w:t>
      </w:r>
      <w:r w:rsidR="00E46AE3" w:rsidRPr="00EF5A3A">
        <w:rPr>
          <w:color w:val="000000" w:themeColor="text1"/>
          <w:szCs w:val="26"/>
        </w:rPr>
        <w:t xml:space="preserve">a </w:t>
      </w:r>
      <w:r w:rsidR="00012DE1" w:rsidRPr="00EF5A3A">
        <w:rPr>
          <w:color w:val="000000" w:themeColor="text1"/>
          <w:szCs w:val="26"/>
        </w:rPr>
        <w:t>notice of appeal</w:t>
      </w:r>
      <w:r w:rsidR="00947F9B" w:rsidRPr="00EF5A3A">
        <w:rPr>
          <w:color w:val="000000" w:themeColor="text1"/>
          <w:szCs w:val="26"/>
        </w:rPr>
        <w:t xml:space="preserve"> that</w:t>
      </w:r>
      <w:r w:rsidR="00E142DA" w:rsidRPr="00EF5A3A">
        <w:rPr>
          <w:color w:val="000000" w:themeColor="text1"/>
          <w:szCs w:val="26"/>
        </w:rPr>
        <w:t xml:space="preserve"> correctly listed two of</w:t>
      </w:r>
      <w:r w:rsidR="004338DD" w:rsidRPr="00EF5A3A">
        <w:rPr>
          <w:color w:val="000000" w:themeColor="text1"/>
          <w:szCs w:val="26"/>
        </w:rPr>
        <w:t xml:space="preserve"> </w:t>
      </w:r>
      <w:r w:rsidR="00012DE1" w:rsidRPr="00EF5A3A">
        <w:rPr>
          <w:color w:val="000000" w:themeColor="text1"/>
          <w:szCs w:val="26"/>
        </w:rPr>
        <w:t>the</w:t>
      </w:r>
      <w:r w:rsidR="00654A86" w:rsidRPr="00EF5A3A">
        <w:rPr>
          <w:color w:val="000000" w:themeColor="text1"/>
          <w:szCs w:val="26"/>
        </w:rPr>
        <w:t xml:space="preserve"> appe</w:t>
      </w:r>
      <w:r w:rsidR="00452149" w:rsidRPr="00EF5A3A">
        <w:rPr>
          <w:color w:val="000000" w:themeColor="text1"/>
          <w:szCs w:val="26"/>
        </w:rPr>
        <w:t>llants</w:t>
      </w:r>
      <w:r w:rsidR="00E142DA" w:rsidRPr="00EF5A3A">
        <w:rPr>
          <w:color w:val="000000" w:themeColor="text1"/>
          <w:szCs w:val="26"/>
        </w:rPr>
        <w:t xml:space="preserve"> — </w:t>
      </w:r>
      <w:r w:rsidR="00012DE1" w:rsidRPr="00EF5A3A">
        <w:rPr>
          <w:color w:val="000000" w:themeColor="text1"/>
          <w:szCs w:val="26"/>
        </w:rPr>
        <w:t>Southern Pacific</w:t>
      </w:r>
      <w:r w:rsidR="009D0A87" w:rsidRPr="00EF5A3A">
        <w:rPr>
          <w:color w:val="000000" w:themeColor="text1"/>
          <w:szCs w:val="26"/>
        </w:rPr>
        <w:t xml:space="preserve"> Company</w:t>
      </w:r>
      <w:r w:rsidR="00E142DA" w:rsidRPr="00EF5A3A">
        <w:rPr>
          <w:color w:val="000000" w:themeColor="text1"/>
          <w:szCs w:val="26"/>
        </w:rPr>
        <w:t xml:space="preserve"> and</w:t>
      </w:r>
      <w:r w:rsidR="00012DE1" w:rsidRPr="00EF5A3A">
        <w:rPr>
          <w:color w:val="000000" w:themeColor="text1"/>
          <w:szCs w:val="26"/>
        </w:rPr>
        <w:t xml:space="preserve"> H. W. Crumri</w:t>
      </w:r>
      <w:r w:rsidR="00CB704D" w:rsidRPr="00EF5A3A">
        <w:rPr>
          <w:color w:val="000000" w:themeColor="text1"/>
          <w:szCs w:val="26"/>
        </w:rPr>
        <w:t>n</w:t>
      </w:r>
      <w:r w:rsidR="00D64C26" w:rsidRPr="00EF5A3A">
        <w:rPr>
          <w:color w:val="000000" w:themeColor="text1"/>
          <w:szCs w:val="26"/>
        </w:rPr>
        <w:t>e</w:t>
      </w:r>
      <w:r w:rsidR="00E142DA" w:rsidRPr="00EF5A3A">
        <w:rPr>
          <w:color w:val="000000" w:themeColor="text1"/>
          <w:szCs w:val="26"/>
        </w:rPr>
        <w:t xml:space="preserve"> — but erroneously listed the third appellant as</w:t>
      </w:r>
      <w:r w:rsidR="00012DE1" w:rsidRPr="00EF5A3A">
        <w:rPr>
          <w:color w:val="000000" w:themeColor="text1"/>
          <w:szCs w:val="26"/>
        </w:rPr>
        <w:t xml:space="preserve"> C. A. Burton</w:t>
      </w:r>
      <w:r w:rsidR="00E142DA" w:rsidRPr="00EF5A3A">
        <w:rPr>
          <w:color w:val="000000" w:themeColor="text1"/>
          <w:szCs w:val="26"/>
        </w:rPr>
        <w:t xml:space="preserve">, rather than </w:t>
      </w:r>
      <w:r w:rsidR="00D64C26" w:rsidRPr="00EF5A3A">
        <w:rPr>
          <w:color w:val="000000" w:themeColor="text1"/>
          <w:szCs w:val="26"/>
        </w:rPr>
        <w:t xml:space="preserve">George Blackburn.  </w:t>
      </w:r>
      <w:r w:rsidR="00E142DA" w:rsidRPr="00EF5A3A">
        <w:rPr>
          <w:color w:val="000000" w:themeColor="text1"/>
          <w:szCs w:val="26"/>
        </w:rPr>
        <w:t>T</w:t>
      </w:r>
      <w:r w:rsidR="00812796" w:rsidRPr="00EF5A3A">
        <w:rPr>
          <w:color w:val="000000" w:themeColor="text1"/>
          <w:szCs w:val="26"/>
        </w:rPr>
        <w:t>he</w:t>
      </w:r>
      <w:r w:rsidR="00977180" w:rsidRPr="00EF5A3A">
        <w:rPr>
          <w:color w:val="000000" w:themeColor="text1"/>
          <w:szCs w:val="26"/>
        </w:rPr>
        <w:t xml:space="preserve"> p</w:t>
      </w:r>
      <w:r w:rsidR="00FA279E" w:rsidRPr="00EF5A3A">
        <w:rPr>
          <w:color w:val="000000" w:themeColor="text1"/>
          <w:szCs w:val="26"/>
        </w:rPr>
        <w:t>laintiff argued that</w:t>
      </w:r>
      <w:r w:rsidR="00977180" w:rsidRPr="00EF5A3A">
        <w:rPr>
          <w:color w:val="000000" w:themeColor="text1"/>
          <w:szCs w:val="26"/>
        </w:rPr>
        <w:t xml:space="preserve"> </w:t>
      </w:r>
      <w:r w:rsidR="00236337" w:rsidRPr="00EF5A3A">
        <w:rPr>
          <w:color w:val="000000" w:themeColor="text1"/>
          <w:szCs w:val="26"/>
        </w:rPr>
        <w:t xml:space="preserve">defendant </w:t>
      </w:r>
      <w:r w:rsidR="00012DE1" w:rsidRPr="00EF5A3A">
        <w:rPr>
          <w:color w:val="000000" w:themeColor="text1"/>
          <w:szCs w:val="26"/>
        </w:rPr>
        <w:t>Blackburn</w:t>
      </w:r>
      <w:r w:rsidR="00364545" w:rsidRPr="00EF5A3A">
        <w:rPr>
          <w:color w:val="000000" w:themeColor="text1"/>
          <w:szCs w:val="26"/>
        </w:rPr>
        <w:t xml:space="preserve"> </w:t>
      </w:r>
      <w:r w:rsidR="00FA279E" w:rsidRPr="00EF5A3A">
        <w:rPr>
          <w:color w:val="000000" w:themeColor="text1"/>
          <w:szCs w:val="26"/>
        </w:rPr>
        <w:t xml:space="preserve">should be </w:t>
      </w:r>
      <w:r w:rsidR="00D64C26" w:rsidRPr="00EF5A3A">
        <w:rPr>
          <w:color w:val="000000" w:themeColor="text1"/>
          <w:szCs w:val="26"/>
        </w:rPr>
        <w:t>dismiss</w:t>
      </w:r>
      <w:r w:rsidR="00364545" w:rsidRPr="00EF5A3A">
        <w:rPr>
          <w:color w:val="000000" w:themeColor="text1"/>
          <w:szCs w:val="26"/>
        </w:rPr>
        <w:t xml:space="preserve">ed from the </w:t>
      </w:r>
      <w:r w:rsidR="00D64C26" w:rsidRPr="00EF5A3A">
        <w:rPr>
          <w:color w:val="000000" w:themeColor="text1"/>
          <w:szCs w:val="26"/>
        </w:rPr>
        <w:t>appeal</w:t>
      </w:r>
      <w:r w:rsidR="00C71A4F" w:rsidRPr="00EF5A3A">
        <w:rPr>
          <w:color w:val="000000" w:themeColor="text1"/>
          <w:szCs w:val="26"/>
        </w:rPr>
        <w:t xml:space="preserve"> </w:t>
      </w:r>
      <w:r w:rsidR="00E142DA" w:rsidRPr="00EF5A3A">
        <w:rPr>
          <w:color w:val="000000" w:themeColor="text1"/>
          <w:szCs w:val="26"/>
        </w:rPr>
        <w:t>b</w:t>
      </w:r>
      <w:r w:rsidR="00C71A4F" w:rsidRPr="00EF5A3A">
        <w:rPr>
          <w:color w:val="000000" w:themeColor="text1"/>
          <w:szCs w:val="26"/>
        </w:rPr>
        <w:t xml:space="preserve">ecause he was not referenced in the </w:t>
      </w:r>
      <w:r w:rsidR="00E142DA" w:rsidRPr="00EF5A3A">
        <w:rPr>
          <w:color w:val="000000" w:themeColor="text1"/>
          <w:szCs w:val="26"/>
        </w:rPr>
        <w:t>notice</w:t>
      </w:r>
      <w:r w:rsidR="00012DE1" w:rsidRPr="00EF5A3A">
        <w:rPr>
          <w:color w:val="000000" w:themeColor="text1"/>
          <w:szCs w:val="26"/>
        </w:rPr>
        <w:t xml:space="preserve">.  </w:t>
      </w:r>
    </w:p>
    <w:p w14:paraId="55891B43" w14:textId="43449FFC" w:rsidR="00564553" w:rsidRPr="00EF5A3A" w:rsidRDefault="00364545" w:rsidP="00EF5A3A">
      <w:pPr>
        <w:ind w:firstLine="720"/>
        <w:rPr>
          <w:color w:val="000000" w:themeColor="text1"/>
          <w:szCs w:val="26"/>
        </w:rPr>
      </w:pPr>
      <w:r w:rsidRPr="00EF5A3A">
        <w:rPr>
          <w:color w:val="000000" w:themeColor="text1"/>
          <w:szCs w:val="26"/>
        </w:rPr>
        <w:t xml:space="preserve">We </w:t>
      </w:r>
      <w:r w:rsidR="00977180" w:rsidRPr="00EF5A3A">
        <w:rPr>
          <w:color w:val="000000" w:themeColor="text1"/>
          <w:szCs w:val="26"/>
        </w:rPr>
        <w:t>rejected that argument</w:t>
      </w:r>
      <w:r w:rsidR="00FA279E" w:rsidRPr="00EF5A3A">
        <w:rPr>
          <w:color w:val="000000" w:themeColor="text1"/>
          <w:szCs w:val="26"/>
        </w:rPr>
        <w:t xml:space="preserve">, </w:t>
      </w:r>
      <w:r w:rsidRPr="00EF5A3A">
        <w:rPr>
          <w:color w:val="000000" w:themeColor="text1"/>
          <w:szCs w:val="26"/>
        </w:rPr>
        <w:t>concluding that</w:t>
      </w:r>
      <w:r w:rsidR="009D0A87" w:rsidRPr="00EF5A3A">
        <w:rPr>
          <w:color w:val="000000" w:themeColor="text1"/>
          <w:szCs w:val="26"/>
        </w:rPr>
        <w:t xml:space="preserve"> “[i]t [was] perfectly apparent from the notice, </w:t>
      </w:r>
      <w:r w:rsidR="00D64C26" w:rsidRPr="00EF5A3A">
        <w:rPr>
          <w:color w:val="000000" w:themeColor="text1"/>
          <w:szCs w:val="26"/>
        </w:rPr>
        <w:t>when read in connection with the record,</w:t>
      </w:r>
      <w:r w:rsidR="009D0A87" w:rsidRPr="00EF5A3A">
        <w:rPr>
          <w:color w:val="000000" w:themeColor="text1"/>
          <w:szCs w:val="26"/>
        </w:rPr>
        <w:t xml:space="preserve"> that</w:t>
      </w:r>
      <w:r w:rsidR="009B416A" w:rsidRPr="00EF5A3A">
        <w:rPr>
          <w:color w:val="000000" w:themeColor="text1"/>
          <w:szCs w:val="26"/>
        </w:rPr>
        <w:t xml:space="preserve"> such notice was filed on behalf of [defendant Blackburn]</w:t>
      </w:r>
      <w:r w:rsidR="00D935F6" w:rsidRPr="00EF5A3A">
        <w:rPr>
          <w:color w:val="000000" w:themeColor="text1"/>
          <w:szCs w:val="26"/>
        </w:rPr>
        <w:t xml:space="preserve"> </w:t>
      </w:r>
      <w:r w:rsidR="009B416A" w:rsidRPr="00EF5A3A">
        <w:rPr>
          <w:color w:val="000000" w:themeColor="text1"/>
          <w:szCs w:val="26"/>
        </w:rPr>
        <w:t>.</w:t>
      </w:r>
      <w:r w:rsidR="002A272A" w:rsidRPr="00EF5A3A">
        <w:rPr>
          <w:color w:val="000000" w:themeColor="text1"/>
          <w:szCs w:val="26"/>
        </w:rPr>
        <w:t xml:space="preserve"> . . .</w:t>
      </w:r>
      <w:r w:rsidR="009B416A" w:rsidRPr="00EF5A3A">
        <w:rPr>
          <w:color w:val="000000" w:themeColor="text1"/>
          <w:szCs w:val="26"/>
        </w:rPr>
        <w:t>”  (</w:t>
      </w:r>
      <w:r w:rsidR="004338DD" w:rsidRPr="00EF5A3A">
        <w:rPr>
          <w:i/>
          <w:iCs/>
          <w:color w:val="000000" w:themeColor="text1"/>
          <w:szCs w:val="26"/>
        </w:rPr>
        <w:t>Chung Sing</w:t>
      </w:r>
      <w:r w:rsidR="001C0487" w:rsidRPr="00EF5A3A">
        <w:rPr>
          <w:i/>
          <w:iCs/>
          <w:color w:val="000000" w:themeColor="text1"/>
          <w:szCs w:val="26"/>
        </w:rPr>
        <w:t>, supra</w:t>
      </w:r>
      <w:r w:rsidR="004338DD" w:rsidRPr="00EF5A3A">
        <w:rPr>
          <w:i/>
          <w:iCs/>
          <w:color w:val="000000" w:themeColor="text1"/>
          <w:szCs w:val="26"/>
        </w:rPr>
        <w:t xml:space="preserve">, </w:t>
      </w:r>
      <w:r w:rsidR="004338DD" w:rsidRPr="00EF5A3A">
        <w:rPr>
          <w:color w:val="000000" w:themeColor="text1"/>
          <w:szCs w:val="26"/>
        </w:rPr>
        <w:t>178 Cal</w:t>
      </w:r>
      <w:r w:rsidR="00947F9B" w:rsidRPr="00EF5A3A">
        <w:rPr>
          <w:color w:val="000000" w:themeColor="text1"/>
          <w:szCs w:val="26"/>
        </w:rPr>
        <w:t>.</w:t>
      </w:r>
      <w:r w:rsidR="009B416A" w:rsidRPr="00EF5A3A">
        <w:rPr>
          <w:color w:val="000000" w:themeColor="text1"/>
          <w:szCs w:val="26"/>
        </w:rPr>
        <w:t xml:space="preserve"> at p</w:t>
      </w:r>
      <w:r w:rsidR="00D935F6" w:rsidRPr="00EF5A3A">
        <w:rPr>
          <w:color w:val="000000" w:themeColor="text1"/>
          <w:szCs w:val="26"/>
        </w:rPr>
        <w:t>. </w:t>
      </w:r>
      <w:r w:rsidR="009B416A" w:rsidRPr="00EF5A3A">
        <w:rPr>
          <w:color w:val="000000" w:themeColor="text1"/>
          <w:szCs w:val="26"/>
        </w:rPr>
        <w:t xml:space="preserve">263.)  </w:t>
      </w:r>
      <w:r w:rsidR="004A27E1" w:rsidRPr="00EF5A3A">
        <w:rPr>
          <w:color w:val="000000" w:themeColor="text1"/>
          <w:szCs w:val="26"/>
        </w:rPr>
        <w:t>We</w:t>
      </w:r>
      <w:r w:rsidR="006F24C3" w:rsidRPr="00EF5A3A">
        <w:rPr>
          <w:color w:val="000000" w:themeColor="text1"/>
          <w:szCs w:val="26"/>
        </w:rPr>
        <w:t xml:space="preserve"> noted</w:t>
      </w:r>
      <w:r w:rsidR="00D64C26" w:rsidRPr="00EF5A3A">
        <w:rPr>
          <w:color w:val="000000" w:themeColor="text1"/>
          <w:szCs w:val="26"/>
        </w:rPr>
        <w:t xml:space="preserve"> that</w:t>
      </w:r>
      <w:r w:rsidR="00CB704D" w:rsidRPr="00EF5A3A">
        <w:rPr>
          <w:color w:val="000000" w:themeColor="text1"/>
          <w:szCs w:val="26"/>
        </w:rPr>
        <w:t xml:space="preserve"> </w:t>
      </w:r>
      <w:r w:rsidR="00494569" w:rsidRPr="00EF5A3A">
        <w:rPr>
          <w:color w:val="000000" w:themeColor="text1"/>
          <w:szCs w:val="26"/>
        </w:rPr>
        <w:t xml:space="preserve">Blackburn </w:t>
      </w:r>
      <w:r w:rsidR="00E46AE3" w:rsidRPr="00EF5A3A">
        <w:rPr>
          <w:color w:val="000000" w:themeColor="text1"/>
          <w:szCs w:val="26"/>
        </w:rPr>
        <w:t>was</w:t>
      </w:r>
      <w:r w:rsidR="00452149" w:rsidRPr="00EF5A3A">
        <w:rPr>
          <w:color w:val="000000" w:themeColor="text1"/>
          <w:szCs w:val="26"/>
        </w:rPr>
        <w:t xml:space="preserve"> one of the parties who had been</w:t>
      </w:r>
      <w:r w:rsidR="002A272A" w:rsidRPr="00EF5A3A">
        <w:rPr>
          <w:color w:val="000000" w:themeColor="text1"/>
          <w:szCs w:val="26"/>
        </w:rPr>
        <w:t xml:space="preserve"> </w:t>
      </w:r>
      <w:r w:rsidR="00947F9B" w:rsidRPr="00EF5A3A">
        <w:rPr>
          <w:color w:val="000000" w:themeColor="text1"/>
          <w:szCs w:val="26"/>
        </w:rPr>
        <w:t xml:space="preserve">named </w:t>
      </w:r>
      <w:r w:rsidR="007C2708" w:rsidRPr="00EF5A3A">
        <w:rPr>
          <w:color w:val="000000" w:themeColor="text1"/>
          <w:szCs w:val="26"/>
        </w:rPr>
        <w:t>in the</w:t>
      </w:r>
      <w:r w:rsidR="00947F9B" w:rsidRPr="00EF5A3A">
        <w:rPr>
          <w:color w:val="000000" w:themeColor="text1"/>
          <w:szCs w:val="26"/>
        </w:rPr>
        <w:t xml:space="preserve"> challenged</w:t>
      </w:r>
      <w:r w:rsidR="007C2708" w:rsidRPr="00EF5A3A">
        <w:rPr>
          <w:color w:val="000000" w:themeColor="text1"/>
          <w:szCs w:val="26"/>
        </w:rPr>
        <w:t xml:space="preserve"> judgment</w:t>
      </w:r>
      <w:r w:rsidR="00947F9B" w:rsidRPr="00EF5A3A">
        <w:rPr>
          <w:color w:val="000000" w:themeColor="text1"/>
          <w:szCs w:val="26"/>
        </w:rPr>
        <w:t xml:space="preserve">, </w:t>
      </w:r>
      <w:r w:rsidR="007C2708" w:rsidRPr="00EF5A3A">
        <w:rPr>
          <w:color w:val="000000" w:themeColor="text1"/>
          <w:szCs w:val="26"/>
        </w:rPr>
        <w:t xml:space="preserve">and that </w:t>
      </w:r>
      <w:r w:rsidR="00494569" w:rsidRPr="00EF5A3A">
        <w:rPr>
          <w:color w:val="000000" w:themeColor="text1"/>
          <w:szCs w:val="26"/>
        </w:rPr>
        <w:t>“</w:t>
      </w:r>
      <w:r w:rsidR="007C2708" w:rsidRPr="00EF5A3A">
        <w:rPr>
          <w:color w:val="000000" w:themeColor="text1"/>
          <w:szCs w:val="26"/>
        </w:rPr>
        <w:t xml:space="preserve">no one named Burton was involved therein.” </w:t>
      </w:r>
      <w:r w:rsidR="009B416A" w:rsidRPr="00EF5A3A">
        <w:rPr>
          <w:color w:val="000000" w:themeColor="text1"/>
          <w:szCs w:val="26"/>
        </w:rPr>
        <w:t xml:space="preserve"> (</w:t>
      </w:r>
      <w:r w:rsidR="009B416A" w:rsidRPr="00EF5A3A">
        <w:rPr>
          <w:i/>
          <w:iCs/>
          <w:color w:val="000000" w:themeColor="text1"/>
          <w:szCs w:val="26"/>
        </w:rPr>
        <w:t>I</w:t>
      </w:r>
      <w:r w:rsidR="00E2038E">
        <w:rPr>
          <w:i/>
          <w:iCs/>
          <w:color w:val="000000" w:themeColor="text1"/>
          <w:szCs w:val="26"/>
        </w:rPr>
        <w:t>bi</w:t>
      </w:r>
      <w:r w:rsidR="009B416A" w:rsidRPr="00EF5A3A">
        <w:rPr>
          <w:i/>
          <w:iCs/>
          <w:color w:val="000000" w:themeColor="text1"/>
          <w:szCs w:val="26"/>
        </w:rPr>
        <w:t>d</w:t>
      </w:r>
      <w:r w:rsidR="009B416A" w:rsidRPr="00EF5A3A">
        <w:rPr>
          <w:color w:val="000000" w:themeColor="text1"/>
          <w:szCs w:val="26"/>
        </w:rPr>
        <w:t xml:space="preserve">.) </w:t>
      </w:r>
      <w:r w:rsidR="00947F9B" w:rsidRPr="00EF5A3A">
        <w:rPr>
          <w:color w:val="000000" w:themeColor="text1"/>
          <w:szCs w:val="26"/>
        </w:rPr>
        <w:t xml:space="preserve"> </w:t>
      </w:r>
      <w:r w:rsidR="00977180" w:rsidRPr="00EF5A3A">
        <w:rPr>
          <w:color w:val="000000" w:themeColor="text1"/>
          <w:szCs w:val="26"/>
        </w:rPr>
        <w:t xml:space="preserve">We </w:t>
      </w:r>
      <w:r w:rsidR="00DA513B" w:rsidRPr="00EF5A3A">
        <w:rPr>
          <w:color w:val="000000" w:themeColor="text1"/>
          <w:szCs w:val="26"/>
        </w:rPr>
        <w:t>explained</w:t>
      </w:r>
      <w:r w:rsidR="000D5021" w:rsidRPr="00EF5A3A">
        <w:rPr>
          <w:color w:val="000000" w:themeColor="text1"/>
          <w:szCs w:val="26"/>
        </w:rPr>
        <w:t xml:space="preserve"> that the </w:t>
      </w:r>
      <w:r w:rsidR="00812796" w:rsidRPr="00EF5A3A">
        <w:rPr>
          <w:color w:val="000000" w:themeColor="text1"/>
          <w:szCs w:val="26"/>
        </w:rPr>
        <w:t xml:space="preserve">only reasonable inference to be drawn from the record was that </w:t>
      </w:r>
      <w:r w:rsidR="009B416A" w:rsidRPr="00EF5A3A">
        <w:rPr>
          <w:color w:val="000000" w:themeColor="text1"/>
          <w:szCs w:val="26"/>
        </w:rPr>
        <w:t xml:space="preserve">“the use of the name ‘C. A. Burton’ </w:t>
      </w:r>
      <w:r w:rsidR="00D935F6" w:rsidRPr="00EF5A3A">
        <w:rPr>
          <w:color w:val="000000" w:themeColor="text1"/>
          <w:szCs w:val="26"/>
        </w:rPr>
        <w:t>. . </w:t>
      </w:r>
      <w:r w:rsidR="009B416A" w:rsidRPr="00EF5A3A">
        <w:rPr>
          <w:color w:val="000000" w:themeColor="text1"/>
          <w:szCs w:val="26"/>
        </w:rPr>
        <w:t>. to designate one of the appellants was solely due to inadvertence”</w:t>
      </w:r>
      <w:r w:rsidR="00E2038E">
        <w:rPr>
          <w:color w:val="000000" w:themeColor="text1"/>
          <w:szCs w:val="26"/>
        </w:rPr>
        <w:t xml:space="preserve"> </w:t>
      </w:r>
      <w:r w:rsidR="00E2038E" w:rsidRPr="00EF5A3A">
        <w:rPr>
          <w:color w:val="000000" w:themeColor="text1"/>
          <w:szCs w:val="26"/>
        </w:rPr>
        <w:t>(</w:t>
      </w:r>
      <w:r w:rsidR="00E2038E">
        <w:rPr>
          <w:i/>
          <w:iCs/>
          <w:color w:val="000000" w:themeColor="text1"/>
          <w:szCs w:val="26"/>
        </w:rPr>
        <w:t>i</w:t>
      </w:r>
      <w:r w:rsidR="00E2038E" w:rsidRPr="00EF5A3A">
        <w:rPr>
          <w:i/>
          <w:iCs/>
          <w:color w:val="000000" w:themeColor="text1"/>
          <w:szCs w:val="26"/>
        </w:rPr>
        <w:t>d</w:t>
      </w:r>
      <w:r w:rsidR="00E2038E" w:rsidRPr="00EF5A3A">
        <w:rPr>
          <w:color w:val="000000" w:themeColor="text1"/>
          <w:szCs w:val="26"/>
        </w:rPr>
        <w:t>. at pp. 263–264)</w:t>
      </w:r>
      <w:r w:rsidR="00E2038E">
        <w:rPr>
          <w:color w:val="000000" w:themeColor="text1"/>
          <w:szCs w:val="26"/>
        </w:rPr>
        <w:t>,</w:t>
      </w:r>
      <w:r w:rsidR="009B416A" w:rsidRPr="00EF5A3A">
        <w:rPr>
          <w:color w:val="000000" w:themeColor="text1"/>
          <w:szCs w:val="26"/>
        </w:rPr>
        <w:t xml:space="preserve"> and that </w:t>
      </w:r>
      <w:r w:rsidR="007C2708" w:rsidRPr="00EF5A3A">
        <w:rPr>
          <w:color w:val="000000" w:themeColor="text1"/>
          <w:szCs w:val="26"/>
        </w:rPr>
        <w:t>“</w:t>
      </w:r>
      <w:r w:rsidR="0052217B" w:rsidRPr="00EF5A3A">
        <w:rPr>
          <w:color w:val="000000" w:themeColor="text1"/>
          <w:szCs w:val="26"/>
        </w:rPr>
        <w:t xml:space="preserve">the </w:t>
      </w:r>
      <w:r w:rsidR="007C2708" w:rsidRPr="00EF5A3A">
        <w:rPr>
          <w:color w:val="000000" w:themeColor="text1"/>
          <w:szCs w:val="26"/>
        </w:rPr>
        <w:t>adverse</w:t>
      </w:r>
      <w:r w:rsidR="0052217B" w:rsidRPr="00EF5A3A">
        <w:rPr>
          <w:color w:val="000000" w:themeColor="text1"/>
          <w:szCs w:val="26"/>
        </w:rPr>
        <w:t xml:space="preserve"> party</w:t>
      </w:r>
      <w:r w:rsidR="007C2708" w:rsidRPr="00EF5A3A">
        <w:rPr>
          <w:color w:val="000000" w:themeColor="text1"/>
          <w:szCs w:val="26"/>
        </w:rPr>
        <w:t xml:space="preserve"> </w:t>
      </w:r>
      <w:r w:rsidR="00DF045C" w:rsidRPr="00EF5A3A">
        <w:rPr>
          <w:color w:val="000000" w:themeColor="text1"/>
          <w:szCs w:val="26"/>
        </w:rPr>
        <w:t>could not have been misled</w:t>
      </w:r>
      <w:r w:rsidR="0052217B" w:rsidRPr="00EF5A3A">
        <w:rPr>
          <w:color w:val="000000" w:themeColor="text1"/>
          <w:szCs w:val="26"/>
        </w:rPr>
        <w:t xml:space="preserve"> thereby</w:t>
      </w:r>
      <w:r w:rsidR="00CB704D" w:rsidRPr="00EF5A3A">
        <w:rPr>
          <w:color w:val="000000" w:themeColor="text1"/>
          <w:szCs w:val="26"/>
        </w:rPr>
        <w:t>”</w:t>
      </w:r>
      <w:r w:rsidR="0052217B" w:rsidRPr="00EF5A3A">
        <w:rPr>
          <w:color w:val="000000" w:themeColor="text1"/>
          <w:szCs w:val="26"/>
        </w:rPr>
        <w:t xml:space="preserve"> </w:t>
      </w:r>
      <w:r w:rsidR="00947F9B" w:rsidRPr="00EF5A3A">
        <w:rPr>
          <w:color w:val="000000" w:themeColor="text1"/>
          <w:szCs w:val="26"/>
        </w:rPr>
        <w:t>(</w:t>
      </w:r>
      <w:r w:rsidR="00883A9B">
        <w:rPr>
          <w:i/>
          <w:iCs/>
          <w:color w:val="000000" w:themeColor="text1"/>
          <w:szCs w:val="26"/>
        </w:rPr>
        <w:t>id</w:t>
      </w:r>
      <w:r w:rsidR="00947F9B" w:rsidRPr="00EF5A3A">
        <w:rPr>
          <w:color w:val="000000" w:themeColor="text1"/>
          <w:szCs w:val="26"/>
        </w:rPr>
        <w:t>. at p</w:t>
      </w:r>
      <w:r w:rsidR="00D7750B">
        <w:rPr>
          <w:color w:val="000000" w:themeColor="text1"/>
          <w:szCs w:val="26"/>
        </w:rPr>
        <w:t>.</w:t>
      </w:r>
      <w:r w:rsidR="00E2038E">
        <w:rPr>
          <w:color w:val="000000" w:themeColor="text1"/>
          <w:szCs w:val="26"/>
        </w:rPr>
        <w:t xml:space="preserve"> </w:t>
      </w:r>
      <w:r w:rsidR="00947F9B" w:rsidRPr="00EF5A3A">
        <w:rPr>
          <w:color w:val="000000" w:themeColor="text1"/>
          <w:szCs w:val="26"/>
        </w:rPr>
        <w:t>264)</w:t>
      </w:r>
      <w:r w:rsidR="00883A9B">
        <w:rPr>
          <w:color w:val="000000" w:themeColor="text1"/>
          <w:szCs w:val="26"/>
        </w:rPr>
        <w:t>.</w:t>
      </w:r>
    </w:p>
    <w:p w14:paraId="07E7B3EF" w14:textId="2396416C" w:rsidR="00347A0E" w:rsidRPr="00EF5A3A" w:rsidRDefault="0052217B" w:rsidP="00EF5A3A">
      <w:pPr>
        <w:ind w:firstLine="720"/>
        <w:rPr>
          <w:color w:val="000000" w:themeColor="text1"/>
          <w:szCs w:val="26"/>
        </w:rPr>
      </w:pPr>
      <w:r w:rsidRPr="00EF5A3A">
        <w:rPr>
          <w:color w:val="000000" w:themeColor="text1"/>
          <w:szCs w:val="26"/>
        </w:rPr>
        <w:t>In</w:t>
      </w:r>
      <w:r w:rsidR="00DF045C" w:rsidRPr="00EF5A3A">
        <w:rPr>
          <w:color w:val="000000" w:themeColor="text1"/>
          <w:szCs w:val="26"/>
        </w:rPr>
        <w:t xml:space="preserve"> </w:t>
      </w:r>
      <w:r w:rsidR="00DF045C" w:rsidRPr="00EF5A3A">
        <w:rPr>
          <w:i/>
          <w:iCs/>
          <w:color w:val="000000" w:themeColor="text1"/>
          <w:szCs w:val="26"/>
        </w:rPr>
        <w:t>Vibert v. Berger</w:t>
      </w:r>
      <w:r w:rsidR="00DF045C" w:rsidRPr="00EF5A3A">
        <w:rPr>
          <w:color w:val="000000" w:themeColor="text1"/>
          <w:szCs w:val="26"/>
        </w:rPr>
        <w:t xml:space="preserve"> (1966) 64 Cal.2d 65</w:t>
      </w:r>
      <w:r w:rsidR="0069614C" w:rsidRPr="00EF5A3A">
        <w:rPr>
          <w:color w:val="000000" w:themeColor="text1"/>
          <w:szCs w:val="26"/>
        </w:rPr>
        <w:t xml:space="preserve"> (</w:t>
      </w:r>
      <w:r w:rsidR="0069614C" w:rsidRPr="00EF5A3A">
        <w:rPr>
          <w:i/>
          <w:iCs/>
          <w:color w:val="000000" w:themeColor="text1"/>
          <w:szCs w:val="26"/>
        </w:rPr>
        <w:t>Vibert</w:t>
      </w:r>
      <w:r w:rsidR="0069614C" w:rsidRPr="00EF5A3A">
        <w:rPr>
          <w:color w:val="000000" w:themeColor="text1"/>
          <w:szCs w:val="26"/>
        </w:rPr>
        <w:t>)</w:t>
      </w:r>
      <w:r w:rsidR="00DF045C" w:rsidRPr="00EF5A3A">
        <w:rPr>
          <w:color w:val="000000" w:themeColor="text1"/>
          <w:szCs w:val="26"/>
        </w:rPr>
        <w:t xml:space="preserve">, </w:t>
      </w:r>
      <w:r w:rsidR="00CE15BC" w:rsidRPr="00EF5A3A">
        <w:rPr>
          <w:color w:val="000000" w:themeColor="text1"/>
          <w:szCs w:val="26"/>
        </w:rPr>
        <w:t xml:space="preserve">we </w:t>
      </w:r>
      <w:r w:rsidR="00236337" w:rsidRPr="00EF5A3A">
        <w:rPr>
          <w:color w:val="000000" w:themeColor="text1"/>
          <w:szCs w:val="26"/>
        </w:rPr>
        <w:t xml:space="preserve">held that </w:t>
      </w:r>
      <w:r w:rsidR="00CE15BC" w:rsidRPr="00EF5A3A">
        <w:rPr>
          <w:color w:val="000000" w:themeColor="text1"/>
          <w:szCs w:val="26"/>
        </w:rPr>
        <w:t xml:space="preserve">a notice of appeal </w:t>
      </w:r>
      <w:r w:rsidR="008172D0" w:rsidRPr="00EF5A3A">
        <w:rPr>
          <w:color w:val="000000" w:themeColor="text1"/>
          <w:szCs w:val="26"/>
        </w:rPr>
        <w:t>from</w:t>
      </w:r>
      <w:r w:rsidR="00CE15BC" w:rsidRPr="00EF5A3A">
        <w:rPr>
          <w:color w:val="000000" w:themeColor="text1"/>
          <w:szCs w:val="26"/>
        </w:rPr>
        <w:t xml:space="preserve"> an order s</w:t>
      </w:r>
      <w:r w:rsidR="00483D57" w:rsidRPr="00EF5A3A">
        <w:rPr>
          <w:color w:val="000000" w:themeColor="text1"/>
          <w:szCs w:val="26"/>
        </w:rPr>
        <w:t>ustain</w:t>
      </w:r>
      <w:r w:rsidR="00B12D5F" w:rsidRPr="00EF5A3A">
        <w:rPr>
          <w:color w:val="000000" w:themeColor="text1"/>
          <w:szCs w:val="26"/>
        </w:rPr>
        <w:t xml:space="preserve">ing a </w:t>
      </w:r>
      <w:r w:rsidR="00483D57" w:rsidRPr="00EF5A3A">
        <w:rPr>
          <w:color w:val="000000" w:themeColor="text1"/>
          <w:szCs w:val="26"/>
        </w:rPr>
        <w:t>demurrer</w:t>
      </w:r>
      <w:r w:rsidR="003B713D" w:rsidRPr="00EF5A3A">
        <w:rPr>
          <w:color w:val="000000" w:themeColor="text1"/>
          <w:szCs w:val="26"/>
        </w:rPr>
        <w:t xml:space="preserve"> </w:t>
      </w:r>
      <w:r w:rsidR="00236337" w:rsidRPr="00EF5A3A">
        <w:rPr>
          <w:color w:val="000000" w:themeColor="text1"/>
          <w:szCs w:val="26"/>
        </w:rPr>
        <w:t xml:space="preserve">could be construed to incorporate </w:t>
      </w:r>
      <w:r w:rsidR="00CE15BC" w:rsidRPr="00EF5A3A">
        <w:rPr>
          <w:color w:val="000000" w:themeColor="text1"/>
          <w:szCs w:val="26"/>
        </w:rPr>
        <w:t>the</w:t>
      </w:r>
      <w:r w:rsidR="00236337" w:rsidRPr="00EF5A3A">
        <w:rPr>
          <w:color w:val="000000" w:themeColor="text1"/>
          <w:szCs w:val="26"/>
        </w:rPr>
        <w:t xml:space="preserve"> judgment </w:t>
      </w:r>
      <w:r w:rsidR="00CE15BC" w:rsidRPr="00EF5A3A">
        <w:rPr>
          <w:color w:val="000000" w:themeColor="text1"/>
          <w:szCs w:val="26"/>
        </w:rPr>
        <w:t>of dismissal entered thereon.  In our analysis, we</w:t>
      </w:r>
      <w:r w:rsidR="003B713D" w:rsidRPr="00EF5A3A">
        <w:rPr>
          <w:color w:val="000000" w:themeColor="text1"/>
          <w:szCs w:val="26"/>
        </w:rPr>
        <w:t xml:space="preserve"> explained that</w:t>
      </w:r>
      <w:r w:rsidR="005C2CC0" w:rsidRPr="00EF5A3A">
        <w:rPr>
          <w:color w:val="000000" w:themeColor="text1"/>
          <w:szCs w:val="26"/>
        </w:rPr>
        <w:t>,</w:t>
      </w:r>
      <w:r w:rsidR="003B713D" w:rsidRPr="00EF5A3A">
        <w:rPr>
          <w:color w:val="000000" w:themeColor="text1"/>
          <w:szCs w:val="26"/>
        </w:rPr>
        <w:t xml:space="preserve"> </w:t>
      </w:r>
      <w:r w:rsidR="0069614C" w:rsidRPr="00EF5A3A">
        <w:rPr>
          <w:color w:val="000000" w:themeColor="text1"/>
          <w:szCs w:val="26"/>
        </w:rPr>
        <w:t xml:space="preserve">under </w:t>
      </w:r>
      <w:r w:rsidR="00483D57" w:rsidRPr="00EF5A3A">
        <w:rPr>
          <w:color w:val="000000" w:themeColor="text1"/>
          <w:szCs w:val="26"/>
        </w:rPr>
        <w:t>“</w:t>
      </w:r>
      <w:r w:rsidR="00C01A98" w:rsidRPr="00EF5A3A">
        <w:rPr>
          <w:color w:val="000000" w:themeColor="text1"/>
          <w:szCs w:val="26"/>
        </w:rPr>
        <w:t> </w:t>
      </w:r>
      <w:r w:rsidR="00483D57" w:rsidRPr="00EF5A3A">
        <w:rPr>
          <w:color w:val="000000" w:themeColor="text1"/>
          <w:szCs w:val="26"/>
        </w:rPr>
        <w:t>‘</w:t>
      </w:r>
      <w:r w:rsidR="0069614C" w:rsidRPr="00EF5A3A">
        <w:rPr>
          <w:color w:val="000000" w:themeColor="text1"/>
          <w:szCs w:val="26"/>
        </w:rPr>
        <w:t>hornbook law</w:t>
      </w:r>
      <w:r w:rsidR="0033062A">
        <w:rPr>
          <w:color w:val="000000" w:themeColor="text1"/>
          <w:szCs w:val="26"/>
        </w:rPr>
        <w:t xml:space="preserve"> . . . </w:t>
      </w:r>
      <w:r w:rsidR="0069614C" w:rsidRPr="00EF5A3A">
        <w:rPr>
          <w:color w:val="000000" w:themeColor="text1"/>
          <w:szCs w:val="26"/>
        </w:rPr>
        <w:t xml:space="preserve">[an] </w:t>
      </w:r>
      <w:r w:rsidR="00483D57" w:rsidRPr="00EF5A3A">
        <w:rPr>
          <w:color w:val="000000" w:themeColor="text1"/>
          <w:szCs w:val="26"/>
        </w:rPr>
        <w:t>order sustaining a demurrer is interlocutory</w:t>
      </w:r>
      <w:r w:rsidR="003B713D" w:rsidRPr="00EF5A3A">
        <w:rPr>
          <w:color w:val="000000" w:themeColor="text1"/>
          <w:szCs w:val="26"/>
        </w:rPr>
        <w:t xml:space="preserve"> [a</w:t>
      </w:r>
      <w:r w:rsidR="000D132E" w:rsidRPr="00EF5A3A">
        <w:rPr>
          <w:color w:val="000000" w:themeColor="text1"/>
          <w:szCs w:val="26"/>
        </w:rPr>
        <w:t>n</w:t>
      </w:r>
      <w:r w:rsidR="003B713D" w:rsidRPr="00EF5A3A">
        <w:rPr>
          <w:color w:val="000000" w:themeColor="text1"/>
          <w:szCs w:val="26"/>
        </w:rPr>
        <w:t xml:space="preserve">d] </w:t>
      </w:r>
      <w:r w:rsidR="00483D57" w:rsidRPr="00EF5A3A">
        <w:rPr>
          <w:color w:val="000000" w:themeColor="text1"/>
          <w:szCs w:val="26"/>
        </w:rPr>
        <w:t>not appealable, and that the appeal must be taken from the subsequently entered judgment.’</w:t>
      </w:r>
      <w:r w:rsidR="00E2038E">
        <w:rPr>
          <w:color w:val="000000" w:themeColor="text1"/>
          <w:szCs w:val="26"/>
        </w:rPr>
        <w:t> </w:t>
      </w:r>
      <w:r w:rsidR="00483D57" w:rsidRPr="00EF5A3A">
        <w:rPr>
          <w:color w:val="000000" w:themeColor="text1"/>
          <w:szCs w:val="26"/>
        </w:rPr>
        <w:t>”</w:t>
      </w:r>
      <w:r w:rsidR="0069614C" w:rsidRPr="00EF5A3A">
        <w:rPr>
          <w:color w:val="000000" w:themeColor="text1"/>
          <w:szCs w:val="26"/>
        </w:rPr>
        <w:t xml:space="preserve"> </w:t>
      </w:r>
      <w:r w:rsidR="005C2CC0" w:rsidRPr="00EF5A3A">
        <w:rPr>
          <w:color w:val="000000" w:themeColor="text1"/>
          <w:szCs w:val="26"/>
        </w:rPr>
        <w:t xml:space="preserve"> </w:t>
      </w:r>
      <w:r w:rsidR="0069614C" w:rsidRPr="00EF5A3A">
        <w:rPr>
          <w:color w:val="000000" w:themeColor="text1"/>
          <w:szCs w:val="26"/>
        </w:rPr>
        <w:t>(</w:t>
      </w:r>
      <w:r w:rsidR="00CE15BC" w:rsidRPr="00EF5A3A">
        <w:rPr>
          <w:i/>
          <w:iCs/>
          <w:color w:val="000000" w:themeColor="text1"/>
          <w:szCs w:val="26"/>
        </w:rPr>
        <w:t>Id</w:t>
      </w:r>
      <w:r w:rsidR="00CE15BC" w:rsidRPr="00EF5A3A">
        <w:rPr>
          <w:color w:val="000000" w:themeColor="text1"/>
          <w:szCs w:val="26"/>
        </w:rPr>
        <w:t>.</w:t>
      </w:r>
      <w:r w:rsidR="00E86827" w:rsidRPr="00EF5A3A">
        <w:rPr>
          <w:color w:val="000000" w:themeColor="text1"/>
          <w:szCs w:val="26"/>
        </w:rPr>
        <w:t xml:space="preserve"> at p</w:t>
      </w:r>
      <w:r w:rsidR="00D935F6" w:rsidRPr="00EF5A3A">
        <w:rPr>
          <w:color w:val="000000" w:themeColor="text1"/>
          <w:szCs w:val="26"/>
        </w:rPr>
        <w:t>. </w:t>
      </w:r>
      <w:r w:rsidR="00E86827" w:rsidRPr="00EF5A3A">
        <w:rPr>
          <w:color w:val="000000" w:themeColor="text1"/>
          <w:szCs w:val="26"/>
        </w:rPr>
        <w:t xml:space="preserve">67.) </w:t>
      </w:r>
      <w:r w:rsidR="00AA074D" w:rsidRPr="00EF5A3A">
        <w:rPr>
          <w:color w:val="000000" w:themeColor="text1"/>
          <w:szCs w:val="26"/>
        </w:rPr>
        <w:t xml:space="preserve"> </w:t>
      </w:r>
      <w:r w:rsidR="00AA074D" w:rsidRPr="00EF5A3A">
        <w:rPr>
          <w:color w:val="000000" w:themeColor="text1"/>
          <w:szCs w:val="26"/>
        </w:rPr>
        <w:lastRenderedPageBreak/>
        <w:t xml:space="preserve">However, quoting at length the reasoning in </w:t>
      </w:r>
      <w:r w:rsidR="00AA074D" w:rsidRPr="00EF5A3A">
        <w:rPr>
          <w:i/>
          <w:iCs/>
          <w:color w:val="000000" w:themeColor="text1"/>
          <w:szCs w:val="26"/>
        </w:rPr>
        <w:t xml:space="preserve">Evola v. Wendt Construction Co. </w:t>
      </w:r>
      <w:r w:rsidR="00AA074D" w:rsidRPr="00EF5A3A">
        <w:rPr>
          <w:color w:val="000000" w:themeColor="text1"/>
          <w:szCs w:val="26"/>
        </w:rPr>
        <w:t>(1958) 158 Cal.App.2d 658</w:t>
      </w:r>
      <w:r w:rsidR="00294DAF" w:rsidRPr="00EF5A3A">
        <w:rPr>
          <w:color w:val="000000" w:themeColor="text1"/>
          <w:szCs w:val="26"/>
        </w:rPr>
        <w:t xml:space="preserve"> (</w:t>
      </w:r>
      <w:r w:rsidR="00294DAF" w:rsidRPr="00EF5A3A">
        <w:rPr>
          <w:i/>
          <w:color w:val="000000" w:themeColor="text1"/>
          <w:szCs w:val="26"/>
        </w:rPr>
        <w:t>Evola</w:t>
      </w:r>
      <w:r w:rsidR="00294DAF" w:rsidRPr="00EF5A3A">
        <w:rPr>
          <w:color w:val="000000" w:themeColor="text1"/>
          <w:szCs w:val="26"/>
        </w:rPr>
        <w:t>)</w:t>
      </w:r>
      <w:r w:rsidR="00AA074D" w:rsidRPr="00EF5A3A">
        <w:rPr>
          <w:color w:val="000000" w:themeColor="text1"/>
          <w:szCs w:val="26"/>
        </w:rPr>
        <w:t>, w</w:t>
      </w:r>
      <w:r w:rsidR="00A45160" w:rsidRPr="00EF5A3A">
        <w:rPr>
          <w:color w:val="000000" w:themeColor="text1"/>
          <w:szCs w:val="26"/>
        </w:rPr>
        <w:t xml:space="preserve">e further observed that several </w:t>
      </w:r>
      <w:r w:rsidR="00AA074D" w:rsidRPr="00EF5A3A">
        <w:rPr>
          <w:color w:val="000000" w:themeColor="text1"/>
          <w:szCs w:val="26"/>
        </w:rPr>
        <w:t>courts</w:t>
      </w:r>
      <w:r w:rsidR="00A45160" w:rsidRPr="00EF5A3A">
        <w:rPr>
          <w:color w:val="000000" w:themeColor="text1"/>
          <w:szCs w:val="26"/>
        </w:rPr>
        <w:t xml:space="preserve"> addressing the</w:t>
      </w:r>
      <w:r w:rsidR="00AA074D" w:rsidRPr="00EF5A3A">
        <w:rPr>
          <w:color w:val="000000" w:themeColor="text1"/>
          <w:szCs w:val="26"/>
        </w:rPr>
        <w:t xml:space="preserve"> same</w:t>
      </w:r>
      <w:r w:rsidR="00A45160" w:rsidRPr="00EF5A3A">
        <w:rPr>
          <w:color w:val="000000" w:themeColor="text1"/>
          <w:szCs w:val="26"/>
        </w:rPr>
        <w:t xml:space="preserve"> issue had n</w:t>
      </w:r>
      <w:r w:rsidR="00574D9F" w:rsidRPr="00EF5A3A">
        <w:rPr>
          <w:color w:val="000000" w:themeColor="text1"/>
          <w:szCs w:val="26"/>
        </w:rPr>
        <w:t>onetheless</w:t>
      </w:r>
      <w:r w:rsidR="00A45160" w:rsidRPr="00EF5A3A">
        <w:rPr>
          <w:color w:val="000000" w:themeColor="text1"/>
          <w:szCs w:val="26"/>
        </w:rPr>
        <w:t xml:space="preserve"> concluded</w:t>
      </w:r>
      <w:r w:rsidR="00574D9F" w:rsidRPr="00EF5A3A">
        <w:rPr>
          <w:color w:val="000000" w:themeColor="text1"/>
          <w:szCs w:val="26"/>
        </w:rPr>
        <w:t xml:space="preserve"> that the</w:t>
      </w:r>
      <w:r w:rsidR="005069BE" w:rsidRPr="00EF5A3A">
        <w:rPr>
          <w:color w:val="000000" w:themeColor="text1"/>
          <w:szCs w:val="26"/>
        </w:rPr>
        <w:t xml:space="preserve"> notice </w:t>
      </w:r>
      <w:r w:rsidR="002D29BA" w:rsidRPr="00EF5A3A">
        <w:rPr>
          <w:color w:val="000000" w:themeColor="text1"/>
          <w:szCs w:val="26"/>
        </w:rPr>
        <w:t xml:space="preserve">should </w:t>
      </w:r>
      <w:r w:rsidR="005069BE" w:rsidRPr="00EF5A3A">
        <w:rPr>
          <w:color w:val="000000" w:themeColor="text1"/>
          <w:szCs w:val="26"/>
        </w:rPr>
        <w:t>be construed to include the underlying judgment</w:t>
      </w:r>
      <w:r w:rsidR="00AA074D" w:rsidRPr="00EF5A3A">
        <w:rPr>
          <w:color w:val="000000" w:themeColor="text1"/>
          <w:szCs w:val="26"/>
        </w:rPr>
        <w:t xml:space="preserve"> if </w:t>
      </w:r>
      <w:r w:rsidR="002D29BA" w:rsidRPr="00EF5A3A">
        <w:rPr>
          <w:color w:val="000000" w:themeColor="text1"/>
          <w:szCs w:val="26"/>
        </w:rPr>
        <w:t>the appellant’s inten</w:t>
      </w:r>
      <w:r w:rsidR="00FF3499" w:rsidRPr="00EF5A3A">
        <w:rPr>
          <w:color w:val="000000" w:themeColor="text1"/>
          <w:szCs w:val="26"/>
        </w:rPr>
        <w:t>t</w:t>
      </w:r>
      <w:r w:rsidR="002D29BA" w:rsidRPr="00EF5A3A">
        <w:rPr>
          <w:color w:val="000000" w:themeColor="text1"/>
          <w:szCs w:val="26"/>
        </w:rPr>
        <w:t xml:space="preserve"> was clear, and </w:t>
      </w:r>
      <w:r w:rsidR="00AA074D" w:rsidRPr="00EF5A3A">
        <w:rPr>
          <w:color w:val="000000" w:themeColor="text1"/>
          <w:szCs w:val="26"/>
        </w:rPr>
        <w:t xml:space="preserve">no prejudice would accrue to the </w:t>
      </w:r>
      <w:r w:rsidR="00251FDB" w:rsidRPr="00EF5A3A">
        <w:rPr>
          <w:color w:val="000000" w:themeColor="text1"/>
          <w:szCs w:val="26"/>
        </w:rPr>
        <w:t>respondent</w:t>
      </w:r>
      <w:r w:rsidR="00CC2ED1" w:rsidRPr="00EF5A3A">
        <w:rPr>
          <w:color w:val="000000" w:themeColor="text1"/>
          <w:szCs w:val="26"/>
        </w:rPr>
        <w:t xml:space="preserve">:  </w:t>
      </w:r>
      <w:r w:rsidR="0069614C" w:rsidRPr="00EF5A3A">
        <w:rPr>
          <w:color w:val="000000" w:themeColor="text1"/>
          <w:szCs w:val="26"/>
        </w:rPr>
        <w:t>“</w:t>
      </w:r>
      <w:r w:rsidR="00C01A98" w:rsidRPr="00EF5A3A">
        <w:rPr>
          <w:color w:val="000000" w:themeColor="text1"/>
          <w:szCs w:val="26"/>
        </w:rPr>
        <w:t> </w:t>
      </w:r>
      <w:r w:rsidR="003B49A9" w:rsidRPr="00EF5A3A">
        <w:rPr>
          <w:color w:val="000000" w:themeColor="text1"/>
          <w:szCs w:val="26"/>
        </w:rPr>
        <w:t>‘There may be many situations where a notice of appeal from a nonappealable order cannot and should not be treated to be a notice of appeal from a judgment subsequently entered</w:t>
      </w:r>
      <w:r w:rsidR="0069614C" w:rsidRPr="00EF5A3A">
        <w:rPr>
          <w:color w:val="000000" w:themeColor="text1"/>
          <w:szCs w:val="26"/>
        </w:rPr>
        <w:t>.</w:t>
      </w:r>
      <w:r w:rsidR="003B49A9" w:rsidRPr="00EF5A3A">
        <w:rPr>
          <w:color w:val="000000" w:themeColor="text1"/>
          <w:szCs w:val="26"/>
        </w:rPr>
        <w:t xml:space="preserve"> </w:t>
      </w:r>
      <w:r w:rsidR="0069614C" w:rsidRPr="00EF5A3A">
        <w:rPr>
          <w:color w:val="000000" w:themeColor="text1"/>
          <w:szCs w:val="26"/>
        </w:rPr>
        <w:t xml:space="preserve"> </w:t>
      </w:r>
      <w:r w:rsidR="003B49A9" w:rsidRPr="00EF5A3A">
        <w:rPr>
          <w:color w:val="000000" w:themeColor="text1"/>
          <w:szCs w:val="26"/>
        </w:rPr>
        <w:t xml:space="preserve">In many situations there might be doubts as to just what the appellant was seeking to have reviewed. </w:t>
      </w:r>
      <w:r w:rsidR="00AC7B48" w:rsidRPr="00EF5A3A">
        <w:rPr>
          <w:color w:val="000000" w:themeColor="text1"/>
          <w:szCs w:val="26"/>
        </w:rPr>
        <w:t xml:space="preserve"> </w:t>
      </w:r>
      <w:r w:rsidR="003B49A9" w:rsidRPr="00EF5A3A">
        <w:rPr>
          <w:color w:val="000000" w:themeColor="text1"/>
          <w:szCs w:val="26"/>
        </w:rPr>
        <w:t xml:space="preserve">But there is no doubt in the instant case. </w:t>
      </w:r>
      <w:r w:rsidR="00AC7B48" w:rsidRPr="00EF5A3A">
        <w:rPr>
          <w:color w:val="000000" w:themeColor="text1"/>
          <w:szCs w:val="26"/>
        </w:rPr>
        <w:t xml:space="preserve"> </w:t>
      </w:r>
      <w:r w:rsidR="003B49A9" w:rsidRPr="00EF5A3A">
        <w:rPr>
          <w:color w:val="000000" w:themeColor="text1"/>
          <w:szCs w:val="26"/>
        </w:rPr>
        <w:t>Clearly, the appellant was seeking to have reviewed the propriety of the order sustaining the demurrer</w:t>
      </w:r>
      <w:r w:rsidR="0033062A">
        <w:rPr>
          <w:color w:val="000000" w:themeColor="text1"/>
          <w:szCs w:val="26"/>
        </w:rPr>
        <w:t xml:space="preserve"> </w:t>
      </w:r>
      <w:r w:rsidR="00842CF5" w:rsidRPr="00EF5A3A">
        <w:rPr>
          <w:color w:val="000000" w:themeColor="text1"/>
          <w:szCs w:val="26"/>
        </w:rPr>
        <w:t xml:space="preserve">. . . .  </w:t>
      </w:r>
      <w:r w:rsidR="00A95AA9" w:rsidRPr="00EF5A3A">
        <w:rPr>
          <w:color w:val="000000" w:themeColor="text1"/>
          <w:szCs w:val="26"/>
        </w:rPr>
        <w:t>[B]y</w:t>
      </w:r>
      <w:r w:rsidR="00C80F91" w:rsidRPr="00EF5A3A">
        <w:rPr>
          <w:color w:val="000000" w:themeColor="text1"/>
          <w:szCs w:val="26"/>
        </w:rPr>
        <w:t xml:space="preserve"> incorrectly stating that he was appealing from the order instead of from the judgment, he should not be precluded from securing a review of what all concerned knew he was seeking to have reviewed.  No one was misled.  No prejudice to the respondent appears.  Respondent is simply trying to take advantage of a mistake made by appellant</w:t>
      </w:r>
      <w:r w:rsidR="00D935F6" w:rsidRPr="00EF5A3A">
        <w:rPr>
          <w:color w:val="000000" w:themeColor="text1"/>
          <w:szCs w:val="26"/>
        </w:rPr>
        <w:t> </w:t>
      </w:r>
      <w:r w:rsidR="00251FDB" w:rsidRPr="00EF5A3A">
        <w:rPr>
          <w:color w:val="000000" w:themeColor="text1"/>
          <w:szCs w:val="26"/>
        </w:rPr>
        <w:t>.</w:t>
      </w:r>
      <w:r w:rsidR="00D935F6" w:rsidRPr="00EF5A3A">
        <w:rPr>
          <w:color w:val="000000" w:themeColor="text1"/>
          <w:szCs w:val="26"/>
        </w:rPr>
        <w:t> . . </w:t>
      </w:r>
      <w:r w:rsidR="00251FDB" w:rsidRPr="00EF5A3A">
        <w:rPr>
          <w:color w:val="000000" w:themeColor="text1"/>
          <w:szCs w:val="26"/>
        </w:rPr>
        <w:t>.</w:t>
      </w:r>
      <w:r w:rsidR="00B73373" w:rsidRPr="00EF5A3A">
        <w:rPr>
          <w:color w:val="000000" w:themeColor="text1"/>
          <w:szCs w:val="26"/>
        </w:rPr>
        <w:t>’</w:t>
      </w:r>
      <w:r w:rsidR="00E2038E">
        <w:rPr>
          <w:color w:val="000000" w:themeColor="text1"/>
          <w:szCs w:val="26"/>
        </w:rPr>
        <w:t> </w:t>
      </w:r>
      <w:r w:rsidR="00B73373" w:rsidRPr="00EF5A3A">
        <w:rPr>
          <w:color w:val="000000" w:themeColor="text1"/>
          <w:szCs w:val="26"/>
        </w:rPr>
        <w:t>”</w:t>
      </w:r>
      <w:r w:rsidR="00C80F91" w:rsidRPr="00EF5A3A">
        <w:rPr>
          <w:color w:val="000000" w:themeColor="text1"/>
          <w:szCs w:val="26"/>
        </w:rPr>
        <w:t xml:space="preserve"> </w:t>
      </w:r>
      <w:r w:rsidR="00841485" w:rsidRPr="00EF5A3A">
        <w:rPr>
          <w:color w:val="000000" w:themeColor="text1"/>
          <w:szCs w:val="26"/>
        </w:rPr>
        <w:t xml:space="preserve"> </w:t>
      </w:r>
      <w:r w:rsidR="00C80F91" w:rsidRPr="00EF5A3A">
        <w:rPr>
          <w:color w:val="000000" w:themeColor="text1"/>
          <w:szCs w:val="26"/>
        </w:rPr>
        <w:t>(</w:t>
      </w:r>
      <w:r w:rsidR="00A54DB7" w:rsidRPr="00EF5A3A">
        <w:rPr>
          <w:i/>
          <w:iCs/>
          <w:color w:val="000000" w:themeColor="text1"/>
          <w:szCs w:val="26"/>
        </w:rPr>
        <w:t xml:space="preserve">Vibert, </w:t>
      </w:r>
      <w:r w:rsidR="00A54DB7" w:rsidRPr="00EF5A3A">
        <w:rPr>
          <w:color w:val="000000" w:themeColor="text1"/>
          <w:szCs w:val="26"/>
        </w:rPr>
        <w:t xml:space="preserve">at </w:t>
      </w:r>
      <w:r w:rsidR="00C80F91" w:rsidRPr="00EF5A3A">
        <w:rPr>
          <w:color w:val="000000" w:themeColor="text1"/>
          <w:szCs w:val="26"/>
        </w:rPr>
        <w:t>pp. 68</w:t>
      </w:r>
      <w:r w:rsidR="004472F6" w:rsidRPr="00EF5A3A">
        <w:rPr>
          <w:color w:val="000000" w:themeColor="text1"/>
          <w:szCs w:val="26"/>
        </w:rPr>
        <w:t>–</w:t>
      </w:r>
      <w:r w:rsidR="00C80F91" w:rsidRPr="00EF5A3A">
        <w:rPr>
          <w:color w:val="000000" w:themeColor="text1"/>
          <w:szCs w:val="26"/>
        </w:rPr>
        <w:t>69</w:t>
      </w:r>
      <w:r w:rsidR="00D935F6" w:rsidRPr="00EF5A3A">
        <w:rPr>
          <w:color w:val="000000" w:themeColor="text1"/>
          <w:szCs w:val="26"/>
        </w:rPr>
        <w:t xml:space="preserve">, italics </w:t>
      </w:r>
      <w:r w:rsidR="00A13465" w:rsidRPr="00EF5A3A">
        <w:rPr>
          <w:color w:val="000000" w:themeColor="text1"/>
          <w:szCs w:val="26"/>
        </w:rPr>
        <w:t>omitted</w:t>
      </w:r>
      <w:r w:rsidR="00D935F6" w:rsidRPr="00EF5A3A">
        <w:rPr>
          <w:color w:val="000000" w:themeColor="text1"/>
          <w:szCs w:val="26"/>
        </w:rPr>
        <w:t xml:space="preserve">, </w:t>
      </w:r>
      <w:r w:rsidR="00A54DB7" w:rsidRPr="00EF5A3A">
        <w:rPr>
          <w:color w:val="000000" w:themeColor="text1"/>
          <w:szCs w:val="26"/>
        </w:rPr>
        <w:t xml:space="preserve">quoting </w:t>
      </w:r>
      <w:r w:rsidR="00A54DB7" w:rsidRPr="00EF5A3A">
        <w:rPr>
          <w:i/>
          <w:iCs/>
          <w:color w:val="000000" w:themeColor="text1"/>
          <w:szCs w:val="26"/>
        </w:rPr>
        <w:t xml:space="preserve">Evola, </w:t>
      </w:r>
      <w:r w:rsidR="00A54DB7" w:rsidRPr="00EF5A3A">
        <w:rPr>
          <w:color w:val="000000" w:themeColor="text1"/>
          <w:szCs w:val="26"/>
        </w:rPr>
        <w:t>at p</w:t>
      </w:r>
      <w:r w:rsidR="00D935F6" w:rsidRPr="00EF5A3A">
        <w:rPr>
          <w:color w:val="000000" w:themeColor="text1"/>
          <w:szCs w:val="26"/>
        </w:rPr>
        <w:t>. </w:t>
      </w:r>
      <w:r w:rsidR="00A54DB7" w:rsidRPr="00EF5A3A">
        <w:rPr>
          <w:color w:val="000000" w:themeColor="text1"/>
          <w:szCs w:val="26"/>
        </w:rPr>
        <w:t>661</w:t>
      </w:r>
      <w:r w:rsidR="00C80F91" w:rsidRPr="00EF5A3A">
        <w:rPr>
          <w:color w:val="000000" w:themeColor="text1"/>
          <w:szCs w:val="26"/>
        </w:rPr>
        <w:t xml:space="preserve">.)  </w:t>
      </w:r>
      <w:r w:rsidR="00CC2ED1" w:rsidRPr="00EF5A3A">
        <w:rPr>
          <w:color w:val="000000" w:themeColor="text1"/>
          <w:szCs w:val="26"/>
        </w:rPr>
        <w:t xml:space="preserve"> </w:t>
      </w:r>
    </w:p>
    <w:p w14:paraId="662E428C" w14:textId="36B9C4EC" w:rsidR="00251FDB" w:rsidRPr="00EF5A3A" w:rsidRDefault="00CC2ED1" w:rsidP="00EF5A3A">
      <w:pPr>
        <w:ind w:firstLine="720"/>
        <w:rPr>
          <w:color w:val="000000" w:themeColor="text1"/>
          <w:szCs w:val="26"/>
        </w:rPr>
      </w:pPr>
      <w:r w:rsidRPr="00EF5A3A">
        <w:rPr>
          <w:color w:val="000000" w:themeColor="text1"/>
          <w:szCs w:val="26"/>
        </w:rPr>
        <w:t xml:space="preserve">Finding </w:t>
      </w:r>
      <w:r w:rsidR="00F867D5" w:rsidRPr="00EF5A3A">
        <w:rPr>
          <w:color w:val="000000" w:themeColor="text1"/>
          <w:szCs w:val="26"/>
        </w:rPr>
        <w:t xml:space="preserve">persuasive the analysis in </w:t>
      </w:r>
      <w:r w:rsidRPr="00EF5A3A">
        <w:rPr>
          <w:i/>
          <w:iCs/>
          <w:color w:val="000000" w:themeColor="text1"/>
          <w:szCs w:val="26"/>
        </w:rPr>
        <w:t>Evola</w:t>
      </w:r>
      <w:r w:rsidR="00F867D5" w:rsidRPr="00EF5A3A">
        <w:rPr>
          <w:iCs/>
          <w:color w:val="000000" w:themeColor="text1"/>
          <w:szCs w:val="26"/>
        </w:rPr>
        <w:t xml:space="preserve">, </w:t>
      </w:r>
      <w:r w:rsidR="00F867D5" w:rsidRPr="00EF5A3A">
        <w:rPr>
          <w:i/>
          <w:iCs/>
          <w:color w:val="000000" w:themeColor="text1"/>
          <w:szCs w:val="26"/>
        </w:rPr>
        <w:t>supra</w:t>
      </w:r>
      <w:r w:rsidR="00F867D5" w:rsidRPr="00EF5A3A">
        <w:rPr>
          <w:iCs/>
          <w:color w:val="000000" w:themeColor="text1"/>
          <w:szCs w:val="26"/>
        </w:rPr>
        <w:t>, 158 Cal.App.2d 658</w:t>
      </w:r>
      <w:r w:rsidRPr="00EF5A3A">
        <w:rPr>
          <w:color w:val="000000" w:themeColor="text1"/>
          <w:szCs w:val="26"/>
        </w:rPr>
        <w:t xml:space="preserve">, </w:t>
      </w:r>
      <w:r w:rsidR="00C80F91" w:rsidRPr="00EF5A3A">
        <w:rPr>
          <w:color w:val="000000" w:themeColor="text1"/>
          <w:szCs w:val="26"/>
        </w:rPr>
        <w:t xml:space="preserve">we </w:t>
      </w:r>
      <w:r w:rsidR="003B713D" w:rsidRPr="00EF5A3A">
        <w:rPr>
          <w:color w:val="000000" w:themeColor="text1"/>
          <w:szCs w:val="26"/>
        </w:rPr>
        <w:t>held</w:t>
      </w:r>
      <w:r w:rsidR="00C80F91" w:rsidRPr="00EF5A3A">
        <w:rPr>
          <w:color w:val="000000" w:themeColor="text1"/>
          <w:szCs w:val="26"/>
        </w:rPr>
        <w:t xml:space="preserve"> that </w:t>
      </w:r>
      <w:r w:rsidR="003B49A9" w:rsidRPr="00EF5A3A">
        <w:rPr>
          <w:color w:val="000000" w:themeColor="text1"/>
          <w:szCs w:val="26"/>
        </w:rPr>
        <w:t>“</w:t>
      </w:r>
      <w:r w:rsidR="00C80F91" w:rsidRPr="00EF5A3A">
        <w:rPr>
          <w:color w:val="000000" w:themeColor="text1"/>
          <w:szCs w:val="26"/>
        </w:rPr>
        <w:t>[w]</w:t>
      </w:r>
      <w:r w:rsidR="003B49A9" w:rsidRPr="00EF5A3A">
        <w:rPr>
          <w:color w:val="000000" w:themeColor="text1"/>
          <w:szCs w:val="26"/>
        </w:rPr>
        <w:t>hether the error in the</w:t>
      </w:r>
      <w:r w:rsidR="00DA513B" w:rsidRPr="00EF5A3A">
        <w:rPr>
          <w:color w:val="000000" w:themeColor="text1"/>
          <w:szCs w:val="26"/>
        </w:rPr>
        <w:t xml:space="preserve"> </w:t>
      </w:r>
      <w:r w:rsidR="003B49A9" w:rsidRPr="00EF5A3A">
        <w:rPr>
          <w:color w:val="000000" w:themeColor="text1"/>
          <w:szCs w:val="26"/>
        </w:rPr>
        <w:t>notice of appeal was merely one in describing the order or</w:t>
      </w:r>
      <w:r w:rsidR="00D82309" w:rsidRPr="00EF5A3A">
        <w:rPr>
          <w:color w:val="000000" w:themeColor="text1"/>
          <w:szCs w:val="26"/>
        </w:rPr>
        <w:t xml:space="preserve"> judgment</w:t>
      </w:r>
      <w:r w:rsidR="00862A6A" w:rsidRPr="00EF5A3A">
        <w:rPr>
          <w:color w:val="000000" w:themeColor="text1"/>
          <w:szCs w:val="26"/>
        </w:rPr>
        <w:t xml:space="preserve"> or</w:t>
      </w:r>
      <w:r w:rsidR="00C80F91" w:rsidRPr="00EF5A3A">
        <w:rPr>
          <w:color w:val="000000" w:themeColor="text1"/>
          <w:szCs w:val="26"/>
        </w:rPr>
        <w:t xml:space="preserve"> </w:t>
      </w:r>
      <w:r w:rsidR="003B49A9" w:rsidRPr="00EF5A3A">
        <w:rPr>
          <w:color w:val="000000" w:themeColor="text1"/>
          <w:szCs w:val="26"/>
        </w:rPr>
        <w:t>whether it was caused by appellant</w:t>
      </w:r>
      <w:r w:rsidR="00C80F91" w:rsidRPr="00EF5A3A">
        <w:rPr>
          <w:color w:val="000000" w:themeColor="text1"/>
          <w:szCs w:val="26"/>
        </w:rPr>
        <w:t>’</w:t>
      </w:r>
      <w:r w:rsidR="003B49A9" w:rsidRPr="00EF5A3A">
        <w:rPr>
          <w:color w:val="000000" w:themeColor="text1"/>
          <w:szCs w:val="26"/>
        </w:rPr>
        <w:t xml:space="preserve">s ignorance, the notice may without prejudice to respondent reasonably be interpreted to apply to </w:t>
      </w:r>
      <w:r w:rsidR="00C80F91" w:rsidRPr="00EF5A3A">
        <w:rPr>
          <w:color w:val="000000" w:themeColor="text1"/>
          <w:szCs w:val="26"/>
        </w:rPr>
        <w:t>[the</w:t>
      </w:r>
      <w:r w:rsidR="004C2BB4" w:rsidRPr="00EF5A3A">
        <w:rPr>
          <w:color w:val="000000" w:themeColor="text1"/>
          <w:szCs w:val="26"/>
        </w:rPr>
        <w:t>]</w:t>
      </w:r>
      <w:r w:rsidR="00C80F91" w:rsidRPr="00EF5A3A">
        <w:rPr>
          <w:color w:val="000000" w:themeColor="text1"/>
          <w:szCs w:val="26"/>
        </w:rPr>
        <w:t xml:space="preserve"> </w:t>
      </w:r>
      <w:r w:rsidR="003B49A9" w:rsidRPr="00EF5A3A">
        <w:rPr>
          <w:color w:val="000000" w:themeColor="text1"/>
          <w:szCs w:val="26"/>
        </w:rPr>
        <w:t>appealable</w:t>
      </w:r>
      <w:r w:rsidR="001741E6" w:rsidRPr="00EF5A3A">
        <w:rPr>
          <w:color w:val="000000" w:themeColor="text1"/>
          <w:szCs w:val="26"/>
        </w:rPr>
        <w:t xml:space="preserve"> order or</w:t>
      </w:r>
      <w:r w:rsidR="003B49A9" w:rsidRPr="00EF5A3A">
        <w:rPr>
          <w:color w:val="000000" w:themeColor="text1"/>
          <w:szCs w:val="26"/>
        </w:rPr>
        <w:t xml:space="preserve"> judgment rendered before the appeal was noticed.</w:t>
      </w:r>
      <w:r w:rsidR="00C80F91" w:rsidRPr="00EF5A3A">
        <w:rPr>
          <w:color w:val="000000" w:themeColor="text1"/>
          <w:szCs w:val="26"/>
        </w:rPr>
        <w:t xml:space="preserve">  </w:t>
      </w:r>
      <w:r w:rsidR="003B49A9" w:rsidRPr="00EF5A3A">
        <w:rPr>
          <w:color w:val="000000" w:themeColor="text1"/>
          <w:szCs w:val="26"/>
        </w:rPr>
        <w:t xml:space="preserve">The appeal must therefore be heard on the merits.” </w:t>
      </w:r>
      <w:r w:rsidR="00483D57" w:rsidRPr="00EF5A3A">
        <w:rPr>
          <w:color w:val="000000" w:themeColor="text1"/>
          <w:szCs w:val="26"/>
        </w:rPr>
        <w:t xml:space="preserve"> </w:t>
      </w:r>
      <w:r w:rsidR="00A54DB7" w:rsidRPr="00EF5A3A">
        <w:rPr>
          <w:color w:val="000000" w:themeColor="text1"/>
          <w:szCs w:val="26"/>
        </w:rPr>
        <w:t>(</w:t>
      </w:r>
      <w:r w:rsidR="00347A0E" w:rsidRPr="00EF5A3A">
        <w:rPr>
          <w:i/>
          <w:iCs/>
          <w:color w:val="000000" w:themeColor="text1"/>
          <w:szCs w:val="26"/>
        </w:rPr>
        <w:t xml:space="preserve">Vibert, supra, </w:t>
      </w:r>
      <w:r w:rsidR="00347A0E" w:rsidRPr="00EF5A3A">
        <w:rPr>
          <w:color w:val="000000" w:themeColor="text1"/>
          <w:szCs w:val="26"/>
        </w:rPr>
        <w:t>64 Cal.2d at p</w:t>
      </w:r>
      <w:r w:rsidR="00F867D5" w:rsidRPr="00EF5A3A">
        <w:rPr>
          <w:color w:val="000000" w:themeColor="text1"/>
          <w:szCs w:val="26"/>
        </w:rPr>
        <w:t>. 70</w:t>
      </w:r>
      <w:r w:rsidR="00347A0E" w:rsidRPr="00EF5A3A">
        <w:rPr>
          <w:color w:val="000000" w:themeColor="text1"/>
          <w:szCs w:val="26"/>
        </w:rPr>
        <w:t xml:space="preserve">.) </w:t>
      </w:r>
    </w:p>
    <w:p w14:paraId="23CDFAE1" w14:textId="77777777" w:rsidR="0033062A" w:rsidRDefault="008553E8" w:rsidP="0033062A">
      <w:pPr>
        <w:ind w:firstLine="720"/>
        <w:rPr>
          <w:color w:val="000000" w:themeColor="text1"/>
          <w:szCs w:val="26"/>
        </w:rPr>
      </w:pPr>
      <w:r w:rsidRPr="00EF5A3A">
        <w:rPr>
          <w:color w:val="000000" w:themeColor="text1"/>
          <w:szCs w:val="26"/>
        </w:rPr>
        <w:t>More</w:t>
      </w:r>
      <w:r w:rsidR="003B49A9" w:rsidRPr="00EF5A3A">
        <w:rPr>
          <w:color w:val="000000" w:themeColor="text1"/>
          <w:szCs w:val="26"/>
        </w:rPr>
        <w:t xml:space="preserve"> recently,</w:t>
      </w:r>
      <w:r w:rsidR="005C1675" w:rsidRPr="00EF5A3A">
        <w:rPr>
          <w:color w:val="000000" w:themeColor="text1"/>
          <w:szCs w:val="26"/>
        </w:rPr>
        <w:t xml:space="preserve"> in </w:t>
      </w:r>
      <w:r w:rsidR="005C1675" w:rsidRPr="00EF5A3A">
        <w:rPr>
          <w:i/>
          <w:iCs/>
          <w:color w:val="000000" w:themeColor="text1"/>
          <w:szCs w:val="26"/>
        </w:rPr>
        <w:t>Walker v. Los Angeles County Metropolitan Transportation Authority</w:t>
      </w:r>
      <w:r w:rsidR="005C1675" w:rsidRPr="00EF5A3A">
        <w:rPr>
          <w:color w:val="000000" w:themeColor="text1"/>
          <w:szCs w:val="26"/>
        </w:rPr>
        <w:t xml:space="preserve"> (2005) 35 Cal.4th 15 </w:t>
      </w:r>
      <w:r w:rsidR="00375884" w:rsidRPr="00EF5A3A">
        <w:rPr>
          <w:color w:val="000000" w:themeColor="text1"/>
          <w:szCs w:val="26"/>
        </w:rPr>
        <w:t>(</w:t>
      </w:r>
      <w:r w:rsidR="00375884" w:rsidRPr="00EF5A3A">
        <w:rPr>
          <w:i/>
          <w:iCs/>
          <w:color w:val="000000" w:themeColor="text1"/>
          <w:szCs w:val="26"/>
        </w:rPr>
        <w:t>Walker</w:t>
      </w:r>
      <w:r w:rsidR="00375884" w:rsidRPr="00EF5A3A">
        <w:rPr>
          <w:color w:val="000000" w:themeColor="text1"/>
          <w:szCs w:val="26"/>
        </w:rPr>
        <w:t>)</w:t>
      </w:r>
      <w:r w:rsidR="005C1675" w:rsidRPr="00EF5A3A">
        <w:rPr>
          <w:color w:val="000000" w:themeColor="text1"/>
          <w:szCs w:val="26"/>
        </w:rPr>
        <w:t xml:space="preserve">, </w:t>
      </w:r>
      <w:r w:rsidR="003B49A9" w:rsidRPr="00EF5A3A">
        <w:rPr>
          <w:color w:val="000000" w:themeColor="text1"/>
          <w:szCs w:val="26"/>
        </w:rPr>
        <w:t xml:space="preserve">we applied the </w:t>
      </w:r>
      <w:r w:rsidR="00C80F91" w:rsidRPr="00EF5A3A">
        <w:rPr>
          <w:color w:val="000000" w:themeColor="text1"/>
          <w:szCs w:val="26"/>
        </w:rPr>
        <w:t xml:space="preserve">rationale of </w:t>
      </w:r>
      <w:r w:rsidR="00C80F91" w:rsidRPr="00EF5A3A">
        <w:rPr>
          <w:i/>
          <w:iCs/>
          <w:color w:val="000000" w:themeColor="text1"/>
          <w:szCs w:val="26"/>
        </w:rPr>
        <w:t>Vibert</w:t>
      </w:r>
      <w:r w:rsidR="00C80F91" w:rsidRPr="00EF5A3A">
        <w:rPr>
          <w:color w:val="000000" w:themeColor="text1"/>
          <w:szCs w:val="26"/>
        </w:rPr>
        <w:t xml:space="preserve"> to </w:t>
      </w:r>
      <w:r w:rsidR="00862A6A" w:rsidRPr="00EF5A3A">
        <w:rPr>
          <w:color w:val="000000" w:themeColor="text1"/>
          <w:szCs w:val="26"/>
        </w:rPr>
        <w:t>a</w:t>
      </w:r>
      <w:r w:rsidR="00C80F91" w:rsidRPr="00EF5A3A">
        <w:rPr>
          <w:color w:val="000000" w:themeColor="text1"/>
          <w:szCs w:val="26"/>
        </w:rPr>
        <w:t xml:space="preserve"> notice </w:t>
      </w:r>
      <w:r w:rsidR="00862A6A" w:rsidRPr="00EF5A3A">
        <w:rPr>
          <w:color w:val="000000" w:themeColor="text1"/>
          <w:szCs w:val="26"/>
        </w:rPr>
        <w:t xml:space="preserve">of appeal </w:t>
      </w:r>
      <w:r w:rsidR="00862A6A" w:rsidRPr="00EF5A3A">
        <w:rPr>
          <w:color w:val="000000" w:themeColor="text1"/>
          <w:szCs w:val="26"/>
        </w:rPr>
        <w:lastRenderedPageBreak/>
        <w:t>that sought review of a</w:t>
      </w:r>
      <w:r w:rsidR="00347A0E" w:rsidRPr="00EF5A3A">
        <w:rPr>
          <w:color w:val="000000" w:themeColor="text1"/>
          <w:szCs w:val="26"/>
        </w:rPr>
        <w:t xml:space="preserve">n order denying </w:t>
      </w:r>
      <w:r w:rsidR="00C80F91" w:rsidRPr="00EF5A3A">
        <w:rPr>
          <w:color w:val="000000" w:themeColor="text1"/>
          <w:szCs w:val="26"/>
        </w:rPr>
        <w:t xml:space="preserve">a motion for </w:t>
      </w:r>
      <w:r w:rsidR="003B49A9" w:rsidRPr="00EF5A3A">
        <w:rPr>
          <w:color w:val="000000" w:themeColor="text1"/>
          <w:szCs w:val="26"/>
        </w:rPr>
        <w:t xml:space="preserve">new trial. </w:t>
      </w:r>
      <w:r w:rsidR="008F22D6" w:rsidRPr="00EF5A3A">
        <w:rPr>
          <w:color w:val="000000" w:themeColor="text1"/>
          <w:szCs w:val="26"/>
        </w:rPr>
        <w:t xml:space="preserve"> </w:t>
      </w:r>
      <w:r w:rsidR="00772D8F" w:rsidRPr="00EF5A3A">
        <w:rPr>
          <w:color w:val="000000" w:themeColor="text1"/>
          <w:szCs w:val="26"/>
        </w:rPr>
        <w:t xml:space="preserve">The Court of Appeal dismissed </w:t>
      </w:r>
      <w:r w:rsidR="00631A4A" w:rsidRPr="00EF5A3A">
        <w:rPr>
          <w:color w:val="000000" w:themeColor="text1"/>
          <w:szCs w:val="26"/>
        </w:rPr>
        <w:t xml:space="preserve">the appeal </w:t>
      </w:r>
      <w:r w:rsidR="00A4475E" w:rsidRPr="00EF5A3A">
        <w:rPr>
          <w:color w:val="000000" w:themeColor="text1"/>
          <w:szCs w:val="26"/>
        </w:rPr>
        <w:t>based on</w:t>
      </w:r>
      <w:r w:rsidR="005C0A59" w:rsidRPr="00EF5A3A">
        <w:rPr>
          <w:color w:val="000000" w:themeColor="text1"/>
          <w:szCs w:val="26"/>
        </w:rPr>
        <w:t xml:space="preserve"> </w:t>
      </w:r>
      <w:r w:rsidR="008F22D6" w:rsidRPr="00EF5A3A">
        <w:rPr>
          <w:i/>
          <w:iCs/>
          <w:color w:val="000000" w:themeColor="text1"/>
          <w:szCs w:val="26"/>
        </w:rPr>
        <w:t>Rodriguez v. Barnett</w:t>
      </w:r>
      <w:r w:rsidR="008F22D6" w:rsidRPr="00EF5A3A">
        <w:rPr>
          <w:color w:val="000000" w:themeColor="text1"/>
          <w:szCs w:val="26"/>
        </w:rPr>
        <w:t xml:space="preserve"> (1959) 52 Cal.2d 154</w:t>
      </w:r>
      <w:r w:rsidR="00631A4A" w:rsidRPr="00EF5A3A">
        <w:rPr>
          <w:color w:val="000000" w:themeColor="text1"/>
          <w:szCs w:val="26"/>
        </w:rPr>
        <w:t xml:space="preserve"> (</w:t>
      </w:r>
      <w:r w:rsidR="00631A4A" w:rsidRPr="00EF5A3A">
        <w:rPr>
          <w:i/>
          <w:iCs/>
          <w:color w:val="000000" w:themeColor="text1"/>
          <w:szCs w:val="26"/>
        </w:rPr>
        <w:t>Rodriguez</w:t>
      </w:r>
      <w:r w:rsidR="00631A4A" w:rsidRPr="00EF5A3A">
        <w:rPr>
          <w:color w:val="000000" w:themeColor="text1"/>
          <w:szCs w:val="26"/>
        </w:rPr>
        <w:t>)</w:t>
      </w:r>
      <w:r w:rsidR="008F22D6" w:rsidRPr="00EF5A3A">
        <w:rPr>
          <w:color w:val="000000" w:themeColor="text1"/>
          <w:szCs w:val="26"/>
        </w:rPr>
        <w:t>,</w:t>
      </w:r>
      <w:r w:rsidR="004C2BB4" w:rsidRPr="00EF5A3A">
        <w:rPr>
          <w:color w:val="000000" w:themeColor="text1"/>
          <w:szCs w:val="26"/>
        </w:rPr>
        <w:t xml:space="preserve"> a prior decision</w:t>
      </w:r>
      <w:r w:rsidR="008F22D6" w:rsidRPr="00EF5A3A">
        <w:rPr>
          <w:color w:val="000000" w:themeColor="text1"/>
          <w:szCs w:val="26"/>
        </w:rPr>
        <w:t xml:space="preserve"> </w:t>
      </w:r>
      <w:r w:rsidR="00DA513B" w:rsidRPr="00EF5A3A">
        <w:rPr>
          <w:color w:val="000000" w:themeColor="text1"/>
          <w:szCs w:val="26"/>
        </w:rPr>
        <w:t xml:space="preserve">in </w:t>
      </w:r>
      <w:r w:rsidR="008F22D6" w:rsidRPr="00EF5A3A">
        <w:rPr>
          <w:color w:val="000000" w:themeColor="text1"/>
          <w:szCs w:val="26"/>
        </w:rPr>
        <w:t>which</w:t>
      </w:r>
      <w:r w:rsidR="00DA513B" w:rsidRPr="00EF5A3A">
        <w:rPr>
          <w:color w:val="000000" w:themeColor="text1"/>
          <w:szCs w:val="26"/>
        </w:rPr>
        <w:t xml:space="preserve"> we</w:t>
      </w:r>
      <w:r w:rsidR="008E3EDE" w:rsidRPr="00EF5A3A">
        <w:rPr>
          <w:color w:val="000000" w:themeColor="text1"/>
          <w:szCs w:val="26"/>
        </w:rPr>
        <w:t xml:space="preserve"> </w:t>
      </w:r>
      <w:r w:rsidR="008F22D6" w:rsidRPr="00EF5A3A">
        <w:rPr>
          <w:color w:val="000000" w:themeColor="text1"/>
          <w:szCs w:val="26"/>
        </w:rPr>
        <w:t xml:space="preserve">dismissed an appeal from </w:t>
      </w:r>
      <w:r w:rsidR="0048220F" w:rsidRPr="00EF5A3A">
        <w:rPr>
          <w:color w:val="000000" w:themeColor="text1"/>
          <w:szCs w:val="26"/>
        </w:rPr>
        <w:t xml:space="preserve">an order denying </w:t>
      </w:r>
      <w:r w:rsidR="006508AE" w:rsidRPr="00EF5A3A">
        <w:rPr>
          <w:color w:val="000000" w:themeColor="text1"/>
          <w:szCs w:val="26"/>
        </w:rPr>
        <w:t xml:space="preserve">a </w:t>
      </w:r>
      <w:r w:rsidR="008F22D6" w:rsidRPr="00EF5A3A">
        <w:rPr>
          <w:color w:val="000000" w:themeColor="text1"/>
          <w:szCs w:val="26"/>
        </w:rPr>
        <w:t xml:space="preserve">new trial, </w:t>
      </w:r>
      <w:r w:rsidR="005C1675" w:rsidRPr="00EF5A3A">
        <w:rPr>
          <w:color w:val="000000" w:themeColor="text1"/>
          <w:szCs w:val="26"/>
        </w:rPr>
        <w:t>and</w:t>
      </w:r>
      <w:r w:rsidR="006B11B1" w:rsidRPr="00EF5A3A">
        <w:rPr>
          <w:color w:val="000000" w:themeColor="text1"/>
          <w:szCs w:val="26"/>
        </w:rPr>
        <w:t xml:space="preserve"> </w:t>
      </w:r>
      <w:r w:rsidR="004C2BB4" w:rsidRPr="00EF5A3A">
        <w:rPr>
          <w:color w:val="000000" w:themeColor="text1"/>
          <w:szCs w:val="26"/>
        </w:rPr>
        <w:t xml:space="preserve">specifically </w:t>
      </w:r>
      <w:r w:rsidR="002131C8" w:rsidRPr="00EF5A3A">
        <w:rPr>
          <w:color w:val="000000" w:themeColor="text1"/>
          <w:szCs w:val="26"/>
        </w:rPr>
        <w:t>“</w:t>
      </w:r>
      <w:r w:rsidR="005C1675" w:rsidRPr="00EF5A3A">
        <w:rPr>
          <w:color w:val="000000" w:themeColor="text1"/>
          <w:szCs w:val="26"/>
        </w:rPr>
        <w:t>admoni</w:t>
      </w:r>
      <w:r w:rsidR="002E773A" w:rsidRPr="00EF5A3A">
        <w:rPr>
          <w:color w:val="000000" w:themeColor="text1"/>
          <w:szCs w:val="26"/>
        </w:rPr>
        <w:t>[</w:t>
      </w:r>
      <w:r w:rsidR="008E3EDE" w:rsidRPr="00EF5A3A">
        <w:rPr>
          <w:color w:val="000000" w:themeColor="text1"/>
          <w:szCs w:val="26"/>
        </w:rPr>
        <w:t>sh</w:t>
      </w:r>
      <w:r w:rsidR="009A4E07" w:rsidRPr="00EF5A3A">
        <w:rPr>
          <w:color w:val="000000" w:themeColor="text1"/>
          <w:szCs w:val="26"/>
        </w:rPr>
        <w:t>ed</w:t>
      </w:r>
      <w:r w:rsidR="007A0B8E" w:rsidRPr="00EF5A3A">
        <w:rPr>
          <w:color w:val="000000" w:themeColor="text1"/>
          <w:szCs w:val="26"/>
        </w:rPr>
        <w:t>]</w:t>
      </w:r>
      <w:r w:rsidR="008E3EDE" w:rsidRPr="00EF5A3A">
        <w:rPr>
          <w:color w:val="000000" w:themeColor="text1"/>
          <w:szCs w:val="26"/>
        </w:rPr>
        <w:t xml:space="preserve"> </w:t>
      </w:r>
      <w:r w:rsidR="007A0B8E" w:rsidRPr="00EF5A3A">
        <w:rPr>
          <w:color w:val="000000" w:themeColor="text1"/>
          <w:szCs w:val="26"/>
        </w:rPr>
        <w:t>. . </w:t>
      </w:r>
      <w:r w:rsidR="00B77A33" w:rsidRPr="00EF5A3A">
        <w:rPr>
          <w:color w:val="000000" w:themeColor="text1"/>
          <w:szCs w:val="26"/>
        </w:rPr>
        <w:t xml:space="preserve">. </w:t>
      </w:r>
      <w:r w:rsidR="008F22D6" w:rsidRPr="00EF5A3A">
        <w:rPr>
          <w:color w:val="000000" w:themeColor="text1"/>
          <w:szCs w:val="26"/>
        </w:rPr>
        <w:t xml:space="preserve">members of the bar </w:t>
      </w:r>
      <w:r w:rsidR="007A0B8E" w:rsidRPr="00EF5A3A">
        <w:rPr>
          <w:color w:val="000000" w:themeColor="text1"/>
          <w:szCs w:val="26"/>
        </w:rPr>
        <w:t>. . </w:t>
      </w:r>
      <w:r w:rsidR="009A4E07" w:rsidRPr="00EF5A3A">
        <w:rPr>
          <w:color w:val="000000" w:themeColor="text1"/>
          <w:szCs w:val="26"/>
        </w:rPr>
        <w:t xml:space="preserve">. </w:t>
      </w:r>
      <w:r w:rsidR="008F22D6" w:rsidRPr="00EF5A3A">
        <w:rPr>
          <w:color w:val="000000" w:themeColor="text1"/>
          <w:szCs w:val="26"/>
        </w:rPr>
        <w:t>to cease appealing from such an obviously nonappealable order.”</w:t>
      </w:r>
      <w:r w:rsidR="005C1675" w:rsidRPr="00EF5A3A">
        <w:rPr>
          <w:color w:val="000000" w:themeColor="text1"/>
          <w:szCs w:val="26"/>
        </w:rPr>
        <w:t xml:space="preserve">  (</w:t>
      </w:r>
      <w:r w:rsidR="005C1675" w:rsidRPr="00EF5A3A">
        <w:rPr>
          <w:i/>
          <w:iCs/>
          <w:color w:val="000000" w:themeColor="text1"/>
          <w:szCs w:val="26"/>
        </w:rPr>
        <w:t>Id</w:t>
      </w:r>
      <w:r w:rsidR="005C1675" w:rsidRPr="00EF5A3A">
        <w:rPr>
          <w:color w:val="000000" w:themeColor="text1"/>
          <w:szCs w:val="26"/>
        </w:rPr>
        <w:t>. at p. 15</w:t>
      </w:r>
      <w:r w:rsidR="002E773A" w:rsidRPr="00EF5A3A">
        <w:rPr>
          <w:color w:val="000000" w:themeColor="text1"/>
          <w:szCs w:val="26"/>
        </w:rPr>
        <w:t>6</w:t>
      </w:r>
      <w:r w:rsidR="005C1675" w:rsidRPr="00EF5A3A">
        <w:rPr>
          <w:color w:val="000000" w:themeColor="text1"/>
          <w:szCs w:val="26"/>
        </w:rPr>
        <w:t xml:space="preserve">.) </w:t>
      </w:r>
      <w:r w:rsidR="00E93081" w:rsidRPr="00EF5A3A">
        <w:rPr>
          <w:color w:val="000000" w:themeColor="text1"/>
          <w:szCs w:val="26"/>
        </w:rPr>
        <w:t xml:space="preserve"> </w:t>
      </w:r>
    </w:p>
    <w:p w14:paraId="21BAFB79" w14:textId="30F78C4C" w:rsidR="00686CB6" w:rsidRPr="00EF5A3A" w:rsidRDefault="00E93081" w:rsidP="0033062A">
      <w:pPr>
        <w:ind w:firstLine="720"/>
        <w:rPr>
          <w:color w:val="000000" w:themeColor="text1"/>
          <w:szCs w:val="26"/>
        </w:rPr>
      </w:pPr>
      <w:r w:rsidRPr="00EF5A3A">
        <w:rPr>
          <w:color w:val="000000" w:themeColor="text1"/>
          <w:szCs w:val="26"/>
        </w:rPr>
        <w:t xml:space="preserve">In </w:t>
      </w:r>
      <w:r w:rsidRPr="00EF5A3A">
        <w:rPr>
          <w:i/>
          <w:color w:val="000000" w:themeColor="text1"/>
          <w:szCs w:val="26"/>
        </w:rPr>
        <w:t>Walker</w:t>
      </w:r>
      <w:r w:rsidR="003732D0" w:rsidRPr="00EF5A3A">
        <w:rPr>
          <w:color w:val="000000" w:themeColor="text1"/>
          <w:szCs w:val="26"/>
        </w:rPr>
        <w:t xml:space="preserve">, </w:t>
      </w:r>
      <w:r w:rsidRPr="00EF5A3A">
        <w:rPr>
          <w:color w:val="000000" w:themeColor="text1"/>
          <w:szCs w:val="26"/>
        </w:rPr>
        <w:t>w</w:t>
      </w:r>
      <w:r w:rsidR="002131C8" w:rsidRPr="00EF5A3A">
        <w:rPr>
          <w:color w:val="000000" w:themeColor="text1"/>
          <w:szCs w:val="26"/>
        </w:rPr>
        <w:t xml:space="preserve">e </w:t>
      </w:r>
      <w:r w:rsidR="001D6D67" w:rsidRPr="00EF5A3A">
        <w:rPr>
          <w:color w:val="000000" w:themeColor="text1"/>
          <w:szCs w:val="26"/>
        </w:rPr>
        <w:t xml:space="preserve">agreed with the Court of Appeal’s </w:t>
      </w:r>
      <w:r w:rsidR="004C2BB4" w:rsidRPr="00EF5A3A">
        <w:rPr>
          <w:color w:val="000000" w:themeColor="text1"/>
          <w:szCs w:val="26"/>
        </w:rPr>
        <w:t xml:space="preserve">finding </w:t>
      </w:r>
      <w:r w:rsidR="001D6D67" w:rsidRPr="00EF5A3A">
        <w:rPr>
          <w:color w:val="000000" w:themeColor="text1"/>
          <w:szCs w:val="26"/>
        </w:rPr>
        <w:t xml:space="preserve">that </w:t>
      </w:r>
      <w:r w:rsidR="002131C8" w:rsidRPr="00EF5A3A">
        <w:rPr>
          <w:color w:val="000000" w:themeColor="text1"/>
          <w:szCs w:val="26"/>
        </w:rPr>
        <w:t>“</w:t>
      </w:r>
      <w:r w:rsidR="00772D8F" w:rsidRPr="00EF5A3A">
        <w:rPr>
          <w:color w:val="000000" w:themeColor="text1"/>
          <w:szCs w:val="26"/>
        </w:rPr>
        <w:t>an order denying a motion for new trial is not independently appealable</w:t>
      </w:r>
      <w:r w:rsidR="005C1675" w:rsidRPr="00EF5A3A">
        <w:rPr>
          <w:color w:val="000000" w:themeColor="text1"/>
          <w:szCs w:val="26"/>
        </w:rPr>
        <w:t>,</w:t>
      </w:r>
      <w:r w:rsidR="00772D8F" w:rsidRPr="00EF5A3A">
        <w:rPr>
          <w:color w:val="000000" w:themeColor="text1"/>
          <w:szCs w:val="26"/>
        </w:rPr>
        <w:t>”</w:t>
      </w:r>
      <w:r w:rsidR="002131C8" w:rsidRPr="00EF5A3A">
        <w:rPr>
          <w:color w:val="000000" w:themeColor="text1"/>
          <w:szCs w:val="26"/>
        </w:rPr>
        <w:t xml:space="preserve"> and that the plaintiff had “thus plainly erred in seeking to appeal from the </w:t>
      </w:r>
      <w:r w:rsidR="007A0B8E" w:rsidRPr="00EF5A3A">
        <w:rPr>
          <w:color w:val="000000" w:themeColor="text1"/>
          <w:szCs w:val="26"/>
        </w:rPr>
        <w:t>. . . </w:t>
      </w:r>
      <w:r w:rsidR="003635F0" w:rsidRPr="00EF5A3A">
        <w:rPr>
          <w:color w:val="000000" w:themeColor="text1"/>
          <w:szCs w:val="26"/>
        </w:rPr>
        <w:t>order</w:t>
      </w:r>
      <w:r w:rsidR="002131C8" w:rsidRPr="00EF5A3A">
        <w:rPr>
          <w:color w:val="000000" w:themeColor="text1"/>
          <w:szCs w:val="26"/>
        </w:rPr>
        <w:t xml:space="preserve"> . . . rather than from the</w:t>
      </w:r>
      <w:r w:rsidR="004E7E85" w:rsidRPr="00EF5A3A">
        <w:rPr>
          <w:color w:val="000000" w:themeColor="text1"/>
          <w:szCs w:val="26"/>
        </w:rPr>
        <w:t xml:space="preserve"> </w:t>
      </w:r>
      <w:r w:rsidR="007A0B8E" w:rsidRPr="00EF5A3A">
        <w:rPr>
          <w:color w:val="000000" w:themeColor="text1"/>
          <w:szCs w:val="26"/>
        </w:rPr>
        <w:t>. . </w:t>
      </w:r>
      <w:r w:rsidR="002131C8" w:rsidRPr="00EF5A3A">
        <w:rPr>
          <w:color w:val="000000" w:themeColor="text1"/>
          <w:szCs w:val="26"/>
        </w:rPr>
        <w:t>. judgment</w:t>
      </w:r>
      <w:r w:rsidR="007A0B8E" w:rsidRPr="00EF5A3A">
        <w:rPr>
          <w:color w:val="000000" w:themeColor="text1"/>
          <w:szCs w:val="26"/>
        </w:rPr>
        <w:t> . . . </w:t>
      </w:r>
      <w:r w:rsidR="002131C8" w:rsidRPr="00EF5A3A">
        <w:rPr>
          <w:color w:val="000000" w:themeColor="text1"/>
          <w:szCs w:val="26"/>
        </w:rPr>
        <w:t xml:space="preserve">.” </w:t>
      </w:r>
      <w:r w:rsidR="005C1675" w:rsidRPr="00EF5A3A">
        <w:rPr>
          <w:color w:val="000000" w:themeColor="text1"/>
          <w:szCs w:val="26"/>
        </w:rPr>
        <w:t xml:space="preserve"> </w:t>
      </w:r>
      <w:r w:rsidR="002131C8" w:rsidRPr="00EF5A3A">
        <w:rPr>
          <w:color w:val="000000" w:themeColor="text1"/>
          <w:szCs w:val="26"/>
        </w:rPr>
        <w:t>(</w:t>
      </w:r>
      <w:r w:rsidR="002131C8" w:rsidRPr="00EF5A3A">
        <w:rPr>
          <w:i/>
          <w:iCs/>
          <w:color w:val="000000" w:themeColor="text1"/>
          <w:szCs w:val="26"/>
        </w:rPr>
        <w:t xml:space="preserve">Walker, </w:t>
      </w:r>
      <w:r w:rsidR="002131C8" w:rsidRPr="00EF5A3A">
        <w:rPr>
          <w:color w:val="000000" w:themeColor="text1"/>
          <w:szCs w:val="26"/>
        </w:rPr>
        <w:t>at p</w:t>
      </w:r>
      <w:r w:rsidR="007A0B8E" w:rsidRPr="00EF5A3A">
        <w:rPr>
          <w:color w:val="000000" w:themeColor="text1"/>
          <w:szCs w:val="26"/>
        </w:rPr>
        <w:t>. </w:t>
      </w:r>
      <w:r w:rsidR="002131C8" w:rsidRPr="00EF5A3A">
        <w:rPr>
          <w:color w:val="000000" w:themeColor="text1"/>
          <w:szCs w:val="26"/>
        </w:rPr>
        <w:t>19</w:t>
      </w:r>
      <w:r w:rsidR="007A0B8E" w:rsidRPr="00EF5A3A">
        <w:rPr>
          <w:color w:val="000000" w:themeColor="text1"/>
          <w:szCs w:val="26"/>
        </w:rPr>
        <w:t>, italics omitted</w:t>
      </w:r>
      <w:r w:rsidR="002131C8" w:rsidRPr="00EF5A3A">
        <w:rPr>
          <w:color w:val="000000" w:themeColor="text1"/>
          <w:szCs w:val="26"/>
        </w:rPr>
        <w:t xml:space="preserve">.)  </w:t>
      </w:r>
      <w:r w:rsidR="004C2BB4" w:rsidRPr="00EF5A3A">
        <w:rPr>
          <w:color w:val="000000" w:themeColor="text1"/>
          <w:szCs w:val="26"/>
        </w:rPr>
        <w:t>W</w:t>
      </w:r>
      <w:r w:rsidR="00B77A33" w:rsidRPr="00EF5A3A">
        <w:rPr>
          <w:color w:val="000000" w:themeColor="text1"/>
          <w:szCs w:val="26"/>
        </w:rPr>
        <w:t>e disagreed</w:t>
      </w:r>
      <w:r w:rsidR="004C2BB4" w:rsidRPr="00EF5A3A">
        <w:rPr>
          <w:color w:val="000000" w:themeColor="text1"/>
          <w:szCs w:val="26"/>
        </w:rPr>
        <w:t>, however,</w:t>
      </w:r>
      <w:r w:rsidR="00B77A33" w:rsidRPr="00EF5A3A">
        <w:rPr>
          <w:color w:val="000000" w:themeColor="text1"/>
          <w:szCs w:val="26"/>
        </w:rPr>
        <w:t xml:space="preserve"> that </w:t>
      </w:r>
      <w:r w:rsidR="00B77A33" w:rsidRPr="00EF5A3A">
        <w:rPr>
          <w:i/>
          <w:iCs/>
          <w:color w:val="000000" w:themeColor="text1"/>
          <w:szCs w:val="26"/>
        </w:rPr>
        <w:t>Rodriguez</w:t>
      </w:r>
      <w:r w:rsidR="00B77A33" w:rsidRPr="00EF5A3A">
        <w:rPr>
          <w:color w:val="000000" w:themeColor="text1"/>
          <w:szCs w:val="26"/>
        </w:rPr>
        <w:t xml:space="preserve"> precluded </w:t>
      </w:r>
      <w:r w:rsidR="00931D8B" w:rsidRPr="00EF5A3A">
        <w:rPr>
          <w:color w:val="000000" w:themeColor="text1"/>
          <w:szCs w:val="26"/>
        </w:rPr>
        <w:t>the Court of Appeal</w:t>
      </w:r>
      <w:r w:rsidR="004C2BB4" w:rsidRPr="00EF5A3A">
        <w:rPr>
          <w:color w:val="000000" w:themeColor="text1"/>
          <w:szCs w:val="26"/>
        </w:rPr>
        <w:t xml:space="preserve"> </w:t>
      </w:r>
      <w:r w:rsidR="00B77A33" w:rsidRPr="00EF5A3A">
        <w:rPr>
          <w:color w:val="000000" w:themeColor="text1"/>
          <w:szCs w:val="26"/>
        </w:rPr>
        <w:t xml:space="preserve">from </w:t>
      </w:r>
      <w:r w:rsidR="0030327F" w:rsidRPr="00EF5A3A">
        <w:rPr>
          <w:color w:val="000000" w:themeColor="text1"/>
          <w:szCs w:val="26"/>
        </w:rPr>
        <w:t>“</w:t>
      </w:r>
      <w:r w:rsidR="005C1675" w:rsidRPr="00EF5A3A">
        <w:rPr>
          <w:color w:val="000000" w:themeColor="text1"/>
          <w:szCs w:val="26"/>
        </w:rPr>
        <w:t xml:space="preserve">construing the notice </w:t>
      </w:r>
      <w:r w:rsidR="00B77A33" w:rsidRPr="00EF5A3A">
        <w:rPr>
          <w:color w:val="000000" w:themeColor="text1"/>
          <w:szCs w:val="26"/>
        </w:rPr>
        <w:t>to</w:t>
      </w:r>
      <w:r w:rsidR="005C1675" w:rsidRPr="00EF5A3A">
        <w:rPr>
          <w:color w:val="000000" w:themeColor="text1"/>
          <w:szCs w:val="26"/>
        </w:rPr>
        <w:t xml:space="preserve"> encompass the underlying judgment</w:t>
      </w:r>
      <w:r w:rsidR="0030327F" w:rsidRPr="00EF5A3A">
        <w:rPr>
          <w:color w:val="000000" w:themeColor="text1"/>
          <w:szCs w:val="26"/>
        </w:rPr>
        <w:t>” (</w:t>
      </w:r>
      <w:r w:rsidR="003732D0" w:rsidRPr="00EF5A3A">
        <w:rPr>
          <w:i/>
          <w:iCs/>
          <w:color w:val="000000" w:themeColor="text1"/>
          <w:szCs w:val="26"/>
        </w:rPr>
        <w:t>ibid</w:t>
      </w:r>
      <w:r w:rsidR="0030327F" w:rsidRPr="00EF5A3A">
        <w:rPr>
          <w:color w:val="000000" w:themeColor="text1"/>
          <w:szCs w:val="26"/>
        </w:rPr>
        <w:t>.)</w:t>
      </w:r>
      <w:r w:rsidR="006508AE" w:rsidRPr="00EF5A3A">
        <w:rPr>
          <w:color w:val="000000" w:themeColor="text1"/>
          <w:szCs w:val="26"/>
        </w:rPr>
        <w:t xml:space="preserve">, explaining that the dismissal in </w:t>
      </w:r>
      <w:r w:rsidR="0030327F" w:rsidRPr="00EF5A3A">
        <w:rPr>
          <w:i/>
          <w:iCs/>
          <w:color w:val="000000" w:themeColor="text1"/>
          <w:szCs w:val="26"/>
        </w:rPr>
        <w:t>Rodriguez</w:t>
      </w:r>
      <w:r w:rsidR="006508AE" w:rsidRPr="00EF5A3A">
        <w:rPr>
          <w:color w:val="000000" w:themeColor="text1"/>
          <w:szCs w:val="26"/>
        </w:rPr>
        <w:t xml:space="preserve"> </w:t>
      </w:r>
      <w:r w:rsidR="0030327F" w:rsidRPr="00EF5A3A">
        <w:rPr>
          <w:color w:val="000000" w:themeColor="text1"/>
          <w:szCs w:val="26"/>
        </w:rPr>
        <w:t>did not have “the effect of closing the doors to the party’s appeal since</w:t>
      </w:r>
      <w:r w:rsidR="00211539" w:rsidRPr="00EF5A3A">
        <w:rPr>
          <w:color w:val="000000" w:themeColor="text1"/>
          <w:szCs w:val="26"/>
        </w:rPr>
        <w:t xml:space="preserve"> . . . </w:t>
      </w:r>
      <w:r w:rsidR="0030327F" w:rsidRPr="00EF5A3A">
        <w:rPr>
          <w:color w:val="000000" w:themeColor="text1"/>
          <w:szCs w:val="26"/>
        </w:rPr>
        <w:t xml:space="preserve">the appealing party </w:t>
      </w:r>
      <w:r w:rsidR="00B77A33" w:rsidRPr="00EF5A3A">
        <w:rPr>
          <w:color w:val="000000" w:themeColor="text1"/>
          <w:szCs w:val="26"/>
        </w:rPr>
        <w:t xml:space="preserve">[in that case] </w:t>
      </w:r>
      <w:r w:rsidR="0030327F" w:rsidRPr="00EF5A3A">
        <w:rPr>
          <w:color w:val="000000" w:themeColor="text1"/>
          <w:szCs w:val="26"/>
        </w:rPr>
        <w:t>had filed both a notice of appeal from the order denying a new trial and a timely notice of appeal from the underlying judgment</w:t>
      </w:r>
      <w:r w:rsidR="00FF3499" w:rsidRPr="00EF5A3A">
        <w:rPr>
          <w:color w:val="000000" w:themeColor="text1"/>
          <w:szCs w:val="26"/>
        </w:rPr>
        <w:t xml:space="preserve">. . . . </w:t>
      </w:r>
      <w:r w:rsidR="0030327F" w:rsidRPr="00EF5A3A">
        <w:rPr>
          <w:color w:val="000000" w:themeColor="text1"/>
          <w:szCs w:val="26"/>
        </w:rPr>
        <w:t xml:space="preserve"> [¶]  In this case, only </w:t>
      </w:r>
      <w:r w:rsidR="0030327F" w:rsidRPr="00EF5A3A">
        <w:rPr>
          <w:i/>
          <w:iCs/>
          <w:color w:val="000000" w:themeColor="text1"/>
          <w:szCs w:val="26"/>
        </w:rPr>
        <w:t>one</w:t>
      </w:r>
      <w:r w:rsidR="0030327F" w:rsidRPr="00EF5A3A">
        <w:rPr>
          <w:color w:val="000000" w:themeColor="text1"/>
          <w:szCs w:val="26"/>
        </w:rPr>
        <w:t xml:space="preserve"> notice of appeal was filed, and dismissal would have the effect of completely denying [plaintiff] an appeal.” </w:t>
      </w:r>
      <w:r w:rsidR="008A7F13" w:rsidRPr="00EF5A3A">
        <w:rPr>
          <w:color w:val="000000" w:themeColor="text1"/>
          <w:szCs w:val="26"/>
        </w:rPr>
        <w:t xml:space="preserve"> </w:t>
      </w:r>
      <w:r w:rsidR="0030327F" w:rsidRPr="00EF5A3A">
        <w:rPr>
          <w:color w:val="000000" w:themeColor="text1"/>
          <w:szCs w:val="26"/>
        </w:rPr>
        <w:t>(</w:t>
      </w:r>
      <w:r w:rsidR="003732D0" w:rsidRPr="00EF5A3A">
        <w:rPr>
          <w:i/>
          <w:iCs/>
          <w:color w:val="000000" w:themeColor="text1"/>
          <w:szCs w:val="26"/>
        </w:rPr>
        <w:t>Id.</w:t>
      </w:r>
      <w:r w:rsidR="0030327F" w:rsidRPr="00EF5A3A">
        <w:rPr>
          <w:i/>
          <w:iCs/>
          <w:color w:val="000000" w:themeColor="text1"/>
          <w:szCs w:val="26"/>
        </w:rPr>
        <w:t xml:space="preserve"> </w:t>
      </w:r>
      <w:r w:rsidR="0030327F" w:rsidRPr="00EF5A3A">
        <w:rPr>
          <w:color w:val="000000" w:themeColor="text1"/>
          <w:szCs w:val="26"/>
        </w:rPr>
        <w:t>at p. 20</w:t>
      </w:r>
      <w:r w:rsidR="008A7F13" w:rsidRPr="00EF5A3A">
        <w:rPr>
          <w:color w:val="000000" w:themeColor="text1"/>
          <w:szCs w:val="26"/>
        </w:rPr>
        <w:t>, italics omitted</w:t>
      </w:r>
      <w:r w:rsidR="0030327F" w:rsidRPr="00EF5A3A">
        <w:rPr>
          <w:color w:val="000000" w:themeColor="text1"/>
          <w:szCs w:val="26"/>
        </w:rPr>
        <w:t>.)</w:t>
      </w:r>
      <w:r w:rsidR="007A0B8E" w:rsidRPr="00EF5A3A">
        <w:rPr>
          <w:color w:val="000000" w:themeColor="text1"/>
          <w:szCs w:val="26"/>
        </w:rPr>
        <w:t xml:space="preserve">  Finally w</w:t>
      </w:r>
      <w:r w:rsidR="00A95AA9" w:rsidRPr="00EF5A3A">
        <w:rPr>
          <w:color w:val="000000" w:themeColor="text1"/>
          <w:szCs w:val="26"/>
        </w:rPr>
        <w:t>e</w:t>
      </w:r>
      <w:r w:rsidR="00B77A33" w:rsidRPr="00EF5A3A">
        <w:rPr>
          <w:color w:val="000000" w:themeColor="text1"/>
          <w:szCs w:val="26"/>
        </w:rPr>
        <w:t xml:space="preserve"> </w:t>
      </w:r>
      <w:r w:rsidR="006508AE" w:rsidRPr="00EF5A3A">
        <w:rPr>
          <w:color w:val="000000" w:themeColor="text1"/>
          <w:szCs w:val="26"/>
        </w:rPr>
        <w:t>held</w:t>
      </w:r>
      <w:r w:rsidR="005C0A59" w:rsidRPr="00EF5A3A">
        <w:rPr>
          <w:color w:val="000000" w:themeColor="text1"/>
          <w:szCs w:val="26"/>
        </w:rPr>
        <w:t xml:space="preserve"> </w:t>
      </w:r>
      <w:r w:rsidR="00B77A33" w:rsidRPr="00EF5A3A">
        <w:rPr>
          <w:color w:val="000000" w:themeColor="text1"/>
          <w:szCs w:val="26"/>
        </w:rPr>
        <w:t>that “</w:t>
      </w:r>
      <w:r w:rsidR="007A0B8E" w:rsidRPr="00EF5A3A">
        <w:rPr>
          <w:color w:val="000000" w:themeColor="text1"/>
          <w:szCs w:val="26"/>
        </w:rPr>
        <w:t>[</w:t>
      </w:r>
      <w:r w:rsidR="00B77A33" w:rsidRPr="00EF5A3A">
        <w:rPr>
          <w:color w:val="000000" w:themeColor="text1"/>
          <w:szCs w:val="26"/>
        </w:rPr>
        <w:t>b</w:t>
      </w:r>
      <w:r w:rsidR="007A0B8E" w:rsidRPr="00EF5A3A">
        <w:rPr>
          <w:color w:val="000000" w:themeColor="text1"/>
          <w:szCs w:val="26"/>
        </w:rPr>
        <w:t>]</w:t>
      </w:r>
      <w:r w:rsidR="00B77A33" w:rsidRPr="00EF5A3A">
        <w:rPr>
          <w:color w:val="000000" w:themeColor="text1"/>
          <w:szCs w:val="26"/>
        </w:rPr>
        <w:t>ecause ‘[t]he law aspires to respect substance over formalism and nomenclature’ [</w:t>
      </w:r>
      <w:r w:rsidR="00211539" w:rsidRPr="00EF5A3A">
        <w:rPr>
          <w:color w:val="000000" w:themeColor="text1"/>
          <w:szCs w:val="26"/>
        </w:rPr>
        <w:t>c</w:t>
      </w:r>
      <w:r w:rsidR="00B77A33" w:rsidRPr="00EF5A3A">
        <w:rPr>
          <w:color w:val="000000" w:themeColor="text1"/>
          <w:szCs w:val="26"/>
        </w:rPr>
        <w:t>itation], a reviewing court should construe a notice of appeal from an order denying a new trial to be an appeal from the underlying judgment when it is reasonably clear the appellant intended to appeal from the judgment and the respondent would not be misled or prejudiced.”  (</w:t>
      </w:r>
      <w:r w:rsidR="003732D0" w:rsidRPr="00EF5A3A">
        <w:rPr>
          <w:i/>
          <w:iCs/>
          <w:color w:val="000000" w:themeColor="text1"/>
          <w:szCs w:val="26"/>
        </w:rPr>
        <w:t xml:space="preserve">Id. </w:t>
      </w:r>
      <w:r w:rsidR="00B77A33" w:rsidRPr="00EF5A3A">
        <w:rPr>
          <w:color w:val="000000" w:themeColor="text1"/>
          <w:szCs w:val="26"/>
        </w:rPr>
        <w:t>at p</w:t>
      </w:r>
      <w:r w:rsidR="007A0B8E" w:rsidRPr="00EF5A3A">
        <w:rPr>
          <w:color w:val="000000" w:themeColor="text1"/>
          <w:szCs w:val="26"/>
        </w:rPr>
        <w:t>. </w:t>
      </w:r>
      <w:r w:rsidR="00B77A33" w:rsidRPr="00EF5A3A">
        <w:rPr>
          <w:color w:val="000000" w:themeColor="text1"/>
          <w:szCs w:val="26"/>
        </w:rPr>
        <w:t xml:space="preserve">22.)  </w:t>
      </w:r>
      <w:bookmarkStart w:id="7" w:name="_Hlk15904704"/>
    </w:p>
    <w:bookmarkEnd w:id="7"/>
    <w:p w14:paraId="1D4E1CF0" w14:textId="021A56D6" w:rsidR="00CD4FE0" w:rsidRPr="00EF5A3A" w:rsidRDefault="008A7F13" w:rsidP="00EF5A3A">
      <w:pPr>
        <w:pStyle w:val="Heading2"/>
      </w:pPr>
      <w:r w:rsidRPr="00EF5A3A">
        <w:lastRenderedPageBreak/>
        <w:t>B</w:t>
      </w:r>
      <w:r w:rsidR="00A13465" w:rsidRPr="00EF5A3A">
        <w:t>.</w:t>
      </w:r>
      <w:r w:rsidR="00201C3D" w:rsidRPr="00EF5A3A">
        <w:t xml:space="preserve"> </w:t>
      </w:r>
      <w:bookmarkStart w:id="8" w:name="_Hlk26182330"/>
      <w:r w:rsidR="00D66057" w:rsidRPr="00EF5A3A">
        <w:t xml:space="preserve">The </w:t>
      </w:r>
      <w:r w:rsidR="007C1C59" w:rsidRPr="00EF5A3A">
        <w:t xml:space="preserve">Court of Appeal Erred in Concluding </w:t>
      </w:r>
      <w:r w:rsidR="00E2038E">
        <w:t>T</w:t>
      </w:r>
      <w:r w:rsidR="007C1C59" w:rsidRPr="00EF5A3A">
        <w:t xml:space="preserve">hat a Notice of Appeal Cannot Be Liberally Construed </w:t>
      </w:r>
      <w:proofErr w:type="gramStart"/>
      <w:r w:rsidR="00E2038E">
        <w:t>T</w:t>
      </w:r>
      <w:r w:rsidR="007C1C59" w:rsidRPr="00EF5A3A">
        <w:t>o</w:t>
      </w:r>
      <w:proofErr w:type="gramEnd"/>
      <w:r w:rsidR="007C1C59" w:rsidRPr="00EF5A3A">
        <w:t xml:space="preserve"> Include an Unnamed Party</w:t>
      </w:r>
      <w:bookmarkEnd w:id="8"/>
    </w:p>
    <w:p w14:paraId="58B8DDB5" w14:textId="5AABB1A2" w:rsidR="000A13AE" w:rsidRPr="00EF5A3A" w:rsidRDefault="00201C3D" w:rsidP="00EF5A3A">
      <w:pPr>
        <w:ind w:firstLine="720"/>
        <w:rPr>
          <w:color w:val="000000" w:themeColor="text1"/>
          <w:szCs w:val="26"/>
        </w:rPr>
      </w:pPr>
      <w:r w:rsidRPr="00EF5A3A">
        <w:rPr>
          <w:color w:val="000000" w:themeColor="text1"/>
          <w:szCs w:val="26"/>
        </w:rPr>
        <w:t>Based on the reasoning of our decisions above, w</w:t>
      </w:r>
      <w:r w:rsidR="002E6CC8" w:rsidRPr="00EF5A3A">
        <w:rPr>
          <w:color w:val="000000" w:themeColor="text1"/>
          <w:szCs w:val="26"/>
        </w:rPr>
        <w:t xml:space="preserve">e agree with Carrillo that a reviewing court is not categorically precluded from construing a notice of appeal from a sanctions order to include a sanctioned attorney who is not referenced in the notice.  </w:t>
      </w:r>
      <w:r w:rsidR="00DA513B" w:rsidRPr="00EF5A3A">
        <w:rPr>
          <w:color w:val="000000" w:themeColor="text1"/>
          <w:szCs w:val="26"/>
        </w:rPr>
        <w:t xml:space="preserve">Applying the </w:t>
      </w:r>
      <w:r w:rsidR="000D4CA2" w:rsidRPr="00EF5A3A">
        <w:rPr>
          <w:color w:val="000000" w:themeColor="text1"/>
          <w:szCs w:val="26"/>
        </w:rPr>
        <w:t xml:space="preserve">standard </w:t>
      </w:r>
      <w:r w:rsidR="00DA513B" w:rsidRPr="00EF5A3A">
        <w:rPr>
          <w:color w:val="000000" w:themeColor="text1"/>
          <w:szCs w:val="26"/>
        </w:rPr>
        <w:t xml:space="preserve">set forth in </w:t>
      </w:r>
      <w:r w:rsidR="00DA513B" w:rsidRPr="00EF5A3A">
        <w:rPr>
          <w:i/>
          <w:iCs/>
          <w:color w:val="000000" w:themeColor="text1"/>
          <w:szCs w:val="26"/>
        </w:rPr>
        <w:t>Walker</w:t>
      </w:r>
      <w:r w:rsidR="00DA513B" w:rsidRPr="00EF5A3A">
        <w:rPr>
          <w:color w:val="000000" w:themeColor="text1"/>
          <w:szCs w:val="26"/>
        </w:rPr>
        <w:t xml:space="preserve">, </w:t>
      </w:r>
      <w:r w:rsidR="00D50C34" w:rsidRPr="00EF5A3A">
        <w:rPr>
          <w:i/>
          <w:color w:val="000000" w:themeColor="text1"/>
          <w:szCs w:val="26"/>
        </w:rPr>
        <w:t>supra</w:t>
      </w:r>
      <w:r w:rsidR="00D50C34" w:rsidRPr="00EF5A3A">
        <w:rPr>
          <w:color w:val="000000" w:themeColor="text1"/>
          <w:szCs w:val="26"/>
        </w:rPr>
        <w:t xml:space="preserve">, 35 Cal.4th 15, </w:t>
      </w:r>
      <w:r w:rsidR="00DA513B" w:rsidRPr="00EF5A3A">
        <w:rPr>
          <w:color w:val="000000" w:themeColor="text1"/>
          <w:szCs w:val="26"/>
        </w:rPr>
        <w:t>we</w:t>
      </w:r>
      <w:r w:rsidR="003635F0" w:rsidRPr="00EF5A3A">
        <w:rPr>
          <w:color w:val="000000" w:themeColor="text1"/>
          <w:szCs w:val="26"/>
        </w:rPr>
        <w:t xml:space="preserve"> conclude that a</w:t>
      </w:r>
      <w:r w:rsidR="002E6CC8" w:rsidRPr="00EF5A3A">
        <w:rPr>
          <w:color w:val="000000" w:themeColor="text1"/>
          <w:szCs w:val="26"/>
        </w:rPr>
        <w:t xml:space="preserve"> reviewing court </w:t>
      </w:r>
      <w:r w:rsidR="00D16648" w:rsidRPr="00EF5A3A">
        <w:rPr>
          <w:color w:val="000000" w:themeColor="text1"/>
          <w:szCs w:val="26"/>
        </w:rPr>
        <w:t xml:space="preserve">must </w:t>
      </w:r>
      <w:r w:rsidR="002E6CC8" w:rsidRPr="00EF5A3A">
        <w:rPr>
          <w:color w:val="000000" w:themeColor="text1"/>
          <w:szCs w:val="26"/>
        </w:rPr>
        <w:t xml:space="preserve">construe a </w:t>
      </w:r>
      <w:r w:rsidR="00DA513B" w:rsidRPr="00EF5A3A">
        <w:rPr>
          <w:color w:val="000000" w:themeColor="text1"/>
          <w:szCs w:val="26"/>
        </w:rPr>
        <w:t xml:space="preserve">notice of appeal from a </w:t>
      </w:r>
      <w:r w:rsidR="00557FE8" w:rsidRPr="00EF5A3A">
        <w:rPr>
          <w:color w:val="000000" w:themeColor="text1"/>
          <w:szCs w:val="26"/>
        </w:rPr>
        <w:t xml:space="preserve">sanctions order </w:t>
      </w:r>
      <w:r w:rsidR="00224B88" w:rsidRPr="00EF5A3A">
        <w:rPr>
          <w:color w:val="000000" w:themeColor="text1"/>
          <w:szCs w:val="26"/>
        </w:rPr>
        <w:t xml:space="preserve">to </w:t>
      </w:r>
      <w:r w:rsidR="00557FE8" w:rsidRPr="00EF5A3A">
        <w:rPr>
          <w:color w:val="000000" w:themeColor="text1"/>
          <w:szCs w:val="26"/>
        </w:rPr>
        <w:t>include a</w:t>
      </w:r>
      <w:r w:rsidR="000A13AE" w:rsidRPr="00EF5A3A">
        <w:rPr>
          <w:color w:val="000000" w:themeColor="text1"/>
          <w:szCs w:val="26"/>
        </w:rPr>
        <w:t xml:space="preserve">n omitted </w:t>
      </w:r>
      <w:r w:rsidR="00557FE8" w:rsidRPr="00EF5A3A">
        <w:rPr>
          <w:color w:val="000000" w:themeColor="text1"/>
          <w:szCs w:val="26"/>
        </w:rPr>
        <w:t xml:space="preserve">attorney </w:t>
      </w:r>
      <w:bookmarkStart w:id="9" w:name="_Hlk24541535"/>
      <w:r w:rsidR="00224B88" w:rsidRPr="00EF5A3A">
        <w:rPr>
          <w:color w:val="000000" w:themeColor="text1"/>
          <w:szCs w:val="26"/>
        </w:rPr>
        <w:t>when it is reasonably clear that</w:t>
      </w:r>
      <w:r w:rsidR="0088584F" w:rsidRPr="00EF5A3A">
        <w:rPr>
          <w:color w:val="000000" w:themeColor="text1"/>
          <w:szCs w:val="26"/>
        </w:rPr>
        <w:t xml:space="preserve"> the attorney intended </w:t>
      </w:r>
      <w:r w:rsidR="00B9630F" w:rsidRPr="00EF5A3A">
        <w:rPr>
          <w:color w:val="000000" w:themeColor="text1"/>
          <w:szCs w:val="26"/>
        </w:rPr>
        <w:t xml:space="preserve">to </w:t>
      </w:r>
      <w:r w:rsidR="0088584F" w:rsidRPr="00EF5A3A">
        <w:rPr>
          <w:color w:val="000000" w:themeColor="text1"/>
          <w:szCs w:val="26"/>
        </w:rPr>
        <w:t>join in the appeal, and the respondent was not misled or prejudiced</w:t>
      </w:r>
      <w:r w:rsidR="00224B88" w:rsidRPr="00EF5A3A">
        <w:rPr>
          <w:color w:val="000000" w:themeColor="text1"/>
          <w:szCs w:val="26"/>
        </w:rPr>
        <w:t xml:space="preserve"> by the omission</w:t>
      </w:r>
      <w:r w:rsidR="0088584F" w:rsidRPr="00EF5A3A">
        <w:rPr>
          <w:color w:val="000000" w:themeColor="text1"/>
          <w:szCs w:val="26"/>
        </w:rPr>
        <w:t xml:space="preserve">. </w:t>
      </w:r>
    </w:p>
    <w:bookmarkEnd w:id="9"/>
    <w:p w14:paraId="471E3D46" w14:textId="11C4D0BF" w:rsidR="00447C47" w:rsidRPr="00EF5A3A" w:rsidRDefault="00B72910" w:rsidP="00EF5A3A">
      <w:pPr>
        <w:ind w:firstLine="720"/>
        <w:rPr>
          <w:szCs w:val="26"/>
        </w:rPr>
      </w:pPr>
      <w:r w:rsidRPr="00EF5A3A">
        <w:rPr>
          <w:color w:val="000000" w:themeColor="text1"/>
          <w:szCs w:val="26"/>
        </w:rPr>
        <w:t xml:space="preserve">Although LAUSD is correct that </w:t>
      </w:r>
      <w:r w:rsidR="003635F0" w:rsidRPr="00EF5A3A">
        <w:rPr>
          <w:color w:val="000000" w:themeColor="text1"/>
          <w:szCs w:val="26"/>
        </w:rPr>
        <w:t>the</w:t>
      </w:r>
      <w:r w:rsidR="00514B18" w:rsidRPr="00EF5A3A">
        <w:rPr>
          <w:color w:val="000000" w:themeColor="text1"/>
          <w:szCs w:val="26"/>
        </w:rPr>
        <w:t xml:space="preserve"> rule </w:t>
      </w:r>
      <w:r w:rsidR="00103FD4" w:rsidRPr="00EF5A3A">
        <w:rPr>
          <w:color w:val="000000" w:themeColor="text1"/>
          <w:szCs w:val="26"/>
        </w:rPr>
        <w:t>of liberal construction is</w:t>
      </w:r>
      <w:r w:rsidR="00514B18" w:rsidRPr="00EF5A3A">
        <w:rPr>
          <w:color w:val="000000" w:themeColor="text1"/>
          <w:szCs w:val="26"/>
        </w:rPr>
        <w:t xml:space="preserve"> </w:t>
      </w:r>
      <w:r w:rsidR="006D6656" w:rsidRPr="00EF5A3A">
        <w:rPr>
          <w:color w:val="000000" w:themeColor="text1"/>
          <w:szCs w:val="26"/>
        </w:rPr>
        <w:t xml:space="preserve">most commonly </w:t>
      </w:r>
      <w:r w:rsidR="00103FD4" w:rsidRPr="00EF5A3A">
        <w:rPr>
          <w:color w:val="000000" w:themeColor="text1"/>
          <w:szCs w:val="26"/>
        </w:rPr>
        <w:t>employed</w:t>
      </w:r>
      <w:r w:rsidR="00514B18" w:rsidRPr="00EF5A3A">
        <w:rPr>
          <w:color w:val="000000" w:themeColor="text1"/>
          <w:szCs w:val="26"/>
        </w:rPr>
        <w:t xml:space="preserve"> to </w:t>
      </w:r>
      <w:r w:rsidR="006231AA" w:rsidRPr="00EF5A3A">
        <w:rPr>
          <w:color w:val="000000" w:themeColor="text1"/>
          <w:szCs w:val="26"/>
        </w:rPr>
        <w:t>remedy</w:t>
      </w:r>
      <w:r w:rsidR="00103FD4" w:rsidRPr="00EF5A3A">
        <w:rPr>
          <w:color w:val="000000" w:themeColor="text1"/>
          <w:szCs w:val="26"/>
        </w:rPr>
        <w:t xml:space="preserve"> defects in </w:t>
      </w:r>
      <w:r w:rsidRPr="00EF5A3A">
        <w:rPr>
          <w:color w:val="000000" w:themeColor="text1"/>
          <w:szCs w:val="26"/>
        </w:rPr>
        <w:t>a</w:t>
      </w:r>
      <w:r w:rsidR="00103FD4" w:rsidRPr="00EF5A3A">
        <w:rPr>
          <w:color w:val="000000" w:themeColor="text1"/>
          <w:szCs w:val="26"/>
        </w:rPr>
        <w:t xml:space="preserve"> notice’s designation of the</w:t>
      </w:r>
      <w:r w:rsidR="00514B18" w:rsidRPr="00EF5A3A">
        <w:rPr>
          <w:color w:val="000000" w:themeColor="text1"/>
          <w:szCs w:val="26"/>
        </w:rPr>
        <w:t xml:space="preserve"> order or judgment </w:t>
      </w:r>
      <w:r w:rsidR="00103FD4" w:rsidRPr="00EF5A3A">
        <w:rPr>
          <w:color w:val="000000" w:themeColor="text1"/>
          <w:szCs w:val="26"/>
        </w:rPr>
        <w:t>that is being appealed</w:t>
      </w:r>
      <w:r w:rsidR="003635F0" w:rsidRPr="00EF5A3A">
        <w:rPr>
          <w:color w:val="000000" w:themeColor="text1"/>
          <w:szCs w:val="26"/>
        </w:rPr>
        <w:t xml:space="preserve"> from</w:t>
      </w:r>
      <w:r w:rsidR="00514B18" w:rsidRPr="00EF5A3A">
        <w:rPr>
          <w:color w:val="000000" w:themeColor="text1"/>
          <w:szCs w:val="26"/>
        </w:rPr>
        <w:t>, o</w:t>
      </w:r>
      <w:r w:rsidR="006D6656" w:rsidRPr="00EF5A3A">
        <w:rPr>
          <w:color w:val="000000" w:themeColor="text1"/>
          <w:szCs w:val="26"/>
        </w:rPr>
        <w:t xml:space="preserve">ur holding </w:t>
      </w:r>
      <w:r w:rsidR="00C463F5" w:rsidRPr="00EF5A3A">
        <w:rPr>
          <w:color w:val="000000" w:themeColor="text1"/>
          <w:szCs w:val="26"/>
        </w:rPr>
        <w:t xml:space="preserve">in </w:t>
      </w:r>
      <w:r w:rsidR="0097621B" w:rsidRPr="00EF5A3A">
        <w:rPr>
          <w:i/>
          <w:iCs/>
          <w:color w:val="000000" w:themeColor="text1"/>
          <w:szCs w:val="26"/>
        </w:rPr>
        <w:t>Chung Sing</w:t>
      </w:r>
      <w:r w:rsidR="00166371" w:rsidRPr="00EF5A3A">
        <w:rPr>
          <w:iCs/>
          <w:color w:val="000000" w:themeColor="text1"/>
          <w:szCs w:val="26"/>
        </w:rPr>
        <w:t xml:space="preserve">, </w:t>
      </w:r>
      <w:r w:rsidR="00166371" w:rsidRPr="00EF5A3A">
        <w:rPr>
          <w:i/>
          <w:iCs/>
          <w:color w:val="000000" w:themeColor="text1"/>
          <w:szCs w:val="26"/>
        </w:rPr>
        <w:t>supra</w:t>
      </w:r>
      <w:r w:rsidR="00166371" w:rsidRPr="00EF5A3A">
        <w:rPr>
          <w:iCs/>
          <w:color w:val="000000" w:themeColor="text1"/>
          <w:szCs w:val="26"/>
        </w:rPr>
        <w:t>, 178 Cal. 261,</w:t>
      </w:r>
      <w:r w:rsidR="0012263D" w:rsidRPr="00EF5A3A">
        <w:rPr>
          <w:i/>
          <w:iCs/>
          <w:color w:val="000000" w:themeColor="text1"/>
          <w:szCs w:val="26"/>
        </w:rPr>
        <w:t xml:space="preserve"> </w:t>
      </w:r>
      <w:r w:rsidR="00103FD4" w:rsidRPr="00EF5A3A">
        <w:rPr>
          <w:color w:val="000000" w:themeColor="text1"/>
          <w:szCs w:val="26"/>
        </w:rPr>
        <w:t>makes clear</w:t>
      </w:r>
      <w:r w:rsidR="006D6656" w:rsidRPr="00EF5A3A">
        <w:rPr>
          <w:color w:val="000000" w:themeColor="text1"/>
          <w:szCs w:val="26"/>
        </w:rPr>
        <w:t xml:space="preserve"> that </w:t>
      </w:r>
      <w:r w:rsidR="00514B18" w:rsidRPr="00EF5A3A">
        <w:rPr>
          <w:color w:val="000000" w:themeColor="text1"/>
          <w:szCs w:val="26"/>
        </w:rPr>
        <w:t xml:space="preserve">the rule </w:t>
      </w:r>
      <w:r w:rsidRPr="00EF5A3A">
        <w:rPr>
          <w:color w:val="000000" w:themeColor="text1"/>
          <w:szCs w:val="26"/>
        </w:rPr>
        <w:t>also</w:t>
      </w:r>
      <w:r w:rsidR="00497C73" w:rsidRPr="00EF5A3A">
        <w:rPr>
          <w:color w:val="000000" w:themeColor="text1"/>
          <w:szCs w:val="26"/>
        </w:rPr>
        <w:t xml:space="preserve"> </w:t>
      </w:r>
      <w:r w:rsidR="001D6D67" w:rsidRPr="00EF5A3A">
        <w:rPr>
          <w:color w:val="000000" w:themeColor="text1"/>
          <w:szCs w:val="26"/>
        </w:rPr>
        <w:t>applie</w:t>
      </w:r>
      <w:r w:rsidR="00C71A4F" w:rsidRPr="00EF5A3A">
        <w:rPr>
          <w:color w:val="000000" w:themeColor="text1"/>
          <w:szCs w:val="26"/>
        </w:rPr>
        <w:t>s</w:t>
      </w:r>
      <w:r w:rsidR="001D6D67" w:rsidRPr="00EF5A3A">
        <w:rPr>
          <w:color w:val="000000" w:themeColor="text1"/>
          <w:szCs w:val="26"/>
        </w:rPr>
        <w:t xml:space="preserve"> to defects in the notice’s designation</w:t>
      </w:r>
      <w:r w:rsidR="00103FD4" w:rsidRPr="00EF5A3A">
        <w:rPr>
          <w:color w:val="000000" w:themeColor="text1"/>
          <w:szCs w:val="26"/>
        </w:rPr>
        <w:t xml:space="preserve"> of the</w:t>
      </w:r>
      <w:r w:rsidR="0084640C" w:rsidRPr="00EF5A3A">
        <w:rPr>
          <w:color w:val="000000" w:themeColor="text1"/>
          <w:szCs w:val="26"/>
        </w:rPr>
        <w:t xml:space="preserve"> parties to the appeal.</w:t>
      </w:r>
      <w:r w:rsidR="00C77A0D" w:rsidRPr="00EF5A3A">
        <w:rPr>
          <w:rStyle w:val="FootnoteReference"/>
          <w:color w:val="000000" w:themeColor="text1"/>
          <w:szCs w:val="26"/>
        </w:rPr>
        <w:footnoteReference w:id="5"/>
      </w:r>
      <w:r w:rsidR="0084640C" w:rsidRPr="00EF5A3A">
        <w:rPr>
          <w:color w:val="000000" w:themeColor="text1"/>
          <w:szCs w:val="26"/>
        </w:rPr>
        <w:t xml:space="preserve">  </w:t>
      </w:r>
      <w:r w:rsidR="0097621B" w:rsidRPr="00EF5A3A">
        <w:rPr>
          <w:szCs w:val="26"/>
        </w:rPr>
        <w:t>(</w:t>
      </w:r>
      <w:r w:rsidR="00103FD4" w:rsidRPr="00EF5A3A">
        <w:rPr>
          <w:szCs w:val="26"/>
        </w:rPr>
        <w:t xml:space="preserve">See </w:t>
      </w:r>
      <w:r w:rsidR="00E2038E" w:rsidRPr="00E2038E">
        <w:rPr>
          <w:i/>
          <w:iCs/>
          <w:szCs w:val="26"/>
        </w:rPr>
        <w:t>Chung Sing</w:t>
      </w:r>
      <w:r w:rsidR="00E2038E">
        <w:rPr>
          <w:szCs w:val="26"/>
        </w:rPr>
        <w:t>,</w:t>
      </w:r>
      <w:r w:rsidR="00166371" w:rsidRPr="00EF5A3A">
        <w:rPr>
          <w:szCs w:val="26"/>
        </w:rPr>
        <w:t xml:space="preserve"> at </w:t>
      </w:r>
      <w:r w:rsidR="00E20CE5" w:rsidRPr="00EF5A3A">
        <w:rPr>
          <w:color w:val="000000" w:themeColor="text1"/>
          <w:szCs w:val="26"/>
        </w:rPr>
        <w:lastRenderedPageBreak/>
        <w:t>pp</w:t>
      </w:r>
      <w:r w:rsidR="00166371" w:rsidRPr="00EF5A3A">
        <w:rPr>
          <w:color w:val="000000" w:themeColor="text1"/>
          <w:szCs w:val="26"/>
        </w:rPr>
        <w:t>. </w:t>
      </w:r>
      <w:r w:rsidR="00E20CE5" w:rsidRPr="00EF5A3A">
        <w:rPr>
          <w:color w:val="000000" w:themeColor="text1"/>
          <w:szCs w:val="26"/>
        </w:rPr>
        <w:t>263</w:t>
      </w:r>
      <w:r w:rsidR="004472F6" w:rsidRPr="00EF5A3A">
        <w:rPr>
          <w:color w:val="000000" w:themeColor="text1"/>
          <w:szCs w:val="26"/>
        </w:rPr>
        <w:softHyphen/>
        <w:t>–</w:t>
      </w:r>
      <w:r w:rsidR="00E20CE5" w:rsidRPr="00EF5A3A">
        <w:rPr>
          <w:color w:val="000000" w:themeColor="text1"/>
          <w:szCs w:val="26"/>
        </w:rPr>
        <w:t>264</w:t>
      </w:r>
      <w:r w:rsidR="00103FD4" w:rsidRPr="00EF5A3A">
        <w:rPr>
          <w:szCs w:val="26"/>
        </w:rPr>
        <w:t xml:space="preserve">; </w:t>
      </w:r>
      <w:r w:rsidR="0084640C" w:rsidRPr="00EF5A3A">
        <w:rPr>
          <w:szCs w:val="26"/>
        </w:rPr>
        <w:t>see also 9 Witkin, Cal. Proc</w:t>
      </w:r>
      <w:r w:rsidR="00E2038E">
        <w:rPr>
          <w:szCs w:val="26"/>
        </w:rPr>
        <w:t>edure</w:t>
      </w:r>
      <w:r w:rsidR="0084640C" w:rsidRPr="00EF5A3A">
        <w:rPr>
          <w:szCs w:val="26"/>
        </w:rPr>
        <w:t xml:space="preserve"> (5th ed. 2008) § 562, p. 641 [under the rule of liberal construction</w:t>
      </w:r>
      <w:r w:rsidR="004C2BB4" w:rsidRPr="00EF5A3A">
        <w:rPr>
          <w:szCs w:val="26"/>
        </w:rPr>
        <w:t>,</w:t>
      </w:r>
      <w:r w:rsidR="00103FD4" w:rsidRPr="00EF5A3A">
        <w:rPr>
          <w:szCs w:val="26"/>
        </w:rPr>
        <w:t xml:space="preserve"> </w:t>
      </w:r>
      <w:bookmarkStart w:id="11" w:name="_Hlk26178360"/>
      <w:r w:rsidR="00103FD4" w:rsidRPr="00EF5A3A">
        <w:rPr>
          <w:szCs w:val="26"/>
        </w:rPr>
        <w:t xml:space="preserve">“[m]istakes in the designation of parties </w:t>
      </w:r>
      <w:bookmarkEnd w:id="11"/>
      <w:r w:rsidR="0084640C" w:rsidRPr="00EF5A3A">
        <w:rPr>
          <w:szCs w:val="26"/>
        </w:rPr>
        <w:t>will not be fatal</w:t>
      </w:r>
      <w:r w:rsidR="003635F0" w:rsidRPr="00EF5A3A">
        <w:rPr>
          <w:szCs w:val="26"/>
        </w:rPr>
        <w:t>”</w:t>
      </w:r>
      <w:r w:rsidR="00B159C2" w:rsidRPr="00EF5A3A">
        <w:rPr>
          <w:szCs w:val="26"/>
        </w:rPr>
        <w:t xml:space="preserve">, citing </w:t>
      </w:r>
      <w:r w:rsidR="002E773A" w:rsidRPr="00EF5A3A">
        <w:rPr>
          <w:i/>
          <w:szCs w:val="26"/>
        </w:rPr>
        <w:t>In re</w:t>
      </w:r>
      <w:r w:rsidR="002E773A" w:rsidRPr="00EF5A3A">
        <w:rPr>
          <w:szCs w:val="26"/>
        </w:rPr>
        <w:t xml:space="preserve"> </w:t>
      </w:r>
      <w:r w:rsidR="00B159C2" w:rsidRPr="00EF5A3A">
        <w:rPr>
          <w:i/>
          <w:iCs/>
          <w:szCs w:val="26"/>
        </w:rPr>
        <w:t xml:space="preserve">Estate of </w:t>
      </w:r>
      <w:r w:rsidR="0084640C" w:rsidRPr="00EF5A3A">
        <w:rPr>
          <w:i/>
          <w:iCs/>
          <w:szCs w:val="26"/>
        </w:rPr>
        <w:t xml:space="preserve">Strong </w:t>
      </w:r>
      <w:r w:rsidR="0084640C" w:rsidRPr="00EF5A3A">
        <w:rPr>
          <w:szCs w:val="26"/>
        </w:rPr>
        <w:t xml:space="preserve">(1937) 10 Cal.2d 389, 390 [notice that erroneously designated plaintiff as </w:t>
      </w:r>
      <w:r w:rsidR="009A4E07" w:rsidRPr="00EF5A3A">
        <w:rPr>
          <w:szCs w:val="26"/>
        </w:rPr>
        <w:t>the</w:t>
      </w:r>
      <w:r w:rsidR="0084640C" w:rsidRPr="00EF5A3A">
        <w:rPr>
          <w:szCs w:val="26"/>
        </w:rPr>
        <w:t xml:space="preserve"> execut</w:t>
      </w:r>
      <w:r w:rsidR="00BD1340">
        <w:rPr>
          <w:szCs w:val="26"/>
        </w:rPr>
        <w:t>o</w:t>
      </w:r>
      <w:r w:rsidR="0084640C" w:rsidRPr="00EF5A3A">
        <w:rPr>
          <w:szCs w:val="26"/>
        </w:rPr>
        <w:t>r</w:t>
      </w:r>
      <w:r w:rsidR="009A4E07" w:rsidRPr="00EF5A3A">
        <w:rPr>
          <w:szCs w:val="26"/>
        </w:rPr>
        <w:t xml:space="preserve"> of the estate</w:t>
      </w:r>
      <w:r w:rsidR="0084640C" w:rsidRPr="00EF5A3A">
        <w:rPr>
          <w:szCs w:val="26"/>
        </w:rPr>
        <w:t xml:space="preserve"> construed to have been brought in </w:t>
      </w:r>
      <w:r w:rsidR="00EB5196" w:rsidRPr="00EF5A3A">
        <w:rPr>
          <w:szCs w:val="26"/>
        </w:rPr>
        <w:t>plaintiff’s</w:t>
      </w:r>
      <w:r w:rsidR="0084640C" w:rsidRPr="00EF5A3A">
        <w:rPr>
          <w:szCs w:val="26"/>
        </w:rPr>
        <w:t xml:space="preserve"> individual capacity]</w:t>
      </w:r>
      <w:r w:rsidR="00BD1340">
        <w:rPr>
          <w:szCs w:val="26"/>
        </w:rPr>
        <w:t>,</w:t>
      </w:r>
      <w:r w:rsidR="0084640C" w:rsidRPr="00EF5A3A">
        <w:rPr>
          <w:szCs w:val="26"/>
        </w:rPr>
        <w:t xml:space="preserve"> </w:t>
      </w:r>
      <w:r w:rsidR="0084640C" w:rsidRPr="00EF5A3A">
        <w:rPr>
          <w:i/>
          <w:iCs/>
          <w:szCs w:val="26"/>
        </w:rPr>
        <w:t>Boynton v. McKales</w:t>
      </w:r>
      <w:r w:rsidR="0084640C" w:rsidRPr="00EF5A3A">
        <w:rPr>
          <w:szCs w:val="26"/>
        </w:rPr>
        <w:t xml:space="preserve"> (1956)</w:t>
      </w:r>
      <w:r w:rsidR="009A4E07" w:rsidRPr="00EF5A3A">
        <w:rPr>
          <w:szCs w:val="26"/>
        </w:rPr>
        <w:t xml:space="preserve"> </w:t>
      </w:r>
      <w:r w:rsidR="0084640C" w:rsidRPr="00EF5A3A">
        <w:rPr>
          <w:szCs w:val="26"/>
        </w:rPr>
        <w:t>139 Cal.App.2d 7</w:t>
      </w:r>
      <w:r w:rsidR="00931D8B" w:rsidRPr="00EF5A3A">
        <w:rPr>
          <w:szCs w:val="26"/>
        </w:rPr>
        <w:t>7</w:t>
      </w:r>
      <w:r w:rsidR="0084640C" w:rsidRPr="00EF5A3A">
        <w:rPr>
          <w:szCs w:val="26"/>
        </w:rPr>
        <w:t>7</w:t>
      </w:r>
      <w:r w:rsidR="00931D8B" w:rsidRPr="00EF5A3A">
        <w:rPr>
          <w:szCs w:val="26"/>
        </w:rPr>
        <w:t>, 787</w:t>
      </w:r>
      <w:r w:rsidR="004472F6" w:rsidRPr="00EF5A3A">
        <w:rPr>
          <w:szCs w:val="26"/>
        </w:rPr>
        <w:t>–</w:t>
      </w:r>
      <w:r w:rsidR="00931D8B" w:rsidRPr="00EF5A3A">
        <w:rPr>
          <w:szCs w:val="26"/>
        </w:rPr>
        <w:t>788</w:t>
      </w:r>
      <w:r w:rsidR="0084640C" w:rsidRPr="00EF5A3A">
        <w:rPr>
          <w:szCs w:val="26"/>
        </w:rPr>
        <w:t xml:space="preserve"> [notice that identified </w:t>
      </w:r>
      <w:r w:rsidR="00931D8B" w:rsidRPr="00EF5A3A">
        <w:rPr>
          <w:szCs w:val="26"/>
        </w:rPr>
        <w:t>only one</w:t>
      </w:r>
      <w:r w:rsidR="0084640C" w:rsidRPr="00EF5A3A">
        <w:rPr>
          <w:szCs w:val="26"/>
        </w:rPr>
        <w:t xml:space="preserve"> defendant as the respondent construed to include all of the codefendants]</w:t>
      </w:r>
      <w:r w:rsidR="00BD1340">
        <w:rPr>
          <w:szCs w:val="26"/>
        </w:rPr>
        <w:t>,</w:t>
      </w:r>
      <w:r w:rsidR="0084640C" w:rsidRPr="00EF5A3A">
        <w:rPr>
          <w:szCs w:val="26"/>
        </w:rPr>
        <w:t xml:space="preserve"> </w:t>
      </w:r>
      <w:r w:rsidR="0084640C" w:rsidRPr="00EF5A3A">
        <w:rPr>
          <w:i/>
          <w:iCs/>
          <w:szCs w:val="26"/>
        </w:rPr>
        <w:t>Poggetto</w:t>
      </w:r>
      <w:r w:rsidR="00C01A98" w:rsidRPr="00EF5A3A">
        <w:rPr>
          <w:i/>
          <w:iCs/>
          <w:szCs w:val="26"/>
        </w:rPr>
        <w:t>, supra,</w:t>
      </w:r>
      <w:r w:rsidR="0084640C" w:rsidRPr="00EF5A3A">
        <w:rPr>
          <w:szCs w:val="26"/>
        </w:rPr>
        <w:t xml:space="preserve"> 18 Cal.App.2d </w:t>
      </w:r>
      <w:r w:rsidR="00985E2B" w:rsidRPr="00EF5A3A">
        <w:rPr>
          <w:szCs w:val="26"/>
        </w:rPr>
        <w:t>at pp</w:t>
      </w:r>
      <w:r w:rsidR="00B159C2" w:rsidRPr="00EF5A3A">
        <w:rPr>
          <w:szCs w:val="26"/>
        </w:rPr>
        <w:t>. </w:t>
      </w:r>
      <w:r w:rsidR="00931D8B" w:rsidRPr="00EF5A3A">
        <w:rPr>
          <w:szCs w:val="26"/>
        </w:rPr>
        <w:t>175</w:t>
      </w:r>
      <w:r w:rsidR="004472F6" w:rsidRPr="00EF5A3A">
        <w:rPr>
          <w:szCs w:val="26"/>
        </w:rPr>
        <w:t>–</w:t>
      </w:r>
      <w:r w:rsidR="00931D8B" w:rsidRPr="00EF5A3A">
        <w:rPr>
          <w:szCs w:val="26"/>
        </w:rPr>
        <w:t>176</w:t>
      </w:r>
      <w:r w:rsidR="0084640C" w:rsidRPr="00EF5A3A">
        <w:rPr>
          <w:szCs w:val="26"/>
        </w:rPr>
        <w:t>].)</w:t>
      </w:r>
    </w:p>
    <w:p w14:paraId="6E217C12" w14:textId="3649A07B" w:rsidR="00FF57FB" w:rsidRPr="00EF5A3A" w:rsidRDefault="00CD3E2F" w:rsidP="00EF5A3A">
      <w:pPr>
        <w:ind w:firstLine="720"/>
        <w:rPr>
          <w:color w:val="000000" w:themeColor="text1"/>
          <w:szCs w:val="26"/>
        </w:rPr>
      </w:pPr>
      <w:r w:rsidRPr="00EF5A3A">
        <w:rPr>
          <w:szCs w:val="26"/>
        </w:rPr>
        <w:t>While</w:t>
      </w:r>
      <w:r w:rsidR="00F1316A" w:rsidRPr="00EF5A3A">
        <w:rPr>
          <w:szCs w:val="26"/>
        </w:rPr>
        <w:t xml:space="preserve"> </w:t>
      </w:r>
      <w:r w:rsidR="00F1316A" w:rsidRPr="00EF5A3A">
        <w:rPr>
          <w:i/>
          <w:iCs/>
          <w:szCs w:val="26"/>
        </w:rPr>
        <w:t>Chung Sing</w:t>
      </w:r>
      <w:r w:rsidR="00A53A34" w:rsidRPr="00EF5A3A">
        <w:rPr>
          <w:iCs/>
          <w:color w:val="000000" w:themeColor="text1"/>
          <w:szCs w:val="26"/>
        </w:rPr>
        <w:t xml:space="preserve">, </w:t>
      </w:r>
      <w:r w:rsidR="00A53A34" w:rsidRPr="00EF5A3A">
        <w:rPr>
          <w:i/>
          <w:iCs/>
          <w:color w:val="000000" w:themeColor="text1"/>
          <w:szCs w:val="26"/>
        </w:rPr>
        <w:t>supra</w:t>
      </w:r>
      <w:r w:rsidR="00A53A34" w:rsidRPr="00EF5A3A">
        <w:rPr>
          <w:iCs/>
          <w:color w:val="000000" w:themeColor="text1"/>
          <w:szCs w:val="26"/>
        </w:rPr>
        <w:t>, 178 Cal. 261,</w:t>
      </w:r>
      <w:r w:rsidR="00A53A34" w:rsidRPr="00EF5A3A">
        <w:rPr>
          <w:i/>
          <w:iCs/>
          <w:color w:val="000000" w:themeColor="text1"/>
          <w:szCs w:val="26"/>
        </w:rPr>
        <w:t xml:space="preserve"> </w:t>
      </w:r>
      <w:r w:rsidRPr="00EF5A3A">
        <w:rPr>
          <w:szCs w:val="26"/>
        </w:rPr>
        <w:t xml:space="preserve">involved </w:t>
      </w:r>
      <w:r w:rsidR="00F1316A" w:rsidRPr="00EF5A3A">
        <w:rPr>
          <w:szCs w:val="26"/>
        </w:rPr>
        <w:t xml:space="preserve">a notice of appeal that </w:t>
      </w:r>
      <w:r w:rsidR="00B72910" w:rsidRPr="00EF5A3A">
        <w:rPr>
          <w:szCs w:val="26"/>
        </w:rPr>
        <w:t xml:space="preserve">had </w:t>
      </w:r>
      <w:r w:rsidR="00931D8B" w:rsidRPr="00EF5A3A">
        <w:rPr>
          <w:szCs w:val="26"/>
        </w:rPr>
        <w:t xml:space="preserve">merely </w:t>
      </w:r>
      <w:r w:rsidR="00F1316A" w:rsidRPr="00EF5A3A">
        <w:rPr>
          <w:szCs w:val="26"/>
        </w:rPr>
        <w:t xml:space="preserve">misnamed </w:t>
      </w:r>
      <w:r w:rsidR="00E20CE5" w:rsidRPr="00EF5A3A">
        <w:rPr>
          <w:szCs w:val="26"/>
        </w:rPr>
        <w:t>one of the</w:t>
      </w:r>
      <w:r w:rsidR="004C2BB4" w:rsidRPr="00EF5A3A">
        <w:rPr>
          <w:szCs w:val="26"/>
        </w:rPr>
        <w:t xml:space="preserve"> appealing</w:t>
      </w:r>
      <w:r w:rsidR="00E20CE5" w:rsidRPr="00EF5A3A">
        <w:rPr>
          <w:szCs w:val="26"/>
        </w:rPr>
        <w:t xml:space="preserve"> parties</w:t>
      </w:r>
      <w:r w:rsidR="00F1316A" w:rsidRPr="00EF5A3A">
        <w:rPr>
          <w:szCs w:val="26"/>
        </w:rPr>
        <w:t xml:space="preserve">, other decisions have applied the liberal construction requirement to </w:t>
      </w:r>
      <w:r w:rsidR="004C2BB4" w:rsidRPr="00EF5A3A">
        <w:rPr>
          <w:szCs w:val="26"/>
        </w:rPr>
        <w:t xml:space="preserve">construe a notice to </w:t>
      </w:r>
      <w:r w:rsidR="00F1316A" w:rsidRPr="00EF5A3A">
        <w:rPr>
          <w:szCs w:val="26"/>
        </w:rPr>
        <w:t xml:space="preserve">include </w:t>
      </w:r>
      <w:r w:rsidR="00F15896" w:rsidRPr="00EF5A3A">
        <w:rPr>
          <w:szCs w:val="26"/>
        </w:rPr>
        <w:t>a</w:t>
      </w:r>
      <w:r w:rsidR="00F1316A" w:rsidRPr="00EF5A3A">
        <w:rPr>
          <w:szCs w:val="26"/>
        </w:rPr>
        <w:t xml:space="preserve"> party who was</w:t>
      </w:r>
      <w:r w:rsidR="00F15896" w:rsidRPr="00EF5A3A">
        <w:rPr>
          <w:szCs w:val="26"/>
        </w:rPr>
        <w:t xml:space="preserve"> </w:t>
      </w:r>
      <w:r w:rsidR="0012263D" w:rsidRPr="00EF5A3A">
        <w:rPr>
          <w:color w:val="000000" w:themeColor="text1"/>
          <w:szCs w:val="26"/>
        </w:rPr>
        <w:t>omitted</w:t>
      </w:r>
      <w:r w:rsidR="00F15896" w:rsidRPr="00EF5A3A">
        <w:rPr>
          <w:color w:val="000000" w:themeColor="text1"/>
          <w:szCs w:val="26"/>
        </w:rPr>
        <w:t xml:space="preserve"> </w:t>
      </w:r>
      <w:r w:rsidR="00F1316A" w:rsidRPr="00EF5A3A">
        <w:rPr>
          <w:color w:val="000000" w:themeColor="text1"/>
          <w:szCs w:val="26"/>
        </w:rPr>
        <w:t>from the notice entirely</w:t>
      </w:r>
      <w:r w:rsidR="00EB5196" w:rsidRPr="00EF5A3A">
        <w:rPr>
          <w:color w:val="000000" w:themeColor="text1"/>
          <w:szCs w:val="26"/>
        </w:rPr>
        <w:t xml:space="preserve">.  </w:t>
      </w:r>
      <w:r w:rsidR="0097621B" w:rsidRPr="00EF5A3A">
        <w:rPr>
          <w:color w:val="000000" w:themeColor="text1"/>
          <w:szCs w:val="26"/>
        </w:rPr>
        <w:t xml:space="preserve">In </w:t>
      </w:r>
      <w:r w:rsidR="0097621B" w:rsidRPr="00EF5A3A">
        <w:rPr>
          <w:i/>
          <w:iCs/>
          <w:color w:val="000000" w:themeColor="text1"/>
          <w:szCs w:val="26"/>
        </w:rPr>
        <w:t>Beltram</w:t>
      </w:r>
      <w:r w:rsidR="00C1519E" w:rsidRPr="00EF5A3A">
        <w:rPr>
          <w:color w:val="000000" w:themeColor="text1"/>
          <w:szCs w:val="26"/>
        </w:rPr>
        <w:t>,</w:t>
      </w:r>
      <w:r w:rsidR="00C1519E" w:rsidRPr="00EF5A3A">
        <w:rPr>
          <w:i/>
          <w:iCs/>
          <w:color w:val="000000" w:themeColor="text1"/>
          <w:szCs w:val="26"/>
        </w:rPr>
        <w:t xml:space="preserve"> supra</w:t>
      </w:r>
      <w:r w:rsidR="00C1519E" w:rsidRPr="00EF5A3A">
        <w:rPr>
          <w:color w:val="000000" w:themeColor="text1"/>
          <w:szCs w:val="26"/>
        </w:rPr>
        <w:t>,</w:t>
      </w:r>
      <w:r w:rsidR="00C1519E" w:rsidRPr="00EF5A3A">
        <w:rPr>
          <w:i/>
          <w:iCs/>
          <w:color w:val="000000" w:themeColor="text1"/>
          <w:szCs w:val="26"/>
        </w:rPr>
        <w:t xml:space="preserve"> </w:t>
      </w:r>
      <w:r w:rsidR="0097621B" w:rsidRPr="00EF5A3A">
        <w:rPr>
          <w:color w:val="000000" w:themeColor="text1"/>
          <w:szCs w:val="26"/>
        </w:rPr>
        <w:t xml:space="preserve">66 Cal.App.3d 711, for example, </w:t>
      </w:r>
      <w:r w:rsidR="00BD6FB1" w:rsidRPr="00EF5A3A">
        <w:rPr>
          <w:color w:val="000000" w:themeColor="text1"/>
          <w:szCs w:val="26"/>
        </w:rPr>
        <w:t xml:space="preserve">a judgment was entered </w:t>
      </w:r>
      <w:r w:rsidR="004D2A96" w:rsidRPr="00EF5A3A">
        <w:rPr>
          <w:color w:val="000000" w:themeColor="text1"/>
          <w:szCs w:val="26"/>
        </w:rPr>
        <w:t xml:space="preserve">jointly </w:t>
      </w:r>
      <w:r w:rsidR="00BD6FB1" w:rsidRPr="00EF5A3A">
        <w:rPr>
          <w:color w:val="000000" w:themeColor="text1"/>
          <w:szCs w:val="26"/>
        </w:rPr>
        <w:t>against the City of Los Angeles and a</w:t>
      </w:r>
      <w:r w:rsidR="00646A7C" w:rsidRPr="00EF5A3A">
        <w:rPr>
          <w:color w:val="000000" w:themeColor="text1"/>
          <w:szCs w:val="26"/>
        </w:rPr>
        <w:t>n employee of the</w:t>
      </w:r>
      <w:r w:rsidR="00BD6FB1" w:rsidRPr="00EF5A3A">
        <w:rPr>
          <w:color w:val="000000" w:themeColor="text1"/>
          <w:szCs w:val="26"/>
        </w:rPr>
        <w:t xml:space="preserve"> </w:t>
      </w:r>
      <w:r w:rsidR="00BD1340">
        <w:rPr>
          <w:color w:val="000000" w:themeColor="text1"/>
          <w:szCs w:val="26"/>
        </w:rPr>
        <w:t>c</w:t>
      </w:r>
      <w:r w:rsidR="00BD6FB1" w:rsidRPr="00EF5A3A">
        <w:rPr>
          <w:color w:val="000000" w:themeColor="text1"/>
          <w:szCs w:val="26"/>
        </w:rPr>
        <w:t xml:space="preserve">ity.  </w:t>
      </w:r>
      <w:r w:rsidR="004D2A96" w:rsidRPr="00EF5A3A">
        <w:rPr>
          <w:color w:val="000000" w:themeColor="text1"/>
          <w:szCs w:val="26"/>
        </w:rPr>
        <w:t xml:space="preserve">The </w:t>
      </w:r>
      <w:r w:rsidR="00BD1340">
        <w:rPr>
          <w:color w:val="000000" w:themeColor="text1"/>
          <w:szCs w:val="26"/>
        </w:rPr>
        <w:t>c</w:t>
      </w:r>
      <w:r w:rsidR="004D2A96" w:rsidRPr="00EF5A3A">
        <w:rPr>
          <w:color w:val="000000" w:themeColor="text1"/>
          <w:szCs w:val="26"/>
        </w:rPr>
        <w:t>ity filed a</w:t>
      </w:r>
      <w:r w:rsidR="00BD6FB1" w:rsidRPr="00EF5A3A">
        <w:rPr>
          <w:color w:val="000000" w:themeColor="text1"/>
          <w:szCs w:val="26"/>
        </w:rPr>
        <w:t xml:space="preserve"> notice of appeal </w:t>
      </w:r>
      <w:r w:rsidR="004D2A96" w:rsidRPr="00EF5A3A">
        <w:rPr>
          <w:color w:val="000000" w:themeColor="text1"/>
          <w:szCs w:val="26"/>
        </w:rPr>
        <w:t>that did not refer</w:t>
      </w:r>
      <w:r w:rsidR="000437FA" w:rsidRPr="00EF5A3A">
        <w:rPr>
          <w:color w:val="000000" w:themeColor="text1"/>
          <w:szCs w:val="26"/>
        </w:rPr>
        <w:t xml:space="preserve"> to </w:t>
      </w:r>
      <w:r w:rsidR="004D2A96" w:rsidRPr="00EF5A3A">
        <w:rPr>
          <w:color w:val="000000" w:themeColor="text1"/>
          <w:szCs w:val="26"/>
        </w:rPr>
        <w:t>the employee</w:t>
      </w:r>
      <w:r w:rsidR="00FF57FB" w:rsidRPr="00EF5A3A">
        <w:rPr>
          <w:color w:val="000000" w:themeColor="text1"/>
          <w:szCs w:val="26"/>
        </w:rPr>
        <w:t>.  The court, however,</w:t>
      </w:r>
      <w:r w:rsidR="00CF03D6" w:rsidRPr="00EF5A3A">
        <w:rPr>
          <w:color w:val="000000" w:themeColor="text1"/>
          <w:szCs w:val="26"/>
        </w:rPr>
        <w:t xml:space="preserve"> </w:t>
      </w:r>
      <w:r w:rsidR="00646A7C" w:rsidRPr="00EF5A3A">
        <w:rPr>
          <w:color w:val="000000" w:themeColor="text1"/>
          <w:szCs w:val="26"/>
        </w:rPr>
        <w:t>concluded the notice was sufficient to preserve the employee’s right of appeal</w:t>
      </w:r>
      <w:r w:rsidR="00CF03D6" w:rsidRPr="00EF5A3A">
        <w:rPr>
          <w:color w:val="000000" w:themeColor="text1"/>
          <w:szCs w:val="26"/>
        </w:rPr>
        <w:t xml:space="preserve">: </w:t>
      </w:r>
      <w:r w:rsidR="00A53A34" w:rsidRPr="00EF5A3A">
        <w:rPr>
          <w:color w:val="000000" w:themeColor="text1"/>
          <w:szCs w:val="26"/>
        </w:rPr>
        <w:t xml:space="preserve"> </w:t>
      </w:r>
      <w:r w:rsidR="00CF03D6" w:rsidRPr="00EF5A3A">
        <w:rPr>
          <w:color w:val="000000" w:themeColor="text1"/>
          <w:szCs w:val="26"/>
        </w:rPr>
        <w:t>“</w:t>
      </w:r>
      <w:r w:rsidR="00FF57FB" w:rsidRPr="00EF5A3A">
        <w:rPr>
          <w:color w:val="000000" w:themeColor="text1"/>
          <w:szCs w:val="26"/>
        </w:rPr>
        <w:t>Any liability of the City of Los Angeles to plaintiffs is wholly derivative from the liability of its employee</w:t>
      </w:r>
      <w:r w:rsidR="00A53A34" w:rsidRPr="00EF5A3A">
        <w:rPr>
          <w:color w:val="000000" w:themeColor="text1"/>
          <w:szCs w:val="26"/>
        </w:rPr>
        <w:t xml:space="preserve"> </w:t>
      </w:r>
      <w:r w:rsidR="00FF57FB" w:rsidRPr="00EF5A3A">
        <w:rPr>
          <w:color w:val="000000" w:themeColor="text1"/>
          <w:szCs w:val="26"/>
        </w:rPr>
        <w:t>.</w:t>
      </w:r>
      <w:r w:rsidR="002E773A" w:rsidRPr="00EF5A3A">
        <w:rPr>
          <w:color w:val="000000" w:themeColor="text1"/>
          <w:szCs w:val="26"/>
        </w:rPr>
        <w:t> </w:t>
      </w:r>
      <w:r w:rsidR="00FF57FB" w:rsidRPr="00EF5A3A">
        <w:rPr>
          <w:color w:val="000000" w:themeColor="text1"/>
          <w:szCs w:val="26"/>
        </w:rPr>
        <w:t>.</w:t>
      </w:r>
      <w:r w:rsidR="002E773A" w:rsidRPr="00EF5A3A">
        <w:rPr>
          <w:color w:val="000000" w:themeColor="text1"/>
          <w:szCs w:val="26"/>
        </w:rPr>
        <w:t> </w:t>
      </w:r>
      <w:r w:rsidR="00FF57FB" w:rsidRPr="00EF5A3A">
        <w:rPr>
          <w:color w:val="000000" w:themeColor="text1"/>
          <w:szCs w:val="26"/>
        </w:rPr>
        <w:t>.</w:t>
      </w:r>
      <w:r w:rsidR="002E773A" w:rsidRPr="00EF5A3A">
        <w:rPr>
          <w:color w:val="000000" w:themeColor="text1"/>
          <w:szCs w:val="26"/>
        </w:rPr>
        <w:t> </w:t>
      </w:r>
      <w:r w:rsidR="00FF57FB" w:rsidRPr="00EF5A3A">
        <w:rPr>
          <w:color w:val="000000" w:themeColor="text1"/>
          <w:szCs w:val="26"/>
        </w:rPr>
        <w:t>.  T</w:t>
      </w:r>
      <w:r w:rsidR="0097621B" w:rsidRPr="00EF5A3A">
        <w:rPr>
          <w:color w:val="000000" w:themeColor="text1"/>
          <w:szCs w:val="26"/>
        </w:rPr>
        <w:t>he issues as to the city and its employee [we]re identical</w:t>
      </w:r>
      <w:r w:rsidR="00FF57FB" w:rsidRPr="00EF5A3A">
        <w:rPr>
          <w:color w:val="000000" w:themeColor="text1"/>
          <w:szCs w:val="26"/>
        </w:rPr>
        <w:t xml:space="preserve">.  Therefore, the inadvertent </w:t>
      </w:r>
      <w:r w:rsidR="0097621B" w:rsidRPr="00EF5A3A">
        <w:rPr>
          <w:color w:val="000000" w:themeColor="text1"/>
          <w:szCs w:val="26"/>
        </w:rPr>
        <w:t>omission of the employee’s name from the notice of appeal [could not</w:t>
      </w:r>
      <w:r w:rsidR="00A53A34" w:rsidRPr="00EF5A3A">
        <w:rPr>
          <w:color w:val="000000" w:themeColor="text1"/>
          <w:szCs w:val="26"/>
        </w:rPr>
        <w:t>]</w:t>
      </w:r>
      <w:r w:rsidR="0097621B" w:rsidRPr="00EF5A3A">
        <w:rPr>
          <w:color w:val="000000" w:themeColor="text1"/>
          <w:szCs w:val="26"/>
        </w:rPr>
        <w:t xml:space="preserve"> have </w:t>
      </w:r>
      <w:r w:rsidR="0097621B" w:rsidRPr="00EF5A3A">
        <w:rPr>
          <w:color w:val="000000" w:themeColor="text1"/>
          <w:szCs w:val="26"/>
        </w:rPr>
        <w:lastRenderedPageBreak/>
        <w:t xml:space="preserve">prejudiced or misled plaintiffs or in any way affected their preparation for the appeal.”  </w:t>
      </w:r>
      <w:r w:rsidR="00FF57FB" w:rsidRPr="00EF5A3A">
        <w:rPr>
          <w:color w:val="000000" w:themeColor="text1"/>
          <w:szCs w:val="26"/>
        </w:rPr>
        <w:t>(</w:t>
      </w:r>
      <w:r w:rsidR="00FF57FB" w:rsidRPr="00EF5A3A">
        <w:rPr>
          <w:i/>
          <w:iCs/>
          <w:color w:val="000000" w:themeColor="text1"/>
          <w:szCs w:val="26"/>
        </w:rPr>
        <w:t>Id</w:t>
      </w:r>
      <w:r w:rsidR="00FF57FB" w:rsidRPr="00EF5A3A">
        <w:rPr>
          <w:color w:val="000000" w:themeColor="text1"/>
          <w:szCs w:val="26"/>
        </w:rPr>
        <w:t>. at p</w:t>
      </w:r>
      <w:r w:rsidR="00A53A34" w:rsidRPr="00EF5A3A">
        <w:rPr>
          <w:color w:val="000000" w:themeColor="text1"/>
          <w:szCs w:val="26"/>
        </w:rPr>
        <w:t>. </w:t>
      </w:r>
      <w:r w:rsidR="00FF57FB" w:rsidRPr="00EF5A3A">
        <w:rPr>
          <w:color w:val="000000" w:themeColor="text1"/>
          <w:szCs w:val="26"/>
        </w:rPr>
        <w:t>715.)</w:t>
      </w:r>
      <w:r w:rsidR="0097621B" w:rsidRPr="00EF5A3A">
        <w:rPr>
          <w:color w:val="000000" w:themeColor="text1"/>
          <w:szCs w:val="26"/>
        </w:rPr>
        <w:t xml:space="preserve"> </w:t>
      </w:r>
      <w:r w:rsidR="00FF57FB" w:rsidRPr="00EF5A3A">
        <w:rPr>
          <w:color w:val="000000" w:themeColor="text1"/>
          <w:szCs w:val="26"/>
        </w:rPr>
        <w:t xml:space="preserve"> </w:t>
      </w:r>
    </w:p>
    <w:p w14:paraId="15A1AFFC" w14:textId="13747950" w:rsidR="00B20A8A" w:rsidRPr="00EF5A3A" w:rsidRDefault="0097621B" w:rsidP="00EF5A3A">
      <w:pPr>
        <w:ind w:firstLine="720"/>
        <w:rPr>
          <w:color w:val="000000" w:themeColor="text1"/>
          <w:szCs w:val="26"/>
        </w:rPr>
      </w:pPr>
      <w:r w:rsidRPr="00EF5A3A">
        <w:rPr>
          <w:color w:val="000000" w:themeColor="text1"/>
          <w:szCs w:val="26"/>
        </w:rPr>
        <w:t xml:space="preserve">Similarly, in </w:t>
      </w:r>
      <w:r w:rsidRPr="00EF5A3A">
        <w:rPr>
          <w:i/>
          <w:iCs/>
          <w:color w:val="000000" w:themeColor="text1"/>
          <w:szCs w:val="26"/>
        </w:rPr>
        <w:t>Toal v. Tardif</w:t>
      </w:r>
      <w:r w:rsidRPr="00EF5A3A">
        <w:rPr>
          <w:color w:val="000000" w:themeColor="text1"/>
          <w:szCs w:val="26"/>
        </w:rPr>
        <w:t xml:space="preserve"> (2009) 178 Cal.App.4th 1208, a</w:t>
      </w:r>
      <w:r w:rsidR="00C1519E" w:rsidRPr="00EF5A3A">
        <w:rPr>
          <w:color w:val="000000" w:themeColor="text1"/>
          <w:szCs w:val="26"/>
        </w:rPr>
        <w:t>n attorney filed</w:t>
      </w:r>
      <w:r w:rsidRPr="00EF5A3A">
        <w:rPr>
          <w:color w:val="000000" w:themeColor="text1"/>
          <w:szCs w:val="26"/>
        </w:rPr>
        <w:t xml:space="preserve"> a notice of appeal</w:t>
      </w:r>
      <w:r w:rsidR="00CA76AA" w:rsidRPr="00EF5A3A">
        <w:rPr>
          <w:color w:val="000000" w:themeColor="text1"/>
          <w:szCs w:val="26"/>
        </w:rPr>
        <w:t xml:space="preserve"> </w:t>
      </w:r>
      <w:r w:rsidR="00C1519E" w:rsidRPr="00EF5A3A">
        <w:rPr>
          <w:color w:val="000000" w:themeColor="text1"/>
          <w:szCs w:val="26"/>
        </w:rPr>
        <w:t xml:space="preserve">from </w:t>
      </w:r>
      <w:r w:rsidRPr="00EF5A3A">
        <w:rPr>
          <w:color w:val="000000" w:themeColor="text1"/>
          <w:szCs w:val="26"/>
        </w:rPr>
        <w:t xml:space="preserve">a judgment </w:t>
      </w:r>
      <w:r w:rsidR="00712A74" w:rsidRPr="00EF5A3A">
        <w:rPr>
          <w:color w:val="000000" w:themeColor="text1"/>
          <w:szCs w:val="26"/>
        </w:rPr>
        <w:t xml:space="preserve">that </w:t>
      </w:r>
      <w:r w:rsidRPr="00EF5A3A">
        <w:rPr>
          <w:color w:val="000000" w:themeColor="text1"/>
          <w:szCs w:val="26"/>
        </w:rPr>
        <w:t>was entered jointly and severally against</w:t>
      </w:r>
      <w:r w:rsidR="00CA76AA" w:rsidRPr="00EF5A3A">
        <w:rPr>
          <w:color w:val="000000" w:themeColor="text1"/>
          <w:szCs w:val="26"/>
        </w:rPr>
        <w:t xml:space="preserve"> a husband and</w:t>
      </w:r>
      <w:r w:rsidRPr="00EF5A3A">
        <w:rPr>
          <w:color w:val="000000" w:themeColor="text1"/>
          <w:szCs w:val="26"/>
        </w:rPr>
        <w:t xml:space="preserve"> wife.</w:t>
      </w:r>
      <w:r w:rsidR="00CA76AA" w:rsidRPr="00EF5A3A">
        <w:rPr>
          <w:color w:val="000000" w:themeColor="text1"/>
          <w:szCs w:val="26"/>
        </w:rPr>
        <w:t xml:space="preserve">  Although the husband </w:t>
      </w:r>
      <w:r w:rsidR="00712A74" w:rsidRPr="00EF5A3A">
        <w:rPr>
          <w:color w:val="000000" w:themeColor="text1"/>
          <w:szCs w:val="26"/>
        </w:rPr>
        <w:t xml:space="preserve">had </w:t>
      </w:r>
      <w:r w:rsidR="00CA76AA" w:rsidRPr="00EF5A3A">
        <w:rPr>
          <w:color w:val="000000" w:themeColor="text1"/>
          <w:szCs w:val="26"/>
        </w:rPr>
        <w:t>signed the notice, the area of the form designating the</w:t>
      </w:r>
      <w:r w:rsidR="00D16648" w:rsidRPr="00EF5A3A">
        <w:rPr>
          <w:color w:val="000000" w:themeColor="text1"/>
          <w:szCs w:val="26"/>
        </w:rPr>
        <w:t xml:space="preserve"> names of the</w:t>
      </w:r>
      <w:r w:rsidR="00CA76AA" w:rsidRPr="00EF5A3A">
        <w:rPr>
          <w:color w:val="000000" w:themeColor="text1"/>
          <w:szCs w:val="26"/>
        </w:rPr>
        <w:t xml:space="preserve"> appellants was left blank.</w:t>
      </w:r>
      <w:r w:rsidRPr="00EF5A3A">
        <w:rPr>
          <w:color w:val="000000" w:themeColor="text1"/>
          <w:szCs w:val="26"/>
        </w:rPr>
        <w:t xml:space="preserve">  The plaintiff</w:t>
      </w:r>
      <w:r w:rsidR="00CA76AA" w:rsidRPr="00EF5A3A">
        <w:rPr>
          <w:color w:val="000000" w:themeColor="text1"/>
          <w:szCs w:val="26"/>
        </w:rPr>
        <w:t>s</w:t>
      </w:r>
      <w:r w:rsidRPr="00EF5A3A">
        <w:rPr>
          <w:color w:val="000000" w:themeColor="text1"/>
          <w:szCs w:val="26"/>
        </w:rPr>
        <w:t xml:space="preserve"> argued that because</w:t>
      </w:r>
      <w:r w:rsidR="00CA76AA" w:rsidRPr="00EF5A3A">
        <w:rPr>
          <w:color w:val="000000" w:themeColor="text1"/>
          <w:szCs w:val="26"/>
        </w:rPr>
        <w:t xml:space="preserve"> only the husband’s name </w:t>
      </w:r>
      <w:r w:rsidR="00D66057" w:rsidRPr="00EF5A3A">
        <w:rPr>
          <w:color w:val="000000" w:themeColor="text1"/>
          <w:szCs w:val="26"/>
        </w:rPr>
        <w:t>appeared</w:t>
      </w:r>
      <w:r w:rsidR="00CA76AA" w:rsidRPr="00EF5A3A">
        <w:rPr>
          <w:color w:val="000000" w:themeColor="text1"/>
          <w:szCs w:val="26"/>
        </w:rPr>
        <w:t xml:space="preserve"> on the notice,</w:t>
      </w:r>
      <w:r w:rsidRPr="00EF5A3A">
        <w:rPr>
          <w:color w:val="000000" w:themeColor="text1"/>
          <w:szCs w:val="26"/>
        </w:rPr>
        <w:t xml:space="preserve"> the </w:t>
      </w:r>
      <w:r w:rsidR="00CA76AA" w:rsidRPr="00EF5A3A">
        <w:rPr>
          <w:color w:val="000000" w:themeColor="text1"/>
          <w:szCs w:val="26"/>
        </w:rPr>
        <w:t>Court of Appeal lacked jurisdiction to consider any appeal by the wife</w:t>
      </w:r>
      <w:r w:rsidR="00D66057" w:rsidRPr="00EF5A3A">
        <w:rPr>
          <w:color w:val="000000" w:themeColor="text1"/>
          <w:szCs w:val="26"/>
        </w:rPr>
        <w:t xml:space="preserve">, and thus the </w:t>
      </w:r>
      <w:r w:rsidRPr="00EF5A3A">
        <w:rPr>
          <w:color w:val="000000" w:themeColor="text1"/>
          <w:szCs w:val="26"/>
        </w:rPr>
        <w:t>judgment against her must stand.  The court rejected the argument</w:t>
      </w:r>
      <w:r w:rsidR="00646A7C" w:rsidRPr="00EF5A3A">
        <w:rPr>
          <w:color w:val="000000" w:themeColor="text1"/>
          <w:szCs w:val="26"/>
        </w:rPr>
        <w:t>,</w:t>
      </w:r>
      <w:r w:rsidRPr="00EF5A3A">
        <w:rPr>
          <w:color w:val="000000" w:themeColor="text1"/>
          <w:szCs w:val="26"/>
        </w:rPr>
        <w:t xml:space="preserve"> concluding that because the </w:t>
      </w:r>
      <w:r w:rsidR="00646A7C" w:rsidRPr="00EF5A3A">
        <w:rPr>
          <w:color w:val="000000" w:themeColor="text1"/>
          <w:szCs w:val="26"/>
        </w:rPr>
        <w:t xml:space="preserve">challenged </w:t>
      </w:r>
      <w:r w:rsidRPr="00EF5A3A">
        <w:rPr>
          <w:color w:val="000000" w:themeColor="text1"/>
          <w:szCs w:val="26"/>
        </w:rPr>
        <w:t>judgment subjected both husband and wife “to the same award,” the rule of “</w:t>
      </w:r>
      <w:r w:rsidR="002E773A" w:rsidRPr="00EF5A3A">
        <w:rPr>
          <w:color w:val="000000" w:themeColor="text1"/>
          <w:szCs w:val="26"/>
        </w:rPr>
        <w:t>[</w:t>
      </w:r>
      <w:r w:rsidRPr="00EF5A3A">
        <w:rPr>
          <w:color w:val="000000" w:themeColor="text1"/>
          <w:szCs w:val="26"/>
        </w:rPr>
        <w:t>l</w:t>
      </w:r>
      <w:r w:rsidR="002E773A" w:rsidRPr="00EF5A3A">
        <w:rPr>
          <w:color w:val="000000" w:themeColor="text1"/>
          <w:szCs w:val="26"/>
        </w:rPr>
        <w:t>]</w:t>
      </w:r>
      <w:r w:rsidRPr="00EF5A3A">
        <w:rPr>
          <w:color w:val="000000" w:themeColor="text1"/>
          <w:szCs w:val="26"/>
        </w:rPr>
        <w:t xml:space="preserve">iberal construction . . . compel[led]” the court to conclude she was an intended </w:t>
      </w:r>
      <w:r w:rsidR="00C1519E" w:rsidRPr="00EF5A3A">
        <w:rPr>
          <w:color w:val="000000" w:themeColor="text1"/>
          <w:szCs w:val="26"/>
        </w:rPr>
        <w:t>appellant</w:t>
      </w:r>
      <w:r w:rsidRPr="00EF5A3A">
        <w:rPr>
          <w:color w:val="000000" w:themeColor="text1"/>
          <w:szCs w:val="26"/>
        </w:rPr>
        <w:t xml:space="preserve"> despite her omission from the notice</w:t>
      </w:r>
      <w:r w:rsidR="00646A7C" w:rsidRPr="00EF5A3A">
        <w:rPr>
          <w:color w:val="000000" w:themeColor="text1"/>
          <w:szCs w:val="26"/>
        </w:rPr>
        <w:t>.</w:t>
      </w:r>
      <w:r w:rsidR="00F861FB" w:rsidRPr="00EF5A3A">
        <w:rPr>
          <w:color w:val="000000" w:themeColor="text1"/>
          <w:szCs w:val="26"/>
        </w:rPr>
        <w:t xml:space="preserve">  </w:t>
      </w:r>
      <w:r w:rsidR="00F15896" w:rsidRPr="00EF5A3A">
        <w:rPr>
          <w:color w:val="000000" w:themeColor="text1"/>
          <w:szCs w:val="26"/>
        </w:rPr>
        <w:t>(</w:t>
      </w:r>
      <w:r w:rsidR="00F15896" w:rsidRPr="00EF5A3A">
        <w:rPr>
          <w:i/>
          <w:iCs/>
          <w:color w:val="000000" w:themeColor="text1"/>
          <w:szCs w:val="26"/>
        </w:rPr>
        <w:t>Id</w:t>
      </w:r>
      <w:r w:rsidR="00F15896" w:rsidRPr="00EF5A3A">
        <w:rPr>
          <w:color w:val="000000" w:themeColor="text1"/>
          <w:szCs w:val="26"/>
        </w:rPr>
        <w:t>. at p</w:t>
      </w:r>
      <w:r w:rsidR="00A53A34" w:rsidRPr="00EF5A3A">
        <w:rPr>
          <w:color w:val="000000" w:themeColor="text1"/>
          <w:szCs w:val="26"/>
        </w:rPr>
        <w:t>. </w:t>
      </w:r>
      <w:r w:rsidR="00F15896" w:rsidRPr="00EF5A3A">
        <w:rPr>
          <w:color w:val="000000" w:themeColor="text1"/>
          <w:szCs w:val="26"/>
        </w:rPr>
        <w:t>1216.)</w:t>
      </w:r>
      <w:r w:rsidR="00F861FB" w:rsidRPr="00EF5A3A">
        <w:rPr>
          <w:color w:val="000000" w:themeColor="text1"/>
          <w:szCs w:val="26"/>
        </w:rPr>
        <w:t xml:space="preserve"> </w:t>
      </w:r>
      <w:r w:rsidRPr="00EF5A3A">
        <w:rPr>
          <w:color w:val="000000" w:themeColor="text1"/>
          <w:szCs w:val="26"/>
        </w:rPr>
        <w:t xml:space="preserve">  </w:t>
      </w:r>
    </w:p>
    <w:p w14:paraId="76E90A52" w14:textId="116ED3F3" w:rsidR="00B304FA" w:rsidRPr="00EF5A3A" w:rsidRDefault="00A53A34" w:rsidP="00EF5A3A">
      <w:pPr>
        <w:ind w:firstLine="720"/>
        <w:rPr>
          <w:color w:val="000000" w:themeColor="text1"/>
          <w:szCs w:val="26"/>
        </w:rPr>
      </w:pPr>
      <w:r w:rsidRPr="00EF5A3A">
        <w:rPr>
          <w:szCs w:val="26"/>
        </w:rPr>
        <w:t xml:space="preserve">Our </w:t>
      </w:r>
      <w:r w:rsidR="00D814CB" w:rsidRPr="00EF5A3A">
        <w:rPr>
          <w:szCs w:val="26"/>
        </w:rPr>
        <w:t xml:space="preserve">reasoning in </w:t>
      </w:r>
      <w:r w:rsidR="002F1978" w:rsidRPr="00EF5A3A">
        <w:rPr>
          <w:i/>
          <w:iCs/>
          <w:szCs w:val="26"/>
        </w:rPr>
        <w:t>Walker</w:t>
      </w:r>
      <w:r w:rsidR="002F1978" w:rsidRPr="00EF5A3A">
        <w:rPr>
          <w:iCs/>
          <w:szCs w:val="26"/>
        </w:rPr>
        <w:t xml:space="preserve">, </w:t>
      </w:r>
      <w:r w:rsidR="002F1978" w:rsidRPr="00EF5A3A">
        <w:rPr>
          <w:i/>
          <w:iCs/>
          <w:szCs w:val="26"/>
        </w:rPr>
        <w:t>supra</w:t>
      </w:r>
      <w:r w:rsidR="002F1978" w:rsidRPr="00EF5A3A">
        <w:rPr>
          <w:iCs/>
          <w:szCs w:val="26"/>
        </w:rPr>
        <w:t xml:space="preserve">, </w:t>
      </w:r>
      <w:r w:rsidR="002F1978" w:rsidRPr="00EF5A3A">
        <w:rPr>
          <w:color w:val="000000" w:themeColor="text1"/>
          <w:szCs w:val="26"/>
        </w:rPr>
        <w:t>35 Cal.4th 15,</w:t>
      </w:r>
      <w:r w:rsidR="002F1978" w:rsidRPr="00EF5A3A">
        <w:rPr>
          <w:szCs w:val="26"/>
        </w:rPr>
        <w:t xml:space="preserve"> </w:t>
      </w:r>
      <w:r w:rsidR="00B72910" w:rsidRPr="00EF5A3A">
        <w:rPr>
          <w:szCs w:val="26"/>
        </w:rPr>
        <w:t xml:space="preserve">and </w:t>
      </w:r>
      <w:r w:rsidR="002F1978" w:rsidRPr="00EF5A3A">
        <w:rPr>
          <w:i/>
          <w:iCs/>
          <w:szCs w:val="26"/>
        </w:rPr>
        <w:t>Vibert</w:t>
      </w:r>
      <w:r w:rsidR="002F1978" w:rsidRPr="00EF5A3A">
        <w:rPr>
          <w:iCs/>
          <w:szCs w:val="26"/>
        </w:rPr>
        <w:t xml:space="preserve">, </w:t>
      </w:r>
      <w:r w:rsidR="002F1978" w:rsidRPr="00EF5A3A">
        <w:rPr>
          <w:i/>
          <w:iCs/>
          <w:szCs w:val="26"/>
        </w:rPr>
        <w:t>supra</w:t>
      </w:r>
      <w:r w:rsidR="002F1978" w:rsidRPr="00EF5A3A">
        <w:rPr>
          <w:iCs/>
          <w:szCs w:val="26"/>
        </w:rPr>
        <w:t xml:space="preserve">, </w:t>
      </w:r>
      <w:r w:rsidR="002F1978" w:rsidRPr="00EF5A3A">
        <w:rPr>
          <w:color w:val="000000" w:themeColor="text1"/>
          <w:szCs w:val="26"/>
        </w:rPr>
        <w:t>64 Cal.2d 65,</w:t>
      </w:r>
      <w:r w:rsidR="002F1978" w:rsidRPr="00EF5A3A">
        <w:rPr>
          <w:szCs w:val="26"/>
        </w:rPr>
        <w:t xml:space="preserve"> </w:t>
      </w:r>
      <w:r w:rsidR="00D814CB" w:rsidRPr="00EF5A3A">
        <w:rPr>
          <w:szCs w:val="26"/>
        </w:rPr>
        <w:t>is also instructive</w:t>
      </w:r>
      <w:r w:rsidR="00CF03D6" w:rsidRPr="00EF5A3A">
        <w:rPr>
          <w:szCs w:val="26"/>
        </w:rPr>
        <w:t xml:space="preserve">. </w:t>
      </w:r>
      <w:r w:rsidR="00F6463B" w:rsidRPr="00EF5A3A">
        <w:rPr>
          <w:szCs w:val="26"/>
        </w:rPr>
        <w:t xml:space="preserve"> </w:t>
      </w:r>
      <w:r w:rsidR="0053695F" w:rsidRPr="00EF5A3A">
        <w:rPr>
          <w:szCs w:val="26"/>
        </w:rPr>
        <w:t xml:space="preserve">In </w:t>
      </w:r>
      <w:r w:rsidR="002564D7" w:rsidRPr="00EF5A3A">
        <w:rPr>
          <w:szCs w:val="26"/>
        </w:rPr>
        <w:t>each</w:t>
      </w:r>
      <w:r w:rsidR="0053695F" w:rsidRPr="00EF5A3A">
        <w:rPr>
          <w:szCs w:val="26"/>
        </w:rPr>
        <w:t xml:space="preserve"> case, we </w:t>
      </w:r>
      <w:r w:rsidR="00646A7C" w:rsidRPr="00EF5A3A">
        <w:rPr>
          <w:szCs w:val="26"/>
        </w:rPr>
        <w:t xml:space="preserve">explained that </w:t>
      </w:r>
      <w:r w:rsidR="00D814CB" w:rsidRPr="00EF5A3A">
        <w:rPr>
          <w:szCs w:val="26"/>
        </w:rPr>
        <w:t>while</w:t>
      </w:r>
      <w:r w:rsidR="0003510A" w:rsidRPr="00EF5A3A">
        <w:rPr>
          <w:szCs w:val="26"/>
        </w:rPr>
        <w:t xml:space="preserve"> </w:t>
      </w:r>
      <w:r w:rsidR="00DC0259" w:rsidRPr="00EF5A3A">
        <w:rPr>
          <w:szCs w:val="26"/>
        </w:rPr>
        <w:t xml:space="preserve">the </w:t>
      </w:r>
      <w:r w:rsidR="0053695F" w:rsidRPr="00EF5A3A">
        <w:rPr>
          <w:szCs w:val="26"/>
        </w:rPr>
        <w:t xml:space="preserve">appellant </w:t>
      </w:r>
      <w:r w:rsidR="00DC0259" w:rsidRPr="00EF5A3A">
        <w:rPr>
          <w:szCs w:val="26"/>
        </w:rPr>
        <w:t>had “plainly erred”</w:t>
      </w:r>
      <w:r w:rsidR="00C62754" w:rsidRPr="00EF5A3A">
        <w:rPr>
          <w:szCs w:val="26"/>
        </w:rPr>
        <w:t xml:space="preserve"> by</w:t>
      </w:r>
      <w:r w:rsidR="00F1316A" w:rsidRPr="00EF5A3A">
        <w:rPr>
          <w:szCs w:val="26"/>
        </w:rPr>
        <w:t xml:space="preserve"> designating </w:t>
      </w:r>
      <w:r w:rsidR="00D814CB" w:rsidRPr="00EF5A3A">
        <w:rPr>
          <w:szCs w:val="26"/>
        </w:rPr>
        <w:t xml:space="preserve">only </w:t>
      </w:r>
      <w:r w:rsidR="00646A7C" w:rsidRPr="00EF5A3A">
        <w:rPr>
          <w:szCs w:val="26"/>
        </w:rPr>
        <w:t xml:space="preserve">a </w:t>
      </w:r>
      <w:r w:rsidR="00F1316A" w:rsidRPr="00EF5A3A">
        <w:rPr>
          <w:szCs w:val="26"/>
        </w:rPr>
        <w:t>non</w:t>
      </w:r>
      <w:r w:rsidR="00646A7C" w:rsidRPr="00EF5A3A">
        <w:rPr>
          <w:szCs w:val="26"/>
        </w:rPr>
        <w:t>appealable order</w:t>
      </w:r>
      <w:r w:rsidR="000E38EE" w:rsidRPr="00EF5A3A">
        <w:rPr>
          <w:szCs w:val="26"/>
        </w:rPr>
        <w:t xml:space="preserve"> in the notice</w:t>
      </w:r>
      <w:r w:rsidR="00D814CB" w:rsidRPr="00EF5A3A">
        <w:rPr>
          <w:szCs w:val="26"/>
        </w:rPr>
        <w:t xml:space="preserve"> </w:t>
      </w:r>
      <w:r w:rsidR="0003510A" w:rsidRPr="00EF5A3A">
        <w:rPr>
          <w:szCs w:val="26"/>
        </w:rPr>
        <w:t>(</w:t>
      </w:r>
      <w:r w:rsidR="0003510A" w:rsidRPr="00EF5A3A">
        <w:rPr>
          <w:i/>
          <w:iCs/>
          <w:szCs w:val="26"/>
        </w:rPr>
        <w:t xml:space="preserve">Walker, </w:t>
      </w:r>
      <w:r w:rsidR="0003510A" w:rsidRPr="00EF5A3A">
        <w:rPr>
          <w:szCs w:val="26"/>
        </w:rPr>
        <w:t>at p</w:t>
      </w:r>
      <w:r w:rsidR="002F1978" w:rsidRPr="00EF5A3A">
        <w:rPr>
          <w:szCs w:val="26"/>
        </w:rPr>
        <w:t>. </w:t>
      </w:r>
      <w:r w:rsidR="0003510A" w:rsidRPr="00EF5A3A">
        <w:rPr>
          <w:szCs w:val="26"/>
        </w:rPr>
        <w:t xml:space="preserve">19; see </w:t>
      </w:r>
      <w:r w:rsidR="0003510A" w:rsidRPr="00EF5A3A">
        <w:rPr>
          <w:i/>
          <w:iCs/>
          <w:szCs w:val="26"/>
        </w:rPr>
        <w:t>Vibert</w:t>
      </w:r>
      <w:r w:rsidR="0003510A" w:rsidRPr="00EF5A3A">
        <w:rPr>
          <w:iCs/>
          <w:szCs w:val="26"/>
        </w:rPr>
        <w:t>,</w:t>
      </w:r>
      <w:r w:rsidR="0003510A" w:rsidRPr="00EF5A3A">
        <w:rPr>
          <w:i/>
          <w:iCs/>
          <w:szCs w:val="26"/>
        </w:rPr>
        <w:t xml:space="preserve"> </w:t>
      </w:r>
      <w:r w:rsidR="0003510A" w:rsidRPr="00EF5A3A">
        <w:rPr>
          <w:szCs w:val="26"/>
        </w:rPr>
        <w:t>at p</w:t>
      </w:r>
      <w:r w:rsidR="002F1978" w:rsidRPr="00EF5A3A">
        <w:rPr>
          <w:szCs w:val="26"/>
        </w:rPr>
        <w:t>. </w:t>
      </w:r>
      <w:r w:rsidR="0003510A" w:rsidRPr="00EF5A3A">
        <w:rPr>
          <w:szCs w:val="26"/>
        </w:rPr>
        <w:t xml:space="preserve">69), </w:t>
      </w:r>
      <w:r w:rsidR="00C62754" w:rsidRPr="00EF5A3A">
        <w:rPr>
          <w:szCs w:val="26"/>
        </w:rPr>
        <w:t xml:space="preserve">the </w:t>
      </w:r>
      <w:r w:rsidR="00D814CB" w:rsidRPr="00EF5A3A">
        <w:rPr>
          <w:szCs w:val="26"/>
        </w:rPr>
        <w:t xml:space="preserve">strong public policy favoring the hearing of appeals on their merits compelled that the </w:t>
      </w:r>
      <w:r w:rsidR="0003510A" w:rsidRPr="00EF5A3A">
        <w:rPr>
          <w:szCs w:val="26"/>
        </w:rPr>
        <w:t xml:space="preserve">notice be </w:t>
      </w:r>
      <w:r w:rsidR="000F2E0E" w:rsidRPr="00EF5A3A">
        <w:rPr>
          <w:color w:val="000000" w:themeColor="text1"/>
          <w:szCs w:val="26"/>
        </w:rPr>
        <w:t>construe</w:t>
      </w:r>
      <w:r w:rsidR="0003510A" w:rsidRPr="00EF5A3A">
        <w:rPr>
          <w:color w:val="000000" w:themeColor="text1"/>
          <w:szCs w:val="26"/>
        </w:rPr>
        <w:t>d</w:t>
      </w:r>
      <w:r w:rsidR="002564D7" w:rsidRPr="00EF5A3A">
        <w:rPr>
          <w:color w:val="000000" w:themeColor="text1"/>
          <w:szCs w:val="26"/>
        </w:rPr>
        <w:t xml:space="preserve"> </w:t>
      </w:r>
      <w:r w:rsidR="000F2E0E" w:rsidRPr="00EF5A3A">
        <w:rPr>
          <w:color w:val="000000" w:themeColor="text1"/>
          <w:szCs w:val="26"/>
        </w:rPr>
        <w:t>to inc</w:t>
      </w:r>
      <w:r w:rsidR="00C62754" w:rsidRPr="00EF5A3A">
        <w:rPr>
          <w:color w:val="000000" w:themeColor="text1"/>
          <w:szCs w:val="26"/>
        </w:rPr>
        <w:t xml:space="preserve">orporate </w:t>
      </w:r>
      <w:r w:rsidR="000F2E0E" w:rsidRPr="00EF5A3A">
        <w:rPr>
          <w:color w:val="000000" w:themeColor="text1"/>
          <w:szCs w:val="26"/>
        </w:rPr>
        <w:t>the</w:t>
      </w:r>
      <w:r w:rsidR="00862691" w:rsidRPr="00EF5A3A">
        <w:rPr>
          <w:color w:val="000000" w:themeColor="text1"/>
          <w:szCs w:val="26"/>
        </w:rPr>
        <w:t xml:space="preserve"> underlying</w:t>
      </w:r>
      <w:r w:rsidR="000F2E0E" w:rsidRPr="00EF5A3A">
        <w:rPr>
          <w:color w:val="000000" w:themeColor="text1"/>
          <w:szCs w:val="26"/>
        </w:rPr>
        <w:t xml:space="preserve"> judgment </w:t>
      </w:r>
      <w:r w:rsidR="00CC3098" w:rsidRPr="00EF5A3A">
        <w:rPr>
          <w:color w:val="000000" w:themeColor="text1"/>
          <w:szCs w:val="26"/>
        </w:rPr>
        <w:t xml:space="preserve">if the </w:t>
      </w:r>
      <w:r w:rsidR="00A06243" w:rsidRPr="00EF5A3A">
        <w:rPr>
          <w:color w:val="000000" w:themeColor="text1"/>
          <w:szCs w:val="26"/>
        </w:rPr>
        <w:t>party</w:t>
      </w:r>
      <w:r w:rsidR="00CC3098" w:rsidRPr="00EF5A3A">
        <w:rPr>
          <w:color w:val="000000" w:themeColor="text1"/>
          <w:szCs w:val="26"/>
        </w:rPr>
        <w:t xml:space="preserve">’s intent was </w:t>
      </w:r>
      <w:r w:rsidR="002564D7" w:rsidRPr="00EF5A3A">
        <w:rPr>
          <w:color w:val="000000" w:themeColor="text1"/>
          <w:szCs w:val="26"/>
        </w:rPr>
        <w:t>“apparent”</w:t>
      </w:r>
      <w:r w:rsidR="003E089C" w:rsidRPr="00EF5A3A">
        <w:rPr>
          <w:color w:val="000000" w:themeColor="text1"/>
          <w:szCs w:val="26"/>
        </w:rPr>
        <w:t xml:space="preserve"> from the record</w:t>
      </w:r>
      <w:r w:rsidR="002564D7" w:rsidRPr="00EF5A3A">
        <w:rPr>
          <w:color w:val="000000" w:themeColor="text1"/>
          <w:szCs w:val="26"/>
        </w:rPr>
        <w:t xml:space="preserve"> (</w:t>
      </w:r>
      <w:r w:rsidR="002564D7" w:rsidRPr="00EF5A3A">
        <w:rPr>
          <w:i/>
          <w:iCs/>
          <w:color w:val="000000" w:themeColor="text1"/>
          <w:szCs w:val="26"/>
        </w:rPr>
        <w:t>Vibert</w:t>
      </w:r>
      <w:r w:rsidR="002564D7" w:rsidRPr="00EF5A3A">
        <w:rPr>
          <w:iCs/>
          <w:color w:val="000000" w:themeColor="text1"/>
          <w:szCs w:val="26"/>
        </w:rPr>
        <w:t>,</w:t>
      </w:r>
      <w:r w:rsidR="002564D7" w:rsidRPr="00EF5A3A">
        <w:rPr>
          <w:i/>
          <w:iCs/>
          <w:color w:val="000000" w:themeColor="text1"/>
          <w:szCs w:val="26"/>
        </w:rPr>
        <w:t xml:space="preserve"> </w:t>
      </w:r>
      <w:r w:rsidR="002564D7" w:rsidRPr="00EF5A3A">
        <w:rPr>
          <w:color w:val="000000" w:themeColor="text1"/>
          <w:szCs w:val="26"/>
        </w:rPr>
        <w:t>at p. 68)</w:t>
      </w:r>
      <w:r w:rsidR="000F2E0E" w:rsidRPr="00EF5A3A">
        <w:rPr>
          <w:color w:val="000000" w:themeColor="text1"/>
          <w:szCs w:val="26"/>
        </w:rPr>
        <w:t xml:space="preserve">, and the respondent </w:t>
      </w:r>
      <w:r w:rsidR="003E089C" w:rsidRPr="00EF5A3A">
        <w:rPr>
          <w:color w:val="000000" w:themeColor="text1"/>
          <w:szCs w:val="26"/>
        </w:rPr>
        <w:t xml:space="preserve">was </w:t>
      </w:r>
      <w:r w:rsidR="000F2E0E" w:rsidRPr="00EF5A3A">
        <w:rPr>
          <w:color w:val="000000" w:themeColor="text1"/>
          <w:szCs w:val="26"/>
        </w:rPr>
        <w:t>not misled or prejudiced</w:t>
      </w:r>
      <w:r w:rsidR="00A06243" w:rsidRPr="00EF5A3A">
        <w:rPr>
          <w:color w:val="000000" w:themeColor="text1"/>
          <w:szCs w:val="26"/>
        </w:rPr>
        <w:t xml:space="preserve"> by the omission</w:t>
      </w:r>
      <w:r w:rsidR="000F2E0E" w:rsidRPr="00EF5A3A">
        <w:rPr>
          <w:color w:val="000000" w:themeColor="text1"/>
          <w:szCs w:val="26"/>
        </w:rPr>
        <w:t xml:space="preserve">.  </w:t>
      </w:r>
      <w:r w:rsidR="00A06243" w:rsidRPr="00EF5A3A">
        <w:rPr>
          <w:color w:val="000000" w:themeColor="text1"/>
          <w:szCs w:val="26"/>
        </w:rPr>
        <w:t xml:space="preserve">As stated in </w:t>
      </w:r>
      <w:r w:rsidR="00A06243" w:rsidRPr="00EF5A3A">
        <w:rPr>
          <w:i/>
          <w:iCs/>
          <w:color w:val="000000" w:themeColor="text1"/>
          <w:szCs w:val="26"/>
        </w:rPr>
        <w:t>Vibert</w:t>
      </w:r>
      <w:r w:rsidR="00A06243" w:rsidRPr="00EF5A3A">
        <w:rPr>
          <w:color w:val="000000" w:themeColor="text1"/>
          <w:szCs w:val="26"/>
        </w:rPr>
        <w:t xml:space="preserve">, </w:t>
      </w:r>
      <w:r w:rsidR="003E089C" w:rsidRPr="00EF5A3A">
        <w:rPr>
          <w:color w:val="000000" w:themeColor="text1"/>
          <w:szCs w:val="26"/>
        </w:rPr>
        <w:t xml:space="preserve">even if the notice’s </w:t>
      </w:r>
      <w:r w:rsidR="00B304FA" w:rsidRPr="00EF5A3A">
        <w:rPr>
          <w:color w:val="000000" w:themeColor="text1"/>
          <w:szCs w:val="26"/>
        </w:rPr>
        <w:t>defect was</w:t>
      </w:r>
      <w:r w:rsidR="003E089C" w:rsidRPr="00EF5A3A">
        <w:rPr>
          <w:color w:val="000000" w:themeColor="text1"/>
          <w:szCs w:val="26"/>
        </w:rPr>
        <w:t xml:space="preserve"> the result of </w:t>
      </w:r>
      <w:r w:rsidR="00B304FA" w:rsidRPr="00EF5A3A">
        <w:rPr>
          <w:color w:val="000000" w:themeColor="text1"/>
          <w:szCs w:val="26"/>
        </w:rPr>
        <w:t>“appellant’s ignorance”</w:t>
      </w:r>
      <w:r w:rsidR="003E089C" w:rsidRPr="00EF5A3A">
        <w:rPr>
          <w:color w:val="000000" w:themeColor="text1"/>
          <w:szCs w:val="26"/>
        </w:rPr>
        <w:t xml:space="preserve"> </w:t>
      </w:r>
      <w:r w:rsidR="002F1978" w:rsidRPr="00EF5A3A">
        <w:rPr>
          <w:color w:val="000000" w:themeColor="text1"/>
          <w:szCs w:val="26"/>
        </w:rPr>
        <w:t>(</w:t>
      </w:r>
      <w:r w:rsidR="002F1978" w:rsidRPr="00EF5A3A">
        <w:rPr>
          <w:i/>
          <w:color w:val="000000" w:themeColor="text1"/>
          <w:szCs w:val="26"/>
        </w:rPr>
        <w:t>id.</w:t>
      </w:r>
      <w:r w:rsidR="002F1978" w:rsidRPr="00EF5A3A">
        <w:rPr>
          <w:color w:val="000000" w:themeColor="text1"/>
          <w:szCs w:val="26"/>
        </w:rPr>
        <w:t xml:space="preserve"> at p. 70) </w:t>
      </w:r>
      <w:r w:rsidR="00B72910" w:rsidRPr="00EF5A3A">
        <w:rPr>
          <w:color w:val="000000" w:themeColor="text1"/>
          <w:szCs w:val="26"/>
        </w:rPr>
        <w:t>of</w:t>
      </w:r>
      <w:r w:rsidR="00D814CB" w:rsidRPr="00EF5A3A">
        <w:rPr>
          <w:color w:val="000000" w:themeColor="text1"/>
          <w:szCs w:val="26"/>
        </w:rPr>
        <w:t xml:space="preserve"> the technical requirements of</w:t>
      </w:r>
      <w:r w:rsidR="003E089C" w:rsidRPr="00EF5A3A">
        <w:rPr>
          <w:color w:val="000000" w:themeColor="text1"/>
          <w:szCs w:val="26"/>
        </w:rPr>
        <w:t xml:space="preserve"> appellate procedure, </w:t>
      </w:r>
      <w:r w:rsidR="002564D7" w:rsidRPr="00EF5A3A">
        <w:rPr>
          <w:color w:val="000000" w:themeColor="text1"/>
          <w:szCs w:val="26"/>
        </w:rPr>
        <w:t>he</w:t>
      </w:r>
      <w:r w:rsidR="00B304FA" w:rsidRPr="00EF5A3A">
        <w:rPr>
          <w:color w:val="000000" w:themeColor="text1"/>
          <w:szCs w:val="26"/>
        </w:rPr>
        <w:t xml:space="preserve"> “</w:t>
      </w:r>
      <w:r w:rsidR="00C01A98" w:rsidRPr="00EF5A3A">
        <w:rPr>
          <w:color w:val="000000" w:themeColor="text1"/>
          <w:szCs w:val="26"/>
        </w:rPr>
        <w:t> </w:t>
      </w:r>
      <w:r w:rsidR="002564D7" w:rsidRPr="00EF5A3A">
        <w:rPr>
          <w:color w:val="000000" w:themeColor="text1"/>
          <w:szCs w:val="26"/>
        </w:rPr>
        <w:t>‘</w:t>
      </w:r>
      <w:r w:rsidR="00A06243" w:rsidRPr="00EF5A3A">
        <w:rPr>
          <w:color w:val="000000" w:themeColor="text1"/>
          <w:szCs w:val="26"/>
        </w:rPr>
        <w:t>should not be precluded from securing a review of what all concerned knew he was seeking to have reviewed</w:t>
      </w:r>
      <w:r w:rsidR="002564D7" w:rsidRPr="00EF5A3A">
        <w:rPr>
          <w:color w:val="000000" w:themeColor="text1"/>
          <w:szCs w:val="26"/>
        </w:rPr>
        <w:t>’</w:t>
      </w:r>
      <w:r w:rsidR="00C21191" w:rsidRPr="00EF5A3A">
        <w:rPr>
          <w:color w:val="000000" w:themeColor="text1"/>
          <w:szCs w:val="26"/>
        </w:rPr>
        <w:t> </w:t>
      </w:r>
      <w:r w:rsidR="008A70FF" w:rsidRPr="00EF5A3A">
        <w:rPr>
          <w:color w:val="000000" w:themeColor="text1"/>
          <w:szCs w:val="26"/>
        </w:rPr>
        <w:t>”</w:t>
      </w:r>
      <w:r w:rsidR="002F1978" w:rsidRPr="00EF5A3A">
        <w:rPr>
          <w:color w:val="000000" w:themeColor="text1"/>
          <w:szCs w:val="26"/>
        </w:rPr>
        <w:t xml:space="preserve"> (</w:t>
      </w:r>
      <w:r w:rsidR="00C21191" w:rsidRPr="00EF5A3A">
        <w:rPr>
          <w:i/>
          <w:iCs/>
          <w:color w:val="000000" w:themeColor="text1"/>
          <w:szCs w:val="26"/>
        </w:rPr>
        <w:t>i</w:t>
      </w:r>
      <w:r w:rsidR="00C21191" w:rsidRPr="00EF5A3A">
        <w:rPr>
          <w:i/>
          <w:color w:val="000000" w:themeColor="text1"/>
          <w:szCs w:val="26"/>
        </w:rPr>
        <w:t>d</w:t>
      </w:r>
      <w:r w:rsidR="002F1978" w:rsidRPr="00EF5A3A">
        <w:rPr>
          <w:i/>
          <w:color w:val="000000" w:themeColor="text1"/>
          <w:szCs w:val="26"/>
        </w:rPr>
        <w:t>.</w:t>
      </w:r>
      <w:r w:rsidR="002F1978" w:rsidRPr="00EF5A3A">
        <w:rPr>
          <w:color w:val="000000" w:themeColor="text1"/>
          <w:szCs w:val="26"/>
        </w:rPr>
        <w:t xml:space="preserve"> at pp. 68–69, </w:t>
      </w:r>
      <w:r w:rsidR="002E773A" w:rsidRPr="00EF5A3A">
        <w:rPr>
          <w:color w:val="000000" w:themeColor="text1"/>
          <w:szCs w:val="26"/>
        </w:rPr>
        <w:t xml:space="preserve">italics omitted, </w:t>
      </w:r>
      <w:r w:rsidR="002F1978" w:rsidRPr="00EF5A3A">
        <w:rPr>
          <w:color w:val="000000" w:themeColor="text1"/>
          <w:szCs w:val="26"/>
        </w:rPr>
        <w:t xml:space="preserve">quoting </w:t>
      </w:r>
      <w:r w:rsidR="002F1978" w:rsidRPr="00EF5A3A">
        <w:rPr>
          <w:i/>
          <w:color w:val="000000" w:themeColor="text1"/>
          <w:szCs w:val="26"/>
        </w:rPr>
        <w:t>Evola</w:t>
      </w:r>
      <w:r w:rsidR="002F1978" w:rsidRPr="00EF5A3A">
        <w:rPr>
          <w:color w:val="000000" w:themeColor="text1"/>
          <w:szCs w:val="26"/>
        </w:rPr>
        <w:t xml:space="preserve">, </w:t>
      </w:r>
      <w:r w:rsidR="002F1978" w:rsidRPr="00EF5A3A">
        <w:rPr>
          <w:i/>
          <w:color w:val="000000" w:themeColor="text1"/>
          <w:szCs w:val="26"/>
        </w:rPr>
        <w:t>supra</w:t>
      </w:r>
      <w:r w:rsidR="002F1978" w:rsidRPr="00EF5A3A">
        <w:rPr>
          <w:color w:val="000000" w:themeColor="text1"/>
          <w:szCs w:val="26"/>
        </w:rPr>
        <w:t>, 158 Cal.App.2d at p. 661)</w:t>
      </w:r>
      <w:r w:rsidR="00C21191" w:rsidRPr="00EF5A3A">
        <w:rPr>
          <w:color w:val="000000" w:themeColor="text1"/>
          <w:szCs w:val="26"/>
        </w:rPr>
        <w:t>.</w:t>
      </w:r>
      <w:r w:rsidR="002F1978" w:rsidRPr="00EF5A3A">
        <w:rPr>
          <w:color w:val="000000" w:themeColor="text1"/>
          <w:szCs w:val="26"/>
        </w:rPr>
        <w:t xml:space="preserve">  </w:t>
      </w:r>
      <w:r w:rsidR="005F4FC3" w:rsidRPr="00EF5A3A">
        <w:rPr>
          <w:color w:val="000000" w:themeColor="text1"/>
          <w:szCs w:val="26"/>
        </w:rPr>
        <w:t xml:space="preserve">That reasoning </w:t>
      </w:r>
      <w:r w:rsidR="005F4FC3" w:rsidRPr="00EF5A3A">
        <w:rPr>
          <w:color w:val="000000" w:themeColor="text1"/>
          <w:szCs w:val="26"/>
        </w:rPr>
        <w:lastRenderedPageBreak/>
        <w:t xml:space="preserve">applies equally </w:t>
      </w:r>
      <w:r w:rsidR="00C64B05" w:rsidRPr="00EF5A3A">
        <w:rPr>
          <w:color w:val="000000" w:themeColor="text1"/>
          <w:szCs w:val="26"/>
        </w:rPr>
        <w:t>w</w:t>
      </w:r>
      <w:r w:rsidR="005F4FC3" w:rsidRPr="00EF5A3A">
        <w:rPr>
          <w:color w:val="000000" w:themeColor="text1"/>
          <w:szCs w:val="26"/>
        </w:rPr>
        <w:t xml:space="preserve">here it is clear from the record </w:t>
      </w:r>
      <w:r w:rsidR="00E45FCB" w:rsidRPr="00EF5A3A">
        <w:rPr>
          <w:color w:val="000000" w:themeColor="text1"/>
          <w:szCs w:val="26"/>
        </w:rPr>
        <w:t xml:space="preserve">that </w:t>
      </w:r>
      <w:r w:rsidR="005F4FC3" w:rsidRPr="00EF5A3A">
        <w:rPr>
          <w:color w:val="000000" w:themeColor="text1"/>
          <w:szCs w:val="26"/>
        </w:rPr>
        <w:t xml:space="preserve">an </w:t>
      </w:r>
      <w:r w:rsidR="00C62754" w:rsidRPr="00EF5A3A">
        <w:rPr>
          <w:color w:val="000000" w:themeColor="text1"/>
          <w:szCs w:val="26"/>
        </w:rPr>
        <w:t xml:space="preserve">attorney intended to join in an appeal </w:t>
      </w:r>
      <w:r w:rsidR="00C64B05" w:rsidRPr="00EF5A3A">
        <w:rPr>
          <w:color w:val="000000" w:themeColor="text1"/>
          <w:szCs w:val="26"/>
        </w:rPr>
        <w:t xml:space="preserve">from </w:t>
      </w:r>
      <w:r w:rsidR="00C62754" w:rsidRPr="00EF5A3A">
        <w:rPr>
          <w:color w:val="000000" w:themeColor="text1"/>
          <w:szCs w:val="26"/>
        </w:rPr>
        <w:t>a</w:t>
      </w:r>
      <w:r w:rsidR="008A70FF" w:rsidRPr="00EF5A3A">
        <w:rPr>
          <w:color w:val="000000" w:themeColor="text1"/>
          <w:szCs w:val="26"/>
        </w:rPr>
        <w:t>n order directing him or her to pay sanctions, but</w:t>
      </w:r>
      <w:r w:rsidR="00985E2B" w:rsidRPr="00EF5A3A">
        <w:rPr>
          <w:color w:val="000000" w:themeColor="text1"/>
          <w:szCs w:val="26"/>
        </w:rPr>
        <w:t>,</w:t>
      </w:r>
      <w:r w:rsidR="00C64B05" w:rsidRPr="00EF5A3A">
        <w:rPr>
          <w:color w:val="000000" w:themeColor="text1"/>
          <w:szCs w:val="26"/>
        </w:rPr>
        <w:t xml:space="preserve"> either through clerical error or ignorance</w:t>
      </w:r>
      <w:r w:rsidR="00FD0F1F" w:rsidRPr="00EF5A3A">
        <w:rPr>
          <w:color w:val="000000" w:themeColor="text1"/>
          <w:szCs w:val="26"/>
        </w:rPr>
        <w:t xml:space="preserve"> of the law</w:t>
      </w:r>
      <w:r w:rsidR="00C64B05" w:rsidRPr="00EF5A3A">
        <w:rPr>
          <w:color w:val="000000" w:themeColor="text1"/>
          <w:szCs w:val="26"/>
        </w:rPr>
        <w:t xml:space="preserve">, </w:t>
      </w:r>
      <w:r w:rsidR="00B304FA" w:rsidRPr="00EF5A3A">
        <w:rPr>
          <w:color w:val="000000" w:themeColor="text1"/>
          <w:szCs w:val="26"/>
        </w:rPr>
        <w:t xml:space="preserve">was </w:t>
      </w:r>
      <w:r w:rsidR="00CC3098" w:rsidRPr="00EF5A3A">
        <w:rPr>
          <w:color w:val="000000" w:themeColor="text1"/>
          <w:szCs w:val="26"/>
        </w:rPr>
        <w:t>omitted from</w:t>
      </w:r>
      <w:r w:rsidR="00A505D7" w:rsidRPr="00EF5A3A">
        <w:rPr>
          <w:color w:val="000000" w:themeColor="text1"/>
          <w:szCs w:val="26"/>
        </w:rPr>
        <w:t xml:space="preserve"> the notice</w:t>
      </w:r>
      <w:r w:rsidR="00B304FA" w:rsidRPr="00EF5A3A">
        <w:rPr>
          <w:color w:val="000000" w:themeColor="text1"/>
          <w:szCs w:val="26"/>
        </w:rPr>
        <w:t xml:space="preserve"> of appeal</w:t>
      </w:r>
      <w:r w:rsidR="00A505D7" w:rsidRPr="00EF5A3A">
        <w:rPr>
          <w:color w:val="000000" w:themeColor="text1"/>
          <w:szCs w:val="26"/>
        </w:rPr>
        <w:t>.</w:t>
      </w:r>
      <w:r w:rsidR="0032204F" w:rsidRPr="00EF5A3A">
        <w:rPr>
          <w:rStyle w:val="FootnoteReference"/>
          <w:color w:val="000000" w:themeColor="text1"/>
          <w:szCs w:val="26"/>
        </w:rPr>
        <w:footnoteReference w:id="6"/>
      </w:r>
      <w:r w:rsidR="005F4FC3" w:rsidRPr="00EF5A3A">
        <w:rPr>
          <w:color w:val="000000" w:themeColor="text1"/>
          <w:szCs w:val="26"/>
        </w:rPr>
        <w:t xml:space="preserve">  </w:t>
      </w:r>
    </w:p>
    <w:p w14:paraId="653DD955" w14:textId="091259B5" w:rsidR="00AD161D" w:rsidRPr="00EF5A3A" w:rsidRDefault="007C51DF" w:rsidP="00EF5A3A">
      <w:pPr>
        <w:ind w:firstLine="720"/>
        <w:rPr>
          <w:szCs w:val="26"/>
        </w:rPr>
      </w:pPr>
      <w:r w:rsidRPr="00EF5A3A">
        <w:rPr>
          <w:color w:val="000000" w:themeColor="text1"/>
          <w:szCs w:val="26"/>
        </w:rPr>
        <w:t>The</w:t>
      </w:r>
      <w:r w:rsidR="00FD0F1F" w:rsidRPr="00EF5A3A">
        <w:rPr>
          <w:color w:val="000000" w:themeColor="text1"/>
          <w:szCs w:val="26"/>
        </w:rPr>
        <w:t xml:space="preserve"> Court of Appeal</w:t>
      </w:r>
      <w:r w:rsidR="00E45FCB" w:rsidRPr="00EF5A3A">
        <w:rPr>
          <w:color w:val="000000" w:themeColor="text1"/>
          <w:szCs w:val="26"/>
        </w:rPr>
        <w:t xml:space="preserve"> reached a different conclusion, holding that </w:t>
      </w:r>
      <w:r w:rsidR="00FD0F1F" w:rsidRPr="00EF5A3A">
        <w:rPr>
          <w:color w:val="000000" w:themeColor="text1"/>
          <w:szCs w:val="26"/>
        </w:rPr>
        <w:t>the notice of appeal</w:t>
      </w:r>
      <w:r w:rsidR="004C1A6D" w:rsidRPr="00EF5A3A">
        <w:rPr>
          <w:color w:val="000000" w:themeColor="text1"/>
          <w:szCs w:val="26"/>
        </w:rPr>
        <w:t xml:space="preserve"> </w:t>
      </w:r>
      <w:r w:rsidR="006A1354" w:rsidRPr="00EF5A3A">
        <w:rPr>
          <w:color w:val="000000" w:themeColor="text1"/>
          <w:szCs w:val="26"/>
        </w:rPr>
        <w:t xml:space="preserve">filed in K.J.’s name </w:t>
      </w:r>
      <w:r w:rsidR="00E45FCB" w:rsidRPr="00EF5A3A">
        <w:rPr>
          <w:color w:val="000000" w:themeColor="text1"/>
          <w:szCs w:val="26"/>
        </w:rPr>
        <w:t xml:space="preserve">could not be construed to </w:t>
      </w:r>
      <w:r w:rsidR="00FD0F1F" w:rsidRPr="00EF5A3A">
        <w:rPr>
          <w:color w:val="000000" w:themeColor="text1"/>
          <w:szCs w:val="26"/>
        </w:rPr>
        <w:t>include</w:t>
      </w:r>
      <w:r w:rsidR="00134E41" w:rsidRPr="00EF5A3A">
        <w:rPr>
          <w:color w:val="000000" w:themeColor="text1"/>
          <w:szCs w:val="26"/>
        </w:rPr>
        <w:t xml:space="preserve"> </w:t>
      </w:r>
      <w:r w:rsidR="006A1354" w:rsidRPr="00EF5A3A">
        <w:rPr>
          <w:color w:val="000000" w:themeColor="text1"/>
          <w:szCs w:val="26"/>
        </w:rPr>
        <w:t xml:space="preserve">Carrillo </w:t>
      </w:r>
      <w:r w:rsidR="00134E41" w:rsidRPr="00EF5A3A">
        <w:rPr>
          <w:color w:val="000000" w:themeColor="text1"/>
          <w:szCs w:val="26"/>
        </w:rPr>
        <w:t xml:space="preserve">regardless of whether his intent to join in the appeal was </w:t>
      </w:r>
      <w:r w:rsidR="004C1A6D" w:rsidRPr="00EF5A3A">
        <w:rPr>
          <w:color w:val="000000" w:themeColor="text1"/>
          <w:szCs w:val="26"/>
        </w:rPr>
        <w:t xml:space="preserve">otherwise </w:t>
      </w:r>
      <w:r w:rsidR="00134E41" w:rsidRPr="00EF5A3A">
        <w:rPr>
          <w:color w:val="000000" w:themeColor="text1"/>
          <w:szCs w:val="26"/>
        </w:rPr>
        <w:t>clear</w:t>
      </w:r>
      <w:r w:rsidR="004C1A6D" w:rsidRPr="00EF5A3A">
        <w:rPr>
          <w:color w:val="000000" w:themeColor="text1"/>
          <w:szCs w:val="26"/>
        </w:rPr>
        <w:t xml:space="preserve"> from the record</w:t>
      </w:r>
      <w:r w:rsidR="00E45FCB" w:rsidRPr="00EF5A3A">
        <w:rPr>
          <w:color w:val="000000" w:themeColor="text1"/>
          <w:szCs w:val="26"/>
        </w:rPr>
        <w:t xml:space="preserve">.  </w:t>
      </w:r>
      <w:r w:rsidR="006A1354" w:rsidRPr="00EF5A3A">
        <w:rPr>
          <w:color w:val="000000" w:themeColor="text1"/>
          <w:szCs w:val="26"/>
        </w:rPr>
        <w:t>In</w:t>
      </w:r>
      <w:r w:rsidR="00E45FCB" w:rsidRPr="00EF5A3A">
        <w:rPr>
          <w:color w:val="000000" w:themeColor="text1"/>
          <w:szCs w:val="26"/>
        </w:rPr>
        <w:t xml:space="preserve"> support, the court </w:t>
      </w:r>
      <w:r w:rsidR="002626CA" w:rsidRPr="00EF5A3A">
        <w:rPr>
          <w:color w:val="000000" w:themeColor="text1"/>
          <w:szCs w:val="26"/>
        </w:rPr>
        <w:t>relied on</w:t>
      </w:r>
      <w:r w:rsidR="00CD36E6" w:rsidRPr="00EF5A3A">
        <w:rPr>
          <w:color w:val="000000" w:themeColor="text1"/>
          <w:szCs w:val="26"/>
        </w:rPr>
        <w:t xml:space="preserve"> </w:t>
      </w:r>
      <w:r w:rsidR="009B6543" w:rsidRPr="00EF5A3A">
        <w:rPr>
          <w:i/>
          <w:iCs/>
          <w:szCs w:val="26"/>
        </w:rPr>
        <w:t xml:space="preserve">Calhoun, supra, </w:t>
      </w:r>
      <w:r w:rsidR="009B6543" w:rsidRPr="00EF5A3A">
        <w:rPr>
          <w:szCs w:val="26"/>
        </w:rPr>
        <w:t xml:space="preserve">20 Cal.App.4th </w:t>
      </w:r>
      <w:r w:rsidR="00862691" w:rsidRPr="00EF5A3A">
        <w:rPr>
          <w:szCs w:val="26"/>
        </w:rPr>
        <w:t>39</w:t>
      </w:r>
      <w:r w:rsidR="00555CED" w:rsidRPr="00EF5A3A">
        <w:rPr>
          <w:szCs w:val="26"/>
        </w:rPr>
        <w:t>,</w:t>
      </w:r>
      <w:r w:rsidR="006A1354" w:rsidRPr="00EF5A3A">
        <w:rPr>
          <w:szCs w:val="26"/>
        </w:rPr>
        <w:t xml:space="preserve"> </w:t>
      </w:r>
      <w:r w:rsidR="006C182C" w:rsidRPr="00EF5A3A">
        <w:rPr>
          <w:szCs w:val="26"/>
        </w:rPr>
        <w:t xml:space="preserve">one of several </w:t>
      </w:r>
      <w:r w:rsidR="006A1354" w:rsidRPr="00EF5A3A">
        <w:rPr>
          <w:szCs w:val="26"/>
        </w:rPr>
        <w:t xml:space="preserve">cases </w:t>
      </w:r>
      <w:r w:rsidR="00B72910" w:rsidRPr="00EF5A3A">
        <w:rPr>
          <w:szCs w:val="26"/>
        </w:rPr>
        <w:t>holding that</w:t>
      </w:r>
      <w:r w:rsidR="007B5EC7" w:rsidRPr="00EF5A3A">
        <w:rPr>
          <w:szCs w:val="26"/>
        </w:rPr>
        <w:t xml:space="preserve"> </w:t>
      </w:r>
      <w:r w:rsidR="000E38EE" w:rsidRPr="00EF5A3A">
        <w:rPr>
          <w:szCs w:val="26"/>
        </w:rPr>
        <w:t>a client’s notice of appeal</w:t>
      </w:r>
      <w:r w:rsidR="00CD3E2F" w:rsidRPr="00EF5A3A">
        <w:rPr>
          <w:szCs w:val="26"/>
        </w:rPr>
        <w:t xml:space="preserve"> from a sanctions order</w:t>
      </w:r>
      <w:r w:rsidR="000E38EE" w:rsidRPr="00EF5A3A">
        <w:rPr>
          <w:szCs w:val="26"/>
        </w:rPr>
        <w:t xml:space="preserve"> </w:t>
      </w:r>
      <w:r w:rsidR="00CD3E2F" w:rsidRPr="00EF5A3A">
        <w:rPr>
          <w:szCs w:val="26"/>
        </w:rPr>
        <w:t>cannot be construed to include an omitted attorney</w:t>
      </w:r>
      <w:r w:rsidR="00172958" w:rsidRPr="00EF5A3A">
        <w:rPr>
          <w:szCs w:val="26"/>
        </w:rPr>
        <w:t>.</w:t>
      </w:r>
      <w:r w:rsidR="006A1354" w:rsidRPr="00EF5A3A">
        <w:rPr>
          <w:szCs w:val="26"/>
        </w:rPr>
        <w:t xml:space="preserve"> </w:t>
      </w:r>
      <w:r w:rsidR="00C21191" w:rsidRPr="00EF5A3A">
        <w:rPr>
          <w:szCs w:val="26"/>
        </w:rPr>
        <w:t xml:space="preserve"> </w:t>
      </w:r>
      <w:r w:rsidR="006A1354" w:rsidRPr="00EF5A3A">
        <w:rPr>
          <w:szCs w:val="26"/>
        </w:rPr>
        <w:t>(</w:t>
      </w:r>
      <w:r w:rsidR="00862691" w:rsidRPr="00EF5A3A">
        <w:rPr>
          <w:i/>
          <w:iCs/>
          <w:szCs w:val="26"/>
        </w:rPr>
        <w:t xml:space="preserve">Id. </w:t>
      </w:r>
      <w:r w:rsidR="00862691" w:rsidRPr="00EF5A3A">
        <w:rPr>
          <w:szCs w:val="26"/>
        </w:rPr>
        <w:t>at p. 43; s</w:t>
      </w:r>
      <w:r w:rsidR="006A1354" w:rsidRPr="00EF5A3A">
        <w:rPr>
          <w:szCs w:val="26"/>
        </w:rPr>
        <w:t xml:space="preserve">ee </w:t>
      </w:r>
      <w:r w:rsidR="006A1354" w:rsidRPr="00EF5A3A">
        <w:rPr>
          <w:i/>
          <w:iCs/>
          <w:szCs w:val="26"/>
        </w:rPr>
        <w:t>Indiana Lumberm</w:t>
      </w:r>
      <w:r w:rsidR="00E062EB" w:rsidRPr="00EF5A3A">
        <w:rPr>
          <w:i/>
          <w:iCs/>
          <w:szCs w:val="26"/>
        </w:rPr>
        <w:t>e</w:t>
      </w:r>
      <w:r w:rsidR="006A1354" w:rsidRPr="00EF5A3A">
        <w:rPr>
          <w:i/>
          <w:iCs/>
          <w:szCs w:val="26"/>
        </w:rPr>
        <w:t>ns, supra</w:t>
      </w:r>
      <w:r w:rsidR="006A1354" w:rsidRPr="00EF5A3A">
        <w:rPr>
          <w:szCs w:val="26"/>
        </w:rPr>
        <w:t>, 226 Cal.App.4th at pp. 10</w:t>
      </w:r>
      <w:r w:rsidR="004472F6" w:rsidRPr="00EF5A3A">
        <w:rPr>
          <w:szCs w:val="26"/>
        </w:rPr>
        <w:t>–</w:t>
      </w:r>
      <w:r w:rsidR="006A1354" w:rsidRPr="00EF5A3A">
        <w:rPr>
          <w:szCs w:val="26"/>
        </w:rPr>
        <w:t>11 [</w:t>
      </w:r>
      <w:r w:rsidR="00862691" w:rsidRPr="00EF5A3A">
        <w:rPr>
          <w:szCs w:val="26"/>
        </w:rPr>
        <w:t xml:space="preserve">following </w:t>
      </w:r>
      <w:r w:rsidR="006A1354" w:rsidRPr="00EF5A3A">
        <w:rPr>
          <w:i/>
          <w:iCs/>
          <w:szCs w:val="26"/>
        </w:rPr>
        <w:t>Calhoun</w:t>
      </w:r>
      <w:r w:rsidR="00555CED" w:rsidRPr="001055FD">
        <w:rPr>
          <w:iCs/>
          <w:szCs w:val="26"/>
        </w:rPr>
        <w:t>’s</w:t>
      </w:r>
      <w:r w:rsidR="00555CED" w:rsidRPr="00EF5A3A">
        <w:rPr>
          <w:i/>
          <w:iCs/>
          <w:szCs w:val="26"/>
        </w:rPr>
        <w:t xml:space="preserve"> </w:t>
      </w:r>
      <w:r w:rsidR="00555CED" w:rsidRPr="00EF5A3A">
        <w:rPr>
          <w:szCs w:val="26"/>
        </w:rPr>
        <w:t>analysis</w:t>
      </w:r>
      <w:r w:rsidR="006A1354" w:rsidRPr="00EF5A3A">
        <w:rPr>
          <w:szCs w:val="26"/>
        </w:rPr>
        <w:t xml:space="preserve">]; </w:t>
      </w:r>
      <w:r w:rsidR="006A1354" w:rsidRPr="00EF5A3A">
        <w:rPr>
          <w:i/>
          <w:iCs/>
          <w:szCs w:val="26"/>
        </w:rPr>
        <w:t>In re Marriage of Knowles</w:t>
      </w:r>
      <w:r w:rsidR="006A1354" w:rsidRPr="00EF5A3A">
        <w:rPr>
          <w:szCs w:val="26"/>
        </w:rPr>
        <w:t xml:space="preserve"> (2009) 178 Cal.App.4th 35, 38, fn. 1</w:t>
      </w:r>
      <w:r w:rsidR="00555CED" w:rsidRPr="00EF5A3A">
        <w:rPr>
          <w:szCs w:val="26"/>
        </w:rPr>
        <w:t xml:space="preserve">1 </w:t>
      </w:r>
      <w:r w:rsidR="00B92407" w:rsidRPr="00EF5A3A">
        <w:rPr>
          <w:szCs w:val="26"/>
        </w:rPr>
        <w:t xml:space="preserve"> </w:t>
      </w:r>
      <w:r w:rsidR="00555CED" w:rsidRPr="00EF5A3A">
        <w:rPr>
          <w:szCs w:val="26"/>
        </w:rPr>
        <w:t xml:space="preserve">[dismissing </w:t>
      </w:r>
      <w:r w:rsidR="00210E80" w:rsidRPr="00EF5A3A">
        <w:rPr>
          <w:szCs w:val="26"/>
        </w:rPr>
        <w:t xml:space="preserve">attorney’s appeal of sanctions order and citing </w:t>
      </w:r>
      <w:r w:rsidR="00210E80" w:rsidRPr="00EF5A3A">
        <w:rPr>
          <w:i/>
          <w:iCs/>
          <w:szCs w:val="26"/>
        </w:rPr>
        <w:t>Calhoun</w:t>
      </w:r>
      <w:r w:rsidR="00210E80" w:rsidRPr="00EF5A3A">
        <w:rPr>
          <w:szCs w:val="26"/>
        </w:rPr>
        <w:t>]</w:t>
      </w:r>
      <w:r w:rsidR="00555CED" w:rsidRPr="00EF5A3A">
        <w:rPr>
          <w:szCs w:val="26"/>
        </w:rPr>
        <w:t xml:space="preserve">; but see </w:t>
      </w:r>
      <w:r w:rsidR="00555CED" w:rsidRPr="00EF5A3A">
        <w:rPr>
          <w:i/>
          <w:iCs/>
          <w:szCs w:val="26"/>
        </w:rPr>
        <w:t>Kane v. Hurley</w:t>
      </w:r>
      <w:r w:rsidR="00555CED" w:rsidRPr="00EF5A3A">
        <w:rPr>
          <w:szCs w:val="26"/>
        </w:rPr>
        <w:t xml:space="preserve"> (1994) 30 Cal.App.4th 859, 86</w:t>
      </w:r>
      <w:r w:rsidR="00BD1340">
        <w:rPr>
          <w:szCs w:val="26"/>
        </w:rPr>
        <w:t>1</w:t>
      </w:r>
      <w:r w:rsidR="00555CED" w:rsidRPr="00EF5A3A">
        <w:rPr>
          <w:szCs w:val="26"/>
        </w:rPr>
        <w:t>, fn. 4 [liberally construing client’s notice of appeal from order sanctioning attorney to “include [</w:t>
      </w:r>
      <w:r w:rsidR="00FC1566" w:rsidRPr="00EF5A3A">
        <w:rPr>
          <w:szCs w:val="26"/>
        </w:rPr>
        <w:t xml:space="preserve">the </w:t>
      </w:r>
      <w:r w:rsidR="00555CED" w:rsidRPr="00EF5A3A">
        <w:rPr>
          <w:szCs w:val="26"/>
        </w:rPr>
        <w:t>omitted attorney]”]</w:t>
      </w:r>
      <w:r w:rsidR="00360448" w:rsidRPr="00EF5A3A">
        <w:rPr>
          <w:szCs w:val="26"/>
        </w:rPr>
        <w:t xml:space="preserve">; </w:t>
      </w:r>
      <w:r w:rsidR="00360448" w:rsidRPr="00EF5A3A">
        <w:rPr>
          <w:i/>
          <w:iCs/>
          <w:szCs w:val="26"/>
        </w:rPr>
        <w:t>Eichenbaum v. Alon</w:t>
      </w:r>
      <w:r w:rsidR="00360448" w:rsidRPr="00EF5A3A">
        <w:rPr>
          <w:szCs w:val="26"/>
        </w:rPr>
        <w:t xml:space="preserve"> (2003) 106 Cal.App.4th 967, 974 [construing party’s notice of appeal from joint sanctions order to “include [party’s] attorney”]</w:t>
      </w:r>
      <w:r w:rsidR="00555CED" w:rsidRPr="00EF5A3A">
        <w:rPr>
          <w:szCs w:val="26"/>
        </w:rPr>
        <w:t>.)</w:t>
      </w:r>
      <w:r w:rsidR="006A1354" w:rsidRPr="00EF5A3A">
        <w:rPr>
          <w:szCs w:val="26"/>
        </w:rPr>
        <w:t xml:space="preserve"> </w:t>
      </w:r>
    </w:p>
    <w:p w14:paraId="10C7814D" w14:textId="200817E6" w:rsidR="009F7EEC" w:rsidRPr="00EF5A3A" w:rsidRDefault="00E04AE2" w:rsidP="00EF5A3A">
      <w:pPr>
        <w:ind w:firstLine="720"/>
        <w:rPr>
          <w:color w:val="000000" w:themeColor="text1"/>
          <w:szCs w:val="26"/>
        </w:rPr>
      </w:pPr>
      <w:r w:rsidRPr="00EF5A3A">
        <w:rPr>
          <w:i/>
          <w:iCs/>
          <w:szCs w:val="26"/>
        </w:rPr>
        <w:lastRenderedPageBreak/>
        <w:t>Calhoun</w:t>
      </w:r>
      <w:r w:rsidR="00FC1566" w:rsidRPr="00EF5A3A">
        <w:rPr>
          <w:iCs/>
          <w:szCs w:val="26"/>
        </w:rPr>
        <w:t>,</w:t>
      </w:r>
      <w:r w:rsidR="00FC1566" w:rsidRPr="00EF5A3A">
        <w:rPr>
          <w:i/>
          <w:iCs/>
          <w:szCs w:val="26"/>
        </w:rPr>
        <w:t xml:space="preserve"> supra, </w:t>
      </w:r>
      <w:r w:rsidR="00FC1566" w:rsidRPr="00EF5A3A">
        <w:rPr>
          <w:szCs w:val="26"/>
        </w:rPr>
        <w:t xml:space="preserve">20 Cal.App.4th 39, </w:t>
      </w:r>
      <w:r w:rsidR="00AD161D" w:rsidRPr="00EF5A3A">
        <w:rPr>
          <w:szCs w:val="26"/>
        </w:rPr>
        <w:t xml:space="preserve">and its progeny </w:t>
      </w:r>
      <w:r w:rsidR="00F2504E" w:rsidRPr="00EF5A3A">
        <w:rPr>
          <w:color w:val="000000" w:themeColor="text1"/>
          <w:szCs w:val="26"/>
        </w:rPr>
        <w:t xml:space="preserve">effectively adopt a bright-line </w:t>
      </w:r>
      <w:r w:rsidR="00AA6E4E" w:rsidRPr="00EF5A3A">
        <w:rPr>
          <w:color w:val="000000" w:themeColor="text1"/>
          <w:szCs w:val="26"/>
        </w:rPr>
        <w:t>rule</w:t>
      </w:r>
      <w:r w:rsidR="00F2504E" w:rsidRPr="00EF5A3A">
        <w:rPr>
          <w:color w:val="000000" w:themeColor="text1"/>
          <w:szCs w:val="26"/>
        </w:rPr>
        <w:t xml:space="preserve"> </w:t>
      </w:r>
      <w:r w:rsidR="00AA0BDF" w:rsidRPr="00EF5A3A">
        <w:rPr>
          <w:color w:val="000000" w:themeColor="text1"/>
          <w:szCs w:val="26"/>
        </w:rPr>
        <w:t xml:space="preserve">mandating that </w:t>
      </w:r>
      <w:bookmarkStart w:id="13" w:name="_Hlk24539433"/>
      <w:r w:rsidR="00F2504E" w:rsidRPr="00EF5A3A">
        <w:rPr>
          <w:color w:val="000000" w:themeColor="text1"/>
          <w:szCs w:val="26"/>
        </w:rPr>
        <w:t>an attorney</w:t>
      </w:r>
      <w:r w:rsidR="00AA0BDF" w:rsidRPr="00EF5A3A">
        <w:rPr>
          <w:color w:val="000000" w:themeColor="text1"/>
          <w:szCs w:val="26"/>
        </w:rPr>
        <w:t xml:space="preserve">’s name appear in the notice of appeal to preserve </w:t>
      </w:r>
      <w:r w:rsidR="00A4697F" w:rsidRPr="00EF5A3A">
        <w:rPr>
          <w:color w:val="000000" w:themeColor="text1"/>
          <w:szCs w:val="26"/>
        </w:rPr>
        <w:t xml:space="preserve">his or her </w:t>
      </w:r>
      <w:r w:rsidR="0003510A" w:rsidRPr="00EF5A3A">
        <w:rPr>
          <w:color w:val="000000" w:themeColor="text1"/>
          <w:szCs w:val="26"/>
        </w:rPr>
        <w:t xml:space="preserve">right </w:t>
      </w:r>
      <w:r w:rsidR="00AA0BDF" w:rsidRPr="00EF5A3A">
        <w:rPr>
          <w:color w:val="000000" w:themeColor="text1"/>
          <w:szCs w:val="26"/>
        </w:rPr>
        <w:t>to challenge a sanctions order</w:t>
      </w:r>
      <w:r w:rsidR="00AA6E4E" w:rsidRPr="00EF5A3A">
        <w:rPr>
          <w:color w:val="000000" w:themeColor="text1"/>
          <w:szCs w:val="26"/>
        </w:rPr>
        <w:t xml:space="preserve">.  </w:t>
      </w:r>
      <w:bookmarkEnd w:id="13"/>
      <w:r w:rsidR="00AA6E4E" w:rsidRPr="00EF5A3A">
        <w:rPr>
          <w:color w:val="000000" w:themeColor="text1"/>
          <w:szCs w:val="26"/>
        </w:rPr>
        <w:t>We acknowledge this bright-line approach</w:t>
      </w:r>
      <w:r w:rsidR="008901BE" w:rsidRPr="00EF5A3A">
        <w:rPr>
          <w:color w:val="000000" w:themeColor="text1"/>
          <w:szCs w:val="26"/>
        </w:rPr>
        <w:t xml:space="preserve"> would</w:t>
      </w:r>
      <w:r w:rsidR="00AA6E4E" w:rsidRPr="00EF5A3A">
        <w:rPr>
          <w:color w:val="000000" w:themeColor="text1"/>
          <w:szCs w:val="26"/>
        </w:rPr>
        <w:t xml:space="preserve"> provide </w:t>
      </w:r>
      <w:r w:rsidR="006C182C" w:rsidRPr="00EF5A3A">
        <w:rPr>
          <w:color w:val="000000" w:themeColor="text1"/>
          <w:szCs w:val="26"/>
        </w:rPr>
        <w:t xml:space="preserve">the benefit of </w:t>
      </w:r>
      <w:proofErr w:type="gramStart"/>
      <w:r w:rsidR="00AA6E4E" w:rsidRPr="00EF5A3A">
        <w:rPr>
          <w:color w:val="000000" w:themeColor="text1"/>
          <w:szCs w:val="26"/>
        </w:rPr>
        <w:t>clarity</w:t>
      </w:r>
      <w:r w:rsidR="0033062A">
        <w:rPr>
          <w:color w:val="000000" w:themeColor="text1"/>
          <w:szCs w:val="26"/>
        </w:rPr>
        <w:t>,</w:t>
      </w:r>
      <w:r w:rsidR="006C182C" w:rsidRPr="00EF5A3A">
        <w:rPr>
          <w:color w:val="000000" w:themeColor="text1"/>
          <w:szCs w:val="26"/>
        </w:rPr>
        <w:t xml:space="preserve"> </w:t>
      </w:r>
      <w:r w:rsidR="008901BE" w:rsidRPr="00EF5A3A">
        <w:rPr>
          <w:color w:val="000000" w:themeColor="text1"/>
          <w:szCs w:val="26"/>
        </w:rPr>
        <w:t>and</w:t>
      </w:r>
      <w:proofErr w:type="gramEnd"/>
      <w:r w:rsidR="008901BE" w:rsidRPr="00EF5A3A">
        <w:rPr>
          <w:color w:val="000000" w:themeColor="text1"/>
          <w:szCs w:val="26"/>
        </w:rPr>
        <w:t xml:space="preserve"> </w:t>
      </w:r>
      <w:r w:rsidR="00AA6E4E" w:rsidRPr="00EF5A3A">
        <w:rPr>
          <w:color w:val="000000" w:themeColor="text1"/>
          <w:szCs w:val="26"/>
        </w:rPr>
        <w:t>relieve</w:t>
      </w:r>
      <w:r w:rsidR="00AD161D" w:rsidRPr="00EF5A3A">
        <w:rPr>
          <w:color w:val="000000" w:themeColor="text1"/>
          <w:szCs w:val="26"/>
        </w:rPr>
        <w:t xml:space="preserve"> </w:t>
      </w:r>
      <w:r w:rsidR="0003510A" w:rsidRPr="00EF5A3A">
        <w:rPr>
          <w:color w:val="000000" w:themeColor="text1"/>
          <w:szCs w:val="26"/>
        </w:rPr>
        <w:t xml:space="preserve">the Court of Appeal </w:t>
      </w:r>
      <w:r w:rsidR="00CB2F24" w:rsidRPr="00EF5A3A">
        <w:rPr>
          <w:color w:val="000000" w:themeColor="text1"/>
          <w:szCs w:val="26"/>
        </w:rPr>
        <w:t xml:space="preserve">from </w:t>
      </w:r>
      <w:r w:rsidR="006C182C" w:rsidRPr="00EF5A3A">
        <w:rPr>
          <w:color w:val="000000" w:themeColor="text1"/>
          <w:szCs w:val="26"/>
        </w:rPr>
        <w:t>having to</w:t>
      </w:r>
      <w:r w:rsidR="00AA0BDF" w:rsidRPr="00EF5A3A">
        <w:rPr>
          <w:color w:val="000000" w:themeColor="text1"/>
          <w:szCs w:val="26"/>
        </w:rPr>
        <w:t xml:space="preserve"> make </w:t>
      </w:r>
      <w:r w:rsidR="008E3FC5" w:rsidRPr="00EF5A3A">
        <w:rPr>
          <w:color w:val="000000" w:themeColor="text1"/>
          <w:szCs w:val="26"/>
        </w:rPr>
        <w:t>case-by-case</w:t>
      </w:r>
      <w:r w:rsidR="00AA0BDF" w:rsidRPr="00EF5A3A">
        <w:rPr>
          <w:color w:val="000000" w:themeColor="text1"/>
          <w:szCs w:val="26"/>
        </w:rPr>
        <w:t xml:space="preserve"> determinations</w:t>
      </w:r>
      <w:r w:rsidR="00AD161D" w:rsidRPr="00EF5A3A">
        <w:rPr>
          <w:color w:val="000000" w:themeColor="text1"/>
          <w:szCs w:val="26"/>
        </w:rPr>
        <w:t xml:space="preserve"> </w:t>
      </w:r>
      <w:r w:rsidR="00AA0BDF" w:rsidRPr="00EF5A3A">
        <w:rPr>
          <w:color w:val="000000" w:themeColor="text1"/>
          <w:szCs w:val="26"/>
        </w:rPr>
        <w:t>whether</w:t>
      </w:r>
      <w:r w:rsidR="008901BE" w:rsidRPr="00EF5A3A">
        <w:rPr>
          <w:color w:val="000000" w:themeColor="text1"/>
          <w:szCs w:val="26"/>
        </w:rPr>
        <w:t xml:space="preserve"> </w:t>
      </w:r>
      <w:r w:rsidR="00AD161D" w:rsidRPr="00EF5A3A">
        <w:rPr>
          <w:color w:val="000000" w:themeColor="text1"/>
          <w:szCs w:val="26"/>
        </w:rPr>
        <w:t xml:space="preserve">an </w:t>
      </w:r>
      <w:r w:rsidR="00AA0BDF" w:rsidRPr="00EF5A3A">
        <w:rPr>
          <w:color w:val="000000" w:themeColor="text1"/>
          <w:szCs w:val="26"/>
        </w:rPr>
        <w:t>omitted attorne</w:t>
      </w:r>
      <w:r w:rsidR="00CD3E2F" w:rsidRPr="00EF5A3A">
        <w:rPr>
          <w:color w:val="000000" w:themeColor="text1"/>
          <w:szCs w:val="26"/>
        </w:rPr>
        <w:t>y’s intent to join in the appeal was sufficiently clear</w:t>
      </w:r>
      <w:r w:rsidR="00AA0BDF" w:rsidRPr="00EF5A3A">
        <w:rPr>
          <w:color w:val="000000" w:themeColor="text1"/>
          <w:szCs w:val="26"/>
        </w:rPr>
        <w:t xml:space="preserve">.  </w:t>
      </w:r>
      <w:r w:rsidR="00CB2F24" w:rsidRPr="00EF5A3A">
        <w:rPr>
          <w:color w:val="000000" w:themeColor="text1"/>
          <w:szCs w:val="26"/>
        </w:rPr>
        <w:t xml:space="preserve">However, the </w:t>
      </w:r>
      <w:r w:rsidR="00027CCA" w:rsidRPr="00EF5A3A">
        <w:rPr>
          <w:color w:val="000000" w:themeColor="text1"/>
          <w:szCs w:val="26"/>
        </w:rPr>
        <w:t>same could be said</w:t>
      </w:r>
      <w:r w:rsidR="00CB2F24" w:rsidRPr="00EF5A3A">
        <w:rPr>
          <w:color w:val="000000" w:themeColor="text1"/>
          <w:szCs w:val="26"/>
        </w:rPr>
        <w:t xml:space="preserve"> </w:t>
      </w:r>
      <w:r w:rsidR="00027CCA" w:rsidRPr="00EF5A3A">
        <w:rPr>
          <w:color w:val="000000" w:themeColor="text1"/>
          <w:szCs w:val="26"/>
        </w:rPr>
        <w:t xml:space="preserve">of </w:t>
      </w:r>
      <w:r w:rsidR="005F1FBF" w:rsidRPr="00EF5A3A">
        <w:rPr>
          <w:color w:val="000000" w:themeColor="text1"/>
          <w:szCs w:val="26"/>
        </w:rPr>
        <w:t xml:space="preserve">the </w:t>
      </w:r>
      <w:r w:rsidR="00CB2F24" w:rsidRPr="00EF5A3A">
        <w:rPr>
          <w:color w:val="000000" w:themeColor="text1"/>
          <w:szCs w:val="26"/>
        </w:rPr>
        <w:t xml:space="preserve">various </w:t>
      </w:r>
      <w:r w:rsidR="005F1FBF" w:rsidRPr="00EF5A3A">
        <w:rPr>
          <w:color w:val="000000" w:themeColor="text1"/>
          <w:szCs w:val="26"/>
        </w:rPr>
        <w:t>types of</w:t>
      </w:r>
      <w:r w:rsidR="00027CCA" w:rsidRPr="00EF5A3A">
        <w:rPr>
          <w:color w:val="000000" w:themeColor="text1"/>
          <w:szCs w:val="26"/>
        </w:rPr>
        <w:t xml:space="preserve"> technical defects</w:t>
      </w:r>
      <w:r w:rsidR="005F1FBF" w:rsidRPr="00EF5A3A">
        <w:rPr>
          <w:color w:val="000000" w:themeColor="text1"/>
          <w:szCs w:val="26"/>
        </w:rPr>
        <w:t xml:space="preserve"> that we addressed in </w:t>
      </w:r>
      <w:bookmarkStart w:id="14" w:name="here"/>
      <w:bookmarkEnd w:id="14"/>
      <w:r w:rsidR="005F1FBF" w:rsidRPr="00EF5A3A">
        <w:rPr>
          <w:i/>
          <w:iCs/>
          <w:color w:val="000000" w:themeColor="text1"/>
          <w:szCs w:val="26"/>
        </w:rPr>
        <w:t>Chung Sing</w:t>
      </w:r>
      <w:r w:rsidR="00FC1566" w:rsidRPr="00EF5A3A">
        <w:rPr>
          <w:iCs/>
          <w:color w:val="000000" w:themeColor="text1"/>
          <w:szCs w:val="26"/>
        </w:rPr>
        <w:t xml:space="preserve">, </w:t>
      </w:r>
      <w:r w:rsidR="00FC1566" w:rsidRPr="00EF5A3A">
        <w:rPr>
          <w:i/>
          <w:iCs/>
          <w:color w:val="000000" w:themeColor="text1"/>
          <w:szCs w:val="26"/>
        </w:rPr>
        <w:t>supra</w:t>
      </w:r>
      <w:r w:rsidR="00FC1566" w:rsidRPr="00EF5A3A">
        <w:rPr>
          <w:iCs/>
          <w:color w:val="000000" w:themeColor="text1"/>
          <w:szCs w:val="26"/>
        </w:rPr>
        <w:t xml:space="preserve">, </w:t>
      </w:r>
      <w:r w:rsidR="00FC1566" w:rsidRPr="00EF5A3A">
        <w:rPr>
          <w:color w:val="000000" w:themeColor="text1"/>
          <w:szCs w:val="26"/>
        </w:rPr>
        <w:t>178 Cal. 261</w:t>
      </w:r>
      <w:r w:rsidR="00AD161D" w:rsidRPr="00EF5A3A">
        <w:rPr>
          <w:color w:val="000000" w:themeColor="text1"/>
          <w:szCs w:val="26"/>
        </w:rPr>
        <w:t xml:space="preserve">, </w:t>
      </w:r>
      <w:r w:rsidR="00AD161D" w:rsidRPr="00EF5A3A">
        <w:rPr>
          <w:i/>
          <w:iCs/>
          <w:color w:val="000000" w:themeColor="text1"/>
          <w:szCs w:val="26"/>
        </w:rPr>
        <w:t>Vibert</w:t>
      </w:r>
      <w:r w:rsidR="00FC1566" w:rsidRPr="00EF5A3A">
        <w:rPr>
          <w:iCs/>
          <w:color w:val="000000" w:themeColor="text1"/>
          <w:szCs w:val="26"/>
        </w:rPr>
        <w:t xml:space="preserve">, </w:t>
      </w:r>
      <w:r w:rsidR="00FC1566" w:rsidRPr="00EF5A3A">
        <w:rPr>
          <w:i/>
          <w:iCs/>
          <w:color w:val="000000" w:themeColor="text1"/>
          <w:szCs w:val="26"/>
        </w:rPr>
        <w:t>supra</w:t>
      </w:r>
      <w:r w:rsidR="00FC1566" w:rsidRPr="00EF5A3A">
        <w:rPr>
          <w:iCs/>
          <w:color w:val="000000" w:themeColor="text1"/>
          <w:szCs w:val="26"/>
        </w:rPr>
        <w:t xml:space="preserve">, </w:t>
      </w:r>
      <w:r w:rsidR="00FC1566" w:rsidRPr="00EF5A3A">
        <w:rPr>
          <w:color w:val="000000" w:themeColor="text1"/>
          <w:szCs w:val="26"/>
        </w:rPr>
        <w:t>64 Cal.2d 65,</w:t>
      </w:r>
      <w:r w:rsidR="00AD161D" w:rsidRPr="00EF5A3A">
        <w:rPr>
          <w:color w:val="000000" w:themeColor="text1"/>
          <w:szCs w:val="26"/>
        </w:rPr>
        <w:t xml:space="preserve"> and</w:t>
      </w:r>
      <w:r w:rsidR="005F1FBF" w:rsidRPr="00EF5A3A">
        <w:rPr>
          <w:color w:val="000000" w:themeColor="text1"/>
          <w:szCs w:val="26"/>
        </w:rPr>
        <w:t xml:space="preserve"> </w:t>
      </w:r>
      <w:r w:rsidR="005F1FBF" w:rsidRPr="00EF5A3A">
        <w:rPr>
          <w:i/>
          <w:iCs/>
          <w:color w:val="000000" w:themeColor="text1"/>
          <w:szCs w:val="26"/>
        </w:rPr>
        <w:t>Walker</w:t>
      </w:r>
      <w:r w:rsidR="00FC1566" w:rsidRPr="00EF5A3A">
        <w:rPr>
          <w:iCs/>
          <w:color w:val="000000" w:themeColor="text1"/>
          <w:szCs w:val="26"/>
        </w:rPr>
        <w:t xml:space="preserve">, </w:t>
      </w:r>
      <w:r w:rsidR="00FC1566" w:rsidRPr="00EF5A3A">
        <w:rPr>
          <w:i/>
          <w:iCs/>
          <w:color w:val="000000" w:themeColor="text1"/>
          <w:szCs w:val="26"/>
        </w:rPr>
        <w:t>supra</w:t>
      </w:r>
      <w:r w:rsidR="00FC1566" w:rsidRPr="00EF5A3A">
        <w:rPr>
          <w:iCs/>
          <w:color w:val="000000" w:themeColor="text1"/>
          <w:szCs w:val="26"/>
        </w:rPr>
        <w:t xml:space="preserve">, </w:t>
      </w:r>
      <w:r w:rsidR="00FC1566" w:rsidRPr="00EF5A3A">
        <w:rPr>
          <w:color w:val="000000" w:themeColor="text1"/>
          <w:szCs w:val="26"/>
        </w:rPr>
        <w:t>35 Cal.4th 15</w:t>
      </w:r>
      <w:r w:rsidR="005F1FBF" w:rsidRPr="00EF5A3A">
        <w:rPr>
          <w:color w:val="000000" w:themeColor="text1"/>
          <w:szCs w:val="26"/>
        </w:rPr>
        <w:t xml:space="preserve">.  In </w:t>
      </w:r>
      <w:r w:rsidR="00AD161D" w:rsidRPr="00EF5A3A">
        <w:rPr>
          <w:color w:val="000000" w:themeColor="text1"/>
          <w:szCs w:val="26"/>
        </w:rPr>
        <w:t xml:space="preserve">all those cases, we concluded that the </w:t>
      </w:r>
      <w:r w:rsidR="00862691" w:rsidRPr="00EF5A3A">
        <w:rPr>
          <w:color w:val="000000" w:themeColor="text1"/>
          <w:szCs w:val="26"/>
        </w:rPr>
        <w:t>defect in the notice</w:t>
      </w:r>
      <w:r w:rsidR="005F1FBF" w:rsidRPr="00EF5A3A">
        <w:rPr>
          <w:color w:val="000000" w:themeColor="text1"/>
          <w:szCs w:val="26"/>
        </w:rPr>
        <w:t xml:space="preserve"> did not warrant automatic dismissal.  </w:t>
      </w:r>
      <w:r w:rsidR="003015D3" w:rsidRPr="00EF5A3A">
        <w:rPr>
          <w:color w:val="000000" w:themeColor="text1"/>
          <w:szCs w:val="26"/>
        </w:rPr>
        <w:t>Instead</w:t>
      </w:r>
      <w:r w:rsidR="005F1FBF" w:rsidRPr="00EF5A3A">
        <w:rPr>
          <w:color w:val="000000" w:themeColor="text1"/>
          <w:szCs w:val="26"/>
        </w:rPr>
        <w:t xml:space="preserve">, we </w:t>
      </w:r>
      <w:r w:rsidR="00AD161D" w:rsidRPr="00EF5A3A">
        <w:rPr>
          <w:color w:val="000000" w:themeColor="text1"/>
          <w:szCs w:val="26"/>
        </w:rPr>
        <w:t xml:space="preserve">held </w:t>
      </w:r>
      <w:r w:rsidR="005F1FBF" w:rsidRPr="00EF5A3A">
        <w:rPr>
          <w:color w:val="000000" w:themeColor="text1"/>
          <w:szCs w:val="26"/>
        </w:rPr>
        <w:t>that</w:t>
      </w:r>
      <w:r w:rsidR="007F7278" w:rsidRPr="00EF5A3A">
        <w:rPr>
          <w:color w:val="000000" w:themeColor="text1"/>
          <w:szCs w:val="26"/>
        </w:rPr>
        <w:t xml:space="preserve"> the</w:t>
      </w:r>
      <w:r w:rsidR="00CB2F24" w:rsidRPr="00EF5A3A">
        <w:rPr>
          <w:color w:val="000000" w:themeColor="text1"/>
          <w:szCs w:val="26"/>
        </w:rPr>
        <w:t xml:space="preserve"> public policy</w:t>
      </w:r>
      <w:r w:rsidR="00135D1D" w:rsidRPr="00EF5A3A">
        <w:rPr>
          <w:color w:val="000000" w:themeColor="text1"/>
          <w:szCs w:val="26"/>
        </w:rPr>
        <w:t xml:space="preserve"> interests underlying the liberal construction requirement </w:t>
      </w:r>
      <w:r w:rsidR="00F60533" w:rsidRPr="00EF5A3A">
        <w:rPr>
          <w:color w:val="000000" w:themeColor="text1"/>
          <w:szCs w:val="26"/>
        </w:rPr>
        <w:t>justifie</w:t>
      </w:r>
      <w:r w:rsidR="005F1FBF" w:rsidRPr="00EF5A3A">
        <w:rPr>
          <w:color w:val="000000" w:themeColor="text1"/>
          <w:szCs w:val="26"/>
        </w:rPr>
        <w:t>d</w:t>
      </w:r>
      <w:r w:rsidR="00F60533" w:rsidRPr="00EF5A3A">
        <w:rPr>
          <w:color w:val="000000" w:themeColor="text1"/>
          <w:szCs w:val="26"/>
        </w:rPr>
        <w:t xml:space="preserve"> </w:t>
      </w:r>
      <w:r w:rsidR="00027CCA" w:rsidRPr="00EF5A3A">
        <w:rPr>
          <w:color w:val="000000" w:themeColor="text1"/>
          <w:szCs w:val="26"/>
        </w:rPr>
        <w:t>a</w:t>
      </w:r>
      <w:r w:rsidR="005F1FBF" w:rsidRPr="00EF5A3A">
        <w:rPr>
          <w:color w:val="000000" w:themeColor="text1"/>
          <w:szCs w:val="26"/>
        </w:rPr>
        <w:t>n examination of the record to determine whether</w:t>
      </w:r>
      <w:r w:rsidR="00AD161D" w:rsidRPr="00EF5A3A">
        <w:rPr>
          <w:color w:val="000000" w:themeColor="text1"/>
          <w:szCs w:val="26"/>
        </w:rPr>
        <w:t xml:space="preserve">, despite the </w:t>
      </w:r>
      <w:r w:rsidR="00CD3E2F" w:rsidRPr="00EF5A3A">
        <w:rPr>
          <w:color w:val="000000" w:themeColor="text1"/>
          <w:szCs w:val="26"/>
        </w:rPr>
        <w:t xml:space="preserve">notice’s </w:t>
      </w:r>
      <w:r w:rsidR="00AD161D" w:rsidRPr="00EF5A3A">
        <w:rPr>
          <w:color w:val="000000" w:themeColor="text1"/>
          <w:szCs w:val="26"/>
        </w:rPr>
        <w:t>defect,</w:t>
      </w:r>
      <w:r w:rsidR="005F1FBF" w:rsidRPr="00EF5A3A">
        <w:rPr>
          <w:color w:val="000000" w:themeColor="text1"/>
          <w:szCs w:val="26"/>
        </w:rPr>
        <w:t xml:space="preserve"> </w:t>
      </w:r>
      <w:r w:rsidR="00A128A4" w:rsidRPr="00EF5A3A">
        <w:rPr>
          <w:color w:val="000000" w:themeColor="text1"/>
          <w:szCs w:val="26"/>
        </w:rPr>
        <w:t xml:space="preserve">the </w:t>
      </w:r>
      <w:r w:rsidR="005F1FBF" w:rsidRPr="00EF5A3A">
        <w:rPr>
          <w:color w:val="000000" w:themeColor="text1"/>
          <w:szCs w:val="26"/>
        </w:rPr>
        <w:t xml:space="preserve">appellants’ </w:t>
      </w:r>
      <w:r w:rsidR="00A128A4" w:rsidRPr="00EF5A3A">
        <w:rPr>
          <w:color w:val="000000" w:themeColor="text1"/>
          <w:szCs w:val="26"/>
        </w:rPr>
        <w:t>intent was</w:t>
      </w:r>
      <w:r w:rsidR="005F1FBF" w:rsidRPr="00EF5A3A">
        <w:rPr>
          <w:color w:val="000000" w:themeColor="text1"/>
          <w:szCs w:val="26"/>
        </w:rPr>
        <w:t xml:space="preserve"> </w:t>
      </w:r>
      <w:r w:rsidR="00135D1D" w:rsidRPr="00EF5A3A">
        <w:rPr>
          <w:color w:val="000000" w:themeColor="text1"/>
          <w:szCs w:val="26"/>
        </w:rPr>
        <w:t xml:space="preserve">nonetheless </w:t>
      </w:r>
      <w:r w:rsidR="005F1FBF" w:rsidRPr="00EF5A3A">
        <w:rPr>
          <w:color w:val="000000" w:themeColor="text1"/>
          <w:szCs w:val="26"/>
        </w:rPr>
        <w:t>clear</w:t>
      </w:r>
      <w:r w:rsidR="00D814CB" w:rsidRPr="00EF5A3A">
        <w:rPr>
          <w:color w:val="000000" w:themeColor="text1"/>
          <w:szCs w:val="26"/>
        </w:rPr>
        <w:t xml:space="preserve"> to the parties</w:t>
      </w:r>
      <w:r w:rsidR="005F1FBF" w:rsidRPr="00EF5A3A">
        <w:rPr>
          <w:color w:val="000000" w:themeColor="text1"/>
          <w:szCs w:val="26"/>
        </w:rPr>
        <w:t xml:space="preserve">. </w:t>
      </w:r>
      <w:r w:rsidR="00CD3E2F" w:rsidRPr="00EF5A3A">
        <w:rPr>
          <w:color w:val="000000" w:themeColor="text1"/>
          <w:szCs w:val="26"/>
        </w:rPr>
        <w:t xml:space="preserve"> </w:t>
      </w:r>
      <w:r w:rsidR="00AD161D" w:rsidRPr="00EF5A3A">
        <w:rPr>
          <w:color w:val="000000" w:themeColor="text1"/>
          <w:szCs w:val="26"/>
        </w:rPr>
        <w:t>Th</w:t>
      </w:r>
      <w:r w:rsidR="003015D3" w:rsidRPr="00EF5A3A">
        <w:rPr>
          <w:color w:val="000000" w:themeColor="text1"/>
          <w:szCs w:val="26"/>
        </w:rPr>
        <w:t>e same is true here</w:t>
      </w:r>
      <w:r w:rsidR="007F7278" w:rsidRPr="00EF5A3A">
        <w:rPr>
          <w:color w:val="000000" w:themeColor="text1"/>
          <w:szCs w:val="26"/>
        </w:rPr>
        <w:t>.  W</w:t>
      </w:r>
      <w:r w:rsidR="003015D3" w:rsidRPr="00EF5A3A">
        <w:rPr>
          <w:color w:val="000000" w:themeColor="text1"/>
          <w:szCs w:val="26"/>
        </w:rPr>
        <w:t xml:space="preserve">hatever </w:t>
      </w:r>
      <w:r w:rsidR="005F1FBF" w:rsidRPr="00EF5A3A">
        <w:rPr>
          <w:color w:val="000000" w:themeColor="text1"/>
          <w:szCs w:val="26"/>
        </w:rPr>
        <w:t xml:space="preserve">benefits </w:t>
      </w:r>
      <w:r w:rsidR="00B013FD" w:rsidRPr="00EF5A3A">
        <w:rPr>
          <w:color w:val="000000" w:themeColor="text1"/>
          <w:szCs w:val="26"/>
        </w:rPr>
        <w:t xml:space="preserve">might accrue </w:t>
      </w:r>
      <w:r w:rsidR="003015D3" w:rsidRPr="00EF5A3A">
        <w:rPr>
          <w:color w:val="000000" w:themeColor="text1"/>
          <w:szCs w:val="26"/>
        </w:rPr>
        <w:t xml:space="preserve">from </w:t>
      </w:r>
      <w:r w:rsidR="005F1FBF" w:rsidRPr="00EF5A3A">
        <w:rPr>
          <w:color w:val="000000" w:themeColor="text1"/>
          <w:szCs w:val="26"/>
        </w:rPr>
        <w:t>the</w:t>
      </w:r>
      <w:r w:rsidR="00B013FD" w:rsidRPr="00EF5A3A">
        <w:rPr>
          <w:color w:val="000000" w:themeColor="text1"/>
          <w:szCs w:val="26"/>
        </w:rPr>
        <w:t xml:space="preserve"> formalistic approach</w:t>
      </w:r>
      <w:r w:rsidR="005F1FBF" w:rsidRPr="00EF5A3A">
        <w:rPr>
          <w:color w:val="000000" w:themeColor="text1"/>
          <w:szCs w:val="26"/>
        </w:rPr>
        <w:t xml:space="preserve"> </w:t>
      </w:r>
      <w:r w:rsidR="00CB3467" w:rsidRPr="00EF5A3A">
        <w:rPr>
          <w:color w:val="000000" w:themeColor="text1"/>
          <w:szCs w:val="26"/>
        </w:rPr>
        <w:t xml:space="preserve">set forth in </w:t>
      </w:r>
      <w:r w:rsidR="005F1FBF" w:rsidRPr="00EF5A3A">
        <w:rPr>
          <w:i/>
          <w:iCs/>
          <w:color w:val="000000" w:themeColor="text1"/>
          <w:szCs w:val="26"/>
        </w:rPr>
        <w:t>Calhoun</w:t>
      </w:r>
      <w:r w:rsidR="005F1FBF" w:rsidRPr="00EF5A3A">
        <w:rPr>
          <w:color w:val="000000" w:themeColor="text1"/>
          <w:szCs w:val="26"/>
        </w:rPr>
        <w:t xml:space="preserve"> </w:t>
      </w:r>
      <w:r w:rsidR="003015D3" w:rsidRPr="00EF5A3A">
        <w:rPr>
          <w:color w:val="000000" w:themeColor="text1"/>
          <w:szCs w:val="26"/>
        </w:rPr>
        <w:t xml:space="preserve">do not justify forfeiture of </w:t>
      </w:r>
      <w:r w:rsidR="00AA31CB" w:rsidRPr="00EF5A3A">
        <w:rPr>
          <w:color w:val="000000" w:themeColor="text1"/>
          <w:szCs w:val="26"/>
        </w:rPr>
        <w:t xml:space="preserve">a party’s </w:t>
      </w:r>
      <w:r w:rsidR="003015D3" w:rsidRPr="00EF5A3A">
        <w:rPr>
          <w:color w:val="000000" w:themeColor="text1"/>
          <w:szCs w:val="26"/>
        </w:rPr>
        <w:t xml:space="preserve">right to appeal in cases where </w:t>
      </w:r>
      <w:r w:rsidR="000D36E4" w:rsidRPr="00EF5A3A">
        <w:rPr>
          <w:color w:val="000000" w:themeColor="text1"/>
          <w:szCs w:val="26"/>
        </w:rPr>
        <w:t xml:space="preserve">his or her intent to </w:t>
      </w:r>
      <w:r w:rsidR="00436BD0" w:rsidRPr="00EF5A3A">
        <w:rPr>
          <w:color w:val="000000" w:themeColor="text1"/>
          <w:szCs w:val="26"/>
        </w:rPr>
        <w:t>participate</w:t>
      </w:r>
      <w:r w:rsidR="000D36E4" w:rsidRPr="00EF5A3A">
        <w:rPr>
          <w:color w:val="000000" w:themeColor="text1"/>
          <w:szCs w:val="26"/>
        </w:rPr>
        <w:t xml:space="preserve"> in the appeal </w:t>
      </w:r>
      <w:r w:rsidR="00E015E2" w:rsidRPr="00EF5A3A">
        <w:rPr>
          <w:color w:val="000000" w:themeColor="text1"/>
          <w:szCs w:val="26"/>
        </w:rPr>
        <w:t xml:space="preserve">is </w:t>
      </w:r>
      <w:r w:rsidR="00203D4A" w:rsidRPr="00EF5A3A">
        <w:rPr>
          <w:color w:val="000000" w:themeColor="text1"/>
          <w:szCs w:val="26"/>
        </w:rPr>
        <w:t xml:space="preserve">reasonably </w:t>
      </w:r>
      <w:r w:rsidR="00E015E2" w:rsidRPr="00EF5A3A">
        <w:rPr>
          <w:color w:val="000000" w:themeColor="text1"/>
          <w:szCs w:val="26"/>
        </w:rPr>
        <w:t xml:space="preserve">clear from the record, and the omission has </w:t>
      </w:r>
      <w:r w:rsidR="007F7278" w:rsidRPr="00EF5A3A">
        <w:rPr>
          <w:color w:val="000000" w:themeColor="text1"/>
          <w:szCs w:val="26"/>
        </w:rPr>
        <w:t>caused no confusion or prejudice to the opposing party</w:t>
      </w:r>
      <w:r w:rsidR="00B013FD" w:rsidRPr="00EF5A3A">
        <w:rPr>
          <w:color w:val="000000" w:themeColor="text1"/>
          <w:szCs w:val="26"/>
        </w:rPr>
        <w:t xml:space="preserve">. </w:t>
      </w:r>
      <w:r w:rsidR="00AD161D" w:rsidRPr="00EF5A3A">
        <w:rPr>
          <w:color w:val="000000" w:themeColor="text1"/>
          <w:szCs w:val="26"/>
        </w:rPr>
        <w:t xml:space="preserve"> </w:t>
      </w:r>
      <w:r w:rsidR="00B013FD" w:rsidRPr="00EF5A3A">
        <w:rPr>
          <w:color w:val="000000" w:themeColor="text1"/>
          <w:szCs w:val="26"/>
        </w:rPr>
        <w:t xml:space="preserve">(See </w:t>
      </w:r>
      <w:r w:rsidR="00B013FD" w:rsidRPr="00EF5A3A">
        <w:rPr>
          <w:i/>
          <w:iCs/>
          <w:color w:val="000000" w:themeColor="text1"/>
          <w:szCs w:val="26"/>
        </w:rPr>
        <w:t xml:space="preserve">Walker, </w:t>
      </w:r>
      <w:r w:rsidR="007A59E7" w:rsidRPr="00EF5A3A">
        <w:rPr>
          <w:color w:val="000000" w:themeColor="text1"/>
          <w:szCs w:val="26"/>
        </w:rPr>
        <w:t>at p</w:t>
      </w:r>
      <w:r w:rsidR="00FC1566" w:rsidRPr="00EF5A3A">
        <w:rPr>
          <w:color w:val="000000" w:themeColor="text1"/>
          <w:szCs w:val="26"/>
        </w:rPr>
        <w:t>. </w:t>
      </w:r>
      <w:r w:rsidR="007A59E7" w:rsidRPr="00EF5A3A">
        <w:rPr>
          <w:color w:val="000000" w:themeColor="text1"/>
          <w:szCs w:val="26"/>
        </w:rPr>
        <w:t>22</w:t>
      </w:r>
      <w:r w:rsidR="00092649" w:rsidRPr="00EF5A3A">
        <w:rPr>
          <w:color w:val="000000" w:themeColor="text1"/>
          <w:szCs w:val="26"/>
        </w:rPr>
        <w:t>.)</w:t>
      </w:r>
      <w:r w:rsidR="00F70B15" w:rsidRPr="00EF5A3A">
        <w:rPr>
          <w:rStyle w:val="FootnoteReference"/>
          <w:color w:val="000000" w:themeColor="text1"/>
          <w:szCs w:val="26"/>
        </w:rPr>
        <w:footnoteReference w:id="7"/>
      </w:r>
    </w:p>
    <w:p w14:paraId="351E5FF0" w14:textId="631DB9F2" w:rsidR="00157A61" w:rsidRPr="00EF5A3A" w:rsidRDefault="006424C8" w:rsidP="00EF5A3A">
      <w:pPr>
        <w:ind w:firstLine="720"/>
        <w:rPr>
          <w:bCs/>
          <w:color w:val="000000" w:themeColor="text1"/>
          <w:szCs w:val="26"/>
        </w:rPr>
      </w:pPr>
      <w:r w:rsidRPr="00EF5A3A">
        <w:rPr>
          <w:color w:val="000000" w:themeColor="text1"/>
          <w:szCs w:val="26"/>
        </w:rPr>
        <w:lastRenderedPageBreak/>
        <w:t xml:space="preserve">LAUSD presents two </w:t>
      </w:r>
      <w:r w:rsidR="001933DD" w:rsidRPr="00EF5A3A">
        <w:rPr>
          <w:color w:val="000000" w:themeColor="text1"/>
          <w:szCs w:val="26"/>
        </w:rPr>
        <w:t>additional</w:t>
      </w:r>
      <w:r w:rsidRPr="00EF5A3A">
        <w:rPr>
          <w:color w:val="000000" w:themeColor="text1"/>
          <w:szCs w:val="26"/>
        </w:rPr>
        <w:t xml:space="preserve"> arguments</w:t>
      </w:r>
      <w:r w:rsidR="00B92407" w:rsidRPr="00EF5A3A">
        <w:rPr>
          <w:color w:val="000000" w:themeColor="text1"/>
          <w:szCs w:val="26"/>
        </w:rPr>
        <w:t xml:space="preserve"> in support of its contention that a </w:t>
      </w:r>
      <w:r w:rsidR="001933DD" w:rsidRPr="00EF5A3A">
        <w:rPr>
          <w:color w:val="000000" w:themeColor="text1"/>
          <w:szCs w:val="26"/>
        </w:rPr>
        <w:t xml:space="preserve">reviewing court </w:t>
      </w:r>
      <w:r w:rsidR="00B92407" w:rsidRPr="00EF5A3A">
        <w:rPr>
          <w:color w:val="000000" w:themeColor="text1"/>
          <w:szCs w:val="26"/>
        </w:rPr>
        <w:t xml:space="preserve">cannot </w:t>
      </w:r>
      <w:r w:rsidR="006502EE" w:rsidRPr="00EF5A3A">
        <w:rPr>
          <w:color w:val="000000" w:themeColor="text1"/>
          <w:szCs w:val="26"/>
        </w:rPr>
        <w:t>constru</w:t>
      </w:r>
      <w:r w:rsidR="001933DD" w:rsidRPr="00EF5A3A">
        <w:rPr>
          <w:color w:val="000000" w:themeColor="text1"/>
          <w:szCs w:val="26"/>
        </w:rPr>
        <w:t>e</w:t>
      </w:r>
      <w:r w:rsidR="006502EE" w:rsidRPr="00EF5A3A">
        <w:rPr>
          <w:color w:val="000000" w:themeColor="text1"/>
          <w:szCs w:val="26"/>
        </w:rPr>
        <w:t xml:space="preserve"> a notice of appeal from a sanctions order to include a</w:t>
      </w:r>
      <w:r w:rsidR="001933DD" w:rsidRPr="00EF5A3A">
        <w:rPr>
          <w:color w:val="000000" w:themeColor="text1"/>
          <w:szCs w:val="26"/>
        </w:rPr>
        <w:t>n omitted attorney</w:t>
      </w:r>
      <w:r w:rsidRPr="00EF5A3A">
        <w:rPr>
          <w:color w:val="000000" w:themeColor="text1"/>
          <w:szCs w:val="26"/>
        </w:rPr>
        <w:t xml:space="preserve">.  First, LAUSD </w:t>
      </w:r>
      <w:r w:rsidR="00B92407" w:rsidRPr="00EF5A3A">
        <w:rPr>
          <w:color w:val="000000" w:themeColor="text1"/>
          <w:szCs w:val="26"/>
        </w:rPr>
        <w:t xml:space="preserve">argues </w:t>
      </w:r>
      <w:r w:rsidR="001933DD" w:rsidRPr="00EF5A3A">
        <w:rPr>
          <w:bCs/>
          <w:color w:val="000000" w:themeColor="text1"/>
          <w:szCs w:val="26"/>
        </w:rPr>
        <w:t>that</w:t>
      </w:r>
      <w:r w:rsidR="0049343B" w:rsidRPr="00EF5A3A">
        <w:rPr>
          <w:bCs/>
          <w:color w:val="000000" w:themeColor="text1"/>
          <w:szCs w:val="26"/>
        </w:rPr>
        <w:t xml:space="preserve"> </w:t>
      </w:r>
      <w:r w:rsidR="00B92407" w:rsidRPr="00EF5A3A">
        <w:rPr>
          <w:bCs/>
          <w:color w:val="000000" w:themeColor="text1"/>
          <w:szCs w:val="26"/>
        </w:rPr>
        <w:t xml:space="preserve">the </w:t>
      </w:r>
      <w:r w:rsidR="00157A61" w:rsidRPr="00EF5A3A">
        <w:rPr>
          <w:bCs/>
          <w:color w:val="000000" w:themeColor="text1"/>
          <w:szCs w:val="26"/>
        </w:rPr>
        <w:t xml:space="preserve">language </w:t>
      </w:r>
      <w:r w:rsidR="00B92407" w:rsidRPr="00EF5A3A">
        <w:rPr>
          <w:bCs/>
          <w:color w:val="000000" w:themeColor="text1"/>
          <w:szCs w:val="26"/>
        </w:rPr>
        <w:t xml:space="preserve">of </w:t>
      </w:r>
      <w:r w:rsidR="00157A61" w:rsidRPr="00EF5A3A">
        <w:rPr>
          <w:bCs/>
          <w:color w:val="000000" w:themeColor="text1"/>
          <w:szCs w:val="26"/>
        </w:rPr>
        <w:t>r</w:t>
      </w:r>
      <w:r w:rsidR="001933DD" w:rsidRPr="00EF5A3A">
        <w:rPr>
          <w:bCs/>
          <w:color w:val="000000" w:themeColor="text1"/>
          <w:szCs w:val="26"/>
        </w:rPr>
        <w:t>ule 8.100(a)(1), which states that an “appellant must serve a</w:t>
      </w:r>
      <w:r w:rsidR="00157A61" w:rsidRPr="00EF5A3A">
        <w:rPr>
          <w:bCs/>
          <w:color w:val="000000" w:themeColor="text1"/>
          <w:szCs w:val="26"/>
        </w:rPr>
        <w:t>n</w:t>
      </w:r>
      <w:r w:rsidR="001933DD" w:rsidRPr="00EF5A3A">
        <w:rPr>
          <w:bCs/>
          <w:color w:val="000000" w:themeColor="text1"/>
          <w:szCs w:val="26"/>
        </w:rPr>
        <w:t>d file a notice of appeal</w:t>
      </w:r>
      <w:r w:rsidR="00157A61" w:rsidRPr="00EF5A3A">
        <w:rPr>
          <w:bCs/>
          <w:color w:val="000000" w:themeColor="text1"/>
          <w:szCs w:val="26"/>
        </w:rPr>
        <w:t>,</w:t>
      </w:r>
      <w:r w:rsidR="001933DD" w:rsidRPr="00EF5A3A">
        <w:rPr>
          <w:bCs/>
          <w:color w:val="000000" w:themeColor="text1"/>
          <w:szCs w:val="26"/>
        </w:rPr>
        <w:t xml:space="preserve">” </w:t>
      </w:r>
      <w:r w:rsidR="00E37CC7" w:rsidRPr="00EF5A3A">
        <w:rPr>
          <w:bCs/>
          <w:color w:val="000000" w:themeColor="text1"/>
          <w:szCs w:val="26"/>
        </w:rPr>
        <w:t>impliedly requires that</w:t>
      </w:r>
      <w:r w:rsidR="00810D1E" w:rsidRPr="00EF5A3A">
        <w:rPr>
          <w:bCs/>
          <w:color w:val="000000" w:themeColor="text1"/>
          <w:szCs w:val="26"/>
        </w:rPr>
        <w:t xml:space="preserve"> a party’s name must be included on the notice to preserve his or her right to appeal</w:t>
      </w:r>
      <w:r w:rsidR="00E37CC7" w:rsidRPr="00EF5A3A">
        <w:rPr>
          <w:bCs/>
          <w:color w:val="000000" w:themeColor="text1"/>
          <w:szCs w:val="26"/>
        </w:rPr>
        <w:t>.</w:t>
      </w:r>
      <w:r w:rsidR="001933DD" w:rsidRPr="00EF5A3A">
        <w:rPr>
          <w:bCs/>
          <w:color w:val="000000" w:themeColor="text1"/>
          <w:szCs w:val="26"/>
        </w:rPr>
        <w:t xml:space="preserve">  According to LAUSD, had the Judicial Council intended </w:t>
      </w:r>
      <w:r w:rsidR="00157A61" w:rsidRPr="00EF5A3A">
        <w:rPr>
          <w:bCs/>
          <w:color w:val="000000" w:themeColor="text1"/>
          <w:szCs w:val="26"/>
        </w:rPr>
        <w:t xml:space="preserve">to allow </w:t>
      </w:r>
      <w:r w:rsidR="00353090" w:rsidRPr="00EF5A3A">
        <w:rPr>
          <w:bCs/>
          <w:color w:val="000000" w:themeColor="text1"/>
          <w:szCs w:val="26"/>
        </w:rPr>
        <w:t xml:space="preserve">reviewing </w:t>
      </w:r>
      <w:r w:rsidR="00157A61" w:rsidRPr="00EF5A3A">
        <w:rPr>
          <w:bCs/>
          <w:color w:val="000000" w:themeColor="text1"/>
          <w:szCs w:val="26"/>
        </w:rPr>
        <w:t xml:space="preserve">courts to construe a notice of appeal to </w:t>
      </w:r>
      <w:r w:rsidR="00B92407" w:rsidRPr="00EF5A3A">
        <w:rPr>
          <w:bCs/>
          <w:color w:val="000000" w:themeColor="text1"/>
          <w:szCs w:val="26"/>
        </w:rPr>
        <w:t xml:space="preserve">include </w:t>
      </w:r>
      <w:r w:rsidR="00AD7F5C" w:rsidRPr="00EF5A3A">
        <w:rPr>
          <w:bCs/>
          <w:color w:val="000000" w:themeColor="text1"/>
          <w:szCs w:val="26"/>
        </w:rPr>
        <w:t>appellants</w:t>
      </w:r>
      <w:r w:rsidR="00B92407" w:rsidRPr="00EF5A3A">
        <w:rPr>
          <w:bCs/>
          <w:color w:val="000000" w:themeColor="text1"/>
          <w:szCs w:val="26"/>
        </w:rPr>
        <w:t xml:space="preserve"> </w:t>
      </w:r>
      <w:r w:rsidR="00AD7F5C" w:rsidRPr="00EF5A3A">
        <w:rPr>
          <w:bCs/>
          <w:color w:val="000000" w:themeColor="text1"/>
          <w:szCs w:val="26"/>
        </w:rPr>
        <w:t xml:space="preserve">who are </w:t>
      </w:r>
      <w:r w:rsidR="00157A61" w:rsidRPr="00EF5A3A">
        <w:rPr>
          <w:bCs/>
          <w:color w:val="000000" w:themeColor="text1"/>
          <w:szCs w:val="26"/>
        </w:rPr>
        <w:t>not expressly referenced in the notice</w:t>
      </w:r>
      <w:r w:rsidR="001933DD" w:rsidRPr="00EF5A3A">
        <w:rPr>
          <w:bCs/>
          <w:color w:val="000000" w:themeColor="text1"/>
          <w:szCs w:val="26"/>
        </w:rPr>
        <w:t xml:space="preserve">, “they could have made that clear, but they have chosen not to do so.”  </w:t>
      </w:r>
    </w:p>
    <w:p w14:paraId="66BBA517" w14:textId="6DC24104" w:rsidR="001933DD" w:rsidRPr="00EF5A3A" w:rsidRDefault="00157A61" w:rsidP="00EF5A3A">
      <w:pPr>
        <w:ind w:firstLine="720"/>
        <w:rPr>
          <w:bCs/>
          <w:color w:val="000000" w:themeColor="text1"/>
          <w:szCs w:val="26"/>
        </w:rPr>
      </w:pPr>
      <w:r w:rsidRPr="00EF5A3A">
        <w:rPr>
          <w:bCs/>
          <w:color w:val="000000" w:themeColor="text1"/>
          <w:szCs w:val="26"/>
        </w:rPr>
        <w:t xml:space="preserve">We are not persuaded.  </w:t>
      </w:r>
      <w:r w:rsidR="007C1C59" w:rsidRPr="00EF5A3A">
        <w:rPr>
          <w:bCs/>
          <w:color w:val="000000" w:themeColor="text1"/>
          <w:szCs w:val="26"/>
        </w:rPr>
        <w:t>W</w:t>
      </w:r>
      <w:r w:rsidRPr="00EF5A3A">
        <w:rPr>
          <w:bCs/>
          <w:color w:val="000000" w:themeColor="text1"/>
          <w:szCs w:val="26"/>
        </w:rPr>
        <w:t xml:space="preserve">hile it is true that </w:t>
      </w:r>
      <w:r w:rsidR="00BD1340">
        <w:rPr>
          <w:bCs/>
          <w:color w:val="000000" w:themeColor="text1"/>
          <w:szCs w:val="26"/>
        </w:rPr>
        <w:t>rule 8.100</w:t>
      </w:r>
      <w:r w:rsidRPr="00EF5A3A">
        <w:rPr>
          <w:bCs/>
          <w:color w:val="000000" w:themeColor="text1"/>
          <w:szCs w:val="26"/>
        </w:rPr>
        <w:t xml:space="preserve">(a)(1) compels </w:t>
      </w:r>
      <w:r w:rsidR="00B92407" w:rsidRPr="00EF5A3A">
        <w:rPr>
          <w:bCs/>
          <w:color w:val="000000" w:themeColor="text1"/>
          <w:szCs w:val="26"/>
        </w:rPr>
        <w:t>the</w:t>
      </w:r>
      <w:r w:rsidRPr="00EF5A3A">
        <w:rPr>
          <w:bCs/>
          <w:color w:val="000000" w:themeColor="text1"/>
          <w:szCs w:val="26"/>
        </w:rPr>
        <w:t xml:space="preserve"> </w:t>
      </w:r>
      <w:r w:rsidR="00B92407" w:rsidRPr="00EF5A3A">
        <w:rPr>
          <w:bCs/>
          <w:color w:val="000000" w:themeColor="text1"/>
          <w:szCs w:val="26"/>
        </w:rPr>
        <w:t>“</w:t>
      </w:r>
      <w:r w:rsidRPr="00EF5A3A">
        <w:rPr>
          <w:bCs/>
          <w:color w:val="000000" w:themeColor="text1"/>
          <w:szCs w:val="26"/>
        </w:rPr>
        <w:t>appellant</w:t>
      </w:r>
      <w:r w:rsidR="00B92407" w:rsidRPr="00EF5A3A">
        <w:rPr>
          <w:bCs/>
          <w:color w:val="000000" w:themeColor="text1"/>
          <w:szCs w:val="26"/>
        </w:rPr>
        <w:t>”</w:t>
      </w:r>
      <w:r w:rsidRPr="00EF5A3A">
        <w:rPr>
          <w:bCs/>
          <w:color w:val="000000" w:themeColor="text1"/>
          <w:szCs w:val="26"/>
        </w:rPr>
        <w:t xml:space="preserve"> to file </w:t>
      </w:r>
      <w:r w:rsidR="00770BEA" w:rsidRPr="00EF5A3A">
        <w:rPr>
          <w:bCs/>
          <w:color w:val="000000" w:themeColor="text1"/>
          <w:szCs w:val="26"/>
        </w:rPr>
        <w:t xml:space="preserve">a notice of appeal, </w:t>
      </w:r>
      <w:r w:rsidR="00BD1340">
        <w:rPr>
          <w:bCs/>
          <w:color w:val="000000" w:themeColor="text1"/>
          <w:szCs w:val="26"/>
        </w:rPr>
        <w:t>rule 8.100</w:t>
      </w:r>
      <w:r w:rsidR="00770BEA" w:rsidRPr="00EF5A3A">
        <w:rPr>
          <w:bCs/>
          <w:color w:val="000000" w:themeColor="text1"/>
          <w:szCs w:val="26"/>
        </w:rPr>
        <w:t>(</w:t>
      </w:r>
      <w:r w:rsidR="001933DD" w:rsidRPr="00EF5A3A">
        <w:rPr>
          <w:bCs/>
          <w:color w:val="000000" w:themeColor="text1"/>
          <w:szCs w:val="26"/>
        </w:rPr>
        <w:t>a)(2)</w:t>
      </w:r>
      <w:r w:rsidR="00770BEA" w:rsidRPr="00EF5A3A">
        <w:rPr>
          <w:bCs/>
          <w:color w:val="000000" w:themeColor="text1"/>
          <w:szCs w:val="26"/>
        </w:rPr>
        <w:t xml:space="preserve"> </w:t>
      </w:r>
      <w:r w:rsidR="007C1C59" w:rsidRPr="00EF5A3A">
        <w:rPr>
          <w:bCs/>
          <w:color w:val="000000" w:themeColor="text1"/>
          <w:szCs w:val="26"/>
        </w:rPr>
        <w:t xml:space="preserve">specifically </w:t>
      </w:r>
      <w:r w:rsidR="00770BEA" w:rsidRPr="00EF5A3A">
        <w:rPr>
          <w:bCs/>
          <w:color w:val="000000" w:themeColor="text1"/>
          <w:szCs w:val="26"/>
        </w:rPr>
        <w:t>provides that the contents of the notice are to be liberally construed.</w:t>
      </w:r>
      <w:r w:rsidR="007B0999" w:rsidRPr="00EF5A3A">
        <w:rPr>
          <w:bCs/>
          <w:color w:val="000000" w:themeColor="text1"/>
          <w:szCs w:val="26"/>
        </w:rPr>
        <w:t xml:space="preserve">  </w:t>
      </w:r>
      <w:r w:rsidR="007C1C59" w:rsidRPr="00EF5A3A">
        <w:rPr>
          <w:bCs/>
          <w:color w:val="000000" w:themeColor="text1"/>
          <w:szCs w:val="26"/>
        </w:rPr>
        <w:t>As explained above</w:t>
      </w:r>
      <w:r w:rsidR="007B0999" w:rsidRPr="00EF5A3A">
        <w:rPr>
          <w:bCs/>
          <w:color w:val="000000" w:themeColor="text1"/>
          <w:szCs w:val="26"/>
        </w:rPr>
        <w:t>, prior case law makes clear that th</w:t>
      </w:r>
      <w:r w:rsidR="007C1C59" w:rsidRPr="00EF5A3A">
        <w:rPr>
          <w:bCs/>
          <w:color w:val="000000" w:themeColor="text1"/>
          <w:szCs w:val="26"/>
        </w:rPr>
        <w:t>is</w:t>
      </w:r>
      <w:r w:rsidR="007B0999" w:rsidRPr="00EF5A3A">
        <w:rPr>
          <w:bCs/>
          <w:color w:val="000000" w:themeColor="text1"/>
          <w:szCs w:val="26"/>
        </w:rPr>
        <w:t xml:space="preserve"> rule</w:t>
      </w:r>
      <w:r w:rsidR="007C1C59" w:rsidRPr="00EF5A3A">
        <w:rPr>
          <w:bCs/>
          <w:color w:val="000000" w:themeColor="text1"/>
          <w:szCs w:val="26"/>
        </w:rPr>
        <w:t xml:space="preserve"> of liberal construction</w:t>
      </w:r>
      <w:r w:rsidR="007B0999" w:rsidRPr="00EF5A3A">
        <w:rPr>
          <w:bCs/>
          <w:color w:val="000000" w:themeColor="text1"/>
          <w:szCs w:val="26"/>
        </w:rPr>
        <w:t xml:space="preserve"> appl</w:t>
      </w:r>
      <w:r w:rsidR="00353090" w:rsidRPr="00EF5A3A">
        <w:rPr>
          <w:bCs/>
          <w:color w:val="000000" w:themeColor="text1"/>
          <w:szCs w:val="26"/>
        </w:rPr>
        <w:t>ies</w:t>
      </w:r>
      <w:r w:rsidR="007B0999" w:rsidRPr="00EF5A3A">
        <w:rPr>
          <w:bCs/>
          <w:color w:val="000000" w:themeColor="text1"/>
          <w:szCs w:val="26"/>
        </w:rPr>
        <w:t xml:space="preserve"> to </w:t>
      </w:r>
      <w:r w:rsidR="00E63E4F" w:rsidRPr="00EF5A3A">
        <w:rPr>
          <w:bCs/>
          <w:color w:val="000000" w:themeColor="text1"/>
          <w:szCs w:val="26"/>
        </w:rPr>
        <w:t xml:space="preserve">defects </w:t>
      </w:r>
      <w:r w:rsidR="007B0999" w:rsidRPr="00EF5A3A">
        <w:rPr>
          <w:bCs/>
          <w:color w:val="000000" w:themeColor="text1"/>
          <w:szCs w:val="26"/>
        </w:rPr>
        <w:t>in the designation</w:t>
      </w:r>
      <w:r w:rsidR="00E63E4F" w:rsidRPr="00EF5A3A">
        <w:rPr>
          <w:bCs/>
          <w:color w:val="000000" w:themeColor="text1"/>
          <w:szCs w:val="26"/>
        </w:rPr>
        <w:t>s</w:t>
      </w:r>
      <w:r w:rsidR="007B0999" w:rsidRPr="00EF5A3A">
        <w:rPr>
          <w:bCs/>
          <w:color w:val="000000" w:themeColor="text1"/>
          <w:szCs w:val="26"/>
        </w:rPr>
        <w:t xml:space="preserve"> of </w:t>
      </w:r>
      <w:r w:rsidR="00E63E4F" w:rsidRPr="00EF5A3A">
        <w:rPr>
          <w:bCs/>
          <w:color w:val="000000" w:themeColor="text1"/>
          <w:szCs w:val="26"/>
        </w:rPr>
        <w:t xml:space="preserve">the </w:t>
      </w:r>
      <w:r w:rsidR="007B0999" w:rsidRPr="00EF5A3A">
        <w:rPr>
          <w:bCs/>
          <w:color w:val="000000" w:themeColor="text1"/>
          <w:szCs w:val="26"/>
        </w:rPr>
        <w:t>parties</w:t>
      </w:r>
      <w:r w:rsidR="00E63E4F" w:rsidRPr="00EF5A3A">
        <w:rPr>
          <w:bCs/>
          <w:color w:val="000000" w:themeColor="text1"/>
          <w:szCs w:val="26"/>
        </w:rPr>
        <w:t>, including errors involving the omission of an intended appellant</w:t>
      </w:r>
      <w:r w:rsidR="007B0999" w:rsidRPr="00EF5A3A">
        <w:rPr>
          <w:bCs/>
          <w:color w:val="000000" w:themeColor="text1"/>
          <w:szCs w:val="26"/>
        </w:rPr>
        <w:t>.</w:t>
      </w:r>
      <w:r w:rsidR="0034480F" w:rsidRPr="00EF5A3A">
        <w:rPr>
          <w:bCs/>
          <w:color w:val="000000" w:themeColor="text1"/>
          <w:szCs w:val="26"/>
        </w:rPr>
        <w:t xml:space="preserve">  (See</w:t>
      </w:r>
      <w:r w:rsidR="00967097" w:rsidRPr="00EF5A3A">
        <w:rPr>
          <w:bCs/>
          <w:color w:val="000000" w:themeColor="text1"/>
          <w:szCs w:val="26"/>
        </w:rPr>
        <w:t xml:space="preserve"> </w:t>
      </w:r>
      <w:r w:rsidR="00967097" w:rsidRPr="00EF5A3A">
        <w:rPr>
          <w:bCs/>
          <w:i/>
          <w:iCs/>
          <w:color w:val="000000" w:themeColor="text1"/>
          <w:szCs w:val="26"/>
        </w:rPr>
        <w:t>ante</w:t>
      </w:r>
      <w:r w:rsidR="00967097" w:rsidRPr="00EF5A3A">
        <w:rPr>
          <w:bCs/>
          <w:color w:val="000000" w:themeColor="text1"/>
          <w:szCs w:val="26"/>
        </w:rPr>
        <w:t xml:space="preserve">, pp. </w:t>
      </w:r>
      <w:r w:rsidR="00F70B15" w:rsidRPr="00EF5A3A">
        <w:rPr>
          <w:bCs/>
          <w:color w:val="000000" w:themeColor="text1"/>
          <w:szCs w:val="26"/>
        </w:rPr>
        <w:t>1</w:t>
      </w:r>
      <w:r w:rsidR="00764E9D">
        <w:rPr>
          <w:bCs/>
          <w:color w:val="000000" w:themeColor="text1"/>
          <w:szCs w:val="26"/>
        </w:rPr>
        <w:t>2</w:t>
      </w:r>
      <w:r w:rsidR="002E773A" w:rsidRPr="00EF5A3A">
        <w:rPr>
          <w:bCs/>
          <w:color w:val="000000" w:themeColor="text1"/>
          <w:szCs w:val="26"/>
        </w:rPr>
        <w:t>–</w:t>
      </w:r>
      <w:r w:rsidR="00F70B15" w:rsidRPr="00EF5A3A">
        <w:rPr>
          <w:bCs/>
          <w:color w:val="000000" w:themeColor="text1"/>
          <w:szCs w:val="26"/>
        </w:rPr>
        <w:t>1</w:t>
      </w:r>
      <w:r w:rsidR="00764E9D">
        <w:rPr>
          <w:bCs/>
          <w:color w:val="000000" w:themeColor="text1"/>
          <w:szCs w:val="26"/>
        </w:rPr>
        <w:t>4</w:t>
      </w:r>
      <w:r w:rsidR="00967097" w:rsidRPr="00EF5A3A">
        <w:rPr>
          <w:bCs/>
          <w:color w:val="000000" w:themeColor="text1"/>
          <w:szCs w:val="26"/>
        </w:rPr>
        <w:t>.)</w:t>
      </w:r>
      <w:r w:rsidR="001933DD" w:rsidRPr="00EF5A3A">
        <w:rPr>
          <w:bCs/>
          <w:color w:val="000000" w:themeColor="text1"/>
          <w:szCs w:val="26"/>
        </w:rPr>
        <w:t xml:space="preserve">  </w:t>
      </w:r>
      <w:r w:rsidR="005D757A" w:rsidRPr="00EF5A3A">
        <w:rPr>
          <w:bCs/>
          <w:color w:val="000000" w:themeColor="text1"/>
          <w:szCs w:val="26"/>
        </w:rPr>
        <w:t>We</w:t>
      </w:r>
      <w:r w:rsidR="001933DD" w:rsidRPr="00EF5A3A">
        <w:rPr>
          <w:bCs/>
          <w:color w:val="000000" w:themeColor="text1"/>
          <w:szCs w:val="26"/>
        </w:rPr>
        <w:t xml:space="preserve"> find nothing in the </w:t>
      </w:r>
      <w:r w:rsidR="00F70B15" w:rsidRPr="00EF5A3A">
        <w:rPr>
          <w:bCs/>
          <w:color w:val="000000" w:themeColor="text1"/>
          <w:szCs w:val="26"/>
        </w:rPr>
        <w:t>text</w:t>
      </w:r>
      <w:r w:rsidR="001933DD" w:rsidRPr="00EF5A3A">
        <w:rPr>
          <w:bCs/>
          <w:color w:val="000000" w:themeColor="text1"/>
          <w:szCs w:val="26"/>
        </w:rPr>
        <w:t xml:space="preserve"> of </w:t>
      </w:r>
      <w:r w:rsidR="00BD1340">
        <w:rPr>
          <w:bCs/>
          <w:color w:val="000000" w:themeColor="text1"/>
          <w:szCs w:val="26"/>
        </w:rPr>
        <w:t>r</w:t>
      </w:r>
      <w:r w:rsidR="001933DD" w:rsidRPr="00EF5A3A">
        <w:rPr>
          <w:bCs/>
          <w:color w:val="000000" w:themeColor="text1"/>
          <w:szCs w:val="26"/>
        </w:rPr>
        <w:t xml:space="preserve">ule 8.100 that </w:t>
      </w:r>
      <w:r w:rsidR="00810D1E" w:rsidRPr="00EF5A3A">
        <w:rPr>
          <w:bCs/>
          <w:color w:val="000000" w:themeColor="text1"/>
          <w:szCs w:val="26"/>
        </w:rPr>
        <w:t>prohibits construing a notice of appeal to include an omitted party whose intent to join in the appeal is otherwise clear from the record.</w:t>
      </w:r>
      <w:r w:rsidR="00E37CC7" w:rsidRPr="00EF5A3A">
        <w:rPr>
          <w:bCs/>
          <w:color w:val="000000" w:themeColor="text1"/>
          <w:szCs w:val="26"/>
        </w:rPr>
        <w:t xml:space="preserve"> </w:t>
      </w:r>
    </w:p>
    <w:p w14:paraId="24C95ED6" w14:textId="44FE8609" w:rsidR="006424C8" w:rsidRPr="00EF5A3A" w:rsidRDefault="00967097" w:rsidP="00EF5A3A">
      <w:pPr>
        <w:ind w:firstLine="720"/>
        <w:rPr>
          <w:color w:val="000000" w:themeColor="text1"/>
          <w:szCs w:val="26"/>
        </w:rPr>
      </w:pPr>
      <w:r w:rsidRPr="00EF5A3A">
        <w:rPr>
          <w:color w:val="000000" w:themeColor="text1"/>
          <w:szCs w:val="26"/>
        </w:rPr>
        <w:t xml:space="preserve">LAUSD next asserts that construing a client’s notice of appeal to include </w:t>
      </w:r>
      <w:r w:rsidR="00056BBD" w:rsidRPr="00EF5A3A">
        <w:rPr>
          <w:color w:val="000000" w:themeColor="text1"/>
          <w:szCs w:val="26"/>
        </w:rPr>
        <w:t xml:space="preserve">the sanctioned </w:t>
      </w:r>
      <w:r w:rsidRPr="00EF5A3A">
        <w:rPr>
          <w:color w:val="000000" w:themeColor="text1"/>
          <w:szCs w:val="26"/>
        </w:rPr>
        <w:t xml:space="preserve">attorney would </w:t>
      </w:r>
      <w:r w:rsidR="006424C8" w:rsidRPr="00EF5A3A">
        <w:rPr>
          <w:color w:val="000000" w:themeColor="text1"/>
          <w:szCs w:val="26"/>
        </w:rPr>
        <w:t>contravene the well-established rule that a party lacks standing to “ ‘assert error that injuriously affected only nonappealing coparties.’ ”  (</w:t>
      </w:r>
      <w:r w:rsidR="006424C8" w:rsidRPr="00EF5A3A">
        <w:rPr>
          <w:i/>
          <w:iCs/>
          <w:color w:val="000000" w:themeColor="text1"/>
          <w:szCs w:val="26"/>
        </w:rPr>
        <w:t>Conservatorship of Gregory D.</w:t>
      </w:r>
      <w:r w:rsidR="006424C8" w:rsidRPr="00EF5A3A">
        <w:rPr>
          <w:color w:val="000000" w:themeColor="text1"/>
          <w:szCs w:val="26"/>
        </w:rPr>
        <w:t xml:space="preserve"> (2013) 214 Cal.App.4th 62, 67–</w:t>
      </w:r>
      <w:r w:rsidR="0033062A">
        <w:rPr>
          <w:color w:val="000000" w:themeColor="text1"/>
          <w:szCs w:val="26"/>
        </w:rPr>
        <w:t>6</w:t>
      </w:r>
      <w:r w:rsidR="006424C8" w:rsidRPr="00EF5A3A">
        <w:rPr>
          <w:color w:val="000000" w:themeColor="text1"/>
          <w:szCs w:val="26"/>
        </w:rPr>
        <w:t xml:space="preserve">8, quoting </w:t>
      </w:r>
      <w:r w:rsidR="006424C8" w:rsidRPr="00EF5A3A">
        <w:rPr>
          <w:i/>
          <w:iCs/>
          <w:color w:val="000000" w:themeColor="text1"/>
          <w:szCs w:val="26"/>
        </w:rPr>
        <w:t>Estrada v. RPS, Inc</w:t>
      </w:r>
      <w:r w:rsidR="006424C8" w:rsidRPr="00EF5A3A">
        <w:rPr>
          <w:color w:val="000000" w:themeColor="text1"/>
          <w:szCs w:val="26"/>
        </w:rPr>
        <w:t xml:space="preserve">. (2005) 125 Cal.App.4th 976, 985.)  Our holding, however, does not </w:t>
      </w:r>
      <w:r w:rsidR="00910407" w:rsidRPr="00EF5A3A">
        <w:rPr>
          <w:color w:val="000000" w:themeColor="text1"/>
          <w:szCs w:val="26"/>
        </w:rPr>
        <w:t xml:space="preserve">provide </w:t>
      </w:r>
      <w:r w:rsidR="006424C8" w:rsidRPr="00EF5A3A">
        <w:rPr>
          <w:color w:val="000000" w:themeColor="text1"/>
          <w:szCs w:val="26"/>
        </w:rPr>
        <w:t>a client</w:t>
      </w:r>
      <w:r w:rsidR="00910407" w:rsidRPr="00EF5A3A">
        <w:rPr>
          <w:color w:val="000000" w:themeColor="text1"/>
          <w:szCs w:val="26"/>
        </w:rPr>
        <w:t xml:space="preserve"> </w:t>
      </w:r>
      <w:r w:rsidR="00C21191" w:rsidRPr="00EF5A3A">
        <w:rPr>
          <w:color w:val="000000" w:themeColor="text1"/>
          <w:szCs w:val="26"/>
        </w:rPr>
        <w:t xml:space="preserve">with </w:t>
      </w:r>
      <w:r w:rsidR="00910407" w:rsidRPr="00EF5A3A">
        <w:rPr>
          <w:color w:val="000000" w:themeColor="text1"/>
          <w:szCs w:val="26"/>
        </w:rPr>
        <w:t xml:space="preserve">standing </w:t>
      </w:r>
      <w:r w:rsidR="006424C8" w:rsidRPr="00EF5A3A">
        <w:rPr>
          <w:color w:val="000000" w:themeColor="text1"/>
          <w:szCs w:val="26"/>
        </w:rPr>
        <w:t xml:space="preserve">to appeal a sanctions order on behalf of a sanctioned attorney.  Instead, our holding </w:t>
      </w:r>
      <w:r w:rsidR="00910407" w:rsidRPr="00EF5A3A">
        <w:rPr>
          <w:color w:val="000000" w:themeColor="text1"/>
          <w:szCs w:val="26"/>
        </w:rPr>
        <w:t>compels</w:t>
      </w:r>
      <w:r w:rsidR="006424C8" w:rsidRPr="00EF5A3A">
        <w:rPr>
          <w:color w:val="000000" w:themeColor="text1"/>
          <w:szCs w:val="26"/>
        </w:rPr>
        <w:t xml:space="preserve"> a reviewing court to construe a notice filed in the name of the client to include </w:t>
      </w:r>
      <w:r w:rsidR="00910407" w:rsidRPr="00EF5A3A">
        <w:rPr>
          <w:color w:val="000000" w:themeColor="text1"/>
          <w:szCs w:val="26"/>
        </w:rPr>
        <w:t xml:space="preserve">an </w:t>
      </w:r>
      <w:r w:rsidR="00910407" w:rsidRPr="00EF5A3A">
        <w:rPr>
          <w:color w:val="000000" w:themeColor="text1"/>
          <w:szCs w:val="26"/>
        </w:rPr>
        <w:lastRenderedPageBreak/>
        <w:t xml:space="preserve">omitted </w:t>
      </w:r>
      <w:r w:rsidR="006424C8" w:rsidRPr="00EF5A3A">
        <w:rPr>
          <w:color w:val="000000" w:themeColor="text1"/>
          <w:szCs w:val="26"/>
        </w:rPr>
        <w:t>attorney when it is reasonably clear that the attorney intended to join in the appeal, and the respondent was not misled or prejudiced</w:t>
      </w:r>
      <w:r w:rsidR="004C6FE4" w:rsidRPr="00EF5A3A">
        <w:rPr>
          <w:color w:val="000000" w:themeColor="text1"/>
          <w:szCs w:val="26"/>
        </w:rPr>
        <w:t xml:space="preserve"> by the omission</w:t>
      </w:r>
      <w:r w:rsidR="006424C8" w:rsidRPr="00EF5A3A">
        <w:rPr>
          <w:color w:val="000000" w:themeColor="text1"/>
          <w:szCs w:val="26"/>
        </w:rPr>
        <w:t>.</w:t>
      </w:r>
      <w:r w:rsidR="00610125" w:rsidRPr="00EF5A3A">
        <w:rPr>
          <w:rStyle w:val="FootnoteReference"/>
          <w:color w:val="000000" w:themeColor="text1"/>
          <w:szCs w:val="26"/>
        </w:rPr>
        <w:footnoteReference w:id="8"/>
      </w:r>
    </w:p>
    <w:p w14:paraId="50B81E45" w14:textId="1CBFF811" w:rsidR="00A673F6" w:rsidRPr="00EF5A3A" w:rsidRDefault="00E015E2" w:rsidP="00EF5A3A">
      <w:pPr>
        <w:ind w:firstLine="720"/>
        <w:rPr>
          <w:color w:val="000000" w:themeColor="text1"/>
          <w:szCs w:val="26"/>
        </w:rPr>
      </w:pPr>
      <w:r w:rsidRPr="00EF5A3A">
        <w:rPr>
          <w:color w:val="000000" w:themeColor="text1"/>
          <w:szCs w:val="26"/>
        </w:rPr>
        <w:t xml:space="preserve">That does not mean, however, that a client’s notice of appeal </w:t>
      </w:r>
      <w:r w:rsidR="00997EB4" w:rsidRPr="00EF5A3A">
        <w:rPr>
          <w:color w:val="000000" w:themeColor="text1"/>
          <w:szCs w:val="26"/>
        </w:rPr>
        <w:t xml:space="preserve">from a sanctions order </w:t>
      </w:r>
      <w:r w:rsidRPr="00EF5A3A">
        <w:rPr>
          <w:color w:val="000000" w:themeColor="text1"/>
          <w:szCs w:val="26"/>
        </w:rPr>
        <w:t xml:space="preserve">must always be construed to include an omitted attorney. </w:t>
      </w:r>
      <w:r w:rsidR="009304C4" w:rsidRPr="00EF5A3A">
        <w:rPr>
          <w:color w:val="000000" w:themeColor="text1"/>
          <w:szCs w:val="26"/>
        </w:rPr>
        <w:t xml:space="preserve"> There </w:t>
      </w:r>
      <w:r w:rsidR="00B73373" w:rsidRPr="00EF5A3A">
        <w:rPr>
          <w:color w:val="000000" w:themeColor="text1"/>
          <w:szCs w:val="26"/>
        </w:rPr>
        <w:t xml:space="preserve">may </w:t>
      </w:r>
      <w:r w:rsidRPr="00EF5A3A">
        <w:rPr>
          <w:color w:val="000000" w:themeColor="text1"/>
          <w:szCs w:val="26"/>
        </w:rPr>
        <w:t>be</w:t>
      </w:r>
      <w:r w:rsidR="00997EB4" w:rsidRPr="00EF5A3A">
        <w:rPr>
          <w:color w:val="000000" w:themeColor="text1"/>
          <w:szCs w:val="26"/>
        </w:rPr>
        <w:t xml:space="preserve"> </w:t>
      </w:r>
      <w:r w:rsidRPr="00EF5A3A">
        <w:rPr>
          <w:color w:val="000000" w:themeColor="text1"/>
          <w:szCs w:val="26"/>
        </w:rPr>
        <w:t>situations where</w:t>
      </w:r>
      <w:r w:rsidR="009304C4" w:rsidRPr="00EF5A3A">
        <w:rPr>
          <w:color w:val="000000" w:themeColor="text1"/>
          <w:szCs w:val="26"/>
        </w:rPr>
        <w:t xml:space="preserve"> </w:t>
      </w:r>
      <w:r w:rsidR="00AB5C60" w:rsidRPr="00EF5A3A">
        <w:rPr>
          <w:color w:val="000000" w:themeColor="text1"/>
          <w:szCs w:val="26"/>
        </w:rPr>
        <w:t xml:space="preserve">an </w:t>
      </w:r>
      <w:r w:rsidR="00887B1A" w:rsidRPr="00EF5A3A">
        <w:rPr>
          <w:color w:val="000000" w:themeColor="text1"/>
          <w:szCs w:val="26"/>
        </w:rPr>
        <w:t xml:space="preserve">omitted </w:t>
      </w:r>
      <w:r w:rsidR="00AB5C60" w:rsidRPr="00EF5A3A">
        <w:rPr>
          <w:color w:val="000000" w:themeColor="text1"/>
          <w:szCs w:val="26"/>
        </w:rPr>
        <w:t xml:space="preserve">attorney’s intent to join in </w:t>
      </w:r>
      <w:r w:rsidR="0097542B" w:rsidRPr="00EF5A3A">
        <w:rPr>
          <w:color w:val="000000" w:themeColor="text1"/>
          <w:szCs w:val="26"/>
        </w:rPr>
        <w:t>the</w:t>
      </w:r>
      <w:r w:rsidR="00AB5C60" w:rsidRPr="00EF5A3A">
        <w:rPr>
          <w:color w:val="000000" w:themeColor="text1"/>
          <w:szCs w:val="26"/>
        </w:rPr>
        <w:t xml:space="preserve"> notice of appeal </w:t>
      </w:r>
      <w:r w:rsidR="0033062A">
        <w:rPr>
          <w:color w:val="000000" w:themeColor="text1"/>
          <w:szCs w:val="26"/>
        </w:rPr>
        <w:t>i</w:t>
      </w:r>
      <w:r w:rsidR="00AB5C60" w:rsidRPr="00EF5A3A">
        <w:rPr>
          <w:color w:val="000000" w:themeColor="text1"/>
          <w:szCs w:val="26"/>
        </w:rPr>
        <w:t>s not sufficiently clear</w:t>
      </w:r>
      <w:r w:rsidR="00887B1A" w:rsidRPr="00EF5A3A">
        <w:rPr>
          <w:color w:val="000000" w:themeColor="text1"/>
          <w:szCs w:val="26"/>
        </w:rPr>
        <w:t xml:space="preserve"> from the record</w:t>
      </w:r>
      <w:r w:rsidR="00355B03" w:rsidRPr="00EF5A3A">
        <w:rPr>
          <w:color w:val="000000" w:themeColor="text1"/>
          <w:szCs w:val="26"/>
        </w:rPr>
        <w:t xml:space="preserve">, </w:t>
      </w:r>
      <w:r w:rsidR="004C5C53">
        <w:rPr>
          <w:color w:val="000000" w:themeColor="text1"/>
          <w:szCs w:val="26"/>
        </w:rPr>
        <w:t xml:space="preserve">or where the omission has otherwise caused prejudice to the respondent, </w:t>
      </w:r>
      <w:r w:rsidR="00355B03" w:rsidRPr="00EF5A3A">
        <w:rPr>
          <w:color w:val="000000" w:themeColor="text1"/>
          <w:szCs w:val="26"/>
        </w:rPr>
        <w:t xml:space="preserve">rendering </w:t>
      </w:r>
      <w:r w:rsidR="004C5C53">
        <w:rPr>
          <w:color w:val="000000" w:themeColor="text1"/>
          <w:szCs w:val="26"/>
        </w:rPr>
        <w:t>the attorney’s</w:t>
      </w:r>
      <w:r w:rsidR="00355B03" w:rsidRPr="00EF5A3A">
        <w:rPr>
          <w:color w:val="000000" w:themeColor="text1"/>
          <w:szCs w:val="26"/>
        </w:rPr>
        <w:t xml:space="preserve"> inclusion in the appeal improper</w:t>
      </w:r>
      <w:r w:rsidR="00820E8E" w:rsidRPr="00EF5A3A">
        <w:rPr>
          <w:color w:val="000000" w:themeColor="text1"/>
          <w:szCs w:val="26"/>
        </w:rPr>
        <w:t>.</w:t>
      </w:r>
      <w:r w:rsidRPr="00EF5A3A">
        <w:rPr>
          <w:color w:val="000000" w:themeColor="text1"/>
          <w:szCs w:val="26"/>
        </w:rPr>
        <w:t xml:space="preserve">  </w:t>
      </w:r>
      <w:r w:rsidR="00FD71C1" w:rsidRPr="00EF5A3A">
        <w:rPr>
          <w:color w:val="000000" w:themeColor="text1"/>
          <w:szCs w:val="26"/>
        </w:rPr>
        <w:t xml:space="preserve">To avoid any </w:t>
      </w:r>
      <w:r w:rsidR="000D2013" w:rsidRPr="00EF5A3A">
        <w:rPr>
          <w:color w:val="000000" w:themeColor="text1"/>
          <w:szCs w:val="26"/>
        </w:rPr>
        <w:t>question</w:t>
      </w:r>
      <w:r w:rsidR="00246E72" w:rsidRPr="00EF5A3A">
        <w:rPr>
          <w:color w:val="000000" w:themeColor="text1"/>
          <w:szCs w:val="26"/>
        </w:rPr>
        <w:t>s</w:t>
      </w:r>
      <w:r w:rsidR="000D2013" w:rsidRPr="00EF5A3A">
        <w:rPr>
          <w:color w:val="000000" w:themeColor="text1"/>
          <w:szCs w:val="26"/>
        </w:rPr>
        <w:t xml:space="preserve"> </w:t>
      </w:r>
      <w:r w:rsidR="00820E8E" w:rsidRPr="00EF5A3A">
        <w:rPr>
          <w:color w:val="000000" w:themeColor="text1"/>
          <w:szCs w:val="26"/>
        </w:rPr>
        <w:t>as to</w:t>
      </w:r>
      <w:r w:rsidR="00FD71C1" w:rsidRPr="00EF5A3A">
        <w:rPr>
          <w:color w:val="000000" w:themeColor="text1"/>
          <w:szCs w:val="26"/>
        </w:rPr>
        <w:t xml:space="preserve"> an attorney’s </w:t>
      </w:r>
      <w:r w:rsidR="00065483" w:rsidRPr="00EF5A3A">
        <w:rPr>
          <w:color w:val="000000" w:themeColor="text1"/>
          <w:szCs w:val="26"/>
        </w:rPr>
        <w:t>right to appeal</w:t>
      </w:r>
      <w:r w:rsidR="00967EE9" w:rsidRPr="00EF5A3A">
        <w:rPr>
          <w:color w:val="000000" w:themeColor="text1"/>
          <w:szCs w:val="26"/>
        </w:rPr>
        <w:t xml:space="preserve">, </w:t>
      </w:r>
      <w:r w:rsidR="00CE2E89" w:rsidRPr="00EF5A3A">
        <w:rPr>
          <w:color w:val="000000" w:themeColor="text1"/>
          <w:szCs w:val="26"/>
        </w:rPr>
        <w:t>and to avoid unnecessary litigation regarding that issue, the</w:t>
      </w:r>
      <w:r w:rsidR="00967EE9" w:rsidRPr="00EF5A3A">
        <w:rPr>
          <w:color w:val="000000" w:themeColor="text1"/>
          <w:szCs w:val="26"/>
        </w:rPr>
        <w:t xml:space="preserve"> better practice i</w:t>
      </w:r>
      <w:r w:rsidR="00FE1734" w:rsidRPr="00EF5A3A">
        <w:rPr>
          <w:color w:val="000000" w:themeColor="text1"/>
          <w:szCs w:val="26"/>
        </w:rPr>
        <w:t>s</w:t>
      </w:r>
      <w:r w:rsidR="00246E72" w:rsidRPr="00EF5A3A">
        <w:rPr>
          <w:color w:val="000000" w:themeColor="text1"/>
          <w:szCs w:val="26"/>
        </w:rPr>
        <w:t xml:space="preserve"> for </w:t>
      </w:r>
      <w:r w:rsidR="00CE2E89" w:rsidRPr="00EF5A3A">
        <w:rPr>
          <w:color w:val="000000" w:themeColor="text1"/>
          <w:szCs w:val="26"/>
        </w:rPr>
        <w:t xml:space="preserve">the </w:t>
      </w:r>
      <w:r w:rsidR="00246E72" w:rsidRPr="00EF5A3A">
        <w:rPr>
          <w:color w:val="000000" w:themeColor="text1"/>
          <w:szCs w:val="26"/>
        </w:rPr>
        <w:t>attorney to</w:t>
      </w:r>
      <w:r w:rsidR="00CE2E89" w:rsidRPr="00EF5A3A">
        <w:rPr>
          <w:color w:val="000000" w:themeColor="text1"/>
          <w:szCs w:val="26"/>
        </w:rPr>
        <w:t xml:space="preserve"> file </w:t>
      </w:r>
      <w:r w:rsidR="000D36E4" w:rsidRPr="00EF5A3A">
        <w:rPr>
          <w:color w:val="000000" w:themeColor="text1"/>
          <w:szCs w:val="26"/>
        </w:rPr>
        <w:t>a notice</w:t>
      </w:r>
      <w:r w:rsidR="00CE2E89" w:rsidRPr="00EF5A3A">
        <w:rPr>
          <w:color w:val="000000" w:themeColor="text1"/>
          <w:szCs w:val="26"/>
        </w:rPr>
        <w:t xml:space="preserve"> of appeal</w:t>
      </w:r>
      <w:r w:rsidR="000D36E4" w:rsidRPr="00EF5A3A">
        <w:rPr>
          <w:color w:val="000000" w:themeColor="text1"/>
          <w:szCs w:val="26"/>
        </w:rPr>
        <w:t xml:space="preserve"> that </w:t>
      </w:r>
      <w:r w:rsidR="00E91B4C" w:rsidRPr="00EF5A3A">
        <w:rPr>
          <w:color w:val="000000" w:themeColor="text1"/>
          <w:szCs w:val="26"/>
        </w:rPr>
        <w:t>expressly identif</w:t>
      </w:r>
      <w:r w:rsidR="000D36E4" w:rsidRPr="00EF5A3A">
        <w:rPr>
          <w:color w:val="000000" w:themeColor="text1"/>
          <w:szCs w:val="26"/>
        </w:rPr>
        <w:t>ies</w:t>
      </w:r>
      <w:r w:rsidR="00FD71C1" w:rsidRPr="00EF5A3A">
        <w:rPr>
          <w:color w:val="000000" w:themeColor="text1"/>
          <w:szCs w:val="26"/>
        </w:rPr>
        <w:t xml:space="preserve"> him</w:t>
      </w:r>
      <w:r w:rsidR="00FA41CC" w:rsidRPr="00EF5A3A">
        <w:rPr>
          <w:color w:val="000000" w:themeColor="text1"/>
          <w:szCs w:val="26"/>
        </w:rPr>
        <w:t>self</w:t>
      </w:r>
      <w:r w:rsidR="00FD71C1" w:rsidRPr="00EF5A3A">
        <w:rPr>
          <w:color w:val="000000" w:themeColor="text1"/>
          <w:szCs w:val="26"/>
        </w:rPr>
        <w:t xml:space="preserve"> or her</w:t>
      </w:r>
      <w:r w:rsidR="00FA41CC" w:rsidRPr="00EF5A3A">
        <w:rPr>
          <w:color w:val="000000" w:themeColor="text1"/>
          <w:szCs w:val="26"/>
        </w:rPr>
        <w:t>self</w:t>
      </w:r>
      <w:r w:rsidR="00FD71C1" w:rsidRPr="00EF5A3A">
        <w:rPr>
          <w:color w:val="000000" w:themeColor="text1"/>
          <w:szCs w:val="26"/>
        </w:rPr>
        <w:t xml:space="preserve"> </w:t>
      </w:r>
      <w:r w:rsidR="000D36E4" w:rsidRPr="00EF5A3A">
        <w:rPr>
          <w:color w:val="000000" w:themeColor="text1"/>
          <w:szCs w:val="26"/>
        </w:rPr>
        <w:t>as an appealing party</w:t>
      </w:r>
      <w:r w:rsidR="00E91B4C" w:rsidRPr="00EF5A3A">
        <w:rPr>
          <w:color w:val="000000" w:themeColor="text1"/>
          <w:szCs w:val="26"/>
        </w:rPr>
        <w:t>.</w:t>
      </w:r>
      <w:r w:rsidR="00FD71C1" w:rsidRPr="00EF5A3A">
        <w:rPr>
          <w:color w:val="000000" w:themeColor="text1"/>
          <w:szCs w:val="26"/>
        </w:rPr>
        <w:t xml:space="preserve">   </w:t>
      </w:r>
      <w:r w:rsidR="00002FC6" w:rsidRPr="00EF5A3A">
        <w:rPr>
          <w:color w:val="000000" w:themeColor="text1"/>
          <w:szCs w:val="26"/>
        </w:rPr>
        <w:t xml:space="preserve"> </w:t>
      </w:r>
    </w:p>
    <w:p w14:paraId="426E18DB" w14:textId="7415E10D" w:rsidR="00557FE8" w:rsidRPr="00EF5A3A" w:rsidRDefault="008A7F13" w:rsidP="00EF5A3A">
      <w:pPr>
        <w:pStyle w:val="Heading2"/>
      </w:pPr>
      <w:r w:rsidRPr="00EF5A3A">
        <w:lastRenderedPageBreak/>
        <w:t xml:space="preserve">C. </w:t>
      </w:r>
      <w:r w:rsidR="00054F8C" w:rsidRPr="00EF5A3A">
        <w:t xml:space="preserve">The Court of Appeal Should Have Construed K.J.’s Notice of Appeal </w:t>
      </w:r>
      <w:proofErr w:type="gramStart"/>
      <w:r w:rsidR="00BD1340">
        <w:t>T</w:t>
      </w:r>
      <w:r w:rsidR="00054F8C" w:rsidRPr="00EF5A3A">
        <w:t>o</w:t>
      </w:r>
      <w:proofErr w:type="gramEnd"/>
      <w:r w:rsidR="00054F8C" w:rsidRPr="00EF5A3A">
        <w:t xml:space="preserve"> Include Carrillo as an Appellant</w:t>
      </w:r>
      <w:r w:rsidR="00862691" w:rsidRPr="00EF5A3A">
        <w:t xml:space="preserve">  </w:t>
      </w:r>
      <w:r w:rsidR="005B51B1" w:rsidRPr="00EF5A3A">
        <w:t xml:space="preserve"> </w:t>
      </w:r>
    </w:p>
    <w:p w14:paraId="14BC5098" w14:textId="77777777" w:rsidR="00E12BC9" w:rsidRPr="00EF5A3A" w:rsidRDefault="00997EB4" w:rsidP="00EF5A3A">
      <w:pPr>
        <w:ind w:firstLine="720"/>
      </w:pPr>
      <w:r w:rsidRPr="00EF5A3A">
        <w:t xml:space="preserve">Having </w:t>
      </w:r>
      <w:r w:rsidR="00162451" w:rsidRPr="00EF5A3A">
        <w:t xml:space="preserve">articulated the </w:t>
      </w:r>
      <w:r w:rsidRPr="00EF5A3A">
        <w:t xml:space="preserve">conditions under which a client’s notice of appeal from a sanctions order should be construed to include an omitted attorney, we must next determine whether those conditions are present here. </w:t>
      </w:r>
      <w:r w:rsidR="00162451" w:rsidRPr="00EF5A3A">
        <w:t xml:space="preserve"> </w:t>
      </w:r>
      <w:r w:rsidRPr="00EF5A3A">
        <w:t xml:space="preserve">Several factors </w:t>
      </w:r>
      <w:r w:rsidR="00162451" w:rsidRPr="00EF5A3A">
        <w:t xml:space="preserve">weigh in favor of construing </w:t>
      </w:r>
      <w:r w:rsidR="00436BD0" w:rsidRPr="00EF5A3A">
        <w:t>the</w:t>
      </w:r>
      <w:r w:rsidR="00162451" w:rsidRPr="00EF5A3A">
        <w:t xml:space="preserve"> notice </w:t>
      </w:r>
      <w:r w:rsidR="00820E8E" w:rsidRPr="00EF5A3A">
        <w:t xml:space="preserve">of appeal filed in the name of K.J. </w:t>
      </w:r>
      <w:r w:rsidR="00162451" w:rsidRPr="00EF5A3A">
        <w:t xml:space="preserve">to include attorney Carrillo. </w:t>
      </w:r>
    </w:p>
    <w:p w14:paraId="176C9231" w14:textId="77777777" w:rsidR="008E28A0" w:rsidRPr="00EF5A3A" w:rsidRDefault="0006561A" w:rsidP="00EF5A3A">
      <w:pPr>
        <w:ind w:firstLine="720"/>
      </w:pPr>
      <w:r w:rsidRPr="00EF5A3A">
        <w:t xml:space="preserve">First, the notice expressly </w:t>
      </w:r>
      <w:r w:rsidR="009536FB" w:rsidRPr="00EF5A3A">
        <w:t xml:space="preserve">designates </w:t>
      </w:r>
      <w:r w:rsidRPr="00EF5A3A">
        <w:t xml:space="preserve">the </w:t>
      </w:r>
      <w:r w:rsidR="00CF01FA" w:rsidRPr="00EF5A3A">
        <w:t>sanctions</w:t>
      </w:r>
      <w:r w:rsidRPr="00EF5A3A">
        <w:t xml:space="preserve"> order</w:t>
      </w:r>
      <w:r w:rsidR="00F613A4" w:rsidRPr="00EF5A3A">
        <w:t xml:space="preserve"> as</w:t>
      </w:r>
      <w:r w:rsidR="009536FB" w:rsidRPr="00EF5A3A">
        <w:t xml:space="preserve"> the subject of the appeal; no other orders or judgments are referenced in the notice</w:t>
      </w:r>
      <w:r w:rsidR="002557E8" w:rsidRPr="00EF5A3A">
        <w:t xml:space="preserve">.  </w:t>
      </w:r>
      <w:r w:rsidR="009536FB" w:rsidRPr="00EF5A3A">
        <w:t xml:space="preserve">Thus, all parties were aware that the sole </w:t>
      </w:r>
      <w:r w:rsidR="008E28A0" w:rsidRPr="00EF5A3A">
        <w:t>basis of the appeal was a challenge to the trial court’s sanctions order.</w:t>
      </w:r>
    </w:p>
    <w:p w14:paraId="3B311367" w14:textId="313F3844" w:rsidR="008A32F8" w:rsidRPr="00EF5A3A" w:rsidRDefault="008E28A0" w:rsidP="00EF5A3A">
      <w:pPr>
        <w:ind w:firstLine="720"/>
      </w:pPr>
      <w:r w:rsidRPr="00EF5A3A">
        <w:t xml:space="preserve">Second, </w:t>
      </w:r>
      <w:r w:rsidR="00F22687" w:rsidRPr="00EF5A3A">
        <w:t xml:space="preserve">the </w:t>
      </w:r>
      <w:r w:rsidR="009304C4" w:rsidRPr="00EF5A3A">
        <w:t>trial court’s</w:t>
      </w:r>
      <w:r w:rsidR="00162451" w:rsidRPr="00EF5A3A">
        <w:t xml:space="preserve"> </w:t>
      </w:r>
      <w:r w:rsidR="00F22687" w:rsidRPr="00EF5A3A">
        <w:t xml:space="preserve">order </w:t>
      </w:r>
      <w:r w:rsidR="00F51348" w:rsidRPr="00EF5A3A">
        <w:t xml:space="preserve">only </w:t>
      </w:r>
      <w:r w:rsidR="00202E0B" w:rsidRPr="00EF5A3A">
        <w:t xml:space="preserve">assessed </w:t>
      </w:r>
      <w:r w:rsidR="008F3C86" w:rsidRPr="00EF5A3A">
        <w:t xml:space="preserve">sanctions </w:t>
      </w:r>
      <w:r w:rsidR="00F22687" w:rsidRPr="00EF5A3A">
        <w:t xml:space="preserve">against </w:t>
      </w:r>
      <w:r w:rsidR="008F3C86" w:rsidRPr="00EF5A3A">
        <w:t>Carrillo</w:t>
      </w:r>
      <w:r w:rsidR="002557E8" w:rsidRPr="00EF5A3A">
        <w:t xml:space="preserve">; </w:t>
      </w:r>
      <w:r w:rsidR="00F51348" w:rsidRPr="00EF5A3A">
        <w:t>the order</w:t>
      </w:r>
      <w:r w:rsidRPr="00EF5A3A">
        <w:t xml:space="preserve"> had no e</w:t>
      </w:r>
      <w:r w:rsidR="002557E8" w:rsidRPr="00EF5A3A">
        <w:t xml:space="preserve">ffect </w:t>
      </w:r>
      <w:r w:rsidRPr="00EF5A3A">
        <w:t xml:space="preserve">on </w:t>
      </w:r>
      <w:r w:rsidR="002557E8" w:rsidRPr="00EF5A3A">
        <w:t>K.J</w:t>
      </w:r>
      <w:r w:rsidR="00CF01FA" w:rsidRPr="00EF5A3A">
        <w:t>.</w:t>
      </w:r>
      <w:r w:rsidRPr="00EF5A3A">
        <w:t>’s</w:t>
      </w:r>
      <w:r w:rsidR="00F51348" w:rsidRPr="00EF5A3A">
        <w:t xml:space="preserve"> </w:t>
      </w:r>
      <w:r w:rsidRPr="00EF5A3A">
        <w:t>rights.</w:t>
      </w:r>
      <w:r w:rsidR="002557E8" w:rsidRPr="00EF5A3A">
        <w:t xml:space="preserve">  The fact that</w:t>
      </w:r>
      <w:r w:rsidR="00202E0B" w:rsidRPr="00EF5A3A">
        <w:t xml:space="preserve"> Carrillo</w:t>
      </w:r>
      <w:r w:rsidR="002557E8" w:rsidRPr="00EF5A3A">
        <w:t xml:space="preserve"> served as K.J.’s attorney</w:t>
      </w:r>
      <w:r w:rsidR="00CF01FA" w:rsidRPr="00EF5A3A">
        <w:t xml:space="preserve"> in the underlying proceedings</w:t>
      </w:r>
      <w:r w:rsidR="002557E8" w:rsidRPr="00EF5A3A">
        <w:t xml:space="preserve">, and that </w:t>
      </w:r>
      <w:r w:rsidR="00162451" w:rsidRPr="00EF5A3A">
        <w:t>he</w:t>
      </w:r>
      <w:r w:rsidR="002557E8" w:rsidRPr="00EF5A3A">
        <w:t xml:space="preserve"> was the only party who was affected by the order</w:t>
      </w:r>
      <w:r w:rsidR="00162451" w:rsidRPr="00EF5A3A">
        <w:t xml:space="preserve"> (</w:t>
      </w:r>
      <w:r w:rsidR="00CD5E1B" w:rsidRPr="00EF5A3A">
        <w:t xml:space="preserve">and </w:t>
      </w:r>
      <w:r w:rsidR="00162451" w:rsidRPr="00EF5A3A">
        <w:t>thus</w:t>
      </w:r>
      <w:r w:rsidR="00CD5E1B" w:rsidRPr="00EF5A3A">
        <w:t xml:space="preserve"> the only party </w:t>
      </w:r>
      <w:r w:rsidR="00203D4A" w:rsidRPr="00EF5A3A">
        <w:t xml:space="preserve">who had </w:t>
      </w:r>
      <w:r w:rsidR="00CD5E1B" w:rsidRPr="00EF5A3A">
        <w:t xml:space="preserve">reason to challenge </w:t>
      </w:r>
      <w:r w:rsidR="00820E8E" w:rsidRPr="00EF5A3A">
        <w:t>it</w:t>
      </w:r>
      <w:r w:rsidR="00162451" w:rsidRPr="00EF5A3A">
        <w:t>)</w:t>
      </w:r>
      <w:r w:rsidR="00CD5E1B" w:rsidRPr="00EF5A3A">
        <w:t>,</w:t>
      </w:r>
      <w:r w:rsidR="002557E8" w:rsidRPr="00EF5A3A">
        <w:t xml:space="preserve"> </w:t>
      </w:r>
      <w:r w:rsidR="00353090" w:rsidRPr="00EF5A3A">
        <w:t>strongly suggests</w:t>
      </w:r>
      <w:r w:rsidRPr="00EF5A3A">
        <w:t xml:space="preserve"> </w:t>
      </w:r>
      <w:r w:rsidR="002557E8" w:rsidRPr="00EF5A3A">
        <w:t xml:space="preserve">that he </w:t>
      </w:r>
      <w:r w:rsidRPr="00EF5A3A">
        <w:t xml:space="preserve">was in fact the </w:t>
      </w:r>
      <w:r w:rsidR="002557E8" w:rsidRPr="00EF5A3A">
        <w:t xml:space="preserve">intended appellant. </w:t>
      </w:r>
      <w:r w:rsidR="00CD5E1B" w:rsidRPr="00EF5A3A">
        <w:t xml:space="preserve"> </w:t>
      </w:r>
      <w:r w:rsidR="002557E8" w:rsidRPr="00EF5A3A">
        <w:t>(</w:t>
      </w:r>
      <w:r w:rsidRPr="00EF5A3A">
        <w:t xml:space="preserve">See </w:t>
      </w:r>
      <w:r w:rsidR="00202E0B" w:rsidRPr="00EF5A3A">
        <w:rPr>
          <w:i/>
          <w:iCs/>
        </w:rPr>
        <w:t>Laurino v. Tate</w:t>
      </w:r>
      <w:r w:rsidR="00202E0B" w:rsidRPr="00EF5A3A">
        <w:t xml:space="preserve"> (10th Cir. 2000) 220 F.3d 1213, 1218 [</w:t>
      </w:r>
      <w:r w:rsidR="00B156DF" w:rsidRPr="00EF5A3A">
        <w:t xml:space="preserve">omitted </w:t>
      </w:r>
      <w:r w:rsidR="00CD5E1B" w:rsidRPr="00EF5A3A">
        <w:t xml:space="preserve">attorney’s intent to appeal sanctions award was sufficiently clear because </w:t>
      </w:r>
      <w:r w:rsidR="008A32F8" w:rsidRPr="00EF5A3A">
        <w:t xml:space="preserve">the </w:t>
      </w:r>
      <w:r w:rsidR="00CD5E1B" w:rsidRPr="00EF5A3A">
        <w:t xml:space="preserve">challenged </w:t>
      </w:r>
      <w:r w:rsidR="008A32F8" w:rsidRPr="00EF5A3A">
        <w:t xml:space="preserve">order </w:t>
      </w:r>
      <w:r w:rsidR="00820E8E" w:rsidRPr="00EF5A3A">
        <w:t xml:space="preserve">only </w:t>
      </w:r>
      <w:r w:rsidR="008A32F8" w:rsidRPr="00EF5A3A">
        <w:t>imposed sanctions against him];</w:t>
      </w:r>
      <w:r w:rsidR="00CD5E1B" w:rsidRPr="00EF5A3A">
        <w:t xml:space="preserve"> see also</w:t>
      </w:r>
      <w:r w:rsidR="008A32F8" w:rsidRPr="00EF5A3A">
        <w:t xml:space="preserve"> </w:t>
      </w:r>
      <w:r w:rsidR="00CD5E1B" w:rsidRPr="00EF5A3A">
        <w:rPr>
          <w:i/>
          <w:iCs/>
        </w:rPr>
        <w:t>Retail Flooring Dealers of America, Inc. v. Beaulieu of America, LLC</w:t>
      </w:r>
      <w:r w:rsidR="00CD5E1B" w:rsidRPr="00EF5A3A">
        <w:t xml:space="preserve"> (9th Cir. 2003) 339 F.3d 1146, 1149 [</w:t>
      </w:r>
      <w:r w:rsidR="00FC66FE" w:rsidRPr="00EF5A3A">
        <w:t>the fact that the order only imposed sanctions against the omitted attorney was a factor establishing his “desire to appeal”].)</w:t>
      </w:r>
      <w:r w:rsidR="00462A53" w:rsidRPr="00EF5A3A">
        <w:t xml:space="preserve"> </w:t>
      </w:r>
      <w:r w:rsidR="008A32F8" w:rsidRPr="00EF5A3A">
        <w:t xml:space="preserve"> </w:t>
      </w:r>
    </w:p>
    <w:p w14:paraId="64C239B2" w14:textId="0B9C5449" w:rsidR="00135A88" w:rsidRPr="00EF5A3A" w:rsidRDefault="007F04A9" w:rsidP="00EF5A3A">
      <w:pPr>
        <w:ind w:firstLine="720"/>
      </w:pPr>
      <w:r w:rsidRPr="00EF5A3A">
        <w:t xml:space="preserve">Third, the record </w:t>
      </w:r>
      <w:r w:rsidR="003C5679" w:rsidRPr="00EF5A3A">
        <w:t>shows</w:t>
      </w:r>
      <w:r w:rsidRPr="00EF5A3A">
        <w:t xml:space="preserve"> that</w:t>
      </w:r>
      <w:r w:rsidR="00322DE8" w:rsidRPr="00EF5A3A">
        <w:t>, during</w:t>
      </w:r>
      <w:r w:rsidR="003C5679" w:rsidRPr="00EF5A3A">
        <w:t xml:space="preserve"> the trial court proceedings,</w:t>
      </w:r>
      <w:r w:rsidRPr="00EF5A3A">
        <w:t xml:space="preserve"> Carrillo vigorously challenged the court’s</w:t>
      </w:r>
      <w:r w:rsidR="003C5679" w:rsidRPr="00EF5A3A">
        <w:t xml:space="preserve"> authority to issue </w:t>
      </w:r>
      <w:r w:rsidRPr="00EF5A3A">
        <w:t xml:space="preserve">sanctions against him.  </w:t>
      </w:r>
      <w:r w:rsidR="00201C3D" w:rsidRPr="00EF5A3A">
        <w:t xml:space="preserve">After initially being found in </w:t>
      </w:r>
      <w:r w:rsidR="00201C3D" w:rsidRPr="00EF5A3A">
        <w:lastRenderedPageBreak/>
        <w:t>contempt</w:t>
      </w:r>
      <w:r w:rsidR="00436BD0" w:rsidRPr="00EF5A3A">
        <w:t xml:space="preserve"> for </w:t>
      </w:r>
      <w:r w:rsidR="00FA41CC" w:rsidRPr="00EF5A3A">
        <w:t xml:space="preserve">having </w:t>
      </w:r>
      <w:r w:rsidR="00436BD0" w:rsidRPr="00EF5A3A">
        <w:t>willfully disobey</w:t>
      </w:r>
      <w:r w:rsidR="00FA41CC" w:rsidRPr="00EF5A3A">
        <w:t>ed</w:t>
      </w:r>
      <w:r w:rsidR="00436BD0" w:rsidRPr="00EF5A3A">
        <w:t xml:space="preserve"> a discovery order</w:t>
      </w:r>
      <w:r w:rsidR="00201C3D" w:rsidRPr="00EF5A3A">
        <w:t xml:space="preserve">, </w:t>
      </w:r>
      <w:r w:rsidR="00162451" w:rsidRPr="00EF5A3A">
        <w:t>Carrillo</w:t>
      </w:r>
      <w:r w:rsidR="00201C3D" w:rsidRPr="00EF5A3A">
        <w:t xml:space="preserve"> filed a petition for habeas corpus that resulted in a stay of the contempt order.  While the stay was in effect, the </w:t>
      </w:r>
      <w:r w:rsidR="0064764A" w:rsidRPr="00EF5A3A">
        <w:t xml:space="preserve">trial court held additional proceedings </w:t>
      </w:r>
      <w:r w:rsidR="00436BD0" w:rsidRPr="00EF5A3A">
        <w:t>to address</w:t>
      </w:r>
      <w:r w:rsidR="00201C3D" w:rsidRPr="00EF5A3A">
        <w:t xml:space="preserve"> </w:t>
      </w:r>
      <w:r w:rsidR="0064764A" w:rsidRPr="00EF5A3A">
        <w:t xml:space="preserve">whether </w:t>
      </w:r>
      <w:r w:rsidR="00201C3D" w:rsidRPr="00EF5A3A">
        <w:t xml:space="preserve">the stay precluded it from entering </w:t>
      </w:r>
      <w:r w:rsidR="00FA41CC" w:rsidRPr="00EF5A3A">
        <w:t>discovery</w:t>
      </w:r>
      <w:r w:rsidR="0064764A" w:rsidRPr="00EF5A3A">
        <w:t xml:space="preserve"> sanctions against Carrillo</w:t>
      </w:r>
      <w:r w:rsidR="00FA41CC" w:rsidRPr="00EF5A3A">
        <w:t xml:space="preserve"> </w:t>
      </w:r>
      <w:r w:rsidR="004A183B" w:rsidRPr="00EF5A3A">
        <w:t>based on</w:t>
      </w:r>
      <w:r w:rsidR="00FA41CC" w:rsidRPr="00EF5A3A">
        <w:t xml:space="preserve"> the same misconduct </w:t>
      </w:r>
      <w:r w:rsidR="004A183B" w:rsidRPr="00EF5A3A">
        <w:t xml:space="preserve">that gave rise to </w:t>
      </w:r>
      <w:r w:rsidR="00FA41CC" w:rsidRPr="00EF5A3A">
        <w:t>the contempt order</w:t>
      </w:r>
      <w:r w:rsidR="0064764A" w:rsidRPr="00EF5A3A">
        <w:t xml:space="preserve">.  Over Carrillo’s objections, the </w:t>
      </w:r>
      <w:r w:rsidR="00162451" w:rsidRPr="00EF5A3A">
        <w:t>trial court</w:t>
      </w:r>
      <w:r w:rsidR="0064764A" w:rsidRPr="00EF5A3A">
        <w:t xml:space="preserve"> concluded it retained sanctioning </w:t>
      </w:r>
      <w:r w:rsidR="00C23420" w:rsidRPr="00EF5A3A">
        <w:t>authority</w:t>
      </w:r>
      <w:r w:rsidR="0033062A">
        <w:t>,</w:t>
      </w:r>
      <w:r w:rsidR="00CB7C07" w:rsidRPr="00EF5A3A">
        <w:t xml:space="preserve"> and entered the order that is the subject of the current appeal.  </w:t>
      </w:r>
      <w:r w:rsidR="00135A88" w:rsidRPr="00EF5A3A">
        <w:t xml:space="preserve">The </w:t>
      </w:r>
      <w:r w:rsidR="00CB7C07" w:rsidRPr="00EF5A3A">
        <w:t xml:space="preserve">fact that the parties </w:t>
      </w:r>
      <w:r w:rsidR="009E7051" w:rsidRPr="00EF5A3A">
        <w:t xml:space="preserve">engaged in substantial </w:t>
      </w:r>
      <w:r w:rsidR="00135A88" w:rsidRPr="00EF5A3A">
        <w:t xml:space="preserve">litigation </w:t>
      </w:r>
      <w:r w:rsidR="00C23420" w:rsidRPr="00EF5A3A">
        <w:t>regarding the</w:t>
      </w:r>
      <w:r w:rsidR="00436BD0" w:rsidRPr="00EF5A3A">
        <w:t xml:space="preserve"> issue of</w:t>
      </w:r>
      <w:r w:rsidR="00135A88" w:rsidRPr="00EF5A3A">
        <w:t xml:space="preserve"> sanctions</w:t>
      </w:r>
      <w:r w:rsidR="00162451" w:rsidRPr="00EF5A3A">
        <w:t xml:space="preserve"> that </w:t>
      </w:r>
      <w:r w:rsidR="00135A88" w:rsidRPr="00EF5A3A">
        <w:t>focused</w:t>
      </w:r>
      <w:r w:rsidR="00162451" w:rsidRPr="00EF5A3A">
        <w:t xml:space="preserve"> exclusively</w:t>
      </w:r>
      <w:r w:rsidR="00135A88" w:rsidRPr="00EF5A3A">
        <w:t xml:space="preserve"> on Carrillo</w:t>
      </w:r>
      <w:r w:rsidR="0064764A" w:rsidRPr="00EF5A3A">
        <w:t xml:space="preserve"> </w:t>
      </w:r>
      <w:r w:rsidR="004A183B" w:rsidRPr="00EF5A3A">
        <w:t>p</w:t>
      </w:r>
      <w:r w:rsidR="00CB7C07" w:rsidRPr="00EF5A3A">
        <w:t>rovides additional</w:t>
      </w:r>
      <w:r w:rsidR="00484AD8" w:rsidRPr="00EF5A3A">
        <w:t xml:space="preserve"> indicia that</w:t>
      </w:r>
      <w:r w:rsidR="00CB7C07" w:rsidRPr="00EF5A3A">
        <w:t xml:space="preserve"> </w:t>
      </w:r>
      <w:r w:rsidR="004A183B" w:rsidRPr="00EF5A3A">
        <w:t xml:space="preserve">he </w:t>
      </w:r>
      <w:r w:rsidR="00484AD8" w:rsidRPr="00EF5A3A">
        <w:t xml:space="preserve">was </w:t>
      </w:r>
      <w:r w:rsidR="00685DDF" w:rsidRPr="00EF5A3A">
        <w:t>an</w:t>
      </w:r>
      <w:r w:rsidR="00484AD8" w:rsidRPr="00EF5A3A">
        <w:t xml:space="preserve"> intended appellant. </w:t>
      </w:r>
      <w:r w:rsidR="009E7051" w:rsidRPr="00EF5A3A">
        <w:t xml:space="preserve"> </w:t>
      </w:r>
      <w:r w:rsidR="00252AB1" w:rsidRPr="00EF5A3A">
        <w:t xml:space="preserve"> </w:t>
      </w:r>
    </w:p>
    <w:p w14:paraId="0A2C555B" w14:textId="06679D59" w:rsidR="00A62027" w:rsidRPr="00EF5A3A" w:rsidRDefault="002139EF" w:rsidP="00EF5A3A">
      <w:pPr>
        <w:ind w:firstLine="720"/>
      </w:pPr>
      <w:r w:rsidRPr="00EF5A3A">
        <w:t>Finally,</w:t>
      </w:r>
      <w:r w:rsidR="00CB3467" w:rsidRPr="00EF5A3A">
        <w:t xml:space="preserve"> </w:t>
      </w:r>
      <w:r w:rsidRPr="00EF5A3A">
        <w:t>LAUSD</w:t>
      </w:r>
      <w:r w:rsidR="00810D1E" w:rsidRPr="00EF5A3A">
        <w:t>’s briefing does not assert</w:t>
      </w:r>
      <w:r w:rsidR="00484AD8" w:rsidRPr="00EF5A3A">
        <w:t xml:space="preserve"> that it</w:t>
      </w:r>
      <w:r w:rsidRPr="00EF5A3A">
        <w:t xml:space="preserve"> was misled </w:t>
      </w:r>
      <w:r w:rsidR="00484AD8" w:rsidRPr="00EF5A3A">
        <w:t>or</w:t>
      </w:r>
      <w:r w:rsidRPr="00EF5A3A">
        <w:t xml:space="preserve"> prejudiced by Car</w:t>
      </w:r>
      <w:r w:rsidR="00484AD8" w:rsidRPr="00EF5A3A">
        <w:t>ri</w:t>
      </w:r>
      <w:r w:rsidRPr="00EF5A3A">
        <w:t>llo’s omission from the notice of appeal.</w:t>
      </w:r>
      <w:r w:rsidR="00484AD8" w:rsidRPr="00EF5A3A">
        <w:t xml:space="preserve">  Nor is </w:t>
      </w:r>
      <w:r w:rsidR="002A1601" w:rsidRPr="00EF5A3A">
        <w:t>any prejudice suggested by the record.</w:t>
      </w:r>
      <w:r w:rsidR="00484AD8" w:rsidRPr="00EF5A3A">
        <w:t xml:space="preserve">  </w:t>
      </w:r>
      <w:r w:rsidR="0064764A" w:rsidRPr="00EF5A3A">
        <w:t xml:space="preserve">The </w:t>
      </w:r>
      <w:r w:rsidR="00C23420" w:rsidRPr="00EF5A3A">
        <w:t>only</w:t>
      </w:r>
      <w:r w:rsidR="0064764A" w:rsidRPr="00EF5A3A">
        <w:t xml:space="preserve"> </w:t>
      </w:r>
      <w:r w:rsidR="004A183B" w:rsidRPr="00EF5A3A">
        <w:t>claim</w:t>
      </w:r>
      <w:r w:rsidR="00C23420" w:rsidRPr="00EF5A3A">
        <w:t xml:space="preserve"> raised </w:t>
      </w:r>
      <w:r w:rsidR="0064764A" w:rsidRPr="00EF5A3A">
        <w:t xml:space="preserve">in </w:t>
      </w:r>
      <w:r w:rsidR="00820E8E" w:rsidRPr="00EF5A3A">
        <w:t xml:space="preserve">the </w:t>
      </w:r>
      <w:r w:rsidR="0064764A" w:rsidRPr="00EF5A3A">
        <w:t xml:space="preserve">appellant’s opening brief </w:t>
      </w:r>
      <w:r w:rsidR="00C23420" w:rsidRPr="00EF5A3A">
        <w:t xml:space="preserve">was </w:t>
      </w:r>
      <w:r w:rsidR="004A183B" w:rsidRPr="00EF5A3A">
        <w:t xml:space="preserve">that </w:t>
      </w:r>
      <w:r w:rsidR="0064764A" w:rsidRPr="00EF5A3A">
        <w:t>the trial court</w:t>
      </w:r>
      <w:r w:rsidR="004A183B" w:rsidRPr="00EF5A3A">
        <w:t xml:space="preserve"> had</w:t>
      </w:r>
      <w:r w:rsidR="0064764A" w:rsidRPr="00EF5A3A">
        <w:t xml:space="preserve"> erred in sanctioning Carrillo.  </w:t>
      </w:r>
      <w:r w:rsidRPr="00EF5A3A">
        <w:t>LAUSD</w:t>
      </w:r>
      <w:r w:rsidR="0064764A" w:rsidRPr="00EF5A3A">
        <w:t xml:space="preserve"> </w:t>
      </w:r>
      <w:r w:rsidR="00C23420" w:rsidRPr="00EF5A3A">
        <w:t xml:space="preserve">raised the jurisdictional argument for the first time </w:t>
      </w:r>
      <w:r w:rsidR="0064764A" w:rsidRPr="00EF5A3A">
        <w:t xml:space="preserve">in </w:t>
      </w:r>
      <w:r w:rsidR="00820E8E" w:rsidRPr="00EF5A3A">
        <w:t>its</w:t>
      </w:r>
      <w:r w:rsidR="0064764A" w:rsidRPr="00EF5A3A">
        <w:t xml:space="preserve"> respondent’s brief, which </w:t>
      </w:r>
      <w:r w:rsidR="002A1601" w:rsidRPr="00EF5A3A">
        <w:t xml:space="preserve">also addressed the </w:t>
      </w:r>
      <w:r w:rsidRPr="00EF5A3A">
        <w:t>merits</w:t>
      </w:r>
      <w:r w:rsidR="0064764A" w:rsidRPr="00EF5A3A">
        <w:t xml:space="preserve"> of appellant’s </w:t>
      </w:r>
      <w:r w:rsidR="00054F8C" w:rsidRPr="00EF5A3A">
        <w:t>claim</w:t>
      </w:r>
      <w:r w:rsidRPr="00EF5A3A">
        <w:t>.</w:t>
      </w:r>
      <w:r w:rsidR="00CB3467" w:rsidRPr="00EF5A3A">
        <w:t xml:space="preserve">  </w:t>
      </w:r>
      <w:r w:rsidR="00820E8E" w:rsidRPr="00EF5A3A">
        <w:t>Thus</w:t>
      </w:r>
      <w:r w:rsidR="00A62027" w:rsidRPr="00EF5A3A">
        <w:t>, the fact that Carrillo was omitted from the notice had no</w:t>
      </w:r>
      <w:r w:rsidR="0064764A" w:rsidRPr="00EF5A3A">
        <w:t xml:space="preserve"> </w:t>
      </w:r>
      <w:r w:rsidR="00A20894" w:rsidRPr="00EF5A3A">
        <w:t xml:space="preserve">apparent </w:t>
      </w:r>
      <w:r w:rsidR="00A62027" w:rsidRPr="00EF5A3A">
        <w:t>effect on the appellate proceedings</w:t>
      </w:r>
      <w:r w:rsidR="00C23420" w:rsidRPr="00EF5A3A">
        <w:t>,</w:t>
      </w:r>
      <w:r w:rsidR="00A62027" w:rsidRPr="00EF5A3A">
        <w:t xml:space="preserve"> other than to cause LAUSD to raise the jurisdictional argument.</w:t>
      </w:r>
      <w:r w:rsidR="00FE7AB8" w:rsidRPr="00EF5A3A">
        <w:rPr>
          <w:rStyle w:val="FootnoteReference"/>
        </w:rPr>
        <w:footnoteReference w:id="9"/>
      </w:r>
      <w:r w:rsidR="00A62027" w:rsidRPr="00EF5A3A">
        <w:t xml:space="preserve">  </w:t>
      </w:r>
      <w:r w:rsidR="00A62027" w:rsidRPr="00EF5A3A">
        <w:rPr>
          <w:color w:val="000000" w:themeColor="text1"/>
          <w:szCs w:val="26"/>
        </w:rPr>
        <w:t>(See</w:t>
      </w:r>
      <w:r w:rsidR="0064764A" w:rsidRPr="00EF5A3A">
        <w:rPr>
          <w:color w:val="000000" w:themeColor="text1"/>
          <w:szCs w:val="26"/>
        </w:rPr>
        <w:t xml:space="preserve"> </w:t>
      </w:r>
      <w:r w:rsidR="0064764A" w:rsidRPr="00EF5A3A">
        <w:rPr>
          <w:i/>
          <w:iCs/>
        </w:rPr>
        <w:t xml:space="preserve">Walker, </w:t>
      </w:r>
      <w:r w:rsidR="0064764A" w:rsidRPr="00EF5A3A">
        <w:rPr>
          <w:i/>
          <w:iCs/>
        </w:rPr>
        <w:lastRenderedPageBreak/>
        <w:t>supra</w:t>
      </w:r>
      <w:r w:rsidR="0064764A" w:rsidRPr="00EF5A3A">
        <w:t>, 35 Cal.</w:t>
      </w:r>
      <w:r w:rsidR="00820E8E" w:rsidRPr="00EF5A3A">
        <w:t>4th</w:t>
      </w:r>
      <w:r w:rsidR="0064764A" w:rsidRPr="00EF5A3A">
        <w:t xml:space="preserve"> </w:t>
      </w:r>
      <w:r w:rsidR="00820E8E" w:rsidRPr="00EF5A3A">
        <w:t xml:space="preserve">at p. </w:t>
      </w:r>
      <w:r w:rsidR="0064764A" w:rsidRPr="00EF5A3A">
        <w:t>21 [appellant made “colorable argument” of nonprejudice where</w:t>
      </w:r>
      <w:r w:rsidR="004A183B" w:rsidRPr="00EF5A3A">
        <w:t xml:space="preserve"> the record showed that</w:t>
      </w:r>
      <w:r w:rsidR="0064764A" w:rsidRPr="00EF5A3A">
        <w:t xml:space="preserve"> </w:t>
      </w:r>
      <w:r w:rsidR="00054F8C" w:rsidRPr="00EF5A3A">
        <w:t xml:space="preserve">respondent raised </w:t>
      </w:r>
      <w:r w:rsidR="0064764A" w:rsidRPr="00EF5A3A">
        <w:t xml:space="preserve">appealability issue for the first time in </w:t>
      </w:r>
      <w:r w:rsidR="00A20894" w:rsidRPr="00EF5A3A">
        <w:t xml:space="preserve">a </w:t>
      </w:r>
      <w:r w:rsidR="0064764A" w:rsidRPr="00EF5A3A">
        <w:t>respondent’s brief that also addressed the merits];</w:t>
      </w:r>
      <w:r w:rsidR="00A62027" w:rsidRPr="00EF5A3A">
        <w:rPr>
          <w:color w:val="000000" w:themeColor="text1"/>
          <w:szCs w:val="26"/>
        </w:rPr>
        <w:t xml:space="preserve"> </w:t>
      </w:r>
      <w:r w:rsidR="00A62027" w:rsidRPr="00EF5A3A">
        <w:rPr>
          <w:i/>
          <w:iCs/>
          <w:color w:val="000000" w:themeColor="text1"/>
          <w:szCs w:val="26"/>
        </w:rPr>
        <w:t>Beltram</w:t>
      </w:r>
      <w:r w:rsidR="00D15D6D" w:rsidRPr="00EF5A3A">
        <w:rPr>
          <w:i/>
          <w:iCs/>
          <w:color w:val="000000" w:themeColor="text1"/>
          <w:szCs w:val="26"/>
        </w:rPr>
        <w:t>, supra</w:t>
      </w:r>
      <w:r w:rsidR="00A62027" w:rsidRPr="00EF5A3A">
        <w:rPr>
          <w:color w:val="000000" w:themeColor="text1"/>
          <w:szCs w:val="26"/>
        </w:rPr>
        <w:t>, 66 Cal.App.3d at p. 715 [notice’s omission of codefendant</w:t>
      </w:r>
      <w:r w:rsidR="00E06C0F" w:rsidRPr="00EF5A3A">
        <w:rPr>
          <w:color w:val="000000" w:themeColor="text1"/>
          <w:szCs w:val="26"/>
        </w:rPr>
        <w:t xml:space="preserve"> </w:t>
      </w:r>
      <w:r w:rsidR="00A20894" w:rsidRPr="00EF5A3A">
        <w:rPr>
          <w:color w:val="000000" w:themeColor="text1"/>
          <w:szCs w:val="26"/>
        </w:rPr>
        <w:t xml:space="preserve">found </w:t>
      </w:r>
      <w:r w:rsidR="00A62027" w:rsidRPr="00EF5A3A">
        <w:rPr>
          <w:color w:val="000000" w:themeColor="text1"/>
          <w:szCs w:val="26"/>
        </w:rPr>
        <w:t xml:space="preserve">nonprejudicial </w:t>
      </w:r>
      <w:r w:rsidR="00A20894" w:rsidRPr="00EF5A3A">
        <w:rPr>
          <w:color w:val="000000" w:themeColor="text1"/>
          <w:szCs w:val="26"/>
        </w:rPr>
        <w:t xml:space="preserve">because </w:t>
      </w:r>
      <w:r w:rsidR="00A62027" w:rsidRPr="00EF5A3A">
        <w:rPr>
          <w:color w:val="000000" w:themeColor="text1"/>
          <w:szCs w:val="26"/>
        </w:rPr>
        <w:t>the “issues as to [all defendants</w:t>
      </w:r>
      <w:r w:rsidR="00A20894" w:rsidRPr="00EF5A3A">
        <w:rPr>
          <w:color w:val="000000" w:themeColor="text1"/>
          <w:szCs w:val="26"/>
        </w:rPr>
        <w:t xml:space="preserve"> were</w:t>
      </w:r>
      <w:r w:rsidR="00A62027" w:rsidRPr="00EF5A3A">
        <w:rPr>
          <w:color w:val="000000" w:themeColor="text1"/>
          <w:szCs w:val="26"/>
        </w:rPr>
        <w:t xml:space="preserve">] identical,” and </w:t>
      </w:r>
      <w:r w:rsidR="00E06C0F" w:rsidRPr="00EF5A3A">
        <w:rPr>
          <w:color w:val="000000" w:themeColor="text1"/>
          <w:szCs w:val="26"/>
        </w:rPr>
        <w:t>the omission</w:t>
      </w:r>
      <w:r w:rsidR="00A20894" w:rsidRPr="00EF5A3A">
        <w:rPr>
          <w:color w:val="000000" w:themeColor="text1"/>
          <w:szCs w:val="26"/>
        </w:rPr>
        <w:t xml:space="preserve"> thus</w:t>
      </w:r>
      <w:r w:rsidR="00E06C0F" w:rsidRPr="00EF5A3A">
        <w:rPr>
          <w:color w:val="000000" w:themeColor="text1"/>
          <w:szCs w:val="26"/>
        </w:rPr>
        <w:t xml:space="preserve"> </w:t>
      </w:r>
      <w:r w:rsidR="00386BF2" w:rsidRPr="00EF5A3A">
        <w:rPr>
          <w:color w:val="000000" w:themeColor="text1"/>
          <w:szCs w:val="26"/>
        </w:rPr>
        <w:t xml:space="preserve">did not </w:t>
      </w:r>
      <w:r w:rsidR="00A62027" w:rsidRPr="00EF5A3A">
        <w:rPr>
          <w:color w:val="000000" w:themeColor="text1"/>
          <w:szCs w:val="26"/>
        </w:rPr>
        <w:t>“affect[</w:t>
      </w:r>
      <w:r w:rsidR="00386BF2" w:rsidRPr="00EF5A3A">
        <w:rPr>
          <w:color w:val="000000" w:themeColor="text1"/>
          <w:szCs w:val="26"/>
        </w:rPr>
        <w:t>] [plaintiffs’</w:t>
      </w:r>
      <w:r w:rsidR="00A62027" w:rsidRPr="00EF5A3A">
        <w:rPr>
          <w:color w:val="000000" w:themeColor="text1"/>
          <w:szCs w:val="26"/>
        </w:rPr>
        <w:t>] preparation for the appeal”].)</w:t>
      </w:r>
    </w:p>
    <w:p w14:paraId="61D348EA" w14:textId="33AFC55A" w:rsidR="009A59BB" w:rsidRPr="00EF5A3A" w:rsidRDefault="00C17A5F" w:rsidP="00EF5A3A">
      <w:pPr>
        <w:ind w:firstLine="720"/>
      </w:pPr>
      <w:r w:rsidRPr="00EF5A3A">
        <w:t>C</w:t>
      </w:r>
      <w:r w:rsidR="00FA008D" w:rsidRPr="00EF5A3A">
        <w:t>onsidered together, the</w:t>
      </w:r>
      <w:r w:rsidRPr="00EF5A3A">
        <w:t xml:space="preserve"> factors </w:t>
      </w:r>
      <w:r w:rsidR="00CB7C07" w:rsidRPr="00EF5A3A">
        <w:t xml:space="preserve">described above demonstrate </w:t>
      </w:r>
      <w:r w:rsidR="00685DDF" w:rsidRPr="00EF5A3A">
        <w:t>with reasonable clarity that</w:t>
      </w:r>
      <w:r w:rsidR="00D15D6D" w:rsidRPr="00EF5A3A">
        <w:t xml:space="preserve"> </w:t>
      </w:r>
      <w:r w:rsidR="00685DDF" w:rsidRPr="00EF5A3A">
        <w:t xml:space="preserve">although </w:t>
      </w:r>
      <w:r w:rsidR="0064764A" w:rsidRPr="00EF5A3A">
        <w:t>Carrillo’s</w:t>
      </w:r>
      <w:r w:rsidR="00685DDF" w:rsidRPr="00EF5A3A">
        <w:t xml:space="preserve"> name did not appear in the notice of appeal, he nonetheless intended to </w:t>
      </w:r>
      <w:r w:rsidR="00C23420" w:rsidRPr="00EF5A3A">
        <w:t xml:space="preserve">participate </w:t>
      </w:r>
      <w:r w:rsidR="00685DDF" w:rsidRPr="00EF5A3A">
        <w:t xml:space="preserve">in the appeal, and </w:t>
      </w:r>
      <w:r w:rsidR="004A183B" w:rsidRPr="00EF5A3A">
        <w:t xml:space="preserve">that </w:t>
      </w:r>
      <w:r w:rsidR="00BD1340">
        <w:t>LAUSD</w:t>
      </w:r>
      <w:r w:rsidR="00685DDF" w:rsidRPr="00EF5A3A">
        <w:t xml:space="preserve"> suffered no prejudice from his omission</w:t>
      </w:r>
      <w:r w:rsidR="00FA008D" w:rsidRPr="00EF5A3A">
        <w:t xml:space="preserve">.  </w:t>
      </w:r>
      <w:r w:rsidR="0064764A" w:rsidRPr="00EF5A3A">
        <w:t>Accordingly, the Court of Appeal should have construed the notice to include Carrillo as an appealing party.</w:t>
      </w:r>
      <w:r w:rsidR="00FA008D" w:rsidRPr="00EF5A3A">
        <w:t xml:space="preserve">  </w:t>
      </w:r>
    </w:p>
    <w:p w14:paraId="01A13671" w14:textId="77777777" w:rsidR="006D719B" w:rsidRPr="00EF5A3A" w:rsidRDefault="006D719B" w:rsidP="00784199">
      <w:pPr>
        <w:tabs>
          <w:tab w:val="left" w:pos="1440"/>
        </w:tabs>
        <w:jc w:val="center"/>
        <w:rPr>
          <w:b/>
          <w:smallCaps/>
          <w:szCs w:val="26"/>
        </w:rPr>
      </w:pPr>
      <w:r w:rsidRPr="00EF5A3A">
        <w:rPr>
          <w:b/>
          <w:smallCaps/>
          <w:szCs w:val="26"/>
        </w:rPr>
        <w:t xml:space="preserve">III. </w:t>
      </w:r>
      <w:r w:rsidR="00136F53" w:rsidRPr="00EF5A3A">
        <w:rPr>
          <w:b/>
          <w:smallCaps/>
          <w:szCs w:val="26"/>
        </w:rPr>
        <w:t xml:space="preserve"> </w:t>
      </w:r>
      <w:r w:rsidRPr="00EF5A3A">
        <w:rPr>
          <w:b/>
          <w:smallCaps/>
          <w:szCs w:val="26"/>
        </w:rPr>
        <w:t>Disposition</w:t>
      </w:r>
    </w:p>
    <w:p w14:paraId="20B24314" w14:textId="7932CEA8" w:rsidR="00137A90" w:rsidRPr="00EF5A3A" w:rsidRDefault="002C6414" w:rsidP="00B823E1">
      <w:pPr>
        <w:tabs>
          <w:tab w:val="left" w:pos="1440"/>
        </w:tabs>
        <w:ind w:firstLine="720"/>
        <w:rPr>
          <w:szCs w:val="26"/>
        </w:rPr>
      </w:pPr>
      <w:r w:rsidRPr="00EF5A3A">
        <w:rPr>
          <w:szCs w:val="26"/>
        </w:rPr>
        <w:t xml:space="preserve">The Court of Appeal’s dismissal of the appeal is reversed.  The matter is remanded </w:t>
      </w:r>
      <w:r w:rsidR="00D16648" w:rsidRPr="00EF5A3A">
        <w:rPr>
          <w:szCs w:val="26"/>
        </w:rPr>
        <w:t xml:space="preserve">with directions </w:t>
      </w:r>
      <w:r w:rsidRPr="00EF5A3A">
        <w:rPr>
          <w:szCs w:val="26"/>
        </w:rPr>
        <w:t>to the Court of Appeal to</w:t>
      </w:r>
      <w:r w:rsidR="00D16648" w:rsidRPr="00EF5A3A">
        <w:rPr>
          <w:szCs w:val="26"/>
        </w:rPr>
        <w:t xml:space="preserve"> set aside its order of dismissal and</w:t>
      </w:r>
      <w:r w:rsidRPr="00EF5A3A">
        <w:rPr>
          <w:szCs w:val="26"/>
        </w:rPr>
        <w:t xml:space="preserve"> decide the merits of </w:t>
      </w:r>
      <w:r w:rsidR="00A4534F" w:rsidRPr="00EF5A3A">
        <w:rPr>
          <w:szCs w:val="26"/>
        </w:rPr>
        <w:t>appellant</w:t>
      </w:r>
      <w:r w:rsidRPr="00EF5A3A">
        <w:rPr>
          <w:szCs w:val="26"/>
        </w:rPr>
        <w:t xml:space="preserve"> Carrillo’s challenge to the sanctions order.</w:t>
      </w:r>
    </w:p>
    <w:p w14:paraId="090CE2CC" w14:textId="4E6560B5" w:rsidR="00B823E1" w:rsidRDefault="00B823E1" w:rsidP="00B823E1">
      <w:pPr>
        <w:spacing w:after="0" w:line="240" w:lineRule="auto"/>
        <w:jc w:val="left"/>
        <w:rPr>
          <w:b/>
          <w:szCs w:val="26"/>
        </w:rPr>
      </w:pPr>
      <w:r>
        <w:rPr>
          <w:b/>
          <w:szCs w:val="26"/>
        </w:rPr>
        <w:br w:type="page"/>
      </w:r>
    </w:p>
    <w:p w14:paraId="71C40851" w14:textId="25B7E6E7" w:rsidR="00B378F9" w:rsidRPr="00EF5A3A" w:rsidRDefault="00B378F9" w:rsidP="00EF5A3A">
      <w:pPr>
        <w:ind w:left="3600" w:firstLine="1800"/>
        <w:rPr>
          <w:b/>
          <w:szCs w:val="26"/>
        </w:rPr>
      </w:pPr>
      <w:r w:rsidRPr="00EF5A3A">
        <w:rPr>
          <w:b/>
          <w:szCs w:val="26"/>
        </w:rPr>
        <w:lastRenderedPageBreak/>
        <w:t>GROBAN, J.</w:t>
      </w:r>
    </w:p>
    <w:bookmarkEnd w:id="1"/>
    <w:p w14:paraId="1787EDF1" w14:textId="77777777" w:rsidR="00713D94" w:rsidRDefault="00713D94" w:rsidP="00EF5A3A">
      <w:pPr>
        <w:rPr>
          <w:b/>
          <w:szCs w:val="26"/>
        </w:rPr>
      </w:pPr>
    </w:p>
    <w:p w14:paraId="65CBEECF" w14:textId="77777777" w:rsidR="00713D94" w:rsidRDefault="00713D94" w:rsidP="00EF5A3A">
      <w:pPr>
        <w:rPr>
          <w:b/>
          <w:szCs w:val="26"/>
        </w:rPr>
      </w:pPr>
    </w:p>
    <w:p w14:paraId="58507A0E" w14:textId="790E2997" w:rsidR="00160574" w:rsidRDefault="00BD2938" w:rsidP="00C0212A">
      <w:pPr>
        <w:spacing w:before="120" w:after="240"/>
        <w:rPr>
          <w:b/>
          <w:szCs w:val="26"/>
        </w:rPr>
      </w:pPr>
      <w:r>
        <w:rPr>
          <w:b/>
          <w:szCs w:val="26"/>
        </w:rPr>
        <w:t>W</w:t>
      </w:r>
      <w:r w:rsidR="00437B3B">
        <w:rPr>
          <w:b/>
          <w:szCs w:val="26"/>
        </w:rPr>
        <w:t>e</w:t>
      </w:r>
      <w:r>
        <w:rPr>
          <w:b/>
          <w:szCs w:val="26"/>
        </w:rPr>
        <w:t xml:space="preserve"> C</w:t>
      </w:r>
      <w:r w:rsidR="00437B3B">
        <w:rPr>
          <w:b/>
          <w:szCs w:val="26"/>
        </w:rPr>
        <w:t>oncur</w:t>
      </w:r>
      <w:r>
        <w:rPr>
          <w:b/>
          <w:szCs w:val="26"/>
        </w:rPr>
        <w:t>:</w:t>
      </w:r>
    </w:p>
    <w:p w14:paraId="0E600E4F" w14:textId="6D49AE98" w:rsidR="002D6EEA" w:rsidRDefault="002D6EEA" w:rsidP="002D6EEA">
      <w:pPr>
        <w:spacing w:after="0" w:line="240" w:lineRule="auto"/>
        <w:rPr>
          <w:b/>
          <w:szCs w:val="26"/>
        </w:rPr>
      </w:pPr>
      <w:r>
        <w:rPr>
          <w:b/>
          <w:szCs w:val="26"/>
        </w:rPr>
        <w:t>CANTIL-SAKAUYE, C.</w:t>
      </w:r>
      <w:r w:rsidR="00E776FC">
        <w:rPr>
          <w:b/>
          <w:szCs w:val="26"/>
        </w:rPr>
        <w:t xml:space="preserve"> </w:t>
      </w:r>
      <w:bookmarkStart w:id="16" w:name="_GoBack"/>
      <w:bookmarkEnd w:id="16"/>
      <w:r>
        <w:rPr>
          <w:b/>
          <w:szCs w:val="26"/>
        </w:rPr>
        <w:t>J.</w:t>
      </w:r>
    </w:p>
    <w:p w14:paraId="4071B97A" w14:textId="50B212DC" w:rsidR="002D6EEA" w:rsidRDefault="002D6EEA" w:rsidP="002D6EEA">
      <w:pPr>
        <w:spacing w:after="0" w:line="240" w:lineRule="auto"/>
        <w:rPr>
          <w:b/>
          <w:szCs w:val="26"/>
        </w:rPr>
      </w:pPr>
      <w:r>
        <w:rPr>
          <w:b/>
          <w:szCs w:val="26"/>
        </w:rPr>
        <w:t>CHIN, J.</w:t>
      </w:r>
    </w:p>
    <w:p w14:paraId="5A8A643A" w14:textId="7858D58C" w:rsidR="002D6EEA" w:rsidRDefault="002D6EEA" w:rsidP="002D6EEA">
      <w:pPr>
        <w:spacing w:after="0" w:line="240" w:lineRule="auto"/>
        <w:rPr>
          <w:b/>
          <w:szCs w:val="26"/>
        </w:rPr>
      </w:pPr>
      <w:r>
        <w:rPr>
          <w:b/>
          <w:szCs w:val="26"/>
        </w:rPr>
        <w:t>CORRIGAN, J.</w:t>
      </w:r>
    </w:p>
    <w:p w14:paraId="030545E3" w14:textId="1E457124" w:rsidR="002D6EEA" w:rsidRDefault="002D6EEA" w:rsidP="002D6EEA">
      <w:pPr>
        <w:spacing w:after="0" w:line="240" w:lineRule="auto"/>
        <w:rPr>
          <w:b/>
          <w:szCs w:val="26"/>
        </w:rPr>
      </w:pPr>
      <w:r>
        <w:rPr>
          <w:b/>
          <w:szCs w:val="26"/>
        </w:rPr>
        <w:t>LIU, J.</w:t>
      </w:r>
    </w:p>
    <w:p w14:paraId="1DE4EA23" w14:textId="6912435D" w:rsidR="002D6EEA" w:rsidRDefault="002D6EEA" w:rsidP="002D6EEA">
      <w:pPr>
        <w:spacing w:after="0" w:line="240" w:lineRule="auto"/>
        <w:rPr>
          <w:b/>
          <w:szCs w:val="26"/>
        </w:rPr>
      </w:pPr>
      <w:r>
        <w:rPr>
          <w:b/>
          <w:szCs w:val="26"/>
        </w:rPr>
        <w:t>CUÉLLAR, J.</w:t>
      </w:r>
    </w:p>
    <w:p w14:paraId="7CAF3ACF" w14:textId="51B85C37" w:rsidR="002D6EEA" w:rsidRDefault="002D6EEA" w:rsidP="002D6EEA">
      <w:pPr>
        <w:spacing w:after="0" w:line="240" w:lineRule="auto"/>
        <w:rPr>
          <w:b/>
          <w:szCs w:val="26"/>
        </w:rPr>
      </w:pPr>
      <w:r>
        <w:rPr>
          <w:b/>
          <w:szCs w:val="26"/>
        </w:rPr>
        <w:t>KRUGER, J.</w:t>
      </w:r>
    </w:p>
    <w:p w14:paraId="13FF994F" w14:textId="77777777" w:rsidR="008A4E6D" w:rsidRDefault="008A4E6D" w:rsidP="00EF5A3A">
      <w:pPr>
        <w:rPr>
          <w:b/>
          <w:szCs w:val="26"/>
        </w:rPr>
        <w:sectPr w:rsidR="008A4E6D" w:rsidSect="00EF5A3A">
          <w:footerReference w:type="first" r:id="rId11"/>
          <w:pgSz w:w="12240" w:h="15840"/>
          <w:pgMar w:top="1800" w:right="2160" w:bottom="1440" w:left="2160" w:header="720" w:footer="720" w:gutter="0"/>
          <w:pgNumType w:start="1"/>
          <w:cols w:space="720"/>
          <w:titlePg/>
          <w:docGrid w:linePitch="367"/>
        </w:sectPr>
      </w:pPr>
    </w:p>
    <w:p w14:paraId="2B79EE64" w14:textId="77777777" w:rsidR="00140400" w:rsidRPr="00140400" w:rsidRDefault="00140400" w:rsidP="00140400">
      <w:pPr>
        <w:spacing w:after="0" w:line="240" w:lineRule="auto"/>
        <w:jc w:val="left"/>
        <w:rPr>
          <w:rFonts w:ascii="Times New Roman" w:hAnsi="Times New Roman"/>
          <w:i/>
          <w:sz w:val="20"/>
        </w:rPr>
      </w:pPr>
      <w:r w:rsidRPr="00140400">
        <w:rPr>
          <w:rFonts w:ascii="Times New Roman" w:hAnsi="Times New Roman"/>
          <w:i/>
          <w:sz w:val="20"/>
        </w:rPr>
        <w:lastRenderedPageBreak/>
        <w:t>See next page for addresses and telephone numbers for counsel who argued in Supreme Court.</w:t>
      </w:r>
    </w:p>
    <w:p w14:paraId="7FBB49EA" w14:textId="77777777" w:rsidR="00140400" w:rsidRPr="00140400" w:rsidRDefault="00140400" w:rsidP="00140400">
      <w:pPr>
        <w:spacing w:after="0" w:line="240" w:lineRule="auto"/>
        <w:jc w:val="left"/>
        <w:rPr>
          <w:rFonts w:ascii="Times New Roman" w:hAnsi="Times New Roman"/>
          <w:i/>
          <w:sz w:val="20"/>
        </w:rPr>
      </w:pPr>
    </w:p>
    <w:p w14:paraId="4F0FA32C" w14:textId="77777777" w:rsidR="00140400" w:rsidRPr="00140400" w:rsidRDefault="00140400" w:rsidP="00140400">
      <w:pPr>
        <w:spacing w:after="0" w:line="240" w:lineRule="auto"/>
        <w:jc w:val="left"/>
        <w:rPr>
          <w:rFonts w:ascii="Times New Roman" w:hAnsi="Times New Roman"/>
          <w:b/>
          <w:sz w:val="20"/>
        </w:rPr>
      </w:pPr>
      <w:r w:rsidRPr="00140400">
        <w:rPr>
          <w:rFonts w:ascii="Times New Roman" w:hAnsi="Times New Roman"/>
          <w:b/>
          <w:sz w:val="20"/>
        </w:rPr>
        <w:t xml:space="preserve">Name of Opinion  </w:t>
      </w:r>
      <w:r w:rsidRPr="00140400">
        <w:rPr>
          <w:rFonts w:ascii="Times New Roman" w:hAnsi="Times New Roman"/>
          <w:sz w:val="20"/>
        </w:rPr>
        <w:t xml:space="preserve">K.J. v. Los Angeles Unified School District </w:t>
      </w:r>
      <w:r w:rsidRPr="00140400">
        <w:rPr>
          <w:rFonts w:ascii="Times New Roman" w:hAnsi="Times New Roman"/>
          <w:b/>
          <w:sz w:val="20"/>
        </w:rPr>
        <w:t>__________________________________________________________________________________</w:t>
      </w:r>
    </w:p>
    <w:p w14:paraId="25F3B0EB" w14:textId="77777777" w:rsidR="00140400" w:rsidRPr="00140400" w:rsidRDefault="00140400" w:rsidP="00140400">
      <w:pPr>
        <w:spacing w:after="0" w:line="240" w:lineRule="auto"/>
        <w:jc w:val="left"/>
        <w:rPr>
          <w:rFonts w:ascii="Times New Roman" w:hAnsi="Times New Roman"/>
          <w:b/>
          <w:sz w:val="20"/>
        </w:rPr>
      </w:pPr>
    </w:p>
    <w:p w14:paraId="10D6EA5C" w14:textId="77777777" w:rsidR="00140400" w:rsidRPr="00140400" w:rsidRDefault="00140400" w:rsidP="00140400">
      <w:pPr>
        <w:spacing w:after="0" w:line="240" w:lineRule="auto"/>
        <w:jc w:val="left"/>
        <w:rPr>
          <w:rFonts w:ascii="Times New Roman" w:hAnsi="Times New Roman"/>
          <w:bCs/>
          <w:sz w:val="20"/>
        </w:rPr>
      </w:pPr>
      <w:r w:rsidRPr="00140400">
        <w:rPr>
          <w:rFonts w:ascii="Times New Roman" w:hAnsi="Times New Roman"/>
          <w:b/>
          <w:sz w:val="20"/>
        </w:rPr>
        <w:t xml:space="preserve">Unpublished Opinion </w:t>
      </w:r>
      <w:r w:rsidRPr="00140400">
        <w:rPr>
          <w:rFonts w:ascii="Times New Roman" w:hAnsi="Times New Roman"/>
          <w:sz w:val="20"/>
        </w:rPr>
        <w:t>XXX NP opn. filed 2/23/17 – 2d Dist., Div. 3</w:t>
      </w:r>
    </w:p>
    <w:p w14:paraId="1FE98DBC" w14:textId="77777777" w:rsidR="00140400" w:rsidRPr="00140400" w:rsidRDefault="00140400" w:rsidP="00140400">
      <w:pPr>
        <w:spacing w:after="0" w:line="240" w:lineRule="auto"/>
        <w:jc w:val="left"/>
        <w:rPr>
          <w:rFonts w:ascii="Times New Roman" w:hAnsi="Times New Roman"/>
          <w:sz w:val="20"/>
        </w:rPr>
      </w:pPr>
      <w:r w:rsidRPr="00140400">
        <w:rPr>
          <w:rFonts w:ascii="Times New Roman" w:hAnsi="Times New Roman"/>
          <w:b/>
          <w:sz w:val="20"/>
        </w:rPr>
        <w:t>Original Appeal</w:t>
      </w:r>
    </w:p>
    <w:p w14:paraId="5DEF359E" w14:textId="77777777" w:rsidR="00140400" w:rsidRPr="00140400" w:rsidRDefault="00140400" w:rsidP="00140400">
      <w:pPr>
        <w:spacing w:after="0" w:line="240" w:lineRule="auto"/>
        <w:jc w:val="left"/>
        <w:rPr>
          <w:rFonts w:ascii="Times New Roman" w:hAnsi="Times New Roman"/>
          <w:b/>
          <w:sz w:val="20"/>
        </w:rPr>
      </w:pPr>
      <w:r w:rsidRPr="00140400">
        <w:rPr>
          <w:rFonts w:ascii="Times New Roman" w:hAnsi="Times New Roman"/>
          <w:b/>
          <w:sz w:val="20"/>
        </w:rPr>
        <w:t xml:space="preserve">Original Proceeding </w:t>
      </w:r>
    </w:p>
    <w:p w14:paraId="3CE8E3D0" w14:textId="77777777" w:rsidR="00140400" w:rsidRPr="00140400" w:rsidRDefault="00140400" w:rsidP="00140400">
      <w:pPr>
        <w:spacing w:after="0" w:line="240" w:lineRule="auto"/>
        <w:jc w:val="left"/>
        <w:rPr>
          <w:rFonts w:ascii="Times New Roman" w:hAnsi="Times New Roman"/>
          <w:sz w:val="20"/>
        </w:rPr>
      </w:pPr>
      <w:r w:rsidRPr="00140400">
        <w:rPr>
          <w:rFonts w:ascii="Times New Roman" w:hAnsi="Times New Roman"/>
          <w:b/>
          <w:sz w:val="20"/>
        </w:rPr>
        <w:t xml:space="preserve">Review Granted </w:t>
      </w:r>
      <w:r w:rsidRPr="00140400">
        <w:rPr>
          <w:rFonts w:ascii="Times New Roman" w:hAnsi="Times New Roman"/>
          <w:sz w:val="20"/>
        </w:rPr>
        <w:t xml:space="preserve"> </w:t>
      </w:r>
    </w:p>
    <w:p w14:paraId="4D786E3D" w14:textId="77777777" w:rsidR="00140400" w:rsidRPr="00140400" w:rsidRDefault="00140400" w:rsidP="00140400">
      <w:pPr>
        <w:spacing w:after="0" w:line="240" w:lineRule="auto"/>
        <w:jc w:val="left"/>
        <w:rPr>
          <w:rFonts w:ascii="Times New Roman" w:hAnsi="Times New Roman"/>
          <w:b/>
          <w:sz w:val="20"/>
        </w:rPr>
      </w:pPr>
      <w:r w:rsidRPr="00140400">
        <w:rPr>
          <w:rFonts w:ascii="Times New Roman" w:hAnsi="Times New Roman"/>
          <w:b/>
          <w:sz w:val="20"/>
        </w:rPr>
        <w:t>Rehearing Granted</w:t>
      </w:r>
    </w:p>
    <w:p w14:paraId="202A0589" w14:textId="77777777" w:rsidR="00140400" w:rsidRPr="00140400" w:rsidRDefault="00140400" w:rsidP="00140400">
      <w:pPr>
        <w:spacing w:after="0" w:line="240" w:lineRule="auto"/>
        <w:jc w:val="left"/>
        <w:rPr>
          <w:rFonts w:ascii="Times New Roman" w:hAnsi="Times New Roman"/>
          <w:b/>
          <w:sz w:val="20"/>
        </w:rPr>
      </w:pPr>
    </w:p>
    <w:p w14:paraId="0723176A" w14:textId="77777777" w:rsidR="00140400" w:rsidRPr="00140400" w:rsidRDefault="00140400" w:rsidP="00140400">
      <w:pPr>
        <w:spacing w:after="0" w:line="240" w:lineRule="auto"/>
        <w:jc w:val="left"/>
        <w:rPr>
          <w:rFonts w:ascii="Times New Roman" w:hAnsi="Times New Roman"/>
          <w:b/>
          <w:sz w:val="20"/>
        </w:rPr>
      </w:pPr>
      <w:r w:rsidRPr="00140400">
        <w:rPr>
          <w:rFonts w:ascii="Times New Roman" w:hAnsi="Times New Roman"/>
          <w:b/>
          <w:sz w:val="20"/>
        </w:rPr>
        <w:t>__________________________________________________________________________________</w:t>
      </w:r>
    </w:p>
    <w:p w14:paraId="6845EB49" w14:textId="77777777" w:rsidR="00140400" w:rsidRPr="00140400" w:rsidRDefault="00140400" w:rsidP="00140400">
      <w:pPr>
        <w:spacing w:after="0" w:line="240" w:lineRule="auto"/>
        <w:jc w:val="left"/>
        <w:rPr>
          <w:rFonts w:ascii="Times New Roman" w:hAnsi="Times New Roman"/>
          <w:b/>
          <w:sz w:val="20"/>
        </w:rPr>
      </w:pPr>
    </w:p>
    <w:p w14:paraId="5D604F0C" w14:textId="77777777" w:rsidR="00140400" w:rsidRPr="00140400" w:rsidRDefault="00140400" w:rsidP="00140400">
      <w:pPr>
        <w:spacing w:after="0" w:line="240" w:lineRule="auto"/>
        <w:jc w:val="left"/>
        <w:rPr>
          <w:rFonts w:ascii="Times New Roman" w:hAnsi="Times New Roman"/>
          <w:bCs/>
          <w:sz w:val="20"/>
        </w:rPr>
      </w:pPr>
      <w:r w:rsidRPr="00140400">
        <w:rPr>
          <w:rFonts w:ascii="Times New Roman" w:hAnsi="Times New Roman"/>
          <w:b/>
          <w:sz w:val="20"/>
        </w:rPr>
        <w:t>Opinion No.</w:t>
      </w:r>
      <w:r w:rsidRPr="00140400">
        <w:rPr>
          <w:rFonts w:ascii="Times New Roman" w:hAnsi="Times New Roman"/>
          <w:sz w:val="20"/>
        </w:rPr>
        <w:t xml:space="preserve"> S241057</w:t>
      </w:r>
    </w:p>
    <w:p w14:paraId="52C55F0B" w14:textId="77777777" w:rsidR="00140400" w:rsidRPr="00140400" w:rsidRDefault="00140400" w:rsidP="00140400">
      <w:pPr>
        <w:spacing w:after="0" w:line="240" w:lineRule="auto"/>
        <w:jc w:val="left"/>
        <w:rPr>
          <w:rFonts w:ascii="Times New Roman" w:hAnsi="Times New Roman"/>
          <w:bCs/>
          <w:sz w:val="20"/>
        </w:rPr>
      </w:pPr>
      <w:r w:rsidRPr="00140400">
        <w:rPr>
          <w:rFonts w:ascii="Times New Roman" w:hAnsi="Times New Roman"/>
          <w:b/>
          <w:sz w:val="20"/>
        </w:rPr>
        <w:t>Date Filed:</w:t>
      </w:r>
      <w:r w:rsidRPr="00140400">
        <w:rPr>
          <w:rFonts w:ascii="Times New Roman" w:hAnsi="Times New Roman"/>
          <w:sz w:val="20"/>
        </w:rPr>
        <w:t xml:space="preserve"> January 30, 2020</w:t>
      </w:r>
    </w:p>
    <w:p w14:paraId="78DC011C" w14:textId="77777777" w:rsidR="00140400" w:rsidRPr="00140400" w:rsidRDefault="00140400" w:rsidP="00140400">
      <w:pPr>
        <w:spacing w:after="0" w:line="240" w:lineRule="auto"/>
        <w:jc w:val="left"/>
        <w:rPr>
          <w:rFonts w:ascii="Times New Roman" w:hAnsi="Times New Roman"/>
          <w:b/>
          <w:sz w:val="20"/>
        </w:rPr>
      </w:pPr>
      <w:r w:rsidRPr="00140400">
        <w:rPr>
          <w:rFonts w:ascii="Times New Roman" w:hAnsi="Times New Roman"/>
          <w:b/>
          <w:sz w:val="20"/>
        </w:rPr>
        <w:t>__________________________________________________________________________________</w:t>
      </w:r>
    </w:p>
    <w:p w14:paraId="2B238064" w14:textId="77777777" w:rsidR="00140400" w:rsidRPr="00140400" w:rsidRDefault="00140400" w:rsidP="00140400">
      <w:pPr>
        <w:spacing w:after="0" w:line="240" w:lineRule="auto"/>
        <w:jc w:val="left"/>
        <w:rPr>
          <w:rFonts w:ascii="Times New Roman" w:hAnsi="Times New Roman"/>
          <w:b/>
          <w:sz w:val="20"/>
        </w:rPr>
      </w:pPr>
    </w:p>
    <w:p w14:paraId="0C01417E" w14:textId="77777777" w:rsidR="00140400" w:rsidRPr="00140400" w:rsidRDefault="00140400" w:rsidP="00140400">
      <w:pPr>
        <w:spacing w:after="0" w:line="240" w:lineRule="auto"/>
        <w:jc w:val="left"/>
        <w:rPr>
          <w:rFonts w:ascii="Times New Roman" w:hAnsi="Times New Roman"/>
          <w:bCs/>
          <w:sz w:val="20"/>
        </w:rPr>
      </w:pPr>
      <w:r w:rsidRPr="00140400">
        <w:rPr>
          <w:rFonts w:ascii="Times New Roman" w:hAnsi="Times New Roman"/>
          <w:b/>
          <w:sz w:val="20"/>
        </w:rPr>
        <w:t xml:space="preserve">Court:  </w:t>
      </w:r>
      <w:r w:rsidRPr="00140400">
        <w:rPr>
          <w:rFonts w:ascii="Times New Roman" w:hAnsi="Times New Roman"/>
          <w:sz w:val="20"/>
        </w:rPr>
        <w:t>Superior</w:t>
      </w:r>
    </w:p>
    <w:p w14:paraId="273A24FD" w14:textId="77777777" w:rsidR="00140400" w:rsidRPr="00140400" w:rsidRDefault="00140400" w:rsidP="00140400">
      <w:pPr>
        <w:spacing w:after="0" w:line="240" w:lineRule="auto"/>
        <w:jc w:val="left"/>
        <w:rPr>
          <w:rFonts w:ascii="Times New Roman" w:hAnsi="Times New Roman"/>
          <w:bCs/>
          <w:sz w:val="20"/>
        </w:rPr>
      </w:pPr>
      <w:r w:rsidRPr="00140400">
        <w:rPr>
          <w:rFonts w:ascii="Times New Roman" w:hAnsi="Times New Roman"/>
          <w:b/>
          <w:sz w:val="20"/>
        </w:rPr>
        <w:t xml:space="preserve">County:  </w:t>
      </w:r>
      <w:r w:rsidRPr="00140400">
        <w:rPr>
          <w:rFonts w:ascii="Times New Roman" w:hAnsi="Times New Roman"/>
          <w:sz w:val="20"/>
        </w:rPr>
        <w:t>Los Angeles</w:t>
      </w:r>
    </w:p>
    <w:p w14:paraId="7CA9C9CF" w14:textId="77777777" w:rsidR="00140400" w:rsidRPr="00140400" w:rsidRDefault="00140400" w:rsidP="00140400">
      <w:pPr>
        <w:spacing w:after="0" w:line="240" w:lineRule="auto"/>
        <w:ind w:left="720" w:hanging="720"/>
        <w:jc w:val="left"/>
        <w:rPr>
          <w:rFonts w:ascii="Times New Roman" w:hAnsi="Times New Roman"/>
          <w:bCs/>
          <w:sz w:val="20"/>
        </w:rPr>
      </w:pPr>
      <w:r w:rsidRPr="00140400">
        <w:rPr>
          <w:rFonts w:ascii="Times New Roman" w:hAnsi="Times New Roman"/>
          <w:b/>
          <w:sz w:val="20"/>
        </w:rPr>
        <w:t xml:space="preserve">Judge:  </w:t>
      </w:r>
      <w:r w:rsidRPr="00140400">
        <w:rPr>
          <w:rFonts w:ascii="Times New Roman" w:hAnsi="Times New Roman"/>
          <w:sz w:val="20"/>
        </w:rPr>
        <w:t>William P. Barry</w:t>
      </w:r>
    </w:p>
    <w:p w14:paraId="18B00A7B" w14:textId="77777777" w:rsidR="00140400" w:rsidRPr="00140400" w:rsidRDefault="00140400" w:rsidP="00140400">
      <w:pPr>
        <w:spacing w:after="0" w:line="240" w:lineRule="auto"/>
        <w:jc w:val="left"/>
        <w:rPr>
          <w:rFonts w:ascii="Times New Roman" w:hAnsi="Times New Roman"/>
          <w:b/>
          <w:sz w:val="20"/>
        </w:rPr>
      </w:pPr>
    </w:p>
    <w:p w14:paraId="348EC2F6" w14:textId="77777777" w:rsidR="00140400" w:rsidRPr="00140400" w:rsidRDefault="00140400" w:rsidP="00140400">
      <w:pPr>
        <w:spacing w:after="0" w:line="240" w:lineRule="auto"/>
        <w:jc w:val="left"/>
        <w:rPr>
          <w:rFonts w:ascii="Times New Roman" w:hAnsi="Times New Roman"/>
          <w:b/>
          <w:sz w:val="20"/>
        </w:rPr>
      </w:pPr>
      <w:r w:rsidRPr="00140400">
        <w:rPr>
          <w:rFonts w:ascii="Times New Roman" w:hAnsi="Times New Roman"/>
          <w:b/>
          <w:sz w:val="20"/>
        </w:rPr>
        <w:t>__________________________________________________________________________________</w:t>
      </w:r>
    </w:p>
    <w:p w14:paraId="63DA2CA2" w14:textId="77777777" w:rsidR="00140400" w:rsidRPr="00140400" w:rsidRDefault="00140400" w:rsidP="00140400">
      <w:pPr>
        <w:spacing w:after="0" w:line="240" w:lineRule="auto"/>
        <w:jc w:val="left"/>
        <w:rPr>
          <w:rFonts w:ascii="Times New Roman" w:hAnsi="Times New Roman"/>
          <w:b/>
          <w:sz w:val="20"/>
        </w:rPr>
      </w:pPr>
    </w:p>
    <w:p w14:paraId="43EF37D1" w14:textId="77777777" w:rsidR="00140400" w:rsidRPr="00140400" w:rsidRDefault="00140400" w:rsidP="00140400">
      <w:pPr>
        <w:spacing w:after="0" w:line="240" w:lineRule="auto"/>
        <w:jc w:val="left"/>
        <w:rPr>
          <w:rFonts w:ascii="Times New Roman" w:hAnsi="Times New Roman"/>
          <w:b/>
          <w:sz w:val="20"/>
        </w:rPr>
      </w:pPr>
      <w:r w:rsidRPr="00140400">
        <w:rPr>
          <w:rFonts w:ascii="Times New Roman" w:hAnsi="Times New Roman"/>
          <w:b/>
          <w:sz w:val="20"/>
        </w:rPr>
        <w:t>Counsel:</w:t>
      </w:r>
    </w:p>
    <w:p w14:paraId="4B3D1528" w14:textId="77777777" w:rsidR="00140400" w:rsidRPr="00140400" w:rsidRDefault="00140400" w:rsidP="00140400">
      <w:pPr>
        <w:spacing w:after="0" w:line="240" w:lineRule="auto"/>
        <w:jc w:val="left"/>
        <w:rPr>
          <w:rFonts w:ascii="Times New Roman" w:hAnsi="Times New Roman"/>
          <w:b/>
          <w:sz w:val="20"/>
        </w:rPr>
      </w:pPr>
    </w:p>
    <w:p w14:paraId="01617D45" w14:textId="77777777" w:rsidR="00140400" w:rsidRPr="00140400" w:rsidRDefault="00140400" w:rsidP="00140400">
      <w:pPr>
        <w:spacing w:after="0" w:line="240" w:lineRule="auto"/>
        <w:jc w:val="left"/>
        <w:rPr>
          <w:rFonts w:ascii="Times New Roman" w:hAnsi="Times New Roman"/>
          <w:color w:val="373739"/>
          <w:sz w:val="20"/>
          <w:shd w:val="clear" w:color="auto" w:fill="FFFFFF"/>
        </w:rPr>
      </w:pPr>
      <w:r w:rsidRPr="00140400">
        <w:rPr>
          <w:rFonts w:ascii="Times New Roman" w:hAnsi="Times New Roman"/>
          <w:color w:val="373739"/>
          <w:sz w:val="20"/>
          <w:shd w:val="clear" w:color="auto" w:fill="FFFFFF"/>
        </w:rPr>
        <w:t>Werksman Jackson Hathaway &amp; Quinn, Kelly C. Quinn and Mark W. Allen for Objector and Appellant.</w:t>
      </w:r>
      <w:r w:rsidRPr="00140400">
        <w:rPr>
          <w:rFonts w:ascii="Times New Roman" w:hAnsi="Times New Roman"/>
          <w:color w:val="373739"/>
          <w:sz w:val="20"/>
        </w:rPr>
        <w:br/>
      </w:r>
      <w:r w:rsidRPr="00140400">
        <w:rPr>
          <w:rFonts w:ascii="Times New Roman" w:hAnsi="Times New Roman"/>
          <w:color w:val="373739"/>
          <w:sz w:val="20"/>
        </w:rPr>
        <w:br/>
      </w:r>
      <w:r w:rsidRPr="00140400">
        <w:rPr>
          <w:rFonts w:ascii="Times New Roman" w:hAnsi="Times New Roman"/>
          <w:color w:val="373739"/>
          <w:sz w:val="20"/>
          <w:shd w:val="clear" w:color="auto" w:fill="FFFFFF"/>
        </w:rPr>
        <w:t>Coleman and Associates, John M. Coleman; Law Offices of Bruce T. McIntosh and Bruce T. McIntosh for Defendants and Respondents.</w:t>
      </w:r>
      <w:r w:rsidRPr="00140400">
        <w:rPr>
          <w:rFonts w:ascii="Times New Roman" w:hAnsi="Times New Roman"/>
          <w:color w:val="373739"/>
          <w:sz w:val="20"/>
        </w:rPr>
        <w:br/>
      </w:r>
    </w:p>
    <w:p w14:paraId="140F7C76" w14:textId="77777777" w:rsidR="00140400" w:rsidRPr="00140400" w:rsidRDefault="00140400" w:rsidP="00140400">
      <w:pPr>
        <w:spacing w:after="0" w:line="240" w:lineRule="auto"/>
        <w:jc w:val="left"/>
        <w:rPr>
          <w:rFonts w:ascii="Times New Roman" w:hAnsi="Times New Roman"/>
          <w:sz w:val="20"/>
        </w:rPr>
      </w:pPr>
    </w:p>
    <w:p w14:paraId="31267DC8" w14:textId="77777777" w:rsidR="00140400" w:rsidRPr="00140400" w:rsidRDefault="00140400" w:rsidP="00140400">
      <w:pPr>
        <w:spacing w:after="0" w:line="240" w:lineRule="auto"/>
        <w:jc w:val="left"/>
        <w:rPr>
          <w:rFonts w:ascii="Times New Roman" w:hAnsi="Times New Roman"/>
          <w:sz w:val="20"/>
        </w:rPr>
      </w:pPr>
    </w:p>
    <w:p w14:paraId="2CB42881" w14:textId="77777777" w:rsidR="00140400" w:rsidRPr="00140400" w:rsidRDefault="00140400" w:rsidP="00140400">
      <w:pPr>
        <w:spacing w:after="0" w:line="240" w:lineRule="auto"/>
        <w:jc w:val="left"/>
        <w:rPr>
          <w:rFonts w:ascii="Times New Roman" w:hAnsi="Times New Roman"/>
          <w:sz w:val="20"/>
        </w:rPr>
      </w:pPr>
    </w:p>
    <w:p w14:paraId="16829998" w14:textId="77777777" w:rsidR="00140400" w:rsidRPr="00140400" w:rsidRDefault="00140400" w:rsidP="00140400">
      <w:pPr>
        <w:spacing w:after="0" w:line="240" w:lineRule="auto"/>
        <w:jc w:val="left"/>
        <w:rPr>
          <w:rFonts w:ascii="Times New Roman" w:hAnsi="Times New Roman"/>
          <w:b/>
          <w:sz w:val="20"/>
        </w:rPr>
      </w:pPr>
    </w:p>
    <w:p w14:paraId="2B4B2B4F" w14:textId="77777777" w:rsidR="00140400" w:rsidRPr="00140400" w:rsidRDefault="00140400" w:rsidP="00140400">
      <w:pPr>
        <w:spacing w:after="0" w:line="240" w:lineRule="auto"/>
        <w:jc w:val="left"/>
        <w:rPr>
          <w:rFonts w:ascii="Times New Roman" w:hAnsi="Times New Roman"/>
          <w:b/>
          <w:sz w:val="20"/>
        </w:rPr>
      </w:pPr>
    </w:p>
    <w:p w14:paraId="7DC931AD" w14:textId="77777777" w:rsidR="00140400" w:rsidRPr="00140400" w:rsidRDefault="00140400" w:rsidP="00140400">
      <w:pPr>
        <w:spacing w:after="0" w:line="240" w:lineRule="auto"/>
        <w:jc w:val="left"/>
        <w:rPr>
          <w:rFonts w:ascii="Times New Roman" w:hAnsi="Times New Roman"/>
          <w:b/>
          <w:sz w:val="20"/>
        </w:rPr>
      </w:pPr>
    </w:p>
    <w:p w14:paraId="2A83B658" w14:textId="77777777" w:rsidR="00140400" w:rsidRPr="00140400" w:rsidRDefault="00140400" w:rsidP="00140400">
      <w:pPr>
        <w:spacing w:after="0" w:line="240" w:lineRule="auto"/>
        <w:jc w:val="left"/>
        <w:rPr>
          <w:rFonts w:ascii="Times New Roman" w:hAnsi="Times New Roman"/>
          <w:b/>
          <w:sz w:val="20"/>
        </w:rPr>
      </w:pPr>
      <w:r w:rsidRPr="00140400">
        <w:rPr>
          <w:rFonts w:ascii="Times New Roman" w:hAnsi="Times New Roman"/>
          <w:b/>
          <w:sz w:val="20"/>
        </w:rPr>
        <w:br w:type="page"/>
      </w:r>
    </w:p>
    <w:p w14:paraId="19F70CD6" w14:textId="77777777" w:rsidR="00140400" w:rsidRPr="00140400" w:rsidRDefault="00140400" w:rsidP="00140400">
      <w:pPr>
        <w:spacing w:after="0" w:line="240" w:lineRule="auto"/>
        <w:jc w:val="left"/>
        <w:rPr>
          <w:rFonts w:ascii="Times New Roman" w:hAnsi="Times New Roman"/>
          <w:b/>
          <w:sz w:val="20"/>
        </w:rPr>
      </w:pPr>
    </w:p>
    <w:p w14:paraId="35B4306E" w14:textId="77777777" w:rsidR="00140400" w:rsidRPr="00140400" w:rsidRDefault="00140400" w:rsidP="00140400">
      <w:pPr>
        <w:spacing w:after="0" w:line="240" w:lineRule="auto"/>
        <w:jc w:val="left"/>
        <w:rPr>
          <w:rFonts w:ascii="Times New Roman" w:hAnsi="Times New Roman"/>
          <w:b/>
          <w:sz w:val="20"/>
        </w:rPr>
      </w:pPr>
    </w:p>
    <w:p w14:paraId="5CB2B8C3" w14:textId="77777777" w:rsidR="00140400" w:rsidRPr="00140400" w:rsidRDefault="00140400" w:rsidP="00140400">
      <w:pPr>
        <w:spacing w:after="0" w:line="240" w:lineRule="auto"/>
        <w:jc w:val="left"/>
        <w:rPr>
          <w:rFonts w:ascii="Times New Roman" w:hAnsi="Times New Roman"/>
          <w:b/>
          <w:sz w:val="20"/>
        </w:rPr>
      </w:pPr>
    </w:p>
    <w:p w14:paraId="4F66F1A6" w14:textId="77777777" w:rsidR="00140400" w:rsidRPr="00140400" w:rsidRDefault="00140400" w:rsidP="00140400">
      <w:pPr>
        <w:spacing w:after="0" w:line="240" w:lineRule="auto"/>
        <w:jc w:val="left"/>
        <w:rPr>
          <w:rFonts w:ascii="Times New Roman" w:hAnsi="Times New Roman"/>
          <w:b/>
          <w:sz w:val="20"/>
        </w:rPr>
      </w:pPr>
      <w:r w:rsidRPr="00140400">
        <w:rPr>
          <w:rFonts w:ascii="Times New Roman" w:hAnsi="Times New Roman"/>
          <w:b/>
          <w:sz w:val="20"/>
        </w:rPr>
        <w:t>Counsel who argued in Supreme Court (not intended for publication with opinion):</w:t>
      </w:r>
    </w:p>
    <w:p w14:paraId="3B513ADB" w14:textId="77777777" w:rsidR="00140400" w:rsidRPr="00140400" w:rsidRDefault="00140400" w:rsidP="00140400">
      <w:pPr>
        <w:spacing w:after="0" w:line="240" w:lineRule="auto"/>
        <w:jc w:val="left"/>
        <w:rPr>
          <w:rFonts w:ascii="Times New Roman" w:hAnsi="Times New Roman"/>
          <w:b/>
          <w:sz w:val="20"/>
        </w:rPr>
      </w:pPr>
    </w:p>
    <w:p w14:paraId="364BBD53" w14:textId="77777777" w:rsidR="00140400" w:rsidRPr="00140400" w:rsidRDefault="00140400" w:rsidP="00140400">
      <w:pPr>
        <w:spacing w:after="0" w:line="240" w:lineRule="auto"/>
        <w:jc w:val="left"/>
        <w:rPr>
          <w:rFonts w:ascii="Times New Roman" w:hAnsi="Times New Roman"/>
          <w:color w:val="373739"/>
          <w:sz w:val="20"/>
          <w:shd w:val="clear" w:color="auto" w:fill="FFFFFF"/>
        </w:rPr>
      </w:pPr>
      <w:r w:rsidRPr="00140400">
        <w:rPr>
          <w:rFonts w:ascii="Times New Roman" w:hAnsi="Times New Roman"/>
          <w:color w:val="373739"/>
          <w:sz w:val="20"/>
          <w:shd w:val="clear" w:color="auto" w:fill="FFFFFF"/>
        </w:rPr>
        <w:t>Kelly C. Quinn</w:t>
      </w:r>
    </w:p>
    <w:p w14:paraId="12AAE3DC" w14:textId="77777777" w:rsidR="00140400" w:rsidRPr="00140400" w:rsidRDefault="00140400" w:rsidP="00140400">
      <w:pPr>
        <w:spacing w:after="0" w:line="240" w:lineRule="auto"/>
        <w:jc w:val="left"/>
        <w:rPr>
          <w:rFonts w:ascii="Times New Roman" w:hAnsi="Times New Roman"/>
          <w:color w:val="373739"/>
          <w:sz w:val="20"/>
          <w:shd w:val="clear" w:color="auto" w:fill="FFFFFF"/>
        </w:rPr>
      </w:pPr>
      <w:r w:rsidRPr="00140400">
        <w:rPr>
          <w:rFonts w:ascii="Times New Roman" w:hAnsi="Times New Roman"/>
          <w:color w:val="373739"/>
          <w:sz w:val="20"/>
          <w:shd w:val="clear" w:color="auto" w:fill="FFFFFF"/>
        </w:rPr>
        <w:t>Werksman Jackson Hathaway &amp; Quinn, LLP</w:t>
      </w:r>
    </w:p>
    <w:p w14:paraId="40F42612" w14:textId="77777777" w:rsidR="00140400" w:rsidRPr="00140400" w:rsidRDefault="00140400" w:rsidP="00140400">
      <w:pPr>
        <w:spacing w:after="0" w:line="240" w:lineRule="auto"/>
        <w:jc w:val="left"/>
        <w:rPr>
          <w:rFonts w:ascii="Times New Roman" w:hAnsi="Times New Roman"/>
          <w:color w:val="373739"/>
          <w:sz w:val="20"/>
          <w:shd w:val="clear" w:color="auto" w:fill="FFFFFF"/>
        </w:rPr>
      </w:pPr>
      <w:r w:rsidRPr="00140400">
        <w:rPr>
          <w:rFonts w:ascii="Times New Roman" w:hAnsi="Times New Roman"/>
          <w:color w:val="373739"/>
          <w:sz w:val="20"/>
          <w:shd w:val="clear" w:color="auto" w:fill="FFFFFF"/>
        </w:rPr>
        <w:t>888 West Sixth Street, Fourth Floor</w:t>
      </w:r>
    </w:p>
    <w:p w14:paraId="71654E63" w14:textId="77777777" w:rsidR="00140400" w:rsidRPr="00140400" w:rsidRDefault="00140400" w:rsidP="00140400">
      <w:pPr>
        <w:spacing w:after="0" w:line="240" w:lineRule="auto"/>
        <w:jc w:val="left"/>
        <w:rPr>
          <w:rFonts w:ascii="Times New Roman" w:hAnsi="Times New Roman"/>
          <w:color w:val="373739"/>
          <w:sz w:val="20"/>
          <w:shd w:val="clear" w:color="auto" w:fill="FFFFFF"/>
        </w:rPr>
      </w:pPr>
      <w:r w:rsidRPr="00140400">
        <w:rPr>
          <w:rFonts w:ascii="Times New Roman" w:hAnsi="Times New Roman"/>
          <w:color w:val="373739"/>
          <w:sz w:val="20"/>
          <w:shd w:val="clear" w:color="auto" w:fill="FFFFFF"/>
        </w:rPr>
        <w:t>Los Angeles, CA 90017</w:t>
      </w:r>
    </w:p>
    <w:p w14:paraId="567D219A" w14:textId="77777777" w:rsidR="00140400" w:rsidRPr="00140400" w:rsidRDefault="00140400" w:rsidP="00140400">
      <w:pPr>
        <w:spacing w:after="0" w:line="240" w:lineRule="auto"/>
        <w:jc w:val="left"/>
        <w:rPr>
          <w:rFonts w:ascii="Times New Roman" w:hAnsi="Times New Roman"/>
          <w:color w:val="373739"/>
          <w:sz w:val="20"/>
          <w:shd w:val="clear" w:color="auto" w:fill="FFFFFF"/>
        </w:rPr>
      </w:pPr>
      <w:r w:rsidRPr="00140400">
        <w:rPr>
          <w:rFonts w:ascii="Times New Roman" w:hAnsi="Times New Roman"/>
          <w:color w:val="373739"/>
          <w:sz w:val="20"/>
          <w:shd w:val="clear" w:color="auto" w:fill="FFFFFF"/>
        </w:rPr>
        <w:t>(213) 688-0460</w:t>
      </w:r>
    </w:p>
    <w:p w14:paraId="197EF1AE" w14:textId="77777777" w:rsidR="00140400" w:rsidRPr="00140400" w:rsidRDefault="00140400" w:rsidP="00140400">
      <w:pPr>
        <w:spacing w:after="0" w:line="240" w:lineRule="auto"/>
        <w:jc w:val="left"/>
        <w:rPr>
          <w:rFonts w:ascii="Times New Roman" w:hAnsi="Times New Roman"/>
          <w:color w:val="373739"/>
          <w:sz w:val="20"/>
          <w:shd w:val="clear" w:color="auto" w:fill="FFFFFF"/>
        </w:rPr>
      </w:pPr>
    </w:p>
    <w:p w14:paraId="360A66CB" w14:textId="77777777" w:rsidR="00140400" w:rsidRPr="00140400" w:rsidRDefault="00140400" w:rsidP="00140400">
      <w:pPr>
        <w:spacing w:after="0" w:line="240" w:lineRule="auto"/>
        <w:jc w:val="left"/>
        <w:rPr>
          <w:rFonts w:ascii="Times New Roman" w:hAnsi="Times New Roman"/>
          <w:color w:val="373739"/>
          <w:sz w:val="20"/>
          <w:shd w:val="clear" w:color="auto" w:fill="FFFFFF"/>
        </w:rPr>
      </w:pPr>
      <w:r w:rsidRPr="00140400">
        <w:rPr>
          <w:rFonts w:ascii="Times New Roman" w:hAnsi="Times New Roman"/>
          <w:color w:val="373739"/>
          <w:sz w:val="20"/>
          <w:shd w:val="clear" w:color="auto" w:fill="FFFFFF"/>
        </w:rPr>
        <w:t>Bruce T. McIntosh</w:t>
      </w:r>
    </w:p>
    <w:p w14:paraId="481657A2" w14:textId="77777777" w:rsidR="00140400" w:rsidRPr="00140400" w:rsidRDefault="00140400" w:rsidP="00140400">
      <w:pPr>
        <w:spacing w:after="0" w:line="240" w:lineRule="auto"/>
        <w:jc w:val="left"/>
        <w:rPr>
          <w:rFonts w:ascii="Times New Roman" w:hAnsi="Times New Roman"/>
          <w:color w:val="373739"/>
          <w:sz w:val="20"/>
          <w:shd w:val="clear" w:color="auto" w:fill="FFFFFF"/>
        </w:rPr>
      </w:pPr>
      <w:r w:rsidRPr="00140400">
        <w:rPr>
          <w:rFonts w:ascii="Times New Roman" w:hAnsi="Times New Roman"/>
          <w:color w:val="373739"/>
          <w:sz w:val="20"/>
          <w:shd w:val="clear" w:color="auto" w:fill="FFFFFF"/>
        </w:rPr>
        <w:t>Law Offices of Bruce T. McIntosh</w:t>
      </w:r>
    </w:p>
    <w:p w14:paraId="1C2CAC2F" w14:textId="77777777" w:rsidR="00140400" w:rsidRPr="00140400" w:rsidRDefault="00140400" w:rsidP="00140400">
      <w:pPr>
        <w:spacing w:after="0" w:line="240" w:lineRule="auto"/>
        <w:jc w:val="left"/>
        <w:rPr>
          <w:rFonts w:ascii="Times New Roman" w:hAnsi="Times New Roman"/>
          <w:color w:val="373739"/>
          <w:sz w:val="20"/>
          <w:shd w:val="clear" w:color="auto" w:fill="FFFFFF"/>
        </w:rPr>
      </w:pPr>
      <w:r w:rsidRPr="00140400">
        <w:rPr>
          <w:rFonts w:ascii="Times New Roman" w:hAnsi="Times New Roman"/>
          <w:color w:val="373739"/>
          <w:sz w:val="20"/>
          <w:shd w:val="clear" w:color="auto" w:fill="FFFFFF"/>
        </w:rPr>
        <w:t>1055 E. Colorado Blvd., #500</w:t>
      </w:r>
    </w:p>
    <w:p w14:paraId="78D641BD" w14:textId="77777777" w:rsidR="00140400" w:rsidRPr="00140400" w:rsidRDefault="00140400" w:rsidP="00140400">
      <w:pPr>
        <w:spacing w:after="0" w:line="240" w:lineRule="auto"/>
        <w:jc w:val="left"/>
        <w:rPr>
          <w:rFonts w:ascii="Times New Roman" w:hAnsi="Times New Roman"/>
          <w:color w:val="373739"/>
          <w:sz w:val="20"/>
          <w:shd w:val="clear" w:color="auto" w:fill="FFFFFF"/>
        </w:rPr>
      </w:pPr>
      <w:r w:rsidRPr="00140400">
        <w:rPr>
          <w:rFonts w:ascii="Times New Roman" w:hAnsi="Times New Roman"/>
          <w:color w:val="373739"/>
          <w:sz w:val="20"/>
          <w:shd w:val="clear" w:color="auto" w:fill="FFFFFF"/>
        </w:rPr>
        <w:t xml:space="preserve">Pasadena, CA 91106 </w:t>
      </w:r>
    </w:p>
    <w:p w14:paraId="4EA4F87B" w14:textId="77777777" w:rsidR="00140400" w:rsidRPr="00140400" w:rsidRDefault="00140400" w:rsidP="00140400">
      <w:pPr>
        <w:spacing w:after="0" w:line="240" w:lineRule="auto"/>
        <w:jc w:val="left"/>
        <w:rPr>
          <w:rFonts w:ascii="Times New Roman" w:hAnsi="Times New Roman"/>
          <w:sz w:val="20"/>
        </w:rPr>
      </w:pPr>
      <w:r w:rsidRPr="00140400">
        <w:rPr>
          <w:rFonts w:ascii="Times New Roman" w:hAnsi="Times New Roman"/>
          <w:color w:val="373739"/>
          <w:sz w:val="20"/>
          <w:shd w:val="clear" w:color="auto" w:fill="FFFFFF"/>
        </w:rPr>
        <w:t>(626) 201-6717</w:t>
      </w:r>
    </w:p>
    <w:p w14:paraId="6F57049C" w14:textId="7AA7D768" w:rsidR="002D6EEA" w:rsidRPr="00EF5A3A" w:rsidRDefault="002D6EEA" w:rsidP="00EF5A3A">
      <w:pPr>
        <w:rPr>
          <w:b/>
          <w:szCs w:val="26"/>
        </w:rPr>
      </w:pPr>
    </w:p>
    <w:sectPr w:rsidR="002D6EEA" w:rsidRPr="00EF5A3A">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1F317" w14:textId="77777777" w:rsidR="00857E99" w:rsidRDefault="00857E99">
      <w:r>
        <w:separator/>
      </w:r>
    </w:p>
  </w:endnote>
  <w:endnote w:type="continuationSeparator" w:id="0">
    <w:p w14:paraId="143E08DF" w14:textId="77777777" w:rsidR="00857E99" w:rsidRDefault="0085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69DA4" w14:textId="77777777" w:rsidR="007A1666" w:rsidRDefault="007A16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9990F8F" w14:textId="77777777" w:rsidR="007A1666" w:rsidRDefault="007A1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B7003" w14:textId="6FA991FD" w:rsidR="007A1666" w:rsidRDefault="007A1666" w:rsidP="00201C0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14:paraId="1A2EC53F" w14:textId="430A7B5D" w:rsidR="007A1666" w:rsidRDefault="007A16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60A77" w14:textId="77777777" w:rsidR="00EF5A3A" w:rsidRDefault="00EF5A3A">
    <w:pPr>
      <w:pStyle w:val="Footer"/>
    </w:pPr>
    <w: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C0D96" w14:textId="77777777" w:rsidR="007E6825" w:rsidRDefault="00E776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13C00" w14:textId="77777777" w:rsidR="007E6825" w:rsidRDefault="00E776F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65EFF" w14:textId="77777777" w:rsidR="007E6825" w:rsidRDefault="00E77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1B1E1" w14:textId="77777777" w:rsidR="00857E99" w:rsidRDefault="00857E99">
      <w:r>
        <w:separator/>
      </w:r>
    </w:p>
  </w:footnote>
  <w:footnote w:type="continuationSeparator" w:id="0">
    <w:p w14:paraId="51BFF355" w14:textId="77777777" w:rsidR="00857E99" w:rsidRDefault="00857E99">
      <w:pPr>
        <w:rPr>
          <w:sz w:val="22"/>
        </w:rPr>
      </w:pPr>
      <w:r>
        <w:continuationSeparator/>
      </w:r>
    </w:p>
  </w:footnote>
  <w:footnote w:type="continuationNotice" w:id="1">
    <w:p w14:paraId="75A62D0D" w14:textId="77777777" w:rsidR="00857E99" w:rsidRDefault="00857E99" w:rsidP="00734CF0">
      <w:pPr>
        <w:rPr>
          <w:i/>
          <w:sz w:val="20"/>
        </w:rPr>
      </w:pPr>
    </w:p>
  </w:footnote>
  <w:footnote w:id="2">
    <w:p w14:paraId="7DAF3D31" w14:textId="76E56645" w:rsidR="007A1666" w:rsidRDefault="007A1666" w:rsidP="00EF5A3A">
      <w:pPr>
        <w:pStyle w:val="FootnoteText"/>
      </w:pPr>
      <w:r>
        <w:rPr>
          <w:rStyle w:val="FootnoteReference"/>
        </w:rPr>
        <w:footnoteRef/>
      </w:r>
      <w:r>
        <w:t xml:space="preserve"> </w:t>
      </w:r>
      <w:r>
        <w:tab/>
        <w:t xml:space="preserve">Code of Civil Procedure </w:t>
      </w:r>
      <w:r w:rsidRPr="00EC4B2C">
        <w:t>section 904.1, subdivision (a)(11)</w:t>
      </w:r>
      <w:r>
        <w:t xml:space="preserve">, </w:t>
      </w:r>
      <w:r w:rsidRPr="00EC4B2C">
        <w:t>authoriz</w:t>
      </w:r>
      <w:r>
        <w:t xml:space="preserve">es an </w:t>
      </w:r>
      <w:r w:rsidRPr="00EC4B2C">
        <w:t>appeal “from an interlocutory judgment directing payment of monetary sanctions by a party or an attorney for a party if the amount exceeds [$5,000]</w:t>
      </w:r>
      <w:r>
        <w:t>.</w:t>
      </w:r>
      <w:r w:rsidRPr="00EC4B2C">
        <w:t xml:space="preserve">” </w:t>
      </w:r>
      <w:r>
        <w:t xml:space="preserve"> Both parties acknowledge that the sanctions order at issue in this case is appealable under subdivision (a)(11).</w:t>
      </w:r>
    </w:p>
  </w:footnote>
  <w:footnote w:id="3">
    <w:p w14:paraId="519F765A" w14:textId="16BCC233" w:rsidR="00E2038E" w:rsidRDefault="00E2038E">
      <w:pPr>
        <w:pStyle w:val="FootnoteText"/>
      </w:pPr>
      <w:r>
        <w:rPr>
          <w:rStyle w:val="FootnoteReference"/>
        </w:rPr>
        <w:footnoteRef/>
      </w:r>
      <w:r>
        <w:t xml:space="preserve"> </w:t>
      </w:r>
      <w:r>
        <w:tab/>
        <w:t>All further references</w:t>
      </w:r>
      <w:r w:rsidR="00C523EC">
        <w:t xml:space="preserve"> to</w:t>
      </w:r>
      <w:r w:rsidR="00D7750B">
        <w:t xml:space="preserve"> </w:t>
      </w:r>
      <w:r w:rsidR="00C523EC">
        <w:t>rule</w:t>
      </w:r>
      <w:r w:rsidR="00D7750B">
        <w:t>s</w:t>
      </w:r>
      <w:r>
        <w:t xml:space="preserve"> are to the California Rules of Court. </w:t>
      </w:r>
    </w:p>
  </w:footnote>
  <w:footnote w:id="4">
    <w:p w14:paraId="420FF29F" w14:textId="793D881D" w:rsidR="00A85DB6" w:rsidRDefault="00A85DB6" w:rsidP="00EF5A3A">
      <w:pPr>
        <w:pStyle w:val="FootnoteText"/>
      </w:pPr>
      <w:r>
        <w:rPr>
          <w:rStyle w:val="FootnoteReference"/>
        </w:rPr>
        <w:footnoteRef/>
      </w:r>
      <w:r>
        <w:t xml:space="preserve"> </w:t>
      </w:r>
      <w:r>
        <w:tab/>
        <w:t xml:space="preserve">California </w:t>
      </w:r>
      <w:r w:rsidRPr="000F716B">
        <w:t>Rule</w:t>
      </w:r>
      <w:r>
        <w:t>s of Court, rule</w:t>
      </w:r>
      <w:r w:rsidRPr="000F716B">
        <w:t xml:space="preserve"> 8.104</w:t>
      </w:r>
      <w:r>
        <w:t xml:space="preserve">(a) </w:t>
      </w:r>
      <w:r w:rsidRPr="000F716B">
        <w:t xml:space="preserve">sets forth the requirements governing when a notice of appeal must be filed, </w:t>
      </w:r>
      <w:r>
        <w:t xml:space="preserve">typically </w:t>
      </w:r>
      <w:r w:rsidRPr="000F716B">
        <w:t xml:space="preserve">the earliest of 60 days after service of </w:t>
      </w:r>
      <w:r>
        <w:t xml:space="preserve">the </w:t>
      </w:r>
      <w:r w:rsidRPr="000F716B">
        <w:t>notice of entry of</w:t>
      </w:r>
      <w:r>
        <w:t xml:space="preserve"> the appealable order or</w:t>
      </w:r>
      <w:r w:rsidRPr="000F716B">
        <w:t xml:space="preserve"> judgment, or 180 days after entry of</w:t>
      </w:r>
      <w:r>
        <w:t xml:space="preserve"> the order or</w:t>
      </w:r>
      <w:r w:rsidRPr="000F716B">
        <w:t xml:space="preserve"> judgment.  There is no dispute that the notice in this case was</w:t>
      </w:r>
      <w:r>
        <w:t xml:space="preserve"> filed in a</w:t>
      </w:r>
      <w:r w:rsidRPr="000F716B">
        <w:t xml:space="preserve"> </w:t>
      </w:r>
      <w:r>
        <w:t>timely manner</w:t>
      </w:r>
      <w:r w:rsidRPr="000F716B">
        <w:t>.</w:t>
      </w:r>
    </w:p>
  </w:footnote>
  <w:footnote w:id="5">
    <w:p w14:paraId="46CB80EE" w14:textId="301E5737" w:rsidR="007A1666" w:rsidRDefault="007A1666" w:rsidP="00EF5A3A">
      <w:pPr>
        <w:pStyle w:val="NoSpacing"/>
        <w:spacing w:after="100" w:line="300" w:lineRule="exact"/>
      </w:pPr>
      <w:r w:rsidRPr="00A06F63">
        <w:rPr>
          <w:rStyle w:val="FootnoteReference"/>
          <w:szCs w:val="27"/>
        </w:rPr>
        <w:footnoteRef/>
      </w:r>
      <w:r w:rsidRPr="00A06F63">
        <w:rPr>
          <w:sz w:val="27"/>
          <w:szCs w:val="27"/>
        </w:rPr>
        <w:t xml:space="preserve"> </w:t>
      </w:r>
      <w:r w:rsidRPr="00A06F63">
        <w:rPr>
          <w:sz w:val="27"/>
          <w:szCs w:val="27"/>
        </w:rPr>
        <w:tab/>
      </w:r>
      <w:r w:rsidRPr="00A06F63">
        <w:rPr>
          <w:rFonts w:ascii="Century Schoolbook" w:hAnsi="Century Schoolbook"/>
          <w:sz w:val="27"/>
          <w:szCs w:val="27"/>
        </w:rPr>
        <w:t xml:space="preserve">B. E. Witkin, who drafted the </w:t>
      </w:r>
      <w:r w:rsidR="00353090" w:rsidRPr="00A06F63">
        <w:rPr>
          <w:rFonts w:ascii="Century Schoolbook" w:hAnsi="Century Schoolbook"/>
          <w:sz w:val="27"/>
          <w:szCs w:val="27"/>
        </w:rPr>
        <w:t>original</w:t>
      </w:r>
      <w:r w:rsidRPr="00A06F63">
        <w:rPr>
          <w:rFonts w:ascii="Century Schoolbook" w:hAnsi="Century Schoolbook"/>
          <w:sz w:val="27"/>
          <w:szCs w:val="27"/>
        </w:rPr>
        <w:t xml:space="preserve"> Rules on Appeal (see </w:t>
      </w:r>
      <w:r w:rsidRPr="00A06F63">
        <w:rPr>
          <w:rFonts w:ascii="Century Schoolbook" w:hAnsi="Century Schoolbook"/>
          <w:i/>
          <w:iCs/>
          <w:sz w:val="27"/>
          <w:szCs w:val="27"/>
        </w:rPr>
        <w:t>ante</w:t>
      </w:r>
      <w:r w:rsidRPr="00A06F63">
        <w:rPr>
          <w:rFonts w:ascii="Century Schoolbook" w:hAnsi="Century Schoolbook"/>
          <w:sz w:val="27"/>
          <w:szCs w:val="27"/>
        </w:rPr>
        <w:t xml:space="preserve">, at p. </w:t>
      </w:r>
      <w:r w:rsidR="006231AA" w:rsidRPr="00A06F63">
        <w:rPr>
          <w:rFonts w:ascii="Century Schoolbook" w:hAnsi="Century Schoolbook"/>
          <w:sz w:val="27"/>
          <w:szCs w:val="27"/>
        </w:rPr>
        <w:t>7</w:t>
      </w:r>
      <w:r w:rsidRPr="00A06F63">
        <w:rPr>
          <w:rFonts w:ascii="Century Schoolbook" w:hAnsi="Century Schoolbook"/>
          <w:sz w:val="27"/>
          <w:szCs w:val="27"/>
        </w:rPr>
        <w:t>), appears to have anticipated that, in appropriate cases, the rule of liberal construction would be utilized to remedy defects in the notice’s description of the appealing parties.  Witkin noted that former rule 1(a)’s requirement that “</w:t>
      </w:r>
      <w:r w:rsidR="00D7750B" w:rsidRPr="00A06F63">
        <w:rPr>
          <w:rFonts w:ascii="Century Schoolbook" w:hAnsi="Century Schoolbook"/>
          <w:sz w:val="27"/>
          <w:szCs w:val="27"/>
        </w:rPr>
        <w:t> ‘</w:t>
      </w:r>
      <w:r w:rsidRPr="00A06F63">
        <w:rPr>
          <w:rFonts w:ascii="Century Schoolbook" w:hAnsi="Century Schoolbook"/>
          <w:sz w:val="27"/>
          <w:szCs w:val="27"/>
        </w:rPr>
        <w:t>[a] notice of appeal shall be liberally construed in favor of its sufficiency</w:t>
      </w:r>
      <w:r w:rsidR="00D7750B" w:rsidRPr="00A06F63">
        <w:rPr>
          <w:rFonts w:ascii="Century Schoolbook" w:hAnsi="Century Schoolbook"/>
          <w:sz w:val="27"/>
          <w:szCs w:val="27"/>
        </w:rPr>
        <w:t>’ </w:t>
      </w:r>
      <w:r w:rsidRPr="00A06F63">
        <w:rPr>
          <w:rFonts w:ascii="Century Schoolbook" w:hAnsi="Century Schoolbook"/>
          <w:sz w:val="27"/>
          <w:szCs w:val="27"/>
        </w:rPr>
        <w:t>” was intended to reflect “the rule of liberal construction declared in a number of cases</w:t>
      </w:r>
      <w:bookmarkStart w:id="10" w:name="_Hlk15563118"/>
      <w:r w:rsidRPr="00A06F63">
        <w:rPr>
          <w:rFonts w:ascii="Century Schoolbook" w:hAnsi="Century Schoolbook"/>
          <w:sz w:val="27"/>
          <w:szCs w:val="27"/>
        </w:rPr>
        <w:t>.”  (</w:t>
      </w:r>
      <w:r w:rsidRPr="00A06F63">
        <w:rPr>
          <w:rFonts w:ascii="Century Schoolbook" w:hAnsi="Century Schoolbook"/>
          <w:i/>
          <w:iCs/>
          <w:sz w:val="27"/>
          <w:szCs w:val="27"/>
        </w:rPr>
        <w:t>New California Rules on Appeal</w:t>
      </w:r>
      <w:r w:rsidRPr="00A06F63">
        <w:rPr>
          <w:rFonts w:ascii="Century Schoolbook" w:hAnsi="Century Schoolbook"/>
          <w:sz w:val="27"/>
          <w:szCs w:val="27"/>
        </w:rPr>
        <w:t xml:space="preserve">, </w:t>
      </w:r>
      <w:r w:rsidRPr="00A06F63">
        <w:rPr>
          <w:rFonts w:ascii="Century Schoolbook" w:hAnsi="Century Schoolbook"/>
          <w:i/>
          <w:iCs/>
          <w:sz w:val="27"/>
          <w:szCs w:val="27"/>
        </w:rPr>
        <w:t>supra</w:t>
      </w:r>
      <w:r w:rsidRPr="00A06F63">
        <w:rPr>
          <w:rFonts w:ascii="Century Schoolbook" w:hAnsi="Century Schoolbook"/>
          <w:sz w:val="27"/>
          <w:szCs w:val="27"/>
        </w:rPr>
        <w:t>, 17 So.Cal.</w:t>
      </w:r>
      <w:r w:rsidR="0033062A">
        <w:rPr>
          <w:rFonts w:ascii="Century Schoolbook" w:hAnsi="Century Schoolbook"/>
          <w:sz w:val="27"/>
          <w:szCs w:val="27"/>
        </w:rPr>
        <w:t xml:space="preserve"> </w:t>
      </w:r>
      <w:r w:rsidRPr="00A06F63">
        <w:rPr>
          <w:rFonts w:ascii="Century Schoolbook" w:hAnsi="Century Schoolbook"/>
          <w:sz w:val="27"/>
          <w:szCs w:val="27"/>
        </w:rPr>
        <w:t>L.Rev. at p</w:t>
      </w:r>
      <w:bookmarkEnd w:id="10"/>
      <w:r w:rsidRPr="00A06F63">
        <w:rPr>
          <w:rFonts w:ascii="Century Schoolbook" w:hAnsi="Century Schoolbook"/>
          <w:sz w:val="27"/>
          <w:szCs w:val="27"/>
        </w:rPr>
        <w:t xml:space="preserve">. 82.)  In support, Witkin cited to several cases that had previously applied the rule, including </w:t>
      </w:r>
      <w:r w:rsidRPr="00A06F63">
        <w:rPr>
          <w:rFonts w:ascii="Century Schoolbook" w:hAnsi="Century Schoolbook"/>
          <w:i/>
          <w:iCs/>
          <w:sz w:val="27"/>
          <w:szCs w:val="27"/>
        </w:rPr>
        <w:t>Poggetto v. Bowen</w:t>
      </w:r>
      <w:r w:rsidRPr="00A06F63">
        <w:rPr>
          <w:rFonts w:ascii="Century Schoolbook" w:hAnsi="Century Schoolbook"/>
          <w:sz w:val="27"/>
          <w:szCs w:val="27"/>
        </w:rPr>
        <w:t xml:space="preserve"> (1936) 18 Cal.App.2d 173 (</w:t>
      </w:r>
      <w:r w:rsidRPr="00A06F63">
        <w:rPr>
          <w:rFonts w:ascii="Century Schoolbook" w:hAnsi="Century Schoolbook"/>
          <w:i/>
          <w:iCs/>
          <w:sz w:val="27"/>
          <w:szCs w:val="27"/>
        </w:rPr>
        <w:t>Poggetto</w:t>
      </w:r>
      <w:r w:rsidRPr="00A06F63">
        <w:rPr>
          <w:rFonts w:ascii="Century Schoolbook" w:hAnsi="Century Schoolbook"/>
          <w:sz w:val="27"/>
          <w:szCs w:val="27"/>
        </w:rPr>
        <w:t xml:space="preserve">), in which the reviewing court construed a notice of appeal that mistakenly identified the defendant as the appellant to have been brought on behalf of the plaintiff.  </w:t>
      </w:r>
      <w:r w:rsidRPr="00A06F63">
        <w:rPr>
          <w:rFonts w:ascii="Century Schoolbook" w:hAnsi="Century Schoolbook"/>
          <w:i/>
          <w:iCs/>
          <w:sz w:val="27"/>
          <w:szCs w:val="27"/>
        </w:rPr>
        <w:t>Poggetto</w:t>
      </w:r>
      <w:r w:rsidRPr="00A06F63">
        <w:rPr>
          <w:rFonts w:ascii="Century Schoolbook" w:hAnsi="Century Schoolbook"/>
          <w:sz w:val="27"/>
          <w:szCs w:val="27"/>
        </w:rPr>
        <w:t xml:space="preserve"> included citations to </w:t>
      </w:r>
      <w:r w:rsidRPr="00A06F63">
        <w:rPr>
          <w:rFonts w:ascii="Century Schoolbook" w:hAnsi="Century Schoolbook"/>
          <w:i/>
          <w:iCs/>
          <w:sz w:val="27"/>
          <w:szCs w:val="27"/>
        </w:rPr>
        <w:t>Chung Sing</w:t>
      </w:r>
      <w:r w:rsidRPr="00A06F63">
        <w:rPr>
          <w:rFonts w:ascii="Century Schoolbook" w:hAnsi="Century Schoolbook"/>
          <w:iCs/>
          <w:sz w:val="27"/>
          <w:szCs w:val="27"/>
        </w:rPr>
        <w:t xml:space="preserve">, </w:t>
      </w:r>
      <w:r w:rsidRPr="00A06F63">
        <w:rPr>
          <w:rFonts w:ascii="Century Schoolbook" w:hAnsi="Century Schoolbook"/>
          <w:i/>
          <w:iCs/>
          <w:color w:val="000000" w:themeColor="text1"/>
          <w:sz w:val="27"/>
          <w:szCs w:val="27"/>
        </w:rPr>
        <w:t>supra</w:t>
      </w:r>
      <w:r w:rsidRPr="00A06F63">
        <w:rPr>
          <w:rFonts w:ascii="Century Schoolbook" w:hAnsi="Century Schoolbook"/>
          <w:iCs/>
          <w:color w:val="000000" w:themeColor="text1"/>
          <w:sz w:val="27"/>
          <w:szCs w:val="27"/>
        </w:rPr>
        <w:t>, 178 Cal. 261</w:t>
      </w:r>
      <w:r w:rsidRPr="00A06F63">
        <w:rPr>
          <w:rFonts w:ascii="Century Schoolbook" w:hAnsi="Century Schoolbook"/>
          <w:iCs/>
          <w:sz w:val="27"/>
          <w:szCs w:val="27"/>
        </w:rPr>
        <w:t xml:space="preserve">, </w:t>
      </w:r>
      <w:r w:rsidRPr="00A06F63">
        <w:rPr>
          <w:rFonts w:ascii="Century Schoolbook" w:hAnsi="Century Schoolbook"/>
          <w:sz w:val="27"/>
          <w:szCs w:val="27"/>
        </w:rPr>
        <w:t>and other cases that had applied the rule to remedy errors in the notice’s designation of the parties.  (</w:t>
      </w:r>
      <w:r w:rsidRPr="00A06F63">
        <w:rPr>
          <w:rFonts w:ascii="Century Schoolbook" w:hAnsi="Century Schoolbook"/>
          <w:i/>
          <w:sz w:val="27"/>
          <w:szCs w:val="27"/>
        </w:rPr>
        <w:t>Po</w:t>
      </w:r>
      <w:r w:rsidR="006231AA" w:rsidRPr="00A06F63">
        <w:rPr>
          <w:rFonts w:ascii="Century Schoolbook" w:hAnsi="Century Schoolbook"/>
          <w:i/>
          <w:sz w:val="27"/>
          <w:szCs w:val="27"/>
        </w:rPr>
        <w:t>g</w:t>
      </w:r>
      <w:r w:rsidRPr="00A06F63">
        <w:rPr>
          <w:rFonts w:ascii="Century Schoolbook" w:hAnsi="Century Schoolbook"/>
          <w:i/>
          <w:sz w:val="27"/>
          <w:szCs w:val="27"/>
        </w:rPr>
        <w:t>getto</w:t>
      </w:r>
      <w:r w:rsidRPr="00A06F63">
        <w:rPr>
          <w:rFonts w:ascii="Century Schoolbook" w:hAnsi="Century Schoolbook"/>
          <w:sz w:val="27"/>
          <w:szCs w:val="27"/>
        </w:rPr>
        <w:t xml:space="preserve">, at p. 176.)   </w:t>
      </w:r>
    </w:p>
  </w:footnote>
  <w:footnote w:id="6">
    <w:p w14:paraId="081DF551" w14:textId="788E2075" w:rsidR="007A1666" w:rsidRDefault="007A1666" w:rsidP="00EF5A3A">
      <w:pPr>
        <w:pStyle w:val="FootnoteText"/>
      </w:pPr>
      <w:r>
        <w:rPr>
          <w:rStyle w:val="FootnoteReference"/>
        </w:rPr>
        <w:footnoteRef/>
      </w:r>
      <w:r>
        <w:t xml:space="preserve"> </w:t>
      </w:r>
      <w:r>
        <w:tab/>
      </w:r>
      <w:bookmarkStart w:id="12" w:name="_Hlk16583938"/>
      <w:r>
        <w:t>Although LAUSD contends that construing a notice of appeal that identifies a nonappealable order to include the underlying judgment is “far different” than construing a notice of appeal to include an omitted party, it fails to explain why those circumstances should be treated differently.  Where an omitted party’s intent to join in the appeal is clear from the record, the respondent suffers no more prejudice than when the notice erroneously designates a nonappealable order, but it is clear from the record that the appellant sought review of the judgment entered thereon</w:t>
      </w:r>
      <w:bookmarkEnd w:id="12"/>
      <w:r>
        <w:t xml:space="preserve">.   </w:t>
      </w:r>
    </w:p>
    <w:p w14:paraId="0058E984" w14:textId="77777777" w:rsidR="007A1666" w:rsidRDefault="007A1666" w:rsidP="00EF5A3A">
      <w:pPr>
        <w:pStyle w:val="FootnoteText"/>
      </w:pPr>
      <w:r>
        <w:t xml:space="preserve">     </w:t>
      </w:r>
    </w:p>
  </w:footnote>
  <w:footnote w:id="7">
    <w:p w14:paraId="2F4922F0" w14:textId="6D5981F8" w:rsidR="00F70B15" w:rsidRDefault="00F70B15" w:rsidP="00EF5A3A">
      <w:pPr>
        <w:pStyle w:val="FootnoteText"/>
      </w:pPr>
      <w:r>
        <w:rPr>
          <w:rStyle w:val="FootnoteReference"/>
        </w:rPr>
        <w:footnoteRef/>
      </w:r>
      <w:r>
        <w:t xml:space="preserve"> </w:t>
      </w:r>
      <w:r>
        <w:tab/>
        <w:t xml:space="preserve">To the extent they are inconsistent with this opinion, we disapprove </w:t>
      </w:r>
      <w:r w:rsidRPr="000C62D3">
        <w:rPr>
          <w:i/>
          <w:iCs/>
        </w:rPr>
        <w:t>Calhoun</w:t>
      </w:r>
      <w:r w:rsidR="00BD1340">
        <w:rPr>
          <w:i/>
          <w:iCs/>
        </w:rPr>
        <w:t xml:space="preserve"> v. Vallejo City Unified School Dist</w:t>
      </w:r>
      <w:r w:rsidR="00C60F8E">
        <w:rPr>
          <w:i/>
          <w:iCs/>
        </w:rPr>
        <w:t>.</w:t>
      </w:r>
      <w:r>
        <w:rPr>
          <w:i/>
          <w:iCs/>
        </w:rPr>
        <w:t>, supra</w:t>
      </w:r>
      <w:r>
        <w:t xml:space="preserve">, </w:t>
      </w:r>
      <w:r w:rsidRPr="000C62D3">
        <w:t>20 Cal.App.4th 39,</w:t>
      </w:r>
      <w:r>
        <w:t xml:space="preserve"> and other prior cases that suggest </w:t>
      </w:r>
      <w:r w:rsidRPr="000C62D3">
        <w:t>an attorney’s name</w:t>
      </w:r>
      <w:r>
        <w:t xml:space="preserve"> must</w:t>
      </w:r>
      <w:r w:rsidRPr="000C62D3">
        <w:t xml:space="preserve"> appear in the notice of appeal to preserve his or her right to challenge a sanctions order</w:t>
      </w:r>
      <w:r>
        <w:t xml:space="preserve">, including </w:t>
      </w:r>
      <w:r w:rsidR="00BD1340">
        <w:rPr>
          <w:i/>
          <w:iCs/>
        </w:rPr>
        <w:t>People v. I</w:t>
      </w:r>
      <w:r w:rsidRPr="000C62D3">
        <w:rPr>
          <w:i/>
          <w:iCs/>
        </w:rPr>
        <w:t>ndiana Lumbermens</w:t>
      </w:r>
      <w:r w:rsidR="00BD1340">
        <w:rPr>
          <w:i/>
          <w:iCs/>
        </w:rPr>
        <w:t xml:space="preserve"> Mutual Ins. Co.</w:t>
      </w:r>
      <w:r>
        <w:rPr>
          <w:i/>
          <w:iCs/>
        </w:rPr>
        <w:t xml:space="preserve">, supra, </w:t>
      </w:r>
      <w:r w:rsidRPr="000C62D3">
        <w:t xml:space="preserve">226 Cal.App.4th </w:t>
      </w:r>
      <w:r>
        <w:t>at p</w:t>
      </w:r>
      <w:r w:rsidR="00C21191">
        <w:t>age</w:t>
      </w:r>
      <w:r>
        <w:t xml:space="preserve"> </w:t>
      </w:r>
      <w:r w:rsidRPr="000C62D3">
        <w:t>10</w:t>
      </w:r>
      <w:r w:rsidR="00BD1340">
        <w:t>,</w:t>
      </w:r>
      <w:r>
        <w:t xml:space="preserve"> </w:t>
      </w:r>
      <w:r w:rsidR="00BD1340">
        <w:rPr>
          <w:i/>
          <w:iCs/>
        </w:rPr>
        <w:t>In re Marriage of K</w:t>
      </w:r>
      <w:r w:rsidRPr="000C62D3">
        <w:rPr>
          <w:i/>
          <w:iCs/>
        </w:rPr>
        <w:t>nowles</w:t>
      </w:r>
      <w:r>
        <w:rPr>
          <w:i/>
          <w:iCs/>
        </w:rPr>
        <w:t xml:space="preserve">, supra, </w:t>
      </w:r>
      <w:r w:rsidRPr="000C62D3">
        <w:t xml:space="preserve">178 Cal.App.4th </w:t>
      </w:r>
      <w:r>
        <w:t>at p</w:t>
      </w:r>
      <w:r w:rsidR="00C21191">
        <w:t xml:space="preserve">age </w:t>
      </w:r>
      <w:r w:rsidRPr="000C62D3">
        <w:t>38, f</w:t>
      </w:r>
      <w:r w:rsidR="00C21191">
        <w:t>ootnote</w:t>
      </w:r>
      <w:r w:rsidRPr="000C62D3">
        <w:t xml:space="preserve"> 1</w:t>
      </w:r>
      <w:r w:rsidR="00BD1340">
        <w:t>,</w:t>
      </w:r>
      <w:r w:rsidRPr="000C62D3">
        <w:t xml:space="preserve"> </w:t>
      </w:r>
      <w:r>
        <w:t xml:space="preserve">and </w:t>
      </w:r>
      <w:r w:rsidRPr="000C62D3">
        <w:rPr>
          <w:i/>
          <w:iCs/>
        </w:rPr>
        <w:t xml:space="preserve">Taylor v. Varga </w:t>
      </w:r>
      <w:r w:rsidRPr="000C62D3">
        <w:t>(1995) 37 Cal.App.4th 750, 761</w:t>
      </w:r>
      <w:r w:rsidR="002E773A">
        <w:t>–</w:t>
      </w:r>
      <w:r w:rsidRPr="000C62D3">
        <w:t>762, f</w:t>
      </w:r>
      <w:r w:rsidR="00C21191">
        <w:t>ootnote</w:t>
      </w:r>
      <w:r w:rsidRPr="000C62D3">
        <w:t xml:space="preserve"> 12</w:t>
      </w:r>
      <w:r>
        <w:t>.</w:t>
      </w:r>
    </w:p>
  </w:footnote>
  <w:footnote w:id="8">
    <w:p w14:paraId="2336668B" w14:textId="60994053" w:rsidR="007A1666" w:rsidRDefault="007A1666" w:rsidP="00EF5A3A">
      <w:pPr>
        <w:pStyle w:val="FootnoteText"/>
      </w:pPr>
      <w:r>
        <w:rPr>
          <w:rStyle w:val="FootnoteReference"/>
        </w:rPr>
        <w:footnoteRef/>
      </w:r>
      <w:r>
        <w:t xml:space="preserve"> </w:t>
      </w:r>
      <w:r>
        <w:tab/>
      </w:r>
      <w:r w:rsidRPr="00610125">
        <w:t xml:space="preserve">Although </w:t>
      </w:r>
      <w:bookmarkStart w:id="15" w:name="_Hlk26184016"/>
      <w:r w:rsidR="00056BBD">
        <w:t xml:space="preserve">the </w:t>
      </w:r>
      <w:r w:rsidRPr="00610125">
        <w:t>parties</w:t>
      </w:r>
      <w:r w:rsidR="00056BBD">
        <w:t xml:space="preserve">’ briefs include multiple references </w:t>
      </w:r>
      <w:bookmarkEnd w:id="15"/>
      <w:r w:rsidRPr="00610125">
        <w:t>to “standing</w:t>
      </w:r>
      <w:r w:rsidR="00056BBD">
        <w:t>,</w:t>
      </w:r>
      <w:r w:rsidRPr="00610125">
        <w:t>”</w:t>
      </w:r>
      <w:r w:rsidR="00D220FD">
        <w:t xml:space="preserve"> </w:t>
      </w:r>
      <w:r w:rsidRPr="00610125">
        <w:t>which is a jurisdictional requirement set forth in Code of Civil Procedure section 902 (see § 902 [“</w:t>
      </w:r>
      <w:r w:rsidR="00DF3A5A">
        <w:t>[a]</w:t>
      </w:r>
      <w:r w:rsidRPr="00610125">
        <w:t xml:space="preserve">ny party aggrieved may appeal”]; </w:t>
      </w:r>
      <w:r w:rsidRPr="00DB2C42">
        <w:rPr>
          <w:i/>
          <w:iCs/>
        </w:rPr>
        <w:t>In re K.C</w:t>
      </w:r>
      <w:r w:rsidRPr="00610125">
        <w:t xml:space="preserve">. (2011) 52 Cal.4th 231, 236 [“only a person aggrieved by a decision may appeal”]; </w:t>
      </w:r>
      <w:r w:rsidRPr="00DB2C42">
        <w:rPr>
          <w:i/>
          <w:iCs/>
        </w:rPr>
        <w:t>Marsh v. Mountain Zephyr, Inc</w:t>
      </w:r>
      <w:r w:rsidRPr="00610125">
        <w:t>. (1996) 43 Cal.App.4th 289, 295 [“</w:t>
      </w:r>
      <w:r w:rsidR="00DF3A5A">
        <w:t>[s]</w:t>
      </w:r>
      <w:r w:rsidR="00DF3A5A" w:rsidRPr="00610125">
        <w:t xml:space="preserve">tanding </w:t>
      </w:r>
      <w:r w:rsidRPr="00610125">
        <w:t>to appeal is ‘jurisdictional’</w:t>
      </w:r>
      <w:r w:rsidR="00DF3A5A">
        <w:t> </w:t>
      </w:r>
      <w:r w:rsidRPr="00610125">
        <w:t>”]), neither party disputes that Carrillo, as the sanctioned party, has standing to challenge the sanctions order</w:t>
      </w:r>
      <w:r w:rsidR="0090699A">
        <w:t>.</w:t>
      </w:r>
      <w:r w:rsidRPr="00610125">
        <w:t xml:space="preserve"> </w:t>
      </w:r>
      <w:r w:rsidR="0090699A">
        <w:t xml:space="preserve"> </w:t>
      </w:r>
      <w:r w:rsidRPr="00610125">
        <w:t>(</w:t>
      </w:r>
      <w:r w:rsidR="0090699A">
        <w:t>S</w:t>
      </w:r>
      <w:r w:rsidRPr="00610125">
        <w:t xml:space="preserve">ee </w:t>
      </w:r>
      <w:r w:rsidRPr="00DB2C42">
        <w:rPr>
          <w:i/>
          <w:iCs/>
        </w:rPr>
        <w:t>Bauguess v. Paine</w:t>
      </w:r>
      <w:r w:rsidRPr="00610125">
        <w:t xml:space="preserve"> (1978) 22 Cal.3d 626, 634</w:t>
      </w:r>
      <w:r>
        <w:t>, fn. 3 [sanctioned attorney entitled to appeal sanctions order]</w:t>
      </w:r>
      <w:r w:rsidR="0090699A">
        <w:t>.</w:t>
      </w:r>
      <w:r w:rsidRPr="00610125">
        <w:t>)</w:t>
      </w:r>
      <w:r w:rsidR="0090699A">
        <w:t xml:space="preserve">  Similarly, neither party has argued that </w:t>
      </w:r>
      <w:r w:rsidRPr="00610125">
        <w:t xml:space="preserve">K.J., whose rights were not affected by the order, does </w:t>
      </w:r>
      <w:r w:rsidR="0090699A">
        <w:t>have standing to appeal</w:t>
      </w:r>
      <w:r w:rsidRPr="00610125">
        <w:t xml:space="preserve">.  </w:t>
      </w:r>
      <w:r w:rsidR="0090699A">
        <w:t>Thus</w:t>
      </w:r>
      <w:r w:rsidRPr="00610125">
        <w:t>, th</w:t>
      </w:r>
      <w:r>
        <w:t xml:space="preserve">is case does not </w:t>
      </w:r>
      <w:r w:rsidR="0090699A">
        <w:t xml:space="preserve">actually </w:t>
      </w:r>
      <w:r>
        <w:t xml:space="preserve">present any </w:t>
      </w:r>
      <w:r w:rsidR="00D220FD">
        <w:t>issue</w:t>
      </w:r>
      <w:r w:rsidR="0090699A">
        <w:t xml:space="preserve"> </w:t>
      </w:r>
      <w:r>
        <w:t xml:space="preserve">of </w:t>
      </w:r>
      <w:r w:rsidRPr="00610125">
        <w:t xml:space="preserve">standing.  Rather, the </w:t>
      </w:r>
      <w:r>
        <w:t xml:space="preserve">issue </w:t>
      </w:r>
      <w:r w:rsidRPr="00610125">
        <w:t>in dispute is whether a notice</w:t>
      </w:r>
      <w:r>
        <w:t xml:space="preserve"> of appeal</w:t>
      </w:r>
      <w:r w:rsidRPr="00610125">
        <w:t xml:space="preserve"> </w:t>
      </w:r>
      <w:r w:rsidR="007F00C2">
        <w:t>from</w:t>
      </w:r>
      <w:r>
        <w:t xml:space="preserve"> a sanctions order that is </w:t>
      </w:r>
      <w:r w:rsidRPr="00610125">
        <w:t xml:space="preserve">brought </w:t>
      </w:r>
      <w:r>
        <w:t xml:space="preserve">only </w:t>
      </w:r>
      <w:r w:rsidRPr="00610125">
        <w:t xml:space="preserve">in the name of a client can be construed to include </w:t>
      </w:r>
      <w:r w:rsidR="007F00C2">
        <w:t xml:space="preserve">the client’s </w:t>
      </w:r>
      <w:r>
        <w:t xml:space="preserve">sanctioned </w:t>
      </w:r>
      <w:r w:rsidRPr="00610125">
        <w:t>attorney.</w:t>
      </w:r>
    </w:p>
  </w:footnote>
  <w:footnote w:id="9">
    <w:p w14:paraId="52DD7333" w14:textId="7111A4EC" w:rsidR="001339AC" w:rsidRDefault="007A1666" w:rsidP="00EF5A3A">
      <w:pPr>
        <w:pStyle w:val="FootnoteText"/>
      </w:pPr>
      <w:r>
        <w:rPr>
          <w:rStyle w:val="FootnoteReference"/>
        </w:rPr>
        <w:footnoteRef/>
      </w:r>
      <w:r>
        <w:t xml:space="preserve"> </w:t>
      </w:r>
      <w:r>
        <w:tab/>
      </w:r>
      <w:r w:rsidR="00810D1E">
        <w:t>I</w:t>
      </w:r>
      <w:r>
        <w:t>n response to question</w:t>
      </w:r>
      <w:r w:rsidR="00DE6558">
        <w:t>ing</w:t>
      </w:r>
      <w:r>
        <w:t xml:space="preserve"> at oral argument,</w:t>
      </w:r>
      <w:r w:rsidR="00FE2EFC">
        <w:t xml:space="preserve"> </w:t>
      </w:r>
      <w:r>
        <w:t xml:space="preserve">LAUSD contended for the first time that it </w:t>
      </w:r>
      <w:r w:rsidR="00FE2EFC">
        <w:t>had been prejudiced because, i</w:t>
      </w:r>
      <w:r>
        <w:t>f the notice</w:t>
      </w:r>
      <w:r w:rsidR="009E0B33">
        <w:t xml:space="preserve"> of appeal</w:t>
      </w:r>
      <w:r>
        <w:t xml:space="preserve"> </w:t>
      </w:r>
      <w:r w:rsidR="001339AC">
        <w:t>is</w:t>
      </w:r>
      <w:r w:rsidR="00FE2EFC">
        <w:t xml:space="preserve"> now </w:t>
      </w:r>
      <w:r>
        <w:t>construed</w:t>
      </w:r>
      <w:r w:rsidR="001339AC">
        <w:t xml:space="preserve"> to include </w:t>
      </w:r>
      <w:r w:rsidR="00FE2EFC">
        <w:t xml:space="preserve">Carrillo, he would then </w:t>
      </w:r>
      <w:r w:rsidR="00DE6558">
        <w:t>be</w:t>
      </w:r>
      <w:r w:rsidR="00FE2EFC">
        <w:t xml:space="preserve"> able to present the </w:t>
      </w:r>
      <w:r w:rsidR="00DE6558">
        <w:t xml:space="preserve">merits of his </w:t>
      </w:r>
      <w:r w:rsidR="00810D1E">
        <w:t>claims</w:t>
      </w:r>
      <w:r w:rsidR="00FE2EFC">
        <w:t xml:space="preserve">, </w:t>
      </w:r>
      <w:r w:rsidR="00663554">
        <w:t xml:space="preserve">which could result in </w:t>
      </w:r>
      <w:r w:rsidR="00FE2EFC">
        <w:t>a reversal of the sanctions order</w:t>
      </w:r>
      <w:r w:rsidR="00DE6558">
        <w:t>.  LAUSD has presented no authority</w:t>
      </w:r>
      <w:r w:rsidR="00FE2EFC">
        <w:t xml:space="preserve"> </w:t>
      </w:r>
      <w:r w:rsidR="009E0B33">
        <w:t>suggesting that</w:t>
      </w:r>
      <w:r w:rsidR="00663554">
        <w:t>, in this context,</w:t>
      </w:r>
      <w:r w:rsidR="009E0B33">
        <w:t xml:space="preserve"> allowing an opposing party to present the merits of </w:t>
      </w:r>
      <w:r w:rsidR="007F00C2">
        <w:t>his or her</w:t>
      </w:r>
      <w:r w:rsidR="009E0B33">
        <w:t xml:space="preserve"> appeal qualifies as a cognizable form of “prejudice</w:t>
      </w:r>
      <w:r w:rsidR="001339AC">
        <w:t>.</w:t>
      </w:r>
      <w:r w:rsidR="009E0B33">
        <w:t>”</w:t>
      </w:r>
      <w:r w:rsidR="001339AC">
        <w:t xml:space="preserve">  </w:t>
      </w:r>
      <w:r w:rsidR="007F00C2">
        <w:t>U</w:t>
      </w:r>
      <w:r w:rsidR="009E0B33">
        <w:t>nder LAUSD’s rationale,</w:t>
      </w:r>
      <w:r w:rsidR="00810D1E">
        <w:t xml:space="preserve"> prejudice</w:t>
      </w:r>
      <w:r w:rsidR="009E0B33">
        <w:t xml:space="preserve"> </w:t>
      </w:r>
      <w:r w:rsidR="001339AC">
        <w:t xml:space="preserve">would </w:t>
      </w:r>
      <w:r w:rsidR="007F00C2">
        <w:t xml:space="preserve">always </w:t>
      </w:r>
      <w:r w:rsidR="001339AC">
        <w:t>be present in</w:t>
      </w:r>
      <w:r w:rsidR="007F00C2">
        <w:t xml:space="preserve"> </w:t>
      </w:r>
      <w:r w:rsidR="001339AC">
        <w:t>case</w:t>
      </w:r>
      <w:r w:rsidR="007F00C2">
        <w:t>s where a party seeks excusal of a technical error in the notice of appeal</w:t>
      </w:r>
      <w:r w:rsidR="001339AC">
        <w:t xml:space="preserve">. </w:t>
      </w:r>
      <w:r w:rsidR="007F00C2">
        <w:t xml:space="preserve"> </w:t>
      </w:r>
      <w:r w:rsidR="001339AC">
        <w:t>We think it clear that</w:t>
      </w:r>
      <w:r w:rsidR="004C5C53">
        <w:t xml:space="preserve"> </w:t>
      </w:r>
      <w:r w:rsidR="004C5C53" w:rsidRPr="004C5C53">
        <w:t>the mere fact an opposing party would be able to present his or her claims on appeal is, standing alone, insufficient to establish prejudice.</w:t>
      </w:r>
      <w:r w:rsidR="00EE13E8">
        <w:t xml:space="preserve"> </w:t>
      </w:r>
    </w:p>
    <w:p w14:paraId="3760DED4" w14:textId="589CAE98" w:rsidR="007A1666" w:rsidRDefault="007A1666" w:rsidP="00EF5A3A">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78FE" w14:textId="27D1F6FC" w:rsidR="002C5A0D" w:rsidRDefault="00EF5A3A">
    <w:pPr>
      <w:pStyle w:val="Header"/>
    </w:pPr>
    <w:bookmarkStart w:id="3" w:name="_Hlk26522385"/>
    <w:r>
      <w:t xml:space="preserve">K.J. v. </w:t>
    </w:r>
    <w:r w:rsidR="00F94D9B">
      <w:t>LOS ANGELES UNIFIED SCHOOL DISTRICT</w:t>
    </w:r>
  </w:p>
  <w:p w14:paraId="3133798C" w14:textId="62B48033" w:rsidR="00EF5A3A" w:rsidRDefault="00EF5A3A">
    <w:pPr>
      <w:pStyle w:val="Header"/>
    </w:pPr>
    <w:r>
      <w:t>Opinion of the Court by Groban, J.</w:t>
    </w:r>
  </w:p>
  <w:bookmarkEnd w:id="3"/>
  <w:p w14:paraId="41A71871" w14:textId="77777777" w:rsidR="00EF5A3A" w:rsidRDefault="00EF5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D543C" w14:textId="77777777" w:rsidR="007E6825" w:rsidRDefault="00E776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66E05" w14:textId="77777777" w:rsidR="007E6825" w:rsidRDefault="00E776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B31BA" w14:textId="77777777" w:rsidR="007E6825" w:rsidRDefault="00E77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AA2"/>
    <w:multiLevelType w:val="hybridMultilevel"/>
    <w:tmpl w:val="C5247A8C"/>
    <w:lvl w:ilvl="0" w:tplc="C57CAEFE">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662C6C"/>
    <w:multiLevelType w:val="hybridMultilevel"/>
    <w:tmpl w:val="6C1E185C"/>
    <w:lvl w:ilvl="0" w:tplc="5DA4C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825F4"/>
    <w:multiLevelType w:val="hybridMultilevel"/>
    <w:tmpl w:val="42C26084"/>
    <w:lvl w:ilvl="0" w:tplc="6E9861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5E536A"/>
    <w:multiLevelType w:val="hybridMultilevel"/>
    <w:tmpl w:val="32A8E314"/>
    <w:lvl w:ilvl="0" w:tplc="1E2E5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5B4B19"/>
    <w:multiLevelType w:val="hybridMultilevel"/>
    <w:tmpl w:val="954C1AF8"/>
    <w:lvl w:ilvl="0" w:tplc="A48AC2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37351A"/>
    <w:multiLevelType w:val="hybridMultilevel"/>
    <w:tmpl w:val="C980C388"/>
    <w:lvl w:ilvl="0" w:tplc="A0348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D2FF2"/>
    <w:multiLevelType w:val="hybridMultilevel"/>
    <w:tmpl w:val="DAB86502"/>
    <w:lvl w:ilvl="0" w:tplc="BF2CA782">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D6110"/>
    <w:multiLevelType w:val="hybridMultilevel"/>
    <w:tmpl w:val="9FC23E10"/>
    <w:lvl w:ilvl="0" w:tplc="99363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EE50DB"/>
    <w:multiLevelType w:val="hybridMultilevel"/>
    <w:tmpl w:val="FF18094E"/>
    <w:lvl w:ilvl="0" w:tplc="E1FE79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78036F"/>
    <w:multiLevelType w:val="hybridMultilevel"/>
    <w:tmpl w:val="89061284"/>
    <w:lvl w:ilvl="0" w:tplc="BF40920E">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0"/>
  </w:num>
  <w:num w:numId="3">
    <w:abstractNumId w:val="6"/>
  </w:num>
  <w:num w:numId="4">
    <w:abstractNumId w:val="4"/>
  </w:num>
  <w:num w:numId="5">
    <w:abstractNumId w:val="2"/>
  </w:num>
  <w:num w:numId="6">
    <w:abstractNumId w:val="7"/>
  </w:num>
  <w:num w:numId="7">
    <w:abstractNumId w:val="3"/>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removePersonalInformation/>
  <w:removeDateAndTime/>
  <w:printFractionalCharacterWidth/>
  <w:activeWritingStyle w:appName="MSWord" w:lang="en-US" w:vendorID="64" w:dllVersion="5" w:nlCheck="1" w:checkStyle="1"/>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6F9"/>
    <w:rsid w:val="000001F7"/>
    <w:rsid w:val="00000260"/>
    <w:rsid w:val="00002FC6"/>
    <w:rsid w:val="000073CB"/>
    <w:rsid w:val="00010159"/>
    <w:rsid w:val="00012DE1"/>
    <w:rsid w:val="0001356A"/>
    <w:rsid w:val="00015441"/>
    <w:rsid w:val="00015B53"/>
    <w:rsid w:val="00015F2A"/>
    <w:rsid w:val="00020E82"/>
    <w:rsid w:val="00022FD9"/>
    <w:rsid w:val="0002510E"/>
    <w:rsid w:val="00027CCA"/>
    <w:rsid w:val="000318FF"/>
    <w:rsid w:val="0003510A"/>
    <w:rsid w:val="000359FB"/>
    <w:rsid w:val="000361D4"/>
    <w:rsid w:val="000367BE"/>
    <w:rsid w:val="000379F9"/>
    <w:rsid w:val="000437FA"/>
    <w:rsid w:val="00043B3F"/>
    <w:rsid w:val="000450C3"/>
    <w:rsid w:val="000546F6"/>
    <w:rsid w:val="00054F8C"/>
    <w:rsid w:val="00055084"/>
    <w:rsid w:val="00056BBD"/>
    <w:rsid w:val="00057DB5"/>
    <w:rsid w:val="0006119E"/>
    <w:rsid w:val="0006136E"/>
    <w:rsid w:val="00061680"/>
    <w:rsid w:val="00062387"/>
    <w:rsid w:val="00065311"/>
    <w:rsid w:val="00065483"/>
    <w:rsid w:val="0006561A"/>
    <w:rsid w:val="0006722B"/>
    <w:rsid w:val="00067C0F"/>
    <w:rsid w:val="00070AF7"/>
    <w:rsid w:val="00070CAB"/>
    <w:rsid w:val="0007416B"/>
    <w:rsid w:val="000742EB"/>
    <w:rsid w:val="00085902"/>
    <w:rsid w:val="00086525"/>
    <w:rsid w:val="00090152"/>
    <w:rsid w:val="000906F8"/>
    <w:rsid w:val="00092649"/>
    <w:rsid w:val="00092C2F"/>
    <w:rsid w:val="000933D4"/>
    <w:rsid w:val="00095D92"/>
    <w:rsid w:val="000A0D3D"/>
    <w:rsid w:val="000A13AE"/>
    <w:rsid w:val="000A149F"/>
    <w:rsid w:val="000A19C7"/>
    <w:rsid w:val="000A2474"/>
    <w:rsid w:val="000A334D"/>
    <w:rsid w:val="000A47CD"/>
    <w:rsid w:val="000A5915"/>
    <w:rsid w:val="000B0D8C"/>
    <w:rsid w:val="000B26F9"/>
    <w:rsid w:val="000B2F6F"/>
    <w:rsid w:val="000B4BFC"/>
    <w:rsid w:val="000C098D"/>
    <w:rsid w:val="000C5796"/>
    <w:rsid w:val="000C62D3"/>
    <w:rsid w:val="000C7431"/>
    <w:rsid w:val="000C7785"/>
    <w:rsid w:val="000C7A1C"/>
    <w:rsid w:val="000D132E"/>
    <w:rsid w:val="000D2013"/>
    <w:rsid w:val="000D36E4"/>
    <w:rsid w:val="000D4CA2"/>
    <w:rsid w:val="000D5021"/>
    <w:rsid w:val="000D7A39"/>
    <w:rsid w:val="000E07BC"/>
    <w:rsid w:val="000E1095"/>
    <w:rsid w:val="000E25A9"/>
    <w:rsid w:val="000E38EE"/>
    <w:rsid w:val="000E3D2F"/>
    <w:rsid w:val="000F1D29"/>
    <w:rsid w:val="000F2E0E"/>
    <w:rsid w:val="000F43AA"/>
    <w:rsid w:val="000F6903"/>
    <w:rsid w:val="000F716B"/>
    <w:rsid w:val="000F7469"/>
    <w:rsid w:val="00101064"/>
    <w:rsid w:val="001023B3"/>
    <w:rsid w:val="0010243A"/>
    <w:rsid w:val="00103FD4"/>
    <w:rsid w:val="001055FD"/>
    <w:rsid w:val="00105EA6"/>
    <w:rsid w:val="00111E4E"/>
    <w:rsid w:val="00112A0E"/>
    <w:rsid w:val="00112A5B"/>
    <w:rsid w:val="00114231"/>
    <w:rsid w:val="00115CA3"/>
    <w:rsid w:val="00120077"/>
    <w:rsid w:val="00121BF5"/>
    <w:rsid w:val="0012263D"/>
    <w:rsid w:val="001239FC"/>
    <w:rsid w:val="00130676"/>
    <w:rsid w:val="0013258D"/>
    <w:rsid w:val="001339AC"/>
    <w:rsid w:val="00133B26"/>
    <w:rsid w:val="00134E41"/>
    <w:rsid w:val="00135A88"/>
    <w:rsid w:val="00135D1D"/>
    <w:rsid w:val="00136F53"/>
    <w:rsid w:val="00137A90"/>
    <w:rsid w:val="00140400"/>
    <w:rsid w:val="00140E1F"/>
    <w:rsid w:val="00141196"/>
    <w:rsid w:val="00141B79"/>
    <w:rsid w:val="00142DFC"/>
    <w:rsid w:val="00143D28"/>
    <w:rsid w:val="00146354"/>
    <w:rsid w:val="00146AA3"/>
    <w:rsid w:val="00146B18"/>
    <w:rsid w:val="0015624A"/>
    <w:rsid w:val="001568BB"/>
    <w:rsid w:val="00157A61"/>
    <w:rsid w:val="00160126"/>
    <w:rsid w:val="00160574"/>
    <w:rsid w:val="00162451"/>
    <w:rsid w:val="001636DD"/>
    <w:rsid w:val="00166371"/>
    <w:rsid w:val="00166872"/>
    <w:rsid w:val="00167E88"/>
    <w:rsid w:val="00172958"/>
    <w:rsid w:val="001741E6"/>
    <w:rsid w:val="0017522D"/>
    <w:rsid w:val="00176F1B"/>
    <w:rsid w:val="00177E41"/>
    <w:rsid w:val="00181291"/>
    <w:rsid w:val="00182DB0"/>
    <w:rsid w:val="00182F21"/>
    <w:rsid w:val="00183096"/>
    <w:rsid w:val="001833E2"/>
    <w:rsid w:val="001869EE"/>
    <w:rsid w:val="00187BE4"/>
    <w:rsid w:val="0019192A"/>
    <w:rsid w:val="00192EF6"/>
    <w:rsid w:val="001933DD"/>
    <w:rsid w:val="00194990"/>
    <w:rsid w:val="001970C2"/>
    <w:rsid w:val="001977E6"/>
    <w:rsid w:val="001A3842"/>
    <w:rsid w:val="001A4B9E"/>
    <w:rsid w:val="001A77E6"/>
    <w:rsid w:val="001A7F5C"/>
    <w:rsid w:val="001B08BD"/>
    <w:rsid w:val="001B1D84"/>
    <w:rsid w:val="001B26F9"/>
    <w:rsid w:val="001B2B75"/>
    <w:rsid w:val="001B30A7"/>
    <w:rsid w:val="001B3A35"/>
    <w:rsid w:val="001B410F"/>
    <w:rsid w:val="001B50C1"/>
    <w:rsid w:val="001C0487"/>
    <w:rsid w:val="001C1386"/>
    <w:rsid w:val="001C5A71"/>
    <w:rsid w:val="001C638A"/>
    <w:rsid w:val="001D0DDE"/>
    <w:rsid w:val="001D4508"/>
    <w:rsid w:val="001D4AB6"/>
    <w:rsid w:val="001D5510"/>
    <w:rsid w:val="001D6D67"/>
    <w:rsid w:val="001D7A43"/>
    <w:rsid w:val="001E2434"/>
    <w:rsid w:val="001E420F"/>
    <w:rsid w:val="001E6CC4"/>
    <w:rsid w:val="001F0EFF"/>
    <w:rsid w:val="001F3121"/>
    <w:rsid w:val="001F3766"/>
    <w:rsid w:val="001F4677"/>
    <w:rsid w:val="001F4FF3"/>
    <w:rsid w:val="002003FA"/>
    <w:rsid w:val="002018D9"/>
    <w:rsid w:val="00201C05"/>
    <w:rsid w:val="00201C3D"/>
    <w:rsid w:val="00202E0B"/>
    <w:rsid w:val="00203D4A"/>
    <w:rsid w:val="002045D7"/>
    <w:rsid w:val="00207BE4"/>
    <w:rsid w:val="00210E80"/>
    <w:rsid w:val="00211539"/>
    <w:rsid w:val="00212885"/>
    <w:rsid w:val="00212ACC"/>
    <w:rsid w:val="002131C8"/>
    <w:rsid w:val="002139EF"/>
    <w:rsid w:val="00215731"/>
    <w:rsid w:val="00216A45"/>
    <w:rsid w:val="00216FFD"/>
    <w:rsid w:val="002232A3"/>
    <w:rsid w:val="00224B88"/>
    <w:rsid w:val="00224DC5"/>
    <w:rsid w:val="0022619F"/>
    <w:rsid w:val="00226C0C"/>
    <w:rsid w:val="0022728E"/>
    <w:rsid w:val="00230469"/>
    <w:rsid w:val="002307AA"/>
    <w:rsid w:val="00233DF8"/>
    <w:rsid w:val="00234344"/>
    <w:rsid w:val="00236337"/>
    <w:rsid w:val="00240962"/>
    <w:rsid w:val="00243010"/>
    <w:rsid w:val="00243706"/>
    <w:rsid w:val="00246286"/>
    <w:rsid w:val="00246E72"/>
    <w:rsid w:val="00247BDA"/>
    <w:rsid w:val="00251355"/>
    <w:rsid w:val="00251FDB"/>
    <w:rsid w:val="00252AB1"/>
    <w:rsid w:val="002557E8"/>
    <w:rsid w:val="002564D7"/>
    <w:rsid w:val="002575B4"/>
    <w:rsid w:val="00257B01"/>
    <w:rsid w:val="00257FFE"/>
    <w:rsid w:val="002623A2"/>
    <w:rsid w:val="002626CA"/>
    <w:rsid w:val="002633C0"/>
    <w:rsid w:val="002705EB"/>
    <w:rsid w:val="00275669"/>
    <w:rsid w:val="0027702D"/>
    <w:rsid w:val="0027769B"/>
    <w:rsid w:val="0028085E"/>
    <w:rsid w:val="00281AE3"/>
    <w:rsid w:val="002821E8"/>
    <w:rsid w:val="00286771"/>
    <w:rsid w:val="0028705A"/>
    <w:rsid w:val="00291476"/>
    <w:rsid w:val="002932D3"/>
    <w:rsid w:val="00294BE6"/>
    <w:rsid w:val="00294DAF"/>
    <w:rsid w:val="00295D7C"/>
    <w:rsid w:val="002A0995"/>
    <w:rsid w:val="002A1601"/>
    <w:rsid w:val="002A272A"/>
    <w:rsid w:val="002A33BF"/>
    <w:rsid w:val="002A5486"/>
    <w:rsid w:val="002B04AF"/>
    <w:rsid w:val="002B2910"/>
    <w:rsid w:val="002B2CD1"/>
    <w:rsid w:val="002B49E1"/>
    <w:rsid w:val="002B56CB"/>
    <w:rsid w:val="002C002C"/>
    <w:rsid w:val="002C2208"/>
    <w:rsid w:val="002C23FA"/>
    <w:rsid w:val="002C55ED"/>
    <w:rsid w:val="002C5A0D"/>
    <w:rsid w:val="002C5C75"/>
    <w:rsid w:val="002C5DDC"/>
    <w:rsid w:val="002C6414"/>
    <w:rsid w:val="002D01E2"/>
    <w:rsid w:val="002D0D46"/>
    <w:rsid w:val="002D29BA"/>
    <w:rsid w:val="002D446B"/>
    <w:rsid w:val="002D594D"/>
    <w:rsid w:val="002D6EA9"/>
    <w:rsid w:val="002D6EEA"/>
    <w:rsid w:val="002E6CC8"/>
    <w:rsid w:val="002E733E"/>
    <w:rsid w:val="002E773A"/>
    <w:rsid w:val="002E7ADF"/>
    <w:rsid w:val="002F1978"/>
    <w:rsid w:val="002F2641"/>
    <w:rsid w:val="002F3871"/>
    <w:rsid w:val="002F4D3D"/>
    <w:rsid w:val="002F7E10"/>
    <w:rsid w:val="00300F7A"/>
    <w:rsid w:val="00301218"/>
    <w:rsid w:val="003015D3"/>
    <w:rsid w:val="003025B1"/>
    <w:rsid w:val="0030327F"/>
    <w:rsid w:val="00304BBD"/>
    <w:rsid w:val="00306557"/>
    <w:rsid w:val="00306ECE"/>
    <w:rsid w:val="003114E9"/>
    <w:rsid w:val="00311C72"/>
    <w:rsid w:val="00313A0E"/>
    <w:rsid w:val="00313EEB"/>
    <w:rsid w:val="0031435D"/>
    <w:rsid w:val="0031493A"/>
    <w:rsid w:val="003150E8"/>
    <w:rsid w:val="00320B1E"/>
    <w:rsid w:val="00320D68"/>
    <w:rsid w:val="00321996"/>
    <w:rsid w:val="0032204F"/>
    <w:rsid w:val="00322DE8"/>
    <w:rsid w:val="00325932"/>
    <w:rsid w:val="00326F29"/>
    <w:rsid w:val="00330508"/>
    <w:rsid w:val="0033062A"/>
    <w:rsid w:val="00330A16"/>
    <w:rsid w:val="00330B94"/>
    <w:rsid w:val="0033578D"/>
    <w:rsid w:val="00336A7A"/>
    <w:rsid w:val="003370AA"/>
    <w:rsid w:val="003407CC"/>
    <w:rsid w:val="0034129D"/>
    <w:rsid w:val="003415D9"/>
    <w:rsid w:val="00341942"/>
    <w:rsid w:val="0034480F"/>
    <w:rsid w:val="00346823"/>
    <w:rsid w:val="00347A0E"/>
    <w:rsid w:val="00350474"/>
    <w:rsid w:val="003521DE"/>
    <w:rsid w:val="00353090"/>
    <w:rsid w:val="00355B03"/>
    <w:rsid w:val="00356F1A"/>
    <w:rsid w:val="00360448"/>
    <w:rsid w:val="00360BBF"/>
    <w:rsid w:val="00361738"/>
    <w:rsid w:val="003635F0"/>
    <w:rsid w:val="00364545"/>
    <w:rsid w:val="00372D63"/>
    <w:rsid w:val="003732D0"/>
    <w:rsid w:val="0037333B"/>
    <w:rsid w:val="00375884"/>
    <w:rsid w:val="003809A2"/>
    <w:rsid w:val="00381DE0"/>
    <w:rsid w:val="00385613"/>
    <w:rsid w:val="00386BF2"/>
    <w:rsid w:val="0039295B"/>
    <w:rsid w:val="00393481"/>
    <w:rsid w:val="0039417B"/>
    <w:rsid w:val="003A0D77"/>
    <w:rsid w:val="003A1A47"/>
    <w:rsid w:val="003B10D5"/>
    <w:rsid w:val="003B3C12"/>
    <w:rsid w:val="003B3E17"/>
    <w:rsid w:val="003B439F"/>
    <w:rsid w:val="003B46A9"/>
    <w:rsid w:val="003B49A9"/>
    <w:rsid w:val="003B6502"/>
    <w:rsid w:val="003B713D"/>
    <w:rsid w:val="003C037E"/>
    <w:rsid w:val="003C2CA0"/>
    <w:rsid w:val="003C5679"/>
    <w:rsid w:val="003C6799"/>
    <w:rsid w:val="003C70D2"/>
    <w:rsid w:val="003D08D0"/>
    <w:rsid w:val="003D16E0"/>
    <w:rsid w:val="003D1737"/>
    <w:rsid w:val="003E089C"/>
    <w:rsid w:val="003E34D4"/>
    <w:rsid w:val="003E5EC7"/>
    <w:rsid w:val="003F04E4"/>
    <w:rsid w:val="003F68F7"/>
    <w:rsid w:val="003F741E"/>
    <w:rsid w:val="003F773D"/>
    <w:rsid w:val="00401620"/>
    <w:rsid w:val="00401857"/>
    <w:rsid w:val="00402580"/>
    <w:rsid w:val="00404FD5"/>
    <w:rsid w:val="004075A0"/>
    <w:rsid w:val="00407E51"/>
    <w:rsid w:val="004123C3"/>
    <w:rsid w:val="00421121"/>
    <w:rsid w:val="00421180"/>
    <w:rsid w:val="004223B3"/>
    <w:rsid w:val="00424068"/>
    <w:rsid w:val="00425BAD"/>
    <w:rsid w:val="00426183"/>
    <w:rsid w:val="004338DD"/>
    <w:rsid w:val="00434EA8"/>
    <w:rsid w:val="00435F02"/>
    <w:rsid w:val="004369C0"/>
    <w:rsid w:val="00436BD0"/>
    <w:rsid w:val="00437B3B"/>
    <w:rsid w:val="00440FD3"/>
    <w:rsid w:val="00441C00"/>
    <w:rsid w:val="00442EE3"/>
    <w:rsid w:val="004447D9"/>
    <w:rsid w:val="004472F6"/>
    <w:rsid w:val="004475FB"/>
    <w:rsid w:val="00447C47"/>
    <w:rsid w:val="00450EF3"/>
    <w:rsid w:val="00450F92"/>
    <w:rsid w:val="00452149"/>
    <w:rsid w:val="00454AEF"/>
    <w:rsid w:val="00454EE1"/>
    <w:rsid w:val="00457022"/>
    <w:rsid w:val="004573BF"/>
    <w:rsid w:val="00462A53"/>
    <w:rsid w:val="004639B4"/>
    <w:rsid w:val="004651C8"/>
    <w:rsid w:val="004675F2"/>
    <w:rsid w:val="00467A00"/>
    <w:rsid w:val="00473071"/>
    <w:rsid w:val="00473177"/>
    <w:rsid w:val="0047411F"/>
    <w:rsid w:val="004756E5"/>
    <w:rsid w:val="00475A63"/>
    <w:rsid w:val="00475E18"/>
    <w:rsid w:val="0047604D"/>
    <w:rsid w:val="0047664F"/>
    <w:rsid w:val="00476DB7"/>
    <w:rsid w:val="004810BB"/>
    <w:rsid w:val="0048220F"/>
    <w:rsid w:val="0048330F"/>
    <w:rsid w:val="00483D57"/>
    <w:rsid w:val="0048423A"/>
    <w:rsid w:val="0048430E"/>
    <w:rsid w:val="00484AD7"/>
    <w:rsid w:val="00484AD8"/>
    <w:rsid w:val="00484E2E"/>
    <w:rsid w:val="00485361"/>
    <w:rsid w:val="0048599A"/>
    <w:rsid w:val="00485EF1"/>
    <w:rsid w:val="00486F40"/>
    <w:rsid w:val="0048761B"/>
    <w:rsid w:val="00490283"/>
    <w:rsid w:val="00492C16"/>
    <w:rsid w:val="0049343B"/>
    <w:rsid w:val="00494569"/>
    <w:rsid w:val="00495FE6"/>
    <w:rsid w:val="00497C73"/>
    <w:rsid w:val="004A06AA"/>
    <w:rsid w:val="004A183B"/>
    <w:rsid w:val="004A195F"/>
    <w:rsid w:val="004A1DE8"/>
    <w:rsid w:val="004A2302"/>
    <w:rsid w:val="004A27E1"/>
    <w:rsid w:val="004A2F88"/>
    <w:rsid w:val="004A31A0"/>
    <w:rsid w:val="004A34B0"/>
    <w:rsid w:val="004A37D6"/>
    <w:rsid w:val="004A5625"/>
    <w:rsid w:val="004A5F4F"/>
    <w:rsid w:val="004B03FB"/>
    <w:rsid w:val="004B0488"/>
    <w:rsid w:val="004B3127"/>
    <w:rsid w:val="004B5EAF"/>
    <w:rsid w:val="004B6270"/>
    <w:rsid w:val="004B6EE4"/>
    <w:rsid w:val="004B7BE9"/>
    <w:rsid w:val="004C0420"/>
    <w:rsid w:val="004C18C3"/>
    <w:rsid w:val="004C1A6D"/>
    <w:rsid w:val="004C2BB4"/>
    <w:rsid w:val="004C5C53"/>
    <w:rsid w:val="004C6FE4"/>
    <w:rsid w:val="004C7BFB"/>
    <w:rsid w:val="004D02EC"/>
    <w:rsid w:val="004D0845"/>
    <w:rsid w:val="004D2689"/>
    <w:rsid w:val="004D2A96"/>
    <w:rsid w:val="004D4E2E"/>
    <w:rsid w:val="004D6109"/>
    <w:rsid w:val="004D615A"/>
    <w:rsid w:val="004D7836"/>
    <w:rsid w:val="004E38FB"/>
    <w:rsid w:val="004E4F94"/>
    <w:rsid w:val="004E7E85"/>
    <w:rsid w:val="004F183A"/>
    <w:rsid w:val="004F7246"/>
    <w:rsid w:val="005014D1"/>
    <w:rsid w:val="005017AD"/>
    <w:rsid w:val="005029E5"/>
    <w:rsid w:val="00503FC0"/>
    <w:rsid w:val="00504F5A"/>
    <w:rsid w:val="00505979"/>
    <w:rsid w:val="005069BE"/>
    <w:rsid w:val="00507502"/>
    <w:rsid w:val="00510302"/>
    <w:rsid w:val="0051145D"/>
    <w:rsid w:val="00511F7F"/>
    <w:rsid w:val="00513BED"/>
    <w:rsid w:val="00514B18"/>
    <w:rsid w:val="0051524C"/>
    <w:rsid w:val="00515ADB"/>
    <w:rsid w:val="005164EA"/>
    <w:rsid w:val="00517035"/>
    <w:rsid w:val="005171EB"/>
    <w:rsid w:val="0052217B"/>
    <w:rsid w:val="00523414"/>
    <w:rsid w:val="00524709"/>
    <w:rsid w:val="00525DBA"/>
    <w:rsid w:val="005305EA"/>
    <w:rsid w:val="0053096D"/>
    <w:rsid w:val="005311C8"/>
    <w:rsid w:val="00531DF4"/>
    <w:rsid w:val="005357B9"/>
    <w:rsid w:val="005368C2"/>
    <w:rsid w:val="0053695F"/>
    <w:rsid w:val="005409A1"/>
    <w:rsid w:val="005410E6"/>
    <w:rsid w:val="005413DD"/>
    <w:rsid w:val="0054314D"/>
    <w:rsid w:val="00544156"/>
    <w:rsid w:val="005441FC"/>
    <w:rsid w:val="00545F16"/>
    <w:rsid w:val="0054783A"/>
    <w:rsid w:val="00550B6A"/>
    <w:rsid w:val="00555CED"/>
    <w:rsid w:val="00557FE8"/>
    <w:rsid w:val="005643D8"/>
    <w:rsid w:val="00564553"/>
    <w:rsid w:val="0056620A"/>
    <w:rsid w:val="00570AD3"/>
    <w:rsid w:val="00574D9F"/>
    <w:rsid w:val="005768EA"/>
    <w:rsid w:val="0057732B"/>
    <w:rsid w:val="005834A5"/>
    <w:rsid w:val="005843FE"/>
    <w:rsid w:val="005858B7"/>
    <w:rsid w:val="00586057"/>
    <w:rsid w:val="00587962"/>
    <w:rsid w:val="00590118"/>
    <w:rsid w:val="00590778"/>
    <w:rsid w:val="00590AEF"/>
    <w:rsid w:val="005957FE"/>
    <w:rsid w:val="00597D4F"/>
    <w:rsid w:val="00597EF4"/>
    <w:rsid w:val="005A111F"/>
    <w:rsid w:val="005A1AF6"/>
    <w:rsid w:val="005A57E9"/>
    <w:rsid w:val="005A6A86"/>
    <w:rsid w:val="005A753D"/>
    <w:rsid w:val="005B2E54"/>
    <w:rsid w:val="005B32C0"/>
    <w:rsid w:val="005B51B1"/>
    <w:rsid w:val="005B739E"/>
    <w:rsid w:val="005C0A3F"/>
    <w:rsid w:val="005C0A59"/>
    <w:rsid w:val="005C1675"/>
    <w:rsid w:val="005C2CC0"/>
    <w:rsid w:val="005C51A8"/>
    <w:rsid w:val="005D0CD5"/>
    <w:rsid w:val="005D5383"/>
    <w:rsid w:val="005D680E"/>
    <w:rsid w:val="005D7346"/>
    <w:rsid w:val="005D757A"/>
    <w:rsid w:val="005E3DAB"/>
    <w:rsid w:val="005E451A"/>
    <w:rsid w:val="005F0829"/>
    <w:rsid w:val="005F1FBF"/>
    <w:rsid w:val="005F3644"/>
    <w:rsid w:val="005F4CFF"/>
    <w:rsid w:val="005F4FC3"/>
    <w:rsid w:val="00601C38"/>
    <w:rsid w:val="006025F3"/>
    <w:rsid w:val="00605C93"/>
    <w:rsid w:val="00610125"/>
    <w:rsid w:val="00610767"/>
    <w:rsid w:val="00611CD5"/>
    <w:rsid w:val="006157B7"/>
    <w:rsid w:val="00617C9A"/>
    <w:rsid w:val="006209B8"/>
    <w:rsid w:val="00621FCF"/>
    <w:rsid w:val="0062240D"/>
    <w:rsid w:val="0062242F"/>
    <w:rsid w:val="006231AA"/>
    <w:rsid w:val="00624B19"/>
    <w:rsid w:val="00631A4A"/>
    <w:rsid w:val="0063283A"/>
    <w:rsid w:val="00633ADC"/>
    <w:rsid w:val="006349FF"/>
    <w:rsid w:val="00635419"/>
    <w:rsid w:val="006421E8"/>
    <w:rsid w:val="006424C8"/>
    <w:rsid w:val="00642E88"/>
    <w:rsid w:val="00645E51"/>
    <w:rsid w:val="00646A7C"/>
    <w:rsid w:val="006471C1"/>
    <w:rsid w:val="0064764A"/>
    <w:rsid w:val="006502EE"/>
    <w:rsid w:val="0065056A"/>
    <w:rsid w:val="006508AE"/>
    <w:rsid w:val="006516E4"/>
    <w:rsid w:val="00653028"/>
    <w:rsid w:val="00654A86"/>
    <w:rsid w:val="006574AE"/>
    <w:rsid w:val="00663554"/>
    <w:rsid w:val="0066364D"/>
    <w:rsid w:val="006667C3"/>
    <w:rsid w:val="00667463"/>
    <w:rsid w:val="00675D97"/>
    <w:rsid w:val="00676BBE"/>
    <w:rsid w:val="00681C6E"/>
    <w:rsid w:val="00682536"/>
    <w:rsid w:val="00682FA9"/>
    <w:rsid w:val="00684D71"/>
    <w:rsid w:val="00685807"/>
    <w:rsid w:val="00685BCF"/>
    <w:rsid w:val="00685DDF"/>
    <w:rsid w:val="00686CB6"/>
    <w:rsid w:val="00687121"/>
    <w:rsid w:val="00687D5C"/>
    <w:rsid w:val="00691FB2"/>
    <w:rsid w:val="006924BD"/>
    <w:rsid w:val="00692C9C"/>
    <w:rsid w:val="006939DD"/>
    <w:rsid w:val="00694483"/>
    <w:rsid w:val="0069614C"/>
    <w:rsid w:val="006A0D0D"/>
    <w:rsid w:val="006A0E5D"/>
    <w:rsid w:val="006A10D4"/>
    <w:rsid w:val="006A1354"/>
    <w:rsid w:val="006A2B7C"/>
    <w:rsid w:val="006A47BB"/>
    <w:rsid w:val="006A611C"/>
    <w:rsid w:val="006A6C79"/>
    <w:rsid w:val="006B0E26"/>
    <w:rsid w:val="006B11B1"/>
    <w:rsid w:val="006B12F3"/>
    <w:rsid w:val="006B226E"/>
    <w:rsid w:val="006B3A58"/>
    <w:rsid w:val="006B4C13"/>
    <w:rsid w:val="006B59FF"/>
    <w:rsid w:val="006B5EA1"/>
    <w:rsid w:val="006B6463"/>
    <w:rsid w:val="006C182C"/>
    <w:rsid w:val="006C1E47"/>
    <w:rsid w:val="006C5ACF"/>
    <w:rsid w:val="006D259C"/>
    <w:rsid w:val="006D38D9"/>
    <w:rsid w:val="006D50D6"/>
    <w:rsid w:val="006D609C"/>
    <w:rsid w:val="006D6656"/>
    <w:rsid w:val="006D6CF5"/>
    <w:rsid w:val="006D719B"/>
    <w:rsid w:val="006E01B9"/>
    <w:rsid w:val="006E2C08"/>
    <w:rsid w:val="006E47F9"/>
    <w:rsid w:val="006E6798"/>
    <w:rsid w:val="006E7FDF"/>
    <w:rsid w:val="006F0CB1"/>
    <w:rsid w:val="006F12F3"/>
    <w:rsid w:val="006F24C3"/>
    <w:rsid w:val="006F3DB5"/>
    <w:rsid w:val="00704523"/>
    <w:rsid w:val="0071205C"/>
    <w:rsid w:val="0071229D"/>
    <w:rsid w:val="00712A74"/>
    <w:rsid w:val="00713A1F"/>
    <w:rsid w:val="00713D94"/>
    <w:rsid w:val="007143CF"/>
    <w:rsid w:val="0071568B"/>
    <w:rsid w:val="00715B6F"/>
    <w:rsid w:val="00722547"/>
    <w:rsid w:val="007236F7"/>
    <w:rsid w:val="007245CA"/>
    <w:rsid w:val="00725163"/>
    <w:rsid w:val="00726334"/>
    <w:rsid w:val="00726FFD"/>
    <w:rsid w:val="00727449"/>
    <w:rsid w:val="00727BD8"/>
    <w:rsid w:val="0073135C"/>
    <w:rsid w:val="0073442A"/>
    <w:rsid w:val="00734CF0"/>
    <w:rsid w:val="00740215"/>
    <w:rsid w:val="00743DA3"/>
    <w:rsid w:val="0074658F"/>
    <w:rsid w:val="00746F92"/>
    <w:rsid w:val="00750B44"/>
    <w:rsid w:val="0075372E"/>
    <w:rsid w:val="00753C28"/>
    <w:rsid w:val="00757F9D"/>
    <w:rsid w:val="0076195D"/>
    <w:rsid w:val="00763595"/>
    <w:rsid w:val="00764E9D"/>
    <w:rsid w:val="00765B65"/>
    <w:rsid w:val="007665A5"/>
    <w:rsid w:val="00770A28"/>
    <w:rsid w:val="00770BEA"/>
    <w:rsid w:val="00772D8F"/>
    <w:rsid w:val="00774965"/>
    <w:rsid w:val="00777396"/>
    <w:rsid w:val="007838F4"/>
    <w:rsid w:val="00783EB1"/>
    <w:rsid w:val="00784199"/>
    <w:rsid w:val="00787B7C"/>
    <w:rsid w:val="00790474"/>
    <w:rsid w:val="00790606"/>
    <w:rsid w:val="007909B2"/>
    <w:rsid w:val="00791AAE"/>
    <w:rsid w:val="00792278"/>
    <w:rsid w:val="00794241"/>
    <w:rsid w:val="007A04C5"/>
    <w:rsid w:val="007A0B8E"/>
    <w:rsid w:val="007A1666"/>
    <w:rsid w:val="007A1F11"/>
    <w:rsid w:val="007A5534"/>
    <w:rsid w:val="007A59E7"/>
    <w:rsid w:val="007A7B89"/>
    <w:rsid w:val="007B0999"/>
    <w:rsid w:val="007B2B37"/>
    <w:rsid w:val="007B3655"/>
    <w:rsid w:val="007B496C"/>
    <w:rsid w:val="007B5EC7"/>
    <w:rsid w:val="007B6DBC"/>
    <w:rsid w:val="007B7BEA"/>
    <w:rsid w:val="007C0546"/>
    <w:rsid w:val="007C1C59"/>
    <w:rsid w:val="007C2708"/>
    <w:rsid w:val="007C2D58"/>
    <w:rsid w:val="007C51DF"/>
    <w:rsid w:val="007C60F2"/>
    <w:rsid w:val="007C65BB"/>
    <w:rsid w:val="007D4F74"/>
    <w:rsid w:val="007E0053"/>
    <w:rsid w:val="007E690D"/>
    <w:rsid w:val="007E703B"/>
    <w:rsid w:val="007F00C2"/>
    <w:rsid w:val="007F04A9"/>
    <w:rsid w:val="007F40C3"/>
    <w:rsid w:val="007F5603"/>
    <w:rsid w:val="007F5782"/>
    <w:rsid w:val="007F7278"/>
    <w:rsid w:val="007F7356"/>
    <w:rsid w:val="0080062E"/>
    <w:rsid w:val="00801BBC"/>
    <w:rsid w:val="008033F5"/>
    <w:rsid w:val="00804581"/>
    <w:rsid w:val="00805B3E"/>
    <w:rsid w:val="00810D1E"/>
    <w:rsid w:val="00810E8D"/>
    <w:rsid w:val="00811A11"/>
    <w:rsid w:val="00812796"/>
    <w:rsid w:val="00813D2F"/>
    <w:rsid w:val="00814865"/>
    <w:rsid w:val="0081714F"/>
    <w:rsid w:val="008172D0"/>
    <w:rsid w:val="0082067C"/>
    <w:rsid w:val="00820E8E"/>
    <w:rsid w:val="00821EB2"/>
    <w:rsid w:val="008221A9"/>
    <w:rsid w:val="00823529"/>
    <w:rsid w:val="00824441"/>
    <w:rsid w:val="0082512F"/>
    <w:rsid w:val="00833293"/>
    <w:rsid w:val="00833DC6"/>
    <w:rsid w:val="00834928"/>
    <w:rsid w:val="008357C4"/>
    <w:rsid w:val="00835AE2"/>
    <w:rsid w:val="008368D4"/>
    <w:rsid w:val="00836C11"/>
    <w:rsid w:val="008375EB"/>
    <w:rsid w:val="00841485"/>
    <w:rsid w:val="00841D10"/>
    <w:rsid w:val="008429FD"/>
    <w:rsid w:val="00842CF5"/>
    <w:rsid w:val="00844E16"/>
    <w:rsid w:val="00845A6B"/>
    <w:rsid w:val="0084614F"/>
    <w:rsid w:val="0084640C"/>
    <w:rsid w:val="0084683B"/>
    <w:rsid w:val="008469CA"/>
    <w:rsid w:val="008500FA"/>
    <w:rsid w:val="00850449"/>
    <w:rsid w:val="00854CED"/>
    <w:rsid w:val="00854F57"/>
    <w:rsid w:val="008553E8"/>
    <w:rsid w:val="00857E99"/>
    <w:rsid w:val="0086258C"/>
    <w:rsid w:val="00862691"/>
    <w:rsid w:val="00862A6A"/>
    <w:rsid w:val="00862ABC"/>
    <w:rsid w:val="00862F0B"/>
    <w:rsid w:val="00866822"/>
    <w:rsid w:val="00870A4E"/>
    <w:rsid w:val="00875050"/>
    <w:rsid w:val="008752EE"/>
    <w:rsid w:val="00876A3B"/>
    <w:rsid w:val="00877776"/>
    <w:rsid w:val="00880B15"/>
    <w:rsid w:val="00881AAC"/>
    <w:rsid w:val="00881B11"/>
    <w:rsid w:val="008828D4"/>
    <w:rsid w:val="00883A9B"/>
    <w:rsid w:val="00883C10"/>
    <w:rsid w:val="0088584F"/>
    <w:rsid w:val="00886687"/>
    <w:rsid w:val="00886B72"/>
    <w:rsid w:val="00887B1A"/>
    <w:rsid w:val="008901BE"/>
    <w:rsid w:val="008907C2"/>
    <w:rsid w:val="0089226F"/>
    <w:rsid w:val="008936E0"/>
    <w:rsid w:val="00896043"/>
    <w:rsid w:val="008978BD"/>
    <w:rsid w:val="008A09D6"/>
    <w:rsid w:val="008A120C"/>
    <w:rsid w:val="008A32F8"/>
    <w:rsid w:val="008A3915"/>
    <w:rsid w:val="008A3CF2"/>
    <w:rsid w:val="008A3E43"/>
    <w:rsid w:val="008A4696"/>
    <w:rsid w:val="008A4D03"/>
    <w:rsid w:val="008A4E6D"/>
    <w:rsid w:val="008A61A5"/>
    <w:rsid w:val="008A70FF"/>
    <w:rsid w:val="008A7E0F"/>
    <w:rsid w:val="008A7F13"/>
    <w:rsid w:val="008B169A"/>
    <w:rsid w:val="008B4E7E"/>
    <w:rsid w:val="008C20B4"/>
    <w:rsid w:val="008C2FB0"/>
    <w:rsid w:val="008C33C1"/>
    <w:rsid w:val="008C6A0F"/>
    <w:rsid w:val="008D2D51"/>
    <w:rsid w:val="008D45CF"/>
    <w:rsid w:val="008D574B"/>
    <w:rsid w:val="008D5B4E"/>
    <w:rsid w:val="008E2802"/>
    <w:rsid w:val="008E28A0"/>
    <w:rsid w:val="008E302D"/>
    <w:rsid w:val="008E3C67"/>
    <w:rsid w:val="008E3EDE"/>
    <w:rsid w:val="008E3FC5"/>
    <w:rsid w:val="008E7A62"/>
    <w:rsid w:val="008F07BF"/>
    <w:rsid w:val="008F224B"/>
    <w:rsid w:val="008F22D6"/>
    <w:rsid w:val="008F3C86"/>
    <w:rsid w:val="008F5C3B"/>
    <w:rsid w:val="00902AC4"/>
    <w:rsid w:val="00903EA7"/>
    <w:rsid w:val="00904515"/>
    <w:rsid w:val="00906488"/>
    <w:rsid w:val="0090699A"/>
    <w:rsid w:val="00910351"/>
    <w:rsid w:val="00910407"/>
    <w:rsid w:val="00910BC2"/>
    <w:rsid w:val="00910D5F"/>
    <w:rsid w:val="00910EE4"/>
    <w:rsid w:val="00912CDC"/>
    <w:rsid w:val="00913AC7"/>
    <w:rsid w:val="00920EFA"/>
    <w:rsid w:val="009229D1"/>
    <w:rsid w:val="00926249"/>
    <w:rsid w:val="0092776D"/>
    <w:rsid w:val="009304C4"/>
    <w:rsid w:val="0093175F"/>
    <w:rsid w:val="00931C76"/>
    <w:rsid w:val="00931D8B"/>
    <w:rsid w:val="00933098"/>
    <w:rsid w:val="00933578"/>
    <w:rsid w:val="009369F5"/>
    <w:rsid w:val="00936CE1"/>
    <w:rsid w:val="00943D0E"/>
    <w:rsid w:val="00946365"/>
    <w:rsid w:val="0094730C"/>
    <w:rsid w:val="009478C0"/>
    <w:rsid w:val="00947F9B"/>
    <w:rsid w:val="00950156"/>
    <w:rsid w:val="00953450"/>
    <w:rsid w:val="00953457"/>
    <w:rsid w:val="009536FB"/>
    <w:rsid w:val="009561B4"/>
    <w:rsid w:val="00960F42"/>
    <w:rsid w:val="009620E2"/>
    <w:rsid w:val="00962AED"/>
    <w:rsid w:val="0096694C"/>
    <w:rsid w:val="00967097"/>
    <w:rsid w:val="00967EE9"/>
    <w:rsid w:val="00970959"/>
    <w:rsid w:val="00973714"/>
    <w:rsid w:val="0097494F"/>
    <w:rsid w:val="00975169"/>
    <w:rsid w:val="0097542B"/>
    <w:rsid w:val="0097621B"/>
    <w:rsid w:val="00977180"/>
    <w:rsid w:val="00981ECB"/>
    <w:rsid w:val="00985E2B"/>
    <w:rsid w:val="0098688B"/>
    <w:rsid w:val="009933B4"/>
    <w:rsid w:val="00994E64"/>
    <w:rsid w:val="009950D5"/>
    <w:rsid w:val="00995A59"/>
    <w:rsid w:val="00997EB4"/>
    <w:rsid w:val="009A0E00"/>
    <w:rsid w:val="009A11AD"/>
    <w:rsid w:val="009A1489"/>
    <w:rsid w:val="009A21C1"/>
    <w:rsid w:val="009A4D84"/>
    <w:rsid w:val="009A4E07"/>
    <w:rsid w:val="009A5076"/>
    <w:rsid w:val="009A59BB"/>
    <w:rsid w:val="009B0721"/>
    <w:rsid w:val="009B1165"/>
    <w:rsid w:val="009B2410"/>
    <w:rsid w:val="009B416A"/>
    <w:rsid w:val="009B62DE"/>
    <w:rsid w:val="009B6543"/>
    <w:rsid w:val="009B73E2"/>
    <w:rsid w:val="009C5658"/>
    <w:rsid w:val="009C57EA"/>
    <w:rsid w:val="009C6001"/>
    <w:rsid w:val="009D042C"/>
    <w:rsid w:val="009D0A87"/>
    <w:rsid w:val="009D1F12"/>
    <w:rsid w:val="009D25A8"/>
    <w:rsid w:val="009D3B01"/>
    <w:rsid w:val="009D3FAE"/>
    <w:rsid w:val="009D45D7"/>
    <w:rsid w:val="009D7DA8"/>
    <w:rsid w:val="009E0B33"/>
    <w:rsid w:val="009E151F"/>
    <w:rsid w:val="009E1C8A"/>
    <w:rsid w:val="009E3C1E"/>
    <w:rsid w:val="009E4F82"/>
    <w:rsid w:val="009E7051"/>
    <w:rsid w:val="009E7237"/>
    <w:rsid w:val="009F1999"/>
    <w:rsid w:val="009F7EEC"/>
    <w:rsid w:val="00A02540"/>
    <w:rsid w:val="00A0339A"/>
    <w:rsid w:val="00A039B6"/>
    <w:rsid w:val="00A03E0D"/>
    <w:rsid w:val="00A03FC3"/>
    <w:rsid w:val="00A04FC2"/>
    <w:rsid w:val="00A05025"/>
    <w:rsid w:val="00A06243"/>
    <w:rsid w:val="00A066AB"/>
    <w:rsid w:val="00A06C6C"/>
    <w:rsid w:val="00A06F63"/>
    <w:rsid w:val="00A10D77"/>
    <w:rsid w:val="00A128A4"/>
    <w:rsid w:val="00A13465"/>
    <w:rsid w:val="00A13D95"/>
    <w:rsid w:val="00A20894"/>
    <w:rsid w:val="00A22F3D"/>
    <w:rsid w:val="00A23F23"/>
    <w:rsid w:val="00A30A02"/>
    <w:rsid w:val="00A30B9C"/>
    <w:rsid w:val="00A31B41"/>
    <w:rsid w:val="00A373A4"/>
    <w:rsid w:val="00A374F0"/>
    <w:rsid w:val="00A42C22"/>
    <w:rsid w:val="00A4446A"/>
    <w:rsid w:val="00A4475E"/>
    <w:rsid w:val="00A45160"/>
    <w:rsid w:val="00A4534F"/>
    <w:rsid w:val="00A466BD"/>
    <w:rsid w:val="00A4697F"/>
    <w:rsid w:val="00A46DC7"/>
    <w:rsid w:val="00A47BB8"/>
    <w:rsid w:val="00A47CB6"/>
    <w:rsid w:val="00A505D7"/>
    <w:rsid w:val="00A52170"/>
    <w:rsid w:val="00A53A34"/>
    <w:rsid w:val="00A54DB7"/>
    <w:rsid w:val="00A61CB2"/>
    <w:rsid w:val="00A62027"/>
    <w:rsid w:val="00A62B14"/>
    <w:rsid w:val="00A62FCC"/>
    <w:rsid w:val="00A64EA7"/>
    <w:rsid w:val="00A652F1"/>
    <w:rsid w:val="00A66BDC"/>
    <w:rsid w:val="00A673F6"/>
    <w:rsid w:val="00A704CD"/>
    <w:rsid w:val="00A71A69"/>
    <w:rsid w:val="00A72A02"/>
    <w:rsid w:val="00A72A80"/>
    <w:rsid w:val="00A81495"/>
    <w:rsid w:val="00A82972"/>
    <w:rsid w:val="00A83E06"/>
    <w:rsid w:val="00A85DB6"/>
    <w:rsid w:val="00A86F5C"/>
    <w:rsid w:val="00A87CD5"/>
    <w:rsid w:val="00A901F4"/>
    <w:rsid w:val="00A93F27"/>
    <w:rsid w:val="00A95AA9"/>
    <w:rsid w:val="00A975E7"/>
    <w:rsid w:val="00AA074D"/>
    <w:rsid w:val="00AA0BDF"/>
    <w:rsid w:val="00AA1680"/>
    <w:rsid w:val="00AA31CB"/>
    <w:rsid w:val="00AA3C76"/>
    <w:rsid w:val="00AA3CB1"/>
    <w:rsid w:val="00AA4D5B"/>
    <w:rsid w:val="00AA6255"/>
    <w:rsid w:val="00AA6E4E"/>
    <w:rsid w:val="00AB0201"/>
    <w:rsid w:val="00AB1466"/>
    <w:rsid w:val="00AB168B"/>
    <w:rsid w:val="00AB35E6"/>
    <w:rsid w:val="00AB41C3"/>
    <w:rsid w:val="00AB5C60"/>
    <w:rsid w:val="00AB7535"/>
    <w:rsid w:val="00AB77D0"/>
    <w:rsid w:val="00AC11D9"/>
    <w:rsid w:val="00AC1561"/>
    <w:rsid w:val="00AC2A0E"/>
    <w:rsid w:val="00AC3158"/>
    <w:rsid w:val="00AC495E"/>
    <w:rsid w:val="00AC5B93"/>
    <w:rsid w:val="00AC7B48"/>
    <w:rsid w:val="00AC7C43"/>
    <w:rsid w:val="00AD161D"/>
    <w:rsid w:val="00AD38B4"/>
    <w:rsid w:val="00AD3902"/>
    <w:rsid w:val="00AD4AFE"/>
    <w:rsid w:val="00AD4BDA"/>
    <w:rsid w:val="00AD7F5C"/>
    <w:rsid w:val="00AE1A00"/>
    <w:rsid w:val="00AE3341"/>
    <w:rsid w:val="00AE35CC"/>
    <w:rsid w:val="00AF4A67"/>
    <w:rsid w:val="00B0003E"/>
    <w:rsid w:val="00B013FD"/>
    <w:rsid w:val="00B0560F"/>
    <w:rsid w:val="00B0620B"/>
    <w:rsid w:val="00B06D39"/>
    <w:rsid w:val="00B12D5F"/>
    <w:rsid w:val="00B156DF"/>
    <w:rsid w:val="00B159C2"/>
    <w:rsid w:val="00B15EF4"/>
    <w:rsid w:val="00B169B9"/>
    <w:rsid w:val="00B1740E"/>
    <w:rsid w:val="00B209EA"/>
    <w:rsid w:val="00B20A8A"/>
    <w:rsid w:val="00B236CC"/>
    <w:rsid w:val="00B23FEE"/>
    <w:rsid w:val="00B248D4"/>
    <w:rsid w:val="00B2649A"/>
    <w:rsid w:val="00B27E8C"/>
    <w:rsid w:val="00B304FA"/>
    <w:rsid w:val="00B30BF1"/>
    <w:rsid w:val="00B378F9"/>
    <w:rsid w:val="00B419A2"/>
    <w:rsid w:val="00B441A7"/>
    <w:rsid w:val="00B443FE"/>
    <w:rsid w:val="00B453C7"/>
    <w:rsid w:val="00B476B9"/>
    <w:rsid w:val="00B51E6A"/>
    <w:rsid w:val="00B548C2"/>
    <w:rsid w:val="00B5609E"/>
    <w:rsid w:val="00B575DC"/>
    <w:rsid w:val="00B60645"/>
    <w:rsid w:val="00B6092A"/>
    <w:rsid w:val="00B673FF"/>
    <w:rsid w:val="00B7240C"/>
    <w:rsid w:val="00B72910"/>
    <w:rsid w:val="00B72C2A"/>
    <w:rsid w:val="00B73373"/>
    <w:rsid w:val="00B7477B"/>
    <w:rsid w:val="00B7714E"/>
    <w:rsid w:val="00B77362"/>
    <w:rsid w:val="00B77A33"/>
    <w:rsid w:val="00B823E1"/>
    <w:rsid w:val="00B83808"/>
    <w:rsid w:val="00B84B47"/>
    <w:rsid w:val="00B87E90"/>
    <w:rsid w:val="00B900B8"/>
    <w:rsid w:val="00B91D7B"/>
    <w:rsid w:val="00B92407"/>
    <w:rsid w:val="00B94281"/>
    <w:rsid w:val="00B94B13"/>
    <w:rsid w:val="00B94E10"/>
    <w:rsid w:val="00B9542B"/>
    <w:rsid w:val="00B9630F"/>
    <w:rsid w:val="00B963AA"/>
    <w:rsid w:val="00BA7C81"/>
    <w:rsid w:val="00BB0B26"/>
    <w:rsid w:val="00BB367A"/>
    <w:rsid w:val="00BB423F"/>
    <w:rsid w:val="00BB67AF"/>
    <w:rsid w:val="00BB764F"/>
    <w:rsid w:val="00BC0C8C"/>
    <w:rsid w:val="00BC0D0A"/>
    <w:rsid w:val="00BC3EC1"/>
    <w:rsid w:val="00BD1340"/>
    <w:rsid w:val="00BD2938"/>
    <w:rsid w:val="00BD2BF9"/>
    <w:rsid w:val="00BD5AD8"/>
    <w:rsid w:val="00BD6FB1"/>
    <w:rsid w:val="00BE09FC"/>
    <w:rsid w:val="00BE3E79"/>
    <w:rsid w:val="00BE6A48"/>
    <w:rsid w:val="00BF18B2"/>
    <w:rsid w:val="00BF1FED"/>
    <w:rsid w:val="00BF3109"/>
    <w:rsid w:val="00BF60F6"/>
    <w:rsid w:val="00C00375"/>
    <w:rsid w:val="00C00AC4"/>
    <w:rsid w:val="00C00DC0"/>
    <w:rsid w:val="00C01A98"/>
    <w:rsid w:val="00C0210B"/>
    <w:rsid w:val="00C0212A"/>
    <w:rsid w:val="00C02354"/>
    <w:rsid w:val="00C02442"/>
    <w:rsid w:val="00C037C3"/>
    <w:rsid w:val="00C04136"/>
    <w:rsid w:val="00C049E1"/>
    <w:rsid w:val="00C06842"/>
    <w:rsid w:val="00C1114A"/>
    <w:rsid w:val="00C1183A"/>
    <w:rsid w:val="00C12734"/>
    <w:rsid w:val="00C13BD2"/>
    <w:rsid w:val="00C148E7"/>
    <w:rsid w:val="00C1519E"/>
    <w:rsid w:val="00C17A5F"/>
    <w:rsid w:val="00C21191"/>
    <w:rsid w:val="00C21F40"/>
    <w:rsid w:val="00C224A2"/>
    <w:rsid w:val="00C2279B"/>
    <w:rsid w:val="00C23420"/>
    <w:rsid w:val="00C235F8"/>
    <w:rsid w:val="00C23636"/>
    <w:rsid w:val="00C23B45"/>
    <w:rsid w:val="00C2480D"/>
    <w:rsid w:val="00C248CE"/>
    <w:rsid w:val="00C24D52"/>
    <w:rsid w:val="00C24E3F"/>
    <w:rsid w:val="00C25265"/>
    <w:rsid w:val="00C257E4"/>
    <w:rsid w:val="00C276EE"/>
    <w:rsid w:val="00C278E6"/>
    <w:rsid w:val="00C27E91"/>
    <w:rsid w:val="00C3056A"/>
    <w:rsid w:val="00C318FC"/>
    <w:rsid w:val="00C342D3"/>
    <w:rsid w:val="00C425D4"/>
    <w:rsid w:val="00C43942"/>
    <w:rsid w:val="00C463F5"/>
    <w:rsid w:val="00C47A7E"/>
    <w:rsid w:val="00C523EC"/>
    <w:rsid w:val="00C53391"/>
    <w:rsid w:val="00C536B7"/>
    <w:rsid w:val="00C56C4D"/>
    <w:rsid w:val="00C57487"/>
    <w:rsid w:val="00C60F8E"/>
    <w:rsid w:val="00C622CB"/>
    <w:rsid w:val="00C62337"/>
    <w:rsid w:val="00C62754"/>
    <w:rsid w:val="00C62821"/>
    <w:rsid w:val="00C64B05"/>
    <w:rsid w:val="00C65857"/>
    <w:rsid w:val="00C70E18"/>
    <w:rsid w:val="00C7175D"/>
    <w:rsid w:val="00C71A4F"/>
    <w:rsid w:val="00C72B9F"/>
    <w:rsid w:val="00C7359B"/>
    <w:rsid w:val="00C741E7"/>
    <w:rsid w:val="00C77A0D"/>
    <w:rsid w:val="00C80F91"/>
    <w:rsid w:val="00C81352"/>
    <w:rsid w:val="00C81A18"/>
    <w:rsid w:val="00C81C0F"/>
    <w:rsid w:val="00C81F7D"/>
    <w:rsid w:val="00C86630"/>
    <w:rsid w:val="00C90A3E"/>
    <w:rsid w:val="00C9134B"/>
    <w:rsid w:val="00C9154B"/>
    <w:rsid w:val="00C93016"/>
    <w:rsid w:val="00C94247"/>
    <w:rsid w:val="00C95F13"/>
    <w:rsid w:val="00C96CB1"/>
    <w:rsid w:val="00C978FF"/>
    <w:rsid w:val="00CA2856"/>
    <w:rsid w:val="00CA76AA"/>
    <w:rsid w:val="00CB0BBE"/>
    <w:rsid w:val="00CB14CC"/>
    <w:rsid w:val="00CB28A3"/>
    <w:rsid w:val="00CB2F24"/>
    <w:rsid w:val="00CB3467"/>
    <w:rsid w:val="00CB36B6"/>
    <w:rsid w:val="00CB3883"/>
    <w:rsid w:val="00CB44D7"/>
    <w:rsid w:val="00CB704D"/>
    <w:rsid w:val="00CB7C07"/>
    <w:rsid w:val="00CC0E48"/>
    <w:rsid w:val="00CC262E"/>
    <w:rsid w:val="00CC293F"/>
    <w:rsid w:val="00CC2ED1"/>
    <w:rsid w:val="00CC3098"/>
    <w:rsid w:val="00CC3963"/>
    <w:rsid w:val="00CC5F5F"/>
    <w:rsid w:val="00CC64F9"/>
    <w:rsid w:val="00CC6EAC"/>
    <w:rsid w:val="00CC7F28"/>
    <w:rsid w:val="00CD18C1"/>
    <w:rsid w:val="00CD1B19"/>
    <w:rsid w:val="00CD36E6"/>
    <w:rsid w:val="00CD3BA2"/>
    <w:rsid w:val="00CD3E2F"/>
    <w:rsid w:val="00CD4FE0"/>
    <w:rsid w:val="00CD5E1B"/>
    <w:rsid w:val="00CD77E9"/>
    <w:rsid w:val="00CE141F"/>
    <w:rsid w:val="00CE15BC"/>
    <w:rsid w:val="00CE282A"/>
    <w:rsid w:val="00CE2DD3"/>
    <w:rsid w:val="00CE2E89"/>
    <w:rsid w:val="00CE4046"/>
    <w:rsid w:val="00CE7201"/>
    <w:rsid w:val="00CE7F8B"/>
    <w:rsid w:val="00CF01FA"/>
    <w:rsid w:val="00CF03D6"/>
    <w:rsid w:val="00CF5A2C"/>
    <w:rsid w:val="00CF6E3E"/>
    <w:rsid w:val="00D00E57"/>
    <w:rsid w:val="00D03CD3"/>
    <w:rsid w:val="00D0454B"/>
    <w:rsid w:val="00D05404"/>
    <w:rsid w:val="00D0651E"/>
    <w:rsid w:val="00D12D76"/>
    <w:rsid w:val="00D134E7"/>
    <w:rsid w:val="00D13C39"/>
    <w:rsid w:val="00D15D6D"/>
    <w:rsid w:val="00D16363"/>
    <w:rsid w:val="00D16648"/>
    <w:rsid w:val="00D211DD"/>
    <w:rsid w:val="00D217B5"/>
    <w:rsid w:val="00D220FD"/>
    <w:rsid w:val="00D229D5"/>
    <w:rsid w:val="00D231B8"/>
    <w:rsid w:val="00D33419"/>
    <w:rsid w:val="00D33D9A"/>
    <w:rsid w:val="00D350C9"/>
    <w:rsid w:val="00D35267"/>
    <w:rsid w:val="00D4190A"/>
    <w:rsid w:val="00D41DD5"/>
    <w:rsid w:val="00D4245B"/>
    <w:rsid w:val="00D43AAE"/>
    <w:rsid w:val="00D44017"/>
    <w:rsid w:val="00D46969"/>
    <w:rsid w:val="00D47F2D"/>
    <w:rsid w:val="00D50C34"/>
    <w:rsid w:val="00D54091"/>
    <w:rsid w:val="00D613FA"/>
    <w:rsid w:val="00D636F1"/>
    <w:rsid w:val="00D64110"/>
    <w:rsid w:val="00D641B5"/>
    <w:rsid w:val="00D642DB"/>
    <w:rsid w:val="00D64C26"/>
    <w:rsid w:val="00D65E1F"/>
    <w:rsid w:val="00D66057"/>
    <w:rsid w:val="00D72CA8"/>
    <w:rsid w:val="00D73532"/>
    <w:rsid w:val="00D76223"/>
    <w:rsid w:val="00D766A5"/>
    <w:rsid w:val="00D7750B"/>
    <w:rsid w:val="00D80B39"/>
    <w:rsid w:val="00D814CB"/>
    <w:rsid w:val="00D82309"/>
    <w:rsid w:val="00D82CD6"/>
    <w:rsid w:val="00D82E8E"/>
    <w:rsid w:val="00D87633"/>
    <w:rsid w:val="00D87DD7"/>
    <w:rsid w:val="00D90102"/>
    <w:rsid w:val="00D90A4D"/>
    <w:rsid w:val="00D91D66"/>
    <w:rsid w:val="00D92635"/>
    <w:rsid w:val="00D935F6"/>
    <w:rsid w:val="00D93F0A"/>
    <w:rsid w:val="00D953C9"/>
    <w:rsid w:val="00DA359F"/>
    <w:rsid w:val="00DA4DCF"/>
    <w:rsid w:val="00DA513B"/>
    <w:rsid w:val="00DA599D"/>
    <w:rsid w:val="00DA6858"/>
    <w:rsid w:val="00DA7A06"/>
    <w:rsid w:val="00DB2A20"/>
    <w:rsid w:val="00DB2C42"/>
    <w:rsid w:val="00DB2C79"/>
    <w:rsid w:val="00DB45B2"/>
    <w:rsid w:val="00DB6754"/>
    <w:rsid w:val="00DB74B8"/>
    <w:rsid w:val="00DC0259"/>
    <w:rsid w:val="00DC035C"/>
    <w:rsid w:val="00DC0F38"/>
    <w:rsid w:val="00DD00A6"/>
    <w:rsid w:val="00DD378F"/>
    <w:rsid w:val="00DD55FC"/>
    <w:rsid w:val="00DD63B5"/>
    <w:rsid w:val="00DE1A48"/>
    <w:rsid w:val="00DE3C28"/>
    <w:rsid w:val="00DE4759"/>
    <w:rsid w:val="00DE5419"/>
    <w:rsid w:val="00DE62F4"/>
    <w:rsid w:val="00DE6558"/>
    <w:rsid w:val="00DE7CA8"/>
    <w:rsid w:val="00DF045C"/>
    <w:rsid w:val="00DF0DF9"/>
    <w:rsid w:val="00DF0FD6"/>
    <w:rsid w:val="00DF149C"/>
    <w:rsid w:val="00DF3A5A"/>
    <w:rsid w:val="00DF479B"/>
    <w:rsid w:val="00DF5D6E"/>
    <w:rsid w:val="00DF67C7"/>
    <w:rsid w:val="00E01199"/>
    <w:rsid w:val="00E015E2"/>
    <w:rsid w:val="00E0411A"/>
    <w:rsid w:val="00E04AE2"/>
    <w:rsid w:val="00E04F01"/>
    <w:rsid w:val="00E062EB"/>
    <w:rsid w:val="00E06C0F"/>
    <w:rsid w:val="00E12BC9"/>
    <w:rsid w:val="00E142DA"/>
    <w:rsid w:val="00E151E6"/>
    <w:rsid w:val="00E15EF6"/>
    <w:rsid w:val="00E168A4"/>
    <w:rsid w:val="00E2038E"/>
    <w:rsid w:val="00E20CE5"/>
    <w:rsid w:val="00E20E0E"/>
    <w:rsid w:val="00E22349"/>
    <w:rsid w:val="00E22D71"/>
    <w:rsid w:val="00E23B1A"/>
    <w:rsid w:val="00E24806"/>
    <w:rsid w:val="00E26132"/>
    <w:rsid w:val="00E2636A"/>
    <w:rsid w:val="00E27DC7"/>
    <w:rsid w:val="00E3153F"/>
    <w:rsid w:val="00E31D81"/>
    <w:rsid w:val="00E32512"/>
    <w:rsid w:val="00E32CEF"/>
    <w:rsid w:val="00E33910"/>
    <w:rsid w:val="00E35A23"/>
    <w:rsid w:val="00E35B71"/>
    <w:rsid w:val="00E37CC7"/>
    <w:rsid w:val="00E41375"/>
    <w:rsid w:val="00E415A1"/>
    <w:rsid w:val="00E43944"/>
    <w:rsid w:val="00E44855"/>
    <w:rsid w:val="00E45FCB"/>
    <w:rsid w:val="00E460DA"/>
    <w:rsid w:val="00E46AE3"/>
    <w:rsid w:val="00E509BF"/>
    <w:rsid w:val="00E53755"/>
    <w:rsid w:val="00E55AA5"/>
    <w:rsid w:val="00E568AD"/>
    <w:rsid w:val="00E613B2"/>
    <w:rsid w:val="00E62B85"/>
    <w:rsid w:val="00E63E4F"/>
    <w:rsid w:val="00E63FCD"/>
    <w:rsid w:val="00E6622C"/>
    <w:rsid w:val="00E67CD3"/>
    <w:rsid w:val="00E67CF5"/>
    <w:rsid w:val="00E7009A"/>
    <w:rsid w:val="00E71346"/>
    <w:rsid w:val="00E713EB"/>
    <w:rsid w:val="00E72E76"/>
    <w:rsid w:val="00E73298"/>
    <w:rsid w:val="00E776FC"/>
    <w:rsid w:val="00E82A4F"/>
    <w:rsid w:val="00E82CCD"/>
    <w:rsid w:val="00E848B3"/>
    <w:rsid w:val="00E86827"/>
    <w:rsid w:val="00E87C1E"/>
    <w:rsid w:val="00E91B4C"/>
    <w:rsid w:val="00E92B64"/>
    <w:rsid w:val="00E93081"/>
    <w:rsid w:val="00E96279"/>
    <w:rsid w:val="00E97348"/>
    <w:rsid w:val="00EA2E5B"/>
    <w:rsid w:val="00EA5D23"/>
    <w:rsid w:val="00EA7F21"/>
    <w:rsid w:val="00EA7FFB"/>
    <w:rsid w:val="00EB02FC"/>
    <w:rsid w:val="00EB0D5F"/>
    <w:rsid w:val="00EB1317"/>
    <w:rsid w:val="00EB38E0"/>
    <w:rsid w:val="00EB4D00"/>
    <w:rsid w:val="00EB5196"/>
    <w:rsid w:val="00EB5416"/>
    <w:rsid w:val="00EC07FE"/>
    <w:rsid w:val="00EC2EDC"/>
    <w:rsid w:val="00EC40E3"/>
    <w:rsid w:val="00EC4B2C"/>
    <w:rsid w:val="00EC4E5A"/>
    <w:rsid w:val="00EC5828"/>
    <w:rsid w:val="00ED1ADC"/>
    <w:rsid w:val="00ED2B51"/>
    <w:rsid w:val="00ED31B1"/>
    <w:rsid w:val="00ED6090"/>
    <w:rsid w:val="00ED6A59"/>
    <w:rsid w:val="00EE13E8"/>
    <w:rsid w:val="00EE351A"/>
    <w:rsid w:val="00EE5B55"/>
    <w:rsid w:val="00EE7760"/>
    <w:rsid w:val="00EE797C"/>
    <w:rsid w:val="00EF03D8"/>
    <w:rsid w:val="00EF13BF"/>
    <w:rsid w:val="00EF2F45"/>
    <w:rsid w:val="00EF40C5"/>
    <w:rsid w:val="00EF55FF"/>
    <w:rsid w:val="00EF5A3A"/>
    <w:rsid w:val="00EF7472"/>
    <w:rsid w:val="00F00F0C"/>
    <w:rsid w:val="00F01A67"/>
    <w:rsid w:val="00F02B18"/>
    <w:rsid w:val="00F03AED"/>
    <w:rsid w:val="00F07841"/>
    <w:rsid w:val="00F1316A"/>
    <w:rsid w:val="00F1432A"/>
    <w:rsid w:val="00F14496"/>
    <w:rsid w:val="00F15896"/>
    <w:rsid w:val="00F17BD4"/>
    <w:rsid w:val="00F20153"/>
    <w:rsid w:val="00F22687"/>
    <w:rsid w:val="00F23A8E"/>
    <w:rsid w:val="00F2478B"/>
    <w:rsid w:val="00F24AD2"/>
    <w:rsid w:val="00F2504E"/>
    <w:rsid w:val="00F26E35"/>
    <w:rsid w:val="00F2773B"/>
    <w:rsid w:val="00F32566"/>
    <w:rsid w:val="00F33816"/>
    <w:rsid w:val="00F33953"/>
    <w:rsid w:val="00F35252"/>
    <w:rsid w:val="00F415AE"/>
    <w:rsid w:val="00F41FBC"/>
    <w:rsid w:val="00F4522C"/>
    <w:rsid w:val="00F46952"/>
    <w:rsid w:val="00F46D4C"/>
    <w:rsid w:val="00F5114C"/>
    <w:rsid w:val="00F51348"/>
    <w:rsid w:val="00F51AC6"/>
    <w:rsid w:val="00F536C6"/>
    <w:rsid w:val="00F53900"/>
    <w:rsid w:val="00F5473B"/>
    <w:rsid w:val="00F57006"/>
    <w:rsid w:val="00F57748"/>
    <w:rsid w:val="00F60533"/>
    <w:rsid w:val="00F60E12"/>
    <w:rsid w:val="00F613A4"/>
    <w:rsid w:val="00F6463B"/>
    <w:rsid w:val="00F653F8"/>
    <w:rsid w:val="00F654F1"/>
    <w:rsid w:val="00F657C7"/>
    <w:rsid w:val="00F70B15"/>
    <w:rsid w:val="00F70BB6"/>
    <w:rsid w:val="00F70EE1"/>
    <w:rsid w:val="00F722B9"/>
    <w:rsid w:val="00F74463"/>
    <w:rsid w:val="00F75A8D"/>
    <w:rsid w:val="00F805E6"/>
    <w:rsid w:val="00F82275"/>
    <w:rsid w:val="00F861FB"/>
    <w:rsid w:val="00F867D5"/>
    <w:rsid w:val="00F872BE"/>
    <w:rsid w:val="00F93559"/>
    <w:rsid w:val="00F93C09"/>
    <w:rsid w:val="00F94939"/>
    <w:rsid w:val="00F94B53"/>
    <w:rsid w:val="00F94D9B"/>
    <w:rsid w:val="00F95DB1"/>
    <w:rsid w:val="00F968FC"/>
    <w:rsid w:val="00FA008D"/>
    <w:rsid w:val="00FA12AF"/>
    <w:rsid w:val="00FA1D4E"/>
    <w:rsid w:val="00FA235D"/>
    <w:rsid w:val="00FA279E"/>
    <w:rsid w:val="00FA41CC"/>
    <w:rsid w:val="00FA4282"/>
    <w:rsid w:val="00FA65CE"/>
    <w:rsid w:val="00FB1291"/>
    <w:rsid w:val="00FB2161"/>
    <w:rsid w:val="00FB5CC1"/>
    <w:rsid w:val="00FC00A0"/>
    <w:rsid w:val="00FC1566"/>
    <w:rsid w:val="00FC1649"/>
    <w:rsid w:val="00FC1D35"/>
    <w:rsid w:val="00FC4F40"/>
    <w:rsid w:val="00FC627F"/>
    <w:rsid w:val="00FC66FE"/>
    <w:rsid w:val="00FC7E6E"/>
    <w:rsid w:val="00FD0922"/>
    <w:rsid w:val="00FD0AC1"/>
    <w:rsid w:val="00FD0F1F"/>
    <w:rsid w:val="00FD1DE2"/>
    <w:rsid w:val="00FD259C"/>
    <w:rsid w:val="00FD4B43"/>
    <w:rsid w:val="00FD6BC8"/>
    <w:rsid w:val="00FD6ECD"/>
    <w:rsid w:val="00FD71C1"/>
    <w:rsid w:val="00FE1734"/>
    <w:rsid w:val="00FE2EFC"/>
    <w:rsid w:val="00FE32D2"/>
    <w:rsid w:val="00FE41E7"/>
    <w:rsid w:val="00FE5129"/>
    <w:rsid w:val="00FE55CF"/>
    <w:rsid w:val="00FE6AE1"/>
    <w:rsid w:val="00FE7AB8"/>
    <w:rsid w:val="00FE7EF5"/>
    <w:rsid w:val="00FF00C3"/>
    <w:rsid w:val="00FF0123"/>
    <w:rsid w:val="00FF0EA1"/>
    <w:rsid w:val="00FF1A02"/>
    <w:rsid w:val="00FF2498"/>
    <w:rsid w:val="00FF2E8A"/>
    <w:rsid w:val="00FF3499"/>
    <w:rsid w:val="00FF39C7"/>
    <w:rsid w:val="00FF4628"/>
    <w:rsid w:val="00FF52B1"/>
    <w:rsid w:val="00FF57FB"/>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5F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A3A"/>
    <w:pPr>
      <w:spacing w:after="100" w:line="400" w:lineRule="exact"/>
      <w:jc w:val="both"/>
    </w:pPr>
    <w:rPr>
      <w:rFonts w:ascii="Century Schoolbook" w:hAnsi="Century Schoolbook"/>
      <w:sz w:val="27"/>
    </w:rPr>
  </w:style>
  <w:style w:type="paragraph" w:styleId="Heading1">
    <w:name w:val="heading 1"/>
    <w:basedOn w:val="Normal"/>
    <w:next w:val="Normal"/>
    <w:qFormat/>
    <w:rsid w:val="00EF5A3A"/>
    <w:pPr>
      <w:keepNext/>
      <w:spacing w:before="140" w:line="240" w:lineRule="atLeast"/>
      <w:jc w:val="center"/>
      <w:outlineLvl w:val="0"/>
    </w:pPr>
    <w:rPr>
      <w:b/>
      <w:smallCaps/>
    </w:rPr>
  </w:style>
  <w:style w:type="paragraph" w:styleId="Heading2">
    <w:name w:val="heading 2"/>
    <w:basedOn w:val="Normal"/>
    <w:next w:val="Normal"/>
    <w:qFormat/>
    <w:rsid w:val="00EF5A3A"/>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EF5A3A"/>
    <w:pPr>
      <w:keepNext/>
      <w:tabs>
        <w:tab w:val="left" w:pos="1584"/>
      </w:tabs>
      <w:spacing w:before="140" w:line="240" w:lineRule="atLeast"/>
      <w:ind w:left="1584" w:hanging="432"/>
      <w:jc w:val="left"/>
      <w:outlineLvl w:val="2"/>
    </w:pPr>
    <w:rPr>
      <w:i/>
    </w:rPr>
  </w:style>
  <w:style w:type="paragraph" w:styleId="Heading4">
    <w:name w:val="heading 4"/>
    <w:basedOn w:val="Normal"/>
    <w:rsid w:val="00EF5A3A"/>
    <w:pPr>
      <w:keepNext/>
      <w:tabs>
        <w:tab w:val="left" w:pos="2016"/>
      </w:tabs>
      <w:spacing w:before="140" w:line="240" w:lineRule="atLeast"/>
      <w:ind w:left="2016" w:hanging="432"/>
      <w:jc w:val="left"/>
      <w:outlineLvl w:val="3"/>
    </w:pPr>
    <w:rPr>
      <w:i/>
    </w:rPr>
  </w:style>
  <w:style w:type="paragraph" w:styleId="Heading5">
    <w:name w:val="heading 5"/>
    <w:basedOn w:val="Normal"/>
    <w:rsid w:val="00EF5A3A"/>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EF5A3A"/>
    <w:pPr>
      <w:ind w:left="720"/>
    </w:pPr>
  </w:style>
  <w:style w:type="paragraph" w:styleId="Footer">
    <w:name w:val="footer"/>
    <w:basedOn w:val="Normal"/>
    <w:qFormat/>
    <w:rsid w:val="00EF5A3A"/>
    <w:pPr>
      <w:tabs>
        <w:tab w:val="center" w:pos="3960"/>
        <w:tab w:val="right" w:pos="10080"/>
      </w:tabs>
      <w:spacing w:after="0" w:line="240" w:lineRule="auto"/>
      <w:jc w:val="center"/>
    </w:pPr>
    <w:rPr>
      <w:sz w:val="22"/>
    </w:rPr>
  </w:style>
  <w:style w:type="paragraph" w:styleId="Header">
    <w:name w:val="header"/>
    <w:basedOn w:val="Normal"/>
    <w:qFormat/>
    <w:rsid w:val="00EF5A3A"/>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EF5A3A"/>
    <w:rPr>
      <w:rFonts w:ascii="Century Schoolbook" w:hAnsi="Century Schoolbook"/>
      <w:b/>
      <w:i w:val="0"/>
      <w:position w:val="4"/>
      <w:sz w:val="27"/>
      <w:vertAlign w:val="superscript"/>
    </w:rPr>
  </w:style>
  <w:style w:type="paragraph" w:styleId="FootnoteText">
    <w:name w:val="footnote text"/>
    <w:basedOn w:val="Normal"/>
    <w:link w:val="FootnoteTextChar"/>
    <w:rsid w:val="00EF5A3A"/>
    <w:pPr>
      <w:spacing w:line="300" w:lineRule="exact"/>
    </w:pPr>
  </w:style>
  <w:style w:type="paragraph" w:customStyle="1" w:styleId="Title1">
    <w:name w:val="Title1"/>
    <w:basedOn w:val="Normal"/>
    <w:rsid w:val="00EF5A3A"/>
    <w:pPr>
      <w:tabs>
        <w:tab w:val="left" w:pos="5760"/>
        <w:tab w:val="left" w:pos="6480"/>
      </w:tabs>
      <w:spacing w:line="240" w:lineRule="atLeast"/>
    </w:pPr>
  </w:style>
  <w:style w:type="paragraph" w:customStyle="1" w:styleId="Recommend">
    <w:name w:val="Recommend"/>
    <w:basedOn w:val="Normal"/>
    <w:rsid w:val="00EF5A3A"/>
  </w:style>
  <w:style w:type="paragraph" w:customStyle="1" w:styleId="Summary">
    <w:name w:val="Summary"/>
    <w:basedOn w:val="Normal"/>
    <w:rsid w:val="00EF5A3A"/>
    <w:pPr>
      <w:ind w:left="2160" w:hanging="2160"/>
    </w:pPr>
  </w:style>
  <w:style w:type="paragraph" w:customStyle="1" w:styleId="Text">
    <w:name w:val="Text"/>
    <w:basedOn w:val="Normal"/>
    <w:rsid w:val="00EF5A3A"/>
    <w:pPr>
      <w:tabs>
        <w:tab w:val="left" w:pos="720"/>
        <w:tab w:val="left" w:pos="1440"/>
        <w:tab w:val="left" w:pos="2160"/>
        <w:tab w:val="center" w:pos="4320"/>
      </w:tabs>
      <w:spacing w:line="480" w:lineRule="atLeast"/>
      <w:ind w:firstLine="540"/>
    </w:pPr>
  </w:style>
  <w:style w:type="paragraph" w:styleId="Date">
    <w:name w:val="Date"/>
    <w:basedOn w:val="Normal"/>
    <w:semiHidden/>
    <w:rsid w:val="00EF5A3A"/>
    <w:pPr>
      <w:jc w:val="right"/>
    </w:pPr>
  </w:style>
  <w:style w:type="character" w:styleId="PageNumber">
    <w:name w:val="page number"/>
    <w:basedOn w:val="DefaultParagraphFont"/>
    <w:semiHidden/>
    <w:rsid w:val="00EF5A3A"/>
  </w:style>
  <w:style w:type="paragraph" w:customStyle="1" w:styleId="subject">
    <w:name w:val="subject"/>
    <w:basedOn w:val="Normal"/>
    <w:rsid w:val="00EF5A3A"/>
    <w:pPr>
      <w:tabs>
        <w:tab w:val="left" w:pos="1008"/>
      </w:tabs>
      <w:ind w:left="990" w:hanging="990"/>
    </w:pPr>
    <w:rPr>
      <w:b/>
    </w:rPr>
  </w:style>
  <w:style w:type="paragraph" w:customStyle="1" w:styleId="Titles">
    <w:name w:val="Titles"/>
    <w:basedOn w:val="Normal"/>
    <w:rsid w:val="00EF5A3A"/>
    <w:pPr>
      <w:tabs>
        <w:tab w:val="left" w:pos="2160"/>
      </w:tabs>
      <w:ind w:left="2160" w:hanging="2160"/>
    </w:pPr>
    <w:rPr>
      <w:b/>
    </w:rPr>
  </w:style>
  <w:style w:type="paragraph" w:styleId="TOAHeading">
    <w:name w:val="toa heading"/>
    <w:basedOn w:val="Normal"/>
    <w:next w:val="Normal"/>
    <w:semiHidden/>
    <w:rsid w:val="00EF5A3A"/>
    <w:pPr>
      <w:spacing w:before="120"/>
    </w:pPr>
    <w:rPr>
      <w:b/>
    </w:rPr>
  </w:style>
  <w:style w:type="paragraph" w:styleId="TOC1">
    <w:name w:val="toc 1"/>
    <w:basedOn w:val="Normal"/>
    <w:next w:val="Normal"/>
    <w:autoRedefine/>
    <w:semiHidden/>
    <w:rsid w:val="00EF5A3A"/>
  </w:style>
  <w:style w:type="paragraph" w:styleId="TOC2">
    <w:name w:val="toc 2"/>
    <w:basedOn w:val="Normal"/>
    <w:next w:val="Normal"/>
    <w:autoRedefine/>
    <w:semiHidden/>
    <w:rsid w:val="00EF5A3A"/>
    <w:pPr>
      <w:ind w:left="259"/>
    </w:pPr>
  </w:style>
  <w:style w:type="paragraph" w:styleId="TOC3">
    <w:name w:val="toc 3"/>
    <w:basedOn w:val="Normal"/>
    <w:next w:val="Normal"/>
    <w:autoRedefine/>
    <w:semiHidden/>
    <w:rsid w:val="00EF5A3A"/>
    <w:pPr>
      <w:ind w:left="520"/>
    </w:pPr>
  </w:style>
  <w:style w:type="paragraph" w:styleId="TOC4">
    <w:name w:val="toc 4"/>
    <w:basedOn w:val="Normal"/>
    <w:next w:val="Normal"/>
    <w:autoRedefine/>
    <w:semiHidden/>
    <w:rsid w:val="00EF5A3A"/>
    <w:pPr>
      <w:ind w:left="780"/>
    </w:pPr>
  </w:style>
  <w:style w:type="paragraph" w:styleId="TOC5">
    <w:name w:val="toc 5"/>
    <w:basedOn w:val="Normal"/>
    <w:next w:val="Normal"/>
    <w:autoRedefine/>
    <w:semiHidden/>
    <w:rsid w:val="00EF5A3A"/>
    <w:pPr>
      <w:ind w:left="1040"/>
    </w:pPr>
  </w:style>
  <w:style w:type="paragraph" w:styleId="TOC6">
    <w:name w:val="toc 6"/>
    <w:basedOn w:val="Normal"/>
    <w:next w:val="Normal"/>
    <w:autoRedefine/>
    <w:semiHidden/>
    <w:rsid w:val="00EF5A3A"/>
    <w:pPr>
      <w:ind w:left="1300"/>
    </w:pPr>
  </w:style>
  <w:style w:type="paragraph" w:styleId="TOC7">
    <w:name w:val="toc 7"/>
    <w:basedOn w:val="Normal"/>
    <w:next w:val="Normal"/>
    <w:autoRedefine/>
    <w:semiHidden/>
    <w:rsid w:val="00EF5A3A"/>
    <w:pPr>
      <w:ind w:left="1560"/>
    </w:pPr>
  </w:style>
  <w:style w:type="paragraph" w:styleId="TOC8">
    <w:name w:val="toc 8"/>
    <w:basedOn w:val="Normal"/>
    <w:next w:val="Normal"/>
    <w:autoRedefine/>
    <w:semiHidden/>
    <w:rsid w:val="00EF5A3A"/>
    <w:pPr>
      <w:ind w:left="1820"/>
    </w:pPr>
  </w:style>
  <w:style w:type="paragraph" w:styleId="TOC9">
    <w:name w:val="toc 9"/>
    <w:basedOn w:val="Normal"/>
    <w:next w:val="Normal"/>
    <w:autoRedefine/>
    <w:semiHidden/>
    <w:rsid w:val="00EF5A3A"/>
    <w:pPr>
      <w:ind w:left="2080"/>
    </w:pPr>
  </w:style>
  <w:style w:type="paragraph" w:customStyle="1" w:styleId="Contents">
    <w:name w:val="Contents"/>
    <w:basedOn w:val="Normal"/>
    <w:rsid w:val="00EF5A3A"/>
    <w:pPr>
      <w:jc w:val="center"/>
    </w:pPr>
    <w:rPr>
      <w:b/>
      <w:spacing w:val="100"/>
    </w:rPr>
  </w:style>
  <w:style w:type="character" w:customStyle="1" w:styleId="FootnoteTextChar">
    <w:name w:val="Footnote Text Char"/>
    <w:basedOn w:val="DefaultParagraphFont"/>
    <w:link w:val="FootnoteText"/>
    <w:rsid w:val="000B26F9"/>
    <w:rPr>
      <w:rFonts w:ascii="Century Schoolbook" w:hAnsi="Century Schoolbook"/>
      <w:sz w:val="27"/>
    </w:rPr>
  </w:style>
  <w:style w:type="paragraph" w:styleId="ListParagraph">
    <w:name w:val="List Paragraph"/>
    <w:basedOn w:val="Normal"/>
    <w:uiPriority w:val="34"/>
    <w:rsid w:val="000B26F9"/>
    <w:pPr>
      <w:ind w:left="720"/>
      <w:contextualSpacing/>
    </w:pPr>
    <w:rPr>
      <w:rFonts w:asciiTheme="minorHAnsi" w:eastAsiaTheme="minorHAnsi" w:hAnsiTheme="minorHAnsi"/>
      <w:szCs w:val="24"/>
    </w:rPr>
  </w:style>
  <w:style w:type="paragraph" w:styleId="BalloonText">
    <w:name w:val="Balloon Text"/>
    <w:basedOn w:val="Normal"/>
    <w:link w:val="BalloonTextChar"/>
    <w:uiPriority w:val="99"/>
    <w:semiHidden/>
    <w:unhideWhenUsed/>
    <w:rsid w:val="006D71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19B"/>
    <w:rPr>
      <w:rFonts w:ascii="Segoe UI" w:hAnsi="Segoe UI" w:cs="Segoe UI"/>
      <w:sz w:val="18"/>
      <w:szCs w:val="18"/>
    </w:rPr>
  </w:style>
  <w:style w:type="paragraph" w:styleId="NoSpacing">
    <w:name w:val="No Spacing"/>
    <w:uiPriority w:val="1"/>
    <w:qFormat/>
    <w:rsid w:val="00A30A02"/>
    <w:rPr>
      <w:sz w:val="26"/>
    </w:rPr>
  </w:style>
  <w:style w:type="character" w:styleId="CommentReference">
    <w:name w:val="annotation reference"/>
    <w:basedOn w:val="DefaultParagraphFont"/>
    <w:uiPriority w:val="99"/>
    <w:semiHidden/>
    <w:unhideWhenUsed/>
    <w:rsid w:val="00C06842"/>
    <w:rPr>
      <w:sz w:val="16"/>
      <w:szCs w:val="16"/>
    </w:rPr>
  </w:style>
  <w:style w:type="paragraph" w:styleId="CommentText">
    <w:name w:val="annotation text"/>
    <w:basedOn w:val="Normal"/>
    <w:link w:val="CommentTextChar"/>
    <w:uiPriority w:val="99"/>
    <w:unhideWhenUsed/>
    <w:rsid w:val="00C06842"/>
    <w:rPr>
      <w:sz w:val="20"/>
    </w:rPr>
  </w:style>
  <w:style w:type="character" w:customStyle="1" w:styleId="CommentTextChar">
    <w:name w:val="Comment Text Char"/>
    <w:basedOn w:val="DefaultParagraphFont"/>
    <w:link w:val="CommentText"/>
    <w:uiPriority w:val="99"/>
    <w:rsid w:val="00C06842"/>
  </w:style>
  <w:style w:type="paragraph" w:styleId="CommentSubject">
    <w:name w:val="annotation subject"/>
    <w:basedOn w:val="CommentText"/>
    <w:next w:val="CommentText"/>
    <w:link w:val="CommentSubjectChar"/>
    <w:uiPriority w:val="99"/>
    <w:semiHidden/>
    <w:unhideWhenUsed/>
    <w:rsid w:val="00C06842"/>
    <w:rPr>
      <w:b/>
      <w:bCs/>
    </w:rPr>
  </w:style>
  <w:style w:type="character" w:customStyle="1" w:styleId="CommentSubjectChar">
    <w:name w:val="Comment Subject Char"/>
    <w:basedOn w:val="CommentTextChar"/>
    <w:link w:val="CommentSubject"/>
    <w:uiPriority w:val="99"/>
    <w:semiHidden/>
    <w:rsid w:val="00C06842"/>
    <w:rPr>
      <w:b/>
      <w:bCs/>
    </w:rPr>
  </w:style>
  <w:style w:type="paragraph" w:styleId="EndnoteText">
    <w:name w:val="endnote text"/>
    <w:basedOn w:val="Normal"/>
    <w:link w:val="EndnoteTextChar"/>
    <w:uiPriority w:val="99"/>
    <w:semiHidden/>
    <w:unhideWhenUsed/>
    <w:rsid w:val="006025F3"/>
    <w:rPr>
      <w:sz w:val="20"/>
    </w:rPr>
  </w:style>
  <w:style w:type="character" w:customStyle="1" w:styleId="EndnoteTextChar">
    <w:name w:val="Endnote Text Char"/>
    <w:basedOn w:val="DefaultParagraphFont"/>
    <w:link w:val="EndnoteText"/>
    <w:uiPriority w:val="99"/>
    <w:semiHidden/>
    <w:rsid w:val="006025F3"/>
  </w:style>
  <w:style w:type="character" w:styleId="EndnoteReference">
    <w:name w:val="endnote reference"/>
    <w:basedOn w:val="DefaultParagraphFont"/>
    <w:uiPriority w:val="99"/>
    <w:semiHidden/>
    <w:unhideWhenUsed/>
    <w:rsid w:val="006025F3"/>
    <w:rPr>
      <w:vertAlign w:val="superscript"/>
    </w:rPr>
  </w:style>
  <w:style w:type="paragraph" w:styleId="BodyText">
    <w:name w:val="Body Text"/>
    <w:basedOn w:val="Normal"/>
    <w:link w:val="BodyTextChar"/>
    <w:qFormat/>
    <w:rsid w:val="00EF5A3A"/>
  </w:style>
  <w:style w:type="character" w:customStyle="1" w:styleId="BodyTextChar">
    <w:name w:val="Body Text Char"/>
    <w:basedOn w:val="DefaultParagraphFont"/>
    <w:link w:val="BodyText"/>
    <w:rsid w:val="00EF5A3A"/>
    <w:rPr>
      <w:rFonts w:ascii="Century Schoolbook" w:hAnsi="Century Schoolbook"/>
      <w:sz w:val="27"/>
    </w:rPr>
  </w:style>
  <w:style w:type="paragraph" w:styleId="Revision">
    <w:name w:val="Revision"/>
    <w:hidden/>
    <w:uiPriority w:val="99"/>
    <w:semiHidden/>
    <w:rsid w:val="00913AC7"/>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6073">
      <w:bodyDiv w:val="1"/>
      <w:marLeft w:val="0"/>
      <w:marRight w:val="0"/>
      <w:marTop w:val="0"/>
      <w:marBottom w:val="0"/>
      <w:divBdr>
        <w:top w:val="none" w:sz="0" w:space="0" w:color="auto"/>
        <w:left w:val="none" w:sz="0" w:space="0" w:color="auto"/>
        <w:bottom w:val="none" w:sz="0" w:space="0" w:color="auto"/>
        <w:right w:val="none" w:sz="0" w:space="0" w:color="auto"/>
      </w:divBdr>
      <w:divsChild>
        <w:div w:id="197469190">
          <w:marLeft w:val="0"/>
          <w:marRight w:val="0"/>
          <w:marTop w:val="0"/>
          <w:marBottom w:val="0"/>
          <w:divBdr>
            <w:top w:val="none" w:sz="0" w:space="0" w:color="auto"/>
            <w:left w:val="none" w:sz="0" w:space="0" w:color="auto"/>
            <w:bottom w:val="none" w:sz="0" w:space="0" w:color="auto"/>
            <w:right w:val="none" w:sz="0" w:space="0" w:color="auto"/>
          </w:divBdr>
        </w:div>
      </w:divsChild>
    </w:div>
    <w:div w:id="51005935">
      <w:bodyDiv w:val="1"/>
      <w:marLeft w:val="0"/>
      <w:marRight w:val="0"/>
      <w:marTop w:val="0"/>
      <w:marBottom w:val="0"/>
      <w:divBdr>
        <w:top w:val="none" w:sz="0" w:space="0" w:color="auto"/>
        <w:left w:val="none" w:sz="0" w:space="0" w:color="auto"/>
        <w:bottom w:val="none" w:sz="0" w:space="0" w:color="auto"/>
        <w:right w:val="none" w:sz="0" w:space="0" w:color="auto"/>
      </w:divBdr>
      <w:divsChild>
        <w:div w:id="793183512">
          <w:marLeft w:val="0"/>
          <w:marRight w:val="0"/>
          <w:marTop w:val="0"/>
          <w:marBottom w:val="0"/>
          <w:divBdr>
            <w:top w:val="none" w:sz="0" w:space="0" w:color="auto"/>
            <w:left w:val="none" w:sz="0" w:space="0" w:color="auto"/>
            <w:bottom w:val="none" w:sz="0" w:space="0" w:color="auto"/>
            <w:right w:val="none" w:sz="0" w:space="0" w:color="auto"/>
          </w:divBdr>
        </w:div>
      </w:divsChild>
    </w:div>
    <w:div w:id="68894647">
      <w:bodyDiv w:val="1"/>
      <w:marLeft w:val="0"/>
      <w:marRight w:val="0"/>
      <w:marTop w:val="0"/>
      <w:marBottom w:val="0"/>
      <w:divBdr>
        <w:top w:val="none" w:sz="0" w:space="0" w:color="auto"/>
        <w:left w:val="none" w:sz="0" w:space="0" w:color="auto"/>
        <w:bottom w:val="none" w:sz="0" w:space="0" w:color="auto"/>
        <w:right w:val="none" w:sz="0" w:space="0" w:color="auto"/>
      </w:divBdr>
      <w:divsChild>
        <w:div w:id="1153989517">
          <w:marLeft w:val="0"/>
          <w:marRight w:val="0"/>
          <w:marTop w:val="0"/>
          <w:marBottom w:val="0"/>
          <w:divBdr>
            <w:top w:val="none" w:sz="0" w:space="0" w:color="auto"/>
            <w:left w:val="none" w:sz="0" w:space="0" w:color="auto"/>
            <w:bottom w:val="none" w:sz="0" w:space="0" w:color="auto"/>
            <w:right w:val="none" w:sz="0" w:space="0" w:color="auto"/>
          </w:divBdr>
        </w:div>
      </w:divsChild>
    </w:div>
    <w:div w:id="115218457">
      <w:bodyDiv w:val="1"/>
      <w:marLeft w:val="0"/>
      <w:marRight w:val="0"/>
      <w:marTop w:val="0"/>
      <w:marBottom w:val="0"/>
      <w:divBdr>
        <w:top w:val="none" w:sz="0" w:space="0" w:color="auto"/>
        <w:left w:val="none" w:sz="0" w:space="0" w:color="auto"/>
        <w:bottom w:val="none" w:sz="0" w:space="0" w:color="auto"/>
        <w:right w:val="none" w:sz="0" w:space="0" w:color="auto"/>
      </w:divBdr>
      <w:divsChild>
        <w:div w:id="703752636">
          <w:marLeft w:val="0"/>
          <w:marRight w:val="0"/>
          <w:marTop w:val="0"/>
          <w:marBottom w:val="0"/>
          <w:divBdr>
            <w:top w:val="none" w:sz="0" w:space="0" w:color="auto"/>
            <w:left w:val="none" w:sz="0" w:space="0" w:color="auto"/>
            <w:bottom w:val="none" w:sz="0" w:space="0" w:color="auto"/>
            <w:right w:val="none" w:sz="0" w:space="0" w:color="auto"/>
          </w:divBdr>
        </w:div>
      </w:divsChild>
    </w:div>
    <w:div w:id="132913489">
      <w:bodyDiv w:val="1"/>
      <w:marLeft w:val="0"/>
      <w:marRight w:val="0"/>
      <w:marTop w:val="0"/>
      <w:marBottom w:val="0"/>
      <w:divBdr>
        <w:top w:val="none" w:sz="0" w:space="0" w:color="auto"/>
        <w:left w:val="none" w:sz="0" w:space="0" w:color="auto"/>
        <w:bottom w:val="none" w:sz="0" w:space="0" w:color="auto"/>
        <w:right w:val="none" w:sz="0" w:space="0" w:color="auto"/>
      </w:divBdr>
      <w:divsChild>
        <w:div w:id="1020929227">
          <w:marLeft w:val="0"/>
          <w:marRight w:val="0"/>
          <w:marTop w:val="0"/>
          <w:marBottom w:val="0"/>
          <w:divBdr>
            <w:top w:val="none" w:sz="0" w:space="0" w:color="auto"/>
            <w:left w:val="none" w:sz="0" w:space="0" w:color="auto"/>
            <w:bottom w:val="none" w:sz="0" w:space="0" w:color="auto"/>
            <w:right w:val="none" w:sz="0" w:space="0" w:color="auto"/>
          </w:divBdr>
        </w:div>
      </w:divsChild>
    </w:div>
    <w:div w:id="164321118">
      <w:bodyDiv w:val="1"/>
      <w:marLeft w:val="0"/>
      <w:marRight w:val="0"/>
      <w:marTop w:val="0"/>
      <w:marBottom w:val="0"/>
      <w:divBdr>
        <w:top w:val="none" w:sz="0" w:space="0" w:color="auto"/>
        <w:left w:val="none" w:sz="0" w:space="0" w:color="auto"/>
        <w:bottom w:val="none" w:sz="0" w:space="0" w:color="auto"/>
        <w:right w:val="none" w:sz="0" w:space="0" w:color="auto"/>
      </w:divBdr>
      <w:divsChild>
        <w:div w:id="104426167">
          <w:marLeft w:val="0"/>
          <w:marRight w:val="0"/>
          <w:marTop w:val="0"/>
          <w:marBottom w:val="0"/>
          <w:divBdr>
            <w:top w:val="none" w:sz="0" w:space="0" w:color="auto"/>
            <w:left w:val="none" w:sz="0" w:space="0" w:color="auto"/>
            <w:bottom w:val="none" w:sz="0" w:space="0" w:color="auto"/>
            <w:right w:val="none" w:sz="0" w:space="0" w:color="auto"/>
          </w:divBdr>
        </w:div>
      </w:divsChild>
    </w:div>
    <w:div w:id="201669411">
      <w:bodyDiv w:val="1"/>
      <w:marLeft w:val="0"/>
      <w:marRight w:val="0"/>
      <w:marTop w:val="0"/>
      <w:marBottom w:val="0"/>
      <w:divBdr>
        <w:top w:val="none" w:sz="0" w:space="0" w:color="auto"/>
        <w:left w:val="none" w:sz="0" w:space="0" w:color="auto"/>
        <w:bottom w:val="none" w:sz="0" w:space="0" w:color="auto"/>
        <w:right w:val="none" w:sz="0" w:space="0" w:color="auto"/>
      </w:divBdr>
      <w:divsChild>
        <w:div w:id="1725984222">
          <w:marLeft w:val="0"/>
          <w:marRight w:val="0"/>
          <w:marTop w:val="0"/>
          <w:marBottom w:val="0"/>
          <w:divBdr>
            <w:top w:val="none" w:sz="0" w:space="0" w:color="auto"/>
            <w:left w:val="none" w:sz="0" w:space="0" w:color="auto"/>
            <w:bottom w:val="none" w:sz="0" w:space="0" w:color="auto"/>
            <w:right w:val="none" w:sz="0" w:space="0" w:color="auto"/>
          </w:divBdr>
        </w:div>
      </w:divsChild>
    </w:div>
    <w:div w:id="206990147">
      <w:bodyDiv w:val="1"/>
      <w:marLeft w:val="0"/>
      <w:marRight w:val="0"/>
      <w:marTop w:val="0"/>
      <w:marBottom w:val="0"/>
      <w:divBdr>
        <w:top w:val="none" w:sz="0" w:space="0" w:color="auto"/>
        <w:left w:val="none" w:sz="0" w:space="0" w:color="auto"/>
        <w:bottom w:val="none" w:sz="0" w:space="0" w:color="auto"/>
        <w:right w:val="none" w:sz="0" w:space="0" w:color="auto"/>
      </w:divBdr>
      <w:divsChild>
        <w:div w:id="262039052">
          <w:marLeft w:val="0"/>
          <w:marRight w:val="0"/>
          <w:marTop w:val="0"/>
          <w:marBottom w:val="0"/>
          <w:divBdr>
            <w:top w:val="none" w:sz="0" w:space="0" w:color="auto"/>
            <w:left w:val="none" w:sz="0" w:space="0" w:color="auto"/>
            <w:bottom w:val="none" w:sz="0" w:space="0" w:color="auto"/>
            <w:right w:val="none" w:sz="0" w:space="0" w:color="auto"/>
          </w:divBdr>
        </w:div>
      </w:divsChild>
    </w:div>
    <w:div w:id="223882697">
      <w:bodyDiv w:val="1"/>
      <w:marLeft w:val="0"/>
      <w:marRight w:val="0"/>
      <w:marTop w:val="0"/>
      <w:marBottom w:val="0"/>
      <w:divBdr>
        <w:top w:val="none" w:sz="0" w:space="0" w:color="auto"/>
        <w:left w:val="none" w:sz="0" w:space="0" w:color="auto"/>
        <w:bottom w:val="none" w:sz="0" w:space="0" w:color="auto"/>
        <w:right w:val="none" w:sz="0" w:space="0" w:color="auto"/>
      </w:divBdr>
      <w:divsChild>
        <w:div w:id="1969818458">
          <w:marLeft w:val="0"/>
          <w:marRight w:val="0"/>
          <w:marTop w:val="0"/>
          <w:marBottom w:val="0"/>
          <w:divBdr>
            <w:top w:val="none" w:sz="0" w:space="0" w:color="auto"/>
            <w:left w:val="none" w:sz="0" w:space="0" w:color="auto"/>
            <w:bottom w:val="none" w:sz="0" w:space="0" w:color="auto"/>
            <w:right w:val="none" w:sz="0" w:space="0" w:color="auto"/>
          </w:divBdr>
        </w:div>
      </w:divsChild>
    </w:div>
    <w:div w:id="226576194">
      <w:bodyDiv w:val="1"/>
      <w:marLeft w:val="0"/>
      <w:marRight w:val="0"/>
      <w:marTop w:val="0"/>
      <w:marBottom w:val="0"/>
      <w:divBdr>
        <w:top w:val="none" w:sz="0" w:space="0" w:color="auto"/>
        <w:left w:val="none" w:sz="0" w:space="0" w:color="auto"/>
        <w:bottom w:val="none" w:sz="0" w:space="0" w:color="auto"/>
        <w:right w:val="none" w:sz="0" w:space="0" w:color="auto"/>
      </w:divBdr>
      <w:divsChild>
        <w:div w:id="470172744">
          <w:marLeft w:val="0"/>
          <w:marRight w:val="0"/>
          <w:marTop w:val="0"/>
          <w:marBottom w:val="0"/>
          <w:divBdr>
            <w:top w:val="none" w:sz="0" w:space="0" w:color="auto"/>
            <w:left w:val="none" w:sz="0" w:space="0" w:color="auto"/>
            <w:bottom w:val="none" w:sz="0" w:space="0" w:color="auto"/>
            <w:right w:val="none" w:sz="0" w:space="0" w:color="auto"/>
          </w:divBdr>
        </w:div>
      </w:divsChild>
    </w:div>
    <w:div w:id="331415682">
      <w:bodyDiv w:val="1"/>
      <w:marLeft w:val="0"/>
      <w:marRight w:val="0"/>
      <w:marTop w:val="0"/>
      <w:marBottom w:val="0"/>
      <w:divBdr>
        <w:top w:val="none" w:sz="0" w:space="0" w:color="auto"/>
        <w:left w:val="none" w:sz="0" w:space="0" w:color="auto"/>
        <w:bottom w:val="none" w:sz="0" w:space="0" w:color="auto"/>
        <w:right w:val="none" w:sz="0" w:space="0" w:color="auto"/>
      </w:divBdr>
    </w:div>
    <w:div w:id="363750475">
      <w:bodyDiv w:val="1"/>
      <w:marLeft w:val="0"/>
      <w:marRight w:val="0"/>
      <w:marTop w:val="0"/>
      <w:marBottom w:val="0"/>
      <w:divBdr>
        <w:top w:val="none" w:sz="0" w:space="0" w:color="auto"/>
        <w:left w:val="none" w:sz="0" w:space="0" w:color="auto"/>
        <w:bottom w:val="none" w:sz="0" w:space="0" w:color="auto"/>
        <w:right w:val="none" w:sz="0" w:space="0" w:color="auto"/>
      </w:divBdr>
    </w:div>
    <w:div w:id="369451320">
      <w:bodyDiv w:val="1"/>
      <w:marLeft w:val="0"/>
      <w:marRight w:val="0"/>
      <w:marTop w:val="0"/>
      <w:marBottom w:val="0"/>
      <w:divBdr>
        <w:top w:val="none" w:sz="0" w:space="0" w:color="auto"/>
        <w:left w:val="none" w:sz="0" w:space="0" w:color="auto"/>
        <w:bottom w:val="none" w:sz="0" w:space="0" w:color="auto"/>
        <w:right w:val="none" w:sz="0" w:space="0" w:color="auto"/>
      </w:divBdr>
      <w:divsChild>
        <w:div w:id="2108841988">
          <w:marLeft w:val="0"/>
          <w:marRight w:val="0"/>
          <w:marTop w:val="0"/>
          <w:marBottom w:val="0"/>
          <w:divBdr>
            <w:top w:val="none" w:sz="0" w:space="0" w:color="auto"/>
            <w:left w:val="none" w:sz="0" w:space="0" w:color="auto"/>
            <w:bottom w:val="none" w:sz="0" w:space="0" w:color="auto"/>
            <w:right w:val="none" w:sz="0" w:space="0" w:color="auto"/>
          </w:divBdr>
        </w:div>
      </w:divsChild>
    </w:div>
    <w:div w:id="371878653">
      <w:bodyDiv w:val="1"/>
      <w:marLeft w:val="0"/>
      <w:marRight w:val="0"/>
      <w:marTop w:val="0"/>
      <w:marBottom w:val="0"/>
      <w:divBdr>
        <w:top w:val="single" w:sz="12" w:space="0" w:color="767575"/>
        <w:left w:val="none" w:sz="0" w:space="0" w:color="auto"/>
        <w:bottom w:val="none" w:sz="0" w:space="0" w:color="auto"/>
        <w:right w:val="none" w:sz="0" w:space="0" w:color="auto"/>
      </w:divBdr>
      <w:divsChild>
        <w:div w:id="1799958518">
          <w:marLeft w:val="0"/>
          <w:marRight w:val="0"/>
          <w:marTop w:val="0"/>
          <w:marBottom w:val="0"/>
          <w:divBdr>
            <w:top w:val="none" w:sz="0" w:space="0" w:color="auto"/>
            <w:left w:val="none" w:sz="0" w:space="0" w:color="auto"/>
            <w:bottom w:val="none" w:sz="0" w:space="0" w:color="auto"/>
            <w:right w:val="none" w:sz="0" w:space="0" w:color="auto"/>
          </w:divBdr>
          <w:divsChild>
            <w:div w:id="1614482963">
              <w:marLeft w:val="0"/>
              <w:marRight w:val="0"/>
              <w:marTop w:val="0"/>
              <w:marBottom w:val="0"/>
              <w:divBdr>
                <w:top w:val="none" w:sz="0" w:space="0" w:color="auto"/>
                <w:left w:val="none" w:sz="0" w:space="0" w:color="auto"/>
                <w:bottom w:val="none" w:sz="0" w:space="0" w:color="auto"/>
                <w:right w:val="none" w:sz="0" w:space="0" w:color="auto"/>
              </w:divBdr>
              <w:divsChild>
                <w:div w:id="11259748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98977704">
                      <w:marLeft w:val="300"/>
                      <w:marRight w:val="0"/>
                      <w:marTop w:val="0"/>
                      <w:marBottom w:val="0"/>
                      <w:divBdr>
                        <w:top w:val="none" w:sz="0" w:space="0" w:color="auto"/>
                        <w:left w:val="none" w:sz="0" w:space="0" w:color="auto"/>
                        <w:bottom w:val="none" w:sz="0" w:space="0" w:color="auto"/>
                        <w:right w:val="none" w:sz="0" w:space="0" w:color="auto"/>
                      </w:divBdr>
                      <w:divsChild>
                        <w:div w:id="2122458384">
                          <w:marLeft w:val="0"/>
                          <w:marRight w:val="0"/>
                          <w:marTop w:val="0"/>
                          <w:marBottom w:val="0"/>
                          <w:divBdr>
                            <w:top w:val="none" w:sz="0" w:space="0" w:color="auto"/>
                            <w:left w:val="none" w:sz="0" w:space="0" w:color="auto"/>
                            <w:bottom w:val="none" w:sz="0" w:space="0" w:color="auto"/>
                            <w:right w:val="none" w:sz="0" w:space="0" w:color="auto"/>
                          </w:divBdr>
                          <w:divsChild>
                            <w:div w:id="1769346116">
                              <w:marLeft w:val="0"/>
                              <w:marRight w:val="0"/>
                              <w:marTop w:val="0"/>
                              <w:marBottom w:val="0"/>
                              <w:divBdr>
                                <w:top w:val="none" w:sz="0" w:space="0" w:color="auto"/>
                                <w:left w:val="none" w:sz="0" w:space="0" w:color="auto"/>
                                <w:bottom w:val="none" w:sz="0" w:space="0" w:color="auto"/>
                                <w:right w:val="none" w:sz="0" w:space="0" w:color="auto"/>
                              </w:divBdr>
                              <w:divsChild>
                                <w:div w:id="445127478">
                                  <w:marLeft w:val="0"/>
                                  <w:marRight w:val="0"/>
                                  <w:marTop w:val="0"/>
                                  <w:marBottom w:val="0"/>
                                  <w:divBdr>
                                    <w:top w:val="none" w:sz="0" w:space="0" w:color="auto"/>
                                    <w:left w:val="none" w:sz="0" w:space="0" w:color="auto"/>
                                    <w:bottom w:val="none" w:sz="0" w:space="0" w:color="auto"/>
                                    <w:right w:val="none" w:sz="0" w:space="0" w:color="auto"/>
                                  </w:divBdr>
                                  <w:divsChild>
                                    <w:div w:id="1023438546">
                                      <w:marLeft w:val="0"/>
                                      <w:marRight w:val="0"/>
                                      <w:marTop w:val="0"/>
                                      <w:marBottom w:val="0"/>
                                      <w:divBdr>
                                        <w:top w:val="none" w:sz="0" w:space="0" w:color="auto"/>
                                        <w:left w:val="none" w:sz="0" w:space="0" w:color="auto"/>
                                        <w:bottom w:val="none" w:sz="0" w:space="0" w:color="auto"/>
                                        <w:right w:val="none" w:sz="0" w:space="0" w:color="auto"/>
                                      </w:divBdr>
                                      <w:divsChild>
                                        <w:div w:id="887061831">
                                          <w:marLeft w:val="0"/>
                                          <w:marRight w:val="0"/>
                                          <w:marTop w:val="0"/>
                                          <w:marBottom w:val="0"/>
                                          <w:divBdr>
                                            <w:top w:val="none" w:sz="0" w:space="0" w:color="auto"/>
                                            <w:left w:val="none" w:sz="0" w:space="0" w:color="auto"/>
                                            <w:bottom w:val="none" w:sz="0" w:space="0" w:color="auto"/>
                                            <w:right w:val="none" w:sz="0" w:space="0" w:color="auto"/>
                                          </w:divBdr>
                                          <w:divsChild>
                                            <w:div w:id="21310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061714">
      <w:bodyDiv w:val="1"/>
      <w:marLeft w:val="0"/>
      <w:marRight w:val="0"/>
      <w:marTop w:val="0"/>
      <w:marBottom w:val="0"/>
      <w:divBdr>
        <w:top w:val="none" w:sz="0" w:space="0" w:color="auto"/>
        <w:left w:val="none" w:sz="0" w:space="0" w:color="auto"/>
        <w:bottom w:val="none" w:sz="0" w:space="0" w:color="auto"/>
        <w:right w:val="none" w:sz="0" w:space="0" w:color="auto"/>
      </w:divBdr>
      <w:divsChild>
        <w:div w:id="1917545236">
          <w:marLeft w:val="0"/>
          <w:marRight w:val="0"/>
          <w:marTop w:val="0"/>
          <w:marBottom w:val="0"/>
          <w:divBdr>
            <w:top w:val="none" w:sz="0" w:space="0" w:color="auto"/>
            <w:left w:val="none" w:sz="0" w:space="0" w:color="auto"/>
            <w:bottom w:val="none" w:sz="0" w:space="0" w:color="auto"/>
            <w:right w:val="none" w:sz="0" w:space="0" w:color="auto"/>
          </w:divBdr>
        </w:div>
      </w:divsChild>
    </w:div>
    <w:div w:id="443547827">
      <w:bodyDiv w:val="1"/>
      <w:marLeft w:val="0"/>
      <w:marRight w:val="0"/>
      <w:marTop w:val="0"/>
      <w:marBottom w:val="0"/>
      <w:divBdr>
        <w:top w:val="none" w:sz="0" w:space="0" w:color="auto"/>
        <w:left w:val="none" w:sz="0" w:space="0" w:color="auto"/>
        <w:bottom w:val="none" w:sz="0" w:space="0" w:color="auto"/>
        <w:right w:val="none" w:sz="0" w:space="0" w:color="auto"/>
      </w:divBdr>
    </w:div>
    <w:div w:id="513152081">
      <w:bodyDiv w:val="1"/>
      <w:marLeft w:val="0"/>
      <w:marRight w:val="0"/>
      <w:marTop w:val="0"/>
      <w:marBottom w:val="0"/>
      <w:divBdr>
        <w:top w:val="none" w:sz="0" w:space="0" w:color="auto"/>
        <w:left w:val="none" w:sz="0" w:space="0" w:color="auto"/>
        <w:bottom w:val="none" w:sz="0" w:space="0" w:color="auto"/>
        <w:right w:val="none" w:sz="0" w:space="0" w:color="auto"/>
      </w:divBdr>
    </w:div>
    <w:div w:id="589431237">
      <w:bodyDiv w:val="1"/>
      <w:marLeft w:val="0"/>
      <w:marRight w:val="0"/>
      <w:marTop w:val="0"/>
      <w:marBottom w:val="0"/>
      <w:divBdr>
        <w:top w:val="none" w:sz="0" w:space="0" w:color="auto"/>
        <w:left w:val="none" w:sz="0" w:space="0" w:color="auto"/>
        <w:bottom w:val="none" w:sz="0" w:space="0" w:color="auto"/>
        <w:right w:val="none" w:sz="0" w:space="0" w:color="auto"/>
      </w:divBdr>
      <w:divsChild>
        <w:div w:id="1265654785">
          <w:marLeft w:val="0"/>
          <w:marRight w:val="0"/>
          <w:marTop w:val="0"/>
          <w:marBottom w:val="0"/>
          <w:divBdr>
            <w:top w:val="none" w:sz="0" w:space="0" w:color="auto"/>
            <w:left w:val="none" w:sz="0" w:space="0" w:color="auto"/>
            <w:bottom w:val="none" w:sz="0" w:space="0" w:color="auto"/>
            <w:right w:val="none" w:sz="0" w:space="0" w:color="auto"/>
          </w:divBdr>
        </w:div>
      </w:divsChild>
    </w:div>
    <w:div w:id="610433711">
      <w:bodyDiv w:val="1"/>
      <w:marLeft w:val="0"/>
      <w:marRight w:val="0"/>
      <w:marTop w:val="0"/>
      <w:marBottom w:val="0"/>
      <w:divBdr>
        <w:top w:val="none" w:sz="0" w:space="0" w:color="auto"/>
        <w:left w:val="none" w:sz="0" w:space="0" w:color="auto"/>
        <w:bottom w:val="none" w:sz="0" w:space="0" w:color="auto"/>
        <w:right w:val="none" w:sz="0" w:space="0" w:color="auto"/>
      </w:divBdr>
      <w:divsChild>
        <w:div w:id="919678697">
          <w:marLeft w:val="0"/>
          <w:marRight w:val="0"/>
          <w:marTop w:val="0"/>
          <w:marBottom w:val="0"/>
          <w:divBdr>
            <w:top w:val="none" w:sz="0" w:space="0" w:color="auto"/>
            <w:left w:val="none" w:sz="0" w:space="0" w:color="auto"/>
            <w:bottom w:val="none" w:sz="0" w:space="0" w:color="auto"/>
            <w:right w:val="none" w:sz="0" w:space="0" w:color="auto"/>
          </w:divBdr>
        </w:div>
      </w:divsChild>
    </w:div>
    <w:div w:id="640312657">
      <w:bodyDiv w:val="1"/>
      <w:marLeft w:val="0"/>
      <w:marRight w:val="0"/>
      <w:marTop w:val="0"/>
      <w:marBottom w:val="0"/>
      <w:divBdr>
        <w:top w:val="none" w:sz="0" w:space="0" w:color="auto"/>
        <w:left w:val="none" w:sz="0" w:space="0" w:color="auto"/>
        <w:bottom w:val="none" w:sz="0" w:space="0" w:color="auto"/>
        <w:right w:val="none" w:sz="0" w:space="0" w:color="auto"/>
      </w:divBdr>
      <w:divsChild>
        <w:div w:id="1065687743">
          <w:marLeft w:val="0"/>
          <w:marRight w:val="0"/>
          <w:marTop w:val="0"/>
          <w:marBottom w:val="0"/>
          <w:divBdr>
            <w:top w:val="none" w:sz="0" w:space="0" w:color="auto"/>
            <w:left w:val="none" w:sz="0" w:space="0" w:color="auto"/>
            <w:bottom w:val="none" w:sz="0" w:space="0" w:color="auto"/>
            <w:right w:val="none" w:sz="0" w:space="0" w:color="auto"/>
          </w:divBdr>
        </w:div>
      </w:divsChild>
    </w:div>
    <w:div w:id="644238938">
      <w:bodyDiv w:val="1"/>
      <w:marLeft w:val="0"/>
      <w:marRight w:val="0"/>
      <w:marTop w:val="0"/>
      <w:marBottom w:val="0"/>
      <w:divBdr>
        <w:top w:val="none" w:sz="0" w:space="0" w:color="auto"/>
        <w:left w:val="none" w:sz="0" w:space="0" w:color="auto"/>
        <w:bottom w:val="none" w:sz="0" w:space="0" w:color="auto"/>
        <w:right w:val="none" w:sz="0" w:space="0" w:color="auto"/>
      </w:divBdr>
      <w:divsChild>
        <w:div w:id="1465468984">
          <w:marLeft w:val="0"/>
          <w:marRight w:val="0"/>
          <w:marTop w:val="0"/>
          <w:marBottom w:val="0"/>
          <w:divBdr>
            <w:top w:val="none" w:sz="0" w:space="0" w:color="auto"/>
            <w:left w:val="none" w:sz="0" w:space="0" w:color="auto"/>
            <w:bottom w:val="none" w:sz="0" w:space="0" w:color="auto"/>
            <w:right w:val="none" w:sz="0" w:space="0" w:color="auto"/>
          </w:divBdr>
        </w:div>
      </w:divsChild>
    </w:div>
    <w:div w:id="661127977">
      <w:bodyDiv w:val="1"/>
      <w:marLeft w:val="0"/>
      <w:marRight w:val="0"/>
      <w:marTop w:val="0"/>
      <w:marBottom w:val="0"/>
      <w:divBdr>
        <w:top w:val="none" w:sz="0" w:space="0" w:color="auto"/>
        <w:left w:val="none" w:sz="0" w:space="0" w:color="auto"/>
        <w:bottom w:val="none" w:sz="0" w:space="0" w:color="auto"/>
        <w:right w:val="none" w:sz="0" w:space="0" w:color="auto"/>
      </w:divBdr>
      <w:divsChild>
        <w:div w:id="968434695">
          <w:marLeft w:val="0"/>
          <w:marRight w:val="0"/>
          <w:marTop w:val="0"/>
          <w:marBottom w:val="0"/>
          <w:divBdr>
            <w:top w:val="none" w:sz="0" w:space="0" w:color="auto"/>
            <w:left w:val="none" w:sz="0" w:space="0" w:color="auto"/>
            <w:bottom w:val="none" w:sz="0" w:space="0" w:color="auto"/>
            <w:right w:val="none" w:sz="0" w:space="0" w:color="auto"/>
          </w:divBdr>
        </w:div>
      </w:divsChild>
    </w:div>
    <w:div w:id="689723823">
      <w:bodyDiv w:val="1"/>
      <w:marLeft w:val="0"/>
      <w:marRight w:val="0"/>
      <w:marTop w:val="0"/>
      <w:marBottom w:val="0"/>
      <w:divBdr>
        <w:top w:val="none" w:sz="0" w:space="0" w:color="auto"/>
        <w:left w:val="none" w:sz="0" w:space="0" w:color="auto"/>
        <w:bottom w:val="none" w:sz="0" w:space="0" w:color="auto"/>
        <w:right w:val="none" w:sz="0" w:space="0" w:color="auto"/>
      </w:divBdr>
      <w:divsChild>
        <w:div w:id="1975721186">
          <w:marLeft w:val="0"/>
          <w:marRight w:val="0"/>
          <w:marTop w:val="0"/>
          <w:marBottom w:val="0"/>
          <w:divBdr>
            <w:top w:val="none" w:sz="0" w:space="0" w:color="auto"/>
            <w:left w:val="none" w:sz="0" w:space="0" w:color="auto"/>
            <w:bottom w:val="none" w:sz="0" w:space="0" w:color="auto"/>
            <w:right w:val="none" w:sz="0" w:space="0" w:color="auto"/>
          </w:divBdr>
        </w:div>
      </w:divsChild>
    </w:div>
    <w:div w:id="731392904">
      <w:bodyDiv w:val="1"/>
      <w:marLeft w:val="0"/>
      <w:marRight w:val="0"/>
      <w:marTop w:val="0"/>
      <w:marBottom w:val="0"/>
      <w:divBdr>
        <w:top w:val="none" w:sz="0" w:space="0" w:color="auto"/>
        <w:left w:val="none" w:sz="0" w:space="0" w:color="auto"/>
        <w:bottom w:val="none" w:sz="0" w:space="0" w:color="auto"/>
        <w:right w:val="none" w:sz="0" w:space="0" w:color="auto"/>
      </w:divBdr>
      <w:divsChild>
        <w:div w:id="105394928">
          <w:marLeft w:val="0"/>
          <w:marRight w:val="0"/>
          <w:marTop w:val="0"/>
          <w:marBottom w:val="0"/>
          <w:divBdr>
            <w:top w:val="none" w:sz="0" w:space="0" w:color="auto"/>
            <w:left w:val="none" w:sz="0" w:space="0" w:color="auto"/>
            <w:bottom w:val="none" w:sz="0" w:space="0" w:color="auto"/>
            <w:right w:val="none" w:sz="0" w:space="0" w:color="auto"/>
          </w:divBdr>
        </w:div>
      </w:divsChild>
    </w:div>
    <w:div w:id="762796952">
      <w:bodyDiv w:val="1"/>
      <w:marLeft w:val="0"/>
      <w:marRight w:val="0"/>
      <w:marTop w:val="0"/>
      <w:marBottom w:val="0"/>
      <w:divBdr>
        <w:top w:val="none" w:sz="0" w:space="0" w:color="auto"/>
        <w:left w:val="none" w:sz="0" w:space="0" w:color="auto"/>
        <w:bottom w:val="none" w:sz="0" w:space="0" w:color="auto"/>
        <w:right w:val="none" w:sz="0" w:space="0" w:color="auto"/>
      </w:divBdr>
      <w:divsChild>
        <w:div w:id="1913156570">
          <w:marLeft w:val="0"/>
          <w:marRight w:val="0"/>
          <w:marTop w:val="0"/>
          <w:marBottom w:val="0"/>
          <w:divBdr>
            <w:top w:val="none" w:sz="0" w:space="0" w:color="auto"/>
            <w:left w:val="none" w:sz="0" w:space="0" w:color="auto"/>
            <w:bottom w:val="none" w:sz="0" w:space="0" w:color="auto"/>
            <w:right w:val="none" w:sz="0" w:space="0" w:color="auto"/>
          </w:divBdr>
        </w:div>
      </w:divsChild>
    </w:div>
    <w:div w:id="783498280">
      <w:bodyDiv w:val="1"/>
      <w:marLeft w:val="0"/>
      <w:marRight w:val="0"/>
      <w:marTop w:val="0"/>
      <w:marBottom w:val="0"/>
      <w:divBdr>
        <w:top w:val="none" w:sz="0" w:space="0" w:color="auto"/>
        <w:left w:val="none" w:sz="0" w:space="0" w:color="auto"/>
        <w:bottom w:val="none" w:sz="0" w:space="0" w:color="auto"/>
        <w:right w:val="none" w:sz="0" w:space="0" w:color="auto"/>
      </w:divBdr>
      <w:divsChild>
        <w:div w:id="2083285918">
          <w:marLeft w:val="0"/>
          <w:marRight w:val="0"/>
          <w:marTop w:val="0"/>
          <w:marBottom w:val="0"/>
          <w:divBdr>
            <w:top w:val="none" w:sz="0" w:space="0" w:color="auto"/>
            <w:left w:val="none" w:sz="0" w:space="0" w:color="auto"/>
            <w:bottom w:val="none" w:sz="0" w:space="0" w:color="auto"/>
            <w:right w:val="none" w:sz="0" w:space="0" w:color="auto"/>
          </w:divBdr>
        </w:div>
      </w:divsChild>
    </w:div>
    <w:div w:id="792673082">
      <w:bodyDiv w:val="1"/>
      <w:marLeft w:val="0"/>
      <w:marRight w:val="0"/>
      <w:marTop w:val="0"/>
      <w:marBottom w:val="0"/>
      <w:divBdr>
        <w:top w:val="none" w:sz="0" w:space="0" w:color="auto"/>
        <w:left w:val="none" w:sz="0" w:space="0" w:color="auto"/>
        <w:bottom w:val="none" w:sz="0" w:space="0" w:color="auto"/>
        <w:right w:val="none" w:sz="0" w:space="0" w:color="auto"/>
      </w:divBdr>
      <w:divsChild>
        <w:div w:id="510605564">
          <w:marLeft w:val="0"/>
          <w:marRight w:val="0"/>
          <w:marTop w:val="0"/>
          <w:marBottom w:val="0"/>
          <w:divBdr>
            <w:top w:val="none" w:sz="0" w:space="0" w:color="auto"/>
            <w:left w:val="none" w:sz="0" w:space="0" w:color="auto"/>
            <w:bottom w:val="none" w:sz="0" w:space="0" w:color="auto"/>
            <w:right w:val="none" w:sz="0" w:space="0" w:color="auto"/>
          </w:divBdr>
        </w:div>
      </w:divsChild>
    </w:div>
    <w:div w:id="806626945">
      <w:bodyDiv w:val="1"/>
      <w:marLeft w:val="0"/>
      <w:marRight w:val="0"/>
      <w:marTop w:val="0"/>
      <w:marBottom w:val="0"/>
      <w:divBdr>
        <w:top w:val="none" w:sz="0" w:space="0" w:color="auto"/>
        <w:left w:val="none" w:sz="0" w:space="0" w:color="auto"/>
        <w:bottom w:val="none" w:sz="0" w:space="0" w:color="auto"/>
        <w:right w:val="none" w:sz="0" w:space="0" w:color="auto"/>
      </w:divBdr>
      <w:divsChild>
        <w:div w:id="1426657989">
          <w:marLeft w:val="0"/>
          <w:marRight w:val="0"/>
          <w:marTop w:val="0"/>
          <w:marBottom w:val="0"/>
          <w:divBdr>
            <w:top w:val="none" w:sz="0" w:space="0" w:color="auto"/>
            <w:left w:val="none" w:sz="0" w:space="0" w:color="auto"/>
            <w:bottom w:val="none" w:sz="0" w:space="0" w:color="auto"/>
            <w:right w:val="none" w:sz="0" w:space="0" w:color="auto"/>
          </w:divBdr>
        </w:div>
      </w:divsChild>
    </w:div>
    <w:div w:id="830605722">
      <w:bodyDiv w:val="1"/>
      <w:marLeft w:val="0"/>
      <w:marRight w:val="0"/>
      <w:marTop w:val="0"/>
      <w:marBottom w:val="0"/>
      <w:divBdr>
        <w:top w:val="none" w:sz="0" w:space="0" w:color="auto"/>
        <w:left w:val="none" w:sz="0" w:space="0" w:color="auto"/>
        <w:bottom w:val="none" w:sz="0" w:space="0" w:color="auto"/>
        <w:right w:val="none" w:sz="0" w:space="0" w:color="auto"/>
      </w:divBdr>
    </w:div>
    <w:div w:id="831019493">
      <w:bodyDiv w:val="1"/>
      <w:marLeft w:val="0"/>
      <w:marRight w:val="0"/>
      <w:marTop w:val="0"/>
      <w:marBottom w:val="0"/>
      <w:divBdr>
        <w:top w:val="none" w:sz="0" w:space="0" w:color="auto"/>
        <w:left w:val="none" w:sz="0" w:space="0" w:color="auto"/>
        <w:bottom w:val="none" w:sz="0" w:space="0" w:color="auto"/>
        <w:right w:val="none" w:sz="0" w:space="0" w:color="auto"/>
      </w:divBdr>
      <w:divsChild>
        <w:div w:id="520627000">
          <w:marLeft w:val="0"/>
          <w:marRight w:val="0"/>
          <w:marTop w:val="0"/>
          <w:marBottom w:val="0"/>
          <w:divBdr>
            <w:top w:val="none" w:sz="0" w:space="0" w:color="auto"/>
            <w:left w:val="none" w:sz="0" w:space="0" w:color="auto"/>
            <w:bottom w:val="none" w:sz="0" w:space="0" w:color="auto"/>
            <w:right w:val="none" w:sz="0" w:space="0" w:color="auto"/>
          </w:divBdr>
        </w:div>
      </w:divsChild>
    </w:div>
    <w:div w:id="837427166">
      <w:bodyDiv w:val="1"/>
      <w:marLeft w:val="0"/>
      <w:marRight w:val="0"/>
      <w:marTop w:val="0"/>
      <w:marBottom w:val="0"/>
      <w:divBdr>
        <w:top w:val="none" w:sz="0" w:space="0" w:color="auto"/>
        <w:left w:val="none" w:sz="0" w:space="0" w:color="auto"/>
        <w:bottom w:val="none" w:sz="0" w:space="0" w:color="auto"/>
        <w:right w:val="none" w:sz="0" w:space="0" w:color="auto"/>
      </w:divBdr>
      <w:divsChild>
        <w:div w:id="765811202">
          <w:marLeft w:val="0"/>
          <w:marRight w:val="0"/>
          <w:marTop w:val="0"/>
          <w:marBottom w:val="0"/>
          <w:divBdr>
            <w:top w:val="none" w:sz="0" w:space="0" w:color="auto"/>
            <w:left w:val="none" w:sz="0" w:space="0" w:color="auto"/>
            <w:bottom w:val="none" w:sz="0" w:space="0" w:color="auto"/>
            <w:right w:val="none" w:sz="0" w:space="0" w:color="auto"/>
          </w:divBdr>
        </w:div>
      </w:divsChild>
    </w:div>
    <w:div w:id="853152595">
      <w:bodyDiv w:val="1"/>
      <w:marLeft w:val="0"/>
      <w:marRight w:val="0"/>
      <w:marTop w:val="0"/>
      <w:marBottom w:val="0"/>
      <w:divBdr>
        <w:top w:val="none" w:sz="0" w:space="0" w:color="auto"/>
        <w:left w:val="none" w:sz="0" w:space="0" w:color="auto"/>
        <w:bottom w:val="none" w:sz="0" w:space="0" w:color="auto"/>
        <w:right w:val="none" w:sz="0" w:space="0" w:color="auto"/>
      </w:divBdr>
      <w:divsChild>
        <w:div w:id="831338251">
          <w:marLeft w:val="0"/>
          <w:marRight w:val="0"/>
          <w:marTop w:val="0"/>
          <w:marBottom w:val="0"/>
          <w:divBdr>
            <w:top w:val="none" w:sz="0" w:space="0" w:color="auto"/>
            <w:left w:val="none" w:sz="0" w:space="0" w:color="auto"/>
            <w:bottom w:val="none" w:sz="0" w:space="0" w:color="auto"/>
            <w:right w:val="none" w:sz="0" w:space="0" w:color="auto"/>
          </w:divBdr>
        </w:div>
      </w:divsChild>
    </w:div>
    <w:div w:id="864440327">
      <w:bodyDiv w:val="1"/>
      <w:marLeft w:val="0"/>
      <w:marRight w:val="0"/>
      <w:marTop w:val="0"/>
      <w:marBottom w:val="0"/>
      <w:divBdr>
        <w:top w:val="none" w:sz="0" w:space="0" w:color="auto"/>
        <w:left w:val="none" w:sz="0" w:space="0" w:color="auto"/>
        <w:bottom w:val="none" w:sz="0" w:space="0" w:color="auto"/>
        <w:right w:val="none" w:sz="0" w:space="0" w:color="auto"/>
      </w:divBdr>
      <w:divsChild>
        <w:div w:id="1865896200">
          <w:marLeft w:val="0"/>
          <w:marRight w:val="0"/>
          <w:marTop w:val="0"/>
          <w:marBottom w:val="0"/>
          <w:divBdr>
            <w:top w:val="none" w:sz="0" w:space="0" w:color="auto"/>
            <w:left w:val="none" w:sz="0" w:space="0" w:color="auto"/>
            <w:bottom w:val="none" w:sz="0" w:space="0" w:color="auto"/>
            <w:right w:val="none" w:sz="0" w:space="0" w:color="auto"/>
          </w:divBdr>
        </w:div>
      </w:divsChild>
    </w:div>
    <w:div w:id="908153615">
      <w:bodyDiv w:val="1"/>
      <w:marLeft w:val="0"/>
      <w:marRight w:val="0"/>
      <w:marTop w:val="0"/>
      <w:marBottom w:val="0"/>
      <w:divBdr>
        <w:top w:val="none" w:sz="0" w:space="0" w:color="auto"/>
        <w:left w:val="none" w:sz="0" w:space="0" w:color="auto"/>
        <w:bottom w:val="none" w:sz="0" w:space="0" w:color="auto"/>
        <w:right w:val="none" w:sz="0" w:space="0" w:color="auto"/>
      </w:divBdr>
      <w:divsChild>
        <w:div w:id="571157969">
          <w:marLeft w:val="0"/>
          <w:marRight w:val="0"/>
          <w:marTop w:val="0"/>
          <w:marBottom w:val="0"/>
          <w:divBdr>
            <w:top w:val="none" w:sz="0" w:space="0" w:color="auto"/>
            <w:left w:val="none" w:sz="0" w:space="0" w:color="auto"/>
            <w:bottom w:val="none" w:sz="0" w:space="0" w:color="auto"/>
            <w:right w:val="none" w:sz="0" w:space="0" w:color="auto"/>
          </w:divBdr>
        </w:div>
      </w:divsChild>
    </w:div>
    <w:div w:id="932205473">
      <w:bodyDiv w:val="1"/>
      <w:marLeft w:val="0"/>
      <w:marRight w:val="0"/>
      <w:marTop w:val="0"/>
      <w:marBottom w:val="0"/>
      <w:divBdr>
        <w:top w:val="none" w:sz="0" w:space="0" w:color="auto"/>
        <w:left w:val="none" w:sz="0" w:space="0" w:color="auto"/>
        <w:bottom w:val="none" w:sz="0" w:space="0" w:color="auto"/>
        <w:right w:val="none" w:sz="0" w:space="0" w:color="auto"/>
      </w:divBdr>
    </w:div>
    <w:div w:id="937250742">
      <w:bodyDiv w:val="1"/>
      <w:marLeft w:val="0"/>
      <w:marRight w:val="0"/>
      <w:marTop w:val="0"/>
      <w:marBottom w:val="0"/>
      <w:divBdr>
        <w:top w:val="none" w:sz="0" w:space="0" w:color="auto"/>
        <w:left w:val="none" w:sz="0" w:space="0" w:color="auto"/>
        <w:bottom w:val="none" w:sz="0" w:space="0" w:color="auto"/>
        <w:right w:val="none" w:sz="0" w:space="0" w:color="auto"/>
      </w:divBdr>
      <w:divsChild>
        <w:div w:id="967861673">
          <w:marLeft w:val="0"/>
          <w:marRight w:val="0"/>
          <w:marTop w:val="0"/>
          <w:marBottom w:val="0"/>
          <w:divBdr>
            <w:top w:val="none" w:sz="0" w:space="0" w:color="auto"/>
            <w:left w:val="none" w:sz="0" w:space="0" w:color="auto"/>
            <w:bottom w:val="none" w:sz="0" w:space="0" w:color="auto"/>
            <w:right w:val="none" w:sz="0" w:space="0" w:color="auto"/>
          </w:divBdr>
        </w:div>
      </w:divsChild>
    </w:div>
    <w:div w:id="1022319754">
      <w:bodyDiv w:val="1"/>
      <w:marLeft w:val="0"/>
      <w:marRight w:val="0"/>
      <w:marTop w:val="0"/>
      <w:marBottom w:val="0"/>
      <w:divBdr>
        <w:top w:val="none" w:sz="0" w:space="0" w:color="auto"/>
        <w:left w:val="none" w:sz="0" w:space="0" w:color="auto"/>
        <w:bottom w:val="none" w:sz="0" w:space="0" w:color="auto"/>
        <w:right w:val="none" w:sz="0" w:space="0" w:color="auto"/>
      </w:divBdr>
      <w:divsChild>
        <w:div w:id="1862624895">
          <w:marLeft w:val="0"/>
          <w:marRight w:val="0"/>
          <w:marTop w:val="0"/>
          <w:marBottom w:val="0"/>
          <w:divBdr>
            <w:top w:val="none" w:sz="0" w:space="0" w:color="auto"/>
            <w:left w:val="none" w:sz="0" w:space="0" w:color="auto"/>
            <w:bottom w:val="none" w:sz="0" w:space="0" w:color="auto"/>
            <w:right w:val="none" w:sz="0" w:space="0" w:color="auto"/>
          </w:divBdr>
        </w:div>
      </w:divsChild>
    </w:div>
    <w:div w:id="1036999907">
      <w:bodyDiv w:val="1"/>
      <w:marLeft w:val="0"/>
      <w:marRight w:val="0"/>
      <w:marTop w:val="0"/>
      <w:marBottom w:val="0"/>
      <w:divBdr>
        <w:top w:val="none" w:sz="0" w:space="0" w:color="auto"/>
        <w:left w:val="none" w:sz="0" w:space="0" w:color="auto"/>
        <w:bottom w:val="none" w:sz="0" w:space="0" w:color="auto"/>
        <w:right w:val="none" w:sz="0" w:space="0" w:color="auto"/>
      </w:divBdr>
      <w:divsChild>
        <w:div w:id="653531536">
          <w:marLeft w:val="0"/>
          <w:marRight w:val="0"/>
          <w:marTop w:val="0"/>
          <w:marBottom w:val="0"/>
          <w:divBdr>
            <w:top w:val="none" w:sz="0" w:space="0" w:color="auto"/>
            <w:left w:val="none" w:sz="0" w:space="0" w:color="auto"/>
            <w:bottom w:val="none" w:sz="0" w:space="0" w:color="auto"/>
            <w:right w:val="none" w:sz="0" w:space="0" w:color="auto"/>
          </w:divBdr>
        </w:div>
      </w:divsChild>
    </w:div>
    <w:div w:id="1069889405">
      <w:bodyDiv w:val="1"/>
      <w:marLeft w:val="0"/>
      <w:marRight w:val="0"/>
      <w:marTop w:val="0"/>
      <w:marBottom w:val="0"/>
      <w:divBdr>
        <w:top w:val="none" w:sz="0" w:space="0" w:color="auto"/>
        <w:left w:val="none" w:sz="0" w:space="0" w:color="auto"/>
        <w:bottom w:val="none" w:sz="0" w:space="0" w:color="auto"/>
        <w:right w:val="none" w:sz="0" w:space="0" w:color="auto"/>
      </w:divBdr>
      <w:divsChild>
        <w:div w:id="1069763287">
          <w:marLeft w:val="0"/>
          <w:marRight w:val="0"/>
          <w:marTop w:val="0"/>
          <w:marBottom w:val="0"/>
          <w:divBdr>
            <w:top w:val="none" w:sz="0" w:space="0" w:color="auto"/>
            <w:left w:val="none" w:sz="0" w:space="0" w:color="auto"/>
            <w:bottom w:val="none" w:sz="0" w:space="0" w:color="auto"/>
            <w:right w:val="none" w:sz="0" w:space="0" w:color="auto"/>
          </w:divBdr>
        </w:div>
      </w:divsChild>
    </w:div>
    <w:div w:id="1101299283">
      <w:bodyDiv w:val="1"/>
      <w:marLeft w:val="0"/>
      <w:marRight w:val="0"/>
      <w:marTop w:val="0"/>
      <w:marBottom w:val="0"/>
      <w:divBdr>
        <w:top w:val="none" w:sz="0" w:space="0" w:color="auto"/>
        <w:left w:val="none" w:sz="0" w:space="0" w:color="auto"/>
        <w:bottom w:val="none" w:sz="0" w:space="0" w:color="auto"/>
        <w:right w:val="none" w:sz="0" w:space="0" w:color="auto"/>
      </w:divBdr>
      <w:divsChild>
        <w:div w:id="421610719">
          <w:marLeft w:val="0"/>
          <w:marRight w:val="0"/>
          <w:marTop w:val="0"/>
          <w:marBottom w:val="0"/>
          <w:divBdr>
            <w:top w:val="none" w:sz="0" w:space="0" w:color="auto"/>
            <w:left w:val="none" w:sz="0" w:space="0" w:color="auto"/>
            <w:bottom w:val="none" w:sz="0" w:space="0" w:color="auto"/>
            <w:right w:val="none" w:sz="0" w:space="0" w:color="auto"/>
          </w:divBdr>
        </w:div>
      </w:divsChild>
    </w:div>
    <w:div w:id="1163813839">
      <w:bodyDiv w:val="1"/>
      <w:marLeft w:val="0"/>
      <w:marRight w:val="0"/>
      <w:marTop w:val="0"/>
      <w:marBottom w:val="0"/>
      <w:divBdr>
        <w:top w:val="none" w:sz="0" w:space="0" w:color="auto"/>
        <w:left w:val="none" w:sz="0" w:space="0" w:color="auto"/>
        <w:bottom w:val="none" w:sz="0" w:space="0" w:color="auto"/>
        <w:right w:val="none" w:sz="0" w:space="0" w:color="auto"/>
      </w:divBdr>
      <w:divsChild>
        <w:div w:id="1854411973">
          <w:marLeft w:val="0"/>
          <w:marRight w:val="0"/>
          <w:marTop w:val="0"/>
          <w:marBottom w:val="0"/>
          <w:divBdr>
            <w:top w:val="none" w:sz="0" w:space="0" w:color="auto"/>
            <w:left w:val="none" w:sz="0" w:space="0" w:color="auto"/>
            <w:bottom w:val="none" w:sz="0" w:space="0" w:color="auto"/>
            <w:right w:val="none" w:sz="0" w:space="0" w:color="auto"/>
          </w:divBdr>
        </w:div>
      </w:divsChild>
    </w:div>
    <w:div w:id="1207991076">
      <w:bodyDiv w:val="1"/>
      <w:marLeft w:val="0"/>
      <w:marRight w:val="0"/>
      <w:marTop w:val="0"/>
      <w:marBottom w:val="0"/>
      <w:divBdr>
        <w:top w:val="none" w:sz="0" w:space="0" w:color="auto"/>
        <w:left w:val="none" w:sz="0" w:space="0" w:color="auto"/>
        <w:bottom w:val="none" w:sz="0" w:space="0" w:color="auto"/>
        <w:right w:val="none" w:sz="0" w:space="0" w:color="auto"/>
      </w:divBdr>
      <w:divsChild>
        <w:div w:id="1903520864">
          <w:marLeft w:val="0"/>
          <w:marRight w:val="0"/>
          <w:marTop w:val="0"/>
          <w:marBottom w:val="0"/>
          <w:divBdr>
            <w:top w:val="none" w:sz="0" w:space="0" w:color="auto"/>
            <w:left w:val="none" w:sz="0" w:space="0" w:color="auto"/>
            <w:bottom w:val="none" w:sz="0" w:space="0" w:color="auto"/>
            <w:right w:val="none" w:sz="0" w:space="0" w:color="auto"/>
          </w:divBdr>
        </w:div>
      </w:divsChild>
    </w:div>
    <w:div w:id="1229266318">
      <w:bodyDiv w:val="1"/>
      <w:marLeft w:val="0"/>
      <w:marRight w:val="0"/>
      <w:marTop w:val="0"/>
      <w:marBottom w:val="0"/>
      <w:divBdr>
        <w:top w:val="none" w:sz="0" w:space="0" w:color="auto"/>
        <w:left w:val="none" w:sz="0" w:space="0" w:color="auto"/>
        <w:bottom w:val="none" w:sz="0" w:space="0" w:color="auto"/>
        <w:right w:val="none" w:sz="0" w:space="0" w:color="auto"/>
      </w:divBdr>
      <w:divsChild>
        <w:div w:id="1946375513">
          <w:marLeft w:val="0"/>
          <w:marRight w:val="0"/>
          <w:marTop w:val="0"/>
          <w:marBottom w:val="0"/>
          <w:divBdr>
            <w:top w:val="none" w:sz="0" w:space="0" w:color="auto"/>
            <w:left w:val="none" w:sz="0" w:space="0" w:color="auto"/>
            <w:bottom w:val="none" w:sz="0" w:space="0" w:color="auto"/>
            <w:right w:val="none" w:sz="0" w:space="0" w:color="auto"/>
          </w:divBdr>
        </w:div>
      </w:divsChild>
    </w:div>
    <w:div w:id="1249192318">
      <w:bodyDiv w:val="1"/>
      <w:marLeft w:val="0"/>
      <w:marRight w:val="0"/>
      <w:marTop w:val="0"/>
      <w:marBottom w:val="0"/>
      <w:divBdr>
        <w:top w:val="none" w:sz="0" w:space="0" w:color="auto"/>
        <w:left w:val="none" w:sz="0" w:space="0" w:color="auto"/>
        <w:bottom w:val="none" w:sz="0" w:space="0" w:color="auto"/>
        <w:right w:val="none" w:sz="0" w:space="0" w:color="auto"/>
      </w:divBdr>
      <w:divsChild>
        <w:div w:id="929507416">
          <w:marLeft w:val="0"/>
          <w:marRight w:val="0"/>
          <w:marTop w:val="0"/>
          <w:marBottom w:val="0"/>
          <w:divBdr>
            <w:top w:val="none" w:sz="0" w:space="0" w:color="auto"/>
            <w:left w:val="none" w:sz="0" w:space="0" w:color="auto"/>
            <w:bottom w:val="none" w:sz="0" w:space="0" w:color="auto"/>
            <w:right w:val="none" w:sz="0" w:space="0" w:color="auto"/>
          </w:divBdr>
        </w:div>
      </w:divsChild>
    </w:div>
    <w:div w:id="1337614074">
      <w:bodyDiv w:val="1"/>
      <w:marLeft w:val="0"/>
      <w:marRight w:val="0"/>
      <w:marTop w:val="0"/>
      <w:marBottom w:val="0"/>
      <w:divBdr>
        <w:top w:val="none" w:sz="0" w:space="0" w:color="auto"/>
        <w:left w:val="none" w:sz="0" w:space="0" w:color="auto"/>
        <w:bottom w:val="none" w:sz="0" w:space="0" w:color="auto"/>
        <w:right w:val="none" w:sz="0" w:space="0" w:color="auto"/>
      </w:divBdr>
      <w:divsChild>
        <w:div w:id="186061183">
          <w:marLeft w:val="0"/>
          <w:marRight w:val="0"/>
          <w:marTop w:val="0"/>
          <w:marBottom w:val="0"/>
          <w:divBdr>
            <w:top w:val="none" w:sz="0" w:space="0" w:color="auto"/>
            <w:left w:val="none" w:sz="0" w:space="0" w:color="auto"/>
            <w:bottom w:val="none" w:sz="0" w:space="0" w:color="auto"/>
            <w:right w:val="none" w:sz="0" w:space="0" w:color="auto"/>
          </w:divBdr>
        </w:div>
      </w:divsChild>
    </w:div>
    <w:div w:id="1474716695">
      <w:bodyDiv w:val="1"/>
      <w:marLeft w:val="0"/>
      <w:marRight w:val="0"/>
      <w:marTop w:val="0"/>
      <w:marBottom w:val="0"/>
      <w:divBdr>
        <w:top w:val="none" w:sz="0" w:space="0" w:color="auto"/>
        <w:left w:val="none" w:sz="0" w:space="0" w:color="auto"/>
        <w:bottom w:val="none" w:sz="0" w:space="0" w:color="auto"/>
        <w:right w:val="none" w:sz="0" w:space="0" w:color="auto"/>
      </w:divBdr>
      <w:divsChild>
        <w:div w:id="1972905155">
          <w:marLeft w:val="0"/>
          <w:marRight w:val="0"/>
          <w:marTop w:val="0"/>
          <w:marBottom w:val="0"/>
          <w:divBdr>
            <w:top w:val="none" w:sz="0" w:space="0" w:color="auto"/>
            <w:left w:val="none" w:sz="0" w:space="0" w:color="auto"/>
            <w:bottom w:val="none" w:sz="0" w:space="0" w:color="auto"/>
            <w:right w:val="none" w:sz="0" w:space="0" w:color="auto"/>
          </w:divBdr>
        </w:div>
      </w:divsChild>
    </w:div>
    <w:div w:id="1477532549">
      <w:bodyDiv w:val="1"/>
      <w:marLeft w:val="0"/>
      <w:marRight w:val="0"/>
      <w:marTop w:val="0"/>
      <w:marBottom w:val="0"/>
      <w:divBdr>
        <w:top w:val="none" w:sz="0" w:space="0" w:color="auto"/>
        <w:left w:val="none" w:sz="0" w:space="0" w:color="auto"/>
        <w:bottom w:val="none" w:sz="0" w:space="0" w:color="auto"/>
        <w:right w:val="none" w:sz="0" w:space="0" w:color="auto"/>
      </w:divBdr>
    </w:div>
    <w:div w:id="1498305285">
      <w:bodyDiv w:val="1"/>
      <w:marLeft w:val="0"/>
      <w:marRight w:val="0"/>
      <w:marTop w:val="0"/>
      <w:marBottom w:val="0"/>
      <w:divBdr>
        <w:top w:val="none" w:sz="0" w:space="0" w:color="auto"/>
        <w:left w:val="none" w:sz="0" w:space="0" w:color="auto"/>
        <w:bottom w:val="none" w:sz="0" w:space="0" w:color="auto"/>
        <w:right w:val="none" w:sz="0" w:space="0" w:color="auto"/>
      </w:divBdr>
      <w:divsChild>
        <w:div w:id="834415915">
          <w:marLeft w:val="0"/>
          <w:marRight w:val="0"/>
          <w:marTop w:val="0"/>
          <w:marBottom w:val="0"/>
          <w:divBdr>
            <w:top w:val="none" w:sz="0" w:space="0" w:color="auto"/>
            <w:left w:val="none" w:sz="0" w:space="0" w:color="auto"/>
            <w:bottom w:val="none" w:sz="0" w:space="0" w:color="auto"/>
            <w:right w:val="none" w:sz="0" w:space="0" w:color="auto"/>
          </w:divBdr>
        </w:div>
      </w:divsChild>
    </w:div>
    <w:div w:id="1500929939">
      <w:bodyDiv w:val="1"/>
      <w:marLeft w:val="0"/>
      <w:marRight w:val="0"/>
      <w:marTop w:val="0"/>
      <w:marBottom w:val="0"/>
      <w:divBdr>
        <w:top w:val="none" w:sz="0" w:space="0" w:color="auto"/>
        <w:left w:val="none" w:sz="0" w:space="0" w:color="auto"/>
        <w:bottom w:val="none" w:sz="0" w:space="0" w:color="auto"/>
        <w:right w:val="none" w:sz="0" w:space="0" w:color="auto"/>
      </w:divBdr>
      <w:divsChild>
        <w:div w:id="1806971750">
          <w:marLeft w:val="0"/>
          <w:marRight w:val="0"/>
          <w:marTop w:val="0"/>
          <w:marBottom w:val="0"/>
          <w:divBdr>
            <w:top w:val="none" w:sz="0" w:space="0" w:color="auto"/>
            <w:left w:val="none" w:sz="0" w:space="0" w:color="auto"/>
            <w:bottom w:val="none" w:sz="0" w:space="0" w:color="auto"/>
            <w:right w:val="none" w:sz="0" w:space="0" w:color="auto"/>
          </w:divBdr>
        </w:div>
      </w:divsChild>
    </w:div>
    <w:div w:id="1518542561">
      <w:bodyDiv w:val="1"/>
      <w:marLeft w:val="0"/>
      <w:marRight w:val="0"/>
      <w:marTop w:val="0"/>
      <w:marBottom w:val="0"/>
      <w:divBdr>
        <w:top w:val="none" w:sz="0" w:space="0" w:color="auto"/>
        <w:left w:val="none" w:sz="0" w:space="0" w:color="auto"/>
        <w:bottom w:val="none" w:sz="0" w:space="0" w:color="auto"/>
        <w:right w:val="none" w:sz="0" w:space="0" w:color="auto"/>
      </w:divBdr>
      <w:divsChild>
        <w:div w:id="594284601">
          <w:marLeft w:val="0"/>
          <w:marRight w:val="0"/>
          <w:marTop w:val="0"/>
          <w:marBottom w:val="0"/>
          <w:divBdr>
            <w:top w:val="none" w:sz="0" w:space="0" w:color="auto"/>
            <w:left w:val="none" w:sz="0" w:space="0" w:color="auto"/>
            <w:bottom w:val="none" w:sz="0" w:space="0" w:color="auto"/>
            <w:right w:val="none" w:sz="0" w:space="0" w:color="auto"/>
          </w:divBdr>
        </w:div>
      </w:divsChild>
    </w:div>
    <w:div w:id="1597711687">
      <w:bodyDiv w:val="1"/>
      <w:marLeft w:val="0"/>
      <w:marRight w:val="0"/>
      <w:marTop w:val="0"/>
      <w:marBottom w:val="0"/>
      <w:divBdr>
        <w:top w:val="none" w:sz="0" w:space="0" w:color="auto"/>
        <w:left w:val="none" w:sz="0" w:space="0" w:color="auto"/>
        <w:bottom w:val="none" w:sz="0" w:space="0" w:color="auto"/>
        <w:right w:val="none" w:sz="0" w:space="0" w:color="auto"/>
      </w:divBdr>
    </w:div>
    <w:div w:id="1623196160">
      <w:bodyDiv w:val="1"/>
      <w:marLeft w:val="0"/>
      <w:marRight w:val="0"/>
      <w:marTop w:val="0"/>
      <w:marBottom w:val="0"/>
      <w:divBdr>
        <w:top w:val="none" w:sz="0" w:space="0" w:color="auto"/>
        <w:left w:val="none" w:sz="0" w:space="0" w:color="auto"/>
        <w:bottom w:val="none" w:sz="0" w:space="0" w:color="auto"/>
        <w:right w:val="none" w:sz="0" w:space="0" w:color="auto"/>
      </w:divBdr>
      <w:divsChild>
        <w:div w:id="1096169055">
          <w:marLeft w:val="0"/>
          <w:marRight w:val="0"/>
          <w:marTop w:val="0"/>
          <w:marBottom w:val="0"/>
          <w:divBdr>
            <w:top w:val="none" w:sz="0" w:space="0" w:color="auto"/>
            <w:left w:val="none" w:sz="0" w:space="0" w:color="auto"/>
            <w:bottom w:val="none" w:sz="0" w:space="0" w:color="auto"/>
            <w:right w:val="none" w:sz="0" w:space="0" w:color="auto"/>
          </w:divBdr>
        </w:div>
      </w:divsChild>
    </w:div>
    <w:div w:id="1669283042">
      <w:bodyDiv w:val="1"/>
      <w:marLeft w:val="0"/>
      <w:marRight w:val="0"/>
      <w:marTop w:val="0"/>
      <w:marBottom w:val="0"/>
      <w:divBdr>
        <w:top w:val="none" w:sz="0" w:space="0" w:color="auto"/>
        <w:left w:val="none" w:sz="0" w:space="0" w:color="auto"/>
        <w:bottom w:val="none" w:sz="0" w:space="0" w:color="auto"/>
        <w:right w:val="none" w:sz="0" w:space="0" w:color="auto"/>
      </w:divBdr>
      <w:divsChild>
        <w:div w:id="298614779">
          <w:marLeft w:val="0"/>
          <w:marRight w:val="0"/>
          <w:marTop w:val="0"/>
          <w:marBottom w:val="0"/>
          <w:divBdr>
            <w:top w:val="none" w:sz="0" w:space="0" w:color="auto"/>
            <w:left w:val="none" w:sz="0" w:space="0" w:color="auto"/>
            <w:bottom w:val="none" w:sz="0" w:space="0" w:color="auto"/>
            <w:right w:val="none" w:sz="0" w:space="0" w:color="auto"/>
          </w:divBdr>
        </w:div>
      </w:divsChild>
    </w:div>
    <w:div w:id="1726181644">
      <w:bodyDiv w:val="1"/>
      <w:marLeft w:val="0"/>
      <w:marRight w:val="0"/>
      <w:marTop w:val="0"/>
      <w:marBottom w:val="0"/>
      <w:divBdr>
        <w:top w:val="none" w:sz="0" w:space="0" w:color="auto"/>
        <w:left w:val="none" w:sz="0" w:space="0" w:color="auto"/>
        <w:bottom w:val="none" w:sz="0" w:space="0" w:color="auto"/>
        <w:right w:val="none" w:sz="0" w:space="0" w:color="auto"/>
      </w:divBdr>
      <w:divsChild>
        <w:div w:id="885218520">
          <w:marLeft w:val="0"/>
          <w:marRight w:val="0"/>
          <w:marTop w:val="0"/>
          <w:marBottom w:val="0"/>
          <w:divBdr>
            <w:top w:val="none" w:sz="0" w:space="0" w:color="auto"/>
            <w:left w:val="none" w:sz="0" w:space="0" w:color="auto"/>
            <w:bottom w:val="none" w:sz="0" w:space="0" w:color="auto"/>
            <w:right w:val="none" w:sz="0" w:space="0" w:color="auto"/>
          </w:divBdr>
        </w:div>
      </w:divsChild>
    </w:div>
    <w:div w:id="1729189184">
      <w:bodyDiv w:val="1"/>
      <w:marLeft w:val="0"/>
      <w:marRight w:val="0"/>
      <w:marTop w:val="0"/>
      <w:marBottom w:val="0"/>
      <w:divBdr>
        <w:top w:val="none" w:sz="0" w:space="0" w:color="auto"/>
        <w:left w:val="none" w:sz="0" w:space="0" w:color="auto"/>
        <w:bottom w:val="none" w:sz="0" w:space="0" w:color="auto"/>
        <w:right w:val="none" w:sz="0" w:space="0" w:color="auto"/>
      </w:divBdr>
      <w:divsChild>
        <w:div w:id="627857143">
          <w:marLeft w:val="0"/>
          <w:marRight w:val="0"/>
          <w:marTop w:val="0"/>
          <w:marBottom w:val="0"/>
          <w:divBdr>
            <w:top w:val="none" w:sz="0" w:space="0" w:color="auto"/>
            <w:left w:val="none" w:sz="0" w:space="0" w:color="auto"/>
            <w:bottom w:val="none" w:sz="0" w:space="0" w:color="auto"/>
            <w:right w:val="none" w:sz="0" w:space="0" w:color="auto"/>
          </w:divBdr>
        </w:div>
      </w:divsChild>
    </w:div>
    <w:div w:id="1762532103">
      <w:bodyDiv w:val="1"/>
      <w:marLeft w:val="0"/>
      <w:marRight w:val="0"/>
      <w:marTop w:val="0"/>
      <w:marBottom w:val="0"/>
      <w:divBdr>
        <w:top w:val="none" w:sz="0" w:space="0" w:color="auto"/>
        <w:left w:val="none" w:sz="0" w:space="0" w:color="auto"/>
        <w:bottom w:val="none" w:sz="0" w:space="0" w:color="auto"/>
        <w:right w:val="none" w:sz="0" w:space="0" w:color="auto"/>
      </w:divBdr>
      <w:divsChild>
        <w:div w:id="1665276916">
          <w:marLeft w:val="0"/>
          <w:marRight w:val="0"/>
          <w:marTop w:val="0"/>
          <w:marBottom w:val="0"/>
          <w:divBdr>
            <w:top w:val="none" w:sz="0" w:space="0" w:color="auto"/>
            <w:left w:val="none" w:sz="0" w:space="0" w:color="auto"/>
            <w:bottom w:val="none" w:sz="0" w:space="0" w:color="auto"/>
            <w:right w:val="none" w:sz="0" w:space="0" w:color="auto"/>
          </w:divBdr>
        </w:div>
      </w:divsChild>
    </w:div>
    <w:div w:id="1765417523">
      <w:bodyDiv w:val="1"/>
      <w:marLeft w:val="0"/>
      <w:marRight w:val="0"/>
      <w:marTop w:val="0"/>
      <w:marBottom w:val="0"/>
      <w:divBdr>
        <w:top w:val="none" w:sz="0" w:space="0" w:color="auto"/>
        <w:left w:val="none" w:sz="0" w:space="0" w:color="auto"/>
        <w:bottom w:val="none" w:sz="0" w:space="0" w:color="auto"/>
        <w:right w:val="none" w:sz="0" w:space="0" w:color="auto"/>
      </w:divBdr>
      <w:divsChild>
        <w:div w:id="1763600978">
          <w:marLeft w:val="0"/>
          <w:marRight w:val="0"/>
          <w:marTop w:val="0"/>
          <w:marBottom w:val="0"/>
          <w:divBdr>
            <w:top w:val="none" w:sz="0" w:space="0" w:color="auto"/>
            <w:left w:val="none" w:sz="0" w:space="0" w:color="auto"/>
            <w:bottom w:val="none" w:sz="0" w:space="0" w:color="auto"/>
            <w:right w:val="none" w:sz="0" w:space="0" w:color="auto"/>
          </w:divBdr>
        </w:div>
      </w:divsChild>
    </w:div>
    <w:div w:id="1792439032">
      <w:bodyDiv w:val="1"/>
      <w:marLeft w:val="0"/>
      <w:marRight w:val="0"/>
      <w:marTop w:val="0"/>
      <w:marBottom w:val="0"/>
      <w:divBdr>
        <w:top w:val="none" w:sz="0" w:space="0" w:color="auto"/>
        <w:left w:val="none" w:sz="0" w:space="0" w:color="auto"/>
        <w:bottom w:val="none" w:sz="0" w:space="0" w:color="auto"/>
        <w:right w:val="none" w:sz="0" w:space="0" w:color="auto"/>
      </w:divBdr>
      <w:divsChild>
        <w:div w:id="1219627825">
          <w:marLeft w:val="0"/>
          <w:marRight w:val="0"/>
          <w:marTop w:val="0"/>
          <w:marBottom w:val="0"/>
          <w:divBdr>
            <w:top w:val="none" w:sz="0" w:space="0" w:color="auto"/>
            <w:left w:val="none" w:sz="0" w:space="0" w:color="auto"/>
            <w:bottom w:val="none" w:sz="0" w:space="0" w:color="auto"/>
            <w:right w:val="none" w:sz="0" w:space="0" w:color="auto"/>
          </w:divBdr>
        </w:div>
      </w:divsChild>
    </w:div>
    <w:div w:id="1811363424">
      <w:bodyDiv w:val="1"/>
      <w:marLeft w:val="0"/>
      <w:marRight w:val="0"/>
      <w:marTop w:val="0"/>
      <w:marBottom w:val="0"/>
      <w:divBdr>
        <w:top w:val="none" w:sz="0" w:space="0" w:color="auto"/>
        <w:left w:val="none" w:sz="0" w:space="0" w:color="auto"/>
        <w:bottom w:val="none" w:sz="0" w:space="0" w:color="auto"/>
        <w:right w:val="none" w:sz="0" w:space="0" w:color="auto"/>
      </w:divBdr>
    </w:div>
    <w:div w:id="1841852241">
      <w:bodyDiv w:val="1"/>
      <w:marLeft w:val="0"/>
      <w:marRight w:val="0"/>
      <w:marTop w:val="0"/>
      <w:marBottom w:val="0"/>
      <w:divBdr>
        <w:top w:val="none" w:sz="0" w:space="0" w:color="auto"/>
        <w:left w:val="none" w:sz="0" w:space="0" w:color="auto"/>
        <w:bottom w:val="none" w:sz="0" w:space="0" w:color="auto"/>
        <w:right w:val="none" w:sz="0" w:space="0" w:color="auto"/>
      </w:divBdr>
      <w:divsChild>
        <w:div w:id="1157919982">
          <w:marLeft w:val="0"/>
          <w:marRight w:val="0"/>
          <w:marTop w:val="0"/>
          <w:marBottom w:val="0"/>
          <w:divBdr>
            <w:top w:val="none" w:sz="0" w:space="0" w:color="auto"/>
            <w:left w:val="none" w:sz="0" w:space="0" w:color="auto"/>
            <w:bottom w:val="none" w:sz="0" w:space="0" w:color="auto"/>
            <w:right w:val="none" w:sz="0" w:space="0" w:color="auto"/>
          </w:divBdr>
        </w:div>
      </w:divsChild>
    </w:div>
    <w:div w:id="1878934391">
      <w:bodyDiv w:val="1"/>
      <w:marLeft w:val="0"/>
      <w:marRight w:val="0"/>
      <w:marTop w:val="0"/>
      <w:marBottom w:val="0"/>
      <w:divBdr>
        <w:top w:val="none" w:sz="0" w:space="0" w:color="auto"/>
        <w:left w:val="none" w:sz="0" w:space="0" w:color="auto"/>
        <w:bottom w:val="none" w:sz="0" w:space="0" w:color="auto"/>
        <w:right w:val="none" w:sz="0" w:space="0" w:color="auto"/>
      </w:divBdr>
      <w:divsChild>
        <w:div w:id="361367182">
          <w:marLeft w:val="0"/>
          <w:marRight w:val="0"/>
          <w:marTop w:val="0"/>
          <w:marBottom w:val="0"/>
          <w:divBdr>
            <w:top w:val="none" w:sz="0" w:space="0" w:color="auto"/>
            <w:left w:val="none" w:sz="0" w:space="0" w:color="auto"/>
            <w:bottom w:val="none" w:sz="0" w:space="0" w:color="auto"/>
            <w:right w:val="none" w:sz="0" w:space="0" w:color="auto"/>
          </w:divBdr>
        </w:div>
      </w:divsChild>
    </w:div>
    <w:div w:id="1879124622">
      <w:bodyDiv w:val="1"/>
      <w:marLeft w:val="0"/>
      <w:marRight w:val="0"/>
      <w:marTop w:val="0"/>
      <w:marBottom w:val="0"/>
      <w:divBdr>
        <w:top w:val="none" w:sz="0" w:space="0" w:color="auto"/>
        <w:left w:val="none" w:sz="0" w:space="0" w:color="auto"/>
        <w:bottom w:val="none" w:sz="0" w:space="0" w:color="auto"/>
        <w:right w:val="none" w:sz="0" w:space="0" w:color="auto"/>
      </w:divBdr>
      <w:divsChild>
        <w:div w:id="1058361819">
          <w:marLeft w:val="0"/>
          <w:marRight w:val="0"/>
          <w:marTop w:val="0"/>
          <w:marBottom w:val="0"/>
          <w:divBdr>
            <w:top w:val="none" w:sz="0" w:space="0" w:color="auto"/>
            <w:left w:val="none" w:sz="0" w:space="0" w:color="auto"/>
            <w:bottom w:val="none" w:sz="0" w:space="0" w:color="auto"/>
            <w:right w:val="none" w:sz="0" w:space="0" w:color="auto"/>
          </w:divBdr>
        </w:div>
      </w:divsChild>
    </w:div>
    <w:div w:id="1881287097">
      <w:bodyDiv w:val="1"/>
      <w:marLeft w:val="0"/>
      <w:marRight w:val="0"/>
      <w:marTop w:val="0"/>
      <w:marBottom w:val="0"/>
      <w:divBdr>
        <w:top w:val="none" w:sz="0" w:space="0" w:color="auto"/>
        <w:left w:val="none" w:sz="0" w:space="0" w:color="auto"/>
        <w:bottom w:val="none" w:sz="0" w:space="0" w:color="auto"/>
        <w:right w:val="none" w:sz="0" w:space="0" w:color="auto"/>
      </w:divBdr>
      <w:divsChild>
        <w:div w:id="1262837759">
          <w:marLeft w:val="0"/>
          <w:marRight w:val="0"/>
          <w:marTop w:val="0"/>
          <w:marBottom w:val="0"/>
          <w:divBdr>
            <w:top w:val="none" w:sz="0" w:space="0" w:color="auto"/>
            <w:left w:val="none" w:sz="0" w:space="0" w:color="auto"/>
            <w:bottom w:val="none" w:sz="0" w:space="0" w:color="auto"/>
            <w:right w:val="none" w:sz="0" w:space="0" w:color="auto"/>
          </w:divBdr>
        </w:div>
      </w:divsChild>
    </w:div>
    <w:div w:id="1951430177">
      <w:bodyDiv w:val="1"/>
      <w:marLeft w:val="0"/>
      <w:marRight w:val="0"/>
      <w:marTop w:val="0"/>
      <w:marBottom w:val="0"/>
      <w:divBdr>
        <w:top w:val="none" w:sz="0" w:space="0" w:color="auto"/>
        <w:left w:val="none" w:sz="0" w:space="0" w:color="auto"/>
        <w:bottom w:val="none" w:sz="0" w:space="0" w:color="auto"/>
        <w:right w:val="none" w:sz="0" w:space="0" w:color="auto"/>
      </w:divBdr>
      <w:divsChild>
        <w:div w:id="1328900580">
          <w:marLeft w:val="0"/>
          <w:marRight w:val="0"/>
          <w:marTop w:val="0"/>
          <w:marBottom w:val="0"/>
          <w:divBdr>
            <w:top w:val="none" w:sz="0" w:space="0" w:color="auto"/>
            <w:left w:val="none" w:sz="0" w:space="0" w:color="auto"/>
            <w:bottom w:val="none" w:sz="0" w:space="0" w:color="auto"/>
            <w:right w:val="none" w:sz="0" w:space="0" w:color="auto"/>
          </w:divBdr>
        </w:div>
      </w:divsChild>
    </w:div>
    <w:div w:id="1957180127">
      <w:bodyDiv w:val="1"/>
      <w:marLeft w:val="0"/>
      <w:marRight w:val="0"/>
      <w:marTop w:val="0"/>
      <w:marBottom w:val="0"/>
      <w:divBdr>
        <w:top w:val="none" w:sz="0" w:space="0" w:color="auto"/>
        <w:left w:val="none" w:sz="0" w:space="0" w:color="auto"/>
        <w:bottom w:val="none" w:sz="0" w:space="0" w:color="auto"/>
        <w:right w:val="none" w:sz="0" w:space="0" w:color="auto"/>
      </w:divBdr>
      <w:divsChild>
        <w:div w:id="1083989018">
          <w:marLeft w:val="0"/>
          <w:marRight w:val="0"/>
          <w:marTop w:val="0"/>
          <w:marBottom w:val="0"/>
          <w:divBdr>
            <w:top w:val="none" w:sz="0" w:space="0" w:color="auto"/>
            <w:left w:val="none" w:sz="0" w:space="0" w:color="auto"/>
            <w:bottom w:val="none" w:sz="0" w:space="0" w:color="auto"/>
            <w:right w:val="none" w:sz="0" w:space="0" w:color="auto"/>
          </w:divBdr>
        </w:div>
      </w:divsChild>
    </w:div>
    <w:div w:id="1980375105">
      <w:bodyDiv w:val="1"/>
      <w:marLeft w:val="0"/>
      <w:marRight w:val="0"/>
      <w:marTop w:val="0"/>
      <w:marBottom w:val="0"/>
      <w:divBdr>
        <w:top w:val="none" w:sz="0" w:space="0" w:color="auto"/>
        <w:left w:val="none" w:sz="0" w:space="0" w:color="auto"/>
        <w:bottom w:val="none" w:sz="0" w:space="0" w:color="auto"/>
        <w:right w:val="none" w:sz="0" w:space="0" w:color="auto"/>
      </w:divBdr>
      <w:divsChild>
        <w:div w:id="1285773852">
          <w:marLeft w:val="0"/>
          <w:marRight w:val="0"/>
          <w:marTop w:val="0"/>
          <w:marBottom w:val="0"/>
          <w:divBdr>
            <w:top w:val="none" w:sz="0" w:space="0" w:color="auto"/>
            <w:left w:val="none" w:sz="0" w:space="0" w:color="auto"/>
            <w:bottom w:val="none" w:sz="0" w:space="0" w:color="auto"/>
            <w:right w:val="none" w:sz="0" w:space="0" w:color="auto"/>
          </w:divBdr>
        </w:div>
      </w:divsChild>
    </w:div>
    <w:div w:id="2008559845">
      <w:bodyDiv w:val="1"/>
      <w:marLeft w:val="0"/>
      <w:marRight w:val="0"/>
      <w:marTop w:val="0"/>
      <w:marBottom w:val="0"/>
      <w:divBdr>
        <w:top w:val="none" w:sz="0" w:space="0" w:color="auto"/>
        <w:left w:val="none" w:sz="0" w:space="0" w:color="auto"/>
        <w:bottom w:val="none" w:sz="0" w:space="0" w:color="auto"/>
        <w:right w:val="none" w:sz="0" w:space="0" w:color="auto"/>
      </w:divBdr>
      <w:divsChild>
        <w:div w:id="73628617">
          <w:marLeft w:val="0"/>
          <w:marRight w:val="0"/>
          <w:marTop w:val="0"/>
          <w:marBottom w:val="0"/>
          <w:divBdr>
            <w:top w:val="none" w:sz="0" w:space="0" w:color="auto"/>
            <w:left w:val="none" w:sz="0" w:space="0" w:color="auto"/>
            <w:bottom w:val="none" w:sz="0" w:space="0" w:color="auto"/>
            <w:right w:val="none" w:sz="0" w:space="0" w:color="auto"/>
          </w:divBdr>
        </w:div>
      </w:divsChild>
    </w:div>
    <w:div w:id="2123720720">
      <w:bodyDiv w:val="1"/>
      <w:marLeft w:val="0"/>
      <w:marRight w:val="0"/>
      <w:marTop w:val="0"/>
      <w:marBottom w:val="0"/>
      <w:divBdr>
        <w:top w:val="none" w:sz="0" w:space="0" w:color="auto"/>
        <w:left w:val="none" w:sz="0" w:space="0" w:color="auto"/>
        <w:bottom w:val="none" w:sz="0" w:space="0" w:color="auto"/>
        <w:right w:val="none" w:sz="0" w:space="0" w:color="auto"/>
      </w:divBdr>
      <w:divsChild>
        <w:div w:id="1319193865">
          <w:marLeft w:val="0"/>
          <w:marRight w:val="0"/>
          <w:marTop w:val="0"/>
          <w:marBottom w:val="0"/>
          <w:divBdr>
            <w:top w:val="none" w:sz="0" w:space="0" w:color="auto"/>
            <w:left w:val="none" w:sz="0" w:space="0" w:color="auto"/>
            <w:bottom w:val="none" w:sz="0" w:space="0" w:color="auto"/>
            <w:right w:val="none" w:sz="0" w:space="0" w:color="auto"/>
          </w:divBdr>
        </w:div>
      </w:divsChild>
    </w:div>
    <w:div w:id="2126263526">
      <w:bodyDiv w:val="1"/>
      <w:marLeft w:val="0"/>
      <w:marRight w:val="0"/>
      <w:marTop w:val="0"/>
      <w:marBottom w:val="0"/>
      <w:divBdr>
        <w:top w:val="none" w:sz="0" w:space="0" w:color="auto"/>
        <w:left w:val="none" w:sz="0" w:space="0" w:color="auto"/>
        <w:bottom w:val="none" w:sz="0" w:space="0" w:color="auto"/>
        <w:right w:val="none" w:sz="0" w:space="0" w:color="auto"/>
      </w:divBdr>
      <w:divsChild>
        <w:div w:id="822233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C5BE6-6BCA-46A6-9B0C-54556C24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5167</Words>
  <Characters>29456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2020-01-29T20:20:00Z</dcterms:created>
  <dcterms:modified xsi:type="dcterms:W3CDTF">2020-01-30T16:51:00Z</dcterms:modified>
</cp:coreProperties>
</file>