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B608" w14:textId="77777777" w:rsidR="00C8604A" w:rsidRPr="00252BD9" w:rsidRDefault="00C8604A" w:rsidP="00252BD9">
      <w:pPr>
        <w:pStyle w:val="BodyText"/>
        <w:jc w:val="center"/>
        <w:rPr>
          <w:b/>
          <w:sz w:val="36"/>
          <w:szCs w:val="36"/>
        </w:rPr>
      </w:pPr>
      <w:bookmarkStart w:id="0" w:name="_Hlk517091198"/>
      <w:bookmarkStart w:id="1" w:name="_Hlk532475977"/>
      <w:r w:rsidRPr="00252BD9">
        <w:rPr>
          <w:b/>
          <w:sz w:val="36"/>
          <w:szCs w:val="36"/>
        </w:rPr>
        <w:t>IN THE SUPREME COURT OF CALIFORNIA</w:t>
      </w:r>
    </w:p>
    <w:p w14:paraId="4E41457E" w14:textId="77777777" w:rsidR="00C8604A" w:rsidRDefault="00C8604A" w:rsidP="00C8604A">
      <w:pPr>
        <w:spacing w:after="0"/>
        <w:jc w:val="center"/>
        <w:rPr>
          <w:spacing w:val="100"/>
        </w:rPr>
      </w:pPr>
    </w:p>
    <w:p w14:paraId="3913E4E4" w14:textId="77777777" w:rsidR="00C8604A" w:rsidRDefault="00C8604A" w:rsidP="00252BD9">
      <w:pPr>
        <w:pStyle w:val="BodyText"/>
        <w:jc w:val="center"/>
      </w:pPr>
      <w:r>
        <w:t>DR. LEEVIL, LLC</w:t>
      </w:r>
      <w:r w:rsidR="00680FFE">
        <w:t>,</w:t>
      </w:r>
    </w:p>
    <w:p w14:paraId="4B40CACE" w14:textId="77777777" w:rsidR="00C8604A" w:rsidRDefault="00C8604A" w:rsidP="00252BD9">
      <w:pPr>
        <w:pStyle w:val="BodyText"/>
        <w:jc w:val="center"/>
      </w:pPr>
      <w:r>
        <w:t>Plaintiff and Respondent,</w:t>
      </w:r>
    </w:p>
    <w:p w14:paraId="0FB121B9" w14:textId="77777777" w:rsidR="00C8604A" w:rsidRDefault="00C8604A" w:rsidP="00252BD9">
      <w:pPr>
        <w:pStyle w:val="BodyText"/>
        <w:jc w:val="center"/>
      </w:pPr>
      <w:r>
        <w:t>v.</w:t>
      </w:r>
    </w:p>
    <w:p w14:paraId="1967645E" w14:textId="77777777" w:rsidR="00C8604A" w:rsidRDefault="00C8604A" w:rsidP="00252BD9">
      <w:pPr>
        <w:pStyle w:val="BodyText"/>
        <w:jc w:val="center"/>
      </w:pPr>
      <w:r>
        <w:t>WESTLAKE HEALTH CARE CENTER</w:t>
      </w:r>
      <w:r w:rsidR="00680FFE">
        <w:t>,</w:t>
      </w:r>
    </w:p>
    <w:p w14:paraId="2E82196E" w14:textId="77777777" w:rsidR="00C8604A" w:rsidRDefault="00C8604A" w:rsidP="00252BD9">
      <w:pPr>
        <w:pStyle w:val="BodyText"/>
        <w:jc w:val="center"/>
      </w:pPr>
      <w:r>
        <w:t>Defendant and Appellant.</w:t>
      </w:r>
    </w:p>
    <w:p w14:paraId="50165C0A" w14:textId="77777777" w:rsidR="00C8604A" w:rsidRDefault="00C8604A" w:rsidP="00252BD9">
      <w:pPr>
        <w:pStyle w:val="BodyText"/>
        <w:jc w:val="center"/>
      </w:pPr>
    </w:p>
    <w:p w14:paraId="04D5C5A0" w14:textId="77777777" w:rsidR="00C8604A" w:rsidRDefault="00C8604A" w:rsidP="00252BD9">
      <w:pPr>
        <w:pStyle w:val="BodyText"/>
        <w:jc w:val="center"/>
      </w:pPr>
      <w:r>
        <w:t>S241324</w:t>
      </w:r>
    </w:p>
    <w:p w14:paraId="180B445F" w14:textId="77777777" w:rsidR="00C8604A" w:rsidRDefault="00C8604A" w:rsidP="00252BD9">
      <w:pPr>
        <w:pStyle w:val="BodyText"/>
        <w:jc w:val="center"/>
      </w:pPr>
    </w:p>
    <w:p w14:paraId="034AC1AA" w14:textId="77777777" w:rsidR="00C8604A" w:rsidRDefault="00C8604A" w:rsidP="00252BD9">
      <w:pPr>
        <w:pStyle w:val="BodyText"/>
        <w:jc w:val="center"/>
      </w:pPr>
      <w:r>
        <w:t>Second Appellate District, Division Six</w:t>
      </w:r>
    </w:p>
    <w:p w14:paraId="65F43F5E" w14:textId="77777777" w:rsidR="00C8604A" w:rsidRDefault="00C8604A" w:rsidP="00252BD9">
      <w:pPr>
        <w:pStyle w:val="BodyText"/>
        <w:jc w:val="center"/>
      </w:pPr>
      <w:r>
        <w:t>B266931</w:t>
      </w:r>
    </w:p>
    <w:p w14:paraId="662FE439" w14:textId="77777777" w:rsidR="00C8604A" w:rsidRDefault="00C8604A" w:rsidP="00252BD9">
      <w:pPr>
        <w:pStyle w:val="BodyText"/>
        <w:jc w:val="center"/>
      </w:pPr>
    </w:p>
    <w:p w14:paraId="56533ED7" w14:textId="77777777" w:rsidR="00C8604A" w:rsidRDefault="00C8604A" w:rsidP="00252BD9">
      <w:pPr>
        <w:pStyle w:val="BodyText"/>
        <w:jc w:val="center"/>
      </w:pPr>
      <w:r>
        <w:t>Ventura County</w:t>
      </w:r>
      <w:r w:rsidR="00680FFE">
        <w:t xml:space="preserve"> Superior Court</w:t>
      </w:r>
    </w:p>
    <w:p w14:paraId="529E99AB" w14:textId="77777777" w:rsidR="00C8604A" w:rsidRDefault="00C8604A" w:rsidP="00252BD9">
      <w:pPr>
        <w:pStyle w:val="BodyText"/>
        <w:jc w:val="center"/>
      </w:pPr>
      <w:r>
        <w:t>00465793-CU-UD-VTA</w:t>
      </w:r>
    </w:p>
    <w:p w14:paraId="297A0D9D" w14:textId="77777777" w:rsidR="00252BD9" w:rsidRDefault="00252BD9" w:rsidP="00252BD9">
      <w:pPr>
        <w:pBdr>
          <w:bottom w:val="single" w:sz="4" w:space="1" w:color="auto"/>
        </w:pBdr>
        <w:tabs>
          <w:tab w:val="left" w:pos="1440"/>
          <w:tab w:val="left" w:pos="4680"/>
          <w:tab w:val="center" w:pos="7200"/>
        </w:tabs>
        <w:spacing w:after="0"/>
        <w:jc w:val="center"/>
      </w:pPr>
    </w:p>
    <w:p w14:paraId="4A69075E" w14:textId="77777777" w:rsidR="00252BD9" w:rsidRDefault="00884805" w:rsidP="00252BD9">
      <w:pPr>
        <w:tabs>
          <w:tab w:val="left" w:pos="1440"/>
          <w:tab w:val="left" w:pos="4680"/>
          <w:tab w:val="center" w:pos="7200"/>
        </w:tabs>
        <w:spacing w:after="0"/>
        <w:jc w:val="center"/>
      </w:pPr>
      <w:r>
        <w:t>December 17</w:t>
      </w:r>
      <w:r w:rsidR="00252BD9">
        <w:t>, 2018</w:t>
      </w:r>
    </w:p>
    <w:p w14:paraId="3A4C77FE" w14:textId="77777777" w:rsidR="00252BD9" w:rsidRDefault="00252BD9" w:rsidP="00252BD9">
      <w:pPr>
        <w:tabs>
          <w:tab w:val="left" w:pos="1440"/>
          <w:tab w:val="left" w:pos="4680"/>
          <w:tab w:val="center" w:pos="7200"/>
        </w:tabs>
        <w:spacing w:after="0"/>
        <w:jc w:val="center"/>
      </w:pPr>
    </w:p>
    <w:p w14:paraId="0B705AE5" w14:textId="2EB25AE9" w:rsidR="00252BD9" w:rsidRDefault="00DE5B8D" w:rsidP="008E738A">
      <w:pPr>
        <w:pStyle w:val="NormalIndent"/>
        <w:spacing w:after="0"/>
        <w:ind w:left="0"/>
        <w:jc w:val="left"/>
      </w:pPr>
      <w:r>
        <w:t xml:space="preserve">Justice Chin </w:t>
      </w:r>
      <w:r w:rsidR="00680FFE">
        <w:t>authored</w:t>
      </w:r>
      <w:r>
        <w:t xml:space="preserve"> the opinion of the court, in which Chief Justice Cantil-Sakauye and Justices Corrigan, Liu, Cuéllar, Kruger, and </w:t>
      </w:r>
      <w:r w:rsidR="00884805" w:rsidRPr="00884805">
        <w:t>Peña</w:t>
      </w:r>
      <w:r>
        <w:rPr>
          <w:rStyle w:val="FootnoteReference"/>
        </w:rPr>
        <w:footnoteReference w:customMarkFollows="1" w:id="2"/>
        <w:t>*</w:t>
      </w:r>
      <w:r>
        <w:t xml:space="preserve"> concurred.</w:t>
      </w:r>
      <w:bookmarkStart w:id="2" w:name="_GoBack"/>
      <w:bookmarkEnd w:id="2"/>
    </w:p>
    <w:p w14:paraId="705BC26E" w14:textId="77777777" w:rsidR="00C8604A" w:rsidRDefault="00C8604A" w:rsidP="00C8604A">
      <w:pPr>
        <w:pBdr>
          <w:bottom w:val="single" w:sz="4" w:space="1" w:color="auto"/>
        </w:pBdr>
        <w:spacing w:after="0"/>
        <w:jc w:val="left"/>
        <w:rPr>
          <w:spacing w:val="100"/>
        </w:rPr>
      </w:pPr>
    </w:p>
    <w:p w14:paraId="0B3EDB7E" w14:textId="77777777" w:rsidR="00C8604A" w:rsidRPr="00C8604A" w:rsidRDefault="00C8604A" w:rsidP="00C8604A">
      <w:pPr>
        <w:pBdr>
          <w:bottom w:val="single" w:sz="4" w:space="1" w:color="auto"/>
        </w:pBdr>
        <w:jc w:val="left"/>
        <w:rPr>
          <w:spacing w:val="100"/>
        </w:rPr>
        <w:sectPr w:rsidR="00C8604A" w:rsidRPr="00C8604A" w:rsidSect="00884805">
          <w:headerReference w:type="default" r:id="rId7"/>
          <w:footerReference w:type="default" r:id="rId8"/>
          <w:pgSz w:w="12240" w:h="15840"/>
          <w:pgMar w:top="1800" w:right="2160" w:bottom="576" w:left="2160" w:header="720" w:footer="720" w:gutter="0"/>
          <w:cols w:space="720"/>
          <w:titlePg/>
          <w:docGrid w:linePitch="367"/>
        </w:sectPr>
      </w:pPr>
      <w:bookmarkStart w:id="3" w:name="Return"/>
      <w:bookmarkEnd w:id="3"/>
    </w:p>
    <w:p w14:paraId="0577290C" w14:textId="77777777" w:rsidR="00C8604A" w:rsidRPr="0092001A" w:rsidRDefault="00252BD9" w:rsidP="009F4B3F">
      <w:pPr>
        <w:pStyle w:val="BodyText"/>
        <w:jc w:val="center"/>
      </w:pPr>
      <w:r>
        <w:lastRenderedPageBreak/>
        <w:t xml:space="preserve">DR. </w:t>
      </w:r>
      <w:r w:rsidR="00C8604A" w:rsidRPr="0092001A">
        <w:t>LEEVIL, LLC v. WESTLAKE HEALTH CARE CENTER</w:t>
      </w:r>
    </w:p>
    <w:p w14:paraId="476E74A5" w14:textId="77777777" w:rsidR="00C8604A" w:rsidRPr="0092001A" w:rsidRDefault="00C8604A" w:rsidP="009F4B3F">
      <w:pPr>
        <w:pStyle w:val="BodyText"/>
        <w:jc w:val="center"/>
      </w:pPr>
      <w:r w:rsidRPr="0092001A">
        <w:t>S241324</w:t>
      </w:r>
    </w:p>
    <w:p w14:paraId="737DBC20" w14:textId="77777777" w:rsidR="00C8604A" w:rsidRPr="0092001A" w:rsidRDefault="00C8604A" w:rsidP="009F4B3F">
      <w:pPr>
        <w:pStyle w:val="BodyText"/>
        <w:jc w:val="center"/>
      </w:pPr>
    </w:p>
    <w:p w14:paraId="39A6FDD4" w14:textId="77777777" w:rsidR="00C8604A" w:rsidRPr="0092001A" w:rsidRDefault="00C8604A" w:rsidP="009F4B3F">
      <w:pPr>
        <w:pStyle w:val="BodyText"/>
        <w:jc w:val="center"/>
      </w:pPr>
      <w:r w:rsidRPr="0092001A">
        <w:t>Opinion of the Court by Chin, J.</w:t>
      </w:r>
    </w:p>
    <w:p w14:paraId="56647E90" w14:textId="77777777" w:rsidR="00191A73" w:rsidRPr="00C8604A" w:rsidRDefault="00191A73" w:rsidP="00C8604A">
      <w:pPr>
        <w:tabs>
          <w:tab w:val="left" w:pos="1440"/>
          <w:tab w:val="left" w:pos="4680"/>
          <w:tab w:val="center" w:pos="7200"/>
        </w:tabs>
      </w:pPr>
    </w:p>
    <w:p w14:paraId="68583E44" w14:textId="77777777" w:rsidR="00976622" w:rsidRPr="00C8604A" w:rsidRDefault="00251160" w:rsidP="00C8604A">
      <w:pPr>
        <w:tabs>
          <w:tab w:val="left" w:pos="1440"/>
        </w:tabs>
        <w:ind w:firstLine="720"/>
      </w:pPr>
      <w:bookmarkStart w:id="4" w:name="mainstory"/>
      <w:bookmarkEnd w:id="4"/>
      <w:r w:rsidRPr="00C8604A">
        <w:t>In this case</w:t>
      </w:r>
      <w:r w:rsidR="00732917" w:rsidRPr="00C8604A">
        <w:t>,</w:t>
      </w:r>
      <w:r w:rsidRPr="00C8604A">
        <w:t xml:space="preserve"> we decide </w:t>
      </w:r>
      <w:r w:rsidR="00732917" w:rsidRPr="00C8604A">
        <w:t xml:space="preserve">a procedural question related to </w:t>
      </w:r>
      <w:r w:rsidR="002025EF" w:rsidRPr="00C8604A">
        <w:t xml:space="preserve">the timing of </w:t>
      </w:r>
      <w:r w:rsidR="00282F87" w:rsidRPr="00C8604A">
        <w:t xml:space="preserve">the notice that must precede an </w:t>
      </w:r>
      <w:r w:rsidR="00732917" w:rsidRPr="00C8604A">
        <w:t xml:space="preserve">unlawful </w:t>
      </w:r>
      <w:r w:rsidR="00AE42A5" w:rsidRPr="00C8604A">
        <w:t>d</w:t>
      </w:r>
      <w:r w:rsidR="00732917" w:rsidRPr="00C8604A">
        <w:t>etainer action</w:t>
      </w:r>
      <w:r w:rsidR="002025EF" w:rsidRPr="00C8604A">
        <w:t xml:space="preserve">, where the action is not </w:t>
      </w:r>
      <w:r w:rsidR="00732917" w:rsidRPr="00C8604A">
        <w:t xml:space="preserve">brought </w:t>
      </w:r>
      <w:r w:rsidR="00DB2132" w:rsidRPr="00C8604A">
        <w:t>by a landlord</w:t>
      </w:r>
      <w:r w:rsidR="002025EF" w:rsidRPr="00C8604A">
        <w:t xml:space="preserve"> but </w:t>
      </w:r>
      <w:r w:rsidR="00282F87" w:rsidRPr="00C8604A">
        <w:t xml:space="preserve">rather </w:t>
      </w:r>
      <w:r w:rsidR="002025EF" w:rsidRPr="00C8604A">
        <w:t xml:space="preserve">by a new owner that has acquired title to the property under a power of sale contained in a deed of trust.  The question we decide is </w:t>
      </w:r>
      <w:r w:rsidRPr="00C8604A">
        <w:t xml:space="preserve">whether </w:t>
      </w:r>
      <w:r w:rsidR="00732917" w:rsidRPr="00C8604A">
        <w:t>perfection of title</w:t>
      </w:r>
      <w:r w:rsidR="002025EF" w:rsidRPr="00C8604A">
        <w:t xml:space="preserve">, </w:t>
      </w:r>
      <w:r w:rsidR="00807ADE" w:rsidRPr="00C8604A">
        <w:t xml:space="preserve">which </w:t>
      </w:r>
      <w:r w:rsidR="002025EF" w:rsidRPr="00C8604A">
        <w:t>includ</w:t>
      </w:r>
      <w:r w:rsidR="00807ADE" w:rsidRPr="00C8604A">
        <w:t>es</w:t>
      </w:r>
      <w:r w:rsidR="002025EF" w:rsidRPr="00C8604A">
        <w:t xml:space="preserve"> recording the </w:t>
      </w:r>
      <w:r w:rsidR="00282F87" w:rsidRPr="00C8604A">
        <w:t>trustee’s deed</w:t>
      </w:r>
      <w:r w:rsidR="002025EF" w:rsidRPr="00C8604A">
        <w:t xml:space="preserve">, </w:t>
      </w:r>
      <w:r w:rsidR="00732917" w:rsidRPr="00C8604A">
        <w:t xml:space="preserve">is necessary before </w:t>
      </w:r>
      <w:r w:rsidR="00AA239D" w:rsidRPr="00C8604A">
        <w:t xml:space="preserve">the new owner serves </w:t>
      </w:r>
      <w:r w:rsidR="00732917" w:rsidRPr="00C8604A">
        <w:t>a three-day written notice to quit</w:t>
      </w:r>
      <w:r w:rsidR="00AA239D" w:rsidRPr="00C8604A">
        <w:t xml:space="preserve"> on the possessor of the property</w:t>
      </w:r>
      <w:r w:rsidR="00732917" w:rsidRPr="00C8604A">
        <w:t xml:space="preserve"> or </w:t>
      </w:r>
      <w:r w:rsidR="002025EF" w:rsidRPr="00C8604A">
        <w:t xml:space="preserve">whether </w:t>
      </w:r>
      <w:r w:rsidR="00807ADE" w:rsidRPr="00C8604A">
        <w:t xml:space="preserve">perfection of title need only precede </w:t>
      </w:r>
      <w:r w:rsidR="00AA239D" w:rsidRPr="00C8604A">
        <w:t xml:space="preserve">the </w:t>
      </w:r>
      <w:r w:rsidR="00282F87" w:rsidRPr="00C8604A">
        <w:t xml:space="preserve">filing </w:t>
      </w:r>
      <w:r w:rsidR="00807ADE" w:rsidRPr="00C8604A">
        <w:t>of the unlawful detainer action.</w:t>
      </w:r>
      <w:r w:rsidR="00976622" w:rsidRPr="00C8604A">
        <w:t xml:space="preserve">  </w:t>
      </w:r>
      <w:r w:rsidR="00CB00E7" w:rsidRPr="00C8604A">
        <w:t xml:space="preserve">We </w:t>
      </w:r>
      <w:r w:rsidR="00976622" w:rsidRPr="00C8604A">
        <w:t xml:space="preserve">conclude that the new owner must perfect title before serving the three-day </w:t>
      </w:r>
      <w:r w:rsidR="00282F87" w:rsidRPr="00C8604A">
        <w:t xml:space="preserve">written </w:t>
      </w:r>
      <w:r w:rsidR="00976622" w:rsidRPr="00C8604A">
        <w:t>notice</w:t>
      </w:r>
      <w:r w:rsidR="00AA239D" w:rsidRPr="00C8604A">
        <w:t xml:space="preserve"> to quit</w:t>
      </w:r>
      <w:r w:rsidR="00976622" w:rsidRPr="00C8604A">
        <w:t>.  Because the Court of Appeal</w:t>
      </w:r>
      <w:r w:rsidR="000431F0" w:rsidRPr="00C8604A">
        <w:t xml:space="preserve"> </w:t>
      </w:r>
      <w:r w:rsidR="004972DB" w:rsidRPr="00C8604A">
        <w:t xml:space="preserve">reached </w:t>
      </w:r>
      <w:r w:rsidR="000431F0" w:rsidRPr="00C8604A">
        <w:t xml:space="preserve">a different </w:t>
      </w:r>
      <w:r w:rsidR="00976622" w:rsidRPr="00C8604A">
        <w:t>conclusion,</w:t>
      </w:r>
      <w:r w:rsidR="00CB00E7" w:rsidRPr="00C8604A">
        <w:t xml:space="preserve"> </w:t>
      </w:r>
      <w:r w:rsidR="00282F87" w:rsidRPr="00C8604A">
        <w:t xml:space="preserve">we </w:t>
      </w:r>
      <w:r w:rsidR="00976622" w:rsidRPr="00C8604A">
        <w:t>reverse the judgment</w:t>
      </w:r>
      <w:r w:rsidR="00AA239D" w:rsidRPr="00C8604A">
        <w:t xml:space="preserve"> of the Court of Appeal</w:t>
      </w:r>
      <w:r w:rsidR="00976622" w:rsidRPr="00C8604A">
        <w:t>.</w:t>
      </w:r>
    </w:p>
    <w:p w14:paraId="1C599C62" w14:textId="77777777" w:rsidR="00976622" w:rsidRPr="00C8604A" w:rsidRDefault="00976622" w:rsidP="00C8604A">
      <w:pPr>
        <w:pStyle w:val="Heading1"/>
      </w:pPr>
      <w:r w:rsidRPr="00C8604A">
        <w:t>Facts</w:t>
      </w:r>
    </w:p>
    <w:p w14:paraId="34D121BC" w14:textId="77777777" w:rsidR="00B5053C" w:rsidRPr="00C8604A" w:rsidRDefault="00807ADE" w:rsidP="00C8604A">
      <w:pPr>
        <w:tabs>
          <w:tab w:val="left" w:pos="1440"/>
        </w:tabs>
        <w:ind w:firstLine="720"/>
      </w:pPr>
      <w:r w:rsidRPr="00C8604A">
        <w:t xml:space="preserve">Westlake Village </w:t>
      </w:r>
      <w:r w:rsidR="00720AB0" w:rsidRPr="00C8604A">
        <w:t>Property, L.P.</w:t>
      </w:r>
      <w:r w:rsidR="006B219F">
        <w:t xml:space="preserve"> (Westlake Village) </w:t>
      </w:r>
      <w:r w:rsidR="00AA239D" w:rsidRPr="00C8604A">
        <w:t xml:space="preserve">owned property </w:t>
      </w:r>
      <w:r w:rsidR="00D03B12" w:rsidRPr="00C8604A">
        <w:t xml:space="preserve">in </w:t>
      </w:r>
      <w:r w:rsidR="00720AB0" w:rsidRPr="00C8604A">
        <w:t>Thousand Oaks</w:t>
      </w:r>
      <w:r w:rsidR="00AA239D" w:rsidRPr="00C8604A">
        <w:t xml:space="preserve"> that it </w:t>
      </w:r>
      <w:r w:rsidR="007C6ACC" w:rsidRPr="00C8604A">
        <w:t xml:space="preserve">leased </w:t>
      </w:r>
      <w:r w:rsidR="0017458D">
        <w:t>in 2002</w:t>
      </w:r>
      <w:r w:rsidR="00012D45">
        <w:t xml:space="preserve"> </w:t>
      </w:r>
      <w:r w:rsidR="007C6ACC" w:rsidRPr="00C8604A">
        <w:t xml:space="preserve">to </w:t>
      </w:r>
      <w:r w:rsidR="00D03B12" w:rsidRPr="00C8604A">
        <w:t xml:space="preserve">defendant </w:t>
      </w:r>
      <w:r w:rsidR="007C6ACC" w:rsidRPr="00C8604A">
        <w:t>Westlake Health Care Center</w:t>
      </w:r>
      <w:r w:rsidR="00E7080D" w:rsidRPr="00C8604A">
        <w:t xml:space="preserve"> </w:t>
      </w:r>
      <w:r w:rsidR="00595D94" w:rsidRPr="00C8604A">
        <w:t xml:space="preserve">(Westlake Health) </w:t>
      </w:r>
      <w:r w:rsidR="00E7080D" w:rsidRPr="00C8604A">
        <w:t xml:space="preserve">so the latter could </w:t>
      </w:r>
      <w:r w:rsidR="007C6ACC" w:rsidRPr="00C8604A">
        <w:t>operate a</w:t>
      </w:r>
      <w:r w:rsidR="00E7080D" w:rsidRPr="00C8604A">
        <w:t xml:space="preserve"> </w:t>
      </w:r>
      <w:r w:rsidR="007C6ACC" w:rsidRPr="00C8604A">
        <w:t xml:space="preserve">skilled nursing </w:t>
      </w:r>
      <w:r w:rsidR="00E7080D" w:rsidRPr="00C8604A">
        <w:t xml:space="preserve">facility </w:t>
      </w:r>
      <w:r w:rsidR="00B252FB" w:rsidRPr="00C8604A">
        <w:t>on the property</w:t>
      </w:r>
      <w:r w:rsidR="007C6ACC" w:rsidRPr="00C8604A">
        <w:t xml:space="preserve">.  </w:t>
      </w:r>
      <w:r w:rsidR="00595D94" w:rsidRPr="00C8604A">
        <w:t>S</w:t>
      </w:r>
      <w:r w:rsidR="00136494" w:rsidRPr="00C8604A">
        <w:t>ix years later</w:t>
      </w:r>
      <w:r w:rsidR="00595D94" w:rsidRPr="00C8604A">
        <w:t xml:space="preserve">, </w:t>
      </w:r>
      <w:r w:rsidR="00B252FB" w:rsidRPr="00C8604A">
        <w:t>Westlake Village</w:t>
      </w:r>
      <w:r w:rsidR="006B219F">
        <w:t xml:space="preserve"> </w:t>
      </w:r>
      <w:r w:rsidR="00012D45">
        <w:t xml:space="preserve">obtained a bank loan, </w:t>
      </w:r>
      <w:r w:rsidR="007C6ACC" w:rsidRPr="00C8604A">
        <w:t>execut</w:t>
      </w:r>
      <w:r w:rsidR="00012D45">
        <w:t>ing a promissory note and</w:t>
      </w:r>
      <w:r w:rsidR="00E567DA">
        <w:t xml:space="preserve"> </w:t>
      </w:r>
      <w:r w:rsidR="007C6ACC" w:rsidRPr="00C8604A">
        <w:t xml:space="preserve">a deed of trust </w:t>
      </w:r>
      <w:r w:rsidR="00D03B12" w:rsidRPr="00C8604A">
        <w:t>on the property</w:t>
      </w:r>
      <w:r w:rsidR="00BE4E87">
        <w:t xml:space="preserve"> (</w:t>
      </w:r>
      <w:r w:rsidR="00E567DA">
        <w:t>the latter to secure the promissory note</w:t>
      </w:r>
      <w:r w:rsidR="00BE4E87">
        <w:t>)</w:t>
      </w:r>
      <w:r w:rsidR="00E567DA">
        <w:t>.  A</w:t>
      </w:r>
      <w:r w:rsidR="007C6ACC" w:rsidRPr="00C8604A">
        <w:t>fter</w:t>
      </w:r>
      <w:r w:rsidR="00012D45">
        <w:t xml:space="preserve"> </w:t>
      </w:r>
      <w:r w:rsidR="00012D45" w:rsidRPr="00C8604A">
        <w:t>Westlake Village</w:t>
      </w:r>
      <w:r w:rsidR="009A2CBE">
        <w:t xml:space="preserve"> </w:t>
      </w:r>
      <w:r w:rsidR="007C6ACC" w:rsidRPr="00C8604A">
        <w:t>defaulted on the loan, the bank sold</w:t>
      </w:r>
      <w:r w:rsidR="006E1F85" w:rsidRPr="00C8604A">
        <w:t xml:space="preserve"> the </w:t>
      </w:r>
      <w:r w:rsidR="00012D45">
        <w:t xml:space="preserve">promissory note and the </w:t>
      </w:r>
      <w:r w:rsidR="00A06174" w:rsidRPr="00C8604A">
        <w:t>deed of trust</w:t>
      </w:r>
      <w:r w:rsidR="00012D45">
        <w:t xml:space="preserve"> </w:t>
      </w:r>
      <w:r w:rsidR="00E7080D" w:rsidRPr="00C8604A">
        <w:t xml:space="preserve">to </w:t>
      </w:r>
      <w:r w:rsidR="007D00C0" w:rsidRPr="00C8604A">
        <w:t>Dr. </w:t>
      </w:r>
      <w:proofErr w:type="spellStart"/>
      <w:r w:rsidR="007C6ACC" w:rsidRPr="00C8604A">
        <w:t>Leevil</w:t>
      </w:r>
      <w:proofErr w:type="spellEnd"/>
      <w:r w:rsidR="007C6ACC" w:rsidRPr="00C8604A">
        <w:t>, LLC</w:t>
      </w:r>
      <w:r w:rsidR="002F082F">
        <w:t xml:space="preserve"> (Dr. </w:t>
      </w:r>
      <w:proofErr w:type="spellStart"/>
      <w:r w:rsidR="002F082F">
        <w:t>Leevil</w:t>
      </w:r>
      <w:proofErr w:type="spellEnd"/>
      <w:r w:rsidR="002F082F">
        <w:t>)</w:t>
      </w:r>
      <w:r w:rsidR="00B252FB" w:rsidRPr="00C8604A">
        <w:t xml:space="preserve">, plaintiff in this action.  </w:t>
      </w:r>
      <w:r w:rsidR="007D00C0" w:rsidRPr="00C8604A">
        <w:t>Dr. </w:t>
      </w:r>
      <w:proofErr w:type="spellStart"/>
      <w:r w:rsidR="00B252FB" w:rsidRPr="00C8604A">
        <w:t>Leevil</w:t>
      </w:r>
      <w:proofErr w:type="spellEnd"/>
      <w:r w:rsidR="00D03B12" w:rsidRPr="00C8604A">
        <w:t xml:space="preserve"> </w:t>
      </w:r>
      <w:r w:rsidR="006E1F85" w:rsidRPr="00C8604A">
        <w:t xml:space="preserve">then </w:t>
      </w:r>
      <w:r w:rsidR="00BB7C5E" w:rsidRPr="00C8604A">
        <w:t>i</w:t>
      </w:r>
      <w:r w:rsidR="00B252FB" w:rsidRPr="00C8604A">
        <w:t>nstituted a nonjudicial foreclosure</w:t>
      </w:r>
      <w:r w:rsidR="00D03B12" w:rsidRPr="00C8604A">
        <w:t xml:space="preserve"> and </w:t>
      </w:r>
      <w:r w:rsidR="00BB7C5E" w:rsidRPr="00C8604A">
        <w:t xml:space="preserve">bought </w:t>
      </w:r>
      <w:r w:rsidR="00D03B12" w:rsidRPr="00C8604A">
        <w:t xml:space="preserve">the property at a trustee’s sale.  </w:t>
      </w:r>
      <w:r w:rsidR="00B5053C" w:rsidRPr="00C8604A">
        <w:t xml:space="preserve">The next day, </w:t>
      </w:r>
      <w:r w:rsidR="007D00C0" w:rsidRPr="00C8604A">
        <w:t>Dr. </w:t>
      </w:r>
      <w:proofErr w:type="spellStart"/>
      <w:r w:rsidR="00D03B12" w:rsidRPr="00C8604A">
        <w:t>Leevil</w:t>
      </w:r>
      <w:proofErr w:type="spellEnd"/>
      <w:r w:rsidR="00D03B12" w:rsidRPr="00C8604A">
        <w:t xml:space="preserve"> served a three-day </w:t>
      </w:r>
      <w:r w:rsidR="00A06174" w:rsidRPr="00C8604A">
        <w:t xml:space="preserve">written </w:t>
      </w:r>
      <w:r w:rsidR="00D03B12" w:rsidRPr="00C8604A">
        <w:t xml:space="preserve">notice to quit </w:t>
      </w:r>
      <w:r w:rsidR="00B5053C" w:rsidRPr="00C8604A">
        <w:t>up</w:t>
      </w:r>
      <w:r w:rsidR="00D03B12" w:rsidRPr="00C8604A">
        <w:t xml:space="preserve">on </w:t>
      </w:r>
      <w:r w:rsidR="00B5053C" w:rsidRPr="00C8604A">
        <w:t xml:space="preserve">the property’s tenant, </w:t>
      </w:r>
      <w:r w:rsidR="00D03B12" w:rsidRPr="00C8604A">
        <w:t>Westlake Health</w:t>
      </w:r>
      <w:r w:rsidR="00B5053C" w:rsidRPr="00C8604A">
        <w:t xml:space="preserve">, and </w:t>
      </w:r>
      <w:r w:rsidR="006E1F85" w:rsidRPr="00C8604A">
        <w:t xml:space="preserve">five </w:t>
      </w:r>
      <w:r w:rsidR="00595D94" w:rsidRPr="00C8604A">
        <w:t xml:space="preserve">days </w:t>
      </w:r>
      <w:r w:rsidR="00B5053C" w:rsidRPr="00C8604A">
        <w:t xml:space="preserve">after that, </w:t>
      </w:r>
      <w:r w:rsidR="007D00C0" w:rsidRPr="00C8604A">
        <w:t>Dr. </w:t>
      </w:r>
      <w:proofErr w:type="spellStart"/>
      <w:r w:rsidR="00B5053C" w:rsidRPr="00C8604A">
        <w:t>Leevil</w:t>
      </w:r>
      <w:proofErr w:type="spellEnd"/>
      <w:r w:rsidR="00B5053C" w:rsidRPr="00C8604A">
        <w:t xml:space="preserve"> recorded</w:t>
      </w:r>
      <w:r w:rsidR="00A06174" w:rsidRPr="00C8604A">
        <w:t xml:space="preserve"> </w:t>
      </w:r>
      <w:r w:rsidR="00B5053C" w:rsidRPr="00C8604A">
        <w:t xml:space="preserve">title to the property.  Westlake </w:t>
      </w:r>
      <w:r w:rsidR="006E1F85" w:rsidRPr="00C8604A">
        <w:t xml:space="preserve">Health </w:t>
      </w:r>
      <w:r w:rsidR="00B5053C" w:rsidRPr="00C8604A">
        <w:t xml:space="preserve">did not vacate the property, </w:t>
      </w:r>
      <w:r w:rsidR="006E1F85" w:rsidRPr="00C8604A">
        <w:t xml:space="preserve">and </w:t>
      </w:r>
      <w:r w:rsidR="007D00C0" w:rsidRPr="00C8604A">
        <w:t>Dr. </w:t>
      </w:r>
      <w:proofErr w:type="spellStart"/>
      <w:r w:rsidR="00B5053C" w:rsidRPr="00C8604A">
        <w:t>Leevil</w:t>
      </w:r>
      <w:proofErr w:type="spellEnd"/>
      <w:r w:rsidR="00B5053C" w:rsidRPr="00C8604A">
        <w:t xml:space="preserve"> initiated this unlawful detainer action</w:t>
      </w:r>
      <w:r w:rsidR="006E1F85" w:rsidRPr="00C8604A">
        <w:t xml:space="preserve"> 40 days after </w:t>
      </w:r>
      <w:r w:rsidR="00595D94" w:rsidRPr="00C8604A">
        <w:t xml:space="preserve">service of the </w:t>
      </w:r>
      <w:r w:rsidR="00A06174" w:rsidRPr="00C8604A">
        <w:t xml:space="preserve">written </w:t>
      </w:r>
      <w:r w:rsidR="00595D94" w:rsidRPr="00C8604A">
        <w:t>notice to quit</w:t>
      </w:r>
      <w:r w:rsidR="00DF0D67" w:rsidRPr="00C8604A">
        <w:t>.</w:t>
      </w:r>
    </w:p>
    <w:p w14:paraId="560803BC" w14:textId="77777777" w:rsidR="001B6D73" w:rsidRPr="00C8604A" w:rsidRDefault="000D0CC3" w:rsidP="00C8604A">
      <w:pPr>
        <w:tabs>
          <w:tab w:val="left" w:pos="1440"/>
        </w:tabs>
        <w:ind w:firstLine="720"/>
      </w:pPr>
      <w:r w:rsidRPr="00C8604A">
        <w:t xml:space="preserve">Proceedings in the trial court </w:t>
      </w:r>
      <w:r w:rsidR="00124FED" w:rsidRPr="00C8604A">
        <w:t xml:space="preserve">ended in a judgment </w:t>
      </w:r>
      <w:r w:rsidR="000F2568" w:rsidRPr="00C8604A">
        <w:t>against Westlake</w:t>
      </w:r>
      <w:r w:rsidR="00595D94" w:rsidRPr="00C8604A">
        <w:t xml:space="preserve"> Health</w:t>
      </w:r>
      <w:r w:rsidR="001B6D73" w:rsidRPr="00C8604A">
        <w:t xml:space="preserve">, </w:t>
      </w:r>
      <w:r w:rsidR="00124FED" w:rsidRPr="00C8604A">
        <w:t xml:space="preserve">based on stipulated facts, </w:t>
      </w:r>
      <w:r w:rsidR="001B6D73" w:rsidRPr="00C8604A">
        <w:t>with Westlake</w:t>
      </w:r>
      <w:r w:rsidR="000F2568" w:rsidRPr="00C8604A">
        <w:t xml:space="preserve"> </w:t>
      </w:r>
      <w:r w:rsidR="00595D94" w:rsidRPr="00C8604A">
        <w:t xml:space="preserve">Health </w:t>
      </w:r>
      <w:r w:rsidR="001B6D73" w:rsidRPr="00C8604A">
        <w:t>preserving its right to appeal</w:t>
      </w:r>
      <w:r w:rsidR="00124FED" w:rsidRPr="00C8604A">
        <w:t xml:space="preserve"> various legal rulings of the</w:t>
      </w:r>
      <w:r w:rsidR="005547A9" w:rsidRPr="00C8604A">
        <w:t xml:space="preserve"> </w:t>
      </w:r>
      <w:r w:rsidR="00124FED" w:rsidRPr="00C8604A">
        <w:t>court</w:t>
      </w:r>
      <w:r w:rsidR="001B6D73" w:rsidRPr="00C8604A">
        <w:t xml:space="preserve">.  </w:t>
      </w:r>
      <w:r w:rsidR="005547A9" w:rsidRPr="00C8604A">
        <w:t xml:space="preserve">On appeal, </w:t>
      </w:r>
      <w:r w:rsidRPr="00C8604A">
        <w:t>t</w:t>
      </w:r>
      <w:r w:rsidR="001B6D73" w:rsidRPr="00C8604A">
        <w:t xml:space="preserve">he Court of Appeal affirmed.  </w:t>
      </w:r>
      <w:r w:rsidR="005D374A" w:rsidRPr="00C8604A">
        <w:t>(</w:t>
      </w:r>
      <w:r w:rsidR="007D00C0" w:rsidRPr="00C8604A">
        <w:rPr>
          <w:i/>
        </w:rPr>
        <w:t>Dr. </w:t>
      </w:r>
      <w:proofErr w:type="spellStart"/>
      <w:r w:rsidR="005D374A" w:rsidRPr="00C8604A">
        <w:rPr>
          <w:i/>
        </w:rPr>
        <w:t>Leevil</w:t>
      </w:r>
      <w:proofErr w:type="spellEnd"/>
      <w:r w:rsidR="005D374A" w:rsidRPr="00C8604A">
        <w:rPr>
          <w:i/>
        </w:rPr>
        <w:t>, LLC v. Westlake Health Care Center</w:t>
      </w:r>
      <w:r w:rsidR="005D374A" w:rsidRPr="00C8604A">
        <w:t xml:space="preserve"> (2017) 9 Cal.App.5th 450.)  </w:t>
      </w:r>
      <w:r w:rsidR="001B6D73" w:rsidRPr="00C8604A">
        <w:t>Among other things, the Court of Appeal concluded that</w:t>
      </w:r>
      <w:r w:rsidR="00D5594E" w:rsidRPr="00C8604A">
        <w:t>, under Code of Civil Procedure section 1161a</w:t>
      </w:r>
      <w:r w:rsidR="00124FED" w:rsidRPr="00C8604A">
        <w:t>, subdivision (b)</w:t>
      </w:r>
      <w:r w:rsidR="003D7FAB" w:rsidRPr="00C8604A">
        <w:t xml:space="preserve"> (section 1161a</w:t>
      </w:r>
      <w:r w:rsidR="00124FED" w:rsidRPr="00C8604A">
        <w:t>(b)</w:t>
      </w:r>
      <w:r w:rsidR="003D7FAB" w:rsidRPr="00C8604A">
        <w:t>)</w:t>
      </w:r>
      <w:r w:rsidR="00D5594E" w:rsidRPr="00C8604A">
        <w:t xml:space="preserve">, </w:t>
      </w:r>
      <w:r w:rsidR="001B6D73" w:rsidRPr="00C8604A">
        <w:t>an</w:t>
      </w:r>
      <w:r w:rsidR="000F2568" w:rsidRPr="00C8604A">
        <w:t xml:space="preserve"> </w:t>
      </w:r>
      <w:r w:rsidR="001B6D73" w:rsidRPr="00C8604A">
        <w:t xml:space="preserve">owner that acquires title to property under a power of sale contained in a deed of trust need </w:t>
      </w:r>
      <w:r w:rsidR="001B6D73" w:rsidRPr="00C8604A">
        <w:rPr>
          <w:i/>
        </w:rPr>
        <w:t>not</w:t>
      </w:r>
      <w:r w:rsidR="001B6D73" w:rsidRPr="00C8604A">
        <w:t xml:space="preserve"> perfect title</w:t>
      </w:r>
      <w:r w:rsidR="000F2568" w:rsidRPr="00C8604A">
        <w:t xml:space="preserve"> </w:t>
      </w:r>
      <w:r w:rsidR="001B6D73" w:rsidRPr="00C8604A">
        <w:t xml:space="preserve">before </w:t>
      </w:r>
      <w:r w:rsidR="00D5594E" w:rsidRPr="00C8604A">
        <w:t xml:space="preserve">it </w:t>
      </w:r>
      <w:r w:rsidR="001B6D73" w:rsidRPr="00C8604A">
        <w:t>serv</w:t>
      </w:r>
      <w:r w:rsidR="00D5594E" w:rsidRPr="00C8604A">
        <w:t xml:space="preserve">es </w:t>
      </w:r>
      <w:r w:rsidR="001B6D73" w:rsidRPr="00C8604A">
        <w:t>a three-day written notice to quit</w:t>
      </w:r>
      <w:r w:rsidR="007D404D">
        <w:t xml:space="preserve"> </w:t>
      </w:r>
      <w:r w:rsidR="007D404D" w:rsidRPr="00C8604A">
        <w:t>on the possessor of the property</w:t>
      </w:r>
      <w:r w:rsidR="001B6D73" w:rsidRPr="00C8604A">
        <w:t>.  Instead, the Court of Appeal concluded</w:t>
      </w:r>
      <w:r w:rsidR="00DF0D67" w:rsidRPr="00C8604A">
        <w:t xml:space="preserve"> that </w:t>
      </w:r>
      <w:r w:rsidR="001B6D73" w:rsidRPr="00C8604A">
        <w:t>the new owner</w:t>
      </w:r>
      <w:r w:rsidR="00D5594E" w:rsidRPr="00C8604A">
        <w:t xml:space="preserve"> may serve the notice to quit </w:t>
      </w:r>
      <w:r w:rsidR="00DF0D67" w:rsidRPr="00C8604A">
        <w:t xml:space="preserve">immediately after acquiring ownership, </w:t>
      </w:r>
      <w:r w:rsidR="00124FED" w:rsidRPr="00C8604A">
        <w:t xml:space="preserve">after which it may </w:t>
      </w:r>
      <w:r w:rsidR="001B6D73" w:rsidRPr="00C8604A">
        <w:t>perfect</w:t>
      </w:r>
      <w:r w:rsidR="00D5594E" w:rsidRPr="00C8604A">
        <w:t xml:space="preserve"> title, so long as title is perfected before the new owner </w:t>
      </w:r>
      <w:r w:rsidRPr="00C8604A">
        <w:t xml:space="preserve">files </w:t>
      </w:r>
      <w:r w:rsidR="00DF0D67" w:rsidRPr="00C8604A">
        <w:t>an</w:t>
      </w:r>
      <w:r w:rsidR="00D5594E" w:rsidRPr="00C8604A">
        <w:t xml:space="preserve"> </w:t>
      </w:r>
      <w:r w:rsidR="001B6D73" w:rsidRPr="00C8604A">
        <w:t>unlawful detainer action.</w:t>
      </w:r>
      <w:r w:rsidR="00D5594E" w:rsidRPr="00C8604A">
        <w:t xml:space="preserve">  </w:t>
      </w:r>
      <w:r w:rsidR="005D374A" w:rsidRPr="00C8604A">
        <w:t xml:space="preserve">(9 Cal.App.5th at pp. 455–457.)  </w:t>
      </w:r>
      <w:r w:rsidR="00124FED" w:rsidRPr="00C8604A">
        <w:t>In reaching th</w:t>
      </w:r>
      <w:r w:rsidR="004E4451" w:rsidRPr="00C8604A">
        <w:t>at</w:t>
      </w:r>
      <w:r w:rsidR="00124FED" w:rsidRPr="00C8604A">
        <w:t xml:space="preserve"> conclusion, t</w:t>
      </w:r>
      <w:r w:rsidR="004E75F6" w:rsidRPr="00C8604A">
        <w:t>he Court of Appeal expressly disagreed with</w:t>
      </w:r>
      <w:r w:rsidR="00124FED" w:rsidRPr="00C8604A">
        <w:t xml:space="preserve"> </w:t>
      </w:r>
      <w:r w:rsidR="004E75F6" w:rsidRPr="00C8604A">
        <w:t xml:space="preserve">the Appellate Division of the San Diego </w:t>
      </w:r>
      <w:r w:rsidR="00B00E02" w:rsidRPr="00C8604A">
        <w:t xml:space="preserve">County </w:t>
      </w:r>
      <w:r w:rsidR="004E75F6" w:rsidRPr="00C8604A">
        <w:t xml:space="preserve">Superior Court, which addressed the same issue in </w:t>
      </w:r>
      <w:r w:rsidR="004E75F6" w:rsidRPr="00C8604A">
        <w:rPr>
          <w:i/>
        </w:rPr>
        <w:t xml:space="preserve">U.S. Financial, L.P. v. </w:t>
      </w:r>
      <w:proofErr w:type="spellStart"/>
      <w:r w:rsidR="004E75F6" w:rsidRPr="00C8604A">
        <w:rPr>
          <w:i/>
        </w:rPr>
        <w:t>McLitus</w:t>
      </w:r>
      <w:proofErr w:type="spellEnd"/>
      <w:r w:rsidR="0082773A" w:rsidRPr="00C8604A">
        <w:t xml:space="preserve"> (2016) 6 Cal.App.</w:t>
      </w:r>
      <w:r w:rsidR="004E75F6" w:rsidRPr="00C8604A">
        <w:t>5th Supp. 1 (</w:t>
      </w:r>
      <w:proofErr w:type="spellStart"/>
      <w:r w:rsidR="004E75F6" w:rsidRPr="00C8604A">
        <w:rPr>
          <w:i/>
        </w:rPr>
        <w:t>McLitus</w:t>
      </w:r>
      <w:proofErr w:type="spellEnd"/>
      <w:r w:rsidR="004E75F6" w:rsidRPr="00C8604A">
        <w:t xml:space="preserve">).  </w:t>
      </w:r>
      <w:r w:rsidR="005D374A" w:rsidRPr="00C8604A">
        <w:t xml:space="preserve">(9 Cal.App.5th at p. 455.)  </w:t>
      </w:r>
      <w:r w:rsidR="00D5594E" w:rsidRPr="00C8604A">
        <w:t xml:space="preserve">Because </w:t>
      </w:r>
      <w:r w:rsidR="007D00C0" w:rsidRPr="00C8604A">
        <w:t>Dr. </w:t>
      </w:r>
      <w:proofErr w:type="spellStart"/>
      <w:r w:rsidR="00D5594E" w:rsidRPr="00C8604A">
        <w:t>Leevil</w:t>
      </w:r>
      <w:proofErr w:type="spellEnd"/>
      <w:r w:rsidR="00D5594E" w:rsidRPr="00C8604A">
        <w:t xml:space="preserve"> perfected title before initiating th</w:t>
      </w:r>
      <w:r w:rsidR="00DF0D67" w:rsidRPr="00C8604A">
        <w:t xml:space="preserve">is </w:t>
      </w:r>
      <w:r w:rsidR="00D5594E" w:rsidRPr="00C8604A">
        <w:t xml:space="preserve">unlawful detainer action, </w:t>
      </w:r>
      <w:r w:rsidR="00286C1A" w:rsidRPr="00C8604A">
        <w:t xml:space="preserve">although not before serving the notice to quit, </w:t>
      </w:r>
      <w:r w:rsidR="00124FED" w:rsidRPr="00C8604A">
        <w:t xml:space="preserve">the </w:t>
      </w:r>
      <w:r w:rsidR="00B00E02" w:rsidRPr="00C8604A">
        <w:t xml:space="preserve">Court of Appeal concluded that the action complied with </w:t>
      </w:r>
      <w:r w:rsidR="00D5594E" w:rsidRPr="00C8604A">
        <w:t>section 1161a</w:t>
      </w:r>
      <w:r w:rsidR="00FA3CC2" w:rsidRPr="00C8604A">
        <w:t>(b)</w:t>
      </w:r>
      <w:r w:rsidR="00D5594E" w:rsidRPr="00C8604A">
        <w:t>.</w:t>
      </w:r>
      <w:r w:rsidR="005D374A" w:rsidRPr="00C8604A">
        <w:t xml:space="preserve">  (9 Cal.App.5th at p. 457.)</w:t>
      </w:r>
    </w:p>
    <w:p w14:paraId="0C84265B" w14:textId="77777777" w:rsidR="003D7FAB" w:rsidRPr="00C8604A" w:rsidRDefault="00D5594E" w:rsidP="00C8604A">
      <w:pPr>
        <w:tabs>
          <w:tab w:val="left" w:pos="1440"/>
        </w:tabs>
        <w:ind w:firstLine="720"/>
      </w:pPr>
      <w:r w:rsidRPr="00C8604A">
        <w:t xml:space="preserve">Westlake </w:t>
      </w:r>
      <w:r w:rsidR="00595D94" w:rsidRPr="00C8604A">
        <w:t xml:space="preserve">Health </w:t>
      </w:r>
      <w:r w:rsidRPr="00C8604A">
        <w:t>pet</w:t>
      </w:r>
      <w:r w:rsidR="00124FED" w:rsidRPr="00C8604A">
        <w:t xml:space="preserve">itioned </w:t>
      </w:r>
      <w:r w:rsidRPr="00C8604A">
        <w:t xml:space="preserve">for review, </w:t>
      </w:r>
      <w:r w:rsidR="004E75F6" w:rsidRPr="00C8604A">
        <w:t xml:space="preserve">which </w:t>
      </w:r>
      <w:r w:rsidR="00124FED" w:rsidRPr="00C8604A">
        <w:t xml:space="preserve">we </w:t>
      </w:r>
      <w:r w:rsidRPr="00C8604A">
        <w:t>granted</w:t>
      </w:r>
      <w:r w:rsidR="003D7FAB" w:rsidRPr="00C8604A">
        <w:t xml:space="preserve">, limiting </w:t>
      </w:r>
      <w:r w:rsidR="004E75F6" w:rsidRPr="00C8604A">
        <w:t xml:space="preserve">the issue </w:t>
      </w:r>
      <w:r w:rsidR="003D7FAB" w:rsidRPr="00C8604A">
        <w:t>to the section 1161a</w:t>
      </w:r>
      <w:r w:rsidR="00FA3CC2" w:rsidRPr="00C8604A">
        <w:t>(b)</w:t>
      </w:r>
      <w:r w:rsidR="003D7FAB" w:rsidRPr="00C8604A">
        <w:t xml:space="preserve"> issue described above.</w:t>
      </w:r>
    </w:p>
    <w:p w14:paraId="44C0297B" w14:textId="77777777" w:rsidR="006434C0" w:rsidRPr="00C8604A" w:rsidRDefault="006434C0" w:rsidP="00C8604A">
      <w:pPr>
        <w:pStyle w:val="Heading1"/>
      </w:pPr>
      <w:r w:rsidRPr="00C8604A">
        <w:t>Discussion</w:t>
      </w:r>
    </w:p>
    <w:p w14:paraId="1B0424E9" w14:textId="77777777" w:rsidR="00FB6CE9" w:rsidRPr="00C8604A" w:rsidRDefault="00FB6CE9" w:rsidP="00C8604A">
      <w:pPr>
        <w:tabs>
          <w:tab w:val="left" w:pos="1440"/>
        </w:tabs>
        <w:ind w:firstLine="720"/>
      </w:pPr>
      <w:r w:rsidRPr="00C8604A">
        <w:t>“Our role in interpreting statutes is to ascertain and effectuate the intended legislative purpose.  [Citations.]  We begin with the text, construing words in their broader statutory context and, where possible, harmonizing provisions concerning the same subject.  [Citations.]  If this contextual reading of the statute’s language reveals no ambiguity, we need not refer to extrinsic sources.  [Citations.]”  (</w:t>
      </w:r>
      <w:r w:rsidR="00E229E3" w:rsidRPr="00C8604A">
        <w:rPr>
          <w:i/>
        </w:rPr>
        <w:t>United</w:t>
      </w:r>
      <w:r w:rsidR="000D54C3" w:rsidRPr="00C8604A">
        <w:rPr>
          <w:i/>
        </w:rPr>
        <w:t xml:space="preserve"> Riggers &amp; Erectors, Inc. v. Coast Iron &amp; Steel Co.</w:t>
      </w:r>
      <w:r w:rsidRPr="00C8604A">
        <w:t xml:space="preserve"> (2018) 4 Cal.5th 10</w:t>
      </w:r>
      <w:r w:rsidR="000D54C3" w:rsidRPr="00C8604A">
        <w:t>8</w:t>
      </w:r>
      <w:r w:rsidRPr="00C8604A">
        <w:t xml:space="preserve">2, </w:t>
      </w:r>
      <w:r w:rsidR="000D54C3" w:rsidRPr="00C8604A">
        <w:t>1089–1090</w:t>
      </w:r>
      <w:r w:rsidRPr="00C8604A">
        <w:t>.)</w:t>
      </w:r>
    </w:p>
    <w:p w14:paraId="0908AE3A" w14:textId="77777777" w:rsidR="00E5445B" w:rsidRPr="00C8604A" w:rsidRDefault="00B00E02" w:rsidP="00C8604A">
      <w:pPr>
        <w:tabs>
          <w:tab w:val="left" w:pos="1440"/>
        </w:tabs>
        <w:ind w:firstLine="720"/>
      </w:pPr>
      <w:r w:rsidRPr="00C8604A">
        <w:t xml:space="preserve">Section 1161a(b) </w:t>
      </w:r>
      <w:r w:rsidR="00A55807" w:rsidRPr="00C8604A">
        <w:t>authoriz</w:t>
      </w:r>
      <w:r w:rsidR="008916C7" w:rsidRPr="00C8604A">
        <w:t>es a</w:t>
      </w:r>
      <w:r w:rsidR="001E1021" w:rsidRPr="00C8604A">
        <w:t xml:space="preserve"> summary proceeding </w:t>
      </w:r>
      <w:r w:rsidR="00A55807" w:rsidRPr="00C8604A">
        <w:t>to remove the possessor of real property</w:t>
      </w:r>
      <w:r w:rsidR="00E74E63" w:rsidRPr="00C8604A">
        <w:t xml:space="preserve"> in specified circumstances</w:t>
      </w:r>
      <w:r w:rsidR="008916C7" w:rsidRPr="00C8604A">
        <w:t>.</w:t>
      </w:r>
      <w:r w:rsidR="00546C12">
        <w:t xml:space="preserve">  </w:t>
      </w:r>
      <w:r w:rsidR="003D036E">
        <w:t>It i</w:t>
      </w:r>
      <w:r w:rsidR="00F71F57" w:rsidRPr="00C8604A">
        <w:t>s</w:t>
      </w:r>
      <w:r w:rsidR="00641F3A" w:rsidRPr="00C8604A">
        <w:t xml:space="preserve"> </w:t>
      </w:r>
      <w:r w:rsidRPr="00C8604A">
        <w:t>structured</w:t>
      </w:r>
      <w:r w:rsidR="00F71F57" w:rsidRPr="00C8604A">
        <w:t xml:space="preserve"> </w:t>
      </w:r>
      <w:r w:rsidR="00431E48" w:rsidRPr="00C8604A">
        <w:t xml:space="preserve">to enumerate </w:t>
      </w:r>
      <w:r w:rsidR="004E5D1C" w:rsidRPr="00C8604A">
        <w:t xml:space="preserve">five “cases” in which its </w:t>
      </w:r>
      <w:r w:rsidR="00431E48" w:rsidRPr="00C8604A">
        <w:t xml:space="preserve">substantive </w:t>
      </w:r>
      <w:r w:rsidR="004E5D1C" w:rsidRPr="00C8604A">
        <w:t xml:space="preserve">provision applies.  </w:t>
      </w:r>
      <w:r w:rsidR="00445A81" w:rsidRPr="00C8604A">
        <w:t xml:space="preserve">Specifically, </w:t>
      </w:r>
      <w:r w:rsidR="00431E48" w:rsidRPr="00C8604A">
        <w:t xml:space="preserve">section 1161a(b) </w:t>
      </w:r>
      <w:r w:rsidR="004E5D1C" w:rsidRPr="00C8604A">
        <w:t>opens with the phrase “</w:t>
      </w:r>
      <w:r w:rsidR="007D404D">
        <w:t>[</w:t>
      </w:r>
      <w:proofErr w:type="spellStart"/>
      <w:r w:rsidR="007D404D">
        <w:t>i</w:t>
      </w:r>
      <w:proofErr w:type="spellEnd"/>
      <w:r w:rsidR="007D404D">
        <w:t>]</w:t>
      </w:r>
      <w:r w:rsidR="004E5D1C" w:rsidRPr="00C8604A">
        <w:t xml:space="preserve">n any of the following cases,” then it sets forth its substantive </w:t>
      </w:r>
      <w:r w:rsidR="00445A81" w:rsidRPr="00C8604A">
        <w:t xml:space="preserve">provision (authorizing </w:t>
      </w:r>
      <w:r w:rsidR="006366F0">
        <w:t xml:space="preserve">an unlawful detainer action </w:t>
      </w:r>
      <w:r w:rsidR="00445A81" w:rsidRPr="00C8604A">
        <w:t xml:space="preserve">to remove </w:t>
      </w:r>
      <w:r w:rsidR="0004088B">
        <w:t>“a person who holds over and continues in possession of . . . real property after a three-day written notice to quit the property has been served”</w:t>
      </w:r>
      <w:r w:rsidR="00445A81" w:rsidRPr="00C8604A">
        <w:t xml:space="preserve">), </w:t>
      </w:r>
      <w:r w:rsidR="004E5D1C" w:rsidRPr="00C8604A">
        <w:t>and then it enumerates</w:t>
      </w:r>
      <w:r w:rsidR="007D404D">
        <w:t xml:space="preserve"> </w:t>
      </w:r>
      <w:r w:rsidR="004E5D1C" w:rsidRPr="00C8604A">
        <w:t xml:space="preserve">five </w:t>
      </w:r>
      <w:r w:rsidR="00433293">
        <w:t xml:space="preserve">separate </w:t>
      </w:r>
      <w:r w:rsidR="00431E48" w:rsidRPr="00C8604A">
        <w:t xml:space="preserve">situations </w:t>
      </w:r>
      <w:r w:rsidR="004E5D1C" w:rsidRPr="00C8604A">
        <w:t xml:space="preserve">in which </w:t>
      </w:r>
      <w:r w:rsidR="00445A81" w:rsidRPr="00C8604A">
        <w:t xml:space="preserve">its </w:t>
      </w:r>
      <w:r w:rsidR="004E5D1C" w:rsidRPr="00C8604A">
        <w:t xml:space="preserve">substantive </w:t>
      </w:r>
      <w:r w:rsidR="00E5445B" w:rsidRPr="00C8604A">
        <w:t xml:space="preserve">provision </w:t>
      </w:r>
      <w:r w:rsidR="004E5D1C" w:rsidRPr="00C8604A">
        <w:t>come</w:t>
      </w:r>
      <w:r w:rsidR="00E5445B" w:rsidRPr="00C8604A">
        <w:t>s</w:t>
      </w:r>
      <w:r w:rsidR="004E5D1C" w:rsidRPr="00C8604A">
        <w:t xml:space="preserve"> into play.</w:t>
      </w:r>
      <w:r w:rsidR="003D036E" w:rsidRPr="00C8604A">
        <w:rPr>
          <w:rStyle w:val="FootnoteReference"/>
        </w:rPr>
        <w:footnoteReference w:id="3"/>
      </w:r>
      <w:r w:rsidR="00641F3A" w:rsidRPr="00C8604A">
        <w:t xml:space="preserve">  T</w:t>
      </w:r>
      <w:r w:rsidR="004E5D1C" w:rsidRPr="00C8604A">
        <w:t>h</w:t>
      </w:r>
      <w:r w:rsidR="000A4786" w:rsidRPr="00C8604A">
        <w:t>us, th</w:t>
      </w:r>
      <w:r w:rsidR="004E5D1C" w:rsidRPr="00C8604A">
        <w:t xml:space="preserve">e substantive </w:t>
      </w:r>
      <w:r w:rsidR="00E5445B" w:rsidRPr="00C8604A">
        <w:t xml:space="preserve">provision </w:t>
      </w:r>
      <w:r w:rsidR="008407C5">
        <w:t xml:space="preserve">of section 1161a(b) </w:t>
      </w:r>
      <w:r w:rsidR="000A4786" w:rsidRPr="00C8604A">
        <w:t xml:space="preserve">has no </w:t>
      </w:r>
      <w:r w:rsidR="00445A81" w:rsidRPr="00C8604A">
        <w:t xml:space="preserve">operative effect </w:t>
      </w:r>
      <w:r w:rsidR="004E5D1C" w:rsidRPr="00C8604A">
        <w:t xml:space="preserve">unless one of the five enumerated </w:t>
      </w:r>
      <w:r w:rsidR="00431E48" w:rsidRPr="00C8604A">
        <w:t xml:space="preserve">situations </w:t>
      </w:r>
      <w:r w:rsidR="00445A81" w:rsidRPr="00C8604A">
        <w:t xml:space="preserve">(what the statute calls </w:t>
      </w:r>
      <w:r w:rsidR="004E5D1C" w:rsidRPr="00C8604A">
        <w:t>“cases”</w:t>
      </w:r>
      <w:r w:rsidR="00445A81" w:rsidRPr="00C8604A">
        <w:t>)</w:t>
      </w:r>
      <w:r w:rsidR="004E5D1C" w:rsidRPr="00C8604A">
        <w:t xml:space="preserve"> is present.  </w:t>
      </w:r>
      <w:r w:rsidR="000E1EF5">
        <w:t>Put another way</w:t>
      </w:r>
      <w:r w:rsidR="00E5445B" w:rsidRPr="00C8604A">
        <w:t>,</w:t>
      </w:r>
      <w:r w:rsidR="000A4786" w:rsidRPr="00C8604A">
        <w:t xml:space="preserve"> </w:t>
      </w:r>
      <w:r w:rsidR="00431E48" w:rsidRPr="00C8604A">
        <w:t>section 1161a(b)</w:t>
      </w:r>
      <w:r w:rsidR="000A4786" w:rsidRPr="00C8604A">
        <w:t xml:space="preserve"> </w:t>
      </w:r>
      <w:r w:rsidR="00A36F8D" w:rsidRPr="00C8604A">
        <w:t xml:space="preserve">contemplates that </w:t>
      </w:r>
      <w:r w:rsidR="000A4786" w:rsidRPr="00C8604A">
        <w:t>a property owner</w:t>
      </w:r>
      <w:r w:rsidR="00DA1C85" w:rsidRPr="00C8604A">
        <w:t xml:space="preserve"> </w:t>
      </w:r>
      <w:r w:rsidR="00A36F8D" w:rsidRPr="00C8604A">
        <w:t>seeking to</w:t>
      </w:r>
      <w:r w:rsidR="00DA1C85" w:rsidRPr="00C8604A">
        <w:t xml:space="preserve"> avail itself of the statute</w:t>
      </w:r>
      <w:r w:rsidR="00EB097D" w:rsidRPr="00C8604A">
        <w:t xml:space="preserve">’s remedy </w:t>
      </w:r>
      <w:r w:rsidR="00A36F8D" w:rsidRPr="00C8604A">
        <w:t xml:space="preserve">will begin </w:t>
      </w:r>
      <w:r w:rsidR="004E5D1C" w:rsidRPr="00C8604A">
        <w:t xml:space="preserve">by looking </w:t>
      </w:r>
      <w:r w:rsidR="00D03729" w:rsidRPr="00C8604A">
        <w:t>at the five enumerated</w:t>
      </w:r>
      <w:r w:rsidR="00DA1C85" w:rsidRPr="00C8604A">
        <w:t xml:space="preserve"> </w:t>
      </w:r>
      <w:r w:rsidR="00EB097D" w:rsidRPr="00C8604A">
        <w:t>“</w:t>
      </w:r>
      <w:r w:rsidR="00DA1C85" w:rsidRPr="00C8604A">
        <w:t>case</w:t>
      </w:r>
      <w:r w:rsidR="00D03729" w:rsidRPr="00C8604A">
        <w:t>s,</w:t>
      </w:r>
      <w:r w:rsidR="00EB097D" w:rsidRPr="00C8604A">
        <w:t>”</w:t>
      </w:r>
      <w:r w:rsidR="00D03729" w:rsidRPr="00C8604A">
        <w:t xml:space="preserve"> considering whether the </w:t>
      </w:r>
      <w:r w:rsidR="004E5D1C" w:rsidRPr="00C8604A">
        <w:t>condi</w:t>
      </w:r>
      <w:r w:rsidR="00445A81" w:rsidRPr="00C8604A">
        <w:t xml:space="preserve">tions of </w:t>
      </w:r>
      <w:r w:rsidR="00E5445B" w:rsidRPr="00C8604A">
        <w:t xml:space="preserve">any </w:t>
      </w:r>
      <w:r w:rsidR="004E5D1C" w:rsidRPr="00C8604A">
        <w:t>of the</w:t>
      </w:r>
      <w:r w:rsidR="001E7352" w:rsidRPr="00C8604A">
        <w:t xml:space="preserve">m </w:t>
      </w:r>
      <w:r w:rsidR="00660856" w:rsidRPr="00C8604A">
        <w:t xml:space="preserve">are </w:t>
      </w:r>
      <w:r w:rsidR="004E5D1C" w:rsidRPr="00C8604A">
        <w:t xml:space="preserve">satisfied.  </w:t>
      </w:r>
      <w:r w:rsidR="000A4786" w:rsidRPr="00C8604A">
        <w:t>O</w:t>
      </w:r>
      <w:r w:rsidR="00D03729" w:rsidRPr="00C8604A">
        <w:t>nly</w:t>
      </w:r>
      <w:r w:rsidR="000A4786" w:rsidRPr="00C8604A">
        <w:t xml:space="preserve"> </w:t>
      </w:r>
      <w:r w:rsidR="00DA1C85" w:rsidRPr="00C8604A">
        <w:t xml:space="preserve">when one of the cases </w:t>
      </w:r>
      <w:r w:rsidR="00EB097D" w:rsidRPr="00C8604A">
        <w:t>i</w:t>
      </w:r>
      <w:r w:rsidR="008A3509" w:rsidRPr="00C8604A">
        <w:t xml:space="preserve">s satisfied </w:t>
      </w:r>
      <w:r w:rsidR="00DA1C85" w:rsidRPr="00C8604A">
        <w:t xml:space="preserve">may </w:t>
      </w:r>
      <w:r w:rsidR="000A4786" w:rsidRPr="00C8604A">
        <w:t xml:space="preserve">the </w:t>
      </w:r>
      <w:r w:rsidR="00445A81" w:rsidRPr="00C8604A">
        <w:t xml:space="preserve">substantive </w:t>
      </w:r>
      <w:r w:rsidR="00E5445B" w:rsidRPr="00C8604A">
        <w:t xml:space="preserve">provision </w:t>
      </w:r>
      <w:r w:rsidR="00445A81" w:rsidRPr="00C8604A">
        <w:t>of the statute</w:t>
      </w:r>
      <w:r w:rsidR="00EB097D" w:rsidRPr="00C8604A">
        <w:t xml:space="preserve"> </w:t>
      </w:r>
      <w:r w:rsidR="00D03729" w:rsidRPr="00C8604A">
        <w:t>be invoked</w:t>
      </w:r>
      <w:r w:rsidR="00E5445B" w:rsidRPr="00C8604A">
        <w:t>.</w:t>
      </w:r>
    </w:p>
    <w:p w14:paraId="2D10A7A9" w14:textId="77777777" w:rsidR="00D90637" w:rsidRPr="00C8604A" w:rsidRDefault="007D404D" w:rsidP="00C8604A">
      <w:pPr>
        <w:tabs>
          <w:tab w:val="left" w:pos="1440"/>
        </w:tabs>
        <w:ind w:firstLine="720"/>
        <w:rPr>
          <w:szCs w:val="26"/>
        </w:rPr>
      </w:pPr>
      <w:r>
        <w:t>S</w:t>
      </w:r>
      <w:r w:rsidR="008A3509" w:rsidRPr="00C8604A">
        <w:t>ection 1161a(b)</w:t>
      </w:r>
      <w:r>
        <w:t>(3)</w:t>
      </w:r>
      <w:r w:rsidR="008A3509" w:rsidRPr="00C8604A">
        <w:t xml:space="preserve"> </w:t>
      </w:r>
      <w:r w:rsidR="00EB097D" w:rsidRPr="00C8604A">
        <w:t xml:space="preserve">is </w:t>
      </w:r>
      <w:r w:rsidR="008A3509" w:rsidRPr="00C8604A">
        <w:t>one of th</w:t>
      </w:r>
      <w:r w:rsidR="008407C5">
        <w:t>o</w:t>
      </w:r>
      <w:r w:rsidR="00660856" w:rsidRPr="00C8604A">
        <w:t>se</w:t>
      </w:r>
      <w:r w:rsidR="008A3509" w:rsidRPr="00C8604A">
        <w:t xml:space="preserve"> “cases</w:t>
      </w:r>
      <w:r w:rsidR="00660856" w:rsidRPr="00C8604A">
        <w:t>,</w:t>
      </w:r>
      <w:r w:rsidR="008A3509" w:rsidRPr="00C8604A">
        <w:t xml:space="preserve">” and it is the </w:t>
      </w:r>
      <w:r w:rsidR="00EB097D" w:rsidRPr="00C8604A">
        <w:t xml:space="preserve">only </w:t>
      </w:r>
      <w:r w:rsidR="008407C5">
        <w:t>provis</w:t>
      </w:r>
      <w:r>
        <w:t xml:space="preserve">ion </w:t>
      </w:r>
      <w:r w:rsidR="008A3509" w:rsidRPr="00C8604A">
        <w:t xml:space="preserve">on which </w:t>
      </w:r>
      <w:r w:rsidR="007D00C0" w:rsidRPr="00C8604A">
        <w:t>Dr. </w:t>
      </w:r>
      <w:proofErr w:type="spellStart"/>
      <w:r w:rsidR="008A3509" w:rsidRPr="00C8604A">
        <w:t>Leevil</w:t>
      </w:r>
      <w:proofErr w:type="spellEnd"/>
      <w:r w:rsidR="008A3509" w:rsidRPr="00C8604A">
        <w:t xml:space="preserve"> relies.  T</w:t>
      </w:r>
      <w:r w:rsidR="00050FB2" w:rsidRPr="00C8604A">
        <w:t>herefore</w:t>
      </w:r>
      <w:r w:rsidR="00660856" w:rsidRPr="00C8604A">
        <w:t>,</w:t>
      </w:r>
      <w:r w:rsidR="00050FB2" w:rsidRPr="00C8604A">
        <w:t xml:space="preserve"> </w:t>
      </w:r>
      <w:r w:rsidR="007D00C0" w:rsidRPr="00C8604A">
        <w:t>Dr. </w:t>
      </w:r>
      <w:proofErr w:type="spellStart"/>
      <w:r w:rsidR="00050FB2" w:rsidRPr="00C8604A">
        <w:t>Leevil</w:t>
      </w:r>
      <w:proofErr w:type="spellEnd"/>
      <w:r w:rsidR="0006286C">
        <w:t xml:space="preserve"> </w:t>
      </w:r>
      <w:r w:rsidR="00DD596C">
        <w:t>was not</w:t>
      </w:r>
      <w:r w:rsidR="007F009C">
        <w:t xml:space="preserve"> entitled to the remedy provided by</w:t>
      </w:r>
      <w:r w:rsidR="0006286C">
        <w:t xml:space="preserve"> </w:t>
      </w:r>
      <w:r w:rsidR="00050FB2" w:rsidRPr="00C8604A">
        <w:t xml:space="preserve">the substantive provision of section </w:t>
      </w:r>
      <w:r w:rsidR="008A3509" w:rsidRPr="00C8604A">
        <w:t xml:space="preserve">1161a(b) </w:t>
      </w:r>
      <w:r w:rsidR="00050FB2" w:rsidRPr="00C8604A">
        <w:t>unless it first satisfie</w:t>
      </w:r>
      <w:r w:rsidR="00660856" w:rsidRPr="00C8604A">
        <w:t>d</w:t>
      </w:r>
      <w:r w:rsidR="00050FB2" w:rsidRPr="00C8604A">
        <w:t xml:space="preserve"> the conditions of </w:t>
      </w:r>
      <w:r>
        <w:t>section 1161a(b)(3)</w:t>
      </w:r>
      <w:r w:rsidR="00050FB2" w:rsidRPr="00C8604A">
        <w:t xml:space="preserve">.  </w:t>
      </w:r>
      <w:r>
        <w:t xml:space="preserve">Section 1161a(b)(3) </w:t>
      </w:r>
      <w:r w:rsidR="00EB097D" w:rsidRPr="00C8604A">
        <w:t xml:space="preserve">describes </w:t>
      </w:r>
      <w:r w:rsidR="00753C89" w:rsidRPr="00C8604A">
        <w:t>the following case:  “W</w:t>
      </w:r>
      <w:r w:rsidR="00971F29" w:rsidRPr="00C8604A">
        <w:t xml:space="preserve">here the </w:t>
      </w:r>
      <w:r w:rsidR="007D2D0E" w:rsidRPr="00C8604A">
        <w:t>property [(A)] has been sold in accordance with Section 2924 of the Civil Code, [(B)] under a power of sale</w:t>
      </w:r>
      <w:r w:rsidR="00971F29" w:rsidRPr="00C8604A">
        <w:t xml:space="preserve"> contained in a deed of trust</w:t>
      </w:r>
      <w:r w:rsidR="005139F0" w:rsidRPr="00C8604A">
        <w:t xml:space="preserve"> </w:t>
      </w:r>
      <w:r w:rsidR="0004088B">
        <w:t xml:space="preserve">executed by [the holdover possessor], or a person under whom such person claims, </w:t>
      </w:r>
      <w:r w:rsidR="0004088B" w:rsidRPr="0004088B">
        <w:rPr>
          <w:i/>
        </w:rPr>
        <w:t>and</w:t>
      </w:r>
      <w:r w:rsidR="0004088B">
        <w:t xml:space="preserve"> </w:t>
      </w:r>
      <w:r w:rsidR="007D2D0E" w:rsidRPr="00C8604A">
        <w:t xml:space="preserve">[(C)] </w:t>
      </w:r>
      <w:r w:rsidR="00971F29" w:rsidRPr="00C8604A">
        <w:t>the title under the sale has been duly perfected.”</w:t>
      </w:r>
      <w:r w:rsidR="00F109BF" w:rsidRPr="00C8604A">
        <w:t xml:space="preserve">  </w:t>
      </w:r>
      <w:r w:rsidR="00BD605D" w:rsidRPr="00C8604A">
        <w:t xml:space="preserve">(Italics added.)  </w:t>
      </w:r>
      <w:r w:rsidR="00D90637" w:rsidRPr="00C8604A">
        <w:t xml:space="preserve">There are two things to notice about the language of </w:t>
      </w:r>
      <w:r>
        <w:t>section 1161a(b)</w:t>
      </w:r>
      <w:r w:rsidR="00D90637" w:rsidRPr="00C8604A">
        <w:t>(3).  First, the pr</w:t>
      </w:r>
      <w:r>
        <w:t xml:space="preserve">ovision </w:t>
      </w:r>
      <w:r w:rsidR="00704579" w:rsidRPr="00C8604A">
        <w:t xml:space="preserve">is in the past tense </w:t>
      </w:r>
      <w:r w:rsidR="00D90637" w:rsidRPr="00C8604A">
        <w:rPr>
          <w:szCs w:val="26"/>
        </w:rPr>
        <w:t>(“has been sold” and “has been duly perfected”), suggesting completion</w:t>
      </w:r>
      <w:r w:rsidR="002A06F8" w:rsidRPr="00C8604A">
        <w:rPr>
          <w:szCs w:val="26"/>
        </w:rPr>
        <w:t>.</w:t>
      </w:r>
      <w:r w:rsidR="00EB097D" w:rsidRPr="00C8604A">
        <w:rPr>
          <w:szCs w:val="26"/>
        </w:rPr>
        <w:t xml:space="preserve">  </w:t>
      </w:r>
      <w:r w:rsidR="00704579" w:rsidRPr="00C8604A">
        <w:rPr>
          <w:szCs w:val="26"/>
        </w:rPr>
        <w:t xml:space="preserve">By contrast, the </w:t>
      </w:r>
      <w:r w:rsidR="00704579" w:rsidRPr="00C8604A">
        <w:t>substantive provision of section 1161a(b) uses the present tense (</w:t>
      </w:r>
      <w:r w:rsidR="00704579" w:rsidRPr="00C8604A">
        <w:rPr>
          <w:szCs w:val="26"/>
        </w:rPr>
        <w:t>“holds over and continues” and “may be removed”</w:t>
      </w:r>
      <w:r w:rsidR="00704579" w:rsidRPr="00C8604A">
        <w:t>).  T</w:t>
      </w:r>
      <w:r w:rsidR="00D90637" w:rsidRPr="00C8604A">
        <w:rPr>
          <w:szCs w:val="26"/>
        </w:rPr>
        <w:t>h</w:t>
      </w:r>
      <w:r w:rsidR="00EB097D" w:rsidRPr="00C8604A">
        <w:rPr>
          <w:szCs w:val="26"/>
        </w:rPr>
        <w:t xml:space="preserve">ese choices </w:t>
      </w:r>
      <w:r w:rsidR="00D90637" w:rsidRPr="00C8604A">
        <w:rPr>
          <w:szCs w:val="26"/>
        </w:rPr>
        <w:t xml:space="preserve">of verb tense strongly support the </w:t>
      </w:r>
      <w:r w:rsidR="00704579" w:rsidRPr="00C8604A">
        <w:rPr>
          <w:szCs w:val="26"/>
        </w:rPr>
        <w:t xml:space="preserve">conclusion that </w:t>
      </w:r>
      <w:r>
        <w:rPr>
          <w:szCs w:val="26"/>
        </w:rPr>
        <w:t>section 1161a(b)</w:t>
      </w:r>
      <w:r w:rsidR="002A06F8" w:rsidRPr="00C8604A">
        <w:rPr>
          <w:szCs w:val="26"/>
        </w:rPr>
        <w:t>(</w:t>
      </w:r>
      <w:r w:rsidR="00EB097D" w:rsidRPr="00C8604A">
        <w:rPr>
          <w:szCs w:val="26"/>
        </w:rPr>
        <w:t>3</w:t>
      </w:r>
      <w:r w:rsidR="002A06F8" w:rsidRPr="00C8604A">
        <w:rPr>
          <w:szCs w:val="26"/>
        </w:rPr>
        <w:t>)</w:t>
      </w:r>
      <w:r w:rsidR="00EB097D" w:rsidRPr="00C8604A">
        <w:rPr>
          <w:szCs w:val="26"/>
        </w:rPr>
        <w:t xml:space="preserve">, when it is relied upon by a plaintiff, enumerates </w:t>
      </w:r>
      <w:r w:rsidR="00D90637" w:rsidRPr="00C8604A">
        <w:rPr>
          <w:szCs w:val="26"/>
        </w:rPr>
        <w:t>condition</w:t>
      </w:r>
      <w:r w:rsidR="00EB097D" w:rsidRPr="00C8604A">
        <w:rPr>
          <w:szCs w:val="26"/>
        </w:rPr>
        <w:t>s</w:t>
      </w:r>
      <w:r w:rsidR="00D90637" w:rsidRPr="00C8604A">
        <w:rPr>
          <w:szCs w:val="26"/>
        </w:rPr>
        <w:t xml:space="preserve"> precedent</w:t>
      </w:r>
      <w:r w:rsidR="00EB097D" w:rsidRPr="00C8604A">
        <w:rPr>
          <w:szCs w:val="26"/>
        </w:rPr>
        <w:t xml:space="preserve"> that </w:t>
      </w:r>
      <w:r w:rsidR="007D00C0" w:rsidRPr="00C8604A">
        <w:rPr>
          <w:szCs w:val="26"/>
        </w:rPr>
        <w:t xml:space="preserve">the plaintiff </w:t>
      </w:r>
      <w:r w:rsidR="00D90637" w:rsidRPr="00C8604A">
        <w:rPr>
          <w:szCs w:val="26"/>
        </w:rPr>
        <w:t xml:space="preserve">must </w:t>
      </w:r>
      <w:r w:rsidR="007D00C0" w:rsidRPr="00C8604A">
        <w:rPr>
          <w:szCs w:val="26"/>
        </w:rPr>
        <w:t xml:space="preserve">satisfy </w:t>
      </w:r>
      <w:r w:rsidR="00EB097D" w:rsidRPr="00C8604A">
        <w:rPr>
          <w:szCs w:val="26"/>
        </w:rPr>
        <w:t xml:space="preserve">before </w:t>
      </w:r>
      <w:r w:rsidR="00704579" w:rsidRPr="00C8604A">
        <w:t>invoking the substantive provision of section 1161a(b)</w:t>
      </w:r>
      <w:r w:rsidR="0006286C">
        <w:t xml:space="preserve"> — that is, before serving a notice to quit</w:t>
      </w:r>
      <w:r w:rsidR="00704579" w:rsidRPr="00C8604A">
        <w:t xml:space="preserve">.  </w:t>
      </w:r>
      <w:r w:rsidR="00D90637" w:rsidRPr="00C8604A">
        <w:rPr>
          <w:szCs w:val="26"/>
        </w:rPr>
        <w:t xml:space="preserve">(See </w:t>
      </w:r>
      <w:r w:rsidR="00D90637" w:rsidRPr="00C8604A">
        <w:rPr>
          <w:i/>
          <w:szCs w:val="26"/>
        </w:rPr>
        <w:t>Hughes v. Board of Architectural Examiners</w:t>
      </w:r>
      <w:r w:rsidR="00D90637" w:rsidRPr="00C8604A">
        <w:rPr>
          <w:szCs w:val="26"/>
        </w:rPr>
        <w:t xml:space="preserve"> (1998) 17 Cal.4th 763, 776 [“In construing statutes, the use of verb tense by the Legislature is considered significant.”].)</w:t>
      </w:r>
    </w:p>
    <w:p w14:paraId="72FCC7E5" w14:textId="77777777" w:rsidR="00742CCE" w:rsidRPr="00C8604A" w:rsidRDefault="00D90637" w:rsidP="00C8604A">
      <w:pPr>
        <w:tabs>
          <w:tab w:val="left" w:pos="1440"/>
        </w:tabs>
        <w:ind w:firstLine="720"/>
      </w:pPr>
      <w:r w:rsidRPr="00C8604A">
        <w:rPr>
          <w:szCs w:val="26"/>
        </w:rPr>
        <w:t xml:space="preserve">Second, the </w:t>
      </w:r>
      <w:r w:rsidR="007D2D0E" w:rsidRPr="00C8604A">
        <w:rPr>
          <w:szCs w:val="26"/>
        </w:rPr>
        <w:t xml:space="preserve">sale of the property </w:t>
      </w:r>
      <w:r w:rsidR="007D00C0" w:rsidRPr="00C8604A">
        <w:rPr>
          <w:szCs w:val="26"/>
        </w:rPr>
        <w:t xml:space="preserve">in question </w:t>
      </w:r>
      <w:r w:rsidR="007D2D0E" w:rsidRPr="00C8604A">
        <w:rPr>
          <w:szCs w:val="26"/>
        </w:rPr>
        <w:t xml:space="preserve">is only one of three </w:t>
      </w:r>
      <w:r w:rsidR="00704579" w:rsidRPr="00C8604A">
        <w:rPr>
          <w:szCs w:val="26"/>
        </w:rPr>
        <w:t xml:space="preserve">distinct </w:t>
      </w:r>
      <w:r w:rsidR="00EB097D" w:rsidRPr="00C8604A">
        <w:rPr>
          <w:szCs w:val="26"/>
        </w:rPr>
        <w:t>conditions</w:t>
      </w:r>
      <w:r w:rsidR="007D2D0E" w:rsidRPr="00C8604A">
        <w:rPr>
          <w:szCs w:val="26"/>
        </w:rPr>
        <w:t xml:space="preserve"> </w:t>
      </w:r>
      <w:r w:rsidR="00EB097D" w:rsidRPr="00C8604A">
        <w:rPr>
          <w:szCs w:val="26"/>
        </w:rPr>
        <w:t xml:space="preserve">set forth </w:t>
      </w:r>
      <w:r w:rsidR="007D2D0E" w:rsidRPr="00C8604A">
        <w:rPr>
          <w:szCs w:val="26"/>
        </w:rPr>
        <w:t xml:space="preserve">in </w:t>
      </w:r>
      <w:r w:rsidR="00B8124F">
        <w:rPr>
          <w:szCs w:val="26"/>
        </w:rPr>
        <w:t>section 1161a(b)</w:t>
      </w:r>
      <w:r w:rsidR="007D2D0E" w:rsidRPr="00C8604A">
        <w:rPr>
          <w:szCs w:val="26"/>
        </w:rPr>
        <w:t xml:space="preserve">(3), and the use of the </w:t>
      </w:r>
      <w:r w:rsidR="00EB097D" w:rsidRPr="00C8604A">
        <w:rPr>
          <w:szCs w:val="26"/>
        </w:rPr>
        <w:t xml:space="preserve">conjunctive </w:t>
      </w:r>
      <w:r w:rsidR="007D2D0E" w:rsidRPr="00C8604A">
        <w:rPr>
          <w:szCs w:val="26"/>
        </w:rPr>
        <w:t xml:space="preserve">word “and” to </w:t>
      </w:r>
      <w:r w:rsidR="00EB097D" w:rsidRPr="00C8604A">
        <w:rPr>
          <w:szCs w:val="26"/>
        </w:rPr>
        <w:t xml:space="preserve">connect </w:t>
      </w:r>
      <w:r w:rsidR="002A5BCE" w:rsidRPr="00C8604A">
        <w:rPr>
          <w:szCs w:val="26"/>
        </w:rPr>
        <w:t xml:space="preserve">the </w:t>
      </w:r>
      <w:r w:rsidR="007D2D0E" w:rsidRPr="00C8604A">
        <w:rPr>
          <w:szCs w:val="26"/>
        </w:rPr>
        <w:t xml:space="preserve">three </w:t>
      </w:r>
      <w:r w:rsidR="00EB097D" w:rsidRPr="00C8604A">
        <w:rPr>
          <w:szCs w:val="26"/>
        </w:rPr>
        <w:t xml:space="preserve">conditions </w:t>
      </w:r>
      <w:r w:rsidR="00704579" w:rsidRPr="00C8604A">
        <w:rPr>
          <w:szCs w:val="26"/>
        </w:rPr>
        <w:t xml:space="preserve">can only </w:t>
      </w:r>
      <w:r w:rsidR="002A5BCE" w:rsidRPr="00C8604A">
        <w:rPr>
          <w:szCs w:val="26"/>
        </w:rPr>
        <w:t xml:space="preserve">mean </w:t>
      </w:r>
      <w:r w:rsidR="00704579" w:rsidRPr="00C8604A">
        <w:rPr>
          <w:szCs w:val="26"/>
        </w:rPr>
        <w:t xml:space="preserve">that </w:t>
      </w:r>
      <w:r w:rsidR="007D2D0E" w:rsidRPr="00C8604A">
        <w:rPr>
          <w:szCs w:val="26"/>
        </w:rPr>
        <w:t>all three</w:t>
      </w:r>
      <w:r w:rsidR="00704579" w:rsidRPr="00C8604A">
        <w:rPr>
          <w:szCs w:val="26"/>
        </w:rPr>
        <w:t xml:space="preserve"> </w:t>
      </w:r>
      <w:r w:rsidR="007D00C0" w:rsidRPr="00C8604A">
        <w:rPr>
          <w:szCs w:val="26"/>
        </w:rPr>
        <w:t xml:space="preserve">conditions </w:t>
      </w:r>
      <w:r w:rsidRPr="00C8604A">
        <w:rPr>
          <w:szCs w:val="26"/>
        </w:rPr>
        <w:t xml:space="preserve">must be </w:t>
      </w:r>
      <w:r w:rsidR="007D00C0" w:rsidRPr="00C8604A">
        <w:rPr>
          <w:szCs w:val="26"/>
        </w:rPr>
        <w:t>satisfied</w:t>
      </w:r>
      <w:r w:rsidRPr="00C8604A">
        <w:rPr>
          <w:szCs w:val="26"/>
        </w:rPr>
        <w:t>.  In other words, all three</w:t>
      </w:r>
      <w:r w:rsidR="00704579" w:rsidRPr="00C8604A">
        <w:rPr>
          <w:szCs w:val="26"/>
        </w:rPr>
        <w:t xml:space="preserve"> </w:t>
      </w:r>
      <w:r w:rsidR="00EB097D" w:rsidRPr="00C8604A">
        <w:rPr>
          <w:szCs w:val="26"/>
        </w:rPr>
        <w:t xml:space="preserve">conditions </w:t>
      </w:r>
      <w:r w:rsidR="00704579" w:rsidRPr="00C8604A">
        <w:rPr>
          <w:szCs w:val="26"/>
        </w:rPr>
        <w:t xml:space="preserve">of </w:t>
      </w:r>
      <w:r w:rsidR="00B8124F">
        <w:rPr>
          <w:szCs w:val="26"/>
        </w:rPr>
        <w:t>section 1161a(b)</w:t>
      </w:r>
      <w:r w:rsidR="00704579" w:rsidRPr="00C8604A">
        <w:rPr>
          <w:szCs w:val="26"/>
        </w:rPr>
        <w:t>(3)</w:t>
      </w:r>
      <w:r w:rsidRPr="00C8604A">
        <w:rPr>
          <w:szCs w:val="26"/>
        </w:rPr>
        <w:t xml:space="preserve">, including perfection of title, </w:t>
      </w:r>
      <w:r w:rsidR="002A5BCE" w:rsidRPr="00C8604A">
        <w:t xml:space="preserve">were prerequisites to </w:t>
      </w:r>
      <w:r w:rsidR="007D00C0" w:rsidRPr="00C8604A">
        <w:t>Dr. </w:t>
      </w:r>
      <w:proofErr w:type="spellStart"/>
      <w:r w:rsidR="002A5BCE" w:rsidRPr="00C8604A">
        <w:t>Leevil</w:t>
      </w:r>
      <w:proofErr w:type="spellEnd"/>
      <w:r w:rsidR="002A5BCE" w:rsidRPr="00C8604A">
        <w:t xml:space="preserve"> having any right to the remedy section 1161a(b) affords</w:t>
      </w:r>
      <w:r w:rsidR="007D2D0E" w:rsidRPr="00C8604A">
        <w:rPr>
          <w:szCs w:val="26"/>
        </w:rPr>
        <w:t xml:space="preserve">.  </w:t>
      </w:r>
      <w:r w:rsidR="00076978">
        <w:rPr>
          <w:szCs w:val="26"/>
        </w:rPr>
        <w:t>And i</w:t>
      </w:r>
      <w:r w:rsidR="00704579" w:rsidRPr="00C8604A">
        <w:t xml:space="preserve">n this context, </w:t>
      </w:r>
      <w:r w:rsidR="00F109BF" w:rsidRPr="00C8604A">
        <w:t>perfection of title</w:t>
      </w:r>
      <w:r w:rsidR="00050FB2" w:rsidRPr="00C8604A">
        <w:t xml:space="preserve"> </w:t>
      </w:r>
      <w:r w:rsidR="006561BF" w:rsidRPr="00C8604A">
        <w:t>requires that the</w:t>
      </w:r>
      <w:r w:rsidR="0092331C" w:rsidRPr="00C8604A">
        <w:t xml:space="preserve"> </w:t>
      </w:r>
      <w:r w:rsidR="00EB5B46" w:rsidRPr="00C8604A">
        <w:t xml:space="preserve">instrument of </w:t>
      </w:r>
      <w:r w:rsidR="0092331C" w:rsidRPr="00C8604A">
        <w:t>conveyance</w:t>
      </w:r>
      <w:r w:rsidR="00704579" w:rsidRPr="00C8604A">
        <w:t xml:space="preserve"> (the </w:t>
      </w:r>
      <w:r w:rsidR="00FA3A27" w:rsidRPr="00C8604A">
        <w:t xml:space="preserve">trustee’s </w:t>
      </w:r>
      <w:r w:rsidR="00EB5B46" w:rsidRPr="00C8604A">
        <w:t>deed</w:t>
      </w:r>
      <w:r w:rsidR="00704579" w:rsidRPr="00C8604A">
        <w:t>)</w:t>
      </w:r>
      <w:r w:rsidR="00EB5B46" w:rsidRPr="00C8604A">
        <w:t xml:space="preserve"> </w:t>
      </w:r>
      <w:r w:rsidR="006561BF" w:rsidRPr="00C8604A">
        <w:t>be recorded</w:t>
      </w:r>
      <w:r w:rsidR="00D87248" w:rsidRPr="00C8604A">
        <w:t xml:space="preserve"> </w:t>
      </w:r>
      <w:r w:rsidR="005B2EA2" w:rsidRPr="00C8604A">
        <w:t>pursuant to</w:t>
      </w:r>
      <w:r w:rsidR="00FA3A27" w:rsidRPr="00C8604A">
        <w:t xml:space="preserve"> </w:t>
      </w:r>
      <w:r w:rsidR="005B2EA2" w:rsidRPr="00C8604A">
        <w:t>Government Code section</w:t>
      </w:r>
      <w:r w:rsidR="00D87248" w:rsidRPr="00C8604A">
        <w:t xml:space="preserve"> 27280</w:t>
      </w:r>
      <w:r w:rsidR="0092331C" w:rsidRPr="00C8604A">
        <w:t xml:space="preserve">.  </w:t>
      </w:r>
      <w:r w:rsidR="00660856" w:rsidRPr="00C8604A">
        <w:t xml:space="preserve">As the </w:t>
      </w:r>
      <w:r w:rsidR="007D00C0" w:rsidRPr="00C8604A">
        <w:t>C</w:t>
      </w:r>
      <w:r w:rsidR="00660856" w:rsidRPr="00C8604A">
        <w:t xml:space="preserve">ourt </w:t>
      </w:r>
      <w:r w:rsidR="007D00C0" w:rsidRPr="00C8604A">
        <w:t xml:space="preserve">of Appeal </w:t>
      </w:r>
      <w:r w:rsidR="00660856" w:rsidRPr="00C8604A">
        <w:t xml:space="preserve">explained in </w:t>
      </w:r>
      <w:r w:rsidR="00660856" w:rsidRPr="00C8604A">
        <w:rPr>
          <w:i/>
        </w:rPr>
        <w:t>Kessler v. Bridge</w:t>
      </w:r>
      <w:r w:rsidR="00660856" w:rsidRPr="00C8604A">
        <w:t xml:space="preserve"> (1958) 161 Cal.App.2d Supp. 837, </w:t>
      </w:r>
      <w:r w:rsidR="00F109BF" w:rsidRPr="00C8604A">
        <w:t>“</w:t>
      </w:r>
      <w:r w:rsidR="00660856" w:rsidRPr="00C8604A">
        <w:t>[t]</w:t>
      </w:r>
      <w:proofErr w:type="spellStart"/>
      <w:r w:rsidR="00990DBD" w:rsidRPr="00C8604A">
        <w:t>itle</w:t>
      </w:r>
      <w:proofErr w:type="spellEnd"/>
      <w:r w:rsidR="00990DBD" w:rsidRPr="00C8604A">
        <w:t xml:space="preserve"> is duly perfected when all steps have been taken to make it perfect, i.e., to convey to the purchaser that which he has purchased, valid and good beyond all reasonable doubt[] [citation], </w:t>
      </w:r>
      <w:r w:rsidR="00990DBD" w:rsidRPr="00C8604A">
        <w:rPr>
          <w:i/>
        </w:rPr>
        <w:t>which includes good record title</w:t>
      </w:r>
      <w:r w:rsidR="00990DBD" w:rsidRPr="00C8604A">
        <w:t xml:space="preserve"> [citation], but is not limited to good record title, as between the parties to the transaction. . . .  The court in an unlawful detainer [action]</w:t>
      </w:r>
      <w:r w:rsidR="000759C1" w:rsidRPr="00C8604A">
        <w:t xml:space="preserve"> . . . </w:t>
      </w:r>
      <w:r w:rsidR="00990DBD" w:rsidRPr="00C8604A">
        <w:t>has jurisdiction to determine the validity of such defenses.</w:t>
      </w:r>
      <w:r w:rsidR="00F109BF" w:rsidRPr="00C8604A">
        <w:t>”</w:t>
      </w:r>
      <w:r w:rsidR="00990DBD" w:rsidRPr="00C8604A">
        <w:t xml:space="preserve">  (</w:t>
      </w:r>
      <w:r w:rsidR="00660856" w:rsidRPr="00C8604A">
        <w:rPr>
          <w:i/>
        </w:rPr>
        <w:t>Id</w:t>
      </w:r>
      <w:r w:rsidR="00660856" w:rsidRPr="00C8604A">
        <w:t xml:space="preserve">. at p. </w:t>
      </w:r>
      <w:r w:rsidR="00990DBD" w:rsidRPr="00C8604A">
        <w:t>841</w:t>
      </w:r>
      <w:r w:rsidR="00E77620" w:rsidRPr="00C8604A">
        <w:t>, italics added</w:t>
      </w:r>
      <w:r w:rsidR="00990DBD" w:rsidRPr="00C8604A">
        <w:t>.)</w:t>
      </w:r>
      <w:r w:rsidR="007D746F">
        <w:t xml:space="preserve">  </w:t>
      </w:r>
      <w:r w:rsidR="004B1271" w:rsidRPr="00C8604A">
        <w:t>Because on</w:t>
      </w:r>
      <w:r w:rsidR="00B52FC3" w:rsidRPr="00C8604A">
        <w:t>e</w:t>
      </w:r>
      <w:r w:rsidR="004B1271" w:rsidRPr="00C8604A">
        <w:t xml:space="preserve"> of the conditions</w:t>
      </w:r>
      <w:r w:rsidR="00753C89" w:rsidRPr="00C8604A">
        <w:t xml:space="preserve"> </w:t>
      </w:r>
      <w:r w:rsidR="007D00C0" w:rsidRPr="00C8604A">
        <w:t xml:space="preserve">set forth in </w:t>
      </w:r>
      <w:r w:rsidR="00D123A0">
        <w:t>section 1161a(b)(</w:t>
      </w:r>
      <w:r w:rsidR="00753C89" w:rsidRPr="00C8604A">
        <w:t xml:space="preserve">3) </w:t>
      </w:r>
      <w:r w:rsidR="004B1271" w:rsidRPr="00C8604A">
        <w:t xml:space="preserve">is that </w:t>
      </w:r>
      <w:r w:rsidR="00B52FC3" w:rsidRPr="00C8604A">
        <w:t xml:space="preserve">“title under the sale has been duly perfected,” </w:t>
      </w:r>
      <w:r w:rsidR="007D00C0" w:rsidRPr="00C8604A">
        <w:t>Dr.</w:t>
      </w:r>
      <w:r w:rsidR="0006286C">
        <w:t xml:space="preserve"> </w:t>
      </w:r>
      <w:proofErr w:type="spellStart"/>
      <w:r w:rsidR="0042050C" w:rsidRPr="00C8604A">
        <w:t>Leevil</w:t>
      </w:r>
      <w:proofErr w:type="spellEnd"/>
      <w:r w:rsidR="0006286C">
        <w:t xml:space="preserve"> was not entitled to a </w:t>
      </w:r>
      <w:r w:rsidR="00DA3181" w:rsidRPr="00C8604A">
        <w:t>s</w:t>
      </w:r>
      <w:r w:rsidR="004B1271" w:rsidRPr="00C8604A">
        <w:t>ection 1161a(</w:t>
      </w:r>
      <w:r w:rsidR="0042050C" w:rsidRPr="00C8604A">
        <w:t xml:space="preserve">b) </w:t>
      </w:r>
      <w:r w:rsidR="00DA3181" w:rsidRPr="00C8604A">
        <w:t>remedy</w:t>
      </w:r>
      <w:r w:rsidR="004B3EA1" w:rsidRPr="00C8604A">
        <w:t xml:space="preserve"> </w:t>
      </w:r>
      <w:r w:rsidR="006B402E" w:rsidRPr="00C8604A">
        <w:t xml:space="preserve">until </w:t>
      </w:r>
      <w:r w:rsidR="00B52FC3" w:rsidRPr="00C8604A">
        <w:t xml:space="preserve">it </w:t>
      </w:r>
      <w:r w:rsidR="00DA3181" w:rsidRPr="00C8604A">
        <w:t xml:space="preserve">first </w:t>
      </w:r>
      <w:r w:rsidR="00B52FC3" w:rsidRPr="00C8604A">
        <w:t>perfect</w:t>
      </w:r>
      <w:r w:rsidR="006B402E" w:rsidRPr="00C8604A">
        <w:t>ed</w:t>
      </w:r>
      <w:r w:rsidR="00DA3181" w:rsidRPr="00C8604A">
        <w:t xml:space="preserve"> </w:t>
      </w:r>
      <w:r w:rsidR="00B52FC3" w:rsidRPr="00C8604A">
        <w:t>title</w:t>
      </w:r>
      <w:r w:rsidR="00E77620" w:rsidRPr="00C8604A">
        <w:t>, which require</w:t>
      </w:r>
      <w:r w:rsidR="006B402E" w:rsidRPr="00C8604A">
        <w:t>d</w:t>
      </w:r>
      <w:r w:rsidR="00DA3181" w:rsidRPr="00C8604A">
        <w:t>,</w:t>
      </w:r>
      <w:r w:rsidR="00E77620" w:rsidRPr="00C8604A">
        <w:t xml:space="preserve"> among other things</w:t>
      </w:r>
      <w:r w:rsidR="00DA3181" w:rsidRPr="00C8604A">
        <w:t xml:space="preserve">, that the instrument of </w:t>
      </w:r>
      <w:r w:rsidR="00E77620" w:rsidRPr="00C8604A">
        <w:t xml:space="preserve">sale </w:t>
      </w:r>
      <w:r w:rsidR="00DA3181" w:rsidRPr="00C8604A">
        <w:t xml:space="preserve">(the trustee’s deed) </w:t>
      </w:r>
      <w:r w:rsidR="00E77620" w:rsidRPr="00C8604A">
        <w:t>be recorded</w:t>
      </w:r>
      <w:r w:rsidR="0042050C" w:rsidRPr="00C8604A">
        <w:t xml:space="preserve">.  </w:t>
      </w:r>
      <w:r w:rsidR="0006286C">
        <w:t xml:space="preserve">That being so, the most natural reading of the statute required Dr. </w:t>
      </w:r>
      <w:proofErr w:type="spellStart"/>
      <w:r w:rsidR="0006286C">
        <w:t>Leevil</w:t>
      </w:r>
      <w:proofErr w:type="spellEnd"/>
      <w:r w:rsidR="0006286C">
        <w:t xml:space="preserve"> to perfect title before invoking section 1161a(b) — but i</w:t>
      </w:r>
      <w:r w:rsidR="006B402E" w:rsidRPr="00C8604A">
        <w:t xml:space="preserve">t is undisputed that </w:t>
      </w:r>
      <w:r w:rsidR="007D00C0" w:rsidRPr="00C8604A">
        <w:t>Dr. </w:t>
      </w:r>
      <w:proofErr w:type="spellStart"/>
      <w:r w:rsidR="006B402E" w:rsidRPr="00C8604A">
        <w:t>Leevil</w:t>
      </w:r>
      <w:proofErr w:type="spellEnd"/>
      <w:r w:rsidR="006B402E" w:rsidRPr="00C8604A">
        <w:t xml:space="preserve"> served </w:t>
      </w:r>
      <w:r w:rsidR="00FA44E6" w:rsidRPr="00C8604A">
        <w:t xml:space="preserve">the </w:t>
      </w:r>
      <w:r w:rsidR="006B402E" w:rsidRPr="00C8604A">
        <w:t xml:space="preserve">three-day written notice to quit </w:t>
      </w:r>
      <w:r w:rsidR="006B402E" w:rsidRPr="00DD596C">
        <w:t>before</w:t>
      </w:r>
      <w:r w:rsidR="006B402E" w:rsidRPr="00C8604A">
        <w:t xml:space="preserve"> it perfected title to the property</w:t>
      </w:r>
      <w:r w:rsidR="0006286C">
        <w:t xml:space="preserve">.  </w:t>
      </w:r>
      <w:r w:rsidR="007D00C0" w:rsidRPr="00C8604A">
        <w:t>Dr. </w:t>
      </w:r>
      <w:proofErr w:type="spellStart"/>
      <w:r w:rsidR="00FE6D69" w:rsidRPr="00C8604A">
        <w:t>Leev</w:t>
      </w:r>
      <w:r w:rsidR="007F67CE" w:rsidRPr="00C8604A">
        <w:t>il</w:t>
      </w:r>
      <w:proofErr w:type="spellEnd"/>
      <w:r w:rsidR="0006286C">
        <w:t xml:space="preserve">, therefore, </w:t>
      </w:r>
      <w:r w:rsidR="00FA44E6" w:rsidRPr="00C8604A">
        <w:t xml:space="preserve">took the first step in the </w:t>
      </w:r>
      <w:r w:rsidR="007F67CE" w:rsidRPr="00C8604A">
        <w:t>removal process authorized by section 1161a(b)</w:t>
      </w:r>
      <w:r w:rsidR="000F2D18" w:rsidRPr="00C8604A">
        <w:t xml:space="preserve"> </w:t>
      </w:r>
      <w:r w:rsidR="00FE6D69" w:rsidRPr="00C8604A">
        <w:t>before satisf</w:t>
      </w:r>
      <w:r w:rsidR="007D00C0" w:rsidRPr="00C8604A">
        <w:t xml:space="preserve">ying </w:t>
      </w:r>
      <w:r w:rsidR="00816B0D" w:rsidRPr="00C8604A">
        <w:t xml:space="preserve">all </w:t>
      </w:r>
      <w:r w:rsidR="00D123A0">
        <w:t xml:space="preserve">of </w:t>
      </w:r>
      <w:r w:rsidR="00FE6D69" w:rsidRPr="00C8604A">
        <w:t xml:space="preserve">the </w:t>
      </w:r>
      <w:r w:rsidR="00D123A0">
        <w:t xml:space="preserve">prerequisite </w:t>
      </w:r>
      <w:r w:rsidR="00FE6D69" w:rsidRPr="00C8604A">
        <w:t>conditions</w:t>
      </w:r>
      <w:r w:rsidR="00816B0D" w:rsidRPr="00C8604A">
        <w:t>.</w:t>
      </w:r>
    </w:p>
    <w:p w14:paraId="668DA3A9" w14:textId="77777777" w:rsidR="004C0DDC" w:rsidRPr="00C8604A" w:rsidRDefault="00534C0E" w:rsidP="00C8604A">
      <w:pPr>
        <w:tabs>
          <w:tab w:val="left" w:pos="1440"/>
        </w:tabs>
        <w:ind w:firstLine="720"/>
      </w:pPr>
      <w:r w:rsidRPr="00C8604A">
        <w:t>“</w:t>
      </w:r>
      <w:r w:rsidR="00C60268" w:rsidRPr="00C8604A">
        <w:t>It has long been recognized that the unlawful detainer statutes are to be strictly construed and that relief not statutorily authorized may not be given due to the summary nature of the proceedings.  [Citation.]  The statutory req</w:t>
      </w:r>
      <w:r w:rsidR="00D123A0">
        <w:t xml:space="preserve">uirements in such proceedings </w:t>
      </w:r>
      <w:r w:rsidR="00C60268" w:rsidRPr="00C8604A">
        <w:t>‘</w:t>
      </w:r>
      <w:r w:rsidR="00D123A0">
        <w:t> “</w:t>
      </w:r>
      <w:r w:rsidR="00C60268" w:rsidRPr="00C8604A">
        <w:t>must be followed strictly . . . .</w:t>
      </w:r>
      <w:r w:rsidR="00D123A0">
        <w:t>”</w:t>
      </w:r>
      <w:r w:rsidR="00433293">
        <w:t> ’ </w:t>
      </w:r>
      <w:r w:rsidR="009F17F1" w:rsidRPr="00C8604A">
        <w:t>”  (</w:t>
      </w:r>
      <w:r w:rsidR="009F17F1" w:rsidRPr="00C8604A">
        <w:rPr>
          <w:i/>
        </w:rPr>
        <w:t>WDT</w:t>
      </w:r>
      <w:r w:rsidR="00A978FB" w:rsidRPr="00C8604A">
        <w:rPr>
          <w:i/>
        </w:rPr>
        <w:t>–</w:t>
      </w:r>
      <w:r w:rsidR="009F17F1" w:rsidRPr="00C8604A">
        <w:rPr>
          <w:i/>
        </w:rPr>
        <w:t>Winchester v. Nilsson</w:t>
      </w:r>
      <w:r w:rsidR="009F17F1" w:rsidRPr="00C8604A">
        <w:t xml:space="preserve"> (1994) 27 Cal.App.4th 516</w:t>
      </w:r>
      <w:r w:rsidR="00C60268" w:rsidRPr="00C8604A">
        <w:t>, 526</w:t>
      </w:r>
      <w:r w:rsidR="00A978FB" w:rsidRPr="00C8604A">
        <w:t xml:space="preserve">; see </w:t>
      </w:r>
      <w:r w:rsidR="00A978FB" w:rsidRPr="00C8604A">
        <w:rPr>
          <w:i/>
        </w:rPr>
        <w:t xml:space="preserve">Underwood v. </w:t>
      </w:r>
      <w:proofErr w:type="spellStart"/>
      <w:r w:rsidR="00A978FB" w:rsidRPr="00C8604A">
        <w:rPr>
          <w:i/>
        </w:rPr>
        <w:t>Corsino</w:t>
      </w:r>
      <w:proofErr w:type="spellEnd"/>
      <w:r w:rsidR="00A978FB" w:rsidRPr="00C8604A">
        <w:t xml:space="preserve"> (2005) 133 Cal.App.4th 132, 135; </w:t>
      </w:r>
      <w:r w:rsidR="00A978FB" w:rsidRPr="00C8604A">
        <w:rPr>
          <w:i/>
        </w:rPr>
        <w:t>Cal–American Income Property Fund IV v. Ho</w:t>
      </w:r>
      <w:r w:rsidR="00A978FB" w:rsidRPr="00C8604A">
        <w:t xml:space="preserve"> (1984) 161 Cal.App.3d 583, 585</w:t>
      </w:r>
      <w:r w:rsidR="009F17F1" w:rsidRPr="00C8604A">
        <w:t>.)</w:t>
      </w:r>
      <w:r w:rsidR="00A978FB" w:rsidRPr="00C8604A">
        <w:t xml:space="preserve">  </w:t>
      </w:r>
      <w:r w:rsidR="009F17F1" w:rsidRPr="00C8604A">
        <w:t>“The remedy of unlawful detainer is a summary proceeding to determine the right to possession of real property.  Since it is purely statutory in nature, it is essential that a party seeking the remedy bring himself clearly within the statute.</w:t>
      </w:r>
      <w:r w:rsidRPr="00C8604A">
        <w:t>”  (</w:t>
      </w:r>
      <w:r w:rsidRPr="00C8604A">
        <w:rPr>
          <w:i/>
        </w:rPr>
        <w:t>Baugh v. Consumers Associates, Ltd</w:t>
      </w:r>
      <w:r w:rsidR="00433293">
        <w:rPr>
          <w:i/>
        </w:rPr>
        <w:t>.</w:t>
      </w:r>
      <w:r w:rsidRPr="00C8604A">
        <w:t xml:space="preserve"> (1966) 241 Cal.App.2d 672, 674</w:t>
      </w:r>
      <w:r w:rsidR="00742CCE" w:rsidRPr="00C8604A">
        <w:t>.</w:t>
      </w:r>
      <w:r w:rsidRPr="00C8604A">
        <w:t xml:space="preserve">)  </w:t>
      </w:r>
      <w:r w:rsidR="00742CCE" w:rsidRPr="00C8604A">
        <w:t xml:space="preserve">Because </w:t>
      </w:r>
      <w:r w:rsidR="007D00C0" w:rsidRPr="00C8604A">
        <w:t>Dr. </w:t>
      </w:r>
      <w:proofErr w:type="spellStart"/>
      <w:r w:rsidR="00742CCE" w:rsidRPr="00C8604A">
        <w:t>Leevil</w:t>
      </w:r>
      <w:proofErr w:type="spellEnd"/>
      <w:r w:rsidR="00742CCE" w:rsidRPr="00C8604A">
        <w:t xml:space="preserve"> served the three-day notice to quit before it perfected title, it </w:t>
      </w:r>
      <w:r w:rsidR="00624D14" w:rsidRPr="00C8604A">
        <w:t xml:space="preserve">did not </w:t>
      </w:r>
      <w:r w:rsidR="00742CCE" w:rsidRPr="00C8604A">
        <w:t xml:space="preserve">bring itself within the </w:t>
      </w:r>
      <w:r w:rsidR="00753C89" w:rsidRPr="00C8604A">
        <w:t>scope of section 1161a(b)</w:t>
      </w:r>
      <w:r w:rsidR="006F4E8D">
        <w:t>,</w:t>
      </w:r>
      <w:r w:rsidR="0006286C">
        <w:t xml:space="preserve"> as </w:t>
      </w:r>
      <w:r w:rsidR="006F4E8D">
        <w:t xml:space="preserve">that provision </w:t>
      </w:r>
      <w:r w:rsidR="0006286C">
        <w:t>is most naturally read</w:t>
      </w:r>
      <w:r w:rsidR="00DA6A95">
        <w:t>,</w:t>
      </w:r>
      <w:r w:rsidR="0006286C">
        <w:t xml:space="preserve"> </w:t>
      </w:r>
      <w:r w:rsidR="00742CCE" w:rsidRPr="00C8604A">
        <w:t>before taking the first step in the removal proce</w:t>
      </w:r>
      <w:r w:rsidR="00FA44E6" w:rsidRPr="00C8604A">
        <w:t>ss</w:t>
      </w:r>
      <w:r w:rsidR="00742CCE" w:rsidRPr="00C8604A">
        <w:t xml:space="preserve"> that the statute authorizes.  </w:t>
      </w:r>
      <w:r w:rsidR="008876DE" w:rsidRPr="00C8604A">
        <w:t>I</w:t>
      </w:r>
      <w:r w:rsidR="00624D14" w:rsidRPr="00C8604A">
        <w:t>ts notice to quit was</w:t>
      </w:r>
      <w:r w:rsidR="008876DE" w:rsidRPr="00C8604A">
        <w:t xml:space="preserve">, therefore, premature and </w:t>
      </w:r>
      <w:r w:rsidR="00624D14" w:rsidRPr="00C8604A">
        <w:t>void</w:t>
      </w:r>
      <w:r w:rsidR="00F3267C" w:rsidRPr="00C8604A">
        <w:t>, and it</w:t>
      </w:r>
      <w:r w:rsidR="00624D14" w:rsidRPr="00C8604A">
        <w:t>s unlawful detainer action</w:t>
      </w:r>
      <w:r w:rsidR="00A321D6" w:rsidRPr="00C8604A">
        <w:t xml:space="preserve">, </w:t>
      </w:r>
      <w:r w:rsidR="00FA44E6" w:rsidRPr="00C8604A">
        <w:t>improper</w:t>
      </w:r>
      <w:r w:rsidR="00624D14" w:rsidRPr="00C8604A">
        <w:t>.</w:t>
      </w:r>
    </w:p>
    <w:p w14:paraId="62CC73D1" w14:textId="77777777" w:rsidR="00855BB6" w:rsidRPr="00C8604A" w:rsidRDefault="005F531A" w:rsidP="00C8604A">
      <w:pPr>
        <w:tabs>
          <w:tab w:val="left" w:pos="1440"/>
        </w:tabs>
        <w:ind w:firstLine="720"/>
      </w:pPr>
      <w:r w:rsidRPr="00C8604A">
        <w:t xml:space="preserve">The Court of Appeal </w:t>
      </w:r>
      <w:r w:rsidR="00A321D6" w:rsidRPr="00C8604A">
        <w:t xml:space="preserve">rejected the foregoing reading of </w:t>
      </w:r>
      <w:r w:rsidR="009A3FC2" w:rsidRPr="00C8604A">
        <w:t xml:space="preserve">section 1161a(b) </w:t>
      </w:r>
      <w:r w:rsidRPr="00C8604A">
        <w:t>because it did not focus on the statut</w:t>
      </w:r>
      <w:r w:rsidR="00545799" w:rsidRPr="00C8604A">
        <w:t>e</w:t>
      </w:r>
      <w:r w:rsidR="004C0DDC" w:rsidRPr="00C8604A">
        <w:t>’</w:t>
      </w:r>
      <w:r w:rsidR="00545799" w:rsidRPr="00C8604A">
        <w:t xml:space="preserve">s </w:t>
      </w:r>
      <w:r w:rsidRPr="00C8604A">
        <w:t xml:space="preserve">structure.  </w:t>
      </w:r>
      <w:r w:rsidR="004C0DDC" w:rsidRPr="00C8604A">
        <w:t xml:space="preserve">As noted, section 1161a(b) </w:t>
      </w:r>
      <w:r w:rsidRPr="00C8604A">
        <w:t>opens with the phrase “</w:t>
      </w:r>
      <w:r w:rsidR="007D404D">
        <w:t>[</w:t>
      </w:r>
      <w:proofErr w:type="spellStart"/>
      <w:r w:rsidR="007D404D">
        <w:t>i</w:t>
      </w:r>
      <w:proofErr w:type="spellEnd"/>
      <w:r w:rsidR="007D404D">
        <w:t>]</w:t>
      </w:r>
      <w:r w:rsidRPr="00C8604A">
        <w:t xml:space="preserve">n any of the following cases,” </w:t>
      </w:r>
      <w:r w:rsidR="004C0DDC" w:rsidRPr="00C8604A">
        <w:t xml:space="preserve">and it </w:t>
      </w:r>
      <w:r w:rsidRPr="00C8604A">
        <w:t>enumerates</w:t>
      </w:r>
      <w:r w:rsidR="007D404D">
        <w:t xml:space="preserve"> </w:t>
      </w:r>
      <w:r w:rsidRPr="00C8604A">
        <w:t xml:space="preserve">five </w:t>
      </w:r>
      <w:r w:rsidR="00433293">
        <w:t xml:space="preserve">separate </w:t>
      </w:r>
      <w:r w:rsidR="004C0DDC" w:rsidRPr="00C8604A">
        <w:t>situations</w:t>
      </w:r>
      <w:r w:rsidR="00545799" w:rsidRPr="00C8604A">
        <w:t>,</w:t>
      </w:r>
      <w:r w:rsidRPr="00C8604A">
        <w:t xml:space="preserve"> one of which must be satisfied </w:t>
      </w:r>
      <w:r w:rsidR="00FA44E6" w:rsidRPr="00C8604A">
        <w:t xml:space="preserve">before </w:t>
      </w:r>
      <w:r w:rsidRPr="00C8604A">
        <w:t>the substantive provision of the statute ha</w:t>
      </w:r>
      <w:r w:rsidR="00FA44E6" w:rsidRPr="00C8604A">
        <w:t xml:space="preserve">s </w:t>
      </w:r>
      <w:r w:rsidRPr="00C8604A">
        <w:t xml:space="preserve">any operative effect.  The Court of Appeal ignored that </w:t>
      </w:r>
      <w:r w:rsidR="00545799" w:rsidRPr="00C8604A">
        <w:t xml:space="preserve">structure, instead </w:t>
      </w:r>
      <w:r w:rsidR="00181CF6" w:rsidRPr="00C8604A">
        <w:t xml:space="preserve">construing </w:t>
      </w:r>
      <w:r w:rsidR="00545799" w:rsidRPr="00C8604A">
        <w:t xml:space="preserve">the statute as if </w:t>
      </w:r>
      <w:r w:rsidR="004C0DDC" w:rsidRPr="00C8604A">
        <w:t xml:space="preserve">the opening phrase were omitted and as if </w:t>
      </w:r>
      <w:r w:rsidR="00FA44E6" w:rsidRPr="00C8604A">
        <w:t xml:space="preserve">the requirements of </w:t>
      </w:r>
      <w:r w:rsidR="00E262E1">
        <w:t>section 1161a(b)</w:t>
      </w:r>
      <w:r w:rsidR="00545799" w:rsidRPr="00C8604A">
        <w:t xml:space="preserve">(3) merely </w:t>
      </w:r>
      <w:r w:rsidR="004C0DDC" w:rsidRPr="00C8604A">
        <w:t xml:space="preserve">qualified </w:t>
      </w:r>
      <w:r w:rsidR="002B2D0F" w:rsidRPr="00C8604A">
        <w:t>the words “may be removed</w:t>
      </w:r>
      <w:r w:rsidR="003E2489" w:rsidRPr="00C8604A">
        <w:t>.</w:t>
      </w:r>
      <w:r w:rsidR="002B2D0F" w:rsidRPr="00C8604A">
        <w:t>”</w:t>
      </w:r>
      <w:r w:rsidR="003E2489" w:rsidRPr="00C8604A">
        <w:t xml:space="preserve"> </w:t>
      </w:r>
      <w:r w:rsidR="002B2D0F" w:rsidRPr="00C8604A">
        <w:t xml:space="preserve"> </w:t>
      </w:r>
      <w:r w:rsidR="00E262E1">
        <w:t xml:space="preserve">(§ 1161a(b).)  </w:t>
      </w:r>
      <w:r w:rsidR="003E2489" w:rsidRPr="00C8604A">
        <w:t>Based on that reading</w:t>
      </w:r>
      <w:r w:rsidR="00CC0A7E" w:rsidRPr="00C8604A">
        <w:t>,</w:t>
      </w:r>
      <w:r w:rsidR="003E2489" w:rsidRPr="00C8604A">
        <w:t xml:space="preserve"> the Court of Appeal </w:t>
      </w:r>
      <w:r w:rsidR="002B2D0F" w:rsidRPr="00C8604A">
        <w:t>conclud</w:t>
      </w:r>
      <w:r w:rsidR="003E2489" w:rsidRPr="00C8604A">
        <w:t>ed</w:t>
      </w:r>
      <w:r w:rsidR="002B2D0F" w:rsidRPr="00C8604A">
        <w:t xml:space="preserve"> that a holdover possessor of real property “may be removed”</w:t>
      </w:r>
      <w:r w:rsidR="00FA44E6" w:rsidRPr="00C8604A">
        <w:t xml:space="preserve"> </w:t>
      </w:r>
      <w:r w:rsidR="00E262E1">
        <w:t xml:space="preserve">(§ 1161a(b)) </w:t>
      </w:r>
      <w:r w:rsidR="002B2D0F" w:rsidRPr="00C8604A">
        <w:t xml:space="preserve">only </w:t>
      </w:r>
      <w:r w:rsidR="009A3FC2" w:rsidRPr="00C8604A">
        <w:t xml:space="preserve">after </w:t>
      </w:r>
      <w:r w:rsidR="00E262E1">
        <w:t>section 1161a(b)</w:t>
      </w:r>
      <w:r w:rsidR="002B2D0F" w:rsidRPr="00C8604A">
        <w:t xml:space="preserve">(3) is satisfied, but the three-day </w:t>
      </w:r>
      <w:r w:rsidR="00CC0A7E" w:rsidRPr="00C8604A">
        <w:t xml:space="preserve">written </w:t>
      </w:r>
      <w:r w:rsidR="002B2D0F" w:rsidRPr="00C8604A">
        <w:t xml:space="preserve">notice </w:t>
      </w:r>
      <w:r w:rsidR="009A3FC2" w:rsidRPr="00C8604A">
        <w:t xml:space="preserve">to quit </w:t>
      </w:r>
      <w:r w:rsidR="002B2D0F" w:rsidRPr="00C8604A">
        <w:t xml:space="preserve">may be served </w:t>
      </w:r>
      <w:r w:rsidR="00CC0A7E" w:rsidRPr="00C8604A">
        <w:rPr>
          <w:i/>
        </w:rPr>
        <w:t>before</w:t>
      </w:r>
      <w:r w:rsidR="00CC0A7E" w:rsidRPr="00C8604A">
        <w:t xml:space="preserve"> </w:t>
      </w:r>
      <w:r w:rsidR="00E262E1">
        <w:t>section 1161a(b)</w:t>
      </w:r>
      <w:r w:rsidR="00F02114" w:rsidRPr="00C8604A">
        <w:t>(3) is satisfied</w:t>
      </w:r>
      <w:r w:rsidR="003E2489" w:rsidRPr="00C8604A">
        <w:t>, because the three-day notice does not</w:t>
      </w:r>
      <w:r w:rsidR="0071370F" w:rsidRPr="00C8604A">
        <w:t xml:space="preserve">, by itself, remove </w:t>
      </w:r>
      <w:r w:rsidR="00CC0A7E" w:rsidRPr="00C8604A">
        <w:t>the property’s possessor</w:t>
      </w:r>
      <w:r w:rsidR="00F02114" w:rsidRPr="00C8604A">
        <w:t xml:space="preserve">.  </w:t>
      </w:r>
      <w:r w:rsidR="00C71E68" w:rsidRPr="00C8604A">
        <w:t>(</w:t>
      </w:r>
      <w:r w:rsidR="007D00C0" w:rsidRPr="00C8604A">
        <w:rPr>
          <w:i/>
        </w:rPr>
        <w:t>Dr. </w:t>
      </w:r>
      <w:proofErr w:type="spellStart"/>
      <w:r w:rsidR="00C71E68" w:rsidRPr="00C8604A">
        <w:rPr>
          <w:i/>
        </w:rPr>
        <w:t>Leevil</w:t>
      </w:r>
      <w:proofErr w:type="spellEnd"/>
      <w:r w:rsidR="00C71E68" w:rsidRPr="00C8604A">
        <w:rPr>
          <w:i/>
        </w:rPr>
        <w:t>, LLC v. Westlake Health Care Center</w:t>
      </w:r>
      <w:r w:rsidR="005D374A" w:rsidRPr="00C8604A">
        <w:t xml:space="preserve">, </w:t>
      </w:r>
      <w:r w:rsidR="005D374A" w:rsidRPr="00C8604A">
        <w:rPr>
          <w:i/>
        </w:rPr>
        <w:t>supra</w:t>
      </w:r>
      <w:r w:rsidR="005D374A" w:rsidRPr="00C8604A">
        <w:t xml:space="preserve">, </w:t>
      </w:r>
      <w:r w:rsidR="00C71E68" w:rsidRPr="00C8604A">
        <w:t xml:space="preserve">9 Cal.App.5th </w:t>
      </w:r>
      <w:r w:rsidR="005D374A" w:rsidRPr="00C8604A">
        <w:t xml:space="preserve">at pp. </w:t>
      </w:r>
      <w:r w:rsidR="00C71E68" w:rsidRPr="00C8604A">
        <w:t>456</w:t>
      </w:r>
      <w:r w:rsidR="003E2489" w:rsidRPr="00C8604A">
        <w:t>–457</w:t>
      </w:r>
      <w:r w:rsidR="00C71E68" w:rsidRPr="00C8604A">
        <w:t xml:space="preserve">.)  </w:t>
      </w:r>
      <w:r w:rsidR="00F02114" w:rsidRPr="00C8604A">
        <w:t>I</w:t>
      </w:r>
      <w:r w:rsidR="001C0BF3" w:rsidRPr="00C8604A">
        <w:t xml:space="preserve">n so </w:t>
      </w:r>
      <w:r w:rsidR="00CC0A7E" w:rsidRPr="00C8604A">
        <w:t>concluding</w:t>
      </w:r>
      <w:r w:rsidR="001C0BF3" w:rsidRPr="00C8604A">
        <w:t>, the Court of Appeal</w:t>
      </w:r>
      <w:r w:rsidR="006F4E8D">
        <w:t xml:space="preserve"> </w:t>
      </w:r>
      <w:r w:rsidR="001C0BF3" w:rsidRPr="00C8604A">
        <w:t>failed</w:t>
      </w:r>
      <w:r w:rsidR="006F4E8D">
        <w:t xml:space="preserve"> </w:t>
      </w:r>
      <w:r w:rsidR="001C0BF3" w:rsidRPr="00C8604A">
        <w:t>to</w:t>
      </w:r>
      <w:r w:rsidR="006F4E8D">
        <w:t xml:space="preserve"> discern the most natural reading of </w:t>
      </w:r>
      <w:r w:rsidR="00771F6E" w:rsidRPr="00C8604A">
        <w:t>section 1161a(b)</w:t>
      </w:r>
      <w:r w:rsidR="001C0BF3" w:rsidRPr="00C8604A">
        <w:t>.</w:t>
      </w:r>
    </w:p>
    <w:p w14:paraId="58840891" w14:textId="77777777" w:rsidR="00A45837" w:rsidRPr="00C8604A" w:rsidRDefault="006F4E8D" w:rsidP="00C8604A">
      <w:pPr>
        <w:tabs>
          <w:tab w:val="left" w:pos="1440"/>
        </w:tabs>
        <w:ind w:firstLine="720"/>
      </w:pPr>
      <w:r>
        <w:t>That reading, m</w:t>
      </w:r>
      <w:r w:rsidR="00AE6ECD" w:rsidRPr="00C8604A">
        <w:t>oreover,</w:t>
      </w:r>
      <w:r>
        <w:t xml:space="preserve"> </w:t>
      </w:r>
      <w:r w:rsidR="00AE6ECD" w:rsidRPr="00C8604A">
        <w:t xml:space="preserve">is confirmed by consideration of </w:t>
      </w:r>
      <w:r w:rsidR="009D30CA" w:rsidRPr="00C8604A">
        <w:t>the broader context in which section 1161a(b) was enacted</w:t>
      </w:r>
      <w:r w:rsidR="00664C00" w:rsidRPr="00C8604A">
        <w:t xml:space="preserve">.  </w:t>
      </w:r>
      <w:r w:rsidR="009D30CA" w:rsidRPr="00C8604A">
        <w:t>(</w:t>
      </w:r>
      <w:r w:rsidR="00E262E1">
        <w:t xml:space="preserve">See, e.g., </w:t>
      </w:r>
      <w:r w:rsidR="009D30CA" w:rsidRPr="00C8604A">
        <w:rPr>
          <w:i/>
        </w:rPr>
        <w:t>People v. Woodhead</w:t>
      </w:r>
      <w:r w:rsidR="009D30CA" w:rsidRPr="00C8604A">
        <w:t xml:space="preserve"> (1987) 43 Cal.3d 1002, 1008 </w:t>
      </w:r>
      <w:r w:rsidR="005C6A90" w:rsidRPr="00C8604A">
        <w:t>[“</w:t>
      </w:r>
      <w:r w:rsidR="009D30CA" w:rsidRPr="00C8604A">
        <w:t xml:space="preserve">When the </w:t>
      </w:r>
      <w:r w:rsidR="005C6A90" w:rsidRPr="00C8604A">
        <w:t xml:space="preserve">[statutory] </w:t>
      </w:r>
      <w:r w:rsidR="009D30CA" w:rsidRPr="00C8604A">
        <w:t>language is susceptible of more than one reasonable interpretation,</w:t>
      </w:r>
      <w:r w:rsidR="005C6A90" w:rsidRPr="00C8604A">
        <w:t xml:space="preserve"> . . . </w:t>
      </w:r>
      <w:r w:rsidR="009D30CA" w:rsidRPr="00C8604A">
        <w:t>we look to a variety of extrinsic aids, including the ostensible objects to be achieved, the evils to be remedied, the legislative history, public policy, contemporaneous administrative construction, and the statutory scheme of which the statute is a part</w:t>
      </w:r>
      <w:r w:rsidR="00090A8D" w:rsidRPr="00C8604A">
        <w:t>”</w:t>
      </w:r>
      <w:r w:rsidR="009D30CA" w:rsidRPr="00C8604A">
        <w:t>].)</w:t>
      </w:r>
      <w:r w:rsidR="00FC600B" w:rsidRPr="00C8604A">
        <w:t xml:space="preserve">  </w:t>
      </w:r>
      <w:r w:rsidR="00664C00" w:rsidRPr="00C8604A">
        <w:t xml:space="preserve">The unlawful detainer </w:t>
      </w:r>
      <w:r w:rsidR="00CC0A7E" w:rsidRPr="00C8604A">
        <w:t xml:space="preserve">action </w:t>
      </w:r>
      <w:r w:rsidR="00664C00" w:rsidRPr="00C8604A">
        <w:t>was created to provide property owners who sought to recover possession of their property with a</w:t>
      </w:r>
      <w:r w:rsidR="004E339F" w:rsidRPr="00C8604A">
        <w:t xml:space="preserve"> relatively </w:t>
      </w:r>
      <w:r w:rsidR="00664C00" w:rsidRPr="00C8604A">
        <w:t xml:space="preserve">inexpensive </w:t>
      </w:r>
      <w:r w:rsidR="004E339F" w:rsidRPr="00C8604A">
        <w:t xml:space="preserve">and quick </w:t>
      </w:r>
      <w:r w:rsidR="00CC0A7E" w:rsidRPr="00C8604A">
        <w:t>legal remedy</w:t>
      </w:r>
      <w:r w:rsidR="00664C00" w:rsidRPr="00C8604A">
        <w:t>, thus discouraging property owners from</w:t>
      </w:r>
      <w:r w:rsidR="002A7A70" w:rsidRPr="00C8604A">
        <w:t xml:space="preserve"> resorting to self-help</w:t>
      </w:r>
      <w:r w:rsidR="00CC0A7E" w:rsidRPr="00C8604A">
        <w:t xml:space="preserve"> methods</w:t>
      </w:r>
      <w:r w:rsidR="00664C00" w:rsidRPr="00C8604A">
        <w:t>.  In 1917,</w:t>
      </w:r>
      <w:r w:rsidR="00090A8D" w:rsidRPr="00C8604A">
        <w:t xml:space="preserve"> </w:t>
      </w:r>
      <w:r w:rsidR="00AE6ECD" w:rsidRPr="00C8604A">
        <w:t xml:space="preserve">however, </w:t>
      </w:r>
      <w:r w:rsidR="00664C00" w:rsidRPr="00C8604A">
        <w:t xml:space="preserve">this court decided </w:t>
      </w:r>
      <w:r w:rsidR="00664C00" w:rsidRPr="00C8604A">
        <w:rPr>
          <w:i/>
        </w:rPr>
        <w:t>Francis v. West Virginia Oil Co.</w:t>
      </w:r>
      <w:r w:rsidR="00664C00" w:rsidRPr="00C8604A">
        <w:t xml:space="preserve"> (1917) 174 Cal. 168, holding that </w:t>
      </w:r>
      <w:r w:rsidR="00CC0A7E" w:rsidRPr="00C8604A">
        <w:t xml:space="preserve">the </w:t>
      </w:r>
      <w:r w:rsidR="00664C00" w:rsidRPr="00C8604A">
        <w:t xml:space="preserve">unlawful detainer </w:t>
      </w:r>
      <w:r w:rsidR="002A7A70" w:rsidRPr="00C8604A">
        <w:t xml:space="preserve">remedy was </w:t>
      </w:r>
      <w:r w:rsidR="00664C00" w:rsidRPr="00C8604A">
        <w:t>limited to landlord–tenant disputes, and ther</w:t>
      </w:r>
      <w:r w:rsidR="002A7A70" w:rsidRPr="00C8604A">
        <w:t>e</w:t>
      </w:r>
      <w:r w:rsidR="00664C00" w:rsidRPr="00C8604A">
        <w:t>f</w:t>
      </w:r>
      <w:r w:rsidR="002A7A70" w:rsidRPr="00C8604A">
        <w:t>o</w:t>
      </w:r>
      <w:r w:rsidR="00664C00" w:rsidRPr="00C8604A">
        <w:t xml:space="preserve">re a new owner could not bring an unlawful detainer action against </w:t>
      </w:r>
      <w:r w:rsidR="00CC0A7E" w:rsidRPr="00C8604A">
        <w:t xml:space="preserve">a </w:t>
      </w:r>
      <w:r w:rsidR="00664C00" w:rsidRPr="00C8604A">
        <w:t xml:space="preserve">former owner who refused to relinquish possession.  </w:t>
      </w:r>
      <w:r w:rsidR="002A7A70" w:rsidRPr="00C8604A">
        <w:t>I</w:t>
      </w:r>
      <w:r w:rsidR="00664C00" w:rsidRPr="00C8604A">
        <w:t xml:space="preserve">n 1929, </w:t>
      </w:r>
      <w:r w:rsidR="002A7A70" w:rsidRPr="00C8604A">
        <w:t xml:space="preserve">in apparent response to </w:t>
      </w:r>
      <w:r w:rsidR="004E339F" w:rsidRPr="00C8604A">
        <w:rPr>
          <w:i/>
        </w:rPr>
        <w:t>Francis</w:t>
      </w:r>
      <w:r w:rsidR="002A7A70" w:rsidRPr="00C8604A">
        <w:t xml:space="preserve">, </w:t>
      </w:r>
      <w:r w:rsidR="00664C00" w:rsidRPr="00C8604A">
        <w:t>section 1161a was added to the Code of Civil Procedure</w:t>
      </w:r>
      <w:r w:rsidR="002A7A70" w:rsidRPr="00C8604A">
        <w:t xml:space="preserve">, </w:t>
      </w:r>
      <w:r w:rsidR="00664C00" w:rsidRPr="00C8604A">
        <w:t>expand</w:t>
      </w:r>
      <w:r w:rsidR="002A7A70" w:rsidRPr="00C8604A">
        <w:t>ing</w:t>
      </w:r>
      <w:r w:rsidR="00664C00" w:rsidRPr="00C8604A">
        <w:t xml:space="preserve"> the unlawful detainer remedy</w:t>
      </w:r>
      <w:r w:rsidR="002A7A70" w:rsidRPr="00C8604A">
        <w:t xml:space="preserve"> to </w:t>
      </w:r>
      <w:r w:rsidR="00664C00" w:rsidRPr="00C8604A">
        <w:t xml:space="preserve">bring within </w:t>
      </w:r>
      <w:r w:rsidR="004E339F" w:rsidRPr="00C8604A">
        <w:t xml:space="preserve">its </w:t>
      </w:r>
      <w:r w:rsidR="00664C00" w:rsidRPr="00C8604A">
        <w:t>scope</w:t>
      </w:r>
      <w:r w:rsidR="004E339F" w:rsidRPr="00C8604A">
        <w:t xml:space="preserve"> actions by property </w:t>
      </w:r>
      <w:r w:rsidR="00664C00" w:rsidRPr="00C8604A">
        <w:t>owners who acquired ownership as a result of</w:t>
      </w:r>
      <w:r w:rsidR="00E262E1">
        <w:t>:</w:t>
      </w:r>
      <w:r w:rsidR="00664C00" w:rsidRPr="00C8604A">
        <w:t xml:space="preserve"> </w:t>
      </w:r>
      <w:r w:rsidR="00E262E1">
        <w:t xml:space="preserve"> </w:t>
      </w:r>
      <w:r w:rsidR="00664C00" w:rsidRPr="00C8604A">
        <w:t>(1) an execution against the former owner, (2) a foreclosure of a mortgage executed by the former owner, or (3) a power</w:t>
      </w:r>
      <w:r w:rsidR="00E262E1">
        <w:t xml:space="preserve"> </w:t>
      </w:r>
      <w:r w:rsidR="00664C00" w:rsidRPr="00C8604A">
        <w:t>of</w:t>
      </w:r>
      <w:r w:rsidR="00E262E1">
        <w:t xml:space="preserve"> </w:t>
      </w:r>
      <w:r w:rsidR="00664C00" w:rsidRPr="00C8604A">
        <w:t>sale clause in a deed of trust executed by the former owner.  (Stats. 1929, ch. 393, § 1, p. 719</w:t>
      </w:r>
      <w:r w:rsidR="00385082" w:rsidRPr="00C8604A">
        <w:t xml:space="preserve">; see </w:t>
      </w:r>
      <w:r w:rsidR="00385082" w:rsidRPr="00C8604A">
        <w:rPr>
          <w:i/>
        </w:rPr>
        <w:t>Vella v. Hudgins</w:t>
      </w:r>
      <w:r w:rsidR="00385082" w:rsidRPr="00C8604A">
        <w:t xml:space="preserve"> (1977) 20 Cal.3d 251, 255</w:t>
      </w:r>
      <w:r w:rsidR="00A45837" w:rsidRPr="00C8604A">
        <w:rPr>
          <w:szCs w:val="26"/>
        </w:rPr>
        <w:t xml:space="preserve"> (</w:t>
      </w:r>
      <w:r w:rsidR="00A45837" w:rsidRPr="00C8604A">
        <w:rPr>
          <w:i/>
          <w:szCs w:val="26"/>
        </w:rPr>
        <w:t>Vella</w:t>
      </w:r>
      <w:r w:rsidR="00A45837" w:rsidRPr="00C8604A">
        <w:rPr>
          <w:szCs w:val="26"/>
        </w:rPr>
        <w:t>)</w:t>
      </w:r>
      <w:r w:rsidR="00664C00" w:rsidRPr="00C8604A">
        <w:t xml:space="preserve">.)  Since 1929, </w:t>
      </w:r>
      <w:r w:rsidR="002E6269">
        <w:t xml:space="preserve">section 1161a </w:t>
      </w:r>
      <w:r w:rsidR="00664C00" w:rsidRPr="00C8604A">
        <w:t xml:space="preserve">has been expanded in several ways, but as </w:t>
      </w:r>
      <w:r w:rsidR="00AE6ECD" w:rsidRPr="00C8604A">
        <w:t xml:space="preserve">to </w:t>
      </w:r>
      <w:r w:rsidR="002A7A70" w:rsidRPr="00C8604A">
        <w:t>its general structure</w:t>
      </w:r>
      <w:r w:rsidR="00664C00" w:rsidRPr="00C8604A">
        <w:t xml:space="preserve">, it has not been substantively changed.  </w:t>
      </w:r>
      <w:r w:rsidR="00D9747C" w:rsidRPr="00C8604A">
        <w:t>Significantly, t</w:t>
      </w:r>
      <w:r w:rsidR="00664C00" w:rsidRPr="00C8604A">
        <w:t>here is no indication</w:t>
      </w:r>
      <w:r w:rsidR="00D9747C" w:rsidRPr="00C8604A">
        <w:t>,</w:t>
      </w:r>
      <w:r w:rsidR="00664C00" w:rsidRPr="00C8604A">
        <w:t xml:space="preserve"> </w:t>
      </w:r>
      <w:r w:rsidR="004E339F" w:rsidRPr="00C8604A">
        <w:t>in the history of</w:t>
      </w:r>
      <w:r w:rsidR="00321AD4" w:rsidRPr="00C8604A">
        <w:t xml:space="preserve"> </w:t>
      </w:r>
      <w:r w:rsidR="00C473E2" w:rsidRPr="00C8604A">
        <w:t>section 1161a</w:t>
      </w:r>
      <w:r w:rsidR="00321AD4" w:rsidRPr="00C8604A">
        <w:t xml:space="preserve"> </w:t>
      </w:r>
      <w:r w:rsidR="004E339F" w:rsidRPr="00C8604A">
        <w:t xml:space="preserve">or </w:t>
      </w:r>
      <w:r w:rsidR="00664C00" w:rsidRPr="00C8604A">
        <w:t xml:space="preserve">in </w:t>
      </w:r>
      <w:r w:rsidR="00624C5C" w:rsidRPr="00C8604A">
        <w:t xml:space="preserve">the </w:t>
      </w:r>
      <w:r w:rsidR="00664C00" w:rsidRPr="00C8604A">
        <w:t>case</w:t>
      </w:r>
      <w:r w:rsidR="00321AD4" w:rsidRPr="00C8604A">
        <w:t xml:space="preserve"> </w:t>
      </w:r>
      <w:r w:rsidR="00664C00" w:rsidRPr="00C8604A">
        <w:t>law</w:t>
      </w:r>
      <w:r w:rsidR="00A45837" w:rsidRPr="00C8604A">
        <w:t xml:space="preserve"> interpreting </w:t>
      </w:r>
      <w:r w:rsidR="00321AD4" w:rsidRPr="00C8604A">
        <w:t>it</w:t>
      </w:r>
      <w:r w:rsidR="00D9747C" w:rsidRPr="00C8604A">
        <w:t>,</w:t>
      </w:r>
      <w:r w:rsidR="004E339F" w:rsidRPr="00C8604A">
        <w:t xml:space="preserve"> </w:t>
      </w:r>
      <w:r w:rsidR="00664C00" w:rsidRPr="00C8604A">
        <w:t xml:space="preserve">that the Legislature intended the unlawful detainer remedy that </w:t>
      </w:r>
      <w:r w:rsidR="00A45837" w:rsidRPr="00C8604A">
        <w:t xml:space="preserve">the statute </w:t>
      </w:r>
      <w:r w:rsidR="00664C00" w:rsidRPr="00C8604A">
        <w:t>afford</w:t>
      </w:r>
      <w:r w:rsidR="002A7A70" w:rsidRPr="00C8604A">
        <w:t xml:space="preserve">s </w:t>
      </w:r>
      <w:r w:rsidR="00664C00" w:rsidRPr="00C8604A">
        <w:t xml:space="preserve">to be available to </w:t>
      </w:r>
      <w:r w:rsidR="00624C5C" w:rsidRPr="00C8604A">
        <w:t xml:space="preserve">a </w:t>
      </w:r>
      <w:r w:rsidR="00664C00" w:rsidRPr="00C8604A">
        <w:t>part</w:t>
      </w:r>
      <w:r w:rsidR="00624C5C" w:rsidRPr="00C8604A">
        <w:t>y</w:t>
      </w:r>
      <w:r w:rsidR="00664C00" w:rsidRPr="00C8604A">
        <w:t xml:space="preserve"> that d</w:t>
      </w:r>
      <w:r w:rsidR="002A7A70" w:rsidRPr="00C8604A">
        <w:t>o</w:t>
      </w:r>
      <w:r w:rsidR="00624C5C" w:rsidRPr="00C8604A">
        <w:t>es</w:t>
      </w:r>
      <w:r w:rsidR="00664C00" w:rsidRPr="00C8604A">
        <w:t xml:space="preserve"> not strictly satisfy </w:t>
      </w:r>
      <w:r w:rsidR="002A7A70" w:rsidRPr="00C8604A">
        <w:t xml:space="preserve">all </w:t>
      </w:r>
      <w:r w:rsidR="00671EF6" w:rsidRPr="00C8604A">
        <w:t xml:space="preserve">the conditions of one of the </w:t>
      </w:r>
      <w:r w:rsidR="00321AD4" w:rsidRPr="00C8604A">
        <w:t xml:space="preserve">statute’s </w:t>
      </w:r>
      <w:r w:rsidR="00671EF6" w:rsidRPr="00C8604A">
        <w:t>“cases</w:t>
      </w:r>
      <w:r w:rsidR="00321AD4" w:rsidRPr="00C8604A">
        <w:t>.</w:t>
      </w:r>
      <w:r w:rsidR="00671EF6" w:rsidRPr="00C8604A">
        <w:t>”</w:t>
      </w:r>
    </w:p>
    <w:p w14:paraId="5C49953D" w14:textId="77777777" w:rsidR="00F533DB" w:rsidRPr="00C8604A" w:rsidRDefault="007D00C0" w:rsidP="00C8604A">
      <w:pPr>
        <w:tabs>
          <w:tab w:val="left" w:pos="1440"/>
        </w:tabs>
        <w:ind w:firstLine="720"/>
      </w:pPr>
      <w:r w:rsidRPr="00C8604A">
        <w:t>Dr. </w:t>
      </w:r>
      <w:proofErr w:type="spellStart"/>
      <w:r w:rsidR="00F02114" w:rsidRPr="00C8604A">
        <w:t>Leevil</w:t>
      </w:r>
      <w:proofErr w:type="spellEnd"/>
      <w:r w:rsidR="00F02114" w:rsidRPr="00C8604A">
        <w:t xml:space="preserve"> argues that </w:t>
      </w:r>
      <w:r w:rsidR="00A10272" w:rsidRPr="00C8604A">
        <w:t>the</w:t>
      </w:r>
      <w:r w:rsidR="00F02114" w:rsidRPr="00C8604A">
        <w:t xml:space="preserve"> perfection of </w:t>
      </w:r>
      <w:r w:rsidR="002E6269">
        <w:t xml:space="preserve">its </w:t>
      </w:r>
      <w:r w:rsidR="00F02114" w:rsidRPr="00C8604A">
        <w:t xml:space="preserve">title </w:t>
      </w:r>
      <w:r w:rsidR="00207BA1" w:rsidRPr="00C8604A">
        <w:t>— which occurred six days after the sale</w:t>
      </w:r>
      <w:r w:rsidR="002A7A70" w:rsidRPr="00C8604A">
        <w:t xml:space="preserve"> </w:t>
      </w:r>
      <w:r w:rsidR="00207BA1" w:rsidRPr="00C8604A">
        <w:t xml:space="preserve">— </w:t>
      </w:r>
      <w:r w:rsidR="00F02114" w:rsidRPr="00C8604A">
        <w:t xml:space="preserve">was retroactive to the </w:t>
      </w:r>
      <w:r w:rsidR="002A7A70" w:rsidRPr="00C8604A">
        <w:t xml:space="preserve">original </w:t>
      </w:r>
      <w:r w:rsidR="00A10272" w:rsidRPr="00C8604A">
        <w:t xml:space="preserve">sale </w:t>
      </w:r>
      <w:r w:rsidR="00F02114" w:rsidRPr="00C8604A">
        <w:t>date under Civil Code section 2924h, subdivision (c)</w:t>
      </w:r>
      <w:r w:rsidR="00DB3493" w:rsidRPr="00C8604A">
        <w:t xml:space="preserve"> (section 2924h(c))</w:t>
      </w:r>
      <w:r w:rsidR="00847FE3" w:rsidRPr="00C8604A">
        <w:t xml:space="preserve">.  </w:t>
      </w:r>
      <w:r w:rsidR="00624C5C" w:rsidRPr="00C8604A">
        <w:t xml:space="preserve">Section 2924h(c) </w:t>
      </w:r>
      <w:r w:rsidR="00F02114" w:rsidRPr="00C8604A">
        <w:t xml:space="preserve">governs the means by which payment can be made at a trustee’s sale, and it </w:t>
      </w:r>
      <w:r w:rsidR="00A10272" w:rsidRPr="00C8604A">
        <w:t xml:space="preserve">expressly </w:t>
      </w:r>
      <w:r w:rsidR="00F02114" w:rsidRPr="00C8604A">
        <w:t xml:space="preserve">permits the trustee to withhold the </w:t>
      </w:r>
      <w:r w:rsidR="004E339F" w:rsidRPr="00C8604A">
        <w:t xml:space="preserve">trustee’s </w:t>
      </w:r>
      <w:r w:rsidR="00F02114" w:rsidRPr="00C8604A">
        <w:t xml:space="preserve">deed until the </w:t>
      </w:r>
      <w:r w:rsidR="00DB3493" w:rsidRPr="00C8604A">
        <w:t xml:space="preserve">funds constituting the </w:t>
      </w:r>
      <w:r w:rsidR="00207BA1" w:rsidRPr="00C8604A">
        <w:t xml:space="preserve">purchase </w:t>
      </w:r>
      <w:r w:rsidR="00DB3493" w:rsidRPr="00C8604A">
        <w:t xml:space="preserve">price </w:t>
      </w:r>
      <w:r w:rsidR="00F02114" w:rsidRPr="00C8604A">
        <w:t>become available</w:t>
      </w:r>
      <w:r w:rsidR="00207BA1" w:rsidRPr="00C8604A">
        <w:t xml:space="preserve"> to the payee.  It provides:</w:t>
      </w:r>
      <w:r w:rsidR="00F02114" w:rsidRPr="00C8604A">
        <w:t xml:space="preserve">  </w:t>
      </w:r>
      <w:r w:rsidR="00207BA1" w:rsidRPr="00C8604A">
        <w:t xml:space="preserve">“In the event the trustee accepts a check drawn by a credit union or a savings and loan association pursuant to this subdivision or a cash equivalent designated in the notice of sale, the trustee may withhold the issuance of the trustee’s deed to the successful bidder . . . until funds become available to the payee or endorsee as a matter of right.  [¶]  For the purposes of this subdivision, the trustee’s sale shall be deemed final upon the acceptance of the last and highest bid, and </w:t>
      </w:r>
      <w:r w:rsidR="00207BA1" w:rsidRPr="00C8604A">
        <w:rPr>
          <w:i/>
        </w:rPr>
        <w:t>shall be deemed perfected as of 8 a.m. on the actual date of sale if the trustee’s deed is recorded within 15 calendar days after the sale</w:t>
      </w:r>
      <w:r w:rsidR="00207BA1" w:rsidRPr="00C8604A">
        <w:t> . . . .”  (§ 29</w:t>
      </w:r>
      <w:r w:rsidR="001B77A5" w:rsidRPr="00C8604A">
        <w:t>2</w:t>
      </w:r>
      <w:r w:rsidR="00207BA1" w:rsidRPr="00C8604A">
        <w:t>4h(c)</w:t>
      </w:r>
      <w:r w:rsidR="00DB3493" w:rsidRPr="00C8604A">
        <w:t>, italics added</w:t>
      </w:r>
      <w:r w:rsidR="00207BA1" w:rsidRPr="00C8604A">
        <w:t>.)</w:t>
      </w:r>
    </w:p>
    <w:p w14:paraId="0DEF3AF3" w14:textId="77777777" w:rsidR="00DB3493" w:rsidRPr="00C8604A" w:rsidRDefault="00AF1FFF" w:rsidP="00C8604A">
      <w:pPr>
        <w:tabs>
          <w:tab w:val="left" w:pos="1440"/>
        </w:tabs>
        <w:ind w:firstLine="720"/>
      </w:pPr>
      <w:r w:rsidRPr="00C8604A">
        <w:t xml:space="preserve">The purpose of </w:t>
      </w:r>
      <w:r w:rsidR="00DB3493" w:rsidRPr="00C8604A">
        <w:t xml:space="preserve">section 2924h(c) </w:t>
      </w:r>
      <w:r w:rsidRPr="00C8604A">
        <w:t xml:space="preserve">is clear from its text.  A bidder </w:t>
      </w:r>
      <w:r w:rsidR="00F533DB" w:rsidRPr="00C8604A">
        <w:t xml:space="preserve">at a trustee’s sale </w:t>
      </w:r>
      <w:r w:rsidRPr="00C8604A">
        <w:t xml:space="preserve">might present a check for the purchase price of the property, but </w:t>
      </w:r>
      <w:r w:rsidR="00D3666F" w:rsidRPr="00C8604A">
        <w:t xml:space="preserve">whether </w:t>
      </w:r>
      <w:r w:rsidRPr="00C8604A">
        <w:t xml:space="preserve">the </w:t>
      </w:r>
      <w:r w:rsidR="00F533DB" w:rsidRPr="00C8604A">
        <w:t xml:space="preserve">bank </w:t>
      </w:r>
      <w:r w:rsidRPr="00C8604A">
        <w:t xml:space="preserve">account on which the check is drawn </w:t>
      </w:r>
      <w:r w:rsidR="002F4A66" w:rsidRPr="00C8604A">
        <w:t xml:space="preserve">contains </w:t>
      </w:r>
      <w:r w:rsidRPr="00C8604A">
        <w:t>sufficient funds to cover the amount of the check</w:t>
      </w:r>
      <w:r w:rsidR="002F4A66" w:rsidRPr="00C8604A">
        <w:t xml:space="preserve"> rema</w:t>
      </w:r>
      <w:r w:rsidR="00EF5660" w:rsidRPr="00C8604A">
        <w:t>i</w:t>
      </w:r>
      <w:r w:rsidR="002F4A66" w:rsidRPr="00C8604A">
        <w:t>ns to be seen</w:t>
      </w:r>
      <w:r w:rsidRPr="00C8604A">
        <w:t xml:space="preserve">.  Therefore, the trustee is authorized to withhold the deed until the </w:t>
      </w:r>
      <w:r w:rsidR="00EF5660" w:rsidRPr="00C8604A">
        <w:t xml:space="preserve">check </w:t>
      </w:r>
      <w:r w:rsidRPr="00C8604A">
        <w:t>clear</w:t>
      </w:r>
      <w:r w:rsidR="00EF5660" w:rsidRPr="00C8604A">
        <w:t>s</w:t>
      </w:r>
      <w:r w:rsidRPr="00C8604A">
        <w:t xml:space="preserve">.  But withholding the deed prevents the purchaser from recording </w:t>
      </w:r>
      <w:r w:rsidR="001B77A5" w:rsidRPr="00C8604A">
        <w:t xml:space="preserve">the sale </w:t>
      </w:r>
      <w:r w:rsidR="00DB3493" w:rsidRPr="00C8604A">
        <w:t xml:space="preserve">and perfecting </w:t>
      </w:r>
      <w:r w:rsidR="00F533DB" w:rsidRPr="00C8604A">
        <w:t xml:space="preserve">its </w:t>
      </w:r>
      <w:r w:rsidRPr="00C8604A">
        <w:t>title</w:t>
      </w:r>
      <w:r w:rsidR="009D6C68" w:rsidRPr="00C8604A">
        <w:t xml:space="preserve">.  </w:t>
      </w:r>
      <w:r w:rsidRPr="00C8604A">
        <w:t>The</w:t>
      </w:r>
      <w:r w:rsidR="00EF5660" w:rsidRPr="00C8604A">
        <w:t xml:space="preserve"> </w:t>
      </w:r>
      <w:r w:rsidRPr="00C8604A">
        <w:t>subdiv</w:t>
      </w:r>
      <w:r w:rsidR="00DB3493" w:rsidRPr="00C8604A">
        <w:t>i</w:t>
      </w:r>
      <w:r w:rsidRPr="00C8604A">
        <w:t>sion</w:t>
      </w:r>
      <w:r w:rsidR="00D7554E" w:rsidRPr="00C8604A">
        <w:t xml:space="preserve">, therefore, </w:t>
      </w:r>
      <w:r w:rsidR="00EF5660" w:rsidRPr="00C8604A">
        <w:t xml:space="preserve">affords </w:t>
      </w:r>
      <w:r w:rsidR="00DB3493" w:rsidRPr="00C8604A">
        <w:t>a 15-day</w:t>
      </w:r>
      <w:r w:rsidR="00EF5660" w:rsidRPr="00C8604A">
        <w:t xml:space="preserve"> </w:t>
      </w:r>
      <w:r w:rsidR="001B77A5" w:rsidRPr="00C8604A">
        <w:t xml:space="preserve">period </w:t>
      </w:r>
      <w:r w:rsidR="00EF5660" w:rsidRPr="00C8604A">
        <w:t xml:space="preserve">during </w:t>
      </w:r>
      <w:r w:rsidR="00DB3493" w:rsidRPr="00C8604A">
        <w:t>which the deed may be recorded and the sale</w:t>
      </w:r>
      <w:r w:rsidR="00C42F8B" w:rsidRPr="00C8604A">
        <w:t xml:space="preserve"> </w:t>
      </w:r>
      <w:r w:rsidR="00DB3493" w:rsidRPr="00C8604A">
        <w:t xml:space="preserve">“deemed perfected” as of the </w:t>
      </w:r>
      <w:r w:rsidR="00E9466E" w:rsidRPr="00C8604A">
        <w:t>origin</w:t>
      </w:r>
      <w:r w:rsidR="00C42F8B" w:rsidRPr="00C8604A">
        <w:t xml:space="preserve">al </w:t>
      </w:r>
      <w:r w:rsidR="00DB3493" w:rsidRPr="00C8604A">
        <w:t>sale date.  (</w:t>
      </w:r>
      <w:r w:rsidR="002E6269">
        <w:t>§ 2924h(c)</w:t>
      </w:r>
      <w:r w:rsidR="00DB3493" w:rsidRPr="00C8604A">
        <w:t>.)</w:t>
      </w:r>
      <w:r w:rsidR="007852D3" w:rsidRPr="00C8604A">
        <w:t xml:space="preserve">  That way, the original </w:t>
      </w:r>
      <w:r w:rsidR="00A10272" w:rsidRPr="00C8604A">
        <w:t xml:space="preserve">sale date </w:t>
      </w:r>
      <w:r w:rsidR="00506DA0" w:rsidRPr="00C8604A">
        <w:t xml:space="preserve">may be memorialized </w:t>
      </w:r>
      <w:r w:rsidR="007852D3" w:rsidRPr="00C8604A">
        <w:t xml:space="preserve">even if the deed is withheld </w:t>
      </w:r>
      <w:r w:rsidR="00506DA0" w:rsidRPr="00C8604A">
        <w:t xml:space="preserve">pending confirmation of </w:t>
      </w:r>
      <w:r w:rsidR="007852D3" w:rsidRPr="00C8604A">
        <w:t xml:space="preserve">the purchaser’s </w:t>
      </w:r>
      <w:r w:rsidR="000D7458" w:rsidRPr="00C8604A">
        <w:t>payment of the purchase price.</w:t>
      </w:r>
    </w:p>
    <w:p w14:paraId="2DB5446F" w14:textId="77777777" w:rsidR="001B77A5" w:rsidRPr="00C8604A" w:rsidRDefault="007D00C0" w:rsidP="00C8604A">
      <w:pPr>
        <w:tabs>
          <w:tab w:val="left" w:pos="1440"/>
        </w:tabs>
        <w:ind w:firstLine="720"/>
      </w:pPr>
      <w:r w:rsidRPr="00C8604A">
        <w:t>Dr. </w:t>
      </w:r>
      <w:proofErr w:type="spellStart"/>
      <w:r w:rsidR="00DB3493" w:rsidRPr="00C8604A">
        <w:t>Leevil</w:t>
      </w:r>
      <w:proofErr w:type="spellEnd"/>
      <w:r w:rsidR="00DB3493" w:rsidRPr="00C8604A">
        <w:t xml:space="preserve"> argues that </w:t>
      </w:r>
      <w:r w:rsidR="001B77A5" w:rsidRPr="00C8604A">
        <w:t xml:space="preserve">it recorded title just six days after the date of the sale, and therefore, </w:t>
      </w:r>
      <w:r w:rsidR="00DB3493" w:rsidRPr="00C8604A">
        <w:t>under</w:t>
      </w:r>
      <w:r w:rsidR="001B77A5" w:rsidRPr="00C8604A">
        <w:t xml:space="preserve"> section 2924h(c), the sale is “deemed perfected” as of the original sale date.  Hence, </w:t>
      </w:r>
      <w:r w:rsidRPr="00C8604A">
        <w:t>Dr. </w:t>
      </w:r>
      <w:proofErr w:type="spellStart"/>
      <w:r w:rsidR="00624C5C" w:rsidRPr="00C8604A">
        <w:t>Leevil</w:t>
      </w:r>
      <w:proofErr w:type="spellEnd"/>
      <w:r w:rsidR="00624C5C" w:rsidRPr="00C8604A">
        <w:t xml:space="preserve"> </w:t>
      </w:r>
      <w:r w:rsidR="00536BAB" w:rsidRPr="00C8604A">
        <w:t xml:space="preserve">should </w:t>
      </w:r>
      <w:r w:rsidR="001B77A5" w:rsidRPr="00C8604A">
        <w:t xml:space="preserve">be </w:t>
      </w:r>
      <w:r w:rsidR="001B77A5" w:rsidRPr="00C8604A">
        <w:rPr>
          <w:i/>
        </w:rPr>
        <w:t>deemed</w:t>
      </w:r>
      <w:r w:rsidR="001B77A5" w:rsidRPr="00C8604A">
        <w:t xml:space="preserve"> to have perfected title for purposes of section 1161a(b) before it served the three-day </w:t>
      </w:r>
      <w:r w:rsidR="00536BAB" w:rsidRPr="00C8604A">
        <w:t xml:space="preserve">written </w:t>
      </w:r>
      <w:r w:rsidR="001B77A5" w:rsidRPr="00C8604A">
        <w:t>noti</w:t>
      </w:r>
      <w:r w:rsidR="004F1CEA" w:rsidRPr="00C8604A">
        <w:t>ce to quit on Westlake Health.</w:t>
      </w:r>
    </w:p>
    <w:p w14:paraId="1E0F2D18" w14:textId="77777777" w:rsidR="001B77A5" w:rsidRPr="00C8604A" w:rsidRDefault="001B77A5" w:rsidP="00C8604A">
      <w:pPr>
        <w:tabs>
          <w:tab w:val="left" w:pos="1440"/>
        </w:tabs>
        <w:ind w:firstLine="720"/>
      </w:pPr>
      <w:r w:rsidRPr="00C8604A">
        <w:t>The problem with this argument is that</w:t>
      </w:r>
      <w:r w:rsidR="00A74559" w:rsidRPr="00C8604A">
        <w:t xml:space="preserve">, under section 2924h(c), the sale is not “deemed perfected” on the original sale date </w:t>
      </w:r>
      <w:r w:rsidR="00A74559" w:rsidRPr="00C8604A">
        <w:rPr>
          <w:i/>
        </w:rPr>
        <w:t>until</w:t>
      </w:r>
      <w:r w:rsidR="00A74559" w:rsidRPr="00C8604A">
        <w:t xml:space="preserve"> the deed is recorded.  Before the deed is recorded, the sale is neither </w:t>
      </w:r>
      <w:r w:rsidR="00536BAB" w:rsidRPr="00C8604A">
        <w:t>“</w:t>
      </w:r>
      <w:r w:rsidR="00A74559" w:rsidRPr="00C8604A">
        <w:t>perfected</w:t>
      </w:r>
      <w:r w:rsidR="00536BAB" w:rsidRPr="00C8604A">
        <w:t>”</w:t>
      </w:r>
      <w:r w:rsidR="00A74559" w:rsidRPr="00C8604A">
        <w:t xml:space="preserve"> </w:t>
      </w:r>
      <w:r w:rsidR="00536BAB" w:rsidRPr="00C8604A">
        <w:t>(§ 1161a(b)</w:t>
      </w:r>
      <w:r w:rsidR="002E6269">
        <w:t>(3)</w:t>
      </w:r>
      <w:r w:rsidR="00536BAB" w:rsidRPr="00C8604A">
        <w:t xml:space="preserve">) </w:t>
      </w:r>
      <w:r w:rsidR="00A74559" w:rsidRPr="00C8604A">
        <w:t>nor</w:t>
      </w:r>
      <w:r w:rsidR="00536BAB" w:rsidRPr="00C8604A">
        <w:t xml:space="preserve"> </w:t>
      </w:r>
      <w:r w:rsidR="00A74559" w:rsidRPr="00C8604A">
        <w:t xml:space="preserve">“deemed perfected” </w:t>
      </w:r>
      <w:r w:rsidR="00D11952" w:rsidRPr="00C8604A">
        <w:t xml:space="preserve">(§ 2924h(c)) </w:t>
      </w:r>
      <w:r w:rsidR="00A74559" w:rsidRPr="00C8604A">
        <w:t xml:space="preserve">— it is just a sale — and it was before the deed was recorded that </w:t>
      </w:r>
      <w:r w:rsidR="007D00C0" w:rsidRPr="00C8604A">
        <w:t>Dr. </w:t>
      </w:r>
      <w:proofErr w:type="spellStart"/>
      <w:r w:rsidR="00A74559" w:rsidRPr="00C8604A">
        <w:t>Leevil</w:t>
      </w:r>
      <w:proofErr w:type="spellEnd"/>
      <w:r w:rsidR="00A74559" w:rsidRPr="00C8604A">
        <w:t xml:space="preserve"> served </w:t>
      </w:r>
      <w:r w:rsidR="00D11952" w:rsidRPr="00C8604A">
        <w:t xml:space="preserve">the </w:t>
      </w:r>
      <w:r w:rsidR="00A74559" w:rsidRPr="00C8604A">
        <w:t xml:space="preserve">three-day </w:t>
      </w:r>
      <w:r w:rsidR="00D11952" w:rsidRPr="00C8604A">
        <w:t xml:space="preserve">written </w:t>
      </w:r>
      <w:r w:rsidR="00A74559" w:rsidRPr="00C8604A">
        <w:t>notice</w:t>
      </w:r>
      <w:r w:rsidR="00D11952" w:rsidRPr="00C8604A">
        <w:t xml:space="preserve"> at issue in this case</w:t>
      </w:r>
      <w:r w:rsidR="00A74559" w:rsidRPr="00C8604A">
        <w:t xml:space="preserve">.  Thus, </w:t>
      </w:r>
      <w:r w:rsidR="00A74559" w:rsidRPr="00C8604A">
        <w:rPr>
          <w:i/>
        </w:rPr>
        <w:t>a</w:t>
      </w:r>
      <w:r w:rsidR="00624C5C" w:rsidRPr="00C8604A">
        <w:rPr>
          <w:i/>
        </w:rPr>
        <w:t xml:space="preserve">s of </w:t>
      </w:r>
      <w:r w:rsidR="00A74559" w:rsidRPr="00C8604A">
        <w:rPr>
          <w:i/>
        </w:rPr>
        <w:t xml:space="preserve">the time </w:t>
      </w:r>
      <w:r w:rsidR="007D00C0" w:rsidRPr="00C8604A">
        <w:rPr>
          <w:i/>
        </w:rPr>
        <w:t>Dr. </w:t>
      </w:r>
      <w:proofErr w:type="spellStart"/>
      <w:r w:rsidR="00A74559" w:rsidRPr="00C8604A">
        <w:rPr>
          <w:i/>
        </w:rPr>
        <w:t>Leevil</w:t>
      </w:r>
      <w:proofErr w:type="spellEnd"/>
      <w:r w:rsidR="00A74559" w:rsidRPr="00C8604A">
        <w:rPr>
          <w:i/>
        </w:rPr>
        <w:t xml:space="preserve"> served the notice</w:t>
      </w:r>
      <w:r w:rsidR="00A74559" w:rsidRPr="00C8604A">
        <w:t xml:space="preserve">, </w:t>
      </w:r>
      <w:r w:rsidR="007D00C0" w:rsidRPr="00C8604A">
        <w:t>Dr. </w:t>
      </w:r>
      <w:proofErr w:type="spellStart"/>
      <w:r w:rsidR="00624C5C" w:rsidRPr="00C8604A">
        <w:t>Leevil</w:t>
      </w:r>
      <w:proofErr w:type="spellEnd"/>
      <w:r w:rsidR="00624C5C" w:rsidRPr="00C8604A">
        <w:t xml:space="preserve"> </w:t>
      </w:r>
      <w:r w:rsidR="00A74559" w:rsidRPr="00C8604A">
        <w:t>did not meet the conditions of section 1161a(b)</w:t>
      </w:r>
      <w:r w:rsidR="002E6269">
        <w:t>(3)</w:t>
      </w:r>
      <w:r w:rsidR="00A74559" w:rsidRPr="00C8604A">
        <w:t xml:space="preserve">, and therefore its notice was premature and void.  The fact that </w:t>
      </w:r>
      <w:r w:rsidR="007D00C0" w:rsidRPr="00C8604A">
        <w:t>Dr. </w:t>
      </w:r>
      <w:proofErr w:type="spellStart"/>
      <w:r w:rsidR="00A74559" w:rsidRPr="00C8604A">
        <w:t>Leevil</w:t>
      </w:r>
      <w:proofErr w:type="spellEnd"/>
      <w:r w:rsidR="00A74559" w:rsidRPr="00C8604A">
        <w:t xml:space="preserve"> later met those conditions</w:t>
      </w:r>
      <w:r w:rsidR="00D2072F" w:rsidRPr="00C8604A">
        <w:t>,</w:t>
      </w:r>
      <w:r w:rsidR="00A74559" w:rsidRPr="00C8604A">
        <w:t xml:space="preserve"> and </w:t>
      </w:r>
      <w:r w:rsidR="00D2072F" w:rsidRPr="00C8604A">
        <w:t xml:space="preserve">the fact </w:t>
      </w:r>
      <w:r w:rsidR="00A74559" w:rsidRPr="00C8604A">
        <w:t xml:space="preserve">that </w:t>
      </w:r>
      <w:r w:rsidR="00D2072F" w:rsidRPr="00C8604A">
        <w:t>the conduct that satisfied those conditions was deemed to be retr</w:t>
      </w:r>
      <w:r w:rsidR="00A74559" w:rsidRPr="00C8604A">
        <w:t>oactive</w:t>
      </w:r>
      <w:r w:rsidR="00D2072F" w:rsidRPr="00C8604A">
        <w:t>,</w:t>
      </w:r>
      <w:r w:rsidR="00A74559" w:rsidRPr="00C8604A">
        <w:t xml:space="preserve"> doe</w:t>
      </w:r>
      <w:r w:rsidR="00D2072F" w:rsidRPr="00C8604A">
        <w:t xml:space="preserve">s not change the fact that </w:t>
      </w:r>
      <w:r w:rsidR="007D00C0" w:rsidRPr="00C8604A">
        <w:t>Dr. </w:t>
      </w:r>
      <w:proofErr w:type="spellStart"/>
      <w:r w:rsidR="00A74559" w:rsidRPr="00C8604A">
        <w:t>Leevil</w:t>
      </w:r>
      <w:proofErr w:type="spellEnd"/>
      <w:r w:rsidR="00A74559" w:rsidRPr="00C8604A">
        <w:t xml:space="preserve"> was </w:t>
      </w:r>
      <w:r w:rsidR="00D2072F" w:rsidRPr="00C8604A">
        <w:t xml:space="preserve">not in strict compliance with section 1161a(b) </w:t>
      </w:r>
      <w:r w:rsidR="00D2072F" w:rsidRPr="00C8604A">
        <w:rPr>
          <w:i/>
        </w:rPr>
        <w:t>when it took the first step</w:t>
      </w:r>
      <w:r w:rsidR="00D2072F" w:rsidRPr="00C8604A">
        <w:t xml:space="preserve"> in the removal process that the statute authorizes.</w:t>
      </w:r>
    </w:p>
    <w:p w14:paraId="4741B23B" w14:textId="77777777" w:rsidR="00FE4BC3" w:rsidRPr="00C8604A" w:rsidRDefault="001C0BF3" w:rsidP="00C8604A">
      <w:pPr>
        <w:tabs>
          <w:tab w:val="left" w:pos="1440"/>
        </w:tabs>
        <w:ind w:firstLine="720"/>
      </w:pPr>
      <w:r w:rsidRPr="00C8604A">
        <w:t xml:space="preserve">Moreover, as the </w:t>
      </w:r>
      <w:r w:rsidR="002E6269">
        <w:t>a</w:t>
      </w:r>
      <w:r w:rsidRPr="00C8604A">
        <w:t xml:space="preserve">ppellate </w:t>
      </w:r>
      <w:r w:rsidR="002E6269">
        <w:t>d</w:t>
      </w:r>
      <w:r w:rsidRPr="00C8604A">
        <w:t xml:space="preserve">ivision noted in </w:t>
      </w:r>
      <w:proofErr w:type="spellStart"/>
      <w:r w:rsidRPr="00C8604A">
        <w:rPr>
          <w:i/>
        </w:rPr>
        <w:t>McLitus</w:t>
      </w:r>
      <w:proofErr w:type="spellEnd"/>
      <w:r w:rsidRPr="00C8604A">
        <w:t xml:space="preserve">, </w:t>
      </w:r>
      <w:r w:rsidR="00153A96">
        <w:t xml:space="preserve">the apparent policy </w:t>
      </w:r>
      <w:r w:rsidR="008206E4">
        <w:t xml:space="preserve">aims of the statute </w:t>
      </w:r>
      <w:r w:rsidRPr="00C8604A">
        <w:t xml:space="preserve">support </w:t>
      </w:r>
      <w:r w:rsidR="008206E4">
        <w:t xml:space="preserve">an inference that the Legislature intended </w:t>
      </w:r>
      <w:r w:rsidRPr="00C8604A">
        <w:t xml:space="preserve">that a new owner of real property should perfect title before serving a three-day written notice to quit on </w:t>
      </w:r>
      <w:r w:rsidR="00D2072F" w:rsidRPr="00C8604A">
        <w:t xml:space="preserve">the </w:t>
      </w:r>
      <w:r w:rsidRPr="00C8604A">
        <w:t xml:space="preserve">possessor of </w:t>
      </w:r>
      <w:r w:rsidR="00D2072F" w:rsidRPr="00C8604A">
        <w:t xml:space="preserve">the </w:t>
      </w:r>
      <w:r w:rsidRPr="00C8604A">
        <w:t>property.  In case</w:t>
      </w:r>
      <w:r w:rsidR="00A71AB1" w:rsidRPr="00C8604A">
        <w:t xml:space="preserve">s </w:t>
      </w:r>
      <w:r w:rsidRPr="00C8604A">
        <w:t xml:space="preserve">where the possessor of </w:t>
      </w:r>
      <w:r w:rsidR="00E9466E" w:rsidRPr="00C8604A">
        <w:t xml:space="preserve">the </w:t>
      </w:r>
      <w:r w:rsidRPr="00C8604A">
        <w:t>property is a tenant</w:t>
      </w:r>
      <w:r w:rsidR="00C87EE6" w:rsidRPr="00C8604A">
        <w:t xml:space="preserve"> of the </w:t>
      </w:r>
      <w:r w:rsidR="00FE4BC3" w:rsidRPr="00C8604A">
        <w:t xml:space="preserve">former </w:t>
      </w:r>
      <w:r w:rsidRPr="00C8604A">
        <w:t xml:space="preserve">owner, </w:t>
      </w:r>
      <w:r w:rsidR="00C87EE6" w:rsidRPr="00C8604A">
        <w:t xml:space="preserve">not the former owner itself, </w:t>
      </w:r>
      <w:r w:rsidRPr="00C8604A">
        <w:t xml:space="preserve">the tenant </w:t>
      </w:r>
      <w:r w:rsidR="00FE4BC3" w:rsidRPr="00C8604A">
        <w:t xml:space="preserve">may not know whether the entity serving the notice to quit is </w:t>
      </w:r>
      <w:r w:rsidR="00D2072F" w:rsidRPr="00C8604A">
        <w:t>a</w:t>
      </w:r>
      <w:r w:rsidR="00FE4BC3" w:rsidRPr="00C8604A">
        <w:t xml:space="preserve"> bona fide owner.  Thus, section 1161a</w:t>
      </w:r>
      <w:r w:rsidR="000D0CC3" w:rsidRPr="00C8604A">
        <w:t>(b)</w:t>
      </w:r>
      <w:r w:rsidR="00FE4BC3" w:rsidRPr="00C8604A">
        <w:t>’s requirement that the new owner perfect title before serving a notice to quit protects the interest</w:t>
      </w:r>
      <w:r w:rsidR="00D11952" w:rsidRPr="00C8604A">
        <w:t>s</w:t>
      </w:r>
      <w:r w:rsidR="00FE4BC3" w:rsidRPr="00C8604A">
        <w:t xml:space="preserve"> of </w:t>
      </w:r>
      <w:r w:rsidR="00C87EE6" w:rsidRPr="00C8604A">
        <w:t xml:space="preserve">such a </w:t>
      </w:r>
      <w:r w:rsidR="00FE4BC3" w:rsidRPr="00C8604A">
        <w:t xml:space="preserve">tenant.  </w:t>
      </w:r>
      <w:r w:rsidR="00EF4A06" w:rsidRPr="00C8604A">
        <w:t xml:space="preserve">As the </w:t>
      </w:r>
      <w:r w:rsidR="002E6269">
        <w:t>a</w:t>
      </w:r>
      <w:r w:rsidR="00057B30" w:rsidRPr="00C8604A">
        <w:t xml:space="preserve">ppellate </w:t>
      </w:r>
      <w:r w:rsidR="002E6269">
        <w:t>d</w:t>
      </w:r>
      <w:r w:rsidR="00057B30" w:rsidRPr="00C8604A">
        <w:t xml:space="preserve">ivision </w:t>
      </w:r>
      <w:r w:rsidR="00EF4A06" w:rsidRPr="00C8604A">
        <w:t xml:space="preserve">stated in </w:t>
      </w:r>
      <w:proofErr w:type="spellStart"/>
      <w:r w:rsidR="00FE4BC3" w:rsidRPr="00C8604A">
        <w:rPr>
          <w:i/>
        </w:rPr>
        <w:t>McLitus</w:t>
      </w:r>
      <w:proofErr w:type="spellEnd"/>
      <w:r w:rsidR="00EF4A06" w:rsidRPr="00C8604A">
        <w:t>:</w:t>
      </w:r>
      <w:r w:rsidR="00D2072F" w:rsidRPr="00C8604A">
        <w:t xml:space="preserve">  </w:t>
      </w:r>
      <w:r w:rsidR="00EF4A06" w:rsidRPr="00C8604A">
        <w:t>“[Plaintiff’s]</w:t>
      </w:r>
      <w:r w:rsidR="004F141A" w:rsidRPr="00C8604A">
        <w:t xml:space="preserve"> </w:t>
      </w:r>
      <w:r w:rsidR="00EF4A06" w:rsidRPr="00C8604A">
        <w:t>interpretation . . . would suggest that a post-foreclosure plaintiff could routinely prematurely issue a three-day notice . . . , [a]</w:t>
      </w:r>
      <w:proofErr w:type="spellStart"/>
      <w:r w:rsidR="00EF4A06" w:rsidRPr="00C8604A">
        <w:t>nd</w:t>
      </w:r>
      <w:proofErr w:type="spellEnd"/>
      <w:r w:rsidR="00EF4A06" w:rsidRPr="00C8604A">
        <w:t> . . . such a practice would practically prevent a defendant from effectively verifying the identity of the alleged purchaser of a property</w:t>
      </w:r>
      <w:r w:rsidR="00DA5B16" w:rsidRPr="00C8604A">
        <w:t>[,]</w:t>
      </w:r>
      <w:r w:rsidR="00EF4A06" w:rsidRPr="00C8604A">
        <w:t xml:space="preserve"> as a search of recorded documents would prove futile.”</w:t>
      </w:r>
      <w:r w:rsidR="00D2072F" w:rsidRPr="00C8604A">
        <w:t xml:space="preserve">  (</w:t>
      </w:r>
      <w:proofErr w:type="spellStart"/>
      <w:r w:rsidR="00D2072F" w:rsidRPr="00C8604A">
        <w:rPr>
          <w:i/>
        </w:rPr>
        <w:t>McLitus</w:t>
      </w:r>
      <w:proofErr w:type="spellEnd"/>
      <w:r w:rsidR="00D2072F" w:rsidRPr="00C8604A">
        <w:t xml:space="preserve">, </w:t>
      </w:r>
      <w:r w:rsidR="00D2072F" w:rsidRPr="00C8604A">
        <w:rPr>
          <w:i/>
        </w:rPr>
        <w:t>supra</w:t>
      </w:r>
      <w:r w:rsidR="0082773A" w:rsidRPr="00C8604A">
        <w:t>, 6 Cal.App.</w:t>
      </w:r>
      <w:r w:rsidR="002E6269">
        <w:t xml:space="preserve">5th </w:t>
      </w:r>
      <w:r w:rsidR="00D2072F" w:rsidRPr="00C8604A">
        <w:t xml:space="preserve">at p. </w:t>
      </w:r>
      <w:r w:rsidR="002E6269">
        <w:t xml:space="preserve">Supp. </w:t>
      </w:r>
      <w:r w:rsidR="00994D3F" w:rsidRPr="00C8604A">
        <w:t>4</w:t>
      </w:r>
      <w:r w:rsidR="00D2072F" w:rsidRPr="00C8604A">
        <w:t>.)</w:t>
      </w:r>
      <w:r w:rsidR="00A30E8C" w:rsidRPr="00C8604A">
        <w:rPr>
          <w:rStyle w:val="FootnoteReference"/>
        </w:rPr>
        <w:footnoteReference w:id="4"/>
      </w:r>
    </w:p>
    <w:p w14:paraId="3E5F6A55" w14:textId="77777777" w:rsidR="00FA5FB3" w:rsidRPr="00C8604A" w:rsidRDefault="00CC3498" w:rsidP="00C8604A">
      <w:pPr>
        <w:tabs>
          <w:tab w:val="left" w:pos="1440"/>
        </w:tabs>
        <w:ind w:firstLine="720"/>
      </w:pPr>
      <w:r w:rsidRPr="00C8604A">
        <w:t xml:space="preserve">As the </w:t>
      </w:r>
      <w:proofErr w:type="spellStart"/>
      <w:r w:rsidRPr="00C8604A">
        <w:rPr>
          <w:i/>
        </w:rPr>
        <w:t>McLitus</w:t>
      </w:r>
      <w:proofErr w:type="spellEnd"/>
      <w:r w:rsidRPr="00C8604A">
        <w:t xml:space="preserve"> court explained, </w:t>
      </w:r>
      <w:r w:rsidR="007D00C0" w:rsidRPr="00C8604A">
        <w:t>Dr. </w:t>
      </w:r>
      <w:proofErr w:type="spellStart"/>
      <w:r w:rsidR="00FA5FB3" w:rsidRPr="00C8604A">
        <w:t>Leevil’s</w:t>
      </w:r>
      <w:proofErr w:type="spellEnd"/>
      <w:r w:rsidR="00FA5FB3" w:rsidRPr="00C8604A">
        <w:t xml:space="preserve"> statutory interpretation</w:t>
      </w:r>
      <w:r w:rsidR="00E9466E" w:rsidRPr="00C8604A">
        <w:t xml:space="preserve"> </w:t>
      </w:r>
      <w:r w:rsidR="00A760E8" w:rsidRPr="00C8604A">
        <w:t xml:space="preserve">would put </w:t>
      </w:r>
      <w:r w:rsidRPr="00C8604A">
        <w:t>a</w:t>
      </w:r>
      <w:r w:rsidR="00A760E8" w:rsidRPr="00C8604A">
        <w:t xml:space="preserve"> tenant </w:t>
      </w:r>
      <w:r w:rsidR="00FA5FB3" w:rsidRPr="00C8604A">
        <w:t xml:space="preserve">in a precarious position.  </w:t>
      </w:r>
      <w:r w:rsidRPr="00C8604A">
        <w:t>A</w:t>
      </w:r>
      <w:r w:rsidR="00FA5FB3" w:rsidRPr="00C8604A">
        <w:t xml:space="preserve"> </w:t>
      </w:r>
      <w:r w:rsidR="00A760E8" w:rsidRPr="00C8604A">
        <w:t xml:space="preserve">tenant would be </w:t>
      </w:r>
      <w:r w:rsidR="00FA5FB3" w:rsidRPr="00C8604A">
        <w:t xml:space="preserve">forced to choose between </w:t>
      </w:r>
      <w:r w:rsidR="00A760E8" w:rsidRPr="00C8604A">
        <w:t xml:space="preserve">vacating </w:t>
      </w:r>
      <w:r w:rsidR="00FA5FB3" w:rsidRPr="00C8604A">
        <w:t>the property without assurance that title will ever actually be perfected</w:t>
      </w:r>
      <w:r w:rsidRPr="00C8604A">
        <w:t xml:space="preserve"> </w:t>
      </w:r>
      <w:r w:rsidR="00FA5FB3" w:rsidRPr="00C8604A">
        <w:t xml:space="preserve">or </w:t>
      </w:r>
      <w:r w:rsidRPr="00C8604A">
        <w:t xml:space="preserve">remaining in possession of the property and </w:t>
      </w:r>
      <w:r w:rsidR="00FA5FB3" w:rsidRPr="00C8604A">
        <w:t>potentially incurring damages as a holdover tenant if title is</w:t>
      </w:r>
      <w:r w:rsidR="00340281" w:rsidRPr="00C8604A">
        <w:t xml:space="preserve">, in fact, </w:t>
      </w:r>
      <w:r w:rsidR="00FA5FB3" w:rsidRPr="00C8604A">
        <w:t xml:space="preserve">perfected.  In the first scenario, if the successful bidder </w:t>
      </w:r>
      <w:r w:rsidR="00A760E8" w:rsidRPr="00C8604A">
        <w:t xml:space="preserve">at the trustee’s sale </w:t>
      </w:r>
      <w:r w:rsidR="00FA5FB3" w:rsidRPr="00C8604A">
        <w:t xml:space="preserve">fails </w:t>
      </w:r>
      <w:r w:rsidR="00A760E8" w:rsidRPr="00C8604A">
        <w:t xml:space="preserve">to pay the </w:t>
      </w:r>
      <w:r w:rsidRPr="00C8604A">
        <w:t>purchase price</w:t>
      </w:r>
      <w:r w:rsidR="00A760E8" w:rsidRPr="00C8604A">
        <w:t xml:space="preserve">, the </w:t>
      </w:r>
      <w:r w:rsidR="00FA5FB3" w:rsidRPr="00C8604A">
        <w:t xml:space="preserve">sale could be rescinded, in which case the tenant vacated </w:t>
      </w:r>
      <w:r w:rsidRPr="00C8604A">
        <w:t xml:space="preserve">the property </w:t>
      </w:r>
      <w:r w:rsidR="00FA5FB3" w:rsidRPr="00C8604A">
        <w:t>unnecessarily.  In the second scenario, the tenant could</w:t>
      </w:r>
      <w:r w:rsidR="00AD2096" w:rsidRPr="00C8604A">
        <w:t xml:space="preserve"> be liable for damages that</w:t>
      </w:r>
      <w:r w:rsidR="00D31F9C" w:rsidRPr="00C8604A">
        <w:t xml:space="preserve"> </w:t>
      </w:r>
      <w:r w:rsidR="00AD2096" w:rsidRPr="00C8604A">
        <w:t xml:space="preserve">exceed the rent specified in the </w:t>
      </w:r>
      <w:r w:rsidRPr="00C8604A">
        <w:t xml:space="preserve">tenant’s </w:t>
      </w:r>
      <w:r w:rsidR="00AD2096" w:rsidRPr="00C8604A">
        <w:t>lease</w:t>
      </w:r>
      <w:r w:rsidR="00FA5FB3" w:rsidRPr="00C8604A">
        <w:t xml:space="preserve">.  </w:t>
      </w:r>
      <w:r w:rsidR="00D31F9C" w:rsidRPr="00C8604A">
        <w:t>(</w:t>
      </w:r>
      <w:r w:rsidR="00340281" w:rsidRPr="00C8604A">
        <w:t xml:space="preserve">See </w:t>
      </w:r>
      <w:r w:rsidR="00D31F9C" w:rsidRPr="00C8604A">
        <w:rPr>
          <w:i/>
        </w:rPr>
        <w:t xml:space="preserve">Superior Motels, Inc. v. </w:t>
      </w:r>
      <w:proofErr w:type="spellStart"/>
      <w:r w:rsidR="00D31F9C" w:rsidRPr="00C8604A">
        <w:rPr>
          <w:i/>
        </w:rPr>
        <w:t>Rinn</w:t>
      </w:r>
      <w:proofErr w:type="spellEnd"/>
      <w:r w:rsidR="00D31F9C" w:rsidRPr="00C8604A">
        <w:rPr>
          <w:i/>
        </w:rPr>
        <w:t xml:space="preserve"> Motor Hotels, Inc.</w:t>
      </w:r>
      <w:r w:rsidR="00D31F9C" w:rsidRPr="00C8604A">
        <w:t xml:space="preserve"> (1987) 195 Cal.App.3d 1032, 1069.)  </w:t>
      </w:r>
      <w:r w:rsidR="00AD2096" w:rsidRPr="00C8604A">
        <w:t xml:space="preserve">Our </w:t>
      </w:r>
      <w:r w:rsidR="00FA5FB3" w:rsidRPr="00C8604A">
        <w:t xml:space="preserve">conclusion that </w:t>
      </w:r>
      <w:r w:rsidRPr="00C8604A">
        <w:t>a</w:t>
      </w:r>
      <w:r w:rsidR="00FA5FB3" w:rsidRPr="00C8604A">
        <w:t xml:space="preserve"> new owner must perfect title before serving </w:t>
      </w:r>
      <w:r w:rsidRPr="00C8604A">
        <w:t>a</w:t>
      </w:r>
      <w:r w:rsidR="00FA5FB3" w:rsidRPr="00C8604A">
        <w:t xml:space="preserve"> three-day </w:t>
      </w:r>
      <w:r w:rsidRPr="00C8604A">
        <w:t xml:space="preserve">written </w:t>
      </w:r>
      <w:r w:rsidR="00FA5FB3" w:rsidRPr="00C8604A">
        <w:t xml:space="preserve">notice </w:t>
      </w:r>
      <w:r w:rsidRPr="00C8604A">
        <w:t xml:space="preserve">to quit </w:t>
      </w:r>
      <w:r w:rsidR="00FA5FB3" w:rsidRPr="00C8604A">
        <w:t>eliminates these uncertainties</w:t>
      </w:r>
      <w:r w:rsidR="00AD2096" w:rsidRPr="00C8604A">
        <w:t xml:space="preserve"> by allowing the tenant to verify title during the three-day notice period.</w:t>
      </w:r>
      <w:r w:rsidRPr="00C8604A">
        <w:t xml:space="preserve">  </w:t>
      </w:r>
      <w:r w:rsidR="00AD2096" w:rsidRPr="00C8604A">
        <w:t xml:space="preserve">It thus </w:t>
      </w:r>
      <w:r w:rsidR="00FA5FB3" w:rsidRPr="00C8604A">
        <w:t xml:space="preserve">effectuates the purposes of </w:t>
      </w:r>
      <w:r w:rsidR="00AD2096" w:rsidRPr="00C8604A">
        <w:t>section 1161a(b)</w:t>
      </w:r>
      <w:r w:rsidRPr="00C8604A">
        <w:t xml:space="preserve">, </w:t>
      </w:r>
      <w:r w:rsidR="00FA5FB3" w:rsidRPr="00C8604A">
        <w:t xml:space="preserve">protecting the </w:t>
      </w:r>
      <w:r w:rsidR="00AD2096" w:rsidRPr="00C8604A">
        <w:t xml:space="preserve">tenant’s </w:t>
      </w:r>
      <w:r w:rsidR="00FA5FB3" w:rsidRPr="00C8604A">
        <w:t>interests without excessively burdening the new owner.</w:t>
      </w:r>
    </w:p>
    <w:p w14:paraId="6D7F241B" w14:textId="77777777" w:rsidR="002A2359" w:rsidRPr="00C8604A" w:rsidRDefault="00F86BC1" w:rsidP="00C8604A">
      <w:pPr>
        <w:tabs>
          <w:tab w:val="left" w:pos="1440"/>
        </w:tabs>
        <w:ind w:firstLine="720"/>
        <w:rPr>
          <w:szCs w:val="26"/>
        </w:rPr>
      </w:pPr>
      <w:r w:rsidRPr="00C8604A">
        <w:t xml:space="preserve">In response to the </w:t>
      </w:r>
      <w:r w:rsidR="0002638B" w:rsidRPr="00C8604A">
        <w:t xml:space="preserve">foregoing </w:t>
      </w:r>
      <w:r w:rsidR="00CC3498" w:rsidRPr="00C8604A">
        <w:t>reasoning</w:t>
      </w:r>
      <w:r w:rsidR="0002638B" w:rsidRPr="00C8604A">
        <w:t xml:space="preserve">, </w:t>
      </w:r>
      <w:r w:rsidRPr="00C8604A">
        <w:t xml:space="preserve">the Court of Appeal </w:t>
      </w:r>
      <w:r w:rsidR="0074164E">
        <w:t>asserted</w:t>
      </w:r>
      <w:r w:rsidR="002F1AE5" w:rsidRPr="00C8604A">
        <w:rPr>
          <w:szCs w:val="26"/>
        </w:rPr>
        <w:t>:</w:t>
      </w:r>
      <w:r w:rsidRPr="00C8604A">
        <w:rPr>
          <w:szCs w:val="26"/>
        </w:rPr>
        <w:t xml:space="preserve">  </w:t>
      </w:r>
      <w:r w:rsidR="002F1AE5" w:rsidRPr="00C8604A">
        <w:rPr>
          <w:szCs w:val="26"/>
        </w:rPr>
        <w:t>“Westlake Health was free to challenge</w:t>
      </w:r>
      <w:r w:rsidRPr="00C8604A">
        <w:rPr>
          <w:szCs w:val="26"/>
        </w:rPr>
        <w:t xml:space="preserve"> [Dr.] </w:t>
      </w:r>
      <w:proofErr w:type="spellStart"/>
      <w:r w:rsidR="002F1AE5" w:rsidRPr="00C8604A">
        <w:rPr>
          <w:szCs w:val="26"/>
        </w:rPr>
        <w:t>Leevil’s</w:t>
      </w:r>
      <w:proofErr w:type="spellEnd"/>
      <w:r w:rsidR="002F1AE5" w:rsidRPr="00C8604A">
        <w:rPr>
          <w:szCs w:val="26"/>
        </w:rPr>
        <w:t xml:space="preserve"> claimed ownership in court.  (</w:t>
      </w:r>
      <w:proofErr w:type="spellStart"/>
      <w:r w:rsidR="002F1AE5" w:rsidRPr="00C8604A">
        <w:rPr>
          <w:i/>
          <w:szCs w:val="26"/>
        </w:rPr>
        <w:t>Orcilla</w:t>
      </w:r>
      <w:proofErr w:type="spellEnd"/>
      <w:r w:rsidR="002F1AE5" w:rsidRPr="00C8604A">
        <w:rPr>
          <w:i/>
          <w:szCs w:val="26"/>
        </w:rPr>
        <w:t xml:space="preserve"> v. Big Sur, Inc.</w:t>
      </w:r>
      <w:r w:rsidR="002F1AE5" w:rsidRPr="00C8604A">
        <w:rPr>
          <w:szCs w:val="26"/>
        </w:rPr>
        <w:t xml:space="preserve"> (2016) 244 Cal.App.4th 982, 1010 </w:t>
      </w:r>
      <w:r w:rsidR="0074164E">
        <w:rPr>
          <w:szCs w:val="26"/>
        </w:rPr>
        <w:t xml:space="preserve">[198 Cal.Rptr.3d 715] </w:t>
      </w:r>
      <w:r w:rsidR="002F1AE5" w:rsidRPr="00C8604A">
        <w:rPr>
          <w:szCs w:val="26"/>
        </w:rPr>
        <w:t>[title can be litigated in a §</w:t>
      </w:r>
      <w:r w:rsidR="001A24CB" w:rsidRPr="00C8604A">
        <w:rPr>
          <w:szCs w:val="26"/>
        </w:rPr>
        <w:t> </w:t>
      </w:r>
      <w:r w:rsidR="002F1AE5" w:rsidRPr="00C8604A">
        <w:rPr>
          <w:szCs w:val="26"/>
        </w:rPr>
        <w:t>1161a unlawful detainer action].)”  (</w:t>
      </w:r>
      <w:r w:rsidR="007D00C0" w:rsidRPr="00C8604A">
        <w:rPr>
          <w:i/>
          <w:szCs w:val="26"/>
        </w:rPr>
        <w:t>Dr. </w:t>
      </w:r>
      <w:proofErr w:type="spellStart"/>
      <w:r w:rsidR="002F1AE5" w:rsidRPr="00C8604A">
        <w:rPr>
          <w:i/>
          <w:szCs w:val="26"/>
        </w:rPr>
        <w:t>Leevil</w:t>
      </w:r>
      <w:proofErr w:type="spellEnd"/>
      <w:r w:rsidR="002F1AE5" w:rsidRPr="00C8604A">
        <w:rPr>
          <w:i/>
          <w:szCs w:val="26"/>
        </w:rPr>
        <w:t>, LLC v. Westlake Health Care Center</w:t>
      </w:r>
      <w:r w:rsidRPr="00C8604A">
        <w:rPr>
          <w:szCs w:val="26"/>
        </w:rPr>
        <w:t xml:space="preserve">, </w:t>
      </w:r>
      <w:r w:rsidRPr="00C8604A">
        <w:rPr>
          <w:i/>
          <w:szCs w:val="26"/>
        </w:rPr>
        <w:t>supra</w:t>
      </w:r>
      <w:r w:rsidRPr="00C8604A">
        <w:rPr>
          <w:szCs w:val="26"/>
        </w:rPr>
        <w:t xml:space="preserve">, </w:t>
      </w:r>
      <w:r w:rsidR="002F1AE5" w:rsidRPr="00C8604A">
        <w:rPr>
          <w:szCs w:val="26"/>
        </w:rPr>
        <w:t xml:space="preserve">9 Cal.App.5th </w:t>
      </w:r>
      <w:r w:rsidRPr="00C8604A">
        <w:rPr>
          <w:szCs w:val="26"/>
        </w:rPr>
        <w:t xml:space="preserve">at p. </w:t>
      </w:r>
      <w:r w:rsidR="002F1AE5" w:rsidRPr="00C8604A">
        <w:rPr>
          <w:szCs w:val="26"/>
        </w:rPr>
        <w:t>456.)</w:t>
      </w:r>
      <w:r w:rsidR="00752518" w:rsidRPr="00C8604A">
        <w:rPr>
          <w:szCs w:val="26"/>
        </w:rPr>
        <w:t xml:space="preserve">  </w:t>
      </w:r>
      <w:r w:rsidR="0002638B" w:rsidRPr="00C8604A">
        <w:rPr>
          <w:szCs w:val="26"/>
        </w:rPr>
        <w:t>On this point</w:t>
      </w:r>
      <w:r w:rsidR="00BD743F" w:rsidRPr="00C8604A">
        <w:rPr>
          <w:szCs w:val="26"/>
        </w:rPr>
        <w:t xml:space="preserve">, the Court of Appeal was </w:t>
      </w:r>
      <w:r w:rsidRPr="00C8604A">
        <w:rPr>
          <w:szCs w:val="26"/>
        </w:rPr>
        <w:t>misleading</w:t>
      </w:r>
      <w:r w:rsidR="00752518" w:rsidRPr="00C8604A">
        <w:rPr>
          <w:szCs w:val="26"/>
        </w:rPr>
        <w:t xml:space="preserve">.  </w:t>
      </w:r>
      <w:proofErr w:type="spellStart"/>
      <w:r w:rsidR="002F1AE5" w:rsidRPr="00C8604A">
        <w:rPr>
          <w:i/>
          <w:szCs w:val="26"/>
        </w:rPr>
        <w:t>Orcilla</w:t>
      </w:r>
      <w:proofErr w:type="spellEnd"/>
      <w:r w:rsidR="002F1AE5" w:rsidRPr="00C8604A">
        <w:rPr>
          <w:szCs w:val="26"/>
        </w:rPr>
        <w:t xml:space="preserve"> a</w:t>
      </w:r>
      <w:r w:rsidR="00752518" w:rsidRPr="00C8604A">
        <w:rPr>
          <w:szCs w:val="26"/>
        </w:rPr>
        <w:t>nd the cases on which it reli</w:t>
      </w:r>
      <w:r w:rsidR="00065B9C" w:rsidRPr="00C8604A">
        <w:rPr>
          <w:szCs w:val="26"/>
        </w:rPr>
        <w:t>e</w:t>
      </w:r>
      <w:r w:rsidR="00752518" w:rsidRPr="00C8604A">
        <w:rPr>
          <w:szCs w:val="26"/>
        </w:rPr>
        <w:t xml:space="preserve">s </w:t>
      </w:r>
      <w:r w:rsidR="002F1AE5" w:rsidRPr="00C8604A">
        <w:rPr>
          <w:szCs w:val="26"/>
        </w:rPr>
        <w:t xml:space="preserve">establish </w:t>
      </w:r>
      <w:r w:rsidR="00065B9C" w:rsidRPr="00C8604A">
        <w:rPr>
          <w:szCs w:val="26"/>
        </w:rPr>
        <w:t xml:space="preserve">only </w:t>
      </w:r>
      <w:r w:rsidR="002F1AE5" w:rsidRPr="00C8604A">
        <w:rPr>
          <w:szCs w:val="26"/>
        </w:rPr>
        <w:t xml:space="preserve">that Westlake </w:t>
      </w:r>
      <w:r w:rsidR="00752518" w:rsidRPr="00C8604A">
        <w:rPr>
          <w:szCs w:val="26"/>
        </w:rPr>
        <w:t xml:space="preserve">Health </w:t>
      </w:r>
      <w:r w:rsidR="000439CE" w:rsidRPr="00C8604A">
        <w:rPr>
          <w:szCs w:val="26"/>
        </w:rPr>
        <w:t xml:space="preserve">could use the unlawful detainer action to litigate </w:t>
      </w:r>
      <w:r w:rsidR="00696710" w:rsidRPr="00C8604A">
        <w:rPr>
          <w:szCs w:val="26"/>
        </w:rPr>
        <w:t xml:space="preserve">whether </w:t>
      </w:r>
      <w:r w:rsidR="007D00C0" w:rsidRPr="00C8604A">
        <w:rPr>
          <w:szCs w:val="26"/>
        </w:rPr>
        <w:t>Dr. </w:t>
      </w:r>
      <w:proofErr w:type="spellStart"/>
      <w:r w:rsidR="00B101C1" w:rsidRPr="00C8604A">
        <w:rPr>
          <w:szCs w:val="26"/>
        </w:rPr>
        <w:t>Leevil</w:t>
      </w:r>
      <w:proofErr w:type="spellEnd"/>
      <w:r w:rsidR="00B101C1" w:rsidRPr="00C8604A">
        <w:rPr>
          <w:szCs w:val="26"/>
        </w:rPr>
        <w:t xml:space="preserve"> </w:t>
      </w:r>
      <w:r w:rsidR="000439CE" w:rsidRPr="00C8604A">
        <w:rPr>
          <w:szCs w:val="26"/>
        </w:rPr>
        <w:t>“ ‘</w:t>
      </w:r>
      <w:r w:rsidR="00696710" w:rsidRPr="00C8604A">
        <w:rPr>
          <w:szCs w:val="26"/>
        </w:rPr>
        <w:t xml:space="preserve">acquired the property at a regularly conducted sale and thereafter “duly perfected” </w:t>
      </w:r>
      <w:r w:rsidR="00B101C1" w:rsidRPr="00C8604A">
        <w:rPr>
          <w:szCs w:val="26"/>
        </w:rPr>
        <w:t>[its]</w:t>
      </w:r>
      <w:r w:rsidR="00696710" w:rsidRPr="00C8604A">
        <w:rPr>
          <w:szCs w:val="26"/>
        </w:rPr>
        <w:t xml:space="preserve"> title.</w:t>
      </w:r>
      <w:r w:rsidR="000439CE" w:rsidRPr="00C8604A">
        <w:rPr>
          <w:szCs w:val="26"/>
        </w:rPr>
        <w:t>’ ”  (</w:t>
      </w:r>
      <w:proofErr w:type="spellStart"/>
      <w:r w:rsidR="0074164E" w:rsidRPr="00C8604A">
        <w:rPr>
          <w:i/>
          <w:szCs w:val="26"/>
        </w:rPr>
        <w:t>Orcilla</w:t>
      </w:r>
      <w:proofErr w:type="spellEnd"/>
      <w:r w:rsidR="0074164E" w:rsidRPr="00C8604A">
        <w:rPr>
          <w:i/>
          <w:szCs w:val="26"/>
        </w:rPr>
        <w:t xml:space="preserve"> v. Big Sur, Inc.</w:t>
      </w:r>
      <w:r w:rsidR="0074164E" w:rsidRPr="00C8604A">
        <w:rPr>
          <w:szCs w:val="26"/>
        </w:rPr>
        <w:t xml:space="preserve"> (2016) </w:t>
      </w:r>
      <w:r w:rsidR="0074164E">
        <w:rPr>
          <w:szCs w:val="26"/>
        </w:rPr>
        <w:t xml:space="preserve">244 Cal.App.4th 982, </w:t>
      </w:r>
      <w:r w:rsidR="000439CE" w:rsidRPr="00C8604A">
        <w:rPr>
          <w:szCs w:val="26"/>
        </w:rPr>
        <w:t xml:space="preserve">1011, quoting </w:t>
      </w:r>
      <w:r w:rsidR="000439CE" w:rsidRPr="00C8604A">
        <w:rPr>
          <w:i/>
          <w:szCs w:val="26"/>
        </w:rPr>
        <w:t>Vella</w:t>
      </w:r>
      <w:r w:rsidR="00A45837" w:rsidRPr="00C8604A">
        <w:rPr>
          <w:szCs w:val="26"/>
        </w:rPr>
        <w:t xml:space="preserve">, </w:t>
      </w:r>
      <w:r w:rsidR="00A45837" w:rsidRPr="00C8604A">
        <w:rPr>
          <w:i/>
          <w:szCs w:val="26"/>
        </w:rPr>
        <w:t>supra</w:t>
      </w:r>
      <w:r w:rsidR="00A45837" w:rsidRPr="00C8604A">
        <w:rPr>
          <w:szCs w:val="26"/>
        </w:rPr>
        <w:t xml:space="preserve">, </w:t>
      </w:r>
      <w:r w:rsidR="000439CE" w:rsidRPr="00C8604A">
        <w:rPr>
          <w:szCs w:val="26"/>
        </w:rPr>
        <w:t xml:space="preserve">20 Cal.3d </w:t>
      </w:r>
      <w:r w:rsidR="00A45837" w:rsidRPr="00C8604A">
        <w:rPr>
          <w:szCs w:val="26"/>
        </w:rPr>
        <w:t xml:space="preserve">at p. </w:t>
      </w:r>
      <w:r w:rsidR="000439CE" w:rsidRPr="00C8604A">
        <w:rPr>
          <w:szCs w:val="26"/>
        </w:rPr>
        <w:t>25</w:t>
      </w:r>
      <w:r w:rsidR="00E4408B" w:rsidRPr="00C8604A">
        <w:rPr>
          <w:szCs w:val="26"/>
        </w:rPr>
        <w:t>5</w:t>
      </w:r>
      <w:r w:rsidR="007B6883" w:rsidRPr="00C8604A">
        <w:rPr>
          <w:szCs w:val="26"/>
        </w:rPr>
        <w:t>.)</w:t>
      </w:r>
      <w:r w:rsidR="00E4408B" w:rsidRPr="00C8604A">
        <w:rPr>
          <w:szCs w:val="26"/>
        </w:rPr>
        <w:t xml:space="preserve">  </w:t>
      </w:r>
      <w:r w:rsidR="00696710" w:rsidRPr="00C8604A">
        <w:rPr>
          <w:szCs w:val="26"/>
        </w:rPr>
        <w:t xml:space="preserve">The unlawful detainer action did not permit </w:t>
      </w:r>
      <w:r w:rsidR="007B6883" w:rsidRPr="00C8604A">
        <w:rPr>
          <w:szCs w:val="26"/>
        </w:rPr>
        <w:t>Westlake Health</w:t>
      </w:r>
      <w:r w:rsidR="00696710" w:rsidRPr="00C8604A">
        <w:rPr>
          <w:szCs w:val="26"/>
        </w:rPr>
        <w:t xml:space="preserve"> </w:t>
      </w:r>
      <w:r w:rsidR="007B6883" w:rsidRPr="00C8604A">
        <w:rPr>
          <w:szCs w:val="26"/>
        </w:rPr>
        <w:t xml:space="preserve">to litigate every </w:t>
      </w:r>
      <w:r w:rsidR="00BD743F" w:rsidRPr="00C8604A">
        <w:rPr>
          <w:szCs w:val="26"/>
        </w:rPr>
        <w:t xml:space="preserve">possible </w:t>
      </w:r>
      <w:r w:rsidR="007B6883" w:rsidRPr="00C8604A">
        <w:rPr>
          <w:szCs w:val="26"/>
        </w:rPr>
        <w:t xml:space="preserve">issue related to </w:t>
      </w:r>
      <w:r w:rsidR="007D00C0" w:rsidRPr="00C8604A">
        <w:rPr>
          <w:szCs w:val="26"/>
        </w:rPr>
        <w:t>Dr. </w:t>
      </w:r>
      <w:proofErr w:type="spellStart"/>
      <w:r w:rsidR="007B6883" w:rsidRPr="00C8604A">
        <w:rPr>
          <w:szCs w:val="26"/>
        </w:rPr>
        <w:t>Leevil’s</w:t>
      </w:r>
      <w:proofErr w:type="spellEnd"/>
      <w:r w:rsidR="007B6883" w:rsidRPr="00C8604A">
        <w:rPr>
          <w:szCs w:val="26"/>
        </w:rPr>
        <w:t xml:space="preserve"> claim</w:t>
      </w:r>
      <w:r w:rsidR="00696710" w:rsidRPr="00C8604A">
        <w:rPr>
          <w:szCs w:val="26"/>
        </w:rPr>
        <w:t xml:space="preserve"> of </w:t>
      </w:r>
      <w:r w:rsidR="007B6883" w:rsidRPr="00C8604A">
        <w:rPr>
          <w:szCs w:val="26"/>
        </w:rPr>
        <w:t>ownership.  “Matters affecting the validity of the trust deed or primary obligation itself, or other basic defects in the plaintiff’s title, are neither properly raised in this summary proceeding for possession, nor are they concluded by the judgment.”  (</w:t>
      </w:r>
      <w:r w:rsidR="000439CE" w:rsidRPr="00C8604A">
        <w:rPr>
          <w:i/>
          <w:szCs w:val="26"/>
        </w:rPr>
        <w:t xml:space="preserve">Cheney v. </w:t>
      </w:r>
      <w:proofErr w:type="spellStart"/>
      <w:r w:rsidR="000439CE" w:rsidRPr="00C8604A">
        <w:rPr>
          <w:i/>
          <w:szCs w:val="26"/>
        </w:rPr>
        <w:t>Trauzettel</w:t>
      </w:r>
      <w:proofErr w:type="spellEnd"/>
      <w:r w:rsidR="000439CE" w:rsidRPr="00C8604A">
        <w:rPr>
          <w:szCs w:val="26"/>
        </w:rPr>
        <w:t xml:space="preserve"> (1937) 9 Cal.2d 158, 160</w:t>
      </w:r>
      <w:r w:rsidR="000F090E" w:rsidRPr="00C8604A">
        <w:rPr>
          <w:szCs w:val="26"/>
        </w:rPr>
        <w:t xml:space="preserve">; see </w:t>
      </w:r>
      <w:r w:rsidR="000F090E" w:rsidRPr="00C8604A">
        <w:rPr>
          <w:i/>
          <w:szCs w:val="26"/>
        </w:rPr>
        <w:t>Vella</w:t>
      </w:r>
      <w:r w:rsidR="000F090E" w:rsidRPr="00C8604A">
        <w:rPr>
          <w:szCs w:val="26"/>
        </w:rPr>
        <w:t>, at p. 258 [“[S]</w:t>
      </w:r>
      <w:proofErr w:type="spellStart"/>
      <w:r w:rsidR="000F090E" w:rsidRPr="00C8604A">
        <w:rPr>
          <w:szCs w:val="26"/>
        </w:rPr>
        <w:t>ection</w:t>
      </w:r>
      <w:proofErr w:type="spellEnd"/>
      <w:r w:rsidR="000F090E" w:rsidRPr="00C8604A">
        <w:rPr>
          <w:szCs w:val="26"/>
        </w:rPr>
        <w:t xml:space="preserve"> 1161a does not require a defendant to litigate, in a summary action within the statutory time constraints [citations], a complex fraud claim involving activities not directly related to the technical regularity of the trustee’s sale”]</w:t>
      </w:r>
      <w:r w:rsidR="007B6883" w:rsidRPr="00C8604A">
        <w:rPr>
          <w:szCs w:val="26"/>
        </w:rPr>
        <w:t>.)</w:t>
      </w:r>
    </w:p>
    <w:p w14:paraId="419908DC" w14:textId="77777777" w:rsidR="002F1AE5" w:rsidRPr="00C8604A" w:rsidRDefault="002F1AE5" w:rsidP="00C8604A">
      <w:pPr>
        <w:tabs>
          <w:tab w:val="left" w:pos="1440"/>
        </w:tabs>
        <w:ind w:firstLine="720"/>
      </w:pPr>
      <w:r w:rsidRPr="00C8604A">
        <w:rPr>
          <w:szCs w:val="26"/>
        </w:rPr>
        <w:t>Therefore, Westlake Health</w:t>
      </w:r>
      <w:r w:rsidR="00E4555D" w:rsidRPr="00C8604A">
        <w:rPr>
          <w:szCs w:val="26"/>
        </w:rPr>
        <w:t xml:space="preserve">’s ability </w:t>
      </w:r>
      <w:r w:rsidRPr="00C8604A">
        <w:rPr>
          <w:szCs w:val="26"/>
        </w:rPr>
        <w:t xml:space="preserve">to challenge </w:t>
      </w:r>
      <w:r w:rsidR="007D00C0" w:rsidRPr="00C8604A">
        <w:rPr>
          <w:szCs w:val="26"/>
        </w:rPr>
        <w:t>Dr. </w:t>
      </w:r>
      <w:proofErr w:type="spellStart"/>
      <w:r w:rsidRPr="00C8604A">
        <w:rPr>
          <w:szCs w:val="26"/>
        </w:rPr>
        <w:t>Leevil’s</w:t>
      </w:r>
      <w:proofErr w:type="spellEnd"/>
      <w:r w:rsidRPr="00C8604A">
        <w:rPr>
          <w:szCs w:val="26"/>
        </w:rPr>
        <w:t xml:space="preserve"> claim</w:t>
      </w:r>
      <w:r w:rsidR="00E4408B" w:rsidRPr="00C8604A">
        <w:rPr>
          <w:szCs w:val="26"/>
        </w:rPr>
        <w:t xml:space="preserve"> of </w:t>
      </w:r>
      <w:r w:rsidRPr="00C8604A">
        <w:rPr>
          <w:szCs w:val="26"/>
        </w:rPr>
        <w:t xml:space="preserve">ownership </w:t>
      </w:r>
      <w:r w:rsidR="00E4555D" w:rsidRPr="00C8604A">
        <w:rPr>
          <w:szCs w:val="26"/>
        </w:rPr>
        <w:t xml:space="preserve">was limited, </w:t>
      </w:r>
      <w:r w:rsidRPr="00C8604A">
        <w:rPr>
          <w:szCs w:val="26"/>
        </w:rPr>
        <w:t>and the C</w:t>
      </w:r>
      <w:r w:rsidR="00E4408B" w:rsidRPr="00C8604A">
        <w:rPr>
          <w:szCs w:val="26"/>
        </w:rPr>
        <w:t xml:space="preserve">ourt of Appeal </w:t>
      </w:r>
      <w:r w:rsidR="00E4555D" w:rsidRPr="00C8604A">
        <w:rPr>
          <w:szCs w:val="26"/>
        </w:rPr>
        <w:t xml:space="preserve">erred </w:t>
      </w:r>
      <w:r w:rsidR="000F090E" w:rsidRPr="00C8604A">
        <w:rPr>
          <w:szCs w:val="26"/>
        </w:rPr>
        <w:t>in</w:t>
      </w:r>
      <w:r w:rsidR="00E4555D" w:rsidRPr="00C8604A">
        <w:rPr>
          <w:szCs w:val="26"/>
        </w:rPr>
        <w:t xml:space="preserve"> </w:t>
      </w:r>
      <w:r w:rsidRPr="00C8604A">
        <w:rPr>
          <w:szCs w:val="26"/>
        </w:rPr>
        <w:t>suggest</w:t>
      </w:r>
      <w:r w:rsidR="00E4555D" w:rsidRPr="00C8604A">
        <w:rPr>
          <w:szCs w:val="26"/>
        </w:rPr>
        <w:t>ing</w:t>
      </w:r>
      <w:r w:rsidRPr="00C8604A">
        <w:rPr>
          <w:szCs w:val="26"/>
        </w:rPr>
        <w:t xml:space="preserve"> otherwise.  </w:t>
      </w:r>
      <w:r w:rsidR="00BD743F" w:rsidRPr="00C8604A">
        <w:rPr>
          <w:szCs w:val="26"/>
        </w:rPr>
        <w:t xml:space="preserve">And more generally, </w:t>
      </w:r>
      <w:r w:rsidR="00184B8C" w:rsidRPr="00C8604A">
        <w:rPr>
          <w:szCs w:val="26"/>
        </w:rPr>
        <w:t>i</w:t>
      </w:r>
      <w:r w:rsidR="00B30D65" w:rsidRPr="00C8604A">
        <w:rPr>
          <w:szCs w:val="26"/>
        </w:rPr>
        <w:t xml:space="preserve">f </w:t>
      </w:r>
      <w:r w:rsidR="007B5B83" w:rsidRPr="00C8604A">
        <w:rPr>
          <w:szCs w:val="26"/>
        </w:rPr>
        <w:t xml:space="preserve">the cloud on </w:t>
      </w:r>
      <w:r w:rsidR="00BD743F" w:rsidRPr="00C8604A">
        <w:rPr>
          <w:szCs w:val="26"/>
        </w:rPr>
        <w:t>a</w:t>
      </w:r>
      <w:r w:rsidR="007B5B83" w:rsidRPr="00C8604A">
        <w:rPr>
          <w:szCs w:val="26"/>
        </w:rPr>
        <w:t xml:space="preserve"> new owner’s title </w:t>
      </w:r>
      <w:r w:rsidR="00BD743F" w:rsidRPr="00C8604A">
        <w:rPr>
          <w:szCs w:val="26"/>
        </w:rPr>
        <w:t xml:space="preserve">concerns an issue that cannot be </w:t>
      </w:r>
      <w:r w:rsidR="007B5B83" w:rsidRPr="00C8604A">
        <w:rPr>
          <w:szCs w:val="26"/>
        </w:rPr>
        <w:t>litigated in an unlawful detainer action</w:t>
      </w:r>
      <w:r w:rsidR="00F43F7A" w:rsidRPr="00C8604A">
        <w:rPr>
          <w:szCs w:val="26"/>
        </w:rPr>
        <w:t>,</w:t>
      </w:r>
      <w:r w:rsidR="007B5B83" w:rsidRPr="00C8604A">
        <w:rPr>
          <w:szCs w:val="26"/>
        </w:rPr>
        <w:t xml:space="preserve"> and if</w:t>
      </w:r>
      <w:r w:rsidR="00F43F7A" w:rsidRPr="00C8604A">
        <w:rPr>
          <w:szCs w:val="26"/>
        </w:rPr>
        <w:t>, as the Court of Appeal concluded,</w:t>
      </w:r>
      <w:r w:rsidR="007B5B83" w:rsidRPr="00C8604A">
        <w:rPr>
          <w:szCs w:val="26"/>
        </w:rPr>
        <w:t xml:space="preserve"> </w:t>
      </w:r>
      <w:r w:rsidR="00BD743F" w:rsidRPr="00C8604A">
        <w:rPr>
          <w:szCs w:val="26"/>
        </w:rPr>
        <w:t>a</w:t>
      </w:r>
      <w:r w:rsidR="00B30D65" w:rsidRPr="00C8604A">
        <w:rPr>
          <w:szCs w:val="26"/>
        </w:rPr>
        <w:t xml:space="preserve"> new owner c</w:t>
      </w:r>
      <w:r w:rsidR="00BD743F" w:rsidRPr="00C8604A">
        <w:rPr>
          <w:szCs w:val="26"/>
        </w:rPr>
        <w:t>an</w:t>
      </w:r>
      <w:r w:rsidR="00B30D65" w:rsidRPr="00C8604A">
        <w:rPr>
          <w:szCs w:val="26"/>
        </w:rPr>
        <w:t xml:space="preserve"> serve </w:t>
      </w:r>
      <w:r w:rsidR="00BD743F" w:rsidRPr="00C8604A">
        <w:rPr>
          <w:szCs w:val="26"/>
        </w:rPr>
        <w:t>a</w:t>
      </w:r>
      <w:r w:rsidR="00B30D65" w:rsidRPr="00C8604A">
        <w:rPr>
          <w:szCs w:val="26"/>
        </w:rPr>
        <w:t xml:space="preserve"> three-day written notice to quit </w:t>
      </w:r>
      <w:r w:rsidR="00184B8C" w:rsidRPr="00C8604A">
        <w:rPr>
          <w:szCs w:val="26"/>
        </w:rPr>
        <w:t xml:space="preserve">before </w:t>
      </w:r>
      <w:r w:rsidR="00B30D65" w:rsidRPr="00C8604A">
        <w:rPr>
          <w:szCs w:val="26"/>
        </w:rPr>
        <w:t xml:space="preserve">perfecting title, </w:t>
      </w:r>
      <w:r w:rsidR="00F43F7A" w:rsidRPr="00C8604A">
        <w:rPr>
          <w:szCs w:val="26"/>
        </w:rPr>
        <w:t xml:space="preserve">then </w:t>
      </w:r>
      <w:r w:rsidR="00F05F61" w:rsidRPr="00C8604A">
        <w:rPr>
          <w:szCs w:val="26"/>
        </w:rPr>
        <w:t>a</w:t>
      </w:r>
      <w:r w:rsidR="00B30D65" w:rsidRPr="00C8604A">
        <w:rPr>
          <w:szCs w:val="26"/>
        </w:rPr>
        <w:t xml:space="preserve"> </w:t>
      </w:r>
      <w:r w:rsidR="00BD743F" w:rsidRPr="00C8604A">
        <w:rPr>
          <w:szCs w:val="26"/>
        </w:rPr>
        <w:t xml:space="preserve">holdover possessor </w:t>
      </w:r>
      <w:r w:rsidR="007B5B83" w:rsidRPr="00C8604A">
        <w:rPr>
          <w:szCs w:val="26"/>
        </w:rPr>
        <w:t xml:space="preserve">of </w:t>
      </w:r>
      <w:r w:rsidR="00856A41" w:rsidRPr="00C8604A">
        <w:rPr>
          <w:szCs w:val="26"/>
        </w:rPr>
        <w:t xml:space="preserve">the </w:t>
      </w:r>
      <w:r w:rsidR="007B5B83" w:rsidRPr="00C8604A">
        <w:rPr>
          <w:szCs w:val="26"/>
        </w:rPr>
        <w:t xml:space="preserve">property </w:t>
      </w:r>
      <w:r w:rsidR="00B30D65" w:rsidRPr="00C8604A">
        <w:rPr>
          <w:szCs w:val="26"/>
        </w:rPr>
        <w:t>would have no choice but to vacate the pr</w:t>
      </w:r>
      <w:r w:rsidR="00BD743F" w:rsidRPr="00C8604A">
        <w:rPr>
          <w:szCs w:val="26"/>
        </w:rPr>
        <w:t xml:space="preserve">operty </w:t>
      </w:r>
      <w:r w:rsidR="00F43F7A" w:rsidRPr="00C8604A">
        <w:rPr>
          <w:szCs w:val="26"/>
        </w:rPr>
        <w:t>upon receipt of the notice</w:t>
      </w:r>
      <w:r w:rsidR="00B30D65" w:rsidRPr="00C8604A">
        <w:rPr>
          <w:szCs w:val="26"/>
        </w:rPr>
        <w:t>.</w:t>
      </w:r>
      <w:r w:rsidR="00F43F7A" w:rsidRPr="00C8604A">
        <w:rPr>
          <w:szCs w:val="26"/>
        </w:rPr>
        <w:t xml:space="preserve">  I</w:t>
      </w:r>
      <w:r w:rsidR="00184B8C" w:rsidRPr="00C8604A">
        <w:rPr>
          <w:szCs w:val="26"/>
        </w:rPr>
        <w:t xml:space="preserve">t is </w:t>
      </w:r>
      <w:r w:rsidR="00F43F7A" w:rsidRPr="00C8604A">
        <w:rPr>
          <w:szCs w:val="26"/>
        </w:rPr>
        <w:t xml:space="preserve">possible, however, that </w:t>
      </w:r>
      <w:r w:rsidR="00184B8C" w:rsidRPr="00C8604A">
        <w:rPr>
          <w:szCs w:val="26"/>
        </w:rPr>
        <w:t xml:space="preserve">the </w:t>
      </w:r>
      <w:r w:rsidR="00F43F7A" w:rsidRPr="00C8604A">
        <w:rPr>
          <w:szCs w:val="26"/>
        </w:rPr>
        <w:t xml:space="preserve">cloud on the title would prevent </w:t>
      </w:r>
      <w:r w:rsidR="00856A41" w:rsidRPr="00C8604A">
        <w:rPr>
          <w:szCs w:val="26"/>
        </w:rPr>
        <w:t xml:space="preserve">the </w:t>
      </w:r>
      <w:r w:rsidR="00BD743F" w:rsidRPr="00C8604A">
        <w:rPr>
          <w:szCs w:val="26"/>
        </w:rPr>
        <w:t xml:space="preserve">title from ever being </w:t>
      </w:r>
      <w:r w:rsidR="00FA5FB3" w:rsidRPr="00C8604A">
        <w:rPr>
          <w:szCs w:val="26"/>
        </w:rPr>
        <w:t>perfect</w:t>
      </w:r>
      <w:r w:rsidR="00BD743F" w:rsidRPr="00C8604A">
        <w:rPr>
          <w:szCs w:val="26"/>
        </w:rPr>
        <w:t>ed</w:t>
      </w:r>
      <w:r w:rsidR="00FA5FB3" w:rsidRPr="00C8604A">
        <w:rPr>
          <w:szCs w:val="26"/>
        </w:rPr>
        <w:t xml:space="preserve">, in which case the </w:t>
      </w:r>
      <w:r w:rsidR="00BD743F" w:rsidRPr="00C8604A">
        <w:rPr>
          <w:szCs w:val="26"/>
        </w:rPr>
        <w:t xml:space="preserve">holdover possessor </w:t>
      </w:r>
      <w:r w:rsidR="00FA5FB3" w:rsidRPr="00C8604A">
        <w:rPr>
          <w:szCs w:val="26"/>
        </w:rPr>
        <w:t>would have vacated the property unnecessarily</w:t>
      </w:r>
      <w:r w:rsidR="00F43F7A" w:rsidRPr="00C8604A">
        <w:rPr>
          <w:szCs w:val="26"/>
        </w:rPr>
        <w:t xml:space="preserve">.  </w:t>
      </w:r>
      <w:r w:rsidR="00362C8B" w:rsidRPr="00C8604A">
        <w:rPr>
          <w:szCs w:val="26"/>
        </w:rPr>
        <w:t xml:space="preserve">Therefore, a </w:t>
      </w:r>
      <w:r w:rsidR="00B101C1" w:rsidRPr="00C8604A">
        <w:rPr>
          <w:szCs w:val="26"/>
        </w:rPr>
        <w:t>rule</w:t>
      </w:r>
      <w:r w:rsidR="000F090E" w:rsidRPr="00C8604A">
        <w:rPr>
          <w:szCs w:val="26"/>
        </w:rPr>
        <w:t xml:space="preserve"> </w:t>
      </w:r>
      <w:r w:rsidR="000F090E" w:rsidRPr="00C8604A">
        <w:t xml:space="preserve">requiring </w:t>
      </w:r>
      <w:r w:rsidR="00856A41" w:rsidRPr="00C8604A">
        <w:t xml:space="preserve">a </w:t>
      </w:r>
      <w:r w:rsidR="000F090E" w:rsidRPr="00C8604A">
        <w:t xml:space="preserve">new owner </w:t>
      </w:r>
      <w:r w:rsidR="00184B8C" w:rsidRPr="00C8604A">
        <w:t xml:space="preserve">to </w:t>
      </w:r>
      <w:r w:rsidR="000F090E" w:rsidRPr="00C8604A">
        <w:t xml:space="preserve">perfect title </w:t>
      </w:r>
      <w:r w:rsidR="000F090E" w:rsidRPr="00C8604A">
        <w:rPr>
          <w:i/>
        </w:rPr>
        <w:t>before</w:t>
      </w:r>
      <w:r w:rsidR="000F090E" w:rsidRPr="00C8604A">
        <w:t xml:space="preserve"> serv</w:t>
      </w:r>
      <w:r w:rsidR="00184B8C" w:rsidRPr="00C8604A">
        <w:t>ing</w:t>
      </w:r>
      <w:r w:rsidR="000F090E" w:rsidRPr="00C8604A">
        <w:t xml:space="preserve"> </w:t>
      </w:r>
      <w:r w:rsidR="00F43F7A" w:rsidRPr="00C8604A">
        <w:t xml:space="preserve">its </w:t>
      </w:r>
      <w:r w:rsidR="000F090E" w:rsidRPr="00C8604A">
        <w:t>three-day notice</w:t>
      </w:r>
      <w:r w:rsidR="00FA5FB3" w:rsidRPr="00C8604A">
        <w:t xml:space="preserve"> </w:t>
      </w:r>
      <w:r w:rsidR="00BD743F" w:rsidRPr="00C8604A">
        <w:t>w</w:t>
      </w:r>
      <w:r w:rsidR="00FA5FB3" w:rsidRPr="00C8604A">
        <w:t xml:space="preserve">ould </w:t>
      </w:r>
      <w:r w:rsidR="002A2359" w:rsidRPr="00C8604A">
        <w:t xml:space="preserve">avoid </w:t>
      </w:r>
      <w:r w:rsidR="004F364F" w:rsidRPr="00C8604A">
        <w:t xml:space="preserve">the </w:t>
      </w:r>
      <w:r w:rsidR="00346504" w:rsidRPr="00C8604A">
        <w:t>imposi</w:t>
      </w:r>
      <w:r w:rsidR="004F364F" w:rsidRPr="00C8604A">
        <w:t xml:space="preserve">tion of </w:t>
      </w:r>
      <w:r w:rsidR="00BD743F" w:rsidRPr="00C8604A">
        <w:t xml:space="preserve">possibly </w:t>
      </w:r>
      <w:r w:rsidR="00346504" w:rsidRPr="00C8604A">
        <w:t xml:space="preserve">unnecessary relocation expenses on </w:t>
      </w:r>
      <w:r w:rsidR="00856A41" w:rsidRPr="00C8604A">
        <w:t>the possessor of the property</w:t>
      </w:r>
      <w:r w:rsidR="00FA5FB3" w:rsidRPr="00C8604A">
        <w:t>.</w:t>
      </w:r>
    </w:p>
    <w:p w14:paraId="26F5ACE0" w14:textId="77777777" w:rsidR="00816B0D" w:rsidRPr="00C8604A" w:rsidRDefault="007D00C0" w:rsidP="00C8604A">
      <w:pPr>
        <w:tabs>
          <w:tab w:val="left" w:pos="1440"/>
        </w:tabs>
        <w:ind w:firstLine="720"/>
      </w:pPr>
      <w:r w:rsidRPr="00C8604A">
        <w:t>Dr. </w:t>
      </w:r>
      <w:proofErr w:type="spellStart"/>
      <w:r w:rsidR="00994D3F" w:rsidRPr="00C8604A">
        <w:t>Leevil</w:t>
      </w:r>
      <w:proofErr w:type="spellEnd"/>
      <w:r w:rsidR="00994D3F" w:rsidRPr="00C8604A">
        <w:t xml:space="preserve"> </w:t>
      </w:r>
      <w:r w:rsidR="000F090E" w:rsidRPr="00C8604A">
        <w:t>argues</w:t>
      </w:r>
      <w:r w:rsidR="00994D3F" w:rsidRPr="00C8604A">
        <w:t xml:space="preserve"> that </w:t>
      </w:r>
      <w:r w:rsidR="00856A41" w:rsidRPr="00C8604A">
        <w:t xml:space="preserve">such a rule </w:t>
      </w:r>
      <w:r w:rsidR="00994D3F" w:rsidRPr="00C8604A">
        <w:t xml:space="preserve">will lead to </w:t>
      </w:r>
      <w:r w:rsidR="009B663F" w:rsidRPr="00C8604A">
        <w:t xml:space="preserve">a </w:t>
      </w:r>
      <w:r w:rsidR="00994D3F" w:rsidRPr="00C8604A">
        <w:t>delay ranging from several days</w:t>
      </w:r>
      <w:r w:rsidR="00B5159D" w:rsidRPr="00C8604A">
        <w:t xml:space="preserve"> (</w:t>
      </w:r>
      <w:r w:rsidR="00994D3F" w:rsidRPr="00C8604A">
        <w:t xml:space="preserve">in </w:t>
      </w:r>
      <w:r w:rsidR="00856A41" w:rsidRPr="00C8604A">
        <w:t>a</w:t>
      </w:r>
      <w:r w:rsidR="00994D3F" w:rsidRPr="00C8604A">
        <w:t xml:space="preserve"> typical case</w:t>
      </w:r>
      <w:r w:rsidR="00B5159D" w:rsidRPr="00C8604A">
        <w:t>)</w:t>
      </w:r>
      <w:r w:rsidR="00994D3F" w:rsidRPr="00C8604A">
        <w:t xml:space="preserve"> to several weeks</w:t>
      </w:r>
      <w:r w:rsidR="00B5159D" w:rsidRPr="00C8604A">
        <w:t xml:space="preserve"> (</w:t>
      </w:r>
      <w:r w:rsidR="00994D3F" w:rsidRPr="00C8604A">
        <w:t xml:space="preserve">in </w:t>
      </w:r>
      <w:r w:rsidR="00C4188F" w:rsidRPr="00C8604A">
        <w:t>a less typical case</w:t>
      </w:r>
      <w:r w:rsidR="00B5159D" w:rsidRPr="00C8604A">
        <w:t>)</w:t>
      </w:r>
      <w:r w:rsidR="00994D3F" w:rsidRPr="00C8604A">
        <w:t xml:space="preserve"> and th</w:t>
      </w:r>
      <w:r w:rsidR="009B663F" w:rsidRPr="00C8604A">
        <w:t>at</w:t>
      </w:r>
      <w:r w:rsidR="00994D3F" w:rsidRPr="00C8604A">
        <w:t xml:space="preserve"> </w:t>
      </w:r>
      <w:r w:rsidR="00B5159D" w:rsidRPr="00C8604A">
        <w:t xml:space="preserve">the </w:t>
      </w:r>
      <w:r w:rsidR="00994D3F" w:rsidRPr="00C8604A">
        <w:t>delay will increase the new owner’s “carrying charges”</w:t>
      </w:r>
      <w:r w:rsidR="009B663F" w:rsidRPr="00C8604A">
        <w:t xml:space="preserve"> (i.e., </w:t>
      </w:r>
      <w:r w:rsidR="00994D3F" w:rsidRPr="00C8604A">
        <w:t xml:space="preserve">interest payments on debt, property taxes, insurance, </w:t>
      </w:r>
      <w:r w:rsidR="00B5159D" w:rsidRPr="00C8604A">
        <w:t>etc.</w:t>
      </w:r>
      <w:r w:rsidR="00994D3F" w:rsidRPr="00C8604A">
        <w:t xml:space="preserve">), which will increase the damages that a holdover possessor of the property will </w:t>
      </w:r>
      <w:r w:rsidR="00057B30" w:rsidRPr="00C8604A">
        <w:t>owe</w:t>
      </w:r>
      <w:r w:rsidR="00856A41" w:rsidRPr="00C8604A">
        <w:t xml:space="preserve"> once the new owner prevails in an unlawful detainer action</w:t>
      </w:r>
      <w:r w:rsidR="00994D3F" w:rsidRPr="00C8604A">
        <w:t xml:space="preserve">.  </w:t>
      </w:r>
      <w:r w:rsidR="00C4188F" w:rsidRPr="00C8604A">
        <w:t>(</w:t>
      </w:r>
      <w:r w:rsidR="008A571A" w:rsidRPr="00C8604A">
        <w:t xml:space="preserve">See </w:t>
      </w:r>
      <w:r w:rsidR="0074164E">
        <w:t xml:space="preserve">Code </w:t>
      </w:r>
      <w:r w:rsidR="00C4188F" w:rsidRPr="00C8604A">
        <w:t xml:space="preserve">Civ. Proc., § 1174, subd. (b).)  </w:t>
      </w:r>
      <w:r w:rsidR="00FC18ED" w:rsidRPr="00C8604A">
        <w:t xml:space="preserve">In the case of a large commercial </w:t>
      </w:r>
      <w:r w:rsidR="00856A41" w:rsidRPr="00C8604A">
        <w:t>property</w:t>
      </w:r>
      <w:r w:rsidR="00FC18ED" w:rsidRPr="00C8604A">
        <w:t xml:space="preserve">, a delay </w:t>
      </w:r>
      <w:r w:rsidR="00C4188F" w:rsidRPr="00C8604A">
        <w:t xml:space="preserve">of a week or two </w:t>
      </w:r>
      <w:r w:rsidR="00FC18ED" w:rsidRPr="00C8604A">
        <w:t xml:space="preserve">might increase damages significantly.  </w:t>
      </w:r>
      <w:r w:rsidRPr="00C8604A">
        <w:t>Dr. </w:t>
      </w:r>
      <w:proofErr w:type="spellStart"/>
      <w:r w:rsidR="00994D3F" w:rsidRPr="00C8604A">
        <w:t>Leevil</w:t>
      </w:r>
      <w:proofErr w:type="spellEnd"/>
      <w:r w:rsidR="00FC18ED" w:rsidRPr="00C8604A">
        <w:t xml:space="preserve"> </w:t>
      </w:r>
      <w:r w:rsidR="00994D3F" w:rsidRPr="00C8604A">
        <w:t xml:space="preserve">argues that this </w:t>
      </w:r>
      <w:r w:rsidR="009B663F" w:rsidRPr="00C8604A">
        <w:t>increase in damages w</w:t>
      </w:r>
      <w:r w:rsidR="00994D3F" w:rsidRPr="00C8604A">
        <w:t xml:space="preserve">ill increase the number of unlawful detainer actions that </w:t>
      </w:r>
      <w:r w:rsidR="009B663F" w:rsidRPr="00C8604A">
        <w:t xml:space="preserve">can be filed </w:t>
      </w:r>
      <w:r w:rsidR="00A46519" w:rsidRPr="00C8604A">
        <w:t>as “unlimited civil cases”</w:t>
      </w:r>
      <w:r w:rsidR="00856A41" w:rsidRPr="00C8604A">
        <w:t xml:space="preserve"> — </w:t>
      </w:r>
      <w:r w:rsidR="00A46519" w:rsidRPr="00C8604A">
        <w:t>cases</w:t>
      </w:r>
      <w:r w:rsidR="00856A41" w:rsidRPr="00C8604A">
        <w:t>, that is,</w:t>
      </w:r>
      <w:r w:rsidR="00A46519" w:rsidRPr="00C8604A">
        <w:t xml:space="preserve"> where the amount in disp</w:t>
      </w:r>
      <w:r w:rsidR="0074164E">
        <w:t>ute exceeds $25,000 (see Code</w:t>
      </w:r>
      <w:r w:rsidR="00A46519" w:rsidRPr="00C8604A">
        <w:t xml:space="preserve"> Civ. Pro</w:t>
      </w:r>
      <w:r w:rsidR="00DA5B16" w:rsidRPr="00C8604A">
        <w:t>c</w:t>
      </w:r>
      <w:r w:rsidR="00A46519" w:rsidRPr="00C8604A">
        <w:t>., § 86, subd. (a)(4)</w:t>
      </w:r>
      <w:r w:rsidR="00B20B7D">
        <w:t xml:space="preserve">) </w:t>
      </w:r>
      <w:r w:rsidR="00C4188F" w:rsidRPr="00C8604A">
        <w:t xml:space="preserve">— </w:t>
      </w:r>
      <w:r w:rsidR="009B663F" w:rsidRPr="00C8604A">
        <w:t>thu</w:t>
      </w:r>
      <w:r w:rsidR="00FC18ED" w:rsidRPr="00C8604A">
        <w:t>s “clogging the court system.”</w:t>
      </w:r>
      <w:r w:rsidR="003F28DE">
        <w:t xml:space="preserve">  </w:t>
      </w:r>
      <w:r w:rsidR="00FC18ED" w:rsidRPr="00C8604A">
        <w:t xml:space="preserve">We </w:t>
      </w:r>
      <w:r w:rsidR="003F28DE">
        <w:t xml:space="preserve">are not persuaded by the argument.  </w:t>
      </w:r>
      <w:r w:rsidR="009440C5">
        <w:t xml:space="preserve">As an initial matter, we doubt </w:t>
      </w:r>
      <w:r w:rsidR="002746B0" w:rsidRPr="00C8604A">
        <w:t>that</w:t>
      </w:r>
      <w:r w:rsidR="007535DC" w:rsidRPr="00C8604A">
        <w:t xml:space="preserve"> a </w:t>
      </w:r>
      <w:r w:rsidR="00B5159D" w:rsidRPr="00C8604A">
        <w:t xml:space="preserve">significant </w:t>
      </w:r>
      <w:r w:rsidR="002746B0" w:rsidRPr="00C8604A">
        <w:t xml:space="preserve">number of </w:t>
      </w:r>
      <w:r w:rsidR="00927EB7" w:rsidRPr="00C8604A">
        <w:t xml:space="preserve">unlawful detainer </w:t>
      </w:r>
      <w:r w:rsidR="002746B0" w:rsidRPr="00C8604A">
        <w:t>cases will shift</w:t>
      </w:r>
      <w:r w:rsidR="00927EB7" w:rsidRPr="00C8604A">
        <w:t xml:space="preserve">, as a result of our </w:t>
      </w:r>
      <w:r w:rsidR="00057B30" w:rsidRPr="00C8604A">
        <w:t>decision</w:t>
      </w:r>
      <w:r w:rsidR="00927EB7" w:rsidRPr="00C8604A">
        <w:t xml:space="preserve">, from </w:t>
      </w:r>
      <w:r w:rsidR="002746B0" w:rsidRPr="00C8604A">
        <w:t>limited civ</w:t>
      </w:r>
      <w:r w:rsidR="00927EB7" w:rsidRPr="00C8604A">
        <w:t>i</w:t>
      </w:r>
      <w:r w:rsidR="002746B0" w:rsidRPr="00C8604A">
        <w:t>l case</w:t>
      </w:r>
      <w:r w:rsidR="00057B30" w:rsidRPr="00C8604A">
        <w:t>s</w:t>
      </w:r>
      <w:r w:rsidR="00927EB7" w:rsidRPr="00C8604A">
        <w:t xml:space="preserve"> to unlimited civil case</w:t>
      </w:r>
      <w:r w:rsidR="00057B30" w:rsidRPr="00C8604A">
        <w:t>s</w:t>
      </w:r>
      <w:r w:rsidR="00F37558" w:rsidRPr="00C8604A">
        <w:t xml:space="preserve"> </w:t>
      </w:r>
      <w:r w:rsidR="00927EB7" w:rsidRPr="00C8604A">
        <w:t>(Cod</w:t>
      </w:r>
      <w:r w:rsidR="00394219" w:rsidRPr="00C8604A">
        <w:t>e</w:t>
      </w:r>
      <w:r w:rsidR="0074164E">
        <w:t xml:space="preserve"> </w:t>
      </w:r>
      <w:r w:rsidR="00927EB7" w:rsidRPr="00C8604A">
        <w:t>Civ. Pro</w:t>
      </w:r>
      <w:r w:rsidR="00DA5B16" w:rsidRPr="00C8604A">
        <w:t>c</w:t>
      </w:r>
      <w:r w:rsidR="00927EB7" w:rsidRPr="00C8604A">
        <w:t>., § </w:t>
      </w:r>
      <w:r w:rsidR="00394219" w:rsidRPr="00C8604A">
        <w:t>88).</w:t>
      </w:r>
      <w:r w:rsidR="00B5159D" w:rsidRPr="00C8604A">
        <w:t xml:space="preserve">  </w:t>
      </w:r>
      <w:r w:rsidR="009440C5">
        <w:t xml:space="preserve">In the typical case, the far greater proportion of the amount </w:t>
      </w:r>
      <w:r w:rsidR="00644DA0" w:rsidRPr="00C8604A">
        <w:t xml:space="preserve">in dispute </w:t>
      </w:r>
      <w:r w:rsidR="009440C5">
        <w:t>will l</w:t>
      </w:r>
      <w:r w:rsidR="00644DA0" w:rsidRPr="00C8604A">
        <w:t xml:space="preserve">ikely </w:t>
      </w:r>
      <w:r w:rsidR="009440C5">
        <w:t>depend on</w:t>
      </w:r>
      <w:r w:rsidR="00BF24F6">
        <w:t xml:space="preserve"> when </w:t>
      </w:r>
      <w:r w:rsidR="00644DA0" w:rsidRPr="00C8604A">
        <w:t>the unla</w:t>
      </w:r>
      <w:r w:rsidR="00A329DB" w:rsidRPr="00C8604A">
        <w:t xml:space="preserve">wful detainer action is </w:t>
      </w:r>
      <w:r w:rsidR="00856A41" w:rsidRPr="00C8604A">
        <w:t>filed</w:t>
      </w:r>
      <w:r w:rsidR="00644DA0" w:rsidRPr="00C8604A">
        <w:t xml:space="preserve">, </w:t>
      </w:r>
      <w:r w:rsidR="00BF24F6">
        <w:t xml:space="preserve">as opposed to when </w:t>
      </w:r>
      <w:r w:rsidR="00644DA0" w:rsidRPr="00C8604A">
        <w:t xml:space="preserve">the three-day written notice to quit is served.  </w:t>
      </w:r>
      <w:r w:rsidR="007535DC" w:rsidRPr="00C8604A">
        <w:t xml:space="preserve">Here, for example, </w:t>
      </w:r>
      <w:r w:rsidRPr="00C8604A">
        <w:t>Dr. </w:t>
      </w:r>
      <w:proofErr w:type="spellStart"/>
      <w:r w:rsidR="007535DC" w:rsidRPr="00C8604A">
        <w:t>Leevil</w:t>
      </w:r>
      <w:proofErr w:type="spellEnd"/>
      <w:r w:rsidR="007535DC" w:rsidRPr="00C8604A">
        <w:t xml:space="preserve"> </w:t>
      </w:r>
      <w:r w:rsidR="00644DA0" w:rsidRPr="00C8604A">
        <w:t xml:space="preserve">perfected title five days after service of the notice to quit, but it did not </w:t>
      </w:r>
      <w:r w:rsidR="007535DC" w:rsidRPr="00C8604A">
        <w:t>initiat</w:t>
      </w:r>
      <w:r w:rsidR="00644DA0" w:rsidRPr="00C8604A">
        <w:t xml:space="preserve">e this </w:t>
      </w:r>
      <w:r w:rsidR="007535DC" w:rsidRPr="00C8604A">
        <w:t>unlawful detainer action</w:t>
      </w:r>
      <w:r w:rsidR="00644DA0" w:rsidRPr="00C8604A">
        <w:t xml:space="preserve"> until a month </w:t>
      </w:r>
      <w:r w:rsidR="00856A41" w:rsidRPr="00C8604A">
        <w:t>later, and during that time damages continued to mount</w:t>
      </w:r>
      <w:r w:rsidR="00A329DB" w:rsidRPr="00C8604A">
        <w:t>.</w:t>
      </w:r>
      <w:r w:rsidR="00BF24F6">
        <w:t xml:space="preserve">  In any event, our task is to read the statute as written, and for reasons already explained, we read the statute as calling for title to be perfected before the three-day notice is served.</w:t>
      </w:r>
    </w:p>
    <w:p w14:paraId="39F5D5C2" w14:textId="77777777" w:rsidR="00F37558" w:rsidRPr="00C8604A" w:rsidRDefault="00F37558" w:rsidP="00C8604A">
      <w:pPr>
        <w:pStyle w:val="Heading1"/>
      </w:pPr>
      <w:r w:rsidRPr="00C8604A">
        <w:t>Conclusion</w:t>
      </w:r>
    </w:p>
    <w:p w14:paraId="271638C9" w14:textId="77777777" w:rsidR="00AB703A" w:rsidRPr="00C8604A" w:rsidRDefault="00A329DB" w:rsidP="00C8604A">
      <w:pPr>
        <w:tabs>
          <w:tab w:val="left" w:pos="1440"/>
        </w:tabs>
        <w:ind w:firstLine="720"/>
      </w:pPr>
      <w:r w:rsidRPr="00C8604A">
        <w:t xml:space="preserve">We </w:t>
      </w:r>
      <w:r w:rsidR="00AB703A" w:rsidRPr="00C8604A">
        <w:t>conclude that</w:t>
      </w:r>
      <w:r w:rsidR="00282F87" w:rsidRPr="00C8604A">
        <w:t xml:space="preserve"> </w:t>
      </w:r>
      <w:r w:rsidR="00AB703A" w:rsidRPr="00C8604A">
        <w:t xml:space="preserve">an owner that acquires title to property under a power of sale contained in a deed of trust must perfect title </w:t>
      </w:r>
      <w:r w:rsidR="00AB703A" w:rsidRPr="00C8604A">
        <w:rPr>
          <w:i/>
        </w:rPr>
        <w:t>before</w:t>
      </w:r>
      <w:r w:rsidR="00AB703A" w:rsidRPr="00C8604A">
        <w:t xml:space="preserve"> serving the three-day written notice to quit</w:t>
      </w:r>
      <w:r w:rsidR="00282F87" w:rsidRPr="00C8604A">
        <w:t xml:space="preserve"> required by Code of Civil Procedure section 1161a(b)</w:t>
      </w:r>
      <w:r w:rsidR="00AB703A" w:rsidRPr="00C8604A">
        <w:t xml:space="preserve">.  </w:t>
      </w:r>
      <w:r w:rsidR="002F026D" w:rsidRPr="00C8604A">
        <w:t xml:space="preserve">Accordingly, the judgment of </w:t>
      </w:r>
      <w:r w:rsidR="00AB703A" w:rsidRPr="00C8604A">
        <w:t xml:space="preserve">the Court of Appeal </w:t>
      </w:r>
      <w:r w:rsidR="002F026D" w:rsidRPr="00C8604A">
        <w:t>is reversed</w:t>
      </w:r>
      <w:r w:rsidR="00AB703A" w:rsidRPr="00C8604A">
        <w:t>.</w:t>
      </w:r>
    </w:p>
    <w:bookmarkEnd w:id="0"/>
    <w:p w14:paraId="1A8D5189" w14:textId="77777777" w:rsidR="00ED68F3" w:rsidRDefault="00ED68F3" w:rsidP="00ED68F3">
      <w:pPr>
        <w:keepNext/>
        <w:keepLines/>
        <w:tabs>
          <w:tab w:val="left" w:pos="5760"/>
        </w:tabs>
        <w:ind w:firstLine="720"/>
      </w:pPr>
    </w:p>
    <w:p w14:paraId="3A7DB86E" w14:textId="77777777" w:rsidR="00ED68F3" w:rsidRPr="001574EF" w:rsidRDefault="00ED68F3" w:rsidP="00ED68F3">
      <w:pPr>
        <w:keepNext/>
        <w:keepLines/>
        <w:tabs>
          <w:tab w:val="left" w:pos="5760"/>
        </w:tabs>
        <w:ind w:firstLine="720"/>
        <w:rPr>
          <w:b/>
        </w:rPr>
      </w:pPr>
      <w:r w:rsidRPr="001574EF">
        <w:tab/>
      </w:r>
      <w:r w:rsidRPr="001574EF">
        <w:rPr>
          <w:b/>
        </w:rPr>
        <w:t>CHIN, J.</w:t>
      </w:r>
    </w:p>
    <w:p w14:paraId="04192EA1" w14:textId="77777777" w:rsidR="00ED68F3" w:rsidRPr="00EF3B82" w:rsidRDefault="00ED68F3" w:rsidP="00ED68F3">
      <w:pPr>
        <w:pStyle w:val="NormalIndent"/>
        <w:spacing w:before="120" w:after="240"/>
        <w:ind w:left="0"/>
        <w:rPr>
          <w:b/>
        </w:rPr>
      </w:pPr>
      <w:r w:rsidRPr="00EF3B82">
        <w:rPr>
          <w:b/>
        </w:rPr>
        <w:t>We Concur:</w:t>
      </w:r>
    </w:p>
    <w:p w14:paraId="551E81B9" w14:textId="77777777" w:rsidR="00ED68F3" w:rsidRPr="00EF3B82" w:rsidRDefault="00ED68F3" w:rsidP="00ED68F3">
      <w:pPr>
        <w:pStyle w:val="NormalIndent"/>
        <w:spacing w:after="0" w:line="240" w:lineRule="auto"/>
        <w:ind w:left="0"/>
        <w:rPr>
          <w:b/>
        </w:rPr>
      </w:pPr>
      <w:bookmarkStart w:id="6" w:name="author"/>
      <w:bookmarkStart w:id="7" w:name="initials"/>
      <w:bookmarkEnd w:id="6"/>
      <w:bookmarkEnd w:id="7"/>
      <w:r w:rsidRPr="00EF3B82">
        <w:rPr>
          <w:b/>
        </w:rPr>
        <w:t>CANTIL-SAKAUYE, C. J.</w:t>
      </w:r>
    </w:p>
    <w:p w14:paraId="0E6368A2" w14:textId="77777777" w:rsidR="00ED68F3" w:rsidRPr="00EF3B82" w:rsidRDefault="00ED68F3" w:rsidP="00ED68F3">
      <w:pPr>
        <w:pStyle w:val="NormalIndent"/>
        <w:spacing w:after="0" w:line="240" w:lineRule="auto"/>
        <w:ind w:left="0"/>
        <w:rPr>
          <w:b/>
        </w:rPr>
      </w:pPr>
      <w:r w:rsidRPr="00EF3B82">
        <w:rPr>
          <w:b/>
        </w:rPr>
        <w:t>CORRIGAN, J.</w:t>
      </w:r>
    </w:p>
    <w:p w14:paraId="16B1BAD6" w14:textId="77777777" w:rsidR="00ED68F3" w:rsidRPr="00EF3B82" w:rsidRDefault="00ED68F3" w:rsidP="00ED68F3">
      <w:pPr>
        <w:pStyle w:val="NormalIndent"/>
        <w:spacing w:after="0" w:line="240" w:lineRule="auto"/>
        <w:ind w:left="0"/>
        <w:rPr>
          <w:b/>
        </w:rPr>
      </w:pPr>
      <w:r w:rsidRPr="00EF3B82">
        <w:rPr>
          <w:b/>
        </w:rPr>
        <w:t>LIU, J.</w:t>
      </w:r>
    </w:p>
    <w:p w14:paraId="3B596F1F" w14:textId="77777777" w:rsidR="00ED68F3" w:rsidRPr="00EF3B82" w:rsidRDefault="00ED68F3" w:rsidP="00ED68F3">
      <w:pPr>
        <w:pStyle w:val="NormalIndent"/>
        <w:spacing w:after="0" w:line="240" w:lineRule="auto"/>
        <w:ind w:left="0"/>
        <w:rPr>
          <w:b/>
        </w:rPr>
      </w:pPr>
      <w:r w:rsidRPr="00EF3B82">
        <w:rPr>
          <w:b/>
        </w:rPr>
        <w:t>CUÉLLAR, J.</w:t>
      </w:r>
    </w:p>
    <w:p w14:paraId="7108C7C2" w14:textId="77777777" w:rsidR="00ED68F3" w:rsidRPr="00EF3B82" w:rsidRDefault="00ED68F3" w:rsidP="00ED68F3">
      <w:pPr>
        <w:pStyle w:val="NormalIndent"/>
        <w:spacing w:after="0" w:line="240" w:lineRule="auto"/>
        <w:ind w:left="0"/>
        <w:rPr>
          <w:b/>
        </w:rPr>
      </w:pPr>
      <w:r>
        <w:rPr>
          <w:b/>
        </w:rPr>
        <w:t>KRUGER</w:t>
      </w:r>
      <w:r w:rsidRPr="00EF3B82">
        <w:rPr>
          <w:b/>
        </w:rPr>
        <w:t>, J.</w:t>
      </w:r>
    </w:p>
    <w:p w14:paraId="78E452F6" w14:textId="77777777" w:rsidR="00ED68F3" w:rsidRDefault="00ED68F3" w:rsidP="00ED68F3">
      <w:pPr>
        <w:pStyle w:val="NormalIndent"/>
        <w:keepNext/>
        <w:keepLines/>
        <w:ind w:left="0"/>
        <w:rPr>
          <w:rStyle w:val="FootnoteReference"/>
          <w:b w:val="0"/>
        </w:rPr>
        <w:sectPr w:rsidR="00ED68F3" w:rsidSect="005F0951">
          <w:footerReference w:type="first" r:id="rId9"/>
          <w:pgSz w:w="12240" w:h="15840"/>
          <w:pgMar w:top="1800" w:right="2160" w:bottom="1440" w:left="2160" w:header="720" w:footer="720" w:gutter="0"/>
          <w:pgNumType w:start="1"/>
          <w:cols w:space="720"/>
          <w:titlePg/>
          <w:docGrid w:linePitch="367"/>
        </w:sectPr>
      </w:pPr>
      <w:r w:rsidRPr="00ED68F3">
        <w:rPr>
          <w:b/>
        </w:rPr>
        <w:t>PEÑA</w:t>
      </w:r>
      <w:r w:rsidRPr="00EF3B82">
        <w:rPr>
          <w:b/>
        </w:rPr>
        <w:t>, J.</w:t>
      </w:r>
      <w:r w:rsidRPr="00EF3B82">
        <w:rPr>
          <w:rStyle w:val="FootnoteReference"/>
          <w:b w:val="0"/>
        </w:rPr>
        <w:footnoteReference w:customMarkFollows="1" w:id="5"/>
        <w:t>*</w:t>
      </w:r>
    </w:p>
    <w:bookmarkEnd w:id="1"/>
    <w:p w14:paraId="6A4FA060" w14:textId="77777777" w:rsidR="00F95517" w:rsidRPr="00F95517" w:rsidRDefault="00F95517" w:rsidP="00F95517">
      <w:pPr>
        <w:spacing w:after="0" w:line="240" w:lineRule="auto"/>
        <w:jc w:val="left"/>
        <w:rPr>
          <w:rFonts w:ascii="Times New Roman" w:hAnsi="Times New Roman"/>
          <w:i/>
          <w:sz w:val="20"/>
        </w:rPr>
      </w:pPr>
      <w:r w:rsidRPr="00F95517">
        <w:rPr>
          <w:rFonts w:ascii="Times New Roman" w:hAnsi="Times New Roman"/>
          <w:i/>
          <w:sz w:val="20"/>
        </w:rPr>
        <w:t>See next page for addresses and telephone numbers for counsel who argued in Supreme Court.</w:t>
      </w:r>
    </w:p>
    <w:p w14:paraId="0BC86A34" w14:textId="77777777" w:rsidR="00F95517" w:rsidRPr="00F95517" w:rsidRDefault="00F95517" w:rsidP="00F95517">
      <w:pPr>
        <w:spacing w:after="0" w:line="240" w:lineRule="auto"/>
        <w:jc w:val="left"/>
        <w:rPr>
          <w:rFonts w:ascii="Times New Roman" w:hAnsi="Times New Roman"/>
          <w:i/>
          <w:sz w:val="20"/>
        </w:rPr>
      </w:pPr>
    </w:p>
    <w:p w14:paraId="229F12E0" w14:textId="77777777" w:rsidR="00F95517" w:rsidRPr="00F95517" w:rsidRDefault="00F95517" w:rsidP="00F95517">
      <w:pPr>
        <w:spacing w:after="0" w:line="240" w:lineRule="auto"/>
        <w:jc w:val="left"/>
        <w:rPr>
          <w:rFonts w:ascii="Times New Roman" w:hAnsi="Times New Roman"/>
          <w:bCs/>
          <w:i/>
          <w:sz w:val="20"/>
        </w:rPr>
      </w:pPr>
      <w:r w:rsidRPr="00F95517">
        <w:rPr>
          <w:rFonts w:ascii="Times New Roman" w:hAnsi="Times New Roman"/>
          <w:b/>
          <w:sz w:val="20"/>
        </w:rPr>
        <w:t>Name of Opinion</w:t>
      </w:r>
      <w:r w:rsidRPr="00F95517">
        <w:rPr>
          <w:rFonts w:ascii="Times New Roman" w:hAnsi="Times New Roman"/>
          <w:sz w:val="20"/>
        </w:rPr>
        <w:t xml:space="preserve"> Dr. </w:t>
      </w:r>
      <w:proofErr w:type="spellStart"/>
      <w:r w:rsidRPr="00F95517">
        <w:rPr>
          <w:rFonts w:ascii="Times New Roman" w:hAnsi="Times New Roman"/>
          <w:sz w:val="20"/>
        </w:rPr>
        <w:t>Leevil</w:t>
      </w:r>
      <w:proofErr w:type="spellEnd"/>
      <w:r w:rsidRPr="00F95517">
        <w:rPr>
          <w:rFonts w:ascii="Times New Roman" w:hAnsi="Times New Roman"/>
          <w:sz w:val="20"/>
        </w:rPr>
        <w:t>, LLC v. Westlake Health Care Center</w:t>
      </w:r>
    </w:p>
    <w:p w14:paraId="4BA3E7E0"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__________________________________________________________________________________</w:t>
      </w:r>
    </w:p>
    <w:p w14:paraId="6A0367AC" w14:textId="77777777" w:rsidR="00F95517" w:rsidRPr="00F95517" w:rsidRDefault="00F95517" w:rsidP="00F95517">
      <w:pPr>
        <w:spacing w:after="0" w:line="240" w:lineRule="auto"/>
        <w:jc w:val="left"/>
        <w:rPr>
          <w:rFonts w:ascii="Times New Roman" w:hAnsi="Times New Roman"/>
          <w:b/>
          <w:sz w:val="20"/>
        </w:rPr>
      </w:pPr>
    </w:p>
    <w:p w14:paraId="1FAD0F86" w14:textId="77777777" w:rsidR="00F95517" w:rsidRPr="00F95517" w:rsidRDefault="00F95517" w:rsidP="00F95517">
      <w:pPr>
        <w:spacing w:after="0" w:line="240" w:lineRule="auto"/>
        <w:jc w:val="left"/>
        <w:rPr>
          <w:rFonts w:ascii="Times New Roman" w:hAnsi="Times New Roman"/>
          <w:bCs/>
          <w:sz w:val="20"/>
        </w:rPr>
      </w:pPr>
      <w:r w:rsidRPr="00F95517">
        <w:rPr>
          <w:rFonts w:ascii="Times New Roman" w:hAnsi="Times New Roman"/>
          <w:b/>
          <w:sz w:val="20"/>
        </w:rPr>
        <w:t>Unpublished Opinion</w:t>
      </w:r>
    </w:p>
    <w:p w14:paraId="4D393995"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b/>
          <w:sz w:val="20"/>
        </w:rPr>
        <w:t>Original Appeal</w:t>
      </w:r>
    </w:p>
    <w:p w14:paraId="2762E1EC"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Original Proceeding</w:t>
      </w:r>
    </w:p>
    <w:p w14:paraId="1781D794"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b/>
          <w:sz w:val="20"/>
        </w:rPr>
        <w:t>Review Granted</w:t>
      </w:r>
      <w:r w:rsidRPr="00F95517">
        <w:rPr>
          <w:rFonts w:ascii="Times New Roman" w:hAnsi="Times New Roman"/>
          <w:sz w:val="20"/>
        </w:rPr>
        <w:t xml:space="preserve"> XXX 9 Cal.App.5th 450</w:t>
      </w:r>
    </w:p>
    <w:p w14:paraId="6B380F1F"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Rehearing Granted</w:t>
      </w:r>
    </w:p>
    <w:p w14:paraId="60A9079A" w14:textId="77777777" w:rsidR="00F95517" w:rsidRPr="00F95517" w:rsidRDefault="00F95517" w:rsidP="00F95517">
      <w:pPr>
        <w:spacing w:after="0" w:line="240" w:lineRule="auto"/>
        <w:jc w:val="left"/>
        <w:rPr>
          <w:rFonts w:ascii="Times New Roman" w:hAnsi="Times New Roman"/>
          <w:b/>
          <w:sz w:val="20"/>
        </w:rPr>
      </w:pPr>
    </w:p>
    <w:p w14:paraId="4F959C26"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__________________________________________________________________________________</w:t>
      </w:r>
    </w:p>
    <w:p w14:paraId="39944BA6" w14:textId="77777777" w:rsidR="00F95517" w:rsidRPr="00F95517" w:rsidRDefault="00F95517" w:rsidP="00F95517">
      <w:pPr>
        <w:spacing w:after="0" w:line="240" w:lineRule="auto"/>
        <w:jc w:val="left"/>
        <w:rPr>
          <w:rFonts w:ascii="Times New Roman" w:hAnsi="Times New Roman"/>
          <w:b/>
          <w:sz w:val="20"/>
        </w:rPr>
      </w:pPr>
    </w:p>
    <w:p w14:paraId="09270416" w14:textId="77777777" w:rsidR="00F95517" w:rsidRPr="00F95517" w:rsidRDefault="00F95517" w:rsidP="00F95517">
      <w:pPr>
        <w:spacing w:after="0" w:line="240" w:lineRule="auto"/>
        <w:jc w:val="left"/>
        <w:rPr>
          <w:rFonts w:ascii="Times New Roman" w:hAnsi="Times New Roman"/>
          <w:bCs/>
          <w:sz w:val="20"/>
        </w:rPr>
      </w:pPr>
      <w:r w:rsidRPr="00F95517">
        <w:rPr>
          <w:rFonts w:ascii="Times New Roman" w:hAnsi="Times New Roman"/>
          <w:b/>
          <w:sz w:val="20"/>
        </w:rPr>
        <w:t>Opinion No.</w:t>
      </w:r>
      <w:r w:rsidRPr="00F95517">
        <w:rPr>
          <w:rFonts w:ascii="Times New Roman" w:hAnsi="Times New Roman"/>
          <w:sz w:val="20"/>
        </w:rPr>
        <w:t xml:space="preserve"> S241324</w:t>
      </w:r>
    </w:p>
    <w:p w14:paraId="38D47F3C" w14:textId="77777777" w:rsidR="00F95517" w:rsidRPr="00F95517" w:rsidRDefault="00F95517" w:rsidP="00F95517">
      <w:pPr>
        <w:spacing w:after="0" w:line="240" w:lineRule="auto"/>
        <w:jc w:val="left"/>
        <w:rPr>
          <w:rFonts w:ascii="Times New Roman" w:hAnsi="Times New Roman"/>
          <w:bCs/>
          <w:sz w:val="20"/>
        </w:rPr>
      </w:pPr>
      <w:r w:rsidRPr="00F95517">
        <w:rPr>
          <w:rFonts w:ascii="Times New Roman" w:hAnsi="Times New Roman"/>
          <w:b/>
          <w:sz w:val="20"/>
        </w:rPr>
        <w:t>Date Filed:</w:t>
      </w:r>
      <w:r w:rsidRPr="00F95517">
        <w:rPr>
          <w:rFonts w:ascii="Times New Roman" w:hAnsi="Times New Roman"/>
          <w:sz w:val="20"/>
        </w:rPr>
        <w:t xml:space="preserve"> December 17, 2018</w:t>
      </w:r>
    </w:p>
    <w:p w14:paraId="4B21DFF6"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__________________________________________________________________________________</w:t>
      </w:r>
    </w:p>
    <w:p w14:paraId="6D99BEED" w14:textId="77777777" w:rsidR="00F95517" w:rsidRPr="00F95517" w:rsidRDefault="00F95517" w:rsidP="00F95517">
      <w:pPr>
        <w:spacing w:after="0" w:line="240" w:lineRule="auto"/>
        <w:jc w:val="left"/>
        <w:rPr>
          <w:rFonts w:ascii="Times New Roman" w:hAnsi="Times New Roman"/>
          <w:b/>
          <w:sz w:val="20"/>
        </w:rPr>
      </w:pPr>
    </w:p>
    <w:p w14:paraId="3E3E6CC7" w14:textId="77777777" w:rsidR="00F95517" w:rsidRPr="00F95517" w:rsidRDefault="00F95517" w:rsidP="00F95517">
      <w:pPr>
        <w:spacing w:after="0" w:line="240" w:lineRule="auto"/>
        <w:jc w:val="left"/>
        <w:rPr>
          <w:rFonts w:ascii="Times New Roman" w:hAnsi="Times New Roman"/>
          <w:bCs/>
          <w:sz w:val="20"/>
        </w:rPr>
      </w:pPr>
      <w:r w:rsidRPr="00F95517">
        <w:rPr>
          <w:rFonts w:ascii="Times New Roman" w:hAnsi="Times New Roman"/>
          <w:b/>
          <w:sz w:val="20"/>
        </w:rPr>
        <w:t>Court:</w:t>
      </w:r>
      <w:r w:rsidRPr="00F95517">
        <w:rPr>
          <w:rFonts w:ascii="Times New Roman" w:hAnsi="Times New Roman"/>
          <w:sz w:val="20"/>
        </w:rPr>
        <w:t xml:space="preserve"> Superior</w:t>
      </w:r>
    </w:p>
    <w:p w14:paraId="7BDFF0AC" w14:textId="77777777" w:rsidR="00F95517" w:rsidRPr="00F95517" w:rsidRDefault="00F95517" w:rsidP="00F95517">
      <w:pPr>
        <w:spacing w:after="0" w:line="240" w:lineRule="auto"/>
        <w:jc w:val="left"/>
        <w:rPr>
          <w:rFonts w:ascii="Times New Roman" w:hAnsi="Times New Roman"/>
          <w:bCs/>
          <w:sz w:val="20"/>
        </w:rPr>
      </w:pPr>
      <w:r w:rsidRPr="00F95517">
        <w:rPr>
          <w:rFonts w:ascii="Times New Roman" w:hAnsi="Times New Roman"/>
          <w:b/>
          <w:sz w:val="20"/>
        </w:rPr>
        <w:t>County:</w:t>
      </w:r>
      <w:r w:rsidRPr="00F95517">
        <w:rPr>
          <w:rFonts w:ascii="Times New Roman" w:hAnsi="Times New Roman"/>
          <w:sz w:val="20"/>
        </w:rPr>
        <w:t xml:space="preserve"> Ventura</w:t>
      </w:r>
    </w:p>
    <w:p w14:paraId="5920E347" w14:textId="77777777" w:rsidR="00F95517" w:rsidRPr="00F95517" w:rsidRDefault="00F95517" w:rsidP="00F95517">
      <w:pPr>
        <w:spacing w:after="0" w:line="240" w:lineRule="auto"/>
        <w:ind w:left="720" w:hanging="720"/>
        <w:jc w:val="left"/>
        <w:rPr>
          <w:rFonts w:ascii="Times New Roman" w:hAnsi="Times New Roman"/>
          <w:bCs/>
          <w:sz w:val="20"/>
        </w:rPr>
      </w:pPr>
      <w:r w:rsidRPr="00F95517">
        <w:rPr>
          <w:rFonts w:ascii="Times New Roman" w:hAnsi="Times New Roman"/>
          <w:b/>
          <w:sz w:val="20"/>
        </w:rPr>
        <w:t>Judge:</w:t>
      </w:r>
      <w:r w:rsidRPr="00F95517">
        <w:rPr>
          <w:rFonts w:ascii="Times New Roman" w:hAnsi="Times New Roman"/>
          <w:sz w:val="20"/>
        </w:rPr>
        <w:t xml:space="preserve"> Vincent J. O’Neill, Jr.</w:t>
      </w:r>
    </w:p>
    <w:p w14:paraId="5DBC111A" w14:textId="77777777" w:rsidR="00F95517" w:rsidRPr="00F95517" w:rsidRDefault="00F95517" w:rsidP="00F95517">
      <w:pPr>
        <w:spacing w:after="0" w:line="240" w:lineRule="auto"/>
        <w:jc w:val="left"/>
        <w:rPr>
          <w:rFonts w:ascii="Times New Roman" w:hAnsi="Times New Roman"/>
          <w:b/>
          <w:sz w:val="20"/>
        </w:rPr>
      </w:pPr>
    </w:p>
    <w:p w14:paraId="12E90B62"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__________________________________________________________________________________</w:t>
      </w:r>
    </w:p>
    <w:p w14:paraId="11666886" w14:textId="77777777" w:rsidR="00F95517" w:rsidRPr="00F95517" w:rsidRDefault="00F95517" w:rsidP="00F95517">
      <w:pPr>
        <w:spacing w:after="0" w:line="240" w:lineRule="auto"/>
        <w:jc w:val="left"/>
        <w:rPr>
          <w:rFonts w:ascii="Times New Roman" w:hAnsi="Times New Roman"/>
          <w:b/>
          <w:sz w:val="20"/>
        </w:rPr>
      </w:pPr>
    </w:p>
    <w:p w14:paraId="20C49FD1"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Counsel:</w:t>
      </w:r>
    </w:p>
    <w:p w14:paraId="3233E52D" w14:textId="77777777" w:rsidR="00F95517" w:rsidRPr="00F95517" w:rsidRDefault="00F95517" w:rsidP="00F95517">
      <w:pPr>
        <w:spacing w:after="0" w:line="240" w:lineRule="auto"/>
        <w:jc w:val="left"/>
        <w:rPr>
          <w:rFonts w:ascii="Times New Roman" w:hAnsi="Times New Roman"/>
          <w:b/>
          <w:sz w:val="20"/>
        </w:rPr>
      </w:pPr>
    </w:p>
    <w:p w14:paraId="0BEBB76F" w14:textId="77777777" w:rsidR="00F95517" w:rsidRPr="00F95517" w:rsidRDefault="00F95517" w:rsidP="00F95517">
      <w:pPr>
        <w:spacing w:after="0" w:line="240" w:lineRule="auto"/>
        <w:jc w:val="left"/>
        <w:rPr>
          <w:rFonts w:ascii="Times New Roman" w:hAnsi="Times New Roman"/>
          <w:sz w:val="20"/>
        </w:rPr>
      </w:pPr>
      <w:proofErr w:type="spellStart"/>
      <w:r w:rsidRPr="00F95517">
        <w:rPr>
          <w:rFonts w:ascii="Times New Roman" w:hAnsi="Times New Roman"/>
          <w:sz w:val="20"/>
        </w:rPr>
        <w:t>Enenstein</w:t>
      </w:r>
      <w:proofErr w:type="spellEnd"/>
      <w:r w:rsidRPr="00F95517">
        <w:rPr>
          <w:rFonts w:ascii="Times New Roman" w:hAnsi="Times New Roman"/>
          <w:sz w:val="20"/>
        </w:rPr>
        <w:t xml:space="preserve"> </w:t>
      </w:r>
      <w:proofErr w:type="spellStart"/>
      <w:r w:rsidRPr="00F95517">
        <w:rPr>
          <w:rFonts w:ascii="Times New Roman" w:hAnsi="Times New Roman"/>
          <w:sz w:val="20"/>
        </w:rPr>
        <w:t>Ribakoff</w:t>
      </w:r>
      <w:proofErr w:type="spellEnd"/>
      <w:r w:rsidRPr="00F95517">
        <w:rPr>
          <w:rFonts w:ascii="Times New Roman" w:hAnsi="Times New Roman"/>
          <w:sz w:val="20"/>
        </w:rPr>
        <w:t xml:space="preserve"> </w:t>
      </w:r>
      <w:proofErr w:type="spellStart"/>
      <w:r w:rsidRPr="00F95517">
        <w:rPr>
          <w:rFonts w:ascii="Times New Roman" w:hAnsi="Times New Roman"/>
          <w:sz w:val="20"/>
        </w:rPr>
        <w:t>LaViña</w:t>
      </w:r>
      <w:proofErr w:type="spellEnd"/>
      <w:r w:rsidRPr="00F95517">
        <w:rPr>
          <w:rFonts w:ascii="Times New Roman" w:hAnsi="Times New Roman"/>
          <w:sz w:val="20"/>
        </w:rPr>
        <w:t xml:space="preserve"> &amp; Pham, </w:t>
      </w:r>
      <w:proofErr w:type="spellStart"/>
      <w:r w:rsidRPr="00F95517">
        <w:rPr>
          <w:rFonts w:ascii="Times New Roman" w:hAnsi="Times New Roman"/>
          <w:sz w:val="20"/>
        </w:rPr>
        <w:t>Enenstein</w:t>
      </w:r>
      <w:proofErr w:type="spellEnd"/>
      <w:r w:rsidRPr="00F95517">
        <w:rPr>
          <w:rFonts w:ascii="Times New Roman" w:hAnsi="Times New Roman"/>
          <w:sz w:val="20"/>
        </w:rPr>
        <w:t xml:space="preserve"> Pham &amp; Glass, Teri T. Pham and Courtney M. Havens for Defendant and Appellant.</w:t>
      </w:r>
    </w:p>
    <w:p w14:paraId="6CE8C6C2" w14:textId="77777777" w:rsidR="00F95517" w:rsidRPr="00F95517" w:rsidRDefault="00F95517" w:rsidP="00F95517">
      <w:pPr>
        <w:spacing w:after="0" w:line="240" w:lineRule="auto"/>
        <w:jc w:val="left"/>
        <w:rPr>
          <w:rFonts w:ascii="Times New Roman" w:hAnsi="Times New Roman"/>
          <w:sz w:val="20"/>
        </w:rPr>
      </w:pPr>
    </w:p>
    <w:p w14:paraId="391DEB7A"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 xml:space="preserve">Law Offices of Ronald Richards &amp; Associates, Ronald N. Richards, Nicholas Bravo; Wilson, </w:t>
      </w:r>
      <w:proofErr w:type="spellStart"/>
      <w:r w:rsidRPr="00F95517">
        <w:rPr>
          <w:rFonts w:ascii="Times New Roman" w:hAnsi="Times New Roman"/>
          <w:sz w:val="20"/>
        </w:rPr>
        <w:t>Elser</w:t>
      </w:r>
      <w:proofErr w:type="spellEnd"/>
      <w:r w:rsidRPr="00F95517">
        <w:rPr>
          <w:rFonts w:ascii="Times New Roman" w:hAnsi="Times New Roman"/>
          <w:sz w:val="20"/>
        </w:rPr>
        <w:t>, Moskowitz, Edelman &amp; Dicker, Robert Cooper; Law Offices of Geoffrey Long and Geoffrey S. Long for Plaintiff and Respondent.</w:t>
      </w:r>
    </w:p>
    <w:p w14:paraId="4BDF697B" w14:textId="77777777" w:rsidR="00F95517" w:rsidRPr="00F95517" w:rsidRDefault="00F95517" w:rsidP="00F95517">
      <w:pPr>
        <w:spacing w:after="0" w:line="240" w:lineRule="auto"/>
        <w:jc w:val="left"/>
        <w:rPr>
          <w:rFonts w:ascii="Times New Roman" w:hAnsi="Times New Roman"/>
          <w:b/>
          <w:sz w:val="20"/>
        </w:rPr>
      </w:pPr>
    </w:p>
    <w:p w14:paraId="54DE7C6F" w14:textId="77777777" w:rsidR="00F95517" w:rsidRPr="00F95517" w:rsidRDefault="00F95517" w:rsidP="00F95517">
      <w:pPr>
        <w:spacing w:after="0" w:line="240" w:lineRule="auto"/>
        <w:jc w:val="left"/>
        <w:rPr>
          <w:rFonts w:ascii="Times New Roman" w:hAnsi="Times New Roman"/>
          <w:b/>
          <w:sz w:val="20"/>
        </w:rPr>
      </w:pPr>
    </w:p>
    <w:p w14:paraId="7658859D" w14:textId="77777777" w:rsidR="00F95517" w:rsidRPr="00F95517" w:rsidRDefault="00F95517" w:rsidP="00F95517">
      <w:pPr>
        <w:spacing w:after="0" w:line="240" w:lineRule="auto"/>
        <w:jc w:val="left"/>
        <w:rPr>
          <w:rFonts w:ascii="Times New Roman" w:hAnsi="Times New Roman"/>
          <w:b/>
          <w:sz w:val="20"/>
        </w:rPr>
      </w:pPr>
    </w:p>
    <w:p w14:paraId="3D0AC954" w14:textId="77777777" w:rsidR="00F95517" w:rsidRPr="00F95517" w:rsidRDefault="00F95517" w:rsidP="00F95517">
      <w:pPr>
        <w:spacing w:after="0" w:line="240" w:lineRule="auto"/>
        <w:jc w:val="left"/>
        <w:rPr>
          <w:rFonts w:ascii="Times New Roman" w:hAnsi="Times New Roman"/>
          <w:b/>
          <w:sz w:val="20"/>
        </w:rPr>
      </w:pPr>
    </w:p>
    <w:p w14:paraId="61DA6791"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br w:type="page"/>
      </w:r>
    </w:p>
    <w:p w14:paraId="12C40D88" w14:textId="77777777" w:rsidR="00F95517" w:rsidRPr="00F95517" w:rsidRDefault="00F95517" w:rsidP="00F95517">
      <w:pPr>
        <w:spacing w:after="0" w:line="240" w:lineRule="auto"/>
        <w:jc w:val="left"/>
        <w:rPr>
          <w:rFonts w:ascii="Times New Roman" w:hAnsi="Times New Roman"/>
          <w:b/>
          <w:sz w:val="20"/>
        </w:rPr>
      </w:pPr>
    </w:p>
    <w:p w14:paraId="0647C472" w14:textId="77777777" w:rsidR="00F95517" w:rsidRPr="00F95517" w:rsidRDefault="00F95517" w:rsidP="00F95517">
      <w:pPr>
        <w:spacing w:after="0" w:line="240" w:lineRule="auto"/>
        <w:jc w:val="left"/>
        <w:rPr>
          <w:rFonts w:ascii="Times New Roman" w:hAnsi="Times New Roman"/>
          <w:b/>
          <w:sz w:val="20"/>
        </w:rPr>
      </w:pPr>
    </w:p>
    <w:p w14:paraId="0A47F912" w14:textId="77777777" w:rsidR="00F95517" w:rsidRPr="00F95517" w:rsidRDefault="00F95517" w:rsidP="00F95517">
      <w:pPr>
        <w:spacing w:after="0" w:line="240" w:lineRule="auto"/>
        <w:jc w:val="left"/>
        <w:rPr>
          <w:rFonts w:ascii="Times New Roman" w:hAnsi="Times New Roman"/>
          <w:b/>
          <w:sz w:val="20"/>
        </w:rPr>
      </w:pPr>
    </w:p>
    <w:p w14:paraId="062AEF19"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b/>
          <w:sz w:val="20"/>
        </w:rPr>
        <w:t>Counsel who argued in Supreme Court (not intended for publication with opinion):</w:t>
      </w:r>
    </w:p>
    <w:p w14:paraId="38235777" w14:textId="77777777" w:rsidR="00F95517" w:rsidRPr="00F95517" w:rsidRDefault="00F95517" w:rsidP="00F95517">
      <w:pPr>
        <w:spacing w:after="0" w:line="240" w:lineRule="auto"/>
        <w:jc w:val="left"/>
        <w:rPr>
          <w:rFonts w:ascii="Times New Roman" w:hAnsi="Times New Roman"/>
          <w:b/>
          <w:sz w:val="20"/>
        </w:rPr>
      </w:pPr>
    </w:p>
    <w:p w14:paraId="3EDF51B6"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Teri T. Pham</w:t>
      </w:r>
    </w:p>
    <w:p w14:paraId="184E9906" w14:textId="77777777" w:rsidR="00F95517" w:rsidRPr="00F95517" w:rsidRDefault="00F95517" w:rsidP="00F95517">
      <w:pPr>
        <w:spacing w:after="0" w:line="240" w:lineRule="auto"/>
        <w:jc w:val="left"/>
        <w:rPr>
          <w:rFonts w:ascii="Times New Roman" w:hAnsi="Times New Roman"/>
          <w:sz w:val="20"/>
        </w:rPr>
      </w:pPr>
      <w:proofErr w:type="spellStart"/>
      <w:r w:rsidRPr="00F95517">
        <w:rPr>
          <w:rFonts w:ascii="Times New Roman" w:hAnsi="Times New Roman"/>
          <w:sz w:val="20"/>
        </w:rPr>
        <w:t>Enenstein</w:t>
      </w:r>
      <w:proofErr w:type="spellEnd"/>
      <w:r w:rsidRPr="00F95517">
        <w:rPr>
          <w:rFonts w:ascii="Times New Roman" w:hAnsi="Times New Roman"/>
          <w:sz w:val="20"/>
        </w:rPr>
        <w:t xml:space="preserve"> Pham &amp; Glass</w:t>
      </w:r>
    </w:p>
    <w:p w14:paraId="1A512FDB"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12121 Wilshire Boulevard, Suite 600</w:t>
      </w:r>
    </w:p>
    <w:p w14:paraId="37A5B2A2"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Los Angeles, CA  90025</w:t>
      </w:r>
    </w:p>
    <w:p w14:paraId="6AC2D507"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(310) 899-2070</w:t>
      </w:r>
    </w:p>
    <w:p w14:paraId="4F736820" w14:textId="77777777" w:rsidR="00F95517" w:rsidRPr="00F95517" w:rsidRDefault="00F95517" w:rsidP="00F95517">
      <w:pPr>
        <w:spacing w:after="0" w:line="240" w:lineRule="auto"/>
        <w:jc w:val="left"/>
        <w:rPr>
          <w:rFonts w:ascii="Times New Roman" w:hAnsi="Times New Roman"/>
          <w:sz w:val="20"/>
        </w:rPr>
      </w:pPr>
    </w:p>
    <w:p w14:paraId="196E73C3"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Ronald N. Richards</w:t>
      </w:r>
    </w:p>
    <w:p w14:paraId="3D5BB50A"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Law Offices of Ronald Richards &amp; Associates</w:t>
      </w:r>
    </w:p>
    <w:p w14:paraId="023D1921"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P.O. Box 11480</w:t>
      </w:r>
    </w:p>
    <w:p w14:paraId="7CF9A7F4" w14:textId="77777777" w:rsidR="00F95517" w:rsidRPr="00F95517" w:rsidRDefault="00F95517" w:rsidP="00F95517">
      <w:pPr>
        <w:spacing w:after="0" w:line="240" w:lineRule="auto"/>
        <w:jc w:val="left"/>
        <w:rPr>
          <w:rFonts w:ascii="Times New Roman" w:hAnsi="Times New Roman"/>
          <w:sz w:val="20"/>
        </w:rPr>
      </w:pPr>
      <w:r w:rsidRPr="00F95517">
        <w:rPr>
          <w:rFonts w:ascii="Times New Roman" w:hAnsi="Times New Roman"/>
          <w:sz w:val="20"/>
        </w:rPr>
        <w:t>Beverly Hills, CA  90213</w:t>
      </w:r>
    </w:p>
    <w:p w14:paraId="10AD38DA" w14:textId="77777777" w:rsidR="00F95517" w:rsidRPr="00F95517" w:rsidRDefault="00F95517" w:rsidP="00F95517">
      <w:pPr>
        <w:spacing w:after="0" w:line="240" w:lineRule="auto"/>
        <w:jc w:val="left"/>
        <w:rPr>
          <w:rFonts w:ascii="Times New Roman" w:hAnsi="Times New Roman"/>
          <w:b/>
          <w:sz w:val="20"/>
        </w:rPr>
      </w:pPr>
      <w:r w:rsidRPr="00F95517">
        <w:rPr>
          <w:rFonts w:ascii="Times New Roman" w:hAnsi="Times New Roman"/>
          <w:sz w:val="20"/>
        </w:rPr>
        <w:t>(310) 556-1001</w:t>
      </w:r>
    </w:p>
    <w:p w14:paraId="606ABB51" w14:textId="77777777" w:rsidR="00123682" w:rsidRPr="00123682" w:rsidRDefault="00123682" w:rsidP="00ED68F3">
      <w:pPr>
        <w:tabs>
          <w:tab w:val="left" w:pos="1440"/>
        </w:tabs>
        <w:ind w:firstLine="720"/>
        <w:rPr>
          <w:rFonts w:ascii="Times New Roman" w:hAnsi="Times New Roman"/>
          <w:sz w:val="26"/>
        </w:rPr>
      </w:pPr>
    </w:p>
    <w:sectPr w:rsidR="00123682" w:rsidRPr="00123682" w:rsidSect="00F95517">
      <w:headerReference w:type="default" r:id="rId10"/>
      <w:footerReference w:type="default" r:id="rId11"/>
      <w:footerReference w:type="first" r:id="rId12"/>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EFCF8" w14:textId="77777777" w:rsidR="009440C5" w:rsidRDefault="009440C5">
      <w:r>
        <w:separator/>
      </w:r>
    </w:p>
  </w:endnote>
  <w:endnote w:type="continuationSeparator" w:id="0">
    <w:p w14:paraId="252B3202" w14:textId="77777777" w:rsidR="009440C5" w:rsidRDefault="0094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F9F0" w14:textId="77777777" w:rsidR="009440C5" w:rsidRDefault="009440C5">
    <w:pPr>
      <w:pStyle w:val="Footer"/>
    </w:pPr>
    <w:r>
      <w:fldChar w:fldCharType="begin"/>
    </w:r>
    <w:r>
      <w:instrText>PAGE</w:instrText>
    </w:r>
    <w:r>
      <w:fldChar w:fldCharType="separate"/>
    </w:r>
    <w:r w:rsidR="008E738A">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1535" w14:textId="77777777" w:rsidR="00ED68F3" w:rsidRDefault="00ED6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6FDA" w14:textId="77777777" w:rsidR="00256120" w:rsidRPr="00256120" w:rsidRDefault="00256120" w:rsidP="002561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B57B" w14:textId="77777777" w:rsidR="009440C5" w:rsidRPr="008E4014" w:rsidRDefault="009440C5" w:rsidP="008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ADDF" w14:textId="77777777" w:rsidR="009440C5" w:rsidRDefault="009440C5">
      <w:r>
        <w:separator/>
      </w:r>
    </w:p>
  </w:footnote>
  <w:footnote w:type="continuationSeparator" w:id="0">
    <w:p w14:paraId="14598FD4" w14:textId="77777777" w:rsidR="009440C5" w:rsidRDefault="009440C5">
      <w:pPr>
        <w:rPr>
          <w:sz w:val="22"/>
        </w:rPr>
      </w:pPr>
      <w:r>
        <w:continuationSeparator/>
      </w:r>
    </w:p>
  </w:footnote>
  <w:footnote w:type="continuationNotice" w:id="1">
    <w:p w14:paraId="5E6BAD66" w14:textId="77777777" w:rsidR="009440C5" w:rsidRDefault="009440C5">
      <w:pPr>
        <w:jc w:val="right"/>
        <w:rPr>
          <w:i/>
          <w:sz w:val="20"/>
        </w:rPr>
      </w:pPr>
    </w:p>
  </w:footnote>
  <w:footnote w:id="2">
    <w:p w14:paraId="4F4340C0" w14:textId="77777777" w:rsidR="00DE5B8D" w:rsidRPr="00785D11" w:rsidRDefault="00DE5B8D" w:rsidP="00DE5B8D">
      <w:pPr>
        <w:pStyle w:val="FootnoteText"/>
      </w:pPr>
      <w:r>
        <w:rPr>
          <w:rStyle w:val="FootnoteReference"/>
        </w:rPr>
        <w:t>*</w:t>
      </w:r>
      <w:r>
        <w:t xml:space="preserve"> </w:t>
      </w:r>
      <w:r w:rsidRPr="00785D11">
        <w:tab/>
        <w:t xml:space="preserve">Associate Justice of the Court of Appeal, </w:t>
      </w:r>
      <w:r w:rsidR="00884805">
        <w:t>Fifth</w:t>
      </w:r>
      <w:r w:rsidRPr="00785D11">
        <w:t xml:space="preserve"> Appellate District, assigned by the Chief Justice pursuant to article VI, section 6 of the California Constitution.</w:t>
      </w:r>
    </w:p>
    <w:p w14:paraId="6217F1DF" w14:textId="77777777" w:rsidR="00DE5B8D" w:rsidRDefault="00DE5B8D" w:rsidP="00DE5B8D">
      <w:pPr>
        <w:pStyle w:val="FootnoteText"/>
      </w:pPr>
    </w:p>
  </w:footnote>
  <w:footnote w:id="3">
    <w:p w14:paraId="4BA6D5F9" w14:textId="77777777" w:rsidR="009440C5" w:rsidRDefault="009440C5" w:rsidP="003D036E">
      <w:pPr>
        <w:pStyle w:val="FootnoteText"/>
      </w:pPr>
      <w:r>
        <w:rPr>
          <w:rStyle w:val="FootnoteReference"/>
        </w:rPr>
        <w:footnoteRef/>
      </w:r>
      <w:r>
        <w:t xml:space="preserve"> </w:t>
      </w:r>
      <w:r>
        <w:tab/>
        <w:t xml:space="preserve">Section 1161a(b) provides in full:  “In any of the following cases, a person who holds over and continues in possession of a manufactured home, </w:t>
      </w:r>
      <w:proofErr w:type="spellStart"/>
      <w:r>
        <w:t>mobilehome</w:t>
      </w:r>
      <w:proofErr w:type="spellEnd"/>
      <w:r>
        <w:t xml:space="preserve">, floating home, or real property after a three-day written notice to quit the property has been served upon the person, or if there is a subtenant in actual occupation of the premises, also upon such subtenant, as prescribed in Section 1162, may be removed therefrom as prescribed in this chapter:  [¶] (1) Where the property has been sold pursuant to a writ of execution against such person, or a person under whom such person claims, and the title under the sale has been duly perfected.  [¶] (2) Where the property has been sold pursuant to a writ of sale, upon the foreclosure by proceedings taken as prescribed in this code of a mortgage, or under an express power of sale contained therein, executed by such person, or a person under whom such person claims, and the title under the foreclosure has been duly perfected.  [¶] (3) Where the </w:t>
      </w:r>
      <w:bookmarkStart w:id="5" w:name="_Hlk529284154"/>
      <w:r>
        <w:t>property has been sold in accordance with Section 2924 of the Civil Code, under a power of sale</w:t>
      </w:r>
      <w:bookmarkEnd w:id="5"/>
      <w:r>
        <w:t xml:space="preserve"> contained in a deed of trust executed by such person, or a person under whom such person claims, and the title under the sale has been duly perfected.  [¶] (4) Where the property has been sold by such person, or a person under whom such person claims, and the title under the sale has been duly perfected.  [¶] (5) Where the property has been sold in accordance with Section 18037.5 of the Health and Safety Code under the default provisions of a conditional sale contract or security agreement executed by such person, or a person under whom such person claims, and the title under the sale has been duly perfected.”</w:t>
      </w:r>
    </w:p>
  </w:footnote>
  <w:footnote w:id="4">
    <w:p w14:paraId="5A6B82C1" w14:textId="77777777" w:rsidR="009440C5" w:rsidRDefault="009440C5" w:rsidP="00C8604A">
      <w:pPr>
        <w:pStyle w:val="FootnoteText"/>
      </w:pPr>
      <w:r>
        <w:rPr>
          <w:rStyle w:val="FootnoteReference"/>
        </w:rPr>
        <w:footnoteRef/>
      </w:r>
      <w:r>
        <w:t xml:space="preserve"> </w:t>
      </w:r>
      <w:r>
        <w:tab/>
        <w:t>Dr. </w:t>
      </w:r>
      <w:proofErr w:type="spellStart"/>
      <w:r>
        <w:t>Leevil</w:t>
      </w:r>
      <w:proofErr w:type="spellEnd"/>
      <w:r>
        <w:t xml:space="preserve"> argues that the tenant here was a business entity that was closely related to the property’s former owner, and therefore the tenant knew that Dr. </w:t>
      </w:r>
      <w:proofErr w:type="spellStart"/>
      <w:r>
        <w:t>Leevil</w:t>
      </w:r>
      <w:proofErr w:type="spellEnd"/>
      <w:r>
        <w:t xml:space="preserve"> was the bona fide owner.  That may be so, but we must interpret section 1161a(b) considering every situation in which the statute might apply, including the situation in which the tenant has no such insider knowledge.  Moreover, “</w:t>
      </w:r>
      <w:r w:rsidRPr="00153974">
        <w:t xml:space="preserve">the code requirements </w:t>
      </w:r>
      <w:r>
        <w:t xml:space="preserve">[governing unlawful detainer] </w:t>
      </w:r>
      <w:r w:rsidRPr="00153974">
        <w:t xml:space="preserve">must be </w:t>
      </w:r>
      <w:r w:rsidRPr="00153974">
        <w:rPr>
          <w:i/>
        </w:rPr>
        <w:t>followed strictly</w:t>
      </w:r>
      <w:r>
        <w:t> . . . .”  (</w:t>
      </w:r>
      <w:r w:rsidRPr="00A978FB">
        <w:rPr>
          <w:i/>
        </w:rPr>
        <w:t>Cal–American Income Property Fund IV v. Ho</w:t>
      </w:r>
      <w:r>
        <w:t xml:space="preserve">, </w:t>
      </w:r>
      <w:r w:rsidRPr="00153974">
        <w:rPr>
          <w:i/>
        </w:rPr>
        <w:t>supra</w:t>
      </w:r>
      <w:r>
        <w:t>, 161 Cal.App.3d at p. 585, italics added.)  The phrase “followed strictly” does not suggest that an owner need only meet those requirements that the owner considers to be significant in the context of the transaction at issue.</w:t>
      </w:r>
    </w:p>
  </w:footnote>
  <w:footnote w:id="5">
    <w:p w14:paraId="69840306" w14:textId="77777777" w:rsidR="00ED68F3" w:rsidRDefault="00ED68F3" w:rsidP="00ED68F3">
      <w:pPr>
        <w:pStyle w:val="FootnoteText"/>
      </w:pPr>
      <w:r>
        <w:rPr>
          <w:rStyle w:val="FootnoteReference"/>
        </w:rPr>
        <w:t>*</w:t>
      </w:r>
      <w:r>
        <w:tab/>
      </w:r>
      <w:r w:rsidRPr="002E55A7">
        <w:t xml:space="preserve">Associate Justice of the Court of Appeal, </w:t>
      </w:r>
      <w:r>
        <w:t>Fifth</w:t>
      </w:r>
      <w:r w:rsidRPr="002E55A7">
        <w:t xml:space="preserve"> Appellate District,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38BE" w14:textId="77777777" w:rsidR="009440C5" w:rsidRDefault="009440C5">
    <w:pPr>
      <w:pStyle w:val="Header"/>
    </w:pPr>
    <w:r>
      <w:t>DR. LEEVIL, LLC v. WESTLAKE HEALTH CARE CENTER</w:t>
    </w:r>
  </w:p>
  <w:p w14:paraId="6844B0C8" w14:textId="77777777" w:rsidR="009440C5" w:rsidRDefault="009440C5">
    <w:pPr>
      <w:pStyle w:val="Header"/>
    </w:pPr>
    <w:r>
      <w:t>Opinion of the Court by Chin, J.</w:t>
    </w:r>
  </w:p>
  <w:p w14:paraId="2E3EC7BE" w14:textId="77777777" w:rsidR="009440C5" w:rsidRDefault="00944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A155" w14:textId="77777777" w:rsidR="008E4014" w:rsidRPr="008E4014" w:rsidRDefault="008E4014" w:rsidP="008E4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CC"/>
    <w:rsid w:val="000055A1"/>
    <w:rsid w:val="00012D36"/>
    <w:rsid w:val="00012D45"/>
    <w:rsid w:val="0002638B"/>
    <w:rsid w:val="0004088B"/>
    <w:rsid w:val="000426DB"/>
    <w:rsid w:val="000431F0"/>
    <w:rsid w:val="000439CE"/>
    <w:rsid w:val="00050FB2"/>
    <w:rsid w:val="0005229F"/>
    <w:rsid w:val="00057B30"/>
    <w:rsid w:val="0006286C"/>
    <w:rsid w:val="0006474B"/>
    <w:rsid w:val="00065B9C"/>
    <w:rsid w:val="000755CF"/>
    <w:rsid w:val="000759C1"/>
    <w:rsid w:val="00076978"/>
    <w:rsid w:val="00081B53"/>
    <w:rsid w:val="000841A0"/>
    <w:rsid w:val="00090A8D"/>
    <w:rsid w:val="000924D4"/>
    <w:rsid w:val="000A4786"/>
    <w:rsid w:val="000B5533"/>
    <w:rsid w:val="000C4EF9"/>
    <w:rsid w:val="000D0CC3"/>
    <w:rsid w:val="000D54C3"/>
    <w:rsid w:val="000D7458"/>
    <w:rsid w:val="000E1EF5"/>
    <w:rsid w:val="000F090E"/>
    <w:rsid w:val="000F2568"/>
    <w:rsid w:val="000F2D18"/>
    <w:rsid w:val="00123682"/>
    <w:rsid w:val="00124FED"/>
    <w:rsid w:val="00136494"/>
    <w:rsid w:val="00153974"/>
    <w:rsid w:val="00153A96"/>
    <w:rsid w:val="00173DFE"/>
    <w:rsid w:val="0017458D"/>
    <w:rsid w:val="00181CF6"/>
    <w:rsid w:val="00184B8C"/>
    <w:rsid w:val="0019108E"/>
    <w:rsid w:val="00191A73"/>
    <w:rsid w:val="001A24CB"/>
    <w:rsid w:val="001B6D73"/>
    <w:rsid w:val="001B77A5"/>
    <w:rsid w:val="001C0BF3"/>
    <w:rsid w:val="001C323D"/>
    <w:rsid w:val="001D4C29"/>
    <w:rsid w:val="001E1021"/>
    <w:rsid w:val="001E4321"/>
    <w:rsid w:val="001E7352"/>
    <w:rsid w:val="002025EF"/>
    <w:rsid w:val="00204300"/>
    <w:rsid w:val="00207BA1"/>
    <w:rsid w:val="00251160"/>
    <w:rsid w:val="00252BD9"/>
    <w:rsid w:val="0025499D"/>
    <w:rsid w:val="00256120"/>
    <w:rsid w:val="0025779E"/>
    <w:rsid w:val="002746B0"/>
    <w:rsid w:val="00282F87"/>
    <w:rsid w:val="00286C1A"/>
    <w:rsid w:val="0029639A"/>
    <w:rsid w:val="002A06F8"/>
    <w:rsid w:val="002A2359"/>
    <w:rsid w:val="002A29B3"/>
    <w:rsid w:val="002A43C6"/>
    <w:rsid w:val="002A5BCE"/>
    <w:rsid w:val="002A7A70"/>
    <w:rsid w:val="002B2AAF"/>
    <w:rsid w:val="002B2D0F"/>
    <w:rsid w:val="002C5AB6"/>
    <w:rsid w:val="002D4089"/>
    <w:rsid w:val="002E17D4"/>
    <w:rsid w:val="002E4FC0"/>
    <w:rsid w:val="002E6269"/>
    <w:rsid w:val="002F026D"/>
    <w:rsid w:val="002F082F"/>
    <w:rsid w:val="002F1AE5"/>
    <w:rsid w:val="002F2883"/>
    <w:rsid w:val="002F4A66"/>
    <w:rsid w:val="00321AD4"/>
    <w:rsid w:val="00321E76"/>
    <w:rsid w:val="00340281"/>
    <w:rsid w:val="00346504"/>
    <w:rsid w:val="0035329F"/>
    <w:rsid w:val="00362C8B"/>
    <w:rsid w:val="00385082"/>
    <w:rsid w:val="00394219"/>
    <w:rsid w:val="003C008E"/>
    <w:rsid w:val="003C0791"/>
    <w:rsid w:val="003D036E"/>
    <w:rsid w:val="003D7FAB"/>
    <w:rsid w:val="003E2489"/>
    <w:rsid w:val="003F28DE"/>
    <w:rsid w:val="0041659B"/>
    <w:rsid w:val="0042050C"/>
    <w:rsid w:val="004269CF"/>
    <w:rsid w:val="00431E48"/>
    <w:rsid w:val="00433293"/>
    <w:rsid w:val="00442840"/>
    <w:rsid w:val="00445A81"/>
    <w:rsid w:val="0045373E"/>
    <w:rsid w:val="004972DB"/>
    <w:rsid w:val="004B1271"/>
    <w:rsid w:val="004B3EA1"/>
    <w:rsid w:val="004C0DDC"/>
    <w:rsid w:val="004D42ED"/>
    <w:rsid w:val="004E339F"/>
    <w:rsid w:val="004E4451"/>
    <w:rsid w:val="004E5D1C"/>
    <w:rsid w:val="004E75F6"/>
    <w:rsid w:val="004F141A"/>
    <w:rsid w:val="004F1CEA"/>
    <w:rsid w:val="004F364F"/>
    <w:rsid w:val="004F6D04"/>
    <w:rsid w:val="0050604A"/>
    <w:rsid w:val="00506DA0"/>
    <w:rsid w:val="005139F0"/>
    <w:rsid w:val="00534C0E"/>
    <w:rsid w:val="00536BAB"/>
    <w:rsid w:val="005412EC"/>
    <w:rsid w:val="00545799"/>
    <w:rsid w:val="00546C12"/>
    <w:rsid w:val="005547A9"/>
    <w:rsid w:val="00582E3B"/>
    <w:rsid w:val="005904D8"/>
    <w:rsid w:val="00595D94"/>
    <w:rsid w:val="005B1E4B"/>
    <w:rsid w:val="005B2EA2"/>
    <w:rsid w:val="005C6A90"/>
    <w:rsid w:val="005D374A"/>
    <w:rsid w:val="005D59D5"/>
    <w:rsid w:val="005E03E3"/>
    <w:rsid w:val="005E29AB"/>
    <w:rsid w:val="005E638E"/>
    <w:rsid w:val="005F531A"/>
    <w:rsid w:val="005F5B3D"/>
    <w:rsid w:val="0060233B"/>
    <w:rsid w:val="006114D2"/>
    <w:rsid w:val="006124FA"/>
    <w:rsid w:val="00622585"/>
    <w:rsid w:val="00624C5C"/>
    <w:rsid w:val="00624D14"/>
    <w:rsid w:val="006366F0"/>
    <w:rsid w:val="00641F3A"/>
    <w:rsid w:val="006434C0"/>
    <w:rsid w:val="00644DA0"/>
    <w:rsid w:val="006561BF"/>
    <w:rsid w:val="00660856"/>
    <w:rsid w:val="00664C00"/>
    <w:rsid w:val="00666B97"/>
    <w:rsid w:val="00671EF6"/>
    <w:rsid w:val="00680FFE"/>
    <w:rsid w:val="006822DF"/>
    <w:rsid w:val="00682BEB"/>
    <w:rsid w:val="00696710"/>
    <w:rsid w:val="006B219F"/>
    <w:rsid w:val="006B402E"/>
    <w:rsid w:val="006D3466"/>
    <w:rsid w:val="006E1F85"/>
    <w:rsid w:val="006F4993"/>
    <w:rsid w:val="006F4E8D"/>
    <w:rsid w:val="00704579"/>
    <w:rsid w:val="0071370F"/>
    <w:rsid w:val="00720072"/>
    <w:rsid w:val="00720AB0"/>
    <w:rsid w:val="00732917"/>
    <w:rsid w:val="0074164E"/>
    <w:rsid w:val="00742CCE"/>
    <w:rsid w:val="00752518"/>
    <w:rsid w:val="007535DC"/>
    <w:rsid w:val="00753C89"/>
    <w:rsid w:val="00771F6E"/>
    <w:rsid w:val="007852D3"/>
    <w:rsid w:val="007938C9"/>
    <w:rsid w:val="007A3BF4"/>
    <w:rsid w:val="007A509B"/>
    <w:rsid w:val="007B5B83"/>
    <w:rsid w:val="007B6883"/>
    <w:rsid w:val="007C6ACC"/>
    <w:rsid w:val="007D00C0"/>
    <w:rsid w:val="007D2D0E"/>
    <w:rsid w:val="007D404D"/>
    <w:rsid w:val="007D746F"/>
    <w:rsid w:val="007E3E17"/>
    <w:rsid w:val="007E76EC"/>
    <w:rsid w:val="007F009C"/>
    <w:rsid w:val="007F4917"/>
    <w:rsid w:val="007F5391"/>
    <w:rsid w:val="007F67CE"/>
    <w:rsid w:val="00807ADE"/>
    <w:rsid w:val="00810B36"/>
    <w:rsid w:val="00811086"/>
    <w:rsid w:val="00816B0D"/>
    <w:rsid w:val="008206E4"/>
    <w:rsid w:val="0082773A"/>
    <w:rsid w:val="00837AAD"/>
    <w:rsid w:val="008407C5"/>
    <w:rsid w:val="00844FCF"/>
    <w:rsid w:val="00846460"/>
    <w:rsid w:val="00847FE3"/>
    <w:rsid w:val="00855BB6"/>
    <w:rsid w:val="00856A41"/>
    <w:rsid w:val="0087179D"/>
    <w:rsid w:val="00884805"/>
    <w:rsid w:val="008876DE"/>
    <w:rsid w:val="008916C7"/>
    <w:rsid w:val="00895DD2"/>
    <w:rsid w:val="008A2FB6"/>
    <w:rsid w:val="008A3509"/>
    <w:rsid w:val="008A571A"/>
    <w:rsid w:val="008B70B5"/>
    <w:rsid w:val="008C211D"/>
    <w:rsid w:val="008C376C"/>
    <w:rsid w:val="008E169C"/>
    <w:rsid w:val="008E4014"/>
    <w:rsid w:val="008E7090"/>
    <w:rsid w:val="008E738A"/>
    <w:rsid w:val="00906090"/>
    <w:rsid w:val="0092001A"/>
    <w:rsid w:val="0092331C"/>
    <w:rsid w:val="00927EB7"/>
    <w:rsid w:val="009308F3"/>
    <w:rsid w:val="00936E45"/>
    <w:rsid w:val="009440C5"/>
    <w:rsid w:val="00947D4C"/>
    <w:rsid w:val="009501A1"/>
    <w:rsid w:val="00971F29"/>
    <w:rsid w:val="00976622"/>
    <w:rsid w:val="0098645A"/>
    <w:rsid w:val="00990DBD"/>
    <w:rsid w:val="00994D3F"/>
    <w:rsid w:val="009A2CBE"/>
    <w:rsid w:val="009A304B"/>
    <w:rsid w:val="009A3FC2"/>
    <w:rsid w:val="009B4DDE"/>
    <w:rsid w:val="009B663F"/>
    <w:rsid w:val="009C087B"/>
    <w:rsid w:val="009D30CA"/>
    <w:rsid w:val="009D6C68"/>
    <w:rsid w:val="009E2BC5"/>
    <w:rsid w:val="009F17F1"/>
    <w:rsid w:val="009F4B3F"/>
    <w:rsid w:val="00A06174"/>
    <w:rsid w:val="00A10272"/>
    <w:rsid w:val="00A13C01"/>
    <w:rsid w:val="00A161E0"/>
    <w:rsid w:val="00A20505"/>
    <w:rsid w:val="00A30E8C"/>
    <w:rsid w:val="00A321D6"/>
    <w:rsid w:val="00A329DB"/>
    <w:rsid w:val="00A36F8D"/>
    <w:rsid w:val="00A45304"/>
    <w:rsid w:val="00A45837"/>
    <w:rsid w:val="00A46519"/>
    <w:rsid w:val="00A52BCC"/>
    <w:rsid w:val="00A55807"/>
    <w:rsid w:val="00A634B8"/>
    <w:rsid w:val="00A71AB1"/>
    <w:rsid w:val="00A74559"/>
    <w:rsid w:val="00A760E8"/>
    <w:rsid w:val="00A978FB"/>
    <w:rsid w:val="00AA239D"/>
    <w:rsid w:val="00AA2AC6"/>
    <w:rsid w:val="00AA6D0B"/>
    <w:rsid w:val="00AB703A"/>
    <w:rsid w:val="00AD2096"/>
    <w:rsid w:val="00AE42A5"/>
    <w:rsid w:val="00AE6ECD"/>
    <w:rsid w:val="00AF1FFF"/>
    <w:rsid w:val="00AF32DD"/>
    <w:rsid w:val="00AF361E"/>
    <w:rsid w:val="00B00E02"/>
    <w:rsid w:val="00B06AE7"/>
    <w:rsid w:val="00B101C1"/>
    <w:rsid w:val="00B20B7D"/>
    <w:rsid w:val="00B216F1"/>
    <w:rsid w:val="00B252FB"/>
    <w:rsid w:val="00B30D65"/>
    <w:rsid w:val="00B32369"/>
    <w:rsid w:val="00B5053C"/>
    <w:rsid w:val="00B5159D"/>
    <w:rsid w:val="00B52FC3"/>
    <w:rsid w:val="00B54EE2"/>
    <w:rsid w:val="00B72F9A"/>
    <w:rsid w:val="00B8124F"/>
    <w:rsid w:val="00B908EA"/>
    <w:rsid w:val="00BB6FEA"/>
    <w:rsid w:val="00BB7C5E"/>
    <w:rsid w:val="00BC719D"/>
    <w:rsid w:val="00BD0BC0"/>
    <w:rsid w:val="00BD605D"/>
    <w:rsid w:val="00BD743F"/>
    <w:rsid w:val="00BD7CDA"/>
    <w:rsid w:val="00BE4E87"/>
    <w:rsid w:val="00BF24F6"/>
    <w:rsid w:val="00BF396F"/>
    <w:rsid w:val="00C125ED"/>
    <w:rsid w:val="00C4188F"/>
    <w:rsid w:val="00C42F8B"/>
    <w:rsid w:val="00C473E2"/>
    <w:rsid w:val="00C54816"/>
    <w:rsid w:val="00C60268"/>
    <w:rsid w:val="00C632F9"/>
    <w:rsid w:val="00C64027"/>
    <w:rsid w:val="00C67100"/>
    <w:rsid w:val="00C71E68"/>
    <w:rsid w:val="00C71F56"/>
    <w:rsid w:val="00C8604A"/>
    <w:rsid w:val="00C87EE6"/>
    <w:rsid w:val="00C94D7D"/>
    <w:rsid w:val="00CB00E7"/>
    <w:rsid w:val="00CC0A7E"/>
    <w:rsid w:val="00CC3498"/>
    <w:rsid w:val="00CF72E8"/>
    <w:rsid w:val="00D03729"/>
    <w:rsid w:val="00D03B12"/>
    <w:rsid w:val="00D06ADE"/>
    <w:rsid w:val="00D11952"/>
    <w:rsid w:val="00D123A0"/>
    <w:rsid w:val="00D2072F"/>
    <w:rsid w:val="00D31F9C"/>
    <w:rsid w:val="00D3666F"/>
    <w:rsid w:val="00D5594E"/>
    <w:rsid w:val="00D60401"/>
    <w:rsid w:val="00D62E3B"/>
    <w:rsid w:val="00D7554E"/>
    <w:rsid w:val="00D87248"/>
    <w:rsid w:val="00D90637"/>
    <w:rsid w:val="00D9747C"/>
    <w:rsid w:val="00DA1B31"/>
    <w:rsid w:val="00DA1C85"/>
    <w:rsid w:val="00DA3181"/>
    <w:rsid w:val="00DA5B16"/>
    <w:rsid w:val="00DA6A95"/>
    <w:rsid w:val="00DB2132"/>
    <w:rsid w:val="00DB3493"/>
    <w:rsid w:val="00DB37CC"/>
    <w:rsid w:val="00DC2822"/>
    <w:rsid w:val="00DC5D52"/>
    <w:rsid w:val="00DD596C"/>
    <w:rsid w:val="00DD7A0E"/>
    <w:rsid w:val="00DE5B8D"/>
    <w:rsid w:val="00DF0D67"/>
    <w:rsid w:val="00E02E36"/>
    <w:rsid w:val="00E14146"/>
    <w:rsid w:val="00E229E3"/>
    <w:rsid w:val="00E262E1"/>
    <w:rsid w:val="00E33C97"/>
    <w:rsid w:val="00E37572"/>
    <w:rsid w:val="00E4408B"/>
    <w:rsid w:val="00E4555D"/>
    <w:rsid w:val="00E52362"/>
    <w:rsid w:val="00E5445B"/>
    <w:rsid w:val="00E567DA"/>
    <w:rsid w:val="00E579D6"/>
    <w:rsid w:val="00E609CF"/>
    <w:rsid w:val="00E7080D"/>
    <w:rsid w:val="00E74E63"/>
    <w:rsid w:val="00E77620"/>
    <w:rsid w:val="00E9466E"/>
    <w:rsid w:val="00EA0D88"/>
    <w:rsid w:val="00EB097D"/>
    <w:rsid w:val="00EB26B6"/>
    <w:rsid w:val="00EB4615"/>
    <w:rsid w:val="00EB5B46"/>
    <w:rsid w:val="00EC6900"/>
    <w:rsid w:val="00ED68F3"/>
    <w:rsid w:val="00EE5889"/>
    <w:rsid w:val="00EF4A06"/>
    <w:rsid w:val="00EF5660"/>
    <w:rsid w:val="00F02114"/>
    <w:rsid w:val="00F05F61"/>
    <w:rsid w:val="00F109BF"/>
    <w:rsid w:val="00F2023F"/>
    <w:rsid w:val="00F203EA"/>
    <w:rsid w:val="00F30812"/>
    <w:rsid w:val="00F3267C"/>
    <w:rsid w:val="00F33F8F"/>
    <w:rsid w:val="00F37558"/>
    <w:rsid w:val="00F43F7A"/>
    <w:rsid w:val="00F44D30"/>
    <w:rsid w:val="00F533DB"/>
    <w:rsid w:val="00F71F57"/>
    <w:rsid w:val="00F73A9A"/>
    <w:rsid w:val="00F821B1"/>
    <w:rsid w:val="00F86BC1"/>
    <w:rsid w:val="00F95517"/>
    <w:rsid w:val="00FA3A27"/>
    <w:rsid w:val="00FA3CC2"/>
    <w:rsid w:val="00FA44E6"/>
    <w:rsid w:val="00FA5FB3"/>
    <w:rsid w:val="00FB6CE9"/>
    <w:rsid w:val="00FC18ED"/>
    <w:rsid w:val="00FC600B"/>
    <w:rsid w:val="00FD0A9B"/>
    <w:rsid w:val="00FD743B"/>
    <w:rsid w:val="00FE4BC3"/>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4A"/>
    <w:pPr>
      <w:spacing w:after="100" w:line="400" w:lineRule="exact"/>
      <w:jc w:val="both"/>
    </w:pPr>
    <w:rPr>
      <w:rFonts w:ascii="Century Schoolbook" w:hAnsi="Century Schoolbook"/>
      <w:sz w:val="27"/>
    </w:rPr>
  </w:style>
  <w:style w:type="paragraph" w:styleId="Heading1">
    <w:name w:val="heading 1"/>
    <w:basedOn w:val="Normal"/>
    <w:next w:val="Normal"/>
    <w:qFormat/>
    <w:rsid w:val="00C8604A"/>
    <w:pPr>
      <w:keepNext/>
      <w:spacing w:before="140" w:line="240" w:lineRule="atLeast"/>
      <w:jc w:val="center"/>
      <w:outlineLvl w:val="0"/>
    </w:pPr>
    <w:rPr>
      <w:b/>
      <w:smallCaps/>
    </w:rPr>
  </w:style>
  <w:style w:type="paragraph" w:styleId="Heading2">
    <w:name w:val="heading 2"/>
    <w:basedOn w:val="Normal"/>
    <w:next w:val="Normal"/>
    <w:qFormat/>
    <w:rsid w:val="00C8604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8604A"/>
    <w:pPr>
      <w:keepNext/>
      <w:tabs>
        <w:tab w:val="left" w:pos="1584"/>
      </w:tabs>
      <w:spacing w:before="140" w:line="240" w:lineRule="atLeast"/>
      <w:ind w:left="1584" w:hanging="432"/>
      <w:jc w:val="left"/>
      <w:outlineLvl w:val="2"/>
    </w:pPr>
    <w:rPr>
      <w:i/>
    </w:rPr>
  </w:style>
  <w:style w:type="paragraph" w:styleId="Heading4">
    <w:name w:val="heading 4"/>
    <w:basedOn w:val="Normal"/>
    <w:rsid w:val="00C8604A"/>
    <w:pPr>
      <w:keepNext/>
      <w:tabs>
        <w:tab w:val="left" w:pos="2016"/>
      </w:tabs>
      <w:spacing w:before="140" w:line="240" w:lineRule="atLeast"/>
      <w:ind w:left="2016" w:hanging="432"/>
      <w:jc w:val="left"/>
      <w:outlineLvl w:val="3"/>
    </w:pPr>
    <w:rPr>
      <w:i/>
    </w:rPr>
  </w:style>
  <w:style w:type="paragraph" w:styleId="Heading5">
    <w:name w:val="heading 5"/>
    <w:basedOn w:val="Normal"/>
    <w:rsid w:val="00C8604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C8604A"/>
    <w:pPr>
      <w:ind w:left="720"/>
    </w:pPr>
  </w:style>
  <w:style w:type="paragraph" w:styleId="Footer">
    <w:name w:val="footer"/>
    <w:basedOn w:val="Normal"/>
    <w:link w:val="FooterChar"/>
    <w:uiPriority w:val="99"/>
    <w:qFormat/>
    <w:rsid w:val="00C8604A"/>
    <w:pPr>
      <w:tabs>
        <w:tab w:val="center" w:pos="3960"/>
        <w:tab w:val="right" w:pos="10080"/>
      </w:tabs>
      <w:spacing w:after="0" w:line="240" w:lineRule="auto"/>
      <w:jc w:val="center"/>
    </w:pPr>
    <w:rPr>
      <w:sz w:val="22"/>
    </w:rPr>
  </w:style>
  <w:style w:type="paragraph" w:styleId="Header">
    <w:name w:val="header"/>
    <w:basedOn w:val="Normal"/>
    <w:qFormat/>
    <w:rsid w:val="00C8604A"/>
    <w:pPr>
      <w:tabs>
        <w:tab w:val="center" w:pos="3960"/>
        <w:tab w:val="right" w:pos="10080"/>
      </w:tabs>
      <w:spacing w:after="80" w:line="240" w:lineRule="auto"/>
      <w:jc w:val="center"/>
    </w:pPr>
    <w:rPr>
      <w:sz w:val="22"/>
    </w:rPr>
  </w:style>
  <w:style w:type="character" w:styleId="FootnoteReference">
    <w:name w:val="footnote reference"/>
    <w:rsid w:val="00C8604A"/>
    <w:rPr>
      <w:rFonts w:ascii="Century Schoolbook" w:hAnsi="Century Schoolbook"/>
      <w:b/>
      <w:i w:val="0"/>
      <w:position w:val="4"/>
      <w:sz w:val="27"/>
      <w:vertAlign w:val="superscript"/>
    </w:rPr>
  </w:style>
  <w:style w:type="paragraph" w:styleId="FootnoteText">
    <w:name w:val="footnote text"/>
    <w:basedOn w:val="Normal"/>
    <w:link w:val="FootnoteTextChar"/>
    <w:rsid w:val="00C8604A"/>
    <w:pPr>
      <w:spacing w:line="300" w:lineRule="exact"/>
    </w:pPr>
  </w:style>
  <w:style w:type="paragraph" w:customStyle="1" w:styleId="Title1">
    <w:name w:val="Title1"/>
    <w:basedOn w:val="Normal"/>
    <w:rsid w:val="00C8604A"/>
    <w:pPr>
      <w:tabs>
        <w:tab w:val="left" w:pos="5760"/>
        <w:tab w:val="left" w:pos="6480"/>
      </w:tabs>
      <w:spacing w:line="240" w:lineRule="atLeast"/>
    </w:pPr>
  </w:style>
  <w:style w:type="paragraph" w:customStyle="1" w:styleId="Recommend">
    <w:name w:val="Recommend"/>
    <w:basedOn w:val="Normal"/>
    <w:rsid w:val="00C8604A"/>
  </w:style>
  <w:style w:type="paragraph" w:customStyle="1" w:styleId="Summary">
    <w:name w:val="Summary"/>
    <w:basedOn w:val="Normal"/>
    <w:rsid w:val="00C8604A"/>
    <w:pPr>
      <w:ind w:left="2160" w:hanging="2160"/>
    </w:pPr>
  </w:style>
  <w:style w:type="paragraph" w:customStyle="1" w:styleId="Text">
    <w:name w:val="Text"/>
    <w:basedOn w:val="Normal"/>
    <w:rsid w:val="00C8604A"/>
    <w:pPr>
      <w:tabs>
        <w:tab w:val="left" w:pos="720"/>
        <w:tab w:val="left" w:pos="1440"/>
        <w:tab w:val="left" w:pos="2160"/>
        <w:tab w:val="center" w:pos="4320"/>
      </w:tabs>
      <w:spacing w:line="480" w:lineRule="atLeast"/>
      <w:ind w:firstLine="540"/>
    </w:pPr>
  </w:style>
  <w:style w:type="paragraph" w:styleId="Date">
    <w:name w:val="Date"/>
    <w:basedOn w:val="Normal"/>
    <w:semiHidden/>
    <w:rsid w:val="00C8604A"/>
    <w:pPr>
      <w:jc w:val="right"/>
    </w:pPr>
  </w:style>
  <w:style w:type="character" w:styleId="PageNumber">
    <w:name w:val="page number"/>
    <w:basedOn w:val="DefaultParagraphFont"/>
    <w:rsid w:val="00C8604A"/>
  </w:style>
  <w:style w:type="paragraph" w:customStyle="1" w:styleId="subject">
    <w:name w:val="subject"/>
    <w:basedOn w:val="Normal"/>
    <w:rsid w:val="00C8604A"/>
    <w:pPr>
      <w:tabs>
        <w:tab w:val="left" w:pos="1008"/>
      </w:tabs>
      <w:ind w:left="990" w:hanging="990"/>
    </w:pPr>
    <w:rPr>
      <w:b/>
    </w:rPr>
  </w:style>
  <w:style w:type="paragraph" w:customStyle="1" w:styleId="Titles">
    <w:name w:val="Titles"/>
    <w:basedOn w:val="Normal"/>
    <w:rsid w:val="00C8604A"/>
    <w:pPr>
      <w:tabs>
        <w:tab w:val="left" w:pos="2160"/>
      </w:tabs>
      <w:ind w:left="2160" w:hanging="2160"/>
    </w:pPr>
    <w:rPr>
      <w:b/>
    </w:rPr>
  </w:style>
  <w:style w:type="paragraph" w:styleId="TOAHeading">
    <w:name w:val="toa heading"/>
    <w:basedOn w:val="Normal"/>
    <w:next w:val="Normal"/>
    <w:semiHidden/>
    <w:rsid w:val="00C8604A"/>
    <w:pPr>
      <w:spacing w:before="120"/>
    </w:pPr>
    <w:rPr>
      <w:b/>
    </w:rPr>
  </w:style>
  <w:style w:type="paragraph" w:styleId="TOC1">
    <w:name w:val="toc 1"/>
    <w:basedOn w:val="Normal"/>
    <w:next w:val="Normal"/>
    <w:autoRedefine/>
    <w:semiHidden/>
    <w:rsid w:val="00C8604A"/>
  </w:style>
  <w:style w:type="paragraph" w:styleId="TOC2">
    <w:name w:val="toc 2"/>
    <w:basedOn w:val="Normal"/>
    <w:next w:val="Normal"/>
    <w:autoRedefine/>
    <w:semiHidden/>
    <w:rsid w:val="00C8604A"/>
    <w:pPr>
      <w:ind w:left="259"/>
    </w:pPr>
  </w:style>
  <w:style w:type="paragraph" w:styleId="TOC3">
    <w:name w:val="toc 3"/>
    <w:basedOn w:val="Normal"/>
    <w:next w:val="Normal"/>
    <w:autoRedefine/>
    <w:semiHidden/>
    <w:rsid w:val="00C8604A"/>
    <w:pPr>
      <w:ind w:left="520"/>
    </w:pPr>
  </w:style>
  <w:style w:type="paragraph" w:styleId="TOC4">
    <w:name w:val="toc 4"/>
    <w:basedOn w:val="Normal"/>
    <w:next w:val="Normal"/>
    <w:autoRedefine/>
    <w:semiHidden/>
    <w:rsid w:val="00C8604A"/>
    <w:pPr>
      <w:ind w:left="780"/>
    </w:pPr>
  </w:style>
  <w:style w:type="paragraph" w:styleId="TOC5">
    <w:name w:val="toc 5"/>
    <w:basedOn w:val="Normal"/>
    <w:next w:val="Normal"/>
    <w:autoRedefine/>
    <w:semiHidden/>
    <w:rsid w:val="00C8604A"/>
    <w:pPr>
      <w:ind w:left="1040"/>
    </w:pPr>
  </w:style>
  <w:style w:type="paragraph" w:styleId="TOC6">
    <w:name w:val="toc 6"/>
    <w:basedOn w:val="Normal"/>
    <w:next w:val="Normal"/>
    <w:autoRedefine/>
    <w:semiHidden/>
    <w:rsid w:val="00C8604A"/>
    <w:pPr>
      <w:ind w:left="1300"/>
    </w:pPr>
  </w:style>
  <w:style w:type="paragraph" w:styleId="TOC7">
    <w:name w:val="toc 7"/>
    <w:basedOn w:val="Normal"/>
    <w:next w:val="Normal"/>
    <w:autoRedefine/>
    <w:semiHidden/>
    <w:rsid w:val="00C8604A"/>
    <w:pPr>
      <w:ind w:left="1560"/>
    </w:pPr>
  </w:style>
  <w:style w:type="paragraph" w:styleId="TOC8">
    <w:name w:val="toc 8"/>
    <w:basedOn w:val="Normal"/>
    <w:next w:val="Normal"/>
    <w:autoRedefine/>
    <w:semiHidden/>
    <w:rsid w:val="00C8604A"/>
    <w:pPr>
      <w:ind w:left="1820"/>
    </w:pPr>
  </w:style>
  <w:style w:type="paragraph" w:styleId="TOC9">
    <w:name w:val="toc 9"/>
    <w:basedOn w:val="Normal"/>
    <w:next w:val="Normal"/>
    <w:autoRedefine/>
    <w:semiHidden/>
    <w:rsid w:val="00C8604A"/>
    <w:pPr>
      <w:ind w:left="2080"/>
    </w:pPr>
  </w:style>
  <w:style w:type="paragraph" w:customStyle="1" w:styleId="Contents">
    <w:name w:val="Contents"/>
    <w:basedOn w:val="Normal"/>
    <w:rsid w:val="00C8604A"/>
    <w:pPr>
      <w:jc w:val="center"/>
    </w:pPr>
    <w:rPr>
      <w:b/>
      <w:spacing w:val="100"/>
    </w:rPr>
  </w:style>
  <w:style w:type="paragraph" w:styleId="BalloonText">
    <w:name w:val="Balloon Text"/>
    <w:basedOn w:val="Normal"/>
    <w:link w:val="BalloonTextChar"/>
    <w:uiPriority w:val="99"/>
    <w:semiHidden/>
    <w:unhideWhenUsed/>
    <w:rsid w:val="0029639A"/>
    <w:rPr>
      <w:rFonts w:ascii="Segoe UI" w:hAnsi="Segoe UI" w:cs="Segoe UI"/>
      <w:sz w:val="18"/>
      <w:szCs w:val="18"/>
    </w:rPr>
  </w:style>
  <w:style w:type="character" w:customStyle="1" w:styleId="BalloonTextChar">
    <w:name w:val="Balloon Text Char"/>
    <w:link w:val="BalloonText"/>
    <w:uiPriority w:val="99"/>
    <w:semiHidden/>
    <w:rsid w:val="0029639A"/>
    <w:rPr>
      <w:rFonts w:ascii="Segoe UI" w:hAnsi="Segoe UI" w:cs="Segoe UI"/>
      <w:sz w:val="18"/>
      <w:szCs w:val="18"/>
    </w:rPr>
  </w:style>
  <w:style w:type="paragraph" w:styleId="BodyText">
    <w:name w:val="Body Text"/>
    <w:basedOn w:val="Normal"/>
    <w:link w:val="BodyTextChar"/>
    <w:qFormat/>
    <w:rsid w:val="00C8604A"/>
  </w:style>
  <w:style w:type="character" w:customStyle="1" w:styleId="BodyTextChar">
    <w:name w:val="Body Text Char"/>
    <w:link w:val="BodyText"/>
    <w:rsid w:val="00C8604A"/>
    <w:rPr>
      <w:rFonts w:ascii="Century Schoolbook" w:hAnsi="Century Schoolbook"/>
      <w:sz w:val="27"/>
    </w:rPr>
  </w:style>
  <w:style w:type="character" w:customStyle="1" w:styleId="FootnoteTextChar">
    <w:name w:val="Footnote Text Char"/>
    <w:link w:val="FootnoteText"/>
    <w:rsid w:val="003D036E"/>
    <w:rPr>
      <w:rFonts w:ascii="Century Schoolbook" w:hAnsi="Century Schoolbook"/>
      <w:sz w:val="27"/>
    </w:rPr>
  </w:style>
  <w:style w:type="character" w:customStyle="1" w:styleId="NormalIndentChar">
    <w:name w:val="Normal Indent Char"/>
    <w:link w:val="NormalIndent"/>
    <w:rsid w:val="00DE5B8D"/>
    <w:rPr>
      <w:rFonts w:ascii="Century Schoolbook" w:hAnsi="Century Schoolbook"/>
      <w:sz w:val="27"/>
    </w:rPr>
  </w:style>
  <w:style w:type="character" w:customStyle="1" w:styleId="FooterChar">
    <w:name w:val="Footer Char"/>
    <w:basedOn w:val="DefaultParagraphFont"/>
    <w:link w:val="Footer"/>
    <w:uiPriority w:val="99"/>
    <w:rsid w:val="00ED68F3"/>
    <w:rPr>
      <w:rFonts w:ascii="Century Schoolbook" w:hAnsi="Century School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4A"/>
    <w:pPr>
      <w:spacing w:after="100" w:line="400" w:lineRule="exact"/>
      <w:jc w:val="both"/>
    </w:pPr>
    <w:rPr>
      <w:rFonts w:ascii="Century Schoolbook" w:hAnsi="Century Schoolbook"/>
      <w:sz w:val="27"/>
    </w:rPr>
  </w:style>
  <w:style w:type="paragraph" w:styleId="Heading1">
    <w:name w:val="heading 1"/>
    <w:basedOn w:val="Normal"/>
    <w:next w:val="Normal"/>
    <w:qFormat/>
    <w:rsid w:val="00C8604A"/>
    <w:pPr>
      <w:keepNext/>
      <w:spacing w:before="140" w:line="240" w:lineRule="atLeast"/>
      <w:jc w:val="center"/>
      <w:outlineLvl w:val="0"/>
    </w:pPr>
    <w:rPr>
      <w:b/>
      <w:smallCaps/>
    </w:rPr>
  </w:style>
  <w:style w:type="paragraph" w:styleId="Heading2">
    <w:name w:val="heading 2"/>
    <w:basedOn w:val="Normal"/>
    <w:next w:val="Normal"/>
    <w:qFormat/>
    <w:rsid w:val="00C8604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8604A"/>
    <w:pPr>
      <w:keepNext/>
      <w:tabs>
        <w:tab w:val="left" w:pos="1584"/>
      </w:tabs>
      <w:spacing w:before="140" w:line="240" w:lineRule="atLeast"/>
      <w:ind w:left="1584" w:hanging="432"/>
      <w:jc w:val="left"/>
      <w:outlineLvl w:val="2"/>
    </w:pPr>
    <w:rPr>
      <w:i/>
    </w:rPr>
  </w:style>
  <w:style w:type="paragraph" w:styleId="Heading4">
    <w:name w:val="heading 4"/>
    <w:basedOn w:val="Normal"/>
    <w:rsid w:val="00C8604A"/>
    <w:pPr>
      <w:keepNext/>
      <w:tabs>
        <w:tab w:val="left" w:pos="2016"/>
      </w:tabs>
      <w:spacing w:before="140" w:line="240" w:lineRule="atLeast"/>
      <w:ind w:left="2016" w:hanging="432"/>
      <w:jc w:val="left"/>
      <w:outlineLvl w:val="3"/>
    </w:pPr>
    <w:rPr>
      <w:i/>
    </w:rPr>
  </w:style>
  <w:style w:type="paragraph" w:styleId="Heading5">
    <w:name w:val="heading 5"/>
    <w:basedOn w:val="Normal"/>
    <w:rsid w:val="00C8604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C8604A"/>
    <w:pPr>
      <w:ind w:left="720"/>
    </w:pPr>
  </w:style>
  <w:style w:type="paragraph" w:styleId="Footer">
    <w:name w:val="footer"/>
    <w:basedOn w:val="Normal"/>
    <w:link w:val="FooterChar"/>
    <w:uiPriority w:val="99"/>
    <w:qFormat/>
    <w:rsid w:val="00C8604A"/>
    <w:pPr>
      <w:tabs>
        <w:tab w:val="center" w:pos="3960"/>
        <w:tab w:val="right" w:pos="10080"/>
      </w:tabs>
      <w:spacing w:after="0" w:line="240" w:lineRule="auto"/>
      <w:jc w:val="center"/>
    </w:pPr>
    <w:rPr>
      <w:sz w:val="22"/>
    </w:rPr>
  </w:style>
  <w:style w:type="paragraph" w:styleId="Header">
    <w:name w:val="header"/>
    <w:basedOn w:val="Normal"/>
    <w:qFormat/>
    <w:rsid w:val="00C8604A"/>
    <w:pPr>
      <w:tabs>
        <w:tab w:val="center" w:pos="3960"/>
        <w:tab w:val="right" w:pos="10080"/>
      </w:tabs>
      <w:spacing w:after="80" w:line="240" w:lineRule="auto"/>
      <w:jc w:val="center"/>
    </w:pPr>
    <w:rPr>
      <w:sz w:val="22"/>
    </w:rPr>
  </w:style>
  <w:style w:type="character" w:styleId="FootnoteReference">
    <w:name w:val="footnote reference"/>
    <w:rsid w:val="00C8604A"/>
    <w:rPr>
      <w:rFonts w:ascii="Century Schoolbook" w:hAnsi="Century Schoolbook"/>
      <w:b/>
      <w:i w:val="0"/>
      <w:position w:val="4"/>
      <w:sz w:val="27"/>
      <w:vertAlign w:val="superscript"/>
    </w:rPr>
  </w:style>
  <w:style w:type="paragraph" w:styleId="FootnoteText">
    <w:name w:val="footnote text"/>
    <w:basedOn w:val="Normal"/>
    <w:link w:val="FootnoteTextChar"/>
    <w:rsid w:val="00C8604A"/>
    <w:pPr>
      <w:spacing w:line="300" w:lineRule="exact"/>
    </w:pPr>
  </w:style>
  <w:style w:type="paragraph" w:customStyle="1" w:styleId="Title1">
    <w:name w:val="Title1"/>
    <w:basedOn w:val="Normal"/>
    <w:rsid w:val="00C8604A"/>
    <w:pPr>
      <w:tabs>
        <w:tab w:val="left" w:pos="5760"/>
        <w:tab w:val="left" w:pos="6480"/>
      </w:tabs>
      <w:spacing w:line="240" w:lineRule="atLeast"/>
    </w:pPr>
  </w:style>
  <w:style w:type="paragraph" w:customStyle="1" w:styleId="Recommend">
    <w:name w:val="Recommend"/>
    <w:basedOn w:val="Normal"/>
    <w:rsid w:val="00C8604A"/>
  </w:style>
  <w:style w:type="paragraph" w:customStyle="1" w:styleId="Summary">
    <w:name w:val="Summary"/>
    <w:basedOn w:val="Normal"/>
    <w:rsid w:val="00C8604A"/>
    <w:pPr>
      <w:ind w:left="2160" w:hanging="2160"/>
    </w:pPr>
  </w:style>
  <w:style w:type="paragraph" w:customStyle="1" w:styleId="Text">
    <w:name w:val="Text"/>
    <w:basedOn w:val="Normal"/>
    <w:rsid w:val="00C8604A"/>
    <w:pPr>
      <w:tabs>
        <w:tab w:val="left" w:pos="720"/>
        <w:tab w:val="left" w:pos="1440"/>
        <w:tab w:val="left" w:pos="2160"/>
        <w:tab w:val="center" w:pos="4320"/>
      </w:tabs>
      <w:spacing w:line="480" w:lineRule="atLeast"/>
      <w:ind w:firstLine="540"/>
    </w:pPr>
  </w:style>
  <w:style w:type="paragraph" w:styleId="Date">
    <w:name w:val="Date"/>
    <w:basedOn w:val="Normal"/>
    <w:semiHidden/>
    <w:rsid w:val="00C8604A"/>
    <w:pPr>
      <w:jc w:val="right"/>
    </w:pPr>
  </w:style>
  <w:style w:type="character" w:styleId="PageNumber">
    <w:name w:val="page number"/>
    <w:basedOn w:val="DefaultParagraphFont"/>
    <w:rsid w:val="00C8604A"/>
  </w:style>
  <w:style w:type="paragraph" w:customStyle="1" w:styleId="subject">
    <w:name w:val="subject"/>
    <w:basedOn w:val="Normal"/>
    <w:rsid w:val="00C8604A"/>
    <w:pPr>
      <w:tabs>
        <w:tab w:val="left" w:pos="1008"/>
      </w:tabs>
      <w:ind w:left="990" w:hanging="990"/>
    </w:pPr>
    <w:rPr>
      <w:b/>
    </w:rPr>
  </w:style>
  <w:style w:type="paragraph" w:customStyle="1" w:styleId="Titles">
    <w:name w:val="Titles"/>
    <w:basedOn w:val="Normal"/>
    <w:rsid w:val="00C8604A"/>
    <w:pPr>
      <w:tabs>
        <w:tab w:val="left" w:pos="2160"/>
      </w:tabs>
      <w:ind w:left="2160" w:hanging="2160"/>
    </w:pPr>
    <w:rPr>
      <w:b/>
    </w:rPr>
  </w:style>
  <w:style w:type="paragraph" w:styleId="TOAHeading">
    <w:name w:val="toa heading"/>
    <w:basedOn w:val="Normal"/>
    <w:next w:val="Normal"/>
    <w:semiHidden/>
    <w:rsid w:val="00C8604A"/>
    <w:pPr>
      <w:spacing w:before="120"/>
    </w:pPr>
    <w:rPr>
      <w:b/>
    </w:rPr>
  </w:style>
  <w:style w:type="paragraph" w:styleId="TOC1">
    <w:name w:val="toc 1"/>
    <w:basedOn w:val="Normal"/>
    <w:next w:val="Normal"/>
    <w:autoRedefine/>
    <w:semiHidden/>
    <w:rsid w:val="00C8604A"/>
  </w:style>
  <w:style w:type="paragraph" w:styleId="TOC2">
    <w:name w:val="toc 2"/>
    <w:basedOn w:val="Normal"/>
    <w:next w:val="Normal"/>
    <w:autoRedefine/>
    <w:semiHidden/>
    <w:rsid w:val="00C8604A"/>
    <w:pPr>
      <w:ind w:left="259"/>
    </w:pPr>
  </w:style>
  <w:style w:type="paragraph" w:styleId="TOC3">
    <w:name w:val="toc 3"/>
    <w:basedOn w:val="Normal"/>
    <w:next w:val="Normal"/>
    <w:autoRedefine/>
    <w:semiHidden/>
    <w:rsid w:val="00C8604A"/>
    <w:pPr>
      <w:ind w:left="520"/>
    </w:pPr>
  </w:style>
  <w:style w:type="paragraph" w:styleId="TOC4">
    <w:name w:val="toc 4"/>
    <w:basedOn w:val="Normal"/>
    <w:next w:val="Normal"/>
    <w:autoRedefine/>
    <w:semiHidden/>
    <w:rsid w:val="00C8604A"/>
    <w:pPr>
      <w:ind w:left="780"/>
    </w:pPr>
  </w:style>
  <w:style w:type="paragraph" w:styleId="TOC5">
    <w:name w:val="toc 5"/>
    <w:basedOn w:val="Normal"/>
    <w:next w:val="Normal"/>
    <w:autoRedefine/>
    <w:semiHidden/>
    <w:rsid w:val="00C8604A"/>
    <w:pPr>
      <w:ind w:left="1040"/>
    </w:pPr>
  </w:style>
  <w:style w:type="paragraph" w:styleId="TOC6">
    <w:name w:val="toc 6"/>
    <w:basedOn w:val="Normal"/>
    <w:next w:val="Normal"/>
    <w:autoRedefine/>
    <w:semiHidden/>
    <w:rsid w:val="00C8604A"/>
    <w:pPr>
      <w:ind w:left="1300"/>
    </w:pPr>
  </w:style>
  <w:style w:type="paragraph" w:styleId="TOC7">
    <w:name w:val="toc 7"/>
    <w:basedOn w:val="Normal"/>
    <w:next w:val="Normal"/>
    <w:autoRedefine/>
    <w:semiHidden/>
    <w:rsid w:val="00C8604A"/>
    <w:pPr>
      <w:ind w:left="1560"/>
    </w:pPr>
  </w:style>
  <w:style w:type="paragraph" w:styleId="TOC8">
    <w:name w:val="toc 8"/>
    <w:basedOn w:val="Normal"/>
    <w:next w:val="Normal"/>
    <w:autoRedefine/>
    <w:semiHidden/>
    <w:rsid w:val="00C8604A"/>
    <w:pPr>
      <w:ind w:left="1820"/>
    </w:pPr>
  </w:style>
  <w:style w:type="paragraph" w:styleId="TOC9">
    <w:name w:val="toc 9"/>
    <w:basedOn w:val="Normal"/>
    <w:next w:val="Normal"/>
    <w:autoRedefine/>
    <w:semiHidden/>
    <w:rsid w:val="00C8604A"/>
    <w:pPr>
      <w:ind w:left="2080"/>
    </w:pPr>
  </w:style>
  <w:style w:type="paragraph" w:customStyle="1" w:styleId="Contents">
    <w:name w:val="Contents"/>
    <w:basedOn w:val="Normal"/>
    <w:rsid w:val="00C8604A"/>
    <w:pPr>
      <w:jc w:val="center"/>
    </w:pPr>
    <w:rPr>
      <w:b/>
      <w:spacing w:val="100"/>
    </w:rPr>
  </w:style>
  <w:style w:type="paragraph" w:styleId="BalloonText">
    <w:name w:val="Balloon Text"/>
    <w:basedOn w:val="Normal"/>
    <w:link w:val="BalloonTextChar"/>
    <w:uiPriority w:val="99"/>
    <w:semiHidden/>
    <w:unhideWhenUsed/>
    <w:rsid w:val="0029639A"/>
    <w:rPr>
      <w:rFonts w:ascii="Segoe UI" w:hAnsi="Segoe UI" w:cs="Segoe UI"/>
      <w:sz w:val="18"/>
      <w:szCs w:val="18"/>
    </w:rPr>
  </w:style>
  <w:style w:type="character" w:customStyle="1" w:styleId="BalloonTextChar">
    <w:name w:val="Balloon Text Char"/>
    <w:link w:val="BalloonText"/>
    <w:uiPriority w:val="99"/>
    <w:semiHidden/>
    <w:rsid w:val="0029639A"/>
    <w:rPr>
      <w:rFonts w:ascii="Segoe UI" w:hAnsi="Segoe UI" w:cs="Segoe UI"/>
      <w:sz w:val="18"/>
      <w:szCs w:val="18"/>
    </w:rPr>
  </w:style>
  <w:style w:type="paragraph" w:styleId="BodyText">
    <w:name w:val="Body Text"/>
    <w:basedOn w:val="Normal"/>
    <w:link w:val="BodyTextChar"/>
    <w:qFormat/>
    <w:rsid w:val="00C8604A"/>
  </w:style>
  <w:style w:type="character" w:customStyle="1" w:styleId="BodyTextChar">
    <w:name w:val="Body Text Char"/>
    <w:link w:val="BodyText"/>
    <w:rsid w:val="00C8604A"/>
    <w:rPr>
      <w:rFonts w:ascii="Century Schoolbook" w:hAnsi="Century Schoolbook"/>
      <w:sz w:val="27"/>
    </w:rPr>
  </w:style>
  <w:style w:type="character" w:customStyle="1" w:styleId="FootnoteTextChar">
    <w:name w:val="Footnote Text Char"/>
    <w:link w:val="FootnoteText"/>
    <w:rsid w:val="003D036E"/>
    <w:rPr>
      <w:rFonts w:ascii="Century Schoolbook" w:hAnsi="Century Schoolbook"/>
      <w:sz w:val="27"/>
    </w:rPr>
  </w:style>
  <w:style w:type="character" w:customStyle="1" w:styleId="NormalIndentChar">
    <w:name w:val="Normal Indent Char"/>
    <w:link w:val="NormalIndent"/>
    <w:rsid w:val="00DE5B8D"/>
    <w:rPr>
      <w:rFonts w:ascii="Century Schoolbook" w:hAnsi="Century Schoolbook"/>
      <w:sz w:val="27"/>
    </w:rPr>
  </w:style>
  <w:style w:type="character" w:customStyle="1" w:styleId="FooterChar">
    <w:name w:val="Footer Char"/>
    <w:basedOn w:val="DefaultParagraphFont"/>
    <w:link w:val="Footer"/>
    <w:uiPriority w:val="99"/>
    <w:rsid w:val="00ED68F3"/>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121">
      <w:bodyDiv w:val="1"/>
      <w:marLeft w:val="0"/>
      <w:marRight w:val="0"/>
      <w:marTop w:val="0"/>
      <w:marBottom w:val="0"/>
      <w:divBdr>
        <w:top w:val="none" w:sz="0" w:space="0" w:color="auto"/>
        <w:left w:val="none" w:sz="0" w:space="0" w:color="auto"/>
        <w:bottom w:val="none" w:sz="0" w:space="0" w:color="auto"/>
        <w:right w:val="none" w:sz="0" w:space="0" w:color="auto"/>
      </w:divBdr>
    </w:div>
    <w:div w:id="1567062982">
      <w:bodyDiv w:val="1"/>
      <w:marLeft w:val="0"/>
      <w:marRight w:val="0"/>
      <w:marTop w:val="0"/>
      <w:marBottom w:val="0"/>
      <w:divBdr>
        <w:top w:val="none" w:sz="0" w:space="0" w:color="auto"/>
        <w:left w:val="none" w:sz="0" w:space="0" w:color="auto"/>
        <w:bottom w:val="none" w:sz="0" w:space="0" w:color="auto"/>
        <w:right w:val="none" w:sz="0" w:space="0" w:color="auto"/>
      </w:divBdr>
    </w:div>
    <w:div w:id="16472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3899</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2018-12-14T17:44:00Z</cp:lastPrinted>
  <dcterms:created xsi:type="dcterms:W3CDTF">2018-12-14T17:46:00Z</dcterms:created>
  <dcterms:modified xsi:type="dcterms:W3CDTF">2018-12-17T17:38:00Z</dcterms:modified>
</cp:coreProperties>
</file>