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DD4AA" w14:textId="77777777" w:rsidR="00FB0FD2" w:rsidRDefault="00FB0FD2" w:rsidP="00FB0FD2">
      <w:pPr>
        <w:spacing w:after="0"/>
        <w:jc w:val="center"/>
        <w:rPr>
          <w:caps/>
          <w:sz w:val="36"/>
        </w:rPr>
      </w:pPr>
      <w:r>
        <w:rPr>
          <w:b/>
          <w:caps/>
          <w:sz w:val="36"/>
        </w:rPr>
        <w:t>IN THE SUPREME COURT OF CALIFORNIA</w:t>
      </w:r>
    </w:p>
    <w:p w14:paraId="1B843821" w14:textId="77777777" w:rsidR="00FB0FD2" w:rsidRDefault="00FB0FD2" w:rsidP="00FB0FD2">
      <w:pPr>
        <w:spacing w:after="0"/>
        <w:jc w:val="center"/>
        <w:rPr>
          <w:caps/>
        </w:rPr>
      </w:pPr>
    </w:p>
    <w:p w14:paraId="3A6A1092" w14:textId="77777777" w:rsidR="00FB0FD2" w:rsidRDefault="00CD4195" w:rsidP="00FB0FD2">
      <w:pPr>
        <w:spacing w:after="0"/>
        <w:jc w:val="center"/>
        <w:rPr>
          <w:caps/>
        </w:rPr>
      </w:pPr>
      <w:r>
        <w:rPr>
          <w:caps/>
        </w:rPr>
        <w:t xml:space="preserve">Michael </w:t>
      </w:r>
      <w:proofErr w:type="spellStart"/>
      <w:r>
        <w:rPr>
          <w:caps/>
        </w:rPr>
        <w:t>M</w:t>
      </w:r>
      <w:r w:rsidRPr="00981680">
        <w:rPr>
          <w:smallCaps/>
        </w:rPr>
        <w:t>c</w:t>
      </w:r>
      <w:r>
        <w:rPr>
          <w:caps/>
        </w:rPr>
        <w:t>Clain</w:t>
      </w:r>
      <w:proofErr w:type="spellEnd"/>
      <w:r w:rsidR="00FB0FD2">
        <w:rPr>
          <w:caps/>
        </w:rPr>
        <w:t xml:space="preserve"> </w:t>
      </w:r>
      <w:r w:rsidR="00FB0FD2" w:rsidRPr="00981680">
        <w:t>et al.</w:t>
      </w:r>
      <w:r w:rsidR="00FB0FD2">
        <w:rPr>
          <w:caps/>
        </w:rPr>
        <w:t>,</w:t>
      </w:r>
    </w:p>
    <w:p w14:paraId="120A8EED" w14:textId="77777777" w:rsidR="00FB0FD2" w:rsidRDefault="00FB0FD2" w:rsidP="00FB0FD2">
      <w:pPr>
        <w:spacing w:after="0"/>
        <w:jc w:val="center"/>
      </w:pPr>
      <w:r w:rsidRPr="004D73BB">
        <w:t>Plaintiffs and Appellants</w:t>
      </w:r>
      <w:r w:rsidR="00CD4195">
        <w:t>,</w:t>
      </w:r>
    </w:p>
    <w:p w14:paraId="3A19E46D" w14:textId="77777777" w:rsidR="00CD4195" w:rsidRPr="004D73BB" w:rsidRDefault="00CD4195" w:rsidP="00FB0FD2">
      <w:pPr>
        <w:spacing w:after="0"/>
        <w:jc w:val="center"/>
      </w:pPr>
    </w:p>
    <w:p w14:paraId="0E5D0AA2" w14:textId="77777777" w:rsidR="00FB0FD2" w:rsidRPr="00981680" w:rsidRDefault="00FB0FD2" w:rsidP="00FB0FD2">
      <w:pPr>
        <w:spacing w:after="0"/>
        <w:jc w:val="center"/>
      </w:pPr>
      <w:r w:rsidRPr="00981680">
        <w:t>v.</w:t>
      </w:r>
    </w:p>
    <w:p w14:paraId="226DA4F2" w14:textId="77777777" w:rsidR="00CD4195" w:rsidRDefault="00CD4195" w:rsidP="00FB0FD2">
      <w:pPr>
        <w:spacing w:after="0"/>
        <w:jc w:val="center"/>
        <w:rPr>
          <w:caps/>
        </w:rPr>
      </w:pPr>
    </w:p>
    <w:p w14:paraId="635DA550" w14:textId="77777777" w:rsidR="00FB0FD2" w:rsidRDefault="00CD4195" w:rsidP="00FB0FD2">
      <w:pPr>
        <w:spacing w:after="0"/>
        <w:jc w:val="center"/>
        <w:rPr>
          <w:caps/>
        </w:rPr>
      </w:pPr>
      <w:r>
        <w:rPr>
          <w:caps/>
        </w:rPr>
        <w:t>SAV-ON DRUGS</w:t>
      </w:r>
      <w:r w:rsidR="00FB0FD2">
        <w:rPr>
          <w:caps/>
        </w:rPr>
        <w:t xml:space="preserve"> </w:t>
      </w:r>
      <w:r w:rsidR="00FB0FD2" w:rsidRPr="00981680">
        <w:t>et al.</w:t>
      </w:r>
      <w:r w:rsidR="00FB0FD2">
        <w:rPr>
          <w:caps/>
        </w:rPr>
        <w:t>,</w:t>
      </w:r>
    </w:p>
    <w:p w14:paraId="1A9BE041" w14:textId="12394051" w:rsidR="00FB0FD2" w:rsidRPr="00CD4195" w:rsidRDefault="00FB0FD2" w:rsidP="00FB0FD2">
      <w:pPr>
        <w:spacing w:after="0"/>
        <w:jc w:val="center"/>
      </w:pPr>
      <w:r w:rsidRPr="00CD4195">
        <w:t>Defendants and Respondents</w:t>
      </w:r>
      <w:r w:rsidR="00063369">
        <w:t>.</w:t>
      </w:r>
      <w:bookmarkStart w:id="0" w:name="_GoBack"/>
      <w:bookmarkEnd w:id="0"/>
    </w:p>
    <w:p w14:paraId="68F6F08F" w14:textId="77777777" w:rsidR="00FB0FD2" w:rsidRDefault="00FB0FD2" w:rsidP="00FB0FD2">
      <w:pPr>
        <w:spacing w:after="0"/>
        <w:jc w:val="center"/>
        <w:rPr>
          <w:caps/>
        </w:rPr>
      </w:pPr>
    </w:p>
    <w:p w14:paraId="64777AB5" w14:textId="77777777" w:rsidR="00EF3440" w:rsidRDefault="00EF3440" w:rsidP="00FB0FD2">
      <w:pPr>
        <w:spacing w:after="0"/>
        <w:jc w:val="center"/>
        <w:rPr>
          <w:caps/>
        </w:rPr>
      </w:pPr>
      <w:r>
        <w:rPr>
          <w:caps/>
        </w:rPr>
        <w:t>AND CONSOLIDATED CASE</w:t>
      </w:r>
      <w:r w:rsidR="00674B37">
        <w:rPr>
          <w:caps/>
        </w:rPr>
        <w:t>.</w:t>
      </w:r>
    </w:p>
    <w:p w14:paraId="56AB6D03" w14:textId="77777777" w:rsidR="00FB0FD2" w:rsidRDefault="00FB0FD2" w:rsidP="00FB0FD2">
      <w:pPr>
        <w:spacing w:after="0"/>
        <w:jc w:val="center"/>
        <w:rPr>
          <w:caps/>
        </w:rPr>
      </w:pPr>
      <w:r>
        <w:rPr>
          <w:caps/>
        </w:rPr>
        <w:t>S241471</w:t>
      </w:r>
    </w:p>
    <w:p w14:paraId="0981DE37" w14:textId="77777777" w:rsidR="00FB0FD2" w:rsidRDefault="00FB0FD2" w:rsidP="00FB0FD2">
      <w:pPr>
        <w:spacing w:after="0"/>
        <w:jc w:val="center"/>
        <w:rPr>
          <w:caps/>
        </w:rPr>
      </w:pPr>
    </w:p>
    <w:p w14:paraId="56369A74" w14:textId="77777777" w:rsidR="00FB0FD2" w:rsidRPr="00CD4195" w:rsidRDefault="00FB0FD2" w:rsidP="00FB0FD2">
      <w:pPr>
        <w:spacing w:after="0"/>
        <w:jc w:val="center"/>
      </w:pPr>
      <w:r w:rsidRPr="00CD4195">
        <w:t>Second Appellate District, Division Eight</w:t>
      </w:r>
    </w:p>
    <w:p w14:paraId="07D03002" w14:textId="77777777" w:rsidR="00FB0FD2" w:rsidRDefault="00FB0FD2" w:rsidP="00FB0FD2">
      <w:pPr>
        <w:spacing w:after="0"/>
        <w:jc w:val="center"/>
        <w:rPr>
          <w:caps/>
        </w:rPr>
      </w:pPr>
      <w:r>
        <w:rPr>
          <w:caps/>
        </w:rPr>
        <w:t xml:space="preserve">B265011 </w:t>
      </w:r>
      <w:r w:rsidRPr="00CD4195">
        <w:t>and</w:t>
      </w:r>
      <w:r>
        <w:rPr>
          <w:caps/>
        </w:rPr>
        <w:t xml:space="preserve"> B265029</w:t>
      </w:r>
    </w:p>
    <w:p w14:paraId="58CE645D" w14:textId="77777777" w:rsidR="00FB0FD2" w:rsidRDefault="00FB0FD2" w:rsidP="00FB0FD2">
      <w:pPr>
        <w:spacing w:after="0"/>
        <w:jc w:val="center"/>
        <w:rPr>
          <w:caps/>
        </w:rPr>
      </w:pPr>
    </w:p>
    <w:p w14:paraId="00ED2100" w14:textId="77777777" w:rsidR="00FB0FD2" w:rsidRPr="00981680" w:rsidRDefault="00FB0FD2" w:rsidP="00FB0FD2">
      <w:pPr>
        <w:spacing w:after="0"/>
        <w:jc w:val="center"/>
      </w:pPr>
      <w:r>
        <w:rPr>
          <w:caps/>
        </w:rPr>
        <w:t>L</w:t>
      </w:r>
      <w:r w:rsidRPr="00981680">
        <w:t>os</w:t>
      </w:r>
      <w:r>
        <w:rPr>
          <w:caps/>
        </w:rPr>
        <w:t xml:space="preserve"> A</w:t>
      </w:r>
      <w:r w:rsidRPr="00981680">
        <w:t>ngeles</w:t>
      </w:r>
      <w:r>
        <w:rPr>
          <w:caps/>
        </w:rPr>
        <w:t xml:space="preserve"> C</w:t>
      </w:r>
      <w:r w:rsidRPr="00981680">
        <w:t>ounty</w:t>
      </w:r>
      <w:r w:rsidR="00981680">
        <w:t xml:space="preserve"> Superior Court</w:t>
      </w:r>
    </w:p>
    <w:p w14:paraId="2417AEFB" w14:textId="77777777" w:rsidR="00FB0FD2" w:rsidRDefault="00FB0FD2" w:rsidP="00FB0FD2">
      <w:pPr>
        <w:pBdr>
          <w:bottom w:val="single" w:sz="4" w:space="1" w:color="auto"/>
        </w:pBdr>
        <w:spacing w:after="0"/>
        <w:jc w:val="center"/>
        <w:rPr>
          <w:caps/>
        </w:rPr>
      </w:pPr>
      <w:r>
        <w:rPr>
          <w:caps/>
        </w:rPr>
        <w:t xml:space="preserve">BC325272 </w:t>
      </w:r>
      <w:r w:rsidRPr="00CD4195">
        <w:t>and</w:t>
      </w:r>
      <w:r>
        <w:rPr>
          <w:caps/>
        </w:rPr>
        <w:t xml:space="preserve"> BC327216</w:t>
      </w:r>
    </w:p>
    <w:p w14:paraId="3BA08C95" w14:textId="77777777" w:rsidR="00CD4195" w:rsidRDefault="00CD4195" w:rsidP="00FB0FD2">
      <w:pPr>
        <w:pBdr>
          <w:bottom w:val="single" w:sz="4" w:space="1" w:color="auto"/>
        </w:pBdr>
        <w:spacing w:after="0"/>
        <w:jc w:val="center"/>
        <w:rPr>
          <w:caps/>
        </w:rPr>
      </w:pPr>
    </w:p>
    <w:p w14:paraId="193DF45B" w14:textId="77777777" w:rsidR="00CD4195" w:rsidRDefault="00146FD3" w:rsidP="00CD4195">
      <w:pPr>
        <w:tabs>
          <w:tab w:val="left" w:pos="1440"/>
          <w:tab w:val="left" w:pos="4680"/>
          <w:tab w:val="center" w:pos="7200"/>
        </w:tabs>
        <w:spacing w:after="0"/>
        <w:jc w:val="center"/>
      </w:pPr>
      <w:r>
        <w:t>March 4</w:t>
      </w:r>
      <w:r w:rsidR="00CD4195">
        <w:t>, 2019</w:t>
      </w:r>
    </w:p>
    <w:p w14:paraId="78D3F61C" w14:textId="77777777" w:rsidR="00162977" w:rsidRDefault="002A4AC3" w:rsidP="00CD4195">
      <w:pPr>
        <w:tabs>
          <w:tab w:val="left" w:pos="1440"/>
          <w:tab w:val="left" w:pos="4680"/>
          <w:tab w:val="center" w:pos="7200"/>
        </w:tabs>
        <w:spacing w:after="0"/>
        <w:jc w:val="left"/>
      </w:pPr>
      <w:r>
        <w:t>Justice Liu authored</w:t>
      </w:r>
      <w:r w:rsidR="00CD4195">
        <w:t xml:space="preserve"> the opinion of the court, in which </w:t>
      </w:r>
      <w:r w:rsidR="00146FD3">
        <w:t>Chief Justice Cantil-Sakauye and Justices Chin, Corrigan, Cuéllar Kruger</w:t>
      </w:r>
      <w:r w:rsidR="006F618A">
        <w:t>,</w:t>
      </w:r>
      <w:r w:rsidR="00146FD3">
        <w:t xml:space="preserve"> and O’Leary</w:t>
      </w:r>
      <w:r w:rsidR="00146FD3">
        <w:rPr>
          <w:rStyle w:val="FootnoteReference"/>
        </w:rPr>
        <w:footnoteReference w:customMarkFollows="1" w:id="2"/>
        <w:t>*</w:t>
      </w:r>
      <w:r w:rsidR="00CD4195">
        <w:t xml:space="preserve"> concurred.</w:t>
      </w:r>
    </w:p>
    <w:p w14:paraId="76959312" w14:textId="77777777" w:rsidR="00FB0FD2" w:rsidRDefault="00162977" w:rsidP="00162977">
      <w:pPr>
        <w:tabs>
          <w:tab w:val="left" w:pos="1440"/>
          <w:tab w:val="left" w:pos="4680"/>
          <w:tab w:val="center" w:pos="7200"/>
        </w:tabs>
        <w:spacing w:after="0"/>
        <w:jc w:val="left"/>
      </w:pPr>
      <w:r>
        <w:t>Justice Kruger filed a concurring opinion in which Justices Chin, Corrigan</w:t>
      </w:r>
      <w:r w:rsidR="006F618A">
        <w:t>,</w:t>
      </w:r>
      <w:r>
        <w:t xml:space="preserve"> and O’Leary concurred.</w:t>
      </w:r>
    </w:p>
    <w:p w14:paraId="6337FFF7" w14:textId="77777777" w:rsidR="00EF3440" w:rsidRPr="00162977" w:rsidRDefault="00EF3440" w:rsidP="00162977">
      <w:pPr>
        <w:tabs>
          <w:tab w:val="left" w:pos="1440"/>
          <w:tab w:val="left" w:pos="4680"/>
          <w:tab w:val="center" w:pos="7200"/>
        </w:tabs>
        <w:spacing w:after="0"/>
        <w:jc w:val="left"/>
      </w:pPr>
      <w:r>
        <w:t>__________________________________________________________</w:t>
      </w:r>
    </w:p>
    <w:p w14:paraId="76638C41" w14:textId="77777777" w:rsidR="00FB0FD2" w:rsidRPr="00FB0FD2" w:rsidRDefault="00FB0FD2" w:rsidP="00FB0FD2">
      <w:pPr>
        <w:pBdr>
          <w:bottom w:val="single" w:sz="4" w:space="1" w:color="auto"/>
        </w:pBdr>
        <w:spacing w:line="480" w:lineRule="atLeast"/>
        <w:jc w:val="left"/>
        <w:rPr>
          <w:caps/>
        </w:rPr>
        <w:sectPr w:rsidR="00FB0FD2" w:rsidRPr="00FB0FD2" w:rsidSect="00FB0FD2">
          <w:headerReference w:type="default" r:id="rId6"/>
          <w:footerReference w:type="default" r:id="rId7"/>
          <w:pgSz w:w="12240" w:h="15840"/>
          <w:pgMar w:top="1800" w:right="2160" w:bottom="1440" w:left="2160" w:header="720" w:footer="720" w:gutter="0"/>
          <w:cols w:space="720"/>
          <w:titlePg/>
          <w:docGrid w:linePitch="367"/>
        </w:sectPr>
      </w:pPr>
      <w:bookmarkStart w:id="2" w:name="Return"/>
      <w:bookmarkEnd w:id="2"/>
    </w:p>
    <w:p w14:paraId="64089E89" w14:textId="77777777" w:rsidR="00FB0FD2" w:rsidRPr="00CD4195" w:rsidRDefault="00FB0FD2" w:rsidP="00FB0FD2">
      <w:pPr>
        <w:jc w:val="center"/>
        <w:rPr>
          <w:caps/>
        </w:rPr>
      </w:pPr>
      <w:proofErr w:type="spellStart"/>
      <w:r w:rsidRPr="00CD4195">
        <w:rPr>
          <w:caps/>
        </w:rPr>
        <w:lastRenderedPageBreak/>
        <w:t>M</w:t>
      </w:r>
      <w:r w:rsidRPr="004F053E">
        <w:rPr>
          <w:smallCaps/>
        </w:rPr>
        <w:t>c</w:t>
      </w:r>
      <w:r w:rsidRPr="00CD4195">
        <w:rPr>
          <w:caps/>
        </w:rPr>
        <w:t>Clain</w:t>
      </w:r>
      <w:proofErr w:type="spellEnd"/>
      <w:r w:rsidR="00CD4195" w:rsidRPr="00CD4195">
        <w:rPr>
          <w:caps/>
        </w:rPr>
        <w:t xml:space="preserve"> </w:t>
      </w:r>
      <w:r w:rsidR="00CD4195" w:rsidRPr="00CD4195">
        <w:t>v</w:t>
      </w:r>
      <w:r w:rsidRPr="00CD4195">
        <w:rPr>
          <w:caps/>
        </w:rPr>
        <w:t>. SAV-ON DRUGS</w:t>
      </w:r>
    </w:p>
    <w:p w14:paraId="39B6D09A" w14:textId="77777777" w:rsidR="00FB0FD2" w:rsidRPr="00CD4195" w:rsidRDefault="00FB0FD2" w:rsidP="00FB0FD2">
      <w:pPr>
        <w:jc w:val="center"/>
        <w:rPr>
          <w:caps/>
        </w:rPr>
      </w:pPr>
      <w:r w:rsidRPr="00CD4195">
        <w:rPr>
          <w:caps/>
        </w:rPr>
        <w:t>S241471</w:t>
      </w:r>
    </w:p>
    <w:p w14:paraId="356D6DD3" w14:textId="77777777" w:rsidR="00FB0FD2" w:rsidRPr="00CD4195" w:rsidRDefault="00FB0FD2" w:rsidP="00FB0FD2">
      <w:pPr>
        <w:jc w:val="center"/>
        <w:rPr>
          <w:caps/>
        </w:rPr>
      </w:pPr>
    </w:p>
    <w:p w14:paraId="421B153D" w14:textId="77777777" w:rsidR="00FB0FD2" w:rsidRPr="00CD4195" w:rsidRDefault="00FB0FD2" w:rsidP="00FB0FD2">
      <w:pPr>
        <w:jc w:val="center"/>
        <w:rPr>
          <w:caps/>
        </w:rPr>
      </w:pPr>
      <w:r w:rsidRPr="00CD4195">
        <w:rPr>
          <w:caps/>
        </w:rPr>
        <w:t>O</w:t>
      </w:r>
      <w:r w:rsidRPr="004F053E">
        <w:t>pinion</w:t>
      </w:r>
      <w:r w:rsidRPr="00CD4195">
        <w:rPr>
          <w:caps/>
        </w:rPr>
        <w:t xml:space="preserve"> </w:t>
      </w:r>
      <w:r w:rsidRPr="004F053E">
        <w:t>of the</w:t>
      </w:r>
      <w:r w:rsidRPr="00CD4195">
        <w:rPr>
          <w:caps/>
        </w:rPr>
        <w:t xml:space="preserve"> C</w:t>
      </w:r>
      <w:r w:rsidRPr="004F053E">
        <w:t>ourt</w:t>
      </w:r>
      <w:r w:rsidRPr="00CD4195">
        <w:rPr>
          <w:caps/>
        </w:rPr>
        <w:t xml:space="preserve"> </w:t>
      </w:r>
      <w:r w:rsidRPr="004F053E">
        <w:t>by</w:t>
      </w:r>
      <w:r w:rsidRPr="00CD4195">
        <w:rPr>
          <w:caps/>
        </w:rPr>
        <w:t xml:space="preserve"> L</w:t>
      </w:r>
      <w:r w:rsidRPr="004F053E">
        <w:t>iu</w:t>
      </w:r>
      <w:r w:rsidRPr="00CD4195">
        <w:rPr>
          <w:caps/>
        </w:rPr>
        <w:t>, J.</w:t>
      </w:r>
    </w:p>
    <w:p w14:paraId="240A99FB" w14:textId="77777777" w:rsidR="00FB0FD2" w:rsidRPr="00FB0FD2" w:rsidRDefault="00FB0FD2" w:rsidP="00FB0FD2">
      <w:pPr>
        <w:jc w:val="center"/>
        <w:rPr>
          <w:b/>
          <w:caps/>
        </w:rPr>
      </w:pPr>
    </w:p>
    <w:p w14:paraId="45C1FD56" w14:textId="77777777" w:rsidR="003B2895" w:rsidRPr="00FB0FD2" w:rsidRDefault="004B66C7" w:rsidP="00FB0FD2">
      <w:pPr>
        <w:tabs>
          <w:tab w:val="left" w:pos="1440"/>
        </w:tabs>
        <w:ind w:firstLine="720"/>
      </w:pPr>
      <w:bookmarkStart w:id="3" w:name="mainstory"/>
      <w:bookmarkEnd w:id="3"/>
      <w:r w:rsidRPr="00FB0FD2">
        <w:t xml:space="preserve">California retailers are generally required to pay the state a sales tax on </w:t>
      </w:r>
      <w:r w:rsidR="008E67A6" w:rsidRPr="00FB0FD2">
        <w:t xml:space="preserve">the retail sale of </w:t>
      </w:r>
      <w:r w:rsidRPr="00FB0FD2">
        <w:t>any “tangible personal property</w:t>
      </w:r>
      <w:r w:rsidR="008E67A6" w:rsidRPr="00FB0FD2">
        <w:t>.</w:t>
      </w:r>
      <w:r w:rsidRPr="00FB0FD2">
        <w:t xml:space="preserve">” </w:t>
      </w:r>
      <w:r w:rsidR="008E67A6" w:rsidRPr="00FB0FD2">
        <w:t xml:space="preserve"> </w:t>
      </w:r>
      <w:r w:rsidRPr="00FB0FD2">
        <w:t xml:space="preserve">(Rev. &amp; Tax. Code, § 6051.)  </w:t>
      </w:r>
      <w:r w:rsidR="006844FA" w:rsidRPr="00FB0FD2">
        <w:t>R</w:t>
      </w:r>
      <w:r w:rsidRPr="00FB0FD2">
        <w:t>etailers submit payment to the California Department of Tax and Fee Administration (CDTFA</w:t>
      </w:r>
      <w:r w:rsidR="005D0D08" w:rsidRPr="00FB0FD2">
        <w:t xml:space="preserve"> or Department</w:t>
      </w:r>
      <w:r w:rsidRPr="00FB0FD2">
        <w:t>) as a perc</w:t>
      </w:r>
      <w:r w:rsidR="001239DD" w:rsidRPr="00FB0FD2">
        <w:t>entage of their gross receipts</w:t>
      </w:r>
      <w:r w:rsidR="00A47AA1" w:rsidRPr="00FB0FD2">
        <w:t xml:space="preserve"> under a </w:t>
      </w:r>
      <w:r w:rsidRPr="00FB0FD2">
        <w:t>r</w:t>
      </w:r>
      <w:r w:rsidR="001239DD" w:rsidRPr="00FB0FD2">
        <w:t>ebuttable presumption that all gross receipts</w:t>
      </w:r>
      <w:r w:rsidRPr="00FB0FD2">
        <w:t xml:space="preserve"> are subject to the sales tax</w:t>
      </w:r>
      <w:r w:rsidR="00CD3CC9" w:rsidRPr="00FB0FD2">
        <w:t xml:space="preserve">. </w:t>
      </w:r>
      <w:r w:rsidRPr="00FB0FD2">
        <w:t xml:space="preserve"> (</w:t>
      </w:r>
      <w:r w:rsidR="003A63E2">
        <w:rPr>
          <w:i/>
        </w:rPr>
        <w:t>Id.</w:t>
      </w:r>
      <w:r w:rsidRPr="00FB0FD2">
        <w:t>, §§ 6051, 6091</w:t>
      </w:r>
      <w:r w:rsidR="0008276B" w:rsidRPr="00FB0FD2">
        <w:t xml:space="preserve">.)  </w:t>
      </w:r>
      <w:r w:rsidR="001239DD" w:rsidRPr="00FB0FD2">
        <w:t>R</w:t>
      </w:r>
      <w:r w:rsidR="0008276B" w:rsidRPr="00FB0FD2">
        <w:t>etailer</w:t>
      </w:r>
      <w:r w:rsidR="003B2895" w:rsidRPr="00FB0FD2">
        <w:t>s</w:t>
      </w:r>
      <w:r w:rsidR="0008276B" w:rsidRPr="00FB0FD2">
        <w:t xml:space="preserve"> may </w:t>
      </w:r>
      <w:r w:rsidRPr="00FB0FD2">
        <w:t xml:space="preserve">charge customers a “sales tax reimbursement to the sales price” for </w:t>
      </w:r>
      <w:r w:rsidR="008E67A6" w:rsidRPr="00FB0FD2">
        <w:t>sales</w:t>
      </w:r>
      <w:r w:rsidRPr="00FB0FD2">
        <w:t xml:space="preserve"> subject to the tax</w:t>
      </w:r>
      <w:r w:rsidR="001239DD" w:rsidRPr="00FB0FD2">
        <w:t>,</w:t>
      </w:r>
      <w:r w:rsidRPr="00FB0FD2">
        <w:t xml:space="preserve"> or</w:t>
      </w:r>
      <w:r w:rsidR="001239DD" w:rsidRPr="00FB0FD2">
        <w:t xml:space="preserve"> they may </w:t>
      </w:r>
      <w:r w:rsidR="00DD2A86" w:rsidRPr="00FB0FD2">
        <w:t xml:space="preserve">absorb the tax and opt to </w:t>
      </w:r>
      <w:r w:rsidR="0008276B" w:rsidRPr="00FB0FD2">
        <w:t xml:space="preserve">build </w:t>
      </w:r>
      <w:r w:rsidR="008D2218" w:rsidRPr="00FB0FD2">
        <w:t xml:space="preserve">it </w:t>
      </w:r>
      <w:r w:rsidR="0008276B" w:rsidRPr="00FB0FD2">
        <w:t>into the price</w:t>
      </w:r>
      <w:r w:rsidR="00DD2A86" w:rsidRPr="00FB0FD2">
        <w:t xml:space="preserve"> charged to consumers</w:t>
      </w:r>
      <w:r w:rsidRPr="00FB0FD2">
        <w:t>.  (Civ. Code, § 1656.1</w:t>
      </w:r>
      <w:r w:rsidR="008D2218" w:rsidRPr="00FB0FD2">
        <w:t xml:space="preserve">; see </w:t>
      </w:r>
      <w:r w:rsidR="008D2218" w:rsidRPr="00FB0FD2">
        <w:rPr>
          <w:i/>
        </w:rPr>
        <w:t>Loeffler v. Target Corp.</w:t>
      </w:r>
      <w:r w:rsidR="008D2218" w:rsidRPr="00FB0FD2">
        <w:t xml:space="preserve"> (2014) 58 Cal.4th 1081, </w:t>
      </w:r>
      <w:r w:rsidR="00ED7783" w:rsidRPr="00FB0FD2">
        <w:t xml:space="preserve">1103, </w:t>
      </w:r>
      <w:r w:rsidR="008D2218" w:rsidRPr="00FB0FD2">
        <w:t>1117 (</w:t>
      </w:r>
      <w:r w:rsidR="008D2218" w:rsidRPr="00FB0FD2">
        <w:rPr>
          <w:i/>
        </w:rPr>
        <w:t>Loeffler</w:t>
      </w:r>
      <w:r w:rsidR="008D2218" w:rsidRPr="00FB0FD2">
        <w:t>)</w:t>
      </w:r>
      <w:r w:rsidR="0008276B" w:rsidRPr="00FB0FD2">
        <w:t>.)</w:t>
      </w:r>
    </w:p>
    <w:p w14:paraId="3E20AD33" w14:textId="77777777" w:rsidR="004B66C7" w:rsidRPr="00FB0FD2" w:rsidRDefault="00057651" w:rsidP="00C42E80">
      <w:pPr>
        <w:tabs>
          <w:tab w:val="left" w:pos="1440"/>
        </w:tabs>
        <w:ind w:firstLine="720"/>
      </w:pPr>
      <w:r w:rsidRPr="00FB0FD2">
        <w:t xml:space="preserve">If a retailer </w:t>
      </w:r>
      <w:r w:rsidR="00D87A03" w:rsidRPr="00FB0FD2">
        <w:t xml:space="preserve">believes it has paid sales tax </w:t>
      </w:r>
      <w:r w:rsidRPr="00FB0FD2">
        <w:t>in excess of the amount legally</w:t>
      </w:r>
      <w:r w:rsidR="00D87A03" w:rsidRPr="00FB0FD2">
        <w:t xml:space="preserve"> due,</w:t>
      </w:r>
      <w:r w:rsidRPr="00FB0FD2">
        <w:t xml:space="preserve"> </w:t>
      </w:r>
      <w:r w:rsidR="000340E4" w:rsidRPr="00FB0FD2">
        <w:t xml:space="preserve">it </w:t>
      </w:r>
      <w:r w:rsidRPr="00FB0FD2">
        <w:t xml:space="preserve">can file an administrative claim with the </w:t>
      </w:r>
      <w:r w:rsidR="005D0D08" w:rsidRPr="00FB0FD2">
        <w:t>Department</w:t>
      </w:r>
      <w:r w:rsidRPr="00FB0FD2">
        <w:t xml:space="preserve"> for a refund of any amount not required to be </w:t>
      </w:r>
      <w:r w:rsidR="00D87A03" w:rsidRPr="00FB0FD2">
        <w:t>paid.</w:t>
      </w:r>
      <w:r w:rsidRPr="00FB0FD2">
        <w:t xml:space="preserve">  (Rev. &amp; Tax. Code, § 6901.)  If</w:t>
      </w:r>
      <w:r w:rsidR="008E67A6" w:rsidRPr="00FB0FD2">
        <w:t xml:space="preserve"> it “has been ascertained” </w:t>
      </w:r>
      <w:r w:rsidR="003B2895" w:rsidRPr="00FB0FD2">
        <w:t>that a customer has paid a retailer more sales tax reimbursement than the amount of sales tax the retailer owes,</w:t>
      </w:r>
      <w:r w:rsidRPr="00FB0FD2">
        <w:t xml:space="preserve"> the</w:t>
      </w:r>
      <w:r w:rsidR="00BE6DCD" w:rsidRPr="00FB0FD2">
        <w:t xml:space="preserve"> retailer </w:t>
      </w:r>
      <w:r w:rsidR="003B2895" w:rsidRPr="00FB0FD2">
        <w:t xml:space="preserve">upon notice by the </w:t>
      </w:r>
      <w:r w:rsidR="005D0D08" w:rsidRPr="00FB0FD2">
        <w:t>Department</w:t>
      </w:r>
      <w:r w:rsidR="003B2895" w:rsidRPr="00FB0FD2">
        <w:t xml:space="preserve"> or the customer “</w:t>
      </w:r>
      <w:proofErr w:type="gramStart"/>
      <w:r w:rsidR="003B2895" w:rsidRPr="00FB0FD2">
        <w:t>shall .</w:t>
      </w:r>
      <w:proofErr w:type="gramEnd"/>
      <w:r w:rsidR="003B2895" w:rsidRPr="00FB0FD2">
        <w:t xml:space="preserve"> . . </w:t>
      </w:r>
      <w:proofErr w:type="gramStart"/>
      <w:r w:rsidR="003B2895" w:rsidRPr="00FB0FD2">
        <w:t>return[</w:t>
      </w:r>
      <w:proofErr w:type="gramEnd"/>
      <w:r w:rsidR="003B2895" w:rsidRPr="00FB0FD2">
        <w:t xml:space="preserve">]” the excess </w:t>
      </w:r>
      <w:r w:rsidRPr="00FB0FD2">
        <w:t>sales tax</w:t>
      </w:r>
      <w:r w:rsidR="00BE6DCD" w:rsidRPr="00FB0FD2">
        <w:t xml:space="preserve"> reimbursement to the customer</w:t>
      </w:r>
      <w:r w:rsidR="003B2895" w:rsidRPr="00FB0FD2">
        <w:t xml:space="preserve">; if the retailer “fail[s] or refuse[s] to do so,” the retailer “shall . . . </w:t>
      </w:r>
      <w:proofErr w:type="gramStart"/>
      <w:r w:rsidR="003B2895" w:rsidRPr="00FB0FD2">
        <w:t>remit[</w:t>
      </w:r>
      <w:proofErr w:type="gramEnd"/>
      <w:r w:rsidR="003B2895" w:rsidRPr="00FB0FD2">
        <w:t xml:space="preserve">]” </w:t>
      </w:r>
      <w:r w:rsidRPr="00FB0FD2">
        <w:t xml:space="preserve">the funds </w:t>
      </w:r>
      <w:r w:rsidR="003B2895" w:rsidRPr="00FB0FD2">
        <w:t xml:space="preserve">to </w:t>
      </w:r>
      <w:r w:rsidRPr="00FB0FD2">
        <w:t>the state.  (</w:t>
      </w:r>
      <w:r w:rsidR="000340E4" w:rsidRPr="00FB0FD2">
        <w:rPr>
          <w:i/>
        </w:rPr>
        <w:t>Id.</w:t>
      </w:r>
      <w:r w:rsidRPr="00FB0FD2">
        <w:t xml:space="preserve">, § 6901.5.)  </w:t>
      </w:r>
      <w:r w:rsidR="0076795C" w:rsidRPr="00FB0FD2">
        <w:t>A</w:t>
      </w:r>
      <w:r w:rsidR="003B2895" w:rsidRPr="00FB0FD2">
        <w:t xml:space="preserve"> </w:t>
      </w:r>
      <w:r w:rsidRPr="00FB0FD2">
        <w:t xml:space="preserve">customer </w:t>
      </w:r>
      <w:r w:rsidR="003B2895" w:rsidRPr="00FB0FD2">
        <w:t xml:space="preserve">who </w:t>
      </w:r>
      <w:r w:rsidRPr="00FB0FD2">
        <w:t xml:space="preserve">has paid </w:t>
      </w:r>
      <w:r w:rsidR="0076795C" w:rsidRPr="00FB0FD2">
        <w:t xml:space="preserve">excess </w:t>
      </w:r>
      <w:r w:rsidR="004B66C7" w:rsidRPr="00FB0FD2">
        <w:t>sales tax</w:t>
      </w:r>
      <w:r w:rsidR="003B2895" w:rsidRPr="00FB0FD2">
        <w:t xml:space="preserve"> reimbursement</w:t>
      </w:r>
      <w:r w:rsidR="004B66C7" w:rsidRPr="00FB0FD2">
        <w:t xml:space="preserve"> has no statutory remedy to obtain a refund from the </w:t>
      </w:r>
      <w:r w:rsidR="005D0D08" w:rsidRPr="00FB0FD2">
        <w:t>Department</w:t>
      </w:r>
      <w:r w:rsidR="004B66C7" w:rsidRPr="00FB0FD2">
        <w:t xml:space="preserve"> directl</w:t>
      </w:r>
      <w:r w:rsidRPr="00FB0FD2">
        <w:t>y</w:t>
      </w:r>
      <w:r w:rsidR="00FE40E7" w:rsidRPr="00FB0FD2">
        <w:t>.</w:t>
      </w:r>
      <w:r w:rsidR="004B66C7" w:rsidRPr="00FB0FD2">
        <w:t xml:space="preserve"> </w:t>
      </w:r>
      <w:r w:rsidRPr="00FB0FD2">
        <w:t xml:space="preserve"> </w:t>
      </w:r>
      <w:r w:rsidR="0076795C" w:rsidRPr="00FB0FD2">
        <w:t>(See</w:t>
      </w:r>
      <w:r w:rsidR="00FE40E7" w:rsidRPr="00FB0FD2">
        <w:t xml:space="preserve"> </w:t>
      </w:r>
      <w:proofErr w:type="spellStart"/>
      <w:r w:rsidR="004B66C7" w:rsidRPr="00FB0FD2">
        <w:rPr>
          <w:i/>
        </w:rPr>
        <w:t>Javor</w:t>
      </w:r>
      <w:proofErr w:type="spellEnd"/>
      <w:r w:rsidR="004B66C7" w:rsidRPr="00FB0FD2">
        <w:rPr>
          <w:i/>
        </w:rPr>
        <w:t xml:space="preserve"> v.</w:t>
      </w:r>
      <w:r w:rsidR="0076795C" w:rsidRPr="00FB0FD2">
        <w:rPr>
          <w:i/>
        </w:rPr>
        <w:t xml:space="preserve"> State Bd.</w:t>
      </w:r>
      <w:r w:rsidR="004B66C7" w:rsidRPr="00FB0FD2">
        <w:rPr>
          <w:i/>
        </w:rPr>
        <w:t xml:space="preserve"> of Equalization</w:t>
      </w:r>
      <w:r w:rsidR="004B66C7" w:rsidRPr="00FB0FD2">
        <w:t xml:space="preserve"> (1974) 12 Cal.3d 790, 800 </w:t>
      </w:r>
      <w:r w:rsidR="002C6C26" w:rsidRPr="00FB0FD2">
        <w:t>(</w:t>
      </w:r>
      <w:proofErr w:type="spellStart"/>
      <w:r w:rsidR="002C6C26" w:rsidRPr="00FB0FD2">
        <w:rPr>
          <w:i/>
        </w:rPr>
        <w:t>Javor</w:t>
      </w:r>
      <w:proofErr w:type="spellEnd"/>
      <w:r w:rsidR="002C6C26" w:rsidRPr="00FB0FD2">
        <w:t>)</w:t>
      </w:r>
      <w:r w:rsidR="000340E4" w:rsidRPr="00FB0FD2">
        <w:t>.)</w:t>
      </w:r>
      <w:r w:rsidR="00A47A76">
        <w:t xml:space="preserve"> </w:t>
      </w:r>
      <w:r w:rsidR="0076795C" w:rsidRPr="00FB0FD2">
        <w:t xml:space="preserve">(The </w:t>
      </w:r>
      <w:r w:rsidR="005D0D08" w:rsidRPr="00FB0FD2">
        <w:t xml:space="preserve">Legislature created the CDTFA in 2017 and </w:t>
      </w:r>
      <w:r w:rsidR="005D0D08" w:rsidRPr="00FB0FD2">
        <w:lastRenderedPageBreak/>
        <w:t>transferred to it most of the tax-related duties and powers previously vested in the Board of Equalization (Board).  (</w:t>
      </w:r>
      <w:proofErr w:type="spellStart"/>
      <w:r w:rsidR="005D0D08" w:rsidRPr="00FB0FD2">
        <w:t>Assem</w:t>
      </w:r>
      <w:proofErr w:type="spellEnd"/>
      <w:r w:rsidR="005D0D08" w:rsidRPr="00FB0FD2">
        <w:t>. Bill. No. 102 (2017–2018 Reg. Sess.) § 1.)</w:t>
      </w:r>
      <w:r w:rsidR="003274BD" w:rsidRPr="00FB0FD2">
        <w:t xml:space="preserve">  </w:t>
      </w:r>
      <w:r w:rsidR="00D87A03" w:rsidRPr="00FB0FD2">
        <w:t xml:space="preserve">In </w:t>
      </w:r>
      <w:r w:rsidR="003274BD" w:rsidRPr="00FB0FD2">
        <w:t xml:space="preserve">this </w:t>
      </w:r>
      <w:r w:rsidR="00B73CDB" w:rsidRPr="00FB0FD2">
        <w:t>opinion</w:t>
      </w:r>
      <w:r w:rsidR="003274BD" w:rsidRPr="00FB0FD2">
        <w:t>, the terms “Department” and “Board” refer to the same administrative entity.)</w:t>
      </w:r>
    </w:p>
    <w:p w14:paraId="06A15905" w14:textId="77777777" w:rsidR="00C63CD1" w:rsidRPr="00FB0FD2" w:rsidRDefault="000340E4" w:rsidP="00FB0FD2">
      <w:pPr>
        <w:ind w:firstLine="720"/>
      </w:pPr>
      <w:r w:rsidRPr="00FB0FD2">
        <w:t>T</w:t>
      </w:r>
      <w:r w:rsidR="00AC65AC" w:rsidRPr="00FB0FD2">
        <w:t xml:space="preserve">he question </w:t>
      </w:r>
      <w:r w:rsidRPr="00FB0FD2">
        <w:t xml:space="preserve">here </w:t>
      </w:r>
      <w:r w:rsidR="00AC65AC" w:rsidRPr="00FB0FD2">
        <w:t xml:space="preserve">is whether customers who have paid sales tax reimbursement </w:t>
      </w:r>
      <w:r w:rsidRPr="00FB0FD2">
        <w:t xml:space="preserve">on </w:t>
      </w:r>
      <w:r w:rsidR="008E67A6" w:rsidRPr="00FB0FD2">
        <w:t>purchases</w:t>
      </w:r>
      <w:r w:rsidRPr="00FB0FD2">
        <w:t xml:space="preserve"> they believe to be exempt from sales tax may </w:t>
      </w:r>
      <w:r w:rsidR="00AC65AC" w:rsidRPr="00FB0FD2">
        <w:t xml:space="preserve">file suit to compel the retailers to seek a tax refund from the </w:t>
      </w:r>
      <w:r w:rsidRPr="00FB0FD2">
        <w:t>Department when</w:t>
      </w:r>
      <w:r w:rsidR="002D5FAA" w:rsidRPr="00FB0FD2">
        <w:t xml:space="preserve"> there has been no </w:t>
      </w:r>
      <w:r w:rsidR="00617DB3" w:rsidRPr="00FB0FD2">
        <w:t xml:space="preserve">determination </w:t>
      </w:r>
      <w:r w:rsidR="00AA5700" w:rsidRPr="00FB0FD2">
        <w:t xml:space="preserve">by the Department or a court </w:t>
      </w:r>
      <w:r w:rsidR="002D5FAA" w:rsidRPr="00FB0FD2">
        <w:t xml:space="preserve">that the </w:t>
      </w:r>
      <w:r w:rsidR="008E67A6" w:rsidRPr="00FB0FD2">
        <w:t>purchases</w:t>
      </w:r>
      <w:r w:rsidR="00206728" w:rsidRPr="00FB0FD2">
        <w:t xml:space="preserve"> are </w:t>
      </w:r>
      <w:r w:rsidR="00AA5700" w:rsidRPr="00FB0FD2">
        <w:t>exempt</w:t>
      </w:r>
      <w:r w:rsidR="002D5FAA" w:rsidRPr="00FB0FD2">
        <w:t>.</w:t>
      </w:r>
      <w:r w:rsidR="00AC65AC" w:rsidRPr="00FB0FD2">
        <w:t xml:space="preserve">  </w:t>
      </w:r>
      <w:r w:rsidR="001C72AB" w:rsidRPr="00FB0FD2">
        <w:t xml:space="preserve">In </w:t>
      </w:r>
      <w:proofErr w:type="spellStart"/>
      <w:r w:rsidR="001C72AB" w:rsidRPr="00FB0FD2">
        <w:rPr>
          <w:i/>
        </w:rPr>
        <w:t>Javor</w:t>
      </w:r>
      <w:proofErr w:type="spellEnd"/>
      <w:r w:rsidR="001C72AB" w:rsidRPr="00FB0FD2">
        <w:t xml:space="preserve">, we </w:t>
      </w:r>
      <w:r w:rsidR="00AA5700" w:rsidRPr="00FB0FD2">
        <w:t xml:space="preserve">authorized a </w:t>
      </w:r>
      <w:r w:rsidR="00D67A93" w:rsidRPr="00FB0FD2">
        <w:t xml:space="preserve">customer </w:t>
      </w:r>
      <w:r w:rsidR="00AA5700" w:rsidRPr="00FB0FD2">
        <w:t xml:space="preserve">suit where </w:t>
      </w:r>
      <w:r w:rsidR="003C3CBE" w:rsidRPr="00FB0FD2">
        <w:t>the Board</w:t>
      </w:r>
      <w:r w:rsidR="00E976A3" w:rsidRPr="00FB0FD2">
        <w:t>, upon determining</w:t>
      </w:r>
      <w:r w:rsidR="001E1CAF" w:rsidRPr="00FB0FD2">
        <w:t xml:space="preserve"> </w:t>
      </w:r>
      <w:r w:rsidR="003C3CBE" w:rsidRPr="00FB0FD2">
        <w:t>that</w:t>
      </w:r>
      <w:r w:rsidR="00AA5700" w:rsidRPr="00FB0FD2">
        <w:t xml:space="preserve"> certain retailers had collected excess sal</w:t>
      </w:r>
      <w:r w:rsidR="00E976A3" w:rsidRPr="00FB0FD2">
        <w:t xml:space="preserve">es tax reimbursement, </w:t>
      </w:r>
      <w:r w:rsidR="00AA5700" w:rsidRPr="00FB0FD2">
        <w:t xml:space="preserve">had </w:t>
      </w:r>
      <w:r w:rsidR="003C3CBE" w:rsidRPr="00FB0FD2">
        <w:t xml:space="preserve">promulgated rules </w:t>
      </w:r>
      <w:r w:rsidR="00AA5700" w:rsidRPr="00FB0FD2">
        <w:t xml:space="preserve">to provide </w:t>
      </w:r>
      <w:r w:rsidR="003C3CBE" w:rsidRPr="00FB0FD2">
        <w:t>refunds</w:t>
      </w:r>
      <w:r w:rsidR="00AA5700" w:rsidRPr="00FB0FD2">
        <w:t xml:space="preserve"> to</w:t>
      </w:r>
      <w:r w:rsidR="003C3CBE" w:rsidRPr="00FB0FD2">
        <w:t xml:space="preserve"> </w:t>
      </w:r>
      <w:r w:rsidR="00AA5700" w:rsidRPr="00FB0FD2">
        <w:t xml:space="preserve">overpaying </w:t>
      </w:r>
      <w:r w:rsidR="003C3CBE" w:rsidRPr="00FB0FD2">
        <w:t>customers</w:t>
      </w:r>
      <w:r w:rsidR="00AA5700" w:rsidRPr="00FB0FD2">
        <w:t xml:space="preserve">.  </w:t>
      </w:r>
      <w:r w:rsidR="001C72AB" w:rsidRPr="00FB0FD2">
        <w:t xml:space="preserve">The </w:t>
      </w:r>
      <w:r w:rsidR="00105BAA" w:rsidRPr="00FB0FD2">
        <w:t xml:space="preserve">trial court </w:t>
      </w:r>
      <w:r w:rsidR="00AA5700" w:rsidRPr="00FB0FD2">
        <w:t xml:space="preserve">declined to extend </w:t>
      </w:r>
      <w:proofErr w:type="spellStart"/>
      <w:r w:rsidR="00AA5700" w:rsidRPr="00FB0FD2">
        <w:rPr>
          <w:i/>
        </w:rPr>
        <w:t>Javor</w:t>
      </w:r>
      <w:proofErr w:type="spellEnd"/>
      <w:r w:rsidR="00AA5700" w:rsidRPr="00FB0FD2">
        <w:t xml:space="preserve"> </w:t>
      </w:r>
      <w:r w:rsidR="00617DB3" w:rsidRPr="00FB0FD2">
        <w:t xml:space="preserve">to </w:t>
      </w:r>
      <w:r w:rsidR="00AA5700" w:rsidRPr="00FB0FD2">
        <w:t xml:space="preserve">authorize a similar judicial remedy in </w:t>
      </w:r>
      <w:r w:rsidR="00617DB3" w:rsidRPr="00FB0FD2">
        <w:t>this case</w:t>
      </w:r>
      <w:r w:rsidR="00105BAA" w:rsidRPr="00FB0FD2">
        <w:t>, and the Court of Appeal affirmed</w:t>
      </w:r>
      <w:r w:rsidR="00AA5700" w:rsidRPr="00FB0FD2">
        <w:t>.</w:t>
      </w:r>
      <w:r w:rsidR="001C72AB" w:rsidRPr="00FB0FD2">
        <w:t xml:space="preserve">  </w:t>
      </w:r>
      <w:r w:rsidR="002D0A91" w:rsidRPr="00FB0FD2">
        <w:t>(</w:t>
      </w:r>
      <w:r w:rsidR="001E1CAF" w:rsidRPr="00FB0FD2">
        <w:rPr>
          <w:i/>
        </w:rPr>
        <w:t>McClain v. Sav-</w:t>
      </w:r>
      <w:r w:rsidR="00CD4195">
        <w:rPr>
          <w:i/>
        </w:rPr>
        <w:t>O</w:t>
      </w:r>
      <w:r w:rsidR="001E1CAF" w:rsidRPr="00FB0FD2">
        <w:rPr>
          <w:i/>
        </w:rPr>
        <w:t>n Drugs</w:t>
      </w:r>
      <w:r w:rsidR="001E1CAF" w:rsidRPr="00FB0FD2">
        <w:t xml:space="preserve"> (2017) 9 Cal.App.5th 684, 700–702</w:t>
      </w:r>
      <w:r w:rsidR="00D67A93" w:rsidRPr="00FB0FD2">
        <w:t xml:space="preserve"> (</w:t>
      </w:r>
      <w:r w:rsidR="00D67A93" w:rsidRPr="00FB0FD2">
        <w:rPr>
          <w:i/>
        </w:rPr>
        <w:t>McClain</w:t>
      </w:r>
      <w:r w:rsidR="00D67A93" w:rsidRPr="00FB0FD2">
        <w:t>)</w:t>
      </w:r>
      <w:r w:rsidR="002D0A91" w:rsidRPr="00FB0FD2">
        <w:t>.)</w:t>
      </w:r>
      <w:r w:rsidR="00D42C9E" w:rsidRPr="00FB0FD2">
        <w:t xml:space="preserve">  </w:t>
      </w:r>
      <w:r w:rsidR="00B73CDB" w:rsidRPr="00FB0FD2">
        <w:t>We</w:t>
      </w:r>
      <w:r w:rsidR="00AA5700" w:rsidRPr="00FB0FD2">
        <w:t xml:space="preserve"> </w:t>
      </w:r>
      <w:r w:rsidR="00105BAA" w:rsidRPr="00FB0FD2">
        <w:t xml:space="preserve">agree with the </w:t>
      </w:r>
      <w:r w:rsidR="008E67A6" w:rsidRPr="00FB0FD2">
        <w:t>courts below</w:t>
      </w:r>
      <w:r w:rsidR="00105BAA" w:rsidRPr="00FB0FD2">
        <w:t xml:space="preserve"> in refusing</w:t>
      </w:r>
      <w:r w:rsidR="00AA5700" w:rsidRPr="00FB0FD2">
        <w:t xml:space="preserve"> to extend </w:t>
      </w:r>
      <w:proofErr w:type="spellStart"/>
      <w:r w:rsidR="00AA5700" w:rsidRPr="00FB0FD2">
        <w:rPr>
          <w:i/>
        </w:rPr>
        <w:t>Javor</w:t>
      </w:r>
      <w:proofErr w:type="spellEnd"/>
      <w:r w:rsidR="00AA5700" w:rsidRPr="00FB0FD2">
        <w:t xml:space="preserve"> and </w:t>
      </w:r>
      <w:r w:rsidR="00D67A93" w:rsidRPr="00FB0FD2">
        <w:t xml:space="preserve">affirm the judgment </w:t>
      </w:r>
      <w:r w:rsidR="00576A6D" w:rsidRPr="00FB0FD2">
        <w:t>sustaining</w:t>
      </w:r>
      <w:r w:rsidR="00D67A93" w:rsidRPr="00FB0FD2">
        <w:t xml:space="preserve"> defendants’ demurrer.</w:t>
      </w:r>
    </w:p>
    <w:p w14:paraId="76E0BFF9" w14:textId="77777777" w:rsidR="00B2397F" w:rsidRPr="00FB0FD2" w:rsidRDefault="00F2648E" w:rsidP="00FB0FD2">
      <w:pPr>
        <w:keepNext/>
        <w:tabs>
          <w:tab w:val="left" w:pos="1440"/>
        </w:tabs>
        <w:jc w:val="center"/>
        <w:rPr>
          <w:b/>
        </w:rPr>
      </w:pPr>
      <w:r w:rsidRPr="00FB0FD2">
        <w:rPr>
          <w:b/>
        </w:rPr>
        <w:t>I.</w:t>
      </w:r>
    </w:p>
    <w:p w14:paraId="2731A546" w14:textId="77777777" w:rsidR="008C1712" w:rsidRPr="00FB0FD2" w:rsidRDefault="00BC4E9B" w:rsidP="00FB0FD2">
      <w:pPr>
        <w:tabs>
          <w:tab w:val="left" w:pos="1440"/>
        </w:tabs>
        <w:ind w:firstLine="720"/>
        <w:rPr>
          <w:szCs w:val="26"/>
        </w:rPr>
      </w:pPr>
      <w:r w:rsidRPr="00FB0FD2">
        <w:rPr>
          <w:szCs w:val="26"/>
        </w:rPr>
        <w:t xml:space="preserve">Section 6369, subdivision (e) </w:t>
      </w:r>
      <w:r w:rsidR="00795DE9" w:rsidRPr="00FB0FD2">
        <w:rPr>
          <w:szCs w:val="26"/>
        </w:rPr>
        <w:t xml:space="preserve">of the Revenue and Taxation Code </w:t>
      </w:r>
      <w:r w:rsidRPr="00FB0FD2">
        <w:rPr>
          <w:szCs w:val="26"/>
        </w:rPr>
        <w:t>exempts</w:t>
      </w:r>
      <w:r w:rsidR="00C63CD1" w:rsidRPr="00FB0FD2">
        <w:rPr>
          <w:szCs w:val="26"/>
        </w:rPr>
        <w:t xml:space="preserve"> “[</w:t>
      </w:r>
      <w:proofErr w:type="spellStart"/>
      <w:r w:rsidR="00C63CD1" w:rsidRPr="00FB0FD2">
        <w:rPr>
          <w:szCs w:val="26"/>
        </w:rPr>
        <w:t>i</w:t>
      </w:r>
      <w:proofErr w:type="spellEnd"/>
      <w:r w:rsidR="00C63CD1" w:rsidRPr="00FB0FD2">
        <w:rPr>
          <w:szCs w:val="26"/>
        </w:rPr>
        <w:t>]</w:t>
      </w:r>
      <w:proofErr w:type="spellStart"/>
      <w:r w:rsidR="00C63CD1" w:rsidRPr="00FB0FD2">
        <w:rPr>
          <w:szCs w:val="26"/>
        </w:rPr>
        <w:t>nsulin</w:t>
      </w:r>
      <w:proofErr w:type="spellEnd"/>
      <w:r w:rsidR="00C63CD1" w:rsidRPr="00FB0FD2">
        <w:rPr>
          <w:szCs w:val="26"/>
        </w:rPr>
        <w:t xml:space="preserve"> and insulin syringes” from sales tax if “furnished by a registered pharmacist to a person for treatment of diabetes as directed by a physician.”</w:t>
      </w:r>
      <w:r w:rsidR="00AC65AC" w:rsidRPr="00FB0FD2">
        <w:rPr>
          <w:szCs w:val="26"/>
        </w:rPr>
        <w:t xml:space="preserve">  </w:t>
      </w:r>
      <w:r w:rsidR="00795DE9" w:rsidRPr="00FB0FD2">
        <w:rPr>
          <w:szCs w:val="26"/>
        </w:rPr>
        <w:t xml:space="preserve">(All undesignated statutory references are to the Revenue and Taxation Code.)  </w:t>
      </w:r>
      <w:r w:rsidRPr="00FB0FD2">
        <w:rPr>
          <w:szCs w:val="26"/>
        </w:rPr>
        <w:t xml:space="preserve">In 2000, the Board </w:t>
      </w:r>
      <w:r w:rsidR="003274BD" w:rsidRPr="00FB0FD2">
        <w:rPr>
          <w:szCs w:val="26"/>
        </w:rPr>
        <w:t>issued a regulation interpreting the exemption in section 6369, subdivision (e) to cover “</w:t>
      </w:r>
      <w:r w:rsidR="00CD4195">
        <w:rPr>
          <w:szCs w:val="26"/>
        </w:rPr>
        <w:t>[g]</w:t>
      </w:r>
      <w:proofErr w:type="spellStart"/>
      <w:r w:rsidR="003274BD" w:rsidRPr="00FB0FD2">
        <w:rPr>
          <w:szCs w:val="26"/>
        </w:rPr>
        <w:t>lucose</w:t>
      </w:r>
      <w:proofErr w:type="spellEnd"/>
      <w:r w:rsidR="003274BD" w:rsidRPr="00FB0FD2">
        <w:rPr>
          <w:szCs w:val="26"/>
        </w:rPr>
        <w:t xml:space="preserve"> test strips and skin puncture lancets </w:t>
      </w:r>
      <w:r w:rsidR="003274BD" w:rsidRPr="00FB0FD2">
        <w:rPr>
          <w:iCs/>
          <w:szCs w:val="26"/>
        </w:rPr>
        <w:t>furnished by a registered pharmacist” for use by a diabetic patient “in accordance with a physician’s instructions.</w:t>
      </w:r>
      <w:r w:rsidR="003274BD" w:rsidRPr="00FB0FD2">
        <w:rPr>
          <w:szCs w:val="26"/>
        </w:rPr>
        <w:t xml:space="preserve">”  (Cal. Code Regs., tit. 18, § 1591.1, </w:t>
      </w:r>
      <w:proofErr w:type="spellStart"/>
      <w:r w:rsidR="003274BD" w:rsidRPr="00FB0FD2">
        <w:rPr>
          <w:szCs w:val="26"/>
        </w:rPr>
        <w:t>subd</w:t>
      </w:r>
      <w:proofErr w:type="spellEnd"/>
      <w:r w:rsidR="003274BD" w:rsidRPr="00FB0FD2">
        <w:rPr>
          <w:szCs w:val="26"/>
        </w:rPr>
        <w:t>. (b)(5)</w:t>
      </w:r>
      <w:r w:rsidR="00795DE9" w:rsidRPr="00FB0FD2">
        <w:rPr>
          <w:szCs w:val="26"/>
        </w:rPr>
        <w:t xml:space="preserve"> </w:t>
      </w:r>
      <w:r w:rsidR="00795DE9" w:rsidRPr="00FB0FD2">
        <w:rPr>
          <w:szCs w:val="26"/>
        </w:rPr>
        <w:lastRenderedPageBreak/>
        <w:t xml:space="preserve">(hereafter </w:t>
      </w:r>
      <w:r w:rsidR="00CD4195">
        <w:rPr>
          <w:szCs w:val="26"/>
        </w:rPr>
        <w:t>r</w:t>
      </w:r>
      <w:r w:rsidR="00795DE9" w:rsidRPr="00FB0FD2">
        <w:rPr>
          <w:szCs w:val="26"/>
        </w:rPr>
        <w:t>egulation 1591.1(b)(5))</w:t>
      </w:r>
      <w:r w:rsidR="003274BD" w:rsidRPr="00FB0FD2">
        <w:rPr>
          <w:szCs w:val="26"/>
        </w:rPr>
        <w:t xml:space="preserve">; see § 7051 [“The </w:t>
      </w:r>
      <w:proofErr w:type="gramStart"/>
      <w:r w:rsidR="003274BD" w:rsidRPr="00FB0FD2">
        <w:rPr>
          <w:szCs w:val="26"/>
        </w:rPr>
        <w:t>board .</w:t>
      </w:r>
      <w:proofErr w:type="gramEnd"/>
      <w:r w:rsidR="003274BD" w:rsidRPr="00FB0FD2">
        <w:rPr>
          <w:szCs w:val="26"/>
        </w:rPr>
        <w:t xml:space="preserve"> . . may prescribe, adopt, and enforce rules and regulations relating to the administration and enforcement” of the sales tax].) </w:t>
      </w:r>
      <w:r w:rsidR="008C1712" w:rsidRPr="00FB0FD2">
        <w:rPr>
          <w:szCs w:val="26"/>
        </w:rPr>
        <w:t xml:space="preserve"> The Board’s Final Statement of Reasons explained that the test strips and lancets are “so integrated with the operation of insulin and insulin syringes (the syringes cannot be used until the patient has first tested his blood sugar using the lancets and test strips) that the Legislature intended that their sales be exempt from tax as part and parcel of the exemption for sales of insulin s</w:t>
      </w:r>
      <w:r w:rsidR="00C45CE9" w:rsidRPr="00FB0FD2">
        <w:rPr>
          <w:szCs w:val="26"/>
        </w:rPr>
        <w:t xml:space="preserve">yringes under section 6369(e).”  </w:t>
      </w:r>
      <w:r w:rsidR="00795DE9" w:rsidRPr="00FB0FD2">
        <w:rPr>
          <w:szCs w:val="26"/>
        </w:rPr>
        <w:t>(</w:t>
      </w:r>
      <w:r w:rsidR="000564A8" w:rsidRPr="00FB0FD2">
        <w:rPr>
          <w:szCs w:val="26"/>
        </w:rPr>
        <w:t xml:space="preserve">State </w:t>
      </w:r>
      <w:r w:rsidR="00C63935" w:rsidRPr="00FB0FD2">
        <w:rPr>
          <w:szCs w:val="26"/>
        </w:rPr>
        <w:t>Bd</w:t>
      </w:r>
      <w:r w:rsidR="000564A8" w:rsidRPr="00FB0FD2">
        <w:rPr>
          <w:szCs w:val="26"/>
        </w:rPr>
        <w:t>.</w:t>
      </w:r>
      <w:r w:rsidR="00C63935" w:rsidRPr="00FB0FD2">
        <w:rPr>
          <w:szCs w:val="26"/>
        </w:rPr>
        <w:t xml:space="preserve"> of Equalization</w:t>
      </w:r>
      <w:r w:rsidR="000564A8" w:rsidRPr="00FB0FD2">
        <w:rPr>
          <w:szCs w:val="26"/>
        </w:rPr>
        <w:t>, Final Statement of Reasons/Plain English: Regulations 1591, 1591.1, 1591.2, 1591.3 &amp; 1591.4 (Dec. 28, 1999) p. 4</w:t>
      </w:r>
      <w:r w:rsidR="008C1712" w:rsidRPr="00FB0FD2">
        <w:rPr>
          <w:szCs w:val="26"/>
        </w:rPr>
        <w:t>.</w:t>
      </w:r>
      <w:r w:rsidR="00037500" w:rsidRPr="00FB0FD2">
        <w:rPr>
          <w:szCs w:val="26"/>
        </w:rPr>
        <w:t>)</w:t>
      </w:r>
    </w:p>
    <w:p w14:paraId="369E44F9" w14:textId="77777777" w:rsidR="00C45CE9" w:rsidRPr="00FB0FD2" w:rsidRDefault="00795DE9" w:rsidP="00FB0FD2">
      <w:pPr>
        <w:tabs>
          <w:tab w:val="left" w:pos="1440"/>
        </w:tabs>
        <w:ind w:firstLine="720"/>
        <w:rPr>
          <w:szCs w:val="26"/>
        </w:rPr>
      </w:pPr>
      <w:r w:rsidRPr="00FB0FD2">
        <w:rPr>
          <w:szCs w:val="26"/>
        </w:rPr>
        <w:t xml:space="preserve">In 2003, in response to “inconsistencies” in how </w:t>
      </w:r>
      <w:r w:rsidR="00CD4195">
        <w:rPr>
          <w:szCs w:val="26"/>
        </w:rPr>
        <w:t>r</w:t>
      </w:r>
      <w:r w:rsidRPr="00FB0FD2">
        <w:rPr>
          <w:szCs w:val="26"/>
        </w:rPr>
        <w:t xml:space="preserve">egulation 1591.1(b)(5) was being applied, </w:t>
      </w:r>
      <w:r w:rsidR="00880A7F" w:rsidRPr="00FB0FD2">
        <w:rPr>
          <w:szCs w:val="26"/>
        </w:rPr>
        <w:t>the</w:t>
      </w:r>
      <w:r w:rsidRPr="00FB0FD2">
        <w:rPr>
          <w:szCs w:val="26"/>
        </w:rPr>
        <w:t xml:space="preserve"> Board</w:t>
      </w:r>
      <w:r w:rsidR="00D87A03" w:rsidRPr="00FB0FD2">
        <w:rPr>
          <w:szCs w:val="26"/>
        </w:rPr>
        <w:t>’s</w:t>
      </w:r>
      <w:r w:rsidRPr="00FB0FD2">
        <w:rPr>
          <w:szCs w:val="26"/>
        </w:rPr>
        <w:t xml:space="preserve"> </w:t>
      </w:r>
      <w:r w:rsidR="00A26709" w:rsidRPr="00FB0FD2">
        <w:rPr>
          <w:szCs w:val="26"/>
        </w:rPr>
        <w:t xml:space="preserve">Program Planning Manager </w:t>
      </w:r>
      <w:r w:rsidR="00630B0B" w:rsidRPr="00FB0FD2">
        <w:rPr>
          <w:szCs w:val="26"/>
        </w:rPr>
        <w:t>sent a</w:t>
      </w:r>
      <w:r w:rsidRPr="00FB0FD2">
        <w:rPr>
          <w:szCs w:val="26"/>
        </w:rPr>
        <w:t xml:space="preserve"> letter to California retail pharmacies setting forth the conditions for when the sale of a </w:t>
      </w:r>
      <w:r w:rsidR="00630B0B" w:rsidRPr="00FB0FD2">
        <w:rPr>
          <w:szCs w:val="26"/>
        </w:rPr>
        <w:t xml:space="preserve">test strip or </w:t>
      </w:r>
      <w:r w:rsidRPr="00FB0FD2">
        <w:rPr>
          <w:szCs w:val="26"/>
        </w:rPr>
        <w:t>lancet is exempt from tax.  (</w:t>
      </w:r>
      <w:r w:rsidR="00942582" w:rsidRPr="00FB0FD2">
        <w:rPr>
          <w:szCs w:val="26"/>
        </w:rPr>
        <w:t xml:space="preserve">State Bd. of Equalization </w:t>
      </w:r>
      <w:r w:rsidR="000564A8" w:rsidRPr="00FB0FD2">
        <w:rPr>
          <w:szCs w:val="26"/>
        </w:rPr>
        <w:t xml:space="preserve">Program Planning Manager Charlotte </w:t>
      </w:r>
      <w:proofErr w:type="spellStart"/>
      <w:r w:rsidR="000564A8" w:rsidRPr="00FB0FD2">
        <w:rPr>
          <w:szCs w:val="26"/>
        </w:rPr>
        <w:t>Paliani</w:t>
      </w:r>
      <w:proofErr w:type="spellEnd"/>
      <w:r w:rsidR="000564A8" w:rsidRPr="00FB0FD2">
        <w:rPr>
          <w:szCs w:val="26"/>
        </w:rPr>
        <w:t xml:space="preserve">, letter to Albertson’s re </w:t>
      </w:r>
      <w:r w:rsidR="00CD4195">
        <w:rPr>
          <w:szCs w:val="26"/>
        </w:rPr>
        <w:t>r</w:t>
      </w:r>
      <w:r w:rsidR="000564A8" w:rsidRPr="00FB0FD2">
        <w:rPr>
          <w:szCs w:val="26"/>
        </w:rPr>
        <w:t>egulation 1591.1, June 18, 2003</w:t>
      </w:r>
      <w:r w:rsidR="000564A8" w:rsidRPr="00FB0FD2">
        <w:rPr>
          <w:b/>
        </w:rPr>
        <w:t xml:space="preserve"> </w:t>
      </w:r>
      <w:r w:rsidR="00A26709" w:rsidRPr="00FB0FD2">
        <w:rPr>
          <w:szCs w:val="26"/>
        </w:rPr>
        <w:t xml:space="preserve">(hereafter </w:t>
      </w:r>
      <w:proofErr w:type="spellStart"/>
      <w:r w:rsidR="00A26709" w:rsidRPr="00FB0FD2">
        <w:rPr>
          <w:szCs w:val="26"/>
        </w:rPr>
        <w:t>Paliani</w:t>
      </w:r>
      <w:proofErr w:type="spellEnd"/>
      <w:r w:rsidR="00A26709" w:rsidRPr="00FB0FD2">
        <w:rPr>
          <w:szCs w:val="26"/>
        </w:rPr>
        <w:t xml:space="preserve"> </w:t>
      </w:r>
      <w:r w:rsidR="00C96EAA" w:rsidRPr="00FB0FD2">
        <w:rPr>
          <w:szCs w:val="26"/>
        </w:rPr>
        <w:t>L</w:t>
      </w:r>
      <w:r w:rsidR="00A26709" w:rsidRPr="00FB0FD2">
        <w:rPr>
          <w:szCs w:val="26"/>
        </w:rPr>
        <w:t>etter)</w:t>
      </w:r>
      <w:r w:rsidRPr="00FB0FD2">
        <w:rPr>
          <w:szCs w:val="26"/>
        </w:rPr>
        <w:t xml:space="preserve">.)  </w:t>
      </w:r>
      <w:r w:rsidR="00C45CE9" w:rsidRPr="00FB0FD2">
        <w:rPr>
          <w:szCs w:val="26"/>
        </w:rPr>
        <w:t xml:space="preserve">The letter explained that </w:t>
      </w:r>
      <w:r w:rsidRPr="00FB0FD2">
        <w:rPr>
          <w:szCs w:val="26"/>
        </w:rPr>
        <w:t xml:space="preserve">the </w:t>
      </w:r>
      <w:r w:rsidR="00C45CE9" w:rsidRPr="00FB0FD2">
        <w:rPr>
          <w:szCs w:val="26"/>
        </w:rPr>
        <w:t>retailer</w:t>
      </w:r>
      <w:r w:rsidRPr="00FB0FD2">
        <w:rPr>
          <w:szCs w:val="26"/>
        </w:rPr>
        <w:t xml:space="preserve"> must be provided </w:t>
      </w:r>
      <w:r w:rsidR="00C45CE9" w:rsidRPr="00FB0FD2">
        <w:rPr>
          <w:szCs w:val="26"/>
        </w:rPr>
        <w:t xml:space="preserve">with </w:t>
      </w:r>
      <w:r w:rsidRPr="00FB0FD2">
        <w:rPr>
          <w:szCs w:val="26"/>
        </w:rPr>
        <w:t xml:space="preserve">a copy of the </w:t>
      </w:r>
      <w:r w:rsidR="00C45CE9" w:rsidRPr="00FB0FD2">
        <w:rPr>
          <w:szCs w:val="26"/>
        </w:rPr>
        <w:t>patient’s physician</w:t>
      </w:r>
      <w:r w:rsidRPr="00FB0FD2">
        <w:rPr>
          <w:szCs w:val="26"/>
        </w:rPr>
        <w:t xml:space="preserve"> instructions, </w:t>
      </w:r>
      <w:r w:rsidR="00C45CE9" w:rsidRPr="00FB0FD2">
        <w:rPr>
          <w:szCs w:val="26"/>
        </w:rPr>
        <w:t xml:space="preserve">that </w:t>
      </w:r>
      <w:r w:rsidRPr="00FB0FD2">
        <w:rPr>
          <w:szCs w:val="26"/>
        </w:rPr>
        <w:t xml:space="preserve">the </w:t>
      </w:r>
      <w:r w:rsidR="00C45CE9" w:rsidRPr="00FB0FD2">
        <w:rPr>
          <w:szCs w:val="26"/>
        </w:rPr>
        <w:t>retailer</w:t>
      </w:r>
      <w:r w:rsidRPr="00FB0FD2">
        <w:rPr>
          <w:szCs w:val="26"/>
        </w:rPr>
        <w:t xml:space="preserve"> must maintain a copy of the instructions in its record</w:t>
      </w:r>
      <w:r w:rsidR="00C45CE9" w:rsidRPr="00FB0FD2">
        <w:rPr>
          <w:szCs w:val="26"/>
        </w:rPr>
        <w:t>s</w:t>
      </w:r>
      <w:r w:rsidRPr="00FB0FD2">
        <w:rPr>
          <w:szCs w:val="26"/>
        </w:rPr>
        <w:t xml:space="preserve">, and </w:t>
      </w:r>
      <w:r w:rsidR="00C45CE9" w:rsidRPr="00FB0FD2">
        <w:rPr>
          <w:szCs w:val="26"/>
        </w:rPr>
        <w:t xml:space="preserve">that </w:t>
      </w:r>
      <w:r w:rsidRPr="00FB0FD2">
        <w:rPr>
          <w:szCs w:val="26"/>
        </w:rPr>
        <w:t xml:space="preserve">the lancet or </w:t>
      </w:r>
      <w:r w:rsidR="00630B0B" w:rsidRPr="00FB0FD2">
        <w:rPr>
          <w:szCs w:val="26"/>
        </w:rPr>
        <w:t xml:space="preserve">test </w:t>
      </w:r>
      <w:r w:rsidRPr="00FB0FD2">
        <w:rPr>
          <w:szCs w:val="26"/>
        </w:rPr>
        <w:t xml:space="preserve">strip must be </w:t>
      </w:r>
      <w:r w:rsidR="00C45CE9" w:rsidRPr="00FB0FD2">
        <w:rPr>
          <w:szCs w:val="26"/>
        </w:rPr>
        <w:t xml:space="preserve">kept in a secure location and </w:t>
      </w:r>
      <w:r w:rsidRPr="00FB0FD2">
        <w:rPr>
          <w:szCs w:val="26"/>
        </w:rPr>
        <w:t>dispensed by a registered pharmacist</w:t>
      </w:r>
      <w:r w:rsidR="00C45CE9" w:rsidRPr="00FB0FD2">
        <w:rPr>
          <w:szCs w:val="26"/>
        </w:rPr>
        <w:t>.  Only then, according to the letter, is the sale exempt from tax.  (</w:t>
      </w:r>
      <w:proofErr w:type="spellStart"/>
      <w:r w:rsidR="002D0A91" w:rsidRPr="00FB0FD2">
        <w:rPr>
          <w:noProof/>
        </w:rPr>
        <w:t>Paliani</w:t>
      </w:r>
      <w:proofErr w:type="spellEnd"/>
      <w:r w:rsidR="002D0A91" w:rsidRPr="00FB0FD2">
        <w:rPr>
          <w:noProof/>
        </w:rPr>
        <w:t xml:space="preserve"> </w:t>
      </w:r>
      <w:r w:rsidR="00C96EAA" w:rsidRPr="00FB0FD2">
        <w:rPr>
          <w:noProof/>
        </w:rPr>
        <w:t>L</w:t>
      </w:r>
      <w:r w:rsidR="002D0A91" w:rsidRPr="00FB0FD2">
        <w:rPr>
          <w:noProof/>
        </w:rPr>
        <w:t>etter</w:t>
      </w:r>
      <w:r w:rsidR="00CD4195">
        <w:rPr>
          <w:noProof/>
        </w:rPr>
        <w:t xml:space="preserve">, </w:t>
      </w:r>
      <w:r w:rsidR="00CD4195" w:rsidRPr="00C42E80">
        <w:rPr>
          <w:i/>
          <w:noProof/>
        </w:rPr>
        <w:t>supra</w:t>
      </w:r>
      <w:r w:rsidR="002D0A91" w:rsidRPr="00FB0FD2">
        <w:rPr>
          <w:noProof/>
        </w:rPr>
        <w:t xml:space="preserve"> </w:t>
      </w:r>
      <w:r w:rsidR="00C45CE9" w:rsidRPr="00FB0FD2">
        <w:rPr>
          <w:szCs w:val="26"/>
        </w:rPr>
        <w:t>[“However, if your customers are able to remove the items directly off the shelf and pay for them at your store’s registers, without a pharmacist’s intervention, the sales are subject to tax.”].)</w:t>
      </w:r>
    </w:p>
    <w:p w14:paraId="70C8D66D" w14:textId="77777777" w:rsidR="00DF08D4" w:rsidRPr="00FB0FD2" w:rsidRDefault="008D2218" w:rsidP="00FB0FD2">
      <w:pPr>
        <w:tabs>
          <w:tab w:val="left" w:pos="1440"/>
        </w:tabs>
        <w:ind w:firstLine="720"/>
      </w:pPr>
      <w:r w:rsidRPr="00FB0FD2">
        <w:t xml:space="preserve">Plaintiffs Michael McClain, </w:t>
      </w:r>
      <w:proofErr w:type="spellStart"/>
      <w:r w:rsidRPr="00FB0FD2">
        <w:t>Avi</w:t>
      </w:r>
      <w:proofErr w:type="spellEnd"/>
      <w:r w:rsidRPr="00FB0FD2">
        <w:t xml:space="preserve"> </w:t>
      </w:r>
      <w:proofErr w:type="spellStart"/>
      <w:r w:rsidRPr="00FB0FD2">
        <w:t>Feigenblatt</w:t>
      </w:r>
      <w:proofErr w:type="spellEnd"/>
      <w:r w:rsidRPr="00FB0FD2">
        <w:t xml:space="preserve">, and Gregory Fisher bought glucose test strips and skin puncture lancets from </w:t>
      </w:r>
      <w:r w:rsidRPr="00FB0FD2">
        <w:lastRenderedPageBreak/>
        <w:t>retail pharmacies owned or operated by defendants Sav-On Drugs, Gavin Herbert Company, Longs Drug Stores Corporation, Longs Drug Stores California, Inc., Rite Aid Corporation, Walgreen Co., Target Corporation, Albertson’s Inc., The Vons Companies, Inc., Vons Food Services, Inc., and Wal-Mart Stores, Inc.</w:t>
      </w:r>
      <w:r w:rsidR="00CE7999" w:rsidRPr="00FB0FD2">
        <w:t xml:space="preserve"> (collectively, pharmacy defendants).</w:t>
      </w:r>
      <w:r w:rsidRPr="00FB0FD2">
        <w:t xml:space="preserve">  </w:t>
      </w:r>
      <w:r w:rsidR="00CE7999" w:rsidRPr="00FB0FD2">
        <w:t>These d</w:t>
      </w:r>
      <w:r w:rsidRPr="00FB0FD2">
        <w:t xml:space="preserve">efendants charged </w:t>
      </w:r>
      <w:r w:rsidR="00D87A03" w:rsidRPr="00FB0FD2">
        <w:t xml:space="preserve">plaintiffs </w:t>
      </w:r>
      <w:r w:rsidRPr="00FB0FD2">
        <w:t xml:space="preserve">sales tax reimbursement on those </w:t>
      </w:r>
      <w:r w:rsidR="00630B0B" w:rsidRPr="00FB0FD2">
        <w:t>sales</w:t>
      </w:r>
      <w:r w:rsidRPr="00FB0FD2">
        <w:t xml:space="preserve"> and remitted the amounts they collected to the Department.  Plaintiffs contend</w:t>
      </w:r>
      <w:r w:rsidR="00C53DDB" w:rsidRPr="00FB0FD2">
        <w:t>ed</w:t>
      </w:r>
      <w:r w:rsidRPr="00FB0FD2">
        <w:t xml:space="preserve"> </w:t>
      </w:r>
      <w:r w:rsidR="00D87A03" w:rsidRPr="00FB0FD2">
        <w:t xml:space="preserve">that </w:t>
      </w:r>
      <w:r w:rsidRPr="00FB0FD2">
        <w:t>the</w:t>
      </w:r>
      <w:r w:rsidR="00630B0B" w:rsidRPr="00FB0FD2">
        <w:t>ir purchases of</w:t>
      </w:r>
      <w:r w:rsidRPr="00FB0FD2">
        <w:t xml:space="preserve"> test strips and lancets </w:t>
      </w:r>
      <w:r w:rsidR="00C53DDB" w:rsidRPr="00FB0FD2">
        <w:t>we</w:t>
      </w:r>
      <w:r w:rsidR="00DF08D4" w:rsidRPr="00FB0FD2">
        <w:t>re exempt from sales tax, and t</w:t>
      </w:r>
      <w:r w:rsidR="00D87A03" w:rsidRPr="00FB0FD2">
        <w:t xml:space="preserve">hey filed a class complaint against </w:t>
      </w:r>
      <w:r w:rsidR="00630B0B" w:rsidRPr="00FB0FD2">
        <w:t xml:space="preserve">the pharmacy </w:t>
      </w:r>
      <w:r w:rsidR="00D87A03" w:rsidRPr="00FB0FD2">
        <w:t xml:space="preserve">defendants </w:t>
      </w:r>
      <w:r w:rsidR="00630B0B" w:rsidRPr="00FB0FD2">
        <w:t xml:space="preserve">and the Department </w:t>
      </w:r>
      <w:r w:rsidR="00DF08D4" w:rsidRPr="00FB0FD2">
        <w:t xml:space="preserve">for a refund of the sales tax reimbursement they paid.  </w:t>
      </w:r>
      <w:r w:rsidR="00A26709" w:rsidRPr="00FB0FD2">
        <w:t>In particular, plaintiffs maintain</w:t>
      </w:r>
      <w:r w:rsidR="00C53DDB" w:rsidRPr="00FB0FD2">
        <w:t>ed</w:t>
      </w:r>
      <w:r w:rsidR="00A26709" w:rsidRPr="00FB0FD2">
        <w:t xml:space="preserve"> that all pharmacy sa</w:t>
      </w:r>
      <w:r w:rsidR="00C53DDB" w:rsidRPr="00FB0FD2">
        <w:t>les of test strips and lancets we</w:t>
      </w:r>
      <w:r w:rsidR="00A26709" w:rsidRPr="00FB0FD2">
        <w:t>re exempt and that the conditions for application of the exemption s</w:t>
      </w:r>
      <w:r w:rsidR="00C53DDB" w:rsidRPr="00FB0FD2">
        <w:t xml:space="preserve">et forth in the </w:t>
      </w:r>
      <w:proofErr w:type="spellStart"/>
      <w:r w:rsidR="00C53DDB" w:rsidRPr="00FB0FD2">
        <w:t>Paliani</w:t>
      </w:r>
      <w:proofErr w:type="spellEnd"/>
      <w:r w:rsidR="00C53DDB" w:rsidRPr="00FB0FD2">
        <w:t xml:space="preserve"> </w:t>
      </w:r>
      <w:r w:rsidR="00C96EAA" w:rsidRPr="00FB0FD2">
        <w:t>L</w:t>
      </w:r>
      <w:r w:rsidR="00C53DDB" w:rsidRPr="00FB0FD2">
        <w:t>etter we</w:t>
      </w:r>
      <w:r w:rsidR="00A26709" w:rsidRPr="00FB0FD2">
        <w:t>re void.</w:t>
      </w:r>
      <w:r w:rsidR="00DF08D4" w:rsidRPr="00FB0FD2">
        <w:t xml:space="preserve"> </w:t>
      </w:r>
      <w:r w:rsidR="00A26709" w:rsidRPr="00FB0FD2">
        <w:t xml:space="preserve"> </w:t>
      </w:r>
      <w:r w:rsidR="00C43567" w:rsidRPr="00FB0FD2">
        <w:t>In addition to claims alleging breach of contract, negligence, and violations of consumer protection statutes, t</w:t>
      </w:r>
      <w:r w:rsidR="00013840" w:rsidRPr="00FB0FD2">
        <w:t xml:space="preserve">he operative complaint </w:t>
      </w:r>
      <w:r w:rsidR="00C53DDB" w:rsidRPr="00FB0FD2">
        <w:t>sought</w:t>
      </w:r>
      <w:r w:rsidR="00013840" w:rsidRPr="00FB0FD2">
        <w:t xml:space="preserve"> declaratory and injunctive relief compelling </w:t>
      </w:r>
      <w:r w:rsidR="00630B0B" w:rsidRPr="00FB0FD2">
        <w:t xml:space="preserve">the pharmacy </w:t>
      </w:r>
      <w:r w:rsidR="00DF08D4" w:rsidRPr="00FB0FD2">
        <w:t xml:space="preserve">defendants </w:t>
      </w:r>
      <w:r w:rsidR="00013840" w:rsidRPr="00FB0FD2">
        <w:t xml:space="preserve">to </w:t>
      </w:r>
      <w:r w:rsidR="00524ADD" w:rsidRPr="00FB0FD2">
        <w:t>file</w:t>
      </w:r>
      <w:r w:rsidR="00013840" w:rsidRPr="00FB0FD2">
        <w:t xml:space="preserve"> a tax refund claim with the </w:t>
      </w:r>
      <w:r w:rsidR="00DF08D4" w:rsidRPr="00FB0FD2">
        <w:t>Department</w:t>
      </w:r>
      <w:r w:rsidR="003E50DE" w:rsidRPr="00FB0FD2">
        <w:t xml:space="preserve"> </w:t>
      </w:r>
      <w:r w:rsidR="00013840" w:rsidRPr="00FB0FD2">
        <w:t>and</w:t>
      </w:r>
      <w:r w:rsidR="00DF08D4" w:rsidRPr="00FB0FD2">
        <w:t xml:space="preserve"> ordering</w:t>
      </w:r>
      <w:r w:rsidR="00013840" w:rsidRPr="00FB0FD2">
        <w:t xml:space="preserve"> the </w:t>
      </w:r>
      <w:r w:rsidR="00DF08D4" w:rsidRPr="00FB0FD2">
        <w:t xml:space="preserve">Department </w:t>
      </w:r>
      <w:r w:rsidR="00013840" w:rsidRPr="00FB0FD2">
        <w:t>to award refund</w:t>
      </w:r>
      <w:r w:rsidR="00DF08D4" w:rsidRPr="00FB0FD2">
        <w:t>s</w:t>
      </w:r>
      <w:r w:rsidR="00BD3926" w:rsidRPr="00FB0FD2">
        <w:t xml:space="preserve"> </w:t>
      </w:r>
      <w:r w:rsidR="00524ADD" w:rsidRPr="00FB0FD2">
        <w:t xml:space="preserve">to </w:t>
      </w:r>
      <w:r w:rsidR="00BD3926" w:rsidRPr="00FB0FD2">
        <w:t>be passed on to</w:t>
      </w:r>
      <w:r w:rsidR="00DF08D4" w:rsidRPr="00FB0FD2">
        <w:t xml:space="preserve"> </w:t>
      </w:r>
      <w:r w:rsidR="00524ADD" w:rsidRPr="00FB0FD2">
        <w:t>consumers</w:t>
      </w:r>
      <w:r w:rsidR="00DF08D4" w:rsidRPr="00FB0FD2">
        <w:t>.</w:t>
      </w:r>
      <w:r w:rsidR="00C40085" w:rsidRPr="00FB0FD2">
        <w:t xml:space="preserve">  </w:t>
      </w:r>
      <w:r w:rsidR="00CE7999" w:rsidRPr="00FB0FD2">
        <w:t>The pharmacy d</w:t>
      </w:r>
      <w:r w:rsidR="00DF08D4" w:rsidRPr="00FB0FD2">
        <w:t xml:space="preserve">efendants </w:t>
      </w:r>
      <w:r w:rsidR="00013840" w:rsidRPr="00FB0FD2">
        <w:t xml:space="preserve">and the </w:t>
      </w:r>
      <w:r w:rsidR="00DF08D4" w:rsidRPr="00FB0FD2">
        <w:t xml:space="preserve">Department </w:t>
      </w:r>
      <w:r w:rsidR="00013840" w:rsidRPr="00FB0FD2">
        <w:t>demurred</w:t>
      </w:r>
      <w:r w:rsidR="00DF08D4" w:rsidRPr="00FB0FD2">
        <w:t>.</w:t>
      </w:r>
    </w:p>
    <w:p w14:paraId="63D708DC" w14:textId="77777777" w:rsidR="0012026D" w:rsidRPr="00FB0FD2" w:rsidRDefault="00DF08D4" w:rsidP="00FB0FD2">
      <w:pPr>
        <w:tabs>
          <w:tab w:val="left" w:pos="1440"/>
        </w:tabs>
        <w:ind w:firstLine="720"/>
        <w:rPr>
          <w:szCs w:val="26"/>
        </w:rPr>
      </w:pPr>
      <w:r w:rsidRPr="00FB0FD2">
        <w:rPr>
          <w:szCs w:val="26"/>
        </w:rPr>
        <w:t>T</w:t>
      </w:r>
      <w:r w:rsidR="00013840" w:rsidRPr="00FB0FD2">
        <w:rPr>
          <w:szCs w:val="26"/>
        </w:rPr>
        <w:t>he tri</w:t>
      </w:r>
      <w:r w:rsidR="003A4844" w:rsidRPr="00FB0FD2">
        <w:rPr>
          <w:szCs w:val="26"/>
        </w:rPr>
        <w:t>al court sustained the demurrer</w:t>
      </w:r>
      <w:r w:rsidR="00013840" w:rsidRPr="00FB0FD2">
        <w:rPr>
          <w:szCs w:val="26"/>
        </w:rPr>
        <w:t xml:space="preserve"> without leave to amend.</w:t>
      </w:r>
      <w:r w:rsidRPr="00FB0FD2">
        <w:rPr>
          <w:szCs w:val="26"/>
        </w:rPr>
        <w:t xml:space="preserve">  </w:t>
      </w:r>
      <w:r w:rsidR="00105BAA" w:rsidRPr="00FB0FD2">
        <w:rPr>
          <w:szCs w:val="26"/>
        </w:rPr>
        <w:t>Rejecting</w:t>
      </w:r>
      <w:r w:rsidRPr="00FB0FD2">
        <w:rPr>
          <w:szCs w:val="26"/>
        </w:rPr>
        <w:t xml:space="preserve"> plaintiffs’ </w:t>
      </w:r>
      <w:r w:rsidR="00105BAA" w:rsidRPr="00FB0FD2">
        <w:rPr>
          <w:szCs w:val="26"/>
        </w:rPr>
        <w:t xml:space="preserve">reliance on </w:t>
      </w:r>
      <w:proofErr w:type="spellStart"/>
      <w:r w:rsidR="00105BAA" w:rsidRPr="00FB0FD2">
        <w:rPr>
          <w:i/>
          <w:szCs w:val="26"/>
        </w:rPr>
        <w:t>Javor</w:t>
      </w:r>
      <w:proofErr w:type="spellEnd"/>
      <w:r w:rsidR="00C7093A" w:rsidRPr="00FB0FD2">
        <w:rPr>
          <w:szCs w:val="26"/>
        </w:rPr>
        <w:t>, the trial court said</w:t>
      </w:r>
      <w:proofErr w:type="gramStart"/>
      <w:r w:rsidR="00C7093A" w:rsidRPr="00FB0FD2">
        <w:rPr>
          <w:szCs w:val="26"/>
        </w:rPr>
        <w:t>:  “</w:t>
      </w:r>
      <w:proofErr w:type="gramEnd"/>
      <w:r w:rsidR="00C7093A" w:rsidRPr="00FB0FD2">
        <w:rPr>
          <w:szCs w:val="26"/>
        </w:rPr>
        <w:t xml:space="preserve">What was so unique about the </w:t>
      </w:r>
      <w:proofErr w:type="spellStart"/>
      <w:r w:rsidR="00C7093A" w:rsidRPr="00FB0FD2">
        <w:rPr>
          <w:i/>
          <w:iCs/>
          <w:szCs w:val="26"/>
        </w:rPr>
        <w:t>Javor</w:t>
      </w:r>
      <w:proofErr w:type="spellEnd"/>
      <w:r w:rsidR="00C7093A" w:rsidRPr="00FB0FD2">
        <w:rPr>
          <w:i/>
          <w:iCs/>
          <w:szCs w:val="26"/>
        </w:rPr>
        <w:t xml:space="preserve"> </w:t>
      </w:r>
      <w:r w:rsidR="00C7093A" w:rsidRPr="00FB0FD2">
        <w:rPr>
          <w:szCs w:val="26"/>
        </w:rPr>
        <w:t xml:space="preserve">circumstance is, ‘The Board has admitted it must pay these refunds to retailers.’  That’s something the Board has certainly not admitted in this case.”  </w:t>
      </w:r>
      <w:r w:rsidR="00C96EAA" w:rsidRPr="00FB0FD2">
        <w:rPr>
          <w:szCs w:val="26"/>
        </w:rPr>
        <w:t xml:space="preserve">The court explained that </w:t>
      </w:r>
      <w:r w:rsidR="00C7093A" w:rsidRPr="00FB0FD2">
        <w:rPr>
          <w:szCs w:val="26"/>
        </w:rPr>
        <w:t>“</w:t>
      </w:r>
      <w:r w:rsidR="00C96EAA" w:rsidRPr="00FB0FD2">
        <w:rPr>
          <w:szCs w:val="26"/>
        </w:rPr>
        <w:t>[t]</w:t>
      </w:r>
      <w:r w:rsidR="00C7093A" w:rsidRPr="00FB0FD2">
        <w:rPr>
          <w:szCs w:val="26"/>
        </w:rPr>
        <w:t xml:space="preserve">his case is more like </w:t>
      </w:r>
      <w:r w:rsidR="00C7093A" w:rsidRPr="00FB0FD2">
        <w:rPr>
          <w:i/>
          <w:iCs/>
          <w:szCs w:val="26"/>
        </w:rPr>
        <w:t>Loeffler</w:t>
      </w:r>
      <w:r w:rsidR="00C7093A" w:rsidRPr="00FB0FD2">
        <w:rPr>
          <w:szCs w:val="26"/>
        </w:rPr>
        <w:t xml:space="preserve"> than </w:t>
      </w:r>
      <w:proofErr w:type="spellStart"/>
      <w:r w:rsidR="00C7093A" w:rsidRPr="00FB0FD2">
        <w:rPr>
          <w:i/>
          <w:iCs/>
          <w:szCs w:val="26"/>
        </w:rPr>
        <w:t>Javor</w:t>
      </w:r>
      <w:proofErr w:type="spellEnd"/>
      <w:r w:rsidR="00C7093A" w:rsidRPr="00FB0FD2">
        <w:rPr>
          <w:iCs/>
          <w:szCs w:val="26"/>
        </w:rPr>
        <w:t>” b</w:t>
      </w:r>
      <w:r w:rsidR="00C7093A" w:rsidRPr="00FB0FD2">
        <w:rPr>
          <w:szCs w:val="26"/>
        </w:rPr>
        <w:t>ecause whether the sales at issue met</w:t>
      </w:r>
      <w:r w:rsidR="000B652C" w:rsidRPr="00FB0FD2">
        <w:rPr>
          <w:szCs w:val="26"/>
        </w:rPr>
        <w:t xml:space="preserve"> or had to meet</w:t>
      </w:r>
      <w:r w:rsidR="00C7093A" w:rsidRPr="00FB0FD2">
        <w:rPr>
          <w:szCs w:val="26"/>
        </w:rPr>
        <w:t xml:space="preserve"> the conditions for tax exemption was “very hotly in dispute.”  </w:t>
      </w:r>
      <w:r w:rsidR="00037500" w:rsidRPr="00FB0FD2">
        <w:rPr>
          <w:szCs w:val="26"/>
        </w:rPr>
        <w:t xml:space="preserve">The Court of Appeal affirmed, </w:t>
      </w:r>
      <w:r w:rsidR="00E12E9C" w:rsidRPr="00FB0FD2">
        <w:rPr>
          <w:szCs w:val="26"/>
        </w:rPr>
        <w:t xml:space="preserve">although it noted that </w:t>
      </w:r>
      <w:r w:rsidR="00E12E9C" w:rsidRPr="00FB0FD2">
        <w:rPr>
          <w:szCs w:val="26"/>
        </w:rPr>
        <w:lastRenderedPageBreak/>
        <w:t>the result “is not an entirely satisfying one</w:t>
      </w:r>
      <w:proofErr w:type="gramStart"/>
      <w:r w:rsidR="00E12E9C" w:rsidRPr="00FB0FD2">
        <w:rPr>
          <w:szCs w:val="26"/>
        </w:rPr>
        <w:t>. .</w:t>
      </w:r>
      <w:proofErr w:type="gramEnd"/>
      <w:r w:rsidR="00E12E9C" w:rsidRPr="00FB0FD2">
        <w:rPr>
          <w:szCs w:val="26"/>
        </w:rPr>
        <w:t xml:space="preserve"> . .  </w:t>
      </w:r>
      <w:r w:rsidR="0012026D" w:rsidRPr="00FB0FD2">
        <w:rPr>
          <w:szCs w:val="26"/>
        </w:rPr>
        <w:t>[O]</w:t>
      </w:r>
      <w:proofErr w:type="spellStart"/>
      <w:r w:rsidR="0012026D" w:rsidRPr="00FB0FD2">
        <w:rPr>
          <w:szCs w:val="26"/>
        </w:rPr>
        <w:t>ur</w:t>
      </w:r>
      <w:proofErr w:type="spellEnd"/>
      <w:r w:rsidR="0012026D" w:rsidRPr="00FB0FD2">
        <w:rPr>
          <w:szCs w:val="26"/>
        </w:rPr>
        <w:t xml:space="preserve"> Constitution chiefly assigns the task of creating tax refund remedies to our Legislature, and our Legislature has yet to address the situation that arises when the legal taxpayer has no incentive to seek a direct refund and the economic taxpayer has no right to do so.  It is a topic worthy o</w:t>
      </w:r>
      <w:r w:rsidR="000B0A33" w:rsidRPr="00FB0FD2">
        <w:rPr>
          <w:szCs w:val="26"/>
        </w:rPr>
        <w:t>f legislative consideration.”  (</w:t>
      </w:r>
      <w:r w:rsidR="0012026D" w:rsidRPr="00FB0FD2">
        <w:rPr>
          <w:i/>
          <w:szCs w:val="26"/>
        </w:rPr>
        <w:t>McClain</w:t>
      </w:r>
      <w:r w:rsidR="0012026D" w:rsidRPr="00FB0FD2">
        <w:rPr>
          <w:szCs w:val="26"/>
        </w:rPr>
        <w:t xml:space="preserve">, </w:t>
      </w:r>
      <w:r w:rsidR="0012026D" w:rsidRPr="00FB0FD2">
        <w:rPr>
          <w:i/>
          <w:szCs w:val="26"/>
        </w:rPr>
        <w:t>supra</w:t>
      </w:r>
      <w:r w:rsidR="0012026D" w:rsidRPr="00FB0FD2">
        <w:rPr>
          <w:szCs w:val="26"/>
        </w:rPr>
        <w:t>, 9 Cal.A</w:t>
      </w:r>
      <w:r w:rsidR="000B0A33" w:rsidRPr="00FB0FD2">
        <w:rPr>
          <w:szCs w:val="26"/>
        </w:rPr>
        <w:t>pp.5th at p. 70</w:t>
      </w:r>
      <w:r w:rsidR="005F450D">
        <w:rPr>
          <w:szCs w:val="26"/>
        </w:rPr>
        <w:t>6</w:t>
      </w:r>
      <w:r w:rsidR="000B0A33" w:rsidRPr="00FB0FD2">
        <w:rPr>
          <w:szCs w:val="26"/>
        </w:rPr>
        <w:t>.)</w:t>
      </w:r>
    </w:p>
    <w:p w14:paraId="4B7BC41A" w14:textId="77777777" w:rsidR="00AE7C1E" w:rsidRPr="00FB0FD2" w:rsidRDefault="0012026D" w:rsidP="00FB0FD2">
      <w:pPr>
        <w:tabs>
          <w:tab w:val="left" w:pos="1440"/>
        </w:tabs>
        <w:ind w:firstLine="720"/>
        <w:rPr>
          <w:szCs w:val="26"/>
        </w:rPr>
      </w:pPr>
      <w:r w:rsidRPr="00FB0FD2">
        <w:rPr>
          <w:szCs w:val="26"/>
        </w:rPr>
        <w:t>W</w:t>
      </w:r>
      <w:r w:rsidR="00037500" w:rsidRPr="00FB0FD2">
        <w:rPr>
          <w:szCs w:val="26"/>
        </w:rPr>
        <w:t xml:space="preserve">e granted </w:t>
      </w:r>
      <w:r w:rsidR="00944831" w:rsidRPr="00FB0FD2">
        <w:rPr>
          <w:szCs w:val="26"/>
        </w:rPr>
        <w:t xml:space="preserve">plaintiffs’ petition for review on the dismissal of their claims for breach of contract and relief under </w:t>
      </w:r>
      <w:proofErr w:type="spellStart"/>
      <w:r w:rsidR="00944831" w:rsidRPr="00FB0FD2">
        <w:rPr>
          <w:i/>
          <w:szCs w:val="26"/>
        </w:rPr>
        <w:t>Javor</w:t>
      </w:r>
      <w:proofErr w:type="spellEnd"/>
      <w:r w:rsidR="00944831" w:rsidRPr="00FB0FD2">
        <w:rPr>
          <w:szCs w:val="26"/>
        </w:rPr>
        <w:t>.</w:t>
      </w:r>
    </w:p>
    <w:p w14:paraId="661EEDAA" w14:textId="77777777" w:rsidR="00670359" w:rsidRPr="00FB0FD2" w:rsidRDefault="00C1782D" w:rsidP="00FB0FD2">
      <w:pPr>
        <w:keepNext/>
        <w:jc w:val="center"/>
        <w:rPr>
          <w:b/>
          <w:vertAlign w:val="superscript"/>
        </w:rPr>
      </w:pPr>
      <w:r w:rsidRPr="00FB0FD2">
        <w:rPr>
          <w:b/>
        </w:rPr>
        <w:t>II.</w:t>
      </w:r>
    </w:p>
    <w:p w14:paraId="4B9072E4" w14:textId="77777777" w:rsidR="00C7745F" w:rsidRPr="00FB0FD2" w:rsidRDefault="00944831" w:rsidP="00FB0FD2">
      <w:pPr>
        <w:ind w:firstLine="720"/>
        <w:rPr>
          <w:szCs w:val="26"/>
        </w:rPr>
      </w:pPr>
      <w:r w:rsidRPr="00FB0FD2">
        <w:rPr>
          <w:szCs w:val="26"/>
        </w:rPr>
        <w:t>Article XIII, section 32 of the California Constitution states that a taxpayer may bring an action to challenge a tax only “[a]</w:t>
      </w:r>
      <w:proofErr w:type="spellStart"/>
      <w:r w:rsidRPr="00FB0FD2">
        <w:rPr>
          <w:szCs w:val="26"/>
        </w:rPr>
        <w:t>fter</w:t>
      </w:r>
      <w:proofErr w:type="spellEnd"/>
      <w:r w:rsidRPr="00FB0FD2">
        <w:rPr>
          <w:szCs w:val="26"/>
        </w:rPr>
        <w:t xml:space="preserve"> payment” and “in such manner as may be provided by the Legislature.”  The Legislature has enacted a comprehensive scheme “to </w:t>
      </w:r>
      <w:proofErr w:type="gramStart"/>
      <w:r w:rsidRPr="00FB0FD2">
        <w:rPr>
          <w:szCs w:val="26"/>
        </w:rPr>
        <w:t>resolve .</w:t>
      </w:r>
      <w:proofErr w:type="gramEnd"/>
      <w:r w:rsidRPr="00FB0FD2">
        <w:rPr>
          <w:szCs w:val="26"/>
        </w:rPr>
        <w:t> . . tax questions and to govern disputes between the taxpayer and the [Department].”  (</w:t>
      </w:r>
      <w:r w:rsidRPr="00FB0FD2">
        <w:rPr>
          <w:i/>
          <w:iCs/>
          <w:szCs w:val="26"/>
        </w:rPr>
        <w:t>Loeffler</w:t>
      </w:r>
      <w:r w:rsidRPr="00FB0FD2">
        <w:rPr>
          <w:iCs/>
          <w:szCs w:val="26"/>
        </w:rPr>
        <w:t xml:space="preserve">, </w:t>
      </w:r>
      <w:r w:rsidRPr="00FB0FD2">
        <w:rPr>
          <w:i/>
          <w:iCs/>
          <w:szCs w:val="26"/>
        </w:rPr>
        <w:t>supra</w:t>
      </w:r>
      <w:r w:rsidRPr="00FB0FD2">
        <w:rPr>
          <w:iCs/>
          <w:szCs w:val="26"/>
        </w:rPr>
        <w:t>,</w:t>
      </w:r>
      <w:r w:rsidRPr="00FB0FD2">
        <w:rPr>
          <w:i/>
          <w:iCs/>
          <w:szCs w:val="26"/>
        </w:rPr>
        <w:t xml:space="preserve"> </w:t>
      </w:r>
      <w:r w:rsidRPr="00FB0FD2">
        <w:rPr>
          <w:szCs w:val="26"/>
        </w:rPr>
        <w:t xml:space="preserve">58 Cal.4th at p. 1103.)  </w:t>
      </w:r>
      <w:r w:rsidR="00E4555D" w:rsidRPr="00FB0FD2">
        <w:rPr>
          <w:szCs w:val="26"/>
        </w:rPr>
        <w:t>A</w:t>
      </w:r>
      <w:r w:rsidRPr="00FB0FD2">
        <w:rPr>
          <w:szCs w:val="26"/>
        </w:rPr>
        <w:t xml:space="preserve"> taxpayer may challenge </w:t>
      </w:r>
      <w:r w:rsidR="00C7745F" w:rsidRPr="00FB0FD2">
        <w:rPr>
          <w:szCs w:val="26"/>
        </w:rPr>
        <w:t xml:space="preserve">the imposition of sales tax by paying the tax and then filing with the Department an administrative claim for a refund.  (§ 6901.)  In the context of the sales tax, “[t]he </w:t>
      </w:r>
      <w:r w:rsidR="00C7745F" w:rsidRPr="00FB0FD2">
        <w:rPr>
          <w:i/>
          <w:szCs w:val="26"/>
        </w:rPr>
        <w:t>retailer</w:t>
      </w:r>
      <w:r w:rsidR="00C7745F" w:rsidRPr="00FB0FD2">
        <w:rPr>
          <w:szCs w:val="26"/>
        </w:rPr>
        <w:t xml:space="preserve"> is the taxpayer, </w:t>
      </w:r>
      <w:r w:rsidR="00C7745F" w:rsidRPr="00FB0FD2">
        <w:rPr>
          <w:i/>
          <w:szCs w:val="26"/>
        </w:rPr>
        <w:t>not</w:t>
      </w:r>
      <w:r w:rsidR="00C7745F" w:rsidRPr="00FB0FD2">
        <w:rPr>
          <w:szCs w:val="26"/>
        </w:rPr>
        <w:t xml:space="preserve"> the consumer.”  (</w:t>
      </w:r>
      <w:r w:rsidR="00C7745F" w:rsidRPr="00FB0FD2">
        <w:rPr>
          <w:i/>
          <w:szCs w:val="26"/>
        </w:rPr>
        <w:t>Loeffler</w:t>
      </w:r>
      <w:r w:rsidR="00C7745F" w:rsidRPr="00FB0FD2">
        <w:rPr>
          <w:szCs w:val="26"/>
        </w:rPr>
        <w:t>, at p. 1104</w:t>
      </w:r>
      <w:r w:rsidR="005A09EF" w:rsidRPr="00FB0FD2">
        <w:rPr>
          <w:szCs w:val="26"/>
        </w:rPr>
        <w:t>, fn. omitted</w:t>
      </w:r>
      <w:r w:rsidR="00C7745F" w:rsidRPr="00FB0FD2">
        <w:rPr>
          <w:szCs w:val="26"/>
        </w:rPr>
        <w:t xml:space="preserve">; see </w:t>
      </w:r>
      <w:r w:rsidR="00C7745F" w:rsidRPr="00FB0FD2">
        <w:rPr>
          <w:i/>
          <w:iCs/>
          <w:szCs w:val="26"/>
        </w:rPr>
        <w:t xml:space="preserve">City of Pomona v. State Bd. of Equalization </w:t>
      </w:r>
      <w:r w:rsidR="00C7745F" w:rsidRPr="00FB0FD2">
        <w:rPr>
          <w:szCs w:val="26"/>
        </w:rPr>
        <w:t>(1959) 53 Cal.2d 305, 309 [</w:t>
      </w:r>
      <w:r w:rsidR="00E4555D" w:rsidRPr="00FB0FD2">
        <w:rPr>
          <w:szCs w:val="26"/>
        </w:rPr>
        <w:t xml:space="preserve">sales tax is a tax on the </w:t>
      </w:r>
      <w:proofErr w:type="gramStart"/>
      <w:r w:rsidR="00E4555D" w:rsidRPr="00FB0FD2">
        <w:rPr>
          <w:szCs w:val="26"/>
        </w:rPr>
        <w:t>“ ‘</w:t>
      </w:r>
      <w:proofErr w:type="gramEnd"/>
      <w:r w:rsidR="00C7745F" w:rsidRPr="00FB0FD2">
        <w:rPr>
          <w:szCs w:val="26"/>
        </w:rPr>
        <w:t>privilege of conducting a retail</w:t>
      </w:r>
      <w:r w:rsidR="00E4555D" w:rsidRPr="00FB0FD2">
        <w:rPr>
          <w:szCs w:val="26"/>
        </w:rPr>
        <w:t xml:space="preserve"> business,’ ”</w:t>
      </w:r>
      <w:r w:rsidR="00C7745F" w:rsidRPr="00FB0FD2">
        <w:rPr>
          <w:szCs w:val="26"/>
        </w:rPr>
        <w:t xml:space="preserve"> not a tax on the </w:t>
      </w:r>
      <w:r w:rsidR="003A63E2">
        <w:rPr>
          <w:szCs w:val="26"/>
        </w:rPr>
        <w:t>goods</w:t>
      </w:r>
      <w:r w:rsidR="003A63E2" w:rsidRPr="00FB0FD2">
        <w:rPr>
          <w:szCs w:val="26"/>
        </w:rPr>
        <w:t xml:space="preserve"> </w:t>
      </w:r>
      <w:r w:rsidR="00C7745F" w:rsidRPr="00FB0FD2">
        <w:rPr>
          <w:szCs w:val="26"/>
        </w:rPr>
        <w:t>sold</w:t>
      </w:r>
      <w:r w:rsidR="00E4555D" w:rsidRPr="00FB0FD2">
        <w:rPr>
          <w:szCs w:val="26"/>
        </w:rPr>
        <w:t>].)</w:t>
      </w:r>
    </w:p>
    <w:p w14:paraId="7F947063" w14:textId="77777777" w:rsidR="00E150B7" w:rsidRPr="00FB0FD2" w:rsidRDefault="00E4555D" w:rsidP="00FB0FD2">
      <w:pPr>
        <w:ind w:firstLine="720"/>
        <w:rPr>
          <w:color w:val="000000"/>
          <w:szCs w:val="26"/>
        </w:rPr>
      </w:pPr>
      <w:r w:rsidRPr="00FB0FD2">
        <w:rPr>
          <w:szCs w:val="26"/>
        </w:rPr>
        <w:t>As noted, the Legislature has provided no mechanism for consumers to obtain directly from the Department a refund of excess sales tax</w:t>
      </w:r>
      <w:r w:rsidR="00350EDB" w:rsidRPr="00FB0FD2">
        <w:rPr>
          <w:szCs w:val="26"/>
        </w:rPr>
        <w:t>es that retailers have paid and for which retailers have charged sales tax reimbursement to consumers</w:t>
      </w:r>
      <w:r w:rsidRPr="00FB0FD2">
        <w:rPr>
          <w:szCs w:val="26"/>
        </w:rPr>
        <w:t xml:space="preserve">.  In </w:t>
      </w:r>
      <w:proofErr w:type="spellStart"/>
      <w:r w:rsidRPr="00FB0FD2">
        <w:rPr>
          <w:i/>
          <w:szCs w:val="26"/>
        </w:rPr>
        <w:t>Javor</w:t>
      </w:r>
      <w:proofErr w:type="spellEnd"/>
      <w:r w:rsidRPr="00FB0FD2">
        <w:rPr>
          <w:szCs w:val="26"/>
        </w:rPr>
        <w:t xml:space="preserve">, </w:t>
      </w:r>
      <w:r w:rsidRPr="00FB0FD2">
        <w:rPr>
          <w:i/>
          <w:szCs w:val="26"/>
        </w:rPr>
        <w:t>supra</w:t>
      </w:r>
      <w:r w:rsidRPr="00FB0FD2">
        <w:rPr>
          <w:szCs w:val="26"/>
        </w:rPr>
        <w:t xml:space="preserve">, 12 Cal.3d 790, we </w:t>
      </w:r>
      <w:r w:rsidR="000378B4" w:rsidRPr="00FB0FD2">
        <w:rPr>
          <w:szCs w:val="26"/>
        </w:rPr>
        <w:t>addressed whether customers may bring suit to compel retailers to seek a refund</w:t>
      </w:r>
      <w:r w:rsidR="009639B0" w:rsidRPr="00FB0FD2">
        <w:rPr>
          <w:szCs w:val="26"/>
        </w:rPr>
        <w:t xml:space="preserve"> </w:t>
      </w:r>
      <w:r w:rsidRPr="00FB0FD2">
        <w:rPr>
          <w:szCs w:val="26"/>
        </w:rPr>
        <w:t xml:space="preserve">of sales taxes </w:t>
      </w:r>
      <w:r w:rsidRPr="00FB0FD2">
        <w:rPr>
          <w:szCs w:val="26"/>
        </w:rPr>
        <w:lastRenderedPageBreak/>
        <w:t xml:space="preserve">paid in excess of the amount owed.  </w:t>
      </w:r>
      <w:r w:rsidR="00350EDB" w:rsidRPr="00FB0FD2">
        <w:rPr>
          <w:szCs w:val="26"/>
        </w:rPr>
        <w:t>In t</w:t>
      </w:r>
      <w:r w:rsidR="00870211" w:rsidRPr="00FB0FD2">
        <w:rPr>
          <w:szCs w:val="26"/>
        </w:rPr>
        <w:t>hat case</w:t>
      </w:r>
      <w:r w:rsidR="00350EDB" w:rsidRPr="00FB0FD2">
        <w:rPr>
          <w:szCs w:val="26"/>
        </w:rPr>
        <w:t xml:space="preserve">, </w:t>
      </w:r>
      <w:r w:rsidR="000E6CD6" w:rsidRPr="00FB0FD2">
        <w:rPr>
          <w:szCs w:val="26"/>
        </w:rPr>
        <w:t xml:space="preserve">the repeal of </w:t>
      </w:r>
      <w:r w:rsidR="00350EDB" w:rsidRPr="00FB0FD2">
        <w:rPr>
          <w:szCs w:val="26"/>
        </w:rPr>
        <w:t xml:space="preserve">a </w:t>
      </w:r>
      <w:r w:rsidR="000E6CD6" w:rsidRPr="00FB0FD2">
        <w:rPr>
          <w:szCs w:val="26"/>
        </w:rPr>
        <w:t>federal</w:t>
      </w:r>
      <w:r w:rsidR="00350EDB" w:rsidRPr="00FB0FD2">
        <w:rPr>
          <w:szCs w:val="26"/>
        </w:rPr>
        <w:t xml:space="preserve"> excise tax on motor vehicles </w:t>
      </w:r>
      <w:r w:rsidR="000E6CD6" w:rsidRPr="00FB0FD2">
        <w:rPr>
          <w:szCs w:val="26"/>
        </w:rPr>
        <w:t xml:space="preserve">entitled </w:t>
      </w:r>
      <w:r w:rsidR="00A81F3E" w:rsidRPr="00FB0FD2">
        <w:rPr>
          <w:szCs w:val="26"/>
        </w:rPr>
        <w:t xml:space="preserve">retail </w:t>
      </w:r>
      <w:r w:rsidR="000E6CD6" w:rsidRPr="00FB0FD2">
        <w:rPr>
          <w:szCs w:val="26"/>
        </w:rPr>
        <w:t xml:space="preserve">car dealers to a partial refund of sales tax </w:t>
      </w:r>
      <w:r w:rsidR="00350EDB" w:rsidRPr="00FB0FD2">
        <w:rPr>
          <w:szCs w:val="26"/>
        </w:rPr>
        <w:t xml:space="preserve">on cars sold </w:t>
      </w:r>
      <w:r w:rsidR="000E6CD6" w:rsidRPr="00FB0FD2">
        <w:rPr>
          <w:szCs w:val="26"/>
        </w:rPr>
        <w:t>because the excise tax had been included in the price of the cars on which sales tax had been assessed.  (</w:t>
      </w:r>
      <w:r w:rsidR="000E6CD6" w:rsidRPr="00FB0FD2">
        <w:rPr>
          <w:i/>
          <w:szCs w:val="26"/>
        </w:rPr>
        <w:t>Id.</w:t>
      </w:r>
      <w:r w:rsidR="000E6CD6" w:rsidRPr="00FB0FD2">
        <w:rPr>
          <w:szCs w:val="26"/>
        </w:rPr>
        <w:t xml:space="preserve"> at pp. 794, 801–802.)  The </w:t>
      </w:r>
      <w:r w:rsidR="00350EDB" w:rsidRPr="00FB0FD2">
        <w:rPr>
          <w:szCs w:val="26"/>
        </w:rPr>
        <w:t>Board</w:t>
      </w:r>
      <w:r w:rsidR="00896DDC" w:rsidRPr="00FB0FD2">
        <w:rPr>
          <w:szCs w:val="26"/>
        </w:rPr>
        <w:t xml:space="preserve"> </w:t>
      </w:r>
      <w:r w:rsidR="000E6CD6" w:rsidRPr="00FB0FD2">
        <w:rPr>
          <w:szCs w:val="26"/>
        </w:rPr>
        <w:t>agreed that a refund was due and promulgated rules to effectuate the refunds.  (</w:t>
      </w:r>
      <w:r w:rsidR="00184AE2" w:rsidRPr="00FB0FD2">
        <w:rPr>
          <w:i/>
          <w:szCs w:val="26"/>
        </w:rPr>
        <w:t>Id</w:t>
      </w:r>
      <w:r w:rsidR="000E6CD6" w:rsidRPr="00FB0FD2">
        <w:rPr>
          <w:i/>
          <w:szCs w:val="26"/>
        </w:rPr>
        <w:t>.</w:t>
      </w:r>
      <w:r w:rsidR="000E5B8F" w:rsidRPr="00FB0FD2">
        <w:rPr>
          <w:szCs w:val="26"/>
        </w:rPr>
        <w:t xml:space="preserve"> at p. </w:t>
      </w:r>
      <w:r w:rsidR="00184AE2" w:rsidRPr="00FB0FD2">
        <w:rPr>
          <w:szCs w:val="26"/>
        </w:rPr>
        <w:t>794.</w:t>
      </w:r>
      <w:r w:rsidR="000E6CD6" w:rsidRPr="00FB0FD2">
        <w:rPr>
          <w:szCs w:val="26"/>
        </w:rPr>
        <w:t xml:space="preserve">)  </w:t>
      </w:r>
      <w:r w:rsidR="00630B0B" w:rsidRPr="00FB0FD2">
        <w:rPr>
          <w:szCs w:val="26"/>
        </w:rPr>
        <w:t xml:space="preserve">But retail </w:t>
      </w:r>
      <w:r w:rsidR="00823E95" w:rsidRPr="00FB0FD2">
        <w:rPr>
          <w:szCs w:val="26"/>
        </w:rPr>
        <w:t>car dealers had “no particular incentive to request the refund” since they would have</w:t>
      </w:r>
      <w:r w:rsidR="005248D2" w:rsidRPr="00FB0FD2">
        <w:rPr>
          <w:szCs w:val="26"/>
        </w:rPr>
        <w:t xml:space="preserve"> been required</w:t>
      </w:r>
      <w:r w:rsidR="00823E95" w:rsidRPr="00FB0FD2">
        <w:rPr>
          <w:szCs w:val="26"/>
        </w:rPr>
        <w:t xml:space="preserve"> to pass on any refunds to customers.  (</w:t>
      </w:r>
      <w:r w:rsidR="00823E95" w:rsidRPr="00FB0FD2">
        <w:rPr>
          <w:i/>
          <w:szCs w:val="26"/>
        </w:rPr>
        <w:t>Id.</w:t>
      </w:r>
      <w:r w:rsidR="00350EDB" w:rsidRPr="00FB0FD2">
        <w:rPr>
          <w:szCs w:val="26"/>
        </w:rPr>
        <w:t xml:space="preserve"> at p. 801.)</w:t>
      </w:r>
      <w:r w:rsidR="00823E95" w:rsidRPr="00FB0FD2">
        <w:rPr>
          <w:szCs w:val="26"/>
        </w:rPr>
        <w:t xml:space="preserve">  </w:t>
      </w:r>
      <w:r w:rsidR="000E6CD6" w:rsidRPr="00FB0FD2">
        <w:rPr>
          <w:szCs w:val="26"/>
        </w:rPr>
        <w:t xml:space="preserve">We </w:t>
      </w:r>
      <w:r w:rsidR="00823E95" w:rsidRPr="00FB0FD2">
        <w:rPr>
          <w:szCs w:val="26"/>
        </w:rPr>
        <w:t xml:space="preserve">held that </w:t>
      </w:r>
      <w:r w:rsidR="00E150B7" w:rsidRPr="00FB0FD2">
        <w:rPr>
          <w:szCs w:val="26"/>
        </w:rPr>
        <w:t>a customer</w:t>
      </w:r>
      <w:r w:rsidR="00823E95" w:rsidRPr="00FB0FD2">
        <w:rPr>
          <w:szCs w:val="26"/>
        </w:rPr>
        <w:t xml:space="preserve"> suit </w:t>
      </w:r>
      <w:r w:rsidR="00E150B7" w:rsidRPr="00FB0FD2">
        <w:rPr>
          <w:szCs w:val="26"/>
        </w:rPr>
        <w:t xml:space="preserve">against </w:t>
      </w:r>
      <w:r w:rsidR="00B01F1D" w:rsidRPr="00FB0FD2">
        <w:rPr>
          <w:szCs w:val="26"/>
        </w:rPr>
        <w:t xml:space="preserve">the </w:t>
      </w:r>
      <w:r w:rsidR="00E150B7" w:rsidRPr="00FB0FD2">
        <w:rPr>
          <w:szCs w:val="26"/>
        </w:rPr>
        <w:t>retail</w:t>
      </w:r>
      <w:r w:rsidR="00B01F1D" w:rsidRPr="00FB0FD2">
        <w:rPr>
          <w:szCs w:val="26"/>
        </w:rPr>
        <w:t>er</w:t>
      </w:r>
      <w:r w:rsidR="00E150B7" w:rsidRPr="00FB0FD2">
        <w:rPr>
          <w:szCs w:val="26"/>
        </w:rPr>
        <w:t xml:space="preserve"> </w:t>
      </w:r>
      <w:r w:rsidR="00823E95" w:rsidRPr="00FB0FD2">
        <w:rPr>
          <w:szCs w:val="26"/>
        </w:rPr>
        <w:t xml:space="preserve">was an appropriate remedy, and we allowed customers </w:t>
      </w:r>
      <w:r w:rsidR="00A81F3E" w:rsidRPr="00FB0FD2">
        <w:rPr>
          <w:szCs w:val="26"/>
        </w:rPr>
        <w:t>to join the Board as a party</w:t>
      </w:r>
      <w:r w:rsidR="00B01F1D" w:rsidRPr="00FB0FD2">
        <w:rPr>
          <w:szCs w:val="26"/>
        </w:rPr>
        <w:t xml:space="preserve"> to such suits</w:t>
      </w:r>
      <w:r w:rsidR="000E6CD6" w:rsidRPr="00FB0FD2">
        <w:rPr>
          <w:szCs w:val="26"/>
        </w:rPr>
        <w:t>.  (</w:t>
      </w:r>
      <w:r w:rsidR="000E6CD6" w:rsidRPr="00FB0FD2">
        <w:rPr>
          <w:i/>
          <w:szCs w:val="26"/>
        </w:rPr>
        <w:t xml:space="preserve">Id. </w:t>
      </w:r>
      <w:r w:rsidR="00E150B7" w:rsidRPr="00FB0FD2">
        <w:rPr>
          <w:szCs w:val="26"/>
        </w:rPr>
        <w:t>at p</w:t>
      </w:r>
      <w:r w:rsidR="000E5B8F" w:rsidRPr="00FB0FD2">
        <w:rPr>
          <w:szCs w:val="26"/>
        </w:rPr>
        <w:t>. </w:t>
      </w:r>
      <w:r w:rsidR="00E150B7" w:rsidRPr="00FB0FD2">
        <w:rPr>
          <w:szCs w:val="26"/>
        </w:rPr>
        <w:t>802</w:t>
      </w:r>
      <w:r w:rsidR="000E6CD6" w:rsidRPr="00FB0FD2">
        <w:rPr>
          <w:szCs w:val="26"/>
        </w:rPr>
        <w:t xml:space="preserve">.)  In so holding, we observed that the Legislature had “provide[d] no procedure by which [the customers] </w:t>
      </w:r>
      <w:r w:rsidR="00E150B7" w:rsidRPr="00FB0FD2">
        <w:rPr>
          <w:szCs w:val="26"/>
        </w:rPr>
        <w:t>can</w:t>
      </w:r>
      <w:r w:rsidR="000E6CD6" w:rsidRPr="00FB0FD2">
        <w:rPr>
          <w:szCs w:val="26"/>
        </w:rPr>
        <w:t xml:space="preserve"> claim the refund themselves”</w:t>
      </w:r>
      <w:r w:rsidR="00E150B7" w:rsidRPr="00FB0FD2">
        <w:rPr>
          <w:szCs w:val="26"/>
        </w:rPr>
        <w:t xml:space="preserve"> (</w:t>
      </w:r>
      <w:r w:rsidR="00E150B7" w:rsidRPr="00FB0FD2">
        <w:rPr>
          <w:i/>
          <w:szCs w:val="26"/>
        </w:rPr>
        <w:t>id.</w:t>
      </w:r>
      <w:r w:rsidR="00E150B7" w:rsidRPr="00FB0FD2">
        <w:rPr>
          <w:szCs w:val="26"/>
        </w:rPr>
        <w:t xml:space="preserve"> at p. 797)</w:t>
      </w:r>
      <w:r w:rsidR="000E6CD6" w:rsidRPr="00FB0FD2">
        <w:rPr>
          <w:szCs w:val="26"/>
        </w:rPr>
        <w:t xml:space="preserve"> and that </w:t>
      </w:r>
      <w:r w:rsidR="00B01F1D" w:rsidRPr="00FB0FD2">
        <w:rPr>
          <w:szCs w:val="26"/>
        </w:rPr>
        <w:t>allowing</w:t>
      </w:r>
      <w:r w:rsidR="000E6CD6" w:rsidRPr="00FB0FD2">
        <w:rPr>
          <w:szCs w:val="26"/>
        </w:rPr>
        <w:t xml:space="preserve"> such a lawsuit was “consonant wit</w:t>
      </w:r>
      <w:r w:rsidR="00E150B7" w:rsidRPr="00FB0FD2">
        <w:rPr>
          <w:szCs w:val="26"/>
        </w:rPr>
        <w:t>h existing statutory procedures</w:t>
      </w:r>
      <w:r w:rsidR="000E6CD6" w:rsidRPr="00FB0FD2">
        <w:rPr>
          <w:szCs w:val="26"/>
        </w:rPr>
        <w:t>”</w:t>
      </w:r>
      <w:r w:rsidR="00E150B7" w:rsidRPr="00FB0FD2">
        <w:rPr>
          <w:szCs w:val="26"/>
        </w:rPr>
        <w:t xml:space="preserve"> (</w:t>
      </w:r>
      <w:r w:rsidR="00E150B7" w:rsidRPr="00FB0FD2">
        <w:rPr>
          <w:i/>
          <w:szCs w:val="26"/>
        </w:rPr>
        <w:t>id.</w:t>
      </w:r>
      <w:r w:rsidR="00E150B7" w:rsidRPr="00FB0FD2">
        <w:rPr>
          <w:szCs w:val="26"/>
        </w:rPr>
        <w:t xml:space="preserve"> at p. 800).</w:t>
      </w:r>
      <w:r w:rsidR="000E6CD6" w:rsidRPr="00FB0FD2">
        <w:rPr>
          <w:szCs w:val="26"/>
        </w:rPr>
        <w:t xml:space="preserve"> </w:t>
      </w:r>
      <w:r w:rsidR="00E150B7" w:rsidRPr="00FB0FD2">
        <w:rPr>
          <w:szCs w:val="26"/>
        </w:rPr>
        <w:t xml:space="preserve"> </w:t>
      </w:r>
      <w:r w:rsidR="00786D6D" w:rsidRPr="00D97548">
        <w:rPr>
          <w:szCs w:val="26"/>
        </w:rPr>
        <w:t>W</w:t>
      </w:r>
      <w:r w:rsidR="00420532" w:rsidRPr="00D97548">
        <w:rPr>
          <w:szCs w:val="26"/>
        </w:rPr>
        <w:t xml:space="preserve">e </w:t>
      </w:r>
      <w:r w:rsidR="00786D6D" w:rsidRPr="00D97548">
        <w:rPr>
          <w:szCs w:val="26"/>
        </w:rPr>
        <w:t xml:space="preserve">further </w:t>
      </w:r>
      <w:r w:rsidR="00420532" w:rsidRPr="00D97548">
        <w:rPr>
          <w:szCs w:val="26"/>
        </w:rPr>
        <w:t xml:space="preserve">noted that </w:t>
      </w:r>
      <w:r w:rsidR="00786D6D" w:rsidRPr="00D97548">
        <w:rPr>
          <w:szCs w:val="26"/>
        </w:rPr>
        <w:t>this</w:t>
      </w:r>
      <w:r w:rsidR="00420532" w:rsidRPr="00D97548">
        <w:rPr>
          <w:szCs w:val="26"/>
          <w:shd w:val="clear" w:color="auto" w:fill="FFFFFF"/>
        </w:rPr>
        <w:t xml:space="preserve"> </w:t>
      </w:r>
      <w:r w:rsidR="00786D6D" w:rsidRPr="00D97548">
        <w:rPr>
          <w:szCs w:val="26"/>
          <w:shd w:val="clear" w:color="auto" w:fill="FFFFFF"/>
        </w:rPr>
        <w:t xml:space="preserve">judicially crafted </w:t>
      </w:r>
      <w:r w:rsidR="00420532" w:rsidRPr="00D97548">
        <w:rPr>
          <w:szCs w:val="26"/>
          <w:shd w:val="clear" w:color="auto" w:fill="FFFFFF"/>
        </w:rPr>
        <w:t xml:space="preserve">remedy was “based on broad principles of restitution” that </w:t>
      </w:r>
      <w:proofErr w:type="gramStart"/>
      <w:r w:rsidR="00420532" w:rsidRPr="00D97548">
        <w:rPr>
          <w:szCs w:val="26"/>
          <w:shd w:val="clear" w:color="auto" w:fill="FFFFFF"/>
        </w:rPr>
        <w:t>took into account</w:t>
      </w:r>
      <w:proofErr w:type="gramEnd"/>
      <w:r w:rsidR="00420532" w:rsidRPr="00D97548">
        <w:rPr>
          <w:szCs w:val="26"/>
          <w:shd w:val="clear" w:color="auto" w:fill="FFFFFF"/>
        </w:rPr>
        <w:t xml:space="preserve"> relevant equitable factors</w:t>
      </w:r>
      <w:r w:rsidR="00786D6D" w:rsidRPr="00D97548">
        <w:rPr>
          <w:szCs w:val="26"/>
          <w:shd w:val="clear" w:color="auto" w:fill="FFFFFF"/>
        </w:rPr>
        <w:t xml:space="preserve">. </w:t>
      </w:r>
      <w:r w:rsidR="00420532" w:rsidRPr="00D97548">
        <w:rPr>
          <w:szCs w:val="26"/>
          <w:shd w:val="clear" w:color="auto" w:fill="FFFFFF"/>
        </w:rPr>
        <w:t xml:space="preserve"> (</w:t>
      </w:r>
      <w:r w:rsidR="00420532" w:rsidRPr="00D97548">
        <w:rPr>
          <w:i/>
          <w:szCs w:val="26"/>
          <w:shd w:val="clear" w:color="auto" w:fill="FFFFFF"/>
        </w:rPr>
        <w:t>Id.</w:t>
      </w:r>
      <w:r w:rsidR="00420532" w:rsidRPr="00D97548">
        <w:rPr>
          <w:szCs w:val="26"/>
          <w:shd w:val="clear" w:color="auto" w:fill="FFFFFF"/>
        </w:rPr>
        <w:t xml:space="preserve"> at 797.) </w:t>
      </w:r>
      <w:r w:rsidR="00786D6D" w:rsidRPr="00D97548">
        <w:rPr>
          <w:szCs w:val="26"/>
          <w:shd w:val="clear" w:color="auto" w:fill="FFFFFF"/>
        </w:rPr>
        <w:t xml:space="preserve"> </w:t>
      </w:r>
      <w:r w:rsidR="00786D6D" w:rsidRPr="00D97548">
        <w:rPr>
          <w:szCs w:val="26"/>
        </w:rPr>
        <w:t xml:space="preserve">The </w:t>
      </w:r>
      <w:r w:rsidR="00E150B7" w:rsidRPr="00D97548">
        <w:rPr>
          <w:szCs w:val="26"/>
        </w:rPr>
        <w:t xml:space="preserve">remedy, we said, “is clearly mandated by the Board’s duty to protect the integrity </w:t>
      </w:r>
      <w:r w:rsidR="00E150B7" w:rsidRPr="00FB0FD2">
        <w:rPr>
          <w:color w:val="000000"/>
          <w:szCs w:val="26"/>
        </w:rPr>
        <w:t>of the sales tax by ensuring that the customers</w:t>
      </w:r>
      <w:r w:rsidR="00E150B7" w:rsidRPr="00FB0FD2">
        <w:rPr>
          <w:szCs w:val="26"/>
        </w:rPr>
        <w:t xml:space="preserve"> </w:t>
      </w:r>
      <w:r w:rsidR="00E150B7" w:rsidRPr="00FB0FD2">
        <w:rPr>
          <w:color w:val="000000"/>
          <w:szCs w:val="26"/>
        </w:rPr>
        <w:t>receive their refunds.  The integrity of the sales tax</w:t>
      </w:r>
      <w:r w:rsidR="00E150B7" w:rsidRPr="00FB0FD2">
        <w:rPr>
          <w:szCs w:val="26"/>
        </w:rPr>
        <w:t xml:space="preserve"> </w:t>
      </w:r>
      <w:r w:rsidR="00E150B7" w:rsidRPr="00FB0FD2">
        <w:rPr>
          <w:color w:val="000000"/>
          <w:szCs w:val="26"/>
        </w:rPr>
        <w:t xml:space="preserve">requires not only that the retailers not be unjustly </w:t>
      </w:r>
      <w:proofErr w:type="gramStart"/>
      <w:r w:rsidR="00E150B7" w:rsidRPr="00FB0FD2">
        <w:rPr>
          <w:color w:val="000000"/>
          <w:szCs w:val="26"/>
        </w:rPr>
        <w:t>enriched</w:t>
      </w:r>
      <w:r w:rsidR="00C42E80">
        <w:rPr>
          <w:color w:val="000000"/>
          <w:szCs w:val="26"/>
        </w:rPr>
        <w:t xml:space="preserve"> </w:t>
      </w:r>
      <w:r w:rsidR="003A63E2">
        <w:rPr>
          <w:color w:val="000000"/>
          <w:szCs w:val="26"/>
        </w:rPr>
        <w:t>.</w:t>
      </w:r>
      <w:proofErr w:type="gramEnd"/>
      <w:r w:rsidR="003A63E2">
        <w:rPr>
          <w:color w:val="000000"/>
          <w:szCs w:val="26"/>
        </w:rPr>
        <w:t> . . </w:t>
      </w:r>
      <w:r w:rsidR="00E150B7" w:rsidRPr="00FB0FD2">
        <w:rPr>
          <w:szCs w:val="26"/>
        </w:rPr>
        <w:t xml:space="preserve">, </w:t>
      </w:r>
      <w:r w:rsidR="00E150B7" w:rsidRPr="00FB0FD2">
        <w:rPr>
          <w:color w:val="000000"/>
          <w:szCs w:val="26"/>
        </w:rPr>
        <w:t xml:space="preserve">but also </w:t>
      </w:r>
      <w:r w:rsidR="00E150B7" w:rsidRPr="00FB0FD2">
        <w:rPr>
          <w:color w:val="000000"/>
          <w:szCs w:val="24"/>
        </w:rPr>
        <w:t>that the state not be</w:t>
      </w:r>
      <w:r w:rsidR="00E150B7" w:rsidRPr="00FB0FD2">
        <w:rPr>
          <w:szCs w:val="24"/>
        </w:rPr>
        <w:t xml:space="preserve"> </w:t>
      </w:r>
      <w:r w:rsidR="00E150B7" w:rsidRPr="00FB0FD2">
        <w:rPr>
          <w:color w:val="000000"/>
          <w:szCs w:val="24"/>
        </w:rPr>
        <w:t xml:space="preserve">similarly </w:t>
      </w:r>
      <w:r w:rsidR="00E150B7" w:rsidRPr="00FB0FD2">
        <w:rPr>
          <w:color w:val="000000"/>
          <w:szCs w:val="26"/>
        </w:rPr>
        <w:t>unjustly enriched.”  (</w:t>
      </w:r>
      <w:r w:rsidR="00E150B7" w:rsidRPr="00FB0FD2">
        <w:rPr>
          <w:i/>
          <w:color w:val="000000"/>
          <w:szCs w:val="26"/>
        </w:rPr>
        <w:t>Id.</w:t>
      </w:r>
      <w:r w:rsidR="00E150B7" w:rsidRPr="00FB0FD2">
        <w:rPr>
          <w:color w:val="000000"/>
          <w:szCs w:val="26"/>
        </w:rPr>
        <w:t xml:space="preserve"> at p. 802, citation omitted.)</w:t>
      </w:r>
    </w:p>
    <w:p w14:paraId="7CA884D1" w14:textId="77777777" w:rsidR="00237999" w:rsidRPr="00FB0FD2" w:rsidRDefault="00237999" w:rsidP="00FB0FD2">
      <w:pPr>
        <w:ind w:firstLine="720"/>
        <w:rPr>
          <w:szCs w:val="26"/>
        </w:rPr>
      </w:pPr>
      <w:proofErr w:type="spellStart"/>
      <w:r w:rsidRPr="00FB0FD2">
        <w:rPr>
          <w:i/>
          <w:color w:val="000000"/>
          <w:szCs w:val="26"/>
        </w:rPr>
        <w:t>Javor</w:t>
      </w:r>
      <w:proofErr w:type="spellEnd"/>
      <w:r w:rsidRPr="00FB0FD2">
        <w:rPr>
          <w:color w:val="000000"/>
          <w:szCs w:val="26"/>
        </w:rPr>
        <w:t xml:space="preserve"> authorized a judicial remedy </w:t>
      </w:r>
      <w:r w:rsidR="001B6011" w:rsidRPr="00FB0FD2">
        <w:rPr>
          <w:color w:val="000000"/>
          <w:szCs w:val="26"/>
        </w:rPr>
        <w:t>in light o</w:t>
      </w:r>
      <w:r w:rsidR="00E63B51" w:rsidRPr="00FB0FD2">
        <w:rPr>
          <w:color w:val="000000"/>
          <w:szCs w:val="26"/>
        </w:rPr>
        <w:t>f</w:t>
      </w:r>
      <w:r w:rsidR="001B6011" w:rsidRPr="00FB0FD2">
        <w:rPr>
          <w:color w:val="000000"/>
          <w:szCs w:val="26"/>
        </w:rPr>
        <w:t xml:space="preserve"> </w:t>
      </w:r>
      <w:r w:rsidR="00786D6D" w:rsidRPr="00FB0FD2">
        <w:rPr>
          <w:color w:val="000000"/>
          <w:szCs w:val="26"/>
        </w:rPr>
        <w:t xml:space="preserve">a </w:t>
      </w:r>
      <w:r w:rsidRPr="00FB0FD2">
        <w:rPr>
          <w:color w:val="000000"/>
          <w:szCs w:val="26"/>
        </w:rPr>
        <w:t xml:space="preserve">prior determination </w:t>
      </w:r>
      <w:r w:rsidR="00786D6D" w:rsidRPr="00FB0FD2">
        <w:rPr>
          <w:color w:val="000000"/>
          <w:szCs w:val="26"/>
        </w:rPr>
        <w:t xml:space="preserve">by the Board </w:t>
      </w:r>
      <w:r w:rsidRPr="00FB0FD2">
        <w:rPr>
          <w:color w:val="000000"/>
          <w:szCs w:val="26"/>
        </w:rPr>
        <w:t xml:space="preserve">that a refund was appropriate.  </w:t>
      </w:r>
      <w:r w:rsidR="00786D6D" w:rsidRPr="00FB0FD2">
        <w:rPr>
          <w:color w:val="000000"/>
          <w:szCs w:val="26"/>
        </w:rPr>
        <w:t>As t</w:t>
      </w:r>
      <w:r w:rsidRPr="00FB0FD2">
        <w:rPr>
          <w:color w:val="000000"/>
          <w:szCs w:val="26"/>
        </w:rPr>
        <w:t>he Court of Appeal in this case correctly understood</w:t>
      </w:r>
      <w:r w:rsidR="00786D6D" w:rsidRPr="00FB0FD2">
        <w:rPr>
          <w:color w:val="000000"/>
          <w:szCs w:val="26"/>
        </w:rPr>
        <w:t>,</w:t>
      </w:r>
      <w:r w:rsidRPr="00FB0FD2">
        <w:rPr>
          <w:color w:val="000000"/>
          <w:szCs w:val="26"/>
        </w:rPr>
        <w:t xml:space="preserve"> the </w:t>
      </w:r>
      <w:r w:rsidR="00786D6D" w:rsidRPr="00FB0FD2">
        <w:rPr>
          <w:color w:val="000000"/>
          <w:szCs w:val="26"/>
        </w:rPr>
        <w:t xml:space="preserve">fact that the </w:t>
      </w:r>
      <w:r w:rsidRPr="00FB0FD2">
        <w:rPr>
          <w:color w:val="000000"/>
          <w:szCs w:val="26"/>
        </w:rPr>
        <w:t>Board ha</w:t>
      </w:r>
      <w:r w:rsidR="00786D6D" w:rsidRPr="00FB0FD2">
        <w:rPr>
          <w:color w:val="000000"/>
          <w:szCs w:val="26"/>
        </w:rPr>
        <w:t>d</w:t>
      </w:r>
      <w:r w:rsidRPr="00FB0FD2">
        <w:rPr>
          <w:color w:val="000000"/>
          <w:szCs w:val="26"/>
        </w:rPr>
        <w:t xml:space="preserve"> already determined that </w:t>
      </w:r>
      <w:r w:rsidR="00786D6D" w:rsidRPr="00FB0FD2">
        <w:rPr>
          <w:color w:val="000000"/>
          <w:szCs w:val="26"/>
        </w:rPr>
        <w:t>consumers were</w:t>
      </w:r>
      <w:r w:rsidRPr="00FB0FD2">
        <w:rPr>
          <w:color w:val="000000"/>
          <w:szCs w:val="26"/>
        </w:rPr>
        <w:t xml:space="preserve"> entitled to a refund</w:t>
      </w:r>
      <w:r w:rsidR="00786D6D" w:rsidRPr="00FB0FD2">
        <w:rPr>
          <w:color w:val="000000"/>
          <w:szCs w:val="26"/>
        </w:rPr>
        <w:t xml:space="preserve"> was </w:t>
      </w:r>
      <w:r w:rsidR="00E64AA2" w:rsidRPr="00FB0FD2">
        <w:rPr>
          <w:color w:val="000000"/>
          <w:szCs w:val="26"/>
        </w:rPr>
        <w:t xml:space="preserve">a key premise of our reasoning in </w:t>
      </w:r>
      <w:proofErr w:type="spellStart"/>
      <w:r w:rsidR="00E64AA2" w:rsidRPr="00FB0FD2">
        <w:rPr>
          <w:i/>
          <w:color w:val="000000"/>
          <w:szCs w:val="26"/>
        </w:rPr>
        <w:t>Javor</w:t>
      </w:r>
      <w:proofErr w:type="spellEnd"/>
      <w:r w:rsidRPr="00FB0FD2">
        <w:rPr>
          <w:color w:val="000000"/>
          <w:szCs w:val="26"/>
        </w:rPr>
        <w:t>.  (</w:t>
      </w:r>
      <w:r w:rsidRPr="00FB0FD2">
        <w:rPr>
          <w:i/>
          <w:color w:val="000000"/>
          <w:szCs w:val="26"/>
        </w:rPr>
        <w:t>McClain</w:t>
      </w:r>
      <w:r w:rsidRPr="00FB0FD2">
        <w:rPr>
          <w:color w:val="000000"/>
          <w:szCs w:val="26"/>
        </w:rPr>
        <w:t xml:space="preserve">, </w:t>
      </w:r>
      <w:r w:rsidRPr="00FB0FD2">
        <w:rPr>
          <w:i/>
          <w:color w:val="000000"/>
          <w:szCs w:val="26"/>
        </w:rPr>
        <w:t>supra</w:t>
      </w:r>
      <w:r w:rsidRPr="00FB0FD2">
        <w:rPr>
          <w:color w:val="000000"/>
          <w:szCs w:val="26"/>
        </w:rPr>
        <w:t>, 9 Cal.App.5th at p. 700</w:t>
      </w:r>
      <w:r w:rsidR="00E64AA2" w:rsidRPr="00FB0FD2">
        <w:rPr>
          <w:color w:val="000000"/>
          <w:szCs w:val="26"/>
        </w:rPr>
        <w:t xml:space="preserve">; see </w:t>
      </w:r>
      <w:proofErr w:type="spellStart"/>
      <w:r w:rsidR="00E64AA2" w:rsidRPr="00FB0FD2">
        <w:rPr>
          <w:i/>
          <w:color w:val="000000"/>
          <w:szCs w:val="26"/>
        </w:rPr>
        <w:t>Javor</w:t>
      </w:r>
      <w:proofErr w:type="spellEnd"/>
      <w:r w:rsidR="00E64AA2" w:rsidRPr="00FB0FD2">
        <w:rPr>
          <w:color w:val="000000"/>
          <w:szCs w:val="26"/>
        </w:rPr>
        <w:t xml:space="preserve">, </w:t>
      </w:r>
      <w:r w:rsidR="00E64AA2" w:rsidRPr="00FB0FD2">
        <w:rPr>
          <w:i/>
          <w:color w:val="000000"/>
          <w:szCs w:val="26"/>
        </w:rPr>
        <w:t>supra</w:t>
      </w:r>
      <w:r w:rsidR="00E64AA2" w:rsidRPr="00FB0FD2">
        <w:rPr>
          <w:color w:val="000000"/>
          <w:szCs w:val="26"/>
        </w:rPr>
        <w:t>, 12 Cal.3d at p. 794</w:t>
      </w:r>
      <w:r w:rsidRPr="00FB0FD2">
        <w:rPr>
          <w:color w:val="000000"/>
          <w:szCs w:val="26"/>
        </w:rPr>
        <w:t>.)</w:t>
      </w:r>
      <w:r w:rsidR="00E64AA2" w:rsidRPr="00FB0FD2">
        <w:rPr>
          <w:color w:val="000000"/>
          <w:szCs w:val="26"/>
        </w:rPr>
        <w:t xml:space="preserve">  The remedy we authorized in </w:t>
      </w:r>
      <w:proofErr w:type="spellStart"/>
      <w:r w:rsidR="00E64AA2" w:rsidRPr="00FB0FD2">
        <w:rPr>
          <w:i/>
          <w:color w:val="000000"/>
          <w:szCs w:val="26"/>
        </w:rPr>
        <w:t>Javor</w:t>
      </w:r>
      <w:proofErr w:type="spellEnd"/>
      <w:r w:rsidR="00E64AA2" w:rsidRPr="00FB0FD2">
        <w:rPr>
          <w:color w:val="000000"/>
          <w:szCs w:val="26"/>
        </w:rPr>
        <w:t xml:space="preserve"> was </w:t>
      </w:r>
      <w:r w:rsidR="00E64AA2" w:rsidRPr="00FB0FD2">
        <w:rPr>
          <w:color w:val="000000"/>
          <w:szCs w:val="26"/>
        </w:rPr>
        <w:lastRenderedPageBreak/>
        <w:t xml:space="preserve">designed to facilitate </w:t>
      </w:r>
      <w:r w:rsidR="00503F13" w:rsidRPr="00FB0FD2">
        <w:rPr>
          <w:color w:val="000000"/>
          <w:szCs w:val="26"/>
        </w:rPr>
        <w:t xml:space="preserve">a refund to consumers of excessive sales tax reimbursement that all parties acknowledged was “erroneously </w:t>
      </w:r>
      <w:r w:rsidR="005F450D">
        <w:rPr>
          <w:color w:val="000000"/>
          <w:szCs w:val="26"/>
        </w:rPr>
        <w:t>collected</w:t>
      </w:r>
      <w:r w:rsidR="00503F13" w:rsidRPr="00FB0FD2">
        <w:rPr>
          <w:color w:val="000000"/>
          <w:szCs w:val="26"/>
        </w:rPr>
        <w:t>” (</w:t>
      </w:r>
      <w:proofErr w:type="spellStart"/>
      <w:r w:rsidR="00503F13" w:rsidRPr="00FB0FD2">
        <w:rPr>
          <w:i/>
          <w:color w:val="000000"/>
          <w:szCs w:val="26"/>
        </w:rPr>
        <w:t>Javor</w:t>
      </w:r>
      <w:proofErr w:type="spellEnd"/>
      <w:r w:rsidR="00503F13" w:rsidRPr="00FB0FD2">
        <w:rPr>
          <w:color w:val="000000"/>
          <w:szCs w:val="26"/>
        </w:rPr>
        <w:t>, at p. 795); it was</w:t>
      </w:r>
      <w:r w:rsidR="00E64AA2" w:rsidRPr="00FB0FD2">
        <w:rPr>
          <w:color w:val="000000"/>
          <w:szCs w:val="26"/>
        </w:rPr>
        <w:t xml:space="preserve"> not </w:t>
      </w:r>
      <w:r w:rsidR="00503F13" w:rsidRPr="00FB0FD2">
        <w:rPr>
          <w:color w:val="000000"/>
          <w:szCs w:val="26"/>
        </w:rPr>
        <w:t xml:space="preserve">designed </w:t>
      </w:r>
      <w:r w:rsidR="00E64AA2" w:rsidRPr="00FB0FD2">
        <w:rPr>
          <w:color w:val="000000"/>
          <w:szCs w:val="26"/>
        </w:rPr>
        <w:t xml:space="preserve">to </w:t>
      </w:r>
      <w:r w:rsidR="00503F13" w:rsidRPr="00FB0FD2">
        <w:rPr>
          <w:color w:val="000000"/>
          <w:szCs w:val="26"/>
        </w:rPr>
        <w:t xml:space="preserve">facilitate resolution of </w:t>
      </w:r>
      <w:r w:rsidR="00503F13" w:rsidRPr="00FB0FD2">
        <w:rPr>
          <w:i/>
          <w:color w:val="000000"/>
          <w:szCs w:val="26"/>
        </w:rPr>
        <w:t>whether</w:t>
      </w:r>
      <w:r w:rsidR="00503F13" w:rsidRPr="00FB0FD2">
        <w:rPr>
          <w:color w:val="000000"/>
          <w:szCs w:val="26"/>
        </w:rPr>
        <w:t xml:space="preserve"> sales tax reimbursement charged on a particular item was erroneously paid.</w:t>
      </w:r>
      <w:r w:rsidRPr="00FB0FD2">
        <w:rPr>
          <w:color w:val="000000"/>
          <w:szCs w:val="26"/>
        </w:rPr>
        <w:t xml:space="preserve">  </w:t>
      </w:r>
      <w:r w:rsidR="00503F13" w:rsidRPr="00FB0FD2">
        <w:rPr>
          <w:color w:val="000000"/>
          <w:szCs w:val="26"/>
        </w:rPr>
        <w:t>Although</w:t>
      </w:r>
      <w:r w:rsidR="0020684C" w:rsidRPr="00FB0FD2">
        <w:rPr>
          <w:color w:val="000000"/>
          <w:szCs w:val="26"/>
        </w:rPr>
        <w:t xml:space="preserve"> additional factors may be relevant in determining the availability of a </w:t>
      </w:r>
      <w:proofErr w:type="spellStart"/>
      <w:r w:rsidR="0020684C" w:rsidRPr="00FB0FD2">
        <w:rPr>
          <w:i/>
          <w:color w:val="000000"/>
          <w:szCs w:val="26"/>
        </w:rPr>
        <w:t>Javor</w:t>
      </w:r>
      <w:proofErr w:type="spellEnd"/>
      <w:r w:rsidR="0020684C" w:rsidRPr="00FB0FD2">
        <w:rPr>
          <w:color w:val="000000"/>
          <w:szCs w:val="26"/>
        </w:rPr>
        <w:t xml:space="preserve"> remedy, we </w:t>
      </w:r>
      <w:r w:rsidR="001B6011" w:rsidRPr="00FB0FD2">
        <w:rPr>
          <w:color w:val="000000"/>
          <w:szCs w:val="26"/>
        </w:rPr>
        <w:t>hold</w:t>
      </w:r>
      <w:r w:rsidRPr="00FB0FD2">
        <w:rPr>
          <w:color w:val="000000"/>
          <w:szCs w:val="26"/>
        </w:rPr>
        <w:t xml:space="preserve"> that</w:t>
      </w:r>
      <w:r w:rsidR="00E63B51" w:rsidRPr="00FB0FD2">
        <w:rPr>
          <w:color w:val="000000"/>
          <w:szCs w:val="26"/>
        </w:rPr>
        <w:t xml:space="preserve"> in order to </w:t>
      </w:r>
      <w:r w:rsidR="00503F13" w:rsidRPr="00FB0FD2">
        <w:rPr>
          <w:color w:val="000000"/>
          <w:szCs w:val="26"/>
        </w:rPr>
        <w:t xml:space="preserve">be eligible for </w:t>
      </w:r>
      <w:r w:rsidR="00E63B51" w:rsidRPr="00FB0FD2">
        <w:rPr>
          <w:color w:val="000000"/>
          <w:szCs w:val="26"/>
        </w:rPr>
        <w:t>a</w:t>
      </w:r>
      <w:r w:rsidRPr="00FB0FD2">
        <w:rPr>
          <w:color w:val="000000"/>
          <w:szCs w:val="26"/>
        </w:rPr>
        <w:t xml:space="preserve"> </w:t>
      </w:r>
      <w:proofErr w:type="spellStart"/>
      <w:r w:rsidRPr="00FB0FD2">
        <w:rPr>
          <w:i/>
          <w:color w:val="000000"/>
          <w:szCs w:val="26"/>
        </w:rPr>
        <w:t>Javor</w:t>
      </w:r>
      <w:proofErr w:type="spellEnd"/>
      <w:r w:rsidRPr="00FB0FD2">
        <w:rPr>
          <w:color w:val="000000"/>
          <w:szCs w:val="26"/>
        </w:rPr>
        <w:t xml:space="preserve"> </w:t>
      </w:r>
      <w:r w:rsidR="00503F13" w:rsidRPr="00FB0FD2">
        <w:rPr>
          <w:color w:val="000000"/>
          <w:szCs w:val="26"/>
        </w:rPr>
        <w:t xml:space="preserve">remedy, </w:t>
      </w:r>
      <w:r w:rsidRPr="00FB0FD2">
        <w:rPr>
          <w:color w:val="000000"/>
          <w:szCs w:val="26"/>
        </w:rPr>
        <w:t xml:space="preserve">plaintiffs </w:t>
      </w:r>
      <w:r w:rsidR="00BA3B7F" w:rsidRPr="00FB0FD2">
        <w:rPr>
          <w:color w:val="000000"/>
          <w:szCs w:val="26"/>
        </w:rPr>
        <w:t>must show</w:t>
      </w:r>
      <w:r w:rsidR="00503F13" w:rsidRPr="00FB0FD2">
        <w:rPr>
          <w:color w:val="000000"/>
          <w:szCs w:val="26"/>
        </w:rPr>
        <w:t>, as a threshold requirement,</w:t>
      </w:r>
      <w:r w:rsidR="00BA3B7F" w:rsidRPr="00FB0FD2">
        <w:rPr>
          <w:color w:val="000000"/>
          <w:szCs w:val="26"/>
        </w:rPr>
        <w:t xml:space="preserve"> that a prior legal determination has established their entitlement to a refund.</w:t>
      </w:r>
    </w:p>
    <w:p w14:paraId="67FC33B2" w14:textId="77777777" w:rsidR="00610871" w:rsidRPr="00FB0FD2" w:rsidRDefault="00BA3B7F" w:rsidP="00FB0FD2">
      <w:pPr>
        <w:ind w:firstLine="720"/>
      </w:pPr>
      <w:r w:rsidRPr="00FB0FD2">
        <w:rPr>
          <w:szCs w:val="26"/>
        </w:rPr>
        <w:t xml:space="preserve">This requirement </w:t>
      </w:r>
      <w:r w:rsidR="003A63E2">
        <w:rPr>
          <w:szCs w:val="26"/>
        </w:rPr>
        <w:t>means</w:t>
      </w:r>
      <w:r w:rsidR="0073388F" w:rsidRPr="00FB0FD2">
        <w:rPr>
          <w:szCs w:val="26"/>
        </w:rPr>
        <w:t xml:space="preserve"> that a judicially created remedy is available only when the issue of taxability has already been resolved.</w:t>
      </w:r>
      <w:r w:rsidR="007C7550" w:rsidRPr="00FB0FD2">
        <w:rPr>
          <w:szCs w:val="26"/>
        </w:rPr>
        <w:t xml:space="preserve">  In </w:t>
      </w:r>
      <w:proofErr w:type="spellStart"/>
      <w:r w:rsidR="007C7550" w:rsidRPr="00FB0FD2">
        <w:rPr>
          <w:i/>
          <w:szCs w:val="26"/>
        </w:rPr>
        <w:t>Javor</w:t>
      </w:r>
      <w:proofErr w:type="spellEnd"/>
      <w:r w:rsidR="007C7550" w:rsidRPr="00FB0FD2">
        <w:rPr>
          <w:szCs w:val="26"/>
        </w:rPr>
        <w:t>, “[t]</w:t>
      </w:r>
      <w:r w:rsidR="0073388F" w:rsidRPr="00FB0FD2">
        <w:rPr>
          <w:szCs w:val="26"/>
        </w:rPr>
        <w:t xml:space="preserve">he Board </w:t>
      </w:r>
      <w:r w:rsidR="007C7550" w:rsidRPr="00FB0FD2">
        <w:rPr>
          <w:szCs w:val="26"/>
        </w:rPr>
        <w:t>ha[d]</w:t>
      </w:r>
      <w:r w:rsidR="0073388F" w:rsidRPr="00FB0FD2">
        <w:rPr>
          <w:szCs w:val="26"/>
        </w:rPr>
        <w:t xml:space="preserve"> admitted that it must pay these refunds to retailers.”  (</w:t>
      </w:r>
      <w:proofErr w:type="spellStart"/>
      <w:r w:rsidR="0073388F" w:rsidRPr="00FB0FD2">
        <w:rPr>
          <w:i/>
          <w:szCs w:val="26"/>
        </w:rPr>
        <w:t>Javor</w:t>
      </w:r>
      <w:proofErr w:type="spellEnd"/>
      <w:r w:rsidR="0073388F" w:rsidRPr="00FB0FD2">
        <w:rPr>
          <w:szCs w:val="26"/>
        </w:rPr>
        <w:t xml:space="preserve">, </w:t>
      </w:r>
      <w:r w:rsidR="0073388F" w:rsidRPr="00FB0FD2">
        <w:rPr>
          <w:i/>
          <w:szCs w:val="26"/>
        </w:rPr>
        <w:t>supra</w:t>
      </w:r>
      <w:r w:rsidR="0073388F" w:rsidRPr="00FB0FD2">
        <w:rPr>
          <w:szCs w:val="26"/>
        </w:rPr>
        <w:t>, 12 Cal.3d at p. 802.)</w:t>
      </w:r>
      <w:r w:rsidR="007C7550" w:rsidRPr="00FB0FD2">
        <w:rPr>
          <w:szCs w:val="26"/>
        </w:rPr>
        <w:t xml:space="preserve">  The customers were “unequivocally entitled” to </w:t>
      </w:r>
      <w:r w:rsidR="003F66C5" w:rsidRPr="00FB0FD2">
        <w:rPr>
          <w:szCs w:val="26"/>
        </w:rPr>
        <w:t xml:space="preserve">the </w:t>
      </w:r>
      <w:r w:rsidR="007C7550" w:rsidRPr="00FB0FD2">
        <w:rPr>
          <w:szCs w:val="26"/>
        </w:rPr>
        <w:t>refunds</w:t>
      </w:r>
      <w:r w:rsidR="003F66C5" w:rsidRPr="00FB0FD2">
        <w:rPr>
          <w:szCs w:val="26"/>
        </w:rPr>
        <w:t xml:space="preserve">; without a remedy, </w:t>
      </w:r>
      <w:r w:rsidR="007C7550" w:rsidRPr="00FB0FD2">
        <w:rPr>
          <w:szCs w:val="26"/>
        </w:rPr>
        <w:t>the state would have been unjustly enriched</w:t>
      </w:r>
      <w:r w:rsidR="00CE6A85" w:rsidRPr="00FB0FD2">
        <w:rPr>
          <w:szCs w:val="26"/>
        </w:rPr>
        <w:t>.  (</w:t>
      </w:r>
      <w:r w:rsidR="007C7550" w:rsidRPr="00FB0FD2">
        <w:rPr>
          <w:i/>
          <w:szCs w:val="26"/>
        </w:rPr>
        <w:t>McClain</w:t>
      </w:r>
      <w:r w:rsidR="007C7550" w:rsidRPr="00FB0FD2">
        <w:rPr>
          <w:szCs w:val="26"/>
        </w:rPr>
        <w:t xml:space="preserve">, </w:t>
      </w:r>
      <w:r w:rsidR="007C7550" w:rsidRPr="00FB0FD2">
        <w:rPr>
          <w:i/>
          <w:szCs w:val="26"/>
        </w:rPr>
        <w:t>supra</w:t>
      </w:r>
      <w:r w:rsidR="00CE6A85" w:rsidRPr="00FB0FD2">
        <w:rPr>
          <w:szCs w:val="26"/>
        </w:rPr>
        <w:t>, 9 Cal.App.5th at p. 698.)</w:t>
      </w:r>
      <w:r w:rsidR="007C7550" w:rsidRPr="00FB0FD2">
        <w:rPr>
          <w:szCs w:val="26"/>
        </w:rPr>
        <w:t xml:space="preserve">  “</w:t>
      </w:r>
      <w:r w:rsidR="003F66C5" w:rsidRPr="00FB0FD2">
        <w:rPr>
          <w:szCs w:val="26"/>
        </w:rPr>
        <w:t>[I]</w:t>
      </w:r>
      <w:r w:rsidR="007C7550" w:rsidRPr="00FB0FD2">
        <w:rPr>
          <w:szCs w:val="26"/>
        </w:rPr>
        <w:t xml:space="preserve">t was the </w:t>
      </w:r>
      <w:r w:rsidR="007C7550" w:rsidRPr="00FB0FD2">
        <w:rPr>
          <w:i/>
          <w:szCs w:val="26"/>
        </w:rPr>
        <w:t>certainty</w:t>
      </w:r>
      <w:r w:rsidR="007C7550" w:rsidRPr="00FB0FD2">
        <w:rPr>
          <w:szCs w:val="26"/>
        </w:rPr>
        <w:t xml:space="preserve"> of this unjust enrichment that offended the Board’s ‘vital interest in the integrity of the sales tax’ and warranted judicial intervention.”  (</w:t>
      </w:r>
      <w:r w:rsidR="007C7550" w:rsidRPr="00FB0FD2">
        <w:rPr>
          <w:i/>
          <w:szCs w:val="26"/>
        </w:rPr>
        <w:t>Ibid.</w:t>
      </w:r>
      <w:r w:rsidR="007C7550" w:rsidRPr="00FB0FD2">
        <w:rPr>
          <w:szCs w:val="26"/>
        </w:rPr>
        <w:t>)</w:t>
      </w:r>
      <w:r w:rsidR="003F66C5" w:rsidRPr="00FB0FD2">
        <w:rPr>
          <w:szCs w:val="26"/>
        </w:rPr>
        <w:t xml:space="preserve">  </w:t>
      </w:r>
      <w:r w:rsidR="003F66C5" w:rsidRPr="00943C96">
        <w:t xml:space="preserve">Further, </w:t>
      </w:r>
      <w:r w:rsidR="00943C96" w:rsidRPr="00943C96">
        <w:t xml:space="preserve">our characterization of this prerequisite as a threshold requirement underscores that even when it has been satisfied, additional legal and equitable hurdles still may lie between a consumer and a </w:t>
      </w:r>
      <w:proofErr w:type="spellStart"/>
      <w:r w:rsidR="00943C96" w:rsidRPr="00943C96">
        <w:rPr>
          <w:i/>
          <w:iCs/>
        </w:rPr>
        <w:t>Javor</w:t>
      </w:r>
      <w:proofErr w:type="spellEnd"/>
      <w:r w:rsidR="00943C96" w:rsidRPr="00943C96">
        <w:t xml:space="preserve"> remedy.  It bears repeating that a </w:t>
      </w:r>
      <w:proofErr w:type="spellStart"/>
      <w:r w:rsidR="00943C96" w:rsidRPr="00943C96">
        <w:rPr>
          <w:i/>
          <w:iCs/>
        </w:rPr>
        <w:t>Javor</w:t>
      </w:r>
      <w:proofErr w:type="spellEnd"/>
      <w:r w:rsidR="00943C96" w:rsidRPr="00943C96">
        <w:t xml:space="preserve"> remedy is available “in limited circumstances” (</w:t>
      </w:r>
      <w:r w:rsidR="00943C96" w:rsidRPr="00943C96">
        <w:rPr>
          <w:i/>
          <w:iCs/>
        </w:rPr>
        <w:t>Loeffler</w:t>
      </w:r>
      <w:r w:rsidR="00943C96" w:rsidRPr="00943C96">
        <w:t xml:space="preserve">, </w:t>
      </w:r>
      <w:r w:rsidR="00943C96" w:rsidRPr="00943C96">
        <w:rPr>
          <w:i/>
          <w:iCs/>
        </w:rPr>
        <w:t>supra</w:t>
      </w:r>
      <w:r w:rsidR="00943C96" w:rsidRPr="00943C96">
        <w:t xml:space="preserve">, 58 Cal.4th at p. 1122) — in other words, only rarely.  (Cf. </w:t>
      </w:r>
      <w:proofErr w:type="spellStart"/>
      <w:r w:rsidR="00943C96" w:rsidRPr="00943C96">
        <w:rPr>
          <w:i/>
          <w:iCs/>
        </w:rPr>
        <w:t>Javor</w:t>
      </w:r>
      <w:proofErr w:type="spellEnd"/>
      <w:r w:rsidR="00943C96" w:rsidRPr="00943C96">
        <w:t xml:space="preserve">, at p. 802 [noting “the unique circumstances” before the court that justified crafting a judicial remedy].)  This said, </w:t>
      </w:r>
      <w:r w:rsidR="00503F13" w:rsidRPr="00FB0FD2">
        <w:t>eligibility to pursue</w:t>
      </w:r>
      <w:r w:rsidR="00610871" w:rsidRPr="00FB0FD2">
        <w:t xml:space="preserve"> a judicially created remedy as a matter of law </w:t>
      </w:r>
      <w:r w:rsidR="003F66C5" w:rsidRPr="00FB0FD2">
        <w:t xml:space="preserve">does not depend on a finding </w:t>
      </w:r>
      <w:r w:rsidR="002949F0" w:rsidRPr="00FB0FD2">
        <w:t xml:space="preserve">at the outset </w:t>
      </w:r>
      <w:r w:rsidR="003F66C5" w:rsidRPr="00FB0FD2">
        <w:t xml:space="preserve">that the </w:t>
      </w:r>
      <w:r w:rsidR="00503F13" w:rsidRPr="00FB0FD2">
        <w:t xml:space="preserve">particular </w:t>
      </w:r>
      <w:r w:rsidR="002949F0" w:rsidRPr="00FB0FD2">
        <w:t>person</w:t>
      </w:r>
      <w:r w:rsidR="00610871" w:rsidRPr="00FB0FD2">
        <w:t xml:space="preserve"> </w:t>
      </w:r>
      <w:r w:rsidR="003F66C5" w:rsidRPr="00FB0FD2">
        <w:t xml:space="preserve">seeking the remedy is entitled to </w:t>
      </w:r>
      <w:r w:rsidR="00C72CE9" w:rsidRPr="00FB0FD2">
        <w:t xml:space="preserve">a refund.  Whether any particular individual is </w:t>
      </w:r>
      <w:r w:rsidR="00C72CE9" w:rsidRPr="00FB0FD2">
        <w:lastRenderedPageBreak/>
        <w:t>entitled to a refund will require a</w:t>
      </w:r>
      <w:r w:rsidR="002949F0" w:rsidRPr="00FB0FD2">
        <w:t>n evidentiary</w:t>
      </w:r>
      <w:r w:rsidR="00C72CE9" w:rsidRPr="00FB0FD2">
        <w:t xml:space="preserve"> determination specific to that individual.  (Cf. </w:t>
      </w:r>
      <w:proofErr w:type="spellStart"/>
      <w:r w:rsidR="00C72CE9" w:rsidRPr="00FB0FD2">
        <w:rPr>
          <w:i/>
        </w:rPr>
        <w:t>Javor</w:t>
      </w:r>
      <w:proofErr w:type="spellEnd"/>
      <w:r w:rsidR="00C72CE9" w:rsidRPr="00FB0FD2">
        <w:t xml:space="preserve">, </w:t>
      </w:r>
      <w:r w:rsidR="00C72CE9" w:rsidRPr="00FB0FD2">
        <w:rPr>
          <w:i/>
        </w:rPr>
        <w:t>supra</w:t>
      </w:r>
      <w:r w:rsidR="00C72CE9" w:rsidRPr="00FB0FD2">
        <w:t>, 12 Cal.3d at p. 802 [recognizing the possibility that some retailers may have “already claimed and received a refund from the Board</w:t>
      </w:r>
      <w:r w:rsidR="00610871" w:rsidRPr="00FB0FD2">
        <w:t>”</w:t>
      </w:r>
      <w:r w:rsidR="00C72CE9" w:rsidRPr="00FB0FD2">
        <w:t>]</w:t>
      </w:r>
      <w:r w:rsidR="00610871" w:rsidRPr="00FB0FD2">
        <w:t xml:space="preserve">; </w:t>
      </w:r>
      <w:r w:rsidR="00610871" w:rsidRPr="00FB0FD2">
        <w:rPr>
          <w:i/>
        </w:rPr>
        <w:t>id.</w:t>
      </w:r>
      <w:r w:rsidR="00610871" w:rsidRPr="00FB0FD2">
        <w:t xml:space="preserve"> at p. 794 [sales tax “will be refunded to the retailer, provided he also repays to the </w:t>
      </w:r>
      <w:r w:rsidR="005F450D">
        <w:t>consumer</w:t>
      </w:r>
      <w:r w:rsidR="005F450D" w:rsidRPr="00FB0FD2">
        <w:t xml:space="preserve"> </w:t>
      </w:r>
      <w:r w:rsidR="00610871" w:rsidRPr="00FB0FD2">
        <w:t>the amount collected from him as sales tax reimbursement”].</w:t>
      </w:r>
      <w:r w:rsidR="00C72CE9" w:rsidRPr="00FB0FD2">
        <w:t>)</w:t>
      </w:r>
    </w:p>
    <w:p w14:paraId="5158118C" w14:textId="77777777" w:rsidR="00B01F1D" w:rsidRPr="00FB0FD2" w:rsidRDefault="00055E87" w:rsidP="00FB0FD2">
      <w:pPr>
        <w:ind w:firstLine="720"/>
      </w:pPr>
      <w:r w:rsidRPr="00FB0FD2">
        <w:t xml:space="preserve">Plaintiffs do not dispute that </w:t>
      </w:r>
      <w:r w:rsidR="00B73CDB" w:rsidRPr="00FB0FD2">
        <w:t>no prior legal determination ha</w:t>
      </w:r>
      <w:r w:rsidR="00503F13" w:rsidRPr="00FB0FD2">
        <w:t>s</w:t>
      </w:r>
      <w:r w:rsidR="00B73CDB" w:rsidRPr="00FB0FD2">
        <w:t xml:space="preserve"> been made as to whether sales tax was owed on the goods at issue</w:t>
      </w:r>
      <w:r w:rsidR="0020684C" w:rsidRPr="00FB0FD2">
        <w:t xml:space="preserve"> here</w:t>
      </w:r>
      <w:r w:rsidRPr="00FB0FD2">
        <w:t xml:space="preserve">.  Instead, they </w:t>
      </w:r>
      <w:r w:rsidR="00382AAB" w:rsidRPr="00FB0FD2">
        <w:rPr>
          <w:szCs w:val="26"/>
        </w:rPr>
        <w:t>contend that</w:t>
      </w:r>
      <w:r w:rsidR="00D42C9E" w:rsidRPr="00FB0FD2">
        <w:rPr>
          <w:szCs w:val="26"/>
        </w:rPr>
        <w:t xml:space="preserve"> </w:t>
      </w:r>
      <w:proofErr w:type="spellStart"/>
      <w:r w:rsidR="004F1959" w:rsidRPr="00FB0FD2">
        <w:rPr>
          <w:i/>
          <w:szCs w:val="26"/>
        </w:rPr>
        <w:t>Javor</w:t>
      </w:r>
      <w:proofErr w:type="spellEnd"/>
      <w:r w:rsidR="004F1959" w:rsidRPr="00FB0FD2">
        <w:rPr>
          <w:szCs w:val="26"/>
        </w:rPr>
        <w:t xml:space="preserve"> should not be read to require </w:t>
      </w:r>
      <w:r w:rsidR="00B73CDB" w:rsidRPr="00FB0FD2">
        <w:rPr>
          <w:szCs w:val="26"/>
        </w:rPr>
        <w:t>such a prior determination</w:t>
      </w:r>
      <w:r w:rsidR="00D42C9E" w:rsidRPr="00FB0FD2">
        <w:rPr>
          <w:szCs w:val="26"/>
        </w:rPr>
        <w:t xml:space="preserve"> </w:t>
      </w:r>
      <w:r w:rsidR="00B73CDB" w:rsidRPr="00FB0FD2">
        <w:rPr>
          <w:szCs w:val="26"/>
        </w:rPr>
        <w:t xml:space="preserve">because </w:t>
      </w:r>
      <w:proofErr w:type="spellStart"/>
      <w:r w:rsidR="004F1959" w:rsidRPr="00FB0FD2">
        <w:rPr>
          <w:i/>
          <w:szCs w:val="26"/>
        </w:rPr>
        <w:t>Javor</w:t>
      </w:r>
      <w:proofErr w:type="spellEnd"/>
      <w:r w:rsidR="001B6011" w:rsidRPr="00FB0FD2">
        <w:rPr>
          <w:szCs w:val="26"/>
        </w:rPr>
        <w:t xml:space="preserve"> authorized</w:t>
      </w:r>
      <w:r w:rsidR="00D42C9E" w:rsidRPr="00FB0FD2">
        <w:rPr>
          <w:szCs w:val="26"/>
        </w:rPr>
        <w:t xml:space="preserve"> a remedy where </w:t>
      </w:r>
      <w:r w:rsidR="00C20A89" w:rsidRPr="00FB0FD2">
        <w:rPr>
          <w:szCs w:val="26"/>
        </w:rPr>
        <w:t xml:space="preserve">it </w:t>
      </w:r>
      <w:r w:rsidR="00E12E9C" w:rsidRPr="00FB0FD2">
        <w:rPr>
          <w:szCs w:val="26"/>
        </w:rPr>
        <w:t xml:space="preserve">was </w:t>
      </w:r>
      <w:r w:rsidR="00C20A89" w:rsidRPr="00FB0FD2">
        <w:rPr>
          <w:szCs w:val="26"/>
        </w:rPr>
        <w:t xml:space="preserve">not certain but only “very likely” that </w:t>
      </w:r>
      <w:r w:rsidR="00D42C9E" w:rsidRPr="00FB0FD2">
        <w:rPr>
          <w:szCs w:val="26"/>
        </w:rPr>
        <w:t xml:space="preserve">the Board </w:t>
      </w:r>
      <w:r w:rsidR="00C20A89" w:rsidRPr="00FB0FD2">
        <w:rPr>
          <w:szCs w:val="26"/>
        </w:rPr>
        <w:t xml:space="preserve">would </w:t>
      </w:r>
      <w:r w:rsidR="00D42C9E" w:rsidRPr="00FB0FD2">
        <w:rPr>
          <w:szCs w:val="26"/>
        </w:rPr>
        <w:t>“become enriched at the expense of the customer.”  (</w:t>
      </w:r>
      <w:proofErr w:type="spellStart"/>
      <w:r w:rsidR="00D42C9E" w:rsidRPr="00FB0FD2">
        <w:rPr>
          <w:i/>
          <w:szCs w:val="26"/>
        </w:rPr>
        <w:t>Javor</w:t>
      </w:r>
      <w:proofErr w:type="spellEnd"/>
      <w:r w:rsidR="00D42C9E" w:rsidRPr="00FB0FD2">
        <w:rPr>
          <w:szCs w:val="26"/>
        </w:rPr>
        <w:t xml:space="preserve">, </w:t>
      </w:r>
      <w:r w:rsidR="00D42C9E" w:rsidRPr="00FB0FD2">
        <w:rPr>
          <w:i/>
          <w:szCs w:val="26"/>
        </w:rPr>
        <w:t>supra</w:t>
      </w:r>
      <w:r w:rsidR="00D42C9E" w:rsidRPr="00FB0FD2">
        <w:rPr>
          <w:szCs w:val="26"/>
        </w:rPr>
        <w:t xml:space="preserve">, 12 Cal.3d at p. 802.)  </w:t>
      </w:r>
      <w:r w:rsidR="00767DA5" w:rsidRPr="00FB0FD2">
        <w:rPr>
          <w:szCs w:val="26"/>
        </w:rPr>
        <w:t xml:space="preserve">But </w:t>
      </w:r>
      <w:proofErr w:type="spellStart"/>
      <w:r w:rsidR="00767DA5" w:rsidRPr="00FB0FD2">
        <w:rPr>
          <w:i/>
          <w:szCs w:val="26"/>
        </w:rPr>
        <w:t>Javor</w:t>
      </w:r>
      <w:r w:rsidR="00767DA5" w:rsidRPr="00FB0FD2">
        <w:rPr>
          <w:szCs w:val="26"/>
        </w:rPr>
        <w:t>’s</w:t>
      </w:r>
      <w:proofErr w:type="spellEnd"/>
      <w:r w:rsidR="00767DA5" w:rsidRPr="00FB0FD2">
        <w:rPr>
          <w:szCs w:val="26"/>
        </w:rPr>
        <w:t xml:space="preserve"> use of the term “very likely” in no way suggested that the underlying issue of taxability was an open question.  We repeatedly observed that the Board had already determined that a refund was due.  (</w:t>
      </w:r>
      <w:proofErr w:type="spellStart"/>
      <w:r w:rsidR="00AA5FCE" w:rsidRPr="00FB0FD2">
        <w:rPr>
          <w:i/>
          <w:szCs w:val="26"/>
        </w:rPr>
        <w:t>Javor</w:t>
      </w:r>
      <w:proofErr w:type="spellEnd"/>
      <w:r w:rsidR="00AA5FCE" w:rsidRPr="00FB0FD2">
        <w:rPr>
          <w:szCs w:val="26"/>
        </w:rPr>
        <w:t>, at</w:t>
      </w:r>
      <w:r w:rsidR="00767DA5" w:rsidRPr="00FB0FD2">
        <w:rPr>
          <w:szCs w:val="26"/>
        </w:rPr>
        <w:t xml:space="preserve"> pp. 794, 802.)  “</w:t>
      </w:r>
      <w:r w:rsidR="00B01F1D" w:rsidRPr="00FB0FD2">
        <w:rPr>
          <w:szCs w:val="26"/>
        </w:rPr>
        <w:t xml:space="preserve">All that plaintiffs </w:t>
      </w:r>
      <w:r w:rsidR="00E12E9C" w:rsidRPr="00FB0FD2">
        <w:rPr>
          <w:szCs w:val="26"/>
        </w:rPr>
        <w:t xml:space="preserve">[sought in </w:t>
      </w:r>
      <w:proofErr w:type="spellStart"/>
      <w:r w:rsidR="00E12E9C" w:rsidRPr="00FB0FD2">
        <w:rPr>
          <w:i/>
          <w:szCs w:val="26"/>
        </w:rPr>
        <w:t>Javor</w:t>
      </w:r>
      <w:proofErr w:type="spellEnd"/>
      <w:r w:rsidR="00E12E9C" w:rsidRPr="00FB0FD2">
        <w:rPr>
          <w:szCs w:val="26"/>
        </w:rPr>
        <w:t xml:space="preserve"> was]</w:t>
      </w:r>
      <w:r w:rsidR="00B01F1D" w:rsidRPr="00FB0FD2">
        <w:rPr>
          <w:szCs w:val="26"/>
        </w:rPr>
        <w:t xml:space="preserve"> to compel defendant retailers to make</w:t>
      </w:r>
      <w:r w:rsidR="00767DA5" w:rsidRPr="00FB0FD2">
        <w:rPr>
          <w:szCs w:val="26"/>
        </w:rPr>
        <w:t xml:space="preserve"> </w:t>
      </w:r>
      <w:r w:rsidR="00B01F1D" w:rsidRPr="00FB0FD2">
        <w:rPr>
          <w:szCs w:val="26"/>
        </w:rPr>
        <w:t>refund applications to the Board and in turn to require</w:t>
      </w:r>
      <w:r w:rsidR="00767DA5" w:rsidRPr="00FB0FD2">
        <w:rPr>
          <w:szCs w:val="26"/>
        </w:rPr>
        <w:t xml:space="preserve"> </w:t>
      </w:r>
      <w:r w:rsidR="00B01F1D" w:rsidRPr="00FB0FD2">
        <w:rPr>
          <w:szCs w:val="26"/>
        </w:rPr>
        <w:t>the Board to respond to these applications by paying into</w:t>
      </w:r>
      <w:r w:rsidR="00767DA5" w:rsidRPr="00FB0FD2">
        <w:rPr>
          <w:szCs w:val="26"/>
        </w:rPr>
        <w:t xml:space="preserve"> </w:t>
      </w:r>
      <w:r w:rsidR="00B01F1D" w:rsidRPr="00FB0FD2">
        <w:rPr>
          <w:szCs w:val="26"/>
        </w:rPr>
        <w:t>court all sums, if any, due defendant retailers.</w:t>
      </w:r>
      <w:r w:rsidR="00767DA5" w:rsidRPr="00FB0FD2">
        <w:rPr>
          <w:szCs w:val="26"/>
        </w:rPr>
        <w:t>”  (</w:t>
      </w:r>
      <w:r w:rsidR="00767DA5" w:rsidRPr="00FB0FD2">
        <w:rPr>
          <w:i/>
          <w:szCs w:val="26"/>
        </w:rPr>
        <w:t>Id.</w:t>
      </w:r>
      <w:r w:rsidR="00767DA5" w:rsidRPr="00FB0FD2">
        <w:rPr>
          <w:szCs w:val="26"/>
        </w:rPr>
        <w:t xml:space="preserve"> at p. 802.)  The plaintiffs in </w:t>
      </w:r>
      <w:proofErr w:type="spellStart"/>
      <w:r w:rsidR="00767DA5" w:rsidRPr="00FB0FD2">
        <w:rPr>
          <w:i/>
          <w:szCs w:val="26"/>
        </w:rPr>
        <w:t>Javor</w:t>
      </w:r>
      <w:proofErr w:type="spellEnd"/>
      <w:r w:rsidR="00767DA5" w:rsidRPr="00FB0FD2">
        <w:rPr>
          <w:szCs w:val="26"/>
        </w:rPr>
        <w:t xml:space="preserve"> sought no</w:t>
      </w:r>
      <w:r w:rsidR="00504227" w:rsidRPr="00FB0FD2">
        <w:rPr>
          <w:szCs w:val="26"/>
        </w:rPr>
        <w:t xml:space="preserve"> ruling by the Board or </w:t>
      </w:r>
      <w:r w:rsidR="00767DA5" w:rsidRPr="00FB0FD2">
        <w:rPr>
          <w:szCs w:val="26"/>
        </w:rPr>
        <w:t>the court on any taxability question.</w:t>
      </w:r>
      <w:r w:rsidR="00C312CA" w:rsidRPr="00FB0FD2">
        <w:rPr>
          <w:szCs w:val="26"/>
        </w:rPr>
        <w:t xml:space="preserve">  </w:t>
      </w:r>
      <w:r w:rsidR="00767DA5" w:rsidRPr="00FB0FD2">
        <w:rPr>
          <w:szCs w:val="26"/>
        </w:rPr>
        <w:t xml:space="preserve">The terms “very likely” and “if any” simply signaled the possibility that some retailers “had </w:t>
      </w:r>
      <w:r w:rsidR="00767DA5" w:rsidRPr="00FB0FD2">
        <w:t xml:space="preserve">already claimed and received a refund from the Board,” a factual issue that had not yet been determined in the </w:t>
      </w:r>
      <w:r w:rsidR="00504227" w:rsidRPr="00FB0FD2">
        <w:t>suit</w:t>
      </w:r>
      <w:r w:rsidR="00767DA5" w:rsidRPr="00FB0FD2">
        <w:t>.  (</w:t>
      </w:r>
      <w:r w:rsidR="00767DA5" w:rsidRPr="00FB0FD2">
        <w:rPr>
          <w:i/>
        </w:rPr>
        <w:t>Ibid.</w:t>
      </w:r>
      <w:r w:rsidR="00767DA5" w:rsidRPr="00FB0FD2">
        <w:t>)</w:t>
      </w:r>
      <w:r w:rsidR="001B6011" w:rsidRPr="00FB0FD2">
        <w:rPr>
          <w:szCs w:val="26"/>
        </w:rPr>
        <w:t xml:space="preserve"> </w:t>
      </w:r>
    </w:p>
    <w:p w14:paraId="3AA6188D" w14:textId="77777777" w:rsidR="00FC5FFE" w:rsidRPr="00FB0FD2" w:rsidRDefault="00CC06F8" w:rsidP="00FB0FD2">
      <w:pPr>
        <w:ind w:firstLine="720"/>
        <w:rPr>
          <w:szCs w:val="26"/>
        </w:rPr>
      </w:pPr>
      <w:r w:rsidRPr="00FB0FD2">
        <w:rPr>
          <w:szCs w:val="26"/>
        </w:rPr>
        <w:t>P</w:t>
      </w:r>
      <w:r w:rsidR="00504227" w:rsidRPr="00FB0FD2">
        <w:rPr>
          <w:szCs w:val="26"/>
        </w:rPr>
        <w:t xml:space="preserve">laintiffs </w:t>
      </w:r>
      <w:r w:rsidRPr="00FB0FD2">
        <w:rPr>
          <w:szCs w:val="26"/>
        </w:rPr>
        <w:t xml:space="preserve">further </w:t>
      </w:r>
      <w:r w:rsidR="00504227" w:rsidRPr="00FB0FD2">
        <w:rPr>
          <w:szCs w:val="26"/>
        </w:rPr>
        <w:t xml:space="preserve">contend that foreclosing a </w:t>
      </w:r>
      <w:proofErr w:type="spellStart"/>
      <w:r w:rsidR="00504227" w:rsidRPr="00FB0FD2">
        <w:rPr>
          <w:i/>
          <w:szCs w:val="26"/>
        </w:rPr>
        <w:t>Javor</w:t>
      </w:r>
      <w:proofErr w:type="spellEnd"/>
      <w:r w:rsidR="00504227" w:rsidRPr="00FB0FD2">
        <w:rPr>
          <w:szCs w:val="26"/>
        </w:rPr>
        <w:t xml:space="preserve"> remedy where the taxability issue has not already been resolved is at odds with the Department’s </w:t>
      </w:r>
      <w:r w:rsidR="005F450D">
        <w:rPr>
          <w:szCs w:val="26"/>
        </w:rPr>
        <w:t>“</w:t>
      </w:r>
      <w:r w:rsidR="00504227" w:rsidRPr="00FB0FD2">
        <w:rPr>
          <w:szCs w:val="26"/>
        </w:rPr>
        <w:t>duty to protect the integrity of the sales tax.”  (</w:t>
      </w:r>
      <w:proofErr w:type="spellStart"/>
      <w:r w:rsidR="00504227" w:rsidRPr="00FB0FD2">
        <w:rPr>
          <w:i/>
          <w:szCs w:val="26"/>
        </w:rPr>
        <w:t>Javor</w:t>
      </w:r>
      <w:proofErr w:type="spellEnd"/>
      <w:r w:rsidR="00504227" w:rsidRPr="00FB0FD2">
        <w:rPr>
          <w:szCs w:val="26"/>
        </w:rPr>
        <w:t xml:space="preserve">, </w:t>
      </w:r>
      <w:r w:rsidR="00504227" w:rsidRPr="00FB0FD2">
        <w:rPr>
          <w:i/>
          <w:szCs w:val="26"/>
        </w:rPr>
        <w:t>supra</w:t>
      </w:r>
      <w:r w:rsidR="00504227" w:rsidRPr="00FB0FD2">
        <w:rPr>
          <w:szCs w:val="26"/>
        </w:rPr>
        <w:t>, 12 C</w:t>
      </w:r>
      <w:r w:rsidR="00786131" w:rsidRPr="00FB0FD2">
        <w:rPr>
          <w:szCs w:val="26"/>
        </w:rPr>
        <w:t xml:space="preserve">al.3d at p. 802.)  Without any </w:t>
      </w:r>
      <w:r w:rsidR="00786131" w:rsidRPr="00FB0FD2">
        <w:rPr>
          <w:szCs w:val="26"/>
        </w:rPr>
        <w:lastRenderedPageBreak/>
        <w:t xml:space="preserve">means of obtaining a determination on the taxability question, plaintiffs argue, the </w:t>
      </w:r>
      <w:r w:rsidR="004D12DA" w:rsidRPr="00FB0FD2">
        <w:rPr>
          <w:szCs w:val="26"/>
        </w:rPr>
        <w:t xml:space="preserve">state </w:t>
      </w:r>
      <w:r w:rsidR="00786131" w:rsidRPr="00FB0FD2">
        <w:rPr>
          <w:szCs w:val="26"/>
        </w:rPr>
        <w:t xml:space="preserve">will be unjustly enriched </w:t>
      </w:r>
      <w:r w:rsidR="004D12DA" w:rsidRPr="00FB0FD2">
        <w:rPr>
          <w:szCs w:val="26"/>
        </w:rPr>
        <w:t xml:space="preserve">to the extent that the purchases at issue </w:t>
      </w:r>
      <w:r w:rsidR="00ED7783" w:rsidRPr="00FB0FD2">
        <w:rPr>
          <w:szCs w:val="26"/>
        </w:rPr>
        <w:t xml:space="preserve">actually </w:t>
      </w:r>
      <w:r w:rsidR="004D12DA" w:rsidRPr="00FB0FD2">
        <w:rPr>
          <w:szCs w:val="26"/>
        </w:rPr>
        <w:t>are not subject to sales tax.</w:t>
      </w:r>
    </w:p>
    <w:p w14:paraId="1108BA42" w14:textId="77777777" w:rsidR="004F1959" w:rsidRPr="00FB0FD2" w:rsidRDefault="00C20A89" w:rsidP="00FB0FD2">
      <w:pPr>
        <w:ind w:firstLine="720"/>
        <w:rPr>
          <w:szCs w:val="26"/>
        </w:rPr>
      </w:pPr>
      <w:r w:rsidRPr="00FB0FD2">
        <w:rPr>
          <w:szCs w:val="26"/>
        </w:rPr>
        <w:t>But i</w:t>
      </w:r>
      <w:r w:rsidR="00ED7783" w:rsidRPr="00FB0FD2">
        <w:rPr>
          <w:szCs w:val="26"/>
        </w:rPr>
        <w:t xml:space="preserve">t is not clear that plaintiffs have no other recourse.  </w:t>
      </w:r>
      <w:r w:rsidR="00C44C35" w:rsidRPr="00FB0FD2">
        <w:rPr>
          <w:szCs w:val="26"/>
        </w:rPr>
        <w:t>“[C]</w:t>
      </w:r>
      <w:proofErr w:type="spellStart"/>
      <w:r w:rsidR="00C44C35" w:rsidRPr="00FB0FD2">
        <w:rPr>
          <w:szCs w:val="26"/>
        </w:rPr>
        <w:t>onsumers</w:t>
      </w:r>
      <w:proofErr w:type="spellEnd"/>
      <w:r w:rsidR="00C44C35" w:rsidRPr="00FB0FD2">
        <w:rPr>
          <w:szCs w:val="26"/>
        </w:rPr>
        <w:t xml:space="preserve"> who believe they have been charged excess </w:t>
      </w:r>
      <w:proofErr w:type="gramStart"/>
      <w:r w:rsidR="00C44C35" w:rsidRPr="00FB0FD2">
        <w:rPr>
          <w:szCs w:val="26"/>
        </w:rPr>
        <w:t>reimbursement .</w:t>
      </w:r>
      <w:proofErr w:type="gramEnd"/>
      <w:r w:rsidR="00C44C35" w:rsidRPr="00FB0FD2">
        <w:rPr>
          <w:szCs w:val="26"/>
        </w:rPr>
        <w:t> . . may complain to the Board, which may in turn initiate an audit” or a “deficiency determination</w:t>
      </w:r>
      <w:r w:rsidR="005F450D">
        <w:rPr>
          <w:szCs w:val="26"/>
        </w:rPr>
        <w:t>.</w:t>
      </w:r>
      <w:r w:rsidR="00C44C35" w:rsidRPr="00FB0FD2">
        <w:rPr>
          <w:szCs w:val="26"/>
        </w:rPr>
        <w:t>” (</w:t>
      </w:r>
      <w:r w:rsidR="00C44C35" w:rsidRPr="00FB0FD2">
        <w:rPr>
          <w:i/>
          <w:szCs w:val="26"/>
        </w:rPr>
        <w:t>Loeffler</w:t>
      </w:r>
      <w:r w:rsidR="00C44C35" w:rsidRPr="00FB0FD2">
        <w:rPr>
          <w:szCs w:val="26"/>
        </w:rPr>
        <w:t xml:space="preserve">, </w:t>
      </w:r>
      <w:r w:rsidR="00C44C35" w:rsidRPr="00FB0FD2">
        <w:rPr>
          <w:i/>
          <w:szCs w:val="26"/>
        </w:rPr>
        <w:t>supra</w:t>
      </w:r>
      <w:r w:rsidR="00C44C35" w:rsidRPr="00FB0FD2">
        <w:rPr>
          <w:szCs w:val="26"/>
        </w:rPr>
        <w:t>, 58 Cal.4th at pp. 1103–1104; see §§ 6481, 6483, 7054</w:t>
      </w:r>
      <w:r w:rsidR="005F450D">
        <w:rPr>
          <w:szCs w:val="26"/>
        </w:rPr>
        <w:t>.</w:t>
      </w:r>
      <w:r w:rsidR="00C44C35" w:rsidRPr="00FB0FD2">
        <w:rPr>
          <w:szCs w:val="26"/>
        </w:rPr>
        <w:t>)  Consumers</w:t>
      </w:r>
      <w:r w:rsidR="009F21BE" w:rsidRPr="00FB0FD2">
        <w:rPr>
          <w:szCs w:val="26"/>
        </w:rPr>
        <w:t>, as “interested person[s],”</w:t>
      </w:r>
      <w:r w:rsidR="00C44C35" w:rsidRPr="00FB0FD2">
        <w:rPr>
          <w:szCs w:val="26"/>
        </w:rPr>
        <w:t xml:space="preserve"> also have </w:t>
      </w:r>
      <w:r w:rsidR="009F21BE" w:rsidRPr="00FB0FD2">
        <w:rPr>
          <w:szCs w:val="26"/>
        </w:rPr>
        <w:t>the ability to “obtain a judicial declaration as to the validity of any regulation” promulgated by the Department.  (Gov. Code, § 11350</w:t>
      </w:r>
      <w:r w:rsidR="00C42E80">
        <w:rPr>
          <w:szCs w:val="26"/>
        </w:rPr>
        <w:t>,</w:t>
      </w:r>
      <w:r w:rsidR="005F450D">
        <w:rPr>
          <w:szCs w:val="26"/>
        </w:rPr>
        <w:t xml:space="preserve"> </w:t>
      </w:r>
      <w:proofErr w:type="spellStart"/>
      <w:r w:rsidR="005F450D">
        <w:rPr>
          <w:szCs w:val="26"/>
        </w:rPr>
        <w:t>subd</w:t>
      </w:r>
      <w:proofErr w:type="spellEnd"/>
      <w:r w:rsidR="005F450D">
        <w:rPr>
          <w:szCs w:val="26"/>
        </w:rPr>
        <w:t>. (a)</w:t>
      </w:r>
      <w:r w:rsidR="009F21BE" w:rsidRPr="00FB0FD2">
        <w:rPr>
          <w:szCs w:val="26"/>
        </w:rPr>
        <w:t xml:space="preserve">; see also </w:t>
      </w:r>
      <w:r w:rsidR="009F21BE" w:rsidRPr="00FB0FD2">
        <w:rPr>
          <w:i/>
          <w:szCs w:val="26"/>
        </w:rPr>
        <w:t>id.</w:t>
      </w:r>
      <w:r w:rsidR="009F21BE" w:rsidRPr="00FB0FD2">
        <w:rPr>
          <w:szCs w:val="26"/>
        </w:rPr>
        <w:t xml:space="preserve">, § 11340.6 [generally providing that “any interested person may petition a state agency requesting the adoption, amendment, or repeal of a regulation”].)  </w:t>
      </w:r>
      <w:r w:rsidR="00880A7F" w:rsidRPr="00FB0FD2">
        <w:rPr>
          <w:szCs w:val="26"/>
        </w:rPr>
        <w:t xml:space="preserve">Plaintiffs say they do not claim </w:t>
      </w:r>
      <w:r w:rsidR="005F450D">
        <w:rPr>
          <w:szCs w:val="26"/>
        </w:rPr>
        <w:t>r</w:t>
      </w:r>
      <w:r w:rsidR="00880A7F" w:rsidRPr="00FB0FD2">
        <w:rPr>
          <w:szCs w:val="26"/>
        </w:rPr>
        <w:t>egulation 1591.1(b)(5) is invalid or that it should be amended or repealed.</w:t>
      </w:r>
      <w:r w:rsidR="00A26709" w:rsidRPr="00FB0FD2">
        <w:rPr>
          <w:szCs w:val="26"/>
        </w:rPr>
        <w:t xml:space="preserve">  </w:t>
      </w:r>
      <w:r w:rsidR="00880A7F" w:rsidRPr="00FB0FD2">
        <w:rPr>
          <w:szCs w:val="26"/>
        </w:rPr>
        <w:t xml:space="preserve">They say they “rely upon [the regulation] as the source of the tax exemption </w:t>
      </w:r>
      <w:r w:rsidR="00A26709" w:rsidRPr="00FB0FD2">
        <w:rPr>
          <w:szCs w:val="26"/>
        </w:rPr>
        <w:t>for test strips and lancets</w:t>
      </w:r>
      <w:r w:rsidR="00880A7F" w:rsidRPr="00FB0FD2">
        <w:rPr>
          <w:szCs w:val="26"/>
        </w:rPr>
        <w:t>”</w:t>
      </w:r>
      <w:r w:rsidR="00FC5FFE" w:rsidRPr="00FB0FD2">
        <w:rPr>
          <w:szCs w:val="26"/>
        </w:rPr>
        <w:t xml:space="preserve">; their </w:t>
      </w:r>
      <w:r w:rsidR="007B415A" w:rsidRPr="00FB0FD2">
        <w:rPr>
          <w:szCs w:val="26"/>
        </w:rPr>
        <w:t>objection</w:t>
      </w:r>
      <w:r w:rsidR="00FC5FFE" w:rsidRPr="00FB0FD2">
        <w:rPr>
          <w:szCs w:val="26"/>
        </w:rPr>
        <w:t xml:space="preserve"> is</w:t>
      </w:r>
      <w:r w:rsidR="00880A7F" w:rsidRPr="00FB0FD2">
        <w:rPr>
          <w:szCs w:val="26"/>
        </w:rPr>
        <w:t xml:space="preserve"> </w:t>
      </w:r>
      <w:r w:rsidR="007B415A" w:rsidRPr="00FB0FD2">
        <w:rPr>
          <w:szCs w:val="26"/>
        </w:rPr>
        <w:t xml:space="preserve">to </w:t>
      </w:r>
      <w:r w:rsidR="00880A7F" w:rsidRPr="00FB0FD2">
        <w:rPr>
          <w:szCs w:val="26"/>
        </w:rPr>
        <w:t xml:space="preserve">the interpretation of the exemption contained in the </w:t>
      </w:r>
      <w:proofErr w:type="spellStart"/>
      <w:r w:rsidR="00A26709" w:rsidRPr="00FB0FD2">
        <w:rPr>
          <w:szCs w:val="26"/>
        </w:rPr>
        <w:t>Paliani</w:t>
      </w:r>
      <w:proofErr w:type="spellEnd"/>
      <w:r w:rsidR="00A26709" w:rsidRPr="00FB0FD2">
        <w:rPr>
          <w:szCs w:val="26"/>
        </w:rPr>
        <w:t xml:space="preserve"> </w:t>
      </w:r>
      <w:r w:rsidR="004F1959" w:rsidRPr="00FB0FD2">
        <w:rPr>
          <w:szCs w:val="26"/>
        </w:rPr>
        <w:t>L</w:t>
      </w:r>
      <w:r w:rsidR="00A26709" w:rsidRPr="00FB0FD2">
        <w:rPr>
          <w:szCs w:val="26"/>
        </w:rPr>
        <w:t xml:space="preserve">etter.  But plaintiffs contend that the </w:t>
      </w:r>
      <w:proofErr w:type="spellStart"/>
      <w:r w:rsidR="00A26709" w:rsidRPr="00FB0FD2">
        <w:rPr>
          <w:szCs w:val="26"/>
        </w:rPr>
        <w:t>Paliani</w:t>
      </w:r>
      <w:proofErr w:type="spellEnd"/>
      <w:r w:rsidR="00A26709" w:rsidRPr="00FB0FD2">
        <w:rPr>
          <w:szCs w:val="26"/>
        </w:rPr>
        <w:t xml:space="preserve"> </w:t>
      </w:r>
      <w:r w:rsidR="004F1959" w:rsidRPr="00FB0FD2">
        <w:rPr>
          <w:szCs w:val="26"/>
        </w:rPr>
        <w:t>L</w:t>
      </w:r>
      <w:r w:rsidR="00A26709" w:rsidRPr="00FB0FD2">
        <w:rPr>
          <w:szCs w:val="26"/>
        </w:rPr>
        <w:t xml:space="preserve">etter itself qualifies as a “regulation” subject to the Administrative Procedures Act, and </w:t>
      </w:r>
      <w:r w:rsidR="00FC5FFE" w:rsidRPr="00FB0FD2">
        <w:rPr>
          <w:szCs w:val="26"/>
        </w:rPr>
        <w:t xml:space="preserve">they do not explain </w:t>
      </w:r>
      <w:r w:rsidR="00A26709" w:rsidRPr="00FB0FD2">
        <w:rPr>
          <w:szCs w:val="26"/>
        </w:rPr>
        <w:t xml:space="preserve">why they cannot </w:t>
      </w:r>
      <w:r w:rsidR="00FC5FFE" w:rsidRPr="00FB0FD2">
        <w:rPr>
          <w:szCs w:val="26"/>
        </w:rPr>
        <w:t xml:space="preserve">seek a judicial declaration of its invalidity under </w:t>
      </w:r>
      <w:bookmarkStart w:id="4" w:name="_Hlk534721690"/>
      <w:r w:rsidR="00FC5FFE" w:rsidRPr="00FB0FD2">
        <w:rPr>
          <w:szCs w:val="26"/>
        </w:rPr>
        <w:t>Government Code section 11350</w:t>
      </w:r>
      <w:bookmarkEnd w:id="4"/>
      <w:r w:rsidR="00FC5FFE" w:rsidRPr="00FB0FD2">
        <w:rPr>
          <w:szCs w:val="26"/>
        </w:rPr>
        <w:t xml:space="preserve">.  (See </w:t>
      </w:r>
      <w:r w:rsidR="00FC5FFE" w:rsidRPr="00FB0FD2">
        <w:rPr>
          <w:i/>
          <w:iCs/>
          <w:szCs w:val="26"/>
        </w:rPr>
        <w:t>Morning Star Co. v. State Bd. of Equalization</w:t>
      </w:r>
      <w:r w:rsidR="00FC5FFE" w:rsidRPr="00FB0FD2">
        <w:rPr>
          <w:szCs w:val="26"/>
        </w:rPr>
        <w:t xml:space="preserve"> (2006) 38 Cal.4th 324, 334–335; </w:t>
      </w:r>
      <w:bookmarkStart w:id="5" w:name="_Hlk534721701"/>
      <w:r w:rsidR="00FC5FFE" w:rsidRPr="00FB0FD2">
        <w:rPr>
          <w:szCs w:val="26"/>
        </w:rPr>
        <w:t xml:space="preserve">Gov. Code, § 11342.600 </w:t>
      </w:r>
      <w:bookmarkEnd w:id="5"/>
      <w:r w:rsidR="00FC5FFE" w:rsidRPr="00FB0FD2">
        <w:rPr>
          <w:szCs w:val="26"/>
        </w:rPr>
        <w:t>[“ ‘Regulation’ means every rule, regulation, order, or standard of general application or the amendment, supplement, or revision of any rule, regulation, order, or standard adopted by any state agency to implement, interpret, or make specific the law enforced or administered by it, or to govern its procedure.”].)</w:t>
      </w:r>
    </w:p>
    <w:p w14:paraId="16DE3212" w14:textId="77777777" w:rsidR="00FC5FFE" w:rsidRPr="00FB0FD2" w:rsidRDefault="003E0F6E" w:rsidP="00FB0FD2">
      <w:pPr>
        <w:ind w:firstLine="720"/>
        <w:rPr>
          <w:szCs w:val="26"/>
        </w:rPr>
      </w:pPr>
      <w:r w:rsidRPr="00FB0FD2">
        <w:rPr>
          <w:szCs w:val="26"/>
        </w:rPr>
        <w:lastRenderedPageBreak/>
        <w:t xml:space="preserve">We have no occasion to express a definitive view on what qualifies as a prior legal determination for purposes of a </w:t>
      </w:r>
      <w:proofErr w:type="spellStart"/>
      <w:r w:rsidRPr="00FB0FD2">
        <w:rPr>
          <w:i/>
          <w:szCs w:val="26"/>
        </w:rPr>
        <w:t>Javor</w:t>
      </w:r>
      <w:proofErr w:type="spellEnd"/>
      <w:r w:rsidRPr="00FB0FD2">
        <w:rPr>
          <w:szCs w:val="26"/>
        </w:rPr>
        <w:t xml:space="preserve"> remedy because it is clear that no such determination has been made exempting the lancets and strips at issue here.  </w:t>
      </w:r>
      <w:r w:rsidR="004F1959" w:rsidRPr="00FB0FD2">
        <w:rPr>
          <w:szCs w:val="26"/>
        </w:rPr>
        <w:t>W</w:t>
      </w:r>
      <w:r w:rsidR="00BA3B7F" w:rsidRPr="00FB0FD2">
        <w:rPr>
          <w:szCs w:val="26"/>
        </w:rPr>
        <w:t xml:space="preserve">e </w:t>
      </w:r>
      <w:r w:rsidRPr="00FB0FD2">
        <w:rPr>
          <w:szCs w:val="26"/>
        </w:rPr>
        <w:t xml:space="preserve">likewise </w:t>
      </w:r>
      <w:r w:rsidR="004F1959" w:rsidRPr="00FB0FD2">
        <w:rPr>
          <w:szCs w:val="26"/>
        </w:rPr>
        <w:t xml:space="preserve">have no occasion to </w:t>
      </w:r>
      <w:r w:rsidR="00BA3B7F" w:rsidRPr="00FB0FD2">
        <w:rPr>
          <w:szCs w:val="26"/>
        </w:rPr>
        <w:t>consider</w:t>
      </w:r>
      <w:r w:rsidR="00943C96" w:rsidRPr="00943C96">
        <w:rPr>
          <w:b/>
          <w:szCs w:val="26"/>
        </w:rPr>
        <w:t xml:space="preserve"> </w:t>
      </w:r>
      <w:r w:rsidR="00943C96" w:rsidRPr="00943C96">
        <w:rPr>
          <w:szCs w:val="26"/>
        </w:rPr>
        <w:t>what remedies might be available to a claimant who has been unable to obtain a determination about the taxability of particular transactions using the available avenues</w:t>
      </w:r>
      <w:r w:rsidR="00943C96">
        <w:rPr>
          <w:szCs w:val="26"/>
        </w:rPr>
        <w:t>.</w:t>
      </w:r>
      <w:r w:rsidR="00BA3B7F" w:rsidRPr="00FB0FD2">
        <w:rPr>
          <w:szCs w:val="26"/>
        </w:rPr>
        <w:t xml:space="preserve">  </w:t>
      </w:r>
      <w:r w:rsidR="004F1959" w:rsidRPr="00FB0FD2">
        <w:rPr>
          <w:szCs w:val="26"/>
        </w:rPr>
        <w:t>T</w:t>
      </w:r>
      <w:r w:rsidR="00BA3B7F" w:rsidRPr="00FB0FD2">
        <w:rPr>
          <w:szCs w:val="26"/>
        </w:rPr>
        <w:t xml:space="preserve">he Court of Appeal </w:t>
      </w:r>
      <w:r w:rsidR="004F1959" w:rsidRPr="00FB0FD2">
        <w:rPr>
          <w:szCs w:val="26"/>
        </w:rPr>
        <w:t>here noted</w:t>
      </w:r>
      <w:r w:rsidR="00BA3B7F" w:rsidRPr="00FB0FD2">
        <w:rPr>
          <w:szCs w:val="26"/>
        </w:rPr>
        <w:t xml:space="preserve"> that many of the remedial options available to plaintiffs are “the practical equivalent of allowing them to </w:t>
      </w:r>
      <w:proofErr w:type="gramStart"/>
      <w:r w:rsidR="00BA3B7F" w:rsidRPr="00FB0FD2">
        <w:rPr>
          <w:szCs w:val="26"/>
        </w:rPr>
        <w:t>tug .</w:t>
      </w:r>
      <w:proofErr w:type="gramEnd"/>
      <w:r w:rsidR="00BA3B7F" w:rsidRPr="00FB0FD2">
        <w:rPr>
          <w:szCs w:val="26"/>
        </w:rPr>
        <w:t> . . at the Board’s sleeve.”  (</w:t>
      </w:r>
      <w:r w:rsidR="00BA3B7F" w:rsidRPr="00FB0FD2">
        <w:rPr>
          <w:i/>
          <w:szCs w:val="26"/>
        </w:rPr>
        <w:t>McClain</w:t>
      </w:r>
      <w:r w:rsidR="00BA3B7F" w:rsidRPr="00FB0FD2">
        <w:rPr>
          <w:szCs w:val="26"/>
        </w:rPr>
        <w:t xml:space="preserve">, </w:t>
      </w:r>
      <w:r w:rsidR="00BA3B7F" w:rsidRPr="00FB0FD2">
        <w:rPr>
          <w:i/>
          <w:szCs w:val="26"/>
        </w:rPr>
        <w:t>supra</w:t>
      </w:r>
      <w:r w:rsidR="00BA3B7F" w:rsidRPr="00FB0FD2">
        <w:rPr>
          <w:szCs w:val="26"/>
        </w:rPr>
        <w:t>, 9 Cal.App.5th at p. 70</w:t>
      </w:r>
      <w:r w:rsidR="005F450D">
        <w:rPr>
          <w:szCs w:val="26"/>
        </w:rPr>
        <w:t>6</w:t>
      </w:r>
      <w:r w:rsidR="00BA3B7F" w:rsidRPr="00FB0FD2">
        <w:rPr>
          <w:szCs w:val="26"/>
        </w:rPr>
        <w:t xml:space="preserve">.)  </w:t>
      </w:r>
      <w:r w:rsidR="004F1959" w:rsidRPr="00FB0FD2">
        <w:rPr>
          <w:szCs w:val="26"/>
        </w:rPr>
        <w:t xml:space="preserve">Even </w:t>
      </w:r>
      <w:r w:rsidR="00BA3B7F" w:rsidRPr="00FB0FD2">
        <w:rPr>
          <w:szCs w:val="26"/>
        </w:rPr>
        <w:t xml:space="preserve">so, </w:t>
      </w:r>
      <w:r w:rsidR="004F1959" w:rsidRPr="00FB0FD2">
        <w:rPr>
          <w:szCs w:val="26"/>
        </w:rPr>
        <w:t xml:space="preserve">there is no indication in the record that plaintiffs have pursued any avenues other than this lawsuit for </w:t>
      </w:r>
      <w:r w:rsidR="00462FC1" w:rsidRPr="00FB0FD2">
        <w:rPr>
          <w:szCs w:val="26"/>
        </w:rPr>
        <w:t>obtaining a resolution of</w:t>
      </w:r>
      <w:r w:rsidR="004F1959" w:rsidRPr="00FB0FD2">
        <w:rPr>
          <w:szCs w:val="26"/>
        </w:rPr>
        <w:t xml:space="preserve"> the taxability question that underlies their claim for relief.</w:t>
      </w:r>
    </w:p>
    <w:p w14:paraId="6533A9F0" w14:textId="77777777" w:rsidR="007B415A" w:rsidRPr="00FB0FD2" w:rsidRDefault="00462FC1" w:rsidP="00FB0FD2">
      <w:pPr>
        <w:ind w:firstLine="720"/>
      </w:pPr>
      <w:r w:rsidRPr="00FB0FD2">
        <w:rPr>
          <w:color w:val="000000"/>
          <w:szCs w:val="26"/>
        </w:rPr>
        <w:t>W</w:t>
      </w:r>
      <w:r w:rsidR="00C20A89" w:rsidRPr="00FB0FD2">
        <w:rPr>
          <w:color w:val="000000"/>
          <w:szCs w:val="26"/>
        </w:rPr>
        <w:t xml:space="preserve">e </w:t>
      </w:r>
      <w:r w:rsidR="00CE7999" w:rsidRPr="00FB0FD2">
        <w:rPr>
          <w:color w:val="000000"/>
          <w:szCs w:val="26"/>
        </w:rPr>
        <w:t>see</w:t>
      </w:r>
      <w:r w:rsidR="00C20A89" w:rsidRPr="00FB0FD2">
        <w:rPr>
          <w:color w:val="000000"/>
          <w:szCs w:val="26"/>
        </w:rPr>
        <w:t xml:space="preserve"> an important difference between circumstances like those in </w:t>
      </w:r>
      <w:proofErr w:type="spellStart"/>
      <w:r w:rsidR="00C20A89" w:rsidRPr="00FB0FD2">
        <w:rPr>
          <w:i/>
          <w:color w:val="000000"/>
          <w:szCs w:val="26"/>
        </w:rPr>
        <w:t>Javor</w:t>
      </w:r>
      <w:proofErr w:type="spellEnd"/>
      <w:r w:rsidR="00C20A89" w:rsidRPr="00FB0FD2">
        <w:rPr>
          <w:color w:val="000000"/>
          <w:szCs w:val="26"/>
        </w:rPr>
        <w:t xml:space="preserve">, where the taxability issue had already been resolved, and the circumstances here, where the taxability issue remains disputed.  Where the taxability issue has been resolved, the avoidance of unjust enrichment is the primary concern </w:t>
      </w:r>
      <w:r w:rsidR="0012026D" w:rsidRPr="00FB0FD2">
        <w:rPr>
          <w:color w:val="000000"/>
          <w:szCs w:val="26"/>
        </w:rPr>
        <w:t>with respect to</w:t>
      </w:r>
      <w:r w:rsidR="00C20A89" w:rsidRPr="00FB0FD2">
        <w:rPr>
          <w:color w:val="000000"/>
          <w:szCs w:val="26"/>
        </w:rPr>
        <w:t xml:space="preserve"> ensuring the integrity of the sales tax.  (See </w:t>
      </w:r>
      <w:proofErr w:type="spellStart"/>
      <w:r w:rsidR="00C20A89" w:rsidRPr="00FB0FD2">
        <w:rPr>
          <w:i/>
          <w:color w:val="000000"/>
          <w:szCs w:val="26"/>
        </w:rPr>
        <w:t>Javor</w:t>
      </w:r>
      <w:proofErr w:type="spellEnd"/>
      <w:r w:rsidR="00C20A89" w:rsidRPr="00FB0FD2">
        <w:rPr>
          <w:color w:val="000000"/>
          <w:szCs w:val="26"/>
        </w:rPr>
        <w:t xml:space="preserve">, </w:t>
      </w:r>
      <w:r w:rsidR="00C20A89" w:rsidRPr="00FB0FD2">
        <w:rPr>
          <w:i/>
          <w:color w:val="000000"/>
          <w:szCs w:val="26"/>
        </w:rPr>
        <w:t>supra</w:t>
      </w:r>
      <w:r w:rsidR="00C20A89" w:rsidRPr="00FB0FD2">
        <w:rPr>
          <w:color w:val="000000"/>
          <w:szCs w:val="26"/>
        </w:rPr>
        <w:t xml:space="preserve">, 12 Cal.3d at p. 802.)  Where the taxability issue is disputed, the avoidance of unjust enrichment remains a concern, but there is a countervailing interest in the orderly administration of </w:t>
      </w:r>
      <w:r w:rsidR="007B415A" w:rsidRPr="00FB0FD2">
        <w:rPr>
          <w:color w:val="000000"/>
          <w:szCs w:val="26"/>
        </w:rPr>
        <w:t xml:space="preserve">the </w:t>
      </w:r>
      <w:r w:rsidR="00894B50" w:rsidRPr="00FB0FD2">
        <w:rPr>
          <w:color w:val="000000"/>
          <w:szCs w:val="26"/>
        </w:rPr>
        <w:t>sales tax</w:t>
      </w:r>
      <w:r w:rsidR="00C20A89" w:rsidRPr="00FB0FD2">
        <w:rPr>
          <w:color w:val="000000"/>
          <w:szCs w:val="26"/>
        </w:rPr>
        <w:t xml:space="preserve">.  </w:t>
      </w:r>
      <w:r w:rsidR="007B415A" w:rsidRPr="00FB0FD2">
        <w:rPr>
          <w:color w:val="000000"/>
          <w:szCs w:val="26"/>
        </w:rPr>
        <w:t xml:space="preserve">In </w:t>
      </w:r>
      <w:r w:rsidR="007B415A" w:rsidRPr="00FB0FD2">
        <w:rPr>
          <w:i/>
          <w:color w:val="000000"/>
          <w:szCs w:val="26"/>
        </w:rPr>
        <w:t>Loeffler</w:t>
      </w:r>
      <w:r w:rsidR="007B415A" w:rsidRPr="00FB0FD2">
        <w:rPr>
          <w:color w:val="000000"/>
          <w:szCs w:val="26"/>
        </w:rPr>
        <w:t>, a case concerning the taxability of retail sales of hot coffee, we said “</w:t>
      </w:r>
      <w:r w:rsidR="007B415A" w:rsidRPr="00FB0FD2">
        <w:t>[t]he taxability question lies at the center of the Board’s function and authority</w:t>
      </w:r>
      <w:proofErr w:type="gramStart"/>
      <w:r w:rsidR="007B415A" w:rsidRPr="00FB0FD2">
        <w:t>. .</w:t>
      </w:r>
      <w:proofErr w:type="gramEnd"/>
      <w:r w:rsidR="007B415A" w:rsidRPr="00FB0FD2">
        <w:t xml:space="preserve"> . .  [T]he sales tax law is exceedingly comprehensive and complex; its application to specific types of transactions is debatable in innumerable circumstances.  The Legislature has subjected such questions to an administrative exhaustion requirement precisely to obtain the benefit of the Board’s </w:t>
      </w:r>
      <w:r w:rsidR="007B415A" w:rsidRPr="00FB0FD2">
        <w:lastRenderedPageBreak/>
        <w:t>expertise, permit it to correct mistakes, and save judicial resources.”  (</w:t>
      </w:r>
      <w:r w:rsidR="007B415A" w:rsidRPr="00FB0FD2">
        <w:rPr>
          <w:i/>
        </w:rPr>
        <w:t>Loeffler</w:t>
      </w:r>
      <w:r w:rsidR="007B415A" w:rsidRPr="00FB0FD2">
        <w:t xml:space="preserve">, </w:t>
      </w:r>
      <w:r w:rsidR="007B415A" w:rsidRPr="00FB0FD2">
        <w:rPr>
          <w:i/>
        </w:rPr>
        <w:t>supra</w:t>
      </w:r>
      <w:r w:rsidR="007B415A" w:rsidRPr="00FB0FD2">
        <w:t>, 58 Cal.4th at p. 1</w:t>
      </w:r>
      <w:r w:rsidR="00AA5FCE" w:rsidRPr="00FB0FD2">
        <w:t>127</w:t>
      </w:r>
      <w:r w:rsidR="007B415A" w:rsidRPr="00FB0FD2">
        <w:t xml:space="preserve">.)  We explained that allowing consumers to sue retailers </w:t>
      </w:r>
      <w:r w:rsidR="00894B50" w:rsidRPr="00FB0FD2">
        <w:t xml:space="preserve">under consumer protection statutes </w:t>
      </w:r>
      <w:r w:rsidR="007B415A" w:rsidRPr="00FB0FD2">
        <w:t>“based on a dispute over the taxability of a sale would require resolution of the taxability question in a manner inconsistent with this system, forfeiting these benefits.”  (</w:t>
      </w:r>
      <w:r w:rsidR="007B415A" w:rsidRPr="00FB0FD2">
        <w:rPr>
          <w:i/>
        </w:rPr>
        <w:t>Ibid.</w:t>
      </w:r>
      <w:r w:rsidR="007B415A" w:rsidRPr="00FB0FD2">
        <w:t xml:space="preserve">)  </w:t>
      </w:r>
      <w:r w:rsidR="00894B50" w:rsidRPr="00FB0FD2">
        <w:t>In light of</w:t>
      </w:r>
      <w:r w:rsidR="004D51E9" w:rsidRPr="00FB0FD2">
        <w:t xml:space="preserve"> </w:t>
      </w:r>
      <w:r w:rsidR="004D51E9" w:rsidRPr="00FB0FD2">
        <w:rPr>
          <w:i/>
        </w:rPr>
        <w:t>Loeffler</w:t>
      </w:r>
      <w:r w:rsidR="004D51E9" w:rsidRPr="00FB0FD2">
        <w:t>, we reject plaintiffs’ contention that l</w:t>
      </w:r>
      <w:r w:rsidR="00894B50" w:rsidRPr="00FB0FD2">
        <w:t xml:space="preserve">imiting judicially created refund remedies to circumstances where the taxability issue has already been resolved </w:t>
      </w:r>
      <w:r w:rsidR="004D51E9" w:rsidRPr="00FB0FD2">
        <w:t xml:space="preserve">would </w:t>
      </w:r>
      <w:r w:rsidR="00894B50" w:rsidRPr="00FB0FD2">
        <w:t>undermine the integrity of the sales tax.</w:t>
      </w:r>
    </w:p>
    <w:p w14:paraId="0A0B4E62" w14:textId="77777777" w:rsidR="00462FC1" w:rsidRPr="00FB0FD2" w:rsidRDefault="004D51E9" w:rsidP="00FB0FD2">
      <w:pPr>
        <w:ind w:firstLine="720"/>
        <w:rPr>
          <w:color w:val="000000"/>
          <w:szCs w:val="26"/>
        </w:rPr>
      </w:pPr>
      <w:r w:rsidRPr="00FB0FD2">
        <w:rPr>
          <w:szCs w:val="26"/>
        </w:rPr>
        <w:t xml:space="preserve">For similar reasons, </w:t>
      </w:r>
      <w:r w:rsidR="00994C60" w:rsidRPr="00FB0FD2">
        <w:rPr>
          <w:szCs w:val="26"/>
        </w:rPr>
        <w:t xml:space="preserve">we do not agree with </w:t>
      </w:r>
      <w:r w:rsidRPr="00FB0FD2">
        <w:rPr>
          <w:szCs w:val="26"/>
        </w:rPr>
        <w:t xml:space="preserve">plaintiffs </w:t>
      </w:r>
      <w:r w:rsidR="00994C60" w:rsidRPr="00FB0FD2">
        <w:rPr>
          <w:szCs w:val="26"/>
        </w:rPr>
        <w:t xml:space="preserve">that the </w:t>
      </w:r>
      <w:r w:rsidR="00462FC1" w:rsidRPr="00FB0FD2">
        <w:rPr>
          <w:szCs w:val="26"/>
        </w:rPr>
        <w:t xml:space="preserve">unavailability of a </w:t>
      </w:r>
      <w:r w:rsidRPr="00FB0FD2">
        <w:rPr>
          <w:szCs w:val="26"/>
        </w:rPr>
        <w:t>judicial</w:t>
      </w:r>
      <w:r w:rsidR="00CB181B" w:rsidRPr="00FB0FD2">
        <w:rPr>
          <w:szCs w:val="26"/>
        </w:rPr>
        <w:t>ly</w:t>
      </w:r>
      <w:r w:rsidRPr="00FB0FD2">
        <w:rPr>
          <w:szCs w:val="26"/>
        </w:rPr>
        <w:t xml:space="preserve"> created refund remed</w:t>
      </w:r>
      <w:r w:rsidR="00462FC1" w:rsidRPr="00FB0FD2">
        <w:rPr>
          <w:szCs w:val="26"/>
        </w:rPr>
        <w:t>y in this case</w:t>
      </w:r>
      <w:r w:rsidRPr="00FB0FD2">
        <w:rPr>
          <w:szCs w:val="26"/>
        </w:rPr>
        <w:t xml:space="preserve"> violate</w:t>
      </w:r>
      <w:r w:rsidR="003D7F19">
        <w:rPr>
          <w:szCs w:val="26"/>
        </w:rPr>
        <w:t>s</w:t>
      </w:r>
      <w:r w:rsidRPr="00FB0FD2">
        <w:rPr>
          <w:szCs w:val="26"/>
        </w:rPr>
        <w:t xml:space="preserve"> due process of law.  As noted, plaintiffs may have other avenues to obtain a determination of the taxability question at the heart of their complaint.</w:t>
      </w:r>
      <w:r w:rsidR="0012026D" w:rsidRPr="00FB0FD2">
        <w:rPr>
          <w:szCs w:val="26"/>
        </w:rPr>
        <w:t xml:space="preserve">  (</w:t>
      </w:r>
      <w:r w:rsidR="005F450D">
        <w:rPr>
          <w:szCs w:val="26"/>
        </w:rPr>
        <w:t xml:space="preserve">See </w:t>
      </w:r>
      <w:r w:rsidR="005F450D">
        <w:rPr>
          <w:i/>
          <w:szCs w:val="26"/>
        </w:rPr>
        <w:t>a</w:t>
      </w:r>
      <w:r w:rsidR="0012026D" w:rsidRPr="00FB0FD2">
        <w:rPr>
          <w:i/>
          <w:szCs w:val="26"/>
        </w:rPr>
        <w:t>nte</w:t>
      </w:r>
      <w:r w:rsidR="0012026D" w:rsidRPr="00FB0FD2">
        <w:rPr>
          <w:szCs w:val="26"/>
        </w:rPr>
        <w:t>, at p</w:t>
      </w:r>
      <w:r w:rsidR="00462FC1" w:rsidRPr="00FB0FD2">
        <w:rPr>
          <w:szCs w:val="26"/>
        </w:rPr>
        <w:t>p</w:t>
      </w:r>
      <w:r w:rsidR="0012026D" w:rsidRPr="00FB0FD2">
        <w:rPr>
          <w:szCs w:val="26"/>
        </w:rPr>
        <w:t>. </w:t>
      </w:r>
      <w:r w:rsidR="00FB0FD2">
        <w:rPr>
          <w:szCs w:val="26"/>
        </w:rPr>
        <w:t>9</w:t>
      </w:r>
      <w:r w:rsidR="00462FC1" w:rsidRPr="00FB0FD2">
        <w:rPr>
          <w:szCs w:val="26"/>
        </w:rPr>
        <w:t>–</w:t>
      </w:r>
      <w:r w:rsidR="00FB0FD2">
        <w:rPr>
          <w:szCs w:val="26"/>
        </w:rPr>
        <w:t>10</w:t>
      </w:r>
      <w:r w:rsidR="0012026D" w:rsidRPr="00FB0FD2">
        <w:rPr>
          <w:szCs w:val="26"/>
        </w:rPr>
        <w:t>.)</w:t>
      </w:r>
      <w:r w:rsidRPr="00FB0FD2">
        <w:rPr>
          <w:szCs w:val="26"/>
        </w:rPr>
        <w:t xml:space="preserve">  </w:t>
      </w:r>
      <w:r w:rsidR="0012026D" w:rsidRPr="00FB0FD2">
        <w:rPr>
          <w:szCs w:val="26"/>
        </w:rPr>
        <w:t>Moreover</w:t>
      </w:r>
      <w:r w:rsidRPr="00FB0FD2">
        <w:rPr>
          <w:szCs w:val="26"/>
        </w:rPr>
        <w:t xml:space="preserve">, although sales tax exemptions redound to the benefit of consumers, it must be remembered that “[t]he </w:t>
      </w:r>
      <w:r w:rsidRPr="00FB0FD2">
        <w:rPr>
          <w:i/>
          <w:szCs w:val="26"/>
        </w:rPr>
        <w:t>retailer</w:t>
      </w:r>
      <w:r w:rsidRPr="00FB0FD2">
        <w:rPr>
          <w:szCs w:val="26"/>
        </w:rPr>
        <w:t xml:space="preserve"> is the taxpayer, </w:t>
      </w:r>
      <w:r w:rsidRPr="00FB0FD2">
        <w:rPr>
          <w:i/>
          <w:szCs w:val="26"/>
        </w:rPr>
        <w:t>not</w:t>
      </w:r>
      <w:r w:rsidR="009D0A3C" w:rsidRPr="00FB0FD2">
        <w:rPr>
          <w:szCs w:val="26"/>
        </w:rPr>
        <w:t xml:space="preserve"> the consumer</w:t>
      </w:r>
      <w:r w:rsidR="00FA662F" w:rsidRPr="00FB0FD2">
        <w:rPr>
          <w:szCs w:val="26"/>
        </w:rPr>
        <w:t>.</w:t>
      </w:r>
      <w:r w:rsidR="009D0A3C" w:rsidRPr="00FB0FD2">
        <w:rPr>
          <w:szCs w:val="26"/>
        </w:rPr>
        <w:t>”</w:t>
      </w:r>
      <w:r w:rsidRPr="00FB0FD2">
        <w:rPr>
          <w:szCs w:val="26"/>
        </w:rPr>
        <w:t xml:space="preserve"> </w:t>
      </w:r>
      <w:r w:rsidR="00FA662F" w:rsidRPr="00FB0FD2">
        <w:rPr>
          <w:szCs w:val="26"/>
        </w:rPr>
        <w:t xml:space="preserve"> </w:t>
      </w:r>
      <w:r w:rsidRPr="00FB0FD2">
        <w:rPr>
          <w:szCs w:val="26"/>
        </w:rPr>
        <w:t>(</w:t>
      </w:r>
      <w:r w:rsidRPr="00FB0FD2">
        <w:rPr>
          <w:i/>
          <w:szCs w:val="26"/>
        </w:rPr>
        <w:t>Loeffler</w:t>
      </w:r>
      <w:r w:rsidRPr="00FB0FD2">
        <w:rPr>
          <w:szCs w:val="26"/>
        </w:rPr>
        <w:t>,</w:t>
      </w:r>
      <w:r w:rsidR="009D0A3C" w:rsidRPr="00FB0FD2">
        <w:rPr>
          <w:szCs w:val="26"/>
        </w:rPr>
        <w:t xml:space="preserve"> </w:t>
      </w:r>
      <w:r w:rsidR="009D0A3C" w:rsidRPr="00FB0FD2">
        <w:rPr>
          <w:i/>
          <w:szCs w:val="26"/>
        </w:rPr>
        <w:t>supra</w:t>
      </w:r>
      <w:r w:rsidR="009D0A3C" w:rsidRPr="00FB0FD2">
        <w:rPr>
          <w:szCs w:val="26"/>
        </w:rPr>
        <w:t>, 58 Cal.4th</w:t>
      </w:r>
      <w:r w:rsidRPr="00FB0FD2">
        <w:rPr>
          <w:szCs w:val="26"/>
        </w:rPr>
        <w:t xml:space="preserve"> at p. 1104</w:t>
      </w:r>
      <w:r w:rsidR="00FA662F" w:rsidRPr="00FB0FD2">
        <w:rPr>
          <w:szCs w:val="26"/>
        </w:rPr>
        <w:t>.</w:t>
      </w:r>
      <w:r w:rsidR="009D0A3C" w:rsidRPr="00FB0FD2">
        <w:rPr>
          <w:szCs w:val="26"/>
        </w:rPr>
        <w:t xml:space="preserve">) </w:t>
      </w:r>
      <w:r w:rsidR="00FA662F" w:rsidRPr="00FB0FD2">
        <w:rPr>
          <w:szCs w:val="26"/>
        </w:rPr>
        <w:t xml:space="preserve"> W</w:t>
      </w:r>
      <w:r w:rsidR="009D0A3C" w:rsidRPr="00FB0FD2">
        <w:rPr>
          <w:szCs w:val="26"/>
        </w:rPr>
        <w:t xml:space="preserve">e are not presented here with a </w:t>
      </w:r>
      <w:r w:rsidR="009D0A3C" w:rsidRPr="00FB0FD2">
        <w:rPr>
          <w:i/>
          <w:szCs w:val="26"/>
        </w:rPr>
        <w:t>taxpayer’s</w:t>
      </w:r>
      <w:r w:rsidR="009D0A3C" w:rsidRPr="00FB0FD2">
        <w:rPr>
          <w:szCs w:val="26"/>
        </w:rPr>
        <w:t xml:space="preserve"> claim that no means of challenging an illegal imposed tax is available.</w:t>
      </w:r>
      <w:r w:rsidR="00162459" w:rsidRPr="00FB0FD2">
        <w:rPr>
          <w:szCs w:val="26"/>
        </w:rPr>
        <w:t xml:space="preserve">  (Cf.</w:t>
      </w:r>
      <w:r w:rsidR="004036B3" w:rsidRPr="00FB0FD2">
        <w:rPr>
          <w:szCs w:val="26"/>
        </w:rPr>
        <w:t xml:space="preserve"> </w:t>
      </w:r>
      <w:r w:rsidR="004036B3" w:rsidRPr="00FB0FD2">
        <w:rPr>
          <w:i/>
          <w:iCs/>
          <w:szCs w:val="26"/>
        </w:rPr>
        <w:t xml:space="preserve">McKesson Corp. v. Division of Alcoholic Beverages &amp; Tobacco </w:t>
      </w:r>
      <w:r w:rsidR="004036B3" w:rsidRPr="00FB0FD2">
        <w:rPr>
          <w:szCs w:val="26"/>
        </w:rPr>
        <w:t>(1990) 496 U.S. 18, 39 [due process requires states to “</w:t>
      </w:r>
      <w:r w:rsidR="004036B3" w:rsidRPr="00FB0FD2">
        <w:rPr>
          <w:color w:val="000000"/>
          <w:szCs w:val="26"/>
        </w:rPr>
        <w:t xml:space="preserve">provide taxpayers </w:t>
      </w:r>
      <w:proofErr w:type="gramStart"/>
      <w:r w:rsidR="004036B3" w:rsidRPr="00FB0FD2">
        <w:rPr>
          <w:color w:val="000000"/>
          <w:szCs w:val="26"/>
        </w:rPr>
        <w:t>with .</w:t>
      </w:r>
      <w:proofErr w:type="gramEnd"/>
      <w:r w:rsidR="004036B3" w:rsidRPr="00FB0FD2">
        <w:rPr>
          <w:color w:val="000000"/>
          <w:szCs w:val="26"/>
        </w:rPr>
        <w:t> . . a fair opportunity to challenge the accuracy and legal validity of their tax obligation</w:t>
      </w:r>
      <w:r w:rsidR="005F450D">
        <w:rPr>
          <w:color w:val="000000"/>
          <w:szCs w:val="26"/>
        </w:rPr>
        <w:t>”</w:t>
      </w:r>
      <w:r w:rsidR="006F618A">
        <w:rPr>
          <w:color w:val="000000"/>
          <w:szCs w:val="26"/>
        </w:rPr>
        <w:t xml:space="preserve"> </w:t>
      </w:r>
      <w:r w:rsidR="004036B3" w:rsidRPr="00FB0FD2">
        <w:rPr>
          <w:color w:val="000000"/>
          <w:szCs w:val="26"/>
        </w:rPr>
        <w:t xml:space="preserve">and a </w:t>
      </w:r>
      <w:proofErr w:type="gramStart"/>
      <w:r w:rsidR="005F450D">
        <w:rPr>
          <w:color w:val="000000"/>
          <w:szCs w:val="26"/>
        </w:rPr>
        <w:t>“</w:t>
      </w:r>
      <w:r w:rsidR="006F618A">
        <w:rPr>
          <w:color w:val="000000"/>
          <w:szCs w:val="26"/>
        </w:rPr>
        <w:t> </w:t>
      </w:r>
      <w:r w:rsidR="00FA662F" w:rsidRPr="00FB0FD2">
        <w:rPr>
          <w:color w:val="000000"/>
          <w:szCs w:val="26"/>
        </w:rPr>
        <w:t>‘</w:t>
      </w:r>
      <w:proofErr w:type="gramEnd"/>
      <w:r w:rsidR="00FA662F" w:rsidRPr="00FB0FD2">
        <w:rPr>
          <w:color w:val="000000"/>
          <w:szCs w:val="26"/>
        </w:rPr>
        <w:t>clear and certain remedy’</w:t>
      </w:r>
      <w:r w:rsidR="006F618A">
        <w:rPr>
          <w:color w:val="000000"/>
          <w:szCs w:val="26"/>
        </w:rPr>
        <w:t> </w:t>
      </w:r>
      <w:r w:rsidR="00FA662F" w:rsidRPr="00FB0FD2">
        <w:rPr>
          <w:color w:val="000000"/>
          <w:szCs w:val="26"/>
        </w:rPr>
        <w:t xml:space="preserve">”].)  </w:t>
      </w:r>
      <w:r w:rsidR="00012F83" w:rsidRPr="00FB0FD2">
        <w:rPr>
          <w:color w:val="000000"/>
          <w:szCs w:val="26"/>
        </w:rPr>
        <w:t xml:space="preserve">Nothing in the sales tax statutes establishes that consumers have a vested right </w:t>
      </w:r>
      <w:r w:rsidR="00CB181B" w:rsidRPr="00FB0FD2">
        <w:rPr>
          <w:color w:val="000000"/>
          <w:szCs w:val="26"/>
        </w:rPr>
        <w:t>to applicable</w:t>
      </w:r>
      <w:r w:rsidR="00012F83" w:rsidRPr="00FB0FD2">
        <w:rPr>
          <w:color w:val="000000"/>
          <w:szCs w:val="26"/>
        </w:rPr>
        <w:t xml:space="preserve"> </w:t>
      </w:r>
      <w:r w:rsidR="001D6349" w:rsidRPr="00FB0FD2">
        <w:rPr>
          <w:color w:val="000000"/>
          <w:szCs w:val="26"/>
        </w:rPr>
        <w:t>exemptions.  (</w:t>
      </w:r>
      <w:r w:rsidR="003A4844" w:rsidRPr="00FB0FD2">
        <w:rPr>
          <w:color w:val="000000"/>
          <w:szCs w:val="26"/>
        </w:rPr>
        <w:t>See</w:t>
      </w:r>
      <w:r w:rsidR="00F254D3" w:rsidRPr="00FB0FD2">
        <w:rPr>
          <w:color w:val="000000"/>
          <w:szCs w:val="26"/>
        </w:rPr>
        <w:t xml:space="preserve"> § 6901.5 [</w:t>
      </w:r>
      <w:r w:rsidR="001D6349" w:rsidRPr="00FB0FD2">
        <w:rPr>
          <w:color w:val="000000"/>
          <w:szCs w:val="26"/>
        </w:rPr>
        <w:t>requiring retailers to return excess sales tax reimbursement to consumers or else remit it to the state].)</w:t>
      </w:r>
    </w:p>
    <w:p w14:paraId="6ECAB22E" w14:textId="77777777" w:rsidR="00A004D0" w:rsidRPr="00FB0FD2" w:rsidRDefault="001D6349" w:rsidP="00FB0FD2">
      <w:pPr>
        <w:ind w:firstLine="720"/>
        <w:rPr>
          <w:color w:val="000000"/>
          <w:szCs w:val="26"/>
        </w:rPr>
      </w:pPr>
      <w:proofErr w:type="spellStart"/>
      <w:r w:rsidRPr="00FB0FD2">
        <w:rPr>
          <w:i/>
          <w:color w:val="000000"/>
          <w:szCs w:val="26"/>
        </w:rPr>
        <w:t>Javor</w:t>
      </w:r>
      <w:proofErr w:type="spellEnd"/>
      <w:r w:rsidRPr="00FB0FD2">
        <w:rPr>
          <w:color w:val="000000"/>
          <w:szCs w:val="26"/>
        </w:rPr>
        <w:t xml:space="preserve"> does not suggest otherwise.  </w:t>
      </w:r>
      <w:r w:rsidR="00994C60" w:rsidRPr="00FB0FD2">
        <w:rPr>
          <w:color w:val="000000"/>
          <w:szCs w:val="26"/>
        </w:rPr>
        <w:t>There w</w:t>
      </w:r>
      <w:r w:rsidRPr="00FB0FD2">
        <w:rPr>
          <w:color w:val="000000"/>
          <w:szCs w:val="26"/>
        </w:rPr>
        <w:t xml:space="preserve">e said that </w:t>
      </w:r>
      <w:r w:rsidR="00CB181B" w:rsidRPr="00FB0FD2">
        <w:rPr>
          <w:color w:val="000000"/>
          <w:szCs w:val="26"/>
        </w:rPr>
        <w:t xml:space="preserve">when the taxability issue </w:t>
      </w:r>
      <w:r w:rsidR="00994C60" w:rsidRPr="00FB0FD2">
        <w:rPr>
          <w:color w:val="000000"/>
          <w:szCs w:val="26"/>
        </w:rPr>
        <w:t xml:space="preserve">has already been resolved </w:t>
      </w:r>
      <w:r w:rsidR="00CB181B" w:rsidRPr="00FB0FD2">
        <w:rPr>
          <w:color w:val="000000"/>
          <w:szCs w:val="26"/>
        </w:rPr>
        <w:t xml:space="preserve">(which is not the case here), a </w:t>
      </w:r>
      <w:r w:rsidRPr="00FB0FD2">
        <w:rPr>
          <w:color w:val="000000"/>
          <w:szCs w:val="26"/>
        </w:rPr>
        <w:t xml:space="preserve">judicially created remedy is “clearly </w:t>
      </w:r>
      <w:r w:rsidRPr="00FB0FD2">
        <w:rPr>
          <w:color w:val="000000"/>
          <w:szCs w:val="26"/>
        </w:rPr>
        <w:lastRenderedPageBreak/>
        <w:t>mandated by the Board’s duty to protect the integrity of the sales tax</w:t>
      </w:r>
      <w:r w:rsidR="00CB181B" w:rsidRPr="00FB0FD2">
        <w:rPr>
          <w:color w:val="000000"/>
          <w:szCs w:val="26"/>
        </w:rPr>
        <w:t>” (</w:t>
      </w:r>
      <w:proofErr w:type="spellStart"/>
      <w:r w:rsidR="00CB181B" w:rsidRPr="00FB0FD2">
        <w:rPr>
          <w:i/>
          <w:color w:val="000000"/>
          <w:szCs w:val="26"/>
        </w:rPr>
        <w:t>Javor</w:t>
      </w:r>
      <w:proofErr w:type="spellEnd"/>
      <w:r w:rsidR="00CB181B" w:rsidRPr="00FB0FD2">
        <w:rPr>
          <w:color w:val="000000"/>
          <w:szCs w:val="26"/>
        </w:rPr>
        <w:t xml:space="preserve">, </w:t>
      </w:r>
      <w:r w:rsidR="00CB181B" w:rsidRPr="00FB0FD2">
        <w:rPr>
          <w:i/>
          <w:color w:val="000000"/>
          <w:szCs w:val="26"/>
        </w:rPr>
        <w:t>supra</w:t>
      </w:r>
      <w:r w:rsidR="00CB181B" w:rsidRPr="00FB0FD2">
        <w:rPr>
          <w:color w:val="000000"/>
          <w:szCs w:val="26"/>
        </w:rPr>
        <w:t>, 12 Cal.3d at p. 802); we did not say the remedy was constitutionally compelled.</w:t>
      </w:r>
      <w:r w:rsidR="00994C60" w:rsidRPr="00FB0FD2">
        <w:rPr>
          <w:color w:val="000000"/>
          <w:szCs w:val="26"/>
        </w:rPr>
        <w:t xml:space="preserve">  </w:t>
      </w:r>
      <w:r w:rsidR="009D0A3C" w:rsidRPr="00FB0FD2">
        <w:rPr>
          <w:szCs w:val="26"/>
        </w:rPr>
        <w:t>In enacting a “comprehensive” law of exemptions “governing every imaginable type of sales transactions” (</w:t>
      </w:r>
      <w:r w:rsidR="00FA662F" w:rsidRPr="00FB0FD2">
        <w:rPr>
          <w:i/>
          <w:szCs w:val="26"/>
        </w:rPr>
        <w:t>Loeffler</w:t>
      </w:r>
      <w:r w:rsidR="00FA662F" w:rsidRPr="00FB0FD2">
        <w:rPr>
          <w:szCs w:val="26"/>
        </w:rPr>
        <w:t>,</w:t>
      </w:r>
      <w:r w:rsidR="00462FC1" w:rsidRPr="00FB0FD2">
        <w:rPr>
          <w:szCs w:val="26"/>
        </w:rPr>
        <w:t xml:space="preserve"> </w:t>
      </w:r>
      <w:r w:rsidR="00462FC1" w:rsidRPr="00FB0FD2">
        <w:rPr>
          <w:i/>
          <w:szCs w:val="26"/>
        </w:rPr>
        <w:t>supra</w:t>
      </w:r>
      <w:r w:rsidR="00462FC1" w:rsidRPr="00FB0FD2">
        <w:rPr>
          <w:szCs w:val="26"/>
        </w:rPr>
        <w:t>, 58 Cal.4th</w:t>
      </w:r>
      <w:r w:rsidR="009D0A3C" w:rsidRPr="00FB0FD2">
        <w:rPr>
          <w:szCs w:val="26"/>
        </w:rPr>
        <w:t xml:space="preserve"> at p. 1105), the Legislature</w:t>
      </w:r>
      <w:r w:rsidR="00A004D0" w:rsidRPr="00FB0FD2">
        <w:rPr>
          <w:szCs w:val="26"/>
        </w:rPr>
        <w:t xml:space="preserve"> </w:t>
      </w:r>
      <w:r w:rsidR="009D0A3C" w:rsidRPr="00FB0FD2">
        <w:rPr>
          <w:szCs w:val="26"/>
        </w:rPr>
        <w:t xml:space="preserve">did not run afoul of due process by </w:t>
      </w:r>
      <w:r w:rsidR="003A4844" w:rsidRPr="00FB0FD2">
        <w:rPr>
          <w:szCs w:val="26"/>
        </w:rPr>
        <w:t>choosing to establish</w:t>
      </w:r>
      <w:r w:rsidR="009D0A3C" w:rsidRPr="00FB0FD2">
        <w:rPr>
          <w:szCs w:val="26"/>
        </w:rPr>
        <w:t xml:space="preserve"> an administrative framework for </w:t>
      </w:r>
      <w:r w:rsidR="00CB181B" w:rsidRPr="00FB0FD2">
        <w:rPr>
          <w:szCs w:val="26"/>
        </w:rPr>
        <w:t xml:space="preserve">ensuring that retailers claim exemptions and for </w:t>
      </w:r>
      <w:r w:rsidR="009D0A3C" w:rsidRPr="00FB0FD2">
        <w:rPr>
          <w:szCs w:val="26"/>
        </w:rPr>
        <w:t>resolving disputes over the applicability of exemptions</w:t>
      </w:r>
      <w:r w:rsidR="00CB181B" w:rsidRPr="00FB0FD2">
        <w:rPr>
          <w:szCs w:val="26"/>
        </w:rPr>
        <w:t xml:space="preserve"> </w:t>
      </w:r>
      <w:r w:rsidR="004036B3" w:rsidRPr="00FB0FD2">
        <w:rPr>
          <w:szCs w:val="26"/>
        </w:rPr>
        <w:t xml:space="preserve">— </w:t>
      </w:r>
      <w:r w:rsidR="009D0A3C" w:rsidRPr="00FB0FD2">
        <w:rPr>
          <w:szCs w:val="26"/>
        </w:rPr>
        <w:t xml:space="preserve">even if that framework </w:t>
      </w:r>
      <w:r w:rsidR="00162459" w:rsidRPr="00FB0FD2">
        <w:rPr>
          <w:szCs w:val="26"/>
        </w:rPr>
        <w:t xml:space="preserve">relies on market mechanisms, agency initiative, and consumer influence short of </w:t>
      </w:r>
      <w:r w:rsidR="00FA662F" w:rsidRPr="00FB0FD2">
        <w:rPr>
          <w:szCs w:val="26"/>
        </w:rPr>
        <w:t xml:space="preserve">lawsuits </w:t>
      </w:r>
      <w:r w:rsidR="0012026D" w:rsidRPr="00FB0FD2">
        <w:rPr>
          <w:szCs w:val="26"/>
        </w:rPr>
        <w:t>directly seeking</w:t>
      </w:r>
      <w:r w:rsidR="00FA662F" w:rsidRPr="00FB0FD2">
        <w:rPr>
          <w:szCs w:val="26"/>
        </w:rPr>
        <w:t xml:space="preserve"> sales tax reimbursement refunds.</w:t>
      </w:r>
      <w:r w:rsidR="00A004D0" w:rsidRPr="00FB0FD2">
        <w:rPr>
          <w:szCs w:val="26"/>
        </w:rPr>
        <w:t xml:space="preserve">  As the Attorney General explains, “the system is designed to ensure that, in general, the benefits of tax exemptions flow to consumers as a class (though not necessarily in a perfect manner, or in every possible transaction).”  Given the competing interests involved in </w:t>
      </w:r>
      <w:r w:rsidR="00994C60" w:rsidRPr="00FB0FD2">
        <w:rPr>
          <w:szCs w:val="26"/>
        </w:rPr>
        <w:t xml:space="preserve">designing </w:t>
      </w:r>
      <w:r w:rsidR="00A004D0" w:rsidRPr="00FB0FD2">
        <w:rPr>
          <w:szCs w:val="26"/>
        </w:rPr>
        <w:t xml:space="preserve">the system, due process does not require </w:t>
      </w:r>
      <w:r w:rsidR="00994C60" w:rsidRPr="00FB0FD2">
        <w:rPr>
          <w:szCs w:val="26"/>
        </w:rPr>
        <w:t>that tax exemptions flow to consumers in a more perfect manner.</w:t>
      </w:r>
    </w:p>
    <w:p w14:paraId="712291D5" w14:textId="77777777" w:rsidR="008F69B2" w:rsidRPr="00FB0FD2" w:rsidRDefault="00176361" w:rsidP="00FB0FD2">
      <w:pPr>
        <w:ind w:firstLine="720"/>
      </w:pPr>
      <w:r w:rsidRPr="00FB0FD2">
        <w:t xml:space="preserve">Finally, </w:t>
      </w:r>
      <w:r w:rsidR="00994C60" w:rsidRPr="00FB0FD2">
        <w:t>plaintiffs contend</w:t>
      </w:r>
      <w:r w:rsidR="00383400" w:rsidRPr="00FB0FD2">
        <w:t xml:space="preserve"> that this </w:t>
      </w:r>
      <w:r w:rsidR="007D02A2" w:rsidRPr="00FB0FD2">
        <w:t xml:space="preserve">tax refund </w:t>
      </w:r>
      <w:r w:rsidR="00994C60" w:rsidRPr="00FB0FD2">
        <w:t>system, by unjustly enriching the state at the expense of consumers,</w:t>
      </w:r>
      <w:r w:rsidR="007D02A2" w:rsidRPr="00FB0FD2">
        <w:t xml:space="preserve"> </w:t>
      </w:r>
      <w:r w:rsidR="00994C60" w:rsidRPr="00FB0FD2">
        <w:t xml:space="preserve">works an unconstitutional taking.  </w:t>
      </w:r>
      <w:r w:rsidR="001525A5" w:rsidRPr="00FB0FD2">
        <w:t xml:space="preserve">But even if the state’s retention of amounts that have been judicially or administratively determined to be excess sales tax </w:t>
      </w:r>
      <w:r w:rsidR="00CE7999" w:rsidRPr="00FB0FD2">
        <w:t xml:space="preserve">reimbursement </w:t>
      </w:r>
      <w:r w:rsidR="001525A5" w:rsidRPr="00FB0FD2">
        <w:t>could be regarded as a taking, no such determination has been made here</w:t>
      </w:r>
      <w:r w:rsidR="00CE7999" w:rsidRPr="00FB0FD2">
        <w:t>.  A</w:t>
      </w:r>
      <w:r w:rsidR="001525A5" w:rsidRPr="00FB0FD2">
        <w:t xml:space="preserve">nd the absence of a legislatively or judicially created refund action to compel such a determination does not </w:t>
      </w:r>
      <w:r w:rsidR="00CE7999" w:rsidRPr="00FB0FD2">
        <w:t xml:space="preserve">itself </w:t>
      </w:r>
      <w:r w:rsidR="001525A5" w:rsidRPr="00FB0FD2">
        <w:t>constitute a taking.</w:t>
      </w:r>
    </w:p>
    <w:p w14:paraId="564193C9" w14:textId="77777777" w:rsidR="0065668C" w:rsidRPr="00FB0FD2" w:rsidRDefault="00FF554F" w:rsidP="00FB0FD2">
      <w:pPr>
        <w:keepNext/>
        <w:tabs>
          <w:tab w:val="left" w:pos="1440"/>
        </w:tabs>
        <w:jc w:val="center"/>
        <w:rPr>
          <w:b/>
        </w:rPr>
      </w:pPr>
      <w:r w:rsidRPr="00FB0FD2">
        <w:rPr>
          <w:b/>
        </w:rPr>
        <w:t>III</w:t>
      </w:r>
      <w:r w:rsidR="0065668C" w:rsidRPr="00FB0FD2">
        <w:rPr>
          <w:b/>
        </w:rPr>
        <w:t>.</w:t>
      </w:r>
    </w:p>
    <w:p w14:paraId="2CCF6627" w14:textId="77777777" w:rsidR="00CE7999" w:rsidRPr="00FB0FD2" w:rsidRDefault="00CE7999" w:rsidP="00FB0FD2">
      <w:pPr>
        <w:ind w:firstLine="720"/>
        <w:rPr>
          <w:szCs w:val="26"/>
        </w:rPr>
      </w:pPr>
      <w:r w:rsidRPr="00FB0FD2">
        <w:rPr>
          <w:szCs w:val="26"/>
        </w:rPr>
        <w:t>Plaintiffs</w:t>
      </w:r>
      <w:r w:rsidR="00462FC1" w:rsidRPr="00FB0FD2">
        <w:rPr>
          <w:szCs w:val="26"/>
        </w:rPr>
        <w:t>’ complaint</w:t>
      </w:r>
      <w:r w:rsidR="00435479" w:rsidRPr="00FB0FD2">
        <w:rPr>
          <w:szCs w:val="26"/>
        </w:rPr>
        <w:t xml:space="preserve"> </w:t>
      </w:r>
      <w:r w:rsidR="006A30BB" w:rsidRPr="00FB0FD2">
        <w:rPr>
          <w:szCs w:val="26"/>
        </w:rPr>
        <w:t xml:space="preserve">also </w:t>
      </w:r>
      <w:r w:rsidR="00435479" w:rsidRPr="00FB0FD2">
        <w:rPr>
          <w:szCs w:val="26"/>
        </w:rPr>
        <w:t xml:space="preserve">alleged </w:t>
      </w:r>
      <w:r w:rsidR="003B6501" w:rsidRPr="00FB0FD2">
        <w:rPr>
          <w:szCs w:val="26"/>
        </w:rPr>
        <w:t xml:space="preserve">that </w:t>
      </w:r>
      <w:r w:rsidRPr="00FB0FD2">
        <w:rPr>
          <w:szCs w:val="26"/>
        </w:rPr>
        <w:t>the pharmacy defendants</w:t>
      </w:r>
      <w:r w:rsidR="003B6501" w:rsidRPr="00FB0FD2">
        <w:rPr>
          <w:szCs w:val="26"/>
        </w:rPr>
        <w:t xml:space="preserve"> breached their contractual dutie</w:t>
      </w:r>
      <w:r w:rsidR="00E74FC4" w:rsidRPr="00FB0FD2">
        <w:rPr>
          <w:szCs w:val="26"/>
        </w:rPr>
        <w:t xml:space="preserve">s </w:t>
      </w:r>
      <w:r w:rsidRPr="00FB0FD2">
        <w:rPr>
          <w:szCs w:val="26"/>
        </w:rPr>
        <w:t>under</w:t>
      </w:r>
      <w:r w:rsidR="00E74FC4" w:rsidRPr="00FB0FD2">
        <w:rPr>
          <w:szCs w:val="26"/>
        </w:rPr>
        <w:t xml:space="preserve"> Civil Code </w:t>
      </w:r>
      <w:r w:rsidR="00E74FC4" w:rsidRPr="00FB0FD2">
        <w:rPr>
          <w:szCs w:val="26"/>
        </w:rPr>
        <w:lastRenderedPageBreak/>
        <w:t>section </w:t>
      </w:r>
      <w:r w:rsidR="003B6501" w:rsidRPr="00FB0FD2">
        <w:rPr>
          <w:szCs w:val="26"/>
        </w:rPr>
        <w:t xml:space="preserve">1656.1 by misrepresenting the </w:t>
      </w:r>
      <w:r w:rsidRPr="00FB0FD2">
        <w:rPr>
          <w:szCs w:val="26"/>
        </w:rPr>
        <w:t>sales tax</w:t>
      </w:r>
      <w:r w:rsidR="003B6501" w:rsidRPr="00FB0FD2">
        <w:rPr>
          <w:szCs w:val="26"/>
        </w:rPr>
        <w:t xml:space="preserve"> owed</w:t>
      </w:r>
      <w:r w:rsidRPr="00FB0FD2">
        <w:rPr>
          <w:szCs w:val="26"/>
        </w:rPr>
        <w:t xml:space="preserve"> on the purchases at issue</w:t>
      </w:r>
      <w:r w:rsidR="003B6501" w:rsidRPr="00FB0FD2">
        <w:rPr>
          <w:szCs w:val="26"/>
        </w:rPr>
        <w:t xml:space="preserve">.  </w:t>
      </w:r>
      <w:r w:rsidR="00E74FC4" w:rsidRPr="00FB0FD2">
        <w:rPr>
          <w:szCs w:val="26"/>
        </w:rPr>
        <w:t>T</w:t>
      </w:r>
      <w:r w:rsidR="00222789" w:rsidRPr="00FB0FD2">
        <w:rPr>
          <w:szCs w:val="26"/>
        </w:rPr>
        <w:t xml:space="preserve">he Court of Appeal granted </w:t>
      </w:r>
      <w:r w:rsidRPr="00FB0FD2">
        <w:rPr>
          <w:szCs w:val="26"/>
        </w:rPr>
        <w:t>defendants’</w:t>
      </w:r>
      <w:r w:rsidR="00222789" w:rsidRPr="00FB0FD2">
        <w:rPr>
          <w:szCs w:val="26"/>
        </w:rPr>
        <w:t xml:space="preserve"> demurrer with respect to all claims in the operative complaint, and </w:t>
      </w:r>
      <w:r w:rsidRPr="00FB0FD2">
        <w:rPr>
          <w:szCs w:val="26"/>
        </w:rPr>
        <w:t xml:space="preserve">plaintiffs </w:t>
      </w:r>
      <w:r w:rsidR="003B6501" w:rsidRPr="00FB0FD2">
        <w:rPr>
          <w:szCs w:val="26"/>
        </w:rPr>
        <w:t>seek</w:t>
      </w:r>
      <w:r w:rsidRPr="00FB0FD2">
        <w:rPr>
          <w:szCs w:val="26"/>
        </w:rPr>
        <w:t xml:space="preserve"> to revive this claim as well.</w:t>
      </w:r>
      <w:r w:rsidR="00414BDC" w:rsidRPr="00FB0FD2">
        <w:rPr>
          <w:szCs w:val="26"/>
        </w:rPr>
        <w:t xml:space="preserve">  </w:t>
      </w:r>
      <w:r w:rsidR="008D1E18" w:rsidRPr="00FB0FD2">
        <w:rPr>
          <w:szCs w:val="26"/>
        </w:rPr>
        <w:t xml:space="preserve">Civil Code section 1656.1, subdivisions (a) and (d) establish a “rebuttable </w:t>
      </w:r>
      <w:proofErr w:type="gramStart"/>
      <w:r w:rsidR="008D1E18" w:rsidRPr="00FB0FD2">
        <w:rPr>
          <w:szCs w:val="26"/>
        </w:rPr>
        <w:t>presumption[</w:t>
      </w:r>
      <w:proofErr w:type="gramEnd"/>
      <w:r w:rsidR="008D1E18" w:rsidRPr="00FB0FD2">
        <w:rPr>
          <w:szCs w:val="26"/>
        </w:rPr>
        <w:t>]” that retailers and purchasers “</w:t>
      </w:r>
      <w:r w:rsidR="008D1E18" w:rsidRPr="00FB0FD2">
        <w:rPr>
          <w:color w:val="000000"/>
          <w:szCs w:val="26"/>
        </w:rPr>
        <w:t>agreed to the addition of sales tax reimbursement to the sales price of tangible personal property sold at retail to a purchaser” if certain notice requirements are met.</w:t>
      </w:r>
      <w:r w:rsidR="008D1E18" w:rsidRPr="00FB0FD2">
        <w:rPr>
          <w:szCs w:val="26"/>
        </w:rPr>
        <w:t xml:space="preserve">  Plaintiffs </w:t>
      </w:r>
      <w:r w:rsidR="00414BDC" w:rsidRPr="00FB0FD2">
        <w:rPr>
          <w:szCs w:val="26"/>
        </w:rPr>
        <w:t xml:space="preserve">argue that if they are not permitted to claim breach of contract on the ground that they agreed only to pay sales tax reimbursement on purchases </w:t>
      </w:r>
      <w:r w:rsidR="00414BDC" w:rsidRPr="00FB0FD2">
        <w:rPr>
          <w:i/>
          <w:szCs w:val="26"/>
        </w:rPr>
        <w:t>actually</w:t>
      </w:r>
      <w:r w:rsidR="00414BDC" w:rsidRPr="00FB0FD2">
        <w:rPr>
          <w:szCs w:val="26"/>
        </w:rPr>
        <w:t xml:space="preserve"> subject to tax, then the rebuttable presumption will improperly become an irrebuttable presumption.</w:t>
      </w:r>
    </w:p>
    <w:p w14:paraId="2B8EC1BB" w14:textId="77777777" w:rsidR="00B778CD" w:rsidRPr="00FB0FD2" w:rsidRDefault="00414BDC" w:rsidP="00FB0FD2">
      <w:pPr>
        <w:ind w:firstLine="720"/>
      </w:pPr>
      <w:r w:rsidRPr="00FB0FD2">
        <w:t xml:space="preserve">This argument is foreclosed by </w:t>
      </w:r>
      <w:r w:rsidR="0086290B" w:rsidRPr="00FB0FD2">
        <w:rPr>
          <w:i/>
        </w:rPr>
        <w:t>Loeffler</w:t>
      </w:r>
      <w:r w:rsidRPr="00FB0FD2">
        <w:t xml:space="preserve">.  </w:t>
      </w:r>
      <w:r w:rsidR="008D1E18" w:rsidRPr="00FB0FD2">
        <w:t>In that case, w</w:t>
      </w:r>
      <w:r w:rsidRPr="00FB0FD2">
        <w:t>e held</w:t>
      </w:r>
      <w:r w:rsidR="0071525B" w:rsidRPr="00FB0FD2">
        <w:t xml:space="preserve"> </w:t>
      </w:r>
      <w:r w:rsidR="003B6501" w:rsidRPr="00FB0FD2">
        <w:t xml:space="preserve">that </w:t>
      </w:r>
      <w:r w:rsidRPr="00FB0FD2">
        <w:t>consumers</w:t>
      </w:r>
      <w:r w:rsidR="003B6501" w:rsidRPr="00FB0FD2">
        <w:t xml:space="preserve"> could not bring </w:t>
      </w:r>
      <w:r w:rsidR="00BD589C" w:rsidRPr="00FB0FD2">
        <w:t>actions</w:t>
      </w:r>
      <w:r w:rsidR="003B6501" w:rsidRPr="00FB0FD2">
        <w:t xml:space="preserve"> under the</w:t>
      </w:r>
      <w:r w:rsidRPr="00FB0FD2">
        <w:t xml:space="preserve"> Unfair Competition Law or the Consumer Legal Remedies Act </w:t>
      </w:r>
      <w:r w:rsidR="003B6501" w:rsidRPr="00FB0FD2">
        <w:t xml:space="preserve">to </w:t>
      </w:r>
      <w:r w:rsidR="00BD589C" w:rsidRPr="00FB0FD2">
        <w:t xml:space="preserve">challenge a retailer’s alleged misrepresentation of the taxability of hot coffee.  </w:t>
      </w:r>
      <w:r w:rsidR="003B6501" w:rsidRPr="00FB0FD2">
        <w:t>(</w:t>
      </w:r>
      <w:r w:rsidR="004D79AC" w:rsidRPr="00FB0FD2">
        <w:rPr>
          <w:i/>
        </w:rPr>
        <w:t>Loeffler</w:t>
      </w:r>
      <w:r w:rsidR="004D79AC" w:rsidRPr="00FB0FD2">
        <w:t>,</w:t>
      </w:r>
      <w:r w:rsidR="00BD589C" w:rsidRPr="00FB0FD2">
        <w:t xml:space="preserve"> </w:t>
      </w:r>
      <w:r w:rsidR="00BD589C" w:rsidRPr="00FB0FD2">
        <w:rPr>
          <w:i/>
        </w:rPr>
        <w:t>supra</w:t>
      </w:r>
      <w:r w:rsidR="00BD589C" w:rsidRPr="00FB0FD2">
        <w:t>,</w:t>
      </w:r>
      <w:r w:rsidR="004D79AC" w:rsidRPr="00FB0FD2">
        <w:t xml:space="preserve"> </w:t>
      </w:r>
      <w:r w:rsidR="003B6501" w:rsidRPr="00FB0FD2">
        <w:t xml:space="preserve">58 Cal.4th at p. 1092.)  </w:t>
      </w:r>
      <w:r w:rsidR="00BD589C" w:rsidRPr="00FB0FD2">
        <w:t>W</w:t>
      </w:r>
      <w:r w:rsidR="003B6501" w:rsidRPr="00FB0FD2">
        <w:t xml:space="preserve">e </w:t>
      </w:r>
      <w:proofErr w:type="gramStart"/>
      <w:r w:rsidR="00BD589C" w:rsidRPr="00FB0FD2">
        <w:t>said</w:t>
      </w:r>
      <w:proofErr w:type="gramEnd"/>
      <w:r w:rsidR="00BD589C" w:rsidRPr="00FB0FD2">
        <w:t xml:space="preserve"> </w:t>
      </w:r>
      <w:r w:rsidR="003B6501" w:rsidRPr="00FB0FD2">
        <w:t xml:space="preserve">“it is clear that a remedy that is directed at requiring the taxpayer to make a claim for refund from the </w:t>
      </w:r>
      <w:r w:rsidR="00BD589C" w:rsidRPr="00FB0FD2">
        <w:t>Board</w:t>
      </w:r>
      <w:r w:rsidR="003B6501" w:rsidRPr="00FB0FD2">
        <w:t>, rather than one involving a direct claim by the consumer against the retailer, is the remedy that is consistent with the current governing statutory scheme.”  (</w:t>
      </w:r>
      <w:r w:rsidR="003B6501" w:rsidRPr="00FB0FD2">
        <w:rPr>
          <w:i/>
        </w:rPr>
        <w:t>Id.</w:t>
      </w:r>
      <w:r w:rsidR="003B6501" w:rsidRPr="00FB0FD2">
        <w:t xml:space="preserve"> at p. 1133.)  </w:t>
      </w:r>
      <w:r w:rsidR="00B778CD" w:rsidRPr="00FB0FD2">
        <w:t xml:space="preserve">We explained that “a </w:t>
      </w:r>
      <w:proofErr w:type="spellStart"/>
      <w:r w:rsidR="00B778CD" w:rsidRPr="00FB0FD2">
        <w:rPr>
          <w:i/>
        </w:rPr>
        <w:t>Javor</w:t>
      </w:r>
      <w:proofErr w:type="spellEnd"/>
      <w:r w:rsidR="00B778CD" w:rsidRPr="00FB0FD2">
        <w:t>-type remedy for consumers</w:t>
      </w:r>
      <w:r w:rsidR="003D7F19">
        <w:t>,</w:t>
      </w:r>
      <w:r w:rsidR="00B778CD" w:rsidRPr="00FB0FD2">
        <w:t>” which compels retailers to file a refund claim with the Department</w:t>
      </w:r>
      <w:r w:rsidR="003D7F19">
        <w:t>,</w:t>
      </w:r>
      <w:r w:rsidR="00B778CD" w:rsidRPr="00FB0FD2">
        <w:t xml:space="preserve"> is “an appropriate means to vindicate a consumer interest in a refund of a reimbursement charge” and that </w:t>
      </w:r>
      <w:proofErr w:type="spellStart"/>
      <w:r w:rsidR="00B778CD" w:rsidRPr="00FB0FD2">
        <w:rPr>
          <w:i/>
        </w:rPr>
        <w:t>Javor</w:t>
      </w:r>
      <w:proofErr w:type="spellEnd"/>
      <w:r w:rsidR="00B778CD" w:rsidRPr="00FB0FD2">
        <w:t xml:space="preserve"> “do[es] not suggest” that taxability issues “should be resolved in a consumer action” against the retailer.  (</w:t>
      </w:r>
      <w:r w:rsidR="005F450D">
        <w:rPr>
          <w:i/>
        </w:rPr>
        <w:t>Ibid</w:t>
      </w:r>
      <w:r w:rsidR="00B778CD" w:rsidRPr="00FB0FD2">
        <w:t xml:space="preserve">.)  </w:t>
      </w:r>
      <w:r w:rsidR="008D1E18" w:rsidRPr="00FB0FD2">
        <w:rPr>
          <w:i/>
        </w:rPr>
        <w:t>Loeffler</w:t>
      </w:r>
      <w:r w:rsidR="00B73CDB" w:rsidRPr="00FB0FD2">
        <w:t>’s</w:t>
      </w:r>
      <w:r w:rsidR="00B73CDB" w:rsidRPr="00FB0FD2">
        <w:rPr>
          <w:i/>
        </w:rPr>
        <w:t xml:space="preserve"> </w:t>
      </w:r>
      <w:r w:rsidR="00B73CDB" w:rsidRPr="00FB0FD2">
        <w:t>reasoning</w:t>
      </w:r>
      <w:r w:rsidR="008D1E18" w:rsidRPr="00FB0FD2">
        <w:t xml:space="preserve"> </w:t>
      </w:r>
      <w:r w:rsidR="00082D7B" w:rsidRPr="00FB0FD2">
        <w:t xml:space="preserve">does not convert the rebuttable presumption set forth in Civil Code section 1656.1 into an irrebuttable presumption.  It simply means that the </w:t>
      </w:r>
      <w:r w:rsidR="00082D7B" w:rsidRPr="00FB0FD2">
        <w:lastRenderedPageBreak/>
        <w:t>avenues available to plaintiffs for rebutting the presumption must be ones consistent with the tax code.</w:t>
      </w:r>
    </w:p>
    <w:p w14:paraId="1EAAFB6D" w14:textId="77777777" w:rsidR="003C6352" w:rsidRPr="00FB0FD2" w:rsidRDefault="000F1B5B" w:rsidP="00C914EB">
      <w:pPr>
        <w:jc w:val="center"/>
        <w:rPr>
          <w:b/>
        </w:rPr>
      </w:pPr>
      <w:r w:rsidRPr="00FB0FD2">
        <w:rPr>
          <w:b/>
        </w:rPr>
        <w:t>CONCLUSION</w:t>
      </w:r>
    </w:p>
    <w:p w14:paraId="207C4BEF" w14:textId="77777777" w:rsidR="000A1F66" w:rsidRPr="00FB0FD2" w:rsidRDefault="00E63B51" w:rsidP="00FB0FD2">
      <w:pPr>
        <w:ind w:firstLine="720"/>
      </w:pPr>
      <w:r w:rsidRPr="00FB0FD2">
        <w:t>W</w:t>
      </w:r>
      <w:r w:rsidR="004B178C" w:rsidRPr="00FB0FD2">
        <w:t xml:space="preserve">e </w:t>
      </w:r>
      <w:r w:rsidR="002C4677" w:rsidRPr="00FB0FD2">
        <w:t xml:space="preserve">affirm </w:t>
      </w:r>
      <w:r w:rsidR="004B178C" w:rsidRPr="00FB0FD2">
        <w:t xml:space="preserve">the </w:t>
      </w:r>
      <w:r w:rsidR="008E67A6" w:rsidRPr="00FB0FD2">
        <w:t>judgment of the Court of Appeal</w:t>
      </w:r>
      <w:r w:rsidR="002C4677" w:rsidRPr="00FB0FD2">
        <w:t>.</w:t>
      </w:r>
    </w:p>
    <w:p w14:paraId="5B79C04D" w14:textId="77777777" w:rsidR="008E67A6" w:rsidRPr="00FB0FD2" w:rsidRDefault="008E67A6" w:rsidP="00FB0FD2">
      <w:pPr>
        <w:ind w:firstLine="720"/>
      </w:pPr>
    </w:p>
    <w:p w14:paraId="68D337D1" w14:textId="77777777" w:rsidR="00EB335A" w:rsidRPr="00FB0FD2" w:rsidRDefault="00EB335A" w:rsidP="00FB0FD2">
      <w:pPr>
        <w:ind w:firstLine="720"/>
      </w:pPr>
      <w:r w:rsidRPr="00FB0FD2">
        <w:rPr>
          <w:b/>
        </w:rPr>
        <w:tab/>
      </w:r>
      <w:r w:rsidRPr="00FB0FD2">
        <w:rPr>
          <w:b/>
        </w:rPr>
        <w:tab/>
      </w:r>
      <w:r w:rsidRPr="00FB0FD2">
        <w:rPr>
          <w:b/>
        </w:rPr>
        <w:tab/>
      </w:r>
      <w:r w:rsidRPr="00FB0FD2">
        <w:rPr>
          <w:b/>
        </w:rPr>
        <w:tab/>
      </w:r>
      <w:r w:rsidRPr="00FB0FD2">
        <w:rPr>
          <w:b/>
        </w:rPr>
        <w:tab/>
      </w:r>
      <w:r w:rsidRPr="00FB0FD2">
        <w:rPr>
          <w:b/>
        </w:rPr>
        <w:tab/>
      </w:r>
      <w:r w:rsidR="005F450D">
        <w:rPr>
          <w:b/>
        </w:rPr>
        <w:tab/>
      </w:r>
      <w:r w:rsidR="005F450D">
        <w:rPr>
          <w:b/>
        </w:rPr>
        <w:tab/>
      </w:r>
      <w:r w:rsidR="000F1B5B" w:rsidRPr="00FB0FD2">
        <w:rPr>
          <w:b/>
        </w:rPr>
        <w:t>LIU, J.</w:t>
      </w:r>
    </w:p>
    <w:p w14:paraId="0A1131B5" w14:textId="77777777" w:rsidR="00FB0FD2" w:rsidRDefault="00FB0FD2" w:rsidP="00FB0FD2"/>
    <w:p w14:paraId="50ACABFE" w14:textId="77777777" w:rsidR="00FB0FD2" w:rsidRDefault="00FB0FD2" w:rsidP="00FB0FD2"/>
    <w:p w14:paraId="0B4F14CE" w14:textId="77777777" w:rsidR="00162977" w:rsidRPr="00146FD3" w:rsidRDefault="002B6652" w:rsidP="00162977">
      <w:pPr>
        <w:spacing w:after="120" w:line="240" w:lineRule="auto"/>
        <w:rPr>
          <w:b/>
        </w:rPr>
      </w:pPr>
      <w:r w:rsidRPr="00146FD3">
        <w:rPr>
          <w:b/>
        </w:rPr>
        <w:t>We Concur</w:t>
      </w:r>
      <w:r w:rsidR="00146FD3" w:rsidRPr="00146FD3">
        <w:rPr>
          <w:b/>
        </w:rPr>
        <w:t>:</w:t>
      </w:r>
    </w:p>
    <w:p w14:paraId="73DDDB08" w14:textId="77777777" w:rsidR="00146FD3" w:rsidRPr="00146FD3" w:rsidRDefault="00146FD3" w:rsidP="00146FD3">
      <w:pPr>
        <w:spacing w:after="0" w:line="240" w:lineRule="auto"/>
        <w:rPr>
          <w:rFonts w:ascii="Calibri" w:hAnsi="Calibri"/>
          <w:b/>
          <w:sz w:val="22"/>
          <w:lang w:val="it-IT"/>
        </w:rPr>
      </w:pPr>
      <w:r w:rsidRPr="00146FD3">
        <w:rPr>
          <w:b/>
          <w:lang w:val="it-IT"/>
        </w:rPr>
        <w:t>CANTIL-SAKAUYE, C.J.</w:t>
      </w:r>
    </w:p>
    <w:p w14:paraId="2128A497" w14:textId="77777777" w:rsidR="00146FD3" w:rsidRPr="00146FD3" w:rsidRDefault="00146FD3" w:rsidP="00146FD3">
      <w:pPr>
        <w:spacing w:after="0" w:line="240" w:lineRule="auto"/>
        <w:rPr>
          <w:b/>
          <w:lang w:val="it-IT"/>
        </w:rPr>
      </w:pPr>
      <w:r w:rsidRPr="00146FD3">
        <w:rPr>
          <w:b/>
          <w:lang w:val="it-IT"/>
        </w:rPr>
        <w:t>CHIN, J.</w:t>
      </w:r>
    </w:p>
    <w:p w14:paraId="2F3EF0E0" w14:textId="77777777" w:rsidR="00146FD3" w:rsidRPr="00146FD3" w:rsidRDefault="00146FD3" w:rsidP="00146FD3">
      <w:pPr>
        <w:spacing w:after="0" w:line="240" w:lineRule="auto"/>
        <w:rPr>
          <w:b/>
          <w:lang w:val="it-IT"/>
        </w:rPr>
      </w:pPr>
      <w:r w:rsidRPr="00146FD3">
        <w:rPr>
          <w:b/>
          <w:lang w:val="it-IT"/>
        </w:rPr>
        <w:t>CORRIGAN, J.</w:t>
      </w:r>
    </w:p>
    <w:p w14:paraId="1CAB87CF" w14:textId="77777777" w:rsidR="00146FD3" w:rsidRPr="00146FD3" w:rsidRDefault="00146FD3" w:rsidP="00146FD3">
      <w:pPr>
        <w:spacing w:after="0" w:line="240" w:lineRule="auto"/>
        <w:rPr>
          <w:b/>
          <w:lang w:val="it-IT"/>
        </w:rPr>
      </w:pPr>
      <w:r w:rsidRPr="00146FD3">
        <w:rPr>
          <w:b/>
          <w:lang w:val="it-IT"/>
        </w:rPr>
        <w:t>CUÉLLAR, J.</w:t>
      </w:r>
    </w:p>
    <w:p w14:paraId="7B85E025" w14:textId="77777777" w:rsidR="00146FD3" w:rsidRPr="00146FD3" w:rsidRDefault="00146FD3" w:rsidP="00146FD3">
      <w:pPr>
        <w:spacing w:after="0" w:line="240" w:lineRule="auto"/>
        <w:rPr>
          <w:b/>
          <w:lang w:val="it-IT"/>
        </w:rPr>
      </w:pPr>
      <w:r w:rsidRPr="00146FD3">
        <w:rPr>
          <w:b/>
          <w:lang w:val="it-IT"/>
        </w:rPr>
        <w:t>KRUGER, J.</w:t>
      </w:r>
    </w:p>
    <w:p w14:paraId="59F4E460" w14:textId="77777777" w:rsidR="00146FD3" w:rsidRPr="00162977" w:rsidRDefault="00146FD3" w:rsidP="00162977">
      <w:pPr>
        <w:spacing w:after="0" w:line="240" w:lineRule="auto"/>
        <w:rPr>
          <w:lang w:val="it-IT"/>
        </w:rPr>
      </w:pPr>
      <w:r w:rsidRPr="00146FD3">
        <w:rPr>
          <w:b/>
          <w:lang w:val="it-IT"/>
        </w:rPr>
        <w:t>O’LEARY, J.</w:t>
      </w:r>
      <w:r w:rsidR="00162977">
        <w:rPr>
          <w:rStyle w:val="FootnoteReference"/>
          <w:b w:val="0"/>
          <w:lang w:val="it-IT"/>
        </w:rPr>
        <w:footnoteReference w:customMarkFollows="1" w:id="3"/>
        <w:t>*</w:t>
      </w:r>
    </w:p>
    <w:p w14:paraId="22EA174F" w14:textId="77777777" w:rsidR="00146FD3" w:rsidRDefault="00146FD3" w:rsidP="00FB0FD2">
      <w:pPr>
        <w:rPr>
          <w:b/>
        </w:rPr>
      </w:pPr>
    </w:p>
    <w:p w14:paraId="098D02C6" w14:textId="77777777" w:rsidR="00146FD3" w:rsidRPr="00FB0FD2" w:rsidRDefault="00146FD3" w:rsidP="00FB0FD2">
      <w:pPr>
        <w:rPr>
          <w:b/>
          <w:caps/>
        </w:rPr>
        <w:sectPr w:rsidR="00146FD3" w:rsidRPr="00FB0FD2" w:rsidSect="0063471B">
          <w:footerReference w:type="first" r:id="rId8"/>
          <w:pgSz w:w="12240" w:h="15840"/>
          <w:pgMar w:top="1800" w:right="2160" w:bottom="1440" w:left="2160" w:header="720" w:footer="720" w:gutter="0"/>
          <w:pgNumType w:start="1"/>
          <w:cols w:space="720"/>
          <w:titlePg/>
          <w:docGrid w:linePitch="367"/>
        </w:sectPr>
      </w:pPr>
    </w:p>
    <w:p w14:paraId="01B02DF1" w14:textId="77777777" w:rsidR="00E11DEE" w:rsidRPr="00E11DEE" w:rsidRDefault="00E11DEE" w:rsidP="00E11DEE">
      <w:pPr>
        <w:jc w:val="center"/>
        <w:rPr>
          <w:b/>
          <w:caps/>
        </w:rPr>
      </w:pPr>
      <w:bookmarkStart w:id="6" w:name="initials"/>
      <w:bookmarkEnd w:id="6"/>
      <w:proofErr w:type="spellStart"/>
      <w:r w:rsidRPr="00E11DEE">
        <w:rPr>
          <w:b/>
          <w:caps/>
        </w:rPr>
        <w:lastRenderedPageBreak/>
        <w:t>M</w:t>
      </w:r>
      <w:r w:rsidRPr="00E11DEE">
        <w:rPr>
          <w:b/>
          <w:smallCaps/>
        </w:rPr>
        <w:t>c</w:t>
      </w:r>
      <w:r w:rsidRPr="00E11DEE">
        <w:rPr>
          <w:b/>
          <w:caps/>
        </w:rPr>
        <w:t>CLAIN</w:t>
      </w:r>
      <w:proofErr w:type="spellEnd"/>
      <w:r w:rsidRPr="00E11DEE">
        <w:rPr>
          <w:b/>
          <w:caps/>
        </w:rPr>
        <w:t xml:space="preserve"> </w:t>
      </w:r>
      <w:r w:rsidRPr="00E11DEE">
        <w:rPr>
          <w:b/>
        </w:rPr>
        <w:t>v</w:t>
      </w:r>
      <w:r w:rsidRPr="00E11DEE">
        <w:rPr>
          <w:b/>
          <w:caps/>
        </w:rPr>
        <w:t xml:space="preserve">. </w:t>
      </w:r>
      <w:bookmarkStart w:id="7" w:name="defendant"/>
      <w:bookmarkEnd w:id="7"/>
      <w:r w:rsidRPr="00E11DEE">
        <w:rPr>
          <w:b/>
          <w:caps/>
        </w:rPr>
        <w:t>SAV-ON DRUGS</w:t>
      </w:r>
    </w:p>
    <w:p w14:paraId="5EDF1904" w14:textId="77777777" w:rsidR="00E11DEE" w:rsidRPr="00E11DEE" w:rsidRDefault="00E11DEE" w:rsidP="00E11DEE">
      <w:pPr>
        <w:jc w:val="center"/>
      </w:pPr>
      <w:r w:rsidRPr="00E11DEE">
        <w:t>S</w:t>
      </w:r>
      <w:bookmarkStart w:id="8" w:name="casenum"/>
      <w:bookmarkEnd w:id="8"/>
      <w:r w:rsidRPr="00E11DEE">
        <w:t>241471</w:t>
      </w:r>
    </w:p>
    <w:p w14:paraId="2FCF9D93" w14:textId="77777777" w:rsidR="00E11DEE" w:rsidRPr="00E11DEE" w:rsidRDefault="00E11DEE" w:rsidP="00E11DEE"/>
    <w:p w14:paraId="4ADCE931" w14:textId="77777777" w:rsidR="00E11DEE" w:rsidRPr="00E11DEE" w:rsidRDefault="00E11DEE" w:rsidP="00E11DEE">
      <w:pPr>
        <w:jc w:val="center"/>
        <w:rPr>
          <w:b/>
          <w:caps/>
        </w:rPr>
      </w:pPr>
      <w:bookmarkStart w:id="9" w:name="opinion"/>
      <w:bookmarkEnd w:id="9"/>
      <w:r w:rsidRPr="00E11DEE">
        <w:rPr>
          <w:b/>
          <w:caps/>
        </w:rPr>
        <w:t>C</w:t>
      </w:r>
      <w:r w:rsidRPr="00E11DEE">
        <w:rPr>
          <w:b/>
        </w:rPr>
        <w:t>oncurring Opinion by Justice Kruger</w:t>
      </w:r>
      <w:bookmarkStart w:id="10" w:name="justice"/>
      <w:bookmarkEnd w:id="10"/>
    </w:p>
    <w:p w14:paraId="17EAE002" w14:textId="77777777" w:rsidR="00E11DEE" w:rsidRPr="00E11DEE" w:rsidRDefault="00E11DEE" w:rsidP="00E11DEE"/>
    <w:p w14:paraId="28A07316" w14:textId="77777777" w:rsidR="00E11DEE" w:rsidRPr="00E11DEE" w:rsidRDefault="00E11DEE" w:rsidP="00E11DEE">
      <w:pPr>
        <w:ind w:firstLine="720"/>
      </w:pPr>
      <w:r w:rsidRPr="00E11DEE">
        <w:t xml:space="preserve">I agree with the majority that plaintiffs in this case do not have an equitable cause of action to compel the retailers to seek a refund of sales taxes paid to the state.  Although we fashioned such a remedy in </w:t>
      </w:r>
      <w:proofErr w:type="spellStart"/>
      <w:r w:rsidRPr="00E11DEE">
        <w:rPr>
          <w:i/>
        </w:rPr>
        <w:t>Javor</w:t>
      </w:r>
      <w:proofErr w:type="spellEnd"/>
      <w:r w:rsidRPr="00E11DEE">
        <w:rPr>
          <w:i/>
        </w:rPr>
        <w:t xml:space="preserve"> v. State Board of Equalization</w:t>
      </w:r>
      <w:r w:rsidRPr="00E11DEE">
        <w:t xml:space="preserve"> (1974) 12 Cal.3d 790, we did so with the recognition that the Legislature that enacted the sales tax laws had not provided a direct refund remedy for consumers (who are not, technically speaking, the taxpayers under California’s sales tax law).  (</w:t>
      </w:r>
      <w:r w:rsidRPr="00E11DEE">
        <w:rPr>
          <w:i/>
        </w:rPr>
        <w:t>Id.</w:t>
      </w:r>
      <w:r w:rsidRPr="00E11DEE">
        <w:t xml:space="preserve"> at p. 800.)  We held, however, in the “unique circumstances” of that case—in which the State Board of Equalization had publicly announced that refunds were owed to consumers, thanks to intervening changes in federal tax law, but retailers had not stepped forward to facilitate their disbursement—that a judicially created remedy was necessary to ensure consumers actually received the refunds.  Without such a remedy, we concluded, the state would be unjustly enriched.  (</w:t>
      </w:r>
      <w:r w:rsidRPr="00E11DEE">
        <w:rPr>
          <w:i/>
        </w:rPr>
        <w:t>Id.</w:t>
      </w:r>
      <w:r w:rsidRPr="00E11DEE">
        <w:t xml:space="preserve"> at p. 802.)  Here there are no comparable “unique circumstances”; this is, rather, a more typical contest over the applicability of the sales tax to a particular category of transactions.  To recognize an equitable </w:t>
      </w:r>
      <w:proofErr w:type="spellStart"/>
      <w:r w:rsidRPr="00E11DEE">
        <w:rPr>
          <w:i/>
        </w:rPr>
        <w:t>Javor</w:t>
      </w:r>
      <w:proofErr w:type="spellEnd"/>
      <w:r w:rsidRPr="00E11DEE">
        <w:rPr>
          <w:i/>
        </w:rPr>
        <w:t>-</w:t>
      </w:r>
      <w:r w:rsidRPr="00E11DEE">
        <w:t>type cause of action under the facts of this case would not comport with the basic structure of the refund procedure provided by statute.</w:t>
      </w:r>
    </w:p>
    <w:p w14:paraId="2E6BDBF9" w14:textId="77777777" w:rsidR="00E11DEE" w:rsidRPr="00E11DEE" w:rsidRDefault="00E11DEE" w:rsidP="00E11DEE">
      <w:pPr>
        <w:ind w:firstLine="720"/>
      </w:pPr>
      <w:r w:rsidRPr="00E11DEE">
        <w:t xml:space="preserve">I write separately to address the role that “taxability” determinations play in this analysis.  (Maj. </w:t>
      </w:r>
      <w:proofErr w:type="spellStart"/>
      <w:r w:rsidRPr="00E11DEE">
        <w:t>opn</w:t>
      </w:r>
      <w:proofErr w:type="spellEnd"/>
      <w:r w:rsidRPr="00E11DEE">
        <w:t xml:space="preserve">., </w:t>
      </w:r>
      <w:r w:rsidRPr="00E11DEE">
        <w:rPr>
          <w:i/>
        </w:rPr>
        <w:t>ante</w:t>
      </w:r>
      <w:r w:rsidRPr="00E11DEE">
        <w:t xml:space="preserve">, at p. 7.)  As the majority notes, the law does provide avenues for plaintiffs </w:t>
      </w:r>
      <w:r w:rsidRPr="00E11DEE">
        <w:lastRenderedPageBreak/>
        <w:t xml:space="preserve">to challenge the applicability of the sales tax to the transactions at issue here, such as seeking a judicial declaration of the validity of governing tax regulations.  (Maj. </w:t>
      </w:r>
      <w:proofErr w:type="spellStart"/>
      <w:r w:rsidRPr="00E11DEE">
        <w:t>opn</w:t>
      </w:r>
      <w:proofErr w:type="spellEnd"/>
      <w:r w:rsidRPr="00E11DEE">
        <w:t xml:space="preserve">., </w:t>
      </w:r>
      <w:r w:rsidRPr="00E11DEE">
        <w:rPr>
          <w:i/>
        </w:rPr>
        <w:t>ante</w:t>
      </w:r>
      <w:r w:rsidRPr="00E11DEE">
        <w:t>, at pp. 9</w:t>
      </w:r>
      <w:r w:rsidRPr="00E11DEE">
        <w:rPr>
          <w:i/>
        </w:rPr>
        <w:t>–</w:t>
      </w:r>
      <w:r w:rsidRPr="00E11DEE">
        <w:t xml:space="preserve">10.)  The majority faults plaintiffs for failing to take that step, seeing “an important difference between circumstances like those in </w:t>
      </w:r>
      <w:proofErr w:type="spellStart"/>
      <w:r w:rsidRPr="00E11DEE">
        <w:rPr>
          <w:i/>
        </w:rPr>
        <w:t>Javor</w:t>
      </w:r>
      <w:proofErr w:type="spellEnd"/>
      <w:r w:rsidRPr="00E11DEE">
        <w:t xml:space="preserve">, where the taxability issue had already been resolved, and the circumstances here, where the taxability issue remains disputed.”  (Maj. </w:t>
      </w:r>
      <w:proofErr w:type="spellStart"/>
      <w:r w:rsidRPr="00E11DEE">
        <w:t>opn</w:t>
      </w:r>
      <w:proofErr w:type="spellEnd"/>
      <w:r w:rsidRPr="00E11DEE">
        <w:t xml:space="preserve">., </w:t>
      </w:r>
      <w:r w:rsidRPr="00E11DEE">
        <w:rPr>
          <w:i/>
        </w:rPr>
        <w:t>ante</w:t>
      </w:r>
      <w:r w:rsidRPr="00E11DEE">
        <w:t>, at p. 10; see</w:t>
      </w:r>
      <w:r w:rsidRPr="00E11DEE">
        <w:rPr>
          <w:i/>
        </w:rPr>
        <w:t xml:space="preserve"> id</w:t>
      </w:r>
      <w:r w:rsidRPr="00E11DEE">
        <w:t xml:space="preserve">. at p. 11.)  </w:t>
      </w:r>
    </w:p>
    <w:p w14:paraId="7AE2B625" w14:textId="77777777" w:rsidR="00E11DEE" w:rsidRPr="00E11DEE" w:rsidRDefault="00E11DEE" w:rsidP="00E11DEE">
      <w:pPr>
        <w:ind w:firstLine="720"/>
      </w:pPr>
      <w:r w:rsidRPr="00E11DEE">
        <w:t xml:space="preserve">I agree that plaintiffs’ failure to pursue their available statutory options is relevant to the determination of whether to fashion an equitable remedy here.  But while consumers may have alternative mechanisms to obtain an official determination that a transaction is exempt from sales tax (see </w:t>
      </w:r>
      <w:proofErr w:type="spellStart"/>
      <w:r w:rsidRPr="00E11DEE">
        <w:t>maj.</w:t>
      </w:r>
      <w:proofErr w:type="spellEnd"/>
      <w:r w:rsidRPr="00E11DEE">
        <w:t xml:space="preserve"> </w:t>
      </w:r>
      <w:proofErr w:type="spellStart"/>
      <w:r w:rsidRPr="00E11DEE">
        <w:t>opn</w:t>
      </w:r>
      <w:proofErr w:type="spellEnd"/>
      <w:r w:rsidRPr="00E11DEE">
        <w:t xml:space="preserve">., </w:t>
      </w:r>
      <w:r w:rsidRPr="00E11DEE">
        <w:rPr>
          <w:i/>
        </w:rPr>
        <w:t>ante</w:t>
      </w:r>
      <w:r w:rsidRPr="00E11DEE">
        <w:t xml:space="preserve">, p. 9), I would not characterize these mechanisms as the functional equivalent of administrative remedies that plaintiffs must exhaust before pursuing a </w:t>
      </w:r>
      <w:proofErr w:type="spellStart"/>
      <w:r w:rsidRPr="00E11DEE">
        <w:rPr>
          <w:i/>
        </w:rPr>
        <w:t>Javor</w:t>
      </w:r>
      <w:proofErr w:type="spellEnd"/>
      <w:r w:rsidRPr="00E11DEE">
        <w:t xml:space="preserve"> action.  The central difficulty with plaintiffs’ claim, as I see it, is not that they have skipped any particular set of procedural prerequisites to suit.  It is, rather, that any cause of action to compel retailer refund suits will create a certain amount of tension with a statutory scheme that presumes goods are taxable (Rev. &amp; Tax. Code, § 6091), and empowers the retailer to waive a potentially applicable tax exemption if it so chooses (</w:t>
      </w:r>
      <w:r w:rsidRPr="00E11DEE">
        <w:rPr>
          <w:i/>
        </w:rPr>
        <w:t>id.</w:t>
      </w:r>
      <w:r w:rsidRPr="00E11DEE">
        <w:t xml:space="preserve">, § 6905).  In such a system, the question becomes:  under what circumstances can we say the state has been </w:t>
      </w:r>
      <w:r w:rsidRPr="00E11DEE">
        <w:rPr>
          <w:i/>
        </w:rPr>
        <w:t>unjustly</w:t>
      </w:r>
      <w:r w:rsidRPr="00E11DEE">
        <w:t xml:space="preserve"> enriched by the retention of funds the retailers have turned over, such that consumers should be permitted to compel retailers to pursue restitution claims on their behalf?  The answer to that question is not easily reduced to a simple formula.  Accordingly, as the majority says, even when there has been a legal determination of some sort bearing on the taxability of a particular transaction, “additional legal </w:t>
      </w:r>
      <w:r w:rsidRPr="00E11DEE">
        <w:lastRenderedPageBreak/>
        <w:t xml:space="preserve">and equitable hurdles still may lie between a consumer and a </w:t>
      </w:r>
      <w:proofErr w:type="spellStart"/>
      <w:r w:rsidRPr="00E11DEE">
        <w:rPr>
          <w:i/>
          <w:iCs/>
        </w:rPr>
        <w:t>Javor</w:t>
      </w:r>
      <w:proofErr w:type="spellEnd"/>
      <w:r w:rsidRPr="00E11DEE">
        <w:t xml:space="preserve"> remedy.”  (Maj. </w:t>
      </w:r>
      <w:proofErr w:type="spellStart"/>
      <w:r w:rsidRPr="00E11DEE">
        <w:t>opn</w:t>
      </w:r>
      <w:proofErr w:type="spellEnd"/>
      <w:r w:rsidRPr="00E11DEE">
        <w:t xml:space="preserve">., </w:t>
      </w:r>
      <w:r w:rsidRPr="00E11DEE">
        <w:rPr>
          <w:i/>
        </w:rPr>
        <w:t>ante</w:t>
      </w:r>
      <w:r w:rsidRPr="00E11DEE">
        <w:t>, at p. 7.)</w:t>
      </w:r>
    </w:p>
    <w:p w14:paraId="6672AFB6" w14:textId="77777777" w:rsidR="00E11DEE" w:rsidRPr="00E11DEE" w:rsidRDefault="00E11DEE" w:rsidP="00E11DEE">
      <w:pPr>
        <w:ind w:firstLine="720"/>
      </w:pPr>
      <w:proofErr w:type="spellStart"/>
      <w:r w:rsidRPr="00E11DEE">
        <w:rPr>
          <w:i/>
        </w:rPr>
        <w:t>Javor</w:t>
      </w:r>
      <w:proofErr w:type="spellEnd"/>
      <w:r w:rsidRPr="00E11DEE">
        <w:t xml:space="preserve"> itself did not involve an official determination that a particular transaction was not </w:t>
      </w:r>
      <w:r w:rsidRPr="00E11DEE">
        <w:rPr>
          <w:i/>
        </w:rPr>
        <w:t>taxable</w:t>
      </w:r>
      <w:r w:rsidRPr="00E11DEE">
        <w:t xml:space="preserve">; it involved a determination that refunds were owed to consumers.  Other claims of unjust enrichment, based on other types of determinations, might raise different administrative and other considerations.  At present, however, given the policy choices embodied in the statutory scheme, plaintiffs have not demonstrated circumstances that counsel crafting a common law </w:t>
      </w:r>
      <w:proofErr w:type="spellStart"/>
      <w:r w:rsidRPr="00E11DEE">
        <w:t>restitutionary</w:t>
      </w:r>
      <w:proofErr w:type="spellEnd"/>
      <w:r w:rsidRPr="00E11DEE">
        <w:t xml:space="preserve"> remedy.</w:t>
      </w:r>
    </w:p>
    <w:p w14:paraId="58CBC623" w14:textId="77777777" w:rsidR="00E11DEE" w:rsidRPr="00E11DEE" w:rsidRDefault="00E11DEE" w:rsidP="00E11DEE">
      <w:pPr>
        <w:ind w:firstLine="720"/>
      </w:pPr>
      <w:r w:rsidRPr="00E11DEE">
        <w:t>With these observations, I concur.</w:t>
      </w:r>
    </w:p>
    <w:p w14:paraId="1C7D1192" w14:textId="77777777" w:rsidR="00E11DEE" w:rsidRPr="00E11DEE" w:rsidRDefault="00E11DEE" w:rsidP="00E11DEE">
      <w:pPr>
        <w:ind w:firstLine="720"/>
      </w:pPr>
    </w:p>
    <w:p w14:paraId="0517D440" w14:textId="77777777" w:rsidR="00E11DEE" w:rsidRPr="00E11DEE" w:rsidRDefault="00E11DEE" w:rsidP="00E11DEE">
      <w:pPr>
        <w:ind w:right="900" w:firstLine="720"/>
        <w:jc w:val="right"/>
        <w:rPr>
          <w:b/>
        </w:rPr>
      </w:pPr>
      <w:r w:rsidRPr="00E11DEE">
        <w:rPr>
          <w:b/>
        </w:rPr>
        <w:t>KRUGER, J.</w:t>
      </w:r>
    </w:p>
    <w:p w14:paraId="7E36564A" w14:textId="77777777" w:rsidR="00E11DEE" w:rsidRPr="00E11DEE" w:rsidRDefault="00E11DEE" w:rsidP="00E11DEE">
      <w:pPr>
        <w:ind w:right="900" w:firstLine="720"/>
        <w:jc w:val="right"/>
        <w:rPr>
          <w:b/>
        </w:rPr>
      </w:pPr>
    </w:p>
    <w:p w14:paraId="05995A2F" w14:textId="77777777" w:rsidR="00E11DEE" w:rsidRPr="00E11DEE" w:rsidRDefault="00E11DEE" w:rsidP="00E11DEE">
      <w:pPr>
        <w:ind w:right="900"/>
        <w:jc w:val="left"/>
        <w:rPr>
          <w:b/>
        </w:rPr>
      </w:pPr>
      <w:r w:rsidRPr="00E11DEE">
        <w:rPr>
          <w:b/>
        </w:rPr>
        <w:t>We Concur:</w:t>
      </w:r>
    </w:p>
    <w:p w14:paraId="672575F1" w14:textId="77777777" w:rsidR="00E11DEE" w:rsidRPr="00E11DEE" w:rsidRDefault="00E11DEE" w:rsidP="00E11DEE">
      <w:pPr>
        <w:spacing w:after="0" w:line="240" w:lineRule="auto"/>
        <w:ind w:right="907"/>
        <w:jc w:val="left"/>
        <w:rPr>
          <w:b/>
        </w:rPr>
      </w:pPr>
      <w:r w:rsidRPr="00E11DEE">
        <w:rPr>
          <w:b/>
        </w:rPr>
        <w:t>CHIN, J.</w:t>
      </w:r>
    </w:p>
    <w:p w14:paraId="232A9996" w14:textId="77777777" w:rsidR="00E11DEE" w:rsidRPr="00E11DEE" w:rsidRDefault="00E11DEE" w:rsidP="00E11DEE">
      <w:pPr>
        <w:spacing w:after="0" w:line="240" w:lineRule="auto"/>
        <w:ind w:right="907"/>
        <w:jc w:val="left"/>
        <w:rPr>
          <w:b/>
        </w:rPr>
      </w:pPr>
      <w:r w:rsidRPr="00E11DEE">
        <w:rPr>
          <w:b/>
        </w:rPr>
        <w:t>CORRIGAN, J.</w:t>
      </w:r>
    </w:p>
    <w:p w14:paraId="3452CCB6" w14:textId="77777777" w:rsidR="00E11DEE" w:rsidRPr="00E11DEE" w:rsidRDefault="00E11DEE" w:rsidP="00E11DEE">
      <w:pPr>
        <w:spacing w:after="0" w:line="240" w:lineRule="auto"/>
        <w:ind w:right="907"/>
        <w:jc w:val="left"/>
        <w:rPr>
          <w:b/>
        </w:rPr>
      </w:pPr>
      <w:r w:rsidRPr="00E11DEE">
        <w:rPr>
          <w:b/>
        </w:rPr>
        <w:t>O’LEARY, J.</w:t>
      </w:r>
      <w:r w:rsidRPr="00E11DEE">
        <w:rPr>
          <w:position w:val="4"/>
          <w:vertAlign w:val="superscript"/>
        </w:rPr>
        <w:footnoteReference w:customMarkFollows="1" w:id="4"/>
        <w:t>*</w:t>
      </w:r>
    </w:p>
    <w:p w14:paraId="678424F3" w14:textId="77777777" w:rsidR="008310EB" w:rsidRDefault="008310EB" w:rsidP="0007088F">
      <w:pPr>
        <w:tabs>
          <w:tab w:val="right" w:pos="7200"/>
        </w:tabs>
        <w:spacing w:after="0" w:line="240" w:lineRule="auto"/>
        <w:rPr>
          <w:b/>
          <w:caps/>
        </w:rPr>
        <w:sectPr w:rsidR="008310EB" w:rsidSect="00E11DEE">
          <w:headerReference w:type="even" r:id="rId9"/>
          <w:headerReference w:type="default" r:id="rId10"/>
          <w:footerReference w:type="even" r:id="rId11"/>
          <w:footerReference w:type="default" r:id="rId12"/>
          <w:headerReference w:type="first" r:id="rId13"/>
          <w:footerReference w:type="first" r:id="rId14"/>
          <w:pgSz w:w="12240" w:h="15840"/>
          <w:pgMar w:top="1800" w:right="2160" w:bottom="1440" w:left="2160" w:header="720" w:footer="720" w:gutter="0"/>
          <w:pgNumType w:start="1"/>
          <w:cols w:space="720"/>
          <w:titlePg/>
          <w:docGrid w:linePitch="367"/>
        </w:sectPr>
      </w:pPr>
    </w:p>
    <w:p w14:paraId="538A7F61" w14:textId="77777777" w:rsidR="008310EB" w:rsidRPr="008310EB" w:rsidRDefault="008310EB" w:rsidP="008310EB">
      <w:pPr>
        <w:spacing w:after="0" w:line="240" w:lineRule="auto"/>
        <w:jc w:val="left"/>
        <w:rPr>
          <w:rFonts w:ascii="Times New Roman" w:hAnsi="Times New Roman"/>
          <w:i/>
          <w:sz w:val="20"/>
        </w:rPr>
      </w:pPr>
      <w:r w:rsidRPr="008310EB">
        <w:rPr>
          <w:rFonts w:ascii="Times New Roman" w:hAnsi="Times New Roman"/>
          <w:i/>
          <w:sz w:val="20"/>
        </w:rPr>
        <w:lastRenderedPageBreak/>
        <w:t>See last page for addresses and telephone numbers for counsel who argued in Supreme Court.</w:t>
      </w:r>
    </w:p>
    <w:p w14:paraId="034584CF" w14:textId="77777777" w:rsidR="008310EB" w:rsidRPr="008310EB" w:rsidRDefault="008310EB" w:rsidP="008310EB">
      <w:pPr>
        <w:spacing w:after="0" w:line="240" w:lineRule="auto"/>
        <w:jc w:val="left"/>
        <w:rPr>
          <w:rFonts w:ascii="Times New Roman" w:hAnsi="Times New Roman"/>
          <w:i/>
          <w:sz w:val="20"/>
        </w:rPr>
      </w:pPr>
    </w:p>
    <w:p w14:paraId="1D04A123" w14:textId="77777777" w:rsidR="008310EB" w:rsidRPr="008310EB" w:rsidRDefault="008310EB" w:rsidP="008310EB">
      <w:pPr>
        <w:spacing w:after="0" w:line="240" w:lineRule="auto"/>
        <w:jc w:val="left"/>
        <w:rPr>
          <w:rFonts w:ascii="Times New Roman" w:hAnsi="Times New Roman"/>
          <w:bCs/>
          <w:i/>
          <w:sz w:val="20"/>
        </w:rPr>
      </w:pPr>
      <w:r w:rsidRPr="008310EB">
        <w:rPr>
          <w:rFonts w:ascii="Times New Roman" w:hAnsi="Times New Roman"/>
          <w:b/>
          <w:sz w:val="20"/>
        </w:rPr>
        <w:t>Name of Opinion</w:t>
      </w:r>
      <w:r w:rsidRPr="008310EB">
        <w:rPr>
          <w:rFonts w:ascii="Times New Roman" w:hAnsi="Times New Roman"/>
          <w:sz w:val="20"/>
        </w:rPr>
        <w:t xml:space="preserve"> McClain v. Sav-On Drugs</w:t>
      </w:r>
    </w:p>
    <w:p w14:paraId="55A68E70" w14:textId="77777777" w:rsidR="008310EB" w:rsidRPr="008310EB" w:rsidRDefault="008310EB" w:rsidP="008310EB">
      <w:pPr>
        <w:spacing w:after="0" w:line="240" w:lineRule="auto"/>
        <w:jc w:val="left"/>
        <w:rPr>
          <w:rFonts w:ascii="Times New Roman" w:hAnsi="Times New Roman"/>
          <w:b/>
          <w:sz w:val="20"/>
        </w:rPr>
      </w:pPr>
      <w:r w:rsidRPr="008310EB">
        <w:rPr>
          <w:rFonts w:ascii="Times New Roman" w:hAnsi="Times New Roman"/>
          <w:b/>
          <w:sz w:val="20"/>
        </w:rPr>
        <w:t>__________________________________________________________________________________</w:t>
      </w:r>
    </w:p>
    <w:p w14:paraId="71B33D8B" w14:textId="77777777" w:rsidR="008310EB" w:rsidRPr="008310EB" w:rsidRDefault="008310EB" w:rsidP="008310EB">
      <w:pPr>
        <w:spacing w:after="0" w:line="240" w:lineRule="auto"/>
        <w:jc w:val="left"/>
        <w:rPr>
          <w:rFonts w:ascii="Times New Roman" w:hAnsi="Times New Roman"/>
          <w:b/>
          <w:sz w:val="20"/>
        </w:rPr>
      </w:pPr>
    </w:p>
    <w:p w14:paraId="044CFC0E" w14:textId="77777777" w:rsidR="008310EB" w:rsidRPr="008310EB" w:rsidRDefault="008310EB" w:rsidP="008310EB">
      <w:pPr>
        <w:spacing w:after="0" w:line="240" w:lineRule="auto"/>
        <w:jc w:val="left"/>
        <w:rPr>
          <w:rFonts w:ascii="Times New Roman" w:hAnsi="Times New Roman"/>
          <w:bCs/>
          <w:sz w:val="20"/>
        </w:rPr>
      </w:pPr>
      <w:r w:rsidRPr="008310EB">
        <w:rPr>
          <w:rFonts w:ascii="Times New Roman" w:hAnsi="Times New Roman"/>
          <w:b/>
          <w:sz w:val="20"/>
        </w:rPr>
        <w:t>Unpublished Opinion</w:t>
      </w:r>
    </w:p>
    <w:p w14:paraId="186E509F"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b/>
          <w:sz w:val="20"/>
        </w:rPr>
        <w:t>Original Appeal</w:t>
      </w:r>
    </w:p>
    <w:p w14:paraId="5B17ABB1" w14:textId="77777777" w:rsidR="008310EB" w:rsidRPr="008310EB" w:rsidRDefault="008310EB" w:rsidP="008310EB">
      <w:pPr>
        <w:spacing w:after="0" w:line="240" w:lineRule="auto"/>
        <w:jc w:val="left"/>
        <w:rPr>
          <w:rFonts w:ascii="Times New Roman" w:hAnsi="Times New Roman"/>
          <w:b/>
          <w:sz w:val="20"/>
        </w:rPr>
      </w:pPr>
      <w:r w:rsidRPr="008310EB">
        <w:rPr>
          <w:rFonts w:ascii="Times New Roman" w:hAnsi="Times New Roman"/>
          <w:b/>
          <w:sz w:val="20"/>
        </w:rPr>
        <w:t>Original Proceeding</w:t>
      </w:r>
    </w:p>
    <w:p w14:paraId="36228D87"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b/>
          <w:sz w:val="20"/>
        </w:rPr>
        <w:t>Review Granted</w:t>
      </w:r>
      <w:r w:rsidRPr="008310EB">
        <w:rPr>
          <w:rFonts w:ascii="Times New Roman" w:hAnsi="Times New Roman"/>
          <w:sz w:val="20"/>
        </w:rPr>
        <w:t xml:space="preserve"> XXX 9 Cal.App.5th 684</w:t>
      </w:r>
    </w:p>
    <w:p w14:paraId="669C40EB" w14:textId="77777777" w:rsidR="008310EB" w:rsidRPr="008310EB" w:rsidRDefault="008310EB" w:rsidP="008310EB">
      <w:pPr>
        <w:spacing w:after="0" w:line="240" w:lineRule="auto"/>
        <w:jc w:val="left"/>
        <w:rPr>
          <w:rFonts w:ascii="Times New Roman" w:hAnsi="Times New Roman"/>
          <w:b/>
          <w:sz w:val="20"/>
        </w:rPr>
      </w:pPr>
      <w:r w:rsidRPr="008310EB">
        <w:rPr>
          <w:rFonts w:ascii="Times New Roman" w:hAnsi="Times New Roman"/>
          <w:b/>
          <w:sz w:val="20"/>
        </w:rPr>
        <w:t>Rehearing Granted</w:t>
      </w:r>
    </w:p>
    <w:p w14:paraId="13735F26" w14:textId="77777777" w:rsidR="008310EB" w:rsidRPr="008310EB" w:rsidRDefault="008310EB" w:rsidP="008310EB">
      <w:pPr>
        <w:spacing w:after="0" w:line="240" w:lineRule="auto"/>
        <w:jc w:val="left"/>
        <w:rPr>
          <w:rFonts w:ascii="Times New Roman" w:hAnsi="Times New Roman"/>
          <w:b/>
          <w:sz w:val="20"/>
        </w:rPr>
      </w:pPr>
    </w:p>
    <w:p w14:paraId="4C15FE3C" w14:textId="77777777" w:rsidR="008310EB" w:rsidRPr="008310EB" w:rsidRDefault="008310EB" w:rsidP="008310EB">
      <w:pPr>
        <w:spacing w:after="0" w:line="240" w:lineRule="auto"/>
        <w:jc w:val="left"/>
        <w:rPr>
          <w:rFonts w:ascii="Times New Roman" w:hAnsi="Times New Roman"/>
          <w:b/>
          <w:sz w:val="20"/>
        </w:rPr>
      </w:pPr>
      <w:r w:rsidRPr="008310EB">
        <w:rPr>
          <w:rFonts w:ascii="Times New Roman" w:hAnsi="Times New Roman"/>
          <w:b/>
          <w:sz w:val="20"/>
        </w:rPr>
        <w:t>__________________________________________________________________________________</w:t>
      </w:r>
    </w:p>
    <w:p w14:paraId="02C71DF1" w14:textId="77777777" w:rsidR="008310EB" w:rsidRPr="008310EB" w:rsidRDefault="008310EB" w:rsidP="008310EB">
      <w:pPr>
        <w:spacing w:after="0" w:line="240" w:lineRule="auto"/>
        <w:jc w:val="left"/>
        <w:rPr>
          <w:rFonts w:ascii="Times New Roman" w:hAnsi="Times New Roman"/>
          <w:b/>
          <w:sz w:val="20"/>
        </w:rPr>
      </w:pPr>
    </w:p>
    <w:p w14:paraId="2BD4475F" w14:textId="77777777" w:rsidR="008310EB" w:rsidRPr="008310EB" w:rsidRDefault="008310EB" w:rsidP="008310EB">
      <w:pPr>
        <w:spacing w:after="0" w:line="240" w:lineRule="auto"/>
        <w:jc w:val="left"/>
        <w:rPr>
          <w:rFonts w:ascii="Times New Roman" w:hAnsi="Times New Roman"/>
          <w:bCs/>
          <w:sz w:val="20"/>
        </w:rPr>
      </w:pPr>
      <w:r w:rsidRPr="008310EB">
        <w:rPr>
          <w:rFonts w:ascii="Times New Roman" w:hAnsi="Times New Roman"/>
          <w:b/>
          <w:sz w:val="20"/>
        </w:rPr>
        <w:t>Opinion No.</w:t>
      </w:r>
      <w:r w:rsidRPr="008310EB">
        <w:rPr>
          <w:rFonts w:ascii="Times New Roman" w:hAnsi="Times New Roman"/>
          <w:sz w:val="20"/>
        </w:rPr>
        <w:t xml:space="preserve"> S241471</w:t>
      </w:r>
    </w:p>
    <w:p w14:paraId="09C2D06C" w14:textId="77777777" w:rsidR="008310EB" w:rsidRPr="008310EB" w:rsidRDefault="008310EB" w:rsidP="008310EB">
      <w:pPr>
        <w:spacing w:after="0" w:line="240" w:lineRule="auto"/>
        <w:jc w:val="left"/>
        <w:rPr>
          <w:rFonts w:ascii="Times New Roman" w:hAnsi="Times New Roman"/>
          <w:bCs/>
          <w:sz w:val="20"/>
        </w:rPr>
      </w:pPr>
      <w:r w:rsidRPr="008310EB">
        <w:rPr>
          <w:rFonts w:ascii="Times New Roman" w:hAnsi="Times New Roman"/>
          <w:b/>
          <w:sz w:val="20"/>
        </w:rPr>
        <w:t>Date Filed:</w:t>
      </w:r>
      <w:r w:rsidRPr="008310EB">
        <w:rPr>
          <w:rFonts w:ascii="Times New Roman" w:hAnsi="Times New Roman"/>
          <w:sz w:val="20"/>
        </w:rPr>
        <w:t xml:space="preserve"> March 4, 2019</w:t>
      </w:r>
    </w:p>
    <w:p w14:paraId="11C27F9A" w14:textId="77777777" w:rsidR="008310EB" w:rsidRPr="008310EB" w:rsidRDefault="008310EB" w:rsidP="008310EB">
      <w:pPr>
        <w:spacing w:after="0" w:line="240" w:lineRule="auto"/>
        <w:jc w:val="left"/>
        <w:rPr>
          <w:rFonts w:ascii="Times New Roman" w:hAnsi="Times New Roman"/>
          <w:b/>
          <w:sz w:val="20"/>
        </w:rPr>
      </w:pPr>
      <w:r w:rsidRPr="008310EB">
        <w:rPr>
          <w:rFonts w:ascii="Times New Roman" w:hAnsi="Times New Roman"/>
          <w:b/>
          <w:sz w:val="20"/>
        </w:rPr>
        <w:t>__________________________________________________________________________________</w:t>
      </w:r>
    </w:p>
    <w:p w14:paraId="6DA5EB8B" w14:textId="77777777" w:rsidR="008310EB" w:rsidRPr="008310EB" w:rsidRDefault="008310EB" w:rsidP="008310EB">
      <w:pPr>
        <w:spacing w:after="0" w:line="240" w:lineRule="auto"/>
        <w:jc w:val="left"/>
        <w:rPr>
          <w:rFonts w:ascii="Times New Roman" w:hAnsi="Times New Roman"/>
          <w:b/>
          <w:sz w:val="20"/>
        </w:rPr>
      </w:pPr>
    </w:p>
    <w:p w14:paraId="114A20F8" w14:textId="77777777" w:rsidR="008310EB" w:rsidRPr="008310EB" w:rsidRDefault="008310EB" w:rsidP="008310EB">
      <w:pPr>
        <w:spacing w:after="0" w:line="240" w:lineRule="auto"/>
        <w:jc w:val="left"/>
        <w:rPr>
          <w:rFonts w:ascii="Times New Roman" w:hAnsi="Times New Roman"/>
          <w:bCs/>
          <w:sz w:val="20"/>
        </w:rPr>
      </w:pPr>
      <w:r w:rsidRPr="008310EB">
        <w:rPr>
          <w:rFonts w:ascii="Times New Roman" w:hAnsi="Times New Roman"/>
          <w:b/>
          <w:sz w:val="20"/>
        </w:rPr>
        <w:t>Court:</w:t>
      </w:r>
      <w:r w:rsidRPr="008310EB">
        <w:rPr>
          <w:rFonts w:ascii="Times New Roman" w:hAnsi="Times New Roman"/>
          <w:sz w:val="20"/>
        </w:rPr>
        <w:t xml:space="preserve"> Superior</w:t>
      </w:r>
    </w:p>
    <w:p w14:paraId="63DF8C1B" w14:textId="77777777" w:rsidR="008310EB" w:rsidRPr="008310EB" w:rsidRDefault="008310EB" w:rsidP="008310EB">
      <w:pPr>
        <w:spacing w:after="0" w:line="240" w:lineRule="auto"/>
        <w:jc w:val="left"/>
        <w:rPr>
          <w:rFonts w:ascii="Times New Roman" w:hAnsi="Times New Roman"/>
          <w:bCs/>
          <w:sz w:val="20"/>
        </w:rPr>
      </w:pPr>
      <w:r w:rsidRPr="008310EB">
        <w:rPr>
          <w:rFonts w:ascii="Times New Roman" w:hAnsi="Times New Roman"/>
          <w:b/>
          <w:sz w:val="20"/>
        </w:rPr>
        <w:t>County:</w:t>
      </w:r>
      <w:r w:rsidRPr="008310EB">
        <w:rPr>
          <w:rFonts w:ascii="Times New Roman" w:hAnsi="Times New Roman"/>
          <w:sz w:val="20"/>
        </w:rPr>
        <w:t xml:space="preserve"> Los Angeles</w:t>
      </w:r>
    </w:p>
    <w:p w14:paraId="120EC2A0" w14:textId="77777777" w:rsidR="008310EB" w:rsidRPr="008310EB" w:rsidRDefault="008310EB" w:rsidP="008310EB">
      <w:pPr>
        <w:spacing w:after="0" w:line="240" w:lineRule="auto"/>
        <w:ind w:left="720" w:hanging="720"/>
        <w:jc w:val="left"/>
        <w:rPr>
          <w:rFonts w:ascii="Times New Roman" w:hAnsi="Times New Roman"/>
          <w:bCs/>
          <w:sz w:val="20"/>
        </w:rPr>
      </w:pPr>
      <w:r w:rsidRPr="008310EB">
        <w:rPr>
          <w:rFonts w:ascii="Times New Roman" w:hAnsi="Times New Roman"/>
          <w:b/>
          <w:sz w:val="20"/>
        </w:rPr>
        <w:t>Judge:</w:t>
      </w:r>
      <w:r w:rsidRPr="008310EB">
        <w:rPr>
          <w:rFonts w:ascii="Times New Roman" w:hAnsi="Times New Roman"/>
          <w:sz w:val="20"/>
        </w:rPr>
        <w:t xml:space="preserve"> John Shepard Wiley, Jr., and Emilie H. Elias</w:t>
      </w:r>
    </w:p>
    <w:p w14:paraId="5B4D2D4B" w14:textId="77777777" w:rsidR="008310EB" w:rsidRPr="008310EB" w:rsidRDefault="008310EB" w:rsidP="008310EB">
      <w:pPr>
        <w:spacing w:after="0" w:line="240" w:lineRule="auto"/>
        <w:jc w:val="left"/>
        <w:rPr>
          <w:rFonts w:ascii="Times New Roman" w:hAnsi="Times New Roman"/>
          <w:b/>
          <w:sz w:val="20"/>
        </w:rPr>
      </w:pPr>
    </w:p>
    <w:p w14:paraId="3ACF86CA" w14:textId="77777777" w:rsidR="008310EB" w:rsidRPr="008310EB" w:rsidRDefault="008310EB" w:rsidP="008310EB">
      <w:pPr>
        <w:spacing w:after="0" w:line="240" w:lineRule="auto"/>
        <w:jc w:val="left"/>
        <w:rPr>
          <w:rFonts w:ascii="Times New Roman" w:hAnsi="Times New Roman"/>
          <w:b/>
          <w:sz w:val="20"/>
        </w:rPr>
      </w:pPr>
      <w:r w:rsidRPr="008310EB">
        <w:rPr>
          <w:rFonts w:ascii="Times New Roman" w:hAnsi="Times New Roman"/>
          <w:b/>
          <w:sz w:val="20"/>
        </w:rPr>
        <w:t>__________________________________________________________________________________</w:t>
      </w:r>
    </w:p>
    <w:p w14:paraId="4672C67A" w14:textId="77777777" w:rsidR="008310EB" w:rsidRPr="008310EB" w:rsidRDefault="008310EB" w:rsidP="008310EB">
      <w:pPr>
        <w:spacing w:after="0" w:line="240" w:lineRule="auto"/>
        <w:jc w:val="left"/>
        <w:rPr>
          <w:rFonts w:ascii="Times New Roman" w:hAnsi="Times New Roman"/>
          <w:b/>
          <w:sz w:val="20"/>
        </w:rPr>
      </w:pPr>
    </w:p>
    <w:p w14:paraId="3C352105" w14:textId="77777777" w:rsidR="008310EB" w:rsidRPr="008310EB" w:rsidRDefault="008310EB" w:rsidP="008310EB">
      <w:pPr>
        <w:spacing w:after="0" w:line="240" w:lineRule="auto"/>
        <w:jc w:val="left"/>
        <w:rPr>
          <w:rFonts w:ascii="Times New Roman" w:hAnsi="Times New Roman"/>
          <w:b/>
          <w:sz w:val="20"/>
        </w:rPr>
      </w:pPr>
      <w:r w:rsidRPr="008310EB">
        <w:rPr>
          <w:rFonts w:ascii="Times New Roman" w:hAnsi="Times New Roman"/>
          <w:b/>
          <w:sz w:val="20"/>
        </w:rPr>
        <w:t>Counsel:</w:t>
      </w:r>
    </w:p>
    <w:p w14:paraId="5D408977" w14:textId="77777777" w:rsidR="008310EB" w:rsidRPr="008310EB" w:rsidRDefault="008310EB" w:rsidP="008310EB">
      <w:pPr>
        <w:spacing w:after="0" w:line="240" w:lineRule="auto"/>
        <w:jc w:val="left"/>
        <w:rPr>
          <w:rFonts w:ascii="Times New Roman" w:hAnsi="Times New Roman"/>
          <w:b/>
          <w:sz w:val="20"/>
        </w:rPr>
      </w:pPr>
    </w:p>
    <w:p w14:paraId="0FE69378"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 xml:space="preserve">The Kick Law Firm, </w:t>
      </w:r>
      <w:proofErr w:type="spellStart"/>
      <w:r w:rsidRPr="008310EB">
        <w:rPr>
          <w:rFonts w:ascii="Times New Roman" w:hAnsi="Times New Roman"/>
          <w:sz w:val="20"/>
        </w:rPr>
        <w:t>Taras</w:t>
      </w:r>
      <w:proofErr w:type="spellEnd"/>
      <w:r w:rsidRPr="008310EB">
        <w:rPr>
          <w:rFonts w:ascii="Times New Roman" w:hAnsi="Times New Roman"/>
          <w:sz w:val="20"/>
        </w:rPr>
        <w:t xml:space="preserve"> P. Kick, G. James </w:t>
      </w:r>
      <w:proofErr w:type="spellStart"/>
      <w:r w:rsidRPr="008310EB">
        <w:rPr>
          <w:rFonts w:ascii="Times New Roman" w:hAnsi="Times New Roman"/>
          <w:sz w:val="20"/>
        </w:rPr>
        <w:t>Strenio</w:t>
      </w:r>
      <w:proofErr w:type="spellEnd"/>
      <w:r w:rsidRPr="008310EB">
        <w:rPr>
          <w:rFonts w:ascii="Times New Roman" w:hAnsi="Times New Roman"/>
          <w:sz w:val="20"/>
        </w:rPr>
        <w:t xml:space="preserve">, Robert J. Dart; </w:t>
      </w:r>
      <w:proofErr w:type="spellStart"/>
      <w:r w:rsidRPr="008310EB">
        <w:rPr>
          <w:rFonts w:ascii="Times New Roman" w:hAnsi="Times New Roman"/>
          <w:sz w:val="20"/>
        </w:rPr>
        <w:t>McKool</w:t>
      </w:r>
      <w:proofErr w:type="spellEnd"/>
      <w:r w:rsidRPr="008310EB">
        <w:rPr>
          <w:rFonts w:ascii="Times New Roman" w:hAnsi="Times New Roman"/>
          <w:sz w:val="20"/>
        </w:rPr>
        <w:t xml:space="preserve"> Smith Hennigan, Bruce R. MacLeod and Shawna L. Ballard for Plaintiffs and Appellants.</w:t>
      </w:r>
    </w:p>
    <w:p w14:paraId="1BB41207" w14:textId="77777777" w:rsidR="008310EB" w:rsidRPr="008310EB" w:rsidRDefault="008310EB" w:rsidP="008310EB">
      <w:pPr>
        <w:spacing w:after="0" w:line="240" w:lineRule="auto"/>
        <w:jc w:val="left"/>
        <w:rPr>
          <w:rFonts w:ascii="Times New Roman" w:hAnsi="Times New Roman"/>
          <w:sz w:val="20"/>
        </w:rPr>
      </w:pPr>
    </w:p>
    <w:p w14:paraId="66244931"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Chavez &amp; Gertler and Mark A. Chavez for Public Citizen, Inc., as Amicus Curiae on behalf of Plaintiffs and Appellants.</w:t>
      </w:r>
    </w:p>
    <w:p w14:paraId="1918D4EA" w14:textId="77777777" w:rsidR="008310EB" w:rsidRPr="008310EB" w:rsidRDefault="008310EB" w:rsidP="008310EB">
      <w:pPr>
        <w:spacing w:after="0" w:line="240" w:lineRule="auto"/>
        <w:jc w:val="left"/>
        <w:rPr>
          <w:rFonts w:ascii="Times New Roman" w:hAnsi="Times New Roman"/>
          <w:sz w:val="20"/>
        </w:rPr>
      </w:pPr>
    </w:p>
    <w:p w14:paraId="68ACCF00"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 xml:space="preserve">Jonathan M. </w:t>
      </w:r>
      <w:proofErr w:type="spellStart"/>
      <w:r w:rsidRPr="008310EB">
        <w:rPr>
          <w:rFonts w:ascii="Times New Roman" w:hAnsi="Times New Roman"/>
          <w:sz w:val="20"/>
        </w:rPr>
        <w:t>Coupal</w:t>
      </w:r>
      <w:proofErr w:type="spellEnd"/>
      <w:r w:rsidRPr="008310EB">
        <w:rPr>
          <w:rFonts w:ascii="Times New Roman" w:hAnsi="Times New Roman"/>
          <w:sz w:val="20"/>
        </w:rPr>
        <w:t xml:space="preserve">, Trevor A. Grimm, Timothy A. </w:t>
      </w:r>
      <w:proofErr w:type="spellStart"/>
      <w:r w:rsidRPr="008310EB">
        <w:rPr>
          <w:rFonts w:ascii="Times New Roman" w:hAnsi="Times New Roman"/>
          <w:sz w:val="20"/>
        </w:rPr>
        <w:t>Bittle</w:t>
      </w:r>
      <w:proofErr w:type="spellEnd"/>
      <w:r w:rsidRPr="008310EB">
        <w:rPr>
          <w:rFonts w:ascii="Times New Roman" w:hAnsi="Times New Roman"/>
          <w:sz w:val="20"/>
        </w:rPr>
        <w:t xml:space="preserve"> and Laura E. Murray for Howard Jarvis Taxpayers Foundation as Amicus Curiae on behalf of Plaintiffs and Appellants.</w:t>
      </w:r>
    </w:p>
    <w:p w14:paraId="488E2378" w14:textId="77777777" w:rsidR="008310EB" w:rsidRPr="008310EB" w:rsidRDefault="008310EB" w:rsidP="008310EB">
      <w:pPr>
        <w:spacing w:after="0" w:line="240" w:lineRule="auto"/>
        <w:jc w:val="left"/>
        <w:rPr>
          <w:rFonts w:ascii="Times New Roman" w:hAnsi="Times New Roman"/>
          <w:sz w:val="20"/>
        </w:rPr>
      </w:pPr>
    </w:p>
    <w:p w14:paraId="0FF37EB9"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 xml:space="preserve">Law Office of Daniel </w:t>
      </w:r>
      <w:proofErr w:type="spellStart"/>
      <w:r w:rsidRPr="008310EB">
        <w:rPr>
          <w:rFonts w:ascii="Times New Roman" w:hAnsi="Times New Roman"/>
          <w:sz w:val="20"/>
        </w:rPr>
        <w:t>Berko</w:t>
      </w:r>
      <w:proofErr w:type="spellEnd"/>
      <w:r w:rsidRPr="008310EB">
        <w:rPr>
          <w:rFonts w:ascii="Times New Roman" w:hAnsi="Times New Roman"/>
          <w:sz w:val="20"/>
        </w:rPr>
        <w:t xml:space="preserve"> and Daniel </w:t>
      </w:r>
      <w:proofErr w:type="spellStart"/>
      <w:r w:rsidRPr="008310EB">
        <w:rPr>
          <w:rFonts w:ascii="Times New Roman" w:hAnsi="Times New Roman"/>
          <w:sz w:val="20"/>
        </w:rPr>
        <w:t>Berko</w:t>
      </w:r>
      <w:proofErr w:type="spellEnd"/>
      <w:r w:rsidRPr="008310EB">
        <w:rPr>
          <w:rFonts w:ascii="Times New Roman" w:hAnsi="Times New Roman"/>
          <w:sz w:val="20"/>
        </w:rPr>
        <w:t xml:space="preserve"> for Larry Littlejohn as Amicus Curiae on behalf of Plaintiffs and Appellants.</w:t>
      </w:r>
    </w:p>
    <w:p w14:paraId="0B5147AB" w14:textId="77777777" w:rsidR="008310EB" w:rsidRPr="008310EB" w:rsidRDefault="008310EB" w:rsidP="008310EB">
      <w:pPr>
        <w:spacing w:after="0" w:line="240" w:lineRule="auto"/>
        <w:jc w:val="left"/>
        <w:rPr>
          <w:rFonts w:ascii="Times New Roman" w:hAnsi="Times New Roman"/>
          <w:sz w:val="20"/>
        </w:rPr>
      </w:pPr>
    </w:p>
    <w:p w14:paraId="48371109"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 xml:space="preserve">Law Office of Tony J. </w:t>
      </w:r>
      <w:proofErr w:type="spellStart"/>
      <w:r w:rsidRPr="008310EB">
        <w:rPr>
          <w:rFonts w:ascii="Times New Roman" w:hAnsi="Times New Roman"/>
          <w:sz w:val="20"/>
        </w:rPr>
        <w:t>Tanke</w:t>
      </w:r>
      <w:proofErr w:type="spellEnd"/>
      <w:r w:rsidRPr="008310EB">
        <w:rPr>
          <w:rFonts w:ascii="Times New Roman" w:hAnsi="Times New Roman"/>
          <w:sz w:val="20"/>
        </w:rPr>
        <w:t xml:space="preserve">, Tony Jerome </w:t>
      </w:r>
      <w:proofErr w:type="spellStart"/>
      <w:r w:rsidRPr="008310EB">
        <w:rPr>
          <w:rFonts w:ascii="Times New Roman" w:hAnsi="Times New Roman"/>
          <w:sz w:val="20"/>
        </w:rPr>
        <w:t>Tanke</w:t>
      </w:r>
      <w:proofErr w:type="spellEnd"/>
      <w:r w:rsidRPr="008310EB">
        <w:rPr>
          <w:rFonts w:ascii="Times New Roman" w:hAnsi="Times New Roman"/>
          <w:sz w:val="20"/>
        </w:rPr>
        <w:t xml:space="preserve">; </w:t>
      </w:r>
      <w:proofErr w:type="spellStart"/>
      <w:r w:rsidRPr="008310EB">
        <w:rPr>
          <w:rFonts w:ascii="Times New Roman" w:hAnsi="Times New Roman"/>
          <w:sz w:val="20"/>
        </w:rPr>
        <w:t>Hattis</w:t>
      </w:r>
      <w:proofErr w:type="spellEnd"/>
      <w:r w:rsidRPr="008310EB">
        <w:rPr>
          <w:rFonts w:ascii="Times New Roman" w:hAnsi="Times New Roman"/>
          <w:sz w:val="20"/>
        </w:rPr>
        <w:t xml:space="preserve"> Law and Daniel M. </w:t>
      </w:r>
      <w:proofErr w:type="spellStart"/>
      <w:r w:rsidRPr="008310EB">
        <w:rPr>
          <w:rFonts w:ascii="Times New Roman" w:hAnsi="Times New Roman"/>
          <w:sz w:val="20"/>
        </w:rPr>
        <w:t>Hattis</w:t>
      </w:r>
      <w:proofErr w:type="spellEnd"/>
      <w:r w:rsidRPr="008310EB">
        <w:rPr>
          <w:rFonts w:ascii="Times New Roman" w:hAnsi="Times New Roman"/>
          <w:sz w:val="20"/>
        </w:rPr>
        <w:t xml:space="preserve"> for A. </w:t>
      </w:r>
      <w:proofErr w:type="spellStart"/>
      <w:r w:rsidRPr="008310EB">
        <w:rPr>
          <w:rFonts w:ascii="Times New Roman" w:hAnsi="Times New Roman"/>
          <w:sz w:val="20"/>
        </w:rPr>
        <w:t>Bekkerman</w:t>
      </w:r>
      <w:proofErr w:type="spellEnd"/>
      <w:r w:rsidRPr="008310EB">
        <w:rPr>
          <w:rFonts w:ascii="Times New Roman" w:hAnsi="Times New Roman"/>
          <w:sz w:val="20"/>
        </w:rPr>
        <w:t xml:space="preserve">, B. Griffith, J. Lee and C. </w:t>
      </w:r>
      <w:proofErr w:type="spellStart"/>
      <w:r w:rsidRPr="008310EB">
        <w:rPr>
          <w:rFonts w:ascii="Times New Roman" w:hAnsi="Times New Roman"/>
          <w:sz w:val="20"/>
        </w:rPr>
        <w:t>Lisser</w:t>
      </w:r>
      <w:proofErr w:type="spellEnd"/>
      <w:r w:rsidRPr="008310EB">
        <w:rPr>
          <w:rFonts w:ascii="Times New Roman" w:hAnsi="Times New Roman"/>
          <w:sz w:val="20"/>
        </w:rPr>
        <w:t xml:space="preserve"> as Amici Curiae on behalf of Plaintiffs and Appellants.</w:t>
      </w:r>
    </w:p>
    <w:p w14:paraId="03955CAA" w14:textId="77777777" w:rsidR="008310EB" w:rsidRPr="008310EB" w:rsidRDefault="008310EB" w:rsidP="008310EB">
      <w:pPr>
        <w:spacing w:after="0" w:line="240" w:lineRule="auto"/>
        <w:jc w:val="left"/>
        <w:rPr>
          <w:rFonts w:ascii="Times New Roman" w:hAnsi="Times New Roman"/>
          <w:sz w:val="20"/>
        </w:rPr>
      </w:pPr>
    </w:p>
    <w:p w14:paraId="1410A9CC"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 xml:space="preserve">Reed Smith, Douglas C. </w:t>
      </w:r>
      <w:proofErr w:type="spellStart"/>
      <w:r w:rsidRPr="008310EB">
        <w:rPr>
          <w:rFonts w:ascii="Times New Roman" w:hAnsi="Times New Roman"/>
          <w:sz w:val="20"/>
        </w:rPr>
        <w:t>Rawles</w:t>
      </w:r>
      <w:proofErr w:type="spellEnd"/>
      <w:r w:rsidRPr="008310EB">
        <w:rPr>
          <w:rFonts w:ascii="Times New Roman" w:hAnsi="Times New Roman"/>
          <w:sz w:val="20"/>
        </w:rPr>
        <w:t>, James C. Martin, Kasey J. Curtis; Morgan Lewis &amp; Bockius, Joseph Duffy and Joseph Bias for Defendants and Respondents Walgreen Co. and Rite Aid Corporation.</w:t>
      </w:r>
    </w:p>
    <w:p w14:paraId="5E4EA7E3" w14:textId="77777777" w:rsidR="008310EB" w:rsidRPr="008310EB" w:rsidRDefault="008310EB" w:rsidP="008310EB">
      <w:pPr>
        <w:spacing w:after="0" w:line="240" w:lineRule="auto"/>
        <w:jc w:val="left"/>
        <w:rPr>
          <w:rFonts w:ascii="Times New Roman" w:hAnsi="Times New Roman"/>
          <w:sz w:val="20"/>
        </w:rPr>
      </w:pPr>
    </w:p>
    <w:p w14:paraId="0A8B92D3"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Berry &amp; Silberberg, Berry Silberberg Stokes, Robert P. Berry and Carol M. Silberberg for Defendant and Respondent Wal-Mart Stores, Inc.</w:t>
      </w:r>
    </w:p>
    <w:p w14:paraId="278C5696" w14:textId="77777777" w:rsidR="008310EB" w:rsidRPr="008310EB" w:rsidRDefault="008310EB" w:rsidP="008310EB">
      <w:pPr>
        <w:spacing w:after="0" w:line="240" w:lineRule="auto"/>
        <w:jc w:val="left"/>
        <w:rPr>
          <w:rFonts w:ascii="Times New Roman" w:hAnsi="Times New Roman"/>
          <w:sz w:val="20"/>
        </w:rPr>
      </w:pPr>
    </w:p>
    <w:p w14:paraId="4DE2793B"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Morrison &amp; Foerster, David F. McDowell and Miriam A. Vogel for Defendant and Respondent Target Corporation.</w:t>
      </w:r>
    </w:p>
    <w:p w14:paraId="0451A3E1" w14:textId="77777777" w:rsidR="008310EB" w:rsidRPr="008310EB" w:rsidRDefault="008310EB" w:rsidP="008310EB">
      <w:pPr>
        <w:spacing w:after="0" w:line="240" w:lineRule="auto"/>
        <w:jc w:val="left"/>
        <w:rPr>
          <w:rFonts w:ascii="Times New Roman" w:hAnsi="Times New Roman"/>
          <w:sz w:val="20"/>
        </w:rPr>
      </w:pPr>
    </w:p>
    <w:p w14:paraId="4B08A13D"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Holland &amp; Knight, Richard T. Williams, Alan Watson and Shelley Hurwitz for Defendants and Respondents CVS Caremark Corporation, Longs Drug Stores Corporation and Longs Drug Stores California, Inc.</w:t>
      </w:r>
    </w:p>
    <w:p w14:paraId="251E8B56" w14:textId="77777777" w:rsidR="008310EB" w:rsidRPr="008310EB" w:rsidRDefault="008310EB" w:rsidP="008310EB">
      <w:pPr>
        <w:spacing w:after="0" w:line="240" w:lineRule="auto"/>
        <w:jc w:val="left"/>
        <w:rPr>
          <w:rFonts w:ascii="Times New Roman" w:hAnsi="Times New Roman"/>
          <w:sz w:val="20"/>
        </w:rPr>
      </w:pPr>
    </w:p>
    <w:p w14:paraId="1FD4247B"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 xml:space="preserve">Theodore Keith Bell for Defendants and Respondents </w:t>
      </w:r>
      <w:proofErr w:type="gramStart"/>
      <w:r w:rsidRPr="008310EB">
        <w:rPr>
          <w:rFonts w:ascii="Times New Roman" w:hAnsi="Times New Roman"/>
          <w:sz w:val="20"/>
        </w:rPr>
        <w:t>The</w:t>
      </w:r>
      <w:proofErr w:type="gramEnd"/>
      <w:r w:rsidRPr="008310EB">
        <w:rPr>
          <w:rFonts w:ascii="Times New Roman" w:hAnsi="Times New Roman"/>
          <w:sz w:val="20"/>
        </w:rPr>
        <w:t xml:space="preserve"> Vons Companies, Inc., and Vons Food Services, Inc.</w:t>
      </w:r>
    </w:p>
    <w:p w14:paraId="28884C0A" w14:textId="77777777" w:rsidR="008310EB" w:rsidRPr="008310EB" w:rsidRDefault="008310EB" w:rsidP="008310EB">
      <w:pPr>
        <w:spacing w:after="0" w:line="240" w:lineRule="auto"/>
        <w:jc w:val="left"/>
        <w:rPr>
          <w:rFonts w:ascii="Times New Roman" w:hAnsi="Times New Roman"/>
          <w:sz w:val="20"/>
        </w:rPr>
      </w:pPr>
    </w:p>
    <w:p w14:paraId="0FD9EECE" w14:textId="77777777" w:rsidR="008310EB" w:rsidRPr="008310EB" w:rsidRDefault="008310EB" w:rsidP="008310EB">
      <w:pPr>
        <w:spacing w:after="0" w:line="240" w:lineRule="auto"/>
        <w:jc w:val="left"/>
        <w:rPr>
          <w:rFonts w:ascii="Times New Roman" w:hAnsi="Times New Roman"/>
          <w:sz w:val="20"/>
        </w:rPr>
      </w:pPr>
    </w:p>
    <w:p w14:paraId="36AB2024" w14:textId="77777777" w:rsidR="008310EB" w:rsidRPr="008310EB" w:rsidRDefault="008310EB" w:rsidP="008310EB">
      <w:pPr>
        <w:spacing w:after="0" w:line="240" w:lineRule="auto"/>
        <w:jc w:val="left"/>
        <w:rPr>
          <w:rFonts w:ascii="Times New Roman" w:hAnsi="Times New Roman"/>
          <w:sz w:val="20"/>
        </w:rPr>
      </w:pPr>
    </w:p>
    <w:p w14:paraId="5DFCCD9B" w14:textId="77777777" w:rsidR="008310EB" w:rsidRPr="008310EB" w:rsidRDefault="008310EB" w:rsidP="008310EB">
      <w:pPr>
        <w:spacing w:after="0" w:line="240" w:lineRule="auto"/>
        <w:jc w:val="left"/>
        <w:rPr>
          <w:rFonts w:ascii="Times New Roman" w:hAnsi="Times New Roman"/>
          <w:sz w:val="20"/>
        </w:rPr>
      </w:pPr>
    </w:p>
    <w:p w14:paraId="4668ACEB" w14:textId="77777777" w:rsidR="008310EB" w:rsidRPr="008310EB" w:rsidRDefault="008310EB" w:rsidP="008310EB">
      <w:pPr>
        <w:spacing w:after="0" w:line="240" w:lineRule="auto"/>
        <w:jc w:val="left"/>
        <w:rPr>
          <w:rFonts w:ascii="Times New Roman" w:hAnsi="Times New Roman"/>
          <w:sz w:val="20"/>
        </w:rPr>
      </w:pPr>
    </w:p>
    <w:p w14:paraId="38BE85A5" w14:textId="77777777" w:rsidR="008310EB" w:rsidRPr="008310EB" w:rsidRDefault="008310EB" w:rsidP="008310EB">
      <w:pPr>
        <w:spacing w:after="0" w:line="240" w:lineRule="auto"/>
        <w:jc w:val="left"/>
        <w:rPr>
          <w:rFonts w:ascii="Times New Roman" w:hAnsi="Times New Roman"/>
          <w:b/>
          <w:sz w:val="20"/>
        </w:rPr>
      </w:pPr>
      <w:r w:rsidRPr="008310EB">
        <w:rPr>
          <w:rFonts w:ascii="Times New Roman" w:hAnsi="Times New Roman"/>
          <w:b/>
          <w:sz w:val="20"/>
        </w:rPr>
        <w:t>Page 2 – S241471 – counsel continued</w:t>
      </w:r>
    </w:p>
    <w:p w14:paraId="0019CF5B" w14:textId="77777777" w:rsidR="008310EB" w:rsidRPr="008310EB" w:rsidRDefault="008310EB" w:rsidP="008310EB">
      <w:pPr>
        <w:spacing w:after="0" w:line="240" w:lineRule="auto"/>
        <w:jc w:val="left"/>
        <w:rPr>
          <w:rFonts w:ascii="Times New Roman" w:hAnsi="Times New Roman"/>
          <w:sz w:val="20"/>
        </w:rPr>
      </w:pPr>
    </w:p>
    <w:p w14:paraId="79348350" w14:textId="77777777" w:rsidR="008310EB" w:rsidRPr="008310EB" w:rsidRDefault="008310EB" w:rsidP="008310EB">
      <w:pPr>
        <w:spacing w:after="0" w:line="240" w:lineRule="auto"/>
        <w:jc w:val="left"/>
        <w:rPr>
          <w:rFonts w:ascii="Times New Roman" w:hAnsi="Times New Roman"/>
          <w:b/>
          <w:sz w:val="20"/>
        </w:rPr>
      </w:pPr>
      <w:r w:rsidRPr="008310EB">
        <w:rPr>
          <w:rFonts w:ascii="Times New Roman" w:hAnsi="Times New Roman"/>
          <w:b/>
          <w:sz w:val="20"/>
        </w:rPr>
        <w:t>Counsel:</w:t>
      </w:r>
    </w:p>
    <w:p w14:paraId="6E9E892D" w14:textId="77777777" w:rsidR="008310EB" w:rsidRPr="008310EB" w:rsidRDefault="008310EB" w:rsidP="008310EB">
      <w:pPr>
        <w:spacing w:after="0" w:line="240" w:lineRule="auto"/>
        <w:jc w:val="left"/>
        <w:rPr>
          <w:rFonts w:ascii="Times New Roman" w:hAnsi="Times New Roman"/>
          <w:b/>
          <w:sz w:val="20"/>
        </w:rPr>
      </w:pPr>
    </w:p>
    <w:p w14:paraId="5301673A" w14:textId="77777777" w:rsidR="008310EB" w:rsidRPr="008310EB" w:rsidRDefault="008310EB" w:rsidP="008310EB">
      <w:pPr>
        <w:spacing w:after="0" w:line="240" w:lineRule="auto"/>
        <w:jc w:val="left"/>
        <w:rPr>
          <w:rFonts w:ascii="Times New Roman" w:hAnsi="Times New Roman"/>
          <w:sz w:val="20"/>
        </w:rPr>
      </w:pPr>
      <w:proofErr w:type="spellStart"/>
      <w:r w:rsidRPr="008310EB">
        <w:rPr>
          <w:rFonts w:ascii="Times New Roman" w:hAnsi="Times New Roman"/>
          <w:sz w:val="20"/>
        </w:rPr>
        <w:t>Hunton</w:t>
      </w:r>
      <w:proofErr w:type="spellEnd"/>
      <w:r w:rsidRPr="008310EB">
        <w:rPr>
          <w:rFonts w:ascii="Times New Roman" w:hAnsi="Times New Roman"/>
          <w:sz w:val="20"/>
        </w:rPr>
        <w:t xml:space="preserve"> &amp; Williams, </w:t>
      </w:r>
      <w:proofErr w:type="spellStart"/>
      <w:r w:rsidRPr="008310EB">
        <w:rPr>
          <w:rFonts w:ascii="Times New Roman" w:hAnsi="Times New Roman"/>
          <w:sz w:val="20"/>
        </w:rPr>
        <w:t>Hunton</w:t>
      </w:r>
      <w:proofErr w:type="spellEnd"/>
      <w:r w:rsidRPr="008310EB">
        <w:rPr>
          <w:rFonts w:ascii="Times New Roman" w:hAnsi="Times New Roman"/>
          <w:sz w:val="20"/>
        </w:rPr>
        <w:t xml:space="preserve"> Andrews </w:t>
      </w:r>
      <w:proofErr w:type="spellStart"/>
      <w:r w:rsidRPr="008310EB">
        <w:rPr>
          <w:rFonts w:ascii="Times New Roman" w:hAnsi="Times New Roman"/>
          <w:sz w:val="20"/>
        </w:rPr>
        <w:t>Kurth</w:t>
      </w:r>
      <w:proofErr w:type="spellEnd"/>
      <w:r w:rsidRPr="008310EB">
        <w:rPr>
          <w:rFonts w:ascii="Times New Roman" w:hAnsi="Times New Roman"/>
          <w:sz w:val="20"/>
        </w:rPr>
        <w:t xml:space="preserve">, Phillip J. </w:t>
      </w:r>
      <w:proofErr w:type="spellStart"/>
      <w:r w:rsidRPr="008310EB">
        <w:rPr>
          <w:rFonts w:ascii="Times New Roman" w:hAnsi="Times New Roman"/>
          <w:sz w:val="20"/>
        </w:rPr>
        <w:t>Eskenazi</w:t>
      </w:r>
      <w:proofErr w:type="spellEnd"/>
      <w:r w:rsidRPr="008310EB">
        <w:rPr>
          <w:rFonts w:ascii="Times New Roman" w:hAnsi="Times New Roman"/>
          <w:sz w:val="20"/>
        </w:rPr>
        <w:t xml:space="preserve"> and Kirk A. Hornbeck for Defendants and Respondents Albertson’s, Inc., and Sav-On Drugs.</w:t>
      </w:r>
    </w:p>
    <w:p w14:paraId="77E1FADA" w14:textId="77777777" w:rsidR="008310EB" w:rsidRPr="008310EB" w:rsidRDefault="008310EB" w:rsidP="008310EB">
      <w:pPr>
        <w:spacing w:after="0" w:line="240" w:lineRule="auto"/>
        <w:jc w:val="left"/>
        <w:rPr>
          <w:rFonts w:ascii="Times New Roman" w:hAnsi="Times New Roman"/>
          <w:sz w:val="20"/>
        </w:rPr>
      </w:pPr>
    </w:p>
    <w:p w14:paraId="336174C8" w14:textId="77777777" w:rsidR="008310EB" w:rsidRPr="008310EB" w:rsidRDefault="008310EB" w:rsidP="008310EB">
      <w:pPr>
        <w:spacing w:after="0" w:line="240" w:lineRule="auto"/>
        <w:jc w:val="left"/>
        <w:rPr>
          <w:rFonts w:ascii="Times New Roman" w:hAnsi="Times New Roman"/>
          <w:b/>
          <w:sz w:val="20"/>
        </w:rPr>
      </w:pPr>
      <w:r w:rsidRPr="008310EB">
        <w:rPr>
          <w:rFonts w:ascii="Times New Roman" w:hAnsi="Times New Roman"/>
          <w:sz w:val="20"/>
        </w:rPr>
        <w:t xml:space="preserve">Kamala D. Harris and Xavier Becerra, Attorneys General, Edward C. </w:t>
      </w:r>
      <w:proofErr w:type="spellStart"/>
      <w:r w:rsidRPr="008310EB">
        <w:rPr>
          <w:rFonts w:ascii="Times New Roman" w:hAnsi="Times New Roman"/>
          <w:sz w:val="20"/>
        </w:rPr>
        <w:t>DuMont</w:t>
      </w:r>
      <w:proofErr w:type="spellEnd"/>
      <w:r w:rsidRPr="008310EB">
        <w:rPr>
          <w:rFonts w:ascii="Times New Roman" w:hAnsi="Times New Roman"/>
          <w:sz w:val="20"/>
        </w:rPr>
        <w:t xml:space="preserve">, State Solicitor General, </w:t>
      </w:r>
      <w:proofErr w:type="spellStart"/>
      <w:r w:rsidRPr="008310EB">
        <w:rPr>
          <w:rFonts w:ascii="Times New Roman" w:hAnsi="Times New Roman"/>
          <w:sz w:val="20"/>
        </w:rPr>
        <w:t>Janill</w:t>
      </w:r>
      <w:proofErr w:type="spellEnd"/>
      <w:r w:rsidRPr="008310EB">
        <w:rPr>
          <w:rFonts w:ascii="Times New Roman" w:hAnsi="Times New Roman"/>
          <w:sz w:val="20"/>
        </w:rPr>
        <w:t xml:space="preserve"> L. Richards, Principal Deputy State Solicitor General, Diane S. Shaw, Assistant Attorney General, Max Carter-</w:t>
      </w:r>
      <w:proofErr w:type="spellStart"/>
      <w:r w:rsidRPr="008310EB">
        <w:rPr>
          <w:rFonts w:ascii="Times New Roman" w:hAnsi="Times New Roman"/>
          <w:sz w:val="20"/>
        </w:rPr>
        <w:t>Oberstone</w:t>
      </w:r>
      <w:proofErr w:type="spellEnd"/>
      <w:r w:rsidRPr="008310EB">
        <w:rPr>
          <w:rFonts w:ascii="Times New Roman" w:hAnsi="Times New Roman"/>
          <w:sz w:val="20"/>
        </w:rPr>
        <w:t xml:space="preserve">, Associate Deputy State Solicitor General, Lisa W. Chao, Stephen Lew and </w:t>
      </w:r>
      <w:proofErr w:type="spellStart"/>
      <w:r w:rsidRPr="008310EB">
        <w:rPr>
          <w:rFonts w:ascii="Times New Roman" w:hAnsi="Times New Roman"/>
          <w:sz w:val="20"/>
        </w:rPr>
        <w:t>Nhan</w:t>
      </w:r>
      <w:proofErr w:type="spellEnd"/>
      <w:r w:rsidRPr="008310EB">
        <w:rPr>
          <w:rFonts w:ascii="Times New Roman" w:hAnsi="Times New Roman"/>
          <w:sz w:val="20"/>
        </w:rPr>
        <w:t xml:space="preserve"> T. Vu, Deputy Attorneys General, for Defendant and Respondent State Board of Equalization.</w:t>
      </w:r>
    </w:p>
    <w:p w14:paraId="3CC9F299" w14:textId="77777777" w:rsidR="008310EB" w:rsidRPr="008310EB" w:rsidRDefault="008310EB" w:rsidP="008310EB">
      <w:pPr>
        <w:spacing w:after="0" w:line="240" w:lineRule="auto"/>
        <w:jc w:val="left"/>
        <w:rPr>
          <w:rFonts w:ascii="Times New Roman" w:hAnsi="Times New Roman"/>
          <w:b/>
          <w:sz w:val="20"/>
        </w:rPr>
      </w:pPr>
    </w:p>
    <w:p w14:paraId="2A6CBE89" w14:textId="77777777" w:rsidR="008310EB" w:rsidRPr="008310EB" w:rsidRDefault="008310EB" w:rsidP="008310EB">
      <w:pPr>
        <w:spacing w:after="0" w:line="240" w:lineRule="auto"/>
        <w:jc w:val="left"/>
        <w:rPr>
          <w:rFonts w:ascii="Times New Roman" w:hAnsi="Times New Roman"/>
          <w:b/>
          <w:sz w:val="20"/>
        </w:rPr>
      </w:pPr>
      <w:proofErr w:type="spellStart"/>
      <w:r w:rsidRPr="008310EB">
        <w:rPr>
          <w:rFonts w:ascii="Times New Roman" w:hAnsi="Times New Roman"/>
          <w:sz w:val="20"/>
        </w:rPr>
        <w:t>Colantuono</w:t>
      </w:r>
      <w:proofErr w:type="spellEnd"/>
      <w:r w:rsidRPr="008310EB">
        <w:rPr>
          <w:rFonts w:ascii="Times New Roman" w:hAnsi="Times New Roman"/>
          <w:sz w:val="20"/>
        </w:rPr>
        <w:t xml:space="preserve">, Highsmith &amp; Whatley, Michael G. </w:t>
      </w:r>
      <w:proofErr w:type="spellStart"/>
      <w:r w:rsidRPr="008310EB">
        <w:rPr>
          <w:rFonts w:ascii="Times New Roman" w:hAnsi="Times New Roman"/>
          <w:sz w:val="20"/>
        </w:rPr>
        <w:t>Colantuono</w:t>
      </w:r>
      <w:proofErr w:type="spellEnd"/>
      <w:r w:rsidRPr="008310EB">
        <w:rPr>
          <w:rFonts w:ascii="Times New Roman" w:hAnsi="Times New Roman"/>
          <w:sz w:val="20"/>
        </w:rPr>
        <w:t xml:space="preserve"> and Andrew C. Rawcliffe for League of California Cities and California State Association of Counties as Amici Curiae.</w:t>
      </w:r>
    </w:p>
    <w:p w14:paraId="28D65747" w14:textId="77777777" w:rsidR="008310EB" w:rsidRPr="008310EB" w:rsidRDefault="008310EB" w:rsidP="008310EB">
      <w:pPr>
        <w:spacing w:after="0" w:line="240" w:lineRule="auto"/>
        <w:jc w:val="left"/>
        <w:rPr>
          <w:rFonts w:ascii="Times New Roman" w:hAnsi="Times New Roman"/>
          <w:b/>
          <w:sz w:val="20"/>
        </w:rPr>
      </w:pPr>
    </w:p>
    <w:p w14:paraId="41DEF989" w14:textId="77777777" w:rsidR="008310EB" w:rsidRPr="008310EB" w:rsidRDefault="008310EB" w:rsidP="008310EB">
      <w:pPr>
        <w:spacing w:after="0" w:line="240" w:lineRule="auto"/>
        <w:jc w:val="left"/>
        <w:rPr>
          <w:rFonts w:ascii="Times New Roman" w:hAnsi="Times New Roman"/>
          <w:b/>
          <w:sz w:val="20"/>
        </w:rPr>
      </w:pPr>
    </w:p>
    <w:p w14:paraId="2217E632" w14:textId="77777777" w:rsidR="008310EB" w:rsidRPr="008310EB" w:rsidRDefault="008310EB" w:rsidP="008310EB">
      <w:pPr>
        <w:spacing w:after="0" w:line="240" w:lineRule="auto"/>
        <w:jc w:val="left"/>
        <w:rPr>
          <w:rFonts w:ascii="Times New Roman" w:hAnsi="Times New Roman"/>
          <w:b/>
          <w:sz w:val="20"/>
        </w:rPr>
      </w:pPr>
    </w:p>
    <w:p w14:paraId="09E6D573" w14:textId="77777777" w:rsidR="008310EB" w:rsidRPr="008310EB" w:rsidRDefault="008310EB" w:rsidP="008310EB">
      <w:pPr>
        <w:spacing w:after="0" w:line="240" w:lineRule="auto"/>
        <w:jc w:val="left"/>
        <w:rPr>
          <w:rFonts w:ascii="Times New Roman" w:hAnsi="Times New Roman"/>
          <w:b/>
          <w:sz w:val="20"/>
        </w:rPr>
      </w:pPr>
    </w:p>
    <w:p w14:paraId="7797429D" w14:textId="77777777" w:rsidR="008310EB" w:rsidRPr="008310EB" w:rsidRDefault="008310EB" w:rsidP="008310EB">
      <w:pPr>
        <w:spacing w:after="0" w:line="240" w:lineRule="auto"/>
        <w:jc w:val="left"/>
        <w:rPr>
          <w:rFonts w:ascii="Times New Roman" w:hAnsi="Times New Roman"/>
          <w:b/>
          <w:sz w:val="20"/>
        </w:rPr>
      </w:pPr>
      <w:r w:rsidRPr="008310EB">
        <w:rPr>
          <w:rFonts w:ascii="Times New Roman" w:hAnsi="Times New Roman"/>
          <w:b/>
          <w:sz w:val="20"/>
        </w:rPr>
        <w:br w:type="page"/>
      </w:r>
    </w:p>
    <w:p w14:paraId="00E376D4" w14:textId="77777777" w:rsidR="008310EB" w:rsidRPr="008310EB" w:rsidRDefault="008310EB" w:rsidP="008310EB">
      <w:pPr>
        <w:spacing w:after="0" w:line="240" w:lineRule="auto"/>
        <w:jc w:val="left"/>
        <w:rPr>
          <w:rFonts w:ascii="Times New Roman" w:hAnsi="Times New Roman"/>
          <w:b/>
          <w:sz w:val="20"/>
        </w:rPr>
      </w:pPr>
    </w:p>
    <w:p w14:paraId="315244CF" w14:textId="77777777" w:rsidR="008310EB" w:rsidRPr="008310EB" w:rsidRDefault="008310EB" w:rsidP="008310EB">
      <w:pPr>
        <w:spacing w:after="0" w:line="240" w:lineRule="auto"/>
        <w:jc w:val="left"/>
        <w:rPr>
          <w:rFonts w:ascii="Times New Roman" w:hAnsi="Times New Roman"/>
          <w:b/>
          <w:sz w:val="20"/>
        </w:rPr>
      </w:pPr>
    </w:p>
    <w:p w14:paraId="3C268FF8" w14:textId="77777777" w:rsidR="008310EB" w:rsidRPr="008310EB" w:rsidRDefault="008310EB" w:rsidP="008310EB">
      <w:pPr>
        <w:spacing w:after="0" w:line="240" w:lineRule="auto"/>
        <w:jc w:val="left"/>
        <w:rPr>
          <w:rFonts w:ascii="Times New Roman" w:hAnsi="Times New Roman"/>
          <w:b/>
          <w:sz w:val="20"/>
        </w:rPr>
      </w:pPr>
    </w:p>
    <w:p w14:paraId="2E6DE91C" w14:textId="77777777" w:rsidR="008310EB" w:rsidRPr="008310EB" w:rsidRDefault="008310EB" w:rsidP="008310EB">
      <w:pPr>
        <w:spacing w:after="0" w:line="240" w:lineRule="auto"/>
        <w:jc w:val="left"/>
        <w:rPr>
          <w:rFonts w:ascii="Times New Roman" w:hAnsi="Times New Roman"/>
          <w:b/>
          <w:sz w:val="20"/>
        </w:rPr>
      </w:pPr>
      <w:r w:rsidRPr="008310EB">
        <w:rPr>
          <w:rFonts w:ascii="Times New Roman" w:hAnsi="Times New Roman"/>
          <w:b/>
          <w:sz w:val="20"/>
        </w:rPr>
        <w:t>Counsel who argued in Supreme Court (not intended for publication with opinion):</w:t>
      </w:r>
    </w:p>
    <w:p w14:paraId="4994A865" w14:textId="77777777" w:rsidR="008310EB" w:rsidRPr="008310EB" w:rsidRDefault="008310EB" w:rsidP="008310EB">
      <w:pPr>
        <w:spacing w:after="0" w:line="240" w:lineRule="auto"/>
        <w:jc w:val="left"/>
        <w:rPr>
          <w:rFonts w:ascii="Times New Roman" w:hAnsi="Times New Roman"/>
          <w:b/>
          <w:sz w:val="20"/>
        </w:rPr>
      </w:pPr>
    </w:p>
    <w:p w14:paraId="670D00A2" w14:textId="77777777" w:rsidR="008310EB" w:rsidRPr="008310EB" w:rsidRDefault="008310EB" w:rsidP="008310EB">
      <w:pPr>
        <w:spacing w:after="0" w:line="240" w:lineRule="auto"/>
        <w:jc w:val="left"/>
        <w:rPr>
          <w:rFonts w:ascii="Times New Roman" w:hAnsi="Times New Roman"/>
          <w:sz w:val="20"/>
        </w:rPr>
      </w:pPr>
      <w:proofErr w:type="spellStart"/>
      <w:r w:rsidRPr="008310EB">
        <w:rPr>
          <w:rFonts w:ascii="Times New Roman" w:hAnsi="Times New Roman"/>
          <w:sz w:val="20"/>
        </w:rPr>
        <w:t>Taras</w:t>
      </w:r>
      <w:proofErr w:type="spellEnd"/>
      <w:r w:rsidRPr="008310EB">
        <w:rPr>
          <w:rFonts w:ascii="Times New Roman" w:hAnsi="Times New Roman"/>
          <w:sz w:val="20"/>
        </w:rPr>
        <w:t xml:space="preserve"> P. Kick</w:t>
      </w:r>
    </w:p>
    <w:p w14:paraId="78DE2DCD"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The Kick Law Firm</w:t>
      </w:r>
    </w:p>
    <w:p w14:paraId="7E900156"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815 Moraga Drive</w:t>
      </w:r>
    </w:p>
    <w:p w14:paraId="759047C9"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Los Angeles, CA  90049</w:t>
      </w:r>
    </w:p>
    <w:p w14:paraId="3B1EDA7D"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(310) 395-2988</w:t>
      </w:r>
    </w:p>
    <w:p w14:paraId="29B0B99D" w14:textId="77777777" w:rsidR="008310EB" w:rsidRPr="008310EB" w:rsidRDefault="008310EB" w:rsidP="008310EB">
      <w:pPr>
        <w:spacing w:after="0" w:line="240" w:lineRule="auto"/>
        <w:jc w:val="left"/>
        <w:rPr>
          <w:rFonts w:ascii="Times New Roman" w:hAnsi="Times New Roman"/>
          <w:sz w:val="20"/>
        </w:rPr>
      </w:pPr>
    </w:p>
    <w:p w14:paraId="7BCD8B75"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David F. McDowell</w:t>
      </w:r>
    </w:p>
    <w:p w14:paraId="176BF607"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Morrison &amp; Foerster</w:t>
      </w:r>
    </w:p>
    <w:p w14:paraId="23CA1B06"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707 Wilshire Boulevard, Suite 6000</w:t>
      </w:r>
    </w:p>
    <w:p w14:paraId="1B7B7CAA"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Los Angeles, CA  90017-3543</w:t>
      </w:r>
    </w:p>
    <w:p w14:paraId="6B6A442C"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(213) 892-5200</w:t>
      </w:r>
    </w:p>
    <w:p w14:paraId="66C63196" w14:textId="77777777" w:rsidR="008310EB" w:rsidRPr="008310EB" w:rsidRDefault="008310EB" w:rsidP="008310EB">
      <w:pPr>
        <w:spacing w:after="0" w:line="240" w:lineRule="auto"/>
        <w:jc w:val="left"/>
        <w:rPr>
          <w:rFonts w:ascii="Times New Roman" w:hAnsi="Times New Roman"/>
          <w:sz w:val="20"/>
        </w:rPr>
      </w:pPr>
    </w:p>
    <w:p w14:paraId="5C692D05" w14:textId="77777777" w:rsidR="008310EB" w:rsidRPr="008310EB" w:rsidRDefault="008310EB" w:rsidP="008310EB">
      <w:pPr>
        <w:spacing w:after="0" w:line="240" w:lineRule="auto"/>
        <w:jc w:val="left"/>
        <w:rPr>
          <w:rFonts w:ascii="Times New Roman" w:hAnsi="Times New Roman"/>
          <w:sz w:val="20"/>
        </w:rPr>
      </w:pPr>
      <w:proofErr w:type="spellStart"/>
      <w:r w:rsidRPr="008310EB">
        <w:rPr>
          <w:rFonts w:ascii="Times New Roman" w:hAnsi="Times New Roman"/>
          <w:sz w:val="20"/>
        </w:rPr>
        <w:t>Janill</w:t>
      </w:r>
      <w:proofErr w:type="spellEnd"/>
      <w:r w:rsidRPr="008310EB">
        <w:rPr>
          <w:rFonts w:ascii="Times New Roman" w:hAnsi="Times New Roman"/>
          <w:sz w:val="20"/>
        </w:rPr>
        <w:t xml:space="preserve"> L. Richards</w:t>
      </w:r>
    </w:p>
    <w:p w14:paraId="49F0F760"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Principal Deputy State Solicitor General</w:t>
      </w:r>
    </w:p>
    <w:p w14:paraId="3C4F008E"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1515 Clay Street, 20th Floor</w:t>
      </w:r>
    </w:p>
    <w:p w14:paraId="3DD529E4" w14:textId="77777777" w:rsidR="008310EB" w:rsidRPr="008310EB" w:rsidRDefault="008310EB" w:rsidP="008310EB">
      <w:pPr>
        <w:spacing w:after="0" w:line="240" w:lineRule="auto"/>
        <w:jc w:val="left"/>
        <w:rPr>
          <w:rFonts w:ascii="Times New Roman" w:hAnsi="Times New Roman"/>
          <w:sz w:val="20"/>
        </w:rPr>
      </w:pPr>
      <w:r w:rsidRPr="008310EB">
        <w:rPr>
          <w:rFonts w:ascii="Times New Roman" w:hAnsi="Times New Roman"/>
          <w:sz w:val="20"/>
        </w:rPr>
        <w:t>Oakland, CA  94612</w:t>
      </w:r>
    </w:p>
    <w:p w14:paraId="35B4F5A8" w14:textId="77777777" w:rsidR="008310EB" w:rsidRPr="008310EB" w:rsidRDefault="008310EB" w:rsidP="008310EB">
      <w:pPr>
        <w:spacing w:after="0" w:line="240" w:lineRule="auto"/>
        <w:jc w:val="left"/>
        <w:rPr>
          <w:rFonts w:ascii="Times New Roman" w:hAnsi="Times New Roman"/>
          <w:b/>
          <w:sz w:val="20"/>
        </w:rPr>
      </w:pPr>
      <w:r w:rsidRPr="008310EB">
        <w:rPr>
          <w:rFonts w:ascii="Times New Roman" w:hAnsi="Times New Roman"/>
          <w:sz w:val="20"/>
        </w:rPr>
        <w:t>(510) 879-1300</w:t>
      </w:r>
    </w:p>
    <w:p w14:paraId="7A410219" w14:textId="77777777" w:rsidR="00511294" w:rsidRPr="00FB0FD2" w:rsidRDefault="00511294" w:rsidP="0007088F">
      <w:pPr>
        <w:tabs>
          <w:tab w:val="right" w:pos="7200"/>
        </w:tabs>
        <w:spacing w:after="0" w:line="240" w:lineRule="auto"/>
        <w:rPr>
          <w:b/>
          <w:caps/>
        </w:rPr>
      </w:pPr>
    </w:p>
    <w:sectPr w:rsidR="00511294" w:rsidRPr="00FB0FD2" w:rsidSect="008310EB">
      <w:headerReference w:type="default"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1007C" w14:textId="77777777" w:rsidR="00EC0914" w:rsidRDefault="00EC0914">
      <w:r>
        <w:separator/>
      </w:r>
    </w:p>
  </w:endnote>
  <w:endnote w:type="continuationSeparator" w:id="0">
    <w:p w14:paraId="08037424" w14:textId="77777777" w:rsidR="00EC0914" w:rsidRDefault="00EC0914">
      <w:r>
        <w:continuationSeparator/>
      </w:r>
    </w:p>
  </w:endnote>
  <w:endnote w:type="continuationNotice" w:id="1">
    <w:p w14:paraId="065965D6" w14:textId="77777777" w:rsidR="00EC0914" w:rsidRDefault="00EC0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798770"/>
      <w:docPartObj>
        <w:docPartGallery w:val="Page Numbers (Bottom of Page)"/>
        <w:docPartUnique/>
      </w:docPartObj>
    </w:sdtPr>
    <w:sdtEndPr>
      <w:rPr>
        <w:noProof/>
      </w:rPr>
    </w:sdtEndPr>
    <w:sdtContent>
      <w:p w14:paraId="1179EF27" w14:textId="77777777" w:rsidR="0063471B" w:rsidRDefault="0063471B">
        <w:pPr>
          <w:pStyle w:val="Footer"/>
        </w:pPr>
        <w:r>
          <w:fldChar w:fldCharType="begin"/>
        </w:r>
        <w:r>
          <w:instrText xml:space="preserve"> PAGE   \* MERGEFORMAT </w:instrText>
        </w:r>
        <w:r>
          <w:fldChar w:fldCharType="separate"/>
        </w:r>
        <w:r>
          <w:rPr>
            <w:noProof/>
          </w:rPr>
          <w:t>2</w:t>
        </w:r>
        <w:r>
          <w:rPr>
            <w:noProof/>
          </w:rPr>
          <w:fldChar w:fldCharType="end"/>
        </w:r>
      </w:p>
    </w:sdtContent>
  </w:sdt>
  <w:p w14:paraId="0DD86B16" w14:textId="77777777" w:rsidR="0063471B" w:rsidRDefault="00634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5746" w14:textId="77777777" w:rsidR="00FB0FD2" w:rsidRDefault="00FB0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1A28" w14:textId="77777777" w:rsidR="0056760A" w:rsidRDefault="000633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547793"/>
      <w:docPartObj>
        <w:docPartGallery w:val="Page Numbers (Bottom of Page)"/>
        <w:docPartUnique/>
      </w:docPartObj>
    </w:sdtPr>
    <w:sdtEndPr>
      <w:rPr>
        <w:noProof/>
      </w:rPr>
    </w:sdtEndPr>
    <w:sdtContent>
      <w:p w14:paraId="4D42AAF0" w14:textId="77777777" w:rsidR="00631BBD" w:rsidRDefault="00063369">
        <w:pPr>
          <w:pStyle w:val="Footer"/>
        </w:pPr>
        <w:r>
          <w:fldChar w:fldCharType="begin"/>
        </w:r>
        <w:r>
          <w:instrText xml:space="preserve"> PAGE   \* MERGEFORMAT </w:instrText>
        </w:r>
        <w:r>
          <w:fldChar w:fldCharType="separate"/>
        </w:r>
        <w:r>
          <w:rPr>
            <w:noProof/>
          </w:rPr>
          <w:t>2</w:t>
        </w:r>
        <w:r>
          <w:rPr>
            <w:noProof/>
          </w:rPr>
          <w:fldChar w:fldCharType="end"/>
        </w:r>
      </w:p>
    </w:sdtContent>
  </w:sdt>
  <w:p w14:paraId="11A4A9CF" w14:textId="77777777" w:rsidR="00F43726" w:rsidRDefault="000633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C889" w14:textId="77777777" w:rsidR="0056760A" w:rsidRDefault="000633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20A5" w14:textId="77777777" w:rsidR="008310EB" w:rsidRPr="008310EB" w:rsidRDefault="008310EB" w:rsidP="008310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961F" w14:textId="77777777" w:rsidR="008310EB" w:rsidRDefault="0083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85425" w14:textId="77777777" w:rsidR="00EC0914" w:rsidRDefault="00EC0914">
      <w:r>
        <w:separator/>
      </w:r>
    </w:p>
  </w:footnote>
  <w:footnote w:type="continuationSeparator" w:id="0">
    <w:p w14:paraId="10FC76B0" w14:textId="77777777" w:rsidR="00EC0914" w:rsidRDefault="00EC0914">
      <w:pPr>
        <w:rPr>
          <w:sz w:val="22"/>
        </w:rPr>
      </w:pPr>
      <w:r>
        <w:rPr>
          <w:sz w:val="22"/>
        </w:rPr>
        <w:continuationSeparator/>
      </w:r>
    </w:p>
    <w:p w14:paraId="4061F6E2" w14:textId="77777777" w:rsidR="00EC0914" w:rsidRDefault="00EC0914">
      <w:pPr>
        <w:rPr>
          <w:sz w:val="22"/>
        </w:rPr>
      </w:pPr>
    </w:p>
    <w:p w14:paraId="094917BE" w14:textId="77777777" w:rsidR="00EC0914" w:rsidRDefault="00EC0914">
      <w:pPr>
        <w:rPr>
          <w:i/>
          <w:sz w:val="20"/>
        </w:rPr>
      </w:pPr>
      <w:r>
        <w:rPr>
          <w:i/>
          <w:sz w:val="20"/>
        </w:rPr>
        <w:t>(footnote continued from previous page)</w:t>
      </w:r>
    </w:p>
    <w:p w14:paraId="54208D1E" w14:textId="77777777" w:rsidR="00EC0914" w:rsidRDefault="00EC0914">
      <w:pPr>
        <w:rPr>
          <w:sz w:val="22"/>
        </w:rPr>
      </w:pPr>
    </w:p>
  </w:footnote>
  <w:footnote w:type="continuationNotice" w:id="1">
    <w:p w14:paraId="4E89762C" w14:textId="77777777" w:rsidR="00EC0914" w:rsidRDefault="00EC0914">
      <w:pPr>
        <w:rPr>
          <w:i/>
          <w:sz w:val="22"/>
        </w:rPr>
      </w:pPr>
    </w:p>
    <w:p w14:paraId="0A876050" w14:textId="77777777" w:rsidR="00EC0914" w:rsidRDefault="00EC0914">
      <w:pPr>
        <w:jc w:val="right"/>
        <w:rPr>
          <w:i/>
          <w:sz w:val="20"/>
        </w:rPr>
      </w:pPr>
      <w:r>
        <w:rPr>
          <w:i/>
          <w:sz w:val="20"/>
        </w:rPr>
        <w:t>(footnote continued on next page)</w:t>
      </w:r>
    </w:p>
  </w:footnote>
  <w:footnote w:id="2">
    <w:p w14:paraId="6CFC6242" w14:textId="77777777" w:rsidR="00146FD3" w:rsidRDefault="00146FD3">
      <w:pPr>
        <w:pStyle w:val="FootnoteText"/>
      </w:pPr>
      <w:r>
        <w:rPr>
          <w:rStyle w:val="FootnoteReference"/>
        </w:rPr>
        <w:t>*</w:t>
      </w:r>
      <w:r>
        <w:t xml:space="preserve"> </w:t>
      </w:r>
      <w:r>
        <w:tab/>
      </w:r>
      <w:bookmarkStart w:id="1" w:name="_Hlk2089907"/>
      <w:r>
        <w:t>Presiding Justice of the Court of Appeal, Fourth Appellate District, Division Three assigned by the Chief Justice pursuant to article VI, section 6 of the California Constitution.</w:t>
      </w:r>
      <w:bookmarkEnd w:id="1"/>
    </w:p>
  </w:footnote>
  <w:footnote w:id="3">
    <w:p w14:paraId="29526A66" w14:textId="77777777" w:rsidR="00162977" w:rsidRDefault="00162977">
      <w:pPr>
        <w:pStyle w:val="FootnoteText"/>
      </w:pPr>
      <w:r>
        <w:rPr>
          <w:rStyle w:val="FootnoteReference"/>
        </w:rPr>
        <w:t>*</w:t>
      </w:r>
      <w:r>
        <w:t xml:space="preserve"> </w:t>
      </w:r>
      <w:r>
        <w:tab/>
        <w:t>Presiding Justice of the Court of Appeal, Fourth Appellate District, Division Three assigned by the Chief Justice pursuant to article VI, section 6 of the California Constitution.</w:t>
      </w:r>
    </w:p>
  </w:footnote>
  <w:footnote w:id="4">
    <w:p w14:paraId="59C89E99" w14:textId="77777777" w:rsidR="00E11DEE" w:rsidRDefault="00E11DEE" w:rsidP="00E11DEE">
      <w:pPr>
        <w:pStyle w:val="FootnoteText"/>
      </w:pPr>
      <w:r>
        <w:rPr>
          <w:rStyle w:val="FootnoteReference"/>
        </w:rPr>
        <w:t>*</w:t>
      </w:r>
      <w:r>
        <w:tab/>
        <w:t>Presiding Justice of the Court of Appeal, Fourth Appellate District, Division Three,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7BA5" w14:textId="77777777" w:rsidR="00FB0FD2" w:rsidRPr="00AE3B8E" w:rsidRDefault="00FB0FD2">
    <w:pPr>
      <w:pStyle w:val="Header"/>
      <w:rPr>
        <w:caps/>
      </w:rPr>
    </w:pPr>
    <w:proofErr w:type="spellStart"/>
    <w:r w:rsidRPr="00AE3B8E">
      <w:rPr>
        <w:caps/>
      </w:rPr>
      <w:t>M</w:t>
    </w:r>
    <w:r w:rsidRPr="00AE3B8E">
      <w:rPr>
        <w:smallCaps/>
      </w:rPr>
      <w:t>c</w:t>
    </w:r>
    <w:r w:rsidRPr="00AE3B8E">
      <w:rPr>
        <w:caps/>
      </w:rPr>
      <w:t>Clain</w:t>
    </w:r>
    <w:proofErr w:type="spellEnd"/>
    <w:r w:rsidR="00CD4195" w:rsidRPr="00AE3B8E">
      <w:rPr>
        <w:caps/>
      </w:rPr>
      <w:t xml:space="preserve"> </w:t>
    </w:r>
    <w:r w:rsidRPr="00AE3B8E">
      <w:rPr>
        <w:caps/>
      </w:rPr>
      <w:t>v. S</w:t>
    </w:r>
    <w:r w:rsidR="00CD4195" w:rsidRPr="00AE3B8E">
      <w:rPr>
        <w:caps/>
      </w:rPr>
      <w:t>av</w:t>
    </w:r>
    <w:r w:rsidRPr="00AE3B8E">
      <w:rPr>
        <w:caps/>
      </w:rPr>
      <w:t>-</w:t>
    </w:r>
    <w:r w:rsidR="00CD4195" w:rsidRPr="00AE3B8E">
      <w:rPr>
        <w:caps/>
      </w:rPr>
      <w:t>On</w:t>
    </w:r>
    <w:r w:rsidRPr="00AE3B8E">
      <w:rPr>
        <w:caps/>
      </w:rPr>
      <w:t xml:space="preserve"> D</w:t>
    </w:r>
    <w:r w:rsidR="00CD4195" w:rsidRPr="00AE3B8E">
      <w:rPr>
        <w:caps/>
      </w:rPr>
      <w:t>rugs</w:t>
    </w:r>
  </w:p>
  <w:p w14:paraId="41CA4F4B" w14:textId="77777777" w:rsidR="00FB0FD2" w:rsidRDefault="00FB0FD2">
    <w:pPr>
      <w:pStyle w:val="Header"/>
    </w:pPr>
    <w:r>
      <w:t>Opinion of the Court by Liu, J.</w:t>
    </w:r>
  </w:p>
  <w:p w14:paraId="0950CEE2" w14:textId="77777777" w:rsidR="00FB0FD2" w:rsidRDefault="00FB0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99DA8" w14:textId="77777777" w:rsidR="0056760A" w:rsidRDefault="00063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F000" w14:textId="77777777" w:rsidR="002B1124" w:rsidRDefault="00063369">
    <w:pPr>
      <w:pStyle w:val="Header"/>
    </w:pPr>
    <w:proofErr w:type="spellStart"/>
    <w:r>
      <w:t>M</w:t>
    </w:r>
    <w:r w:rsidRPr="00F92DFF">
      <w:rPr>
        <w:smallCaps/>
      </w:rPr>
      <w:t>c</w:t>
    </w:r>
    <w:r>
      <w:t>CLAIN</w:t>
    </w:r>
    <w:proofErr w:type="spellEnd"/>
    <w:r>
      <w:t xml:space="preserve"> v. SAV-ON DRUGS</w:t>
    </w:r>
  </w:p>
  <w:p w14:paraId="2D8EFD2D" w14:textId="77777777" w:rsidR="002B1124" w:rsidRDefault="00063369">
    <w:pPr>
      <w:pStyle w:val="Header"/>
    </w:pPr>
    <w:r>
      <w:t>Kruger, J., concurring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E721" w14:textId="77777777" w:rsidR="0056760A" w:rsidRDefault="000633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FCFB" w14:textId="77777777" w:rsidR="008310EB" w:rsidRPr="008310EB" w:rsidRDefault="008310EB" w:rsidP="008310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5CA6" w14:textId="77777777" w:rsidR="008310EB" w:rsidRDefault="00831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0"/>
  <w:removePersonalInformation/>
  <w:removeDateAndTime/>
  <w:printFractionalCharacterWidth/>
  <w:activeWritingStyle w:appName="MSWord" w:lang="en-US" w:vendorID="64" w:dllVersion="0" w:nlCheck="1" w:checkStyle="1"/>
  <w:activeWritingStyle w:appName="MSWord" w:lang="en-US" w:vendorID="64" w:dllVersion="4096" w:nlCheck="1" w:checkStyle="0"/>
  <w:activeWritingStyle w:appName="MSWord" w:lang="en-US" w:vendorID="64" w:dllVersion="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DC"/>
    <w:rsid w:val="00002333"/>
    <w:rsid w:val="0000657C"/>
    <w:rsid w:val="00012EAE"/>
    <w:rsid w:val="00012F83"/>
    <w:rsid w:val="00013840"/>
    <w:rsid w:val="000178AE"/>
    <w:rsid w:val="00020B9F"/>
    <w:rsid w:val="00023EC6"/>
    <w:rsid w:val="00026D29"/>
    <w:rsid w:val="00033D36"/>
    <w:rsid w:val="000340E4"/>
    <w:rsid w:val="00035568"/>
    <w:rsid w:val="00036E6B"/>
    <w:rsid w:val="00037500"/>
    <w:rsid w:val="000378B4"/>
    <w:rsid w:val="00042C38"/>
    <w:rsid w:val="000438FE"/>
    <w:rsid w:val="00044D6A"/>
    <w:rsid w:val="00046A2F"/>
    <w:rsid w:val="00046E92"/>
    <w:rsid w:val="000474A5"/>
    <w:rsid w:val="00050EDC"/>
    <w:rsid w:val="00054774"/>
    <w:rsid w:val="00055E87"/>
    <w:rsid w:val="000564A8"/>
    <w:rsid w:val="00056FFB"/>
    <w:rsid w:val="00057651"/>
    <w:rsid w:val="00063369"/>
    <w:rsid w:val="00064548"/>
    <w:rsid w:val="00066674"/>
    <w:rsid w:val="0007088F"/>
    <w:rsid w:val="00071905"/>
    <w:rsid w:val="00073309"/>
    <w:rsid w:val="000733B9"/>
    <w:rsid w:val="00074052"/>
    <w:rsid w:val="000817D8"/>
    <w:rsid w:val="000818F9"/>
    <w:rsid w:val="0008263D"/>
    <w:rsid w:val="0008276B"/>
    <w:rsid w:val="00082D7B"/>
    <w:rsid w:val="000A11B1"/>
    <w:rsid w:val="000A1F66"/>
    <w:rsid w:val="000A420F"/>
    <w:rsid w:val="000A59A7"/>
    <w:rsid w:val="000B0A33"/>
    <w:rsid w:val="000B1393"/>
    <w:rsid w:val="000B13DE"/>
    <w:rsid w:val="000B652C"/>
    <w:rsid w:val="000B72A9"/>
    <w:rsid w:val="000C09EC"/>
    <w:rsid w:val="000C23E4"/>
    <w:rsid w:val="000C4255"/>
    <w:rsid w:val="000C581F"/>
    <w:rsid w:val="000C5861"/>
    <w:rsid w:val="000C5CA5"/>
    <w:rsid w:val="000C6CE7"/>
    <w:rsid w:val="000D42CC"/>
    <w:rsid w:val="000D4519"/>
    <w:rsid w:val="000E5B8F"/>
    <w:rsid w:val="000E6CD6"/>
    <w:rsid w:val="000F066E"/>
    <w:rsid w:val="000F1B5B"/>
    <w:rsid w:val="000F235E"/>
    <w:rsid w:val="000F2A52"/>
    <w:rsid w:val="000F463D"/>
    <w:rsid w:val="000F547C"/>
    <w:rsid w:val="000F6B4B"/>
    <w:rsid w:val="00105594"/>
    <w:rsid w:val="00105BAA"/>
    <w:rsid w:val="00105D9F"/>
    <w:rsid w:val="0010664A"/>
    <w:rsid w:val="001120E7"/>
    <w:rsid w:val="00112DE6"/>
    <w:rsid w:val="001158EE"/>
    <w:rsid w:val="0012026D"/>
    <w:rsid w:val="001239DD"/>
    <w:rsid w:val="00123CDF"/>
    <w:rsid w:val="001279C3"/>
    <w:rsid w:val="001361EA"/>
    <w:rsid w:val="00142124"/>
    <w:rsid w:val="00144F34"/>
    <w:rsid w:val="00146CE0"/>
    <w:rsid w:val="00146FD3"/>
    <w:rsid w:val="0015088F"/>
    <w:rsid w:val="001525A5"/>
    <w:rsid w:val="00153ABC"/>
    <w:rsid w:val="00160972"/>
    <w:rsid w:val="00162459"/>
    <w:rsid w:val="00162977"/>
    <w:rsid w:val="00173B06"/>
    <w:rsid w:val="00174AAC"/>
    <w:rsid w:val="00176361"/>
    <w:rsid w:val="00181D4C"/>
    <w:rsid w:val="00183404"/>
    <w:rsid w:val="00183694"/>
    <w:rsid w:val="00184AE2"/>
    <w:rsid w:val="00194F8C"/>
    <w:rsid w:val="001A1958"/>
    <w:rsid w:val="001A3E9D"/>
    <w:rsid w:val="001A7240"/>
    <w:rsid w:val="001A7E0D"/>
    <w:rsid w:val="001B03CA"/>
    <w:rsid w:val="001B14E9"/>
    <w:rsid w:val="001B3E3E"/>
    <w:rsid w:val="001B412D"/>
    <w:rsid w:val="001B41EF"/>
    <w:rsid w:val="001B4A0F"/>
    <w:rsid w:val="001B6011"/>
    <w:rsid w:val="001B69D4"/>
    <w:rsid w:val="001C1FBC"/>
    <w:rsid w:val="001C72AB"/>
    <w:rsid w:val="001D12AC"/>
    <w:rsid w:val="001D2317"/>
    <w:rsid w:val="001D6349"/>
    <w:rsid w:val="001E1CAF"/>
    <w:rsid w:val="001F3ED1"/>
    <w:rsid w:val="00200BCD"/>
    <w:rsid w:val="00204CD3"/>
    <w:rsid w:val="00206728"/>
    <w:rsid w:val="0020684C"/>
    <w:rsid w:val="002110E0"/>
    <w:rsid w:val="002127E2"/>
    <w:rsid w:val="00212E05"/>
    <w:rsid w:val="00215C1B"/>
    <w:rsid w:val="002179EE"/>
    <w:rsid w:val="002203D3"/>
    <w:rsid w:val="00222789"/>
    <w:rsid w:val="00223274"/>
    <w:rsid w:val="00227CEE"/>
    <w:rsid w:val="002320AA"/>
    <w:rsid w:val="0023624A"/>
    <w:rsid w:val="00237999"/>
    <w:rsid w:val="002456F5"/>
    <w:rsid w:val="00252A78"/>
    <w:rsid w:val="002555A8"/>
    <w:rsid w:val="0025651D"/>
    <w:rsid w:val="00262752"/>
    <w:rsid w:val="00267790"/>
    <w:rsid w:val="0027362E"/>
    <w:rsid w:val="00276335"/>
    <w:rsid w:val="00276EC8"/>
    <w:rsid w:val="00281BCC"/>
    <w:rsid w:val="002837E9"/>
    <w:rsid w:val="002840BD"/>
    <w:rsid w:val="00285F20"/>
    <w:rsid w:val="00287654"/>
    <w:rsid w:val="002908B4"/>
    <w:rsid w:val="00291C7F"/>
    <w:rsid w:val="0029292A"/>
    <w:rsid w:val="002945AC"/>
    <w:rsid w:val="002946A5"/>
    <w:rsid w:val="002949F0"/>
    <w:rsid w:val="00295B7F"/>
    <w:rsid w:val="002976F3"/>
    <w:rsid w:val="002A4AC3"/>
    <w:rsid w:val="002A54D4"/>
    <w:rsid w:val="002B0036"/>
    <w:rsid w:val="002B57A7"/>
    <w:rsid w:val="002B57D5"/>
    <w:rsid w:val="002B6652"/>
    <w:rsid w:val="002B6743"/>
    <w:rsid w:val="002B6EC0"/>
    <w:rsid w:val="002B7244"/>
    <w:rsid w:val="002C0AED"/>
    <w:rsid w:val="002C154E"/>
    <w:rsid w:val="002C1607"/>
    <w:rsid w:val="002C1823"/>
    <w:rsid w:val="002C1CA5"/>
    <w:rsid w:val="002C4677"/>
    <w:rsid w:val="002C576E"/>
    <w:rsid w:val="002C6C26"/>
    <w:rsid w:val="002D0A91"/>
    <w:rsid w:val="002D0EF8"/>
    <w:rsid w:val="002D1521"/>
    <w:rsid w:val="002D169E"/>
    <w:rsid w:val="002D3D7E"/>
    <w:rsid w:val="002D48C9"/>
    <w:rsid w:val="002D5FAA"/>
    <w:rsid w:val="002D63D3"/>
    <w:rsid w:val="002D7CC9"/>
    <w:rsid w:val="002E4B19"/>
    <w:rsid w:val="002F4399"/>
    <w:rsid w:val="002F47F8"/>
    <w:rsid w:val="002F7B88"/>
    <w:rsid w:val="002F7E69"/>
    <w:rsid w:val="00302E88"/>
    <w:rsid w:val="00305F59"/>
    <w:rsid w:val="003119A9"/>
    <w:rsid w:val="00312DE0"/>
    <w:rsid w:val="00314806"/>
    <w:rsid w:val="0031482B"/>
    <w:rsid w:val="00317833"/>
    <w:rsid w:val="003271F6"/>
    <w:rsid w:val="003274BD"/>
    <w:rsid w:val="003323D2"/>
    <w:rsid w:val="003336DC"/>
    <w:rsid w:val="00336227"/>
    <w:rsid w:val="00340DCA"/>
    <w:rsid w:val="00342883"/>
    <w:rsid w:val="00350EDB"/>
    <w:rsid w:val="00351A95"/>
    <w:rsid w:val="00352512"/>
    <w:rsid w:val="00355C1F"/>
    <w:rsid w:val="003700AF"/>
    <w:rsid w:val="00371B3C"/>
    <w:rsid w:val="003767CF"/>
    <w:rsid w:val="0038109B"/>
    <w:rsid w:val="00382AAB"/>
    <w:rsid w:val="00382D99"/>
    <w:rsid w:val="00383400"/>
    <w:rsid w:val="00394414"/>
    <w:rsid w:val="0039474D"/>
    <w:rsid w:val="003A4844"/>
    <w:rsid w:val="003A63E2"/>
    <w:rsid w:val="003A6683"/>
    <w:rsid w:val="003B00DB"/>
    <w:rsid w:val="003B07F0"/>
    <w:rsid w:val="003B2895"/>
    <w:rsid w:val="003B6501"/>
    <w:rsid w:val="003B777F"/>
    <w:rsid w:val="003C185A"/>
    <w:rsid w:val="003C26FD"/>
    <w:rsid w:val="003C3762"/>
    <w:rsid w:val="003C3CBE"/>
    <w:rsid w:val="003C630A"/>
    <w:rsid w:val="003C6352"/>
    <w:rsid w:val="003D0014"/>
    <w:rsid w:val="003D319F"/>
    <w:rsid w:val="003D7F19"/>
    <w:rsid w:val="003E0F6E"/>
    <w:rsid w:val="003E1D81"/>
    <w:rsid w:val="003E49D5"/>
    <w:rsid w:val="003E50DE"/>
    <w:rsid w:val="003F2D0C"/>
    <w:rsid w:val="003F6110"/>
    <w:rsid w:val="003F66C5"/>
    <w:rsid w:val="004036B3"/>
    <w:rsid w:val="00404D1F"/>
    <w:rsid w:val="00405128"/>
    <w:rsid w:val="004127DE"/>
    <w:rsid w:val="00414BDC"/>
    <w:rsid w:val="00416257"/>
    <w:rsid w:val="00417178"/>
    <w:rsid w:val="00420532"/>
    <w:rsid w:val="00422591"/>
    <w:rsid w:val="004226D2"/>
    <w:rsid w:val="0042287F"/>
    <w:rsid w:val="004234D4"/>
    <w:rsid w:val="00423B92"/>
    <w:rsid w:val="0042573A"/>
    <w:rsid w:val="00432459"/>
    <w:rsid w:val="00432939"/>
    <w:rsid w:val="00435479"/>
    <w:rsid w:val="0044109C"/>
    <w:rsid w:val="0045567F"/>
    <w:rsid w:val="00456BF7"/>
    <w:rsid w:val="00462FC1"/>
    <w:rsid w:val="004651A3"/>
    <w:rsid w:val="00476CE6"/>
    <w:rsid w:val="004952CE"/>
    <w:rsid w:val="004A2104"/>
    <w:rsid w:val="004A3250"/>
    <w:rsid w:val="004A4F3F"/>
    <w:rsid w:val="004A69CD"/>
    <w:rsid w:val="004B0655"/>
    <w:rsid w:val="004B09DD"/>
    <w:rsid w:val="004B113A"/>
    <w:rsid w:val="004B178C"/>
    <w:rsid w:val="004B215B"/>
    <w:rsid w:val="004B3CF5"/>
    <w:rsid w:val="004B45B4"/>
    <w:rsid w:val="004B62E4"/>
    <w:rsid w:val="004B66C7"/>
    <w:rsid w:val="004C0CF1"/>
    <w:rsid w:val="004C1410"/>
    <w:rsid w:val="004C289D"/>
    <w:rsid w:val="004C41E7"/>
    <w:rsid w:val="004C6095"/>
    <w:rsid w:val="004C6CED"/>
    <w:rsid w:val="004C6FD7"/>
    <w:rsid w:val="004C709B"/>
    <w:rsid w:val="004D0C8C"/>
    <w:rsid w:val="004D12DA"/>
    <w:rsid w:val="004D291D"/>
    <w:rsid w:val="004D3259"/>
    <w:rsid w:val="004D3854"/>
    <w:rsid w:val="004D47C0"/>
    <w:rsid w:val="004D51E9"/>
    <w:rsid w:val="004D73BB"/>
    <w:rsid w:val="004D79AC"/>
    <w:rsid w:val="004E081E"/>
    <w:rsid w:val="004E344E"/>
    <w:rsid w:val="004F053E"/>
    <w:rsid w:val="004F1959"/>
    <w:rsid w:val="004F5507"/>
    <w:rsid w:val="00500CA6"/>
    <w:rsid w:val="00503F13"/>
    <w:rsid w:val="00504227"/>
    <w:rsid w:val="00504B77"/>
    <w:rsid w:val="00511294"/>
    <w:rsid w:val="005115F5"/>
    <w:rsid w:val="0051452E"/>
    <w:rsid w:val="005168BE"/>
    <w:rsid w:val="005248D2"/>
    <w:rsid w:val="00524ADD"/>
    <w:rsid w:val="0052722E"/>
    <w:rsid w:val="00530346"/>
    <w:rsid w:val="005304CC"/>
    <w:rsid w:val="00535904"/>
    <w:rsid w:val="0053721E"/>
    <w:rsid w:val="00545183"/>
    <w:rsid w:val="00547FA7"/>
    <w:rsid w:val="00554AAC"/>
    <w:rsid w:val="00554F6B"/>
    <w:rsid w:val="00557E36"/>
    <w:rsid w:val="00562410"/>
    <w:rsid w:val="00567E72"/>
    <w:rsid w:val="00576A6D"/>
    <w:rsid w:val="00582CD7"/>
    <w:rsid w:val="005A03F7"/>
    <w:rsid w:val="005A09EF"/>
    <w:rsid w:val="005A1249"/>
    <w:rsid w:val="005B1CE3"/>
    <w:rsid w:val="005B2419"/>
    <w:rsid w:val="005B3C9E"/>
    <w:rsid w:val="005C180B"/>
    <w:rsid w:val="005C1884"/>
    <w:rsid w:val="005C46E5"/>
    <w:rsid w:val="005C5368"/>
    <w:rsid w:val="005C670B"/>
    <w:rsid w:val="005C7CAE"/>
    <w:rsid w:val="005D03F2"/>
    <w:rsid w:val="005D0D08"/>
    <w:rsid w:val="005D264A"/>
    <w:rsid w:val="005D52A5"/>
    <w:rsid w:val="005E27A9"/>
    <w:rsid w:val="005E6352"/>
    <w:rsid w:val="005F450D"/>
    <w:rsid w:val="005F4A52"/>
    <w:rsid w:val="00600B2E"/>
    <w:rsid w:val="00601ACB"/>
    <w:rsid w:val="006026AA"/>
    <w:rsid w:val="0060510A"/>
    <w:rsid w:val="00605FC6"/>
    <w:rsid w:val="00610871"/>
    <w:rsid w:val="006118CF"/>
    <w:rsid w:val="00614C81"/>
    <w:rsid w:val="00617DB3"/>
    <w:rsid w:val="00617FFA"/>
    <w:rsid w:val="00621525"/>
    <w:rsid w:val="00624BD6"/>
    <w:rsid w:val="00626AF6"/>
    <w:rsid w:val="00630B0B"/>
    <w:rsid w:val="006333F4"/>
    <w:rsid w:val="0063471B"/>
    <w:rsid w:val="006356F2"/>
    <w:rsid w:val="00635BEA"/>
    <w:rsid w:val="006435A6"/>
    <w:rsid w:val="0064378F"/>
    <w:rsid w:val="00652764"/>
    <w:rsid w:val="00652907"/>
    <w:rsid w:val="00654574"/>
    <w:rsid w:val="00655EEE"/>
    <w:rsid w:val="0065668C"/>
    <w:rsid w:val="0066334D"/>
    <w:rsid w:val="006637A7"/>
    <w:rsid w:val="00663DAC"/>
    <w:rsid w:val="00667201"/>
    <w:rsid w:val="00670359"/>
    <w:rsid w:val="00672B36"/>
    <w:rsid w:val="00674B37"/>
    <w:rsid w:val="00676119"/>
    <w:rsid w:val="00677D09"/>
    <w:rsid w:val="00683016"/>
    <w:rsid w:val="006844FA"/>
    <w:rsid w:val="00687B5E"/>
    <w:rsid w:val="00692E81"/>
    <w:rsid w:val="006932AA"/>
    <w:rsid w:val="00696504"/>
    <w:rsid w:val="00696BF6"/>
    <w:rsid w:val="006A30BB"/>
    <w:rsid w:val="006A553A"/>
    <w:rsid w:val="006A6A55"/>
    <w:rsid w:val="006A7A21"/>
    <w:rsid w:val="006B2F42"/>
    <w:rsid w:val="006B361F"/>
    <w:rsid w:val="006B452B"/>
    <w:rsid w:val="006B4EB9"/>
    <w:rsid w:val="006B74EB"/>
    <w:rsid w:val="006B7DCF"/>
    <w:rsid w:val="006C4D35"/>
    <w:rsid w:val="006C61F1"/>
    <w:rsid w:val="006C7D42"/>
    <w:rsid w:val="006E2560"/>
    <w:rsid w:val="006E25B8"/>
    <w:rsid w:val="006E3847"/>
    <w:rsid w:val="006E428F"/>
    <w:rsid w:val="006F1DE8"/>
    <w:rsid w:val="006F3B5A"/>
    <w:rsid w:val="006F5163"/>
    <w:rsid w:val="006F570E"/>
    <w:rsid w:val="006F57A2"/>
    <w:rsid w:val="006F618A"/>
    <w:rsid w:val="006F774E"/>
    <w:rsid w:val="0070147A"/>
    <w:rsid w:val="0070224E"/>
    <w:rsid w:val="0071525B"/>
    <w:rsid w:val="0071542F"/>
    <w:rsid w:val="00720C21"/>
    <w:rsid w:val="00723F7A"/>
    <w:rsid w:val="0073388F"/>
    <w:rsid w:val="00733A53"/>
    <w:rsid w:val="0074036E"/>
    <w:rsid w:val="007430F8"/>
    <w:rsid w:val="00744972"/>
    <w:rsid w:val="00750EE1"/>
    <w:rsid w:val="00750F3B"/>
    <w:rsid w:val="00751018"/>
    <w:rsid w:val="00753F1D"/>
    <w:rsid w:val="00754934"/>
    <w:rsid w:val="007574AE"/>
    <w:rsid w:val="00765D5C"/>
    <w:rsid w:val="007660E1"/>
    <w:rsid w:val="00766ACF"/>
    <w:rsid w:val="0076795C"/>
    <w:rsid w:val="00767DA5"/>
    <w:rsid w:val="00770BDA"/>
    <w:rsid w:val="00775878"/>
    <w:rsid w:val="00780307"/>
    <w:rsid w:val="0078072F"/>
    <w:rsid w:val="0078183B"/>
    <w:rsid w:val="00783026"/>
    <w:rsid w:val="007835F1"/>
    <w:rsid w:val="00786131"/>
    <w:rsid w:val="00786D6D"/>
    <w:rsid w:val="007902C9"/>
    <w:rsid w:val="00791F65"/>
    <w:rsid w:val="007921FA"/>
    <w:rsid w:val="00795DE9"/>
    <w:rsid w:val="007A529B"/>
    <w:rsid w:val="007A6546"/>
    <w:rsid w:val="007A65C4"/>
    <w:rsid w:val="007A65E7"/>
    <w:rsid w:val="007A6D6A"/>
    <w:rsid w:val="007A7D7E"/>
    <w:rsid w:val="007B2E28"/>
    <w:rsid w:val="007B415A"/>
    <w:rsid w:val="007B72E3"/>
    <w:rsid w:val="007C2DCB"/>
    <w:rsid w:val="007C4AF6"/>
    <w:rsid w:val="007C4B09"/>
    <w:rsid w:val="007C6E28"/>
    <w:rsid w:val="007C7550"/>
    <w:rsid w:val="007D02A2"/>
    <w:rsid w:val="007D1984"/>
    <w:rsid w:val="007D2C02"/>
    <w:rsid w:val="007D45DF"/>
    <w:rsid w:val="007E2D4F"/>
    <w:rsid w:val="007E2FD1"/>
    <w:rsid w:val="007F2CF4"/>
    <w:rsid w:val="007F4796"/>
    <w:rsid w:val="007F5290"/>
    <w:rsid w:val="007F61E3"/>
    <w:rsid w:val="00802966"/>
    <w:rsid w:val="0080663B"/>
    <w:rsid w:val="00814598"/>
    <w:rsid w:val="00816F99"/>
    <w:rsid w:val="008214A2"/>
    <w:rsid w:val="00822647"/>
    <w:rsid w:val="00823E95"/>
    <w:rsid w:val="0082465C"/>
    <w:rsid w:val="00825F40"/>
    <w:rsid w:val="008310EB"/>
    <w:rsid w:val="00833704"/>
    <w:rsid w:val="00834FA8"/>
    <w:rsid w:val="008356A8"/>
    <w:rsid w:val="00836B12"/>
    <w:rsid w:val="008371F4"/>
    <w:rsid w:val="008406B6"/>
    <w:rsid w:val="00842A1A"/>
    <w:rsid w:val="008453D4"/>
    <w:rsid w:val="00846668"/>
    <w:rsid w:val="00847F5B"/>
    <w:rsid w:val="00850C48"/>
    <w:rsid w:val="00852DB3"/>
    <w:rsid w:val="0085368E"/>
    <w:rsid w:val="0085700D"/>
    <w:rsid w:val="00857245"/>
    <w:rsid w:val="00861158"/>
    <w:rsid w:val="0086290B"/>
    <w:rsid w:val="00862B52"/>
    <w:rsid w:val="0086366A"/>
    <w:rsid w:val="0086691A"/>
    <w:rsid w:val="00870211"/>
    <w:rsid w:val="00874EA5"/>
    <w:rsid w:val="00880A7F"/>
    <w:rsid w:val="00894B50"/>
    <w:rsid w:val="00896DDC"/>
    <w:rsid w:val="008A0689"/>
    <w:rsid w:val="008A1463"/>
    <w:rsid w:val="008B0E80"/>
    <w:rsid w:val="008B17AA"/>
    <w:rsid w:val="008B2057"/>
    <w:rsid w:val="008B3C85"/>
    <w:rsid w:val="008B616D"/>
    <w:rsid w:val="008C1712"/>
    <w:rsid w:val="008C6DD5"/>
    <w:rsid w:val="008D1E18"/>
    <w:rsid w:val="008D2218"/>
    <w:rsid w:val="008D24A0"/>
    <w:rsid w:val="008E149D"/>
    <w:rsid w:val="008E318D"/>
    <w:rsid w:val="008E3837"/>
    <w:rsid w:val="008E67A6"/>
    <w:rsid w:val="008F5828"/>
    <w:rsid w:val="008F69B2"/>
    <w:rsid w:val="009016CA"/>
    <w:rsid w:val="00902940"/>
    <w:rsid w:val="00906207"/>
    <w:rsid w:val="00913CC8"/>
    <w:rsid w:val="00916859"/>
    <w:rsid w:val="0091727E"/>
    <w:rsid w:val="00917A5D"/>
    <w:rsid w:val="00922C03"/>
    <w:rsid w:val="00926E8B"/>
    <w:rsid w:val="00927180"/>
    <w:rsid w:val="009307A6"/>
    <w:rsid w:val="009332A2"/>
    <w:rsid w:val="00940343"/>
    <w:rsid w:val="00942029"/>
    <w:rsid w:val="00942582"/>
    <w:rsid w:val="00943C96"/>
    <w:rsid w:val="00944389"/>
    <w:rsid w:val="00944831"/>
    <w:rsid w:val="00952730"/>
    <w:rsid w:val="009541D2"/>
    <w:rsid w:val="009639B0"/>
    <w:rsid w:val="0098154C"/>
    <w:rsid w:val="00981680"/>
    <w:rsid w:val="00981CA3"/>
    <w:rsid w:val="00986915"/>
    <w:rsid w:val="00990927"/>
    <w:rsid w:val="00992FC5"/>
    <w:rsid w:val="009943E8"/>
    <w:rsid w:val="009944BE"/>
    <w:rsid w:val="00994C60"/>
    <w:rsid w:val="00997428"/>
    <w:rsid w:val="009A1F20"/>
    <w:rsid w:val="009A2983"/>
    <w:rsid w:val="009A5036"/>
    <w:rsid w:val="009A76F7"/>
    <w:rsid w:val="009A7F24"/>
    <w:rsid w:val="009B782B"/>
    <w:rsid w:val="009C3E24"/>
    <w:rsid w:val="009C5544"/>
    <w:rsid w:val="009D0A3C"/>
    <w:rsid w:val="009D0C91"/>
    <w:rsid w:val="009D34B5"/>
    <w:rsid w:val="009D6B5A"/>
    <w:rsid w:val="009D734E"/>
    <w:rsid w:val="009E2EED"/>
    <w:rsid w:val="009E7469"/>
    <w:rsid w:val="009F21BE"/>
    <w:rsid w:val="009F43D6"/>
    <w:rsid w:val="009F58C5"/>
    <w:rsid w:val="009F5E65"/>
    <w:rsid w:val="009F7B76"/>
    <w:rsid w:val="00A004D0"/>
    <w:rsid w:val="00A13963"/>
    <w:rsid w:val="00A21F8B"/>
    <w:rsid w:val="00A222E6"/>
    <w:rsid w:val="00A25D47"/>
    <w:rsid w:val="00A26709"/>
    <w:rsid w:val="00A27A18"/>
    <w:rsid w:val="00A3050D"/>
    <w:rsid w:val="00A34D37"/>
    <w:rsid w:val="00A41362"/>
    <w:rsid w:val="00A41561"/>
    <w:rsid w:val="00A42350"/>
    <w:rsid w:val="00A44603"/>
    <w:rsid w:val="00A44EAE"/>
    <w:rsid w:val="00A46E59"/>
    <w:rsid w:val="00A47A76"/>
    <w:rsid w:val="00A47AA1"/>
    <w:rsid w:val="00A504D5"/>
    <w:rsid w:val="00A52B35"/>
    <w:rsid w:val="00A55FB5"/>
    <w:rsid w:val="00A57A56"/>
    <w:rsid w:val="00A60091"/>
    <w:rsid w:val="00A66CE1"/>
    <w:rsid w:val="00A677C5"/>
    <w:rsid w:val="00A70D08"/>
    <w:rsid w:val="00A74475"/>
    <w:rsid w:val="00A75B2E"/>
    <w:rsid w:val="00A81F3E"/>
    <w:rsid w:val="00A827B9"/>
    <w:rsid w:val="00A82D33"/>
    <w:rsid w:val="00A910D2"/>
    <w:rsid w:val="00A934BA"/>
    <w:rsid w:val="00AA32B4"/>
    <w:rsid w:val="00AA3458"/>
    <w:rsid w:val="00AA5035"/>
    <w:rsid w:val="00AA5700"/>
    <w:rsid w:val="00AA5FCE"/>
    <w:rsid w:val="00AA67BE"/>
    <w:rsid w:val="00AA6D48"/>
    <w:rsid w:val="00AB35C8"/>
    <w:rsid w:val="00AB57B1"/>
    <w:rsid w:val="00AC0045"/>
    <w:rsid w:val="00AC1197"/>
    <w:rsid w:val="00AC19B1"/>
    <w:rsid w:val="00AC22E5"/>
    <w:rsid w:val="00AC5504"/>
    <w:rsid w:val="00AC65AC"/>
    <w:rsid w:val="00AC7259"/>
    <w:rsid w:val="00AD194B"/>
    <w:rsid w:val="00AD1988"/>
    <w:rsid w:val="00AD4716"/>
    <w:rsid w:val="00AD4D1B"/>
    <w:rsid w:val="00AE0385"/>
    <w:rsid w:val="00AE17C1"/>
    <w:rsid w:val="00AE245A"/>
    <w:rsid w:val="00AE26DD"/>
    <w:rsid w:val="00AE3B8E"/>
    <w:rsid w:val="00AE4BB4"/>
    <w:rsid w:val="00AE4FEB"/>
    <w:rsid w:val="00AE7C1E"/>
    <w:rsid w:val="00AF3FCF"/>
    <w:rsid w:val="00AF5132"/>
    <w:rsid w:val="00AF5A78"/>
    <w:rsid w:val="00B01F1D"/>
    <w:rsid w:val="00B03E28"/>
    <w:rsid w:val="00B0471D"/>
    <w:rsid w:val="00B0479E"/>
    <w:rsid w:val="00B052E1"/>
    <w:rsid w:val="00B06F0A"/>
    <w:rsid w:val="00B1292C"/>
    <w:rsid w:val="00B16423"/>
    <w:rsid w:val="00B16F17"/>
    <w:rsid w:val="00B22B4D"/>
    <w:rsid w:val="00B2397F"/>
    <w:rsid w:val="00B25824"/>
    <w:rsid w:val="00B3026E"/>
    <w:rsid w:val="00B36657"/>
    <w:rsid w:val="00B36E0E"/>
    <w:rsid w:val="00B4214A"/>
    <w:rsid w:val="00B45B83"/>
    <w:rsid w:val="00B46A8D"/>
    <w:rsid w:val="00B47A3F"/>
    <w:rsid w:val="00B52029"/>
    <w:rsid w:val="00B52B96"/>
    <w:rsid w:val="00B6179D"/>
    <w:rsid w:val="00B66905"/>
    <w:rsid w:val="00B67252"/>
    <w:rsid w:val="00B73CDB"/>
    <w:rsid w:val="00B754AF"/>
    <w:rsid w:val="00B778CD"/>
    <w:rsid w:val="00B77DFA"/>
    <w:rsid w:val="00B80AF2"/>
    <w:rsid w:val="00B80B01"/>
    <w:rsid w:val="00B831A8"/>
    <w:rsid w:val="00B83E5C"/>
    <w:rsid w:val="00B855E7"/>
    <w:rsid w:val="00B8686A"/>
    <w:rsid w:val="00B92C97"/>
    <w:rsid w:val="00B969F4"/>
    <w:rsid w:val="00B96D4A"/>
    <w:rsid w:val="00BA3B7F"/>
    <w:rsid w:val="00BA5BE8"/>
    <w:rsid w:val="00BB09E8"/>
    <w:rsid w:val="00BB253D"/>
    <w:rsid w:val="00BB3342"/>
    <w:rsid w:val="00BB5B42"/>
    <w:rsid w:val="00BB722F"/>
    <w:rsid w:val="00BB79D7"/>
    <w:rsid w:val="00BC140B"/>
    <w:rsid w:val="00BC408A"/>
    <w:rsid w:val="00BC4E9B"/>
    <w:rsid w:val="00BC6548"/>
    <w:rsid w:val="00BC7DD6"/>
    <w:rsid w:val="00BD1A61"/>
    <w:rsid w:val="00BD2A61"/>
    <w:rsid w:val="00BD2C46"/>
    <w:rsid w:val="00BD3926"/>
    <w:rsid w:val="00BD589C"/>
    <w:rsid w:val="00BD7878"/>
    <w:rsid w:val="00BE137D"/>
    <w:rsid w:val="00BE1C35"/>
    <w:rsid w:val="00BE23B5"/>
    <w:rsid w:val="00BE3E15"/>
    <w:rsid w:val="00BE4335"/>
    <w:rsid w:val="00BE6DCD"/>
    <w:rsid w:val="00BE73C3"/>
    <w:rsid w:val="00BE7EAF"/>
    <w:rsid w:val="00C00341"/>
    <w:rsid w:val="00C00A02"/>
    <w:rsid w:val="00C00FC0"/>
    <w:rsid w:val="00C0129A"/>
    <w:rsid w:val="00C04036"/>
    <w:rsid w:val="00C040DF"/>
    <w:rsid w:val="00C12B4A"/>
    <w:rsid w:val="00C12F51"/>
    <w:rsid w:val="00C142C8"/>
    <w:rsid w:val="00C1782D"/>
    <w:rsid w:val="00C201C4"/>
    <w:rsid w:val="00C20A89"/>
    <w:rsid w:val="00C21040"/>
    <w:rsid w:val="00C22003"/>
    <w:rsid w:val="00C312CA"/>
    <w:rsid w:val="00C3272D"/>
    <w:rsid w:val="00C375AE"/>
    <w:rsid w:val="00C40085"/>
    <w:rsid w:val="00C40DBE"/>
    <w:rsid w:val="00C42416"/>
    <w:rsid w:val="00C42BE6"/>
    <w:rsid w:val="00C42E80"/>
    <w:rsid w:val="00C43567"/>
    <w:rsid w:val="00C4380E"/>
    <w:rsid w:val="00C43B63"/>
    <w:rsid w:val="00C4403E"/>
    <w:rsid w:val="00C44C35"/>
    <w:rsid w:val="00C45CE9"/>
    <w:rsid w:val="00C525B9"/>
    <w:rsid w:val="00C52986"/>
    <w:rsid w:val="00C53132"/>
    <w:rsid w:val="00C53DDB"/>
    <w:rsid w:val="00C56887"/>
    <w:rsid w:val="00C60596"/>
    <w:rsid w:val="00C63935"/>
    <w:rsid w:val="00C63CD1"/>
    <w:rsid w:val="00C66823"/>
    <w:rsid w:val="00C677CD"/>
    <w:rsid w:val="00C7093A"/>
    <w:rsid w:val="00C70EB1"/>
    <w:rsid w:val="00C72CE9"/>
    <w:rsid w:val="00C765DA"/>
    <w:rsid w:val="00C7745F"/>
    <w:rsid w:val="00C82A0F"/>
    <w:rsid w:val="00C90C0D"/>
    <w:rsid w:val="00C914EB"/>
    <w:rsid w:val="00C937E8"/>
    <w:rsid w:val="00C9690D"/>
    <w:rsid w:val="00C96EAA"/>
    <w:rsid w:val="00CA3B15"/>
    <w:rsid w:val="00CA6A2D"/>
    <w:rsid w:val="00CB181B"/>
    <w:rsid w:val="00CB3BEB"/>
    <w:rsid w:val="00CB5B14"/>
    <w:rsid w:val="00CC06F8"/>
    <w:rsid w:val="00CC072B"/>
    <w:rsid w:val="00CC0D17"/>
    <w:rsid w:val="00CC202D"/>
    <w:rsid w:val="00CC3467"/>
    <w:rsid w:val="00CC4241"/>
    <w:rsid w:val="00CC4DC3"/>
    <w:rsid w:val="00CC4EBB"/>
    <w:rsid w:val="00CD3CC9"/>
    <w:rsid w:val="00CD4195"/>
    <w:rsid w:val="00CE452D"/>
    <w:rsid w:val="00CE6A64"/>
    <w:rsid w:val="00CE6A85"/>
    <w:rsid w:val="00CE6CF2"/>
    <w:rsid w:val="00CE7147"/>
    <w:rsid w:val="00CE7999"/>
    <w:rsid w:val="00CF4F5C"/>
    <w:rsid w:val="00CF5DCC"/>
    <w:rsid w:val="00CF7CE1"/>
    <w:rsid w:val="00D002EA"/>
    <w:rsid w:val="00D04EAC"/>
    <w:rsid w:val="00D2376C"/>
    <w:rsid w:val="00D25A64"/>
    <w:rsid w:val="00D264D0"/>
    <w:rsid w:val="00D31C58"/>
    <w:rsid w:val="00D36079"/>
    <w:rsid w:val="00D42C9E"/>
    <w:rsid w:val="00D4535C"/>
    <w:rsid w:val="00D453CE"/>
    <w:rsid w:val="00D4775C"/>
    <w:rsid w:val="00D47D05"/>
    <w:rsid w:val="00D507FD"/>
    <w:rsid w:val="00D55236"/>
    <w:rsid w:val="00D67A93"/>
    <w:rsid w:val="00D71896"/>
    <w:rsid w:val="00D71E19"/>
    <w:rsid w:val="00D75094"/>
    <w:rsid w:val="00D8215C"/>
    <w:rsid w:val="00D85BC6"/>
    <w:rsid w:val="00D87A03"/>
    <w:rsid w:val="00D9006F"/>
    <w:rsid w:val="00D90FD1"/>
    <w:rsid w:val="00D9285C"/>
    <w:rsid w:val="00D9291A"/>
    <w:rsid w:val="00D9539C"/>
    <w:rsid w:val="00D97548"/>
    <w:rsid w:val="00DA117C"/>
    <w:rsid w:val="00DA78A9"/>
    <w:rsid w:val="00DB4708"/>
    <w:rsid w:val="00DB4E83"/>
    <w:rsid w:val="00DC07FD"/>
    <w:rsid w:val="00DC216C"/>
    <w:rsid w:val="00DC37C4"/>
    <w:rsid w:val="00DC3912"/>
    <w:rsid w:val="00DC71DC"/>
    <w:rsid w:val="00DD13E0"/>
    <w:rsid w:val="00DD2A86"/>
    <w:rsid w:val="00DD309C"/>
    <w:rsid w:val="00DD35CA"/>
    <w:rsid w:val="00DE0623"/>
    <w:rsid w:val="00DE2488"/>
    <w:rsid w:val="00DE3180"/>
    <w:rsid w:val="00DF08D4"/>
    <w:rsid w:val="00DF1388"/>
    <w:rsid w:val="00DF2569"/>
    <w:rsid w:val="00DF35E7"/>
    <w:rsid w:val="00E00586"/>
    <w:rsid w:val="00E00C44"/>
    <w:rsid w:val="00E00DD5"/>
    <w:rsid w:val="00E01A18"/>
    <w:rsid w:val="00E01BED"/>
    <w:rsid w:val="00E02154"/>
    <w:rsid w:val="00E0286C"/>
    <w:rsid w:val="00E0290F"/>
    <w:rsid w:val="00E02BFD"/>
    <w:rsid w:val="00E036F2"/>
    <w:rsid w:val="00E07B43"/>
    <w:rsid w:val="00E1030C"/>
    <w:rsid w:val="00E1048B"/>
    <w:rsid w:val="00E11DEE"/>
    <w:rsid w:val="00E12E9C"/>
    <w:rsid w:val="00E14123"/>
    <w:rsid w:val="00E150B7"/>
    <w:rsid w:val="00E15CDE"/>
    <w:rsid w:val="00E1779C"/>
    <w:rsid w:val="00E237AF"/>
    <w:rsid w:val="00E25C73"/>
    <w:rsid w:val="00E32BD8"/>
    <w:rsid w:val="00E417F8"/>
    <w:rsid w:val="00E4327A"/>
    <w:rsid w:val="00E4555D"/>
    <w:rsid w:val="00E46A8D"/>
    <w:rsid w:val="00E54AD2"/>
    <w:rsid w:val="00E60F69"/>
    <w:rsid w:val="00E626BF"/>
    <w:rsid w:val="00E62CA5"/>
    <w:rsid w:val="00E63B51"/>
    <w:rsid w:val="00E645A5"/>
    <w:rsid w:val="00E64AA2"/>
    <w:rsid w:val="00E65E56"/>
    <w:rsid w:val="00E668F0"/>
    <w:rsid w:val="00E74FC4"/>
    <w:rsid w:val="00E75950"/>
    <w:rsid w:val="00E817E0"/>
    <w:rsid w:val="00E86271"/>
    <w:rsid w:val="00E93C31"/>
    <w:rsid w:val="00E976A3"/>
    <w:rsid w:val="00EA2347"/>
    <w:rsid w:val="00EA46CB"/>
    <w:rsid w:val="00EB1A0D"/>
    <w:rsid w:val="00EB1E86"/>
    <w:rsid w:val="00EB335A"/>
    <w:rsid w:val="00EB4423"/>
    <w:rsid w:val="00EB703A"/>
    <w:rsid w:val="00EB7D6E"/>
    <w:rsid w:val="00EC0914"/>
    <w:rsid w:val="00EC169C"/>
    <w:rsid w:val="00EC5C58"/>
    <w:rsid w:val="00EC6C23"/>
    <w:rsid w:val="00EC7B8B"/>
    <w:rsid w:val="00ED132F"/>
    <w:rsid w:val="00ED19CB"/>
    <w:rsid w:val="00ED5998"/>
    <w:rsid w:val="00ED714C"/>
    <w:rsid w:val="00ED7783"/>
    <w:rsid w:val="00EE08A4"/>
    <w:rsid w:val="00EE33DC"/>
    <w:rsid w:val="00EE4664"/>
    <w:rsid w:val="00EE5668"/>
    <w:rsid w:val="00EE65F4"/>
    <w:rsid w:val="00EE67CB"/>
    <w:rsid w:val="00EF3440"/>
    <w:rsid w:val="00EF5951"/>
    <w:rsid w:val="00EF6F04"/>
    <w:rsid w:val="00F0047A"/>
    <w:rsid w:val="00F02C43"/>
    <w:rsid w:val="00F031F1"/>
    <w:rsid w:val="00F0647F"/>
    <w:rsid w:val="00F10536"/>
    <w:rsid w:val="00F1080C"/>
    <w:rsid w:val="00F12E3A"/>
    <w:rsid w:val="00F203E0"/>
    <w:rsid w:val="00F21658"/>
    <w:rsid w:val="00F21D6C"/>
    <w:rsid w:val="00F25219"/>
    <w:rsid w:val="00F254D3"/>
    <w:rsid w:val="00F2648E"/>
    <w:rsid w:val="00F2779F"/>
    <w:rsid w:val="00F27CFE"/>
    <w:rsid w:val="00F4305E"/>
    <w:rsid w:val="00F44A78"/>
    <w:rsid w:val="00F4525D"/>
    <w:rsid w:val="00F45C1E"/>
    <w:rsid w:val="00F57816"/>
    <w:rsid w:val="00F630A2"/>
    <w:rsid w:val="00F659B1"/>
    <w:rsid w:val="00F7302A"/>
    <w:rsid w:val="00F74811"/>
    <w:rsid w:val="00F74BE0"/>
    <w:rsid w:val="00F7679D"/>
    <w:rsid w:val="00F81A3C"/>
    <w:rsid w:val="00F841F0"/>
    <w:rsid w:val="00F864FF"/>
    <w:rsid w:val="00F866B1"/>
    <w:rsid w:val="00F919F7"/>
    <w:rsid w:val="00F92625"/>
    <w:rsid w:val="00F92DFF"/>
    <w:rsid w:val="00F94B4D"/>
    <w:rsid w:val="00F95F1C"/>
    <w:rsid w:val="00FA231B"/>
    <w:rsid w:val="00FA5B16"/>
    <w:rsid w:val="00FA662F"/>
    <w:rsid w:val="00FA791D"/>
    <w:rsid w:val="00FB0FD2"/>
    <w:rsid w:val="00FB2AA5"/>
    <w:rsid w:val="00FB5521"/>
    <w:rsid w:val="00FC0C80"/>
    <w:rsid w:val="00FC590C"/>
    <w:rsid w:val="00FC5FFE"/>
    <w:rsid w:val="00FC628C"/>
    <w:rsid w:val="00FD38D7"/>
    <w:rsid w:val="00FD46B2"/>
    <w:rsid w:val="00FD5D05"/>
    <w:rsid w:val="00FE1240"/>
    <w:rsid w:val="00FE17B2"/>
    <w:rsid w:val="00FE40E7"/>
    <w:rsid w:val="00FE43BC"/>
    <w:rsid w:val="00FE5AD6"/>
    <w:rsid w:val="00FF18FD"/>
    <w:rsid w:val="00FF1ED2"/>
    <w:rsid w:val="00FF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CE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FD2"/>
    <w:pPr>
      <w:spacing w:after="100" w:line="400" w:lineRule="exact"/>
      <w:jc w:val="both"/>
    </w:pPr>
    <w:rPr>
      <w:rFonts w:ascii="Century Schoolbook" w:hAnsi="Century Schoolbook"/>
      <w:sz w:val="27"/>
    </w:rPr>
  </w:style>
  <w:style w:type="paragraph" w:styleId="Heading1">
    <w:name w:val="heading 1"/>
    <w:basedOn w:val="Normal"/>
    <w:next w:val="Normal"/>
    <w:qFormat/>
    <w:rsid w:val="00FB0FD2"/>
    <w:pPr>
      <w:keepNext/>
      <w:spacing w:before="140" w:line="240" w:lineRule="atLeast"/>
      <w:jc w:val="center"/>
      <w:outlineLvl w:val="0"/>
    </w:pPr>
    <w:rPr>
      <w:b/>
      <w:smallCaps/>
    </w:rPr>
  </w:style>
  <w:style w:type="paragraph" w:styleId="Heading2">
    <w:name w:val="heading 2"/>
    <w:basedOn w:val="Normal"/>
    <w:next w:val="Normal"/>
    <w:qFormat/>
    <w:rsid w:val="00FB0FD2"/>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FB0FD2"/>
    <w:pPr>
      <w:keepNext/>
      <w:tabs>
        <w:tab w:val="left" w:pos="1584"/>
      </w:tabs>
      <w:spacing w:before="140" w:line="240" w:lineRule="atLeast"/>
      <w:ind w:left="1584" w:hanging="432"/>
      <w:jc w:val="left"/>
      <w:outlineLvl w:val="2"/>
    </w:pPr>
    <w:rPr>
      <w:i/>
    </w:rPr>
  </w:style>
  <w:style w:type="paragraph" w:styleId="Heading4">
    <w:name w:val="heading 4"/>
    <w:basedOn w:val="Normal"/>
    <w:rsid w:val="00FB0FD2"/>
    <w:pPr>
      <w:keepNext/>
      <w:tabs>
        <w:tab w:val="left" w:pos="2016"/>
      </w:tabs>
      <w:spacing w:before="140" w:line="240" w:lineRule="atLeast"/>
      <w:ind w:left="2016" w:hanging="432"/>
      <w:jc w:val="left"/>
      <w:outlineLvl w:val="3"/>
    </w:pPr>
    <w:rPr>
      <w:i/>
    </w:rPr>
  </w:style>
  <w:style w:type="paragraph" w:styleId="Heading5">
    <w:name w:val="heading 5"/>
    <w:basedOn w:val="Normal"/>
    <w:rsid w:val="00FB0FD2"/>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FB0FD2"/>
    <w:pPr>
      <w:ind w:left="720"/>
    </w:pPr>
  </w:style>
  <w:style w:type="paragraph" w:styleId="Footer">
    <w:name w:val="footer"/>
    <w:basedOn w:val="Normal"/>
    <w:link w:val="FooterChar"/>
    <w:uiPriority w:val="99"/>
    <w:qFormat/>
    <w:rsid w:val="00FB0FD2"/>
    <w:pPr>
      <w:tabs>
        <w:tab w:val="center" w:pos="3960"/>
        <w:tab w:val="right" w:pos="10080"/>
      </w:tabs>
      <w:spacing w:after="0" w:line="240" w:lineRule="auto"/>
      <w:jc w:val="center"/>
    </w:pPr>
    <w:rPr>
      <w:sz w:val="22"/>
    </w:rPr>
  </w:style>
  <w:style w:type="paragraph" w:styleId="Header">
    <w:name w:val="header"/>
    <w:basedOn w:val="Normal"/>
    <w:qFormat/>
    <w:rsid w:val="00FB0FD2"/>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FB0FD2"/>
    <w:rPr>
      <w:rFonts w:ascii="Century Schoolbook" w:hAnsi="Century Schoolbook"/>
      <w:b/>
      <w:i w:val="0"/>
      <w:position w:val="4"/>
      <w:sz w:val="27"/>
      <w:vertAlign w:val="superscript"/>
    </w:rPr>
  </w:style>
  <w:style w:type="paragraph" w:styleId="FootnoteText">
    <w:name w:val="footnote text"/>
    <w:basedOn w:val="Normal"/>
    <w:link w:val="FootnoteTextChar"/>
    <w:rsid w:val="00FB0FD2"/>
    <w:pPr>
      <w:spacing w:line="300" w:lineRule="exact"/>
    </w:pPr>
  </w:style>
  <w:style w:type="paragraph" w:customStyle="1" w:styleId="Title1">
    <w:name w:val="Title1"/>
    <w:basedOn w:val="Normal"/>
    <w:rsid w:val="00FB0FD2"/>
    <w:pPr>
      <w:tabs>
        <w:tab w:val="left" w:pos="5760"/>
        <w:tab w:val="left" w:pos="6480"/>
      </w:tabs>
      <w:spacing w:line="240" w:lineRule="atLeast"/>
    </w:pPr>
  </w:style>
  <w:style w:type="paragraph" w:customStyle="1" w:styleId="Recommend">
    <w:name w:val="Recommend"/>
    <w:basedOn w:val="Normal"/>
    <w:rsid w:val="00FB0FD2"/>
  </w:style>
  <w:style w:type="paragraph" w:customStyle="1" w:styleId="Summary">
    <w:name w:val="Summary"/>
    <w:basedOn w:val="Normal"/>
    <w:rsid w:val="00FB0FD2"/>
    <w:pPr>
      <w:ind w:left="2160" w:hanging="2160"/>
    </w:pPr>
  </w:style>
  <w:style w:type="paragraph" w:customStyle="1" w:styleId="Text">
    <w:name w:val="Text"/>
    <w:basedOn w:val="Normal"/>
    <w:rsid w:val="00FB0FD2"/>
    <w:pPr>
      <w:tabs>
        <w:tab w:val="left" w:pos="720"/>
        <w:tab w:val="left" w:pos="1440"/>
        <w:tab w:val="left" w:pos="2160"/>
        <w:tab w:val="center" w:pos="4320"/>
      </w:tabs>
      <w:spacing w:line="480" w:lineRule="atLeast"/>
      <w:ind w:firstLine="540"/>
    </w:pPr>
  </w:style>
  <w:style w:type="paragraph" w:styleId="Date">
    <w:name w:val="Date"/>
    <w:basedOn w:val="Normal"/>
    <w:semiHidden/>
    <w:rsid w:val="00FB0FD2"/>
    <w:pPr>
      <w:jc w:val="right"/>
    </w:pPr>
  </w:style>
  <w:style w:type="character" w:styleId="PageNumber">
    <w:name w:val="page number"/>
    <w:basedOn w:val="DefaultParagraphFont"/>
    <w:rsid w:val="00FB0FD2"/>
  </w:style>
  <w:style w:type="paragraph" w:customStyle="1" w:styleId="subject">
    <w:name w:val="subject"/>
    <w:basedOn w:val="Normal"/>
    <w:rsid w:val="00FB0FD2"/>
    <w:pPr>
      <w:tabs>
        <w:tab w:val="left" w:pos="1008"/>
      </w:tabs>
      <w:ind w:left="990" w:hanging="990"/>
    </w:pPr>
    <w:rPr>
      <w:b/>
    </w:rPr>
  </w:style>
  <w:style w:type="paragraph" w:customStyle="1" w:styleId="Titles">
    <w:name w:val="Titles"/>
    <w:basedOn w:val="Normal"/>
    <w:rsid w:val="00FB0FD2"/>
    <w:pPr>
      <w:tabs>
        <w:tab w:val="left" w:pos="2160"/>
      </w:tabs>
      <w:ind w:left="2160" w:hanging="2160"/>
    </w:pPr>
    <w:rPr>
      <w:b/>
    </w:rPr>
  </w:style>
  <w:style w:type="paragraph" w:styleId="TOAHeading">
    <w:name w:val="toa heading"/>
    <w:basedOn w:val="Normal"/>
    <w:next w:val="Normal"/>
    <w:semiHidden/>
    <w:rsid w:val="00FB0FD2"/>
    <w:pPr>
      <w:spacing w:before="120"/>
    </w:pPr>
    <w:rPr>
      <w:b/>
    </w:rPr>
  </w:style>
  <w:style w:type="paragraph" w:styleId="TOC1">
    <w:name w:val="toc 1"/>
    <w:basedOn w:val="Normal"/>
    <w:next w:val="Normal"/>
    <w:autoRedefine/>
    <w:semiHidden/>
    <w:rsid w:val="00FB0FD2"/>
  </w:style>
  <w:style w:type="paragraph" w:styleId="TOC2">
    <w:name w:val="toc 2"/>
    <w:basedOn w:val="Normal"/>
    <w:next w:val="Normal"/>
    <w:autoRedefine/>
    <w:semiHidden/>
    <w:rsid w:val="00FB0FD2"/>
    <w:pPr>
      <w:ind w:left="259"/>
    </w:pPr>
  </w:style>
  <w:style w:type="paragraph" w:styleId="TOC3">
    <w:name w:val="toc 3"/>
    <w:basedOn w:val="Normal"/>
    <w:next w:val="Normal"/>
    <w:autoRedefine/>
    <w:semiHidden/>
    <w:rsid w:val="00FB0FD2"/>
    <w:pPr>
      <w:ind w:left="520"/>
    </w:pPr>
  </w:style>
  <w:style w:type="paragraph" w:styleId="TOC4">
    <w:name w:val="toc 4"/>
    <w:basedOn w:val="Normal"/>
    <w:next w:val="Normal"/>
    <w:autoRedefine/>
    <w:semiHidden/>
    <w:rsid w:val="00FB0FD2"/>
    <w:pPr>
      <w:ind w:left="780"/>
    </w:pPr>
  </w:style>
  <w:style w:type="paragraph" w:styleId="TOC5">
    <w:name w:val="toc 5"/>
    <w:basedOn w:val="Normal"/>
    <w:next w:val="Normal"/>
    <w:autoRedefine/>
    <w:semiHidden/>
    <w:rsid w:val="00FB0FD2"/>
    <w:pPr>
      <w:ind w:left="1040"/>
    </w:pPr>
  </w:style>
  <w:style w:type="paragraph" w:styleId="TOC6">
    <w:name w:val="toc 6"/>
    <w:basedOn w:val="Normal"/>
    <w:next w:val="Normal"/>
    <w:autoRedefine/>
    <w:semiHidden/>
    <w:rsid w:val="00FB0FD2"/>
    <w:pPr>
      <w:ind w:left="1300"/>
    </w:pPr>
  </w:style>
  <w:style w:type="paragraph" w:styleId="TOC7">
    <w:name w:val="toc 7"/>
    <w:basedOn w:val="Normal"/>
    <w:next w:val="Normal"/>
    <w:autoRedefine/>
    <w:semiHidden/>
    <w:rsid w:val="00FB0FD2"/>
    <w:pPr>
      <w:ind w:left="1560"/>
    </w:pPr>
  </w:style>
  <w:style w:type="paragraph" w:styleId="TOC8">
    <w:name w:val="toc 8"/>
    <w:basedOn w:val="Normal"/>
    <w:next w:val="Normal"/>
    <w:autoRedefine/>
    <w:semiHidden/>
    <w:rsid w:val="00FB0FD2"/>
    <w:pPr>
      <w:ind w:left="1820"/>
    </w:pPr>
  </w:style>
  <w:style w:type="paragraph" w:styleId="TOC9">
    <w:name w:val="toc 9"/>
    <w:basedOn w:val="Normal"/>
    <w:next w:val="Normal"/>
    <w:autoRedefine/>
    <w:semiHidden/>
    <w:rsid w:val="00FB0FD2"/>
    <w:pPr>
      <w:ind w:left="2080"/>
    </w:pPr>
  </w:style>
  <w:style w:type="paragraph" w:customStyle="1" w:styleId="Contents">
    <w:name w:val="Contents"/>
    <w:basedOn w:val="Normal"/>
    <w:rsid w:val="00FB0FD2"/>
    <w:pPr>
      <w:jc w:val="center"/>
    </w:pPr>
    <w:rPr>
      <w:b/>
      <w:spacing w:val="100"/>
    </w:rPr>
  </w:style>
  <w:style w:type="character" w:styleId="Emphasis">
    <w:name w:val="Emphasis"/>
    <w:uiPriority w:val="20"/>
    <w:qFormat/>
    <w:rsid w:val="004C6095"/>
    <w:rPr>
      <w:i/>
      <w:iCs/>
    </w:rPr>
  </w:style>
  <w:style w:type="character" w:customStyle="1" w:styleId="FootnoteTextChar">
    <w:name w:val="Footnote Text Char"/>
    <w:link w:val="FootnoteText"/>
    <w:uiPriority w:val="99"/>
    <w:rsid w:val="002B7244"/>
    <w:rPr>
      <w:rFonts w:ascii="Century Schoolbook" w:hAnsi="Century Schoolbook"/>
      <w:sz w:val="27"/>
    </w:rPr>
  </w:style>
  <w:style w:type="character" w:styleId="Hyperlink">
    <w:name w:val="Hyperlink"/>
    <w:uiPriority w:val="99"/>
    <w:semiHidden/>
    <w:unhideWhenUsed/>
    <w:rsid w:val="00262752"/>
    <w:rPr>
      <w:color w:val="0000FF"/>
      <w:u w:val="single"/>
    </w:rPr>
  </w:style>
  <w:style w:type="paragraph" w:styleId="Revision">
    <w:name w:val="Revision"/>
    <w:hidden/>
    <w:uiPriority w:val="99"/>
    <w:semiHidden/>
    <w:rsid w:val="002B57A7"/>
    <w:rPr>
      <w:sz w:val="26"/>
    </w:rPr>
  </w:style>
  <w:style w:type="paragraph" w:styleId="BalloonText">
    <w:name w:val="Balloon Text"/>
    <w:basedOn w:val="Normal"/>
    <w:link w:val="BalloonTextChar"/>
    <w:uiPriority w:val="99"/>
    <w:semiHidden/>
    <w:unhideWhenUsed/>
    <w:rsid w:val="002B57A7"/>
    <w:rPr>
      <w:rFonts w:ascii="Segoe UI" w:hAnsi="Segoe UI" w:cs="Segoe UI"/>
      <w:sz w:val="18"/>
      <w:szCs w:val="18"/>
    </w:rPr>
  </w:style>
  <w:style w:type="character" w:customStyle="1" w:styleId="BalloonTextChar">
    <w:name w:val="Balloon Text Char"/>
    <w:link w:val="BalloonText"/>
    <w:uiPriority w:val="99"/>
    <w:semiHidden/>
    <w:rsid w:val="002B57A7"/>
    <w:rPr>
      <w:rFonts w:ascii="Segoe UI" w:hAnsi="Segoe UI" w:cs="Segoe UI"/>
      <w:sz w:val="18"/>
      <w:szCs w:val="18"/>
    </w:rPr>
  </w:style>
  <w:style w:type="character" w:styleId="CommentReference">
    <w:name w:val="annotation reference"/>
    <w:uiPriority w:val="99"/>
    <w:semiHidden/>
    <w:unhideWhenUsed/>
    <w:rsid w:val="00D42C9E"/>
    <w:rPr>
      <w:sz w:val="16"/>
      <w:szCs w:val="16"/>
    </w:rPr>
  </w:style>
  <w:style w:type="paragraph" w:styleId="CommentText">
    <w:name w:val="annotation text"/>
    <w:basedOn w:val="Normal"/>
    <w:link w:val="CommentTextChar"/>
    <w:uiPriority w:val="99"/>
    <w:semiHidden/>
    <w:unhideWhenUsed/>
    <w:rsid w:val="00D42C9E"/>
    <w:rPr>
      <w:sz w:val="20"/>
    </w:rPr>
  </w:style>
  <w:style w:type="character" w:customStyle="1" w:styleId="CommentTextChar">
    <w:name w:val="Comment Text Char"/>
    <w:basedOn w:val="DefaultParagraphFont"/>
    <w:link w:val="CommentText"/>
    <w:uiPriority w:val="99"/>
    <w:semiHidden/>
    <w:rsid w:val="00D42C9E"/>
  </w:style>
  <w:style w:type="paragraph" w:styleId="CommentSubject">
    <w:name w:val="annotation subject"/>
    <w:basedOn w:val="CommentText"/>
    <w:next w:val="CommentText"/>
    <w:link w:val="CommentSubjectChar"/>
    <w:uiPriority w:val="99"/>
    <w:semiHidden/>
    <w:unhideWhenUsed/>
    <w:rsid w:val="00D42C9E"/>
    <w:rPr>
      <w:b/>
      <w:bCs/>
    </w:rPr>
  </w:style>
  <w:style w:type="character" w:customStyle="1" w:styleId="CommentSubjectChar">
    <w:name w:val="Comment Subject Char"/>
    <w:link w:val="CommentSubject"/>
    <w:uiPriority w:val="99"/>
    <w:semiHidden/>
    <w:rsid w:val="00D42C9E"/>
    <w:rPr>
      <w:b/>
      <w:bCs/>
    </w:rPr>
  </w:style>
  <w:style w:type="paragraph" w:styleId="BodyText">
    <w:name w:val="Body Text"/>
    <w:basedOn w:val="Normal"/>
    <w:link w:val="BodyTextChar"/>
    <w:qFormat/>
    <w:rsid w:val="00FB0FD2"/>
  </w:style>
  <w:style w:type="character" w:customStyle="1" w:styleId="BodyTextChar">
    <w:name w:val="Body Text Char"/>
    <w:basedOn w:val="DefaultParagraphFont"/>
    <w:link w:val="BodyText"/>
    <w:rsid w:val="00FB0FD2"/>
    <w:rPr>
      <w:rFonts w:ascii="Century Schoolbook" w:hAnsi="Century Schoolbook"/>
      <w:sz w:val="27"/>
    </w:rPr>
  </w:style>
  <w:style w:type="character" w:customStyle="1" w:styleId="FooterChar">
    <w:name w:val="Footer Char"/>
    <w:basedOn w:val="DefaultParagraphFont"/>
    <w:link w:val="Footer"/>
    <w:uiPriority w:val="99"/>
    <w:rsid w:val="00162977"/>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97799">
      <w:bodyDiv w:val="1"/>
      <w:marLeft w:val="0"/>
      <w:marRight w:val="0"/>
      <w:marTop w:val="0"/>
      <w:marBottom w:val="0"/>
      <w:divBdr>
        <w:top w:val="none" w:sz="0" w:space="0" w:color="auto"/>
        <w:left w:val="none" w:sz="0" w:space="0" w:color="auto"/>
        <w:bottom w:val="none" w:sz="0" w:space="0" w:color="auto"/>
        <w:right w:val="none" w:sz="0" w:space="0" w:color="auto"/>
      </w:divBdr>
      <w:divsChild>
        <w:div w:id="1296787611">
          <w:marLeft w:val="0"/>
          <w:marRight w:val="0"/>
          <w:marTop w:val="0"/>
          <w:marBottom w:val="0"/>
          <w:divBdr>
            <w:top w:val="none" w:sz="0" w:space="0" w:color="auto"/>
            <w:left w:val="none" w:sz="0" w:space="0" w:color="auto"/>
            <w:bottom w:val="none" w:sz="0" w:space="0" w:color="auto"/>
            <w:right w:val="none" w:sz="0" w:space="0" w:color="auto"/>
          </w:divBdr>
        </w:div>
      </w:divsChild>
    </w:div>
    <w:div w:id="901715251">
      <w:bodyDiv w:val="1"/>
      <w:marLeft w:val="0"/>
      <w:marRight w:val="0"/>
      <w:marTop w:val="0"/>
      <w:marBottom w:val="0"/>
      <w:divBdr>
        <w:top w:val="none" w:sz="0" w:space="0" w:color="auto"/>
        <w:left w:val="none" w:sz="0" w:space="0" w:color="auto"/>
        <w:bottom w:val="none" w:sz="0" w:space="0" w:color="auto"/>
        <w:right w:val="none" w:sz="0" w:space="0" w:color="auto"/>
      </w:divBdr>
    </w:div>
    <w:div w:id="954211224">
      <w:bodyDiv w:val="1"/>
      <w:marLeft w:val="0"/>
      <w:marRight w:val="0"/>
      <w:marTop w:val="0"/>
      <w:marBottom w:val="0"/>
      <w:divBdr>
        <w:top w:val="none" w:sz="0" w:space="0" w:color="auto"/>
        <w:left w:val="none" w:sz="0" w:space="0" w:color="auto"/>
        <w:bottom w:val="none" w:sz="0" w:space="0" w:color="auto"/>
        <w:right w:val="none" w:sz="0" w:space="0" w:color="auto"/>
      </w:divBdr>
    </w:div>
    <w:div w:id="1343700967">
      <w:bodyDiv w:val="1"/>
      <w:marLeft w:val="0"/>
      <w:marRight w:val="0"/>
      <w:marTop w:val="0"/>
      <w:marBottom w:val="0"/>
      <w:divBdr>
        <w:top w:val="none" w:sz="0" w:space="0" w:color="auto"/>
        <w:left w:val="none" w:sz="0" w:space="0" w:color="auto"/>
        <w:bottom w:val="none" w:sz="0" w:space="0" w:color="auto"/>
        <w:right w:val="none" w:sz="0" w:space="0" w:color="auto"/>
      </w:divBdr>
    </w:div>
    <w:div w:id="1462263699">
      <w:bodyDiv w:val="1"/>
      <w:marLeft w:val="0"/>
      <w:marRight w:val="0"/>
      <w:marTop w:val="0"/>
      <w:marBottom w:val="0"/>
      <w:divBdr>
        <w:top w:val="none" w:sz="0" w:space="0" w:color="auto"/>
        <w:left w:val="none" w:sz="0" w:space="0" w:color="auto"/>
        <w:bottom w:val="none" w:sz="0" w:space="0" w:color="auto"/>
        <w:right w:val="none" w:sz="0" w:space="0" w:color="auto"/>
      </w:divBdr>
    </w:div>
    <w:div w:id="1701785404">
      <w:bodyDiv w:val="1"/>
      <w:marLeft w:val="0"/>
      <w:marRight w:val="0"/>
      <w:marTop w:val="0"/>
      <w:marBottom w:val="0"/>
      <w:divBdr>
        <w:top w:val="none" w:sz="0" w:space="0" w:color="auto"/>
        <w:left w:val="none" w:sz="0" w:space="0" w:color="auto"/>
        <w:bottom w:val="none" w:sz="0" w:space="0" w:color="auto"/>
        <w:right w:val="none" w:sz="0" w:space="0" w:color="auto"/>
      </w:divBdr>
    </w:div>
    <w:div w:id="1968007296">
      <w:bodyDiv w:val="1"/>
      <w:marLeft w:val="0"/>
      <w:marRight w:val="0"/>
      <w:marTop w:val="0"/>
      <w:marBottom w:val="0"/>
      <w:divBdr>
        <w:top w:val="none" w:sz="0" w:space="0" w:color="auto"/>
        <w:left w:val="none" w:sz="0" w:space="0" w:color="auto"/>
        <w:bottom w:val="none" w:sz="0" w:space="0" w:color="auto"/>
        <w:right w:val="none" w:sz="0" w:space="0" w:color="auto"/>
      </w:divBdr>
    </w:div>
    <w:div w:id="19841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5145</Words>
  <Characters>27398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2019-03-01T22:41:00Z</dcterms:created>
  <dcterms:modified xsi:type="dcterms:W3CDTF">2019-03-01T23:36:00Z</dcterms:modified>
</cp:coreProperties>
</file>