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96B5F" w:rsidRPr="004F4F25">
      <w:pPr>
        <w:rPr>
          <w:sz w:val="20"/>
        </w:rPr>
      </w:pPr>
      <w:bookmarkStart w:id="0" w:name="_GoBack"/>
      <w:bookmarkEnd w:id="0"/>
      <w:r>
        <w:rPr>
          <w:sz w:val="20"/>
        </w:rPr>
        <w:t>Filed 8/2/18</w:t>
      </w:r>
    </w:p>
    <w:p w:rsidR="00F96B5F">
      <w:pPr>
        <w:jc w:val="center"/>
      </w:pPr>
    </w:p>
    <w:p w:rsidR="00F96B5F">
      <w:pPr>
        <w:jc w:val="center"/>
      </w:pPr>
    </w:p>
    <w:p w:rsidR="00F96B5F">
      <w:pPr>
        <w:jc w:val="center"/>
      </w:pPr>
    </w:p>
    <w:p w:rsidR="00F96B5F">
      <w:pPr>
        <w:jc w:val="center"/>
        <w:rPr>
          <w:sz w:val="36"/>
        </w:rPr>
      </w:pPr>
      <w:r>
        <w:rPr>
          <w:b/>
          <w:sz w:val="36"/>
        </w:rPr>
        <w:t>IN THE SUPREME COURT OF CALIFORNIA</w:t>
      </w:r>
    </w:p>
    <w:p w:rsidR="00F96B5F">
      <w:pPr>
        <w:jc w:val="center"/>
      </w:pPr>
    </w:p>
    <w:p w:rsidR="00F96B5F">
      <w:pPr>
        <w:jc w:val="center"/>
      </w:pPr>
    </w:p>
    <w:p w:rsidR="00F96B5F">
      <w:pPr>
        <w:jc w:val="center"/>
      </w:pPr>
    </w:p>
    <w:p w:rsidR="00F96B5F">
      <w:pPr>
        <w:tabs>
          <w:tab w:val="left" w:pos="4680"/>
          <w:tab w:val="center" w:pos="7200"/>
        </w:tabs>
        <w:spacing w:line="240" w:lineRule="atLeast"/>
      </w:pPr>
      <w:bookmarkStart w:id="1" w:name="plaintiff"/>
      <w:bookmarkEnd w:id="1"/>
      <w:r>
        <w:t>CATHERINE A. BOLING et al.</w:t>
      </w:r>
      <w:r w:rsidR="00724D0F">
        <w:t>,</w:t>
      </w:r>
      <w:r w:rsidR="00724D0F">
        <w:tab/>
        <w:t>)</w:t>
      </w:r>
    </w:p>
    <w:p w:rsidR="00F96B5F">
      <w:pPr>
        <w:tabs>
          <w:tab w:val="left" w:pos="1440"/>
          <w:tab w:val="left" w:pos="4680"/>
          <w:tab w:val="center" w:pos="7200"/>
        </w:tabs>
        <w:spacing w:line="240" w:lineRule="atLeast"/>
      </w:pPr>
      <w:r>
        <w:tab/>
      </w:r>
      <w:r>
        <w:tab/>
        <w:t>)</w:t>
      </w:r>
    </w:p>
    <w:p w:rsidR="00F96B5F">
      <w:pPr>
        <w:tabs>
          <w:tab w:val="left" w:pos="1440"/>
          <w:tab w:val="left" w:pos="4680"/>
          <w:tab w:val="center" w:pos="7200"/>
        </w:tabs>
        <w:spacing w:line="240" w:lineRule="atLeast"/>
      </w:pPr>
      <w:r>
        <w:tab/>
      </w:r>
      <w:bookmarkStart w:id="2" w:name="LD"/>
      <w:bookmarkEnd w:id="2"/>
      <w:r w:rsidR="00D21E04">
        <w:t>P</w:t>
      </w:r>
      <w:r w:rsidR="00463192">
        <w:t>etitioners</w:t>
      </w:r>
      <w:r w:rsidR="00D21E04">
        <w:t>,</w:t>
      </w:r>
      <w:r>
        <w:tab/>
        <w:t>)</w:t>
      </w:r>
    </w:p>
    <w:p w:rsidR="00F96B5F">
      <w:pPr>
        <w:tabs>
          <w:tab w:val="left" w:pos="1440"/>
          <w:tab w:val="left" w:pos="4680"/>
          <w:tab w:val="center" w:pos="7200"/>
        </w:tabs>
        <w:spacing w:line="240" w:lineRule="atLeast"/>
      </w:pPr>
      <w:r>
        <w:tab/>
      </w:r>
      <w:r>
        <w:tab/>
        <w:t>)</w:t>
      </w:r>
      <w:r>
        <w:tab/>
        <w:t>S</w:t>
      </w:r>
      <w:bookmarkStart w:id="3" w:name="casenum"/>
      <w:bookmarkEnd w:id="3"/>
      <w:r w:rsidR="00463192">
        <w:t>242034</w:t>
      </w:r>
    </w:p>
    <w:p w:rsidR="00F96B5F">
      <w:pPr>
        <w:tabs>
          <w:tab w:val="left" w:pos="1440"/>
          <w:tab w:val="left" w:pos="4680"/>
          <w:tab w:val="center" w:pos="7200"/>
        </w:tabs>
        <w:spacing w:line="240" w:lineRule="atLeast"/>
      </w:pPr>
      <w:r>
        <w:tab/>
        <w:t>v.</w:t>
      </w:r>
      <w:r>
        <w:tab/>
        <w:t>)</w:t>
      </w:r>
    </w:p>
    <w:p w:rsidR="00F96B5F">
      <w:pPr>
        <w:tabs>
          <w:tab w:val="left" w:pos="1440"/>
          <w:tab w:val="left" w:pos="4680"/>
          <w:tab w:val="center" w:pos="7200"/>
        </w:tabs>
        <w:spacing w:line="240" w:lineRule="atLeast"/>
      </w:pPr>
      <w:r>
        <w:tab/>
      </w:r>
      <w:r>
        <w:tab/>
        <w:t>)</w:t>
      </w:r>
      <w:r>
        <w:tab/>
      </w:r>
      <w:bookmarkStart w:id="4" w:name="appealnum"/>
      <w:bookmarkEnd w:id="4"/>
      <w:r w:rsidR="00D21E04">
        <w:t>Ct.App. 4/</w:t>
      </w:r>
      <w:r w:rsidR="00463192">
        <w:t>1</w:t>
      </w:r>
      <w:r w:rsidR="00D21E04">
        <w:t xml:space="preserve"> </w:t>
      </w:r>
      <w:r w:rsidR="00CB3088">
        <w:t>D069626</w:t>
      </w:r>
    </w:p>
    <w:p w:rsidR="00463192">
      <w:pPr>
        <w:tabs>
          <w:tab w:val="left" w:pos="4680"/>
          <w:tab w:val="center" w:pos="7200"/>
        </w:tabs>
        <w:spacing w:line="240" w:lineRule="atLeast"/>
      </w:pPr>
      <w:bookmarkStart w:id="5" w:name="defendant"/>
      <w:bookmarkEnd w:id="5"/>
      <w:r>
        <w:t>PUBLIC EMPLOYMENT RELATIONS</w:t>
      </w:r>
      <w:r>
        <w:tab/>
        <w:t>)</w:t>
      </w:r>
    </w:p>
    <w:p w:rsidR="00F96B5F">
      <w:pPr>
        <w:tabs>
          <w:tab w:val="left" w:pos="4680"/>
          <w:tab w:val="center" w:pos="7200"/>
        </w:tabs>
        <w:spacing w:line="240" w:lineRule="atLeast"/>
      </w:pPr>
      <w:r>
        <w:t>BOARD</w:t>
      </w:r>
      <w:r w:rsidR="00D21E04">
        <w:t>,</w:t>
      </w:r>
      <w:r w:rsidR="00724D0F">
        <w:tab/>
        <w:t>)</w:t>
      </w:r>
      <w:r w:rsidR="00440CD6">
        <w:tab/>
        <w:t>PERB Dec. No. 2464-M</w:t>
      </w:r>
    </w:p>
    <w:p w:rsidR="00F96B5F">
      <w:pPr>
        <w:tabs>
          <w:tab w:val="left" w:pos="4680"/>
          <w:tab w:val="center" w:pos="7200"/>
        </w:tabs>
        <w:spacing w:line="240" w:lineRule="atLeast"/>
      </w:pPr>
      <w:r>
        <w:tab/>
      </w:r>
      <w:bookmarkStart w:id="6" w:name="county"/>
      <w:bookmarkEnd w:id="6"/>
      <w:r w:rsidR="00255FED">
        <w:t>)</w:t>
      </w:r>
    </w:p>
    <w:p w:rsidR="00E75142" w:rsidP="00E75142">
      <w:pPr>
        <w:tabs>
          <w:tab w:val="left" w:pos="1440"/>
          <w:tab w:val="left" w:pos="4680"/>
          <w:tab w:val="center" w:pos="7200"/>
        </w:tabs>
        <w:spacing w:line="240" w:lineRule="atLeast"/>
        <w:ind w:left="4680" w:hanging="4680"/>
      </w:pPr>
      <w:r>
        <w:tab/>
      </w:r>
      <w:bookmarkStart w:id="7" w:name="VD"/>
      <w:bookmarkEnd w:id="7"/>
      <w:r w:rsidR="00463192">
        <w:t>Respondent</w:t>
      </w:r>
      <w:r w:rsidR="00D5408A">
        <w:t>;</w:t>
      </w:r>
      <w:r>
        <w:tab/>
        <w:t>)</w:t>
      </w:r>
      <w:bookmarkStart w:id="8" w:name="supernum"/>
      <w:bookmarkEnd w:id="8"/>
    </w:p>
    <w:p w:rsidR="00F96B5F" w:rsidP="00E75142">
      <w:pPr>
        <w:tabs>
          <w:tab w:val="left" w:pos="1440"/>
          <w:tab w:val="left" w:pos="4680"/>
          <w:tab w:val="center" w:pos="7200"/>
        </w:tabs>
        <w:spacing w:line="240" w:lineRule="atLeast"/>
        <w:ind w:left="4680" w:hanging="4680"/>
      </w:pPr>
      <w:r>
        <w:tab/>
      </w:r>
      <w:r>
        <w:tab/>
        <w:t>)</w:t>
      </w:r>
    </w:p>
    <w:p w:rsidR="00D21E04">
      <w:pPr>
        <w:tabs>
          <w:tab w:val="left" w:pos="1440"/>
          <w:tab w:val="left" w:pos="4680"/>
          <w:tab w:val="center" w:pos="7200"/>
        </w:tabs>
        <w:spacing w:line="240" w:lineRule="atLeast"/>
      </w:pPr>
      <w:r>
        <w:tab/>
      </w:r>
      <w:r>
        <w:tab/>
        <w:t>)</w:t>
      </w:r>
    </w:p>
    <w:p w:rsidR="00724D0F">
      <w:pPr>
        <w:tabs>
          <w:tab w:val="left" w:pos="1440"/>
          <w:tab w:val="left" w:pos="4680"/>
          <w:tab w:val="center" w:pos="7200"/>
        </w:tabs>
        <w:spacing w:line="240" w:lineRule="atLeast"/>
      </w:pPr>
      <w:r>
        <w:t>CITY OF SAN DIEGO</w:t>
      </w:r>
      <w:r w:rsidR="00D21E04">
        <w:t xml:space="preserve"> et al.</w:t>
      </w:r>
      <w:r w:rsidR="00DB01D3">
        <w:t>,</w:t>
      </w:r>
      <w:r>
        <w:tab/>
      </w:r>
      <w:r>
        <w:t>)</w:t>
      </w:r>
    </w:p>
    <w:p w:rsidR="00D21E04">
      <w:pPr>
        <w:tabs>
          <w:tab w:val="left" w:pos="1440"/>
          <w:tab w:val="left" w:pos="4680"/>
          <w:tab w:val="center" w:pos="7200"/>
        </w:tabs>
        <w:spacing w:line="240" w:lineRule="atLeast"/>
      </w:pPr>
      <w:r>
        <w:tab/>
      </w:r>
      <w:r>
        <w:tab/>
      </w:r>
      <w:r>
        <w:t>)</w:t>
      </w:r>
    </w:p>
    <w:p w:rsidR="00463192" w:rsidP="00463192">
      <w:pPr>
        <w:tabs>
          <w:tab w:val="left" w:pos="1440"/>
          <w:tab w:val="left" w:pos="4680"/>
          <w:tab w:val="center" w:pos="7200"/>
        </w:tabs>
        <w:spacing w:line="240" w:lineRule="atLeast"/>
      </w:pPr>
      <w:r>
        <w:tab/>
        <w:t>Real Parties in Interest</w:t>
      </w:r>
      <w:r w:rsidR="00DB01D3">
        <w:t>.</w:t>
      </w:r>
      <w:r>
        <w:tab/>
        <w:t>)</w:t>
      </w:r>
    </w:p>
    <w:p w:rsidR="00F96B5F">
      <w:pPr>
        <w:tabs>
          <w:tab w:val="left" w:leader="underscore" w:pos="4680"/>
        </w:tabs>
        <w:spacing w:line="240" w:lineRule="atLeast"/>
      </w:pPr>
      <w:r>
        <w:tab/>
        <w:t>)</w:t>
      </w:r>
    </w:p>
    <w:p w:rsidR="00255FED" w:rsidRPr="00D21E04">
      <w:pPr>
        <w:tabs>
          <w:tab w:val="left" w:leader="underscore" w:pos="4680"/>
        </w:tabs>
        <w:spacing w:line="240" w:lineRule="atLeast"/>
      </w:pPr>
    </w:p>
    <w:p w:rsidR="00255FED" w:rsidP="00255FED">
      <w:pPr>
        <w:tabs>
          <w:tab w:val="left" w:pos="4680"/>
          <w:tab w:val="center" w:pos="7200"/>
        </w:tabs>
        <w:spacing w:line="240" w:lineRule="atLeast"/>
      </w:pPr>
      <w:r>
        <w:t>CITY OF SAN DIEGO,</w:t>
      </w:r>
      <w:r>
        <w:tab/>
        <w:t>)</w:t>
      </w:r>
    </w:p>
    <w:p w:rsidR="00255FED" w:rsidP="00255FED">
      <w:pPr>
        <w:tabs>
          <w:tab w:val="left" w:pos="1440"/>
          <w:tab w:val="left" w:pos="4680"/>
          <w:tab w:val="center" w:pos="7200"/>
        </w:tabs>
        <w:spacing w:line="240" w:lineRule="atLeast"/>
      </w:pPr>
      <w:r>
        <w:tab/>
      </w:r>
      <w:r>
        <w:tab/>
        <w:t>)</w:t>
      </w:r>
    </w:p>
    <w:p w:rsidR="00255FED" w:rsidP="00255FED">
      <w:pPr>
        <w:tabs>
          <w:tab w:val="left" w:pos="1440"/>
          <w:tab w:val="left" w:pos="4680"/>
          <w:tab w:val="center" w:pos="7200"/>
        </w:tabs>
        <w:spacing w:line="240" w:lineRule="atLeast"/>
      </w:pPr>
      <w:r>
        <w:tab/>
        <w:t>Petitioner,</w:t>
      </w:r>
      <w:r>
        <w:tab/>
        <w:t>)</w:t>
      </w:r>
    </w:p>
    <w:p w:rsidR="00255FED" w:rsidP="00255FED">
      <w:pPr>
        <w:tabs>
          <w:tab w:val="left" w:pos="1440"/>
          <w:tab w:val="left" w:pos="4680"/>
          <w:tab w:val="center" w:pos="7200"/>
        </w:tabs>
        <w:spacing w:line="240" w:lineRule="atLeast"/>
      </w:pPr>
      <w:r>
        <w:tab/>
      </w:r>
      <w:r>
        <w:tab/>
        <w:t>)</w:t>
      </w:r>
    </w:p>
    <w:p w:rsidR="00255FED" w:rsidP="00255FED">
      <w:pPr>
        <w:tabs>
          <w:tab w:val="left" w:pos="1440"/>
          <w:tab w:val="left" w:pos="4680"/>
          <w:tab w:val="center" w:pos="7200"/>
        </w:tabs>
        <w:spacing w:line="240" w:lineRule="atLeast"/>
      </w:pPr>
      <w:r>
        <w:tab/>
        <w:t>v.</w:t>
      </w:r>
      <w:r>
        <w:tab/>
        <w:t>)</w:t>
      </w:r>
    </w:p>
    <w:p w:rsidR="00255FED" w:rsidP="00255FED">
      <w:pPr>
        <w:tabs>
          <w:tab w:val="left" w:pos="1440"/>
          <w:tab w:val="left" w:pos="4680"/>
          <w:tab w:val="center" w:pos="7200"/>
        </w:tabs>
        <w:spacing w:line="240" w:lineRule="atLeast"/>
      </w:pPr>
      <w:r>
        <w:tab/>
      </w:r>
      <w:r>
        <w:tab/>
        <w:t>)</w:t>
      </w:r>
      <w:r>
        <w:tab/>
        <w:t>Ct.App. 4/1 D069630</w:t>
      </w:r>
    </w:p>
    <w:p w:rsidR="00255FED" w:rsidP="00255FED">
      <w:pPr>
        <w:tabs>
          <w:tab w:val="left" w:pos="4680"/>
          <w:tab w:val="center" w:pos="7200"/>
        </w:tabs>
        <w:spacing w:line="240" w:lineRule="atLeast"/>
      </w:pPr>
      <w:r>
        <w:t>PUBLIC EMPLOYMENT RELATIONS</w:t>
      </w:r>
      <w:r>
        <w:tab/>
        <w:t>)</w:t>
      </w:r>
    </w:p>
    <w:p w:rsidR="00255FED" w:rsidP="00255FED">
      <w:pPr>
        <w:tabs>
          <w:tab w:val="left" w:pos="4680"/>
          <w:tab w:val="center" w:pos="7200"/>
        </w:tabs>
        <w:spacing w:line="240" w:lineRule="atLeast"/>
      </w:pPr>
      <w:r>
        <w:t>BOARD,</w:t>
      </w:r>
      <w:r>
        <w:tab/>
        <w:t>)</w:t>
      </w:r>
      <w:r w:rsidRPr="00440CD6" w:rsidR="00440CD6">
        <w:t xml:space="preserve"> </w:t>
      </w:r>
      <w:r w:rsidR="00440CD6">
        <w:tab/>
        <w:t>PERB Dec. No. 2464-M</w:t>
      </w:r>
    </w:p>
    <w:p w:rsidR="00255FED" w:rsidP="00255FED">
      <w:pPr>
        <w:tabs>
          <w:tab w:val="left" w:pos="4680"/>
          <w:tab w:val="center" w:pos="7200"/>
        </w:tabs>
        <w:spacing w:line="240" w:lineRule="atLeast"/>
      </w:pPr>
      <w:r>
        <w:tab/>
        <w:t>)</w:t>
      </w:r>
    </w:p>
    <w:p w:rsidR="00255FED" w:rsidP="00255FED">
      <w:pPr>
        <w:tabs>
          <w:tab w:val="left" w:pos="1440"/>
          <w:tab w:val="left" w:pos="4680"/>
          <w:tab w:val="center" w:pos="7200"/>
        </w:tabs>
        <w:spacing w:line="240" w:lineRule="atLeast"/>
        <w:ind w:left="4680" w:hanging="4680"/>
      </w:pPr>
      <w:r>
        <w:tab/>
        <w:t>Respondent;</w:t>
      </w:r>
      <w:r>
        <w:tab/>
        <w:t>)</w:t>
      </w:r>
    </w:p>
    <w:p w:rsidR="00255FED" w:rsidP="00255FED">
      <w:pPr>
        <w:tabs>
          <w:tab w:val="left" w:pos="1440"/>
          <w:tab w:val="left" w:pos="4680"/>
          <w:tab w:val="center" w:pos="7200"/>
        </w:tabs>
        <w:spacing w:line="240" w:lineRule="atLeast"/>
        <w:ind w:left="4680" w:hanging="4680"/>
      </w:pPr>
      <w:r>
        <w:tab/>
      </w:r>
      <w:r>
        <w:tab/>
        <w:t>)</w:t>
      </w:r>
    </w:p>
    <w:p w:rsidR="00255FED" w:rsidP="00255FED">
      <w:pPr>
        <w:tabs>
          <w:tab w:val="left" w:pos="1440"/>
          <w:tab w:val="left" w:pos="4680"/>
          <w:tab w:val="center" w:pos="7200"/>
        </w:tabs>
        <w:spacing w:line="240" w:lineRule="atLeast"/>
      </w:pPr>
      <w:r>
        <w:tab/>
      </w:r>
      <w:r>
        <w:tab/>
        <w:t>)</w:t>
      </w:r>
    </w:p>
    <w:p w:rsidR="00255FED" w:rsidP="00255FED">
      <w:pPr>
        <w:tabs>
          <w:tab w:val="left" w:pos="1440"/>
          <w:tab w:val="left" w:pos="4680"/>
          <w:tab w:val="center" w:pos="7200"/>
        </w:tabs>
        <w:spacing w:line="240" w:lineRule="atLeast"/>
      </w:pPr>
      <w:r>
        <w:t>SAN DIEGO MUNICIPAL EMPLOYEES</w:t>
      </w:r>
      <w:r>
        <w:tab/>
        <w:t>)</w:t>
      </w:r>
    </w:p>
    <w:p w:rsidR="00255FED" w:rsidP="00255FED">
      <w:pPr>
        <w:tabs>
          <w:tab w:val="left" w:pos="1440"/>
          <w:tab w:val="left" w:pos="4680"/>
          <w:tab w:val="center" w:pos="7200"/>
        </w:tabs>
        <w:spacing w:line="240" w:lineRule="atLeast"/>
      </w:pPr>
      <w:r>
        <w:t>ASSOCIATION</w:t>
      </w:r>
      <w:r>
        <w:t xml:space="preserve"> et al.,</w:t>
      </w:r>
      <w:r>
        <w:tab/>
        <w:t>)</w:t>
      </w:r>
    </w:p>
    <w:p w:rsidR="00255FED" w:rsidP="00255FED">
      <w:pPr>
        <w:tabs>
          <w:tab w:val="left" w:pos="1440"/>
          <w:tab w:val="left" w:pos="4680"/>
          <w:tab w:val="center" w:pos="7200"/>
        </w:tabs>
        <w:spacing w:line="240" w:lineRule="atLeast"/>
      </w:pPr>
      <w:r>
        <w:tab/>
      </w:r>
      <w:r>
        <w:tab/>
        <w:t>)</w:t>
      </w:r>
    </w:p>
    <w:p w:rsidR="00255FED" w:rsidP="00255FED">
      <w:pPr>
        <w:tabs>
          <w:tab w:val="left" w:pos="1440"/>
          <w:tab w:val="left" w:pos="4680"/>
          <w:tab w:val="center" w:pos="7200"/>
        </w:tabs>
        <w:spacing w:line="240" w:lineRule="atLeast"/>
      </w:pPr>
      <w:r>
        <w:tab/>
        <w:t>Real Parties in Interest.</w:t>
      </w:r>
      <w:r>
        <w:tab/>
        <w:t>)</w:t>
      </w:r>
    </w:p>
    <w:p w:rsidR="00255FED" w:rsidRPr="00D21E04" w:rsidP="00255FED">
      <w:pPr>
        <w:tabs>
          <w:tab w:val="left" w:leader="underscore" w:pos="4680"/>
        </w:tabs>
        <w:spacing w:line="240" w:lineRule="atLeast"/>
      </w:pPr>
      <w:r>
        <w:tab/>
        <w:t>)</w:t>
      </w:r>
    </w:p>
    <w:p w:rsidR="001B24C2" w:rsidP="002B3E9E">
      <w:pPr>
        <w:tabs>
          <w:tab w:val="left" w:pos="1440"/>
        </w:tabs>
        <w:spacing w:line="480" w:lineRule="atLeast"/>
        <w:ind w:firstLine="720"/>
      </w:pPr>
      <w:bookmarkStart w:id="9" w:name="mainstory"/>
      <w:bookmarkEnd w:id="9"/>
      <w:r>
        <w:t>This case arises from unfair practice claims filed by unions after</w:t>
      </w:r>
      <w:r w:rsidRPr="00C55E6E" w:rsidR="00C55E6E">
        <w:t xml:space="preserve"> </w:t>
      </w:r>
      <w:r w:rsidR="00C55E6E">
        <w:t>San Diego’s</w:t>
      </w:r>
      <w:r>
        <w:t xml:space="preserve"> mayor </w:t>
      </w:r>
      <w:r w:rsidR="00845402">
        <w:t>sponsor</w:t>
      </w:r>
      <w:r>
        <w:t xml:space="preserve">ed a citizens’ initiative to eliminate pensions for </w:t>
      </w:r>
      <w:r w:rsidR="001E6406">
        <w:t xml:space="preserve">new </w:t>
      </w:r>
      <w:r w:rsidR="00321BAA">
        <w:t>municipal employees</w:t>
      </w:r>
      <w:r>
        <w:t xml:space="preserve"> </w:t>
      </w:r>
      <w:r w:rsidR="00950892">
        <w:t xml:space="preserve">and </w:t>
      </w:r>
      <w:r w:rsidR="00676F91">
        <w:t>rebuff</w:t>
      </w:r>
      <w:r w:rsidR="00950892">
        <w:t>ed</w:t>
      </w:r>
      <w:r>
        <w:t xml:space="preserve"> </w:t>
      </w:r>
      <w:r w:rsidR="00C55E6E">
        <w:t>union</w:t>
      </w:r>
      <w:r>
        <w:t xml:space="preserve"> demands to meet and confer over the measure.  The Court of Appeal annulled </w:t>
      </w:r>
      <w:r w:rsidR="00A55FCA">
        <w:t>a finding</w:t>
      </w:r>
      <w:r>
        <w:t xml:space="preserve"> by </w:t>
      </w:r>
      <w:r w:rsidR="00A00CF6">
        <w:t xml:space="preserve">respondent, </w:t>
      </w:r>
      <w:r>
        <w:t>the Public Employment Relations Board (P</w:t>
      </w:r>
      <w:r w:rsidR="00775CB3">
        <w:t>E</w:t>
      </w:r>
      <w:r>
        <w:t>RB)</w:t>
      </w:r>
      <w:r w:rsidR="00A00CF6">
        <w:t>,</w:t>
      </w:r>
      <w:r>
        <w:t xml:space="preserve"> that the</w:t>
      </w:r>
      <w:r w:rsidR="002B3E9E">
        <w:t xml:space="preserve"> failure to meet and confer constituted an unfair labor practice.  We granted review to settle two questions:</w:t>
      </w:r>
      <w:r w:rsidR="00A00CF6">
        <w:t xml:space="preserve">  (1) </w:t>
      </w:r>
      <w:r w:rsidRPr="002B3E9E" w:rsidR="002B3E9E">
        <w:t xml:space="preserve">When a final decision </w:t>
      </w:r>
      <w:r w:rsidR="00775CB3">
        <w:t>by PERB</w:t>
      </w:r>
      <w:r w:rsidRPr="002B3E9E" w:rsidR="002B3E9E">
        <w:t xml:space="preserve"> under the Meyers-Milias-Brown Act (</w:t>
      </w:r>
      <w:r w:rsidR="002B3E9E">
        <w:t xml:space="preserve">the MMBA; </w:t>
      </w:r>
      <w:r w:rsidRPr="002B3E9E" w:rsidR="002B3E9E">
        <w:t>Gov. Code, § 3500 et seq.)</w:t>
      </w:r>
      <w:r>
        <w:rPr>
          <w:rStyle w:val="FootnoteReference"/>
        </w:rPr>
        <w:footnoteReference w:id="3"/>
      </w:r>
      <w:r w:rsidRPr="002B3E9E" w:rsidR="002B3E9E">
        <w:t xml:space="preserve"> is </w:t>
      </w:r>
      <w:r w:rsidR="00597F86">
        <w:t>appealed</w:t>
      </w:r>
      <w:r w:rsidRPr="002B3E9E" w:rsidR="002B3E9E">
        <w:t>, what standard</w:t>
      </w:r>
      <w:r w:rsidR="00C12E10">
        <w:t>s of review apply</w:t>
      </w:r>
      <w:r w:rsidR="002B3E9E">
        <w:t xml:space="preserve"> to </w:t>
      </w:r>
      <w:r w:rsidR="00A00CF6">
        <w:t>PERB’s</w:t>
      </w:r>
      <w:r w:rsidRPr="002B3E9E" w:rsidR="002B3E9E">
        <w:t xml:space="preserve"> </w:t>
      </w:r>
      <w:r w:rsidR="00950892">
        <w:t xml:space="preserve">legal </w:t>
      </w:r>
      <w:r w:rsidRPr="002B3E9E" w:rsidR="002B3E9E">
        <w:t>interpretation</w:t>
      </w:r>
      <w:r w:rsidR="00950892">
        <w:t>s</w:t>
      </w:r>
      <w:r w:rsidRPr="002B3E9E" w:rsidR="002B3E9E">
        <w:t xml:space="preserve"> and findings of fact?</w:t>
      </w:r>
      <w:r w:rsidR="00A00CF6">
        <w:t>;</w:t>
      </w:r>
      <w:r w:rsidR="002B3E9E">
        <w:t xml:space="preserve">  </w:t>
      </w:r>
      <w:r w:rsidR="00052E25">
        <w:t>(2) When</w:t>
      </w:r>
      <w:r w:rsidR="00D216F9">
        <w:t xml:space="preserve"> a public agency</w:t>
      </w:r>
      <w:r w:rsidR="00052E25">
        <w:t xml:space="preserve"> itself does not propose a policy change affecting the terms and conditions of employment, but </w:t>
      </w:r>
      <w:r w:rsidR="008455D2">
        <w:t>its designated bargaining agent</w:t>
      </w:r>
      <w:r w:rsidR="00052E25">
        <w:t xml:space="preserve"> lend</w:t>
      </w:r>
      <w:r w:rsidR="00A00CF6">
        <w:t>s official support to a citizen</w:t>
      </w:r>
      <w:r w:rsidR="00052E25">
        <w:t>s</w:t>
      </w:r>
      <w:r w:rsidR="00A00CF6">
        <w:t>’</w:t>
      </w:r>
      <w:r w:rsidR="00052E25">
        <w:t xml:space="preserve"> initiative to </w:t>
      </w:r>
      <w:r w:rsidR="007420B6">
        <w:t>create</w:t>
      </w:r>
      <w:r w:rsidR="00052E25">
        <w:t xml:space="preserve"> such a change, is the agency obligated </w:t>
      </w:r>
      <w:r w:rsidR="00875279">
        <w:t>to meet and confer</w:t>
      </w:r>
      <w:r w:rsidR="007420B6">
        <w:t xml:space="preserve"> with employee representatives</w:t>
      </w:r>
      <w:r w:rsidRPr="002B3E9E" w:rsidR="001A7C4D">
        <w:t>?</w:t>
      </w:r>
    </w:p>
    <w:p w:rsidR="008D39FE" w:rsidRPr="00C55E6E" w:rsidP="002B3E9E">
      <w:pPr>
        <w:spacing w:line="480" w:lineRule="atLeast"/>
        <w:ind w:firstLine="720"/>
      </w:pPr>
      <w:r>
        <w:t>T</w:t>
      </w:r>
      <w:r w:rsidR="00DE1661">
        <w:t xml:space="preserve">hese </w:t>
      </w:r>
      <w:r w:rsidR="00676F91">
        <w:t>questions</w:t>
      </w:r>
      <w:r w:rsidR="00ED37EA">
        <w:t xml:space="preserve"> are resolved by settled law</w:t>
      </w:r>
      <w:r>
        <w:t xml:space="preserve"> and </w:t>
      </w:r>
      <w:r w:rsidR="00DE5688">
        <w:t>the relevant</w:t>
      </w:r>
      <w:r>
        <w:t xml:space="preserve"> statutory language</w:t>
      </w:r>
      <w:r w:rsidR="00DE1661">
        <w:t xml:space="preserve">.  </w:t>
      </w:r>
      <w:r w:rsidR="00E16313">
        <w:t>First, w</w:t>
      </w:r>
      <w:r w:rsidR="00ED37EA">
        <w:t>e have long held</w:t>
      </w:r>
      <w:r w:rsidR="00DE1661">
        <w:t xml:space="preserve"> that PERB’s </w:t>
      </w:r>
      <w:r w:rsidRPr="00395D86" w:rsidR="00775CB3">
        <w:rPr>
          <w:i/>
        </w:rPr>
        <w:t>legal</w:t>
      </w:r>
      <w:r w:rsidR="00775CB3">
        <w:t xml:space="preserve"> </w:t>
      </w:r>
      <w:r w:rsidRPr="00395D86" w:rsidR="00DE1661">
        <w:rPr>
          <w:i/>
        </w:rPr>
        <w:t>findings</w:t>
      </w:r>
      <w:r w:rsidR="00DE1661">
        <w:t xml:space="preserve"> are entitled to deferential review</w:t>
      </w:r>
      <w:r w:rsidR="00934DC1">
        <w:t>.  T</w:t>
      </w:r>
      <w:r w:rsidR="00E851B4">
        <w:t>hey</w:t>
      </w:r>
      <w:r w:rsidR="00DE1661">
        <w:t xml:space="preserve"> will not be set aside unless clearly erroneous, though </w:t>
      </w:r>
      <w:r w:rsidR="00676F91">
        <w:t xml:space="preserve">the </w:t>
      </w:r>
      <w:r w:rsidR="00DE1661">
        <w:t xml:space="preserve">courts as always retain ultimate authority over questions of statutory interpretation.  </w:t>
      </w:r>
      <w:r w:rsidR="00F31513">
        <w:t>The MMBA specifies that PERB’s</w:t>
      </w:r>
      <w:r w:rsidR="00775CB3">
        <w:t xml:space="preserve"> </w:t>
      </w:r>
      <w:r w:rsidRPr="00395D86" w:rsidR="00775CB3">
        <w:rPr>
          <w:i/>
        </w:rPr>
        <w:t>factual findings</w:t>
      </w:r>
      <w:r w:rsidR="00775CB3">
        <w:t xml:space="preserve"> are “conclusive” “if supported by substantial evidence.”  (</w:t>
      </w:r>
      <w:r w:rsidRPr="00C42487" w:rsidR="00775CB3">
        <w:t>§</w:t>
      </w:r>
      <w:r w:rsidR="00775CB3">
        <w:t xml:space="preserve"> 3509.5, subd. (b).)  </w:t>
      </w:r>
      <w:r w:rsidR="00E16313">
        <w:t>Second, t</w:t>
      </w:r>
      <w:r w:rsidR="00F31513">
        <w:t>he duty t</w:t>
      </w:r>
      <w:r w:rsidR="00C55E6E">
        <w:t>o meet and confer is</w:t>
      </w:r>
      <w:r w:rsidR="00F31513">
        <w:t xml:space="preserve"> </w:t>
      </w:r>
      <w:r w:rsidR="00ED37EA">
        <w:t xml:space="preserve">a </w:t>
      </w:r>
      <w:r w:rsidR="00F31513">
        <w:t xml:space="preserve">central </w:t>
      </w:r>
      <w:r w:rsidR="00ED37EA">
        <w:t>feature</w:t>
      </w:r>
      <w:r w:rsidR="00F31513">
        <w:t xml:space="preserve"> of the MMBA</w:t>
      </w:r>
      <w:r w:rsidR="00C55E6E">
        <w:t>.  G</w:t>
      </w:r>
      <w:r w:rsidR="001E6406">
        <w:t>overning bodies</w:t>
      </w:r>
      <w:r w:rsidR="00015E4E">
        <w:t xml:space="preserve"> “or other representatives as may be properly designated”</w:t>
      </w:r>
      <w:r w:rsidR="00AC50A9">
        <w:t xml:space="preserve"> </w:t>
      </w:r>
      <w:r w:rsidR="00950892">
        <w:t xml:space="preserve">are required to </w:t>
      </w:r>
      <w:r w:rsidR="00F31513">
        <w:t>engage with unions on</w:t>
      </w:r>
      <w:r w:rsidR="00AC50A9">
        <w:t xml:space="preserve"> matters within the scope of representation “</w:t>
      </w:r>
      <w:r w:rsidR="00775CB3">
        <w:t>prior to arriving at a determination of policy or course of action.”</w:t>
      </w:r>
      <w:r w:rsidR="00F31513">
        <w:t xml:space="preserve">  </w:t>
      </w:r>
      <w:r w:rsidR="00950892">
        <w:t>(</w:t>
      </w:r>
      <w:r w:rsidRPr="00C42487" w:rsidR="00950892">
        <w:t>§</w:t>
      </w:r>
      <w:r w:rsidR="00950892">
        <w:t xml:space="preserve"> 3505.)  </w:t>
      </w:r>
      <w:r w:rsidR="00F31513">
        <w:t xml:space="preserve">This broad formulation encompasses more than </w:t>
      </w:r>
      <w:r w:rsidR="00015E4E">
        <w:t>formal actions taken by the governing body itself</w:t>
      </w:r>
      <w:r w:rsidR="00395D86">
        <w:t>.  Under the circumstances h</w:t>
      </w:r>
      <w:r w:rsidR="00950892">
        <w:t xml:space="preserve">ere, </w:t>
      </w:r>
      <w:r w:rsidR="00395D86">
        <w:t>the MMBA</w:t>
      </w:r>
      <w:r w:rsidR="00412CFC">
        <w:t xml:space="preserve"> appl</w:t>
      </w:r>
      <w:r w:rsidR="005D2658">
        <w:t>ies</w:t>
      </w:r>
      <w:r w:rsidR="00412CFC">
        <w:t xml:space="preserve"> to the mayor’s </w:t>
      </w:r>
      <w:r w:rsidR="00395D86">
        <w:t xml:space="preserve">official </w:t>
      </w:r>
      <w:r w:rsidR="005D2658">
        <w:t>pursuit of</w:t>
      </w:r>
      <w:r w:rsidR="00412CFC">
        <w:t xml:space="preserve"> pension reform</w:t>
      </w:r>
      <w:r w:rsidR="005D2658">
        <w:t xml:space="preserve"> as a matter of policy</w:t>
      </w:r>
      <w:r w:rsidR="001E6406">
        <w:t>.</w:t>
      </w:r>
      <w:r>
        <w:rPr>
          <w:rStyle w:val="FootnoteReference"/>
        </w:rPr>
        <w:footnoteReference w:id="4"/>
      </w:r>
      <w:r w:rsidR="00015E4E">
        <w:t xml:space="preserve">  The Court of Appeal erred, first by </w:t>
      </w:r>
      <w:r w:rsidR="00950892">
        <w:t>reviewing</w:t>
      </w:r>
      <w:r w:rsidR="00015E4E">
        <w:t xml:space="preserve"> PERB’s </w:t>
      </w:r>
      <w:r w:rsidR="00950892">
        <w:t xml:space="preserve">interpretation of </w:t>
      </w:r>
      <w:r w:rsidR="001E6406">
        <w:t>the governing statutes</w:t>
      </w:r>
      <w:r w:rsidR="00015E4E">
        <w:t xml:space="preserve"> de novo, and second by taking an unduly constricted view of the duty to meet and confer.</w:t>
      </w:r>
    </w:p>
    <w:p w:rsidR="00002C27" w:rsidP="004127AB">
      <w:pPr>
        <w:keepNext/>
        <w:spacing w:line="480" w:lineRule="atLeast"/>
        <w:jc w:val="center"/>
      </w:pPr>
      <w:r>
        <w:t>I.  BACKGROUND</w:t>
      </w:r>
    </w:p>
    <w:p w:rsidR="00DC7EAA" w:rsidP="00DC7EAA">
      <w:pPr>
        <w:spacing w:line="480" w:lineRule="atLeast"/>
      </w:pPr>
      <w:r>
        <w:tab/>
      </w:r>
      <w:r>
        <w:t xml:space="preserve">In November 2010, </w:t>
      </w:r>
      <w:r w:rsidR="00BA4E3F">
        <w:t>two San Diego c</w:t>
      </w:r>
      <w:r>
        <w:t>ity</w:t>
      </w:r>
      <w:r w:rsidR="00714115">
        <w:t xml:space="preserve"> </w:t>
      </w:r>
      <w:r w:rsidR="00DA5EB2">
        <w:t>officials</w:t>
      </w:r>
      <w:r w:rsidR="00714115">
        <w:t xml:space="preserve"> proposed </w:t>
      </w:r>
      <w:r w:rsidR="00BA4E3F">
        <w:t xml:space="preserve">public </w:t>
      </w:r>
      <w:r w:rsidR="00A55FCA">
        <w:t xml:space="preserve">employee </w:t>
      </w:r>
      <w:r w:rsidR="00BA4E3F">
        <w:t>pension</w:t>
      </w:r>
      <w:r w:rsidRPr="00A55FCA" w:rsidR="00A55FCA">
        <w:t xml:space="preserve"> </w:t>
      </w:r>
      <w:r w:rsidR="00A55FCA">
        <w:t>reform</w:t>
      </w:r>
      <w:r w:rsidR="00BA4E3F">
        <w:t>s.  First,</w:t>
      </w:r>
      <w:r>
        <w:t xml:space="preserve"> </w:t>
      </w:r>
      <w:r w:rsidR="00F96F51">
        <w:t>C</w:t>
      </w:r>
      <w:r>
        <w:t>ouncilmember Carl DeMaio</w:t>
      </w:r>
      <w:r w:rsidR="00950892">
        <w:t xml:space="preserve"> recommended </w:t>
      </w:r>
      <w:r w:rsidR="00C55E6E">
        <w:t xml:space="preserve">that </w:t>
      </w:r>
      <w:r w:rsidR="00950892">
        <w:t xml:space="preserve">defined benefit pensions </w:t>
      </w:r>
      <w:r w:rsidR="00C55E6E">
        <w:t xml:space="preserve">be replaced </w:t>
      </w:r>
      <w:r w:rsidR="00950892">
        <w:t>with 401(k)-style plans for all newly hired city employees</w:t>
      </w:r>
      <w:r>
        <w:t>.</w:t>
      </w:r>
      <w:r w:rsidR="001E6406">
        <w:t xml:space="preserve">  Then</w:t>
      </w:r>
      <w:r w:rsidR="002E7290">
        <w:t>,</w:t>
      </w:r>
      <w:r w:rsidR="00BA4E3F">
        <w:t xml:space="preserve"> </w:t>
      </w:r>
      <w:r w:rsidR="00F96F51">
        <w:t>M</w:t>
      </w:r>
      <w:r w:rsidR="00BA4E3F">
        <w:t>ayor Jerry Sanders declared</w:t>
      </w:r>
      <w:r>
        <w:t xml:space="preserve"> that he would </w:t>
      </w:r>
      <w:r w:rsidR="00BA4E3F">
        <w:t>develop</w:t>
      </w:r>
      <w:r w:rsidRPr="00BA4E3F" w:rsidR="00BA4E3F">
        <w:t xml:space="preserve"> </w:t>
      </w:r>
      <w:r w:rsidR="00BA4E3F">
        <w:t>a citizens</w:t>
      </w:r>
      <w:r w:rsidR="00A00CF6">
        <w:t>’</w:t>
      </w:r>
      <w:r w:rsidR="00BA4E3F">
        <w:t xml:space="preserve"> initiative </w:t>
      </w:r>
      <w:r>
        <w:t>to eliminate traditional pensions for new hires</w:t>
      </w:r>
      <w:r w:rsidR="00BA4E3F">
        <w:t xml:space="preserve">, except in the police and fire departments, and </w:t>
      </w:r>
      <w:r>
        <w:t>replace them with a 401(k)-style plan.</w:t>
      </w:r>
      <w:r w:rsidR="00FC3F3A">
        <w:t xml:space="preserve">  </w:t>
      </w:r>
      <w:r w:rsidR="004179DD">
        <w:t>San Diego’s</w:t>
      </w:r>
      <w:r w:rsidR="00FC3F3A">
        <w:t xml:space="preserve"> charter establishe</w:t>
      </w:r>
      <w:r w:rsidR="004179DD">
        <w:t>s</w:t>
      </w:r>
      <w:r w:rsidR="00FC3F3A">
        <w:t xml:space="preserve"> a “strong mayor” form of government</w:t>
      </w:r>
      <w:r w:rsidR="00B364BD">
        <w:t>, under which</w:t>
      </w:r>
      <w:r w:rsidR="00FC3F3A">
        <w:t xml:space="preserve"> Sanders acted as the city’s chief executive officer</w:t>
      </w:r>
      <w:r w:rsidR="00B364BD">
        <w:t xml:space="preserve">.  </w:t>
      </w:r>
      <w:r w:rsidR="00950892">
        <w:t>H</w:t>
      </w:r>
      <w:r w:rsidR="00934DC1">
        <w:t>i</w:t>
      </w:r>
      <w:r w:rsidR="00FC3F3A">
        <w:t xml:space="preserve">s responsibilities </w:t>
      </w:r>
      <w:r w:rsidR="00950892">
        <w:t>included</w:t>
      </w:r>
      <w:r w:rsidR="00FC3F3A">
        <w:t xml:space="preserve"> recommending measures and ordinances to the city council</w:t>
      </w:r>
      <w:r w:rsidR="00950892">
        <w:t>,</w:t>
      </w:r>
      <w:r w:rsidR="00FC3F3A">
        <w:t xml:space="preserve"> conducting collective bargaining with city employee unions</w:t>
      </w:r>
      <w:r w:rsidR="00840107">
        <w:t xml:space="preserve">, </w:t>
      </w:r>
      <w:r w:rsidR="00950892">
        <w:t>and complying</w:t>
      </w:r>
      <w:r w:rsidR="00840107">
        <w:t xml:space="preserve"> with the MMBA’s meet-and-confer requirements</w:t>
      </w:r>
      <w:r w:rsidR="00472B4A">
        <w:t>.</w:t>
      </w:r>
    </w:p>
    <w:p w:rsidR="002757F0" w:rsidP="00DC7EAA">
      <w:pPr>
        <w:spacing w:line="480" w:lineRule="atLeast"/>
      </w:pPr>
      <w:r>
        <w:tab/>
      </w:r>
      <w:r w:rsidR="00130FF0">
        <w:t>As relevant here, p</w:t>
      </w:r>
      <w:r w:rsidR="002E7290">
        <w:t xml:space="preserve">roposals to amend a city’s charter can be submitted to voters </w:t>
      </w:r>
      <w:r w:rsidR="00130FF0">
        <w:t xml:space="preserve">in two ways.  </w:t>
      </w:r>
      <w:r w:rsidR="00A00CF6">
        <w:t>First, a</w:t>
      </w:r>
      <w:r w:rsidR="00130FF0">
        <w:t xml:space="preserve"> charter amendment can be propos</w:t>
      </w:r>
      <w:r w:rsidR="00A00CF6">
        <w:t>ed by the city’s governing body</w:t>
      </w:r>
      <w:r w:rsidR="00130FF0">
        <w:t xml:space="preserve"> on its own motion.  (Elec. Code, § </w:t>
      </w:r>
      <w:r w:rsidR="00997B17">
        <w:t xml:space="preserve">9255, </w:t>
      </w:r>
      <w:r w:rsidR="00D5408A">
        <w:t xml:space="preserve">former </w:t>
      </w:r>
      <w:r w:rsidR="00997B17">
        <w:t xml:space="preserve">subd. (a)(2).)  </w:t>
      </w:r>
      <w:r w:rsidR="00A00CF6">
        <w:t>Second, a</w:t>
      </w:r>
      <w:r w:rsidR="00997B17">
        <w:t xml:space="preserve">n amendment can be proposed in an initiative petition signed by 15 percent of the city’s registered voters or, </w:t>
      </w:r>
      <w:r w:rsidR="00DA5EB2">
        <w:t>for</w:t>
      </w:r>
      <w:r w:rsidR="00997B17">
        <w:t xml:space="preserve"> amendments to a combined city and county charter, by 10 percent of registered c</w:t>
      </w:r>
      <w:r w:rsidR="00A00CF6">
        <w:t>ity and county voters.  (Elec. C</w:t>
      </w:r>
      <w:r w:rsidR="00997B17">
        <w:t xml:space="preserve">ode, § 9255, </w:t>
      </w:r>
      <w:r w:rsidR="00D5408A">
        <w:t xml:space="preserve">former </w:t>
      </w:r>
      <w:r w:rsidR="00A00CF6">
        <w:t>subd</w:t>
      </w:r>
      <w:r w:rsidR="00997B17">
        <w:t>. (a)(3)-(4).)</w:t>
      </w:r>
    </w:p>
    <w:p w:rsidR="00DC7EAA" w:rsidP="00DC7EAA">
      <w:pPr>
        <w:spacing w:line="480" w:lineRule="atLeast"/>
      </w:pPr>
      <w:r>
        <w:tab/>
      </w:r>
      <w:r w:rsidR="00BA4E3F">
        <w:t>In 2006 and 200</w:t>
      </w:r>
      <w:r w:rsidR="00B30A13">
        <w:t>8</w:t>
      </w:r>
      <w:r w:rsidR="00BA4E3F">
        <w:t xml:space="preserve">, </w:t>
      </w:r>
      <w:r>
        <w:t>Sanders</w:t>
      </w:r>
      <w:r w:rsidR="00BA4E3F">
        <w:t xml:space="preserve"> had </w:t>
      </w:r>
      <w:r w:rsidR="00B609DA">
        <w:t xml:space="preserve">pursued two ballot </w:t>
      </w:r>
      <w:r w:rsidR="002D1F12">
        <w:t>measures</w:t>
      </w:r>
      <w:r w:rsidR="00B609DA">
        <w:t xml:space="preserve"> affecting employee pensions.  </w:t>
      </w:r>
      <w:r w:rsidR="00950892">
        <w:t>These measures</w:t>
      </w:r>
      <w:r w:rsidR="002D1F12">
        <w:t xml:space="preserve"> were </w:t>
      </w:r>
      <w:r w:rsidR="00950892">
        <w:t xml:space="preserve">intended </w:t>
      </w:r>
      <w:r w:rsidR="002D1F12">
        <w:t xml:space="preserve">to be presented </w:t>
      </w:r>
      <w:r w:rsidR="009F78FD">
        <w:t xml:space="preserve">to voters </w:t>
      </w:r>
      <w:r w:rsidR="00EB217C">
        <w:t xml:space="preserve">as the </w:t>
      </w:r>
      <w:r w:rsidR="00EB217C">
        <w:t>city’s proposals</w:t>
      </w:r>
      <w:r w:rsidR="00950892">
        <w:t>.</w:t>
      </w:r>
      <w:r w:rsidR="00EB217C">
        <w:t xml:space="preserve">  (See Elec. Code, § 9255, </w:t>
      </w:r>
      <w:r w:rsidR="00D5408A">
        <w:t xml:space="preserve">former </w:t>
      </w:r>
      <w:r w:rsidR="00EB217C">
        <w:t>subd. (a)(2).)</w:t>
      </w:r>
      <w:r w:rsidR="00950892">
        <w:t xml:space="preserve"> </w:t>
      </w:r>
      <w:r w:rsidR="00A3003D">
        <w:t xml:space="preserve"> In the course of developing them, Sanders met and conferred with union representatives, as required by </w:t>
      </w:r>
      <w:r w:rsidRPr="00F90087" w:rsidR="00A3003D">
        <w:rPr>
          <w:i/>
        </w:rPr>
        <w:t>People ex rel. Seal Beach Police Officers Assn. v. City of Seal Beach</w:t>
      </w:r>
      <w:r w:rsidR="00A3003D">
        <w:t xml:space="preserve"> (1984) 36 Cal.3d 591, 601.</w:t>
      </w:r>
      <w:r w:rsidR="00950892">
        <w:t xml:space="preserve"> </w:t>
      </w:r>
      <w:r w:rsidR="00A3003D">
        <w:t xml:space="preserve"> </w:t>
      </w:r>
      <w:r w:rsidR="00B30A13">
        <w:t xml:space="preserve">The 2006 proposal </w:t>
      </w:r>
      <w:r w:rsidR="00292F87">
        <w:t>was</w:t>
      </w:r>
      <w:r w:rsidR="00B30A13">
        <w:t xml:space="preserve"> </w:t>
      </w:r>
      <w:r w:rsidR="00292F87">
        <w:t xml:space="preserve">approved by </w:t>
      </w:r>
      <w:r w:rsidR="00B30A13">
        <w:t xml:space="preserve">the voters.  In 2008, </w:t>
      </w:r>
      <w:r w:rsidR="00341F11">
        <w:t xml:space="preserve">the proposal never went to the voters because </w:t>
      </w:r>
      <w:r w:rsidR="00B30A13">
        <w:t>Sanders and the unions reached an agreement.  I</w:t>
      </w:r>
      <w:r w:rsidR="009A2EA3">
        <w:t xml:space="preserve">n 2010, </w:t>
      </w:r>
      <w:r w:rsidR="00B30A13">
        <w:t xml:space="preserve">however, </w:t>
      </w:r>
      <w:r w:rsidR="009A2EA3">
        <w:t xml:space="preserve">Sanders </w:t>
      </w:r>
      <w:r w:rsidR="00636E4F">
        <w:t>chose</w:t>
      </w:r>
      <w:r>
        <w:t xml:space="preserve"> to pursue </w:t>
      </w:r>
      <w:r w:rsidR="009A2EA3">
        <w:t>further</w:t>
      </w:r>
      <w:r>
        <w:t xml:space="preserve"> pension reform </w:t>
      </w:r>
      <w:r w:rsidR="003221E5">
        <w:t>through</w:t>
      </w:r>
      <w:r>
        <w:t xml:space="preserve"> a citizens</w:t>
      </w:r>
      <w:r w:rsidR="009A2EA3">
        <w:t>’</w:t>
      </w:r>
      <w:r>
        <w:t xml:space="preserve"> initiative</w:t>
      </w:r>
      <w:r w:rsidR="00B30A13">
        <w:t xml:space="preserve"> instead of a measure proposed by the city</w:t>
      </w:r>
      <w:r>
        <w:t xml:space="preserve">.  </w:t>
      </w:r>
      <w:r w:rsidR="009A2EA3">
        <w:t xml:space="preserve">He </w:t>
      </w:r>
      <w:r w:rsidR="00B30A13">
        <w:t>reached</w:t>
      </w:r>
      <w:r w:rsidR="009A2EA3">
        <w:t xml:space="preserve"> this </w:t>
      </w:r>
      <w:r w:rsidR="00636E4F">
        <w:t>decision</w:t>
      </w:r>
      <w:r w:rsidRPr="00B30A13" w:rsidR="00B30A13">
        <w:t xml:space="preserve"> </w:t>
      </w:r>
      <w:r w:rsidR="00B30A13">
        <w:t xml:space="preserve">after </w:t>
      </w:r>
      <w:r w:rsidR="00341F11">
        <w:t>consulting</w:t>
      </w:r>
      <w:r w:rsidR="00B30A13">
        <w:t xml:space="preserve"> with staff</w:t>
      </w:r>
      <w:r w:rsidR="00292F87">
        <w:t xml:space="preserve"> and</w:t>
      </w:r>
      <w:r w:rsidR="00341F11">
        <w:t xml:space="preserve"> concluding that</w:t>
      </w:r>
      <w:r w:rsidR="00B848DF">
        <w:t xml:space="preserve"> the city c</w:t>
      </w:r>
      <w:r>
        <w:t>ouncil w</w:t>
      </w:r>
      <w:r w:rsidR="00341F11">
        <w:t>as unlikely to put his</w:t>
      </w:r>
      <w:r>
        <w:t xml:space="preserve"> proposal</w:t>
      </w:r>
      <w:r w:rsidR="00341F11">
        <w:t xml:space="preserve"> on the ballot.  H</w:t>
      </w:r>
      <w:r w:rsidR="009F78FD">
        <w:t xml:space="preserve">e </w:t>
      </w:r>
      <w:r w:rsidR="00A3003D">
        <w:t xml:space="preserve">was also concerned </w:t>
      </w:r>
      <w:r w:rsidR="00C55E6E">
        <w:t>that</w:t>
      </w:r>
      <w:r w:rsidR="00A3003D">
        <w:t xml:space="preserve"> compromises might result from</w:t>
      </w:r>
      <w:r w:rsidR="009A2EA3">
        <w:t xml:space="preserve"> </w:t>
      </w:r>
      <w:r w:rsidR="00A3003D">
        <w:t>the meet-and-confer process</w:t>
      </w:r>
      <w:r w:rsidR="00E93272">
        <w:t>.</w:t>
      </w:r>
      <w:r w:rsidRPr="006F1B3E" w:rsidR="006F1B3E">
        <w:t xml:space="preserve"> </w:t>
      </w:r>
      <w:r w:rsidR="006F1B3E">
        <w:t xml:space="preserve"> I</w:t>
      </w:r>
      <w:r w:rsidRPr="00DA49F1" w:rsidR="006F1B3E">
        <w:t xml:space="preserve">n </w:t>
      </w:r>
      <w:r w:rsidR="006F1B3E">
        <w:t>a local maga</w:t>
      </w:r>
      <w:r w:rsidRPr="00DA49F1" w:rsidR="006F1B3E">
        <w:t>zine</w:t>
      </w:r>
      <w:r w:rsidR="00341F11">
        <w:t xml:space="preserve"> interview</w:t>
      </w:r>
      <w:r w:rsidR="006F67F1">
        <w:t>,</w:t>
      </w:r>
      <w:r w:rsidR="0072553C">
        <w:t xml:space="preserve"> he</w:t>
      </w:r>
      <w:r w:rsidR="006F1B3E">
        <w:t xml:space="preserve"> explained</w:t>
      </w:r>
      <w:r w:rsidR="006F67F1">
        <w:t xml:space="preserve"> that</w:t>
      </w:r>
      <w:r w:rsidR="0072553C">
        <w:t xml:space="preserve"> “w</w:t>
      </w:r>
      <w:r w:rsidRPr="00DA49F1" w:rsidR="006F1B3E">
        <w:t xml:space="preserve">hen you go out and signature gather </w:t>
      </w:r>
      <w:r w:rsidR="0072553C">
        <w:t>. . .</w:t>
      </w:r>
      <w:r w:rsidRPr="00DA49F1" w:rsidR="006F1B3E">
        <w:t xml:space="preserve"> it costs a</w:t>
      </w:r>
      <w:r w:rsidR="006F1B3E">
        <w:t xml:space="preserve"> </w:t>
      </w:r>
      <w:r w:rsidRPr="00DA49F1" w:rsidR="006F1B3E">
        <w:t>tremendous amount of money, it takes a tremendous amount of</w:t>
      </w:r>
      <w:r w:rsidR="006F1B3E">
        <w:t xml:space="preserve"> </w:t>
      </w:r>
      <w:r w:rsidRPr="00DA49F1" w:rsidR="006F1B3E">
        <w:t>time and effort</w:t>
      </w:r>
      <w:r w:rsidR="006F1B3E">
        <w:t xml:space="preserve"> . . . . </w:t>
      </w:r>
      <w:r w:rsidRPr="00DA49F1" w:rsidR="006F1B3E">
        <w:t xml:space="preserve"> But you do that so that you get the ballot</w:t>
      </w:r>
      <w:r w:rsidR="006F1B3E">
        <w:t xml:space="preserve"> </w:t>
      </w:r>
      <w:r w:rsidRPr="00DA49F1" w:rsidR="006F1B3E">
        <w:t xml:space="preserve">initiative on that you actually want. </w:t>
      </w:r>
      <w:r w:rsidR="006F1B3E">
        <w:t xml:space="preserve"> </w:t>
      </w:r>
      <w:r w:rsidRPr="00DA49F1" w:rsidR="006F1B3E">
        <w:t>[A]nd that</w:t>
      </w:r>
      <w:r w:rsidR="0072553C">
        <w:t>’</w:t>
      </w:r>
      <w:r w:rsidRPr="00DA49F1" w:rsidR="006F1B3E">
        <w:t>s what we did.</w:t>
      </w:r>
      <w:r w:rsidR="006F1B3E">
        <w:t xml:space="preserve"> </w:t>
      </w:r>
      <w:r w:rsidR="0072553C">
        <w:t xml:space="preserve"> </w:t>
      </w:r>
      <w:r w:rsidRPr="00B27EC8" w:rsidR="006F1B3E">
        <w:t>Otherwise, we</w:t>
      </w:r>
      <w:r w:rsidR="0072553C">
        <w:t>’</w:t>
      </w:r>
      <w:r w:rsidRPr="00B27EC8" w:rsidR="006F1B3E">
        <w:t xml:space="preserve">d have gone through </w:t>
      </w:r>
      <w:r w:rsidR="006F1B3E">
        <w:t>the meet and confer</w:t>
      </w:r>
      <w:r w:rsidRPr="00B27EC8" w:rsidR="006F1B3E">
        <w:t xml:space="preserve"> and you don</w:t>
      </w:r>
      <w:r w:rsidR="0072553C">
        <w:t>’</w:t>
      </w:r>
      <w:r w:rsidRPr="00B27EC8" w:rsidR="006F1B3E">
        <w:t>t know what</w:t>
      </w:r>
      <w:r w:rsidR="0072553C">
        <w:t>’</w:t>
      </w:r>
      <w:r w:rsidRPr="00B27EC8" w:rsidR="006F1B3E">
        <w:t>s going to go on at that point.</w:t>
      </w:r>
      <w:r w:rsidR="0072553C">
        <w:t>”</w:t>
      </w:r>
    </w:p>
    <w:p w:rsidR="00DC7EAA" w:rsidP="00DC7EAA">
      <w:pPr>
        <w:spacing w:line="480" w:lineRule="atLeast"/>
      </w:pPr>
      <w:r>
        <w:tab/>
        <w:t>Sanders held a press conference</w:t>
      </w:r>
      <w:r w:rsidRPr="0072553C" w:rsidR="0072553C">
        <w:t xml:space="preserve"> </w:t>
      </w:r>
      <w:r w:rsidR="00A00CF6">
        <w:t>at c</w:t>
      </w:r>
      <w:r w:rsidR="0072553C">
        <w:t xml:space="preserve">ity </w:t>
      </w:r>
      <w:r w:rsidR="00A00CF6">
        <w:t>h</w:t>
      </w:r>
      <w:r w:rsidR="0072553C">
        <w:t>all</w:t>
      </w:r>
      <w:r>
        <w:t xml:space="preserve"> to announce his </w:t>
      </w:r>
      <w:r w:rsidR="0072553C">
        <w:t>plans</w:t>
      </w:r>
      <w:r>
        <w:t>.  Th</w:t>
      </w:r>
      <w:r w:rsidR="009F78FD">
        <w:t>e</w:t>
      </w:r>
      <w:r>
        <w:t xml:space="preserve"> event</w:t>
      </w:r>
      <w:r w:rsidR="0072553C">
        <w:t xml:space="preserve"> was attended by City Attorney Jan Goldsmith</w:t>
      </w:r>
      <w:r>
        <w:t xml:space="preserve">, </w:t>
      </w:r>
      <w:r w:rsidR="0072553C">
        <w:t xml:space="preserve">City Councilmember Kevin Faulconer, and City Chief Operating Officer Jay Goldstone.  </w:t>
      </w:r>
      <w:r w:rsidR="00BA042D">
        <w:t>A</w:t>
      </w:r>
      <w:r w:rsidR="0072553C">
        <w:t xml:space="preserve"> statement</w:t>
      </w:r>
      <w:r w:rsidR="00BA042D">
        <w:t xml:space="preserve"> informed</w:t>
      </w:r>
      <w:r>
        <w:t xml:space="preserve"> the public that </w:t>
      </w:r>
      <w:r w:rsidR="0072553C">
        <w:t>“</w:t>
      </w:r>
      <w:r>
        <w:t xml:space="preserve">San Diego voters will soon be seeing signature-gatherers for a ballot measure that would end guaranteed pensions for new </w:t>
      </w:r>
      <w:r w:rsidR="00A00CF6">
        <w:t>[</w:t>
      </w:r>
      <w:r w:rsidR="0072553C">
        <w:t>c</w:t>
      </w:r>
      <w:r w:rsidR="00A00CF6">
        <w:t>]</w:t>
      </w:r>
      <w:r>
        <w:t>ity employees.</w:t>
      </w:r>
      <w:r w:rsidR="0072553C">
        <w:t>”</w:t>
      </w:r>
      <w:r>
        <w:t xml:space="preserve">  </w:t>
      </w:r>
      <w:r w:rsidR="0072553C">
        <w:t xml:space="preserve">A photograph </w:t>
      </w:r>
      <w:r w:rsidR="00DE0E90">
        <w:t xml:space="preserve">showed Sanders </w:t>
      </w:r>
      <w:r w:rsidR="00A3003D">
        <w:t>making the announcement in</w:t>
      </w:r>
      <w:r w:rsidR="00DE0E90">
        <w:t xml:space="preserve"> fro</w:t>
      </w:r>
      <w:r w:rsidR="004179DD">
        <w:t>nt</w:t>
      </w:r>
      <w:r w:rsidR="00DE0E90">
        <w:t xml:space="preserve"> of the city seal.</w:t>
      </w:r>
      <w:r w:rsidR="0072553C">
        <w:t xml:space="preserve"> </w:t>
      </w:r>
      <w:r>
        <w:t xml:space="preserve"> </w:t>
      </w:r>
      <w:r w:rsidR="00857220">
        <w:t>The mayor’</w:t>
      </w:r>
      <w:r>
        <w:t>s office issued a news release</w:t>
      </w:r>
      <w:r w:rsidRPr="00C55E6E" w:rsidR="00C55E6E">
        <w:t xml:space="preserve"> </w:t>
      </w:r>
      <w:r w:rsidR="003D358D">
        <w:t>that explained</w:t>
      </w:r>
      <w:r w:rsidR="00C55E6E">
        <w:t xml:space="preserve"> the decision</w:t>
      </w:r>
      <w:r w:rsidR="00DE0E90">
        <w:t xml:space="preserve"> </w:t>
      </w:r>
      <w:r w:rsidR="00C55E6E">
        <w:t xml:space="preserve">and </w:t>
      </w:r>
      <w:r w:rsidR="003D358D">
        <w:t>bore</w:t>
      </w:r>
      <w:r w:rsidR="00DE0E90">
        <w:t xml:space="preserve"> </w:t>
      </w:r>
      <w:r w:rsidR="00857220">
        <w:t xml:space="preserve">his title and </w:t>
      </w:r>
      <w:r w:rsidR="00DE0E90">
        <w:t>the city sea</w:t>
      </w:r>
      <w:r w:rsidR="00857220">
        <w:t>l</w:t>
      </w:r>
      <w:r>
        <w:t>.</w:t>
      </w:r>
      <w:r>
        <w:rPr>
          <w:rStyle w:val="FootnoteReference"/>
        </w:rPr>
        <w:footnoteReference w:id="5"/>
      </w:r>
      <w:r>
        <w:t xml:space="preserve"> </w:t>
      </w:r>
      <w:r w:rsidR="00472B4A">
        <w:t xml:space="preserve"> </w:t>
      </w:r>
      <w:r>
        <w:t xml:space="preserve">Faulconer disseminated </w:t>
      </w:r>
      <w:r w:rsidR="0072553C">
        <w:t>the</w:t>
      </w:r>
      <w:r>
        <w:t xml:space="preserve"> press release by e-mail</w:t>
      </w:r>
      <w:r w:rsidR="009F78FD">
        <w:t>,</w:t>
      </w:r>
      <w:r>
        <w:t xml:space="preserve"> stating </w:t>
      </w:r>
      <w:r w:rsidR="0072553C">
        <w:t xml:space="preserve">that he and </w:t>
      </w:r>
      <w:r>
        <w:t xml:space="preserve">Sanders </w:t>
      </w:r>
      <w:r w:rsidR="0072553C">
        <w:t>“</w:t>
      </w:r>
      <w:r>
        <w:t>would craft a groundbreaking [pension] reform ballot measure and lead the signature-gathering effort to place the measure before voters</w:t>
      </w:r>
      <w:r w:rsidR="0072553C">
        <w:t xml:space="preserve">.” </w:t>
      </w:r>
      <w:r>
        <w:t xml:space="preserve"> Sanders sent a similar e-mail </w:t>
      </w:r>
      <w:r w:rsidR="009F78FD">
        <w:t>declaring</w:t>
      </w:r>
      <w:r w:rsidR="0072553C">
        <w:t xml:space="preserve"> that</w:t>
      </w:r>
      <w:r>
        <w:t xml:space="preserve"> he w</w:t>
      </w:r>
      <w:r w:rsidR="007B4BC3">
        <w:t>ould work</w:t>
      </w:r>
      <w:r>
        <w:t xml:space="preserve"> with Faulconer to </w:t>
      </w:r>
      <w:r w:rsidR="0072553C">
        <w:t>“</w:t>
      </w:r>
      <w:r>
        <w:t>craft language and gather signatures</w:t>
      </w:r>
      <w:r w:rsidR="0072553C">
        <w:t>”</w:t>
      </w:r>
      <w:r>
        <w:t xml:space="preserve"> for a ballot initiative to reform public pensions.</w:t>
      </w:r>
    </w:p>
    <w:p w:rsidR="00F80F30" w:rsidP="00F96F51">
      <w:pPr>
        <w:spacing w:line="480" w:lineRule="atLeast"/>
      </w:pPr>
      <w:r>
        <w:tab/>
      </w:r>
      <w:r w:rsidR="003D358D">
        <w:t>Subsequently</w:t>
      </w:r>
      <w:r>
        <w:t>, Sanders develop</w:t>
      </w:r>
      <w:r w:rsidR="00F96F51">
        <w:t>ed</w:t>
      </w:r>
      <w:r>
        <w:t xml:space="preserve"> and publiciz</w:t>
      </w:r>
      <w:r w:rsidR="00F96F51">
        <w:t>ed</w:t>
      </w:r>
      <w:r>
        <w:t xml:space="preserve"> his pension reform proposal</w:t>
      </w:r>
      <w:r w:rsidR="00857220">
        <w:t>.  I</w:t>
      </w:r>
      <w:r>
        <w:t>n January 2011</w:t>
      </w:r>
      <w:r w:rsidR="000F2656">
        <w:t>,</w:t>
      </w:r>
      <w:r w:rsidR="00F96F51">
        <w:t xml:space="preserve"> allies of the mayor</w:t>
      </w:r>
      <w:r w:rsidRPr="00F96F51" w:rsidR="00F96F51">
        <w:t xml:space="preserve"> </w:t>
      </w:r>
      <w:r w:rsidR="00F96F51">
        <w:t>formed</w:t>
      </w:r>
      <w:r w:rsidR="000F2656">
        <w:t xml:space="preserve"> </w:t>
      </w:r>
      <w:r>
        <w:t xml:space="preserve">a </w:t>
      </w:r>
      <w:r w:rsidR="000F2656">
        <w:t xml:space="preserve">campaign </w:t>
      </w:r>
      <w:r>
        <w:t xml:space="preserve">committee to raise money </w:t>
      </w:r>
      <w:r w:rsidR="007B4BC3">
        <w:t xml:space="preserve">for </w:t>
      </w:r>
      <w:r w:rsidR="00A55FCA">
        <w:t>the</w:t>
      </w:r>
      <w:r>
        <w:t xml:space="preserve"> proposed initiative.  </w:t>
      </w:r>
      <w:r w:rsidR="000F2656">
        <w:t xml:space="preserve">The mayor’s chief of staff monitored the committee’s activities, </w:t>
      </w:r>
      <w:r w:rsidR="007B4BC3">
        <w:t xml:space="preserve">keeping track of its </w:t>
      </w:r>
      <w:r w:rsidR="000F2656">
        <w:t>fundraising and expenditures.</w:t>
      </w:r>
    </w:p>
    <w:p w:rsidR="00D55A2A" w:rsidP="00C87ACD">
      <w:pPr>
        <w:spacing w:line="480" w:lineRule="atLeast"/>
        <w:ind w:firstLine="720"/>
      </w:pPr>
      <w:r>
        <w:t>In</w:t>
      </w:r>
      <w:r w:rsidR="00DC7EAA">
        <w:t xml:space="preserve"> his January 2</w:t>
      </w:r>
      <w:r w:rsidR="00B848DF">
        <w:t>011 state of the ci</w:t>
      </w:r>
      <w:r w:rsidR="00204A85">
        <w:t xml:space="preserve">ty address, </w:t>
      </w:r>
      <w:r w:rsidR="00DC7EAA">
        <w:t xml:space="preserve">Sanders vowed to </w:t>
      </w:r>
      <w:r w:rsidR="000F2656">
        <w:t>“</w:t>
      </w:r>
      <w:r w:rsidR="00DC7EAA">
        <w:t>complete our financial reforms and eliminate our structural budget deficit.</w:t>
      </w:r>
      <w:r w:rsidR="000F2656">
        <w:t>”</w:t>
      </w:r>
      <w:r w:rsidR="00DC7EAA">
        <w:t xml:space="preserve">  He s</w:t>
      </w:r>
      <w:r w:rsidR="00A12949">
        <w:t>aid</w:t>
      </w:r>
      <w:r>
        <w:t xml:space="preserve"> </w:t>
      </w:r>
      <w:r w:rsidR="00DC7EAA">
        <w:t xml:space="preserve">he was </w:t>
      </w:r>
      <w:r w:rsidR="000F2656">
        <w:t>“</w:t>
      </w:r>
      <w:r w:rsidR="00DC7EAA">
        <w:t>proposing a bold step</w:t>
      </w:r>
      <w:r w:rsidR="000F2656">
        <w:t>”</w:t>
      </w:r>
      <w:r w:rsidR="00DC7EAA">
        <w:t xml:space="preserve"> of </w:t>
      </w:r>
      <w:r w:rsidR="000F2656">
        <w:t>“</w:t>
      </w:r>
      <w:r w:rsidR="00DC7EAA">
        <w:t xml:space="preserve">creating a 401(k)-style plan for future employees </w:t>
      </w:r>
      <w:r w:rsidR="00204A85">
        <w:t>. . .</w:t>
      </w:r>
      <w:r w:rsidR="00DC7EAA">
        <w:t xml:space="preserve"> [to] contain pension costs and restore sanity to a situation confronting every big city</w:t>
      </w:r>
      <w:r w:rsidR="000F2656">
        <w:t>.”</w:t>
      </w:r>
      <w:r w:rsidR="00DC7EAA">
        <w:t xml:space="preserve"> </w:t>
      </w:r>
      <w:r w:rsidR="000F2656">
        <w:t xml:space="preserve"> He declared</w:t>
      </w:r>
      <w:r w:rsidR="00F96F51">
        <w:t xml:space="preserve"> that</w:t>
      </w:r>
      <w:r w:rsidR="00DC7EAA">
        <w:t xml:space="preserve"> </w:t>
      </w:r>
      <w:r w:rsidR="003E0AFE">
        <w:t>he,</w:t>
      </w:r>
      <w:r w:rsidR="00204A85">
        <w:t xml:space="preserve"> along with Faulconer</w:t>
      </w:r>
      <w:r w:rsidR="003E0AFE">
        <w:t xml:space="preserve"> and the city attorney, </w:t>
      </w:r>
      <w:r w:rsidR="000F2656">
        <w:t>“</w:t>
      </w:r>
      <w:r w:rsidR="00DC7EAA">
        <w:t>will soon bring to voters an initiative to enact a 401(k)-style plan.</w:t>
      </w:r>
      <w:r w:rsidR="008D1AC6">
        <w:t xml:space="preserve">  [</w:t>
      </w:r>
      <w:r w:rsidRPr="00195FB6" w:rsidR="008D1AC6">
        <w:t>¶</w:t>
      </w:r>
      <w:r w:rsidR="008D1AC6">
        <w:t xml:space="preserve">]  </w:t>
      </w:r>
      <w:r w:rsidR="00C87ACD">
        <w:t>We are acting in the public interest, but as private citizens.  And we welcome to our effort anyone who shares our goals.</w:t>
      </w:r>
      <w:r w:rsidR="00F96F51">
        <w:t>”</w:t>
      </w:r>
      <w:r w:rsidR="00DC7EAA">
        <w:t xml:space="preserve">  </w:t>
      </w:r>
      <w:r w:rsidR="00C87ACD">
        <w:t>On the</w:t>
      </w:r>
      <w:r w:rsidR="00DC7EAA">
        <w:t xml:space="preserve"> same day, </w:t>
      </w:r>
      <w:r w:rsidR="00F96F51">
        <w:t>the mayor’s</w:t>
      </w:r>
      <w:r w:rsidR="00DC7EAA">
        <w:t xml:space="preserve"> office issued a</w:t>
      </w:r>
      <w:r w:rsidR="00F96F51">
        <w:t>nother</w:t>
      </w:r>
      <w:r w:rsidR="00DC7EAA">
        <w:t xml:space="preserve"> press release publicizing his vow </w:t>
      </w:r>
      <w:r w:rsidR="00F96F51">
        <w:t>“</w:t>
      </w:r>
      <w:r w:rsidR="00DC7EAA">
        <w:t>to push forward his ballot initiative</w:t>
      </w:r>
      <w:r w:rsidR="00F96F51">
        <w:t>”</w:t>
      </w:r>
      <w:r w:rsidR="00DC7EAA">
        <w:t xml:space="preserve"> for pension reform.</w:t>
      </w:r>
      <w:r w:rsidR="00333CE3">
        <w:t xml:space="preserve">  The mayor </w:t>
      </w:r>
      <w:r w:rsidR="007B4BC3">
        <w:t xml:space="preserve">and his staff </w:t>
      </w:r>
      <w:r w:rsidR="00333CE3">
        <w:t xml:space="preserve">continued </w:t>
      </w:r>
      <w:r w:rsidR="007B4BC3">
        <w:t xml:space="preserve">their </w:t>
      </w:r>
      <w:r w:rsidR="00333CE3">
        <w:t>publicity efforts in the following weeks.</w:t>
      </w:r>
      <w:r w:rsidR="00F80F30">
        <w:t xml:space="preserve">  </w:t>
      </w:r>
      <w:r w:rsidR="00A12949">
        <w:rPr>
          <w:szCs w:val="26"/>
        </w:rPr>
        <w:t>T</w:t>
      </w:r>
      <w:r w:rsidRPr="00435E96">
        <w:rPr>
          <w:szCs w:val="26"/>
        </w:rPr>
        <w:t xml:space="preserve">he </w:t>
      </w:r>
      <w:r w:rsidR="00A12949">
        <w:rPr>
          <w:szCs w:val="26"/>
        </w:rPr>
        <w:t xml:space="preserve">campaign </w:t>
      </w:r>
      <w:r w:rsidRPr="00435E96">
        <w:rPr>
          <w:szCs w:val="26"/>
        </w:rPr>
        <w:t>committee hired an attorney</w:t>
      </w:r>
      <w:r w:rsidR="00204A85">
        <w:rPr>
          <w:szCs w:val="26"/>
        </w:rPr>
        <w:t xml:space="preserve"> and</w:t>
      </w:r>
      <w:r w:rsidRPr="00435E96">
        <w:rPr>
          <w:szCs w:val="26"/>
        </w:rPr>
        <w:t xml:space="preserve"> </w:t>
      </w:r>
      <w:r>
        <w:rPr>
          <w:szCs w:val="26"/>
        </w:rPr>
        <w:t xml:space="preserve">retained the consulting firm </w:t>
      </w:r>
      <w:r w:rsidR="003221E5">
        <w:rPr>
          <w:szCs w:val="26"/>
        </w:rPr>
        <w:t xml:space="preserve">that </w:t>
      </w:r>
      <w:r w:rsidR="00A55FCA">
        <w:rPr>
          <w:szCs w:val="26"/>
        </w:rPr>
        <w:t xml:space="preserve">was </w:t>
      </w:r>
      <w:r w:rsidRPr="00435E96">
        <w:rPr>
          <w:szCs w:val="26"/>
        </w:rPr>
        <w:t>serv</w:t>
      </w:r>
      <w:r w:rsidR="00A55FCA">
        <w:rPr>
          <w:szCs w:val="26"/>
        </w:rPr>
        <w:t>ing</w:t>
      </w:r>
      <w:r w:rsidRPr="00435E96">
        <w:rPr>
          <w:szCs w:val="26"/>
        </w:rPr>
        <w:t xml:space="preserve"> as </w:t>
      </w:r>
      <w:r>
        <w:rPr>
          <w:szCs w:val="26"/>
        </w:rPr>
        <w:t>the c</w:t>
      </w:r>
      <w:r w:rsidRPr="00435E96">
        <w:rPr>
          <w:szCs w:val="26"/>
        </w:rPr>
        <w:t>ity</w:t>
      </w:r>
      <w:r w:rsidR="00F80F30">
        <w:rPr>
          <w:szCs w:val="26"/>
        </w:rPr>
        <w:t>’</w:t>
      </w:r>
      <w:r w:rsidRPr="00435E96">
        <w:rPr>
          <w:szCs w:val="26"/>
        </w:rPr>
        <w:t xml:space="preserve">s actuary for </w:t>
      </w:r>
      <w:r>
        <w:rPr>
          <w:szCs w:val="26"/>
        </w:rPr>
        <w:t>its</w:t>
      </w:r>
      <w:r w:rsidRPr="00435E96">
        <w:rPr>
          <w:szCs w:val="26"/>
        </w:rPr>
        <w:t xml:space="preserve"> existing pension plan</w:t>
      </w:r>
      <w:r w:rsidR="00F80F30">
        <w:rPr>
          <w:szCs w:val="26"/>
        </w:rPr>
        <w:t>.  The firm used its</w:t>
      </w:r>
      <w:r>
        <w:rPr>
          <w:szCs w:val="26"/>
        </w:rPr>
        <w:t xml:space="preserve"> </w:t>
      </w:r>
      <w:r w:rsidRPr="00435E96">
        <w:rPr>
          <w:szCs w:val="26"/>
        </w:rPr>
        <w:t>access to the pension system database</w:t>
      </w:r>
      <w:r w:rsidR="00F80F30">
        <w:rPr>
          <w:szCs w:val="26"/>
        </w:rPr>
        <w:t xml:space="preserve"> to </w:t>
      </w:r>
      <w:r w:rsidRPr="00435E96">
        <w:rPr>
          <w:szCs w:val="26"/>
        </w:rPr>
        <w:t xml:space="preserve">provide a fiscal analysis of </w:t>
      </w:r>
      <w:r>
        <w:rPr>
          <w:szCs w:val="26"/>
        </w:rPr>
        <w:t xml:space="preserve">the </w:t>
      </w:r>
      <w:r w:rsidRPr="005F5ABC">
        <w:rPr>
          <w:szCs w:val="26"/>
        </w:rPr>
        <w:t>impacts of 401</w:t>
      </w:r>
      <w:r>
        <w:rPr>
          <w:szCs w:val="26"/>
        </w:rPr>
        <w:t>(k)</w:t>
      </w:r>
      <w:r w:rsidRPr="005F5ABC">
        <w:rPr>
          <w:szCs w:val="26"/>
        </w:rPr>
        <w:t xml:space="preserve"> plans for new employees</w:t>
      </w:r>
      <w:r w:rsidR="00F80F30">
        <w:rPr>
          <w:szCs w:val="26"/>
        </w:rPr>
        <w:t>.</w:t>
      </w:r>
    </w:p>
    <w:p w:rsidR="00DC7EAA" w:rsidP="00DC7EAA">
      <w:pPr>
        <w:spacing w:line="480" w:lineRule="atLeast"/>
      </w:pPr>
      <w:r>
        <w:tab/>
        <w:t>The</w:t>
      </w:r>
      <w:r w:rsidRPr="00F96F51" w:rsidR="00F96F51">
        <w:t xml:space="preserve"> </w:t>
      </w:r>
      <w:r w:rsidR="00F96F51">
        <w:t>pension reform</w:t>
      </w:r>
      <w:r>
        <w:t xml:space="preserve"> plan announced by DeMaio </w:t>
      </w:r>
      <w:r w:rsidR="00F96F51">
        <w:t>the previous</w:t>
      </w:r>
      <w:r>
        <w:t xml:space="preserve"> November differed in some respects from </w:t>
      </w:r>
      <w:r w:rsidR="00F96F51">
        <w:t>the Sanders</w:t>
      </w:r>
      <w:r>
        <w:t xml:space="preserve"> proposal.  DeMaio</w:t>
      </w:r>
      <w:r w:rsidR="00F96F51">
        <w:t>’</w:t>
      </w:r>
      <w:r>
        <w:t xml:space="preserve">s </w:t>
      </w:r>
      <w:r w:rsidR="003221E5">
        <w:t>plan</w:t>
      </w:r>
      <w:r>
        <w:t xml:space="preserve"> </w:t>
      </w:r>
      <w:r w:rsidR="00C54C05">
        <w:t>did not exempt police and</w:t>
      </w:r>
      <w:r>
        <w:t xml:space="preserve"> firefighters</w:t>
      </w:r>
      <w:r w:rsidR="00A55FCA">
        <w:t>,</w:t>
      </w:r>
      <w:r w:rsidR="00F96F51">
        <w:t xml:space="preserve"> and</w:t>
      </w:r>
      <w:r w:rsidR="003E0AFE">
        <w:t xml:space="preserve"> </w:t>
      </w:r>
      <w:r w:rsidR="00A55FCA">
        <w:t xml:space="preserve">it </w:t>
      </w:r>
      <w:r>
        <w:t xml:space="preserve">included a </w:t>
      </w:r>
      <w:r w:rsidR="00F96F51">
        <w:t xml:space="preserve">cap on pensionable pay.  </w:t>
      </w:r>
      <w:r>
        <w:t>Two local organizations, the Lincoln Club and the San Diego County Taxpayers Associ</w:t>
      </w:r>
      <w:r w:rsidR="00F96F51">
        <w:t>ation (</w:t>
      </w:r>
      <w:r w:rsidR="001E67C8">
        <w:t>Taxpayers Association</w:t>
      </w:r>
      <w:r w:rsidR="00F96F51">
        <w:t>), supported DeMaio’</w:t>
      </w:r>
      <w:r>
        <w:t>s plan</w:t>
      </w:r>
      <w:r w:rsidR="007B4BC3">
        <w:t xml:space="preserve"> because</w:t>
      </w:r>
      <w:r w:rsidR="00F96F51">
        <w:t xml:space="preserve"> </w:t>
      </w:r>
      <w:r w:rsidR="007B4BC3">
        <w:t xml:space="preserve">they considered it </w:t>
      </w:r>
      <w:r w:rsidR="003D358D">
        <w:t>stronger</w:t>
      </w:r>
      <w:r>
        <w:t xml:space="preserve"> </w:t>
      </w:r>
      <w:r w:rsidR="00C54C05">
        <w:t>than the mayor’s</w:t>
      </w:r>
      <w:r>
        <w:t>.</w:t>
      </w:r>
      <w:r w:rsidR="00C54C05">
        <w:t xml:space="preserve">  After the </w:t>
      </w:r>
      <w:r w:rsidR="00C06C0F">
        <w:t>s</w:t>
      </w:r>
      <w:r>
        <w:t xml:space="preserve">tate of the </w:t>
      </w:r>
      <w:r w:rsidR="00C06C0F">
        <w:t>c</w:t>
      </w:r>
      <w:r>
        <w:t xml:space="preserve">ity address, </w:t>
      </w:r>
      <w:r w:rsidR="00C54C05">
        <w:t>members of</w:t>
      </w:r>
      <w:r>
        <w:t xml:space="preserve"> the business and development community </w:t>
      </w:r>
      <w:r w:rsidR="00C54C05">
        <w:t>told</w:t>
      </w:r>
      <w:r>
        <w:t xml:space="preserve"> Sanders th</w:t>
      </w:r>
      <w:r w:rsidR="00C54C05">
        <w:t>at</w:t>
      </w:r>
      <w:r>
        <w:t xml:space="preserve"> competing </w:t>
      </w:r>
      <w:r w:rsidR="001E6406">
        <w:t>measures</w:t>
      </w:r>
      <w:r w:rsidR="00C54C05">
        <w:t xml:space="preserve"> </w:t>
      </w:r>
      <w:r>
        <w:t>would confus</w:t>
      </w:r>
      <w:r w:rsidR="001E6406">
        <w:t>e the voters</w:t>
      </w:r>
      <w:r w:rsidR="00A55FCA">
        <w:t>,</w:t>
      </w:r>
      <w:r w:rsidR="001E6406">
        <w:t xml:space="preserve"> </w:t>
      </w:r>
      <w:r>
        <w:t>and there would be in</w:t>
      </w:r>
      <w:r w:rsidR="003E0AFE">
        <w:t>sufficient</w:t>
      </w:r>
      <w:r>
        <w:t xml:space="preserve"> fund</w:t>
      </w:r>
      <w:r w:rsidR="00C54C05">
        <w:t>ing for</w:t>
      </w:r>
      <w:r>
        <w:t xml:space="preserve"> two citizen</w:t>
      </w:r>
      <w:r w:rsidR="009C7B05">
        <w:t>s’</w:t>
      </w:r>
      <w:r>
        <w:t xml:space="preserve"> initiatives.  Shortly after a March 2011 press conference at which Sanders presented </w:t>
      </w:r>
      <w:r w:rsidR="007B4BC3">
        <w:t>his latest</w:t>
      </w:r>
      <w:r>
        <w:t xml:space="preserve"> proposal, </w:t>
      </w:r>
      <w:r w:rsidR="00C54C05">
        <w:t>some of these individuals</w:t>
      </w:r>
      <w:r>
        <w:t xml:space="preserve"> told </w:t>
      </w:r>
      <w:r w:rsidR="00934DC1">
        <w:t>him</w:t>
      </w:r>
      <w:r>
        <w:t xml:space="preserve"> they were </w:t>
      </w:r>
      <w:r w:rsidR="00C54C05">
        <w:t>backing DeMaio’</w:t>
      </w:r>
      <w:r>
        <w:t xml:space="preserve">s plan because it had </w:t>
      </w:r>
      <w:r w:rsidR="003E0AFE">
        <w:t>enough</w:t>
      </w:r>
      <w:r>
        <w:t xml:space="preserve"> </w:t>
      </w:r>
      <w:r w:rsidR="00C54C05">
        <w:t>funding</w:t>
      </w:r>
      <w:r>
        <w:t xml:space="preserve"> to </w:t>
      </w:r>
      <w:r w:rsidR="009C7B05">
        <w:t>appear</w:t>
      </w:r>
      <w:r w:rsidR="00A55FCA">
        <w:t xml:space="preserve"> on</w:t>
      </w:r>
      <w:r>
        <w:t xml:space="preserve"> the ballot</w:t>
      </w:r>
      <w:r w:rsidR="00C54C05">
        <w:t>.  They said</w:t>
      </w:r>
      <w:r>
        <w:t xml:space="preserve"> Sanders could either join them or </w:t>
      </w:r>
      <w:r w:rsidR="00C54C05">
        <w:t xml:space="preserve">proceed </w:t>
      </w:r>
      <w:r>
        <w:t xml:space="preserve">on his own.  </w:t>
      </w:r>
      <w:r w:rsidR="007B4BC3">
        <w:t>A</w:t>
      </w:r>
      <w:r>
        <w:t xml:space="preserve"> series of meetings between supporte</w:t>
      </w:r>
      <w:r w:rsidR="00C54C05">
        <w:t>rs of the competing proposals</w:t>
      </w:r>
      <w:r w:rsidR="007B4BC3">
        <w:t xml:space="preserve"> followed.  S</w:t>
      </w:r>
      <w:r w:rsidR="00D55A2A">
        <w:t>anders, his chief of staff, and Goldstone</w:t>
      </w:r>
      <w:r w:rsidR="00F80F30">
        <w:t>, the</w:t>
      </w:r>
      <w:r w:rsidRPr="00F80F30" w:rsidR="00F80F30">
        <w:t xml:space="preserve"> </w:t>
      </w:r>
      <w:r w:rsidR="00F80F30">
        <w:t xml:space="preserve">city’s </w:t>
      </w:r>
      <w:r w:rsidR="003F1CB8">
        <w:t>c</w:t>
      </w:r>
      <w:r w:rsidR="00F80F30">
        <w:t xml:space="preserve">hief </w:t>
      </w:r>
      <w:r w:rsidR="003F1CB8">
        <w:t>o</w:t>
      </w:r>
      <w:r w:rsidR="00F80F30">
        <w:t xml:space="preserve">perating </w:t>
      </w:r>
      <w:r w:rsidR="003F1CB8">
        <w:t>o</w:t>
      </w:r>
      <w:r w:rsidR="00F80F30">
        <w:t>fficer</w:t>
      </w:r>
      <w:r w:rsidR="007B4BC3">
        <w:t>, participated in the negotiations</w:t>
      </w:r>
      <w:r w:rsidR="00D55A2A">
        <w:t>.  Ultimately</w:t>
      </w:r>
      <w:r w:rsidR="009C7B05">
        <w:t>,</w:t>
      </w:r>
      <w:r w:rsidR="00D55A2A">
        <w:t xml:space="preserve"> t</w:t>
      </w:r>
      <w:r>
        <w:t>he</w:t>
      </w:r>
      <w:r w:rsidR="00204A85">
        <w:t xml:space="preserve"> two sides</w:t>
      </w:r>
      <w:r w:rsidR="003D358D">
        <w:t xml:space="preserve"> reached an accord that </w:t>
      </w:r>
      <w:r>
        <w:t xml:space="preserve">melded elements of </w:t>
      </w:r>
      <w:r w:rsidR="003D358D">
        <w:t>both</w:t>
      </w:r>
      <w:r w:rsidR="00C54C05">
        <w:t xml:space="preserve"> plans</w:t>
      </w:r>
      <w:r w:rsidR="00333CE3">
        <w:t>.  N</w:t>
      </w:r>
      <w:r>
        <w:t xml:space="preserve">ewly hired police </w:t>
      </w:r>
      <w:r w:rsidR="009C7B05">
        <w:t xml:space="preserve">officers </w:t>
      </w:r>
      <w:r>
        <w:t xml:space="preserve">would continue </w:t>
      </w:r>
      <w:r w:rsidR="00204A85">
        <w:t>to have</w:t>
      </w:r>
      <w:r>
        <w:t xml:space="preserve"> a defined benefit pension plan</w:t>
      </w:r>
      <w:r w:rsidR="00C54C05">
        <w:t xml:space="preserve">, but newly </w:t>
      </w:r>
      <w:r>
        <w:t xml:space="preserve">hired firefighters would </w:t>
      </w:r>
      <w:r w:rsidR="007B4BC3">
        <w:t xml:space="preserve">receive </w:t>
      </w:r>
      <w:r w:rsidR="00341F11">
        <w:t>a</w:t>
      </w:r>
      <w:r>
        <w:t xml:space="preserve"> 401(k)-style plan</w:t>
      </w:r>
      <w:r w:rsidR="00204A85">
        <w:t xml:space="preserve"> </w:t>
      </w:r>
      <w:r w:rsidR="002D4AF0">
        <w:t>like</w:t>
      </w:r>
      <w:r w:rsidR="00204A85">
        <w:t xml:space="preserve"> other new employees</w:t>
      </w:r>
      <w:r>
        <w:t xml:space="preserve">.  </w:t>
      </w:r>
      <w:r w:rsidR="00333CE3">
        <w:t>A</w:t>
      </w:r>
      <w:r>
        <w:t xml:space="preserve"> </w:t>
      </w:r>
      <w:r w:rsidR="00333CE3">
        <w:t xml:space="preserve">freeze on </w:t>
      </w:r>
      <w:r>
        <w:t xml:space="preserve">pensionable pay would be subject to the meet-and-confer process and could be overridden by a two-thirds majority of the </w:t>
      </w:r>
      <w:r w:rsidR="003F1CB8">
        <w:t>c</w:t>
      </w:r>
      <w:r>
        <w:t xml:space="preserve">ity </w:t>
      </w:r>
      <w:r w:rsidR="003F1CB8">
        <w:t>c</w:t>
      </w:r>
      <w:r>
        <w:t xml:space="preserve">ouncil, but there would be no </w:t>
      </w:r>
      <w:r w:rsidR="00F864EF">
        <w:t xml:space="preserve">payroll </w:t>
      </w:r>
      <w:r>
        <w:t xml:space="preserve">cap.  Sanders called the negotiations </w:t>
      </w:r>
      <w:r w:rsidR="00333CE3">
        <w:t>“difficult”</w:t>
      </w:r>
      <w:r>
        <w:t xml:space="preserve"> and testified</w:t>
      </w:r>
      <w:r w:rsidR="00333CE3">
        <w:t xml:space="preserve"> that</w:t>
      </w:r>
      <w:r>
        <w:t xml:space="preserve"> he did not like every part of the new proposal, </w:t>
      </w:r>
      <w:r w:rsidR="003221E5">
        <w:t>but</w:t>
      </w:r>
      <w:r>
        <w:t xml:space="preserve"> supported it because it was </w:t>
      </w:r>
      <w:r w:rsidR="00333CE3">
        <w:t>“</w:t>
      </w:r>
      <w:r>
        <w:t>important for the City in the long run.</w:t>
      </w:r>
      <w:r w:rsidR="00333CE3">
        <w:t xml:space="preserve">”  </w:t>
      </w:r>
      <w:r w:rsidR="0060357B">
        <w:t>Taxpayers Association</w:t>
      </w:r>
      <w:r>
        <w:t xml:space="preserve"> </w:t>
      </w:r>
      <w:r w:rsidR="00204A85">
        <w:t xml:space="preserve">hired a </w:t>
      </w:r>
      <w:r>
        <w:t xml:space="preserve">law firm </w:t>
      </w:r>
      <w:r w:rsidR="00204A85">
        <w:t>t</w:t>
      </w:r>
      <w:r>
        <w:t xml:space="preserve">o draft the </w:t>
      </w:r>
      <w:r w:rsidR="00333CE3">
        <w:t>initiative measure</w:t>
      </w:r>
      <w:r w:rsidR="00204A85">
        <w:t xml:space="preserve">, </w:t>
      </w:r>
      <w:r w:rsidR="002D4AF0">
        <w:t>using</w:t>
      </w:r>
      <w:r>
        <w:t xml:space="preserve"> the DeMaio </w:t>
      </w:r>
      <w:r w:rsidR="004301AD">
        <w:t>proposal</w:t>
      </w:r>
      <w:r>
        <w:t xml:space="preserve"> as </w:t>
      </w:r>
      <w:r w:rsidR="00333CE3">
        <w:t>a</w:t>
      </w:r>
      <w:r>
        <w:t xml:space="preserve"> starting point</w:t>
      </w:r>
      <w:r w:rsidR="00333CE3">
        <w:t xml:space="preserve">. </w:t>
      </w:r>
      <w:r>
        <w:t xml:space="preserve"> </w:t>
      </w:r>
      <w:r w:rsidR="00F80F30">
        <w:t xml:space="preserve">Goldstone and the mayor’s chief of staff reviewed drafts and provided </w:t>
      </w:r>
      <w:r w:rsidR="00C87ACD">
        <w:t>comments</w:t>
      </w:r>
      <w:r w:rsidR="00F80F30">
        <w:t xml:space="preserve">.  </w:t>
      </w:r>
      <w:r w:rsidR="002D4AF0">
        <w:t xml:space="preserve">City Attorney </w:t>
      </w:r>
      <w:r w:rsidR="00BC5902">
        <w:t xml:space="preserve">Goldsmith also reviewed and weighed in on the proposal.  </w:t>
      </w:r>
      <w:r w:rsidR="003B1E2C">
        <w:t>After</w:t>
      </w:r>
      <w:r w:rsidR="00333CE3">
        <w:t xml:space="preserve"> </w:t>
      </w:r>
      <w:r>
        <w:t>relatively few revisions</w:t>
      </w:r>
      <w:r w:rsidR="00333CE3">
        <w:t>, the resulting measure was titled the “Citizens’ Pension Reform Initiative” (</w:t>
      </w:r>
      <w:r w:rsidR="001143F9">
        <w:t>the Initiative</w:t>
      </w:r>
      <w:r w:rsidR="00333CE3">
        <w:t>)</w:t>
      </w:r>
      <w:r>
        <w:t xml:space="preserve">. </w:t>
      </w:r>
    </w:p>
    <w:p w:rsidR="00914F01" w:rsidP="009833EB">
      <w:pPr>
        <w:spacing w:line="480" w:lineRule="atLeast"/>
      </w:pPr>
      <w:r>
        <w:tab/>
      </w:r>
      <w:r w:rsidR="009833EB">
        <w:t>I</w:t>
      </w:r>
      <w:r>
        <w:t>n April 2011, a</w:t>
      </w:r>
      <w:r w:rsidR="003B1E2C">
        <w:t xml:space="preserve"> notice of intent to circulate the Initiative</w:t>
      </w:r>
      <w:r>
        <w:t xml:space="preserve"> petition </w:t>
      </w:r>
      <w:r w:rsidR="003B1E2C">
        <w:t>was filed</w:t>
      </w:r>
      <w:r>
        <w:t xml:space="preserve">.  The proponents were </w:t>
      </w:r>
      <w:r w:rsidR="009C7B05">
        <w:t xml:space="preserve">petitioners </w:t>
      </w:r>
      <w:r>
        <w:t xml:space="preserve">Catherine A. Boling, T.J. Zane, and Stephen Williams. </w:t>
      </w:r>
      <w:r w:rsidR="00333CE3">
        <w:t xml:space="preserve"> </w:t>
      </w:r>
      <w:r w:rsidR="00BC5902">
        <w:t xml:space="preserve">Zane and Williams were leaders of the Lincoln Club.  </w:t>
      </w:r>
      <w:r w:rsidR="004C4F8E">
        <w:t xml:space="preserve">Boling was treasurer of </w:t>
      </w:r>
      <w:r w:rsidR="009C7B05">
        <w:t xml:space="preserve">the </w:t>
      </w:r>
      <w:r w:rsidR="004C4F8E">
        <w:t xml:space="preserve">San Diegans for Pension Reform.  </w:t>
      </w:r>
      <w:r w:rsidR="009833EB">
        <w:t>The next day</w:t>
      </w:r>
      <w:r w:rsidR="009C7B05">
        <w:t>,</w:t>
      </w:r>
      <w:r w:rsidR="009833EB">
        <w:t xml:space="preserve"> Sanders, DeMaio, Goldsmith, Faulconer, Boling, and Zane held a press conference </w:t>
      </w:r>
      <w:r w:rsidR="003221E5">
        <w:t>to</w:t>
      </w:r>
      <w:r w:rsidR="009833EB">
        <w:t xml:space="preserve"> announce</w:t>
      </w:r>
      <w:r w:rsidR="00204A85">
        <w:t xml:space="preserve"> the filing.  </w:t>
      </w:r>
      <w:r w:rsidR="009833EB">
        <w:t xml:space="preserve">Sanders supported the </w:t>
      </w:r>
      <w:r w:rsidR="00457752">
        <w:t xml:space="preserve">signature-gathering </w:t>
      </w:r>
      <w:r w:rsidR="009833EB">
        <w:t>campaign.  He touted its importance</w:t>
      </w:r>
      <w:r w:rsidR="002D4AF0">
        <w:t xml:space="preserve"> in</w:t>
      </w:r>
      <w:r w:rsidR="009833EB">
        <w:t xml:space="preserve"> interviews</w:t>
      </w:r>
      <w:r w:rsidR="002D4AF0">
        <w:t>, in</w:t>
      </w:r>
      <w:r w:rsidR="009833EB">
        <w:t xml:space="preserve"> </w:t>
      </w:r>
      <w:r w:rsidR="00457752">
        <w:t xml:space="preserve">media </w:t>
      </w:r>
      <w:r w:rsidR="00874FEC">
        <w:t>statements</w:t>
      </w:r>
      <w:r w:rsidR="002D4AF0">
        <w:t>,</w:t>
      </w:r>
      <w:r w:rsidR="009833EB">
        <w:t xml:space="preserve"> and at speaking appearances.  </w:t>
      </w:r>
      <w:r>
        <w:t xml:space="preserve">The </w:t>
      </w:r>
      <w:r w:rsidR="001143F9">
        <w:t>Initiative</w:t>
      </w:r>
      <w:r>
        <w:t xml:space="preserve"> appeared in “bullet points” prepared for the mayor’s engagements with various groups.  </w:t>
      </w:r>
      <w:r w:rsidR="00204A85">
        <w:t>He</w:t>
      </w:r>
      <w:r>
        <w:t xml:space="preserve"> approved a “m</w:t>
      </w:r>
      <w:r w:rsidRPr="00722605">
        <w:t>essage from Mayor</w:t>
      </w:r>
      <w:r>
        <w:t xml:space="preserve"> Jerry Sanders” for circulation to </w:t>
      </w:r>
      <w:r w:rsidRPr="00722605">
        <w:t>the San Diego Regional Chamber of</w:t>
      </w:r>
      <w:r>
        <w:t xml:space="preserve"> </w:t>
      </w:r>
      <w:r w:rsidRPr="00722605">
        <w:t>Commerce</w:t>
      </w:r>
      <w:r>
        <w:t xml:space="preserve">, </w:t>
      </w:r>
      <w:r w:rsidRPr="00722605">
        <w:t>solicit</w:t>
      </w:r>
      <w:r>
        <w:t>ing</w:t>
      </w:r>
      <w:r w:rsidRPr="00722605">
        <w:t xml:space="preserve"> </w:t>
      </w:r>
      <w:r w:rsidR="00D85AE1">
        <w:t>their assistance in</w:t>
      </w:r>
      <w:r w:rsidRPr="00722605">
        <w:t xml:space="preserve"> </w:t>
      </w:r>
      <w:r w:rsidRPr="00722605" w:rsidR="00874FEC">
        <w:t>gathering</w:t>
      </w:r>
      <w:r w:rsidR="00874FEC">
        <w:t xml:space="preserve"> </w:t>
      </w:r>
      <w:r w:rsidRPr="00722605">
        <w:t>signature</w:t>
      </w:r>
      <w:r w:rsidR="00874FEC">
        <w:t>s</w:t>
      </w:r>
      <w:r>
        <w:t>.  Members of his staff</w:t>
      </w:r>
      <w:r w:rsidRPr="00D85AE1" w:rsidR="00D85AE1">
        <w:t xml:space="preserve"> </w:t>
      </w:r>
      <w:r w:rsidR="00D85AE1">
        <w:t>provided services</w:t>
      </w:r>
      <w:r>
        <w:t xml:space="preserve"> </w:t>
      </w:r>
      <w:r w:rsidR="00D85AE1">
        <w:t>in support of</w:t>
      </w:r>
      <w:r>
        <w:t xml:space="preserve"> the </w:t>
      </w:r>
      <w:r w:rsidR="001143F9">
        <w:t>Initiative</w:t>
      </w:r>
      <w:r w:rsidR="00D85AE1">
        <w:t>,</w:t>
      </w:r>
      <w:r w:rsidR="00BC5902">
        <w:t xml:space="preserve"> such as</w:t>
      </w:r>
      <w:r>
        <w:t xml:space="preserve"> responding to</w:t>
      </w:r>
      <w:r w:rsidRPr="002761C2" w:rsidR="002761C2">
        <w:t xml:space="preserve"> </w:t>
      </w:r>
      <w:r w:rsidR="002761C2">
        <w:t>media requests</w:t>
      </w:r>
      <w:r>
        <w:t>.</w:t>
      </w:r>
    </w:p>
    <w:p w:rsidR="00DC7EAA" w:rsidP="00BC5902">
      <w:pPr>
        <w:spacing w:line="480" w:lineRule="atLeast"/>
        <w:ind w:firstLine="720"/>
      </w:pPr>
      <w:r>
        <w:t>T</w:t>
      </w:r>
      <w:r w:rsidR="009833EB">
        <w:t>he committee formed to promot</w:t>
      </w:r>
      <w:r w:rsidR="00A12949">
        <w:t>e the original Sanders proposal</w:t>
      </w:r>
      <w:r w:rsidR="009833EB">
        <w:t xml:space="preserve"> contributed $89,000 and </w:t>
      </w:r>
      <w:r w:rsidR="002761C2">
        <w:t xml:space="preserve">other </w:t>
      </w:r>
      <w:r w:rsidR="009833EB">
        <w:t xml:space="preserve">nonmonetary support to the </w:t>
      </w:r>
      <w:r w:rsidR="001143F9">
        <w:t>Initiative</w:t>
      </w:r>
      <w:r w:rsidRPr="00B26851" w:rsidR="00B26851">
        <w:t xml:space="preserve"> </w:t>
      </w:r>
      <w:r w:rsidR="00341F11">
        <w:t>effort</w:t>
      </w:r>
      <w:r w:rsidR="009833EB">
        <w:t xml:space="preserve">.  </w:t>
      </w:r>
      <w:r w:rsidR="00BC5902">
        <w:t>The p</w:t>
      </w:r>
      <w:r w:rsidR="00B26851">
        <w:t>roponents gathered sufficient</w:t>
      </w:r>
      <w:r w:rsidR="009833EB">
        <w:t xml:space="preserve"> </w:t>
      </w:r>
      <w:r>
        <w:t>signatures</w:t>
      </w:r>
      <w:r w:rsidR="00BC5902">
        <w:t>,</w:t>
      </w:r>
      <w:r>
        <w:t xml:space="preserve"> and the </w:t>
      </w:r>
      <w:r w:rsidR="009833EB">
        <w:t>registrar of voters</w:t>
      </w:r>
      <w:r>
        <w:t xml:space="preserve"> </w:t>
      </w:r>
      <w:r w:rsidR="009833EB">
        <w:t>certified the measure</w:t>
      </w:r>
      <w:r w:rsidRPr="00B26851" w:rsidR="00B26851">
        <w:t xml:space="preserve"> </w:t>
      </w:r>
      <w:r w:rsidR="00B26851">
        <w:t>in November 2011</w:t>
      </w:r>
      <w:r>
        <w:t xml:space="preserve">.  </w:t>
      </w:r>
      <w:r w:rsidR="006F235C">
        <w:t>T</w:t>
      </w:r>
      <w:r>
        <w:t xml:space="preserve">he </w:t>
      </w:r>
      <w:r>
        <w:t>c</w:t>
      </w:r>
      <w:r>
        <w:t xml:space="preserve">ity </w:t>
      </w:r>
      <w:r>
        <w:t>c</w:t>
      </w:r>
      <w:r>
        <w:t>ouncil</w:t>
      </w:r>
      <w:r w:rsidR="006F235C">
        <w:t xml:space="preserve"> then</w:t>
      </w:r>
      <w:r>
        <w:t xml:space="preserve"> passed a resolution of intent to place the </w:t>
      </w:r>
      <w:r w:rsidR="001143F9">
        <w:t>Initiative</w:t>
      </w:r>
      <w:r>
        <w:t xml:space="preserve"> on the June </w:t>
      </w:r>
      <w:r w:rsidR="009833EB">
        <w:t>2012</w:t>
      </w:r>
      <w:r>
        <w:t xml:space="preserve"> election ballot.</w:t>
      </w:r>
    </w:p>
    <w:p w:rsidR="00DC7EAA" w:rsidP="00DC7EAA">
      <w:pPr>
        <w:spacing w:line="480" w:lineRule="atLeast"/>
      </w:pPr>
      <w:r>
        <w:tab/>
      </w:r>
      <w:r w:rsidR="009833EB">
        <w:t>Meanwhile, in</w:t>
      </w:r>
      <w:r>
        <w:t xml:space="preserve"> July </w:t>
      </w:r>
      <w:r w:rsidR="009833EB">
        <w:t>2011</w:t>
      </w:r>
      <w:r>
        <w:t xml:space="preserve"> the San Diego Municipal Employees Association (</w:t>
      </w:r>
      <w:r w:rsidR="00B848DF">
        <w:t>Union</w:t>
      </w:r>
      <w:r>
        <w:t>) wrote to Sanders</w:t>
      </w:r>
      <w:r w:rsidR="009833EB">
        <w:t>,</w:t>
      </w:r>
      <w:r>
        <w:t xml:space="preserve"> </w:t>
      </w:r>
      <w:r w:rsidR="009833EB">
        <w:t>claim</w:t>
      </w:r>
      <w:r>
        <w:t xml:space="preserve">ing </w:t>
      </w:r>
      <w:r w:rsidR="00A12949">
        <w:t>the c</w:t>
      </w:r>
      <w:r>
        <w:t xml:space="preserve">ity had </w:t>
      </w:r>
      <w:r w:rsidR="009833EB">
        <w:t>an</w:t>
      </w:r>
      <w:r>
        <w:t xml:space="preserve"> obligation under the MMBA to meet and confer over the </w:t>
      </w:r>
      <w:r w:rsidR="001143F9">
        <w:t>Initiative</w:t>
      </w:r>
      <w:r>
        <w:t xml:space="preserve">.  When Sanders did not respond, </w:t>
      </w:r>
      <w:r w:rsidR="00B848DF">
        <w:t>the Union</w:t>
      </w:r>
      <w:r>
        <w:t xml:space="preserve"> wrote a second letter demanding </w:t>
      </w:r>
      <w:r w:rsidR="006C757A">
        <w:t>that the c</w:t>
      </w:r>
      <w:r>
        <w:t xml:space="preserve">ity satisfy its meet-and-confer obligations.  City Attorney Goldsmith responded </w:t>
      </w:r>
      <w:r w:rsidR="006C757A">
        <w:t xml:space="preserve">that state election law required the </w:t>
      </w:r>
      <w:r w:rsidR="00A12949">
        <w:t>c</w:t>
      </w:r>
      <w:r w:rsidR="006C757A">
        <w:t xml:space="preserve">ity </w:t>
      </w:r>
      <w:r w:rsidR="00A12949">
        <w:t>c</w:t>
      </w:r>
      <w:r w:rsidR="006C757A">
        <w:t xml:space="preserve">ouncil </w:t>
      </w:r>
      <w:r>
        <w:t xml:space="preserve">to place the </w:t>
      </w:r>
      <w:r w:rsidR="001143F9">
        <w:t>Initiative</w:t>
      </w:r>
      <w:r>
        <w:t xml:space="preserve"> on the ballot </w:t>
      </w:r>
      <w:r w:rsidR="006C757A">
        <w:t>without modification</w:t>
      </w:r>
      <w:r w:rsidR="00AF27F7">
        <w:t>,</w:t>
      </w:r>
      <w:r w:rsidR="006C757A">
        <w:t xml:space="preserve"> </w:t>
      </w:r>
      <w:r w:rsidR="00AF27F7">
        <w:t>so long as the proponents</w:t>
      </w:r>
      <w:r>
        <w:t xml:space="preserve"> met the procedural requirements for a citizen</w:t>
      </w:r>
      <w:r w:rsidR="00AF27F7">
        <w:t>s’</w:t>
      </w:r>
      <w:r>
        <w:t xml:space="preserve"> initiative.  Goldsmith explained that, </w:t>
      </w:r>
      <w:r w:rsidR="006C757A">
        <w:t>“</w:t>
      </w:r>
      <w:r>
        <w:t xml:space="preserve">[a]ssuming the proponents </w:t>
      </w:r>
      <w:r w:rsidR="006F235C">
        <w:t>. . .</w:t>
      </w:r>
      <w:r>
        <w:t xml:space="preserve"> obtain the requisite number of signatures on their petition and meet all other legal requirements, there will be no determination of policy or course of action by the City Council, within the meaning of the MMBA, triggering a duty to meet and confer in the act of placing the citizen initiative on the ballot.</w:t>
      </w:r>
      <w:r w:rsidR="006C757A">
        <w:t>”</w:t>
      </w:r>
    </w:p>
    <w:p w:rsidR="00DC7EAA" w:rsidP="00DC7EAA">
      <w:pPr>
        <w:spacing w:line="480" w:lineRule="atLeast"/>
      </w:pPr>
      <w:r>
        <w:tab/>
      </w:r>
      <w:r w:rsidR="006F235C">
        <w:t>The Union</w:t>
      </w:r>
      <w:r w:rsidR="003E0AFE">
        <w:t xml:space="preserve"> responded that</w:t>
      </w:r>
      <w:r>
        <w:t xml:space="preserve"> </w:t>
      </w:r>
      <w:r w:rsidR="00D85AE1">
        <w:t>the c</w:t>
      </w:r>
      <w:r>
        <w:t xml:space="preserve">ity was </w:t>
      </w:r>
      <w:r w:rsidR="003E0AFE">
        <w:t>required</w:t>
      </w:r>
      <w:r>
        <w:t xml:space="preserve"> to meet and confer because Sanders was acting</w:t>
      </w:r>
      <w:r w:rsidR="00BC5902">
        <w:t xml:space="preserve"> in his capacity</w:t>
      </w:r>
      <w:r>
        <w:t xml:space="preserve"> as </w:t>
      </w:r>
      <w:r w:rsidR="003E0AFE">
        <w:t>m</w:t>
      </w:r>
      <w:r>
        <w:t xml:space="preserve">ayor to promote the </w:t>
      </w:r>
      <w:r w:rsidR="001143F9">
        <w:t>Initiative</w:t>
      </w:r>
      <w:r w:rsidR="00BC5902">
        <w:t>,</w:t>
      </w:r>
      <w:r>
        <w:t xml:space="preserve"> and </w:t>
      </w:r>
      <w:r w:rsidR="003E0AFE">
        <w:t>thus</w:t>
      </w:r>
      <w:r>
        <w:t xml:space="preserve"> </w:t>
      </w:r>
      <w:r w:rsidR="003E0AFE">
        <w:t>“</w:t>
      </w:r>
      <w:r>
        <w:t xml:space="preserve">has clearly made a determination of policy </w:t>
      </w:r>
      <w:r w:rsidRPr="008D1AC6">
        <w:rPr>
          <w:i/>
        </w:rPr>
        <w:t>for this City</w:t>
      </w:r>
      <w:r>
        <w:t xml:space="preserve"> related to mandatory subjects of bargaining . . . .</w:t>
      </w:r>
      <w:r w:rsidR="003E0AFE">
        <w:t>”</w:t>
      </w:r>
      <w:r>
        <w:t xml:space="preserve">  </w:t>
      </w:r>
      <w:r w:rsidR="006F235C">
        <w:t>The Union</w:t>
      </w:r>
      <w:r>
        <w:t xml:space="preserve"> </w:t>
      </w:r>
      <w:r w:rsidR="003E0AFE">
        <w:t>claimed</w:t>
      </w:r>
      <w:r>
        <w:t xml:space="preserve"> Sanders was using the pretense </w:t>
      </w:r>
      <w:r w:rsidR="006F235C">
        <w:t>of a “ </w:t>
      </w:r>
      <w:r w:rsidR="003E0AFE">
        <w:t>‘</w:t>
      </w:r>
      <w:r>
        <w:t>citizens</w:t>
      </w:r>
      <w:r w:rsidR="003E0AFE">
        <w:t>’</w:t>
      </w:r>
      <w:r>
        <w:t xml:space="preserve"> initiative</w:t>
      </w:r>
      <w:r w:rsidR="003E0AFE">
        <w:t>’</w:t>
      </w:r>
      <w:r w:rsidR="002F4BC9">
        <w:t> ”</w:t>
      </w:r>
      <w:r>
        <w:t xml:space="preserve"> </w:t>
      </w:r>
      <w:r w:rsidR="002F4BC9">
        <w:t>as</w:t>
      </w:r>
      <w:r>
        <w:t xml:space="preserve"> a deliberate tactic to </w:t>
      </w:r>
      <w:r w:rsidR="003E0AFE">
        <w:t>“</w:t>
      </w:r>
      <w:r>
        <w:t>dodge the City</w:t>
      </w:r>
      <w:r w:rsidR="003E0AFE">
        <w:t>’</w:t>
      </w:r>
      <w:r>
        <w:t>s obligations under the MMBA.</w:t>
      </w:r>
      <w:r w:rsidR="003E0AFE">
        <w:t>”</w:t>
      </w:r>
      <w:r>
        <w:t xml:space="preserve">  </w:t>
      </w:r>
      <w:r w:rsidR="00AF27F7">
        <w:t>Goldsmith</w:t>
      </w:r>
      <w:r w:rsidR="003E0AFE">
        <w:t>’</w:t>
      </w:r>
      <w:r>
        <w:t xml:space="preserve">s office </w:t>
      </w:r>
      <w:r w:rsidR="003E0AFE">
        <w:t>replied that the c</w:t>
      </w:r>
      <w:r>
        <w:t xml:space="preserve">ity had no meet-and-confer obligations </w:t>
      </w:r>
      <w:r w:rsidR="003E0AFE">
        <w:t>“</w:t>
      </w:r>
      <w:r>
        <w:t>at this point in the process</w:t>
      </w:r>
      <w:r w:rsidR="003E0AFE">
        <w:t>”</w:t>
      </w:r>
      <w:r>
        <w:t xml:space="preserve"> because </w:t>
      </w:r>
      <w:r w:rsidR="003E0AFE">
        <w:t>“</w:t>
      </w:r>
      <w:r>
        <w:t>there is no legal basis upon which the City Council can modify the [</w:t>
      </w:r>
      <w:r w:rsidR="001143F9">
        <w:t>Initiative</w:t>
      </w:r>
      <w:r>
        <w:t>], if it qualifies for the ballot</w:t>
      </w:r>
      <w:r w:rsidR="00FC3F3A">
        <w:t>.”</w:t>
      </w:r>
      <w:r>
        <w:t xml:space="preserve"> </w:t>
      </w:r>
      <w:r w:rsidR="00FC3F3A">
        <w:t xml:space="preserve"> I</w:t>
      </w:r>
      <w:r>
        <w:t>nstead</w:t>
      </w:r>
      <w:r w:rsidR="00FC3F3A">
        <w:t>,</w:t>
      </w:r>
      <w:r>
        <w:t xml:space="preserve"> the </w:t>
      </w:r>
      <w:r w:rsidR="00FC3F3A">
        <w:t>c</w:t>
      </w:r>
      <w:r>
        <w:t xml:space="preserve">ouncil </w:t>
      </w:r>
      <w:r w:rsidR="002F4BC9">
        <w:t xml:space="preserve">had to </w:t>
      </w:r>
      <w:r>
        <w:t xml:space="preserve">place the </w:t>
      </w:r>
      <w:r w:rsidR="001143F9">
        <w:t>Initiative</w:t>
      </w:r>
      <w:r>
        <w:t xml:space="preserve"> on the ballot if it met the </w:t>
      </w:r>
      <w:r w:rsidR="002F4BC9">
        <w:t xml:space="preserve">Elections Code </w:t>
      </w:r>
      <w:r>
        <w:t xml:space="preserve">requirements. </w:t>
      </w:r>
      <w:r w:rsidR="00FC3F3A">
        <w:t xml:space="preserve"> </w:t>
      </w:r>
      <w:r w:rsidR="002F4BC9">
        <w:t>T</w:t>
      </w:r>
      <w:r w:rsidR="00BC5902">
        <w:t>he c</w:t>
      </w:r>
      <w:r w:rsidR="00FC3F3A">
        <w:t>ity</w:t>
      </w:r>
      <w:r w:rsidR="002F4BC9">
        <w:t xml:space="preserve"> accordingly</w:t>
      </w:r>
      <w:r w:rsidR="00FC3F3A">
        <w:t xml:space="preserve"> declined </w:t>
      </w:r>
      <w:r>
        <w:t xml:space="preserve">to meet and confer. </w:t>
      </w:r>
      <w:r w:rsidR="009F78FD">
        <w:t xml:space="preserve"> Subseq</w:t>
      </w:r>
      <w:r w:rsidR="006B1F75">
        <w:t xml:space="preserve">uent demands by the </w:t>
      </w:r>
      <w:r w:rsidR="006F235C">
        <w:t xml:space="preserve">Union </w:t>
      </w:r>
      <w:r w:rsidR="006B1F75">
        <w:t xml:space="preserve">and other employee </w:t>
      </w:r>
      <w:r w:rsidR="002F4BC9">
        <w:t>groups</w:t>
      </w:r>
      <w:r w:rsidR="006B1F75">
        <w:t xml:space="preserve"> were rejected for similar reasons.</w:t>
      </w:r>
    </w:p>
    <w:p w:rsidR="00FE7CF6" w:rsidP="00FE7CF6">
      <w:pPr>
        <w:spacing w:line="480" w:lineRule="atLeast"/>
      </w:pPr>
      <w:r>
        <w:tab/>
      </w:r>
      <w:r w:rsidR="006F235C">
        <w:t xml:space="preserve">The Union </w:t>
      </w:r>
      <w:r>
        <w:t xml:space="preserve">filed </w:t>
      </w:r>
      <w:r w:rsidR="00FC3F3A">
        <w:t>an</w:t>
      </w:r>
      <w:r>
        <w:t xml:space="preserve"> unfair practice charge </w:t>
      </w:r>
      <w:r w:rsidR="00FC3F3A">
        <w:t>i</w:t>
      </w:r>
      <w:r>
        <w:t>n January</w:t>
      </w:r>
      <w:r w:rsidR="00FC3F3A">
        <w:t xml:space="preserve"> </w:t>
      </w:r>
      <w:r>
        <w:t>2012</w:t>
      </w:r>
      <w:r w:rsidR="00D85AE1">
        <w:t xml:space="preserve"> based on</w:t>
      </w:r>
      <w:r w:rsidR="00FC3F3A">
        <w:t xml:space="preserve"> the c</w:t>
      </w:r>
      <w:r>
        <w:t>ity</w:t>
      </w:r>
      <w:r w:rsidR="00D85AE1">
        <w:t xml:space="preserve">’s </w:t>
      </w:r>
      <w:r>
        <w:t>refus</w:t>
      </w:r>
      <w:r w:rsidR="00D85AE1">
        <w:t>al</w:t>
      </w:r>
      <w:r>
        <w:t xml:space="preserve"> to meet and confer</w:t>
      </w:r>
      <w:r w:rsidR="00B26851">
        <w:t>, calling</w:t>
      </w:r>
      <w:r>
        <w:t xml:space="preserve"> the </w:t>
      </w:r>
      <w:r w:rsidR="001143F9">
        <w:t>Initiative</w:t>
      </w:r>
      <w:r w:rsidR="00B364BD">
        <w:t xml:space="preserve"> </w:t>
      </w:r>
      <w:r w:rsidR="00FC3F3A">
        <w:t>“a sham device which City’</w:t>
      </w:r>
      <w:r>
        <w:t xml:space="preserve">s </w:t>
      </w:r>
      <w:r w:rsidR="00FC3F3A">
        <w:t>‘</w:t>
      </w:r>
      <w:r>
        <w:t>Strong Mayor</w:t>
      </w:r>
      <w:r w:rsidR="00FC3F3A">
        <w:t>’</w:t>
      </w:r>
      <w:r>
        <w:t xml:space="preserve"> has used for the express purpose of avoiding City</w:t>
      </w:r>
      <w:r w:rsidR="00FC3F3A">
        <w:t>’</w:t>
      </w:r>
      <w:r>
        <w:t>s MMBA obligations.</w:t>
      </w:r>
      <w:r w:rsidR="00FC3F3A">
        <w:t>”</w:t>
      </w:r>
      <w:r>
        <w:t xml:space="preserve">  </w:t>
      </w:r>
      <w:r w:rsidR="006B1F75">
        <w:t xml:space="preserve">Other unions filed charges as well.  </w:t>
      </w:r>
      <w:r w:rsidR="0012158A">
        <w:t>T</w:t>
      </w:r>
      <w:r>
        <w:t xml:space="preserve">he </w:t>
      </w:r>
      <w:r w:rsidR="00B364BD">
        <w:t>c</w:t>
      </w:r>
      <w:r>
        <w:t xml:space="preserve">ity </w:t>
      </w:r>
      <w:r w:rsidR="00B364BD">
        <w:t>c</w:t>
      </w:r>
      <w:r>
        <w:t>ouncil</w:t>
      </w:r>
      <w:r w:rsidR="00B364BD">
        <w:t xml:space="preserve"> </w:t>
      </w:r>
      <w:r w:rsidR="00695761">
        <w:t>voted to place</w:t>
      </w:r>
      <w:r>
        <w:t xml:space="preserve"> the </w:t>
      </w:r>
      <w:r w:rsidR="001143F9">
        <w:t>Initiative</w:t>
      </w:r>
      <w:r>
        <w:t xml:space="preserve"> on the June 2012 ballot.</w:t>
      </w:r>
      <w:r w:rsidR="006B1F75">
        <w:t xml:space="preserve">  </w:t>
      </w:r>
      <w:r w:rsidR="00E067BE">
        <w:t>In February 2012</w:t>
      </w:r>
      <w:r w:rsidR="002F4BC9">
        <w:t>,</w:t>
      </w:r>
      <w:r w:rsidR="00B364BD">
        <w:t xml:space="preserve"> </w:t>
      </w:r>
      <w:r>
        <w:t xml:space="preserve">PERB issued a complaint against </w:t>
      </w:r>
      <w:r w:rsidR="00BC5902">
        <w:t xml:space="preserve">the </w:t>
      </w:r>
      <w:r w:rsidR="00B364BD">
        <w:t>c</w:t>
      </w:r>
      <w:r>
        <w:t xml:space="preserve">ity, alleging </w:t>
      </w:r>
      <w:r w:rsidR="00B364BD">
        <w:t xml:space="preserve">that its </w:t>
      </w:r>
      <w:r>
        <w:t>failure to m</w:t>
      </w:r>
      <w:r w:rsidR="00D75376">
        <w:t xml:space="preserve">eet and confer violated </w:t>
      </w:r>
      <w:r w:rsidR="00020B6B">
        <w:t>the MMBA</w:t>
      </w:r>
      <w:r>
        <w:t xml:space="preserve"> and </w:t>
      </w:r>
      <w:r w:rsidR="00BC5902">
        <w:t>constituted</w:t>
      </w:r>
      <w:r>
        <w:t xml:space="preserve"> an unfair practice</w:t>
      </w:r>
      <w:r w:rsidR="006B1F75">
        <w:t xml:space="preserve">. </w:t>
      </w:r>
      <w:r w:rsidRPr="006B1F75" w:rsidR="006B1F75">
        <w:t xml:space="preserve"> </w:t>
      </w:r>
      <w:r w:rsidR="006B1F75">
        <w:t>PERB consolidated the various unfair practice claims</w:t>
      </w:r>
      <w:r>
        <w:t xml:space="preserve"> and appointed an administrative law judge (ALJ) to hold a hearing.  </w:t>
      </w:r>
      <w:r>
        <w:t>It</w:t>
      </w:r>
      <w:r>
        <w:t xml:space="preserve"> also filed a superior court action </w:t>
      </w:r>
      <w:r w:rsidR="00695761">
        <w:t>to</w:t>
      </w:r>
      <w:r>
        <w:t xml:space="preserve"> enjoin presentation of the </w:t>
      </w:r>
      <w:r w:rsidR="001143F9">
        <w:t>Initiative</w:t>
      </w:r>
      <w:r>
        <w:t xml:space="preserve"> on the June 2012 ballot</w:t>
      </w:r>
      <w:r>
        <w:t>.</w:t>
      </w:r>
    </w:p>
    <w:p w:rsidR="00DC7EAA" w:rsidP="006B1F75">
      <w:pPr>
        <w:spacing w:line="480" w:lineRule="atLeast"/>
        <w:ind w:firstLine="720"/>
      </w:pPr>
      <w:r>
        <w:t>T</w:t>
      </w:r>
      <w:r>
        <w:t xml:space="preserve">he trial court </w:t>
      </w:r>
      <w:r>
        <w:t>declined to issue</w:t>
      </w:r>
      <w:r>
        <w:t xml:space="preserve"> a preliminary injunction.  </w:t>
      </w:r>
      <w:r>
        <w:t xml:space="preserve">When the ALJ scheduled a </w:t>
      </w:r>
      <w:r>
        <w:t xml:space="preserve">hearing </w:t>
      </w:r>
      <w:r>
        <w:t>in</w:t>
      </w:r>
      <w:r>
        <w:t xml:space="preserve"> April 2012, </w:t>
      </w:r>
      <w:r>
        <w:t>the c</w:t>
      </w:r>
      <w:r>
        <w:t xml:space="preserve">ity </w:t>
      </w:r>
      <w:r w:rsidR="004B6890">
        <w:t>sought a</w:t>
      </w:r>
      <w:r>
        <w:t xml:space="preserve"> stay</w:t>
      </w:r>
      <w:r w:rsidR="00E067BE">
        <w:t xml:space="preserve"> </w:t>
      </w:r>
      <w:r w:rsidR="004B6890">
        <w:t xml:space="preserve">of </w:t>
      </w:r>
      <w:r w:rsidR="00E067BE">
        <w:t>the administrative proceedings</w:t>
      </w:r>
      <w:r>
        <w:t xml:space="preserve">.  The </w:t>
      </w:r>
      <w:r w:rsidR="00695761">
        <w:t xml:space="preserve">trial </w:t>
      </w:r>
      <w:r>
        <w:t xml:space="preserve">court granted </w:t>
      </w:r>
      <w:r w:rsidR="009112B9">
        <w:t>the request</w:t>
      </w:r>
      <w:r w:rsidR="00D75376">
        <w:t>,</w:t>
      </w:r>
      <w:r>
        <w:t xml:space="preserve"> and </w:t>
      </w:r>
      <w:r w:rsidR="006F235C">
        <w:t xml:space="preserve">the Union </w:t>
      </w:r>
      <w:r>
        <w:t xml:space="preserve">pursued writ relief.  </w:t>
      </w:r>
      <w:r w:rsidR="006118F5">
        <w:t>In granting relief, t</w:t>
      </w:r>
      <w:r>
        <w:t xml:space="preserve">he Court of Appeal </w:t>
      </w:r>
      <w:r w:rsidR="006118F5">
        <w:t>acknowledged</w:t>
      </w:r>
      <w:r w:rsidR="004B6890">
        <w:t xml:space="preserve"> that</w:t>
      </w:r>
      <w:r w:rsidR="006118F5">
        <w:t>,</w:t>
      </w:r>
      <w:r>
        <w:t xml:space="preserve"> </w:t>
      </w:r>
      <w:r>
        <w:t>“</w:t>
      </w:r>
      <w:r>
        <w:t xml:space="preserve">[a]s the expert administrative agency established by the Legislature to administer collective bargaining for covered governmental employees, PERB has exclusive initial jurisdiction over conduct that </w:t>
      </w:r>
      <w:r w:rsidRPr="001835FB">
        <w:rPr>
          <w:i/>
        </w:rPr>
        <w:t>arguably</w:t>
      </w:r>
      <w:r>
        <w:t xml:space="preserve"> violates the MMBA</w:t>
      </w:r>
      <w:r w:rsidR="001835FB">
        <w:t>.</w:t>
      </w:r>
      <w:r>
        <w:t>”</w:t>
      </w:r>
      <w:r>
        <w:t xml:space="preserve"> </w:t>
      </w:r>
      <w:r w:rsidR="001835FB">
        <w:t xml:space="preserve"> </w:t>
      </w:r>
      <w:r>
        <w:t>(</w:t>
      </w:r>
      <w:bookmarkStart w:id="10" w:name="dabmci_e610f934a623431f9b1ff5a8ab572f5f"/>
      <w:r w:rsidRPr="00322A3A">
        <w:rPr>
          <w:i/>
        </w:rPr>
        <w:t>San</w:t>
      </w:r>
      <w:r>
        <w:rPr>
          <w:i/>
        </w:rPr>
        <w:t xml:space="preserve"> Diego Municipal Employees Assn</w:t>
      </w:r>
      <w:r w:rsidRPr="00322A3A">
        <w:rPr>
          <w:i/>
        </w:rPr>
        <w:t>. v. Superior Court</w:t>
      </w:r>
      <w:r w:rsidRPr="00322A3A">
        <w:t xml:space="preserve"> (2012) 206 Cal.App.4th 1447, </w:t>
      </w:r>
      <w:bookmarkEnd w:id="10"/>
      <w:r>
        <w:t>1458,</w:t>
      </w:r>
      <w:r>
        <w:t xml:space="preserve"> </w:t>
      </w:r>
      <w:r w:rsidR="008919B1">
        <w:t>italics added</w:t>
      </w:r>
      <w:r>
        <w:t>.)  Th</w:t>
      </w:r>
      <w:r>
        <w:t>e</w:t>
      </w:r>
      <w:r>
        <w:t xml:space="preserve"> court </w:t>
      </w:r>
      <w:r w:rsidR="00FD1ABD">
        <w:t>observed</w:t>
      </w:r>
      <w:r>
        <w:t xml:space="preserve"> that</w:t>
      </w:r>
      <w:r w:rsidR="007B787A">
        <w:t xml:space="preserve">, had </w:t>
      </w:r>
      <w:r w:rsidR="0034002D">
        <w:t xml:space="preserve">the city </w:t>
      </w:r>
      <w:r w:rsidR="009112B9">
        <w:t xml:space="preserve">itself </w:t>
      </w:r>
      <w:r w:rsidR="0034002D">
        <w:t>had</w:t>
      </w:r>
      <w:r>
        <w:t xml:space="preserve"> </w:t>
      </w:r>
      <w:r w:rsidR="00AF27F7">
        <w:t>put</w:t>
      </w:r>
      <w:r>
        <w:t xml:space="preserve"> the </w:t>
      </w:r>
      <w:r w:rsidR="001143F9">
        <w:t>Initiative</w:t>
      </w:r>
      <w:r>
        <w:t xml:space="preserve"> on the ballot without </w:t>
      </w:r>
      <w:r w:rsidR="00D85AE1">
        <w:t xml:space="preserve">meeting and </w:t>
      </w:r>
      <w:r>
        <w:t>confer</w:t>
      </w:r>
      <w:r w:rsidR="00D85AE1">
        <w:t xml:space="preserve">ring with </w:t>
      </w:r>
      <w:r w:rsidR="001835FB">
        <w:t>employee</w:t>
      </w:r>
      <w:r w:rsidR="00D85AE1">
        <w:t xml:space="preserve"> unions</w:t>
      </w:r>
      <w:r>
        <w:t>, it</w:t>
      </w:r>
      <w:r w:rsidR="007B787A">
        <w:t>s action</w:t>
      </w:r>
      <w:r>
        <w:t xml:space="preserve"> would have </w:t>
      </w:r>
      <w:r w:rsidR="007B787A">
        <w:t>violated</w:t>
      </w:r>
      <w:r>
        <w:t xml:space="preserve"> the MMBA</w:t>
      </w:r>
      <w:r w:rsidR="0034002D">
        <w:t xml:space="preserve">.  </w:t>
      </w:r>
      <w:r w:rsidR="009112B9">
        <w:t xml:space="preserve">The court </w:t>
      </w:r>
      <w:r w:rsidR="00FD1ABD">
        <w:t>noted</w:t>
      </w:r>
      <w:r w:rsidR="009112B9">
        <w:t xml:space="preserve"> that </w:t>
      </w:r>
      <w:r w:rsidR="006F235C">
        <w:t xml:space="preserve">the Union </w:t>
      </w:r>
      <w:r w:rsidR="0034002D">
        <w:t xml:space="preserve">had alleged, with supporting evidence, that </w:t>
      </w:r>
      <w:r>
        <w:t xml:space="preserve">the </w:t>
      </w:r>
      <w:r w:rsidR="003F4D80">
        <w:t>city had</w:t>
      </w:r>
      <w:r w:rsidR="006118F5">
        <w:t xml:space="preserve"> avoided its </w:t>
      </w:r>
      <w:r w:rsidR="009E08B4">
        <w:t>meet-</w:t>
      </w:r>
      <w:r w:rsidR="001835FB">
        <w:t>and</w:t>
      </w:r>
      <w:r w:rsidR="009E08B4">
        <w:t>-</w:t>
      </w:r>
      <w:r w:rsidR="001835FB">
        <w:t>confer</w:t>
      </w:r>
      <w:r w:rsidR="006118F5">
        <w:t xml:space="preserve"> obligations by using straw men to</w:t>
      </w:r>
      <w:r w:rsidR="003F4D80">
        <w:t xml:space="preserve"> place the </w:t>
      </w:r>
      <w:r w:rsidR="001143F9">
        <w:t>Initiative</w:t>
      </w:r>
      <w:r>
        <w:t xml:space="preserve"> on the ballot</w:t>
      </w:r>
      <w:r w:rsidR="0034002D">
        <w:t>.  This activity</w:t>
      </w:r>
      <w:r>
        <w:t xml:space="preserve"> arguably </w:t>
      </w:r>
      <w:r w:rsidR="00695761">
        <w:t>violated</w:t>
      </w:r>
      <w:r>
        <w:t xml:space="preserve"> public employment labor law</w:t>
      </w:r>
      <w:r w:rsidR="0034002D">
        <w:t>.</w:t>
      </w:r>
      <w:r>
        <w:t xml:space="preserve">  (</w:t>
      </w:r>
      <w:r w:rsidRPr="0034002D">
        <w:rPr>
          <w:i/>
        </w:rPr>
        <w:t>Id</w:t>
      </w:r>
      <w:r>
        <w:t xml:space="preserve">. at p. 1460.)  </w:t>
      </w:r>
      <w:r w:rsidR="0034002D">
        <w:t>Accordingly, the court</w:t>
      </w:r>
      <w:r w:rsidRPr="004B6890" w:rsidR="004B6890">
        <w:t xml:space="preserve"> </w:t>
      </w:r>
      <w:r w:rsidR="004B6890">
        <w:t>vacated the stay</w:t>
      </w:r>
      <w:r w:rsidR="007B787A">
        <w:t xml:space="preserve"> of the administrative proceedings</w:t>
      </w:r>
      <w:r>
        <w:t>.  (</w:t>
      </w:r>
      <w:r w:rsidRPr="0034002D">
        <w:rPr>
          <w:i/>
        </w:rPr>
        <w:t>Id</w:t>
      </w:r>
      <w:r w:rsidR="004B6890">
        <w:t>. at p</w:t>
      </w:r>
      <w:r>
        <w:t>. 1466.)</w:t>
      </w:r>
    </w:p>
    <w:p w:rsidR="00A6612F" w:rsidP="006B1F75">
      <w:pPr>
        <w:spacing w:line="480" w:lineRule="atLeast"/>
        <w:ind w:firstLine="720"/>
      </w:pPr>
      <w:r>
        <w:t xml:space="preserve">The </w:t>
      </w:r>
      <w:r w:rsidR="001143F9">
        <w:t>Initiative</w:t>
      </w:r>
      <w:r>
        <w:t xml:space="preserve"> appeared on the June 2012 ballot, with arguments in favor by “Mayor Jerry Sanders” and </w:t>
      </w:r>
      <w:r w:rsidR="003F1CB8">
        <w:t>c</w:t>
      </w:r>
      <w:r>
        <w:t xml:space="preserve">ouncilmembers Faulconer and DeMaio.  </w:t>
      </w:r>
      <w:r w:rsidR="00D85AE1">
        <w:t xml:space="preserve">The voters </w:t>
      </w:r>
      <w:r>
        <w:t xml:space="preserve">approved </w:t>
      </w:r>
      <w:r w:rsidR="00D85AE1">
        <w:t>it</w:t>
      </w:r>
      <w:r>
        <w:t xml:space="preserve">.  Sanders spoke at an election night celebration, praising the measure as the latest in a series of fiscal reforms, including his </w:t>
      </w:r>
      <w:r w:rsidR="00695761">
        <w:t xml:space="preserve">pension reform </w:t>
      </w:r>
      <w:r w:rsidR="00472B4A">
        <w:t>efforts in 2006 and 2008.</w:t>
      </w:r>
    </w:p>
    <w:p w:rsidR="00DC7EAA" w:rsidP="00B73059">
      <w:pPr>
        <w:spacing w:line="480" w:lineRule="atLeast"/>
      </w:pPr>
      <w:r>
        <w:tab/>
      </w:r>
      <w:r w:rsidR="00AF27F7">
        <w:t>In July 2012</w:t>
      </w:r>
      <w:r w:rsidR="00A6612F">
        <w:t xml:space="preserve"> t</w:t>
      </w:r>
      <w:r>
        <w:t>he ALJ held a hearing</w:t>
      </w:r>
      <w:r w:rsidR="00AF27F7">
        <w:t>.  The ALJ</w:t>
      </w:r>
      <w:r w:rsidR="004B6890">
        <w:t xml:space="preserve">’s </w:t>
      </w:r>
      <w:r>
        <w:t>proposed decision</w:t>
      </w:r>
      <w:r w:rsidR="006B1F75">
        <w:t xml:space="preserve"> f</w:t>
      </w:r>
      <w:r w:rsidR="004B6890">
        <w:t>ound</w:t>
      </w:r>
      <w:r w:rsidR="006B1F75">
        <w:t xml:space="preserve"> that </w:t>
      </w:r>
      <w:r>
        <w:t xml:space="preserve">Sanders </w:t>
      </w:r>
      <w:r w:rsidR="006B1F75">
        <w:t xml:space="preserve">had </w:t>
      </w:r>
      <w:r>
        <w:t>chose</w:t>
      </w:r>
      <w:r w:rsidR="006B1F75">
        <w:t>n</w:t>
      </w:r>
      <w:r>
        <w:t xml:space="preserve"> to pursue a citizens</w:t>
      </w:r>
      <w:r w:rsidR="006B1F75">
        <w:t>’</w:t>
      </w:r>
      <w:r>
        <w:t xml:space="preserve"> initiative measure</w:t>
      </w:r>
      <w:r w:rsidR="006B1F75">
        <w:t xml:space="preserve"> </w:t>
      </w:r>
      <w:r>
        <w:t>beca</w:t>
      </w:r>
      <w:r w:rsidR="006B1F75">
        <w:t xml:space="preserve">use he doubted the </w:t>
      </w:r>
      <w:r w:rsidR="003F1CB8">
        <w:t>c</w:t>
      </w:r>
      <w:r w:rsidR="006B1F75">
        <w:t xml:space="preserve">ity </w:t>
      </w:r>
      <w:r w:rsidR="003F1CB8">
        <w:t>c</w:t>
      </w:r>
      <w:r w:rsidR="006B1F75">
        <w:t>ouncil’</w:t>
      </w:r>
      <w:r>
        <w:t xml:space="preserve">s </w:t>
      </w:r>
      <w:r w:rsidR="006B1F75">
        <w:t>support</w:t>
      </w:r>
      <w:r>
        <w:t xml:space="preserve"> and </w:t>
      </w:r>
      <w:r w:rsidR="006B1F75">
        <w:t>wanted</w:t>
      </w:r>
      <w:r>
        <w:t xml:space="preserve"> to avoid concessions to the unions.  </w:t>
      </w:r>
      <w:r w:rsidR="009E4980">
        <w:t>The decision observed</w:t>
      </w:r>
      <w:r>
        <w:t xml:space="preserve"> that Sanders </w:t>
      </w:r>
      <w:r w:rsidR="00AE3253">
        <w:t>was a</w:t>
      </w:r>
      <w:r>
        <w:t xml:space="preserve"> </w:t>
      </w:r>
      <w:r w:rsidR="00AE3253">
        <w:t>“</w:t>
      </w:r>
      <w:r>
        <w:t>strong mayor</w:t>
      </w:r>
      <w:r w:rsidR="00AE3253">
        <w:t>”</w:t>
      </w:r>
      <w:r>
        <w:t xml:space="preserve"> </w:t>
      </w:r>
      <w:r w:rsidR="00AE3253">
        <w:t xml:space="preserve">with collective bargaining </w:t>
      </w:r>
      <w:r>
        <w:t>responsibilities</w:t>
      </w:r>
      <w:r w:rsidR="009E4980">
        <w:t xml:space="preserve">.  It </w:t>
      </w:r>
      <w:r>
        <w:t xml:space="preserve">concluded </w:t>
      </w:r>
      <w:r w:rsidR="009E4980">
        <w:t>he</w:t>
      </w:r>
      <w:r w:rsidR="00AE3253">
        <w:t xml:space="preserve"> act</w:t>
      </w:r>
      <w:r w:rsidR="00695761">
        <w:t>ed</w:t>
      </w:r>
      <w:r>
        <w:t xml:space="preserve"> </w:t>
      </w:r>
      <w:r w:rsidR="00AE3253">
        <w:t>“</w:t>
      </w:r>
      <w:r>
        <w:t>under the color of his elected office</w:t>
      </w:r>
      <w:r w:rsidR="00AE3253">
        <w:t>”</w:t>
      </w:r>
      <w:r w:rsidR="009E4980">
        <w:t xml:space="preserve"> to pursue the initiative campaign,</w:t>
      </w:r>
      <w:r>
        <w:t xml:space="preserve"> with support </w:t>
      </w:r>
      <w:r w:rsidR="009E4980">
        <w:t>from</w:t>
      </w:r>
      <w:r>
        <w:t xml:space="preserve"> two </w:t>
      </w:r>
      <w:r w:rsidR="00AE3253">
        <w:t>c</w:t>
      </w:r>
      <w:r>
        <w:t xml:space="preserve">ity </w:t>
      </w:r>
      <w:r w:rsidR="00D24A7E">
        <w:t>c</w:t>
      </w:r>
      <w:r>
        <w:t xml:space="preserve">ouncilmembers and the </w:t>
      </w:r>
      <w:r w:rsidR="00D24A7E">
        <w:t>c</w:t>
      </w:r>
      <w:r>
        <w:t xml:space="preserve">ity </w:t>
      </w:r>
      <w:r w:rsidR="00D24A7E">
        <w:t>a</w:t>
      </w:r>
      <w:r>
        <w:t>ttorney</w:t>
      </w:r>
      <w:r w:rsidR="00695761">
        <w:t xml:space="preserve">.  </w:t>
      </w:r>
      <w:r w:rsidR="009E4980">
        <w:t>Because this</w:t>
      </w:r>
      <w:r w:rsidR="00695761">
        <w:t xml:space="preserve"> conduct amounted to a policy determination on a negotiable matter</w:t>
      </w:r>
      <w:r w:rsidR="00F7263B">
        <w:t xml:space="preserve">, </w:t>
      </w:r>
      <w:r w:rsidR="005E7A07">
        <w:t>Sanders had</w:t>
      </w:r>
      <w:r w:rsidR="00F7263B">
        <w:t xml:space="preserve"> a duty to meet and confer with the</w:t>
      </w:r>
      <w:r w:rsidR="00695761">
        <w:t xml:space="preserve"> unions</w:t>
      </w:r>
      <w:r w:rsidR="005E7A07">
        <w:t xml:space="preserve">.  Furthermore, under common law agency principles, </w:t>
      </w:r>
      <w:r w:rsidR="00F6461F">
        <w:t>the city had the same meet</w:t>
      </w:r>
      <w:r w:rsidR="009034FE">
        <w:t>-</w:t>
      </w:r>
      <w:r w:rsidR="00F6461F">
        <w:t>and</w:t>
      </w:r>
      <w:r w:rsidR="009034FE">
        <w:t>-</w:t>
      </w:r>
      <w:r w:rsidR="00F6461F">
        <w:t>confer obligation because the mayor was the city’s</w:t>
      </w:r>
      <w:r>
        <w:t xml:space="preserve"> </w:t>
      </w:r>
      <w:r w:rsidR="00F6461F">
        <w:t>“</w:t>
      </w:r>
      <w:r>
        <w:t>statutorily defined agent</w:t>
      </w:r>
      <w:r w:rsidR="00F6461F">
        <w:t>”</w:t>
      </w:r>
      <w:r>
        <w:t xml:space="preserve"> </w:t>
      </w:r>
      <w:r w:rsidR="00F6461F">
        <w:t xml:space="preserve">and the city had </w:t>
      </w:r>
      <w:r w:rsidR="00780BB5">
        <w:t xml:space="preserve">had </w:t>
      </w:r>
      <w:r>
        <w:t xml:space="preserve">ratified </w:t>
      </w:r>
      <w:r w:rsidR="00780BB5">
        <w:t>his</w:t>
      </w:r>
      <w:r>
        <w:t xml:space="preserve"> policy decision</w:t>
      </w:r>
      <w:r w:rsidR="00780BB5">
        <w:t>.</w:t>
      </w:r>
      <w:r w:rsidR="00695761">
        <w:t xml:space="preserve"> </w:t>
      </w:r>
    </w:p>
    <w:p w:rsidR="00A43128" w:rsidP="00A43128">
      <w:pPr>
        <w:spacing w:line="480" w:lineRule="atLeast"/>
      </w:pPr>
      <w:r>
        <w:tab/>
        <w:t>PERB largely affirm</w:t>
      </w:r>
      <w:r w:rsidR="00AF27F7">
        <w:t>ed</w:t>
      </w:r>
      <w:r>
        <w:t xml:space="preserve"> the</w:t>
      </w:r>
      <w:r w:rsidR="00575630">
        <w:t xml:space="preserve"> ALJ’s</w:t>
      </w:r>
      <w:r>
        <w:t xml:space="preserve"> decision</w:t>
      </w:r>
      <w:r w:rsidR="00AF27F7">
        <w:t>,</w:t>
      </w:r>
      <w:r w:rsidR="00F7263B">
        <w:t xml:space="preserve"> agreeing that</w:t>
      </w:r>
      <w:r w:rsidR="00B73059">
        <w:t xml:space="preserve"> the city</w:t>
      </w:r>
      <w:r>
        <w:t xml:space="preserve"> was charg</w:t>
      </w:r>
      <w:r w:rsidR="00B73059">
        <w:t>ed</w:t>
      </w:r>
      <w:r>
        <w:t xml:space="preserve"> with </w:t>
      </w:r>
      <w:r w:rsidR="00B73059">
        <w:t>the mayor’s</w:t>
      </w:r>
      <w:r>
        <w:t xml:space="preserve"> conduct under principles of statutory </w:t>
      </w:r>
      <w:r w:rsidR="00B73059">
        <w:t xml:space="preserve">and common law </w:t>
      </w:r>
      <w:r>
        <w:t>agency</w:t>
      </w:r>
      <w:r w:rsidR="00B73059">
        <w:t xml:space="preserve">. </w:t>
      </w:r>
      <w:r>
        <w:t xml:space="preserve"> </w:t>
      </w:r>
      <w:r w:rsidR="00AF27F7">
        <w:t>PERB</w:t>
      </w:r>
      <w:r w:rsidR="00B73059">
        <w:t xml:space="preserve"> </w:t>
      </w:r>
      <w:r w:rsidR="00676CB3">
        <w:t>determined that</w:t>
      </w:r>
      <w:r w:rsidR="00B73059">
        <w:t xml:space="preserve"> the </w:t>
      </w:r>
      <w:r w:rsidR="00B143A9">
        <w:t xml:space="preserve">city </w:t>
      </w:r>
      <w:r w:rsidR="00676CB3">
        <w:t xml:space="preserve">had </w:t>
      </w:r>
      <w:r w:rsidR="00B143A9">
        <w:t>violated the MMB</w:t>
      </w:r>
      <w:r w:rsidR="00D24A7E">
        <w:t>A</w:t>
      </w:r>
      <w:r w:rsidR="00B143A9">
        <w:t xml:space="preserve"> by deciding, </w:t>
      </w:r>
      <w:r w:rsidR="00DA4144">
        <w:t>through its agent Sanders</w:t>
      </w:r>
      <w:r w:rsidR="00B143A9">
        <w:t xml:space="preserve">, </w:t>
      </w:r>
      <w:r>
        <w:t xml:space="preserve">to place the </w:t>
      </w:r>
      <w:r w:rsidR="001143F9">
        <w:t>Initiative</w:t>
      </w:r>
      <w:r>
        <w:t xml:space="preserve"> on the ballot </w:t>
      </w:r>
      <w:r w:rsidR="00B143A9">
        <w:t>and</w:t>
      </w:r>
      <w:r>
        <w:t xml:space="preserve"> </w:t>
      </w:r>
      <w:r w:rsidR="00676CB3">
        <w:t xml:space="preserve">by </w:t>
      </w:r>
      <w:r>
        <w:t xml:space="preserve">acquiescing in </w:t>
      </w:r>
      <w:r w:rsidR="00971B03">
        <w:t>Sanders’</w:t>
      </w:r>
      <w:r>
        <w:t xml:space="preserve"> rejection of meet-and-confer demands.  </w:t>
      </w:r>
      <w:r w:rsidR="00AF27F7">
        <w:t>It</w:t>
      </w:r>
      <w:r>
        <w:t xml:space="preserve"> agreed with the ALJ</w:t>
      </w:r>
      <w:r w:rsidR="00971B03">
        <w:t>’s finding</w:t>
      </w:r>
      <w:r>
        <w:t xml:space="preserve"> that the unions “did not demand to bargain over [the </w:t>
      </w:r>
      <w:r w:rsidR="001143F9">
        <w:t>Initiative</w:t>
      </w:r>
      <w:r>
        <w:t>] per se but over the Mayor’s policy decision to alter employee pension benefits, including the contents of his proposed ballot measure to reform employee pensions.  [Citation.]  . . . [E]ven accepting the City’s</w:t>
      </w:r>
      <w:r w:rsidR="00676CB3">
        <w:t xml:space="preserve"> </w:t>
      </w:r>
      <w:r>
        <w:t xml:space="preserve">characterization of [the </w:t>
      </w:r>
      <w:r w:rsidR="001143F9">
        <w:t>Initiative</w:t>
      </w:r>
      <w:r>
        <w:t>] as a purely citizens’ initiative, the Unions’ demands also contemplated the possibility of bargaining over an alternative or competing measure on the subject.  [Citation.]”</w:t>
      </w:r>
      <w:r>
        <w:rPr>
          <w:rStyle w:val="FootnoteReference"/>
        </w:rPr>
        <w:footnoteReference w:id="6"/>
      </w:r>
      <w:r>
        <w:t xml:space="preserve">  PERB concluded that “[i]n any event, the City’s steadfast refusal to respond to the Unions’ requests consummated the Mayor’s policy decision to reform pension benefits and thereby alter</w:t>
      </w:r>
      <w:r w:rsidR="002C7025">
        <w:t xml:space="preserve"> </w:t>
      </w:r>
      <w:r>
        <w:t>te</w:t>
      </w:r>
      <w:r w:rsidR="00676CB3">
        <w:t>rm</w:t>
      </w:r>
      <w:r>
        <w:t>s and conditions of employment.”</w:t>
      </w:r>
    </w:p>
    <w:p w:rsidR="00DC7EAA" w:rsidP="00A43128">
      <w:pPr>
        <w:spacing w:line="480" w:lineRule="atLeast"/>
        <w:ind w:firstLine="720"/>
      </w:pPr>
      <w:r>
        <w:t xml:space="preserve">PERB modified the </w:t>
      </w:r>
      <w:r w:rsidR="00733321">
        <w:t xml:space="preserve">ALJ’s proposed </w:t>
      </w:r>
      <w:r>
        <w:t>remedy to vacate the results of the election</w:t>
      </w:r>
      <w:r w:rsidR="00B143A9">
        <w:t>.  I</w:t>
      </w:r>
      <w:r>
        <w:t xml:space="preserve">nvoking its </w:t>
      </w:r>
      <w:r w:rsidR="00B143A9">
        <w:t>“</w:t>
      </w:r>
      <w:r>
        <w:t>make-whole</w:t>
      </w:r>
      <w:r w:rsidR="00B143A9">
        <w:t>”</w:t>
      </w:r>
      <w:r>
        <w:t xml:space="preserve"> and </w:t>
      </w:r>
      <w:r w:rsidR="00B143A9">
        <w:t>“</w:t>
      </w:r>
      <w:r>
        <w:t>restoration</w:t>
      </w:r>
      <w:r w:rsidR="00B143A9">
        <w:t>”</w:t>
      </w:r>
      <w:r>
        <w:t xml:space="preserve"> powers for remedying </w:t>
      </w:r>
      <w:r w:rsidR="00F7263B">
        <w:t xml:space="preserve">MMBA </w:t>
      </w:r>
      <w:r>
        <w:t xml:space="preserve">violations, </w:t>
      </w:r>
      <w:r w:rsidR="00B143A9">
        <w:t xml:space="preserve">PERB </w:t>
      </w:r>
      <w:r w:rsidR="00D24A7E">
        <w:t>directed</w:t>
      </w:r>
      <w:r w:rsidR="00B143A9">
        <w:t xml:space="preserve"> the city </w:t>
      </w:r>
      <w:r w:rsidR="00D24A7E">
        <w:t xml:space="preserve">to </w:t>
      </w:r>
      <w:r>
        <w:t>pay</w:t>
      </w:r>
      <w:r w:rsidR="004127AB">
        <w:t xml:space="preserve"> its</w:t>
      </w:r>
      <w:r>
        <w:t xml:space="preserve"> employees </w:t>
      </w:r>
      <w:r w:rsidR="004127AB">
        <w:t>“</w:t>
      </w:r>
      <w:r>
        <w:t>for all lost compensation, including but not limited to the</w:t>
      </w:r>
      <w:r w:rsidR="00523266">
        <w:t xml:space="preserve"> value of lost pension benefits . . .</w:t>
      </w:r>
      <w:r>
        <w:t xml:space="preserve"> offset by the value of new benefits required from the City under [the </w:t>
      </w:r>
      <w:r w:rsidR="001143F9">
        <w:t>Initiative</w:t>
      </w:r>
      <w:r>
        <w:t>].</w:t>
      </w:r>
      <w:r w:rsidR="00B143A9">
        <w:t>”</w:t>
      </w:r>
      <w:r w:rsidR="004127AB">
        <w:t xml:space="preserve">  These p</w:t>
      </w:r>
      <w:r w:rsidR="007647ED">
        <w:t>ayments were to continue for as</w:t>
      </w:r>
      <w:r w:rsidR="004127AB">
        <w:t xml:space="preserve"> long as the Initiative was in effect, or until the parties mutually agreed otherwise.</w:t>
      </w:r>
    </w:p>
    <w:p w:rsidR="009112C4" w:rsidP="004C5E99">
      <w:pPr>
        <w:spacing w:line="480" w:lineRule="atLeast"/>
      </w:pPr>
      <w:r>
        <w:tab/>
      </w:r>
      <w:r w:rsidR="00B143A9">
        <w:t>The city</w:t>
      </w:r>
      <w:r>
        <w:t xml:space="preserve"> </w:t>
      </w:r>
      <w:r w:rsidR="00B143A9">
        <w:t>challeng</w:t>
      </w:r>
      <w:r w:rsidR="00E830C8">
        <w:t>ed</w:t>
      </w:r>
      <w:r w:rsidR="00B143A9">
        <w:t xml:space="preserve"> PERB’</w:t>
      </w:r>
      <w:r>
        <w:t>s decision</w:t>
      </w:r>
      <w:r w:rsidR="00E830C8">
        <w:t xml:space="preserve"> by writ petition</w:t>
      </w:r>
      <w:r w:rsidR="00B143A9">
        <w:t xml:space="preserve">, as authorized by section </w:t>
      </w:r>
      <w:r>
        <w:t>3509.5.  I</w:t>
      </w:r>
      <w:r w:rsidR="00B143A9">
        <w:t>t</w:t>
      </w:r>
      <w:r>
        <w:t xml:space="preserve"> named as additional real parties in interest</w:t>
      </w:r>
      <w:r w:rsidRPr="002761C2" w:rsidR="002761C2">
        <w:t xml:space="preserve"> </w:t>
      </w:r>
      <w:r w:rsidR="00523266">
        <w:t>the Initiative’s proponents</w:t>
      </w:r>
      <w:r w:rsidR="002761C2">
        <w:t>, who</w:t>
      </w:r>
      <w:r>
        <w:t xml:space="preserve"> filed briefs </w:t>
      </w:r>
      <w:r w:rsidR="00B143A9">
        <w:t>a</w:t>
      </w:r>
      <w:r w:rsidR="00E830C8">
        <w:t>nd a</w:t>
      </w:r>
      <w:r>
        <w:t xml:space="preserve"> writ </w:t>
      </w:r>
      <w:r w:rsidR="00E830C8">
        <w:t xml:space="preserve">petition </w:t>
      </w:r>
      <w:r w:rsidR="009836AD">
        <w:t>of their own</w:t>
      </w:r>
      <w:r w:rsidR="00E830C8">
        <w:t>.  T</w:t>
      </w:r>
      <w:r w:rsidR="00B143A9">
        <w:t xml:space="preserve">he </w:t>
      </w:r>
      <w:r w:rsidR="00E830C8">
        <w:t>petitions were</w:t>
      </w:r>
      <w:r w:rsidR="00B143A9">
        <w:t xml:space="preserve"> consolidated</w:t>
      </w:r>
      <w:r>
        <w:t>.</w:t>
      </w:r>
      <w:r w:rsidR="00D24A7E">
        <w:t xml:space="preserve">  </w:t>
      </w:r>
      <w:r w:rsidR="009836AD">
        <w:t xml:space="preserve">The </w:t>
      </w:r>
      <w:r w:rsidR="00E830C8">
        <w:t>C</w:t>
      </w:r>
      <w:r w:rsidR="009836AD">
        <w:t>ourt</w:t>
      </w:r>
      <w:r w:rsidR="00F601AE">
        <w:t xml:space="preserve"> </w:t>
      </w:r>
      <w:r w:rsidR="00E830C8">
        <w:t xml:space="preserve">of Appeal </w:t>
      </w:r>
      <w:r w:rsidR="002D3914">
        <w:t>rul</w:t>
      </w:r>
      <w:r w:rsidR="00F601AE">
        <w:t xml:space="preserve">ed that the city was </w:t>
      </w:r>
      <w:r w:rsidR="004127AB">
        <w:t xml:space="preserve">not </w:t>
      </w:r>
      <w:r w:rsidR="00F601AE">
        <w:t xml:space="preserve">required to meet and confer before placing the </w:t>
      </w:r>
      <w:r w:rsidR="001143F9">
        <w:t>Initiative</w:t>
      </w:r>
      <w:r w:rsidR="00F601AE">
        <w:t xml:space="preserve"> on the ballot.  First,</w:t>
      </w:r>
      <w:r w:rsidR="00F00FBB">
        <w:t xml:space="preserve"> relying on </w:t>
      </w:r>
      <w:r w:rsidRPr="00F00FBB" w:rsidR="00F00FBB">
        <w:rPr>
          <w:i/>
        </w:rPr>
        <w:t>Yamaha Corp. of America v. State Bd. of Equalization</w:t>
      </w:r>
      <w:r w:rsidR="008D1AC6">
        <w:t xml:space="preserve"> (1998</w:t>
      </w:r>
      <w:r w:rsidR="00F00FBB">
        <w:t xml:space="preserve">) </w:t>
      </w:r>
      <w:r w:rsidR="008D1AC6">
        <w:t>19</w:t>
      </w:r>
      <w:r w:rsidR="00F00FBB">
        <w:t xml:space="preserve"> Cal.4th 1 (</w:t>
      </w:r>
      <w:r w:rsidRPr="00F00FBB" w:rsidR="00F00FBB">
        <w:rPr>
          <w:i/>
        </w:rPr>
        <w:t>Yamaha</w:t>
      </w:r>
      <w:r w:rsidR="00F00FBB">
        <w:t>),</w:t>
      </w:r>
      <w:r w:rsidR="00F601AE">
        <w:t xml:space="preserve"> the court </w:t>
      </w:r>
      <w:r w:rsidR="00A067A4">
        <w:t>stated</w:t>
      </w:r>
      <w:r w:rsidR="00994654">
        <w:t xml:space="preserve"> that while PERB’s interpretation of the law governing the duty to bargain “will generally be followed unless it is clearly erroneous,” </w:t>
      </w:r>
      <w:r w:rsidR="0028616F">
        <w:t>“</w:t>
      </w:r>
      <w:r w:rsidR="00A067A4">
        <w:t xml:space="preserve">the </w:t>
      </w:r>
      <w:r w:rsidR="0028616F">
        <w:t xml:space="preserve">judiciary </w:t>
      </w:r>
      <w:r w:rsidR="00994654">
        <w:t>accord</w:t>
      </w:r>
      <w:r w:rsidR="0028616F">
        <w:t>s</w:t>
      </w:r>
      <w:r w:rsidR="00994654">
        <w:t xml:space="preserve"> </w:t>
      </w:r>
      <w:r w:rsidR="00F601AE">
        <w:t xml:space="preserve">no deference </w:t>
      </w:r>
      <w:r w:rsidR="00994654">
        <w:t xml:space="preserve">to agency determinations on </w:t>
      </w:r>
      <w:r w:rsidR="00F601AE">
        <w:t xml:space="preserve">legal questions falling outside the parameters of the agency’s peculiar expertise.”  </w:t>
      </w:r>
      <w:r w:rsidR="00B31D4C">
        <w:t>(</w:t>
      </w:r>
      <w:r w:rsidRPr="00B31D4C" w:rsidR="00B31D4C">
        <w:rPr>
          <w:i/>
        </w:rPr>
        <w:t>Boling v. Public Employment Relations Bd.</w:t>
      </w:r>
      <w:r w:rsidR="00B31D4C">
        <w:t xml:space="preserve"> (2017) 10 Cal.App.</w:t>
      </w:r>
      <w:r w:rsidRPr="00B31D4C" w:rsidR="00B31D4C">
        <w:t>5th 853</w:t>
      </w:r>
      <w:r w:rsidR="00B31D4C">
        <w:t>,</w:t>
      </w:r>
      <w:r w:rsidR="00994654">
        <w:t xml:space="preserve"> 868, 870.)  </w:t>
      </w:r>
      <w:r w:rsidR="00AE70F2">
        <w:t xml:space="preserve">It </w:t>
      </w:r>
      <w:r w:rsidR="003E4929">
        <w:t>then</w:t>
      </w:r>
      <w:r w:rsidR="00585D15">
        <w:t xml:space="preserve"> </w:t>
      </w:r>
      <w:r w:rsidR="003E4929">
        <w:t>held</w:t>
      </w:r>
      <w:r w:rsidR="00AE70F2">
        <w:t xml:space="preserve"> that a city’s </w:t>
      </w:r>
      <w:r w:rsidR="00ED7A93">
        <w:t>decision to place a citizen</w:t>
      </w:r>
      <w:r w:rsidR="00AE70F2">
        <w:t>s</w:t>
      </w:r>
      <w:r w:rsidR="00ED7A93">
        <w:t>’</w:t>
      </w:r>
      <w:r w:rsidR="00AE70F2">
        <w:t xml:space="preserve"> initiative measure on t</w:t>
      </w:r>
      <w:r w:rsidR="008C6E5C">
        <w:t>he ballot is purely ministerial</w:t>
      </w:r>
      <w:r w:rsidR="00AE70F2">
        <w:t xml:space="preserve"> and does not trigger the obligation to meet and confer.</w:t>
      </w:r>
      <w:r w:rsidR="00B31D4C">
        <w:t xml:space="preserve">  </w:t>
      </w:r>
      <w:r w:rsidR="005B5F43">
        <w:t>(</w:t>
      </w:r>
      <w:r w:rsidRPr="005B5F43" w:rsidR="005B5F43">
        <w:rPr>
          <w:i/>
        </w:rPr>
        <w:t>Id</w:t>
      </w:r>
      <w:r w:rsidR="005B5F43">
        <w:t>. at pp. 872-873, 875.)</w:t>
      </w:r>
    </w:p>
    <w:p w:rsidR="0028616F" w:rsidP="009112C4">
      <w:pPr>
        <w:spacing w:line="480" w:lineRule="atLeast"/>
        <w:ind w:firstLine="720"/>
      </w:pPr>
      <w:r>
        <w:t xml:space="preserve">The court </w:t>
      </w:r>
      <w:r w:rsidR="00A067A4">
        <w:t>reasoned</w:t>
      </w:r>
      <w:r w:rsidR="00585D15">
        <w:t xml:space="preserve"> that</w:t>
      </w:r>
      <w:r w:rsidR="009836AD">
        <w:t xml:space="preserve"> under sections 3</w:t>
      </w:r>
      <w:r w:rsidR="0030159F">
        <w:t>5</w:t>
      </w:r>
      <w:r w:rsidR="009836AD">
        <w:t>0</w:t>
      </w:r>
      <w:r w:rsidR="0030159F">
        <w:t>4.5, subdivision</w:t>
      </w:r>
      <w:r w:rsidR="009836AD">
        <w:t xml:space="preserve"> (a) and 3505,</w:t>
      </w:r>
      <w:r w:rsidR="00A067A4">
        <w:t xml:space="preserve"> t</w:t>
      </w:r>
      <w:r w:rsidRPr="00585D15" w:rsidR="00A067A4">
        <w:t xml:space="preserve">he </w:t>
      </w:r>
      <w:r w:rsidR="00A067A4">
        <w:t xml:space="preserve">MMBA’s </w:t>
      </w:r>
      <w:r w:rsidRPr="00585D15" w:rsidR="00A067A4">
        <w:t>meet-and-confer requirements</w:t>
      </w:r>
      <w:r w:rsidR="00585D15">
        <w:t xml:space="preserve"> </w:t>
      </w:r>
      <w:r w:rsidR="00A067A4">
        <w:t>apply</w:t>
      </w:r>
      <w:r w:rsidR="00C57FF8">
        <w:t xml:space="preserve"> only </w:t>
      </w:r>
      <w:r w:rsidR="00A067A4">
        <w:t xml:space="preserve">to </w:t>
      </w:r>
      <w:r w:rsidR="00C57FF8">
        <w:t>proposals by the governing body of an agency</w:t>
      </w:r>
      <w:r w:rsidR="008C6E5C">
        <w:t>.  Because</w:t>
      </w:r>
      <w:r w:rsidR="009D4B00">
        <w:t xml:space="preserve"> </w:t>
      </w:r>
      <w:r w:rsidRPr="00585D15" w:rsidR="00585D15">
        <w:t>citizen-sponsored initiative</w:t>
      </w:r>
      <w:r w:rsidR="00523266">
        <w:t xml:space="preserve">s are not </w:t>
      </w:r>
      <w:r w:rsidR="00ED7A93">
        <w:t>from</w:t>
      </w:r>
      <w:r w:rsidR="00523266">
        <w:t xml:space="preserve"> an agency’s governing body</w:t>
      </w:r>
      <w:r w:rsidR="008C6E5C">
        <w:t xml:space="preserve">, </w:t>
      </w:r>
      <w:r w:rsidR="009D4B00">
        <w:t>they are</w:t>
      </w:r>
      <w:r w:rsidR="008C6E5C">
        <w:t xml:space="preserve"> not subject to bargaining requirements</w:t>
      </w:r>
      <w:r w:rsidR="007B5569">
        <w:t>.</w:t>
      </w:r>
      <w:r w:rsidR="00994654">
        <w:t xml:space="preserve">  </w:t>
      </w:r>
      <w:r w:rsidR="00585D15">
        <w:t>(</w:t>
      </w:r>
      <w:r w:rsidRPr="00B31D4C" w:rsidR="00585D15">
        <w:rPr>
          <w:i/>
        </w:rPr>
        <w:t>Boling v. Public Employment Relations Bd.</w:t>
      </w:r>
      <w:r w:rsidR="00585D15">
        <w:t>,</w:t>
      </w:r>
      <w:r w:rsidRPr="00994654" w:rsidR="00585D15">
        <w:t xml:space="preserve"> </w:t>
      </w:r>
      <w:r w:rsidRPr="00994654" w:rsidR="00585D15">
        <w:rPr>
          <w:i/>
        </w:rPr>
        <w:t>supra</w:t>
      </w:r>
      <w:r w:rsidR="00585D15">
        <w:t>, 10 Cal.App.</w:t>
      </w:r>
      <w:r w:rsidRPr="00B31D4C" w:rsidR="00585D15">
        <w:t>5th</w:t>
      </w:r>
      <w:r w:rsidR="00585D15">
        <w:t xml:space="preserve"> at p</w:t>
      </w:r>
      <w:r w:rsidR="00A067A4">
        <w:t>p</w:t>
      </w:r>
      <w:r w:rsidR="00585D15">
        <w:t>. 875</w:t>
      </w:r>
      <w:r w:rsidR="00A067A4">
        <w:t xml:space="preserve">, 882, fn. 37.)  </w:t>
      </w:r>
      <w:r w:rsidR="00B77699">
        <w:t>Th</w:t>
      </w:r>
      <w:r w:rsidR="00A067A4">
        <w:t xml:space="preserve">is </w:t>
      </w:r>
      <w:r w:rsidR="00BC4B43">
        <w:t xml:space="preserve">statutory </w:t>
      </w:r>
      <w:r w:rsidR="00A067A4">
        <w:t>interpretation</w:t>
      </w:r>
      <w:r w:rsidR="00B77699">
        <w:t xml:space="preserve"> appear</w:t>
      </w:r>
      <w:r w:rsidR="008C6E5C">
        <w:t>s</w:t>
      </w:r>
      <w:r w:rsidR="00B77699">
        <w:t xml:space="preserve"> to undergird</w:t>
      </w:r>
      <w:r w:rsidR="00C57FF8">
        <w:t>, in part,</w:t>
      </w:r>
      <w:r w:rsidR="00D2238E">
        <w:t xml:space="preserve"> </w:t>
      </w:r>
      <w:r w:rsidR="00A067A4">
        <w:t>the court’s</w:t>
      </w:r>
      <w:r w:rsidR="00D2238E">
        <w:t xml:space="preserve"> rejection of PERB’s findings that the mayor acted as the city’s agent when he developed and promoted the </w:t>
      </w:r>
      <w:r w:rsidR="001143F9">
        <w:t>Initiative</w:t>
      </w:r>
      <w:r w:rsidR="00D2238E">
        <w:t xml:space="preserve">.  </w:t>
      </w:r>
      <w:r w:rsidR="005B5F43">
        <w:t>(</w:t>
      </w:r>
      <w:r>
        <w:rPr>
          <w:i/>
        </w:rPr>
        <w:t>Id</w:t>
      </w:r>
      <w:r>
        <w:t>.</w:t>
      </w:r>
      <w:r w:rsidR="005B5F43">
        <w:t xml:space="preserve"> at pp. 883</w:t>
      </w:r>
      <w:r w:rsidR="00C57FF8">
        <w:t>, 891, 893.)</w:t>
      </w:r>
      <w:r w:rsidR="00E577B3">
        <w:t xml:space="preserve">  </w:t>
      </w:r>
      <w:r w:rsidR="003E4929">
        <w:t>W</w:t>
      </w:r>
      <w:r w:rsidR="00E577B3">
        <w:t>e need not reach the agency issues to resolve this appeal.</w:t>
      </w:r>
    </w:p>
    <w:p w:rsidR="002D3914" w:rsidP="004127AB">
      <w:pPr>
        <w:keepNext/>
        <w:spacing w:line="480" w:lineRule="atLeast"/>
        <w:jc w:val="center"/>
      </w:pPr>
      <w:r>
        <w:t>II.  DISCUSSION</w:t>
      </w:r>
    </w:p>
    <w:p w:rsidR="00D2238E" w:rsidP="004127AB">
      <w:pPr>
        <w:keepNext/>
        <w:spacing w:line="480" w:lineRule="atLeast"/>
      </w:pPr>
      <w:r>
        <w:t>A.</w:t>
      </w:r>
      <w:r>
        <w:tab/>
      </w:r>
      <w:r w:rsidRPr="002D3914">
        <w:rPr>
          <w:i/>
        </w:rPr>
        <w:t>Standard of Review</w:t>
      </w:r>
    </w:p>
    <w:p w:rsidR="00ED5579" w:rsidP="00ED5579">
      <w:pPr>
        <w:spacing w:line="480" w:lineRule="atLeast"/>
        <w:ind w:firstLine="720"/>
      </w:pPr>
      <w:r>
        <w:t xml:space="preserve">We addressed the standard of review </w:t>
      </w:r>
      <w:r w:rsidR="007A2BF4">
        <w:t>for</w:t>
      </w:r>
      <w:r>
        <w:t xml:space="preserve"> an agency’s legal determinations in </w:t>
      </w:r>
      <w:r w:rsidRPr="00A332F4">
        <w:rPr>
          <w:i/>
        </w:rPr>
        <w:t>American Coatings Assn. v. South Coast Air Quality Management Dist.</w:t>
      </w:r>
      <w:r>
        <w:t xml:space="preserve"> (2012) 54 Cal.</w:t>
      </w:r>
      <w:r w:rsidRPr="00A332F4">
        <w:t>4th 446</w:t>
      </w:r>
      <w:r>
        <w:t xml:space="preserve">.  </w:t>
      </w:r>
      <w:r w:rsidR="00F00FBB">
        <w:t>“</w:t>
      </w:r>
      <w:r w:rsidRPr="00F00FBB" w:rsidR="00F00FBB">
        <w:t>When an agency is not exercising a discretionary rulemaking power but merely construing a controlling statute, ‘</w:t>
      </w:r>
      <w:r w:rsidR="00A332F4">
        <w:t> “</w:t>
      </w:r>
      <w:r w:rsidRPr="00F00FBB" w:rsidR="00F00FBB">
        <w:t xml:space="preserve">[t]he appropriate mode of review </w:t>
      </w:r>
      <w:r w:rsidR="00FD3AFE">
        <w:t>. . .</w:t>
      </w:r>
      <w:r w:rsidRPr="00F00FBB" w:rsidR="00F00FBB">
        <w:t xml:space="preserve"> is one in which the judiciary, although taking ultimate responsibility for the construction of the statute, accords great weight and respect to the administrative construction. </w:t>
      </w:r>
      <w:r w:rsidR="008943D7">
        <w:t xml:space="preserve"> </w:t>
      </w:r>
      <w:r w:rsidRPr="00F00FBB" w:rsidR="00F00FBB">
        <w:t>[Citation.]</w:t>
      </w:r>
      <w:r w:rsidR="00A332F4">
        <w:t>”</w:t>
      </w:r>
      <w:r w:rsidRPr="00F00FBB" w:rsidR="00F00FBB">
        <w:t xml:space="preserve"> </w:t>
      </w:r>
      <w:r w:rsidR="00F00FBB">
        <w:t xml:space="preserve"> </w:t>
      </w:r>
      <w:r w:rsidRPr="00F00FBB" w:rsidR="00F00FBB">
        <w:t>[Citations.]</w:t>
      </w:r>
      <w:r w:rsidR="00A332F4">
        <w:t>’</w:t>
      </w:r>
      <w:r w:rsidRPr="00F00FBB" w:rsidR="00F00FBB">
        <w:t xml:space="preserve"> </w:t>
      </w:r>
      <w:r w:rsidR="00F00FBB">
        <w:t xml:space="preserve"> </w:t>
      </w:r>
      <w:r w:rsidRPr="00F00FBB" w:rsidR="00F00FBB">
        <w:t>(</w:t>
      </w:r>
      <w:r w:rsidRPr="00F00FBB" w:rsidR="00F00FBB">
        <w:rPr>
          <w:i/>
        </w:rPr>
        <w:t>Yamaha</w:t>
      </w:r>
      <w:r w:rsidRPr="00F00FBB" w:rsidR="00F00FBB">
        <w:t xml:space="preserve">, </w:t>
      </w:r>
      <w:r w:rsidRPr="00F00FBB" w:rsidR="00F00FBB">
        <w:rPr>
          <w:i/>
        </w:rPr>
        <w:t>supra</w:t>
      </w:r>
      <w:r w:rsidRPr="00F00FBB" w:rsidR="00F00FBB">
        <w:t xml:space="preserve">, 19 Cal.4th at p. 12.) </w:t>
      </w:r>
      <w:r w:rsidR="00A332F4">
        <w:t xml:space="preserve"> </w:t>
      </w:r>
      <w:r w:rsidRPr="00F00FBB" w:rsidR="00F00FBB">
        <w:t>How much weight to accord an agency</w:t>
      </w:r>
      <w:r w:rsidR="00A332F4">
        <w:t>’</w:t>
      </w:r>
      <w:r w:rsidRPr="00F00FBB" w:rsidR="00F00FBB">
        <w:t xml:space="preserve">s construction is </w:t>
      </w:r>
      <w:r w:rsidR="00A332F4">
        <w:t>‘</w:t>
      </w:r>
      <w:r w:rsidRPr="00F00FBB" w:rsidR="00F00FBB">
        <w:t>situational,</w:t>
      </w:r>
      <w:r w:rsidR="00A332F4">
        <w:t>’</w:t>
      </w:r>
      <w:r w:rsidRPr="00F00FBB" w:rsidR="00F00FBB">
        <w:t xml:space="preserve"> and greater weight may be appropriate when an agency has a ‘</w:t>
      </w:r>
      <w:r w:rsidR="00A332F4">
        <w:t> “</w:t>
      </w:r>
      <w:r w:rsidRPr="00F00FBB" w:rsidR="00F00FBB">
        <w:t>comparative interpretive advantage over the courts,”</w:t>
      </w:r>
      <w:r w:rsidR="00A332F4">
        <w:t xml:space="preserve"> ’ as when </w:t>
      </w:r>
      <w:r w:rsidRPr="00F00FBB" w:rsidR="00A332F4">
        <w:t>‘</w:t>
      </w:r>
      <w:r w:rsidR="00A332F4">
        <w:t> “</w:t>
      </w:r>
      <w:r w:rsidRPr="00F00FBB" w:rsidR="00F00FBB">
        <w:t>the legal text to be interpreted is technical, obscure, complex, open-ended, or entwined with issues of fact, policy, and discretion.</w:t>
      </w:r>
      <w:r w:rsidRPr="00A332F4" w:rsidR="00A332F4">
        <w:t xml:space="preserve"> </w:t>
      </w:r>
      <w:r w:rsidRPr="00F00FBB" w:rsidR="00A332F4">
        <w:t>”</w:t>
      </w:r>
      <w:r w:rsidR="00A332F4">
        <w:t xml:space="preserve"> ’ </w:t>
      </w:r>
      <w:r w:rsidRPr="00F00FBB" w:rsidR="00F00FBB">
        <w:t xml:space="preserve"> (</w:t>
      </w:r>
      <w:r w:rsidRPr="00A332F4" w:rsidR="00F00FBB">
        <w:rPr>
          <w:i/>
        </w:rPr>
        <w:t>Ibid</w:t>
      </w:r>
      <w:r w:rsidRPr="00F00FBB" w:rsidR="00F00FBB">
        <w:t xml:space="preserve">., italics omitted.) </w:t>
      </w:r>
      <w:r w:rsidR="00A332F4">
        <w:t xml:space="preserve"> </w:t>
      </w:r>
      <w:r w:rsidRPr="00F00FBB" w:rsidR="00F00FBB">
        <w:t xml:space="preserve">Moreover, a court may find that </w:t>
      </w:r>
      <w:r w:rsidR="00A332F4">
        <w:t>‘</w:t>
      </w:r>
      <w:r w:rsidRPr="00F00FBB" w:rsidR="00F00FBB">
        <w:t xml:space="preserve">the Legislature has </w:t>
      </w:r>
      <w:r w:rsidRPr="00B57839" w:rsidR="00F00FBB">
        <w:rPr>
          <w:i/>
        </w:rPr>
        <w:t>delegated</w:t>
      </w:r>
      <w:r w:rsidRPr="00F00FBB" w:rsidR="00F00FBB">
        <w:t xml:space="preserve"> the task of interpreting or elaborating on a statute to an administrative agency,</w:t>
      </w:r>
      <w:r w:rsidR="00A332F4">
        <w:t>’</w:t>
      </w:r>
      <w:r w:rsidRPr="00F00FBB" w:rsidR="00F00FBB">
        <w:t xml:space="preserve"> for example, when the Legislature </w:t>
      </w:r>
      <w:r w:rsidR="00A332F4">
        <w:t>‘</w:t>
      </w:r>
      <w:r w:rsidRPr="00F00FBB" w:rsidR="00F00FBB">
        <w:t xml:space="preserve">employs open-ended statutory language that an agency is authorized to apply or </w:t>
      </w:r>
      <w:r w:rsidR="00A332F4">
        <w:t>“</w:t>
      </w:r>
      <w:r w:rsidRPr="00F00FBB" w:rsidR="00F00FBB">
        <w:t>when an issue of interpretation is heavily freighted with policy choices which the agency is empowered to make.</w:t>
      </w:r>
      <w:r w:rsidR="00A332F4">
        <w:t xml:space="preserve">” ’  </w:t>
      </w:r>
      <w:r w:rsidR="004C76B6">
        <w:t>[Cita</w:t>
      </w:r>
      <w:r w:rsidR="00BF6600">
        <w:t>t</w:t>
      </w:r>
      <w:r w:rsidR="004C76B6">
        <w:t>ions.]</w:t>
      </w:r>
      <w:r w:rsidR="00A332F4">
        <w:t xml:space="preserve"> </w:t>
      </w:r>
      <w:r w:rsidRPr="00F00FBB" w:rsidR="00F00FBB">
        <w:t xml:space="preserve"> In other words, the delegation of legislative authority to an administrative agency sometimes</w:t>
      </w:r>
      <w:r w:rsidR="00A332F4">
        <w:t xml:space="preserve"> ‘</w:t>
      </w:r>
      <w:r w:rsidRPr="00F00FBB" w:rsidR="00F00FBB">
        <w:t>includes the power to elaborate the meaning of key statutory terms.</w:t>
      </w:r>
      <w:r w:rsidR="00A332F4">
        <w:t xml:space="preserve">’ </w:t>
      </w:r>
      <w:r w:rsidRPr="00F00FBB" w:rsidR="00F00FBB">
        <w:t xml:space="preserve"> </w:t>
      </w:r>
      <w:r w:rsidR="005D2C7C">
        <w:t>[Citation.]</w:t>
      </w:r>
      <w:r w:rsidRPr="00F00FBB" w:rsidR="00F00FBB">
        <w:t xml:space="preserve"> </w:t>
      </w:r>
      <w:r w:rsidR="00A332F4">
        <w:t xml:space="preserve"> </w:t>
      </w:r>
      <w:r w:rsidRPr="00F00FBB" w:rsidR="00F00FBB">
        <w:t>Nevertheless, the proper interpretation of a statute is ultimately the court</w:t>
      </w:r>
      <w:r w:rsidR="00A332F4">
        <w:t>’</w:t>
      </w:r>
      <w:r w:rsidRPr="00F00FBB" w:rsidR="00F00FBB">
        <w:t>s responsibility.</w:t>
      </w:r>
      <w:r w:rsidR="00A332F4">
        <w:t>”  (</w:t>
      </w:r>
      <w:r w:rsidRPr="00A332F4" w:rsidR="00A332F4">
        <w:rPr>
          <w:i/>
        </w:rPr>
        <w:t>American Coatings</w:t>
      </w:r>
      <w:r>
        <w:t>, at pp.</w:t>
      </w:r>
      <w:r w:rsidR="00A332F4">
        <w:t xml:space="preserve"> 461-462.)</w:t>
      </w:r>
    </w:p>
    <w:p w:rsidR="00ED5579" w:rsidP="00ED5579">
      <w:pPr>
        <w:spacing w:line="480" w:lineRule="atLeast"/>
        <w:ind w:firstLine="720"/>
      </w:pPr>
      <w:r>
        <w:t xml:space="preserve">PERB is the agency </w:t>
      </w:r>
      <w:r w:rsidR="001469CF">
        <w:t>empowered</w:t>
      </w:r>
      <w:r>
        <w:t xml:space="preserve"> by the Legislature to adjudicate unfair labor practice</w:t>
      </w:r>
      <w:r w:rsidR="00A059AF">
        <w:t xml:space="preserve"> claim</w:t>
      </w:r>
      <w:r>
        <w:t>s under the MMBA and six other public employment relations statutes.  (</w:t>
      </w:r>
      <w:r w:rsidRPr="00ED5579">
        <w:rPr>
          <w:i/>
        </w:rPr>
        <w:t>Coachella Valley Mosquito &amp; Vector Control Dist. v. California Public Employment Relations Bd.</w:t>
      </w:r>
      <w:r>
        <w:t xml:space="preserve"> (2005)</w:t>
      </w:r>
      <w:r w:rsidR="00D97DC4">
        <w:t xml:space="preserve"> 35 Cal.</w:t>
      </w:r>
      <w:r w:rsidRPr="00ED5579">
        <w:t>4th 1072</w:t>
      </w:r>
      <w:r>
        <w:t xml:space="preserve">, 1077, 1090.)  It is settled that “[c]ourts generally defer to PERB’s construction of labor law provisions within its jurisdiction.  (See </w:t>
      </w:r>
      <w:r w:rsidRPr="00F00FBB">
        <w:rPr>
          <w:i/>
        </w:rPr>
        <w:t>San Mateo City School Dist. v. Public Employment Relations Bd.</w:t>
      </w:r>
      <w:r>
        <w:t xml:space="preserve"> (1983) 33 Cal.3d 850, 856 [EERA]; </w:t>
      </w:r>
      <w:r w:rsidRPr="00F00FBB">
        <w:rPr>
          <w:i/>
        </w:rPr>
        <w:t>Paulsen v. Local No. 856 of Internat. Brotherhood of Teamsters</w:t>
      </w:r>
      <w:r>
        <w:t xml:space="preserve"> (2011) 193 Cal.App.4th 823, 830 [MMBA].)  </w:t>
      </w:r>
      <w:r w:rsidR="00FD3AFE">
        <w:t>‘</w:t>
      </w:r>
      <w:r>
        <w:t>.</w:t>
      </w:r>
      <w:r w:rsidR="007162A6">
        <w:t> </w:t>
      </w:r>
      <w:r>
        <w:t xml:space="preserve">. . PERB is </w:t>
      </w:r>
      <w:r w:rsidR="00FD3AFE">
        <w:t>“</w:t>
      </w:r>
      <w:r>
        <w:t>one of those agencies presumably equipped or informed by experience to deal with a specialized field of knowledge, whose findings within that field carry the authority of an expertness which courts do not possess and therefore must respect.</w:t>
      </w:r>
      <w:r w:rsidR="00FD3AFE">
        <w:t>”</w:t>
      </w:r>
      <w:r>
        <w:t xml:space="preserve">  [Citation.]</w:t>
      </w:r>
      <w:r w:rsidR="00FD3AFE">
        <w:t>’</w:t>
      </w:r>
      <w:r>
        <w:t xml:space="preserve">  (</w:t>
      </w:r>
      <w:r w:rsidRPr="00F00FBB">
        <w:rPr>
          <w:i/>
        </w:rPr>
        <w:t>Banning Teachers Assn. v. Public Employment Relations Bd.</w:t>
      </w:r>
      <w:r>
        <w:t xml:space="preserve"> (1988) 44 Cal.3d 799, 804.) </w:t>
      </w:r>
      <w:r w:rsidR="00FD3AFE">
        <w:t xml:space="preserve"> </w:t>
      </w:r>
      <w:r>
        <w:t>We follow PERB’s interpretation unless it is clearly erroneous.  (</w:t>
      </w:r>
      <w:r w:rsidRPr="00F00FBB">
        <w:rPr>
          <w:i/>
        </w:rPr>
        <w:t>Ibid</w:t>
      </w:r>
      <w:r>
        <w:t>.)”  (</w:t>
      </w:r>
      <w:r w:rsidRPr="00F00FBB">
        <w:rPr>
          <w:i/>
        </w:rPr>
        <w:t>County of Los Angeles v. Los Angeles County Employee Relations Com.</w:t>
      </w:r>
      <w:r>
        <w:t xml:space="preserve"> (2013) </w:t>
      </w:r>
      <w:r w:rsidR="002F19AA">
        <w:t>56 Cal.</w:t>
      </w:r>
      <w:r w:rsidRPr="00F00FBB">
        <w:t>4th 905</w:t>
      </w:r>
      <w:r>
        <w:t>, 922</w:t>
      </w:r>
      <w:r w:rsidR="001469CF">
        <w:t>.)  As noted in</w:t>
      </w:r>
      <w:r>
        <w:t xml:space="preserve"> </w:t>
      </w:r>
      <w:r w:rsidRPr="00ED5579">
        <w:rPr>
          <w:i/>
        </w:rPr>
        <w:t>Cumero v. Public Employment Relations Bd.</w:t>
      </w:r>
      <w:r>
        <w:t xml:space="preserve"> (1989) </w:t>
      </w:r>
      <w:r w:rsidR="002F19AA">
        <w:t>49 Cal.</w:t>
      </w:r>
      <w:r w:rsidRPr="00ED5579">
        <w:t>3d 575</w:t>
      </w:r>
      <w:r>
        <w:t xml:space="preserve">, </w:t>
      </w:r>
      <w:r w:rsidR="007A2BF4">
        <w:t>586</w:t>
      </w:r>
      <w:r w:rsidR="001469CF">
        <w:t xml:space="preserve">, </w:t>
      </w:r>
      <w:r>
        <w:t xml:space="preserve">interpretation of </w:t>
      </w:r>
      <w:r w:rsidR="002E0C71">
        <w:t xml:space="preserve">a public employee </w:t>
      </w:r>
      <w:r>
        <w:t>labor relations statute “ ‘falls squarely within PERB’</w:t>
      </w:r>
      <w:r w:rsidRPr="00ED5579">
        <w:t>s legislatively designated field</w:t>
      </w:r>
      <w:r>
        <w:t xml:space="preserve"> of expertise,’ ”</w:t>
      </w:r>
      <w:r w:rsidR="007A2BF4">
        <w:t xml:space="preserve"> dealing with public agency labor relations.  Even so,</w:t>
      </w:r>
      <w:r w:rsidRPr="00ED5579">
        <w:t xml:space="preserve"> </w:t>
      </w:r>
      <w:r>
        <w:t>courts retain final authority to “ ‘</w:t>
      </w:r>
      <w:r w:rsidRPr="00ED5579">
        <w:t>state the true meaning of the statute</w:t>
      </w:r>
      <w:r w:rsidR="001469CF">
        <w:t>.’ ”</w:t>
      </w:r>
      <w:r w:rsidR="007A2BF4">
        <w:t xml:space="preserve">  (</w:t>
      </w:r>
      <w:r w:rsidR="007A2BF4">
        <w:rPr>
          <w:i/>
        </w:rPr>
        <w:t>Id</w:t>
      </w:r>
      <w:r w:rsidR="007A2BF4">
        <w:t>. at p. 587.)</w:t>
      </w:r>
      <w:r w:rsidR="00833A98">
        <w:t xml:space="preserve">  </w:t>
      </w:r>
      <w:r w:rsidR="007A2BF4">
        <w:t>A hybrid</w:t>
      </w:r>
      <w:r w:rsidR="00833A98">
        <w:t xml:space="preserve"> approach</w:t>
      </w:r>
      <w:r w:rsidR="00E27D77">
        <w:t xml:space="preserve"> to review in this narrow area</w:t>
      </w:r>
      <w:r w:rsidR="00833A98">
        <w:t xml:space="preserve"> maintains the court’s ultimate interpretive authority while acknowledging </w:t>
      </w:r>
      <w:r w:rsidR="00211A07">
        <w:t xml:space="preserve">the agency’s </w:t>
      </w:r>
      <w:r w:rsidR="00833A98">
        <w:t>administrative expertise.</w:t>
      </w:r>
    </w:p>
    <w:p w:rsidR="00F57205" w:rsidP="00ED5579">
      <w:pPr>
        <w:spacing w:line="480" w:lineRule="atLeast"/>
        <w:ind w:firstLine="720"/>
      </w:pPr>
      <w:r>
        <w:t xml:space="preserve">The standard of review </w:t>
      </w:r>
      <w:r w:rsidR="00EF2128">
        <w:t>for</w:t>
      </w:r>
      <w:r w:rsidR="00FD3AFE">
        <w:t xml:space="preserve"> </w:t>
      </w:r>
      <w:r>
        <w:t xml:space="preserve">PERB’s factual findings is established </w:t>
      </w:r>
      <w:r w:rsidR="00FD3AFE">
        <w:t>by statute</w:t>
      </w:r>
      <w:r>
        <w:t xml:space="preserve">. </w:t>
      </w:r>
      <w:r w:rsidR="00FD3AFE">
        <w:t xml:space="preserve"> </w:t>
      </w:r>
      <w:r>
        <w:t>“</w:t>
      </w:r>
      <w:r>
        <w:t>T</w:t>
      </w:r>
      <w:r w:rsidRPr="00F57205">
        <w:t>he findings of the board with respect to questions of fact, including ultimate facts, if supported by substantial evidence on the record considered as a whole, shall be conclusive.</w:t>
      </w:r>
      <w:r>
        <w:t>”</w:t>
      </w:r>
      <w:r>
        <w:rPr>
          <w:rStyle w:val="FootnoteReference"/>
        </w:rPr>
        <w:footnoteReference w:id="7"/>
      </w:r>
      <w:r>
        <w:t xml:space="preserve">  (</w:t>
      </w:r>
      <w:r w:rsidRPr="00C42487">
        <w:t>§</w:t>
      </w:r>
      <w:r>
        <w:t> 3509.5, subd. (b)</w:t>
      </w:r>
      <w:r>
        <w:t xml:space="preserve">.)  As we have long recognized, the </w:t>
      </w:r>
      <w:r w:rsidRPr="00FD3AFE">
        <w:t xml:space="preserve">Legislature </w:t>
      </w:r>
      <w:r>
        <w:t>is</w:t>
      </w:r>
      <w:r w:rsidRPr="00FD3AFE">
        <w:t xml:space="preserve"> </w:t>
      </w:r>
      <w:r>
        <w:t xml:space="preserve">free </w:t>
      </w:r>
      <w:r w:rsidRPr="00FD3AFE">
        <w:t xml:space="preserve">to specify that certain administrative determinations </w:t>
      </w:r>
      <w:r>
        <w:t>are subject</w:t>
      </w:r>
      <w:r w:rsidRPr="00FD3AFE">
        <w:t xml:space="preserve"> to substantial evidence review </w:t>
      </w:r>
      <w:r>
        <w:t xml:space="preserve">instead of </w:t>
      </w:r>
      <w:r w:rsidRPr="00FD3AFE">
        <w:t>independent review</w:t>
      </w:r>
      <w:r>
        <w:t>.  (</w:t>
      </w:r>
      <w:r w:rsidRPr="00FD3AFE" w:rsidR="0018351C">
        <w:rPr>
          <w:i/>
        </w:rPr>
        <w:t>Fukuda v. City of Angels</w:t>
      </w:r>
      <w:r w:rsidR="0018351C">
        <w:t xml:space="preserve"> (1999)</w:t>
      </w:r>
      <w:r w:rsidR="002F19AA">
        <w:t xml:space="preserve"> 20 Cal.</w:t>
      </w:r>
      <w:r w:rsidRPr="0018351C" w:rsidR="0018351C">
        <w:t>4th 805</w:t>
      </w:r>
      <w:r w:rsidR="0018351C">
        <w:t xml:space="preserve">, </w:t>
      </w:r>
      <w:r w:rsidR="00FD3AFE">
        <w:t>824, fn. 17</w:t>
      </w:r>
      <w:r>
        <w:t xml:space="preserve">.)  Accordingly, </w:t>
      </w:r>
      <w:r>
        <w:t xml:space="preserve">in reviewing PERB’s findings </w:t>
      </w:r>
      <w:r>
        <w:t>“</w:t>
      </w:r>
      <w:r w:rsidR="000458FA">
        <w:t> ‘</w:t>
      </w:r>
      <w:r w:rsidRPr="00F57205">
        <w:t xml:space="preserve">we do not reweigh the evidence.  If there is </w:t>
      </w:r>
      <w:r w:rsidR="000458FA">
        <w:t>a plausible basis for the Board’</w:t>
      </w:r>
      <w:r w:rsidRPr="00F57205">
        <w:t xml:space="preserve">s factual decisions, we are not concerned that contrary findings may seem to us equally reasonable, or even more so. </w:t>
      </w:r>
      <w:r w:rsidR="000458FA">
        <w:t xml:space="preserve"> </w:t>
      </w:r>
      <w:r w:rsidRPr="00F57205">
        <w:t xml:space="preserve">[Citations.] </w:t>
      </w:r>
      <w:r w:rsidR="000458FA">
        <w:t xml:space="preserve"> </w:t>
      </w:r>
      <w:r w:rsidRPr="00F57205">
        <w:t>We will uphold the Board</w:t>
      </w:r>
      <w:r w:rsidR="000458FA">
        <w:t>’</w:t>
      </w:r>
      <w:r w:rsidRPr="00F57205">
        <w:t>s decision if it is supported by substantial evidence on the whole record.</w:t>
      </w:r>
      <w:r w:rsidR="000458FA">
        <w:t>’ ”  (</w:t>
      </w:r>
      <w:r w:rsidRPr="000458FA" w:rsidR="000458FA">
        <w:rPr>
          <w:i/>
        </w:rPr>
        <w:t xml:space="preserve">Regents of University of California v. Public Employment Relations Bd. </w:t>
      </w:r>
      <w:r w:rsidR="000458FA">
        <w:t xml:space="preserve">(1986) </w:t>
      </w:r>
      <w:r w:rsidR="009D4B00">
        <w:t>41 Cal.</w:t>
      </w:r>
      <w:r w:rsidRPr="000458FA" w:rsidR="000458FA">
        <w:t>3d 601</w:t>
      </w:r>
      <w:r w:rsidR="000458FA">
        <w:t xml:space="preserve">, 617 [applying </w:t>
      </w:r>
      <w:r w:rsidRPr="00C42487" w:rsidR="000458FA">
        <w:t>§</w:t>
      </w:r>
      <w:r w:rsidR="000458FA">
        <w:t> 3564, subd. (c), an identical provision of</w:t>
      </w:r>
      <w:r w:rsidRPr="000458FA" w:rsidR="000458FA">
        <w:t xml:space="preserve"> </w:t>
      </w:r>
      <w:r w:rsidR="000458FA">
        <w:t xml:space="preserve">the </w:t>
      </w:r>
      <w:r w:rsidRPr="000458FA" w:rsidR="000458FA">
        <w:t>Higher Education Employer-Employee Relations Act</w:t>
      </w:r>
      <w:r w:rsidR="000458FA">
        <w:t xml:space="preserve">]; see </w:t>
      </w:r>
      <w:r w:rsidRPr="007656F8" w:rsidR="000458FA">
        <w:rPr>
          <w:i/>
        </w:rPr>
        <w:t>City of Palo Alto v. Public Employment Relations Bd.</w:t>
      </w:r>
      <w:r w:rsidR="0067593A">
        <w:t xml:space="preserve"> (2016) </w:t>
      </w:r>
      <w:r w:rsidR="007162A6">
        <w:t>5 Cal.App.</w:t>
      </w:r>
      <w:r w:rsidRPr="002E0C71" w:rsidR="000458FA">
        <w:t xml:space="preserve">5th </w:t>
      </w:r>
      <w:r w:rsidR="0067593A">
        <w:t>1271,</w:t>
      </w:r>
      <w:r w:rsidR="000458FA">
        <w:t xml:space="preserve"> 1288.)</w:t>
      </w:r>
    </w:p>
    <w:p w:rsidR="00AC350D" w:rsidP="00ED5579">
      <w:pPr>
        <w:spacing w:line="480" w:lineRule="atLeast"/>
        <w:ind w:firstLine="720"/>
      </w:pPr>
      <w:r>
        <w:t>Her</w:t>
      </w:r>
      <w:r>
        <w:t xml:space="preserve">e, the Court of Appeal decided </w:t>
      </w:r>
      <w:r>
        <w:t>that PERB’s determination</w:t>
      </w:r>
      <w:r w:rsidR="000E42F1">
        <w:t>s</w:t>
      </w:r>
      <w:r>
        <w:t xml:space="preserve"> </w:t>
      </w:r>
      <w:r w:rsidR="00E053AF">
        <w:t>were</w:t>
      </w:r>
      <w:r>
        <w:t xml:space="preserve"> subject to </w:t>
      </w:r>
      <w:r w:rsidR="008B407A">
        <w:t>independent</w:t>
      </w:r>
      <w:r>
        <w:t xml:space="preserve"> review</w:t>
      </w:r>
      <w:r w:rsidR="00EA7258">
        <w:t xml:space="preserve"> because the facts were undisputed</w:t>
      </w:r>
      <w:r>
        <w:t>.  (</w:t>
      </w:r>
      <w:r w:rsidRPr="00B31D4C">
        <w:rPr>
          <w:i/>
        </w:rPr>
        <w:t>Boling v. Public Employment Relations Bd.</w:t>
      </w:r>
      <w:r>
        <w:t>,</w:t>
      </w:r>
      <w:r w:rsidRPr="00994654">
        <w:t xml:space="preserve"> </w:t>
      </w:r>
      <w:r w:rsidRPr="00994654">
        <w:rPr>
          <w:i/>
        </w:rPr>
        <w:t>supra</w:t>
      </w:r>
      <w:r>
        <w:t>, 10 Cal.App.</w:t>
      </w:r>
      <w:r w:rsidRPr="00B31D4C">
        <w:t>5th</w:t>
      </w:r>
      <w:r>
        <w:t xml:space="preserve"> at pp. 879-881.)  </w:t>
      </w:r>
      <w:r w:rsidR="00FC3918">
        <w:t>It is true that</w:t>
      </w:r>
      <w:r w:rsidR="00571B6D">
        <w:t xml:space="preserve"> </w:t>
      </w:r>
      <w:r w:rsidR="00FC3918">
        <w:t>t</w:t>
      </w:r>
      <w:r w:rsidR="00A62157">
        <w:t xml:space="preserve">he </w:t>
      </w:r>
      <w:r w:rsidR="00571B6D">
        <w:t xml:space="preserve">application of law to undisputed facts </w:t>
      </w:r>
      <w:r w:rsidR="00FC3918">
        <w:t xml:space="preserve">ordinarily </w:t>
      </w:r>
      <w:r w:rsidR="00A62157">
        <w:t>presents a legal question</w:t>
      </w:r>
      <w:r w:rsidR="00571B6D">
        <w:t xml:space="preserve"> </w:t>
      </w:r>
      <w:r w:rsidR="00A62157">
        <w:t xml:space="preserve">that </w:t>
      </w:r>
      <w:r w:rsidR="002761C2">
        <w:t>i</w:t>
      </w:r>
      <w:r w:rsidR="00A62157">
        <w:t xml:space="preserve">s </w:t>
      </w:r>
      <w:r w:rsidR="00571B6D">
        <w:t>review</w:t>
      </w:r>
      <w:r w:rsidR="002761C2">
        <w:t>ed</w:t>
      </w:r>
      <w:r w:rsidR="00571B6D">
        <w:t xml:space="preserve"> de novo.  (See </w:t>
      </w:r>
      <w:r w:rsidRPr="00752C3E" w:rsidR="00571B6D">
        <w:rPr>
          <w:i/>
        </w:rPr>
        <w:t>Haworth v. Superior Court</w:t>
      </w:r>
      <w:r w:rsidR="00571B6D">
        <w:t xml:space="preserve">, </w:t>
      </w:r>
      <w:r w:rsidRPr="00663232" w:rsidR="00571B6D">
        <w:rPr>
          <w:i/>
        </w:rPr>
        <w:t>supra</w:t>
      </w:r>
      <w:r w:rsidR="00571B6D">
        <w:t>, 50 Cal.</w:t>
      </w:r>
      <w:r w:rsidRPr="00752C3E" w:rsidR="00571B6D">
        <w:t xml:space="preserve">4th </w:t>
      </w:r>
      <w:r w:rsidR="00571B6D">
        <w:t>at p.</w:t>
      </w:r>
      <w:r w:rsidRPr="00752C3E" w:rsidR="00571B6D">
        <w:t xml:space="preserve"> 385</w:t>
      </w:r>
      <w:r w:rsidR="00571B6D">
        <w:t>; 9</w:t>
      </w:r>
      <w:r w:rsidRPr="001128BC" w:rsidR="00571B6D">
        <w:t xml:space="preserve"> Witkin, Cal. Procedure</w:t>
      </w:r>
      <w:r w:rsidRPr="001128BC" w:rsidR="00CA3650">
        <w:t xml:space="preserve"> (</w:t>
      </w:r>
      <w:r w:rsidR="00CA3650">
        <w:t>5</w:t>
      </w:r>
      <w:r w:rsidRPr="001128BC" w:rsidR="00CA3650">
        <w:t xml:space="preserve">th ed. </w:t>
      </w:r>
      <w:r w:rsidR="00CA3650">
        <w:t>2008</w:t>
      </w:r>
      <w:r w:rsidRPr="001128BC" w:rsidR="00CA3650">
        <w:t>)</w:t>
      </w:r>
      <w:r w:rsidRPr="001128BC" w:rsidR="00571B6D">
        <w:t xml:space="preserve"> </w:t>
      </w:r>
      <w:r w:rsidR="00571B6D">
        <w:t>Appeal</w:t>
      </w:r>
      <w:r w:rsidRPr="001128BC" w:rsidR="00571B6D">
        <w:t>, § </w:t>
      </w:r>
      <w:r w:rsidR="00571B6D">
        <w:t>378</w:t>
      </w:r>
      <w:r w:rsidR="00E053AF">
        <w:t>, pp. </w:t>
      </w:r>
      <w:r w:rsidR="00571B6D">
        <w:t>436</w:t>
      </w:r>
      <w:r w:rsidRPr="001128BC" w:rsidR="00571B6D">
        <w:t>-</w:t>
      </w:r>
      <w:r w:rsidR="00571B6D">
        <w:t xml:space="preserve">437; </w:t>
      </w:r>
      <w:r w:rsidRPr="008B407A" w:rsidR="00571B6D">
        <w:t>Eisenberg et al., Cal. Practice Guide: Civil Appeals and Writs</w:t>
      </w:r>
      <w:r w:rsidR="00CA3650">
        <w:t xml:space="preserve"> </w:t>
      </w:r>
      <w:r w:rsidRPr="008B407A" w:rsidR="00CA3650">
        <w:t>(The Rutter Group 20</w:t>
      </w:r>
      <w:r w:rsidR="00CA3650">
        <w:t>16</w:t>
      </w:r>
      <w:r w:rsidRPr="008B407A" w:rsidR="00CA3650">
        <w:t>)</w:t>
      </w:r>
      <w:r w:rsidRPr="008B407A" w:rsidR="00571B6D">
        <w:t xml:space="preserve"> ¶ </w:t>
      </w:r>
      <w:r w:rsidR="00571B6D">
        <w:t>8</w:t>
      </w:r>
      <w:r w:rsidRPr="008B407A" w:rsidR="00571B6D">
        <w:t>:</w:t>
      </w:r>
      <w:r w:rsidR="00571B6D">
        <w:t>114</w:t>
      </w:r>
      <w:r w:rsidRPr="008B407A" w:rsidR="00571B6D">
        <w:t xml:space="preserve">, p. </w:t>
      </w:r>
      <w:r w:rsidR="00571B6D">
        <w:t>8</w:t>
      </w:r>
      <w:r w:rsidRPr="008B407A" w:rsidR="00571B6D">
        <w:t>-</w:t>
      </w:r>
      <w:r w:rsidR="00571B6D">
        <w:t>81</w:t>
      </w:r>
      <w:r w:rsidRPr="008B407A" w:rsidR="00571B6D">
        <w:t>.)</w:t>
      </w:r>
      <w:r w:rsidR="00571B6D">
        <w:t xml:space="preserve">  However, when the matter falls within PERB’s area of expertise, the deferential standard outlined above applies to </w:t>
      </w:r>
      <w:r w:rsidR="000E42F1">
        <w:t>its legal determinations</w:t>
      </w:r>
      <w:r w:rsidR="00A62157">
        <w:t xml:space="preserve"> </w:t>
      </w:r>
      <w:r w:rsidR="00E27D77">
        <w:t xml:space="preserve">even if </w:t>
      </w:r>
      <w:r w:rsidR="00A62157">
        <w:t>based on undisputed</w:t>
      </w:r>
      <w:r w:rsidR="00CA3650">
        <w:t xml:space="preserve"> facts</w:t>
      </w:r>
      <w:r w:rsidR="000E42F1">
        <w:t>.</w:t>
      </w:r>
      <w:r w:rsidR="008669CC">
        <w:t xml:space="preserve">  </w:t>
      </w:r>
      <w:r w:rsidR="000E42F1">
        <w:t>Moreover,</w:t>
      </w:r>
      <w:r w:rsidR="00FC3918">
        <w:t xml:space="preserve"> </w:t>
      </w:r>
      <w:r w:rsidR="005878A1">
        <w:t>it is</w:t>
      </w:r>
      <w:r w:rsidR="00FC3918">
        <w:t xml:space="preserve"> settled </w:t>
      </w:r>
      <w:r w:rsidR="000E42F1">
        <w:t>that when conflicting inferences may be drawn from undisputed facts, t</w:t>
      </w:r>
      <w:r w:rsidR="008669CC">
        <w:t xml:space="preserve">he reviewing court </w:t>
      </w:r>
      <w:r w:rsidR="00BA7439">
        <w:t>must accept</w:t>
      </w:r>
      <w:r w:rsidR="000E42F1">
        <w:t xml:space="preserve"> the</w:t>
      </w:r>
      <w:r w:rsidR="00A62157">
        <w:t xml:space="preserve"> inference</w:t>
      </w:r>
      <w:r w:rsidR="008669CC">
        <w:t xml:space="preserve"> drawn by the trier of fact</w:t>
      </w:r>
      <w:r w:rsidR="000E42F1">
        <w:t xml:space="preserve"> </w:t>
      </w:r>
      <w:r w:rsidR="00BA7439">
        <w:t xml:space="preserve">so long as </w:t>
      </w:r>
      <w:r w:rsidR="00A62157">
        <w:t>it is</w:t>
      </w:r>
      <w:r w:rsidR="000E42F1">
        <w:t xml:space="preserve"> reasonable</w:t>
      </w:r>
      <w:r w:rsidR="008669CC">
        <w:t>.  (</w:t>
      </w:r>
      <w:r w:rsidRPr="008669CC" w:rsidR="008669CC">
        <w:rPr>
          <w:i/>
        </w:rPr>
        <w:t>Hamilton v. Pacific Elec. Ry. Co.</w:t>
      </w:r>
      <w:r w:rsidR="008669CC">
        <w:t xml:space="preserve"> (1939) 12 Cal.2d 598, 602-603; </w:t>
      </w:r>
      <w:r w:rsidRPr="001128BC" w:rsidR="008669CC">
        <w:rPr>
          <w:i/>
        </w:rPr>
        <w:t>Mah See v. North American Acc. Ins. Co.</w:t>
      </w:r>
      <w:r w:rsidR="008669CC">
        <w:t xml:space="preserve"> (</w:t>
      </w:r>
      <w:r w:rsidR="001128BC">
        <w:t>1923) 190 Cal. 421, 426; see 9</w:t>
      </w:r>
      <w:r w:rsidRPr="001128BC" w:rsidR="001128BC">
        <w:t xml:space="preserve"> Witkin, Cal. Procedure</w:t>
      </w:r>
      <w:r w:rsidR="00CA3650">
        <w:t xml:space="preserve">, </w:t>
      </w:r>
      <w:r w:rsidRPr="00663232" w:rsidR="00CA3650">
        <w:rPr>
          <w:i/>
        </w:rPr>
        <w:t>supra</w:t>
      </w:r>
      <w:r w:rsidR="00CA3650">
        <w:t xml:space="preserve">, </w:t>
      </w:r>
      <w:r w:rsidR="001128BC">
        <w:t>Appeal</w:t>
      </w:r>
      <w:r w:rsidRPr="001128BC" w:rsidR="001128BC">
        <w:t xml:space="preserve"> § </w:t>
      </w:r>
      <w:r w:rsidR="001128BC">
        <w:t>376</w:t>
      </w:r>
      <w:r w:rsidRPr="001128BC" w:rsidR="001128BC">
        <w:t xml:space="preserve">, pp. </w:t>
      </w:r>
      <w:r w:rsidR="001128BC">
        <w:t>434</w:t>
      </w:r>
      <w:r w:rsidRPr="001128BC" w:rsidR="001128BC">
        <w:t>-</w:t>
      </w:r>
      <w:r w:rsidR="001128BC">
        <w:t xml:space="preserve">435; </w:t>
      </w:r>
      <w:r w:rsidRPr="008B407A" w:rsidR="008B407A">
        <w:t>Eisenberg et al., Cal. Practice Guide: Civil Appeals and Writs</w:t>
      </w:r>
      <w:r w:rsidR="00CA3650">
        <w:t xml:space="preserve">, </w:t>
      </w:r>
      <w:r w:rsidRPr="00663232" w:rsidR="00CA3650">
        <w:rPr>
          <w:i/>
        </w:rPr>
        <w:t>supra</w:t>
      </w:r>
      <w:r w:rsidR="00CA3650">
        <w:t>,</w:t>
      </w:r>
      <w:r w:rsidRPr="008B407A" w:rsidR="008B407A">
        <w:t xml:space="preserve"> ¶ </w:t>
      </w:r>
      <w:r w:rsidR="008B407A">
        <w:t>8</w:t>
      </w:r>
      <w:r w:rsidRPr="008B407A" w:rsidR="008B407A">
        <w:t>:</w:t>
      </w:r>
      <w:r w:rsidR="008B407A">
        <w:t>60</w:t>
      </w:r>
      <w:r w:rsidRPr="008B407A" w:rsidR="008B407A">
        <w:t xml:space="preserve">, p. </w:t>
      </w:r>
      <w:r w:rsidR="008B407A">
        <w:t>8</w:t>
      </w:r>
      <w:r w:rsidRPr="008B407A" w:rsidR="008B407A">
        <w:t>-</w:t>
      </w:r>
      <w:r w:rsidR="008B407A">
        <w:t>29</w:t>
      </w:r>
      <w:r w:rsidRPr="008B407A" w:rsidR="008B407A">
        <w:t>.)</w:t>
      </w:r>
      <w:r w:rsidR="008B407A">
        <w:t xml:space="preserve">  </w:t>
      </w:r>
    </w:p>
    <w:p w:rsidR="00681F19" w:rsidP="005878A1">
      <w:pPr>
        <w:keepNext/>
        <w:spacing w:line="480" w:lineRule="atLeast"/>
      </w:pPr>
      <w:r>
        <w:t>B.</w:t>
      </w:r>
      <w:r>
        <w:tab/>
      </w:r>
      <w:r w:rsidRPr="002D3914">
        <w:rPr>
          <w:i/>
        </w:rPr>
        <w:t>S</w:t>
      </w:r>
      <w:r>
        <w:rPr>
          <w:i/>
        </w:rPr>
        <w:t>cope of the Duty</w:t>
      </w:r>
      <w:r w:rsidR="00ED3B39">
        <w:rPr>
          <w:i/>
        </w:rPr>
        <w:t xml:space="preserve"> T</w:t>
      </w:r>
      <w:r>
        <w:rPr>
          <w:i/>
        </w:rPr>
        <w:t>o Meet and Confer</w:t>
      </w:r>
    </w:p>
    <w:p w:rsidR="005878A1" w:rsidP="00681F19">
      <w:pPr>
        <w:spacing w:line="480" w:lineRule="atLeast"/>
      </w:pPr>
      <w:r>
        <w:tab/>
      </w:r>
      <w:r w:rsidR="00E27D77">
        <w:t>O</w:t>
      </w:r>
      <w:r w:rsidR="00E053AF">
        <w:t>n these facts</w:t>
      </w:r>
      <w:r w:rsidR="00E27D77">
        <w:t xml:space="preserve">, </w:t>
      </w:r>
      <w:r>
        <w:t>Mayor Sanders had</w:t>
      </w:r>
      <w:r w:rsidR="00E053AF">
        <w:t xml:space="preserve"> an obligation to me</w:t>
      </w:r>
      <w:r>
        <w:t>et and confer with the unions.</w:t>
      </w:r>
    </w:p>
    <w:p w:rsidR="006F1B3E" w:rsidP="00681F19">
      <w:pPr>
        <w:spacing w:line="480" w:lineRule="atLeast"/>
      </w:pPr>
      <w:r>
        <w:tab/>
      </w:r>
      <w:r w:rsidR="007C6653">
        <w:t>“</w:t>
      </w:r>
      <w:r w:rsidR="00BA7439">
        <w:t>T</w:t>
      </w:r>
      <w:r w:rsidRPr="00681F19" w:rsidR="00681F19">
        <w:t>he cen</w:t>
      </w:r>
      <w:r>
        <w:t>terpiece of the MMBA is section </w:t>
      </w:r>
      <w:r w:rsidRPr="00681F19" w:rsidR="00681F19">
        <w:t xml:space="preserve">3505, which requires the governing body of a local public agency, or its designated representative, to </w:t>
      </w:r>
      <w:r w:rsidR="00681F19">
        <w:t>‘</w:t>
      </w:r>
      <w:r w:rsidRPr="00681F19" w:rsidR="00681F19">
        <w:t xml:space="preserve">meet and confer in good faith regarding wages, hours, and other terms and conditions of employment with representatives of </w:t>
      </w:r>
      <w:r w:rsidR="002A725C">
        <w:t>. . .</w:t>
      </w:r>
      <w:r w:rsidRPr="00681F19" w:rsidR="00681F19">
        <w:t xml:space="preserve"> recognized employee organizations.</w:t>
      </w:r>
      <w:r w:rsidR="00681F19">
        <w:t xml:space="preserve">’ </w:t>
      </w:r>
      <w:r w:rsidRPr="00681F19" w:rsidR="00681F19">
        <w:t xml:space="preserve"> As we recounted in </w:t>
      </w:r>
      <w:r w:rsidR="007C6653">
        <w:t>. . .</w:t>
      </w:r>
      <w:r w:rsidR="00B57839">
        <w:t xml:space="preserve"> </w:t>
      </w:r>
      <w:r w:rsidRPr="00681F19" w:rsidR="00681F19">
        <w:rPr>
          <w:i/>
        </w:rPr>
        <w:t>Glendale City Employees’ Assn., Inc. v. City of Glendale</w:t>
      </w:r>
      <w:r w:rsidRPr="00681F19" w:rsidR="00681F19">
        <w:t xml:space="preserve"> (1975) 15 Cal.3d 328, 335, the MMBA represented an evolution from the earlier George Brown Act, which </w:t>
      </w:r>
      <w:r w:rsidR="00681F19">
        <w:t>‘</w:t>
      </w:r>
      <w:r w:rsidRPr="00681F19" w:rsidR="00681F19">
        <w:t>provided only that management representatives should listen to and discuss the demands of the unions.</w:t>
      </w:r>
      <w:r w:rsidR="00681F19">
        <w:t xml:space="preserve">’ </w:t>
      </w:r>
      <w:r w:rsidRPr="00681F19" w:rsidR="00681F19">
        <w:t xml:space="preserve"> In its present form, the MMBA mandates that the governing body undertake negotiations with employee representatives not merely to listen to their grievances, but also </w:t>
      </w:r>
      <w:r w:rsidR="00681F19">
        <w:t>‘</w:t>
      </w:r>
      <w:r w:rsidRPr="00681F19" w:rsidR="00681F19">
        <w:t xml:space="preserve">with the objective of reaching </w:t>
      </w:r>
      <w:r w:rsidR="00681F19">
        <w:t>“</w:t>
      </w:r>
      <w:r w:rsidRPr="00681F19" w:rsidR="00681F19">
        <w:t>agreement on matters within the scope of representation prior to the adoption by the public agency of its final budget for the ensuing year.</w:t>
      </w:r>
      <w:r w:rsidR="00681F19">
        <w:t>” ’</w:t>
      </w:r>
      <w:r w:rsidRPr="00681F19" w:rsidR="00681F19">
        <w:t xml:space="preserve"> </w:t>
      </w:r>
      <w:r w:rsidR="00C21F69">
        <w:t xml:space="preserve"> </w:t>
      </w:r>
      <w:r w:rsidRPr="00681F19" w:rsidR="00681F19">
        <w:t>(</w:t>
      </w:r>
      <w:r w:rsidRPr="00681F19" w:rsidR="00681F19">
        <w:rPr>
          <w:i/>
        </w:rPr>
        <w:t>Id</w:t>
      </w:r>
      <w:r w:rsidRPr="00681F19" w:rsidR="00681F19">
        <w:t>. at p. 336, quoting § 3505, italics omitted.)</w:t>
      </w:r>
      <w:r w:rsidR="00681F19">
        <w:t>”</w:t>
      </w:r>
      <w:r>
        <w:rPr>
          <w:rStyle w:val="FootnoteReference"/>
        </w:rPr>
        <w:footnoteReference w:id="8"/>
      </w:r>
      <w:r w:rsidR="00681F19">
        <w:t xml:space="preserve">  (</w:t>
      </w:r>
      <w:r w:rsidRPr="00681F19" w:rsidR="00681F19">
        <w:rPr>
          <w:i/>
        </w:rPr>
        <w:t>Voters for Responsible Retirement v. Board of Supervisors</w:t>
      </w:r>
      <w:r w:rsidR="00681F19">
        <w:t xml:space="preserve"> (1994)</w:t>
      </w:r>
      <w:r w:rsidR="00A61026">
        <w:t xml:space="preserve"> 8 Cal.</w:t>
      </w:r>
      <w:r w:rsidRPr="00681F19" w:rsidR="00681F19">
        <w:t>4th 765</w:t>
      </w:r>
      <w:r w:rsidR="00681F19">
        <w:t>, 7</w:t>
      </w:r>
      <w:r w:rsidR="00B57839">
        <w:t>80-</w:t>
      </w:r>
      <w:r w:rsidR="00ED3B39">
        <w:t>7</w:t>
      </w:r>
      <w:r w:rsidR="00B57839">
        <w:t>81, italics omitted</w:t>
      </w:r>
      <w:r w:rsidR="00681F19">
        <w:t>.)</w:t>
      </w:r>
    </w:p>
    <w:p w:rsidR="001D530B" w:rsidP="00681F19">
      <w:pPr>
        <w:spacing w:line="480" w:lineRule="atLeast"/>
      </w:pPr>
      <w:r>
        <w:tab/>
      </w:r>
      <w:r w:rsidR="008B6708">
        <w:t>“</w:t>
      </w:r>
      <w:r w:rsidRPr="001B3EAB" w:rsidR="008B6708">
        <w:t>The duty to meet and confer in good faith has been construed as a duty to bargain with the objective of reaching binding agreements between agencies and employee organizations</w:t>
      </w:r>
      <w:r w:rsidR="008B6708">
        <w:t xml:space="preserve"> . . . . </w:t>
      </w:r>
      <w:r w:rsidRPr="001B3EAB" w:rsidR="008B6708">
        <w:t xml:space="preserve"> The duty to bargain requires the public agency to refrain from making </w:t>
      </w:r>
      <w:r w:rsidR="008B6708">
        <w:t>unilateral changes in employees’</w:t>
      </w:r>
      <w:r w:rsidRPr="001B3EAB" w:rsidR="008B6708">
        <w:t xml:space="preserve"> wages and working conditions until the employer and employee association have bargained to impasse</w:t>
      </w:r>
      <w:r w:rsidR="008B6708">
        <w:t xml:space="preserve"> . . . </w:t>
      </w:r>
      <w:r w:rsidRPr="001B3EAB" w:rsidR="008B6708">
        <w:t>.</w:t>
      </w:r>
      <w:r w:rsidR="008B6708">
        <w:t>”  (</w:t>
      </w:r>
      <w:r w:rsidRPr="008B6708" w:rsidR="008B6708">
        <w:rPr>
          <w:i/>
        </w:rPr>
        <w:t>Santa Clara County Counsel Attys. Assn. v. Woodside</w:t>
      </w:r>
      <w:r w:rsidR="008B6708">
        <w:t xml:space="preserve"> (1994) 7 Cal.</w:t>
      </w:r>
      <w:r w:rsidRPr="008B6708" w:rsidR="008B6708">
        <w:t>4th 525</w:t>
      </w:r>
      <w:r w:rsidR="008B6708">
        <w:t xml:space="preserve">, 537.) </w:t>
      </w:r>
      <w:r w:rsidRPr="008B6708" w:rsidR="008B6708">
        <w:t xml:space="preserve"> </w:t>
      </w:r>
      <w:r>
        <w:t>“</w:t>
      </w:r>
      <w:r w:rsidRPr="001D530B">
        <w:t xml:space="preserve">The duty to meet and confer in good faith is limited to matters within the </w:t>
      </w:r>
      <w:r>
        <w:t>‘</w:t>
      </w:r>
      <w:r w:rsidRPr="001D530B">
        <w:t>scope of representation</w:t>
      </w:r>
      <w:r>
        <w:t xml:space="preserve">’ . . . . </w:t>
      </w:r>
      <w:r w:rsidRPr="001D530B">
        <w:t xml:space="preserve"> Even if the parties meet and confer, they are not required to reach an agreement because the employer has </w:t>
      </w:r>
      <w:r w:rsidR="002F19AA">
        <w:t>‘</w:t>
      </w:r>
      <w:r w:rsidRPr="001D530B">
        <w:t xml:space="preserve">the ultimate power to refuse to agree on any particular issue. </w:t>
      </w:r>
      <w:r w:rsidR="00B63227">
        <w:t xml:space="preserve"> </w:t>
      </w:r>
      <w:r w:rsidRPr="001D530B">
        <w:t>[Citation.]</w:t>
      </w:r>
      <w:r>
        <w:t>’</w:t>
      </w:r>
      <w:r w:rsidRPr="001D530B">
        <w:t xml:space="preserve"> </w:t>
      </w:r>
      <w:r>
        <w:t xml:space="preserve"> [Citation.] </w:t>
      </w:r>
      <w:r w:rsidRPr="001D530B">
        <w:t xml:space="preserve"> However, good faith under section 3505 </w:t>
      </w:r>
      <w:r>
        <w:t>‘</w:t>
      </w:r>
      <w:r w:rsidRPr="001D530B">
        <w:t>requires a genuine desire to reach agreement.</w:t>
      </w:r>
      <w:r>
        <w:t>’ ”  (</w:t>
      </w:r>
      <w:r w:rsidRPr="001D530B">
        <w:rPr>
          <w:i/>
        </w:rPr>
        <w:t>Claremont Police Officers Assn. v. City of Claremont</w:t>
      </w:r>
      <w:r>
        <w:t xml:space="preserve"> (2006)</w:t>
      </w:r>
      <w:r w:rsidR="00D97DC4">
        <w:t xml:space="preserve"> 39 Cal.</w:t>
      </w:r>
      <w:r w:rsidRPr="001D530B">
        <w:t>4th 623</w:t>
      </w:r>
      <w:r>
        <w:t>, 630</w:t>
      </w:r>
      <w:r w:rsidR="008B6708">
        <w:t xml:space="preserve">; see </w:t>
      </w:r>
      <w:r w:rsidRPr="008B6708" w:rsidR="008B6708">
        <w:rPr>
          <w:i/>
        </w:rPr>
        <w:t>International Assn. of Fire Fighters, Local 188, AFL-CIO v. Public Employment Relations Bd.</w:t>
      </w:r>
      <w:r w:rsidR="008B6708">
        <w:t xml:space="preserve"> (2011) 51 Cal.</w:t>
      </w:r>
      <w:r w:rsidRPr="008B6708" w:rsidR="008B6708">
        <w:t>4th 259</w:t>
      </w:r>
      <w:r w:rsidR="008B6708">
        <w:t>, 271</w:t>
      </w:r>
      <w:r>
        <w:t>.)  Here, it is undisputed that the</w:t>
      </w:r>
      <w:r w:rsidR="005B1388">
        <w:t>se</w:t>
      </w:r>
      <w:r>
        <w:t xml:space="preserve"> pension benefits </w:t>
      </w:r>
      <w:r w:rsidR="00A62157">
        <w:t>fell</w:t>
      </w:r>
      <w:r w:rsidR="00B63227">
        <w:t xml:space="preserve"> within the scope of the unions’ representation.  </w:t>
      </w:r>
      <w:r w:rsidR="002F19AA">
        <w:t xml:space="preserve">The </w:t>
      </w:r>
      <w:r w:rsidR="00D97DC4">
        <w:t>question</w:t>
      </w:r>
      <w:r w:rsidR="002F19AA">
        <w:t xml:space="preserve"> </w:t>
      </w:r>
      <w:r w:rsidR="00D02DE5">
        <w:t xml:space="preserve">is whether the mayor’s pursuit of </w:t>
      </w:r>
      <w:r w:rsidR="002F19AA">
        <w:t>pension reform by d</w:t>
      </w:r>
      <w:r w:rsidR="00ED3B39">
        <w:t>rafting and promoting a citizen</w:t>
      </w:r>
      <w:r w:rsidR="002F19AA">
        <w:t>s</w:t>
      </w:r>
      <w:r w:rsidR="00ED3B39">
        <w:t>’</w:t>
      </w:r>
      <w:r w:rsidR="002F19AA">
        <w:t xml:space="preserve"> initiative </w:t>
      </w:r>
      <w:r w:rsidR="00D02DE5">
        <w:t>required him</w:t>
      </w:r>
      <w:r w:rsidR="002F19AA">
        <w:t xml:space="preserve"> to meet and confer with the unions.</w:t>
      </w:r>
    </w:p>
    <w:p w:rsidR="002F19AA" w:rsidP="00681F19">
      <w:pPr>
        <w:spacing w:line="480" w:lineRule="atLeast"/>
      </w:pPr>
      <w:r>
        <w:tab/>
      </w:r>
      <w:r w:rsidRPr="00F90087" w:rsidR="00F2343B">
        <w:rPr>
          <w:i/>
        </w:rPr>
        <w:t>People ex rel. Seal Beach Police Officers Assn. v. City of Seal Beach</w:t>
      </w:r>
      <w:r w:rsidR="00F2343B">
        <w:t xml:space="preserve">, </w:t>
      </w:r>
      <w:r w:rsidRPr="00F2343B" w:rsidR="00F2343B">
        <w:rPr>
          <w:i/>
        </w:rPr>
        <w:t>supra</w:t>
      </w:r>
      <w:r w:rsidR="00F2343B">
        <w:t>, 36 Cal.3d 591 (</w:t>
      </w:r>
      <w:r w:rsidRPr="00F2343B" w:rsidR="00F2343B">
        <w:rPr>
          <w:i/>
        </w:rPr>
        <w:t>Seal Beach</w:t>
      </w:r>
      <w:r w:rsidR="00F2343B">
        <w:t>)</w:t>
      </w:r>
      <w:r>
        <w:t xml:space="preserve"> involv</w:t>
      </w:r>
      <w:r w:rsidR="001C7067">
        <w:t xml:space="preserve">ed a related but distinct </w:t>
      </w:r>
      <w:r w:rsidR="00D97DC4">
        <w:t>issue</w:t>
      </w:r>
      <w:r w:rsidR="001C7067">
        <w:t>:  whether</w:t>
      </w:r>
      <w:r w:rsidR="001E6656">
        <w:t xml:space="preserve"> the </w:t>
      </w:r>
      <w:r w:rsidR="001C7067">
        <w:t>meet-and-</w:t>
      </w:r>
      <w:r w:rsidR="001E6656">
        <w:t xml:space="preserve">confer </w:t>
      </w:r>
      <w:r w:rsidR="001C7067">
        <w:t>provisions</w:t>
      </w:r>
      <w:r w:rsidR="001E6656">
        <w:t xml:space="preserve"> of section 3505 </w:t>
      </w:r>
      <w:r w:rsidR="001C7067">
        <w:t>applied</w:t>
      </w:r>
      <w:r w:rsidR="001E6656">
        <w:t xml:space="preserve"> when </w:t>
      </w:r>
      <w:r w:rsidR="001C7067">
        <w:t>a</w:t>
      </w:r>
      <w:r w:rsidR="001E6656">
        <w:t xml:space="preserve"> city exercised its </w:t>
      </w:r>
      <w:r w:rsidRPr="00291F71">
        <w:rPr>
          <w:i/>
        </w:rPr>
        <w:t>own</w:t>
      </w:r>
      <w:r>
        <w:t xml:space="preserve"> </w:t>
      </w:r>
      <w:r w:rsidR="001E6656">
        <w:t xml:space="preserve">constitutional power to propose charter amendments </w:t>
      </w:r>
      <w:r w:rsidR="005D5407">
        <w:t>to its voters</w:t>
      </w:r>
      <w:r w:rsidR="001E6656">
        <w:t>.  (</w:t>
      </w:r>
      <w:r w:rsidRPr="001E6656" w:rsidR="001E6656">
        <w:t>Cal. Const., art. XI, § 3, subd. (b)</w:t>
      </w:r>
      <w:r w:rsidR="001E6656">
        <w:t>.)</w:t>
      </w:r>
      <w:r>
        <w:rPr>
          <w:rStyle w:val="FootnoteReference"/>
        </w:rPr>
        <w:footnoteReference w:id="9"/>
      </w:r>
      <w:r w:rsidR="001E6656">
        <w:t xml:space="preserve">  We </w:t>
      </w:r>
      <w:r w:rsidR="001C7067">
        <w:t>noted that</w:t>
      </w:r>
      <w:r w:rsidR="001E6656">
        <w:t xml:space="preserve"> “[t]</w:t>
      </w:r>
      <w:r w:rsidRPr="001E6656" w:rsidR="001E6656">
        <w:t>he MMBA has two stated purposes:</w:t>
      </w:r>
      <w:r w:rsidR="00E65D8E">
        <w:t xml:space="preserve"> </w:t>
      </w:r>
      <w:r w:rsidRPr="001E6656" w:rsidR="001E6656">
        <w:t xml:space="preserve"> (1)</w:t>
      </w:r>
      <w:r w:rsidR="007162A6">
        <w:t> </w:t>
      </w:r>
      <w:r w:rsidRPr="001E6656" w:rsidR="001E6656">
        <w:t xml:space="preserve">to promote full communication between public employers and employees; and (2) to improve personnel management and employer-employee relations within the various public agencies. </w:t>
      </w:r>
      <w:r w:rsidR="001E6656">
        <w:t xml:space="preserve"> </w:t>
      </w:r>
      <w:r w:rsidRPr="001E6656" w:rsidR="001E6656">
        <w:t xml:space="preserve">These purposes are to be accomplished by establishing methods for resolving disputes over employment conditions and by recognizing the right of public employees to organize and be represented by employee organizations.  (§ 3500.) </w:t>
      </w:r>
      <w:r w:rsidR="001E6656">
        <w:t xml:space="preserve"> </w:t>
      </w:r>
      <w:r w:rsidRPr="001E6656" w:rsidR="001E6656">
        <w:t xml:space="preserve">While the Legislature established a procedure for resolving disputes regarding wages, hours and other conditions of employment, it did not attempt to establish standards for the wages, hours and other terms and conditions themselves.  Rather, it </w:t>
      </w:r>
      <w:r w:rsidR="001E6656">
        <w:t>‘</w:t>
      </w:r>
      <w:r w:rsidRPr="001E6656" w:rsidR="001E6656">
        <w:t>set forth reasonable, proper and necessary principles which public agencies must follow in their rules and regulations for administering their employer-employee relations</w:t>
      </w:r>
      <w:r w:rsidR="001E6656">
        <w:t xml:space="preserve"> . . . .</w:t>
      </w:r>
      <w:r w:rsidR="00B57839">
        <w:t xml:space="preserve">’ </w:t>
      </w:r>
      <w:r w:rsidR="001E6656">
        <w:t>”  (</w:t>
      </w:r>
      <w:r w:rsidRPr="001E6656" w:rsidR="001E6656">
        <w:rPr>
          <w:i/>
        </w:rPr>
        <w:t>Seal Beach</w:t>
      </w:r>
      <w:r w:rsidR="001E6656">
        <w:t>, at p. 597.)</w:t>
      </w:r>
    </w:p>
    <w:p w:rsidR="001E6656" w:rsidP="00681F19">
      <w:pPr>
        <w:spacing w:line="480" w:lineRule="atLeast"/>
      </w:pPr>
      <w:r>
        <w:tab/>
      </w:r>
      <w:r w:rsidR="00696A56">
        <w:t xml:space="preserve">The City of </w:t>
      </w:r>
      <w:r w:rsidR="005D5407">
        <w:t>Seal Beach claimed its constitutional</w:t>
      </w:r>
      <w:r w:rsidRPr="005D5407" w:rsidR="005D5407">
        <w:t xml:space="preserve"> right to propose charter amendments to the electorate could not be abridged by the Legislature</w:t>
      </w:r>
      <w:r w:rsidR="005D5407">
        <w:t xml:space="preserve">.  We disagreed, </w:t>
      </w:r>
      <w:r w:rsidR="001C7067">
        <w:t>sta</w:t>
      </w:r>
      <w:r w:rsidR="003960FF">
        <w:t>ting the “</w:t>
      </w:r>
      <w:r w:rsidRPr="003960FF" w:rsidR="003960FF">
        <w:t xml:space="preserve">truism that few legal rights are so </w:t>
      </w:r>
      <w:r w:rsidR="003960FF">
        <w:t>‘</w:t>
      </w:r>
      <w:r w:rsidRPr="003960FF" w:rsidR="003960FF">
        <w:t>absolute and untrammeled</w:t>
      </w:r>
      <w:r w:rsidR="003960FF">
        <w:t>’</w:t>
      </w:r>
      <w:r w:rsidRPr="003960FF" w:rsidR="003960FF">
        <w:t xml:space="preserve"> that they can never be subjected to peaceful coexistence with other rules</w:t>
      </w:r>
      <w:r w:rsidR="003960FF">
        <w:t>.”  (</w:t>
      </w:r>
      <w:r w:rsidRPr="001E6656" w:rsidR="003960FF">
        <w:rPr>
          <w:i/>
        </w:rPr>
        <w:t>Seal Beach</w:t>
      </w:r>
      <w:r w:rsidR="003960FF">
        <w:t xml:space="preserve">, </w:t>
      </w:r>
      <w:r w:rsidRPr="001E6656" w:rsidR="003960FF">
        <w:rPr>
          <w:i/>
        </w:rPr>
        <w:t>supra</w:t>
      </w:r>
      <w:r w:rsidR="003960FF">
        <w:t xml:space="preserve">, 36 Cal.3d at p. 598.)  Case law had established </w:t>
      </w:r>
      <w:r w:rsidRPr="003960FF" w:rsidR="003960FF">
        <w:t xml:space="preserve">that </w:t>
      </w:r>
      <w:r w:rsidR="003960FF">
        <w:t>“a city’</w:t>
      </w:r>
      <w:r w:rsidRPr="003960FF" w:rsidR="003960FF">
        <w:t>s power to amend its charter can be subject to legislative regulation.</w:t>
      </w:r>
      <w:r w:rsidR="003960FF">
        <w:t>”  (</w:t>
      </w:r>
      <w:r w:rsidRPr="003960FF" w:rsidR="003960FF">
        <w:rPr>
          <w:i/>
        </w:rPr>
        <w:t>Ibid</w:t>
      </w:r>
      <w:r w:rsidR="00D75A32">
        <w:t>.</w:t>
      </w:r>
      <w:r w:rsidR="003960FF">
        <w:t xml:space="preserve">, citing </w:t>
      </w:r>
      <w:r w:rsidRPr="003960FF" w:rsidR="003960FF">
        <w:rPr>
          <w:i/>
        </w:rPr>
        <w:t>District Election etc. Committee v. O’Connor</w:t>
      </w:r>
      <w:r w:rsidRPr="003960FF" w:rsidR="003960FF">
        <w:t xml:space="preserve"> (1978) 78 Cal.App.3d 261, 267</w:t>
      </w:r>
      <w:r w:rsidR="003960FF">
        <w:t xml:space="preserve">.)  We </w:t>
      </w:r>
      <w:r w:rsidR="00CE366C">
        <w:t>approv</w:t>
      </w:r>
      <w:r w:rsidR="00D623CA">
        <w:t>ed</w:t>
      </w:r>
      <w:r w:rsidR="003960FF">
        <w:t xml:space="preserve"> th</w:t>
      </w:r>
      <w:r w:rsidR="00D623CA">
        <w:t xml:space="preserve">at </w:t>
      </w:r>
      <w:r w:rsidR="00E65D8E">
        <w:t>precedent</w:t>
      </w:r>
      <w:r w:rsidR="003960FF">
        <w:t xml:space="preserve"> and pointed out that section 3505 is “</w:t>
      </w:r>
      <w:r w:rsidRPr="003960FF" w:rsidR="003960FF">
        <w:t>far less intrusive</w:t>
      </w:r>
      <w:r w:rsidR="003960FF">
        <w:t>” than the statute at issu</w:t>
      </w:r>
      <w:r w:rsidR="00D623CA">
        <w:t xml:space="preserve">e in </w:t>
      </w:r>
      <w:r w:rsidRPr="003960FF" w:rsidR="00D623CA">
        <w:rPr>
          <w:i/>
        </w:rPr>
        <w:t>District Election</w:t>
      </w:r>
      <w:r w:rsidR="003960FF">
        <w:t>, which posed a direct conflict with a charter provision</w:t>
      </w:r>
      <w:r w:rsidRPr="003960FF" w:rsidR="003960FF">
        <w:t xml:space="preserve">. </w:t>
      </w:r>
      <w:r w:rsidR="003960FF">
        <w:t xml:space="preserve"> </w:t>
      </w:r>
      <w:r w:rsidR="00456762">
        <w:t>(</w:t>
      </w:r>
      <w:r w:rsidRPr="001E6656" w:rsidR="003960FF">
        <w:rPr>
          <w:i/>
        </w:rPr>
        <w:t>Seal Beach</w:t>
      </w:r>
      <w:r w:rsidR="003960FF">
        <w:t>, at p. 599.)  “</w:t>
      </w:r>
      <w:r w:rsidRPr="003960FF" w:rsidR="003960FF">
        <w:t xml:space="preserve">Cities function both as employers and as democratic organs of government. </w:t>
      </w:r>
      <w:r w:rsidR="003960FF">
        <w:t xml:space="preserve"> </w:t>
      </w:r>
      <w:r w:rsidRPr="003960FF" w:rsidR="003960FF">
        <w:t>The meet-and-confer requirement is an e</w:t>
      </w:r>
      <w:r w:rsidR="003960FF">
        <w:t>ssential component of the state’</w:t>
      </w:r>
      <w:r w:rsidRPr="003960FF" w:rsidR="003960FF">
        <w:t>s legislative</w:t>
      </w:r>
      <w:r w:rsidR="00456762">
        <w:t xml:space="preserve"> scheme for regulating the city’</w:t>
      </w:r>
      <w:r w:rsidRPr="003960FF" w:rsidR="003960FF">
        <w:t xml:space="preserve">s employment practices. </w:t>
      </w:r>
      <w:r w:rsidR="003960FF">
        <w:t xml:space="preserve"> </w:t>
      </w:r>
      <w:r w:rsidRPr="003960FF" w:rsidR="003960FF">
        <w:t>By contrast, the burden on the city</w:t>
      </w:r>
      <w:r w:rsidR="003960FF">
        <w:t>’</w:t>
      </w:r>
      <w:r w:rsidRPr="003960FF" w:rsidR="003960FF">
        <w:t>s democratic functions is minimal.</w:t>
      </w:r>
      <w:r w:rsidR="003960FF">
        <w:t>”  (</w:t>
      </w:r>
      <w:r w:rsidRPr="003960FF" w:rsidR="003960FF">
        <w:rPr>
          <w:i/>
        </w:rPr>
        <w:t>Ibid</w:t>
      </w:r>
      <w:r w:rsidR="003960FF">
        <w:t>.)</w:t>
      </w:r>
    </w:p>
    <w:p w:rsidR="003960FF" w:rsidP="00681F19">
      <w:pPr>
        <w:spacing w:line="480" w:lineRule="atLeast"/>
      </w:pPr>
      <w:r>
        <w:tab/>
      </w:r>
      <w:r w:rsidR="00456762">
        <w:t>We further reasoned that “ ‘</w:t>
      </w:r>
      <w:r w:rsidRPr="00456762" w:rsidR="00456762">
        <w:t>general law prevails over local enactments of a chartered city, even in regard to matters which would otherwise be deemed to be strictly municipal affairs, where the subject matter of the general law is of statewide concern.</w:t>
      </w:r>
      <w:r w:rsidR="00456762">
        <w:t>’  [Citation</w:t>
      </w:r>
      <w:r w:rsidR="001C7067">
        <w:t>, fn. omitted</w:t>
      </w:r>
      <w:r w:rsidR="00456762">
        <w:t xml:space="preserve">.]  </w:t>
      </w:r>
      <w:r w:rsidRPr="00456762" w:rsidR="00456762">
        <w:t xml:space="preserve">Fair labor practices, uniform throughout the state, are a matter </w:t>
      </w:r>
      <w:r w:rsidR="00456762">
        <w:t>‘</w:t>
      </w:r>
      <w:r w:rsidRPr="00456762" w:rsidR="00456762">
        <w:t>of the sa</w:t>
      </w:r>
      <w:r w:rsidR="00456762">
        <w:t>me statewide concern as workmen’</w:t>
      </w:r>
      <w:r w:rsidRPr="00456762" w:rsidR="00456762">
        <w:t>s compensation, liability of municipalities for tort, perfecting and filing of claims, and the requirement to subscribe to loyalty oaths.</w:t>
      </w:r>
      <w:r w:rsidR="00456762">
        <w:t>’ ”</w:t>
      </w:r>
      <w:r w:rsidRPr="00456762" w:rsidR="00456762">
        <w:t xml:space="preserve"> </w:t>
      </w:r>
      <w:r w:rsidR="00456762">
        <w:t xml:space="preserve"> (</w:t>
      </w:r>
      <w:r w:rsidRPr="001E6656" w:rsidR="00456762">
        <w:rPr>
          <w:i/>
        </w:rPr>
        <w:t>Seal Beach</w:t>
      </w:r>
      <w:r w:rsidR="00456762">
        <w:t xml:space="preserve">, </w:t>
      </w:r>
      <w:r w:rsidRPr="001E6656" w:rsidR="00456762">
        <w:rPr>
          <w:i/>
        </w:rPr>
        <w:t>supra</w:t>
      </w:r>
      <w:r w:rsidR="00456762">
        <w:t xml:space="preserve">, 36 Cal.3d at p. 600, </w:t>
      </w:r>
      <w:r w:rsidR="001C7067">
        <w:t>quo</w:t>
      </w:r>
      <w:r w:rsidR="00456762">
        <w:t xml:space="preserve">ting </w:t>
      </w:r>
      <w:r w:rsidRPr="00456762" w:rsidR="00456762">
        <w:rPr>
          <w:i/>
        </w:rPr>
        <w:t>Professional Fire Fighters, Inc. v. City of Los Angeles</w:t>
      </w:r>
      <w:r w:rsidRPr="00456762" w:rsidR="00456762">
        <w:t xml:space="preserve"> (1963) 60 Cal.2d 276, </w:t>
      </w:r>
      <w:r w:rsidR="00456762">
        <w:t xml:space="preserve">292, </w:t>
      </w:r>
      <w:r w:rsidRPr="00456762" w:rsidR="00456762">
        <w:t>2</w:t>
      </w:r>
      <w:r w:rsidR="00B57839">
        <w:t>94</w:t>
      </w:r>
      <w:r w:rsidRPr="00456762" w:rsidR="00456762">
        <w:t>-295</w:t>
      </w:r>
      <w:r w:rsidR="00456762">
        <w:t xml:space="preserve">.)  </w:t>
      </w:r>
      <w:r w:rsidRPr="00456762" w:rsidR="00456762">
        <w:t>A</w:t>
      </w:r>
      <w:r w:rsidR="00D97DC4">
        <w:t>gain</w:t>
      </w:r>
      <w:r w:rsidR="00456762">
        <w:t xml:space="preserve"> we noted the absence of any actual</w:t>
      </w:r>
      <w:r w:rsidRPr="00456762" w:rsidR="00456762">
        <w:t xml:space="preserve"> conflict </w:t>
      </w:r>
      <w:r w:rsidR="00456762">
        <w:t>“</w:t>
      </w:r>
      <w:r w:rsidRPr="00456762" w:rsidR="00456762">
        <w:t>between the city council</w:t>
      </w:r>
      <w:r w:rsidR="00456762">
        <w:t>’</w:t>
      </w:r>
      <w:r w:rsidRPr="00456762" w:rsidR="00456762">
        <w:t>s power to propose</w:t>
      </w:r>
      <w:r w:rsidR="00E65D8E">
        <w:t xml:space="preserve"> charter amendments and section </w:t>
      </w:r>
      <w:r w:rsidRPr="00456762" w:rsidR="00456762">
        <w:t xml:space="preserve">3505. </w:t>
      </w:r>
      <w:r w:rsidR="00456762">
        <w:t xml:space="preserve"> </w:t>
      </w:r>
      <w:r w:rsidRPr="00456762" w:rsidR="00456762">
        <w:t>Although that section encourages binding agreem</w:t>
      </w:r>
      <w:r w:rsidR="00456762">
        <w:t xml:space="preserve">ents resulting from the parties’ </w:t>
      </w:r>
      <w:r w:rsidRPr="00456762" w:rsidR="00456762">
        <w:t xml:space="preserve">bargaining, the governing body of the agency </w:t>
      </w:r>
      <w:r w:rsidR="00456762">
        <w:t>—</w:t>
      </w:r>
      <w:r w:rsidRPr="00456762" w:rsidR="00456762">
        <w:t xml:space="preserve"> here the city council </w:t>
      </w:r>
      <w:r w:rsidR="00456762">
        <w:t>—</w:t>
      </w:r>
      <w:r w:rsidRPr="00456762" w:rsidR="00456762">
        <w:t xml:space="preserve"> retains the ultimate power to refuse an agreement and to make its own decision. </w:t>
      </w:r>
      <w:r w:rsidR="00456762">
        <w:t xml:space="preserve"> [Citation</w:t>
      </w:r>
      <w:r w:rsidR="001C7067">
        <w:t>, fn. omitted</w:t>
      </w:r>
      <w:r w:rsidR="00456762">
        <w:t>.]</w:t>
      </w:r>
      <w:r w:rsidRPr="00456762" w:rsidR="00456762">
        <w:t xml:space="preserve"> </w:t>
      </w:r>
      <w:r w:rsidR="001C7067">
        <w:t xml:space="preserve"> </w:t>
      </w:r>
      <w:r w:rsidRPr="00456762" w:rsidR="00456762">
        <w:t>T</w:t>
      </w:r>
      <w:r w:rsidR="001C7067">
        <w:t>his power preserves the council’</w:t>
      </w:r>
      <w:r w:rsidRPr="00456762" w:rsidR="00456762">
        <w:t xml:space="preserve">s rights under article XI, section 3, subdivision (b) </w:t>
      </w:r>
      <w:r w:rsidR="001C7067">
        <w:t>—</w:t>
      </w:r>
      <w:r w:rsidRPr="00456762" w:rsidR="00456762">
        <w:t xml:space="preserve"> it may still propose a charter amendment if the meet-and-confer process does not persuade it otherwise.</w:t>
      </w:r>
      <w:r w:rsidR="001C7067">
        <w:t>”  (</w:t>
      </w:r>
      <w:r w:rsidRPr="001C7067" w:rsidR="001C7067">
        <w:rPr>
          <w:i/>
        </w:rPr>
        <w:t>Seal Beach</w:t>
      </w:r>
      <w:r w:rsidR="001C7067">
        <w:t>, at p. 601.)</w:t>
      </w:r>
    </w:p>
    <w:p w:rsidR="001B3EAB" w:rsidP="00681F19">
      <w:pPr>
        <w:spacing w:line="480" w:lineRule="atLeast"/>
      </w:pPr>
      <w:r>
        <w:tab/>
      </w:r>
      <w:r w:rsidRPr="008B6708" w:rsidR="008B6708">
        <w:rPr>
          <w:i/>
        </w:rPr>
        <w:t>Seal Beach</w:t>
      </w:r>
      <w:r w:rsidR="008B6708">
        <w:t xml:space="preserve"> </w:t>
      </w:r>
      <w:r w:rsidR="00F56356">
        <w:t>involved a city council’s own decision to place a proposal on the ballot, rather than a citizen-sponsored initiative.  Nevertheless</w:t>
      </w:r>
      <w:r w:rsidR="008B6708">
        <w:t>,</w:t>
      </w:r>
      <w:r w:rsidR="00F56356">
        <w:t xml:space="preserve"> </w:t>
      </w:r>
      <w:r w:rsidR="00F56356">
        <w:rPr>
          <w:i/>
        </w:rPr>
        <w:t>Seal Beach</w:t>
      </w:r>
      <w:r w:rsidR="00F56356">
        <w:t xml:space="preserve"> sets out</w:t>
      </w:r>
      <w:r w:rsidR="005B1388">
        <w:t xml:space="preserve"> useful principles</w:t>
      </w:r>
      <w:r w:rsidR="008B6708">
        <w:t>.  The meet-an</w:t>
      </w:r>
      <w:r w:rsidR="00F56356">
        <w:t>d-confer requirement of section </w:t>
      </w:r>
      <w:r w:rsidR="008B6708">
        <w:t xml:space="preserve">3505 is an important feature of state public employee labor relations </w:t>
      </w:r>
      <w:r w:rsidR="00813CDF">
        <w:t xml:space="preserve">law, and one that places a relatively “minimal” burden on a local agency’s </w:t>
      </w:r>
      <w:r w:rsidR="00696A56">
        <w:t xml:space="preserve">governing </w:t>
      </w:r>
      <w:r w:rsidR="00813CDF">
        <w:t>functions.  (</w:t>
      </w:r>
      <w:r w:rsidRPr="001E6656" w:rsidR="00813CDF">
        <w:rPr>
          <w:i/>
        </w:rPr>
        <w:t>Seal Beach</w:t>
      </w:r>
      <w:r w:rsidR="00813CDF">
        <w:t xml:space="preserve">, </w:t>
      </w:r>
      <w:r w:rsidRPr="001E6656" w:rsidR="00813CDF">
        <w:rPr>
          <w:i/>
        </w:rPr>
        <w:t>supra</w:t>
      </w:r>
      <w:r w:rsidR="00813CDF">
        <w:t xml:space="preserve">, 36 Cal.3d at p. 599.)  </w:t>
      </w:r>
      <w:r w:rsidR="00696A56">
        <w:t>Further</w:t>
      </w:r>
      <w:r w:rsidR="00C57FF8">
        <w:t>,</w:t>
      </w:r>
      <w:r w:rsidR="00C367EA">
        <w:t xml:space="preserve"> t</w:t>
      </w:r>
      <w:r w:rsidR="00813CDF">
        <w:t>he MMBA</w:t>
      </w:r>
      <w:r w:rsidR="00696A56">
        <w:t xml:space="preserve"> aims to foster</w:t>
      </w:r>
      <w:r w:rsidRPr="001E6656" w:rsidR="00813CDF">
        <w:t xml:space="preserve"> full communication between public employers and employees</w:t>
      </w:r>
      <w:r w:rsidR="00813CDF">
        <w:t xml:space="preserve"> </w:t>
      </w:r>
      <w:r w:rsidRPr="001E6656" w:rsidR="00813CDF">
        <w:t>and improv</w:t>
      </w:r>
      <w:r w:rsidR="00696A56">
        <w:t>e</w:t>
      </w:r>
      <w:r w:rsidRPr="001E6656" w:rsidR="00813CDF">
        <w:t xml:space="preserve"> employer-employee relations</w:t>
      </w:r>
      <w:r w:rsidR="00696A56">
        <w:t>.  These purposes</w:t>
      </w:r>
      <w:r w:rsidR="00813CDF">
        <w:t xml:space="preserve"> </w:t>
      </w:r>
      <w:r w:rsidR="00C367EA">
        <w:t>require compliance with section</w:t>
      </w:r>
      <w:r w:rsidR="00F56356">
        <w:t> </w:t>
      </w:r>
      <w:r w:rsidR="00C367EA">
        <w:t>3505</w:t>
      </w:r>
      <w:r w:rsidR="00696A56">
        <w:t>,</w:t>
      </w:r>
      <w:r w:rsidR="00C367EA">
        <w:t xml:space="preserve"> </w:t>
      </w:r>
      <w:r w:rsidR="00696A56">
        <w:t xml:space="preserve">even </w:t>
      </w:r>
      <w:r w:rsidR="00A059AF">
        <w:t>when</w:t>
      </w:r>
      <w:r w:rsidR="00C367EA">
        <w:t xml:space="preserve"> an agency decides to take a proposal directly to the voters.  (</w:t>
      </w:r>
      <w:r w:rsidR="00F56356">
        <w:t xml:space="preserve">See </w:t>
      </w:r>
      <w:r w:rsidRPr="00ED3B39" w:rsidR="00ED3B39">
        <w:rPr>
          <w:i/>
        </w:rPr>
        <w:t>Seal Beach</w:t>
      </w:r>
      <w:r w:rsidR="00ED3B39">
        <w:t>,</w:t>
      </w:r>
      <w:r w:rsidR="00ED3B39">
        <w:rPr>
          <w:i/>
        </w:rPr>
        <w:t xml:space="preserve"> </w:t>
      </w:r>
      <w:r w:rsidR="00C367EA">
        <w:t>at pp. 597-601.)</w:t>
      </w:r>
    </w:p>
    <w:p w:rsidR="002649A7" w:rsidRPr="003A6D22" w:rsidP="00C57FF8">
      <w:pPr>
        <w:spacing w:line="480" w:lineRule="atLeast"/>
        <w:ind w:firstLine="720"/>
      </w:pPr>
      <w:r>
        <w:t>Here,</w:t>
      </w:r>
      <w:r w:rsidR="00C367EA">
        <w:t xml:space="preserve"> Mayor Sanders conceived the idea of a citizens’ initiative pension reform measure, developed its terms, </w:t>
      </w:r>
      <w:r>
        <w:t>and negotiated</w:t>
      </w:r>
      <w:r>
        <w:t xml:space="preserve"> with other interested parties</w:t>
      </w:r>
      <w:r w:rsidR="00C367EA">
        <w:t xml:space="preserve"> before </w:t>
      </w:r>
      <w:r>
        <w:t>any</w:t>
      </w:r>
      <w:r>
        <w:t xml:space="preserve"> </w:t>
      </w:r>
      <w:r w:rsidR="00D75A32">
        <w:t>citizen</w:t>
      </w:r>
      <w:r w:rsidR="00C367EA">
        <w:t xml:space="preserve"> proponents stepped forward</w:t>
      </w:r>
      <w:r w:rsidR="00D853C6">
        <w:t>.  He</w:t>
      </w:r>
      <w:r w:rsidR="00665A5E">
        <w:t xml:space="preserve"> relied</w:t>
      </w:r>
      <w:r w:rsidR="006E39FB">
        <w:t xml:space="preserve"> on his position of authority and </w:t>
      </w:r>
      <w:r w:rsidR="00665A5E">
        <w:t xml:space="preserve">employed </w:t>
      </w:r>
      <w:r w:rsidR="006E39FB">
        <w:t xml:space="preserve">his staff </w:t>
      </w:r>
      <w:r w:rsidR="002761C2">
        <w:t>throughout</w:t>
      </w:r>
      <w:r w:rsidR="00665A5E">
        <w:t xml:space="preserve"> the process</w:t>
      </w:r>
      <w:r>
        <w:t>.  He</w:t>
      </w:r>
      <w:r w:rsidR="00C57FF8">
        <w:t xml:space="preserve"> </w:t>
      </w:r>
      <w:r w:rsidR="006E39FB">
        <w:t xml:space="preserve">continued </w:t>
      </w:r>
      <w:r>
        <w:t>us</w:t>
      </w:r>
      <w:r w:rsidR="006E39FB">
        <w:t>ing</w:t>
      </w:r>
      <w:r>
        <w:t xml:space="preserve"> his powers of office </w:t>
      </w:r>
      <w:r w:rsidR="006E39FB">
        <w:t xml:space="preserve">to promote the </w:t>
      </w:r>
      <w:r w:rsidR="001143F9">
        <w:t>Initiative</w:t>
      </w:r>
      <w:r w:rsidR="006E39FB">
        <w:t xml:space="preserve"> after the proponents emerged.</w:t>
      </w:r>
      <w:r w:rsidR="00220095">
        <w:t xml:space="preserve">  Yet</w:t>
      </w:r>
      <w:r w:rsidR="006E39FB">
        <w:t xml:space="preserve"> the Court of Appeal determined that </w:t>
      </w:r>
      <w:r w:rsidR="00C367EA">
        <w:t>the city was not required to meet and confer with its unions</w:t>
      </w:r>
      <w:r w:rsidR="00644B29">
        <w:t xml:space="preserve"> at any point</w:t>
      </w:r>
      <w:r w:rsidR="00C367EA">
        <w:t xml:space="preserve">.  </w:t>
      </w:r>
      <w:r w:rsidR="00644B29">
        <w:t xml:space="preserve">To reach this conclusion, the court </w:t>
      </w:r>
      <w:r w:rsidR="00AC57D2">
        <w:t>distinguished</w:t>
      </w:r>
      <w:r w:rsidRPr="00AC57D2" w:rsidR="00AC57D2">
        <w:rPr>
          <w:i/>
        </w:rPr>
        <w:t xml:space="preserve"> Seal Beach</w:t>
      </w:r>
      <w:r w:rsidR="00AC57D2">
        <w:t xml:space="preserve"> based</w:t>
      </w:r>
      <w:r w:rsidR="00F56356">
        <w:t xml:space="preserve"> not on section 3505 but on</w:t>
      </w:r>
      <w:r w:rsidR="00B31D4C">
        <w:t xml:space="preserve"> a novel interpretation of section 3504.5, subdivision (a)</w:t>
      </w:r>
      <w:r w:rsidR="00F56356">
        <w:t xml:space="preserve">.  That provision relates to measures </w:t>
      </w:r>
      <w:r w:rsidRPr="00644B29" w:rsidR="00340A84">
        <w:t xml:space="preserve">proposed by </w:t>
      </w:r>
      <w:r w:rsidR="00DF4A34">
        <w:t>a</w:t>
      </w:r>
      <w:r w:rsidRPr="00644B29" w:rsidR="00340A84">
        <w:t xml:space="preserve"> governing body or its boards or commissions</w:t>
      </w:r>
      <w:r w:rsidR="00376186">
        <w:t>.</w:t>
      </w:r>
      <w:r>
        <w:rPr>
          <w:rStyle w:val="FootnoteReference"/>
        </w:rPr>
        <w:footnoteReference w:id="10"/>
      </w:r>
      <w:r w:rsidR="00F56356">
        <w:t xml:space="preserve">  It is primarily concerned </w:t>
      </w:r>
      <w:r w:rsidR="003A6D22">
        <w:t xml:space="preserve">with an entity’s obligation to give </w:t>
      </w:r>
      <w:r w:rsidR="003A6D22">
        <w:rPr>
          <w:i/>
        </w:rPr>
        <w:t>notice</w:t>
      </w:r>
      <w:r w:rsidR="003A6D22">
        <w:t xml:space="preserve"> so that bargaining can take place with sufficient time for a resolution to be reached, if possible.</w:t>
      </w:r>
    </w:p>
    <w:p w:rsidR="00C57FF8" w:rsidP="00C57FF8">
      <w:pPr>
        <w:spacing w:line="480" w:lineRule="atLeast"/>
        <w:ind w:firstLine="720"/>
      </w:pPr>
      <w:r>
        <w:t>The C</w:t>
      </w:r>
      <w:r>
        <w:t>ourt</w:t>
      </w:r>
      <w:r>
        <w:t xml:space="preserve"> of Appeal</w:t>
      </w:r>
      <w:r>
        <w:t xml:space="preserve"> </w:t>
      </w:r>
      <w:r>
        <w:t>concluded</w:t>
      </w:r>
      <w:r>
        <w:t xml:space="preserve"> that “t</w:t>
      </w:r>
      <w:r w:rsidRPr="00585D15">
        <w:t xml:space="preserve">he meet-and-confer requirements of the MMBA by its express terms constrain only </w:t>
      </w:r>
      <w:r w:rsidRPr="00585D15">
        <w:rPr>
          <w:i/>
        </w:rPr>
        <w:t>proposals</w:t>
      </w:r>
      <w:r w:rsidRPr="00585D15">
        <w:t xml:space="preserve"> by the </w:t>
      </w:r>
      <w:r>
        <w:t>‘</w:t>
      </w:r>
      <w:r w:rsidRPr="00585D15">
        <w:rPr>
          <w:i/>
        </w:rPr>
        <w:t>governing body</w:t>
      </w:r>
      <w:r w:rsidR="006E39FB">
        <w:rPr>
          <w:i/>
        </w:rPr>
        <w:t>.</w:t>
      </w:r>
      <w:r>
        <w:t>’</w:t>
      </w:r>
      <w:r w:rsidR="006E39FB">
        <w:t> ”</w:t>
      </w:r>
      <w:r w:rsidRPr="00585D15">
        <w:t xml:space="preserve"> </w:t>
      </w:r>
      <w:r w:rsidR="006E39FB">
        <w:t xml:space="preserve"> </w:t>
      </w:r>
      <w:r w:rsidR="005208FF">
        <w:t>(</w:t>
      </w:r>
      <w:r w:rsidRPr="00B31D4C" w:rsidR="005208FF">
        <w:rPr>
          <w:i/>
        </w:rPr>
        <w:t>Boling v. Public Employment Relations Bd.</w:t>
      </w:r>
      <w:r w:rsidR="005208FF">
        <w:t>,</w:t>
      </w:r>
      <w:r w:rsidRPr="00994654" w:rsidR="005208FF">
        <w:t xml:space="preserve"> </w:t>
      </w:r>
      <w:r w:rsidRPr="00994654" w:rsidR="005208FF">
        <w:rPr>
          <w:i/>
        </w:rPr>
        <w:t>supra</w:t>
      </w:r>
      <w:r w:rsidR="005208FF">
        <w:t>, 10 Cal.App.</w:t>
      </w:r>
      <w:r w:rsidRPr="00B31D4C" w:rsidR="005208FF">
        <w:t>5th</w:t>
      </w:r>
      <w:r w:rsidR="005208FF">
        <w:t xml:space="preserve"> at p. 875.)  </w:t>
      </w:r>
      <w:r w:rsidR="006E39FB">
        <w:t xml:space="preserve">It quoted section </w:t>
      </w:r>
      <w:r w:rsidRPr="00585D15">
        <w:t>3504.5, subd</w:t>
      </w:r>
      <w:r w:rsidR="006E39FB">
        <w:t>ivi</w:t>
      </w:r>
      <w:r w:rsidR="00C96A6D">
        <w:t>si</w:t>
      </w:r>
      <w:r w:rsidR="006E39FB">
        <w:t>on</w:t>
      </w:r>
      <w:r w:rsidRPr="00585D15">
        <w:t xml:space="preserve"> (a)</w:t>
      </w:r>
      <w:r w:rsidR="005208FF">
        <w:t>, to the effect that “ </w:t>
      </w:r>
      <w:r>
        <w:t>‘</w:t>
      </w:r>
      <w:r w:rsidRPr="00585D15">
        <w:t xml:space="preserve">the governing body </w:t>
      </w:r>
      <w:r>
        <w:t>. . .</w:t>
      </w:r>
      <w:r w:rsidRPr="00585D15">
        <w:t xml:space="preserve"> shall give reasonable written notice </w:t>
      </w:r>
      <w:r>
        <w:t>. . .</w:t>
      </w:r>
      <w:r w:rsidRPr="00585D15">
        <w:t xml:space="preserve"> of any ordinance, rule, resolution, or regulation directly relating to matters within the scope of representation proposed to be adopted by the governing body</w:t>
      </w:r>
      <w:r w:rsidR="005208FF">
        <w:t xml:space="preserve">.’ </w:t>
      </w:r>
      <w:r w:rsidRPr="00585D15">
        <w:t xml:space="preserve">” </w:t>
      </w:r>
      <w:r w:rsidR="005208FF">
        <w:t xml:space="preserve"> (</w:t>
      </w:r>
      <w:r w:rsidRPr="005208FF" w:rsidR="005208FF">
        <w:rPr>
          <w:i/>
        </w:rPr>
        <w:t>Boling</w:t>
      </w:r>
      <w:r w:rsidR="005208FF">
        <w:t xml:space="preserve">, at p. 875.)  The court </w:t>
      </w:r>
      <w:r>
        <w:t>acknowledged</w:t>
      </w:r>
      <w:r w:rsidR="005208FF">
        <w:t xml:space="preserve"> that section </w:t>
      </w:r>
      <w:r w:rsidRPr="00585D15">
        <w:t>3505</w:t>
      </w:r>
      <w:r w:rsidR="007A4A9D">
        <w:t xml:space="preserve"> requires that</w:t>
      </w:r>
      <w:r w:rsidR="005208FF">
        <w:t xml:space="preserve"> </w:t>
      </w:r>
      <w:r w:rsidRPr="00585D15">
        <w:t>“</w:t>
      </w:r>
      <w:r w:rsidR="005208FF">
        <w:t> ‘</w:t>
      </w:r>
      <w:r w:rsidRPr="00585D15">
        <w:t xml:space="preserve">[t]he governing body </w:t>
      </w:r>
      <w:r>
        <w:t>. . .</w:t>
      </w:r>
      <w:r w:rsidRPr="00585D15">
        <w:t xml:space="preserve"> shall meet and confer </w:t>
      </w:r>
      <w:r>
        <w:t>. . .</w:t>
      </w:r>
      <w:r w:rsidRPr="00585D15">
        <w:t xml:space="preserve"> prior to arriving at a determination of policy or course of action</w:t>
      </w:r>
      <w:r w:rsidR="005208FF">
        <w:t>.’ </w:t>
      </w:r>
      <w:r w:rsidRPr="00585D15">
        <w:t>”</w:t>
      </w:r>
      <w:r w:rsidR="005208FF">
        <w:t xml:space="preserve">  (</w:t>
      </w:r>
      <w:r w:rsidRPr="005208FF" w:rsidR="005208FF">
        <w:rPr>
          <w:i/>
        </w:rPr>
        <w:t>Boling</w:t>
      </w:r>
      <w:r w:rsidR="005208FF">
        <w:t>, at p. 875.)</w:t>
      </w:r>
      <w:r w:rsidRPr="00585D15">
        <w:t xml:space="preserve"> </w:t>
      </w:r>
      <w:r>
        <w:t xml:space="preserve"> </w:t>
      </w:r>
      <w:r>
        <w:t>Yet,</w:t>
      </w:r>
      <w:r w:rsidR="005208FF">
        <w:t xml:space="preserve"> “[b]</w:t>
      </w:r>
      <w:r w:rsidRPr="00585D15">
        <w:t xml:space="preserve">ecause a citizen-sponsored initiative does not involve a proposal </w:t>
      </w:r>
      <w:r w:rsidRPr="00B57839">
        <w:rPr>
          <w:i/>
        </w:rPr>
        <w:t>by</w:t>
      </w:r>
      <w:r w:rsidRPr="00585D15">
        <w:t xml:space="preserve"> the </w:t>
      </w:r>
      <w:r>
        <w:t>‘</w:t>
      </w:r>
      <w:r w:rsidRPr="00585D15">
        <w:t>governing body,</w:t>
      </w:r>
      <w:r>
        <w:t>’</w:t>
      </w:r>
      <w:r>
        <w:t> ”</w:t>
      </w:r>
      <w:r w:rsidRPr="00585D15">
        <w:t xml:space="preserve"> </w:t>
      </w:r>
      <w:r>
        <w:t>the court concluded</w:t>
      </w:r>
      <w:r w:rsidRPr="00585D15">
        <w:t xml:space="preserve"> </w:t>
      </w:r>
      <w:r>
        <w:t>“</w:t>
      </w:r>
      <w:r w:rsidRPr="00585D15">
        <w:t>there are no analogous meet-and-confer requirements for citizen-sponsored initiatives</w:t>
      </w:r>
      <w:r>
        <w:t>.”  (</w:t>
      </w:r>
      <w:r w:rsidR="005208FF">
        <w:rPr>
          <w:i/>
        </w:rPr>
        <w:t>Ibid</w:t>
      </w:r>
      <w:r>
        <w:t>.)</w:t>
      </w:r>
    </w:p>
    <w:p w:rsidR="00C57FF8" w:rsidP="00C57FF8">
      <w:pPr>
        <w:spacing w:line="480" w:lineRule="atLeast"/>
        <w:ind w:firstLine="720"/>
      </w:pPr>
      <w:r w:rsidRPr="007B5569">
        <w:t xml:space="preserve">PERB </w:t>
      </w:r>
      <w:r w:rsidR="00AC57D2">
        <w:t>pointed out</w:t>
      </w:r>
      <w:r>
        <w:t xml:space="preserve"> that</w:t>
      </w:r>
      <w:r w:rsidRPr="007B5569">
        <w:t xml:space="preserve"> section 3505 </w:t>
      </w:r>
      <w:r w:rsidR="005208FF">
        <w:t xml:space="preserve">reaches more broadly.  It </w:t>
      </w:r>
      <w:r>
        <w:t>requires not only</w:t>
      </w:r>
      <w:r w:rsidRPr="007B5569">
        <w:t xml:space="preserve"> </w:t>
      </w:r>
      <w:r>
        <w:t>t</w:t>
      </w:r>
      <w:r w:rsidRPr="007B5569">
        <w:t>he governing body</w:t>
      </w:r>
      <w:r>
        <w:t>, but also its “</w:t>
      </w:r>
      <w:r w:rsidRPr="007B5569">
        <w:t>other representatives as may be properly designated</w:t>
      </w:r>
      <w:r>
        <w:t>” to</w:t>
      </w:r>
      <w:r w:rsidRPr="007B5569">
        <w:t xml:space="preserve"> </w:t>
      </w:r>
      <w:r>
        <w:t>meet and confer with regard to</w:t>
      </w:r>
      <w:r w:rsidRPr="007B5569">
        <w:t xml:space="preserve"> policy decisions </w:t>
      </w:r>
      <w:r w:rsidR="002649A7">
        <w:t xml:space="preserve">made </w:t>
      </w:r>
      <w:r w:rsidRPr="007B5569">
        <w:t xml:space="preserve">on </w:t>
      </w:r>
      <w:r w:rsidRPr="007B5569" w:rsidR="00D97DC4">
        <w:t>the agency</w:t>
      </w:r>
      <w:r w:rsidR="00D97DC4">
        <w:t>’s</w:t>
      </w:r>
      <w:r w:rsidRPr="007B5569" w:rsidR="00D97DC4">
        <w:t xml:space="preserve"> </w:t>
      </w:r>
      <w:r w:rsidR="00D97DC4">
        <w:t>behalf</w:t>
      </w:r>
      <w:r w:rsidRPr="007B5569">
        <w:t>.</w:t>
      </w:r>
      <w:r w:rsidR="001E6575">
        <w:t xml:space="preserve">  (§ 3505.)</w:t>
      </w:r>
      <w:r w:rsidRPr="007B5569">
        <w:t xml:space="preserve"> </w:t>
      </w:r>
      <w:r>
        <w:t xml:space="preserve"> The court</w:t>
      </w:r>
      <w:r w:rsidRPr="007B5569">
        <w:t xml:space="preserve"> </w:t>
      </w:r>
      <w:r w:rsidR="00AC57D2">
        <w:t>was not persuaded</w:t>
      </w:r>
      <w:r w:rsidR="002649A7">
        <w:t xml:space="preserve">.  </w:t>
      </w:r>
      <w:r>
        <w:t>“</w:t>
      </w:r>
      <w:r w:rsidR="002649A7">
        <w:t>W</w:t>
      </w:r>
      <w:r>
        <w:t xml:space="preserve">e </w:t>
      </w:r>
      <w:r w:rsidRPr="007B5569">
        <w:t xml:space="preserve">reject this reading of the statutory scheme. </w:t>
      </w:r>
      <w:r>
        <w:t xml:space="preserve"> </w:t>
      </w:r>
      <w:r w:rsidRPr="007B5569">
        <w:t xml:space="preserve">Section 3504.5, subdivision (a) describes </w:t>
      </w:r>
      <w:r w:rsidRPr="007B5569">
        <w:rPr>
          <w:i/>
        </w:rPr>
        <w:t>when</w:t>
      </w:r>
      <w:r w:rsidRPr="007B5569">
        <w:t xml:space="preserve"> meet-and-confer obligations are triggered (i.e., when there is an </w:t>
      </w:r>
      <w:r>
        <w:t>‘</w:t>
      </w:r>
      <w:r w:rsidRPr="007B5569">
        <w:t>ordinance, rule, resolution, or regulation directly relating to matters within the scope of representation proposed to be adopted by the governing body</w:t>
      </w:r>
      <w:r>
        <w:t>’</w:t>
      </w:r>
      <w:r w:rsidRPr="007B5569">
        <w:t xml:space="preserve">), and section 3505 describes </w:t>
      </w:r>
      <w:r w:rsidRPr="007B5569">
        <w:rPr>
          <w:i/>
        </w:rPr>
        <w:t>how</w:t>
      </w:r>
      <w:r w:rsidRPr="007B5569">
        <w:t xml:space="preserve"> that process should be accomplished, including </w:t>
      </w:r>
      <w:r w:rsidRPr="007B5569">
        <w:rPr>
          <w:i/>
        </w:rPr>
        <w:t>who</w:t>
      </w:r>
      <w:r w:rsidRPr="007B5569">
        <w:t xml:space="preserve"> (i.e., the </w:t>
      </w:r>
      <w:r w:rsidR="00D97DC4">
        <w:t>‘</w:t>
      </w:r>
      <w:r w:rsidRPr="007B5569">
        <w:t xml:space="preserve">governing body </w:t>
      </w:r>
      <w:r>
        <w:t>. . .</w:t>
      </w:r>
      <w:r w:rsidRPr="007B5569">
        <w:t xml:space="preserve"> or other representatives as may be properly designated by law or by such governing body</w:t>
      </w:r>
      <w:r w:rsidR="007B3844">
        <w:t>’</w:t>
      </w:r>
      <w:r w:rsidRPr="007B5569">
        <w:t xml:space="preserve">) shall participate on behalf of the governing body. </w:t>
      </w:r>
      <w:r>
        <w:t xml:space="preserve"> </w:t>
      </w:r>
      <w:r w:rsidRPr="007B5569">
        <w:t xml:space="preserve">The designation in section 3505 of who shall </w:t>
      </w:r>
      <w:r w:rsidRPr="007B5569">
        <w:rPr>
          <w:i/>
        </w:rPr>
        <w:t>conduct</w:t>
      </w:r>
      <w:r w:rsidRPr="007B5569">
        <w:t xml:space="preserve"> the meet-and-confer process does not expand who </w:t>
      </w:r>
      <w:r w:rsidRPr="007B5569">
        <w:rPr>
          <w:i/>
        </w:rPr>
        <w:t>owes</w:t>
      </w:r>
      <w:r w:rsidRPr="007B5569">
        <w:t xml:space="preserve"> the meet-and-confer obligations imposed by section 3504.5.</w:t>
      </w:r>
      <w:r>
        <w:t>”  (</w:t>
      </w:r>
      <w:r w:rsidRPr="00B31D4C">
        <w:rPr>
          <w:i/>
        </w:rPr>
        <w:t>Boling v. Public Employment Relations Bd.</w:t>
      </w:r>
      <w:r>
        <w:t>,</w:t>
      </w:r>
      <w:r w:rsidRPr="00994654">
        <w:t xml:space="preserve"> </w:t>
      </w:r>
      <w:r w:rsidRPr="00994654">
        <w:rPr>
          <w:i/>
        </w:rPr>
        <w:t>supra</w:t>
      </w:r>
      <w:r>
        <w:t>, 10 Cal.App.</w:t>
      </w:r>
      <w:r w:rsidRPr="00B31D4C">
        <w:t>5th</w:t>
      </w:r>
      <w:r>
        <w:t xml:space="preserve"> at p</w:t>
      </w:r>
      <w:r w:rsidR="008849A9">
        <w:t>p</w:t>
      </w:r>
      <w:r>
        <w:t>.</w:t>
      </w:r>
      <w:r w:rsidR="008849A9">
        <w:t xml:space="preserve"> </w:t>
      </w:r>
      <w:r>
        <w:t>882</w:t>
      </w:r>
      <w:r w:rsidR="008849A9">
        <w:t>-883</w:t>
      </w:r>
      <w:r>
        <w:t>, fn. 37.)</w:t>
      </w:r>
    </w:p>
    <w:p w:rsidR="007C548E" w:rsidP="00C57FF8">
      <w:pPr>
        <w:spacing w:line="480" w:lineRule="atLeast"/>
        <w:ind w:firstLine="720"/>
      </w:pPr>
      <w:r>
        <w:t xml:space="preserve">The </w:t>
      </w:r>
      <w:r w:rsidR="00E577B3">
        <w:t xml:space="preserve">court </w:t>
      </w:r>
      <w:r w:rsidR="00220095">
        <w:t>failed</w:t>
      </w:r>
      <w:r w:rsidR="00E577B3">
        <w:t xml:space="preserve"> to give PERB’s </w:t>
      </w:r>
      <w:r w:rsidR="00FE6728">
        <w:t>statutory</w:t>
      </w:r>
      <w:r w:rsidR="00E577B3">
        <w:t xml:space="preserve"> interpretation the deference to which it was due.  Sections 3504.5 and 3505 “ ‘</w:t>
      </w:r>
      <w:r w:rsidR="004F11B9">
        <w:t xml:space="preserve">fall[] </w:t>
      </w:r>
      <w:r w:rsidR="00E577B3">
        <w:t>squarely within PERB’</w:t>
      </w:r>
      <w:r w:rsidRPr="00ED5579" w:rsidR="00E577B3">
        <w:t>s legislatively designated field</w:t>
      </w:r>
      <w:r w:rsidR="00FE6728">
        <w:t xml:space="preserve"> of expertise.</w:t>
      </w:r>
      <w:r w:rsidR="00E577B3">
        <w:t>’ ”</w:t>
      </w:r>
      <w:r w:rsidR="00FE6728">
        <w:t xml:space="preserve"> </w:t>
      </w:r>
      <w:r w:rsidRPr="00E577B3" w:rsidR="00E577B3">
        <w:rPr>
          <w:i/>
        </w:rPr>
        <w:t xml:space="preserve"> </w:t>
      </w:r>
      <w:r w:rsidR="00E577B3">
        <w:t>(</w:t>
      </w:r>
      <w:r w:rsidRPr="00ED5579" w:rsidR="00E577B3">
        <w:rPr>
          <w:i/>
        </w:rPr>
        <w:t>Cumero v. Public Employment Relations Bd.</w:t>
      </w:r>
      <w:r w:rsidR="00E577B3">
        <w:t xml:space="preserve">, </w:t>
      </w:r>
      <w:r w:rsidRPr="00E577B3" w:rsidR="00E577B3">
        <w:rPr>
          <w:i/>
        </w:rPr>
        <w:t>supra</w:t>
      </w:r>
      <w:r w:rsidR="00E577B3">
        <w:t>, 49 Cal.</w:t>
      </w:r>
      <w:r w:rsidRPr="00ED5579" w:rsidR="00E577B3">
        <w:t xml:space="preserve">3d </w:t>
      </w:r>
      <w:r w:rsidR="00E577B3">
        <w:t>at p. 586</w:t>
      </w:r>
      <w:r w:rsidR="00FE6728">
        <w:t>.</w:t>
      </w:r>
      <w:r w:rsidR="00E577B3">
        <w:t>)</w:t>
      </w:r>
      <w:r w:rsidR="00FE6728">
        <w:t xml:space="preserve">  </w:t>
      </w:r>
      <w:r w:rsidR="00DF4A34">
        <w:t>Th</w:t>
      </w:r>
      <w:r w:rsidR="00534B60">
        <w:t>us</w:t>
      </w:r>
      <w:r w:rsidR="00CA6621">
        <w:t>,</w:t>
      </w:r>
      <w:r w:rsidR="00E577B3">
        <w:t xml:space="preserve"> the court should have “follow[ed] PERB’s interpretation unless it is clearly erroneous.”  (</w:t>
      </w:r>
      <w:r w:rsidRPr="00F00FBB" w:rsidR="00E577B3">
        <w:rPr>
          <w:i/>
        </w:rPr>
        <w:t>County of Los Angeles v. Los Angeles County Employee Relations Com.</w:t>
      </w:r>
      <w:r w:rsidR="00E577B3">
        <w:t xml:space="preserve">, </w:t>
      </w:r>
      <w:r w:rsidRPr="00E577B3" w:rsidR="00E577B3">
        <w:rPr>
          <w:i/>
        </w:rPr>
        <w:t>supra</w:t>
      </w:r>
      <w:r w:rsidR="00E577B3">
        <w:t>, 56 Cal.</w:t>
      </w:r>
      <w:r w:rsidRPr="00F00FBB" w:rsidR="00E577B3">
        <w:t xml:space="preserve">4th </w:t>
      </w:r>
      <w:r w:rsidR="00E577B3">
        <w:t xml:space="preserve">at p. 922.)  PERB’s </w:t>
      </w:r>
      <w:r w:rsidR="004F11B9">
        <w:t>reading is not clearly erroneous</w:t>
      </w:r>
      <w:r w:rsidR="00AC57D2">
        <w:t>.  To the contrary,</w:t>
      </w:r>
      <w:r w:rsidR="008A373F">
        <w:t xml:space="preserve"> it is</w:t>
      </w:r>
      <w:r w:rsidR="004F11B9">
        <w:t xml:space="preserve"> clearly correct.</w:t>
      </w:r>
    </w:p>
    <w:p w:rsidR="00C367EA" w:rsidP="00C57FF8">
      <w:pPr>
        <w:spacing w:line="480" w:lineRule="atLeast"/>
      </w:pPr>
      <w:r>
        <w:tab/>
      </w:r>
      <w:r w:rsidR="00376186">
        <w:t xml:space="preserve">The court’s attempt to derive the duty to meet and confer from </w:t>
      </w:r>
      <w:r w:rsidR="00D648CA">
        <w:t xml:space="preserve">the notice provision of </w:t>
      </w:r>
      <w:r w:rsidR="00376186">
        <w:t xml:space="preserve">section 3504.5, subdivision (a) finds no support in precedent or statutory language.  </w:t>
      </w:r>
      <w:r w:rsidR="00F70584">
        <w:t>We</w:t>
      </w:r>
      <w:r>
        <w:t xml:space="preserve"> have consistently located the source of th</w:t>
      </w:r>
      <w:r w:rsidR="00D648CA">
        <w:t>e actual</w:t>
      </w:r>
      <w:r>
        <w:t xml:space="preserve"> duty</w:t>
      </w:r>
      <w:r w:rsidR="00D648CA">
        <w:t xml:space="preserve"> to meet and confer</w:t>
      </w:r>
      <w:r>
        <w:t xml:space="preserve"> in section 3505</w:t>
      </w:r>
      <w:r w:rsidR="00502DC9">
        <w:t>, where th</w:t>
      </w:r>
      <w:r w:rsidR="00CE366C">
        <w:t>e</w:t>
      </w:r>
      <w:r w:rsidR="00502DC9">
        <w:t xml:space="preserve"> term </w:t>
      </w:r>
      <w:r w:rsidR="00466318">
        <w:t xml:space="preserve">“meet and confer” </w:t>
      </w:r>
      <w:r w:rsidR="00502DC9">
        <w:t>appears and is defined</w:t>
      </w:r>
      <w:r>
        <w:t>.  (</w:t>
      </w:r>
      <w:r w:rsidR="003F7C7D">
        <w:t xml:space="preserve">E.g., </w:t>
      </w:r>
      <w:r w:rsidRPr="00F00FBB" w:rsidR="003F7C7D">
        <w:rPr>
          <w:i/>
        </w:rPr>
        <w:t>County of Los Angeles v. Los Angeles County Employee Relations Com.</w:t>
      </w:r>
      <w:r w:rsidR="003F7C7D">
        <w:t xml:space="preserve">, </w:t>
      </w:r>
      <w:r w:rsidRPr="00E577B3" w:rsidR="003F7C7D">
        <w:rPr>
          <w:i/>
        </w:rPr>
        <w:t>supra</w:t>
      </w:r>
      <w:r w:rsidR="003F7C7D">
        <w:t>, 56 Cal.</w:t>
      </w:r>
      <w:r w:rsidRPr="00F00FBB" w:rsidR="003F7C7D">
        <w:t xml:space="preserve">4th </w:t>
      </w:r>
      <w:r w:rsidR="003F7C7D">
        <w:t xml:space="preserve">at p. 922; </w:t>
      </w:r>
      <w:r w:rsidRPr="00681F19" w:rsidR="00F70584">
        <w:rPr>
          <w:i/>
        </w:rPr>
        <w:t>Voters for Responsible Retirement v. Board of Supervisors</w:t>
      </w:r>
      <w:r w:rsidR="00F70584">
        <w:t xml:space="preserve">, </w:t>
      </w:r>
      <w:r w:rsidRPr="00E577B3" w:rsidR="00F70584">
        <w:rPr>
          <w:i/>
        </w:rPr>
        <w:t>supra</w:t>
      </w:r>
      <w:r w:rsidR="00F70584">
        <w:t xml:space="preserve">, </w:t>
      </w:r>
      <w:r w:rsidR="00A61026">
        <w:t>8 Cal.</w:t>
      </w:r>
      <w:r w:rsidRPr="00681F19" w:rsidR="00F70584">
        <w:t xml:space="preserve">4th </w:t>
      </w:r>
      <w:r w:rsidR="00F70584">
        <w:t>at p. 7</w:t>
      </w:r>
      <w:r w:rsidR="008849A9">
        <w:t>80</w:t>
      </w:r>
      <w:r w:rsidR="00F70584">
        <w:t xml:space="preserve">; </w:t>
      </w:r>
      <w:r w:rsidRPr="001E6656" w:rsidR="00F70584">
        <w:rPr>
          <w:i/>
        </w:rPr>
        <w:t>Seal Beach</w:t>
      </w:r>
      <w:r w:rsidR="00F70584">
        <w:t xml:space="preserve">, </w:t>
      </w:r>
      <w:r w:rsidRPr="001E6656" w:rsidR="00F70584">
        <w:rPr>
          <w:i/>
        </w:rPr>
        <w:t>supra</w:t>
      </w:r>
      <w:r w:rsidR="00A872A5">
        <w:t>, 36 Cal.3d at p. 596.)  As noted, s</w:t>
      </w:r>
      <w:r w:rsidR="00F70584">
        <w:t>ection 3504.5, subdivision (a</w:t>
      </w:r>
      <w:r w:rsidR="00DF4A34">
        <w:t>)</w:t>
      </w:r>
      <w:r w:rsidR="00F70584">
        <w:t xml:space="preserve"> is pri</w:t>
      </w:r>
      <w:r w:rsidR="00376186">
        <w:t>mari</w:t>
      </w:r>
      <w:r w:rsidR="00F70584">
        <w:t xml:space="preserve">ly concerned with requiring notice to employee organizations in one particular circumstance:  when a </w:t>
      </w:r>
      <w:r w:rsidRPr="00F70584" w:rsidR="00F70584">
        <w:t xml:space="preserve">governing body </w:t>
      </w:r>
      <w:r w:rsidR="00F70584">
        <w:t>proposes</w:t>
      </w:r>
      <w:r w:rsidRPr="00F70584" w:rsidR="00F70584">
        <w:t xml:space="preserve"> </w:t>
      </w:r>
      <w:r w:rsidR="00376186">
        <w:t>a measure</w:t>
      </w:r>
      <w:r w:rsidRPr="00F70584" w:rsidR="00F70584">
        <w:t xml:space="preserve"> </w:t>
      </w:r>
      <w:r w:rsidR="00376186">
        <w:t>affecting</w:t>
      </w:r>
      <w:r w:rsidRPr="00F70584" w:rsidR="00F70584">
        <w:t xml:space="preserve"> matters within the scope of representation</w:t>
      </w:r>
      <w:r w:rsidR="00376186">
        <w:t>.</w:t>
      </w:r>
      <w:r w:rsidR="00F70584">
        <w:t xml:space="preserve">  (See </w:t>
      </w:r>
      <w:r w:rsidRPr="00F70584" w:rsidR="00F70584">
        <w:rPr>
          <w:i/>
        </w:rPr>
        <w:t>Building Material &amp; Construction Teamsters’ Union v. Farrell</w:t>
      </w:r>
      <w:r w:rsidR="00F70584">
        <w:t xml:space="preserve"> (1986)</w:t>
      </w:r>
      <w:r w:rsidR="00D75A32">
        <w:t xml:space="preserve"> 41 Cal.</w:t>
      </w:r>
      <w:r w:rsidRPr="00F70584" w:rsidR="00F70584">
        <w:t>3d 651</w:t>
      </w:r>
      <w:r w:rsidR="00F70584">
        <w:t>, 657.)  It include</w:t>
      </w:r>
      <w:r w:rsidR="00376186">
        <w:t>s</w:t>
      </w:r>
      <w:r w:rsidR="00F70584">
        <w:t xml:space="preserve"> </w:t>
      </w:r>
      <w:r w:rsidR="00376186">
        <w:t>no</w:t>
      </w:r>
      <w:r w:rsidR="00F70584">
        <w:t xml:space="preserve"> </w:t>
      </w:r>
      <w:r w:rsidR="00A872A5">
        <w:t xml:space="preserve">independent </w:t>
      </w:r>
      <w:r w:rsidR="00F70584">
        <w:t>requireme</w:t>
      </w:r>
      <w:r w:rsidR="00A872A5">
        <w:t>nt to meet and confer, but provides</w:t>
      </w:r>
      <w:r w:rsidR="00F70584">
        <w:t xml:space="preserve"> only that the governing body </w:t>
      </w:r>
      <w:r w:rsidR="00502DC9">
        <w:t>must</w:t>
      </w:r>
      <w:r w:rsidR="00D91331">
        <w:t xml:space="preserve"> give the employee orga</w:t>
      </w:r>
      <w:r w:rsidR="00F70584">
        <w:t>n</w:t>
      </w:r>
      <w:r w:rsidR="00D91331">
        <w:t>iz</w:t>
      </w:r>
      <w:r w:rsidR="00F70584">
        <w:t>ation</w:t>
      </w:r>
      <w:r w:rsidR="00D91331">
        <w:t xml:space="preserve"> </w:t>
      </w:r>
      <w:r w:rsidR="00502DC9">
        <w:t>“</w:t>
      </w:r>
      <w:r w:rsidRPr="00502DC9" w:rsidR="00502DC9">
        <w:t>the opportunity to meet</w:t>
      </w:r>
      <w:r w:rsidR="00502DC9">
        <w:t>.”  (</w:t>
      </w:r>
      <w:r w:rsidRPr="00C42487" w:rsidR="00502DC9">
        <w:t>§</w:t>
      </w:r>
      <w:r w:rsidR="00502DC9">
        <w:t> 350</w:t>
      </w:r>
      <w:r w:rsidR="00D91331">
        <w:t>4</w:t>
      </w:r>
      <w:r w:rsidR="00502DC9">
        <w:t>.5, subd. (a)</w:t>
      </w:r>
      <w:r w:rsidR="00376186">
        <w:t>.)  Court</w:t>
      </w:r>
      <w:r w:rsidR="00466318">
        <w:t>s</w:t>
      </w:r>
      <w:r w:rsidR="00376186">
        <w:t xml:space="preserve"> have long </w:t>
      </w:r>
      <w:r w:rsidR="00A872A5">
        <w:t>held</w:t>
      </w:r>
      <w:r w:rsidR="00376186">
        <w:t xml:space="preserve"> that</w:t>
      </w:r>
      <w:r w:rsidRPr="00376186" w:rsidR="00376186">
        <w:t xml:space="preserve"> </w:t>
      </w:r>
      <w:r w:rsidR="00376186">
        <w:t>the duty to meet and confer under section 3505 applies</w:t>
      </w:r>
      <w:r w:rsidRPr="00D91331" w:rsidR="00376186">
        <w:rPr>
          <w:i/>
        </w:rPr>
        <w:t xml:space="preserve"> in addition</w:t>
      </w:r>
      <w:r w:rsidR="00376186">
        <w:t xml:space="preserve"> </w:t>
      </w:r>
      <w:r w:rsidRPr="00B22217" w:rsidR="00376186">
        <w:rPr>
          <w:i/>
        </w:rPr>
        <w:t>to</w:t>
      </w:r>
      <w:r w:rsidR="00376186">
        <w:t xml:space="preserve"> the requirements of section 3504.5.  (</w:t>
      </w:r>
      <w:r w:rsidRPr="00376186" w:rsidR="00376186">
        <w:rPr>
          <w:i/>
        </w:rPr>
        <w:t>R</w:t>
      </w:r>
      <w:r w:rsidRPr="00D91331" w:rsidR="00D91331">
        <w:rPr>
          <w:i/>
        </w:rPr>
        <w:t>iverside Sheriff’s Assn. v. County of Riverside</w:t>
      </w:r>
      <w:r w:rsidR="00D91331">
        <w:t xml:space="preserve"> (2003) 106 Cal.App.</w:t>
      </w:r>
      <w:r w:rsidRPr="00D91331" w:rsidR="00D91331">
        <w:t>4th 1285</w:t>
      </w:r>
      <w:r w:rsidR="00D91331">
        <w:t xml:space="preserve">, </w:t>
      </w:r>
      <w:r w:rsidR="008849A9">
        <w:t>1289-</w:t>
      </w:r>
      <w:r w:rsidR="00D91331">
        <w:t>1290</w:t>
      </w:r>
      <w:r w:rsidR="00AC57D2">
        <w:t xml:space="preserve">; </w:t>
      </w:r>
      <w:r w:rsidRPr="00AC57D2" w:rsidR="00AC57D2">
        <w:rPr>
          <w:i/>
        </w:rPr>
        <w:t>Vernon Fire Fighters v. City of Vernon</w:t>
      </w:r>
      <w:r w:rsidR="00AC57D2">
        <w:t xml:space="preserve"> (1980)</w:t>
      </w:r>
      <w:r w:rsidR="00D97DC4">
        <w:t xml:space="preserve"> 107 Cal.</w:t>
      </w:r>
      <w:r w:rsidR="007B3844">
        <w:t>App.</w:t>
      </w:r>
      <w:r w:rsidRPr="00AC57D2" w:rsidR="00AC57D2">
        <w:t>3d 802</w:t>
      </w:r>
      <w:r w:rsidR="00AC57D2">
        <w:t>, 811</w:t>
      </w:r>
      <w:r w:rsidR="00466318">
        <w:t xml:space="preserve">; </w:t>
      </w:r>
      <w:r w:rsidRPr="00466318" w:rsidR="00466318">
        <w:rPr>
          <w:i/>
        </w:rPr>
        <w:t xml:space="preserve">International Assn. of Fire Fighters Union v. </w:t>
      </w:r>
      <w:r w:rsidR="008849A9">
        <w:rPr>
          <w:i/>
        </w:rPr>
        <w:t xml:space="preserve">City of </w:t>
      </w:r>
      <w:r w:rsidRPr="00466318" w:rsidR="00466318">
        <w:rPr>
          <w:i/>
        </w:rPr>
        <w:t xml:space="preserve">Pleasanton </w:t>
      </w:r>
      <w:r w:rsidR="00466318">
        <w:t>(1976) 56 Cal.App.</w:t>
      </w:r>
      <w:r w:rsidRPr="00466318" w:rsidR="00466318">
        <w:t>3d 959</w:t>
      </w:r>
      <w:r w:rsidR="00466318">
        <w:t>, 966</w:t>
      </w:r>
      <w:r w:rsidR="00502DC9">
        <w:t>.)</w:t>
      </w:r>
    </w:p>
    <w:p w:rsidR="00A66AF5" w:rsidP="00C57FF8">
      <w:pPr>
        <w:spacing w:line="480" w:lineRule="atLeast"/>
      </w:pPr>
      <w:r>
        <w:tab/>
      </w:r>
      <w:r w:rsidR="00466318">
        <w:t>S</w:t>
      </w:r>
      <w:r>
        <w:t xml:space="preserve">ection 3505 </w:t>
      </w:r>
      <w:r w:rsidR="00466318">
        <w:t xml:space="preserve">expressly </w:t>
      </w:r>
      <w:r>
        <w:t xml:space="preserve">imposes the duty to meet and confer </w:t>
      </w:r>
      <w:r w:rsidR="00466318">
        <w:t xml:space="preserve">on “[t]he </w:t>
      </w:r>
      <w:r w:rsidRPr="00466318" w:rsidR="00466318">
        <w:t xml:space="preserve">governing body of a public agency, or such boards, commissions, </w:t>
      </w:r>
      <w:r w:rsidRPr="00466318" w:rsidR="00466318">
        <w:rPr>
          <w:i/>
        </w:rPr>
        <w:t>administrative officers or other representatives as may be properly designated by law</w:t>
      </w:r>
      <w:r w:rsidRPr="00466318" w:rsidR="00466318">
        <w:t xml:space="preserve"> or by such governing body</w:t>
      </w:r>
      <w:r w:rsidR="00466318">
        <w:t>.”  (Italics added.)</w:t>
      </w:r>
      <w:r>
        <w:t xml:space="preserve">  </w:t>
      </w:r>
      <w:r w:rsidR="0010031A">
        <w:t xml:space="preserve">As PERB points out, the duty </w:t>
      </w:r>
      <w:r w:rsidR="001C75CC">
        <w:t>regularly</w:t>
      </w:r>
      <w:r w:rsidR="0010031A">
        <w:t xml:space="preserve"> </w:t>
      </w:r>
      <w:r w:rsidR="00FE6728">
        <w:t>attaches</w:t>
      </w:r>
      <w:r w:rsidR="00840107">
        <w:t xml:space="preserve"> to</w:t>
      </w:r>
      <w:r w:rsidR="0010031A">
        <w:t xml:space="preserve"> actions taken by </w:t>
      </w:r>
      <w:r w:rsidR="00FE6728">
        <w:t>agency</w:t>
      </w:r>
      <w:r w:rsidR="0010031A">
        <w:t xml:space="preserve"> representatives without</w:t>
      </w:r>
      <w:r w:rsidRPr="00CA6621" w:rsidR="00CA6621">
        <w:t xml:space="preserve"> </w:t>
      </w:r>
      <w:r w:rsidR="00CA6621">
        <w:t>a governing body’s</w:t>
      </w:r>
      <w:r w:rsidR="0010031A">
        <w:t xml:space="preserve"> participation.  </w:t>
      </w:r>
      <w:r w:rsidRPr="007938F1" w:rsidR="0010031A">
        <w:t xml:space="preserve">(E.g., </w:t>
      </w:r>
      <w:r w:rsidRPr="007938F1" w:rsidR="001C75CC">
        <w:rPr>
          <w:i/>
        </w:rPr>
        <w:t>Indio Police Command Unit Assn. v. City of Indio</w:t>
      </w:r>
      <w:r w:rsidRPr="007938F1" w:rsidR="001C75CC">
        <w:t xml:space="preserve"> (2014) 230 Cal.App.4th 521, 527-528, 539; [police chief reorganized department]; </w:t>
      </w:r>
      <w:r w:rsidRPr="007938F1" w:rsidR="0010031A">
        <w:rPr>
          <w:i/>
        </w:rPr>
        <w:t>Holliday v. City of Modesto</w:t>
      </w:r>
      <w:r w:rsidRPr="007938F1" w:rsidR="0010031A">
        <w:rPr>
          <w:rStyle w:val="injectednode"/>
        </w:rPr>
        <w:t xml:space="preserve"> (1991) 229 Cal.App.3d 528, 531 540 [fire chief issued drug test directive];</w:t>
      </w:r>
      <w:r w:rsidRPr="007938F1" w:rsidR="0010031A">
        <w:rPr>
          <w:i/>
        </w:rPr>
        <w:t xml:space="preserve"> Long Beach Police Officer Assn. v. City of Long Beach</w:t>
      </w:r>
      <w:r w:rsidRPr="007938F1" w:rsidR="0010031A">
        <w:t xml:space="preserve"> (1984) 156 Cal.App.3d 996, 999, 1011 [police chief altered practice relating to shooting incidents]; </w:t>
      </w:r>
      <w:r w:rsidRPr="007938F1" w:rsidR="0010031A">
        <w:rPr>
          <w:i/>
        </w:rPr>
        <w:t>Solano County Employees’ Assn. v. County of Solano</w:t>
      </w:r>
      <w:r w:rsidRPr="007938F1" w:rsidR="0010031A">
        <w:t xml:space="preserve"> (1982) 136 Cal.App.3d 256, 258, 265</w:t>
      </w:r>
      <w:r w:rsidRPr="007938F1" w:rsidR="002C7640">
        <w:t xml:space="preserve"> </w:t>
      </w:r>
      <w:r w:rsidRPr="007938F1" w:rsidR="0010031A">
        <w:t>[county administrator altered vehicle use policy]</w:t>
      </w:r>
      <w:r w:rsidRPr="007938F1" w:rsidR="001C75CC">
        <w:t xml:space="preserve">.)  </w:t>
      </w:r>
      <w:r w:rsidR="001C75CC">
        <w:t xml:space="preserve">Here, the mayor was </w:t>
      </w:r>
      <w:r w:rsidR="00A80123">
        <w:t xml:space="preserve">the city’s chief executive, empowered </w:t>
      </w:r>
      <w:r w:rsidR="00CA6621">
        <w:t xml:space="preserve">by the city charter </w:t>
      </w:r>
      <w:r w:rsidR="00A80123">
        <w:t>to make</w:t>
      </w:r>
      <w:r w:rsidR="003B7E34">
        <w:t xml:space="preserve"> policy </w:t>
      </w:r>
      <w:r w:rsidR="00FE6728">
        <w:t>recommendations</w:t>
      </w:r>
      <w:r w:rsidR="00840107">
        <w:t xml:space="preserve"> </w:t>
      </w:r>
      <w:r w:rsidR="00A80123">
        <w:t xml:space="preserve">with regard to city employees </w:t>
      </w:r>
      <w:r w:rsidR="00840107">
        <w:t>and to negotiate with the city’s unions.  Under</w:t>
      </w:r>
      <w:r w:rsidR="00A503DC">
        <w:t xml:space="preserve"> the terms of</w:t>
      </w:r>
      <w:r w:rsidR="00840107">
        <w:t xml:space="preserve"> section 3505, he was required to meet and confer with the unions</w:t>
      </w:r>
      <w:r w:rsidR="00A61026">
        <w:t xml:space="preserve"> </w:t>
      </w:r>
      <w:r w:rsidR="00840107">
        <w:t>“</w:t>
      </w:r>
      <w:r w:rsidRPr="00840107" w:rsidR="00840107">
        <w:t>prior to arriving at a determination of policy or course of action</w:t>
      </w:r>
      <w:r w:rsidR="00840107">
        <w:t xml:space="preserve">” </w:t>
      </w:r>
      <w:r w:rsidR="008A6681">
        <w:t>on matters affecting the “terms and conditions of employment.”</w:t>
      </w:r>
      <w:r>
        <w:rPr>
          <w:rStyle w:val="FootnoteReference"/>
        </w:rPr>
        <w:footnoteReference w:id="11"/>
      </w:r>
    </w:p>
    <w:p w:rsidR="0031091A" w:rsidP="00A66AF5">
      <w:pPr>
        <w:spacing w:line="480" w:lineRule="atLeast"/>
        <w:ind w:firstLine="720"/>
      </w:pPr>
      <w:r>
        <w:t>Any doubts as to whether these key terms of section 3505 extend</w:t>
      </w:r>
      <w:r w:rsidR="002A1F88">
        <w:t>ed</w:t>
      </w:r>
      <w:r>
        <w:t xml:space="preserve"> to </w:t>
      </w:r>
      <w:r w:rsidR="00A61026">
        <w:t>the mayor’s</w:t>
      </w:r>
      <w:r>
        <w:t xml:space="preserve"> sponsorship </w:t>
      </w:r>
      <w:r w:rsidR="00CE366C">
        <w:t xml:space="preserve">of the </w:t>
      </w:r>
      <w:r w:rsidR="001143F9">
        <w:t>Initiative</w:t>
      </w:r>
      <w:r>
        <w:t xml:space="preserve"> must be resolved by adopting “</w:t>
      </w:r>
      <w:r w:rsidRPr="00A66AF5">
        <w:t>the construction that comports mo</w:t>
      </w:r>
      <w:r>
        <w:t>st closely with the Legislature’</w:t>
      </w:r>
      <w:r w:rsidRPr="00A66AF5">
        <w:t>s apparent intent, with a view to promoting rat</w:t>
      </w:r>
      <w:r>
        <w:t>her than defeating the [statute’s]</w:t>
      </w:r>
      <w:r w:rsidRPr="00A66AF5">
        <w:t xml:space="preserve"> general purpose, and to avoid a construction that would lead to unreasonable, impractical, or arbitrary results.</w:t>
      </w:r>
      <w:r>
        <w:t xml:space="preserve"> </w:t>
      </w:r>
      <w:r w:rsidRPr="00A66AF5">
        <w:t xml:space="preserve"> </w:t>
      </w:r>
      <w:r>
        <w:t>[Citations.</w:t>
      </w:r>
      <w:r w:rsidRPr="00A66AF5">
        <w:t xml:space="preserve">]  We will not adopt </w:t>
      </w:r>
      <w:r>
        <w:t>‘</w:t>
      </w:r>
      <w:r w:rsidRPr="00A66AF5">
        <w:t>[a] narrow or restricted meaning</w:t>
      </w:r>
      <w:r>
        <w:t>’</w:t>
      </w:r>
      <w:r w:rsidRPr="00A66AF5">
        <w:t xml:space="preserve"> of statutory language</w:t>
      </w:r>
      <w:r>
        <w:t xml:space="preserve"> </w:t>
      </w:r>
      <w:r>
        <w:t>‘</w:t>
      </w:r>
      <w:r w:rsidRPr="00A66AF5">
        <w:t>if it would result in an evasion of the evident purpose of [a statute], when a permissible, but broader, meaning would prevent the evasion and carry out that purpose.</w:t>
      </w:r>
      <w:r>
        <w:t>’ ”  (</w:t>
      </w:r>
      <w:r w:rsidRPr="0031091A">
        <w:rPr>
          <w:i/>
        </w:rPr>
        <w:t>Copley Press, Inc. v. Superior Court</w:t>
      </w:r>
      <w:r>
        <w:t xml:space="preserve"> (2006)</w:t>
      </w:r>
      <w:r w:rsidR="00D97DC4">
        <w:t xml:space="preserve"> 39 Cal.</w:t>
      </w:r>
      <w:r w:rsidRPr="0031091A">
        <w:t>4th 1272</w:t>
      </w:r>
      <w:r>
        <w:t xml:space="preserve">, 1291-1292.)  </w:t>
      </w:r>
      <w:r w:rsidR="002C7640">
        <w:t>Allowing</w:t>
      </w:r>
      <w:r>
        <w:t xml:space="preserve"> public officials to </w:t>
      </w:r>
      <w:r w:rsidR="002C7640">
        <w:t xml:space="preserve">purposefully </w:t>
      </w:r>
      <w:r w:rsidR="00CE366C">
        <w:t>evade</w:t>
      </w:r>
      <w:r>
        <w:t xml:space="preserve"> the meet-and-confer requirements of the MMBA by</w:t>
      </w:r>
      <w:r w:rsidR="002F24C0">
        <w:t xml:space="preserve"> officially</w:t>
      </w:r>
      <w:r>
        <w:t xml:space="preserve"> </w:t>
      </w:r>
      <w:r w:rsidR="001F1622">
        <w:t xml:space="preserve">sponsoring a </w:t>
      </w:r>
      <w:r>
        <w:t>citizen</w:t>
      </w:r>
      <w:r w:rsidR="00CE366C">
        <w:t>s’</w:t>
      </w:r>
      <w:r>
        <w:t xml:space="preserve"> initiative would seriously undermine the policies served by the statute:  fostering</w:t>
      </w:r>
      <w:r w:rsidRPr="001E6656">
        <w:t xml:space="preserve"> </w:t>
      </w:r>
      <w:r>
        <w:t>full</w:t>
      </w:r>
      <w:r w:rsidRPr="001E6656">
        <w:t xml:space="preserve"> </w:t>
      </w:r>
      <w:r>
        <w:t>c</w:t>
      </w:r>
      <w:r w:rsidRPr="001E6656">
        <w:t>ommunication between public employers and employees</w:t>
      </w:r>
      <w:r>
        <w:t>, a</w:t>
      </w:r>
      <w:r w:rsidR="00E51B93">
        <w:t>s well as</w:t>
      </w:r>
      <w:r>
        <w:t xml:space="preserve"> improving</w:t>
      </w:r>
      <w:r w:rsidRPr="001E6656">
        <w:t xml:space="preserve"> personnel management and employer-employee relations. </w:t>
      </w:r>
      <w:r>
        <w:t xml:space="preserve"> </w:t>
      </w:r>
      <w:r w:rsidRPr="001E6656">
        <w:t>(§ 3500</w:t>
      </w:r>
      <w:r>
        <w:t xml:space="preserve">; </w:t>
      </w:r>
      <w:r w:rsidRPr="001E6656">
        <w:rPr>
          <w:i/>
        </w:rPr>
        <w:t>Seal Beach</w:t>
      </w:r>
      <w:r>
        <w:t xml:space="preserve">, </w:t>
      </w:r>
      <w:r w:rsidRPr="001E6656">
        <w:rPr>
          <w:i/>
        </w:rPr>
        <w:t>supra</w:t>
      </w:r>
      <w:r>
        <w:t>, 36 Cal.3d at p. 597.)</w:t>
      </w:r>
    </w:p>
    <w:p w:rsidR="00EB0DA4" w:rsidP="0031091A">
      <w:pPr>
        <w:spacing w:line="480" w:lineRule="atLeast"/>
        <w:ind w:firstLine="720"/>
      </w:pPr>
      <w:r>
        <w:t xml:space="preserve">Under the facts presented here, Sanders </w:t>
      </w:r>
      <w:r w:rsidR="002A703B">
        <w:t>purs</w:t>
      </w:r>
      <w:r w:rsidR="008455D2">
        <w:t>u</w:t>
      </w:r>
      <w:r w:rsidR="002A703B">
        <w:t>ed pension reform as a matter of policy while</w:t>
      </w:r>
      <w:r>
        <w:t xml:space="preserve"> acting as the city’s chief executive officer</w:t>
      </w:r>
      <w:r w:rsidR="002A703B">
        <w:t xml:space="preserve">.  As a “strong mayor” and the city’s designated bargaining </w:t>
      </w:r>
      <w:r w:rsidR="00192ACC">
        <w:t>agent,</w:t>
      </w:r>
      <w:r w:rsidR="002A703B">
        <w:t xml:space="preserve"> he was </w:t>
      </w:r>
      <w:r w:rsidR="00192ACC">
        <w:t xml:space="preserve">required to meet and confer with employee representatives in this process.  </w:t>
      </w:r>
      <w:r w:rsidR="00A61026">
        <w:t>The</w:t>
      </w:r>
      <w:r w:rsidR="008A6681">
        <w:t xml:space="preserve"> obligation to meet and confer </w:t>
      </w:r>
      <w:r w:rsidR="00A61026">
        <w:t>did not depend</w:t>
      </w:r>
      <w:r w:rsidR="008A6681">
        <w:t xml:space="preserve"> on the</w:t>
      </w:r>
      <w:r w:rsidR="00840107">
        <w:t xml:space="preserve"> means </w:t>
      </w:r>
      <w:r w:rsidR="00192ACC">
        <w:t>he</w:t>
      </w:r>
      <w:r w:rsidR="008A6681">
        <w:t xml:space="preserve"> </w:t>
      </w:r>
      <w:r w:rsidR="00840107">
        <w:t xml:space="preserve">chose to </w:t>
      </w:r>
      <w:r w:rsidR="008A6681">
        <w:t>reach</w:t>
      </w:r>
      <w:r w:rsidR="00840107">
        <w:t xml:space="preserve"> </w:t>
      </w:r>
      <w:r w:rsidR="0031091A">
        <w:t>his</w:t>
      </w:r>
      <w:r w:rsidR="00192ACC">
        <w:t xml:space="preserve"> policy</w:t>
      </w:r>
      <w:r w:rsidR="0031091A">
        <w:t xml:space="preserve"> objectives</w:t>
      </w:r>
      <w:r w:rsidR="00840107">
        <w:t xml:space="preserve"> or </w:t>
      </w:r>
      <w:r w:rsidR="009956DF">
        <w:t xml:space="preserve">the </w:t>
      </w:r>
      <w:r w:rsidR="00CE366C">
        <w:t>role of</w:t>
      </w:r>
      <w:r w:rsidR="00840107">
        <w:t xml:space="preserve"> the city council </w:t>
      </w:r>
      <w:r w:rsidR="00CE366C">
        <w:t>in the process</w:t>
      </w:r>
      <w:r w:rsidR="00840107">
        <w:t xml:space="preserve">.  Because </w:t>
      </w:r>
      <w:r w:rsidR="008C21E9">
        <w:t>t</w:t>
      </w:r>
      <w:r w:rsidR="00CE366C">
        <w:t>he</w:t>
      </w:r>
      <w:r w:rsidR="008C21E9">
        <w:t xml:space="preserve"> mayor</w:t>
      </w:r>
      <w:r w:rsidR="00840107">
        <w:t xml:space="preserve"> was </w:t>
      </w:r>
      <w:r w:rsidR="00A61026">
        <w:t xml:space="preserve">directly </w:t>
      </w:r>
      <w:r w:rsidR="00D56676">
        <w:t xml:space="preserve">exercising his executive </w:t>
      </w:r>
      <w:r w:rsidR="00840107">
        <w:t>authority on behalf of the city, no resort to agency principles is required to bring him w</w:t>
      </w:r>
      <w:r w:rsidR="00CE366C">
        <w:t>ithin the scope of section 3505.</w:t>
      </w:r>
      <w:r w:rsidR="00A110F3">
        <w:t xml:space="preserve">  </w:t>
      </w:r>
      <w:r w:rsidR="00192ACC">
        <w:t>Moreover, e</w:t>
      </w:r>
      <w:r w:rsidR="00BF1B6E">
        <w:t xml:space="preserve">ven if </w:t>
      </w:r>
      <w:r w:rsidR="00192ACC">
        <w:t>one could argue Sanders</w:t>
      </w:r>
      <w:r w:rsidR="00BF1B6E">
        <w:t xml:space="preserve"> acted beyond the scope of his mayoral authority, it cannot be that an executive action within the scope of the executive’s authority would trig</w:t>
      </w:r>
      <w:r w:rsidR="00192ACC">
        <w:t>ger the duty to meet and confer</w:t>
      </w:r>
      <w:r w:rsidR="00BF1B6E">
        <w:t xml:space="preserve"> but one exceeding that authority would not.  </w:t>
      </w:r>
      <w:r w:rsidR="00CB39A1">
        <w:t>Such a rule</w:t>
      </w:r>
      <w:r w:rsidR="00BF1B6E">
        <w:t xml:space="preserve"> would be contrary to the broad purposes of the MMBA.  The relevant question is whether the </w:t>
      </w:r>
      <w:r w:rsidR="00A503DC">
        <w:t xml:space="preserve">executive is using the powers </w:t>
      </w:r>
      <w:r w:rsidR="00FE6DCD">
        <w:t xml:space="preserve">and resources </w:t>
      </w:r>
      <w:r w:rsidR="00A503DC">
        <w:t xml:space="preserve">of </w:t>
      </w:r>
      <w:r w:rsidR="008455D2">
        <w:t xml:space="preserve">his </w:t>
      </w:r>
      <w:r w:rsidR="00A503DC">
        <w:t xml:space="preserve">office to </w:t>
      </w:r>
      <w:r w:rsidR="00CB39A1">
        <w:t>alter</w:t>
      </w:r>
      <w:r w:rsidR="00A503DC">
        <w:t xml:space="preserve"> the terms and conditions of employment.</w:t>
      </w:r>
    </w:p>
    <w:p w:rsidR="003B7E34" w:rsidP="0031091A">
      <w:pPr>
        <w:spacing w:line="480" w:lineRule="atLeast"/>
        <w:ind w:firstLine="720"/>
      </w:pPr>
      <w:r>
        <w:t xml:space="preserve">Here the answer is plainly “yes.”  </w:t>
      </w:r>
      <w:r w:rsidR="00EB0DA4">
        <w:t xml:space="preserve">Sanders </w:t>
      </w:r>
      <w:r w:rsidR="008C21E9">
        <w:t>informed San Diegans that he would place a pension reform measure on the ballot as part of his “agenda to streamline city operations,</w:t>
      </w:r>
      <w:r w:rsidRPr="008C21E9" w:rsidR="008C21E9">
        <w:t xml:space="preserve"> increase accountability and reduce pension costs</w:t>
      </w:r>
      <w:r w:rsidR="008C21E9">
        <w:t xml:space="preserve"> . . .</w:t>
      </w:r>
      <w:r w:rsidRPr="008C21E9" w:rsidR="008C21E9">
        <w:t xml:space="preserve"> by the time he leaves office</w:t>
      </w:r>
      <w:r w:rsidR="00D5408A">
        <w:t>.”  In his s</w:t>
      </w:r>
      <w:r w:rsidR="00F66A5B">
        <w:t xml:space="preserve">tate of the </w:t>
      </w:r>
      <w:r w:rsidR="00D5408A">
        <w:t>c</w:t>
      </w:r>
      <w:r w:rsidR="00F66A5B">
        <w:t>ity address, h</w:t>
      </w:r>
      <w:r w:rsidR="008C21E9">
        <w:t xml:space="preserve">e formally recommended </w:t>
      </w:r>
      <w:r w:rsidR="00F66A5B">
        <w:t xml:space="preserve">to the city council the </w:t>
      </w:r>
      <w:r w:rsidR="008C21E9">
        <w:t>“policy” of substituting 401(k)-style plans for defined benefit pensions, as well as the “course of action” of pursuing reform by way of a citizens’ initiativ</w:t>
      </w:r>
      <w:r w:rsidR="00F66A5B">
        <w:t xml:space="preserve">e measure.  </w:t>
      </w:r>
      <w:r w:rsidR="008C21E9">
        <w:t>He pledged to work with others in city government to achieve this goal, and he d</w:t>
      </w:r>
      <w:r w:rsidR="00EB0DA4">
        <w:t>id</w:t>
      </w:r>
      <w:r w:rsidR="008C21E9">
        <w:t xml:space="preserve">.  He and his staff were deeply involved in developing the </w:t>
      </w:r>
      <w:r w:rsidR="0099063F">
        <w:t xml:space="preserve">proposal’s </w:t>
      </w:r>
      <w:r w:rsidR="008C21E9">
        <w:t>terms, monitoring the campaig</w:t>
      </w:r>
      <w:r w:rsidR="00EB0DA4">
        <w:t>n in support of it</w:t>
      </w:r>
      <w:r w:rsidR="00F66A5B">
        <w:t>,</w:t>
      </w:r>
      <w:r w:rsidR="008C21E9">
        <w:t xml:space="preserve"> and assisting in the signature-gathering effort.  He signed ballot arguments in favor of the measure as “Mayor Jerry Sanders.” </w:t>
      </w:r>
      <w:r w:rsidR="00F57CFC">
        <w:t xml:space="preserve"> </w:t>
      </w:r>
      <w:r w:rsidR="0099063F">
        <w:t>He</w:t>
      </w:r>
      <w:r w:rsidR="00F57CFC">
        <w:t xml:space="preserve"> consistently invoked his position as mayor and </w:t>
      </w:r>
      <w:r w:rsidR="0099063F">
        <w:t>used</w:t>
      </w:r>
      <w:r w:rsidR="00F57CFC">
        <w:t xml:space="preserve"> city </w:t>
      </w:r>
      <w:r>
        <w:t xml:space="preserve">resources </w:t>
      </w:r>
      <w:r w:rsidR="00F57CFC">
        <w:t>and employees to draft, promote</w:t>
      </w:r>
      <w:r w:rsidR="00473361">
        <w:t>, and support the Initiative</w:t>
      </w:r>
      <w:r w:rsidR="0031091A">
        <w:t>.</w:t>
      </w:r>
      <w:r w:rsidR="00F57CFC">
        <w:t xml:space="preserve">  The city’s assertion that his support was merely that of a private citizen does not withstand objective scrutiny.</w:t>
      </w:r>
    </w:p>
    <w:p w:rsidR="00A503DC" w:rsidP="0031091A">
      <w:pPr>
        <w:spacing w:line="480" w:lineRule="atLeast"/>
        <w:ind w:firstLine="720"/>
      </w:pPr>
      <w:r>
        <w:t xml:space="preserve">The line between official action and private </w:t>
      </w:r>
      <w:r w:rsidR="00FE6DCD">
        <w:t xml:space="preserve">activities undertaken by public officials may be less clear in other circumstances.  However, when a local official with responsibility over labor relations </w:t>
      </w:r>
      <w:r w:rsidR="008455D2">
        <w:t>uses the powers and resources of his office to play</w:t>
      </w:r>
      <w:r w:rsidR="00FE6DCD">
        <w:t xml:space="preserve"> a major role in the promotion of a ballot initiative affecting terms and conditions of employment, the duty to meet and confer arises.  Whether an official played such a major role </w:t>
      </w:r>
      <w:r w:rsidR="008455D2">
        <w:t>will generally be</w:t>
      </w:r>
      <w:r w:rsidR="00FE6DCD">
        <w:t xml:space="preserve"> a </w:t>
      </w:r>
      <w:r w:rsidR="00D142D7">
        <w:t>question</w:t>
      </w:r>
      <w:r w:rsidR="00D5408A">
        <w:t xml:space="preserve"> of fact,</w:t>
      </w:r>
      <w:r w:rsidR="00FE6DCD">
        <w:t xml:space="preserve"> </w:t>
      </w:r>
      <w:r w:rsidR="00D142D7">
        <w:t>on which</w:t>
      </w:r>
      <w:r w:rsidR="00FE6DCD">
        <w:t xml:space="preserve"> PERB’s conclusion </w:t>
      </w:r>
      <w:r w:rsidR="00D142D7">
        <w:t>is entitled to deference.  (</w:t>
      </w:r>
      <w:r w:rsidRPr="00C42487" w:rsidR="00D142D7">
        <w:t>§</w:t>
      </w:r>
      <w:r w:rsidR="00D142D7">
        <w:t xml:space="preserve"> 3509.5, subd. (b).) </w:t>
      </w:r>
      <w:r w:rsidR="00FE6DCD">
        <w:t xml:space="preserve"> </w:t>
      </w:r>
      <w:r w:rsidR="00D142D7">
        <w:t>Substantial evidence supports PERB’s conclusion here that Sanders’s activity created an obligation to meet and confer.</w:t>
      </w:r>
    </w:p>
    <w:p w:rsidR="00C95654" w:rsidP="0031091A">
      <w:pPr>
        <w:spacing w:line="480" w:lineRule="atLeast"/>
        <w:ind w:firstLine="720"/>
      </w:pPr>
      <w:r>
        <w:t xml:space="preserve">Finally, in reversing the ALJ on the question of remedy, PERB observed that it is the province of courts alone to invalidate the results of an initiative election.  PERB therefore ordered a make-whole remedy </w:t>
      </w:r>
      <w:r w:rsidR="00407250">
        <w:t>based on</w:t>
      </w:r>
      <w:r>
        <w:t xml:space="preserve"> compensation lost as a result of the </w:t>
      </w:r>
      <w:r w:rsidR="004E1774">
        <w:t>I</w:t>
      </w:r>
      <w:r>
        <w:t>nitiative.  The Court of Appeal did not consider the remedy issue because it concluded Sanders</w:t>
      </w:r>
      <w:r w:rsidR="00742924">
        <w:t xml:space="preserve"> and the city had not violated the</w:t>
      </w:r>
      <w:r>
        <w:t xml:space="preserve"> duty to meet and confer.  On remand, the court should address the appropriate judicial remedy for the violation identified in this opinion.</w:t>
      </w:r>
    </w:p>
    <w:p w:rsidR="006931EC">
      <w:r>
        <w:br w:type="page"/>
      </w:r>
    </w:p>
    <w:p w:rsidR="00696546" w:rsidP="00696546">
      <w:pPr>
        <w:spacing w:line="480" w:lineRule="atLeast"/>
        <w:jc w:val="center"/>
      </w:pPr>
      <w:r>
        <w:t>III.  DISPOSITION</w:t>
      </w:r>
    </w:p>
    <w:p w:rsidR="009505D9" w:rsidRPr="009505D9" w:rsidP="009505D9">
      <w:pPr>
        <w:spacing w:line="480" w:lineRule="atLeast"/>
      </w:pPr>
      <w:r>
        <w:tab/>
      </w:r>
      <w:r w:rsidR="00FE6DCD">
        <w:t>W</w:t>
      </w:r>
      <w:r>
        <w:t>e reverse</w:t>
      </w:r>
      <w:r w:rsidR="0022208D">
        <w:t xml:space="preserve"> the Court of Appeal’s judgment</w:t>
      </w:r>
      <w:r>
        <w:t xml:space="preserve"> and remand for further proceedings </w:t>
      </w:r>
      <w:r w:rsidR="00534B60">
        <w:t xml:space="preserve">to resolve issues beyond the scope of </w:t>
      </w:r>
      <w:r w:rsidR="006931EC">
        <w:t>this</w:t>
      </w:r>
      <w:r w:rsidR="00534B60">
        <w:t xml:space="preserve"> opinion</w:t>
      </w:r>
      <w:r>
        <w:t>.</w:t>
      </w:r>
    </w:p>
    <w:p w:rsidR="009505D9" w:rsidRPr="009505D9" w:rsidP="009505D9">
      <w:pPr>
        <w:spacing w:line="480" w:lineRule="atLeast"/>
        <w:rPr>
          <w:b/>
          <w:iCs/>
        </w:rPr>
      </w:pP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tab/>
      </w:r>
      <w:r w:rsidRPr="009505D9">
        <w:rPr>
          <w:b/>
        </w:rPr>
        <w:t>CORRIGAN, J.</w:t>
      </w:r>
      <w:r w:rsidRPr="009505D9">
        <w:rPr>
          <w:b/>
          <w:iCs/>
        </w:rPr>
        <w:t xml:space="preserve"> </w:t>
      </w:r>
    </w:p>
    <w:p w:rsidR="009505D9" w:rsidRPr="009505D9" w:rsidP="009505D9">
      <w:pPr>
        <w:spacing w:line="480" w:lineRule="atLeast"/>
        <w:rPr>
          <w:b/>
          <w:iCs/>
        </w:rPr>
      </w:pPr>
    </w:p>
    <w:p w:rsidR="00840107" w:rsidP="009505D9">
      <w:pPr>
        <w:spacing w:line="480" w:lineRule="atLeast"/>
        <w:rPr>
          <w:b/>
          <w:iCs/>
        </w:rPr>
      </w:pPr>
      <w:r w:rsidRPr="009505D9">
        <w:rPr>
          <w:b/>
          <w:iCs/>
        </w:rPr>
        <w:t>WE CONCUR:</w:t>
      </w:r>
    </w:p>
    <w:p w:rsidR="00DB46EA" w:rsidP="00DB46EA">
      <w:pPr>
        <w:rPr>
          <w:b/>
          <w:szCs w:val="26"/>
        </w:rPr>
      </w:pPr>
    </w:p>
    <w:p w:rsidR="00DB46EA" w:rsidP="00DB46EA">
      <w:pPr>
        <w:rPr>
          <w:b/>
          <w:szCs w:val="26"/>
        </w:rPr>
      </w:pPr>
      <w:r>
        <w:rPr>
          <w:b/>
          <w:szCs w:val="26"/>
        </w:rPr>
        <w:t>CANTIL-SAKAUYE, C. J.</w:t>
      </w:r>
    </w:p>
    <w:p w:rsidR="00DB46EA" w:rsidP="00DB46EA">
      <w:pPr>
        <w:rPr>
          <w:b/>
          <w:szCs w:val="26"/>
        </w:rPr>
      </w:pPr>
      <w:r>
        <w:rPr>
          <w:b/>
          <w:szCs w:val="26"/>
        </w:rPr>
        <w:t xml:space="preserve">CHIN, J.  </w:t>
      </w:r>
    </w:p>
    <w:p w:rsidR="00DB46EA" w:rsidP="00DB46EA">
      <w:pPr>
        <w:rPr>
          <w:b/>
          <w:szCs w:val="26"/>
        </w:rPr>
      </w:pPr>
      <w:r>
        <w:rPr>
          <w:b/>
          <w:szCs w:val="26"/>
        </w:rPr>
        <w:t xml:space="preserve">LIU, J.  </w:t>
      </w:r>
    </w:p>
    <w:p w:rsidR="00DB46EA" w:rsidP="00DB46EA">
      <w:pPr>
        <w:rPr>
          <w:b/>
          <w:szCs w:val="26"/>
        </w:rPr>
      </w:pPr>
      <w:r>
        <w:rPr>
          <w:b/>
          <w:szCs w:val="26"/>
        </w:rPr>
        <w:t>CUÉLLAR, J.</w:t>
      </w:r>
    </w:p>
    <w:p w:rsidR="00DB46EA" w:rsidP="00DB46EA">
      <w:pPr>
        <w:rPr>
          <w:b/>
        </w:rPr>
      </w:pPr>
      <w:r>
        <w:rPr>
          <w:b/>
        </w:rPr>
        <w:t xml:space="preserve">KRUGER, J.  </w:t>
      </w:r>
    </w:p>
    <w:p w:rsidR="008630AA" w:rsidP="00DB46EA">
      <w:pPr>
        <w:rPr>
          <w:b/>
        </w:rPr>
      </w:pPr>
      <w:r>
        <w:rPr>
          <w:b/>
        </w:rPr>
        <w:t>MILLER, J.</w:t>
      </w:r>
      <w:r w:rsidRPr="006D21BC">
        <w:t xml:space="preserve"> </w:t>
      </w:r>
      <w:r w:rsidRPr="008630AA">
        <w:t>*</w:t>
      </w:r>
    </w:p>
    <w:p w:rsidR="00DB46E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8630AA" w:rsidP="009505D9">
      <w:pPr>
        <w:spacing w:line="480" w:lineRule="atLeast"/>
      </w:pPr>
    </w:p>
    <w:p w:rsidR="00C84CB9" w:rsidP="009505D9">
      <w:pPr>
        <w:spacing w:line="480" w:lineRule="atLeast"/>
        <w:sectPr>
          <w:footerReference w:type="default" r:id="rId5"/>
          <w:pgSz w:w="12240" w:h="15840"/>
          <w:pgMar w:top="1440" w:right="1800" w:bottom="1440" w:left="1800" w:header="720" w:footer="720" w:gutter="0"/>
          <w:cols w:space="720"/>
        </w:sectPr>
      </w:pPr>
      <w:r w:rsidRPr="008630AA">
        <w:t>*        Associate Justice of the Court of Appeal, First Appellate District, Division Two, assigned by the Chief Justice pursuant to article VI, section 6 of the California Constitution.</w:t>
      </w:r>
    </w:p>
    <w:p w:rsidR="00C84CB9" w:rsidRPr="00C84CB9" w:rsidP="00C84CB9">
      <w:pPr>
        <w:rPr>
          <w:i/>
          <w:sz w:val="20"/>
        </w:rPr>
      </w:pPr>
      <w:r w:rsidRPr="00C84CB9">
        <w:rPr>
          <w:i/>
          <w:sz w:val="20"/>
        </w:rPr>
        <w:t>See last page for addresses and telephone numbers for counsel who argued in Supreme Court.</w:t>
      </w:r>
    </w:p>
    <w:p w:rsidR="00C84CB9" w:rsidRPr="00C84CB9" w:rsidP="00C84CB9">
      <w:pPr>
        <w:rPr>
          <w:i/>
          <w:sz w:val="20"/>
        </w:rPr>
      </w:pPr>
    </w:p>
    <w:p w:rsidR="00C84CB9" w:rsidRPr="00C84CB9" w:rsidP="00C84CB9">
      <w:pPr>
        <w:rPr>
          <w:bCs/>
          <w:i/>
          <w:sz w:val="20"/>
        </w:rPr>
      </w:pPr>
      <w:r w:rsidRPr="00C84CB9">
        <w:rPr>
          <w:b/>
          <w:sz w:val="20"/>
        </w:rPr>
        <w:t>Name of Opinion</w:t>
      </w:r>
      <w:r w:rsidRPr="00C84CB9">
        <w:rPr>
          <w:sz w:val="20"/>
        </w:rPr>
        <w:t xml:space="preserve"> Boling v. Public Employment Relations Board</w:t>
      </w:r>
    </w:p>
    <w:p w:rsidR="00C84CB9" w:rsidRPr="00C84CB9" w:rsidP="00C84CB9">
      <w:pPr>
        <w:rPr>
          <w:b/>
          <w:sz w:val="20"/>
        </w:rPr>
      </w:pPr>
      <w:r w:rsidRPr="00C84CB9">
        <w:rPr>
          <w:b/>
          <w:sz w:val="20"/>
        </w:rPr>
        <w:t>__________________________________________________________________________________</w:t>
      </w:r>
    </w:p>
    <w:p w:rsidR="00C84CB9" w:rsidRPr="00C84CB9" w:rsidP="00C84CB9">
      <w:pPr>
        <w:rPr>
          <w:b/>
          <w:sz w:val="20"/>
        </w:rPr>
      </w:pPr>
    </w:p>
    <w:p w:rsidR="00C84CB9" w:rsidRPr="00C84CB9" w:rsidP="00C84CB9">
      <w:pPr>
        <w:rPr>
          <w:bCs/>
          <w:sz w:val="20"/>
        </w:rPr>
      </w:pPr>
      <w:r w:rsidRPr="00C84CB9">
        <w:rPr>
          <w:b/>
          <w:sz w:val="20"/>
        </w:rPr>
        <w:t>Unpublished Opinion</w:t>
      </w:r>
    </w:p>
    <w:p w:rsidR="00C84CB9" w:rsidRPr="00C84CB9" w:rsidP="00C84CB9">
      <w:pPr>
        <w:rPr>
          <w:sz w:val="20"/>
        </w:rPr>
      </w:pPr>
      <w:r w:rsidRPr="00C84CB9">
        <w:rPr>
          <w:b/>
          <w:sz w:val="20"/>
        </w:rPr>
        <w:t>Original Appeal</w:t>
      </w:r>
    </w:p>
    <w:p w:rsidR="00C84CB9" w:rsidRPr="00C84CB9" w:rsidP="00C84CB9">
      <w:pPr>
        <w:rPr>
          <w:b/>
          <w:sz w:val="20"/>
        </w:rPr>
      </w:pPr>
      <w:r w:rsidRPr="00C84CB9">
        <w:rPr>
          <w:b/>
          <w:sz w:val="20"/>
        </w:rPr>
        <w:t>Original Proceeding</w:t>
      </w:r>
    </w:p>
    <w:p w:rsidR="00C84CB9" w:rsidRPr="00C84CB9" w:rsidP="00C84CB9">
      <w:pPr>
        <w:rPr>
          <w:sz w:val="20"/>
        </w:rPr>
      </w:pPr>
      <w:r w:rsidRPr="00C84CB9">
        <w:rPr>
          <w:b/>
          <w:sz w:val="20"/>
        </w:rPr>
        <w:t>Review Granted</w:t>
      </w:r>
      <w:r w:rsidRPr="00C84CB9">
        <w:rPr>
          <w:sz w:val="20"/>
        </w:rPr>
        <w:t xml:space="preserve"> XXX 10 Cal.App.5th 853</w:t>
      </w:r>
    </w:p>
    <w:p w:rsidR="00C84CB9" w:rsidRPr="00C84CB9" w:rsidP="00C84CB9">
      <w:pPr>
        <w:rPr>
          <w:b/>
          <w:sz w:val="20"/>
        </w:rPr>
      </w:pPr>
      <w:r w:rsidRPr="00C84CB9">
        <w:rPr>
          <w:b/>
          <w:sz w:val="20"/>
        </w:rPr>
        <w:t>Rehearing Granted</w:t>
      </w:r>
    </w:p>
    <w:p w:rsidR="00C84CB9" w:rsidRPr="00C84CB9" w:rsidP="00C84CB9">
      <w:pPr>
        <w:rPr>
          <w:b/>
          <w:sz w:val="20"/>
        </w:rPr>
      </w:pPr>
    </w:p>
    <w:p w:rsidR="00C84CB9" w:rsidRPr="00C84CB9" w:rsidP="00C84CB9">
      <w:pPr>
        <w:rPr>
          <w:b/>
          <w:sz w:val="20"/>
        </w:rPr>
      </w:pPr>
      <w:r w:rsidRPr="00C84CB9">
        <w:rPr>
          <w:b/>
          <w:sz w:val="20"/>
        </w:rPr>
        <w:t>__________________________________________________________________________________</w:t>
      </w:r>
    </w:p>
    <w:p w:rsidR="00C84CB9" w:rsidRPr="00C84CB9" w:rsidP="00C84CB9">
      <w:pPr>
        <w:rPr>
          <w:b/>
          <w:sz w:val="20"/>
        </w:rPr>
      </w:pPr>
    </w:p>
    <w:p w:rsidR="00C84CB9" w:rsidRPr="00C84CB9" w:rsidP="00C84CB9">
      <w:pPr>
        <w:rPr>
          <w:bCs/>
          <w:sz w:val="20"/>
        </w:rPr>
      </w:pPr>
      <w:r w:rsidRPr="00C84CB9">
        <w:rPr>
          <w:b/>
          <w:sz w:val="20"/>
        </w:rPr>
        <w:t>Opinion No.</w:t>
      </w:r>
      <w:r w:rsidRPr="00C84CB9">
        <w:rPr>
          <w:sz w:val="20"/>
        </w:rPr>
        <w:t xml:space="preserve"> S242034</w:t>
      </w:r>
    </w:p>
    <w:p w:rsidR="00C84CB9" w:rsidRPr="00C84CB9" w:rsidP="00C84CB9">
      <w:pPr>
        <w:rPr>
          <w:bCs/>
          <w:sz w:val="20"/>
        </w:rPr>
      </w:pPr>
      <w:r w:rsidRPr="00C84CB9">
        <w:rPr>
          <w:b/>
          <w:sz w:val="20"/>
        </w:rPr>
        <w:t>Date Filed:</w:t>
      </w:r>
      <w:r w:rsidRPr="00C84CB9">
        <w:rPr>
          <w:sz w:val="20"/>
        </w:rPr>
        <w:t xml:space="preserve"> August 2, 2018</w:t>
      </w:r>
    </w:p>
    <w:p w:rsidR="00C84CB9" w:rsidRPr="00C84CB9" w:rsidP="00C84CB9">
      <w:pPr>
        <w:rPr>
          <w:b/>
          <w:sz w:val="20"/>
        </w:rPr>
      </w:pPr>
      <w:r w:rsidRPr="00C84CB9">
        <w:rPr>
          <w:b/>
          <w:sz w:val="20"/>
        </w:rPr>
        <w:t>__________________________________________________________________________________</w:t>
      </w:r>
    </w:p>
    <w:p w:rsidR="00C84CB9" w:rsidRPr="00C84CB9" w:rsidP="00C84CB9">
      <w:pPr>
        <w:rPr>
          <w:b/>
          <w:sz w:val="20"/>
        </w:rPr>
      </w:pPr>
    </w:p>
    <w:p w:rsidR="00C84CB9" w:rsidRPr="00C84CB9" w:rsidP="00C84CB9">
      <w:pPr>
        <w:rPr>
          <w:bCs/>
          <w:sz w:val="20"/>
        </w:rPr>
      </w:pPr>
      <w:r w:rsidRPr="00C84CB9">
        <w:rPr>
          <w:b/>
          <w:sz w:val="20"/>
        </w:rPr>
        <w:t>Court:</w:t>
      </w:r>
    </w:p>
    <w:p w:rsidR="00C84CB9" w:rsidRPr="00C84CB9" w:rsidP="00C84CB9">
      <w:pPr>
        <w:rPr>
          <w:bCs/>
          <w:sz w:val="20"/>
        </w:rPr>
      </w:pPr>
      <w:r w:rsidRPr="00C84CB9">
        <w:rPr>
          <w:b/>
          <w:sz w:val="20"/>
        </w:rPr>
        <w:t>County:</w:t>
      </w:r>
    </w:p>
    <w:p w:rsidR="00C84CB9" w:rsidRPr="00C84CB9" w:rsidP="00C84CB9">
      <w:pPr>
        <w:ind w:left="720" w:hanging="720"/>
        <w:rPr>
          <w:bCs/>
          <w:sz w:val="20"/>
        </w:rPr>
      </w:pPr>
      <w:r w:rsidRPr="00C84CB9">
        <w:rPr>
          <w:b/>
          <w:sz w:val="20"/>
        </w:rPr>
        <w:t>Judge:</w:t>
      </w:r>
    </w:p>
    <w:p w:rsidR="00C84CB9" w:rsidRPr="00C84CB9" w:rsidP="00C84CB9">
      <w:pPr>
        <w:rPr>
          <w:b/>
          <w:sz w:val="20"/>
        </w:rPr>
      </w:pPr>
    </w:p>
    <w:p w:rsidR="00C84CB9" w:rsidRPr="00C84CB9" w:rsidP="00C84CB9">
      <w:pPr>
        <w:rPr>
          <w:b/>
          <w:sz w:val="20"/>
        </w:rPr>
      </w:pPr>
      <w:r w:rsidRPr="00C84CB9">
        <w:rPr>
          <w:b/>
          <w:sz w:val="20"/>
        </w:rPr>
        <w:t>__________________________________________________________________________________</w:t>
      </w:r>
    </w:p>
    <w:p w:rsidR="00C84CB9" w:rsidRPr="00C84CB9" w:rsidP="00C84CB9">
      <w:pPr>
        <w:rPr>
          <w:b/>
          <w:sz w:val="20"/>
        </w:rPr>
      </w:pPr>
    </w:p>
    <w:p w:rsidR="00C84CB9" w:rsidRPr="00C84CB9" w:rsidP="00C84CB9">
      <w:pPr>
        <w:rPr>
          <w:b/>
          <w:sz w:val="20"/>
        </w:rPr>
      </w:pPr>
      <w:r w:rsidRPr="00C84CB9">
        <w:rPr>
          <w:b/>
          <w:sz w:val="20"/>
        </w:rPr>
        <w:t>Counsel:</w:t>
      </w:r>
    </w:p>
    <w:p w:rsidR="00C84CB9" w:rsidRPr="00C84CB9" w:rsidP="00C84CB9">
      <w:pPr>
        <w:rPr>
          <w:b/>
          <w:sz w:val="20"/>
        </w:rPr>
      </w:pPr>
    </w:p>
    <w:p w:rsidR="00C84CB9" w:rsidRPr="00C84CB9" w:rsidP="00C84CB9">
      <w:pPr>
        <w:rPr>
          <w:sz w:val="20"/>
        </w:rPr>
      </w:pPr>
      <w:r w:rsidRPr="00C84CB9">
        <w:rPr>
          <w:sz w:val="20"/>
        </w:rPr>
        <w:t>Lounsberry Ferguson Altona &amp; Peak, Kenneth H. Lounsbery, James P. Lough, Alena Shamos and Yana L. Ridge for Petitioners and Real Parties in Interest Catherine A. Boling, T.J. Zane and Stephen B. Williams in Nos. D069626 and D069630.</w:t>
      </w:r>
    </w:p>
    <w:p w:rsidR="00C84CB9" w:rsidRPr="00C84CB9" w:rsidP="00C84CB9">
      <w:pPr>
        <w:rPr>
          <w:sz w:val="20"/>
        </w:rPr>
      </w:pPr>
    </w:p>
    <w:p w:rsidR="00C84CB9" w:rsidRPr="00C84CB9" w:rsidP="00C84CB9">
      <w:pPr>
        <w:rPr>
          <w:sz w:val="20"/>
        </w:rPr>
      </w:pPr>
      <w:r w:rsidRPr="00C84CB9">
        <w:rPr>
          <w:sz w:val="20"/>
        </w:rPr>
        <w:t>Jan I. Goldsmith and Mara W. Elliott, City Attorneys, Daniel F. Bamberg and George F. Schaefer, Assistant City Attorneys, Michael Travis Phelps, Chief Deputy City Attorney, and Walter C. Chung, Deputy City Attorney, for Petitioner and Real Party in Interest City of San Diego in Nos. D069630 and D069626.</w:t>
      </w:r>
    </w:p>
    <w:p w:rsidR="00C84CB9" w:rsidRPr="00C84CB9" w:rsidP="00C84CB9">
      <w:pPr>
        <w:rPr>
          <w:sz w:val="20"/>
        </w:rPr>
      </w:pPr>
    </w:p>
    <w:p w:rsidR="00C84CB9" w:rsidRPr="00C84CB9" w:rsidP="00C84CB9">
      <w:pPr>
        <w:rPr>
          <w:sz w:val="20"/>
        </w:rPr>
      </w:pPr>
      <w:r w:rsidRPr="00C84CB9">
        <w:rPr>
          <w:sz w:val="20"/>
        </w:rPr>
        <w:t>Jones Day, Beth Heifetz, Gregory G. Katsas, G. Ryan Snyder, Karen P. Hewitt and Brian L. Hazen for San Diego Taxpayers Educational Foundation as Amicus Curiae on behalf of Petitioner and Real Party in Interest City of San Diego in Nos. D069630 and D069626.</w:t>
      </w:r>
    </w:p>
    <w:p w:rsidR="00C84CB9" w:rsidRPr="00C84CB9" w:rsidP="00C84CB9">
      <w:pPr>
        <w:rPr>
          <w:sz w:val="20"/>
        </w:rPr>
      </w:pPr>
    </w:p>
    <w:p w:rsidR="00C84CB9" w:rsidRPr="00C84CB9" w:rsidP="00C84CB9">
      <w:pPr>
        <w:rPr>
          <w:sz w:val="20"/>
        </w:rPr>
      </w:pPr>
      <w:r w:rsidRPr="00C84CB9">
        <w:rPr>
          <w:sz w:val="20"/>
        </w:rPr>
        <w:t>Renne Sloan Holtzman Sakai, Arthur A. Hartinger, Jonathan V. Holtzman and Alexander Volberding for League of California Cities, California State Association of Counties and International Municipal Lawyers Association as Amici Curiae on behalf of Petitioner and Real Party in Interest City of San Diego in Nos. D069630 and D069626.</w:t>
      </w:r>
    </w:p>
    <w:p w:rsidR="00C84CB9" w:rsidRPr="00C84CB9" w:rsidP="00C84CB9">
      <w:pPr>
        <w:rPr>
          <w:sz w:val="20"/>
        </w:rPr>
      </w:pPr>
    </w:p>
    <w:p w:rsidR="00C84CB9" w:rsidRPr="00C84CB9" w:rsidP="00C84CB9">
      <w:pPr>
        <w:rPr>
          <w:sz w:val="20"/>
        </w:rPr>
      </w:pPr>
      <w:r w:rsidRPr="00C84CB9">
        <w:rPr>
          <w:sz w:val="20"/>
        </w:rPr>
        <w:t>Meriem L. Hubbard and Harold E. Johnson for Pacific Legal Foundation, Howard Jarvis Taxpayers Association and National Tax Limitation Committee as Amici Curiae on behalf of Petitioner and Real Party in Interest City of San Diego in Nos. D069630 and D069626.</w:t>
      </w:r>
    </w:p>
    <w:p w:rsidR="00C84CB9" w:rsidRPr="00C84CB9" w:rsidP="00C84CB9">
      <w:pPr>
        <w:rPr>
          <w:sz w:val="20"/>
        </w:rPr>
      </w:pPr>
    </w:p>
    <w:p w:rsidR="00C84CB9" w:rsidRPr="00C84CB9" w:rsidP="00C84CB9">
      <w:pPr>
        <w:rPr>
          <w:sz w:val="20"/>
        </w:rPr>
      </w:pPr>
      <w:r w:rsidRPr="00C84CB9">
        <w:rPr>
          <w:sz w:val="20"/>
        </w:rPr>
        <w:t>J. Felix de La Torre, Wendi L. Ross, Mary Weiss and Joseph W. Eckhart for Respondent.</w:t>
      </w:r>
    </w:p>
    <w:p w:rsidR="00C84CB9" w:rsidRPr="00C84CB9" w:rsidP="00C84CB9">
      <w:pPr>
        <w:rPr>
          <w:sz w:val="20"/>
        </w:rPr>
      </w:pPr>
    </w:p>
    <w:p w:rsidR="00C84CB9" w:rsidRPr="00C84CB9" w:rsidP="00C84CB9">
      <w:pPr>
        <w:rPr>
          <w:sz w:val="20"/>
        </w:rPr>
      </w:pPr>
      <w:r w:rsidRPr="00C84CB9">
        <w:rPr>
          <w:sz w:val="20"/>
        </w:rPr>
        <w:t>Weinberg, Roger &amp; Rosenfeld, Kerianne R. Steel and Anthony J. Tucci for Service Employees International Union, California State Council as Amicus Curiae on behalf of Respondent.</w:t>
      </w:r>
    </w:p>
    <w:p w:rsidR="00C84CB9" w:rsidRPr="00C84CB9" w:rsidP="00C84CB9">
      <w:pPr>
        <w:rPr>
          <w:sz w:val="20"/>
        </w:rPr>
      </w:pPr>
    </w:p>
    <w:p w:rsidR="00C84CB9" w:rsidRPr="00C84CB9" w:rsidP="00C84CB9">
      <w:pPr>
        <w:rPr>
          <w:sz w:val="20"/>
        </w:rPr>
      </w:pPr>
      <w:r w:rsidRPr="00C84CB9">
        <w:rPr>
          <w:sz w:val="20"/>
        </w:rPr>
        <w:t>Smith, Steiner, Vanderpool &amp; Wax and Ann M. Smith for Real Party in Interest San Diego Municipal Employees Association in No. D069630.</w:t>
      </w: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b/>
          <w:sz w:val="20"/>
        </w:rPr>
      </w:pPr>
      <w:r w:rsidRPr="00C84CB9">
        <w:rPr>
          <w:b/>
          <w:sz w:val="20"/>
        </w:rPr>
        <w:t>Page 2 – S242034 – counsel continued</w:t>
      </w:r>
    </w:p>
    <w:p w:rsidR="00C84CB9" w:rsidRPr="00C84CB9" w:rsidP="00C84CB9">
      <w:pPr>
        <w:rPr>
          <w:sz w:val="20"/>
        </w:rPr>
      </w:pPr>
    </w:p>
    <w:p w:rsidR="00C84CB9" w:rsidRPr="00C84CB9" w:rsidP="00C84CB9">
      <w:pPr>
        <w:rPr>
          <w:b/>
          <w:sz w:val="20"/>
        </w:rPr>
      </w:pPr>
      <w:r w:rsidRPr="00C84CB9">
        <w:rPr>
          <w:b/>
          <w:sz w:val="20"/>
        </w:rPr>
        <w:t>Counsel:</w:t>
      </w:r>
    </w:p>
    <w:p w:rsidR="00C84CB9" w:rsidRPr="00C84CB9" w:rsidP="00C84CB9">
      <w:pPr>
        <w:rPr>
          <w:b/>
          <w:sz w:val="20"/>
        </w:rPr>
      </w:pPr>
    </w:p>
    <w:p w:rsidR="00C84CB9" w:rsidRPr="00C84CB9" w:rsidP="00C84CB9">
      <w:pPr>
        <w:rPr>
          <w:sz w:val="20"/>
        </w:rPr>
      </w:pPr>
      <w:r w:rsidRPr="00C84CB9">
        <w:rPr>
          <w:sz w:val="20"/>
        </w:rPr>
        <w:t>Smith, Steiner, Vanderpool &amp; Wax and Fern M. Steiner for Real Party in Interest San Diego City Firefighters Local 145, IAFF, AFL-CIO in No. D069626.</w:t>
      </w:r>
    </w:p>
    <w:p w:rsidR="00C84CB9" w:rsidRPr="00C84CB9" w:rsidP="00C84CB9">
      <w:pPr>
        <w:rPr>
          <w:b/>
          <w:sz w:val="20"/>
        </w:rPr>
      </w:pPr>
    </w:p>
    <w:p w:rsidR="00C84CB9" w:rsidRPr="00C84CB9" w:rsidP="00C84CB9">
      <w:pPr>
        <w:rPr>
          <w:sz w:val="20"/>
        </w:rPr>
      </w:pPr>
      <w:r w:rsidRPr="00C84CB9">
        <w:rPr>
          <w:sz w:val="20"/>
        </w:rPr>
        <w:t>Rothner, Segall &amp; Greenstone, Ellen Greenstone and Connie Hsiao for Real Party in Interest AFCSME, AFL-CIO, Local 127 in No. D069626.</w:t>
      </w:r>
    </w:p>
    <w:p w:rsidR="00C84CB9" w:rsidRPr="00C84CB9" w:rsidP="00C84CB9">
      <w:pPr>
        <w:rPr>
          <w:sz w:val="20"/>
        </w:rPr>
      </w:pPr>
    </w:p>
    <w:p w:rsidR="00C84CB9" w:rsidRPr="00C84CB9" w:rsidP="00C84CB9">
      <w:pPr>
        <w:rPr>
          <w:sz w:val="20"/>
        </w:rPr>
      </w:pPr>
      <w:r w:rsidRPr="00C84CB9">
        <w:rPr>
          <w:sz w:val="20"/>
        </w:rPr>
        <w:t>Law Offices of James J. Cunningham and James J. Cunningham for Real Party in Interest Deputy City Attorneys Association of San Diego in No. D069626.</w:t>
      </w:r>
    </w:p>
    <w:p w:rsidR="00C84CB9" w:rsidRPr="00C84CB9" w:rsidP="00C84CB9">
      <w:pPr>
        <w:rPr>
          <w:sz w:val="20"/>
        </w:rPr>
      </w:pPr>
    </w:p>
    <w:p w:rsidR="00C84CB9" w:rsidRPr="00C84CB9" w:rsidP="00C84CB9">
      <w:pPr>
        <w:rPr>
          <w:sz w:val="20"/>
        </w:rPr>
      </w:pPr>
      <w:r w:rsidRPr="00C84CB9">
        <w:rPr>
          <w:sz w:val="20"/>
        </w:rPr>
        <w:t>Leonard Carder, Andrew J. Ziaja and Arthur Liou for International Federation of Professional and Technical Employees Local 21, Operating Engineers Local Union No. 3 and Marin Association of Public Employees as Amici Curiae on behalf of Real Parties in Interest and Respondent.</w:t>
      </w:r>
    </w:p>
    <w:p w:rsidR="00C84CB9" w:rsidRPr="00C84CB9" w:rsidP="00C84CB9">
      <w:pPr>
        <w:rPr>
          <w:sz w:val="20"/>
        </w:rPr>
      </w:pPr>
    </w:p>
    <w:p w:rsidR="00C84CB9" w:rsidRPr="00C84CB9" w:rsidP="00C84CB9">
      <w:pPr>
        <w:rPr>
          <w:sz w:val="20"/>
        </w:rPr>
      </w:pPr>
      <w:r w:rsidRPr="00C84CB9">
        <w:rPr>
          <w:sz w:val="20"/>
        </w:rPr>
        <w:t>Reich, Adell &amp; Cvitan, Marianne Reinhold, Laurence S. Zakson and William Y. Sheh for Orange County Attorneys Association as Amicus Curiae on behalf of Real Parties in Interest and Respondent.</w:t>
      </w:r>
    </w:p>
    <w:p w:rsidR="00C84CB9" w:rsidRPr="00C84CB9" w:rsidP="00C84CB9">
      <w:pPr>
        <w:rPr>
          <w:sz w:val="20"/>
        </w:rPr>
      </w:pPr>
    </w:p>
    <w:p w:rsidR="00C84CB9" w:rsidRPr="00C84CB9" w:rsidP="00C84CB9">
      <w:pPr>
        <w:rPr>
          <w:sz w:val="20"/>
        </w:rPr>
      </w:pPr>
      <w:r w:rsidRPr="00C84CB9">
        <w:rPr>
          <w:sz w:val="20"/>
        </w:rPr>
        <w:t>Woodley &amp; McGillivary, Thomas A. Woodley and William W. Li for The International Association of Fire Fighters as Amicus Curiae on behalf of Real Parties in Interest.</w:t>
      </w:r>
    </w:p>
    <w:p w:rsidR="00C84CB9" w:rsidRPr="00C84CB9" w:rsidP="00C84CB9">
      <w:pPr>
        <w:rPr>
          <w:sz w:val="20"/>
        </w:rPr>
      </w:pPr>
    </w:p>
    <w:p w:rsidR="00C84CB9" w:rsidRPr="00C84CB9" w:rsidP="00C84CB9">
      <w:pPr>
        <w:rPr>
          <w:sz w:val="20"/>
        </w:rPr>
      </w:pPr>
      <w:r w:rsidRPr="00C84CB9">
        <w:rPr>
          <w:sz w:val="20"/>
        </w:rPr>
        <w:t>Law Office of Michael A. Conger and Michael A. Conger for San Diego Police Officers Association as Amicus Curiae on behalf of Real Parties in Interest.</w:t>
      </w: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sz w:val="20"/>
        </w:rPr>
      </w:pPr>
    </w:p>
    <w:p w:rsidR="00C84CB9" w:rsidRPr="00C84CB9" w:rsidP="00C84CB9">
      <w:pPr>
        <w:rPr>
          <w:b/>
          <w:sz w:val="20"/>
        </w:rPr>
      </w:pPr>
    </w:p>
    <w:p w:rsidR="00C84CB9" w:rsidRPr="00C84CB9" w:rsidP="00C84CB9">
      <w:pPr>
        <w:rPr>
          <w:b/>
          <w:sz w:val="20"/>
        </w:rPr>
      </w:pPr>
    </w:p>
    <w:p w:rsidR="00C84CB9" w:rsidRPr="00C84CB9" w:rsidP="00C84CB9">
      <w:pPr>
        <w:rPr>
          <w:b/>
          <w:sz w:val="20"/>
        </w:rPr>
      </w:pPr>
    </w:p>
    <w:p w:rsidR="00C84CB9" w:rsidRPr="00C84CB9" w:rsidP="00C84CB9">
      <w:pPr>
        <w:rPr>
          <w:b/>
          <w:sz w:val="20"/>
        </w:rPr>
      </w:pPr>
      <w:r w:rsidRPr="00C84CB9">
        <w:rPr>
          <w:b/>
          <w:sz w:val="20"/>
        </w:rPr>
        <w:br w:type="page"/>
      </w:r>
    </w:p>
    <w:p w:rsidR="00C84CB9" w:rsidRPr="00C84CB9" w:rsidP="00C84CB9">
      <w:pPr>
        <w:rPr>
          <w:b/>
          <w:sz w:val="20"/>
        </w:rPr>
      </w:pPr>
    </w:p>
    <w:p w:rsidR="00C84CB9" w:rsidRPr="00C84CB9" w:rsidP="00C84CB9">
      <w:pPr>
        <w:rPr>
          <w:b/>
          <w:sz w:val="20"/>
        </w:rPr>
      </w:pPr>
    </w:p>
    <w:p w:rsidR="00C84CB9" w:rsidRPr="00C84CB9" w:rsidP="00C84CB9">
      <w:pPr>
        <w:rPr>
          <w:b/>
          <w:sz w:val="20"/>
        </w:rPr>
      </w:pPr>
    </w:p>
    <w:p w:rsidR="00C84CB9" w:rsidRPr="00C84CB9" w:rsidP="00C84CB9">
      <w:pPr>
        <w:rPr>
          <w:b/>
          <w:sz w:val="20"/>
        </w:rPr>
      </w:pPr>
      <w:r w:rsidRPr="00C84CB9">
        <w:rPr>
          <w:b/>
          <w:sz w:val="20"/>
        </w:rPr>
        <w:t>Counsel who argued in Supreme Court (not intended for publication with opinion):</w:t>
      </w:r>
    </w:p>
    <w:p w:rsidR="00C84CB9" w:rsidRPr="00C84CB9" w:rsidP="00C84CB9">
      <w:pPr>
        <w:rPr>
          <w:b/>
          <w:sz w:val="20"/>
        </w:rPr>
      </w:pPr>
    </w:p>
    <w:p w:rsidR="00C84CB9" w:rsidRPr="00C84CB9" w:rsidP="00C84CB9">
      <w:pPr>
        <w:rPr>
          <w:sz w:val="20"/>
          <w:lang w:val="es-ES"/>
        </w:rPr>
      </w:pPr>
      <w:r w:rsidRPr="00C84CB9">
        <w:rPr>
          <w:sz w:val="20"/>
          <w:lang w:val="es-ES"/>
        </w:rPr>
        <w:t>Alena Shamos</w:t>
      </w:r>
    </w:p>
    <w:p w:rsidR="00C84CB9" w:rsidRPr="00C84CB9" w:rsidP="00C84CB9">
      <w:pPr>
        <w:rPr>
          <w:sz w:val="20"/>
          <w:lang w:val="es-ES"/>
        </w:rPr>
      </w:pPr>
      <w:r w:rsidRPr="00C84CB9">
        <w:rPr>
          <w:sz w:val="20"/>
          <w:lang w:val="es-ES"/>
        </w:rPr>
        <w:t>Lounsberry Ferguson Altona &amp; Peak</w:t>
      </w:r>
    </w:p>
    <w:p w:rsidR="00C84CB9" w:rsidRPr="00C84CB9" w:rsidP="00C84CB9">
      <w:pPr>
        <w:rPr>
          <w:sz w:val="20"/>
        </w:rPr>
      </w:pPr>
      <w:r w:rsidRPr="00C84CB9">
        <w:rPr>
          <w:sz w:val="20"/>
        </w:rPr>
        <w:t>960 Canterbury Place, Suite 300</w:t>
      </w:r>
    </w:p>
    <w:p w:rsidR="00C84CB9" w:rsidRPr="00C84CB9" w:rsidP="00C84CB9">
      <w:pPr>
        <w:rPr>
          <w:sz w:val="20"/>
        </w:rPr>
      </w:pPr>
      <w:r w:rsidRPr="00C84CB9">
        <w:rPr>
          <w:sz w:val="20"/>
        </w:rPr>
        <w:t>Escondido, CA  92025-3836</w:t>
      </w:r>
    </w:p>
    <w:p w:rsidR="00C84CB9" w:rsidRPr="00C84CB9" w:rsidP="00C84CB9">
      <w:pPr>
        <w:rPr>
          <w:sz w:val="20"/>
        </w:rPr>
      </w:pPr>
      <w:r w:rsidRPr="00C84CB9">
        <w:rPr>
          <w:sz w:val="20"/>
        </w:rPr>
        <w:t>(760) 743-1201</w:t>
      </w:r>
    </w:p>
    <w:p w:rsidR="00C84CB9" w:rsidRPr="00C84CB9" w:rsidP="00C84CB9">
      <w:pPr>
        <w:rPr>
          <w:sz w:val="20"/>
        </w:rPr>
      </w:pPr>
    </w:p>
    <w:p w:rsidR="00C84CB9" w:rsidRPr="00C84CB9" w:rsidP="00C84CB9">
      <w:pPr>
        <w:rPr>
          <w:b/>
          <w:sz w:val="20"/>
        </w:rPr>
      </w:pPr>
      <w:r w:rsidRPr="00C84CB9">
        <w:rPr>
          <w:sz w:val="20"/>
        </w:rPr>
        <w:t>Michael Travis Phelps</w:t>
      </w:r>
    </w:p>
    <w:p w:rsidR="00C84CB9" w:rsidRPr="00C84CB9" w:rsidP="00C84CB9">
      <w:pPr>
        <w:rPr>
          <w:sz w:val="20"/>
        </w:rPr>
      </w:pPr>
      <w:r w:rsidRPr="00C84CB9">
        <w:rPr>
          <w:sz w:val="20"/>
        </w:rPr>
        <w:t>Chief Deputy City Attorney</w:t>
      </w:r>
    </w:p>
    <w:p w:rsidR="00C84CB9" w:rsidRPr="00C84CB9" w:rsidP="00C84CB9">
      <w:pPr>
        <w:rPr>
          <w:sz w:val="20"/>
        </w:rPr>
      </w:pPr>
      <w:r w:rsidRPr="00C84CB9">
        <w:rPr>
          <w:sz w:val="20"/>
        </w:rPr>
        <w:t>1200 Third Avenue, Suite 1100</w:t>
      </w:r>
    </w:p>
    <w:p w:rsidR="00C84CB9" w:rsidRPr="00C84CB9" w:rsidP="00C84CB9">
      <w:pPr>
        <w:rPr>
          <w:sz w:val="20"/>
        </w:rPr>
      </w:pPr>
      <w:r w:rsidRPr="00C84CB9">
        <w:rPr>
          <w:sz w:val="20"/>
        </w:rPr>
        <w:t>San Diego, CA  92101</w:t>
      </w:r>
    </w:p>
    <w:p w:rsidR="00C84CB9" w:rsidRPr="00C84CB9" w:rsidP="00C84CB9">
      <w:pPr>
        <w:rPr>
          <w:sz w:val="20"/>
        </w:rPr>
      </w:pPr>
      <w:r w:rsidRPr="00C84CB9">
        <w:rPr>
          <w:sz w:val="20"/>
        </w:rPr>
        <w:t>(619) 533-5800</w:t>
      </w:r>
    </w:p>
    <w:p w:rsidR="00C84CB9" w:rsidRPr="00C84CB9" w:rsidP="00C84CB9">
      <w:pPr>
        <w:rPr>
          <w:sz w:val="20"/>
        </w:rPr>
      </w:pPr>
    </w:p>
    <w:p w:rsidR="00C84CB9" w:rsidRPr="00C84CB9" w:rsidP="00C84CB9">
      <w:pPr>
        <w:rPr>
          <w:sz w:val="20"/>
        </w:rPr>
      </w:pPr>
      <w:r w:rsidRPr="00C84CB9">
        <w:rPr>
          <w:sz w:val="20"/>
        </w:rPr>
        <w:t>Wendi L. Ross</w:t>
      </w:r>
    </w:p>
    <w:p w:rsidR="00C84CB9" w:rsidRPr="00C84CB9" w:rsidP="00C84CB9">
      <w:pPr>
        <w:rPr>
          <w:sz w:val="20"/>
        </w:rPr>
      </w:pPr>
      <w:r w:rsidRPr="00C84CB9">
        <w:rPr>
          <w:sz w:val="20"/>
        </w:rPr>
        <w:t>Public Employment Relations Board</w:t>
      </w:r>
    </w:p>
    <w:p w:rsidR="00C84CB9" w:rsidRPr="00C84CB9" w:rsidP="00C84CB9">
      <w:pPr>
        <w:rPr>
          <w:sz w:val="20"/>
        </w:rPr>
      </w:pPr>
      <w:r w:rsidRPr="00C84CB9">
        <w:rPr>
          <w:sz w:val="20"/>
        </w:rPr>
        <w:t>1031 18th Street</w:t>
      </w:r>
    </w:p>
    <w:p w:rsidR="00C84CB9" w:rsidRPr="00C84CB9" w:rsidP="00C84CB9">
      <w:pPr>
        <w:rPr>
          <w:sz w:val="20"/>
        </w:rPr>
      </w:pPr>
      <w:r w:rsidRPr="00C84CB9">
        <w:rPr>
          <w:sz w:val="20"/>
        </w:rPr>
        <w:t>Sacramento, CA  95811-4124</w:t>
      </w:r>
    </w:p>
    <w:p w:rsidR="00C84CB9" w:rsidRPr="00C84CB9" w:rsidP="00C84CB9">
      <w:pPr>
        <w:rPr>
          <w:sz w:val="20"/>
        </w:rPr>
      </w:pPr>
      <w:r w:rsidRPr="00C84CB9">
        <w:rPr>
          <w:sz w:val="20"/>
        </w:rPr>
        <w:t>(916) 322-3198</w:t>
      </w:r>
    </w:p>
    <w:p w:rsidR="00C84CB9" w:rsidRPr="00C84CB9" w:rsidP="00C84CB9">
      <w:pPr>
        <w:rPr>
          <w:sz w:val="20"/>
        </w:rPr>
      </w:pPr>
    </w:p>
    <w:p w:rsidR="00C84CB9" w:rsidRPr="00C84CB9" w:rsidP="00C84CB9">
      <w:pPr>
        <w:rPr>
          <w:sz w:val="20"/>
        </w:rPr>
      </w:pPr>
      <w:r w:rsidRPr="00C84CB9">
        <w:rPr>
          <w:sz w:val="20"/>
        </w:rPr>
        <w:t>Ann M. Smith</w:t>
      </w:r>
    </w:p>
    <w:p w:rsidR="00C84CB9" w:rsidRPr="00C84CB9" w:rsidP="00C84CB9">
      <w:pPr>
        <w:rPr>
          <w:sz w:val="20"/>
        </w:rPr>
      </w:pPr>
      <w:r w:rsidRPr="00C84CB9">
        <w:rPr>
          <w:sz w:val="20"/>
        </w:rPr>
        <w:t>Smith, Steiner, Vanderpool &amp; Wax</w:t>
      </w:r>
    </w:p>
    <w:p w:rsidR="00C84CB9" w:rsidRPr="00C84CB9" w:rsidP="00C84CB9">
      <w:pPr>
        <w:rPr>
          <w:sz w:val="20"/>
        </w:rPr>
      </w:pPr>
      <w:r w:rsidRPr="00C84CB9">
        <w:rPr>
          <w:sz w:val="20"/>
        </w:rPr>
        <w:t>401 West A Street, Suite 320</w:t>
      </w:r>
    </w:p>
    <w:p w:rsidR="00C84CB9" w:rsidRPr="00C84CB9" w:rsidP="00C84CB9">
      <w:pPr>
        <w:rPr>
          <w:sz w:val="20"/>
        </w:rPr>
      </w:pPr>
      <w:r w:rsidRPr="00C84CB9">
        <w:rPr>
          <w:sz w:val="20"/>
        </w:rPr>
        <w:t>San Diego, CA  92101</w:t>
      </w:r>
    </w:p>
    <w:p w:rsidR="00C84CB9" w:rsidRPr="00C84CB9" w:rsidP="00C84CB9">
      <w:pPr>
        <w:rPr>
          <w:sz w:val="20"/>
        </w:rPr>
      </w:pPr>
      <w:r w:rsidRPr="00C84CB9">
        <w:rPr>
          <w:sz w:val="20"/>
        </w:rPr>
        <w:t>(619) 239-7200</w:t>
      </w:r>
    </w:p>
    <w:p w:rsidR="00C84CB9" w:rsidRPr="00C84CB9" w:rsidP="00C84CB9">
      <w:pPr>
        <w:rPr>
          <w:sz w:val="20"/>
        </w:rPr>
      </w:pPr>
    </w:p>
    <w:p w:rsidR="008630AA" w:rsidP="009505D9">
      <w:pPr>
        <w:spacing w:line="480" w:lineRule="atLeast"/>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4A8">
    <w:pPr>
      <w:pStyle w:val="Footer"/>
      <w:jc w:val="center"/>
    </w:pPr>
    <w:r>
      <w:fldChar w:fldCharType="begin"/>
    </w:r>
    <w:r>
      <w:instrText>PAGE</w:instrText>
    </w:r>
    <w:r>
      <w:fldChar w:fldCharType="separate"/>
    </w:r>
    <w:r w:rsidR="00870E6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4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4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6041">
      <w:r>
        <w:separator/>
      </w:r>
    </w:p>
  </w:footnote>
  <w:footnote w:type="continuationSeparator" w:id="1">
    <w:p w:rsidR="00F16041">
      <w:pPr>
        <w:rPr>
          <w:sz w:val="22"/>
        </w:rPr>
      </w:pPr>
      <w:r>
        <w:rPr>
          <w:sz w:val="22"/>
        </w:rPr>
        <w:continuationSeparator/>
      </w:r>
    </w:p>
  </w:footnote>
  <w:footnote w:type="continuationNotice" w:id="2">
    <w:p w:rsidR="00F16041">
      <w:pPr>
        <w:jc w:val="right"/>
        <w:rPr>
          <w:i/>
          <w:sz w:val="20"/>
        </w:rPr>
      </w:pPr>
    </w:p>
  </w:footnote>
  <w:footnote w:id="3">
    <w:p w:rsidR="00A00CF6" w:rsidP="00A00CF6">
      <w:pPr>
        <w:pStyle w:val="FootnoteText"/>
        <w:spacing w:after="120"/>
      </w:pPr>
      <w:r>
        <w:rPr>
          <w:rStyle w:val="FootnoteReference"/>
        </w:rPr>
        <w:footnoteRef/>
      </w:r>
      <w:r>
        <w:t xml:space="preserve"> </w:t>
      </w:r>
      <w:r>
        <w:tab/>
        <w:t>Further undesignated statutory references are to the Government Code.</w:t>
      </w:r>
    </w:p>
  </w:footnote>
  <w:footnote w:id="4">
    <w:p w:rsidR="008A489B" w:rsidP="004105B4">
      <w:pPr>
        <w:pStyle w:val="FootnoteText"/>
        <w:spacing w:after="120"/>
      </w:pPr>
      <w:r>
        <w:rPr>
          <w:rStyle w:val="FootnoteReference"/>
        </w:rPr>
        <w:footnoteRef/>
      </w:r>
      <w:r>
        <w:t xml:space="preserve"> </w:t>
      </w:r>
      <w:r>
        <w:tab/>
        <w:t>We are not called upon to decide, and express no opinion on, the merits of pension reform or any particular pension reform policy.</w:t>
      </w:r>
    </w:p>
  </w:footnote>
  <w:footnote w:id="5">
    <w:p w:rsidR="003424A8" w:rsidP="00DE0E90">
      <w:pPr>
        <w:pStyle w:val="FootnoteText"/>
      </w:pPr>
      <w:r>
        <w:rPr>
          <w:rStyle w:val="FootnoteReference"/>
        </w:rPr>
        <w:footnoteRef/>
      </w:r>
      <w:r>
        <w:t xml:space="preserve"> </w:t>
      </w:r>
      <w:r>
        <w:tab/>
        <w:t>The release stated in part:  “</w:t>
      </w:r>
      <w:r w:rsidRPr="00B37118">
        <w:t>As part of his aggressive age</w:t>
      </w:r>
      <w:r>
        <w:t>n</w:t>
      </w:r>
      <w:r w:rsidRPr="00B37118">
        <w:t xml:space="preserve">da to streamline </w:t>
      </w:r>
      <w:r>
        <w:t>ci</w:t>
      </w:r>
      <w:r w:rsidRPr="00B37118">
        <w:t xml:space="preserve">ty operations, </w:t>
      </w:r>
      <w:r>
        <w:t>i</w:t>
      </w:r>
      <w:r w:rsidRPr="00B37118">
        <w:t>ncrease</w:t>
      </w:r>
      <w:r>
        <w:t xml:space="preserve"> accountability and reduce pension costs, Mayor Jerry Sanders today outlined his strategy for eliminating the city’s $73 million structural deficit by the time he leaves office in 2012.</w:t>
      </w:r>
    </w:p>
    <w:p w:rsidR="003424A8" w:rsidP="00B37118">
      <w:pPr>
        <w:pStyle w:val="FootnoteText"/>
        <w:ind w:firstLine="720"/>
      </w:pPr>
      <w:r>
        <w:t>“The mayor also announced he will place an initiative on the ballot that would eliminate defined benefit pensions for new hires, instead offering them a 401(K)-style, defined contribution plan similar to those in the private sector.</w:t>
      </w:r>
    </w:p>
    <w:p w:rsidR="003424A8" w:rsidP="00B37118">
      <w:pPr>
        <w:pStyle w:val="FootnoteText"/>
        <w:ind w:firstLine="720"/>
      </w:pPr>
      <w:r>
        <w:t>“The bold move is part of a major re-thinking of city government Sanders said must occur if San Diego is to provide citizens adequate services, end its structural deficit and be financially sound for future generations.</w:t>
      </w:r>
    </w:p>
    <w:p w:rsidR="003424A8" w:rsidP="00B37118">
      <w:pPr>
        <w:pStyle w:val="FootnoteText"/>
        <w:ind w:firstLine="720"/>
      </w:pPr>
      <w:r>
        <w:t>“ ‘Eliminating traditional pensions is a radical idea in municipal government, but we must acknowledge that we cannot sustain the current defined-benefit system, which was designed in another era for completely different circumstances,’ Sanders said.  ‘Public employees are now paid salaries comparable to those in the private sector, and there’s simply no reason they should enjoy a far richer retirement benefit than everyone else.’</w:t>
      </w:r>
    </w:p>
    <w:p w:rsidR="003424A8" w:rsidP="00B37118">
      <w:pPr>
        <w:pStyle w:val="FootnoteText"/>
        <w:ind w:firstLine="720"/>
      </w:pPr>
      <w:r>
        <w:t>“Sanders and Councilmember Kevin Faulconer will craft the ballot initiative language and lead the signature-gathering effort to place the initiative on the ballot.</w:t>
      </w:r>
    </w:p>
    <w:p w:rsidR="003424A8" w:rsidP="008D1AC6">
      <w:pPr>
        <w:pStyle w:val="FootnoteText"/>
        <w:ind w:firstLine="720"/>
      </w:pPr>
      <w:r>
        <w:t>“ ‘This move is in the best interest of both the public and our employees.  An unaffordable pension system is not a benefit to anyone,’ Faulconer said.  ‘A 401(K) system makes sense for employers everywhere, and city government should be no different.’  [</w:t>
      </w:r>
      <w:r w:rsidRPr="00195FB6">
        <w:t>¶</w:t>
      </w:r>
      <w:r>
        <w:t>] . . . [</w:t>
      </w:r>
      <w:r w:rsidRPr="00195FB6">
        <w:t>¶</w:t>
      </w:r>
      <w:r>
        <w:t>]</w:t>
      </w:r>
    </w:p>
    <w:p w:rsidR="003424A8" w:rsidP="00455FF8">
      <w:pPr>
        <w:pStyle w:val="FootnoteText"/>
        <w:ind w:firstLine="720"/>
      </w:pPr>
      <w:r>
        <w:t>“Items that require meet-and-confer, such as reducing the city’s retiree health care liability, are currently in negotiations and on track to have a deal by April, in time to implement changes in the next budget.</w:t>
      </w:r>
      <w:r w:rsidRPr="008D1AC6">
        <w:t xml:space="preserve"> </w:t>
      </w:r>
      <w:r w:rsidR="009C7B05">
        <w:t> </w:t>
      </w:r>
      <w:r>
        <w:t>[</w:t>
      </w:r>
      <w:r w:rsidRPr="00195FB6">
        <w:t>¶</w:t>
      </w:r>
      <w:r>
        <w:t>] . . . [</w:t>
      </w:r>
      <w:r w:rsidRPr="00195FB6">
        <w:t>¶</w:t>
      </w:r>
      <w:r>
        <w:t>]</w:t>
      </w:r>
    </w:p>
    <w:p w:rsidR="003424A8" w:rsidP="00455FF8">
      <w:pPr>
        <w:pStyle w:val="FootnoteText"/>
        <w:ind w:firstLine="720"/>
      </w:pPr>
      <w:r>
        <w:t>“[‘]Over the next few months, we’ll dedicate ourselves to pursuing any and all ideas in order to permanently solve San Diego’s structural budget deficit by the time I leave office,’ Sanders said.  ‘I’ve never stopped moving toward that goal, and when obstacles rise in my path, I’ll seek a way to go around, over or through them.’</w:t>
      </w:r>
    </w:p>
    <w:p w:rsidR="003424A8" w:rsidP="00455FF8">
      <w:pPr>
        <w:pStyle w:val="FootnoteText"/>
        <w:ind w:firstLine="720"/>
      </w:pPr>
      <w:r>
        <w:t>“Since taking office in 2005, Mayor Sanders has taken aggressive action to reform city government.  He instituted a top-down restructuring of every city department, eliminated more than 1,400 positions, implemented compensation reductions for city employees and created a less costly pension system.  To date, Sanders’ reform measures have produced a taxpayer savings of more than $180 million a year.”</w:t>
      </w:r>
    </w:p>
  </w:footnote>
  <w:footnote w:id="6">
    <w:p w:rsidR="003424A8" w:rsidP="00676CB3">
      <w:pPr>
        <w:pStyle w:val="FootnoteText"/>
      </w:pPr>
      <w:r>
        <w:rPr>
          <w:rStyle w:val="FootnoteReference"/>
        </w:rPr>
        <w:footnoteRef/>
      </w:r>
      <w:r>
        <w:t xml:space="preserve"> </w:t>
      </w:r>
      <w:r>
        <w:tab/>
        <w:t xml:space="preserve">PERB noted that in </w:t>
      </w:r>
      <w:r w:rsidRPr="00676CB3">
        <w:rPr>
          <w:i/>
        </w:rPr>
        <w:t>Howard Jarvis Taxpayers Assn. v. City of San Diego</w:t>
      </w:r>
      <w:r>
        <w:t xml:space="preserve"> (2004) 120 Cal.App.4th 374, the city council had responded to a citizens’ initiative proposal by placing a competing measure</w:t>
      </w:r>
      <w:r w:rsidRPr="00676CB3">
        <w:t xml:space="preserve"> </w:t>
      </w:r>
      <w:r>
        <w:t>on the ballot.</w:t>
      </w:r>
    </w:p>
  </w:footnote>
  <w:footnote w:id="7">
    <w:p w:rsidR="003424A8" w:rsidP="00FD3AFE">
      <w:pPr>
        <w:pStyle w:val="FootnoteText"/>
      </w:pPr>
      <w:r>
        <w:rPr>
          <w:rStyle w:val="FootnoteReference"/>
        </w:rPr>
        <w:footnoteRef/>
      </w:r>
      <w:r>
        <w:t xml:space="preserve"> </w:t>
      </w:r>
      <w:r>
        <w:tab/>
        <w:t>“[A]</w:t>
      </w:r>
      <w:r w:rsidRPr="0018351C">
        <w:t xml:space="preserve"> determination is one of ultimate fact if it can be reached by logical reasoning from the evidence, but one of law if it can be reached only by the application of legal principles.</w:t>
      </w:r>
      <w:r>
        <w:t>”  (</w:t>
      </w:r>
      <w:r w:rsidRPr="0018351C">
        <w:rPr>
          <w:i/>
        </w:rPr>
        <w:t xml:space="preserve">Board of Education v. Jack M. </w:t>
      </w:r>
      <w:r>
        <w:t>(1977) 19 Cal.</w:t>
      </w:r>
      <w:r w:rsidRPr="0018351C">
        <w:t>3d 691</w:t>
      </w:r>
      <w:r>
        <w:t xml:space="preserve">, 698, fn. 3; see </w:t>
      </w:r>
      <w:r w:rsidRPr="0018351C">
        <w:rPr>
          <w:i/>
        </w:rPr>
        <w:t>Haworth v. Superior Court</w:t>
      </w:r>
      <w:r>
        <w:t xml:space="preserve"> (2010) 50 Cal.</w:t>
      </w:r>
      <w:r w:rsidRPr="0018351C">
        <w:t>4th 372</w:t>
      </w:r>
      <w:r>
        <w:t>, 384-385.)</w:t>
      </w:r>
      <w:r w:rsidRPr="0018351C">
        <w:t xml:space="preserve"> </w:t>
      </w:r>
    </w:p>
  </w:footnote>
  <w:footnote w:id="8">
    <w:p w:rsidR="003424A8" w:rsidP="00681F19">
      <w:pPr>
        <w:pStyle w:val="FootnoteText"/>
      </w:pPr>
      <w:r>
        <w:rPr>
          <w:rStyle w:val="FootnoteReference"/>
        </w:rPr>
        <w:footnoteRef/>
      </w:r>
      <w:r>
        <w:t xml:space="preserve"> </w:t>
      </w:r>
      <w:r>
        <w:tab/>
        <w:t>Section 3505 provides in full:  “The governing body of a public agency, or such boards, commissions, administrative officers or other representatives as may be properly designated by law or by such governing body, shall meet and confer in good faith regarding wages, hours, and other terms and conditions of employment with representatives of such recognized employee organizations, as defined in subdivision (b) of Section 3501, and shall consider fully such presentations as are made by the employee organization on behalf of its members prior to arriving at a determination of policy or course of action.</w:t>
      </w:r>
    </w:p>
    <w:p w:rsidR="003424A8" w:rsidP="00B31D4C">
      <w:pPr>
        <w:pStyle w:val="FootnoteText"/>
        <w:ind w:firstLine="720"/>
      </w:pPr>
      <w:r>
        <w:t>“ ‘Meet and confer in good faith’ means that a public agency, or such representatives as it may designate, and representatives of recognized employee organizations, shall have the mutual obligation personally to meet and confer promptly upon request by either party and continue for a reasonable period of time in order to exchange freely information, opinions, and proposals, and to endeavor to reach agreement on matters within the scope of representation prior to the adoption by the public agency of its final budget for the ensuing year.  The process should include adequate time for the resolution of impasses where specific procedures for such resolution are contained in local rule, regulation, or ordinance, or when such procedures are utilized by mutual consent.”</w:t>
      </w:r>
    </w:p>
  </w:footnote>
  <w:footnote w:id="9">
    <w:p w:rsidR="003424A8">
      <w:pPr>
        <w:pStyle w:val="FootnoteText"/>
      </w:pPr>
      <w:r>
        <w:rPr>
          <w:rStyle w:val="FootnoteReference"/>
        </w:rPr>
        <w:footnoteRef/>
      </w:r>
      <w:r>
        <w:t xml:space="preserve"> </w:t>
      </w:r>
      <w:r>
        <w:tab/>
        <w:t xml:space="preserve"> “N</w:t>
      </w:r>
      <w:r w:rsidRPr="001C7067">
        <w:t>eedless to say,</w:t>
      </w:r>
      <w:r>
        <w:t>” we observed,</w:t>
      </w:r>
      <w:r w:rsidRPr="001C7067">
        <w:t xml:space="preserve"> </w:t>
      </w:r>
      <w:r>
        <w:t>“</w:t>
      </w:r>
      <w:r w:rsidRPr="001C7067">
        <w:t>this case does not involve the question whether the meet-and-confer requirement was intended to apply to charter amendments proposed by initiative.</w:t>
      </w:r>
      <w:r>
        <w:t>”  (</w:t>
      </w:r>
      <w:r w:rsidRPr="001C7067">
        <w:rPr>
          <w:i/>
        </w:rPr>
        <w:t>Seal Beach</w:t>
      </w:r>
      <w:r w:rsidRPr="001C7067">
        <w:t xml:space="preserve">, </w:t>
      </w:r>
      <w:r w:rsidRPr="001C7067">
        <w:rPr>
          <w:i/>
        </w:rPr>
        <w:t>supra</w:t>
      </w:r>
      <w:r w:rsidRPr="001C7067">
        <w:t>, 36 Cal.3d at p. 5</w:t>
      </w:r>
      <w:r>
        <w:t>99, fn. 8.)</w:t>
      </w:r>
    </w:p>
  </w:footnote>
  <w:footnote w:id="10">
    <w:p w:rsidR="003424A8" w:rsidP="00340A84">
      <w:pPr>
        <w:pStyle w:val="FootnoteText"/>
      </w:pPr>
      <w:r>
        <w:rPr>
          <w:rStyle w:val="FootnoteReference"/>
        </w:rPr>
        <w:footnoteRef/>
      </w:r>
      <w:r>
        <w:t xml:space="preserve"> </w:t>
      </w:r>
      <w:r>
        <w:tab/>
        <w:t>Section 3504.5, subdivision (a) provides:  “</w:t>
      </w:r>
      <w:r w:rsidRPr="00B31D4C">
        <w:t>Except in cases of emergency as provided in this section, the governing body of a public agency, and boards and commissions designated by law or by the governing body of a public agency, shall give reasonable written notice to each recognized employee organization affected of any ordinance, rule, resolution, or regulation directly relating to matters within the scope of representation proposed to be adopted by the governing body or the designated boards and commissions and shall give the recognized employee organization the opportunity to meet with the governing body or the boards and commissions.</w:t>
      </w:r>
      <w:r>
        <w:t>”</w:t>
      </w:r>
    </w:p>
  </w:footnote>
  <w:footnote w:id="11">
    <w:p w:rsidR="003424A8" w:rsidRPr="008F19C4" w:rsidP="00A110F3">
      <w:pPr>
        <w:pStyle w:val="FootnoteText"/>
      </w:pPr>
      <w:r>
        <w:rPr>
          <w:rStyle w:val="FootnoteReference"/>
        </w:rPr>
        <w:footnoteRef/>
      </w:r>
      <w:r>
        <w:t xml:space="preserve"> </w:t>
      </w:r>
      <w:r>
        <w:tab/>
        <w:t xml:space="preserve">Section 3505 describes the duty as an obligation “personally to meet and confer promptly upon request by either party . . . .”  Consistent with its </w:t>
      </w:r>
      <w:r w:rsidR="007A4A9D">
        <w:t>earlier</w:t>
      </w:r>
      <w:r>
        <w:t xml:space="preserve"> decisions, PERB interprets this provision to require that employers provide employee representatives </w:t>
      </w:r>
      <w:r w:rsidR="00B22217">
        <w:t xml:space="preserve">with </w:t>
      </w:r>
      <w:r>
        <w:t xml:space="preserve">reasonable advance notice and an opportunity to bargain </w:t>
      </w:r>
      <w:r w:rsidRPr="00586FE5">
        <w:rPr>
          <w:i/>
        </w:rPr>
        <w:t>before</w:t>
      </w:r>
      <w:r>
        <w:t xml:space="preserve"> reaching a firm decision to establish or change a policy within the scope of the representation.  (See, e.g., </w:t>
      </w:r>
      <w:r>
        <w:rPr>
          <w:i/>
        </w:rPr>
        <w:t>City of Sacramento</w:t>
      </w:r>
      <w:r>
        <w:t xml:space="preserve"> </w:t>
      </w:r>
      <w:r w:rsidR="00D5408A">
        <w:t>(2013) PERB Dec. No. 2351-M</w:t>
      </w:r>
      <w:r w:rsidR="00B22217">
        <w:t>,</w:t>
      </w:r>
      <w:r w:rsidR="00D5408A">
        <w:t xml:space="preserve"> </w:t>
      </w:r>
      <w:r>
        <w:t xml:space="preserve">p. 28; </w:t>
      </w:r>
      <w:r>
        <w:rPr>
          <w:i/>
        </w:rPr>
        <w:t>County of Santa Clara</w:t>
      </w:r>
      <w:r>
        <w:t xml:space="preserve"> </w:t>
      </w:r>
      <w:r w:rsidR="00D5408A">
        <w:t>(2013) PERB Dec. No. 2321-M</w:t>
      </w:r>
      <w:r w:rsidR="00B22217">
        <w:t>,</w:t>
      </w:r>
      <w:r>
        <w:t xml:space="preserve"> p. 21.)</w:t>
      </w:r>
    </w:p>
    <w:p w:rsidR="003424A8" w:rsidP="00731CDB">
      <w:pPr>
        <w:pStyle w:val="FootnoteText"/>
      </w:pPr>
      <w:r>
        <w:tab/>
        <w:t xml:space="preserve">We need not decide precisely when the mayor’s duty to meet and confer was triggered here because it </w:t>
      </w:r>
      <w:r w:rsidR="00002F34">
        <w:t xml:space="preserve">clearly </w:t>
      </w:r>
      <w:r>
        <w:t xml:space="preserve">arose at least by the time the unions </w:t>
      </w:r>
      <w:r w:rsidRPr="00724162">
        <w:t xml:space="preserve">submitted </w:t>
      </w:r>
      <w:r>
        <w:t xml:space="preserve">their </w:t>
      </w:r>
      <w:r w:rsidRPr="00724162">
        <w:t xml:space="preserve">first demand </w:t>
      </w:r>
      <w:r>
        <w:t>letter.  Although</w:t>
      </w:r>
      <w:r w:rsidRPr="00724162">
        <w:t xml:space="preserve"> the </w:t>
      </w:r>
      <w:r w:rsidR="00B22217">
        <w:t>I</w:t>
      </w:r>
      <w:r>
        <w:t xml:space="preserve">nitiative </w:t>
      </w:r>
      <w:r w:rsidRPr="00724162">
        <w:t xml:space="preserve">was </w:t>
      </w:r>
      <w:r>
        <w:t xml:space="preserve">circulating for signatures by that time, </w:t>
      </w:r>
      <w:r w:rsidRPr="00724162">
        <w:t xml:space="preserve">PERB and the unions </w:t>
      </w:r>
      <w:r>
        <w:t>suggest the parties</w:t>
      </w:r>
      <w:r w:rsidRPr="00724162">
        <w:t xml:space="preserve"> could have </w:t>
      </w:r>
      <w:r>
        <w:t>discussed circulating</w:t>
      </w:r>
      <w:r w:rsidRPr="00724162">
        <w:t xml:space="preserve"> an alternative, less drastic</w:t>
      </w:r>
      <w:r>
        <w:t>,</w:t>
      </w:r>
      <w:r w:rsidRPr="00724162">
        <w:t xml:space="preserve"> pension </w:t>
      </w:r>
      <w:r>
        <w:t>measure</w:t>
      </w:r>
      <w:r w:rsidRPr="00724162">
        <w:t xml:space="preserve"> </w:t>
      </w:r>
      <w:r>
        <w:t xml:space="preserve">or </w:t>
      </w:r>
      <w:r w:rsidRPr="00724162">
        <w:t>delay</w:t>
      </w:r>
      <w:r>
        <w:t>ing</w:t>
      </w:r>
      <w:r w:rsidRPr="00724162">
        <w:t xml:space="preserve"> </w:t>
      </w:r>
      <w:r w:rsidR="00002F34">
        <w:t xml:space="preserve">the </w:t>
      </w:r>
      <w:r>
        <w:t xml:space="preserve">Initiative’s placement on the ballot </w:t>
      </w:r>
      <w:r w:rsidRPr="00724162">
        <w:t xml:space="preserve">to </w:t>
      </w:r>
      <w:r>
        <w:t>permit</w:t>
      </w:r>
      <w:r w:rsidRPr="00724162">
        <w:t xml:space="preserve"> consider</w:t>
      </w:r>
      <w:r>
        <w:t>ation of other</w:t>
      </w:r>
      <w:r w:rsidRPr="00724162">
        <w:t xml:space="preserve"> alternatives.  (See </w:t>
      </w:r>
      <w:r w:rsidRPr="00724162">
        <w:rPr>
          <w:i/>
        </w:rPr>
        <w:t>Jeffrey v. Superior Court</w:t>
      </w:r>
      <w:r w:rsidRPr="00724162">
        <w:t xml:space="preserve"> (2002) 102 Cal.App.4th 1, 6 [</w:t>
      </w:r>
      <w:r>
        <w:t>Elections Code imposes no maximum time limit on when</w:t>
      </w:r>
      <w:r w:rsidRPr="00724162">
        <w:t xml:space="preserve"> initiatives to amend city charters </w:t>
      </w:r>
      <w:r>
        <w:t>must be placed on ballot</w:t>
      </w:r>
      <w:r w:rsidRPr="00724162">
        <w:t xml:space="preserve">].)  We </w:t>
      </w:r>
      <w:r>
        <w:t>express no view on the viability of these topics as subjects of bargaining</w:t>
      </w:r>
      <w:r w:rsidRPr="007241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14BDD"/>
    <w:multiLevelType w:val="hybridMultilevel"/>
    <w:tmpl w:val="06A421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3401ED"/>
    <w:multiLevelType w:val="hybridMultilevel"/>
    <w:tmpl w:val="18AA7A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BA609E"/>
    <w:multiLevelType w:val="hybridMultilevel"/>
    <w:tmpl w:val="A010168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19F7B2D"/>
    <w:multiLevelType w:val="hybridMultilevel"/>
    <w:tmpl w:val="8382AC96"/>
    <w:lvl w:ilvl="0">
      <w:start w:val="1"/>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0CA670F"/>
    <w:multiLevelType w:val="hybridMultilevel"/>
    <w:tmpl w:val="69C8B2A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C2D0BD1"/>
    <w:multiLevelType w:val="hybridMultilevel"/>
    <w:tmpl w:val="1A0EF7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rPr>
      <w:b/>
      <w:position w:val="6"/>
      <w:sz w:val="20"/>
    </w:rPr>
  </w:style>
  <w:style w:type="paragraph" w:styleId="FootnoteText">
    <w:name w:val="footnote text"/>
    <w:basedOn w:val="Normal"/>
    <w:link w:val="FootnoteTextChar"/>
    <w:uiPriority w:val="99"/>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link w:val="FootnoteText"/>
    <w:uiPriority w:val="99"/>
    <w:rsid w:val="004C1925"/>
    <w:rPr>
      <w:sz w:val="26"/>
    </w:rPr>
  </w:style>
  <w:style w:type="paragraph" w:styleId="ListParagraph">
    <w:name w:val="List Paragraph"/>
    <w:basedOn w:val="Normal"/>
    <w:uiPriority w:val="34"/>
    <w:qFormat/>
    <w:rsid w:val="002B3E9E"/>
    <w:pPr>
      <w:ind w:left="720"/>
      <w:contextualSpacing/>
    </w:pPr>
  </w:style>
  <w:style w:type="character" w:customStyle="1" w:styleId="injectednode">
    <w:name w:val="injectednode"/>
    <w:basedOn w:val="DefaultParagraphFont"/>
    <w:rsid w:val="0010031A"/>
  </w:style>
  <w:style w:type="paragraph" w:styleId="BalloonText">
    <w:name w:val="Balloon Text"/>
    <w:basedOn w:val="Normal"/>
    <w:link w:val="BalloonTextChar"/>
    <w:uiPriority w:val="99"/>
    <w:semiHidden/>
    <w:unhideWhenUsed/>
    <w:rsid w:val="00026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2018-08-02T16:20:58Z</dcterms:created>
  <dcterms:modified xsi:type="dcterms:W3CDTF">2018-08-02T16:20:58Z</dcterms:modified>
</cp:coreProperties>
</file>