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EA" w:rsidRDefault="004F60F7" w:rsidP="00490A51">
      <w:pPr>
        <w:tabs>
          <w:tab w:val="left" w:pos="1440"/>
          <w:tab w:val="left" w:pos="4680"/>
          <w:tab w:val="center" w:pos="7200"/>
        </w:tabs>
        <w:spacing w:after="0"/>
        <w:jc w:val="center"/>
        <w:rPr>
          <w:sz w:val="36"/>
        </w:rPr>
      </w:pPr>
      <w:r>
        <w:rPr>
          <w:b/>
          <w:sz w:val="36"/>
        </w:rPr>
        <w:t>IN THE SUPREME COURT OF CALIFORNIA</w:t>
      </w:r>
    </w:p>
    <w:p w:rsidR="00490A51" w:rsidRDefault="004F60F7" w:rsidP="00490A51">
      <w:pPr>
        <w:tabs>
          <w:tab w:val="left" w:pos="1440"/>
          <w:tab w:val="left" w:pos="4680"/>
          <w:tab w:val="center" w:pos="7200"/>
        </w:tabs>
        <w:spacing w:after="0"/>
        <w:jc w:val="center"/>
      </w:pPr>
    </w:p>
    <w:p w:rsidR="00FC7121" w:rsidRDefault="004F60F7" w:rsidP="00FC7121">
      <w:pPr>
        <w:pBdr>
          <w:bottom w:val="single" w:sz="4" w:space="1" w:color="auto"/>
        </w:pBdr>
        <w:tabs>
          <w:tab w:val="left" w:pos="1440"/>
          <w:tab w:val="left" w:pos="4680"/>
          <w:tab w:val="center" w:pos="7200"/>
        </w:tabs>
        <w:spacing w:after="0"/>
        <w:jc w:val="center"/>
      </w:pPr>
      <w:r>
        <w:t>In re B.M., a Person Coming Under the Juvenile Court Law.</w:t>
      </w:r>
    </w:p>
    <w:p w:rsidR="00FC7121" w:rsidRDefault="004F60F7" w:rsidP="00FC7121">
      <w:pPr>
        <w:pBdr>
          <w:bottom w:val="single" w:sz="4" w:space="1" w:color="auto"/>
        </w:pBdr>
        <w:tabs>
          <w:tab w:val="left" w:pos="1440"/>
          <w:tab w:val="left" w:pos="4680"/>
          <w:tab w:val="center" w:pos="7200"/>
        </w:tabs>
        <w:spacing w:after="0"/>
        <w:jc w:val="center"/>
      </w:pPr>
    </w:p>
    <w:p w:rsidR="00FC7121" w:rsidRDefault="004F60F7" w:rsidP="00490A51">
      <w:pPr>
        <w:tabs>
          <w:tab w:val="left" w:pos="1440"/>
          <w:tab w:val="left" w:pos="4680"/>
          <w:tab w:val="center" w:pos="7200"/>
        </w:tabs>
        <w:spacing w:after="0"/>
        <w:jc w:val="center"/>
      </w:pPr>
    </w:p>
    <w:p w:rsidR="00490A51" w:rsidRDefault="004F60F7" w:rsidP="00FC7121">
      <w:pPr>
        <w:tabs>
          <w:tab w:val="left" w:pos="1440"/>
          <w:tab w:val="left" w:pos="4680"/>
          <w:tab w:val="center" w:pos="7200"/>
        </w:tabs>
        <w:spacing w:after="0"/>
        <w:jc w:val="center"/>
      </w:pPr>
      <w:r w:rsidRPr="00FC7121">
        <w:rPr>
          <w:caps/>
        </w:rPr>
        <w:t>The People</w:t>
      </w:r>
      <w:r>
        <w:t>,</w:t>
      </w:r>
    </w:p>
    <w:p w:rsidR="00490A51" w:rsidRDefault="004F60F7" w:rsidP="00FC7121">
      <w:pPr>
        <w:tabs>
          <w:tab w:val="left" w:pos="1440"/>
          <w:tab w:val="left" w:pos="4680"/>
          <w:tab w:val="center" w:pos="7200"/>
        </w:tabs>
        <w:spacing w:after="0"/>
        <w:jc w:val="center"/>
      </w:pPr>
      <w:r>
        <w:t>Plaintiff and Respondent,</w:t>
      </w:r>
    </w:p>
    <w:p w:rsidR="00490A51" w:rsidRDefault="004F60F7" w:rsidP="00FC7121">
      <w:pPr>
        <w:tabs>
          <w:tab w:val="left" w:pos="1440"/>
          <w:tab w:val="left" w:pos="4680"/>
          <w:tab w:val="center" w:pos="7200"/>
        </w:tabs>
        <w:spacing w:after="0"/>
        <w:jc w:val="center"/>
      </w:pPr>
      <w:r>
        <w:t>v.</w:t>
      </w:r>
    </w:p>
    <w:p w:rsidR="00490A51" w:rsidRPr="00FC7121" w:rsidRDefault="004F60F7" w:rsidP="00FC7121">
      <w:pPr>
        <w:tabs>
          <w:tab w:val="left" w:pos="1440"/>
          <w:tab w:val="left" w:pos="4680"/>
          <w:tab w:val="center" w:pos="7200"/>
        </w:tabs>
        <w:spacing w:after="0"/>
        <w:jc w:val="center"/>
        <w:rPr>
          <w:caps/>
        </w:rPr>
      </w:pPr>
      <w:r w:rsidRPr="00FC7121">
        <w:rPr>
          <w:caps/>
        </w:rPr>
        <w:t>B.M.</w:t>
      </w:r>
      <w:r>
        <w:rPr>
          <w:caps/>
        </w:rPr>
        <w:t>,</w:t>
      </w:r>
    </w:p>
    <w:p w:rsidR="00490A51" w:rsidRDefault="004F60F7" w:rsidP="00FC7121">
      <w:pPr>
        <w:tabs>
          <w:tab w:val="left" w:pos="1440"/>
          <w:tab w:val="left" w:pos="4680"/>
          <w:tab w:val="center" w:pos="7200"/>
        </w:tabs>
        <w:spacing w:after="0"/>
        <w:jc w:val="center"/>
      </w:pPr>
      <w:r>
        <w:t>Defendant and Appellant.</w:t>
      </w:r>
    </w:p>
    <w:p w:rsidR="00490A51" w:rsidRDefault="004F60F7" w:rsidP="00490A51">
      <w:pPr>
        <w:tabs>
          <w:tab w:val="left" w:pos="1440"/>
          <w:tab w:val="left" w:pos="4680"/>
          <w:tab w:val="center" w:pos="7200"/>
        </w:tabs>
        <w:spacing w:after="0"/>
        <w:jc w:val="center"/>
      </w:pPr>
    </w:p>
    <w:p w:rsidR="00490A51" w:rsidRDefault="004F60F7" w:rsidP="00490A51">
      <w:pPr>
        <w:tabs>
          <w:tab w:val="left" w:pos="1440"/>
          <w:tab w:val="left" w:pos="4680"/>
          <w:tab w:val="center" w:pos="7200"/>
        </w:tabs>
        <w:spacing w:after="0"/>
        <w:jc w:val="center"/>
      </w:pPr>
      <w:r>
        <w:t>S242153</w:t>
      </w:r>
    </w:p>
    <w:p w:rsidR="00490A51" w:rsidRDefault="004F60F7" w:rsidP="00490A51">
      <w:pPr>
        <w:tabs>
          <w:tab w:val="left" w:pos="1440"/>
          <w:tab w:val="left" w:pos="4680"/>
          <w:tab w:val="center" w:pos="7200"/>
        </w:tabs>
        <w:spacing w:after="0"/>
        <w:jc w:val="center"/>
      </w:pPr>
    </w:p>
    <w:p w:rsidR="00490A51" w:rsidRDefault="004F60F7" w:rsidP="00490A51">
      <w:pPr>
        <w:tabs>
          <w:tab w:val="left" w:pos="1440"/>
          <w:tab w:val="left" w:pos="4680"/>
          <w:tab w:val="center" w:pos="7200"/>
        </w:tabs>
        <w:spacing w:after="0"/>
        <w:jc w:val="center"/>
      </w:pPr>
      <w:r>
        <w:t>Second Appellate District, Division Six</w:t>
      </w:r>
    </w:p>
    <w:p w:rsidR="00490A51" w:rsidRDefault="004F60F7" w:rsidP="00490A51">
      <w:pPr>
        <w:tabs>
          <w:tab w:val="left" w:pos="1440"/>
          <w:tab w:val="left" w:pos="4680"/>
          <w:tab w:val="center" w:pos="7200"/>
        </w:tabs>
        <w:spacing w:after="0"/>
        <w:jc w:val="center"/>
      </w:pPr>
      <w:r>
        <w:t>B277076</w:t>
      </w:r>
    </w:p>
    <w:p w:rsidR="00490A51" w:rsidRDefault="004F60F7" w:rsidP="00490A51">
      <w:pPr>
        <w:tabs>
          <w:tab w:val="left" w:pos="1440"/>
          <w:tab w:val="left" w:pos="4680"/>
          <w:tab w:val="center" w:pos="7200"/>
        </w:tabs>
        <w:spacing w:after="0"/>
        <w:jc w:val="center"/>
      </w:pPr>
    </w:p>
    <w:p w:rsidR="00490A51" w:rsidRDefault="004F60F7" w:rsidP="00490A51">
      <w:pPr>
        <w:tabs>
          <w:tab w:val="left" w:pos="1440"/>
          <w:tab w:val="left" w:pos="4680"/>
          <w:tab w:val="center" w:pos="7200"/>
        </w:tabs>
        <w:spacing w:after="0"/>
        <w:jc w:val="center"/>
      </w:pPr>
      <w:r>
        <w:t xml:space="preserve">Ventura County </w:t>
      </w:r>
      <w:r>
        <w:t xml:space="preserve">Superior </w:t>
      </w:r>
      <w:r>
        <w:t>Court</w:t>
      </w:r>
    </w:p>
    <w:p w:rsidR="00490A51" w:rsidRDefault="004F60F7" w:rsidP="00490A51">
      <w:pPr>
        <w:tabs>
          <w:tab w:val="left" w:pos="1440"/>
          <w:tab w:val="left" w:pos="4680"/>
          <w:tab w:val="center" w:pos="7200"/>
        </w:tabs>
        <w:spacing w:after="0"/>
        <w:jc w:val="center"/>
      </w:pPr>
      <w:r>
        <w:t xml:space="preserve"> </w:t>
      </w:r>
      <w:bookmarkStart w:id="0" w:name="_GoBack"/>
      <w:bookmarkEnd w:id="0"/>
      <w:r>
        <w:t>2016025026</w:t>
      </w:r>
    </w:p>
    <w:p w:rsidR="00490A51" w:rsidRDefault="004F60F7" w:rsidP="009E16B1">
      <w:pPr>
        <w:pBdr>
          <w:bottom w:val="single" w:sz="4" w:space="1" w:color="auto"/>
        </w:pBdr>
        <w:tabs>
          <w:tab w:val="left" w:pos="1440"/>
          <w:tab w:val="left" w:pos="4680"/>
          <w:tab w:val="center" w:pos="7200"/>
        </w:tabs>
        <w:spacing w:after="0" w:line="280" w:lineRule="exact"/>
        <w:jc w:val="center"/>
      </w:pPr>
    </w:p>
    <w:p w:rsidR="00490A51" w:rsidRDefault="004F60F7" w:rsidP="009E16B1">
      <w:pPr>
        <w:tabs>
          <w:tab w:val="left" w:pos="1440"/>
          <w:tab w:val="left" w:pos="4680"/>
          <w:tab w:val="center" w:pos="7200"/>
        </w:tabs>
        <w:spacing w:after="0" w:line="280" w:lineRule="exact"/>
        <w:jc w:val="center"/>
      </w:pPr>
    </w:p>
    <w:p w:rsidR="00490A51" w:rsidRDefault="004F60F7" w:rsidP="00490A51">
      <w:pPr>
        <w:tabs>
          <w:tab w:val="left" w:pos="1440"/>
          <w:tab w:val="left" w:pos="4680"/>
          <w:tab w:val="center" w:pos="7200"/>
        </w:tabs>
        <w:spacing w:after="0"/>
        <w:jc w:val="center"/>
      </w:pPr>
      <w:r>
        <w:t>December 27, 2018</w:t>
      </w:r>
    </w:p>
    <w:p w:rsidR="00490A51" w:rsidRDefault="004F60F7" w:rsidP="00490A51">
      <w:pPr>
        <w:tabs>
          <w:tab w:val="left" w:pos="1440"/>
          <w:tab w:val="left" w:pos="4680"/>
          <w:tab w:val="center" w:pos="7200"/>
        </w:tabs>
        <w:spacing w:after="0"/>
        <w:jc w:val="center"/>
      </w:pPr>
    </w:p>
    <w:p w:rsidR="00111FE5" w:rsidRDefault="004F60F7" w:rsidP="00111FE5">
      <w:pPr>
        <w:tabs>
          <w:tab w:val="left" w:pos="1440"/>
          <w:tab w:val="left" w:pos="4680"/>
          <w:tab w:val="center" w:pos="7200"/>
        </w:tabs>
        <w:spacing w:after="0"/>
        <w:jc w:val="left"/>
      </w:pPr>
      <w:r>
        <w:t xml:space="preserve">Justice Liu authored the opinion of the court, in which </w:t>
      </w:r>
    </w:p>
    <w:p w:rsidR="00111FE5" w:rsidRDefault="004F60F7" w:rsidP="00111FE5">
      <w:pPr>
        <w:tabs>
          <w:tab w:val="left" w:pos="1440"/>
          <w:tab w:val="left" w:pos="4680"/>
          <w:tab w:val="center" w:pos="7200"/>
        </w:tabs>
        <w:spacing w:after="0"/>
        <w:jc w:val="left"/>
      </w:pPr>
      <w:r>
        <w:t xml:space="preserve">Chief Justice </w:t>
      </w:r>
      <w:proofErr w:type="spellStart"/>
      <w:r>
        <w:t>Cantil-Sakauye</w:t>
      </w:r>
      <w:proofErr w:type="spellEnd"/>
      <w:r>
        <w:t xml:space="preserve"> and Justices Chin, Corrigan, </w:t>
      </w:r>
      <w:proofErr w:type="spellStart"/>
      <w:r>
        <w:t>Cuéllar</w:t>
      </w:r>
      <w:proofErr w:type="spellEnd"/>
      <w:r>
        <w:t>, Kruger and Renner</w:t>
      </w:r>
      <w:r>
        <w:rPr>
          <w:rStyle w:val="FootnoteReference"/>
        </w:rPr>
        <w:footnoteReference w:customMarkFollows="1" w:id="2"/>
        <w:t>*</w:t>
      </w:r>
      <w:r>
        <w:t xml:space="preserve"> concurred.</w:t>
      </w:r>
    </w:p>
    <w:p w:rsidR="00490A51" w:rsidRPr="00490A51" w:rsidRDefault="004F60F7" w:rsidP="009E16B1">
      <w:pPr>
        <w:tabs>
          <w:tab w:val="left" w:pos="1440"/>
          <w:tab w:val="left" w:pos="4680"/>
          <w:tab w:val="center" w:pos="7200"/>
        </w:tabs>
        <w:spacing w:after="0"/>
        <w:jc w:val="left"/>
      </w:pPr>
      <w:r>
        <w:t>Justice Chin filed a co</w:t>
      </w:r>
      <w:r>
        <w:t xml:space="preserve">ncurring opinion in which </w:t>
      </w:r>
      <w:proofErr w:type="gramStart"/>
      <w:r>
        <w:t xml:space="preserve">Justice  </w:t>
      </w:r>
      <w:r>
        <w:t>Corrigan</w:t>
      </w:r>
      <w:proofErr w:type="gramEnd"/>
      <w:r>
        <w:t xml:space="preserve"> concurred.</w:t>
      </w:r>
      <w:bookmarkStart w:id="1" w:name="Return"/>
      <w:bookmarkEnd w:id="1"/>
    </w:p>
    <w:p w:rsidR="00490A51" w:rsidRDefault="004F60F7" w:rsidP="002279E0">
      <w:pPr>
        <w:tabs>
          <w:tab w:val="left" w:pos="1440"/>
          <w:tab w:val="left" w:pos="4680"/>
          <w:tab w:val="center" w:pos="7200"/>
        </w:tabs>
        <w:spacing w:line="240" w:lineRule="atLeast"/>
        <w:sectPr w:rsidR="00490A51" w:rsidSect="00490A51">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490A51" w:rsidRDefault="004F60F7" w:rsidP="00FC7121">
      <w:pPr>
        <w:tabs>
          <w:tab w:val="left" w:pos="1440"/>
          <w:tab w:val="left" w:pos="4680"/>
          <w:tab w:val="center" w:pos="7200"/>
        </w:tabs>
        <w:jc w:val="center"/>
      </w:pPr>
      <w:r>
        <w:rPr>
          <w:caps/>
        </w:rPr>
        <w:lastRenderedPageBreak/>
        <w:t>I</w:t>
      </w:r>
      <w:r w:rsidRPr="005E0E4F">
        <w:rPr>
          <w:smallCaps/>
        </w:rPr>
        <w:t>n</w:t>
      </w:r>
      <w:r>
        <w:rPr>
          <w:caps/>
        </w:rPr>
        <w:t xml:space="preserve"> </w:t>
      </w:r>
      <w:r w:rsidRPr="005E0E4F">
        <w:rPr>
          <w:smallCaps/>
        </w:rPr>
        <w:t>re</w:t>
      </w:r>
      <w:r>
        <w:t xml:space="preserve"> B.M.</w:t>
      </w:r>
    </w:p>
    <w:p w:rsidR="00490A51" w:rsidRDefault="004F60F7" w:rsidP="00490A51">
      <w:pPr>
        <w:tabs>
          <w:tab w:val="left" w:pos="1440"/>
          <w:tab w:val="left" w:pos="4680"/>
          <w:tab w:val="center" w:pos="7200"/>
        </w:tabs>
        <w:jc w:val="center"/>
      </w:pPr>
      <w:r>
        <w:t>S242153</w:t>
      </w:r>
    </w:p>
    <w:p w:rsidR="00490A51" w:rsidRDefault="004F60F7" w:rsidP="00490A51">
      <w:pPr>
        <w:tabs>
          <w:tab w:val="left" w:pos="1440"/>
          <w:tab w:val="left" w:pos="4680"/>
          <w:tab w:val="center" w:pos="7200"/>
        </w:tabs>
        <w:jc w:val="center"/>
      </w:pPr>
    </w:p>
    <w:p w:rsidR="00490A51" w:rsidRDefault="004F60F7" w:rsidP="00490A51">
      <w:pPr>
        <w:tabs>
          <w:tab w:val="left" w:pos="1440"/>
          <w:tab w:val="left" w:pos="4680"/>
          <w:tab w:val="center" w:pos="7200"/>
        </w:tabs>
        <w:jc w:val="center"/>
      </w:pPr>
      <w:r>
        <w:t>Opinion of the Court by Liu, J.</w:t>
      </w:r>
    </w:p>
    <w:p w:rsidR="00FC7121" w:rsidRDefault="004F60F7" w:rsidP="00FC7121">
      <w:pPr>
        <w:tabs>
          <w:tab w:val="left" w:pos="1440"/>
        </w:tabs>
      </w:pPr>
      <w:bookmarkStart w:id="2" w:name="mainstory"/>
      <w:bookmarkEnd w:id="2"/>
    </w:p>
    <w:p w:rsidR="004F05D3" w:rsidRPr="00490A51" w:rsidRDefault="004F60F7" w:rsidP="00FC7121">
      <w:pPr>
        <w:tabs>
          <w:tab w:val="left" w:pos="1440"/>
        </w:tabs>
      </w:pPr>
      <w:r>
        <w:t xml:space="preserve">        </w:t>
      </w:r>
      <w:r w:rsidRPr="00490A51">
        <w:t xml:space="preserve">Penal Code section 245, </w:t>
      </w:r>
      <w:r w:rsidRPr="00490A51">
        <w:t>subdivision (a)(1)</w:t>
      </w:r>
      <w:r w:rsidRPr="00490A51">
        <w:t xml:space="preserve"> (hereafter section 245(a)(1))</w:t>
      </w:r>
      <w:r w:rsidRPr="00490A51">
        <w:t xml:space="preserve"> </w:t>
      </w:r>
      <w:r w:rsidRPr="00490A51">
        <w:t>prohibits</w:t>
      </w:r>
      <w:r w:rsidRPr="00490A51">
        <w:t xml:space="preserve"> </w:t>
      </w:r>
      <w:r w:rsidRPr="00490A51">
        <w:t>“assault</w:t>
      </w:r>
      <w:r w:rsidRPr="00490A51">
        <w:t>[</w:t>
      </w:r>
      <w:proofErr w:type="spellStart"/>
      <w:r w:rsidRPr="00490A51">
        <w:t>ing</w:t>
      </w:r>
      <w:proofErr w:type="spellEnd"/>
      <w:proofErr w:type="gramStart"/>
      <w:r w:rsidRPr="00490A51">
        <w:t>] .</w:t>
      </w:r>
      <w:proofErr w:type="gramEnd"/>
      <w:r w:rsidRPr="00490A51">
        <w:t> . . t</w:t>
      </w:r>
      <w:r w:rsidRPr="00490A51">
        <w:t>he person of another with a deadly weapon or instrument other than a firearm.”</w:t>
      </w:r>
      <w:r w:rsidRPr="00490A51">
        <w:t xml:space="preserve">  In this case, the </w:t>
      </w:r>
      <w:r w:rsidRPr="00490A51">
        <w:t>juvenile court</w:t>
      </w:r>
      <w:r w:rsidRPr="00490A51">
        <w:t xml:space="preserve"> found that </w:t>
      </w:r>
      <w:r>
        <w:t>defendant</w:t>
      </w:r>
      <w:r w:rsidRPr="00490A51">
        <w:t xml:space="preserve"> B.M.’s use of </w:t>
      </w:r>
      <w:r w:rsidRPr="00490A51">
        <w:t>a knife</w:t>
      </w:r>
      <w:r w:rsidRPr="00490A51">
        <w:t xml:space="preserve"> with a </w:t>
      </w:r>
      <w:r w:rsidRPr="00490A51">
        <w:t>dull</w:t>
      </w:r>
      <w:r w:rsidRPr="00490A51">
        <w:t xml:space="preserve"> </w:t>
      </w:r>
      <w:r w:rsidRPr="00490A51">
        <w:t>tip</w:t>
      </w:r>
      <w:r w:rsidRPr="00490A51">
        <w:t xml:space="preserve"> and</w:t>
      </w:r>
      <w:r w:rsidRPr="00490A51">
        <w:t xml:space="preserve"> </w:t>
      </w:r>
      <w:r w:rsidRPr="00490A51">
        <w:t>slightly serrated edge</w:t>
      </w:r>
      <w:r w:rsidRPr="00490A51">
        <w:t>,</w:t>
      </w:r>
      <w:r w:rsidRPr="00490A51">
        <w:t> </w:t>
      </w:r>
      <w:r w:rsidRPr="00490A51">
        <w:t>which the court</w:t>
      </w:r>
      <w:r w:rsidRPr="00490A51">
        <w:t xml:space="preserve"> referred to as a </w:t>
      </w:r>
      <w:r w:rsidRPr="00490A51">
        <w:t>“</w:t>
      </w:r>
      <w:r w:rsidRPr="00490A51">
        <w:t>butter knife</w:t>
      </w:r>
      <w:r w:rsidRPr="00490A51">
        <w:t>,</w:t>
      </w:r>
      <w:r w:rsidRPr="00490A51">
        <w:t xml:space="preserve">” </w:t>
      </w:r>
      <w:r w:rsidRPr="00490A51">
        <w:t>violated section 245(a)(1).</w:t>
      </w:r>
      <w:r w:rsidRPr="00490A51">
        <w:t xml:space="preserve">  On appeal, B.M. argued </w:t>
      </w:r>
      <w:r w:rsidRPr="00490A51">
        <w:t xml:space="preserve">that </w:t>
      </w:r>
      <w:r w:rsidRPr="00490A51">
        <w:t>insufficient evidence</w:t>
      </w:r>
      <w:r w:rsidRPr="00490A51">
        <w:t xml:space="preserve"> </w:t>
      </w:r>
      <w:r w:rsidRPr="00490A51">
        <w:t xml:space="preserve">supported the </w:t>
      </w:r>
      <w:r w:rsidRPr="00490A51">
        <w:t>juvenile</w:t>
      </w:r>
      <w:r w:rsidRPr="00490A51">
        <w:t xml:space="preserve"> court’s finding</w:t>
      </w:r>
      <w:r w:rsidRPr="00490A51">
        <w:t xml:space="preserve"> because she</w:t>
      </w:r>
      <w:r w:rsidRPr="00490A51">
        <w:t xml:space="preserve"> </w:t>
      </w:r>
      <w:r w:rsidRPr="00490A51">
        <w:t>had</w:t>
      </w:r>
      <w:r w:rsidRPr="00490A51">
        <w:t xml:space="preserve"> not use</w:t>
      </w:r>
      <w:r w:rsidRPr="00490A51">
        <w:t>d</w:t>
      </w:r>
      <w:r w:rsidRPr="00490A51">
        <w:t xml:space="preserve"> the butter knife in </w:t>
      </w:r>
      <w:r w:rsidRPr="00490A51">
        <w:t xml:space="preserve">a manner that was </w:t>
      </w:r>
      <w:proofErr w:type="gramStart"/>
      <w:r w:rsidRPr="00490A51">
        <w:t>“</w:t>
      </w:r>
      <w:r>
        <w:t xml:space="preserve"> ‘</w:t>
      </w:r>
      <w:proofErr w:type="gramEnd"/>
      <w:r w:rsidRPr="00490A51">
        <w:t>capable of producing and likely to produce, death or great bodily injury.</w:t>
      </w:r>
      <w:r>
        <w:t xml:space="preserve">’ </w:t>
      </w:r>
      <w:r w:rsidRPr="00490A51">
        <w:t>”  (</w:t>
      </w:r>
      <w:r w:rsidRPr="00490A51">
        <w:rPr>
          <w:i/>
        </w:rPr>
        <w:t>People v. Aguilar</w:t>
      </w:r>
      <w:r w:rsidRPr="00490A51">
        <w:t xml:space="preserve"> (1997) 16 Cal.4th 1023, 1029 (</w:t>
      </w:r>
      <w:r w:rsidRPr="00490A51">
        <w:rPr>
          <w:i/>
        </w:rPr>
        <w:t>Aguilar</w:t>
      </w:r>
      <w:r w:rsidRPr="00490A51">
        <w:t>).)</w:t>
      </w:r>
      <w:r w:rsidRPr="00490A51">
        <w:t xml:space="preserve">  </w:t>
      </w:r>
      <w:r w:rsidRPr="00490A51">
        <w:t xml:space="preserve">In </w:t>
      </w:r>
      <w:r w:rsidRPr="00490A51">
        <w:t>rejecting B.M.’s claim</w:t>
      </w:r>
      <w:r w:rsidRPr="00490A51">
        <w:t xml:space="preserve">, </w:t>
      </w:r>
      <w:r w:rsidRPr="00490A51">
        <w:t>the Court of Appeal</w:t>
      </w:r>
      <w:r w:rsidRPr="00490A51">
        <w:t xml:space="preserve"> </w:t>
      </w:r>
      <w:r w:rsidRPr="00490A51">
        <w:t>expressly</w:t>
      </w:r>
      <w:r w:rsidRPr="00490A51">
        <w:t xml:space="preserve"> </w:t>
      </w:r>
      <w:r w:rsidRPr="00490A51">
        <w:t xml:space="preserve">disagreed </w:t>
      </w:r>
      <w:r w:rsidRPr="00490A51">
        <w:t>with</w:t>
      </w:r>
      <w:r w:rsidRPr="00490A51">
        <w:t xml:space="preserve"> </w:t>
      </w:r>
      <w:proofErr w:type="gramStart"/>
      <w:r w:rsidRPr="00490A51">
        <w:rPr>
          <w:i/>
        </w:rPr>
        <w:t>In</w:t>
      </w:r>
      <w:proofErr w:type="gramEnd"/>
      <w:r w:rsidRPr="00490A51">
        <w:rPr>
          <w:i/>
        </w:rPr>
        <w:t xml:space="preserve"> re Brandon T.</w:t>
      </w:r>
      <w:r w:rsidRPr="00490A51">
        <w:t xml:space="preserve"> (2011) 191 Cal.App.4th 149</w:t>
      </w:r>
      <w:r w:rsidRPr="00490A51">
        <w:t>1 (</w:t>
      </w:r>
      <w:r w:rsidRPr="00490A51">
        <w:rPr>
          <w:i/>
        </w:rPr>
        <w:t>Brandon T.</w:t>
      </w:r>
      <w:r w:rsidRPr="00490A51">
        <w:t>)</w:t>
      </w:r>
      <w:r w:rsidRPr="00490A51">
        <w:t xml:space="preserve">, </w:t>
      </w:r>
      <w:r w:rsidRPr="00490A51">
        <w:t xml:space="preserve">which </w:t>
      </w:r>
      <w:r w:rsidRPr="00490A51">
        <w:t xml:space="preserve">held that a butter knife had not been used as a deadly weapon </w:t>
      </w:r>
      <w:r w:rsidRPr="00490A51">
        <w:t xml:space="preserve">in part </w:t>
      </w:r>
      <w:r w:rsidRPr="00490A51">
        <w:t xml:space="preserve">because the knife </w:t>
      </w:r>
      <w:r w:rsidRPr="00490A51">
        <w:t>had broken</w:t>
      </w:r>
      <w:r w:rsidRPr="00490A51">
        <w:t xml:space="preserve"> during the alleged assault</w:t>
      </w:r>
      <w:r w:rsidRPr="00490A51">
        <w:t xml:space="preserve"> </w:t>
      </w:r>
      <w:r w:rsidRPr="00490A51">
        <w:t>a</w:t>
      </w:r>
      <w:r w:rsidRPr="00490A51">
        <w:t xml:space="preserve">nd </w:t>
      </w:r>
      <w:r w:rsidRPr="00490A51">
        <w:t>failed to cause significant bodily injury</w:t>
      </w:r>
      <w:r w:rsidRPr="00490A51">
        <w:t xml:space="preserve"> prior to breaking</w:t>
      </w:r>
      <w:r w:rsidRPr="00490A51">
        <w:t xml:space="preserve">. </w:t>
      </w:r>
      <w:r w:rsidRPr="00490A51">
        <w:t xml:space="preserve"> </w:t>
      </w:r>
      <w:r w:rsidRPr="00490A51">
        <w:t>(</w:t>
      </w:r>
      <w:r w:rsidRPr="00490A51">
        <w:rPr>
          <w:i/>
        </w:rPr>
        <w:t>I</w:t>
      </w:r>
      <w:r w:rsidRPr="00490A51">
        <w:rPr>
          <w:i/>
        </w:rPr>
        <w:t>d.</w:t>
      </w:r>
      <w:r w:rsidRPr="00490A51">
        <w:t xml:space="preserve"> at pp. 149</w:t>
      </w:r>
      <w:r w:rsidRPr="00490A51">
        <w:t>7–1498</w:t>
      </w:r>
      <w:r w:rsidRPr="00490A51">
        <w:t>.</w:t>
      </w:r>
      <w:r w:rsidRPr="00490A51">
        <w:t>)</w:t>
      </w:r>
    </w:p>
    <w:p w:rsidR="00583A14" w:rsidRPr="00490A51" w:rsidRDefault="004F60F7" w:rsidP="00490A51">
      <w:pPr>
        <w:tabs>
          <w:tab w:val="left" w:pos="1440"/>
        </w:tabs>
        <w:ind w:firstLine="720"/>
      </w:pPr>
      <w:r w:rsidRPr="00490A51">
        <w:t>We hold</w:t>
      </w:r>
      <w:r w:rsidRPr="00490A51">
        <w:t xml:space="preserve">, consistent with settled principles, that for </w:t>
      </w:r>
      <w:r w:rsidRPr="00490A51">
        <w:t xml:space="preserve">an object </w:t>
      </w:r>
      <w:r w:rsidRPr="00490A51">
        <w:t xml:space="preserve">to qualify as a </w:t>
      </w:r>
      <w:r w:rsidRPr="00490A51">
        <w:t xml:space="preserve">deadly weapon </w:t>
      </w:r>
      <w:r w:rsidRPr="00490A51">
        <w:t xml:space="preserve">based on how it was used, the defendant must have used the object in a manner not only </w:t>
      </w:r>
      <w:r w:rsidRPr="00490A51">
        <w:t xml:space="preserve">capable of producing </w:t>
      </w:r>
      <w:r w:rsidRPr="00490A51">
        <w:t>but also</w:t>
      </w:r>
      <w:r w:rsidRPr="00490A51">
        <w:t xml:space="preserve"> </w:t>
      </w:r>
      <w:r w:rsidRPr="00490A51">
        <w:rPr>
          <w:i/>
        </w:rPr>
        <w:t>likely to produce</w:t>
      </w:r>
      <w:r w:rsidRPr="00490A51">
        <w:t xml:space="preserve"> death or </w:t>
      </w:r>
      <w:r w:rsidRPr="00490A51">
        <w:t>great</w:t>
      </w:r>
      <w:r w:rsidRPr="00490A51">
        <w:t xml:space="preserve"> bodily injury.  </w:t>
      </w:r>
      <w:r w:rsidRPr="00490A51">
        <w:t>T</w:t>
      </w:r>
      <w:r w:rsidRPr="00490A51">
        <w:t>he</w:t>
      </w:r>
      <w:r w:rsidRPr="00490A51">
        <w:t xml:space="preserve"> </w:t>
      </w:r>
      <w:r w:rsidRPr="00490A51">
        <w:t>extent</w:t>
      </w:r>
      <w:r w:rsidRPr="00490A51">
        <w:t xml:space="preserve"> of </w:t>
      </w:r>
      <w:r w:rsidRPr="00490A51">
        <w:t xml:space="preserve">any </w:t>
      </w:r>
      <w:r w:rsidRPr="00490A51">
        <w:t xml:space="preserve">damage </w:t>
      </w:r>
      <w:r w:rsidRPr="00490A51">
        <w:t xml:space="preserve">done </w:t>
      </w:r>
      <w:r w:rsidRPr="00490A51">
        <w:t xml:space="preserve">to the </w:t>
      </w:r>
      <w:r w:rsidRPr="00490A51">
        <w:t>object</w:t>
      </w:r>
      <w:r w:rsidRPr="00490A51">
        <w:t xml:space="preserve"> and</w:t>
      </w:r>
      <w:r w:rsidRPr="00490A51">
        <w:t xml:space="preserve"> the extent of any bodily injuries</w:t>
      </w:r>
      <w:r w:rsidRPr="00490A51">
        <w:t xml:space="preserve"> caused by the </w:t>
      </w:r>
      <w:r w:rsidRPr="00490A51">
        <w:t>object</w:t>
      </w:r>
      <w:r w:rsidRPr="00490A51">
        <w:t xml:space="preserve"> </w:t>
      </w:r>
      <w:r w:rsidRPr="00490A51">
        <w:t xml:space="preserve">are appropriate </w:t>
      </w:r>
      <w:r w:rsidRPr="00490A51">
        <w:t>considerations</w:t>
      </w:r>
      <w:r w:rsidRPr="00490A51">
        <w:t xml:space="preserve"> </w:t>
      </w:r>
      <w:r w:rsidRPr="00490A51">
        <w:t>in</w:t>
      </w:r>
      <w:r w:rsidRPr="00490A51">
        <w:t xml:space="preserve"> the fact-specific inquiry required by </w:t>
      </w:r>
      <w:r>
        <w:t xml:space="preserve">Penal Code </w:t>
      </w:r>
      <w:r w:rsidRPr="00490A51">
        <w:t>section 245(a)(1)</w:t>
      </w:r>
      <w:r w:rsidRPr="00490A51">
        <w:t>.  B</w:t>
      </w:r>
      <w:r w:rsidRPr="00490A51">
        <w:t>ut speculation</w:t>
      </w:r>
      <w:r w:rsidRPr="00490A51">
        <w:t xml:space="preserve"> without record </w:t>
      </w:r>
      <w:r w:rsidRPr="00490A51">
        <w:lastRenderedPageBreak/>
        <w:t>support</w:t>
      </w:r>
      <w:r w:rsidRPr="00490A51">
        <w:t xml:space="preserve"> as to how the object could have been used </w:t>
      </w:r>
      <w:r w:rsidRPr="00490A51">
        <w:t>or what injury might have been inflicted</w:t>
      </w:r>
      <w:r w:rsidRPr="00490A51">
        <w:t xml:space="preserve"> if the object had been used differently</w:t>
      </w:r>
      <w:r w:rsidRPr="00490A51">
        <w:t xml:space="preserve"> is not appropriate</w:t>
      </w:r>
      <w:r w:rsidRPr="00490A51">
        <w:t xml:space="preserve">.  </w:t>
      </w:r>
      <w:r w:rsidRPr="00490A51">
        <w:t xml:space="preserve">We </w:t>
      </w:r>
      <w:r w:rsidRPr="00490A51">
        <w:t>conclude</w:t>
      </w:r>
      <w:r w:rsidRPr="00490A51">
        <w:t xml:space="preserve"> that</w:t>
      </w:r>
      <w:r w:rsidRPr="00490A51">
        <w:t xml:space="preserve"> </w:t>
      </w:r>
      <w:r w:rsidRPr="00490A51">
        <w:t xml:space="preserve">the </w:t>
      </w:r>
      <w:r w:rsidRPr="00490A51">
        <w:t xml:space="preserve">evidence here was insufficient to sustain a finding that the </w:t>
      </w:r>
      <w:r w:rsidRPr="00490A51">
        <w:t>knife</w:t>
      </w:r>
      <w:r w:rsidRPr="00490A51">
        <w:t xml:space="preserve"> </w:t>
      </w:r>
      <w:r w:rsidRPr="00490A51">
        <w:t xml:space="preserve">at issue </w:t>
      </w:r>
      <w:r w:rsidRPr="00490A51">
        <w:t xml:space="preserve">was used as </w:t>
      </w:r>
      <w:r w:rsidRPr="00490A51">
        <w:t xml:space="preserve">a </w:t>
      </w:r>
      <w:r w:rsidRPr="00490A51">
        <w:t>deadly weapo</w:t>
      </w:r>
      <w:r w:rsidRPr="00490A51">
        <w:t>n</w:t>
      </w:r>
      <w:r w:rsidRPr="00490A51">
        <w:t>,</w:t>
      </w:r>
      <w:r w:rsidRPr="00490A51">
        <w:t xml:space="preserve"> and </w:t>
      </w:r>
      <w:r w:rsidRPr="00490A51">
        <w:t xml:space="preserve">we </w:t>
      </w:r>
      <w:r w:rsidRPr="00490A51">
        <w:t xml:space="preserve">accordingly </w:t>
      </w:r>
      <w:r w:rsidRPr="00490A51">
        <w:t xml:space="preserve">reverse the </w:t>
      </w:r>
      <w:r w:rsidRPr="00490A51">
        <w:t>Court of Appeal’s judgment.</w:t>
      </w:r>
    </w:p>
    <w:p w:rsidR="00583A14" w:rsidRPr="00490A51" w:rsidRDefault="004F60F7" w:rsidP="00133914">
      <w:pPr>
        <w:tabs>
          <w:tab w:val="left" w:pos="1440"/>
        </w:tabs>
        <w:jc w:val="center"/>
      </w:pPr>
      <w:r w:rsidRPr="00490A51">
        <w:rPr>
          <w:b/>
        </w:rPr>
        <w:t>I.</w:t>
      </w:r>
    </w:p>
    <w:p w:rsidR="00583A14" w:rsidRPr="00490A51" w:rsidRDefault="004F60F7" w:rsidP="00490A51">
      <w:pPr>
        <w:tabs>
          <w:tab w:val="left" w:pos="1440"/>
        </w:tabs>
        <w:ind w:firstLine="720"/>
      </w:pPr>
      <w:r w:rsidRPr="00490A51">
        <w:t xml:space="preserve">On </w:t>
      </w:r>
      <w:r w:rsidRPr="00490A51">
        <w:t xml:space="preserve">the morning of </w:t>
      </w:r>
      <w:r w:rsidRPr="00490A51">
        <w:t xml:space="preserve">July 2, 2016, </w:t>
      </w:r>
      <w:r w:rsidRPr="00490A51">
        <w:t>seventeen</w:t>
      </w:r>
      <w:r w:rsidRPr="00490A51">
        <w:t xml:space="preserve">-year-old </w:t>
      </w:r>
      <w:r>
        <w:t>defendant</w:t>
      </w:r>
      <w:r w:rsidRPr="00490A51">
        <w:t xml:space="preserve"> B.M. </w:t>
      </w:r>
      <w:r w:rsidRPr="00490A51">
        <w:t>retu</w:t>
      </w:r>
      <w:r w:rsidRPr="00490A51">
        <w:t xml:space="preserve">rned to her family’s home after spending the night </w:t>
      </w:r>
      <w:r w:rsidRPr="00490A51">
        <w:t>away</w:t>
      </w:r>
      <w:r w:rsidRPr="00490A51">
        <w:t>.</w:t>
      </w:r>
      <w:r w:rsidRPr="00490A51">
        <w:t xml:space="preserve">  She </w:t>
      </w:r>
      <w:r w:rsidRPr="00490A51">
        <w:t xml:space="preserve">was unable to unlock the front door with her </w:t>
      </w:r>
      <w:r w:rsidRPr="00490A51">
        <w:t>key, so she began</w:t>
      </w:r>
      <w:r w:rsidRPr="00490A51">
        <w:t xml:space="preserve"> knocking on the door.  </w:t>
      </w:r>
      <w:r w:rsidRPr="00490A51">
        <w:t>When she received no response</w:t>
      </w:r>
      <w:r w:rsidRPr="00490A51">
        <w:t>, s</w:t>
      </w:r>
      <w:r w:rsidRPr="00490A51">
        <w:t xml:space="preserve">he entered the </w:t>
      </w:r>
      <w:r w:rsidRPr="00490A51">
        <w:t>house</w:t>
      </w:r>
      <w:r w:rsidRPr="00490A51">
        <w:t xml:space="preserve"> through </w:t>
      </w:r>
      <w:r w:rsidRPr="00490A51">
        <w:t>a window</w:t>
      </w:r>
      <w:r w:rsidRPr="00490A51">
        <w:t xml:space="preserve">.  </w:t>
      </w:r>
    </w:p>
    <w:p w:rsidR="002279E0" w:rsidRPr="00490A51" w:rsidRDefault="004F60F7" w:rsidP="00490A51">
      <w:pPr>
        <w:tabs>
          <w:tab w:val="left" w:pos="1440"/>
        </w:tabs>
        <w:ind w:firstLine="720"/>
      </w:pPr>
      <w:r w:rsidRPr="00490A51">
        <w:t>Upon entering the home, B.M. went to the bedroom of Sophia, one of her sisters, and asked her why she had changed the locks.  B.M. later ackno</w:t>
      </w:r>
      <w:r w:rsidRPr="00490A51">
        <w:t>wledged she was “mad” and “upset” when she confronted Sophia.  B.M. yelled and threw a phone at Sophia and then went downstairs to the kitchen, where she grabbed a metal knife from the counter.  B.M. testified she grabbed the knife because “it was just the</w:t>
      </w:r>
      <w:r w:rsidRPr="00490A51">
        <w:t xml:space="preserve"> heat of the moment, and [the knife was] just the first thing that caught [her] eye.”  The knife was about six</w:t>
      </w:r>
      <w:r>
        <w:t xml:space="preserve"> </w:t>
      </w:r>
      <w:r w:rsidRPr="00490A51">
        <w:t>inches long, with a three-inch blade that was not “sharp” and had “small ridges” on one side.  Both B.M. and Sophia described the knife as a “but</w:t>
      </w:r>
      <w:r w:rsidRPr="00490A51">
        <w:t>ter knife.”</w:t>
      </w:r>
    </w:p>
    <w:p w:rsidR="002279E0" w:rsidRPr="00490A51" w:rsidRDefault="004F60F7" w:rsidP="00490A51">
      <w:pPr>
        <w:tabs>
          <w:tab w:val="left" w:pos="1440"/>
        </w:tabs>
        <w:ind w:firstLine="720"/>
      </w:pPr>
      <w:r w:rsidRPr="00490A51">
        <w:t xml:space="preserve">B.M. returned to Sophia’s bedroom with the knife.  Sophia was clothed only in a towel because she had just gotten out of the shower when B.M. had arrived home.  </w:t>
      </w:r>
      <w:r w:rsidRPr="00490A51">
        <w:t>Sophia testified that w</w:t>
      </w:r>
      <w:r w:rsidRPr="00490A51">
        <w:t xml:space="preserve">hen </w:t>
      </w:r>
      <w:r w:rsidRPr="00490A51">
        <w:t xml:space="preserve">she </w:t>
      </w:r>
      <w:r w:rsidRPr="00490A51">
        <w:t>saw B.M. with the knife, she covered herself with th</w:t>
      </w:r>
      <w:r w:rsidRPr="00490A51">
        <w:t>e blanket that was on the bed because she “didn’t know what [B.M.] was going to do.”</w:t>
      </w:r>
      <w:r w:rsidRPr="00490A51">
        <w:t xml:space="preserve">  She also testified that she “was pretty scared” because she thought B.M. “could </w:t>
      </w:r>
      <w:proofErr w:type="gramStart"/>
      <w:r w:rsidRPr="00490A51">
        <w:t>really .</w:t>
      </w:r>
      <w:proofErr w:type="gramEnd"/>
      <w:r w:rsidRPr="00490A51">
        <w:t> . . hurt [her].”</w:t>
      </w:r>
      <w:r w:rsidRPr="00490A51">
        <w:t xml:space="preserve">  </w:t>
      </w:r>
      <w:r w:rsidRPr="00490A51">
        <w:lastRenderedPageBreak/>
        <w:t xml:space="preserve">On the witness stand, B.M. was asked, “So did you use a motion </w:t>
      </w:r>
      <w:r w:rsidRPr="00490A51">
        <w:t xml:space="preserve">like to stab her?”  B.M. responded, “No, but </w:t>
      </w:r>
      <w:r w:rsidRPr="00490A51">
        <w:t>as soon as I got close to her with the knife, she covered herself with the blanket.”</w:t>
      </w:r>
    </w:p>
    <w:p w:rsidR="002279E0" w:rsidRPr="00490A51" w:rsidRDefault="004F60F7" w:rsidP="00490A51">
      <w:pPr>
        <w:tabs>
          <w:tab w:val="left" w:pos="1440"/>
        </w:tabs>
        <w:ind w:firstLine="720"/>
      </w:pPr>
      <w:r w:rsidRPr="00490A51">
        <w:t xml:space="preserve">B.M. approached Sophia, who was lying on </w:t>
      </w:r>
      <w:r w:rsidRPr="00490A51">
        <w:t xml:space="preserve">top of </w:t>
      </w:r>
      <w:r w:rsidRPr="00490A51">
        <w:t>the bed with her knees bent.  Sophia testified that B.M. “</w:t>
      </w:r>
      <w:proofErr w:type="gramStart"/>
      <w:r w:rsidRPr="00490A51">
        <w:t>came .</w:t>
      </w:r>
      <w:proofErr w:type="gramEnd"/>
      <w:r w:rsidRPr="00490A51">
        <w:t xml:space="preserve"> . . at [her] </w:t>
      </w:r>
      <w:r w:rsidRPr="00490A51">
        <w:t>trying to stab [her]” and that from a distance of about three feet, B.M. made several “downward” “slicing” motions with the knife in the area around Sophia’s legs.  Sophia further testified that the knife hit her blanketed legs “a few” times and that the a</w:t>
      </w:r>
      <w:r w:rsidRPr="00490A51">
        <w:t>mount of pressure B.M. used was “maybe like a five or a six” on a scale from one to ten “if one is the least amount of pressure and ten is the most pressure.”  Sophia initially said B.M. poked her with the knife, but she later clarified that B.M. did not p</w:t>
      </w:r>
      <w:r w:rsidRPr="00490A51">
        <w:t xml:space="preserve">oke or stab her and that B.M. did not “hurt” her.  B.M. testified she only “wanted to scare [Sophia]” and “had no intentions in actually stabbing [Sophia] with [the knife].”  </w:t>
      </w:r>
    </w:p>
    <w:p w:rsidR="0070206F" w:rsidRPr="00490A51" w:rsidRDefault="004F60F7" w:rsidP="00490A51">
      <w:pPr>
        <w:tabs>
          <w:tab w:val="left" w:pos="1440"/>
        </w:tabs>
        <w:ind w:firstLine="720"/>
      </w:pPr>
      <w:r w:rsidRPr="00490A51">
        <w:t>B.M. then began arguing with her stepsister, who was also in the room.  The argu</w:t>
      </w:r>
      <w:r w:rsidRPr="00490A51">
        <w:t>ment eventually turned physical, and the fight moved from the bedroom to the downstairs of the house before spilling outside.  During this altercation, Sophia called the police, who showed up and arrested B.M.  A police officer later testified that B.M. to</w:t>
      </w:r>
      <w:r w:rsidRPr="00490A51">
        <w:t xml:space="preserve">ld him “she [had] wanted to scare Sophia and admitted to making several [downward] stabbing motions at the </w:t>
      </w:r>
      <w:proofErr w:type="gramStart"/>
      <w:r w:rsidRPr="00490A51">
        <w:t>bedding .</w:t>
      </w:r>
      <w:proofErr w:type="gramEnd"/>
      <w:r w:rsidRPr="00490A51">
        <w:t xml:space="preserve"> . . that Sophia had pulled up over her and the bed.”  </w:t>
      </w:r>
      <w:r w:rsidRPr="00490A51">
        <w:t>A</w:t>
      </w:r>
      <w:r w:rsidRPr="00490A51">
        <w:t xml:space="preserve"> juvenile </w:t>
      </w:r>
      <w:proofErr w:type="spellStart"/>
      <w:r w:rsidRPr="00490A51">
        <w:t>wardship</w:t>
      </w:r>
      <w:proofErr w:type="spellEnd"/>
      <w:r w:rsidRPr="00490A51">
        <w:t xml:space="preserve"> petition</w:t>
      </w:r>
      <w:r w:rsidRPr="00490A51">
        <w:t xml:space="preserve"> was filed </w:t>
      </w:r>
      <w:r w:rsidRPr="00490A51">
        <w:t>pursuant to</w:t>
      </w:r>
      <w:r w:rsidRPr="00490A51">
        <w:t xml:space="preserve"> Welfare and </w:t>
      </w:r>
      <w:r w:rsidRPr="00490A51">
        <w:t>Institutions Code sect</w:t>
      </w:r>
      <w:r w:rsidRPr="00490A51">
        <w:t xml:space="preserve">ion 602, alleging </w:t>
      </w:r>
      <w:r w:rsidRPr="00490A51">
        <w:t xml:space="preserve">that B.M.’s use of the butter knife against Sophia </w:t>
      </w:r>
      <w:r w:rsidRPr="00490A51">
        <w:t>was</w:t>
      </w:r>
      <w:r w:rsidRPr="00490A51">
        <w:t xml:space="preserve"> an </w:t>
      </w:r>
      <w:r w:rsidRPr="00490A51">
        <w:t xml:space="preserve">assault with a deadly weapon </w:t>
      </w:r>
      <w:r w:rsidRPr="00490A51">
        <w:t xml:space="preserve">under </w:t>
      </w:r>
      <w:r>
        <w:t xml:space="preserve">Penal Code </w:t>
      </w:r>
      <w:r w:rsidRPr="00490A51">
        <w:t xml:space="preserve">section 245(a)(1).  </w:t>
      </w:r>
      <w:r>
        <w:t xml:space="preserve">(All undesignated statutory references are to the Penal Code.)  </w:t>
      </w:r>
      <w:r w:rsidRPr="00490A51">
        <w:t xml:space="preserve">The juvenile court sustained the petition.  </w:t>
      </w:r>
      <w:r w:rsidRPr="00490A51">
        <w:t xml:space="preserve">In </w:t>
      </w:r>
      <w:r w:rsidRPr="00490A51">
        <w:t>concluding</w:t>
      </w:r>
      <w:r w:rsidRPr="00490A51">
        <w:t xml:space="preserve"> that </w:t>
      </w:r>
      <w:r w:rsidRPr="00490A51">
        <w:t>B.M. had violated section 245(a)(1)</w:t>
      </w:r>
      <w:r w:rsidRPr="00490A51">
        <w:t xml:space="preserve">, the court </w:t>
      </w:r>
      <w:r w:rsidRPr="00490A51">
        <w:t xml:space="preserve">noted that Sophia had </w:t>
      </w:r>
      <w:r w:rsidRPr="00490A51">
        <w:lastRenderedPageBreak/>
        <w:t>testified that she</w:t>
      </w:r>
      <w:r w:rsidRPr="00490A51">
        <w:t xml:space="preserve"> “did feel t</w:t>
      </w:r>
      <w:r w:rsidRPr="00490A51">
        <w:t>he [downward] slicing motion on her legs</w:t>
      </w:r>
      <w:r w:rsidRPr="00490A51">
        <w:t xml:space="preserve">” applied with a pressure of “a five or a six out of ten.”  The court </w:t>
      </w:r>
      <w:r w:rsidRPr="00490A51">
        <w:t>also</w:t>
      </w:r>
      <w:r w:rsidRPr="00490A51">
        <w:t xml:space="preserve"> </w:t>
      </w:r>
      <w:r w:rsidRPr="00490A51">
        <w:t>observed</w:t>
      </w:r>
      <w:r w:rsidRPr="00490A51">
        <w:t xml:space="preserve"> that </w:t>
      </w:r>
      <w:r w:rsidRPr="00490A51">
        <w:t xml:space="preserve">even though </w:t>
      </w:r>
      <w:r w:rsidRPr="00490A51">
        <w:t xml:space="preserve">the case involved </w:t>
      </w:r>
      <w:proofErr w:type="gramStart"/>
      <w:r w:rsidRPr="00490A51">
        <w:t>“ ‘</w:t>
      </w:r>
      <w:proofErr w:type="gramEnd"/>
      <w:r w:rsidRPr="00490A51">
        <w:t xml:space="preserve">just a butter knife,’ . . . the circumstances of what happened </w:t>
      </w:r>
      <w:proofErr w:type="gramStart"/>
      <w:r w:rsidRPr="00490A51">
        <w:t>here .</w:t>
      </w:r>
      <w:proofErr w:type="gramEnd"/>
      <w:r w:rsidRPr="00490A51">
        <w:t xml:space="preserve"> . . make it a felony.”  </w:t>
      </w:r>
    </w:p>
    <w:p w:rsidR="00303769" w:rsidRPr="00490A51" w:rsidRDefault="004F60F7" w:rsidP="00490A51">
      <w:pPr>
        <w:tabs>
          <w:tab w:val="left" w:pos="1440"/>
        </w:tabs>
        <w:ind w:firstLine="720"/>
      </w:pPr>
      <w:r w:rsidRPr="00490A51">
        <w:t>B.M. appealed the juvenile court’s order.  As relevant here, the Court of Appeal rejected B.M.’s challenge to the sufficiency of the evidenc</w:t>
      </w:r>
      <w:r w:rsidRPr="00490A51">
        <w:t>e supporting her adjudication under section 245(a)(1).  The court reasoned that “[</w:t>
      </w:r>
      <w:proofErr w:type="spellStart"/>
      <w:r w:rsidRPr="00490A51">
        <w:t>i</w:t>
      </w:r>
      <w:proofErr w:type="spellEnd"/>
      <w:r w:rsidRPr="00490A51">
        <w:t>]t matters not that [Sophia] was able to fend off great bodily injury with her blanket” or “that [B.M.] was not adept at using a knife” because B.M. “could have easily infli</w:t>
      </w:r>
      <w:r w:rsidRPr="00490A51">
        <w:t xml:space="preserve">cted great bodily injury with this metal butter knife and just as easily </w:t>
      </w:r>
      <w:r w:rsidRPr="00490A51">
        <w:t>[</w:t>
      </w:r>
      <w:r w:rsidRPr="00490A51">
        <w:t>could</w:t>
      </w:r>
      <w:r w:rsidRPr="00490A51">
        <w:t>]</w:t>
      </w:r>
      <w:r w:rsidRPr="00490A51">
        <w:t xml:space="preserve"> have committed mayhem upon the victim’s face.”  The court concluded that the juvenile court’s findings — “that the six-inch metal butter knife could be used to slice or stab, </w:t>
      </w:r>
      <w:r w:rsidRPr="00490A51">
        <w:t>even though it was not designed for such</w:t>
      </w:r>
      <w:r w:rsidRPr="00490A51">
        <w:t>,</w:t>
      </w:r>
      <w:r w:rsidRPr="00490A51">
        <w:t>” and that the knife was in fact “used in a manner ‘capable’ of producing great bodily injury” — were “not ‘wholly irreconcilable’ with the evidence.”</w:t>
      </w:r>
    </w:p>
    <w:p w:rsidR="00303769" w:rsidRPr="00490A51" w:rsidRDefault="004F60F7" w:rsidP="00490A51">
      <w:pPr>
        <w:tabs>
          <w:tab w:val="left" w:pos="1440"/>
        </w:tabs>
        <w:ind w:firstLine="720"/>
        <w:rPr>
          <w:i/>
          <w:szCs w:val="26"/>
        </w:rPr>
      </w:pPr>
      <w:r w:rsidRPr="00490A51">
        <w:rPr>
          <w:szCs w:val="26"/>
        </w:rPr>
        <w:t xml:space="preserve">The court also </w:t>
      </w:r>
      <w:r w:rsidRPr="00490A51">
        <w:rPr>
          <w:szCs w:val="26"/>
        </w:rPr>
        <w:t>said</w:t>
      </w:r>
      <w:r w:rsidRPr="00490A51">
        <w:rPr>
          <w:szCs w:val="26"/>
        </w:rPr>
        <w:t xml:space="preserve"> </w:t>
      </w:r>
      <w:r w:rsidRPr="00490A51">
        <w:rPr>
          <w:i/>
          <w:szCs w:val="26"/>
        </w:rPr>
        <w:t>Brandon T.</w:t>
      </w:r>
      <w:r w:rsidRPr="00490A51">
        <w:rPr>
          <w:szCs w:val="26"/>
        </w:rPr>
        <w:t xml:space="preserve">, </w:t>
      </w:r>
      <w:r w:rsidRPr="00490A51">
        <w:rPr>
          <w:i/>
          <w:szCs w:val="26"/>
        </w:rPr>
        <w:t>supra</w:t>
      </w:r>
      <w:r w:rsidRPr="00490A51">
        <w:rPr>
          <w:szCs w:val="26"/>
        </w:rPr>
        <w:t>, 191 Cal.App.4th 1491</w:t>
      </w:r>
      <w:r w:rsidRPr="00490A51">
        <w:rPr>
          <w:szCs w:val="26"/>
        </w:rPr>
        <w:t>, was</w:t>
      </w:r>
      <w:r w:rsidRPr="00490A51">
        <w:rPr>
          <w:szCs w:val="26"/>
        </w:rPr>
        <w:t xml:space="preserve"> </w:t>
      </w:r>
      <w:proofErr w:type="gramStart"/>
      <w:r w:rsidRPr="00490A51">
        <w:rPr>
          <w:szCs w:val="26"/>
        </w:rPr>
        <w:t>“ ‘</w:t>
      </w:r>
      <w:proofErr w:type="gramEnd"/>
      <w:r w:rsidRPr="00490A51">
        <w:rPr>
          <w:szCs w:val="26"/>
        </w:rPr>
        <w:t>wrongly decided</w:t>
      </w:r>
      <w:r w:rsidRPr="00490A51">
        <w:rPr>
          <w:szCs w:val="26"/>
        </w:rPr>
        <w:t>.</w:t>
      </w:r>
      <w:r w:rsidRPr="00490A51">
        <w:rPr>
          <w:szCs w:val="26"/>
        </w:rPr>
        <w:t>’ ”</w:t>
      </w:r>
      <w:r w:rsidRPr="00490A51">
        <w:rPr>
          <w:szCs w:val="26"/>
        </w:rPr>
        <w:t xml:space="preserve">  In that case, a juvenile “tried to cut [</w:t>
      </w:r>
      <w:r w:rsidRPr="00490A51">
        <w:rPr>
          <w:szCs w:val="26"/>
        </w:rPr>
        <w:t>the victim’s</w:t>
      </w:r>
      <w:r w:rsidRPr="00490A51">
        <w:rPr>
          <w:szCs w:val="26"/>
        </w:rPr>
        <w:t>] cheek and throat” with a knife that was “about three and a quarter inches long, with a rounded end and slight serrations on one side.”  (</w:t>
      </w:r>
      <w:r w:rsidRPr="00490A51">
        <w:rPr>
          <w:i/>
          <w:szCs w:val="26"/>
        </w:rPr>
        <w:t>Brandon T.</w:t>
      </w:r>
      <w:r w:rsidRPr="00490A51">
        <w:rPr>
          <w:szCs w:val="26"/>
        </w:rPr>
        <w:t>,</w:t>
      </w:r>
      <w:r w:rsidRPr="00490A51">
        <w:rPr>
          <w:szCs w:val="26"/>
        </w:rPr>
        <w:t xml:space="preserve"> at pp. 1496–1497.</w:t>
      </w:r>
      <w:r>
        <w:rPr>
          <w:szCs w:val="26"/>
        </w:rPr>
        <w:t>)</w:t>
      </w:r>
      <w:r w:rsidRPr="00490A51">
        <w:rPr>
          <w:szCs w:val="26"/>
        </w:rPr>
        <w:t xml:space="preserve">  While wielding the knife, the juvenile “moved his arm up and down, applying a slashing motion” that resulted in </w:t>
      </w:r>
      <w:proofErr w:type="gramStart"/>
      <w:r w:rsidRPr="00490A51">
        <w:rPr>
          <w:szCs w:val="26"/>
        </w:rPr>
        <w:t>“ ‘</w:t>
      </w:r>
      <w:proofErr w:type="gramEnd"/>
      <w:r w:rsidRPr="00490A51">
        <w:rPr>
          <w:szCs w:val="26"/>
        </w:rPr>
        <w:t>welts’ ” and “ ‘a small scratch’ ” but did not draw blood.  (</w:t>
      </w:r>
      <w:r w:rsidRPr="00490A51">
        <w:rPr>
          <w:i/>
          <w:szCs w:val="26"/>
        </w:rPr>
        <w:t>Id.</w:t>
      </w:r>
      <w:r w:rsidRPr="00490A51">
        <w:rPr>
          <w:szCs w:val="26"/>
        </w:rPr>
        <w:t xml:space="preserve"> at p. 1497.)  </w:t>
      </w:r>
      <w:r w:rsidRPr="00490A51">
        <w:rPr>
          <w:szCs w:val="26"/>
        </w:rPr>
        <w:t>“</w:t>
      </w:r>
      <w:r w:rsidRPr="00490A51">
        <w:rPr>
          <w:color w:val="000000"/>
          <w:szCs w:val="26"/>
        </w:rPr>
        <w:t>The pressure that Brandon applied was not enough to cause d</w:t>
      </w:r>
      <w:r w:rsidRPr="00490A51">
        <w:rPr>
          <w:color w:val="000000"/>
          <w:szCs w:val="26"/>
        </w:rPr>
        <w:t xml:space="preserve">eath or great bodily injury to [the victim].  Yet it was too much pressure for the knife to bear, and the handle broke off.”  </w:t>
      </w:r>
      <w:r w:rsidRPr="00490A51">
        <w:rPr>
          <w:szCs w:val="26"/>
        </w:rPr>
        <w:t>(</w:t>
      </w:r>
      <w:r w:rsidRPr="00490A51">
        <w:rPr>
          <w:i/>
          <w:szCs w:val="26"/>
        </w:rPr>
        <w:t>Ibid.</w:t>
      </w:r>
      <w:r w:rsidRPr="00490A51">
        <w:rPr>
          <w:szCs w:val="26"/>
        </w:rPr>
        <w:t>)  The court</w:t>
      </w:r>
      <w:r w:rsidRPr="00490A51">
        <w:rPr>
          <w:szCs w:val="26"/>
        </w:rPr>
        <w:t xml:space="preserve"> in </w:t>
      </w:r>
      <w:r w:rsidRPr="00490A51">
        <w:rPr>
          <w:i/>
          <w:szCs w:val="26"/>
        </w:rPr>
        <w:t>Brandon T.</w:t>
      </w:r>
      <w:r w:rsidRPr="00490A51">
        <w:rPr>
          <w:szCs w:val="26"/>
        </w:rPr>
        <w:t xml:space="preserve"> reversed the juvenile’s adjudication </w:t>
      </w:r>
      <w:r w:rsidRPr="00490A51">
        <w:rPr>
          <w:szCs w:val="26"/>
        </w:rPr>
        <w:lastRenderedPageBreak/>
        <w:t xml:space="preserve">under section 245(a)(1), reasoning that “[t]he butter </w:t>
      </w:r>
      <w:proofErr w:type="gramStart"/>
      <w:r w:rsidRPr="00490A51">
        <w:rPr>
          <w:szCs w:val="26"/>
        </w:rPr>
        <w:t>knife </w:t>
      </w:r>
      <w:r w:rsidRPr="00490A51">
        <w:rPr>
          <w:szCs w:val="26"/>
        </w:rPr>
        <w:t>.</w:t>
      </w:r>
      <w:proofErr w:type="gramEnd"/>
      <w:r w:rsidRPr="00490A51">
        <w:rPr>
          <w:szCs w:val="26"/>
        </w:rPr>
        <w:t xml:space="preserve"> . . had a rounded end, not a pointed one.  </w:t>
      </w:r>
      <w:r w:rsidRPr="00490A51">
        <w:rPr>
          <w:szCs w:val="26"/>
        </w:rPr>
        <w:t>Brandon</w:t>
      </w:r>
      <w:r w:rsidRPr="00490A51">
        <w:rPr>
          <w:szCs w:val="26"/>
        </w:rPr>
        <w:t xml:space="preserve"> applied force, but the knife did not penet</w:t>
      </w:r>
      <w:r w:rsidRPr="00490A51">
        <w:rPr>
          <w:szCs w:val="26"/>
        </w:rPr>
        <w:t>rate through the layers of [the victim’s]</w:t>
      </w:r>
      <w:r w:rsidRPr="00490A51">
        <w:rPr>
          <w:szCs w:val="26"/>
        </w:rPr>
        <w:t> skin; sufficient force was used, however, to cause the butter knife to break during use.</w:t>
      </w:r>
      <w:r w:rsidRPr="00490A51">
        <w:rPr>
          <w:szCs w:val="26"/>
        </w:rPr>
        <w:t xml:space="preserve">  </w:t>
      </w:r>
      <w:r w:rsidRPr="00490A51">
        <w:rPr>
          <w:color w:val="212121"/>
          <w:szCs w:val="26"/>
        </w:rPr>
        <w:t>Although [the victim] perceiv</w:t>
      </w:r>
      <w:r w:rsidRPr="00490A51">
        <w:rPr>
          <w:color w:val="212121"/>
          <w:szCs w:val="26"/>
        </w:rPr>
        <w:t>ed that Brandon was trying repeatedly to cut him, t</w:t>
      </w:r>
      <w:r w:rsidRPr="00490A51">
        <w:rPr>
          <w:szCs w:val="26"/>
        </w:rPr>
        <w:t>he knife failed and was not capable of use as obviously intended.”  (</w:t>
      </w:r>
      <w:r w:rsidRPr="00490A51">
        <w:rPr>
          <w:i/>
          <w:szCs w:val="26"/>
        </w:rPr>
        <w:t>Brandon T.</w:t>
      </w:r>
      <w:r w:rsidRPr="00490A51">
        <w:rPr>
          <w:szCs w:val="26"/>
        </w:rPr>
        <w:t>, at pp. 1497–1498.)</w:t>
      </w:r>
      <w:r w:rsidRPr="00490A51">
        <w:rPr>
          <w:szCs w:val="26"/>
        </w:rPr>
        <w:t xml:space="preserve">  The Court of Appeal here said that </w:t>
      </w:r>
      <w:r w:rsidRPr="00490A51">
        <w:rPr>
          <w:i/>
          <w:szCs w:val="26"/>
        </w:rPr>
        <w:t>Brandon T.</w:t>
      </w:r>
      <w:r w:rsidRPr="00490A51">
        <w:rPr>
          <w:szCs w:val="26"/>
        </w:rPr>
        <w:t xml:space="preserve"> “gives undue emphasis to the lack of injuries” and that th</w:t>
      </w:r>
      <w:r w:rsidRPr="00490A51">
        <w:rPr>
          <w:szCs w:val="26"/>
        </w:rPr>
        <w:t xml:space="preserve">e fact that the knife “broke during </w:t>
      </w:r>
      <w:r w:rsidRPr="00490A51">
        <w:rPr>
          <w:color w:val="212121"/>
          <w:szCs w:val="26"/>
        </w:rPr>
        <w:t>the assault preventing further stabbing should not inure to the defendant’s benefit.”</w:t>
      </w:r>
    </w:p>
    <w:p w:rsidR="00416B1A" w:rsidRPr="00490A51" w:rsidRDefault="004F60F7" w:rsidP="00490A51">
      <w:pPr>
        <w:tabs>
          <w:tab w:val="left" w:pos="1440"/>
        </w:tabs>
        <w:ind w:firstLine="720"/>
      </w:pPr>
      <w:r w:rsidRPr="00490A51">
        <w:t xml:space="preserve">We granted </w:t>
      </w:r>
      <w:r w:rsidRPr="00490A51">
        <w:t>review</w:t>
      </w:r>
      <w:r w:rsidRPr="00490A51">
        <w:t>.</w:t>
      </w:r>
    </w:p>
    <w:p w:rsidR="00583A14" w:rsidRPr="00490A51" w:rsidRDefault="004F60F7" w:rsidP="00133914">
      <w:pPr>
        <w:keepNext/>
        <w:tabs>
          <w:tab w:val="left" w:pos="1440"/>
        </w:tabs>
        <w:jc w:val="center"/>
      </w:pPr>
      <w:r w:rsidRPr="00490A51">
        <w:rPr>
          <w:b/>
        </w:rPr>
        <w:t>II.</w:t>
      </w:r>
    </w:p>
    <w:p w:rsidR="0003130E" w:rsidRPr="00490A51" w:rsidRDefault="004F60F7" w:rsidP="00490A51">
      <w:pPr>
        <w:keepNext/>
        <w:tabs>
          <w:tab w:val="left" w:pos="1440"/>
        </w:tabs>
        <w:ind w:firstLine="720"/>
        <w:rPr>
          <w:szCs w:val="26"/>
        </w:rPr>
      </w:pPr>
      <w:r w:rsidRPr="00490A51">
        <w:rPr>
          <w:szCs w:val="26"/>
        </w:rPr>
        <w:t xml:space="preserve">“As used in section 245, subdivision (a)(1), a ‘deadly weapon’ is ‘any object, instrument, or weapon which is </w:t>
      </w:r>
      <w:r w:rsidRPr="00490A51">
        <w:rPr>
          <w:szCs w:val="26"/>
        </w:rPr>
        <w:t>used in such a manner as to be capable of producing and likely to produce, death or great bodily injury.</w:t>
      </w:r>
      <w:proofErr w:type="gramStart"/>
      <w:r w:rsidRPr="00490A51">
        <w:rPr>
          <w:szCs w:val="26"/>
        </w:rPr>
        <w:t>’ </w:t>
      </w:r>
      <w:r w:rsidRPr="00490A51">
        <w:rPr>
          <w:szCs w:val="26"/>
        </w:rPr>
        <w:t>”</w:t>
      </w:r>
      <w:proofErr w:type="gramEnd"/>
      <w:r w:rsidRPr="00490A51">
        <w:rPr>
          <w:szCs w:val="26"/>
        </w:rPr>
        <w:t xml:space="preserve">  </w:t>
      </w:r>
      <w:r w:rsidRPr="00490A51">
        <w:rPr>
          <w:szCs w:val="26"/>
        </w:rPr>
        <w:t>(</w:t>
      </w:r>
      <w:r w:rsidRPr="00490A51">
        <w:rPr>
          <w:i/>
          <w:szCs w:val="26"/>
        </w:rPr>
        <w:t>Aguilar</w:t>
      </w:r>
      <w:r w:rsidRPr="00490A51">
        <w:rPr>
          <w:szCs w:val="26"/>
        </w:rPr>
        <w:t xml:space="preserve">, </w:t>
      </w:r>
      <w:r w:rsidRPr="00490A51">
        <w:rPr>
          <w:i/>
          <w:szCs w:val="26"/>
        </w:rPr>
        <w:t>supra</w:t>
      </w:r>
      <w:r w:rsidRPr="00490A51">
        <w:rPr>
          <w:szCs w:val="26"/>
        </w:rPr>
        <w:t xml:space="preserve">, </w:t>
      </w:r>
      <w:r w:rsidRPr="00490A51">
        <w:rPr>
          <w:szCs w:val="26"/>
        </w:rPr>
        <w:t xml:space="preserve">16 Cal.4th </w:t>
      </w:r>
      <w:r w:rsidRPr="00490A51">
        <w:rPr>
          <w:szCs w:val="26"/>
        </w:rPr>
        <w:t>at pp</w:t>
      </w:r>
      <w:r w:rsidRPr="00490A51">
        <w:rPr>
          <w:szCs w:val="26"/>
        </w:rPr>
        <w:t>.</w:t>
      </w:r>
      <w:r w:rsidRPr="00490A51">
        <w:rPr>
          <w:szCs w:val="26"/>
        </w:rPr>
        <w:t> </w:t>
      </w:r>
      <w:r w:rsidRPr="00490A51">
        <w:rPr>
          <w:szCs w:val="26"/>
        </w:rPr>
        <w:t>1028–1029.)  Although “[s]</w:t>
      </w:r>
      <w:proofErr w:type="spellStart"/>
      <w:r w:rsidRPr="00490A51">
        <w:rPr>
          <w:szCs w:val="26"/>
        </w:rPr>
        <w:t>ome</w:t>
      </w:r>
      <w:proofErr w:type="spellEnd"/>
      <w:r w:rsidRPr="00490A51">
        <w:rPr>
          <w:szCs w:val="26"/>
        </w:rPr>
        <w:t xml:space="preserve"> few objects, such as dirks and blackjacks, have been held to be deadly weapons as </w:t>
      </w:r>
      <w:r w:rsidRPr="00490A51">
        <w:rPr>
          <w:szCs w:val="26"/>
        </w:rPr>
        <w:t>a matter of law</w:t>
      </w:r>
      <w:r w:rsidRPr="00490A51">
        <w:rPr>
          <w:szCs w:val="26"/>
        </w:rPr>
        <w:t>” (</w:t>
      </w:r>
      <w:r w:rsidRPr="00490A51">
        <w:rPr>
          <w:i/>
          <w:szCs w:val="26"/>
        </w:rPr>
        <w:t>id.</w:t>
      </w:r>
      <w:r w:rsidRPr="00490A51">
        <w:rPr>
          <w:szCs w:val="26"/>
        </w:rPr>
        <w:t xml:space="preserve"> at p. </w:t>
      </w:r>
      <w:r w:rsidRPr="00490A51">
        <w:rPr>
          <w:szCs w:val="26"/>
        </w:rPr>
        <w:t>102</w:t>
      </w:r>
      <w:r w:rsidRPr="00490A51">
        <w:rPr>
          <w:szCs w:val="26"/>
        </w:rPr>
        <w:t>9</w:t>
      </w:r>
      <w:r w:rsidRPr="00490A51">
        <w:rPr>
          <w:szCs w:val="26"/>
        </w:rPr>
        <w:t>), we have said a knife is not such an object (</w:t>
      </w:r>
      <w:r w:rsidRPr="00490A51">
        <w:rPr>
          <w:i/>
          <w:szCs w:val="26"/>
        </w:rPr>
        <w:t>People v. McCoy</w:t>
      </w:r>
      <w:r w:rsidRPr="00490A51">
        <w:rPr>
          <w:szCs w:val="26"/>
        </w:rPr>
        <w:t xml:space="preserve"> (1944) 25 Cal.2d 177, 188)</w:t>
      </w:r>
      <w:r w:rsidRPr="00490A51">
        <w:rPr>
          <w:szCs w:val="26"/>
        </w:rPr>
        <w:t xml:space="preserve">, and </w:t>
      </w:r>
      <w:r w:rsidRPr="00490A51">
        <w:rPr>
          <w:szCs w:val="26"/>
        </w:rPr>
        <w:t>the Attorney General does not argue</w:t>
      </w:r>
      <w:r w:rsidRPr="00490A51">
        <w:rPr>
          <w:szCs w:val="26"/>
        </w:rPr>
        <w:t xml:space="preserve"> to the contrary here</w:t>
      </w:r>
      <w:r w:rsidRPr="00490A51">
        <w:rPr>
          <w:szCs w:val="26"/>
        </w:rPr>
        <w:t>.</w:t>
      </w:r>
      <w:r w:rsidRPr="00490A51">
        <w:rPr>
          <w:szCs w:val="26"/>
        </w:rPr>
        <w:t xml:space="preserve">  “</w:t>
      </w:r>
      <w:r w:rsidRPr="00490A51">
        <w:rPr>
          <w:color w:val="000000"/>
          <w:szCs w:val="26"/>
        </w:rPr>
        <w:t>In determining whether an object not inherently deadly or dangerous i</w:t>
      </w:r>
      <w:r w:rsidRPr="00490A51">
        <w:rPr>
          <w:color w:val="000000"/>
          <w:szCs w:val="26"/>
        </w:rPr>
        <w:t>s used as such, the trier of fact may consider the nature of the object, the manner in which it is used, and all other facts relevant to the issue.</w:t>
      </w:r>
      <w:r w:rsidRPr="00490A51">
        <w:rPr>
          <w:szCs w:val="26"/>
        </w:rPr>
        <w:t xml:space="preserve">”  </w:t>
      </w:r>
      <w:r w:rsidRPr="00490A51">
        <w:rPr>
          <w:color w:val="000000"/>
          <w:szCs w:val="26"/>
        </w:rPr>
        <w:t>(</w:t>
      </w:r>
      <w:r w:rsidRPr="00490A51">
        <w:rPr>
          <w:i/>
          <w:color w:val="000000"/>
          <w:szCs w:val="26"/>
        </w:rPr>
        <w:t>Aguilar</w:t>
      </w:r>
      <w:r w:rsidRPr="00490A51">
        <w:rPr>
          <w:color w:val="000000"/>
          <w:szCs w:val="26"/>
        </w:rPr>
        <w:t xml:space="preserve">, at p. 1029.)  </w:t>
      </w:r>
      <w:r w:rsidRPr="00490A51">
        <w:rPr>
          <w:szCs w:val="26"/>
        </w:rPr>
        <w:t xml:space="preserve">Our inquiry is limited to whether substantial evidence supports the juvenile </w:t>
      </w:r>
      <w:r w:rsidRPr="00490A51">
        <w:rPr>
          <w:szCs w:val="26"/>
        </w:rPr>
        <w:lastRenderedPageBreak/>
        <w:t>court</w:t>
      </w:r>
      <w:r w:rsidRPr="00490A51">
        <w:rPr>
          <w:szCs w:val="26"/>
        </w:rPr>
        <w:t xml:space="preserve">’s finding that B.M. used the butter knife as a deadly weapon.  </w:t>
      </w:r>
      <w:r w:rsidRPr="0001367B">
        <w:t>(</w:t>
      </w:r>
      <w:r w:rsidRPr="0001367B">
        <w:rPr>
          <w:i/>
          <w:iCs/>
        </w:rPr>
        <w:t>In re Manuel G.</w:t>
      </w:r>
      <w:r w:rsidRPr="0001367B">
        <w:t xml:space="preserve"> (1997) 16 Cal.4th 805, 822–825.)</w:t>
      </w:r>
    </w:p>
    <w:p w:rsidR="000926ED" w:rsidRPr="00490A51" w:rsidRDefault="004F60F7" w:rsidP="00133914">
      <w:pPr>
        <w:keepNext/>
        <w:tabs>
          <w:tab w:val="left" w:pos="1440"/>
        </w:tabs>
        <w:jc w:val="center"/>
      </w:pPr>
      <w:r w:rsidRPr="00490A51">
        <w:rPr>
          <w:b/>
        </w:rPr>
        <w:t>A.</w:t>
      </w:r>
    </w:p>
    <w:p w:rsidR="007D0146" w:rsidRPr="00490A51" w:rsidRDefault="004F60F7" w:rsidP="00490A51">
      <w:pPr>
        <w:tabs>
          <w:tab w:val="left" w:pos="1440"/>
        </w:tabs>
        <w:ind w:firstLine="720"/>
        <w:rPr>
          <w:szCs w:val="26"/>
        </w:rPr>
      </w:pPr>
      <w:r w:rsidRPr="00490A51">
        <w:rPr>
          <w:szCs w:val="26"/>
        </w:rPr>
        <w:t>At the outset, we</w:t>
      </w:r>
      <w:r w:rsidRPr="00490A51">
        <w:rPr>
          <w:szCs w:val="26"/>
        </w:rPr>
        <w:t xml:space="preserve"> clarify </w:t>
      </w:r>
      <w:r w:rsidRPr="00490A51">
        <w:rPr>
          <w:szCs w:val="26"/>
        </w:rPr>
        <w:t xml:space="preserve">several </w:t>
      </w:r>
      <w:r w:rsidRPr="00490A51">
        <w:rPr>
          <w:szCs w:val="26"/>
        </w:rPr>
        <w:t xml:space="preserve">principles that </w:t>
      </w:r>
      <w:r w:rsidRPr="00490A51">
        <w:rPr>
          <w:szCs w:val="26"/>
        </w:rPr>
        <w:t>guide</w:t>
      </w:r>
      <w:r w:rsidRPr="00490A51">
        <w:rPr>
          <w:szCs w:val="26"/>
        </w:rPr>
        <w:t xml:space="preserve"> </w:t>
      </w:r>
      <w:r w:rsidRPr="00490A51">
        <w:rPr>
          <w:szCs w:val="26"/>
        </w:rPr>
        <w:t>our analysis</w:t>
      </w:r>
      <w:r w:rsidRPr="00490A51">
        <w:rPr>
          <w:szCs w:val="26"/>
        </w:rPr>
        <w:t>.</w:t>
      </w:r>
      <w:r w:rsidRPr="00490A51">
        <w:rPr>
          <w:szCs w:val="26"/>
        </w:rPr>
        <w:t xml:space="preserve">  First, </w:t>
      </w:r>
      <w:r w:rsidRPr="00490A51">
        <w:rPr>
          <w:szCs w:val="26"/>
        </w:rPr>
        <w:t xml:space="preserve">the </w:t>
      </w:r>
      <w:r w:rsidRPr="00490A51">
        <w:rPr>
          <w:szCs w:val="26"/>
        </w:rPr>
        <w:t xml:space="preserve">object </w:t>
      </w:r>
      <w:r w:rsidRPr="00490A51">
        <w:rPr>
          <w:szCs w:val="26"/>
        </w:rPr>
        <w:t xml:space="preserve">alleged </w:t>
      </w:r>
      <w:r w:rsidRPr="00490A51">
        <w:rPr>
          <w:szCs w:val="26"/>
        </w:rPr>
        <w:t xml:space="preserve">to be a </w:t>
      </w:r>
      <w:r w:rsidRPr="00490A51">
        <w:rPr>
          <w:szCs w:val="26"/>
        </w:rPr>
        <w:t xml:space="preserve">deadly weapon must be used in </w:t>
      </w:r>
      <w:r w:rsidRPr="00490A51">
        <w:rPr>
          <w:szCs w:val="26"/>
        </w:rPr>
        <w:t xml:space="preserve">a </w:t>
      </w:r>
      <w:r w:rsidRPr="00490A51">
        <w:rPr>
          <w:szCs w:val="26"/>
        </w:rPr>
        <w:t>manner that is not only “capable</w:t>
      </w:r>
      <w:r w:rsidRPr="00490A51">
        <w:rPr>
          <w:szCs w:val="26"/>
        </w:rPr>
        <w:t xml:space="preserve"> of producing</w:t>
      </w:r>
      <w:r w:rsidRPr="00490A51">
        <w:rPr>
          <w:szCs w:val="26"/>
        </w:rPr>
        <w:t xml:space="preserve">” but also </w:t>
      </w:r>
      <w:proofErr w:type="gramStart"/>
      <w:r w:rsidRPr="00490A51">
        <w:rPr>
          <w:szCs w:val="26"/>
        </w:rPr>
        <w:t>“</w:t>
      </w:r>
      <w:r>
        <w:rPr>
          <w:szCs w:val="26"/>
        </w:rPr>
        <w:t xml:space="preserve"> ‘</w:t>
      </w:r>
      <w:proofErr w:type="gramEnd"/>
      <w:r w:rsidRPr="00490A51">
        <w:rPr>
          <w:i/>
          <w:szCs w:val="26"/>
        </w:rPr>
        <w:t>likely to produce</w:t>
      </w:r>
      <w:r>
        <w:rPr>
          <w:szCs w:val="26"/>
        </w:rPr>
        <w:t> </w:t>
      </w:r>
      <w:r w:rsidRPr="00490A51">
        <w:rPr>
          <w:szCs w:val="26"/>
        </w:rPr>
        <w:t>death or great bodily injury.</w:t>
      </w:r>
      <w:r>
        <w:rPr>
          <w:szCs w:val="26"/>
        </w:rPr>
        <w:t xml:space="preserve">’ </w:t>
      </w:r>
      <w:r w:rsidRPr="00490A51">
        <w:rPr>
          <w:szCs w:val="26"/>
        </w:rPr>
        <w:t>”  (</w:t>
      </w:r>
      <w:r w:rsidRPr="00490A51">
        <w:rPr>
          <w:i/>
          <w:szCs w:val="26"/>
        </w:rPr>
        <w:t>Aguilar</w:t>
      </w:r>
      <w:r w:rsidRPr="00490A51">
        <w:rPr>
          <w:szCs w:val="26"/>
        </w:rPr>
        <w:t xml:space="preserve">, </w:t>
      </w:r>
      <w:r w:rsidRPr="00490A51">
        <w:rPr>
          <w:i/>
          <w:szCs w:val="26"/>
        </w:rPr>
        <w:t>supra</w:t>
      </w:r>
      <w:r>
        <w:rPr>
          <w:szCs w:val="26"/>
        </w:rPr>
        <w:t xml:space="preserve">, 16 Cal.4th at p. </w:t>
      </w:r>
      <w:r w:rsidRPr="00490A51">
        <w:rPr>
          <w:szCs w:val="26"/>
        </w:rPr>
        <w:t xml:space="preserve">1029, italics added.)  Although the Court of Appeal in this case recited </w:t>
      </w:r>
      <w:r w:rsidRPr="00490A51">
        <w:rPr>
          <w:szCs w:val="26"/>
        </w:rPr>
        <w:t xml:space="preserve">the </w:t>
      </w:r>
      <w:r w:rsidRPr="00490A51">
        <w:rPr>
          <w:i/>
          <w:szCs w:val="26"/>
        </w:rPr>
        <w:t>Aguilar</w:t>
      </w:r>
      <w:r w:rsidRPr="00490A51">
        <w:rPr>
          <w:szCs w:val="26"/>
        </w:rPr>
        <w:t xml:space="preserve"> standard, </w:t>
      </w:r>
      <w:r w:rsidRPr="00490A51">
        <w:rPr>
          <w:szCs w:val="26"/>
        </w:rPr>
        <w:t xml:space="preserve">its analysis </w:t>
      </w:r>
      <w:r w:rsidRPr="00490A51">
        <w:rPr>
          <w:szCs w:val="26"/>
        </w:rPr>
        <w:t>add</w:t>
      </w:r>
      <w:r w:rsidRPr="00490A51">
        <w:rPr>
          <w:szCs w:val="26"/>
        </w:rPr>
        <w:t xml:space="preserve">ressed only whether B.M.’s manner of using the </w:t>
      </w:r>
      <w:r w:rsidRPr="00490A51">
        <w:rPr>
          <w:szCs w:val="26"/>
        </w:rPr>
        <w:t xml:space="preserve">butter </w:t>
      </w:r>
      <w:r w:rsidRPr="00490A51">
        <w:rPr>
          <w:szCs w:val="26"/>
        </w:rPr>
        <w:t xml:space="preserve">knife was capable of causing </w:t>
      </w:r>
      <w:r w:rsidRPr="00490A51">
        <w:rPr>
          <w:szCs w:val="26"/>
        </w:rPr>
        <w:t xml:space="preserve">great </w:t>
      </w:r>
      <w:r w:rsidRPr="00490A51">
        <w:rPr>
          <w:szCs w:val="26"/>
        </w:rPr>
        <w:t xml:space="preserve">bodily </w:t>
      </w:r>
      <w:r>
        <w:rPr>
          <w:szCs w:val="26"/>
        </w:rPr>
        <w:t>injury</w:t>
      </w:r>
      <w:r w:rsidRPr="00490A51">
        <w:rPr>
          <w:szCs w:val="26"/>
        </w:rPr>
        <w:t>, not whether it</w:t>
      </w:r>
      <w:r w:rsidRPr="00490A51">
        <w:rPr>
          <w:szCs w:val="26"/>
        </w:rPr>
        <w:t xml:space="preserve"> was likely to do so.</w:t>
      </w:r>
      <w:r w:rsidRPr="00490A51">
        <w:rPr>
          <w:szCs w:val="26"/>
        </w:rPr>
        <w:t xml:space="preserve">  And the court misstated the standard by omitting the “likely” requirement when it said “</w:t>
      </w:r>
      <w:r w:rsidRPr="00490A51">
        <w:rPr>
          <w:color w:val="212121"/>
          <w:szCs w:val="26"/>
        </w:rPr>
        <w:t xml:space="preserve">an assault with a deadly </w:t>
      </w:r>
      <w:r w:rsidRPr="00490A51">
        <w:rPr>
          <w:color w:val="212121"/>
          <w:szCs w:val="26"/>
        </w:rPr>
        <w:t>weapon is complete when the defendant, with the requisite intent, uses an object in a manner which is capable of producing great bodily injury upon the victim</w:t>
      </w:r>
      <w:r w:rsidRPr="00490A51">
        <w:rPr>
          <w:szCs w:val="26"/>
        </w:rPr>
        <w:t>.”</w:t>
      </w:r>
    </w:p>
    <w:p w:rsidR="00A51BBF" w:rsidRPr="00490A51" w:rsidRDefault="004F60F7" w:rsidP="00490A51">
      <w:pPr>
        <w:tabs>
          <w:tab w:val="left" w:pos="1440"/>
        </w:tabs>
        <w:ind w:firstLine="720"/>
      </w:pPr>
      <w:r w:rsidRPr="00490A51">
        <w:t xml:space="preserve">The Attorney General argues that </w:t>
      </w:r>
      <w:r w:rsidRPr="00490A51">
        <w:t>“capable of producing” and “likely to produce”</w:t>
      </w:r>
      <w:r w:rsidRPr="00490A51">
        <w:t xml:space="preserve"> are essentially</w:t>
      </w:r>
      <w:r w:rsidRPr="00490A51">
        <w:t xml:space="preserve"> the same</w:t>
      </w:r>
      <w:r w:rsidRPr="00490A51">
        <w:t xml:space="preserve"> because the term </w:t>
      </w:r>
      <w:proofErr w:type="gramStart"/>
      <w:r w:rsidRPr="00490A51">
        <w:t>“ ‘</w:t>
      </w:r>
      <w:proofErr w:type="spellStart"/>
      <w:proofErr w:type="gramEnd"/>
      <w:r w:rsidRPr="00490A51">
        <w:t>likel</w:t>
      </w:r>
      <w:proofErr w:type="spellEnd"/>
      <w:r w:rsidRPr="00490A51">
        <w:t xml:space="preserve">[y]’ ” has the same meaning </w:t>
      </w:r>
      <w:r w:rsidRPr="00490A51">
        <w:t>as “ ‘</w:t>
      </w:r>
      <w:proofErr w:type="spellStart"/>
      <w:r w:rsidRPr="00490A51">
        <w:t>possib</w:t>
      </w:r>
      <w:proofErr w:type="spellEnd"/>
      <w:r w:rsidRPr="00490A51">
        <w:t xml:space="preserve">[le].’ ”  </w:t>
      </w:r>
      <w:r w:rsidRPr="00490A51">
        <w:t xml:space="preserve">But </w:t>
      </w:r>
      <w:r w:rsidRPr="00490A51">
        <w:t xml:space="preserve">this construction </w:t>
      </w:r>
      <w:r w:rsidRPr="00490A51">
        <w:t xml:space="preserve">is at odds with the ordinary </w:t>
      </w:r>
      <w:r w:rsidRPr="00490A51">
        <w:t>meaning</w:t>
      </w:r>
      <w:r w:rsidRPr="00490A51">
        <w:t xml:space="preserve"> of “likely.”  (See Merriam-Webster C</w:t>
      </w:r>
      <w:r>
        <w:t>ollegiate Dict. (11th ed. 2014)</w:t>
      </w:r>
      <w:r w:rsidRPr="00490A51">
        <w:t xml:space="preserve"> p.</w:t>
      </w:r>
      <w:r w:rsidRPr="00490A51">
        <w:t> </w:t>
      </w:r>
      <w:r w:rsidRPr="00490A51">
        <w:t xml:space="preserve">721 [defining “likely” as “having a high </w:t>
      </w:r>
      <w:r w:rsidRPr="00490A51">
        <w:t>probability of occurring or being true” and “very probable”]; Bl</w:t>
      </w:r>
      <w:r>
        <w:t>ack’s Law Dict. (10th ed. 2014)</w:t>
      </w:r>
      <w:r w:rsidRPr="00490A51">
        <w:t xml:space="preserve"> p. 1069 [defining “likely” as “probable”].)  It is also inconsistent with how we have treated the term “likely to produce great bodily harm or death” elsewhere </w:t>
      </w:r>
      <w:r w:rsidRPr="00490A51">
        <w:t xml:space="preserve">in the Penal Code.  (See </w:t>
      </w:r>
      <w:r w:rsidRPr="00490A51">
        <w:rPr>
          <w:i/>
        </w:rPr>
        <w:t>People v. Valdez</w:t>
      </w:r>
      <w:r w:rsidRPr="00490A51">
        <w:t xml:space="preserve"> (2002) 27 Cal.4th 778, 784 [the term </w:t>
      </w:r>
      <w:proofErr w:type="gramStart"/>
      <w:r w:rsidRPr="00490A51">
        <w:t>“ ‘</w:t>
      </w:r>
      <w:proofErr w:type="gramEnd"/>
      <w:r w:rsidRPr="00490A51">
        <w:t xml:space="preserve">likely to produce great bodily harm or death,’ ” as used in </w:t>
      </w:r>
      <w:r w:rsidRPr="00490A51">
        <w:t xml:space="preserve">the felony child abuse statute, </w:t>
      </w:r>
      <w:r>
        <w:t>§</w:t>
      </w:r>
      <w:r>
        <w:rPr>
          <w:rFonts w:ascii="Times New Roman" w:hAnsi="Times New Roman"/>
        </w:rPr>
        <w:t> </w:t>
      </w:r>
      <w:r w:rsidRPr="00490A51">
        <w:t>273a,</w:t>
      </w:r>
      <w:r w:rsidRPr="00490A51">
        <w:t xml:space="preserve"> refers to situations in which </w:t>
      </w:r>
      <w:r w:rsidRPr="00490A51">
        <w:lastRenderedPageBreak/>
        <w:t>“ ‘ “the probability of serious injury is gr</w:t>
      </w:r>
      <w:r w:rsidRPr="00490A51">
        <w:t xml:space="preserve">eat” ’ ”]; </w:t>
      </w:r>
      <w:r w:rsidRPr="00490A51">
        <w:rPr>
          <w:i/>
        </w:rPr>
        <w:t>People v. Sargent</w:t>
      </w:r>
      <w:r w:rsidRPr="00490A51">
        <w:t xml:space="preserve"> (1999) </w:t>
      </w:r>
      <w:r w:rsidRPr="00490A51">
        <w:t>19 Cal.4th 1206, 1223 [same].)</w:t>
      </w:r>
      <w:r w:rsidRPr="00490A51">
        <w:t xml:space="preserve">  </w:t>
      </w:r>
    </w:p>
    <w:p w:rsidR="00FF5765" w:rsidRPr="00490A51" w:rsidRDefault="004F60F7" w:rsidP="00490A51">
      <w:pPr>
        <w:tabs>
          <w:tab w:val="left" w:pos="1440"/>
        </w:tabs>
        <w:ind w:firstLine="720"/>
      </w:pPr>
      <w:r w:rsidRPr="00490A51">
        <w:t xml:space="preserve">Our </w:t>
      </w:r>
      <w:r w:rsidRPr="00490A51">
        <w:t xml:space="preserve">case </w:t>
      </w:r>
      <w:r w:rsidRPr="00490A51">
        <w:t xml:space="preserve">law </w:t>
      </w:r>
      <w:r w:rsidRPr="00490A51">
        <w:t xml:space="preserve">on the crime </w:t>
      </w:r>
      <w:r w:rsidRPr="00490A51">
        <w:t xml:space="preserve">of assault </w:t>
      </w:r>
      <w:r w:rsidRPr="00490A51">
        <w:t xml:space="preserve">is </w:t>
      </w:r>
      <w:r w:rsidRPr="00490A51">
        <w:t xml:space="preserve">also instructive.  </w:t>
      </w:r>
      <w:r w:rsidRPr="00490A51">
        <w:t>A</w:t>
      </w:r>
      <w:r w:rsidRPr="00490A51">
        <w:t>ssault is a general intent crime</w:t>
      </w:r>
      <w:r w:rsidRPr="00490A51">
        <w:t>;</w:t>
      </w:r>
      <w:r w:rsidRPr="00490A51">
        <w:t xml:space="preserve"> </w:t>
      </w:r>
      <w:r w:rsidRPr="00490A51">
        <w:t xml:space="preserve">it </w:t>
      </w:r>
      <w:r w:rsidRPr="00490A51">
        <w:t>does not require a specific intent to cause injury.</w:t>
      </w:r>
      <w:r w:rsidRPr="00490A51">
        <w:t xml:space="preserve">  (See </w:t>
      </w:r>
      <w:r w:rsidRPr="00490A51">
        <w:rPr>
          <w:i/>
        </w:rPr>
        <w:t xml:space="preserve">People v. Williams </w:t>
      </w:r>
      <w:r w:rsidRPr="00490A51">
        <w:t>(2001) 26 Cal</w:t>
      </w:r>
      <w:r w:rsidRPr="00490A51">
        <w:t xml:space="preserve">.4th 779, 782; </w:t>
      </w:r>
      <w:r w:rsidRPr="00490A51">
        <w:rPr>
          <w:i/>
        </w:rPr>
        <w:t>People v.</w:t>
      </w:r>
      <w:r w:rsidRPr="00490A51">
        <w:t xml:space="preserve"> </w:t>
      </w:r>
      <w:r w:rsidRPr="00490A51">
        <w:rPr>
          <w:i/>
        </w:rPr>
        <w:t>Rocha</w:t>
      </w:r>
      <w:r w:rsidRPr="00490A51">
        <w:t xml:space="preserve"> (1971) 3 Cal.3d 893, 898–899.)</w:t>
      </w:r>
      <w:r w:rsidRPr="00490A51">
        <w:t xml:space="preserve">  </w:t>
      </w:r>
      <w:r w:rsidRPr="00490A51">
        <w:t>T</w:t>
      </w:r>
      <w:r w:rsidRPr="00490A51">
        <w:t>he</w:t>
      </w:r>
      <w:r w:rsidRPr="00490A51">
        <w:t xml:space="preserve"> requisite mental state is “actual knowledge of the facts sufficient to establish that the defendant’s act by its nature will probably and directly result in injury to another.”  (</w:t>
      </w:r>
      <w:r w:rsidRPr="00490A51">
        <w:rPr>
          <w:i/>
        </w:rPr>
        <w:t xml:space="preserve">Williams </w:t>
      </w:r>
      <w:r w:rsidRPr="00490A51">
        <w:t>at p. 782</w:t>
      </w:r>
      <w:r w:rsidRPr="00490A51">
        <w:t>; accord,</w:t>
      </w:r>
      <w:r w:rsidRPr="00490A51">
        <w:t xml:space="preserve"> </w:t>
      </w:r>
      <w:r w:rsidRPr="00490A51">
        <w:rPr>
          <w:i/>
        </w:rPr>
        <w:t>Rocha</w:t>
      </w:r>
      <w:r w:rsidRPr="00490A51">
        <w:t>, at p. 899.)</w:t>
      </w:r>
    </w:p>
    <w:p w:rsidR="00FF5765" w:rsidRPr="00490A51" w:rsidRDefault="004F60F7" w:rsidP="00490A51">
      <w:pPr>
        <w:tabs>
          <w:tab w:val="left" w:pos="1440"/>
        </w:tabs>
        <w:ind w:firstLine="720"/>
      </w:pPr>
      <w:r w:rsidRPr="00490A51">
        <w:t xml:space="preserve">The Attorney General further contends that the Court of Appeal sufficiently addressed the </w:t>
      </w:r>
      <w:r w:rsidRPr="00490A51">
        <w:t>“likely”</w:t>
      </w:r>
      <w:r w:rsidRPr="00490A51">
        <w:t xml:space="preserve"> standard by noting that </w:t>
      </w:r>
      <w:proofErr w:type="gramStart"/>
      <w:r w:rsidRPr="00490A51">
        <w:t>“ ‘</w:t>
      </w:r>
      <w:proofErr w:type="gramEnd"/>
      <w:r w:rsidRPr="00490A51">
        <w:t>[t]he use of an object in an assault increases the likelihood of gre</w:t>
      </w:r>
      <w:r w:rsidRPr="00490A51">
        <w:t xml:space="preserve">at bodily injury.’ ”  </w:t>
      </w:r>
      <w:r w:rsidRPr="00490A51">
        <w:t>Bu</w:t>
      </w:r>
      <w:r w:rsidRPr="00490A51">
        <w:t xml:space="preserve">t the fact that B.M.’s use of the </w:t>
      </w:r>
      <w:r w:rsidRPr="00490A51">
        <w:t xml:space="preserve">butter </w:t>
      </w:r>
      <w:r w:rsidRPr="00490A51">
        <w:t xml:space="preserve">knife may have </w:t>
      </w:r>
      <w:r w:rsidRPr="00490A51">
        <w:rPr>
          <w:i/>
        </w:rPr>
        <w:t>increased the likelihood</w:t>
      </w:r>
      <w:r w:rsidRPr="00490A51">
        <w:t xml:space="preserve"> of serious injury does not establish that </w:t>
      </w:r>
      <w:r w:rsidRPr="00490A51">
        <w:t xml:space="preserve">her use of the </w:t>
      </w:r>
      <w:r w:rsidRPr="00490A51">
        <w:t>object</w:t>
      </w:r>
      <w:r w:rsidRPr="00490A51">
        <w:t xml:space="preserve"> </w:t>
      </w:r>
      <w:r w:rsidRPr="00490A51">
        <w:t>was</w:t>
      </w:r>
      <w:r w:rsidRPr="00490A51">
        <w:t xml:space="preserve"> </w:t>
      </w:r>
      <w:r w:rsidRPr="00490A51">
        <w:rPr>
          <w:i/>
        </w:rPr>
        <w:t>likely</w:t>
      </w:r>
      <w:r w:rsidRPr="00490A51">
        <w:t xml:space="preserve"> to cause serious injury.  A</w:t>
      </w:r>
      <w:r w:rsidRPr="00490A51">
        <w:t xml:space="preserve">n increase in likelihood from impossible to unlikely, for example, </w:t>
      </w:r>
      <w:r w:rsidRPr="00490A51">
        <w:t>does n</w:t>
      </w:r>
      <w:r w:rsidRPr="00490A51">
        <w:t>ot</w:t>
      </w:r>
      <w:r w:rsidRPr="00490A51">
        <w:t xml:space="preserve"> show that the object was like</w:t>
      </w:r>
      <w:r w:rsidRPr="00490A51">
        <w:t xml:space="preserve">ly to cause </w:t>
      </w:r>
      <w:r w:rsidRPr="00490A51">
        <w:t>serious harm.</w:t>
      </w:r>
      <w:r w:rsidRPr="00490A51">
        <w:t xml:space="preserve"> </w:t>
      </w:r>
      <w:r w:rsidRPr="00490A51">
        <w:t xml:space="preserve"> T</w:t>
      </w:r>
      <w:r w:rsidRPr="00490A51">
        <w:t>he</w:t>
      </w:r>
      <w:r w:rsidRPr="00490A51">
        <w:t xml:space="preserve"> use of an object in a manner “likely to produce” death or great bodily injury (</w:t>
      </w:r>
      <w:r w:rsidRPr="00490A51">
        <w:rPr>
          <w:i/>
        </w:rPr>
        <w:t>Aguilar</w:t>
      </w:r>
      <w:r w:rsidRPr="00490A51">
        <w:t xml:space="preserve">, </w:t>
      </w:r>
      <w:r w:rsidRPr="00490A51">
        <w:rPr>
          <w:i/>
        </w:rPr>
        <w:t>supra</w:t>
      </w:r>
      <w:r w:rsidRPr="00490A51">
        <w:t xml:space="preserve">, 16 Cal.4th at p. 1029) </w:t>
      </w:r>
      <w:r w:rsidRPr="00490A51">
        <w:t xml:space="preserve">requires more than </w:t>
      </w:r>
      <w:r w:rsidRPr="00490A51">
        <w:t>a</w:t>
      </w:r>
      <w:r w:rsidRPr="00490A51">
        <w:t xml:space="preserve"> mere possibility</w:t>
      </w:r>
      <w:r w:rsidRPr="00490A51">
        <w:t xml:space="preserve"> that </w:t>
      </w:r>
      <w:r w:rsidRPr="00490A51">
        <w:t>serious injury could have result</w:t>
      </w:r>
      <w:r w:rsidRPr="00490A51">
        <w:t xml:space="preserve">ed from the way </w:t>
      </w:r>
      <w:r w:rsidRPr="00490A51">
        <w:t xml:space="preserve">the </w:t>
      </w:r>
      <w:r w:rsidRPr="00490A51">
        <w:t xml:space="preserve">object </w:t>
      </w:r>
      <w:r w:rsidRPr="00490A51">
        <w:t>was used.</w:t>
      </w:r>
    </w:p>
    <w:p w:rsidR="006C3700" w:rsidRPr="00490A51" w:rsidRDefault="004F60F7" w:rsidP="00490A51">
      <w:pPr>
        <w:tabs>
          <w:tab w:val="left" w:pos="1440"/>
        </w:tabs>
        <w:ind w:firstLine="720"/>
      </w:pPr>
      <w:r w:rsidRPr="00490A51">
        <w:t xml:space="preserve">Second, </w:t>
      </w:r>
      <w:r w:rsidRPr="00490A51">
        <w:t>t</w:t>
      </w:r>
      <w:r w:rsidRPr="00490A51">
        <w:t xml:space="preserve">he </w:t>
      </w:r>
      <w:r w:rsidRPr="00490A51">
        <w:rPr>
          <w:i/>
        </w:rPr>
        <w:t>Aguilar</w:t>
      </w:r>
      <w:r w:rsidRPr="00490A51">
        <w:t xml:space="preserve"> </w:t>
      </w:r>
      <w:r w:rsidRPr="00490A51">
        <w:t xml:space="preserve">standard </w:t>
      </w:r>
      <w:r w:rsidRPr="00490A51">
        <w:t>does not permit</w:t>
      </w:r>
      <w:r w:rsidRPr="00490A51">
        <w:t xml:space="preserve"> </w:t>
      </w:r>
      <w:r w:rsidRPr="00490A51">
        <w:t>conjecture as to how the</w:t>
      </w:r>
      <w:r w:rsidRPr="00490A51">
        <w:t xml:space="preserve"> object </w:t>
      </w:r>
      <w:r w:rsidRPr="00490A51">
        <w:rPr>
          <w:iCs/>
        </w:rPr>
        <w:t>could have</w:t>
      </w:r>
      <w:r w:rsidRPr="00490A51">
        <w:t xml:space="preserve"> </w:t>
      </w:r>
      <w:r w:rsidRPr="00490A51">
        <w:t>been used.</w:t>
      </w:r>
      <w:r w:rsidRPr="00490A51">
        <w:t xml:space="preserve">  </w:t>
      </w:r>
      <w:r w:rsidRPr="00490A51">
        <w:t>Rather,</w:t>
      </w:r>
      <w:r w:rsidRPr="00490A51">
        <w:t xml:space="preserve"> </w:t>
      </w:r>
      <w:r w:rsidRPr="00490A51">
        <w:t xml:space="preserve">the determination of </w:t>
      </w:r>
      <w:r w:rsidRPr="00490A51">
        <w:t>whether an</w:t>
      </w:r>
      <w:r w:rsidRPr="00490A51">
        <w:t xml:space="preserve"> </w:t>
      </w:r>
      <w:r w:rsidRPr="00490A51">
        <w:t>object</w:t>
      </w:r>
      <w:r w:rsidRPr="00490A51">
        <w:t xml:space="preserve"> </w:t>
      </w:r>
      <w:r w:rsidRPr="00490A51">
        <w:t xml:space="preserve">is </w:t>
      </w:r>
      <w:r w:rsidRPr="00490A51">
        <w:t>a deadly weapon</w:t>
      </w:r>
      <w:r w:rsidRPr="00490A51">
        <w:t xml:space="preserve"> </w:t>
      </w:r>
      <w:r w:rsidRPr="00490A51">
        <w:t>under</w:t>
      </w:r>
      <w:r w:rsidRPr="00490A51">
        <w:t xml:space="preserve"> section 245(a)(1)</w:t>
      </w:r>
      <w:r w:rsidRPr="00490A51">
        <w:t xml:space="preserve"> </w:t>
      </w:r>
      <w:r w:rsidRPr="00490A51">
        <w:t xml:space="preserve">must </w:t>
      </w:r>
      <w:r w:rsidRPr="00490A51">
        <w:t xml:space="preserve">rest on evidence of </w:t>
      </w:r>
      <w:r w:rsidRPr="00490A51">
        <w:t xml:space="preserve">how the defendant </w:t>
      </w:r>
      <w:r w:rsidRPr="00490A51">
        <w:t xml:space="preserve">actually </w:t>
      </w:r>
      <w:r w:rsidRPr="00490A51">
        <w:t>“</w:t>
      </w:r>
      <w:r w:rsidRPr="00490A51">
        <w:t>used</w:t>
      </w:r>
      <w:r w:rsidRPr="00490A51">
        <w:t>”</w:t>
      </w:r>
      <w:r w:rsidRPr="00490A51">
        <w:t xml:space="preserve"> the </w:t>
      </w:r>
      <w:r w:rsidRPr="00490A51">
        <w:t>object</w:t>
      </w:r>
      <w:r w:rsidRPr="00490A51">
        <w:t>.  (</w:t>
      </w:r>
      <w:r w:rsidRPr="00490A51">
        <w:rPr>
          <w:i/>
        </w:rPr>
        <w:t>Aguilar</w:t>
      </w:r>
      <w:r w:rsidRPr="00490A51">
        <w:t xml:space="preserve">, </w:t>
      </w:r>
      <w:r w:rsidRPr="00490A51">
        <w:rPr>
          <w:i/>
        </w:rPr>
        <w:t>supra</w:t>
      </w:r>
      <w:r w:rsidRPr="00490A51">
        <w:t>, 16 Cal.4th</w:t>
      </w:r>
      <w:r w:rsidRPr="00490A51">
        <w:t xml:space="preserve"> at p. 1029;</w:t>
      </w:r>
      <w:r w:rsidRPr="00490A51">
        <w:t xml:space="preserve"> s</w:t>
      </w:r>
      <w:r w:rsidRPr="00490A51">
        <w:t>ee</w:t>
      </w:r>
      <w:r w:rsidRPr="00490A51">
        <w:t xml:space="preserve"> </w:t>
      </w:r>
      <w:r w:rsidRPr="00490A51">
        <w:rPr>
          <w:i/>
        </w:rPr>
        <w:t>People v. Beasley</w:t>
      </w:r>
      <w:r w:rsidRPr="00490A51">
        <w:t xml:space="preserve"> (2003) 105 Cal.App.4th 1078,</w:t>
      </w:r>
      <w:r w:rsidRPr="00490A51">
        <w:t xml:space="preserve"> 1087</w:t>
      </w:r>
      <w:r w:rsidRPr="00490A51">
        <w:t xml:space="preserve"> (</w:t>
      </w:r>
      <w:r w:rsidRPr="00490A51">
        <w:rPr>
          <w:i/>
        </w:rPr>
        <w:t>Beasley</w:t>
      </w:r>
      <w:r w:rsidRPr="00490A51">
        <w:t>)</w:t>
      </w:r>
      <w:r w:rsidRPr="00490A51">
        <w:t xml:space="preserve"> </w:t>
      </w:r>
      <w:r w:rsidRPr="00490A51">
        <w:t>[</w:t>
      </w:r>
      <w:r w:rsidRPr="00490A51">
        <w:t xml:space="preserve">finding it </w:t>
      </w:r>
      <w:r w:rsidRPr="00490A51">
        <w:t>“certainly conceivable</w:t>
      </w:r>
      <w:r w:rsidRPr="00490A51">
        <w:t>” that a broomstick “</w:t>
      </w:r>
      <w:r w:rsidRPr="00490A51">
        <w:t xml:space="preserve">might be wielded in a manner capable of </w:t>
      </w:r>
      <w:r w:rsidRPr="00490A51">
        <w:t xml:space="preserve">producing, and likely </w:t>
      </w:r>
      <w:r w:rsidRPr="00490A51">
        <w:lastRenderedPageBreak/>
        <w:t>to produce, great bodily injury,” but declining to make such a finding because the record did no</w:t>
      </w:r>
      <w:r w:rsidRPr="00490A51">
        <w:t>t indicate “the degree of force </w:t>
      </w:r>
      <w:r w:rsidRPr="00490A51">
        <w:t xml:space="preserve">Beasley </w:t>
      </w:r>
      <w:r w:rsidRPr="00490A51">
        <w:t>used</w:t>
      </w:r>
      <w:r w:rsidRPr="00490A51">
        <w:t xml:space="preserve"> in hitting [the victim] with the stick</w:t>
      </w:r>
      <w:r w:rsidRPr="00490A51">
        <w:t>”]</w:t>
      </w:r>
      <w:r w:rsidRPr="00490A51">
        <w:t>.)</w:t>
      </w:r>
    </w:p>
    <w:p w:rsidR="006C3700" w:rsidRPr="00490A51" w:rsidRDefault="004F60F7" w:rsidP="00490A51">
      <w:pPr>
        <w:tabs>
          <w:tab w:val="left" w:pos="1440"/>
        </w:tabs>
        <w:ind w:firstLine="720"/>
      </w:pPr>
      <w:r w:rsidRPr="00490A51">
        <w:rPr>
          <w:i/>
        </w:rPr>
        <w:t>People v. Duke</w:t>
      </w:r>
      <w:r w:rsidRPr="00490A51">
        <w:t xml:space="preserve"> (1985) 174 Cal.App.3d 296 (</w:t>
      </w:r>
      <w:r w:rsidRPr="00490A51">
        <w:rPr>
          <w:i/>
        </w:rPr>
        <w:t>Duke</w:t>
      </w:r>
      <w:r w:rsidRPr="00490A51">
        <w:t>) is</w:t>
      </w:r>
      <w:r w:rsidRPr="00490A51">
        <w:t xml:space="preserve"> instructive.  T</w:t>
      </w:r>
      <w:r w:rsidRPr="00490A51">
        <w:t xml:space="preserve">he </w:t>
      </w:r>
      <w:r w:rsidRPr="00490A51">
        <w:t xml:space="preserve">defendant </w:t>
      </w:r>
      <w:r w:rsidRPr="00490A51">
        <w:t>“use[d</w:t>
      </w:r>
      <w:proofErr w:type="gramStart"/>
      <w:r w:rsidRPr="00490A51">
        <w:t>] .</w:t>
      </w:r>
      <w:proofErr w:type="gramEnd"/>
      <w:r w:rsidRPr="00490A51">
        <w:t> . . </w:t>
      </w:r>
      <w:r w:rsidRPr="00490A51">
        <w:t>a headlock to hold his victim while he touched her breast.”  (</w:t>
      </w:r>
      <w:r w:rsidRPr="00490A51">
        <w:rPr>
          <w:i/>
        </w:rPr>
        <w:t>Id.</w:t>
      </w:r>
      <w:r w:rsidRPr="00490A51">
        <w:t xml:space="preserve"> at p. 302.)  The victim </w:t>
      </w:r>
      <w:r w:rsidRPr="00490A51">
        <w:t>said</w:t>
      </w:r>
      <w:r w:rsidRPr="00490A51">
        <w:t xml:space="preserve"> “[t]he headlock made her feel ‘choked’ but did not cut off her breathing.”  (</w:t>
      </w:r>
      <w:r w:rsidRPr="00490A51">
        <w:rPr>
          <w:i/>
        </w:rPr>
        <w:t>Ibid.</w:t>
      </w:r>
      <w:r w:rsidRPr="00490A51">
        <w:t xml:space="preserve">)  </w:t>
      </w:r>
      <w:r w:rsidRPr="00490A51">
        <w:t>Although</w:t>
      </w:r>
      <w:r w:rsidRPr="00490A51">
        <w:t xml:space="preserve"> “[s]he felt that his hold on her was ‘firm,’ [she] did not say that he tightened his grip.”  (</w:t>
      </w:r>
      <w:r w:rsidRPr="00490A51">
        <w:rPr>
          <w:i/>
        </w:rPr>
        <w:t>Ibid.</w:t>
      </w:r>
      <w:r w:rsidRPr="00490A51">
        <w:t>)</w:t>
      </w:r>
      <w:r w:rsidRPr="00490A51">
        <w:t xml:space="preserve">  </w:t>
      </w:r>
      <w:r w:rsidRPr="00490A51">
        <w:t>T</w:t>
      </w:r>
      <w:r w:rsidRPr="00490A51">
        <w:t xml:space="preserve">he court </w:t>
      </w:r>
      <w:r w:rsidRPr="00490A51">
        <w:t xml:space="preserve">found </w:t>
      </w:r>
      <w:r w:rsidRPr="00490A51">
        <w:t>insufficient evidence to sustain a conviction for assault with force likely to cause great bodily injury</w:t>
      </w:r>
      <w:r w:rsidRPr="00490A51">
        <w:t>, emphasizing that the inquiry fo</w:t>
      </w:r>
      <w:r w:rsidRPr="00490A51">
        <w:t>cuses</w:t>
      </w:r>
      <w:r w:rsidRPr="00490A51">
        <w:t xml:space="preserve"> on “the force </w:t>
      </w:r>
      <w:r w:rsidRPr="00490A51">
        <w:rPr>
          <w:i/>
        </w:rPr>
        <w:t>actually used</w:t>
      </w:r>
      <w:r w:rsidRPr="00490A51">
        <w:t xml:space="preserve">,” not “the force </w:t>
      </w:r>
      <w:proofErr w:type="gramStart"/>
      <w:r w:rsidRPr="00490A51">
        <w:t>that .</w:t>
      </w:r>
      <w:proofErr w:type="gramEnd"/>
      <w:r w:rsidRPr="00490A51">
        <w:t> . . </w:t>
      </w:r>
      <w:r w:rsidRPr="00490A51">
        <w:rPr>
          <w:i/>
        </w:rPr>
        <w:t>could</w:t>
      </w:r>
      <w:r w:rsidRPr="00490A51">
        <w:t xml:space="preserve"> have [been] used.”</w:t>
      </w:r>
      <w:r w:rsidRPr="00490A51">
        <w:t xml:space="preserve">  </w:t>
      </w:r>
      <w:r w:rsidRPr="00490A51">
        <w:t>(</w:t>
      </w:r>
      <w:r w:rsidRPr="00490A51">
        <w:rPr>
          <w:i/>
        </w:rPr>
        <w:t>Id.</w:t>
      </w:r>
      <w:r>
        <w:t xml:space="preserve"> at p. </w:t>
      </w:r>
      <w:r w:rsidRPr="00490A51">
        <w:t>303.)  “</w:t>
      </w:r>
      <w:r w:rsidRPr="00490A51">
        <w:t>[T]</w:t>
      </w:r>
      <w:r w:rsidRPr="00490A51">
        <w:t>he fact that appellant could have easily broken [the victim’s] neck or could have choked her to the point of cutting off her breathing by exerting</w:t>
      </w:r>
      <w:r w:rsidRPr="00490A51">
        <w:t xml:space="preserve"> greater pressure on her neck or windpipe will not support the conviction of felony assault.  This would involve gross speculation on the part of the jury as to what the appellant would have done if he had not stopped of his own accord or had been stopped </w:t>
      </w:r>
      <w:r w:rsidRPr="00490A51">
        <w:t>by outside forces.”  (</w:t>
      </w:r>
      <w:r w:rsidRPr="00490A51">
        <w:rPr>
          <w:i/>
        </w:rPr>
        <w:t>Ibid.</w:t>
      </w:r>
      <w:r w:rsidRPr="00490A51">
        <w:t>)</w:t>
      </w:r>
    </w:p>
    <w:p w:rsidR="003F76A5" w:rsidRPr="00490A51" w:rsidRDefault="004F60F7" w:rsidP="00490A51">
      <w:pPr>
        <w:tabs>
          <w:tab w:val="left" w:pos="1440"/>
        </w:tabs>
        <w:ind w:firstLine="720"/>
      </w:pPr>
      <w:r w:rsidRPr="00490A51">
        <w:rPr>
          <w:i/>
        </w:rPr>
        <w:t>Duke</w:t>
      </w:r>
      <w:r w:rsidRPr="00490A51">
        <w:t xml:space="preserve"> involved assault with force likely to cause great bodily injury (§ 245</w:t>
      </w:r>
      <w:r w:rsidRPr="00490A51">
        <w:t xml:space="preserve">, </w:t>
      </w:r>
      <w:proofErr w:type="spellStart"/>
      <w:r w:rsidRPr="00490A51">
        <w:t>subd</w:t>
      </w:r>
      <w:proofErr w:type="spellEnd"/>
      <w:r w:rsidRPr="00490A51">
        <w:t>. </w:t>
      </w:r>
      <w:r w:rsidRPr="00490A51">
        <w:t xml:space="preserve">(a)(4)) rather than assault with a deadly weapon.  But we noted in </w:t>
      </w:r>
      <w:r w:rsidRPr="00490A51">
        <w:rPr>
          <w:i/>
        </w:rPr>
        <w:t>Aguilar</w:t>
      </w:r>
      <w:r w:rsidRPr="00490A51">
        <w:t xml:space="preserve"> that</w:t>
      </w:r>
      <w:r w:rsidRPr="00490A51">
        <w:t xml:space="preserve"> “except in those cases involving an inherently dangerous </w:t>
      </w:r>
      <w:proofErr w:type="gramStart"/>
      <w:r w:rsidRPr="00490A51">
        <w:t>weapon[</w:t>
      </w:r>
      <w:proofErr w:type="gramEnd"/>
      <w:r w:rsidRPr="00490A51">
        <w:t xml:space="preserve">,] the jury’s decisionmaking process in an aggravated assault case . . . is functionally identical regardless of </w:t>
      </w:r>
      <w:proofErr w:type="gramStart"/>
      <w:r w:rsidRPr="00490A51">
        <w:t>whether .</w:t>
      </w:r>
      <w:proofErr w:type="gramEnd"/>
      <w:r w:rsidRPr="00490A51">
        <w:t> . . the defendant employed a weapon alleged to be deadly as used or employed force likely to produce great bodily injury; in either i</w:t>
      </w:r>
      <w:r w:rsidRPr="00490A51">
        <w:t>nstance, the decision turns on the nature of the force used</w:t>
      </w:r>
      <w:r w:rsidRPr="00490A51">
        <w:t>.</w:t>
      </w:r>
      <w:r w:rsidRPr="00490A51">
        <w:t xml:space="preserve">” </w:t>
      </w:r>
      <w:r w:rsidRPr="00490A51">
        <w:t xml:space="preserve"> </w:t>
      </w:r>
      <w:r w:rsidRPr="00490A51">
        <w:t>(</w:t>
      </w:r>
      <w:r w:rsidRPr="00490A51">
        <w:rPr>
          <w:i/>
        </w:rPr>
        <w:t>Aguilar</w:t>
      </w:r>
      <w:r w:rsidRPr="00490A51">
        <w:t xml:space="preserve">, </w:t>
      </w:r>
      <w:r w:rsidRPr="00490A51">
        <w:rPr>
          <w:i/>
        </w:rPr>
        <w:t>supra</w:t>
      </w:r>
      <w:r w:rsidRPr="00490A51">
        <w:t xml:space="preserve">, 16 Cal.4th at p. </w:t>
      </w:r>
      <w:r w:rsidRPr="00490A51">
        <w:t xml:space="preserve">1035; see </w:t>
      </w:r>
      <w:r w:rsidRPr="00490A51">
        <w:rPr>
          <w:i/>
        </w:rPr>
        <w:t>ibid.</w:t>
      </w:r>
      <w:r w:rsidRPr="00490A51">
        <w:t xml:space="preserve"> </w:t>
      </w:r>
      <w:proofErr w:type="gramStart"/>
      <w:r>
        <w:t>[“ ‘</w:t>
      </w:r>
      <w:proofErr w:type="gramEnd"/>
      <w:r>
        <w:t>[</w:t>
      </w:r>
      <w:r>
        <w:t>A]</w:t>
      </w:r>
      <w:proofErr w:type="spellStart"/>
      <w:r w:rsidRPr="00490A51">
        <w:t>ll</w:t>
      </w:r>
      <w:proofErr w:type="spellEnd"/>
      <w:r w:rsidRPr="00490A51">
        <w:t xml:space="preserve"> </w:t>
      </w:r>
      <w:r w:rsidRPr="00490A51">
        <w:t xml:space="preserve">aggravated assaults are </w:t>
      </w:r>
      <w:r w:rsidRPr="00490A51">
        <w:lastRenderedPageBreak/>
        <w:t>ultimately determined based on the force likely</w:t>
      </w:r>
      <w:r>
        <w:t xml:space="preserve"> to be applied against a person</w:t>
      </w:r>
      <w:r>
        <w:t>.</w:t>
      </w:r>
      <w:r w:rsidRPr="00490A51">
        <w:t>’ ”].</w:t>
      </w:r>
      <w:r w:rsidRPr="00490A51">
        <w:t>)</w:t>
      </w:r>
      <w:r w:rsidRPr="00490A51">
        <w:t xml:space="preserve">  </w:t>
      </w:r>
      <w:r w:rsidRPr="00490A51">
        <w:rPr>
          <w:i/>
        </w:rPr>
        <w:t>Duke</w:t>
      </w:r>
      <w:r w:rsidRPr="00490A51">
        <w:t>’s reasoning is</w:t>
      </w:r>
      <w:r w:rsidRPr="00490A51">
        <w:t xml:space="preserve"> thus</w:t>
      </w:r>
      <w:r w:rsidRPr="00490A51">
        <w:t xml:space="preserve"> applicable here.</w:t>
      </w:r>
    </w:p>
    <w:p w:rsidR="006C3700" w:rsidRPr="00490A51" w:rsidRDefault="004F60F7" w:rsidP="00490A51">
      <w:pPr>
        <w:tabs>
          <w:tab w:val="left" w:pos="1440"/>
        </w:tabs>
        <w:ind w:firstLine="720"/>
      </w:pPr>
      <w:r w:rsidRPr="00490A51">
        <w:t xml:space="preserve">Although </w:t>
      </w:r>
      <w:r w:rsidRPr="00490A51">
        <w:t xml:space="preserve">it is inappropriate to consider how the object could have been used as opposed to how it was </w:t>
      </w:r>
      <w:r w:rsidRPr="00490A51">
        <w:t xml:space="preserve">actually used, it is appropriate </w:t>
      </w:r>
      <w:r w:rsidRPr="00490A51">
        <w:t xml:space="preserve">in the deadly weapon inquiry </w:t>
      </w:r>
      <w:r w:rsidRPr="00490A51">
        <w:t>to consider what harm could have resulted from the way the object was</w:t>
      </w:r>
      <w:r w:rsidRPr="00490A51">
        <w:t xml:space="preserve"> actually used.  Analysis of whether the defendant’s manner of using the object was likely to produce death or great bodily injury necessarily calls for an assessment of potential harm in light of the evidence.  </w:t>
      </w:r>
      <w:r w:rsidRPr="00490A51">
        <w:t>As noted, a mere possibility of serious inju</w:t>
      </w:r>
      <w:r w:rsidRPr="00490A51">
        <w:t xml:space="preserve">ry is not enough.  But the </w:t>
      </w:r>
      <w:r w:rsidRPr="00490A51">
        <w:t xml:space="preserve">evidence </w:t>
      </w:r>
      <w:r w:rsidRPr="00490A51">
        <w:t>may show that serious injury was likely, even if it did not come to pass.</w:t>
      </w:r>
    </w:p>
    <w:p w:rsidR="00B01D28" w:rsidRPr="00490A51" w:rsidRDefault="004F60F7" w:rsidP="00490A51">
      <w:pPr>
        <w:tabs>
          <w:tab w:val="left" w:pos="1440"/>
        </w:tabs>
        <w:ind w:firstLine="720"/>
      </w:pPr>
      <w:r w:rsidRPr="00490A51">
        <w:t xml:space="preserve">Here, the Court of Appeal </w:t>
      </w:r>
      <w:r w:rsidRPr="00490A51">
        <w:t>said</w:t>
      </w:r>
      <w:r w:rsidRPr="00490A51">
        <w:t xml:space="preserve"> B.M. could “easily have committed mayhem upon the victim’s face.”  But the evidence showed that B.M. used the butte</w:t>
      </w:r>
      <w:r w:rsidRPr="00490A51">
        <w:t xml:space="preserve">r knife only </w:t>
      </w:r>
      <w:r>
        <w:t>in the area of</w:t>
      </w:r>
      <w:r w:rsidRPr="00490A51">
        <w:t xml:space="preserve"> Sophia’s legs, which were covered with a blanket.  </w:t>
      </w:r>
      <w:r w:rsidRPr="00490A51">
        <w:t>T</w:t>
      </w:r>
      <w:r w:rsidRPr="00490A51">
        <w:t xml:space="preserve">here is no evidence that B.M. stabbed, sliced, or pointed the butter knife toward or near Sophia’s face, or that B.M. attempted </w:t>
      </w:r>
      <w:r w:rsidRPr="00490A51">
        <w:t xml:space="preserve">or threatened </w:t>
      </w:r>
      <w:r w:rsidRPr="00490A51">
        <w:t xml:space="preserve">to do so.  </w:t>
      </w:r>
      <w:r w:rsidRPr="00490A51">
        <w:t>Nor is there evidence t</w:t>
      </w:r>
      <w:r w:rsidRPr="00490A51">
        <w:t xml:space="preserve">hat B.M. was flailing her hand with the butter knife or otherwise wielding it wildly or uncontrollably.  (Cf. </w:t>
      </w:r>
      <w:r w:rsidRPr="00490A51">
        <w:rPr>
          <w:i/>
        </w:rPr>
        <w:t>People v. Simons</w:t>
      </w:r>
      <w:r w:rsidRPr="00490A51">
        <w:t xml:space="preserve"> (1996) 42 Cal.App.4th 1100, 1106 (</w:t>
      </w:r>
      <w:r w:rsidRPr="00490A51">
        <w:rPr>
          <w:i/>
        </w:rPr>
        <w:t>Simons</w:t>
      </w:r>
      <w:r w:rsidRPr="00490A51">
        <w:t xml:space="preserve">).)  The Court of Appeal’s </w:t>
      </w:r>
      <w:r w:rsidRPr="00490A51">
        <w:t>remark</w:t>
      </w:r>
      <w:r w:rsidRPr="00490A51">
        <w:t xml:space="preserve"> about injury to the victim’s face is </w:t>
      </w:r>
      <w:r w:rsidRPr="00490A51">
        <w:t xml:space="preserve">an </w:t>
      </w:r>
      <w:r w:rsidRPr="00490A51">
        <w:t>impermissible c</w:t>
      </w:r>
      <w:r w:rsidRPr="00490A51">
        <w:t xml:space="preserve">onjecture as to </w:t>
      </w:r>
      <w:r w:rsidRPr="00490A51">
        <w:t xml:space="preserve">how </w:t>
      </w:r>
      <w:r w:rsidRPr="00490A51">
        <w:t>B.M. could have used the butter knife</w:t>
      </w:r>
      <w:r w:rsidRPr="00490A51">
        <w:t>.  I</w:t>
      </w:r>
      <w:r w:rsidRPr="00490A51">
        <w:t>t is not a reasonable inference of potential injury based on evidence of how B.M. actually used the butter knife.</w:t>
      </w:r>
    </w:p>
    <w:p w:rsidR="009E3571" w:rsidRPr="00490A51" w:rsidRDefault="004F60F7" w:rsidP="00490A51">
      <w:pPr>
        <w:tabs>
          <w:tab w:val="left" w:pos="1440"/>
        </w:tabs>
        <w:ind w:firstLine="720"/>
      </w:pPr>
      <w:r w:rsidRPr="00490A51">
        <w:rPr>
          <w:szCs w:val="26"/>
        </w:rPr>
        <w:t xml:space="preserve">Third, although </w:t>
      </w:r>
      <w:r w:rsidRPr="00490A51">
        <w:rPr>
          <w:szCs w:val="26"/>
        </w:rPr>
        <w:t xml:space="preserve">it is appropriate </w:t>
      </w:r>
      <w:r w:rsidRPr="00490A51">
        <w:rPr>
          <w:szCs w:val="26"/>
        </w:rPr>
        <w:t xml:space="preserve">to </w:t>
      </w:r>
      <w:r w:rsidRPr="00490A51">
        <w:rPr>
          <w:szCs w:val="26"/>
        </w:rPr>
        <w:t>consider the injury that could have resulted</w:t>
      </w:r>
      <w:r w:rsidRPr="00490A51">
        <w:rPr>
          <w:szCs w:val="26"/>
        </w:rPr>
        <w:t xml:space="preserve"> from the way the object was used, the extent of actual injury or lack of injury is also relevant</w:t>
      </w:r>
      <w:r w:rsidRPr="00490A51">
        <w:rPr>
          <w:szCs w:val="26"/>
        </w:rPr>
        <w:t>.  “</w:t>
      </w:r>
      <w:r w:rsidRPr="00490A51">
        <w:rPr>
          <w:szCs w:val="26"/>
        </w:rPr>
        <w:t>[</w:t>
      </w:r>
      <w:r w:rsidRPr="00490A51">
        <w:rPr>
          <w:szCs w:val="26"/>
        </w:rPr>
        <w:t>A</w:t>
      </w:r>
      <w:r w:rsidRPr="00490A51">
        <w:rPr>
          <w:szCs w:val="26"/>
        </w:rPr>
        <w:t>]</w:t>
      </w:r>
      <w:r w:rsidRPr="00490A51">
        <w:rPr>
          <w:szCs w:val="26"/>
        </w:rPr>
        <w:t xml:space="preserve"> </w:t>
      </w:r>
      <w:r w:rsidRPr="00490A51">
        <w:rPr>
          <w:color w:val="212121"/>
          <w:szCs w:val="26"/>
        </w:rPr>
        <w:t xml:space="preserve">conviction for assault with a deadly weapon does not require </w:t>
      </w:r>
      <w:r w:rsidRPr="00490A51">
        <w:rPr>
          <w:color w:val="212121"/>
          <w:szCs w:val="26"/>
        </w:rPr>
        <w:lastRenderedPageBreak/>
        <w:t>proof of an injury or even physical contact” (</w:t>
      </w:r>
      <w:r w:rsidRPr="00490A51">
        <w:rPr>
          <w:i/>
          <w:color w:val="212121"/>
          <w:szCs w:val="26"/>
        </w:rPr>
        <w:t>Brandon T.</w:t>
      </w:r>
      <w:r w:rsidRPr="00490A51">
        <w:rPr>
          <w:color w:val="212121"/>
          <w:szCs w:val="26"/>
        </w:rPr>
        <w:t xml:space="preserve">, </w:t>
      </w:r>
      <w:r w:rsidRPr="00490A51">
        <w:rPr>
          <w:i/>
          <w:color w:val="212121"/>
          <w:szCs w:val="26"/>
        </w:rPr>
        <w:t>supra</w:t>
      </w:r>
      <w:r w:rsidRPr="00490A51">
        <w:rPr>
          <w:color w:val="212121"/>
          <w:szCs w:val="26"/>
        </w:rPr>
        <w:t xml:space="preserve">, 191 Cal.App.4th at p. 1497), but </w:t>
      </w:r>
      <w:r w:rsidRPr="00490A51">
        <w:rPr>
          <w:szCs w:val="26"/>
        </w:rPr>
        <w:t>l</w:t>
      </w:r>
      <w:r w:rsidRPr="00490A51">
        <w:rPr>
          <w:szCs w:val="26"/>
        </w:rPr>
        <w:t xml:space="preserve">imited injury or lack of injury may </w:t>
      </w:r>
      <w:r w:rsidRPr="00490A51">
        <w:rPr>
          <w:szCs w:val="26"/>
        </w:rPr>
        <w:t>suggest</w:t>
      </w:r>
      <w:r w:rsidRPr="00490A51">
        <w:rPr>
          <w:szCs w:val="26"/>
        </w:rPr>
        <w:t xml:space="preserve"> that the nature of the object or the way it was used was not capable of producing or likely to produce death or serious harm. </w:t>
      </w:r>
      <w:r w:rsidRPr="00490A51">
        <w:rPr>
          <w:szCs w:val="26"/>
        </w:rPr>
        <w:t xml:space="preserve"> </w:t>
      </w:r>
      <w:r w:rsidRPr="00490A51">
        <w:rPr>
          <w:szCs w:val="26"/>
        </w:rPr>
        <w:t xml:space="preserve">In </w:t>
      </w:r>
      <w:r w:rsidRPr="00490A51">
        <w:rPr>
          <w:i/>
          <w:szCs w:val="26"/>
        </w:rPr>
        <w:t>Beasley</w:t>
      </w:r>
      <w:r w:rsidRPr="00490A51">
        <w:rPr>
          <w:szCs w:val="26"/>
        </w:rPr>
        <w:t>, the court explained that “</w:t>
      </w:r>
      <w:r w:rsidRPr="00490A51">
        <w:rPr>
          <w:color w:val="212121"/>
          <w:szCs w:val="26"/>
        </w:rPr>
        <w:t xml:space="preserve">bruises on </w:t>
      </w:r>
      <w:r w:rsidRPr="00490A51">
        <w:rPr>
          <w:color w:val="212121"/>
          <w:szCs w:val="26"/>
        </w:rPr>
        <w:t>[the victim’s] shoulders and arms are insufficient to show that Beasley used the broomstick as a deadly weapon.”  (</w:t>
      </w:r>
      <w:r w:rsidRPr="00490A51">
        <w:rPr>
          <w:i/>
          <w:szCs w:val="26"/>
        </w:rPr>
        <w:t>Beasley</w:t>
      </w:r>
      <w:r w:rsidRPr="00490A51">
        <w:rPr>
          <w:szCs w:val="26"/>
        </w:rPr>
        <w:t>,</w:t>
      </w:r>
      <w:r w:rsidRPr="00490A51">
        <w:rPr>
          <w:color w:val="212121"/>
          <w:szCs w:val="26"/>
        </w:rPr>
        <w:t xml:space="preserve"> </w:t>
      </w:r>
      <w:r w:rsidRPr="00490A51">
        <w:rPr>
          <w:i/>
          <w:szCs w:val="26"/>
        </w:rPr>
        <w:t>supra</w:t>
      </w:r>
      <w:r w:rsidRPr="00490A51">
        <w:rPr>
          <w:szCs w:val="26"/>
        </w:rPr>
        <w:t xml:space="preserve">, 105 Cal.App.4th at p. 1088.)  And in </w:t>
      </w:r>
      <w:r w:rsidRPr="00490A51">
        <w:rPr>
          <w:i/>
          <w:szCs w:val="26"/>
        </w:rPr>
        <w:t>Brandon T.</w:t>
      </w:r>
      <w:r w:rsidRPr="00490A51">
        <w:rPr>
          <w:szCs w:val="26"/>
        </w:rPr>
        <w:t xml:space="preserve">, the court found </w:t>
      </w:r>
      <w:r w:rsidRPr="00490A51">
        <w:rPr>
          <w:szCs w:val="26"/>
        </w:rPr>
        <w:t xml:space="preserve">insufficient evidence </w:t>
      </w:r>
      <w:r w:rsidRPr="00490A51">
        <w:rPr>
          <w:szCs w:val="26"/>
        </w:rPr>
        <w:t xml:space="preserve">that </w:t>
      </w:r>
      <w:r w:rsidRPr="00490A51">
        <w:rPr>
          <w:szCs w:val="26"/>
        </w:rPr>
        <w:t xml:space="preserve">a </w:t>
      </w:r>
      <w:r w:rsidRPr="00490A51">
        <w:rPr>
          <w:szCs w:val="26"/>
        </w:rPr>
        <w:t xml:space="preserve">butter knife was used as a </w:t>
      </w:r>
      <w:r w:rsidRPr="00490A51">
        <w:rPr>
          <w:szCs w:val="26"/>
        </w:rPr>
        <w:t>dead</w:t>
      </w:r>
      <w:r w:rsidRPr="00490A51">
        <w:rPr>
          <w:szCs w:val="26"/>
        </w:rPr>
        <w:t xml:space="preserve">ly weapon where </w:t>
      </w:r>
      <w:r w:rsidRPr="00490A51">
        <w:rPr>
          <w:szCs w:val="26"/>
        </w:rPr>
        <w:t xml:space="preserve">“the </w:t>
      </w:r>
      <w:r w:rsidRPr="00490A51">
        <w:rPr>
          <w:szCs w:val="26"/>
        </w:rPr>
        <w:t xml:space="preserve">knife </w:t>
      </w:r>
      <w:r w:rsidRPr="00490A51">
        <w:rPr>
          <w:szCs w:val="26"/>
        </w:rPr>
        <w:t>would not cut” and instead “resulted in a small scratch on [the victim’s] cheek</w:t>
      </w:r>
      <w:r w:rsidRPr="00490A51">
        <w:rPr>
          <w:szCs w:val="26"/>
        </w:rPr>
        <w:t>.</w:t>
      </w:r>
      <w:r w:rsidRPr="00490A51">
        <w:rPr>
          <w:szCs w:val="26"/>
        </w:rPr>
        <w:t>”</w:t>
      </w:r>
      <w:r w:rsidRPr="00490A51">
        <w:rPr>
          <w:szCs w:val="26"/>
        </w:rPr>
        <w:t xml:space="preserve">  (</w:t>
      </w:r>
      <w:r w:rsidRPr="00490A51">
        <w:rPr>
          <w:i/>
          <w:szCs w:val="26"/>
        </w:rPr>
        <w:t>Brandon T.</w:t>
      </w:r>
      <w:r w:rsidRPr="00490A51">
        <w:rPr>
          <w:szCs w:val="26"/>
        </w:rPr>
        <w:t>, at p. 1497</w:t>
      </w:r>
      <w:r w:rsidRPr="00490A51">
        <w:rPr>
          <w:i/>
          <w:szCs w:val="26"/>
        </w:rPr>
        <w:t>.</w:t>
      </w:r>
      <w:r w:rsidRPr="00490A51">
        <w:rPr>
          <w:szCs w:val="26"/>
        </w:rPr>
        <w:t xml:space="preserve">)  </w:t>
      </w:r>
      <w:r w:rsidRPr="00490A51">
        <w:rPr>
          <w:szCs w:val="26"/>
        </w:rPr>
        <w:t>T</w:t>
      </w:r>
      <w:r w:rsidRPr="00490A51">
        <w:rPr>
          <w:szCs w:val="26"/>
        </w:rPr>
        <w:t xml:space="preserve">he fact that </w:t>
      </w:r>
      <w:r w:rsidRPr="00490A51">
        <w:rPr>
          <w:szCs w:val="26"/>
        </w:rPr>
        <w:t>applying only enough pressure</w:t>
      </w:r>
      <w:r w:rsidRPr="00490A51">
        <w:rPr>
          <w:szCs w:val="26"/>
        </w:rPr>
        <w:t xml:space="preserve"> </w:t>
      </w:r>
      <w:r w:rsidRPr="00490A51">
        <w:rPr>
          <w:szCs w:val="26"/>
        </w:rPr>
        <w:t>to inflict a small scratch caused the knife to break indicated that the obj</w:t>
      </w:r>
      <w:r w:rsidRPr="00490A51">
        <w:rPr>
          <w:szCs w:val="26"/>
        </w:rPr>
        <w:t xml:space="preserve">ect, by its nature, was </w:t>
      </w:r>
      <w:r w:rsidRPr="00490A51">
        <w:rPr>
          <w:szCs w:val="26"/>
        </w:rPr>
        <w:t>neither</w:t>
      </w:r>
      <w:r w:rsidRPr="00490A51">
        <w:rPr>
          <w:szCs w:val="26"/>
        </w:rPr>
        <w:t xml:space="preserve"> capable of producing </w:t>
      </w:r>
      <w:r w:rsidRPr="00490A51">
        <w:rPr>
          <w:szCs w:val="26"/>
        </w:rPr>
        <w:t>n</w:t>
      </w:r>
      <w:r w:rsidRPr="00490A51">
        <w:rPr>
          <w:szCs w:val="26"/>
        </w:rPr>
        <w:t xml:space="preserve">or likely to produce serious injury.  </w:t>
      </w:r>
      <w:r w:rsidRPr="00490A51">
        <w:rPr>
          <w:szCs w:val="26"/>
        </w:rPr>
        <w:t>(</w:t>
      </w:r>
      <w:r w:rsidRPr="00490A51">
        <w:rPr>
          <w:i/>
          <w:szCs w:val="26"/>
        </w:rPr>
        <w:t>I</w:t>
      </w:r>
      <w:r w:rsidRPr="00490A51">
        <w:rPr>
          <w:i/>
          <w:szCs w:val="26"/>
        </w:rPr>
        <w:t>bid.</w:t>
      </w:r>
      <w:r w:rsidRPr="00490A51">
        <w:t xml:space="preserve">)  </w:t>
      </w:r>
      <w:r w:rsidRPr="00490A51">
        <w:t>Contrary to wha</w:t>
      </w:r>
      <w:r>
        <w:t>t the Court of Appeal here said</w:t>
      </w:r>
      <w:r w:rsidRPr="00490A51">
        <w:t xml:space="preserve">, </w:t>
      </w:r>
      <w:r w:rsidRPr="00490A51">
        <w:rPr>
          <w:i/>
        </w:rPr>
        <w:t>Brandon T.</w:t>
      </w:r>
      <w:r w:rsidRPr="00490A51">
        <w:t xml:space="preserve"> properly considered the knife’s inability to cause more than a small scratch </w:t>
      </w:r>
      <w:r w:rsidRPr="00490A51">
        <w:t xml:space="preserve">in </w:t>
      </w:r>
      <w:r w:rsidRPr="00490A51">
        <w:t xml:space="preserve">evaluating whether the deadly weapon finding was supported by substantial evidence.  (See </w:t>
      </w:r>
      <w:proofErr w:type="gramStart"/>
      <w:r w:rsidRPr="00063D8E">
        <w:rPr>
          <w:i/>
        </w:rPr>
        <w:t>In</w:t>
      </w:r>
      <w:proofErr w:type="gramEnd"/>
      <w:r w:rsidRPr="00063D8E">
        <w:rPr>
          <w:i/>
        </w:rPr>
        <w:t xml:space="preserve"> re</w:t>
      </w:r>
      <w:r>
        <w:t xml:space="preserve"> </w:t>
      </w:r>
      <w:r w:rsidRPr="00490A51">
        <w:rPr>
          <w:i/>
        </w:rPr>
        <w:t>D.T.</w:t>
      </w:r>
      <w:r w:rsidRPr="00490A51">
        <w:t xml:space="preserve"> </w:t>
      </w:r>
      <w:r>
        <w:t xml:space="preserve">(2015) 237 Cal.App.4th, 693, </w:t>
      </w:r>
      <w:r w:rsidRPr="00490A51">
        <w:t>701</w:t>
      </w:r>
      <w:r>
        <w:t xml:space="preserve"> (</w:t>
      </w:r>
      <w:r w:rsidRPr="00063D8E">
        <w:rPr>
          <w:i/>
        </w:rPr>
        <w:t>D.</w:t>
      </w:r>
      <w:r w:rsidRPr="003549D3">
        <w:rPr>
          <w:i/>
        </w:rPr>
        <w:t>T</w:t>
      </w:r>
      <w:r w:rsidRPr="00063D8E">
        <w:rPr>
          <w:i/>
        </w:rPr>
        <w:t>.</w:t>
      </w:r>
      <w:r>
        <w:t>) [“t</w:t>
      </w:r>
      <w:r w:rsidRPr="00490A51">
        <w:t>he knife [</w:t>
      </w:r>
      <w:r>
        <w:t xml:space="preserve">in </w:t>
      </w:r>
      <w:r w:rsidRPr="00490A51">
        <w:rPr>
          <w:i/>
        </w:rPr>
        <w:t>Brandon T.</w:t>
      </w:r>
      <w:r w:rsidRPr="00490A51">
        <w:t>] could not have produced a stabbing injury because it broke when the mino</w:t>
      </w:r>
      <w:r>
        <w:t>r pressed it ag</w:t>
      </w:r>
      <w:r>
        <w:t>ainst the victim</w:t>
      </w:r>
      <w:r w:rsidRPr="00490A51">
        <w:t>”].)</w:t>
      </w:r>
    </w:p>
    <w:p w:rsidR="00F81A8D" w:rsidRPr="00490A51" w:rsidRDefault="004F60F7" w:rsidP="00133914">
      <w:pPr>
        <w:keepNext/>
        <w:tabs>
          <w:tab w:val="left" w:pos="1440"/>
        </w:tabs>
        <w:jc w:val="center"/>
      </w:pPr>
      <w:bookmarkStart w:id="3" w:name="_Hlk519847390"/>
      <w:r w:rsidRPr="00490A51">
        <w:rPr>
          <w:b/>
        </w:rPr>
        <w:t>B.</w:t>
      </w:r>
    </w:p>
    <w:bookmarkEnd w:id="3"/>
    <w:p w:rsidR="009C282C" w:rsidRPr="00490A51" w:rsidRDefault="004F60F7" w:rsidP="00490A51">
      <w:pPr>
        <w:tabs>
          <w:tab w:val="left" w:pos="1440"/>
        </w:tabs>
        <w:ind w:firstLine="720"/>
      </w:pPr>
      <w:r w:rsidRPr="00490A51">
        <w:t>With these principles in mind, we turn</w:t>
      </w:r>
      <w:r w:rsidRPr="00490A51">
        <w:t xml:space="preserve"> to </w:t>
      </w:r>
      <w:r w:rsidRPr="00490A51">
        <w:t>the case before us.  V</w:t>
      </w:r>
      <w:r w:rsidRPr="00490A51">
        <w:t xml:space="preserve">iewing </w:t>
      </w:r>
      <w:r w:rsidRPr="00490A51">
        <w:t xml:space="preserve">the </w:t>
      </w:r>
      <w:r w:rsidRPr="00490A51">
        <w:t>facts in the light most favorable to the judgment</w:t>
      </w:r>
      <w:r w:rsidRPr="00490A51">
        <w:t xml:space="preserve">, </w:t>
      </w:r>
      <w:r w:rsidRPr="00490A51">
        <w:t xml:space="preserve">we </w:t>
      </w:r>
      <w:r w:rsidRPr="00490A51">
        <w:t xml:space="preserve">conclude that the juvenile court’s finding that </w:t>
      </w:r>
      <w:r w:rsidRPr="00490A51">
        <w:t xml:space="preserve">B.M. used </w:t>
      </w:r>
      <w:r w:rsidRPr="00490A51">
        <w:t xml:space="preserve">the </w:t>
      </w:r>
      <w:r w:rsidRPr="00490A51">
        <w:t xml:space="preserve">butter </w:t>
      </w:r>
      <w:r w:rsidRPr="00490A51">
        <w:t xml:space="preserve">knife </w:t>
      </w:r>
      <w:r w:rsidRPr="00490A51">
        <w:t>as</w:t>
      </w:r>
      <w:r w:rsidRPr="00490A51">
        <w:t xml:space="preserve"> a deadly weapon</w:t>
      </w:r>
      <w:r w:rsidRPr="00490A51">
        <w:t xml:space="preserve"> is not su</w:t>
      </w:r>
      <w:r w:rsidRPr="00490A51">
        <w:t>ppor</w:t>
      </w:r>
      <w:r w:rsidRPr="00490A51">
        <w:t xml:space="preserve">ted by substantial evidence, i.e., </w:t>
      </w:r>
      <w:proofErr w:type="gramStart"/>
      <w:r w:rsidRPr="00490A51">
        <w:t>“ ‘</w:t>
      </w:r>
      <w:proofErr w:type="gramEnd"/>
      <w:r w:rsidRPr="00490A51">
        <w:t>evidence which is reasonable, credible, and of solid value.’ ”</w:t>
      </w:r>
      <w:r w:rsidRPr="00490A51">
        <w:t xml:space="preserve">  (</w:t>
      </w:r>
      <w:r w:rsidRPr="00490A51">
        <w:rPr>
          <w:i/>
        </w:rPr>
        <w:t>In re I.C.</w:t>
      </w:r>
      <w:r w:rsidRPr="00490A51">
        <w:t xml:space="preserve"> (2018) 4 Cal.5th 869, 892</w:t>
      </w:r>
      <w:r w:rsidRPr="00490A51">
        <w:t>.)</w:t>
      </w:r>
      <w:r w:rsidRPr="00490A51">
        <w:t xml:space="preserve">  Under any plausible interpretation of </w:t>
      </w:r>
      <w:r w:rsidRPr="00490A51">
        <w:t xml:space="preserve">the term </w:t>
      </w:r>
      <w:r w:rsidRPr="00490A51">
        <w:t xml:space="preserve">“likely,” </w:t>
      </w:r>
      <w:r w:rsidRPr="00401398">
        <w:rPr>
          <w:bCs/>
          <w:szCs w:val="27"/>
        </w:rPr>
        <w:t>the evidence was insufficient to establish that</w:t>
      </w:r>
      <w:r w:rsidRPr="00D92EDD">
        <w:rPr>
          <w:b/>
          <w:bCs/>
          <w:sz w:val="24"/>
          <w:szCs w:val="24"/>
        </w:rPr>
        <w:t xml:space="preserve"> </w:t>
      </w:r>
      <w:r w:rsidRPr="00490A51">
        <w:t xml:space="preserve">B.M.’s use of a </w:t>
      </w:r>
      <w:r w:rsidRPr="00490A51">
        <w:lastRenderedPageBreak/>
        <w:t xml:space="preserve">butter knife against her sister’s blanketed legs was </w:t>
      </w:r>
      <w:proofErr w:type="gramStart"/>
      <w:r w:rsidRPr="00490A51">
        <w:t>“</w:t>
      </w:r>
      <w:r>
        <w:t> </w:t>
      </w:r>
      <w:r>
        <w:t>‘</w:t>
      </w:r>
      <w:proofErr w:type="gramEnd"/>
      <w:r>
        <w:t xml:space="preserve">likely to produce </w:t>
      </w:r>
      <w:r w:rsidRPr="00490A51">
        <w:t>death or great bodily injury.</w:t>
      </w:r>
      <w:r>
        <w:t>’</w:t>
      </w:r>
      <w:r>
        <w:t> </w:t>
      </w:r>
      <w:r w:rsidRPr="00490A51">
        <w:t>”</w:t>
      </w:r>
      <w:r w:rsidRPr="00490A51">
        <w:t xml:space="preserve">  </w:t>
      </w:r>
      <w:r w:rsidRPr="00490A51">
        <w:t>(</w:t>
      </w:r>
      <w:r w:rsidRPr="00490A51">
        <w:rPr>
          <w:i/>
        </w:rPr>
        <w:t>Aguilar</w:t>
      </w:r>
      <w:r w:rsidRPr="00490A51">
        <w:t xml:space="preserve">, </w:t>
      </w:r>
      <w:r w:rsidRPr="00490A51">
        <w:rPr>
          <w:i/>
        </w:rPr>
        <w:t>supra</w:t>
      </w:r>
      <w:r w:rsidRPr="00490A51">
        <w:t>, 16 Cal.4th at p. 1029.)</w:t>
      </w:r>
    </w:p>
    <w:p w:rsidR="0041055B" w:rsidRPr="00490A51" w:rsidRDefault="004F60F7" w:rsidP="00490A51">
      <w:pPr>
        <w:tabs>
          <w:tab w:val="left" w:pos="1440"/>
        </w:tabs>
        <w:ind w:firstLine="720"/>
        <w:rPr>
          <w:szCs w:val="26"/>
        </w:rPr>
      </w:pPr>
      <w:r w:rsidRPr="00490A51">
        <w:rPr>
          <w:szCs w:val="26"/>
        </w:rPr>
        <w:t>Several circumstances support this conclusion.  First, t</w:t>
      </w:r>
      <w:r w:rsidRPr="00490A51">
        <w:rPr>
          <w:szCs w:val="26"/>
        </w:rPr>
        <w:t xml:space="preserve">he </w:t>
      </w:r>
      <w:r w:rsidRPr="00490A51">
        <w:rPr>
          <w:szCs w:val="26"/>
        </w:rPr>
        <w:t>record indicates that the six-in</w:t>
      </w:r>
      <w:r w:rsidRPr="00490A51">
        <w:rPr>
          <w:szCs w:val="26"/>
        </w:rPr>
        <w:t xml:space="preserve">ch metal </w:t>
      </w:r>
      <w:r w:rsidRPr="00490A51">
        <w:rPr>
          <w:szCs w:val="26"/>
        </w:rPr>
        <w:t xml:space="preserve">knife </w:t>
      </w:r>
      <w:r w:rsidRPr="00490A51">
        <w:rPr>
          <w:szCs w:val="26"/>
        </w:rPr>
        <w:t xml:space="preserve">B.M. used </w:t>
      </w:r>
      <w:r w:rsidRPr="00490A51">
        <w:rPr>
          <w:szCs w:val="26"/>
        </w:rPr>
        <w:t xml:space="preserve">was </w:t>
      </w:r>
      <w:r w:rsidRPr="00490A51">
        <w:rPr>
          <w:szCs w:val="26"/>
        </w:rPr>
        <w:t>“</w:t>
      </w:r>
      <w:r w:rsidRPr="00490A51">
        <w:rPr>
          <w:color w:val="212121"/>
          <w:szCs w:val="26"/>
        </w:rPr>
        <w:t xml:space="preserve">[t]he </w:t>
      </w:r>
      <w:proofErr w:type="gramStart"/>
      <w:r w:rsidRPr="00490A51">
        <w:rPr>
          <w:color w:val="212121"/>
          <w:szCs w:val="26"/>
        </w:rPr>
        <w:t>type</w:t>
      </w:r>
      <w:proofErr w:type="gramEnd"/>
      <w:r w:rsidRPr="00490A51">
        <w:rPr>
          <w:color w:val="212121"/>
          <w:szCs w:val="26"/>
        </w:rPr>
        <w:t xml:space="preserve"> of knife that you would use to butter a piece of toast”; it was </w:t>
      </w:r>
      <w:r w:rsidRPr="00490A51">
        <w:rPr>
          <w:szCs w:val="26"/>
        </w:rPr>
        <w:t>not sharp</w:t>
      </w:r>
      <w:r w:rsidRPr="00490A51">
        <w:rPr>
          <w:szCs w:val="26"/>
        </w:rPr>
        <w:t xml:space="preserve"> and had </w:t>
      </w:r>
      <w:r w:rsidRPr="00490A51">
        <w:rPr>
          <w:szCs w:val="26"/>
        </w:rPr>
        <w:t>slight</w:t>
      </w:r>
      <w:r w:rsidRPr="00490A51">
        <w:rPr>
          <w:szCs w:val="26"/>
        </w:rPr>
        <w:t xml:space="preserve"> ridges on one edge of the blade.</w:t>
      </w:r>
      <w:r w:rsidRPr="00490A51">
        <w:rPr>
          <w:szCs w:val="26"/>
        </w:rPr>
        <w:t xml:space="preserve">  </w:t>
      </w:r>
      <w:r w:rsidRPr="00490A51">
        <w:rPr>
          <w:szCs w:val="26"/>
        </w:rPr>
        <w:t xml:space="preserve">(See </w:t>
      </w:r>
      <w:r w:rsidRPr="00490A51">
        <w:rPr>
          <w:i/>
          <w:szCs w:val="26"/>
        </w:rPr>
        <w:t>Brandon T.</w:t>
      </w:r>
      <w:r w:rsidRPr="00490A51">
        <w:rPr>
          <w:szCs w:val="26"/>
        </w:rPr>
        <w:t xml:space="preserve">, </w:t>
      </w:r>
      <w:r w:rsidRPr="00490A51">
        <w:rPr>
          <w:i/>
          <w:szCs w:val="26"/>
        </w:rPr>
        <w:t>supra</w:t>
      </w:r>
      <w:r w:rsidRPr="00490A51">
        <w:rPr>
          <w:szCs w:val="26"/>
        </w:rPr>
        <w:t xml:space="preserve">, </w:t>
      </w:r>
      <w:r w:rsidRPr="00490A51">
        <w:rPr>
          <w:szCs w:val="26"/>
        </w:rPr>
        <w:t>191 Cal.App.4th at pp. 1496–1498</w:t>
      </w:r>
      <w:r w:rsidRPr="00490A51">
        <w:rPr>
          <w:szCs w:val="26"/>
        </w:rPr>
        <w:t xml:space="preserve"> [butter knife </w:t>
      </w:r>
      <w:r w:rsidRPr="00490A51">
        <w:rPr>
          <w:szCs w:val="26"/>
        </w:rPr>
        <w:t>with “rounded end” wa</w:t>
      </w:r>
      <w:r w:rsidRPr="00490A51">
        <w:rPr>
          <w:szCs w:val="26"/>
        </w:rPr>
        <w:t xml:space="preserve">s incapable of causing serious injury </w:t>
      </w:r>
      <w:r w:rsidRPr="00490A51">
        <w:rPr>
          <w:szCs w:val="26"/>
        </w:rPr>
        <w:t xml:space="preserve">even when applied </w:t>
      </w:r>
      <w:r w:rsidRPr="00490A51">
        <w:rPr>
          <w:szCs w:val="26"/>
        </w:rPr>
        <w:t xml:space="preserve">to the victim’s face </w:t>
      </w:r>
      <w:r w:rsidRPr="00490A51">
        <w:rPr>
          <w:szCs w:val="26"/>
        </w:rPr>
        <w:t xml:space="preserve">with </w:t>
      </w:r>
      <w:r w:rsidRPr="00490A51">
        <w:rPr>
          <w:szCs w:val="26"/>
        </w:rPr>
        <w:t>enough</w:t>
      </w:r>
      <w:r w:rsidRPr="00490A51">
        <w:rPr>
          <w:szCs w:val="26"/>
        </w:rPr>
        <w:t xml:space="preserve"> force </w:t>
      </w:r>
      <w:r w:rsidRPr="00490A51">
        <w:rPr>
          <w:szCs w:val="26"/>
        </w:rPr>
        <w:t>to break the knife</w:t>
      </w:r>
      <w:r w:rsidRPr="00490A51">
        <w:rPr>
          <w:szCs w:val="26"/>
        </w:rPr>
        <w:t xml:space="preserve">]; </w:t>
      </w:r>
      <w:r w:rsidRPr="00490A51">
        <w:rPr>
          <w:i/>
          <w:szCs w:val="26"/>
        </w:rPr>
        <w:t>D.T.</w:t>
      </w:r>
      <w:r w:rsidRPr="00490A51">
        <w:rPr>
          <w:szCs w:val="26"/>
        </w:rPr>
        <w:t xml:space="preserve">, </w:t>
      </w:r>
      <w:r w:rsidRPr="00490A51">
        <w:rPr>
          <w:i/>
          <w:szCs w:val="26"/>
        </w:rPr>
        <w:t>supra</w:t>
      </w:r>
      <w:r w:rsidRPr="00490A51">
        <w:rPr>
          <w:szCs w:val="26"/>
        </w:rPr>
        <w:t xml:space="preserve">, 237 Cal.App.4th at p. 701 [contrasting the butter knife in </w:t>
      </w:r>
      <w:r w:rsidRPr="00490A51">
        <w:rPr>
          <w:i/>
          <w:szCs w:val="26"/>
        </w:rPr>
        <w:t>Brandon T.</w:t>
      </w:r>
      <w:r w:rsidRPr="00490A51">
        <w:rPr>
          <w:szCs w:val="26"/>
        </w:rPr>
        <w:t xml:space="preserve"> with a sharp pocketknife].</w:t>
      </w:r>
      <w:r w:rsidRPr="00490A51">
        <w:rPr>
          <w:szCs w:val="26"/>
        </w:rPr>
        <w:t>)</w:t>
      </w:r>
    </w:p>
    <w:p w:rsidR="00EF10F3" w:rsidRPr="00490A51" w:rsidRDefault="004F60F7" w:rsidP="00490A51">
      <w:pPr>
        <w:tabs>
          <w:tab w:val="left" w:pos="1440"/>
        </w:tabs>
        <w:ind w:firstLine="720"/>
      </w:pPr>
      <w:r w:rsidRPr="00490A51">
        <w:t xml:space="preserve">Second, </w:t>
      </w:r>
      <w:r w:rsidRPr="00490A51">
        <w:t xml:space="preserve">B.M. used </w:t>
      </w:r>
      <w:r w:rsidRPr="00490A51">
        <w:t xml:space="preserve">the knife </w:t>
      </w:r>
      <w:r w:rsidRPr="00490A51">
        <w:t xml:space="preserve">only </w:t>
      </w:r>
      <w:r w:rsidRPr="00490A51">
        <w:t>on</w:t>
      </w:r>
      <w:r w:rsidRPr="00490A51">
        <w:t xml:space="preserve"> Sophia’s legs, </w:t>
      </w:r>
      <w:r w:rsidRPr="00490A51">
        <w:t xml:space="preserve">which </w:t>
      </w:r>
      <w:r w:rsidRPr="00490A51">
        <w:t>were cove</w:t>
      </w:r>
      <w:r w:rsidRPr="00490A51">
        <w:t>red with a blanket.</w:t>
      </w:r>
      <w:r w:rsidRPr="00490A51">
        <w:t xml:space="preserve">  </w:t>
      </w:r>
      <w:r w:rsidRPr="00490A51">
        <w:t xml:space="preserve">There is no evidence that B.M. used or attempted to use the knife in the area of Sophia’s head, face, </w:t>
      </w:r>
      <w:r w:rsidRPr="00490A51">
        <w:t xml:space="preserve">or </w:t>
      </w:r>
      <w:r w:rsidRPr="00490A51">
        <w:t>neck</w:t>
      </w:r>
      <w:r w:rsidRPr="00490A51">
        <w:t>, or on any exposed part of her body</w:t>
      </w:r>
      <w:r w:rsidRPr="00490A51">
        <w:t xml:space="preserve">.  </w:t>
      </w:r>
      <w:r w:rsidRPr="00490A51">
        <w:t xml:space="preserve">(See </w:t>
      </w:r>
      <w:r w:rsidRPr="00490A51">
        <w:rPr>
          <w:i/>
        </w:rPr>
        <w:t>Beasley</w:t>
      </w:r>
      <w:r w:rsidRPr="00490A51">
        <w:t xml:space="preserve">, </w:t>
      </w:r>
      <w:r w:rsidRPr="00490A51">
        <w:rPr>
          <w:i/>
        </w:rPr>
        <w:t>supra</w:t>
      </w:r>
      <w:r w:rsidRPr="00490A51">
        <w:t>, 105 Cal.App.4th at p. 1087 [</w:t>
      </w:r>
      <w:r w:rsidRPr="00490A51">
        <w:t xml:space="preserve">finding insufficient evidence </w:t>
      </w:r>
      <w:r w:rsidRPr="00490A51">
        <w:t xml:space="preserve">that a broomstick was used as a deadly weapon where the </w:t>
      </w:r>
      <w:r w:rsidRPr="00490A51">
        <w:t xml:space="preserve">defendant </w:t>
      </w:r>
      <w:r w:rsidRPr="00490A51">
        <w:t xml:space="preserve">caused bruises on the victim’s arms and shoulders but </w:t>
      </w:r>
      <w:r>
        <w:t>“did not strike [t</w:t>
      </w:r>
      <w:r w:rsidRPr="00490A51">
        <w:t>he</w:t>
      </w:r>
      <w:r>
        <w:t>]</w:t>
      </w:r>
      <w:r w:rsidRPr="00490A51">
        <w:t xml:space="preserve"> head or face”]</w:t>
      </w:r>
      <w:r w:rsidRPr="00490A51">
        <w:t>.)</w:t>
      </w:r>
    </w:p>
    <w:p w:rsidR="00EF10F3" w:rsidRPr="00490A51" w:rsidRDefault="004F60F7" w:rsidP="00490A51">
      <w:pPr>
        <w:tabs>
          <w:tab w:val="left" w:pos="1440"/>
        </w:tabs>
        <w:ind w:firstLine="720"/>
      </w:pPr>
      <w:r w:rsidRPr="00490A51">
        <w:t xml:space="preserve">Third, the </w:t>
      </w:r>
      <w:r w:rsidRPr="00490A51">
        <w:t xml:space="preserve">moderate pressure </w:t>
      </w:r>
      <w:r w:rsidRPr="00490A51">
        <w:t xml:space="preserve">that B.M. applied </w:t>
      </w:r>
      <w:r w:rsidRPr="00490A51">
        <w:t>with the knife</w:t>
      </w:r>
      <w:r w:rsidRPr="00490A51">
        <w:t xml:space="preserve"> was i</w:t>
      </w:r>
      <w:r w:rsidRPr="00490A51">
        <w:t xml:space="preserve">nsufficient to pierce the blanket, much less </w:t>
      </w:r>
      <w:r w:rsidRPr="00490A51">
        <w:t>cau</w:t>
      </w:r>
      <w:r w:rsidRPr="00490A51">
        <w:t xml:space="preserve">se </w:t>
      </w:r>
      <w:r w:rsidRPr="00490A51">
        <w:t xml:space="preserve">serious </w:t>
      </w:r>
      <w:r w:rsidRPr="00490A51">
        <w:t>bodily injury to Sophia.</w:t>
      </w:r>
      <w:r w:rsidRPr="00490A51">
        <w:t xml:space="preserve">  </w:t>
      </w:r>
      <w:r w:rsidRPr="00490A51">
        <w:t>(</w:t>
      </w:r>
      <w:r w:rsidRPr="00490A51">
        <w:t xml:space="preserve">See </w:t>
      </w:r>
      <w:r w:rsidRPr="00490A51">
        <w:rPr>
          <w:i/>
        </w:rPr>
        <w:t>Brandon T.</w:t>
      </w:r>
      <w:r w:rsidRPr="00490A51">
        <w:t xml:space="preserve">, </w:t>
      </w:r>
      <w:r w:rsidRPr="00490A51">
        <w:rPr>
          <w:i/>
        </w:rPr>
        <w:t>supra</w:t>
      </w:r>
      <w:r w:rsidRPr="00490A51">
        <w:t xml:space="preserve">, 191 Cal.App.4th at pp. 1496–1497; </w:t>
      </w:r>
      <w:r w:rsidRPr="00490A51">
        <w:rPr>
          <w:i/>
        </w:rPr>
        <w:t>People v. Brown</w:t>
      </w:r>
      <w:r w:rsidRPr="00490A51">
        <w:t xml:space="preserve"> (2012) 210 Cal.App.4th 1, 7 [“[I]f injuries do result, the nature of such injuries and their location are relevant facts for consideration</w:t>
      </w:r>
      <w:r w:rsidRPr="00490A51">
        <w:t xml:space="preserve"> in determining whether an object was used in a manner capable of producing and likely to produce great bodily injury</w:t>
      </w:r>
      <w:r>
        <w:t>.</w:t>
      </w:r>
      <w:r w:rsidRPr="00490A51">
        <w:t>”].)</w:t>
      </w:r>
    </w:p>
    <w:p w:rsidR="005B255E" w:rsidRPr="00490A51" w:rsidRDefault="004F60F7" w:rsidP="00490A51">
      <w:pPr>
        <w:tabs>
          <w:tab w:val="left" w:pos="1440"/>
        </w:tabs>
        <w:ind w:firstLine="720"/>
      </w:pPr>
      <w:r w:rsidRPr="00490A51">
        <w:lastRenderedPageBreak/>
        <w:t>The Court of Appeal, while acknowledging that “[t]he extent of the injuries, or lack of them, is relevant</w:t>
      </w:r>
      <w:r w:rsidRPr="00490A51">
        <w:t>,</w:t>
      </w:r>
      <w:r w:rsidRPr="00490A51">
        <w:t>” suggested that Sophia was not injured in part because B.M. “was not adept at using a knife</w:t>
      </w:r>
      <w:r w:rsidRPr="00490A51">
        <w:t>.</w:t>
      </w:r>
      <w:r w:rsidRPr="00490A51">
        <w:t>”  This circumstance “does not inure to [B.M.’s] be</w:t>
      </w:r>
      <w:r w:rsidRPr="00490A51">
        <w:t>nefit</w:t>
      </w:r>
      <w:r w:rsidRPr="00490A51">
        <w:t>,</w:t>
      </w:r>
      <w:r w:rsidRPr="00490A51">
        <w:t>” the court reasoned, just as lack of injury is not probative in “the typical assault with a deadly weapon with a firearm when the defendant has poor aim</w:t>
      </w:r>
      <w:r w:rsidRPr="00490A51">
        <w:t>.</w:t>
      </w:r>
      <w:r w:rsidRPr="00490A51">
        <w:t>”  But the record contains no evidence as to how adept B.M. was in using a knife, and in any eve</w:t>
      </w:r>
      <w:r w:rsidRPr="00490A51">
        <w:t>nt, it does not matter what injury B.M. could have inflicted if she had used the knife in a more adept manner.</w:t>
      </w:r>
      <w:r w:rsidRPr="00490A51">
        <w:t xml:space="preserve">  </w:t>
      </w:r>
      <w:r w:rsidRPr="00490A51">
        <w:rPr>
          <w:color w:val="000000"/>
          <w:szCs w:val="26"/>
        </w:rPr>
        <w:t xml:space="preserve">(See </w:t>
      </w:r>
      <w:r w:rsidRPr="00490A51">
        <w:rPr>
          <w:i/>
          <w:color w:val="000000"/>
          <w:szCs w:val="26"/>
        </w:rPr>
        <w:t>ante</w:t>
      </w:r>
      <w:r w:rsidRPr="00490A51">
        <w:rPr>
          <w:color w:val="000000"/>
          <w:szCs w:val="26"/>
        </w:rPr>
        <w:t>, at p</w:t>
      </w:r>
      <w:r w:rsidRPr="00490A51">
        <w:rPr>
          <w:color w:val="000000"/>
          <w:szCs w:val="26"/>
        </w:rPr>
        <w:t>p</w:t>
      </w:r>
      <w:r w:rsidRPr="00490A51">
        <w:rPr>
          <w:color w:val="000000"/>
          <w:szCs w:val="26"/>
        </w:rPr>
        <w:t>. </w:t>
      </w:r>
      <w:r w:rsidRPr="00490A51">
        <w:rPr>
          <w:color w:val="000000"/>
          <w:szCs w:val="26"/>
        </w:rPr>
        <w:t>8–</w:t>
      </w:r>
      <w:r w:rsidRPr="00490A51">
        <w:rPr>
          <w:color w:val="000000"/>
          <w:szCs w:val="26"/>
        </w:rPr>
        <w:t>9.)</w:t>
      </w:r>
      <w:r w:rsidRPr="00490A51">
        <w:t xml:space="preserve">  Such conjecture strays from the focus on the manner in which a defendant actually used the object, whether adept or not</w:t>
      </w:r>
      <w:r w:rsidRPr="00490A51">
        <w:t xml:space="preserve">.  </w:t>
      </w:r>
      <w:r w:rsidRPr="00490A51">
        <w:t xml:space="preserve">Where a defendant uses </w:t>
      </w:r>
      <w:r w:rsidRPr="00490A51">
        <w:t xml:space="preserve">a firearm with poor aim, lack of injury carries little weight not because it is appropriate to consider what injury could have resulted if the defendant had had better aim, but because </w:t>
      </w:r>
      <w:r w:rsidRPr="00490A51">
        <w:t xml:space="preserve">in many circumstances </w:t>
      </w:r>
      <w:r w:rsidRPr="00490A51">
        <w:t>using a firearm even wi</w:t>
      </w:r>
      <w:r w:rsidRPr="00490A51">
        <w:t>th poor aim is likely to produce death or serious injury.  (See, e.g.,</w:t>
      </w:r>
      <w:r w:rsidRPr="00490A51">
        <w:t xml:space="preserve"> </w:t>
      </w:r>
      <w:r w:rsidRPr="00490A51">
        <w:rPr>
          <w:i/>
        </w:rPr>
        <w:t>People v. Bradford</w:t>
      </w:r>
      <w:r w:rsidRPr="00490A51">
        <w:t xml:space="preserve"> (1976) 17 Cal.3d 8, 20 [the defendant “fired five shots at [a police officer] while [the officer] was pinned under a car”]; </w:t>
      </w:r>
      <w:r w:rsidRPr="00490A51">
        <w:rPr>
          <w:i/>
          <w:iCs/>
        </w:rPr>
        <w:t xml:space="preserve">People v. </w:t>
      </w:r>
      <w:proofErr w:type="spellStart"/>
      <w:r w:rsidRPr="00490A51">
        <w:rPr>
          <w:i/>
          <w:iCs/>
        </w:rPr>
        <w:t>Peau</w:t>
      </w:r>
      <w:proofErr w:type="spellEnd"/>
      <w:r w:rsidRPr="00490A51">
        <w:t xml:space="preserve"> (2015) 236 Cal.App.4th 823, 828 [evidence could not exclude the possibility that the victim was hit by bullets ricocheting from the pavement]; </w:t>
      </w:r>
      <w:r w:rsidRPr="00490A51">
        <w:rPr>
          <w:i/>
        </w:rPr>
        <w:t>Gilmore v. Superior Court</w:t>
      </w:r>
      <w:r w:rsidRPr="00490A51">
        <w:t xml:space="preserve"> (1991) 230 Cal.App.3d 416, 419 [</w:t>
      </w:r>
      <w:r w:rsidRPr="00490A51">
        <w:t>v</w:t>
      </w:r>
      <w:r w:rsidRPr="00490A51">
        <w:t xml:space="preserve">ictim was killed </w:t>
      </w:r>
      <w:r w:rsidRPr="00490A51">
        <w:t xml:space="preserve">“when the bullet ricocheted off the </w:t>
      </w:r>
      <w:r w:rsidRPr="00490A51">
        <w:t>asphalt surface”]</w:t>
      </w:r>
      <w:r w:rsidRPr="00490A51">
        <w:t>.)</w:t>
      </w:r>
    </w:p>
    <w:p w:rsidR="003819D8" w:rsidRPr="00490A51" w:rsidRDefault="004F60F7" w:rsidP="00490A51">
      <w:pPr>
        <w:tabs>
          <w:tab w:val="left" w:pos="1440"/>
        </w:tabs>
        <w:ind w:firstLine="720"/>
      </w:pPr>
      <w:r w:rsidRPr="00490A51">
        <w:t xml:space="preserve">The Attorney General reprises the Court of Appeal’s </w:t>
      </w:r>
      <w:r>
        <w:t>reasoning</w:t>
      </w:r>
      <w:r w:rsidRPr="00490A51">
        <w:t xml:space="preserve"> that Sophia c</w:t>
      </w:r>
      <w:r w:rsidRPr="00490A51">
        <w:t xml:space="preserve">ould have been seriously injured had she not </w:t>
      </w:r>
      <w:r w:rsidRPr="00490A51">
        <w:t>defended herself with the blanket</w:t>
      </w:r>
      <w:r w:rsidRPr="00490A51">
        <w:t>.  But</w:t>
      </w:r>
      <w:r w:rsidRPr="00490A51">
        <w:t xml:space="preserve"> there </w:t>
      </w:r>
      <w:r w:rsidRPr="00490A51">
        <w:t>is no evidence indicating that Sophia pulled the blanket over her legs</w:t>
      </w:r>
      <w:r w:rsidRPr="00490A51">
        <w:t xml:space="preserve"> after or in reaction to seeing B.M. begin a slicing or stabbing motion directed at Sophia’s exposed legs</w:t>
      </w:r>
      <w:r w:rsidRPr="00490A51">
        <w:t>.</w:t>
      </w:r>
      <w:r w:rsidRPr="00490A51">
        <w:t xml:space="preserve">  </w:t>
      </w:r>
      <w:r w:rsidRPr="00490A51">
        <w:t xml:space="preserve">Sophia testified that B.M. </w:t>
      </w:r>
      <w:r w:rsidRPr="00490A51">
        <w:lastRenderedPageBreak/>
        <w:t>“</w:t>
      </w:r>
      <w:proofErr w:type="gramStart"/>
      <w:r w:rsidRPr="00490A51">
        <w:t>came</w:t>
      </w:r>
      <w:r w:rsidRPr="00490A51">
        <w:t> .</w:t>
      </w:r>
      <w:proofErr w:type="gramEnd"/>
      <w:r w:rsidRPr="00490A51">
        <w:t xml:space="preserve"> . . </w:t>
      </w:r>
      <w:r w:rsidRPr="00490A51">
        <w:t>at [her] trying to stab [her]</w:t>
      </w:r>
      <w:r w:rsidRPr="00490A51">
        <w:t>”</w:t>
      </w:r>
      <w:r w:rsidRPr="00490A51">
        <w:t xml:space="preserve"> </w:t>
      </w:r>
      <w:r w:rsidRPr="00490A51">
        <w:t>only “</w:t>
      </w:r>
      <w:r w:rsidRPr="00490A51">
        <w:t>after [she] covered [herself].”</w:t>
      </w:r>
      <w:r w:rsidRPr="00490A51">
        <w:t xml:space="preserve">  </w:t>
      </w:r>
      <w:r w:rsidRPr="00490A51">
        <w:t>Further</w:t>
      </w:r>
      <w:r w:rsidRPr="00490A51">
        <w:t>,</w:t>
      </w:r>
      <w:r w:rsidRPr="00490A51">
        <w:t xml:space="preserve"> as noted, </w:t>
      </w:r>
      <w:r w:rsidRPr="00490A51">
        <w:t>nothing in the recor</w:t>
      </w:r>
      <w:r w:rsidRPr="00490A51">
        <w:t>d suggests that B.M.</w:t>
      </w:r>
      <w:r w:rsidRPr="00490A51">
        <w:t>, who was aware that Sophia’s legs were covered and that the knife was not penetrating the blanket,</w:t>
      </w:r>
      <w:r w:rsidRPr="00490A51">
        <w:t xml:space="preserve"> </w:t>
      </w:r>
      <w:r w:rsidRPr="00490A51">
        <w:t xml:space="preserve">then </w:t>
      </w:r>
      <w:r w:rsidRPr="00490A51">
        <w:t xml:space="preserve">used or </w:t>
      </w:r>
      <w:r w:rsidRPr="00490A51">
        <w:t xml:space="preserve">tried to use the knife </w:t>
      </w:r>
      <w:r w:rsidRPr="00490A51">
        <w:t xml:space="preserve">on </w:t>
      </w:r>
      <w:r w:rsidRPr="00490A51">
        <w:t xml:space="preserve">an exposed </w:t>
      </w:r>
      <w:r w:rsidRPr="00490A51">
        <w:t xml:space="preserve">part of </w:t>
      </w:r>
      <w:r w:rsidRPr="00490A51">
        <w:t xml:space="preserve">Sophia’s </w:t>
      </w:r>
      <w:r w:rsidRPr="00490A51">
        <w:t>body.</w:t>
      </w:r>
      <w:r w:rsidRPr="00490A51">
        <w:t xml:space="preserve">  </w:t>
      </w:r>
      <w:r w:rsidRPr="00490A51">
        <w:t>To be sure, an aggressor should not receive the benefit of a p</w:t>
      </w:r>
      <w:r w:rsidRPr="00490A51">
        <w:t xml:space="preserve">otential victim fortuitously taking a defensive measure or being removed from harm’s way once an </w:t>
      </w:r>
      <w:r>
        <w:t>assault</w:t>
      </w:r>
      <w:r w:rsidRPr="00490A51">
        <w:t xml:space="preserve"> </w:t>
      </w:r>
      <w:r w:rsidRPr="00490A51">
        <w:t xml:space="preserve">is </w:t>
      </w:r>
      <w:r w:rsidRPr="00490A51">
        <w:t xml:space="preserve">already </w:t>
      </w:r>
      <w:r w:rsidRPr="00490A51">
        <w:t>underway.  But the facts known to the aggressor</w:t>
      </w:r>
      <w:r w:rsidRPr="00490A51">
        <w:t xml:space="preserve"> before the </w:t>
      </w:r>
      <w:r>
        <w:t>assault</w:t>
      </w:r>
      <w:r w:rsidRPr="00490A51">
        <w:t xml:space="preserve">, including defensive measures taken by the victim, </w:t>
      </w:r>
      <w:r w:rsidRPr="00490A51">
        <w:t xml:space="preserve">are relevant to </w:t>
      </w:r>
      <w:r w:rsidRPr="00490A51">
        <w:t xml:space="preserve">determining </w:t>
      </w:r>
      <w:r w:rsidRPr="00490A51">
        <w:t>whether the aggressor used an object in a manner likely to cause serious injury.</w:t>
      </w:r>
      <w:r w:rsidRPr="00490A51">
        <w:t xml:space="preserve"> </w:t>
      </w:r>
    </w:p>
    <w:p w:rsidR="00617AE1" w:rsidRPr="00490A51" w:rsidRDefault="004F60F7" w:rsidP="00490A51">
      <w:pPr>
        <w:tabs>
          <w:tab w:val="left" w:pos="1440"/>
        </w:tabs>
        <w:ind w:firstLine="720"/>
      </w:pPr>
      <w:r w:rsidRPr="00490A51">
        <w:t>The juvenile court said</w:t>
      </w:r>
      <w:r>
        <w:t xml:space="preserve"> </w:t>
      </w:r>
      <w:r w:rsidRPr="00490A51">
        <w:t>it was “lucky” there were no injuries</w:t>
      </w:r>
      <w:r>
        <w:t>.  E</w:t>
      </w:r>
      <w:r w:rsidRPr="00490A51">
        <w:t>ven so, there is no evidence that B.M. attacked any other part of Sophia’s body d</w:t>
      </w:r>
      <w:r w:rsidRPr="00490A51">
        <w:t>espite the oppor</w:t>
      </w:r>
      <w:r w:rsidRPr="00490A51">
        <w:t>tunity to do so.  Nor is there any evidence that B.M. initially tried to stab some other part of Sophia’s body</w:t>
      </w:r>
      <w:r w:rsidRPr="00490A51">
        <w:t xml:space="preserve"> but</w:t>
      </w:r>
      <w:r w:rsidRPr="00490A51">
        <w:t xml:space="preserve"> missed and instead hit Sophia’s blanket-covered legs.  </w:t>
      </w:r>
      <w:r w:rsidRPr="00490A51">
        <w:t>It may be that B.M. could have caused serious injury if she had applied greater forc</w:t>
      </w:r>
      <w:r w:rsidRPr="00490A51">
        <w:t>e,</w:t>
      </w:r>
      <w:r w:rsidRPr="00490A51">
        <w:t xml:space="preserve"> if she had applied the same force to Sophia’s exposed legs,</w:t>
      </w:r>
      <w:r w:rsidRPr="00490A51">
        <w:t xml:space="preserve"> </w:t>
      </w:r>
      <w:r w:rsidRPr="00490A51">
        <w:t xml:space="preserve">if she had used the knife on </w:t>
      </w:r>
      <w:r w:rsidRPr="00490A51">
        <w:t>Sophia’s head, face, or neck, or if she had wielded the knife in an uncontrolled or unpredictable manner</w:t>
      </w:r>
      <w:r w:rsidRPr="00490A51">
        <w:t xml:space="preserve">.  </w:t>
      </w:r>
      <w:r w:rsidRPr="00490A51">
        <w:t xml:space="preserve">But </w:t>
      </w:r>
      <w:r w:rsidRPr="00490A51">
        <w:t>the inquiry</w:t>
      </w:r>
      <w:r w:rsidRPr="00490A51">
        <w:t xml:space="preserve"> must focus on </w:t>
      </w:r>
      <w:r w:rsidRPr="00490A51">
        <w:t>the evidence of how B.M. actu</w:t>
      </w:r>
      <w:r w:rsidRPr="00490A51">
        <w:t xml:space="preserve">ally used the knife, not on </w:t>
      </w:r>
      <w:r w:rsidRPr="00490A51">
        <w:t xml:space="preserve">various </w:t>
      </w:r>
      <w:r w:rsidRPr="00490A51">
        <w:t xml:space="preserve">conjectures as to how </w:t>
      </w:r>
      <w:r w:rsidRPr="00490A51">
        <w:t xml:space="preserve">she </w:t>
      </w:r>
      <w:r w:rsidRPr="00490A51">
        <w:t>could have used it.</w:t>
      </w:r>
    </w:p>
    <w:p w:rsidR="00A307E1" w:rsidRPr="00490A51" w:rsidRDefault="004F60F7" w:rsidP="00490A51">
      <w:pPr>
        <w:tabs>
          <w:tab w:val="left" w:pos="1440"/>
        </w:tabs>
        <w:ind w:firstLine="720"/>
      </w:pPr>
      <w:r w:rsidRPr="00490A51">
        <w:t xml:space="preserve">The Attorney General also echoes the Court of Appeal’s </w:t>
      </w:r>
      <w:r>
        <w:t>reasoning</w:t>
      </w:r>
      <w:r w:rsidRPr="00490A51">
        <w:t xml:space="preserve"> that B.M. was willing to go to great lengths to injure Sophia because B.M. grabbed the knife only after she w</w:t>
      </w:r>
      <w:r w:rsidRPr="00490A51">
        <w:t xml:space="preserve">as unable to harm Sophia by “hurling” a phone at her and pulling her hair.  </w:t>
      </w:r>
      <w:r w:rsidRPr="00490A51">
        <w:t xml:space="preserve">But </w:t>
      </w:r>
      <w:r w:rsidRPr="00490A51">
        <w:t xml:space="preserve">the record contains no facts regarding the phone itself or the manner </w:t>
      </w:r>
      <w:r w:rsidRPr="00490A51">
        <w:t xml:space="preserve">in </w:t>
      </w:r>
      <w:r w:rsidRPr="00490A51">
        <w:t>which B.M. threw the phone</w:t>
      </w:r>
      <w:r w:rsidRPr="00490A51">
        <w:t xml:space="preserve">, </w:t>
      </w:r>
      <w:r w:rsidRPr="00490A51">
        <w:t xml:space="preserve">and </w:t>
      </w:r>
      <w:r w:rsidRPr="00490A51">
        <w:t xml:space="preserve">there is no allegation that B.M. used the phone in a manner likely to </w:t>
      </w:r>
      <w:r w:rsidRPr="00490A51">
        <w:lastRenderedPageBreak/>
        <w:t>c</w:t>
      </w:r>
      <w:r w:rsidRPr="00490A51">
        <w:t>ause serious injury</w:t>
      </w:r>
      <w:r w:rsidRPr="00490A51">
        <w:t>.</w:t>
      </w:r>
      <w:r w:rsidRPr="00490A51">
        <w:t xml:space="preserve">  </w:t>
      </w:r>
      <w:r w:rsidRPr="00490A51">
        <w:t xml:space="preserve">Moreover, </w:t>
      </w:r>
      <w:r w:rsidRPr="00490A51">
        <w:t xml:space="preserve">contrary to the timeline suggested by the Court of Appeal, </w:t>
      </w:r>
      <w:r w:rsidRPr="00490A51">
        <w:t xml:space="preserve">the record indicates that B.M. pulled Sophia’s hair during Sophia’s phone call to 911, which occurred </w:t>
      </w:r>
      <w:r w:rsidRPr="00490A51">
        <w:rPr>
          <w:i/>
        </w:rPr>
        <w:t>after</w:t>
      </w:r>
      <w:r w:rsidRPr="00490A51">
        <w:t xml:space="preserve"> B.M. used the knife against her.  </w:t>
      </w:r>
      <w:r w:rsidRPr="00490A51">
        <w:t>The inference that B.M.</w:t>
      </w:r>
      <w:r w:rsidRPr="00490A51">
        <w:t xml:space="preserve"> was intent on seriously injuring Sophia is belied by the absence of any evidence that </w:t>
      </w:r>
      <w:r w:rsidRPr="00490A51">
        <w:t>B.M. attempt</w:t>
      </w:r>
      <w:r w:rsidRPr="00490A51">
        <w:t>ed</w:t>
      </w:r>
      <w:r w:rsidRPr="00490A51">
        <w:t xml:space="preserve"> to use the knife again after using it on Sophia’s blanket-covered legs</w:t>
      </w:r>
      <w:r w:rsidRPr="00490A51">
        <w:t xml:space="preserve">. </w:t>
      </w:r>
      <w:r w:rsidRPr="00490A51">
        <w:t xml:space="preserve"> </w:t>
      </w:r>
      <w:r w:rsidRPr="00490A51">
        <w:t xml:space="preserve">It is true that </w:t>
      </w:r>
      <w:r w:rsidRPr="00490A51">
        <w:t>Sophia</w:t>
      </w:r>
      <w:r w:rsidRPr="00490A51">
        <w:t xml:space="preserve"> said she was “scared” that B.M. </w:t>
      </w:r>
      <w:r w:rsidRPr="00490A51">
        <w:t xml:space="preserve">“could really hurt [her]” </w:t>
      </w:r>
      <w:r w:rsidRPr="00490A51">
        <w:t>when B.M. showed up in her room with the knife</w:t>
      </w:r>
      <w:r w:rsidRPr="00490A51">
        <w:t xml:space="preserve">.  But Sophia’s perception, considered with the totality of the evidence as to how </w:t>
      </w:r>
      <w:r w:rsidRPr="00490A51">
        <w:t xml:space="preserve">B.M. </w:t>
      </w:r>
      <w:r w:rsidRPr="00490A51">
        <w:t>actual</w:t>
      </w:r>
      <w:r w:rsidRPr="00490A51">
        <w:t>ly</w:t>
      </w:r>
      <w:r w:rsidRPr="00490A51">
        <w:t xml:space="preserve"> use</w:t>
      </w:r>
      <w:r w:rsidRPr="00490A51">
        <w:t>d</w:t>
      </w:r>
      <w:r w:rsidRPr="00490A51">
        <w:t xml:space="preserve"> the knife</w:t>
      </w:r>
      <w:r w:rsidRPr="00490A51">
        <w:t>, does not</w:t>
      </w:r>
      <w:r w:rsidRPr="00490A51">
        <w:t xml:space="preserve"> </w:t>
      </w:r>
      <w:r w:rsidRPr="00490A51">
        <w:t>amount to reasonable evidence of solid value that B.M. used the knife in a manner likely</w:t>
      </w:r>
      <w:r w:rsidRPr="00490A51">
        <w:t xml:space="preserve"> to produce </w:t>
      </w:r>
      <w:r>
        <w:t>great bodily</w:t>
      </w:r>
      <w:r w:rsidRPr="00490A51">
        <w:t xml:space="preserve"> </w:t>
      </w:r>
      <w:r w:rsidRPr="00490A51">
        <w:t>injury.</w:t>
      </w:r>
    </w:p>
    <w:p w:rsidR="00A307E1" w:rsidRPr="00490A51" w:rsidRDefault="004F60F7" w:rsidP="00490A51">
      <w:pPr>
        <w:tabs>
          <w:tab w:val="left" w:pos="1440"/>
        </w:tabs>
        <w:ind w:firstLine="720"/>
      </w:pPr>
      <w:r w:rsidRPr="00490A51">
        <w:t>The Attorney General further notes that “an object can be a deadly weapon even if there is no</w:t>
      </w:r>
      <w:r w:rsidRPr="00490A51">
        <w:t xml:space="preserve"> contact or injury</w:t>
      </w:r>
      <w:r w:rsidRPr="00490A51">
        <w:t xml:space="preserve">, and </w:t>
      </w:r>
      <w:proofErr w:type="gramStart"/>
      <w:r w:rsidRPr="00490A51">
        <w:t>‘ “</w:t>
      </w:r>
      <w:proofErr w:type="gramEnd"/>
      <w:r w:rsidRPr="00490A51">
        <w:t>even if it’s not actually used with deadly force.” ’ ”  But the cases he relies on involved a sharp obj</w:t>
      </w:r>
      <w:r w:rsidRPr="00490A51">
        <w:t>ect applied to a vulnerable part of the body (</w:t>
      </w:r>
      <w:r w:rsidRPr="00490A51">
        <w:rPr>
          <w:i/>
        </w:rPr>
        <w:t>D.T.</w:t>
      </w:r>
      <w:r w:rsidRPr="00490A51">
        <w:t xml:space="preserve">, </w:t>
      </w:r>
      <w:r w:rsidRPr="00490A51">
        <w:rPr>
          <w:i/>
        </w:rPr>
        <w:t>supra</w:t>
      </w:r>
      <w:r w:rsidRPr="00490A51">
        <w:t>, 237 Cal.Ap</w:t>
      </w:r>
      <w:r w:rsidRPr="00490A51">
        <w:t>p.4th at pp. </w:t>
      </w:r>
      <w:r w:rsidRPr="00490A51">
        <w:t>697,</w:t>
      </w:r>
      <w:r>
        <w:t xml:space="preserve"> 696</w:t>
      </w:r>
      <w:r w:rsidRPr="00490A51">
        <w:t xml:space="preserve"> </w:t>
      </w:r>
      <w:proofErr w:type="gramStart"/>
      <w:r w:rsidRPr="00490A51">
        <w:t>[“ ‘</w:t>
      </w:r>
      <w:proofErr w:type="gramEnd"/>
      <w:r w:rsidRPr="00490A51">
        <w:t xml:space="preserve">sharp’ and ‘pointy’ ” pocketknife used to “poke[]” someone “multiple times in the </w:t>
      </w:r>
      <w:r>
        <w:t>upper back” is a deadly weapon</w:t>
      </w:r>
      <w:r w:rsidRPr="00490A51">
        <w:t>]</w:t>
      </w:r>
      <w:r>
        <w:t xml:space="preserve">; see </w:t>
      </w:r>
      <w:r w:rsidRPr="003549D3">
        <w:rPr>
          <w:i/>
        </w:rPr>
        <w:t>id.</w:t>
      </w:r>
      <w:r>
        <w:t xml:space="preserve"> at pp.</w:t>
      </w:r>
      <w:r>
        <w:t> </w:t>
      </w:r>
      <w:r>
        <w:t>699</w:t>
      </w:r>
      <w:r>
        <w:t>–</w:t>
      </w:r>
      <w:r>
        <w:t>701</w:t>
      </w:r>
      <w:r w:rsidRPr="00490A51">
        <w:t xml:space="preserve">; </w:t>
      </w:r>
      <w:r w:rsidRPr="00490A51">
        <w:rPr>
          <w:i/>
        </w:rPr>
        <w:t>People v. Page</w:t>
      </w:r>
      <w:r w:rsidRPr="00490A51">
        <w:t xml:space="preserve"> (2004) </w:t>
      </w:r>
      <w:r w:rsidRPr="00490A51">
        <w:t xml:space="preserve">123 Cal.App.4th 1466, 1469 </w:t>
      </w:r>
      <w:proofErr w:type="gramStart"/>
      <w:r w:rsidRPr="00490A51">
        <w:t>[</w:t>
      </w:r>
      <w:r w:rsidRPr="00490A51">
        <w:t>“ ‘</w:t>
      </w:r>
      <w:proofErr w:type="gramEnd"/>
      <w:r w:rsidRPr="00490A51">
        <w:t xml:space="preserve">sharp[,] </w:t>
      </w:r>
      <w:r w:rsidRPr="00490A51">
        <w:t>pointy’ ” pencil held up to someone’s neck]) or a sharp object wielded in a wild or uncontrolled manner (</w:t>
      </w:r>
      <w:r w:rsidRPr="00490A51">
        <w:rPr>
          <w:i/>
        </w:rPr>
        <w:t>Simons</w:t>
      </w:r>
      <w:r w:rsidRPr="00490A51">
        <w:t xml:space="preserve">, </w:t>
      </w:r>
      <w:r w:rsidRPr="00490A51">
        <w:rPr>
          <w:i/>
        </w:rPr>
        <w:t>supra</w:t>
      </w:r>
      <w:r w:rsidRPr="00490A51">
        <w:t xml:space="preserve">, </w:t>
      </w:r>
      <w:r w:rsidRPr="00490A51">
        <w:t xml:space="preserve">42 Cal.App.4th </w:t>
      </w:r>
      <w:r>
        <w:t xml:space="preserve">at </w:t>
      </w:r>
      <w:r w:rsidRPr="00490A51">
        <w:t>p. </w:t>
      </w:r>
      <w:r w:rsidRPr="00490A51">
        <w:t>1106 [</w:t>
      </w:r>
      <w:r w:rsidRPr="00490A51">
        <w:t xml:space="preserve">the </w:t>
      </w:r>
      <w:r w:rsidRPr="00490A51">
        <w:t>defendant, being chased by police of</w:t>
      </w:r>
      <w:r>
        <w:t>ficers, “ ‘flail[</w:t>
      </w:r>
      <w:proofErr w:type="spellStart"/>
      <w:r>
        <w:t>ed</w:t>
      </w:r>
      <w:proofErr w:type="spellEnd"/>
      <w:r>
        <w:t>]</w:t>
      </w:r>
      <w:r w:rsidRPr="00490A51">
        <w:t> his hand</w:t>
      </w:r>
      <w:r w:rsidRPr="00490A51">
        <w:t>s . . . </w:t>
      </w:r>
      <w:r w:rsidRPr="00490A51">
        <w:t>[and] would bring [a] screwdriver forward</w:t>
      </w:r>
      <w:proofErr w:type="gramStart"/>
      <w:r>
        <w:t xml:space="preserve">’ </w:t>
      </w:r>
      <w:r w:rsidRPr="00490A51">
        <w:t>”</w:t>
      </w:r>
      <w:proofErr w:type="gramEnd"/>
      <w:r w:rsidRPr="00490A51">
        <w:t xml:space="preserve"> when approached]).  Here, the knife was not sharp</w:t>
      </w:r>
      <w:r w:rsidRPr="00490A51">
        <w:t xml:space="preserve"> or pointy; it </w:t>
      </w:r>
      <w:r w:rsidRPr="00490A51">
        <w:t>was not applied to any vulnerable part of Sophia’s body</w:t>
      </w:r>
      <w:r w:rsidRPr="00490A51">
        <w:t xml:space="preserve">; and there is no evidence that </w:t>
      </w:r>
      <w:r w:rsidRPr="00490A51">
        <w:t>B.M. wielded the knife wildly or uncontrollably.</w:t>
      </w:r>
    </w:p>
    <w:p w:rsidR="00F87746" w:rsidRPr="00490A51" w:rsidRDefault="004F60F7" w:rsidP="00490A51">
      <w:pPr>
        <w:tabs>
          <w:tab w:val="left" w:pos="1440"/>
        </w:tabs>
        <w:ind w:firstLine="720"/>
      </w:pPr>
      <w:r w:rsidRPr="00490A51">
        <w:t xml:space="preserve">Viewing the totality of the evidence in the light most favorable to the judgment, </w:t>
      </w:r>
      <w:r w:rsidRPr="00490A51">
        <w:t xml:space="preserve">we find </w:t>
      </w:r>
      <w:r w:rsidRPr="00490A51">
        <w:t xml:space="preserve">it questionable whether </w:t>
      </w:r>
      <w:r w:rsidRPr="00490A51">
        <w:t xml:space="preserve">a </w:t>
      </w:r>
      <w:r w:rsidRPr="00490A51">
        <w:lastRenderedPageBreak/>
        <w:t xml:space="preserve">trier of fact could reasonably conclude that the manner in which </w:t>
      </w:r>
      <w:r w:rsidRPr="00490A51">
        <w:t>B.M. use</w:t>
      </w:r>
      <w:r w:rsidRPr="00490A51">
        <w:t>d</w:t>
      </w:r>
      <w:r w:rsidRPr="00490A51">
        <w:t xml:space="preserve"> </w:t>
      </w:r>
      <w:r w:rsidRPr="00490A51">
        <w:t xml:space="preserve">the knife was capable of causing </w:t>
      </w:r>
      <w:r w:rsidRPr="00490A51">
        <w:t>great bodily injury.  But even i</w:t>
      </w:r>
      <w:r w:rsidRPr="00490A51">
        <w:t xml:space="preserve">f B.M.’s use of the knife </w:t>
      </w:r>
      <w:proofErr w:type="gramStart"/>
      <w:r w:rsidRPr="00490A51">
        <w:t>were</w:t>
      </w:r>
      <w:proofErr w:type="gramEnd"/>
      <w:r w:rsidRPr="00490A51">
        <w:t xml:space="preserve"> capable of causing great bodily injury, there is no substantial evidence that it was likely to do so.</w:t>
      </w:r>
    </w:p>
    <w:p w:rsidR="003C6288" w:rsidRPr="00490A51" w:rsidRDefault="004F60F7" w:rsidP="00133914">
      <w:pPr>
        <w:keepNext/>
        <w:keepLines/>
        <w:tabs>
          <w:tab w:val="left" w:pos="1440"/>
        </w:tabs>
        <w:jc w:val="center"/>
      </w:pPr>
      <w:r w:rsidRPr="00490A51">
        <w:rPr>
          <w:b/>
        </w:rPr>
        <w:t>CONCLUSION</w:t>
      </w:r>
    </w:p>
    <w:p w:rsidR="003C6288" w:rsidRPr="00490A51" w:rsidRDefault="004F60F7" w:rsidP="00490A51">
      <w:pPr>
        <w:keepNext/>
        <w:keepLines/>
        <w:tabs>
          <w:tab w:val="left" w:pos="1440"/>
        </w:tabs>
        <w:ind w:firstLine="720"/>
      </w:pPr>
      <w:r w:rsidRPr="00490A51">
        <w:t>T</w:t>
      </w:r>
      <w:r w:rsidRPr="00490A51">
        <w:t xml:space="preserve">he </w:t>
      </w:r>
      <w:r w:rsidRPr="00490A51">
        <w:t>judgment of the Court of Appeal</w:t>
      </w:r>
      <w:r w:rsidRPr="00490A51">
        <w:t xml:space="preserve"> is </w:t>
      </w:r>
      <w:r w:rsidRPr="00490A51">
        <w:t>reversed</w:t>
      </w:r>
      <w:r w:rsidRPr="00490A51">
        <w:t>.</w:t>
      </w:r>
    </w:p>
    <w:p w:rsidR="001517E8" w:rsidRPr="00490A51" w:rsidRDefault="004F60F7" w:rsidP="00490A51">
      <w:pPr>
        <w:tabs>
          <w:tab w:val="left" w:pos="1440"/>
        </w:tabs>
        <w:rPr>
          <w:b/>
        </w:rPr>
      </w:pPr>
      <w:r w:rsidRPr="00490A51">
        <w:tab/>
      </w:r>
      <w:r w:rsidRPr="00490A51">
        <w:tab/>
      </w:r>
      <w:r w:rsidRPr="00490A51">
        <w:tab/>
      </w:r>
      <w:r w:rsidRPr="00490A51">
        <w:tab/>
      </w:r>
      <w:r w:rsidRPr="00490A51">
        <w:tab/>
      </w:r>
      <w:r w:rsidRPr="00490A51">
        <w:tab/>
      </w:r>
      <w:r w:rsidRPr="00490A51">
        <w:rPr>
          <w:b/>
        </w:rPr>
        <w:t>LIU, J.</w:t>
      </w:r>
    </w:p>
    <w:p w:rsidR="00453D70" w:rsidRPr="00490A51" w:rsidRDefault="004F60F7" w:rsidP="00490A51">
      <w:pPr>
        <w:tabs>
          <w:tab w:val="left" w:pos="1440"/>
        </w:tabs>
      </w:pPr>
    </w:p>
    <w:p w:rsidR="00490A51" w:rsidRDefault="004F60F7" w:rsidP="00490A51">
      <w:bookmarkStart w:id="4" w:name="initials"/>
      <w:bookmarkEnd w:id="4"/>
    </w:p>
    <w:p w:rsidR="00133914" w:rsidRPr="00111FE5" w:rsidRDefault="004F60F7" w:rsidP="00111FE5">
      <w:pPr>
        <w:spacing w:after="0" w:line="240" w:lineRule="auto"/>
        <w:jc w:val="left"/>
        <w:rPr>
          <w:b/>
          <w:szCs w:val="27"/>
        </w:rPr>
      </w:pPr>
      <w:r w:rsidRPr="003549D3">
        <w:rPr>
          <w:b/>
        </w:rPr>
        <w:t>We</w:t>
      </w:r>
      <w:r>
        <w:rPr>
          <w:b/>
        </w:rPr>
        <w:t xml:space="preserve"> </w:t>
      </w:r>
      <w:r w:rsidRPr="003549D3">
        <w:rPr>
          <w:b/>
        </w:rPr>
        <w:t>Concur</w:t>
      </w:r>
      <w:r w:rsidRPr="00133914">
        <w:rPr>
          <w:b/>
        </w:rPr>
        <w:t>:</w:t>
      </w:r>
    </w:p>
    <w:p w:rsidR="00111FE5" w:rsidRPr="00111FE5" w:rsidRDefault="004F60F7" w:rsidP="00111FE5">
      <w:pPr>
        <w:spacing w:after="0" w:line="240" w:lineRule="auto"/>
        <w:jc w:val="left"/>
        <w:rPr>
          <w:b/>
          <w:szCs w:val="27"/>
        </w:rPr>
      </w:pPr>
    </w:p>
    <w:p w:rsidR="00111FE5" w:rsidRPr="00111FE5" w:rsidRDefault="004F60F7" w:rsidP="00111FE5">
      <w:pPr>
        <w:spacing w:after="0" w:line="240" w:lineRule="auto"/>
        <w:rPr>
          <w:rFonts w:ascii="Calibri" w:hAnsi="Calibri"/>
          <w:b/>
          <w:szCs w:val="27"/>
        </w:rPr>
      </w:pPr>
      <w:r w:rsidRPr="00111FE5">
        <w:rPr>
          <w:b/>
          <w:szCs w:val="27"/>
        </w:rPr>
        <w:t>CANTIL-SAKAUYE, C. J.</w:t>
      </w:r>
    </w:p>
    <w:p w:rsidR="00111FE5" w:rsidRPr="00111FE5" w:rsidRDefault="004F60F7" w:rsidP="00111FE5">
      <w:pPr>
        <w:spacing w:after="0" w:line="240" w:lineRule="auto"/>
        <w:rPr>
          <w:b/>
          <w:szCs w:val="27"/>
        </w:rPr>
      </w:pPr>
      <w:r w:rsidRPr="00111FE5">
        <w:rPr>
          <w:b/>
          <w:szCs w:val="27"/>
          <w:lang w:val="it-IT"/>
        </w:rPr>
        <w:t>CHIN, J.</w:t>
      </w:r>
    </w:p>
    <w:p w:rsidR="00111FE5" w:rsidRPr="00111FE5" w:rsidRDefault="004F60F7" w:rsidP="00111FE5">
      <w:pPr>
        <w:spacing w:after="0" w:line="240" w:lineRule="auto"/>
        <w:rPr>
          <w:b/>
          <w:szCs w:val="27"/>
          <w:lang w:val="it-IT"/>
        </w:rPr>
      </w:pPr>
      <w:r w:rsidRPr="00111FE5">
        <w:rPr>
          <w:b/>
          <w:szCs w:val="27"/>
          <w:lang w:val="it-IT"/>
        </w:rPr>
        <w:t>CORRIGAN, J.</w:t>
      </w:r>
    </w:p>
    <w:p w:rsidR="00111FE5" w:rsidRPr="00111FE5" w:rsidRDefault="004F60F7" w:rsidP="00111FE5">
      <w:pPr>
        <w:spacing w:after="0" w:line="240" w:lineRule="auto"/>
        <w:rPr>
          <w:b/>
          <w:szCs w:val="27"/>
          <w:lang w:val="it-IT"/>
        </w:rPr>
      </w:pPr>
      <w:r w:rsidRPr="00111FE5">
        <w:rPr>
          <w:b/>
          <w:szCs w:val="27"/>
          <w:lang w:val="it-IT"/>
        </w:rPr>
        <w:t>CUÉLLAR, J.</w:t>
      </w:r>
    </w:p>
    <w:p w:rsidR="00111FE5" w:rsidRPr="00111FE5" w:rsidRDefault="004F60F7" w:rsidP="00111FE5">
      <w:pPr>
        <w:spacing w:after="0" w:line="240" w:lineRule="auto"/>
        <w:rPr>
          <w:b/>
          <w:szCs w:val="27"/>
          <w:lang w:val="it-IT"/>
        </w:rPr>
      </w:pPr>
      <w:r w:rsidRPr="00111FE5">
        <w:rPr>
          <w:b/>
          <w:szCs w:val="27"/>
          <w:lang w:val="it-IT"/>
        </w:rPr>
        <w:t>KRUGER, J.</w:t>
      </w:r>
    </w:p>
    <w:p w:rsidR="00111FE5" w:rsidRPr="00111FE5" w:rsidRDefault="004F60F7" w:rsidP="00111FE5">
      <w:pPr>
        <w:spacing w:after="0" w:line="240" w:lineRule="auto"/>
        <w:rPr>
          <w:b/>
          <w:szCs w:val="27"/>
          <w:lang w:val="it-IT"/>
        </w:rPr>
      </w:pPr>
      <w:r w:rsidRPr="00111FE5">
        <w:rPr>
          <w:b/>
          <w:szCs w:val="27"/>
          <w:lang w:val="it-IT"/>
        </w:rPr>
        <w:t>RENNER, J.</w:t>
      </w:r>
      <w:r>
        <w:rPr>
          <w:rStyle w:val="FootnoteReference"/>
          <w:b w:val="0"/>
          <w:szCs w:val="27"/>
          <w:lang w:val="it-IT"/>
        </w:rPr>
        <w:footnoteReference w:customMarkFollows="1" w:id="3"/>
        <w:t>*</w:t>
      </w:r>
    </w:p>
    <w:p w:rsidR="00111FE5" w:rsidRPr="00133914" w:rsidRDefault="004F60F7" w:rsidP="00401398">
      <w:pPr>
        <w:jc w:val="left"/>
        <w:rPr>
          <w:b/>
        </w:rPr>
        <w:sectPr w:rsidR="00111FE5" w:rsidRPr="00133914" w:rsidSect="00490A51">
          <w:footerReference w:type="first" r:id="rId12"/>
          <w:pgSz w:w="12240" w:h="15840"/>
          <w:pgMar w:top="1800" w:right="2160" w:bottom="1440" w:left="2160" w:header="720" w:footer="720" w:gutter="0"/>
          <w:pgNumType w:start="1"/>
          <w:cols w:space="720"/>
          <w:titlePg/>
          <w:docGrid w:linePitch="367"/>
        </w:sectPr>
      </w:pPr>
    </w:p>
    <w:p w:rsidR="005940AA" w:rsidRPr="005940AA" w:rsidRDefault="004F60F7" w:rsidP="005940AA">
      <w:pPr>
        <w:jc w:val="center"/>
      </w:pPr>
      <w:bookmarkStart w:id="5" w:name="due"/>
      <w:bookmarkStart w:id="6" w:name="calendar"/>
      <w:bookmarkStart w:id="7" w:name="plaintiff"/>
      <w:bookmarkStart w:id="8" w:name="defendant"/>
      <w:bookmarkStart w:id="9" w:name="MarkDocLoc"/>
      <w:bookmarkEnd w:id="5"/>
      <w:bookmarkEnd w:id="6"/>
      <w:bookmarkEnd w:id="7"/>
      <w:bookmarkEnd w:id="8"/>
      <w:bookmarkEnd w:id="9"/>
      <w:r w:rsidRPr="002E274E">
        <w:rPr>
          <w:smallCaps/>
        </w:rPr>
        <w:lastRenderedPageBreak/>
        <w:t>I</w:t>
      </w:r>
      <w:r w:rsidRPr="002E274E">
        <w:rPr>
          <w:smallCaps/>
        </w:rPr>
        <w:t>n re</w:t>
      </w:r>
      <w:r w:rsidRPr="005940AA">
        <w:t xml:space="preserve"> B.M.</w:t>
      </w:r>
    </w:p>
    <w:p w:rsidR="005940AA" w:rsidRPr="005940AA" w:rsidRDefault="004F60F7" w:rsidP="005940AA">
      <w:pPr>
        <w:jc w:val="center"/>
      </w:pPr>
      <w:r w:rsidRPr="005940AA">
        <w:t>S242153</w:t>
      </w:r>
    </w:p>
    <w:p w:rsidR="005940AA" w:rsidRPr="005940AA" w:rsidRDefault="004F60F7" w:rsidP="005940AA">
      <w:pPr>
        <w:jc w:val="center"/>
      </w:pPr>
    </w:p>
    <w:p w:rsidR="005940AA" w:rsidRPr="005940AA" w:rsidRDefault="004F60F7" w:rsidP="005940AA">
      <w:pPr>
        <w:jc w:val="center"/>
      </w:pPr>
      <w:r w:rsidRPr="005940AA">
        <w:t>Concurring Opinion by Justice Chin</w:t>
      </w:r>
    </w:p>
    <w:p w:rsidR="005940AA" w:rsidRPr="005940AA" w:rsidRDefault="004F60F7" w:rsidP="005940AA">
      <w:pPr>
        <w:jc w:val="center"/>
      </w:pPr>
    </w:p>
    <w:p w:rsidR="005940AA" w:rsidRPr="005940AA" w:rsidRDefault="004F60F7" w:rsidP="005940AA">
      <w:pPr>
        <w:ind w:firstLine="720"/>
      </w:pPr>
      <w:r w:rsidRPr="005940AA">
        <w:t xml:space="preserve">I concur in the majority opinion, which I have signed.  I do so with the understanding that we are not deciding the meaning of the word “likely” in the phrase </w:t>
      </w:r>
      <w:proofErr w:type="gramStart"/>
      <w:r w:rsidRPr="005940AA">
        <w:t>“ ‘</w:t>
      </w:r>
      <w:proofErr w:type="gramEnd"/>
      <w:r w:rsidRPr="005940AA">
        <w:t xml:space="preserve">capable of producing and </w:t>
      </w:r>
      <w:r w:rsidRPr="005940AA">
        <w:rPr>
          <w:i/>
        </w:rPr>
        <w:t>likely</w:t>
      </w:r>
      <w:r w:rsidRPr="005940AA">
        <w:t xml:space="preserve"> to produce, death or great bodily injury.’ ”  (</w:t>
      </w:r>
      <w:r w:rsidRPr="005940AA">
        <w:rPr>
          <w:i/>
        </w:rPr>
        <w:t>People v. Aguil</w:t>
      </w:r>
      <w:r w:rsidRPr="005940AA">
        <w:rPr>
          <w:i/>
        </w:rPr>
        <w:t>ar</w:t>
      </w:r>
      <w:r w:rsidRPr="005940AA">
        <w:t xml:space="preserve"> (1997) 16 Cal.4th 1023, 1029, italics added (</w:t>
      </w:r>
      <w:r w:rsidRPr="005940AA">
        <w:rPr>
          <w:i/>
        </w:rPr>
        <w:t>Aguilar</w:t>
      </w:r>
      <w:r w:rsidRPr="005940AA">
        <w:t>).)  The latter phrase was adopted by this court to define what constitutes a “deadly weapon” for purposes of Penal Code section 245, subdivision (a)(1).  As I read the majority opinion, we reach no co</w:t>
      </w:r>
      <w:r w:rsidRPr="005940AA">
        <w:t xml:space="preserve">nclusion about the meaning of the word “likely” in the </w:t>
      </w:r>
      <w:r w:rsidRPr="005940AA">
        <w:rPr>
          <w:i/>
        </w:rPr>
        <w:t>Aguilar</w:t>
      </w:r>
      <w:r w:rsidRPr="005940AA">
        <w:t xml:space="preserve"> standard, other than to say that it means something “more than a mere possibility.”  (Maj. opn., </w:t>
      </w:r>
      <w:r w:rsidRPr="005940AA">
        <w:rPr>
          <w:i/>
        </w:rPr>
        <w:t>ante</w:t>
      </w:r>
      <w:r w:rsidRPr="005940AA">
        <w:t xml:space="preserve">, at p. 7; see </w:t>
      </w:r>
      <w:r w:rsidRPr="005940AA">
        <w:rPr>
          <w:i/>
        </w:rPr>
        <w:t>id</w:t>
      </w:r>
      <w:r w:rsidRPr="005940AA">
        <w:t>. at p. 9.)</w:t>
      </w:r>
    </w:p>
    <w:p w:rsidR="005940AA" w:rsidRPr="005940AA" w:rsidRDefault="004F60F7" w:rsidP="005940AA">
      <w:pPr>
        <w:ind w:firstLine="720"/>
      </w:pPr>
      <w:r w:rsidRPr="005940AA">
        <w:t>The majority opinion cites several definitions of the word “lik</w:t>
      </w:r>
      <w:r w:rsidRPr="005940AA">
        <w:t xml:space="preserve">ely” according to which the word means </w:t>
      </w:r>
      <w:proofErr w:type="gramStart"/>
      <w:r w:rsidRPr="005940AA">
        <w:t>“ ‘</w:t>
      </w:r>
      <w:proofErr w:type="gramEnd"/>
      <w:r w:rsidRPr="005940AA">
        <w:t xml:space="preserve">having a high probability,’ ” “ ‘very probable,’ ” or a “ ‘probability [that is] great.’ ”  (Maj. opn., </w:t>
      </w:r>
      <w:r w:rsidRPr="005940AA">
        <w:rPr>
          <w:i/>
        </w:rPr>
        <w:t>ante</w:t>
      </w:r>
      <w:r w:rsidRPr="005940AA">
        <w:t>, at pp. 6–7.)  The opinion cites those definitions as examples that disprove the Attorney General’s asser</w:t>
      </w:r>
      <w:r w:rsidRPr="005940AA">
        <w:t>tion that “likely” means “possible.”  (</w:t>
      </w:r>
      <w:r w:rsidRPr="005940AA">
        <w:rPr>
          <w:i/>
        </w:rPr>
        <w:t>Id</w:t>
      </w:r>
      <w:r w:rsidRPr="005940AA">
        <w:t xml:space="preserve">. at p. 6.)  The majority opinion should not be read as holding, based on those examples, that for purposes of </w:t>
      </w:r>
      <w:r w:rsidRPr="005940AA">
        <w:rPr>
          <w:i/>
        </w:rPr>
        <w:t>Aguilar</w:t>
      </w:r>
      <w:r w:rsidRPr="005940AA">
        <w:t>’s definition of what constitutes a deadly weapon, “likely” means “probable.”  Indeed, such a hol</w:t>
      </w:r>
      <w:r w:rsidRPr="005940AA">
        <w:t xml:space="preserve">ding would be inconsistent with the majority’s citations to </w:t>
      </w:r>
      <w:proofErr w:type="gramStart"/>
      <w:r w:rsidRPr="005940AA">
        <w:rPr>
          <w:i/>
        </w:rPr>
        <w:t>In</w:t>
      </w:r>
      <w:proofErr w:type="gramEnd"/>
      <w:r w:rsidRPr="005940AA">
        <w:rPr>
          <w:i/>
        </w:rPr>
        <w:t xml:space="preserve"> re</w:t>
      </w:r>
      <w:r w:rsidRPr="005940AA">
        <w:t xml:space="preserve"> </w:t>
      </w:r>
      <w:r w:rsidRPr="005940AA">
        <w:rPr>
          <w:i/>
        </w:rPr>
        <w:t>D.T.</w:t>
      </w:r>
      <w:r w:rsidRPr="005940AA">
        <w:t xml:space="preserve"> (2015) 237 Cal.App.4th 693, </w:t>
      </w:r>
      <w:r w:rsidRPr="005940AA">
        <w:rPr>
          <w:i/>
        </w:rPr>
        <w:t>People v. Page</w:t>
      </w:r>
      <w:r w:rsidRPr="005940AA">
        <w:t xml:space="preserve"> (2004) 123 Cal.App.4th 1466, and </w:t>
      </w:r>
      <w:r w:rsidRPr="005940AA">
        <w:rPr>
          <w:i/>
        </w:rPr>
        <w:t>People v. Simons</w:t>
      </w:r>
      <w:r w:rsidRPr="005940AA">
        <w:t xml:space="preserve"> (1996) 42 Cal.App.4th 1100.  (See </w:t>
      </w:r>
      <w:proofErr w:type="spellStart"/>
      <w:r w:rsidRPr="005940AA">
        <w:t>maj.</w:t>
      </w:r>
      <w:proofErr w:type="spellEnd"/>
      <w:r w:rsidRPr="005940AA">
        <w:t xml:space="preserve"> opn., </w:t>
      </w:r>
      <w:r w:rsidRPr="005940AA">
        <w:rPr>
          <w:i/>
        </w:rPr>
        <w:t>ante</w:t>
      </w:r>
      <w:r w:rsidRPr="005940AA">
        <w:t xml:space="preserve">, at p. 14.)  Those cases </w:t>
      </w:r>
      <w:r w:rsidRPr="005940AA">
        <w:lastRenderedPageBreak/>
        <w:t xml:space="preserve">all involved the </w:t>
      </w:r>
      <w:r w:rsidRPr="005940AA">
        <w:t xml:space="preserve">use of a sharp object in a threatening manner, and in all three cases an argument could be made that great bodily injury was not </w:t>
      </w:r>
      <w:r w:rsidRPr="005940AA">
        <w:rPr>
          <w:i/>
        </w:rPr>
        <w:t>probable</w:t>
      </w:r>
      <w:r w:rsidRPr="005940AA">
        <w:t xml:space="preserve">, but the deadly weapon finding was nonetheless upheld.  (See also </w:t>
      </w:r>
      <w:proofErr w:type="gramStart"/>
      <w:r w:rsidRPr="005940AA">
        <w:rPr>
          <w:i/>
        </w:rPr>
        <w:t>In</w:t>
      </w:r>
      <w:proofErr w:type="gramEnd"/>
      <w:r w:rsidRPr="005940AA">
        <w:rPr>
          <w:i/>
        </w:rPr>
        <w:t xml:space="preserve"> re Jose R.</w:t>
      </w:r>
      <w:r w:rsidRPr="005940AA">
        <w:t xml:space="preserve"> (1982) 137 Cal.App.3d 269 [upholding a</w:t>
      </w:r>
      <w:r w:rsidRPr="005940AA">
        <w:t xml:space="preserve"> conclusion that a pin inserted in an apple was a deadly weapon, despite the fact that great bodily injury was arguably not probable].)</w:t>
      </w:r>
    </w:p>
    <w:p w:rsidR="005940AA" w:rsidRPr="005940AA" w:rsidRDefault="004F60F7" w:rsidP="005940AA">
      <w:pPr>
        <w:ind w:firstLine="720"/>
      </w:pPr>
      <w:r w:rsidRPr="005940AA">
        <w:t xml:space="preserve">In this case, we do not decide the question of what “likely” means in the context of the </w:t>
      </w:r>
      <w:r w:rsidRPr="005940AA">
        <w:rPr>
          <w:i/>
        </w:rPr>
        <w:t>Aguilar</w:t>
      </w:r>
      <w:r w:rsidRPr="005940AA">
        <w:t xml:space="preserve"> standard, and I do not </w:t>
      </w:r>
      <w:r w:rsidRPr="005940AA">
        <w:t xml:space="preserve">wish to prejudge that question, but our resolution of the question calls for a careful analysis like the one that appears in </w:t>
      </w:r>
      <w:r w:rsidRPr="005940AA">
        <w:rPr>
          <w:i/>
        </w:rPr>
        <w:t xml:space="preserve">People </w:t>
      </w:r>
      <w:proofErr w:type="gramStart"/>
      <w:r w:rsidRPr="005940AA">
        <w:rPr>
          <w:i/>
        </w:rPr>
        <w:t>v.</w:t>
      </w:r>
      <w:proofErr w:type="gramEnd"/>
      <w:r w:rsidRPr="005940AA">
        <w:rPr>
          <w:i/>
        </w:rPr>
        <w:t xml:space="preserve"> Superior Court (</w:t>
      </w:r>
      <w:proofErr w:type="spellStart"/>
      <w:r w:rsidRPr="005940AA">
        <w:rPr>
          <w:i/>
        </w:rPr>
        <w:t>Ghilotti</w:t>
      </w:r>
      <w:proofErr w:type="spellEnd"/>
      <w:r w:rsidRPr="005940AA">
        <w:rPr>
          <w:i/>
        </w:rPr>
        <w:t>)</w:t>
      </w:r>
      <w:r w:rsidRPr="005940AA">
        <w:t xml:space="preserve"> (2002) 27 Cal.4th 888, a decision involving the meaning of the word “likely” in the Sexually Vi</w:t>
      </w:r>
      <w:r w:rsidRPr="005940AA">
        <w:t>olent Predators Act (</w:t>
      </w:r>
      <w:proofErr w:type="spellStart"/>
      <w:r w:rsidRPr="005940AA">
        <w:t>Welf</w:t>
      </w:r>
      <w:proofErr w:type="spellEnd"/>
      <w:r w:rsidRPr="005940AA">
        <w:t>. &amp; Inst. Code, § 6600 et seq.), which refers to persons “likely to engage in acts of sexual violence” (</w:t>
      </w:r>
      <w:r w:rsidRPr="005940AA">
        <w:rPr>
          <w:i/>
        </w:rPr>
        <w:t>id</w:t>
      </w:r>
      <w:r w:rsidRPr="005940AA">
        <w:t xml:space="preserve">., § 6601, </w:t>
      </w:r>
      <w:proofErr w:type="spellStart"/>
      <w:r w:rsidRPr="005940AA">
        <w:t>subd</w:t>
      </w:r>
      <w:proofErr w:type="spellEnd"/>
      <w:r w:rsidRPr="005940AA">
        <w:t>. (d)).  That opinion shows that, in the context of a law designed to prevent a harm, “likely” can sometimes m</w:t>
      </w:r>
      <w:r w:rsidRPr="005940AA">
        <w:t>ean something less than “probable.”</w:t>
      </w:r>
    </w:p>
    <w:p w:rsidR="005940AA" w:rsidRPr="005940AA" w:rsidRDefault="004F60F7" w:rsidP="005940AA">
      <w:pPr>
        <w:ind w:firstLine="720"/>
      </w:pPr>
      <w:r w:rsidRPr="005940AA">
        <w:t>Turning to the facts of this case and mindful that we must construe the evidence in favor of the trial court’s judgment, I agree with the majority that “[u]</w:t>
      </w:r>
      <w:proofErr w:type="spellStart"/>
      <w:r w:rsidRPr="005940AA">
        <w:t>nder</w:t>
      </w:r>
      <w:proofErr w:type="spellEnd"/>
      <w:r w:rsidRPr="005940AA">
        <w:t xml:space="preserve"> any plausible interpretation of the term ‘likely,’ the evid</w:t>
      </w:r>
      <w:r w:rsidRPr="005940AA">
        <w:t xml:space="preserve">ence was insufficient to establish that [defendant] B.M.’s use of a butter knife against her sister’s blanketed legs was </w:t>
      </w:r>
      <w:proofErr w:type="gramStart"/>
      <w:r w:rsidRPr="005940AA">
        <w:t>‘ “</w:t>
      </w:r>
      <w:proofErr w:type="gramEnd"/>
      <w:r w:rsidRPr="005940AA">
        <w:t>likely to produce death or great bodily injury.” ’  (</w:t>
      </w:r>
      <w:r w:rsidRPr="005940AA">
        <w:rPr>
          <w:i/>
        </w:rPr>
        <w:t>Aguilar</w:t>
      </w:r>
      <w:r w:rsidRPr="005940AA">
        <w:t xml:space="preserve">, </w:t>
      </w:r>
      <w:r w:rsidRPr="005940AA">
        <w:rPr>
          <w:i/>
        </w:rPr>
        <w:t>supra</w:t>
      </w:r>
      <w:r w:rsidRPr="005940AA">
        <w:t xml:space="preserve">, 16 Cal.4th at p. 1029.)”  (Maj. opn., </w:t>
      </w:r>
      <w:r w:rsidRPr="005940AA">
        <w:rPr>
          <w:i/>
        </w:rPr>
        <w:t>ante</w:t>
      </w:r>
      <w:r w:rsidRPr="005940AA">
        <w:t>, at pp. 10-11.)  Sig</w:t>
      </w:r>
      <w:r w:rsidRPr="005940AA">
        <w:t>nificantly, the evidence at trial in this case included close questioning of the victim, Sophia M., concerning how her sister used the butter knife against her.  Sophia could not recall which way her sister held the knife, and refused, even when pressed by</w:t>
      </w:r>
      <w:r w:rsidRPr="005940AA">
        <w:t xml:space="preserve"> the prosecution and the court, to testify that her sister held the knife as one would a dirk or a </w:t>
      </w:r>
      <w:r w:rsidRPr="005940AA">
        <w:lastRenderedPageBreak/>
        <w:t>dagger.  Instead, Sophia described her sister making a “few” slicing motions on Sophia’s blanketed legs, doing so with enough force that Sophia could feel it</w:t>
      </w:r>
      <w:r w:rsidRPr="005940AA">
        <w:t xml:space="preserve"> “a little.”  Using a butter knife — even one with small ridges on the blade — to make a few slicing motions across the blanket-covered legs of a healthy person is not, under any definition of the word “likely,” an act that is likely to produce great bodil</w:t>
      </w:r>
      <w:r w:rsidRPr="005940AA">
        <w:t>y injury.</w:t>
      </w:r>
    </w:p>
    <w:p w:rsidR="005940AA" w:rsidRPr="005940AA" w:rsidRDefault="004F60F7" w:rsidP="005940AA">
      <w:pPr>
        <w:ind w:firstLine="720"/>
      </w:pPr>
      <w:r w:rsidRPr="005940AA">
        <w:t>Based on the foregoing understanding of the majority opinion, I concur.</w:t>
      </w:r>
    </w:p>
    <w:p w:rsidR="005940AA" w:rsidRPr="005940AA" w:rsidRDefault="004F60F7" w:rsidP="005940AA">
      <w:pPr>
        <w:ind w:firstLine="720"/>
        <w:rPr>
          <w:b/>
        </w:rPr>
      </w:pPr>
      <w:r w:rsidRPr="005940AA">
        <w:tab/>
      </w:r>
      <w:r w:rsidRPr="005940AA">
        <w:tab/>
      </w:r>
      <w:r w:rsidRPr="005940AA">
        <w:tab/>
      </w:r>
      <w:r w:rsidRPr="005940AA">
        <w:tab/>
      </w:r>
      <w:r w:rsidRPr="005940AA">
        <w:tab/>
      </w:r>
      <w:r w:rsidRPr="005940AA">
        <w:tab/>
      </w:r>
      <w:r w:rsidRPr="005940AA">
        <w:tab/>
      </w:r>
      <w:r w:rsidRPr="005940AA">
        <w:rPr>
          <w:b/>
        </w:rPr>
        <w:t>CHIN, J.</w:t>
      </w:r>
    </w:p>
    <w:p w:rsidR="005940AA" w:rsidRPr="005940AA" w:rsidRDefault="004F60F7" w:rsidP="005940AA">
      <w:pPr>
        <w:rPr>
          <w:b/>
        </w:rPr>
      </w:pPr>
      <w:r w:rsidRPr="005940AA">
        <w:rPr>
          <w:b/>
        </w:rPr>
        <w:t>I Concur:</w:t>
      </w:r>
    </w:p>
    <w:p w:rsidR="005940AA" w:rsidRPr="005940AA" w:rsidRDefault="004F60F7" w:rsidP="005940AA">
      <w:pPr>
        <w:rPr>
          <w:b/>
        </w:rPr>
      </w:pPr>
      <w:r w:rsidRPr="005940AA">
        <w:rPr>
          <w:b/>
        </w:rPr>
        <w:t>CORRIGAN, J.</w:t>
      </w:r>
    </w:p>
    <w:p w:rsidR="004D6007" w:rsidRDefault="004F60F7" w:rsidP="0098328C">
      <w:pPr>
        <w:rPr>
          <w:b/>
          <w:caps/>
        </w:rPr>
        <w:sectPr w:rsidR="004D6007" w:rsidSect="005940AA">
          <w:headerReference w:type="default" r:id="rId13"/>
          <w:footerReference w:type="default" r:id="rId14"/>
          <w:footerReference w:type="first" r:id="rId15"/>
          <w:footnotePr>
            <w:numRestart w:val="eachSect"/>
          </w:footnotePr>
          <w:pgSz w:w="12240" w:h="15840"/>
          <w:pgMar w:top="1800" w:right="2160" w:bottom="1440" w:left="2160" w:header="720" w:footer="720" w:gutter="0"/>
          <w:pgNumType w:start="1"/>
          <w:cols w:space="720"/>
          <w:titlePg/>
          <w:docGrid w:linePitch="367"/>
        </w:sectPr>
      </w:pPr>
    </w:p>
    <w:p w:rsidR="004D6007" w:rsidRPr="004D6007" w:rsidRDefault="004F60F7" w:rsidP="004D6007">
      <w:pPr>
        <w:spacing w:after="0" w:line="240" w:lineRule="auto"/>
        <w:jc w:val="left"/>
        <w:rPr>
          <w:rFonts w:ascii="Times New Roman" w:hAnsi="Times New Roman"/>
          <w:i/>
          <w:sz w:val="20"/>
        </w:rPr>
      </w:pPr>
      <w:r w:rsidRPr="004D6007">
        <w:rPr>
          <w:rFonts w:ascii="Times New Roman" w:hAnsi="Times New Roman"/>
          <w:i/>
          <w:sz w:val="20"/>
        </w:rPr>
        <w:lastRenderedPageBreak/>
        <w:t xml:space="preserve">See next page for addresses and telephone numbers for counsel who </w:t>
      </w:r>
      <w:r w:rsidRPr="004D6007">
        <w:rPr>
          <w:rFonts w:ascii="Times New Roman" w:hAnsi="Times New Roman"/>
          <w:i/>
          <w:sz w:val="20"/>
        </w:rPr>
        <w:t>argued in Supreme Court.</w:t>
      </w:r>
    </w:p>
    <w:p w:rsidR="004D6007" w:rsidRPr="004D6007" w:rsidRDefault="004F60F7" w:rsidP="004D6007">
      <w:pPr>
        <w:spacing w:after="0" w:line="240" w:lineRule="auto"/>
        <w:jc w:val="left"/>
        <w:rPr>
          <w:rFonts w:ascii="Times New Roman" w:hAnsi="Times New Roman"/>
          <w:i/>
          <w:sz w:val="20"/>
        </w:rPr>
      </w:pPr>
    </w:p>
    <w:p w:rsidR="004D6007" w:rsidRPr="004D6007" w:rsidRDefault="004F60F7" w:rsidP="004D6007">
      <w:pPr>
        <w:spacing w:after="0" w:line="240" w:lineRule="auto"/>
        <w:jc w:val="left"/>
        <w:rPr>
          <w:rFonts w:ascii="Times New Roman" w:hAnsi="Times New Roman"/>
          <w:bCs/>
          <w:i/>
          <w:sz w:val="20"/>
        </w:rPr>
      </w:pPr>
      <w:r w:rsidRPr="004D6007">
        <w:rPr>
          <w:rFonts w:ascii="Times New Roman" w:hAnsi="Times New Roman"/>
          <w:b/>
          <w:sz w:val="20"/>
        </w:rPr>
        <w:t>Name of Opinion</w:t>
      </w:r>
      <w:r w:rsidRPr="004D6007">
        <w:rPr>
          <w:rFonts w:ascii="Times New Roman" w:hAnsi="Times New Roman"/>
          <w:sz w:val="20"/>
        </w:rPr>
        <w:t xml:space="preserve"> </w:t>
      </w:r>
      <w:proofErr w:type="gramStart"/>
      <w:r w:rsidRPr="004D6007">
        <w:rPr>
          <w:rFonts w:ascii="Times New Roman" w:hAnsi="Times New Roman"/>
          <w:sz w:val="20"/>
        </w:rPr>
        <w:t>In</w:t>
      </w:r>
      <w:proofErr w:type="gramEnd"/>
      <w:r w:rsidRPr="004D6007">
        <w:rPr>
          <w:rFonts w:ascii="Times New Roman" w:hAnsi="Times New Roman"/>
          <w:sz w:val="20"/>
        </w:rPr>
        <w:t xml:space="preserve"> re B.M.</w:t>
      </w: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__________________________________________________________________________________</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Cs/>
          <w:sz w:val="20"/>
        </w:rPr>
      </w:pPr>
      <w:r w:rsidRPr="004D6007">
        <w:rPr>
          <w:rFonts w:ascii="Times New Roman" w:hAnsi="Times New Roman"/>
          <w:b/>
          <w:sz w:val="20"/>
        </w:rPr>
        <w:t>Unpublished Opinion</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b/>
          <w:sz w:val="20"/>
        </w:rPr>
        <w:t>Original Appeal</w:t>
      </w: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Original Proceeding</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b/>
          <w:sz w:val="20"/>
        </w:rPr>
        <w:t>Review Granted</w:t>
      </w:r>
      <w:r w:rsidRPr="004D6007">
        <w:rPr>
          <w:rFonts w:ascii="Times New Roman" w:hAnsi="Times New Roman"/>
          <w:sz w:val="20"/>
        </w:rPr>
        <w:t xml:space="preserve"> XXX 10 Cal.App.5th 1292</w:t>
      </w: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Rehearing Granted</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__________________________________________________________________________________</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Cs/>
          <w:sz w:val="20"/>
        </w:rPr>
      </w:pPr>
      <w:r w:rsidRPr="004D6007">
        <w:rPr>
          <w:rFonts w:ascii="Times New Roman" w:hAnsi="Times New Roman"/>
          <w:b/>
          <w:sz w:val="20"/>
        </w:rPr>
        <w:t>Opinion No.</w:t>
      </w:r>
      <w:r w:rsidRPr="004D6007">
        <w:rPr>
          <w:rFonts w:ascii="Times New Roman" w:hAnsi="Times New Roman"/>
          <w:sz w:val="20"/>
        </w:rPr>
        <w:t xml:space="preserve"> S242153</w:t>
      </w:r>
    </w:p>
    <w:p w:rsidR="004D6007" w:rsidRPr="004D6007" w:rsidRDefault="004F60F7" w:rsidP="004D6007">
      <w:pPr>
        <w:spacing w:after="0" w:line="240" w:lineRule="auto"/>
        <w:jc w:val="left"/>
        <w:rPr>
          <w:rFonts w:ascii="Times New Roman" w:hAnsi="Times New Roman"/>
          <w:bCs/>
          <w:sz w:val="20"/>
        </w:rPr>
      </w:pPr>
      <w:r w:rsidRPr="004D6007">
        <w:rPr>
          <w:rFonts w:ascii="Times New Roman" w:hAnsi="Times New Roman"/>
          <w:b/>
          <w:sz w:val="20"/>
        </w:rPr>
        <w:t>Date Filed:</w:t>
      </w:r>
      <w:r w:rsidRPr="004D6007">
        <w:rPr>
          <w:rFonts w:ascii="Times New Roman" w:hAnsi="Times New Roman"/>
          <w:sz w:val="20"/>
        </w:rPr>
        <w:t xml:space="preserve"> December 27, 2018</w:t>
      </w: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__________________________________________________________________________________</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Cs/>
          <w:sz w:val="20"/>
        </w:rPr>
      </w:pPr>
      <w:r w:rsidRPr="004D6007">
        <w:rPr>
          <w:rFonts w:ascii="Times New Roman" w:hAnsi="Times New Roman"/>
          <w:b/>
          <w:sz w:val="20"/>
        </w:rPr>
        <w:t>Court:</w:t>
      </w:r>
      <w:r w:rsidRPr="004D6007">
        <w:rPr>
          <w:rFonts w:ascii="Times New Roman" w:hAnsi="Times New Roman"/>
          <w:sz w:val="20"/>
        </w:rPr>
        <w:t xml:space="preserve"> Superior</w:t>
      </w:r>
    </w:p>
    <w:p w:rsidR="004D6007" w:rsidRPr="004D6007" w:rsidRDefault="004F60F7" w:rsidP="004D6007">
      <w:pPr>
        <w:spacing w:after="0" w:line="240" w:lineRule="auto"/>
        <w:jc w:val="left"/>
        <w:rPr>
          <w:rFonts w:ascii="Times New Roman" w:hAnsi="Times New Roman"/>
          <w:bCs/>
          <w:sz w:val="20"/>
        </w:rPr>
      </w:pPr>
      <w:r w:rsidRPr="004D6007">
        <w:rPr>
          <w:rFonts w:ascii="Times New Roman" w:hAnsi="Times New Roman"/>
          <w:b/>
          <w:sz w:val="20"/>
        </w:rPr>
        <w:t>County:</w:t>
      </w:r>
      <w:r w:rsidRPr="004D6007">
        <w:rPr>
          <w:rFonts w:ascii="Times New Roman" w:hAnsi="Times New Roman"/>
          <w:sz w:val="20"/>
        </w:rPr>
        <w:t xml:space="preserve"> Ventura</w:t>
      </w:r>
    </w:p>
    <w:p w:rsidR="004D6007" w:rsidRPr="004D6007" w:rsidRDefault="004F60F7" w:rsidP="004D6007">
      <w:pPr>
        <w:spacing w:after="0" w:line="240" w:lineRule="auto"/>
        <w:ind w:left="720" w:hanging="720"/>
        <w:jc w:val="left"/>
        <w:rPr>
          <w:rFonts w:ascii="Times New Roman" w:hAnsi="Times New Roman"/>
          <w:bCs/>
          <w:sz w:val="20"/>
        </w:rPr>
      </w:pPr>
      <w:r w:rsidRPr="004D6007">
        <w:rPr>
          <w:rFonts w:ascii="Times New Roman" w:hAnsi="Times New Roman"/>
          <w:b/>
          <w:sz w:val="20"/>
        </w:rPr>
        <w:t>Judge:</w:t>
      </w:r>
      <w:r w:rsidRPr="004D6007">
        <w:rPr>
          <w:rFonts w:ascii="Times New Roman" w:hAnsi="Times New Roman"/>
          <w:sz w:val="20"/>
        </w:rPr>
        <w:t xml:space="preserve"> Brian John Back</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__________________________________________________________________________________</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Counsel:</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Elizabeth K. Horowitz, under appointment by the Supreme Court, and Donna Ford, under appointment by the Court of Appeal, for Defendant and Appel</w:t>
      </w:r>
      <w:r w:rsidRPr="004D6007">
        <w:rPr>
          <w:rFonts w:ascii="Times New Roman" w:hAnsi="Times New Roman"/>
          <w:sz w:val="20"/>
        </w:rPr>
        <w:t>lant.</w:t>
      </w:r>
    </w:p>
    <w:p w:rsidR="004D6007" w:rsidRPr="004D6007" w:rsidRDefault="004F60F7" w:rsidP="004D6007">
      <w:pPr>
        <w:spacing w:after="0" w:line="240" w:lineRule="auto"/>
        <w:jc w:val="left"/>
        <w:rPr>
          <w:rFonts w:ascii="Times New Roman" w:hAnsi="Times New Roman"/>
          <w:sz w:val="20"/>
        </w:rPr>
      </w:pP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 xml:space="preserve">Xavier Becerra, Attorney General, Gerald A. </w:t>
      </w:r>
      <w:proofErr w:type="spellStart"/>
      <w:r w:rsidRPr="004D6007">
        <w:rPr>
          <w:rFonts w:ascii="Times New Roman" w:hAnsi="Times New Roman"/>
          <w:sz w:val="20"/>
        </w:rPr>
        <w:t>Engler</w:t>
      </w:r>
      <w:proofErr w:type="spellEnd"/>
      <w:r w:rsidRPr="004D6007">
        <w:rPr>
          <w:rFonts w:ascii="Times New Roman" w:hAnsi="Times New Roman"/>
          <w:sz w:val="20"/>
        </w:rPr>
        <w:t xml:space="preserve">, Chief Assistant Attorney General, Lance E. Winters, Assistant Attorney General, Susan Sullivan </w:t>
      </w:r>
      <w:proofErr w:type="spellStart"/>
      <w:r w:rsidRPr="004D6007">
        <w:rPr>
          <w:rFonts w:ascii="Times New Roman" w:hAnsi="Times New Roman"/>
          <w:sz w:val="20"/>
        </w:rPr>
        <w:t>Pithey</w:t>
      </w:r>
      <w:proofErr w:type="spellEnd"/>
      <w:r w:rsidRPr="004D6007">
        <w:rPr>
          <w:rFonts w:ascii="Times New Roman" w:hAnsi="Times New Roman"/>
          <w:sz w:val="20"/>
        </w:rPr>
        <w:t>, Michael J. Wise, Michael C. Keller and Steven E. Mercer, Deputy Attorneys General, for Plainti</w:t>
      </w:r>
      <w:r w:rsidRPr="004D6007">
        <w:rPr>
          <w:rFonts w:ascii="Times New Roman" w:hAnsi="Times New Roman"/>
          <w:sz w:val="20"/>
        </w:rPr>
        <w:t>ff and Respondent.</w:t>
      </w:r>
    </w:p>
    <w:p w:rsidR="004D6007" w:rsidRPr="004D6007" w:rsidRDefault="004F60F7" w:rsidP="004D6007">
      <w:pPr>
        <w:spacing w:after="0" w:line="240" w:lineRule="auto"/>
        <w:jc w:val="left"/>
        <w:rPr>
          <w:rFonts w:ascii="Times New Roman" w:hAnsi="Times New Roman"/>
          <w:sz w:val="20"/>
        </w:rPr>
      </w:pP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br w:type="page"/>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b/>
          <w:sz w:val="20"/>
        </w:rPr>
        <w:t>Counsel who argued in Supreme Court (not intended for publication with opinion):</w:t>
      </w:r>
    </w:p>
    <w:p w:rsidR="004D6007" w:rsidRPr="004D6007" w:rsidRDefault="004F60F7" w:rsidP="004D6007">
      <w:pPr>
        <w:spacing w:after="0" w:line="240" w:lineRule="auto"/>
        <w:jc w:val="left"/>
        <w:rPr>
          <w:rFonts w:ascii="Times New Roman" w:hAnsi="Times New Roman"/>
          <w:b/>
          <w:sz w:val="20"/>
        </w:rPr>
      </w:pP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Elizabeth K. Horowitz</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Law Office of Elizabeth K. Horowitz</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5272 South Lewis Avenue, Suite 256</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Tulsa, OK  74105</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(424) 543-4710</w:t>
      </w:r>
    </w:p>
    <w:p w:rsidR="004D6007" w:rsidRPr="004D6007" w:rsidRDefault="004F60F7" w:rsidP="004D6007">
      <w:pPr>
        <w:spacing w:after="0" w:line="240" w:lineRule="auto"/>
        <w:jc w:val="left"/>
        <w:rPr>
          <w:rFonts w:ascii="Times New Roman" w:hAnsi="Times New Roman"/>
          <w:sz w:val="20"/>
        </w:rPr>
      </w:pP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Steven E. Mercer</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Deputy Attorney General</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300 South Spring Street, Suite 1702</w:t>
      </w:r>
    </w:p>
    <w:p w:rsidR="004D6007" w:rsidRPr="004D6007" w:rsidRDefault="004F60F7" w:rsidP="004D6007">
      <w:pPr>
        <w:spacing w:after="0" w:line="240" w:lineRule="auto"/>
        <w:jc w:val="left"/>
        <w:rPr>
          <w:rFonts w:ascii="Times New Roman" w:hAnsi="Times New Roman"/>
          <w:sz w:val="20"/>
        </w:rPr>
      </w:pPr>
      <w:r w:rsidRPr="004D6007">
        <w:rPr>
          <w:rFonts w:ascii="Times New Roman" w:hAnsi="Times New Roman"/>
          <w:sz w:val="20"/>
        </w:rPr>
        <w:t>Los Angeles, CA  90013</w:t>
      </w:r>
    </w:p>
    <w:p w:rsidR="004D6007" w:rsidRPr="004D6007" w:rsidRDefault="004F60F7" w:rsidP="004D6007">
      <w:pPr>
        <w:spacing w:after="0" w:line="240" w:lineRule="auto"/>
        <w:jc w:val="left"/>
        <w:rPr>
          <w:rFonts w:ascii="Times New Roman" w:hAnsi="Times New Roman"/>
          <w:b/>
          <w:sz w:val="20"/>
        </w:rPr>
      </w:pPr>
      <w:r w:rsidRPr="004D6007">
        <w:rPr>
          <w:rFonts w:ascii="Times New Roman" w:hAnsi="Times New Roman"/>
          <w:sz w:val="20"/>
        </w:rPr>
        <w:t>(213) 269-6126</w:t>
      </w:r>
    </w:p>
    <w:p w:rsidR="00592B36" w:rsidRPr="00490A51" w:rsidRDefault="004F60F7" w:rsidP="0098328C">
      <w:pPr>
        <w:rPr>
          <w:b/>
          <w:caps/>
        </w:rPr>
      </w:pPr>
    </w:p>
    <w:sectPr w:rsidR="00592B36" w:rsidRPr="00490A51" w:rsidSect="004D6007">
      <w:headerReference w:type="default" r:id="rId16"/>
      <w:footerReference w:type="default" r:id="rId17"/>
      <w:footnotePr>
        <w:numRestart w:val="eachSect"/>
      </w:footnotePr>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60F7">
      <w:pPr>
        <w:spacing w:after="0" w:line="240" w:lineRule="auto"/>
      </w:pPr>
      <w:r>
        <w:separator/>
      </w:r>
    </w:p>
  </w:endnote>
  <w:endnote w:type="continuationSeparator" w:id="0">
    <w:p w:rsidR="00000000" w:rsidRDefault="004F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7A" w:rsidRDefault="004F6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98" w:rsidRDefault="004F60F7">
    <w:pPr>
      <w:pStyle w:val="Footer"/>
    </w:pPr>
    <w:r>
      <w:fldChar w:fldCharType="begin"/>
    </w:r>
    <w:r>
      <w:instrText>PAGE</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7A" w:rsidRDefault="004F6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98" w:rsidRPr="00800934" w:rsidRDefault="004F60F7" w:rsidP="008009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AA" w:rsidRDefault="004F60F7">
    <w:pPr>
      <w:pStyle w:val="Footer"/>
    </w:pPr>
    <w:r>
      <w:fldChar w:fldCharType="begin"/>
    </w:r>
    <w:r>
      <w:instrText>PAGE</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AA" w:rsidRPr="005940AA" w:rsidRDefault="004F60F7" w:rsidP="005940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B3" w:rsidRPr="00302EB3" w:rsidRDefault="004F60F7" w:rsidP="0030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DA" w:rsidRDefault="004F60F7">
      <w:r>
        <w:separator/>
      </w:r>
    </w:p>
  </w:footnote>
  <w:footnote w:type="continuationSeparator" w:id="0">
    <w:p w:rsidR="000842DA" w:rsidRDefault="004F60F7">
      <w:pPr>
        <w:rPr>
          <w:sz w:val="22"/>
        </w:rPr>
      </w:pPr>
      <w:r>
        <w:rPr>
          <w:sz w:val="22"/>
        </w:rPr>
        <w:continuationSeparator/>
      </w:r>
    </w:p>
    <w:p w:rsidR="000842DA" w:rsidRDefault="004F60F7">
      <w:pPr>
        <w:rPr>
          <w:sz w:val="22"/>
        </w:rPr>
      </w:pPr>
    </w:p>
    <w:p w:rsidR="000842DA" w:rsidRDefault="004F60F7">
      <w:pPr>
        <w:rPr>
          <w:i/>
          <w:sz w:val="20"/>
        </w:rPr>
      </w:pPr>
      <w:r>
        <w:rPr>
          <w:i/>
          <w:sz w:val="20"/>
        </w:rPr>
        <w:t>(footnote continued from previous page)</w:t>
      </w:r>
    </w:p>
    <w:p w:rsidR="000842DA" w:rsidRDefault="004F60F7">
      <w:pPr>
        <w:rPr>
          <w:sz w:val="22"/>
        </w:rPr>
      </w:pPr>
    </w:p>
  </w:footnote>
  <w:footnote w:type="continuationNotice" w:id="1">
    <w:p w:rsidR="000842DA" w:rsidRDefault="004F60F7">
      <w:pPr>
        <w:rPr>
          <w:i/>
          <w:sz w:val="22"/>
        </w:rPr>
      </w:pPr>
    </w:p>
    <w:p w:rsidR="000842DA" w:rsidRDefault="004F60F7">
      <w:pPr>
        <w:jc w:val="right"/>
        <w:rPr>
          <w:i/>
          <w:sz w:val="20"/>
        </w:rPr>
      </w:pPr>
      <w:r>
        <w:rPr>
          <w:i/>
          <w:sz w:val="20"/>
        </w:rPr>
        <w:t>(footnote continued on next page)</w:t>
      </w:r>
    </w:p>
  </w:footnote>
  <w:footnote w:id="2">
    <w:p w:rsidR="00111FE5" w:rsidRDefault="004F60F7" w:rsidP="00111FE5">
      <w:pPr>
        <w:pStyle w:val="FootnoteText"/>
      </w:pPr>
      <w:r>
        <w:rPr>
          <w:rStyle w:val="FootnoteReference"/>
        </w:rPr>
        <w:t>*</w:t>
      </w:r>
      <w:r>
        <w:tab/>
        <w:t xml:space="preserve">Associate Justice of the Court of Appeal, Third Appellate District, </w:t>
      </w:r>
      <w:r>
        <w:t>assigned by the Chief Justice pursuant to article VI, section 6 of the California Constitution.</w:t>
      </w:r>
    </w:p>
  </w:footnote>
  <w:footnote w:id="3">
    <w:p w:rsidR="00111FE5" w:rsidRDefault="004F60F7">
      <w:pPr>
        <w:pStyle w:val="FootnoteText"/>
      </w:pPr>
      <w:r>
        <w:rPr>
          <w:rStyle w:val="FootnoteReference"/>
        </w:rPr>
        <w:t>*</w:t>
      </w:r>
      <w:r>
        <w:t xml:space="preserve"> </w:t>
      </w:r>
      <w:r>
        <w:tab/>
        <w:t>Associate Justice of the Court of Appeal, Third Appellate District, assigned by the Chief Justice pursuant to article VI, section 6 of the California Constit</w:t>
      </w:r>
      <w:r>
        <w: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7A" w:rsidRDefault="004F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98" w:rsidRDefault="004F60F7">
    <w:pPr>
      <w:pStyle w:val="Header"/>
    </w:pPr>
    <w:r>
      <w:t>I</w:t>
    </w:r>
    <w:r w:rsidRPr="005E0E4F">
      <w:rPr>
        <w:smallCaps/>
      </w:rPr>
      <w:t>n</w:t>
    </w:r>
    <w:r>
      <w:t xml:space="preserve"> </w:t>
    </w:r>
    <w:r w:rsidRPr="005E0E4F">
      <w:rPr>
        <w:smallCaps/>
      </w:rPr>
      <w:t>re</w:t>
    </w:r>
    <w:r>
      <w:t xml:space="preserve"> B.M.</w:t>
    </w:r>
  </w:p>
  <w:p w:rsidR="00401398" w:rsidRDefault="004F60F7">
    <w:pPr>
      <w:pStyle w:val="Header"/>
    </w:pPr>
    <w:r>
      <w:t>Opinion of the Court by Liu, J.</w:t>
    </w:r>
  </w:p>
  <w:p w:rsidR="00401398" w:rsidRDefault="004F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7A" w:rsidRDefault="004F6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AA" w:rsidRDefault="004F60F7" w:rsidP="005940AA">
    <w:pPr>
      <w:pStyle w:val="Header"/>
    </w:pPr>
    <w:r>
      <w:t>I</w:t>
    </w:r>
    <w:r w:rsidRPr="007C26C5">
      <w:rPr>
        <w:smallCaps/>
      </w:rPr>
      <w:t>n</w:t>
    </w:r>
    <w:r>
      <w:t xml:space="preserve"> </w:t>
    </w:r>
    <w:r w:rsidRPr="007C26C5">
      <w:rPr>
        <w:smallCaps/>
      </w:rPr>
      <w:t>re</w:t>
    </w:r>
    <w:r>
      <w:t xml:space="preserve"> B.M.</w:t>
    </w:r>
  </w:p>
  <w:p w:rsidR="005940AA" w:rsidRDefault="004F60F7" w:rsidP="005940AA">
    <w:pPr>
      <w:pStyle w:val="Header"/>
    </w:pPr>
    <w:r>
      <w:t>Chin, J., concurring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B3" w:rsidRPr="00302EB3" w:rsidRDefault="004F60F7" w:rsidP="00302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F7"/>
    <w:rsid w:val="004F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B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A51"/>
    <w:pPr>
      <w:spacing w:after="100" w:line="400" w:lineRule="exact"/>
      <w:jc w:val="both"/>
    </w:pPr>
    <w:rPr>
      <w:rFonts w:ascii="Century Schoolbook" w:hAnsi="Century Schoolbook"/>
      <w:sz w:val="27"/>
    </w:rPr>
  </w:style>
  <w:style w:type="paragraph" w:styleId="Heading1">
    <w:name w:val="heading 1"/>
    <w:basedOn w:val="Normal"/>
    <w:next w:val="Normal"/>
    <w:qFormat/>
    <w:rsid w:val="00490A51"/>
    <w:pPr>
      <w:keepNext/>
      <w:spacing w:before="140" w:line="240" w:lineRule="atLeast"/>
      <w:jc w:val="center"/>
      <w:outlineLvl w:val="0"/>
    </w:pPr>
    <w:rPr>
      <w:b/>
      <w:smallCaps/>
    </w:rPr>
  </w:style>
  <w:style w:type="paragraph" w:styleId="Heading2">
    <w:name w:val="heading 2"/>
    <w:basedOn w:val="Normal"/>
    <w:next w:val="Normal"/>
    <w:qFormat/>
    <w:rsid w:val="00490A5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90A51"/>
    <w:pPr>
      <w:keepNext/>
      <w:tabs>
        <w:tab w:val="left" w:pos="1584"/>
      </w:tabs>
      <w:spacing w:before="140" w:line="240" w:lineRule="atLeast"/>
      <w:ind w:left="1584" w:hanging="432"/>
      <w:jc w:val="left"/>
      <w:outlineLvl w:val="2"/>
    </w:pPr>
    <w:rPr>
      <w:i/>
    </w:rPr>
  </w:style>
  <w:style w:type="paragraph" w:styleId="Heading4">
    <w:name w:val="heading 4"/>
    <w:basedOn w:val="Normal"/>
    <w:rsid w:val="00490A51"/>
    <w:pPr>
      <w:keepNext/>
      <w:tabs>
        <w:tab w:val="left" w:pos="2016"/>
      </w:tabs>
      <w:spacing w:before="140" w:line="240" w:lineRule="atLeast"/>
      <w:ind w:left="2016" w:hanging="432"/>
      <w:jc w:val="left"/>
      <w:outlineLvl w:val="3"/>
    </w:pPr>
    <w:rPr>
      <w:i/>
    </w:rPr>
  </w:style>
  <w:style w:type="paragraph" w:styleId="Heading5">
    <w:name w:val="heading 5"/>
    <w:basedOn w:val="Normal"/>
    <w:rsid w:val="00490A5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90A51"/>
    <w:pPr>
      <w:ind w:left="720"/>
    </w:pPr>
  </w:style>
  <w:style w:type="paragraph" w:styleId="Footer">
    <w:name w:val="footer"/>
    <w:basedOn w:val="Normal"/>
    <w:qFormat/>
    <w:rsid w:val="00490A51"/>
    <w:pPr>
      <w:tabs>
        <w:tab w:val="center" w:pos="3960"/>
        <w:tab w:val="right" w:pos="10080"/>
      </w:tabs>
      <w:spacing w:after="0" w:line="240" w:lineRule="auto"/>
      <w:jc w:val="center"/>
    </w:pPr>
    <w:rPr>
      <w:sz w:val="22"/>
    </w:rPr>
  </w:style>
  <w:style w:type="paragraph" w:styleId="Header">
    <w:name w:val="header"/>
    <w:basedOn w:val="Normal"/>
    <w:link w:val="HeaderChar"/>
    <w:qFormat/>
    <w:rsid w:val="00490A51"/>
    <w:pPr>
      <w:tabs>
        <w:tab w:val="center" w:pos="3960"/>
        <w:tab w:val="right" w:pos="10080"/>
      </w:tabs>
      <w:spacing w:after="80" w:line="240" w:lineRule="auto"/>
      <w:jc w:val="center"/>
    </w:pPr>
    <w:rPr>
      <w:sz w:val="22"/>
    </w:rPr>
  </w:style>
  <w:style w:type="character" w:styleId="FootnoteReference">
    <w:name w:val="footnote reference"/>
    <w:uiPriority w:val="99"/>
    <w:rsid w:val="00490A5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490A51"/>
    <w:pPr>
      <w:spacing w:line="300" w:lineRule="exact"/>
    </w:pPr>
  </w:style>
  <w:style w:type="paragraph" w:customStyle="1" w:styleId="Title1">
    <w:name w:val="Title1"/>
    <w:basedOn w:val="Normal"/>
    <w:rsid w:val="00490A51"/>
    <w:pPr>
      <w:tabs>
        <w:tab w:val="left" w:pos="5760"/>
        <w:tab w:val="left" w:pos="6480"/>
      </w:tabs>
      <w:spacing w:line="240" w:lineRule="atLeast"/>
    </w:pPr>
  </w:style>
  <w:style w:type="paragraph" w:customStyle="1" w:styleId="Recommend">
    <w:name w:val="Recommend"/>
    <w:basedOn w:val="Normal"/>
    <w:rsid w:val="00490A51"/>
  </w:style>
  <w:style w:type="paragraph" w:customStyle="1" w:styleId="Summary">
    <w:name w:val="Summary"/>
    <w:basedOn w:val="Normal"/>
    <w:rsid w:val="00490A51"/>
    <w:pPr>
      <w:ind w:left="2160" w:hanging="2160"/>
    </w:pPr>
  </w:style>
  <w:style w:type="paragraph" w:customStyle="1" w:styleId="Text">
    <w:name w:val="Text"/>
    <w:basedOn w:val="Normal"/>
    <w:rsid w:val="00490A51"/>
    <w:pPr>
      <w:tabs>
        <w:tab w:val="left" w:pos="720"/>
        <w:tab w:val="left" w:pos="1440"/>
        <w:tab w:val="left" w:pos="2160"/>
        <w:tab w:val="center" w:pos="4320"/>
      </w:tabs>
      <w:spacing w:line="480" w:lineRule="atLeast"/>
      <w:ind w:firstLine="540"/>
    </w:pPr>
  </w:style>
  <w:style w:type="paragraph" w:styleId="Date">
    <w:name w:val="Date"/>
    <w:basedOn w:val="Normal"/>
    <w:semiHidden/>
    <w:rsid w:val="00490A51"/>
    <w:pPr>
      <w:jc w:val="right"/>
    </w:pPr>
  </w:style>
  <w:style w:type="character" w:styleId="PageNumber">
    <w:name w:val="page number"/>
    <w:basedOn w:val="DefaultParagraphFont"/>
    <w:rsid w:val="00490A51"/>
  </w:style>
  <w:style w:type="paragraph" w:customStyle="1" w:styleId="subject">
    <w:name w:val="subject"/>
    <w:basedOn w:val="Normal"/>
    <w:rsid w:val="00490A51"/>
    <w:pPr>
      <w:tabs>
        <w:tab w:val="left" w:pos="1008"/>
      </w:tabs>
      <w:ind w:left="990" w:hanging="990"/>
    </w:pPr>
    <w:rPr>
      <w:b/>
    </w:rPr>
  </w:style>
  <w:style w:type="paragraph" w:customStyle="1" w:styleId="Titles">
    <w:name w:val="Titles"/>
    <w:basedOn w:val="Normal"/>
    <w:rsid w:val="00490A51"/>
    <w:pPr>
      <w:tabs>
        <w:tab w:val="left" w:pos="2160"/>
      </w:tabs>
      <w:ind w:left="2160" w:hanging="2160"/>
    </w:pPr>
    <w:rPr>
      <w:b/>
    </w:rPr>
  </w:style>
  <w:style w:type="paragraph" w:styleId="TOAHeading">
    <w:name w:val="toa heading"/>
    <w:basedOn w:val="Normal"/>
    <w:next w:val="Normal"/>
    <w:semiHidden/>
    <w:rsid w:val="00490A51"/>
    <w:pPr>
      <w:spacing w:before="120"/>
    </w:pPr>
    <w:rPr>
      <w:b/>
    </w:rPr>
  </w:style>
  <w:style w:type="paragraph" w:styleId="TOC1">
    <w:name w:val="toc 1"/>
    <w:basedOn w:val="Normal"/>
    <w:next w:val="Normal"/>
    <w:autoRedefine/>
    <w:semiHidden/>
    <w:rsid w:val="00490A51"/>
  </w:style>
  <w:style w:type="paragraph" w:styleId="TOC2">
    <w:name w:val="toc 2"/>
    <w:basedOn w:val="Normal"/>
    <w:next w:val="Normal"/>
    <w:autoRedefine/>
    <w:semiHidden/>
    <w:rsid w:val="00490A51"/>
    <w:pPr>
      <w:ind w:left="259"/>
    </w:pPr>
  </w:style>
  <w:style w:type="paragraph" w:styleId="TOC3">
    <w:name w:val="toc 3"/>
    <w:basedOn w:val="Normal"/>
    <w:next w:val="Normal"/>
    <w:autoRedefine/>
    <w:semiHidden/>
    <w:rsid w:val="00490A51"/>
    <w:pPr>
      <w:ind w:left="520"/>
    </w:pPr>
  </w:style>
  <w:style w:type="paragraph" w:styleId="TOC4">
    <w:name w:val="toc 4"/>
    <w:basedOn w:val="Normal"/>
    <w:next w:val="Normal"/>
    <w:autoRedefine/>
    <w:semiHidden/>
    <w:rsid w:val="00490A51"/>
    <w:pPr>
      <w:ind w:left="780"/>
    </w:pPr>
  </w:style>
  <w:style w:type="paragraph" w:styleId="TOC5">
    <w:name w:val="toc 5"/>
    <w:basedOn w:val="Normal"/>
    <w:next w:val="Normal"/>
    <w:autoRedefine/>
    <w:semiHidden/>
    <w:rsid w:val="00490A51"/>
    <w:pPr>
      <w:ind w:left="1040"/>
    </w:pPr>
  </w:style>
  <w:style w:type="paragraph" w:styleId="TOC6">
    <w:name w:val="toc 6"/>
    <w:basedOn w:val="Normal"/>
    <w:next w:val="Normal"/>
    <w:autoRedefine/>
    <w:semiHidden/>
    <w:rsid w:val="00490A51"/>
    <w:pPr>
      <w:ind w:left="1300"/>
    </w:pPr>
  </w:style>
  <w:style w:type="paragraph" w:styleId="TOC7">
    <w:name w:val="toc 7"/>
    <w:basedOn w:val="Normal"/>
    <w:next w:val="Normal"/>
    <w:autoRedefine/>
    <w:semiHidden/>
    <w:rsid w:val="00490A51"/>
    <w:pPr>
      <w:ind w:left="1560"/>
    </w:pPr>
  </w:style>
  <w:style w:type="paragraph" w:styleId="TOC8">
    <w:name w:val="toc 8"/>
    <w:basedOn w:val="Normal"/>
    <w:next w:val="Normal"/>
    <w:autoRedefine/>
    <w:semiHidden/>
    <w:rsid w:val="00490A51"/>
    <w:pPr>
      <w:ind w:left="1820"/>
    </w:pPr>
  </w:style>
  <w:style w:type="paragraph" w:styleId="TOC9">
    <w:name w:val="toc 9"/>
    <w:basedOn w:val="Normal"/>
    <w:next w:val="Normal"/>
    <w:autoRedefine/>
    <w:semiHidden/>
    <w:rsid w:val="00490A51"/>
    <w:pPr>
      <w:ind w:left="2080"/>
    </w:pPr>
  </w:style>
  <w:style w:type="paragraph" w:customStyle="1" w:styleId="Contents">
    <w:name w:val="Contents"/>
    <w:basedOn w:val="Normal"/>
    <w:rsid w:val="00490A51"/>
    <w:pPr>
      <w:jc w:val="center"/>
    </w:pPr>
    <w:rPr>
      <w:b/>
      <w:spacing w:val="100"/>
    </w:rPr>
  </w:style>
  <w:style w:type="character" w:styleId="CommentReference">
    <w:name w:val="annotation reference"/>
    <w:uiPriority w:val="99"/>
    <w:semiHidden/>
    <w:unhideWhenUsed/>
    <w:rsid w:val="00364692"/>
    <w:rPr>
      <w:sz w:val="16"/>
      <w:szCs w:val="16"/>
    </w:rPr>
  </w:style>
  <w:style w:type="paragraph" w:styleId="CommentText">
    <w:name w:val="annotation text"/>
    <w:basedOn w:val="Normal"/>
    <w:link w:val="CommentTextChar"/>
    <w:uiPriority w:val="99"/>
    <w:semiHidden/>
    <w:unhideWhenUsed/>
    <w:rsid w:val="00364692"/>
    <w:rPr>
      <w:sz w:val="20"/>
    </w:rPr>
  </w:style>
  <w:style w:type="character" w:customStyle="1" w:styleId="CommentTextChar">
    <w:name w:val="Comment Text Char"/>
    <w:basedOn w:val="DefaultParagraphFont"/>
    <w:link w:val="CommentText"/>
    <w:uiPriority w:val="99"/>
    <w:semiHidden/>
    <w:rsid w:val="00364692"/>
  </w:style>
  <w:style w:type="paragraph" w:styleId="CommentSubject">
    <w:name w:val="annotation subject"/>
    <w:basedOn w:val="CommentText"/>
    <w:next w:val="CommentText"/>
    <w:link w:val="CommentSubjectChar"/>
    <w:uiPriority w:val="99"/>
    <w:semiHidden/>
    <w:unhideWhenUsed/>
    <w:rsid w:val="00364692"/>
    <w:rPr>
      <w:b/>
      <w:bCs/>
    </w:rPr>
  </w:style>
  <w:style w:type="character" w:customStyle="1" w:styleId="CommentSubjectChar">
    <w:name w:val="Comment Subject Char"/>
    <w:link w:val="CommentSubject"/>
    <w:uiPriority w:val="99"/>
    <w:semiHidden/>
    <w:rsid w:val="00364692"/>
    <w:rPr>
      <w:b/>
      <w:bCs/>
    </w:rPr>
  </w:style>
  <w:style w:type="paragraph" w:styleId="Revision">
    <w:name w:val="Revision"/>
    <w:hidden/>
    <w:uiPriority w:val="99"/>
    <w:semiHidden/>
    <w:rsid w:val="00364692"/>
    <w:rPr>
      <w:sz w:val="26"/>
    </w:rPr>
  </w:style>
  <w:style w:type="paragraph" w:styleId="BalloonText">
    <w:name w:val="Balloon Text"/>
    <w:basedOn w:val="Normal"/>
    <w:link w:val="BalloonTextChar"/>
    <w:uiPriority w:val="99"/>
    <w:semiHidden/>
    <w:unhideWhenUsed/>
    <w:rsid w:val="00364692"/>
    <w:rPr>
      <w:rFonts w:ascii="Segoe UI" w:hAnsi="Segoe UI" w:cs="Segoe UI"/>
      <w:sz w:val="18"/>
      <w:szCs w:val="18"/>
    </w:rPr>
  </w:style>
  <w:style w:type="character" w:customStyle="1" w:styleId="BalloonTextChar">
    <w:name w:val="Balloon Text Char"/>
    <w:link w:val="BalloonText"/>
    <w:uiPriority w:val="99"/>
    <w:semiHidden/>
    <w:rsid w:val="00364692"/>
    <w:rPr>
      <w:rFonts w:ascii="Segoe UI" w:hAnsi="Segoe UI" w:cs="Segoe UI"/>
      <w:sz w:val="18"/>
      <w:szCs w:val="18"/>
    </w:rPr>
  </w:style>
  <w:style w:type="paragraph" w:styleId="BodyText">
    <w:name w:val="Body Text"/>
    <w:basedOn w:val="Normal"/>
    <w:link w:val="BodyTextChar"/>
    <w:qFormat/>
    <w:rsid w:val="00490A51"/>
  </w:style>
  <w:style w:type="character" w:customStyle="1" w:styleId="BodyTextChar">
    <w:name w:val="Body Text Char"/>
    <w:link w:val="BodyText"/>
    <w:rsid w:val="00490A51"/>
    <w:rPr>
      <w:rFonts w:ascii="Century Schoolbook" w:hAnsi="Century Schoolbook"/>
      <w:sz w:val="27"/>
    </w:rPr>
  </w:style>
  <w:style w:type="paragraph" w:styleId="Salutation">
    <w:name w:val="Salutation"/>
    <w:basedOn w:val="Normal"/>
    <w:next w:val="Normal"/>
    <w:link w:val="SalutationChar"/>
    <w:uiPriority w:val="99"/>
    <w:semiHidden/>
    <w:unhideWhenUsed/>
    <w:rsid w:val="00FC7121"/>
  </w:style>
  <w:style w:type="character" w:customStyle="1" w:styleId="SalutationChar">
    <w:name w:val="Salutation Char"/>
    <w:link w:val="Salutation"/>
    <w:uiPriority w:val="99"/>
    <w:semiHidden/>
    <w:rsid w:val="00FC7121"/>
    <w:rPr>
      <w:rFonts w:ascii="Century Schoolbook" w:hAnsi="Century Schoolbook"/>
      <w:sz w:val="27"/>
    </w:rPr>
  </w:style>
  <w:style w:type="character" w:styleId="Emphasis">
    <w:name w:val="Emphasis"/>
    <w:uiPriority w:val="20"/>
    <w:qFormat/>
    <w:rsid w:val="00294DEC"/>
    <w:rPr>
      <w:i/>
      <w:iCs/>
    </w:rPr>
  </w:style>
  <w:style w:type="character" w:customStyle="1" w:styleId="FootnoteTextChar">
    <w:name w:val="Footnote Text Char"/>
    <w:link w:val="FootnoteText"/>
    <w:uiPriority w:val="99"/>
    <w:rsid w:val="00111FE5"/>
    <w:rPr>
      <w:rFonts w:ascii="Century Schoolbook" w:hAnsi="Century Schoolbook"/>
      <w:sz w:val="27"/>
    </w:rPr>
  </w:style>
  <w:style w:type="character" w:customStyle="1" w:styleId="HeaderChar">
    <w:name w:val="Header Char"/>
    <w:basedOn w:val="DefaultParagraphFont"/>
    <w:link w:val="Header"/>
    <w:rsid w:val="005940AA"/>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5369</Words>
  <Characters>26325</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2018-12-27T17:00:00Z</dcterms:created>
  <dcterms:modified xsi:type="dcterms:W3CDTF">2018-12-27T17:04:00Z</dcterms:modified>
</cp:coreProperties>
</file>