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9C769" w14:textId="77777777" w:rsidR="001D2647" w:rsidRDefault="001D2647" w:rsidP="001D2647">
      <w:pPr>
        <w:tabs>
          <w:tab w:val="left" w:pos="1440"/>
          <w:tab w:val="left" w:pos="4680"/>
          <w:tab w:val="center" w:pos="7200"/>
        </w:tabs>
        <w:spacing w:after="0"/>
        <w:jc w:val="center"/>
        <w:rPr>
          <w:sz w:val="36"/>
        </w:rPr>
      </w:pPr>
      <w:r>
        <w:rPr>
          <w:b/>
          <w:sz w:val="36"/>
        </w:rPr>
        <w:t>IN THE SUPREME COURT OF CALIFORNIA</w:t>
      </w:r>
    </w:p>
    <w:p w14:paraId="0413DE11" w14:textId="77777777" w:rsidR="001D2647" w:rsidRDefault="001D2647" w:rsidP="001D2647">
      <w:pPr>
        <w:tabs>
          <w:tab w:val="left" w:pos="1440"/>
          <w:tab w:val="left" w:pos="4680"/>
          <w:tab w:val="center" w:pos="7200"/>
        </w:tabs>
        <w:spacing w:after="0"/>
        <w:jc w:val="center"/>
      </w:pPr>
    </w:p>
    <w:p w14:paraId="093ADA44" w14:textId="77777777" w:rsidR="001D2647" w:rsidRDefault="001D2647" w:rsidP="001D2647">
      <w:pPr>
        <w:tabs>
          <w:tab w:val="left" w:pos="1440"/>
          <w:tab w:val="left" w:pos="4680"/>
          <w:tab w:val="center" w:pos="7200"/>
        </w:tabs>
        <w:spacing w:after="0"/>
        <w:jc w:val="center"/>
      </w:pPr>
      <w:r>
        <w:t>REBECCA MEGAN QUIGLEY,</w:t>
      </w:r>
    </w:p>
    <w:p w14:paraId="31D41D00" w14:textId="77777777" w:rsidR="001D2647" w:rsidRDefault="001D2647" w:rsidP="001D2647">
      <w:pPr>
        <w:tabs>
          <w:tab w:val="left" w:pos="1440"/>
          <w:tab w:val="left" w:pos="4680"/>
          <w:tab w:val="center" w:pos="7200"/>
        </w:tabs>
        <w:spacing w:after="0"/>
        <w:jc w:val="center"/>
      </w:pPr>
      <w:r>
        <w:t>Plaintiff and Appellant</w:t>
      </w:r>
      <w:r w:rsidR="00E705AA">
        <w:t>,</w:t>
      </w:r>
    </w:p>
    <w:p w14:paraId="2F13910B" w14:textId="77777777" w:rsidR="001D2647" w:rsidRDefault="001D2647" w:rsidP="001D2647">
      <w:pPr>
        <w:tabs>
          <w:tab w:val="left" w:pos="1440"/>
          <w:tab w:val="left" w:pos="4680"/>
          <w:tab w:val="center" w:pos="7200"/>
        </w:tabs>
        <w:spacing w:after="0"/>
        <w:jc w:val="center"/>
      </w:pPr>
      <w:r>
        <w:t>v.</w:t>
      </w:r>
    </w:p>
    <w:p w14:paraId="2B537AD5" w14:textId="77777777" w:rsidR="001D2647" w:rsidRDefault="001D2647" w:rsidP="001D2647">
      <w:pPr>
        <w:tabs>
          <w:tab w:val="left" w:pos="1440"/>
          <w:tab w:val="left" w:pos="4680"/>
          <w:tab w:val="center" w:pos="7200"/>
        </w:tabs>
        <w:spacing w:after="0"/>
        <w:jc w:val="center"/>
      </w:pPr>
      <w:r>
        <w:t>GARDEN VALLEY FIRE PROTECTION DISTRICT et al.,</w:t>
      </w:r>
    </w:p>
    <w:p w14:paraId="3C9C0E14" w14:textId="77777777" w:rsidR="001D2647" w:rsidRDefault="001D2647" w:rsidP="001D2647">
      <w:pPr>
        <w:tabs>
          <w:tab w:val="left" w:pos="1440"/>
          <w:tab w:val="left" w:pos="4680"/>
          <w:tab w:val="center" w:pos="7200"/>
        </w:tabs>
        <w:spacing w:after="0"/>
        <w:jc w:val="center"/>
      </w:pPr>
      <w:r>
        <w:t>Defendants and Respondents</w:t>
      </w:r>
      <w:r w:rsidR="00E705AA">
        <w:t>.</w:t>
      </w:r>
    </w:p>
    <w:p w14:paraId="49D4E0CB" w14:textId="77777777" w:rsidR="001D2647" w:rsidRDefault="001D2647" w:rsidP="001D2647">
      <w:pPr>
        <w:tabs>
          <w:tab w:val="left" w:pos="1440"/>
          <w:tab w:val="left" w:pos="4680"/>
          <w:tab w:val="center" w:pos="7200"/>
        </w:tabs>
        <w:spacing w:after="0"/>
        <w:jc w:val="center"/>
      </w:pPr>
    </w:p>
    <w:p w14:paraId="06C0A92F" w14:textId="77777777" w:rsidR="001D2647" w:rsidRDefault="001D2647" w:rsidP="001D2647">
      <w:pPr>
        <w:tabs>
          <w:tab w:val="left" w:pos="1440"/>
          <w:tab w:val="left" w:pos="4680"/>
          <w:tab w:val="center" w:pos="7200"/>
        </w:tabs>
        <w:spacing w:after="0"/>
        <w:jc w:val="center"/>
      </w:pPr>
      <w:r>
        <w:t>S242250</w:t>
      </w:r>
    </w:p>
    <w:p w14:paraId="282736F5" w14:textId="77777777" w:rsidR="001D2647" w:rsidRDefault="001D2647" w:rsidP="001D2647">
      <w:pPr>
        <w:tabs>
          <w:tab w:val="left" w:pos="1440"/>
          <w:tab w:val="left" w:pos="4680"/>
          <w:tab w:val="center" w:pos="7200"/>
        </w:tabs>
        <w:spacing w:after="0"/>
        <w:jc w:val="center"/>
      </w:pPr>
    </w:p>
    <w:p w14:paraId="03742867" w14:textId="77777777" w:rsidR="001D2647" w:rsidRDefault="001D2647" w:rsidP="00C05156">
      <w:pPr>
        <w:tabs>
          <w:tab w:val="left" w:pos="1440"/>
          <w:tab w:val="left" w:pos="4680"/>
          <w:tab w:val="center" w:pos="7200"/>
        </w:tabs>
        <w:spacing w:after="0"/>
        <w:jc w:val="center"/>
        <w:outlineLvl w:val="0"/>
      </w:pPr>
      <w:r>
        <w:t>Third Appellate District</w:t>
      </w:r>
    </w:p>
    <w:p w14:paraId="1A3EB144" w14:textId="77777777" w:rsidR="001D2647" w:rsidRDefault="001D2647" w:rsidP="001D2647">
      <w:pPr>
        <w:tabs>
          <w:tab w:val="left" w:pos="1440"/>
          <w:tab w:val="left" w:pos="4680"/>
          <w:tab w:val="center" w:pos="7200"/>
        </w:tabs>
        <w:spacing w:after="0"/>
        <w:jc w:val="center"/>
      </w:pPr>
      <w:r>
        <w:t>C079270</w:t>
      </w:r>
    </w:p>
    <w:p w14:paraId="722339DE" w14:textId="77777777" w:rsidR="001D2647" w:rsidRDefault="001D2647" w:rsidP="001D2647">
      <w:pPr>
        <w:tabs>
          <w:tab w:val="left" w:pos="1440"/>
          <w:tab w:val="left" w:pos="4680"/>
          <w:tab w:val="center" w:pos="7200"/>
        </w:tabs>
        <w:spacing w:after="0"/>
        <w:jc w:val="center"/>
      </w:pPr>
    </w:p>
    <w:p w14:paraId="4C6FF461" w14:textId="77777777" w:rsidR="001D2647" w:rsidRDefault="001D2647" w:rsidP="00C05156">
      <w:pPr>
        <w:tabs>
          <w:tab w:val="left" w:pos="1440"/>
          <w:tab w:val="left" w:pos="4680"/>
          <w:tab w:val="center" w:pos="7200"/>
        </w:tabs>
        <w:spacing w:after="0"/>
        <w:jc w:val="center"/>
        <w:outlineLvl w:val="0"/>
      </w:pPr>
      <w:r>
        <w:t>Plumas County</w:t>
      </w:r>
      <w:r w:rsidR="00E705AA">
        <w:t xml:space="preserve"> Superior Court</w:t>
      </w:r>
    </w:p>
    <w:p w14:paraId="7DFF1B74" w14:textId="77777777" w:rsidR="001D2647" w:rsidRDefault="001D2647" w:rsidP="001D2647">
      <w:pPr>
        <w:tabs>
          <w:tab w:val="left" w:pos="1440"/>
          <w:tab w:val="left" w:pos="4680"/>
          <w:tab w:val="center" w:pos="7200"/>
        </w:tabs>
        <w:spacing w:after="0"/>
        <w:jc w:val="center"/>
      </w:pPr>
      <w:r>
        <w:t>CV1000225</w:t>
      </w:r>
    </w:p>
    <w:p w14:paraId="3ECD38C3" w14:textId="77777777" w:rsidR="001D2647" w:rsidRDefault="001D2647" w:rsidP="001D2647">
      <w:pPr>
        <w:pBdr>
          <w:bottom w:val="single" w:sz="4" w:space="1" w:color="auto"/>
        </w:pBdr>
        <w:tabs>
          <w:tab w:val="left" w:pos="1440"/>
          <w:tab w:val="left" w:pos="4680"/>
          <w:tab w:val="center" w:pos="7200"/>
        </w:tabs>
        <w:spacing w:after="0"/>
        <w:jc w:val="center"/>
      </w:pPr>
    </w:p>
    <w:p w14:paraId="620761FC" w14:textId="77777777" w:rsidR="001D2647" w:rsidRDefault="001D2647" w:rsidP="001D2647">
      <w:pPr>
        <w:tabs>
          <w:tab w:val="left" w:pos="1440"/>
          <w:tab w:val="left" w:pos="4680"/>
          <w:tab w:val="center" w:pos="7200"/>
        </w:tabs>
        <w:spacing w:after="0"/>
        <w:jc w:val="center"/>
      </w:pPr>
    </w:p>
    <w:p w14:paraId="5046F5E2" w14:textId="4B27B762" w:rsidR="001D2647" w:rsidRDefault="00A2183E" w:rsidP="001D2647">
      <w:pPr>
        <w:tabs>
          <w:tab w:val="left" w:pos="1440"/>
          <w:tab w:val="left" w:pos="4680"/>
          <w:tab w:val="center" w:pos="7200"/>
        </w:tabs>
        <w:spacing w:after="0"/>
        <w:jc w:val="center"/>
      </w:pPr>
      <w:r>
        <w:t>July 15</w:t>
      </w:r>
      <w:r w:rsidR="001D2647">
        <w:t>, 2019</w:t>
      </w:r>
    </w:p>
    <w:p w14:paraId="4D53CA2C" w14:textId="77777777" w:rsidR="001D2647" w:rsidRDefault="001D2647" w:rsidP="001D2647">
      <w:pPr>
        <w:tabs>
          <w:tab w:val="left" w:pos="1440"/>
          <w:tab w:val="left" w:pos="4680"/>
          <w:tab w:val="center" w:pos="7200"/>
        </w:tabs>
        <w:spacing w:after="0"/>
        <w:jc w:val="center"/>
      </w:pPr>
    </w:p>
    <w:p w14:paraId="227FE97B" w14:textId="43EB1C89" w:rsidR="001D2647" w:rsidRDefault="001D2647" w:rsidP="001D2647">
      <w:pPr>
        <w:tabs>
          <w:tab w:val="left" w:pos="1440"/>
          <w:tab w:val="left" w:pos="4680"/>
          <w:tab w:val="center" w:pos="7200"/>
        </w:tabs>
        <w:spacing w:after="0"/>
        <w:jc w:val="left"/>
      </w:pPr>
      <w:r>
        <w:t xml:space="preserve">Justice Kruger authored the opinion of the </w:t>
      </w:r>
      <w:r w:rsidR="00BF4C70">
        <w:t>C</w:t>
      </w:r>
      <w:r>
        <w:t xml:space="preserve">ourt, in which </w:t>
      </w:r>
      <w:r w:rsidR="00A2183E">
        <w:t>Chief Justice Cantil-Sakauye</w:t>
      </w:r>
      <w:r w:rsidR="00BB78E6">
        <w:t xml:space="preserve"> and </w:t>
      </w:r>
      <w:r w:rsidR="00A2183E">
        <w:t>Justices Chin, Corrigan, Liu, Cuéllar, and Groban</w:t>
      </w:r>
      <w:r>
        <w:t xml:space="preserve"> concurred. </w:t>
      </w:r>
    </w:p>
    <w:p w14:paraId="727F2EF1" w14:textId="77777777" w:rsidR="001D2647" w:rsidRPr="001D2647" w:rsidRDefault="001D2647" w:rsidP="00B0250D">
      <w:pPr>
        <w:pBdr>
          <w:bottom w:val="single" w:sz="4" w:space="1" w:color="auto"/>
        </w:pBdr>
        <w:tabs>
          <w:tab w:val="left" w:pos="1440"/>
          <w:tab w:val="left" w:pos="4680"/>
          <w:tab w:val="center" w:pos="7200"/>
        </w:tabs>
        <w:spacing w:line="480" w:lineRule="atLeast"/>
        <w:jc w:val="left"/>
      </w:pPr>
      <w:bookmarkStart w:id="0" w:name="Return"/>
      <w:bookmarkEnd w:id="0"/>
    </w:p>
    <w:p w14:paraId="1438C153" w14:textId="77777777" w:rsidR="001D2647" w:rsidRDefault="001D2647">
      <w:pPr>
        <w:tabs>
          <w:tab w:val="left" w:pos="1440"/>
          <w:tab w:val="left" w:pos="4680"/>
          <w:tab w:val="center" w:pos="7200"/>
        </w:tabs>
        <w:spacing w:line="240" w:lineRule="atLeast"/>
        <w:sectPr w:rsidR="001D2647" w:rsidSect="001D2647">
          <w:headerReference w:type="default" r:id="rId7"/>
          <w:footerReference w:type="default" r:id="rId8"/>
          <w:pgSz w:w="12240" w:h="15840"/>
          <w:pgMar w:top="1800" w:right="2160" w:bottom="1440" w:left="2160" w:header="720" w:footer="720" w:gutter="0"/>
          <w:cols w:space="720"/>
          <w:titlePg/>
          <w:docGrid w:linePitch="367"/>
        </w:sectPr>
      </w:pPr>
    </w:p>
    <w:p w14:paraId="605D44AC" w14:textId="77777777" w:rsidR="001D2647" w:rsidRDefault="001D2647" w:rsidP="001D2647">
      <w:pPr>
        <w:tabs>
          <w:tab w:val="left" w:pos="1440"/>
          <w:tab w:val="left" w:pos="4680"/>
          <w:tab w:val="center" w:pos="7200"/>
        </w:tabs>
        <w:jc w:val="center"/>
      </w:pPr>
      <w:r>
        <w:lastRenderedPageBreak/>
        <w:t>QUIGLEY v. GARDEN VALLEY FIRE PROTECTION DISTRICT</w:t>
      </w:r>
    </w:p>
    <w:p w14:paraId="75206B2C" w14:textId="77777777" w:rsidR="001D2647" w:rsidRDefault="001D2647" w:rsidP="001D2647">
      <w:pPr>
        <w:tabs>
          <w:tab w:val="left" w:pos="1440"/>
          <w:tab w:val="left" w:pos="4680"/>
          <w:tab w:val="center" w:pos="7200"/>
        </w:tabs>
        <w:jc w:val="center"/>
      </w:pPr>
      <w:r>
        <w:t>S242250</w:t>
      </w:r>
    </w:p>
    <w:p w14:paraId="77BC7E60" w14:textId="77777777" w:rsidR="001D2647" w:rsidRDefault="001D2647" w:rsidP="001D2647">
      <w:pPr>
        <w:tabs>
          <w:tab w:val="left" w:pos="1440"/>
          <w:tab w:val="left" w:pos="4680"/>
          <w:tab w:val="center" w:pos="7200"/>
        </w:tabs>
        <w:jc w:val="center"/>
      </w:pPr>
    </w:p>
    <w:p w14:paraId="154931C6" w14:textId="77777777" w:rsidR="001D2647" w:rsidRDefault="001D2647" w:rsidP="00C05156">
      <w:pPr>
        <w:tabs>
          <w:tab w:val="left" w:pos="1440"/>
          <w:tab w:val="left" w:pos="4680"/>
          <w:tab w:val="center" w:pos="7200"/>
        </w:tabs>
        <w:jc w:val="center"/>
        <w:outlineLvl w:val="0"/>
      </w:pPr>
      <w:r>
        <w:t>Opinion of the Court by Kruger, J.</w:t>
      </w:r>
    </w:p>
    <w:p w14:paraId="34072703" w14:textId="77777777" w:rsidR="00F400CB" w:rsidRPr="001D2647" w:rsidRDefault="007F7991" w:rsidP="001D2647">
      <w:pPr>
        <w:tabs>
          <w:tab w:val="left" w:pos="1440"/>
          <w:tab w:val="left" w:pos="4680"/>
          <w:tab w:val="center" w:pos="7200"/>
        </w:tabs>
        <w:jc w:val="center"/>
        <w:rPr>
          <w:b/>
          <w:caps/>
        </w:rPr>
      </w:pPr>
      <w:r w:rsidRPr="001D2647">
        <w:t xml:space="preserve"> </w:t>
      </w:r>
    </w:p>
    <w:p w14:paraId="11706CC5" w14:textId="7E1405E0" w:rsidR="00FB1222" w:rsidRPr="001D2647" w:rsidRDefault="00876006" w:rsidP="00757D80">
      <w:pPr>
        <w:tabs>
          <w:tab w:val="left" w:pos="1440"/>
        </w:tabs>
        <w:ind w:firstLine="720"/>
      </w:pPr>
      <w:bookmarkStart w:id="1" w:name="mainstory"/>
      <w:bookmarkEnd w:id="1"/>
      <w:r w:rsidRPr="001D2647">
        <w:t>The Government Claims Act (</w:t>
      </w:r>
      <w:r w:rsidR="006247AA" w:rsidRPr="001D2647">
        <w:t>Gov</w:t>
      </w:r>
      <w:r w:rsidRPr="001D2647">
        <w:t>. Code, §</w:t>
      </w:r>
      <w:r w:rsidR="002061FA" w:rsidRPr="001D2647">
        <w:t> </w:t>
      </w:r>
      <w:r w:rsidRPr="001D2647">
        <w:t>810 et seq.)</w:t>
      </w:r>
      <w:r w:rsidR="006C7DE5" w:rsidRPr="001D2647">
        <w:t xml:space="preserve"> </w:t>
      </w:r>
      <w:r w:rsidR="000D234E" w:rsidRPr="001D2647">
        <w:t xml:space="preserve">authorizes </w:t>
      </w:r>
      <w:r w:rsidR="00DD0180" w:rsidRPr="001D2647">
        <w:t xml:space="preserve">plaintiffs </w:t>
      </w:r>
      <w:r w:rsidR="000D234E" w:rsidRPr="001D2647">
        <w:t xml:space="preserve">to bring certain tort claims against public entities, while also immunizing public entities </w:t>
      </w:r>
      <w:r w:rsidR="007E378F" w:rsidRPr="001D2647">
        <w:t xml:space="preserve">from </w:t>
      </w:r>
      <w:r w:rsidR="00EF3FF6" w:rsidRPr="001D2647">
        <w:t xml:space="preserve">liability </w:t>
      </w:r>
      <w:proofErr w:type="gramStart"/>
      <w:r w:rsidR="00EF3FF6" w:rsidRPr="001D2647">
        <w:t xml:space="preserve">in </w:t>
      </w:r>
      <w:r w:rsidR="00976D40" w:rsidRPr="001D2647">
        <w:t xml:space="preserve">particular </w:t>
      </w:r>
      <w:r w:rsidR="007E378F" w:rsidRPr="001D2647">
        <w:t>circumstances</w:t>
      </w:r>
      <w:proofErr w:type="gramEnd"/>
      <w:r w:rsidR="00881299" w:rsidRPr="001D2647">
        <w:t xml:space="preserve">.  One </w:t>
      </w:r>
      <w:r w:rsidR="00063AE0" w:rsidRPr="001D2647">
        <w:t xml:space="preserve">of the </w:t>
      </w:r>
      <w:r w:rsidR="00D65358">
        <w:t>a</w:t>
      </w:r>
      <w:r w:rsidR="00A90412">
        <w:t xml:space="preserve">ct’s </w:t>
      </w:r>
      <w:r w:rsidR="00881299" w:rsidRPr="001D2647">
        <w:t xml:space="preserve">immunity </w:t>
      </w:r>
      <w:r w:rsidR="001E516F" w:rsidRPr="001D2647">
        <w:t>provision</w:t>
      </w:r>
      <w:r w:rsidR="002A2D7B" w:rsidRPr="001D2647">
        <w:t>s</w:t>
      </w:r>
      <w:r w:rsidR="001E516F" w:rsidRPr="001D2647">
        <w:t xml:space="preserve"> bars </w:t>
      </w:r>
      <w:r w:rsidR="00A90412">
        <w:t xml:space="preserve">any statutory </w:t>
      </w:r>
      <w:r w:rsidR="001E516F" w:rsidRPr="001D2647">
        <w:t xml:space="preserve">liability </w:t>
      </w:r>
      <w:r w:rsidR="00A90412">
        <w:t xml:space="preserve">that might otherwise exist </w:t>
      </w:r>
      <w:r w:rsidR="001E516F" w:rsidRPr="001D2647">
        <w:t xml:space="preserve">for injuries resulting from </w:t>
      </w:r>
      <w:r w:rsidR="00881299" w:rsidRPr="001D2647">
        <w:t xml:space="preserve">the condition of firefighting </w:t>
      </w:r>
      <w:r w:rsidR="00F70DCB" w:rsidRPr="001D2647">
        <w:t xml:space="preserve">equipment or </w:t>
      </w:r>
      <w:r w:rsidR="00881299" w:rsidRPr="001D2647">
        <w:t xml:space="preserve">facilities.  </w:t>
      </w:r>
      <w:r w:rsidR="001E516F" w:rsidRPr="001D2647">
        <w:t>(</w:t>
      </w:r>
      <w:r w:rsidR="001E516F" w:rsidRPr="001D2647">
        <w:rPr>
          <w:i/>
        </w:rPr>
        <w:t>Id.</w:t>
      </w:r>
      <w:r w:rsidR="001E516F" w:rsidRPr="001D2647">
        <w:t>, §</w:t>
      </w:r>
      <w:r w:rsidR="002061FA" w:rsidRPr="001D2647">
        <w:t> </w:t>
      </w:r>
      <w:r w:rsidR="001E516F" w:rsidRPr="001D2647">
        <w:t xml:space="preserve">850.4.)  </w:t>
      </w:r>
      <w:r w:rsidR="00EA4AB3" w:rsidRPr="001D2647">
        <w:t xml:space="preserve">The question presented </w:t>
      </w:r>
      <w:r w:rsidR="00C03440" w:rsidRPr="001D2647">
        <w:t xml:space="preserve">is whether this immunity </w:t>
      </w:r>
      <w:r w:rsidR="00063AE0" w:rsidRPr="001D2647">
        <w:t xml:space="preserve">provision </w:t>
      </w:r>
      <w:r w:rsidR="00EA4AB3" w:rsidRPr="001D2647">
        <w:t xml:space="preserve">constitutes an affirmative defense </w:t>
      </w:r>
      <w:r w:rsidR="007F7991" w:rsidRPr="001D2647">
        <w:t xml:space="preserve">that may be forfeited if not timely </w:t>
      </w:r>
      <w:r w:rsidR="005F6CCB" w:rsidRPr="001D2647">
        <w:t>raised</w:t>
      </w:r>
      <w:r w:rsidR="00F76469" w:rsidRPr="001D2647">
        <w:t xml:space="preserve"> or </w:t>
      </w:r>
      <w:r w:rsidR="00A90412">
        <w:t xml:space="preserve">instead </w:t>
      </w:r>
      <w:r w:rsidR="00E24F69">
        <w:t xml:space="preserve">serves </w:t>
      </w:r>
      <w:r w:rsidR="00A90412">
        <w:t xml:space="preserve">as a limitation on the fundamental </w:t>
      </w:r>
      <w:proofErr w:type="gramStart"/>
      <w:r w:rsidR="00A90412">
        <w:t>jurisdiction</w:t>
      </w:r>
      <w:proofErr w:type="gramEnd"/>
      <w:r w:rsidR="00A90412">
        <w:t xml:space="preserve"> of the courts, such </w:t>
      </w:r>
      <w:r w:rsidR="007F7991" w:rsidRPr="001D2647">
        <w:t xml:space="preserve">that </w:t>
      </w:r>
      <w:r w:rsidR="00063AE0" w:rsidRPr="001D2647">
        <w:t xml:space="preserve">the issue </w:t>
      </w:r>
      <w:r w:rsidR="007F7991" w:rsidRPr="001D2647">
        <w:t>can</w:t>
      </w:r>
      <w:r w:rsidR="00753156" w:rsidRPr="001D2647">
        <w:t xml:space="preserve"> never </w:t>
      </w:r>
      <w:r w:rsidR="00EB7976" w:rsidRPr="001D2647">
        <w:t>be forfeited</w:t>
      </w:r>
      <w:r w:rsidR="00063AE0" w:rsidRPr="001D2647">
        <w:t xml:space="preserve"> or waived</w:t>
      </w:r>
      <w:r w:rsidR="00EB7976" w:rsidRPr="001D2647">
        <w:t xml:space="preserve">. </w:t>
      </w:r>
      <w:r w:rsidR="00757D80">
        <w:t xml:space="preserve"> </w:t>
      </w:r>
      <w:r w:rsidR="001B0FB2">
        <w:t>We</w:t>
      </w:r>
      <w:r w:rsidR="00EB7976" w:rsidRPr="001D2647">
        <w:t xml:space="preserve"> conclude that </w:t>
      </w:r>
      <w:r w:rsidR="00757D80">
        <w:t xml:space="preserve">Government Code </w:t>
      </w:r>
      <w:r w:rsidR="003B70A1" w:rsidRPr="001D2647">
        <w:t xml:space="preserve">section 850.4 </w:t>
      </w:r>
      <w:r w:rsidR="00F70DCB" w:rsidRPr="001D2647">
        <w:t xml:space="preserve">immunity </w:t>
      </w:r>
      <w:r w:rsidR="007A2D08" w:rsidRPr="001D2647">
        <w:t>do</w:t>
      </w:r>
      <w:r w:rsidR="003B70A1" w:rsidRPr="001D2647">
        <w:t>es</w:t>
      </w:r>
      <w:r w:rsidR="007A2D08" w:rsidRPr="001D2647">
        <w:t xml:space="preserve"> not deprive a court of fundamental </w:t>
      </w:r>
      <w:proofErr w:type="gramStart"/>
      <w:r w:rsidR="007A2D08" w:rsidRPr="001D2647">
        <w:t>jurisdiction</w:t>
      </w:r>
      <w:proofErr w:type="gramEnd"/>
      <w:r w:rsidR="007707F6" w:rsidRPr="001D2647">
        <w:t xml:space="preserve"> but </w:t>
      </w:r>
      <w:r w:rsidR="00FF3044">
        <w:t>rather</w:t>
      </w:r>
      <w:r w:rsidR="00FF3044" w:rsidRPr="001D2647">
        <w:t xml:space="preserve"> </w:t>
      </w:r>
      <w:r w:rsidR="007A2D08" w:rsidRPr="001D2647">
        <w:t>operate</w:t>
      </w:r>
      <w:r w:rsidR="009675B6" w:rsidRPr="001D2647">
        <w:t>s</w:t>
      </w:r>
      <w:r w:rsidR="007A2D08" w:rsidRPr="001D2647">
        <w:t xml:space="preserve"> as </w:t>
      </w:r>
      <w:r w:rsidR="009675B6" w:rsidRPr="001D2647">
        <w:t>a</w:t>
      </w:r>
      <w:r w:rsidR="00AB6BCC" w:rsidRPr="001D2647">
        <w:t>n</w:t>
      </w:r>
      <w:r w:rsidR="009675B6" w:rsidRPr="001D2647">
        <w:t xml:space="preserve"> affirmative </w:t>
      </w:r>
      <w:r w:rsidR="005A54CF" w:rsidRPr="001D2647">
        <w:t>defense</w:t>
      </w:r>
      <w:r w:rsidR="007A2D08" w:rsidRPr="001D2647">
        <w:t xml:space="preserve"> to liability</w:t>
      </w:r>
      <w:r w:rsidR="00A90412">
        <w:t>.</w:t>
      </w:r>
    </w:p>
    <w:p w14:paraId="21096A68" w14:textId="77777777" w:rsidR="00FB1222" w:rsidRPr="001D2647" w:rsidRDefault="00FB1222" w:rsidP="00C05156">
      <w:pPr>
        <w:tabs>
          <w:tab w:val="left" w:pos="1440"/>
        </w:tabs>
        <w:jc w:val="center"/>
        <w:outlineLvl w:val="0"/>
        <w:rPr>
          <w:b/>
        </w:rPr>
      </w:pPr>
      <w:r w:rsidRPr="001D2647">
        <w:rPr>
          <w:b/>
        </w:rPr>
        <w:t>I.</w:t>
      </w:r>
    </w:p>
    <w:p w14:paraId="0143CB09" w14:textId="77777777" w:rsidR="00D02DEE" w:rsidRPr="001D2647" w:rsidRDefault="00D02DEE" w:rsidP="001D2647">
      <w:pPr>
        <w:jc w:val="center"/>
        <w:rPr>
          <w:b/>
        </w:rPr>
      </w:pPr>
      <w:r w:rsidRPr="001D2647">
        <w:rPr>
          <w:b/>
        </w:rPr>
        <w:t>A.</w:t>
      </w:r>
    </w:p>
    <w:p w14:paraId="20D0D50A" w14:textId="77777777" w:rsidR="00992F08" w:rsidRPr="001D2647" w:rsidRDefault="00992F08" w:rsidP="001D2647">
      <w:pPr>
        <w:tabs>
          <w:tab w:val="left" w:pos="720"/>
        </w:tabs>
      </w:pPr>
      <w:r w:rsidRPr="001D2647">
        <w:tab/>
      </w:r>
      <w:r w:rsidR="00C92C8A">
        <w:t xml:space="preserve">Enacted in 1963, the Government Claims Act (GCA or Act) </w:t>
      </w:r>
      <w:r w:rsidR="00A007A7">
        <w:t>is a comprehensive statutory scheme governing the liabilities and immunities of public entities and public employees for torts.</w:t>
      </w:r>
      <w:r w:rsidR="004D59E4">
        <w:t xml:space="preserve"> </w:t>
      </w:r>
      <w:r w:rsidR="00C05156">
        <w:t xml:space="preserve"> </w:t>
      </w:r>
      <w:r w:rsidR="00C00020" w:rsidRPr="001D2647">
        <w:t>(</w:t>
      </w:r>
      <w:r w:rsidR="00A007A7">
        <w:rPr>
          <w:i/>
        </w:rPr>
        <w:t>Kiser v. County of San Mateo</w:t>
      </w:r>
      <w:r w:rsidR="00A007A7">
        <w:t xml:space="preserve"> (1991) 53 Cal.3d 139, 145.</w:t>
      </w:r>
      <w:r w:rsidR="00C00020" w:rsidRPr="001D2647">
        <w:t>)</w:t>
      </w:r>
      <w:r w:rsidR="00C00020">
        <w:t xml:space="preserve">  </w:t>
      </w:r>
      <w:r w:rsidR="00C92C8A">
        <w:t xml:space="preserve">For </w:t>
      </w:r>
      <w:proofErr w:type="gramStart"/>
      <w:r w:rsidR="00C92C8A">
        <w:t>many</w:t>
      </w:r>
      <w:proofErr w:type="gramEnd"/>
      <w:r w:rsidR="00C92C8A">
        <w:t xml:space="preserve"> </w:t>
      </w:r>
      <w:r w:rsidR="004D59E4">
        <w:t xml:space="preserve">decades </w:t>
      </w:r>
      <w:r w:rsidR="00C92C8A">
        <w:t xml:space="preserve">before the </w:t>
      </w:r>
      <w:r w:rsidR="004D59E4">
        <w:t>Act</w:t>
      </w:r>
      <w:r w:rsidR="00C92C8A">
        <w:t xml:space="preserve">, tort liability </w:t>
      </w:r>
      <w:r w:rsidR="00E84808">
        <w:t>for</w:t>
      </w:r>
      <w:r w:rsidR="00C92C8A">
        <w:t xml:space="preserve"> </w:t>
      </w:r>
      <w:r w:rsidR="00CF503D">
        <w:t>public</w:t>
      </w:r>
      <w:r w:rsidR="00D65358">
        <w:t xml:space="preserve"> </w:t>
      </w:r>
      <w:r w:rsidR="00CF503D">
        <w:t xml:space="preserve">entity defendants </w:t>
      </w:r>
      <w:r w:rsidR="0008298F">
        <w:t>was</w:t>
      </w:r>
      <w:r w:rsidR="00FE0633">
        <w:t xml:space="preserve"> </w:t>
      </w:r>
      <w:r w:rsidR="00E84808">
        <w:t>barred</w:t>
      </w:r>
      <w:r w:rsidR="007756FE">
        <w:t xml:space="preserve"> </w:t>
      </w:r>
      <w:r w:rsidR="00C92C8A">
        <w:t xml:space="preserve">by a common law rule of governmental immunity.  </w:t>
      </w:r>
      <w:r w:rsidR="007756FE">
        <w:t xml:space="preserve">Over time, however, the common law rule became </w:t>
      </w:r>
      <w:r w:rsidR="007756FE">
        <w:lastRenderedPageBreak/>
        <w:t>“</w:t>
      </w:r>
      <w:r w:rsidR="009B3D0D">
        <w:t>riddled with exceptions</w:t>
      </w:r>
      <w:r w:rsidR="00CF503D">
        <w:t xml:space="preserve">,” </w:t>
      </w:r>
      <w:r w:rsidR="00914A25">
        <w:t xml:space="preserve">both legislative and judge-made, </w:t>
      </w:r>
      <w:r w:rsidR="00CF503D">
        <w:t>and</w:t>
      </w:r>
      <w:r w:rsidR="007756FE">
        <w:t xml:space="preserve"> in 1961 this court abolished the rule altogether.  (</w:t>
      </w:r>
      <w:proofErr w:type="spellStart"/>
      <w:r w:rsidR="00C92C8A" w:rsidRPr="001D2647">
        <w:rPr>
          <w:i/>
          <w:iCs/>
        </w:rPr>
        <w:t>Muskopf</w:t>
      </w:r>
      <w:proofErr w:type="spellEnd"/>
      <w:r w:rsidR="00C92C8A" w:rsidRPr="001D2647">
        <w:rPr>
          <w:i/>
          <w:iCs/>
        </w:rPr>
        <w:t xml:space="preserve"> v. Corning Hospital Dist.</w:t>
      </w:r>
      <w:r w:rsidR="00C92C8A" w:rsidRPr="001D2647">
        <w:t xml:space="preserve"> (1961) 55 Cal.2d 211</w:t>
      </w:r>
      <w:r w:rsidR="00582EFD">
        <w:t>, 216</w:t>
      </w:r>
      <w:r w:rsidR="00C92C8A" w:rsidRPr="001D2647">
        <w:t xml:space="preserve"> (</w:t>
      </w:r>
      <w:proofErr w:type="spellStart"/>
      <w:r w:rsidR="00C92C8A" w:rsidRPr="001D2647">
        <w:rPr>
          <w:i/>
        </w:rPr>
        <w:t>Muskopf</w:t>
      </w:r>
      <w:proofErr w:type="spellEnd"/>
      <w:r w:rsidR="00C92C8A" w:rsidRPr="001D2647">
        <w:t>)</w:t>
      </w:r>
      <w:r w:rsidR="00C92C8A">
        <w:t>.</w:t>
      </w:r>
      <w:r w:rsidR="007756FE">
        <w:t>)</w:t>
      </w:r>
      <w:r w:rsidR="00C00020">
        <w:t xml:space="preserve">  </w:t>
      </w:r>
      <w:r w:rsidR="00757D80">
        <w:t xml:space="preserve">In response to </w:t>
      </w:r>
      <w:proofErr w:type="spellStart"/>
      <w:r w:rsidR="00757D80" w:rsidRPr="00F54A21">
        <w:rPr>
          <w:i/>
        </w:rPr>
        <w:t>Muskopf</w:t>
      </w:r>
      <w:proofErr w:type="spellEnd"/>
      <w:r w:rsidR="00757D80">
        <w:t xml:space="preserve">, the Legislature </w:t>
      </w:r>
      <w:proofErr w:type="gramStart"/>
      <w:r w:rsidR="00757D80">
        <w:t>temporarily suspended</w:t>
      </w:r>
      <w:proofErr w:type="gramEnd"/>
      <w:r w:rsidR="00757D80">
        <w:t xml:space="preserve"> the decision’s effect (Stats. 1961, </w:t>
      </w:r>
      <w:proofErr w:type="spellStart"/>
      <w:r w:rsidR="00757D80">
        <w:t>ch.</w:t>
      </w:r>
      <w:proofErr w:type="spellEnd"/>
      <w:r w:rsidR="00757D80">
        <w:t xml:space="preserve"> 1404, pp.</w:t>
      </w:r>
      <w:r w:rsidR="00B74E7F">
        <w:t> </w:t>
      </w:r>
      <w:r w:rsidR="00757D80">
        <w:t>3209</w:t>
      </w:r>
      <w:r w:rsidR="006E3511">
        <w:t>–</w:t>
      </w:r>
      <w:r w:rsidR="00757D80">
        <w:t xml:space="preserve">3210) and directed the California Law Revision Commission to complete </w:t>
      </w:r>
      <w:r w:rsidR="009D3114">
        <w:t xml:space="preserve">a </w:t>
      </w:r>
      <w:r w:rsidR="00757D80">
        <w:t>study o</w:t>
      </w:r>
      <w:r w:rsidR="006618AD">
        <w:t>f</w:t>
      </w:r>
      <w:r w:rsidR="00757D80">
        <w:t xml:space="preserve"> </w:t>
      </w:r>
      <w:r w:rsidR="009D3114">
        <w:t>the issue</w:t>
      </w:r>
      <w:r w:rsidR="00A007A7">
        <w:t xml:space="preserve"> it had begun some years earlier</w:t>
      </w:r>
      <w:r w:rsidR="00757D80">
        <w:t xml:space="preserve"> (</w:t>
      </w:r>
      <w:r w:rsidR="00911F37">
        <w:t>s</w:t>
      </w:r>
      <w:r w:rsidR="00757D80">
        <w:t>ee Assem</w:t>
      </w:r>
      <w:proofErr w:type="gramStart"/>
      <w:r w:rsidR="00757D80">
        <w:t xml:space="preserve">. </w:t>
      </w:r>
      <w:proofErr w:type="gramEnd"/>
      <w:r w:rsidR="00757D80">
        <w:t>Conc. Res. No.</w:t>
      </w:r>
      <w:r w:rsidR="00B74E7F">
        <w:t> </w:t>
      </w:r>
      <w:r w:rsidR="00757D80">
        <w:t>22, Stats</w:t>
      </w:r>
      <w:proofErr w:type="gramStart"/>
      <w:r w:rsidR="00757D80">
        <w:t xml:space="preserve">. </w:t>
      </w:r>
      <w:proofErr w:type="gramEnd"/>
      <w:r w:rsidR="00757D80">
        <w:t xml:space="preserve">1957 (1956-1957 Reg. Sess.) res. </w:t>
      </w:r>
      <w:proofErr w:type="spellStart"/>
      <w:r w:rsidR="00757D80">
        <w:t>ch.</w:t>
      </w:r>
      <w:proofErr w:type="spellEnd"/>
      <w:r w:rsidR="00B74E7F">
        <w:t> </w:t>
      </w:r>
      <w:r w:rsidR="00757D80">
        <w:t>202, p.</w:t>
      </w:r>
      <w:r w:rsidR="00B74E7F">
        <w:t> </w:t>
      </w:r>
      <w:r w:rsidR="00757D80">
        <w:t>4590; Cal</w:t>
      </w:r>
      <w:r w:rsidR="006E3511">
        <w:t>.</w:t>
      </w:r>
      <w:r w:rsidR="00757D80">
        <w:t xml:space="preserve"> Government Tort Liability Practice (</w:t>
      </w:r>
      <w:proofErr w:type="spellStart"/>
      <w:r w:rsidR="009158C6">
        <w:t>Cont.Ed.Bar</w:t>
      </w:r>
      <w:proofErr w:type="spellEnd"/>
      <w:r w:rsidR="009158C6">
        <w:t xml:space="preserve"> 4th ed. 1999</w:t>
      </w:r>
      <w:r w:rsidR="00757D80">
        <w:t xml:space="preserve">) </w:t>
      </w:r>
      <w:r w:rsidR="009158C6">
        <w:t xml:space="preserve">Legislative Response:  Government Claims Act, </w:t>
      </w:r>
      <w:r w:rsidR="00757D80">
        <w:t xml:space="preserve">§ 1.40; </w:t>
      </w:r>
      <w:proofErr w:type="spellStart"/>
      <w:r w:rsidR="00757D80">
        <w:t>DeMoully</w:t>
      </w:r>
      <w:proofErr w:type="spellEnd"/>
      <w:r w:rsidR="00757D80">
        <w:t xml:space="preserve">, </w:t>
      </w:r>
      <w:r w:rsidR="00757D80" w:rsidRPr="00C61CF2">
        <w:rPr>
          <w:i/>
        </w:rPr>
        <w:t xml:space="preserve">Fact Finding for Legislation: </w:t>
      </w:r>
      <w:r w:rsidR="00B74E7F">
        <w:rPr>
          <w:i/>
        </w:rPr>
        <w:t xml:space="preserve"> </w:t>
      </w:r>
      <w:r w:rsidR="00757D80" w:rsidRPr="00C61CF2">
        <w:rPr>
          <w:i/>
        </w:rPr>
        <w:t>A Case Study</w:t>
      </w:r>
      <w:r w:rsidR="00757D80">
        <w:t xml:space="preserve"> (1964) 50 A.B.A. J. 285)</w:t>
      </w:r>
      <w:r w:rsidR="00911F37">
        <w:t>.</w:t>
      </w:r>
      <w:r w:rsidR="00757D80">
        <w:t xml:space="preserve">  </w:t>
      </w:r>
      <w:r w:rsidR="00C00020">
        <w:t xml:space="preserve">The </w:t>
      </w:r>
      <w:r w:rsidR="009D3114">
        <w:t xml:space="preserve">end product of the </w:t>
      </w:r>
      <w:r w:rsidR="00877042">
        <w:t>c</w:t>
      </w:r>
      <w:r w:rsidR="009D3114">
        <w:t xml:space="preserve">ommission’s study was a </w:t>
      </w:r>
      <w:r w:rsidR="00241B32">
        <w:t xml:space="preserve">series of </w:t>
      </w:r>
      <w:r w:rsidRPr="001D2647">
        <w:t>recommendation</w:t>
      </w:r>
      <w:r w:rsidR="00241B32">
        <w:t>s</w:t>
      </w:r>
      <w:r w:rsidRPr="001D2647">
        <w:t xml:space="preserve"> (</w:t>
      </w:r>
      <w:r w:rsidR="00911F37">
        <w:t xml:space="preserve">see, e.g., </w:t>
      </w:r>
      <w:r w:rsidRPr="001D2647">
        <w:t>Recommendation Relating to Sovereign Immunity, No.</w:t>
      </w:r>
      <w:r w:rsidR="00B74E7F">
        <w:t> </w:t>
      </w:r>
      <w:r w:rsidRPr="001D2647">
        <w:t>1</w:t>
      </w:r>
      <w:r w:rsidR="00D65358">
        <w:t>—</w:t>
      </w:r>
      <w:r w:rsidRPr="001D2647">
        <w:t>Tort Liability of Public Entities and Public Employees</w:t>
      </w:r>
      <w:r w:rsidR="00D65358">
        <w:t xml:space="preserve"> (Jan. 1963)</w:t>
      </w:r>
      <w:r w:rsidRPr="001D2647">
        <w:t xml:space="preserve"> 4 Cal. Law Revision Com. Rep. (1963) p.</w:t>
      </w:r>
      <w:r w:rsidR="002061FA" w:rsidRPr="001D2647">
        <w:t> </w:t>
      </w:r>
      <w:r w:rsidRPr="001D2647">
        <w:t xml:space="preserve">801), </w:t>
      </w:r>
      <w:r w:rsidR="007756FE">
        <w:t>on which the Legislature relied in enacting the GCA</w:t>
      </w:r>
      <w:r w:rsidR="00A70EC2">
        <w:t xml:space="preserve"> </w:t>
      </w:r>
      <w:r w:rsidR="00911F37">
        <w:t>(s</w:t>
      </w:r>
      <w:r w:rsidR="002B0695">
        <w:t xml:space="preserve">ee </w:t>
      </w:r>
      <w:proofErr w:type="spellStart"/>
      <w:r w:rsidR="002B0695">
        <w:t>DeMoully</w:t>
      </w:r>
      <w:proofErr w:type="spellEnd"/>
      <w:r w:rsidR="002B0695">
        <w:t>, at p.</w:t>
      </w:r>
      <w:r w:rsidR="00B74E7F">
        <w:t> </w:t>
      </w:r>
      <w:r w:rsidR="002B0695">
        <w:t>286</w:t>
      </w:r>
      <w:r w:rsidRPr="001D2647">
        <w:t>)</w:t>
      </w:r>
      <w:r w:rsidR="00C05156">
        <w:t>.</w:t>
      </w:r>
      <w:r w:rsidR="009B3D0D">
        <w:rPr>
          <w:rStyle w:val="FootnoteReference"/>
        </w:rPr>
        <w:footnoteReference w:id="2"/>
      </w:r>
      <w:r w:rsidR="00D25AB7" w:rsidRPr="001D2647">
        <w:t xml:space="preserve"> </w:t>
      </w:r>
      <w:r w:rsidRPr="001D2647">
        <w:t xml:space="preserve"> </w:t>
      </w:r>
    </w:p>
    <w:p w14:paraId="0689A007" w14:textId="5083856E" w:rsidR="00A32416" w:rsidRPr="001D2647" w:rsidRDefault="00992F08" w:rsidP="00FE7C09">
      <w:r w:rsidRPr="001D2647">
        <w:tab/>
      </w:r>
      <w:r w:rsidR="00D50FEE">
        <w:t xml:space="preserve">The </w:t>
      </w:r>
      <w:r w:rsidR="00FE7C09">
        <w:t xml:space="preserve">basic architecture of the Act is encapsulated in Government Code section 815.  Subdivision (a) of that </w:t>
      </w:r>
      <w:r w:rsidR="00D65358">
        <w:t xml:space="preserve">section </w:t>
      </w:r>
      <w:r w:rsidR="00FE7C09">
        <w:t>makes clear that under the GCA, there is no such thing as common law tort liability for public entities; a</w:t>
      </w:r>
      <w:r w:rsidRPr="001D2647">
        <w:t xml:space="preserve"> public entity is not liable for an injury “[e]</w:t>
      </w:r>
      <w:proofErr w:type="spellStart"/>
      <w:r w:rsidRPr="001D2647">
        <w:t>xcept</w:t>
      </w:r>
      <w:proofErr w:type="spellEnd"/>
      <w:r w:rsidRPr="001D2647">
        <w:t xml:space="preserve"> as otherwise provided by statute.”</w:t>
      </w:r>
      <w:r w:rsidR="00D52FF2" w:rsidRPr="001D2647">
        <w:t xml:space="preserve"> </w:t>
      </w:r>
      <w:r w:rsidRPr="001D2647">
        <w:t xml:space="preserve"> (Gov. Code, § 815; </w:t>
      </w:r>
      <w:r w:rsidR="00D65358">
        <w:t xml:space="preserve">see </w:t>
      </w:r>
      <w:r w:rsidRPr="001D2647">
        <w:rPr>
          <w:i/>
        </w:rPr>
        <w:t>Guzman v. County of Monterey</w:t>
      </w:r>
      <w:r w:rsidRPr="001D2647">
        <w:t xml:space="preserve"> (2009) 46 Cal.4th 887, 897</w:t>
      </w:r>
      <w:r w:rsidR="00C237AE" w:rsidRPr="001D2647">
        <w:t xml:space="preserve">.) </w:t>
      </w:r>
      <w:r w:rsidR="00587027" w:rsidRPr="001D2647">
        <w:t xml:space="preserve"> </w:t>
      </w:r>
      <w:r w:rsidR="00C237AE" w:rsidRPr="001D2647">
        <w:t>The</w:t>
      </w:r>
      <w:r w:rsidR="002758D8" w:rsidRPr="001D2647">
        <w:t xml:space="preserve"> GCA</w:t>
      </w:r>
      <w:r w:rsidR="00C64EEA" w:rsidRPr="001D2647">
        <w:t xml:space="preserve"> </w:t>
      </w:r>
      <w:r w:rsidR="00C237AE" w:rsidRPr="001D2647">
        <w:t xml:space="preserve">provides </w:t>
      </w:r>
      <w:proofErr w:type="gramStart"/>
      <w:r w:rsidR="00C237AE" w:rsidRPr="001D2647">
        <w:t>several</w:t>
      </w:r>
      <w:proofErr w:type="gramEnd"/>
      <w:r w:rsidR="00C237AE" w:rsidRPr="001D2647">
        <w:t xml:space="preserve"> grounds </w:t>
      </w:r>
      <w:r w:rsidR="00C237AE" w:rsidRPr="001D2647">
        <w:lastRenderedPageBreak/>
        <w:t>for public entity liability, including</w:t>
      </w:r>
      <w:r w:rsidR="00A94408">
        <w:t>, as relevant here,</w:t>
      </w:r>
      <w:r w:rsidR="00C237AE" w:rsidRPr="001D2647">
        <w:t xml:space="preserve"> </w:t>
      </w:r>
      <w:r w:rsidR="00A32416" w:rsidRPr="001D2647">
        <w:t xml:space="preserve">for injuries caused “by a dangerous condition of </w:t>
      </w:r>
      <w:r w:rsidR="00B87E0A">
        <w:t>[a public entity’s]</w:t>
      </w:r>
      <w:r w:rsidR="00A32416" w:rsidRPr="001D2647">
        <w:t xml:space="preserve"> property” </w:t>
      </w:r>
      <w:r w:rsidR="00C64EEA" w:rsidRPr="001D2647">
        <w:t xml:space="preserve">that was </w:t>
      </w:r>
      <w:r w:rsidR="00A32416" w:rsidRPr="001D2647">
        <w:t>created through an employee’s negligence.  (Gov. Code, §</w:t>
      </w:r>
      <w:r w:rsidR="002061FA" w:rsidRPr="001D2647">
        <w:t> </w:t>
      </w:r>
      <w:r w:rsidR="00A32416" w:rsidRPr="001D2647">
        <w:t>835</w:t>
      </w:r>
      <w:r w:rsidR="003301B2" w:rsidRPr="001D2647">
        <w:t xml:space="preserve">, </w:t>
      </w:r>
      <w:proofErr w:type="spellStart"/>
      <w:r w:rsidR="003301B2" w:rsidRPr="001D2647">
        <w:t>subd</w:t>
      </w:r>
      <w:proofErr w:type="spellEnd"/>
      <w:proofErr w:type="gramStart"/>
      <w:r w:rsidR="003301B2" w:rsidRPr="001D2647">
        <w:t xml:space="preserve">. </w:t>
      </w:r>
      <w:proofErr w:type="gramEnd"/>
      <w:r w:rsidR="002758D8" w:rsidRPr="001D2647">
        <w:t>(a).)</w:t>
      </w:r>
      <w:bookmarkStart w:id="2" w:name="_Hlk1732483"/>
    </w:p>
    <w:p w14:paraId="68CCDEC8" w14:textId="77777777" w:rsidR="00167F2B" w:rsidRPr="001D2647" w:rsidRDefault="00A32416" w:rsidP="001D2647">
      <w:r w:rsidRPr="001D2647">
        <w:tab/>
        <w:t xml:space="preserve">But even when </w:t>
      </w:r>
      <w:r w:rsidR="000A6C0B" w:rsidRPr="001D2647">
        <w:t xml:space="preserve">there are statutory </w:t>
      </w:r>
      <w:r w:rsidRPr="001D2647">
        <w:t xml:space="preserve">grounds for imposing </w:t>
      </w:r>
      <w:r w:rsidR="00992F08" w:rsidRPr="001D2647">
        <w:t xml:space="preserve">liability, </w:t>
      </w:r>
      <w:r w:rsidR="00FE7C09">
        <w:t xml:space="preserve">subdivision (b) of section 815 </w:t>
      </w:r>
      <w:bookmarkEnd w:id="2"/>
      <w:r w:rsidR="00992F08" w:rsidRPr="001D2647">
        <w:t>provides that a public entity’s liability is “subject to any immunity of the public entity provided by statute.”</w:t>
      </w:r>
      <w:r w:rsidR="002061FA" w:rsidRPr="001D2647">
        <w:t xml:space="preserve"> </w:t>
      </w:r>
      <w:r w:rsidR="00992F08" w:rsidRPr="001D2647">
        <w:t xml:space="preserve"> (Gov. Code, §</w:t>
      </w:r>
      <w:r w:rsidR="002061FA" w:rsidRPr="001D2647">
        <w:t> </w:t>
      </w:r>
      <w:r w:rsidR="00992F08" w:rsidRPr="001D2647">
        <w:t xml:space="preserve">815, </w:t>
      </w:r>
      <w:proofErr w:type="spellStart"/>
      <w:r w:rsidR="00992F08" w:rsidRPr="001D2647">
        <w:t>subd</w:t>
      </w:r>
      <w:proofErr w:type="spellEnd"/>
      <w:proofErr w:type="gramStart"/>
      <w:r w:rsidR="00992F08" w:rsidRPr="001D2647">
        <w:t xml:space="preserve">. </w:t>
      </w:r>
      <w:proofErr w:type="gramEnd"/>
      <w:r w:rsidR="00992F08" w:rsidRPr="001D2647">
        <w:t>(b).)</w:t>
      </w:r>
      <w:r w:rsidR="003A43CF" w:rsidRPr="001D2647">
        <w:t xml:space="preserve"> </w:t>
      </w:r>
      <w:r w:rsidR="009171CB" w:rsidRPr="001D2647">
        <w:t xml:space="preserve"> </w:t>
      </w:r>
      <w:r w:rsidR="009158C6">
        <w:t>Government Code s</w:t>
      </w:r>
      <w:r w:rsidR="001F0E57" w:rsidRPr="001D2647">
        <w:t>ection 850.4</w:t>
      </w:r>
      <w:r w:rsidR="009158C6">
        <w:t xml:space="preserve"> (section 850.4)</w:t>
      </w:r>
      <w:r w:rsidR="00FE7C09">
        <w:t>, the provision at issue in this case,</w:t>
      </w:r>
      <w:r w:rsidR="001F0E57" w:rsidRPr="001D2647">
        <w:t xml:space="preserve"> establishes one such immunity:  “</w:t>
      </w:r>
      <w:r w:rsidR="00D459D9" w:rsidRPr="001D2647">
        <w:t>Neither a public entity, nor a public employee acting in the scope of his employment, is liable for any injury resulting from the condition of fire protection or firefighting equipment or facilities or,</w:t>
      </w:r>
      <w:r w:rsidR="00F54A21">
        <w:t>” with the exception of certain m</w:t>
      </w:r>
      <w:r w:rsidR="00427D8A">
        <w:t>otor vehicle accidents, “</w:t>
      </w:r>
      <w:r w:rsidR="00D459D9" w:rsidRPr="001D2647">
        <w:t xml:space="preserve">for any injury caused in fighting fires.”  </w:t>
      </w:r>
      <w:r w:rsidR="00A94408">
        <w:t xml:space="preserve">Section 850.4 </w:t>
      </w:r>
      <w:r w:rsidR="00FE7C09">
        <w:t xml:space="preserve">was enacted at the </w:t>
      </w:r>
      <w:r w:rsidR="00A94408">
        <w:t>recommendation of the L</w:t>
      </w:r>
      <w:r w:rsidR="00915282">
        <w:t>aw Revi</w:t>
      </w:r>
      <w:r w:rsidR="00E355FC">
        <w:t>sion</w:t>
      </w:r>
      <w:r w:rsidR="00915282">
        <w:t xml:space="preserve"> Commission.  The </w:t>
      </w:r>
      <w:r w:rsidR="00E355FC">
        <w:t>c</w:t>
      </w:r>
      <w:r w:rsidR="00915282">
        <w:t xml:space="preserve">ommission’s </w:t>
      </w:r>
      <w:r w:rsidR="00A94408">
        <w:t>report to the Legislature explained</w:t>
      </w:r>
      <w:r w:rsidR="00FE7C09">
        <w:t xml:space="preserve"> </w:t>
      </w:r>
      <w:r w:rsidR="00915282">
        <w:t xml:space="preserve">section 850.4’s </w:t>
      </w:r>
      <w:r w:rsidR="00FE7C09">
        <w:t>purpose as follows</w:t>
      </w:r>
      <w:r w:rsidR="00A94408">
        <w:t xml:space="preserve">:  </w:t>
      </w:r>
      <w:r w:rsidR="00167F2B" w:rsidRPr="001D2647">
        <w:t>“There are adequate incentives to careful maintenance of fire equipment without imposing tort liability; and firemen should not be deterred from any action they may desire to take in combatting fires by a fear that liability might be imposed if a jury believes such action to be unreasonable.”</w:t>
      </w:r>
      <w:r w:rsidR="004B7019" w:rsidRPr="001D2647">
        <w:t xml:space="preserve">  (4 Cal. Law Revision Com. Rep.,</w:t>
      </w:r>
      <w:r w:rsidR="00A266AC" w:rsidRPr="001D2647">
        <w:rPr>
          <w:i/>
        </w:rPr>
        <w:t xml:space="preserve"> supra</w:t>
      </w:r>
      <w:r w:rsidR="00A266AC" w:rsidRPr="001D2647">
        <w:t>,</w:t>
      </w:r>
      <w:r w:rsidR="004B7019" w:rsidRPr="001D2647">
        <w:t xml:space="preserve"> </w:t>
      </w:r>
      <w:r w:rsidR="00D65358">
        <w:t xml:space="preserve">at </w:t>
      </w:r>
      <w:r w:rsidR="004B7019" w:rsidRPr="001D2647">
        <w:t>p.</w:t>
      </w:r>
      <w:r w:rsidR="002061FA" w:rsidRPr="001D2647">
        <w:t> </w:t>
      </w:r>
      <w:r w:rsidR="004B7019" w:rsidRPr="001D2647">
        <w:t xml:space="preserve">862; see </w:t>
      </w:r>
      <w:proofErr w:type="spellStart"/>
      <w:r w:rsidR="004B7019" w:rsidRPr="001D2647">
        <w:rPr>
          <w:i/>
        </w:rPr>
        <w:t>Heieck</w:t>
      </w:r>
      <w:proofErr w:type="spellEnd"/>
      <w:r w:rsidR="004B7019" w:rsidRPr="001D2647">
        <w:rPr>
          <w:i/>
        </w:rPr>
        <w:t xml:space="preserve"> and Moran v. City of Modesto</w:t>
      </w:r>
      <w:r w:rsidR="004B7019" w:rsidRPr="001D2647">
        <w:t xml:space="preserve"> (1966) 64 Cal.2d 229, 233, fn.</w:t>
      </w:r>
      <w:r w:rsidR="004B5A19" w:rsidRPr="001D2647">
        <w:t> </w:t>
      </w:r>
      <w:r w:rsidR="004B7019" w:rsidRPr="001D2647">
        <w:t>3</w:t>
      </w:r>
      <w:r w:rsidR="0010075B" w:rsidRPr="001D2647">
        <w:t xml:space="preserve"> (</w:t>
      </w:r>
      <w:proofErr w:type="spellStart"/>
      <w:r w:rsidR="0010075B" w:rsidRPr="001D2647">
        <w:rPr>
          <w:i/>
        </w:rPr>
        <w:t>Heieck</w:t>
      </w:r>
      <w:proofErr w:type="spellEnd"/>
      <w:r w:rsidR="0010075B" w:rsidRPr="001D2647">
        <w:rPr>
          <w:i/>
        </w:rPr>
        <w:t xml:space="preserve"> and Moran</w:t>
      </w:r>
      <w:r w:rsidR="0010075B" w:rsidRPr="001D2647">
        <w:t>)</w:t>
      </w:r>
      <w:r w:rsidR="004B7019" w:rsidRPr="001D2647">
        <w:t>.)</w:t>
      </w:r>
      <w:r w:rsidR="00892572">
        <w:rPr>
          <w:rStyle w:val="FootnoteReference"/>
        </w:rPr>
        <w:footnoteReference w:id="3"/>
      </w:r>
    </w:p>
    <w:p w14:paraId="168B83A0" w14:textId="77777777" w:rsidR="00992F08" w:rsidRPr="001D2647" w:rsidRDefault="00A32416" w:rsidP="00C05156">
      <w:pPr>
        <w:jc w:val="center"/>
        <w:outlineLvl w:val="0"/>
        <w:rPr>
          <w:b/>
        </w:rPr>
      </w:pPr>
      <w:r w:rsidRPr="001D2647">
        <w:rPr>
          <w:b/>
        </w:rPr>
        <w:lastRenderedPageBreak/>
        <w:t>B.</w:t>
      </w:r>
    </w:p>
    <w:p w14:paraId="01454E92" w14:textId="6454407D" w:rsidR="0015540B" w:rsidRPr="001D2647" w:rsidRDefault="00B15879" w:rsidP="001D2647">
      <w:pPr>
        <w:ind w:firstLine="720"/>
      </w:pPr>
      <w:r w:rsidRPr="001D2647">
        <w:t xml:space="preserve">In September </w:t>
      </w:r>
      <w:r w:rsidR="0015540B" w:rsidRPr="001D2647">
        <w:t xml:space="preserve">2009, </w:t>
      </w:r>
      <w:r w:rsidRPr="001D2647">
        <w:t xml:space="preserve">a wildfire </w:t>
      </w:r>
      <w:r w:rsidR="001F517D" w:rsidRPr="001D2647">
        <w:t xml:space="preserve">known as the Silver Fire </w:t>
      </w:r>
      <w:r w:rsidR="0015540B" w:rsidRPr="001D2647">
        <w:t>broke out in the Plumas National Forest.</w:t>
      </w:r>
      <w:r w:rsidR="00A266AC" w:rsidRPr="001D2647">
        <w:t xml:space="preserve"> </w:t>
      </w:r>
      <w:r w:rsidR="0015540B" w:rsidRPr="001D2647">
        <w:t xml:space="preserve"> </w:t>
      </w:r>
      <w:r w:rsidR="002808EE">
        <w:t xml:space="preserve">Employees of two local fire protection districts managed </w:t>
      </w:r>
      <w:r w:rsidR="00607A9A">
        <w:t>a</w:t>
      </w:r>
      <w:r w:rsidR="00BD72A7">
        <w:t xml:space="preserve"> base camp </w:t>
      </w:r>
      <w:r w:rsidR="00607A9A">
        <w:t xml:space="preserve">set up </w:t>
      </w:r>
      <w:r w:rsidR="00AD488F">
        <w:t xml:space="preserve">at a local fairground </w:t>
      </w:r>
      <w:r w:rsidR="00BD72A7">
        <w:t xml:space="preserve">for the firefighting </w:t>
      </w:r>
      <w:r w:rsidR="00757D80">
        <w:t>response</w:t>
      </w:r>
      <w:r w:rsidR="00BD72A7">
        <w:t>.</w:t>
      </w:r>
      <w:r w:rsidR="00760BCF" w:rsidRPr="001D2647">
        <w:t xml:space="preserve">  </w:t>
      </w:r>
      <w:r w:rsidR="004A460E" w:rsidRPr="001D2647">
        <w:t xml:space="preserve">The base camp management team </w:t>
      </w:r>
      <w:r w:rsidR="00760BCF" w:rsidRPr="001D2647">
        <w:t xml:space="preserve">allowed </w:t>
      </w:r>
      <w:r w:rsidR="009E279B" w:rsidRPr="001D2647">
        <w:t xml:space="preserve">firefighters resting in between firefighting shifts to sleep in tents and sleeping bags </w:t>
      </w:r>
      <w:r w:rsidR="00165841" w:rsidRPr="001D2647">
        <w:t>near</w:t>
      </w:r>
      <w:r w:rsidR="009E279B" w:rsidRPr="001D2647">
        <w:t xml:space="preserve"> </w:t>
      </w:r>
      <w:r w:rsidR="004A460E" w:rsidRPr="001D2647">
        <w:t>a portable shower unit</w:t>
      </w:r>
      <w:r w:rsidR="00760BCF" w:rsidRPr="001D2647">
        <w:t xml:space="preserve">.  </w:t>
      </w:r>
      <w:r w:rsidR="00D65358">
        <w:t xml:space="preserve">Plaintiff </w:t>
      </w:r>
      <w:r w:rsidR="0010075B" w:rsidRPr="001D2647">
        <w:t xml:space="preserve">Rebecca Megan </w:t>
      </w:r>
      <w:r w:rsidR="00760BCF" w:rsidRPr="001D2647">
        <w:t>Quigley, a U</w:t>
      </w:r>
      <w:r w:rsidR="00D65358">
        <w:t xml:space="preserve">nited States </w:t>
      </w:r>
      <w:r w:rsidR="00760BCF" w:rsidRPr="001D2647">
        <w:t xml:space="preserve">Forest Service firefighter, was sleeping in this area when she was run over </w:t>
      </w:r>
      <w:r w:rsidR="001E1C21" w:rsidRPr="001D2647">
        <w:t>by a water truck servicing the shower unit</w:t>
      </w:r>
      <w:r w:rsidR="0015540B" w:rsidRPr="001D2647">
        <w:t>.</w:t>
      </w:r>
      <w:r w:rsidR="009158C6">
        <w:t xml:space="preserve"> </w:t>
      </w:r>
      <w:r w:rsidR="0015540B" w:rsidRPr="001D2647">
        <w:t xml:space="preserve"> </w:t>
      </w:r>
      <w:r w:rsidR="001E1C21" w:rsidRPr="001D2647">
        <w:t>She sustained serious and permanent injuries.</w:t>
      </w:r>
    </w:p>
    <w:p w14:paraId="5AE3E86A" w14:textId="0F3AD75A" w:rsidR="00B15879" w:rsidRPr="001D2647" w:rsidRDefault="0051334F" w:rsidP="001D2647">
      <w:pPr>
        <w:ind w:firstLine="720"/>
      </w:pPr>
      <w:r w:rsidRPr="001D2647">
        <w:t>Q</w:t>
      </w:r>
      <w:r w:rsidR="001B7B20" w:rsidRPr="001D2647">
        <w:t xml:space="preserve">uigley sued </w:t>
      </w:r>
      <w:r w:rsidR="001E1C21" w:rsidRPr="001D2647">
        <w:t>th</w:t>
      </w:r>
      <w:r w:rsidR="00773E5D" w:rsidRPr="001D2647">
        <w:t>ree</w:t>
      </w:r>
      <w:r w:rsidR="001B7B20" w:rsidRPr="001D2647">
        <w:t xml:space="preserve"> </w:t>
      </w:r>
      <w:r w:rsidR="00583D62" w:rsidRPr="001D2647">
        <w:t xml:space="preserve">base camp </w:t>
      </w:r>
      <w:r w:rsidR="00773E5D" w:rsidRPr="001D2647">
        <w:t xml:space="preserve">managers—the </w:t>
      </w:r>
      <w:r w:rsidR="001B7B20" w:rsidRPr="001D2647">
        <w:t>facility unit leader, logistics chief, and camp safety officer</w:t>
      </w:r>
      <w:r w:rsidR="00773E5D" w:rsidRPr="001D2647">
        <w:t>—</w:t>
      </w:r>
      <w:r w:rsidR="001B7B20" w:rsidRPr="001D2647">
        <w:t xml:space="preserve">as well as their employers, </w:t>
      </w:r>
      <w:r w:rsidR="00BC2808" w:rsidRPr="001D2647">
        <w:t xml:space="preserve">the </w:t>
      </w:r>
      <w:r w:rsidR="001B7B20" w:rsidRPr="001D2647">
        <w:t xml:space="preserve">Chester Fire Protection District and </w:t>
      </w:r>
      <w:r w:rsidR="00AF70F2">
        <w:t xml:space="preserve">the </w:t>
      </w:r>
      <w:r w:rsidR="001B7B20" w:rsidRPr="001D2647">
        <w:t xml:space="preserve">Garden Valley Fire </w:t>
      </w:r>
      <w:r w:rsidR="00454117" w:rsidRPr="001D2647">
        <w:t>Protection</w:t>
      </w:r>
      <w:r w:rsidR="001B7B20" w:rsidRPr="001D2647">
        <w:t xml:space="preserve"> District.</w:t>
      </w:r>
      <w:r w:rsidR="00346BF7" w:rsidRPr="001D2647">
        <w:rPr>
          <w:rStyle w:val="FootnoteReference"/>
        </w:rPr>
        <w:footnoteReference w:id="4"/>
      </w:r>
      <w:r w:rsidR="001B7B20" w:rsidRPr="001D2647">
        <w:t xml:space="preserve"> </w:t>
      </w:r>
      <w:r w:rsidR="003301B2" w:rsidRPr="001D2647">
        <w:t xml:space="preserve"> </w:t>
      </w:r>
      <w:r w:rsidR="00BB6357" w:rsidRPr="001D2647">
        <w:t xml:space="preserve">She alleged that </w:t>
      </w:r>
      <w:r w:rsidR="00B15879" w:rsidRPr="001D2647">
        <w:t xml:space="preserve">defendants </w:t>
      </w:r>
      <w:r w:rsidR="00D51AFE" w:rsidRPr="001D2647">
        <w:t xml:space="preserve">were negligent in </w:t>
      </w:r>
      <w:r w:rsidR="00B15879" w:rsidRPr="001D2647">
        <w:t xml:space="preserve">permitting firefighters to sleep in the area where she was run over, without roping the area off or posting signs forbidding vehicles from entering.  She claimed defendants had thereby </w:t>
      </w:r>
      <w:r w:rsidR="00BB6357" w:rsidRPr="001D2647">
        <w:t>created a “dangerous condition</w:t>
      </w:r>
      <w:r w:rsidR="0010075B" w:rsidRPr="001D2647">
        <w:t>”</w:t>
      </w:r>
      <w:r w:rsidR="00BB6357" w:rsidRPr="001D2647">
        <w:t xml:space="preserve"> of public property,</w:t>
      </w:r>
      <w:r w:rsidRPr="001D2647">
        <w:t xml:space="preserve"> for which public entities may be held </w:t>
      </w:r>
      <w:r w:rsidR="00BB6357" w:rsidRPr="001D2647">
        <w:t xml:space="preserve">liable under section 835 of the </w:t>
      </w:r>
      <w:r w:rsidR="00186861" w:rsidRPr="001D2647">
        <w:t>G</w:t>
      </w:r>
      <w:r w:rsidR="00D51AFE" w:rsidRPr="001D2647">
        <w:t>overnment Code</w:t>
      </w:r>
      <w:r w:rsidR="00BB6357" w:rsidRPr="001D2647">
        <w:t xml:space="preserve">. </w:t>
      </w:r>
    </w:p>
    <w:p w14:paraId="74581F3F" w14:textId="77777777" w:rsidR="00167FB4" w:rsidRPr="001D2647" w:rsidRDefault="00924D3F" w:rsidP="00AD488F">
      <w:pPr>
        <w:ind w:firstLine="720"/>
      </w:pPr>
      <w:r w:rsidRPr="001D2647">
        <w:t xml:space="preserve">In their answer, defendants alleged </w:t>
      </w:r>
      <w:r w:rsidR="0010075B" w:rsidRPr="001D2647">
        <w:t>38</w:t>
      </w:r>
      <w:r w:rsidRPr="001D2647">
        <w:t xml:space="preserve"> affirmative defenses, including </w:t>
      </w:r>
      <w:r w:rsidR="0010075B" w:rsidRPr="001D2647">
        <w:t>11</w:t>
      </w:r>
      <w:r w:rsidRPr="001D2647">
        <w:t xml:space="preserve"> defenses asserting immunity under </w:t>
      </w:r>
      <w:r w:rsidR="0010075B" w:rsidRPr="001D2647">
        <w:t>17</w:t>
      </w:r>
      <w:r w:rsidR="00F96164" w:rsidRPr="001D2647">
        <w:t xml:space="preserve"> </w:t>
      </w:r>
      <w:r w:rsidRPr="001D2647">
        <w:lastRenderedPageBreak/>
        <w:t>individually</w:t>
      </w:r>
      <w:r w:rsidR="004467A6" w:rsidRPr="001D2647">
        <w:t xml:space="preserve"> </w:t>
      </w:r>
      <w:r w:rsidRPr="001D2647">
        <w:t>cited sections of the GC</w:t>
      </w:r>
      <w:r w:rsidR="00A24263" w:rsidRPr="001D2647">
        <w:t>A</w:t>
      </w:r>
      <w:r w:rsidR="00CF66A2" w:rsidRPr="001D2647">
        <w:t xml:space="preserve">. </w:t>
      </w:r>
      <w:r w:rsidR="00F03BD3" w:rsidRPr="001D2647">
        <w:t xml:space="preserve"> </w:t>
      </w:r>
      <w:r w:rsidR="00AD488F">
        <w:t xml:space="preserve">These </w:t>
      </w:r>
      <w:r w:rsidR="00915282">
        <w:t xml:space="preserve">individually cited </w:t>
      </w:r>
      <w:r w:rsidR="00AD488F">
        <w:t xml:space="preserve">defenses ranged from </w:t>
      </w:r>
      <w:r w:rsidR="00915282">
        <w:t>property inspection immunity (Gov. Code, §</w:t>
      </w:r>
      <w:r w:rsidR="00B74E7F">
        <w:t> </w:t>
      </w:r>
      <w:r w:rsidR="00915282">
        <w:t>818.6) to discretionary act immunity (</w:t>
      </w:r>
      <w:r w:rsidR="009158C6" w:rsidRPr="009158C6">
        <w:rPr>
          <w:i/>
        </w:rPr>
        <w:t>id.</w:t>
      </w:r>
      <w:r w:rsidR="00915282">
        <w:t>, §</w:t>
      </w:r>
      <w:r w:rsidR="00B74E7F">
        <w:t> </w:t>
      </w:r>
      <w:r w:rsidR="00915282">
        <w:t>820.2)</w:t>
      </w:r>
      <w:r w:rsidR="00AD488F">
        <w:t>.  Defendants did not</w:t>
      </w:r>
      <w:r w:rsidR="00915282">
        <w:t xml:space="preserve"> </w:t>
      </w:r>
      <w:r w:rsidR="00AD488F">
        <w:t xml:space="preserve">allege </w:t>
      </w:r>
      <w:r w:rsidR="001C2F16" w:rsidRPr="001D2647">
        <w:t>the immunity conferred by s</w:t>
      </w:r>
      <w:r w:rsidR="005978BD" w:rsidRPr="001D2647">
        <w:t xml:space="preserve">ection 850.4.  They did, however, raise a </w:t>
      </w:r>
      <w:r w:rsidR="00D65358">
        <w:t>f</w:t>
      </w:r>
      <w:r w:rsidR="00BB6357" w:rsidRPr="001D2647">
        <w:t xml:space="preserve">ifteenth </w:t>
      </w:r>
      <w:r w:rsidR="00D65358">
        <w:t>a</w:t>
      </w:r>
      <w:r w:rsidR="00BB6357" w:rsidRPr="001D2647">
        <w:t xml:space="preserve">ffirmative </w:t>
      </w:r>
      <w:r w:rsidR="00D65358">
        <w:t>d</w:t>
      </w:r>
      <w:r w:rsidR="00BB6357" w:rsidRPr="001D2647">
        <w:t>efense</w:t>
      </w:r>
      <w:r w:rsidR="005978BD" w:rsidRPr="001D2647">
        <w:t xml:space="preserve"> that cited </w:t>
      </w:r>
      <w:r w:rsidR="00BB6357" w:rsidRPr="001D2647">
        <w:t xml:space="preserve">inclusively to all immunities under the GCA: </w:t>
      </w:r>
      <w:r w:rsidR="00FF5E3C" w:rsidRPr="001D2647">
        <w:t xml:space="preserve"> </w:t>
      </w:r>
      <w:r w:rsidR="00BB6357" w:rsidRPr="001D2647">
        <w:t>“A public entity and its employees are immune from liability for damages alleged in the complaint and Defendants assert all defenses and rights granted to them by the provisions of Government Code section</w:t>
      </w:r>
      <w:r w:rsidR="004467A6" w:rsidRPr="001D2647">
        <w:t>s</w:t>
      </w:r>
      <w:r w:rsidR="00BB6357" w:rsidRPr="001D2647">
        <w:t xml:space="preserve"> 810 through 996.6, inclusive.” </w:t>
      </w:r>
    </w:p>
    <w:p w14:paraId="73B39909" w14:textId="77777777" w:rsidR="00915282" w:rsidRDefault="00340B27" w:rsidP="002933B6">
      <w:pPr>
        <w:ind w:firstLine="720"/>
      </w:pPr>
      <w:r w:rsidRPr="001D2647">
        <w:t xml:space="preserve">Trial </w:t>
      </w:r>
      <w:r w:rsidR="0096351E" w:rsidRPr="001D2647">
        <w:t xml:space="preserve">began </w:t>
      </w:r>
      <w:r w:rsidRPr="001D2647">
        <w:t xml:space="preserve">more than four years after the complaint was filed. </w:t>
      </w:r>
      <w:r w:rsidR="00FF5E3C" w:rsidRPr="001D2647">
        <w:t xml:space="preserve"> </w:t>
      </w:r>
      <w:r w:rsidRPr="001D2647">
        <w:t xml:space="preserve">After Quigley’s counsel </w:t>
      </w:r>
      <w:r w:rsidR="00167FB4" w:rsidRPr="001D2647">
        <w:t>completed</w:t>
      </w:r>
      <w:r w:rsidRPr="001D2647">
        <w:t xml:space="preserve"> his opening statement, defen</w:t>
      </w:r>
      <w:r w:rsidR="0096351E" w:rsidRPr="001D2647">
        <w:t>se</w:t>
      </w:r>
      <w:r w:rsidRPr="001D2647">
        <w:t xml:space="preserve"> counsel presented a written motion for nonsuit</w:t>
      </w:r>
      <w:r w:rsidR="00AD488F">
        <w:t xml:space="preserve">, </w:t>
      </w:r>
      <w:r w:rsidR="00536014">
        <w:t xml:space="preserve">in which defendants </w:t>
      </w:r>
      <w:r w:rsidR="00AD488F">
        <w:t xml:space="preserve">for the first time invoked </w:t>
      </w:r>
      <w:r w:rsidR="00AB6BCC" w:rsidRPr="001D2647">
        <w:t>section 850.4</w:t>
      </w:r>
      <w:r w:rsidR="00985851">
        <w:t>.</w:t>
      </w:r>
      <w:r w:rsidR="002808EE">
        <w:t xml:space="preserve">  </w:t>
      </w:r>
      <w:r w:rsidR="00536014">
        <w:t xml:space="preserve">Quigley objected on the ground </w:t>
      </w:r>
      <w:r w:rsidR="00D65358">
        <w:t xml:space="preserve">that </w:t>
      </w:r>
      <w:r w:rsidR="00536014">
        <w:t xml:space="preserve">defendants had waived any argument they might have under section 850.4 by failing to invoke </w:t>
      </w:r>
      <w:r w:rsidR="00AF70F2">
        <w:t>the immunity</w:t>
      </w:r>
      <w:r w:rsidR="00536014">
        <w:t xml:space="preserve"> in their answer.</w:t>
      </w:r>
      <w:r w:rsidR="00915282">
        <w:t xml:space="preserve">  (See </w:t>
      </w:r>
      <w:r w:rsidR="00915282" w:rsidRPr="001D2647">
        <w:t xml:space="preserve">Code Civ. Proc., § 430.80, </w:t>
      </w:r>
      <w:proofErr w:type="spellStart"/>
      <w:r w:rsidR="00915282" w:rsidRPr="001D2647">
        <w:t>subd</w:t>
      </w:r>
      <w:proofErr w:type="spellEnd"/>
      <w:proofErr w:type="gramStart"/>
      <w:r w:rsidR="00915282" w:rsidRPr="001D2647">
        <w:t xml:space="preserve">. </w:t>
      </w:r>
      <w:proofErr w:type="gramEnd"/>
      <w:r w:rsidR="00915282" w:rsidRPr="001D2647">
        <w:t>(a).)</w:t>
      </w:r>
      <w:r w:rsidR="00915282" w:rsidRPr="001D2647">
        <w:rPr>
          <w:rStyle w:val="FootnoteReference"/>
        </w:rPr>
        <w:footnoteReference w:id="5"/>
      </w:r>
    </w:p>
    <w:p w14:paraId="4C02F6DD" w14:textId="77777777" w:rsidR="00D5505B" w:rsidRPr="001D2647" w:rsidRDefault="00536014" w:rsidP="002933B6">
      <w:pPr>
        <w:ind w:firstLine="720"/>
      </w:pPr>
      <w:r>
        <w:lastRenderedPageBreak/>
        <w:t xml:space="preserve">The trial court overruled Quigley’s objection, reasoning </w:t>
      </w:r>
      <w:r w:rsidR="00D65358">
        <w:t xml:space="preserve">that </w:t>
      </w:r>
      <w:r>
        <w:t xml:space="preserve">defendants could not have waived section 850.4 immunity because </w:t>
      </w:r>
      <w:r w:rsidRPr="001D2647">
        <w:t>“governmental immunity is jurisdictional and can’t be waived.”</w:t>
      </w:r>
      <w:r>
        <w:t xml:space="preserve">  On the merits, the trial court agreed with defendants that Quigley’s cause of action sought recovery for </w:t>
      </w:r>
      <w:r w:rsidR="005051E3">
        <w:t>injuries</w:t>
      </w:r>
      <w:r>
        <w:t xml:space="preserve"> caused by a condition of firefighting facilities—namely, the base camp—and was thus barred by section 850.4 immunity.</w:t>
      </w:r>
      <w:r w:rsidRPr="001D2647" w:rsidDel="00536014">
        <w:t xml:space="preserve"> </w:t>
      </w:r>
    </w:p>
    <w:p w14:paraId="28C55B39" w14:textId="5F64464D" w:rsidR="005000CD" w:rsidRPr="001D2647" w:rsidRDefault="00340B27" w:rsidP="001D2647">
      <w:pPr>
        <w:ind w:firstLine="720"/>
      </w:pPr>
      <w:r w:rsidRPr="001D2647">
        <w:t xml:space="preserve">Quigley </w:t>
      </w:r>
      <w:r w:rsidR="005F5884">
        <w:t xml:space="preserve">later </w:t>
      </w:r>
      <w:r w:rsidR="00D5505B" w:rsidRPr="001D2647">
        <w:t xml:space="preserve">renewed her objection in a motion </w:t>
      </w:r>
      <w:r w:rsidRPr="001D2647">
        <w:t xml:space="preserve">for a new trial, which the court denied. </w:t>
      </w:r>
      <w:r w:rsidR="00EB0E44" w:rsidRPr="001D2647">
        <w:t xml:space="preserve"> </w:t>
      </w:r>
      <w:r w:rsidRPr="001D2647">
        <w:t>In ruling on th</w:t>
      </w:r>
      <w:r w:rsidR="00995E6D" w:rsidRPr="001D2647">
        <w:t>at</w:t>
      </w:r>
      <w:r w:rsidRPr="001D2647">
        <w:t xml:space="preserve"> motion, the court </w:t>
      </w:r>
      <w:r w:rsidR="008D5CB6" w:rsidRPr="001D2647">
        <w:t xml:space="preserve">offered a different rationale for entertaining defendants’ late-raised section 850.4 argument.  It </w:t>
      </w:r>
      <w:r w:rsidRPr="001D2647">
        <w:t xml:space="preserve">held that defendants did not waive section 850.4 </w:t>
      </w:r>
      <w:r w:rsidR="00A7270F" w:rsidRPr="001D2647">
        <w:t xml:space="preserve">immunity </w:t>
      </w:r>
      <w:r w:rsidRPr="001D2647">
        <w:t xml:space="preserve">because defendants’ “general allegation </w:t>
      </w:r>
      <w:r w:rsidR="00801748" w:rsidRPr="001D2647">
        <w:t xml:space="preserve">[in the </w:t>
      </w:r>
      <w:r w:rsidR="00D65358">
        <w:t>f</w:t>
      </w:r>
      <w:r w:rsidR="00801748" w:rsidRPr="001D2647">
        <w:t xml:space="preserve">ifteenth </w:t>
      </w:r>
      <w:r w:rsidR="00D65358">
        <w:t>a</w:t>
      </w:r>
      <w:r w:rsidR="00801748" w:rsidRPr="001D2647">
        <w:t xml:space="preserve">ffirmative </w:t>
      </w:r>
      <w:r w:rsidR="00D65358">
        <w:t>d</w:t>
      </w:r>
      <w:r w:rsidR="00801748" w:rsidRPr="001D2647">
        <w:t xml:space="preserve">efense] </w:t>
      </w:r>
      <w:r w:rsidRPr="001D2647">
        <w:t>that [they] were immune from liability as public entities and public employees is sufficient to assert governmental immunity under section 850.4.”</w:t>
      </w:r>
      <w:r w:rsidR="00EB0E44" w:rsidRPr="001D2647">
        <w:t xml:space="preserve"> </w:t>
      </w:r>
      <w:r w:rsidRPr="001D2647">
        <w:t xml:space="preserve">  </w:t>
      </w:r>
    </w:p>
    <w:p w14:paraId="36495281" w14:textId="77777777" w:rsidR="001369AC" w:rsidRDefault="00F72C88" w:rsidP="00F72C88">
      <w:pPr>
        <w:ind w:firstLine="720"/>
      </w:pPr>
      <w:r>
        <w:t xml:space="preserve">On appeal, Quigley again renewed her objection to defendants’ belated invocation of section 850.4 immunity.  The Court of Appeal rejected the argument.  </w:t>
      </w:r>
      <w:r w:rsidR="00937B48">
        <w:t>Without addressing whether defendants</w:t>
      </w:r>
      <w:r w:rsidR="00F43D46">
        <w:t>’</w:t>
      </w:r>
      <w:r w:rsidR="00937B48">
        <w:t xml:space="preserve"> omnibus pleading of the entire GCA </w:t>
      </w:r>
      <w:r w:rsidR="00A474D7">
        <w:t>was</w:t>
      </w:r>
      <w:r>
        <w:t xml:space="preserve"> </w:t>
      </w:r>
      <w:r w:rsidR="00937B48">
        <w:t>adequate to preserve defendants</w:t>
      </w:r>
      <w:r w:rsidR="00F43D46">
        <w:t>’</w:t>
      </w:r>
      <w:r w:rsidR="00937B48">
        <w:t xml:space="preserve"> section 850.4 argument, the Court of Appeal </w:t>
      </w:r>
      <w:r>
        <w:t xml:space="preserve">agreed with the trial court </w:t>
      </w:r>
      <w:r w:rsidR="00937B48">
        <w:t>that defendants could not have waived the issue because section 850.4 is “jurisdictional” and therefore may be raised “at any time.”</w:t>
      </w:r>
      <w:r w:rsidR="001369AC">
        <w:t xml:space="preserve">  Proceeding to the merits, the Court of Appeal also agreed with the trial court that section 850.4 immunity applies to injuries </w:t>
      </w:r>
      <w:r w:rsidR="001369AC">
        <w:lastRenderedPageBreak/>
        <w:t>resulting from the condition of a firefighting base camp, and thus affirmed the award of nonsuit to defendants.</w:t>
      </w:r>
      <w:r w:rsidR="001369AC" w:rsidRPr="001D2647">
        <w:rPr>
          <w:rStyle w:val="FootnoteReference"/>
          <w:color w:val="000000"/>
        </w:rPr>
        <w:footnoteReference w:id="6"/>
      </w:r>
    </w:p>
    <w:p w14:paraId="35EEEC91" w14:textId="77777777" w:rsidR="005000CD" w:rsidRPr="001D2647" w:rsidRDefault="00F978D0" w:rsidP="001D2647">
      <w:pPr>
        <w:ind w:firstLine="720"/>
      </w:pPr>
      <w:r w:rsidRPr="001D2647">
        <w:rPr>
          <w:color w:val="000000"/>
        </w:rPr>
        <w:t xml:space="preserve">The </w:t>
      </w:r>
      <w:r w:rsidR="0053760E" w:rsidRPr="001D2647">
        <w:rPr>
          <w:color w:val="000000"/>
        </w:rPr>
        <w:t>C</w:t>
      </w:r>
      <w:r w:rsidRPr="001D2647">
        <w:rPr>
          <w:color w:val="000000"/>
        </w:rPr>
        <w:t xml:space="preserve">ourt of </w:t>
      </w:r>
      <w:r w:rsidR="0053760E" w:rsidRPr="001D2647">
        <w:rPr>
          <w:color w:val="000000"/>
        </w:rPr>
        <w:t>A</w:t>
      </w:r>
      <w:r w:rsidR="00340B27" w:rsidRPr="001D2647">
        <w:rPr>
          <w:color w:val="000000"/>
        </w:rPr>
        <w:t xml:space="preserve">ppeal recognized that </w:t>
      </w:r>
      <w:r w:rsidR="001369AC">
        <w:rPr>
          <w:color w:val="000000"/>
        </w:rPr>
        <w:t xml:space="preserve">its jurisdictional ruling </w:t>
      </w:r>
      <w:r w:rsidR="00340B27" w:rsidRPr="001D2647">
        <w:rPr>
          <w:color w:val="000000"/>
        </w:rPr>
        <w:t xml:space="preserve">created a conflict with </w:t>
      </w:r>
      <w:r w:rsidR="00340B27" w:rsidRPr="001D2647">
        <w:rPr>
          <w:i/>
          <w:color w:val="000000"/>
        </w:rPr>
        <w:t>McMahan’s of Santa Monica v. City of Santa Monica</w:t>
      </w:r>
      <w:r w:rsidR="00340B27" w:rsidRPr="001D2647">
        <w:rPr>
          <w:color w:val="000000"/>
        </w:rPr>
        <w:t xml:space="preserve"> (1983) 146 Cal.App.3d 683</w:t>
      </w:r>
      <w:r w:rsidR="0053760E" w:rsidRPr="001D2647">
        <w:rPr>
          <w:color w:val="000000"/>
        </w:rPr>
        <w:t>.</w:t>
      </w:r>
      <w:r w:rsidR="00340B27" w:rsidRPr="001D2647">
        <w:rPr>
          <w:color w:val="000000"/>
        </w:rPr>
        <w:t xml:space="preserve"> </w:t>
      </w:r>
      <w:r w:rsidR="002D4E93" w:rsidRPr="001D2647">
        <w:rPr>
          <w:color w:val="000000"/>
        </w:rPr>
        <w:t xml:space="preserve"> </w:t>
      </w:r>
      <w:r w:rsidR="00340B27" w:rsidRPr="001D2647">
        <w:rPr>
          <w:color w:val="000000"/>
        </w:rPr>
        <w:t xml:space="preserve">In </w:t>
      </w:r>
      <w:r w:rsidR="00340B27" w:rsidRPr="001D2647">
        <w:rPr>
          <w:i/>
          <w:color w:val="000000"/>
        </w:rPr>
        <w:t>McMahan’s</w:t>
      </w:r>
      <w:r w:rsidR="00340B27" w:rsidRPr="001D2647">
        <w:rPr>
          <w:color w:val="000000"/>
        </w:rPr>
        <w:t xml:space="preserve">, a </w:t>
      </w:r>
      <w:r w:rsidR="00C94775" w:rsidRPr="001D2647">
        <w:rPr>
          <w:color w:val="000000"/>
        </w:rPr>
        <w:t xml:space="preserve">corroded </w:t>
      </w:r>
      <w:r w:rsidR="00340B27" w:rsidRPr="001D2647">
        <w:rPr>
          <w:color w:val="000000"/>
        </w:rPr>
        <w:t>city water main broke</w:t>
      </w:r>
      <w:r w:rsidR="009076AC" w:rsidRPr="001D2647">
        <w:rPr>
          <w:color w:val="000000"/>
        </w:rPr>
        <w:t xml:space="preserve">, spewing water that damaged </w:t>
      </w:r>
      <w:r w:rsidR="00165841" w:rsidRPr="001D2647">
        <w:rPr>
          <w:color w:val="000000"/>
        </w:rPr>
        <w:t xml:space="preserve">the </w:t>
      </w:r>
      <w:r w:rsidR="009076AC" w:rsidRPr="001D2647">
        <w:rPr>
          <w:color w:val="000000"/>
        </w:rPr>
        <w:t>plaintiff’s store</w:t>
      </w:r>
      <w:r w:rsidR="00340B27" w:rsidRPr="001D2647">
        <w:rPr>
          <w:color w:val="000000"/>
        </w:rPr>
        <w:t>.</w:t>
      </w:r>
      <w:r w:rsidR="00EB0E44" w:rsidRPr="001D2647">
        <w:rPr>
          <w:color w:val="000000"/>
        </w:rPr>
        <w:t xml:space="preserve"> </w:t>
      </w:r>
      <w:r w:rsidR="00340B27" w:rsidRPr="001D2647">
        <w:rPr>
          <w:color w:val="000000"/>
        </w:rPr>
        <w:t xml:space="preserve"> </w:t>
      </w:r>
      <w:r w:rsidR="00E6725E" w:rsidRPr="001D2647">
        <w:rPr>
          <w:color w:val="000000"/>
        </w:rPr>
        <w:t>T</w:t>
      </w:r>
      <w:r w:rsidR="009076AC" w:rsidRPr="001D2647">
        <w:rPr>
          <w:color w:val="000000"/>
        </w:rPr>
        <w:t xml:space="preserve">he </w:t>
      </w:r>
      <w:r w:rsidR="00340B27" w:rsidRPr="001D2647">
        <w:rPr>
          <w:color w:val="000000"/>
        </w:rPr>
        <w:t xml:space="preserve">city argued for the first time </w:t>
      </w:r>
      <w:r w:rsidR="009076AC" w:rsidRPr="001D2647">
        <w:rPr>
          <w:color w:val="000000"/>
        </w:rPr>
        <w:t>on appeal that</w:t>
      </w:r>
      <w:r w:rsidR="00E6725E" w:rsidRPr="001D2647">
        <w:rPr>
          <w:color w:val="000000"/>
        </w:rPr>
        <w:t xml:space="preserve"> it was immune from </w:t>
      </w:r>
      <w:r w:rsidR="00165841" w:rsidRPr="001D2647">
        <w:rPr>
          <w:color w:val="000000"/>
        </w:rPr>
        <w:t xml:space="preserve">the </w:t>
      </w:r>
      <w:r w:rsidR="00E6725E" w:rsidRPr="001D2647">
        <w:rPr>
          <w:color w:val="000000"/>
        </w:rPr>
        <w:t>plaintiff’s damages claim under section 850.4, because</w:t>
      </w:r>
      <w:r w:rsidR="009076AC" w:rsidRPr="001D2647">
        <w:rPr>
          <w:color w:val="000000"/>
        </w:rPr>
        <w:t xml:space="preserve"> </w:t>
      </w:r>
      <w:r w:rsidR="00E6725E" w:rsidRPr="001D2647">
        <w:rPr>
          <w:color w:val="000000"/>
        </w:rPr>
        <w:t>the water pipe was “fire protection equipment.”</w:t>
      </w:r>
      <w:r w:rsidR="00EB0E44" w:rsidRPr="001D2647">
        <w:rPr>
          <w:color w:val="000000"/>
        </w:rPr>
        <w:t xml:space="preserve"> </w:t>
      </w:r>
      <w:r w:rsidR="00340B27" w:rsidRPr="001D2647">
        <w:rPr>
          <w:color w:val="000000"/>
        </w:rPr>
        <w:t xml:space="preserve"> The </w:t>
      </w:r>
      <w:r w:rsidR="0053760E" w:rsidRPr="001D2647">
        <w:rPr>
          <w:color w:val="000000"/>
        </w:rPr>
        <w:t xml:space="preserve">appellate </w:t>
      </w:r>
      <w:r w:rsidR="00E6725E" w:rsidRPr="001D2647">
        <w:rPr>
          <w:color w:val="000000"/>
        </w:rPr>
        <w:t>court declined to consider the argument</w:t>
      </w:r>
      <w:r w:rsidR="00340B27" w:rsidRPr="001D2647">
        <w:rPr>
          <w:color w:val="000000"/>
        </w:rPr>
        <w:t xml:space="preserve">, </w:t>
      </w:r>
      <w:r w:rsidR="0053760E" w:rsidRPr="001D2647">
        <w:rPr>
          <w:color w:val="000000"/>
        </w:rPr>
        <w:t xml:space="preserve">taking the view </w:t>
      </w:r>
      <w:r w:rsidR="00340B27" w:rsidRPr="001D2647">
        <w:rPr>
          <w:color w:val="000000"/>
        </w:rPr>
        <w:t xml:space="preserve">that section 850.4 </w:t>
      </w:r>
      <w:r w:rsidR="00E6725E" w:rsidRPr="001D2647">
        <w:rPr>
          <w:color w:val="000000"/>
        </w:rPr>
        <w:t xml:space="preserve">provides an </w:t>
      </w:r>
      <w:r w:rsidR="00340B27" w:rsidRPr="001D2647">
        <w:rPr>
          <w:color w:val="000000"/>
        </w:rPr>
        <w:t xml:space="preserve">affirmative defense that the city </w:t>
      </w:r>
      <w:r w:rsidR="007835EC" w:rsidRPr="001D2647">
        <w:rPr>
          <w:color w:val="000000"/>
        </w:rPr>
        <w:t>waive</w:t>
      </w:r>
      <w:r w:rsidR="00E82000" w:rsidRPr="001D2647">
        <w:rPr>
          <w:color w:val="000000"/>
        </w:rPr>
        <w:t xml:space="preserve">d </w:t>
      </w:r>
      <w:r w:rsidR="00340B27" w:rsidRPr="001D2647">
        <w:rPr>
          <w:color w:val="000000"/>
        </w:rPr>
        <w:t>b</w:t>
      </w:r>
      <w:r w:rsidR="00E6725E" w:rsidRPr="001D2647">
        <w:rPr>
          <w:color w:val="000000"/>
        </w:rPr>
        <w:t xml:space="preserve">y failing to plead and prove </w:t>
      </w:r>
      <w:r w:rsidR="00BC2626" w:rsidRPr="001D2647">
        <w:rPr>
          <w:color w:val="000000"/>
        </w:rPr>
        <w:t xml:space="preserve">it </w:t>
      </w:r>
      <w:r w:rsidR="00340B27" w:rsidRPr="001D2647">
        <w:rPr>
          <w:color w:val="000000"/>
        </w:rPr>
        <w:t>before the trial court.</w:t>
      </w:r>
    </w:p>
    <w:p w14:paraId="29F63804" w14:textId="77777777" w:rsidR="00F72C88" w:rsidRDefault="00340B27" w:rsidP="00F01465">
      <w:pPr>
        <w:ind w:firstLine="720"/>
        <w:rPr>
          <w:color w:val="000000"/>
        </w:rPr>
      </w:pPr>
      <w:r w:rsidRPr="001D2647">
        <w:rPr>
          <w:color w:val="000000"/>
        </w:rPr>
        <w:t xml:space="preserve">The </w:t>
      </w:r>
      <w:r w:rsidR="0053760E" w:rsidRPr="001D2647">
        <w:rPr>
          <w:color w:val="000000"/>
        </w:rPr>
        <w:t>C</w:t>
      </w:r>
      <w:r w:rsidR="00A25CB6" w:rsidRPr="001D2647">
        <w:rPr>
          <w:color w:val="000000"/>
        </w:rPr>
        <w:t xml:space="preserve">ourt of </w:t>
      </w:r>
      <w:r w:rsidR="0053760E" w:rsidRPr="001D2647">
        <w:rPr>
          <w:color w:val="000000"/>
        </w:rPr>
        <w:t>A</w:t>
      </w:r>
      <w:r w:rsidR="00A25CB6" w:rsidRPr="001D2647">
        <w:rPr>
          <w:color w:val="000000"/>
        </w:rPr>
        <w:t>ppeal</w:t>
      </w:r>
      <w:r w:rsidRPr="001D2647">
        <w:rPr>
          <w:color w:val="000000"/>
        </w:rPr>
        <w:t xml:space="preserve"> </w:t>
      </w:r>
      <w:r w:rsidR="001F0AD7">
        <w:rPr>
          <w:color w:val="000000"/>
        </w:rPr>
        <w:t xml:space="preserve">criticized </w:t>
      </w:r>
      <w:r w:rsidRPr="001D2647">
        <w:rPr>
          <w:i/>
          <w:color w:val="000000"/>
        </w:rPr>
        <w:t>McMahan’s</w:t>
      </w:r>
      <w:r w:rsidR="001F0AD7">
        <w:rPr>
          <w:i/>
          <w:color w:val="000000"/>
        </w:rPr>
        <w:t xml:space="preserve"> </w:t>
      </w:r>
      <w:r w:rsidR="001F0AD7">
        <w:rPr>
          <w:color w:val="000000"/>
        </w:rPr>
        <w:t xml:space="preserve">for failing to distinguish between those </w:t>
      </w:r>
      <w:r w:rsidRPr="001D2647">
        <w:rPr>
          <w:color w:val="000000"/>
        </w:rPr>
        <w:t xml:space="preserve">sections of the </w:t>
      </w:r>
      <w:r w:rsidR="00BC2626" w:rsidRPr="001D2647">
        <w:rPr>
          <w:color w:val="000000"/>
        </w:rPr>
        <w:t>G</w:t>
      </w:r>
      <w:r w:rsidR="00697B6D" w:rsidRPr="001D2647">
        <w:rPr>
          <w:color w:val="000000"/>
        </w:rPr>
        <w:t>CA</w:t>
      </w:r>
      <w:r w:rsidRPr="001D2647">
        <w:rPr>
          <w:color w:val="000000"/>
        </w:rPr>
        <w:t xml:space="preserve"> that provide “qualified</w:t>
      </w:r>
      <w:r w:rsidR="00D65358">
        <w:rPr>
          <w:color w:val="000000"/>
        </w:rPr>
        <w:t>”</w:t>
      </w:r>
      <w:r w:rsidRPr="001D2647">
        <w:rPr>
          <w:color w:val="000000"/>
        </w:rPr>
        <w:t xml:space="preserve"> immunity</w:t>
      </w:r>
      <w:r w:rsidR="00F72C88">
        <w:rPr>
          <w:color w:val="000000"/>
        </w:rPr>
        <w:t xml:space="preserve"> </w:t>
      </w:r>
      <w:r w:rsidRPr="001D2647">
        <w:rPr>
          <w:color w:val="000000"/>
        </w:rPr>
        <w:t xml:space="preserve">and </w:t>
      </w:r>
      <w:r w:rsidR="00CB30A3">
        <w:rPr>
          <w:color w:val="000000"/>
        </w:rPr>
        <w:t>those</w:t>
      </w:r>
      <w:r w:rsidR="00CB30A3" w:rsidRPr="001D2647">
        <w:rPr>
          <w:color w:val="000000"/>
        </w:rPr>
        <w:t xml:space="preserve"> </w:t>
      </w:r>
      <w:r w:rsidRPr="001D2647">
        <w:rPr>
          <w:color w:val="000000"/>
        </w:rPr>
        <w:t>that provide “absolute</w:t>
      </w:r>
      <w:r w:rsidR="00D65358">
        <w:rPr>
          <w:color w:val="000000"/>
        </w:rPr>
        <w:t>”</w:t>
      </w:r>
      <w:r w:rsidRPr="001D2647">
        <w:rPr>
          <w:color w:val="000000"/>
        </w:rPr>
        <w:t xml:space="preserve"> immunity.</w:t>
      </w:r>
      <w:r w:rsidR="000F5450">
        <w:rPr>
          <w:color w:val="000000"/>
        </w:rPr>
        <w:t xml:space="preserve">  The Court of Appeal reasoned that the first </w:t>
      </w:r>
      <w:r w:rsidR="00050DBD">
        <w:rPr>
          <w:color w:val="000000"/>
        </w:rPr>
        <w:t xml:space="preserve">kind </w:t>
      </w:r>
      <w:r w:rsidR="000F5450">
        <w:rPr>
          <w:color w:val="000000"/>
        </w:rPr>
        <w:t xml:space="preserve">of immunity provision </w:t>
      </w:r>
      <w:r w:rsidR="00F72C88">
        <w:rPr>
          <w:color w:val="000000"/>
        </w:rPr>
        <w:t xml:space="preserve">creates </w:t>
      </w:r>
      <w:r w:rsidR="000F5450">
        <w:rPr>
          <w:color w:val="000000"/>
        </w:rPr>
        <w:t xml:space="preserve">an affirmative defense because the public entity must make </w:t>
      </w:r>
      <w:proofErr w:type="gramStart"/>
      <w:r w:rsidR="000F5450">
        <w:rPr>
          <w:color w:val="000000"/>
        </w:rPr>
        <w:t>some</w:t>
      </w:r>
      <w:proofErr w:type="gramEnd"/>
      <w:r w:rsidR="000F5450">
        <w:rPr>
          <w:color w:val="000000"/>
        </w:rPr>
        <w:t xml:space="preserve"> sort of affirmative showing to establish the immunity applies.  The court pointed to </w:t>
      </w:r>
      <w:r w:rsidRPr="001D2647">
        <w:rPr>
          <w:i/>
          <w:color w:val="000000"/>
        </w:rPr>
        <w:t>De La Rosa v. City of San Bernardino</w:t>
      </w:r>
      <w:r w:rsidRPr="001D2647">
        <w:rPr>
          <w:color w:val="000000"/>
        </w:rPr>
        <w:t xml:space="preserve"> (1971) </w:t>
      </w:r>
      <w:r w:rsidR="00BC2626" w:rsidRPr="001D2647">
        <w:rPr>
          <w:color w:val="000000"/>
        </w:rPr>
        <w:t>16 Cal.App.3d 739</w:t>
      </w:r>
      <w:r w:rsidR="00FC520A">
        <w:rPr>
          <w:color w:val="000000"/>
        </w:rPr>
        <w:t xml:space="preserve">, on which </w:t>
      </w:r>
      <w:r w:rsidR="00FC520A">
        <w:rPr>
          <w:i/>
          <w:color w:val="000000"/>
        </w:rPr>
        <w:t>McMahan’s</w:t>
      </w:r>
      <w:r w:rsidR="00FC520A">
        <w:rPr>
          <w:color w:val="000000"/>
        </w:rPr>
        <w:t xml:space="preserve"> had relied</w:t>
      </w:r>
      <w:r w:rsidR="00F01465">
        <w:rPr>
          <w:color w:val="000000"/>
        </w:rPr>
        <w:t xml:space="preserve">, as </w:t>
      </w:r>
      <w:r w:rsidR="00F72C88">
        <w:rPr>
          <w:color w:val="000000"/>
        </w:rPr>
        <w:t xml:space="preserve">one </w:t>
      </w:r>
      <w:r w:rsidR="00F01465">
        <w:rPr>
          <w:color w:val="000000"/>
        </w:rPr>
        <w:t>example</w:t>
      </w:r>
      <w:r w:rsidR="00F72C88">
        <w:rPr>
          <w:color w:val="000000"/>
        </w:rPr>
        <w:t xml:space="preserve"> of a qualified immunity in action</w:t>
      </w:r>
      <w:r w:rsidR="00E23E7D">
        <w:rPr>
          <w:color w:val="000000"/>
        </w:rPr>
        <w:t>.</w:t>
      </w:r>
      <w:r w:rsidR="00F01465">
        <w:rPr>
          <w:color w:val="000000"/>
        </w:rPr>
        <w:t xml:space="preserve"> </w:t>
      </w:r>
      <w:r w:rsidR="00846240">
        <w:rPr>
          <w:color w:val="000000"/>
        </w:rPr>
        <w:t xml:space="preserve"> </w:t>
      </w:r>
      <w:r w:rsidRPr="001D2647">
        <w:rPr>
          <w:i/>
          <w:color w:val="000000"/>
        </w:rPr>
        <w:t>De La Rosa</w:t>
      </w:r>
      <w:r w:rsidR="00F01465">
        <w:rPr>
          <w:color w:val="000000"/>
        </w:rPr>
        <w:t xml:space="preserve"> did not concern immunity under section 850.4, but instead concerned design immunity under </w:t>
      </w:r>
      <w:r w:rsidR="00FE60A5">
        <w:rPr>
          <w:color w:val="000000"/>
        </w:rPr>
        <w:t>Government Code section 830.6</w:t>
      </w:r>
      <w:r w:rsidR="00E23E7D">
        <w:rPr>
          <w:color w:val="000000"/>
        </w:rPr>
        <w:t xml:space="preserve">; to invoke that immunity, a </w:t>
      </w:r>
      <w:r w:rsidR="00F01465">
        <w:rPr>
          <w:color w:val="000000"/>
        </w:rPr>
        <w:lastRenderedPageBreak/>
        <w:t>public entity</w:t>
      </w:r>
      <w:r w:rsidR="00E23E7D">
        <w:rPr>
          <w:color w:val="000000"/>
        </w:rPr>
        <w:t xml:space="preserve"> must</w:t>
      </w:r>
      <w:r w:rsidR="00F01465">
        <w:rPr>
          <w:color w:val="000000"/>
        </w:rPr>
        <w:t xml:space="preserve"> show</w:t>
      </w:r>
      <w:r w:rsidR="00E23E7D">
        <w:rPr>
          <w:color w:val="000000"/>
        </w:rPr>
        <w:t xml:space="preserve"> </w:t>
      </w:r>
      <w:r w:rsidR="00F01465">
        <w:rPr>
          <w:color w:val="000000"/>
        </w:rPr>
        <w:t xml:space="preserve">that it has maintained public property in conformity with an approved plan or design.  </w:t>
      </w:r>
    </w:p>
    <w:p w14:paraId="65CFB3EA" w14:textId="39062B87" w:rsidR="005000CD" w:rsidRPr="00C05156" w:rsidRDefault="00F978D0" w:rsidP="001D2647">
      <w:pPr>
        <w:ind w:firstLine="720"/>
        <w:rPr>
          <w:color w:val="000000"/>
        </w:rPr>
      </w:pPr>
      <w:r w:rsidRPr="001D2647">
        <w:rPr>
          <w:color w:val="000000"/>
        </w:rPr>
        <w:t xml:space="preserve">The </w:t>
      </w:r>
      <w:r w:rsidR="001369AC">
        <w:rPr>
          <w:color w:val="000000"/>
        </w:rPr>
        <w:t xml:space="preserve">Court of Appeal </w:t>
      </w:r>
      <w:r w:rsidR="00E42AF9">
        <w:rPr>
          <w:color w:val="000000"/>
        </w:rPr>
        <w:t>observed</w:t>
      </w:r>
      <w:r w:rsidR="00E42AF9" w:rsidRPr="001D2647">
        <w:rPr>
          <w:color w:val="000000"/>
        </w:rPr>
        <w:t xml:space="preserve"> </w:t>
      </w:r>
      <w:r w:rsidRPr="001D2647">
        <w:rPr>
          <w:color w:val="000000"/>
        </w:rPr>
        <w:t>that section 850.4 impose</w:t>
      </w:r>
      <w:r w:rsidR="009B421C" w:rsidRPr="001D2647">
        <w:rPr>
          <w:color w:val="000000"/>
        </w:rPr>
        <w:t>s</w:t>
      </w:r>
      <w:r w:rsidRPr="001D2647">
        <w:rPr>
          <w:color w:val="000000"/>
        </w:rPr>
        <w:t xml:space="preserve"> no </w:t>
      </w:r>
      <w:r w:rsidR="00B571E1" w:rsidRPr="001D2647">
        <w:rPr>
          <w:color w:val="000000"/>
        </w:rPr>
        <w:t>similar requirement</w:t>
      </w:r>
      <w:r w:rsidRPr="001D2647">
        <w:rPr>
          <w:color w:val="000000"/>
        </w:rPr>
        <w:t>.</w:t>
      </w:r>
      <w:r w:rsidR="001369AC">
        <w:rPr>
          <w:color w:val="000000"/>
        </w:rPr>
        <w:t xml:space="preserve">  </w:t>
      </w:r>
      <w:r w:rsidR="0053760E" w:rsidRPr="001D2647">
        <w:rPr>
          <w:color w:val="000000"/>
        </w:rPr>
        <w:t xml:space="preserve">The </w:t>
      </w:r>
      <w:r w:rsidR="001369AC">
        <w:rPr>
          <w:color w:val="000000"/>
        </w:rPr>
        <w:t xml:space="preserve">court </w:t>
      </w:r>
      <w:r w:rsidR="00B571E1" w:rsidRPr="001D2647">
        <w:rPr>
          <w:color w:val="000000"/>
        </w:rPr>
        <w:t xml:space="preserve">instead </w:t>
      </w:r>
      <w:r w:rsidRPr="001D2647">
        <w:rPr>
          <w:color w:val="000000"/>
        </w:rPr>
        <w:t xml:space="preserve">likened </w:t>
      </w:r>
      <w:r w:rsidR="001369AC">
        <w:rPr>
          <w:color w:val="000000"/>
        </w:rPr>
        <w:t xml:space="preserve">section 850.4 to the governmental immunity at issue in </w:t>
      </w:r>
      <w:proofErr w:type="spellStart"/>
      <w:r w:rsidR="00340B27" w:rsidRPr="001D2647">
        <w:rPr>
          <w:i/>
          <w:color w:val="000000"/>
        </w:rPr>
        <w:t>Hata</w:t>
      </w:r>
      <w:proofErr w:type="spellEnd"/>
      <w:r w:rsidR="00340B27" w:rsidRPr="001D2647">
        <w:rPr>
          <w:i/>
          <w:color w:val="000000"/>
        </w:rPr>
        <w:t xml:space="preserve"> v. Los Angeles County Harbor/UCLA Medical Center</w:t>
      </w:r>
      <w:r w:rsidR="00340B27" w:rsidRPr="001D2647">
        <w:rPr>
          <w:color w:val="000000"/>
        </w:rPr>
        <w:t xml:space="preserve"> (1995) 31 Cal.App.4th 1791</w:t>
      </w:r>
      <w:r w:rsidR="00697B6D" w:rsidRPr="001D2647">
        <w:rPr>
          <w:color w:val="000000"/>
        </w:rPr>
        <w:t xml:space="preserve"> (</w:t>
      </w:r>
      <w:proofErr w:type="spellStart"/>
      <w:r w:rsidR="00697B6D" w:rsidRPr="001D2647">
        <w:rPr>
          <w:i/>
          <w:color w:val="000000"/>
        </w:rPr>
        <w:t>Hata</w:t>
      </w:r>
      <w:proofErr w:type="spellEnd"/>
      <w:r w:rsidR="00697B6D" w:rsidRPr="001D2647">
        <w:rPr>
          <w:color w:val="000000"/>
        </w:rPr>
        <w:t>)</w:t>
      </w:r>
      <w:r w:rsidRPr="001D2647">
        <w:rPr>
          <w:color w:val="000000"/>
        </w:rPr>
        <w:t xml:space="preserve">, </w:t>
      </w:r>
      <w:r w:rsidR="000A1254" w:rsidRPr="001D2647">
        <w:rPr>
          <w:color w:val="000000"/>
        </w:rPr>
        <w:t xml:space="preserve">which </w:t>
      </w:r>
      <w:r w:rsidR="001369AC">
        <w:rPr>
          <w:color w:val="000000"/>
        </w:rPr>
        <w:t>concerned the immunity of public entities for injuries to inpatients of mental institutions (</w:t>
      </w:r>
      <w:r w:rsidRPr="001D2647">
        <w:rPr>
          <w:color w:val="000000"/>
        </w:rPr>
        <w:t>Gov. Code</w:t>
      </w:r>
      <w:r w:rsidR="00801748" w:rsidRPr="001D2647">
        <w:rPr>
          <w:color w:val="000000"/>
        </w:rPr>
        <w:t>,</w:t>
      </w:r>
      <w:r w:rsidRPr="001D2647">
        <w:rPr>
          <w:color w:val="000000"/>
        </w:rPr>
        <w:t xml:space="preserve"> §</w:t>
      </w:r>
      <w:r w:rsidR="002D4E93" w:rsidRPr="001D2647">
        <w:rPr>
          <w:color w:val="000000"/>
        </w:rPr>
        <w:t> </w:t>
      </w:r>
      <w:r w:rsidRPr="001D2647">
        <w:rPr>
          <w:color w:val="000000"/>
        </w:rPr>
        <w:t xml:space="preserve">854.8, </w:t>
      </w:r>
      <w:proofErr w:type="spellStart"/>
      <w:r w:rsidRPr="001D2647">
        <w:rPr>
          <w:color w:val="000000"/>
        </w:rPr>
        <w:t>subd</w:t>
      </w:r>
      <w:proofErr w:type="spellEnd"/>
      <w:r w:rsidRPr="001D2647">
        <w:rPr>
          <w:color w:val="000000"/>
        </w:rPr>
        <w:t>. (a)(2))</w:t>
      </w:r>
      <w:r w:rsidR="00FE60A5">
        <w:rPr>
          <w:color w:val="000000"/>
        </w:rPr>
        <w:t>.</w:t>
      </w:r>
      <w:r w:rsidR="009B421C" w:rsidRPr="001D2647">
        <w:rPr>
          <w:color w:val="000000"/>
        </w:rPr>
        <w:t xml:space="preserve"> </w:t>
      </w:r>
      <w:r w:rsidR="004F0AAB" w:rsidRPr="001D2647">
        <w:rPr>
          <w:color w:val="000000"/>
        </w:rPr>
        <w:t xml:space="preserve"> In </w:t>
      </w:r>
      <w:proofErr w:type="spellStart"/>
      <w:r w:rsidR="004F0AAB" w:rsidRPr="001D2647">
        <w:rPr>
          <w:i/>
          <w:color w:val="000000"/>
        </w:rPr>
        <w:t>Hata</w:t>
      </w:r>
      <w:proofErr w:type="spellEnd"/>
      <w:r w:rsidR="004F0AAB" w:rsidRPr="001D2647">
        <w:rPr>
          <w:color w:val="000000"/>
        </w:rPr>
        <w:t xml:space="preserve">, the </w:t>
      </w:r>
      <w:r w:rsidR="00B571E1" w:rsidRPr="001D2647">
        <w:rPr>
          <w:color w:val="000000"/>
        </w:rPr>
        <w:t>C</w:t>
      </w:r>
      <w:r w:rsidRPr="001D2647">
        <w:rPr>
          <w:color w:val="000000"/>
        </w:rPr>
        <w:t xml:space="preserve">ourt of </w:t>
      </w:r>
      <w:r w:rsidR="00B571E1" w:rsidRPr="001D2647">
        <w:rPr>
          <w:color w:val="000000"/>
        </w:rPr>
        <w:t>A</w:t>
      </w:r>
      <w:r w:rsidRPr="001D2647">
        <w:rPr>
          <w:color w:val="000000"/>
        </w:rPr>
        <w:t xml:space="preserve">ppeal reversed the trial </w:t>
      </w:r>
      <w:r w:rsidR="004F0AAB" w:rsidRPr="001D2647">
        <w:rPr>
          <w:color w:val="000000"/>
        </w:rPr>
        <w:t>court</w:t>
      </w:r>
      <w:r w:rsidRPr="001D2647">
        <w:rPr>
          <w:color w:val="000000"/>
        </w:rPr>
        <w:t>’s ruling that the county</w:t>
      </w:r>
      <w:r w:rsidR="00697B6D" w:rsidRPr="001D2647">
        <w:rPr>
          <w:color w:val="000000"/>
        </w:rPr>
        <w:t xml:space="preserve"> </w:t>
      </w:r>
      <w:r w:rsidRPr="001D2647">
        <w:rPr>
          <w:color w:val="000000"/>
        </w:rPr>
        <w:t xml:space="preserve">defendant waived this immunity by failing to raise it before trial. </w:t>
      </w:r>
      <w:r w:rsidR="004467A6" w:rsidRPr="001D2647">
        <w:rPr>
          <w:color w:val="000000"/>
        </w:rPr>
        <w:t xml:space="preserve"> </w:t>
      </w:r>
      <w:r w:rsidR="00BA1D91">
        <w:rPr>
          <w:color w:val="000000"/>
        </w:rPr>
        <w:t xml:space="preserve">Among the many reasons the court gave for this conclusion, the </w:t>
      </w:r>
      <w:proofErr w:type="spellStart"/>
      <w:r w:rsidR="00BA1D91">
        <w:rPr>
          <w:i/>
          <w:color w:val="000000"/>
        </w:rPr>
        <w:t>Hata</w:t>
      </w:r>
      <w:proofErr w:type="spellEnd"/>
      <w:r w:rsidR="00BA1D91">
        <w:rPr>
          <w:color w:val="000000"/>
        </w:rPr>
        <w:t xml:space="preserve"> court explained that because the inpatient immunity statute </w:t>
      </w:r>
      <w:r w:rsidRPr="001D2647">
        <w:rPr>
          <w:color w:val="000000"/>
        </w:rPr>
        <w:t xml:space="preserve">contains </w:t>
      </w:r>
      <w:r w:rsidR="004D1BA1" w:rsidRPr="001D2647">
        <w:rPr>
          <w:color w:val="000000"/>
        </w:rPr>
        <w:t>“</w:t>
      </w:r>
      <w:r w:rsidRPr="001D2647">
        <w:rPr>
          <w:color w:val="000000"/>
        </w:rPr>
        <w:t xml:space="preserve">no requirement the public entity make any type of affirmative showing” </w:t>
      </w:r>
      <w:r w:rsidR="00D65358">
        <w:rPr>
          <w:color w:val="000000"/>
        </w:rPr>
        <w:t>(</w:t>
      </w:r>
      <w:proofErr w:type="spellStart"/>
      <w:r w:rsidR="00D65358" w:rsidRPr="00D65358">
        <w:rPr>
          <w:i/>
          <w:color w:val="000000"/>
        </w:rPr>
        <w:t>Hata</w:t>
      </w:r>
      <w:proofErr w:type="spellEnd"/>
      <w:r w:rsidR="00D65358">
        <w:rPr>
          <w:color w:val="000000"/>
        </w:rPr>
        <w:t>, at p. 1804)</w:t>
      </w:r>
      <w:r w:rsidR="00B54A1B">
        <w:rPr>
          <w:color w:val="000000"/>
        </w:rPr>
        <w:t>,</w:t>
      </w:r>
      <w:r w:rsidR="00D65358">
        <w:rPr>
          <w:color w:val="000000"/>
        </w:rPr>
        <w:t xml:space="preserve"> </w:t>
      </w:r>
      <w:r w:rsidRPr="001D2647">
        <w:rPr>
          <w:color w:val="000000"/>
        </w:rPr>
        <w:t xml:space="preserve">the immunity it provides is “absolute” </w:t>
      </w:r>
      <w:r w:rsidR="00D65358">
        <w:rPr>
          <w:color w:val="000000"/>
        </w:rPr>
        <w:t>(</w:t>
      </w:r>
      <w:r w:rsidR="00D65358" w:rsidRPr="00D65358">
        <w:rPr>
          <w:i/>
          <w:color w:val="000000"/>
        </w:rPr>
        <w:t>id.</w:t>
      </w:r>
      <w:r w:rsidR="00D65358">
        <w:rPr>
          <w:color w:val="000000"/>
        </w:rPr>
        <w:t xml:space="preserve"> at p. 1803)</w:t>
      </w:r>
      <w:r w:rsidR="00B54A1B">
        <w:rPr>
          <w:color w:val="000000"/>
        </w:rPr>
        <w:t>,</w:t>
      </w:r>
      <w:r w:rsidR="00D65358">
        <w:rPr>
          <w:color w:val="000000"/>
        </w:rPr>
        <w:t xml:space="preserve"> </w:t>
      </w:r>
      <w:r w:rsidRPr="001D2647">
        <w:rPr>
          <w:color w:val="000000"/>
        </w:rPr>
        <w:t xml:space="preserve">and </w:t>
      </w:r>
      <w:r w:rsidR="00BA1D91">
        <w:rPr>
          <w:color w:val="000000"/>
        </w:rPr>
        <w:t xml:space="preserve">therefore </w:t>
      </w:r>
      <w:r w:rsidRPr="001D2647">
        <w:rPr>
          <w:color w:val="000000"/>
        </w:rPr>
        <w:t>is “jurisdictional and may be raised at any time” (</w:t>
      </w:r>
      <w:r w:rsidR="00D65358" w:rsidRPr="00D65358">
        <w:rPr>
          <w:i/>
          <w:color w:val="000000"/>
        </w:rPr>
        <w:t>id</w:t>
      </w:r>
      <w:proofErr w:type="gramStart"/>
      <w:r w:rsidR="00D65358" w:rsidRPr="00D65358">
        <w:rPr>
          <w:i/>
          <w:color w:val="000000"/>
        </w:rPr>
        <w:t xml:space="preserve">. </w:t>
      </w:r>
      <w:proofErr w:type="gramEnd"/>
      <w:r w:rsidRPr="001D2647">
        <w:rPr>
          <w:color w:val="000000"/>
        </w:rPr>
        <w:t>at p.</w:t>
      </w:r>
      <w:r w:rsidR="002D4E93" w:rsidRPr="001D2647">
        <w:rPr>
          <w:color w:val="000000"/>
        </w:rPr>
        <w:t> </w:t>
      </w:r>
      <w:r w:rsidR="004D1BA1" w:rsidRPr="001D2647">
        <w:rPr>
          <w:color w:val="000000"/>
        </w:rPr>
        <w:t>180</w:t>
      </w:r>
      <w:r w:rsidRPr="001D2647">
        <w:rPr>
          <w:color w:val="000000"/>
        </w:rPr>
        <w:t>4)</w:t>
      </w:r>
      <w:r w:rsidR="002958C3">
        <w:rPr>
          <w:color w:val="000000"/>
        </w:rPr>
        <w:t>.</w:t>
      </w:r>
      <w:r w:rsidR="00BA1D91">
        <w:rPr>
          <w:color w:val="000000"/>
        </w:rPr>
        <w:t xml:space="preserve">  Agreeing with </w:t>
      </w:r>
      <w:proofErr w:type="spellStart"/>
      <w:r w:rsidR="00BA1D91">
        <w:rPr>
          <w:i/>
          <w:color w:val="000000"/>
        </w:rPr>
        <w:t>Hata</w:t>
      </w:r>
      <w:proofErr w:type="spellEnd"/>
      <w:r w:rsidR="00BA1D91">
        <w:rPr>
          <w:color w:val="000000"/>
        </w:rPr>
        <w:t xml:space="preserve"> on this point, the Court of Appeal in this case concluded that because section 850.4 requires no affirmative showing on the part of defendants, it could be raised at any time and was not waived.</w:t>
      </w:r>
      <w:r w:rsidR="004C49EB" w:rsidRPr="001D2647">
        <w:rPr>
          <w:color w:val="000000"/>
        </w:rPr>
        <w:t xml:space="preserve"> </w:t>
      </w:r>
    </w:p>
    <w:p w14:paraId="6C35F644" w14:textId="77777777" w:rsidR="00846240" w:rsidRDefault="004E1782" w:rsidP="001D2647">
      <w:pPr>
        <w:ind w:firstLine="720"/>
      </w:pPr>
      <w:r w:rsidRPr="001D2647">
        <w:rPr>
          <w:color w:val="000000"/>
        </w:rPr>
        <w:t xml:space="preserve">We granted review to resolve the conflict between the </w:t>
      </w:r>
      <w:r w:rsidR="00B63A46" w:rsidRPr="001D2647">
        <w:rPr>
          <w:color w:val="000000"/>
        </w:rPr>
        <w:t>C</w:t>
      </w:r>
      <w:r w:rsidRPr="001D2647">
        <w:rPr>
          <w:color w:val="000000"/>
        </w:rPr>
        <w:t xml:space="preserve">ourt of </w:t>
      </w:r>
      <w:r w:rsidR="00B63A46" w:rsidRPr="001D2647">
        <w:rPr>
          <w:color w:val="000000"/>
        </w:rPr>
        <w:t>A</w:t>
      </w:r>
      <w:r w:rsidRPr="001D2647">
        <w:rPr>
          <w:color w:val="000000"/>
        </w:rPr>
        <w:t xml:space="preserve">ppeal’s decision and </w:t>
      </w:r>
      <w:r w:rsidRPr="001D2647">
        <w:rPr>
          <w:i/>
          <w:color w:val="000000"/>
        </w:rPr>
        <w:t>McMahan’s</w:t>
      </w:r>
      <w:r w:rsidRPr="001D2647">
        <w:rPr>
          <w:color w:val="000000"/>
        </w:rPr>
        <w:t xml:space="preserve"> </w:t>
      </w:r>
      <w:r w:rsidR="00B571E1" w:rsidRPr="001D2647">
        <w:rPr>
          <w:color w:val="000000"/>
        </w:rPr>
        <w:t xml:space="preserve">about </w:t>
      </w:r>
      <w:r w:rsidRPr="001D2647">
        <w:rPr>
          <w:color w:val="000000"/>
        </w:rPr>
        <w:t xml:space="preserve">whether the governmental immunity </w:t>
      </w:r>
      <w:r w:rsidR="00340B27" w:rsidRPr="001D2647">
        <w:t xml:space="preserve">set forth in section 850.4 </w:t>
      </w:r>
      <w:r w:rsidR="00834438" w:rsidRPr="001D2647">
        <w:t xml:space="preserve">is jurisdictional or instead </w:t>
      </w:r>
      <w:r w:rsidR="00D13B9D" w:rsidRPr="001D2647">
        <w:t xml:space="preserve">may be </w:t>
      </w:r>
      <w:r w:rsidR="00E33918" w:rsidRPr="001D2647">
        <w:t>forfeited if not timely raised</w:t>
      </w:r>
      <w:r w:rsidRPr="001D2647">
        <w:t>.</w:t>
      </w:r>
    </w:p>
    <w:p w14:paraId="6D357BDF" w14:textId="77777777" w:rsidR="00846240" w:rsidRDefault="00846240">
      <w:pPr>
        <w:spacing w:after="0" w:line="240" w:lineRule="auto"/>
        <w:jc w:val="left"/>
      </w:pPr>
      <w:r>
        <w:br w:type="page"/>
      </w:r>
    </w:p>
    <w:p w14:paraId="37DE0CE1" w14:textId="77777777" w:rsidR="00924D3F" w:rsidRPr="001D2647" w:rsidRDefault="00FB1222" w:rsidP="00C05156">
      <w:pPr>
        <w:tabs>
          <w:tab w:val="left" w:pos="1440"/>
        </w:tabs>
        <w:jc w:val="center"/>
        <w:outlineLvl w:val="0"/>
        <w:rPr>
          <w:b/>
        </w:rPr>
      </w:pPr>
      <w:r w:rsidRPr="001D2647">
        <w:rPr>
          <w:b/>
        </w:rPr>
        <w:lastRenderedPageBreak/>
        <w:t>II.</w:t>
      </w:r>
    </w:p>
    <w:p w14:paraId="5CA0D8BF" w14:textId="77777777" w:rsidR="006E1935" w:rsidRPr="001D2647" w:rsidRDefault="006E1935" w:rsidP="001D2647">
      <w:pPr>
        <w:tabs>
          <w:tab w:val="left" w:pos="1440"/>
        </w:tabs>
        <w:jc w:val="center"/>
        <w:rPr>
          <w:b/>
        </w:rPr>
      </w:pPr>
      <w:r w:rsidRPr="001D2647">
        <w:rPr>
          <w:b/>
        </w:rPr>
        <w:t>A.</w:t>
      </w:r>
    </w:p>
    <w:p w14:paraId="21A7FC64" w14:textId="3CC0B648" w:rsidR="00010A3D" w:rsidRPr="001D2647" w:rsidRDefault="00E82000" w:rsidP="001D2647">
      <w:pPr>
        <w:ind w:firstLine="720"/>
      </w:pPr>
      <w:r w:rsidRPr="001D2647">
        <w:t xml:space="preserve">We begin </w:t>
      </w:r>
      <w:r w:rsidR="00664920" w:rsidRPr="001D2647">
        <w:t xml:space="preserve">with a </w:t>
      </w:r>
      <w:r w:rsidR="008D5CB6" w:rsidRPr="001D2647">
        <w:t xml:space="preserve">necessary </w:t>
      </w:r>
      <w:r w:rsidR="00664920" w:rsidRPr="001D2647">
        <w:t>note</w:t>
      </w:r>
      <w:r w:rsidR="00B63A46" w:rsidRPr="001D2647">
        <w:t xml:space="preserve"> about terminology</w:t>
      </w:r>
      <w:r w:rsidRPr="001D2647">
        <w:t>.</w:t>
      </w:r>
      <w:r w:rsidR="005A544A" w:rsidRPr="001D2647">
        <w:t xml:space="preserve">  </w:t>
      </w:r>
      <w:r w:rsidR="007835EC" w:rsidRPr="001D2647">
        <w:t>A</w:t>
      </w:r>
      <w:r w:rsidR="00495D0D" w:rsidRPr="001D2647">
        <w:t>s we h</w:t>
      </w:r>
      <w:r w:rsidR="00D82AD7" w:rsidRPr="001D2647">
        <w:t xml:space="preserve">ave </w:t>
      </w:r>
      <w:r w:rsidR="00C5679F" w:rsidRPr="001D2647">
        <w:t xml:space="preserve">long </w:t>
      </w:r>
      <w:r w:rsidR="002808EE">
        <w:t>recognized</w:t>
      </w:r>
      <w:r w:rsidR="00D82AD7" w:rsidRPr="001D2647">
        <w:t>, t</w:t>
      </w:r>
      <w:r w:rsidR="00170A72" w:rsidRPr="001D2647">
        <w:t>he term “jurisdiction” has “many different meanings</w:t>
      </w:r>
      <w:r w:rsidR="00461A16" w:rsidRPr="001D2647">
        <w:t>.</w:t>
      </w:r>
      <w:r w:rsidR="00170A72" w:rsidRPr="001D2647">
        <w:t>”</w:t>
      </w:r>
      <w:r w:rsidR="00E7763B" w:rsidRPr="001D2647">
        <w:t xml:space="preserve"> </w:t>
      </w:r>
      <w:r w:rsidR="00170A72" w:rsidRPr="001D2647">
        <w:t xml:space="preserve"> (</w:t>
      </w:r>
      <w:proofErr w:type="spellStart"/>
      <w:r w:rsidR="00170A72" w:rsidRPr="001D2647">
        <w:rPr>
          <w:i/>
        </w:rPr>
        <w:t>Abelleira</w:t>
      </w:r>
      <w:proofErr w:type="spellEnd"/>
      <w:r w:rsidR="00170A72" w:rsidRPr="001D2647">
        <w:rPr>
          <w:i/>
        </w:rPr>
        <w:t xml:space="preserve"> v. District Court of Appeal </w:t>
      </w:r>
      <w:r w:rsidR="00170A72" w:rsidRPr="001D2647">
        <w:t>(1941) 17 Cal.2d 280, 2</w:t>
      </w:r>
      <w:r w:rsidR="00E7763B" w:rsidRPr="001D2647">
        <w:t>87</w:t>
      </w:r>
      <w:r w:rsidR="001B3C3B">
        <w:t xml:space="preserve"> (</w:t>
      </w:r>
      <w:proofErr w:type="spellStart"/>
      <w:r w:rsidR="001B3C3B" w:rsidRPr="00C05156">
        <w:rPr>
          <w:i/>
        </w:rPr>
        <w:t>Abelleira</w:t>
      </w:r>
      <w:proofErr w:type="spellEnd"/>
      <w:r w:rsidR="001B3C3B">
        <w:t>)</w:t>
      </w:r>
      <w:r w:rsidR="00170A72" w:rsidRPr="001D2647">
        <w:t xml:space="preserve">.) </w:t>
      </w:r>
      <w:r w:rsidR="005C0661" w:rsidRPr="001D2647">
        <w:t xml:space="preserve"> </w:t>
      </w:r>
      <w:r w:rsidR="007835EC" w:rsidRPr="001D2647">
        <w:t xml:space="preserve">Here </w:t>
      </w:r>
      <w:r w:rsidR="001B01AC" w:rsidRPr="001D2647">
        <w:t xml:space="preserve">we are concerned with </w:t>
      </w:r>
      <w:proofErr w:type="gramStart"/>
      <w:r w:rsidR="00BC3146" w:rsidRPr="001D2647">
        <w:t>jurisdiction</w:t>
      </w:r>
      <w:proofErr w:type="gramEnd"/>
      <w:r w:rsidR="00BC3146" w:rsidRPr="001D2647">
        <w:t xml:space="preserve"> in </w:t>
      </w:r>
      <w:r w:rsidR="002D5136" w:rsidRPr="001D2647">
        <w:t xml:space="preserve">what we </w:t>
      </w:r>
      <w:r w:rsidR="005A544A" w:rsidRPr="001D2647">
        <w:t xml:space="preserve">typically </w:t>
      </w:r>
      <w:r w:rsidR="00B63A46" w:rsidRPr="001D2647">
        <w:t>refer to as its “fundamental</w:t>
      </w:r>
      <w:r w:rsidR="00BC3146" w:rsidRPr="001D2647">
        <w:t xml:space="preserve"> sense</w:t>
      </w:r>
      <w:r w:rsidR="00B63A46" w:rsidRPr="001D2647">
        <w:t>”</w:t>
      </w:r>
      <w:r w:rsidR="009D0C32" w:rsidRPr="001D2647">
        <w:t xml:space="preserve">:  </w:t>
      </w:r>
      <w:r w:rsidR="00BA3AC0" w:rsidRPr="001D2647">
        <w:t>specifically</w:t>
      </w:r>
      <w:r w:rsidR="009D0C32" w:rsidRPr="001D2647">
        <w:t xml:space="preserve">, the power of the court over the subject matter of the case.  </w:t>
      </w:r>
      <w:r w:rsidR="00BA3AC0" w:rsidRPr="001D2647">
        <w:t>(</w:t>
      </w:r>
      <w:r w:rsidR="00697B6D" w:rsidRPr="001D2647">
        <w:rPr>
          <w:i/>
        </w:rPr>
        <w:t>I</w:t>
      </w:r>
      <w:r w:rsidR="00E7763B" w:rsidRPr="001D2647">
        <w:rPr>
          <w:i/>
        </w:rPr>
        <w:t>d</w:t>
      </w:r>
      <w:r w:rsidR="00BA3AC0" w:rsidRPr="001D2647">
        <w:rPr>
          <w:i/>
        </w:rPr>
        <w:t>.</w:t>
      </w:r>
      <w:r w:rsidR="00E7763B" w:rsidRPr="001D2647">
        <w:t xml:space="preserve"> at p.</w:t>
      </w:r>
      <w:r w:rsidR="002D4E93" w:rsidRPr="001D2647">
        <w:t> </w:t>
      </w:r>
      <w:r w:rsidR="00E7763B" w:rsidRPr="001D2647">
        <w:t>288;</w:t>
      </w:r>
      <w:r w:rsidR="00BA3AC0" w:rsidRPr="001D2647">
        <w:t xml:space="preserve"> see </w:t>
      </w:r>
      <w:r w:rsidR="00BA3AC0" w:rsidRPr="001D2647">
        <w:rPr>
          <w:i/>
        </w:rPr>
        <w:t xml:space="preserve">Varian Medical Systems, Inc. v. </w:t>
      </w:r>
      <w:proofErr w:type="spellStart"/>
      <w:r w:rsidR="00BA3AC0" w:rsidRPr="001D2647">
        <w:rPr>
          <w:i/>
        </w:rPr>
        <w:t>Delfino</w:t>
      </w:r>
      <w:proofErr w:type="spellEnd"/>
      <w:r w:rsidR="00BA3AC0" w:rsidRPr="001D2647">
        <w:t xml:space="preserve"> (2005) 35 Cal.4th 180, 196.)  </w:t>
      </w:r>
      <w:r w:rsidR="00233980" w:rsidRPr="001D2647">
        <w:t xml:space="preserve">A lack of </w:t>
      </w:r>
      <w:r w:rsidR="00170A72" w:rsidRPr="001D2647">
        <w:t xml:space="preserve">fundamental </w:t>
      </w:r>
      <w:proofErr w:type="gramStart"/>
      <w:r w:rsidR="00170A72" w:rsidRPr="001D2647">
        <w:t>jurisdiction</w:t>
      </w:r>
      <w:proofErr w:type="gramEnd"/>
      <w:r w:rsidR="00233980" w:rsidRPr="001D2647">
        <w:t xml:space="preserve"> is the </w:t>
      </w:r>
      <w:r w:rsidR="00170A72" w:rsidRPr="001D2647">
        <w:t>“</w:t>
      </w:r>
      <w:r w:rsidR="002D4E93" w:rsidRPr="001D2647">
        <w:t> </w:t>
      </w:r>
      <w:r w:rsidR="00170A72" w:rsidRPr="001D2647">
        <w:t>‘</w:t>
      </w:r>
      <w:r w:rsidR="002D4E93" w:rsidRPr="001D2647">
        <w:t> </w:t>
      </w:r>
      <w:r w:rsidR="00E7763B" w:rsidRPr="001D2647">
        <w:t>“</w:t>
      </w:r>
      <w:r w:rsidR="002D4E93" w:rsidRPr="001D2647">
        <w:t> </w:t>
      </w:r>
      <w:r w:rsidR="00E7763B" w:rsidRPr="001D2647">
        <w:t>‘</w:t>
      </w:r>
      <w:r w:rsidR="00170A72" w:rsidRPr="001D2647">
        <w:t>entire absence of power to hear or determine the case.</w:t>
      </w:r>
      <w:r w:rsidR="00E7763B" w:rsidRPr="001D2647">
        <w:t>’</w:t>
      </w:r>
      <w:r w:rsidR="002D4E93" w:rsidRPr="001D2647">
        <w:t> </w:t>
      </w:r>
      <w:r w:rsidR="00E7763B" w:rsidRPr="001D2647">
        <w:t>”</w:t>
      </w:r>
      <w:r w:rsidR="002D4E93" w:rsidRPr="001D2647">
        <w:t> </w:t>
      </w:r>
      <w:r w:rsidR="00170A72" w:rsidRPr="001D2647">
        <w:t>’</w:t>
      </w:r>
      <w:r w:rsidR="002D4E93" w:rsidRPr="001D2647">
        <w:t> </w:t>
      </w:r>
      <w:r w:rsidR="00170A72" w:rsidRPr="001D2647">
        <w:t xml:space="preserve">” </w:t>
      </w:r>
      <w:r w:rsidR="002D4E93" w:rsidRPr="001D2647">
        <w:t xml:space="preserve"> </w:t>
      </w:r>
      <w:r w:rsidR="00170A72" w:rsidRPr="001D2647">
        <w:t>(</w:t>
      </w:r>
      <w:proofErr w:type="spellStart"/>
      <w:r w:rsidR="00170A72" w:rsidRPr="001D2647">
        <w:rPr>
          <w:i/>
        </w:rPr>
        <w:t>Kabran</w:t>
      </w:r>
      <w:proofErr w:type="spellEnd"/>
      <w:r w:rsidR="00170A72" w:rsidRPr="001D2647">
        <w:rPr>
          <w:i/>
        </w:rPr>
        <w:t xml:space="preserve"> v. Sharp Memorial Hospital</w:t>
      </w:r>
      <w:r w:rsidR="00170A72" w:rsidRPr="001D2647">
        <w:t xml:space="preserve"> (2017) 2 Cal.5th 330, 339</w:t>
      </w:r>
      <w:r w:rsidR="00697B6D" w:rsidRPr="001D2647">
        <w:t xml:space="preserve"> (</w:t>
      </w:r>
      <w:proofErr w:type="spellStart"/>
      <w:r w:rsidR="00697B6D" w:rsidRPr="001D2647">
        <w:rPr>
          <w:i/>
        </w:rPr>
        <w:t>Kabran</w:t>
      </w:r>
      <w:proofErr w:type="spellEnd"/>
      <w:r w:rsidR="00697B6D" w:rsidRPr="001D2647">
        <w:t>)</w:t>
      </w:r>
      <w:r w:rsidR="00BA3AC0" w:rsidRPr="001D2647">
        <w:t>.</w:t>
      </w:r>
      <w:r w:rsidR="00165841" w:rsidRPr="001D2647">
        <w:t>)</w:t>
      </w:r>
      <w:r w:rsidR="00BA3AC0" w:rsidRPr="001D2647">
        <w:t xml:space="preserve">  </w:t>
      </w:r>
      <w:r w:rsidR="00170A72" w:rsidRPr="001D2647">
        <w:t xml:space="preserve">Because </w:t>
      </w:r>
      <w:r w:rsidR="00233980" w:rsidRPr="001D2647">
        <w:t xml:space="preserve">it </w:t>
      </w:r>
      <w:r w:rsidR="00170A72" w:rsidRPr="001D2647">
        <w:t xml:space="preserve">concerns the basic power of a court to act, the parties to a case cannot confer </w:t>
      </w:r>
      <w:r w:rsidR="00233980" w:rsidRPr="001D2647">
        <w:t xml:space="preserve">fundamental </w:t>
      </w:r>
      <w:proofErr w:type="gramStart"/>
      <w:r w:rsidR="00233980" w:rsidRPr="001D2647">
        <w:t>jurisdiction</w:t>
      </w:r>
      <w:proofErr w:type="gramEnd"/>
      <w:r w:rsidR="00233980" w:rsidRPr="001D2647">
        <w:t xml:space="preserve"> upon a court </w:t>
      </w:r>
      <w:r w:rsidR="00170A72" w:rsidRPr="001D2647">
        <w:t>by waiver, estoppel, consent, or forfeiture.</w:t>
      </w:r>
      <w:r w:rsidR="00E7763B" w:rsidRPr="001D2647">
        <w:t xml:space="preserve"> </w:t>
      </w:r>
      <w:r w:rsidR="00170A72" w:rsidRPr="001D2647">
        <w:t xml:space="preserve"> (</w:t>
      </w:r>
      <w:r w:rsidR="00CA2AF6" w:rsidRPr="001D2647">
        <w:rPr>
          <w:i/>
        </w:rPr>
        <w:t>I</w:t>
      </w:r>
      <w:r w:rsidR="009C09DD" w:rsidRPr="001D2647">
        <w:rPr>
          <w:i/>
        </w:rPr>
        <w:t>bid</w:t>
      </w:r>
      <w:r w:rsidR="00D13B9D" w:rsidRPr="001D2647">
        <w:rPr>
          <w:i/>
        </w:rPr>
        <w:t>.</w:t>
      </w:r>
      <w:r w:rsidR="00D13B9D" w:rsidRPr="001D2647">
        <w:t>)</w:t>
      </w:r>
      <w:r w:rsidR="00170A72" w:rsidRPr="001D2647">
        <w:t xml:space="preserve"> </w:t>
      </w:r>
      <w:r w:rsidR="00FA41E3" w:rsidRPr="001D2647">
        <w:t xml:space="preserve"> </w:t>
      </w:r>
      <w:r w:rsidR="00B63A46" w:rsidRPr="001D2647">
        <w:t>D</w:t>
      </w:r>
      <w:r w:rsidR="00170A72" w:rsidRPr="001D2647">
        <w:t xml:space="preserve">efects in fundamental </w:t>
      </w:r>
      <w:proofErr w:type="gramStart"/>
      <w:r w:rsidR="00170A72" w:rsidRPr="001D2647">
        <w:t>jurisdiction</w:t>
      </w:r>
      <w:proofErr w:type="gramEnd"/>
      <w:r w:rsidR="00170A72" w:rsidRPr="001D2647">
        <w:t xml:space="preserve"> </w:t>
      </w:r>
      <w:r w:rsidR="00B63A46" w:rsidRPr="001D2647">
        <w:t xml:space="preserve">therefore </w:t>
      </w:r>
      <w:r w:rsidR="009C09DD" w:rsidRPr="001D2647">
        <w:t>“may be raised at any point in a proceeding, including for the first time on appeal,” or, for that matter, in the context of a collateral attack on a final judgment.  (</w:t>
      </w:r>
      <w:r w:rsidR="009C09DD" w:rsidRPr="001D2647">
        <w:rPr>
          <w:i/>
        </w:rPr>
        <w:t>People v. Chavez</w:t>
      </w:r>
      <w:r w:rsidR="009C09DD" w:rsidRPr="001D2647">
        <w:t xml:space="preserve"> (2018) 4 Cal.5th 771, 780.)</w:t>
      </w:r>
      <w:r w:rsidR="007835EC" w:rsidRPr="001D2647">
        <w:t xml:space="preserve"> </w:t>
      </w:r>
      <w:r w:rsidR="009C09DD" w:rsidRPr="001D2647">
        <w:t xml:space="preserve"> </w:t>
      </w:r>
      <w:r w:rsidR="00010A3D" w:rsidRPr="001D2647">
        <w:t xml:space="preserve">By contrast, other sorts of objections a defendant might </w:t>
      </w:r>
      <w:r w:rsidR="008319EC" w:rsidRPr="001D2647">
        <w:t>have on the merits</w:t>
      </w:r>
      <w:r w:rsidR="00010A3D" w:rsidRPr="001D2647">
        <w:t>—including</w:t>
      </w:r>
      <w:r w:rsidR="00EF1422" w:rsidRPr="001D2647">
        <w:t xml:space="preserve"> </w:t>
      </w:r>
      <w:r w:rsidR="00A92501" w:rsidRPr="001D2647">
        <w:t xml:space="preserve">an objection </w:t>
      </w:r>
      <w:r w:rsidR="00EF1422" w:rsidRPr="001D2647">
        <w:t xml:space="preserve">that </w:t>
      </w:r>
      <w:r w:rsidR="00911789" w:rsidRPr="001D2647">
        <w:t>liability is barred by an affirmative defense—</w:t>
      </w:r>
      <w:r w:rsidR="00EF1422" w:rsidRPr="001D2647">
        <w:t xml:space="preserve">are ordinarily deemed </w:t>
      </w:r>
      <w:r w:rsidR="0050102E">
        <w:t>“</w:t>
      </w:r>
      <w:r w:rsidR="00EF1422" w:rsidRPr="001D2647">
        <w:t>waived</w:t>
      </w:r>
      <w:r w:rsidR="0050102E">
        <w:t>”</w:t>
      </w:r>
      <w:r w:rsidR="00EF1422" w:rsidRPr="001D2647">
        <w:t xml:space="preserve"> if the defendant does not raise them in its demurrer or answer to the complaint.  (</w:t>
      </w:r>
      <w:r w:rsidR="009C09DD" w:rsidRPr="001D2647">
        <w:t>Code Civ. Proc.</w:t>
      </w:r>
      <w:r w:rsidR="00EF1422" w:rsidRPr="001D2647">
        <w:t>, §</w:t>
      </w:r>
      <w:r w:rsidR="002D4E93" w:rsidRPr="001D2647">
        <w:t> </w:t>
      </w:r>
      <w:r w:rsidR="00EF1422" w:rsidRPr="001D2647">
        <w:t>430.80</w:t>
      </w:r>
      <w:r w:rsidR="009C09DD" w:rsidRPr="001D2647">
        <w:t xml:space="preserve">, </w:t>
      </w:r>
      <w:proofErr w:type="spellStart"/>
      <w:r w:rsidR="009C09DD" w:rsidRPr="001D2647">
        <w:t>subd</w:t>
      </w:r>
      <w:proofErr w:type="spellEnd"/>
      <w:proofErr w:type="gramStart"/>
      <w:r w:rsidR="009C09DD" w:rsidRPr="001D2647">
        <w:t xml:space="preserve">. </w:t>
      </w:r>
      <w:proofErr w:type="gramEnd"/>
      <w:r w:rsidR="009C09DD" w:rsidRPr="001D2647">
        <w:t>(a)</w:t>
      </w:r>
      <w:r w:rsidR="00EF1422" w:rsidRPr="001D2647">
        <w:t>.)</w:t>
      </w:r>
    </w:p>
    <w:p w14:paraId="448A5C79" w14:textId="77777777" w:rsidR="00DB6810" w:rsidRPr="001D2647" w:rsidRDefault="009A0825" w:rsidP="001D2647">
      <w:pPr>
        <w:ind w:firstLine="720"/>
        <w:rPr>
          <w:b/>
        </w:rPr>
      </w:pPr>
      <w:r w:rsidRPr="001D2647">
        <w:t xml:space="preserve">Quigley argues </w:t>
      </w:r>
      <w:r w:rsidR="00E24C9B" w:rsidRPr="001D2647">
        <w:t xml:space="preserve">that </w:t>
      </w:r>
      <w:r w:rsidR="00E368A7" w:rsidRPr="001D2647">
        <w:t xml:space="preserve">the </w:t>
      </w:r>
      <w:r w:rsidR="00B63A46" w:rsidRPr="001D2647">
        <w:t xml:space="preserve">statutory immunities </w:t>
      </w:r>
      <w:r w:rsidR="006649DA" w:rsidRPr="001D2647">
        <w:t>under the GCA</w:t>
      </w:r>
      <w:r w:rsidRPr="001D2647">
        <w:t xml:space="preserve"> </w:t>
      </w:r>
      <w:r w:rsidR="00B63A46" w:rsidRPr="001D2647">
        <w:t xml:space="preserve">do not deprive a court of fundamental </w:t>
      </w:r>
      <w:proofErr w:type="gramStart"/>
      <w:r w:rsidR="00B63A46" w:rsidRPr="001D2647">
        <w:t>jurisdiction</w:t>
      </w:r>
      <w:proofErr w:type="gramEnd"/>
      <w:r w:rsidR="00B63A46" w:rsidRPr="001D2647">
        <w:t xml:space="preserve"> to hear a tort case against a government entity, but </w:t>
      </w:r>
      <w:r w:rsidR="0077379B" w:rsidRPr="001D2647">
        <w:t xml:space="preserve">instead operate as </w:t>
      </w:r>
      <w:r w:rsidR="00B63A46" w:rsidRPr="001D2647">
        <w:t>affirmative defenses</w:t>
      </w:r>
      <w:r w:rsidR="00A84F8A" w:rsidRPr="001D2647">
        <w:t xml:space="preserve"> that must be pleaded and proved</w:t>
      </w:r>
      <w:r w:rsidR="00B63A46" w:rsidRPr="001D2647">
        <w:t xml:space="preserve"> or are deemed waived.</w:t>
      </w:r>
      <w:r w:rsidR="009C09DD" w:rsidRPr="001D2647">
        <w:t xml:space="preserve"> </w:t>
      </w:r>
      <w:r w:rsidR="00B63A46" w:rsidRPr="001D2647">
        <w:t xml:space="preserve"> </w:t>
      </w:r>
      <w:r w:rsidR="000372B3" w:rsidRPr="001D2647">
        <w:t xml:space="preserve">Defendants, for their </w:t>
      </w:r>
      <w:r w:rsidR="00D55540" w:rsidRPr="001D2647">
        <w:t>part</w:t>
      </w:r>
      <w:r w:rsidR="000372B3" w:rsidRPr="001D2647">
        <w:t xml:space="preserve">, </w:t>
      </w:r>
      <w:r w:rsidR="00B63A46" w:rsidRPr="001D2647">
        <w:t xml:space="preserve">urge that section </w:t>
      </w:r>
      <w:r w:rsidR="00B63A46" w:rsidRPr="001D2647">
        <w:lastRenderedPageBreak/>
        <w:t xml:space="preserve">850.4 deprives a court of subject matter </w:t>
      </w:r>
      <w:proofErr w:type="gramStart"/>
      <w:r w:rsidR="00B63A46" w:rsidRPr="001D2647">
        <w:t>jurisdiction</w:t>
      </w:r>
      <w:proofErr w:type="gramEnd"/>
      <w:r w:rsidR="00B63A46" w:rsidRPr="001D2647">
        <w:t xml:space="preserve"> where it applies</w:t>
      </w:r>
      <w:r w:rsidR="00EE537D" w:rsidRPr="001D2647">
        <w:t xml:space="preserve">, </w:t>
      </w:r>
      <w:r w:rsidR="00B63A46" w:rsidRPr="001D2647">
        <w:t>such that it may be raised at any time</w:t>
      </w:r>
      <w:r w:rsidR="00BE3A2A" w:rsidRPr="001D2647">
        <w:t>—</w:t>
      </w:r>
      <w:r w:rsidR="00F454BA" w:rsidRPr="001D2647">
        <w:t xml:space="preserve">indeed, </w:t>
      </w:r>
      <w:r w:rsidR="00C24E0E" w:rsidRPr="001D2647">
        <w:t xml:space="preserve">even after </w:t>
      </w:r>
      <w:r w:rsidR="00BE3A2A" w:rsidRPr="001D2647">
        <w:t>judgment has become final</w:t>
      </w:r>
      <w:r w:rsidR="00B63A46" w:rsidRPr="001D2647">
        <w:t>.</w:t>
      </w:r>
    </w:p>
    <w:p w14:paraId="0B0A6720" w14:textId="77777777" w:rsidR="00F94CD6" w:rsidRPr="001D2647" w:rsidRDefault="004D1A43" w:rsidP="001D2647">
      <w:pPr>
        <w:ind w:firstLine="720"/>
      </w:pPr>
      <w:r w:rsidRPr="001D2647">
        <w:t xml:space="preserve">In evaluating </w:t>
      </w:r>
      <w:r w:rsidR="00A84F8A" w:rsidRPr="001D2647">
        <w:t>these competing claims</w:t>
      </w:r>
      <w:r w:rsidR="003D1F18" w:rsidRPr="001D2647">
        <w:t xml:space="preserve">, we begin </w:t>
      </w:r>
      <w:r w:rsidR="00CE70D6" w:rsidRPr="001D2647">
        <w:t xml:space="preserve">with </w:t>
      </w:r>
      <w:r w:rsidR="00DB4C00" w:rsidRPr="001D2647">
        <w:t xml:space="preserve">the usual </w:t>
      </w:r>
      <w:r w:rsidR="003B554C" w:rsidRPr="001D2647">
        <w:t xml:space="preserve">presumption that </w:t>
      </w:r>
      <w:r w:rsidR="009148FD" w:rsidRPr="001D2647">
        <w:t xml:space="preserve">statutes do not </w:t>
      </w:r>
      <w:r w:rsidR="008579B8" w:rsidRPr="001D2647">
        <w:t xml:space="preserve">limit </w:t>
      </w:r>
      <w:r w:rsidR="009148FD" w:rsidRPr="001D2647">
        <w:t xml:space="preserve">the courts’ fundamental </w:t>
      </w:r>
      <w:proofErr w:type="gramStart"/>
      <w:r w:rsidR="009148FD" w:rsidRPr="001D2647">
        <w:t>jurisdiction</w:t>
      </w:r>
      <w:proofErr w:type="gramEnd"/>
      <w:r w:rsidR="009148FD" w:rsidRPr="001D2647">
        <w:t xml:space="preserve"> absent a clear indication of legislative intent to </w:t>
      </w:r>
      <w:r w:rsidR="008579B8" w:rsidRPr="001D2647">
        <w:t>do so</w:t>
      </w:r>
      <w:r w:rsidR="009148FD" w:rsidRPr="001D2647">
        <w:t>.</w:t>
      </w:r>
      <w:r w:rsidR="00E43A67" w:rsidRPr="001D2647">
        <w:t xml:space="preserve"> </w:t>
      </w:r>
      <w:r w:rsidRPr="001D2647">
        <w:t xml:space="preserve"> </w:t>
      </w:r>
      <w:r w:rsidR="00E43A67" w:rsidRPr="001D2647">
        <w:t>(</w:t>
      </w:r>
      <w:r w:rsidR="00E43A67" w:rsidRPr="006F6B35">
        <w:t>E.g.</w:t>
      </w:r>
      <w:r w:rsidR="00E43A67" w:rsidRPr="001D2647">
        <w:t xml:space="preserve">, </w:t>
      </w:r>
      <w:proofErr w:type="spellStart"/>
      <w:r w:rsidR="00E43A67" w:rsidRPr="001D2647">
        <w:rPr>
          <w:i/>
        </w:rPr>
        <w:t>Kabran</w:t>
      </w:r>
      <w:proofErr w:type="spellEnd"/>
      <w:r w:rsidR="00E43A67" w:rsidRPr="001D2647">
        <w:t xml:space="preserve">, </w:t>
      </w:r>
      <w:r w:rsidR="00E43A67" w:rsidRPr="001D2647">
        <w:rPr>
          <w:i/>
        </w:rPr>
        <w:t>supra</w:t>
      </w:r>
      <w:r w:rsidR="00E43A67" w:rsidRPr="001D2647">
        <w:t>, 2 Cal.5th at pp.</w:t>
      </w:r>
      <w:r w:rsidR="002D4E93" w:rsidRPr="001D2647">
        <w:t> </w:t>
      </w:r>
      <w:r w:rsidR="00E43A67" w:rsidRPr="001D2647">
        <w:t>342</w:t>
      </w:r>
      <w:r w:rsidR="002D4E93" w:rsidRPr="001D2647">
        <w:t>–</w:t>
      </w:r>
      <w:r w:rsidR="00E43A67" w:rsidRPr="001D2647">
        <w:t>343.)</w:t>
      </w:r>
      <w:r w:rsidR="009C07B3" w:rsidRPr="001D2647">
        <w:t xml:space="preserve">  </w:t>
      </w:r>
      <w:r w:rsidR="00805A2F" w:rsidRPr="001D2647">
        <w:t xml:space="preserve">California’s </w:t>
      </w:r>
      <w:r w:rsidR="00822DA2" w:rsidRPr="001D2647">
        <w:t xml:space="preserve">superior </w:t>
      </w:r>
      <w:r w:rsidR="00805A2F" w:rsidRPr="001D2647">
        <w:t xml:space="preserve">courts are courts of general </w:t>
      </w:r>
      <w:proofErr w:type="gramStart"/>
      <w:r w:rsidR="00805A2F" w:rsidRPr="001D2647">
        <w:t>jurisdiction</w:t>
      </w:r>
      <w:proofErr w:type="gramEnd"/>
      <w:r w:rsidR="00DF29ED" w:rsidRPr="001D2647">
        <w:t xml:space="preserve">, </w:t>
      </w:r>
      <w:r w:rsidR="00F206F9" w:rsidRPr="001D2647">
        <w:t>which means they are generally</w:t>
      </w:r>
      <w:r w:rsidR="00DF29ED" w:rsidRPr="001D2647">
        <w:t xml:space="preserve"> empowered to resolve </w:t>
      </w:r>
      <w:r w:rsidR="00F94CD6" w:rsidRPr="001D2647">
        <w:t xml:space="preserve">the </w:t>
      </w:r>
      <w:r w:rsidR="00C61D02" w:rsidRPr="001D2647">
        <w:t xml:space="preserve">legal disputes </w:t>
      </w:r>
      <w:r w:rsidR="006F3A07" w:rsidRPr="001D2647">
        <w:t>that</w:t>
      </w:r>
      <w:r w:rsidR="00AB5A3B" w:rsidRPr="001D2647">
        <w:t xml:space="preserve"> </w:t>
      </w:r>
      <w:r w:rsidR="00CE70D6" w:rsidRPr="001D2647">
        <w:t>are</w:t>
      </w:r>
      <w:r w:rsidR="00AB5A3B" w:rsidRPr="001D2647">
        <w:t xml:space="preserve"> brought to them</w:t>
      </w:r>
      <w:r w:rsidR="007F3C31" w:rsidRPr="001D2647">
        <w:t>.  (Cal. Const., art. VI, §§</w:t>
      </w:r>
      <w:r w:rsidR="002D4E93" w:rsidRPr="001D2647">
        <w:t> </w:t>
      </w:r>
      <w:r w:rsidR="007F3C31" w:rsidRPr="001D2647">
        <w:t>1, 10</w:t>
      </w:r>
      <w:r w:rsidR="00C61D02" w:rsidRPr="001D2647">
        <w:t xml:space="preserve">; see generally </w:t>
      </w:r>
      <w:r w:rsidR="000D00CE" w:rsidRPr="001D2647">
        <w:t xml:space="preserve">20 </w:t>
      </w:r>
      <w:r w:rsidR="00C61D02" w:rsidRPr="001D2647">
        <w:t>Am.Jur.</w:t>
      </w:r>
      <w:r w:rsidR="000D00CE" w:rsidRPr="001D2647">
        <w:t>2d</w:t>
      </w:r>
      <w:r w:rsidR="00C61D02" w:rsidRPr="001D2647">
        <w:t xml:space="preserve"> </w:t>
      </w:r>
      <w:r w:rsidR="00697B6D" w:rsidRPr="001D2647">
        <w:t xml:space="preserve">(2015) </w:t>
      </w:r>
      <w:r w:rsidR="00C61D02" w:rsidRPr="001D2647">
        <w:t>Courts</w:t>
      </w:r>
      <w:r w:rsidR="004467A6" w:rsidRPr="001D2647">
        <w:t>,</w:t>
      </w:r>
      <w:r w:rsidR="00C61D02" w:rsidRPr="001D2647">
        <w:t xml:space="preserve"> §</w:t>
      </w:r>
      <w:r w:rsidR="002D4E93" w:rsidRPr="001D2647">
        <w:t> </w:t>
      </w:r>
      <w:r w:rsidR="00C61D02" w:rsidRPr="001D2647">
        <w:t>66</w:t>
      </w:r>
      <w:r w:rsidR="00697B6D" w:rsidRPr="001D2647">
        <w:t>, p. 464</w:t>
      </w:r>
      <w:r w:rsidR="00C61D02" w:rsidRPr="001D2647">
        <w:t xml:space="preserve"> [“Courts of general jurisdiction have the power to hear and determine all matters, legal and equitable, except insofar as these powers have been expressly denied.”].</w:t>
      </w:r>
      <w:r w:rsidR="008D2CF0" w:rsidRPr="001D2647">
        <w:t xml:space="preserve">)  </w:t>
      </w:r>
      <w:r w:rsidR="00F94CD6" w:rsidRPr="001D2647">
        <w:t xml:space="preserve">Although the Legislature may </w:t>
      </w:r>
      <w:r w:rsidR="00FA42D8" w:rsidRPr="001D2647">
        <w:t xml:space="preserve">impose </w:t>
      </w:r>
      <w:r w:rsidR="00FE323A" w:rsidRPr="001D2647">
        <w:t xml:space="preserve">reasonable </w:t>
      </w:r>
      <w:r w:rsidR="00FA42D8" w:rsidRPr="001D2647">
        <w:t xml:space="preserve">restrictions on </w:t>
      </w:r>
      <w:r w:rsidR="00F94CD6" w:rsidRPr="001D2647">
        <w:t xml:space="preserve">the </w:t>
      </w:r>
      <w:r w:rsidR="00F206F9" w:rsidRPr="001D2647">
        <w:t xml:space="preserve">fundamental </w:t>
      </w:r>
      <w:proofErr w:type="gramStart"/>
      <w:r w:rsidR="00F94CD6" w:rsidRPr="001D2647">
        <w:t>jurisdiction</w:t>
      </w:r>
      <w:proofErr w:type="gramEnd"/>
      <w:r w:rsidR="00F94CD6" w:rsidRPr="001D2647">
        <w:t xml:space="preserve"> of the courts, our cases reflect “a preference for the resolution of litigation and the underlying conflicts on their merits by the judiciary</w:t>
      </w:r>
      <w:r w:rsidR="00CC136F">
        <w:t>.</w:t>
      </w:r>
      <w:r w:rsidR="00E008AD">
        <w:t>”</w:t>
      </w:r>
      <w:r w:rsidR="00C130BE">
        <w:t xml:space="preserve"> </w:t>
      </w:r>
      <w:r w:rsidR="00E008AD">
        <w:t xml:space="preserve"> </w:t>
      </w:r>
      <w:r w:rsidR="00CC136F">
        <w:t>(</w:t>
      </w:r>
      <w:proofErr w:type="spellStart"/>
      <w:r w:rsidR="00CC136F">
        <w:rPr>
          <w:i/>
        </w:rPr>
        <w:t>Kabran</w:t>
      </w:r>
      <w:proofErr w:type="spellEnd"/>
      <w:r w:rsidR="00CC136F">
        <w:t>, at pp.</w:t>
      </w:r>
      <w:r w:rsidR="00846240">
        <w:t> </w:t>
      </w:r>
      <w:r w:rsidR="00CC136F">
        <w:t>342</w:t>
      </w:r>
      <w:r w:rsidR="00846240">
        <w:t>–</w:t>
      </w:r>
      <w:r w:rsidR="00CC136F">
        <w:t xml:space="preserve">343.)  </w:t>
      </w:r>
      <w:r w:rsidR="0050102E">
        <w:t xml:space="preserve">The power of the courts to resolve cases is the essential underpinning of the judiciary’s </w:t>
      </w:r>
      <w:r w:rsidR="00E008AD">
        <w:t>ability to “</w:t>
      </w:r>
      <w:r w:rsidR="00846240">
        <w:t> </w:t>
      </w:r>
      <w:r w:rsidR="00E008AD">
        <w:t>‘effectively .</w:t>
      </w:r>
      <w:r w:rsidR="00846240">
        <w:t> </w:t>
      </w:r>
      <w:r w:rsidR="00E008AD">
        <w:t>.</w:t>
      </w:r>
      <w:r w:rsidR="00846240">
        <w:t> </w:t>
      </w:r>
      <w:r w:rsidR="00E008AD">
        <w:t>. function as a separate department of government.’</w:t>
      </w:r>
      <w:r w:rsidR="00846240">
        <w:t> </w:t>
      </w:r>
      <w:r w:rsidR="00E008AD">
        <w:t>”  (</w:t>
      </w:r>
      <w:r w:rsidR="00CC136F">
        <w:rPr>
          <w:i/>
        </w:rPr>
        <w:t>Id</w:t>
      </w:r>
      <w:r w:rsidR="00E008AD">
        <w:t>.</w:t>
      </w:r>
      <w:r w:rsidR="0084460E">
        <w:t xml:space="preserve"> at p.</w:t>
      </w:r>
      <w:r w:rsidR="00846240">
        <w:t> </w:t>
      </w:r>
      <w:r w:rsidR="0084460E">
        <w:t>343.</w:t>
      </w:r>
      <w:r w:rsidR="00E008AD">
        <w:t>)</w:t>
      </w:r>
      <w:r w:rsidR="002D4E93" w:rsidRPr="001D2647">
        <w:t xml:space="preserve"> </w:t>
      </w:r>
      <w:r w:rsidR="00F94CD6" w:rsidRPr="001D2647">
        <w:t xml:space="preserve"> </w:t>
      </w:r>
      <w:r w:rsidR="00E008AD">
        <w:t>“</w:t>
      </w:r>
      <w:r w:rsidR="00846240">
        <w:t> </w:t>
      </w:r>
      <w:r w:rsidR="00F94CD6" w:rsidRPr="001D2647">
        <w:t>‘</w:t>
      </w:r>
      <w:proofErr w:type="gramStart"/>
      <w:r w:rsidR="00F94CD6" w:rsidRPr="001D2647">
        <w:t>Consequently</w:t>
      </w:r>
      <w:proofErr w:type="gramEnd"/>
      <w:r w:rsidR="00F94CD6" w:rsidRPr="001D2647">
        <w:t xml:space="preserve"> an intent to defeat the exercise of the court’s jurisdiction will not be supplied by implication.’</w:t>
      </w:r>
      <w:r w:rsidR="006F6B35">
        <w:t> </w:t>
      </w:r>
      <w:r w:rsidR="00F94CD6" w:rsidRPr="001D2647">
        <w:t>”  (</w:t>
      </w:r>
      <w:r w:rsidR="0084460E">
        <w:rPr>
          <w:i/>
        </w:rPr>
        <w:t>Ibid</w:t>
      </w:r>
      <w:r w:rsidR="00F94CD6" w:rsidRPr="001D2647">
        <w:t>.)</w:t>
      </w:r>
      <w:r w:rsidR="005D136C" w:rsidRPr="001D2647">
        <w:t xml:space="preserve">  If the Legislature </w:t>
      </w:r>
      <w:r w:rsidR="00063AE0" w:rsidRPr="001D2647">
        <w:t xml:space="preserve">means </w:t>
      </w:r>
      <w:r w:rsidR="005D136C" w:rsidRPr="001D2647">
        <w:t xml:space="preserve">to </w:t>
      </w:r>
      <w:r w:rsidR="00766B95" w:rsidRPr="001D2647">
        <w:t xml:space="preserve">withdraw a class of cases </w:t>
      </w:r>
      <w:r w:rsidR="00822DA2" w:rsidRPr="001D2647">
        <w:t>from state</w:t>
      </w:r>
      <w:r w:rsidR="004467A6" w:rsidRPr="001D2647">
        <w:t xml:space="preserve"> </w:t>
      </w:r>
      <w:r w:rsidR="00822DA2" w:rsidRPr="001D2647">
        <w:t xml:space="preserve">court </w:t>
      </w:r>
      <w:proofErr w:type="gramStart"/>
      <w:r w:rsidR="00822DA2" w:rsidRPr="001D2647">
        <w:t>jurisdiction</w:t>
      </w:r>
      <w:proofErr w:type="gramEnd"/>
      <w:r w:rsidR="00822DA2" w:rsidRPr="001D2647">
        <w:t xml:space="preserve">, </w:t>
      </w:r>
      <w:r w:rsidR="00AC3E91" w:rsidRPr="001D2647">
        <w:t xml:space="preserve">we expect it will make </w:t>
      </w:r>
      <w:r w:rsidR="00C24E0E" w:rsidRPr="001D2647">
        <w:t xml:space="preserve">that intention </w:t>
      </w:r>
      <w:r w:rsidR="00AC3E91" w:rsidRPr="001D2647">
        <w:t>clear.</w:t>
      </w:r>
      <w:r w:rsidR="00495ADA">
        <w:t xml:space="preserve">  (See, e.g., </w:t>
      </w:r>
      <w:r w:rsidR="00495ADA" w:rsidRPr="00C61CF2">
        <w:rPr>
          <w:i/>
        </w:rPr>
        <w:t>International Assn. of Fire Fighters, Local 188, AFL-CIO v. Public Employment Relations Bd.</w:t>
      </w:r>
      <w:r w:rsidR="00495ADA">
        <w:t xml:space="preserve"> (2011) 51 Cal.4th 259, 270 [“This court will not infer a legislative intent to entirely deprive the superior courts of judicial authority in a particular area; the Legislature must have expressly so provided or otherwise clearly indicated such an intent.”].)</w:t>
      </w:r>
    </w:p>
    <w:p w14:paraId="2922EFF2" w14:textId="77777777" w:rsidR="00374A16" w:rsidRPr="001D2647" w:rsidRDefault="00063AE0" w:rsidP="001D2647">
      <w:pPr>
        <w:ind w:firstLine="720"/>
      </w:pPr>
      <w:r w:rsidRPr="001D2647">
        <w:lastRenderedPageBreak/>
        <w:t>On its face, s</w:t>
      </w:r>
      <w:r w:rsidR="00DB4C00" w:rsidRPr="001D2647">
        <w:t>ection 850.4</w:t>
      </w:r>
      <w:r w:rsidRPr="001D2647">
        <w:t xml:space="preserve"> </w:t>
      </w:r>
      <w:r w:rsidR="00B00135" w:rsidRPr="001D2647">
        <w:t xml:space="preserve">contains </w:t>
      </w:r>
      <w:r w:rsidR="00CB30CD" w:rsidRPr="001D2647">
        <w:t xml:space="preserve">no </w:t>
      </w:r>
      <w:r w:rsidR="00B00135" w:rsidRPr="001D2647">
        <w:t xml:space="preserve">clear </w:t>
      </w:r>
      <w:r w:rsidR="00CB30CD" w:rsidRPr="001D2647">
        <w:t xml:space="preserve">indication of a legislative intent to limit the </w:t>
      </w:r>
      <w:r w:rsidR="00B00135" w:rsidRPr="001D2647">
        <w:t xml:space="preserve">fundamental </w:t>
      </w:r>
      <w:proofErr w:type="gramStart"/>
      <w:r w:rsidR="00CB30CD" w:rsidRPr="001D2647">
        <w:t>jurisdiction</w:t>
      </w:r>
      <w:proofErr w:type="gramEnd"/>
      <w:r w:rsidR="00CB30CD" w:rsidRPr="001D2647">
        <w:t xml:space="preserve"> of the courts.  </w:t>
      </w:r>
      <w:r w:rsidR="002E1C8D" w:rsidRPr="001D2647">
        <w:t>Section 850.4 provides, as relevant here:  “Neither a public entity, nor a public employee acting in the scope of his employment, is liable for any injury resulting from the condition of fire protection or firefighting equipment or facilities</w:t>
      </w:r>
      <w:r w:rsidR="003A4D87">
        <w:t>[</w:t>
      </w:r>
      <w:r w:rsidR="002E1C8D" w:rsidRPr="001D2647">
        <w:t>.</w:t>
      </w:r>
      <w:r w:rsidR="003A4D87">
        <w:t>]</w:t>
      </w:r>
      <w:r w:rsidR="002E1C8D" w:rsidRPr="001D2647">
        <w:t xml:space="preserve">”  </w:t>
      </w:r>
      <w:r w:rsidRPr="001D2647">
        <w:t>N</w:t>
      </w:r>
      <w:r w:rsidR="00BF6DE6" w:rsidRPr="001D2647">
        <w:t xml:space="preserve">othing in the </w:t>
      </w:r>
      <w:r w:rsidR="00A05ED4" w:rsidRPr="001D2647">
        <w:t>language of th</w:t>
      </w:r>
      <w:r w:rsidRPr="001D2647">
        <w:t>is</w:t>
      </w:r>
      <w:r w:rsidR="00A05ED4" w:rsidRPr="001D2647">
        <w:t xml:space="preserve"> </w:t>
      </w:r>
      <w:r w:rsidR="00BF6DE6" w:rsidRPr="001D2647">
        <w:t xml:space="preserve">provision </w:t>
      </w:r>
      <w:r w:rsidR="003C460D" w:rsidRPr="001D2647">
        <w:t xml:space="preserve">suggests </w:t>
      </w:r>
      <w:r w:rsidR="009C3FE5" w:rsidRPr="001D2647">
        <w:t xml:space="preserve">it was intended </w:t>
      </w:r>
      <w:r w:rsidR="00FD63BE" w:rsidRPr="001D2647">
        <w:t>to withdraw a class of cases from the courts</w:t>
      </w:r>
      <w:r w:rsidR="00626B51" w:rsidRPr="001D2647">
        <w:t xml:space="preserve">’ power to </w:t>
      </w:r>
      <w:r w:rsidR="00DB4C00" w:rsidRPr="001D2647">
        <w:t>adjudicate</w:t>
      </w:r>
      <w:r w:rsidR="00FD63BE" w:rsidRPr="001D2647">
        <w:t>.</w:t>
      </w:r>
      <w:r w:rsidR="00B91CE4" w:rsidRPr="001D2647">
        <w:t xml:space="preserve"> </w:t>
      </w:r>
      <w:r w:rsidR="00A05ED4" w:rsidRPr="001D2647">
        <w:t xml:space="preserve"> Unlike </w:t>
      </w:r>
      <w:r w:rsidR="00AA1ADE" w:rsidRPr="001D2647">
        <w:t xml:space="preserve">some </w:t>
      </w:r>
      <w:r w:rsidR="00626B51" w:rsidRPr="001D2647">
        <w:t xml:space="preserve">other </w:t>
      </w:r>
      <w:r w:rsidR="00F14C97" w:rsidRPr="001D2647">
        <w:t>provisions that have been understood to hav</w:t>
      </w:r>
      <w:r w:rsidR="00AA1ADE" w:rsidRPr="001D2647">
        <w:t xml:space="preserve">e such an effect, section 850.4 makes no reference to the </w:t>
      </w:r>
      <w:proofErr w:type="gramStart"/>
      <w:r w:rsidR="00AA1ADE" w:rsidRPr="001D2647">
        <w:t>jurisdiction</w:t>
      </w:r>
      <w:proofErr w:type="gramEnd"/>
      <w:r w:rsidR="00AA1ADE" w:rsidRPr="001D2647">
        <w:t xml:space="preserve"> of the courts</w:t>
      </w:r>
      <w:r w:rsidR="00417542" w:rsidRPr="001D2647">
        <w:t>, nor does it otherwise speak to the courts’ power to decide a particular category of cases</w:t>
      </w:r>
      <w:r w:rsidR="00AA1ADE" w:rsidRPr="001D2647">
        <w:t>.  (C</w:t>
      </w:r>
      <w:r w:rsidR="006F6B35">
        <w:t>f.</w:t>
      </w:r>
      <w:r w:rsidR="00AA1ADE" w:rsidRPr="001D2647">
        <w:t>, e.g., Pub. Util. Code, §</w:t>
      </w:r>
      <w:r w:rsidR="002D4E93" w:rsidRPr="001D2647">
        <w:t> </w:t>
      </w:r>
      <w:r w:rsidR="00AA1ADE" w:rsidRPr="001D2647">
        <w:t xml:space="preserve">1759, </w:t>
      </w:r>
      <w:proofErr w:type="spellStart"/>
      <w:r w:rsidR="00AA1ADE" w:rsidRPr="001D2647">
        <w:t>subd</w:t>
      </w:r>
      <w:proofErr w:type="spellEnd"/>
      <w:proofErr w:type="gramStart"/>
      <w:r w:rsidR="00AA1ADE" w:rsidRPr="001D2647">
        <w:t xml:space="preserve">. </w:t>
      </w:r>
      <w:proofErr w:type="gramEnd"/>
      <w:r w:rsidR="00AA1ADE" w:rsidRPr="001D2647">
        <w:t>(a) [“No court of this state, except the Supreme Court and the court of appeal, to the extent specified in this article, shall have jurisdiction to review, reverse, correct, or annul any order or decision of the [Public Utilities Commission]</w:t>
      </w:r>
      <w:r w:rsidR="003A4D87">
        <w:t>[</w:t>
      </w:r>
      <w:r w:rsidR="006F6B35">
        <w:t>.</w:t>
      </w:r>
      <w:r w:rsidR="003A4D87">
        <w:t>]</w:t>
      </w:r>
      <w:r w:rsidR="00AA1ADE" w:rsidRPr="001D2647">
        <w:t>”</w:t>
      </w:r>
      <w:r w:rsidR="00A3350E" w:rsidRPr="001D2647">
        <w:t>]</w:t>
      </w:r>
      <w:r w:rsidR="00833E39" w:rsidRPr="001D2647">
        <w:t xml:space="preserve">, discussed in </w:t>
      </w:r>
      <w:r w:rsidR="00850CFD" w:rsidRPr="001D2647">
        <w:rPr>
          <w:i/>
        </w:rPr>
        <w:t>San Diego Gas &amp; Electric Co. v. Superior Court</w:t>
      </w:r>
      <w:r w:rsidR="00850CFD" w:rsidRPr="001D2647">
        <w:t xml:space="preserve"> (1996) 13 Cal.4th 893, 916; </w:t>
      </w:r>
      <w:r w:rsidR="00A3350E" w:rsidRPr="001D2647">
        <w:t>Bus. &amp; Prof. Code, §</w:t>
      </w:r>
      <w:r w:rsidR="007B5E41" w:rsidRPr="001D2647">
        <w:t> </w:t>
      </w:r>
      <w:r w:rsidR="00A3350E" w:rsidRPr="001D2647">
        <w:t>6100 [“For any of the causes provided in this article, arising after an attorney’s admission to practice, he or she may be disbarred or suspended by the Supreme Court.”]</w:t>
      </w:r>
      <w:r w:rsidR="00833E39" w:rsidRPr="001D2647">
        <w:t xml:space="preserve">, discussed in </w:t>
      </w:r>
      <w:r w:rsidR="0073472C" w:rsidRPr="001D2647">
        <w:rPr>
          <w:i/>
        </w:rPr>
        <w:t>Jacobs v. State Bar</w:t>
      </w:r>
      <w:r w:rsidR="0073472C" w:rsidRPr="001D2647">
        <w:t xml:space="preserve"> (1977) 20 Cal.3d 191, </w:t>
      </w:r>
      <w:r w:rsidR="00830A71" w:rsidRPr="001D2647">
        <w:t>196</w:t>
      </w:r>
      <w:r w:rsidR="00A3350E" w:rsidRPr="001D2647">
        <w:t>.</w:t>
      </w:r>
      <w:r w:rsidR="00374A16" w:rsidRPr="001D2647">
        <w:t>)</w:t>
      </w:r>
    </w:p>
    <w:p w14:paraId="3C5BEF08" w14:textId="77777777" w:rsidR="00063AE0" w:rsidRPr="001D2647" w:rsidRDefault="00F85209" w:rsidP="001D2647">
      <w:pPr>
        <w:ind w:firstLine="720"/>
      </w:pPr>
      <w:r w:rsidRPr="001D2647">
        <w:t>S</w:t>
      </w:r>
      <w:r w:rsidR="00A3350E" w:rsidRPr="001D2647">
        <w:t>ection 850.4</w:t>
      </w:r>
      <w:r w:rsidR="000E1C7E" w:rsidRPr="001D2647">
        <w:t xml:space="preserve"> </w:t>
      </w:r>
      <w:r w:rsidR="00063AE0" w:rsidRPr="001D2647">
        <w:t xml:space="preserve">instead </w:t>
      </w:r>
      <w:r w:rsidRPr="001D2647">
        <w:t>reads</w:t>
      </w:r>
      <w:r w:rsidR="00E368A7" w:rsidRPr="001D2647">
        <w:t xml:space="preserve"> </w:t>
      </w:r>
      <w:r w:rsidR="00374A16" w:rsidRPr="001D2647">
        <w:t xml:space="preserve">as </w:t>
      </w:r>
      <w:r w:rsidR="004C67B0" w:rsidRPr="001D2647">
        <w:t xml:space="preserve">a </w:t>
      </w:r>
      <w:r w:rsidR="006C55E3" w:rsidRPr="001D2647">
        <w:t>s</w:t>
      </w:r>
      <w:r w:rsidR="00D428B6" w:rsidRPr="001D2647">
        <w:t xml:space="preserve">ubstantive </w:t>
      </w:r>
      <w:r w:rsidR="005935D3" w:rsidRPr="001D2647">
        <w:t>bar</w:t>
      </w:r>
      <w:r w:rsidR="00D428B6" w:rsidRPr="001D2647">
        <w:t xml:space="preserve"> to tort liability, </w:t>
      </w:r>
      <w:r w:rsidR="00863859" w:rsidRPr="001D2647">
        <w:t xml:space="preserve">much like other </w:t>
      </w:r>
      <w:r w:rsidR="00940802" w:rsidRPr="001D2647">
        <w:t>privilege</w:t>
      </w:r>
      <w:r w:rsidR="00E11BC7" w:rsidRPr="001D2647">
        <w:t>s</w:t>
      </w:r>
      <w:r w:rsidR="00940802" w:rsidRPr="001D2647">
        <w:t xml:space="preserve"> or </w:t>
      </w:r>
      <w:r w:rsidR="00E11BC7" w:rsidRPr="001D2647">
        <w:t>immunities</w:t>
      </w:r>
      <w:r w:rsidR="00940802" w:rsidRPr="001D2647">
        <w:t xml:space="preserve"> </w:t>
      </w:r>
      <w:r w:rsidR="00863859" w:rsidRPr="001D2647">
        <w:t>provisions</w:t>
      </w:r>
      <w:r w:rsidR="00940802" w:rsidRPr="001D2647">
        <w:t xml:space="preserve"> </w:t>
      </w:r>
      <w:r w:rsidR="002329CF" w:rsidRPr="001D2647">
        <w:t xml:space="preserve">that shield </w:t>
      </w:r>
      <w:proofErr w:type="gramStart"/>
      <w:r w:rsidR="00940802" w:rsidRPr="001D2647">
        <w:t>particular actors</w:t>
      </w:r>
      <w:proofErr w:type="gramEnd"/>
      <w:r w:rsidR="00940802" w:rsidRPr="001D2647">
        <w:t xml:space="preserve"> or </w:t>
      </w:r>
      <w:r w:rsidR="003D1F18" w:rsidRPr="001D2647">
        <w:t>activities</w:t>
      </w:r>
      <w:r w:rsidR="002329CF" w:rsidRPr="001D2647">
        <w:t xml:space="preserve"> from </w:t>
      </w:r>
      <w:r w:rsidR="0021193F" w:rsidRPr="001D2647">
        <w:t xml:space="preserve">otherwise applicable </w:t>
      </w:r>
      <w:r w:rsidR="002329CF" w:rsidRPr="001D2647">
        <w:t>liability for tortious conduct</w:t>
      </w:r>
      <w:r w:rsidR="00940802" w:rsidRPr="001D2647">
        <w:t>.</w:t>
      </w:r>
      <w:r w:rsidR="00306695" w:rsidRPr="001D2647">
        <w:t xml:space="preserve">  </w:t>
      </w:r>
      <w:r w:rsidR="00EA714A">
        <w:t>Quigley</w:t>
      </w:r>
      <w:r w:rsidR="00EA714A" w:rsidRPr="001D2647">
        <w:t xml:space="preserve"> </w:t>
      </w:r>
      <w:r w:rsidR="0036048F" w:rsidRPr="001D2647">
        <w:t xml:space="preserve">sued under </w:t>
      </w:r>
      <w:r w:rsidR="00ED2BF6" w:rsidRPr="001D2647">
        <w:t xml:space="preserve">Government Code </w:t>
      </w:r>
      <w:r w:rsidR="0036048F" w:rsidRPr="001D2647">
        <w:t>section 835, which makes public entities liable for injuries arising from a dangerous condition of public property.</w:t>
      </w:r>
      <w:r w:rsidR="000D2BD6" w:rsidRPr="001D2647">
        <w:t xml:space="preserve"> </w:t>
      </w:r>
      <w:r w:rsidR="0036048F" w:rsidRPr="001D2647">
        <w:t xml:space="preserve"> </w:t>
      </w:r>
      <w:r w:rsidR="007B75EE" w:rsidRPr="001D2647">
        <w:t>Section 850.4 provides a justification or excuse f</w:t>
      </w:r>
      <w:r w:rsidR="00C84BA8" w:rsidRPr="001D2647">
        <w:t>rom liability that would otherwise exist under section 835</w:t>
      </w:r>
      <w:r w:rsidR="002F71F1" w:rsidRPr="001D2647">
        <w:t xml:space="preserve">, based on </w:t>
      </w:r>
      <w:r w:rsidR="00E368A7" w:rsidRPr="001D2647">
        <w:t xml:space="preserve">considerations of policy. </w:t>
      </w:r>
      <w:r w:rsidR="000D2BD6" w:rsidRPr="001D2647">
        <w:t xml:space="preserve"> </w:t>
      </w:r>
      <w:r w:rsidR="002F71F1" w:rsidRPr="001D2647">
        <w:t>(</w:t>
      </w:r>
      <w:r w:rsidR="00E368A7" w:rsidRPr="001D2647">
        <w:t xml:space="preserve">See </w:t>
      </w:r>
      <w:proofErr w:type="spellStart"/>
      <w:r w:rsidR="002F71F1" w:rsidRPr="001D2647">
        <w:rPr>
          <w:i/>
        </w:rPr>
        <w:t>Heieck</w:t>
      </w:r>
      <w:proofErr w:type="spellEnd"/>
      <w:r w:rsidR="002F71F1" w:rsidRPr="001D2647">
        <w:rPr>
          <w:i/>
        </w:rPr>
        <w:t xml:space="preserve"> and Moran</w:t>
      </w:r>
      <w:r w:rsidR="00E368A7" w:rsidRPr="001D2647">
        <w:t xml:space="preserve">, </w:t>
      </w:r>
      <w:r w:rsidR="00E368A7" w:rsidRPr="001D2647">
        <w:rPr>
          <w:i/>
        </w:rPr>
        <w:t>supra</w:t>
      </w:r>
      <w:r w:rsidR="00E368A7" w:rsidRPr="001D2647">
        <w:t xml:space="preserve">, </w:t>
      </w:r>
      <w:r w:rsidR="002F71F1" w:rsidRPr="001D2647">
        <w:t xml:space="preserve">64 </w:t>
      </w:r>
      <w:r w:rsidR="002F71F1" w:rsidRPr="001D2647">
        <w:lastRenderedPageBreak/>
        <w:t xml:space="preserve">Cal.2d </w:t>
      </w:r>
      <w:r w:rsidR="00E368A7" w:rsidRPr="001D2647">
        <w:t>at p.</w:t>
      </w:r>
      <w:r w:rsidR="007B5E41" w:rsidRPr="001D2647">
        <w:t> </w:t>
      </w:r>
      <w:r w:rsidR="002F71F1" w:rsidRPr="001D2647">
        <w:t>233, fn.</w:t>
      </w:r>
      <w:r w:rsidR="007B5E41" w:rsidRPr="001D2647">
        <w:t> </w:t>
      </w:r>
      <w:r w:rsidR="002F71F1" w:rsidRPr="001D2647">
        <w:t>3</w:t>
      </w:r>
      <w:r w:rsidR="00E368A7" w:rsidRPr="001D2647">
        <w:t>.)</w:t>
      </w:r>
      <w:r w:rsidR="00063AE0" w:rsidRPr="001D2647">
        <w:t xml:space="preserve">  </w:t>
      </w:r>
      <w:proofErr w:type="gramStart"/>
      <w:r w:rsidR="00AA11C1" w:rsidRPr="001D2647">
        <w:t xml:space="preserve">As a general </w:t>
      </w:r>
      <w:r w:rsidR="0036048F" w:rsidRPr="001D2647">
        <w:t>rule</w:t>
      </w:r>
      <w:proofErr w:type="gramEnd"/>
      <w:r w:rsidR="00AA11C1" w:rsidRPr="001D2647">
        <w:t xml:space="preserve">, such matters must “be pleaded and proved by one who seeks thereby to destroy the seemingly tortious character of his conduct, and so protect himself from being subject to liability.” </w:t>
      </w:r>
      <w:r w:rsidR="000D2BD6" w:rsidRPr="001D2647">
        <w:t xml:space="preserve"> </w:t>
      </w:r>
      <w:r w:rsidR="00AA11C1" w:rsidRPr="001D2647">
        <w:t>(Rest</w:t>
      </w:r>
      <w:r w:rsidR="0096687E" w:rsidRPr="001D2647">
        <w:t>.2d</w:t>
      </w:r>
      <w:r w:rsidR="00AA11C1" w:rsidRPr="001D2647">
        <w:t xml:space="preserve"> Torts</w:t>
      </w:r>
      <w:r w:rsidR="0096687E" w:rsidRPr="001D2647">
        <w:t>,</w:t>
      </w:r>
      <w:r w:rsidR="00AA11C1" w:rsidRPr="001D2647">
        <w:t xml:space="preserve"> §</w:t>
      </w:r>
      <w:r w:rsidR="007B5E41" w:rsidRPr="001D2647">
        <w:t> </w:t>
      </w:r>
      <w:r w:rsidR="00AA11C1" w:rsidRPr="001D2647">
        <w:t>10</w:t>
      </w:r>
      <w:r w:rsidR="00EB61E7" w:rsidRPr="001D2647">
        <w:t>,</w:t>
      </w:r>
      <w:r w:rsidR="00AA11C1" w:rsidRPr="001D2647">
        <w:t xml:space="preserve"> c</w:t>
      </w:r>
      <w:r w:rsidR="0096687E" w:rsidRPr="001D2647">
        <w:t>om.</w:t>
      </w:r>
      <w:r w:rsidR="00AA11C1" w:rsidRPr="001D2647">
        <w:t xml:space="preserve"> c</w:t>
      </w:r>
      <w:r w:rsidR="00EB61E7" w:rsidRPr="001D2647">
        <w:t>, pp. 17–18</w:t>
      </w:r>
      <w:r w:rsidR="00AA11C1" w:rsidRPr="001D2647">
        <w:t>.)</w:t>
      </w:r>
    </w:p>
    <w:p w14:paraId="2DEDD0C3" w14:textId="77777777" w:rsidR="00E650BB" w:rsidRPr="001D2647" w:rsidRDefault="00063AE0" w:rsidP="001D2647">
      <w:pPr>
        <w:ind w:firstLine="720"/>
      </w:pPr>
      <w:r w:rsidRPr="001D2647">
        <w:t>Consistent with this understanding</w:t>
      </w:r>
      <w:r w:rsidR="0012740D" w:rsidRPr="001D2647">
        <w:t xml:space="preserve">, we have previously described </w:t>
      </w:r>
      <w:r w:rsidR="00CB5D30" w:rsidRPr="001D2647">
        <w:t xml:space="preserve">other GCA </w:t>
      </w:r>
      <w:r w:rsidR="00F454BA" w:rsidRPr="001D2647">
        <w:t xml:space="preserve">statutory </w:t>
      </w:r>
      <w:r w:rsidR="00CB5D30" w:rsidRPr="001D2647">
        <w:t>immunities</w:t>
      </w:r>
      <w:r w:rsidR="006D0098" w:rsidRPr="001D2647">
        <w:t xml:space="preserve"> </w:t>
      </w:r>
      <w:r w:rsidR="00E51997" w:rsidRPr="001D2647">
        <w:t xml:space="preserve">as </w:t>
      </w:r>
      <w:r w:rsidR="00A45DD6" w:rsidRPr="001D2647">
        <w:t>affirmative defense</w:t>
      </w:r>
      <w:r w:rsidR="005E154D" w:rsidRPr="001D2647">
        <w:t>s</w:t>
      </w:r>
      <w:r w:rsidR="00A45DD6" w:rsidRPr="001D2647">
        <w:t xml:space="preserve"> to liability.</w:t>
      </w:r>
      <w:r w:rsidR="006875D3" w:rsidRPr="001D2647">
        <w:t xml:space="preserve">  </w:t>
      </w:r>
      <w:r w:rsidR="00EB61E7" w:rsidRPr="001D2647">
        <w:t>Government Code s</w:t>
      </w:r>
      <w:r w:rsidR="006875D3" w:rsidRPr="001D2647">
        <w:t>ection 830.6, for example, immunizes public entities for injuries caused by a properly approved plan or design of public property.  We have explained that this design immunity is a “defense” that a public entity should “raise[] .</w:t>
      </w:r>
      <w:r w:rsidR="007B5E41" w:rsidRPr="001D2647">
        <w:t> </w:t>
      </w:r>
      <w:r w:rsidR="006875D3" w:rsidRPr="001D2647">
        <w:t>.</w:t>
      </w:r>
      <w:r w:rsidR="007B5E41" w:rsidRPr="001D2647">
        <w:t> </w:t>
      </w:r>
      <w:r w:rsidR="006875D3" w:rsidRPr="001D2647">
        <w:t>. by appropriate pleadings.”  (</w:t>
      </w:r>
      <w:proofErr w:type="spellStart"/>
      <w:r w:rsidR="006875D3" w:rsidRPr="001D2647">
        <w:rPr>
          <w:i/>
        </w:rPr>
        <w:t>Teall</w:t>
      </w:r>
      <w:proofErr w:type="spellEnd"/>
      <w:r w:rsidR="006875D3" w:rsidRPr="001D2647">
        <w:rPr>
          <w:i/>
        </w:rPr>
        <w:t xml:space="preserve"> v. City of Cudahy</w:t>
      </w:r>
      <w:r w:rsidR="006875D3" w:rsidRPr="001D2647">
        <w:t xml:space="preserve"> (1963) 60 Cal.2d 431, 435; see also </w:t>
      </w:r>
      <w:proofErr w:type="spellStart"/>
      <w:r w:rsidR="006D0098" w:rsidRPr="001D2647">
        <w:rPr>
          <w:i/>
        </w:rPr>
        <w:t>Cornette</w:t>
      </w:r>
      <w:proofErr w:type="spellEnd"/>
      <w:r w:rsidR="006D0098" w:rsidRPr="001D2647">
        <w:rPr>
          <w:i/>
        </w:rPr>
        <w:t xml:space="preserve"> v. Department of Transp</w:t>
      </w:r>
      <w:r w:rsidR="00EB61E7" w:rsidRPr="001D2647">
        <w:rPr>
          <w:i/>
        </w:rPr>
        <w:t>ortation</w:t>
      </w:r>
      <w:r w:rsidR="006D0098" w:rsidRPr="001D2647">
        <w:t xml:space="preserve"> (2001) 26 Cal.4th 63, 66 [“[A] public entity may avoid [section 835] liability by raising the affirmative defense of design immunity.”</w:t>
      </w:r>
      <w:r w:rsidR="00EB61E7" w:rsidRPr="001D2647">
        <w:t xml:space="preserve">  (Italics omitted.)</w:t>
      </w:r>
      <w:r w:rsidR="006D0098" w:rsidRPr="001D2647">
        <w:t xml:space="preserve">].) </w:t>
      </w:r>
      <w:r w:rsidR="004467A6" w:rsidRPr="001D2647">
        <w:t xml:space="preserve"> </w:t>
      </w:r>
      <w:r w:rsidR="006D0098" w:rsidRPr="001D2647">
        <w:t xml:space="preserve">Similarly, </w:t>
      </w:r>
      <w:r w:rsidR="00EB61E7" w:rsidRPr="001D2647">
        <w:t xml:space="preserve">Government Code </w:t>
      </w:r>
      <w:r w:rsidR="006D0098" w:rsidRPr="001D2647">
        <w:t xml:space="preserve">section 835.4 absolves a public entity of liability for a dangerous condition under </w:t>
      </w:r>
      <w:r w:rsidR="009158C6">
        <w:t xml:space="preserve">Government Code </w:t>
      </w:r>
      <w:r w:rsidR="006D0098" w:rsidRPr="001D2647">
        <w:t>section 835 where the act or omission that created the condition was “reasonable.”</w:t>
      </w:r>
      <w:r w:rsidR="00E30A8D" w:rsidRPr="001D2647">
        <w:t xml:space="preserve"> </w:t>
      </w:r>
      <w:r w:rsidR="006D0098" w:rsidRPr="001D2647">
        <w:t xml:space="preserve"> We have held that this immunity, too, “clearly creates an affirmative defense.” </w:t>
      </w:r>
      <w:r w:rsidR="00E30A8D" w:rsidRPr="001D2647">
        <w:t xml:space="preserve"> </w:t>
      </w:r>
      <w:r w:rsidR="006D0098" w:rsidRPr="001D2647">
        <w:t>(</w:t>
      </w:r>
      <w:r w:rsidR="006D0098" w:rsidRPr="001D2647">
        <w:rPr>
          <w:i/>
        </w:rPr>
        <w:t>Metcalf v. County of San Joaquin</w:t>
      </w:r>
      <w:r w:rsidR="006D0098" w:rsidRPr="001D2647">
        <w:t xml:space="preserve"> (2008) 42 Cal.4th 1121, 1138; see also </w:t>
      </w:r>
      <w:r w:rsidR="006D0098" w:rsidRPr="001D2647">
        <w:rPr>
          <w:i/>
        </w:rPr>
        <w:t>Hibbs v. Los Angeles County Flood Control Dist.</w:t>
      </w:r>
      <w:r w:rsidR="006D0098" w:rsidRPr="001D2647">
        <w:t xml:space="preserve"> (</w:t>
      </w:r>
      <w:r w:rsidR="00E650BB" w:rsidRPr="001D2647">
        <w:t>1967) 252 Cal.App.2d 166, 172.)</w:t>
      </w:r>
    </w:p>
    <w:p w14:paraId="176E8DED" w14:textId="77777777" w:rsidR="00CF4490" w:rsidRPr="001D2647" w:rsidRDefault="008B63C9" w:rsidP="001D2647">
      <w:pPr>
        <w:ind w:firstLine="720"/>
      </w:pPr>
      <w:r w:rsidRPr="001D2647">
        <w:t xml:space="preserve">It is true, as the Court of Appeal observed, that section 850.4 differs from </w:t>
      </w:r>
      <w:r w:rsidR="00563B3A" w:rsidRPr="001D2647">
        <w:t>these other immunity provisions in that it creates an “absolute,” rather than “qualified,” immunity</w:t>
      </w:r>
      <w:r w:rsidR="005F25D7" w:rsidRPr="001D2647">
        <w:t>—</w:t>
      </w:r>
      <w:r w:rsidR="00DB4C00" w:rsidRPr="001D2647">
        <w:t xml:space="preserve">that is to say, </w:t>
      </w:r>
      <w:r w:rsidR="00BD3488" w:rsidRPr="001D2647">
        <w:t>the immunity is not conditioned on a showing that the defendant acted in a reasonable o</w:t>
      </w:r>
      <w:r w:rsidR="00526D95" w:rsidRPr="001D2647">
        <w:t>r procedurally proper manner</w:t>
      </w:r>
      <w:r w:rsidR="00C368AC" w:rsidRPr="001D2647">
        <w:t>, or any similar requirement</w:t>
      </w:r>
      <w:r w:rsidR="00526D95" w:rsidRPr="001D2647">
        <w:t xml:space="preserve">.  </w:t>
      </w:r>
      <w:r w:rsidR="00624C20" w:rsidRPr="001D2647">
        <w:t xml:space="preserve">But absolute privileges and immunities, </w:t>
      </w:r>
      <w:r w:rsidR="00B44154" w:rsidRPr="001D2647">
        <w:t xml:space="preserve">too, ordinarily </w:t>
      </w:r>
      <w:r w:rsidR="00F619EA" w:rsidRPr="001D2647">
        <w:t xml:space="preserve">apply only if the defendant invokes </w:t>
      </w:r>
      <w:r w:rsidR="00F619EA" w:rsidRPr="001D2647">
        <w:lastRenderedPageBreak/>
        <w:t>them.</w:t>
      </w:r>
      <w:r w:rsidR="000C59B3">
        <w:t xml:space="preserve">  </w:t>
      </w:r>
      <w:r w:rsidR="00E11BC7" w:rsidRPr="001D2647">
        <w:t>C</w:t>
      </w:r>
      <w:r w:rsidR="00AA6C8A" w:rsidRPr="001D2647">
        <w:t xml:space="preserve">ourts have </w:t>
      </w:r>
      <w:r w:rsidR="00E11BC7" w:rsidRPr="001D2647">
        <w:t xml:space="preserve">held, for example, </w:t>
      </w:r>
      <w:r w:rsidR="00AA6C8A" w:rsidRPr="001D2647">
        <w:t xml:space="preserve">that the absolute </w:t>
      </w:r>
      <w:r w:rsidR="008768FD" w:rsidRPr="001D2647">
        <w:t xml:space="preserve">litigation privilege </w:t>
      </w:r>
      <w:r w:rsidR="00255DDF" w:rsidRPr="001D2647">
        <w:t>in C</w:t>
      </w:r>
      <w:r w:rsidR="00EB61E7" w:rsidRPr="001D2647">
        <w:t xml:space="preserve">ivil Code </w:t>
      </w:r>
      <w:r w:rsidR="00255DDF" w:rsidRPr="001D2647">
        <w:t>section 47, subdivision (b)</w:t>
      </w:r>
      <w:r w:rsidR="00AA6C8A" w:rsidRPr="001D2647">
        <w:t>—a provision that operates “</w:t>
      </w:r>
      <w:r w:rsidR="00255DDF" w:rsidRPr="001D2647">
        <w:t xml:space="preserve">as a </w:t>
      </w:r>
      <w:r w:rsidR="00255DDF" w:rsidRPr="00C05156">
        <w:t>limitation on liability</w:t>
      </w:r>
      <w:r w:rsidR="00255DDF" w:rsidRPr="001D2647">
        <w:t xml:space="preserve">, precluding use of </w:t>
      </w:r>
      <w:r w:rsidR="008768FD" w:rsidRPr="001D2647">
        <w:t>.</w:t>
      </w:r>
      <w:r w:rsidR="007B5E41" w:rsidRPr="001D2647">
        <w:t> </w:t>
      </w:r>
      <w:r w:rsidR="008768FD" w:rsidRPr="001D2647">
        <w:t>.</w:t>
      </w:r>
      <w:r w:rsidR="007B5E41" w:rsidRPr="001D2647">
        <w:t> </w:t>
      </w:r>
      <w:r w:rsidR="008768FD" w:rsidRPr="001D2647">
        <w:t xml:space="preserve">. </w:t>
      </w:r>
      <w:r w:rsidR="00255DDF" w:rsidRPr="001D2647">
        <w:t xml:space="preserve">protected communications and statements as the basis for a tort action other than for </w:t>
      </w:r>
      <w:r w:rsidR="00AA6C8A" w:rsidRPr="001D2647">
        <w:t>malicious prosecution</w:t>
      </w:r>
      <w:r w:rsidR="00255DDF" w:rsidRPr="001D2647">
        <w:t>”</w:t>
      </w:r>
      <w:r w:rsidR="00AA6C8A" w:rsidRPr="001D2647">
        <w:t xml:space="preserve"> (</w:t>
      </w:r>
      <w:r w:rsidR="00255DDF" w:rsidRPr="001D2647">
        <w:rPr>
          <w:i/>
        </w:rPr>
        <w:t>Moore v. Conliffe</w:t>
      </w:r>
      <w:r w:rsidR="00255DDF" w:rsidRPr="001D2647">
        <w:t xml:space="preserve"> (1994) 7 Cal.4th 634, 638</w:t>
      </w:r>
      <w:r w:rsidR="0090657B" w:rsidRPr="001D2647">
        <w:t>,</w:t>
      </w:r>
      <w:r w:rsidR="00255DDF" w:rsidRPr="001D2647">
        <w:t xml:space="preserve"> fn.</w:t>
      </w:r>
      <w:r w:rsidR="0017543D" w:rsidRPr="001D2647">
        <w:t> </w:t>
      </w:r>
      <w:r w:rsidR="00255DDF" w:rsidRPr="001D2647">
        <w:t>1</w:t>
      </w:r>
      <w:r w:rsidR="009158C6">
        <w:t>,</w:t>
      </w:r>
      <w:r w:rsidR="00C92404">
        <w:t xml:space="preserve"> italics omitted</w:t>
      </w:r>
      <w:r w:rsidR="00AA6C8A" w:rsidRPr="001D2647">
        <w:t xml:space="preserve">)—is an affirmative defense subject to principles of forfeiture and </w:t>
      </w:r>
      <w:r w:rsidR="006E6430" w:rsidRPr="001D2647">
        <w:t>waiver</w:t>
      </w:r>
      <w:r w:rsidR="005F25D7" w:rsidRPr="001D2647">
        <w:t xml:space="preserve"> </w:t>
      </w:r>
      <w:r w:rsidR="006E6430" w:rsidRPr="001D2647">
        <w:t>(</w:t>
      </w:r>
      <w:r w:rsidR="007473F4" w:rsidRPr="001D2647">
        <w:rPr>
          <w:i/>
        </w:rPr>
        <w:t>Stevens v. Snow</w:t>
      </w:r>
      <w:r w:rsidR="006E6430" w:rsidRPr="001D2647">
        <w:t xml:space="preserve"> (1923) 191 Cal. 58, 64; see also</w:t>
      </w:r>
      <w:r w:rsidR="007B5E41" w:rsidRPr="001D2647">
        <w:t>,</w:t>
      </w:r>
      <w:r w:rsidR="006E6430" w:rsidRPr="001D2647">
        <w:t xml:space="preserve"> e.g., </w:t>
      </w:r>
      <w:proofErr w:type="spellStart"/>
      <w:r w:rsidR="006E6430" w:rsidRPr="001D2647">
        <w:rPr>
          <w:i/>
        </w:rPr>
        <w:t>Cruey</w:t>
      </w:r>
      <w:proofErr w:type="spellEnd"/>
      <w:r w:rsidR="006E6430" w:rsidRPr="001D2647">
        <w:rPr>
          <w:i/>
        </w:rPr>
        <w:t xml:space="preserve"> v. Gannett Co.</w:t>
      </w:r>
      <w:r w:rsidR="006E6430" w:rsidRPr="001D2647">
        <w:t xml:space="preserve"> (1998) 64 Cal.App.4th 356, 367)</w:t>
      </w:r>
      <w:r w:rsidR="005F25D7" w:rsidRPr="001D2647">
        <w:t>.</w:t>
      </w:r>
      <w:r w:rsidR="00516305" w:rsidRPr="001D2647">
        <w:t xml:space="preserve">  </w:t>
      </w:r>
      <w:r w:rsidR="00DF40AA" w:rsidRPr="001D2647">
        <w:t xml:space="preserve">Or to take another example, the common law has long </w:t>
      </w:r>
      <w:r w:rsidR="00E56759" w:rsidRPr="001D2647">
        <w:t>granted</w:t>
      </w:r>
      <w:r w:rsidR="00DF40AA" w:rsidRPr="001D2647">
        <w:t xml:space="preserve"> judges </w:t>
      </w:r>
      <w:r w:rsidR="00E56759" w:rsidRPr="001D2647">
        <w:t xml:space="preserve">absolute immunity </w:t>
      </w:r>
      <w:r w:rsidR="00DF40AA" w:rsidRPr="001D2647">
        <w:t>from liab</w:t>
      </w:r>
      <w:r w:rsidR="003921BE" w:rsidRPr="001D2647">
        <w:t>ility for their judicial acts</w:t>
      </w:r>
      <w:r w:rsidR="005D3028" w:rsidRPr="001D2647">
        <w:t>.</w:t>
      </w:r>
      <w:r w:rsidR="00E56759" w:rsidRPr="001D2647">
        <w:t xml:space="preserve">  (</w:t>
      </w:r>
      <w:proofErr w:type="spellStart"/>
      <w:r w:rsidR="00E56759" w:rsidRPr="001D2647">
        <w:rPr>
          <w:i/>
        </w:rPr>
        <w:t>Soliz</w:t>
      </w:r>
      <w:proofErr w:type="spellEnd"/>
      <w:r w:rsidR="00E56759" w:rsidRPr="001D2647">
        <w:rPr>
          <w:i/>
        </w:rPr>
        <w:t xml:space="preserve"> v. Williams</w:t>
      </w:r>
      <w:r w:rsidR="00E56759" w:rsidRPr="001D2647">
        <w:t xml:space="preserve"> (1999) 74 Cal.App.4th 577, 585–586; see also, e.g., </w:t>
      </w:r>
      <w:r w:rsidR="00E56759" w:rsidRPr="001D2647">
        <w:rPr>
          <w:i/>
        </w:rPr>
        <w:t>Pierson v. Ray</w:t>
      </w:r>
      <w:r w:rsidR="00E56759" w:rsidRPr="001D2647">
        <w:t xml:space="preserve"> (1967) 386 U.S. 547, 554</w:t>
      </w:r>
      <w:r w:rsidR="000F4992" w:rsidRPr="001D2647">
        <w:t xml:space="preserve"> [similarly describing the common law immunity]</w:t>
      </w:r>
      <w:r w:rsidR="00E56759" w:rsidRPr="001D2647">
        <w:t>.)</w:t>
      </w:r>
      <w:r w:rsidR="00546205" w:rsidRPr="001D2647">
        <w:t xml:space="preserve">  </w:t>
      </w:r>
      <w:r w:rsidR="001F6899" w:rsidRPr="001D2647">
        <w:t>T</w:t>
      </w:r>
      <w:r w:rsidR="00025BFE" w:rsidRPr="001D2647">
        <w:t xml:space="preserve">his immunity, too, </w:t>
      </w:r>
      <w:r w:rsidR="00C46E8C" w:rsidRPr="001D2647">
        <w:t xml:space="preserve">generally </w:t>
      </w:r>
      <w:r w:rsidR="00F86DB3" w:rsidRPr="001D2647">
        <w:t xml:space="preserve">has been </w:t>
      </w:r>
      <w:r w:rsidR="001F6899" w:rsidRPr="001D2647">
        <w:t>understood to co</w:t>
      </w:r>
      <w:r w:rsidR="00F86DB3" w:rsidRPr="001D2647">
        <w:t>nstitute an affirmative defense</w:t>
      </w:r>
      <w:r w:rsidR="006875D3" w:rsidRPr="001D2647">
        <w:t xml:space="preserve">, not a limitation on court </w:t>
      </w:r>
      <w:proofErr w:type="gramStart"/>
      <w:r w:rsidR="006875D3" w:rsidRPr="001D2647">
        <w:t>jurisdiction</w:t>
      </w:r>
      <w:proofErr w:type="gramEnd"/>
      <w:r w:rsidR="0030516A" w:rsidRPr="001D2647">
        <w:t>.  (</w:t>
      </w:r>
      <w:r w:rsidR="00F86DB3" w:rsidRPr="001D2647">
        <w:t xml:space="preserve">E.g., </w:t>
      </w:r>
      <w:r w:rsidR="0030516A" w:rsidRPr="001D2647">
        <w:rPr>
          <w:i/>
        </w:rPr>
        <w:t xml:space="preserve">Boyd v. Carroll </w:t>
      </w:r>
      <w:r w:rsidR="0030516A" w:rsidRPr="001D2647">
        <w:t>(5th Cir. 1980) 624 F.2d 730, 732</w:t>
      </w:r>
      <w:r w:rsidR="007B5E41" w:rsidRPr="001D2647">
        <w:t>–</w:t>
      </w:r>
      <w:r w:rsidR="0030516A" w:rsidRPr="001D2647">
        <w:t>733</w:t>
      </w:r>
      <w:r w:rsidR="00AF5C2F" w:rsidRPr="001D2647">
        <w:t xml:space="preserve">; </w:t>
      </w:r>
      <w:r w:rsidR="00FF0A5E" w:rsidRPr="001D2647">
        <w:rPr>
          <w:i/>
        </w:rPr>
        <w:t>Plyer v. Burns</w:t>
      </w:r>
      <w:r w:rsidR="00FF0A5E" w:rsidRPr="001D2647">
        <w:t xml:space="preserve"> (</w:t>
      </w:r>
      <w:r w:rsidR="003A4D87">
        <w:t xml:space="preserve">S.C. </w:t>
      </w:r>
      <w:r w:rsidR="00BA625D" w:rsidRPr="001D2647">
        <w:t xml:space="preserve">2007) </w:t>
      </w:r>
      <w:r w:rsidR="008F7743">
        <w:t>647 S.E.2d 188, 194</w:t>
      </w:r>
      <w:r w:rsidR="008F7743" w:rsidRPr="001D2647">
        <w:t>–</w:t>
      </w:r>
      <w:r w:rsidR="008F7743">
        <w:t>195</w:t>
      </w:r>
      <w:r w:rsidR="00BA625D" w:rsidRPr="001D2647">
        <w:t xml:space="preserve">; </w:t>
      </w:r>
      <w:r w:rsidR="00BA625D" w:rsidRPr="001D2647">
        <w:rPr>
          <w:i/>
        </w:rPr>
        <w:t>Dallas County v. Halsey</w:t>
      </w:r>
      <w:r w:rsidR="00BA625D" w:rsidRPr="001D2647">
        <w:t xml:space="preserve"> (Tex. 2002) 87 S.W.3d 552, 553</w:t>
      </w:r>
      <w:r w:rsidR="00A92B44" w:rsidRPr="001D2647">
        <w:t xml:space="preserve">; </w:t>
      </w:r>
      <w:r w:rsidR="00A92B44" w:rsidRPr="001D2647">
        <w:rPr>
          <w:i/>
        </w:rPr>
        <w:t>BCL Enterprises v. Dept. of Liquor Control</w:t>
      </w:r>
      <w:r w:rsidR="00A92B44" w:rsidRPr="001D2647">
        <w:t xml:space="preserve"> (</w:t>
      </w:r>
      <w:r w:rsidR="003A4D87">
        <w:t xml:space="preserve">Ohio </w:t>
      </w:r>
      <w:r w:rsidR="00A92B44" w:rsidRPr="001D2647">
        <w:t xml:space="preserve">1997) </w:t>
      </w:r>
      <w:r w:rsidR="008F7743">
        <w:t>675 N.E.2d 1, 4</w:t>
      </w:r>
      <w:r w:rsidR="00DD61B8" w:rsidRPr="001D2647">
        <w:t>.)</w:t>
      </w:r>
      <w:r w:rsidR="000C59B3">
        <w:rPr>
          <w:rStyle w:val="FootnoteReference"/>
        </w:rPr>
        <w:footnoteReference w:id="7"/>
      </w:r>
      <w:r w:rsidR="003B6952" w:rsidRPr="001D2647">
        <w:t xml:space="preserve">  </w:t>
      </w:r>
    </w:p>
    <w:p w14:paraId="074782B6" w14:textId="77777777" w:rsidR="008120FD" w:rsidRPr="001D2647" w:rsidRDefault="000F4992" w:rsidP="001D2647">
      <w:pPr>
        <w:ind w:firstLine="720"/>
      </w:pPr>
      <w:r w:rsidRPr="001D2647">
        <w:lastRenderedPageBreak/>
        <w:t xml:space="preserve">Notwithstanding </w:t>
      </w:r>
      <w:r w:rsidR="00A84F8A" w:rsidRPr="001D2647">
        <w:t>section 850.4’s</w:t>
      </w:r>
      <w:r w:rsidRPr="001D2647">
        <w:t xml:space="preserve"> resemblance to other affirmative defenses, defendants argue that </w:t>
      </w:r>
      <w:r w:rsidR="00B401C2" w:rsidRPr="001D2647">
        <w:t xml:space="preserve">the </w:t>
      </w:r>
      <w:r w:rsidRPr="001D2647">
        <w:t>GCA</w:t>
      </w:r>
      <w:r w:rsidR="00B401C2" w:rsidRPr="001D2647">
        <w:t>’s roo</w:t>
      </w:r>
      <w:r w:rsidR="00192D3D" w:rsidRPr="001D2647">
        <w:t xml:space="preserve">ts in the doctrine of sovereign </w:t>
      </w:r>
      <w:r w:rsidR="00B401C2" w:rsidRPr="001D2647">
        <w:t>immunity</w:t>
      </w:r>
      <w:r w:rsidRPr="001D2647">
        <w:t xml:space="preserve"> </w:t>
      </w:r>
      <w:r w:rsidR="00516A96" w:rsidRPr="001D2647">
        <w:t>support affixing</w:t>
      </w:r>
      <w:r w:rsidRPr="001D2647">
        <w:t xml:space="preserve"> the jurisdic</w:t>
      </w:r>
      <w:r w:rsidR="001A5E7B" w:rsidRPr="001D2647">
        <w:t>tional label</w:t>
      </w:r>
      <w:r w:rsidR="001F6238" w:rsidRPr="001D2647">
        <w:t xml:space="preserve"> instead</w:t>
      </w:r>
      <w:r w:rsidR="001A5E7B" w:rsidRPr="001D2647">
        <w:t>.</w:t>
      </w:r>
      <w:r w:rsidR="00A71427" w:rsidRPr="001D2647">
        <w:t xml:space="preserve"> </w:t>
      </w:r>
      <w:r w:rsidR="001A5E7B" w:rsidRPr="001D2647">
        <w:t xml:space="preserve"> </w:t>
      </w:r>
      <w:r w:rsidR="00A936B6" w:rsidRPr="001D2647">
        <w:t xml:space="preserve">As noted, </w:t>
      </w:r>
      <w:r w:rsidR="00651129">
        <w:t xml:space="preserve">the GCA was enacted after </w:t>
      </w:r>
      <w:r w:rsidR="00A936B6" w:rsidRPr="001D2647">
        <w:t xml:space="preserve">this court abolished the common law rule of </w:t>
      </w:r>
      <w:r w:rsidR="00A73217" w:rsidRPr="001D2647">
        <w:t xml:space="preserve">governmental immunity in </w:t>
      </w:r>
      <w:proofErr w:type="spellStart"/>
      <w:r w:rsidR="00A96EFB" w:rsidRPr="001D2647">
        <w:rPr>
          <w:i/>
        </w:rPr>
        <w:t>Muskopf</w:t>
      </w:r>
      <w:proofErr w:type="spellEnd"/>
      <w:r w:rsidR="00153CE7" w:rsidRPr="001D2647">
        <w:t xml:space="preserve">, </w:t>
      </w:r>
      <w:r w:rsidR="00153CE7" w:rsidRPr="001D2647">
        <w:rPr>
          <w:i/>
        </w:rPr>
        <w:t>supra</w:t>
      </w:r>
      <w:r w:rsidR="00153CE7" w:rsidRPr="001D2647">
        <w:t xml:space="preserve">, </w:t>
      </w:r>
      <w:r w:rsidR="00A96EFB" w:rsidRPr="001D2647">
        <w:t xml:space="preserve">55 Cal.2d </w:t>
      </w:r>
      <w:r w:rsidR="00A73217" w:rsidRPr="001D2647">
        <w:t xml:space="preserve">211. </w:t>
      </w:r>
      <w:r w:rsidR="007B5E41" w:rsidRPr="001D2647">
        <w:t xml:space="preserve"> </w:t>
      </w:r>
      <w:r w:rsidR="00516A96" w:rsidRPr="001D2647">
        <w:t>Defenda</w:t>
      </w:r>
      <w:r w:rsidR="00F44DCD" w:rsidRPr="001D2647">
        <w:t xml:space="preserve">nts reason that because </w:t>
      </w:r>
      <w:r w:rsidR="00B00D2C" w:rsidRPr="001D2647">
        <w:t>the</w:t>
      </w:r>
      <w:r w:rsidR="00F44DCD" w:rsidRPr="001D2647">
        <w:t xml:space="preserve"> </w:t>
      </w:r>
      <w:r w:rsidR="00015B94" w:rsidRPr="001D2647">
        <w:t xml:space="preserve">Legislature enacted the </w:t>
      </w:r>
      <w:r w:rsidR="00F44DCD" w:rsidRPr="001D2647">
        <w:t>GCA</w:t>
      </w:r>
      <w:r w:rsidR="00B00D2C" w:rsidRPr="001D2647">
        <w:t xml:space="preserve"> </w:t>
      </w:r>
      <w:r w:rsidR="00F44DCD" w:rsidRPr="001D2647">
        <w:t xml:space="preserve">to restore governmental immunity </w:t>
      </w:r>
      <w:r w:rsidR="00FA33EF" w:rsidRPr="001D2647">
        <w:t xml:space="preserve">from liability </w:t>
      </w:r>
      <w:r w:rsidR="00F44DCD" w:rsidRPr="001D2647">
        <w:t xml:space="preserve">as “the overarching rule,” subject only to those exceptions created by statute, </w:t>
      </w:r>
      <w:r w:rsidR="00A96EFB" w:rsidRPr="001D2647">
        <w:t>courts</w:t>
      </w:r>
      <w:r w:rsidR="00924D3F" w:rsidRPr="001D2647">
        <w:t xml:space="preserve"> </w:t>
      </w:r>
      <w:r w:rsidR="00155B6E" w:rsidRPr="001D2647">
        <w:t xml:space="preserve">must lack </w:t>
      </w:r>
      <w:r w:rsidR="00A96EFB" w:rsidRPr="001D2647">
        <w:t xml:space="preserve">power to hear a tort claim against a public entity where an immunity </w:t>
      </w:r>
      <w:r w:rsidR="001C06DC" w:rsidRPr="001D2647">
        <w:t xml:space="preserve">provision </w:t>
      </w:r>
      <w:r w:rsidR="00D82AD7" w:rsidRPr="001D2647">
        <w:t xml:space="preserve">like section 850.4 </w:t>
      </w:r>
      <w:r w:rsidR="00A96EFB" w:rsidRPr="001D2647">
        <w:t>applies.</w:t>
      </w:r>
    </w:p>
    <w:p w14:paraId="5D6E29C7" w14:textId="57495580" w:rsidR="00B00D2C" w:rsidRPr="001D2647" w:rsidRDefault="00CC136F" w:rsidP="001D2647">
      <w:pPr>
        <w:ind w:firstLine="720"/>
      </w:pPr>
      <w:r>
        <w:t xml:space="preserve">Defendants’ </w:t>
      </w:r>
      <w:r w:rsidR="00F44DCD" w:rsidRPr="001D2647">
        <w:t xml:space="preserve">argument </w:t>
      </w:r>
      <w:r w:rsidR="006359A8" w:rsidRPr="001D2647">
        <w:t xml:space="preserve">assumes </w:t>
      </w:r>
      <w:r w:rsidR="00D16F25" w:rsidRPr="001D2647">
        <w:t xml:space="preserve">that the </w:t>
      </w:r>
      <w:r w:rsidR="0033799D" w:rsidRPr="001D2647">
        <w:t xml:space="preserve">Legislature’s </w:t>
      </w:r>
      <w:r w:rsidR="008922DC" w:rsidRPr="001D2647">
        <w:t>evident intent</w:t>
      </w:r>
      <w:r w:rsidR="0033799D" w:rsidRPr="001D2647">
        <w:t xml:space="preserve"> to limit the tort liability of public entities </w:t>
      </w:r>
      <w:r w:rsidR="00B11AB2" w:rsidRPr="001D2647">
        <w:t xml:space="preserve">in the GCA </w:t>
      </w:r>
      <w:r w:rsidR="0033799D" w:rsidRPr="001D2647">
        <w:t xml:space="preserve">(even when there is an applicable statutory basis for liability, as </w:t>
      </w:r>
      <w:r w:rsidR="00EB61E7" w:rsidRPr="001D2647">
        <w:t>Gov</w:t>
      </w:r>
      <w:r w:rsidR="003C333A">
        <w:t>ernment</w:t>
      </w:r>
      <w:r w:rsidR="00EB61E7" w:rsidRPr="001D2647">
        <w:t xml:space="preserve"> Code</w:t>
      </w:r>
      <w:r w:rsidR="00582EFD">
        <w:t xml:space="preserve"> </w:t>
      </w:r>
      <w:r w:rsidR="003C333A">
        <w:t>section</w:t>
      </w:r>
      <w:r w:rsidR="00582EFD">
        <w:t> </w:t>
      </w:r>
      <w:r w:rsidR="00543665" w:rsidRPr="001D2647">
        <w:t>835 provides</w:t>
      </w:r>
      <w:r w:rsidR="0033799D" w:rsidRPr="001D2647">
        <w:t xml:space="preserve"> here) </w:t>
      </w:r>
      <w:r w:rsidR="006359A8" w:rsidRPr="001D2647">
        <w:t xml:space="preserve">means the Legislature must </w:t>
      </w:r>
      <w:r w:rsidR="006359A8" w:rsidRPr="005A3A2F">
        <w:t xml:space="preserve">also </w:t>
      </w:r>
      <w:r w:rsidR="006359A8" w:rsidRPr="001D2647">
        <w:t xml:space="preserve">have intended </w:t>
      </w:r>
      <w:r w:rsidR="0033799D" w:rsidRPr="001D2647">
        <w:t xml:space="preserve">to withdraw a class of </w:t>
      </w:r>
      <w:r w:rsidR="00442A16" w:rsidRPr="001D2647">
        <w:t>tort cases from the fundament</w:t>
      </w:r>
      <w:r w:rsidR="001C06DC" w:rsidRPr="001D2647">
        <w:t>al jurisdiction of the courts.</w:t>
      </w:r>
      <w:r w:rsidR="00A71427" w:rsidRPr="001D2647">
        <w:t xml:space="preserve"> </w:t>
      </w:r>
      <w:r w:rsidR="008120FD" w:rsidRPr="001D2647">
        <w:t xml:space="preserve"> </w:t>
      </w:r>
      <w:r w:rsidR="007964DE" w:rsidRPr="001D2647">
        <w:t>This assumption is unfounded</w:t>
      </w:r>
      <w:r w:rsidR="00015B94" w:rsidRPr="001D2647">
        <w:t xml:space="preserve">, for reasons </w:t>
      </w:r>
      <w:proofErr w:type="spellStart"/>
      <w:r w:rsidR="00015B94" w:rsidRPr="001D2647">
        <w:rPr>
          <w:i/>
        </w:rPr>
        <w:t>Muskopf</w:t>
      </w:r>
      <w:proofErr w:type="spellEnd"/>
      <w:r w:rsidR="00015B94" w:rsidRPr="001D2647">
        <w:rPr>
          <w:i/>
        </w:rPr>
        <w:t xml:space="preserve"> </w:t>
      </w:r>
      <w:r w:rsidR="00015B94" w:rsidRPr="001D2647">
        <w:t xml:space="preserve">itself made clear:  </w:t>
      </w:r>
      <w:r w:rsidR="002E6455" w:rsidRPr="001D2647">
        <w:t xml:space="preserve">California law has long distinguished between limitations on </w:t>
      </w:r>
      <w:r w:rsidR="00456960" w:rsidRPr="001D2647">
        <w:t xml:space="preserve">the </w:t>
      </w:r>
      <w:r w:rsidR="002E6455" w:rsidRPr="001D2647">
        <w:t xml:space="preserve">substantive liability </w:t>
      </w:r>
      <w:r w:rsidR="00651129">
        <w:t xml:space="preserve">of public entities, on the one hand, </w:t>
      </w:r>
      <w:r w:rsidR="002E6455" w:rsidRPr="001D2647">
        <w:t>and limitations on the power of the court</w:t>
      </w:r>
      <w:r w:rsidR="00CF5DE0" w:rsidRPr="001D2647">
        <w:t>s</w:t>
      </w:r>
      <w:r w:rsidR="002E6455" w:rsidRPr="001D2647">
        <w:t xml:space="preserve"> to </w:t>
      </w:r>
      <w:r w:rsidR="00417542" w:rsidRPr="001D2647">
        <w:t>hear cases</w:t>
      </w:r>
      <w:r w:rsidR="007964DE" w:rsidRPr="001D2647">
        <w:t xml:space="preserve"> involving public entities</w:t>
      </w:r>
      <w:r w:rsidR="00651129">
        <w:t>, on the other</w:t>
      </w:r>
      <w:r w:rsidR="00DB4C00" w:rsidRPr="001D2647">
        <w:t>.</w:t>
      </w:r>
      <w:r w:rsidR="00DB725B" w:rsidRPr="001D2647">
        <w:t xml:space="preserve">  (See </w:t>
      </w:r>
      <w:proofErr w:type="spellStart"/>
      <w:r w:rsidR="00DB725B" w:rsidRPr="001D2647">
        <w:rPr>
          <w:i/>
        </w:rPr>
        <w:t>Muskopf</w:t>
      </w:r>
      <w:proofErr w:type="spellEnd"/>
      <w:r w:rsidR="00DB725B" w:rsidRPr="001D2647">
        <w:t xml:space="preserve">, </w:t>
      </w:r>
      <w:r w:rsidR="00DB725B" w:rsidRPr="001D2647">
        <w:rPr>
          <w:i/>
        </w:rPr>
        <w:t>supra</w:t>
      </w:r>
      <w:r w:rsidR="00DB725B" w:rsidRPr="001D2647">
        <w:t>, 55 Cal.2d at pp.</w:t>
      </w:r>
      <w:r w:rsidR="007B5E41" w:rsidRPr="001D2647">
        <w:t> </w:t>
      </w:r>
      <w:r w:rsidR="00DB725B" w:rsidRPr="001D2647">
        <w:t>217</w:t>
      </w:r>
      <w:r w:rsidR="007B5E41" w:rsidRPr="001D2647">
        <w:t>–</w:t>
      </w:r>
      <w:r w:rsidR="00DB725B" w:rsidRPr="001D2647">
        <w:t>218.)</w:t>
      </w:r>
    </w:p>
    <w:p w14:paraId="664590D5" w14:textId="33620404" w:rsidR="00E04886" w:rsidRPr="001D2647" w:rsidRDefault="00FB69A4" w:rsidP="001D2647">
      <w:pPr>
        <w:ind w:firstLine="720"/>
      </w:pPr>
      <w:r w:rsidRPr="001D2647">
        <w:t>Granted</w:t>
      </w:r>
      <w:r w:rsidR="00157C61" w:rsidRPr="001D2647">
        <w:t xml:space="preserve">, </w:t>
      </w:r>
      <w:r w:rsidR="00F12696" w:rsidRPr="001D2647">
        <w:t xml:space="preserve">for </w:t>
      </w:r>
      <w:proofErr w:type="gramStart"/>
      <w:r w:rsidR="00F12696" w:rsidRPr="001D2647">
        <w:t>some</w:t>
      </w:r>
      <w:proofErr w:type="gramEnd"/>
      <w:r w:rsidR="00F12696" w:rsidRPr="001D2647">
        <w:t xml:space="preserve"> time </w:t>
      </w:r>
      <w:r w:rsidR="00007332" w:rsidRPr="001D2647">
        <w:t xml:space="preserve">in our history, </w:t>
      </w:r>
      <w:r w:rsidRPr="001D2647">
        <w:t xml:space="preserve">the </w:t>
      </w:r>
      <w:r w:rsidR="00157C61" w:rsidRPr="001D2647">
        <w:t xml:space="preserve">distinction between these two kinds of limitations had little practical </w:t>
      </w:r>
      <w:r w:rsidR="00157C61" w:rsidRPr="001D2647">
        <w:lastRenderedPageBreak/>
        <w:t>relevance.  A</w:t>
      </w:r>
      <w:r w:rsidR="00AB7470" w:rsidRPr="001D2647">
        <w:t>t common law,</w:t>
      </w:r>
      <w:r w:rsidR="00B12380" w:rsidRPr="001D2647">
        <w:t xml:space="preserve"> </w:t>
      </w:r>
      <w:r w:rsidR="00CF4FCC" w:rsidRPr="001D2647">
        <w:t xml:space="preserve">the doctrine of </w:t>
      </w:r>
      <w:r w:rsidR="00547D71" w:rsidRPr="001D2647">
        <w:t xml:space="preserve">sovereign </w:t>
      </w:r>
      <w:r w:rsidR="00CF4FCC" w:rsidRPr="001D2647">
        <w:t>immunity had two strands:  a procedural immunity from suit</w:t>
      </w:r>
      <w:r w:rsidR="00547D71" w:rsidRPr="001D2647">
        <w:t xml:space="preserve"> without the government’s consent</w:t>
      </w:r>
      <w:r w:rsidR="008F7743">
        <w:t xml:space="preserve"> </w:t>
      </w:r>
      <w:r w:rsidR="00CF4FCC" w:rsidRPr="001D2647">
        <w:t>and a substantive immunity from liability</w:t>
      </w:r>
      <w:r w:rsidR="00417542" w:rsidRPr="001D2647">
        <w:t xml:space="preserve"> for the conduct of government</w:t>
      </w:r>
      <w:r w:rsidR="00CF4FCC" w:rsidRPr="001D2647">
        <w:t xml:space="preserve">.  </w:t>
      </w:r>
      <w:r w:rsidR="00B12380" w:rsidRPr="001D2647">
        <w:t>(</w:t>
      </w:r>
      <w:r w:rsidR="00B12380" w:rsidRPr="001D2647">
        <w:rPr>
          <w:i/>
        </w:rPr>
        <w:t xml:space="preserve">State Dept. </w:t>
      </w:r>
      <w:r w:rsidR="00E23260" w:rsidRPr="001D2647">
        <w:rPr>
          <w:i/>
        </w:rPr>
        <w:t>of State Hospitals v. Superior C</w:t>
      </w:r>
      <w:r w:rsidR="00B12380" w:rsidRPr="001D2647">
        <w:rPr>
          <w:i/>
        </w:rPr>
        <w:t>ourt</w:t>
      </w:r>
      <w:r w:rsidR="00B12380" w:rsidRPr="001D2647">
        <w:t xml:space="preserve"> (2015) 61 Cal.4th 339, 347.)</w:t>
      </w:r>
      <w:r w:rsidR="00CF5DE0" w:rsidRPr="001D2647">
        <w:t xml:space="preserve"> </w:t>
      </w:r>
      <w:r w:rsidR="00B12380" w:rsidRPr="001D2647">
        <w:t xml:space="preserve"> </w:t>
      </w:r>
      <w:r w:rsidR="0074789B">
        <w:t>C</w:t>
      </w:r>
      <w:r w:rsidR="0097179A">
        <w:t xml:space="preserve">ombined, the effect </w:t>
      </w:r>
      <w:r w:rsidR="0074789B">
        <w:t xml:space="preserve">of these two features </w:t>
      </w:r>
      <w:r w:rsidR="0097179A">
        <w:t xml:space="preserve">was to close California courts to individuals injured by the </w:t>
      </w:r>
      <w:r w:rsidR="00996DBD" w:rsidRPr="001D2647">
        <w:t xml:space="preserve">negligence of </w:t>
      </w:r>
      <w:r w:rsidR="0097179A">
        <w:t xml:space="preserve">public entities and </w:t>
      </w:r>
      <w:r w:rsidR="00996DBD" w:rsidRPr="001D2647">
        <w:t>employees</w:t>
      </w:r>
      <w:r w:rsidR="00901309" w:rsidRPr="001D2647">
        <w:t>.</w:t>
      </w:r>
      <w:r w:rsidR="00CF5DE0" w:rsidRPr="001D2647">
        <w:t xml:space="preserve"> </w:t>
      </w:r>
      <w:r w:rsidR="00901309" w:rsidRPr="001D2647">
        <w:t xml:space="preserve"> </w:t>
      </w:r>
      <w:r w:rsidR="00E04886" w:rsidRPr="001D2647">
        <w:t xml:space="preserve">(See </w:t>
      </w:r>
      <w:r w:rsidR="00E04886" w:rsidRPr="001D2647">
        <w:rPr>
          <w:i/>
        </w:rPr>
        <w:t xml:space="preserve">Welsbach Co. v. State </w:t>
      </w:r>
      <w:r w:rsidR="00EB61E7" w:rsidRPr="001D2647">
        <w:rPr>
          <w:i/>
        </w:rPr>
        <w:t xml:space="preserve">of California </w:t>
      </w:r>
      <w:r w:rsidR="00EB61E7" w:rsidRPr="001D2647">
        <w:t>(</w:t>
      </w:r>
      <w:r w:rsidR="00E04886" w:rsidRPr="001D2647">
        <w:t>1929) 206 Cal. 556, 558.)</w:t>
      </w:r>
      <w:r w:rsidR="00CF5DE0" w:rsidRPr="001D2647">
        <w:t xml:space="preserve"> </w:t>
      </w:r>
      <w:r w:rsidR="00E04886" w:rsidRPr="001D2647">
        <w:t xml:space="preserve"> </w:t>
      </w:r>
      <w:r w:rsidR="00610792">
        <w:t xml:space="preserve">For individuals injured by state employees, for example, the </w:t>
      </w:r>
      <w:r w:rsidR="004F70B6" w:rsidRPr="001D2647">
        <w:t xml:space="preserve">only </w:t>
      </w:r>
      <w:r w:rsidR="00610792">
        <w:t xml:space="preserve">possible </w:t>
      </w:r>
      <w:r w:rsidR="004F70B6" w:rsidRPr="001D2647">
        <w:t>remedy was</w:t>
      </w:r>
      <w:r w:rsidR="008E13C2" w:rsidRPr="001D2647">
        <w:t xml:space="preserve"> </w:t>
      </w:r>
      <w:r w:rsidR="00607A9A">
        <w:t xml:space="preserve">payment via </w:t>
      </w:r>
      <w:r w:rsidR="00FE413B">
        <w:t>a</w:t>
      </w:r>
      <w:r w:rsidR="00835B00">
        <w:t xml:space="preserve"> private</w:t>
      </w:r>
      <w:r w:rsidR="00FE413B">
        <w:t xml:space="preserve"> appropriation bill enacted by the Legislature.</w:t>
      </w:r>
      <w:r w:rsidR="00CF5DE0" w:rsidRPr="001D2647">
        <w:t xml:space="preserve"> </w:t>
      </w:r>
      <w:r w:rsidR="00E04886" w:rsidRPr="001D2647">
        <w:t xml:space="preserve"> (</w:t>
      </w:r>
      <w:r w:rsidR="008844DB" w:rsidRPr="001D2647">
        <w:rPr>
          <w:i/>
        </w:rPr>
        <w:t>Ibid</w:t>
      </w:r>
      <w:r w:rsidR="008844DB" w:rsidRPr="001D2647">
        <w:t xml:space="preserve">.; see generally </w:t>
      </w:r>
      <w:r w:rsidR="00E04886" w:rsidRPr="001D2647">
        <w:t xml:space="preserve">Van Alstyne, </w:t>
      </w:r>
      <w:r w:rsidR="00E04886" w:rsidRPr="001D2647">
        <w:rPr>
          <w:i/>
        </w:rPr>
        <w:t xml:space="preserve">Governmental Tort Liability: </w:t>
      </w:r>
      <w:r w:rsidR="007B5E41" w:rsidRPr="001D2647">
        <w:rPr>
          <w:i/>
        </w:rPr>
        <w:t xml:space="preserve"> </w:t>
      </w:r>
      <w:r w:rsidR="00E04886" w:rsidRPr="001D2647">
        <w:rPr>
          <w:i/>
        </w:rPr>
        <w:t>Judicial Lawmaking in a Statutory Milieu</w:t>
      </w:r>
      <w:r w:rsidR="00335890" w:rsidRPr="001D2647">
        <w:t xml:space="preserve"> (1963)</w:t>
      </w:r>
      <w:r w:rsidR="00E04886" w:rsidRPr="001D2647">
        <w:t xml:space="preserve"> 15 Stan</w:t>
      </w:r>
      <w:proofErr w:type="gramStart"/>
      <w:r w:rsidR="007B5E41" w:rsidRPr="001D2647">
        <w:t>.</w:t>
      </w:r>
      <w:r w:rsidR="00335890" w:rsidRPr="001D2647">
        <w:t xml:space="preserve"> </w:t>
      </w:r>
      <w:proofErr w:type="spellStart"/>
      <w:proofErr w:type="gramEnd"/>
      <w:r w:rsidR="00E04886" w:rsidRPr="001D2647">
        <w:t>L.Rev</w:t>
      </w:r>
      <w:proofErr w:type="spellEnd"/>
      <w:r w:rsidR="00E04886" w:rsidRPr="001D2647">
        <w:t>. 163, 168</w:t>
      </w:r>
      <w:r w:rsidR="007B5E41" w:rsidRPr="001D2647">
        <w:t>–</w:t>
      </w:r>
      <w:r w:rsidR="00784F19" w:rsidRPr="001D2647">
        <w:t>169</w:t>
      </w:r>
      <w:r w:rsidR="00E04886" w:rsidRPr="001D2647">
        <w:t xml:space="preserve">.) </w:t>
      </w:r>
    </w:p>
    <w:p w14:paraId="15D2178B" w14:textId="77777777" w:rsidR="00F00ACF" w:rsidRDefault="0078463A">
      <w:pPr>
        <w:ind w:firstLine="720"/>
      </w:pPr>
      <w:r w:rsidRPr="001D2647">
        <w:t xml:space="preserve">But </w:t>
      </w:r>
      <w:r w:rsidR="00610792">
        <w:t xml:space="preserve">as </w:t>
      </w:r>
      <w:proofErr w:type="spellStart"/>
      <w:r w:rsidR="00610792">
        <w:rPr>
          <w:i/>
        </w:rPr>
        <w:t>Muskopf</w:t>
      </w:r>
      <w:proofErr w:type="spellEnd"/>
      <w:r w:rsidR="00610792">
        <w:t xml:space="preserve"> explained, various legal developments </w:t>
      </w:r>
      <w:r w:rsidR="0009337D">
        <w:t>would disentangle</w:t>
      </w:r>
      <w:r w:rsidR="00610792">
        <w:t xml:space="preserve"> the two strands of sovereign immunity doctrine in California.  (See </w:t>
      </w:r>
      <w:proofErr w:type="spellStart"/>
      <w:r w:rsidR="00610792">
        <w:rPr>
          <w:i/>
        </w:rPr>
        <w:t>Muskopf</w:t>
      </w:r>
      <w:proofErr w:type="spellEnd"/>
      <w:r w:rsidR="00610792">
        <w:t xml:space="preserve">, </w:t>
      </w:r>
      <w:r w:rsidR="00610792" w:rsidRPr="001D2647">
        <w:rPr>
          <w:i/>
        </w:rPr>
        <w:t>supra</w:t>
      </w:r>
      <w:r w:rsidR="00610792" w:rsidRPr="001D2647">
        <w:t xml:space="preserve">, 55 Cal.2d </w:t>
      </w:r>
      <w:r w:rsidR="00610792">
        <w:t xml:space="preserve">at </w:t>
      </w:r>
      <w:r w:rsidR="00AC5A68">
        <w:t>p</w:t>
      </w:r>
      <w:r w:rsidR="00610792">
        <w:t>p.</w:t>
      </w:r>
      <w:r w:rsidR="00846240">
        <w:t> </w:t>
      </w:r>
      <w:r w:rsidR="00610792">
        <w:t>217</w:t>
      </w:r>
      <w:r w:rsidR="00AC5A68">
        <w:t>–218</w:t>
      </w:r>
      <w:r w:rsidR="00610792" w:rsidRPr="001D2647">
        <w:t>.</w:t>
      </w:r>
      <w:r w:rsidR="0009337D">
        <w:t xml:space="preserve">)  </w:t>
      </w:r>
      <w:r w:rsidR="00C65004">
        <w:t>In</w:t>
      </w:r>
      <w:r w:rsidR="00953CB5">
        <w:t xml:space="preserve"> 1885</w:t>
      </w:r>
      <w:r w:rsidR="00C65004">
        <w:t>, the Legislature passed an</w:t>
      </w:r>
      <w:r w:rsidR="00953CB5">
        <w:t xml:space="preserve"> act permit</w:t>
      </w:r>
      <w:r w:rsidR="00651129">
        <w:t>t</w:t>
      </w:r>
      <w:r w:rsidR="00C65004">
        <w:t>ing</w:t>
      </w:r>
      <w:r w:rsidR="00953CB5">
        <w:t xml:space="preserve"> </w:t>
      </w:r>
      <w:r w:rsidR="00023878" w:rsidRPr="001D2647">
        <w:t xml:space="preserve">certain </w:t>
      </w:r>
      <w:r w:rsidR="00547D71" w:rsidRPr="001D2647">
        <w:t xml:space="preserve">named individuals </w:t>
      </w:r>
      <w:r w:rsidR="007D4AD0" w:rsidRPr="001D2647">
        <w:t xml:space="preserve">to </w:t>
      </w:r>
      <w:r w:rsidR="00CF1E43" w:rsidRPr="001D2647">
        <w:t>“institute an action against the State of California in any Court of competent jurisdiction” for property</w:t>
      </w:r>
      <w:r w:rsidR="007A5769" w:rsidRPr="001D2647">
        <w:t xml:space="preserve"> damages that the individuals </w:t>
      </w:r>
      <w:r w:rsidR="00CF1E43" w:rsidRPr="001D2647">
        <w:t>sustained from the state’s construction of a new canal.</w:t>
      </w:r>
      <w:r w:rsidR="00CF5DE0" w:rsidRPr="001D2647">
        <w:t xml:space="preserve"> </w:t>
      </w:r>
      <w:r w:rsidR="00CF1E43" w:rsidRPr="001D2647">
        <w:t xml:space="preserve"> (</w:t>
      </w:r>
      <w:r w:rsidR="00890CC4" w:rsidRPr="001D2647">
        <w:t>Stats</w:t>
      </w:r>
      <w:proofErr w:type="gramStart"/>
      <w:r w:rsidR="00890CC4" w:rsidRPr="001D2647">
        <w:t xml:space="preserve">. </w:t>
      </w:r>
      <w:proofErr w:type="gramEnd"/>
      <w:r w:rsidR="00890CC4" w:rsidRPr="001D2647">
        <w:t xml:space="preserve">1885, </w:t>
      </w:r>
      <w:proofErr w:type="spellStart"/>
      <w:r w:rsidR="00890CC4" w:rsidRPr="001D2647">
        <w:t>ch.</w:t>
      </w:r>
      <w:proofErr w:type="spellEnd"/>
      <w:r w:rsidR="00890CC4" w:rsidRPr="001D2647">
        <w:t xml:space="preserve"> 123, </w:t>
      </w:r>
      <w:r w:rsidR="00335890" w:rsidRPr="001D2647">
        <w:t xml:space="preserve">§ 1, </w:t>
      </w:r>
      <w:r w:rsidR="00890CC4" w:rsidRPr="001D2647">
        <w:t>p.</w:t>
      </w:r>
      <w:r w:rsidR="007B5E41" w:rsidRPr="001D2647">
        <w:t> </w:t>
      </w:r>
      <w:r w:rsidR="00890CC4" w:rsidRPr="001D2647">
        <w:t>107</w:t>
      </w:r>
      <w:r w:rsidR="00886213">
        <w:t>, discussed in</w:t>
      </w:r>
      <w:r w:rsidR="00335890" w:rsidRPr="001D2647">
        <w:t xml:space="preserve"> </w:t>
      </w:r>
      <w:r w:rsidR="00784F19" w:rsidRPr="001D2647">
        <w:rPr>
          <w:i/>
        </w:rPr>
        <w:t>Green v. State</w:t>
      </w:r>
      <w:r w:rsidR="00784F19" w:rsidRPr="001D2647">
        <w:t xml:space="preserve"> (1887) 73 Cal. 29</w:t>
      </w:r>
      <w:r w:rsidR="00156C9B">
        <w:t xml:space="preserve"> (</w:t>
      </w:r>
      <w:r w:rsidR="00156C9B" w:rsidRPr="00C05156">
        <w:rPr>
          <w:i/>
        </w:rPr>
        <w:t>Green</w:t>
      </w:r>
      <w:r w:rsidR="00156C9B">
        <w:t>)</w:t>
      </w:r>
      <w:r w:rsidR="00F17514" w:rsidRPr="001D2647">
        <w:t>.</w:t>
      </w:r>
      <w:r w:rsidR="00CF1E43" w:rsidRPr="001D2647">
        <w:t>)</w:t>
      </w:r>
      <w:r w:rsidR="00953CB5">
        <w:t xml:space="preserve"> </w:t>
      </w:r>
      <w:r w:rsidR="0023199A">
        <w:t xml:space="preserve"> </w:t>
      </w:r>
      <w:r w:rsidR="0009337D">
        <w:t xml:space="preserve">The Legislature followed this </w:t>
      </w:r>
      <w:r w:rsidR="00E079F1">
        <w:t>narrow authorization to file suit</w:t>
      </w:r>
      <w:r w:rsidR="00F00ACF">
        <w:t xml:space="preserve"> with a broader one</w:t>
      </w:r>
      <w:r w:rsidR="004935C6">
        <w:t>,</w:t>
      </w:r>
      <w:r w:rsidR="00F00ACF">
        <w:t xml:space="preserve"> authorizing “</w:t>
      </w:r>
      <w:r w:rsidR="00953CB5" w:rsidRPr="001D2647">
        <w:t>[a]</w:t>
      </w:r>
      <w:proofErr w:type="spellStart"/>
      <w:r w:rsidR="00953CB5" w:rsidRPr="001D2647">
        <w:t>ll</w:t>
      </w:r>
      <w:proofErr w:type="spellEnd"/>
      <w:r w:rsidR="00953CB5" w:rsidRPr="001D2647">
        <w:t xml:space="preserve"> persons who have, or shall hereafter have, claims on contract or for negligence against the State not allowed by the State Board of Examiners</w:t>
      </w:r>
      <w:r w:rsidR="00F00ACF">
        <w:t xml:space="preserve"> .</w:t>
      </w:r>
      <w:r w:rsidR="00846240">
        <w:t> </w:t>
      </w:r>
      <w:r w:rsidR="00F00ACF">
        <w:t>.</w:t>
      </w:r>
      <w:r w:rsidR="00846240">
        <w:t> </w:t>
      </w:r>
      <w:r w:rsidR="00F00ACF">
        <w:t xml:space="preserve">. </w:t>
      </w:r>
      <w:r w:rsidR="00953CB5" w:rsidRPr="001D2647">
        <w:t>to bring suit thereon against the State in any of the Courts of this State of competent jurisdiction[.]”  (Stats</w:t>
      </w:r>
      <w:proofErr w:type="gramStart"/>
      <w:r w:rsidR="00953CB5" w:rsidRPr="001D2647">
        <w:t xml:space="preserve">. </w:t>
      </w:r>
      <w:proofErr w:type="gramEnd"/>
      <w:r w:rsidR="00953CB5" w:rsidRPr="001D2647">
        <w:t xml:space="preserve">1893, </w:t>
      </w:r>
      <w:proofErr w:type="spellStart"/>
      <w:r w:rsidR="00953CB5" w:rsidRPr="001D2647">
        <w:t>ch.</w:t>
      </w:r>
      <w:proofErr w:type="spellEnd"/>
      <w:r w:rsidR="00953CB5" w:rsidRPr="001D2647">
        <w:t xml:space="preserve"> 45, § 1, p. 57</w:t>
      </w:r>
      <w:r w:rsidR="00131E50">
        <w:t>, discussed in</w:t>
      </w:r>
      <w:r w:rsidR="0023199A">
        <w:t xml:space="preserve"> </w:t>
      </w:r>
      <w:r w:rsidR="0023199A" w:rsidRPr="001D2647">
        <w:rPr>
          <w:i/>
        </w:rPr>
        <w:t>Denning v. State</w:t>
      </w:r>
      <w:r w:rsidR="0023199A" w:rsidRPr="001D2647">
        <w:t xml:space="preserve"> (1899) 123 Cal. 316</w:t>
      </w:r>
      <w:r w:rsidR="00156C9B">
        <w:t xml:space="preserve"> (</w:t>
      </w:r>
      <w:r w:rsidR="00156C9B" w:rsidRPr="00C05156">
        <w:rPr>
          <w:i/>
        </w:rPr>
        <w:t>Denning</w:t>
      </w:r>
      <w:r w:rsidR="00156C9B">
        <w:t>)</w:t>
      </w:r>
      <w:r w:rsidR="00953CB5" w:rsidRPr="001D2647">
        <w:t>.)</w:t>
      </w:r>
    </w:p>
    <w:p w14:paraId="37DDF302" w14:textId="77777777" w:rsidR="0031306C" w:rsidRPr="001D2647" w:rsidRDefault="009F75F0" w:rsidP="00C22993">
      <w:pPr>
        <w:ind w:firstLine="720"/>
      </w:pPr>
      <w:r>
        <w:lastRenderedPageBreak/>
        <w:t>In subsequent cases</w:t>
      </w:r>
      <w:r w:rsidR="00C22993">
        <w:t xml:space="preserve"> interpreting these statutes, this court held </w:t>
      </w:r>
      <w:r w:rsidR="008F7743">
        <w:t xml:space="preserve">that </w:t>
      </w:r>
      <w:r w:rsidR="00C22993">
        <w:t xml:space="preserve">the statutes </w:t>
      </w:r>
      <w:r w:rsidR="000A7A4E" w:rsidRPr="001D2647">
        <w:t xml:space="preserve">eliminated the </w:t>
      </w:r>
      <w:r w:rsidR="00335890" w:rsidRPr="001D2647">
        <w:t>s</w:t>
      </w:r>
      <w:r w:rsidR="000A7A4E" w:rsidRPr="001D2647">
        <w:t xml:space="preserve">tate’s procedural immunity to suit, thus opening the courts to the adjudication of the </w:t>
      </w:r>
      <w:r w:rsidR="00DA1989">
        <w:t xml:space="preserve">specified </w:t>
      </w:r>
      <w:r w:rsidR="000A7A4E" w:rsidRPr="001D2647">
        <w:t>claim</w:t>
      </w:r>
      <w:r w:rsidR="00DA1989">
        <w:t>s</w:t>
      </w:r>
      <w:r w:rsidR="00F572A7" w:rsidRPr="001D2647">
        <w:t>.</w:t>
      </w:r>
      <w:r w:rsidR="00CF5DE0" w:rsidRPr="001D2647">
        <w:t xml:space="preserve"> </w:t>
      </w:r>
      <w:r w:rsidR="00A14D53" w:rsidRPr="001D2647">
        <w:t xml:space="preserve"> (</w:t>
      </w:r>
      <w:r w:rsidR="00A14D53" w:rsidRPr="001D2647">
        <w:rPr>
          <w:i/>
        </w:rPr>
        <w:t>Green</w:t>
      </w:r>
      <w:r w:rsidR="00A14D53" w:rsidRPr="001D2647">
        <w:t xml:space="preserve">, </w:t>
      </w:r>
      <w:r w:rsidR="00156C9B" w:rsidRPr="00C05156">
        <w:rPr>
          <w:i/>
        </w:rPr>
        <w:t>supra</w:t>
      </w:r>
      <w:r w:rsidR="00156C9B">
        <w:t xml:space="preserve">, </w:t>
      </w:r>
      <w:r w:rsidR="00156C9B" w:rsidRPr="001D2647">
        <w:t xml:space="preserve">73 Cal. </w:t>
      </w:r>
      <w:r w:rsidR="00A14D53" w:rsidRPr="001D2647">
        <w:t>at pp.</w:t>
      </w:r>
      <w:r w:rsidR="007B5E41" w:rsidRPr="001D2647">
        <w:t> </w:t>
      </w:r>
      <w:r w:rsidR="00A14D53" w:rsidRPr="001D2647">
        <w:t>32</w:t>
      </w:r>
      <w:r w:rsidR="007B5E41" w:rsidRPr="001D2647">
        <w:t>–</w:t>
      </w:r>
      <w:r w:rsidR="00A14D53" w:rsidRPr="001D2647">
        <w:t>33</w:t>
      </w:r>
      <w:r w:rsidR="00371314">
        <w:t xml:space="preserve">; </w:t>
      </w:r>
      <w:r w:rsidR="0023199A" w:rsidRPr="00C05156">
        <w:rPr>
          <w:i/>
        </w:rPr>
        <w:t>Denning</w:t>
      </w:r>
      <w:r w:rsidR="0023199A">
        <w:t xml:space="preserve">, </w:t>
      </w:r>
      <w:r w:rsidR="00156C9B" w:rsidRPr="00C05156">
        <w:rPr>
          <w:i/>
        </w:rPr>
        <w:t>supra</w:t>
      </w:r>
      <w:r w:rsidR="00156C9B">
        <w:t xml:space="preserve">, 123 Cal. </w:t>
      </w:r>
      <w:r w:rsidR="0023199A">
        <w:t>at p.</w:t>
      </w:r>
      <w:r w:rsidR="00846240">
        <w:t> </w:t>
      </w:r>
      <w:r w:rsidR="0023199A">
        <w:t>319</w:t>
      </w:r>
      <w:r w:rsidR="00A14D53" w:rsidRPr="001D2647">
        <w:t>.)</w:t>
      </w:r>
      <w:r w:rsidR="00F572A7" w:rsidRPr="001D2647">
        <w:t xml:space="preserve">  But </w:t>
      </w:r>
      <w:r w:rsidR="000B78E6">
        <w:t>w</w:t>
      </w:r>
      <w:r w:rsidR="003C0A6B" w:rsidRPr="001D2647">
        <w:t xml:space="preserve">e rejected the </w:t>
      </w:r>
      <w:r w:rsidR="002C4310">
        <w:t xml:space="preserve">idea </w:t>
      </w:r>
      <w:r w:rsidR="003C0A6B" w:rsidRPr="001D2647">
        <w:t>that</w:t>
      </w:r>
      <w:r w:rsidR="00A14D53" w:rsidRPr="001D2647">
        <w:t xml:space="preserve"> the </w:t>
      </w:r>
      <w:r w:rsidR="00FB3329" w:rsidRPr="001D2647">
        <w:t>L</w:t>
      </w:r>
      <w:r w:rsidR="00A14D53" w:rsidRPr="001D2647">
        <w:t xml:space="preserve">egislature, by </w:t>
      </w:r>
      <w:r w:rsidR="00C61EE5">
        <w:t xml:space="preserve">offering the state’s </w:t>
      </w:r>
      <w:r w:rsidR="00A14D53" w:rsidRPr="001D2647">
        <w:t xml:space="preserve">consent to </w:t>
      </w:r>
      <w:r w:rsidR="00207E57" w:rsidRPr="001D2647">
        <w:t>suit</w:t>
      </w:r>
      <w:r w:rsidR="00A14D53" w:rsidRPr="001D2647">
        <w:t>,</w:t>
      </w:r>
      <w:r w:rsidR="00E964CF" w:rsidRPr="001D2647">
        <w:t xml:space="preserve"> also</w:t>
      </w:r>
      <w:r w:rsidR="00A14D53" w:rsidRPr="001D2647">
        <w:t xml:space="preserve"> intended </w:t>
      </w:r>
      <w:r w:rsidR="00A26AEB" w:rsidRPr="001D2647">
        <w:t xml:space="preserve">to </w:t>
      </w:r>
      <w:r w:rsidR="009800CD">
        <w:t xml:space="preserve">eliminate </w:t>
      </w:r>
      <w:r w:rsidR="000B78E6">
        <w:t xml:space="preserve">the </w:t>
      </w:r>
      <w:r w:rsidR="0073306A">
        <w:t xml:space="preserve">state’s </w:t>
      </w:r>
      <w:r w:rsidR="000B78E6">
        <w:t xml:space="preserve">substantive immunity from liability.  </w:t>
      </w:r>
      <w:r w:rsidR="00207568">
        <w:t>(</w:t>
      </w:r>
      <w:r w:rsidR="00207568" w:rsidRPr="00C05156">
        <w:rPr>
          <w:i/>
        </w:rPr>
        <w:t>Green</w:t>
      </w:r>
      <w:r w:rsidR="00207568">
        <w:t>, at p.</w:t>
      </w:r>
      <w:r w:rsidR="00456225">
        <w:t> </w:t>
      </w:r>
      <w:r w:rsidR="00207568">
        <w:t xml:space="preserve">33; </w:t>
      </w:r>
      <w:r w:rsidR="00207568" w:rsidRPr="00C05156">
        <w:rPr>
          <w:i/>
        </w:rPr>
        <w:t>Denning</w:t>
      </w:r>
      <w:r w:rsidR="00207568">
        <w:t>, at p.</w:t>
      </w:r>
      <w:r w:rsidR="00456225">
        <w:t> </w:t>
      </w:r>
      <w:r w:rsidR="00207568">
        <w:t xml:space="preserve">319; see also </w:t>
      </w:r>
      <w:r w:rsidR="00207568" w:rsidRPr="00C05156">
        <w:rPr>
          <w:i/>
        </w:rPr>
        <w:t>Melvin v. State</w:t>
      </w:r>
      <w:r w:rsidR="00207568">
        <w:t xml:space="preserve"> (1898) 121 Cal. 16, 22</w:t>
      </w:r>
      <w:r w:rsidR="00456225">
        <w:t>–</w:t>
      </w:r>
      <w:r w:rsidR="00207568">
        <w:t xml:space="preserve">23; </w:t>
      </w:r>
      <w:r w:rsidR="00207568" w:rsidRPr="00C05156">
        <w:rPr>
          <w:i/>
        </w:rPr>
        <w:t>Chapman v. State</w:t>
      </w:r>
      <w:r w:rsidR="0096255F">
        <w:t xml:space="preserve"> (1894) 104 Cal. 690, 693</w:t>
      </w:r>
      <w:r w:rsidR="009158C6">
        <w:t>–</w:t>
      </w:r>
      <w:r w:rsidR="0096255F">
        <w:t>694</w:t>
      </w:r>
      <w:r w:rsidR="00207568">
        <w:t xml:space="preserve">.) </w:t>
      </w:r>
      <w:r w:rsidR="0096255F">
        <w:t xml:space="preserve"> </w:t>
      </w:r>
      <w:r w:rsidR="00FE3516">
        <w:t>Instead</w:t>
      </w:r>
      <w:r w:rsidR="0096255F">
        <w:t xml:space="preserve">, </w:t>
      </w:r>
      <w:r w:rsidR="0073306A">
        <w:t xml:space="preserve">we held, </w:t>
      </w:r>
      <w:r w:rsidR="0096255F">
        <w:t xml:space="preserve">the state could </w:t>
      </w:r>
      <w:r w:rsidR="000B78E6">
        <w:t>rely on</w:t>
      </w:r>
      <w:r w:rsidR="0096255F">
        <w:t xml:space="preserve"> </w:t>
      </w:r>
      <w:r w:rsidR="00FE3516">
        <w:t>the common law principle</w:t>
      </w:r>
      <w:r w:rsidR="000F0CCE">
        <w:t>s that states</w:t>
      </w:r>
      <w:r w:rsidR="00FE3516">
        <w:t xml:space="preserve"> are immune from liability for damages caused by the</w:t>
      </w:r>
      <w:r w:rsidR="000F0CCE">
        <w:t xml:space="preserve"> negligence </w:t>
      </w:r>
      <w:r w:rsidR="00DD3E08">
        <w:t xml:space="preserve">or misfeasance </w:t>
      </w:r>
      <w:r w:rsidR="000F0CCE">
        <w:t xml:space="preserve">of their </w:t>
      </w:r>
      <w:r w:rsidR="00FE3516">
        <w:t xml:space="preserve">employees </w:t>
      </w:r>
      <w:r w:rsidR="00DD3E08">
        <w:t>(</w:t>
      </w:r>
      <w:r w:rsidR="00DD3E08" w:rsidRPr="00C05156">
        <w:rPr>
          <w:i/>
        </w:rPr>
        <w:t>Denning</w:t>
      </w:r>
      <w:r w:rsidR="00DD3E08">
        <w:t>, at p.</w:t>
      </w:r>
      <w:r w:rsidR="00456225">
        <w:t> </w:t>
      </w:r>
      <w:r w:rsidR="00DD3E08">
        <w:t xml:space="preserve">324) and that </w:t>
      </w:r>
      <w:r w:rsidR="004935C6">
        <w:t xml:space="preserve">states are not liable for </w:t>
      </w:r>
      <w:r w:rsidR="00DD3E08">
        <w:t xml:space="preserve">remote and consequential damages to property </w:t>
      </w:r>
      <w:r w:rsidR="00607A9A">
        <w:t xml:space="preserve">stemming from </w:t>
      </w:r>
      <w:r w:rsidR="00DD3E08">
        <w:t>public works (</w:t>
      </w:r>
      <w:r w:rsidR="00DD3E08" w:rsidRPr="00C05156">
        <w:rPr>
          <w:i/>
        </w:rPr>
        <w:t>Green</w:t>
      </w:r>
      <w:r w:rsidR="00DD3E08">
        <w:t>, at pp.</w:t>
      </w:r>
      <w:r w:rsidR="00456225">
        <w:t> </w:t>
      </w:r>
      <w:r w:rsidR="00DD3E08">
        <w:t>34</w:t>
      </w:r>
      <w:r w:rsidR="00456225">
        <w:t>–</w:t>
      </w:r>
      <w:r w:rsidR="00DD3E08">
        <w:t xml:space="preserve">39).  </w:t>
      </w:r>
    </w:p>
    <w:p w14:paraId="58C06074" w14:textId="1BCE3E43" w:rsidR="008E71E0" w:rsidRDefault="00C44638" w:rsidP="00755724">
      <w:pPr>
        <w:ind w:firstLine="720"/>
      </w:pPr>
      <w:r>
        <w:t xml:space="preserve">By the time of </w:t>
      </w:r>
      <w:proofErr w:type="spellStart"/>
      <w:r>
        <w:rPr>
          <w:i/>
        </w:rPr>
        <w:t>Muskopf</w:t>
      </w:r>
      <w:proofErr w:type="spellEnd"/>
      <w:r>
        <w:t xml:space="preserve">, </w:t>
      </w:r>
      <w:r w:rsidR="00305529">
        <w:t>similar provisions granting legislative co</w:t>
      </w:r>
      <w:r w:rsidR="00755724">
        <w:t xml:space="preserve">nsent to suit were </w:t>
      </w:r>
      <w:proofErr w:type="gramStart"/>
      <w:r w:rsidR="00755724">
        <w:t>not uncommon</w:t>
      </w:r>
      <w:proofErr w:type="gramEnd"/>
      <w:r w:rsidR="00755724">
        <w:t xml:space="preserve">.  </w:t>
      </w:r>
      <w:r w:rsidR="004935C6">
        <w:t>A</w:t>
      </w:r>
      <w:r w:rsidR="008E71E0">
        <w:t xml:space="preserve">s </w:t>
      </w:r>
      <w:proofErr w:type="spellStart"/>
      <w:r w:rsidR="008E71E0">
        <w:rPr>
          <w:i/>
        </w:rPr>
        <w:t>Muskopf</w:t>
      </w:r>
      <w:proofErr w:type="spellEnd"/>
      <w:r w:rsidR="008E71E0">
        <w:t xml:space="preserve"> noted, the California Constitution itself contemplates the granting of such consent in suits against the state (Cal. Const., art. III, §</w:t>
      </w:r>
      <w:r w:rsidR="00456225">
        <w:t> </w:t>
      </w:r>
      <w:r w:rsidR="008E71E0">
        <w:t>5, former art. XX, §</w:t>
      </w:r>
      <w:r w:rsidR="00456225">
        <w:t> </w:t>
      </w:r>
      <w:r w:rsidR="008E71E0">
        <w:t xml:space="preserve">6), and the </w:t>
      </w:r>
      <w:r w:rsidR="00FF01F7" w:rsidRPr="001D2647">
        <w:t>Legislature had</w:t>
      </w:r>
      <w:r w:rsidR="00D2141D" w:rsidRPr="001D2647">
        <w:t xml:space="preserve"> enacted a “</w:t>
      </w:r>
      <w:r w:rsidR="00335890" w:rsidRPr="001D2647">
        <w:t> ‘</w:t>
      </w:r>
      <w:r w:rsidR="00D2141D" w:rsidRPr="001D2647">
        <w:t>sue and be sue</w:t>
      </w:r>
      <w:r w:rsidR="009F4393" w:rsidRPr="001D2647">
        <w:t>d</w:t>
      </w:r>
      <w:r w:rsidR="00335890" w:rsidRPr="001D2647">
        <w:t>’ </w:t>
      </w:r>
      <w:r w:rsidR="00D2141D" w:rsidRPr="001D2647">
        <w:t xml:space="preserve">” statute applicable to hospital districts, the subject of the </w:t>
      </w:r>
      <w:r w:rsidR="008E71E0">
        <w:t xml:space="preserve">particular </w:t>
      </w:r>
      <w:r w:rsidR="00D2141D" w:rsidRPr="001D2647">
        <w:t xml:space="preserve">controversy in </w:t>
      </w:r>
      <w:proofErr w:type="spellStart"/>
      <w:r w:rsidR="00D2141D" w:rsidRPr="001D2647">
        <w:rPr>
          <w:i/>
        </w:rPr>
        <w:t>Muskopf</w:t>
      </w:r>
      <w:proofErr w:type="spellEnd"/>
      <w:r w:rsidR="00D2141D" w:rsidRPr="001D2647">
        <w:t>.  (</w:t>
      </w:r>
      <w:proofErr w:type="spellStart"/>
      <w:r w:rsidR="00D2141D" w:rsidRPr="001D2647">
        <w:rPr>
          <w:i/>
        </w:rPr>
        <w:t>Muskopf</w:t>
      </w:r>
      <w:proofErr w:type="spellEnd"/>
      <w:r w:rsidR="00D2141D" w:rsidRPr="001D2647">
        <w:t xml:space="preserve">, </w:t>
      </w:r>
      <w:r w:rsidR="00D2141D" w:rsidRPr="001D2647">
        <w:rPr>
          <w:i/>
        </w:rPr>
        <w:t>supra</w:t>
      </w:r>
      <w:r w:rsidR="00D2141D" w:rsidRPr="001D2647">
        <w:t>, 55 Cal.2d at p.</w:t>
      </w:r>
      <w:r w:rsidR="006E393F" w:rsidRPr="001D2647">
        <w:t> </w:t>
      </w:r>
      <w:r w:rsidR="00D2141D" w:rsidRPr="001D2647">
        <w:t xml:space="preserve">217, citing Health </w:t>
      </w:r>
      <w:r w:rsidR="006E393F" w:rsidRPr="001D2647">
        <w:t>&amp;</w:t>
      </w:r>
      <w:r w:rsidR="00D2141D" w:rsidRPr="001D2647">
        <w:t xml:space="preserve"> </w:t>
      </w:r>
      <w:proofErr w:type="spellStart"/>
      <w:r w:rsidR="00D2141D" w:rsidRPr="001D2647">
        <w:t>Saf</w:t>
      </w:r>
      <w:proofErr w:type="spellEnd"/>
      <w:proofErr w:type="gramStart"/>
      <w:r w:rsidR="006E393F" w:rsidRPr="001D2647">
        <w:t>.</w:t>
      </w:r>
      <w:r w:rsidR="00D2141D" w:rsidRPr="001D2647">
        <w:t xml:space="preserve"> </w:t>
      </w:r>
      <w:proofErr w:type="gramEnd"/>
      <w:r w:rsidR="00D2141D" w:rsidRPr="001D2647">
        <w:t>Code, §</w:t>
      </w:r>
      <w:r w:rsidR="006E393F" w:rsidRPr="001D2647">
        <w:t> </w:t>
      </w:r>
      <w:r w:rsidR="00D2141D" w:rsidRPr="001D2647">
        <w:t xml:space="preserve">32121, </w:t>
      </w:r>
      <w:proofErr w:type="spellStart"/>
      <w:r w:rsidR="00D2141D" w:rsidRPr="001D2647">
        <w:t>subd</w:t>
      </w:r>
      <w:proofErr w:type="spellEnd"/>
      <w:proofErr w:type="gramStart"/>
      <w:r w:rsidR="00D2141D" w:rsidRPr="001D2647">
        <w:t xml:space="preserve">. </w:t>
      </w:r>
      <w:proofErr w:type="gramEnd"/>
      <w:r w:rsidR="00D2141D" w:rsidRPr="001D2647">
        <w:t xml:space="preserve">(b).)  </w:t>
      </w:r>
      <w:r w:rsidR="008E71E0">
        <w:t xml:space="preserve">But </w:t>
      </w:r>
      <w:proofErr w:type="spellStart"/>
      <w:r w:rsidR="008E71E0">
        <w:rPr>
          <w:i/>
        </w:rPr>
        <w:t>Muskopf</w:t>
      </w:r>
      <w:proofErr w:type="spellEnd"/>
      <w:r w:rsidR="008E71E0">
        <w:t xml:space="preserve"> acknowledged that such provisions </w:t>
      </w:r>
      <w:r w:rsidR="004935C6">
        <w:t>did</w:t>
      </w:r>
      <w:r w:rsidR="008E71E0">
        <w:t xml:space="preserve"> not displace common law limitations on the substantive liability of the relevant public entities.  The court explained</w:t>
      </w:r>
      <w:r w:rsidR="00D2141D" w:rsidRPr="001D2647">
        <w:t xml:space="preserve"> </w:t>
      </w:r>
      <w:r w:rsidR="008E71E0">
        <w:t xml:space="preserve">that </w:t>
      </w:r>
      <w:r w:rsidR="00D2141D" w:rsidRPr="001D2647">
        <w:t>“</w:t>
      </w:r>
      <w:r w:rsidR="00335890" w:rsidRPr="001D2647">
        <w:t>[</w:t>
      </w:r>
      <w:r w:rsidR="00D2141D" w:rsidRPr="001D2647">
        <w:t>p</w:t>
      </w:r>
      <w:r w:rsidR="00335890" w:rsidRPr="001D2647">
        <w:t>]</w:t>
      </w:r>
      <w:proofErr w:type="spellStart"/>
      <w:r w:rsidR="00D2141D" w:rsidRPr="001D2647">
        <w:t>revious</w:t>
      </w:r>
      <w:proofErr w:type="spellEnd"/>
      <w:r w:rsidR="00D2141D" w:rsidRPr="001D2647">
        <w:t xml:space="preserve"> cases .</w:t>
      </w:r>
      <w:r w:rsidR="006E393F" w:rsidRPr="001D2647">
        <w:t> </w:t>
      </w:r>
      <w:r w:rsidR="00D2141D" w:rsidRPr="001D2647">
        <w:t>.</w:t>
      </w:r>
      <w:r w:rsidR="006E393F" w:rsidRPr="001D2647">
        <w:t> </w:t>
      </w:r>
      <w:r w:rsidR="00D2141D" w:rsidRPr="001D2647">
        <w:t xml:space="preserve">. have differentiated between the state’s consenting to be sued and its substantive liability, and have held that the language used in </w:t>
      </w:r>
      <w:r w:rsidR="008F7743">
        <w:t xml:space="preserve">[Health </w:t>
      </w:r>
      <w:r w:rsidR="00AD4567">
        <w:t>and</w:t>
      </w:r>
      <w:r w:rsidR="008F7743">
        <w:t xml:space="preserve"> Saf</w:t>
      </w:r>
      <w:r w:rsidR="00AD4567">
        <w:t>ety</w:t>
      </w:r>
      <w:r w:rsidR="008F7743">
        <w:t xml:space="preserve"> Code] </w:t>
      </w:r>
      <w:r w:rsidR="00D2141D" w:rsidRPr="001D2647">
        <w:t xml:space="preserve">section 32121, subdivision (b), and in article </w:t>
      </w:r>
      <w:r w:rsidR="00CF5DE0" w:rsidRPr="001D2647">
        <w:t>[III]</w:t>
      </w:r>
      <w:r w:rsidR="00D2141D" w:rsidRPr="001D2647">
        <w:t xml:space="preserve">, section </w:t>
      </w:r>
      <w:r w:rsidR="00CF5DE0" w:rsidRPr="001D2647">
        <w:t>[5]</w:t>
      </w:r>
      <w:r w:rsidR="00D2141D" w:rsidRPr="001D2647">
        <w:t xml:space="preserve">, gives only </w:t>
      </w:r>
      <w:r w:rsidR="00D2141D" w:rsidRPr="001D2647">
        <w:lastRenderedPageBreak/>
        <w:t>the state’s consent to be sued and does not waive any defenses or immunities.”  (</w:t>
      </w:r>
      <w:proofErr w:type="spellStart"/>
      <w:r w:rsidR="008E71E0">
        <w:rPr>
          <w:i/>
        </w:rPr>
        <w:t>Muskopf</w:t>
      </w:r>
      <w:proofErr w:type="spellEnd"/>
      <w:r w:rsidR="008E71E0">
        <w:t>, at p.</w:t>
      </w:r>
      <w:r w:rsidR="00456225">
        <w:t> </w:t>
      </w:r>
      <w:r w:rsidR="008E71E0">
        <w:t>217</w:t>
      </w:r>
      <w:r w:rsidR="00D2141D" w:rsidRPr="001D2647">
        <w:rPr>
          <w:i/>
        </w:rPr>
        <w:t>.</w:t>
      </w:r>
      <w:r w:rsidR="00D2141D" w:rsidRPr="001D2647">
        <w:t>)</w:t>
      </w:r>
    </w:p>
    <w:p w14:paraId="67411BFA" w14:textId="77777777" w:rsidR="0031282D" w:rsidRPr="001D2647" w:rsidRDefault="003B5D45" w:rsidP="00755724">
      <w:pPr>
        <w:ind w:firstLine="720"/>
      </w:pPr>
      <w:r w:rsidRPr="001D2647">
        <w:t xml:space="preserve">The </w:t>
      </w:r>
      <w:proofErr w:type="spellStart"/>
      <w:r w:rsidR="003B6577">
        <w:rPr>
          <w:i/>
        </w:rPr>
        <w:t>Muskopf</w:t>
      </w:r>
      <w:proofErr w:type="spellEnd"/>
      <w:r w:rsidR="003B6577">
        <w:t xml:space="preserve"> court therefore held that, notwithstanding an applicable grant </w:t>
      </w:r>
      <w:r w:rsidR="002A1030">
        <w:t xml:space="preserve">of legislative consent to </w:t>
      </w:r>
      <w:proofErr w:type="gramStart"/>
      <w:r w:rsidR="002A1030">
        <w:t>bring suit against</w:t>
      </w:r>
      <w:proofErr w:type="gramEnd"/>
      <w:r w:rsidR="002A1030">
        <w:t xml:space="preserve"> </w:t>
      </w:r>
      <w:r w:rsidR="00131E50">
        <w:t xml:space="preserve">a </w:t>
      </w:r>
      <w:r w:rsidR="002A1030">
        <w:t>public entit</w:t>
      </w:r>
      <w:r w:rsidR="00131E50">
        <w:t>y</w:t>
      </w:r>
      <w:r w:rsidR="002A1030">
        <w:t xml:space="preserve">, it </w:t>
      </w:r>
      <w:r w:rsidR="00DF3E7B">
        <w:t xml:space="preserve">was a separate question </w:t>
      </w:r>
      <w:r w:rsidR="0073297C">
        <w:t xml:space="preserve">whether the common law barred courts from imposing substantive liability.  </w:t>
      </w:r>
      <w:r w:rsidR="00DF3E7B">
        <w:t>Ultimately i</w:t>
      </w:r>
      <w:r w:rsidR="0073297C">
        <w:t>t answered the latter question in the negative, discarding the common law rule of “governmental immunity from tort liability” as “mistaken and unjust”</w:t>
      </w:r>
      <w:r w:rsidR="0073297C" w:rsidRPr="0073297C">
        <w:t xml:space="preserve"> </w:t>
      </w:r>
      <w:proofErr w:type="gramStart"/>
      <w:r w:rsidR="0073297C" w:rsidRPr="001D2647">
        <w:t>insofar as</w:t>
      </w:r>
      <w:proofErr w:type="gramEnd"/>
      <w:r w:rsidR="0073297C" w:rsidRPr="001D2647">
        <w:t xml:space="preserve"> it operated to deny compensation to individuals harmed by a public entity’s wrongs.  </w:t>
      </w:r>
      <w:r w:rsidR="000B5328" w:rsidRPr="001D2647">
        <w:t>(</w:t>
      </w:r>
      <w:proofErr w:type="spellStart"/>
      <w:r w:rsidR="0073297C">
        <w:rPr>
          <w:i/>
        </w:rPr>
        <w:t>Muskopf</w:t>
      </w:r>
      <w:proofErr w:type="spellEnd"/>
      <w:r w:rsidR="0073297C">
        <w:t xml:space="preserve">, </w:t>
      </w:r>
      <w:r w:rsidR="008F7743" w:rsidRPr="008F7743">
        <w:rPr>
          <w:i/>
        </w:rPr>
        <w:t>supra</w:t>
      </w:r>
      <w:r w:rsidR="008F7743">
        <w:t xml:space="preserve">, 55 Cal.2d </w:t>
      </w:r>
      <w:r w:rsidR="000B5328" w:rsidRPr="001D2647">
        <w:t xml:space="preserve">at </w:t>
      </w:r>
      <w:r w:rsidR="0073297C">
        <w:t>p</w:t>
      </w:r>
      <w:r w:rsidR="000B5328" w:rsidRPr="001D2647">
        <w:t>.</w:t>
      </w:r>
      <w:r w:rsidR="006E393F" w:rsidRPr="001D2647">
        <w:t> </w:t>
      </w:r>
      <w:r w:rsidR="000B5328" w:rsidRPr="001D2647">
        <w:t>213</w:t>
      </w:r>
      <w:r w:rsidR="0073297C">
        <w:t xml:space="preserve">; see </w:t>
      </w:r>
      <w:r w:rsidR="00335890" w:rsidRPr="001D2647">
        <w:rPr>
          <w:i/>
        </w:rPr>
        <w:t>id</w:t>
      </w:r>
      <w:proofErr w:type="gramStart"/>
      <w:r w:rsidR="00335890" w:rsidRPr="001D2647">
        <w:rPr>
          <w:i/>
        </w:rPr>
        <w:t>.</w:t>
      </w:r>
      <w:r w:rsidR="00335890" w:rsidRPr="001D2647">
        <w:t xml:space="preserve"> </w:t>
      </w:r>
      <w:proofErr w:type="gramEnd"/>
      <w:r w:rsidR="00335890" w:rsidRPr="001D2647">
        <w:t>at pp. </w:t>
      </w:r>
      <w:r w:rsidR="000B5328" w:rsidRPr="001D2647">
        <w:t>216</w:t>
      </w:r>
      <w:r w:rsidR="006E393F" w:rsidRPr="001D2647">
        <w:t>–</w:t>
      </w:r>
      <w:r w:rsidR="000B5328" w:rsidRPr="001D2647">
        <w:t>217</w:t>
      </w:r>
      <w:r w:rsidR="00EC2513" w:rsidRPr="001D2647">
        <w:t>.)</w:t>
      </w:r>
    </w:p>
    <w:p w14:paraId="47DB3DDB" w14:textId="77777777" w:rsidR="00B14045" w:rsidRPr="001D2647" w:rsidRDefault="00C05642" w:rsidP="001D2647">
      <w:pPr>
        <w:ind w:firstLine="720"/>
      </w:pPr>
      <w:r w:rsidRPr="001D2647">
        <w:t xml:space="preserve">When the California Law Revision Commission </w:t>
      </w:r>
      <w:r w:rsidR="00A422E5" w:rsidRPr="001D2647">
        <w:t xml:space="preserve">made its recommendations </w:t>
      </w:r>
      <w:r w:rsidR="00153CC6" w:rsidRPr="001D2647">
        <w:t xml:space="preserve">about legislative responses to </w:t>
      </w:r>
      <w:proofErr w:type="spellStart"/>
      <w:r w:rsidR="00A422E5" w:rsidRPr="001D2647">
        <w:rPr>
          <w:i/>
        </w:rPr>
        <w:t>Muskopf</w:t>
      </w:r>
      <w:proofErr w:type="spellEnd"/>
      <w:r w:rsidR="00A422E5" w:rsidRPr="001D2647">
        <w:t xml:space="preserve">, it </w:t>
      </w:r>
      <w:r w:rsidR="0059215B" w:rsidRPr="001D2647">
        <w:t xml:space="preserve">likewise focused </w:t>
      </w:r>
      <w:r w:rsidR="00E00741" w:rsidRPr="001D2647">
        <w:t xml:space="preserve">primarily </w:t>
      </w:r>
      <w:r w:rsidR="0059215B" w:rsidRPr="001D2647">
        <w:t xml:space="preserve">on </w:t>
      </w:r>
      <w:r w:rsidR="000A7DC8" w:rsidRPr="001D2647">
        <w:t>questions of substantive publi</w:t>
      </w:r>
      <w:r w:rsidR="009D4C1F" w:rsidRPr="001D2647">
        <w:t>c entity liability</w:t>
      </w:r>
      <w:r w:rsidR="00DF3E7B">
        <w:t xml:space="preserve">, and </w:t>
      </w:r>
      <w:r w:rsidR="00A85E25">
        <w:t xml:space="preserve">it </w:t>
      </w:r>
      <w:r w:rsidR="00DF3E7B">
        <w:t xml:space="preserve">dealt </w:t>
      </w:r>
      <w:r w:rsidR="00153CC6" w:rsidRPr="001D2647">
        <w:t xml:space="preserve">separately with questions concerning the amenability of public entities to suits in state courts.  </w:t>
      </w:r>
      <w:r w:rsidR="00794084" w:rsidRPr="001D2647">
        <w:t xml:space="preserve">The </w:t>
      </w:r>
      <w:r w:rsidR="00E84653" w:rsidRPr="001D2647">
        <w:t>c</w:t>
      </w:r>
      <w:r w:rsidR="00794084" w:rsidRPr="001D2647">
        <w:t xml:space="preserve">ommission </w:t>
      </w:r>
      <w:r w:rsidR="00E26843" w:rsidRPr="001D2647">
        <w:t xml:space="preserve">proposed what ultimately became Government Code section 945, which provides simply:  </w:t>
      </w:r>
      <w:r w:rsidR="00DD429F" w:rsidRPr="001D2647">
        <w:t>“A public entity may sue and be sued.”</w:t>
      </w:r>
      <w:r w:rsidR="00CF5DE0" w:rsidRPr="001D2647">
        <w:t xml:space="preserve"> </w:t>
      </w:r>
      <w:r w:rsidR="00DD429F" w:rsidRPr="001D2647">
        <w:t xml:space="preserve"> The </w:t>
      </w:r>
      <w:r w:rsidR="007A495B">
        <w:t xml:space="preserve">commission’s </w:t>
      </w:r>
      <w:r w:rsidR="00DD429F" w:rsidRPr="001D2647">
        <w:t>comment on the proposed section explains</w:t>
      </w:r>
      <w:r w:rsidR="00E26843" w:rsidRPr="001D2647">
        <w:t>:</w:t>
      </w:r>
      <w:r w:rsidR="00CF5DE0" w:rsidRPr="001D2647">
        <w:t xml:space="preserve"> </w:t>
      </w:r>
      <w:r w:rsidR="00DD429F" w:rsidRPr="001D2647">
        <w:t xml:space="preserve"> “Section 945 is new.</w:t>
      </w:r>
      <w:r w:rsidR="00CF5DE0" w:rsidRPr="001D2647">
        <w:t xml:space="preserve"> </w:t>
      </w:r>
      <w:r w:rsidR="00DD429F" w:rsidRPr="001D2647">
        <w:t xml:space="preserve"> This section will eliminate any doubt that might otherwise exist as to whether a tort action might be defeated on the technical ground that a </w:t>
      </w:r>
      <w:proofErr w:type="gramStart"/>
      <w:r w:rsidR="00DD429F" w:rsidRPr="001D2647">
        <w:t>particular local</w:t>
      </w:r>
      <w:proofErr w:type="gramEnd"/>
      <w:r w:rsidR="00DD429F" w:rsidRPr="001D2647">
        <w:t xml:space="preserve"> public entity is not subject to suit. </w:t>
      </w:r>
      <w:r w:rsidR="009158C6">
        <w:t xml:space="preserve"> </w:t>
      </w:r>
      <w:r w:rsidR="00DD429F" w:rsidRPr="001D2647">
        <w:t xml:space="preserve">The section does not, however, impose substantive liability; some other statute must be found that imposes such liability.” </w:t>
      </w:r>
      <w:r w:rsidR="00CF5DE0" w:rsidRPr="001D2647">
        <w:t xml:space="preserve"> </w:t>
      </w:r>
      <w:r w:rsidR="00DD429F" w:rsidRPr="001D2647">
        <w:t>(</w:t>
      </w:r>
      <w:r w:rsidR="008F7743">
        <w:t xml:space="preserve">Recommendation Relating to Sovereign Immunity, No. 2—Claims, Actions and Judgments Against Public Entities and Employees (Jan. 1963) </w:t>
      </w:r>
      <w:r w:rsidR="00DD429F" w:rsidRPr="001D2647">
        <w:t>4 Cal. L</w:t>
      </w:r>
      <w:r w:rsidR="009F4393" w:rsidRPr="001D2647">
        <w:t>aw</w:t>
      </w:r>
      <w:r w:rsidR="00DD429F" w:rsidRPr="001D2647">
        <w:t xml:space="preserve"> Rev</w:t>
      </w:r>
      <w:r w:rsidR="009F4393" w:rsidRPr="001D2647">
        <w:t xml:space="preserve">ision </w:t>
      </w:r>
      <w:r w:rsidR="00DD429F" w:rsidRPr="001D2647">
        <w:t>Com.</w:t>
      </w:r>
      <w:r w:rsidR="009F4393" w:rsidRPr="001D2647">
        <w:t xml:space="preserve"> Rep.</w:t>
      </w:r>
      <w:r w:rsidR="00E84653" w:rsidRPr="001D2647">
        <w:t xml:space="preserve"> (1963)</w:t>
      </w:r>
      <w:r w:rsidR="009F4393" w:rsidRPr="001D2647">
        <w:t xml:space="preserve"> p.</w:t>
      </w:r>
      <w:r w:rsidR="006E393F" w:rsidRPr="001D2647">
        <w:t> </w:t>
      </w:r>
      <w:r w:rsidR="00DD429F" w:rsidRPr="001D2647">
        <w:t xml:space="preserve">1042.) </w:t>
      </w:r>
      <w:r w:rsidR="009F4393" w:rsidRPr="001D2647">
        <w:t xml:space="preserve"> </w:t>
      </w:r>
    </w:p>
    <w:p w14:paraId="40E0D3F3" w14:textId="77777777" w:rsidR="000A4E7C" w:rsidRDefault="000A4E7C" w:rsidP="001D2647">
      <w:pPr>
        <w:ind w:firstLine="720"/>
      </w:pPr>
      <w:r>
        <w:lastRenderedPageBreak/>
        <w:t>In sum</w:t>
      </w:r>
      <w:r w:rsidR="00D05F98">
        <w:t>, t</w:t>
      </w:r>
      <w:r w:rsidR="00B14045" w:rsidRPr="001D2647">
        <w:t xml:space="preserve">he history indicates that the GCA’s liability and special immunity provisions, like section 850.4, were addressed to questions </w:t>
      </w:r>
      <w:r w:rsidR="00B0793C" w:rsidRPr="001D2647">
        <w:t xml:space="preserve">of substantive liability.  </w:t>
      </w:r>
      <w:r w:rsidR="00EB2ADE" w:rsidRPr="001D2647">
        <w:t>A</w:t>
      </w:r>
      <w:r w:rsidR="00B0793C" w:rsidRPr="001D2647">
        <w:t xml:space="preserve">s for </w:t>
      </w:r>
      <w:r w:rsidR="00EB2ADE" w:rsidRPr="001D2647">
        <w:t xml:space="preserve">the separate question </w:t>
      </w:r>
      <w:r w:rsidR="00B0793C" w:rsidRPr="001D2647">
        <w:t xml:space="preserve">whether </w:t>
      </w:r>
      <w:r w:rsidR="00B14045" w:rsidRPr="001D2647">
        <w:t xml:space="preserve">public entities </w:t>
      </w:r>
      <w:r w:rsidR="00B0793C" w:rsidRPr="001D2647">
        <w:t xml:space="preserve">are amenable </w:t>
      </w:r>
      <w:r w:rsidR="00B14045" w:rsidRPr="001D2647">
        <w:t xml:space="preserve">to suit in state courts, </w:t>
      </w:r>
      <w:r w:rsidR="009860E1" w:rsidRPr="001D2647">
        <w:t xml:space="preserve">it appears </w:t>
      </w:r>
      <w:r w:rsidR="00B14045" w:rsidRPr="001D2647">
        <w:t xml:space="preserve">the </w:t>
      </w:r>
      <w:r w:rsidR="00EB2ADE" w:rsidRPr="001D2647">
        <w:t xml:space="preserve">Legislature </w:t>
      </w:r>
      <w:r w:rsidR="00EA1747" w:rsidRPr="001D2647">
        <w:t xml:space="preserve">sought to </w:t>
      </w:r>
      <w:r w:rsidR="00B14045" w:rsidRPr="001D2647">
        <w:t>put any</w:t>
      </w:r>
      <w:r w:rsidR="00B0793C" w:rsidRPr="001D2647">
        <w:t xml:space="preserve"> doubts to rest when it </w:t>
      </w:r>
      <w:r w:rsidR="00EB2ADE" w:rsidRPr="001D2647">
        <w:t>broad</w:t>
      </w:r>
      <w:r w:rsidR="00F10550" w:rsidRPr="001D2647">
        <w:t>ly</w:t>
      </w:r>
      <w:r w:rsidR="00EB2ADE" w:rsidRPr="001D2647">
        <w:t xml:space="preserve"> </w:t>
      </w:r>
      <w:r w:rsidR="00B0793C" w:rsidRPr="001D2647">
        <w:t>waived</w:t>
      </w:r>
      <w:r w:rsidR="00B14045" w:rsidRPr="001D2647">
        <w:t xml:space="preserve"> common</w:t>
      </w:r>
      <w:r w:rsidR="006E393F" w:rsidRPr="001D2647">
        <w:t xml:space="preserve"> </w:t>
      </w:r>
      <w:r w:rsidR="00B14045" w:rsidRPr="001D2647">
        <w:t xml:space="preserve">law </w:t>
      </w:r>
      <w:r w:rsidR="00510488" w:rsidRPr="001D2647">
        <w:t xml:space="preserve">immunity from suit </w:t>
      </w:r>
      <w:r w:rsidR="00B0793C" w:rsidRPr="001D2647">
        <w:t xml:space="preserve">for </w:t>
      </w:r>
      <w:r w:rsidR="00EB2ADE" w:rsidRPr="001D2647">
        <w:t xml:space="preserve">all public entities </w:t>
      </w:r>
      <w:r w:rsidR="00B0793C" w:rsidRPr="001D2647">
        <w:t xml:space="preserve">in </w:t>
      </w:r>
      <w:r w:rsidR="00E84653" w:rsidRPr="001D2647">
        <w:t xml:space="preserve">Government Code </w:t>
      </w:r>
      <w:r w:rsidR="00B0793C" w:rsidRPr="001D2647">
        <w:t>section 945</w:t>
      </w:r>
      <w:r w:rsidR="00A600CD" w:rsidRPr="001D2647">
        <w:t>.</w:t>
      </w:r>
    </w:p>
    <w:p w14:paraId="0C2FDF82" w14:textId="77777777" w:rsidR="002958C3" w:rsidRDefault="003F3121" w:rsidP="001D2647">
      <w:pPr>
        <w:ind w:firstLine="720"/>
      </w:pPr>
      <w:r w:rsidRPr="001D2647">
        <w:t>Given this background</w:t>
      </w:r>
      <w:r w:rsidR="00A600CD" w:rsidRPr="001D2647">
        <w:t xml:space="preserve">, </w:t>
      </w:r>
      <w:r w:rsidR="003238C0" w:rsidRPr="001D2647">
        <w:t xml:space="preserve">there is little basis </w:t>
      </w:r>
      <w:r w:rsidR="0009674A" w:rsidRPr="001D2647">
        <w:t>for</w:t>
      </w:r>
      <w:r w:rsidR="007D61FC" w:rsidRPr="001D2647">
        <w:t xml:space="preserve"> </w:t>
      </w:r>
      <w:r w:rsidR="002F3F07" w:rsidRPr="001D2647">
        <w:t xml:space="preserve">defendants’ assumption that the Legislature </w:t>
      </w:r>
      <w:r w:rsidR="00C21C44" w:rsidRPr="001D2647">
        <w:t xml:space="preserve">intended </w:t>
      </w:r>
      <w:r w:rsidR="003238C0" w:rsidRPr="001D2647">
        <w:t xml:space="preserve">the immunity conferred by </w:t>
      </w:r>
      <w:r w:rsidR="00C21C44" w:rsidRPr="001D2647">
        <w:t xml:space="preserve">section 850.4 to function </w:t>
      </w:r>
      <w:r w:rsidR="003238C0" w:rsidRPr="001D2647">
        <w:t xml:space="preserve">as a partial withdrawal of the </w:t>
      </w:r>
      <w:r w:rsidR="000C135A" w:rsidRPr="001D2647">
        <w:t>state’</w:t>
      </w:r>
      <w:r w:rsidR="00375E32" w:rsidRPr="001D2647">
        <w:t>s co</w:t>
      </w:r>
      <w:r w:rsidR="0026716B" w:rsidRPr="001D2647">
        <w:t xml:space="preserve">nsent to suit </w:t>
      </w:r>
      <w:r w:rsidR="008F304E" w:rsidRPr="001D2647">
        <w:t>when a plaintiff brings a claim under a</w:t>
      </w:r>
      <w:r w:rsidR="000A3DE8" w:rsidRPr="001D2647">
        <w:t xml:space="preserve"> liability-providing section of the </w:t>
      </w:r>
      <w:r w:rsidR="00DA3B64" w:rsidRPr="001D2647">
        <w:t>A</w:t>
      </w:r>
      <w:r w:rsidR="000A3DE8" w:rsidRPr="001D2647">
        <w:t>ct</w:t>
      </w:r>
      <w:r w:rsidR="00DA3B64" w:rsidRPr="001D2647">
        <w:t>.</w:t>
      </w:r>
      <w:r w:rsidR="009860E1" w:rsidRPr="001D2647">
        <w:t xml:space="preserve"> </w:t>
      </w:r>
      <w:r w:rsidR="00DB5CE0" w:rsidRPr="001D2647">
        <w:t xml:space="preserve"> </w:t>
      </w:r>
      <w:r w:rsidR="00887C41" w:rsidRPr="001D2647">
        <w:t>I</w:t>
      </w:r>
      <w:r w:rsidR="009860E1" w:rsidRPr="001D2647">
        <w:t xml:space="preserve">n the absence of </w:t>
      </w:r>
      <w:r w:rsidR="00852B81" w:rsidRPr="001D2647">
        <w:t>clearer indication that such was the Legislature’s intent,</w:t>
      </w:r>
      <w:r w:rsidR="00887C41" w:rsidRPr="001D2647">
        <w:t xml:space="preserve"> we presume the opposite:  that is, that the </w:t>
      </w:r>
      <w:r w:rsidR="00E02C1D" w:rsidRPr="001D2647">
        <w:t xml:space="preserve">Legislature </w:t>
      </w:r>
      <w:r w:rsidR="00617E8C" w:rsidRPr="001D2647">
        <w:t xml:space="preserve">did not intend to limit </w:t>
      </w:r>
      <w:r w:rsidR="00E02C1D" w:rsidRPr="001D2647">
        <w:t xml:space="preserve">the </w:t>
      </w:r>
      <w:r w:rsidR="008C523C" w:rsidRPr="001D2647">
        <w:t xml:space="preserve">fundamental power of the courts </w:t>
      </w:r>
      <w:r w:rsidR="0086364C" w:rsidRPr="001D2647">
        <w:t xml:space="preserve">to hear </w:t>
      </w:r>
      <w:r w:rsidR="00722360" w:rsidRPr="001D2647">
        <w:t xml:space="preserve">the legal disputes </w:t>
      </w:r>
      <w:r w:rsidR="0052791C" w:rsidRPr="001D2647">
        <w:t>that are brought to them.</w:t>
      </w:r>
      <w:r w:rsidR="006E393F" w:rsidRPr="001D2647">
        <w:t xml:space="preserve"> </w:t>
      </w:r>
      <w:r w:rsidR="0052791C" w:rsidRPr="001D2647">
        <w:t xml:space="preserve"> (</w:t>
      </w:r>
      <w:proofErr w:type="spellStart"/>
      <w:r w:rsidR="0052791C" w:rsidRPr="001D2647">
        <w:rPr>
          <w:i/>
        </w:rPr>
        <w:t>Kabran</w:t>
      </w:r>
      <w:proofErr w:type="spellEnd"/>
      <w:r w:rsidR="0052791C" w:rsidRPr="001D2647">
        <w:t xml:space="preserve">, </w:t>
      </w:r>
      <w:r w:rsidR="0052791C" w:rsidRPr="001D2647">
        <w:rPr>
          <w:i/>
        </w:rPr>
        <w:t>supra</w:t>
      </w:r>
      <w:r w:rsidR="0052791C" w:rsidRPr="001D2647">
        <w:t xml:space="preserve">, </w:t>
      </w:r>
      <w:r w:rsidR="00722360" w:rsidRPr="001D2647">
        <w:t xml:space="preserve">2 Cal.5th </w:t>
      </w:r>
      <w:r w:rsidR="0052791C" w:rsidRPr="001D2647">
        <w:t>at p</w:t>
      </w:r>
      <w:r w:rsidR="00E84653" w:rsidRPr="001D2647">
        <w:t>p. 342–</w:t>
      </w:r>
      <w:r w:rsidR="0052791C" w:rsidRPr="001D2647">
        <w:t>343.)</w:t>
      </w:r>
      <w:r w:rsidR="003706CC" w:rsidRPr="001D2647">
        <w:rPr>
          <w:rStyle w:val="FootnoteReference"/>
        </w:rPr>
        <w:footnoteReference w:id="8"/>
      </w:r>
    </w:p>
    <w:p w14:paraId="04C93061" w14:textId="77777777" w:rsidR="003B3812" w:rsidRPr="001D2647" w:rsidRDefault="004467A6" w:rsidP="00C05156">
      <w:pPr>
        <w:jc w:val="center"/>
        <w:outlineLvl w:val="0"/>
        <w:rPr>
          <w:b/>
        </w:rPr>
      </w:pPr>
      <w:r w:rsidRPr="001D2647">
        <w:rPr>
          <w:b/>
        </w:rPr>
        <w:t>B</w:t>
      </w:r>
      <w:r w:rsidR="003B3812" w:rsidRPr="001D2647">
        <w:rPr>
          <w:b/>
        </w:rPr>
        <w:t>.</w:t>
      </w:r>
    </w:p>
    <w:p w14:paraId="3551B3C2" w14:textId="77777777" w:rsidR="003136AD" w:rsidRPr="001D2647" w:rsidRDefault="00D42F0C" w:rsidP="001D2647">
      <w:pPr>
        <w:ind w:firstLine="720"/>
      </w:pPr>
      <w:r w:rsidRPr="001D2647">
        <w:t xml:space="preserve">In arguing that section 850.4 creates a jurisdictional bar, defendants rely heavily on a </w:t>
      </w:r>
      <w:r w:rsidR="00B52207" w:rsidRPr="001D2647">
        <w:t xml:space="preserve">series of cases that generally describe governmental tort immunity as “jurisdictional.”  These cases, however, </w:t>
      </w:r>
      <w:r w:rsidR="00496423" w:rsidRPr="001D2647">
        <w:t xml:space="preserve">appear to </w:t>
      </w:r>
      <w:r w:rsidR="00014A10">
        <w:t>conflate</w:t>
      </w:r>
      <w:r w:rsidR="00014A10" w:rsidRPr="001D2647">
        <w:t xml:space="preserve"> </w:t>
      </w:r>
      <w:r w:rsidRPr="001D2647">
        <w:t xml:space="preserve">lack of fundamental </w:t>
      </w:r>
      <w:proofErr w:type="gramStart"/>
      <w:r w:rsidRPr="001D2647">
        <w:t>jurisdiction</w:t>
      </w:r>
      <w:proofErr w:type="gramEnd"/>
      <w:r w:rsidRPr="001D2647">
        <w:t xml:space="preserve"> with acts </w:t>
      </w:r>
      <w:r w:rsidRPr="001D2647">
        <w:rPr>
          <w:i/>
        </w:rPr>
        <w:t xml:space="preserve">in excess of </w:t>
      </w:r>
      <w:r w:rsidRPr="001D2647">
        <w:t>jurisdiction.</w:t>
      </w:r>
      <w:r w:rsidR="004E1C65" w:rsidRPr="001D2647">
        <w:t xml:space="preserve">  </w:t>
      </w:r>
      <w:r w:rsidR="008B4826" w:rsidRPr="001D2647">
        <w:t>“</w:t>
      </w:r>
      <w:r w:rsidR="006E393F" w:rsidRPr="001D2647">
        <w:t> </w:t>
      </w:r>
      <w:r w:rsidR="00A02E4D" w:rsidRPr="001D2647">
        <w:t>‘</w:t>
      </w:r>
      <w:r w:rsidR="008B4826" w:rsidRPr="001D2647">
        <w:t>Even when a court has fundamental jurisdiction .</w:t>
      </w:r>
      <w:r w:rsidR="006E393F" w:rsidRPr="001D2647">
        <w:t> </w:t>
      </w:r>
      <w:r w:rsidR="008B4826" w:rsidRPr="001D2647">
        <w:t>.</w:t>
      </w:r>
      <w:r w:rsidR="006E393F" w:rsidRPr="001D2647">
        <w:t> </w:t>
      </w:r>
      <w:r w:rsidR="008B4826" w:rsidRPr="001D2647">
        <w:t xml:space="preserve">. the Constitution, a </w:t>
      </w:r>
      <w:r w:rsidR="008B4826" w:rsidRPr="001D2647">
        <w:lastRenderedPageBreak/>
        <w:t>statute, or relevant case law may constrain the court to act only in a particular manner, or subject to certain limitations.</w:t>
      </w:r>
      <w:r w:rsidR="00A02E4D" w:rsidRPr="001D2647">
        <w:t>’</w:t>
      </w:r>
      <w:r w:rsidR="00E27844" w:rsidRPr="001D2647">
        <w:t xml:space="preserve"> </w:t>
      </w:r>
      <w:r w:rsidR="008B4826" w:rsidRPr="001D2647">
        <w:t xml:space="preserve"> </w:t>
      </w:r>
      <w:r w:rsidR="00A02E4D" w:rsidRPr="001D2647">
        <w:t>[Citation.]</w:t>
      </w:r>
      <w:r w:rsidR="008B4826" w:rsidRPr="001D2647">
        <w:t xml:space="preserve"> </w:t>
      </w:r>
      <w:r w:rsidR="00E27844" w:rsidRPr="001D2647">
        <w:t xml:space="preserve"> </w:t>
      </w:r>
      <w:r w:rsidR="008B4826" w:rsidRPr="001D2647">
        <w:t xml:space="preserve">We have described courts that violate procedural requirements, order relief that is unauthorized by statute or common law, or otherwise </w:t>
      </w:r>
      <w:r w:rsidR="00A02E4D" w:rsidRPr="001D2647">
        <w:t>‘</w:t>
      </w:r>
      <w:r w:rsidR="00E84653" w:rsidRPr="001D2647">
        <w:t> “</w:t>
      </w:r>
      <w:r w:rsidR="008B4826" w:rsidRPr="001D2647">
        <w:t>fail</w:t>
      </w:r>
      <w:r w:rsidR="00E84653" w:rsidRPr="001D2647">
        <w:t>[]</w:t>
      </w:r>
      <w:r w:rsidR="008B4826" w:rsidRPr="001D2647">
        <w:t xml:space="preserve"> to conduct [themselves] in the manner prescribed</w:t>
      </w:r>
      <w:r w:rsidR="00E84653" w:rsidRPr="001D2647">
        <w:t>” </w:t>
      </w:r>
      <w:r w:rsidR="00A02E4D" w:rsidRPr="001D2647">
        <w:t>’</w:t>
      </w:r>
      <w:r w:rsidR="008B4826" w:rsidRPr="001D2647">
        <w:t xml:space="preserve"> by law as acting </w:t>
      </w:r>
      <w:r w:rsidR="00A02E4D" w:rsidRPr="001D2647">
        <w:t>‘</w:t>
      </w:r>
      <w:r w:rsidR="00E84653" w:rsidRPr="001D2647">
        <w:t> “</w:t>
      </w:r>
      <w:r w:rsidR="008B4826" w:rsidRPr="001D2647">
        <w:t>in </w:t>
      </w:r>
      <w:r w:rsidR="008B4826" w:rsidRPr="001D2647">
        <w:rPr>
          <w:i/>
          <w:iCs/>
        </w:rPr>
        <w:t>excess</w:t>
      </w:r>
      <w:r w:rsidR="008B4826" w:rsidRPr="001D2647">
        <w:t> of jurisdiction.</w:t>
      </w:r>
      <w:r w:rsidR="00E84653" w:rsidRPr="001D2647">
        <w:t>” </w:t>
      </w:r>
      <w:r w:rsidR="00A02E4D" w:rsidRPr="001D2647">
        <w:t>’</w:t>
      </w:r>
      <w:r w:rsidR="008F7743">
        <w:t> </w:t>
      </w:r>
      <w:r w:rsidR="00A02E4D" w:rsidRPr="001D2647">
        <w:t xml:space="preserve">” </w:t>
      </w:r>
      <w:r w:rsidR="00D20462" w:rsidRPr="001D2647">
        <w:t xml:space="preserve"> </w:t>
      </w:r>
      <w:r w:rsidR="00A02E4D" w:rsidRPr="001D2647">
        <w:t>(</w:t>
      </w:r>
      <w:proofErr w:type="spellStart"/>
      <w:r w:rsidR="00A02E4D" w:rsidRPr="001D2647">
        <w:rPr>
          <w:i/>
        </w:rPr>
        <w:t>Kabran</w:t>
      </w:r>
      <w:proofErr w:type="spellEnd"/>
      <w:r w:rsidR="00A02E4D" w:rsidRPr="001D2647">
        <w:t>,</w:t>
      </w:r>
      <w:r w:rsidR="00A02E4D" w:rsidRPr="001D2647">
        <w:rPr>
          <w:i/>
        </w:rPr>
        <w:t xml:space="preserve"> supra</w:t>
      </w:r>
      <w:r w:rsidR="00A02E4D" w:rsidRPr="001D2647">
        <w:t>, 2 Cal.5th at pp.</w:t>
      </w:r>
      <w:r w:rsidR="00D20462" w:rsidRPr="001D2647">
        <w:t> </w:t>
      </w:r>
      <w:r w:rsidR="00A02E4D" w:rsidRPr="001D2647">
        <w:t>339</w:t>
      </w:r>
      <w:r w:rsidR="00D20462" w:rsidRPr="001D2647">
        <w:t>–</w:t>
      </w:r>
      <w:r w:rsidR="00CA5B1E" w:rsidRPr="001D2647">
        <w:t>3</w:t>
      </w:r>
      <w:r w:rsidR="00A02E4D" w:rsidRPr="001D2647">
        <w:t xml:space="preserve">40.) </w:t>
      </w:r>
      <w:r w:rsidR="00D20462" w:rsidRPr="001D2647">
        <w:t xml:space="preserve"> </w:t>
      </w:r>
      <w:r w:rsidR="00A02E4D" w:rsidRPr="001D2647">
        <w:t xml:space="preserve">Attending to </w:t>
      </w:r>
      <w:r w:rsidR="008F7743">
        <w:t xml:space="preserve">this </w:t>
      </w:r>
      <w:r w:rsidR="00FB5705" w:rsidRPr="001D2647">
        <w:t>“</w:t>
      </w:r>
      <w:r w:rsidR="008F7743">
        <w:t>d</w:t>
      </w:r>
      <w:r w:rsidR="008B4826" w:rsidRPr="001D2647">
        <w:t xml:space="preserve">istinction is important because the remedies are different.” </w:t>
      </w:r>
      <w:r w:rsidR="00E27844" w:rsidRPr="001D2647">
        <w:t xml:space="preserve"> </w:t>
      </w:r>
      <w:r w:rsidR="008B4826" w:rsidRPr="001D2647">
        <w:t>(</w:t>
      </w:r>
      <w:r w:rsidR="00FB5705" w:rsidRPr="001D2647">
        <w:rPr>
          <w:i/>
        </w:rPr>
        <w:t>People v. Lara</w:t>
      </w:r>
      <w:r w:rsidR="00FB5705" w:rsidRPr="001D2647">
        <w:t xml:space="preserve"> (2010) 48 Cal.4th 216, 225</w:t>
      </w:r>
      <w:r w:rsidR="008B4826" w:rsidRPr="001D2647">
        <w:t xml:space="preserve">.) </w:t>
      </w:r>
      <w:r w:rsidR="00E27844" w:rsidRPr="001D2647">
        <w:t xml:space="preserve"> </w:t>
      </w:r>
      <w:r w:rsidR="00CA5B1E" w:rsidRPr="001D2647">
        <w:t xml:space="preserve">Again, when </w:t>
      </w:r>
      <w:r w:rsidR="00A02E4D" w:rsidRPr="001D2647">
        <w:t xml:space="preserve">a court lacks fundamental </w:t>
      </w:r>
      <w:proofErr w:type="gramStart"/>
      <w:r w:rsidR="00A02E4D" w:rsidRPr="001D2647">
        <w:t>jurisdiction</w:t>
      </w:r>
      <w:proofErr w:type="gramEnd"/>
      <w:r w:rsidR="00A02E4D" w:rsidRPr="001D2647">
        <w:t xml:space="preserve">, it has no power to hear or determine the case, and the parties cannot cure that fundamental absence of power. </w:t>
      </w:r>
      <w:r w:rsidR="00E27844" w:rsidRPr="001D2647">
        <w:t xml:space="preserve"> </w:t>
      </w:r>
      <w:r w:rsidR="00A02E4D" w:rsidRPr="001D2647">
        <w:t xml:space="preserve">But </w:t>
      </w:r>
      <w:r w:rsidR="003136AD" w:rsidRPr="001D2647">
        <w:t>so long as a court possesses fundamental jurisdiction, an act that it takes in excess of jurisdiction is “</w:t>
      </w:r>
      <w:r w:rsidR="00D20462" w:rsidRPr="001D2647">
        <w:t> </w:t>
      </w:r>
      <w:r w:rsidR="00E27844" w:rsidRPr="001D2647">
        <w:t>‘</w:t>
      </w:r>
      <w:r w:rsidR="003136AD" w:rsidRPr="001D2647">
        <w:t>valid until set aside, and parties may be precluded from setting it aside by such things as waiver, estoppel, or the passage of time</w:t>
      </w:r>
      <w:r w:rsidR="008F7743">
        <w:t>.</w:t>
      </w:r>
      <w:r w:rsidR="00E27844" w:rsidRPr="001D2647">
        <w:t>’</w:t>
      </w:r>
      <w:r w:rsidR="008F7743">
        <w:t> </w:t>
      </w:r>
      <w:r w:rsidR="00E27844" w:rsidRPr="001D2647">
        <w:t>”</w:t>
      </w:r>
      <w:r w:rsidR="003136AD" w:rsidRPr="001D2647">
        <w:t xml:space="preserve"> </w:t>
      </w:r>
      <w:r w:rsidR="00E27844" w:rsidRPr="001D2647">
        <w:t xml:space="preserve"> </w:t>
      </w:r>
      <w:r w:rsidR="003136AD" w:rsidRPr="001D2647">
        <w:t>(</w:t>
      </w:r>
      <w:proofErr w:type="spellStart"/>
      <w:r w:rsidR="003136AD" w:rsidRPr="001D2647">
        <w:rPr>
          <w:i/>
        </w:rPr>
        <w:t>Kabran</w:t>
      </w:r>
      <w:proofErr w:type="spellEnd"/>
      <w:r w:rsidR="003136AD" w:rsidRPr="001D2647">
        <w:t>,</w:t>
      </w:r>
      <w:r w:rsidR="003136AD" w:rsidRPr="001D2647">
        <w:rPr>
          <w:i/>
        </w:rPr>
        <w:t xml:space="preserve"> </w:t>
      </w:r>
      <w:r w:rsidR="003136AD" w:rsidRPr="001D2647">
        <w:t>at p.</w:t>
      </w:r>
      <w:r w:rsidR="00D20462" w:rsidRPr="001D2647">
        <w:t> </w:t>
      </w:r>
      <w:r w:rsidR="009665B4" w:rsidRPr="001D2647">
        <w:t xml:space="preserve"> </w:t>
      </w:r>
      <w:r w:rsidR="000A7D70" w:rsidRPr="001D2647">
        <w:t>3</w:t>
      </w:r>
      <w:r w:rsidR="003136AD" w:rsidRPr="001D2647">
        <w:t xml:space="preserve">40.) </w:t>
      </w:r>
    </w:p>
    <w:p w14:paraId="1A69EE00" w14:textId="77777777" w:rsidR="00497565" w:rsidRPr="001D2647" w:rsidRDefault="00496423" w:rsidP="001D2647">
      <w:pPr>
        <w:ind w:firstLine="720"/>
        <w:rPr>
          <w:color w:val="000000"/>
        </w:rPr>
      </w:pPr>
      <w:r w:rsidRPr="001D2647">
        <w:t xml:space="preserve">The </w:t>
      </w:r>
      <w:r w:rsidR="00497565" w:rsidRPr="001D2647">
        <w:t>cases</w:t>
      </w:r>
      <w:r w:rsidRPr="001D2647">
        <w:t xml:space="preserve"> on which defendant</w:t>
      </w:r>
      <w:r w:rsidR="004467A6" w:rsidRPr="001D2647">
        <w:t>s</w:t>
      </w:r>
      <w:r w:rsidRPr="001D2647">
        <w:t xml:space="preserve"> rel</w:t>
      </w:r>
      <w:r w:rsidR="004467A6" w:rsidRPr="001D2647">
        <w:t>y</w:t>
      </w:r>
      <w:r w:rsidRPr="001D2647">
        <w:t xml:space="preserve"> do not acknowledge this distinction or explain why the application of a statutory immunity ought to rank as jurisdictional in the fundamental sense.  Each case simply cites the last </w:t>
      </w:r>
      <w:r w:rsidR="00497565" w:rsidRPr="001D2647">
        <w:t xml:space="preserve">for the proposition that governmental immunity is jurisdictional and thus cannot be waived and may be raised for the first time on appeal. </w:t>
      </w:r>
      <w:r w:rsidR="006C49CA" w:rsidRPr="001D2647">
        <w:t xml:space="preserve"> </w:t>
      </w:r>
      <w:r w:rsidR="00497565" w:rsidRPr="001D2647">
        <w:t>(</w:t>
      </w:r>
      <w:r w:rsidR="00DF457E" w:rsidRPr="001D2647">
        <w:rPr>
          <w:i/>
          <w:color w:val="000000"/>
        </w:rPr>
        <w:t>Paterson v. City of Los Angeles</w:t>
      </w:r>
      <w:r w:rsidR="00DF457E" w:rsidRPr="001D2647">
        <w:rPr>
          <w:color w:val="000000"/>
        </w:rPr>
        <w:t xml:space="preserve"> (2009) 174 Cal.App.4th 1393, 1404, fn.</w:t>
      </w:r>
      <w:r w:rsidR="00D20462" w:rsidRPr="001D2647">
        <w:rPr>
          <w:color w:val="000000"/>
        </w:rPr>
        <w:t> </w:t>
      </w:r>
      <w:r w:rsidR="00DF457E" w:rsidRPr="001D2647">
        <w:rPr>
          <w:color w:val="000000"/>
        </w:rPr>
        <w:t>5 [“Appellants contend that this defense was waived because it was not sufficiently asserted in the answer.</w:t>
      </w:r>
      <w:r w:rsidR="006C49CA" w:rsidRPr="001D2647">
        <w:rPr>
          <w:color w:val="000000"/>
        </w:rPr>
        <w:t xml:space="preserve"> </w:t>
      </w:r>
      <w:r w:rsidR="00DF457E" w:rsidRPr="001D2647">
        <w:rPr>
          <w:color w:val="000000"/>
        </w:rPr>
        <w:t xml:space="preserve"> Governmental immunity is a jurisdictional question [citation], and thus is not subject to the rule that failure to raise a defense by demurrer or answer waives that defense.”]; </w:t>
      </w:r>
      <w:r w:rsidR="00DF457E" w:rsidRPr="001D2647">
        <w:rPr>
          <w:i/>
          <w:color w:val="000000"/>
        </w:rPr>
        <w:t>Richardson-</w:t>
      </w:r>
      <w:proofErr w:type="spellStart"/>
      <w:r w:rsidR="00DF457E" w:rsidRPr="001D2647">
        <w:rPr>
          <w:i/>
          <w:color w:val="000000"/>
        </w:rPr>
        <w:t>Tunnell</w:t>
      </w:r>
      <w:proofErr w:type="spellEnd"/>
      <w:r w:rsidR="00DF457E" w:rsidRPr="001D2647">
        <w:rPr>
          <w:i/>
          <w:color w:val="000000"/>
        </w:rPr>
        <w:t xml:space="preserve"> v. Schools Ins. Program for Employees</w:t>
      </w:r>
      <w:r w:rsidR="006C49CA" w:rsidRPr="001D2647">
        <w:rPr>
          <w:i/>
          <w:color w:val="000000"/>
        </w:rPr>
        <w:t xml:space="preserve"> (SIPE)</w:t>
      </w:r>
      <w:r w:rsidR="00DF457E" w:rsidRPr="001D2647">
        <w:rPr>
          <w:color w:val="000000"/>
        </w:rPr>
        <w:t xml:space="preserve"> (2007) 157 Cal.App.4th 1056, 1061 [“Government tort immunity is jurisdictional and may be raised for the first time on appeal.”]</w:t>
      </w:r>
      <w:r w:rsidR="00497565" w:rsidRPr="001D2647">
        <w:rPr>
          <w:color w:val="000000"/>
        </w:rPr>
        <w:t xml:space="preserve">; </w:t>
      </w:r>
      <w:r w:rsidR="00124DA2" w:rsidRPr="00567286">
        <w:rPr>
          <w:i/>
          <w:color w:val="000000"/>
        </w:rPr>
        <w:t xml:space="preserve">Inland Empire </w:t>
      </w:r>
      <w:r w:rsidR="00124DA2" w:rsidRPr="00567286">
        <w:rPr>
          <w:i/>
          <w:color w:val="000000"/>
        </w:rPr>
        <w:lastRenderedPageBreak/>
        <w:t>Health Plan v. Superior Cour</w:t>
      </w:r>
      <w:r w:rsidR="00124DA2">
        <w:rPr>
          <w:color w:val="000000"/>
        </w:rPr>
        <w:t>t (2003) 108 Cal.App.4th 588, 592 [“[G]</w:t>
      </w:r>
      <w:proofErr w:type="spellStart"/>
      <w:r w:rsidR="00124DA2" w:rsidRPr="00124DA2">
        <w:rPr>
          <w:color w:val="000000"/>
        </w:rPr>
        <w:t>overnmental</w:t>
      </w:r>
      <w:proofErr w:type="spellEnd"/>
      <w:r w:rsidR="00124DA2" w:rsidRPr="00124DA2">
        <w:rPr>
          <w:color w:val="000000"/>
        </w:rPr>
        <w:t xml:space="preserve"> immunity from liability is a jurisdictional matter that can be raised for the first time on appellate review.</w:t>
      </w:r>
      <w:r w:rsidR="005F6F14">
        <w:rPr>
          <w:color w:val="000000"/>
        </w:rPr>
        <w:t>”]</w:t>
      </w:r>
      <w:r w:rsidR="00124DA2">
        <w:rPr>
          <w:color w:val="000000"/>
        </w:rPr>
        <w:t xml:space="preserve">; </w:t>
      </w:r>
      <w:proofErr w:type="spellStart"/>
      <w:r w:rsidR="005F6F14" w:rsidRPr="00567286">
        <w:rPr>
          <w:i/>
          <w:color w:val="000000"/>
        </w:rPr>
        <w:t>Hata</w:t>
      </w:r>
      <w:proofErr w:type="spellEnd"/>
      <w:r w:rsidR="005F6F14">
        <w:rPr>
          <w:color w:val="000000"/>
        </w:rPr>
        <w:t xml:space="preserve">, </w:t>
      </w:r>
      <w:r w:rsidR="005F6F14" w:rsidRPr="00567286">
        <w:rPr>
          <w:i/>
          <w:color w:val="000000"/>
        </w:rPr>
        <w:t>supra</w:t>
      </w:r>
      <w:r w:rsidR="005F6F14">
        <w:rPr>
          <w:color w:val="000000"/>
        </w:rPr>
        <w:t xml:space="preserve">, 31 Cal.App.4th </w:t>
      </w:r>
      <w:r w:rsidR="00F11870">
        <w:rPr>
          <w:color w:val="000000"/>
        </w:rPr>
        <w:t>at p.</w:t>
      </w:r>
      <w:r w:rsidR="00C86D9F">
        <w:rPr>
          <w:color w:val="000000"/>
        </w:rPr>
        <w:t xml:space="preserve"> 1795 [“</w:t>
      </w:r>
      <w:r w:rsidR="00F11870">
        <w:rPr>
          <w:color w:val="000000"/>
        </w:rPr>
        <w:t>[G]</w:t>
      </w:r>
      <w:proofErr w:type="spellStart"/>
      <w:r w:rsidR="00F11870">
        <w:rPr>
          <w:color w:val="000000"/>
        </w:rPr>
        <w:t>overnmental</w:t>
      </w:r>
      <w:proofErr w:type="spellEnd"/>
      <w:r w:rsidR="00F11870">
        <w:rPr>
          <w:color w:val="000000"/>
        </w:rPr>
        <w:t xml:space="preserve"> tort immunity .</w:t>
      </w:r>
      <w:r w:rsidR="00456225">
        <w:rPr>
          <w:color w:val="000000"/>
        </w:rPr>
        <w:t> </w:t>
      </w:r>
      <w:r w:rsidR="00F11870">
        <w:rPr>
          <w:color w:val="000000"/>
        </w:rPr>
        <w:t>.</w:t>
      </w:r>
      <w:r w:rsidR="00456225">
        <w:rPr>
          <w:color w:val="000000"/>
        </w:rPr>
        <w:t> </w:t>
      </w:r>
      <w:r w:rsidR="00F11870">
        <w:rPr>
          <w:color w:val="000000"/>
        </w:rPr>
        <w:t>. is a jurisdictional issue that may be raised at any time, even for the first time on appeal.”];</w:t>
      </w:r>
      <w:r w:rsidR="005F6F14">
        <w:rPr>
          <w:color w:val="000000"/>
        </w:rPr>
        <w:t xml:space="preserve"> </w:t>
      </w:r>
      <w:r w:rsidR="00E332AE" w:rsidRPr="00567286">
        <w:rPr>
          <w:i/>
          <w:color w:val="000000"/>
        </w:rPr>
        <w:t>Hooper v. City of Chula Vista</w:t>
      </w:r>
      <w:r w:rsidR="00E332AE">
        <w:rPr>
          <w:color w:val="000000"/>
        </w:rPr>
        <w:t xml:space="preserve"> (1989) 212 Cal.App.3d 442, 454, fn. 11 [</w:t>
      </w:r>
      <w:r w:rsidR="006004AB">
        <w:rPr>
          <w:color w:val="000000"/>
        </w:rPr>
        <w:t xml:space="preserve">reasoning that a GCA immunity </w:t>
      </w:r>
      <w:r w:rsidR="00014A10">
        <w:rPr>
          <w:color w:val="000000"/>
        </w:rPr>
        <w:t xml:space="preserve">raises </w:t>
      </w:r>
      <w:r w:rsidR="00E6751C">
        <w:rPr>
          <w:color w:val="000000"/>
        </w:rPr>
        <w:t>“</w:t>
      </w:r>
      <w:r w:rsidR="00E332AE" w:rsidRPr="00E332AE">
        <w:rPr>
          <w:color w:val="000000"/>
        </w:rPr>
        <w:t>a jurisdictional question subject to judicial determination</w:t>
      </w:r>
      <w:r w:rsidR="006004AB">
        <w:rPr>
          <w:color w:val="000000"/>
        </w:rPr>
        <w:t>”</w:t>
      </w:r>
      <w:r w:rsidR="00E332AE" w:rsidRPr="00E332AE">
        <w:rPr>
          <w:color w:val="000000"/>
        </w:rPr>
        <w:t xml:space="preserve"> </w:t>
      </w:r>
      <w:r w:rsidR="00E6751C">
        <w:rPr>
          <w:color w:val="000000"/>
        </w:rPr>
        <w:t>that</w:t>
      </w:r>
      <w:r w:rsidR="006004AB">
        <w:rPr>
          <w:color w:val="000000"/>
        </w:rPr>
        <w:t xml:space="preserve"> “</w:t>
      </w:r>
      <w:r w:rsidR="00E332AE" w:rsidRPr="00E332AE">
        <w:rPr>
          <w:color w:val="000000"/>
        </w:rPr>
        <w:t>may be reached on appeal even if not adequately asserted in the trial court</w:t>
      </w:r>
      <w:r w:rsidR="006004AB">
        <w:rPr>
          <w:color w:val="000000"/>
        </w:rPr>
        <w:t xml:space="preserve">”]; </w:t>
      </w:r>
      <w:r w:rsidR="00497565" w:rsidRPr="001D2647">
        <w:rPr>
          <w:i/>
          <w:color w:val="000000"/>
        </w:rPr>
        <w:t>Kemmerer v. C</w:t>
      </w:r>
      <w:r w:rsidR="006C49CA" w:rsidRPr="001D2647">
        <w:rPr>
          <w:i/>
          <w:color w:val="000000"/>
        </w:rPr>
        <w:t>ounty</w:t>
      </w:r>
      <w:r w:rsidR="00497565" w:rsidRPr="001D2647">
        <w:rPr>
          <w:i/>
          <w:color w:val="000000"/>
        </w:rPr>
        <w:t xml:space="preserve"> of Fresno</w:t>
      </w:r>
      <w:r w:rsidR="00497565" w:rsidRPr="001D2647">
        <w:rPr>
          <w:color w:val="000000"/>
        </w:rPr>
        <w:t xml:space="preserve"> (1988) 200 Cal.App.3d 1426, 1435 [“[G]</w:t>
      </w:r>
      <w:proofErr w:type="spellStart"/>
      <w:r w:rsidR="00497565" w:rsidRPr="001D2647">
        <w:rPr>
          <w:color w:val="000000"/>
        </w:rPr>
        <w:t>overnmental</w:t>
      </w:r>
      <w:proofErr w:type="spellEnd"/>
      <w:r w:rsidR="00497565" w:rsidRPr="001D2647">
        <w:rPr>
          <w:color w:val="000000"/>
        </w:rPr>
        <w:t xml:space="preserve"> immunity is a jurisdictional question and may be raised on appeal even though not used as a basis for the general demurrer in the lower court.”]; </w:t>
      </w:r>
      <w:r w:rsidR="00497565" w:rsidRPr="001D2647">
        <w:rPr>
          <w:i/>
          <w:color w:val="000000"/>
        </w:rPr>
        <w:t>Buford v. State</w:t>
      </w:r>
      <w:r w:rsidR="004467A6" w:rsidRPr="001D2647">
        <w:rPr>
          <w:i/>
          <w:color w:val="000000"/>
        </w:rPr>
        <w:t xml:space="preserve"> of California</w:t>
      </w:r>
      <w:r w:rsidR="00497565" w:rsidRPr="001D2647">
        <w:rPr>
          <w:i/>
          <w:color w:val="000000"/>
        </w:rPr>
        <w:t xml:space="preserve"> </w:t>
      </w:r>
      <w:r w:rsidR="00497565" w:rsidRPr="001D2647">
        <w:rPr>
          <w:color w:val="000000"/>
        </w:rPr>
        <w:t>(1980) 104 Cal.App.3d 811, 8</w:t>
      </w:r>
      <w:r w:rsidR="009665B4" w:rsidRPr="001D2647">
        <w:rPr>
          <w:color w:val="000000"/>
        </w:rPr>
        <w:t>2</w:t>
      </w:r>
      <w:r w:rsidR="00497565" w:rsidRPr="001D2647">
        <w:rPr>
          <w:color w:val="000000"/>
        </w:rPr>
        <w:t xml:space="preserve">6 </w:t>
      </w:r>
      <w:r w:rsidR="00D20462" w:rsidRPr="001D2647">
        <w:rPr>
          <w:color w:val="000000"/>
        </w:rPr>
        <w:t>[</w:t>
      </w:r>
      <w:r w:rsidR="00497565" w:rsidRPr="001D2647">
        <w:rPr>
          <w:color w:val="000000"/>
        </w:rPr>
        <w:t>“[T]wo defects of substance</w:t>
      </w:r>
      <w:r w:rsidR="006C49CA" w:rsidRPr="001D2647">
        <w:rPr>
          <w:color w:val="000000"/>
        </w:rPr>
        <w:t>—</w:t>
      </w:r>
      <w:r w:rsidR="00497565" w:rsidRPr="001D2647">
        <w:rPr>
          <w:color w:val="000000"/>
        </w:rPr>
        <w:t>lack of jurisdiction and failure to state a cause of action</w:t>
      </w:r>
      <w:r w:rsidR="006C49CA" w:rsidRPr="001D2647">
        <w:rPr>
          <w:color w:val="000000"/>
        </w:rPr>
        <w:t>—</w:t>
      </w:r>
      <w:r w:rsidR="00497565" w:rsidRPr="001D2647">
        <w:rPr>
          <w:color w:val="000000"/>
        </w:rPr>
        <w:t xml:space="preserve">are not waived by a failure to demur and may be raised for the first time on appeal. </w:t>
      </w:r>
      <w:r w:rsidR="00AE3680" w:rsidRPr="001D2647">
        <w:rPr>
          <w:color w:val="000000"/>
        </w:rPr>
        <w:t xml:space="preserve"> </w:t>
      </w:r>
      <w:r w:rsidR="00497565" w:rsidRPr="001D2647">
        <w:rPr>
          <w:color w:val="000000"/>
        </w:rPr>
        <w:t xml:space="preserve">[Citations.] </w:t>
      </w:r>
      <w:r w:rsidR="006C49CA" w:rsidRPr="001D2647">
        <w:rPr>
          <w:color w:val="000000"/>
        </w:rPr>
        <w:t xml:space="preserve"> </w:t>
      </w:r>
      <w:r w:rsidR="00497565" w:rsidRPr="001D2647">
        <w:rPr>
          <w:color w:val="000000"/>
        </w:rPr>
        <w:t xml:space="preserve">Since governmental immunity is jurisdictional [citation] and can properly preclude a cause of action, we can appropriately address the applicability of section 854.8.”].) </w:t>
      </w:r>
    </w:p>
    <w:p w14:paraId="6CDC2547" w14:textId="34B3E93E" w:rsidR="007418B7" w:rsidRDefault="00497565" w:rsidP="00D3373D">
      <w:pPr>
        <w:ind w:firstLine="720"/>
        <w:rPr>
          <w:color w:val="000000"/>
        </w:rPr>
      </w:pPr>
      <w:r w:rsidRPr="001D2647">
        <w:rPr>
          <w:color w:val="000000"/>
        </w:rPr>
        <w:t xml:space="preserve">The apparent root of this doctrinal branch is </w:t>
      </w:r>
      <w:r w:rsidR="001015AB" w:rsidRPr="00E40A04">
        <w:rPr>
          <w:i/>
          <w:color w:val="000000"/>
        </w:rPr>
        <w:t xml:space="preserve">State </w:t>
      </w:r>
      <w:r w:rsidR="009158C6">
        <w:rPr>
          <w:i/>
          <w:color w:val="000000"/>
        </w:rPr>
        <w:t xml:space="preserve">of California </w:t>
      </w:r>
      <w:r w:rsidR="001015AB" w:rsidRPr="00E40A04">
        <w:rPr>
          <w:i/>
          <w:color w:val="000000"/>
        </w:rPr>
        <w:t xml:space="preserve">v. Superior Court </w:t>
      </w:r>
      <w:r w:rsidR="008F7743">
        <w:rPr>
          <w:color w:val="000000"/>
        </w:rPr>
        <w:t>(</w:t>
      </w:r>
      <w:proofErr w:type="spellStart"/>
      <w:r w:rsidR="008F7743" w:rsidRPr="00E40A04">
        <w:rPr>
          <w:i/>
          <w:color w:val="000000"/>
        </w:rPr>
        <w:t>Rodenhuis</w:t>
      </w:r>
      <w:proofErr w:type="spellEnd"/>
      <w:r w:rsidR="008F7743">
        <w:rPr>
          <w:color w:val="000000"/>
        </w:rPr>
        <w:t xml:space="preserve">) </w:t>
      </w:r>
      <w:r w:rsidR="001015AB">
        <w:rPr>
          <w:color w:val="000000"/>
        </w:rPr>
        <w:t xml:space="preserve">(1968) 263 Cal.App.2d 396, a case decided soon after the enactment of the GCA.  </w:t>
      </w:r>
      <w:r w:rsidR="00900AAF">
        <w:rPr>
          <w:color w:val="000000"/>
        </w:rPr>
        <w:t>There, the</w:t>
      </w:r>
      <w:r w:rsidR="00585D41">
        <w:rPr>
          <w:color w:val="000000"/>
        </w:rPr>
        <w:t xml:space="preserve"> court considered a petition for a writ of prohibition </w:t>
      </w:r>
      <w:r w:rsidR="00BA767F">
        <w:rPr>
          <w:color w:val="000000"/>
        </w:rPr>
        <w:t xml:space="preserve">filed </w:t>
      </w:r>
      <w:r w:rsidR="00473AC7">
        <w:rPr>
          <w:color w:val="000000"/>
        </w:rPr>
        <w:t>by the State of California</w:t>
      </w:r>
      <w:r w:rsidR="00BB5469">
        <w:rPr>
          <w:color w:val="000000"/>
        </w:rPr>
        <w:t>, which sought</w:t>
      </w:r>
      <w:r w:rsidR="00473AC7">
        <w:rPr>
          <w:color w:val="000000"/>
        </w:rPr>
        <w:t xml:space="preserve"> </w:t>
      </w:r>
      <w:r w:rsidR="00585D41">
        <w:rPr>
          <w:color w:val="000000"/>
        </w:rPr>
        <w:t xml:space="preserve">to restrain the superior court from </w:t>
      </w:r>
      <w:r w:rsidR="001819F2">
        <w:rPr>
          <w:color w:val="000000"/>
        </w:rPr>
        <w:t>proceeding to trial</w:t>
      </w:r>
      <w:r w:rsidR="00585D41">
        <w:rPr>
          <w:color w:val="000000"/>
        </w:rPr>
        <w:t xml:space="preserve"> </w:t>
      </w:r>
      <w:r w:rsidR="00A017D7">
        <w:rPr>
          <w:color w:val="000000"/>
        </w:rPr>
        <w:t xml:space="preserve">on a claim </w:t>
      </w:r>
      <w:r w:rsidR="00585D41">
        <w:rPr>
          <w:color w:val="000000"/>
        </w:rPr>
        <w:t xml:space="preserve">seeking damages for personal injuries sustained on a state beach.  </w:t>
      </w:r>
      <w:r w:rsidR="001819F2">
        <w:rPr>
          <w:color w:val="000000"/>
        </w:rPr>
        <w:t xml:space="preserve">The state argued that it was immune from liability because the plaintiff’s evidence </w:t>
      </w:r>
      <w:r w:rsidR="00473AC7">
        <w:rPr>
          <w:color w:val="000000"/>
        </w:rPr>
        <w:t xml:space="preserve">could not establish the </w:t>
      </w:r>
      <w:r w:rsidR="002E4192">
        <w:rPr>
          <w:color w:val="000000"/>
        </w:rPr>
        <w:t>requisite elements of a</w:t>
      </w:r>
      <w:r w:rsidR="00473AC7">
        <w:rPr>
          <w:color w:val="000000"/>
        </w:rPr>
        <w:t xml:space="preserve"> dangerous condition of public property </w:t>
      </w:r>
      <w:r w:rsidR="002E4192">
        <w:rPr>
          <w:color w:val="000000"/>
        </w:rPr>
        <w:t xml:space="preserve">claim </w:t>
      </w:r>
      <w:r w:rsidR="00473AC7">
        <w:rPr>
          <w:color w:val="000000"/>
        </w:rPr>
        <w:t xml:space="preserve">under Government </w:t>
      </w:r>
      <w:r w:rsidR="00473AC7">
        <w:rPr>
          <w:color w:val="000000"/>
        </w:rPr>
        <w:lastRenderedPageBreak/>
        <w:t>Code section 835</w:t>
      </w:r>
      <w:r w:rsidR="00A47F55">
        <w:rPr>
          <w:color w:val="000000"/>
        </w:rPr>
        <w:t>.</w:t>
      </w:r>
      <w:r w:rsidR="001819F2">
        <w:rPr>
          <w:color w:val="000000"/>
        </w:rPr>
        <w:t xml:space="preserve">  </w:t>
      </w:r>
      <w:r w:rsidR="00585D41">
        <w:rPr>
          <w:color w:val="000000"/>
        </w:rPr>
        <w:t xml:space="preserve">Before </w:t>
      </w:r>
      <w:r w:rsidR="007B1B28">
        <w:rPr>
          <w:color w:val="000000"/>
        </w:rPr>
        <w:t>considering</w:t>
      </w:r>
      <w:r w:rsidR="00585D41">
        <w:rPr>
          <w:color w:val="000000"/>
        </w:rPr>
        <w:t xml:space="preserve"> the merits of t</w:t>
      </w:r>
      <w:r w:rsidR="00473AC7">
        <w:rPr>
          <w:color w:val="000000"/>
        </w:rPr>
        <w:t>he state’s argument</w:t>
      </w:r>
      <w:r w:rsidR="00585D41">
        <w:rPr>
          <w:color w:val="000000"/>
        </w:rPr>
        <w:t xml:space="preserve">, the </w:t>
      </w:r>
      <w:r w:rsidR="00BF0E00">
        <w:rPr>
          <w:color w:val="000000"/>
        </w:rPr>
        <w:t>Court of Appeal</w:t>
      </w:r>
      <w:r w:rsidR="00585D41">
        <w:rPr>
          <w:color w:val="000000"/>
        </w:rPr>
        <w:t xml:space="preserve"> first </w:t>
      </w:r>
      <w:r w:rsidR="007B1B28">
        <w:rPr>
          <w:color w:val="000000"/>
        </w:rPr>
        <w:t>addressed</w:t>
      </w:r>
      <w:r w:rsidR="001819F2">
        <w:rPr>
          <w:color w:val="000000"/>
        </w:rPr>
        <w:t xml:space="preserve"> the plaintiff’s </w:t>
      </w:r>
      <w:r w:rsidR="00BA767F">
        <w:rPr>
          <w:color w:val="000000"/>
        </w:rPr>
        <w:t>preliminary contention that prohibition was inappropriate to address this issue and that the state should instead be required to raise th</w:t>
      </w:r>
      <w:r w:rsidR="00813908">
        <w:rPr>
          <w:color w:val="000000"/>
        </w:rPr>
        <w:t xml:space="preserve">e issue on appeal.  </w:t>
      </w:r>
      <w:r w:rsidR="001819F2">
        <w:rPr>
          <w:color w:val="000000"/>
        </w:rPr>
        <w:t>(</w:t>
      </w:r>
      <w:proofErr w:type="spellStart"/>
      <w:r w:rsidR="001819F2" w:rsidRPr="00567286">
        <w:rPr>
          <w:i/>
          <w:color w:val="000000"/>
        </w:rPr>
        <w:t>Rodenhuis</w:t>
      </w:r>
      <w:proofErr w:type="spellEnd"/>
      <w:r w:rsidR="001819F2">
        <w:rPr>
          <w:color w:val="000000"/>
        </w:rPr>
        <w:t>, at p.</w:t>
      </w:r>
      <w:r w:rsidR="00456225">
        <w:rPr>
          <w:color w:val="000000"/>
        </w:rPr>
        <w:t> </w:t>
      </w:r>
      <w:r w:rsidR="001819F2">
        <w:rPr>
          <w:color w:val="000000"/>
        </w:rPr>
        <w:t xml:space="preserve">398.) </w:t>
      </w:r>
      <w:r w:rsidR="00813908">
        <w:rPr>
          <w:color w:val="000000"/>
        </w:rPr>
        <w:t xml:space="preserve"> </w:t>
      </w:r>
      <w:r w:rsidR="007B1B28">
        <w:rPr>
          <w:color w:val="000000"/>
        </w:rPr>
        <w:t>In rejecting this argument, t</w:t>
      </w:r>
      <w:r w:rsidR="00813908">
        <w:rPr>
          <w:color w:val="000000"/>
        </w:rPr>
        <w:t xml:space="preserve">he </w:t>
      </w:r>
      <w:proofErr w:type="spellStart"/>
      <w:r w:rsidR="00813908" w:rsidRPr="00567286">
        <w:rPr>
          <w:i/>
          <w:color w:val="000000"/>
        </w:rPr>
        <w:t>Rodenhuis</w:t>
      </w:r>
      <w:proofErr w:type="spellEnd"/>
      <w:r w:rsidR="00813908">
        <w:rPr>
          <w:color w:val="000000"/>
        </w:rPr>
        <w:t xml:space="preserve"> court re</w:t>
      </w:r>
      <w:r w:rsidR="007B1B28">
        <w:rPr>
          <w:color w:val="000000"/>
        </w:rPr>
        <w:t>asoned</w:t>
      </w:r>
      <w:r w:rsidR="00813908">
        <w:rPr>
          <w:color w:val="000000"/>
        </w:rPr>
        <w:t xml:space="preserve"> that “[</w:t>
      </w:r>
      <w:proofErr w:type="spellStart"/>
      <w:r w:rsidR="00813908">
        <w:rPr>
          <w:color w:val="000000"/>
        </w:rPr>
        <w:t>i</w:t>
      </w:r>
      <w:proofErr w:type="spellEnd"/>
      <w:r w:rsidR="00813908">
        <w:rPr>
          <w:color w:val="000000"/>
        </w:rPr>
        <w:t>]t is well established that the defense of sovereign immunity presents a jurisdictional question properly raised by prohibition</w:t>
      </w:r>
      <w:r w:rsidR="00BF0E00">
        <w:rPr>
          <w:color w:val="000000"/>
        </w:rPr>
        <w:t>.</w:t>
      </w:r>
      <w:r w:rsidR="00813908">
        <w:rPr>
          <w:color w:val="000000"/>
        </w:rPr>
        <w:t>”  (</w:t>
      </w:r>
      <w:r w:rsidR="009158C6" w:rsidRPr="009158C6">
        <w:rPr>
          <w:i/>
          <w:color w:val="000000"/>
        </w:rPr>
        <w:t>Ibid.</w:t>
      </w:r>
      <w:r w:rsidR="00813908">
        <w:rPr>
          <w:color w:val="000000"/>
        </w:rPr>
        <w:t>)</w:t>
      </w:r>
      <w:r w:rsidR="00BF0E00">
        <w:rPr>
          <w:color w:val="000000"/>
        </w:rPr>
        <w:t xml:space="preserve"> </w:t>
      </w:r>
      <w:r w:rsidR="00A47F55">
        <w:rPr>
          <w:color w:val="000000"/>
        </w:rPr>
        <w:t xml:space="preserve"> </w:t>
      </w:r>
      <w:r w:rsidR="008F7743">
        <w:rPr>
          <w:color w:val="000000"/>
        </w:rPr>
        <w:t>For that proposition, it relied</w:t>
      </w:r>
      <w:r w:rsidR="00BF0E00">
        <w:rPr>
          <w:color w:val="000000"/>
        </w:rPr>
        <w:t xml:space="preserve"> on </w:t>
      </w:r>
      <w:r w:rsidR="002E4192">
        <w:rPr>
          <w:color w:val="000000"/>
        </w:rPr>
        <w:t>this court’s</w:t>
      </w:r>
      <w:r w:rsidR="00BF0E00">
        <w:rPr>
          <w:color w:val="000000"/>
        </w:rPr>
        <w:t xml:space="preserve"> decision in</w:t>
      </w:r>
      <w:r w:rsidR="00813908">
        <w:rPr>
          <w:color w:val="000000"/>
        </w:rPr>
        <w:t xml:space="preserve"> </w:t>
      </w:r>
      <w:r w:rsidR="00BF0E00" w:rsidRPr="001D2647">
        <w:rPr>
          <w:i/>
          <w:color w:val="000000"/>
        </w:rPr>
        <w:t>People v. Superior Court</w:t>
      </w:r>
      <w:r w:rsidR="00BF0E00" w:rsidRPr="001D2647">
        <w:rPr>
          <w:color w:val="000000"/>
        </w:rPr>
        <w:t xml:space="preserve"> </w:t>
      </w:r>
      <w:r w:rsidR="004C73D5" w:rsidRPr="008F7743">
        <w:rPr>
          <w:color w:val="000000"/>
        </w:rPr>
        <w:t>(</w:t>
      </w:r>
      <w:r w:rsidR="004C73D5">
        <w:rPr>
          <w:i/>
          <w:color w:val="000000"/>
        </w:rPr>
        <w:t>Pierpont</w:t>
      </w:r>
      <w:r w:rsidR="004C73D5" w:rsidRPr="008F7743">
        <w:rPr>
          <w:color w:val="000000"/>
        </w:rPr>
        <w:t>)</w:t>
      </w:r>
      <w:r w:rsidR="004C73D5" w:rsidRPr="001D2647">
        <w:rPr>
          <w:color w:val="000000"/>
        </w:rPr>
        <w:t xml:space="preserve"> </w:t>
      </w:r>
      <w:r w:rsidR="00BF0E00" w:rsidRPr="001D2647">
        <w:rPr>
          <w:color w:val="000000"/>
        </w:rPr>
        <w:t>(1947) 29 Cal.2d 754</w:t>
      </w:r>
      <w:r w:rsidR="00BF0E00">
        <w:rPr>
          <w:color w:val="000000"/>
        </w:rPr>
        <w:t xml:space="preserve">, </w:t>
      </w:r>
      <w:r w:rsidR="00BF0E00" w:rsidRPr="001D2647">
        <w:rPr>
          <w:color w:val="000000"/>
        </w:rPr>
        <w:t xml:space="preserve">a case preceding both </w:t>
      </w:r>
      <w:proofErr w:type="spellStart"/>
      <w:r w:rsidR="00BF0E00" w:rsidRPr="001D2647">
        <w:rPr>
          <w:i/>
          <w:color w:val="000000"/>
        </w:rPr>
        <w:t>Muskopf</w:t>
      </w:r>
      <w:proofErr w:type="spellEnd"/>
      <w:r w:rsidR="00BF0E00" w:rsidRPr="001D2647">
        <w:rPr>
          <w:i/>
          <w:color w:val="000000"/>
        </w:rPr>
        <w:t xml:space="preserve"> </w:t>
      </w:r>
      <w:r w:rsidR="00BF0E00" w:rsidRPr="001D2647">
        <w:rPr>
          <w:color w:val="000000"/>
        </w:rPr>
        <w:t>and the GCA</w:t>
      </w:r>
      <w:r w:rsidR="007B1B28">
        <w:rPr>
          <w:color w:val="000000"/>
        </w:rPr>
        <w:t>,</w:t>
      </w:r>
      <w:r w:rsidR="00BF0E00">
        <w:rPr>
          <w:color w:val="000000"/>
        </w:rPr>
        <w:t xml:space="preserve"> in which we held that the defense of common law sovereign immunity “</w:t>
      </w:r>
      <w:r w:rsidR="00523860" w:rsidRPr="001D2647">
        <w:rPr>
          <w:color w:val="000000"/>
        </w:rPr>
        <w:t>presents a jurisdictional question</w:t>
      </w:r>
      <w:r w:rsidR="00E65E82" w:rsidRPr="001D2647">
        <w:rPr>
          <w:color w:val="000000"/>
        </w:rPr>
        <w:t xml:space="preserve">” </w:t>
      </w:r>
      <w:r w:rsidR="002E4192">
        <w:rPr>
          <w:color w:val="000000"/>
        </w:rPr>
        <w:t>properly addressed by prohibition</w:t>
      </w:r>
      <w:r w:rsidR="00E65E82" w:rsidRPr="001D2647">
        <w:rPr>
          <w:color w:val="000000"/>
        </w:rPr>
        <w:t>.</w:t>
      </w:r>
      <w:r w:rsidR="00ED01F2">
        <w:rPr>
          <w:color w:val="000000"/>
        </w:rPr>
        <w:t xml:space="preserve">  </w:t>
      </w:r>
      <w:r w:rsidR="00A33792">
        <w:rPr>
          <w:color w:val="000000"/>
        </w:rPr>
        <w:t>(</w:t>
      </w:r>
      <w:r w:rsidR="008F7743">
        <w:rPr>
          <w:i/>
          <w:color w:val="000000"/>
        </w:rPr>
        <w:t>Pierpont</w:t>
      </w:r>
      <w:r w:rsidR="00582EFD">
        <w:rPr>
          <w:color w:val="000000"/>
        </w:rPr>
        <w:t xml:space="preserve">, at p. 756; </w:t>
      </w:r>
      <w:proofErr w:type="spellStart"/>
      <w:r w:rsidR="00582EFD" w:rsidRPr="00582EFD">
        <w:rPr>
          <w:i/>
          <w:color w:val="000000"/>
        </w:rPr>
        <w:t>Rodenhuis</w:t>
      </w:r>
      <w:proofErr w:type="spellEnd"/>
      <w:r w:rsidR="00582EFD">
        <w:rPr>
          <w:color w:val="000000"/>
        </w:rPr>
        <w:t>, at p. 398.)</w:t>
      </w:r>
    </w:p>
    <w:p w14:paraId="548F063C" w14:textId="77777777" w:rsidR="00DD32F8" w:rsidRPr="001D2647" w:rsidRDefault="007418B7" w:rsidP="00D56C0F">
      <w:pPr>
        <w:ind w:firstLine="720"/>
        <w:rPr>
          <w:color w:val="000000"/>
        </w:rPr>
      </w:pPr>
      <w:r>
        <w:rPr>
          <w:color w:val="000000"/>
        </w:rPr>
        <w:t xml:space="preserve">Whatever the merits of </w:t>
      </w:r>
      <w:proofErr w:type="spellStart"/>
      <w:r>
        <w:rPr>
          <w:i/>
          <w:color w:val="000000"/>
        </w:rPr>
        <w:t>Rodenhuis</w:t>
      </w:r>
      <w:r>
        <w:rPr>
          <w:color w:val="000000"/>
        </w:rPr>
        <w:t>’</w:t>
      </w:r>
      <w:r w:rsidR="00511A15">
        <w:rPr>
          <w:color w:val="000000"/>
        </w:rPr>
        <w:t>s</w:t>
      </w:r>
      <w:proofErr w:type="spellEnd"/>
      <w:r w:rsidR="00511A15">
        <w:rPr>
          <w:color w:val="000000"/>
        </w:rPr>
        <w:t xml:space="preserve"> reasoning, its conclusion </w:t>
      </w:r>
      <w:r w:rsidRPr="001D2647">
        <w:rPr>
          <w:color w:val="000000"/>
        </w:rPr>
        <w:t xml:space="preserve">did not amount to a holding that sovereign immunity deprives a court of </w:t>
      </w:r>
      <w:r w:rsidRPr="001D2647">
        <w:rPr>
          <w:i/>
          <w:color w:val="000000"/>
        </w:rPr>
        <w:t xml:space="preserve">fundamental </w:t>
      </w:r>
      <w:proofErr w:type="gramStart"/>
      <w:r w:rsidRPr="001D2647">
        <w:rPr>
          <w:color w:val="000000"/>
        </w:rPr>
        <w:t>jurisdiction</w:t>
      </w:r>
      <w:proofErr w:type="gramEnd"/>
      <w:r w:rsidRPr="001D2647">
        <w:rPr>
          <w:color w:val="000000"/>
        </w:rPr>
        <w:t xml:space="preserve">, because prohibition </w:t>
      </w:r>
      <w:r w:rsidR="00511A15">
        <w:rPr>
          <w:color w:val="000000"/>
        </w:rPr>
        <w:t xml:space="preserve">is </w:t>
      </w:r>
      <w:r w:rsidRPr="001D2647">
        <w:rPr>
          <w:color w:val="000000"/>
        </w:rPr>
        <w:t xml:space="preserve">proper to address judicial action taken </w:t>
      </w:r>
      <w:r w:rsidRPr="003161CE">
        <w:rPr>
          <w:color w:val="000000"/>
        </w:rPr>
        <w:t>either</w:t>
      </w:r>
      <w:r w:rsidRPr="001D2647">
        <w:rPr>
          <w:i/>
          <w:color w:val="000000"/>
        </w:rPr>
        <w:t xml:space="preserve"> </w:t>
      </w:r>
      <w:r w:rsidRPr="001D2647">
        <w:rPr>
          <w:color w:val="000000"/>
        </w:rPr>
        <w:t xml:space="preserve">without jurisdiction </w:t>
      </w:r>
      <w:r w:rsidRPr="003161CE">
        <w:rPr>
          <w:color w:val="000000"/>
        </w:rPr>
        <w:t>or</w:t>
      </w:r>
      <w:r w:rsidRPr="001D2647">
        <w:rPr>
          <w:color w:val="000000"/>
        </w:rPr>
        <w:t xml:space="preserve"> in excess of jurisdiction.  (</w:t>
      </w:r>
      <w:r>
        <w:rPr>
          <w:color w:val="000000"/>
        </w:rPr>
        <w:t xml:space="preserve">Code Civ. Proc., § 1102; </w:t>
      </w:r>
      <w:proofErr w:type="spellStart"/>
      <w:r w:rsidRPr="00773516">
        <w:rPr>
          <w:i/>
          <w:color w:val="000000"/>
        </w:rPr>
        <w:t>Abelleira</w:t>
      </w:r>
      <w:proofErr w:type="spellEnd"/>
      <w:r>
        <w:rPr>
          <w:color w:val="000000"/>
        </w:rPr>
        <w:t xml:space="preserve">, </w:t>
      </w:r>
      <w:r w:rsidRPr="00773516">
        <w:rPr>
          <w:i/>
          <w:color w:val="000000"/>
        </w:rPr>
        <w:t>supra</w:t>
      </w:r>
      <w:r>
        <w:rPr>
          <w:color w:val="000000"/>
        </w:rPr>
        <w:t>, 17 Cal.2d at pp.</w:t>
      </w:r>
      <w:r w:rsidR="00456225">
        <w:rPr>
          <w:color w:val="000000"/>
        </w:rPr>
        <w:t> </w:t>
      </w:r>
      <w:r>
        <w:rPr>
          <w:color w:val="000000"/>
        </w:rPr>
        <w:t>287</w:t>
      </w:r>
      <w:r w:rsidR="009158C6">
        <w:t>–</w:t>
      </w:r>
      <w:r>
        <w:rPr>
          <w:color w:val="000000"/>
        </w:rPr>
        <w:t xml:space="preserve">291 [explaining that prohibition lies to restrain judicial acts taken </w:t>
      </w:r>
      <w:proofErr w:type="gramStart"/>
      <w:r>
        <w:rPr>
          <w:color w:val="000000"/>
        </w:rPr>
        <w:t>in excess of</w:t>
      </w:r>
      <w:proofErr w:type="gramEnd"/>
      <w:r>
        <w:rPr>
          <w:color w:val="000000"/>
        </w:rPr>
        <w:t xml:space="preserve"> jurisdiction and without jurisdiction, but not to correct mere errors of law].)  </w:t>
      </w:r>
      <w:r w:rsidRPr="001D2647">
        <w:rPr>
          <w:color w:val="000000"/>
        </w:rPr>
        <w:t xml:space="preserve">In deciding that the state could raise its defense of sovereign immunity by application for writ of prohibition, </w:t>
      </w:r>
      <w:r w:rsidR="007B1B28">
        <w:rPr>
          <w:color w:val="000000"/>
        </w:rPr>
        <w:t xml:space="preserve">the </w:t>
      </w:r>
      <w:proofErr w:type="spellStart"/>
      <w:r w:rsidR="0048259D" w:rsidRPr="00567286">
        <w:rPr>
          <w:i/>
          <w:color w:val="000000"/>
        </w:rPr>
        <w:t>Rodenhuis</w:t>
      </w:r>
      <w:proofErr w:type="spellEnd"/>
      <w:r w:rsidR="0048259D">
        <w:rPr>
          <w:color w:val="000000"/>
        </w:rPr>
        <w:t xml:space="preserve"> </w:t>
      </w:r>
      <w:r w:rsidR="007B1B28">
        <w:rPr>
          <w:color w:val="000000"/>
        </w:rPr>
        <w:t xml:space="preserve">court </w:t>
      </w:r>
      <w:r w:rsidR="001B3C3B">
        <w:rPr>
          <w:color w:val="000000"/>
        </w:rPr>
        <w:t>had no need or occasion to determine</w:t>
      </w:r>
      <w:r w:rsidR="0048259D">
        <w:rPr>
          <w:color w:val="000000"/>
        </w:rPr>
        <w:t xml:space="preserve"> </w:t>
      </w:r>
      <w:r w:rsidR="001B3C3B">
        <w:rPr>
          <w:color w:val="000000"/>
        </w:rPr>
        <w:t xml:space="preserve">whether governmental immunity </w:t>
      </w:r>
      <w:r w:rsidR="007B77B1" w:rsidRPr="001D2647">
        <w:rPr>
          <w:color w:val="000000"/>
        </w:rPr>
        <w:t xml:space="preserve">divests a court of </w:t>
      </w:r>
      <w:r w:rsidR="007B77B1" w:rsidRPr="0090710F">
        <w:rPr>
          <w:color w:val="000000"/>
        </w:rPr>
        <w:t>fundamental</w:t>
      </w:r>
      <w:r w:rsidR="007B77B1" w:rsidRPr="001D2647">
        <w:rPr>
          <w:color w:val="000000"/>
        </w:rPr>
        <w:t xml:space="preserve"> </w:t>
      </w:r>
      <w:proofErr w:type="gramStart"/>
      <w:r w:rsidR="00417D3A" w:rsidRPr="001D2647">
        <w:rPr>
          <w:color w:val="000000"/>
        </w:rPr>
        <w:t>jurisdiction</w:t>
      </w:r>
      <w:proofErr w:type="gramEnd"/>
      <w:r w:rsidR="007B77B1" w:rsidRPr="001D2647">
        <w:rPr>
          <w:color w:val="000000"/>
        </w:rPr>
        <w:t>.</w:t>
      </w:r>
    </w:p>
    <w:p w14:paraId="0DEF05F0" w14:textId="77777777" w:rsidR="00F76469" w:rsidRPr="001D2647" w:rsidRDefault="00D56C0F" w:rsidP="001D2647">
      <w:pPr>
        <w:ind w:firstLine="720"/>
      </w:pPr>
      <w:r>
        <w:rPr>
          <w:color w:val="000000"/>
        </w:rPr>
        <w:t>The Courts of Appeal that have held that statutory immunities in the GCA are jurisdictional in the fundamental sense have done so only by r</w:t>
      </w:r>
      <w:r w:rsidR="007B77B1" w:rsidRPr="001D2647">
        <w:rPr>
          <w:color w:val="000000"/>
        </w:rPr>
        <w:t xml:space="preserve">emoving </w:t>
      </w:r>
      <w:proofErr w:type="spellStart"/>
      <w:r w:rsidR="00D3373D" w:rsidRPr="00567286">
        <w:rPr>
          <w:i/>
          <w:color w:val="000000"/>
        </w:rPr>
        <w:t>Rodenhuis</w:t>
      </w:r>
      <w:r w:rsidR="00D3373D">
        <w:rPr>
          <w:color w:val="000000"/>
        </w:rPr>
        <w:t>’s</w:t>
      </w:r>
      <w:proofErr w:type="spellEnd"/>
      <w:r w:rsidR="00D3373D" w:rsidRPr="001D2647">
        <w:rPr>
          <w:color w:val="000000"/>
        </w:rPr>
        <w:t xml:space="preserve"> </w:t>
      </w:r>
      <w:r w:rsidR="007B77B1" w:rsidRPr="001D2647">
        <w:rPr>
          <w:color w:val="000000"/>
        </w:rPr>
        <w:t xml:space="preserve">statement </w:t>
      </w:r>
      <w:r w:rsidR="00B12380" w:rsidRPr="001D2647">
        <w:rPr>
          <w:color w:val="000000"/>
        </w:rPr>
        <w:t>a</w:t>
      </w:r>
      <w:r w:rsidR="007B77B1" w:rsidRPr="001D2647">
        <w:rPr>
          <w:color w:val="000000"/>
        </w:rPr>
        <w:t xml:space="preserve">bout the jurisdictional nature of </w:t>
      </w:r>
      <w:r w:rsidR="00D3373D">
        <w:rPr>
          <w:color w:val="000000"/>
        </w:rPr>
        <w:t>governmental</w:t>
      </w:r>
      <w:r w:rsidR="00D3373D" w:rsidRPr="001D2647">
        <w:rPr>
          <w:color w:val="000000"/>
        </w:rPr>
        <w:t xml:space="preserve"> </w:t>
      </w:r>
      <w:r w:rsidR="007B77B1" w:rsidRPr="001D2647">
        <w:rPr>
          <w:color w:val="000000"/>
        </w:rPr>
        <w:t xml:space="preserve">immunity from </w:t>
      </w:r>
      <w:r>
        <w:rPr>
          <w:color w:val="000000"/>
        </w:rPr>
        <w:lastRenderedPageBreak/>
        <w:t xml:space="preserve">its </w:t>
      </w:r>
      <w:r w:rsidR="007B77B1" w:rsidRPr="001D2647">
        <w:rPr>
          <w:color w:val="000000"/>
        </w:rPr>
        <w:t>proper context</w:t>
      </w:r>
      <w:r w:rsidR="00375D1E">
        <w:rPr>
          <w:color w:val="000000"/>
        </w:rPr>
        <w:t xml:space="preserve">.  </w:t>
      </w:r>
      <w:proofErr w:type="spellStart"/>
      <w:r w:rsidR="00D3373D">
        <w:rPr>
          <w:i/>
        </w:rPr>
        <w:t>Rodenhuis</w:t>
      </w:r>
      <w:proofErr w:type="spellEnd"/>
      <w:r w:rsidR="00D3373D" w:rsidRPr="001D2647">
        <w:rPr>
          <w:i/>
        </w:rPr>
        <w:t xml:space="preserve"> </w:t>
      </w:r>
      <w:r w:rsidR="0057738F" w:rsidRPr="001D2647">
        <w:t>did not hold</w:t>
      </w:r>
      <w:r w:rsidR="00375D1E">
        <w:t xml:space="preserve"> that GCA immunities are jurisdictional in the fundamental sense, such that they cannot be waived or forfeited</w:t>
      </w:r>
      <w:r w:rsidR="0057738F" w:rsidRPr="001D2647">
        <w:t xml:space="preserve">, and for the reasons given above, </w:t>
      </w:r>
      <w:r w:rsidR="001B0FB2">
        <w:t>we</w:t>
      </w:r>
      <w:r w:rsidR="0057738F" w:rsidRPr="001D2647">
        <w:t xml:space="preserve"> </w:t>
      </w:r>
      <w:r w:rsidR="001F22A3">
        <w:t>reject that conclusion</w:t>
      </w:r>
      <w:r w:rsidR="0057738F" w:rsidRPr="001D2647">
        <w:t>.</w:t>
      </w:r>
      <w:r w:rsidR="00B12380" w:rsidRPr="001D2647">
        <w:rPr>
          <w:rStyle w:val="FootnoteReference"/>
        </w:rPr>
        <w:footnoteReference w:id="9"/>
      </w:r>
      <w:r w:rsidR="00B12380" w:rsidRPr="001D2647">
        <w:t xml:space="preserve"> </w:t>
      </w:r>
    </w:p>
    <w:p w14:paraId="25C38F5F" w14:textId="77777777" w:rsidR="00A60DA7" w:rsidRPr="001D2647" w:rsidRDefault="003B3812" w:rsidP="00C05156">
      <w:pPr>
        <w:jc w:val="center"/>
        <w:outlineLvl w:val="0"/>
        <w:rPr>
          <w:b/>
        </w:rPr>
      </w:pPr>
      <w:r w:rsidRPr="001D2647">
        <w:rPr>
          <w:b/>
        </w:rPr>
        <w:t>III</w:t>
      </w:r>
      <w:r w:rsidR="00F76469" w:rsidRPr="001D2647">
        <w:rPr>
          <w:b/>
        </w:rPr>
        <w:t>.</w:t>
      </w:r>
    </w:p>
    <w:p w14:paraId="5A5FF86A" w14:textId="77777777" w:rsidR="00E31446" w:rsidRPr="001D2647" w:rsidRDefault="001434AD" w:rsidP="001D2647">
      <w:pPr>
        <w:ind w:firstLine="720"/>
      </w:pPr>
      <w:r w:rsidRPr="001D2647">
        <w:t xml:space="preserve">Having determined that section 850.4 </w:t>
      </w:r>
      <w:r w:rsidR="005E2E3F" w:rsidRPr="001D2647">
        <w:t xml:space="preserve">immunity </w:t>
      </w:r>
      <w:r w:rsidR="00A860AB" w:rsidRPr="001D2647">
        <w:t xml:space="preserve">operates </w:t>
      </w:r>
      <w:r w:rsidR="00CB430D" w:rsidRPr="001D2647">
        <w:t xml:space="preserve">as </w:t>
      </w:r>
      <w:r w:rsidR="00FD594B" w:rsidRPr="001D2647">
        <w:t>an affirmative defense</w:t>
      </w:r>
      <w:r w:rsidR="000B3119" w:rsidRPr="001D2647">
        <w:t xml:space="preserve"> and not a jurisdictional bar, </w:t>
      </w:r>
      <w:r w:rsidR="00A45F54" w:rsidRPr="001D2647">
        <w:t xml:space="preserve">the question remains whether </w:t>
      </w:r>
      <w:r w:rsidR="00A860AB" w:rsidRPr="001D2647">
        <w:t xml:space="preserve">defendants </w:t>
      </w:r>
      <w:r w:rsidR="00311FC6">
        <w:t xml:space="preserve">in this case </w:t>
      </w:r>
      <w:r w:rsidR="00A860AB" w:rsidRPr="001D2647">
        <w:t xml:space="preserve">adequately </w:t>
      </w:r>
      <w:r w:rsidR="0089507A" w:rsidRPr="001D2647">
        <w:t xml:space="preserve">invoked </w:t>
      </w:r>
      <w:r w:rsidR="00A860AB" w:rsidRPr="001D2647">
        <w:t xml:space="preserve">the immunity </w:t>
      </w:r>
      <w:r w:rsidR="00B35BD6">
        <w:t xml:space="preserve">in their answer and, if they did not, whether </w:t>
      </w:r>
      <w:r w:rsidR="006A6134">
        <w:t>the defense</w:t>
      </w:r>
      <w:r w:rsidR="00B35BD6">
        <w:t xml:space="preserve"> should be deemed </w:t>
      </w:r>
      <w:r w:rsidR="00496185">
        <w:t xml:space="preserve">waived or </w:t>
      </w:r>
      <w:r w:rsidR="00B35BD6">
        <w:t>forfeited.</w:t>
      </w:r>
    </w:p>
    <w:p w14:paraId="2EC9F099" w14:textId="7507B8BA" w:rsidR="004D3D91" w:rsidRDefault="00E31446" w:rsidP="00B21015">
      <w:pPr>
        <w:ind w:firstLine="720"/>
      </w:pPr>
      <w:r w:rsidRPr="001D2647">
        <w:t xml:space="preserve">Defendants </w:t>
      </w:r>
      <w:r w:rsidR="008B524B">
        <w:t>maintain</w:t>
      </w:r>
      <w:r w:rsidRPr="001D2647">
        <w:t xml:space="preserve"> that they raise</w:t>
      </w:r>
      <w:r w:rsidR="00B35BD6">
        <w:t>d</w:t>
      </w:r>
      <w:r w:rsidRPr="001D2647">
        <w:t xml:space="preserve"> the immunity in their </w:t>
      </w:r>
      <w:r w:rsidR="004A7D2D" w:rsidRPr="001D2647">
        <w:t xml:space="preserve">answer, when, in </w:t>
      </w:r>
      <w:r w:rsidR="004D3D91" w:rsidRPr="001D2647">
        <w:t xml:space="preserve">their </w:t>
      </w:r>
      <w:r w:rsidR="004C73D5">
        <w:t>f</w:t>
      </w:r>
      <w:r w:rsidR="004D3D91" w:rsidRPr="001D2647">
        <w:t xml:space="preserve">ifteenth </w:t>
      </w:r>
      <w:r w:rsidR="004C73D5">
        <w:t>a</w:t>
      </w:r>
      <w:r w:rsidR="004D3D91" w:rsidRPr="001D2647">
        <w:t xml:space="preserve">ffirmative </w:t>
      </w:r>
      <w:r w:rsidR="004C73D5">
        <w:t>d</w:t>
      </w:r>
      <w:r w:rsidR="004D3D91" w:rsidRPr="001D2647">
        <w:t xml:space="preserve">efense, </w:t>
      </w:r>
      <w:r w:rsidR="004A7D2D" w:rsidRPr="001D2647">
        <w:t xml:space="preserve">they claimed to </w:t>
      </w:r>
      <w:r w:rsidR="004D3D91" w:rsidRPr="001D2647">
        <w:t>“assert all defenses and rights granted to them by the provisions of Government Code sections 810 through 996.6, inclusive.”</w:t>
      </w:r>
      <w:r w:rsidR="009665B4" w:rsidRPr="001D2647">
        <w:t xml:space="preserve">  </w:t>
      </w:r>
      <w:r w:rsidR="004D3D91" w:rsidRPr="001D2647">
        <w:t xml:space="preserve">They suggest that this citation to the entire GCA was </w:t>
      </w:r>
      <w:proofErr w:type="gramStart"/>
      <w:r w:rsidR="004D3D91" w:rsidRPr="001D2647">
        <w:t>sufficient</w:t>
      </w:r>
      <w:proofErr w:type="gramEnd"/>
      <w:r w:rsidR="004D3D91" w:rsidRPr="001D2647">
        <w:t xml:space="preserve"> to </w:t>
      </w:r>
      <w:r w:rsidR="000C0BA6" w:rsidRPr="001D2647">
        <w:t xml:space="preserve">raise section 850.4 as an affirmative defense and </w:t>
      </w:r>
      <w:r w:rsidR="004D3D91" w:rsidRPr="001D2647">
        <w:t xml:space="preserve">put </w:t>
      </w:r>
      <w:r w:rsidR="00961C2A">
        <w:t>Quigley</w:t>
      </w:r>
      <w:r w:rsidR="00961C2A" w:rsidRPr="001D2647">
        <w:t xml:space="preserve"> </w:t>
      </w:r>
      <w:r w:rsidR="004D3D91" w:rsidRPr="001D2647">
        <w:t xml:space="preserve">on notice that they intended to rely on </w:t>
      </w:r>
      <w:r w:rsidR="000C0BA6" w:rsidRPr="001D2647">
        <w:t>it</w:t>
      </w:r>
      <w:r w:rsidR="004D3D91" w:rsidRPr="001D2647">
        <w:t>.</w:t>
      </w:r>
      <w:r w:rsidR="00D514AC" w:rsidRPr="001D2647">
        <w:t xml:space="preserve"> </w:t>
      </w:r>
      <w:r w:rsidR="004D3D91" w:rsidRPr="001D2647">
        <w:t xml:space="preserve"> </w:t>
      </w:r>
      <w:r w:rsidR="000E1DFD" w:rsidRPr="001D2647">
        <w:t>I</w:t>
      </w:r>
      <w:r w:rsidR="00FD594B" w:rsidRPr="001D2647">
        <w:t xml:space="preserve">n denying </w:t>
      </w:r>
      <w:r w:rsidR="00961C2A">
        <w:t>Quigley</w:t>
      </w:r>
      <w:r w:rsidR="00961C2A" w:rsidRPr="001D2647">
        <w:t xml:space="preserve">’s </w:t>
      </w:r>
      <w:r w:rsidR="00FD594B" w:rsidRPr="001D2647">
        <w:t xml:space="preserve">motion for a new trial, the </w:t>
      </w:r>
      <w:r w:rsidR="00B35BD6">
        <w:t xml:space="preserve">trial </w:t>
      </w:r>
      <w:r w:rsidR="00FD594B" w:rsidRPr="001D2647">
        <w:t xml:space="preserve">court </w:t>
      </w:r>
      <w:r w:rsidR="000E1DFD" w:rsidRPr="001D2647">
        <w:t xml:space="preserve">accepted this argument, </w:t>
      </w:r>
      <w:r w:rsidR="0071688F" w:rsidRPr="001D2647">
        <w:t xml:space="preserve">ruling </w:t>
      </w:r>
      <w:r w:rsidR="00FD594B" w:rsidRPr="001D2647">
        <w:t xml:space="preserve">that defendants’ </w:t>
      </w:r>
      <w:r w:rsidR="000C0BA6" w:rsidRPr="001D2647">
        <w:t>“</w:t>
      </w:r>
      <w:r w:rsidR="00FD594B" w:rsidRPr="001D2647">
        <w:t xml:space="preserve">general allegation that </w:t>
      </w:r>
      <w:r w:rsidR="000C0BA6" w:rsidRPr="001D2647">
        <w:t>[</w:t>
      </w:r>
      <w:r w:rsidR="00FD594B" w:rsidRPr="001D2647">
        <w:t>they</w:t>
      </w:r>
      <w:r w:rsidR="000C0BA6" w:rsidRPr="001D2647">
        <w:t>]</w:t>
      </w:r>
      <w:r w:rsidR="00FD594B" w:rsidRPr="001D2647">
        <w:t xml:space="preserve"> were immune from liability as public entities and public employees</w:t>
      </w:r>
      <w:r w:rsidR="000C0BA6" w:rsidRPr="001D2647">
        <w:t>”</w:t>
      </w:r>
      <w:r w:rsidR="00FD594B" w:rsidRPr="001D2647">
        <w:t xml:space="preserve"> </w:t>
      </w:r>
      <w:r w:rsidR="00C35C5A" w:rsidRPr="001D2647">
        <w:t xml:space="preserve">in their answer </w:t>
      </w:r>
      <w:r w:rsidR="00FD594B" w:rsidRPr="001D2647">
        <w:t xml:space="preserve">was </w:t>
      </w:r>
      <w:proofErr w:type="gramStart"/>
      <w:r w:rsidR="00FD594B" w:rsidRPr="001D2647">
        <w:t>sufficient</w:t>
      </w:r>
      <w:proofErr w:type="gramEnd"/>
      <w:r w:rsidR="000C0BA6" w:rsidRPr="001D2647">
        <w:t xml:space="preserve"> to assert section </w:t>
      </w:r>
      <w:r w:rsidR="000C0BA6" w:rsidRPr="001D2647">
        <w:lastRenderedPageBreak/>
        <w:t>850.4</w:t>
      </w:r>
      <w:r w:rsidR="00FD594B" w:rsidRPr="001D2647">
        <w:t>.</w:t>
      </w:r>
      <w:r w:rsidR="00BC2727">
        <w:t xml:space="preserve">  </w:t>
      </w:r>
      <w:r w:rsidR="00B35BD6">
        <w:t>Quigley</w:t>
      </w:r>
      <w:r w:rsidR="00BC2727">
        <w:t xml:space="preserve"> counters that “[t]he primary function of a pleading is to give the other party notice so that it may prepare its case”</w:t>
      </w:r>
      <w:r w:rsidR="0064569B">
        <w:t xml:space="preserve"> (</w:t>
      </w:r>
      <w:r w:rsidR="0064569B" w:rsidRPr="00567286">
        <w:rPr>
          <w:i/>
        </w:rPr>
        <w:t>Harris v. City of Santa Monica</w:t>
      </w:r>
      <w:r w:rsidR="0064569B">
        <w:t xml:space="preserve"> (2013) 56 Cal.4th 203, 240), and </w:t>
      </w:r>
      <w:r w:rsidR="003A4D87">
        <w:t xml:space="preserve">she </w:t>
      </w:r>
      <w:r w:rsidR="0064569B">
        <w:t xml:space="preserve">argues that defendants’ whole-act pleading provided insufficient notice that </w:t>
      </w:r>
      <w:r w:rsidR="00481C21">
        <w:t>defendants</w:t>
      </w:r>
      <w:r w:rsidR="0064569B">
        <w:t xml:space="preserve"> intended to rely on the affirmative defense provided by section 850.4</w:t>
      </w:r>
      <w:r w:rsidR="00481C21">
        <w:t xml:space="preserve">, given the </w:t>
      </w:r>
      <w:r w:rsidR="00C42ECF">
        <w:t>50</w:t>
      </w:r>
      <w:r w:rsidR="00481C21">
        <w:t>-plus immunity provisions contained in the Act</w:t>
      </w:r>
      <w:r w:rsidR="0064569B">
        <w:t>.</w:t>
      </w:r>
    </w:p>
    <w:p w14:paraId="141FDB40" w14:textId="66551361" w:rsidR="00634AA1" w:rsidRDefault="0035162C" w:rsidP="00EC3B3E">
      <w:pPr>
        <w:ind w:firstLine="720"/>
      </w:pPr>
      <w:r>
        <w:t>The Court of Appeal has yet to consider th</w:t>
      </w:r>
      <w:r w:rsidR="0064569B">
        <w:t>ese</w:t>
      </w:r>
      <w:r>
        <w:t xml:space="preserve"> argument</w:t>
      </w:r>
      <w:r w:rsidR="0064569B">
        <w:t>s</w:t>
      </w:r>
      <w:r>
        <w:t xml:space="preserve">, </w:t>
      </w:r>
      <w:r w:rsidR="0064569B">
        <w:t xml:space="preserve">as it upheld the trial court’s decision to entertain defendants’ </w:t>
      </w:r>
      <w:r w:rsidR="00481C21">
        <w:t xml:space="preserve">assertion of </w:t>
      </w:r>
      <w:r w:rsidR="0064569B">
        <w:t>section 850.4</w:t>
      </w:r>
      <w:r w:rsidR="00481C21">
        <w:t xml:space="preserve"> immunity</w:t>
      </w:r>
      <w:r w:rsidR="0064569B">
        <w:t xml:space="preserve"> </w:t>
      </w:r>
      <w:r w:rsidR="00481C21">
        <w:t>solely</w:t>
      </w:r>
      <w:r w:rsidR="0064569B">
        <w:t xml:space="preserve"> on the basis that </w:t>
      </w:r>
      <w:r w:rsidR="00481C21">
        <w:t>the</w:t>
      </w:r>
      <w:r w:rsidR="0064569B">
        <w:t xml:space="preserve"> immunity is jurisdiction</w:t>
      </w:r>
      <w:r w:rsidR="00481C21">
        <w:t>al</w:t>
      </w:r>
      <w:r w:rsidR="0064569B">
        <w:t xml:space="preserve"> </w:t>
      </w:r>
      <w:r w:rsidR="00F3279D">
        <w:t xml:space="preserve">and </w:t>
      </w:r>
      <w:r w:rsidR="0064569B">
        <w:t xml:space="preserve">may be raised at any time. </w:t>
      </w:r>
      <w:r w:rsidR="00EC3B3E">
        <w:t xml:space="preserve"> </w:t>
      </w:r>
      <w:r w:rsidR="007A248C">
        <w:t xml:space="preserve">Having rejected that conclusion, we will </w:t>
      </w:r>
      <w:r>
        <w:t xml:space="preserve">remand the case so </w:t>
      </w:r>
      <w:r w:rsidR="00481C21">
        <w:t>the Court of Appeal</w:t>
      </w:r>
      <w:r>
        <w:t xml:space="preserve"> may address the</w:t>
      </w:r>
      <w:r w:rsidR="00481C21">
        <w:t xml:space="preserve"> </w:t>
      </w:r>
      <w:r w:rsidR="00065F0C">
        <w:t xml:space="preserve">parties’ </w:t>
      </w:r>
      <w:r w:rsidR="007A248C">
        <w:t xml:space="preserve">remaining </w:t>
      </w:r>
      <w:r w:rsidR="00065F0C">
        <w:t xml:space="preserve">arguments </w:t>
      </w:r>
      <w:r>
        <w:t>in the first instance.</w:t>
      </w:r>
      <w:r w:rsidR="00EC3B3E">
        <w:t xml:space="preserve">  </w:t>
      </w:r>
      <w:r w:rsidR="007A248C">
        <w:t xml:space="preserve">Specifically, </w:t>
      </w:r>
      <w:r w:rsidR="00065F0C">
        <w:t xml:space="preserve">assuming the issue is adequately preserved, the court must determine </w:t>
      </w:r>
      <w:r w:rsidR="00F3279D">
        <w:t xml:space="preserve">whether defendants’ whole-act pleading in the </w:t>
      </w:r>
      <w:r w:rsidR="004C73D5">
        <w:t>f</w:t>
      </w:r>
      <w:r w:rsidR="00F3279D">
        <w:t xml:space="preserve">ifteenth </w:t>
      </w:r>
      <w:r w:rsidR="004C73D5">
        <w:t>a</w:t>
      </w:r>
      <w:r w:rsidR="00F3279D">
        <w:t xml:space="preserve">ffirmative </w:t>
      </w:r>
      <w:r w:rsidR="004C73D5">
        <w:t>d</w:t>
      </w:r>
      <w:r w:rsidR="00F3279D">
        <w:t xml:space="preserve">efense sufficiently raised the defense provided by section 850.4, </w:t>
      </w:r>
      <w:r w:rsidR="00B35BD6">
        <w:t>in light of</w:t>
      </w:r>
      <w:r w:rsidR="00F3279D">
        <w:t xml:space="preserve"> the requirements of Code of Civil Procedure section 431.30, subdivision (g) and the general notice purposes of our pleading rules.  If the Court of Appeal determines th</w:t>
      </w:r>
      <w:r w:rsidR="007A248C">
        <w:t>at</w:t>
      </w:r>
      <w:r w:rsidR="00F3279D">
        <w:t xml:space="preserve"> </w:t>
      </w:r>
      <w:r w:rsidR="007A248C">
        <w:t xml:space="preserve">section 850.4 immunity </w:t>
      </w:r>
      <w:r w:rsidR="00F3279D">
        <w:t xml:space="preserve">was not </w:t>
      </w:r>
      <w:r w:rsidR="007A248C">
        <w:t>adequately raised in defendants</w:t>
      </w:r>
      <w:r w:rsidR="00C42ECF">
        <w:t>’</w:t>
      </w:r>
      <w:r w:rsidR="007A248C">
        <w:t xml:space="preserve"> answer</w:t>
      </w:r>
      <w:r w:rsidR="00F3279D">
        <w:t xml:space="preserve">, </w:t>
      </w:r>
      <w:r w:rsidR="00065F0C">
        <w:t xml:space="preserve">the case </w:t>
      </w:r>
      <w:r w:rsidR="00F3279D">
        <w:t xml:space="preserve">should </w:t>
      </w:r>
      <w:r w:rsidR="00065F0C">
        <w:t xml:space="preserve">be </w:t>
      </w:r>
      <w:r w:rsidR="00F3279D">
        <w:t>remand</w:t>
      </w:r>
      <w:r w:rsidR="00065F0C">
        <w:t>ed</w:t>
      </w:r>
      <w:r w:rsidR="00F3279D">
        <w:t xml:space="preserve"> to </w:t>
      </w:r>
      <w:r w:rsidR="00065F0C">
        <w:t xml:space="preserve">permit the trial court to decide whether to </w:t>
      </w:r>
      <w:r w:rsidR="00F3279D">
        <w:t xml:space="preserve">exercise its discretion to allow the belated assertion of the defense after the commencement of the trial.  </w:t>
      </w:r>
      <w:r w:rsidR="009C44DF">
        <w:t xml:space="preserve">(See </w:t>
      </w:r>
      <w:r w:rsidR="009C44DF" w:rsidRPr="0049087E">
        <w:rPr>
          <w:i/>
        </w:rPr>
        <w:t>Moss Estate Co. v. Adler</w:t>
      </w:r>
      <w:r w:rsidR="009C44DF">
        <w:t xml:space="preserve"> (1953) 41 Cal.2d 581, 585 [“[W]</w:t>
      </w:r>
      <w:proofErr w:type="spellStart"/>
      <w:r w:rsidR="009C44DF">
        <w:t>hether</w:t>
      </w:r>
      <w:proofErr w:type="spellEnd"/>
      <w:r w:rsidR="009C44DF">
        <w:t xml:space="preserve"> the filing of an amended pleading should be allowed at the time of trial is ordinarily committed to the sound discretion of the trial court.”].)</w:t>
      </w:r>
    </w:p>
    <w:p w14:paraId="68D55FE1" w14:textId="77777777" w:rsidR="00634AA1" w:rsidRDefault="00634AA1">
      <w:pPr>
        <w:spacing w:after="0" w:line="240" w:lineRule="auto"/>
        <w:jc w:val="left"/>
      </w:pPr>
      <w:r>
        <w:br w:type="page"/>
      </w:r>
    </w:p>
    <w:p w14:paraId="252AEC89" w14:textId="77777777" w:rsidR="00924D3F" w:rsidRPr="001D2647" w:rsidRDefault="009831C2" w:rsidP="00C05156">
      <w:pPr>
        <w:jc w:val="center"/>
        <w:outlineLvl w:val="0"/>
        <w:rPr>
          <w:b/>
        </w:rPr>
      </w:pPr>
      <w:r w:rsidRPr="001D2647">
        <w:rPr>
          <w:b/>
        </w:rPr>
        <w:lastRenderedPageBreak/>
        <w:t>I</w:t>
      </w:r>
      <w:r w:rsidR="004467A6" w:rsidRPr="001D2647">
        <w:rPr>
          <w:b/>
        </w:rPr>
        <w:t>V</w:t>
      </w:r>
      <w:r w:rsidR="007478F1" w:rsidRPr="001D2647">
        <w:rPr>
          <w:b/>
        </w:rPr>
        <w:t>.</w:t>
      </w:r>
    </w:p>
    <w:p w14:paraId="7AC105C7" w14:textId="77777777" w:rsidR="002E1AC5" w:rsidRPr="001D2647" w:rsidRDefault="002E1AC5" w:rsidP="001D2647">
      <w:r w:rsidRPr="001D2647">
        <w:tab/>
      </w:r>
      <w:r w:rsidR="00481C21">
        <w:t>We</w:t>
      </w:r>
      <w:r w:rsidR="005618E5" w:rsidRPr="001D2647">
        <w:t xml:space="preserve"> reverse the judgment of the </w:t>
      </w:r>
      <w:r w:rsidR="00F305B0" w:rsidRPr="001D2647">
        <w:t>C</w:t>
      </w:r>
      <w:r w:rsidR="005618E5" w:rsidRPr="001D2647">
        <w:t xml:space="preserve">ourt of </w:t>
      </w:r>
      <w:r w:rsidR="00F305B0" w:rsidRPr="001D2647">
        <w:t>A</w:t>
      </w:r>
      <w:r w:rsidR="005618E5" w:rsidRPr="001D2647">
        <w:t xml:space="preserve">ppeal and remand </w:t>
      </w:r>
      <w:r w:rsidR="00095B94" w:rsidRPr="001D2647">
        <w:t>f</w:t>
      </w:r>
      <w:r w:rsidR="005618E5" w:rsidRPr="001D2647">
        <w:t xml:space="preserve">or </w:t>
      </w:r>
      <w:r w:rsidR="009B74CD" w:rsidRPr="001D2647">
        <w:t xml:space="preserve">further </w:t>
      </w:r>
      <w:r w:rsidR="005618E5" w:rsidRPr="001D2647">
        <w:t xml:space="preserve">proceedings </w:t>
      </w:r>
      <w:proofErr w:type="gramStart"/>
      <w:r w:rsidR="005618E5" w:rsidRPr="001D2647">
        <w:t>not inconsistent</w:t>
      </w:r>
      <w:proofErr w:type="gramEnd"/>
      <w:r w:rsidR="005618E5" w:rsidRPr="001D2647">
        <w:t xml:space="preserve"> with this opinion. </w:t>
      </w:r>
      <w:r w:rsidR="00481C21">
        <w:t xml:space="preserve"> </w:t>
      </w:r>
    </w:p>
    <w:p w14:paraId="5A07A478" w14:textId="77777777" w:rsidR="004B5A19" w:rsidRPr="001D2647" w:rsidRDefault="004B5A19" w:rsidP="001D2647"/>
    <w:p w14:paraId="723D6F20" w14:textId="77777777" w:rsidR="004B5A19" w:rsidRDefault="004B5A19" w:rsidP="00C05156">
      <w:pPr>
        <w:outlineLvl w:val="0"/>
        <w:rPr>
          <w:b/>
        </w:rPr>
      </w:pPr>
      <w:r w:rsidRPr="001D2647">
        <w:tab/>
      </w:r>
      <w:r w:rsidRPr="001D2647">
        <w:tab/>
      </w:r>
      <w:r w:rsidRPr="001D2647">
        <w:tab/>
      </w:r>
      <w:r w:rsidRPr="001D2647">
        <w:tab/>
      </w:r>
      <w:r w:rsidR="00C42ECF">
        <w:tab/>
      </w:r>
      <w:r w:rsidR="00C42ECF">
        <w:tab/>
      </w:r>
      <w:r w:rsidRPr="001D2647">
        <w:tab/>
      </w:r>
      <w:r w:rsidRPr="001D2647">
        <w:tab/>
      </w:r>
      <w:r w:rsidRPr="001D2647">
        <w:rPr>
          <w:b/>
        </w:rPr>
        <w:t>KRUGER, J.</w:t>
      </w:r>
    </w:p>
    <w:p w14:paraId="39DD0F2B" w14:textId="77777777" w:rsidR="00456225" w:rsidRPr="001D2647" w:rsidRDefault="00456225" w:rsidP="00C05156">
      <w:pPr>
        <w:outlineLvl w:val="0"/>
        <w:rPr>
          <w:b/>
        </w:rPr>
      </w:pPr>
    </w:p>
    <w:p w14:paraId="4CBA9FB3" w14:textId="77777777" w:rsidR="00A2183E" w:rsidRDefault="00A2183E" w:rsidP="00A2183E">
      <w:pPr>
        <w:rPr>
          <w:b/>
        </w:rPr>
      </w:pPr>
      <w:bookmarkStart w:id="3" w:name="calendar"/>
      <w:bookmarkStart w:id="4" w:name="plaintiff"/>
      <w:bookmarkStart w:id="5" w:name="initials"/>
      <w:bookmarkEnd w:id="3"/>
      <w:bookmarkEnd w:id="4"/>
      <w:bookmarkEnd w:id="5"/>
      <w:r w:rsidRPr="00456225">
        <w:rPr>
          <w:b/>
        </w:rPr>
        <w:t>We Concur:</w:t>
      </w:r>
    </w:p>
    <w:p w14:paraId="2E8D7B7B" w14:textId="77777777" w:rsidR="00A2183E" w:rsidRDefault="00A2183E" w:rsidP="00A2183E">
      <w:pPr>
        <w:spacing w:after="0" w:line="240" w:lineRule="auto"/>
        <w:rPr>
          <w:b/>
        </w:rPr>
      </w:pPr>
      <w:r>
        <w:rPr>
          <w:b/>
        </w:rPr>
        <w:t>CANTIL-SAKAUYE, C. J.</w:t>
      </w:r>
    </w:p>
    <w:p w14:paraId="04C6F547" w14:textId="77777777" w:rsidR="00A2183E" w:rsidRDefault="00A2183E" w:rsidP="00A2183E">
      <w:pPr>
        <w:spacing w:after="0" w:line="240" w:lineRule="auto"/>
        <w:rPr>
          <w:b/>
        </w:rPr>
      </w:pPr>
      <w:r>
        <w:rPr>
          <w:b/>
        </w:rPr>
        <w:t>CHIN, J.</w:t>
      </w:r>
    </w:p>
    <w:p w14:paraId="5FBC653B" w14:textId="77777777" w:rsidR="00A2183E" w:rsidRDefault="00A2183E" w:rsidP="00A2183E">
      <w:pPr>
        <w:spacing w:after="0" w:line="240" w:lineRule="auto"/>
        <w:rPr>
          <w:b/>
        </w:rPr>
      </w:pPr>
      <w:r>
        <w:rPr>
          <w:b/>
        </w:rPr>
        <w:t>CORRIGAN, J.</w:t>
      </w:r>
    </w:p>
    <w:p w14:paraId="59846A5D" w14:textId="77777777" w:rsidR="00A2183E" w:rsidRDefault="00A2183E" w:rsidP="00A2183E">
      <w:pPr>
        <w:spacing w:after="0" w:line="240" w:lineRule="auto"/>
        <w:rPr>
          <w:b/>
        </w:rPr>
      </w:pPr>
      <w:r>
        <w:rPr>
          <w:b/>
        </w:rPr>
        <w:t>LIU, J.</w:t>
      </w:r>
    </w:p>
    <w:p w14:paraId="47F15B22" w14:textId="77777777" w:rsidR="00A2183E" w:rsidRDefault="00A2183E" w:rsidP="00A2183E">
      <w:pPr>
        <w:spacing w:after="0" w:line="240" w:lineRule="auto"/>
        <w:rPr>
          <w:b/>
        </w:rPr>
      </w:pPr>
      <w:r>
        <w:rPr>
          <w:b/>
        </w:rPr>
        <w:t>CUÉLLAR, J.</w:t>
      </w:r>
    </w:p>
    <w:p w14:paraId="11421008" w14:textId="77777777" w:rsidR="00A2183E" w:rsidRPr="00456225" w:rsidRDefault="00A2183E" w:rsidP="00A2183E">
      <w:pPr>
        <w:spacing w:after="0" w:line="240" w:lineRule="auto"/>
        <w:rPr>
          <w:b/>
        </w:rPr>
      </w:pPr>
      <w:r>
        <w:rPr>
          <w:b/>
        </w:rPr>
        <w:t>GROBAN, J.</w:t>
      </w:r>
    </w:p>
    <w:p w14:paraId="05CAFFFE" w14:textId="77777777" w:rsidR="00D049DF" w:rsidRDefault="00D049DF" w:rsidP="00D32A7A">
      <w:pPr>
        <w:spacing w:after="0" w:line="240" w:lineRule="auto"/>
        <w:jc w:val="left"/>
        <w:rPr>
          <w:b/>
        </w:rPr>
        <w:sectPr w:rsidR="00D049DF" w:rsidSect="001D2647">
          <w:footerReference w:type="first" r:id="rId9"/>
          <w:pgSz w:w="12240" w:h="15840"/>
          <w:pgMar w:top="1800" w:right="2160" w:bottom="1440" w:left="2160" w:header="720" w:footer="720" w:gutter="0"/>
          <w:pgNumType w:start="1"/>
          <w:cols w:space="720"/>
          <w:titlePg/>
          <w:docGrid w:linePitch="367"/>
        </w:sectPr>
      </w:pPr>
    </w:p>
    <w:p w14:paraId="3BB2E1A2" w14:textId="77777777" w:rsidR="00D049DF" w:rsidRPr="00D049DF" w:rsidRDefault="00D049DF" w:rsidP="00D049DF">
      <w:pPr>
        <w:spacing w:after="0" w:line="240" w:lineRule="auto"/>
        <w:jc w:val="left"/>
        <w:rPr>
          <w:rFonts w:ascii="Times New Roman" w:hAnsi="Times New Roman"/>
          <w:i/>
          <w:sz w:val="20"/>
        </w:rPr>
      </w:pPr>
      <w:r w:rsidRPr="00D049DF">
        <w:rPr>
          <w:rFonts w:ascii="Times New Roman" w:hAnsi="Times New Roman"/>
          <w:i/>
          <w:sz w:val="20"/>
        </w:rPr>
        <w:t>See next page for addresses and telephone numbers for counsel who argued in Supreme Court.</w:t>
      </w:r>
    </w:p>
    <w:p w14:paraId="5886D4B3" w14:textId="77777777" w:rsidR="00D049DF" w:rsidRPr="00D049DF" w:rsidRDefault="00D049DF" w:rsidP="00D049DF">
      <w:pPr>
        <w:spacing w:after="0" w:line="240" w:lineRule="auto"/>
        <w:jc w:val="left"/>
        <w:rPr>
          <w:rFonts w:ascii="Times New Roman" w:hAnsi="Times New Roman"/>
          <w:i/>
          <w:sz w:val="20"/>
        </w:rPr>
      </w:pPr>
    </w:p>
    <w:p w14:paraId="479AB07E" w14:textId="77777777" w:rsidR="00D049DF" w:rsidRPr="00D049DF" w:rsidRDefault="00D049DF" w:rsidP="00D049DF">
      <w:pPr>
        <w:spacing w:after="0" w:line="240" w:lineRule="auto"/>
        <w:jc w:val="left"/>
        <w:rPr>
          <w:rFonts w:ascii="Times New Roman" w:hAnsi="Times New Roman"/>
          <w:bCs/>
          <w:i/>
          <w:sz w:val="20"/>
        </w:rPr>
      </w:pPr>
      <w:r w:rsidRPr="00D049DF">
        <w:rPr>
          <w:rFonts w:ascii="Times New Roman" w:hAnsi="Times New Roman"/>
          <w:b/>
          <w:sz w:val="20"/>
        </w:rPr>
        <w:t>Name of Opinion</w:t>
      </w:r>
      <w:r w:rsidRPr="00D049DF">
        <w:rPr>
          <w:rFonts w:ascii="Times New Roman" w:hAnsi="Times New Roman"/>
          <w:sz w:val="20"/>
        </w:rPr>
        <w:t xml:space="preserve"> Quigley v. Garden Valley Fire Protection District</w:t>
      </w:r>
    </w:p>
    <w:p w14:paraId="1471A6F8" w14:textId="77777777" w:rsidR="00D049DF" w:rsidRPr="00D049DF" w:rsidRDefault="00D049DF" w:rsidP="00D049DF">
      <w:pPr>
        <w:spacing w:after="0" w:line="240" w:lineRule="auto"/>
        <w:jc w:val="left"/>
        <w:rPr>
          <w:rFonts w:ascii="Times New Roman" w:hAnsi="Times New Roman"/>
          <w:b/>
          <w:sz w:val="20"/>
        </w:rPr>
      </w:pPr>
      <w:r w:rsidRPr="00D049DF">
        <w:rPr>
          <w:rFonts w:ascii="Times New Roman" w:hAnsi="Times New Roman"/>
          <w:b/>
          <w:sz w:val="20"/>
        </w:rPr>
        <w:t>__________________________________________________________________________________</w:t>
      </w:r>
    </w:p>
    <w:p w14:paraId="671F3FB9" w14:textId="77777777" w:rsidR="00D049DF" w:rsidRPr="00D049DF" w:rsidRDefault="00D049DF" w:rsidP="00D049DF">
      <w:pPr>
        <w:spacing w:after="0" w:line="240" w:lineRule="auto"/>
        <w:jc w:val="left"/>
        <w:rPr>
          <w:rFonts w:ascii="Times New Roman" w:hAnsi="Times New Roman"/>
          <w:b/>
          <w:sz w:val="20"/>
        </w:rPr>
      </w:pPr>
    </w:p>
    <w:p w14:paraId="34DC8EEC" w14:textId="77777777" w:rsidR="00D049DF" w:rsidRPr="00D049DF" w:rsidRDefault="00D049DF" w:rsidP="00D049DF">
      <w:pPr>
        <w:spacing w:after="0" w:line="240" w:lineRule="auto"/>
        <w:jc w:val="left"/>
        <w:rPr>
          <w:rFonts w:ascii="Times New Roman" w:hAnsi="Times New Roman"/>
          <w:bCs/>
          <w:sz w:val="20"/>
        </w:rPr>
      </w:pPr>
      <w:r w:rsidRPr="00D049DF">
        <w:rPr>
          <w:rFonts w:ascii="Times New Roman" w:hAnsi="Times New Roman"/>
          <w:b/>
          <w:sz w:val="20"/>
        </w:rPr>
        <w:t>Unpublished Opinion</w:t>
      </w:r>
    </w:p>
    <w:p w14:paraId="0C63D119"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b/>
          <w:sz w:val="20"/>
        </w:rPr>
        <w:t>Original Appeal</w:t>
      </w:r>
    </w:p>
    <w:p w14:paraId="6C596BFE" w14:textId="77777777" w:rsidR="00D049DF" w:rsidRPr="00D049DF" w:rsidRDefault="00D049DF" w:rsidP="00D049DF">
      <w:pPr>
        <w:spacing w:after="0" w:line="240" w:lineRule="auto"/>
        <w:jc w:val="left"/>
        <w:rPr>
          <w:rFonts w:ascii="Times New Roman" w:hAnsi="Times New Roman"/>
          <w:b/>
          <w:sz w:val="20"/>
        </w:rPr>
      </w:pPr>
      <w:r w:rsidRPr="00D049DF">
        <w:rPr>
          <w:rFonts w:ascii="Times New Roman" w:hAnsi="Times New Roman"/>
          <w:b/>
          <w:sz w:val="20"/>
        </w:rPr>
        <w:t>Original Proceeding</w:t>
      </w:r>
    </w:p>
    <w:p w14:paraId="3D90ED27"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b/>
          <w:sz w:val="20"/>
        </w:rPr>
        <w:t>Review Granted</w:t>
      </w:r>
      <w:r w:rsidRPr="00D049DF">
        <w:rPr>
          <w:rFonts w:ascii="Times New Roman" w:hAnsi="Times New Roman"/>
          <w:sz w:val="20"/>
        </w:rPr>
        <w:t xml:space="preserve"> XXX 10 Cal.App.5th 1135</w:t>
      </w:r>
    </w:p>
    <w:p w14:paraId="7BE6D0FF" w14:textId="77777777" w:rsidR="00D049DF" w:rsidRPr="00D049DF" w:rsidRDefault="00D049DF" w:rsidP="00D049DF">
      <w:pPr>
        <w:spacing w:after="0" w:line="240" w:lineRule="auto"/>
        <w:jc w:val="left"/>
        <w:rPr>
          <w:rFonts w:ascii="Times New Roman" w:hAnsi="Times New Roman"/>
          <w:b/>
          <w:sz w:val="20"/>
        </w:rPr>
      </w:pPr>
      <w:r w:rsidRPr="00D049DF">
        <w:rPr>
          <w:rFonts w:ascii="Times New Roman" w:hAnsi="Times New Roman"/>
          <w:b/>
          <w:sz w:val="20"/>
        </w:rPr>
        <w:t>Rehearing Granted</w:t>
      </w:r>
    </w:p>
    <w:p w14:paraId="60ECD30D" w14:textId="77777777" w:rsidR="00D049DF" w:rsidRPr="00D049DF" w:rsidRDefault="00D049DF" w:rsidP="00D049DF">
      <w:pPr>
        <w:spacing w:after="0" w:line="240" w:lineRule="auto"/>
        <w:jc w:val="left"/>
        <w:rPr>
          <w:rFonts w:ascii="Times New Roman" w:hAnsi="Times New Roman"/>
          <w:b/>
          <w:sz w:val="20"/>
        </w:rPr>
      </w:pPr>
    </w:p>
    <w:p w14:paraId="786982D8" w14:textId="77777777" w:rsidR="00D049DF" w:rsidRPr="00D049DF" w:rsidRDefault="00D049DF" w:rsidP="00D049DF">
      <w:pPr>
        <w:spacing w:after="0" w:line="240" w:lineRule="auto"/>
        <w:jc w:val="left"/>
        <w:rPr>
          <w:rFonts w:ascii="Times New Roman" w:hAnsi="Times New Roman"/>
          <w:b/>
          <w:sz w:val="20"/>
        </w:rPr>
      </w:pPr>
      <w:r w:rsidRPr="00D049DF">
        <w:rPr>
          <w:rFonts w:ascii="Times New Roman" w:hAnsi="Times New Roman"/>
          <w:b/>
          <w:sz w:val="20"/>
        </w:rPr>
        <w:t>__________________________________________________________________________________</w:t>
      </w:r>
    </w:p>
    <w:p w14:paraId="02CD929B" w14:textId="77777777" w:rsidR="00D049DF" w:rsidRPr="00D049DF" w:rsidRDefault="00D049DF" w:rsidP="00D049DF">
      <w:pPr>
        <w:spacing w:after="0" w:line="240" w:lineRule="auto"/>
        <w:jc w:val="left"/>
        <w:rPr>
          <w:rFonts w:ascii="Times New Roman" w:hAnsi="Times New Roman"/>
          <w:b/>
          <w:sz w:val="20"/>
        </w:rPr>
      </w:pPr>
    </w:p>
    <w:p w14:paraId="237DFAC9" w14:textId="77777777" w:rsidR="00D049DF" w:rsidRPr="00D049DF" w:rsidRDefault="00D049DF" w:rsidP="00D049DF">
      <w:pPr>
        <w:spacing w:after="0" w:line="240" w:lineRule="auto"/>
        <w:jc w:val="left"/>
        <w:rPr>
          <w:rFonts w:ascii="Times New Roman" w:hAnsi="Times New Roman"/>
          <w:bCs/>
          <w:sz w:val="20"/>
        </w:rPr>
      </w:pPr>
      <w:r w:rsidRPr="00D049DF">
        <w:rPr>
          <w:rFonts w:ascii="Times New Roman" w:hAnsi="Times New Roman"/>
          <w:b/>
          <w:sz w:val="20"/>
        </w:rPr>
        <w:t>Opinion No.</w:t>
      </w:r>
      <w:r w:rsidRPr="00D049DF">
        <w:rPr>
          <w:rFonts w:ascii="Times New Roman" w:hAnsi="Times New Roman"/>
          <w:sz w:val="20"/>
        </w:rPr>
        <w:t xml:space="preserve"> S242250</w:t>
      </w:r>
    </w:p>
    <w:p w14:paraId="330AA686" w14:textId="77777777" w:rsidR="00D049DF" w:rsidRPr="00D049DF" w:rsidRDefault="00D049DF" w:rsidP="00D049DF">
      <w:pPr>
        <w:spacing w:after="0" w:line="240" w:lineRule="auto"/>
        <w:jc w:val="left"/>
        <w:rPr>
          <w:rFonts w:ascii="Times New Roman" w:hAnsi="Times New Roman"/>
          <w:bCs/>
          <w:sz w:val="20"/>
        </w:rPr>
      </w:pPr>
      <w:r w:rsidRPr="00D049DF">
        <w:rPr>
          <w:rFonts w:ascii="Times New Roman" w:hAnsi="Times New Roman"/>
          <w:b/>
          <w:sz w:val="20"/>
        </w:rPr>
        <w:t>Date Filed:</w:t>
      </w:r>
      <w:r w:rsidRPr="00D049DF">
        <w:rPr>
          <w:rFonts w:ascii="Times New Roman" w:hAnsi="Times New Roman"/>
          <w:sz w:val="20"/>
        </w:rPr>
        <w:t xml:space="preserve"> July 15, 2019</w:t>
      </w:r>
    </w:p>
    <w:p w14:paraId="3AA32152" w14:textId="77777777" w:rsidR="00D049DF" w:rsidRPr="00D049DF" w:rsidRDefault="00D049DF" w:rsidP="00D049DF">
      <w:pPr>
        <w:spacing w:after="0" w:line="240" w:lineRule="auto"/>
        <w:jc w:val="left"/>
        <w:rPr>
          <w:rFonts w:ascii="Times New Roman" w:hAnsi="Times New Roman"/>
          <w:b/>
          <w:sz w:val="20"/>
        </w:rPr>
      </w:pPr>
      <w:r w:rsidRPr="00D049DF">
        <w:rPr>
          <w:rFonts w:ascii="Times New Roman" w:hAnsi="Times New Roman"/>
          <w:b/>
          <w:sz w:val="20"/>
        </w:rPr>
        <w:t>__________________________________________________________________________________</w:t>
      </w:r>
    </w:p>
    <w:p w14:paraId="1F421AF0" w14:textId="77777777" w:rsidR="00D049DF" w:rsidRPr="00D049DF" w:rsidRDefault="00D049DF" w:rsidP="00D049DF">
      <w:pPr>
        <w:spacing w:after="0" w:line="240" w:lineRule="auto"/>
        <w:jc w:val="left"/>
        <w:rPr>
          <w:rFonts w:ascii="Times New Roman" w:hAnsi="Times New Roman"/>
          <w:b/>
          <w:sz w:val="20"/>
        </w:rPr>
      </w:pPr>
    </w:p>
    <w:p w14:paraId="46101BFD" w14:textId="77777777" w:rsidR="00D049DF" w:rsidRPr="00D049DF" w:rsidRDefault="00D049DF" w:rsidP="00D049DF">
      <w:pPr>
        <w:spacing w:after="0" w:line="240" w:lineRule="auto"/>
        <w:jc w:val="left"/>
        <w:rPr>
          <w:rFonts w:ascii="Times New Roman" w:hAnsi="Times New Roman"/>
          <w:bCs/>
          <w:sz w:val="20"/>
        </w:rPr>
      </w:pPr>
      <w:r w:rsidRPr="00D049DF">
        <w:rPr>
          <w:rFonts w:ascii="Times New Roman" w:hAnsi="Times New Roman"/>
          <w:b/>
          <w:sz w:val="20"/>
        </w:rPr>
        <w:t>Court:</w:t>
      </w:r>
      <w:r w:rsidRPr="00D049DF">
        <w:rPr>
          <w:rFonts w:ascii="Times New Roman" w:hAnsi="Times New Roman"/>
          <w:sz w:val="20"/>
        </w:rPr>
        <w:t xml:space="preserve"> Superior</w:t>
      </w:r>
    </w:p>
    <w:p w14:paraId="730E9897" w14:textId="77777777" w:rsidR="00D049DF" w:rsidRPr="00D049DF" w:rsidRDefault="00D049DF" w:rsidP="00D049DF">
      <w:pPr>
        <w:spacing w:after="0" w:line="240" w:lineRule="auto"/>
        <w:jc w:val="left"/>
        <w:rPr>
          <w:rFonts w:ascii="Times New Roman" w:hAnsi="Times New Roman"/>
          <w:bCs/>
          <w:sz w:val="20"/>
        </w:rPr>
      </w:pPr>
      <w:r w:rsidRPr="00D049DF">
        <w:rPr>
          <w:rFonts w:ascii="Times New Roman" w:hAnsi="Times New Roman"/>
          <w:b/>
          <w:sz w:val="20"/>
        </w:rPr>
        <w:t>County:</w:t>
      </w:r>
      <w:r w:rsidRPr="00D049DF">
        <w:rPr>
          <w:rFonts w:ascii="Times New Roman" w:hAnsi="Times New Roman"/>
          <w:sz w:val="20"/>
        </w:rPr>
        <w:t xml:space="preserve"> Plumas</w:t>
      </w:r>
    </w:p>
    <w:p w14:paraId="1200D756" w14:textId="77777777" w:rsidR="00D049DF" w:rsidRPr="00D049DF" w:rsidRDefault="00D049DF" w:rsidP="00D049DF">
      <w:pPr>
        <w:spacing w:after="0" w:line="240" w:lineRule="auto"/>
        <w:ind w:left="720" w:hanging="720"/>
        <w:jc w:val="left"/>
        <w:rPr>
          <w:rFonts w:ascii="Times New Roman" w:hAnsi="Times New Roman"/>
          <w:bCs/>
          <w:sz w:val="20"/>
        </w:rPr>
      </w:pPr>
      <w:r w:rsidRPr="00D049DF">
        <w:rPr>
          <w:rFonts w:ascii="Times New Roman" w:hAnsi="Times New Roman"/>
          <w:b/>
          <w:sz w:val="20"/>
        </w:rPr>
        <w:t xml:space="preserve">Judge: </w:t>
      </w:r>
      <w:r w:rsidRPr="00D049DF">
        <w:rPr>
          <w:rFonts w:ascii="Times New Roman" w:hAnsi="Times New Roman"/>
          <w:sz w:val="20"/>
        </w:rPr>
        <w:t>Janet Hilde</w:t>
      </w:r>
    </w:p>
    <w:p w14:paraId="4551C918" w14:textId="77777777" w:rsidR="00D049DF" w:rsidRPr="00D049DF" w:rsidRDefault="00D049DF" w:rsidP="00D049DF">
      <w:pPr>
        <w:spacing w:after="0" w:line="240" w:lineRule="auto"/>
        <w:jc w:val="left"/>
        <w:rPr>
          <w:rFonts w:ascii="Times New Roman" w:hAnsi="Times New Roman"/>
          <w:b/>
          <w:sz w:val="20"/>
        </w:rPr>
      </w:pPr>
    </w:p>
    <w:p w14:paraId="6D9C892A" w14:textId="77777777" w:rsidR="00D049DF" w:rsidRPr="00D049DF" w:rsidRDefault="00D049DF" w:rsidP="00D049DF">
      <w:pPr>
        <w:spacing w:after="0" w:line="240" w:lineRule="auto"/>
        <w:jc w:val="left"/>
        <w:rPr>
          <w:rFonts w:ascii="Times New Roman" w:hAnsi="Times New Roman"/>
          <w:b/>
          <w:sz w:val="20"/>
        </w:rPr>
      </w:pPr>
      <w:r w:rsidRPr="00D049DF">
        <w:rPr>
          <w:rFonts w:ascii="Times New Roman" w:hAnsi="Times New Roman"/>
          <w:b/>
          <w:sz w:val="20"/>
        </w:rPr>
        <w:t>__________________________________________________________________________________</w:t>
      </w:r>
    </w:p>
    <w:p w14:paraId="2946FC3B" w14:textId="77777777" w:rsidR="00D049DF" w:rsidRPr="00D049DF" w:rsidRDefault="00D049DF" w:rsidP="00D049DF">
      <w:pPr>
        <w:spacing w:after="0" w:line="240" w:lineRule="auto"/>
        <w:jc w:val="left"/>
        <w:rPr>
          <w:rFonts w:ascii="Times New Roman" w:hAnsi="Times New Roman"/>
          <w:b/>
          <w:sz w:val="20"/>
        </w:rPr>
      </w:pPr>
    </w:p>
    <w:p w14:paraId="23473389" w14:textId="77777777" w:rsidR="00D049DF" w:rsidRPr="00D049DF" w:rsidRDefault="00D049DF" w:rsidP="00D049DF">
      <w:pPr>
        <w:spacing w:after="0" w:line="240" w:lineRule="auto"/>
        <w:jc w:val="left"/>
        <w:rPr>
          <w:rFonts w:ascii="Times New Roman" w:hAnsi="Times New Roman"/>
          <w:b/>
          <w:sz w:val="20"/>
        </w:rPr>
      </w:pPr>
      <w:r w:rsidRPr="00D049DF">
        <w:rPr>
          <w:rFonts w:ascii="Times New Roman" w:hAnsi="Times New Roman"/>
          <w:b/>
          <w:sz w:val="20"/>
        </w:rPr>
        <w:t>Counsel:</w:t>
      </w:r>
    </w:p>
    <w:p w14:paraId="7D90C8E9" w14:textId="77777777" w:rsidR="00D049DF" w:rsidRPr="00D049DF" w:rsidRDefault="00D049DF" w:rsidP="00D049DF">
      <w:pPr>
        <w:spacing w:after="0" w:line="240" w:lineRule="auto"/>
        <w:jc w:val="left"/>
        <w:rPr>
          <w:rFonts w:ascii="Times New Roman" w:hAnsi="Times New Roman"/>
          <w:b/>
          <w:sz w:val="20"/>
        </w:rPr>
      </w:pPr>
    </w:p>
    <w:p w14:paraId="3678910D"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 xml:space="preserve">Jay-Allen Eisen Law Corporation, Downey Brand, Jay-Allen Eisen; Law Offices of Reiner &amp; Slaughter, Reiner, Slaughter, McCartney &amp; Frankel, Russell Reiner, Todd E. Slaughter and April K. </w:t>
      </w:r>
      <w:proofErr w:type="spellStart"/>
      <w:r w:rsidRPr="00D049DF">
        <w:rPr>
          <w:rFonts w:ascii="Times New Roman" w:hAnsi="Times New Roman"/>
          <w:sz w:val="20"/>
        </w:rPr>
        <w:t>Gesberg</w:t>
      </w:r>
      <w:proofErr w:type="spellEnd"/>
      <w:r w:rsidRPr="00D049DF">
        <w:rPr>
          <w:rFonts w:ascii="Times New Roman" w:hAnsi="Times New Roman"/>
          <w:sz w:val="20"/>
        </w:rPr>
        <w:t xml:space="preserve"> for Plaintiff and Appellant.</w:t>
      </w:r>
    </w:p>
    <w:p w14:paraId="4A6163AF" w14:textId="77777777" w:rsidR="00D049DF" w:rsidRPr="00D049DF" w:rsidRDefault="00D049DF" w:rsidP="00D049DF">
      <w:pPr>
        <w:spacing w:after="0" w:line="240" w:lineRule="auto"/>
        <w:jc w:val="left"/>
        <w:rPr>
          <w:rFonts w:ascii="Times New Roman" w:hAnsi="Times New Roman"/>
          <w:sz w:val="20"/>
        </w:rPr>
      </w:pPr>
    </w:p>
    <w:p w14:paraId="153A00C0"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 xml:space="preserve">Alan Charles </w:t>
      </w:r>
      <w:proofErr w:type="spellStart"/>
      <w:r w:rsidRPr="00D049DF">
        <w:rPr>
          <w:rFonts w:ascii="Times New Roman" w:hAnsi="Times New Roman"/>
          <w:sz w:val="20"/>
        </w:rPr>
        <w:t>Dell’Ario</w:t>
      </w:r>
      <w:proofErr w:type="spellEnd"/>
      <w:r w:rsidRPr="00D049DF">
        <w:rPr>
          <w:rFonts w:ascii="Times New Roman" w:hAnsi="Times New Roman"/>
          <w:sz w:val="20"/>
        </w:rPr>
        <w:t xml:space="preserve"> for Consumer Attorneys of California as Amicus Curiae on behalf of Plaintiff and Appellant.</w:t>
      </w:r>
    </w:p>
    <w:p w14:paraId="6D3B86DC" w14:textId="77777777" w:rsidR="00D049DF" w:rsidRPr="00D049DF" w:rsidRDefault="00D049DF" w:rsidP="00D049DF">
      <w:pPr>
        <w:spacing w:after="0" w:line="240" w:lineRule="auto"/>
        <w:jc w:val="left"/>
        <w:rPr>
          <w:rFonts w:ascii="Times New Roman" w:hAnsi="Times New Roman"/>
          <w:sz w:val="20"/>
        </w:rPr>
      </w:pPr>
    </w:p>
    <w:p w14:paraId="1FB1A035"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 xml:space="preserve">Lewis Brisbois Bisgaard &amp; Smith, Joseph A. Salazar, Jr., Jeffry A. Miller, </w:t>
      </w:r>
      <w:proofErr w:type="spellStart"/>
      <w:r w:rsidRPr="00D049DF">
        <w:rPr>
          <w:rFonts w:ascii="Times New Roman" w:hAnsi="Times New Roman"/>
          <w:sz w:val="20"/>
        </w:rPr>
        <w:t>Lann</w:t>
      </w:r>
      <w:proofErr w:type="spellEnd"/>
      <w:r w:rsidRPr="00D049DF">
        <w:rPr>
          <w:rFonts w:ascii="Times New Roman" w:hAnsi="Times New Roman"/>
          <w:sz w:val="20"/>
        </w:rPr>
        <w:t xml:space="preserve"> G. McIntyre and Jonna D. </w:t>
      </w:r>
      <w:proofErr w:type="spellStart"/>
      <w:r w:rsidRPr="00D049DF">
        <w:rPr>
          <w:rFonts w:ascii="Times New Roman" w:hAnsi="Times New Roman"/>
          <w:sz w:val="20"/>
        </w:rPr>
        <w:t>Lothyan</w:t>
      </w:r>
      <w:proofErr w:type="spellEnd"/>
      <w:r w:rsidRPr="00D049DF">
        <w:rPr>
          <w:rFonts w:ascii="Times New Roman" w:hAnsi="Times New Roman"/>
          <w:sz w:val="20"/>
        </w:rPr>
        <w:t xml:space="preserve"> for Defendants and Respondents.</w:t>
      </w:r>
    </w:p>
    <w:p w14:paraId="7C5BD583" w14:textId="77777777" w:rsidR="00D049DF" w:rsidRPr="00D049DF" w:rsidRDefault="00D049DF" w:rsidP="00D049DF">
      <w:pPr>
        <w:spacing w:after="0" w:line="240" w:lineRule="auto"/>
        <w:jc w:val="left"/>
        <w:rPr>
          <w:rFonts w:ascii="Times New Roman" w:hAnsi="Times New Roman"/>
          <w:sz w:val="20"/>
        </w:rPr>
      </w:pPr>
    </w:p>
    <w:p w14:paraId="6A1AEEA2" w14:textId="77777777" w:rsidR="00D049DF" w:rsidRPr="00D049DF" w:rsidRDefault="00D049DF" w:rsidP="00D049DF">
      <w:pPr>
        <w:spacing w:after="0" w:line="240" w:lineRule="auto"/>
        <w:jc w:val="left"/>
        <w:rPr>
          <w:rFonts w:ascii="Times New Roman" w:hAnsi="Times New Roman"/>
          <w:b/>
          <w:sz w:val="20"/>
        </w:rPr>
      </w:pPr>
      <w:r w:rsidRPr="00D049DF">
        <w:rPr>
          <w:rFonts w:ascii="Times New Roman" w:hAnsi="Times New Roman"/>
          <w:sz w:val="20"/>
        </w:rPr>
        <w:t xml:space="preserve">Pollak, Vida &amp; Barer and Daniel P. Barer for League of California Cities, California State Association of Counties, California Association of Joint Powers Authorities, California Special Districts </w:t>
      </w:r>
      <w:proofErr w:type="gramStart"/>
      <w:r w:rsidRPr="00D049DF">
        <w:rPr>
          <w:rFonts w:ascii="Times New Roman" w:hAnsi="Times New Roman"/>
          <w:sz w:val="20"/>
        </w:rPr>
        <w:t>Association</w:t>
      </w:r>
      <w:proofErr w:type="gramEnd"/>
      <w:r w:rsidRPr="00D049DF">
        <w:rPr>
          <w:rFonts w:ascii="Times New Roman" w:hAnsi="Times New Roman"/>
          <w:sz w:val="20"/>
        </w:rPr>
        <w:t xml:space="preserve"> and International Municipal Lawyers Association as Amici Curiae on behalf of Defendants and Respondents.</w:t>
      </w:r>
    </w:p>
    <w:p w14:paraId="2641BA5C" w14:textId="77777777" w:rsidR="00D049DF" w:rsidRPr="00D049DF" w:rsidRDefault="00D049DF" w:rsidP="00D049DF">
      <w:pPr>
        <w:spacing w:after="0" w:line="240" w:lineRule="auto"/>
        <w:jc w:val="left"/>
        <w:rPr>
          <w:rFonts w:ascii="Times New Roman" w:hAnsi="Times New Roman"/>
          <w:b/>
          <w:sz w:val="20"/>
        </w:rPr>
      </w:pPr>
    </w:p>
    <w:p w14:paraId="4297186A" w14:textId="77777777" w:rsidR="00D049DF" w:rsidRPr="00D049DF" w:rsidRDefault="00D049DF" w:rsidP="00D049DF">
      <w:pPr>
        <w:spacing w:after="0" w:line="240" w:lineRule="auto"/>
        <w:jc w:val="left"/>
        <w:rPr>
          <w:rFonts w:ascii="Times New Roman" w:hAnsi="Times New Roman"/>
          <w:b/>
          <w:sz w:val="20"/>
        </w:rPr>
      </w:pPr>
    </w:p>
    <w:p w14:paraId="39906ECE" w14:textId="77777777" w:rsidR="00D049DF" w:rsidRPr="00D049DF" w:rsidRDefault="00D049DF" w:rsidP="00D049DF">
      <w:pPr>
        <w:spacing w:after="0" w:line="240" w:lineRule="auto"/>
        <w:jc w:val="left"/>
        <w:rPr>
          <w:rFonts w:ascii="Times New Roman" w:hAnsi="Times New Roman"/>
          <w:b/>
          <w:sz w:val="20"/>
        </w:rPr>
      </w:pPr>
      <w:r w:rsidRPr="00D049DF">
        <w:rPr>
          <w:rFonts w:ascii="Times New Roman" w:hAnsi="Times New Roman"/>
          <w:b/>
          <w:sz w:val="20"/>
        </w:rPr>
        <w:br w:type="page"/>
      </w:r>
    </w:p>
    <w:p w14:paraId="74F79592" w14:textId="77777777" w:rsidR="00D049DF" w:rsidRPr="00D049DF" w:rsidRDefault="00D049DF" w:rsidP="00D049DF">
      <w:pPr>
        <w:spacing w:after="0" w:line="240" w:lineRule="auto"/>
        <w:jc w:val="left"/>
        <w:rPr>
          <w:rFonts w:ascii="Times New Roman" w:hAnsi="Times New Roman"/>
          <w:b/>
          <w:sz w:val="20"/>
        </w:rPr>
      </w:pPr>
    </w:p>
    <w:p w14:paraId="5931FFD8" w14:textId="77777777" w:rsidR="00D049DF" w:rsidRPr="00D049DF" w:rsidRDefault="00D049DF" w:rsidP="00D049DF">
      <w:pPr>
        <w:spacing w:after="0" w:line="240" w:lineRule="auto"/>
        <w:jc w:val="left"/>
        <w:rPr>
          <w:rFonts w:ascii="Times New Roman" w:hAnsi="Times New Roman"/>
          <w:b/>
          <w:sz w:val="20"/>
        </w:rPr>
      </w:pPr>
    </w:p>
    <w:p w14:paraId="6E30DA68" w14:textId="77777777" w:rsidR="00D049DF" w:rsidRPr="00D049DF" w:rsidRDefault="00D049DF" w:rsidP="00D049DF">
      <w:pPr>
        <w:spacing w:after="0" w:line="240" w:lineRule="auto"/>
        <w:jc w:val="left"/>
        <w:rPr>
          <w:rFonts w:ascii="Times New Roman" w:hAnsi="Times New Roman"/>
          <w:b/>
          <w:sz w:val="20"/>
        </w:rPr>
      </w:pPr>
    </w:p>
    <w:p w14:paraId="6337B8EC" w14:textId="77777777" w:rsidR="00D049DF" w:rsidRPr="00D049DF" w:rsidRDefault="00D049DF" w:rsidP="00D049DF">
      <w:pPr>
        <w:spacing w:after="0" w:line="240" w:lineRule="auto"/>
        <w:jc w:val="left"/>
        <w:rPr>
          <w:rFonts w:ascii="Times New Roman" w:hAnsi="Times New Roman"/>
          <w:b/>
          <w:sz w:val="20"/>
        </w:rPr>
      </w:pPr>
      <w:r w:rsidRPr="00D049DF">
        <w:rPr>
          <w:rFonts w:ascii="Times New Roman" w:hAnsi="Times New Roman"/>
          <w:b/>
          <w:sz w:val="20"/>
        </w:rPr>
        <w:t>Counsel who argued in Supreme Court (not intended for publication with opinion):</w:t>
      </w:r>
    </w:p>
    <w:p w14:paraId="6BBE1A5C" w14:textId="77777777" w:rsidR="00D049DF" w:rsidRPr="00D049DF" w:rsidRDefault="00D049DF" w:rsidP="00D049DF">
      <w:pPr>
        <w:spacing w:after="0" w:line="240" w:lineRule="auto"/>
        <w:jc w:val="left"/>
        <w:rPr>
          <w:rFonts w:ascii="Times New Roman" w:hAnsi="Times New Roman"/>
          <w:b/>
          <w:sz w:val="20"/>
        </w:rPr>
      </w:pPr>
    </w:p>
    <w:p w14:paraId="77063973"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Jay-Allen Eisen</w:t>
      </w:r>
    </w:p>
    <w:p w14:paraId="44D6DEB2"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Downey Brand</w:t>
      </w:r>
    </w:p>
    <w:p w14:paraId="022A3E7D"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621 Capitol Mall, 18th Floor</w:t>
      </w:r>
    </w:p>
    <w:p w14:paraId="29AC0380"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Sacramento, CA  95814-4731</w:t>
      </w:r>
    </w:p>
    <w:p w14:paraId="470F00EC"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(916) 444-1000</w:t>
      </w:r>
    </w:p>
    <w:p w14:paraId="25A329CA" w14:textId="77777777" w:rsidR="00D049DF" w:rsidRPr="00D049DF" w:rsidRDefault="00D049DF" w:rsidP="00D049DF">
      <w:pPr>
        <w:spacing w:after="0" w:line="240" w:lineRule="auto"/>
        <w:jc w:val="left"/>
        <w:rPr>
          <w:rFonts w:ascii="Times New Roman" w:hAnsi="Times New Roman"/>
          <w:sz w:val="20"/>
        </w:rPr>
      </w:pPr>
    </w:p>
    <w:p w14:paraId="7F86EBDE"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Jeffry A. Miller</w:t>
      </w:r>
    </w:p>
    <w:p w14:paraId="76139A68"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Lewis Brisbois Bisgaard &amp; Smith</w:t>
      </w:r>
    </w:p>
    <w:p w14:paraId="6917843C"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701 B Street, Suite 1900</w:t>
      </w:r>
    </w:p>
    <w:p w14:paraId="4638E6C3"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San Diego, CA  92101</w:t>
      </w:r>
    </w:p>
    <w:p w14:paraId="0FF98F13" w14:textId="77777777" w:rsidR="00D049DF" w:rsidRPr="00D049DF" w:rsidRDefault="00D049DF" w:rsidP="00D049DF">
      <w:pPr>
        <w:spacing w:after="0" w:line="240" w:lineRule="auto"/>
        <w:jc w:val="left"/>
        <w:rPr>
          <w:rFonts w:ascii="Times New Roman" w:hAnsi="Times New Roman"/>
          <w:sz w:val="20"/>
        </w:rPr>
      </w:pPr>
      <w:r w:rsidRPr="00D049DF">
        <w:rPr>
          <w:rFonts w:ascii="Times New Roman" w:hAnsi="Times New Roman"/>
          <w:sz w:val="20"/>
        </w:rPr>
        <w:t>(619) 699-4971</w:t>
      </w:r>
    </w:p>
    <w:p w14:paraId="1E0F631A" w14:textId="0EFFC8E7" w:rsidR="001D2647" w:rsidRPr="00456225" w:rsidRDefault="001D2647" w:rsidP="00D32A7A">
      <w:pPr>
        <w:spacing w:after="0" w:line="240" w:lineRule="auto"/>
        <w:jc w:val="left"/>
        <w:rPr>
          <w:b/>
        </w:rPr>
      </w:pPr>
      <w:bookmarkStart w:id="6" w:name="_GoBack"/>
      <w:bookmarkEnd w:id="6"/>
    </w:p>
    <w:sectPr w:rsidR="001D2647" w:rsidRPr="0045622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2CFF" w14:textId="77777777" w:rsidR="0063352F" w:rsidRDefault="0063352F">
      <w:r>
        <w:separator/>
      </w:r>
    </w:p>
  </w:endnote>
  <w:endnote w:type="continuationSeparator" w:id="0">
    <w:p w14:paraId="4D64CBFA" w14:textId="77777777" w:rsidR="0063352F" w:rsidRDefault="0063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047C" w14:textId="77777777" w:rsidR="008B524B" w:rsidRDefault="008B524B">
    <w:pPr>
      <w:pStyle w:val="Footer"/>
    </w:pPr>
    <w:r>
      <w:fldChar w:fldCharType="begin"/>
    </w:r>
    <w:r>
      <w:instrText>PAGE</w:instrText>
    </w:r>
    <w:r>
      <w:fldChar w:fldCharType="separate"/>
    </w:r>
    <w:r>
      <w:rPr>
        <w:noProof/>
      </w:rPr>
      <w:t>25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136D" w14:textId="77777777" w:rsidR="008B524B" w:rsidRDefault="008B524B">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E6DC" w14:textId="77777777" w:rsidR="00F069B5" w:rsidRDefault="00D049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FF7E" w14:textId="77777777" w:rsidR="00F069B5" w:rsidRDefault="00D049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7C8A" w14:textId="77777777" w:rsidR="00F069B5" w:rsidRDefault="00D0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FA046" w14:textId="77777777" w:rsidR="0063352F" w:rsidRDefault="0063352F">
      <w:r>
        <w:separator/>
      </w:r>
    </w:p>
  </w:footnote>
  <w:footnote w:type="continuationSeparator" w:id="0">
    <w:p w14:paraId="377642D7" w14:textId="77777777" w:rsidR="0063352F" w:rsidRDefault="0063352F">
      <w:pPr>
        <w:rPr>
          <w:sz w:val="22"/>
        </w:rPr>
      </w:pPr>
      <w:r>
        <w:continuationSeparator/>
      </w:r>
    </w:p>
  </w:footnote>
  <w:footnote w:type="continuationNotice" w:id="1">
    <w:p w14:paraId="3FBEF8B9" w14:textId="77777777" w:rsidR="0063352F" w:rsidRDefault="0063352F">
      <w:pPr>
        <w:jc w:val="right"/>
        <w:rPr>
          <w:i/>
          <w:sz w:val="20"/>
        </w:rPr>
      </w:pPr>
    </w:p>
  </w:footnote>
  <w:footnote w:id="2">
    <w:p w14:paraId="17CDA2F1" w14:textId="77777777" w:rsidR="008B524B" w:rsidRDefault="008B524B">
      <w:pPr>
        <w:pStyle w:val="FootnoteText"/>
      </w:pPr>
      <w:r>
        <w:rPr>
          <w:rStyle w:val="FootnoteReference"/>
        </w:rPr>
        <w:footnoteRef/>
      </w:r>
      <w:r>
        <w:tab/>
        <w:t xml:space="preserve">When first enacted, the statute </w:t>
      </w:r>
      <w:r w:rsidRPr="00C05156">
        <w:t>was known as</w:t>
      </w:r>
      <w:r>
        <w:t xml:space="preserve"> the Tort Claims Act; the Legislature later retitled it the Government Claims Act.  (</w:t>
      </w:r>
      <w:r w:rsidRPr="000631B5">
        <w:t>Stats</w:t>
      </w:r>
      <w:proofErr w:type="gramStart"/>
      <w:r w:rsidRPr="000631B5">
        <w:t>.</w:t>
      </w:r>
      <w:r>
        <w:t xml:space="preserve"> </w:t>
      </w:r>
      <w:proofErr w:type="gramEnd"/>
      <w:r>
        <w:t xml:space="preserve">2012, </w:t>
      </w:r>
      <w:proofErr w:type="spellStart"/>
      <w:r>
        <w:t>ch.</w:t>
      </w:r>
      <w:proofErr w:type="spellEnd"/>
      <w:r>
        <w:t xml:space="preserve"> 759, § 5; see also Recommendation:  Statutory Cross-References to “Tort Claims Act” (June 2011) </w:t>
      </w:r>
      <w:r w:rsidRPr="000631B5">
        <w:t>41 Cal.</w:t>
      </w:r>
      <w:r>
        <w:t xml:space="preserve"> </w:t>
      </w:r>
      <w:r w:rsidRPr="000631B5">
        <w:t>L</w:t>
      </w:r>
      <w:r>
        <w:t xml:space="preserve">aw </w:t>
      </w:r>
      <w:r w:rsidRPr="000631B5">
        <w:t>Rev</w:t>
      </w:r>
      <w:r>
        <w:t xml:space="preserve">ision </w:t>
      </w:r>
      <w:r w:rsidRPr="000631B5">
        <w:t>Com. Rep</w:t>
      </w:r>
      <w:r>
        <w:t>.</w:t>
      </w:r>
      <w:r w:rsidRPr="000631B5">
        <w:t xml:space="preserve"> (2011)</w:t>
      </w:r>
      <w:r>
        <w:t xml:space="preserve"> p. 285; </w:t>
      </w:r>
      <w:r w:rsidRPr="005A1862">
        <w:rPr>
          <w:i/>
        </w:rPr>
        <w:t xml:space="preserve">City of Stockton v. Superior Court </w:t>
      </w:r>
      <w:r>
        <w:t>(2007) 42 Cal.4th 730, 740</w:t>
      </w:r>
      <w:r w:rsidRPr="00901E22">
        <w:t>–</w:t>
      </w:r>
      <w:r>
        <w:t xml:space="preserve">742.) </w:t>
      </w:r>
    </w:p>
  </w:footnote>
  <w:footnote w:id="3">
    <w:p w14:paraId="46F0BA63" w14:textId="6D555165" w:rsidR="008B524B" w:rsidRDefault="008B524B">
      <w:pPr>
        <w:pStyle w:val="FootnoteText"/>
      </w:pPr>
      <w:r>
        <w:rPr>
          <w:rStyle w:val="FootnoteReference"/>
        </w:rPr>
        <w:footnoteRef/>
      </w:r>
      <w:r>
        <w:t xml:space="preserve"> </w:t>
      </w:r>
      <w:r>
        <w:tab/>
        <w:t xml:space="preserve">The Assembly and Senate Committee reports largely adopted the </w:t>
      </w:r>
      <w:r w:rsidR="00D8523B">
        <w:t>c</w:t>
      </w:r>
      <w:r>
        <w:t xml:space="preserve">ommission’s commentary, noting that the </w:t>
      </w:r>
      <w:r w:rsidR="00D8523B">
        <w:t>c</w:t>
      </w:r>
      <w:r>
        <w:t>ommission’s comments generally “reflect the intent” of the committees in approving the provisions.  (Assem</w:t>
      </w:r>
      <w:proofErr w:type="gramStart"/>
      <w:r>
        <w:t xml:space="preserve">. </w:t>
      </w:r>
      <w:proofErr w:type="gramEnd"/>
      <w:r>
        <w:t>Com. on Ways &amp; Means, Rep. on Sen. Bill No. 42 (1963 Reg. Sess.) 3 Assem</w:t>
      </w:r>
      <w:proofErr w:type="gramStart"/>
      <w:r>
        <w:t xml:space="preserve">. </w:t>
      </w:r>
      <w:proofErr w:type="gramEnd"/>
      <w:r>
        <w:t>J. (1963 Reg. Sess.) p. 5440; Sen. Com. on Judiciary, Rep. on Sen. Bill No. 42 (1963 Reg. Sess.) 2 Sen. J. (1963 Reg. Sess.) p. 1885.)</w:t>
      </w:r>
    </w:p>
  </w:footnote>
  <w:footnote w:id="4">
    <w:p w14:paraId="1C2B42B5" w14:textId="77777777" w:rsidR="008B524B" w:rsidRDefault="008B524B" w:rsidP="001D2647">
      <w:pPr>
        <w:pStyle w:val="FootnoteText"/>
      </w:pPr>
      <w:r>
        <w:rPr>
          <w:rStyle w:val="FootnoteReference"/>
        </w:rPr>
        <w:footnoteRef/>
      </w:r>
      <w:r>
        <w:t xml:space="preserve"> </w:t>
      </w:r>
      <w:r>
        <w:tab/>
        <w:t>Although d</w:t>
      </w:r>
      <w:r w:rsidRPr="00841F2E">
        <w:t>efe</w:t>
      </w:r>
      <w:r>
        <w:t xml:space="preserve">ndants initially contended that </w:t>
      </w:r>
      <w:r w:rsidRPr="00841F2E">
        <w:t xml:space="preserve">the </w:t>
      </w:r>
      <w:r>
        <w:t>three base camp managers were federal employees,</w:t>
      </w:r>
      <w:r w:rsidRPr="00841F2E">
        <w:t xml:space="preserve"> </w:t>
      </w:r>
      <w:r>
        <w:t>they later stipulated that these individuals</w:t>
      </w:r>
      <w:r w:rsidRPr="00841F2E">
        <w:t xml:space="preserve"> were employees of the</w:t>
      </w:r>
      <w:r>
        <w:t xml:space="preserve"> local fire protection districts</w:t>
      </w:r>
      <w:r w:rsidRPr="00841F2E">
        <w:t>.</w:t>
      </w:r>
    </w:p>
  </w:footnote>
  <w:footnote w:id="5">
    <w:p w14:paraId="42AACBF5" w14:textId="77777777" w:rsidR="008B524B" w:rsidRDefault="008B524B" w:rsidP="00EF4E48">
      <w:pPr>
        <w:pStyle w:val="FootnoteText"/>
      </w:pPr>
      <w:r>
        <w:rPr>
          <w:rStyle w:val="FootnoteReference"/>
        </w:rPr>
        <w:footnoteRef/>
      </w:r>
      <w:r>
        <w:t xml:space="preserve"> </w:t>
      </w:r>
      <w:r>
        <w:tab/>
        <w:t xml:space="preserve">The parties’ use of the term “waiver” tracks the language of section 430.80, subdivision (a) of the Code of Civil Procedure:  “If the party against whom a complaint or cross-complaint has been filed fails to object to the pleading, either by demurrer or answer, that party is deemed to have waived the objection,” subject to certain exceptions.  The statute’s use of the term “waiver” differs from the way we generally use this term:  “As we have explained in various contexts, ‘ “waiver” means the intentional relinquishment or abandonment of a known right.’  . . .  [¶]  . . .  [Waiver] </w:t>
      </w:r>
      <w:r w:rsidRPr="00EC7410">
        <w:t>differs from the related concept of forfeiture, which results when a party fails to preserve a claim by raising a timely objection.</w:t>
      </w:r>
      <w:r>
        <w:t>”  (</w:t>
      </w:r>
      <w:r w:rsidRPr="006E7A1D">
        <w:rPr>
          <w:i/>
        </w:rPr>
        <w:t>Lynch v. California Coastal Com.</w:t>
      </w:r>
      <w:r>
        <w:t xml:space="preserve"> (2017) 3 Cal.5th 470, 475–476.)  Nonetheless, because the relevant statute uses the term “waiver,” we use it here as well.</w:t>
      </w:r>
    </w:p>
  </w:footnote>
  <w:footnote w:id="6">
    <w:p w14:paraId="2D5F444E" w14:textId="77777777" w:rsidR="008B524B" w:rsidRDefault="008B524B" w:rsidP="001369AC">
      <w:pPr>
        <w:pStyle w:val="FootnoteText"/>
      </w:pPr>
      <w:r>
        <w:rPr>
          <w:rStyle w:val="FootnoteReference"/>
        </w:rPr>
        <w:footnoteRef/>
      </w:r>
      <w:r>
        <w:t xml:space="preserve"> </w:t>
      </w:r>
      <w:r>
        <w:tab/>
        <w:t xml:space="preserve">Whether the Court of Appeal was correct to hold that Quigley’s alleged injuries “result[ed] from the condition of fire protection or firefighting equipment or facilities” within the meaning of section 850.4 is a question that falls outside of the scope of our grant of review, and we do not address it here. </w:t>
      </w:r>
    </w:p>
  </w:footnote>
  <w:footnote w:id="7">
    <w:p w14:paraId="3ACC370F" w14:textId="64EE7C2A" w:rsidR="008B524B" w:rsidRDefault="008B524B" w:rsidP="008704AE">
      <w:pPr>
        <w:pStyle w:val="FootnoteText"/>
      </w:pPr>
      <w:r>
        <w:rPr>
          <w:rStyle w:val="FootnoteReference"/>
        </w:rPr>
        <w:footnoteRef/>
      </w:r>
      <w:r>
        <w:t xml:space="preserve"> </w:t>
      </w:r>
      <w:r>
        <w:tab/>
      </w:r>
      <w:r w:rsidR="00DF7F6F">
        <w:t>E</w:t>
      </w:r>
      <w:r w:rsidRPr="00B43047">
        <w:t xml:space="preserve">ven were it otherwise—that is, even if it were </w:t>
      </w:r>
      <w:r>
        <w:t xml:space="preserve">the </w:t>
      </w:r>
      <w:r w:rsidRPr="00B43047">
        <w:t>plaintiff’s burden to plead around an absolute immunity, rather than the defendant’s burden to invoke the immunity as an affirmative defense—that would not necessarily mean the immunity is jurisdictional in nature, as the Court of Appeal in this case reasoned.  The GCA’s provision requiring plaintiffs</w:t>
      </w:r>
      <w:r>
        <w:t xml:space="preserve"> to have timely filed a claim for money or damages with a public entity as a prerequisite to bringing suit (Gov. Code, § 945.4) is a case in point:  In </w:t>
      </w:r>
      <w:r w:rsidRPr="00A60DA7">
        <w:rPr>
          <w:i/>
        </w:rPr>
        <w:t>State of California v. Superior Court</w:t>
      </w:r>
      <w:r>
        <w:t xml:space="preserve"> (</w:t>
      </w:r>
      <w:proofErr w:type="spellStart"/>
      <w:r w:rsidRPr="008F7743">
        <w:rPr>
          <w:i/>
        </w:rPr>
        <w:t>Bodde</w:t>
      </w:r>
      <w:proofErr w:type="spellEnd"/>
      <w:r>
        <w:t xml:space="preserve">) (2004) 32 Cal.4th 1234, 1239, we held that a plaintiff’s </w:t>
      </w:r>
      <w:r w:rsidRPr="00A60DA7">
        <w:t xml:space="preserve">“failure to allege facts demonstrating or excusing compliance with the </w:t>
      </w:r>
      <w:r>
        <w:t xml:space="preserve">[GCA’s] </w:t>
      </w:r>
      <w:r w:rsidRPr="00A60DA7">
        <w:t xml:space="preserve">claim presentation requirement subjects a claim against a public entity to a demurrer for </w:t>
      </w:r>
      <w:r w:rsidRPr="00C05156">
        <w:t>failure to state a cause of action</w:t>
      </w:r>
      <w:r>
        <w:t xml:space="preserve">.”  But even so, we </w:t>
      </w:r>
      <w:r w:rsidRPr="00A60DA7">
        <w:t xml:space="preserve">explicitly rejected the notion that a plaintiff’s failure to </w:t>
      </w:r>
      <w:r>
        <w:t>allege compliance “divests t</w:t>
      </w:r>
      <w:r w:rsidRPr="00A60DA7">
        <w:t xml:space="preserve">he court of jurisdiction over a cause of action against a public entity.” </w:t>
      </w:r>
      <w:r>
        <w:t xml:space="preserve"> (</w:t>
      </w:r>
      <w:r w:rsidRPr="00760D07">
        <w:rPr>
          <w:i/>
        </w:rPr>
        <w:t>Id.</w:t>
      </w:r>
      <w:r>
        <w:t xml:space="preserve"> at p. 1239, fn. 7.)</w:t>
      </w:r>
    </w:p>
  </w:footnote>
  <w:footnote w:id="8">
    <w:p w14:paraId="4769024E" w14:textId="77777777" w:rsidR="008B524B" w:rsidRDefault="008B524B" w:rsidP="001D2647">
      <w:pPr>
        <w:pStyle w:val="FootnoteText"/>
      </w:pPr>
      <w:r>
        <w:rPr>
          <w:rStyle w:val="FootnoteReference"/>
        </w:rPr>
        <w:footnoteRef/>
      </w:r>
      <w:r>
        <w:t xml:space="preserve"> </w:t>
      </w:r>
      <w:r>
        <w:tab/>
        <w:t xml:space="preserve">The parties present competing arguments about the nature of sovereign, or governmental, immunity based on semi-analogous law from other jurisdictions.  We are not bound by any of these approaches in interpreting our own law, and the unique features and history of the GCA and the state’s sovereign immunity in our courts temper the conclusions we may draw from these arguments. </w:t>
      </w:r>
    </w:p>
  </w:footnote>
  <w:footnote w:id="9">
    <w:p w14:paraId="228A4B98" w14:textId="77777777" w:rsidR="008B524B" w:rsidRDefault="008B524B" w:rsidP="001D2647">
      <w:pPr>
        <w:pStyle w:val="FootnoteText"/>
      </w:pPr>
      <w:r>
        <w:rPr>
          <w:rStyle w:val="FootnoteReference"/>
        </w:rPr>
        <w:footnoteRef/>
      </w:r>
      <w:r>
        <w:t xml:space="preserve"> </w:t>
      </w:r>
      <w:r>
        <w:tab/>
        <w:t xml:space="preserve">We disapprove of </w:t>
      </w:r>
      <w:r w:rsidRPr="008C4410">
        <w:rPr>
          <w:i/>
        </w:rPr>
        <w:t>Paterson</w:t>
      </w:r>
      <w:r>
        <w:rPr>
          <w:i/>
        </w:rPr>
        <w:t xml:space="preserve"> v. City of Los Angeles</w:t>
      </w:r>
      <w:r>
        <w:t xml:space="preserve">, </w:t>
      </w:r>
      <w:r w:rsidRPr="008C4410">
        <w:rPr>
          <w:i/>
        </w:rPr>
        <w:t>supra</w:t>
      </w:r>
      <w:r>
        <w:t xml:space="preserve">, </w:t>
      </w:r>
      <w:r>
        <w:rPr>
          <w:color w:val="000000"/>
        </w:rPr>
        <w:t xml:space="preserve">174 Cal.App.4th 1393, </w:t>
      </w:r>
      <w:r w:rsidRPr="004C0E63">
        <w:rPr>
          <w:i/>
          <w:color w:val="000000"/>
        </w:rPr>
        <w:t>Richardson-</w:t>
      </w:r>
      <w:proofErr w:type="spellStart"/>
      <w:r w:rsidRPr="004C0E63">
        <w:rPr>
          <w:i/>
          <w:color w:val="000000"/>
        </w:rPr>
        <w:t>Tunnell</w:t>
      </w:r>
      <w:proofErr w:type="spellEnd"/>
      <w:r>
        <w:rPr>
          <w:i/>
          <w:color w:val="000000"/>
        </w:rPr>
        <w:t xml:space="preserve"> v. Schools Ins. Program for Employees (SIPE)</w:t>
      </w:r>
      <w:r>
        <w:rPr>
          <w:color w:val="000000"/>
        </w:rPr>
        <w:t xml:space="preserve">, </w:t>
      </w:r>
      <w:r w:rsidRPr="008C4410">
        <w:rPr>
          <w:i/>
          <w:color w:val="000000"/>
        </w:rPr>
        <w:t>supra</w:t>
      </w:r>
      <w:r>
        <w:rPr>
          <w:color w:val="000000"/>
        </w:rPr>
        <w:t xml:space="preserve">, 157 Cal.App.4th 1056, </w:t>
      </w:r>
      <w:r w:rsidRPr="00E40A04">
        <w:rPr>
          <w:i/>
          <w:color w:val="000000"/>
        </w:rPr>
        <w:t>Inland Empire Health Plan v. Superior Cour</w:t>
      </w:r>
      <w:r w:rsidRPr="004C73D5">
        <w:rPr>
          <w:i/>
          <w:color w:val="000000"/>
        </w:rPr>
        <w:t>t</w:t>
      </w:r>
      <w:r>
        <w:rPr>
          <w:color w:val="000000"/>
        </w:rPr>
        <w:t xml:space="preserve">, </w:t>
      </w:r>
      <w:r w:rsidRPr="00567286">
        <w:rPr>
          <w:i/>
          <w:color w:val="000000"/>
        </w:rPr>
        <w:t>supra</w:t>
      </w:r>
      <w:r>
        <w:rPr>
          <w:color w:val="000000"/>
        </w:rPr>
        <w:t xml:space="preserve">, 108 Cal.App.4th 588, </w:t>
      </w:r>
      <w:proofErr w:type="spellStart"/>
      <w:r w:rsidRPr="00E40A04">
        <w:rPr>
          <w:i/>
          <w:color w:val="000000"/>
        </w:rPr>
        <w:t>Hata</w:t>
      </w:r>
      <w:proofErr w:type="spellEnd"/>
      <w:r>
        <w:rPr>
          <w:i/>
          <w:color w:val="000000"/>
        </w:rPr>
        <w:t xml:space="preserve"> v. Los Angeles County Harbor/UCLA Medical Center</w:t>
      </w:r>
      <w:r>
        <w:rPr>
          <w:color w:val="000000"/>
        </w:rPr>
        <w:t xml:space="preserve">, </w:t>
      </w:r>
      <w:r w:rsidRPr="00E40A04">
        <w:rPr>
          <w:i/>
          <w:color w:val="000000"/>
        </w:rPr>
        <w:t>supra</w:t>
      </w:r>
      <w:r>
        <w:rPr>
          <w:color w:val="000000"/>
        </w:rPr>
        <w:t xml:space="preserve">, 31 Cal.App.4th 1791, </w:t>
      </w:r>
      <w:r w:rsidRPr="00E40A04">
        <w:rPr>
          <w:i/>
          <w:color w:val="000000"/>
        </w:rPr>
        <w:t>Hooper v. City of Chula Vista</w:t>
      </w:r>
      <w:r>
        <w:rPr>
          <w:color w:val="000000"/>
        </w:rPr>
        <w:t xml:space="preserve">, </w:t>
      </w:r>
      <w:r w:rsidRPr="00567286">
        <w:rPr>
          <w:i/>
          <w:color w:val="000000"/>
        </w:rPr>
        <w:t>supra</w:t>
      </w:r>
      <w:r>
        <w:rPr>
          <w:color w:val="000000"/>
        </w:rPr>
        <w:t>, 212 Cal.App.3d 442,</w:t>
      </w:r>
      <w:r w:rsidRPr="008C4410">
        <w:rPr>
          <w:i/>
          <w:color w:val="000000"/>
        </w:rPr>
        <w:t xml:space="preserve"> Kemmerer</w:t>
      </w:r>
      <w:r>
        <w:rPr>
          <w:i/>
          <w:color w:val="000000"/>
        </w:rPr>
        <w:t xml:space="preserve"> v. County of Fresno</w:t>
      </w:r>
      <w:r>
        <w:rPr>
          <w:color w:val="000000"/>
        </w:rPr>
        <w:t xml:space="preserve">, </w:t>
      </w:r>
      <w:r w:rsidRPr="008C4410">
        <w:rPr>
          <w:i/>
          <w:color w:val="000000"/>
        </w:rPr>
        <w:t>supra</w:t>
      </w:r>
      <w:r>
        <w:rPr>
          <w:color w:val="000000"/>
        </w:rPr>
        <w:t xml:space="preserve">, 200 Cal.App.3d 1426, and </w:t>
      </w:r>
      <w:r w:rsidRPr="008C4410">
        <w:rPr>
          <w:i/>
          <w:color w:val="000000"/>
        </w:rPr>
        <w:t>Buford</w:t>
      </w:r>
      <w:r>
        <w:rPr>
          <w:i/>
          <w:color w:val="000000"/>
        </w:rPr>
        <w:t xml:space="preserve"> v. State of California</w:t>
      </w:r>
      <w:r>
        <w:rPr>
          <w:color w:val="000000"/>
        </w:rPr>
        <w:t xml:space="preserve">, </w:t>
      </w:r>
      <w:r w:rsidRPr="008C4410">
        <w:rPr>
          <w:i/>
          <w:color w:val="000000"/>
        </w:rPr>
        <w:t>supra</w:t>
      </w:r>
      <w:r>
        <w:rPr>
          <w:color w:val="000000"/>
        </w:rPr>
        <w:t>, 104 Cal.App.3d 811, to the extent they suggest that statutory immunities in the GCA deprive courts of fundamental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8784" w14:textId="77777777" w:rsidR="008B524B" w:rsidRDefault="008B524B">
    <w:pPr>
      <w:pStyle w:val="Header"/>
    </w:pPr>
    <w:r>
      <w:t>QUIGLEY v. GARDEN VALLEY FIRE PROTECTION DISTRICT</w:t>
    </w:r>
  </w:p>
  <w:p w14:paraId="06BE8F93" w14:textId="77777777" w:rsidR="008B524B" w:rsidRDefault="008B524B">
    <w:pPr>
      <w:pStyle w:val="Header"/>
    </w:pPr>
    <w:r>
      <w:t>Opinion of the Court by Kruger, J.</w:t>
    </w:r>
  </w:p>
  <w:p w14:paraId="5796ABDB" w14:textId="77777777" w:rsidR="008B524B" w:rsidRDefault="008B5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8346" w14:textId="77777777" w:rsidR="00F069B5" w:rsidRDefault="00D04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AF80" w14:textId="77777777" w:rsidR="00F069B5" w:rsidRDefault="00D04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E639" w14:textId="77777777" w:rsidR="00F069B5" w:rsidRDefault="00D04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708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168B7"/>
    <w:multiLevelType w:val="hybridMultilevel"/>
    <w:tmpl w:val="A6406ED2"/>
    <w:lvl w:ilvl="0" w:tplc="96524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B0140"/>
    <w:multiLevelType w:val="hybridMultilevel"/>
    <w:tmpl w:val="AD74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11234"/>
    <w:multiLevelType w:val="hybridMultilevel"/>
    <w:tmpl w:val="ABF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53CBB"/>
    <w:multiLevelType w:val="hybridMultilevel"/>
    <w:tmpl w:val="C1FE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D3330"/>
    <w:multiLevelType w:val="hybridMultilevel"/>
    <w:tmpl w:val="C332E286"/>
    <w:lvl w:ilvl="0" w:tplc="3A1471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CB516B"/>
    <w:multiLevelType w:val="hybridMultilevel"/>
    <w:tmpl w:val="91A4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91"/>
    <w:rsid w:val="000006F4"/>
    <w:rsid w:val="000034EE"/>
    <w:rsid w:val="0000509C"/>
    <w:rsid w:val="0000551A"/>
    <w:rsid w:val="00007332"/>
    <w:rsid w:val="00010165"/>
    <w:rsid w:val="00010A3D"/>
    <w:rsid w:val="00010E38"/>
    <w:rsid w:val="000137FD"/>
    <w:rsid w:val="0001435A"/>
    <w:rsid w:val="00014A10"/>
    <w:rsid w:val="00014DB7"/>
    <w:rsid w:val="00015B94"/>
    <w:rsid w:val="00022381"/>
    <w:rsid w:val="00023027"/>
    <w:rsid w:val="00023878"/>
    <w:rsid w:val="00024C51"/>
    <w:rsid w:val="00025340"/>
    <w:rsid w:val="00025BFE"/>
    <w:rsid w:val="00026249"/>
    <w:rsid w:val="00033A3F"/>
    <w:rsid w:val="00034142"/>
    <w:rsid w:val="000349F8"/>
    <w:rsid w:val="000372B3"/>
    <w:rsid w:val="0003768F"/>
    <w:rsid w:val="00040D14"/>
    <w:rsid w:val="0004139C"/>
    <w:rsid w:val="00043922"/>
    <w:rsid w:val="00045178"/>
    <w:rsid w:val="00046215"/>
    <w:rsid w:val="00050574"/>
    <w:rsid w:val="00050DBD"/>
    <w:rsid w:val="00053159"/>
    <w:rsid w:val="00054CDB"/>
    <w:rsid w:val="00057D43"/>
    <w:rsid w:val="00061293"/>
    <w:rsid w:val="00062D98"/>
    <w:rsid w:val="00062DDE"/>
    <w:rsid w:val="00063AE0"/>
    <w:rsid w:val="00065120"/>
    <w:rsid w:val="00065835"/>
    <w:rsid w:val="00065E53"/>
    <w:rsid w:val="00065F0C"/>
    <w:rsid w:val="00065FC9"/>
    <w:rsid w:val="00066EFF"/>
    <w:rsid w:val="00073913"/>
    <w:rsid w:val="000803D9"/>
    <w:rsid w:val="000805D8"/>
    <w:rsid w:val="0008298F"/>
    <w:rsid w:val="0009337D"/>
    <w:rsid w:val="00095B94"/>
    <w:rsid w:val="0009674A"/>
    <w:rsid w:val="000A1254"/>
    <w:rsid w:val="000A3DE8"/>
    <w:rsid w:val="000A4E7C"/>
    <w:rsid w:val="000A601A"/>
    <w:rsid w:val="000A6C0B"/>
    <w:rsid w:val="000A7A4E"/>
    <w:rsid w:val="000A7D70"/>
    <w:rsid w:val="000A7DC8"/>
    <w:rsid w:val="000B12F6"/>
    <w:rsid w:val="000B3119"/>
    <w:rsid w:val="000B38BA"/>
    <w:rsid w:val="000B39CD"/>
    <w:rsid w:val="000B5027"/>
    <w:rsid w:val="000B5328"/>
    <w:rsid w:val="000B5330"/>
    <w:rsid w:val="000B78E6"/>
    <w:rsid w:val="000C0BA6"/>
    <w:rsid w:val="000C135A"/>
    <w:rsid w:val="000C1474"/>
    <w:rsid w:val="000C29A5"/>
    <w:rsid w:val="000C59B3"/>
    <w:rsid w:val="000C67E5"/>
    <w:rsid w:val="000D00CE"/>
    <w:rsid w:val="000D234E"/>
    <w:rsid w:val="000D2BD6"/>
    <w:rsid w:val="000D3BED"/>
    <w:rsid w:val="000D5828"/>
    <w:rsid w:val="000E1615"/>
    <w:rsid w:val="000E170B"/>
    <w:rsid w:val="000E1C7E"/>
    <w:rsid w:val="000E1CB8"/>
    <w:rsid w:val="000E1DFD"/>
    <w:rsid w:val="000E1F69"/>
    <w:rsid w:val="000E2DF2"/>
    <w:rsid w:val="000E3362"/>
    <w:rsid w:val="000E5AAD"/>
    <w:rsid w:val="000E5D3D"/>
    <w:rsid w:val="000E6EB5"/>
    <w:rsid w:val="000E7D9F"/>
    <w:rsid w:val="000F0CCE"/>
    <w:rsid w:val="000F2351"/>
    <w:rsid w:val="000F2F9F"/>
    <w:rsid w:val="000F4992"/>
    <w:rsid w:val="000F5450"/>
    <w:rsid w:val="000F6064"/>
    <w:rsid w:val="000F77EB"/>
    <w:rsid w:val="00100177"/>
    <w:rsid w:val="0010075B"/>
    <w:rsid w:val="001015AB"/>
    <w:rsid w:val="00103979"/>
    <w:rsid w:val="0010672B"/>
    <w:rsid w:val="00106B5B"/>
    <w:rsid w:val="00107094"/>
    <w:rsid w:val="00107B05"/>
    <w:rsid w:val="00117500"/>
    <w:rsid w:val="001219E3"/>
    <w:rsid w:val="00124DA2"/>
    <w:rsid w:val="00126B73"/>
    <w:rsid w:val="0012740D"/>
    <w:rsid w:val="00127684"/>
    <w:rsid w:val="00131E50"/>
    <w:rsid w:val="001369AC"/>
    <w:rsid w:val="0014237F"/>
    <w:rsid w:val="001432F0"/>
    <w:rsid w:val="001434AD"/>
    <w:rsid w:val="00144F3A"/>
    <w:rsid w:val="00145F31"/>
    <w:rsid w:val="00150365"/>
    <w:rsid w:val="00152DDC"/>
    <w:rsid w:val="00152F10"/>
    <w:rsid w:val="00153CC6"/>
    <w:rsid w:val="00153CE7"/>
    <w:rsid w:val="0015410E"/>
    <w:rsid w:val="0015540B"/>
    <w:rsid w:val="00155645"/>
    <w:rsid w:val="001559FB"/>
    <w:rsid w:val="00155B6E"/>
    <w:rsid w:val="00156C9B"/>
    <w:rsid w:val="00157C61"/>
    <w:rsid w:val="00157F25"/>
    <w:rsid w:val="001612D1"/>
    <w:rsid w:val="00162E2E"/>
    <w:rsid w:val="00164F3E"/>
    <w:rsid w:val="0016555B"/>
    <w:rsid w:val="00165841"/>
    <w:rsid w:val="00165BB3"/>
    <w:rsid w:val="00166F52"/>
    <w:rsid w:val="00167F2B"/>
    <w:rsid w:val="00167FB4"/>
    <w:rsid w:val="00170824"/>
    <w:rsid w:val="00170A72"/>
    <w:rsid w:val="00171044"/>
    <w:rsid w:val="00171928"/>
    <w:rsid w:val="00174B23"/>
    <w:rsid w:val="0017543D"/>
    <w:rsid w:val="0017628F"/>
    <w:rsid w:val="00176337"/>
    <w:rsid w:val="0018097D"/>
    <w:rsid w:val="001819F2"/>
    <w:rsid w:val="00186861"/>
    <w:rsid w:val="00187372"/>
    <w:rsid w:val="001902DF"/>
    <w:rsid w:val="00192D3D"/>
    <w:rsid w:val="00195524"/>
    <w:rsid w:val="00195B45"/>
    <w:rsid w:val="00195FE8"/>
    <w:rsid w:val="0019665F"/>
    <w:rsid w:val="001A0B48"/>
    <w:rsid w:val="001A1E3B"/>
    <w:rsid w:val="001A29DF"/>
    <w:rsid w:val="001A4CA7"/>
    <w:rsid w:val="001A5E7B"/>
    <w:rsid w:val="001A7B51"/>
    <w:rsid w:val="001B01AC"/>
    <w:rsid w:val="001B037B"/>
    <w:rsid w:val="001B0FB2"/>
    <w:rsid w:val="001B214B"/>
    <w:rsid w:val="001B291B"/>
    <w:rsid w:val="001B3C3B"/>
    <w:rsid w:val="001B71C3"/>
    <w:rsid w:val="001B7B20"/>
    <w:rsid w:val="001C06DC"/>
    <w:rsid w:val="001C1516"/>
    <w:rsid w:val="001C2F16"/>
    <w:rsid w:val="001C440E"/>
    <w:rsid w:val="001C5D87"/>
    <w:rsid w:val="001C6593"/>
    <w:rsid w:val="001C6943"/>
    <w:rsid w:val="001C74B2"/>
    <w:rsid w:val="001C7F18"/>
    <w:rsid w:val="001D2647"/>
    <w:rsid w:val="001D2F95"/>
    <w:rsid w:val="001D50BC"/>
    <w:rsid w:val="001D5393"/>
    <w:rsid w:val="001E1C21"/>
    <w:rsid w:val="001E2D75"/>
    <w:rsid w:val="001E516F"/>
    <w:rsid w:val="001E5935"/>
    <w:rsid w:val="001E7579"/>
    <w:rsid w:val="001E768B"/>
    <w:rsid w:val="001F0AD7"/>
    <w:rsid w:val="001F0E57"/>
    <w:rsid w:val="001F22A3"/>
    <w:rsid w:val="001F2EF1"/>
    <w:rsid w:val="001F327B"/>
    <w:rsid w:val="001F413B"/>
    <w:rsid w:val="001F4808"/>
    <w:rsid w:val="001F517D"/>
    <w:rsid w:val="001F6238"/>
    <w:rsid w:val="001F6727"/>
    <w:rsid w:val="001F6899"/>
    <w:rsid w:val="001F76F8"/>
    <w:rsid w:val="00201646"/>
    <w:rsid w:val="00202085"/>
    <w:rsid w:val="002024C1"/>
    <w:rsid w:val="00202FA7"/>
    <w:rsid w:val="00204042"/>
    <w:rsid w:val="00204DF2"/>
    <w:rsid w:val="002053A2"/>
    <w:rsid w:val="002061FA"/>
    <w:rsid w:val="00207568"/>
    <w:rsid w:val="00207E57"/>
    <w:rsid w:val="00211734"/>
    <w:rsid w:val="0021193F"/>
    <w:rsid w:val="00211C79"/>
    <w:rsid w:val="00213676"/>
    <w:rsid w:val="00214EC3"/>
    <w:rsid w:val="002158AA"/>
    <w:rsid w:val="0021596E"/>
    <w:rsid w:val="00217A33"/>
    <w:rsid w:val="0022124B"/>
    <w:rsid w:val="00225393"/>
    <w:rsid w:val="00226DE7"/>
    <w:rsid w:val="0023199A"/>
    <w:rsid w:val="002322AA"/>
    <w:rsid w:val="00232450"/>
    <w:rsid w:val="002329CF"/>
    <w:rsid w:val="00233980"/>
    <w:rsid w:val="00236714"/>
    <w:rsid w:val="00241692"/>
    <w:rsid w:val="00241B32"/>
    <w:rsid w:val="00251784"/>
    <w:rsid w:val="002530B6"/>
    <w:rsid w:val="00255409"/>
    <w:rsid w:val="00255578"/>
    <w:rsid w:val="0025598E"/>
    <w:rsid w:val="00255DDF"/>
    <w:rsid w:val="00256561"/>
    <w:rsid w:val="0025680C"/>
    <w:rsid w:val="00256B54"/>
    <w:rsid w:val="00256B8D"/>
    <w:rsid w:val="0025726D"/>
    <w:rsid w:val="00260254"/>
    <w:rsid w:val="00261994"/>
    <w:rsid w:val="00264882"/>
    <w:rsid w:val="00265D2F"/>
    <w:rsid w:val="00266ECA"/>
    <w:rsid w:val="0026716B"/>
    <w:rsid w:val="002676B9"/>
    <w:rsid w:val="002726B9"/>
    <w:rsid w:val="00272D78"/>
    <w:rsid w:val="002756EE"/>
    <w:rsid w:val="002758D8"/>
    <w:rsid w:val="002808EE"/>
    <w:rsid w:val="002815A2"/>
    <w:rsid w:val="00285F20"/>
    <w:rsid w:val="002866E6"/>
    <w:rsid w:val="00291037"/>
    <w:rsid w:val="00291840"/>
    <w:rsid w:val="002933B6"/>
    <w:rsid w:val="0029460A"/>
    <w:rsid w:val="00294AE5"/>
    <w:rsid w:val="002958C3"/>
    <w:rsid w:val="002A0181"/>
    <w:rsid w:val="002A03C3"/>
    <w:rsid w:val="002A1030"/>
    <w:rsid w:val="002A2399"/>
    <w:rsid w:val="002A2D7B"/>
    <w:rsid w:val="002A3CAD"/>
    <w:rsid w:val="002A475E"/>
    <w:rsid w:val="002A4869"/>
    <w:rsid w:val="002A59E3"/>
    <w:rsid w:val="002A69F4"/>
    <w:rsid w:val="002B0695"/>
    <w:rsid w:val="002B0717"/>
    <w:rsid w:val="002B6138"/>
    <w:rsid w:val="002B6808"/>
    <w:rsid w:val="002C1298"/>
    <w:rsid w:val="002C37EF"/>
    <w:rsid w:val="002C4228"/>
    <w:rsid w:val="002C4310"/>
    <w:rsid w:val="002C54E3"/>
    <w:rsid w:val="002C5D18"/>
    <w:rsid w:val="002D0CCE"/>
    <w:rsid w:val="002D4E93"/>
    <w:rsid w:val="002D5136"/>
    <w:rsid w:val="002D6C53"/>
    <w:rsid w:val="002E1AC5"/>
    <w:rsid w:val="002E1C8D"/>
    <w:rsid w:val="002E251E"/>
    <w:rsid w:val="002E26B7"/>
    <w:rsid w:val="002E3DCC"/>
    <w:rsid w:val="002E3E27"/>
    <w:rsid w:val="002E4192"/>
    <w:rsid w:val="002E5455"/>
    <w:rsid w:val="002E5E2D"/>
    <w:rsid w:val="002E6455"/>
    <w:rsid w:val="002E756D"/>
    <w:rsid w:val="002E78DE"/>
    <w:rsid w:val="002E7938"/>
    <w:rsid w:val="002E7D9F"/>
    <w:rsid w:val="002F0FC2"/>
    <w:rsid w:val="002F1389"/>
    <w:rsid w:val="002F2132"/>
    <w:rsid w:val="002F2CB6"/>
    <w:rsid w:val="002F2F74"/>
    <w:rsid w:val="002F3F07"/>
    <w:rsid w:val="002F71F1"/>
    <w:rsid w:val="002F7E36"/>
    <w:rsid w:val="00302718"/>
    <w:rsid w:val="00303203"/>
    <w:rsid w:val="0030516A"/>
    <w:rsid w:val="00305529"/>
    <w:rsid w:val="00306695"/>
    <w:rsid w:val="00310B62"/>
    <w:rsid w:val="0031193C"/>
    <w:rsid w:val="00311FC6"/>
    <w:rsid w:val="00312212"/>
    <w:rsid w:val="0031282D"/>
    <w:rsid w:val="0031306C"/>
    <w:rsid w:val="003136AD"/>
    <w:rsid w:val="00314AF1"/>
    <w:rsid w:val="003161CE"/>
    <w:rsid w:val="003167AB"/>
    <w:rsid w:val="00316E11"/>
    <w:rsid w:val="00320EDD"/>
    <w:rsid w:val="003213D8"/>
    <w:rsid w:val="0032166C"/>
    <w:rsid w:val="003221AD"/>
    <w:rsid w:val="00322DD1"/>
    <w:rsid w:val="003238C0"/>
    <w:rsid w:val="003301B2"/>
    <w:rsid w:val="00331419"/>
    <w:rsid w:val="00331B84"/>
    <w:rsid w:val="00335890"/>
    <w:rsid w:val="0033799D"/>
    <w:rsid w:val="0034041F"/>
    <w:rsid w:val="00340B27"/>
    <w:rsid w:val="00342633"/>
    <w:rsid w:val="00343956"/>
    <w:rsid w:val="003456A4"/>
    <w:rsid w:val="00345C96"/>
    <w:rsid w:val="00346BF5"/>
    <w:rsid w:val="00346BF7"/>
    <w:rsid w:val="00347558"/>
    <w:rsid w:val="0035102E"/>
    <w:rsid w:val="0035162C"/>
    <w:rsid w:val="00356597"/>
    <w:rsid w:val="0036048F"/>
    <w:rsid w:val="0036101D"/>
    <w:rsid w:val="00361E3E"/>
    <w:rsid w:val="0036467B"/>
    <w:rsid w:val="003673E5"/>
    <w:rsid w:val="003706CC"/>
    <w:rsid w:val="0037130A"/>
    <w:rsid w:val="00371314"/>
    <w:rsid w:val="00371396"/>
    <w:rsid w:val="003726ED"/>
    <w:rsid w:val="003731D1"/>
    <w:rsid w:val="00373291"/>
    <w:rsid w:val="00374A16"/>
    <w:rsid w:val="00375D1E"/>
    <w:rsid w:val="00375E32"/>
    <w:rsid w:val="00382305"/>
    <w:rsid w:val="00385748"/>
    <w:rsid w:val="00386786"/>
    <w:rsid w:val="00386996"/>
    <w:rsid w:val="003877E9"/>
    <w:rsid w:val="003921BE"/>
    <w:rsid w:val="00393A56"/>
    <w:rsid w:val="00394262"/>
    <w:rsid w:val="003975DF"/>
    <w:rsid w:val="003A10D0"/>
    <w:rsid w:val="003A10FD"/>
    <w:rsid w:val="003A409B"/>
    <w:rsid w:val="003A43CF"/>
    <w:rsid w:val="003A4D87"/>
    <w:rsid w:val="003A748B"/>
    <w:rsid w:val="003A7EA3"/>
    <w:rsid w:val="003B35C0"/>
    <w:rsid w:val="003B3812"/>
    <w:rsid w:val="003B554C"/>
    <w:rsid w:val="003B5D45"/>
    <w:rsid w:val="003B6500"/>
    <w:rsid w:val="003B6577"/>
    <w:rsid w:val="003B657D"/>
    <w:rsid w:val="003B691F"/>
    <w:rsid w:val="003B6952"/>
    <w:rsid w:val="003B70A1"/>
    <w:rsid w:val="003B753B"/>
    <w:rsid w:val="003B76C9"/>
    <w:rsid w:val="003B7951"/>
    <w:rsid w:val="003B7B93"/>
    <w:rsid w:val="003B7BC3"/>
    <w:rsid w:val="003C0A6B"/>
    <w:rsid w:val="003C333A"/>
    <w:rsid w:val="003C460D"/>
    <w:rsid w:val="003C53E9"/>
    <w:rsid w:val="003C6E4A"/>
    <w:rsid w:val="003D0C49"/>
    <w:rsid w:val="003D0EF0"/>
    <w:rsid w:val="003D13CD"/>
    <w:rsid w:val="003D1DA9"/>
    <w:rsid w:val="003D1F18"/>
    <w:rsid w:val="003D4F3D"/>
    <w:rsid w:val="003D4F6A"/>
    <w:rsid w:val="003D6902"/>
    <w:rsid w:val="003D79E0"/>
    <w:rsid w:val="003E01EF"/>
    <w:rsid w:val="003E28F8"/>
    <w:rsid w:val="003E2D93"/>
    <w:rsid w:val="003F209F"/>
    <w:rsid w:val="003F3121"/>
    <w:rsid w:val="003F31D7"/>
    <w:rsid w:val="003F419C"/>
    <w:rsid w:val="00400CD1"/>
    <w:rsid w:val="00402DA2"/>
    <w:rsid w:val="00407A57"/>
    <w:rsid w:val="00415C97"/>
    <w:rsid w:val="00415D17"/>
    <w:rsid w:val="00417542"/>
    <w:rsid w:val="00417D3A"/>
    <w:rsid w:val="00423401"/>
    <w:rsid w:val="00426997"/>
    <w:rsid w:val="00427D8A"/>
    <w:rsid w:val="00430111"/>
    <w:rsid w:val="004315D5"/>
    <w:rsid w:val="00432C09"/>
    <w:rsid w:val="004351E2"/>
    <w:rsid w:val="0044027F"/>
    <w:rsid w:val="00442A16"/>
    <w:rsid w:val="00443ED9"/>
    <w:rsid w:val="004443A0"/>
    <w:rsid w:val="00444525"/>
    <w:rsid w:val="004467A6"/>
    <w:rsid w:val="00446F24"/>
    <w:rsid w:val="00446FFD"/>
    <w:rsid w:val="00447CBF"/>
    <w:rsid w:val="004503A4"/>
    <w:rsid w:val="004505D5"/>
    <w:rsid w:val="004511D5"/>
    <w:rsid w:val="0045158E"/>
    <w:rsid w:val="004527BD"/>
    <w:rsid w:val="00454117"/>
    <w:rsid w:val="00454697"/>
    <w:rsid w:val="004556E2"/>
    <w:rsid w:val="00456225"/>
    <w:rsid w:val="004563C5"/>
    <w:rsid w:val="00456960"/>
    <w:rsid w:val="00456B7C"/>
    <w:rsid w:val="00457024"/>
    <w:rsid w:val="0046166F"/>
    <w:rsid w:val="00461A16"/>
    <w:rsid w:val="00462704"/>
    <w:rsid w:val="004638D7"/>
    <w:rsid w:val="0046563C"/>
    <w:rsid w:val="004668DC"/>
    <w:rsid w:val="004669F3"/>
    <w:rsid w:val="00470B0B"/>
    <w:rsid w:val="00470C71"/>
    <w:rsid w:val="00471CFD"/>
    <w:rsid w:val="00473209"/>
    <w:rsid w:val="0047327A"/>
    <w:rsid w:val="00473AC7"/>
    <w:rsid w:val="0047476E"/>
    <w:rsid w:val="004771B5"/>
    <w:rsid w:val="0047772D"/>
    <w:rsid w:val="00481C21"/>
    <w:rsid w:val="0048259D"/>
    <w:rsid w:val="0048438A"/>
    <w:rsid w:val="00485200"/>
    <w:rsid w:val="004858A4"/>
    <w:rsid w:val="00485D95"/>
    <w:rsid w:val="0049087E"/>
    <w:rsid w:val="004935C6"/>
    <w:rsid w:val="00495ADA"/>
    <w:rsid w:val="00495D0D"/>
    <w:rsid w:val="00496185"/>
    <w:rsid w:val="00496423"/>
    <w:rsid w:val="00497565"/>
    <w:rsid w:val="004A00C0"/>
    <w:rsid w:val="004A09D0"/>
    <w:rsid w:val="004A0F90"/>
    <w:rsid w:val="004A1933"/>
    <w:rsid w:val="004A2288"/>
    <w:rsid w:val="004A235B"/>
    <w:rsid w:val="004A460E"/>
    <w:rsid w:val="004A48C2"/>
    <w:rsid w:val="004A4CCC"/>
    <w:rsid w:val="004A4E59"/>
    <w:rsid w:val="004A6975"/>
    <w:rsid w:val="004A6FC5"/>
    <w:rsid w:val="004A7D2D"/>
    <w:rsid w:val="004B081C"/>
    <w:rsid w:val="004B0EA8"/>
    <w:rsid w:val="004B19FE"/>
    <w:rsid w:val="004B52DF"/>
    <w:rsid w:val="004B5A19"/>
    <w:rsid w:val="004B6193"/>
    <w:rsid w:val="004B7019"/>
    <w:rsid w:val="004C0D52"/>
    <w:rsid w:val="004C48A0"/>
    <w:rsid w:val="004C49EB"/>
    <w:rsid w:val="004C67B0"/>
    <w:rsid w:val="004C73D5"/>
    <w:rsid w:val="004D021D"/>
    <w:rsid w:val="004D1A43"/>
    <w:rsid w:val="004D1BA1"/>
    <w:rsid w:val="004D1D73"/>
    <w:rsid w:val="004D3D91"/>
    <w:rsid w:val="004D476E"/>
    <w:rsid w:val="004D59E4"/>
    <w:rsid w:val="004D5A06"/>
    <w:rsid w:val="004D7EBA"/>
    <w:rsid w:val="004E1782"/>
    <w:rsid w:val="004E1C65"/>
    <w:rsid w:val="004F02FE"/>
    <w:rsid w:val="004F0AAB"/>
    <w:rsid w:val="004F2829"/>
    <w:rsid w:val="004F2C64"/>
    <w:rsid w:val="004F33E4"/>
    <w:rsid w:val="004F628E"/>
    <w:rsid w:val="004F70B6"/>
    <w:rsid w:val="004F7AB1"/>
    <w:rsid w:val="005000CD"/>
    <w:rsid w:val="00500BE6"/>
    <w:rsid w:val="0050102E"/>
    <w:rsid w:val="00501D8F"/>
    <w:rsid w:val="0050354A"/>
    <w:rsid w:val="00504E99"/>
    <w:rsid w:val="005051E3"/>
    <w:rsid w:val="005071C8"/>
    <w:rsid w:val="00510488"/>
    <w:rsid w:val="00510F95"/>
    <w:rsid w:val="005117E1"/>
    <w:rsid w:val="00511A15"/>
    <w:rsid w:val="00511D91"/>
    <w:rsid w:val="00511E6C"/>
    <w:rsid w:val="005131F9"/>
    <w:rsid w:val="0051334F"/>
    <w:rsid w:val="00515D49"/>
    <w:rsid w:val="00515FFB"/>
    <w:rsid w:val="00516305"/>
    <w:rsid w:val="00516A96"/>
    <w:rsid w:val="00522F51"/>
    <w:rsid w:val="00523860"/>
    <w:rsid w:val="00525E2A"/>
    <w:rsid w:val="00526D95"/>
    <w:rsid w:val="0052791C"/>
    <w:rsid w:val="00533503"/>
    <w:rsid w:val="00535CED"/>
    <w:rsid w:val="00536014"/>
    <w:rsid w:val="005372CA"/>
    <w:rsid w:val="0053760E"/>
    <w:rsid w:val="0054225C"/>
    <w:rsid w:val="0054292C"/>
    <w:rsid w:val="00543354"/>
    <w:rsid w:val="00543665"/>
    <w:rsid w:val="00546205"/>
    <w:rsid w:val="00547D71"/>
    <w:rsid w:val="0055162E"/>
    <w:rsid w:val="005531F8"/>
    <w:rsid w:val="005569B1"/>
    <w:rsid w:val="005618E5"/>
    <w:rsid w:val="00562CA4"/>
    <w:rsid w:val="00563809"/>
    <w:rsid w:val="00563B3A"/>
    <w:rsid w:val="00564466"/>
    <w:rsid w:val="00565989"/>
    <w:rsid w:val="00565B80"/>
    <w:rsid w:val="00567286"/>
    <w:rsid w:val="00567780"/>
    <w:rsid w:val="0057044A"/>
    <w:rsid w:val="005715D3"/>
    <w:rsid w:val="00571701"/>
    <w:rsid w:val="00572920"/>
    <w:rsid w:val="00572F2B"/>
    <w:rsid w:val="00573D1B"/>
    <w:rsid w:val="0057738F"/>
    <w:rsid w:val="00577FDE"/>
    <w:rsid w:val="00580BC8"/>
    <w:rsid w:val="005810F6"/>
    <w:rsid w:val="00581ECC"/>
    <w:rsid w:val="00582EFD"/>
    <w:rsid w:val="00583D62"/>
    <w:rsid w:val="00585D41"/>
    <w:rsid w:val="00587027"/>
    <w:rsid w:val="0058753F"/>
    <w:rsid w:val="00587A81"/>
    <w:rsid w:val="005905E0"/>
    <w:rsid w:val="00591D5A"/>
    <w:rsid w:val="0059215B"/>
    <w:rsid w:val="005935D3"/>
    <w:rsid w:val="0059580F"/>
    <w:rsid w:val="00595ECF"/>
    <w:rsid w:val="005978BD"/>
    <w:rsid w:val="005A0FCE"/>
    <w:rsid w:val="005A1F4B"/>
    <w:rsid w:val="005A342B"/>
    <w:rsid w:val="005A3A2F"/>
    <w:rsid w:val="005A544A"/>
    <w:rsid w:val="005A54CF"/>
    <w:rsid w:val="005A7669"/>
    <w:rsid w:val="005A791B"/>
    <w:rsid w:val="005B11CE"/>
    <w:rsid w:val="005B20A6"/>
    <w:rsid w:val="005B2A95"/>
    <w:rsid w:val="005B2CBB"/>
    <w:rsid w:val="005B4A50"/>
    <w:rsid w:val="005B4CD9"/>
    <w:rsid w:val="005B659E"/>
    <w:rsid w:val="005B68E6"/>
    <w:rsid w:val="005B7487"/>
    <w:rsid w:val="005C0661"/>
    <w:rsid w:val="005C0961"/>
    <w:rsid w:val="005C3F5C"/>
    <w:rsid w:val="005C5ADB"/>
    <w:rsid w:val="005C635C"/>
    <w:rsid w:val="005C6C61"/>
    <w:rsid w:val="005D0B39"/>
    <w:rsid w:val="005D136C"/>
    <w:rsid w:val="005D3028"/>
    <w:rsid w:val="005E154D"/>
    <w:rsid w:val="005E20F7"/>
    <w:rsid w:val="005E2E3F"/>
    <w:rsid w:val="005E33BD"/>
    <w:rsid w:val="005E3C92"/>
    <w:rsid w:val="005E6C7B"/>
    <w:rsid w:val="005F0286"/>
    <w:rsid w:val="005F0F35"/>
    <w:rsid w:val="005F1E92"/>
    <w:rsid w:val="005F25D7"/>
    <w:rsid w:val="005F5884"/>
    <w:rsid w:val="005F6CCB"/>
    <w:rsid w:val="005F6F14"/>
    <w:rsid w:val="005F73A1"/>
    <w:rsid w:val="005F7D34"/>
    <w:rsid w:val="006000BC"/>
    <w:rsid w:val="006004AB"/>
    <w:rsid w:val="00602189"/>
    <w:rsid w:val="00602FD2"/>
    <w:rsid w:val="006034E8"/>
    <w:rsid w:val="00604BDE"/>
    <w:rsid w:val="00605C9B"/>
    <w:rsid w:val="00606BBD"/>
    <w:rsid w:val="00607A9A"/>
    <w:rsid w:val="00610792"/>
    <w:rsid w:val="00611E38"/>
    <w:rsid w:val="006121DD"/>
    <w:rsid w:val="00612923"/>
    <w:rsid w:val="0061474F"/>
    <w:rsid w:val="0061597F"/>
    <w:rsid w:val="00616F32"/>
    <w:rsid w:val="00617145"/>
    <w:rsid w:val="006176CE"/>
    <w:rsid w:val="00617E8C"/>
    <w:rsid w:val="00622B8C"/>
    <w:rsid w:val="00622D32"/>
    <w:rsid w:val="0062473E"/>
    <w:rsid w:val="006247AA"/>
    <w:rsid w:val="00624C20"/>
    <w:rsid w:val="00626B51"/>
    <w:rsid w:val="006270D0"/>
    <w:rsid w:val="00627413"/>
    <w:rsid w:val="00633104"/>
    <w:rsid w:val="0063352F"/>
    <w:rsid w:val="00634AA1"/>
    <w:rsid w:val="006359A8"/>
    <w:rsid w:val="00640493"/>
    <w:rsid w:val="006432E2"/>
    <w:rsid w:val="0064361E"/>
    <w:rsid w:val="00644E0A"/>
    <w:rsid w:val="006452C7"/>
    <w:rsid w:val="0064569B"/>
    <w:rsid w:val="006468EA"/>
    <w:rsid w:val="006471DE"/>
    <w:rsid w:val="0065089E"/>
    <w:rsid w:val="00651129"/>
    <w:rsid w:val="0065302D"/>
    <w:rsid w:val="0065325F"/>
    <w:rsid w:val="00653F17"/>
    <w:rsid w:val="00654612"/>
    <w:rsid w:val="00660242"/>
    <w:rsid w:val="006605F6"/>
    <w:rsid w:val="006618AD"/>
    <w:rsid w:val="00663106"/>
    <w:rsid w:val="00664920"/>
    <w:rsid w:val="006649DA"/>
    <w:rsid w:val="006662A2"/>
    <w:rsid w:val="0067007E"/>
    <w:rsid w:val="00672207"/>
    <w:rsid w:val="0067257F"/>
    <w:rsid w:val="00676D93"/>
    <w:rsid w:val="0067717E"/>
    <w:rsid w:val="006805C1"/>
    <w:rsid w:val="006811B9"/>
    <w:rsid w:val="00682DCD"/>
    <w:rsid w:val="00683E9A"/>
    <w:rsid w:val="00686B22"/>
    <w:rsid w:val="006875D3"/>
    <w:rsid w:val="00691832"/>
    <w:rsid w:val="00694A63"/>
    <w:rsid w:val="00697B6D"/>
    <w:rsid w:val="006A1263"/>
    <w:rsid w:val="006A264F"/>
    <w:rsid w:val="006A32C2"/>
    <w:rsid w:val="006A6134"/>
    <w:rsid w:val="006A6EDB"/>
    <w:rsid w:val="006B04C1"/>
    <w:rsid w:val="006B091A"/>
    <w:rsid w:val="006B2A16"/>
    <w:rsid w:val="006B2F8A"/>
    <w:rsid w:val="006B5254"/>
    <w:rsid w:val="006B6EAE"/>
    <w:rsid w:val="006C014F"/>
    <w:rsid w:val="006C134B"/>
    <w:rsid w:val="006C36A1"/>
    <w:rsid w:val="006C3782"/>
    <w:rsid w:val="006C49CA"/>
    <w:rsid w:val="006C4B3F"/>
    <w:rsid w:val="006C55E3"/>
    <w:rsid w:val="006C5FE8"/>
    <w:rsid w:val="006C7DE5"/>
    <w:rsid w:val="006D0098"/>
    <w:rsid w:val="006D054F"/>
    <w:rsid w:val="006D425C"/>
    <w:rsid w:val="006D6774"/>
    <w:rsid w:val="006E1935"/>
    <w:rsid w:val="006E3511"/>
    <w:rsid w:val="006E393F"/>
    <w:rsid w:val="006E5637"/>
    <w:rsid w:val="006E6430"/>
    <w:rsid w:val="006E7223"/>
    <w:rsid w:val="006F1B54"/>
    <w:rsid w:val="006F1F54"/>
    <w:rsid w:val="006F32CA"/>
    <w:rsid w:val="006F38D2"/>
    <w:rsid w:val="006F3A07"/>
    <w:rsid w:val="006F48D0"/>
    <w:rsid w:val="006F545D"/>
    <w:rsid w:val="006F5973"/>
    <w:rsid w:val="006F5B67"/>
    <w:rsid w:val="006F6B35"/>
    <w:rsid w:val="006F7BA8"/>
    <w:rsid w:val="00700141"/>
    <w:rsid w:val="00701573"/>
    <w:rsid w:val="00702092"/>
    <w:rsid w:val="00705E99"/>
    <w:rsid w:val="00706134"/>
    <w:rsid w:val="00706547"/>
    <w:rsid w:val="00706B1D"/>
    <w:rsid w:val="00706EED"/>
    <w:rsid w:val="00713DD6"/>
    <w:rsid w:val="007142B2"/>
    <w:rsid w:val="00714BAB"/>
    <w:rsid w:val="0071688F"/>
    <w:rsid w:val="00720710"/>
    <w:rsid w:val="00722360"/>
    <w:rsid w:val="007231D3"/>
    <w:rsid w:val="00723F0D"/>
    <w:rsid w:val="007259C5"/>
    <w:rsid w:val="00730859"/>
    <w:rsid w:val="0073297C"/>
    <w:rsid w:val="0073306A"/>
    <w:rsid w:val="0073467A"/>
    <w:rsid w:val="0073472C"/>
    <w:rsid w:val="00735EE5"/>
    <w:rsid w:val="00736BD4"/>
    <w:rsid w:val="00737691"/>
    <w:rsid w:val="007418B7"/>
    <w:rsid w:val="00744DE5"/>
    <w:rsid w:val="00745215"/>
    <w:rsid w:val="007469F4"/>
    <w:rsid w:val="007473F4"/>
    <w:rsid w:val="0074789B"/>
    <w:rsid w:val="007478F1"/>
    <w:rsid w:val="00752621"/>
    <w:rsid w:val="00753156"/>
    <w:rsid w:val="00754DE2"/>
    <w:rsid w:val="00755724"/>
    <w:rsid w:val="00757D80"/>
    <w:rsid w:val="00760BCF"/>
    <w:rsid w:val="00760D07"/>
    <w:rsid w:val="00762974"/>
    <w:rsid w:val="0076437D"/>
    <w:rsid w:val="0076467F"/>
    <w:rsid w:val="00765091"/>
    <w:rsid w:val="00766B95"/>
    <w:rsid w:val="007672D5"/>
    <w:rsid w:val="007677AB"/>
    <w:rsid w:val="00770492"/>
    <w:rsid w:val="007707F6"/>
    <w:rsid w:val="00771EA0"/>
    <w:rsid w:val="00771EDE"/>
    <w:rsid w:val="0077379B"/>
    <w:rsid w:val="00773866"/>
    <w:rsid w:val="00773E5D"/>
    <w:rsid w:val="007756FE"/>
    <w:rsid w:val="00776474"/>
    <w:rsid w:val="007765AA"/>
    <w:rsid w:val="007806CC"/>
    <w:rsid w:val="007830AB"/>
    <w:rsid w:val="007835EC"/>
    <w:rsid w:val="0078463A"/>
    <w:rsid w:val="00784F19"/>
    <w:rsid w:val="007864DC"/>
    <w:rsid w:val="00786AB6"/>
    <w:rsid w:val="00787E2F"/>
    <w:rsid w:val="00794084"/>
    <w:rsid w:val="007949DA"/>
    <w:rsid w:val="00795E54"/>
    <w:rsid w:val="007964DE"/>
    <w:rsid w:val="00797EF1"/>
    <w:rsid w:val="007A0D83"/>
    <w:rsid w:val="007A10F2"/>
    <w:rsid w:val="007A18FC"/>
    <w:rsid w:val="007A248C"/>
    <w:rsid w:val="007A2D08"/>
    <w:rsid w:val="007A495B"/>
    <w:rsid w:val="007A5769"/>
    <w:rsid w:val="007A7271"/>
    <w:rsid w:val="007B097E"/>
    <w:rsid w:val="007B172C"/>
    <w:rsid w:val="007B1B28"/>
    <w:rsid w:val="007B2F60"/>
    <w:rsid w:val="007B5E41"/>
    <w:rsid w:val="007B75EE"/>
    <w:rsid w:val="007B77B1"/>
    <w:rsid w:val="007C000C"/>
    <w:rsid w:val="007C2A8F"/>
    <w:rsid w:val="007C51E3"/>
    <w:rsid w:val="007C5DE5"/>
    <w:rsid w:val="007C67F6"/>
    <w:rsid w:val="007C686D"/>
    <w:rsid w:val="007C6F09"/>
    <w:rsid w:val="007C775A"/>
    <w:rsid w:val="007D16FE"/>
    <w:rsid w:val="007D1B62"/>
    <w:rsid w:val="007D44C2"/>
    <w:rsid w:val="007D4AD0"/>
    <w:rsid w:val="007D61FC"/>
    <w:rsid w:val="007E378F"/>
    <w:rsid w:val="007E398A"/>
    <w:rsid w:val="007E4201"/>
    <w:rsid w:val="007E4505"/>
    <w:rsid w:val="007E6E75"/>
    <w:rsid w:val="007F2135"/>
    <w:rsid w:val="007F249B"/>
    <w:rsid w:val="007F379B"/>
    <w:rsid w:val="007F3C31"/>
    <w:rsid w:val="007F432A"/>
    <w:rsid w:val="007F49CA"/>
    <w:rsid w:val="007F7991"/>
    <w:rsid w:val="00801748"/>
    <w:rsid w:val="00801DB7"/>
    <w:rsid w:val="008058BF"/>
    <w:rsid w:val="00805A2F"/>
    <w:rsid w:val="008120FD"/>
    <w:rsid w:val="00813908"/>
    <w:rsid w:val="00814625"/>
    <w:rsid w:val="008152C1"/>
    <w:rsid w:val="008159ED"/>
    <w:rsid w:val="00820F4F"/>
    <w:rsid w:val="00822DA2"/>
    <w:rsid w:val="00823548"/>
    <w:rsid w:val="00824316"/>
    <w:rsid w:val="00830A46"/>
    <w:rsid w:val="00830A71"/>
    <w:rsid w:val="008319EC"/>
    <w:rsid w:val="0083302C"/>
    <w:rsid w:val="00833E39"/>
    <w:rsid w:val="00834438"/>
    <w:rsid w:val="00835B00"/>
    <w:rsid w:val="0083729D"/>
    <w:rsid w:val="008376C2"/>
    <w:rsid w:val="0083792E"/>
    <w:rsid w:val="00840046"/>
    <w:rsid w:val="00840724"/>
    <w:rsid w:val="00840CCD"/>
    <w:rsid w:val="008414D1"/>
    <w:rsid w:val="00841FE1"/>
    <w:rsid w:val="0084460E"/>
    <w:rsid w:val="00846240"/>
    <w:rsid w:val="008466BF"/>
    <w:rsid w:val="00847BAE"/>
    <w:rsid w:val="0085059C"/>
    <w:rsid w:val="00850CFD"/>
    <w:rsid w:val="00852B81"/>
    <w:rsid w:val="008536AF"/>
    <w:rsid w:val="00853F3B"/>
    <w:rsid w:val="00855014"/>
    <w:rsid w:val="008563A0"/>
    <w:rsid w:val="008579B8"/>
    <w:rsid w:val="00857D77"/>
    <w:rsid w:val="00860212"/>
    <w:rsid w:val="0086124F"/>
    <w:rsid w:val="0086364C"/>
    <w:rsid w:val="00863859"/>
    <w:rsid w:val="00864161"/>
    <w:rsid w:val="00867569"/>
    <w:rsid w:val="008704AE"/>
    <w:rsid w:val="008736A3"/>
    <w:rsid w:val="00874F70"/>
    <w:rsid w:val="00875F63"/>
    <w:rsid w:val="00876006"/>
    <w:rsid w:val="00876748"/>
    <w:rsid w:val="008768FD"/>
    <w:rsid w:val="00877042"/>
    <w:rsid w:val="00877B46"/>
    <w:rsid w:val="008803F0"/>
    <w:rsid w:val="00880640"/>
    <w:rsid w:val="00881299"/>
    <w:rsid w:val="0088186D"/>
    <w:rsid w:val="00883E4E"/>
    <w:rsid w:val="008842EE"/>
    <w:rsid w:val="008844DB"/>
    <w:rsid w:val="00886213"/>
    <w:rsid w:val="00886623"/>
    <w:rsid w:val="00886957"/>
    <w:rsid w:val="00887632"/>
    <w:rsid w:val="00887C41"/>
    <w:rsid w:val="00890CC4"/>
    <w:rsid w:val="00891B8E"/>
    <w:rsid w:val="008922DC"/>
    <w:rsid w:val="00892572"/>
    <w:rsid w:val="00893141"/>
    <w:rsid w:val="00893B35"/>
    <w:rsid w:val="00894CF6"/>
    <w:rsid w:val="0089507A"/>
    <w:rsid w:val="00895353"/>
    <w:rsid w:val="008A05A6"/>
    <w:rsid w:val="008A333B"/>
    <w:rsid w:val="008B04B1"/>
    <w:rsid w:val="008B094B"/>
    <w:rsid w:val="008B2081"/>
    <w:rsid w:val="008B22C7"/>
    <w:rsid w:val="008B2B53"/>
    <w:rsid w:val="008B3BC5"/>
    <w:rsid w:val="008B4826"/>
    <w:rsid w:val="008B524B"/>
    <w:rsid w:val="008B552F"/>
    <w:rsid w:val="008B5EB2"/>
    <w:rsid w:val="008B63C9"/>
    <w:rsid w:val="008B777B"/>
    <w:rsid w:val="008C0328"/>
    <w:rsid w:val="008C0CD8"/>
    <w:rsid w:val="008C4410"/>
    <w:rsid w:val="008C523C"/>
    <w:rsid w:val="008C70E7"/>
    <w:rsid w:val="008C7EDA"/>
    <w:rsid w:val="008D0F66"/>
    <w:rsid w:val="008D2CF0"/>
    <w:rsid w:val="008D5CB6"/>
    <w:rsid w:val="008D5FF3"/>
    <w:rsid w:val="008D6368"/>
    <w:rsid w:val="008D71A6"/>
    <w:rsid w:val="008E13C2"/>
    <w:rsid w:val="008E2524"/>
    <w:rsid w:val="008E3CFA"/>
    <w:rsid w:val="008E4CB2"/>
    <w:rsid w:val="008E5783"/>
    <w:rsid w:val="008E58D4"/>
    <w:rsid w:val="008E593D"/>
    <w:rsid w:val="008E6444"/>
    <w:rsid w:val="008E71E0"/>
    <w:rsid w:val="008F0321"/>
    <w:rsid w:val="008F2B83"/>
    <w:rsid w:val="008F304E"/>
    <w:rsid w:val="008F44FA"/>
    <w:rsid w:val="008F528A"/>
    <w:rsid w:val="008F7743"/>
    <w:rsid w:val="008F7877"/>
    <w:rsid w:val="00900AAF"/>
    <w:rsid w:val="00901309"/>
    <w:rsid w:val="0090159A"/>
    <w:rsid w:val="00904441"/>
    <w:rsid w:val="0090657B"/>
    <w:rsid w:val="009069F9"/>
    <w:rsid w:val="0090710F"/>
    <w:rsid w:val="009073E2"/>
    <w:rsid w:val="009076AC"/>
    <w:rsid w:val="009113D1"/>
    <w:rsid w:val="00911789"/>
    <w:rsid w:val="00911F37"/>
    <w:rsid w:val="0091222C"/>
    <w:rsid w:val="00912967"/>
    <w:rsid w:val="009148FD"/>
    <w:rsid w:val="00914A25"/>
    <w:rsid w:val="00915282"/>
    <w:rsid w:val="0091542B"/>
    <w:rsid w:val="009158C6"/>
    <w:rsid w:val="009171CB"/>
    <w:rsid w:val="0092035E"/>
    <w:rsid w:val="00922B0F"/>
    <w:rsid w:val="00924D3F"/>
    <w:rsid w:val="0093310A"/>
    <w:rsid w:val="00934C94"/>
    <w:rsid w:val="00937B48"/>
    <w:rsid w:val="00940802"/>
    <w:rsid w:val="009423DC"/>
    <w:rsid w:val="00943E1D"/>
    <w:rsid w:val="00946B07"/>
    <w:rsid w:val="00947C32"/>
    <w:rsid w:val="00950207"/>
    <w:rsid w:val="009503A2"/>
    <w:rsid w:val="00952228"/>
    <w:rsid w:val="00952739"/>
    <w:rsid w:val="00953CB5"/>
    <w:rsid w:val="00955AF4"/>
    <w:rsid w:val="009574A3"/>
    <w:rsid w:val="00957835"/>
    <w:rsid w:val="00961C2A"/>
    <w:rsid w:val="00961C6B"/>
    <w:rsid w:val="0096255F"/>
    <w:rsid w:val="0096351E"/>
    <w:rsid w:val="00963E40"/>
    <w:rsid w:val="00964467"/>
    <w:rsid w:val="009665B4"/>
    <w:rsid w:val="0096687E"/>
    <w:rsid w:val="0096698A"/>
    <w:rsid w:val="009675B6"/>
    <w:rsid w:val="00970AD2"/>
    <w:rsid w:val="0097179A"/>
    <w:rsid w:val="00973DCD"/>
    <w:rsid w:val="00974068"/>
    <w:rsid w:val="00976D40"/>
    <w:rsid w:val="009800CD"/>
    <w:rsid w:val="009822BC"/>
    <w:rsid w:val="009831C2"/>
    <w:rsid w:val="00984EDB"/>
    <w:rsid w:val="00985851"/>
    <w:rsid w:val="009860E1"/>
    <w:rsid w:val="0099171F"/>
    <w:rsid w:val="00991C72"/>
    <w:rsid w:val="009920B2"/>
    <w:rsid w:val="00992F08"/>
    <w:rsid w:val="0099322A"/>
    <w:rsid w:val="00995E6D"/>
    <w:rsid w:val="00996DBD"/>
    <w:rsid w:val="00997643"/>
    <w:rsid w:val="009A0825"/>
    <w:rsid w:val="009A11E3"/>
    <w:rsid w:val="009A3293"/>
    <w:rsid w:val="009A341E"/>
    <w:rsid w:val="009A38F2"/>
    <w:rsid w:val="009A4A62"/>
    <w:rsid w:val="009A4C66"/>
    <w:rsid w:val="009B2979"/>
    <w:rsid w:val="009B3A01"/>
    <w:rsid w:val="009B3D0D"/>
    <w:rsid w:val="009B421C"/>
    <w:rsid w:val="009B6744"/>
    <w:rsid w:val="009B74CD"/>
    <w:rsid w:val="009C07B3"/>
    <w:rsid w:val="009C09DD"/>
    <w:rsid w:val="009C258F"/>
    <w:rsid w:val="009C3414"/>
    <w:rsid w:val="009C3FE5"/>
    <w:rsid w:val="009C44DF"/>
    <w:rsid w:val="009C6BD9"/>
    <w:rsid w:val="009D0C32"/>
    <w:rsid w:val="009D0FEF"/>
    <w:rsid w:val="009D2ADE"/>
    <w:rsid w:val="009D3114"/>
    <w:rsid w:val="009D4C1F"/>
    <w:rsid w:val="009D650A"/>
    <w:rsid w:val="009D6EF6"/>
    <w:rsid w:val="009E279B"/>
    <w:rsid w:val="009E5F15"/>
    <w:rsid w:val="009E7A0B"/>
    <w:rsid w:val="009E7A2C"/>
    <w:rsid w:val="009F29F3"/>
    <w:rsid w:val="009F3518"/>
    <w:rsid w:val="009F4393"/>
    <w:rsid w:val="009F4824"/>
    <w:rsid w:val="009F5AEE"/>
    <w:rsid w:val="009F61F8"/>
    <w:rsid w:val="009F6BBA"/>
    <w:rsid w:val="009F73A7"/>
    <w:rsid w:val="009F73C2"/>
    <w:rsid w:val="009F75F0"/>
    <w:rsid w:val="009F7653"/>
    <w:rsid w:val="00A007A7"/>
    <w:rsid w:val="00A0082E"/>
    <w:rsid w:val="00A00B0E"/>
    <w:rsid w:val="00A017D7"/>
    <w:rsid w:val="00A02E4D"/>
    <w:rsid w:val="00A02F32"/>
    <w:rsid w:val="00A04CE7"/>
    <w:rsid w:val="00A0574D"/>
    <w:rsid w:val="00A05ED4"/>
    <w:rsid w:val="00A06160"/>
    <w:rsid w:val="00A101B9"/>
    <w:rsid w:val="00A1088B"/>
    <w:rsid w:val="00A10C42"/>
    <w:rsid w:val="00A111DD"/>
    <w:rsid w:val="00A12C92"/>
    <w:rsid w:val="00A12E05"/>
    <w:rsid w:val="00A12F0A"/>
    <w:rsid w:val="00A14D53"/>
    <w:rsid w:val="00A151B6"/>
    <w:rsid w:val="00A15602"/>
    <w:rsid w:val="00A2183E"/>
    <w:rsid w:val="00A21C3C"/>
    <w:rsid w:val="00A23392"/>
    <w:rsid w:val="00A24263"/>
    <w:rsid w:val="00A25C2B"/>
    <w:rsid w:val="00A25CB6"/>
    <w:rsid w:val="00A2601A"/>
    <w:rsid w:val="00A266AC"/>
    <w:rsid w:val="00A26AEB"/>
    <w:rsid w:val="00A3056B"/>
    <w:rsid w:val="00A30A41"/>
    <w:rsid w:val="00A32416"/>
    <w:rsid w:val="00A32877"/>
    <w:rsid w:val="00A3350E"/>
    <w:rsid w:val="00A33792"/>
    <w:rsid w:val="00A371E8"/>
    <w:rsid w:val="00A421A6"/>
    <w:rsid w:val="00A422E5"/>
    <w:rsid w:val="00A45DD6"/>
    <w:rsid w:val="00A45F54"/>
    <w:rsid w:val="00A4601C"/>
    <w:rsid w:val="00A4645A"/>
    <w:rsid w:val="00A474D7"/>
    <w:rsid w:val="00A474EB"/>
    <w:rsid w:val="00A47F55"/>
    <w:rsid w:val="00A50756"/>
    <w:rsid w:val="00A511B3"/>
    <w:rsid w:val="00A522B1"/>
    <w:rsid w:val="00A55162"/>
    <w:rsid w:val="00A57B40"/>
    <w:rsid w:val="00A600CD"/>
    <w:rsid w:val="00A60B00"/>
    <w:rsid w:val="00A60DA7"/>
    <w:rsid w:val="00A6220D"/>
    <w:rsid w:val="00A6256A"/>
    <w:rsid w:val="00A62BCC"/>
    <w:rsid w:val="00A70C38"/>
    <w:rsid w:val="00A70EC2"/>
    <w:rsid w:val="00A71427"/>
    <w:rsid w:val="00A71522"/>
    <w:rsid w:val="00A7164E"/>
    <w:rsid w:val="00A72674"/>
    <w:rsid w:val="00A7270F"/>
    <w:rsid w:val="00A72F09"/>
    <w:rsid w:val="00A73217"/>
    <w:rsid w:val="00A75016"/>
    <w:rsid w:val="00A76354"/>
    <w:rsid w:val="00A764DE"/>
    <w:rsid w:val="00A76BB3"/>
    <w:rsid w:val="00A77479"/>
    <w:rsid w:val="00A82290"/>
    <w:rsid w:val="00A84F8A"/>
    <w:rsid w:val="00A85E25"/>
    <w:rsid w:val="00A860AB"/>
    <w:rsid w:val="00A87552"/>
    <w:rsid w:val="00A90412"/>
    <w:rsid w:val="00A90FC4"/>
    <w:rsid w:val="00A91B58"/>
    <w:rsid w:val="00A92501"/>
    <w:rsid w:val="00A92B44"/>
    <w:rsid w:val="00A930F2"/>
    <w:rsid w:val="00A936B6"/>
    <w:rsid w:val="00A94408"/>
    <w:rsid w:val="00A96EFB"/>
    <w:rsid w:val="00AA11C1"/>
    <w:rsid w:val="00AA15A3"/>
    <w:rsid w:val="00AA1ADE"/>
    <w:rsid w:val="00AA265B"/>
    <w:rsid w:val="00AA33A4"/>
    <w:rsid w:val="00AA455A"/>
    <w:rsid w:val="00AA6C8A"/>
    <w:rsid w:val="00AA7352"/>
    <w:rsid w:val="00AA78AB"/>
    <w:rsid w:val="00AA7D62"/>
    <w:rsid w:val="00AB0C40"/>
    <w:rsid w:val="00AB0CD2"/>
    <w:rsid w:val="00AB156A"/>
    <w:rsid w:val="00AB1614"/>
    <w:rsid w:val="00AB22E6"/>
    <w:rsid w:val="00AB31B9"/>
    <w:rsid w:val="00AB37E8"/>
    <w:rsid w:val="00AB3DC9"/>
    <w:rsid w:val="00AB441E"/>
    <w:rsid w:val="00AB5A3B"/>
    <w:rsid w:val="00AB6BCC"/>
    <w:rsid w:val="00AB7470"/>
    <w:rsid w:val="00AC0627"/>
    <w:rsid w:val="00AC20AD"/>
    <w:rsid w:val="00AC3E91"/>
    <w:rsid w:val="00AC50A8"/>
    <w:rsid w:val="00AC516F"/>
    <w:rsid w:val="00AC5A68"/>
    <w:rsid w:val="00AC7AB5"/>
    <w:rsid w:val="00AD12A6"/>
    <w:rsid w:val="00AD1AE0"/>
    <w:rsid w:val="00AD1F47"/>
    <w:rsid w:val="00AD43B9"/>
    <w:rsid w:val="00AD4567"/>
    <w:rsid w:val="00AD488F"/>
    <w:rsid w:val="00AD4C24"/>
    <w:rsid w:val="00AE116D"/>
    <w:rsid w:val="00AE1F22"/>
    <w:rsid w:val="00AE3680"/>
    <w:rsid w:val="00AE41AF"/>
    <w:rsid w:val="00AE4B72"/>
    <w:rsid w:val="00AE627C"/>
    <w:rsid w:val="00AF0C20"/>
    <w:rsid w:val="00AF108F"/>
    <w:rsid w:val="00AF123B"/>
    <w:rsid w:val="00AF1BC4"/>
    <w:rsid w:val="00AF394D"/>
    <w:rsid w:val="00AF5B17"/>
    <w:rsid w:val="00AF5C2F"/>
    <w:rsid w:val="00AF5FCF"/>
    <w:rsid w:val="00AF6E9C"/>
    <w:rsid w:val="00AF70F2"/>
    <w:rsid w:val="00AF7B51"/>
    <w:rsid w:val="00B00135"/>
    <w:rsid w:val="00B00D2C"/>
    <w:rsid w:val="00B0250D"/>
    <w:rsid w:val="00B05606"/>
    <w:rsid w:val="00B062DF"/>
    <w:rsid w:val="00B0793C"/>
    <w:rsid w:val="00B11AB2"/>
    <w:rsid w:val="00B11D1D"/>
    <w:rsid w:val="00B12380"/>
    <w:rsid w:val="00B14045"/>
    <w:rsid w:val="00B15879"/>
    <w:rsid w:val="00B17C61"/>
    <w:rsid w:val="00B21015"/>
    <w:rsid w:val="00B277D4"/>
    <w:rsid w:val="00B30ADC"/>
    <w:rsid w:val="00B30F12"/>
    <w:rsid w:val="00B34C02"/>
    <w:rsid w:val="00B356D0"/>
    <w:rsid w:val="00B35BD6"/>
    <w:rsid w:val="00B36B34"/>
    <w:rsid w:val="00B37A74"/>
    <w:rsid w:val="00B401C2"/>
    <w:rsid w:val="00B43047"/>
    <w:rsid w:val="00B44154"/>
    <w:rsid w:val="00B442BE"/>
    <w:rsid w:val="00B463BA"/>
    <w:rsid w:val="00B52207"/>
    <w:rsid w:val="00B5258A"/>
    <w:rsid w:val="00B53C69"/>
    <w:rsid w:val="00B54A1B"/>
    <w:rsid w:val="00B55423"/>
    <w:rsid w:val="00B56CBB"/>
    <w:rsid w:val="00B571E1"/>
    <w:rsid w:val="00B60FF3"/>
    <w:rsid w:val="00B63A46"/>
    <w:rsid w:val="00B711D9"/>
    <w:rsid w:val="00B7258E"/>
    <w:rsid w:val="00B72FE0"/>
    <w:rsid w:val="00B74E7F"/>
    <w:rsid w:val="00B8312F"/>
    <w:rsid w:val="00B842D6"/>
    <w:rsid w:val="00B8788E"/>
    <w:rsid w:val="00B87E0A"/>
    <w:rsid w:val="00B90977"/>
    <w:rsid w:val="00B911AE"/>
    <w:rsid w:val="00B91CE4"/>
    <w:rsid w:val="00B94B2C"/>
    <w:rsid w:val="00B9520C"/>
    <w:rsid w:val="00B95A78"/>
    <w:rsid w:val="00B96EF0"/>
    <w:rsid w:val="00BA06C3"/>
    <w:rsid w:val="00BA08E1"/>
    <w:rsid w:val="00BA140B"/>
    <w:rsid w:val="00BA1928"/>
    <w:rsid w:val="00BA1B9D"/>
    <w:rsid w:val="00BA1D91"/>
    <w:rsid w:val="00BA22D3"/>
    <w:rsid w:val="00BA284D"/>
    <w:rsid w:val="00BA323F"/>
    <w:rsid w:val="00BA3AC0"/>
    <w:rsid w:val="00BA625D"/>
    <w:rsid w:val="00BA6967"/>
    <w:rsid w:val="00BA767F"/>
    <w:rsid w:val="00BA7F1C"/>
    <w:rsid w:val="00BB23C1"/>
    <w:rsid w:val="00BB5469"/>
    <w:rsid w:val="00BB6357"/>
    <w:rsid w:val="00BB6774"/>
    <w:rsid w:val="00BB78E6"/>
    <w:rsid w:val="00BC10AC"/>
    <w:rsid w:val="00BC2626"/>
    <w:rsid w:val="00BC2727"/>
    <w:rsid w:val="00BC2808"/>
    <w:rsid w:val="00BC2F16"/>
    <w:rsid w:val="00BC3146"/>
    <w:rsid w:val="00BC4341"/>
    <w:rsid w:val="00BC6183"/>
    <w:rsid w:val="00BC636B"/>
    <w:rsid w:val="00BC67AD"/>
    <w:rsid w:val="00BD3488"/>
    <w:rsid w:val="00BD467E"/>
    <w:rsid w:val="00BD69AA"/>
    <w:rsid w:val="00BD72A7"/>
    <w:rsid w:val="00BE0B41"/>
    <w:rsid w:val="00BE101E"/>
    <w:rsid w:val="00BE1254"/>
    <w:rsid w:val="00BE2512"/>
    <w:rsid w:val="00BE28DA"/>
    <w:rsid w:val="00BE32D4"/>
    <w:rsid w:val="00BE3A2A"/>
    <w:rsid w:val="00BE5A64"/>
    <w:rsid w:val="00BE5DC1"/>
    <w:rsid w:val="00BE6EBD"/>
    <w:rsid w:val="00BE6FCA"/>
    <w:rsid w:val="00BE78F6"/>
    <w:rsid w:val="00BF00A0"/>
    <w:rsid w:val="00BF0114"/>
    <w:rsid w:val="00BF03E0"/>
    <w:rsid w:val="00BF0E00"/>
    <w:rsid w:val="00BF325C"/>
    <w:rsid w:val="00BF3814"/>
    <w:rsid w:val="00BF4A48"/>
    <w:rsid w:val="00BF4C70"/>
    <w:rsid w:val="00BF529D"/>
    <w:rsid w:val="00BF59F4"/>
    <w:rsid w:val="00BF6DE6"/>
    <w:rsid w:val="00BF7830"/>
    <w:rsid w:val="00C00020"/>
    <w:rsid w:val="00C00649"/>
    <w:rsid w:val="00C01F8D"/>
    <w:rsid w:val="00C03440"/>
    <w:rsid w:val="00C049F4"/>
    <w:rsid w:val="00C04A46"/>
    <w:rsid w:val="00C05156"/>
    <w:rsid w:val="00C05642"/>
    <w:rsid w:val="00C11D83"/>
    <w:rsid w:val="00C11F4D"/>
    <w:rsid w:val="00C130BE"/>
    <w:rsid w:val="00C167E7"/>
    <w:rsid w:val="00C16CC8"/>
    <w:rsid w:val="00C1796B"/>
    <w:rsid w:val="00C17B37"/>
    <w:rsid w:val="00C200F1"/>
    <w:rsid w:val="00C21C44"/>
    <w:rsid w:val="00C226DE"/>
    <w:rsid w:val="00C22993"/>
    <w:rsid w:val="00C237AE"/>
    <w:rsid w:val="00C24E0E"/>
    <w:rsid w:val="00C24F2D"/>
    <w:rsid w:val="00C25E58"/>
    <w:rsid w:val="00C270DF"/>
    <w:rsid w:val="00C3310D"/>
    <w:rsid w:val="00C348D3"/>
    <w:rsid w:val="00C354FF"/>
    <w:rsid w:val="00C35BA6"/>
    <w:rsid w:val="00C35C5A"/>
    <w:rsid w:val="00C368AC"/>
    <w:rsid w:val="00C36E5E"/>
    <w:rsid w:val="00C376B5"/>
    <w:rsid w:val="00C42ECF"/>
    <w:rsid w:val="00C44638"/>
    <w:rsid w:val="00C44FBE"/>
    <w:rsid w:val="00C46E8C"/>
    <w:rsid w:val="00C504DB"/>
    <w:rsid w:val="00C5679F"/>
    <w:rsid w:val="00C60C7A"/>
    <w:rsid w:val="00C61D02"/>
    <w:rsid w:val="00C61EE5"/>
    <w:rsid w:val="00C632E6"/>
    <w:rsid w:val="00C639A7"/>
    <w:rsid w:val="00C63A3D"/>
    <w:rsid w:val="00C64D72"/>
    <w:rsid w:val="00C64EEA"/>
    <w:rsid w:val="00C65004"/>
    <w:rsid w:val="00C67DE8"/>
    <w:rsid w:val="00C75272"/>
    <w:rsid w:val="00C75713"/>
    <w:rsid w:val="00C75EAC"/>
    <w:rsid w:val="00C7615E"/>
    <w:rsid w:val="00C81AC3"/>
    <w:rsid w:val="00C83274"/>
    <w:rsid w:val="00C84BA8"/>
    <w:rsid w:val="00C85337"/>
    <w:rsid w:val="00C86D9F"/>
    <w:rsid w:val="00C87C08"/>
    <w:rsid w:val="00C90C48"/>
    <w:rsid w:val="00C91AE8"/>
    <w:rsid w:val="00C92404"/>
    <w:rsid w:val="00C92B48"/>
    <w:rsid w:val="00C92C8A"/>
    <w:rsid w:val="00C93A6B"/>
    <w:rsid w:val="00C9441C"/>
    <w:rsid w:val="00C94775"/>
    <w:rsid w:val="00C9632A"/>
    <w:rsid w:val="00C97D8B"/>
    <w:rsid w:val="00CA0BC0"/>
    <w:rsid w:val="00CA2038"/>
    <w:rsid w:val="00CA2AF6"/>
    <w:rsid w:val="00CA458B"/>
    <w:rsid w:val="00CA5B1E"/>
    <w:rsid w:val="00CA7BDB"/>
    <w:rsid w:val="00CB1AE9"/>
    <w:rsid w:val="00CB257A"/>
    <w:rsid w:val="00CB27E6"/>
    <w:rsid w:val="00CB30A3"/>
    <w:rsid w:val="00CB30CD"/>
    <w:rsid w:val="00CB430D"/>
    <w:rsid w:val="00CB5D30"/>
    <w:rsid w:val="00CB5ED3"/>
    <w:rsid w:val="00CB619D"/>
    <w:rsid w:val="00CB6706"/>
    <w:rsid w:val="00CB6846"/>
    <w:rsid w:val="00CB70A0"/>
    <w:rsid w:val="00CC013C"/>
    <w:rsid w:val="00CC0509"/>
    <w:rsid w:val="00CC136F"/>
    <w:rsid w:val="00CC1CFD"/>
    <w:rsid w:val="00CC32D4"/>
    <w:rsid w:val="00CC5707"/>
    <w:rsid w:val="00CC6936"/>
    <w:rsid w:val="00CC6C1E"/>
    <w:rsid w:val="00CD1611"/>
    <w:rsid w:val="00CD1ADB"/>
    <w:rsid w:val="00CD1CAA"/>
    <w:rsid w:val="00CD25FE"/>
    <w:rsid w:val="00CD3D92"/>
    <w:rsid w:val="00CD5314"/>
    <w:rsid w:val="00CD582F"/>
    <w:rsid w:val="00CD6892"/>
    <w:rsid w:val="00CE0926"/>
    <w:rsid w:val="00CE0AF6"/>
    <w:rsid w:val="00CE535C"/>
    <w:rsid w:val="00CE5A7F"/>
    <w:rsid w:val="00CE70D6"/>
    <w:rsid w:val="00CF1E43"/>
    <w:rsid w:val="00CF1EE5"/>
    <w:rsid w:val="00CF2585"/>
    <w:rsid w:val="00CF4490"/>
    <w:rsid w:val="00CF4FCC"/>
    <w:rsid w:val="00CF503D"/>
    <w:rsid w:val="00CF5DE0"/>
    <w:rsid w:val="00CF66A2"/>
    <w:rsid w:val="00CF7628"/>
    <w:rsid w:val="00CF7BD2"/>
    <w:rsid w:val="00D00971"/>
    <w:rsid w:val="00D0108E"/>
    <w:rsid w:val="00D02DEE"/>
    <w:rsid w:val="00D049DF"/>
    <w:rsid w:val="00D05F98"/>
    <w:rsid w:val="00D0742C"/>
    <w:rsid w:val="00D1026C"/>
    <w:rsid w:val="00D106CE"/>
    <w:rsid w:val="00D11C8E"/>
    <w:rsid w:val="00D13B9D"/>
    <w:rsid w:val="00D15B61"/>
    <w:rsid w:val="00D16F25"/>
    <w:rsid w:val="00D20462"/>
    <w:rsid w:val="00D2141D"/>
    <w:rsid w:val="00D23B4F"/>
    <w:rsid w:val="00D25AB7"/>
    <w:rsid w:val="00D262CC"/>
    <w:rsid w:val="00D263CD"/>
    <w:rsid w:val="00D30301"/>
    <w:rsid w:val="00D30B3B"/>
    <w:rsid w:val="00D31DC3"/>
    <w:rsid w:val="00D32A7A"/>
    <w:rsid w:val="00D3373D"/>
    <w:rsid w:val="00D33BE9"/>
    <w:rsid w:val="00D3462F"/>
    <w:rsid w:val="00D34F6A"/>
    <w:rsid w:val="00D356C2"/>
    <w:rsid w:val="00D36E48"/>
    <w:rsid w:val="00D428B6"/>
    <w:rsid w:val="00D42F0C"/>
    <w:rsid w:val="00D4348A"/>
    <w:rsid w:val="00D4441C"/>
    <w:rsid w:val="00D44896"/>
    <w:rsid w:val="00D459D9"/>
    <w:rsid w:val="00D460C7"/>
    <w:rsid w:val="00D46836"/>
    <w:rsid w:val="00D473FA"/>
    <w:rsid w:val="00D50FEE"/>
    <w:rsid w:val="00D514AC"/>
    <w:rsid w:val="00D51AFE"/>
    <w:rsid w:val="00D51C10"/>
    <w:rsid w:val="00D520C1"/>
    <w:rsid w:val="00D52FF2"/>
    <w:rsid w:val="00D54514"/>
    <w:rsid w:val="00D5505B"/>
    <w:rsid w:val="00D55540"/>
    <w:rsid w:val="00D56C0F"/>
    <w:rsid w:val="00D62F7F"/>
    <w:rsid w:val="00D636F8"/>
    <w:rsid w:val="00D63E60"/>
    <w:rsid w:val="00D648AC"/>
    <w:rsid w:val="00D64E91"/>
    <w:rsid w:val="00D652C2"/>
    <w:rsid w:val="00D65353"/>
    <w:rsid w:val="00D65358"/>
    <w:rsid w:val="00D6541A"/>
    <w:rsid w:val="00D676BC"/>
    <w:rsid w:val="00D722E3"/>
    <w:rsid w:val="00D72660"/>
    <w:rsid w:val="00D7451E"/>
    <w:rsid w:val="00D80216"/>
    <w:rsid w:val="00D821FD"/>
    <w:rsid w:val="00D82AD7"/>
    <w:rsid w:val="00D84CA6"/>
    <w:rsid w:val="00D8523B"/>
    <w:rsid w:val="00D876A2"/>
    <w:rsid w:val="00D8790B"/>
    <w:rsid w:val="00D93756"/>
    <w:rsid w:val="00D968CC"/>
    <w:rsid w:val="00DA1989"/>
    <w:rsid w:val="00DA2690"/>
    <w:rsid w:val="00DA340E"/>
    <w:rsid w:val="00DA386A"/>
    <w:rsid w:val="00DA3B64"/>
    <w:rsid w:val="00DB02C2"/>
    <w:rsid w:val="00DB28F3"/>
    <w:rsid w:val="00DB389B"/>
    <w:rsid w:val="00DB4C00"/>
    <w:rsid w:val="00DB54C1"/>
    <w:rsid w:val="00DB5CE0"/>
    <w:rsid w:val="00DB6810"/>
    <w:rsid w:val="00DB725B"/>
    <w:rsid w:val="00DB72E1"/>
    <w:rsid w:val="00DC24FC"/>
    <w:rsid w:val="00DC6E09"/>
    <w:rsid w:val="00DD0180"/>
    <w:rsid w:val="00DD06F2"/>
    <w:rsid w:val="00DD190F"/>
    <w:rsid w:val="00DD32F8"/>
    <w:rsid w:val="00DD3747"/>
    <w:rsid w:val="00DD3E08"/>
    <w:rsid w:val="00DD429F"/>
    <w:rsid w:val="00DD449A"/>
    <w:rsid w:val="00DD54F9"/>
    <w:rsid w:val="00DD61B8"/>
    <w:rsid w:val="00DD7FA4"/>
    <w:rsid w:val="00DE045D"/>
    <w:rsid w:val="00DE6D46"/>
    <w:rsid w:val="00DF089E"/>
    <w:rsid w:val="00DF29ED"/>
    <w:rsid w:val="00DF3E7B"/>
    <w:rsid w:val="00DF40AA"/>
    <w:rsid w:val="00DF457E"/>
    <w:rsid w:val="00DF5201"/>
    <w:rsid w:val="00DF7F6F"/>
    <w:rsid w:val="00E00741"/>
    <w:rsid w:val="00E008AD"/>
    <w:rsid w:val="00E01395"/>
    <w:rsid w:val="00E02481"/>
    <w:rsid w:val="00E02C1D"/>
    <w:rsid w:val="00E04886"/>
    <w:rsid w:val="00E0584E"/>
    <w:rsid w:val="00E071AA"/>
    <w:rsid w:val="00E0727B"/>
    <w:rsid w:val="00E079F1"/>
    <w:rsid w:val="00E1003E"/>
    <w:rsid w:val="00E11BC7"/>
    <w:rsid w:val="00E12E1C"/>
    <w:rsid w:val="00E2059A"/>
    <w:rsid w:val="00E211BA"/>
    <w:rsid w:val="00E21875"/>
    <w:rsid w:val="00E22671"/>
    <w:rsid w:val="00E23260"/>
    <w:rsid w:val="00E23E7D"/>
    <w:rsid w:val="00E24C9B"/>
    <w:rsid w:val="00E24F69"/>
    <w:rsid w:val="00E26825"/>
    <w:rsid w:val="00E26843"/>
    <w:rsid w:val="00E27844"/>
    <w:rsid w:val="00E30A8D"/>
    <w:rsid w:val="00E30CD1"/>
    <w:rsid w:val="00E31446"/>
    <w:rsid w:val="00E3245E"/>
    <w:rsid w:val="00E332AE"/>
    <w:rsid w:val="00E33631"/>
    <w:rsid w:val="00E33918"/>
    <w:rsid w:val="00E355FC"/>
    <w:rsid w:val="00E368A7"/>
    <w:rsid w:val="00E37C3C"/>
    <w:rsid w:val="00E41F15"/>
    <w:rsid w:val="00E42AF9"/>
    <w:rsid w:val="00E42C4C"/>
    <w:rsid w:val="00E434B0"/>
    <w:rsid w:val="00E43A35"/>
    <w:rsid w:val="00E43A67"/>
    <w:rsid w:val="00E43C3C"/>
    <w:rsid w:val="00E43ECA"/>
    <w:rsid w:val="00E47F14"/>
    <w:rsid w:val="00E51997"/>
    <w:rsid w:val="00E51EC6"/>
    <w:rsid w:val="00E52EBC"/>
    <w:rsid w:val="00E5602F"/>
    <w:rsid w:val="00E5640B"/>
    <w:rsid w:val="00E56759"/>
    <w:rsid w:val="00E56FB7"/>
    <w:rsid w:val="00E60E7F"/>
    <w:rsid w:val="00E61B1D"/>
    <w:rsid w:val="00E64C7D"/>
    <w:rsid w:val="00E650BB"/>
    <w:rsid w:val="00E65E82"/>
    <w:rsid w:val="00E6725E"/>
    <w:rsid w:val="00E67372"/>
    <w:rsid w:val="00E6751C"/>
    <w:rsid w:val="00E705AA"/>
    <w:rsid w:val="00E72E40"/>
    <w:rsid w:val="00E73DE6"/>
    <w:rsid w:val="00E74E9D"/>
    <w:rsid w:val="00E76009"/>
    <w:rsid w:val="00E7763B"/>
    <w:rsid w:val="00E7793A"/>
    <w:rsid w:val="00E82000"/>
    <w:rsid w:val="00E826C2"/>
    <w:rsid w:val="00E832A0"/>
    <w:rsid w:val="00E83C9C"/>
    <w:rsid w:val="00E84393"/>
    <w:rsid w:val="00E84653"/>
    <w:rsid w:val="00E84808"/>
    <w:rsid w:val="00E85AC8"/>
    <w:rsid w:val="00E8798E"/>
    <w:rsid w:val="00E90733"/>
    <w:rsid w:val="00E909A6"/>
    <w:rsid w:val="00E92015"/>
    <w:rsid w:val="00E92813"/>
    <w:rsid w:val="00E964CF"/>
    <w:rsid w:val="00E967F3"/>
    <w:rsid w:val="00E97F70"/>
    <w:rsid w:val="00EA0701"/>
    <w:rsid w:val="00EA1747"/>
    <w:rsid w:val="00EA1E93"/>
    <w:rsid w:val="00EA4AB3"/>
    <w:rsid w:val="00EA5A80"/>
    <w:rsid w:val="00EA714A"/>
    <w:rsid w:val="00EA7E89"/>
    <w:rsid w:val="00EB0E44"/>
    <w:rsid w:val="00EB2ADE"/>
    <w:rsid w:val="00EB3D17"/>
    <w:rsid w:val="00EB521C"/>
    <w:rsid w:val="00EB61E7"/>
    <w:rsid w:val="00EB7976"/>
    <w:rsid w:val="00EB7F6B"/>
    <w:rsid w:val="00EC0D1E"/>
    <w:rsid w:val="00EC1181"/>
    <w:rsid w:val="00EC184A"/>
    <w:rsid w:val="00EC2513"/>
    <w:rsid w:val="00EC3B3E"/>
    <w:rsid w:val="00EC447C"/>
    <w:rsid w:val="00EC49B6"/>
    <w:rsid w:val="00EC563C"/>
    <w:rsid w:val="00ED01F2"/>
    <w:rsid w:val="00ED2BE1"/>
    <w:rsid w:val="00ED2BF6"/>
    <w:rsid w:val="00ED3896"/>
    <w:rsid w:val="00ED3C76"/>
    <w:rsid w:val="00EE1E31"/>
    <w:rsid w:val="00EE3600"/>
    <w:rsid w:val="00EE3C44"/>
    <w:rsid w:val="00EE537D"/>
    <w:rsid w:val="00EE5592"/>
    <w:rsid w:val="00EE57BF"/>
    <w:rsid w:val="00EE7FDC"/>
    <w:rsid w:val="00EF1422"/>
    <w:rsid w:val="00EF1898"/>
    <w:rsid w:val="00EF2B0F"/>
    <w:rsid w:val="00EF3FF6"/>
    <w:rsid w:val="00EF4E48"/>
    <w:rsid w:val="00EF4E5B"/>
    <w:rsid w:val="00EF4F2A"/>
    <w:rsid w:val="00EF63FC"/>
    <w:rsid w:val="00F00ACF"/>
    <w:rsid w:val="00F01465"/>
    <w:rsid w:val="00F014A6"/>
    <w:rsid w:val="00F01F88"/>
    <w:rsid w:val="00F02707"/>
    <w:rsid w:val="00F03BD3"/>
    <w:rsid w:val="00F03DBF"/>
    <w:rsid w:val="00F04549"/>
    <w:rsid w:val="00F1004A"/>
    <w:rsid w:val="00F10550"/>
    <w:rsid w:val="00F107F9"/>
    <w:rsid w:val="00F11870"/>
    <w:rsid w:val="00F12696"/>
    <w:rsid w:val="00F14C97"/>
    <w:rsid w:val="00F15B1E"/>
    <w:rsid w:val="00F1626F"/>
    <w:rsid w:val="00F17514"/>
    <w:rsid w:val="00F206F9"/>
    <w:rsid w:val="00F239A4"/>
    <w:rsid w:val="00F23DE8"/>
    <w:rsid w:val="00F25A98"/>
    <w:rsid w:val="00F26AA7"/>
    <w:rsid w:val="00F2707F"/>
    <w:rsid w:val="00F305B0"/>
    <w:rsid w:val="00F3279D"/>
    <w:rsid w:val="00F3746B"/>
    <w:rsid w:val="00F374F3"/>
    <w:rsid w:val="00F3766F"/>
    <w:rsid w:val="00F400CB"/>
    <w:rsid w:val="00F403E9"/>
    <w:rsid w:val="00F43594"/>
    <w:rsid w:val="00F43D46"/>
    <w:rsid w:val="00F44DCD"/>
    <w:rsid w:val="00F44F1E"/>
    <w:rsid w:val="00F454BA"/>
    <w:rsid w:val="00F4590A"/>
    <w:rsid w:val="00F51706"/>
    <w:rsid w:val="00F51954"/>
    <w:rsid w:val="00F51C80"/>
    <w:rsid w:val="00F54A21"/>
    <w:rsid w:val="00F54AFC"/>
    <w:rsid w:val="00F55A95"/>
    <w:rsid w:val="00F57038"/>
    <w:rsid w:val="00F572A7"/>
    <w:rsid w:val="00F577F2"/>
    <w:rsid w:val="00F60570"/>
    <w:rsid w:val="00F619EA"/>
    <w:rsid w:val="00F636B8"/>
    <w:rsid w:val="00F63D8F"/>
    <w:rsid w:val="00F66E17"/>
    <w:rsid w:val="00F67900"/>
    <w:rsid w:val="00F67A87"/>
    <w:rsid w:val="00F70DCB"/>
    <w:rsid w:val="00F710A5"/>
    <w:rsid w:val="00F72C88"/>
    <w:rsid w:val="00F74B85"/>
    <w:rsid w:val="00F76243"/>
    <w:rsid w:val="00F76469"/>
    <w:rsid w:val="00F80DFF"/>
    <w:rsid w:val="00F85209"/>
    <w:rsid w:val="00F85D03"/>
    <w:rsid w:val="00F86DB3"/>
    <w:rsid w:val="00F905E4"/>
    <w:rsid w:val="00F921D6"/>
    <w:rsid w:val="00F9266B"/>
    <w:rsid w:val="00F94CD6"/>
    <w:rsid w:val="00F96164"/>
    <w:rsid w:val="00F978D0"/>
    <w:rsid w:val="00FA189D"/>
    <w:rsid w:val="00FA2356"/>
    <w:rsid w:val="00FA2DA7"/>
    <w:rsid w:val="00FA304A"/>
    <w:rsid w:val="00FA33EF"/>
    <w:rsid w:val="00FA41E3"/>
    <w:rsid w:val="00FA42D8"/>
    <w:rsid w:val="00FA501C"/>
    <w:rsid w:val="00FA7456"/>
    <w:rsid w:val="00FB0A64"/>
    <w:rsid w:val="00FB1222"/>
    <w:rsid w:val="00FB1914"/>
    <w:rsid w:val="00FB3329"/>
    <w:rsid w:val="00FB40CC"/>
    <w:rsid w:val="00FB4B84"/>
    <w:rsid w:val="00FB5705"/>
    <w:rsid w:val="00FB5962"/>
    <w:rsid w:val="00FB678C"/>
    <w:rsid w:val="00FB69A4"/>
    <w:rsid w:val="00FC01B4"/>
    <w:rsid w:val="00FC0878"/>
    <w:rsid w:val="00FC15EA"/>
    <w:rsid w:val="00FC4AAA"/>
    <w:rsid w:val="00FC4B0F"/>
    <w:rsid w:val="00FC520A"/>
    <w:rsid w:val="00FC6CBE"/>
    <w:rsid w:val="00FD0B60"/>
    <w:rsid w:val="00FD1888"/>
    <w:rsid w:val="00FD2CF9"/>
    <w:rsid w:val="00FD594B"/>
    <w:rsid w:val="00FD63BE"/>
    <w:rsid w:val="00FE0633"/>
    <w:rsid w:val="00FE12CB"/>
    <w:rsid w:val="00FE1615"/>
    <w:rsid w:val="00FE21EC"/>
    <w:rsid w:val="00FE2E11"/>
    <w:rsid w:val="00FE323A"/>
    <w:rsid w:val="00FE3516"/>
    <w:rsid w:val="00FE3812"/>
    <w:rsid w:val="00FE413B"/>
    <w:rsid w:val="00FE60A5"/>
    <w:rsid w:val="00FE62E8"/>
    <w:rsid w:val="00FE6C3A"/>
    <w:rsid w:val="00FE7C09"/>
    <w:rsid w:val="00FF01F7"/>
    <w:rsid w:val="00FF031E"/>
    <w:rsid w:val="00FF0A5E"/>
    <w:rsid w:val="00FF3044"/>
    <w:rsid w:val="00FF40C9"/>
    <w:rsid w:val="00FF48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BD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D2647"/>
    <w:pPr>
      <w:spacing w:after="100" w:line="400" w:lineRule="exact"/>
      <w:jc w:val="both"/>
    </w:pPr>
    <w:rPr>
      <w:rFonts w:ascii="Century Schoolbook" w:hAnsi="Century Schoolbook"/>
      <w:sz w:val="27"/>
    </w:rPr>
  </w:style>
  <w:style w:type="paragraph" w:styleId="Heading1">
    <w:name w:val="heading 1"/>
    <w:basedOn w:val="Normal"/>
    <w:next w:val="Normal"/>
    <w:qFormat/>
    <w:rsid w:val="001D2647"/>
    <w:pPr>
      <w:keepNext/>
      <w:spacing w:before="140" w:line="240" w:lineRule="atLeast"/>
      <w:jc w:val="center"/>
      <w:outlineLvl w:val="0"/>
    </w:pPr>
    <w:rPr>
      <w:b/>
      <w:smallCaps/>
    </w:rPr>
  </w:style>
  <w:style w:type="paragraph" w:styleId="Heading2">
    <w:name w:val="heading 2"/>
    <w:basedOn w:val="Normal"/>
    <w:next w:val="Normal"/>
    <w:qFormat/>
    <w:rsid w:val="001D264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1D2647"/>
    <w:pPr>
      <w:keepNext/>
      <w:tabs>
        <w:tab w:val="left" w:pos="1584"/>
      </w:tabs>
      <w:spacing w:before="140" w:line="240" w:lineRule="atLeast"/>
      <w:ind w:left="1584" w:hanging="432"/>
      <w:jc w:val="left"/>
      <w:outlineLvl w:val="2"/>
    </w:pPr>
    <w:rPr>
      <w:i/>
    </w:rPr>
  </w:style>
  <w:style w:type="paragraph" w:styleId="Heading4">
    <w:name w:val="heading 4"/>
    <w:basedOn w:val="Normal"/>
    <w:rsid w:val="001D2647"/>
    <w:pPr>
      <w:keepNext/>
      <w:tabs>
        <w:tab w:val="left" w:pos="2016"/>
      </w:tabs>
      <w:spacing w:before="140" w:line="240" w:lineRule="atLeast"/>
      <w:ind w:left="2016" w:hanging="432"/>
      <w:jc w:val="left"/>
      <w:outlineLvl w:val="3"/>
    </w:pPr>
    <w:rPr>
      <w:i/>
    </w:rPr>
  </w:style>
  <w:style w:type="paragraph" w:styleId="Heading5">
    <w:name w:val="heading 5"/>
    <w:basedOn w:val="Normal"/>
    <w:rsid w:val="001D264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D2647"/>
    <w:pPr>
      <w:ind w:left="720"/>
    </w:pPr>
  </w:style>
  <w:style w:type="paragraph" w:styleId="Footer">
    <w:name w:val="footer"/>
    <w:basedOn w:val="Normal"/>
    <w:qFormat/>
    <w:rsid w:val="001D2647"/>
    <w:pPr>
      <w:tabs>
        <w:tab w:val="center" w:pos="3960"/>
        <w:tab w:val="right" w:pos="10080"/>
      </w:tabs>
      <w:spacing w:after="0" w:line="240" w:lineRule="auto"/>
      <w:jc w:val="center"/>
    </w:pPr>
    <w:rPr>
      <w:sz w:val="22"/>
    </w:rPr>
  </w:style>
  <w:style w:type="paragraph" w:styleId="Header">
    <w:name w:val="header"/>
    <w:basedOn w:val="Normal"/>
    <w:qFormat/>
    <w:rsid w:val="001D264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1D2647"/>
    <w:rPr>
      <w:rFonts w:ascii="Century Schoolbook" w:hAnsi="Century Schoolbook"/>
      <w:b/>
      <w:i w:val="0"/>
      <w:position w:val="4"/>
      <w:sz w:val="27"/>
      <w:vertAlign w:val="superscript"/>
    </w:rPr>
  </w:style>
  <w:style w:type="paragraph" w:styleId="FootnoteText">
    <w:name w:val="footnote text"/>
    <w:basedOn w:val="Normal"/>
    <w:link w:val="FootnoteTextChar"/>
    <w:rsid w:val="001D2647"/>
    <w:pPr>
      <w:spacing w:line="300" w:lineRule="exact"/>
    </w:pPr>
  </w:style>
  <w:style w:type="paragraph" w:customStyle="1" w:styleId="Title1">
    <w:name w:val="Title1"/>
    <w:basedOn w:val="Normal"/>
    <w:rsid w:val="001D2647"/>
    <w:pPr>
      <w:tabs>
        <w:tab w:val="left" w:pos="5760"/>
        <w:tab w:val="left" w:pos="6480"/>
      </w:tabs>
      <w:spacing w:line="240" w:lineRule="atLeast"/>
    </w:pPr>
  </w:style>
  <w:style w:type="paragraph" w:customStyle="1" w:styleId="Recommend">
    <w:name w:val="Recommend"/>
    <w:basedOn w:val="Normal"/>
    <w:rsid w:val="001D2647"/>
  </w:style>
  <w:style w:type="paragraph" w:customStyle="1" w:styleId="Summary">
    <w:name w:val="Summary"/>
    <w:basedOn w:val="Normal"/>
    <w:rsid w:val="001D2647"/>
    <w:pPr>
      <w:ind w:left="2160" w:hanging="2160"/>
    </w:pPr>
  </w:style>
  <w:style w:type="paragraph" w:customStyle="1" w:styleId="Text">
    <w:name w:val="Text"/>
    <w:basedOn w:val="Normal"/>
    <w:rsid w:val="001D2647"/>
    <w:pPr>
      <w:tabs>
        <w:tab w:val="left" w:pos="720"/>
        <w:tab w:val="left" w:pos="1440"/>
        <w:tab w:val="left" w:pos="2160"/>
        <w:tab w:val="center" w:pos="4320"/>
      </w:tabs>
      <w:spacing w:line="480" w:lineRule="atLeast"/>
      <w:ind w:firstLine="540"/>
    </w:pPr>
  </w:style>
  <w:style w:type="paragraph" w:styleId="Date">
    <w:name w:val="Date"/>
    <w:basedOn w:val="Normal"/>
    <w:semiHidden/>
    <w:rsid w:val="001D2647"/>
    <w:pPr>
      <w:jc w:val="right"/>
    </w:pPr>
  </w:style>
  <w:style w:type="character" w:styleId="PageNumber">
    <w:name w:val="page number"/>
    <w:basedOn w:val="DefaultParagraphFont"/>
    <w:rsid w:val="001D2647"/>
  </w:style>
  <w:style w:type="paragraph" w:customStyle="1" w:styleId="subject">
    <w:name w:val="subject"/>
    <w:basedOn w:val="Normal"/>
    <w:rsid w:val="001D2647"/>
    <w:pPr>
      <w:tabs>
        <w:tab w:val="left" w:pos="1008"/>
      </w:tabs>
      <w:ind w:left="990" w:hanging="990"/>
    </w:pPr>
    <w:rPr>
      <w:b/>
    </w:rPr>
  </w:style>
  <w:style w:type="paragraph" w:customStyle="1" w:styleId="Titles">
    <w:name w:val="Titles"/>
    <w:basedOn w:val="Normal"/>
    <w:rsid w:val="001D2647"/>
    <w:pPr>
      <w:tabs>
        <w:tab w:val="left" w:pos="2160"/>
      </w:tabs>
      <w:ind w:left="2160" w:hanging="2160"/>
    </w:pPr>
    <w:rPr>
      <w:b/>
    </w:rPr>
  </w:style>
  <w:style w:type="paragraph" w:styleId="TOAHeading">
    <w:name w:val="toa heading"/>
    <w:basedOn w:val="Normal"/>
    <w:next w:val="Normal"/>
    <w:semiHidden/>
    <w:rsid w:val="001D2647"/>
    <w:pPr>
      <w:spacing w:before="120"/>
    </w:pPr>
    <w:rPr>
      <w:b/>
    </w:rPr>
  </w:style>
  <w:style w:type="paragraph" w:styleId="TOC1">
    <w:name w:val="toc 1"/>
    <w:basedOn w:val="Normal"/>
    <w:next w:val="Normal"/>
    <w:autoRedefine/>
    <w:semiHidden/>
    <w:rsid w:val="001D2647"/>
  </w:style>
  <w:style w:type="paragraph" w:styleId="TOC2">
    <w:name w:val="toc 2"/>
    <w:basedOn w:val="Normal"/>
    <w:next w:val="Normal"/>
    <w:autoRedefine/>
    <w:semiHidden/>
    <w:rsid w:val="001D2647"/>
    <w:pPr>
      <w:ind w:left="259"/>
    </w:pPr>
  </w:style>
  <w:style w:type="paragraph" w:styleId="TOC3">
    <w:name w:val="toc 3"/>
    <w:basedOn w:val="Normal"/>
    <w:next w:val="Normal"/>
    <w:autoRedefine/>
    <w:semiHidden/>
    <w:rsid w:val="001D2647"/>
    <w:pPr>
      <w:ind w:left="520"/>
    </w:pPr>
  </w:style>
  <w:style w:type="paragraph" w:styleId="TOC4">
    <w:name w:val="toc 4"/>
    <w:basedOn w:val="Normal"/>
    <w:next w:val="Normal"/>
    <w:autoRedefine/>
    <w:semiHidden/>
    <w:rsid w:val="001D2647"/>
    <w:pPr>
      <w:ind w:left="780"/>
    </w:pPr>
  </w:style>
  <w:style w:type="paragraph" w:styleId="TOC5">
    <w:name w:val="toc 5"/>
    <w:basedOn w:val="Normal"/>
    <w:next w:val="Normal"/>
    <w:autoRedefine/>
    <w:semiHidden/>
    <w:rsid w:val="001D2647"/>
    <w:pPr>
      <w:ind w:left="1040"/>
    </w:pPr>
  </w:style>
  <w:style w:type="paragraph" w:styleId="TOC6">
    <w:name w:val="toc 6"/>
    <w:basedOn w:val="Normal"/>
    <w:next w:val="Normal"/>
    <w:autoRedefine/>
    <w:semiHidden/>
    <w:rsid w:val="001D2647"/>
    <w:pPr>
      <w:ind w:left="1300"/>
    </w:pPr>
  </w:style>
  <w:style w:type="paragraph" w:styleId="TOC7">
    <w:name w:val="toc 7"/>
    <w:basedOn w:val="Normal"/>
    <w:next w:val="Normal"/>
    <w:autoRedefine/>
    <w:semiHidden/>
    <w:rsid w:val="001D2647"/>
    <w:pPr>
      <w:ind w:left="1560"/>
    </w:pPr>
  </w:style>
  <w:style w:type="paragraph" w:styleId="TOC8">
    <w:name w:val="toc 8"/>
    <w:basedOn w:val="Normal"/>
    <w:next w:val="Normal"/>
    <w:autoRedefine/>
    <w:semiHidden/>
    <w:rsid w:val="001D2647"/>
    <w:pPr>
      <w:ind w:left="1820"/>
    </w:pPr>
  </w:style>
  <w:style w:type="paragraph" w:styleId="TOC9">
    <w:name w:val="toc 9"/>
    <w:basedOn w:val="Normal"/>
    <w:next w:val="Normal"/>
    <w:autoRedefine/>
    <w:semiHidden/>
    <w:rsid w:val="001D2647"/>
    <w:pPr>
      <w:ind w:left="2080"/>
    </w:pPr>
  </w:style>
  <w:style w:type="paragraph" w:customStyle="1" w:styleId="Contents">
    <w:name w:val="Contents"/>
    <w:basedOn w:val="Normal"/>
    <w:rsid w:val="001D2647"/>
    <w:pPr>
      <w:jc w:val="center"/>
    </w:pPr>
    <w:rPr>
      <w:b/>
      <w:spacing w:val="100"/>
    </w:rPr>
  </w:style>
  <w:style w:type="paragraph" w:styleId="ListParagraph">
    <w:name w:val="List Paragraph"/>
    <w:basedOn w:val="Normal"/>
    <w:uiPriority w:val="34"/>
    <w:qFormat/>
    <w:rsid w:val="00FB1222"/>
    <w:pPr>
      <w:ind w:left="720"/>
      <w:contextualSpacing/>
    </w:pPr>
  </w:style>
  <w:style w:type="character" w:customStyle="1" w:styleId="FootnoteTextChar">
    <w:name w:val="Footnote Text Char"/>
    <w:basedOn w:val="DefaultParagraphFont"/>
    <w:link w:val="FootnoteText"/>
    <w:rsid w:val="00340B27"/>
    <w:rPr>
      <w:rFonts w:ascii="Century Schoolbook" w:hAnsi="Century Schoolbook"/>
      <w:sz w:val="27"/>
    </w:rPr>
  </w:style>
  <w:style w:type="character" w:styleId="CommentReference">
    <w:name w:val="annotation reference"/>
    <w:basedOn w:val="DefaultParagraphFont"/>
    <w:uiPriority w:val="99"/>
    <w:semiHidden/>
    <w:unhideWhenUsed/>
    <w:rsid w:val="00A60B00"/>
    <w:rPr>
      <w:sz w:val="16"/>
      <w:szCs w:val="16"/>
    </w:rPr>
  </w:style>
  <w:style w:type="paragraph" w:styleId="CommentText">
    <w:name w:val="annotation text"/>
    <w:basedOn w:val="Normal"/>
    <w:link w:val="CommentTextChar"/>
    <w:uiPriority w:val="99"/>
    <w:semiHidden/>
    <w:unhideWhenUsed/>
    <w:rsid w:val="00A60B00"/>
    <w:rPr>
      <w:sz w:val="20"/>
    </w:rPr>
  </w:style>
  <w:style w:type="character" w:customStyle="1" w:styleId="CommentTextChar">
    <w:name w:val="Comment Text Char"/>
    <w:basedOn w:val="DefaultParagraphFont"/>
    <w:link w:val="CommentText"/>
    <w:uiPriority w:val="99"/>
    <w:semiHidden/>
    <w:rsid w:val="00A60B00"/>
  </w:style>
  <w:style w:type="paragraph" w:styleId="CommentSubject">
    <w:name w:val="annotation subject"/>
    <w:basedOn w:val="CommentText"/>
    <w:next w:val="CommentText"/>
    <w:link w:val="CommentSubjectChar"/>
    <w:uiPriority w:val="99"/>
    <w:semiHidden/>
    <w:unhideWhenUsed/>
    <w:rsid w:val="00A60B00"/>
    <w:rPr>
      <w:b/>
      <w:bCs/>
    </w:rPr>
  </w:style>
  <w:style w:type="character" w:customStyle="1" w:styleId="CommentSubjectChar">
    <w:name w:val="Comment Subject Char"/>
    <w:basedOn w:val="CommentTextChar"/>
    <w:link w:val="CommentSubject"/>
    <w:uiPriority w:val="99"/>
    <w:semiHidden/>
    <w:rsid w:val="00A60B00"/>
    <w:rPr>
      <w:b/>
      <w:bCs/>
    </w:rPr>
  </w:style>
  <w:style w:type="paragraph" w:styleId="Revision">
    <w:name w:val="Revision"/>
    <w:hidden/>
    <w:uiPriority w:val="99"/>
    <w:semiHidden/>
    <w:rsid w:val="00A60B00"/>
    <w:rPr>
      <w:sz w:val="26"/>
    </w:rPr>
  </w:style>
  <w:style w:type="paragraph" w:styleId="BalloonText">
    <w:name w:val="Balloon Text"/>
    <w:basedOn w:val="Normal"/>
    <w:link w:val="BalloonTextChar"/>
    <w:uiPriority w:val="99"/>
    <w:semiHidden/>
    <w:unhideWhenUsed/>
    <w:rsid w:val="00A60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00"/>
    <w:rPr>
      <w:rFonts w:ascii="Segoe UI" w:hAnsi="Segoe UI" w:cs="Segoe UI"/>
      <w:sz w:val="18"/>
      <w:szCs w:val="18"/>
    </w:rPr>
  </w:style>
  <w:style w:type="character" w:styleId="Hyperlink">
    <w:name w:val="Hyperlink"/>
    <w:basedOn w:val="DefaultParagraphFont"/>
    <w:uiPriority w:val="99"/>
    <w:unhideWhenUsed/>
    <w:rsid w:val="00D7451E"/>
    <w:rPr>
      <w:color w:val="0000FF" w:themeColor="hyperlink"/>
      <w:u w:val="single"/>
    </w:rPr>
  </w:style>
  <w:style w:type="character" w:styleId="Emphasis">
    <w:name w:val="Emphasis"/>
    <w:basedOn w:val="DefaultParagraphFont"/>
    <w:uiPriority w:val="20"/>
    <w:qFormat/>
    <w:rsid w:val="00F1626F"/>
    <w:rPr>
      <w:i/>
      <w:iCs/>
    </w:rPr>
  </w:style>
  <w:style w:type="paragraph" w:styleId="BodyText">
    <w:name w:val="Body Text"/>
    <w:basedOn w:val="Normal"/>
    <w:link w:val="BodyTextChar"/>
    <w:qFormat/>
    <w:rsid w:val="001D2647"/>
  </w:style>
  <w:style w:type="character" w:customStyle="1" w:styleId="BodyTextChar">
    <w:name w:val="Body Text Char"/>
    <w:basedOn w:val="DefaultParagraphFont"/>
    <w:link w:val="BodyText"/>
    <w:rsid w:val="001D2647"/>
    <w:rPr>
      <w:rFonts w:ascii="Century Schoolbook" w:hAnsi="Century Schoolbook"/>
      <w:sz w:val="27"/>
    </w:rPr>
  </w:style>
  <w:style w:type="character" w:customStyle="1" w:styleId="UnresolvedMention1">
    <w:name w:val="Unresolved Mention1"/>
    <w:basedOn w:val="DefaultParagraphFont"/>
    <w:uiPriority w:val="99"/>
    <w:semiHidden/>
    <w:unhideWhenUsed/>
    <w:rsid w:val="00AA265B"/>
    <w:rPr>
      <w:color w:val="605E5C"/>
      <w:shd w:val="clear" w:color="auto" w:fill="E1DFDD"/>
    </w:rPr>
  </w:style>
  <w:style w:type="character" w:styleId="FollowedHyperlink">
    <w:name w:val="FollowedHyperlink"/>
    <w:basedOn w:val="DefaultParagraphFont"/>
    <w:uiPriority w:val="99"/>
    <w:semiHidden/>
    <w:unhideWhenUsed/>
    <w:rsid w:val="003B657D"/>
    <w:rPr>
      <w:color w:val="800080" w:themeColor="followedHyperlink"/>
      <w:u w:val="single"/>
    </w:rPr>
  </w:style>
  <w:style w:type="paragraph" w:styleId="DocumentMap">
    <w:name w:val="Document Map"/>
    <w:basedOn w:val="Normal"/>
    <w:link w:val="DocumentMapChar"/>
    <w:uiPriority w:val="99"/>
    <w:semiHidden/>
    <w:unhideWhenUsed/>
    <w:rsid w:val="00C05156"/>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051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779">
      <w:bodyDiv w:val="1"/>
      <w:marLeft w:val="0"/>
      <w:marRight w:val="0"/>
      <w:marTop w:val="0"/>
      <w:marBottom w:val="0"/>
      <w:divBdr>
        <w:top w:val="none" w:sz="0" w:space="0" w:color="auto"/>
        <w:left w:val="none" w:sz="0" w:space="0" w:color="auto"/>
        <w:bottom w:val="none" w:sz="0" w:space="0" w:color="auto"/>
        <w:right w:val="none" w:sz="0" w:space="0" w:color="auto"/>
      </w:divBdr>
    </w:div>
    <w:div w:id="14575833">
      <w:bodyDiv w:val="1"/>
      <w:marLeft w:val="0"/>
      <w:marRight w:val="0"/>
      <w:marTop w:val="0"/>
      <w:marBottom w:val="0"/>
      <w:divBdr>
        <w:top w:val="none" w:sz="0" w:space="0" w:color="auto"/>
        <w:left w:val="none" w:sz="0" w:space="0" w:color="auto"/>
        <w:bottom w:val="none" w:sz="0" w:space="0" w:color="auto"/>
        <w:right w:val="none" w:sz="0" w:space="0" w:color="auto"/>
      </w:divBdr>
    </w:div>
    <w:div w:id="64229833">
      <w:bodyDiv w:val="1"/>
      <w:marLeft w:val="0"/>
      <w:marRight w:val="0"/>
      <w:marTop w:val="0"/>
      <w:marBottom w:val="0"/>
      <w:divBdr>
        <w:top w:val="none" w:sz="0" w:space="0" w:color="auto"/>
        <w:left w:val="none" w:sz="0" w:space="0" w:color="auto"/>
        <w:bottom w:val="none" w:sz="0" w:space="0" w:color="auto"/>
        <w:right w:val="none" w:sz="0" w:space="0" w:color="auto"/>
      </w:divBdr>
    </w:div>
    <w:div w:id="128986584">
      <w:bodyDiv w:val="1"/>
      <w:marLeft w:val="0"/>
      <w:marRight w:val="0"/>
      <w:marTop w:val="0"/>
      <w:marBottom w:val="0"/>
      <w:divBdr>
        <w:top w:val="none" w:sz="0" w:space="0" w:color="auto"/>
        <w:left w:val="none" w:sz="0" w:space="0" w:color="auto"/>
        <w:bottom w:val="none" w:sz="0" w:space="0" w:color="auto"/>
        <w:right w:val="none" w:sz="0" w:space="0" w:color="auto"/>
      </w:divBdr>
    </w:div>
    <w:div w:id="230309276">
      <w:bodyDiv w:val="1"/>
      <w:marLeft w:val="0"/>
      <w:marRight w:val="0"/>
      <w:marTop w:val="0"/>
      <w:marBottom w:val="0"/>
      <w:divBdr>
        <w:top w:val="none" w:sz="0" w:space="0" w:color="auto"/>
        <w:left w:val="none" w:sz="0" w:space="0" w:color="auto"/>
        <w:bottom w:val="none" w:sz="0" w:space="0" w:color="auto"/>
        <w:right w:val="none" w:sz="0" w:space="0" w:color="auto"/>
      </w:divBdr>
      <w:divsChild>
        <w:div w:id="562444159">
          <w:marLeft w:val="0"/>
          <w:marRight w:val="0"/>
          <w:marTop w:val="0"/>
          <w:marBottom w:val="0"/>
          <w:divBdr>
            <w:top w:val="none" w:sz="0" w:space="0" w:color="auto"/>
            <w:left w:val="none" w:sz="0" w:space="0" w:color="auto"/>
            <w:bottom w:val="none" w:sz="0" w:space="0" w:color="auto"/>
            <w:right w:val="none" w:sz="0" w:space="0" w:color="auto"/>
          </w:divBdr>
        </w:div>
      </w:divsChild>
    </w:div>
    <w:div w:id="261228041">
      <w:bodyDiv w:val="1"/>
      <w:marLeft w:val="0"/>
      <w:marRight w:val="0"/>
      <w:marTop w:val="0"/>
      <w:marBottom w:val="0"/>
      <w:divBdr>
        <w:top w:val="none" w:sz="0" w:space="0" w:color="auto"/>
        <w:left w:val="none" w:sz="0" w:space="0" w:color="auto"/>
        <w:bottom w:val="none" w:sz="0" w:space="0" w:color="auto"/>
        <w:right w:val="none" w:sz="0" w:space="0" w:color="auto"/>
      </w:divBdr>
    </w:div>
    <w:div w:id="289822971">
      <w:bodyDiv w:val="1"/>
      <w:marLeft w:val="0"/>
      <w:marRight w:val="0"/>
      <w:marTop w:val="0"/>
      <w:marBottom w:val="0"/>
      <w:divBdr>
        <w:top w:val="none" w:sz="0" w:space="0" w:color="auto"/>
        <w:left w:val="none" w:sz="0" w:space="0" w:color="auto"/>
        <w:bottom w:val="none" w:sz="0" w:space="0" w:color="auto"/>
        <w:right w:val="none" w:sz="0" w:space="0" w:color="auto"/>
      </w:divBdr>
    </w:div>
    <w:div w:id="314644381">
      <w:bodyDiv w:val="1"/>
      <w:marLeft w:val="0"/>
      <w:marRight w:val="0"/>
      <w:marTop w:val="0"/>
      <w:marBottom w:val="0"/>
      <w:divBdr>
        <w:top w:val="none" w:sz="0" w:space="0" w:color="auto"/>
        <w:left w:val="none" w:sz="0" w:space="0" w:color="auto"/>
        <w:bottom w:val="none" w:sz="0" w:space="0" w:color="auto"/>
        <w:right w:val="none" w:sz="0" w:space="0" w:color="auto"/>
      </w:divBdr>
    </w:div>
    <w:div w:id="464278497">
      <w:bodyDiv w:val="1"/>
      <w:marLeft w:val="0"/>
      <w:marRight w:val="0"/>
      <w:marTop w:val="0"/>
      <w:marBottom w:val="0"/>
      <w:divBdr>
        <w:top w:val="none" w:sz="0" w:space="0" w:color="auto"/>
        <w:left w:val="none" w:sz="0" w:space="0" w:color="auto"/>
        <w:bottom w:val="none" w:sz="0" w:space="0" w:color="auto"/>
        <w:right w:val="none" w:sz="0" w:space="0" w:color="auto"/>
      </w:divBdr>
    </w:div>
    <w:div w:id="502625885">
      <w:bodyDiv w:val="1"/>
      <w:marLeft w:val="0"/>
      <w:marRight w:val="0"/>
      <w:marTop w:val="0"/>
      <w:marBottom w:val="0"/>
      <w:divBdr>
        <w:top w:val="none" w:sz="0" w:space="0" w:color="auto"/>
        <w:left w:val="none" w:sz="0" w:space="0" w:color="auto"/>
        <w:bottom w:val="none" w:sz="0" w:space="0" w:color="auto"/>
        <w:right w:val="none" w:sz="0" w:space="0" w:color="auto"/>
      </w:divBdr>
      <w:divsChild>
        <w:div w:id="605576470">
          <w:marLeft w:val="0"/>
          <w:marRight w:val="0"/>
          <w:marTop w:val="0"/>
          <w:marBottom w:val="0"/>
          <w:divBdr>
            <w:top w:val="none" w:sz="0" w:space="0" w:color="auto"/>
            <w:left w:val="none" w:sz="0" w:space="0" w:color="auto"/>
            <w:bottom w:val="none" w:sz="0" w:space="0" w:color="auto"/>
            <w:right w:val="none" w:sz="0" w:space="0" w:color="auto"/>
          </w:divBdr>
        </w:div>
        <w:div w:id="1164904613">
          <w:marLeft w:val="0"/>
          <w:marRight w:val="0"/>
          <w:marTop w:val="0"/>
          <w:marBottom w:val="0"/>
          <w:divBdr>
            <w:top w:val="none" w:sz="0" w:space="0" w:color="auto"/>
            <w:left w:val="none" w:sz="0" w:space="0" w:color="auto"/>
            <w:bottom w:val="none" w:sz="0" w:space="0" w:color="auto"/>
            <w:right w:val="none" w:sz="0" w:space="0" w:color="auto"/>
          </w:divBdr>
        </w:div>
      </w:divsChild>
    </w:div>
    <w:div w:id="575671691">
      <w:bodyDiv w:val="1"/>
      <w:marLeft w:val="0"/>
      <w:marRight w:val="0"/>
      <w:marTop w:val="0"/>
      <w:marBottom w:val="0"/>
      <w:divBdr>
        <w:top w:val="none" w:sz="0" w:space="0" w:color="auto"/>
        <w:left w:val="none" w:sz="0" w:space="0" w:color="auto"/>
        <w:bottom w:val="none" w:sz="0" w:space="0" w:color="auto"/>
        <w:right w:val="none" w:sz="0" w:space="0" w:color="auto"/>
      </w:divBdr>
    </w:div>
    <w:div w:id="621688767">
      <w:bodyDiv w:val="1"/>
      <w:marLeft w:val="0"/>
      <w:marRight w:val="0"/>
      <w:marTop w:val="0"/>
      <w:marBottom w:val="0"/>
      <w:divBdr>
        <w:top w:val="none" w:sz="0" w:space="0" w:color="auto"/>
        <w:left w:val="none" w:sz="0" w:space="0" w:color="auto"/>
        <w:bottom w:val="none" w:sz="0" w:space="0" w:color="auto"/>
        <w:right w:val="none" w:sz="0" w:space="0" w:color="auto"/>
      </w:divBdr>
    </w:div>
    <w:div w:id="730546395">
      <w:bodyDiv w:val="1"/>
      <w:marLeft w:val="0"/>
      <w:marRight w:val="0"/>
      <w:marTop w:val="0"/>
      <w:marBottom w:val="0"/>
      <w:divBdr>
        <w:top w:val="none" w:sz="0" w:space="0" w:color="auto"/>
        <w:left w:val="none" w:sz="0" w:space="0" w:color="auto"/>
        <w:bottom w:val="none" w:sz="0" w:space="0" w:color="auto"/>
        <w:right w:val="none" w:sz="0" w:space="0" w:color="auto"/>
      </w:divBdr>
    </w:div>
    <w:div w:id="753861096">
      <w:bodyDiv w:val="1"/>
      <w:marLeft w:val="0"/>
      <w:marRight w:val="0"/>
      <w:marTop w:val="0"/>
      <w:marBottom w:val="0"/>
      <w:divBdr>
        <w:top w:val="none" w:sz="0" w:space="0" w:color="auto"/>
        <w:left w:val="none" w:sz="0" w:space="0" w:color="auto"/>
        <w:bottom w:val="none" w:sz="0" w:space="0" w:color="auto"/>
        <w:right w:val="none" w:sz="0" w:space="0" w:color="auto"/>
      </w:divBdr>
    </w:div>
    <w:div w:id="780875529">
      <w:bodyDiv w:val="1"/>
      <w:marLeft w:val="0"/>
      <w:marRight w:val="0"/>
      <w:marTop w:val="0"/>
      <w:marBottom w:val="0"/>
      <w:divBdr>
        <w:top w:val="none" w:sz="0" w:space="0" w:color="auto"/>
        <w:left w:val="none" w:sz="0" w:space="0" w:color="auto"/>
        <w:bottom w:val="none" w:sz="0" w:space="0" w:color="auto"/>
        <w:right w:val="none" w:sz="0" w:space="0" w:color="auto"/>
      </w:divBdr>
    </w:div>
    <w:div w:id="964970207">
      <w:bodyDiv w:val="1"/>
      <w:marLeft w:val="0"/>
      <w:marRight w:val="0"/>
      <w:marTop w:val="0"/>
      <w:marBottom w:val="0"/>
      <w:divBdr>
        <w:top w:val="none" w:sz="0" w:space="0" w:color="auto"/>
        <w:left w:val="none" w:sz="0" w:space="0" w:color="auto"/>
        <w:bottom w:val="none" w:sz="0" w:space="0" w:color="auto"/>
        <w:right w:val="none" w:sz="0" w:space="0" w:color="auto"/>
      </w:divBdr>
    </w:div>
    <w:div w:id="1086074647">
      <w:bodyDiv w:val="1"/>
      <w:marLeft w:val="0"/>
      <w:marRight w:val="0"/>
      <w:marTop w:val="0"/>
      <w:marBottom w:val="0"/>
      <w:divBdr>
        <w:top w:val="none" w:sz="0" w:space="0" w:color="auto"/>
        <w:left w:val="none" w:sz="0" w:space="0" w:color="auto"/>
        <w:bottom w:val="none" w:sz="0" w:space="0" w:color="auto"/>
        <w:right w:val="none" w:sz="0" w:space="0" w:color="auto"/>
      </w:divBdr>
    </w:div>
    <w:div w:id="1180437629">
      <w:bodyDiv w:val="1"/>
      <w:marLeft w:val="0"/>
      <w:marRight w:val="0"/>
      <w:marTop w:val="0"/>
      <w:marBottom w:val="0"/>
      <w:divBdr>
        <w:top w:val="none" w:sz="0" w:space="0" w:color="auto"/>
        <w:left w:val="none" w:sz="0" w:space="0" w:color="auto"/>
        <w:bottom w:val="none" w:sz="0" w:space="0" w:color="auto"/>
        <w:right w:val="none" w:sz="0" w:space="0" w:color="auto"/>
      </w:divBdr>
    </w:div>
    <w:div w:id="1193573427">
      <w:bodyDiv w:val="1"/>
      <w:marLeft w:val="0"/>
      <w:marRight w:val="0"/>
      <w:marTop w:val="0"/>
      <w:marBottom w:val="0"/>
      <w:divBdr>
        <w:top w:val="none" w:sz="0" w:space="0" w:color="auto"/>
        <w:left w:val="none" w:sz="0" w:space="0" w:color="auto"/>
        <w:bottom w:val="none" w:sz="0" w:space="0" w:color="auto"/>
        <w:right w:val="none" w:sz="0" w:space="0" w:color="auto"/>
      </w:divBdr>
    </w:div>
    <w:div w:id="1274286378">
      <w:bodyDiv w:val="1"/>
      <w:marLeft w:val="0"/>
      <w:marRight w:val="0"/>
      <w:marTop w:val="0"/>
      <w:marBottom w:val="0"/>
      <w:divBdr>
        <w:top w:val="none" w:sz="0" w:space="0" w:color="auto"/>
        <w:left w:val="none" w:sz="0" w:space="0" w:color="auto"/>
        <w:bottom w:val="none" w:sz="0" w:space="0" w:color="auto"/>
        <w:right w:val="none" w:sz="0" w:space="0" w:color="auto"/>
      </w:divBdr>
    </w:div>
    <w:div w:id="1476217237">
      <w:bodyDiv w:val="1"/>
      <w:marLeft w:val="0"/>
      <w:marRight w:val="0"/>
      <w:marTop w:val="0"/>
      <w:marBottom w:val="0"/>
      <w:divBdr>
        <w:top w:val="none" w:sz="0" w:space="0" w:color="auto"/>
        <w:left w:val="none" w:sz="0" w:space="0" w:color="auto"/>
        <w:bottom w:val="none" w:sz="0" w:space="0" w:color="auto"/>
        <w:right w:val="none" w:sz="0" w:space="0" w:color="auto"/>
      </w:divBdr>
    </w:div>
    <w:div w:id="1486314066">
      <w:bodyDiv w:val="1"/>
      <w:marLeft w:val="0"/>
      <w:marRight w:val="0"/>
      <w:marTop w:val="0"/>
      <w:marBottom w:val="0"/>
      <w:divBdr>
        <w:top w:val="none" w:sz="0" w:space="0" w:color="auto"/>
        <w:left w:val="none" w:sz="0" w:space="0" w:color="auto"/>
        <w:bottom w:val="none" w:sz="0" w:space="0" w:color="auto"/>
        <w:right w:val="none" w:sz="0" w:space="0" w:color="auto"/>
      </w:divBdr>
    </w:div>
    <w:div w:id="1529414619">
      <w:bodyDiv w:val="1"/>
      <w:marLeft w:val="0"/>
      <w:marRight w:val="0"/>
      <w:marTop w:val="0"/>
      <w:marBottom w:val="0"/>
      <w:divBdr>
        <w:top w:val="none" w:sz="0" w:space="0" w:color="auto"/>
        <w:left w:val="none" w:sz="0" w:space="0" w:color="auto"/>
        <w:bottom w:val="none" w:sz="0" w:space="0" w:color="auto"/>
        <w:right w:val="none" w:sz="0" w:space="0" w:color="auto"/>
      </w:divBdr>
    </w:div>
    <w:div w:id="1547833467">
      <w:bodyDiv w:val="1"/>
      <w:marLeft w:val="0"/>
      <w:marRight w:val="0"/>
      <w:marTop w:val="0"/>
      <w:marBottom w:val="0"/>
      <w:divBdr>
        <w:top w:val="none" w:sz="0" w:space="0" w:color="auto"/>
        <w:left w:val="none" w:sz="0" w:space="0" w:color="auto"/>
        <w:bottom w:val="none" w:sz="0" w:space="0" w:color="auto"/>
        <w:right w:val="none" w:sz="0" w:space="0" w:color="auto"/>
      </w:divBdr>
    </w:div>
    <w:div w:id="1680768290">
      <w:bodyDiv w:val="1"/>
      <w:marLeft w:val="0"/>
      <w:marRight w:val="0"/>
      <w:marTop w:val="0"/>
      <w:marBottom w:val="0"/>
      <w:divBdr>
        <w:top w:val="none" w:sz="0" w:space="0" w:color="auto"/>
        <w:left w:val="none" w:sz="0" w:space="0" w:color="auto"/>
        <w:bottom w:val="none" w:sz="0" w:space="0" w:color="auto"/>
        <w:right w:val="none" w:sz="0" w:space="0" w:color="auto"/>
      </w:divBdr>
    </w:div>
    <w:div w:id="1807161434">
      <w:bodyDiv w:val="1"/>
      <w:marLeft w:val="0"/>
      <w:marRight w:val="0"/>
      <w:marTop w:val="0"/>
      <w:marBottom w:val="0"/>
      <w:divBdr>
        <w:top w:val="none" w:sz="0" w:space="0" w:color="auto"/>
        <w:left w:val="none" w:sz="0" w:space="0" w:color="auto"/>
        <w:bottom w:val="none" w:sz="0" w:space="0" w:color="auto"/>
        <w:right w:val="none" w:sz="0" w:space="0" w:color="auto"/>
      </w:divBdr>
    </w:div>
    <w:div w:id="1966692058">
      <w:bodyDiv w:val="1"/>
      <w:marLeft w:val="0"/>
      <w:marRight w:val="0"/>
      <w:marTop w:val="0"/>
      <w:marBottom w:val="0"/>
      <w:divBdr>
        <w:top w:val="none" w:sz="0" w:space="0" w:color="auto"/>
        <w:left w:val="none" w:sz="0" w:space="0" w:color="auto"/>
        <w:bottom w:val="none" w:sz="0" w:space="0" w:color="auto"/>
        <w:right w:val="none" w:sz="0" w:space="0" w:color="auto"/>
      </w:divBdr>
    </w:div>
    <w:div w:id="1977300751">
      <w:bodyDiv w:val="1"/>
      <w:marLeft w:val="0"/>
      <w:marRight w:val="0"/>
      <w:marTop w:val="0"/>
      <w:marBottom w:val="0"/>
      <w:divBdr>
        <w:top w:val="none" w:sz="0" w:space="0" w:color="auto"/>
        <w:left w:val="none" w:sz="0" w:space="0" w:color="auto"/>
        <w:bottom w:val="none" w:sz="0" w:space="0" w:color="auto"/>
        <w:right w:val="none" w:sz="0" w:space="0" w:color="auto"/>
      </w:divBdr>
    </w:div>
    <w:div w:id="2045057901">
      <w:bodyDiv w:val="1"/>
      <w:marLeft w:val="0"/>
      <w:marRight w:val="0"/>
      <w:marTop w:val="0"/>
      <w:marBottom w:val="0"/>
      <w:divBdr>
        <w:top w:val="none" w:sz="0" w:space="0" w:color="auto"/>
        <w:left w:val="none" w:sz="0" w:space="0" w:color="auto"/>
        <w:bottom w:val="none" w:sz="0" w:space="0" w:color="auto"/>
        <w:right w:val="none" w:sz="0" w:space="0" w:color="auto"/>
      </w:divBdr>
    </w:div>
    <w:div w:id="2061394181">
      <w:bodyDiv w:val="1"/>
      <w:marLeft w:val="0"/>
      <w:marRight w:val="0"/>
      <w:marTop w:val="0"/>
      <w:marBottom w:val="0"/>
      <w:divBdr>
        <w:top w:val="none" w:sz="0" w:space="0" w:color="auto"/>
        <w:left w:val="none" w:sz="0" w:space="0" w:color="auto"/>
        <w:bottom w:val="none" w:sz="0" w:space="0" w:color="auto"/>
        <w:right w:val="none" w:sz="0" w:space="0" w:color="auto"/>
      </w:divBdr>
    </w:div>
    <w:div w:id="20618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6091</Words>
  <Characters>32920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2019-07-12T22:21:00Z</cp:lastPrinted>
  <dcterms:created xsi:type="dcterms:W3CDTF">2019-07-12T22:35:00Z</dcterms:created>
  <dcterms:modified xsi:type="dcterms:W3CDTF">2019-07-12T22:43:00Z</dcterms:modified>
</cp:coreProperties>
</file>