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0599FD" w14:textId="0E3BF703" w:rsidR="001B5649" w:rsidRDefault="005E00EC" w:rsidP="005E00EC">
      <w:pPr>
        <w:tabs>
          <w:tab w:val="left" w:pos="1440"/>
          <w:tab w:val="left" w:pos="4680"/>
          <w:tab w:val="center" w:pos="7200"/>
        </w:tabs>
        <w:spacing w:after="0"/>
        <w:contextualSpacing/>
        <w:jc w:val="center"/>
        <w:rPr>
          <w:sz w:val="36"/>
        </w:rPr>
      </w:pPr>
      <w:bookmarkStart w:id="0" w:name="_GoBack"/>
      <w:bookmarkEnd w:id="0"/>
      <w:r w:rsidRPr="006B6379">
        <w:rPr>
          <w:b/>
          <w:sz w:val="36"/>
        </w:rPr>
        <w:t xml:space="preserve">IN THE SUPREME COURT </w:t>
      </w:r>
      <w:r>
        <w:rPr>
          <w:b/>
          <w:sz w:val="36"/>
        </w:rPr>
        <w:t>OF CALIFORNIA</w:t>
      </w:r>
    </w:p>
    <w:p w14:paraId="258D33BF" w14:textId="3506F822" w:rsidR="005E00EC" w:rsidRDefault="005E00EC" w:rsidP="005E00EC">
      <w:pPr>
        <w:tabs>
          <w:tab w:val="left" w:pos="1440"/>
          <w:tab w:val="left" w:pos="4680"/>
          <w:tab w:val="center" w:pos="7200"/>
        </w:tabs>
        <w:spacing w:after="0"/>
        <w:contextualSpacing/>
        <w:jc w:val="center"/>
      </w:pPr>
    </w:p>
    <w:p w14:paraId="4DE9FC83" w14:textId="03C987C9" w:rsidR="00873762" w:rsidRDefault="00873762" w:rsidP="00873762">
      <w:pPr>
        <w:tabs>
          <w:tab w:val="left" w:pos="1440"/>
          <w:tab w:val="left" w:pos="4680"/>
          <w:tab w:val="center" w:pos="7200"/>
        </w:tabs>
        <w:spacing w:after="0"/>
        <w:jc w:val="center"/>
      </w:pPr>
      <w:r>
        <w:t>In re A.N., a Person Coming Under the Juvenile Court Law.</w:t>
      </w:r>
    </w:p>
    <w:p w14:paraId="24890508" w14:textId="77777777" w:rsidR="00873762" w:rsidRDefault="00873762" w:rsidP="00873762">
      <w:pPr>
        <w:pBdr>
          <w:bottom w:val="single" w:sz="4" w:space="1" w:color="auto"/>
        </w:pBdr>
        <w:tabs>
          <w:tab w:val="left" w:pos="1440"/>
          <w:tab w:val="left" w:pos="4680"/>
          <w:tab w:val="center" w:pos="7200"/>
        </w:tabs>
        <w:spacing w:after="0"/>
        <w:jc w:val="center"/>
      </w:pPr>
    </w:p>
    <w:p w14:paraId="3792DCC6" w14:textId="77777777" w:rsidR="00873762" w:rsidRDefault="00873762" w:rsidP="00873762">
      <w:pPr>
        <w:tabs>
          <w:tab w:val="left" w:pos="1440"/>
          <w:tab w:val="left" w:pos="4680"/>
          <w:tab w:val="center" w:pos="7200"/>
        </w:tabs>
        <w:spacing w:after="0"/>
        <w:jc w:val="center"/>
      </w:pPr>
    </w:p>
    <w:p w14:paraId="676A10B5" w14:textId="6ED8A3A5" w:rsidR="005E00EC" w:rsidRDefault="005E00EC" w:rsidP="005E00EC">
      <w:pPr>
        <w:tabs>
          <w:tab w:val="left" w:pos="1440"/>
          <w:tab w:val="left" w:pos="4680"/>
          <w:tab w:val="center" w:pos="7200"/>
        </w:tabs>
        <w:spacing w:after="0"/>
        <w:contextualSpacing/>
        <w:jc w:val="center"/>
      </w:pPr>
      <w:r>
        <w:t>THE PEOPLE</w:t>
      </w:r>
      <w:r w:rsidR="003F66E9">
        <w:t>,</w:t>
      </w:r>
    </w:p>
    <w:p w14:paraId="2038E76A" w14:textId="080AEAA1" w:rsidR="005E00EC" w:rsidRDefault="005E00EC" w:rsidP="005E00EC">
      <w:pPr>
        <w:tabs>
          <w:tab w:val="left" w:pos="1440"/>
          <w:tab w:val="left" w:pos="4680"/>
          <w:tab w:val="center" w:pos="7200"/>
        </w:tabs>
        <w:spacing w:after="0"/>
        <w:contextualSpacing/>
        <w:jc w:val="center"/>
      </w:pPr>
      <w:r>
        <w:t>Plaintiff and Respondent</w:t>
      </w:r>
      <w:r w:rsidR="003F66E9">
        <w:t>,</w:t>
      </w:r>
    </w:p>
    <w:p w14:paraId="2DC4D49C" w14:textId="411F99DA" w:rsidR="005E00EC" w:rsidRDefault="005E00EC" w:rsidP="005E00EC">
      <w:pPr>
        <w:tabs>
          <w:tab w:val="left" w:pos="1440"/>
          <w:tab w:val="left" w:pos="4680"/>
          <w:tab w:val="center" w:pos="7200"/>
        </w:tabs>
        <w:spacing w:after="0"/>
        <w:contextualSpacing/>
        <w:jc w:val="center"/>
      </w:pPr>
      <w:r>
        <w:t>v.</w:t>
      </w:r>
    </w:p>
    <w:p w14:paraId="745E1C6E" w14:textId="25D7D55E" w:rsidR="005E00EC" w:rsidRDefault="005E00EC" w:rsidP="005E00EC">
      <w:pPr>
        <w:tabs>
          <w:tab w:val="left" w:pos="1440"/>
          <w:tab w:val="left" w:pos="4680"/>
          <w:tab w:val="center" w:pos="7200"/>
        </w:tabs>
        <w:spacing w:after="0"/>
        <w:contextualSpacing/>
        <w:jc w:val="center"/>
      </w:pPr>
      <w:r>
        <w:t>A.N.</w:t>
      </w:r>
      <w:r w:rsidR="003F66E9">
        <w:t>,</w:t>
      </w:r>
    </w:p>
    <w:p w14:paraId="6B558C01" w14:textId="6421376F" w:rsidR="005E00EC" w:rsidRDefault="005E00EC" w:rsidP="005E00EC">
      <w:pPr>
        <w:tabs>
          <w:tab w:val="left" w:pos="1440"/>
          <w:tab w:val="left" w:pos="4680"/>
          <w:tab w:val="center" w:pos="7200"/>
        </w:tabs>
        <w:spacing w:after="0"/>
        <w:contextualSpacing/>
        <w:jc w:val="center"/>
      </w:pPr>
      <w:r>
        <w:t>Defendant and Appellant</w:t>
      </w:r>
      <w:r w:rsidR="003F66E9">
        <w:t>.</w:t>
      </w:r>
    </w:p>
    <w:p w14:paraId="20B476AE" w14:textId="4639A463" w:rsidR="005E00EC" w:rsidRDefault="005E00EC" w:rsidP="005E00EC">
      <w:pPr>
        <w:tabs>
          <w:tab w:val="left" w:pos="1440"/>
          <w:tab w:val="left" w:pos="4680"/>
          <w:tab w:val="center" w:pos="7200"/>
        </w:tabs>
        <w:spacing w:after="0"/>
        <w:contextualSpacing/>
        <w:jc w:val="center"/>
      </w:pPr>
    </w:p>
    <w:p w14:paraId="2C644621" w14:textId="2DD5B23A" w:rsidR="005E00EC" w:rsidRDefault="005E00EC" w:rsidP="005E00EC">
      <w:pPr>
        <w:tabs>
          <w:tab w:val="left" w:pos="1440"/>
          <w:tab w:val="left" w:pos="4680"/>
          <w:tab w:val="center" w:pos="7200"/>
        </w:tabs>
        <w:spacing w:after="0"/>
        <w:contextualSpacing/>
        <w:jc w:val="center"/>
      </w:pPr>
      <w:r>
        <w:t>S242494</w:t>
      </w:r>
    </w:p>
    <w:p w14:paraId="7A2334E8" w14:textId="33B1A051" w:rsidR="005E00EC" w:rsidRDefault="005E00EC" w:rsidP="005E00EC">
      <w:pPr>
        <w:tabs>
          <w:tab w:val="left" w:pos="1440"/>
          <w:tab w:val="left" w:pos="4680"/>
          <w:tab w:val="center" w:pos="7200"/>
        </w:tabs>
        <w:spacing w:after="0"/>
        <w:contextualSpacing/>
        <w:jc w:val="center"/>
      </w:pPr>
    </w:p>
    <w:p w14:paraId="40601CF7" w14:textId="4EC0A139" w:rsidR="005E00EC" w:rsidRDefault="005E00EC" w:rsidP="005E00EC">
      <w:pPr>
        <w:tabs>
          <w:tab w:val="left" w:pos="1440"/>
          <w:tab w:val="left" w:pos="4680"/>
          <w:tab w:val="center" w:pos="7200"/>
        </w:tabs>
        <w:spacing w:after="0"/>
        <w:contextualSpacing/>
        <w:jc w:val="center"/>
      </w:pPr>
      <w:r>
        <w:t xml:space="preserve">Second Appellate District, Division </w:t>
      </w:r>
      <w:r w:rsidR="00B15666">
        <w:t>Six</w:t>
      </w:r>
    </w:p>
    <w:p w14:paraId="70C5AD1D" w14:textId="1273F169" w:rsidR="005E00EC" w:rsidRDefault="005E00EC" w:rsidP="005E00EC">
      <w:pPr>
        <w:tabs>
          <w:tab w:val="left" w:pos="1440"/>
          <w:tab w:val="left" w:pos="4680"/>
          <w:tab w:val="center" w:pos="7200"/>
        </w:tabs>
        <w:spacing w:after="0"/>
        <w:contextualSpacing/>
        <w:jc w:val="center"/>
      </w:pPr>
      <w:r>
        <w:t>B275914</w:t>
      </w:r>
    </w:p>
    <w:p w14:paraId="05010325" w14:textId="12E2462F" w:rsidR="005E00EC" w:rsidRDefault="005E00EC" w:rsidP="005E00EC">
      <w:pPr>
        <w:tabs>
          <w:tab w:val="left" w:pos="1440"/>
          <w:tab w:val="left" w:pos="4680"/>
          <w:tab w:val="center" w:pos="7200"/>
        </w:tabs>
        <w:spacing w:after="0"/>
        <w:contextualSpacing/>
        <w:jc w:val="center"/>
      </w:pPr>
    </w:p>
    <w:p w14:paraId="0DAB4534" w14:textId="40D7045C" w:rsidR="005E00EC" w:rsidRDefault="005E00EC" w:rsidP="005E00EC">
      <w:pPr>
        <w:tabs>
          <w:tab w:val="left" w:pos="1440"/>
          <w:tab w:val="left" w:pos="4680"/>
          <w:tab w:val="center" w:pos="7200"/>
        </w:tabs>
        <w:spacing w:after="0"/>
        <w:contextualSpacing/>
        <w:jc w:val="center"/>
      </w:pPr>
      <w:r>
        <w:t>Ventura County</w:t>
      </w:r>
      <w:r w:rsidR="00873762">
        <w:t xml:space="preserve"> Superior Court</w:t>
      </w:r>
    </w:p>
    <w:p w14:paraId="669D5536" w14:textId="2BA1426A" w:rsidR="005E00EC" w:rsidRDefault="005E00EC" w:rsidP="005E00EC">
      <w:pPr>
        <w:tabs>
          <w:tab w:val="left" w:pos="1440"/>
          <w:tab w:val="left" w:pos="4680"/>
          <w:tab w:val="center" w:pos="7200"/>
        </w:tabs>
        <w:spacing w:after="0"/>
        <w:contextualSpacing/>
        <w:jc w:val="center"/>
      </w:pPr>
      <w:r>
        <w:t>2015040294</w:t>
      </w:r>
    </w:p>
    <w:p w14:paraId="647D9A66" w14:textId="4199163E" w:rsidR="005E00EC" w:rsidRDefault="005E00EC" w:rsidP="005E00EC">
      <w:pPr>
        <w:pBdr>
          <w:bottom w:val="single" w:sz="4" w:space="1" w:color="auto"/>
        </w:pBdr>
        <w:tabs>
          <w:tab w:val="left" w:pos="1440"/>
          <w:tab w:val="left" w:pos="4680"/>
          <w:tab w:val="center" w:pos="7200"/>
        </w:tabs>
        <w:spacing w:after="0"/>
        <w:contextualSpacing/>
        <w:jc w:val="center"/>
      </w:pPr>
    </w:p>
    <w:p w14:paraId="695897AE" w14:textId="77777777" w:rsidR="003F66E9" w:rsidRDefault="003F66E9" w:rsidP="003F66E9">
      <w:pPr>
        <w:tabs>
          <w:tab w:val="left" w:pos="1440"/>
          <w:tab w:val="left" w:pos="4680"/>
          <w:tab w:val="center" w:pos="7200"/>
        </w:tabs>
        <w:spacing w:after="0"/>
        <w:jc w:val="center"/>
      </w:pPr>
      <w:bookmarkStart w:id="1" w:name="Return"/>
      <w:bookmarkEnd w:id="1"/>
    </w:p>
    <w:p w14:paraId="460AFC57" w14:textId="124B36FE" w:rsidR="00ED7DE3" w:rsidRDefault="00ED7DE3" w:rsidP="00ED7DE3">
      <w:pPr>
        <w:tabs>
          <w:tab w:val="left" w:pos="1440"/>
          <w:tab w:val="left" w:pos="4680"/>
          <w:tab w:val="center" w:pos="7200"/>
        </w:tabs>
        <w:spacing w:after="0"/>
        <w:jc w:val="center"/>
      </w:pPr>
      <w:r>
        <w:t>May 4, 2020</w:t>
      </w:r>
    </w:p>
    <w:p w14:paraId="2E7F7D3C" w14:textId="77777777" w:rsidR="00ED7DE3" w:rsidRDefault="00ED7DE3" w:rsidP="00ED7DE3">
      <w:pPr>
        <w:tabs>
          <w:tab w:val="left" w:pos="1440"/>
          <w:tab w:val="left" w:pos="4680"/>
          <w:tab w:val="center" w:pos="7200"/>
        </w:tabs>
        <w:spacing w:after="0"/>
        <w:jc w:val="center"/>
      </w:pPr>
    </w:p>
    <w:p w14:paraId="6BF4224A" w14:textId="77777777" w:rsidR="00ED7DE3" w:rsidRDefault="00ED7DE3" w:rsidP="00ED7DE3">
      <w:pPr>
        <w:tabs>
          <w:tab w:val="left" w:pos="1440"/>
          <w:tab w:val="left" w:pos="4680"/>
          <w:tab w:val="center" w:pos="7200"/>
        </w:tabs>
        <w:spacing w:after="0"/>
        <w:jc w:val="left"/>
      </w:pPr>
      <w:r>
        <w:t>Justice Chin authored the opinion of the Court, in which Chief Justice Cantil-Sakauye and Justices Corrigan, Liu, Cuéllar, Kruger, and Groban concurred.</w:t>
      </w:r>
    </w:p>
    <w:p w14:paraId="606C9C21" w14:textId="76A79A1C" w:rsidR="003F66E9" w:rsidRDefault="003F66E9" w:rsidP="003F66E9">
      <w:pPr>
        <w:pBdr>
          <w:bottom w:val="single" w:sz="4" w:space="1" w:color="auto"/>
        </w:pBdr>
        <w:tabs>
          <w:tab w:val="left" w:pos="1440"/>
          <w:tab w:val="left" w:pos="4680"/>
          <w:tab w:val="center" w:pos="7200"/>
        </w:tabs>
        <w:spacing w:after="0"/>
        <w:jc w:val="left"/>
      </w:pPr>
    </w:p>
    <w:p w14:paraId="17647245" w14:textId="2F08111F" w:rsidR="005E00EC" w:rsidRPr="005E00EC" w:rsidRDefault="00AC4FB6" w:rsidP="00B13F42">
      <w:pPr>
        <w:pBdr>
          <w:bottom w:val="single" w:sz="4" w:space="1" w:color="auto"/>
        </w:pBdr>
        <w:spacing w:after="0"/>
        <w:jc w:val="left"/>
      </w:pPr>
      <w:r>
        <w:t>Justice Liu filed a concurring opinion, in which Chief Justice Cantil-Sakauye and Justices Cuéllar, Kruger, and Groban concurred.</w:t>
      </w:r>
    </w:p>
    <w:p w14:paraId="7DD9E17B" w14:textId="77777777" w:rsidR="005E00EC" w:rsidRDefault="005E00EC" w:rsidP="00282AF9">
      <w:pPr>
        <w:tabs>
          <w:tab w:val="left" w:pos="1440"/>
          <w:tab w:val="left" w:pos="4680"/>
          <w:tab w:val="center" w:pos="7200"/>
        </w:tabs>
        <w:spacing w:line="480" w:lineRule="atLeast"/>
        <w:contextualSpacing/>
        <w:sectPr w:rsidR="005E00EC" w:rsidSect="005E00EC">
          <w:headerReference w:type="default" r:id="rId8"/>
          <w:footerReference w:type="even" r:id="rId9"/>
          <w:footerReference w:type="default" r:id="rId10"/>
          <w:pgSz w:w="12240" w:h="15840"/>
          <w:pgMar w:top="1800" w:right="2160" w:bottom="1440" w:left="2160" w:header="720" w:footer="720" w:gutter="0"/>
          <w:cols w:space="720"/>
          <w:titlePg/>
          <w:docGrid w:linePitch="367"/>
        </w:sectPr>
      </w:pPr>
    </w:p>
    <w:p w14:paraId="5655B14B" w14:textId="2F41DEFC" w:rsidR="005E00EC" w:rsidRDefault="002D1F94" w:rsidP="005E00EC">
      <w:pPr>
        <w:tabs>
          <w:tab w:val="left" w:pos="1440"/>
          <w:tab w:val="left" w:pos="4680"/>
          <w:tab w:val="center" w:pos="7200"/>
        </w:tabs>
        <w:contextualSpacing/>
        <w:jc w:val="center"/>
      </w:pPr>
      <w:r>
        <w:lastRenderedPageBreak/>
        <w:t>In re</w:t>
      </w:r>
      <w:r w:rsidR="005E00EC">
        <w:t xml:space="preserve"> A.N.</w:t>
      </w:r>
    </w:p>
    <w:p w14:paraId="368DA9DA" w14:textId="3A6EB9D1" w:rsidR="005E00EC" w:rsidRDefault="005E00EC" w:rsidP="005E00EC">
      <w:pPr>
        <w:tabs>
          <w:tab w:val="left" w:pos="1440"/>
          <w:tab w:val="left" w:pos="4680"/>
          <w:tab w:val="center" w:pos="7200"/>
        </w:tabs>
        <w:contextualSpacing/>
        <w:jc w:val="center"/>
      </w:pPr>
      <w:r>
        <w:t>S242494</w:t>
      </w:r>
    </w:p>
    <w:p w14:paraId="44DB6AF5" w14:textId="30A2FF4A" w:rsidR="005E00EC" w:rsidRDefault="005E00EC" w:rsidP="005E00EC">
      <w:pPr>
        <w:tabs>
          <w:tab w:val="left" w:pos="1440"/>
          <w:tab w:val="left" w:pos="4680"/>
          <w:tab w:val="center" w:pos="7200"/>
        </w:tabs>
        <w:contextualSpacing/>
        <w:jc w:val="center"/>
      </w:pPr>
    </w:p>
    <w:p w14:paraId="78287BE4" w14:textId="7B4F94E5" w:rsidR="005E00EC" w:rsidRDefault="005E00EC" w:rsidP="005E00EC">
      <w:pPr>
        <w:tabs>
          <w:tab w:val="left" w:pos="1440"/>
          <w:tab w:val="left" w:pos="4680"/>
          <w:tab w:val="center" w:pos="7200"/>
        </w:tabs>
        <w:contextualSpacing/>
        <w:jc w:val="center"/>
      </w:pPr>
      <w:r>
        <w:t>Opinion of the Court by Chin, J.</w:t>
      </w:r>
    </w:p>
    <w:p w14:paraId="371005BC" w14:textId="77777777" w:rsidR="005E00EC" w:rsidRPr="005E00EC" w:rsidRDefault="005E00EC" w:rsidP="005E00EC">
      <w:pPr>
        <w:tabs>
          <w:tab w:val="left" w:pos="1440"/>
          <w:tab w:val="left" w:pos="4680"/>
          <w:tab w:val="center" w:pos="7200"/>
        </w:tabs>
        <w:contextualSpacing/>
        <w:jc w:val="center"/>
      </w:pPr>
    </w:p>
    <w:p w14:paraId="7FE55F00" w14:textId="6772E57A" w:rsidR="0051534F" w:rsidRPr="005E00EC" w:rsidRDefault="00FE0F20" w:rsidP="005E00EC">
      <w:pPr>
        <w:tabs>
          <w:tab w:val="left" w:pos="1440"/>
          <w:tab w:val="left" w:pos="4680"/>
          <w:tab w:val="center" w:pos="7200"/>
        </w:tabs>
        <w:ind w:firstLine="720"/>
        <w:contextualSpacing/>
      </w:pPr>
      <w:r w:rsidRPr="005E00EC">
        <w:t>T</w:t>
      </w:r>
      <w:r w:rsidR="006D5ADA" w:rsidRPr="005E00EC">
        <w:t>he Legislature</w:t>
      </w:r>
      <w:r w:rsidR="00CE2875" w:rsidRPr="005E00EC">
        <w:t xml:space="preserve"> has </w:t>
      </w:r>
      <w:r w:rsidR="00CA009A" w:rsidRPr="005E00EC">
        <w:t xml:space="preserve">established </w:t>
      </w:r>
      <w:r w:rsidR="0025134C">
        <w:t xml:space="preserve">a detailed </w:t>
      </w:r>
      <w:r w:rsidR="00CE2875" w:rsidRPr="005E00EC">
        <w:t>statutory scheme</w:t>
      </w:r>
      <w:r w:rsidR="00A16C88" w:rsidRPr="005E00EC">
        <w:t xml:space="preserve"> </w:t>
      </w:r>
      <w:r w:rsidRPr="005E00EC">
        <w:t xml:space="preserve">to </w:t>
      </w:r>
      <w:r w:rsidR="00D23337">
        <w:t>govern</w:t>
      </w:r>
      <w:r w:rsidRPr="005E00EC">
        <w:t xml:space="preserve"> juvenile truancy</w:t>
      </w:r>
      <w:r w:rsidR="00CE2875" w:rsidRPr="005E00EC">
        <w:t xml:space="preserve">.  </w:t>
      </w:r>
      <w:r w:rsidR="001D4200" w:rsidRPr="005E00EC">
        <w:t>(</w:t>
      </w:r>
      <w:r w:rsidR="00ED14D0" w:rsidRPr="005E00EC">
        <w:t xml:space="preserve">See e.g., </w:t>
      </w:r>
      <w:r w:rsidR="001D4200" w:rsidRPr="005E00EC">
        <w:t>Ed. Code</w:t>
      </w:r>
      <w:r w:rsidR="007E2EEE">
        <w:t>,</w:t>
      </w:r>
      <w:r w:rsidR="001D4200" w:rsidRPr="005E00EC">
        <w:t xml:space="preserve"> §§</w:t>
      </w:r>
      <w:r w:rsidR="00952903">
        <w:t> </w:t>
      </w:r>
      <w:r w:rsidR="00F71704" w:rsidRPr="005E00EC">
        <w:t>48260</w:t>
      </w:r>
      <w:r w:rsidR="003A63AE">
        <w:t>–</w:t>
      </w:r>
      <w:r w:rsidR="00F71704" w:rsidRPr="005E00EC">
        <w:t>48265</w:t>
      </w:r>
      <w:r w:rsidR="001D4200" w:rsidRPr="005E00EC">
        <w:t xml:space="preserve">; </w:t>
      </w:r>
      <w:proofErr w:type="spellStart"/>
      <w:r w:rsidR="001D4200" w:rsidRPr="005E00EC">
        <w:t>Welf</w:t>
      </w:r>
      <w:proofErr w:type="spellEnd"/>
      <w:r w:rsidR="001D4200" w:rsidRPr="005E00EC">
        <w:t>. &amp; Inst. Code</w:t>
      </w:r>
      <w:r w:rsidR="007E2EEE">
        <w:t>,</w:t>
      </w:r>
      <w:r w:rsidR="001D4200" w:rsidRPr="005E00EC">
        <w:t xml:space="preserve"> §</w:t>
      </w:r>
      <w:r w:rsidR="00952903">
        <w:t> </w:t>
      </w:r>
      <w:r w:rsidR="00F71704" w:rsidRPr="005E00EC">
        <w:t>601</w:t>
      </w:r>
      <w:r w:rsidR="00484E40" w:rsidRPr="005E00EC">
        <w:t>.)</w:t>
      </w:r>
      <w:r w:rsidR="001D4200" w:rsidRPr="005E00EC">
        <w:t xml:space="preserve">  </w:t>
      </w:r>
      <w:r w:rsidR="00CE2875" w:rsidRPr="005E00EC">
        <w:t>W</w:t>
      </w:r>
      <w:r w:rsidR="00851788" w:rsidRPr="005E00EC">
        <w:t>e granted review</w:t>
      </w:r>
      <w:r w:rsidR="00EA177C" w:rsidRPr="005E00EC">
        <w:t xml:space="preserve"> </w:t>
      </w:r>
      <w:r w:rsidR="00851788" w:rsidRPr="005E00EC">
        <w:t>to determine whether</w:t>
      </w:r>
      <w:r w:rsidR="00894EFD" w:rsidRPr="005E00EC">
        <w:t xml:space="preserve"> </w:t>
      </w:r>
      <w:r w:rsidR="00CE2875" w:rsidRPr="005E00EC">
        <w:t>this</w:t>
      </w:r>
      <w:r w:rsidR="00894EFD" w:rsidRPr="005E00EC">
        <w:t xml:space="preserve"> scheme</w:t>
      </w:r>
      <w:r w:rsidR="0032621D" w:rsidRPr="005E00EC">
        <w:t xml:space="preserve"> </w:t>
      </w:r>
      <w:r w:rsidR="00894EFD" w:rsidRPr="005E00EC">
        <w:t>requires</w:t>
      </w:r>
      <w:r w:rsidR="00851788" w:rsidRPr="005E00EC">
        <w:t xml:space="preserve"> (1)</w:t>
      </w:r>
      <w:bookmarkStart w:id="2" w:name="_Hlk34049591"/>
      <w:r w:rsidR="001F6F07">
        <w:t xml:space="preserve"> </w:t>
      </w:r>
      <w:r w:rsidR="00C56ADA" w:rsidRPr="005E00EC">
        <w:t xml:space="preserve">the </w:t>
      </w:r>
      <w:r w:rsidR="00F46234" w:rsidRPr="005E00EC">
        <w:t>use</w:t>
      </w:r>
      <w:r w:rsidR="00C56ADA" w:rsidRPr="005E00EC">
        <w:t xml:space="preserve"> of a school attendance review board (SARB) </w:t>
      </w:r>
      <w:r w:rsidR="000F39B1" w:rsidRPr="005E00EC">
        <w:t>or</w:t>
      </w:r>
      <w:r w:rsidR="001421A2" w:rsidRPr="005E00EC">
        <w:t xml:space="preserve"> a</w:t>
      </w:r>
      <w:r w:rsidR="000F39B1" w:rsidRPr="005E00EC">
        <w:t xml:space="preserve"> similar truancy mediation pro</w:t>
      </w:r>
      <w:r w:rsidR="001C6B80" w:rsidRPr="005E00EC">
        <w:t>gram</w:t>
      </w:r>
      <w:bookmarkEnd w:id="2"/>
      <w:r w:rsidR="004C60E3" w:rsidRPr="005E00EC">
        <w:t xml:space="preserve">, or </w:t>
      </w:r>
      <w:r w:rsidR="00BC520E" w:rsidRPr="005E00EC">
        <w:t>(2) the issuance of a fourth truancy report</w:t>
      </w:r>
      <w:r w:rsidR="004C60E3" w:rsidRPr="005E00EC">
        <w:t>,</w:t>
      </w:r>
      <w:r w:rsidR="00BC520E" w:rsidRPr="005E00EC">
        <w:t xml:space="preserve"> </w:t>
      </w:r>
      <w:r w:rsidR="00894EFD" w:rsidRPr="005E00EC">
        <w:t>before</w:t>
      </w:r>
      <w:r w:rsidR="00851788" w:rsidRPr="005E00EC">
        <w:t xml:space="preserve"> </w:t>
      </w:r>
      <w:r w:rsidR="00610CB0" w:rsidRPr="005E00EC">
        <w:t>the</w:t>
      </w:r>
      <w:r w:rsidR="00851788" w:rsidRPr="005E00EC">
        <w:t xml:space="preserve"> juvenile court</w:t>
      </w:r>
      <w:r w:rsidR="00894EFD" w:rsidRPr="005E00EC">
        <w:t xml:space="preserve"> may</w:t>
      </w:r>
      <w:r w:rsidR="00851788" w:rsidRPr="005E00EC">
        <w:t xml:space="preserve"> exercise jurisdiction </w:t>
      </w:r>
      <w:r w:rsidR="00C541E3">
        <w:t xml:space="preserve">over a minor </w:t>
      </w:r>
      <w:r w:rsidR="007A2D2A" w:rsidRPr="005E00EC">
        <w:t>on the basis of truancy</w:t>
      </w:r>
      <w:r w:rsidR="00280FFB" w:rsidRPr="005E00EC">
        <w:t xml:space="preserve">.  </w:t>
      </w:r>
      <w:r w:rsidR="0067113C" w:rsidRPr="005E00EC">
        <w:t>We</w:t>
      </w:r>
      <w:r w:rsidR="00971A5F" w:rsidRPr="005E00EC">
        <w:t xml:space="preserve"> </w:t>
      </w:r>
      <w:r w:rsidR="0067113C" w:rsidRPr="005E00EC">
        <w:t>hold</w:t>
      </w:r>
      <w:r w:rsidR="00DE69E2" w:rsidRPr="005E00EC">
        <w:t xml:space="preserve"> that</w:t>
      </w:r>
      <w:r w:rsidR="00863C76">
        <w:t xml:space="preserve"> </w:t>
      </w:r>
      <w:r w:rsidR="00D23337">
        <w:t>the</w:t>
      </w:r>
      <w:r w:rsidR="00431920" w:rsidRPr="005E00EC">
        <w:t xml:space="preserve"> </w:t>
      </w:r>
      <w:r w:rsidR="000B4EF4" w:rsidRPr="005E00EC">
        <w:t xml:space="preserve">juvenile court </w:t>
      </w:r>
      <w:r w:rsidR="00D23337">
        <w:t>may</w:t>
      </w:r>
      <w:r w:rsidR="00E10E4D">
        <w:t xml:space="preserve"> exercise </w:t>
      </w:r>
      <w:r w:rsidR="000B4EF4" w:rsidRPr="005E00EC">
        <w:t>jurisdiction</w:t>
      </w:r>
      <w:r w:rsidR="00BA7284" w:rsidRPr="005E00EC">
        <w:t xml:space="preserve"> </w:t>
      </w:r>
      <w:r w:rsidR="00863C76" w:rsidRPr="00863C76">
        <w:t xml:space="preserve">in a formal wardship proceeding </w:t>
      </w:r>
      <w:r w:rsidR="00C541E3">
        <w:t>on the</w:t>
      </w:r>
      <w:r w:rsidR="00BA7284" w:rsidRPr="005E00EC">
        <w:t xml:space="preserve"> basis of </w:t>
      </w:r>
      <w:r w:rsidR="00C541E3">
        <w:t>the</w:t>
      </w:r>
      <w:r w:rsidRPr="005E00EC">
        <w:t xml:space="preserve"> minor</w:t>
      </w:r>
      <w:r w:rsidR="00BF4AAB" w:rsidRPr="005E00EC">
        <w:t xml:space="preserve"> having </w:t>
      </w:r>
      <w:r w:rsidR="00BA7284" w:rsidRPr="005E00EC">
        <w:t xml:space="preserve">“four or more truancies </w:t>
      </w:r>
      <w:r w:rsidR="00511F59" w:rsidRPr="005E00EC">
        <w:t>with</w:t>
      </w:r>
      <w:r w:rsidR="00BA7284" w:rsidRPr="005E00EC">
        <w:t>in one school year”</w:t>
      </w:r>
      <w:r w:rsidR="00E10E4D">
        <w:t xml:space="preserve"> under </w:t>
      </w:r>
      <w:r w:rsidR="00BA7284" w:rsidRPr="005E00EC">
        <w:t>Welf</w:t>
      </w:r>
      <w:r w:rsidR="00E10E4D">
        <w:t>are</w:t>
      </w:r>
      <w:r w:rsidR="00EF3DF5" w:rsidRPr="005E00EC">
        <w:t xml:space="preserve"> </w:t>
      </w:r>
      <w:r w:rsidR="00E10E4D">
        <w:t>and</w:t>
      </w:r>
      <w:r w:rsidR="00EF3DF5" w:rsidRPr="005E00EC">
        <w:t xml:space="preserve"> Inst</w:t>
      </w:r>
      <w:r w:rsidR="00E10E4D">
        <w:t>itutions</w:t>
      </w:r>
      <w:r w:rsidR="00EF3DF5" w:rsidRPr="005E00EC">
        <w:t xml:space="preserve"> Code </w:t>
      </w:r>
      <w:r w:rsidR="00E10E4D">
        <w:t>section</w:t>
      </w:r>
      <w:r w:rsidR="001F6F07">
        <w:t xml:space="preserve"> </w:t>
      </w:r>
      <w:r w:rsidR="00BA7284" w:rsidRPr="005E00EC">
        <w:t>601, subd</w:t>
      </w:r>
      <w:r w:rsidR="00E10E4D">
        <w:t>ivision</w:t>
      </w:r>
      <w:r w:rsidR="00EF3DF5" w:rsidRPr="005E00EC">
        <w:t xml:space="preserve"> </w:t>
      </w:r>
      <w:r w:rsidR="00BA7284" w:rsidRPr="005E00EC">
        <w:t>(b)</w:t>
      </w:r>
      <w:r w:rsidR="00183320">
        <w:t xml:space="preserve"> </w:t>
      </w:r>
      <w:r w:rsidR="00C541E3">
        <w:t>if</w:t>
      </w:r>
      <w:r w:rsidR="007F331A">
        <w:t xml:space="preserve"> </w:t>
      </w:r>
      <w:r w:rsidR="007F331A" w:rsidRPr="005E00EC">
        <w:t>a fourth truancy report</w:t>
      </w:r>
      <w:r w:rsidR="00D23337">
        <w:t xml:space="preserve"> has been issued</w:t>
      </w:r>
      <w:r w:rsidR="007F331A" w:rsidRPr="005E00EC">
        <w:t xml:space="preserve"> to the attendance supervisor or the superintendent of the school district</w:t>
      </w:r>
      <w:r w:rsidR="007F331A">
        <w:t xml:space="preserve">, </w:t>
      </w:r>
      <w:r w:rsidR="00E10E4D">
        <w:t>even if the minor has not</w:t>
      </w:r>
      <w:r w:rsidR="003A63AE">
        <w:t xml:space="preserve"> been previously referred to</w:t>
      </w:r>
      <w:r w:rsidR="00E10E4D">
        <w:t xml:space="preserve"> </w:t>
      </w:r>
      <w:r w:rsidR="003A63AE">
        <w:t xml:space="preserve">a </w:t>
      </w:r>
      <w:r w:rsidR="003A63AE" w:rsidRPr="003A63AE">
        <w:t>SARB or a similar truancy mediation program</w:t>
      </w:r>
      <w:r w:rsidR="0067113C" w:rsidRPr="005E00EC">
        <w:t>.</w:t>
      </w:r>
      <w:r w:rsidR="00C541E3">
        <w:rPr>
          <w:rStyle w:val="FootnoteReference"/>
        </w:rPr>
        <w:footnoteReference w:id="2"/>
      </w:r>
      <w:r w:rsidR="008A2463" w:rsidRPr="005E00EC">
        <w:t xml:space="preserve">  </w:t>
      </w:r>
      <w:r w:rsidR="00266DF6">
        <w:t xml:space="preserve">Because </w:t>
      </w:r>
      <w:r w:rsidR="00D23337">
        <w:t>A.N.’s</w:t>
      </w:r>
      <w:r w:rsidR="00BE272B">
        <w:t xml:space="preserve"> school</w:t>
      </w:r>
      <w:r w:rsidR="009E730C" w:rsidRPr="005E00EC">
        <w:t xml:space="preserve"> had sent at least four truancy reports to the superintendent of </w:t>
      </w:r>
      <w:r w:rsidR="00D23337">
        <w:t>the</w:t>
      </w:r>
      <w:r w:rsidR="009E730C" w:rsidRPr="005E00EC">
        <w:t xml:space="preserve"> school district before the </w:t>
      </w:r>
      <w:r w:rsidR="00BE272B">
        <w:t>wardship</w:t>
      </w:r>
      <w:r w:rsidR="003D5EC6" w:rsidRPr="005E00EC">
        <w:t xml:space="preserve"> </w:t>
      </w:r>
      <w:r w:rsidR="009E730C" w:rsidRPr="005E00EC">
        <w:t xml:space="preserve">petition </w:t>
      </w:r>
      <w:r w:rsidR="00863C76">
        <w:t xml:space="preserve">was filed </w:t>
      </w:r>
      <w:r w:rsidR="009E730C" w:rsidRPr="005E00EC">
        <w:t xml:space="preserve">against </w:t>
      </w:r>
      <w:r w:rsidR="00863C76">
        <w:t>A.N.</w:t>
      </w:r>
      <w:r w:rsidR="00266DF6">
        <w:t>,</w:t>
      </w:r>
      <w:r w:rsidR="009E730C" w:rsidRPr="005E00EC">
        <w:t xml:space="preserve"> </w:t>
      </w:r>
      <w:r w:rsidR="00D75659" w:rsidRPr="005E00EC">
        <w:t xml:space="preserve">we affirm the Court of Appeal’s judgment that the juvenile court </w:t>
      </w:r>
      <w:r w:rsidR="009B26A3">
        <w:t>possessed</w:t>
      </w:r>
      <w:r w:rsidR="00D75659" w:rsidRPr="005E00EC">
        <w:t xml:space="preserve"> jurisdiction</w:t>
      </w:r>
      <w:r w:rsidR="00EA566D">
        <w:t xml:space="preserve"> </w:t>
      </w:r>
      <w:r w:rsidR="00E41A52">
        <w:t xml:space="preserve">over </w:t>
      </w:r>
      <w:r w:rsidR="00C541E3">
        <w:t>A.N.</w:t>
      </w:r>
    </w:p>
    <w:p w14:paraId="1D7A6D40" w14:textId="6FA49A25" w:rsidR="005A2C92" w:rsidRPr="005E00EC" w:rsidRDefault="009A0A20" w:rsidP="005E00EC">
      <w:pPr>
        <w:pStyle w:val="Heading1"/>
      </w:pPr>
      <w:r w:rsidRPr="005E00EC">
        <w:lastRenderedPageBreak/>
        <w:t xml:space="preserve">I.  </w:t>
      </w:r>
      <w:r w:rsidR="00384C7C" w:rsidRPr="005E00EC">
        <w:t>F</w:t>
      </w:r>
      <w:r w:rsidR="00D44058" w:rsidRPr="005E00EC">
        <w:t>acts and Procedural Background</w:t>
      </w:r>
    </w:p>
    <w:p w14:paraId="7A48F901" w14:textId="123FB727" w:rsidR="00714681" w:rsidRPr="00487541" w:rsidRDefault="00714681" w:rsidP="00487541">
      <w:pPr>
        <w:ind w:firstLine="720"/>
        <w:contextualSpacing/>
        <w:rPr>
          <w:rFonts w:cstheme="minorHAnsi"/>
          <w:szCs w:val="26"/>
          <w:shd w:val="clear" w:color="auto" w:fill="FFFFFF"/>
        </w:rPr>
      </w:pPr>
      <w:r>
        <w:t xml:space="preserve">By the time </w:t>
      </w:r>
      <w:r w:rsidR="0025134C">
        <w:t>A.N.</w:t>
      </w:r>
      <w:r>
        <w:t xml:space="preserve"> entered high school, </w:t>
      </w:r>
      <w:r w:rsidR="0025134C">
        <w:t>she</w:t>
      </w:r>
      <w:r>
        <w:t xml:space="preserve"> was struggling with difficult circumstances at home and in her personal life</w:t>
      </w:r>
      <w:r w:rsidRPr="005E00EC">
        <w:t>.</w:t>
      </w:r>
      <w:r w:rsidR="002946C7">
        <w:t xml:space="preserve">  </w:t>
      </w:r>
      <w:r w:rsidR="0025134C">
        <w:t>Beginning in eighth grade, she developed s</w:t>
      </w:r>
      <w:r w:rsidR="00E01C34" w:rsidRPr="005E00EC">
        <w:t>chool</w:t>
      </w:r>
      <w:r w:rsidR="006151DE" w:rsidRPr="005E00EC">
        <w:t xml:space="preserve"> attendance </w:t>
      </w:r>
      <w:r w:rsidR="00E01C34" w:rsidRPr="005E00EC">
        <w:t>problems</w:t>
      </w:r>
      <w:r>
        <w:t xml:space="preserve"> that continued throughout her ninth grade year.</w:t>
      </w:r>
    </w:p>
    <w:p w14:paraId="7CBDF99A" w14:textId="465A095E" w:rsidR="0031616E" w:rsidRPr="005E00EC" w:rsidRDefault="00714681" w:rsidP="005E00EC">
      <w:pPr>
        <w:tabs>
          <w:tab w:val="left" w:pos="720"/>
        </w:tabs>
        <w:contextualSpacing/>
      </w:pPr>
      <w:r>
        <w:tab/>
      </w:r>
      <w:r w:rsidR="00BE2202" w:rsidRPr="005E00EC">
        <w:t>O</w:t>
      </w:r>
      <w:r w:rsidR="0014733B" w:rsidRPr="005E00EC">
        <w:t>n October 6, 2015,</w:t>
      </w:r>
      <w:r w:rsidR="00EA5902" w:rsidRPr="005E00EC">
        <w:t xml:space="preserve"> </w:t>
      </w:r>
      <w:r w:rsidR="006D6D34">
        <w:t>the principal of A.N.’s</w:t>
      </w:r>
      <w:r w:rsidR="009B26A3">
        <w:t xml:space="preserve"> school</w:t>
      </w:r>
      <w:r w:rsidR="00EA5902" w:rsidRPr="005E00EC">
        <w:t xml:space="preserve"> </w:t>
      </w:r>
      <w:r w:rsidR="000E2AC3" w:rsidRPr="005E00EC">
        <w:t>mailed</w:t>
      </w:r>
      <w:r w:rsidR="001F6DF2" w:rsidRPr="005E00EC">
        <w:t xml:space="preserve"> </w:t>
      </w:r>
      <w:r w:rsidR="00EA5902" w:rsidRPr="005E00EC">
        <w:t xml:space="preserve">a truancy notice </w:t>
      </w:r>
      <w:r w:rsidR="001F6DF2" w:rsidRPr="005E00EC">
        <w:t xml:space="preserve">to </w:t>
      </w:r>
      <w:r w:rsidR="00453B0C" w:rsidRPr="005E00EC">
        <w:t>her</w:t>
      </w:r>
      <w:r w:rsidR="001F6DF2" w:rsidRPr="005E00EC">
        <w:t xml:space="preserve"> paren</w:t>
      </w:r>
      <w:r w:rsidR="000E2AC3" w:rsidRPr="005E00EC">
        <w:t>ts</w:t>
      </w:r>
      <w:r w:rsidR="0014733B" w:rsidRPr="005E00EC">
        <w:t>.</w:t>
      </w:r>
      <w:r w:rsidR="004F67A7" w:rsidRPr="005E00EC">
        <w:t xml:space="preserve">  </w:t>
      </w:r>
      <w:r w:rsidR="00B7308A" w:rsidRPr="005E00EC">
        <w:t xml:space="preserve">In the </w:t>
      </w:r>
      <w:r w:rsidR="000E2AC3" w:rsidRPr="005E00EC">
        <w:t>letter</w:t>
      </w:r>
      <w:r w:rsidR="00B7308A" w:rsidRPr="005E00EC">
        <w:t>,</w:t>
      </w:r>
      <w:r w:rsidR="000E2AC3" w:rsidRPr="005E00EC">
        <w:t xml:space="preserve"> </w:t>
      </w:r>
      <w:r w:rsidR="00B7308A" w:rsidRPr="005E00EC">
        <w:t xml:space="preserve">the principal </w:t>
      </w:r>
      <w:r w:rsidR="000E2AC3" w:rsidRPr="005E00EC">
        <w:t xml:space="preserve">explained that A.N. had accumulated four unexcused absences or </w:t>
      </w:r>
      <w:proofErr w:type="spellStart"/>
      <w:r w:rsidR="000E2AC3" w:rsidRPr="005E00EC">
        <w:t>tardies</w:t>
      </w:r>
      <w:proofErr w:type="spellEnd"/>
      <w:r w:rsidR="003F1B49" w:rsidRPr="005E00EC">
        <w:t>,</w:t>
      </w:r>
      <w:r w:rsidR="000E2AC3" w:rsidRPr="005E00EC">
        <w:t xml:space="preserve"> and</w:t>
      </w:r>
      <w:r w:rsidR="008C572F" w:rsidRPr="005E00EC">
        <w:t xml:space="preserve"> </w:t>
      </w:r>
      <w:r w:rsidR="003F1B49" w:rsidRPr="005E00EC">
        <w:t xml:space="preserve">he </w:t>
      </w:r>
      <w:r w:rsidR="000E2AC3" w:rsidRPr="005E00EC">
        <w:t xml:space="preserve">invited </w:t>
      </w:r>
      <w:r w:rsidR="00F35E51" w:rsidRPr="005E00EC">
        <w:t>her</w:t>
      </w:r>
      <w:r w:rsidR="000E2AC3" w:rsidRPr="005E00EC">
        <w:t xml:space="preserve"> parents to contact the school</w:t>
      </w:r>
      <w:r w:rsidR="00431920" w:rsidRPr="005E00EC">
        <w:t>’s</w:t>
      </w:r>
      <w:r w:rsidR="004C4C9F" w:rsidRPr="005E00EC">
        <w:t xml:space="preserve"> attendance supervisor</w:t>
      </w:r>
      <w:r w:rsidR="000E2AC3" w:rsidRPr="005E00EC">
        <w:t xml:space="preserve"> </w:t>
      </w:r>
      <w:r w:rsidR="004C4C9F" w:rsidRPr="005E00EC">
        <w:t xml:space="preserve">to </w:t>
      </w:r>
      <w:r w:rsidR="000E2AC3" w:rsidRPr="005E00EC">
        <w:t xml:space="preserve">“discuss solutions that will improve [A.N.’s] attendance.”  </w:t>
      </w:r>
      <w:r w:rsidR="00B33CA8" w:rsidRPr="005E00EC">
        <w:t>A</w:t>
      </w:r>
      <w:r w:rsidR="0014733B" w:rsidRPr="005E00EC">
        <w:t xml:space="preserve"> week later, on October 13, </w:t>
      </w:r>
      <w:r w:rsidR="00EA5902" w:rsidRPr="005E00EC">
        <w:t xml:space="preserve">the principal sent </w:t>
      </w:r>
      <w:r w:rsidR="001F6DF2" w:rsidRPr="005E00EC">
        <w:t>a second truancy notice</w:t>
      </w:r>
      <w:r w:rsidR="00523355" w:rsidRPr="005E00EC">
        <w:t xml:space="preserve"> listing another five unexcused absences or </w:t>
      </w:r>
      <w:proofErr w:type="spellStart"/>
      <w:r w:rsidR="00523355" w:rsidRPr="005E00EC">
        <w:t>tardies</w:t>
      </w:r>
      <w:proofErr w:type="spellEnd"/>
      <w:r w:rsidR="004F67A7" w:rsidRPr="005E00EC">
        <w:t>.</w:t>
      </w:r>
      <w:r w:rsidR="0014733B" w:rsidRPr="005E00EC">
        <w:t xml:space="preserve">  </w:t>
      </w:r>
      <w:r w:rsidR="00B7308A" w:rsidRPr="005E00EC">
        <w:t>In this letter, the principal</w:t>
      </w:r>
      <w:r w:rsidR="00523355" w:rsidRPr="005E00EC">
        <w:t xml:space="preserve"> warned</w:t>
      </w:r>
      <w:r w:rsidR="00CA5378" w:rsidRPr="005E00EC">
        <w:t xml:space="preserve"> </w:t>
      </w:r>
      <w:r w:rsidR="00B7308A" w:rsidRPr="005E00EC">
        <w:t>A.N.’s parents that their daughter</w:t>
      </w:r>
      <w:r w:rsidR="00CA5378" w:rsidRPr="005E00EC">
        <w:t xml:space="preserve"> was “at risk of being classified as a habitual truant</w:t>
      </w:r>
      <w:r w:rsidR="00B7308A" w:rsidRPr="005E00EC">
        <w:t>,</w:t>
      </w:r>
      <w:r w:rsidR="00CA5378" w:rsidRPr="005E00EC">
        <w:t xml:space="preserve">” and </w:t>
      </w:r>
      <w:r w:rsidR="00B7308A" w:rsidRPr="005E00EC">
        <w:t xml:space="preserve">he </w:t>
      </w:r>
      <w:r w:rsidR="00CA5378" w:rsidRPr="005E00EC">
        <w:t xml:space="preserve">urged </w:t>
      </w:r>
      <w:r w:rsidR="00B7308A" w:rsidRPr="005E00EC">
        <w:t>them</w:t>
      </w:r>
      <w:r w:rsidR="00CA5378" w:rsidRPr="005E00EC">
        <w:t xml:space="preserve"> to contact </w:t>
      </w:r>
      <w:r w:rsidR="009E1FE5" w:rsidRPr="005E00EC">
        <w:t>the attendance supervisor</w:t>
      </w:r>
      <w:r w:rsidR="00CA5378" w:rsidRPr="005E00EC">
        <w:t xml:space="preserve"> “as soon as possible.”  </w:t>
      </w:r>
      <w:r w:rsidR="00E36A30" w:rsidRPr="005E00EC">
        <w:t>O</w:t>
      </w:r>
      <w:r w:rsidR="0031616E" w:rsidRPr="005E00EC">
        <w:t xml:space="preserve">n December 15, </w:t>
      </w:r>
      <w:r w:rsidR="00EA5902" w:rsidRPr="005E00EC">
        <w:t xml:space="preserve">the principal sent </w:t>
      </w:r>
      <w:r w:rsidR="00CA5378" w:rsidRPr="005E00EC">
        <w:t xml:space="preserve">a </w:t>
      </w:r>
      <w:r w:rsidR="0031616E" w:rsidRPr="005E00EC">
        <w:t>third truancy notice</w:t>
      </w:r>
      <w:r w:rsidR="00CA5378" w:rsidRPr="005E00EC">
        <w:t xml:space="preserve"> documenting another </w:t>
      </w:r>
      <w:r w:rsidR="006D6D34">
        <w:t>10</w:t>
      </w:r>
      <w:r w:rsidR="00CA5378" w:rsidRPr="005E00EC">
        <w:t xml:space="preserve"> unexcused absences or </w:t>
      </w:r>
      <w:proofErr w:type="spellStart"/>
      <w:r w:rsidR="006A33BA" w:rsidRPr="005E00EC">
        <w:t>tardies</w:t>
      </w:r>
      <w:proofErr w:type="spellEnd"/>
      <w:r w:rsidR="00EA5902" w:rsidRPr="005E00EC">
        <w:t>.</w:t>
      </w:r>
      <w:r w:rsidR="0031616E" w:rsidRPr="005E00EC">
        <w:t xml:space="preserve"> </w:t>
      </w:r>
      <w:r w:rsidR="00B7308A" w:rsidRPr="005E00EC">
        <w:t xml:space="preserve">In </w:t>
      </w:r>
      <w:r w:rsidR="00AC344D" w:rsidRPr="005E00EC">
        <w:t>it, he</w:t>
      </w:r>
      <w:r w:rsidR="0031616E" w:rsidRPr="005E00EC">
        <w:t xml:space="preserve"> </w:t>
      </w:r>
      <w:r w:rsidR="00523355" w:rsidRPr="005E00EC">
        <w:t>stated that A.N. was</w:t>
      </w:r>
      <w:r w:rsidR="0043549B" w:rsidRPr="005E00EC">
        <w:t xml:space="preserve"> a </w:t>
      </w:r>
      <w:r w:rsidR="0031616E" w:rsidRPr="005E00EC">
        <w:t>habitual truant</w:t>
      </w:r>
      <w:r w:rsidR="00266C6D">
        <w:t>, and</w:t>
      </w:r>
      <w:r w:rsidR="0031616E" w:rsidRPr="005E00EC">
        <w:t xml:space="preserve"> </w:t>
      </w:r>
      <w:r w:rsidR="003F1B49" w:rsidRPr="005E00EC">
        <w:t xml:space="preserve">he </w:t>
      </w:r>
      <w:r w:rsidR="0025134C">
        <w:t>again</w:t>
      </w:r>
      <w:r w:rsidR="0025134C" w:rsidRPr="005E00EC">
        <w:t xml:space="preserve"> </w:t>
      </w:r>
      <w:r w:rsidR="0043549B" w:rsidRPr="005E00EC">
        <w:t xml:space="preserve">requested </w:t>
      </w:r>
      <w:r w:rsidR="0025134C">
        <w:t xml:space="preserve">that </w:t>
      </w:r>
      <w:r w:rsidR="00523355" w:rsidRPr="005E00EC">
        <w:t>her parents</w:t>
      </w:r>
      <w:r w:rsidR="0043549B" w:rsidRPr="005E00EC">
        <w:t xml:space="preserve"> contact </w:t>
      </w:r>
      <w:r w:rsidR="002103BC" w:rsidRPr="005E00EC">
        <w:t xml:space="preserve">the attendance supervisor </w:t>
      </w:r>
      <w:r w:rsidR="0043549B" w:rsidRPr="005E00EC">
        <w:t>“as soon as possible.”</w:t>
      </w:r>
      <w:r w:rsidR="005600B7">
        <w:rPr>
          <w:rStyle w:val="FootnoteReference"/>
        </w:rPr>
        <w:footnoteReference w:id="3"/>
      </w:r>
    </w:p>
    <w:p w14:paraId="28E8085F" w14:textId="310DCEC0" w:rsidR="005600B7" w:rsidRDefault="00B75276" w:rsidP="005E00EC">
      <w:pPr>
        <w:tabs>
          <w:tab w:val="left" w:pos="720"/>
        </w:tabs>
        <w:contextualSpacing/>
      </w:pPr>
      <w:r w:rsidRPr="005E00EC">
        <w:tab/>
        <w:t xml:space="preserve">Three days earlier, on December 12, a police officer </w:t>
      </w:r>
      <w:r w:rsidR="00426872" w:rsidRPr="005E00EC">
        <w:t xml:space="preserve">had </w:t>
      </w:r>
      <w:r w:rsidRPr="005E00EC">
        <w:t xml:space="preserve">issued A.N. a citation for habitual truancy under </w:t>
      </w:r>
      <w:r w:rsidR="00426872" w:rsidRPr="005E00EC">
        <w:t xml:space="preserve">Education Code </w:t>
      </w:r>
      <w:r w:rsidRPr="005E00EC">
        <w:t>section 48262.</w:t>
      </w:r>
      <w:r w:rsidR="005600B7">
        <w:rPr>
          <w:rStyle w:val="FootnoteReference"/>
        </w:rPr>
        <w:footnoteReference w:id="4"/>
      </w:r>
      <w:r w:rsidRPr="005E00EC">
        <w:t xml:space="preserve">  </w:t>
      </w:r>
      <w:r w:rsidR="00426872" w:rsidRPr="005E00EC">
        <w:t>Under that section,</w:t>
      </w:r>
      <w:r w:rsidRPr="005E00EC">
        <w:t xml:space="preserve"> </w:t>
      </w:r>
      <w:r w:rsidR="00426872" w:rsidRPr="005E00EC">
        <w:t xml:space="preserve">a </w:t>
      </w:r>
      <w:r w:rsidR="00A03F8F">
        <w:t>pupil</w:t>
      </w:r>
      <w:r w:rsidR="00A03F8F" w:rsidRPr="005E00EC">
        <w:t xml:space="preserve"> </w:t>
      </w:r>
      <w:r w:rsidR="00426872" w:rsidRPr="005E00EC">
        <w:t xml:space="preserve">is classified as </w:t>
      </w:r>
      <w:r w:rsidRPr="005E00EC">
        <w:t xml:space="preserve">a </w:t>
      </w:r>
      <w:r w:rsidR="00426872" w:rsidRPr="005E00EC">
        <w:t>“</w:t>
      </w:r>
      <w:r w:rsidRPr="005E00EC">
        <w:t>habitual truant</w:t>
      </w:r>
      <w:r w:rsidR="00426872" w:rsidRPr="005E00EC">
        <w:t xml:space="preserve">” if </w:t>
      </w:r>
      <w:r w:rsidR="006D6D34">
        <w:t xml:space="preserve">he or </w:t>
      </w:r>
      <w:r w:rsidR="00426872" w:rsidRPr="005E00EC">
        <w:t>she</w:t>
      </w:r>
      <w:r w:rsidRPr="005E00EC">
        <w:t xml:space="preserve"> “has been reported as a truant three or more times per school year”</w:t>
      </w:r>
      <w:r w:rsidR="00CC45D8" w:rsidRPr="005E00EC">
        <w:t xml:space="preserve"> </w:t>
      </w:r>
      <w:r w:rsidR="00426872" w:rsidRPr="005E00EC">
        <w:t>and a</w:t>
      </w:r>
      <w:r w:rsidRPr="005E00EC">
        <w:t xml:space="preserve"> school official has </w:t>
      </w:r>
      <w:r w:rsidRPr="005E00EC">
        <w:lastRenderedPageBreak/>
        <w:t>made “a conscientious effort to hold at least one conference with a parent or guardian of the pupil and the pupil himself</w:t>
      </w:r>
      <w:r w:rsidR="00CC45D8" w:rsidRPr="005E00EC">
        <w:t>.</w:t>
      </w:r>
      <w:r w:rsidRPr="005E00EC">
        <w:t>”</w:t>
      </w:r>
      <w:r w:rsidR="00426872" w:rsidRPr="005E00EC">
        <w:rPr>
          <w:rStyle w:val="FootnoteReference"/>
          <w:b w:val="0"/>
        </w:rPr>
        <w:footnoteReference w:id="5"/>
      </w:r>
    </w:p>
    <w:p w14:paraId="1F1D827B" w14:textId="47BB0E3E" w:rsidR="00D27F88" w:rsidRPr="00E72EF9" w:rsidRDefault="005600B7" w:rsidP="005E00EC">
      <w:pPr>
        <w:tabs>
          <w:tab w:val="left" w:pos="720"/>
        </w:tabs>
        <w:contextualSpacing/>
      </w:pPr>
      <w:r>
        <w:tab/>
      </w:r>
      <w:r w:rsidR="0031616E" w:rsidRPr="005E00EC">
        <w:t xml:space="preserve">On December 31, the </w:t>
      </w:r>
      <w:r w:rsidR="00735529" w:rsidRPr="005E00EC">
        <w:t>District Attorney</w:t>
      </w:r>
      <w:r w:rsidR="0031616E" w:rsidRPr="005E00EC">
        <w:t xml:space="preserve"> filed a </w:t>
      </w:r>
      <w:r>
        <w:t xml:space="preserve">wardship </w:t>
      </w:r>
      <w:r w:rsidR="0031616E" w:rsidRPr="005E00EC">
        <w:t>petition against A.N. in</w:t>
      </w:r>
      <w:r w:rsidR="008B1296" w:rsidRPr="005E00EC">
        <w:t xml:space="preserve"> the</w:t>
      </w:r>
      <w:r w:rsidR="0031616E" w:rsidRPr="005E00EC">
        <w:t xml:space="preserve"> juvenile court</w:t>
      </w:r>
      <w:r w:rsidR="00CC45D8" w:rsidRPr="005E00EC">
        <w:t xml:space="preserve">. </w:t>
      </w:r>
      <w:r w:rsidR="00750EBC" w:rsidRPr="005E00EC">
        <w:t xml:space="preserve"> </w:t>
      </w:r>
      <w:bookmarkStart w:id="4" w:name="_Hlk22718077"/>
      <w:r>
        <w:t xml:space="preserve">(See </w:t>
      </w:r>
      <w:proofErr w:type="spellStart"/>
      <w:r w:rsidRPr="005E00EC">
        <w:t>Welf</w:t>
      </w:r>
      <w:proofErr w:type="spellEnd"/>
      <w:r w:rsidRPr="005E00EC">
        <w:t>. &amp; Inst. Code</w:t>
      </w:r>
      <w:r w:rsidR="006D6D34">
        <w:t>,</w:t>
      </w:r>
      <w:r w:rsidRPr="005E00EC">
        <w:t xml:space="preserve"> §</w:t>
      </w:r>
      <w:r>
        <w:t> </w:t>
      </w:r>
      <w:r w:rsidRPr="005E00EC">
        <w:t>6</w:t>
      </w:r>
      <w:r>
        <w:t xml:space="preserve">50.)  </w:t>
      </w:r>
      <w:r w:rsidR="00CC45D8" w:rsidRPr="005E00EC">
        <w:t>The petition</w:t>
      </w:r>
      <w:r w:rsidR="00054891" w:rsidRPr="005E00EC">
        <w:t xml:space="preserve"> </w:t>
      </w:r>
      <w:r w:rsidR="008B1296" w:rsidRPr="005E00EC">
        <w:t>alleged</w:t>
      </w:r>
      <w:r w:rsidR="00054891" w:rsidRPr="005E00EC">
        <w:t xml:space="preserve"> </w:t>
      </w:r>
      <w:r w:rsidR="008B1296" w:rsidRPr="005E00EC">
        <w:t xml:space="preserve">that </w:t>
      </w:r>
      <w:r w:rsidR="000B3AA6" w:rsidRPr="00E72EF9">
        <w:t xml:space="preserve">A.N. was a habitual truant </w:t>
      </w:r>
      <w:r w:rsidR="00A83CF6">
        <w:t>under section 4826</w:t>
      </w:r>
      <w:r w:rsidR="00266C6D">
        <w:t>2</w:t>
      </w:r>
      <w:r w:rsidR="00A83CF6">
        <w:t xml:space="preserve"> and</w:t>
      </w:r>
      <w:r w:rsidR="009B26A3">
        <w:t xml:space="preserve"> that she was</w:t>
      </w:r>
      <w:r w:rsidR="00A83CF6">
        <w:t xml:space="preserve"> </w:t>
      </w:r>
      <w:r w:rsidR="000B3AA6">
        <w:t xml:space="preserve">within the </w:t>
      </w:r>
      <w:r w:rsidR="00054891" w:rsidRPr="005E00EC">
        <w:t xml:space="preserve">jurisdiction </w:t>
      </w:r>
      <w:r w:rsidR="000B3AA6">
        <w:t xml:space="preserve">of the juvenile court under </w:t>
      </w:r>
      <w:r w:rsidR="00054891" w:rsidRPr="005E00EC">
        <w:t xml:space="preserve">Welfare </w:t>
      </w:r>
      <w:r w:rsidR="00ED14D0" w:rsidRPr="005E00EC">
        <w:t>and</w:t>
      </w:r>
      <w:r w:rsidR="00054891" w:rsidRPr="005E00EC">
        <w:t xml:space="preserve"> Institutions Code section</w:t>
      </w:r>
      <w:r w:rsidR="00054891" w:rsidRPr="00DC4B38">
        <w:t xml:space="preserve"> 60</w:t>
      </w:r>
      <w:r w:rsidR="00054891" w:rsidRPr="00E72EF9">
        <w:t>1</w:t>
      </w:r>
      <w:bookmarkEnd w:id="4"/>
      <w:r w:rsidR="00154762" w:rsidRPr="00E72EF9">
        <w:t>.</w:t>
      </w:r>
    </w:p>
    <w:p w14:paraId="4A237423" w14:textId="09203A95" w:rsidR="008B1296" w:rsidRPr="005E00EC" w:rsidRDefault="00D27F88" w:rsidP="005E00EC">
      <w:pPr>
        <w:tabs>
          <w:tab w:val="left" w:pos="720"/>
        </w:tabs>
        <w:contextualSpacing/>
      </w:pPr>
      <w:r w:rsidRPr="00E72EF9">
        <w:tab/>
      </w:r>
      <w:r w:rsidR="00C2263B">
        <w:t>Almost two weeks later, o</w:t>
      </w:r>
      <w:r w:rsidR="001E7EC6" w:rsidRPr="00E72EF9">
        <w:t xml:space="preserve">n January 12, 2016, </w:t>
      </w:r>
      <w:r w:rsidR="00B94A63" w:rsidRPr="005E00EC">
        <w:t>A.N.</w:t>
      </w:r>
      <w:r w:rsidR="00EA5902" w:rsidRPr="005E00EC">
        <w:t xml:space="preserve"> </w:t>
      </w:r>
      <w:r w:rsidR="004708B7" w:rsidRPr="005E00EC">
        <w:t xml:space="preserve">and her mother </w:t>
      </w:r>
      <w:r w:rsidR="001E7EC6" w:rsidRPr="005E00EC">
        <w:t xml:space="preserve">attended a SARB </w:t>
      </w:r>
      <w:r w:rsidR="00BF6032" w:rsidRPr="005E00EC">
        <w:t>meeting</w:t>
      </w:r>
      <w:r w:rsidR="00EA5902" w:rsidRPr="005E00EC">
        <w:t>.  They</w:t>
      </w:r>
      <w:r w:rsidR="008B1296" w:rsidRPr="005E00EC">
        <w:t xml:space="preserve"> signed a contract stating that A.N. would attend school regularly and that her mother would provide information about any </w:t>
      </w:r>
      <w:r w:rsidR="00F43CB5" w:rsidRPr="005E00EC">
        <w:t xml:space="preserve">future </w:t>
      </w:r>
      <w:r w:rsidR="008B1296" w:rsidRPr="005E00EC">
        <w:t>absences</w:t>
      </w:r>
      <w:r w:rsidR="006E1317" w:rsidRPr="005E00EC">
        <w:t>.</w:t>
      </w:r>
    </w:p>
    <w:p w14:paraId="4D2B392E" w14:textId="4B67F78F" w:rsidR="00AF13FB" w:rsidRPr="005E00EC" w:rsidRDefault="00D73120" w:rsidP="005E00EC">
      <w:pPr>
        <w:tabs>
          <w:tab w:val="left" w:pos="720"/>
        </w:tabs>
        <w:contextualSpacing/>
      </w:pPr>
      <w:r w:rsidRPr="005E00EC">
        <w:tab/>
      </w:r>
      <w:r w:rsidR="00810D70" w:rsidRPr="005E00EC">
        <w:t xml:space="preserve">During late April and early May, the juvenile court held a trial on the </w:t>
      </w:r>
      <w:r w:rsidR="000648C8">
        <w:t xml:space="preserve">wardship </w:t>
      </w:r>
      <w:r w:rsidR="00810D70" w:rsidRPr="005E00EC">
        <w:t>petition</w:t>
      </w:r>
      <w:r w:rsidR="000648C8">
        <w:t>.</w:t>
      </w:r>
      <w:r w:rsidR="00810D70" w:rsidRPr="005E00EC">
        <w:t xml:space="preserve">  </w:t>
      </w:r>
      <w:r w:rsidR="00745DC2" w:rsidRPr="005E00EC">
        <w:t>At trial</w:t>
      </w:r>
      <w:r w:rsidR="00AF13FB" w:rsidRPr="005E00EC">
        <w:t xml:space="preserve">, </w:t>
      </w:r>
      <w:r w:rsidR="006D6D34">
        <w:t>the</w:t>
      </w:r>
      <w:r w:rsidR="00810D70" w:rsidRPr="005E00EC">
        <w:t xml:space="preserve"> school attendance supervisor testified </w:t>
      </w:r>
      <w:r w:rsidR="00760079" w:rsidRPr="005E00EC">
        <w:t xml:space="preserve">that </w:t>
      </w:r>
      <w:r w:rsidR="00F43CB5" w:rsidRPr="005E00EC">
        <w:t xml:space="preserve">a </w:t>
      </w:r>
      <w:r w:rsidR="005B7EA5" w:rsidRPr="005E00EC">
        <w:t xml:space="preserve">computerized system automatically sends a report to the school district </w:t>
      </w:r>
      <w:r w:rsidR="00F70203" w:rsidRPr="005E00EC">
        <w:t>whenever a teacher records a student as absent from or tardy to class</w:t>
      </w:r>
      <w:r w:rsidR="005B7EA5" w:rsidRPr="005E00EC">
        <w:t>.</w:t>
      </w:r>
      <w:r w:rsidR="00810D70" w:rsidRPr="005E00EC">
        <w:t xml:space="preserve"> </w:t>
      </w:r>
      <w:r w:rsidR="00536F5C" w:rsidRPr="005E00EC">
        <w:t xml:space="preserve">He explained that </w:t>
      </w:r>
      <w:r w:rsidR="00760079" w:rsidRPr="005E00EC">
        <w:t xml:space="preserve">the </w:t>
      </w:r>
      <w:r w:rsidR="00A63393" w:rsidRPr="005E00EC">
        <w:t>system</w:t>
      </w:r>
      <w:r w:rsidR="00760079" w:rsidRPr="005E00EC">
        <w:t xml:space="preserve"> </w:t>
      </w:r>
      <w:r w:rsidR="00536F5C" w:rsidRPr="005E00EC">
        <w:t xml:space="preserve">also </w:t>
      </w:r>
      <w:r w:rsidR="00A63393" w:rsidRPr="005E00EC">
        <w:t xml:space="preserve">generates student attendance profiles </w:t>
      </w:r>
      <w:r w:rsidR="003032E8" w:rsidRPr="005E00EC">
        <w:t xml:space="preserve">that </w:t>
      </w:r>
      <w:r w:rsidR="00B00DAC" w:rsidRPr="005E00EC">
        <w:t xml:space="preserve">provide </w:t>
      </w:r>
      <w:r w:rsidR="003032E8" w:rsidRPr="005E00EC">
        <w:t>attendance supervisors w</w:t>
      </w:r>
      <w:r w:rsidR="00B00DAC" w:rsidRPr="005E00EC">
        <w:t>ith a</w:t>
      </w:r>
      <w:r w:rsidR="00F70203" w:rsidRPr="005E00EC">
        <w:t xml:space="preserve"> list </w:t>
      </w:r>
      <w:r w:rsidR="00B00DAC" w:rsidRPr="005E00EC">
        <w:t xml:space="preserve">of </w:t>
      </w:r>
      <w:r w:rsidR="00536F5C" w:rsidRPr="005E00EC">
        <w:t>each</w:t>
      </w:r>
      <w:r w:rsidR="00F70203" w:rsidRPr="005E00EC">
        <w:t xml:space="preserve"> student’s </w:t>
      </w:r>
      <w:r w:rsidR="00A63393" w:rsidRPr="005E00EC">
        <w:t>recorded absences</w:t>
      </w:r>
      <w:r w:rsidR="004C60E3" w:rsidRPr="005E00EC">
        <w:t xml:space="preserve"> and </w:t>
      </w:r>
      <w:proofErr w:type="spellStart"/>
      <w:r w:rsidR="00A63393" w:rsidRPr="005E00EC">
        <w:t>tardies</w:t>
      </w:r>
      <w:proofErr w:type="spellEnd"/>
      <w:r w:rsidR="00A63393" w:rsidRPr="005E00EC">
        <w:t xml:space="preserve">.  </w:t>
      </w:r>
      <w:r w:rsidR="005553CF">
        <w:t>Additionally</w:t>
      </w:r>
      <w:r w:rsidR="00536F5C" w:rsidRPr="005E00EC">
        <w:t xml:space="preserve">, </w:t>
      </w:r>
      <w:r w:rsidR="00760079" w:rsidRPr="005E00EC">
        <w:t xml:space="preserve">he testified </w:t>
      </w:r>
      <w:r w:rsidR="005A6A5B" w:rsidRPr="005E00EC">
        <w:t xml:space="preserve">that he </w:t>
      </w:r>
      <w:r w:rsidR="00536F5C" w:rsidRPr="005E00EC">
        <w:t xml:space="preserve">had </w:t>
      </w:r>
      <w:r w:rsidR="005A6A5B" w:rsidRPr="005E00EC">
        <w:t>spoke</w:t>
      </w:r>
      <w:r w:rsidR="00536F5C" w:rsidRPr="005E00EC">
        <w:t>n</w:t>
      </w:r>
      <w:r w:rsidR="005A6A5B" w:rsidRPr="005E00EC">
        <w:t xml:space="preserve"> with A.N. on multiple occasions and provided her with information </w:t>
      </w:r>
      <w:r w:rsidR="006D6D34">
        <w:t>about</w:t>
      </w:r>
      <w:r w:rsidR="005A6A5B" w:rsidRPr="005E00EC">
        <w:t xml:space="preserve"> available services.  </w:t>
      </w:r>
      <w:r w:rsidR="00536F5C" w:rsidRPr="005E00EC">
        <w:t>A.N.’s</w:t>
      </w:r>
      <w:r w:rsidR="00760079" w:rsidRPr="005E00EC">
        <w:t xml:space="preserve"> attendance profile and the </w:t>
      </w:r>
      <w:r w:rsidR="00536F5C" w:rsidRPr="005E00EC">
        <w:t>letters</w:t>
      </w:r>
      <w:r w:rsidR="00760079" w:rsidRPr="005E00EC">
        <w:t xml:space="preserve"> sent </w:t>
      </w:r>
      <w:r w:rsidR="00F43CB5" w:rsidRPr="005E00EC">
        <w:t xml:space="preserve">from the principal </w:t>
      </w:r>
      <w:r w:rsidR="00760079" w:rsidRPr="005E00EC">
        <w:t xml:space="preserve">to </w:t>
      </w:r>
      <w:r w:rsidR="00536F5C" w:rsidRPr="005E00EC">
        <w:t>A.N.’s</w:t>
      </w:r>
      <w:r w:rsidR="00760079" w:rsidRPr="005E00EC">
        <w:t xml:space="preserve"> parents were admitted into evidence.</w:t>
      </w:r>
    </w:p>
    <w:p w14:paraId="0E3D8B15" w14:textId="60756FEE" w:rsidR="003D1453" w:rsidRPr="005E00EC" w:rsidRDefault="00AF13FB" w:rsidP="005E00EC">
      <w:pPr>
        <w:tabs>
          <w:tab w:val="left" w:pos="720"/>
        </w:tabs>
        <w:contextualSpacing/>
      </w:pPr>
      <w:r w:rsidRPr="005E00EC">
        <w:lastRenderedPageBreak/>
        <w:tab/>
      </w:r>
      <w:r w:rsidR="00FE01FA" w:rsidRPr="005E00EC">
        <w:t xml:space="preserve">On May </w:t>
      </w:r>
      <w:r w:rsidR="00CD29A8" w:rsidRPr="005E00EC">
        <w:t>10</w:t>
      </w:r>
      <w:r w:rsidR="00FE01FA" w:rsidRPr="005E00EC">
        <w:t xml:space="preserve">, the </w:t>
      </w:r>
      <w:r w:rsidR="00CC1915" w:rsidRPr="005E00EC">
        <w:t xml:space="preserve">juvenile </w:t>
      </w:r>
      <w:r w:rsidR="00FE01FA" w:rsidRPr="005E00EC">
        <w:t xml:space="preserve">court sustained the </w:t>
      </w:r>
      <w:r w:rsidR="005553CF">
        <w:t xml:space="preserve">wardship </w:t>
      </w:r>
      <w:r w:rsidR="00FE01FA" w:rsidRPr="005E00EC">
        <w:t>petition</w:t>
      </w:r>
      <w:r w:rsidR="00BC6827" w:rsidRPr="005E00EC">
        <w:t>.</w:t>
      </w:r>
      <w:r w:rsidR="00FE01FA" w:rsidRPr="005E00EC">
        <w:t xml:space="preserve">  </w:t>
      </w:r>
      <w:r w:rsidR="004E03CF" w:rsidRPr="005E00EC">
        <w:t>At A.N.’s request, the</w:t>
      </w:r>
      <w:r w:rsidR="00CD29A8" w:rsidRPr="005E00EC">
        <w:t xml:space="preserve"> court </w:t>
      </w:r>
      <w:r w:rsidR="004E03CF" w:rsidRPr="005E00EC">
        <w:t xml:space="preserve">ordered </w:t>
      </w:r>
      <w:r w:rsidR="00B55DBB" w:rsidRPr="005E00EC">
        <w:t xml:space="preserve">A.N. to pay a </w:t>
      </w:r>
      <w:r w:rsidR="004E03CF" w:rsidRPr="005E00EC">
        <w:t>$</w:t>
      </w:r>
      <w:r w:rsidR="00CD29A8" w:rsidRPr="005E00EC">
        <w:t xml:space="preserve">50 fine rather than </w:t>
      </w:r>
      <w:r w:rsidR="00B55DBB" w:rsidRPr="005E00EC">
        <w:t xml:space="preserve">to complete </w:t>
      </w:r>
      <w:r w:rsidR="00CD29A8" w:rsidRPr="005E00EC">
        <w:t>20 hours of community service.</w:t>
      </w:r>
      <w:r w:rsidR="005553CF">
        <w:t xml:space="preserve">  (See </w:t>
      </w:r>
      <w:r w:rsidR="005553CF" w:rsidRPr="005E00EC">
        <w:t>§</w:t>
      </w:r>
      <w:r w:rsidR="005553CF">
        <w:t xml:space="preserve"> 48264.5, </w:t>
      </w:r>
      <w:proofErr w:type="spellStart"/>
      <w:r w:rsidR="005553CF">
        <w:t>subd</w:t>
      </w:r>
      <w:proofErr w:type="spellEnd"/>
      <w:r w:rsidR="005553CF">
        <w:t>.</w:t>
      </w:r>
      <w:r w:rsidR="00D770B4">
        <w:t> </w:t>
      </w:r>
      <w:r w:rsidR="005553CF">
        <w:t>(d)</w:t>
      </w:r>
      <w:r w:rsidR="00E92E07">
        <w:t>(1), (2)</w:t>
      </w:r>
      <w:r w:rsidR="005553CF">
        <w:t>.)</w:t>
      </w:r>
    </w:p>
    <w:p w14:paraId="34F882E7" w14:textId="2B3830AD" w:rsidR="00D02BE7" w:rsidRPr="005E00EC" w:rsidRDefault="003D1453" w:rsidP="005E00EC">
      <w:pPr>
        <w:tabs>
          <w:tab w:val="left" w:pos="720"/>
        </w:tabs>
        <w:contextualSpacing/>
      </w:pPr>
      <w:r w:rsidRPr="005E00EC">
        <w:tab/>
      </w:r>
      <w:r w:rsidR="00546458" w:rsidRPr="005E00EC">
        <w:t xml:space="preserve">On appeal, A.N. </w:t>
      </w:r>
      <w:r w:rsidR="00B55DBB" w:rsidRPr="005E00EC">
        <w:t>claimed</w:t>
      </w:r>
      <w:r w:rsidR="00546458" w:rsidRPr="005E00EC">
        <w:t xml:space="preserve"> that the juvenile court </w:t>
      </w:r>
      <w:r w:rsidR="0049045C" w:rsidRPr="005E00EC">
        <w:t>lacked</w:t>
      </w:r>
      <w:r w:rsidR="00546458" w:rsidRPr="005E00EC">
        <w:t xml:space="preserve"> jurisdiction</w:t>
      </w:r>
      <w:r w:rsidR="007D08F9" w:rsidRPr="005E00EC">
        <w:t xml:space="preserve"> </w:t>
      </w:r>
      <w:r w:rsidR="00546458" w:rsidRPr="005E00EC">
        <w:t>because</w:t>
      </w:r>
      <w:r w:rsidR="000A0E89" w:rsidRPr="005E00EC">
        <w:t>,</w:t>
      </w:r>
      <w:r w:rsidR="00546458" w:rsidRPr="005E00EC">
        <w:t xml:space="preserve"> </w:t>
      </w:r>
      <w:r w:rsidR="000A0E89" w:rsidRPr="005E00EC">
        <w:t xml:space="preserve">at the time the petition was filed, </w:t>
      </w:r>
      <w:r w:rsidR="00546458" w:rsidRPr="005E00EC">
        <w:t>(1)</w:t>
      </w:r>
      <w:r w:rsidR="001F6F07">
        <w:t xml:space="preserve"> </w:t>
      </w:r>
      <w:r w:rsidR="00BC520E" w:rsidRPr="005E00EC">
        <w:t xml:space="preserve">she had not yet appeared before </w:t>
      </w:r>
      <w:r w:rsidR="003032E8" w:rsidRPr="005E00EC">
        <w:t>a</w:t>
      </w:r>
      <w:r w:rsidR="00BC520E" w:rsidRPr="005E00EC">
        <w:t xml:space="preserve"> SARB </w:t>
      </w:r>
      <w:r w:rsidR="0038323A" w:rsidRPr="005E00EC">
        <w:t>and (2)</w:t>
      </w:r>
      <w:r w:rsidR="001F6F07">
        <w:t xml:space="preserve"> </w:t>
      </w:r>
      <w:r w:rsidR="00BC520E" w:rsidRPr="005E00EC">
        <w:t xml:space="preserve">a fourth truancy report had not been </w:t>
      </w:r>
      <w:r w:rsidR="00056C2A">
        <w:t>sent to her and her parents</w:t>
      </w:r>
      <w:r w:rsidR="00546458" w:rsidRPr="005E00EC">
        <w:t>.  (</w:t>
      </w:r>
      <w:r w:rsidR="00BE272B">
        <w:rPr>
          <w:i/>
        </w:rPr>
        <w:t>I</w:t>
      </w:r>
      <w:r w:rsidR="00BE272B" w:rsidRPr="005E00EC">
        <w:rPr>
          <w:i/>
        </w:rPr>
        <w:t>n re A.N.</w:t>
      </w:r>
      <w:r w:rsidR="00BE272B" w:rsidRPr="005E00EC">
        <w:t xml:space="preserve"> (2017) 11 Cal.App.5th 403 (</w:t>
      </w:r>
      <w:r w:rsidR="00BE272B" w:rsidRPr="005E00EC">
        <w:rPr>
          <w:i/>
        </w:rPr>
        <w:t>A.N.</w:t>
      </w:r>
      <w:r w:rsidR="00BE272B" w:rsidRPr="005E00EC">
        <w:t>)</w:t>
      </w:r>
      <w:r w:rsidR="00546458" w:rsidRPr="005E00EC">
        <w:t xml:space="preserve">.)  </w:t>
      </w:r>
      <w:r w:rsidR="00BE0DBE" w:rsidRPr="005E00EC">
        <w:t>T</w:t>
      </w:r>
      <w:r w:rsidR="008C4EDF" w:rsidRPr="005E00EC">
        <w:t xml:space="preserve">he </w:t>
      </w:r>
      <w:r w:rsidR="00F37189" w:rsidRPr="005E00EC">
        <w:t>Court of Appeal</w:t>
      </w:r>
      <w:r w:rsidR="008C4EDF" w:rsidRPr="005E00EC">
        <w:t xml:space="preserve"> </w:t>
      </w:r>
      <w:r w:rsidR="005E7E2A" w:rsidRPr="005E00EC">
        <w:t>affirmed</w:t>
      </w:r>
      <w:r w:rsidR="007E6F2F" w:rsidRPr="005E00EC">
        <w:t xml:space="preserve"> the juvenile court’s judgment</w:t>
      </w:r>
      <w:r w:rsidR="00792F21" w:rsidRPr="005E00EC">
        <w:t xml:space="preserve">, </w:t>
      </w:r>
      <w:r w:rsidR="00546458" w:rsidRPr="005E00EC">
        <w:t>holding that neither of these steps were prerequisites to</w:t>
      </w:r>
      <w:r w:rsidR="00093A9D" w:rsidRPr="005E00EC">
        <w:t xml:space="preserve"> </w:t>
      </w:r>
      <w:r w:rsidR="000A0E89" w:rsidRPr="005E00EC">
        <w:t>the</w:t>
      </w:r>
      <w:r w:rsidR="00546458" w:rsidRPr="005E00EC">
        <w:t xml:space="preserve"> juvenile court</w:t>
      </w:r>
      <w:r w:rsidR="00093A9D" w:rsidRPr="005E00EC">
        <w:t>’s</w:t>
      </w:r>
      <w:r w:rsidR="00546458" w:rsidRPr="005E00EC">
        <w:t xml:space="preserve"> jurisdiction</w:t>
      </w:r>
      <w:r w:rsidR="00093A9D" w:rsidRPr="005E00EC">
        <w:t xml:space="preserve"> </w:t>
      </w:r>
      <w:r w:rsidR="00280F1A">
        <w:t xml:space="preserve">over a </w:t>
      </w:r>
      <w:r w:rsidR="00CA582C">
        <w:t xml:space="preserve">minor </w:t>
      </w:r>
      <w:r w:rsidR="00280F1A">
        <w:t>on the basis</w:t>
      </w:r>
      <w:r w:rsidR="00280F1A" w:rsidRPr="005E00EC">
        <w:t xml:space="preserve"> of </w:t>
      </w:r>
      <w:r w:rsidR="00F70A9D">
        <w:t>the</w:t>
      </w:r>
      <w:r w:rsidR="00280F1A" w:rsidRPr="005E00EC">
        <w:t xml:space="preserve"> minor having “four or more truancies within one school year”</w:t>
      </w:r>
      <w:r w:rsidR="00280F1A">
        <w:t xml:space="preserve"> under </w:t>
      </w:r>
      <w:r w:rsidR="00280F1A" w:rsidRPr="005E00EC">
        <w:t>Welf</w:t>
      </w:r>
      <w:r w:rsidR="00280F1A">
        <w:t>are</w:t>
      </w:r>
      <w:r w:rsidR="00280F1A" w:rsidRPr="005E00EC">
        <w:t xml:space="preserve"> </w:t>
      </w:r>
      <w:r w:rsidR="00280F1A">
        <w:t>and</w:t>
      </w:r>
      <w:r w:rsidR="00280F1A" w:rsidRPr="005E00EC">
        <w:t xml:space="preserve"> Inst</w:t>
      </w:r>
      <w:r w:rsidR="00280F1A">
        <w:t>itutions</w:t>
      </w:r>
      <w:r w:rsidR="00280F1A" w:rsidRPr="005E00EC">
        <w:t xml:space="preserve"> Code </w:t>
      </w:r>
      <w:r w:rsidR="00280F1A">
        <w:t>section</w:t>
      </w:r>
      <w:r w:rsidR="001F6F07">
        <w:t xml:space="preserve"> </w:t>
      </w:r>
      <w:r w:rsidR="00FF5D36">
        <w:t>601</w:t>
      </w:r>
      <w:r w:rsidR="001A5F6E">
        <w:t>, subdivision </w:t>
      </w:r>
      <w:r w:rsidR="00FF5D36">
        <w:t>(b)</w:t>
      </w:r>
      <w:r w:rsidR="001A5F6E">
        <w:t xml:space="preserve"> (</w:t>
      </w:r>
      <w:r w:rsidR="001A5F6E" w:rsidRPr="000E18C4">
        <w:t>Welfare and Institutions Code section 601(b)</w:t>
      </w:r>
      <w:r w:rsidR="001A5F6E">
        <w:t>)</w:t>
      </w:r>
      <w:r w:rsidR="008C4EDF" w:rsidRPr="005E00EC">
        <w:t>.</w:t>
      </w:r>
      <w:r w:rsidR="00093A9D" w:rsidRPr="005E00EC">
        <w:t xml:space="preserve">  </w:t>
      </w:r>
      <w:r w:rsidR="00D969B3" w:rsidRPr="005E00EC">
        <w:t>We granted A.N.’s</w:t>
      </w:r>
      <w:r w:rsidR="00BE0DBE" w:rsidRPr="005E00EC">
        <w:t xml:space="preserve"> petition for review</w:t>
      </w:r>
      <w:r w:rsidR="00D969B3" w:rsidRPr="005E00EC">
        <w:t>.</w:t>
      </w:r>
    </w:p>
    <w:p w14:paraId="1BF44140" w14:textId="0EEB3A35" w:rsidR="00EB4E25" w:rsidRPr="005E00EC" w:rsidRDefault="009A0A20" w:rsidP="005E00EC">
      <w:pPr>
        <w:pStyle w:val="Heading1"/>
      </w:pPr>
      <w:r w:rsidRPr="005E00EC">
        <w:t xml:space="preserve">II.  </w:t>
      </w:r>
      <w:r w:rsidR="00D44058" w:rsidRPr="005E00EC">
        <w:t>Discussion</w:t>
      </w:r>
    </w:p>
    <w:p w14:paraId="4C5E81A6" w14:textId="126A3D00" w:rsidR="00D02BE7" w:rsidRDefault="00FF5D36" w:rsidP="005E00EC">
      <w:pPr>
        <w:tabs>
          <w:tab w:val="left" w:pos="720"/>
          <w:tab w:val="left" w:pos="1440"/>
        </w:tabs>
        <w:contextualSpacing/>
      </w:pPr>
      <w:r>
        <w:tab/>
        <w:t>Before turning to the issues before us</w:t>
      </w:r>
      <w:r w:rsidR="00EB4E25" w:rsidRPr="005E00EC">
        <w:t>, we</w:t>
      </w:r>
      <w:r>
        <w:t xml:space="preserve"> </w:t>
      </w:r>
      <w:r w:rsidR="00D11546">
        <w:t>review</w:t>
      </w:r>
      <w:r w:rsidR="00E92E07">
        <w:t xml:space="preserve"> </w:t>
      </w:r>
      <w:r w:rsidR="00EB4E25" w:rsidRPr="005E00EC">
        <w:t xml:space="preserve">our </w:t>
      </w:r>
      <w:r>
        <w:t>familiar</w:t>
      </w:r>
      <w:r w:rsidR="00EB4E25" w:rsidRPr="005E00EC">
        <w:t xml:space="preserve"> principles of statutory construction.  </w:t>
      </w:r>
      <w:r w:rsidR="00E15547" w:rsidRPr="005E00EC">
        <w:t>“We start with the statute</w:t>
      </w:r>
      <w:r w:rsidR="00431920" w:rsidRPr="005E00EC">
        <w:t>’</w:t>
      </w:r>
      <w:r w:rsidR="00E15547" w:rsidRPr="005E00EC">
        <w:t>s words, which are the most reliable indicator of legislative intent.”  (</w:t>
      </w:r>
      <w:r w:rsidR="00EB4E25" w:rsidRPr="005E00EC">
        <w:rPr>
          <w:i/>
        </w:rPr>
        <w:t>In re R.T.</w:t>
      </w:r>
      <w:r w:rsidR="00EB4E25" w:rsidRPr="005E00EC">
        <w:t xml:space="preserve"> (2017) 3 Cal.5th 622, 627.)  “</w:t>
      </w:r>
      <w:r w:rsidR="00AE7D76" w:rsidRPr="005E00EC">
        <w:t> ‘</w:t>
      </w:r>
      <w:r w:rsidR="00EB4E25" w:rsidRPr="005E00EC">
        <w:t>We interpret relevant terms in light of their ordinary meaning, while also taking account of any related provisions and the overall structure of the statutory scheme to determine what interpretation best advances the Legislature</w:t>
      </w:r>
      <w:r w:rsidR="00431920" w:rsidRPr="005E00EC">
        <w:t>’</w:t>
      </w:r>
      <w:r w:rsidR="00EB4E25" w:rsidRPr="005E00EC">
        <w:t>s underlying purpose.</w:t>
      </w:r>
      <w:r w:rsidR="00AE7D76" w:rsidRPr="005E00EC">
        <w:t>’ </w:t>
      </w:r>
      <w:r w:rsidR="00EB4E25" w:rsidRPr="005E00EC">
        <w:t>”  (</w:t>
      </w:r>
      <w:r w:rsidR="007E5472" w:rsidRPr="005E00EC">
        <w:rPr>
          <w:i/>
        </w:rPr>
        <w:t>I</w:t>
      </w:r>
      <w:r w:rsidR="00E15547" w:rsidRPr="005E00EC">
        <w:rPr>
          <w:i/>
        </w:rPr>
        <w:t>bid.</w:t>
      </w:r>
      <w:r w:rsidR="00EB4E25" w:rsidRPr="005E00EC">
        <w:t xml:space="preserve">, quoting </w:t>
      </w:r>
      <w:r w:rsidR="00EB4E25" w:rsidRPr="005E00EC">
        <w:rPr>
          <w:i/>
        </w:rPr>
        <w:t>Los Angeles County Bd. of Supervisors v. Superior Court</w:t>
      </w:r>
      <w:r w:rsidR="00EB4E25" w:rsidRPr="005E00EC">
        <w:t xml:space="preserve"> (2016) 2 Cal.5th 282, 293.)  </w:t>
      </w:r>
      <w:r w:rsidR="007E5472" w:rsidRPr="005E00EC">
        <w:t xml:space="preserve">“If we find the statutory language ambiguous or subject to more than one interpretation, we may look to extrinsic aids, including legislative history or purpose to inform our views.”  </w:t>
      </w:r>
      <w:r w:rsidR="00EB4E25" w:rsidRPr="005E00EC">
        <w:t>(</w:t>
      </w:r>
      <w:r w:rsidR="00EB4E25" w:rsidRPr="005E00EC">
        <w:rPr>
          <w:i/>
        </w:rPr>
        <w:t>John v. Superior Court</w:t>
      </w:r>
      <w:r w:rsidR="00EB4E25" w:rsidRPr="005E00EC">
        <w:t xml:space="preserve"> (2016) 63 Cal.4th 91, 96.)</w:t>
      </w:r>
    </w:p>
    <w:p w14:paraId="6B4A61DC" w14:textId="17C9C81D" w:rsidR="00FF5D36" w:rsidRPr="005E00EC" w:rsidRDefault="00FF5D36" w:rsidP="00FF5D36">
      <w:pPr>
        <w:pStyle w:val="Heading2"/>
      </w:pPr>
      <w:r w:rsidRPr="005E00EC">
        <w:lastRenderedPageBreak/>
        <w:t xml:space="preserve">A.  </w:t>
      </w:r>
      <w:r>
        <w:t>Background</w:t>
      </w:r>
    </w:p>
    <w:p w14:paraId="1A523369" w14:textId="25B01E0A" w:rsidR="003E0E50" w:rsidRDefault="00FF5D36" w:rsidP="00FF5D36">
      <w:pPr>
        <w:tabs>
          <w:tab w:val="left" w:pos="720"/>
          <w:tab w:val="left" w:pos="1440"/>
        </w:tabs>
        <w:contextualSpacing/>
      </w:pPr>
      <w:r>
        <w:tab/>
      </w:r>
      <w:r w:rsidR="00E92E07">
        <w:t xml:space="preserve">As is relevant here, </w:t>
      </w:r>
      <w:r w:rsidR="00EE29FC" w:rsidRPr="005E00EC">
        <w:t>Welfare and Institutions Code section</w:t>
      </w:r>
      <w:r w:rsidR="001F6F07">
        <w:t xml:space="preserve"> </w:t>
      </w:r>
      <w:r w:rsidR="00EE29FC" w:rsidRPr="005E00EC">
        <w:t xml:space="preserve">601(b) provides:  “If a minor between 12 years of age and 17 years of age, inclusive, has four or more truancies within one school year as defined in Section 48260 of the Education Code or a school attendance review board or probation officer determines that the available public and private services are insufficient or inappropriate to correct the habitual truancy of the minor, or to correct the minor’s persistent or habitual refusal to obey the reasonable and proper orders or directions of school authorities, or if the minor fails to respond to directives of a school attendance review board or </w:t>
      </w:r>
      <w:r w:rsidR="00D918F9">
        <w:t xml:space="preserve">a </w:t>
      </w:r>
      <w:r w:rsidR="00EE29FC" w:rsidRPr="005E00EC">
        <w:t>probation officer or to services provided, the minor is then within the jurisdiction of the juvenile court which may adjudge the minor to be a ward of the court.”  In brief, this subdivision lists three bases of juvenile court jurisdiction:  (1)</w:t>
      </w:r>
      <w:r w:rsidR="001F6F07">
        <w:t xml:space="preserve"> </w:t>
      </w:r>
      <w:r w:rsidR="00EE29FC" w:rsidRPr="005E00EC">
        <w:t>“four or more truancies</w:t>
      </w:r>
      <w:r w:rsidR="00743A01">
        <w:t xml:space="preserve"> within one school year</w:t>
      </w:r>
      <w:r w:rsidR="00EE29FC" w:rsidRPr="005E00EC">
        <w:t>”; (2)</w:t>
      </w:r>
      <w:r w:rsidR="001F6F07">
        <w:t xml:space="preserve"> </w:t>
      </w:r>
      <w:r w:rsidR="00EE29FC" w:rsidRPr="005E00EC">
        <w:t>a determination by a SARB or a probation officer that available services are insufficient or inappropriate to correct the minor’s truancy; or (3)</w:t>
      </w:r>
      <w:r w:rsidR="001F6F07">
        <w:t xml:space="preserve"> </w:t>
      </w:r>
      <w:r w:rsidR="00EE29FC" w:rsidRPr="005E00EC">
        <w:t>a minor’s failure to respond to the directives of a SARB or a probation officer or to services provided.</w:t>
      </w:r>
    </w:p>
    <w:p w14:paraId="37D7E246" w14:textId="3D960BD5" w:rsidR="00EE29FC" w:rsidRDefault="003E0E50" w:rsidP="00FF5D36">
      <w:pPr>
        <w:tabs>
          <w:tab w:val="left" w:pos="720"/>
          <w:tab w:val="left" w:pos="1440"/>
        </w:tabs>
        <w:contextualSpacing/>
      </w:pPr>
      <w:r>
        <w:tab/>
        <w:t xml:space="preserve">In this case, the </w:t>
      </w:r>
      <w:r w:rsidR="00EE29FC" w:rsidRPr="005E00EC">
        <w:t xml:space="preserve">Court of Appeal held that the juvenile </w:t>
      </w:r>
      <w:r w:rsidR="00266C6D">
        <w:t xml:space="preserve">court </w:t>
      </w:r>
      <w:r w:rsidR="00EE29FC">
        <w:t>possessed</w:t>
      </w:r>
      <w:r w:rsidR="00EE29FC" w:rsidRPr="005E00EC">
        <w:t xml:space="preserve"> jurisdiction </w:t>
      </w:r>
      <w:r w:rsidR="009B26A3" w:rsidRPr="00863C76">
        <w:t xml:space="preserve">in </w:t>
      </w:r>
      <w:r w:rsidR="009B26A3">
        <w:t>the</w:t>
      </w:r>
      <w:r w:rsidR="009B26A3" w:rsidRPr="00863C76">
        <w:t xml:space="preserve"> formal wardship proceeding</w:t>
      </w:r>
      <w:r w:rsidR="009B26A3" w:rsidRPr="005E00EC">
        <w:t xml:space="preserve"> </w:t>
      </w:r>
      <w:r w:rsidR="009B26A3">
        <w:t xml:space="preserve">against A.N. </w:t>
      </w:r>
      <w:r w:rsidR="00EE29FC" w:rsidRPr="005E00EC">
        <w:t xml:space="preserve">on the </w:t>
      </w:r>
      <w:r>
        <w:t xml:space="preserve">basis of </w:t>
      </w:r>
      <w:r w:rsidR="009B26A3">
        <w:t>her</w:t>
      </w:r>
      <w:r>
        <w:t xml:space="preserve"> “four or more truancies</w:t>
      </w:r>
      <w:r w:rsidRPr="003E0E50">
        <w:t xml:space="preserve"> </w:t>
      </w:r>
      <w:r w:rsidRPr="005E00EC">
        <w:t>within one school year</w:t>
      </w:r>
      <w:r>
        <w:t xml:space="preserve">” under </w:t>
      </w:r>
      <w:r w:rsidRPr="005E00EC">
        <w:t>Welf</w:t>
      </w:r>
      <w:r>
        <w:t>are</w:t>
      </w:r>
      <w:r w:rsidRPr="005E00EC">
        <w:t xml:space="preserve"> </w:t>
      </w:r>
      <w:r>
        <w:t>and</w:t>
      </w:r>
      <w:r w:rsidRPr="005E00EC">
        <w:t xml:space="preserve"> Inst</w:t>
      </w:r>
      <w:r>
        <w:t>itutions</w:t>
      </w:r>
      <w:r w:rsidRPr="005E00EC">
        <w:t xml:space="preserve"> Code </w:t>
      </w:r>
      <w:r>
        <w:t xml:space="preserve">section </w:t>
      </w:r>
      <w:r w:rsidRPr="005E00EC">
        <w:t>601(b)</w:t>
      </w:r>
      <w:r w:rsidR="00EE29FC" w:rsidRPr="005E00EC">
        <w:t>.  (</w:t>
      </w:r>
      <w:r w:rsidR="00EE29FC" w:rsidRPr="005E00EC">
        <w:rPr>
          <w:i/>
        </w:rPr>
        <w:t>A.N.</w:t>
      </w:r>
      <w:r w:rsidR="00EE29FC" w:rsidRPr="005E00EC">
        <w:t xml:space="preserve">, </w:t>
      </w:r>
      <w:r w:rsidR="00EE29FC" w:rsidRPr="005E00EC">
        <w:rPr>
          <w:i/>
        </w:rPr>
        <w:t>supra</w:t>
      </w:r>
      <w:r w:rsidR="00EE29FC" w:rsidRPr="005E00EC">
        <w:t>, 11 Cal.App.5th</w:t>
      </w:r>
      <w:r w:rsidR="00EE29FC" w:rsidRPr="005E00EC">
        <w:rPr>
          <w:i/>
        </w:rPr>
        <w:t xml:space="preserve"> </w:t>
      </w:r>
      <w:r w:rsidR="00EE29FC" w:rsidRPr="005E00EC">
        <w:t xml:space="preserve">at p. 406.)  </w:t>
      </w:r>
      <w:r w:rsidR="00EE29FC">
        <w:t xml:space="preserve">Consequently, </w:t>
      </w:r>
      <w:r w:rsidR="00F44BEE">
        <w:t>we limit our c</w:t>
      </w:r>
      <w:r w:rsidR="00EE29FC">
        <w:t>onsideration</w:t>
      </w:r>
      <w:r w:rsidR="00FF5D36">
        <w:t xml:space="preserve"> </w:t>
      </w:r>
      <w:r w:rsidR="00EE29FC">
        <w:t>to whether (1)</w:t>
      </w:r>
      <w:r w:rsidR="001F6F07">
        <w:t xml:space="preserve"> </w:t>
      </w:r>
      <w:r w:rsidR="00EE29FC" w:rsidRPr="005E00EC">
        <w:t xml:space="preserve">the use of a SARB or a similar </w:t>
      </w:r>
      <w:r w:rsidR="00FF5D36">
        <w:t xml:space="preserve">truancy mediation </w:t>
      </w:r>
      <w:r w:rsidR="00EE29FC" w:rsidRPr="005E00EC">
        <w:t>program, or (2)</w:t>
      </w:r>
      <w:r w:rsidR="001F6F07">
        <w:t xml:space="preserve"> </w:t>
      </w:r>
      <w:r w:rsidR="00EE29FC" w:rsidRPr="005E00EC">
        <w:t>the issuance of a fourth truancy report</w:t>
      </w:r>
      <w:r w:rsidR="00D918F9">
        <w:t xml:space="preserve"> to the pupil and</w:t>
      </w:r>
      <w:r w:rsidR="00056C2A">
        <w:t xml:space="preserve"> his or</w:t>
      </w:r>
      <w:r w:rsidR="00D918F9">
        <w:t xml:space="preserve"> her parents or guardians</w:t>
      </w:r>
      <w:r w:rsidR="00EE29FC" w:rsidRPr="005E00EC">
        <w:t>, is a prerequisite to the juvenile court’s jurisdiction</w:t>
      </w:r>
      <w:r w:rsidR="00524B9E" w:rsidRPr="005E00EC">
        <w:t xml:space="preserve"> </w:t>
      </w:r>
      <w:r w:rsidR="00524B9E" w:rsidRPr="00F44BEE">
        <w:t>in a formal wardship proceeding</w:t>
      </w:r>
      <w:r w:rsidR="00EE29FC">
        <w:t xml:space="preserve"> </w:t>
      </w:r>
      <w:r w:rsidR="00863C76">
        <w:t>upon</w:t>
      </w:r>
      <w:r w:rsidR="00EE29FC">
        <w:t xml:space="preserve"> th</w:t>
      </w:r>
      <w:r w:rsidR="00863C76">
        <w:t>is</w:t>
      </w:r>
      <w:r w:rsidR="00EE29FC">
        <w:t xml:space="preserve"> basis</w:t>
      </w:r>
      <w:r w:rsidR="00863C76">
        <w:t>.</w:t>
      </w:r>
    </w:p>
    <w:p w14:paraId="2D1C7E39" w14:textId="0BB04462" w:rsidR="009B3E5F" w:rsidRDefault="009B3E5F" w:rsidP="009B3E5F">
      <w:pPr>
        <w:tabs>
          <w:tab w:val="left" w:pos="720"/>
        </w:tabs>
        <w:contextualSpacing/>
      </w:pPr>
      <w:r>
        <w:lastRenderedPageBreak/>
        <w:tab/>
      </w:r>
      <w:r w:rsidR="00FF5D36" w:rsidRPr="005E00EC">
        <w:t>At the outset,</w:t>
      </w:r>
      <w:r w:rsidR="00FF5D36">
        <w:t xml:space="preserve"> w</w:t>
      </w:r>
      <w:r w:rsidRPr="005E00EC">
        <w:t>e agree with A.N. that Welfare and Institutions Code section</w:t>
      </w:r>
      <w:r w:rsidR="001F6F07">
        <w:t xml:space="preserve"> </w:t>
      </w:r>
      <w:r w:rsidRPr="005E00EC">
        <w:t xml:space="preserve">601(b) “cannot be read in isolation but must be harmonized” with </w:t>
      </w:r>
      <w:r>
        <w:t xml:space="preserve">the Education Code sections governing truancy.  </w:t>
      </w:r>
      <w:r w:rsidRPr="005E00EC">
        <w:t xml:space="preserve">(See </w:t>
      </w:r>
      <w:r w:rsidRPr="005E00EC">
        <w:rPr>
          <w:i/>
        </w:rPr>
        <w:t>Dyna-Med, Inc. v. Fair Employment &amp; Housing Com.</w:t>
      </w:r>
      <w:r w:rsidRPr="005E00EC">
        <w:t xml:space="preserve"> (1987) 43 Cal.3d 1379, 1387 [“[S]</w:t>
      </w:r>
      <w:proofErr w:type="spellStart"/>
      <w:r w:rsidRPr="005E00EC">
        <w:t>tatutes</w:t>
      </w:r>
      <w:proofErr w:type="spellEnd"/>
      <w:r w:rsidRPr="005E00EC">
        <w:t xml:space="preserve"> or statutory sections relating to the same subject must be harmonized, both internally and with each other, to the extent possible.”].)</w:t>
      </w:r>
      <w:r>
        <w:t xml:space="preserve">  So, we briefly review the</w:t>
      </w:r>
      <w:r w:rsidR="00E92E07">
        <w:t xml:space="preserve"> other</w:t>
      </w:r>
      <w:r>
        <w:t xml:space="preserve"> sections of the</w:t>
      </w:r>
      <w:r w:rsidR="00E92E07">
        <w:t xml:space="preserve"> statutory scheme</w:t>
      </w:r>
      <w:r>
        <w:t xml:space="preserve"> </w:t>
      </w:r>
      <w:r w:rsidR="00E92E07">
        <w:t xml:space="preserve">that </w:t>
      </w:r>
      <w:r w:rsidR="00266C6D">
        <w:t>are</w:t>
      </w:r>
      <w:r w:rsidR="00E92E07">
        <w:t xml:space="preserve"> most relevant to our analysis.</w:t>
      </w:r>
    </w:p>
    <w:p w14:paraId="76F52872" w14:textId="2BEEF220" w:rsidR="009B3E5F" w:rsidRDefault="009B3E5F" w:rsidP="009B3E5F">
      <w:pPr>
        <w:tabs>
          <w:tab w:val="left" w:pos="720"/>
        </w:tabs>
        <w:contextualSpacing/>
      </w:pPr>
      <w:r>
        <w:tab/>
        <w:t>First, if a pupil “</w:t>
      </w:r>
      <w:r w:rsidRPr="009B3E5F">
        <w:t xml:space="preserve">is absent from school without a valid excuse three full days in one school year or tardy or absent for more than a 30-minute period during the </w:t>
      </w:r>
      <w:proofErr w:type="spellStart"/>
      <w:r w:rsidRPr="009B3E5F">
        <w:t>schoolday</w:t>
      </w:r>
      <w:proofErr w:type="spellEnd"/>
      <w:r w:rsidRPr="009B3E5F">
        <w:t xml:space="preserve"> without a valid excuse on three occasions in one school year, or any combination thereof</w:t>
      </w:r>
      <w:r>
        <w:t>,” section</w:t>
      </w:r>
      <w:r w:rsidR="001F6F07">
        <w:t xml:space="preserve"> </w:t>
      </w:r>
      <w:r>
        <w:t>48260, subdivision</w:t>
      </w:r>
      <w:r w:rsidR="001F6F07">
        <w:t xml:space="preserve"> </w:t>
      </w:r>
      <w:r w:rsidRPr="009B3E5F">
        <w:t xml:space="preserve">(a) </w:t>
      </w:r>
      <w:r w:rsidR="00486619">
        <w:t>provides that</w:t>
      </w:r>
      <w:r>
        <w:t xml:space="preserve"> the pupil “</w:t>
      </w:r>
      <w:r w:rsidR="00486619">
        <w:t xml:space="preserve">shall be </w:t>
      </w:r>
      <w:r>
        <w:t>c</w:t>
      </w:r>
      <w:r w:rsidRPr="009B3E5F">
        <w:t>lassified as a truant and shall be reported to the attendance supervisor or to the superintendent of the school district</w:t>
      </w:r>
      <w:r>
        <w:t>.”  If the pupil is “</w:t>
      </w:r>
      <w:r w:rsidRPr="009B3E5F">
        <w:t>again absent from school without valid excuse one or more days, or tardy on one or more days</w:t>
      </w:r>
      <w:r>
        <w:t>,” section</w:t>
      </w:r>
      <w:r w:rsidR="001F6F07">
        <w:t xml:space="preserve"> </w:t>
      </w:r>
      <w:r>
        <w:t xml:space="preserve">48261 </w:t>
      </w:r>
      <w:r w:rsidR="00486619">
        <w:t>provides that the pupil</w:t>
      </w:r>
      <w:r>
        <w:t xml:space="preserve"> “</w:t>
      </w:r>
      <w:r w:rsidR="00486619">
        <w:t xml:space="preserve">shall </w:t>
      </w:r>
      <w:r w:rsidRPr="009B3E5F">
        <w:t>again be reported as a truant to the attendance supervisor or the superintendent of the district.</w:t>
      </w:r>
      <w:r>
        <w:t>”</w:t>
      </w:r>
      <w:r w:rsidR="00DD6C31">
        <w:t xml:space="preserve">  If the pupil is “</w:t>
      </w:r>
      <w:r w:rsidR="00DD6C31" w:rsidRPr="009B3E5F">
        <w:t>reported as a truant three or more times per school year</w:t>
      </w:r>
      <w:r w:rsidR="00DD6C31">
        <w:t>” and “</w:t>
      </w:r>
      <w:r w:rsidR="00DD6C31" w:rsidRPr="009B3E5F">
        <w:t>an appropriate district officer or employee has made a conscientious effort to hold at least one conference with a parent or guardian of the pupil and the pupil himself</w:t>
      </w:r>
      <w:r w:rsidR="00DD6C31">
        <w:t>,</w:t>
      </w:r>
      <w:r w:rsidR="00DD6C31" w:rsidRPr="009B3E5F">
        <w:t xml:space="preserve"> after the filing of either of the reports required by Section</w:t>
      </w:r>
      <w:r w:rsidR="001F6F07">
        <w:t xml:space="preserve"> </w:t>
      </w:r>
      <w:r w:rsidR="00DD6C31" w:rsidRPr="009B3E5F">
        <w:t>48260 or Section</w:t>
      </w:r>
      <w:r w:rsidR="001F6F07">
        <w:t xml:space="preserve"> </w:t>
      </w:r>
      <w:r w:rsidR="00DD6C31" w:rsidRPr="009B3E5F">
        <w:t>48261</w:t>
      </w:r>
      <w:r w:rsidR="00DD6C31">
        <w:t xml:space="preserve">,” </w:t>
      </w:r>
      <w:r w:rsidR="00486619">
        <w:t>section</w:t>
      </w:r>
      <w:r w:rsidR="001F6F07">
        <w:t xml:space="preserve"> </w:t>
      </w:r>
      <w:r w:rsidR="00486619">
        <w:t xml:space="preserve">48262 provides that </w:t>
      </w:r>
      <w:r w:rsidR="00DD6C31">
        <w:t>the pupil “</w:t>
      </w:r>
      <w:r w:rsidR="00486619">
        <w:t xml:space="preserve">shall be </w:t>
      </w:r>
      <w:r w:rsidRPr="009B3E5F">
        <w:t>deemed an habitual truant</w:t>
      </w:r>
      <w:r w:rsidR="00DD6C31">
        <w:t>.</w:t>
      </w:r>
      <w:r w:rsidR="00486619">
        <w:t>”</w:t>
      </w:r>
    </w:p>
    <w:p w14:paraId="7BD64132" w14:textId="707D1A28" w:rsidR="00DD6C31" w:rsidRDefault="00DD6C31" w:rsidP="009B3E5F">
      <w:pPr>
        <w:tabs>
          <w:tab w:val="left" w:pos="720"/>
        </w:tabs>
        <w:contextualSpacing/>
      </w:pPr>
      <w:r>
        <w:tab/>
      </w:r>
      <w:r w:rsidR="00C2263B">
        <w:t>Meanwhile</w:t>
      </w:r>
      <w:r>
        <w:t>, section</w:t>
      </w:r>
      <w:r w:rsidR="001F6F07">
        <w:t xml:space="preserve"> </w:t>
      </w:r>
      <w:r>
        <w:t>48264.5 provides increasingly serious consequences</w:t>
      </w:r>
      <w:r w:rsidRPr="007D4789">
        <w:t xml:space="preserve"> that may result from a pupil’s continued truancy</w:t>
      </w:r>
      <w:r w:rsidR="00486619">
        <w:t xml:space="preserve"> or </w:t>
      </w:r>
      <w:r w:rsidR="007575EB">
        <w:t>h</w:t>
      </w:r>
      <w:r w:rsidR="00235717">
        <w:t>is or h</w:t>
      </w:r>
      <w:r w:rsidR="007575EB">
        <w:t xml:space="preserve">er </w:t>
      </w:r>
      <w:r w:rsidR="00486619">
        <w:t xml:space="preserve">failure to complete assigned </w:t>
      </w:r>
      <w:r w:rsidR="007575EB">
        <w:t>programs</w:t>
      </w:r>
      <w:r>
        <w:t xml:space="preserve">.  </w:t>
      </w:r>
      <w:r w:rsidRPr="001631DE">
        <w:t>Subdivision</w:t>
      </w:r>
      <w:r w:rsidR="001F6F07">
        <w:t xml:space="preserve"> </w:t>
      </w:r>
      <w:r w:rsidRPr="001631DE">
        <w:lastRenderedPageBreak/>
        <w:t xml:space="preserve">(a) states that “[t]he first time a truancy report is issued,” the pupil and </w:t>
      </w:r>
      <w:r w:rsidR="00056C2A">
        <w:t>the pupil’s</w:t>
      </w:r>
      <w:r w:rsidR="00056C2A" w:rsidRPr="001631DE">
        <w:t xml:space="preserve"> </w:t>
      </w:r>
      <w:r w:rsidRPr="001631DE">
        <w:t xml:space="preserve">parent or guardian </w:t>
      </w:r>
      <w:r w:rsidRPr="00DD6C31">
        <w:t>may</w:t>
      </w:r>
      <w:r w:rsidRPr="001631DE">
        <w:t xml:space="preserve"> be requested to attend a meeting.</w:t>
      </w:r>
      <w:r>
        <w:t xml:space="preserve">  S</w:t>
      </w:r>
      <w:r w:rsidRPr="00917654">
        <w:t>ubdivision</w:t>
      </w:r>
      <w:r w:rsidR="001F6F07">
        <w:t xml:space="preserve"> </w:t>
      </w:r>
      <w:r w:rsidRPr="00917654">
        <w:t xml:space="preserve">(b) provides that “[t]he second time a truancy report is issued,” the pupil </w:t>
      </w:r>
      <w:r w:rsidRPr="00DD6C31">
        <w:t>may</w:t>
      </w:r>
      <w:r w:rsidRPr="00917654">
        <w:t xml:space="preserve"> be assigned to an afterschool or weekend study program</w:t>
      </w:r>
      <w:r>
        <w:t>, and that a pupil who fails to complete such a program “shall be subject to subdivision</w:t>
      </w:r>
      <w:r w:rsidR="001F6F07">
        <w:t xml:space="preserve"> </w:t>
      </w:r>
      <w:r>
        <w:t xml:space="preserve">(c).”  </w:t>
      </w:r>
      <w:r w:rsidRPr="00917654">
        <w:t>Subdivision</w:t>
      </w:r>
      <w:r w:rsidR="001F6F07">
        <w:t xml:space="preserve"> </w:t>
      </w:r>
      <w:r w:rsidRPr="00917654">
        <w:t xml:space="preserve">(c) states that “[t]he third time a truancy report is issued,” the pupil </w:t>
      </w:r>
      <w:r w:rsidRPr="00DD6C31">
        <w:t>may</w:t>
      </w:r>
      <w:r w:rsidRPr="00917654">
        <w:t xml:space="preserve"> be required to attend a SARB meeting or a similar truancy mediation program</w:t>
      </w:r>
      <w:r>
        <w:t>, and that a pupil who fails to complete such a program “shall be subject to subdivision</w:t>
      </w:r>
      <w:r w:rsidR="001F6F07">
        <w:t xml:space="preserve"> </w:t>
      </w:r>
      <w:r>
        <w:t xml:space="preserve">(d).”  Finally, </w:t>
      </w:r>
      <w:r w:rsidRPr="00917654">
        <w:t>subdivision</w:t>
      </w:r>
      <w:r w:rsidR="001F6F07">
        <w:t xml:space="preserve"> </w:t>
      </w:r>
      <w:r w:rsidRPr="00917654">
        <w:t>(d) provides</w:t>
      </w:r>
      <w:r>
        <w:t xml:space="preserve"> that “[t]</w:t>
      </w:r>
      <w:r w:rsidRPr="00917654">
        <w:t>he fourth time a truancy is issued</w:t>
      </w:r>
      <w:r>
        <w:t>,</w:t>
      </w:r>
      <w:r w:rsidR="00266C6D">
        <w:t>”</w:t>
      </w:r>
      <w:r>
        <w:t xml:space="preserve"> </w:t>
      </w:r>
      <w:r w:rsidRPr="00917654">
        <w:t xml:space="preserve">the pupil </w:t>
      </w:r>
      <w:r w:rsidR="00047339">
        <w:t>“</w:t>
      </w:r>
      <w:r w:rsidRPr="00DD6C31">
        <w:t>may</w:t>
      </w:r>
      <w:r w:rsidRPr="00917654">
        <w:t xml:space="preserve"> be within the jurisdiction of the juvenile court that may adjudge the pupil to be a ward of the court pursuant to Section</w:t>
      </w:r>
      <w:r w:rsidR="001F6F07">
        <w:t xml:space="preserve"> </w:t>
      </w:r>
      <w:r w:rsidRPr="00917654">
        <w:t>601 of the Welfare and Institutions Code.</w:t>
      </w:r>
      <w:r w:rsidR="00047339">
        <w:t>”</w:t>
      </w:r>
    </w:p>
    <w:p w14:paraId="0B6589AE" w14:textId="46F8BB5B" w:rsidR="00BC520E" w:rsidRPr="005E00EC" w:rsidRDefault="00EE29FC" w:rsidP="005E00EC">
      <w:pPr>
        <w:pStyle w:val="Heading2"/>
      </w:pPr>
      <w:r>
        <w:t>B</w:t>
      </w:r>
      <w:r w:rsidR="00BC520E" w:rsidRPr="005E00EC">
        <w:t>.</w:t>
      </w:r>
      <w:r w:rsidR="009A0A20" w:rsidRPr="005E00EC">
        <w:t xml:space="preserve">  </w:t>
      </w:r>
      <w:r w:rsidR="00D62E65" w:rsidRPr="005E00EC">
        <w:t>Use of</w:t>
      </w:r>
      <w:r w:rsidR="00B94A63" w:rsidRPr="005E00EC">
        <w:t xml:space="preserve"> </w:t>
      </w:r>
      <w:r w:rsidR="00BC520E" w:rsidRPr="005E00EC">
        <w:t xml:space="preserve">a SARB or </w:t>
      </w:r>
      <w:r w:rsidR="00870751" w:rsidRPr="005E00EC">
        <w:t xml:space="preserve">a </w:t>
      </w:r>
      <w:r w:rsidR="004162B2" w:rsidRPr="005E00EC">
        <w:t>Similar</w:t>
      </w:r>
      <w:r w:rsidR="00BC520E" w:rsidRPr="005E00EC">
        <w:t xml:space="preserve"> </w:t>
      </w:r>
      <w:r w:rsidR="00520AE5" w:rsidRPr="005E00EC">
        <w:t xml:space="preserve">Truancy </w:t>
      </w:r>
      <w:r w:rsidR="00BC520E" w:rsidRPr="005E00EC">
        <w:t>Mediation Pro</w:t>
      </w:r>
      <w:r w:rsidR="00280F1A">
        <w:t>gram</w:t>
      </w:r>
    </w:p>
    <w:p w14:paraId="43D7E715" w14:textId="130C561E" w:rsidR="00D02BE7" w:rsidRPr="005E00EC" w:rsidRDefault="00BC520E" w:rsidP="005E00EC">
      <w:pPr>
        <w:tabs>
          <w:tab w:val="left" w:pos="720"/>
        </w:tabs>
        <w:contextualSpacing/>
      </w:pPr>
      <w:r w:rsidRPr="005E00EC">
        <w:tab/>
      </w:r>
      <w:r w:rsidR="00D70969" w:rsidRPr="005E00EC">
        <w:t>First, we consider</w:t>
      </w:r>
      <w:r w:rsidRPr="005E00EC">
        <w:t xml:space="preserve"> A.N.’s claim that the statutory scheme and </w:t>
      </w:r>
      <w:r w:rsidR="00294453" w:rsidRPr="005E00EC">
        <w:rPr>
          <w:i/>
        </w:rPr>
        <w:t xml:space="preserve">In re </w:t>
      </w:r>
      <w:r w:rsidRPr="005E00EC">
        <w:rPr>
          <w:i/>
        </w:rPr>
        <w:t>Michael G.</w:t>
      </w:r>
      <w:r w:rsidRPr="005E00EC">
        <w:t xml:space="preserve"> </w:t>
      </w:r>
      <w:r w:rsidR="00294453" w:rsidRPr="005E00EC">
        <w:t>(</w:t>
      </w:r>
      <w:r w:rsidR="00F24E6A">
        <w:t>1988</w:t>
      </w:r>
      <w:r w:rsidR="00294453" w:rsidRPr="005E00EC">
        <w:t>)</w:t>
      </w:r>
      <w:r w:rsidRPr="005E00EC">
        <w:t xml:space="preserve"> 44 Cal.3d 283 </w:t>
      </w:r>
      <w:r w:rsidR="00235717">
        <w:t>(</w:t>
      </w:r>
      <w:r w:rsidR="00235717">
        <w:rPr>
          <w:i/>
        </w:rPr>
        <w:t>Michael G.</w:t>
      </w:r>
      <w:r w:rsidR="00235717">
        <w:t xml:space="preserve">) </w:t>
      </w:r>
      <w:r w:rsidRPr="005E00EC">
        <w:t xml:space="preserve">require the </w:t>
      </w:r>
      <w:r w:rsidR="003E1D91" w:rsidRPr="005E00EC">
        <w:t>use</w:t>
      </w:r>
      <w:r w:rsidRPr="005E00EC">
        <w:t xml:space="preserve"> of a SARB or a similar truancy mediation pro</w:t>
      </w:r>
      <w:r w:rsidR="00431920" w:rsidRPr="005E00EC">
        <w:t>gram</w:t>
      </w:r>
      <w:r w:rsidRPr="005E00EC">
        <w:t xml:space="preserve"> before </w:t>
      </w:r>
      <w:r w:rsidR="00266C6D">
        <w:t>a pupil comes within the jurisdiction of the</w:t>
      </w:r>
      <w:r w:rsidRPr="005E00EC">
        <w:t xml:space="preserve"> juvenile court</w:t>
      </w:r>
      <w:r w:rsidR="00266C6D">
        <w:t>.</w:t>
      </w:r>
    </w:p>
    <w:p w14:paraId="397969AD" w14:textId="7425CAF4" w:rsidR="003B619E" w:rsidRPr="005E00EC" w:rsidRDefault="0011155C" w:rsidP="005E00EC">
      <w:pPr>
        <w:tabs>
          <w:tab w:val="left" w:pos="720"/>
        </w:tabs>
        <w:contextualSpacing/>
      </w:pPr>
      <w:r>
        <w:tab/>
      </w:r>
      <w:r w:rsidR="007575EB">
        <w:t>I</w:t>
      </w:r>
      <w:r w:rsidR="00294453" w:rsidRPr="005E00EC">
        <w:t xml:space="preserve">n </w:t>
      </w:r>
      <w:r w:rsidR="00294453" w:rsidRPr="005E00EC">
        <w:rPr>
          <w:i/>
        </w:rPr>
        <w:t>Michael G.</w:t>
      </w:r>
      <w:r w:rsidR="00294453" w:rsidRPr="005E00EC">
        <w:t xml:space="preserve">, </w:t>
      </w:r>
      <w:r w:rsidR="00AC4BEF" w:rsidRPr="005E00EC">
        <w:rPr>
          <w:i/>
        </w:rPr>
        <w:t>supra</w:t>
      </w:r>
      <w:r w:rsidR="00AC4BEF" w:rsidRPr="005E00EC">
        <w:t>, 44 Cal.3d</w:t>
      </w:r>
      <w:r w:rsidR="00EB1861" w:rsidRPr="005E00EC">
        <w:t xml:space="preserve"> 283</w:t>
      </w:r>
      <w:r w:rsidR="00AC4BEF" w:rsidRPr="005E00EC">
        <w:t xml:space="preserve">, </w:t>
      </w:r>
      <w:r w:rsidR="00734BB5" w:rsidRPr="005E00EC">
        <w:t xml:space="preserve">we considered whether the juvenile court may exercise its contempt power to detain a minor during </w:t>
      </w:r>
      <w:proofErr w:type="spellStart"/>
      <w:r w:rsidR="00734BB5" w:rsidRPr="005E00EC">
        <w:t>nonschool</w:t>
      </w:r>
      <w:proofErr w:type="spellEnd"/>
      <w:r w:rsidR="00734BB5" w:rsidRPr="005E00EC">
        <w:t xml:space="preserve"> hours.  </w:t>
      </w:r>
      <w:r w:rsidR="00734BB5">
        <w:t>Our opinion</w:t>
      </w:r>
      <w:r w:rsidR="00487541">
        <w:t xml:space="preserve"> </w:t>
      </w:r>
      <w:r w:rsidR="00EB1861" w:rsidRPr="005E00EC">
        <w:t>recognized that the Legislature</w:t>
      </w:r>
      <w:r w:rsidR="00270F88" w:rsidRPr="005E00EC">
        <w:t xml:space="preserve"> had</w:t>
      </w:r>
      <w:r w:rsidR="00EB1861" w:rsidRPr="005E00EC">
        <w:t xml:space="preserve"> previously amended the </w:t>
      </w:r>
      <w:r w:rsidR="00294453" w:rsidRPr="005E00EC">
        <w:t>statutory scheme “</w:t>
      </w:r>
      <w:r w:rsidR="00EB1861" w:rsidRPr="005E00EC">
        <w:t xml:space="preserve">to </w:t>
      </w:r>
      <w:r w:rsidR="00294453" w:rsidRPr="005E00EC">
        <w:t xml:space="preserve">require referral of truants to </w:t>
      </w:r>
      <w:r w:rsidR="00634207" w:rsidRPr="005E00EC">
        <w:t>[SARBs]</w:t>
      </w:r>
      <w:r w:rsidR="00294453" w:rsidRPr="005E00EC">
        <w:t xml:space="preserve"> before juvenile court intervention</w:t>
      </w:r>
      <w:r w:rsidR="00A14375" w:rsidRPr="005E00EC">
        <w:t>,</w:t>
      </w:r>
      <w:r w:rsidR="00294453" w:rsidRPr="005E00EC">
        <w:t xml:space="preserve">” and we described </w:t>
      </w:r>
      <w:r w:rsidR="003B619E" w:rsidRPr="005E00EC">
        <w:t xml:space="preserve">referral to </w:t>
      </w:r>
      <w:r w:rsidR="00AC4BEF" w:rsidRPr="005E00EC">
        <w:t xml:space="preserve">a </w:t>
      </w:r>
      <w:r w:rsidR="00294453" w:rsidRPr="005E00EC">
        <w:t>SARB a</w:t>
      </w:r>
      <w:r w:rsidR="00AC4BEF" w:rsidRPr="005E00EC">
        <w:t>s a</w:t>
      </w:r>
      <w:r w:rsidR="00294453" w:rsidRPr="005E00EC">
        <w:t xml:space="preserve"> “condition precedent to the juvenile court’s intervention.</w:t>
      </w:r>
      <w:r w:rsidR="00AC4BEF" w:rsidRPr="005E00EC">
        <w:t>”</w:t>
      </w:r>
      <w:r w:rsidR="00EB1861" w:rsidRPr="005E00EC">
        <w:t xml:space="preserve">  (</w:t>
      </w:r>
      <w:r w:rsidR="00EB1861" w:rsidRPr="005E00EC">
        <w:rPr>
          <w:i/>
        </w:rPr>
        <w:t xml:space="preserve">Id. </w:t>
      </w:r>
      <w:r w:rsidR="00EB1861" w:rsidRPr="005E00EC">
        <w:t>at p. 290</w:t>
      </w:r>
      <w:r w:rsidR="008E3348" w:rsidRPr="005E00EC">
        <w:t>.)</w:t>
      </w:r>
      <w:r w:rsidR="00AC4BEF" w:rsidRPr="005E00EC">
        <w:t xml:space="preserve">  </w:t>
      </w:r>
      <w:r w:rsidR="003743FA" w:rsidRPr="005E00EC">
        <w:t>As we explain below,</w:t>
      </w:r>
      <w:r w:rsidR="008B41E9" w:rsidRPr="005E00EC">
        <w:t xml:space="preserve"> th</w:t>
      </w:r>
      <w:r w:rsidR="00AE7D76" w:rsidRPr="005E00EC">
        <w:t>is dict</w:t>
      </w:r>
      <w:r w:rsidR="00E53456" w:rsidRPr="005E00EC">
        <w:t>um</w:t>
      </w:r>
      <w:r w:rsidR="00AE7D76" w:rsidRPr="005E00EC">
        <w:t xml:space="preserve"> </w:t>
      </w:r>
      <w:r w:rsidR="00E53456" w:rsidRPr="006A2F9F">
        <w:t xml:space="preserve">was </w:t>
      </w:r>
      <w:r w:rsidR="009430D8" w:rsidRPr="006A2F9F">
        <w:t>abrogated by</w:t>
      </w:r>
      <w:r w:rsidR="00D600FD" w:rsidRPr="006A2F9F">
        <w:t xml:space="preserve"> </w:t>
      </w:r>
      <w:r w:rsidR="007575EB" w:rsidRPr="006A2F9F">
        <w:t>subsequent</w:t>
      </w:r>
      <w:r w:rsidR="00E53456" w:rsidRPr="006A2F9F">
        <w:t xml:space="preserve"> </w:t>
      </w:r>
      <w:r w:rsidR="00D600FD" w:rsidRPr="006A2F9F">
        <w:t>amendments to the statutory scheme</w:t>
      </w:r>
      <w:r w:rsidR="00183320" w:rsidRPr="006A2F9F">
        <w:t>.</w:t>
      </w:r>
    </w:p>
    <w:p w14:paraId="3B318DB4" w14:textId="7A29B8DD" w:rsidR="002B2B69" w:rsidRDefault="003B619E" w:rsidP="005E00EC">
      <w:pPr>
        <w:tabs>
          <w:tab w:val="left" w:pos="720"/>
        </w:tabs>
        <w:contextualSpacing/>
      </w:pPr>
      <w:r w:rsidRPr="005E00EC">
        <w:lastRenderedPageBreak/>
        <w:tab/>
      </w:r>
      <w:r w:rsidR="007E54B3" w:rsidRPr="005E00EC">
        <w:t xml:space="preserve">When we decided </w:t>
      </w:r>
      <w:r w:rsidR="007E54B3" w:rsidRPr="005E00EC">
        <w:rPr>
          <w:i/>
        </w:rPr>
        <w:t>Michael G.</w:t>
      </w:r>
      <w:r w:rsidR="0008741C" w:rsidRPr="005E00EC">
        <w:t xml:space="preserve">, </w:t>
      </w:r>
      <w:r w:rsidR="0008741C" w:rsidRPr="005E00EC">
        <w:rPr>
          <w:i/>
        </w:rPr>
        <w:t>supra</w:t>
      </w:r>
      <w:r w:rsidR="0008741C" w:rsidRPr="005E00EC">
        <w:t>, 44 Cal.3d 283</w:t>
      </w:r>
      <w:r w:rsidR="00E74F87" w:rsidRPr="005E00EC">
        <w:t xml:space="preserve">, </w:t>
      </w:r>
      <w:r w:rsidR="007E54B3" w:rsidRPr="005E00EC">
        <w:t>in 1988,</w:t>
      </w:r>
      <w:r w:rsidR="00183320">
        <w:t xml:space="preserve"> the </w:t>
      </w:r>
      <w:r w:rsidR="007575EB">
        <w:t>statutory scheme</w:t>
      </w:r>
      <w:r w:rsidR="00677848" w:rsidRPr="005E00EC">
        <w:t xml:space="preserve"> </w:t>
      </w:r>
      <w:r w:rsidR="00E53456" w:rsidRPr="005E00EC">
        <w:t xml:space="preserve">required </w:t>
      </w:r>
      <w:r w:rsidR="00183320">
        <w:t xml:space="preserve">habitual truants to be referred to a SARB </w:t>
      </w:r>
      <w:r w:rsidR="00153EF5">
        <w:t xml:space="preserve">or a similar truancy mediation program </w:t>
      </w:r>
      <w:r w:rsidR="00183320">
        <w:t>before the</w:t>
      </w:r>
      <w:r w:rsidR="009B26A3">
        <w:t>y are referred to the</w:t>
      </w:r>
      <w:r w:rsidR="00183320">
        <w:t xml:space="preserve"> juvenile court</w:t>
      </w:r>
      <w:r w:rsidR="00E53456" w:rsidRPr="005E00EC">
        <w:t xml:space="preserve">.  </w:t>
      </w:r>
      <w:r w:rsidR="007575EB">
        <w:t>F</w:t>
      </w:r>
      <w:r w:rsidR="007575EB" w:rsidRPr="005E00EC">
        <w:t xml:space="preserve">ormer section 601.1 </w:t>
      </w:r>
      <w:r w:rsidR="007575EB">
        <w:t xml:space="preserve">of the Welfare and Institutions Code </w:t>
      </w:r>
      <w:r w:rsidR="007575EB" w:rsidRPr="005E00EC">
        <w:t xml:space="preserve">stated:  “Any person under the age of 18 years who . . . is a habitual truant from school within the meaning of any law of this state, </w:t>
      </w:r>
      <w:r w:rsidR="007575EB" w:rsidRPr="00022794">
        <w:rPr>
          <w:i/>
        </w:rPr>
        <w:t xml:space="preserve">shall, </w:t>
      </w:r>
      <w:r w:rsidR="007575EB" w:rsidRPr="005E00EC">
        <w:rPr>
          <w:i/>
        </w:rPr>
        <w:t>prior to any referral to the juvenile court</w:t>
      </w:r>
      <w:r w:rsidR="007575EB" w:rsidRPr="005E00EC">
        <w:t xml:space="preserve"> of the county, </w:t>
      </w:r>
      <w:r w:rsidR="007575EB" w:rsidRPr="005E00EC">
        <w:rPr>
          <w:i/>
        </w:rPr>
        <w:t>be referred to a school attendance review board</w:t>
      </w:r>
      <w:r w:rsidR="007575EB" w:rsidRPr="005E00EC">
        <w:t xml:space="preserve"> pursuant to Section 48263 of the Education Code, </w:t>
      </w:r>
      <w:r w:rsidR="007575EB" w:rsidRPr="005E00EC">
        <w:rPr>
          <w:i/>
        </w:rPr>
        <w:t>or to a truancy mediation program</w:t>
      </w:r>
      <w:r w:rsidR="007575EB" w:rsidRPr="005E00EC">
        <w:t xml:space="preserve"> pursuant to Section 601.3 of this code, </w:t>
      </w:r>
      <w:r w:rsidR="007575EB" w:rsidRPr="005E00EC">
        <w:rPr>
          <w:i/>
        </w:rPr>
        <w:t>or to both</w:t>
      </w:r>
      <w:r w:rsidR="007575EB" w:rsidRPr="005E00EC">
        <w:t xml:space="preserve"> a school attendance review board and a truancy mediation program if both have been established in the county.”  (</w:t>
      </w:r>
      <w:proofErr w:type="spellStart"/>
      <w:r w:rsidR="00A738FC">
        <w:t>Welf</w:t>
      </w:r>
      <w:proofErr w:type="spellEnd"/>
      <w:r w:rsidR="00A738FC">
        <w:t>. &amp; Inst. Code, f</w:t>
      </w:r>
      <w:r w:rsidR="007575EB" w:rsidRPr="005E00EC">
        <w:t>ormer §</w:t>
      </w:r>
      <w:r w:rsidR="007575EB">
        <w:t> </w:t>
      </w:r>
      <w:r w:rsidR="007575EB" w:rsidRPr="005E00EC">
        <w:t xml:space="preserve">601.1, as amended by Stats. 1985, </w:t>
      </w:r>
      <w:proofErr w:type="spellStart"/>
      <w:r w:rsidR="007575EB" w:rsidRPr="005E00EC">
        <w:t>ch.</w:t>
      </w:r>
      <w:proofErr w:type="spellEnd"/>
      <w:r w:rsidR="007575EB">
        <w:t> </w:t>
      </w:r>
      <w:r w:rsidR="007575EB" w:rsidRPr="005E00EC">
        <w:t>667, §</w:t>
      </w:r>
      <w:r w:rsidR="007575EB">
        <w:t> </w:t>
      </w:r>
      <w:r w:rsidR="007575EB" w:rsidRPr="005E00EC">
        <w:t>1,</w:t>
      </w:r>
      <w:r w:rsidR="002979C8">
        <w:t xml:space="preserve"> p. 2256,</w:t>
      </w:r>
      <w:r w:rsidR="007575EB" w:rsidRPr="005E00EC">
        <w:t xml:space="preserve"> italics added.)</w:t>
      </w:r>
      <w:r w:rsidR="007575EB">
        <w:t xml:space="preserve">  Additionally</w:t>
      </w:r>
      <w:r w:rsidR="00183320">
        <w:t>, section 601(b)</w:t>
      </w:r>
      <w:r w:rsidR="007575EB">
        <w:t xml:space="preserve"> </w:t>
      </w:r>
      <w:r w:rsidR="00F701BC">
        <w:t xml:space="preserve">formerly </w:t>
      </w:r>
      <w:r w:rsidR="004E068D" w:rsidRPr="005E00EC">
        <w:t>read</w:t>
      </w:r>
      <w:r w:rsidR="00CA0009" w:rsidRPr="005E00EC">
        <w:t xml:space="preserve">:  </w:t>
      </w:r>
      <w:r w:rsidR="004E068D" w:rsidRPr="005E00EC">
        <w:t xml:space="preserve">“If a </w:t>
      </w:r>
      <w:r w:rsidR="004E068D" w:rsidRPr="005E00EC">
        <w:rPr>
          <w:i/>
        </w:rPr>
        <w:t>school attendance review board</w:t>
      </w:r>
      <w:r w:rsidR="004E068D" w:rsidRPr="005E00EC">
        <w:t xml:space="preserve"> determines that the available public and private services are insufficient or inappropriate to correct the habitual truancy of the minor, or to correct the minor’s persistent or habitual refusal to obey the reasonable and proper orders or directions of school authorities, or if the minor fails to respond to directives of a </w:t>
      </w:r>
      <w:r w:rsidR="004E068D" w:rsidRPr="005E00EC">
        <w:rPr>
          <w:i/>
        </w:rPr>
        <w:t>school attendance review board</w:t>
      </w:r>
      <w:r w:rsidR="004E068D" w:rsidRPr="00F701BC">
        <w:rPr>
          <w:i/>
        </w:rPr>
        <w:t xml:space="preserve"> or to services provided</w:t>
      </w:r>
      <w:r w:rsidR="004E068D" w:rsidRPr="005E00EC">
        <w:t>, the minor is then within the jurisdiction of the juvenile court . . .</w:t>
      </w:r>
      <w:r w:rsidR="00D114A1" w:rsidRPr="005E00EC">
        <w:t> .</w:t>
      </w:r>
      <w:r w:rsidR="004E068D" w:rsidRPr="005E00EC">
        <w:t>”  (</w:t>
      </w:r>
      <w:proofErr w:type="spellStart"/>
      <w:r w:rsidR="00A738FC">
        <w:t>Welf</w:t>
      </w:r>
      <w:proofErr w:type="spellEnd"/>
      <w:r w:rsidR="00A738FC">
        <w:t>. &amp; Inst., f</w:t>
      </w:r>
      <w:r w:rsidR="004E068D" w:rsidRPr="005E00EC">
        <w:t>ormer §</w:t>
      </w:r>
      <w:r w:rsidR="00183320">
        <w:t> </w:t>
      </w:r>
      <w:r w:rsidR="004E068D" w:rsidRPr="005E00EC">
        <w:t>60</w:t>
      </w:r>
      <w:r w:rsidR="00A738FC">
        <w:t>1</w:t>
      </w:r>
      <w:r w:rsidR="004E068D" w:rsidRPr="005E00EC">
        <w:t>(b), as amended by Stats.</w:t>
      </w:r>
      <w:r w:rsidR="00183320">
        <w:t> </w:t>
      </w:r>
      <w:r w:rsidR="004E068D" w:rsidRPr="005E00EC">
        <w:t xml:space="preserve">1976, </w:t>
      </w:r>
      <w:proofErr w:type="spellStart"/>
      <w:r w:rsidR="004E068D" w:rsidRPr="005E00EC">
        <w:t>ch.</w:t>
      </w:r>
      <w:proofErr w:type="spellEnd"/>
      <w:r w:rsidR="00183320">
        <w:t> </w:t>
      </w:r>
      <w:r w:rsidR="004E068D" w:rsidRPr="005E00EC">
        <w:t>1071,</w:t>
      </w:r>
      <w:r w:rsidR="00A738FC">
        <w:t xml:space="preserve"> § 11,</w:t>
      </w:r>
      <w:r w:rsidR="004E068D" w:rsidRPr="005E00EC">
        <w:t xml:space="preserve"> p.</w:t>
      </w:r>
      <w:r w:rsidR="00183320">
        <w:t> </w:t>
      </w:r>
      <w:r w:rsidR="004E068D" w:rsidRPr="005E00EC">
        <w:t>4818</w:t>
      </w:r>
      <w:r w:rsidR="008E78D8" w:rsidRPr="005E00EC">
        <w:t>,</w:t>
      </w:r>
      <w:r w:rsidR="00D600FD" w:rsidRPr="005E00EC">
        <w:t xml:space="preserve"> italics added</w:t>
      </w:r>
      <w:r w:rsidR="004E068D" w:rsidRPr="005E00EC">
        <w:t>.)</w:t>
      </w:r>
    </w:p>
    <w:p w14:paraId="5F5B58F3" w14:textId="0A615709" w:rsidR="007C4F31" w:rsidRDefault="002B2B69" w:rsidP="005E00EC">
      <w:pPr>
        <w:tabs>
          <w:tab w:val="left" w:pos="720"/>
        </w:tabs>
        <w:contextualSpacing/>
      </w:pPr>
      <w:r>
        <w:tab/>
      </w:r>
      <w:r w:rsidR="00153EF5">
        <w:t>So</w:t>
      </w:r>
      <w:r w:rsidR="00BC520E" w:rsidRPr="005E00EC">
        <w:t>,</w:t>
      </w:r>
      <w:r w:rsidR="00103E36" w:rsidRPr="005E00EC">
        <w:t xml:space="preserve"> </w:t>
      </w:r>
      <w:r w:rsidR="00153EF5" w:rsidRPr="005E00EC">
        <w:t xml:space="preserve">as </w:t>
      </w:r>
      <w:r w:rsidR="00153EF5">
        <w:t>our</w:t>
      </w:r>
      <w:r w:rsidR="00153EF5" w:rsidRPr="005E00EC">
        <w:t xml:space="preserve"> dictum in </w:t>
      </w:r>
      <w:r w:rsidR="00153EF5" w:rsidRPr="005E00EC">
        <w:rPr>
          <w:i/>
        </w:rPr>
        <w:t>Michael G.</w:t>
      </w:r>
      <w:r w:rsidR="00153EF5" w:rsidRPr="005E00EC">
        <w:t xml:space="preserve">, </w:t>
      </w:r>
      <w:r w:rsidR="00153EF5" w:rsidRPr="005E00EC">
        <w:rPr>
          <w:i/>
        </w:rPr>
        <w:t>supra</w:t>
      </w:r>
      <w:r w:rsidR="00153EF5" w:rsidRPr="005E00EC">
        <w:t>, 44 Cal.3d 283,</w:t>
      </w:r>
      <w:r w:rsidR="00153EF5">
        <w:t xml:space="preserve"> </w:t>
      </w:r>
      <w:r w:rsidR="007575EB">
        <w:t>recognized</w:t>
      </w:r>
      <w:r w:rsidR="00153EF5">
        <w:t xml:space="preserve">, </w:t>
      </w:r>
      <w:r w:rsidR="007575EB">
        <w:t xml:space="preserve">former </w:t>
      </w:r>
      <w:r w:rsidR="007575EB" w:rsidRPr="005E00EC">
        <w:t>section 601.1</w:t>
      </w:r>
      <w:r>
        <w:t xml:space="preserve"> of the Welfare and Institutions Code</w:t>
      </w:r>
      <w:r w:rsidR="007575EB" w:rsidRPr="005E00EC">
        <w:t xml:space="preserve"> </w:t>
      </w:r>
      <w:r w:rsidR="007575EB">
        <w:t>mandated</w:t>
      </w:r>
      <w:r w:rsidR="007575EB" w:rsidRPr="005E00EC">
        <w:t xml:space="preserve"> </w:t>
      </w:r>
      <w:r w:rsidR="007575EB">
        <w:t xml:space="preserve">initial </w:t>
      </w:r>
      <w:r w:rsidR="007575EB" w:rsidRPr="005E00EC">
        <w:t>referral to a SARB or a similar truancy mediation program</w:t>
      </w:r>
      <w:r w:rsidR="007575EB">
        <w:t>, and</w:t>
      </w:r>
      <w:r w:rsidR="007575EB" w:rsidRPr="005E00EC">
        <w:t xml:space="preserve"> </w:t>
      </w:r>
      <w:r w:rsidR="00D600FD" w:rsidRPr="005E00EC">
        <w:t>section 601</w:t>
      </w:r>
      <w:r w:rsidR="004C34DD" w:rsidRPr="005E00EC">
        <w:t>(b)</w:t>
      </w:r>
      <w:r w:rsidR="00D600FD" w:rsidRPr="005E00EC">
        <w:t xml:space="preserve"> </w:t>
      </w:r>
      <w:r w:rsidR="00153EF5">
        <w:t xml:space="preserve">formerly </w:t>
      </w:r>
      <w:r w:rsidR="00103E36" w:rsidRPr="005E00EC">
        <w:t>provide</w:t>
      </w:r>
      <w:r w:rsidR="00634207" w:rsidRPr="005E00EC">
        <w:t>d</w:t>
      </w:r>
      <w:r w:rsidR="00D600FD" w:rsidRPr="005E00EC">
        <w:t xml:space="preserve"> </w:t>
      </w:r>
      <w:r w:rsidR="000E3B9F" w:rsidRPr="005E00EC">
        <w:t xml:space="preserve">only </w:t>
      </w:r>
      <w:r w:rsidR="00BC520E" w:rsidRPr="005E00EC">
        <w:t>two bases of juvenile court jurisdictio</w:t>
      </w:r>
      <w:r w:rsidR="004E068D" w:rsidRPr="005E00EC">
        <w:t>n</w:t>
      </w:r>
      <w:r w:rsidR="00153EF5">
        <w:t xml:space="preserve">—both of which contemplated </w:t>
      </w:r>
      <w:r w:rsidR="00EF7027">
        <w:t xml:space="preserve">the </w:t>
      </w:r>
      <w:r w:rsidR="00F701BC">
        <w:t>prior use of a SARB or a similar truancy mediation program</w:t>
      </w:r>
      <w:r>
        <w:t xml:space="preserve">.  </w:t>
      </w:r>
      <w:r w:rsidR="004E068D" w:rsidRPr="005E00EC">
        <w:t>I</w:t>
      </w:r>
      <w:r w:rsidR="00BC520E" w:rsidRPr="005E00EC">
        <w:t xml:space="preserve">n 1994, </w:t>
      </w:r>
      <w:r w:rsidR="004E068D" w:rsidRPr="005E00EC">
        <w:t xml:space="preserve">however, </w:t>
      </w:r>
      <w:r w:rsidR="00A30792" w:rsidRPr="005E00EC">
        <w:t xml:space="preserve">Senate Bill </w:t>
      </w:r>
      <w:r w:rsidR="00CB454F" w:rsidRPr="005E00EC">
        <w:t>No.</w:t>
      </w:r>
      <w:r w:rsidR="006B5873">
        <w:t xml:space="preserve"> </w:t>
      </w:r>
      <w:r w:rsidR="00A30792" w:rsidRPr="005E00EC">
        <w:t xml:space="preserve">1728 </w:t>
      </w:r>
      <w:r w:rsidR="00A738FC">
        <w:lastRenderedPageBreak/>
        <w:t xml:space="preserve">(1993–1994 Reg. Sess.) </w:t>
      </w:r>
      <w:r w:rsidR="00A45917">
        <w:t xml:space="preserve">(Senate Bill 1728) </w:t>
      </w:r>
      <w:r w:rsidRPr="005E00EC">
        <w:t>repealed</w:t>
      </w:r>
      <w:r>
        <w:t xml:space="preserve"> former</w:t>
      </w:r>
      <w:r w:rsidRPr="005E00EC">
        <w:t xml:space="preserve"> section 601.1</w:t>
      </w:r>
      <w:r>
        <w:t xml:space="preserve">—thereby </w:t>
      </w:r>
      <w:r w:rsidRPr="005E00EC">
        <w:t xml:space="preserve">removing </w:t>
      </w:r>
      <w:bookmarkStart w:id="5" w:name="_Hlk34146884"/>
      <w:r w:rsidRPr="005E00EC">
        <w:t>the</w:t>
      </w:r>
      <w:r>
        <w:t xml:space="preserve"> express</w:t>
      </w:r>
      <w:r w:rsidRPr="005E00EC">
        <w:t xml:space="preserve"> requirement that a minor be </w:t>
      </w:r>
      <w:r>
        <w:t xml:space="preserve">initially </w:t>
      </w:r>
      <w:r w:rsidRPr="005E00EC">
        <w:t xml:space="preserve">referred to a SARB or a similar </w:t>
      </w:r>
      <w:r>
        <w:t xml:space="preserve">truancy mediation </w:t>
      </w:r>
      <w:r w:rsidRPr="005E00EC">
        <w:t>program</w:t>
      </w:r>
      <w:bookmarkEnd w:id="5"/>
      <w:r>
        <w:t xml:space="preserve">—and </w:t>
      </w:r>
      <w:r w:rsidR="00A30792" w:rsidRPr="005E00EC">
        <w:t>amended section 601(b) to include a third basis of jurisdiction—</w:t>
      </w:r>
      <w:r w:rsidR="00F701BC">
        <w:t xml:space="preserve">a minor’s </w:t>
      </w:r>
      <w:r w:rsidR="00A30792" w:rsidRPr="005E00EC">
        <w:t>“four or more truancies within one school year</w:t>
      </w:r>
      <w:r>
        <w:t>.</w:t>
      </w:r>
      <w:r w:rsidR="00A30792" w:rsidRPr="005E00EC">
        <w:t>”</w:t>
      </w:r>
      <w:r>
        <w:t xml:space="preserve">  </w:t>
      </w:r>
      <w:r w:rsidR="00BC520E" w:rsidRPr="005E00EC">
        <w:t xml:space="preserve">(Stats. 1994, </w:t>
      </w:r>
      <w:proofErr w:type="spellStart"/>
      <w:r w:rsidR="00BC520E" w:rsidRPr="005E00EC">
        <w:t>ch.</w:t>
      </w:r>
      <w:proofErr w:type="spellEnd"/>
      <w:r w:rsidR="00153EF5">
        <w:t> </w:t>
      </w:r>
      <w:r w:rsidR="00BC520E" w:rsidRPr="005E00EC">
        <w:t>1023</w:t>
      </w:r>
      <w:r w:rsidR="00A738FC">
        <w:t>,</w:t>
      </w:r>
      <w:r w:rsidR="00BC520E" w:rsidRPr="005E00EC">
        <w:t xml:space="preserve"> </w:t>
      </w:r>
      <w:r w:rsidR="00A30792" w:rsidRPr="005E00EC">
        <w:t>§</w:t>
      </w:r>
      <w:r w:rsidR="00BC520E" w:rsidRPr="005E00EC">
        <w:t>§</w:t>
      </w:r>
      <w:r w:rsidR="00A45917">
        <w:t> </w:t>
      </w:r>
      <w:r w:rsidR="00BC520E" w:rsidRPr="005E00EC">
        <w:t>6</w:t>
      </w:r>
      <w:r w:rsidR="00A30792" w:rsidRPr="005E00EC">
        <w:t>, 7</w:t>
      </w:r>
      <w:r w:rsidR="000C30B2">
        <w:t>, p. 6217</w:t>
      </w:r>
      <w:r w:rsidR="001479B8" w:rsidRPr="005E00EC">
        <w:t>.</w:t>
      </w:r>
      <w:r w:rsidR="00BC520E" w:rsidRPr="005E00EC">
        <w:t>)</w:t>
      </w:r>
    </w:p>
    <w:p w14:paraId="7454EFC6" w14:textId="5354BA54" w:rsidR="003D718A" w:rsidRDefault="009B199E" w:rsidP="002B2B69">
      <w:pPr>
        <w:tabs>
          <w:tab w:val="left" w:pos="720"/>
        </w:tabs>
        <w:contextualSpacing/>
      </w:pPr>
      <w:r>
        <w:tab/>
      </w:r>
      <w:r w:rsidR="00C655B3">
        <w:t>Without discussing th</w:t>
      </w:r>
      <w:r w:rsidR="005238E7">
        <w:t xml:space="preserve">e fact that </w:t>
      </w:r>
      <w:r w:rsidR="005238E7" w:rsidRPr="004A3100">
        <w:t xml:space="preserve">Senate Bill 1728 </w:t>
      </w:r>
      <w:r w:rsidR="005238E7" w:rsidRPr="005238E7">
        <w:t>repealed</w:t>
      </w:r>
      <w:r w:rsidR="005238E7">
        <w:t xml:space="preserve"> former section 601.1 of the </w:t>
      </w:r>
      <w:r w:rsidR="005238E7" w:rsidRPr="005E00EC">
        <w:t>Welfare and Institutions Code</w:t>
      </w:r>
      <w:r w:rsidR="00C655B3">
        <w:t xml:space="preserve">, </w:t>
      </w:r>
      <w:r w:rsidRPr="009B199E">
        <w:t xml:space="preserve">A.N. asks us to read </w:t>
      </w:r>
      <w:r>
        <w:t xml:space="preserve">Education Code </w:t>
      </w:r>
      <w:r w:rsidRPr="009B199E">
        <w:t xml:space="preserve">section 48264.5—a section </w:t>
      </w:r>
      <w:r w:rsidRPr="009B199E">
        <w:rPr>
          <w:i/>
        </w:rPr>
        <w:t>added</w:t>
      </w:r>
      <w:r w:rsidRPr="009B199E">
        <w:t xml:space="preserve"> by Senate Bill</w:t>
      </w:r>
      <w:r w:rsidR="006B5873">
        <w:t xml:space="preserve"> </w:t>
      </w:r>
      <w:r w:rsidRPr="009B199E">
        <w:t>1728—</w:t>
      </w:r>
      <w:r w:rsidR="002B2B69">
        <w:t>to require</w:t>
      </w:r>
      <w:r>
        <w:t xml:space="preserve"> initial referral to a </w:t>
      </w:r>
      <w:r w:rsidRPr="00A86127">
        <w:t>SARB or a similar truancy mediation program</w:t>
      </w:r>
      <w:r w:rsidRPr="005E00EC">
        <w:t>.</w:t>
      </w:r>
      <w:r w:rsidR="00D11546">
        <w:t xml:space="preserve">  </w:t>
      </w:r>
      <w:r w:rsidR="00D11546" w:rsidRPr="00D11546">
        <w:t xml:space="preserve">(Stats. 1994, </w:t>
      </w:r>
      <w:proofErr w:type="spellStart"/>
      <w:r w:rsidR="00D11546" w:rsidRPr="00D11546">
        <w:t>ch.</w:t>
      </w:r>
      <w:proofErr w:type="spellEnd"/>
      <w:r w:rsidR="00D11546" w:rsidRPr="00D11546">
        <w:t> 1023, § 4, p</w:t>
      </w:r>
      <w:r w:rsidR="00A738FC">
        <w:t>p</w:t>
      </w:r>
      <w:r w:rsidR="00D11546" w:rsidRPr="00D11546">
        <w:t>.</w:t>
      </w:r>
      <w:r w:rsidR="00A738FC">
        <w:t> </w:t>
      </w:r>
      <w:r w:rsidR="00D11546" w:rsidRPr="00D11546">
        <w:t>6215–2616.)</w:t>
      </w:r>
      <w:r>
        <w:t xml:space="preserve">  As mentioned above, </w:t>
      </w:r>
      <w:r w:rsidRPr="009B199E">
        <w:t>section 48264.5</w:t>
      </w:r>
      <w:r>
        <w:t>’s subdivisions provide graduated consequences</w:t>
      </w:r>
      <w:r w:rsidRPr="007D4789">
        <w:t xml:space="preserve"> that may result from a pupil’s continued truancy</w:t>
      </w:r>
      <w:r w:rsidR="002B2B69">
        <w:t xml:space="preserve"> or </w:t>
      </w:r>
      <w:r w:rsidR="00056C2A">
        <w:t xml:space="preserve">the pupil’s </w:t>
      </w:r>
      <w:r w:rsidR="002B2B69">
        <w:t>failure to complete assigned programs.</w:t>
      </w:r>
      <w:r>
        <w:t xml:space="preserve">  </w:t>
      </w:r>
      <w:r w:rsidR="00C12FB0">
        <w:t xml:space="preserve">Specifically, </w:t>
      </w:r>
      <w:r>
        <w:t>A.N. a</w:t>
      </w:r>
      <w:r w:rsidRPr="00C12FB0">
        <w:t xml:space="preserve">rgues that </w:t>
      </w:r>
      <w:r w:rsidR="00F701BC">
        <w:t xml:space="preserve">a pupil </w:t>
      </w:r>
      <w:r w:rsidR="00F701BC" w:rsidRPr="00BA6542">
        <w:rPr>
          <w:i/>
        </w:rPr>
        <w:t>must</w:t>
      </w:r>
      <w:r w:rsidR="00F701BC">
        <w:t xml:space="preserve"> </w:t>
      </w:r>
      <w:r w:rsidR="00BA6542">
        <w:t>be referred to</w:t>
      </w:r>
      <w:r w:rsidR="00F701BC" w:rsidRPr="00C12FB0">
        <w:t xml:space="preserve"> a SARB</w:t>
      </w:r>
      <w:r w:rsidR="00F701BC">
        <w:t xml:space="preserve"> or a similar truancy mediation program</w:t>
      </w:r>
      <w:r w:rsidR="00BA6542">
        <w:t>,</w:t>
      </w:r>
      <w:r w:rsidR="00F701BC">
        <w:t xml:space="preserve"> as</w:t>
      </w:r>
      <w:r w:rsidR="00F701BC" w:rsidRPr="00C12FB0">
        <w:t xml:space="preserve"> described in</w:t>
      </w:r>
      <w:r w:rsidR="00A738FC">
        <w:t xml:space="preserve"> section 48264.5,</w:t>
      </w:r>
      <w:r w:rsidR="00F701BC" w:rsidRPr="00C12FB0">
        <w:t xml:space="preserve"> subdivision (c)</w:t>
      </w:r>
      <w:r w:rsidR="00BA6542">
        <w:t>,</w:t>
      </w:r>
      <w:r w:rsidR="00F701BC">
        <w:t xml:space="preserve"> before she comes within the jurisdiction of the juvenile court</w:t>
      </w:r>
      <w:r w:rsidR="00BA6542">
        <w:t>,</w:t>
      </w:r>
      <w:r w:rsidR="00F701BC">
        <w:t xml:space="preserve"> as described in</w:t>
      </w:r>
      <w:r w:rsidR="00F701BC" w:rsidRPr="00C12FB0">
        <w:t xml:space="preserve"> subdivision</w:t>
      </w:r>
      <w:r w:rsidR="00A738FC">
        <w:t> </w:t>
      </w:r>
      <w:r w:rsidR="00F701BC" w:rsidRPr="00C12FB0">
        <w:t>(d)</w:t>
      </w:r>
      <w:r w:rsidRPr="00C12FB0">
        <w:t>.</w:t>
      </w:r>
      <w:r w:rsidR="00C12FB0" w:rsidRPr="00C12FB0">
        <w:t xml:space="preserve">  </w:t>
      </w:r>
      <w:r w:rsidR="002B2B69">
        <w:t xml:space="preserve">Although </w:t>
      </w:r>
      <w:r w:rsidR="003D718A" w:rsidRPr="003D718A">
        <w:t>A.N.</w:t>
      </w:r>
      <w:r w:rsidR="002B2B69">
        <w:t xml:space="preserve"> acknowledges that subdivision</w:t>
      </w:r>
      <w:r w:rsidR="00A738FC">
        <w:t> </w:t>
      </w:r>
      <w:r w:rsidR="002B2B69">
        <w:t xml:space="preserve">(c) </w:t>
      </w:r>
      <w:r w:rsidR="00AF2ACB">
        <w:t xml:space="preserve">provides that a habitual truant “may” be </w:t>
      </w:r>
      <w:r w:rsidR="002B2B69">
        <w:t>referr</w:t>
      </w:r>
      <w:r w:rsidR="00AF2ACB">
        <w:t>ed</w:t>
      </w:r>
      <w:r w:rsidR="002B2B69">
        <w:t xml:space="preserve"> to a SARB</w:t>
      </w:r>
      <w:r w:rsidR="009B26A3">
        <w:t xml:space="preserve"> or a similar truancy mediation program</w:t>
      </w:r>
      <w:r w:rsidR="002B2B69">
        <w:t>, she contends that th</w:t>
      </w:r>
      <w:r w:rsidR="00D1689A">
        <w:t>is</w:t>
      </w:r>
      <w:r w:rsidR="00AF2ACB">
        <w:t xml:space="preserve"> discretionary language </w:t>
      </w:r>
      <w:r w:rsidR="002B2B69">
        <w:t xml:space="preserve">merely </w:t>
      </w:r>
      <w:r w:rsidR="00AB00E2">
        <w:t>“reflect[s] the reality that not every county has established a SARB.”</w:t>
      </w:r>
      <w:r w:rsidR="002B2B69">
        <w:t xml:space="preserve">  In </w:t>
      </w:r>
      <w:r w:rsidR="00AF2ACB">
        <w:t>other words</w:t>
      </w:r>
      <w:r w:rsidR="002B2B69">
        <w:t>,</w:t>
      </w:r>
      <w:r w:rsidR="00D1689A">
        <w:t xml:space="preserve"> she </w:t>
      </w:r>
      <w:r w:rsidR="00520E6B">
        <w:t>claims</w:t>
      </w:r>
      <w:r w:rsidR="00D1689A">
        <w:t xml:space="preserve"> </w:t>
      </w:r>
      <w:bookmarkStart w:id="6" w:name="_Hlk34725229"/>
      <w:r w:rsidR="00D1689A">
        <w:t>that</w:t>
      </w:r>
      <w:r w:rsidR="002B2B69">
        <w:t xml:space="preserve"> i</w:t>
      </w:r>
      <w:r w:rsidR="000836B0">
        <w:t>nitial referral to a SARB is still required in any county that has established one.</w:t>
      </w:r>
      <w:bookmarkEnd w:id="6"/>
    </w:p>
    <w:p w14:paraId="047F9099" w14:textId="09DD509F" w:rsidR="00E72006" w:rsidRDefault="003D718A" w:rsidP="009B199E">
      <w:pPr>
        <w:tabs>
          <w:tab w:val="left" w:pos="720"/>
        </w:tabs>
        <w:contextualSpacing/>
      </w:pPr>
      <w:r>
        <w:tab/>
      </w:r>
      <w:r w:rsidR="00C12FB0">
        <w:t>For support</w:t>
      </w:r>
      <w:r w:rsidR="00C12FB0" w:rsidRPr="00C12FB0">
        <w:t xml:space="preserve">, </w:t>
      </w:r>
      <w:r w:rsidR="000836B0">
        <w:t>A.N. looks</w:t>
      </w:r>
      <w:r w:rsidR="00AB00E2">
        <w:t xml:space="preserve"> to </w:t>
      </w:r>
      <w:r w:rsidR="00AB00E2" w:rsidRPr="009B199E">
        <w:t>Senate Bill</w:t>
      </w:r>
      <w:r w:rsidR="006B5873">
        <w:t xml:space="preserve"> </w:t>
      </w:r>
      <w:r w:rsidR="00AB00E2" w:rsidRPr="009B199E">
        <w:t>1728</w:t>
      </w:r>
      <w:r w:rsidR="00AB00E2">
        <w:t xml:space="preserve">’s </w:t>
      </w:r>
      <w:r w:rsidR="00BC39AA">
        <w:t>legislative</w:t>
      </w:r>
      <w:r w:rsidR="00AB00E2">
        <w:t xml:space="preserve"> history.  Specifically, </w:t>
      </w:r>
      <w:r w:rsidR="000836B0">
        <w:t>she</w:t>
      </w:r>
      <w:r w:rsidR="00D66CEF" w:rsidRPr="00C12FB0">
        <w:t xml:space="preserve"> </w:t>
      </w:r>
      <w:r w:rsidR="00BC520E" w:rsidRPr="005E00EC">
        <w:t>points to</w:t>
      </w:r>
      <w:r w:rsidR="005A1C08" w:rsidRPr="005E00EC">
        <w:t xml:space="preserve"> </w:t>
      </w:r>
      <w:r w:rsidR="004A3100" w:rsidRPr="005E00EC">
        <w:t>a bill analysis</w:t>
      </w:r>
      <w:r w:rsidR="000836B0">
        <w:t xml:space="preserve"> prepared </w:t>
      </w:r>
      <w:r w:rsidR="004A3100" w:rsidRPr="005E00EC">
        <w:t>by the Assembly Committee on Public Safety, which commented:  “</w:t>
      </w:r>
      <w:r w:rsidR="004A3100" w:rsidRPr="000836B0">
        <w:rPr>
          <w:i/>
        </w:rPr>
        <w:t>Upon the failure of the earlier steps</w:t>
      </w:r>
      <w:r w:rsidR="004A3100" w:rsidRPr="005E00EC">
        <w:t xml:space="preserve"> to alleviate the truancy problem, the juvenile court may exert jurisdiction over the minor pupil.</w:t>
      </w:r>
      <w:r w:rsidR="009B199E">
        <w:t xml:space="preserve"> . . .  </w:t>
      </w:r>
      <w:r w:rsidR="009B199E" w:rsidRPr="000836B0">
        <w:rPr>
          <w:i/>
        </w:rPr>
        <w:t xml:space="preserve">Court intervention is reserved until after other </w:t>
      </w:r>
      <w:r w:rsidR="009B199E" w:rsidRPr="000836B0">
        <w:rPr>
          <w:i/>
        </w:rPr>
        <w:lastRenderedPageBreak/>
        <w:t>steps have failed</w:t>
      </w:r>
      <w:r w:rsidR="009B199E">
        <w:t>, so as not to overburden already heavy court calendars until necessary.</w:t>
      </w:r>
      <w:r w:rsidR="004A3100" w:rsidRPr="005E00EC">
        <w:t>”  (Assem. Com. on Pub. Safety, Rep. on Sen. Bill No.</w:t>
      </w:r>
      <w:r w:rsidR="006B5873">
        <w:t xml:space="preserve"> </w:t>
      </w:r>
      <w:r w:rsidR="004A3100" w:rsidRPr="005E00EC">
        <w:t>1728 (1993</w:t>
      </w:r>
      <w:r w:rsidR="004A3100">
        <w:t>–</w:t>
      </w:r>
      <w:r w:rsidR="004A3100" w:rsidRPr="005E00EC">
        <w:t xml:space="preserve">1994 Reg Sess.) as amended June 30, 1994, </w:t>
      </w:r>
      <w:r w:rsidR="009B199E">
        <w:t>p. </w:t>
      </w:r>
      <w:r w:rsidR="00A738FC">
        <w:t>3</w:t>
      </w:r>
      <w:r w:rsidR="000836B0">
        <w:t>, italics added</w:t>
      </w:r>
      <w:r w:rsidR="000836B0" w:rsidRPr="009E3526">
        <w:t>.</w:t>
      </w:r>
      <w:r w:rsidR="004A3100" w:rsidRPr="009E3526">
        <w:t xml:space="preserve">)  </w:t>
      </w:r>
      <w:r w:rsidR="00AB00E2" w:rsidRPr="001F669A">
        <w:t>Likewise, s</w:t>
      </w:r>
      <w:r w:rsidR="004A3100" w:rsidRPr="001F669A">
        <w:t xml:space="preserve">he cites </w:t>
      </w:r>
      <w:r w:rsidR="005A1C08" w:rsidRPr="001F669A">
        <w:t>the</w:t>
      </w:r>
      <w:r w:rsidR="00BC520E" w:rsidRPr="001F669A">
        <w:t xml:space="preserve"> </w:t>
      </w:r>
      <w:r w:rsidR="009E3526" w:rsidRPr="001F669A">
        <w:t>L</w:t>
      </w:r>
      <w:r w:rsidR="00A409FE" w:rsidRPr="001F669A">
        <w:t xml:space="preserve">egislative </w:t>
      </w:r>
      <w:r w:rsidR="009E3526" w:rsidRPr="001F669A">
        <w:t>C</w:t>
      </w:r>
      <w:r w:rsidR="00A409FE" w:rsidRPr="001F669A">
        <w:t>ounsel’s s</w:t>
      </w:r>
      <w:r w:rsidR="007968EC" w:rsidRPr="001F669A">
        <w:t>ummary</w:t>
      </w:r>
      <w:r w:rsidR="00BC520E" w:rsidRPr="001F669A">
        <w:t xml:space="preserve"> </w:t>
      </w:r>
      <w:r w:rsidR="00A409FE" w:rsidRPr="001F669A">
        <w:t>d</w:t>
      </w:r>
      <w:r w:rsidR="00BC520E" w:rsidRPr="001F669A">
        <w:t>igest, which stated</w:t>
      </w:r>
      <w:r w:rsidR="00CA0009" w:rsidRPr="001F669A">
        <w:t xml:space="preserve">:  </w:t>
      </w:r>
      <w:r w:rsidR="00BC520E" w:rsidRPr="001F669A">
        <w:t xml:space="preserve">“This bill would provide that if a pupil </w:t>
      </w:r>
      <w:r w:rsidR="00BC520E" w:rsidRPr="001F669A">
        <w:rPr>
          <w:i/>
        </w:rPr>
        <w:t xml:space="preserve">who has attended certain programs including a school attendance </w:t>
      </w:r>
      <w:r w:rsidR="00BC520E" w:rsidRPr="00F84F70">
        <w:rPr>
          <w:i/>
        </w:rPr>
        <w:t>review board program</w:t>
      </w:r>
      <w:r w:rsidR="00BC520E" w:rsidRPr="009B199E">
        <w:t xml:space="preserve">, </w:t>
      </w:r>
      <w:r w:rsidR="00BC520E" w:rsidRPr="005E00EC">
        <w:t>has a 4th truancy in the same school year, the pupil shall be classified as an habitual truant, within the jurisdiction of the of the court.”  (Legis. Counsel’s Dig., Sen. Bill No.</w:t>
      </w:r>
      <w:r w:rsidR="006B5873">
        <w:t xml:space="preserve"> </w:t>
      </w:r>
      <w:r w:rsidR="00BC520E" w:rsidRPr="005E00EC">
        <w:t>1728 (1993</w:t>
      </w:r>
      <w:r w:rsidR="00D66CEF">
        <w:t>–</w:t>
      </w:r>
      <w:r w:rsidR="00BC520E" w:rsidRPr="005E00EC">
        <w:t>1994 Reg. Sess.)</w:t>
      </w:r>
      <w:r w:rsidR="00193189">
        <w:t xml:space="preserve"> </w:t>
      </w:r>
      <w:r w:rsidR="00DA7AB1">
        <w:t>5</w:t>
      </w:r>
      <w:r w:rsidR="007968EC">
        <w:t xml:space="preserve"> </w:t>
      </w:r>
      <w:r w:rsidR="007968EC" w:rsidRPr="005E00EC">
        <w:t>Stats. 1994</w:t>
      </w:r>
      <w:r w:rsidR="007968EC">
        <w:t>, Summary Dig., p. 417</w:t>
      </w:r>
      <w:r w:rsidR="00F84F70">
        <w:t>, italics added</w:t>
      </w:r>
      <w:r w:rsidR="00BC520E" w:rsidRPr="005E00EC">
        <w:t>.)</w:t>
      </w:r>
      <w:r w:rsidR="00C12FB0">
        <w:t xml:space="preserve">  </w:t>
      </w:r>
      <w:r w:rsidR="000836B0">
        <w:t>According to A.N.,</w:t>
      </w:r>
      <w:r w:rsidR="00C12FB0">
        <w:t xml:space="preserve"> </w:t>
      </w:r>
      <w:r w:rsidR="00C12FB0" w:rsidRPr="00C12FB0">
        <w:t>th</w:t>
      </w:r>
      <w:r w:rsidR="00AB00E2">
        <w:t>is</w:t>
      </w:r>
      <w:r w:rsidR="00C12FB0" w:rsidRPr="00C12FB0">
        <w:t xml:space="preserve"> legislative history “makes clear” that the Legislature intended to </w:t>
      </w:r>
      <w:r w:rsidR="00C12FB0" w:rsidRPr="00C12FB0">
        <w:rPr>
          <w:i/>
        </w:rPr>
        <w:t>keep</w:t>
      </w:r>
      <w:r w:rsidR="00C12FB0" w:rsidRPr="00C12FB0">
        <w:t xml:space="preserve"> the requirement that a minor be referred to a SARB or a similar truancy mediation program before the juvenile court.</w:t>
      </w:r>
    </w:p>
    <w:p w14:paraId="5706F53C" w14:textId="6D1E0C6E" w:rsidR="00C12FB0" w:rsidRDefault="00C12FB0" w:rsidP="00C12FB0">
      <w:pPr>
        <w:tabs>
          <w:tab w:val="left" w:pos="720"/>
        </w:tabs>
        <w:contextualSpacing/>
      </w:pPr>
      <w:r>
        <w:tab/>
      </w:r>
      <w:r w:rsidR="00C655B3">
        <w:t xml:space="preserve">First, we </w:t>
      </w:r>
      <w:r w:rsidR="000836B0">
        <w:t>observe</w:t>
      </w:r>
      <w:r w:rsidR="00C655B3">
        <w:t xml:space="preserve"> that nothing</w:t>
      </w:r>
      <w:r w:rsidRPr="00A86127">
        <w:t xml:space="preserve"> in the current statutory scheme </w:t>
      </w:r>
      <w:r w:rsidR="00CA20BB">
        <w:t xml:space="preserve">expressly </w:t>
      </w:r>
      <w:r>
        <w:rPr>
          <w:i/>
        </w:rPr>
        <w:t>requires</w:t>
      </w:r>
      <w:r>
        <w:t xml:space="preserve"> init</w:t>
      </w:r>
      <w:r w:rsidRPr="00A86127">
        <w:t>ial referral to a SARB or a similar truancy mediation program.</w:t>
      </w:r>
      <w:r w:rsidR="00C655B3">
        <w:t xml:space="preserve">  S</w:t>
      </w:r>
      <w:r w:rsidR="00C655B3" w:rsidRPr="00A86127">
        <w:t>ection 48264.5</w:t>
      </w:r>
      <w:r w:rsidR="00C655B3">
        <w:t>’s subdivisions refer to actions that “may” be taken in response to a pupil’s continued truancy</w:t>
      </w:r>
      <w:r w:rsidR="000836B0">
        <w:t xml:space="preserve"> or failure to complete assigned programs</w:t>
      </w:r>
      <w:r w:rsidR="00AF2ACB">
        <w:t>.  S</w:t>
      </w:r>
      <w:r w:rsidR="00520E6B">
        <w:t xml:space="preserve">pecifically, </w:t>
      </w:r>
      <w:r w:rsidR="009C1B1F">
        <w:t xml:space="preserve">section 48264.5, </w:t>
      </w:r>
      <w:r w:rsidR="00520E6B">
        <w:t>s</w:t>
      </w:r>
      <w:r w:rsidR="000836B0">
        <w:t>ubdivision</w:t>
      </w:r>
      <w:r w:rsidR="009C1B1F">
        <w:t> </w:t>
      </w:r>
      <w:r w:rsidR="000836B0">
        <w:t xml:space="preserve">(c) </w:t>
      </w:r>
      <w:r w:rsidR="003E6194">
        <w:t xml:space="preserve">states </w:t>
      </w:r>
      <w:r w:rsidR="000836B0">
        <w:t>that a</w:t>
      </w:r>
      <w:r w:rsidR="00C655B3">
        <w:t xml:space="preserve"> </w:t>
      </w:r>
      <w:r w:rsidR="000836B0">
        <w:t>habitual truant</w:t>
      </w:r>
      <w:r w:rsidR="00AF2ACB">
        <w:t xml:space="preserve"> </w:t>
      </w:r>
      <w:r w:rsidR="00C655B3">
        <w:t>“</w:t>
      </w:r>
      <w:r w:rsidR="00C655B3" w:rsidRPr="00A86127">
        <w:rPr>
          <w:i/>
        </w:rPr>
        <w:t>may</w:t>
      </w:r>
      <w:r w:rsidR="00C655B3" w:rsidRPr="00A86127">
        <w:t xml:space="preserve"> be referred to, and required to attend, an attendance review board</w:t>
      </w:r>
      <w:r w:rsidR="00BF4023">
        <w:t> . . </w:t>
      </w:r>
      <w:r w:rsidR="000836B0">
        <w:t>.</w:t>
      </w:r>
      <w:r w:rsidR="009C1B1F">
        <w:t> .</w:t>
      </w:r>
      <w:r w:rsidR="00C655B3">
        <w:t>”</w:t>
      </w:r>
      <w:r w:rsidR="00C655B3" w:rsidRPr="00A86127">
        <w:t xml:space="preserve">  (</w:t>
      </w:r>
      <w:r w:rsidR="005E4ABD">
        <w:t>I</w:t>
      </w:r>
      <w:r w:rsidR="00C655B3" w:rsidRPr="00A86127">
        <w:t xml:space="preserve">talics added).  </w:t>
      </w:r>
      <w:r w:rsidR="003E6194">
        <w:t xml:space="preserve">We are not persuaded by A.N.’s argument that this </w:t>
      </w:r>
      <w:r w:rsidR="003E6194" w:rsidRPr="003D718A">
        <w:t>discretionary language</w:t>
      </w:r>
      <w:r w:rsidR="003E6194">
        <w:t xml:space="preserve"> merely “reflect[s] the reality that not every county has established a SARB,” because </w:t>
      </w:r>
      <w:r w:rsidR="0040356A">
        <w:t xml:space="preserve">the </w:t>
      </w:r>
      <w:r w:rsidR="003E6194">
        <w:t>subdivision also provides that a habitual truant</w:t>
      </w:r>
      <w:r w:rsidR="00BF4023">
        <w:t xml:space="preserve"> “</w:t>
      </w:r>
      <w:r w:rsidR="00BF4023" w:rsidRPr="00A86127">
        <w:rPr>
          <w:i/>
        </w:rPr>
        <w:t>may</w:t>
      </w:r>
      <w:r w:rsidR="0040356A">
        <w:t xml:space="preserve">” be </w:t>
      </w:r>
      <w:r w:rsidR="0040356A" w:rsidRPr="0040356A">
        <w:t xml:space="preserve"> referred to and required to attend</w:t>
      </w:r>
      <w:r w:rsidR="0040356A">
        <w:t xml:space="preserve"> “</w:t>
      </w:r>
      <w:r w:rsidR="00BF4023" w:rsidRPr="00BF4023">
        <w:t>a truancy mediation program pursuant to Section 48263 or pursuant to Section 601.3 of the Welfare and Institutions Code</w:t>
      </w:r>
      <w:r w:rsidR="00BF4023">
        <w:t xml:space="preserve">” </w:t>
      </w:r>
      <w:r w:rsidR="00BF4023">
        <w:rPr>
          <w:i/>
        </w:rPr>
        <w:t>or</w:t>
      </w:r>
      <w:r w:rsidR="00BF4023">
        <w:t>, in a school district that does not have such a program, “a</w:t>
      </w:r>
      <w:r w:rsidR="003E6194" w:rsidRPr="003E6194">
        <w:t xml:space="preserve"> comparable program deemed acceptable by the school district</w:t>
      </w:r>
      <w:r w:rsidR="003E6194">
        <w:t>’</w:t>
      </w:r>
      <w:r w:rsidR="003E6194" w:rsidRPr="003E6194">
        <w:t xml:space="preserve">s </w:t>
      </w:r>
      <w:r w:rsidR="003E6194" w:rsidRPr="003E6194">
        <w:lastRenderedPageBreak/>
        <w:t>attendance supervisor</w:t>
      </w:r>
      <w:r w:rsidR="0040356A">
        <w:t>.</w:t>
      </w:r>
      <w:r w:rsidR="003E6194">
        <w:t>”  (</w:t>
      </w:r>
      <w:r w:rsidR="009C1B1F">
        <w:rPr>
          <w:i/>
        </w:rPr>
        <w:t>Ibid.</w:t>
      </w:r>
      <w:r w:rsidR="009C1B1F">
        <w:t>, i</w:t>
      </w:r>
      <w:r w:rsidR="003E6194">
        <w:t xml:space="preserve">talics added.)  </w:t>
      </w:r>
      <w:bookmarkStart w:id="7" w:name="_Hlk37967392"/>
      <w:r w:rsidR="000836B0">
        <w:t>Similarly</w:t>
      </w:r>
      <w:r w:rsidR="00C655B3">
        <w:t xml:space="preserve">, </w:t>
      </w:r>
      <w:r w:rsidR="00C655B3" w:rsidRPr="00A86127">
        <w:t xml:space="preserve">section 48263, subdivision (a) states that </w:t>
      </w:r>
      <w:r w:rsidR="00A67E9B">
        <w:t xml:space="preserve">a </w:t>
      </w:r>
      <w:r w:rsidR="00A67E9B">
        <w:rPr>
          <w:rFonts w:cstheme="minorHAnsi"/>
          <w:szCs w:val="26"/>
        </w:rPr>
        <w:t xml:space="preserve">school district </w:t>
      </w:r>
      <w:r w:rsidR="00BE7900">
        <w:rPr>
          <w:rFonts w:cstheme="minorHAnsi"/>
          <w:szCs w:val="26"/>
        </w:rPr>
        <w:t xml:space="preserve">attendance </w:t>
      </w:r>
      <w:r w:rsidR="00A67E9B">
        <w:rPr>
          <w:rFonts w:cstheme="minorHAnsi"/>
          <w:szCs w:val="26"/>
        </w:rPr>
        <w:t xml:space="preserve">supervisor or another designated school official </w:t>
      </w:r>
      <w:r w:rsidR="00C655B3" w:rsidRPr="00A86127">
        <w:t>“</w:t>
      </w:r>
      <w:r w:rsidR="00C655B3" w:rsidRPr="00A86127">
        <w:rPr>
          <w:i/>
        </w:rPr>
        <w:t>may</w:t>
      </w:r>
      <w:r w:rsidR="00A67E9B">
        <w:t>”</w:t>
      </w:r>
      <w:r w:rsidR="00C655B3" w:rsidRPr="00A86127">
        <w:t xml:space="preserve"> refer </w:t>
      </w:r>
      <w:r w:rsidR="00A67E9B">
        <w:t>a habitual truant “</w:t>
      </w:r>
      <w:r w:rsidR="00C655B3" w:rsidRPr="00A86127">
        <w:t>to a school attendance review board</w:t>
      </w:r>
      <w:r w:rsidR="009C1B1F">
        <w:t>,</w:t>
      </w:r>
      <w:r w:rsidR="00C655B3" w:rsidRPr="00A86127">
        <w:t xml:space="preserve"> or to the probation department for services</w:t>
      </w:r>
      <w:r w:rsidR="00327335">
        <w:t xml:space="preserve"> </w:t>
      </w:r>
      <w:r w:rsidR="00327335" w:rsidRPr="00327335">
        <w:t>if the probation department has elected to receive these referrals</w:t>
      </w:r>
      <w:r w:rsidR="003D718A">
        <w:t>.</w:t>
      </w:r>
      <w:r w:rsidR="00C655B3" w:rsidRPr="00A86127">
        <w:t>”  (</w:t>
      </w:r>
      <w:r w:rsidR="005E4ABD">
        <w:t>I</w:t>
      </w:r>
      <w:r w:rsidR="00C655B3" w:rsidRPr="00A86127">
        <w:t>talics added.)</w:t>
      </w:r>
      <w:r w:rsidR="00C655B3">
        <w:t xml:space="preserve">  </w:t>
      </w:r>
      <w:bookmarkEnd w:id="7"/>
      <w:r w:rsidR="00AF2ACB">
        <w:t xml:space="preserve">Because </w:t>
      </w:r>
      <w:r w:rsidR="000836B0" w:rsidRPr="009B199E">
        <w:t>Senate Bill</w:t>
      </w:r>
      <w:r w:rsidR="006B5873">
        <w:t xml:space="preserve"> </w:t>
      </w:r>
      <w:r w:rsidR="000836B0" w:rsidRPr="009B199E">
        <w:t>1728</w:t>
      </w:r>
      <w:r w:rsidR="000836B0">
        <w:t xml:space="preserve"> </w:t>
      </w:r>
      <w:r w:rsidR="00C655B3">
        <w:t>repeal</w:t>
      </w:r>
      <w:r w:rsidR="00AF2ACB">
        <w:t>ed</w:t>
      </w:r>
      <w:r w:rsidR="00C655B3">
        <w:t xml:space="preserve"> former section 601.1</w:t>
      </w:r>
      <w:r w:rsidR="000836B0">
        <w:t xml:space="preserve"> of the Welfare and Institutions Code</w:t>
      </w:r>
      <w:r w:rsidR="00AF2ACB">
        <w:t xml:space="preserve">, </w:t>
      </w:r>
      <w:r w:rsidR="00C655B3">
        <w:t>which</w:t>
      </w:r>
      <w:r w:rsidR="000836B0">
        <w:t xml:space="preserve"> </w:t>
      </w:r>
      <w:r w:rsidR="00C655B3">
        <w:t xml:space="preserve">provided that a </w:t>
      </w:r>
      <w:r w:rsidR="000836B0">
        <w:t xml:space="preserve">habitual truant </w:t>
      </w:r>
      <w:r w:rsidR="00C655B3">
        <w:t>“</w:t>
      </w:r>
      <w:r w:rsidR="00C655B3" w:rsidRPr="00C655B3">
        <w:t>shall</w:t>
      </w:r>
      <w:r w:rsidR="00C655B3">
        <w:t xml:space="preserve">” be referred to a SARB or </w:t>
      </w:r>
      <w:r w:rsidR="00AF2ACB">
        <w:t xml:space="preserve">a </w:t>
      </w:r>
      <w:r w:rsidR="00C655B3">
        <w:t>similar truancy mediation program</w:t>
      </w:r>
      <w:r w:rsidR="00CA20BB">
        <w:t xml:space="preserve"> before the juvenile court</w:t>
      </w:r>
      <w:r w:rsidR="00AF2ACB">
        <w:t xml:space="preserve">, </w:t>
      </w:r>
      <w:r w:rsidR="00C655B3">
        <w:t xml:space="preserve">and </w:t>
      </w:r>
      <w:r w:rsidR="00AF2ACB">
        <w:t xml:space="preserve">because </w:t>
      </w:r>
      <w:r w:rsidR="009247F0">
        <w:t xml:space="preserve">current </w:t>
      </w:r>
      <w:r w:rsidR="009C1B1F">
        <w:t xml:space="preserve">Education Code </w:t>
      </w:r>
      <w:r w:rsidR="008A1F6C">
        <w:t>sections 48263 and 48264.5 consistently use</w:t>
      </w:r>
      <w:r w:rsidR="00C655B3" w:rsidRPr="00C655B3">
        <w:t xml:space="preserve"> </w:t>
      </w:r>
      <w:r w:rsidR="00C655B3">
        <w:t>“may”</w:t>
      </w:r>
      <w:r w:rsidR="005238E7">
        <w:t xml:space="preserve"> </w:t>
      </w:r>
      <w:r w:rsidR="008A1F6C">
        <w:t xml:space="preserve">to describe referrals to </w:t>
      </w:r>
      <w:r w:rsidR="005E4ABD">
        <w:t>such</w:t>
      </w:r>
      <w:r w:rsidR="009247F0">
        <w:t xml:space="preserve"> program</w:t>
      </w:r>
      <w:r w:rsidR="005E4ABD">
        <w:t>s</w:t>
      </w:r>
      <w:r w:rsidR="00CA20BB">
        <w:t xml:space="preserve">, </w:t>
      </w:r>
      <w:r w:rsidR="00AF2ACB">
        <w:t>we</w:t>
      </w:r>
      <w:r w:rsidR="00C655B3">
        <w:t xml:space="preserve"> </w:t>
      </w:r>
      <w:r w:rsidR="00BE7900">
        <w:t xml:space="preserve">understand </w:t>
      </w:r>
      <w:r w:rsidR="00BF4023">
        <w:t>the</w:t>
      </w:r>
      <w:r w:rsidR="008A1F6C">
        <w:t xml:space="preserve"> discretionary language of the statutory scheme </w:t>
      </w:r>
      <w:r w:rsidR="00BE7900">
        <w:t>to authorize, but not require, school officials to initially refer habitual truants to</w:t>
      </w:r>
      <w:r w:rsidR="008A1F6C" w:rsidRPr="005E4ABD">
        <w:t xml:space="preserve"> SARB</w:t>
      </w:r>
      <w:r w:rsidR="00BE7900">
        <w:t>s</w:t>
      </w:r>
      <w:r w:rsidR="008A1F6C" w:rsidRPr="005E4ABD">
        <w:t xml:space="preserve"> or similar truancy mediation program</w:t>
      </w:r>
      <w:r w:rsidR="00BE7900">
        <w:t>s</w:t>
      </w:r>
      <w:r w:rsidR="005E4ABD">
        <w:t xml:space="preserve">. </w:t>
      </w:r>
      <w:r w:rsidR="00C655B3">
        <w:t xml:space="preserve"> </w:t>
      </w:r>
      <w:r w:rsidR="00C655B3" w:rsidRPr="00A86127">
        <w:t>(</w:t>
      </w:r>
      <w:r w:rsidR="005238E7">
        <w:t xml:space="preserve">See </w:t>
      </w:r>
      <w:r w:rsidR="00C655B3" w:rsidRPr="00A86127">
        <w:rPr>
          <w:i/>
        </w:rPr>
        <w:t>In re Richard E.</w:t>
      </w:r>
      <w:r w:rsidR="00C655B3" w:rsidRPr="00A86127">
        <w:t xml:space="preserve"> (1978) 21 Cal.3d 349, 354</w:t>
      </w:r>
      <w:r w:rsidR="00C655B3">
        <w:t xml:space="preserve"> [</w:t>
      </w:r>
      <w:r w:rsidR="00C655B3" w:rsidRPr="00A86127">
        <w:t>“The ordinary import of ‘may’ is a grant of discretion</w:t>
      </w:r>
      <w:r w:rsidR="00C655B3">
        <w:t>.</w:t>
      </w:r>
      <w:r w:rsidR="00C655B3" w:rsidRPr="008A7FE8">
        <w:t>”</w:t>
      </w:r>
      <w:r w:rsidR="00C655B3">
        <w:t>]</w:t>
      </w:r>
      <w:r w:rsidR="00C655B3" w:rsidRPr="00A86127">
        <w:t>)</w:t>
      </w:r>
    </w:p>
    <w:p w14:paraId="3B3BA698" w14:textId="680654E9" w:rsidR="000E5A47" w:rsidRPr="00990C70" w:rsidRDefault="00E72006" w:rsidP="005E00EC">
      <w:pPr>
        <w:tabs>
          <w:tab w:val="left" w:pos="720"/>
        </w:tabs>
        <w:contextualSpacing/>
      </w:pPr>
      <w:r>
        <w:tab/>
      </w:r>
      <w:r w:rsidR="005238E7">
        <w:t xml:space="preserve">Second, we </w:t>
      </w:r>
      <w:r w:rsidR="000836B0">
        <w:t>note</w:t>
      </w:r>
      <w:r w:rsidR="005238E7">
        <w:t xml:space="preserve"> </w:t>
      </w:r>
      <w:r w:rsidR="00C12FB0">
        <w:t>that m</w:t>
      </w:r>
      <w:r w:rsidR="004A3100">
        <w:t>ultiple analyses</w:t>
      </w:r>
      <w:r w:rsidR="005238E7">
        <w:t xml:space="preserve"> of Senate Bill</w:t>
      </w:r>
      <w:r w:rsidR="006B5873">
        <w:t xml:space="preserve"> </w:t>
      </w:r>
      <w:r w:rsidR="005238E7">
        <w:t>1728</w:t>
      </w:r>
      <w:r w:rsidR="004A3100">
        <w:t xml:space="preserve"> informed legislators</w:t>
      </w:r>
      <w:r w:rsidR="00C12FB0">
        <w:t xml:space="preserve"> </w:t>
      </w:r>
      <w:r w:rsidR="005238E7">
        <w:t xml:space="preserve">that the bill would </w:t>
      </w:r>
      <w:r w:rsidR="005238E7" w:rsidRPr="005238E7">
        <w:t>repeal</w:t>
      </w:r>
      <w:r w:rsidR="005238E7" w:rsidRPr="00C12FB0">
        <w:t xml:space="preserve"> the requirement that a minor be referred to a SARB or a similar truancy mediation program before the juvenile court</w:t>
      </w:r>
      <w:r w:rsidR="004A3100">
        <w:t xml:space="preserve">.  </w:t>
      </w:r>
      <w:r w:rsidR="004A3100" w:rsidRPr="004A3100">
        <w:t xml:space="preserve">(See, e.g., Assem. Com. </w:t>
      </w:r>
      <w:r w:rsidR="009C1B1F">
        <w:t xml:space="preserve">on </w:t>
      </w:r>
      <w:r w:rsidR="004A3100" w:rsidRPr="004A3100">
        <w:t>Ed</w:t>
      </w:r>
      <w:r w:rsidR="009C1B1F">
        <w:t>ucation</w:t>
      </w:r>
      <w:r w:rsidR="004A3100" w:rsidRPr="004A3100">
        <w:t>, Analysis of Sen. Bill No.</w:t>
      </w:r>
      <w:r w:rsidR="006B5873">
        <w:t xml:space="preserve"> </w:t>
      </w:r>
      <w:r w:rsidR="004A3100" w:rsidRPr="004A3100">
        <w:t>1728 (1993</w:t>
      </w:r>
      <w:r w:rsidR="00BA0FAA">
        <w:t>–</w:t>
      </w:r>
      <w:r w:rsidR="004A3100" w:rsidRPr="004A3100">
        <w:t>1994 Reg. Sess.) as amended June 30, 1994, pp.</w:t>
      </w:r>
      <w:r w:rsidR="00BA0FAA">
        <w:t> </w:t>
      </w:r>
      <w:r w:rsidR="004A3100" w:rsidRPr="004A3100">
        <w:t xml:space="preserve">1, 2; Sen. 3d reading </w:t>
      </w:r>
      <w:r w:rsidR="009C1B1F">
        <w:t xml:space="preserve">analysis </w:t>
      </w:r>
      <w:r w:rsidR="004A3100" w:rsidRPr="004A3100">
        <w:t>of Sen. Bill No.</w:t>
      </w:r>
      <w:r w:rsidR="00BA0FAA">
        <w:t> </w:t>
      </w:r>
      <w:r w:rsidR="004A3100" w:rsidRPr="004A3100">
        <w:t>1728 (1993</w:t>
      </w:r>
      <w:r w:rsidR="00E30113">
        <w:t>–</w:t>
      </w:r>
      <w:r w:rsidR="004A3100" w:rsidRPr="004A3100">
        <w:t>1994 Reg. Sess.) as amended Aug. 19, 1994, pp.</w:t>
      </w:r>
      <w:r w:rsidR="00BA0FAA">
        <w:t> </w:t>
      </w:r>
      <w:r w:rsidR="004A3100" w:rsidRPr="004A3100">
        <w:t>1, 2; Sen. 3d reading</w:t>
      </w:r>
      <w:r w:rsidR="009C1B1F">
        <w:t xml:space="preserve"> analysis</w:t>
      </w:r>
      <w:r w:rsidR="004A3100" w:rsidRPr="004A3100">
        <w:t xml:space="preserve"> of Sen. Bill No.</w:t>
      </w:r>
      <w:r w:rsidR="00BA0FAA">
        <w:t> </w:t>
      </w:r>
      <w:r w:rsidR="004A3100" w:rsidRPr="004A3100">
        <w:t>1728 (1993</w:t>
      </w:r>
      <w:r w:rsidR="00BA0FAA">
        <w:t>–</w:t>
      </w:r>
      <w:r w:rsidR="004A3100" w:rsidRPr="004A3100">
        <w:t>1994 Reg. Sess.) as amended Aug. 26, 1994, pp.</w:t>
      </w:r>
      <w:r w:rsidR="00BA0FAA">
        <w:t> </w:t>
      </w:r>
      <w:r w:rsidR="004A3100" w:rsidRPr="004A3100">
        <w:t>1, 2.)</w:t>
      </w:r>
      <w:r w:rsidR="00990C70">
        <w:t xml:space="preserve">  </w:t>
      </w:r>
      <w:r w:rsidR="00BA0FAA">
        <w:t>To this end</w:t>
      </w:r>
      <w:r w:rsidR="00990C70">
        <w:t xml:space="preserve">, </w:t>
      </w:r>
      <w:r w:rsidR="004A3100">
        <w:t>t</w:t>
      </w:r>
      <w:r w:rsidR="007968EC">
        <w:t xml:space="preserve">he </w:t>
      </w:r>
      <w:r w:rsidR="009E3526">
        <w:t>Legislative Counsel’s s</w:t>
      </w:r>
      <w:r w:rsidR="007968EC">
        <w:t xml:space="preserve">ummary </w:t>
      </w:r>
      <w:r w:rsidR="009E3526">
        <w:t>d</w:t>
      </w:r>
      <w:r w:rsidR="007968EC">
        <w:t>igest</w:t>
      </w:r>
      <w:r w:rsidR="00C12FB0">
        <w:t xml:space="preserve"> cited by A.N.</w:t>
      </w:r>
      <w:r w:rsidR="00F84F70">
        <w:t xml:space="preserve"> also </w:t>
      </w:r>
      <w:r w:rsidR="00204B24">
        <w:t>stated</w:t>
      </w:r>
      <w:r w:rsidR="009359B9">
        <w:t>:  “Under existing law, a juvenile who is an habitual truant is required to be referred</w:t>
      </w:r>
      <w:r w:rsidR="00A42AD7">
        <w:t xml:space="preserve"> </w:t>
      </w:r>
      <w:r w:rsidR="009359B9">
        <w:t>to a school attendance review board or truancy mediation program, before referral to the juvenile court. . . . [</w:t>
      </w:r>
      <w:r w:rsidR="009359B9" w:rsidRPr="009359B9">
        <w:t>¶</w:t>
      </w:r>
      <w:r w:rsidR="009359B9">
        <w:t xml:space="preserve">]  This bill would repeal the </w:t>
      </w:r>
      <w:r w:rsidR="009359B9">
        <w:lastRenderedPageBreak/>
        <w:t>section on referral to the school attendance review board or truancy mediation program</w:t>
      </w:r>
      <w:r w:rsidR="004B0C25">
        <w:t> </w:t>
      </w:r>
      <w:r w:rsidR="009359B9">
        <w:t xml:space="preserve">. . . .”  </w:t>
      </w:r>
      <w:r w:rsidR="00A42AD7" w:rsidRPr="005E00EC">
        <w:t>(</w:t>
      </w:r>
      <w:r w:rsidR="007968EC" w:rsidRPr="005E00EC">
        <w:t>Legis. Counsel’s Dig., Sen. Bill No.</w:t>
      </w:r>
      <w:r w:rsidR="007968EC">
        <w:t> </w:t>
      </w:r>
      <w:r w:rsidR="007968EC" w:rsidRPr="005E00EC">
        <w:t>1728 (1993</w:t>
      </w:r>
      <w:r w:rsidR="007968EC">
        <w:t>–</w:t>
      </w:r>
      <w:r w:rsidR="007968EC" w:rsidRPr="005E00EC">
        <w:t>1994 Reg. Sess.)</w:t>
      </w:r>
      <w:r w:rsidR="007968EC">
        <w:t xml:space="preserve"> </w:t>
      </w:r>
      <w:r w:rsidR="00D2087F">
        <w:t>5</w:t>
      </w:r>
      <w:r w:rsidR="007968EC">
        <w:t xml:space="preserve"> </w:t>
      </w:r>
      <w:r w:rsidR="007968EC" w:rsidRPr="005E00EC">
        <w:t>Stats. 1994</w:t>
      </w:r>
      <w:r w:rsidR="007968EC">
        <w:t>, Summary Dig., p. 41</w:t>
      </w:r>
      <w:r w:rsidR="007968EC" w:rsidRPr="00990C70">
        <w:t>7</w:t>
      </w:r>
      <w:r w:rsidR="004A3100" w:rsidRPr="00990C70">
        <w:t>.)</w:t>
      </w:r>
    </w:p>
    <w:p w14:paraId="0BFB8E0F" w14:textId="66539C98" w:rsidR="003F1AAF" w:rsidRDefault="004A3100" w:rsidP="004A3100">
      <w:pPr>
        <w:tabs>
          <w:tab w:val="left" w:pos="720"/>
        </w:tabs>
        <w:contextualSpacing/>
      </w:pPr>
      <w:r w:rsidRPr="00990C70">
        <w:tab/>
      </w:r>
      <w:r w:rsidR="00990C70" w:rsidRPr="00990C70">
        <w:t xml:space="preserve">Any </w:t>
      </w:r>
      <w:r w:rsidRPr="00990C70">
        <w:t>contradictory statements</w:t>
      </w:r>
      <w:r w:rsidR="00990C70" w:rsidRPr="00990C70">
        <w:t xml:space="preserve"> </w:t>
      </w:r>
      <w:r w:rsidR="001D0DC2" w:rsidRPr="00990C70">
        <w:t xml:space="preserve">in </w:t>
      </w:r>
      <w:r w:rsidR="00990C70" w:rsidRPr="00990C70">
        <w:t>Senate Bill</w:t>
      </w:r>
      <w:r w:rsidR="006B5873">
        <w:t xml:space="preserve"> </w:t>
      </w:r>
      <w:r w:rsidR="00990C70" w:rsidRPr="00990C70">
        <w:t xml:space="preserve">1728’s </w:t>
      </w:r>
      <w:r w:rsidR="001D0DC2" w:rsidRPr="00990C70">
        <w:t>legislative history may be explained by the Legislature’s joint</w:t>
      </w:r>
      <w:r w:rsidR="00204B24">
        <w:t xml:space="preserve"> </w:t>
      </w:r>
      <w:r w:rsidR="001D0DC2" w:rsidRPr="00990C70">
        <w:t>passage of Senate Bill</w:t>
      </w:r>
      <w:r w:rsidR="006B5873">
        <w:t xml:space="preserve"> </w:t>
      </w:r>
      <w:r w:rsidR="001D0DC2" w:rsidRPr="00990C70">
        <w:t>17</w:t>
      </w:r>
      <w:r w:rsidR="001D0DC2">
        <w:t>28 and Assembly Bill No.</w:t>
      </w:r>
      <w:r w:rsidR="00BA0FAA">
        <w:t> </w:t>
      </w:r>
      <w:r w:rsidR="001D0DC2">
        <w:t xml:space="preserve">2658 </w:t>
      </w:r>
      <w:r w:rsidR="003117E2">
        <w:t xml:space="preserve">(1993–1994 Reg. Sess.) </w:t>
      </w:r>
      <w:r w:rsidR="001D0DC2">
        <w:t>(Assembly Bill</w:t>
      </w:r>
      <w:r w:rsidR="00C20C58">
        <w:t xml:space="preserve"> </w:t>
      </w:r>
      <w:r w:rsidR="001D0DC2">
        <w:t>2658).</w:t>
      </w:r>
      <w:r w:rsidR="002E052A">
        <w:t xml:space="preserve"> </w:t>
      </w:r>
      <w:r w:rsidR="001D0DC2" w:rsidRPr="001D0DC2">
        <w:t xml:space="preserve"> </w:t>
      </w:r>
      <w:r w:rsidR="001A5F6E" w:rsidRPr="001A5F6E">
        <w:t xml:space="preserve">(Stats. 1994, </w:t>
      </w:r>
      <w:proofErr w:type="spellStart"/>
      <w:r w:rsidR="001A5F6E" w:rsidRPr="001A5F6E">
        <w:t>ch.</w:t>
      </w:r>
      <w:proofErr w:type="spellEnd"/>
      <w:r w:rsidR="001A5F6E" w:rsidRPr="001A5F6E">
        <w:t> 102</w:t>
      </w:r>
      <w:r w:rsidR="001A5F6E">
        <w:t>4</w:t>
      </w:r>
      <w:r w:rsidR="001A5F6E" w:rsidRPr="001A5F6E">
        <w:t>, p. 621</w:t>
      </w:r>
      <w:r w:rsidR="001A5F6E">
        <w:t>8.</w:t>
      </w:r>
      <w:r w:rsidR="001A5F6E" w:rsidRPr="001A5F6E">
        <w:t>)</w:t>
      </w:r>
      <w:r w:rsidR="001A5F6E">
        <w:t xml:space="preserve">  </w:t>
      </w:r>
      <w:r w:rsidR="001D0DC2">
        <w:t xml:space="preserve">As is relevant here, </w:t>
      </w:r>
      <w:r w:rsidR="001D0DC2" w:rsidRPr="001D0DC2">
        <w:t>S</w:t>
      </w:r>
      <w:r w:rsidR="001D0DC2">
        <w:t xml:space="preserve">enate </w:t>
      </w:r>
      <w:r w:rsidR="001D0DC2" w:rsidRPr="001D0DC2">
        <w:t>B</w:t>
      </w:r>
      <w:r w:rsidR="001D0DC2">
        <w:t>ill</w:t>
      </w:r>
      <w:r w:rsidR="006B5873">
        <w:t xml:space="preserve"> </w:t>
      </w:r>
      <w:r w:rsidR="001D0DC2" w:rsidRPr="001D0DC2">
        <w:t xml:space="preserve">1728 contained a </w:t>
      </w:r>
      <w:r w:rsidR="001D0DC2">
        <w:t xml:space="preserve">single </w:t>
      </w:r>
      <w:r w:rsidR="001D0DC2" w:rsidRPr="001D0DC2">
        <w:t xml:space="preserve">provision to repeal </w:t>
      </w:r>
      <w:r w:rsidR="00990C70">
        <w:t xml:space="preserve">former </w:t>
      </w:r>
      <w:r w:rsidR="001D0DC2">
        <w:t>section</w:t>
      </w:r>
      <w:r w:rsidR="001F6F07">
        <w:t xml:space="preserve"> </w:t>
      </w:r>
      <w:r w:rsidR="001D0DC2" w:rsidRPr="001D0DC2">
        <w:t>601.1</w:t>
      </w:r>
      <w:r w:rsidR="00BA0FAA">
        <w:t xml:space="preserve"> of the Welfare and Institutions Code</w:t>
      </w:r>
      <w:r w:rsidR="001D0DC2" w:rsidRPr="001D0DC2">
        <w:t xml:space="preserve"> (</w:t>
      </w:r>
      <w:r w:rsidR="003117E2" w:rsidRPr="00D11546">
        <w:t xml:space="preserve">Stats. 1994, </w:t>
      </w:r>
      <w:proofErr w:type="spellStart"/>
      <w:r w:rsidR="003117E2" w:rsidRPr="00D11546">
        <w:t>ch.</w:t>
      </w:r>
      <w:proofErr w:type="spellEnd"/>
      <w:r w:rsidR="003117E2" w:rsidRPr="00D11546">
        <w:t xml:space="preserve"> 1023, </w:t>
      </w:r>
      <w:r w:rsidR="003117E2" w:rsidRPr="003117E2">
        <w:t>§ 7, p. 6217)</w:t>
      </w:r>
      <w:r w:rsidR="001D0DC2" w:rsidRPr="003117E2">
        <w:t xml:space="preserve">, </w:t>
      </w:r>
      <w:r w:rsidR="00B65AAF" w:rsidRPr="003117E2">
        <w:t>but</w:t>
      </w:r>
      <w:r w:rsidR="001D0DC2" w:rsidRPr="001D0DC2">
        <w:t xml:space="preserve"> A</w:t>
      </w:r>
      <w:r w:rsidR="001D0DC2">
        <w:t xml:space="preserve">ssembly </w:t>
      </w:r>
      <w:r w:rsidR="001D0DC2" w:rsidRPr="001D0DC2">
        <w:t>B</w:t>
      </w:r>
      <w:r w:rsidR="001D0DC2">
        <w:t>ill</w:t>
      </w:r>
      <w:r w:rsidR="00C20C58">
        <w:t xml:space="preserve"> </w:t>
      </w:r>
      <w:r w:rsidR="001D0DC2" w:rsidRPr="001D0DC2">
        <w:t xml:space="preserve">2658 contained alternate provisions: </w:t>
      </w:r>
      <w:r w:rsidR="00990C70">
        <w:t xml:space="preserve"> </w:t>
      </w:r>
      <w:r w:rsidR="00B65AAF">
        <w:t>one that</w:t>
      </w:r>
      <w:r w:rsidR="001D0DC2" w:rsidRPr="001D0DC2">
        <w:t xml:space="preserve"> would</w:t>
      </w:r>
      <w:r w:rsidR="00990C70">
        <w:t xml:space="preserve"> </w:t>
      </w:r>
      <w:r w:rsidR="001D0DC2" w:rsidRPr="001D0DC2">
        <w:rPr>
          <w:i/>
          <w:iCs/>
        </w:rPr>
        <w:t>amend</w:t>
      </w:r>
      <w:r w:rsidR="00B65AAF">
        <w:t xml:space="preserve"> </w:t>
      </w:r>
      <w:r w:rsidR="00990C70">
        <w:t xml:space="preserve">former </w:t>
      </w:r>
      <w:r w:rsidR="00B65AAF">
        <w:t>section</w:t>
      </w:r>
      <w:r w:rsidR="001F6F07">
        <w:t xml:space="preserve"> </w:t>
      </w:r>
      <w:r w:rsidR="001D0DC2" w:rsidRPr="001D0DC2">
        <w:t xml:space="preserve">601.1, and </w:t>
      </w:r>
      <w:r w:rsidR="00B65AAF">
        <w:t>another that</w:t>
      </w:r>
      <w:r w:rsidR="001D0DC2" w:rsidRPr="001D0DC2">
        <w:t xml:space="preserve"> would</w:t>
      </w:r>
      <w:r w:rsidR="00990C70">
        <w:t xml:space="preserve"> </w:t>
      </w:r>
      <w:r w:rsidR="001D0DC2" w:rsidRPr="001D0DC2">
        <w:rPr>
          <w:i/>
          <w:iCs/>
        </w:rPr>
        <w:t>repeal</w:t>
      </w:r>
      <w:r w:rsidR="00990C70">
        <w:rPr>
          <w:i/>
          <w:iCs/>
        </w:rPr>
        <w:t xml:space="preserve"> </w:t>
      </w:r>
      <w:r w:rsidR="00990C70">
        <w:rPr>
          <w:iCs/>
        </w:rPr>
        <w:t xml:space="preserve">former </w:t>
      </w:r>
      <w:r w:rsidR="00B65AAF">
        <w:t>section 601.1 (</w:t>
      </w:r>
      <w:r w:rsidR="003117E2">
        <w:t xml:space="preserve">Stats. 1994, </w:t>
      </w:r>
      <w:proofErr w:type="spellStart"/>
      <w:r w:rsidR="003117E2">
        <w:t>ch.</w:t>
      </w:r>
      <w:proofErr w:type="spellEnd"/>
      <w:r w:rsidR="003117E2">
        <w:t> 1024</w:t>
      </w:r>
      <w:r w:rsidR="00B65AAF">
        <w:t>, §§ 5, 5.5</w:t>
      </w:r>
      <w:r w:rsidR="003117E2" w:rsidRPr="003117E2">
        <w:t>, pp.</w:t>
      </w:r>
      <w:r w:rsidR="003117E2">
        <w:t> </w:t>
      </w:r>
      <w:r w:rsidR="003117E2" w:rsidRPr="003117E2">
        <w:t>6222–6223</w:t>
      </w:r>
      <w:r w:rsidR="00B65AAF" w:rsidRPr="003117E2">
        <w:t>)</w:t>
      </w:r>
      <w:r w:rsidR="00BA0FAA" w:rsidRPr="003117E2">
        <w:t>.</w:t>
      </w:r>
      <w:r w:rsidR="00990C70">
        <w:t xml:space="preserve"> </w:t>
      </w:r>
      <w:r w:rsidR="001D0DC2" w:rsidRPr="001D0DC2">
        <w:t xml:space="preserve"> </w:t>
      </w:r>
      <w:r w:rsidR="004B0C25">
        <w:t>Assembly Bill 2658 clarified that i</w:t>
      </w:r>
      <w:r w:rsidR="00990C70">
        <w:t>f Senate Bill</w:t>
      </w:r>
      <w:r w:rsidR="006B5873">
        <w:t xml:space="preserve"> </w:t>
      </w:r>
      <w:r w:rsidR="00990C70">
        <w:t>1728 was enacted first and Assembly Bill</w:t>
      </w:r>
      <w:r w:rsidR="00C20C58">
        <w:t xml:space="preserve"> </w:t>
      </w:r>
      <w:r w:rsidR="00990C70">
        <w:t xml:space="preserve">2658 was enacted second, </w:t>
      </w:r>
      <w:r w:rsidR="009B26A3">
        <w:t>its</w:t>
      </w:r>
      <w:r w:rsidR="00B65AAF">
        <w:t xml:space="preserve"> provision </w:t>
      </w:r>
      <w:r w:rsidR="00B65AAF" w:rsidRPr="00990C70">
        <w:rPr>
          <w:i/>
        </w:rPr>
        <w:t>repealing</w:t>
      </w:r>
      <w:r w:rsidR="00B65AAF">
        <w:t xml:space="preserve"> </w:t>
      </w:r>
      <w:r w:rsidR="00990C70">
        <w:t xml:space="preserve">former </w:t>
      </w:r>
      <w:r w:rsidR="00B65AAF">
        <w:t>section</w:t>
      </w:r>
      <w:r w:rsidR="001F6F07">
        <w:t xml:space="preserve"> </w:t>
      </w:r>
      <w:r w:rsidR="00B65AAF">
        <w:t>601.1</w:t>
      </w:r>
      <w:r w:rsidR="00990C70">
        <w:t xml:space="preserve"> </w:t>
      </w:r>
      <w:r w:rsidR="00B65AAF">
        <w:t>would take effect</w:t>
      </w:r>
      <w:r w:rsidR="00990C70">
        <w:t xml:space="preserve">, and </w:t>
      </w:r>
      <w:r w:rsidR="009B26A3">
        <w:t>its</w:t>
      </w:r>
      <w:r w:rsidR="00990C70">
        <w:t xml:space="preserve"> provision </w:t>
      </w:r>
      <w:r w:rsidR="00990C70">
        <w:rPr>
          <w:i/>
        </w:rPr>
        <w:t>amend</w:t>
      </w:r>
      <w:r w:rsidR="00BA0FAA">
        <w:rPr>
          <w:i/>
        </w:rPr>
        <w:t>ing</w:t>
      </w:r>
      <w:r w:rsidR="00990C70">
        <w:rPr>
          <w:i/>
        </w:rPr>
        <w:t xml:space="preserve"> </w:t>
      </w:r>
      <w:r w:rsidR="00990C70">
        <w:t>former section</w:t>
      </w:r>
      <w:r w:rsidR="001F6F07">
        <w:t xml:space="preserve"> </w:t>
      </w:r>
      <w:r w:rsidR="00990C70">
        <w:t>601.1 would not</w:t>
      </w:r>
      <w:r w:rsidR="00B65AAF">
        <w:t>.</w:t>
      </w:r>
      <w:r w:rsidR="00B65AAF">
        <w:rPr>
          <w:rStyle w:val="FootnoteReference"/>
        </w:rPr>
        <w:footnoteReference w:id="6"/>
      </w:r>
      <w:r w:rsidR="00B65AAF">
        <w:t xml:space="preserve">  (</w:t>
      </w:r>
      <w:r w:rsidR="003117E2" w:rsidRPr="003117E2">
        <w:t xml:space="preserve">Stats. 1994, </w:t>
      </w:r>
      <w:proofErr w:type="spellStart"/>
      <w:r w:rsidR="003117E2" w:rsidRPr="003117E2">
        <w:t>ch.</w:t>
      </w:r>
      <w:proofErr w:type="spellEnd"/>
      <w:r w:rsidR="003117E2" w:rsidRPr="003117E2">
        <w:t> 1024, § </w:t>
      </w:r>
      <w:r w:rsidR="00B65AAF">
        <w:t>8</w:t>
      </w:r>
      <w:r w:rsidR="003117E2" w:rsidRPr="0003042C">
        <w:t>, p. </w:t>
      </w:r>
      <w:r w:rsidR="0003042C" w:rsidRPr="0003042C">
        <w:t>6225</w:t>
      </w:r>
      <w:r w:rsidR="00B65AAF" w:rsidRPr="0003042C">
        <w:t>.)</w:t>
      </w:r>
      <w:r w:rsidR="00B65AAF">
        <w:t xml:space="preserve">  </w:t>
      </w:r>
      <w:r w:rsidR="00204B24">
        <w:t>Because t</w:t>
      </w:r>
      <w:r w:rsidR="00BA0FAA">
        <w:t xml:space="preserve">he </w:t>
      </w:r>
      <w:r w:rsidR="00BA0FAA" w:rsidRPr="001D0DC2">
        <w:t>Legislature</w:t>
      </w:r>
      <w:r w:rsidR="00BA0FAA">
        <w:t xml:space="preserve"> </w:t>
      </w:r>
      <w:r w:rsidR="001D0DC2" w:rsidRPr="001D0DC2">
        <w:t>pass</w:t>
      </w:r>
      <w:r w:rsidR="00BA0FAA">
        <w:t>ed</w:t>
      </w:r>
      <w:r w:rsidR="001D0DC2" w:rsidRPr="001D0DC2">
        <w:t xml:space="preserve"> </w:t>
      </w:r>
      <w:r w:rsidR="00B65AAF">
        <w:t>both bills o</w:t>
      </w:r>
      <w:r w:rsidR="001D0DC2" w:rsidRPr="001D0DC2">
        <w:t>n the same day,</w:t>
      </w:r>
      <w:r w:rsidR="00204B24">
        <w:t xml:space="preserve"> it</w:t>
      </w:r>
      <w:r w:rsidR="001D0DC2" w:rsidRPr="001D0DC2">
        <w:t xml:space="preserve"> effectively delegat</w:t>
      </w:r>
      <w:r w:rsidR="00204B24">
        <w:t>ed</w:t>
      </w:r>
      <w:r w:rsidR="007E3349" w:rsidRPr="007E3349">
        <w:t xml:space="preserve"> </w:t>
      </w:r>
      <w:r w:rsidR="001D0DC2" w:rsidRPr="001D0DC2">
        <w:t>the decision</w:t>
      </w:r>
      <w:r w:rsidR="007E3349">
        <w:t xml:space="preserve"> whether</w:t>
      </w:r>
      <w:r w:rsidR="001D0DC2" w:rsidRPr="001D0DC2">
        <w:t xml:space="preserve"> to amend or repeal </w:t>
      </w:r>
      <w:r w:rsidR="007E3349">
        <w:t xml:space="preserve">former </w:t>
      </w:r>
      <w:r w:rsidR="001D0DC2" w:rsidRPr="001D0DC2">
        <w:lastRenderedPageBreak/>
        <w:t>section 601.1</w:t>
      </w:r>
      <w:r w:rsidR="00BA0FAA" w:rsidRPr="00BA0FAA">
        <w:t xml:space="preserve"> </w:t>
      </w:r>
      <w:r w:rsidR="00BA0FAA" w:rsidRPr="001D0DC2">
        <w:t>to the Governor</w:t>
      </w:r>
      <w:r w:rsidR="001D0DC2" w:rsidRPr="001D0DC2">
        <w:t>.</w:t>
      </w:r>
      <w:r w:rsidR="00B65AAF">
        <w:rPr>
          <w:rStyle w:val="FootnoteReference"/>
        </w:rPr>
        <w:footnoteReference w:id="7"/>
      </w:r>
      <w:r w:rsidR="00B65AAF">
        <w:t xml:space="preserve">  </w:t>
      </w:r>
      <w:r w:rsidR="009B26A3">
        <w:t>And, b</w:t>
      </w:r>
      <w:r w:rsidR="00B65AAF">
        <w:t>y signing Senate Bill</w:t>
      </w:r>
      <w:r w:rsidR="006B5873">
        <w:t xml:space="preserve"> </w:t>
      </w:r>
      <w:r w:rsidR="00B65AAF">
        <w:t>1728</w:t>
      </w:r>
      <w:r w:rsidR="00A86127">
        <w:t xml:space="preserve"> before Assembly Bill</w:t>
      </w:r>
      <w:r w:rsidR="00BA0FAA">
        <w:t> </w:t>
      </w:r>
      <w:r w:rsidR="00A86127">
        <w:t>2658</w:t>
      </w:r>
      <w:r w:rsidR="00B65AAF">
        <w:t xml:space="preserve">, </w:t>
      </w:r>
      <w:r w:rsidR="00A86127">
        <w:t>the Governor</w:t>
      </w:r>
      <w:r w:rsidR="00990C70">
        <w:t xml:space="preserve"> </w:t>
      </w:r>
      <w:r w:rsidR="00204B24">
        <w:t xml:space="preserve">elected to </w:t>
      </w:r>
      <w:r w:rsidR="00A86127">
        <w:t>repeal section 601.1</w:t>
      </w:r>
      <w:r w:rsidR="003E6E7A">
        <w:t xml:space="preserve">, thereby removing the </w:t>
      </w:r>
      <w:r w:rsidR="0040356A">
        <w:t xml:space="preserve">express </w:t>
      </w:r>
      <w:r w:rsidR="003E6E7A">
        <w:t xml:space="preserve">requirement that </w:t>
      </w:r>
      <w:r w:rsidR="003E6E7A" w:rsidRPr="00C12FB0">
        <w:t>a minor be referred to a SARB or a similar truancy mediation program before</w:t>
      </w:r>
      <w:r w:rsidR="009B26A3">
        <w:t xml:space="preserve"> the minor is referred to</w:t>
      </w:r>
      <w:r w:rsidR="003E6E7A" w:rsidRPr="00C12FB0">
        <w:t xml:space="preserve"> the juvenile cour</w:t>
      </w:r>
      <w:r w:rsidR="003E6E7A">
        <w:t>t</w:t>
      </w:r>
      <w:r w:rsidR="00A86127">
        <w:t>.</w:t>
      </w:r>
      <w:r w:rsidR="00A86127">
        <w:rPr>
          <w:rStyle w:val="FootnoteReference"/>
        </w:rPr>
        <w:footnoteReference w:id="8"/>
      </w:r>
    </w:p>
    <w:p w14:paraId="39DA3996" w14:textId="5E9AD3F2" w:rsidR="0051082B" w:rsidRDefault="00A86127" w:rsidP="00A86127">
      <w:pPr>
        <w:tabs>
          <w:tab w:val="left" w:pos="720"/>
        </w:tabs>
        <w:contextualSpacing/>
      </w:pPr>
      <w:r>
        <w:tab/>
      </w:r>
      <w:bookmarkStart w:id="8" w:name="_Hlk38359427"/>
      <w:r w:rsidR="005238E7">
        <w:t xml:space="preserve">A.N. </w:t>
      </w:r>
      <w:r w:rsidR="003D718A">
        <w:t xml:space="preserve">and amicus </w:t>
      </w:r>
      <w:r w:rsidR="00204B24">
        <w:t xml:space="preserve">curiae </w:t>
      </w:r>
      <w:r w:rsidR="003E6E7A">
        <w:t xml:space="preserve">California Rural Legal Assistance (CRLA) </w:t>
      </w:r>
      <w:r w:rsidR="003A6903">
        <w:t xml:space="preserve">also </w:t>
      </w:r>
      <w:r w:rsidR="009B26A3">
        <w:t>contend</w:t>
      </w:r>
      <w:r w:rsidR="00B503BA">
        <w:t xml:space="preserve"> that referring truants directly to the juvenile court</w:t>
      </w:r>
      <w:r w:rsidR="00814E30">
        <w:t xml:space="preserve"> </w:t>
      </w:r>
      <w:bookmarkStart w:id="9" w:name="_Hlk38130792"/>
      <w:r w:rsidR="00B503BA">
        <w:t xml:space="preserve">undermines </w:t>
      </w:r>
      <w:bookmarkStart w:id="10" w:name="_Hlk34216281"/>
      <w:r w:rsidR="00B503BA">
        <w:t xml:space="preserve">the purposes of </w:t>
      </w:r>
      <w:r w:rsidR="00B503BA" w:rsidRPr="002961F4">
        <w:t>SARBs and similar truancy mediation programs</w:t>
      </w:r>
      <w:r w:rsidR="00483ECF">
        <w:t xml:space="preserve">: </w:t>
      </w:r>
      <w:r w:rsidR="00357FDC">
        <w:t xml:space="preserve">to address </w:t>
      </w:r>
      <w:r w:rsidR="00777D79">
        <w:t xml:space="preserve">the underlying sources of </w:t>
      </w:r>
      <w:r w:rsidR="00357FDC">
        <w:t>attendance problems</w:t>
      </w:r>
      <w:r w:rsidR="00642D8E">
        <w:t xml:space="preserve"> </w:t>
      </w:r>
      <w:r w:rsidR="00777D79">
        <w:t xml:space="preserve">primarily </w:t>
      </w:r>
      <w:r w:rsidR="00357FDC">
        <w:t xml:space="preserve">through the provision of community services </w:t>
      </w:r>
      <w:r w:rsidR="00642D8E">
        <w:t xml:space="preserve">and to </w:t>
      </w:r>
      <w:r w:rsidR="003E6E7A">
        <w:t>make</w:t>
      </w:r>
      <w:r w:rsidR="00011836">
        <w:t xml:space="preserve"> </w:t>
      </w:r>
      <w:r w:rsidR="00B503BA" w:rsidRPr="002961F4">
        <w:t>juvenile court</w:t>
      </w:r>
      <w:r w:rsidR="003E6E7A">
        <w:t xml:space="preserve"> intervention</w:t>
      </w:r>
      <w:r w:rsidR="00B503BA" w:rsidRPr="002961F4">
        <w:t xml:space="preserve"> </w:t>
      </w:r>
      <w:r w:rsidR="002961F4" w:rsidRPr="002961F4">
        <w:t>a matter of</w:t>
      </w:r>
      <w:r w:rsidR="006A375C" w:rsidRPr="002961F4">
        <w:t xml:space="preserve"> last resort</w:t>
      </w:r>
      <w:r w:rsidR="005238E7" w:rsidRPr="002961F4">
        <w:t>.</w:t>
      </w:r>
      <w:bookmarkEnd w:id="9"/>
      <w:bookmarkEnd w:id="10"/>
    </w:p>
    <w:p w14:paraId="1B94283E" w14:textId="7EA171F5" w:rsidR="00D0553D" w:rsidRDefault="0051082B">
      <w:pPr>
        <w:tabs>
          <w:tab w:val="left" w:pos="720"/>
        </w:tabs>
        <w:contextualSpacing/>
      </w:pPr>
      <w:bookmarkStart w:id="11" w:name="_Hlk37952816"/>
      <w:r>
        <w:tab/>
      </w:r>
      <w:r w:rsidR="003E6E7A">
        <w:t>Thi</w:t>
      </w:r>
      <w:r w:rsidR="00204B24">
        <w:t>s</w:t>
      </w:r>
      <w:r w:rsidR="003E6E7A">
        <w:t xml:space="preserve"> argument </w:t>
      </w:r>
      <w:r>
        <w:t>is</w:t>
      </w:r>
      <w:r w:rsidR="003E6E7A">
        <w:t xml:space="preserve"> </w:t>
      </w:r>
      <w:r w:rsidR="005447B1">
        <w:t>support</w:t>
      </w:r>
      <w:r>
        <w:t xml:space="preserve">ed by </w:t>
      </w:r>
      <w:r w:rsidR="003A6903">
        <w:t>several</w:t>
      </w:r>
      <w:r>
        <w:t xml:space="preserve"> sections of the</w:t>
      </w:r>
      <w:r w:rsidR="003E7E4E">
        <w:t xml:space="preserve"> </w:t>
      </w:r>
      <w:r w:rsidR="00204B24">
        <w:t xml:space="preserve">current </w:t>
      </w:r>
      <w:r w:rsidR="00D70204">
        <w:t>statutory scheme.</w:t>
      </w:r>
      <w:r>
        <w:t xml:space="preserve">  </w:t>
      </w:r>
      <w:r w:rsidR="0068320B">
        <w:t>I</w:t>
      </w:r>
      <w:r w:rsidR="008A7FE8">
        <w:t xml:space="preserve">n </w:t>
      </w:r>
      <w:r w:rsidR="003E7E4E">
        <w:t xml:space="preserve">the </w:t>
      </w:r>
      <w:r w:rsidR="008A7FE8">
        <w:t xml:space="preserve">article of the Education Code governing </w:t>
      </w:r>
      <w:r w:rsidR="00384DB1">
        <w:t>SARBs</w:t>
      </w:r>
      <w:r w:rsidR="008A7FE8">
        <w:t>, the Legislature has declared its intent that “</w:t>
      </w:r>
      <w:r w:rsidR="008A7FE8" w:rsidRPr="00D751DA">
        <w:t xml:space="preserve">intensive guidance and coordinated community services may be provided to meet the special needs of pupils with school </w:t>
      </w:r>
      <w:r w:rsidR="008A7FE8" w:rsidRPr="00D751DA">
        <w:lastRenderedPageBreak/>
        <w:t>attendance problems or school behavior problems.</w:t>
      </w:r>
      <w:r w:rsidR="008A7FE8">
        <w:t>”</w:t>
      </w:r>
      <w:r w:rsidR="00C53206">
        <w:rPr>
          <w:rStyle w:val="FootnoteReference"/>
        </w:rPr>
        <w:footnoteReference w:id="9"/>
      </w:r>
      <w:r w:rsidR="00C53206">
        <w:t xml:space="preserve">  </w:t>
      </w:r>
      <w:r w:rsidR="008A7FE8">
        <w:t>(§</w:t>
      </w:r>
      <w:r w:rsidR="005447B1">
        <w:t> </w:t>
      </w:r>
      <w:bookmarkStart w:id="12" w:name="_Hlk34217104"/>
      <w:r w:rsidR="008A7FE8">
        <w:t>483</w:t>
      </w:r>
      <w:r w:rsidR="0003042C">
        <w:t>2</w:t>
      </w:r>
      <w:r w:rsidR="008A7FE8">
        <w:t>0</w:t>
      </w:r>
      <w:bookmarkEnd w:id="12"/>
      <w:r w:rsidR="008A7FE8">
        <w:t xml:space="preserve">, </w:t>
      </w:r>
      <w:proofErr w:type="spellStart"/>
      <w:r w:rsidR="008A7FE8">
        <w:t>subd</w:t>
      </w:r>
      <w:proofErr w:type="spellEnd"/>
      <w:r w:rsidR="008A7FE8">
        <w:t>. (a).)</w:t>
      </w:r>
      <w:r w:rsidR="00D0553D">
        <w:tab/>
      </w:r>
      <w:r w:rsidR="00762F1C">
        <w:t>To fulfill this intent, the Legislature has established a step-by-step process f</w:t>
      </w:r>
      <w:r w:rsidR="009C75FD">
        <w:t xml:space="preserve">or counties </w:t>
      </w:r>
      <w:r w:rsidR="00F71F60">
        <w:t>with</w:t>
      </w:r>
      <w:r w:rsidR="009C75FD">
        <w:t xml:space="preserve"> a SARB or a probation </w:t>
      </w:r>
      <w:r w:rsidR="009C75FD" w:rsidRPr="001327A5">
        <w:t xml:space="preserve">department </w:t>
      </w:r>
      <w:r w:rsidR="009C75FD">
        <w:t xml:space="preserve">that </w:t>
      </w:r>
      <w:r w:rsidR="0068320B">
        <w:t xml:space="preserve">has elected to </w:t>
      </w:r>
      <w:r w:rsidR="009C75FD" w:rsidRPr="001327A5">
        <w:t xml:space="preserve">receive </w:t>
      </w:r>
      <w:r w:rsidR="009C75FD">
        <w:t xml:space="preserve">habitual truant </w:t>
      </w:r>
      <w:r w:rsidR="009C75FD" w:rsidRPr="001327A5">
        <w:t>referral</w:t>
      </w:r>
      <w:r w:rsidR="009C75FD">
        <w:t>s</w:t>
      </w:r>
      <w:r w:rsidR="00BE7900">
        <w:t xml:space="preserve">.  First, </w:t>
      </w:r>
      <w:r w:rsidR="00C6130C">
        <w:t>section 48263</w:t>
      </w:r>
      <w:r w:rsidR="00C53206">
        <w:rPr>
          <w:rStyle w:val="FootnoteReference"/>
        </w:rPr>
        <w:footnoteReference w:id="10"/>
      </w:r>
      <w:r w:rsidR="00BE7900">
        <w:rPr>
          <w:rFonts w:cstheme="minorHAnsi"/>
          <w:szCs w:val="26"/>
        </w:rPr>
        <w:t xml:space="preserve"> </w:t>
      </w:r>
      <w:r w:rsidR="00BE7900">
        <w:t xml:space="preserve">authorizes </w:t>
      </w:r>
      <w:r w:rsidR="006D4412">
        <w:rPr>
          <w:rFonts w:cstheme="minorHAnsi"/>
          <w:szCs w:val="26"/>
        </w:rPr>
        <w:t xml:space="preserve">school district </w:t>
      </w:r>
      <w:r w:rsidR="00DC06B0">
        <w:rPr>
          <w:rFonts w:cstheme="minorHAnsi"/>
          <w:szCs w:val="26"/>
        </w:rPr>
        <w:t xml:space="preserve">attendance </w:t>
      </w:r>
      <w:r w:rsidR="006D4412">
        <w:rPr>
          <w:rFonts w:cstheme="minorHAnsi"/>
          <w:szCs w:val="26"/>
        </w:rPr>
        <w:t>supervisor</w:t>
      </w:r>
      <w:r w:rsidR="00BE7900">
        <w:rPr>
          <w:rFonts w:cstheme="minorHAnsi"/>
          <w:szCs w:val="26"/>
        </w:rPr>
        <w:t>s</w:t>
      </w:r>
      <w:r w:rsidR="006D4412">
        <w:rPr>
          <w:rFonts w:cstheme="minorHAnsi"/>
          <w:szCs w:val="26"/>
        </w:rPr>
        <w:t xml:space="preserve"> </w:t>
      </w:r>
      <w:r w:rsidR="00BE7900">
        <w:rPr>
          <w:rFonts w:cstheme="minorHAnsi"/>
          <w:szCs w:val="26"/>
        </w:rPr>
        <w:t>and other</w:t>
      </w:r>
      <w:r w:rsidR="006D4412">
        <w:rPr>
          <w:rFonts w:cstheme="minorHAnsi"/>
          <w:szCs w:val="26"/>
        </w:rPr>
        <w:t xml:space="preserve"> designated school official</w:t>
      </w:r>
      <w:r w:rsidR="00BE7900">
        <w:rPr>
          <w:rFonts w:cstheme="minorHAnsi"/>
          <w:szCs w:val="26"/>
        </w:rPr>
        <w:t>s</w:t>
      </w:r>
      <w:r w:rsidR="006D4412">
        <w:rPr>
          <w:rFonts w:cstheme="minorHAnsi"/>
          <w:szCs w:val="26"/>
        </w:rPr>
        <w:t xml:space="preserve"> </w:t>
      </w:r>
      <w:r w:rsidR="00BE7900">
        <w:t>to</w:t>
      </w:r>
      <w:r w:rsidR="006D4412" w:rsidRPr="00A86127">
        <w:t xml:space="preserve"> refer</w:t>
      </w:r>
      <w:r w:rsidR="006D4412">
        <w:t xml:space="preserve"> habitual truant</w:t>
      </w:r>
      <w:r w:rsidR="00BE7900">
        <w:t>s</w:t>
      </w:r>
      <w:r w:rsidR="006D4412">
        <w:t xml:space="preserve"> to the SARB</w:t>
      </w:r>
      <w:r w:rsidR="001327A5">
        <w:t xml:space="preserve"> or to the probation department</w:t>
      </w:r>
      <w:r w:rsidR="005441F9">
        <w:t xml:space="preserve">.  </w:t>
      </w:r>
      <w:r w:rsidR="005441F9" w:rsidRPr="003E3EEE">
        <w:t xml:space="preserve">(§ 48263, </w:t>
      </w:r>
      <w:proofErr w:type="spellStart"/>
      <w:r w:rsidR="005441F9" w:rsidRPr="003E3EEE">
        <w:t>subd</w:t>
      </w:r>
      <w:proofErr w:type="spellEnd"/>
      <w:r w:rsidR="005441F9" w:rsidRPr="003E3EEE">
        <w:t>. (a)</w:t>
      </w:r>
      <w:r w:rsidR="005441F9">
        <w:t xml:space="preserve">; see § 48264.5, </w:t>
      </w:r>
      <w:proofErr w:type="spellStart"/>
      <w:r w:rsidR="005441F9">
        <w:t>subd</w:t>
      </w:r>
      <w:proofErr w:type="spellEnd"/>
      <w:r w:rsidR="005441F9">
        <w:t>. (c)</w:t>
      </w:r>
      <w:r w:rsidR="005441F9" w:rsidRPr="003E3EEE">
        <w:t>.)</w:t>
      </w:r>
      <w:r w:rsidR="005441F9">
        <w:t xml:space="preserve">  </w:t>
      </w:r>
      <w:r w:rsidR="005441F9" w:rsidRPr="005441F9">
        <w:t xml:space="preserve">When issuing </w:t>
      </w:r>
      <w:r w:rsidR="005441F9">
        <w:t xml:space="preserve">such </w:t>
      </w:r>
      <w:r w:rsidR="005441F9" w:rsidRPr="005441F9">
        <w:t>referral</w:t>
      </w:r>
      <w:r w:rsidR="005D0524">
        <w:t>s</w:t>
      </w:r>
      <w:r w:rsidR="005441F9" w:rsidRPr="005441F9">
        <w:t>, the</w:t>
      </w:r>
      <w:r w:rsidR="00B06E23">
        <w:t xml:space="preserve">se school </w:t>
      </w:r>
      <w:r w:rsidR="005441F9" w:rsidRPr="005441F9">
        <w:t>official</w:t>
      </w:r>
      <w:r w:rsidR="00B06E23">
        <w:t>s</w:t>
      </w:r>
      <w:r w:rsidR="005441F9" w:rsidRPr="005441F9">
        <w:t xml:space="preserve"> </w:t>
      </w:r>
      <w:r w:rsidR="005D0524">
        <w:t>ha</w:t>
      </w:r>
      <w:r w:rsidR="00B06E23">
        <w:t>ve</w:t>
      </w:r>
      <w:r w:rsidR="005D0524">
        <w:t xml:space="preserve"> a responsibility to</w:t>
      </w:r>
      <w:r w:rsidR="005441F9" w:rsidRPr="005441F9">
        <w:t xml:space="preserve"> provide “documentation of the interventions undertaken at the school” and “the reason for the referral.”</w:t>
      </w:r>
      <w:r w:rsidR="005D0524">
        <w:t xml:space="preserve">  </w:t>
      </w:r>
      <w:r w:rsidR="006D4412" w:rsidRPr="003E3EEE">
        <w:t>(§ </w:t>
      </w:r>
      <w:bookmarkStart w:id="13" w:name="_Hlk38217672"/>
      <w:r w:rsidR="006D4412" w:rsidRPr="003E3EEE">
        <w:t>48263</w:t>
      </w:r>
      <w:bookmarkEnd w:id="13"/>
      <w:r w:rsidR="006D4412" w:rsidRPr="003E3EEE">
        <w:t xml:space="preserve">, </w:t>
      </w:r>
      <w:proofErr w:type="spellStart"/>
      <w:r w:rsidR="006D4412" w:rsidRPr="003E3EEE">
        <w:t>subd</w:t>
      </w:r>
      <w:proofErr w:type="spellEnd"/>
      <w:r w:rsidR="006D4412" w:rsidRPr="003E3EEE">
        <w:t>. (a)</w:t>
      </w:r>
      <w:r w:rsidR="005441F9">
        <w:t>.)</w:t>
      </w:r>
      <w:r w:rsidR="001327A5" w:rsidRPr="003E3EEE">
        <w:t xml:space="preserve">  </w:t>
      </w:r>
      <w:r w:rsidR="00B955B0">
        <w:t>Then,</w:t>
      </w:r>
      <w:r w:rsidR="001327A5" w:rsidRPr="003E3EEE">
        <w:t xml:space="preserve"> the SARB or the probation officer </w:t>
      </w:r>
      <w:r w:rsidR="00BE7900">
        <w:t xml:space="preserve">must </w:t>
      </w:r>
      <w:r w:rsidR="001327A5" w:rsidRPr="003E3EEE">
        <w:t xml:space="preserve">determine </w:t>
      </w:r>
      <w:r w:rsidR="00B955B0">
        <w:t>whether</w:t>
      </w:r>
      <w:r w:rsidR="001327A5" w:rsidRPr="003E3EEE">
        <w:t xml:space="preserve"> available community services can resolve the </w:t>
      </w:r>
      <w:r w:rsidR="00174DE5">
        <w:t>pupil’s</w:t>
      </w:r>
      <w:r w:rsidR="001327A5" w:rsidRPr="003E3EEE">
        <w:t xml:space="preserve"> attendance problems</w:t>
      </w:r>
      <w:r w:rsidR="00B955B0">
        <w:t>.  (</w:t>
      </w:r>
      <w:r w:rsidR="00B955B0">
        <w:rPr>
          <w:i/>
        </w:rPr>
        <w:t>Id.</w:t>
      </w:r>
      <w:r w:rsidR="00B955B0">
        <w:t xml:space="preserve"> </w:t>
      </w:r>
      <w:proofErr w:type="spellStart"/>
      <w:r w:rsidR="00B955B0">
        <w:t>subd</w:t>
      </w:r>
      <w:proofErr w:type="spellEnd"/>
      <w:r w:rsidR="00B955B0">
        <w:t>. (b)(1), (b)(2).)  If so,</w:t>
      </w:r>
      <w:r w:rsidR="001327A5" w:rsidRPr="003E3EEE">
        <w:t xml:space="preserve"> the SARB or the probation officer </w:t>
      </w:r>
      <w:r w:rsidR="00D40994">
        <w:t>is required to</w:t>
      </w:r>
      <w:r w:rsidR="001327A5" w:rsidRPr="003E3EEE">
        <w:t xml:space="preserve"> </w:t>
      </w:r>
      <w:r w:rsidR="009C75FD" w:rsidRPr="003E3EEE">
        <w:t>direct</w:t>
      </w:r>
      <w:r w:rsidR="001327A5" w:rsidRPr="003E3EEE">
        <w:t xml:space="preserve"> the pupil, the pupil’s parents or guardians, or both to those services</w:t>
      </w:r>
      <w:r w:rsidR="009E1AAF">
        <w:t xml:space="preserve">. </w:t>
      </w:r>
      <w:r w:rsidR="001327A5" w:rsidRPr="003E3EEE">
        <w:t xml:space="preserve"> (</w:t>
      </w:r>
      <w:r w:rsidR="009E1AAF">
        <w:rPr>
          <w:i/>
        </w:rPr>
        <w:t>I</w:t>
      </w:r>
      <w:r w:rsidR="001327A5" w:rsidRPr="003E3EEE">
        <w:rPr>
          <w:i/>
        </w:rPr>
        <w:t>d.</w:t>
      </w:r>
      <w:r w:rsidR="001327A5" w:rsidRPr="003E3EEE">
        <w:t xml:space="preserve"> </w:t>
      </w:r>
      <w:proofErr w:type="spellStart"/>
      <w:r w:rsidR="001327A5" w:rsidRPr="003E3EEE">
        <w:t>subd</w:t>
      </w:r>
      <w:proofErr w:type="spellEnd"/>
      <w:r w:rsidR="001327A5" w:rsidRPr="003E3EEE">
        <w:t>. (b)</w:t>
      </w:r>
      <w:r w:rsidR="009C75FD" w:rsidRPr="003E3EEE">
        <w:t>(1)</w:t>
      </w:r>
      <w:r w:rsidR="009E1AAF">
        <w:t>.</w:t>
      </w:r>
      <w:r w:rsidR="001327A5" w:rsidRPr="003E3EEE">
        <w:t>)</w:t>
      </w:r>
      <w:r w:rsidR="00C6130C" w:rsidRPr="003E3EEE">
        <w:t xml:space="preserve">  </w:t>
      </w:r>
      <w:r w:rsidR="009E1AAF">
        <w:t xml:space="preserve">If not, </w:t>
      </w:r>
      <w:r w:rsidR="00BE7900">
        <w:t xml:space="preserve">section 48320 </w:t>
      </w:r>
      <w:r w:rsidR="0068320B">
        <w:t>authorizes the SARB to</w:t>
      </w:r>
      <w:r w:rsidR="00C6130C">
        <w:t>:  “</w:t>
      </w:r>
      <w:r w:rsidR="00C6130C" w:rsidRPr="00D462D9">
        <w:t>(1)</w:t>
      </w:r>
      <w:r w:rsidR="00174DE5">
        <w:t> </w:t>
      </w:r>
      <w:r w:rsidR="00C6130C" w:rsidRPr="00D462D9">
        <w:t xml:space="preserve">Propose and promote the use of </w:t>
      </w:r>
      <w:r w:rsidR="00C6130C" w:rsidRPr="00D462D9">
        <w:rPr>
          <w:i/>
        </w:rPr>
        <w:t>alternatives to the juvenile court system</w:t>
      </w:r>
      <w:r w:rsidR="00C6130C" w:rsidRPr="00D462D9">
        <w:t>.  [¶]  (2)</w:t>
      </w:r>
      <w:r w:rsidR="00174DE5">
        <w:t> </w:t>
      </w:r>
      <w:r w:rsidR="00C6130C" w:rsidRPr="00D462D9">
        <w:t xml:space="preserve">Provide, </w:t>
      </w:r>
      <w:r w:rsidR="00C6130C" w:rsidRPr="00D462D9">
        <w:rPr>
          <w:i/>
        </w:rPr>
        <w:t>in any proposed alternative</w:t>
      </w:r>
      <w:r w:rsidR="00C6130C" w:rsidRPr="00D462D9">
        <w:t xml:space="preserve">, for maximum utilization of community and regional resources appropriately employed in behalf of minors </w:t>
      </w:r>
      <w:r w:rsidR="00C6130C" w:rsidRPr="00D462D9">
        <w:rPr>
          <w:i/>
        </w:rPr>
        <w:t>prior to any involvement with the judicial system</w:t>
      </w:r>
      <w:r w:rsidR="00C6130C" w:rsidRPr="00D462D9">
        <w:t>.  [¶]  (3)</w:t>
      </w:r>
      <w:r w:rsidR="00174DE5">
        <w:t> </w:t>
      </w:r>
      <w:r w:rsidR="00C6130C" w:rsidRPr="00D462D9">
        <w:t xml:space="preserve">Encourage an understanding that any </w:t>
      </w:r>
      <w:r w:rsidR="00C6130C" w:rsidRPr="00D462D9">
        <w:rPr>
          <w:i/>
        </w:rPr>
        <w:t>alternative</w:t>
      </w:r>
      <w:r w:rsidR="00C6130C" w:rsidRPr="00D462D9">
        <w:t xml:space="preserve"> based on the utilization of community resources </w:t>
      </w:r>
      <w:r w:rsidR="00C6130C" w:rsidRPr="00D462D9">
        <w:lastRenderedPageBreak/>
        <w:t>carries an inherent agency and citizen commitment directed toward the continuing improvement of such resources and the creation of resources where none exist.”  (</w:t>
      </w:r>
      <w:r w:rsidR="00C53206">
        <w:t xml:space="preserve">§ 48320, </w:t>
      </w:r>
      <w:proofErr w:type="spellStart"/>
      <w:r w:rsidR="00C53206">
        <w:t>subd</w:t>
      </w:r>
      <w:proofErr w:type="spellEnd"/>
      <w:r w:rsidR="00C53206">
        <w:t xml:space="preserve">. </w:t>
      </w:r>
      <w:r w:rsidR="00C53206" w:rsidRPr="00915930">
        <w:t>(b), i</w:t>
      </w:r>
      <w:r w:rsidR="00C6130C" w:rsidRPr="00915930">
        <w:t xml:space="preserve">talics added.)  </w:t>
      </w:r>
      <w:r w:rsidR="00BE336A">
        <w:t>I</w:t>
      </w:r>
      <w:r w:rsidR="00DC06B0">
        <w:t>n either case, if</w:t>
      </w:r>
      <w:r w:rsidR="00BE336A">
        <w:t xml:space="preserve"> </w:t>
      </w:r>
      <w:r w:rsidR="00EF096A">
        <w:t>the</w:t>
      </w:r>
      <w:r w:rsidR="00BE336A">
        <w:t xml:space="preserve"> pupil </w:t>
      </w:r>
      <w:r w:rsidR="00EF096A">
        <w:t xml:space="preserve">is ultimately referred </w:t>
      </w:r>
      <w:r w:rsidR="00BE336A">
        <w:t xml:space="preserve">to </w:t>
      </w:r>
      <w:r w:rsidR="00C53206" w:rsidRPr="00915930">
        <w:t>the juvenile court</w:t>
      </w:r>
      <w:r w:rsidR="00C6130C" w:rsidRPr="003E3EEE">
        <w:t xml:space="preserve">, the SARB or the probation officer </w:t>
      </w:r>
      <w:r w:rsidR="00B955B0">
        <w:t>must</w:t>
      </w:r>
      <w:r w:rsidR="00C6130C" w:rsidRPr="003E3EEE">
        <w:t xml:space="preserve"> submit “documentation of efforts to secure attendance as well as its recommendations on what action the juvenile court should take in order to bring about a proper disposition of the case.”  (</w:t>
      </w:r>
      <w:r w:rsidR="00C53206" w:rsidRPr="003E3EEE">
        <w:t xml:space="preserve">§ 48263, </w:t>
      </w:r>
      <w:proofErr w:type="spellStart"/>
      <w:r w:rsidR="00C53206" w:rsidRPr="003E3EEE">
        <w:t>subd</w:t>
      </w:r>
      <w:proofErr w:type="spellEnd"/>
      <w:r w:rsidR="00C53206" w:rsidRPr="003E3EEE">
        <w:t>. (b)(2)</w:t>
      </w:r>
      <w:r w:rsidR="00C6130C" w:rsidRPr="003E3EEE">
        <w:rPr>
          <w:i/>
        </w:rPr>
        <w:t>.</w:t>
      </w:r>
      <w:r w:rsidR="00C6130C" w:rsidRPr="003E3EEE">
        <w:t>)</w:t>
      </w:r>
    </w:p>
    <w:p w14:paraId="262830DC" w14:textId="0C291089" w:rsidR="004E2377" w:rsidRPr="00AD1B27" w:rsidRDefault="00D0553D" w:rsidP="004E2377">
      <w:pPr>
        <w:tabs>
          <w:tab w:val="left" w:pos="720"/>
        </w:tabs>
        <w:contextualSpacing/>
      </w:pPr>
      <w:r>
        <w:tab/>
        <w:t>E</w:t>
      </w:r>
      <w:r w:rsidR="009E1AAF">
        <w:t xml:space="preserve">ven in counties without a SARB or a probation </w:t>
      </w:r>
      <w:r w:rsidR="009E1AAF" w:rsidRPr="001327A5">
        <w:t xml:space="preserve">department </w:t>
      </w:r>
      <w:r w:rsidR="009E1AAF">
        <w:t>that r</w:t>
      </w:r>
      <w:r w:rsidR="009E1AAF" w:rsidRPr="001327A5">
        <w:t>eceive</w:t>
      </w:r>
      <w:r w:rsidR="005875ED">
        <w:t>s</w:t>
      </w:r>
      <w:r w:rsidR="009E1AAF" w:rsidRPr="001327A5">
        <w:t xml:space="preserve"> </w:t>
      </w:r>
      <w:r w:rsidR="009E1AAF">
        <w:t xml:space="preserve">habitual truant </w:t>
      </w:r>
      <w:r w:rsidR="009E1AAF" w:rsidRPr="001327A5">
        <w:t>referral</w:t>
      </w:r>
      <w:r w:rsidR="009E1AAF">
        <w:t>s,</w:t>
      </w:r>
      <w:r w:rsidR="0068320B">
        <w:t xml:space="preserve"> section </w:t>
      </w:r>
      <w:r w:rsidR="0068320B" w:rsidRPr="00A86127">
        <w:t>48264.5</w:t>
      </w:r>
      <w:r w:rsidR="0068320B">
        <w:t xml:space="preserve">, subdivision (c) authorizes school officials to refer habitual truants </w:t>
      </w:r>
      <w:r w:rsidR="0068320B" w:rsidRPr="0068320B">
        <w:t xml:space="preserve">to comparable </w:t>
      </w:r>
      <w:r w:rsidR="0068320B">
        <w:t xml:space="preserve">truancy mediation </w:t>
      </w:r>
      <w:r w:rsidR="0068320B" w:rsidRPr="0068320B">
        <w:t>program</w:t>
      </w:r>
      <w:r w:rsidR="0068320B">
        <w:t xml:space="preserve">s.  </w:t>
      </w:r>
      <w:r w:rsidR="006E649F">
        <w:t>T</w:t>
      </w:r>
      <w:r w:rsidR="009E1AAF">
        <w:t xml:space="preserve">he graduated structure of </w:t>
      </w:r>
      <w:r w:rsidR="0068320B">
        <w:t>this section’s</w:t>
      </w:r>
      <w:r w:rsidR="00FD5E2F">
        <w:t xml:space="preserve"> subdivisions</w:t>
      </w:r>
      <w:r w:rsidR="009E1AAF">
        <w:t xml:space="preserve"> seems to contemplate, at least as a general matter, that habitual truants will</w:t>
      </w:r>
      <w:r w:rsidR="009E1AAF" w:rsidRPr="00384DB1">
        <w:t xml:space="preserve"> </w:t>
      </w:r>
      <w:r w:rsidR="009E1AAF">
        <w:t>be brought to the juvenile court only after the truancy mediation process has failed.</w:t>
      </w:r>
      <w:r w:rsidR="00A40246">
        <w:t xml:space="preserve">  (See § 482</w:t>
      </w:r>
      <w:r w:rsidR="007730AD">
        <w:t>6</w:t>
      </w:r>
      <w:r w:rsidR="00A40246">
        <w:t>4.5, subds. (c), (d).)</w:t>
      </w:r>
      <w:bookmarkStart w:id="14" w:name="_Hlk34216252"/>
      <w:bookmarkEnd w:id="11"/>
      <w:r>
        <w:t xml:space="preserve">  </w:t>
      </w:r>
      <w:r w:rsidR="005D0524">
        <w:t>C</w:t>
      </w:r>
      <w:r>
        <w:t xml:space="preserve">ollectively, these sections suggest that the Legislature intended that </w:t>
      </w:r>
      <w:r w:rsidR="00805410">
        <w:t>habitual truants</w:t>
      </w:r>
      <w:r w:rsidRPr="00524FE2">
        <w:t xml:space="preserve"> </w:t>
      </w:r>
      <w:r w:rsidR="00B509CA">
        <w:t>typically</w:t>
      </w:r>
      <w:r>
        <w:t xml:space="preserve"> be </w:t>
      </w:r>
      <w:r w:rsidRPr="00D462D9">
        <w:t xml:space="preserve">referred to </w:t>
      </w:r>
      <w:r>
        <w:t>a</w:t>
      </w:r>
      <w:r w:rsidRPr="00D462D9">
        <w:t xml:space="preserve"> SARB</w:t>
      </w:r>
      <w:r>
        <w:t xml:space="preserve"> or a similar truancy mediation program </w:t>
      </w:r>
      <w:r w:rsidRPr="00C12FB0">
        <w:t xml:space="preserve">before the </w:t>
      </w:r>
      <w:r w:rsidRPr="00693A86">
        <w:t>juvenile court.</w:t>
      </w:r>
      <w:r w:rsidR="007333DF">
        <w:t xml:space="preserve">  (See conc. </w:t>
      </w:r>
      <w:proofErr w:type="spellStart"/>
      <w:r w:rsidR="007333DF">
        <w:t>opn</w:t>
      </w:r>
      <w:proofErr w:type="spellEnd"/>
      <w:r w:rsidR="007333DF" w:rsidRPr="003A7ABD">
        <w:t xml:space="preserve">., </w:t>
      </w:r>
      <w:r w:rsidR="007333DF" w:rsidRPr="003A7ABD">
        <w:rPr>
          <w:i/>
          <w:iCs/>
        </w:rPr>
        <w:t>post</w:t>
      </w:r>
      <w:r w:rsidR="007333DF" w:rsidRPr="003A7ABD">
        <w:t>, at pp</w:t>
      </w:r>
      <w:r w:rsidR="007333DF" w:rsidRPr="00B06E23">
        <w:t>. </w:t>
      </w:r>
      <w:r w:rsidR="00B06E23" w:rsidRPr="00B06E23">
        <w:t>2</w:t>
      </w:r>
      <w:r w:rsidR="007333DF" w:rsidRPr="00B06E23">
        <w:t>–</w:t>
      </w:r>
      <w:r w:rsidR="00B06E23" w:rsidRPr="00B06E23">
        <w:t>3</w:t>
      </w:r>
      <w:r w:rsidR="007333DF" w:rsidRPr="00B06E23">
        <w:t>.)</w:t>
      </w:r>
    </w:p>
    <w:bookmarkEnd w:id="8"/>
    <w:p w14:paraId="11C500EE" w14:textId="5E52688A" w:rsidR="003A6903" w:rsidRPr="005972BC" w:rsidRDefault="005875ED" w:rsidP="00D71858">
      <w:pPr>
        <w:tabs>
          <w:tab w:val="left" w:pos="720"/>
        </w:tabs>
        <w:contextualSpacing/>
      </w:pPr>
      <w:r w:rsidRPr="005972BC">
        <w:tab/>
      </w:r>
      <w:r w:rsidR="004C6937" w:rsidRPr="005972BC">
        <w:t>As explained above, however, after Senate Bill 1728’</w:t>
      </w:r>
      <w:r w:rsidR="00A94890" w:rsidRPr="005972BC">
        <w:t>s</w:t>
      </w:r>
      <w:r w:rsidR="004C6937" w:rsidRPr="005972BC">
        <w:t xml:space="preserve"> repeal of former section 601.1 of the Welfare </w:t>
      </w:r>
      <w:r w:rsidR="004C6937">
        <w:t>and Institutions Code, no section</w:t>
      </w:r>
      <w:r w:rsidR="0040356A">
        <w:t xml:space="preserve"> expressly</w:t>
      </w:r>
      <w:r w:rsidR="004C6937">
        <w:t xml:space="preserve"> </w:t>
      </w:r>
      <w:r w:rsidR="004C6937">
        <w:rPr>
          <w:i/>
        </w:rPr>
        <w:t>re</w:t>
      </w:r>
      <w:r w:rsidR="004C6937" w:rsidRPr="00493FE3">
        <w:rPr>
          <w:i/>
        </w:rPr>
        <w:t>quire</w:t>
      </w:r>
      <w:r w:rsidR="004C6937">
        <w:rPr>
          <w:i/>
        </w:rPr>
        <w:t>s</w:t>
      </w:r>
      <w:r w:rsidR="004C6937" w:rsidRPr="00493FE3">
        <w:t xml:space="preserve"> </w:t>
      </w:r>
      <w:r w:rsidR="00D1689A">
        <w:t>initial</w:t>
      </w:r>
      <w:r w:rsidR="00A94890">
        <w:t xml:space="preserve"> </w:t>
      </w:r>
      <w:r w:rsidR="004C6937">
        <w:t>r</w:t>
      </w:r>
      <w:r w:rsidR="004C6937" w:rsidRPr="00493FE3">
        <w:t>efer</w:t>
      </w:r>
      <w:r w:rsidR="00A94890">
        <w:t>r</w:t>
      </w:r>
      <w:r w:rsidR="00D1689A">
        <w:t>al</w:t>
      </w:r>
      <w:r w:rsidR="004C6937" w:rsidRPr="00493FE3">
        <w:t xml:space="preserve"> to a SARB or a similar truancy mediation program</w:t>
      </w:r>
      <w:r w:rsidR="004C6937">
        <w:t>.</w:t>
      </w:r>
      <w:r w:rsidR="008A2741">
        <w:rPr>
          <w:rStyle w:val="FootnoteReference"/>
        </w:rPr>
        <w:footnoteReference w:id="11"/>
      </w:r>
      <w:r w:rsidR="004C6937">
        <w:t xml:space="preserve">  </w:t>
      </w:r>
      <w:r w:rsidR="00000404">
        <w:t xml:space="preserve">Because </w:t>
      </w:r>
      <w:r w:rsidR="004C6937">
        <w:t>Senate Bill</w:t>
      </w:r>
      <w:r w:rsidR="006B5873">
        <w:t xml:space="preserve"> </w:t>
      </w:r>
      <w:r w:rsidR="004C6937">
        <w:lastRenderedPageBreak/>
        <w:t>1728 also amended section 601(b) of the Welfare and Institutions Code to</w:t>
      </w:r>
      <w:r w:rsidR="00000404">
        <w:t xml:space="preserve"> grant the juvenile court jurisdiction over </w:t>
      </w:r>
      <w:r w:rsidR="00A94890">
        <w:t>minor</w:t>
      </w:r>
      <w:r w:rsidR="00000404">
        <w:t>s</w:t>
      </w:r>
      <w:r w:rsidR="00A94890">
        <w:t xml:space="preserve"> with </w:t>
      </w:r>
      <w:r w:rsidR="00D11546">
        <w:t>“f</w:t>
      </w:r>
      <w:r w:rsidR="004C6937">
        <w:t xml:space="preserve">our or more </w:t>
      </w:r>
      <w:r w:rsidR="00000404">
        <w:t>truancies,</w:t>
      </w:r>
      <w:r w:rsidR="00D11546">
        <w:t>”</w:t>
      </w:r>
      <w:r w:rsidR="00000404">
        <w:t xml:space="preserve"> the bill</w:t>
      </w:r>
      <w:r w:rsidR="004C6937">
        <w:t xml:space="preserve"> may have been intended to afford local officials the flexibility to go directly to the juvenile court in such cases.  </w:t>
      </w:r>
      <w:r w:rsidR="00000404">
        <w:t>Additionally, b</w:t>
      </w:r>
      <w:r w:rsidR="004C6937">
        <w:t xml:space="preserve">ecause the bill granted the juvenile court the authority to direct a habitual truant to attend a “court-approved truancy prevention program,” the Legislature </w:t>
      </w:r>
      <w:r w:rsidR="00000404">
        <w:t>apparently</w:t>
      </w:r>
      <w:r w:rsidR="004C6937">
        <w:t xml:space="preserve"> contemplated that</w:t>
      </w:r>
      <w:r w:rsidR="00A94890">
        <w:t xml:space="preserve"> </w:t>
      </w:r>
      <w:r w:rsidR="00000404">
        <w:t xml:space="preserve">some </w:t>
      </w:r>
      <w:r w:rsidR="004C6937">
        <w:t xml:space="preserve">minors </w:t>
      </w:r>
      <w:r w:rsidR="00000404">
        <w:t>w</w:t>
      </w:r>
      <w:r w:rsidR="004C6937">
        <w:t>ould be</w:t>
      </w:r>
      <w:r w:rsidR="004C6937" w:rsidRPr="0010247E">
        <w:t xml:space="preserve"> </w:t>
      </w:r>
      <w:r w:rsidR="00A94890">
        <w:t xml:space="preserve">referred </w:t>
      </w:r>
      <w:r w:rsidR="004C6937">
        <w:t>to</w:t>
      </w:r>
      <w:r w:rsidR="00B26A98">
        <w:t xml:space="preserve"> </w:t>
      </w:r>
      <w:r w:rsidR="00000404">
        <w:t xml:space="preserve">a </w:t>
      </w:r>
      <w:r w:rsidR="004C6937">
        <w:t xml:space="preserve">truancy </w:t>
      </w:r>
      <w:r w:rsidR="004C6937" w:rsidRPr="002124B5">
        <w:t>mediation program</w:t>
      </w:r>
      <w:r w:rsidR="00B26A98" w:rsidRPr="002124B5">
        <w:t xml:space="preserve"> </w:t>
      </w:r>
      <w:r w:rsidR="00B26A98" w:rsidRPr="002124B5">
        <w:rPr>
          <w:i/>
        </w:rPr>
        <w:t xml:space="preserve">after </w:t>
      </w:r>
      <w:r w:rsidR="00B26A98" w:rsidRPr="002124B5">
        <w:t>the juvenile court</w:t>
      </w:r>
      <w:r w:rsidR="004C6937" w:rsidRPr="002124B5">
        <w:t>.</w:t>
      </w:r>
      <w:r w:rsidR="00DA4CC3" w:rsidRPr="002124B5">
        <w:rPr>
          <w:rStyle w:val="FootnoteReference"/>
        </w:rPr>
        <w:footnoteReference w:id="12"/>
      </w:r>
      <w:r w:rsidR="004C6937" w:rsidRPr="002124B5">
        <w:t xml:space="preserve">  (§ 48264.5, </w:t>
      </w:r>
      <w:proofErr w:type="spellStart"/>
      <w:r w:rsidR="004C6937" w:rsidRPr="002124B5">
        <w:t>subd</w:t>
      </w:r>
      <w:proofErr w:type="spellEnd"/>
      <w:r w:rsidR="004C6937" w:rsidRPr="002124B5">
        <w:t>. (d)(3).)</w:t>
      </w:r>
      <w:bookmarkEnd w:id="14"/>
      <w:r w:rsidR="002124B5" w:rsidRPr="002124B5">
        <w:t xml:space="preserve">  </w:t>
      </w:r>
      <w:r w:rsidR="005972BC">
        <w:t>I</w:t>
      </w:r>
      <w:r w:rsidR="002124B5">
        <w:t>n such cases</w:t>
      </w:r>
      <w:r w:rsidR="002124B5" w:rsidRPr="002124B5">
        <w:t xml:space="preserve">, </w:t>
      </w:r>
      <w:r w:rsidR="002124B5" w:rsidRPr="002124B5">
        <w:lastRenderedPageBreak/>
        <w:t xml:space="preserve">initial referral to the juvenile court may ultimately result in the provision of services to </w:t>
      </w:r>
      <w:r w:rsidR="002124B5" w:rsidRPr="005972BC">
        <w:t>address the underlying sources of the pupils’ attendance problems.</w:t>
      </w:r>
    </w:p>
    <w:p w14:paraId="52FEB29E" w14:textId="49EF7E7E" w:rsidR="003F6B60" w:rsidRPr="00AA5081" w:rsidRDefault="003A6903" w:rsidP="00D71858">
      <w:pPr>
        <w:tabs>
          <w:tab w:val="left" w:pos="720"/>
        </w:tabs>
        <w:contextualSpacing/>
      </w:pPr>
      <w:r w:rsidRPr="005972BC">
        <w:tab/>
      </w:r>
      <w:r w:rsidR="003E7BD5" w:rsidRPr="005972BC">
        <w:t xml:space="preserve">For this reason, we hold that </w:t>
      </w:r>
      <w:r w:rsidR="003E7BD5" w:rsidRPr="005E00EC">
        <w:t xml:space="preserve">the </w:t>
      </w:r>
      <w:r w:rsidR="003E7BD5">
        <w:t>use</w:t>
      </w:r>
      <w:r w:rsidR="003E7BD5" w:rsidRPr="005E00EC">
        <w:t xml:space="preserve"> of a SARB or a similar truancy mediation program is not a prerequisite to </w:t>
      </w:r>
      <w:r w:rsidR="003E7BD5">
        <w:t xml:space="preserve">the </w:t>
      </w:r>
      <w:r w:rsidR="003E7BD5" w:rsidRPr="005E00EC">
        <w:t>juvenile court</w:t>
      </w:r>
      <w:r w:rsidR="003E7BD5">
        <w:t>’s</w:t>
      </w:r>
      <w:r w:rsidR="003E7BD5" w:rsidRPr="005E00EC">
        <w:t xml:space="preserve"> </w:t>
      </w:r>
      <w:r w:rsidR="003E7BD5" w:rsidRPr="00A86127">
        <w:t>jurisdiction</w:t>
      </w:r>
      <w:r w:rsidR="003E7BD5" w:rsidRPr="005E00EC">
        <w:t xml:space="preserve"> </w:t>
      </w:r>
      <w:r w:rsidR="003E7BD5">
        <w:t xml:space="preserve">in a formal wardship proceeding </w:t>
      </w:r>
      <w:r w:rsidR="003E7BD5" w:rsidRPr="005E00EC">
        <w:t xml:space="preserve">on the basis of </w:t>
      </w:r>
      <w:r w:rsidR="003E7BD5">
        <w:t>a</w:t>
      </w:r>
      <w:r w:rsidR="003E7BD5" w:rsidRPr="005E00EC">
        <w:t xml:space="preserve"> minor having “four or more truancies within one school year”</w:t>
      </w:r>
      <w:r w:rsidR="003E7BD5">
        <w:t xml:space="preserve"> under </w:t>
      </w:r>
      <w:r w:rsidR="003E7BD5" w:rsidRPr="005E00EC">
        <w:t>Welf</w:t>
      </w:r>
      <w:r w:rsidR="003E7BD5">
        <w:t>are</w:t>
      </w:r>
      <w:r w:rsidR="003E7BD5" w:rsidRPr="005E00EC">
        <w:t xml:space="preserve"> </w:t>
      </w:r>
      <w:r w:rsidR="003E7BD5">
        <w:t>and</w:t>
      </w:r>
      <w:r w:rsidR="003E7BD5" w:rsidRPr="005E00EC">
        <w:t xml:space="preserve"> Inst</w:t>
      </w:r>
      <w:r w:rsidR="003E7BD5">
        <w:t>itutions</w:t>
      </w:r>
      <w:r w:rsidR="003E7BD5" w:rsidRPr="005E00EC">
        <w:t xml:space="preserve"> Code </w:t>
      </w:r>
      <w:r w:rsidR="003E7BD5">
        <w:t xml:space="preserve">section </w:t>
      </w:r>
      <w:r w:rsidR="003E7BD5" w:rsidRPr="005E00EC">
        <w:t>601(b)</w:t>
      </w:r>
      <w:r w:rsidR="003E7BD5">
        <w:t>.</w:t>
      </w:r>
      <w:r w:rsidR="005972BC">
        <w:t xml:space="preserve">  </w:t>
      </w:r>
      <w:bookmarkStart w:id="15" w:name="_Hlk37838328"/>
      <w:r w:rsidR="00AA5081">
        <w:t>We recognize that this conclusion may be in tension with several sections of the statutory scheme</w:t>
      </w:r>
      <w:r w:rsidR="003A7ABD" w:rsidRPr="003A7ABD">
        <w:t xml:space="preserve">, and we appreciate A.N. and CRLA’s contention that </w:t>
      </w:r>
      <w:r w:rsidR="00AA5081">
        <w:t>referring habitual</w:t>
      </w:r>
      <w:r w:rsidR="003A7ABD" w:rsidRPr="003A7ABD">
        <w:t xml:space="preserve"> </w:t>
      </w:r>
      <w:r w:rsidR="00AA5081">
        <w:t xml:space="preserve">truants directly to the juvenile </w:t>
      </w:r>
      <w:r w:rsidR="003A7ABD" w:rsidRPr="003A7ABD">
        <w:t xml:space="preserve">court is counterproductive to the goal of </w:t>
      </w:r>
      <w:r w:rsidR="00A7235D">
        <w:t>improving attendance</w:t>
      </w:r>
      <w:r w:rsidR="003A7ABD" w:rsidRPr="003A7ABD">
        <w:t>.</w:t>
      </w:r>
      <w:r w:rsidR="00AA5081">
        <w:t xml:space="preserve"> </w:t>
      </w:r>
      <w:r w:rsidR="003A7ABD" w:rsidRPr="003A7ABD">
        <w:t xml:space="preserve"> (See generally, conc. </w:t>
      </w:r>
      <w:proofErr w:type="spellStart"/>
      <w:r w:rsidR="003A7ABD" w:rsidRPr="003A7ABD">
        <w:t>opn</w:t>
      </w:r>
      <w:proofErr w:type="spellEnd"/>
      <w:r w:rsidR="003A7ABD" w:rsidRPr="003A7ABD">
        <w:t xml:space="preserve">., </w:t>
      </w:r>
      <w:r w:rsidR="003A7ABD" w:rsidRPr="003A7ABD">
        <w:rPr>
          <w:i/>
          <w:iCs/>
        </w:rPr>
        <w:t>post</w:t>
      </w:r>
      <w:r w:rsidR="003A7ABD" w:rsidRPr="003A7ABD">
        <w:t>, at pp. 3–</w:t>
      </w:r>
      <w:r w:rsidR="00EE08BE">
        <w:t>7</w:t>
      </w:r>
      <w:r w:rsidR="003A7ABD" w:rsidRPr="003A7ABD">
        <w:t>.)</w:t>
      </w:r>
      <w:r w:rsidR="00AA5081">
        <w:t xml:space="preserve"> </w:t>
      </w:r>
      <w:r w:rsidR="003A7ABD" w:rsidRPr="003A7ABD">
        <w:t xml:space="preserve"> But it</w:t>
      </w:r>
      <w:r w:rsidR="00AA5081">
        <w:t xml:space="preserve"> is up</w:t>
      </w:r>
      <w:r w:rsidR="003A7ABD" w:rsidRPr="003A7ABD">
        <w:t xml:space="preserve"> to the Legislature to resolve any such tension and to act upon such policy arguments, if it deems such action appropriate</w:t>
      </w:r>
      <w:bookmarkEnd w:id="15"/>
      <w:r w:rsidR="00AA5081">
        <w:t>.</w:t>
      </w:r>
      <w:r>
        <w:rPr>
          <w:rStyle w:val="FootnoteReference"/>
        </w:rPr>
        <w:footnoteReference w:id="13"/>
      </w:r>
    </w:p>
    <w:p w14:paraId="1740FA71" w14:textId="2C94DDE7" w:rsidR="003214A8" w:rsidRPr="00D71858" w:rsidRDefault="00D25810" w:rsidP="005E00EC">
      <w:pPr>
        <w:pStyle w:val="Heading2"/>
      </w:pPr>
      <w:r>
        <w:t>C</w:t>
      </w:r>
      <w:r w:rsidR="00263429" w:rsidRPr="00D71858">
        <w:t>.</w:t>
      </w:r>
      <w:r w:rsidR="009A0A20" w:rsidRPr="00D71858">
        <w:t xml:space="preserve">  </w:t>
      </w:r>
      <w:r w:rsidR="001E010B">
        <w:t>Jurisdiction on the Basis of</w:t>
      </w:r>
      <w:r w:rsidR="003214A8" w:rsidRPr="00D71858">
        <w:t xml:space="preserve"> </w:t>
      </w:r>
      <w:r w:rsidR="008A0D27" w:rsidRPr="00D71858">
        <w:t>“</w:t>
      </w:r>
      <w:r w:rsidR="001E010B">
        <w:t xml:space="preserve">Four or More </w:t>
      </w:r>
      <w:r w:rsidR="003214A8" w:rsidRPr="00D71858">
        <w:t>Truanc</w:t>
      </w:r>
      <w:r w:rsidR="001E010B">
        <w:t>ies</w:t>
      </w:r>
      <w:r w:rsidR="008A0D27" w:rsidRPr="00D71858">
        <w:t>”</w:t>
      </w:r>
    </w:p>
    <w:p w14:paraId="4C0DC857" w14:textId="604CADB5" w:rsidR="003F47AD" w:rsidRPr="005E00EC" w:rsidRDefault="00192998" w:rsidP="005E00EC">
      <w:pPr>
        <w:tabs>
          <w:tab w:val="left" w:pos="720"/>
        </w:tabs>
        <w:contextualSpacing/>
      </w:pPr>
      <w:r w:rsidRPr="00D71858">
        <w:rPr>
          <w:b/>
        </w:rPr>
        <w:tab/>
      </w:r>
      <w:r w:rsidR="00B73D07" w:rsidRPr="00D71858">
        <w:t>W</w:t>
      </w:r>
      <w:r w:rsidR="00AF5CD1" w:rsidRPr="00D71858">
        <w:t xml:space="preserve">e </w:t>
      </w:r>
      <w:r w:rsidR="00B73D07" w:rsidRPr="00D71858">
        <w:t>n</w:t>
      </w:r>
      <w:r w:rsidR="00C57B11" w:rsidRPr="00D71858">
        <w:t xml:space="preserve">ext </w:t>
      </w:r>
      <w:r w:rsidR="00AF5CD1" w:rsidRPr="00D71858">
        <w:t xml:space="preserve">turn to </w:t>
      </w:r>
      <w:r w:rsidR="0061388A" w:rsidRPr="00D71858">
        <w:t>A.N.</w:t>
      </w:r>
      <w:r w:rsidR="00AF5CD1" w:rsidRPr="00D71858">
        <w:t>’s</w:t>
      </w:r>
      <w:r w:rsidR="00B73D07" w:rsidRPr="00D71858">
        <w:t xml:space="preserve"> </w:t>
      </w:r>
      <w:r w:rsidR="00AF5CD1" w:rsidRPr="00D71858">
        <w:t>claim</w:t>
      </w:r>
      <w:r w:rsidR="00A6577D" w:rsidRPr="00D71858">
        <w:t xml:space="preserve"> </w:t>
      </w:r>
      <w:r w:rsidR="00AF5CD1" w:rsidRPr="00D71858">
        <w:t>that</w:t>
      </w:r>
      <w:r w:rsidR="0061388A" w:rsidRPr="00D71858">
        <w:t xml:space="preserve"> Education Code section 4826</w:t>
      </w:r>
      <w:r w:rsidR="00EB4E25" w:rsidRPr="00D71858">
        <w:t>4</w:t>
      </w:r>
      <w:r w:rsidR="0061388A" w:rsidRPr="00D71858">
        <w:t>.5, subdivi</w:t>
      </w:r>
      <w:r w:rsidR="0061388A" w:rsidRPr="005E00EC">
        <w:t>sion (d)</w:t>
      </w:r>
      <w:r w:rsidR="00CA60F1">
        <w:t xml:space="preserve"> (section 48264.5(d))</w:t>
      </w:r>
      <w:r w:rsidR="0061388A" w:rsidRPr="005E00EC">
        <w:t xml:space="preserve"> requires</w:t>
      </w:r>
      <w:r w:rsidR="00C57B11" w:rsidRPr="005E00EC">
        <w:t xml:space="preserve"> (1) </w:t>
      </w:r>
      <w:r w:rsidR="0061388A" w:rsidRPr="005E00EC">
        <w:t xml:space="preserve">a fourth truancy </w:t>
      </w:r>
      <w:r w:rsidR="0061388A" w:rsidRPr="005E00EC">
        <w:rPr>
          <w:i/>
        </w:rPr>
        <w:t>report</w:t>
      </w:r>
      <w:r w:rsidR="0061388A" w:rsidRPr="005E00EC">
        <w:t xml:space="preserve"> to be issued</w:t>
      </w:r>
      <w:r w:rsidR="00944B8A" w:rsidRPr="005E00EC">
        <w:t xml:space="preserve">, and </w:t>
      </w:r>
      <w:r w:rsidR="00C57B11" w:rsidRPr="005E00EC">
        <w:t>(2)</w:t>
      </w:r>
      <w:r w:rsidR="00944B8A" w:rsidRPr="005E00EC">
        <w:t xml:space="preserve"> that the report be issued</w:t>
      </w:r>
      <w:r w:rsidR="0061388A" w:rsidRPr="005E00EC">
        <w:t xml:space="preserve"> </w:t>
      </w:r>
      <w:r w:rsidR="00EB4E25" w:rsidRPr="005E00EC">
        <w:rPr>
          <w:i/>
        </w:rPr>
        <w:t xml:space="preserve">to </w:t>
      </w:r>
      <w:r w:rsidR="00520E6B">
        <w:rPr>
          <w:i/>
        </w:rPr>
        <w:t>the pupil</w:t>
      </w:r>
      <w:r w:rsidR="007C7D61">
        <w:rPr>
          <w:i/>
        </w:rPr>
        <w:t xml:space="preserve"> and the pupil</w:t>
      </w:r>
      <w:r w:rsidR="00180F3B">
        <w:rPr>
          <w:i/>
        </w:rPr>
        <w:t>’</w:t>
      </w:r>
      <w:r w:rsidR="00520E6B">
        <w:rPr>
          <w:i/>
        </w:rPr>
        <w:t>s</w:t>
      </w:r>
      <w:r w:rsidR="00EB4E25" w:rsidRPr="005E00EC">
        <w:rPr>
          <w:i/>
        </w:rPr>
        <w:t xml:space="preserve"> parent</w:t>
      </w:r>
      <w:r w:rsidR="00B26A98">
        <w:rPr>
          <w:i/>
        </w:rPr>
        <w:t>s</w:t>
      </w:r>
      <w:r w:rsidR="00EB4E25" w:rsidRPr="005E00EC">
        <w:rPr>
          <w:i/>
        </w:rPr>
        <w:t xml:space="preserve"> or guardian</w:t>
      </w:r>
      <w:r w:rsidR="00B26A98">
        <w:rPr>
          <w:i/>
        </w:rPr>
        <w:t>s</w:t>
      </w:r>
      <w:r w:rsidR="00C57B11" w:rsidRPr="005E00EC">
        <w:t xml:space="preserve">, </w:t>
      </w:r>
      <w:r w:rsidR="0061388A" w:rsidRPr="005E00EC">
        <w:t xml:space="preserve">before the </w:t>
      </w:r>
      <w:r w:rsidR="0061388A" w:rsidRPr="005E00EC">
        <w:lastRenderedPageBreak/>
        <w:t xml:space="preserve">juvenile court may exercise </w:t>
      </w:r>
      <w:r w:rsidR="00BF7E74" w:rsidRPr="005E00EC">
        <w:t>jurisdiction</w:t>
      </w:r>
      <w:r w:rsidR="00CA60F1">
        <w:t xml:space="preserve"> </w:t>
      </w:r>
      <w:r w:rsidR="003F47AD" w:rsidRPr="005E00EC">
        <w:t xml:space="preserve">over </w:t>
      </w:r>
      <w:r w:rsidR="003F47AD">
        <w:t xml:space="preserve">a </w:t>
      </w:r>
      <w:r w:rsidR="008B72EA">
        <w:t>minor</w:t>
      </w:r>
      <w:r w:rsidR="003F47AD">
        <w:t xml:space="preserve"> </w:t>
      </w:r>
      <w:r w:rsidR="003F47AD" w:rsidRPr="005E00EC">
        <w:t xml:space="preserve">on the basis of </w:t>
      </w:r>
      <w:r w:rsidR="006A23D2">
        <w:t>the</w:t>
      </w:r>
      <w:r w:rsidR="003F47AD" w:rsidRPr="005E00EC">
        <w:t xml:space="preserve"> minor having “four or more truancies within one school year”</w:t>
      </w:r>
      <w:r w:rsidR="003F47AD">
        <w:t xml:space="preserve"> under </w:t>
      </w:r>
      <w:r w:rsidR="003F47AD" w:rsidRPr="005E00EC">
        <w:t>Welf</w:t>
      </w:r>
      <w:r w:rsidR="003F47AD">
        <w:t>are</w:t>
      </w:r>
      <w:r w:rsidR="003F47AD" w:rsidRPr="005E00EC">
        <w:t xml:space="preserve"> </w:t>
      </w:r>
      <w:r w:rsidR="003F47AD">
        <w:t>and</w:t>
      </w:r>
      <w:r w:rsidR="003F47AD" w:rsidRPr="005E00EC">
        <w:t xml:space="preserve"> Inst</w:t>
      </w:r>
      <w:r w:rsidR="003F47AD">
        <w:t>itutions</w:t>
      </w:r>
      <w:r w:rsidR="003F47AD" w:rsidRPr="005E00EC">
        <w:t xml:space="preserve"> Code </w:t>
      </w:r>
      <w:r w:rsidR="003F47AD">
        <w:t>section</w:t>
      </w:r>
      <w:r w:rsidR="001F6F07">
        <w:t xml:space="preserve"> </w:t>
      </w:r>
      <w:r w:rsidR="003F47AD" w:rsidRPr="005E00EC">
        <w:t>601(b</w:t>
      </w:r>
      <w:r w:rsidR="003F47AD">
        <w:t>).</w:t>
      </w:r>
    </w:p>
    <w:p w14:paraId="6472D018" w14:textId="5F6D58C8" w:rsidR="00346376" w:rsidRDefault="009662DB" w:rsidP="00A74465">
      <w:pPr>
        <w:tabs>
          <w:tab w:val="left" w:pos="720"/>
        </w:tabs>
        <w:contextualSpacing/>
      </w:pPr>
      <w:r w:rsidRPr="005E00EC">
        <w:tab/>
      </w:r>
      <w:r w:rsidR="003F47AD">
        <w:t>Again,</w:t>
      </w:r>
      <w:r w:rsidR="003F47AD" w:rsidRPr="005E00EC">
        <w:t xml:space="preserve"> Welfare and Institutions Code section 601(b) provides in relevant part:  “If a minor . . . has</w:t>
      </w:r>
      <w:r w:rsidR="003F47AD" w:rsidRPr="005E00EC">
        <w:rPr>
          <w:i/>
        </w:rPr>
        <w:t xml:space="preserve"> four or more truancies</w:t>
      </w:r>
      <w:r w:rsidR="003F47AD" w:rsidRPr="005E00EC">
        <w:t xml:space="preserve"> within one school year as defined in Section 48260 of the Education Code . . .</w:t>
      </w:r>
      <w:r w:rsidR="00180F3B">
        <w:t> ,</w:t>
      </w:r>
      <w:r w:rsidR="003F47AD" w:rsidRPr="005E00EC">
        <w:t xml:space="preserve"> the minor is then within the jurisdiction of the juvenile court which may adjudge the minor to be a ward of the court.”  (Italics added.)</w:t>
      </w:r>
      <w:r w:rsidR="003F47AD">
        <w:t xml:space="preserve">  And, a</w:t>
      </w:r>
      <w:r w:rsidR="001E2A77">
        <w:t xml:space="preserve">s stated above, </w:t>
      </w:r>
      <w:r w:rsidR="00F655BE" w:rsidRPr="005E00EC">
        <w:t>Education Code s</w:t>
      </w:r>
      <w:r w:rsidRPr="005E00EC">
        <w:t>ection 48264.5(d)</w:t>
      </w:r>
      <w:r w:rsidR="005A484F" w:rsidRPr="005E00EC">
        <w:t xml:space="preserve"> </w:t>
      </w:r>
      <w:r w:rsidR="00FA7885">
        <w:t>provides</w:t>
      </w:r>
      <w:r w:rsidR="00CA0009" w:rsidRPr="005E00EC">
        <w:t xml:space="preserve">:  </w:t>
      </w:r>
      <w:r w:rsidRPr="005E00EC">
        <w:t xml:space="preserve">“The fourth time a </w:t>
      </w:r>
      <w:r w:rsidRPr="005E00EC">
        <w:rPr>
          <w:i/>
        </w:rPr>
        <w:t>truancy is issued</w:t>
      </w:r>
      <w:r w:rsidRPr="005E00EC">
        <w:t xml:space="preserve"> within the same school year, the pupil may be within the jurisdiction of the juvenile court that may adjudge the pupil to be a ward of the court pursuant to Section 601 of the Welfare and Institutions Code</w:t>
      </w:r>
      <w:r w:rsidR="00091076" w:rsidRPr="005E00EC">
        <w:t>.</w:t>
      </w:r>
      <w:r w:rsidRPr="005E00EC">
        <w:t xml:space="preserve">” </w:t>
      </w:r>
      <w:r w:rsidR="00091076" w:rsidRPr="005E00EC">
        <w:t xml:space="preserve"> </w:t>
      </w:r>
      <w:r w:rsidRPr="005E00EC">
        <w:t>(</w:t>
      </w:r>
      <w:r w:rsidR="00091076" w:rsidRPr="005E00EC">
        <w:t>I</w:t>
      </w:r>
      <w:r w:rsidRPr="005E00EC">
        <w:t>talics added</w:t>
      </w:r>
      <w:r w:rsidR="00091076" w:rsidRPr="005E00EC">
        <w:t>.</w:t>
      </w:r>
      <w:r w:rsidRPr="005E00EC">
        <w:t>)</w:t>
      </w:r>
    </w:p>
    <w:p w14:paraId="54F35191" w14:textId="723721C2" w:rsidR="00A74465" w:rsidRDefault="00CA60F1" w:rsidP="00A74465">
      <w:pPr>
        <w:tabs>
          <w:tab w:val="left" w:pos="720"/>
        </w:tabs>
        <w:contextualSpacing/>
      </w:pPr>
      <w:bookmarkStart w:id="16" w:name="_Hlk34319107"/>
      <w:r>
        <w:tab/>
      </w:r>
      <w:r w:rsidR="00405290">
        <w:t>Because these subdivisions</w:t>
      </w:r>
      <w:r w:rsidR="00405290" w:rsidRPr="005E00EC">
        <w:t xml:space="preserve"> are in </w:t>
      </w:r>
      <w:proofErr w:type="spellStart"/>
      <w:r w:rsidR="00405290" w:rsidRPr="005E00EC">
        <w:t>pari</w:t>
      </w:r>
      <w:proofErr w:type="spellEnd"/>
      <w:r w:rsidR="00405290" w:rsidRPr="005E00EC">
        <w:t xml:space="preserve"> </w:t>
      </w:r>
      <w:proofErr w:type="spellStart"/>
      <w:r w:rsidR="00405290" w:rsidRPr="005E00EC">
        <w:t>materia</w:t>
      </w:r>
      <w:proofErr w:type="spellEnd"/>
      <w:r w:rsidR="00405290">
        <w:t>,</w:t>
      </w:r>
      <w:r w:rsidR="00405290" w:rsidRPr="0034084E">
        <w:t xml:space="preserve"> </w:t>
      </w:r>
      <w:r w:rsidR="00405290">
        <w:t>we</w:t>
      </w:r>
      <w:r w:rsidR="00405290" w:rsidRPr="0034084E">
        <w:t xml:space="preserve"> constru</w:t>
      </w:r>
      <w:r w:rsidR="00405290">
        <w:t xml:space="preserve">e them </w:t>
      </w:r>
      <w:r w:rsidR="00405290" w:rsidRPr="0034084E">
        <w:t xml:space="preserve">together </w:t>
      </w:r>
      <w:r w:rsidR="00405290">
        <w:t>“</w:t>
      </w:r>
      <w:r w:rsidR="00405290" w:rsidRPr="0034084E">
        <w:t>so that all parts of the statutory scheme are given effect.</w:t>
      </w:r>
      <w:r w:rsidR="00405290">
        <w:t>”</w:t>
      </w:r>
      <w:r w:rsidR="00405290" w:rsidRPr="005E00EC">
        <w:t xml:space="preserve">  (</w:t>
      </w:r>
      <w:proofErr w:type="spellStart"/>
      <w:r w:rsidR="00405290" w:rsidRPr="005E00EC">
        <w:rPr>
          <w:i/>
        </w:rPr>
        <w:t>Lexin</w:t>
      </w:r>
      <w:proofErr w:type="spellEnd"/>
      <w:r w:rsidR="00405290" w:rsidRPr="005E00EC">
        <w:rPr>
          <w:i/>
        </w:rPr>
        <w:t xml:space="preserve"> v. Superior Court</w:t>
      </w:r>
      <w:r w:rsidR="00405290" w:rsidRPr="005E00EC">
        <w:t xml:space="preserve"> (2010) 47 Cal.4th 1050, 1090</w:t>
      </w:r>
      <w:r w:rsidR="00E3376C">
        <w:t>–</w:t>
      </w:r>
      <w:r w:rsidR="00405290" w:rsidRPr="005E00EC">
        <w:t>1091.)</w:t>
      </w:r>
      <w:r w:rsidR="00405290">
        <w:t xml:space="preserve">  In particular, we note that the same bill (</w:t>
      </w:r>
      <w:r w:rsidR="00A74465">
        <w:t>Senate Bill 1728</w:t>
      </w:r>
      <w:r w:rsidR="00405290">
        <w:t>)</w:t>
      </w:r>
      <w:r w:rsidR="00A74465">
        <w:t xml:space="preserve"> </w:t>
      </w:r>
      <w:r w:rsidR="00B86C07">
        <w:t xml:space="preserve">that </w:t>
      </w:r>
      <w:r w:rsidR="00A74465" w:rsidRPr="005E00EC">
        <w:t>amended</w:t>
      </w:r>
      <w:r w:rsidR="002368F5">
        <w:t xml:space="preserve"> </w:t>
      </w:r>
      <w:r w:rsidR="002368F5" w:rsidRPr="005E00EC">
        <w:t>Welfare and Institutions Code</w:t>
      </w:r>
      <w:r w:rsidR="00A74465" w:rsidRPr="005E00EC">
        <w:t xml:space="preserve"> </w:t>
      </w:r>
      <w:r w:rsidR="002368F5">
        <w:t>section 601(b)</w:t>
      </w:r>
      <w:r w:rsidR="00A74465" w:rsidRPr="005E00EC">
        <w:t xml:space="preserve"> to provide that a minor with “four or more truancies” is “within the jurisdiction of the juvenile court” </w:t>
      </w:r>
      <w:r w:rsidR="00B86C07">
        <w:t>also</w:t>
      </w:r>
      <w:r w:rsidR="00A74465" w:rsidRPr="005E00EC">
        <w:t xml:space="preserve"> added </w:t>
      </w:r>
      <w:r w:rsidR="002368F5" w:rsidRPr="005E00EC">
        <w:t>Education Code</w:t>
      </w:r>
      <w:r w:rsidR="002368F5">
        <w:t xml:space="preserve"> section 48264.5(d)</w:t>
      </w:r>
      <w:r w:rsidR="00A74465">
        <w:t>,</w:t>
      </w:r>
      <w:r w:rsidR="00A74465" w:rsidRPr="005E00EC">
        <w:t xml:space="preserve"> which originally provided that “</w:t>
      </w:r>
      <w:r w:rsidR="00180F3B">
        <w:t>[</w:t>
      </w:r>
      <w:r w:rsidR="00A74465" w:rsidRPr="005E00EC">
        <w:t>u</w:t>
      </w:r>
      <w:r w:rsidR="00180F3B">
        <w:t>]</w:t>
      </w:r>
      <w:proofErr w:type="spellStart"/>
      <w:r w:rsidR="00A74465" w:rsidRPr="005E00EC">
        <w:t>pon</w:t>
      </w:r>
      <w:proofErr w:type="spellEnd"/>
      <w:r w:rsidR="00A74465" w:rsidRPr="005E00EC">
        <w:t xml:space="preserve"> the fourth truancy within the same school year,” a pupil is “within the jurisdiction of the juvenile court</w:t>
      </w:r>
      <w:r w:rsidR="00405290">
        <w:t>.</w:t>
      </w:r>
      <w:r w:rsidR="00A74465" w:rsidRPr="005E00EC">
        <w:t>”  (Stats.</w:t>
      </w:r>
      <w:r w:rsidR="00346376">
        <w:t> </w:t>
      </w:r>
      <w:r w:rsidR="00A74465" w:rsidRPr="005E00EC">
        <w:t xml:space="preserve">1994, </w:t>
      </w:r>
      <w:proofErr w:type="spellStart"/>
      <w:r w:rsidR="00A74465" w:rsidRPr="005E00EC">
        <w:t>ch.</w:t>
      </w:r>
      <w:proofErr w:type="spellEnd"/>
      <w:r w:rsidR="00346376">
        <w:t> </w:t>
      </w:r>
      <w:r w:rsidR="00A74465" w:rsidRPr="005E00EC">
        <w:t>1023, §</w:t>
      </w:r>
      <w:r w:rsidR="00346376">
        <w:t> </w:t>
      </w:r>
      <w:r w:rsidR="00A74465" w:rsidRPr="005E00EC">
        <w:t>4,</w:t>
      </w:r>
      <w:r w:rsidR="00A74465">
        <w:t xml:space="preserve"> pp.</w:t>
      </w:r>
      <w:r w:rsidR="00346376">
        <w:t> </w:t>
      </w:r>
      <w:r w:rsidR="00A74465">
        <w:t>6215–2616</w:t>
      </w:r>
      <w:r w:rsidR="00A74465" w:rsidRPr="005E00EC">
        <w:t>.)</w:t>
      </w:r>
      <w:bookmarkEnd w:id="16"/>
      <w:r w:rsidR="00A74465">
        <w:t xml:space="preserve">  </w:t>
      </w:r>
      <w:r w:rsidR="00405290">
        <w:t xml:space="preserve">For this reason, and because </w:t>
      </w:r>
      <w:r w:rsidR="002368F5">
        <w:t>one section expressly references the other</w:t>
      </w:r>
      <w:r w:rsidR="00405290">
        <w:t>,</w:t>
      </w:r>
      <w:r w:rsidR="00346376">
        <w:t xml:space="preserve"> </w:t>
      </w:r>
      <w:r w:rsidR="00405290">
        <w:t>we believe the</w:t>
      </w:r>
      <w:r w:rsidR="00346376">
        <w:t xml:space="preserve"> Legislature intended “four . . . truancies” in </w:t>
      </w:r>
      <w:r w:rsidR="00346376" w:rsidRPr="005E00EC">
        <w:t>Welfare and Institutions Code section 601(b)</w:t>
      </w:r>
      <w:r w:rsidR="00346376">
        <w:t xml:space="preserve"> and “fourth truancy” in </w:t>
      </w:r>
      <w:r w:rsidR="00346376" w:rsidRPr="005E00EC">
        <w:t>Education Code section 48264.5(d</w:t>
      </w:r>
      <w:r w:rsidR="00346376">
        <w:t xml:space="preserve">) to refer to the </w:t>
      </w:r>
      <w:r w:rsidR="00525DD9">
        <w:t xml:space="preserve">same set of circumstances, upon which the minor comes within the </w:t>
      </w:r>
      <w:r w:rsidR="00346376" w:rsidRPr="005E00EC">
        <w:t>jurisdiction of the juvenile court.</w:t>
      </w:r>
    </w:p>
    <w:p w14:paraId="350D618C" w14:textId="56C286BD" w:rsidR="001E010B" w:rsidRPr="005E00EC" w:rsidRDefault="001E010B" w:rsidP="001E010B">
      <w:pPr>
        <w:pStyle w:val="Heading3"/>
      </w:pPr>
      <w:r w:rsidRPr="005E00EC">
        <w:lastRenderedPageBreak/>
        <w:t xml:space="preserve">1.  </w:t>
      </w:r>
      <w:r w:rsidR="0034084E">
        <w:t xml:space="preserve">Four </w:t>
      </w:r>
      <w:r w:rsidR="00346376">
        <w:t>“</w:t>
      </w:r>
      <w:r w:rsidR="0034084E">
        <w:t>Truancies</w:t>
      </w:r>
      <w:r w:rsidR="00346376">
        <w:t>”</w:t>
      </w:r>
      <w:r w:rsidR="0034084E">
        <w:t xml:space="preserve"> and </w:t>
      </w:r>
      <w:r w:rsidR="00346376">
        <w:t>the “</w:t>
      </w:r>
      <w:r>
        <w:t>Issuance of a Fourth Truancy</w:t>
      </w:r>
      <w:r w:rsidR="00346376">
        <w:t>”</w:t>
      </w:r>
    </w:p>
    <w:p w14:paraId="408BD4F8" w14:textId="747659C1" w:rsidR="00905963" w:rsidRDefault="009E618F" w:rsidP="00905963">
      <w:pPr>
        <w:tabs>
          <w:tab w:val="left" w:pos="720"/>
        </w:tabs>
        <w:contextualSpacing/>
      </w:pPr>
      <w:r w:rsidRPr="005E00EC">
        <w:tab/>
      </w:r>
      <w:r w:rsidR="00B83CF8" w:rsidRPr="005E00EC">
        <w:t xml:space="preserve">As already discussed, </w:t>
      </w:r>
      <w:r w:rsidR="00E81DE9" w:rsidRPr="005E00EC">
        <w:t>s</w:t>
      </w:r>
      <w:r w:rsidR="00AF5CD1" w:rsidRPr="005E00EC">
        <w:t xml:space="preserve">ection 48264.5 provides increasingly serious consequences </w:t>
      </w:r>
      <w:r w:rsidR="009878DF" w:rsidRPr="005E00EC">
        <w:t xml:space="preserve">for </w:t>
      </w:r>
      <w:r w:rsidR="00B42857" w:rsidRPr="005E00EC">
        <w:t xml:space="preserve">a </w:t>
      </w:r>
      <w:r w:rsidR="009878DF" w:rsidRPr="005E00EC">
        <w:t>pupil’s continued truancy</w:t>
      </w:r>
      <w:r w:rsidR="00E27A5D">
        <w:t xml:space="preserve"> or </w:t>
      </w:r>
      <w:r w:rsidR="00E27A5D" w:rsidRPr="00E27A5D">
        <w:t>failure to complete assigned programs</w:t>
      </w:r>
      <w:r w:rsidR="00AF5CD1" w:rsidRPr="005E00EC">
        <w:t xml:space="preserve">.  </w:t>
      </w:r>
      <w:bookmarkStart w:id="17" w:name="_Hlk34143338"/>
      <w:r w:rsidR="00E27A5D">
        <w:t>As is relevant here, s</w:t>
      </w:r>
      <w:r w:rsidR="00AF5CD1" w:rsidRPr="005E00EC">
        <w:t>ubdivision</w:t>
      </w:r>
      <w:r w:rsidR="00E27A5D">
        <w:t>s</w:t>
      </w:r>
      <w:r w:rsidR="00AF5CD1" w:rsidRPr="005E00EC">
        <w:t xml:space="preserve"> (a)</w:t>
      </w:r>
      <w:r w:rsidR="00E27A5D">
        <w:t xml:space="preserve">, (b), and (c) </w:t>
      </w:r>
      <w:r w:rsidR="00180F3B">
        <w:t xml:space="preserve">of section 48264.5 </w:t>
      </w:r>
      <w:r w:rsidR="00E27A5D">
        <w:t>begin</w:t>
      </w:r>
      <w:r w:rsidR="009F58EA">
        <w:t>,</w:t>
      </w:r>
      <w:r w:rsidR="00E27A5D">
        <w:t xml:space="preserve"> </w:t>
      </w:r>
      <w:r w:rsidR="009878DF" w:rsidRPr="005E00EC">
        <w:t>“</w:t>
      </w:r>
      <w:r w:rsidR="00180F3B">
        <w:t>T</w:t>
      </w:r>
      <w:r w:rsidR="009878DF" w:rsidRPr="005E00EC">
        <w:t xml:space="preserve">he </w:t>
      </w:r>
      <w:r w:rsidR="00890BFE">
        <w:t>[</w:t>
      </w:r>
      <w:r w:rsidR="009878DF" w:rsidRPr="005E00EC">
        <w:t>first</w:t>
      </w:r>
      <w:r w:rsidR="00E27A5D">
        <w:t>/second/third]</w:t>
      </w:r>
      <w:r w:rsidR="009878DF" w:rsidRPr="005E00EC">
        <w:t xml:space="preserve"> time a </w:t>
      </w:r>
      <w:r w:rsidR="009878DF" w:rsidRPr="00405290">
        <w:t>truancy</w:t>
      </w:r>
      <w:r w:rsidR="009878DF" w:rsidRPr="005E00EC">
        <w:rPr>
          <w:i/>
        </w:rPr>
        <w:t xml:space="preserve"> report </w:t>
      </w:r>
      <w:r w:rsidR="009878DF" w:rsidRPr="00405290">
        <w:t>is issued</w:t>
      </w:r>
      <w:r w:rsidR="00CB3319">
        <w:t> </w:t>
      </w:r>
      <w:r w:rsidR="00E27A5D" w:rsidRPr="00405290">
        <w:t>.</w:t>
      </w:r>
      <w:r w:rsidR="000745FE" w:rsidRPr="00405290">
        <w:t> . . .</w:t>
      </w:r>
      <w:r w:rsidR="009878DF" w:rsidRPr="00405290">
        <w:t>”</w:t>
      </w:r>
      <w:r w:rsidR="00AF5CD1" w:rsidRPr="00405290">
        <w:t xml:space="preserve"> </w:t>
      </w:r>
      <w:r w:rsidR="00E27A5D" w:rsidRPr="00405290">
        <w:t xml:space="preserve"> (Italics added.)  </w:t>
      </w:r>
      <w:r w:rsidR="00871B11">
        <w:t xml:space="preserve">But </w:t>
      </w:r>
      <w:r w:rsidR="002368F5">
        <w:t>t</w:t>
      </w:r>
      <w:r w:rsidR="002368F5" w:rsidRPr="00405290">
        <w:t>he term “report” is</w:t>
      </w:r>
      <w:r w:rsidR="002368F5">
        <w:t xml:space="preserve"> </w:t>
      </w:r>
      <w:r w:rsidR="00E3376C">
        <w:t>missing</w:t>
      </w:r>
      <w:r w:rsidR="002368F5" w:rsidRPr="00405290">
        <w:t xml:space="preserve"> from </w:t>
      </w:r>
      <w:r w:rsidR="00CB3319">
        <w:t>section 48264.5</w:t>
      </w:r>
      <w:r w:rsidR="002368F5" w:rsidRPr="00405290">
        <w:t>(d)</w:t>
      </w:r>
      <w:r w:rsidR="002368F5">
        <w:t xml:space="preserve">, which </w:t>
      </w:r>
      <w:r w:rsidR="00E27A5D" w:rsidRPr="00405290">
        <w:t>begins</w:t>
      </w:r>
      <w:r w:rsidR="00CA0009" w:rsidRPr="00405290">
        <w:t xml:space="preserve">:  </w:t>
      </w:r>
      <w:r w:rsidRPr="00405290">
        <w:t>“The fou</w:t>
      </w:r>
      <w:r w:rsidRPr="005E00EC">
        <w:t xml:space="preserve">rth time a </w:t>
      </w:r>
      <w:r w:rsidRPr="005E00EC">
        <w:rPr>
          <w:i/>
        </w:rPr>
        <w:t>truancy</w:t>
      </w:r>
      <w:r w:rsidRPr="00405290">
        <w:t xml:space="preserve"> is issued</w:t>
      </w:r>
      <w:r w:rsidR="00405290">
        <w:t> </w:t>
      </w:r>
      <w:r w:rsidR="00091076" w:rsidRPr="005E00EC">
        <w:t>.</w:t>
      </w:r>
      <w:r w:rsidR="00E27A5D">
        <w:t> . . .</w:t>
      </w:r>
      <w:r w:rsidRPr="005E00EC">
        <w:t xml:space="preserve">” </w:t>
      </w:r>
      <w:r w:rsidR="00091076" w:rsidRPr="005E00EC">
        <w:t xml:space="preserve"> </w:t>
      </w:r>
      <w:r w:rsidRPr="005E00EC">
        <w:t>(</w:t>
      </w:r>
      <w:r w:rsidR="00091076" w:rsidRPr="005E00EC">
        <w:t>I</w:t>
      </w:r>
      <w:r w:rsidRPr="005E00EC">
        <w:t>talics added</w:t>
      </w:r>
      <w:r w:rsidR="00091076" w:rsidRPr="005E00EC">
        <w:t>.</w:t>
      </w:r>
      <w:r w:rsidRPr="005E00EC">
        <w:t>)</w:t>
      </w:r>
      <w:bookmarkEnd w:id="17"/>
    </w:p>
    <w:p w14:paraId="31FDEACB" w14:textId="6881233E" w:rsidR="008E498F" w:rsidRPr="005E00EC" w:rsidRDefault="00B14E6C" w:rsidP="00963A1D">
      <w:pPr>
        <w:tabs>
          <w:tab w:val="left" w:pos="720"/>
        </w:tabs>
        <w:contextualSpacing/>
      </w:pPr>
      <w:r>
        <w:tab/>
      </w:r>
      <w:r w:rsidR="006173B6">
        <w:t xml:space="preserve">The Court of Appeal </w:t>
      </w:r>
      <w:r w:rsidR="0083476E">
        <w:t>determined that the</w:t>
      </w:r>
      <w:r w:rsidR="0083476E" w:rsidRPr="005E00EC">
        <w:t xml:space="preserve"> Legislature intentionally omitted “report” from </w:t>
      </w:r>
      <w:r w:rsidR="00C07846">
        <w:t>section 48264.5</w:t>
      </w:r>
      <w:r w:rsidR="0083476E" w:rsidRPr="005E00EC">
        <w:t>(d)</w:t>
      </w:r>
      <w:r w:rsidR="0083476E">
        <w:t xml:space="preserve">, and </w:t>
      </w:r>
      <w:r w:rsidR="002368F5">
        <w:t xml:space="preserve">it </w:t>
      </w:r>
      <w:r w:rsidR="00431E43">
        <w:t xml:space="preserve">concluded that a pupil comes within the jurisdiction of the juvenile court if she is “truant a fourth time (i.e., accrues six or more unexcused absences [or </w:t>
      </w:r>
      <w:proofErr w:type="spellStart"/>
      <w:r w:rsidR="00431E43">
        <w:t>tardies</w:t>
      </w:r>
      <w:proofErr w:type="spellEnd"/>
      <w:r w:rsidR="00431E43">
        <w:t xml:space="preserve">]),” even if a fourth truancy </w:t>
      </w:r>
      <w:r w:rsidR="00431E43" w:rsidRPr="00C2665E">
        <w:rPr>
          <w:i/>
        </w:rPr>
        <w:t>report</w:t>
      </w:r>
      <w:r w:rsidR="00431E43">
        <w:t xml:space="preserve"> has not been issued</w:t>
      </w:r>
      <w:r w:rsidR="006173B6">
        <w:t xml:space="preserve">. </w:t>
      </w:r>
      <w:r w:rsidR="006173B6" w:rsidRPr="006173B6">
        <w:t xml:space="preserve"> </w:t>
      </w:r>
      <w:r w:rsidR="006173B6" w:rsidRPr="005E00EC">
        <w:t>(</w:t>
      </w:r>
      <w:r w:rsidR="006173B6" w:rsidRPr="005E00EC">
        <w:rPr>
          <w:i/>
        </w:rPr>
        <w:t>A.N.</w:t>
      </w:r>
      <w:r w:rsidR="006173B6" w:rsidRPr="005E00EC">
        <w:t>,</w:t>
      </w:r>
      <w:r w:rsidR="006173B6" w:rsidRPr="005E00EC">
        <w:rPr>
          <w:i/>
        </w:rPr>
        <w:t xml:space="preserve"> supra</w:t>
      </w:r>
      <w:r w:rsidR="006173B6" w:rsidRPr="005E00EC">
        <w:t>, 11 Cal.App.5th at p. 406.)</w:t>
      </w:r>
      <w:r w:rsidR="0083476E">
        <w:t xml:space="preserve">  </w:t>
      </w:r>
      <w:r w:rsidR="00431E43">
        <w:t>Under its reasoning</w:t>
      </w:r>
      <w:r w:rsidR="009130F2">
        <w:t xml:space="preserve">, </w:t>
      </w:r>
      <w:r w:rsidR="003D3FFB">
        <w:t xml:space="preserve">a “truancy” is the minimum number of unexcused absences or </w:t>
      </w:r>
      <w:proofErr w:type="spellStart"/>
      <w:r w:rsidR="003D3FFB">
        <w:t>tardies</w:t>
      </w:r>
      <w:proofErr w:type="spellEnd"/>
      <w:r w:rsidR="003D3FFB">
        <w:t xml:space="preserve"> </w:t>
      </w:r>
      <w:r w:rsidR="00AA7A09">
        <w:t>needed</w:t>
      </w:r>
      <w:r w:rsidR="003D3FFB">
        <w:t xml:space="preserve"> to require the issuance of a truancy report</w:t>
      </w:r>
      <w:r w:rsidR="00431E43">
        <w:t>.  B</w:t>
      </w:r>
      <w:r w:rsidR="003D3FFB">
        <w:t xml:space="preserve">ecause </w:t>
      </w:r>
      <w:r w:rsidR="006173B6">
        <w:t xml:space="preserve">three unexcused absences or </w:t>
      </w:r>
      <w:proofErr w:type="spellStart"/>
      <w:r w:rsidR="006173B6">
        <w:t>tardies</w:t>
      </w:r>
      <w:proofErr w:type="spellEnd"/>
      <w:r w:rsidR="006173B6">
        <w:t xml:space="preserve"> are </w:t>
      </w:r>
      <w:r w:rsidR="00AA7A09">
        <w:t>needed</w:t>
      </w:r>
      <w:r w:rsidR="006173B6">
        <w:t xml:space="preserve"> to require </w:t>
      </w:r>
      <w:r w:rsidR="003D3FFB">
        <w:t>a</w:t>
      </w:r>
      <w:r w:rsidR="006173B6">
        <w:t xml:space="preserve"> first report</w:t>
      </w:r>
      <w:r w:rsidR="00C2665E">
        <w:t xml:space="preserve"> (§ 48240)</w:t>
      </w:r>
      <w:r w:rsidR="006173B6">
        <w:t xml:space="preserve">, and </w:t>
      </w:r>
      <w:r w:rsidR="00E3376C">
        <w:t>a</w:t>
      </w:r>
      <w:r w:rsidR="006173B6">
        <w:t xml:space="preserve"> subsequent unexcused absence or tardy is </w:t>
      </w:r>
      <w:r w:rsidR="00AA7A09">
        <w:t>needed</w:t>
      </w:r>
      <w:r w:rsidR="009130F2">
        <w:t xml:space="preserve"> to</w:t>
      </w:r>
      <w:r w:rsidR="006173B6">
        <w:t xml:space="preserve"> require an additional report</w:t>
      </w:r>
      <w:r w:rsidR="00C2665E">
        <w:t xml:space="preserve"> (§ 48261)</w:t>
      </w:r>
      <w:r w:rsidR="006173B6">
        <w:t xml:space="preserve">, six unexcused absences or </w:t>
      </w:r>
      <w:proofErr w:type="spellStart"/>
      <w:r w:rsidR="006173B6">
        <w:t>tard</w:t>
      </w:r>
      <w:r w:rsidR="009130F2">
        <w:t>ies</w:t>
      </w:r>
      <w:proofErr w:type="spellEnd"/>
      <w:r w:rsidR="009130F2">
        <w:t xml:space="preserve"> are </w:t>
      </w:r>
      <w:r w:rsidR="00AA7A09">
        <w:t>needed</w:t>
      </w:r>
      <w:r w:rsidR="009130F2">
        <w:t xml:space="preserve"> to require a fourth </w:t>
      </w:r>
      <w:r w:rsidR="003D3FFB">
        <w:t>r</w:t>
      </w:r>
      <w:r w:rsidR="009130F2">
        <w:t>eport</w:t>
      </w:r>
      <w:r w:rsidR="006173B6">
        <w:t>.</w:t>
      </w:r>
      <w:r w:rsidR="003D3FFB">
        <w:t xml:space="preserve">  </w:t>
      </w:r>
      <w:r w:rsidR="008E498F" w:rsidRPr="005E00EC">
        <w:t>We</w:t>
      </w:r>
      <w:r w:rsidR="00B86C07">
        <w:t xml:space="preserve"> reach a different interpretation.</w:t>
      </w:r>
    </w:p>
    <w:p w14:paraId="633A41E0" w14:textId="104210FE" w:rsidR="00177BF4" w:rsidRDefault="00103F11" w:rsidP="005E00EC">
      <w:pPr>
        <w:tabs>
          <w:tab w:val="left" w:pos="720"/>
        </w:tabs>
        <w:contextualSpacing/>
      </w:pPr>
      <w:r w:rsidRPr="005E00EC">
        <w:tab/>
      </w:r>
      <w:r w:rsidR="000356B3">
        <w:t>To begin</w:t>
      </w:r>
      <w:r w:rsidR="0016207D">
        <w:t xml:space="preserve">, we find </w:t>
      </w:r>
      <w:r w:rsidR="00871B11">
        <w:t xml:space="preserve">the phrase </w:t>
      </w:r>
      <w:r w:rsidR="00FC3142">
        <w:t>“[t]</w:t>
      </w:r>
      <w:r w:rsidR="00FC3142" w:rsidRPr="00061B40">
        <w:t>he fourth time a truancy is issued</w:t>
      </w:r>
      <w:r w:rsidR="00FC3142">
        <w:t xml:space="preserve">” </w:t>
      </w:r>
      <w:r w:rsidR="00CB3319">
        <w:t xml:space="preserve">in section 48264.5(d) </w:t>
      </w:r>
      <w:r w:rsidR="0016207D">
        <w:t>to be ambiguous.</w:t>
      </w:r>
      <w:r w:rsidR="00061B40">
        <w:t xml:space="preserve">  </w:t>
      </w:r>
      <w:r w:rsidR="00FC2144">
        <w:t>A</w:t>
      </w:r>
      <w:r w:rsidR="00FC3142" w:rsidRPr="005E00EC">
        <w:t xml:space="preserve">s used in each of </w:t>
      </w:r>
      <w:r w:rsidR="00FC3142">
        <w:t>section 48264.5’s</w:t>
      </w:r>
      <w:r w:rsidR="00FC3142" w:rsidRPr="005E00EC">
        <w:t xml:space="preserve"> subdivisions, “issued” is a transitive verb—one that requires a direct object.  </w:t>
      </w:r>
      <w:r w:rsidR="00871B11">
        <w:t xml:space="preserve">In the first three subdivisions, </w:t>
      </w:r>
      <w:r w:rsidR="00CF70B6" w:rsidRPr="005E00EC">
        <w:t>“</w:t>
      </w:r>
      <w:r w:rsidR="00871B11">
        <w:t>r</w:t>
      </w:r>
      <w:r w:rsidR="00CF70B6" w:rsidRPr="005E00EC">
        <w:t xml:space="preserve">eport” </w:t>
      </w:r>
      <w:r w:rsidR="00C2665E">
        <w:t xml:space="preserve">follows </w:t>
      </w:r>
      <w:r w:rsidR="00FC2144" w:rsidRPr="005E00EC">
        <w:t>natural</w:t>
      </w:r>
      <w:r w:rsidR="00FC2144">
        <w:t xml:space="preserve">ly </w:t>
      </w:r>
      <w:r w:rsidR="00C2665E">
        <w:t>as an</w:t>
      </w:r>
      <w:r w:rsidR="00BA7237" w:rsidRPr="005E00EC">
        <w:t xml:space="preserve"> object of “issued</w:t>
      </w:r>
      <w:r w:rsidR="00FC3142">
        <w:t>” because it is a concrete noun.</w:t>
      </w:r>
      <w:r w:rsidR="001A3BAB">
        <w:t xml:space="preserve">  </w:t>
      </w:r>
      <w:r w:rsidR="00871B11">
        <w:t xml:space="preserve">In the fourth subdivision, “truancy” </w:t>
      </w:r>
      <w:r w:rsidR="00FC2144">
        <w:t>follows aw</w:t>
      </w:r>
      <w:r w:rsidR="00FC2144" w:rsidRPr="001A5F6E">
        <w:t>kwardly b</w:t>
      </w:r>
      <w:r w:rsidR="00FC3142" w:rsidRPr="001A5F6E">
        <w:t>ecause</w:t>
      </w:r>
      <w:r w:rsidR="00FC2144" w:rsidRPr="001A5F6E">
        <w:t xml:space="preserve"> it</w:t>
      </w:r>
      <w:r w:rsidR="00FC3142" w:rsidRPr="001A5F6E">
        <w:t xml:space="preserve"> is an abstract noun</w:t>
      </w:r>
      <w:r w:rsidR="00FC2144" w:rsidRPr="001A5F6E">
        <w:t>,</w:t>
      </w:r>
      <w:r w:rsidR="00FC3142" w:rsidRPr="001A5F6E">
        <w:t xml:space="preserve"> generally defined as </w:t>
      </w:r>
      <w:r w:rsidR="00FC3142" w:rsidRPr="001A5F6E">
        <w:lastRenderedPageBreak/>
        <w:t>“an act or instance of playing truant</w:t>
      </w:r>
      <w:r w:rsidR="00963A1D" w:rsidRPr="001A5F6E">
        <w:t>” or “</w:t>
      </w:r>
      <w:r w:rsidR="00FC3142" w:rsidRPr="001A5F6E">
        <w:t>the state of being truant</w:t>
      </w:r>
      <w:r w:rsidR="00FC2144" w:rsidRPr="001A5F6E">
        <w:t xml:space="preserve">.”  </w:t>
      </w:r>
      <w:r w:rsidR="00FC3142" w:rsidRPr="001A5F6E">
        <w:rPr>
          <w:szCs w:val="26"/>
        </w:rPr>
        <w:t>(</w:t>
      </w:r>
      <w:r w:rsidR="00FC3142" w:rsidRPr="001A5F6E">
        <w:t>Webster’s Collegiate Dict. (</w:t>
      </w:r>
      <w:r w:rsidR="001A5F6E" w:rsidRPr="001A5F6E">
        <w:t>10th ed. 1993</w:t>
      </w:r>
      <w:r w:rsidR="00FC3142" w:rsidRPr="001A5F6E">
        <w:t>) p. </w:t>
      </w:r>
      <w:r w:rsidR="001A5F6E" w:rsidRPr="001A5F6E">
        <w:t>1267</w:t>
      </w:r>
      <w:r w:rsidR="00FC3142" w:rsidRPr="001A5F6E">
        <w:t>.)</w:t>
      </w:r>
    </w:p>
    <w:p w14:paraId="3F7F67A8" w14:textId="5DEAC4C1" w:rsidR="00FC2144" w:rsidRDefault="00177BF4" w:rsidP="005E00EC">
      <w:pPr>
        <w:tabs>
          <w:tab w:val="left" w:pos="720"/>
        </w:tabs>
        <w:contextualSpacing/>
      </w:pPr>
      <w:r>
        <w:tab/>
      </w:r>
      <w:r w:rsidR="00B86C07">
        <w:t>T</w:t>
      </w:r>
      <w:r w:rsidR="00FC2144">
        <w:t xml:space="preserve">he Court of Appeal </w:t>
      </w:r>
      <w:r w:rsidR="00431E43">
        <w:t>may have implicitly</w:t>
      </w:r>
      <w:r w:rsidR="00FC2144">
        <w:t xml:space="preserve"> read </w:t>
      </w:r>
      <w:r w:rsidR="00FC2144" w:rsidRPr="005E00EC">
        <w:t xml:space="preserve">“[t]he fourth time a truancy is issued” </w:t>
      </w:r>
      <w:r w:rsidR="00CB3319" w:rsidRPr="00CB3319">
        <w:t xml:space="preserve">in section 48264.5(d) </w:t>
      </w:r>
      <w:r w:rsidR="00431E43">
        <w:t xml:space="preserve">to mean </w:t>
      </w:r>
      <w:r w:rsidR="000356B3">
        <w:t>“</w:t>
      </w:r>
      <w:r w:rsidR="00FC2144">
        <w:t xml:space="preserve">the fourth time a truancy </w:t>
      </w:r>
      <w:r w:rsidR="00FC2144" w:rsidRPr="000356B3">
        <w:rPr>
          <w:i/>
        </w:rPr>
        <w:t>report</w:t>
      </w:r>
      <w:r w:rsidR="00FC2144">
        <w:t xml:space="preserve"> </w:t>
      </w:r>
      <w:r w:rsidR="00FC2144" w:rsidRPr="000356B3">
        <w:t>is</w:t>
      </w:r>
      <w:r w:rsidR="00FC2144" w:rsidRPr="00FC2144">
        <w:rPr>
          <w:i/>
        </w:rPr>
        <w:t xml:space="preserve"> required to</w:t>
      </w:r>
      <w:r w:rsidR="00FC2144">
        <w:t xml:space="preserve"> </w:t>
      </w:r>
      <w:r w:rsidR="00FC2144" w:rsidRPr="000356B3">
        <w:rPr>
          <w:i/>
        </w:rPr>
        <w:t>be</w:t>
      </w:r>
      <w:r w:rsidR="00FC2144">
        <w:t xml:space="preserve"> issued.</w:t>
      </w:r>
      <w:r w:rsidR="000356B3">
        <w:t>”</w:t>
      </w:r>
      <w:r w:rsidR="00FC2144">
        <w:t xml:space="preserve">  </w:t>
      </w:r>
      <w:bookmarkStart w:id="18" w:name="_Hlk34390530"/>
      <w:r w:rsidR="00DE4D67">
        <w:t>Although</w:t>
      </w:r>
      <w:r w:rsidR="000356B3">
        <w:t xml:space="preserve"> </w:t>
      </w:r>
      <w:r w:rsidR="00FC2144">
        <w:t xml:space="preserve">this </w:t>
      </w:r>
      <w:r w:rsidR="006C253F">
        <w:t>construction</w:t>
      </w:r>
      <w:r w:rsidR="00FC2144">
        <w:t xml:space="preserve"> </w:t>
      </w:r>
      <w:r w:rsidR="00431E43">
        <w:t>would solve</w:t>
      </w:r>
      <w:r w:rsidR="00FC2144">
        <w:t xml:space="preserve"> the</w:t>
      </w:r>
      <w:r w:rsidR="00D358A0">
        <w:t xml:space="preserve"> subdivision’s</w:t>
      </w:r>
      <w:r w:rsidR="00FC2144">
        <w:t xml:space="preserve"> grammatical problems,</w:t>
      </w:r>
      <w:r w:rsidR="000356B3">
        <w:t xml:space="preserve"> it </w:t>
      </w:r>
      <w:r w:rsidR="00431E43">
        <w:t xml:space="preserve">would </w:t>
      </w:r>
      <w:r w:rsidR="00DE4D67">
        <w:t xml:space="preserve">also </w:t>
      </w:r>
      <w:r w:rsidR="00D358A0">
        <w:t xml:space="preserve">mean that the consequences of subdivision (d) </w:t>
      </w:r>
      <w:r w:rsidR="00431E43">
        <w:t>would</w:t>
      </w:r>
      <w:r w:rsidR="00BF7B30">
        <w:t xml:space="preserve"> be</w:t>
      </w:r>
      <w:r w:rsidR="00D358A0">
        <w:t xml:space="preserve"> triggered by a</w:t>
      </w:r>
      <w:r>
        <w:t xml:space="preserve">n </w:t>
      </w:r>
      <w:r w:rsidR="00D358A0">
        <w:t>unexcused absence or tardy</w:t>
      </w:r>
      <w:r w:rsidR="00DE4D67">
        <w:t xml:space="preserve">, </w:t>
      </w:r>
      <w:r>
        <w:t>whereas</w:t>
      </w:r>
      <w:r w:rsidR="00DE4D67">
        <w:t xml:space="preserve"> </w:t>
      </w:r>
      <w:r w:rsidR="00D358A0">
        <w:t xml:space="preserve">the consequences of </w:t>
      </w:r>
      <w:r w:rsidR="00D358A0" w:rsidRPr="005E00EC">
        <w:t>subdivisions</w:t>
      </w:r>
      <w:r w:rsidR="00D358A0">
        <w:t xml:space="preserve"> (a), (b), and (c)</w:t>
      </w:r>
      <w:r w:rsidR="00DE4D67">
        <w:t xml:space="preserve"> </w:t>
      </w:r>
      <w:r w:rsidR="00431E43">
        <w:t>would be</w:t>
      </w:r>
      <w:r w:rsidR="00DE4D67">
        <w:t xml:space="preserve"> triggered by the issuance of a truancy report.</w:t>
      </w:r>
      <w:bookmarkEnd w:id="18"/>
      <w:r w:rsidR="00DE4D67">
        <w:t xml:space="preserve">  This c</w:t>
      </w:r>
      <w:r w:rsidR="00FC2144">
        <w:t xml:space="preserve">ould lead to the odd result that </w:t>
      </w:r>
      <w:r w:rsidR="00FC2144" w:rsidRPr="00FA2FED">
        <w:t xml:space="preserve">a </w:t>
      </w:r>
      <w:r w:rsidR="00FC2144">
        <w:t>pupil</w:t>
      </w:r>
      <w:r w:rsidR="00FC2144" w:rsidRPr="00FA2FED">
        <w:t xml:space="preserve"> </w:t>
      </w:r>
      <w:r w:rsidR="00DE4D67">
        <w:t xml:space="preserve">could </w:t>
      </w:r>
      <w:r w:rsidR="00FC2144" w:rsidRPr="00FA2FED">
        <w:t xml:space="preserve">be subject to the </w:t>
      </w:r>
      <w:r w:rsidR="000356B3">
        <w:t xml:space="preserve">most </w:t>
      </w:r>
      <w:r w:rsidR="006A23D2">
        <w:t xml:space="preserve">serious </w:t>
      </w:r>
      <w:r w:rsidR="00FC2144" w:rsidRPr="00FA2FED">
        <w:t>consequences of</w:t>
      </w:r>
      <w:r w:rsidR="00FC2144">
        <w:t xml:space="preserve"> the statutory scheme in</w:t>
      </w:r>
      <w:r w:rsidR="00FC2144" w:rsidRPr="00FA2FED">
        <w:t xml:space="preserve"> subdivision</w:t>
      </w:r>
      <w:r w:rsidR="001F6F07">
        <w:t xml:space="preserve"> </w:t>
      </w:r>
      <w:r w:rsidR="00FC2144" w:rsidRPr="00FA2FED">
        <w:t xml:space="preserve">(d) </w:t>
      </w:r>
      <w:r w:rsidR="00FC2144">
        <w:t xml:space="preserve">without being </w:t>
      </w:r>
      <w:r w:rsidR="00FC2144" w:rsidRPr="00FA2FED">
        <w:t xml:space="preserve">subject to the </w:t>
      </w:r>
      <w:r w:rsidR="00FC2144">
        <w:t xml:space="preserve">least </w:t>
      </w:r>
      <w:r w:rsidR="006A23D2">
        <w:t xml:space="preserve">serious </w:t>
      </w:r>
      <w:r w:rsidR="00FC2144" w:rsidRPr="00FA2FED">
        <w:t>consequences</w:t>
      </w:r>
      <w:r w:rsidR="00FC2144">
        <w:t xml:space="preserve"> in </w:t>
      </w:r>
      <w:r w:rsidR="00FC2144" w:rsidRPr="00FA2FED">
        <w:t>subdivision</w:t>
      </w:r>
      <w:r w:rsidR="001F6F07">
        <w:t xml:space="preserve"> </w:t>
      </w:r>
      <w:r w:rsidR="00FC2144" w:rsidRPr="00FA2FED">
        <w:t>(a)</w:t>
      </w:r>
      <w:r w:rsidR="00DE4D67">
        <w:t xml:space="preserve">, in the event that she </w:t>
      </w:r>
      <w:r w:rsidR="00B26A98">
        <w:t>accrues a sixth</w:t>
      </w:r>
      <w:r w:rsidR="00DE4D67">
        <w:t xml:space="preserve"> unexcused absence or tard</w:t>
      </w:r>
      <w:r w:rsidR="00B26A98">
        <w:t>y before being</w:t>
      </w:r>
      <w:r w:rsidR="00DE4D67">
        <w:t xml:space="preserve"> </w:t>
      </w:r>
      <w:r w:rsidR="00DE4D67" w:rsidRPr="00BF7B30">
        <w:rPr>
          <w:i/>
        </w:rPr>
        <w:t>reported</w:t>
      </w:r>
      <w:r w:rsidR="00DE4D67">
        <w:t xml:space="preserve"> as truant</w:t>
      </w:r>
      <w:r w:rsidR="00FC2144">
        <w:t>.</w:t>
      </w:r>
    </w:p>
    <w:p w14:paraId="1CD1F85C" w14:textId="4DB807EC" w:rsidR="00DE4D67" w:rsidRDefault="000356B3" w:rsidP="00DE4D67">
      <w:pPr>
        <w:tabs>
          <w:tab w:val="left" w:pos="720"/>
        </w:tabs>
        <w:contextualSpacing/>
      </w:pPr>
      <w:r>
        <w:tab/>
      </w:r>
      <w:r w:rsidR="00177BF4">
        <w:t>W</w:t>
      </w:r>
      <w:r>
        <w:t xml:space="preserve">e </w:t>
      </w:r>
      <w:r w:rsidR="00DE4D67">
        <w:t>believe a better interpretation</w:t>
      </w:r>
      <w:r w:rsidR="00177BF4">
        <w:t xml:space="preserve"> </w:t>
      </w:r>
      <w:r w:rsidR="00BF7B30">
        <w:t xml:space="preserve">of section 48264.5(d) </w:t>
      </w:r>
      <w:r w:rsidR="00DE4D67">
        <w:t>is</w:t>
      </w:r>
      <w:r w:rsidRPr="005E00EC">
        <w:t xml:space="preserve"> </w:t>
      </w:r>
      <w:r>
        <w:t xml:space="preserve">“the fourth time a truancy </w:t>
      </w:r>
      <w:r w:rsidRPr="000356B3">
        <w:rPr>
          <w:i/>
        </w:rPr>
        <w:t>report</w:t>
      </w:r>
      <w:r>
        <w:t xml:space="preserve"> </w:t>
      </w:r>
      <w:r w:rsidRPr="000356B3">
        <w:t>is</w:t>
      </w:r>
      <w:r w:rsidRPr="00FC2144">
        <w:rPr>
          <w:i/>
        </w:rPr>
        <w:t xml:space="preserve"> </w:t>
      </w:r>
      <w:r>
        <w:t xml:space="preserve">issued.”  </w:t>
      </w:r>
      <w:r w:rsidR="006C253F">
        <w:t>Specifically</w:t>
      </w:r>
      <w:r w:rsidR="00DE4D67">
        <w:t xml:space="preserve">, </w:t>
      </w:r>
      <w:r w:rsidR="00DE4D67" w:rsidRPr="005E00EC">
        <w:t xml:space="preserve">the parallel structure of section 48264.5’s subdivisions </w:t>
      </w:r>
      <w:r w:rsidR="00BF7B30">
        <w:t>indicates</w:t>
      </w:r>
      <w:r w:rsidR="00DE4D67" w:rsidRPr="005E00EC">
        <w:t xml:space="preserve"> th</w:t>
      </w:r>
      <w:r w:rsidR="00DE4D67">
        <w:t>at th</w:t>
      </w:r>
      <w:r w:rsidR="00DE4D67" w:rsidRPr="005E00EC">
        <w:t>e Legislature intended subsequent occurrences of the same event</w:t>
      </w:r>
      <w:r w:rsidR="006C253F">
        <w:t>—the issuance of a truancy report—</w:t>
      </w:r>
      <w:r w:rsidR="00DE4D67" w:rsidRPr="005E00EC">
        <w:t xml:space="preserve">to trigger </w:t>
      </w:r>
      <w:r w:rsidR="00DE4D67">
        <w:t xml:space="preserve">the </w:t>
      </w:r>
      <w:r w:rsidR="00DE4D67" w:rsidRPr="005E00EC">
        <w:t>increasingly serious consequences</w:t>
      </w:r>
      <w:r w:rsidR="00DE4D67">
        <w:t xml:space="preserve"> of the section.  </w:t>
      </w:r>
      <w:r w:rsidR="006C253F">
        <w:t>More generally</w:t>
      </w:r>
      <w:r w:rsidR="00DE4D67">
        <w:t xml:space="preserve">, </w:t>
      </w:r>
      <w:r w:rsidR="006C253F">
        <w:t xml:space="preserve">when </w:t>
      </w:r>
      <w:r w:rsidR="006C253F" w:rsidRPr="006C253F">
        <w:t>section 48264.5</w:t>
      </w:r>
      <w:r w:rsidR="006C253F">
        <w:t xml:space="preserve"> is read in context,</w:t>
      </w:r>
      <w:r w:rsidR="00DE4D67">
        <w:t xml:space="preserve"> </w:t>
      </w:r>
      <w:r w:rsidR="00BF7B30">
        <w:t>it seems</w:t>
      </w:r>
      <w:r w:rsidR="006C253F">
        <w:t xml:space="preserve"> that</w:t>
      </w:r>
      <w:r w:rsidR="00DE4D67">
        <w:t xml:space="preserve"> the Legislature did not intend unexcused absences or </w:t>
      </w:r>
      <w:proofErr w:type="spellStart"/>
      <w:r w:rsidR="00DE4D67">
        <w:t>tardies</w:t>
      </w:r>
      <w:proofErr w:type="spellEnd"/>
      <w:r w:rsidR="00DE4D67">
        <w:t xml:space="preserve"> to </w:t>
      </w:r>
      <w:r w:rsidR="00DE4D67" w:rsidRPr="005E00EC">
        <w:t>trigger</w:t>
      </w:r>
      <w:r w:rsidR="00DE4D67">
        <w:t xml:space="preserve"> </w:t>
      </w:r>
      <w:r w:rsidR="00DE4D67" w:rsidRPr="005E00EC">
        <w:t>increasingly serious consequences</w:t>
      </w:r>
      <w:r w:rsidR="00DE4D67">
        <w:t xml:space="preserve"> unless they are</w:t>
      </w:r>
      <w:r w:rsidR="00DE4D67" w:rsidRPr="00D664F8">
        <w:rPr>
          <w:i/>
        </w:rPr>
        <w:t xml:space="preserve"> reported</w:t>
      </w:r>
      <w:r w:rsidR="00DE4D67">
        <w:t xml:space="preserve"> in accordance with the statutory scheme.  For example, a third </w:t>
      </w:r>
      <w:r w:rsidR="00DE4D67" w:rsidRPr="001B0F29">
        <w:t xml:space="preserve">unexcused absence or tardy does not </w:t>
      </w:r>
      <w:r w:rsidR="00DE4D67">
        <w:t xml:space="preserve">lead to any </w:t>
      </w:r>
      <w:r w:rsidR="00DE4D67" w:rsidRPr="001B0F29">
        <w:t>consequences unless the pupil</w:t>
      </w:r>
      <w:r w:rsidR="00DE4D67">
        <w:t xml:space="preserve"> is “reported </w:t>
      </w:r>
      <w:r w:rsidR="00DE4D67" w:rsidRPr="001B0F29">
        <w:t>to the attendance supervisor or to the superintendent of the school district</w:t>
      </w:r>
      <w:r w:rsidR="00DE4D67">
        <w:t xml:space="preserve">” as required by section 48260.  (See § 48264.5, </w:t>
      </w:r>
      <w:proofErr w:type="spellStart"/>
      <w:r w:rsidR="00DE4D67">
        <w:t>subd</w:t>
      </w:r>
      <w:proofErr w:type="spellEnd"/>
      <w:r w:rsidR="00DE4D67">
        <w:t>.</w:t>
      </w:r>
      <w:r w:rsidR="001F6F07">
        <w:t> </w:t>
      </w:r>
      <w:r w:rsidR="00DE4D67">
        <w:t xml:space="preserve">(a).)  A fourth </w:t>
      </w:r>
      <w:r w:rsidR="00DE4D67" w:rsidRPr="006B6476">
        <w:t>unexcused absence or tard</w:t>
      </w:r>
      <w:r w:rsidR="00DE4D67">
        <w:t xml:space="preserve">y does not lead to more serious </w:t>
      </w:r>
      <w:r w:rsidR="00DE4D67">
        <w:lastRenderedPageBreak/>
        <w:t xml:space="preserve">consequences unless the pupil “has once been </w:t>
      </w:r>
      <w:r w:rsidR="00DE4D67" w:rsidRPr="0042368F">
        <w:t>reported</w:t>
      </w:r>
      <w:r w:rsidR="00DE4D67">
        <w:t xml:space="preserve"> as </w:t>
      </w:r>
      <w:r w:rsidR="00120A42">
        <w:t xml:space="preserve">a </w:t>
      </w:r>
      <w:r w:rsidR="00DE4D67">
        <w:t>truant” and is “again</w:t>
      </w:r>
      <w:r w:rsidR="00120A42">
        <w:t> . . .</w:t>
      </w:r>
      <w:r w:rsidR="00DE4D67">
        <w:t xml:space="preserve"> reported as a truant” as required by section 48261.  (See § 48264.5, </w:t>
      </w:r>
      <w:proofErr w:type="spellStart"/>
      <w:r w:rsidR="00DE4D67">
        <w:t>subd</w:t>
      </w:r>
      <w:proofErr w:type="spellEnd"/>
      <w:r w:rsidR="00DE4D67">
        <w:t xml:space="preserve">. (b).)  </w:t>
      </w:r>
      <w:r w:rsidR="00B86C07">
        <w:t>Likewise, a</w:t>
      </w:r>
      <w:r w:rsidR="00DE4D67">
        <w:t xml:space="preserve"> fifth unexcused </w:t>
      </w:r>
      <w:r w:rsidR="00DE4D67" w:rsidRPr="001B0F29">
        <w:t>absence or tardy does not lead to</w:t>
      </w:r>
      <w:r w:rsidR="00DE4D67">
        <w:t xml:space="preserve"> classification as a habitual truant</w:t>
      </w:r>
      <w:r w:rsidR="00DE4D67" w:rsidRPr="001B0F29">
        <w:t xml:space="preserve"> </w:t>
      </w:r>
      <w:r w:rsidR="00DE4D67">
        <w:t xml:space="preserve">and to </w:t>
      </w:r>
      <w:r w:rsidR="00DE4D67" w:rsidRPr="001B0F29">
        <w:t xml:space="preserve">more serious consequences </w:t>
      </w:r>
      <w:r w:rsidR="00DE4D67">
        <w:t xml:space="preserve">unless </w:t>
      </w:r>
      <w:r w:rsidR="00DE4D67" w:rsidRPr="001B0F29">
        <w:t>the pupil</w:t>
      </w:r>
      <w:r w:rsidR="00DE4D67">
        <w:t xml:space="preserve"> is </w:t>
      </w:r>
      <w:r w:rsidR="00DE4D67" w:rsidRPr="001B0F29">
        <w:t xml:space="preserve">“again </w:t>
      </w:r>
      <w:r w:rsidR="00120A42">
        <w:t xml:space="preserve">. . . </w:t>
      </w:r>
      <w:r w:rsidR="00DE4D67" w:rsidRPr="001B0F29">
        <w:t>reported as a truant” as required by section 48261</w:t>
      </w:r>
      <w:r w:rsidR="00DE4D67">
        <w:t>.  (See §§</w:t>
      </w:r>
      <w:r w:rsidR="00DE4D67">
        <w:rPr>
          <w:sz w:val="24"/>
        </w:rPr>
        <w:t> </w:t>
      </w:r>
      <w:r w:rsidR="00DE4D67" w:rsidRPr="001B0F29">
        <w:t>48262</w:t>
      </w:r>
      <w:r w:rsidR="00DE4D67">
        <w:t xml:space="preserve">, </w:t>
      </w:r>
      <w:r w:rsidR="00DE4D67" w:rsidRPr="001B0F29">
        <w:t xml:space="preserve">48264.5, </w:t>
      </w:r>
      <w:proofErr w:type="spellStart"/>
      <w:r w:rsidR="00DE4D67" w:rsidRPr="001B0F29">
        <w:t>subd</w:t>
      </w:r>
      <w:proofErr w:type="spellEnd"/>
      <w:r w:rsidR="00DE4D67">
        <w:t>. </w:t>
      </w:r>
      <w:r w:rsidR="00DE4D67" w:rsidRPr="001B0F29">
        <w:t>(</w:t>
      </w:r>
      <w:r w:rsidR="00DE4D67">
        <w:t>c</w:t>
      </w:r>
      <w:r w:rsidR="00DE4D67" w:rsidRPr="001B0F29">
        <w:t>)</w:t>
      </w:r>
      <w:r w:rsidR="00DE4D67">
        <w:t xml:space="preserve">.)  </w:t>
      </w:r>
      <w:r w:rsidR="00BF7B30">
        <w:t>This suggests</w:t>
      </w:r>
      <w:r w:rsidR="00DE4D67">
        <w:t xml:space="preserve"> that a sixth</w:t>
      </w:r>
      <w:r w:rsidR="00DE4D67" w:rsidRPr="001B0F29">
        <w:t xml:space="preserve"> unexcused absence or tardy </w:t>
      </w:r>
      <w:r w:rsidR="00DE4D67">
        <w:t>should</w:t>
      </w:r>
      <w:r w:rsidR="00DE4D67" w:rsidRPr="001B0F29">
        <w:t xml:space="preserve"> not lead </w:t>
      </w:r>
      <w:r w:rsidR="00DE4D67">
        <w:t xml:space="preserve">to the most </w:t>
      </w:r>
      <w:r w:rsidR="00DE4D67" w:rsidRPr="001B0F29">
        <w:t xml:space="preserve">serious consequences </w:t>
      </w:r>
      <w:r w:rsidR="00DE4D67">
        <w:t xml:space="preserve">of the statutory scheme </w:t>
      </w:r>
      <w:r w:rsidR="00DE4D67" w:rsidRPr="00366AD6">
        <w:t>unless the pupil is “again</w:t>
      </w:r>
      <w:r w:rsidR="00120A42">
        <w:t> . . .</w:t>
      </w:r>
      <w:r w:rsidR="00DE4D67" w:rsidRPr="00366AD6">
        <w:t xml:space="preserve"> reported as a truant” as required by section 48261</w:t>
      </w:r>
      <w:r w:rsidR="00DE4D67">
        <w:t>.  (See § </w:t>
      </w:r>
      <w:r w:rsidR="00DE4D67" w:rsidRPr="001B0F29">
        <w:t xml:space="preserve">48264.5, </w:t>
      </w:r>
      <w:proofErr w:type="spellStart"/>
      <w:r w:rsidR="00DE4D67" w:rsidRPr="001B0F29">
        <w:t>subd</w:t>
      </w:r>
      <w:proofErr w:type="spellEnd"/>
      <w:r w:rsidR="00DE4D67">
        <w:t>. </w:t>
      </w:r>
      <w:r w:rsidR="00DE4D67" w:rsidRPr="001B0F29">
        <w:t>(</w:t>
      </w:r>
      <w:r w:rsidR="00DE4D67">
        <w:t>d</w:t>
      </w:r>
      <w:r w:rsidR="00DE4D67" w:rsidRPr="001B0F29">
        <w:t>)</w:t>
      </w:r>
      <w:r w:rsidR="00DE4D67">
        <w:t>.)</w:t>
      </w:r>
    </w:p>
    <w:p w14:paraId="592F2540" w14:textId="0CF965F2" w:rsidR="00587332" w:rsidRDefault="00DE4D67" w:rsidP="00587332">
      <w:pPr>
        <w:tabs>
          <w:tab w:val="left" w:pos="720"/>
        </w:tabs>
        <w:contextualSpacing/>
      </w:pPr>
      <w:r>
        <w:tab/>
      </w:r>
      <w:r w:rsidR="00FC2144">
        <w:t>E</w:t>
      </w:r>
      <w:r w:rsidR="00587332">
        <w:t>ven if the Legislature intentionally</w:t>
      </w:r>
      <w:r w:rsidR="00587332" w:rsidRPr="005E00EC">
        <w:t xml:space="preserve"> omitted</w:t>
      </w:r>
      <w:r w:rsidR="006C253F">
        <w:t xml:space="preserve"> the term</w:t>
      </w:r>
      <w:r w:rsidR="00587332" w:rsidRPr="005E00EC">
        <w:t xml:space="preserve"> “report” from subdivision (d)</w:t>
      </w:r>
      <w:r w:rsidR="00587332">
        <w:t xml:space="preserve">, we do not believe </w:t>
      </w:r>
      <w:r w:rsidR="001F6F07">
        <w:t>it intended the</w:t>
      </w:r>
      <w:r w:rsidR="007E7B2B" w:rsidRPr="005E00EC">
        <w:t xml:space="preserve"> omission to have substantive significance.</w:t>
      </w:r>
      <w:r w:rsidR="007E7B2B">
        <w:t xml:space="preserve"> </w:t>
      </w:r>
      <w:r w:rsidR="00FA429A" w:rsidRPr="005E00EC">
        <w:t xml:space="preserve"> </w:t>
      </w:r>
      <w:r w:rsidR="00361FB5" w:rsidRPr="005E00EC">
        <w:t>When the Legislature added section 48264.5</w:t>
      </w:r>
      <w:r w:rsidR="008C0D24" w:rsidRPr="005E00EC">
        <w:t xml:space="preserve"> </w:t>
      </w:r>
      <w:r w:rsidR="00361FB5" w:rsidRPr="005E00EC">
        <w:t xml:space="preserve">in 1994, the </w:t>
      </w:r>
      <w:r w:rsidR="004D7920" w:rsidRPr="005E00EC">
        <w:t xml:space="preserve">section’s </w:t>
      </w:r>
      <w:r w:rsidR="00361FB5" w:rsidRPr="005E00EC">
        <w:t>subdivisions began</w:t>
      </w:r>
      <w:r w:rsidR="00CA0009" w:rsidRPr="005E00EC">
        <w:t xml:space="preserve">:  </w:t>
      </w:r>
      <w:r w:rsidR="00361FB5" w:rsidRPr="005E00EC">
        <w:t>“</w:t>
      </w:r>
      <w:r w:rsidR="00C4696C" w:rsidRPr="005E00EC">
        <w:t>U</w:t>
      </w:r>
      <w:r w:rsidR="00361FB5" w:rsidRPr="005E00EC">
        <w:t xml:space="preserve">pon the [first/second/third/fourth] truancy . . . .”  (Stats. 1994, </w:t>
      </w:r>
      <w:proofErr w:type="spellStart"/>
      <w:r w:rsidR="00361FB5" w:rsidRPr="005E00EC">
        <w:t>ch.</w:t>
      </w:r>
      <w:proofErr w:type="spellEnd"/>
      <w:r w:rsidR="00361FB5" w:rsidRPr="005E00EC">
        <w:t> 1023, § 4</w:t>
      </w:r>
      <w:r w:rsidR="00120A42">
        <w:t>, p. 6215</w:t>
      </w:r>
      <w:r w:rsidR="00361FB5" w:rsidRPr="005E00EC">
        <w:t xml:space="preserve">).  </w:t>
      </w:r>
      <w:r w:rsidR="00381837" w:rsidRPr="005E00EC">
        <w:t>Thus, t</w:t>
      </w:r>
      <w:r w:rsidR="00F14E2F" w:rsidRPr="005E00EC">
        <w:t>he subdivisions originally shared identical language and meaning</w:t>
      </w:r>
      <w:r w:rsidR="001F6F07">
        <w:t>;</w:t>
      </w:r>
      <w:r w:rsidR="00F14E2F" w:rsidRPr="005E00EC">
        <w:t xml:space="preserve"> </w:t>
      </w:r>
      <w:r w:rsidR="00626C58" w:rsidRPr="005E00EC">
        <w:t xml:space="preserve">successive </w:t>
      </w:r>
      <w:r w:rsidR="00626C58">
        <w:t>“</w:t>
      </w:r>
      <w:proofErr w:type="spellStart"/>
      <w:r w:rsidR="00626C58" w:rsidRPr="005E00EC">
        <w:t>truanc</w:t>
      </w:r>
      <w:proofErr w:type="spellEnd"/>
      <w:r w:rsidR="00120A42">
        <w:t>[</w:t>
      </w:r>
      <w:proofErr w:type="spellStart"/>
      <w:r w:rsidR="00626C58" w:rsidRPr="005E00EC">
        <w:t>ies</w:t>
      </w:r>
      <w:proofErr w:type="spellEnd"/>
      <w:r w:rsidR="00120A42">
        <w:t>]</w:t>
      </w:r>
      <w:r w:rsidR="00626C58">
        <w:t xml:space="preserve">” triggered </w:t>
      </w:r>
      <w:r w:rsidR="00381837" w:rsidRPr="005E00EC">
        <w:t>the increasingly serious consequences of each subdivision</w:t>
      </w:r>
      <w:r w:rsidR="00626C58">
        <w:t>.</w:t>
      </w:r>
      <w:r w:rsidR="00F14E2F" w:rsidRPr="005E00EC">
        <w:t xml:space="preserve">  </w:t>
      </w:r>
      <w:r w:rsidR="00361FB5" w:rsidRPr="005E00EC">
        <w:t>In 2001, the Legislature amended the section such tha</w:t>
      </w:r>
      <w:r w:rsidR="00C4696C" w:rsidRPr="005E00EC">
        <w:t xml:space="preserve">t subdivisions (a), (b), and (c) began, “The [first/second/third] time a truancy </w:t>
      </w:r>
      <w:r w:rsidR="00C4696C" w:rsidRPr="008761AD">
        <w:t>report</w:t>
      </w:r>
      <w:r w:rsidR="00C4696C" w:rsidRPr="005E00EC">
        <w:t xml:space="preserve"> is required . . .</w:t>
      </w:r>
      <w:r w:rsidR="006844D4" w:rsidRPr="005E00EC">
        <w:t> ,</w:t>
      </w:r>
      <w:r w:rsidR="00C4696C" w:rsidRPr="005E00EC">
        <w:t>” and subdivision (d) began, “The fourth time a truancy is required</w:t>
      </w:r>
      <w:r w:rsidR="0066739A" w:rsidRPr="005E00EC">
        <w:t xml:space="preserve"> to be </w:t>
      </w:r>
      <w:r w:rsidR="0066739A" w:rsidRPr="008761AD">
        <w:t>reported</w:t>
      </w:r>
      <w:r w:rsidR="00C4696C" w:rsidRPr="005E00EC">
        <w:t xml:space="preserve"> . . . .”  </w:t>
      </w:r>
      <w:r w:rsidR="00361FB5" w:rsidRPr="005E00EC">
        <w:t xml:space="preserve">(Stats. 2001, </w:t>
      </w:r>
      <w:proofErr w:type="spellStart"/>
      <w:r w:rsidR="00361FB5" w:rsidRPr="005E00EC">
        <w:t>ch.</w:t>
      </w:r>
      <w:proofErr w:type="spellEnd"/>
      <w:r w:rsidR="00361FB5" w:rsidRPr="005E00EC">
        <w:t> 734, § 29</w:t>
      </w:r>
      <w:r w:rsidR="002233A7" w:rsidRPr="005E00EC">
        <w:t>,</w:t>
      </w:r>
      <w:r w:rsidR="002E052A">
        <w:t xml:space="preserve"> p</w:t>
      </w:r>
      <w:r w:rsidR="00976BBD">
        <w:t>p</w:t>
      </w:r>
      <w:r w:rsidR="002E052A">
        <w:t>. 578</w:t>
      </w:r>
      <w:r w:rsidR="00976BBD">
        <w:t>6–578</w:t>
      </w:r>
      <w:r w:rsidR="002E052A">
        <w:t>7</w:t>
      </w:r>
      <w:r w:rsidR="00361FB5" w:rsidRPr="005E00EC">
        <w:t>.)</w:t>
      </w:r>
      <w:r w:rsidR="00C4696C" w:rsidRPr="005E00EC">
        <w:t xml:space="preserve">  </w:t>
      </w:r>
      <w:r w:rsidR="00F14E2F" w:rsidRPr="005E00EC">
        <w:t xml:space="preserve">At this time, the </w:t>
      </w:r>
      <w:r w:rsidR="002233A7" w:rsidRPr="005E00EC">
        <w:t xml:space="preserve">introductory </w:t>
      </w:r>
      <w:r w:rsidR="00F14E2F" w:rsidRPr="005E00EC">
        <w:t>language of subdivision</w:t>
      </w:r>
      <w:r w:rsidR="001F6F07">
        <w:t xml:space="preserve"> </w:t>
      </w:r>
      <w:r w:rsidR="00F14E2F" w:rsidRPr="005E00EC">
        <w:t xml:space="preserve">(d) was </w:t>
      </w:r>
      <w:r w:rsidR="002233A7" w:rsidRPr="005E00EC">
        <w:t xml:space="preserve">slightly </w:t>
      </w:r>
      <w:r w:rsidR="00F14E2F" w:rsidRPr="005E00EC">
        <w:t xml:space="preserve">different </w:t>
      </w:r>
      <w:r w:rsidR="002233A7" w:rsidRPr="005E00EC">
        <w:t>from that of the other subdivisions</w:t>
      </w:r>
      <w:r w:rsidR="00F14E2F" w:rsidRPr="005E00EC">
        <w:t>, but its meaning was the same</w:t>
      </w:r>
      <w:r w:rsidR="00626C58">
        <w:t>;</w:t>
      </w:r>
      <w:r w:rsidR="00F14E2F" w:rsidRPr="005E00EC">
        <w:t xml:space="preserve"> </w:t>
      </w:r>
      <w:r w:rsidR="00626C58" w:rsidRPr="008761AD">
        <w:t xml:space="preserve">successive truancies </w:t>
      </w:r>
      <w:r w:rsidR="00626C58">
        <w:t xml:space="preserve">continued to </w:t>
      </w:r>
      <w:r w:rsidR="00626C58" w:rsidRPr="008761AD">
        <w:t xml:space="preserve">trigger </w:t>
      </w:r>
      <w:r w:rsidR="008761AD" w:rsidRPr="008761AD">
        <w:t xml:space="preserve">the increasingly serious consequences of each subdivision </w:t>
      </w:r>
      <w:r w:rsidR="00626C58" w:rsidRPr="008761AD">
        <w:t>b</w:t>
      </w:r>
      <w:r w:rsidR="00626C58">
        <w:t xml:space="preserve">ecause </w:t>
      </w:r>
      <w:r w:rsidR="0074251E" w:rsidRPr="008761AD">
        <w:t>successive truancies</w:t>
      </w:r>
      <w:r w:rsidR="0074251E">
        <w:t xml:space="preserve"> required successive reports under s</w:t>
      </w:r>
      <w:r w:rsidR="00626C58">
        <w:t>ection 48261</w:t>
      </w:r>
      <w:r w:rsidR="00F14E2F" w:rsidRPr="005E00EC">
        <w:t xml:space="preserve">.  </w:t>
      </w:r>
      <w:r w:rsidR="00491405" w:rsidRPr="005E00EC">
        <w:t>In 2012, the Legislature again amended the section</w:t>
      </w:r>
      <w:r w:rsidR="006844D4" w:rsidRPr="005E00EC">
        <w:t xml:space="preserve"> such that subdivisions </w:t>
      </w:r>
      <w:r w:rsidR="006844D4" w:rsidRPr="005E00EC">
        <w:lastRenderedPageBreak/>
        <w:t xml:space="preserve">(a), (b), and (c) </w:t>
      </w:r>
      <w:r w:rsidR="00477700" w:rsidRPr="005E00EC">
        <w:t xml:space="preserve">now </w:t>
      </w:r>
      <w:r w:rsidR="006844D4" w:rsidRPr="005E00EC">
        <w:t xml:space="preserve">begin, “The </w:t>
      </w:r>
      <w:r w:rsidR="000222C9" w:rsidRPr="005E00EC">
        <w:t>[</w:t>
      </w:r>
      <w:r w:rsidR="006844D4" w:rsidRPr="005E00EC">
        <w:t>first</w:t>
      </w:r>
      <w:r w:rsidR="000222C9" w:rsidRPr="005E00EC">
        <w:t>/second/third]</w:t>
      </w:r>
      <w:r w:rsidR="006844D4" w:rsidRPr="005E00EC">
        <w:t xml:space="preserve"> time a truancy report is </w:t>
      </w:r>
      <w:r w:rsidR="006844D4" w:rsidRPr="008761AD">
        <w:t>issued</w:t>
      </w:r>
      <w:r w:rsidR="006844D4" w:rsidRPr="005E00EC">
        <w:t> . . . ,” and subdivision (d)</w:t>
      </w:r>
      <w:r w:rsidR="00B86C07">
        <w:t xml:space="preserve"> now</w:t>
      </w:r>
      <w:r w:rsidR="006844D4" w:rsidRPr="005E00EC">
        <w:t xml:space="preserve"> begins, “The fourth time a truancy is </w:t>
      </w:r>
      <w:r w:rsidR="006844D4" w:rsidRPr="008761AD">
        <w:t>issued</w:t>
      </w:r>
      <w:r w:rsidR="006844D4" w:rsidRPr="005E00EC">
        <w:t xml:space="preserve"> . . . .”  (Stats. 2012, </w:t>
      </w:r>
      <w:proofErr w:type="spellStart"/>
      <w:r w:rsidR="006844D4" w:rsidRPr="005E00EC">
        <w:t>ch.</w:t>
      </w:r>
      <w:proofErr w:type="spellEnd"/>
      <w:r w:rsidR="006844D4" w:rsidRPr="005E00EC">
        <w:t> 432, § 2.)</w:t>
      </w:r>
      <w:r w:rsidR="00F14E2F" w:rsidRPr="005E00EC">
        <w:t xml:space="preserve">  </w:t>
      </w:r>
      <w:r w:rsidR="00521332" w:rsidRPr="005E00EC">
        <w:t xml:space="preserve">With the 2012 amendment, the Legislature substituted “issued” for “required” in subdivisions (a), (b), and (c) and </w:t>
      </w:r>
      <w:r w:rsidR="007836C2" w:rsidRPr="005E00EC">
        <w:t xml:space="preserve">for </w:t>
      </w:r>
      <w:r w:rsidR="00521332" w:rsidRPr="005E00EC">
        <w:t>“required to be reported” in subdivision</w:t>
      </w:r>
      <w:r w:rsidR="001F6F07">
        <w:t xml:space="preserve"> </w:t>
      </w:r>
      <w:r w:rsidR="00521332" w:rsidRPr="005E00EC">
        <w:t>(d)</w:t>
      </w:r>
      <w:r w:rsidR="00EB7DCF" w:rsidRPr="007E7B2B">
        <w:t>.</w:t>
      </w:r>
      <w:r w:rsidR="006E1652" w:rsidRPr="007E7B2B">
        <w:t xml:space="preserve">  </w:t>
      </w:r>
      <w:r w:rsidR="001E010B">
        <w:t>T</w:t>
      </w:r>
      <w:r w:rsidR="002233A7" w:rsidRPr="007E7B2B">
        <w:t>he</w:t>
      </w:r>
      <w:r w:rsidR="001E010B">
        <w:t xml:space="preserve"> apparent</w:t>
      </w:r>
      <w:r w:rsidR="007E7B2B" w:rsidRPr="007E7B2B">
        <w:t xml:space="preserve"> </w:t>
      </w:r>
      <w:r w:rsidR="007E7B2B">
        <w:t xml:space="preserve">purpose of this amendment was </w:t>
      </w:r>
      <w:r w:rsidR="00626C58">
        <w:t xml:space="preserve">to clarify that </w:t>
      </w:r>
      <w:r w:rsidR="0074251E">
        <w:t xml:space="preserve">successive </w:t>
      </w:r>
      <w:r w:rsidR="0074251E" w:rsidRPr="007E7B2B">
        <w:t>truanc</w:t>
      </w:r>
      <w:r w:rsidR="0074251E">
        <w:t>ies must be</w:t>
      </w:r>
      <w:r w:rsidR="0074251E" w:rsidRPr="00D664F8">
        <w:rPr>
          <w:i/>
        </w:rPr>
        <w:t xml:space="preserve"> reported</w:t>
      </w:r>
      <w:r w:rsidR="0074251E">
        <w:t xml:space="preserve"> in order to </w:t>
      </w:r>
      <w:r w:rsidR="0074251E" w:rsidRPr="005E00EC">
        <w:t>trigger</w:t>
      </w:r>
      <w:r w:rsidR="0074251E">
        <w:t xml:space="preserve"> </w:t>
      </w:r>
      <w:r w:rsidR="00587332">
        <w:t>t</w:t>
      </w:r>
      <w:r w:rsidR="00587332" w:rsidRPr="005E00EC">
        <w:t>he increasingly serious consequences of each subdivision</w:t>
      </w:r>
      <w:r w:rsidR="0074251E">
        <w:t>.</w:t>
      </w:r>
      <w:r w:rsidR="00587332">
        <w:t xml:space="preserve">  </w:t>
      </w:r>
      <w:r w:rsidR="006C253F">
        <w:t>N</w:t>
      </w:r>
      <w:r>
        <w:t>othing</w:t>
      </w:r>
      <w:r w:rsidR="00587332">
        <w:t xml:space="preserve"> in the legislative history suggests </w:t>
      </w:r>
      <w:r w:rsidR="001F6F07">
        <w:t xml:space="preserve">that </w:t>
      </w:r>
      <w:r w:rsidR="00587332">
        <w:t>the Legislature intended the language in subdivision (d) to have different meaning than the language of the other subdivisions.</w:t>
      </w:r>
    </w:p>
    <w:p w14:paraId="7DA4725A" w14:textId="6E3DEFFA" w:rsidR="00060116" w:rsidRDefault="00195038" w:rsidP="005E00EC">
      <w:pPr>
        <w:tabs>
          <w:tab w:val="left" w:pos="720"/>
        </w:tabs>
        <w:contextualSpacing/>
      </w:pPr>
      <w:r>
        <w:tab/>
      </w:r>
      <w:r w:rsidR="001A70F2">
        <w:t>For these reasons</w:t>
      </w:r>
      <w:r w:rsidR="001E010B" w:rsidRPr="005E00EC">
        <w:t xml:space="preserve">, we </w:t>
      </w:r>
      <w:r w:rsidR="001A70F2">
        <w:t>interpret</w:t>
      </w:r>
      <w:r w:rsidR="001E010B" w:rsidRPr="005E00EC">
        <w:t xml:space="preserve"> “[t]he fourth time a truancy is issued” in section 48264.5(d) to mean “the fourth time a truancy </w:t>
      </w:r>
      <w:r w:rsidR="001E010B" w:rsidRPr="005E00EC">
        <w:rPr>
          <w:i/>
        </w:rPr>
        <w:t>report</w:t>
      </w:r>
      <w:r w:rsidR="001E010B" w:rsidRPr="005E00EC">
        <w:t xml:space="preserve"> is issued</w:t>
      </w:r>
      <w:r w:rsidR="00123D1E">
        <w:t>.</w:t>
      </w:r>
      <w:r w:rsidR="001E010B" w:rsidRPr="005E00EC">
        <w:t>”</w:t>
      </w:r>
      <w:r w:rsidR="006D0457">
        <w:t xml:space="preserve"> </w:t>
      </w:r>
      <w:r w:rsidR="00123D1E">
        <w:t xml:space="preserve"> Accordingly,</w:t>
      </w:r>
      <w:r w:rsidR="006D0457">
        <w:t xml:space="preserve"> </w:t>
      </w:r>
      <w:r w:rsidR="00EB3B78">
        <w:t xml:space="preserve">we </w:t>
      </w:r>
      <w:r w:rsidR="001A70F2">
        <w:t>read</w:t>
      </w:r>
      <w:r w:rsidR="00EB3B78">
        <w:t xml:space="preserve"> “four or more truancies” in Welfare and Institutions Code </w:t>
      </w:r>
      <w:r w:rsidR="006D0457">
        <w:t xml:space="preserve">section 601(b) </w:t>
      </w:r>
      <w:r w:rsidR="00EB3B78">
        <w:t xml:space="preserve">to </w:t>
      </w:r>
      <w:r w:rsidR="001A70F2">
        <w:t>refer</w:t>
      </w:r>
      <w:r w:rsidR="00EB3B78">
        <w:t xml:space="preserve"> </w:t>
      </w:r>
      <w:r w:rsidR="00123D1E">
        <w:t xml:space="preserve">to </w:t>
      </w:r>
      <w:r w:rsidR="00EB3B78">
        <w:t>four or more</w:t>
      </w:r>
      <w:r w:rsidR="002C0170">
        <w:t xml:space="preserve"> acts of being truant </w:t>
      </w:r>
      <w:r w:rsidR="002C0170" w:rsidRPr="00BF7B30">
        <w:rPr>
          <w:i/>
        </w:rPr>
        <w:t>that have been reported</w:t>
      </w:r>
      <w:r w:rsidR="002C0170">
        <w:t xml:space="preserve"> in accordance with the statutory scheme.</w:t>
      </w:r>
    </w:p>
    <w:p w14:paraId="51E939CA" w14:textId="546485C4" w:rsidR="007B3760" w:rsidRPr="005E00EC" w:rsidRDefault="00EB3B78" w:rsidP="005E00EC">
      <w:pPr>
        <w:pStyle w:val="Heading3"/>
      </w:pPr>
      <w:r>
        <w:t>2</w:t>
      </w:r>
      <w:r w:rsidR="0043606B" w:rsidRPr="005E00EC">
        <w:t xml:space="preserve">.  </w:t>
      </w:r>
      <w:r w:rsidR="00E061AF" w:rsidRPr="005E00EC">
        <w:t xml:space="preserve">Recipient of </w:t>
      </w:r>
      <w:r w:rsidR="007B3760" w:rsidRPr="005E00EC">
        <w:t>Truancy Reports</w:t>
      </w:r>
    </w:p>
    <w:p w14:paraId="1E2C1190" w14:textId="235292CB" w:rsidR="00C47931" w:rsidRPr="005E00EC" w:rsidRDefault="00270BB9" w:rsidP="005E00EC">
      <w:pPr>
        <w:tabs>
          <w:tab w:val="left" w:pos="720"/>
        </w:tabs>
        <w:contextualSpacing/>
      </w:pPr>
      <w:r w:rsidRPr="005E00EC">
        <w:tab/>
      </w:r>
      <w:r w:rsidR="0029147B" w:rsidRPr="005E00EC">
        <w:t>N</w:t>
      </w:r>
      <w:r w:rsidR="00D44058" w:rsidRPr="005E00EC">
        <w:t>ext</w:t>
      </w:r>
      <w:r w:rsidR="0029147B" w:rsidRPr="005E00EC">
        <w:t xml:space="preserve">, we must determine the </w:t>
      </w:r>
      <w:r w:rsidR="00843C50">
        <w:t xml:space="preserve">appropriate </w:t>
      </w:r>
      <w:r w:rsidR="0029147B" w:rsidRPr="005E00EC">
        <w:t>recipient of the truancy reports</w:t>
      </w:r>
      <w:r w:rsidR="00B26A98">
        <w:t xml:space="preserve"> referenced in </w:t>
      </w:r>
      <w:r w:rsidR="00B26A98" w:rsidRPr="00B26A98">
        <w:t>section 48264.5</w:t>
      </w:r>
      <w:r w:rsidR="005C2ADD" w:rsidRPr="005E00EC">
        <w:t xml:space="preserve">.  </w:t>
      </w:r>
      <w:r w:rsidRPr="005E00EC">
        <w:t xml:space="preserve">A.N. </w:t>
      </w:r>
      <w:r w:rsidR="00107CFD" w:rsidRPr="005E00EC">
        <w:t>contends</w:t>
      </w:r>
      <w:r w:rsidRPr="005E00EC">
        <w:t xml:space="preserve"> </w:t>
      </w:r>
      <w:r w:rsidR="00B26A98">
        <w:t xml:space="preserve">that </w:t>
      </w:r>
      <w:r w:rsidR="00BD3128" w:rsidRPr="005E00EC">
        <w:t>each</w:t>
      </w:r>
      <w:r w:rsidR="00C0049B" w:rsidRPr="005E00EC">
        <w:t xml:space="preserve"> </w:t>
      </w:r>
      <w:r w:rsidR="0029147B" w:rsidRPr="005E00EC">
        <w:t xml:space="preserve">of </w:t>
      </w:r>
      <w:r w:rsidR="006A23D2">
        <w:t xml:space="preserve">the section’s </w:t>
      </w:r>
      <w:r w:rsidR="0037735E" w:rsidRPr="005E00EC">
        <w:t>subdivision</w:t>
      </w:r>
      <w:r w:rsidR="0029147B" w:rsidRPr="005E00EC">
        <w:t xml:space="preserve">s </w:t>
      </w:r>
      <w:r w:rsidR="0037735E" w:rsidRPr="005E00EC">
        <w:t>require</w:t>
      </w:r>
      <w:r w:rsidR="00B26A98">
        <w:t>s</w:t>
      </w:r>
      <w:r w:rsidR="00BD3128" w:rsidRPr="005E00EC">
        <w:t xml:space="preserve"> a</w:t>
      </w:r>
      <w:r w:rsidR="0037735E" w:rsidRPr="005E00EC">
        <w:t xml:space="preserve"> report be sent </w:t>
      </w:r>
      <w:r w:rsidR="0037735E" w:rsidRPr="006A23D2">
        <w:t>to the pupil</w:t>
      </w:r>
      <w:r w:rsidR="00B26A98" w:rsidRPr="006A23D2">
        <w:t>’s</w:t>
      </w:r>
      <w:r w:rsidR="0037735E" w:rsidRPr="006A23D2">
        <w:t xml:space="preserve"> parents or guardians</w:t>
      </w:r>
      <w:r w:rsidR="000222C9" w:rsidRPr="005E00EC">
        <w:t xml:space="preserve"> before </w:t>
      </w:r>
      <w:r w:rsidRPr="005E00EC">
        <w:t>the juvenile court may exercise jurisdiction.</w:t>
      </w:r>
      <w:r w:rsidR="000222C9" w:rsidRPr="005E00EC">
        <w:t xml:space="preserve">  In response, the Attorney General</w:t>
      </w:r>
      <w:r w:rsidR="00C47931" w:rsidRPr="005E00EC">
        <w:t xml:space="preserve"> </w:t>
      </w:r>
      <w:r w:rsidR="00F460C6" w:rsidRPr="005E00EC">
        <w:t>argues</w:t>
      </w:r>
      <w:r w:rsidR="000222C9" w:rsidRPr="005E00EC">
        <w:t xml:space="preserve"> that</w:t>
      </w:r>
      <w:r w:rsidR="000B1503" w:rsidRPr="005E00EC">
        <w:t xml:space="preserve"> </w:t>
      </w:r>
      <w:r w:rsidR="00F460C6" w:rsidRPr="005E00EC">
        <w:t>the</w:t>
      </w:r>
      <w:r w:rsidR="00072DA0" w:rsidRPr="005E00EC">
        <w:t xml:space="preserve"> subdivisions reference the </w:t>
      </w:r>
      <w:r w:rsidR="000222C9" w:rsidRPr="00B26A98">
        <w:t>internal</w:t>
      </w:r>
      <w:r w:rsidR="000222C9" w:rsidRPr="005E00EC">
        <w:t xml:space="preserve"> repor</w:t>
      </w:r>
      <w:r w:rsidR="00072DA0" w:rsidRPr="005E00EC">
        <w:t xml:space="preserve">ts that </w:t>
      </w:r>
      <w:r w:rsidR="00F460C6" w:rsidRPr="005E00EC">
        <w:t>must be sent to the attendance supervisor or the superintendent of the school district under sections 48260 and 48261</w:t>
      </w:r>
      <w:r w:rsidR="000222C9" w:rsidRPr="005E00EC">
        <w:t>.</w:t>
      </w:r>
      <w:r w:rsidR="0019579E" w:rsidRPr="005E00EC">
        <w:t xml:space="preserve"> </w:t>
      </w:r>
      <w:r w:rsidR="000222C9" w:rsidRPr="005E00EC">
        <w:t xml:space="preserve"> </w:t>
      </w:r>
      <w:r w:rsidR="00C47931" w:rsidRPr="005E00EC">
        <w:t xml:space="preserve">He </w:t>
      </w:r>
      <w:r w:rsidR="00B9346A" w:rsidRPr="005E00EC">
        <w:t>observes</w:t>
      </w:r>
      <w:r w:rsidR="00C47931" w:rsidRPr="005E00EC">
        <w:t xml:space="preserve">, </w:t>
      </w:r>
      <w:r w:rsidR="00B3372D" w:rsidRPr="005E00EC">
        <w:t>“[A.N.]’s argument may rest on a misapprehension that the ‘truancy reports’ in section 48264.5 are parental notifications</w:t>
      </w:r>
      <w:r w:rsidR="00145F5C" w:rsidRPr="005E00EC">
        <w:t xml:space="preserve"> [required by</w:t>
      </w:r>
      <w:r w:rsidR="00F460C6" w:rsidRPr="005E00EC">
        <w:t xml:space="preserve"> section 48260.5]</w:t>
      </w:r>
      <w:r w:rsidR="00B3372D" w:rsidRPr="005E00EC">
        <w:t>.”</w:t>
      </w:r>
    </w:p>
    <w:p w14:paraId="1BAA7098" w14:textId="5086AF83" w:rsidR="00C47931" w:rsidRPr="005E00EC" w:rsidRDefault="00C47931" w:rsidP="005E00EC">
      <w:pPr>
        <w:tabs>
          <w:tab w:val="left" w:pos="720"/>
        </w:tabs>
        <w:contextualSpacing/>
      </w:pPr>
      <w:r w:rsidRPr="005E00EC">
        <w:lastRenderedPageBreak/>
        <w:tab/>
      </w:r>
      <w:r w:rsidR="009A67F6">
        <w:t xml:space="preserve">As referenced above, </w:t>
      </w:r>
      <w:r w:rsidR="00B2096D" w:rsidRPr="005E00EC">
        <w:t>s</w:t>
      </w:r>
      <w:r w:rsidR="0037735E" w:rsidRPr="005E00EC">
        <w:t xml:space="preserve">ection 48260, subdivision </w:t>
      </w:r>
      <w:r w:rsidR="00AF5CD1" w:rsidRPr="005E00EC">
        <w:t xml:space="preserve">(a) </w:t>
      </w:r>
      <w:r w:rsidR="009A67F6">
        <w:t xml:space="preserve">requires </w:t>
      </w:r>
      <w:r w:rsidR="00AF5CD1" w:rsidRPr="005E00EC">
        <w:t xml:space="preserve">a pupil </w:t>
      </w:r>
      <w:r w:rsidR="009A67F6">
        <w:t>to “</w:t>
      </w:r>
      <w:r w:rsidR="00AF5CD1" w:rsidRPr="005E00EC">
        <w:t xml:space="preserve">be </w:t>
      </w:r>
      <w:r w:rsidR="00AF5CD1" w:rsidRPr="005E00EC">
        <w:rPr>
          <w:i/>
        </w:rPr>
        <w:t xml:space="preserve">reported </w:t>
      </w:r>
      <w:r w:rsidR="00AF5CD1" w:rsidRPr="005E00EC">
        <w:t xml:space="preserve">to the attendance supervisor or to the superintendent of the school district” </w:t>
      </w:r>
      <w:r w:rsidR="00843C50">
        <w:t xml:space="preserve">upon </w:t>
      </w:r>
      <w:r w:rsidR="00976BBD">
        <w:t xml:space="preserve">his or </w:t>
      </w:r>
      <w:r w:rsidR="00843C50">
        <w:t>her third unexcused absence or tardy</w:t>
      </w:r>
      <w:r w:rsidR="00091076" w:rsidRPr="005E00EC">
        <w:t>.</w:t>
      </w:r>
      <w:r w:rsidR="00AF5CD1" w:rsidRPr="005E00EC">
        <w:t xml:space="preserve"> </w:t>
      </w:r>
      <w:r w:rsidR="00091076" w:rsidRPr="005E00EC">
        <w:t xml:space="preserve"> </w:t>
      </w:r>
      <w:r w:rsidR="00AF5CD1" w:rsidRPr="005E00EC">
        <w:t>(</w:t>
      </w:r>
      <w:r w:rsidR="00091076" w:rsidRPr="005E00EC">
        <w:t>I</w:t>
      </w:r>
      <w:r w:rsidR="00AF5CD1" w:rsidRPr="005E00EC">
        <w:t>talics added</w:t>
      </w:r>
      <w:r w:rsidR="00091076" w:rsidRPr="005E00EC">
        <w:t>.</w:t>
      </w:r>
      <w:r w:rsidR="00AF5CD1" w:rsidRPr="005E00EC">
        <w:t xml:space="preserve">)  </w:t>
      </w:r>
      <w:r w:rsidR="009A67F6">
        <w:t>Likewise, s</w:t>
      </w:r>
      <w:r w:rsidR="00665D9B" w:rsidRPr="005E00EC">
        <w:t>ection 48261</w:t>
      </w:r>
      <w:r w:rsidR="009A67F6">
        <w:t xml:space="preserve"> requires </w:t>
      </w:r>
      <w:r w:rsidR="00AF5CD1" w:rsidRPr="005E00EC">
        <w:t xml:space="preserve">a pupil </w:t>
      </w:r>
      <w:r w:rsidR="0037735E" w:rsidRPr="005E00EC">
        <w:t>previously</w:t>
      </w:r>
      <w:r w:rsidR="00AF5CD1" w:rsidRPr="005E00EC">
        <w:t xml:space="preserve"> “</w:t>
      </w:r>
      <w:r w:rsidR="00AF5CD1" w:rsidRPr="005E00EC">
        <w:rPr>
          <w:i/>
        </w:rPr>
        <w:t>reported</w:t>
      </w:r>
      <w:r w:rsidR="00AF5CD1" w:rsidRPr="005E00EC">
        <w:t xml:space="preserve"> as a truant” </w:t>
      </w:r>
      <w:r w:rsidR="009A67F6">
        <w:t xml:space="preserve">to </w:t>
      </w:r>
      <w:r w:rsidR="00AF5CD1" w:rsidRPr="005E00EC">
        <w:t xml:space="preserve">“again be </w:t>
      </w:r>
      <w:r w:rsidR="00AF5CD1" w:rsidRPr="005E00EC">
        <w:rPr>
          <w:i/>
        </w:rPr>
        <w:t>reported</w:t>
      </w:r>
      <w:r w:rsidR="00AF5CD1" w:rsidRPr="005E00EC">
        <w:t xml:space="preserve"> as a truant to the attendance supervisor or the superintendent of the district”</w:t>
      </w:r>
      <w:r w:rsidR="009A67F6">
        <w:t xml:space="preserve"> if </w:t>
      </w:r>
      <w:r w:rsidR="00976BBD">
        <w:t xml:space="preserve">he or </w:t>
      </w:r>
      <w:r w:rsidR="009A67F6">
        <w:t xml:space="preserve">she </w:t>
      </w:r>
      <w:r w:rsidR="009A67F6" w:rsidRPr="005E00EC">
        <w:t>is again absent or tardy without excuse</w:t>
      </w:r>
      <w:r w:rsidR="009A67F6">
        <w:t>.</w:t>
      </w:r>
      <w:r w:rsidR="009A67F6" w:rsidRPr="005E00EC">
        <w:t xml:space="preserve"> </w:t>
      </w:r>
      <w:r w:rsidR="00665D9B" w:rsidRPr="005E00EC">
        <w:t xml:space="preserve"> </w:t>
      </w:r>
      <w:r w:rsidR="00AF5CD1" w:rsidRPr="005E00EC">
        <w:t>(</w:t>
      </w:r>
      <w:r w:rsidR="00091076" w:rsidRPr="005E00EC">
        <w:t>I</w:t>
      </w:r>
      <w:r w:rsidR="00AF5CD1" w:rsidRPr="005E00EC">
        <w:t>talics added</w:t>
      </w:r>
      <w:r w:rsidR="00091076" w:rsidRPr="005E00EC">
        <w:t>.</w:t>
      </w:r>
      <w:r w:rsidR="00AF5CD1" w:rsidRPr="005E00EC">
        <w:t>)</w:t>
      </w:r>
      <w:r w:rsidRPr="005E00EC">
        <w:t xml:space="preserve">  </w:t>
      </w:r>
      <w:r w:rsidR="00123D1E">
        <w:t>Moreover, s</w:t>
      </w:r>
      <w:r w:rsidR="004D0329" w:rsidRPr="005E00EC">
        <w:t>ection 48262</w:t>
      </w:r>
      <w:r w:rsidR="008F3ECF">
        <w:t xml:space="preserve"> provides that</w:t>
      </w:r>
      <w:r w:rsidR="004D0329" w:rsidRPr="005E00EC">
        <w:t xml:space="preserve"> a pupil</w:t>
      </w:r>
      <w:r w:rsidR="008F3ECF">
        <w:t xml:space="preserve"> who</w:t>
      </w:r>
      <w:r w:rsidR="004D0329" w:rsidRPr="005E00EC">
        <w:t xml:space="preserve"> “has been </w:t>
      </w:r>
      <w:r w:rsidR="004D0329" w:rsidRPr="005E00EC">
        <w:rPr>
          <w:i/>
        </w:rPr>
        <w:t>reported</w:t>
      </w:r>
      <w:r w:rsidR="004D0329" w:rsidRPr="005E00EC">
        <w:t xml:space="preserve"> as a truant three or more times per school year” </w:t>
      </w:r>
      <w:r w:rsidR="008F3ECF">
        <w:t xml:space="preserve">is a habitual truant, provided that </w:t>
      </w:r>
      <w:r w:rsidR="004D0329" w:rsidRPr="005E00EC">
        <w:t>a school official has made “a conscientious effort to hold at least one conference</w:t>
      </w:r>
      <w:r w:rsidR="00976BBD" w:rsidRPr="00976BBD">
        <w:t xml:space="preserve"> with a parent or guardian of the pupil and the pupil himself, after the filing of either of the </w:t>
      </w:r>
      <w:r w:rsidR="00976BBD" w:rsidRPr="00976BBD">
        <w:rPr>
          <w:i/>
        </w:rPr>
        <w:t>reports</w:t>
      </w:r>
      <w:r w:rsidR="00976BBD" w:rsidRPr="00976BBD">
        <w:t xml:space="preserve"> required by Section 48260 or Section 48261</w:t>
      </w:r>
      <w:r w:rsidR="008F3ECF">
        <w:t>.</w:t>
      </w:r>
      <w:r w:rsidR="004D0329" w:rsidRPr="005E00EC">
        <w:t>”</w:t>
      </w:r>
      <w:r w:rsidR="0096563A" w:rsidRPr="005E00EC">
        <w:t xml:space="preserve">  (</w:t>
      </w:r>
      <w:r w:rsidR="00F460C6" w:rsidRPr="005E00EC">
        <w:t>I</w:t>
      </w:r>
      <w:r w:rsidR="0096563A" w:rsidRPr="005E00EC">
        <w:t xml:space="preserve">talics added.)  </w:t>
      </w:r>
      <w:r w:rsidR="00123D1E">
        <w:t>Meanwhile</w:t>
      </w:r>
      <w:r w:rsidRPr="005E00EC">
        <w:t>, s</w:t>
      </w:r>
      <w:r w:rsidR="00425870" w:rsidRPr="005E00EC">
        <w:t xml:space="preserve">ection 48260.5, </w:t>
      </w:r>
      <w:r w:rsidRPr="005E00EC">
        <w:t>requires the school district to “</w:t>
      </w:r>
      <w:r w:rsidRPr="005E00EC">
        <w:rPr>
          <w:i/>
        </w:rPr>
        <w:t>notify</w:t>
      </w:r>
      <w:r w:rsidRPr="005E00EC">
        <w:t xml:space="preserve"> the pupil’s parent or guardian” u</w:t>
      </w:r>
      <w:r w:rsidR="00425870" w:rsidRPr="005E00EC">
        <w:t xml:space="preserve">pon </w:t>
      </w:r>
      <w:r w:rsidR="00B3372D" w:rsidRPr="005E00EC">
        <w:t>the</w:t>
      </w:r>
      <w:r w:rsidR="00425870" w:rsidRPr="005E00EC">
        <w:t xml:space="preserve"> pupil’s </w:t>
      </w:r>
      <w:r w:rsidR="00B3372D" w:rsidRPr="005E00EC">
        <w:t>“</w:t>
      </w:r>
      <w:r w:rsidR="00425870" w:rsidRPr="005E00EC">
        <w:t>initial classification as a truant</w:t>
      </w:r>
      <w:r w:rsidR="00091076" w:rsidRPr="005E00EC">
        <w:t>.</w:t>
      </w:r>
      <w:r w:rsidRPr="005E00EC">
        <w:t>”</w:t>
      </w:r>
      <w:r w:rsidR="000B5BE4" w:rsidRPr="005E00EC">
        <w:t xml:space="preserve"> </w:t>
      </w:r>
      <w:r w:rsidR="00091076" w:rsidRPr="005E00EC">
        <w:t xml:space="preserve"> </w:t>
      </w:r>
      <w:r w:rsidR="000B5BE4" w:rsidRPr="005E00EC">
        <w:t>(</w:t>
      </w:r>
      <w:r w:rsidR="00091076" w:rsidRPr="005E00EC">
        <w:t>I</w:t>
      </w:r>
      <w:r w:rsidR="000B5BE4" w:rsidRPr="005E00EC">
        <w:t>talics added</w:t>
      </w:r>
      <w:r w:rsidR="00091076" w:rsidRPr="005E00EC">
        <w:t>.</w:t>
      </w:r>
      <w:r w:rsidR="000B5BE4" w:rsidRPr="005E00EC">
        <w:t>)</w:t>
      </w:r>
    </w:p>
    <w:p w14:paraId="74AE424B" w14:textId="7673CDAF" w:rsidR="00086439" w:rsidRPr="005E00EC" w:rsidRDefault="00B3372D" w:rsidP="005E00EC">
      <w:pPr>
        <w:tabs>
          <w:tab w:val="left" w:pos="720"/>
        </w:tabs>
        <w:contextualSpacing/>
      </w:pPr>
      <w:r w:rsidRPr="005E00EC">
        <w:tab/>
      </w:r>
      <w:r w:rsidR="006A23D2">
        <w:t>T</w:t>
      </w:r>
      <w:r w:rsidR="00F40188" w:rsidRPr="005E00EC">
        <w:t xml:space="preserve">he Attorney General has the better </w:t>
      </w:r>
      <w:r w:rsidR="00743A01">
        <w:t>interpretation</w:t>
      </w:r>
      <w:r w:rsidR="00F40188" w:rsidRPr="005E00EC">
        <w:t xml:space="preserve">.  </w:t>
      </w:r>
      <w:r w:rsidR="00743A01">
        <w:t>S</w:t>
      </w:r>
      <w:r w:rsidR="00177748" w:rsidRPr="005E00EC">
        <w:t xml:space="preserve">ection 48264.5’s references to </w:t>
      </w:r>
      <w:r w:rsidR="00665D9B" w:rsidRPr="005E00EC">
        <w:t>“</w:t>
      </w:r>
      <w:r w:rsidR="00177748" w:rsidRPr="005E00EC">
        <w:t>t</w:t>
      </w:r>
      <w:r w:rsidR="00665D9B" w:rsidRPr="005E00EC">
        <w:t>ruancy report</w:t>
      </w:r>
      <w:r w:rsidR="00177748" w:rsidRPr="005E00EC">
        <w:t>[s]</w:t>
      </w:r>
      <w:r w:rsidR="00665D9B" w:rsidRPr="005E00EC">
        <w:t xml:space="preserve">” </w:t>
      </w:r>
      <w:r w:rsidR="00F40188" w:rsidRPr="005E00EC">
        <w:t>must be interpreted</w:t>
      </w:r>
      <w:r w:rsidR="00665D9B" w:rsidRPr="005E00EC">
        <w:t xml:space="preserve"> in light of the entire</w:t>
      </w:r>
      <w:r w:rsidR="003D166C" w:rsidRPr="005E00EC">
        <w:t xml:space="preserve"> statutory scheme.</w:t>
      </w:r>
      <w:r w:rsidR="00665D9B" w:rsidRPr="005E00EC">
        <w:t xml:space="preserve">  </w:t>
      </w:r>
      <w:r w:rsidR="008827E8" w:rsidRPr="005E00EC">
        <w:t>“[W]hen the same word appears in different places within a statutory scheme, courts generally presume the Legislature intended the word to have the same meaning each time it is used.”  (</w:t>
      </w:r>
      <w:r w:rsidR="008827E8" w:rsidRPr="005E00EC">
        <w:rPr>
          <w:i/>
        </w:rPr>
        <w:t xml:space="preserve">People v. Gray </w:t>
      </w:r>
      <w:r w:rsidR="008827E8" w:rsidRPr="005E00EC">
        <w:t xml:space="preserve">(2014) 58 Cal.4th 901, 906.)  </w:t>
      </w:r>
      <w:r w:rsidR="0096046D" w:rsidRPr="005E00EC">
        <w:t xml:space="preserve">Accordingly, we </w:t>
      </w:r>
      <w:r w:rsidR="00405D63" w:rsidRPr="005E00EC">
        <w:t>presume</w:t>
      </w:r>
      <w:r w:rsidR="0096046D" w:rsidRPr="005E00EC">
        <w:t xml:space="preserve"> the Legislature used</w:t>
      </w:r>
      <w:r w:rsidR="00977473" w:rsidRPr="005E00EC">
        <w:t xml:space="preserve"> “report” in section 48264.5 </w:t>
      </w:r>
      <w:r w:rsidR="00B725F0" w:rsidRPr="005E00EC">
        <w:t xml:space="preserve">as a </w:t>
      </w:r>
      <w:r w:rsidR="00F460C6" w:rsidRPr="005E00EC">
        <w:t xml:space="preserve">cross </w:t>
      </w:r>
      <w:r w:rsidR="00B725F0" w:rsidRPr="005E00EC">
        <w:t xml:space="preserve">reference to </w:t>
      </w:r>
      <w:r w:rsidR="00977473" w:rsidRPr="005E00EC">
        <w:t>“report</w:t>
      </w:r>
      <w:r w:rsidR="00F460C6" w:rsidRPr="005E00EC">
        <w:t>s</w:t>
      </w:r>
      <w:r w:rsidR="00977473" w:rsidRPr="005E00EC">
        <w:t>” in section 4826</w:t>
      </w:r>
      <w:r w:rsidR="00F460C6" w:rsidRPr="005E00EC">
        <w:t>2</w:t>
      </w:r>
      <w:r w:rsidR="004D0329" w:rsidRPr="005E00EC">
        <w:t xml:space="preserve"> </w:t>
      </w:r>
      <w:r w:rsidR="004A3DD2" w:rsidRPr="005E00EC">
        <w:t>and “report</w:t>
      </w:r>
      <w:r w:rsidR="00F460C6" w:rsidRPr="005E00EC">
        <w:t>ed</w:t>
      </w:r>
      <w:r w:rsidR="004A3DD2" w:rsidRPr="005E00EC">
        <w:t>” in section</w:t>
      </w:r>
      <w:r w:rsidR="00F460C6" w:rsidRPr="005E00EC">
        <w:t>s</w:t>
      </w:r>
      <w:r w:rsidR="004A3DD2" w:rsidRPr="005E00EC">
        <w:t xml:space="preserve"> 4826</w:t>
      </w:r>
      <w:r w:rsidR="00F460C6" w:rsidRPr="005E00EC">
        <w:t xml:space="preserve">0 and 48261, not </w:t>
      </w:r>
      <w:r w:rsidR="0039126F" w:rsidRPr="005E00EC">
        <w:t xml:space="preserve">to </w:t>
      </w:r>
      <w:r w:rsidR="006B2F0D" w:rsidRPr="005E00EC">
        <w:t xml:space="preserve">“notify” in </w:t>
      </w:r>
      <w:r w:rsidRPr="005E00EC">
        <w:t xml:space="preserve">section 48260.5.  </w:t>
      </w:r>
      <w:r w:rsidR="00123D1E">
        <w:t>Additionally</w:t>
      </w:r>
      <w:r w:rsidR="00F460C6" w:rsidRPr="005E00EC">
        <w:t xml:space="preserve">, we note that </w:t>
      </w:r>
      <w:r w:rsidR="008735AC" w:rsidRPr="005E00EC">
        <w:t xml:space="preserve">section 48260.5 requires a parental notification </w:t>
      </w:r>
      <w:r w:rsidR="008C27B3" w:rsidRPr="005E00EC">
        <w:t xml:space="preserve">only </w:t>
      </w:r>
      <w:r w:rsidR="008735AC" w:rsidRPr="005E00EC">
        <w:t xml:space="preserve">upon the pupil’s initial classification as a truant, whereas </w:t>
      </w:r>
      <w:r w:rsidR="00F460C6" w:rsidRPr="005E00EC">
        <w:t>s</w:t>
      </w:r>
      <w:r w:rsidR="007D3E0F" w:rsidRPr="005E00EC">
        <w:t>ections 4826</w:t>
      </w:r>
      <w:r w:rsidR="00F460C6" w:rsidRPr="005E00EC">
        <w:t>0</w:t>
      </w:r>
      <w:r w:rsidR="007D3E0F" w:rsidRPr="005E00EC">
        <w:t xml:space="preserve"> and 4826</w:t>
      </w:r>
      <w:r w:rsidR="00F460C6" w:rsidRPr="005E00EC">
        <w:t>1</w:t>
      </w:r>
      <w:r w:rsidR="007D3E0F" w:rsidRPr="005E00EC">
        <w:t xml:space="preserve"> require reports </w:t>
      </w:r>
      <w:r w:rsidR="008735AC" w:rsidRPr="005E00EC">
        <w:t>to</w:t>
      </w:r>
      <w:r w:rsidR="00F460C6" w:rsidRPr="005E00EC">
        <w:t xml:space="preserve"> </w:t>
      </w:r>
      <w:r w:rsidR="00743A01">
        <w:t xml:space="preserve">be issued to </w:t>
      </w:r>
      <w:r w:rsidR="00F460C6" w:rsidRPr="005E00EC">
        <w:t xml:space="preserve">the attendance supervisor or </w:t>
      </w:r>
      <w:r w:rsidR="003743FA" w:rsidRPr="005E00EC">
        <w:t xml:space="preserve">the </w:t>
      </w:r>
      <w:r w:rsidR="00F460C6" w:rsidRPr="005E00EC">
        <w:t xml:space="preserve">superintendent </w:t>
      </w:r>
      <w:r w:rsidR="00ED6690" w:rsidRPr="005E00EC">
        <w:t xml:space="preserve">upon the pupil’s </w:t>
      </w:r>
      <w:r w:rsidR="00ED6690" w:rsidRPr="005E00EC">
        <w:lastRenderedPageBreak/>
        <w:t xml:space="preserve">initial classification as a truant </w:t>
      </w:r>
      <w:r w:rsidR="00ED6690" w:rsidRPr="005E00EC">
        <w:rPr>
          <w:i/>
        </w:rPr>
        <w:t>and</w:t>
      </w:r>
      <w:r w:rsidR="00ED6690" w:rsidRPr="005E00EC">
        <w:t xml:space="preserve"> upon every subsequent unexcused absence or tardy</w:t>
      </w:r>
      <w:r w:rsidR="008735AC" w:rsidRPr="005E00EC">
        <w:t>.</w:t>
      </w:r>
      <w:r w:rsidR="004046BE" w:rsidRPr="005E00EC">
        <w:t xml:space="preserve">  </w:t>
      </w:r>
      <w:r w:rsidR="00533187" w:rsidRPr="00533187">
        <w:t>Therefore, the “first</w:t>
      </w:r>
      <w:r w:rsidR="008A4E5B">
        <w:t xml:space="preserve"> time</w:t>
      </w:r>
      <w:r w:rsidR="00123D1E">
        <w:t>,” “</w:t>
      </w:r>
      <w:r w:rsidR="00533187" w:rsidRPr="00533187">
        <w:t>second</w:t>
      </w:r>
      <w:r w:rsidR="008A4E5B">
        <w:t xml:space="preserve"> time</w:t>
      </w:r>
      <w:r w:rsidR="00123D1E">
        <w:t>,” and “</w:t>
      </w:r>
      <w:r w:rsidR="00533187" w:rsidRPr="00533187">
        <w:t>third</w:t>
      </w:r>
      <w:r w:rsidR="008A4E5B">
        <w:t xml:space="preserve"> time</w:t>
      </w:r>
      <w:r w:rsidR="00E3376C">
        <w:t xml:space="preserve">” </w:t>
      </w:r>
      <w:r w:rsidR="00533187" w:rsidRPr="00533187">
        <w:t xml:space="preserve">a </w:t>
      </w:r>
      <w:r w:rsidR="00E3376C">
        <w:t>“</w:t>
      </w:r>
      <w:r w:rsidR="00533187" w:rsidRPr="00533187">
        <w:t xml:space="preserve">truancy report is issued” in subdivisions (a), (b), and (c) of section 48264.5 </w:t>
      </w:r>
      <w:r w:rsidR="00533187" w:rsidRPr="005E00EC">
        <w:t>mo</w:t>
      </w:r>
      <w:r w:rsidR="00743A01">
        <w:t>re</w:t>
      </w:r>
      <w:r w:rsidR="00533187" w:rsidRPr="005E00EC">
        <w:t xml:space="preserve"> likely refer to the reports required by sections 48260 and 48261</w:t>
      </w:r>
      <w:r w:rsidR="00533187">
        <w:t>.</w:t>
      </w:r>
      <w:r w:rsidR="008735AC" w:rsidRPr="005E00EC">
        <w:t xml:space="preserve">  This interpretation ensures th</w:t>
      </w:r>
      <w:r w:rsidR="00743A01">
        <w:t xml:space="preserve">at </w:t>
      </w:r>
      <w:r w:rsidR="00482799">
        <w:t>school officials are</w:t>
      </w:r>
      <w:r w:rsidR="008735AC" w:rsidRPr="005E00EC">
        <w:t xml:space="preserve"> informed of a </w:t>
      </w:r>
      <w:r w:rsidR="00B16F6E" w:rsidRPr="005E00EC">
        <w:t>pupil’s</w:t>
      </w:r>
      <w:r w:rsidR="008735AC" w:rsidRPr="005E00EC">
        <w:t xml:space="preserve"> continued truancy </w:t>
      </w:r>
      <w:r w:rsidR="00BF4AAB" w:rsidRPr="005E00EC">
        <w:t xml:space="preserve">and thus can </w:t>
      </w:r>
      <w:r w:rsidR="008735AC" w:rsidRPr="005E00EC">
        <w:t>take appropriate steps to address the situation, such as requesting the pupil and</w:t>
      </w:r>
      <w:r w:rsidR="00056C2A">
        <w:t xml:space="preserve"> the pupil’s</w:t>
      </w:r>
      <w:r w:rsidR="00BF4AAB" w:rsidRPr="005E00EC">
        <w:t xml:space="preserve"> </w:t>
      </w:r>
      <w:r w:rsidR="008735AC" w:rsidRPr="005E00EC">
        <w:t>parent or guardian attend a meeting (§</w:t>
      </w:r>
      <w:r w:rsidR="00123D1E">
        <w:t> </w:t>
      </w:r>
      <w:r w:rsidR="008735AC" w:rsidRPr="005E00EC">
        <w:t xml:space="preserve">48264.5, </w:t>
      </w:r>
      <w:proofErr w:type="spellStart"/>
      <w:r w:rsidR="008735AC" w:rsidRPr="005E00EC">
        <w:t>subd</w:t>
      </w:r>
      <w:proofErr w:type="spellEnd"/>
      <w:r w:rsidR="008735AC" w:rsidRPr="005E00EC">
        <w:t>.</w:t>
      </w:r>
      <w:r w:rsidR="00123D1E">
        <w:t> </w:t>
      </w:r>
      <w:r w:rsidR="008735AC" w:rsidRPr="005E00EC">
        <w:t xml:space="preserve">(a)), assigning the </w:t>
      </w:r>
      <w:r w:rsidR="00B16F6E" w:rsidRPr="005E00EC">
        <w:t>pupil</w:t>
      </w:r>
      <w:r w:rsidR="008735AC" w:rsidRPr="005E00EC">
        <w:t xml:space="preserve"> to an afterschool or weekend study program (</w:t>
      </w:r>
      <w:r w:rsidR="00BF4AAB" w:rsidRPr="005E00EC">
        <w:rPr>
          <w:i/>
        </w:rPr>
        <w:t>i</w:t>
      </w:r>
      <w:r w:rsidR="008735AC" w:rsidRPr="005E00EC">
        <w:rPr>
          <w:i/>
        </w:rPr>
        <w:t>d.</w:t>
      </w:r>
      <w:r w:rsidR="00EB0899" w:rsidRPr="00EB0899">
        <w:t xml:space="preserve">, </w:t>
      </w:r>
      <w:proofErr w:type="spellStart"/>
      <w:r w:rsidR="00EB0899" w:rsidRPr="00EB0899">
        <w:t>s</w:t>
      </w:r>
      <w:r w:rsidR="008735AC" w:rsidRPr="005E00EC">
        <w:t>ubd</w:t>
      </w:r>
      <w:proofErr w:type="spellEnd"/>
      <w:r w:rsidR="008735AC" w:rsidRPr="005E00EC">
        <w:t>.</w:t>
      </w:r>
      <w:r w:rsidR="00123D1E">
        <w:t> </w:t>
      </w:r>
      <w:r w:rsidR="008735AC" w:rsidRPr="005E00EC">
        <w:t>(b))</w:t>
      </w:r>
      <w:r w:rsidR="0070302D" w:rsidRPr="005E00EC">
        <w:t>,</w:t>
      </w:r>
      <w:r w:rsidR="008735AC" w:rsidRPr="005E00EC">
        <w:t xml:space="preserve"> requiring the </w:t>
      </w:r>
      <w:r w:rsidR="00B16F6E" w:rsidRPr="005E00EC">
        <w:t>pupil</w:t>
      </w:r>
      <w:r w:rsidR="008735AC" w:rsidRPr="005E00EC">
        <w:t xml:space="preserve"> to attend a SARB meeting or a similar truancy mediation program (</w:t>
      </w:r>
      <w:r w:rsidR="00BF4AAB" w:rsidRPr="005E00EC">
        <w:rPr>
          <w:i/>
        </w:rPr>
        <w:t>i</w:t>
      </w:r>
      <w:r w:rsidR="008735AC" w:rsidRPr="005E00EC">
        <w:rPr>
          <w:i/>
        </w:rPr>
        <w:t>d.</w:t>
      </w:r>
      <w:r w:rsidR="00EB0899" w:rsidRPr="00EB0899">
        <w:rPr>
          <w:i/>
        </w:rPr>
        <w:t>,</w:t>
      </w:r>
      <w:r w:rsidR="00EB0899">
        <w:t xml:space="preserve"> </w:t>
      </w:r>
      <w:proofErr w:type="spellStart"/>
      <w:r w:rsidR="00EB0899">
        <w:t>s</w:t>
      </w:r>
      <w:r w:rsidR="008735AC" w:rsidRPr="005E00EC">
        <w:t>ubd</w:t>
      </w:r>
      <w:proofErr w:type="spellEnd"/>
      <w:r w:rsidR="008735AC" w:rsidRPr="005E00EC">
        <w:t>.</w:t>
      </w:r>
      <w:r w:rsidR="00123D1E">
        <w:t> </w:t>
      </w:r>
      <w:r w:rsidR="008735AC" w:rsidRPr="005E00EC">
        <w:t>(c)</w:t>
      </w:r>
      <w:r w:rsidR="006830EF">
        <w:t>; see §§ </w:t>
      </w:r>
      <w:r w:rsidR="006830EF" w:rsidRPr="006830EF">
        <w:t>48260.6</w:t>
      </w:r>
      <w:r w:rsidR="006830EF">
        <w:t xml:space="preserve">, </w:t>
      </w:r>
      <w:proofErr w:type="spellStart"/>
      <w:r w:rsidR="006830EF">
        <w:t>subd</w:t>
      </w:r>
      <w:proofErr w:type="spellEnd"/>
      <w:r w:rsidR="006830EF">
        <w:t xml:space="preserve">. (a); 48263, </w:t>
      </w:r>
      <w:proofErr w:type="spellStart"/>
      <w:r w:rsidR="006830EF">
        <w:t>subd</w:t>
      </w:r>
      <w:proofErr w:type="spellEnd"/>
      <w:r w:rsidR="006830EF">
        <w:t>. (a)</w:t>
      </w:r>
      <w:r w:rsidR="008735AC" w:rsidRPr="005E00EC">
        <w:t>)</w:t>
      </w:r>
      <w:r w:rsidR="0070302D" w:rsidRPr="005E00EC">
        <w:t>,</w:t>
      </w:r>
      <w:r w:rsidR="008735AC" w:rsidRPr="005E00EC">
        <w:t xml:space="preserve"> or issuing a notice to appear in juvenile court </w:t>
      </w:r>
      <w:r w:rsidR="008735AC" w:rsidRPr="006830EF">
        <w:t>(</w:t>
      </w:r>
      <w:r w:rsidR="006830EF">
        <w:t>§ 48264,5</w:t>
      </w:r>
      <w:r w:rsidR="00EB0899" w:rsidRPr="006830EF">
        <w:t>,</w:t>
      </w:r>
      <w:r w:rsidR="008735AC" w:rsidRPr="005E00EC">
        <w:rPr>
          <w:i/>
        </w:rPr>
        <w:t xml:space="preserve"> </w:t>
      </w:r>
      <w:proofErr w:type="spellStart"/>
      <w:r w:rsidR="008735AC" w:rsidRPr="005E00EC">
        <w:t>subd</w:t>
      </w:r>
      <w:proofErr w:type="spellEnd"/>
      <w:r w:rsidR="008735AC" w:rsidRPr="005E00EC">
        <w:t>.</w:t>
      </w:r>
      <w:r w:rsidR="00123D1E">
        <w:t> </w:t>
      </w:r>
      <w:r w:rsidR="008735AC" w:rsidRPr="005E00EC">
        <w:t xml:space="preserve">(d); </w:t>
      </w:r>
      <w:r w:rsidR="006830EF">
        <w:t xml:space="preserve">see </w:t>
      </w:r>
      <w:proofErr w:type="spellStart"/>
      <w:r w:rsidR="008735AC" w:rsidRPr="005E00EC">
        <w:t>Welf</w:t>
      </w:r>
      <w:proofErr w:type="spellEnd"/>
      <w:r w:rsidR="008735AC" w:rsidRPr="005E00EC">
        <w:t>. &amp; Inst. Code, §</w:t>
      </w:r>
      <w:r w:rsidR="00123D1E">
        <w:t> </w:t>
      </w:r>
      <w:r w:rsidR="008735AC" w:rsidRPr="005E00EC">
        <w:t xml:space="preserve">601, </w:t>
      </w:r>
      <w:proofErr w:type="spellStart"/>
      <w:r w:rsidR="008735AC" w:rsidRPr="005E00EC">
        <w:t>subd</w:t>
      </w:r>
      <w:proofErr w:type="spellEnd"/>
      <w:r w:rsidR="008735AC" w:rsidRPr="005E00EC">
        <w:t>.</w:t>
      </w:r>
      <w:r w:rsidR="00123D1E">
        <w:t> </w:t>
      </w:r>
      <w:r w:rsidR="008735AC" w:rsidRPr="005E00EC">
        <w:t>(d)).</w:t>
      </w:r>
    </w:p>
    <w:p w14:paraId="5C323799" w14:textId="0EAA5122" w:rsidR="00086439" w:rsidRPr="005E00EC" w:rsidRDefault="00086439" w:rsidP="005E00EC">
      <w:pPr>
        <w:tabs>
          <w:tab w:val="left" w:pos="720"/>
        </w:tabs>
        <w:contextualSpacing/>
      </w:pPr>
      <w:r w:rsidRPr="005E00EC">
        <w:tab/>
      </w:r>
      <w:bookmarkStart w:id="19" w:name="_Hlk24966802"/>
      <w:r w:rsidRPr="005E00EC">
        <w:t xml:space="preserve">A.N. and </w:t>
      </w:r>
      <w:r w:rsidR="00533187">
        <w:t xml:space="preserve">CRLA </w:t>
      </w:r>
      <w:r w:rsidRPr="005E00EC">
        <w:t xml:space="preserve">argue that this construction would violate the due process rights of pupils and their parents and guardians.  </w:t>
      </w:r>
      <w:r w:rsidR="002D0985">
        <w:t xml:space="preserve">Assuming </w:t>
      </w:r>
      <w:r w:rsidR="00EF3693">
        <w:t>A.N. did not forfeit this</w:t>
      </w:r>
      <w:r w:rsidR="002D0985">
        <w:t xml:space="preserve"> argument </w:t>
      </w:r>
      <w:r w:rsidR="00EF3693">
        <w:t>by failing to raise it in her opening brief</w:t>
      </w:r>
      <w:r w:rsidR="002D0985">
        <w:t>, w</w:t>
      </w:r>
      <w:r w:rsidR="002D0985" w:rsidRPr="005E00EC">
        <w:t xml:space="preserve">e </w:t>
      </w:r>
      <w:r w:rsidR="002D0985">
        <w:t>reject it on the merits</w:t>
      </w:r>
      <w:r w:rsidRPr="005E00EC">
        <w:t>.</w:t>
      </w:r>
      <w:r w:rsidR="00EF3693">
        <w:t xml:space="preserve">  </w:t>
      </w:r>
      <w:bookmarkEnd w:id="19"/>
      <w:r w:rsidRPr="005E00EC">
        <w:t>Although section 48264.5 does not require external reports be sent to the pupil</w:t>
      </w:r>
      <w:r w:rsidR="00177748" w:rsidRPr="005E00EC">
        <w:t>’s home</w:t>
      </w:r>
      <w:r w:rsidRPr="005E00EC">
        <w:t xml:space="preserve">, </w:t>
      </w:r>
      <w:r w:rsidR="00481776" w:rsidRPr="005E00EC">
        <w:t>government</w:t>
      </w:r>
      <w:r w:rsidR="008735AC" w:rsidRPr="005E00EC">
        <w:t xml:space="preserve"> officials must </w:t>
      </w:r>
      <w:r w:rsidRPr="005E00EC">
        <w:t>comply with basic due process requirements</w:t>
      </w:r>
      <w:r w:rsidR="00BF4AAB" w:rsidRPr="005E00EC">
        <w:t xml:space="preserve">, including </w:t>
      </w:r>
      <w:r w:rsidRPr="005E00EC">
        <w:t xml:space="preserve">the statutory provisions </w:t>
      </w:r>
      <w:r w:rsidR="00757335" w:rsidRPr="005E00EC">
        <w:t>meant to</w:t>
      </w:r>
      <w:r w:rsidRPr="005E00EC">
        <w:t xml:space="preserve"> ensure the pupil and</w:t>
      </w:r>
      <w:r w:rsidR="008C2011">
        <w:t xml:space="preserve"> his or</w:t>
      </w:r>
      <w:r w:rsidRPr="005E00EC">
        <w:t xml:space="preserve"> her parent</w:t>
      </w:r>
      <w:r w:rsidR="00485C99" w:rsidRPr="005E00EC">
        <w:t>s</w:t>
      </w:r>
      <w:r w:rsidRPr="005E00EC">
        <w:t xml:space="preserve"> or guardian</w:t>
      </w:r>
      <w:r w:rsidR="00485C99" w:rsidRPr="005E00EC">
        <w:t>s</w:t>
      </w:r>
      <w:r w:rsidRPr="005E00EC">
        <w:t xml:space="preserve"> receive adequate notice of the pupil’s truancy and the potential consequences.  For example, section 51101, subdivision (a)(4) requires the pupil’s parent or guardian “[t]o be notified on a timely basis if their child is absent from school without permission.”  </w:t>
      </w:r>
      <w:r w:rsidR="00757335" w:rsidRPr="005E00EC">
        <w:t>As previously explained</w:t>
      </w:r>
      <w:r w:rsidRPr="005E00EC">
        <w:t>, section 48260.5 requires the school district to notify the pupil’s parent or guardian</w:t>
      </w:r>
      <w:r w:rsidR="0070302D" w:rsidRPr="005E00EC">
        <w:t xml:space="preserve"> </w:t>
      </w:r>
      <w:r w:rsidRPr="005E00EC">
        <w:t xml:space="preserve">upon the pupil’s “initial classification as a truant.”  Additionally, section 48262 provides that “no pupil shall be deemed an </w:t>
      </w:r>
      <w:r w:rsidRPr="005E00EC">
        <w:lastRenderedPageBreak/>
        <w:t>habitual truant unless an appropriate district officer or employee has made a conscientious effort to hold at least one conference with a parent or guardian of the pupil and the pupil himself, after the filing of either of the reports required by</w:t>
      </w:r>
      <w:r w:rsidR="00524B9E">
        <w:t xml:space="preserve"> </w:t>
      </w:r>
      <w:r w:rsidRPr="005E00EC">
        <w:t>Section 48260</w:t>
      </w:r>
      <w:r w:rsidR="00524B9E">
        <w:t xml:space="preserve"> </w:t>
      </w:r>
      <w:r w:rsidRPr="005E00EC">
        <w:t>or</w:t>
      </w:r>
      <w:r w:rsidR="00524B9E">
        <w:t xml:space="preserve"> </w:t>
      </w:r>
      <w:r w:rsidRPr="005E00EC">
        <w:t>Section 48261.”</w:t>
      </w:r>
      <w:r w:rsidR="00A86127">
        <w:rPr>
          <w:rStyle w:val="FootnoteReference"/>
        </w:rPr>
        <w:footnoteReference w:id="14"/>
      </w:r>
    </w:p>
    <w:p w14:paraId="0D8BC845" w14:textId="7F3BB4F4" w:rsidR="00DB0C32" w:rsidRPr="005E00EC" w:rsidRDefault="0054448D" w:rsidP="005E00EC">
      <w:pPr>
        <w:tabs>
          <w:tab w:val="left" w:pos="720"/>
        </w:tabs>
        <w:contextualSpacing/>
      </w:pPr>
      <w:r w:rsidRPr="005E00EC">
        <w:tab/>
      </w:r>
      <w:r w:rsidR="00FA5C86" w:rsidRPr="005E00EC">
        <w:t>Therefore</w:t>
      </w:r>
      <w:r w:rsidRPr="005E00EC">
        <w:t>, w</w:t>
      </w:r>
      <w:r w:rsidR="00C44DC3" w:rsidRPr="005E00EC">
        <w:t>e</w:t>
      </w:r>
      <w:r w:rsidR="00551EC9" w:rsidRPr="005E00EC">
        <w:t xml:space="preserve"> </w:t>
      </w:r>
      <w:r w:rsidR="00FA5C86" w:rsidRPr="005E00EC">
        <w:t>hold</w:t>
      </w:r>
      <w:r w:rsidRPr="005E00EC">
        <w:t xml:space="preserve"> </w:t>
      </w:r>
      <w:r w:rsidR="00533187">
        <w:t>that a</w:t>
      </w:r>
      <w:r w:rsidR="00BF4AAB" w:rsidRPr="005E00EC">
        <w:t xml:space="preserve"> </w:t>
      </w:r>
      <w:r w:rsidR="00ED62D3" w:rsidRPr="005E00EC">
        <w:t>four</w:t>
      </w:r>
      <w:r w:rsidR="00533187">
        <w:t>th</w:t>
      </w:r>
      <w:r w:rsidR="00C44DC3" w:rsidRPr="005E00EC">
        <w:t xml:space="preserve"> truancy report</w:t>
      </w:r>
      <w:r w:rsidR="00533187">
        <w:t xml:space="preserve"> must be</w:t>
      </w:r>
      <w:r w:rsidR="00C44DC3" w:rsidRPr="005E00EC">
        <w:t xml:space="preserve"> issued </w:t>
      </w:r>
      <w:r w:rsidR="00C44DC3" w:rsidRPr="005E00EC">
        <w:rPr>
          <w:i/>
        </w:rPr>
        <w:t xml:space="preserve">to the </w:t>
      </w:r>
      <w:r w:rsidR="00403395" w:rsidRPr="005E00EC">
        <w:rPr>
          <w:i/>
        </w:rPr>
        <w:t xml:space="preserve">attendance supervisor or </w:t>
      </w:r>
      <w:r w:rsidR="005361B3">
        <w:rPr>
          <w:i/>
        </w:rPr>
        <w:t xml:space="preserve">the </w:t>
      </w:r>
      <w:r w:rsidR="00403395" w:rsidRPr="005E00EC">
        <w:rPr>
          <w:i/>
        </w:rPr>
        <w:t>superintendent of the school district</w:t>
      </w:r>
      <w:r w:rsidR="00ED62D3" w:rsidRPr="005E00EC">
        <w:rPr>
          <w:i/>
        </w:rPr>
        <w:t xml:space="preserve"> </w:t>
      </w:r>
      <w:r w:rsidR="00A17087" w:rsidRPr="005E00EC">
        <w:t>before the juvenile court may exercise jurisdiction</w:t>
      </w:r>
      <w:r w:rsidR="00ED62D3" w:rsidRPr="005E00EC">
        <w:t xml:space="preserve"> over a</w:t>
      </w:r>
      <w:r w:rsidR="00533187">
        <w:t xml:space="preserve"> </w:t>
      </w:r>
      <w:r w:rsidR="008B72EA">
        <w:t>minor</w:t>
      </w:r>
      <w:r w:rsidR="00533187">
        <w:t xml:space="preserve"> </w:t>
      </w:r>
      <w:r w:rsidR="00BF4AAB" w:rsidRPr="005E00EC">
        <w:t xml:space="preserve">on the basis of </w:t>
      </w:r>
      <w:r w:rsidR="006A23D2">
        <w:t>the</w:t>
      </w:r>
      <w:r w:rsidR="00BF4AAB" w:rsidRPr="005E00EC">
        <w:t xml:space="preserve"> minor</w:t>
      </w:r>
      <w:r w:rsidR="00533187">
        <w:t>’s</w:t>
      </w:r>
      <w:r w:rsidR="00BF4AAB" w:rsidRPr="005E00EC">
        <w:t xml:space="preserve"> “four or more truancies within one school year” </w:t>
      </w:r>
      <w:r w:rsidR="00533187">
        <w:t xml:space="preserve">under </w:t>
      </w:r>
      <w:r w:rsidR="00BF4AAB" w:rsidRPr="005E00EC">
        <w:t>Welf</w:t>
      </w:r>
      <w:r w:rsidR="00533187">
        <w:t>are and</w:t>
      </w:r>
      <w:r w:rsidR="00BF4AAB" w:rsidRPr="005E00EC">
        <w:t xml:space="preserve"> Inst</w:t>
      </w:r>
      <w:r w:rsidR="00533187">
        <w:t>itutions</w:t>
      </w:r>
      <w:r w:rsidR="00BF4AAB" w:rsidRPr="005E00EC">
        <w:t xml:space="preserve"> Code </w:t>
      </w:r>
      <w:r w:rsidR="00533187">
        <w:t>section</w:t>
      </w:r>
      <w:r w:rsidR="001F6F07">
        <w:t xml:space="preserve"> </w:t>
      </w:r>
      <w:r w:rsidR="00BF4AAB" w:rsidRPr="005E00EC">
        <w:t>601(b).</w:t>
      </w:r>
    </w:p>
    <w:p w14:paraId="468EB0D2" w14:textId="7D1AE786" w:rsidR="006918EC" w:rsidRPr="005E00EC" w:rsidRDefault="00544B3D" w:rsidP="005E00EC">
      <w:pPr>
        <w:pStyle w:val="Heading2"/>
      </w:pPr>
      <w:r>
        <w:t>D</w:t>
      </w:r>
      <w:r w:rsidR="00512309" w:rsidRPr="005E00EC">
        <w:t>.</w:t>
      </w:r>
      <w:r w:rsidR="0043606B" w:rsidRPr="005E00EC">
        <w:t xml:space="preserve">  </w:t>
      </w:r>
      <w:r w:rsidR="00703A82" w:rsidRPr="005E00EC">
        <w:t>The District Attorney’s Petition Against</w:t>
      </w:r>
      <w:r w:rsidR="00750EBC" w:rsidRPr="005E00EC">
        <w:t xml:space="preserve"> A.N.</w:t>
      </w:r>
    </w:p>
    <w:p w14:paraId="65A3875B" w14:textId="4BE9AF44" w:rsidR="00703A82" w:rsidRPr="005E00EC" w:rsidRDefault="001E3596" w:rsidP="005E00EC">
      <w:pPr>
        <w:tabs>
          <w:tab w:val="left" w:pos="720"/>
        </w:tabs>
        <w:contextualSpacing/>
      </w:pPr>
      <w:r w:rsidRPr="005E00EC">
        <w:tab/>
      </w:r>
      <w:r w:rsidR="008272A8" w:rsidRPr="005E00EC">
        <w:t>Finally, w</w:t>
      </w:r>
      <w:r w:rsidRPr="005E00EC">
        <w:t>e consider whether the juvenile court had jurisdiction</w:t>
      </w:r>
      <w:r w:rsidR="0020360D" w:rsidRPr="005E00EC">
        <w:t xml:space="preserve"> over </w:t>
      </w:r>
      <w:r w:rsidR="00805FA1" w:rsidRPr="005E00EC">
        <w:t>A.N.</w:t>
      </w:r>
    </w:p>
    <w:p w14:paraId="6A9492AF" w14:textId="62CC9E14" w:rsidR="00CB26AC" w:rsidRDefault="00703A82" w:rsidP="005E00EC">
      <w:pPr>
        <w:tabs>
          <w:tab w:val="left" w:pos="720"/>
        </w:tabs>
        <w:contextualSpacing/>
      </w:pPr>
      <w:r w:rsidRPr="005E00EC">
        <w:tab/>
      </w:r>
      <w:r w:rsidR="0041271D" w:rsidRPr="005E00EC">
        <w:t xml:space="preserve">The Court of Appeal </w:t>
      </w:r>
      <w:r w:rsidR="00E72006">
        <w:t xml:space="preserve">held </w:t>
      </w:r>
      <w:r w:rsidR="0041271D" w:rsidRPr="005E00EC">
        <w:t xml:space="preserve">that the juvenile court had jurisdiction on </w:t>
      </w:r>
      <w:r w:rsidR="00E72006">
        <w:t>the</w:t>
      </w:r>
      <w:r w:rsidR="0041271D" w:rsidRPr="005E00EC">
        <w:t xml:space="preserve"> basis</w:t>
      </w:r>
      <w:r w:rsidR="00E72006">
        <w:t xml:space="preserve"> of</w:t>
      </w:r>
      <w:r w:rsidR="00CA0009" w:rsidRPr="005E00EC">
        <w:t xml:space="preserve"> </w:t>
      </w:r>
      <w:r w:rsidR="0041271D" w:rsidRPr="005E00EC">
        <w:t xml:space="preserve">A.N.’s </w:t>
      </w:r>
      <w:r w:rsidR="00533187" w:rsidRPr="005E00EC">
        <w:t>“four or more truancies</w:t>
      </w:r>
      <w:r w:rsidR="00743A01">
        <w:t xml:space="preserve"> within one school year</w:t>
      </w:r>
      <w:r w:rsidR="00533187" w:rsidRPr="005E00EC">
        <w:t xml:space="preserve">” </w:t>
      </w:r>
      <w:r w:rsidR="00533187">
        <w:t xml:space="preserve">under </w:t>
      </w:r>
      <w:r w:rsidR="00533187" w:rsidRPr="005E00EC">
        <w:t>Welf</w:t>
      </w:r>
      <w:r w:rsidR="00533187">
        <w:t>are and</w:t>
      </w:r>
      <w:r w:rsidR="00533187" w:rsidRPr="005E00EC">
        <w:t xml:space="preserve"> Inst</w:t>
      </w:r>
      <w:r w:rsidR="00533187">
        <w:t>itutions</w:t>
      </w:r>
      <w:r w:rsidR="00533187" w:rsidRPr="005E00EC">
        <w:t xml:space="preserve"> Code</w:t>
      </w:r>
      <w:r w:rsidR="00743A01">
        <w:t xml:space="preserve"> section 601(b)</w:t>
      </w:r>
      <w:r w:rsidR="00533187" w:rsidRPr="005E00EC">
        <w:t xml:space="preserve">, </w:t>
      </w:r>
      <w:r w:rsidR="00533187">
        <w:t>but the court did not consider whether a fourth truancy report had been issued to the attendance supervisor or the superintendent of the school district</w:t>
      </w:r>
      <w:r w:rsidR="0041271D" w:rsidRPr="005E00EC">
        <w:t>.  (</w:t>
      </w:r>
      <w:r w:rsidR="00C073B0" w:rsidRPr="005E00EC">
        <w:rPr>
          <w:i/>
        </w:rPr>
        <w:t>A.N.</w:t>
      </w:r>
      <w:r w:rsidR="00C073B0" w:rsidRPr="005E00EC">
        <w:t xml:space="preserve">, </w:t>
      </w:r>
      <w:r w:rsidR="00C073B0" w:rsidRPr="005E00EC">
        <w:rPr>
          <w:i/>
        </w:rPr>
        <w:t>supra</w:t>
      </w:r>
      <w:r w:rsidR="00C073B0" w:rsidRPr="005E00EC">
        <w:t>, 11 Cal.App.5th at pp</w:t>
      </w:r>
      <w:r w:rsidR="0041271D" w:rsidRPr="005E00EC">
        <w:t>. 406</w:t>
      </w:r>
      <w:r w:rsidR="00E30113">
        <w:t>–</w:t>
      </w:r>
      <w:r w:rsidR="0041271D" w:rsidRPr="005E00EC">
        <w:t xml:space="preserve">407.)  </w:t>
      </w:r>
      <w:r w:rsidR="00533187">
        <w:t>Before this court, t</w:t>
      </w:r>
      <w:r w:rsidR="003A7979" w:rsidRPr="005E00EC">
        <w:t xml:space="preserve">he Attorney General argues that a fourth truancy report </w:t>
      </w:r>
      <w:r w:rsidR="00BE3999" w:rsidRPr="005E00EC">
        <w:t>had been issued</w:t>
      </w:r>
      <w:r w:rsidR="008A4E5B">
        <w:t>.</w:t>
      </w:r>
      <w:r w:rsidR="00533187" w:rsidRPr="00533187">
        <w:t xml:space="preserve"> </w:t>
      </w:r>
      <w:r w:rsidR="008A4E5B">
        <w:t xml:space="preserve"> </w:t>
      </w:r>
      <w:r w:rsidR="00533187" w:rsidRPr="005E00EC">
        <w:lastRenderedPageBreak/>
        <w:t>A.N. does not argue otherwise</w:t>
      </w:r>
      <w:r w:rsidR="00253745">
        <w:t>, and</w:t>
      </w:r>
      <w:r w:rsidR="00533187">
        <w:t xml:space="preserve"> t</w:t>
      </w:r>
      <w:r w:rsidR="00B25470" w:rsidRPr="005E00EC">
        <w:t>he</w:t>
      </w:r>
      <w:r w:rsidR="004D4A2C" w:rsidRPr="005E00EC">
        <w:t xml:space="preserve"> record supports </w:t>
      </w:r>
      <w:r w:rsidR="00533187">
        <w:t>the Attorney General’s</w:t>
      </w:r>
      <w:r w:rsidR="004D4A2C" w:rsidRPr="005E00EC">
        <w:t xml:space="preserve"> argument</w:t>
      </w:r>
      <w:r w:rsidR="00CB454F" w:rsidRPr="005E00EC">
        <w:t xml:space="preserve">. </w:t>
      </w:r>
      <w:r w:rsidR="004D4A2C" w:rsidRPr="005E00EC">
        <w:t xml:space="preserve"> </w:t>
      </w:r>
      <w:r w:rsidR="00CB26AC">
        <w:t>Specifically</w:t>
      </w:r>
      <w:r w:rsidR="004D4A2C" w:rsidRPr="005E00EC">
        <w:t xml:space="preserve">, </w:t>
      </w:r>
      <w:r w:rsidR="00E149F0" w:rsidRPr="005E00EC">
        <w:t>A.N.’s</w:t>
      </w:r>
      <w:r w:rsidR="003A7979" w:rsidRPr="005E00EC">
        <w:t xml:space="preserve"> attendance supervisor testified that a computerized system automatically sends a report to the school district whenever a teacher records a student as absent from or tardy to class </w:t>
      </w:r>
      <w:r w:rsidR="004464E9" w:rsidRPr="005E00EC">
        <w:t>and t</w:t>
      </w:r>
      <w:r w:rsidR="00803AA8" w:rsidRPr="005E00EC">
        <w:t>hat t</w:t>
      </w:r>
      <w:r w:rsidR="004464E9" w:rsidRPr="005E00EC">
        <w:t xml:space="preserve">he same system generates student attendance profiles </w:t>
      </w:r>
      <w:r w:rsidR="004D4A2C" w:rsidRPr="005E00EC">
        <w:t xml:space="preserve">that </w:t>
      </w:r>
      <w:r w:rsidR="004464E9" w:rsidRPr="005E00EC">
        <w:t xml:space="preserve">provide </w:t>
      </w:r>
      <w:r w:rsidR="004D4A2C" w:rsidRPr="005E00EC">
        <w:t>attendance supervisors</w:t>
      </w:r>
      <w:r w:rsidR="004464E9" w:rsidRPr="005E00EC">
        <w:t xml:space="preserve"> with a list of each student’s recorded unexcused absences </w:t>
      </w:r>
      <w:r w:rsidR="004C60E3" w:rsidRPr="005E00EC">
        <w:t xml:space="preserve">and </w:t>
      </w:r>
      <w:proofErr w:type="spellStart"/>
      <w:r w:rsidR="004464E9" w:rsidRPr="005E00EC">
        <w:t>tardies</w:t>
      </w:r>
      <w:proofErr w:type="spellEnd"/>
      <w:r w:rsidR="004464E9" w:rsidRPr="005E00EC">
        <w:t>.</w:t>
      </w:r>
      <w:r w:rsidR="00E72006">
        <w:t xml:space="preserve">  </w:t>
      </w:r>
      <w:r w:rsidR="004464E9" w:rsidRPr="005E00EC">
        <w:t>A.N.’s student attendance profile</w:t>
      </w:r>
      <w:r w:rsidR="00803AA8" w:rsidRPr="005E00EC">
        <w:t xml:space="preserve"> </w:t>
      </w:r>
      <w:r w:rsidR="004464E9" w:rsidRPr="005E00EC">
        <w:t xml:space="preserve">lists dozens of </w:t>
      </w:r>
      <w:r w:rsidR="004D4A2C" w:rsidRPr="005E00EC">
        <w:t xml:space="preserve">recorded </w:t>
      </w:r>
      <w:r w:rsidR="004464E9" w:rsidRPr="005E00EC">
        <w:t xml:space="preserve">unexcused absences </w:t>
      </w:r>
      <w:r w:rsidR="004C60E3" w:rsidRPr="005E00EC">
        <w:t xml:space="preserve">or </w:t>
      </w:r>
      <w:proofErr w:type="spellStart"/>
      <w:r w:rsidR="004464E9" w:rsidRPr="005E00EC">
        <w:t>tardies</w:t>
      </w:r>
      <w:proofErr w:type="spellEnd"/>
      <w:r w:rsidR="005865DA">
        <w:t xml:space="preserve"> prior to the filing of the wardship petition</w:t>
      </w:r>
      <w:r w:rsidR="004464E9" w:rsidRPr="005E00EC">
        <w:t>.</w:t>
      </w:r>
      <w:r w:rsidR="00CB454F" w:rsidRPr="005E00EC">
        <w:t xml:space="preserve">  </w:t>
      </w:r>
      <w:r w:rsidR="00CB26AC">
        <w:t>Consequently</w:t>
      </w:r>
      <w:r w:rsidR="004464E9" w:rsidRPr="005E00EC">
        <w:t xml:space="preserve">, </w:t>
      </w:r>
      <w:r w:rsidR="009F723F" w:rsidRPr="005E00EC">
        <w:t>t</w:t>
      </w:r>
      <w:r w:rsidR="004464E9" w:rsidRPr="005E00EC">
        <w:t xml:space="preserve">he juvenile court had jurisdiction </w:t>
      </w:r>
      <w:r w:rsidR="009A67F6">
        <w:t xml:space="preserve">over </w:t>
      </w:r>
      <w:r w:rsidR="008B72EA">
        <w:t>A.N.</w:t>
      </w:r>
      <w:r w:rsidR="009A67F6">
        <w:t xml:space="preserve"> on the basis of</w:t>
      </w:r>
      <w:r w:rsidR="009A67F6" w:rsidRPr="005E00EC">
        <w:t xml:space="preserve"> A.N.</w:t>
      </w:r>
      <w:r w:rsidR="009A67F6">
        <w:t>’s</w:t>
      </w:r>
      <w:r w:rsidR="009A67F6" w:rsidRPr="005E00EC">
        <w:t xml:space="preserve"> four or more </w:t>
      </w:r>
      <w:r w:rsidR="00CB26AC">
        <w:t>acts of being truant that were reported in accordance with the statutory scheme.</w:t>
      </w:r>
    </w:p>
    <w:p w14:paraId="5310A09C" w14:textId="27E7BC97" w:rsidR="00500216" w:rsidRPr="005E00EC" w:rsidRDefault="0043606B" w:rsidP="005E00EC">
      <w:pPr>
        <w:pStyle w:val="Heading1"/>
        <w:rPr>
          <w:i/>
        </w:rPr>
      </w:pPr>
      <w:r w:rsidRPr="005E00EC">
        <w:t xml:space="preserve">III.  </w:t>
      </w:r>
      <w:r w:rsidR="00D44058" w:rsidRPr="005E00EC">
        <w:t>Conclusion</w:t>
      </w:r>
    </w:p>
    <w:p w14:paraId="68108FED" w14:textId="047E6942" w:rsidR="0029236A" w:rsidRDefault="00716840" w:rsidP="0029236A">
      <w:pPr>
        <w:ind w:firstLine="720"/>
        <w:contextualSpacing/>
      </w:pPr>
      <w:r w:rsidRPr="005E00EC">
        <w:t xml:space="preserve">The Court of Appeal </w:t>
      </w:r>
      <w:r w:rsidR="001478D3">
        <w:t>declared that A.N. “</w:t>
      </w:r>
      <w:r w:rsidR="00791627">
        <w:t>refused to go to school” and “</w:t>
      </w:r>
      <w:r w:rsidR="001478D3">
        <w:t>demonstrated [an] unwavering commitment to avoiding an education</w:t>
      </w:r>
      <w:r w:rsidR="00791627">
        <w:t>.</w:t>
      </w:r>
      <w:r w:rsidR="001478D3">
        <w:t xml:space="preserve">” </w:t>
      </w:r>
      <w:r w:rsidR="00791627">
        <w:t xml:space="preserve"> (</w:t>
      </w:r>
      <w:r w:rsidR="00791627">
        <w:rPr>
          <w:i/>
        </w:rPr>
        <w:t>A.N.</w:t>
      </w:r>
      <w:r w:rsidR="00791627">
        <w:t xml:space="preserve">, </w:t>
      </w:r>
      <w:r w:rsidR="00791627">
        <w:rPr>
          <w:i/>
        </w:rPr>
        <w:t>supra</w:t>
      </w:r>
      <w:r w:rsidR="00791627">
        <w:t>, 11 Cal.App.5th at p. 405.)</w:t>
      </w:r>
      <w:r w:rsidR="00451D18">
        <w:t xml:space="preserve">  But the record suggests that</w:t>
      </w:r>
      <w:r w:rsidR="00927DF6">
        <w:t xml:space="preserve"> </w:t>
      </w:r>
      <w:r w:rsidR="005F4496">
        <w:t>A.N.</w:t>
      </w:r>
      <w:r w:rsidR="00451D18">
        <w:t xml:space="preserve">’s attendance problems arose out of </w:t>
      </w:r>
      <w:r w:rsidR="005F4496">
        <w:t>difficult circumstances at home and in her personal life</w:t>
      </w:r>
      <w:r w:rsidR="00451D18">
        <w:t xml:space="preserve">.  </w:t>
      </w:r>
      <w:r w:rsidR="004D3BAE">
        <w:t>B</w:t>
      </w:r>
      <w:r w:rsidR="00F35D4A">
        <w:t>oth</w:t>
      </w:r>
      <w:r w:rsidR="00F35D4A" w:rsidRPr="00451D18">
        <w:t xml:space="preserve"> part</w:t>
      </w:r>
      <w:r w:rsidR="00F35D4A" w:rsidRPr="008D4001">
        <w:t xml:space="preserve">ies and </w:t>
      </w:r>
      <w:r w:rsidR="00BA7FF1">
        <w:t xml:space="preserve">amicus curiae </w:t>
      </w:r>
      <w:r w:rsidR="00F35D4A" w:rsidRPr="008D4001">
        <w:t xml:space="preserve">CRLA </w:t>
      </w:r>
      <w:r w:rsidR="00F35D4A">
        <w:t>agree</w:t>
      </w:r>
      <w:r w:rsidR="00F35D4A" w:rsidRPr="008D4001">
        <w:t xml:space="preserve"> that </w:t>
      </w:r>
      <w:r w:rsidR="00F35D4A">
        <w:t>students</w:t>
      </w:r>
      <w:r w:rsidR="00F35D4A" w:rsidRPr="008D4001">
        <w:t xml:space="preserve"> often fall into truancy for reasons</w:t>
      </w:r>
      <w:r w:rsidR="00F35D4A">
        <w:t xml:space="preserve"> </w:t>
      </w:r>
      <w:r w:rsidR="00F35D4A" w:rsidRPr="008D4001">
        <w:t>beyond their control</w:t>
      </w:r>
      <w:r w:rsidR="00AA5081">
        <w:t xml:space="preserve">.  </w:t>
      </w:r>
      <w:r w:rsidR="00AA5081" w:rsidRPr="00AA5081">
        <w:t xml:space="preserve">(See conc. </w:t>
      </w:r>
      <w:proofErr w:type="spellStart"/>
      <w:r w:rsidR="00AA5081" w:rsidRPr="00AA5081">
        <w:t>opn</w:t>
      </w:r>
      <w:proofErr w:type="spellEnd"/>
      <w:r w:rsidR="00AA5081" w:rsidRPr="00AA5081">
        <w:t xml:space="preserve">., </w:t>
      </w:r>
      <w:r w:rsidR="00AA5081" w:rsidRPr="00AA5081">
        <w:rPr>
          <w:i/>
          <w:iCs/>
        </w:rPr>
        <w:t>post</w:t>
      </w:r>
      <w:r w:rsidR="00AA5081" w:rsidRPr="00AA5081">
        <w:t>, at p. 4.)</w:t>
      </w:r>
      <w:r w:rsidR="00AA5081">
        <w:t xml:space="preserve"> </w:t>
      </w:r>
      <w:r w:rsidR="00F55EB5">
        <w:t xml:space="preserve"> </w:t>
      </w:r>
      <w:r w:rsidR="00451D18">
        <w:t>The Court of Appeal also opined that school officials “</w:t>
      </w:r>
      <w:r w:rsidR="00451D18" w:rsidRPr="005E00EC">
        <w:t>did everything they could and should do to educate—not abandon—A.N.”</w:t>
      </w:r>
      <w:r w:rsidR="00451D18">
        <w:t xml:space="preserve"> </w:t>
      </w:r>
      <w:r w:rsidR="00451D18" w:rsidRPr="001478D3">
        <w:t xml:space="preserve"> (</w:t>
      </w:r>
      <w:r w:rsidR="00451D18">
        <w:rPr>
          <w:i/>
        </w:rPr>
        <w:t>A.N.</w:t>
      </w:r>
      <w:r w:rsidR="00451D18">
        <w:t xml:space="preserve">, </w:t>
      </w:r>
      <w:r w:rsidR="00451D18">
        <w:rPr>
          <w:i/>
        </w:rPr>
        <w:t>supra</w:t>
      </w:r>
      <w:r w:rsidR="00451D18">
        <w:t>, 11 Cal.App.5th</w:t>
      </w:r>
      <w:r w:rsidR="00451D18" w:rsidRPr="001478D3">
        <w:t xml:space="preserve"> at p. </w:t>
      </w:r>
      <w:r w:rsidR="00451D18" w:rsidRPr="005E00EC">
        <w:t>406</w:t>
      </w:r>
      <w:r w:rsidR="00451D18">
        <w:t>.</w:t>
      </w:r>
      <w:r w:rsidR="00451D18" w:rsidRPr="001478D3">
        <w:t>)</w:t>
      </w:r>
      <w:r w:rsidR="00451D18">
        <w:t xml:space="preserve">  But</w:t>
      </w:r>
      <w:r w:rsidR="00927DF6" w:rsidRPr="008D4001">
        <w:t xml:space="preserve"> a SARB meeting was not held until A.N. had accumulated dozens of unexcused absences or </w:t>
      </w:r>
      <w:proofErr w:type="spellStart"/>
      <w:r w:rsidR="00927DF6" w:rsidRPr="008D4001">
        <w:t>tardies</w:t>
      </w:r>
      <w:proofErr w:type="spellEnd"/>
      <w:r w:rsidR="00927DF6" w:rsidRPr="008D4001">
        <w:t xml:space="preserve">, and there is no evidence that any services were provided </w:t>
      </w:r>
      <w:r w:rsidR="008D4001" w:rsidRPr="008D4001">
        <w:t>to her or her parents</w:t>
      </w:r>
      <w:r w:rsidR="00927DF6" w:rsidRPr="008D4001">
        <w:t>.</w:t>
      </w:r>
      <w:r w:rsidR="0029236A">
        <w:t xml:space="preserve">  </w:t>
      </w:r>
      <w:r w:rsidR="0029236A">
        <w:rPr>
          <w:szCs w:val="26"/>
        </w:rPr>
        <w:t>W</w:t>
      </w:r>
      <w:r w:rsidR="009F068D">
        <w:rPr>
          <w:szCs w:val="26"/>
        </w:rPr>
        <w:t>hen</w:t>
      </w:r>
      <w:r w:rsidR="009F068D" w:rsidRPr="008D4001">
        <w:rPr>
          <w:szCs w:val="26"/>
        </w:rPr>
        <w:t xml:space="preserve"> a habitual truant is </w:t>
      </w:r>
      <w:r w:rsidR="00F24E6A">
        <w:rPr>
          <w:szCs w:val="26"/>
        </w:rPr>
        <w:t xml:space="preserve">adjudged a ward of </w:t>
      </w:r>
      <w:r w:rsidR="009F068D" w:rsidRPr="008D4001">
        <w:rPr>
          <w:szCs w:val="26"/>
        </w:rPr>
        <w:t>the juvenile cour</w:t>
      </w:r>
      <w:r w:rsidR="009F068D">
        <w:rPr>
          <w:szCs w:val="26"/>
        </w:rPr>
        <w:t>t</w:t>
      </w:r>
      <w:r w:rsidR="009F068D" w:rsidRPr="008D4001">
        <w:rPr>
          <w:szCs w:val="26"/>
        </w:rPr>
        <w:t xml:space="preserve"> but is never offered any services </w:t>
      </w:r>
      <w:r w:rsidR="009F068D" w:rsidRPr="008D4001">
        <w:t>to address the underlying causes of his or her attendance problems</w:t>
      </w:r>
      <w:r w:rsidR="009F068D">
        <w:t>, we question whether the statutory scheme function</w:t>
      </w:r>
      <w:r w:rsidR="00F24E6A">
        <w:t>s</w:t>
      </w:r>
      <w:r w:rsidR="0029236A">
        <w:t xml:space="preserve"> </w:t>
      </w:r>
      <w:r w:rsidR="00F24E6A">
        <w:t xml:space="preserve">as </w:t>
      </w:r>
      <w:r w:rsidR="009F068D">
        <w:t xml:space="preserve">the Legislature </w:t>
      </w:r>
      <w:r w:rsidR="00F24E6A">
        <w:t>expected</w:t>
      </w:r>
      <w:r w:rsidR="009F068D">
        <w:t>.</w:t>
      </w:r>
    </w:p>
    <w:p w14:paraId="0E14B602" w14:textId="77777777" w:rsidR="00E653A8" w:rsidRPr="00E360E5" w:rsidRDefault="00211814" w:rsidP="00E653A8">
      <w:pPr>
        <w:tabs>
          <w:tab w:val="left" w:pos="1440"/>
        </w:tabs>
        <w:ind w:firstLine="720"/>
      </w:pPr>
      <w:r>
        <w:lastRenderedPageBreak/>
        <w:t>That being said, we agree that the</w:t>
      </w:r>
      <w:r w:rsidR="00836198" w:rsidRPr="005E00EC">
        <w:t xml:space="preserve"> juvenile court possessed jurisdiction </w:t>
      </w:r>
      <w:r w:rsidR="00C64D8B">
        <w:t xml:space="preserve">over </w:t>
      </w:r>
      <w:r w:rsidR="009A67F6">
        <w:t>A.N</w:t>
      </w:r>
      <w:r w:rsidR="008A4E5B">
        <w:t xml:space="preserve">.  </w:t>
      </w:r>
      <w:r w:rsidR="00DD4E26">
        <w:t>Therefore</w:t>
      </w:r>
      <w:r w:rsidR="008A4E5B">
        <w:t>,</w:t>
      </w:r>
      <w:r w:rsidR="0013023B" w:rsidRPr="005E00EC">
        <w:t xml:space="preserve"> </w:t>
      </w:r>
      <w:r w:rsidR="00253745">
        <w:t xml:space="preserve">we </w:t>
      </w:r>
      <w:r w:rsidR="00B632D7" w:rsidRPr="005E00EC">
        <w:t>affirm</w:t>
      </w:r>
      <w:r w:rsidR="0013023B" w:rsidRPr="005E00EC">
        <w:t xml:space="preserve"> the </w:t>
      </w:r>
      <w:r w:rsidR="00C64D8B">
        <w:t>judgment of the</w:t>
      </w:r>
      <w:r>
        <w:t xml:space="preserve"> Court of Appeal</w:t>
      </w:r>
      <w:r w:rsidR="00C64D8B">
        <w:t>.</w:t>
      </w:r>
      <w:bookmarkStart w:id="20" w:name="calendar"/>
      <w:bookmarkStart w:id="21" w:name="plaintiff"/>
      <w:bookmarkStart w:id="22" w:name="mainstory"/>
      <w:bookmarkEnd w:id="20"/>
      <w:bookmarkEnd w:id="21"/>
      <w:bookmarkEnd w:id="22"/>
      <w:r w:rsidR="000F1464" w:rsidRPr="000F1464">
        <w:t xml:space="preserve"> </w:t>
      </w:r>
      <w:bookmarkStart w:id="23" w:name="plaintiff2"/>
      <w:bookmarkEnd w:id="23"/>
    </w:p>
    <w:p w14:paraId="4B971BA8" w14:textId="77777777" w:rsidR="00E653A8" w:rsidRPr="001574EF" w:rsidRDefault="00E653A8" w:rsidP="00E653A8">
      <w:pPr>
        <w:keepNext/>
        <w:keepLines/>
        <w:tabs>
          <w:tab w:val="left" w:pos="5760"/>
        </w:tabs>
        <w:ind w:firstLine="5760"/>
        <w:rPr>
          <w:b/>
        </w:rPr>
      </w:pPr>
      <w:r w:rsidRPr="001574EF">
        <w:rPr>
          <w:b/>
        </w:rPr>
        <w:t>CHIN, J.</w:t>
      </w:r>
    </w:p>
    <w:p w14:paraId="7F0CC6F5" w14:textId="77777777" w:rsidR="00E653A8" w:rsidRPr="00EF3B82" w:rsidRDefault="00E653A8" w:rsidP="00E653A8">
      <w:pPr>
        <w:pStyle w:val="NormalIndent"/>
        <w:spacing w:before="120" w:after="240"/>
        <w:ind w:left="0"/>
        <w:rPr>
          <w:b/>
        </w:rPr>
      </w:pPr>
      <w:r w:rsidRPr="00EF3B82">
        <w:rPr>
          <w:b/>
        </w:rPr>
        <w:t>We Concur:</w:t>
      </w:r>
    </w:p>
    <w:p w14:paraId="2839976C" w14:textId="77777777" w:rsidR="00E653A8" w:rsidRPr="00EF3B82" w:rsidRDefault="00E653A8" w:rsidP="00E653A8">
      <w:pPr>
        <w:pStyle w:val="NormalIndent"/>
        <w:spacing w:after="0" w:line="240" w:lineRule="auto"/>
        <w:ind w:left="0"/>
        <w:rPr>
          <w:b/>
        </w:rPr>
      </w:pPr>
      <w:bookmarkStart w:id="24" w:name="author"/>
      <w:bookmarkStart w:id="25" w:name="initials"/>
      <w:bookmarkEnd w:id="24"/>
      <w:bookmarkEnd w:id="25"/>
      <w:r w:rsidRPr="00EF3B82">
        <w:rPr>
          <w:b/>
        </w:rPr>
        <w:t>CANTIL-SAKAUYE, C. J.</w:t>
      </w:r>
    </w:p>
    <w:p w14:paraId="4472CBCC" w14:textId="77777777" w:rsidR="00E653A8" w:rsidRPr="00EF3B82" w:rsidRDefault="00E653A8" w:rsidP="00E653A8">
      <w:pPr>
        <w:pStyle w:val="NormalIndent"/>
        <w:spacing w:after="0" w:line="240" w:lineRule="auto"/>
        <w:ind w:left="0"/>
        <w:rPr>
          <w:b/>
        </w:rPr>
      </w:pPr>
      <w:r w:rsidRPr="00EF3B82">
        <w:rPr>
          <w:b/>
        </w:rPr>
        <w:t>CORRIGAN, J.</w:t>
      </w:r>
    </w:p>
    <w:p w14:paraId="0301287B" w14:textId="77777777" w:rsidR="00E653A8" w:rsidRPr="00EF3B82" w:rsidRDefault="00E653A8" w:rsidP="00E653A8">
      <w:pPr>
        <w:pStyle w:val="NormalIndent"/>
        <w:spacing w:after="0" w:line="240" w:lineRule="auto"/>
        <w:ind w:left="0"/>
        <w:rPr>
          <w:b/>
        </w:rPr>
      </w:pPr>
      <w:r w:rsidRPr="00EF3B82">
        <w:rPr>
          <w:b/>
        </w:rPr>
        <w:t>LIU, J.</w:t>
      </w:r>
    </w:p>
    <w:p w14:paraId="5E7AA237" w14:textId="77777777" w:rsidR="00E653A8" w:rsidRPr="00EF3B82" w:rsidRDefault="00E653A8" w:rsidP="00E653A8">
      <w:pPr>
        <w:pStyle w:val="NormalIndent"/>
        <w:spacing w:after="0" w:line="240" w:lineRule="auto"/>
        <w:ind w:left="0"/>
        <w:rPr>
          <w:b/>
        </w:rPr>
      </w:pPr>
      <w:r w:rsidRPr="00EF3B82">
        <w:rPr>
          <w:b/>
        </w:rPr>
        <w:t>CUÉLLAR, J.</w:t>
      </w:r>
    </w:p>
    <w:p w14:paraId="21AE0648" w14:textId="77777777" w:rsidR="00E653A8" w:rsidRPr="00EF3B82" w:rsidRDefault="00E653A8" w:rsidP="00E653A8">
      <w:pPr>
        <w:pStyle w:val="NormalIndent"/>
        <w:spacing w:after="0" w:line="240" w:lineRule="auto"/>
        <w:ind w:left="0"/>
        <w:rPr>
          <w:b/>
        </w:rPr>
      </w:pPr>
      <w:r>
        <w:rPr>
          <w:b/>
        </w:rPr>
        <w:t>KRUGER</w:t>
      </w:r>
      <w:r w:rsidRPr="00EF3B82">
        <w:rPr>
          <w:b/>
        </w:rPr>
        <w:t>, J.</w:t>
      </w:r>
    </w:p>
    <w:p w14:paraId="2C33AAA9" w14:textId="77777777" w:rsidR="00E653A8" w:rsidRPr="00EF3B82" w:rsidRDefault="00E653A8" w:rsidP="00E653A8">
      <w:pPr>
        <w:pStyle w:val="NormalIndent"/>
        <w:spacing w:after="0" w:line="240" w:lineRule="auto"/>
        <w:ind w:left="0"/>
        <w:rPr>
          <w:b/>
        </w:rPr>
      </w:pPr>
      <w:r>
        <w:rPr>
          <w:b/>
        </w:rPr>
        <w:t>GROBAN</w:t>
      </w:r>
      <w:r w:rsidRPr="00EF3B82">
        <w:rPr>
          <w:b/>
        </w:rPr>
        <w:t>, J.</w:t>
      </w:r>
    </w:p>
    <w:p w14:paraId="39EB737B" w14:textId="77777777" w:rsidR="00F00062" w:rsidRDefault="00F00062" w:rsidP="00F00062">
      <w:pPr>
        <w:contextualSpacing/>
        <w:sectPr w:rsidR="00F00062" w:rsidSect="007E2EEE">
          <w:footerReference w:type="first" r:id="rId11"/>
          <w:pgSz w:w="12240" w:h="15840"/>
          <w:pgMar w:top="1800" w:right="2160" w:bottom="1440" w:left="2160" w:header="720" w:footer="720" w:gutter="0"/>
          <w:pgNumType w:start="1"/>
          <w:cols w:space="720"/>
          <w:titlePg/>
          <w:docGrid w:linePitch="367"/>
        </w:sectPr>
      </w:pPr>
    </w:p>
    <w:p w14:paraId="07FC1FFD" w14:textId="77777777" w:rsidR="003A0E09" w:rsidRPr="003A0E09" w:rsidRDefault="003A0E09" w:rsidP="003A0E09">
      <w:pPr>
        <w:spacing w:line="480" w:lineRule="exact"/>
        <w:ind w:firstLine="720"/>
        <w:jc w:val="center"/>
        <w:rPr>
          <w:szCs w:val="26"/>
        </w:rPr>
      </w:pPr>
      <w:r w:rsidRPr="003A0E09">
        <w:rPr>
          <w:szCs w:val="26"/>
        </w:rPr>
        <w:lastRenderedPageBreak/>
        <w:t xml:space="preserve">In Re A.N. </w:t>
      </w:r>
    </w:p>
    <w:p w14:paraId="6E63F4C4" w14:textId="77777777" w:rsidR="003A0E09" w:rsidRPr="003A0E09" w:rsidRDefault="003A0E09" w:rsidP="003A0E09">
      <w:pPr>
        <w:spacing w:line="480" w:lineRule="exact"/>
        <w:ind w:firstLine="720"/>
        <w:jc w:val="center"/>
        <w:rPr>
          <w:szCs w:val="26"/>
        </w:rPr>
      </w:pPr>
      <w:r w:rsidRPr="003A0E09">
        <w:rPr>
          <w:szCs w:val="26"/>
        </w:rPr>
        <w:t>S242494</w:t>
      </w:r>
    </w:p>
    <w:p w14:paraId="0BB1E477" w14:textId="77777777" w:rsidR="003A0E09" w:rsidRPr="003A0E09" w:rsidRDefault="003A0E09" w:rsidP="003A0E09">
      <w:pPr>
        <w:spacing w:line="480" w:lineRule="exact"/>
        <w:ind w:firstLine="720"/>
        <w:jc w:val="center"/>
        <w:rPr>
          <w:szCs w:val="26"/>
        </w:rPr>
      </w:pPr>
    </w:p>
    <w:p w14:paraId="42965404" w14:textId="77777777" w:rsidR="003A0E09" w:rsidRPr="003A0E09" w:rsidRDefault="003A0E09" w:rsidP="003A0E09">
      <w:pPr>
        <w:spacing w:line="480" w:lineRule="exact"/>
        <w:ind w:firstLine="720"/>
        <w:jc w:val="center"/>
        <w:rPr>
          <w:szCs w:val="26"/>
        </w:rPr>
      </w:pPr>
      <w:r w:rsidRPr="003A0E09">
        <w:rPr>
          <w:szCs w:val="26"/>
        </w:rPr>
        <w:t>Concurring Opinion by Justice Liu</w:t>
      </w:r>
    </w:p>
    <w:p w14:paraId="1C21EC6E" w14:textId="77777777" w:rsidR="003A0E09" w:rsidRPr="003A0E09" w:rsidRDefault="003A0E09" w:rsidP="003A0E09">
      <w:pPr>
        <w:spacing w:line="480" w:lineRule="exact"/>
        <w:ind w:firstLine="720"/>
        <w:jc w:val="center"/>
        <w:rPr>
          <w:szCs w:val="26"/>
        </w:rPr>
      </w:pPr>
    </w:p>
    <w:p w14:paraId="5C77FCAB" w14:textId="77777777" w:rsidR="003A0E09" w:rsidRPr="003A0E09" w:rsidRDefault="003A0E09" w:rsidP="003A0E09">
      <w:pPr>
        <w:ind w:firstLine="720"/>
        <w:rPr>
          <w:szCs w:val="26"/>
        </w:rPr>
      </w:pPr>
      <w:r w:rsidRPr="003A0E09">
        <w:rPr>
          <w:szCs w:val="26"/>
        </w:rPr>
        <w:t xml:space="preserve">I agree with today’s opinion that Welfare and Institutions Code section 601, subdivision (b) (section 601(b)) authorizes juvenile court jurisdiction upon a minor’s fourth truancy, even if the minor has not received services through a school attendance review board (SARB) or similar truancy mediation program.  I write separately to highlight the tension between section 601(b)’s grant of </w:t>
      </w:r>
      <w:proofErr w:type="gramStart"/>
      <w:r w:rsidRPr="003A0E09">
        <w:rPr>
          <w:szCs w:val="26"/>
        </w:rPr>
        <w:t>jurisdiction</w:t>
      </w:r>
      <w:proofErr w:type="gramEnd"/>
      <w:r w:rsidRPr="003A0E09">
        <w:rPr>
          <w:szCs w:val="26"/>
        </w:rPr>
        <w:t xml:space="preserve"> and the rehabilitative and diversionary purpose of the Education Code’s SARB provisions.  (See </w:t>
      </w:r>
      <w:proofErr w:type="spellStart"/>
      <w:r w:rsidRPr="003A0E09">
        <w:rPr>
          <w:szCs w:val="26"/>
        </w:rPr>
        <w:t>maj.</w:t>
      </w:r>
      <w:proofErr w:type="spellEnd"/>
      <w:r w:rsidRPr="003A0E09">
        <w:rPr>
          <w:szCs w:val="26"/>
        </w:rPr>
        <w:t xml:space="preserve">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at pp. 13–17.)  Those provisions signal the Legislature’s recognition that school attendance problems are often traceable to family instability, poverty, homelessness, transportation issues, safety concerns, trauma, mental health challenges, or learning disabilities, and that appropriate guidance and assistance to students and their families can ameliorate such problems.  By contrast, as studies have shown, a wardship petition in juvenile court may put students on a different path — one that significantly increases their likelihood of dropping out of school and entering the criminal justice system.  Given its potentially profound consequences, it is widely believed that juvenile court involvement should be “a matter of last resort.”  (</w:t>
      </w:r>
      <w:r w:rsidRPr="003A0E09">
        <w:rPr>
          <w:i/>
          <w:szCs w:val="26"/>
        </w:rPr>
        <w:t>Id.</w:t>
      </w:r>
      <w:r w:rsidRPr="003A0E09">
        <w:rPr>
          <w:szCs w:val="26"/>
        </w:rPr>
        <w:t xml:space="preserve"> at p. 13.)  The jurisdictional statute at issue in this case is a funnel into what many </w:t>
      </w:r>
      <w:proofErr w:type="gramStart"/>
      <w:r w:rsidRPr="003A0E09">
        <w:rPr>
          <w:szCs w:val="26"/>
        </w:rPr>
        <w:t>call</w:t>
      </w:r>
      <w:proofErr w:type="gramEnd"/>
      <w:r w:rsidRPr="003A0E09">
        <w:rPr>
          <w:szCs w:val="26"/>
        </w:rPr>
        <w:t xml:space="preserve"> the school-to-prison pipeline.  </w:t>
      </w:r>
      <w:proofErr w:type="gramStart"/>
      <w:r w:rsidRPr="003A0E09">
        <w:rPr>
          <w:szCs w:val="26"/>
        </w:rPr>
        <w:t>In light of</w:t>
      </w:r>
      <w:proofErr w:type="gramEnd"/>
      <w:r w:rsidRPr="003A0E09">
        <w:rPr>
          <w:szCs w:val="26"/>
        </w:rPr>
        <w:t xml:space="preserve"> today’s decision, the Legislature </w:t>
      </w:r>
      <w:r w:rsidRPr="003A0E09">
        <w:rPr>
          <w:szCs w:val="26"/>
        </w:rPr>
        <w:lastRenderedPageBreak/>
        <w:t>may wish to revisit what services or interventions are required before a student can be put onto this unpromising path.</w:t>
      </w:r>
    </w:p>
    <w:p w14:paraId="02251B9E" w14:textId="77777777" w:rsidR="003A0E09" w:rsidRPr="003A0E09" w:rsidRDefault="003A0E09" w:rsidP="003A0E09">
      <w:pPr>
        <w:ind w:firstLine="720"/>
        <w:rPr>
          <w:szCs w:val="26"/>
        </w:rPr>
      </w:pPr>
      <w:r w:rsidRPr="003A0E09">
        <w:rPr>
          <w:szCs w:val="26"/>
        </w:rPr>
        <w:t>Education Code section 48320, subdivision (a) provides that in establishing SARBs and defining their broad authority, “it is the intent of the Legislature that intensive guidance and coordinated community services may be provided to meet the special needs of pupils with school attendance problems or school behavior problems.”  “Composed of representatives from various youth-serving agencies, SARBs help truant or recalcitrant students and their parents or guardians solve school attendance and behavior problems through the use of available school and community resources.”  (SARB Handbook: A Road Map for Improved School Attendance and Behavior (2018) p. 11 (SARB Handbook); see Ed. Code, § 48321, subds. (a)(2) &amp; (b)(1).)  According to the State SARB, “the Legislature enacted . . . [s]</w:t>
      </w:r>
      <w:proofErr w:type="spellStart"/>
      <w:r w:rsidRPr="003A0E09">
        <w:rPr>
          <w:szCs w:val="26"/>
        </w:rPr>
        <w:t>ection</w:t>
      </w:r>
      <w:proofErr w:type="spellEnd"/>
      <w:r w:rsidRPr="003A0E09">
        <w:rPr>
          <w:szCs w:val="26"/>
        </w:rPr>
        <w:t xml:space="preserve"> 48320 to enhance the enforcement of compulsory education laws and to divert students with school attendance or behavior problems from the juvenile justice system until all available resources have been exhausted.”  (SARB Handbook, p. 10; see Ed. Code, § 48325.)</w:t>
      </w:r>
    </w:p>
    <w:p w14:paraId="64A13AA9" w14:textId="77777777" w:rsidR="003A0E09" w:rsidRPr="003A0E09" w:rsidRDefault="003A0E09" w:rsidP="003A0E09">
      <w:pPr>
        <w:ind w:firstLine="720"/>
        <w:rPr>
          <w:szCs w:val="26"/>
        </w:rPr>
      </w:pPr>
      <w:r w:rsidRPr="003A0E09">
        <w:rPr>
          <w:szCs w:val="26"/>
        </w:rPr>
        <w:t xml:space="preserve">Other provisions of the Education Code also evince the Legislature’s intent that “minors typically be referred to a SARB or a similar truancy mediation program before the juvenile court.”  (Maj.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xml:space="preserve">, at p. 15.)  Education Code section 48264.5 establishes a step-by-step process for addressing “the root causes” of school attendance problems (Ed. Code, § 48264.5, </w:t>
      </w:r>
      <w:proofErr w:type="spellStart"/>
      <w:r w:rsidRPr="003A0E09">
        <w:rPr>
          <w:szCs w:val="26"/>
        </w:rPr>
        <w:t>subd</w:t>
      </w:r>
      <w:proofErr w:type="spellEnd"/>
      <w:r w:rsidRPr="003A0E09">
        <w:rPr>
          <w:szCs w:val="26"/>
        </w:rPr>
        <w:t>. (a)) and for utilizing SARBs or a similar truancy mediation program to improve attendance (</w:t>
      </w:r>
      <w:r w:rsidRPr="003A0E09">
        <w:rPr>
          <w:i/>
          <w:szCs w:val="26"/>
        </w:rPr>
        <w:t>id.</w:t>
      </w:r>
      <w:r w:rsidRPr="003A0E09">
        <w:rPr>
          <w:szCs w:val="26"/>
        </w:rPr>
        <w:t xml:space="preserve">, </w:t>
      </w:r>
      <w:proofErr w:type="spellStart"/>
      <w:r w:rsidRPr="003A0E09">
        <w:rPr>
          <w:szCs w:val="26"/>
        </w:rPr>
        <w:t>subd</w:t>
      </w:r>
      <w:proofErr w:type="spellEnd"/>
      <w:r w:rsidRPr="003A0E09">
        <w:rPr>
          <w:szCs w:val="26"/>
        </w:rPr>
        <w:t xml:space="preserve">. (c)) in a manner consistent with the due process rights of students and their parents.  To initiate the SARB process, the “school district supervisor of attendance” or another designated school official </w:t>
      </w:r>
      <w:r w:rsidRPr="003A0E09">
        <w:rPr>
          <w:szCs w:val="26"/>
        </w:rPr>
        <w:lastRenderedPageBreak/>
        <w:t>must first refer the minor to the SARB.  (</w:t>
      </w:r>
      <w:r w:rsidRPr="003A0E09">
        <w:rPr>
          <w:i/>
          <w:szCs w:val="26"/>
        </w:rPr>
        <w:t>Id.</w:t>
      </w:r>
      <w:r w:rsidRPr="003A0E09">
        <w:rPr>
          <w:szCs w:val="26"/>
        </w:rPr>
        <w:t xml:space="preserve">, § 48263, </w:t>
      </w:r>
      <w:proofErr w:type="spellStart"/>
      <w:r w:rsidRPr="003A0E09">
        <w:rPr>
          <w:szCs w:val="26"/>
        </w:rPr>
        <w:t>subd</w:t>
      </w:r>
      <w:proofErr w:type="spellEnd"/>
      <w:r w:rsidRPr="003A0E09">
        <w:rPr>
          <w:szCs w:val="26"/>
        </w:rPr>
        <w:t>. (a).)  Upon referral, the SARB then “determines [whether] available community services can resolve the problem of the truant or insubordinate pupil.”  (</w:t>
      </w:r>
      <w:r w:rsidRPr="003A0E09">
        <w:rPr>
          <w:i/>
          <w:szCs w:val="26"/>
        </w:rPr>
        <w:t>Id.</w:t>
      </w:r>
      <w:r w:rsidRPr="003A0E09">
        <w:rPr>
          <w:szCs w:val="26"/>
        </w:rPr>
        <w:t xml:space="preserve">, </w:t>
      </w:r>
      <w:proofErr w:type="spellStart"/>
      <w:r w:rsidRPr="003A0E09">
        <w:rPr>
          <w:szCs w:val="26"/>
        </w:rPr>
        <w:t>subd</w:t>
      </w:r>
      <w:proofErr w:type="spellEnd"/>
      <w:r w:rsidRPr="003A0E09">
        <w:rPr>
          <w:szCs w:val="26"/>
        </w:rPr>
        <w:t xml:space="preserve">. (b)(1).)  Education Code section 48320, subdivision (b) directs SARBs to:  “(1) Propose and promote the use of alternatives to the juvenile court system.  [¶] (2) Provide, in any proposed alternative, for maximum utilization of community and regional resources appropriately employed in behalf of minors prior to any involvement with the judicial system.  [¶] (3) Encourage an understanding that any alternative based on the utilization of community resources carries an inherent agency and citizen commitment directed toward the continuing improvement of such resources and the creation of resources where none exist.”  (See also </w:t>
      </w:r>
      <w:r w:rsidRPr="003A0E09">
        <w:rPr>
          <w:i/>
          <w:szCs w:val="26"/>
        </w:rPr>
        <w:t>id.</w:t>
      </w:r>
      <w:r w:rsidRPr="003A0E09">
        <w:rPr>
          <w:szCs w:val="26"/>
        </w:rPr>
        <w:t xml:space="preserve">, § 32261, </w:t>
      </w:r>
      <w:proofErr w:type="spellStart"/>
      <w:r w:rsidRPr="003A0E09">
        <w:rPr>
          <w:szCs w:val="26"/>
        </w:rPr>
        <w:t>subd</w:t>
      </w:r>
      <w:proofErr w:type="spellEnd"/>
      <w:r w:rsidRPr="003A0E09">
        <w:rPr>
          <w:szCs w:val="26"/>
        </w:rPr>
        <w:t>. (b) [“the establishment of an interagency coordination system is the most efficient and long-lasting means of resolving school and community problems of truancy and crime”].)  If the SARB concludes that “available community services cannot resolve the problem” or if “the pupil or the parents or guardians of the pupil, or both, have failed to respond to [SARB] directives,” the SARB may refer the minor to juvenile court.  (</w:t>
      </w:r>
      <w:r w:rsidRPr="003A0E09">
        <w:rPr>
          <w:i/>
          <w:szCs w:val="26"/>
        </w:rPr>
        <w:t>Id.</w:t>
      </w:r>
      <w:r w:rsidRPr="003A0E09">
        <w:rPr>
          <w:szCs w:val="26"/>
        </w:rPr>
        <w:t xml:space="preserve">, § 48263, </w:t>
      </w:r>
      <w:proofErr w:type="spellStart"/>
      <w:r w:rsidRPr="003A0E09">
        <w:rPr>
          <w:szCs w:val="26"/>
        </w:rPr>
        <w:t>subd</w:t>
      </w:r>
      <w:proofErr w:type="spellEnd"/>
      <w:r w:rsidRPr="003A0E09">
        <w:rPr>
          <w:szCs w:val="26"/>
        </w:rPr>
        <w:t>. (b)(2).)  These statutes envision individualized guidance and community-based services coordinated through SARBs or a similar mechanism as preferred alternatives to juvenile court intervention.</w:t>
      </w:r>
    </w:p>
    <w:p w14:paraId="1854636E" w14:textId="77777777" w:rsidR="003A0E09" w:rsidRPr="003A0E09" w:rsidRDefault="003A0E09" w:rsidP="003A0E09">
      <w:pPr>
        <w:ind w:firstLine="720"/>
        <w:rPr>
          <w:szCs w:val="26"/>
        </w:rPr>
      </w:pPr>
      <w:r w:rsidRPr="003A0E09">
        <w:rPr>
          <w:szCs w:val="26"/>
        </w:rPr>
        <w:t xml:space="preserve">The desirability of such alternatives is supported by empirical studies.  (See, e.g., </w:t>
      </w:r>
      <w:proofErr w:type="spellStart"/>
      <w:r w:rsidRPr="003A0E09">
        <w:rPr>
          <w:szCs w:val="26"/>
        </w:rPr>
        <w:t>Petrosino</w:t>
      </w:r>
      <w:proofErr w:type="spellEnd"/>
      <w:r w:rsidRPr="003A0E09">
        <w:rPr>
          <w:szCs w:val="26"/>
        </w:rPr>
        <w:t xml:space="preserve"> et al., </w:t>
      </w:r>
      <w:r w:rsidRPr="003A0E09">
        <w:rPr>
          <w:i/>
          <w:szCs w:val="26"/>
        </w:rPr>
        <w:t>Formal System Processing of Juveniles: Effects on Delinquency: A Systematic Review</w:t>
      </w:r>
      <w:r w:rsidRPr="003A0E09">
        <w:rPr>
          <w:szCs w:val="26"/>
        </w:rPr>
        <w:t xml:space="preserve"> (2010) Campbell Systematic Reviews, at p. 36 [reviewing 29 controlled trials and finding that juvenile court intervention increases the severity and frequency of subsequent delinquency, </w:t>
      </w:r>
      <w:r w:rsidRPr="003A0E09">
        <w:rPr>
          <w:szCs w:val="26"/>
        </w:rPr>
        <w:lastRenderedPageBreak/>
        <w:t xml:space="preserve">especially compared to diversionary alternatives]; </w:t>
      </w:r>
      <w:proofErr w:type="spellStart"/>
      <w:r w:rsidRPr="003A0E09">
        <w:rPr>
          <w:szCs w:val="26"/>
        </w:rPr>
        <w:t>Petitclerc</w:t>
      </w:r>
      <w:proofErr w:type="spellEnd"/>
      <w:r w:rsidRPr="003A0E09">
        <w:rPr>
          <w:szCs w:val="26"/>
        </w:rPr>
        <w:t xml:space="preserve"> et al., </w:t>
      </w:r>
      <w:r w:rsidRPr="003A0E09">
        <w:rPr>
          <w:i/>
          <w:szCs w:val="26"/>
        </w:rPr>
        <w:t>Effects of Juvenile Court Exposure on Crime in Young Adulthood</w:t>
      </w:r>
      <w:r w:rsidRPr="003A0E09">
        <w:rPr>
          <w:szCs w:val="26"/>
        </w:rPr>
        <w:t xml:space="preserve"> (2013) 54 J. Child Psych. &amp; Psychiatry 291, 294 [identifying increased criminality into early adulthood among minors exposed to the juvenile court system, after controlling for covariates].)  It is also supported by the experiences of juvenile court judges and other judicial branch officers.  (See Coalition for Juvenile Justice, Positive Power: Exercising Judicial Leadership to Prevent Court Involvement and Incarceration of Non-Delinquent Youth (2012) pp. 6–7 [reporting judicial perspective that “bringing youth petitioned as truants before [the] court failed to improve their academic performance or attendance” and that “school-based and family-based responses to high-need youth” resulted in better outcomes]; </w:t>
      </w:r>
      <w:r w:rsidRPr="003A0E09">
        <w:rPr>
          <w:i/>
          <w:szCs w:val="26"/>
        </w:rPr>
        <w:t>id.</w:t>
      </w:r>
      <w:r w:rsidRPr="003A0E09">
        <w:rPr>
          <w:szCs w:val="26"/>
        </w:rPr>
        <w:t xml:space="preserve"> at pp. 5–14 [collecting similar perspectives from juvenile court judges].)</w:t>
      </w:r>
    </w:p>
    <w:p w14:paraId="78772B01" w14:textId="77777777" w:rsidR="003A0E09" w:rsidRPr="003A0E09" w:rsidRDefault="003A0E09" w:rsidP="003A0E09">
      <w:pPr>
        <w:ind w:firstLine="720"/>
        <w:rPr>
          <w:szCs w:val="26"/>
        </w:rPr>
      </w:pPr>
      <w:r w:rsidRPr="003A0E09">
        <w:rPr>
          <w:szCs w:val="26"/>
        </w:rPr>
        <w:t>A 2012 Judicial Council of California report noted that “[t]</w:t>
      </w:r>
      <w:proofErr w:type="spellStart"/>
      <w:r w:rsidRPr="003A0E09">
        <w:rPr>
          <w:szCs w:val="26"/>
        </w:rPr>
        <w:t>ruant</w:t>
      </w:r>
      <w:proofErr w:type="spellEnd"/>
      <w:r w:rsidRPr="003A0E09">
        <w:rPr>
          <w:szCs w:val="26"/>
        </w:rPr>
        <w:t xml:space="preserve"> children and children with school behavior problems tend to come from poor minority families that may be experiencing unemployment, hunger, housing issues, transportation issues, family dissolution or dysfunction, domestic violence, or community safety issues.  Children may also have learning disabilities or other issues that impact their ability to attend school. . . .  As such, truancy and school behavior interventions should involve addressing child and family issues holistically . . . .  Interventions should be supportive and involve the least punitive responses available, while at the same time reinforcing student and parent accountability . . . .  They should also focus on re-engaging the student in school, including attention to both attendance and academic problems.”  (Judicial Council of Cal., Truancy and School Discipline: An Overview of the Literature and Statistics (2012) p. 11, citations omitted.)</w:t>
      </w:r>
    </w:p>
    <w:p w14:paraId="0EB9C079" w14:textId="77777777" w:rsidR="003A0E09" w:rsidRPr="003A0E09" w:rsidRDefault="003A0E09" w:rsidP="003A0E09">
      <w:pPr>
        <w:ind w:firstLine="720"/>
        <w:rPr>
          <w:szCs w:val="26"/>
        </w:rPr>
      </w:pPr>
      <w:r w:rsidRPr="003A0E09">
        <w:rPr>
          <w:szCs w:val="26"/>
        </w:rPr>
        <w:lastRenderedPageBreak/>
        <w:t>Since 2014, the Judicial Council’s Keeping Kids in School and Out of Court (KKIS) Initiative has worked to “change[] attitudes regarding school discipline in California” by promoting diversionary alternatives to the justice system.  (Judicial Council of California, Summit Caps Five-Year Effort to Keep Kids in School and Out of Court (2020) &lt;</w:t>
      </w:r>
      <w:r w:rsidRPr="003A0E09">
        <w:t>https://newsroom.courts .ca.gov/</w:t>
      </w:r>
      <w:r w:rsidRPr="003A0E09">
        <w:rPr>
          <w:rFonts w:ascii="Times New Roman" w:hAnsi="Times New Roman"/>
        </w:rPr>
        <w:t>‌</w:t>
      </w:r>
      <w:r w:rsidRPr="003A0E09">
        <w:t>news/</w:t>
      </w:r>
      <w:r w:rsidRPr="003A0E09">
        <w:rPr>
          <w:rFonts w:ascii="Times New Roman" w:hAnsi="Times New Roman"/>
        </w:rPr>
        <w:t>‌</w:t>
      </w:r>
      <w:r w:rsidRPr="003A0E09">
        <w:rPr>
          <w:rFonts w:ascii="Times New Roman" w:hAnsi="Times New Roman"/>
          <w:color w:val="0000FF"/>
          <w:u w:val="single"/>
        </w:rPr>
        <w:t>‌</w:t>
      </w:r>
      <w:proofErr w:type="spellStart"/>
      <w:r w:rsidRPr="003A0E09">
        <w:t>KKIS_rural_summit</w:t>
      </w:r>
      <w:proofErr w:type="spellEnd"/>
      <w:r w:rsidRPr="003A0E09">
        <w:t>&gt; [as of May 4, 2020]; all Internet citations in this opinion are archived by year, docket number, and case name at &lt;http://www.courts.ca.gov/ 38324.htm&gt;.)</w:t>
      </w:r>
      <w:r w:rsidRPr="003A0E09">
        <w:rPr>
          <w:szCs w:val="26"/>
        </w:rPr>
        <w:t xml:space="preserve">  The KKIS Initiative has collected research suggesting the greater efficacy of community-based services than juvenile court intervention in addressing the causes of truancy and in improving school attendance and outcomes.  (Judicial Council of Cal., Keeping Kids in School and Out of Court Initiative (2020) &lt;</w:t>
      </w:r>
      <w:r w:rsidRPr="003A0E09">
        <w:t>https://www.courts.ca.gov/23902.htm&gt; [as of May 4, 2020].)  The initiative has also promoted a range of alternatives, including informal youth courts, community collaborations, and SARBs, that are designed to prevent students from entering the school-to-prison pipeline.  (</w:t>
      </w:r>
      <w:r w:rsidRPr="003A0E09">
        <w:rPr>
          <w:i/>
        </w:rPr>
        <w:t>Ibid.</w:t>
      </w:r>
      <w:r w:rsidRPr="003A0E09">
        <w:t>)</w:t>
      </w:r>
    </w:p>
    <w:p w14:paraId="0719A638" w14:textId="77777777" w:rsidR="003A0E09" w:rsidRPr="003A0E09" w:rsidRDefault="003A0E09" w:rsidP="003A0E09">
      <w:pPr>
        <w:ind w:firstLine="720"/>
        <w:rPr>
          <w:szCs w:val="26"/>
        </w:rPr>
      </w:pPr>
      <w:r w:rsidRPr="003A0E09">
        <w:rPr>
          <w:szCs w:val="26"/>
        </w:rPr>
        <w:t>Before 1994, “</w:t>
      </w:r>
      <w:r w:rsidRPr="003A0E09">
        <w:t>former section 601.1 of the Welfare and Institutions Code mandated initial referral to a SARB or a similar truancy mediation program</w:t>
      </w:r>
      <w:r w:rsidRPr="003A0E09">
        <w:rPr>
          <w:szCs w:val="26"/>
        </w:rPr>
        <w:t xml:space="preserve">, and </w:t>
      </w:r>
      <w:r w:rsidRPr="003A0E09">
        <w:t>section 601(b) formerly provided only two bases of juvenile court jurisdiction—both of which contemplated the prior use of a SARB or a similar truancy mediation program.</w:t>
      </w:r>
      <w:r w:rsidRPr="003A0E09">
        <w:rPr>
          <w:szCs w:val="26"/>
        </w:rPr>
        <w:t xml:space="preserve">”  (Maj.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at p. 8.)  In that context, we explained that “[t]he Education Code</w:t>
      </w:r>
      <w:r w:rsidRPr="003A0E09">
        <w:rPr>
          <w:i/>
          <w:szCs w:val="26"/>
        </w:rPr>
        <w:t xml:space="preserve"> </w:t>
      </w:r>
      <w:r w:rsidRPr="003A0E09">
        <w:rPr>
          <w:szCs w:val="26"/>
          <w:shd w:val="clear" w:color="auto" w:fill="FFFFFF"/>
        </w:rPr>
        <w:t xml:space="preserve">establishes a comprehensive mechanism for dealing with truants ranging from resort to various community programs, to special mediation programs.  [Citations.]  Truants are not, except in aggravated circumstances involving ‘habitual’ offenders, subject to the </w:t>
      </w:r>
      <w:proofErr w:type="gramStart"/>
      <w:r w:rsidRPr="003A0E09">
        <w:rPr>
          <w:szCs w:val="26"/>
          <w:shd w:val="clear" w:color="auto" w:fill="FFFFFF"/>
        </w:rPr>
        <w:t>jurisdiction</w:t>
      </w:r>
      <w:proofErr w:type="gramEnd"/>
      <w:r w:rsidRPr="003A0E09">
        <w:rPr>
          <w:szCs w:val="26"/>
          <w:shd w:val="clear" w:color="auto" w:fill="FFFFFF"/>
        </w:rPr>
        <w:t xml:space="preserve"> of the juvenile courts.”  </w:t>
      </w:r>
      <w:r w:rsidRPr="003A0E09">
        <w:rPr>
          <w:szCs w:val="26"/>
        </w:rPr>
        <w:t>(</w:t>
      </w:r>
      <w:r w:rsidRPr="003A0E09">
        <w:rPr>
          <w:i/>
          <w:szCs w:val="26"/>
        </w:rPr>
        <w:t>In re James D.</w:t>
      </w:r>
      <w:r w:rsidRPr="003A0E09">
        <w:rPr>
          <w:szCs w:val="26"/>
        </w:rPr>
        <w:t xml:space="preserve"> (1987) </w:t>
      </w:r>
      <w:r w:rsidRPr="003A0E09">
        <w:rPr>
          <w:szCs w:val="26"/>
        </w:rPr>
        <w:lastRenderedPageBreak/>
        <w:t>43 Cal.3d 903, 910</w:t>
      </w:r>
      <w:r w:rsidRPr="003A0E09">
        <w:rPr>
          <w:szCs w:val="26"/>
          <w:shd w:val="clear" w:color="auto" w:fill="FFFFFF"/>
        </w:rPr>
        <w:t xml:space="preserve">.)  Six unexcused absences, comprising four truancies, did not constitute “aggravated circumstances” at that time.  (See </w:t>
      </w:r>
      <w:proofErr w:type="spellStart"/>
      <w:r w:rsidRPr="003A0E09">
        <w:rPr>
          <w:szCs w:val="26"/>
          <w:shd w:val="clear" w:color="auto" w:fill="FFFFFF"/>
        </w:rPr>
        <w:t>maj.</w:t>
      </w:r>
      <w:proofErr w:type="spellEnd"/>
      <w:r w:rsidRPr="003A0E09">
        <w:rPr>
          <w:szCs w:val="26"/>
          <w:shd w:val="clear" w:color="auto" w:fill="FFFFFF"/>
        </w:rPr>
        <w:t xml:space="preserve"> </w:t>
      </w:r>
      <w:proofErr w:type="spellStart"/>
      <w:r w:rsidRPr="003A0E09">
        <w:rPr>
          <w:szCs w:val="26"/>
          <w:shd w:val="clear" w:color="auto" w:fill="FFFFFF"/>
        </w:rPr>
        <w:t>opn</w:t>
      </w:r>
      <w:proofErr w:type="spellEnd"/>
      <w:r w:rsidRPr="003A0E09">
        <w:rPr>
          <w:szCs w:val="26"/>
          <w:shd w:val="clear" w:color="auto" w:fill="FFFFFF"/>
        </w:rPr>
        <w:t xml:space="preserve">., </w:t>
      </w:r>
      <w:r w:rsidRPr="003A0E09">
        <w:rPr>
          <w:i/>
          <w:szCs w:val="26"/>
          <w:shd w:val="clear" w:color="auto" w:fill="FFFFFF"/>
        </w:rPr>
        <w:t>ante</w:t>
      </w:r>
      <w:r w:rsidRPr="003A0E09">
        <w:rPr>
          <w:szCs w:val="26"/>
          <w:shd w:val="clear" w:color="auto" w:fill="FFFFFF"/>
        </w:rPr>
        <w:t xml:space="preserve">, at pp. 8–9.)  </w:t>
      </w:r>
      <w:r w:rsidRPr="003A0E09">
        <w:rPr>
          <w:szCs w:val="26"/>
        </w:rPr>
        <w:t>We observed that “[t]he Legislature’s move towards utilizing the school attendance review boards as a condition precedent to the juvenile court’s intervention is understandable and in keeping with legal commentary calling for greater participation of school and social welfare professionals, even to the exclusion of the juvenile court’s jurisdiction.”  (</w:t>
      </w:r>
      <w:r w:rsidRPr="003A0E09">
        <w:rPr>
          <w:i/>
          <w:szCs w:val="26"/>
        </w:rPr>
        <w:t>In re Michael G.</w:t>
      </w:r>
      <w:r w:rsidRPr="003A0E09">
        <w:rPr>
          <w:szCs w:val="26"/>
        </w:rPr>
        <w:t xml:space="preserve"> (1988) 44 Cal.3d 283, 290.)</w:t>
      </w:r>
    </w:p>
    <w:p w14:paraId="7E0A7806" w14:textId="77777777" w:rsidR="003A0E09" w:rsidRPr="003A0E09" w:rsidRDefault="003A0E09" w:rsidP="003A0E09">
      <w:pPr>
        <w:ind w:firstLine="720"/>
        <w:rPr>
          <w:szCs w:val="26"/>
        </w:rPr>
      </w:pPr>
      <w:r w:rsidRPr="003A0E09">
        <w:rPr>
          <w:szCs w:val="26"/>
        </w:rPr>
        <w:t xml:space="preserve">As today’s opinion explains, the Legislature in 1994 repealed former section 601.1 of the Welfare and Institutions Code and amended section 601(b) to authorize juvenile court </w:t>
      </w:r>
      <w:proofErr w:type="gramStart"/>
      <w:r w:rsidRPr="003A0E09">
        <w:rPr>
          <w:szCs w:val="26"/>
        </w:rPr>
        <w:t>jurisdiction</w:t>
      </w:r>
      <w:proofErr w:type="gramEnd"/>
      <w:r w:rsidRPr="003A0E09">
        <w:rPr>
          <w:szCs w:val="26"/>
        </w:rPr>
        <w:t xml:space="preserve"> after six unexcused absences.  (Maj.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xml:space="preserve">, at pp. 8–9.)  Even so, the 1994 legislation encouraged SARB intervention before juvenile court </w:t>
      </w:r>
      <w:proofErr w:type="gramStart"/>
      <w:r w:rsidRPr="003A0E09">
        <w:rPr>
          <w:szCs w:val="26"/>
        </w:rPr>
        <w:t>jurisdiction</w:t>
      </w:r>
      <w:proofErr w:type="gramEnd"/>
      <w:r w:rsidRPr="003A0E09">
        <w:rPr>
          <w:szCs w:val="26"/>
        </w:rPr>
        <w:t xml:space="preserve">.  According to its summary digest, the bill “provide[d] that if a pupil </w:t>
      </w:r>
      <w:r w:rsidRPr="003A0E09">
        <w:rPr>
          <w:i/>
          <w:szCs w:val="26"/>
        </w:rPr>
        <w:t>who has attended certain programs including a school attendance review board program</w:t>
      </w:r>
      <w:r w:rsidRPr="003A0E09">
        <w:rPr>
          <w:szCs w:val="26"/>
        </w:rPr>
        <w:t>, has a 4th truancy in the same school year, the pupil shall be classified as an habitual truant, within the jurisdiction of the court, and may be adjudged a ward of the court.”  (Legis. Counsel’s Dig., Sen. Bill No. 1728 (1993-1994 Reg. Sess.) 5 Stats. 1994, Summary Dig., p. 417, italics added.)</w:t>
      </w:r>
    </w:p>
    <w:p w14:paraId="72AB7B88" w14:textId="77777777" w:rsidR="003A0E09" w:rsidRPr="003A0E09" w:rsidRDefault="003A0E09" w:rsidP="003A0E09">
      <w:pPr>
        <w:ind w:firstLine="720"/>
        <w:rPr>
          <w:szCs w:val="26"/>
          <w:shd w:val="clear" w:color="auto" w:fill="FFFFFF"/>
        </w:rPr>
      </w:pPr>
      <w:r w:rsidRPr="003A0E09">
        <w:rPr>
          <w:szCs w:val="26"/>
        </w:rPr>
        <w:t xml:space="preserve">In cases like A.N.’s, the diversionary purpose of SARBs appears compromised by section 601(b)’s grant of </w:t>
      </w:r>
      <w:proofErr w:type="gramStart"/>
      <w:r w:rsidRPr="003A0E09">
        <w:rPr>
          <w:szCs w:val="26"/>
        </w:rPr>
        <w:t>jurisdiction</w:t>
      </w:r>
      <w:proofErr w:type="gramEnd"/>
      <w:r w:rsidRPr="003A0E09">
        <w:rPr>
          <w:szCs w:val="26"/>
        </w:rPr>
        <w:t xml:space="preserve"> to the juvenile court before the student has had an opportunity to benefit from SARB services.  (See </w:t>
      </w:r>
      <w:proofErr w:type="spellStart"/>
      <w:r w:rsidRPr="003A0E09">
        <w:rPr>
          <w:szCs w:val="26"/>
        </w:rPr>
        <w:t>maj.</w:t>
      </w:r>
      <w:proofErr w:type="spellEnd"/>
      <w:r w:rsidRPr="003A0E09">
        <w:rPr>
          <w:szCs w:val="26"/>
        </w:rPr>
        <w:t xml:space="preserve">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xml:space="preserve">, at p. 26 [“we question whether the statutory scheme functions as the Legislature expected”].)  The record here indicates that at least some of A.N.’s school attendance difficulties arose from challenging circumstances beyond her control.  Less than a year </w:t>
      </w:r>
      <w:r w:rsidRPr="003A0E09">
        <w:rPr>
          <w:szCs w:val="26"/>
        </w:rPr>
        <w:lastRenderedPageBreak/>
        <w:t>before her multiple ninth grade absences, a school counselor reported that A.N. was “feeling very troubled” because her nephew Daniel, whom she cared for regularly, was taken away from her family by Child Protective Services.  This event, the counselor wrote, led A.N. to “</w:t>
      </w:r>
      <w:proofErr w:type="spellStart"/>
      <w:r w:rsidRPr="003A0E09">
        <w:rPr>
          <w:szCs w:val="26"/>
        </w:rPr>
        <w:t>engag</w:t>
      </w:r>
      <w:proofErr w:type="spellEnd"/>
      <w:r w:rsidRPr="003A0E09">
        <w:rPr>
          <w:szCs w:val="26"/>
        </w:rPr>
        <w:t xml:space="preserve">[e] in self-mutilation.”  Yet before the school district referred A.N. to a SARB that could offer her services to identify and ameliorate these difficulties, the District Attorney filed a wardship petition against her.  </w:t>
      </w:r>
    </w:p>
    <w:p w14:paraId="37AF0C43" w14:textId="77777777" w:rsidR="003A0E09" w:rsidRPr="003A0E09" w:rsidRDefault="003A0E09" w:rsidP="003A0E09">
      <w:pPr>
        <w:ind w:firstLine="720"/>
        <w:rPr>
          <w:szCs w:val="26"/>
        </w:rPr>
      </w:pPr>
      <w:r w:rsidRPr="003A0E09">
        <w:rPr>
          <w:szCs w:val="26"/>
        </w:rPr>
        <w:t xml:space="preserve">The broad prosecutorial discretion arising under section 601(b) extends to an enormous number of students.  In the 2018–2019 school year, at least 650,000 students in California public schools — nearly one-eighth of our schoolchildren — were chronically absent, meaning they were absent at least 10 percent of the school year, which is three times the number of absences necessary to be classified as an habitual truant.  (Keeping Kids in School and Out of Court Initiative, </w:t>
      </w:r>
      <w:r w:rsidRPr="003A0E09">
        <w:rPr>
          <w:i/>
          <w:szCs w:val="26"/>
        </w:rPr>
        <w:t>About Chronic Absenteeism and School Discipline</w:t>
      </w:r>
      <w:r w:rsidRPr="003A0E09">
        <w:rPr>
          <w:szCs w:val="26"/>
        </w:rPr>
        <w:t xml:space="preserve"> (2019) &lt;https://www.courts.ca.gov/23904.htm&gt; [as of May 4, 2020].)  The highest rates of chronic absenteeism were observed among African American, American Indian, and Latino students.  (</w:t>
      </w:r>
      <w:r w:rsidRPr="003A0E09">
        <w:rPr>
          <w:i/>
          <w:szCs w:val="26"/>
        </w:rPr>
        <w:t>Ibid.</w:t>
      </w:r>
      <w:r w:rsidRPr="003A0E09">
        <w:rPr>
          <w:szCs w:val="26"/>
        </w:rPr>
        <w:t>)</w:t>
      </w:r>
    </w:p>
    <w:p w14:paraId="517649EB" w14:textId="77777777" w:rsidR="003A0E09" w:rsidRPr="003A0E09" w:rsidRDefault="003A0E09" w:rsidP="003A0E09">
      <w:pPr>
        <w:ind w:firstLine="720"/>
        <w:rPr>
          <w:szCs w:val="26"/>
          <w:shd w:val="clear" w:color="auto" w:fill="FFFFFF"/>
        </w:rPr>
      </w:pPr>
      <w:r w:rsidRPr="003A0E09">
        <w:rPr>
          <w:szCs w:val="26"/>
        </w:rPr>
        <w:t xml:space="preserve">Not all counties have pursued truancy prosecutions as aggressively as Ventura County, where the petition against A.N. was filed.  According to Ventura County’s 2015–2016 annual SARB report, the District Attorney cited 869 students and 482 parents for truancy that school year.  (Ventura County Off. of Education, Ventura County School Attendance Review Board Data Summary 2015-2016 (2016).)  Amicus curiae California Rural Legal Assistance notes that Ventura County children and their parents were criminally charged at “much higher rates than students and parents in other counties.”  (See Pen. Code, </w:t>
      </w:r>
      <w:r w:rsidRPr="003A0E09">
        <w:rPr>
          <w:szCs w:val="26"/>
        </w:rPr>
        <w:lastRenderedPageBreak/>
        <w:t xml:space="preserve">§ 270.1 [authorizing criminal prosecution of parents and guardians for their child’s truancy]; Ed. Code, § 48293 [authorizing civil penalties ranging from $100 to $1000].)  By contrast, Los Angeles County, which serves 10 times as many students, reported only 43 referrals to juvenile court during that same period.  (Los Angeles County Off. of Education, Annual School Attendance Review Board (SARB) Report 2015-2016: Final Report (2016).)  </w:t>
      </w:r>
      <w:proofErr w:type="gramStart"/>
      <w:r w:rsidRPr="003A0E09">
        <w:rPr>
          <w:szCs w:val="26"/>
        </w:rPr>
        <w:t>In light of</w:t>
      </w:r>
      <w:proofErr w:type="gramEnd"/>
      <w:r w:rsidRPr="003A0E09">
        <w:rPr>
          <w:szCs w:val="26"/>
        </w:rPr>
        <w:t xml:space="preserve"> such stark disparities, the Legislature may wish to reconsider the breadth of jurisdiction conferred by section 601(b).  (See </w:t>
      </w:r>
      <w:proofErr w:type="spellStart"/>
      <w:r w:rsidRPr="003A0E09">
        <w:rPr>
          <w:szCs w:val="26"/>
        </w:rPr>
        <w:t>maj.</w:t>
      </w:r>
      <w:proofErr w:type="spellEnd"/>
      <w:r w:rsidRPr="003A0E09">
        <w:rPr>
          <w:szCs w:val="26"/>
        </w:rPr>
        <w:t xml:space="preserve"> </w:t>
      </w:r>
      <w:proofErr w:type="spellStart"/>
      <w:r w:rsidRPr="003A0E09">
        <w:rPr>
          <w:szCs w:val="26"/>
        </w:rPr>
        <w:t>opn</w:t>
      </w:r>
      <w:proofErr w:type="spellEnd"/>
      <w:r w:rsidRPr="003A0E09">
        <w:rPr>
          <w:szCs w:val="26"/>
        </w:rPr>
        <w:t xml:space="preserve">., </w:t>
      </w:r>
      <w:r w:rsidRPr="003A0E09">
        <w:rPr>
          <w:i/>
          <w:szCs w:val="26"/>
        </w:rPr>
        <w:t>ante</w:t>
      </w:r>
      <w:r w:rsidRPr="003A0E09">
        <w:rPr>
          <w:szCs w:val="26"/>
        </w:rPr>
        <w:t xml:space="preserve">, at p. 17, fn. 12 [citing pending legislation that would eliminate juvenile court </w:t>
      </w:r>
      <w:proofErr w:type="gramStart"/>
      <w:r w:rsidRPr="003A0E09">
        <w:rPr>
          <w:szCs w:val="26"/>
        </w:rPr>
        <w:t>jurisdiction</w:t>
      </w:r>
      <w:proofErr w:type="gramEnd"/>
      <w:r w:rsidRPr="003A0E09">
        <w:rPr>
          <w:szCs w:val="26"/>
        </w:rPr>
        <w:t xml:space="preserve"> on the basis of four or more truancies].)</w:t>
      </w:r>
    </w:p>
    <w:p w14:paraId="41FEA592" w14:textId="77777777" w:rsidR="003A0E09" w:rsidRPr="003A0E09" w:rsidRDefault="003A0E09" w:rsidP="003A0E09">
      <w:pPr>
        <w:ind w:firstLine="720"/>
        <w:rPr>
          <w:szCs w:val="26"/>
        </w:rPr>
      </w:pPr>
      <w:r w:rsidRPr="003A0E09">
        <w:rPr>
          <w:szCs w:val="26"/>
        </w:rPr>
        <w:t>In sum, although the language of section 601(b) compels today’s holding, the statute is in substantial tension with the Legislature’s evident purpose in the Education Code to encourage diversionary alternatives to juvenile court intervention.  This tension warrants renewed legislative consideration.</w:t>
      </w:r>
    </w:p>
    <w:p w14:paraId="6122ACC7" w14:textId="77777777" w:rsidR="003A0E09" w:rsidRPr="003A0E09" w:rsidRDefault="003A0E09" w:rsidP="003A0E09">
      <w:pPr>
        <w:ind w:firstLine="720"/>
        <w:rPr>
          <w:szCs w:val="26"/>
        </w:rPr>
      </w:pPr>
    </w:p>
    <w:p w14:paraId="0A4B26DD" w14:textId="77777777" w:rsidR="003A0E09" w:rsidRPr="003A0E09" w:rsidRDefault="003A0E09" w:rsidP="003A0E09">
      <w:pPr>
        <w:ind w:left="3600" w:firstLine="720"/>
        <w:contextualSpacing/>
        <w:rPr>
          <w:b/>
          <w:szCs w:val="26"/>
        </w:rPr>
      </w:pPr>
      <w:r w:rsidRPr="003A0E09">
        <w:rPr>
          <w:b/>
          <w:szCs w:val="26"/>
        </w:rPr>
        <w:tab/>
        <w:t>LIU, J.</w:t>
      </w:r>
    </w:p>
    <w:p w14:paraId="001E943A" w14:textId="77777777" w:rsidR="003A0E09" w:rsidRPr="003A0E09" w:rsidRDefault="003A0E09" w:rsidP="003A0E09">
      <w:pPr>
        <w:spacing w:after="0" w:line="240" w:lineRule="auto"/>
        <w:jc w:val="left"/>
        <w:rPr>
          <w:b/>
          <w:szCs w:val="26"/>
        </w:rPr>
      </w:pPr>
    </w:p>
    <w:p w14:paraId="3029216E" w14:textId="77777777" w:rsidR="003A0E09" w:rsidRPr="003A0E09" w:rsidRDefault="003A0E09" w:rsidP="003A0E09">
      <w:pPr>
        <w:spacing w:after="0" w:line="240" w:lineRule="auto"/>
        <w:jc w:val="left"/>
        <w:rPr>
          <w:b/>
          <w:szCs w:val="26"/>
        </w:rPr>
      </w:pPr>
      <w:r w:rsidRPr="003A0E09">
        <w:rPr>
          <w:b/>
          <w:szCs w:val="26"/>
        </w:rPr>
        <w:t>We Concur:</w:t>
      </w:r>
    </w:p>
    <w:p w14:paraId="34F440D2" w14:textId="77777777" w:rsidR="003A0E09" w:rsidRPr="003A0E09" w:rsidRDefault="003A0E09" w:rsidP="003A0E09">
      <w:pPr>
        <w:spacing w:after="0" w:line="240" w:lineRule="auto"/>
        <w:jc w:val="left"/>
        <w:rPr>
          <w:b/>
          <w:szCs w:val="26"/>
        </w:rPr>
      </w:pPr>
    </w:p>
    <w:p w14:paraId="19678192" w14:textId="6A4C4B93" w:rsidR="003A0E09" w:rsidRPr="003A0E09" w:rsidRDefault="003A0E09" w:rsidP="003A0E09">
      <w:pPr>
        <w:spacing w:after="0" w:line="240" w:lineRule="auto"/>
        <w:jc w:val="left"/>
        <w:rPr>
          <w:b/>
          <w:szCs w:val="26"/>
        </w:rPr>
      </w:pPr>
      <w:r w:rsidRPr="003A0E09">
        <w:rPr>
          <w:b/>
          <w:szCs w:val="26"/>
        </w:rPr>
        <w:t>CANTIL-SAKAUYE, C.</w:t>
      </w:r>
      <w:r w:rsidR="0092702B">
        <w:rPr>
          <w:b/>
          <w:szCs w:val="26"/>
        </w:rPr>
        <w:t xml:space="preserve"> </w:t>
      </w:r>
      <w:r w:rsidRPr="003A0E09">
        <w:rPr>
          <w:b/>
          <w:szCs w:val="26"/>
        </w:rPr>
        <w:t>J.</w:t>
      </w:r>
    </w:p>
    <w:p w14:paraId="32E28A3E" w14:textId="77777777" w:rsidR="003A0E09" w:rsidRPr="003A0E09" w:rsidRDefault="003A0E09" w:rsidP="003A0E09">
      <w:pPr>
        <w:spacing w:after="0" w:line="240" w:lineRule="auto"/>
        <w:jc w:val="left"/>
        <w:rPr>
          <w:b/>
          <w:szCs w:val="26"/>
        </w:rPr>
      </w:pPr>
      <w:r w:rsidRPr="003A0E09">
        <w:rPr>
          <w:b/>
          <w:szCs w:val="26"/>
        </w:rPr>
        <w:t>CUÉLLAR, J.</w:t>
      </w:r>
    </w:p>
    <w:p w14:paraId="37DE3BF3" w14:textId="77777777" w:rsidR="003A0E09" w:rsidRPr="003A0E09" w:rsidRDefault="003A0E09" w:rsidP="003A0E09">
      <w:pPr>
        <w:spacing w:after="0" w:line="240" w:lineRule="auto"/>
        <w:jc w:val="left"/>
        <w:rPr>
          <w:b/>
          <w:szCs w:val="26"/>
        </w:rPr>
      </w:pPr>
      <w:r w:rsidRPr="003A0E09">
        <w:rPr>
          <w:b/>
          <w:szCs w:val="26"/>
        </w:rPr>
        <w:t>KRUGER, J.</w:t>
      </w:r>
    </w:p>
    <w:p w14:paraId="63AEA16E" w14:textId="77777777" w:rsidR="003A0E09" w:rsidRPr="003A0E09" w:rsidRDefault="003A0E09" w:rsidP="003A0E09">
      <w:pPr>
        <w:spacing w:after="0" w:line="240" w:lineRule="auto"/>
        <w:jc w:val="left"/>
        <w:rPr>
          <w:b/>
          <w:szCs w:val="26"/>
        </w:rPr>
      </w:pPr>
      <w:r w:rsidRPr="003A0E09">
        <w:rPr>
          <w:b/>
          <w:szCs w:val="26"/>
        </w:rPr>
        <w:t>GROBAN, J.</w:t>
      </w:r>
    </w:p>
    <w:p w14:paraId="3D73F617" w14:textId="77777777" w:rsidR="003A0E09" w:rsidRPr="003A0E09" w:rsidRDefault="003A0E09" w:rsidP="003A0E09">
      <w:pPr>
        <w:spacing w:after="0" w:line="240" w:lineRule="auto"/>
        <w:jc w:val="left"/>
        <w:rPr>
          <w:b/>
          <w:szCs w:val="26"/>
        </w:rPr>
      </w:pPr>
    </w:p>
    <w:p w14:paraId="665BCEEE" w14:textId="77777777" w:rsidR="0092702B" w:rsidRDefault="0092702B" w:rsidP="00F00062">
      <w:pPr>
        <w:contextualSpacing/>
        <w:sectPr w:rsidR="0092702B" w:rsidSect="007E2EEE">
          <w:headerReference w:type="default" r:id="rId12"/>
          <w:headerReference w:type="first" r:id="rId13"/>
          <w:footerReference w:type="first" r:id="rId14"/>
          <w:pgSz w:w="12240" w:h="15840"/>
          <w:pgMar w:top="1800" w:right="2160" w:bottom="1440" w:left="2160" w:header="720" w:footer="720" w:gutter="0"/>
          <w:pgNumType w:start="1"/>
          <w:cols w:space="720"/>
          <w:titlePg/>
          <w:docGrid w:linePitch="367"/>
        </w:sectPr>
      </w:pPr>
    </w:p>
    <w:p w14:paraId="20B2BF98" w14:textId="77777777" w:rsidR="003E5FFB" w:rsidRPr="003E5FFB" w:rsidRDefault="003E5FFB" w:rsidP="003E5FFB">
      <w:pPr>
        <w:spacing w:after="0" w:line="240" w:lineRule="auto"/>
        <w:jc w:val="left"/>
        <w:rPr>
          <w:rFonts w:ascii="Times New Roman" w:hAnsi="Times New Roman"/>
          <w:i/>
          <w:sz w:val="20"/>
        </w:rPr>
      </w:pPr>
      <w:r w:rsidRPr="003E5FFB">
        <w:rPr>
          <w:rFonts w:ascii="Times New Roman" w:hAnsi="Times New Roman"/>
          <w:i/>
          <w:sz w:val="20"/>
        </w:rPr>
        <w:lastRenderedPageBreak/>
        <w:t>See next page for addresses and telephone numbers for counsel who argued in Supreme Court.</w:t>
      </w:r>
    </w:p>
    <w:p w14:paraId="046CE4E4" w14:textId="77777777" w:rsidR="003E5FFB" w:rsidRPr="003E5FFB" w:rsidRDefault="003E5FFB" w:rsidP="003E5FFB">
      <w:pPr>
        <w:spacing w:after="0" w:line="240" w:lineRule="auto"/>
        <w:jc w:val="left"/>
        <w:rPr>
          <w:rFonts w:ascii="Times New Roman" w:hAnsi="Times New Roman"/>
          <w:i/>
          <w:sz w:val="20"/>
        </w:rPr>
      </w:pPr>
    </w:p>
    <w:p w14:paraId="6095BAEB"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 xml:space="preserve">Name of Opinion </w:t>
      </w:r>
      <w:r w:rsidRPr="003E5FFB">
        <w:rPr>
          <w:rFonts w:ascii="Times New Roman" w:hAnsi="Times New Roman"/>
          <w:bCs/>
          <w:sz w:val="20"/>
        </w:rPr>
        <w:t>In re A.N.</w:t>
      </w:r>
      <w:r w:rsidRPr="003E5FFB">
        <w:rPr>
          <w:rFonts w:ascii="Times New Roman" w:hAnsi="Times New Roman"/>
          <w:sz w:val="20"/>
        </w:rPr>
        <w:t xml:space="preserve"> </w:t>
      </w:r>
      <w:r w:rsidRPr="003E5FFB">
        <w:rPr>
          <w:rFonts w:ascii="Times New Roman" w:hAnsi="Times New Roman"/>
          <w:b/>
          <w:sz w:val="20"/>
        </w:rPr>
        <w:t>__________________________________________________________________________________</w:t>
      </w:r>
    </w:p>
    <w:p w14:paraId="6B30BD22" w14:textId="77777777" w:rsidR="003E5FFB" w:rsidRPr="003E5FFB" w:rsidRDefault="003E5FFB" w:rsidP="003E5FFB">
      <w:pPr>
        <w:spacing w:after="0" w:line="240" w:lineRule="auto"/>
        <w:jc w:val="left"/>
        <w:rPr>
          <w:rFonts w:ascii="Times New Roman" w:hAnsi="Times New Roman"/>
          <w:b/>
          <w:sz w:val="20"/>
        </w:rPr>
      </w:pPr>
    </w:p>
    <w:p w14:paraId="47D4B38B"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Unpublished Opinion</w:t>
      </w:r>
    </w:p>
    <w:p w14:paraId="45F8AE71"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b/>
          <w:sz w:val="20"/>
        </w:rPr>
        <w:t>Original Appeal</w:t>
      </w:r>
    </w:p>
    <w:p w14:paraId="704901CF"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 xml:space="preserve">Original Proceeding </w:t>
      </w:r>
    </w:p>
    <w:p w14:paraId="3BD75D75"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 xml:space="preserve">Review Granted </w:t>
      </w:r>
      <w:r w:rsidRPr="003E5FFB">
        <w:rPr>
          <w:rFonts w:ascii="Times New Roman" w:hAnsi="Times New Roman"/>
          <w:bCs/>
          <w:sz w:val="20"/>
        </w:rPr>
        <w:t>XXX 11 Cal.App.5th 403</w:t>
      </w:r>
    </w:p>
    <w:p w14:paraId="502923B3"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Rehearing Granted</w:t>
      </w:r>
    </w:p>
    <w:p w14:paraId="554B6DD5" w14:textId="77777777" w:rsidR="003E5FFB" w:rsidRPr="003E5FFB" w:rsidRDefault="003E5FFB" w:rsidP="003E5FFB">
      <w:pPr>
        <w:spacing w:after="0" w:line="240" w:lineRule="auto"/>
        <w:jc w:val="left"/>
        <w:rPr>
          <w:rFonts w:ascii="Times New Roman" w:hAnsi="Times New Roman"/>
          <w:b/>
          <w:sz w:val="20"/>
        </w:rPr>
      </w:pPr>
    </w:p>
    <w:p w14:paraId="49C15C1F"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__________________________________________________________________________________</w:t>
      </w:r>
    </w:p>
    <w:p w14:paraId="19F7DFA4" w14:textId="77777777" w:rsidR="003E5FFB" w:rsidRPr="003E5FFB" w:rsidRDefault="003E5FFB" w:rsidP="003E5FFB">
      <w:pPr>
        <w:spacing w:after="0" w:line="240" w:lineRule="auto"/>
        <w:jc w:val="left"/>
        <w:rPr>
          <w:rFonts w:ascii="Times New Roman" w:hAnsi="Times New Roman"/>
          <w:b/>
          <w:sz w:val="20"/>
        </w:rPr>
      </w:pPr>
    </w:p>
    <w:p w14:paraId="554B49E7"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Opinion No.</w:t>
      </w:r>
      <w:r w:rsidRPr="003E5FFB">
        <w:rPr>
          <w:rFonts w:ascii="Times New Roman" w:hAnsi="Times New Roman"/>
          <w:sz w:val="20"/>
        </w:rPr>
        <w:t xml:space="preserve"> S242494</w:t>
      </w:r>
    </w:p>
    <w:p w14:paraId="445F0D04"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Date Filed:</w:t>
      </w:r>
      <w:r w:rsidRPr="003E5FFB">
        <w:rPr>
          <w:rFonts w:ascii="Times New Roman" w:hAnsi="Times New Roman"/>
          <w:sz w:val="20"/>
        </w:rPr>
        <w:t xml:space="preserve">  May 4, 2020</w:t>
      </w:r>
    </w:p>
    <w:p w14:paraId="0D833417"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__________________________________________________________________________________</w:t>
      </w:r>
    </w:p>
    <w:p w14:paraId="7D71FD77" w14:textId="77777777" w:rsidR="003E5FFB" w:rsidRPr="003E5FFB" w:rsidRDefault="003E5FFB" w:rsidP="003E5FFB">
      <w:pPr>
        <w:spacing w:after="0" w:line="240" w:lineRule="auto"/>
        <w:jc w:val="left"/>
        <w:rPr>
          <w:rFonts w:ascii="Times New Roman" w:hAnsi="Times New Roman"/>
          <w:b/>
          <w:sz w:val="20"/>
        </w:rPr>
      </w:pPr>
    </w:p>
    <w:p w14:paraId="1915B764"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 xml:space="preserve">Court:  </w:t>
      </w:r>
      <w:r w:rsidRPr="003E5FFB">
        <w:rPr>
          <w:rFonts w:ascii="Times New Roman" w:hAnsi="Times New Roman"/>
          <w:bCs/>
          <w:sz w:val="20"/>
        </w:rPr>
        <w:t>Superior</w:t>
      </w:r>
    </w:p>
    <w:p w14:paraId="7129463A" w14:textId="77777777" w:rsidR="003E5FFB" w:rsidRPr="003E5FFB" w:rsidRDefault="003E5FFB" w:rsidP="003E5FFB">
      <w:pPr>
        <w:spacing w:after="0" w:line="240" w:lineRule="auto"/>
        <w:jc w:val="left"/>
        <w:rPr>
          <w:rFonts w:ascii="Times New Roman" w:hAnsi="Times New Roman"/>
          <w:bCs/>
          <w:sz w:val="20"/>
        </w:rPr>
      </w:pPr>
      <w:r w:rsidRPr="003E5FFB">
        <w:rPr>
          <w:rFonts w:ascii="Times New Roman" w:hAnsi="Times New Roman"/>
          <w:b/>
          <w:sz w:val="20"/>
        </w:rPr>
        <w:t xml:space="preserve">County:  </w:t>
      </w:r>
      <w:r w:rsidRPr="003E5FFB">
        <w:rPr>
          <w:rFonts w:ascii="Times New Roman" w:hAnsi="Times New Roman"/>
          <w:bCs/>
          <w:sz w:val="20"/>
        </w:rPr>
        <w:t>Ventura</w:t>
      </w:r>
    </w:p>
    <w:p w14:paraId="5778032C" w14:textId="77777777" w:rsidR="003E5FFB" w:rsidRPr="003E5FFB" w:rsidRDefault="003E5FFB" w:rsidP="003E5FFB">
      <w:pPr>
        <w:spacing w:after="0" w:line="240" w:lineRule="auto"/>
        <w:ind w:left="720" w:hanging="720"/>
        <w:jc w:val="left"/>
        <w:rPr>
          <w:rFonts w:ascii="Times New Roman" w:hAnsi="Times New Roman"/>
          <w:bCs/>
          <w:sz w:val="20"/>
        </w:rPr>
      </w:pPr>
      <w:r w:rsidRPr="003E5FFB">
        <w:rPr>
          <w:rFonts w:ascii="Times New Roman" w:hAnsi="Times New Roman"/>
          <w:b/>
          <w:sz w:val="20"/>
        </w:rPr>
        <w:t xml:space="preserve">Judge:  </w:t>
      </w:r>
      <w:r w:rsidRPr="003E5FFB">
        <w:rPr>
          <w:rFonts w:ascii="Times New Roman" w:hAnsi="Times New Roman"/>
          <w:bCs/>
          <w:sz w:val="20"/>
        </w:rPr>
        <w:t>William R. Redmond</w:t>
      </w:r>
    </w:p>
    <w:p w14:paraId="321EA29A" w14:textId="77777777" w:rsidR="003E5FFB" w:rsidRPr="003E5FFB" w:rsidRDefault="003E5FFB" w:rsidP="003E5FFB">
      <w:pPr>
        <w:spacing w:after="0" w:line="240" w:lineRule="auto"/>
        <w:jc w:val="left"/>
        <w:rPr>
          <w:rFonts w:ascii="Times New Roman" w:hAnsi="Times New Roman"/>
          <w:b/>
          <w:sz w:val="20"/>
        </w:rPr>
      </w:pPr>
    </w:p>
    <w:p w14:paraId="5C50ABD6"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__________________________________________________________________________________</w:t>
      </w:r>
    </w:p>
    <w:p w14:paraId="1DDD0BEF" w14:textId="77777777" w:rsidR="003E5FFB" w:rsidRPr="003E5FFB" w:rsidRDefault="003E5FFB" w:rsidP="003E5FFB">
      <w:pPr>
        <w:spacing w:after="0" w:line="240" w:lineRule="auto"/>
        <w:jc w:val="left"/>
        <w:rPr>
          <w:rFonts w:ascii="Times New Roman" w:hAnsi="Times New Roman"/>
          <w:b/>
          <w:sz w:val="20"/>
        </w:rPr>
      </w:pPr>
    </w:p>
    <w:p w14:paraId="441F8579"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Counsel:</w:t>
      </w:r>
    </w:p>
    <w:p w14:paraId="08504EE6" w14:textId="77777777" w:rsidR="003E5FFB" w:rsidRPr="003E5FFB" w:rsidRDefault="003E5FFB" w:rsidP="003E5FFB">
      <w:pPr>
        <w:spacing w:after="0" w:line="240" w:lineRule="auto"/>
        <w:jc w:val="left"/>
        <w:rPr>
          <w:rFonts w:ascii="Times New Roman" w:hAnsi="Times New Roman"/>
          <w:b/>
          <w:sz w:val="20"/>
        </w:rPr>
      </w:pPr>
    </w:p>
    <w:p w14:paraId="0BEF7C2A"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color w:val="373739"/>
          <w:sz w:val="20"/>
          <w:shd w:val="clear" w:color="auto" w:fill="FFFFFF"/>
        </w:rPr>
        <w:t xml:space="preserve">Stephen P. Lipson and Todd W. </w:t>
      </w:r>
      <w:proofErr w:type="spellStart"/>
      <w:r w:rsidRPr="003E5FFB">
        <w:rPr>
          <w:rFonts w:ascii="Times New Roman" w:hAnsi="Times New Roman"/>
          <w:color w:val="373739"/>
          <w:sz w:val="20"/>
          <w:shd w:val="clear" w:color="auto" w:fill="FFFFFF"/>
        </w:rPr>
        <w:t>Howeth</w:t>
      </w:r>
      <w:proofErr w:type="spellEnd"/>
      <w:r w:rsidRPr="003E5FFB">
        <w:rPr>
          <w:rFonts w:ascii="Times New Roman" w:hAnsi="Times New Roman"/>
          <w:color w:val="373739"/>
          <w:sz w:val="20"/>
          <w:shd w:val="clear" w:color="auto" w:fill="FFFFFF"/>
        </w:rPr>
        <w:t>, Public Defenders, Michael C. McMahon, Chief Deputy Public Defender, and </w:t>
      </w:r>
      <w:r w:rsidRPr="003E5FFB">
        <w:rPr>
          <w:rFonts w:ascii="Times New Roman" w:hAnsi="Times New Roman"/>
          <w:sz w:val="20"/>
          <w:bdr w:val="none" w:sz="0" w:space="0" w:color="auto" w:frame="1"/>
          <w:shd w:val="clear" w:color="auto" w:fill="FFFFFF"/>
        </w:rPr>
        <w:t>William Quest</w:t>
      </w:r>
      <w:r w:rsidRPr="003E5FFB">
        <w:rPr>
          <w:rFonts w:ascii="Times New Roman" w:hAnsi="Times New Roman"/>
          <w:color w:val="373739"/>
          <w:sz w:val="20"/>
          <w:shd w:val="clear" w:color="auto" w:fill="FFFFFF"/>
        </w:rPr>
        <w:t>, Deputy Public Defender, for Defendant and Appellant.</w:t>
      </w:r>
      <w:r w:rsidRPr="003E5FFB">
        <w:rPr>
          <w:rFonts w:ascii="Times New Roman" w:hAnsi="Times New Roman"/>
          <w:color w:val="373739"/>
          <w:sz w:val="20"/>
        </w:rPr>
        <w:br/>
      </w:r>
      <w:r w:rsidRPr="003E5FFB">
        <w:rPr>
          <w:rFonts w:ascii="Times New Roman" w:hAnsi="Times New Roman"/>
          <w:color w:val="373739"/>
          <w:sz w:val="20"/>
        </w:rPr>
        <w:br/>
      </w:r>
      <w:proofErr w:type="spellStart"/>
      <w:r w:rsidRPr="003E5FFB">
        <w:rPr>
          <w:rFonts w:ascii="Times New Roman" w:hAnsi="Times New Roman"/>
          <w:sz w:val="20"/>
          <w:bdr w:val="none" w:sz="0" w:space="0" w:color="auto" w:frame="1"/>
          <w:shd w:val="clear" w:color="auto" w:fill="FFFFFF"/>
        </w:rPr>
        <w:t>Franchesca</w:t>
      </w:r>
      <w:proofErr w:type="spellEnd"/>
      <w:r w:rsidRPr="003E5FFB">
        <w:rPr>
          <w:rFonts w:ascii="Times New Roman" w:hAnsi="Times New Roman"/>
          <w:sz w:val="20"/>
          <w:bdr w:val="none" w:sz="0" w:space="0" w:color="auto" w:frame="1"/>
          <w:shd w:val="clear" w:color="auto" w:fill="FFFFFF"/>
        </w:rPr>
        <w:t xml:space="preserve"> S. </w:t>
      </w:r>
      <w:proofErr w:type="spellStart"/>
      <w:r w:rsidRPr="003E5FFB">
        <w:rPr>
          <w:rFonts w:ascii="Times New Roman" w:hAnsi="Times New Roman"/>
          <w:sz w:val="20"/>
          <w:bdr w:val="none" w:sz="0" w:space="0" w:color="auto" w:frame="1"/>
          <w:shd w:val="clear" w:color="auto" w:fill="FFFFFF"/>
        </w:rPr>
        <w:t>Verdin</w:t>
      </w:r>
      <w:proofErr w:type="spellEnd"/>
      <w:r w:rsidRPr="003E5FFB">
        <w:rPr>
          <w:rFonts w:ascii="Times New Roman" w:hAnsi="Times New Roman"/>
          <w:color w:val="373739"/>
          <w:sz w:val="20"/>
          <w:shd w:val="clear" w:color="auto" w:fill="FFFFFF"/>
        </w:rPr>
        <w:t>, </w:t>
      </w:r>
      <w:r w:rsidRPr="003E5FFB">
        <w:rPr>
          <w:rFonts w:ascii="Times New Roman" w:hAnsi="Times New Roman"/>
          <w:sz w:val="20"/>
          <w:bdr w:val="none" w:sz="0" w:space="0" w:color="auto" w:frame="1"/>
          <w:shd w:val="clear" w:color="auto" w:fill="FFFFFF"/>
        </w:rPr>
        <w:t>Monica De La Hoya</w:t>
      </w:r>
      <w:r w:rsidRPr="003E5FFB">
        <w:rPr>
          <w:rFonts w:ascii="Times New Roman" w:hAnsi="Times New Roman"/>
          <w:color w:val="373739"/>
          <w:sz w:val="20"/>
          <w:shd w:val="clear" w:color="auto" w:fill="FFFFFF"/>
        </w:rPr>
        <w:t> and </w:t>
      </w:r>
      <w:r w:rsidRPr="003E5FFB">
        <w:rPr>
          <w:rFonts w:ascii="Times New Roman" w:hAnsi="Times New Roman"/>
          <w:sz w:val="20"/>
          <w:bdr w:val="none" w:sz="0" w:space="0" w:color="auto" w:frame="1"/>
          <w:shd w:val="clear" w:color="auto" w:fill="FFFFFF"/>
        </w:rPr>
        <w:t>Cynthia L. Rice</w:t>
      </w:r>
      <w:r w:rsidRPr="003E5FFB">
        <w:rPr>
          <w:rFonts w:ascii="Times New Roman" w:hAnsi="Times New Roman"/>
          <w:color w:val="373739"/>
          <w:sz w:val="20"/>
          <w:shd w:val="clear" w:color="auto" w:fill="FFFFFF"/>
        </w:rPr>
        <w:t> for California Rural Legal Assistance, Inc., as Amicus Curiae on behalf of Defendant and Appellant.</w:t>
      </w:r>
      <w:r w:rsidRPr="003E5FFB">
        <w:rPr>
          <w:rFonts w:ascii="Times New Roman" w:hAnsi="Times New Roman"/>
          <w:color w:val="373739"/>
          <w:sz w:val="20"/>
        </w:rPr>
        <w:br/>
      </w:r>
      <w:r w:rsidRPr="003E5FFB">
        <w:rPr>
          <w:rFonts w:ascii="Times New Roman" w:hAnsi="Times New Roman"/>
          <w:color w:val="373739"/>
          <w:sz w:val="20"/>
        </w:rPr>
        <w:br/>
      </w:r>
      <w:r w:rsidRPr="003E5FFB">
        <w:rPr>
          <w:rFonts w:ascii="Times New Roman" w:hAnsi="Times New Roman"/>
          <w:sz w:val="20"/>
          <w:bdr w:val="none" w:sz="0" w:space="0" w:color="auto" w:frame="1"/>
          <w:shd w:val="clear" w:color="auto" w:fill="FFFFFF"/>
        </w:rPr>
        <w:t>Kamala D. Harris</w:t>
      </w:r>
      <w:r w:rsidRPr="003E5FFB">
        <w:rPr>
          <w:rFonts w:ascii="Times New Roman" w:hAnsi="Times New Roman"/>
          <w:color w:val="373739"/>
          <w:sz w:val="20"/>
          <w:shd w:val="clear" w:color="auto" w:fill="FFFFFF"/>
        </w:rPr>
        <w:t> and </w:t>
      </w:r>
      <w:r w:rsidRPr="003E5FFB">
        <w:rPr>
          <w:rFonts w:ascii="Times New Roman" w:hAnsi="Times New Roman"/>
          <w:sz w:val="20"/>
          <w:bdr w:val="none" w:sz="0" w:space="0" w:color="auto" w:frame="1"/>
          <w:shd w:val="clear" w:color="auto" w:fill="FFFFFF"/>
        </w:rPr>
        <w:t>Xavier Becerra</w:t>
      </w:r>
      <w:r w:rsidRPr="003E5FFB">
        <w:rPr>
          <w:rFonts w:ascii="Times New Roman" w:hAnsi="Times New Roman"/>
          <w:color w:val="373739"/>
          <w:sz w:val="20"/>
          <w:shd w:val="clear" w:color="auto" w:fill="FFFFFF"/>
        </w:rPr>
        <w:t>, Attorneys General, </w:t>
      </w:r>
      <w:r w:rsidRPr="003E5FFB">
        <w:rPr>
          <w:rFonts w:ascii="Times New Roman" w:hAnsi="Times New Roman"/>
          <w:sz w:val="20"/>
          <w:bdr w:val="none" w:sz="0" w:space="0" w:color="auto" w:frame="1"/>
          <w:shd w:val="clear" w:color="auto" w:fill="FFFFFF"/>
        </w:rPr>
        <w:t>Gerald A. Engler</w:t>
      </w:r>
      <w:r w:rsidRPr="003E5FFB">
        <w:rPr>
          <w:rFonts w:ascii="Times New Roman" w:hAnsi="Times New Roman"/>
          <w:color w:val="373739"/>
          <w:sz w:val="20"/>
          <w:shd w:val="clear" w:color="auto" w:fill="FFFFFF"/>
        </w:rPr>
        <w:t>, Chief Assistant Attorney General, </w:t>
      </w:r>
      <w:r w:rsidRPr="003E5FFB">
        <w:rPr>
          <w:rFonts w:ascii="Times New Roman" w:hAnsi="Times New Roman"/>
          <w:sz w:val="20"/>
          <w:bdr w:val="none" w:sz="0" w:space="0" w:color="auto" w:frame="1"/>
          <w:shd w:val="clear" w:color="auto" w:fill="FFFFFF"/>
        </w:rPr>
        <w:t>Lance E. Winters</w:t>
      </w:r>
      <w:r w:rsidRPr="003E5FFB">
        <w:rPr>
          <w:rFonts w:ascii="Times New Roman" w:hAnsi="Times New Roman"/>
          <w:color w:val="373739"/>
          <w:sz w:val="20"/>
          <w:shd w:val="clear" w:color="auto" w:fill="FFFFFF"/>
        </w:rPr>
        <w:t>, Assistant Attorney General, </w:t>
      </w:r>
      <w:proofErr w:type="spellStart"/>
      <w:r w:rsidRPr="003E5FFB">
        <w:rPr>
          <w:rFonts w:ascii="Times New Roman" w:hAnsi="Times New Roman"/>
          <w:color w:val="373739"/>
          <w:sz w:val="20"/>
          <w:shd w:val="clear" w:color="auto" w:fill="FFFFFF"/>
        </w:rPr>
        <w:t>Janill</w:t>
      </w:r>
      <w:proofErr w:type="spellEnd"/>
      <w:r w:rsidRPr="003E5FFB">
        <w:rPr>
          <w:rFonts w:ascii="Times New Roman" w:hAnsi="Times New Roman"/>
          <w:color w:val="373739"/>
          <w:sz w:val="20"/>
          <w:shd w:val="clear" w:color="auto" w:fill="FFFFFF"/>
        </w:rPr>
        <w:t xml:space="preserve"> L. Richards, Deputy State Solicitor General, </w:t>
      </w:r>
      <w:r w:rsidRPr="003E5FFB">
        <w:rPr>
          <w:rFonts w:ascii="Times New Roman" w:hAnsi="Times New Roman"/>
          <w:sz w:val="20"/>
          <w:bdr w:val="none" w:sz="0" w:space="0" w:color="auto" w:frame="1"/>
          <w:shd w:val="clear" w:color="auto" w:fill="FFFFFF"/>
        </w:rPr>
        <w:t xml:space="preserve">Christina Bull Arndt, Scott A. Taryle </w:t>
      </w:r>
      <w:r w:rsidRPr="003E5FFB">
        <w:rPr>
          <w:rFonts w:ascii="Times New Roman" w:hAnsi="Times New Roman"/>
          <w:color w:val="373739"/>
          <w:sz w:val="20"/>
          <w:shd w:val="clear" w:color="auto" w:fill="FFFFFF"/>
        </w:rPr>
        <w:t xml:space="preserve">and </w:t>
      </w:r>
      <w:proofErr w:type="spellStart"/>
      <w:r w:rsidRPr="003E5FFB">
        <w:rPr>
          <w:rFonts w:ascii="Times New Roman" w:hAnsi="Times New Roman"/>
          <w:color w:val="373739"/>
          <w:sz w:val="20"/>
          <w:shd w:val="clear" w:color="auto" w:fill="FFFFFF"/>
        </w:rPr>
        <w:t>Tannaz</w:t>
      </w:r>
      <w:proofErr w:type="spellEnd"/>
      <w:r w:rsidRPr="003E5FFB">
        <w:rPr>
          <w:rFonts w:ascii="Times New Roman" w:hAnsi="Times New Roman"/>
          <w:color w:val="373739"/>
          <w:sz w:val="20"/>
          <w:shd w:val="clear" w:color="auto" w:fill="FFFFFF"/>
        </w:rPr>
        <w:t xml:space="preserve"> </w:t>
      </w:r>
      <w:proofErr w:type="spellStart"/>
      <w:r w:rsidRPr="003E5FFB">
        <w:rPr>
          <w:rFonts w:ascii="Times New Roman" w:hAnsi="Times New Roman"/>
          <w:color w:val="373739"/>
          <w:sz w:val="20"/>
          <w:shd w:val="clear" w:color="auto" w:fill="FFFFFF"/>
        </w:rPr>
        <w:t>Kouhpainezhad</w:t>
      </w:r>
      <w:proofErr w:type="spellEnd"/>
      <w:r w:rsidRPr="003E5FFB">
        <w:rPr>
          <w:rFonts w:ascii="Times New Roman" w:hAnsi="Times New Roman"/>
          <w:color w:val="373739"/>
          <w:sz w:val="20"/>
          <w:shd w:val="clear" w:color="auto" w:fill="FFFFFF"/>
        </w:rPr>
        <w:t xml:space="preserve">, Deputy Attorneys General, for Plaintiff and Respondent. </w:t>
      </w:r>
    </w:p>
    <w:p w14:paraId="7D7B09FB" w14:textId="77777777" w:rsidR="003E5FFB" w:rsidRPr="003E5FFB" w:rsidRDefault="003E5FFB" w:rsidP="003E5FFB">
      <w:pPr>
        <w:spacing w:after="0" w:line="240" w:lineRule="auto"/>
        <w:jc w:val="left"/>
        <w:rPr>
          <w:rFonts w:ascii="Times New Roman" w:hAnsi="Times New Roman"/>
          <w:sz w:val="20"/>
        </w:rPr>
      </w:pPr>
    </w:p>
    <w:p w14:paraId="743AE142" w14:textId="77777777" w:rsidR="003E5FFB" w:rsidRPr="003E5FFB" w:rsidRDefault="003E5FFB" w:rsidP="003E5FFB">
      <w:pPr>
        <w:spacing w:after="0" w:line="240" w:lineRule="auto"/>
        <w:jc w:val="left"/>
        <w:rPr>
          <w:rFonts w:ascii="Times New Roman" w:hAnsi="Times New Roman"/>
          <w:sz w:val="20"/>
        </w:rPr>
      </w:pPr>
    </w:p>
    <w:p w14:paraId="11E0A394" w14:textId="77777777" w:rsidR="003E5FFB" w:rsidRPr="003E5FFB" w:rsidRDefault="003E5FFB" w:rsidP="003E5FFB">
      <w:pPr>
        <w:spacing w:after="0" w:line="240" w:lineRule="auto"/>
        <w:jc w:val="left"/>
        <w:rPr>
          <w:rFonts w:ascii="Times New Roman" w:hAnsi="Times New Roman"/>
          <w:sz w:val="20"/>
        </w:rPr>
      </w:pPr>
    </w:p>
    <w:p w14:paraId="71F02F51" w14:textId="77777777" w:rsidR="003E5FFB" w:rsidRPr="003E5FFB" w:rsidRDefault="003E5FFB" w:rsidP="003E5FFB">
      <w:pPr>
        <w:spacing w:after="0" w:line="240" w:lineRule="auto"/>
        <w:jc w:val="left"/>
        <w:rPr>
          <w:rFonts w:ascii="Times New Roman" w:hAnsi="Times New Roman"/>
          <w:b/>
          <w:sz w:val="20"/>
        </w:rPr>
      </w:pPr>
    </w:p>
    <w:p w14:paraId="26542C5D" w14:textId="77777777" w:rsidR="003E5FFB" w:rsidRPr="003E5FFB" w:rsidRDefault="003E5FFB" w:rsidP="003E5FFB">
      <w:pPr>
        <w:spacing w:after="0" w:line="240" w:lineRule="auto"/>
        <w:jc w:val="left"/>
        <w:rPr>
          <w:rFonts w:ascii="Times New Roman" w:hAnsi="Times New Roman"/>
          <w:b/>
          <w:sz w:val="20"/>
        </w:rPr>
      </w:pPr>
    </w:p>
    <w:p w14:paraId="0636C208" w14:textId="77777777" w:rsidR="003E5FFB" w:rsidRPr="003E5FFB" w:rsidRDefault="003E5FFB" w:rsidP="003E5FFB">
      <w:pPr>
        <w:spacing w:after="0" w:line="240" w:lineRule="auto"/>
        <w:jc w:val="left"/>
        <w:rPr>
          <w:rFonts w:ascii="Times New Roman" w:hAnsi="Times New Roman"/>
          <w:b/>
          <w:sz w:val="20"/>
        </w:rPr>
      </w:pPr>
    </w:p>
    <w:p w14:paraId="7DBE6300"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br w:type="page"/>
      </w:r>
    </w:p>
    <w:p w14:paraId="0BE8FCC0" w14:textId="77777777" w:rsidR="003E5FFB" w:rsidRPr="003E5FFB" w:rsidRDefault="003E5FFB" w:rsidP="003E5FFB">
      <w:pPr>
        <w:spacing w:after="0" w:line="240" w:lineRule="auto"/>
        <w:jc w:val="left"/>
        <w:rPr>
          <w:rFonts w:ascii="Times New Roman" w:hAnsi="Times New Roman"/>
          <w:b/>
          <w:sz w:val="20"/>
        </w:rPr>
      </w:pPr>
    </w:p>
    <w:p w14:paraId="04350E12" w14:textId="77777777" w:rsidR="003E5FFB" w:rsidRPr="003E5FFB" w:rsidRDefault="003E5FFB" w:rsidP="003E5FFB">
      <w:pPr>
        <w:spacing w:after="0" w:line="240" w:lineRule="auto"/>
        <w:jc w:val="left"/>
        <w:rPr>
          <w:rFonts w:ascii="Times New Roman" w:hAnsi="Times New Roman"/>
          <w:b/>
          <w:sz w:val="20"/>
        </w:rPr>
      </w:pPr>
    </w:p>
    <w:p w14:paraId="0269847C" w14:textId="77777777" w:rsidR="003E5FFB" w:rsidRPr="003E5FFB" w:rsidRDefault="003E5FFB" w:rsidP="003E5FFB">
      <w:pPr>
        <w:spacing w:after="0" w:line="240" w:lineRule="auto"/>
        <w:jc w:val="left"/>
        <w:rPr>
          <w:rFonts w:ascii="Times New Roman" w:hAnsi="Times New Roman"/>
          <w:b/>
          <w:sz w:val="20"/>
        </w:rPr>
      </w:pPr>
    </w:p>
    <w:p w14:paraId="250C4883" w14:textId="77777777" w:rsidR="003E5FFB" w:rsidRPr="003E5FFB" w:rsidRDefault="003E5FFB" w:rsidP="003E5FFB">
      <w:pPr>
        <w:spacing w:after="0" w:line="240" w:lineRule="auto"/>
        <w:jc w:val="left"/>
        <w:rPr>
          <w:rFonts w:ascii="Times New Roman" w:hAnsi="Times New Roman"/>
          <w:b/>
          <w:sz w:val="20"/>
        </w:rPr>
      </w:pPr>
      <w:r w:rsidRPr="003E5FFB">
        <w:rPr>
          <w:rFonts w:ascii="Times New Roman" w:hAnsi="Times New Roman"/>
          <w:b/>
          <w:sz w:val="20"/>
        </w:rPr>
        <w:t>Counsel who argued in Supreme Court (not intended for publication with opinion):</w:t>
      </w:r>
    </w:p>
    <w:p w14:paraId="63469DA9" w14:textId="77777777" w:rsidR="003E5FFB" w:rsidRPr="003E5FFB" w:rsidRDefault="003E5FFB" w:rsidP="003E5FFB">
      <w:pPr>
        <w:spacing w:after="0" w:line="240" w:lineRule="auto"/>
        <w:jc w:val="left"/>
        <w:rPr>
          <w:rFonts w:ascii="Times New Roman" w:hAnsi="Times New Roman"/>
          <w:b/>
          <w:sz w:val="20"/>
        </w:rPr>
      </w:pPr>
    </w:p>
    <w:p w14:paraId="271B4598"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William Quest</w:t>
      </w:r>
    </w:p>
    <w:p w14:paraId="5C49B2F5"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Senior Deputy Public Defender</w:t>
      </w:r>
    </w:p>
    <w:p w14:paraId="12633992"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800 S. Victoria Ave., 2</w:t>
      </w:r>
      <w:r w:rsidRPr="003E5FFB">
        <w:rPr>
          <w:rFonts w:ascii="Times New Roman" w:hAnsi="Times New Roman"/>
          <w:sz w:val="20"/>
          <w:vertAlign w:val="superscript"/>
        </w:rPr>
        <w:t>nd</w:t>
      </w:r>
      <w:r w:rsidRPr="003E5FFB">
        <w:rPr>
          <w:rFonts w:ascii="Times New Roman" w:hAnsi="Times New Roman"/>
          <w:sz w:val="20"/>
        </w:rPr>
        <w:t xml:space="preserve"> Floor</w:t>
      </w:r>
    </w:p>
    <w:p w14:paraId="03A46458"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Ventura, CA 93009</w:t>
      </w:r>
    </w:p>
    <w:p w14:paraId="54AA3053"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(850) 654-3032</w:t>
      </w:r>
    </w:p>
    <w:p w14:paraId="200CCE60" w14:textId="77777777" w:rsidR="003E5FFB" w:rsidRPr="003E5FFB" w:rsidRDefault="003E5FFB" w:rsidP="003E5FFB">
      <w:pPr>
        <w:spacing w:after="0" w:line="240" w:lineRule="auto"/>
        <w:jc w:val="left"/>
        <w:rPr>
          <w:rFonts w:ascii="Times New Roman" w:hAnsi="Times New Roman"/>
          <w:sz w:val="20"/>
        </w:rPr>
      </w:pPr>
    </w:p>
    <w:p w14:paraId="2655F3C5"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Christina Bull Arndt</w:t>
      </w:r>
    </w:p>
    <w:p w14:paraId="4A759D90"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Supervising Deputy Attorney General</w:t>
      </w:r>
    </w:p>
    <w:p w14:paraId="1D2A84B7"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300 South Spring St., Suite 1702</w:t>
      </w:r>
    </w:p>
    <w:p w14:paraId="03322D70"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Los Angeles, CA 90013</w:t>
      </w:r>
    </w:p>
    <w:p w14:paraId="3705C3B5" w14:textId="77777777" w:rsidR="003E5FFB" w:rsidRPr="003E5FFB" w:rsidRDefault="003E5FFB" w:rsidP="003E5FFB">
      <w:pPr>
        <w:spacing w:after="0" w:line="240" w:lineRule="auto"/>
        <w:jc w:val="left"/>
        <w:rPr>
          <w:rFonts w:ascii="Times New Roman" w:hAnsi="Times New Roman"/>
          <w:sz w:val="20"/>
        </w:rPr>
      </w:pPr>
      <w:r w:rsidRPr="003E5FFB">
        <w:rPr>
          <w:rFonts w:ascii="Times New Roman" w:hAnsi="Times New Roman"/>
          <w:sz w:val="20"/>
        </w:rPr>
        <w:t>(213) 269-6383</w:t>
      </w:r>
    </w:p>
    <w:p w14:paraId="4A70046F" w14:textId="0BFC3A78" w:rsidR="006A59F4" w:rsidRPr="00043B30" w:rsidRDefault="006A59F4" w:rsidP="00F00062">
      <w:pPr>
        <w:contextualSpacing/>
      </w:pPr>
    </w:p>
    <w:sectPr w:rsidR="006A59F4" w:rsidRPr="00043B30">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FC3C8" w14:textId="77777777" w:rsidR="00FD294F" w:rsidRDefault="00FD294F">
      <w:r>
        <w:separator/>
      </w:r>
    </w:p>
  </w:endnote>
  <w:endnote w:type="continuationSeparator" w:id="0">
    <w:p w14:paraId="300F8335" w14:textId="77777777" w:rsidR="00FD294F" w:rsidRDefault="00FD2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9750088"/>
      <w:docPartObj>
        <w:docPartGallery w:val="Page Numbers (Bottom of Page)"/>
        <w:docPartUnique/>
      </w:docPartObj>
    </w:sdtPr>
    <w:sdtEndPr>
      <w:rPr>
        <w:rStyle w:val="PageNumber"/>
      </w:rPr>
    </w:sdtEndPr>
    <w:sdtContent>
      <w:p w14:paraId="53D388C3" w14:textId="2E316485" w:rsidR="005C234D" w:rsidRDefault="005C234D" w:rsidP="005C2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8DA8C5" w14:textId="77777777" w:rsidR="005C234D" w:rsidRDefault="005C2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3489864"/>
      <w:docPartObj>
        <w:docPartGallery w:val="Page Numbers (Bottom of Page)"/>
        <w:docPartUnique/>
      </w:docPartObj>
    </w:sdtPr>
    <w:sdtEndPr>
      <w:rPr>
        <w:rStyle w:val="PageNumber"/>
      </w:rPr>
    </w:sdtEndPr>
    <w:sdtContent>
      <w:p w14:paraId="27F2EED1" w14:textId="3F2C8D97" w:rsidR="005C234D" w:rsidRDefault="005C234D" w:rsidP="005C23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1DE66D6" w14:textId="2479A4CF" w:rsidR="005C234D" w:rsidRDefault="005C23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E099F" w14:textId="77777777" w:rsidR="005C234D" w:rsidRDefault="005C234D">
    <w:pPr>
      <w:pStyle w:val="Footer"/>
    </w:pPr>
    <w: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07662" w14:textId="77777777" w:rsidR="00F00062" w:rsidRDefault="00F00062">
    <w:pPr>
      <w:pStyle w:val="Footer"/>
    </w:pPr>
    <w:r>
      <w:t>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0D7D4" w14:textId="77777777" w:rsidR="00930040" w:rsidRDefault="001E10D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1506B" w14:textId="77777777" w:rsidR="00930040" w:rsidRDefault="001E10D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415AA" w14:textId="77777777" w:rsidR="00930040" w:rsidRDefault="001E10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074679" w14:textId="77777777" w:rsidR="00FD294F" w:rsidRDefault="00FD294F">
      <w:r>
        <w:separator/>
      </w:r>
    </w:p>
  </w:footnote>
  <w:footnote w:type="continuationSeparator" w:id="0">
    <w:p w14:paraId="0FD4FB01" w14:textId="77777777" w:rsidR="00FD294F" w:rsidRDefault="00FD294F">
      <w:pPr>
        <w:rPr>
          <w:sz w:val="22"/>
        </w:rPr>
      </w:pPr>
      <w:r>
        <w:continuationSeparator/>
      </w:r>
    </w:p>
  </w:footnote>
  <w:footnote w:type="continuationNotice" w:id="1">
    <w:p w14:paraId="4A78B08A" w14:textId="77777777" w:rsidR="00FD294F" w:rsidRDefault="00FD294F">
      <w:pPr>
        <w:jc w:val="right"/>
        <w:rPr>
          <w:i/>
          <w:sz w:val="20"/>
        </w:rPr>
      </w:pPr>
    </w:p>
  </w:footnote>
  <w:footnote w:id="2">
    <w:p w14:paraId="56203C51" w14:textId="7ECEC96A" w:rsidR="005C234D" w:rsidRDefault="005C234D">
      <w:pPr>
        <w:pStyle w:val="FootnoteText"/>
      </w:pPr>
      <w:r>
        <w:rPr>
          <w:rStyle w:val="FootnoteReference"/>
        </w:rPr>
        <w:footnoteRef/>
      </w:r>
      <w:r>
        <w:t xml:space="preserve"> </w:t>
      </w:r>
      <w:r>
        <w:tab/>
      </w:r>
      <w:bookmarkStart w:id="3" w:name="_Hlk34653923"/>
      <w:r>
        <w:t xml:space="preserve">Our holding is limited to the juvenile court’s </w:t>
      </w:r>
      <w:proofErr w:type="gramStart"/>
      <w:r w:rsidRPr="005E00EC">
        <w:t>jurisdiction</w:t>
      </w:r>
      <w:proofErr w:type="gramEnd"/>
      <w:r w:rsidRPr="005E00EC">
        <w:t xml:space="preserve"> </w:t>
      </w:r>
      <w:r>
        <w:t xml:space="preserve">in a formal wardship proceeding initiated by the filing </w:t>
      </w:r>
      <w:r w:rsidRPr="00C541E3">
        <w:t>of a petition under Welfare and Institutions Code section 650</w:t>
      </w:r>
      <w:r>
        <w:t>.  We do not consider the i</w:t>
      </w:r>
      <w:r w:rsidRPr="00C541E3">
        <w:t xml:space="preserve">nformal </w:t>
      </w:r>
      <w:r>
        <w:t>j</w:t>
      </w:r>
      <w:r w:rsidRPr="00C541E3">
        <w:t>uvenile and</w:t>
      </w:r>
      <w:r>
        <w:t xml:space="preserve"> t</w:t>
      </w:r>
      <w:r w:rsidRPr="00C541E3">
        <w:t xml:space="preserve">raffic </w:t>
      </w:r>
      <w:r>
        <w:t>c</w:t>
      </w:r>
      <w:r w:rsidRPr="00C541E3">
        <w:t>ourt</w:t>
      </w:r>
      <w:r>
        <w:t xml:space="preserve">’s </w:t>
      </w:r>
      <w:proofErr w:type="gramStart"/>
      <w:r>
        <w:t>jurisdiction</w:t>
      </w:r>
      <w:proofErr w:type="gramEnd"/>
      <w:r>
        <w:t xml:space="preserve"> in a hearing conducted in accordance with </w:t>
      </w:r>
      <w:r w:rsidRPr="00C541E3">
        <w:t>Welfare and Institutions Code sections 255 through 258</w:t>
      </w:r>
      <w:r>
        <w:t>.</w:t>
      </w:r>
      <w:bookmarkEnd w:id="3"/>
    </w:p>
  </w:footnote>
  <w:footnote w:id="3">
    <w:p w14:paraId="55C89823" w14:textId="4F70B5E1" w:rsidR="005C234D" w:rsidRDefault="005C234D" w:rsidP="005600B7">
      <w:pPr>
        <w:pStyle w:val="FootnoteText"/>
      </w:pPr>
      <w:r>
        <w:rPr>
          <w:rStyle w:val="FootnoteReference"/>
        </w:rPr>
        <w:footnoteRef/>
      </w:r>
      <w:r>
        <w:t xml:space="preserve"> </w:t>
      </w:r>
      <w:r>
        <w:tab/>
        <w:t>A.N.’s principal mailed both English and Spanish copies of each of his letters to A.N.’s parents.</w:t>
      </w:r>
    </w:p>
  </w:footnote>
  <w:footnote w:id="4">
    <w:p w14:paraId="189C6964" w14:textId="20609D96" w:rsidR="005C234D" w:rsidRDefault="005C234D">
      <w:pPr>
        <w:pStyle w:val="FootnoteText"/>
      </w:pPr>
      <w:r>
        <w:rPr>
          <w:rStyle w:val="FootnoteReference"/>
        </w:rPr>
        <w:footnoteRef/>
      </w:r>
      <w:r>
        <w:t xml:space="preserve"> </w:t>
      </w:r>
      <w:r>
        <w:tab/>
        <w:t>Unless otherwise specified, all statutory references are to the Education Code.</w:t>
      </w:r>
    </w:p>
  </w:footnote>
  <w:footnote w:id="5">
    <w:p w14:paraId="179DF5C3" w14:textId="59FCF340" w:rsidR="005C234D" w:rsidRDefault="005C234D" w:rsidP="005E00EC">
      <w:pPr>
        <w:pStyle w:val="FootnoteText"/>
      </w:pPr>
      <w:r w:rsidRPr="004F5029">
        <w:rPr>
          <w:rStyle w:val="FootnoteReference"/>
        </w:rPr>
        <w:footnoteRef/>
      </w:r>
      <w:r w:rsidRPr="00426872">
        <w:t xml:space="preserve"> </w:t>
      </w:r>
      <w:r>
        <w:tab/>
        <w:t>S</w:t>
      </w:r>
      <w:r w:rsidRPr="00426872">
        <w:t>ection</w:t>
      </w:r>
      <w:r>
        <w:t xml:space="preserve"> 48262</w:t>
      </w:r>
      <w:r w:rsidRPr="00426872">
        <w:t xml:space="preserve"> </w:t>
      </w:r>
      <w:r>
        <w:t xml:space="preserve">also </w:t>
      </w:r>
      <w:r w:rsidRPr="00426872">
        <w:t>explains</w:t>
      </w:r>
      <w:r>
        <w:t xml:space="preserve">:  </w:t>
      </w:r>
      <w:r w:rsidRPr="00426872">
        <w:t>“[A] conscientious effort means attempting to communicate with the parents of the pupil at least once using the most cost-effective method possible, which may include electronic mail or a telephone call.</w:t>
      </w:r>
      <w:r>
        <w:t>”  Although the record does not indicate whether A.N.’s parents received the principal’s letters, it does indicate that a school official spoke with A.N.’s father over the phone.</w:t>
      </w:r>
    </w:p>
  </w:footnote>
  <w:footnote w:id="6">
    <w:p w14:paraId="64F19FCB" w14:textId="5D4366C2" w:rsidR="005C234D" w:rsidRDefault="005C234D">
      <w:pPr>
        <w:pStyle w:val="FootnoteText"/>
      </w:pPr>
      <w:r>
        <w:rPr>
          <w:rStyle w:val="FootnoteReference"/>
        </w:rPr>
        <w:footnoteRef/>
      </w:r>
      <w:r>
        <w:t xml:space="preserve"> </w:t>
      </w:r>
      <w:r>
        <w:tab/>
      </w:r>
      <w:r w:rsidRPr="001D0DC2">
        <w:t>The Legislature likely included this “double-jointing” provision to prevent A</w:t>
      </w:r>
      <w:r>
        <w:t>ssembly Bill </w:t>
      </w:r>
      <w:r w:rsidRPr="001D0DC2">
        <w:t>2658</w:t>
      </w:r>
      <w:r>
        <w:t>’s provision amending former section 601.1</w:t>
      </w:r>
      <w:r w:rsidRPr="001D0DC2">
        <w:t xml:space="preserve"> </w:t>
      </w:r>
      <w:r>
        <w:t xml:space="preserve">of the Welfare and Institutions Code </w:t>
      </w:r>
      <w:r w:rsidRPr="001D0DC2">
        <w:t>from “chaptering-out” S</w:t>
      </w:r>
      <w:r>
        <w:t xml:space="preserve">enate Bill </w:t>
      </w:r>
      <w:r w:rsidRPr="001D0DC2">
        <w:t>1728</w:t>
      </w:r>
      <w:r>
        <w:t>’s provision repealing that section</w:t>
      </w:r>
      <w:r w:rsidRPr="001D0DC2">
        <w:t xml:space="preserve"> in the event that</w:t>
      </w:r>
      <w:r w:rsidRPr="007E3349">
        <w:t xml:space="preserve"> </w:t>
      </w:r>
      <w:r>
        <w:t>Senate Bill 1728 was enacted first and Assembly Bill 2658 was enacted second</w:t>
      </w:r>
      <w:r w:rsidRPr="001D0DC2">
        <w:t>.</w:t>
      </w:r>
      <w:r>
        <w:t xml:space="preserve">  (See </w:t>
      </w:r>
      <w:r w:rsidRPr="001D0DC2">
        <w:rPr>
          <w:i/>
          <w:iCs/>
        </w:rPr>
        <w:t>In re Thierry S. </w:t>
      </w:r>
      <w:r w:rsidRPr="001D0DC2">
        <w:t>(1977) 19 Cal.3d 727, 739</w:t>
      </w:r>
      <w:r>
        <w:t>–740 (</w:t>
      </w:r>
      <w:r>
        <w:rPr>
          <w:i/>
        </w:rPr>
        <w:t>Thierry S.</w:t>
      </w:r>
      <w:r>
        <w:t>)</w:t>
      </w:r>
      <w:r w:rsidRPr="001D0DC2">
        <w:t xml:space="preserve"> [explaining </w:t>
      </w:r>
      <w:r>
        <w:t>the Legislature’s “double-jointing” procedure</w:t>
      </w:r>
      <w:r w:rsidRPr="001D0DC2">
        <w:t>]</w:t>
      </w:r>
      <w:r>
        <w:t>.)</w:t>
      </w:r>
    </w:p>
  </w:footnote>
  <w:footnote w:id="7">
    <w:p w14:paraId="32DC2DBC" w14:textId="272A14B5" w:rsidR="005C234D" w:rsidRDefault="005C234D" w:rsidP="007E3349">
      <w:pPr>
        <w:pStyle w:val="FootnoteText"/>
      </w:pPr>
      <w:r w:rsidRPr="00000C22">
        <w:rPr>
          <w:rStyle w:val="FootnoteReference"/>
        </w:rPr>
        <w:footnoteRef/>
      </w:r>
      <w:r w:rsidRPr="00000C22">
        <w:t xml:space="preserve"> </w:t>
      </w:r>
      <w:r w:rsidRPr="00000C22">
        <w:tab/>
        <w:t xml:space="preserve">Handwritten annotations on the Governor’s </w:t>
      </w:r>
      <w:r>
        <w:t>c</w:t>
      </w:r>
      <w:r w:rsidRPr="00000C22">
        <w:t xml:space="preserve">haptered </w:t>
      </w:r>
      <w:r>
        <w:t>b</w:t>
      </w:r>
      <w:r w:rsidRPr="00000C22">
        <w:t xml:space="preserve">ill </w:t>
      </w:r>
      <w:r>
        <w:t>f</w:t>
      </w:r>
      <w:r w:rsidRPr="00000C22">
        <w:t xml:space="preserve">iles suggest that the Governor was informed accordingly.  (Legis. Counsel, letter to Governor Pete Wilson (1993–1994 Reg. Sess.) Sept. 21, 1994, Governor’s chaptered bill files, </w:t>
      </w:r>
      <w:proofErr w:type="spellStart"/>
      <w:r w:rsidRPr="00000C22">
        <w:t>ch.</w:t>
      </w:r>
      <w:proofErr w:type="spellEnd"/>
      <w:r w:rsidRPr="00000C22">
        <w:t xml:space="preserve"> 1023; Legis. Counsel, letter to Governor Pete Wilson (1993–1994 Reg. Sess.) Sept. 19, 1994, Governor’s chaptered bill files, </w:t>
      </w:r>
      <w:proofErr w:type="spellStart"/>
      <w:r w:rsidRPr="00000C22">
        <w:t>ch.</w:t>
      </w:r>
      <w:proofErr w:type="spellEnd"/>
      <w:r w:rsidRPr="00000C22">
        <w:t xml:space="preserve"> 1024.)</w:t>
      </w:r>
    </w:p>
  </w:footnote>
  <w:footnote w:id="8">
    <w:p w14:paraId="618574CB" w14:textId="57E61908" w:rsidR="005C234D" w:rsidRDefault="005C234D">
      <w:pPr>
        <w:pStyle w:val="FootnoteText"/>
      </w:pPr>
      <w:r>
        <w:rPr>
          <w:rStyle w:val="FootnoteReference"/>
        </w:rPr>
        <w:footnoteRef/>
      </w:r>
      <w:r>
        <w:t xml:space="preserve"> </w:t>
      </w:r>
      <w:r>
        <w:tab/>
      </w:r>
      <w:r w:rsidRPr="001D0DC2">
        <w:t>Absent evidence to the contrary, we presume the Governor signed S</w:t>
      </w:r>
      <w:r>
        <w:t xml:space="preserve">enate </w:t>
      </w:r>
      <w:r w:rsidRPr="001D0DC2">
        <w:t>B</w:t>
      </w:r>
      <w:r>
        <w:t xml:space="preserve">ill </w:t>
      </w:r>
      <w:r w:rsidRPr="001D0DC2">
        <w:t>1728 before A</w:t>
      </w:r>
      <w:r>
        <w:t xml:space="preserve">ssembly </w:t>
      </w:r>
      <w:r w:rsidRPr="001D0DC2">
        <w:t>B</w:t>
      </w:r>
      <w:r>
        <w:t xml:space="preserve">ill </w:t>
      </w:r>
      <w:r w:rsidRPr="001D0DC2">
        <w:t xml:space="preserve">2658, because </w:t>
      </w:r>
      <w:r>
        <w:t>the former</w:t>
      </w:r>
      <w:r w:rsidRPr="001D0DC2">
        <w:t xml:space="preserve"> is chapter 1023</w:t>
      </w:r>
      <w:r>
        <w:t>,</w:t>
      </w:r>
      <w:r w:rsidRPr="001D0DC2">
        <w:t xml:space="preserve"> and </w:t>
      </w:r>
      <w:r>
        <w:t>the latter</w:t>
      </w:r>
      <w:r w:rsidRPr="001D0DC2">
        <w:t xml:space="preserve"> is chapter 1024 of the Statutes of 1994.</w:t>
      </w:r>
      <w:r>
        <w:t xml:space="preserve"> </w:t>
      </w:r>
      <w:r w:rsidRPr="001D0DC2">
        <w:t xml:space="preserve"> (See Gov. Code</w:t>
      </w:r>
      <w:r>
        <w:t>,</w:t>
      </w:r>
      <w:r w:rsidRPr="001D0DC2">
        <w:t xml:space="preserve"> §</w:t>
      </w:r>
      <w:r>
        <w:t> </w:t>
      </w:r>
      <w:r w:rsidRPr="001D0DC2">
        <w:t>9510;</w:t>
      </w:r>
      <w:r>
        <w:t xml:space="preserve"> </w:t>
      </w:r>
      <w:r w:rsidRPr="001D0DC2">
        <w:rPr>
          <w:i/>
          <w:iCs/>
        </w:rPr>
        <w:t>Thierry S.</w:t>
      </w:r>
      <w:r>
        <w:rPr>
          <w:iCs/>
        </w:rPr>
        <w:t xml:space="preserve">, </w:t>
      </w:r>
      <w:r>
        <w:rPr>
          <w:i/>
          <w:iCs/>
        </w:rPr>
        <w:t>supra</w:t>
      </w:r>
      <w:r>
        <w:rPr>
          <w:iCs/>
        </w:rPr>
        <w:t>,</w:t>
      </w:r>
      <w:r w:rsidRPr="001D0DC2">
        <w:t xml:space="preserve"> 19 Cal.3d </w:t>
      </w:r>
      <w:r>
        <w:t>at</w:t>
      </w:r>
      <w:r w:rsidRPr="001D0DC2">
        <w:t xml:space="preserve"> </w:t>
      </w:r>
      <w:r>
        <w:t>p. </w:t>
      </w:r>
      <w:r w:rsidRPr="001D0DC2">
        <w:t xml:space="preserve">739 &amp; </w:t>
      </w:r>
      <w:proofErr w:type="spellStart"/>
      <w:r w:rsidRPr="001D0DC2">
        <w:t>fns</w:t>
      </w:r>
      <w:proofErr w:type="spellEnd"/>
      <w:r w:rsidRPr="001D0DC2">
        <w:t>. 10, 11 [explaining the rebuttable presumption that chapter numbers indicate the order in which the Governor sign</w:t>
      </w:r>
      <w:r>
        <w:t>s</w:t>
      </w:r>
      <w:r w:rsidRPr="001D0DC2">
        <w:t xml:space="preserve"> bills into law].)</w:t>
      </w:r>
    </w:p>
  </w:footnote>
  <w:footnote w:id="9">
    <w:p w14:paraId="15DD9D9D" w14:textId="77777777" w:rsidR="005C234D" w:rsidRDefault="005C234D" w:rsidP="00C53206">
      <w:pPr>
        <w:pStyle w:val="FootnoteText"/>
      </w:pPr>
      <w:r>
        <w:rPr>
          <w:rStyle w:val="FootnoteReference"/>
        </w:rPr>
        <w:footnoteRef/>
      </w:r>
      <w:r>
        <w:t xml:space="preserve"> </w:t>
      </w:r>
      <w:r>
        <w:tab/>
        <w:t xml:space="preserve">The bill that originally added this language also added former section 601.1 of the Welfare and Institutions Code, which originally required initial referral to a SARB.  (Stats. 1974, </w:t>
      </w:r>
      <w:proofErr w:type="spellStart"/>
      <w:r>
        <w:t>ch.</w:t>
      </w:r>
      <w:proofErr w:type="spellEnd"/>
      <w:r>
        <w:t> 1215, §§ 1, 9, pp. 2624–2625, 2629.)</w:t>
      </w:r>
    </w:p>
  </w:footnote>
  <w:footnote w:id="10">
    <w:p w14:paraId="6A063355" w14:textId="77777777" w:rsidR="005C234D" w:rsidRDefault="005C234D" w:rsidP="00C53206">
      <w:pPr>
        <w:pStyle w:val="FootnoteText"/>
      </w:pPr>
      <w:r>
        <w:rPr>
          <w:rStyle w:val="FootnoteReference"/>
        </w:rPr>
        <w:footnoteRef/>
      </w:r>
      <w:r>
        <w:t xml:space="preserve"> </w:t>
      </w:r>
      <w:r>
        <w:tab/>
        <w:t xml:space="preserve">The bill that added Education Code section 48263 also amended former section 601.1 of the Welfare and Institutions Code to require initial referral to a SARB, or to a truancy mediation program, or to both.  (Stats. 1984, </w:t>
      </w:r>
      <w:proofErr w:type="spellStart"/>
      <w:r>
        <w:t>ch.</w:t>
      </w:r>
      <w:proofErr w:type="spellEnd"/>
      <w:r>
        <w:t> 754, §§ 2, 4, 5, pp. 2722–2725.)</w:t>
      </w:r>
    </w:p>
  </w:footnote>
  <w:footnote w:id="11">
    <w:p w14:paraId="749E0C2C" w14:textId="360DA1FA" w:rsidR="005C234D" w:rsidRPr="00AD3AE7" w:rsidRDefault="005C234D" w:rsidP="008A2741">
      <w:pPr>
        <w:pStyle w:val="FootnoteText"/>
      </w:pPr>
      <w:r>
        <w:rPr>
          <w:rStyle w:val="FootnoteReference"/>
        </w:rPr>
        <w:footnoteRef/>
      </w:r>
      <w:r>
        <w:t xml:space="preserve"> </w:t>
      </w:r>
      <w:r>
        <w:tab/>
      </w:r>
      <w:r>
        <w:rPr>
          <w:szCs w:val="26"/>
        </w:rPr>
        <w:t>Both parties and amicus curiae</w:t>
      </w:r>
      <w:r w:rsidR="00CA2D01">
        <w:rPr>
          <w:szCs w:val="26"/>
        </w:rPr>
        <w:t xml:space="preserve"> CRLA</w:t>
      </w:r>
      <w:r>
        <w:rPr>
          <w:szCs w:val="26"/>
        </w:rPr>
        <w:t xml:space="preserve"> also direct our attention to </w:t>
      </w:r>
      <w:r w:rsidRPr="006334B2">
        <w:rPr>
          <w:szCs w:val="26"/>
        </w:rPr>
        <w:t>Welfare and Institutions Code section</w:t>
      </w:r>
      <w:r>
        <w:rPr>
          <w:szCs w:val="26"/>
        </w:rPr>
        <w:t xml:space="preserve"> </w:t>
      </w:r>
      <w:r w:rsidRPr="006334B2">
        <w:rPr>
          <w:szCs w:val="26"/>
        </w:rPr>
        <w:t>258, subdivision</w:t>
      </w:r>
      <w:r>
        <w:rPr>
          <w:szCs w:val="26"/>
        </w:rPr>
        <w:t xml:space="preserve"> </w:t>
      </w:r>
      <w:r w:rsidRPr="006334B2">
        <w:rPr>
          <w:szCs w:val="26"/>
        </w:rPr>
        <w:t>(b)</w:t>
      </w:r>
      <w:r>
        <w:rPr>
          <w:szCs w:val="26"/>
        </w:rPr>
        <w:t>, which</w:t>
      </w:r>
      <w:r w:rsidRPr="006334B2">
        <w:rPr>
          <w:szCs w:val="26"/>
        </w:rPr>
        <w:t xml:space="preserve"> provides:  </w:t>
      </w:r>
      <w:r>
        <w:rPr>
          <w:szCs w:val="26"/>
        </w:rPr>
        <w:t>“</w:t>
      </w:r>
      <w:r w:rsidRPr="006334B2">
        <w:rPr>
          <w:szCs w:val="26"/>
        </w:rPr>
        <w:t xml:space="preserve">If the minor is before the court </w:t>
      </w:r>
      <w:proofErr w:type="gramStart"/>
      <w:r w:rsidRPr="006334B2">
        <w:rPr>
          <w:szCs w:val="26"/>
        </w:rPr>
        <w:t>on the basis of</w:t>
      </w:r>
      <w:proofErr w:type="gramEnd"/>
      <w:r w:rsidRPr="006334B2">
        <w:rPr>
          <w:szCs w:val="26"/>
        </w:rPr>
        <w:t xml:space="preserve"> truancy . . . [¶] </w:t>
      </w:r>
      <w:r>
        <w:rPr>
          <w:szCs w:val="26"/>
        </w:rPr>
        <w:t xml:space="preserve"> </w:t>
      </w:r>
      <w:r w:rsidRPr="006334B2">
        <w:rPr>
          <w:szCs w:val="26"/>
        </w:rPr>
        <w:t xml:space="preserve">(1) </w:t>
      </w:r>
      <w:r>
        <w:rPr>
          <w:szCs w:val="26"/>
        </w:rPr>
        <w:t xml:space="preserve"> </w:t>
      </w:r>
      <w:r w:rsidRPr="006334B2">
        <w:rPr>
          <w:szCs w:val="26"/>
        </w:rPr>
        <w:t xml:space="preserve">The judge, referee, or juvenile hearing officer shall not proceed with a hearing unless both of the following have been provided to the court:  [¶]  (A) </w:t>
      </w:r>
      <w:r>
        <w:rPr>
          <w:szCs w:val="26"/>
        </w:rPr>
        <w:t xml:space="preserve"> </w:t>
      </w:r>
      <w:r w:rsidRPr="006334B2">
        <w:rPr>
          <w:szCs w:val="26"/>
        </w:rPr>
        <w:t>Evidence that the minor’s school has undertaken the actions specified in subdivisions (a), (b), and (c) of Section 48264.5 of the Education Code . . .</w:t>
      </w:r>
      <w:r>
        <w:rPr>
          <w:szCs w:val="26"/>
        </w:rPr>
        <w:t> .</w:t>
      </w:r>
      <w:r w:rsidRPr="006334B2">
        <w:rPr>
          <w:szCs w:val="26"/>
        </w:rPr>
        <w:t xml:space="preserve"> [¶ ]</w:t>
      </w:r>
      <w:r>
        <w:rPr>
          <w:szCs w:val="26"/>
        </w:rPr>
        <w:t xml:space="preserve"> </w:t>
      </w:r>
      <w:r w:rsidRPr="006334B2">
        <w:rPr>
          <w:szCs w:val="26"/>
        </w:rPr>
        <w:t xml:space="preserve"> (B)</w:t>
      </w:r>
      <w:r>
        <w:rPr>
          <w:szCs w:val="26"/>
        </w:rPr>
        <w:t xml:space="preserve"> </w:t>
      </w:r>
      <w:r w:rsidRPr="006334B2">
        <w:rPr>
          <w:szCs w:val="26"/>
        </w:rPr>
        <w:t xml:space="preserve"> The available record of previous attempts to address the minor’s truancy.</w:t>
      </w:r>
      <w:r>
        <w:rPr>
          <w:szCs w:val="26"/>
        </w:rPr>
        <w:t>”</w:t>
      </w:r>
      <w:r w:rsidRPr="006334B2">
        <w:rPr>
          <w:szCs w:val="26"/>
        </w:rPr>
        <w:t xml:space="preserve">  </w:t>
      </w:r>
      <w:r>
        <w:rPr>
          <w:szCs w:val="26"/>
        </w:rPr>
        <w:t xml:space="preserve">Both parties and </w:t>
      </w:r>
      <w:r w:rsidR="00CA2D01">
        <w:rPr>
          <w:szCs w:val="26"/>
        </w:rPr>
        <w:t>CRLA</w:t>
      </w:r>
      <w:r>
        <w:rPr>
          <w:szCs w:val="26"/>
        </w:rPr>
        <w:t xml:space="preserve"> assume that this </w:t>
      </w:r>
      <w:r w:rsidRPr="006334B2">
        <w:rPr>
          <w:szCs w:val="26"/>
        </w:rPr>
        <w:t xml:space="preserve">subdivision </w:t>
      </w:r>
      <w:r>
        <w:rPr>
          <w:szCs w:val="26"/>
        </w:rPr>
        <w:t xml:space="preserve">applies to </w:t>
      </w:r>
      <w:r w:rsidRPr="006334B2">
        <w:rPr>
          <w:szCs w:val="26"/>
        </w:rPr>
        <w:t>formal wardship proceeding</w:t>
      </w:r>
      <w:r>
        <w:rPr>
          <w:szCs w:val="26"/>
        </w:rPr>
        <w:t xml:space="preserve">s (see </w:t>
      </w:r>
      <w:proofErr w:type="spellStart"/>
      <w:r w:rsidRPr="0003042C">
        <w:rPr>
          <w:szCs w:val="26"/>
        </w:rPr>
        <w:t>Welf</w:t>
      </w:r>
      <w:proofErr w:type="spellEnd"/>
      <w:r w:rsidRPr="0003042C">
        <w:rPr>
          <w:szCs w:val="26"/>
        </w:rPr>
        <w:t>. &amp; Inst. Code,</w:t>
      </w:r>
      <w:r>
        <w:rPr>
          <w:szCs w:val="26"/>
        </w:rPr>
        <w:t xml:space="preserve"> § 650) in addition to hearings by the informal juve</w:t>
      </w:r>
      <w:r w:rsidRPr="00017BAF">
        <w:rPr>
          <w:szCs w:val="26"/>
        </w:rPr>
        <w:t xml:space="preserve">nile and traffic court (see </w:t>
      </w:r>
      <w:proofErr w:type="spellStart"/>
      <w:r w:rsidRPr="00017BAF">
        <w:rPr>
          <w:szCs w:val="26"/>
        </w:rPr>
        <w:t>Welf</w:t>
      </w:r>
      <w:proofErr w:type="spellEnd"/>
      <w:r w:rsidRPr="00017BAF">
        <w:rPr>
          <w:szCs w:val="26"/>
        </w:rPr>
        <w:t xml:space="preserve">. &amp; Inst. Code, §§ 255–258).  </w:t>
      </w:r>
      <w:r>
        <w:rPr>
          <w:szCs w:val="26"/>
        </w:rPr>
        <w:t xml:space="preserve">Specifically, they believe that this subdivision requires a minor to have been </w:t>
      </w:r>
      <w:r w:rsidRPr="00E843C7">
        <w:rPr>
          <w:szCs w:val="26"/>
        </w:rPr>
        <w:t>referr</w:t>
      </w:r>
      <w:r>
        <w:rPr>
          <w:szCs w:val="26"/>
        </w:rPr>
        <w:t xml:space="preserve">ed to a SARB or a similar truancy mediation program—and, in A.N.’s view, to have failed to successfully complete such a program—before the juvenile court may </w:t>
      </w:r>
      <w:r w:rsidRPr="00E843C7">
        <w:rPr>
          <w:i/>
          <w:szCs w:val="26"/>
        </w:rPr>
        <w:t>hold a hearing</w:t>
      </w:r>
      <w:r>
        <w:rPr>
          <w:szCs w:val="26"/>
        </w:rPr>
        <w:t xml:space="preserve"> in a </w:t>
      </w:r>
      <w:r w:rsidRPr="006334B2">
        <w:rPr>
          <w:szCs w:val="26"/>
        </w:rPr>
        <w:t>formal wardship proceeding</w:t>
      </w:r>
      <w:r>
        <w:rPr>
          <w:szCs w:val="26"/>
        </w:rPr>
        <w:t xml:space="preserve"> on the basis of truancy.  As mentioned above, A.N. and her mother attended a SARB meeting before the juvenile court held the trial in the </w:t>
      </w:r>
      <w:r w:rsidRPr="006334B2">
        <w:rPr>
          <w:szCs w:val="26"/>
        </w:rPr>
        <w:t>formal wardship proceeding</w:t>
      </w:r>
      <w:r>
        <w:rPr>
          <w:szCs w:val="26"/>
        </w:rPr>
        <w:t xml:space="preserve"> against A.N.  (See </w:t>
      </w:r>
      <w:r>
        <w:rPr>
          <w:i/>
          <w:szCs w:val="26"/>
        </w:rPr>
        <w:t>ante</w:t>
      </w:r>
      <w:r w:rsidR="00BA7FF1">
        <w:rPr>
          <w:szCs w:val="26"/>
        </w:rPr>
        <w:t>,</w:t>
      </w:r>
      <w:r>
        <w:rPr>
          <w:szCs w:val="26"/>
        </w:rPr>
        <w:t xml:space="preserve"> p. 3.)  </w:t>
      </w:r>
      <w:r w:rsidRPr="00017BAF">
        <w:rPr>
          <w:szCs w:val="26"/>
        </w:rPr>
        <w:t xml:space="preserve">Because A.N. does not argue that this subdivision was violated in her case, we do not address it here.  (See also </w:t>
      </w:r>
      <w:r w:rsidRPr="00017BAF">
        <w:rPr>
          <w:i/>
          <w:szCs w:val="26"/>
        </w:rPr>
        <w:t>ante</w:t>
      </w:r>
      <w:r w:rsidR="00BA7FF1">
        <w:rPr>
          <w:szCs w:val="26"/>
        </w:rPr>
        <w:t>,</w:t>
      </w:r>
      <w:r w:rsidRPr="00017BAF">
        <w:rPr>
          <w:i/>
          <w:szCs w:val="26"/>
        </w:rPr>
        <w:t xml:space="preserve"> </w:t>
      </w:r>
      <w:r w:rsidRPr="00017BAF">
        <w:rPr>
          <w:szCs w:val="26"/>
        </w:rPr>
        <w:t>p. 1, fn. 1.)</w:t>
      </w:r>
    </w:p>
  </w:footnote>
  <w:footnote w:id="12">
    <w:p w14:paraId="29F050E3" w14:textId="00500A3D" w:rsidR="005C234D" w:rsidRDefault="005C234D">
      <w:pPr>
        <w:pStyle w:val="FootnoteText"/>
      </w:pPr>
      <w:r>
        <w:rPr>
          <w:rStyle w:val="FootnoteReference"/>
        </w:rPr>
        <w:footnoteRef/>
      </w:r>
      <w:r>
        <w:t xml:space="preserve"> </w:t>
      </w:r>
      <w:r>
        <w:tab/>
      </w:r>
      <w:r w:rsidR="00F24E6A" w:rsidRPr="00F24E6A">
        <w:t>If the juvenile court adjudges a minor to be a ward of the court solely on the basis of habitual truancy, the juvenile court may order</w:t>
      </w:r>
      <w:r>
        <w:t>:</w:t>
      </w:r>
      <w:r w:rsidR="001125C2">
        <w:t xml:space="preserve"> </w:t>
      </w:r>
      <w:r>
        <w:t>20 to 40 hours of community service, a fine of $50 or less, attendance at a truancy prevention program, or suspension or revocation of driving privileges (if the minor has previously attended a SARB or a truancy mediation program).  (</w:t>
      </w:r>
      <w:r w:rsidR="00BA7FF1">
        <w:t xml:space="preserve">Ed. Code, </w:t>
      </w:r>
      <w:r>
        <w:t xml:space="preserve">§ 48264.5, </w:t>
      </w:r>
      <w:proofErr w:type="spellStart"/>
      <w:r>
        <w:t>subd</w:t>
      </w:r>
      <w:proofErr w:type="spellEnd"/>
      <w:r>
        <w:t xml:space="preserve">. (d); see </w:t>
      </w:r>
      <w:proofErr w:type="spellStart"/>
      <w:r>
        <w:t>Welf</w:t>
      </w:r>
      <w:proofErr w:type="spellEnd"/>
      <w:r>
        <w:t xml:space="preserve">. &amp; Inst. Code, § 601, </w:t>
      </w:r>
      <w:proofErr w:type="spellStart"/>
      <w:r>
        <w:t>subd</w:t>
      </w:r>
      <w:proofErr w:type="spellEnd"/>
      <w:r>
        <w:t xml:space="preserve">. (b) [minor who is adjudged a ward of the juvenile court solely on the basis of habitual truancy </w:t>
      </w:r>
      <w:r w:rsidRPr="00E629F2">
        <w:t xml:space="preserve">shall not be held in a secure facility </w:t>
      </w:r>
      <w:r>
        <w:t>or</w:t>
      </w:r>
      <w:r w:rsidRPr="00E629F2">
        <w:t xml:space="preserve"> removed from the custody of </w:t>
      </w:r>
      <w:r>
        <w:t>his or her</w:t>
      </w:r>
      <w:r w:rsidRPr="00E629F2">
        <w:t xml:space="preserve"> parent</w:t>
      </w:r>
      <w:r>
        <w:t>s</w:t>
      </w:r>
      <w:r w:rsidRPr="00E629F2">
        <w:t xml:space="preserve"> or guardian</w:t>
      </w:r>
      <w:r>
        <w:t>s</w:t>
      </w:r>
      <w:r w:rsidRPr="00E629F2">
        <w:t xml:space="preserve"> except for the purposes of school attendance</w:t>
      </w:r>
      <w:r>
        <w:t>].)</w:t>
      </w:r>
    </w:p>
  </w:footnote>
  <w:footnote w:id="13">
    <w:p w14:paraId="10E290FA" w14:textId="77777777" w:rsidR="005C234D" w:rsidRDefault="005C234D" w:rsidP="003A6903">
      <w:pPr>
        <w:pStyle w:val="FootnoteText"/>
      </w:pPr>
      <w:r>
        <w:rPr>
          <w:rStyle w:val="FootnoteReference"/>
        </w:rPr>
        <w:footnoteRef/>
      </w:r>
      <w:r>
        <w:t xml:space="preserve"> </w:t>
      </w:r>
      <w:r>
        <w:tab/>
        <w:t xml:space="preserve">We are aware that pending legislation would eliminate the juvenile court’s </w:t>
      </w:r>
      <w:proofErr w:type="gramStart"/>
      <w:r>
        <w:t>jurisdiction</w:t>
      </w:r>
      <w:proofErr w:type="gramEnd"/>
      <w:r>
        <w:t xml:space="preserve"> over minors on the basis of truancy by repealing and replacing Welfare and Institutions Code section 601.  (Assem. Bill No. 901 (2019–2020 Reg. Sess.) §§ 19, 20, as amended by Sen. Com. on Appropriations, Sept. 6, 2019.)</w:t>
      </w:r>
      <w:r>
        <w:tab/>
      </w:r>
    </w:p>
  </w:footnote>
  <w:footnote w:id="14">
    <w:p w14:paraId="5D2B149E" w14:textId="71182F85" w:rsidR="005C234D" w:rsidRPr="00C649BA" w:rsidRDefault="005C234D">
      <w:pPr>
        <w:pStyle w:val="FootnoteText"/>
      </w:pPr>
      <w:r>
        <w:rPr>
          <w:rStyle w:val="FootnoteReference"/>
        </w:rPr>
        <w:footnoteRef/>
      </w:r>
      <w:r>
        <w:t xml:space="preserve"> </w:t>
      </w:r>
      <w:r>
        <w:tab/>
      </w:r>
      <w:r w:rsidR="001317D8">
        <w:t>As referenced above, s</w:t>
      </w:r>
      <w:r w:rsidR="001317D8" w:rsidRPr="00426872">
        <w:t>ection</w:t>
      </w:r>
      <w:r w:rsidR="001317D8">
        <w:t xml:space="preserve"> 48262</w:t>
      </w:r>
      <w:r w:rsidR="001317D8" w:rsidRPr="00426872">
        <w:t xml:space="preserve"> </w:t>
      </w:r>
      <w:r w:rsidR="001317D8">
        <w:t>defines a</w:t>
      </w:r>
      <w:r w:rsidR="001317D8" w:rsidRPr="00426872">
        <w:t xml:space="preserve"> </w:t>
      </w:r>
      <w:r w:rsidR="001317D8">
        <w:t>“</w:t>
      </w:r>
      <w:r w:rsidR="001317D8" w:rsidRPr="00426872">
        <w:t>conscientious effort</w:t>
      </w:r>
      <w:r w:rsidR="001317D8">
        <w:t>” as</w:t>
      </w:r>
      <w:r w:rsidR="001317D8" w:rsidRPr="00426872">
        <w:t xml:space="preserve"> </w:t>
      </w:r>
      <w:r w:rsidR="001317D8">
        <w:t>“</w:t>
      </w:r>
      <w:r w:rsidR="001317D8" w:rsidRPr="00426872">
        <w:t>attempting to communicate with the parents of the pupil at least once using the most cost-effective method possible, which may include electronic mail or a telephone call.</w:t>
      </w:r>
      <w:r w:rsidR="001317D8">
        <w:t>”  (</w:t>
      </w:r>
      <w:r w:rsidR="001317D8" w:rsidRPr="006A23D2">
        <w:t xml:space="preserve">See </w:t>
      </w:r>
      <w:r w:rsidR="001317D8" w:rsidRPr="006A23D2">
        <w:rPr>
          <w:i/>
        </w:rPr>
        <w:t>ante</w:t>
      </w:r>
      <w:r w:rsidR="001317D8" w:rsidRPr="006A23D2">
        <w:t>, p. 3, fn. </w:t>
      </w:r>
      <w:r w:rsidR="001317D8">
        <w:t xml:space="preserve">4.)  </w:t>
      </w:r>
      <w:r>
        <w:t>W</w:t>
      </w:r>
      <w:r w:rsidRPr="00A86127">
        <w:t xml:space="preserve">e do not address whether the juvenile court may exercise </w:t>
      </w:r>
      <w:proofErr w:type="gramStart"/>
      <w:r w:rsidRPr="00A86127">
        <w:t>jurisdiction</w:t>
      </w:r>
      <w:proofErr w:type="gramEnd"/>
      <w:r w:rsidRPr="00A86127">
        <w:t xml:space="preserve"> over </w:t>
      </w:r>
      <w:r>
        <w:t>a minor</w:t>
      </w:r>
      <w:r w:rsidRPr="00A86127">
        <w:t xml:space="preserve"> when a school official has made a conscientious effort to communicate with the minor’s parents or </w:t>
      </w:r>
      <w:r w:rsidRPr="006A23D2">
        <w:t xml:space="preserve">guardians but has been unable to actually communicate with them.  (See </w:t>
      </w:r>
      <w:r w:rsidR="001C7487">
        <w:rPr>
          <w:i/>
        </w:rPr>
        <w:t>ibid</w:t>
      </w:r>
      <w:r w:rsidRPr="006A23D2">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6FFF8" w14:textId="18CA2D97" w:rsidR="005C234D" w:rsidRDefault="005C234D">
    <w:pPr>
      <w:pStyle w:val="Header"/>
    </w:pPr>
    <w:r>
      <w:t>In re A.N.</w:t>
    </w:r>
  </w:p>
  <w:p w14:paraId="24EDD295" w14:textId="6FFB274F" w:rsidR="005C234D" w:rsidRDefault="005C234D">
    <w:pPr>
      <w:pStyle w:val="Header"/>
    </w:pPr>
    <w:r>
      <w:t>Opinion of the Court by Chin, J.</w:t>
    </w:r>
  </w:p>
  <w:p w14:paraId="111FF10C" w14:textId="77777777" w:rsidR="005C234D" w:rsidRDefault="005C2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A9663" w14:textId="77777777" w:rsidR="00465AD3" w:rsidRDefault="00465AD3">
    <w:pPr>
      <w:pStyle w:val="Header"/>
    </w:pPr>
    <w:r>
      <w:t>In re A.N.</w:t>
    </w:r>
  </w:p>
  <w:p w14:paraId="4D0813A7" w14:textId="05785FDD" w:rsidR="00465AD3" w:rsidRDefault="00465AD3">
    <w:pPr>
      <w:pStyle w:val="Header"/>
    </w:pPr>
    <w:r>
      <w:t>Liu, J., concurring</w:t>
    </w:r>
  </w:p>
  <w:p w14:paraId="49E6D6A4" w14:textId="77777777" w:rsidR="00465AD3" w:rsidRDefault="00465A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C0BDB5" w14:textId="77777777" w:rsidR="00F00062" w:rsidRDefault="00F00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1BC10" w14:textId="77777777" w:rsidR="00930040" w:rsidRDefault="001E10D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EAE8D" w14:textId="77777777" w:rsidR="00930040" w:rsidRDefault="001E10D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D3ED5" w14:textId="77777777" w:rsidR="00930040" w:rsidRDefault="001E10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F7C9F"/>
    <w:multiLevelType w:val="hybridMultilevel"/>
    <w:tmpl w:val="F6CE00E0"/>
    <w:lvl w:ilvl="0" w:tplc="ED90698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2414D"/>
    <w:multiLevelType w:val="hybridMultilevel"/>
    <w:tmpl w:val="E2F6A3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216AD"/>
    <w:multiLevelType w:val="hybridMultilevel"/>
    <w:tmpl w:val="DB0E4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57481FA8"/>
    <w:multiLevelType w:val="hybridMultilevel"/>
    <w:tmpl w:val="DEDA13B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51D4978"/>
    <w:multiLevelType w:val="hybridMultilevel"/>
    <w:tmpl w:val="48C2CD32"/>
    <w:lvl w:ilvl="0" w:tplc="AE54653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removePersonalInformation/>
  <w:removeDateAndTime/>
  <w:printFractionalCharacterWidth/>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9B3"/>
    <w:rsid w:val="00000404"/>
    <w:rsid w:val="00000C22"/>
    <w:rsid w:val="000011EE"/>
    <w:rsid w:val="00003A31"/>
    <w:rsid w:val="0000416B"/>
    <w:rsid w:val="000044A0"/>
    <w:rsid w:val="000055BC"/>
    <w:rsid w:val="000104A0"/>
    <w:rsid w:val="00010A8C"/>
    <w:rsid w:val="000112CC"/>
    <w:rsid w:val="00011836"/>
    <w:rsid w:val="00012DBF"/>
    <w:rsid w:val="00012F7E"/>
    <w:rsid w:val="00016032"/>
    <w:rsid w:val="00017207"/>
    <w:rsid w:val="00017697"/>
    <w:rsid w:val="00017BAF"/>
    <w:rsid w:val="0002091F"/>
    <w:rsid w:val="000213F5"/>
    <w:rsid w:val="000222C9"/>
    <w:rsid w:val="00022794"/>
    <w:rsid w:val="00022929"/>
    <w:rsid w:val="00022ED1"/>
    <w:rsid w:val="00023584"/>
    <w:rsid w:val="000237F3"/>
    <w:rsid w:val="00025741"/>
    <w:rsid w:val="00026BF1"/>
    <w:rsid w:val="00027E5C"/>
    <w:rsid w:val="00030268"/>
    <w:rsid w:val="0003042C"/>
    <w:rsid w:val="000304F0"/>
    <w:rsid w:val="00030AB9"/>
    <w:rsid w:val="00030FDB"/>
    <w:rsid w:val="0003222F"/>
    <w:rsid w:val="00032A1E"/>
    <w:rsid w:val="00034C8C"/>
    <w:rsid w:val="000356B3"/>
    <w:rsid w:val="00035C7B"/>
    <w:rsid w:val="00036151"/>
    <w:rsid w:val="00036850"/>
    <w:rsid w:val="0003751F"/>
    <w:rsid w:val="00037704"/>
    <w:rsid w:val="00037B6C"/>
    <w:rsid w:val="00037DA1"/>
    <w:rsid w:val="0004279F"/>
    <w:rsid w:val="00042C47"/>
    <w:rsid w:val="00043B30"/>
    <w:rsid w:val="000461CA"/>
    <w:rsid w:val="00046355"/>
    <w:rsid w:val="00047339"/>
    <w:rsid w:val="000473EB"/>
    <w:rsid w:val="000478BB"/>
    <w:rsid w:val="00050FC7"/>
    <w:rsid w:val="00051904"/>
    <w:rsid w:val="000523BE"/>
    <w:rsid w:val="000531F9"/>
    <w:rsid w:val="000541AD"/>
    <w:rsid w:val="000544DE"/>
    <w:rsid w:val="00054891"/>
    <w:rsid w:val="00056C2A"/>
    <w:rsid w:val="00060116"/>
    <w:rsid w:val="00060734"/>
    <w:rsid w:val="00060911"/>
    <w:rsid w:val="00061B40"/>
    <w:rsid w:val="000629E8"/>
    <w:rsid w:val="0006363B"/>
    <w:rsid w:val="000640E1"/>
    <w:rsid w:val="000645A2"/>
    <w:rsid w:val="000648C8"/>
    <w:rsid w:val="00064C89"/>
    <w:rsid w:val="00067844"/>
    <w:rsid w:val="00071C9F"/>
    <w:rsid w:val="00072230"/>
    <w:rsid w:val="00072DA0"/>
    <w:rsid w:val="000745FE"/>
    <w:rsid w:val="000753F5"/>
    <w:rsid w:val="00075A0C"/>
    <w:rsid w:val="00075B0D"/>
    <w:rsid w:val="00076E3A"/>
    <w:rsid w:val="00077F5C"/>
    <w:rsid w:val="00080588"/>
    <w:rsid w:val="00080A2E"/>
    <w:rsid w:val="00080BAA"/>
    <w:rsid w:val="00080BBF"/>
    <w:rsid w:val="0008216A"/>
    <w:rsid w:val="000835CB"/>
    <w:rsid w:val="000836B0"/>
    <w:rsid w:val="00084F8A"/>
    <w:rsid w:val="00085913"/>
    <w:rsid w:val="00086301"/>
    <w:rsid w:val="00086439"/>
    <w:rsid w:val="00086A0C"/>
    <w:rsid w:val="0008741C"/>
    <w:rsid w:val="00087608"/>
    <w:rsid w:val="000905D8"/>
    <w:rsid w:val="0009066F"/>
    <w:rsid w:val="0009071A"/>
    <w:rsid w:val="00090997"/>
    <w:rsid w:val="00091076"/>
    <w:rsid w:val="00091FB7"/>
    <w:rsid w:val="0009290F"/>
    <w:rsid w:val="00093A9D"/>
    <w:rsid w:val="000951DB"/>
    <w:rsid w:val="0009607E"/>
    <w:rsid w:val="0009685A"/>
    <w:rsid w:val="00097D2E"/>
    <w:rsid w:val="000A03CD"/>
    <w:rsid w:val="000A0E89"/>
    <w:rsid w:val="000A2C2F"/>
    <w:rsid w:val="000B0ABB"/>
    <w:rsid w:val="000B0E0D"/>
    <w:rsid w:val="000B1073"/>
    <w:rsid w:val="000B1503"/>
    <w:rsid w:val="000B2309"/>
    <w:rsid w:val="000B2F69"/>
    <w:rsid w:val="000B356C"/>
    <w:rsid w:val="000B3AA6"/>
    <w:rsid w:val="000B4477"/>
    <w:rsid w:val="000B4EF4"/>
    <w:rsid w:val="000B5BE4"/>
    <w:rsid w:val="000B5F9B"/>
    <w:rsid w:val="000B6045"/>
    <w:rsid w:val="000B6541"/>
    <w:rsid w:val="000C30B2"/>
    <w:rsid w:val="000C36F6"/>
    <w:rsid w:val="000C3EF0"/>
    <w:rsid w:val="000C44A4"/>
    <w:rsid w:val="000C4657"/>
    <w:rsid w:val="000C702B"/>
    <w:rsid w:val="000C7232"/>
    <w:rsid w:val="000D0C4C"/>
    <w:rsid w:val="000D1DEF"/>
    <w:rsid w:val="000D356F"/>
    <w:rsid w:val="000D3C9E"/>
    <w:rsid w:val="000D3E75"/>
    <w:rsid w:val="000D4E7E"/>
    <w:rsid w:val="000D618B"/>
    <w:rsid w:val="000D7391"/>
    <w:rsid w:val="000E0410"/>
    <w:rsid w:val="000E0995"/>
    <w:rsid w:val="000E0ED0"/>
    <w:rsid w:val="000E1222"/>
    <w:rsid w:val="000E18C4"/>
    <w:rsid w:val="000E1B8B"/>
    <w:rsid w:val="000E1D56"/>
    <w:rsid w:val="000E20F1"/>
    <w:rsid w:val="000E241E"/>
    <w:rsid w:val="000E289C"/>
    <w:rsid w:val="000E2AC3"/>
    <w:rsid w:val="000E3B9F"/>
    <w:rsid w:val="000E3D75"/>
    <w:rsid w:val="000E5A47"/>
    <w:rsid w:val="000F00BF"/>
    <w:rsid w:val="000F0493"/>
    <w:rsid w:val="000F1175"/>
    <w:rsid w:val="000F1464"/>
    <w:rsid w:val="000F2121"/>
    <w:rsid w:val="000F35B4"/>
    <w:rsid w:val="000F39B1"/>
    <w:rsid w:val="000F3E26"/>
    <w:rsid w:val="000F421C"/>
    <w:rsid w:val="000F4A0E"/>
    <w:rsid w:val="000F549E"/>
    <w:rsid w:val="0010247E"/>
    <w:rsid w:val="00102A39"/>
    <w:rsid w:val="00102E28"/>
    <w:rsid w:val="00102F7C"/>
    <w:rsid w:val="00103871"/>
    <w:rsid w:val="00103DAD"/>
    <w:rsid w:val="00103E36"/>
    <w:rsid w:val="00103F11"/>
    <w:rsid w:val="0010462C"/>
    <w:rsid w:val="00104D54"/>
    <w:rsid w:val="00105E58"/>
    <w:rsid w:val="0010649C"/>
    <w:rsid w:val="00107181"/>
    <w:rsid w:val="001078DA"/>
    <w:rsid w:val="00107CFD"/>
    <w:rsid w:val="0011073E"/>
    <w:rsid w:val="0011155C"/>
    <w:rsid w:val="00111EBA"/>
    <w:rsid w:val="001125C2"/>
    <w:rsid w:val="00112672"/>
    <w:rsid w:val="00113475"/>
    <w:rsid w:val="00114B3B"/>
    <w:rsid w:val="00114E5D"/>
    <w:rsid w:val="00116984"/>
    <w:rsid w:val="00117262"/>
    <w:rsid w:val="0011749E"/>
    <w:rsid w:val="00120A42"/>
    <w:rsid w:val="001217D7"/>
    <w:rsid w:val="00122CA8"/>
    <w:rsid w:val="00122CDA"/>
    <w:rsid w:val="00122EF5"/>
    <w:rsid w:val="00123D1E"/>
    <w:rsid w:val="001241DA"/>
    <w:rsid w:val="00127467"/>
    <w:rsid w:val="00127BED"/>
    <w:rsid w:val="0013023B"/>
    <w:rsid w:val="001314E2"/>
    <w:rsid w:val="001317D8"/>
    <w:rsid w:val="001318C0"/>
    <w:rsid w:val="00131D41"/>
    <w:rsid w:val="001321A7"/>
    <w:rsid w:val="001327A5"/>
    <w:rsid w:val="00132CB6"/>
    <w:rsid w:val="0013303C"/>
    <w:rsid w:val="00133785"/>
    <w:rsid w:val="001337F2"/>
    <w:rsid w:val="00135B17"/>
    <w:rsid w:val="00136A6F"/>
    <w:rsid w:val="0013700D"/>
    <w:rsid w:val="00137992"/>
    <w:rsid w:val="00137E39"/>
    <w:rsid w:val="001404A5"/>
    <w:rsid w:val="001411EA"/>
    <w:rsid w:val="001421A2"/>
    <w:rsid w:val="00143360"/>
    <w:rsid w:val="00144AC1"/>
    <w:rsid w:val="00144D85"/>
    <w:rsid w:val="00145F5C"/>
    <w:rsid w:val="0014613C"/>
    <w:rsid w:val="0014733B"/>
    <w:rsid w:val="001478D3"/>
    <w:rsid w:val="001479B8"/>
    <w:rsid w:val="00147BE2"/>
    <w:rsid w:val="001500E3"/>
    <w:rsid w:val="001507D0"/>
    <w:rsid w:val="00150A41"/>
    <w:rsid w:val="0015149E"/>
    <w:rsid w:val="00153455"/>
    <w:rsid w:val="00153EF5"/>
    <w:rsid w:val="0015438B"/>
    <w:rsid w:val="00154472"/>
    <w:rsid w:val="00154762"/>
    <w:rsid w:val="0015556E"/>
    <w:rsid w:val="00156400"/>
    <w:rsid w:val="00156D4A"/>
    <w:rsid w:val="0016068A"/>
    <w:rsid w:val="001608F4"/>
    <w:rsid w:val="00160EEA"/>
    <w:rsid w:val="001612EE"/>
    <w:rsid w:val="00161827"/>
    <w:rsid w:val="00161C40"/>
    <w:rsid w:val="0016207D"/>
    <w:rsid w:val="00162802"/>
    <w:rsid w:val="001631A0"/>
    <w:rsid w:val="001631DE"/>
    <w:rsid w:val="00164359"/>
    <w:rsid w:val="00165B81"/>
    <w:rsid w:val="00165EA7"/>
    <w:rsid w:val="00167B16"/>
    <w:rsid w:val="00167C5F"/>
    <w:rsid w:val="00171C76"/>
    <w:rsid w:val="00172071"/>
    <w:rsid w:val="00173361"/>
    <w:rsid w:val="001749F4"/>
    <w:rsid w:val="00174DE5"/>
    <w:rsid w:val="0017561C"/>
    <w:rsid w:val="00177748"/>
    <w:rsid w:val="00177BF4"/>
    <w:rsid w:val="00180503"/>
    <w:rsid w:val="00180F3B"/>
    <w:rsid w:val="0018102C"/>
    <w:rsid w:val="00181138"/>
    <w:rsid w:val="00183320"/>
    <w:rsid w:val="001879C5"/>
    <w:rsid w:val="001927A4"/>
    <w:rsid w:val="001928C1"/>
    <w:rsid w:val="00192935"/>
    <w:rsid w:val="00192998"/>
    <w:rsid w:val="00193189"/>
    <w:rsid w:val="00194065"/>
    <w:rsid w:val="00194474"/>
    <w:rsid w:val="00194E68"/>
    <w:rsid w:val="00195038"/>
    <w:rsid w:val="0019579E"/>
    <w:rsid w:val="001A1312"/>
    <w:rsid w:val="001A2002"/>
    <w:rsid w:val="001A30D8"/>
    <w:rsid w:val="001A3BAB"/>
    <w:rsid w:val="001A58D3"/>
    <w:rsid w:val="001A5F6E"/>
    <w:rsid w:val="001A70F2"/>
    <w:rsid w:val="001A77FD"/>
    <w:rsid w:val="001B0CF2"/>
    <w:rsid w:val="001B0F29"/>
    <w:rsid w:val="001B169D"/>
    <w:rsid w:val="001B196C"/>
    <w:rsid w:val="001B3AA4"/>
    <w:rsid w:val="001B4305"/>
    <w:rsid w:val="001B5649"/>
    <w:rsid w:val="001B58FC"/>
    <w:rsid w:val="001B79A4"/>
    <w:rsid w:val="001C0CF8"/>
    <w:rsid w:val="001C1F0D"/>
    <w:rsid w:val="001C223A"/>
    <w:rsid w:val="001C2A97"/>
    <w:rsid w:val="001C38D0"/>
    <w:rsid w:val="001C3A77"/>
    <w:rsid w:val="001C5763"/>
    <w:rsid w:val="001C60A6"/>
    <w:rsid w:val="001C6B80"/>
    <w:rsid w:val="001C7487"/>
    <w:rsid w:val="001D04B1"/>
    <w:rsid w:val="001D04F8"/>
    <w:rsid w:val="001D08ED"/>
    <w:rsid w:val="001D0DC2"/>
    <w:rsid w:val="001D154F"/>
    <w:rsid w:val="001D2772"/>
    <w:rsid w:val="001D32A8"/>
    <w:rsid w:val="001D32B5"/>
    <w:rsid w:val="001D3B9C"/>
    <w:rsid w:val="001D41CC"/>
    <w:rsid w:val="001D4200"/>
    <w:rsid w:val="001D47C0"/>
    <w:rsid w:val="001D569F"/>
    <w:rsid w:val="001D7A97"/>
    <w:rsid w:val="001D7F77"/>
    <w:rsid w:val="001E010B"/>
    <w:rsid w:val="001E2A77"/>
    <w:rsid w:val="001E2FCB"/>
    <w:rsid w:val="001E3596"/>
    <w:rsid w:val="001E4718"/>
    <w:rsid w:val="001E4796"/>
    <w:rsid w:val="001E6637"/>
    <w:rsid w:val="001E7EC6"/>
    <w:rsid w:val="001F1219"/>
    <w:rsid w:val="001F1A1B"/>
    <w:rsid w:val="001F3872"/>
    <w:rsid w:val="001F389A"/>
    <w:rsid w:val="001F48F1"/>
    <w:rsid w:val="001F4A98"/>
    <w:rsid w:val="001F669A"/>
    <w:rsid w:val="001F6DF2"/>
    <w:rsid w:val="001F6F07"/>
    <w:rsid w:val="001F74BE"/>
    <w:rsid w:val="00200438"/>
    <w:rsid w:val="002006AD"/>
    <w:rsid w:val="002013A2"/>
    <w:rsid w:val="0020161B"/>
    <w:rsid w:val="002020FE"/>
    <w:rsid w:val="00202EF9"/>
    <w:rsid w:val="0020360D"/>
    <w:rsid w:val="002046CD"/>
    <w:rsid w:val="00204B24"/>
    <w:rsid w:val="00204EB8"/>
    <w:rsid w:val="00205325"/>
    <w:rsid w:val="00206094"/>
    <w:rsid w:val="002073EB"/>
    <w:rsid w:val="0020798F"/>
    <w:rsid w:val="00207F5A"/>
    <w:rsid w:val="002103BC"/>
    <w:rsid w:val="002111A6"/>
    <w:rsid w:val="00211814"/>
    <w:rsid w:val="00211A2C"/>
    <w:rsid w:val="00212276"/>
    <w:rsid w:val="002124B5"/>
    <w:rsid w:val="00212E4C"/>
    <w:rsid w:val="00214044"/>
    <w:rsid w:val="00214057"/>
    <w:rsid w:val="002159CA"/>
    <w:rsid w:val="00215C14"/>
    <w:rsid w:val="002205E0"/>
    <w:rsid w:val="002212EA"/>
    <w:rsid w:val="002222A4"/>
    <w:rsid w:val="0022274E"/>
    <w:rsid w:val="002233A7"/>
    <w:rsid w:val="00224341"/>
    <w:rsid w:val="00224ED7"/>
    <w:rsid w:val="002255D5"/>
    <w:rsid w:val="0022632A"/>
    <w:rsid w:val="00227128"/>
    <w:rsid w:val="0022735D"/>
    <w:rsid w:val="00227CB2"/>
    <w:rsid w:val="002308FC"/>
    <w:rsid w:val="00230D7E"/>
    <w:rsid w:val="002314D1"/>
    <w:rsid w:val="002330BE"/>
    <w:rsid w:val="002330FC"/>
    <w:rsid w:val="002351D7"/>
    <w:rsid w:val="00235717"/>
    <w:rsid w:val="002358BB"/>
    <w:rsid w:val="002359FC"/>
    <w:rsid w:val="00235D2B"/>
    <w:rsid w:val="0023654A"/>
    <w:rsid w:val="002368A2"/>
    <w:rsid w:val="002368F5"/>
    <w:rsid w:val="00236F63"/>
    <w:rsid w:val="00237711"/>
    <w:rsid w:val="00237DC7"/>
    <w:rsid w:val="00240F2A"/>
    <w:rsid w:val="00241346"/>
    <w:rsid w:val="00241516"/>
    <w:rsid w:val="00243102"/>
    <w:rsid w:val="0024391F"/>
    <w:rsid w:val="00243AF0"/>
    <w:rsid w:val="0024418C"/>
    <w:rsid w:val="00244801"/>
    <w:rsid w:val="00244FD8"/>
    <w:rsid w:val="00245C7E"/>
    <w:rsid w:val="002463D3"/>
    <w:rsid w:val="00246985"/>
    <w:rsid w:val="002470F7"/>
    <w:rsid w:val="00247CB7"/>
    <w:rsid w:val="0025113C"/>
    <w:rsid w:val="0025134C"/>
    <w:rsid w:val="002519F0"/>
    <w:rsid w:val="00253745"/>
    <w:rsid w:val="002549E4"/>
    <w:rsid w:val="00254E30"/>
    <w:rsid w:val="00255011"/>
    <w:rsid w:val="00255E2D"/>
    <w:rsid w:val="00257675"/>
    <w:rsid w:val="0025783F"/>
    <w:rsid w:val="00262F23"/>
    <w:rsid w:val="00263429"/>
    <w:rsid w:val="00264C1F"/>
    <w:rsid w:val="00264ED6"/>
    <w:rsid w:val="00265456"/>
    <w:rsid w:val="00266247"/>
    <w:rsid w:val="00266C6D"/>
    <w:rsid w:val="00266DF6"/>
    <w:rsid w:val="002679DD"/>
    <w:rsid w:val="00270BB9"/>
    <w:rsid w:val="00270F88"/>
    <w:rsid w:val="00271CEA"/>
    <w:rsid w:val="00272F61"/>
    <w:rsid w:val="00272FE6"/>
    <w:rsid w:val="00273271"/>
    <w:rsid w:val="00273483"/>
    <w:rsid w:val="002737DC"/>
    <w:rsid w:val="0027651D"/>
    <w:rsid w:val="00276704"/>
    <w:rsid w:val="00277248"/>
    <w:rsid w:val="00280F1A"/>
    <w:rsid w:val="00280FFB"/>
    <w:rsid w:val="00281484"/>
    <w:rsid w:val="00282AF9"/>
    <w:rsid w:val="00282E2C"/>
    <w:rsid w:val="00283B4C"/>
    <w:rsid w:val="0028428D"/>
    <w:rsid w:val="00285168"/>
    <w:rsid w:val="00286793"/>
    <w:rsid w:val="002901C9"/>
    <w:rsid w:val="0029147B"/>
    <w:rsid w:val="0029236A"/>
    <w:rsid w:val="00293E32"/>
    <w:rsid w:val="00293EAA"/>
    <w:rsid w:val="00294453"/>
    <w:rsid w:val="002946C7"/>
    <w:rsid w:val="00294FCD"/>
    <w:rsid w:val="00295419"/>
    <w:rsid w:val="00295A3D"/>
    <w:rsid w:val="00295D7E"/>
    <w:rsid w:val="002961F4"/>
    <w:rsid w:val="00296A98"/>
    <w:rsid w:val="00297192"/>
    <w:rsid w:val="00297401"/>
    <w:rsid w:val="00297724"/>
    <w:rsid w:val="002979C8"/>
    <w:rsid w:val="00297AC4"/>
    <w:rsid w:val="002A1437"/>
    <w:rsid w:val="002A2D5C"/>
    <w:rsid w:val="002A497B"/>
    <w:rsid w:val="002A506F"/>
    <w:rsid w:val="002A516D"/>
    <w:rsid w:val="002A68B3"/>
    <w:rsid w:val="002A6F2F"/>
    <w:rsid w:val="002A7493"/>
    <w:rsid w:val="002A7AC5"/>
    <w:rsid w:val="002B1588"/>
    <w:rsid w:val="002B23F3"/>
    <w:rsid w:val="002B2B69"/>
    <w:rsid w:val="002B338B"/>
    <w:rsid w:val="002B437A"/>
    <w:rsid w:val="002B4562"/>
    <w:rsid w:val="002B727B"/>
    <w:rsid w:val="002C0170"/>
    <w:rsid w:val="002C0E6F"/>
    <w:rsid w:val="002C3F0C"/>
    <w:rsid w:val="002C5D2E"/>
    <w:rsid w:val="002C62CA"/>
    <w:rsid w:val="002C7974"/>
    <w:rsid w:val="002C7DE8"/>
    <w:rsid w:val="002D0244"/>
    <w:rsid w:val="002D0985"/>
    <w:rsid w:val="002D1F94"/>
    <w:rsid w:val="002D3A77"/>
    <w:rsid w:val="002D3EAC"/>
    <w:rsid w:val="002D4999"/>
    <w:rsid w:val="002D56B5"/>
    <w:rsid w:val="002D729C"/>
    <w:rsid w:val="002E052A"/>
    <w:rsid w:val="002E0576"/>
    <w:rsid w:val="002E0671"/>
    <w:rsid w:val="002E5B42"/>
    <w:rsid w:val="002E6674"/>
    <w:rsid w:val="002F10C9"/>
    <w:rsid w:val="002F121A"/>
    <w:rsid w:val="002F3008"/>
    <w:rsid w:val="002F30E8"/>
    <w:rsid w:val="002F3954"/>
    <w:rsid w:val="002F3A0F"/>
    <w:rsid w:val="002F43D1"/>
    <w:rsid w:val="003000E8"/>
    <w:rsid w:val="00302146"/>
    <w:rsid w:val="0030309D"/>
    <w:rsid w:val="003032E8"/>
    <w:rsid w:val="00303CA2"/>
    <w:rsid w:val="00306151"/>
    <w:rsid w:val="00307C58"/>
    <w:rsid w:val="003104B5"/>
    <w:rsid w:val="003117E2"/>
    <w:rsid w:val="003119AD"/>
    <w:rsid w:val="00311A74"/>
    <w:rsid w:val="00314ACA"/>
    <w:rsid w:val="00314C93"/>
    <w:rsid w:val="0031616E"/>
    <w:rsid w:val="00320C8B"/>
    <w:rsid w:val="003214A8"/>
    <w:rsid w:val="0032240B"/>
    <w:rsid w:val="003258AD"/>
    <w:rsid w:val="0032621D"/>
    <w:rsid w:val="003266E5"/>
    <w:rsid w:val="00327335"/>
    <w:rsid w:val="003305D1"/>
    <w:rsid w:val="003307D6"/>
    <w:rsid w:val="003321C1"/>
    <w:rsid w:val="003323AA"/>
    <w:rsid w:val="003328BE"/>
    <w:rsid w:val="003330EC"/>
    <w:rsid w:val="00334721"/>
    <w:rsid w:val="00335462"/>
    <w:rsid w:val="00336647"/>
    <w:rsid w:val="0034084E"/>
    <w:rsid w:val="00342223"/>
    <w:rsid w:val="00342FD9"/>
    <w:rsid w:val="00344EB9"/>
    <w:rsid w:val="003450D8"/>
    <w:rsid w:val="00346227"/>
    <w:rsid w:val="00346376"/>
    <w:rsid w:val="00347099"/>
    <w:rsid w:val="0034749E"/>
    <w:rsid w:val="00347512"/>
    <w:rsid w:val="00347F20"/>
    <w:rsid w:val="00350D6A"/>
    <w:rsid w:val="003513FD"/>
    <w:rsid w:val="003539C9"/>
    <w:rsid w:val="00355263"/>
    <w:rsid w:val="00356B7D"/>
    <w:rsid w:val="00357FDC"/>
    <w:rsid w:val="00360018"/>
    <w:rsid w:val="00360076"/>
    <w:rsid w:val="00361FB5"/>
    <w:rsid w:val="00363C07"/>
    <w:rsid w:val="00366036"/>
    <w:rsid w:val="00366337"/>
    <w:rsid w:val="00366AD6"/>
    <w:rsid w:val="00371133"/>
    <w:rsid w:val="00371B29"/>
    <w:rsid w:val="00373E5D"/>
    <w:rsid w:val="003743FA"/>
    <w:rsid w:val="00374714"/>
    <w:rsid w:val="003752D4"/>
    <w:rsid w:val="00376B3D"/>
    <w:rsid w:val="0037735E"/>
    <w:rsid w:val="003774A3"/>
    <w:rsid w:val="00380825"/>
    <w:rsid w:val="00381513"/>
    <w:rsid w:val="00381837"/>
    <w:rsid w:val="00381DC9"/>
    <w:rsid w:val="00382593"/>
    <w:rsid w:val="00382F42"/>
    <w:rsid w:val="0038323A"/>
    <w:rsid w:val="00383FBD"/>
    <w:rsid w:val="00384C7C"/>
    <w:rsid w:val="00384DB1"/>
    <w:rsid w:val="00387589"/>
    <w:rsid w:val="0039126F"/>
    <w:rsid w:val="0039161C"/>
    <w:rsid w:val="0039193C"/>
    <w:rsid w:val="00395448"/>
    <w:rsid w:val="00396881"/>
    <w:rsid w:val="003A09B4"/>
    <w:rsid w:val="003A0E09"/>
    <w:rsid w:val="003A276C"/>
    <w:rsid w:val="003A287C"/>
    <w:rsid w:val="003A34D9"/>
    <w:rsid w:val="003A4B32"/>
    <w:rsid w:val="003A6097"/>
    <w:rsid w:val="003A63AE"/>
    <w:rsid w:val="003A6903"/>
    <w:rsid w:val="003A6C2F"/>
    <w:rsid w:val="003A7979"/>
    <w:rsid w:val="003A7ABD"/>
    <w:rsid w:val="003B2DA0"/>
    <w:rsid w:val="003B2F45"/>
    <w:rsid w:val="003B35D8"/>
    <w:rsid w:val="003B619E"/>
    <w:rsid w:val="003C06F2"/>
    <w:rsid w:val="003C079D"/>
    <w:rsid w:val="003C1748"/>
    <w:rsid w:val="003C257E"/>
    <w:rsid w:val="003C4320"/>
    <w:rsid w:val="003C4CEE"/>
    <w:rsid w:val="003C4D76"/>
    <w:rsid w:val="003C57E6"/>
    <w:rsid w:val="003C6413"/>
    <w:rsid w:val="003D11E4"/>
    <w:rsid w:val="003D1453"/>
    <w:rsid w:val="003D166C"/>
    <w:rsid w:val="003D22B2"/>
    <w:rsid w:val="003D3355"/>
    <w:rsid w:val="003D3FFB"/>
    <w:rsid w:val="003D4BC4"/>
    <w:rsid w:val="003D5EC6"/>
    <w:rsid w:val="003D6219"/>
    <w:rsid w:val="003D718A"/>
    <w:rsid w:val="003D7E25"/>
    <w:rsid w:val="003E0E50"/>
    <w:rsid w:val="003E1D91"/>
    <w:rsid w:val="003E2E1D"/>
    <w:rsid w:val="003E3EEE"/>
    <w:rsid w:val="003E41B8"/>
    <w:rsid w:val="003E4834"/>
    <w:rsid w:val="003E4996"/>
    <w:rsid w:val="003E4D30"/>
    <w:rsid w:val="003E5283"/>
    <w:rsid w:val="003E5798"/>
    <w:rsid w:val="003E5FFB"/>
    <w:rsid w:val="003E6194"/>
    <w:rsid w:val="003E6690"/>
    <w:rsid w:val="003E68FF"/>
    <w:rsid w:val="003E6AB3"/>
    <w:rsid w:val="003E6E7A"/>
    <w:rsid w:val="003E6EEC"/>
    <w:rsid w:val="003E7BD5"/>
    <w:rsid w:val="003E7E4E"/>
    <w:rsid w:val="003E7FBD"/>
    <w:rsid w:val="003F055C"/>
    <w:rsid w:val="003F094A"/>
    <w:rsid w:val="003F1AAF"/>
    <w:rsid w:val="003F1B49"/>
    <w:rsid w:val="003F28A0"/>
    <w:rsid w:val="003F30ED"/>
    <w:rsid w:val="003F325C"/>
    <w:rsid w:val="003F4250"/>
    <w:rsid w:val="003F47AD"/>
    <w:rsid w:val="003F577C"/>
    <w:rsid w:val="003F66E9"/>
    <w:rsid w:val="003F6B60"/>
    <w:rsid w:val="003F7D3B"/>
    <w:rsid w:val="003F7D5D"/>
    <w:rsid w:val="004011D8"/>
    <w:rsid w:val="004015F9"/>
    <w:rsid w:val="00401AE4"/>
    <w:rsid w:val="00403395"/>
    <w:rsid w:val="0040356A"/>
    <w:rsid w:val="004046BE"/>
    <w:rsid w:val="00405290"/>
    <w:rsid w:val="00405D63"/>
    <w:rsid w:val="00406552"/>
    <w:rsid w:val="0041203F"/>
    <w:rsid w:val="004121B8"/>
    <w:rsid w:val="0041271D"/>
    <w:rsid w:val="00412CB6"/>
    <w:rsid w:val="004139E8"/>
    <w:rsid w:val="00415E50"/>
    <w:rsid w:val="004162B2"/>
    <w:rsid w:val="00420467"/>
    <w:rsid w:val="00422E13"/>
    <w:rsid w:val="0042368F"/>
    <w:rsid w:val="004244C7"/>
    <w:rsid w:val="00425549"/>
    <w:rsid w:val="00425870"/>
    <w:rsid w:val="00425AC3"/>
    <w:rsid w:val="00426872"/>
    <w:rsid w:val="00426A21"/>
    <w:rsid w:val="00427C71"/>
    <w:rsid w:val="00431289"/>
    <w:rsid w:val="00431920"/>
    <w:rsid w:val="00431E43"/>
    <w:rsid w:val="00432C61"/>
    <w:rsid w:val="00433C00"/>
    <w:rsid w:val="00434954"/>
    <w:rsid w:val="004349A6"/>
    <w:rsid w:val="0043549B"/>
    <w:rsid w:val="0043606B"/>
    <w:rsid w:val="00436073"/>
    <w:rsid w:val="0043724B"/>
    <w:rsid w:val="00437D74"/>
    <w:rsid w:val="00437F4C"/>
    <w:rsid w:val="004413F3"/>
    <w:rsid w:val="004428E2"/>
    <w:rsid w:val="004453F7"/>
    <w:rsid w:val="00445566"/>
    <w:rsid w:val="004462CC"/>
    <w:rsid w:val="004464E9"/>
    <w:rsid w:val="004469A2"/>
    <w:rsid w:val="00447751"/>
    <w:rsid w:val="004477D7"/>
    <w:rsid w:val="004509B3"/>
    <w:rsid w:val="00450D4B"/>
    <w:rsid w:val="00451D18"/>
    <w:rsid w:val="00453B0C"/>
    <w:rsid w:val="00454C07"/>
    <w:rsid w:val="00455904"/>
    <w:rsid w:val="004561A7"/>
    <w:rsid w:val="004601DE"/>
    <w:rsid w:val="00460B5E"/>
    <w:rsid w:val="00460EBB"/>
    <w:rsid w:val="004614AB"/>
    <w:rsid w:val="004634A4"/>
    <w:rsid w:val="0046360D"/>
    <w:rsid w:val="00463750"/>
    <w:rsid w:val="00463E2C"/>
    <w:rsid w:val="0046455E"/>
    <w:rsid w:val="00464C5A"/>
    <w:rsid w:val="00465AD3"/>
    <w:rsid w:val="00465FE8"/>
    <w:rsid w:val="00466953"/>
    <w:rsid w:val="00466ACD"/>
    <w:rsid w:val="00470515"/>
    <w:rsid w:val="004708B7"/>
    <w:rsid w:val="00470A49"/>
    <w:rsid w:val="00471AA3"/>
    <w:rsid w:val="00473B68"/>
    <w:rsid w:val="004768DC"/>
    <w:rsid w:val="00476A48"/>
    <w:rsid w:val="0047738F"/>
    <w:rsid w:val="00477700"/>
    <w:rsid w:val="00480D39"/>
    <w:rsid w:val="00481776"/>
    <w:rsid w:val="00482799"/>
    <w:rsid w:val="00482812"/>
    <w:rsid w:val="00483ECF"/>
    <w:rsid w:val="00484529"/>
    <w:rsid w:val="00484E40"/>
    <w:rsid w:val="00485C99"/>
    <w:rsid w:val="0048606F"/>
    <w:rsid w:val="00486206"/>
    <w:rsid w:val="00486619"/>
    <w:rsid w:val="00486B6B"/>
    <w:rsid w:val="00487541"/>
    <w:rsid w:val="0049028C"/>
    <w:rsid w:val="0049045C"/>
    <w:rsid w:val="00490BC0"/>
    <w:rsid w:val="00491135"/>
    <w:rsid w:val="00491405"/>
    <w:rsid w:val="004916CF"/>
    <w:rsid w:val="004918F6"/>
    <w:rsid w:val="00492A04"/>
    <w:rsid w:val="00493FE3"/>
    <w:rsid w:val="004945A1"/>
    <w:rsid w:val="00494D13"/>
    <w:rsid w:val="004A0353"/>
    <w:rsid w:val="004A18B1"/>
    <w:rsid w:val="004A29B1"/>
    <w:rsid w:val="004A3100"/>
    <w:rsid w:val="004A3DD2"/>
    <w:rsid w:val="004A5D3D"/>
    <w:rsid w:val="004B0861"/>
    <w:rsid w:val="004B0AF8"/>
    <w:rsid w:val="004B0C25"/>
    <w:rsid w:val="004B0E34"/>
    <w:rsid w:val="004B166E"/>
    <w:rsid w:val="004B3895"/>
    <w:rsid w:val="004B3A17"/>
    <w:rsid w:val="004C0838"/>
    <w:rsid w:val="004C185A"/>
    <w:rsid w:val="004C2589"/>
    <w:rsid w:val="004C34DD"/>
    <w:rsid w:val="004C3F1A"/>
    <w:rsid w:val="004C4629"/>
    <w:rsid w:val="004C4C9F"/>
    <w:rsid w:val="004C55DC"/>
    <w:rsid w:val="004C5B8D"/>
    <w:rsid w:val="004C5CD4"/>
    <w:rsid w:val="004C60E3"/>
    <w:rsid w:val="004C653D"/>
    <w:rsid w:val="004C6937"/>
    <w:rsid w:val="004D0329"/>
    <w:rsid w:val="004D0F04"/>
    <w:rsid w:val="004D0F18"/>
    <w:rsid w:val="004D232B"/>
    <w:rsid w:val="004D3180"/>
    <w:rsid w:val="004D35D9"/>
    <w:rsid w:val="004D3BAE"/>
    <w:rsid w:val="004D4A2C"/>
    <w:rsid w:val="004D6B9C"/>
    <w:rsid w:val="004D7100"/>
    <w:rsid w:val="004D75CC"/>
    <w:rsid w:val="004D7920"/>
    <w:rsid w:val="004D7975"/>
    <w:rsid w:val="004D7AAC"/>
    <w:rsid w:val="004E03CF"/>
    <w:rsid w:val="004E068D"/>
    <w:rsid w:val="004E2377"/>
    <w:rsid w:val="004E263E"/>
    <w:rsid w:val="004E2D26"/>
    <w:rsid w:val="004E2E8D"/>
    <w:rsid w:val="004E6EB7"/>
    <w:rsid w:val="004E78A2"/>
    <w:rsid w:val="004F5029"/>
    <w:rsid w:val="004F6147"/>
    <w:rsid w:val="004F673F"/>
    <w:rsid w:val="004F67A7"/>
    <w:rsid w:val="004F76AC"/>
    <w:rsid w:val="00500216"/>
    <w:rsid w:val="00501A02"/>
    <w:rsid w:val="005023C3"/>
    <w:rsid w:val="005025DD"/>
    <w:rsid w:val="0050290E"/>
    <w:rsid w:val="00502BBB"/>
    <w:rsid w:val="005032C2"/>
    <w:rsid w:val="0050360F"/>
    <w:rsid w:val="005039A0"/>
    <w:rsid w:val="00506027"/>
    <w:rsid w:val="0051075D"/>
    <w:rsid w:val="0051082B"/>
    <w:rsid w:val="00511E53"/>
    <w:rsid w:val="00511F59"/>
    <w:rsid w:val="00512309"/>
    <w:rsid w:val="00512B34"/>
    <w:rsid w:val="00512BE2"/>
    <w:rsid w:val="00513388"/>
    <w:rsid w:val="00513CF3"/>
    <w:rsid w:val="00514933"/>
    <w:rsid w:val="005149C0"/>
    <w:rsid w:val="0051534F"/>
    <w:rsid w:val="00517309"/>
    <w:rsid w:val="00517720"/>
    <w:rsid w:val="00520ACA"/>
    <w:rsid w:val="00520AE5"/>
    <w:rsid w:val="00520E6B"/>
    <w:rsid w:val="00521332"/>
    <w:rsid w:val="00522F2D"/>
    <w:rsid w:val="00523355"/>
    <w:rsid w:val="005238E7"/>
    <w:rsid w:val="00523E68"/>
    <w:rsid w:val="005244E2"/>
    <w:rsid w:val="00524B9E"/>
    <w:rsid w:val="00524FE2"/>
    <w:rsid w:val="00525DD9"/>
    <w:rsid w:val="0052689E"/>
    <w:rsid w:val="00530DBD"/>
    <w:rsid w:val="00532C07"/>
    <w:rsid w:val="00533187"/>
    <w:rsid w:val="0053446E"/>
    <w:rsid w:val="00535A9D"/>
    <w:rsid w:val="005361B3"/>
    <w:rsid w:val="00536A1E"/>
    <w:rsid w:val="00536F5C"/>
    <w:rsid w:val="005371D7"/>
    <w:rsid w:val="0054078D"/>
    <w:rsid w:val="00540804"/>
    <w:rsid w:val="00541EC0"/>
    <w:rsid w:val="005441F9"/>
    <w:rsid w:val="0054448D"/>
    <w:rsid w:val="005447B1"/>
    <w:rsid w:val="00544B3D"/>
    <w:rsid w:val="00544E29"/>
    <w:rsid w:val="00544FC9"/>
    <w:rsid w:val="00546458"/>
    <w:rsid w:val="005472E1"/>
    <w:rsid w:val="00547AFC"/>
    <w:rsid w:val="00547FD6"/>
    <w:rsid w:val="0055081B"/>
    <w:rsid w:val="00551EC9"/>
    <w:rsid w:val="00552E4E"/>
    <w:rsid w:val="00554DFF"/>
    <w:rsid w:val="005553CF"/>
    <w:rsid w:val="00555B49"/>
    <w:rsid w:val="00556EEE"/>
    <w:rsid w:val="0055708F"/>
    <w:rsid w:val="00557B81"/>
    <w:rsid w:val="005600B7"/>
    <w:rsid w:val="00560DC9"/>
    <w:rsid w:val="00560ED0"/>
    <w:rsid w:val="005619B8"/>
    <w:rsid w:val="005635C7"/>
    <w:rsid w:val="00563CFD"/>
    <w:rsid w:val="0056539A"/>
    <w:rsid w:val="00565966"/>
    <w:rsid w:val="00565C6B"/>
    <w:rsid w:val="00566C28"/>
    <w:rsid w:val="005704F0"/>
    <w:rsid w:val="005714E2"/>
    <w:rsid w:val="0057231C"/>
    <w:rsid w:val="005739C2"/>
    <w:rsid w:val="00573B31"/>
    <w:rsid w:val="00574561"/>
    <w:rsid w:val="00580E67"/>
    <w:rsid w:val="00583C34"/>
    <w:rsid w:val="00584138"/>
    <w:rsid w:val="00584FAA"/>
    <w:rsid w:val="00585C68"/>
    <w:rsid w:val="005865DA"/>
    <w:rsid w:val="00586A88"/>
    <w:rsid w:val="00586C62"/>
    <w:rsid w:val="00587332"/>
    <w:rsid w:val="005875ED"/>
    <w:rsid w:val="00587E85"/>
    <w:rsid w:val="005906CD"/>
    <w:rsid w:val="00591CB1"/>
    <w:rsid w:val="00594C9C"/>
    <w:rsid w:val="00594D61"/>
    <w:rsid w:val="00597189"/>
    <w:rsid w:val="005972BC"/>
    <w:rsid w:val="005973A8"/>
    <w:rsid w:val="005A0698"/>
    <w:rsid w:val="005A0B06"/>
    <w:rsid w:val="005A0D23"/>
    <w:rsid w:val="005A1C08"/>
    <w:rsid w:val="005A2C92"/>
    <w:rsid w:val="005A352B"/>
    <w:rsid w:val="005A3775"/>
    <w:rsid w:val="005A410E"/>
    <w:rsid w:val="005A484F"/>
    <w:rsid w:val="005A4A28"/>
    <w:rsid w:val="005A6639"/>
    <w:rsid w:val="005A6A5B"/>
    <w:rsid w:val="005A707E"/>
    <w:rsid w:val="005A7DFB"/>
    <w:rsid w:val="005A7F36"/>
    <w:rsid w:val="005B00DC"/>
    <w:rsid w:val="005B1072"/>
    <w:rsid w:val="005B2D87"/>
    <w:rsid w:val="005B352C"/>
    <w:rsid w:val="005B3780"/>
    <w:rsid w:val="005B5532"/>
    <w:rsid w:val="005B5A6E"/>
    <w:rsid w:val="005B6644"/>
    <w:rsid w:val="005B6CFC"/>
    <w:rsid w:val="005B71B1"/>
    <w:rsid w:val="005B7EA5"/>
    <w:rsid w:val="005C1CE0"/>
    <w:rsid w:val="005C234D"/>
    <w:rsid w:val="005C253D"/>
    <w:rsid w:val="005C2A7A"/>
    <w:rsid w:val="005C2ADD"/>
    <w:rsid w:val="005C4582"/>
    <w:rsid w:val="005C4804"/>
    <w:rsid w:val="005C4C79"/>
    <w:rsid w:val="005C4D2E"/>
    <w:rsid w:val="005C4E6E"/>
    <w:rsid w:val="005C5341"/>
    <w:rsid w:val="005C6B15"/>
    <w:rsid w:val="005C7228"/>
    <w:rsid w:val="005D0524"/>
    <w:rsid w:val="005D33FE"/>
    <w:rsid w:val="005D3CEC"/>
    <w:rsid w:val="005D58CD"/>
    <w:rsid w:val="005E00EC"/>
    <w:rsid w:val="005E2ACC"/>
    <w:rsid w:val="005E2C93"/>
    <w:rsid w:val="005E3F1C"/>
    <w:rsid w:val="005E4254"/>
    <w:rsid w:val="005E43D4"/>
    <w:rsid w:val="005E4ABD"/>
    <w:rsid w:val="005E61AB"/>
    <w:rsid w:val="005E63D0"/>
    <w:rsid w:val="005E7E2A"/>
    <w:rsid w:val="005F05CE"/>
    <w:rsid w:val="005F08D4"/>
    <w:rsid w:val="005F0FDB"/>
    <w:rsid w:val="005F129B"/>
    <w:rsid w:val="005F182B"/>
    <w:rsid w:val="005F21AE"/>
    <w:rsid w:val="005F32AE"/>
    <w:rsid w:val="005F4496"/>
    <w:rsid w:val="005F48EB"/>
    <w:rsid w:val="005F59E7"/>
    <w:rsid w:val="006003F2"/>
    <w:rsid w:val="00600A21"/>
    <w:rsid w:val="006019F7"/>
    <w:rsid w:val="0060377B"/>
    <w:rsid w:val="006042A3"/>
    <w:rsid w:val="0060548A"/>
    <w:rsid w:val="00605D5E"/>
    <w:rsid w:val="0060651C"/>
    <w:rsid w:val="00607B72"/>
    <w:rsid w:val="00610CB0"/>
    <w:rsid w:val="0061112D"/>
    <w:rsid w:val="00611DEA"/>
    <w:rsid w:val="00613029"/>
    <w:rsid w:val="0061388A"/>
    <w:rsid w:val="0061453C"/>
    <w:rsid w:val="006151DE"/>
    <w:rsid w:val="0061727C"/>
    <w:rsid w:val="006173B6"/>
    <w:rsid w:val="006213DB"/>
    <w:rsid w:val="00621E4C"/>
    <w:rsid w:val="00622E59"/>
    <w:rsid w:val="006230E7"/>
    <w:rsid w:val="0062363D"/>
    <w:rsid w:val="00623A2B"/>
    <w:rsid w:val="006242F9"/>
    <w:rsid w:val="006247F1"/>
    <w:rsid w:val="006256E0"/>
    <w:rsid w:val="00626845"/>
    <w:rsid w:val="00626C58"/>
    <w:rsid w:val="0063021E"/>
    <w:rsid w:val="006311A7"/>
    <w:rsid w:val="00631941"/>
    <w:rsid w:val="00632270"/>
    <w:rsid w:val="0063253C"/>
    <w:rsid w:val="00632762"/>
    <w:rsid w:val="00634207"/>
    <w:rsid w:val="0063481C"/>
    <w:rsid w:val="00636345"/>
    <w:rsid w:val="00637755"/>
    <w:rsid w:val="0064037D"/>
    <w:rsid w:val="006406EF"/>
    <w:rsid w:val="00640B4E"/>
    <w:rsid w:val="00641F4C"/>
    <w:rsid w:val="00642D8E"/>
    <w:rsid w:val="0064317C"/>
    <w:rsid w:val="00643445"/>
    <w:rsid w:val="00643AC7"/>
    <w:rsid w:val="006453C8"/>
    <w:rsid w:val="0064597E"/>
    <w:rsid w:val="00645B5A"/>
    <w:rsid w:val="00646FA5"/>
    <w:rsid w:val="00647F8D"/>
    <w:rsid w:val="006503E7"/>
    <w:rsid w:val="00650A7C"/>
    <w:rsid w:val="0065188D"/>
    <w:rsid w:val="00652F65"/>
    <w:rsid w:val="006539B8"/>
    <w:rsid w:val="00654506"/>
    <w:rsid w:val="00655E9B"/>
    <w:rsid w:val="00656F38"/>
    <w:rsid w:val="00657497"/>
    <w:rsid w:val="006613DD"/>
    <w:rsid w:val="0066162A"/>
    <w:rsid w:val="00661B41"/>
    <w:rsid w:val="00663CD0"/>
    <w:rsid w:val="00664586"/>
    <w:rsid w:val="00665D9B"/>
    <w:rsid w:val="00666BE8"/>
    <w:rsid w:val="0066739A"/>
    <w:rsid w:val="00667CDE"/>
    <w:rsid w:val="0067113C"/>
    <w:rsid w:val="006725FE"/>
    <w:rsid w:val="00672F3A"/>
    <w:rsid w:val="00676A64"/>
    <w:rsid w:val="00677848"/>
    <w:rsid w:val="006830EF"/>
    <w:rsid w:val="0068320B"/>
    <w:rsid w:val="0068398D"/>
    <w:rsid w:val="006844D4"/>
    <w:rsid w:val="00685ADF"/>
    <w:rsid w:val="00685BF8"/>
    <w:rsid w:val="00686A0D"/>
    <w:rsid w:val="006915FE"/>
    <w:rsid w:val="0069182A"/>
    <w:rsid w:val="006918EC"/>
    <w:rsid w:val="00691C07"/>
    <w:rsid w:val="00691F20"/>
    <w:rsid w:val="00692CD0"/>
    <w:rsid w:val="00693A86"/>
    <w:rsid w:val="006941C6"/>
    <w:rsid w:val="00694571"/>
    <w:rsid w:val="00694CCF"/>
    <w:rsid w:val="00695A93"/>
    <w:rsid w:val="006A1303"/>
    <w:rsid w:val="006A1E05"/>
    <w:rsid w:val="006A23D2"/>
    <w:rsid w:val="006A2ACD"/>
    <w:rsid w:val="006A2C65"/>
    <w:rsid w:val="006A2F9F"/>
    <w:rsid w:val="006A33BA"/>
    <w:rsid w:val="006A375C"/>
    <w:rsid w:val="006A3C16"/>
    <w:rsid w:val="006A59F4"/>
    <w:rsid w:val="006A7D29"/>
    <w:rsid w:val="006B0C98"/>
    <w:rsid w:val="006B0EBD"/>
    <w:rsid w:val="006B1155"/>
    <w:rsid w:val="006B2184"/>
    <w:rsid w:val="006B24F9"/>
    <w:rsid w:val="006B2F0D"/>
    <w:rsid w:val="006B4A64"/>
    <w:rsid w:val="006B5873"/>
    <w:rsid w:val="006B6379"/>
    <w:rsid w:val="006B6447"/>
    <w:rsid w:val="006B6476"/>
    <w:rsid w:val="006B6E5E"/>
    <w:rsid w:val="006B6E86"/>
    <w:rsid w:val="006B6E8A"/>
    <w:rsid w:val="006C08EF"/>
    <w:rsid w:val="006C0D40"/>
    <w:rsid w:val="006C17C2"/>
    <w:rsid w:val="006C1F7E"/>
    <w:rsid w:val="006C253F"/>
    <w:rsid w:val="006C5C70"/>
    <w:rsid w:val="006C6286"/>
    <w:rsid w:val="006C7A5D"/>
    <w:rsid w:val="006D0457"/>
    <w:rsid w:val="006D2412"/>
    <w:rsid w:val="006D363F"/>
    <w:rsid w:val="006D4394"/>
    <w:rsid w:val="006D4412"/>
    <w:rsid w:val="006D5ADA"/>
    <w:rsid w:val="006D5DE5"/>
    <w:rsid w:val="006D635B"/>
    <w:rsid w:val="006D6D34"/>
    <w:rsid w:val="006D7473"/>
    <w:rsid w:val="006D7B86"/>
    <w:rsid w:val="006E1317"/>
    <w:rsid w:val="006E1652"/>
    <w:rsid w:val="006E2994"/>
    <w:rsid w:val="006E319B"/>
    <w:rsid w:val="006E4A73"/>
    <w:rsid w:val="006E5B59"/>
    <w:rsid w:val="006E649F"/>
    <w:rsid w:val="006E7056"/>
    <w:rsid w:val="006E773B"/>
    <w:rsid w:val="006F0F6B"/>
    <w:rsid w:val="006F42BE"/>
    <w:rsid w:val="006F461E"/>
    <w:rsid w:val="006F4FCF"/>
    <w:rsid w:val="006F567E"/>
    <w:rsid w:val="007026CB"/>
    <w:rsid w:val="0070271B"/>
    <w:rsid w:val="0070302D"/>
    <w:rsid w:val="00703A82"/>
    <w:rsid w:val="00703D72"/>
    <w:rsid w:val="0070431E"/>
    <w:rsid w:val="00705FE9"/>
    <w:rsid w:val="00710584"/>
    <w:rsid w:val="007111AE"/>
    <w:rsid w:val="00711F6B"/>
    <w:rsid w:val="00712CA7"/>
    <w:rsid w:val="007135C3"/>
    <w:rsid w:val="00714681"/>
    <w:rsid w:val="00714E0E"/>
    <w:rsid w:val="00714ED4"/>
    <w:rsid w:val="007156D1"/>
    <w:rsid w:val="00716840"/>
    <w:rsid w:val="00720FE4"/>
    <w:rsid w:val="007218A2"/>
    <w:rsid w:val="0072351F"/>
    <w:rsid w:val="00724FF7"/>
    <w:rsid w:val="007254F3"/>
    <w:rsid w:val="00726A03"/>
    <w:rsid w:val="00726D28"/>
    <w:rsid w:val="007277CB"/>
    <w:rsid w:val="0073028F"/>
    <w:rsid w:val="007313F2"/>
    <w:rsid w:val="007313F5"/>
    <w:rsid w:val="00732F7C"/>
    <w:rsid w:val="007333DF"/>
    <w:rsid w:val="00734BB5"/>
    <w:rsid w:val="00734FFE"/>
    <w:rsid w:val="00735529"/>
    <w:rsid w:val="007365FF"/>
    <w:rsid w:val="00736FD6"/>
    <w:rsid w:val="007374DE"/>
    <w:rsid w:val="00737A44"/>
    <w:rsid w:val="00740470"/>
    <w:rsid w:val="00740EE9"/>
    <w:rsid w:val="00741655"/>
    <w:rsid w:val="0074251E"/>
    <w:rsid w:val="0074295D"/>
    <w:rsid w:val="007431A8"/>
    <w:rsid w:val="00743275"/>
    <w:rsid w:val="00743A01"/>
    <w:rsid w:val="0074457C"/>
    <w:rsid w:val="00745DC2"/>
    <w:rsid w:val="00747D19"/>
    <w:rsid w:val="007503BA"/>
    <w:rsid w:val="00750418"/>
    <w:rsid w:val="00750EBC"/>
    <w:rsid w:val="00752392"/>
    <w:rsid w:val="0075364C"/>
    <w:rsid w:val="007547A3"/>
    <w:rsid w:val="007571D1"/>
    <w:rsid w:val="00757335"/>
    <w:rsid w:val="0075740D"/>
    <w:rsid w:val="007575EB"/>
    <w:rsid w:val="00760079"/>
    <w:rsid w:val="007607DB"/>
    <w:rsid w:val="00761C2C"/>
    <w:rsid w:val="007623E8"/>
    <w:rsid w:val="00762F1C"/>
    <w:rsid w:val="007634C6"/>
    <w:rsid w:val="00766287"/>
    <w:rsid w:val="00766877"/>
    <w:rsid w:val="0076753B"/>
    <w:rsid w:val="007676A9"/>
    <w:rsid w:val="007678F7"/>
    <w:rsid w:val="00772042"/>
    <w:rsid w:val="007720FA"/>
    <w:rsid w:val="007730AD"/>
    <w:rsid w:val="00774871"/>
    <w:rsid w:val="0077519F"/>
    <w:rsid w:val="00775936"/>
    <w:rsid w:val="00775BD9"/>
    <w:rsid w:val="007763F5"/>
    <w:rsid w:val="00776449"/>
    <w:rsid w:val="007775C5"/>
    <w:rsid w:val="00777647"/>
    <w:rsid w:val="00777D79"/>
    <w:rsid w:val="00780077"/>
    <w:rsid w:val="00780AF8"/>
    <w:rsid w:val="00782DD0"/>
    <w:rsid w:val="007836C2"/>
    <w:rsid w:val="00783B6D"/>
    <w:rsid w:val="0078419D"/>
    <w:rsid w:val="00784826"/>
    <w:rsid w:val="0078482A"/>
    <w:rsid w:val="007849DE"/>
    <w:rsid w:val="00785B49"/>
    <w:rsid w:val="007860FB"/>
    <w:rsid w:val="007861A2"/>
    <w:rsid w:val="00787EB8"/>
    <w:rsid w:val="007902DB"/>
    <w:rsid w:val="0079030F"/>
    <w:rsid w:val="007909CD"/>
    <w:rsid w:val="00791627"/>
    <w:rsid w:val="0079171F"/>
    <w:rsid w:val="007917BC"/>
    <w:rsid w:val="00791947"/>
    <w:rsid w:val="0079247E"/>
    <w:rsid w:val="00792813"/>
    <w:rsid w:val="00792F21"/>
    <w:rsid w:val="00794B0C"/>
    <w:rsid w:val="007955D7"/>
    <w:rsid w:val="007968EC"/>
    <w:rsid w:val="00797C69"/>
    <w:rsid w:val="00797CAC"/>
    <w:rsid w:val="007A0086"/>
    <w:rsid w:val="007A1C2C"/>
    <w:rsid w:val="007A2D2A"/>
    <w:rsid w:val="007A2E5A"/>
    <w:rsid w:val="007A3DBC"/>
    <w:rsid w:val="007A410C"/>
    <w:rsid w:val="007A4771"/>
    <w:rsid w:val="007A676D"/>
    <w:rsid w:val="007A6B28"/>
    <w:rsid w:val="007A78D2"/>
    <w:rsid w:val="007A7B44"/>
    <w:rsid w:val="007B0B52"/>
    <w:rsid w:val="007B18B2"/>
    <w:rsid w:val="007B2960"/>
    <w:rsid w:val="007B2CB3"/>
    <w:rsid w:val="007B3760"/>
    <w:rsid w:val="007B47A8"/>
    <w:rsid w:val="007B47D6"/>
    <w:rsid w:val="007B5A16"/>
    <w:rsid w:val="007C061C"/>
    <w:rsid w:val="007C0D96"/>
    <w:rsid w:val="007C2FD0"/>
    <w:rsid w:val="007C3FC4"/>
    <w:rsid w:val="007C4F31"/>
    <w:rsid w:val="007C7D61"/>
    <w:rsid w:val="007C7EB5"/>
    <w:rsid w:val="007D08F9"/>
    <w:rsid w:val="007D1591"/>
    <w:rsid w:val="007D2684"/>
    <w:rsid w:val="007D31A5"/>
    <w:rsid w:val="007D3E0F"/>
    <w:rsid w:val="007D4135"/>
    <w:rsid w:val="007D4789"/>
    <w:rsid w:val="007D6B1F"/>
    <w:rsid w:val="007D6B3B"/>
    <w:rsid w:val="007D6E89"/>
    <w:rsid w:val="007E052B"/>
    <w:rsid w:val="007E180B"/>
    <w:rsid w:val="007E222F"/>
    <w:rsid w:val="007E2EEE"/>
    <w:rsid w:val="007E3349"/>
    <w:rsid w:val="007E3396"/>
    <w:rsid w:val="007E49A7"/>
    <w:rsid w:val="007E4C17"/>
    <w:rsid w:val="007E5472"/>
    <w:rsid w:val="007E54B3"/>
    <w:rsid w:val="007E5949"/>
    <w:rsid w:val="007E59D2"/>
    <w:rsid w:val="007E5C01"/>
    <w:rsid w:val="007E6F2F"/>
    <w:rsid w:val="007E7B2B"/>
    <w:rsid w:val="007F0DC7"/>
    <w:rsid w:val="007F2522"/>
    <w:rsid w:val="007F32F8"/>
    <w:rsid w:val="007F331A"/>
    <w:rsid w:val="007F4B3C"/>
    <w:rsid w:val="007F4DC0"/>
    <w:rsid w:val="007F6E6B"/>
    <w:rsid w:val="007F6FFD"/>
    <w:rsid w:val="008014FB"/>
    <w:rsid w:val="00801B87"/>
    <w:rsid w:val="00803279"/>
    <w:rsid w:val="0080344A"/>
    <w:rsid w:val="00803AA8"/>
    <w:rsid w:val="008041EB"/>
    <w:rsid w:val="0080472E"/>
    <w:rsid w:val="00805410"/>
    <w:rsid w:val="00805FA1"/>
    <w:rsid w:val="0080626A"/>
    <w:rsid w:val="0081065A"/>
    <w:rsid w:val="00810D70"/>
    <w:rsid w:val="00813073"/>
    <w:rsid w:val="00814784"/>
    <w:rsid w:val="00814E30"/>
    <w:rsid w:val="00816DB6"/>
    <w:rsid w:val="008178B3"/>
    <w:rsid w:val="00821A32"/>
    <w:rsid w:val="00822ABF"/>
    <w:rsid w:val="00822E8C"/>
    <w:rsid w:val="00823E12"/>
    <w:rsid w:val="00823ECB"/>
    <w:rsid w:val="0082429E"/>
    <w:rsid w:val="008244BD"/>
    <w:rsid w:val="00824FF1"/>
    <w:rsid w:val="008254F4"/>
    <w:rsid w:val="0082703F"/>
    <w:rsid w:val="008272A8"/>
    <w:rsid w:val="0083054D"/>
    <w:rsid w:val="0083117F"/>
    <w:rsid w:val="00831DA9"/>
    <w:rsid w:val="00832009"/>
    <w:rsid w:val="00832128"/>
    <w:rsid w:val="008322B9"/>
    <w:rsid w:val="0083305B"/>
    <w:rsid w:val="0083476E"/>
    <w:rsid w:val="0083496F"/>
    <w:rsid w:val="00836198"/>
    <w:rsid w:val="008413DB"/>
    <w:rsid w:val="008427BD"/>
    <w:rsid w:val="00843C50"/>
    <w:rsid w:val="00843F01"/>
    <w:rsid w:val="00844E5C"/>
    <w:rsid w:val="008458F7"/>
    <w:rsid w:val="008467C4"/>
    <w:rsid w:val="008477C6"/>
    <w:rsid w:val="00847908"/>
    <w:rsid w:val="00847923"/>
    <w:rsid w:val="00847C6D"/>
    <w:rsid w:val="008514BC"/>
    <w:rsid w:val="00851788"/>
    <w:rsid w:val="00851E34"/>
    <w:rsid w:val="008520D2"/>
    <w:rsid w:val="00852355"/>
    <w:rsid w:val="00852836"/>
    <w:rsid w:val="0085331E"/>
    <w:rsid w:val="00854A45"/>
    <w:rsid w:val="00854E70"/>
    <w:rsid w:val="008613FA"/>
    <w:rsid w:val="00861BD8"/>
    <w:rsid w:val="00862B28"/>
    <w:rsid w:val="008635B8"/>
    <w:rsid w:val="00863C76"/>
    <w:rsid w:val="00864E59"/>
    <w:rsid w:val="00865D14"/>
    <w:rsid w:val="008670A7"/>
    <w:rsid w:val="00870751"/>
    <w:rsid w:val="00871262"/>
    <w:rsid w:val="008715A2"/>
    <w:rsid w:val="00871B11"/>
    <w:rsid w:val="00871C2C"/>
    <w:rsid w:val="00871F7B"/>
    <w:rsid w:val="00872A91"/>
    <w:rsid w:val="008735AC"/>
    <w:rsid w:val="00873762"/>
    <w:rsid w:val="008761AD"/>
    <w:rsid w:val="00877376"/>
    <w:rsid w:val="00880927"/>
    <w:rsid w:val="008827E8"/>
    <w:rsid w:val="00884691"/>
    <w:rsid w:val="00885E03"/>
    <w:rsid w:val="00887A10"/>
    <w:rsid w:val="008902F3"/>
    <w:rsid w:val="00890BFE"/>
    <w:rsid w:val="00891CC3"/>
    <w:rsid w:val="0089221B"/>
    <w:rsid w:val="00893C11"/>
    <w:rsid w:val="0089443B"/>
    <w:rsid w:val="00894EFD"/>
    <w:rsid w:val="00895025"/>
    <w:rsid w:val="008962C3"/>
    <w:rsid w:val="008965BB"/>
    <w:rsid w:val="00896C32"/>
    <w:rsid w:val="008A07F4"/>
    <w:rsid w:val="008A0D27"/>
    <w:rsid w:val="008A1AD3"/>
    <w:rsid w:val="008A1F6C"/>
    <w:rsid w:val="008A2463"/>
    <w:rsid w:val="008A2741"/>
    <w:rsid w:val="008A2AA6"/>
    <w:rsid w:val="008A39EC"/>
    <w:rsid w:val="008A4092"/>
    <w:rsid w:val="008A4E5B"/>
    <w:rsid w:val="008A542C"/>
    <w:rsid w:val="008A54C7"/>
    <w:rsid w:val="008A603E"/>
    <w:rsid w:val="008A71FA"/>
    <w:rsid w:val="008A7FE8"/>
    <w:rsid w:val="008B1296"/>
    <w:rsid w:val="008B1860"/>
    <w:rsid w:val="008B33BB"/>
    <w:rsid w:val="008B40DC"/>
    <w:rsid w:val="008B41E9"/>
    <w:rsid w:val="008B588D"/>
    <w:rsid w:val="008B5D43"/>
    <w:rsid w:val="008B697D"/>
    <w:rsid w:val="008B6A9C"/>
    <w:rsid w:val="008B72EA"/>
    <w:rsid w:val="008C0C5F"/>
    <w:rsid w:val="008C0D24"/>
    <w:rsid w:val="008C0F69"/>
    <w:rsid w:val="008C10B6"/>
    <w:rsid w:val="008C17A2"/>
    <w:rsid w:val="008C1985"/>
    <w:rsid w:val="008C1F90"/>
    <w:rsid w:val="008C2011"/>
    <w:rsid w:val="008C27B3"/>
    <w:rsid w:val="008C2CE4"/>
    <w:rsid w:val="008C313D"/>
    <w:rsid w:val="008C3604"/>
    <w:rsid w:val="008C40CF"/>
    <w:rsid w:val="008C4EDF"/>
    <w:rsid w:val="008C572F"/>
    <w:rsid w:val="008C5BA3"/>
    <w:rsid w:val="008C5C8B"/>
    <w:rsid w:val="008C60B4"/>
    <w:rsid w:val="008C64E6"/>
    <w:rsid w:val="008C7B9A"/>
    <w:rsid w:val="008D01FE"/>
    <w:rsid w:val="008D0C11"/>
    <w:rsid w:val="008D125D"/>
    <w:rsid w:val="008D2C35"/>
    <w:rsid w:val="008D4001"/>
    <w:rsid w:val="008D4688"/>
    <w:rsid w:val="008D4A31"/>
    <w:rsid w:val="008D4B7A"/>
    <w:rsid w:val="008D737B"/>
    <w:rsid w:val="008D7B4A"/>
    <w:rsid w:val="008E047E"/>
    <w:rsid w:val="008E09D3"/>
    <w:rsid w:val="008E1520"/>
    <w:rsid w:val="008E1A83"/>
    <w:rsid w:val="008E2941"/>
    <w:rsid w:val="008E2AA7"/>
    <w:rsid w:val="008E3348"/>
    <w:rsid w:val="008E3A6B"/>
    <w:rsid w:val="008E498F"/>
    <w:rsid w:val="008E513E"/>
    <w:rsid w:val="008E5DBD"/>
    <w:rsid w:val="008E60BF"/>
    <w:rsid w:val="008E78D8"/>
    <w:rsid w:val="008E7FC6"/>
    <w:rsid w:val="008F0067"/>
    <w:rsid w:val="008F0D3A"/>
    <w:rsid w:val="008F24BD"/>
    <w:rsid w:val="008F28C0"/>
    <w:rsid w:val="008F29E2"/>
    <w:rsid w:val="008F3ECF"/>
    <w:rsid w:val="008F4204"/>
    <w:rsid w:val="008F5DD1"/>
    <w:rsid w:val="008F614A"/>
    <w:rsid w:val="008F7E21"/>
    <w:rsid w:val="00900984"/>
    <w:rsid w:val="009025C1"/>
    <w:rsid w:val="009028B7"/>
    <w:rsid w:val="00902D2A"/>
    <w:rsid w:val="00902DB6"/>
    <w:rsid w:val="00903369"/>
    <w:rsid w:val="009035E6"/>
    <w:rsid w:val="00904955"/>
    <w:rsid w:val="00905963"/>
    <w:rsid w:val="00911773"/>
    <w:rsid w:val="00911985"/>
    <w:rsid w:val="00912A55"/>
    <w:rsid w:val="009130F2"/>
    <w:rsid w:val="00913102"/>
    <w:rsid w:val="00913C9E"/>
    <w:rsid w:val="009143A4"/>
    <w:rsid w:val="00914837"/>
    <w:rsid w:val="00915930"/>
    <w:rsid w:val="00915F4B"/>
    <w:rsid w:val="00916197"/>
    <w:rsid w:val="009163F7"/>
    <w:rsid w:val="00916E23"/>
    <w:rsid w:val="009173CD"/>
    <w:rsid w:val="00917654"/>
    <w:rsid w:val="00917FC4"/>
    <w:rsid w:val="00921A7D"/>
    <w:rsid w:val="009247F0"/>
    <w:rsid w:val="00925999"/>
    <w:rsid w:val="00925B9E"/>
    <w:rsid w:val="0092702B"/>
    <w:rsid w:val="00927DF6"/>
    <w:rsid w:val="00927F72"/>
    <w:rsid w:val="009308C6"/>
    <w:rsid w:val="00930B41"/>
    <w:rsid w:val="00931233"/>
    <w:rsid w:val="00932608"/>
    <w:rsid w:val="00932BA6"/>
    <w:rsid w:val="00933E55"/>
    <w:rsid w:val="00934701"/>
    <w:rsid w:val="009359B9"/>
    <w:rsid w:val="00935BEE"/>
    <w:rsid w:val="00936277"/>
    <w:rsid w:val="009362DB"/>
    <w:rsid w:val="0093764A"/>
    <w:rsid w:val="00937E76"/>
    <w:rsid w:val="00940666"/>
    <w:rsid w:val="00941FDA"/>
    <w:rsid w:val="00942B4B"/>
    <w:rsid w:val="009430D8"/>
    <w:rsid w:val="00944B8A"/>
    <w:rsid w:val="00947D86"/>
    <w:rsid w:val="00947DB9"/>
    <w:rsid w:val="009511B8"/>
    <w:rsid w:val="00952903"/>
    <w:rsid w:val="00952DE6"/>
    <w:rsid w:val="00953673"/>
    <w:rsid w:val="009544F2"/>
    <w:rsid w:val="00955867"/>
    <w:rsid w:val="0095595D"/>
    <w:rsid w:val="00955F92"/>
    <w:rsid w:val="00956437"/>
    <w:rsid w:val="0096046D"/>
    <w:rsid w:val="009617A1"/>
    <w:rsid w:val="00963A1D"/>
    <w:rsid w:val="00964070"/>
    <w:rsid w:val="00964886"/>
    <w:rsid w:val="0096563A"/>
    <w:rsid w:val="009662DB"/>
    <w:rsid w:val="009678FE"/>
    <w:rsid w:val="00971386"/>
    <w:rsid w:val="00971A5F"/>
    <w:rsid w:val="00971E6B"/>
    <w:rsid w:val="00972410"/>
    <w:rsid w:val="009747BB"/>
    <w:rsid w:val="00976B08"/>
    <w:rsid w:val="00976BBD"/>
    <w:rsid w:val="00977473"/>
    <w:rsid w:val="00980A26"/>
    <w:rsid w:val="0098188D"/>
    <w:rsid w:val="00983283"/>
    <w:rsid w:val="009867CB"/>
    <w:rsid w:val="009878DF"/>
    <w:rsid w:val="0099020C"/>
    <w:rsid w:val="00990C70"/>
    <w:rsid w:val="009910D6"/>
    <w:rsid w:val="00991193"/>
    <w:rsid w:val="0099192A"/>
    <w:rsid w:val="00991F22"/>
    <w:rsid w:val="009960E3"/>
    <w:rsid w:val="0099712F"/>
    <w:rsid w:val="0099716F"/>
    <w:rsid w:val="009A0A20"/>
    <w:rsid w:val="009A3336"/>
    <w:rsid w:val="009A34B1"/>
    <w:rsid w:val="009A375E"/>
    <w:rsid w:val="009A3DC3"/>
    <w:rsid w:val="009A47F9"/>
    <w:rsid w:val="009A528A"/>
    <w:rsid w:val="009A654D"/>
    <w:rsid w:val="009A67F6"/>
    <w:rsid w:val="009A6B07"/>
    <w:rsid w:val="009A7902"/>
    <w:rsid w:val="009B030D"/>
    <w:rsid w:val="009B1376"/>
    <w:rsid w:val="009B161A"/>
    <w:rsid w:val="009B199E"/>
    <w:rsid w:val="009B20F4"/>
    <w:rsid w:val="009B26A3"/>
    <w:rsid w:val="009B2F28"/>
    <w:rsid w:val="009B3DEC"/>
    <w:rsid w:val="009B3E5F"/>
    <w:rsid w:val="009B4AC2"/>
    <w:rsid w:val="009B55A9"/>
    <w:rsid w:val="009C0908"/>
    <w:rsid w:val="009C0BDE"/>
    <w:rsid w:val="009C128C"/>
    <w:rsid w:val="009C1B1F"/>
    <w:rsid w:val="009C1E5C"/>
    <w:rsid w:val="009C3D9F"/>
    <w:rsid w:val="009C3DD0"/>
    <w:rsid w:val="009C48B1"/>
    <w:rsid w:val="009C5369"/>
    <w:rsid w:val="009C568D"/>
    <w:rsid w:val="009C6F93"/>
    <w:rsid w:val="009C7341"/>
    <w:rsid w:val="009C75FD"/>
    <w:rsid w:val="009D088B"/>
    <w:rsid w:val="009D1284"/>
    <w:rsid w:val="009D2F42"/>
    <w:rsid w:val="009D3C51"/>
    <w:rsid w:val="009D4445"/>
    <w:rsid w:val="009D5FC7"/>
    <w:rsid w:val="009E1AAF"/>
    <w:rsid w:val="009E1DBE"/>
    <w:rsid w:val="009E1FE5"/>
    <w:rsid w:val="009E231B"/>
    <w:rsid w:val="009E3526"/>
    <w:rsid w:val="009E3529"/>
    <w:rsid w:val="009E56D8"/>
    <w:rsid w:val="009E618F"/>
    <w:rsid w:val="009E730C"/>
    <w:rsid w:val="009E7C51"/>
    <w:rsid w:val="009F068D"/>
    <w:rsid w:val="009F0A38"/>
    <w:rsid w:val="009F0ABF"/>
    <w:rsid w:val="009F2879"/>
    <w:rsid w:val="009F2DBE"/>
    <w:rsid w:val="009F4967"/>
    <w:rsid w:val="009F5506"/>
    <w:rsid w:val="009F58EA"/>
    <w:rsid w:val="009F69E5"/>
    <w:rsid w:val="009F723F"/>
    <w:rsid w:val="00A00129"/>
    <w:rsid w:val="00A03F8F"/>
    <w:rsid w:val="00A0433D"/>
    <w:rsid w:val="00A071FD"/>
    <w:rsid w:val="00A07907"/>
    <w:rsid w:val="00A10180"/>
    <w:rsid w:val="00A10CC1"/>
    <w:rsid w:val="00A11599"/>
    <w:rsid w:val="00A13A47"/>
    <w:rsid w:val="00A14375"/>
    <w:rsid w:val="00A143A3"/>
    <w:rsid w:val="00A148C1"/>
    <w:rsid w:val="00A14BE1"/>
    <w:rsid w:val="00A14ED9"/>
    <w:rsid w:val="00A151C9"/>
    <w:rsid w:val="00A159DC"/>
    <w:rsid w:val="00A16567"/>
    <w:rsid w:val="00A16C88"/>
    <w:rsid w:val="00A16D4C"/>
    <w:rsid w:val="00A17087"/>
    <w:rsid w:val="00A17A83"/>
    <w:rsid w:val="00A209FD"/>
    <w:rsid w:val="00A21750"/>
    <w:rsid w:val="00A26A8B"/>
    <w:rsid w:val="00A3016C"/>
    <w:rsid w:val="00A30258"/>
    <w:rsid w:val="00A30792"/>
    <w:rsid w:val="00A30CBA"/>
    <w:rsid w:val="00A3241D"/>
    <w:rsid w:val="00A337F3"/>
    <w:rsid w:val="00A34481"/>
    <w:rsid w:val="00A34617"/>
    <w:rsid w:val="00A3484F"/>
    <w:rsid w:val="00A35192"/>
    <w:rsid w:val="00A36049"/>
    <w:rsid w:val="00A366BA"/>
    <w:rsid w:val="00A36DDE"/>
    <w:rsid w:val="00A377E2"/>
    <w:rsid w:val="00A379E8"/>
    <w:rsid w:val="00A40246"/>
    <w:rsid w:val="00A4096C"/>
    <w:rsid w:val="00A409FE"/>
    <w:rsid w:val="00A40F37"/>
    <w:rsid w:val="00A41E5B"/>
    <w:rsid w:val="00A42AD7"/>
    <w:rsid w:val="00A4472E"/>
    <w:rsid w:val="00A44F8A"/>
    <w:rsid w:val="00A45917"/>
    <w:rsid w:val="00A478A4"/>
    <w:rsid w:val="00A52C80"/>
    <w:rsid w:val="00A52E6A"/>
    <w:rsid w:val="00A54D9D"/>
    <w:rsid w:val="00A557D7"/>
    <w:rsid w:val="00A55825"/>
    <w:rsid w:val="00A578A7"/>
    <w:rsid w:val="00A57EE6"/>
    <w:rsid w:val="00A6005C"/>
    <w:rsid w:val="00A609B3"/>
    <w:rsid w:val="00A60A06"/>
    <w:rsid w:val="00A614E0"/>
    <w:rsid w:val="00A619C9"/>
    <w:rsid w:val="00A61BFF"/>
    <w:rsid w:val="00A6246F"/>
    <w:rsid w:val="00A63050"/>
    <w:rsid w:val="00A63393"/>
    <w:rsid w:val="00A63C32"/>
    <w:rsid w:val="00A64016"/>
    <w:rsid w:val="00A64216"/>
    <w:rsid w:val="00A6466C"/>
    <w:rsid w:val="00A646F9"/>
    <w:rsid w:val="00A64F53"/>
    <w:rsid w:val="00A6577D"/>
    <w:rsid w:val="00A65B40"/>
    <w:rsid w:val="00A65CED"/>
    <w:rsid w:val="00A67E9B"/>
    <w:rsid w:val="00A70096"/>
    <w:rsid w:val="00A705EF"/>
    <w:rsid w:val="00A70E00"/>
    <w:rsid w:val="00A710F0"/>
    <w:rsid w:val="00A711A4"/>
    <w:rsid w:val="00A71670"/>
    <w:rsid w:val="00A719C1"/>
    <w:rsid w:val="00A7235D"/>
    <w:rsid w:val="00A734F8"/>
    <w:rsid w:val="00A738FC"/>
    <w:rsid w:val="00A73A38"/>
    <w:rsid w:val="00A74465"/>
    <w:rsid w:val="00A74596"/>
    <w:rsid w:val="00A76278"/>
    <w:rsid w:val="00A76A21"/>
    <w:rsid w:val="00A772F4"/>
    <w:rsid w:val="00A77A06"/>
    <w:rsid w:val="00A80FAD"/>
    <w:rsid w:val="00A815AB"/>
    <w:rsid w:val="00A815F9"/>
    <w:rsid w:val="00A8180D"/>
    <w:rsid w:val="00A827E0"/>
    <w:rsid w:val="00A8380F"/>
    <w:rsid w:val="00A83958"/>
    <w:rsid w:val="00A83CF6"/>
    <w:rsid w:val="00A85831"/>
    <w:rsid w:val="00A86127"/>
    <w:rsid w:val="00A87321"/>
    <w:rsid w:val="00A87C15"/>
    <w:rsid w:val="00A90B90"/>
    <w:rsid w:val="00A91148"/>
    <w:rsid w:val="00A91EC7"/>
    <w:rsid w:val="00A92730"/>
    <w:rsid w:val="00A935AE"/>
    <w:rsid w:val="00A93E42"/>
    <w:rsid w:val="00A94890"/>
    <w:rsid w:val="00AA0606"/>
    <w:rsid w:val="00AA0CC9"/>
    <w:rsid w:val="00AA1157"/>
    <w:rsid w:val="00AA1650"/>
    <w:rsid w:val="00AA1D53"/>
    <w:rsid w:val="00AA1EE5"/>
    <w:rsid w:val="00AA2353"/>
    <w:rsid w:val="00AA3237"/>
    <w:rsid w:val="00AA3DEC"/>
    <w:rsid w:val="00AA42A1"/>
    <w:rsid w:val="00AA5081"/>
    <w:rsid w:val="00AA5D04"/>
    <w:rsid w:val="00AA6429"/>
    <w:rsid w:val="00AA69C5"/>
    <w:rsid w:val="00AA7A09"/>
    <w:rsid w:val="00AB005D"/>
    <w:rsid w:val="00AB00E2"/>
    <w:rsid w:val="00AB0A9F"/>
    <w:rsid w:val="00AB1724"/>
    <w:rsid w:val="00AB3321"/>
    <w:rsid w:val="00AB6695"/>
    <w:rsid w:val="00AB6703"/>
    <w:rsid w:val="00AB7B59"/>
    <w:rsid w:val="00AB7DB0"/>
    <w:rsid w:val="00AC0885"/>
    <w:rsid w:val="00AC129F"/>
    <w:rsid w:val="00AC13E3"/>
    <w:rsid w:val="00AC2240"/>
    <w:rsid w:val="00AC344D"/>
    <w:rsid w:val="00AC370D"/>
    <w:rsid w:val="00AC39C1"/>
    <w:rsid w:val="00AC449A"/>
    <w:rsid w:val="00AC4BEF"/>
    <w:rsid w:val="00AC4FB6"/>
    <w:rsid w:val="00AC76AF"/>
    <w:rsid w:val="00AC7A8D"/>
    <w:rsid w:val="00AD173B"/>
    <w:rsid w:val="00AD1B27"/>
    <w:rsid w:val="00AD3AE7"/>
    <w:rsid w:val="00AD595A"/>
    <w:rsid w:val="00AD6DD6"/>
    <w:rsid w:val="00AD6F67"/>
    <w:rsid w:val="00AD73D0"/>
    <w:rsid w:val="00AD7892"/>
    <w:rsid w:val="00AD7FCF"/>
    <w:rsid w:val="00AE00F3"/>
    <w:rsid w:val="00AE0BD8"/>
    <w:rsid w:val="00AE22A8"/>
    <w:rsid w:val="00AE26B2"/>
    <w:rsid w:val="00AE30AA"/>
    <w:rsid w:val="00AE3F74"/>
    <w:rsid w:val="00AE5794"/>
    <w:rsid w:val="00AE7079"/>
    <w:rsid w:val="00AE7D76"/>
    <w:rsid w:val="00AF0174"/>
    <w:rsid w:val="00AF06F3"/>
    <w:rsid w:val="00AF0804"/>
    <w:rsid w:val="00AF13FB"/>
    <w:rsid w:val="00AF2ACB"/>
    <w:rsid w:val="00AF3176"/>
    <w:rsid w:val="00AF3981"/>
    <w:rsid w:val="00AF40F8"/>
    <w:rsid w:val="00AF4C62"/>
    <w:rsid w:val="00AF5517"/>
    <w:rsid w:val="00AF5CD1"/>
    <w:rsid w:val="00B00DAC"/>
    <w:rsid w:val="00B014AE"/>
    <w:rsid w:val="00B04E5E"/>
    <w:rsid w:val="00B05063"/>
    <w:rsid w:val="00B0691F"/>
    <w:rsid w:val="00B06E23"/>
    <w:rsid w:val="00B1188D"/>
    <w:rsid w:val="00B11BD1"/>
    <w:rsid w:val="00B13E8F"/>
    <w:rsid w:val="00B13F42"/>
    <w:rsid w:val="00B14DBB"/>
    <w:rsid w:val="00B14E6C"/>
    <w:rsid w:val="00B15666"/>
    <w:rsid w:val="00B156E4"/>
    <w:rsid w:val="00B15791"/>
    <w:rsid w:val="00B15922"/>
    <w:rsid w:val="00B1639B"/>
    <w:rsid w:val="00B16406"/>
    <w:rsid w:val="00B16F6E"/>
    <w:rsid w:val="00B2096D"/>
    <w:rsid w:val="00B20E6C"/>
    <w:rsid w:val="00B210BB"/>
    <w:rsid w:val="00B2123D"/>
    <w:rsid w:val="00B212A4"/>
    <w:rsid w:val="00B214CF"/>
    <w:rsid w:val="00B21585"/>
    <w:rsid w:val="00B249FA"/>
    <w:rsid w:val="00B25470"/>
    <w:rsid w:val="00B2589D"/>
    <w:rsid w:val="00B26607"/>
    <w:rsid w:val="00B26A98"/>
    <w:rsid w:val="00B27E45"/>
    <w:rsid w:val="00B3184D"/>
    <w:rsid w:val="00B31F2B"/>
    <w:rsid w:val="00B33276"/>
    <w:rsid w:val="00B3372D"/>
    <w:rsid w:val="00B33CA8"/>
    <w:rsid w:val="00B3451B"/>
    <w:rsid w:val="00B360BA"/>
    <w:rsid w:val="00B42857"/>
    <w:rsid w:val="00B43102"/>
    <w:rsid w:val="00B43457"/>
    <w:rsid w:val="00B43B83"/>
    <w:rsid w:val="00B44F9F"/>
    <w:rsid w:val="00B45DC9"/>
    <w:rsid w:val="00B46018"/>
    <w:rsid w:val="00B503BA"/>
    <w:rsid w:val="00B509CA"/>
    <w:rsid w:val="00B51F23"/>
    <w:rsid w:val="00B55886"/>
    <w:rsid w:val="00B55DBB"/>
    <w:rsid w:val="00B56305"/>
    <w:rsid w:val="00B57956"/>
    <w:rsid w:val="00B605AD"/>
    <w:rsid w:val="00B62664"/>
    <w:rsid w:val="00B632D7"/>
    <w:rsid w:val="00B63B1B"/>
    <w:rsid w:val="00B644CA"/>
    <w:rsid w:val="00B65AAF"/>
    <w:rsid w:val="00B65BDF"/>
    <w:rsid w:val="00B66B24"/>
    <w:rsid w:val="00B66CBA"/>
    <w:rsid w:val="00B67453"/>
    <w:rsid w:val="00B67F03"/>
    <w:rsid w:val="00B70661"/>
    <w:rsid w:val="00B70688"/>
    <w:rsid w:val="00B717EC"/>
    <w:rsid w:val="00B725F0"/>
    <w:rsid w:val="00B72B4B"/>
    <w:rsid w:val="00B72D36"/>
    <w:rsid w:val="00B7308A"/>
    <w:rsid w:val="00B7368C"/>
    <w:rsid w:val="00B7378E"/>
    <w:rsid w:val="00B73D07"/>
    <w:rsid w:val="00B7411E"/>
    <w:rsid w:val="00B75276"/>
    <w:rsid w:val="00B764F7"/>
    <w:rsid w:val="00B76888"/>
    <w:rsid w:val="00B76FDF"/>
    <w:rsid w:val="00B7787A"/>
    <w:rsid w:val="00B813D1"/>
    <w:rsid w:val="00B83587"/>
    <w:rsid w:val="00B83BDB"/>
    <w:rsid w:val="00B83CF8"/>
    <w:rsid w:val="00B847BF"/>
    <w:rsid w:val="00B84AF3"/>
    <w:rsid w:val="00B84DC9"/>
    <w:rsid w:val="00B85325"/>
    <w:rsid w:val="00B866A2"/>
    <w:rsid w:val="00B86C07"/>
    <w:rsid w:val="00B90019"/>
    <w:rsid w:val="00B902FB"/>
    <w:rsid w:val="00B9063C"/>
    <w:rsid w:val="00B90D2D"/>
    <w:rsid w:val="00B91FFD"/>
    <w:rsid w:val="00B9324A"/>
    <w:rsid w:val="00B9346A"/>
    <w:rsid w:val="00B93522"/>
    <w:rsid w:val="00B93839"/>
    <w:rsid w:val="00B93F3D"/>
    <w:rsid w:val="00B94A63"/>
    <w:rsid w:val="00B9500B"/>
    <w:rsid w:val="00B955B0"/>
    <w:rsid w:val="00B96AC1"/>
    <w:rsid w:val="00B96B46"/>
    <w:rsid w:val="00B97E4C"/>
    <w:rsid w:val="00BA0FAA"/>
    <w:rsid w:val="00BA20BB"/>
    <w:rsid w:val="00BA53A4"/>
    <w:rsid w:val="00BA5B16"/>
    <w:rsid w:val="00BA6542"/>
    <w:rsid w:val="00BA6719"/>
    <w:rsid w:val="00BA713A"/>
    <w:rsid w:val="00BA7237"/>
    <w:rsid w:val="00BA7284"/>
    <w:rsid w:val="00BA7FF1"/>
    <w:rsid w:val="00BB0031"/>
    <w:rsid w:val="00BB01F6"/>
    <w:rsid w:val="00BB0648"/>
    <w:rsid w:val="00BB1712"/>
    <w:rsid w:val="00BB1B20"/>
    <w:rsid w:val="00BB1CD1"/>
    <w:rsid w:val="00BB4953"/>
    <w:rsid w:val="00BB4D2F"/>
    <w:rsid w:val="00BB64E0"/>
    <w:rsid w:val="00BB71ED"/>
    <w:rsid w:val="00BC28AF"/>
    <w:rsid w:val="00BC35EF"/>
    <w:rsid w:val="00BC39AA"/>
    <w:rsid w:val="00BC3A51"/>
    <w:rsid w:val="00BC40F4"/>
    <w:rsid w:val="00BC41B2"/>
    <w:rsid w:val="00BC43B5"/>
    <w:rsid w:val="00BC45C8"/>
    <w:rsid w:val="00BC520E"/>
    <w:rsid w:val="00BC6827"/>
    <w:rsid w:val="00BC7A93"/>
    <w:rsid w:val="00BD0AA6"/>
    <w:rsid w:val="00BD14A2"/>
    <w:rsid w:val="00BD1B09"/>
    <w:rsid w:val="00BD2A9C"/>
    <w:rsid w:val="00BD3128"/>
    <w:rsid w:val="00BD3450"/>
    <w:rsid w:val="00BD5C1C"/>
    <w:rsid w:val="00BD6795"/>
    <w:rsid w:val="00BD7927"/>
    <w:rsid w:val="00BE0B90"/>
    <w:rsid w:val="00BE0DBE"/>
    <w:rsid w:val="00BE0F11"/>
    <w:rsid w:val="00BE1C26"/>
    <w:rsid w:val="00BE2202"/>
    <w:rsid w:val="00BE242F"/>
    <w:rsid w:val="00BE272B"/>
    <w:rsid w:val="00BE336A"/>
    <w:rsid w:val="00BE3999"/>
    <w:rsid w:val="00BE48D3"/>
    <w:rsid w:val="00BE4A48"/>
    <w:rsid w:val="00BE7900"/>
    <w:rsid w:val="00BF0162"/>
    <w:rsid w:val="00BF1DA3"/>
    <w:rsid w:val="00BF210B"/>
    <w:rsid w:val="00BF4023"/>
    <w:rsid w:val="00BF47FB"/>
    <w:rsid w:val="00BF4AAB"/>
    <w:rsid w:val="00BF5367"/>
    <w:rsid w:val="00BF6032"/>
    <w:rsid w:val="00BF7B30"/>
    <w:rsid w:val="00BF7E74"/>
    <w:rsid w:val="00C0049B"/>
    <w:rsid w:val="00C02607"/>
    <w:rsid w:val="00C02AB1"/>
    <w:rsid w:val="00C03A98"/>
    <w:rsid w:val="00C05E73"/>
    <w:rsid w:val="00C06BF6"/>
    <w:rsid w:val="00C06C06"/>
    <w:rsid w:val="00C071B9"/>
    <w:rsid w:val="00C073B0"/>
    <w:rsid w:val="00C076E3"/>
    <w:rsid w:val="00C07846"/>
    <w:rsid w:val="00C07961"/>
    <w:rsid w:val="00C07D28"/>
    <w:rsid w:val="00C10F2E"/>
    <w:rsid w:val="00C1236B"/>
    <w:rsid w:val="00C12539"/>
    <w:rsid w:val="00C12FB0"/>
    <w:rsid w:val="00C13604"/>
    <w:rsid w:val="00C14F5F"/>
    <w:rsid w:val="00C15116"/>
    <w:rsid w:val="00C17649"/>
    <w:rsid w:val="00C17945"/>
    <w:rsid w:val="00C20C58"/>
    <w:rsid w:val="00C20CFC"/>
    <w:rsid w:val="00C21E41"/>
    <w:rsid w:val="00C21FC4"/>
    <w:rsid w:val="00C220E5"/>
    <w:rsid w:val="00C2263B"/>
    <w:rsid w:val="00C22E02"/>
    <w:rsid w:val="00C23A55"/>
    <w:rsid w:val="00C23FDB"/>
    <w:rsid w:val="00C257E9"/>
    <w:rsid w:val="00C26597"/>
    <w:rsid w:val="00C2665E"/>
    <w:rsid w:val="00C319E4"/>
    <w:rsid w:val="00C33987"/>
    <w:rsid w:val="00C34BC5"/>
    <w:rsid w:val="00C34C5B"/>
    <w:rsid w:val="00C3557E"/>
    <w:rsid w:val="00C41D2C"/>
    <w:rsid w:val="00C431DD"/>
    <w:rsid w:val="00C434E6"/>
    <w:rsid w:val="00C43F36"/>
    <w:rsid w:val="00C441C1"/>
    <w:rsid w:val="00C44DC3"/>
    <w:rsid w:val="00C450AE"/>
    <w:rsid w:val="00C4696C"/>
    <w:rsid w:val="00C47288"/>
    <w:rsid w:val="00C474DD"/>
    <w:rsid w:val="00C47890"/>
    <w:rsid w:val="00C47931"/>
    <w:rsid w:val="00C5143A"/>
    <w:rsid w:val="00C5184C"/>
    <w:rsid w:val="00C53206"/>
    <w:rsid w:val="00C537E5"/>
    <w:rsid w:val="00C5418C"/>
    <w:rsid w:val="00C541E3"/>
    <w:rsid w:val="00C544DE"/>
    <w:rsid w:val="00C56475"/>
    <w:rsid w:val="00C56ADA"/>
    <w:rsid w:val="00C57B11"/>
    <w:rsid w:val="00C6130C"/>
    <w:rsid w:val="00C63633"/>
    <w:rsid w:val="00C649BA"/>
    <w:rsid w:val="00C64D8B"/>
    <w:rsid w:val="00C655B3"/>
    <w:rsid w:val="00C665B2"/>
    <w:rsid w:val="00C67F9A"/>
    <w:rsid w:val="00C67FE2"/>
    <w:rsid w:val="00C70283"/>
    <w:rsid w:val="00C702C3"/>
    <w:rsid w:val="00C714E2"/>
    <w:rsid w:val="00C7190C"/>
    <w:rsid w:val="00C71E87"/>
    <w:rsid w:val="00C7274B"/>
    <w:rsid w:val="00C732F0"/>
    <w:rsid w:val="00C73A65"/>
    <w:rsid w:val="00C746D6"/>
    <w:rsid w:val="00C74F19"/>
    <w:rsid w:val="00C756A9"/>
    <w:rsid w:val="00C75E3D"/>
    <w:rsid w:val="00C7611E"/>
    <w:rsid w:val="00C76568"/>
    <w:rsid w:val="00C80C73"/>
    <w:rsid w:val="00C81A40"/>
    <w:rsid w:val="00C836A4"/>
    <w:rsid w:val="00C83D53"/>
    <w:rsid w:val="00C8467B"/>
    <w:rsid w:val="00C84AFD"/>
    <w:rsid w:val="00C84CED"/>
    <w:rsid w:val="00C8628B"/>
    <w:rsid w:val="00C868D2"/>
    <w:rsid w:val="00C91440"/>
    <w:rsid w:val="00C929CB"/>
    <w:rsid w:val="00C93089"/>
    <w:rsid w:val="00C93B86"/>
    <w:rsid w:val="00C94144"/>
    <w:rsid w:val="00C95BAB"/>
    <w:rsid w:val="00C96E89"/>
    <w:rsid w:val="00CA0009"/>
    <w:rsid w:val="00CA009A"/>
    <w:rsid w:val="00CA2000"/>
    <w:rsid w:val="00CA20BB"/>
    <w:rsid w:val="00CA255F"/>
    <w:rsid w:val="00CA2D01"/>
    <w:rsid w:val="00CA4A5F"/>
    <w:rsid w:val="00CA5378"/>
    <w:rsid w:val="00CA553A"/>
    <w:rsid w:val="00CA5583"/>
    <w:rsid w:val="00CA56D5"/>
    <w:rsid w:val="00CA582C"/>
    <w:rsid w:val="00CA60F1"/>
    <w:rsid w:val="00CA6605"/>
    <w:rsid w:val="00CA687D"/>
    <w:rsid w:val="00CA6BAE"/>
    <w:rsid w:val="00CA7683"/>
    <w:rsid w:val="00CB00F1"/>
    <w:rsid w:val="00CB1D7D"/>
    <w:rsid w:val="00CB1F2D"/>
    <w:rsid w:val="00CB2611"/>
    <w:rsid w:val="00CB26AC"/>
    <w:rsid w:val="00CB3319"/>
    <w:rsid w:val="00CB354C"/>
    <w:rsid w:val="00CB3991"/>
    <w:rsid w:val="00CB3D8D"/>
    <w:rsid w:val="00CB454F"/>
    <w:rsid w:val="00CB49A3"/>
    <w:rsid w:val="00CB5D0F"/>
    <w:rsid w:val="00CB6843"/>
    <w:rsid w:val="00CC03D0"/>
    <w:rsid w:val="00CC0F51"/>
    <w:rsid w:val="00CC1915"/>
    <w:rsid w:val="00CC208F"/>
    <w:rsid w:val="00CC45D8"/>
    <w:rsid w:val="00CC5901"/>
    <w:rsid w:val="00CC60A8"/>
    <w:rsid w:val="00CC6E1C"/>
    <w:rsid w:val="00CD29A8"/>
    <w:rsid w:val="00CD4985"/>
    <w:rsid w:val="00CD55EF"/>
    <w:rsid w:val="00CD58F9"/>
    <w:rsid w:val="00CE0349"/>
    <w:rsid w:val="00CE2875"/>
    <w:rsid w:val="00CE412F"/>
    <w:rsid w:val="00CE4154"/>
    <w:rsid w:val="00CE4858"/>
    <w:rsid w:val="00CE4F07"/>
    <w:rsid w:val="00CE521A"/>
    <w:rsid w:val="00CE536A"/>
    <w:rsid w:val="00CE69AE"/>
    <w:rsid w:val="00CE6C94"/>
    <w:rsid w:val="00CF0AD2"/>
    <w:rsid w:val="00CF18E6"/>
    <w:rsid w:val="00CF2161"/>
    <w:rsid w:val="00CF2803"/>
    <w:rsid w:val="00CF2F2D"/>
    <w:rsid w:val="00CF5480"/>
    <w:rsid w:val="00CF70B6"/>
    <w:rsid w:val="00D002ED"/>
    <w:rsid w:val="00D00A43"/>
    <w:rsid w:val="00D01AEE"/>
    <w:rsid w:val="00D02466"/>
    <w:rsid w:val="00D02BE7"/>
    <w:rsid w:val="00D03045"/>
    <w:rsid w:val="00D0553D"/>
    <w:rsid w:val="00D0603B"/>
    <w:rsid w:val="00D067BA"/>
    <w:rsid w:val="00D071ED"/>
    <w:rsid w:val="00D114A1"/>
    <w:rsid w:val="00D11546"/>
    <w:rsid w:val="00D11861"/>
    <w:rsid w:val="00D14BEC"/>
    <w:rsid w:val="00D150E7"/>
    <w:rsid w:val="00D158D0"/>
    <w:rsid w:val="00D15D5B"/>
    <w:rsid w:val="00D16124"/>
    <w:rsid w:val="00D16317"/>
    <w:rsid w:val="00D1689A"/>
    <w:rsid w:val="00D172DC"/>
    <w:rsid w:val="00D2087F"/>
    <w:rsid w:val="00D21185"/>
    <w:rsid w:val="00D23337"/>
    <w:rsid w:val="00D23D97"/>
    <w:rsid w:val="00D25810"/>
    <w:rsid w:val="00D260E4"/>
    <w:rsid w:val="00D27F88"/>
    <w:rsid w:val="00D302A5"/>
    <w:rsid w:val="00D306B0"/>
    <w:rsid w:val="00D30FD7"/>
    <w:rsid w:val="00D328DB"/>
    <w:rsid w:val="00D348C4"/>
    <w:rsid w:val="00D35350"/>
    <w:rsid w:val="00D35363"/>
    <w:rsid w:val="00D358A0"/>
    <w:rsid w:val="00D35CB9"/>
    <w:rsid w:val="00D3787A"/>
    <w:rsid w:val="00D37C9C"/>
    <w:rsid w:val="00D4002B"/>
    <w:rsid w:val="00D40994"/>
    <w:rsid w:val="00D42438"/>
    <w:rsid w:val="00D42CB8"/>
    <w:rsid w:val="00D44058"/>
    <w:rsid w:val="00D440C7"/>
    <w:rsid w:val="00D4420C"/>
    <w:rsid w:val="00D462D9"/>
    <w:rsid w:val="00D50497"/>
    <w:rsid w:val="00D50765"/>
    <w:rsid w:val="00D515BB"/>
    <w:rsid w:val="00D51E9C"/>
    <w:rsid w:val="00D52824"/>
    <w:rsid w:val="00D550F8"/>
    <w:rsid w:val="00D55269"/>
    <w:rsid w:val="00D56361"/>
    <w:rsid w:val="00D600FD"/>
    <w:rsid w:val="00D60C4D"/>
    <w:rsid w:val="00D61BD2"/>
    <w:rsid w:val="00D62E65"/>
    <w:rsid w:val="00D62FFE"/>
    <w:rsid w:val="00D6465B"/>
    <w:rsid w:val="00D664F8"/>
    <w:rsid w:val="00D66CEF"/>
    <w:rsid w:val="00D70204"/>
    <w:rsid w:val="00D70969"/>
    <w:rsid w:val="00D70A3D"/>
    <w:rsid w:val="00D70CC0"/>
    <w:rsid w:val="00D71858"/>
    <w:rsid w:val="00D73120"/>
    <w:rsid w:val="00D74C23"/>
    <w:rsid w:val="00D751DA"/>
    <w:rsid w:val="00D75659"/>
    <w:rsid w:val="00D756E0"/>
    <w:rsid w:val="00D75F58"/>
    <w:rsid w:val="00D770B4"/>
    <w:rsid w:val="00D770E1"/>
    <w:rsid w:val="00D80908"/>
    <w:rsid w:val="00D82B69"/>
    <w:rsid w:val="00D836ED"/>
    <w:rsid w:val="00D83A64"/>
    <w:rsid w:val="00D83BFB"/>
    <w:rsid w:val="00D83D28"/>
    <w:rsid w:val="00D8585A"/>
    <w:rsid w:val="00D86B52"/>
    <w:rsid w:val="00D871A0"/>
    <w:rsid w:val="00D903BE"/>
    <w:rsid w:val="00D918F9"/>
    <w:rsid w:val="00D932A8"/>
    <w:rsid w:val="00D94FB5"/>
    <w:rsid w:val="00D95CCB"/>
    <w:rsid w:val="00D969B3"/>
    <w:rsid w:val="00D96FC1"/>
    <w:rsid w:val="00DA0EDD"/>
    <w:rsid w:val="00DA11EE"/>
    <w:rsid w:val="00DA26A8"/>
    <w:rsid w:val="00DA36CA"/>
    <w:rsid w:val="00DA3EE7"/>
    <w:rsid w:val="00DA4955"/>
    <w:rsid w:val="00DA4CC3"/>
    <w:rsid w:val="00DA4D08"/>
    <w:rsid w:val="00DA5B40"/>
    <w:rsid w:val="00DA625D"/>
    <w:rsid w:val="00DA6900"/>
    <w:rsid w:val="00DA6A9B"/>
    <w:rsid w:val="00DA7AB1"/>
    <w:rsid w:val="00DB0011"/>
    <w:rsid w:val="00DB0C32"/>
    <w:rsid w:val="00DB0E05"/>
    <w:rsid w:val="00DB1FD8"/>
    <w:rsid w:val="00DB289A"/>
    <w:rsid w:val="00DB39C6"/>
    <w:rsid w:val="00DB469C"/>
    <w:rsid w:val="00DB4969"/>
    <w:rsid w:val="00DB567D"/>
    <w:rsid w:val="00DB5D1D"/>
    <w:rsid w:val="00DB6C33"/>
    <w:rsid w:val="00DB7B47"/>
    <w:rsid w:val="00DC06B0"/>
    <w:rsid w:val="00DC14B3"/>
    <w:rsid w:val="00DC467C"/>
    <w:rsid w:val="00DC4B38"/>
    <w:rsid w:val="00DC6D5F"/>
    <w:rsid w:val="00DD053B"/>
    <w:rsid w:val="00DD2494"/>
    <w:rsid w:val="00DD29A8"/>
    <w:rsid w:val="00DD34CF"/>
    <w:rsid w:val="00DD3B37"/>
    <w:rsid w:val="00DD4731"/>
    <w:rsid w:val="00DD4E26"/>
    <w:rsid w:val="00DD4F1A"/>
    <w:rsid w:val="00DD5320"/>
    <w:rsid w:val="00DD687D"/>
    <w:rsid w:val="00DD6C31"/>
    <w:rsid w:val="00DD778B"/>
    <w:rsid w:val="00DD7DD2"/>
    <w:rsid w:val="00DE079A"/>
    <w:rsid w:val="00DE2432"/>
    <w:rsid w:val="00DE35C1"/>
    <w:rsid w:val="00DE40AE"/>
    <w:rsid w:val="00DE4389"/>
    <w:rsid w:val="00DE4D67"/>
    <w:rsid w:val="00DE5447"/>
    <w:rsid w:val="00DE69E2"/>
    <w:rsid w:val="00DE7CA3"/>
    <w:rsid w:val="00DE7DF9"/>
    <w:rsid w:val="00DF00C4"/>
    <w:rsid w:val="00DF10DD"/>
    <w:rsid w:val="00DF1823"/>
    <w:rsid w:val="00DF49F5"/>
    <w:rsid w:val="00DF4A72"/>
    <w:rsid w:val="00DF56A2"/>
    <w:rsid w:val="00DF7DD5"/>
    <w:rsid w:val="00E00731"/>
    <w:rsid w:val="00E01C34"/>
    <w:rsid w:val="00E03668"/>
    <w:rsid w:val="00E04595"/>
    <w:rsid w:val="00E05AD9"/>
    <w:rsid w:val="00E061AF"/>
    <w:rsid w:val="00E06E7D"/>
    <w:rsid w:val="00E10E4D"/>
    <w:rsid w:val="00E11B7C"/>
    <w:rsid w:val="00E127DD"/>
    <w:rsid w:val="00E13190"/>
    <w:rsid w:val="00E134C2"/>
    <w:rsid w:val="00E13A6C"/>
    <w:rsid w:val="00E13E5D"/>
    <w:rsid w:val="00E149F0"/>
    <w:rsid w:val="00E15000"/>
    <w:rsid w:val="00E151CE"/>
    <w:rsid w:val="00E15547"/>
    <w:rsid w:val="00E1641C"/>
    <w:rsid w:val="00E1683A"/>
    <w:rsid w:val="00E20950"/>
    <w:rsid w:val="00E20C43"/>
    <w:rsid w:val="00E221C3"/>
    <w:rsid w:val="00E26111"/>
    <w:rsid w:val="00E27281"/>
    <w:rsid w:val="00E27A5D"/>
    <w:rsid w:val="00E30113"/>
    <w:rsid w:val="00E30DDD"/>
    <w:rsid w:val="00E30E29"/>
    <w:rsid w:val="00E30F49"/>
    <w:rsid w:val="00E3194B"/>
    <w:rsid w:val="00E32A65"/>
    <w:rsid w:val="00E3376C"/>
    <w:rsid w:val="00E3432D"/>
    <w:rsid w:val="00E348D8"/>
    <w:rsid w:val="00E36A30"/>
    <w:rsid w:val="00E41A52"/>
    <w:rsid w:val="00E423F9"/>
    <w:rsid w:val="00E43274"/>
    <w:rsid w:val="00E43BC1"/>
    <w:rsid w:val="00E469E0"/>
    <w:rsid w:val="00E47B4C"/>
    <w:rsid w:val="00E47FCF"/>
    <w:rsid w:val="00E50592"/>
    <w:rsid w:val="00E50EB2"/>
    <w:rsid w:val="00E51632"/>
    <w:rsid w:val="00E517E7"/>
    <w:rsid w:val="00E52D1A"/>
    <w:rsid w:val="00E53456"/>
    <w:rsid w:val="00E53D86"/>
    <w:rsid w:val="00E5445B"/>
    <w:rsid w:val="00E5626F"/>
    <w:rsid w:val="00E56420"/>
    <w:rsid w:val="00E61B36"/>
    <w:rsid w:val="00E61C6B"/>
    <w:rsid w:val="00E629F2"/>
    <w:rsid w:val="00E62C79"/>
    <w:rsid w:val="00E62D3E"/>
    <w:rsid w:val="00E6358E"/>
    <w:rsid w:val="00E64CD4"/>
    <w:rsid w:val="00E653A8"/>
    <w:rsid w:val="00E65E2B"/>
    <w:rsid w:val="00E669AC"/>
    <w:rsid w:val="00E70E00"/>
    <w:rsid w:val="00E72006"/>
    <w:rsid w:val="00E729BE"/>
    <w:rsid w:val="00E72EF9"/>
    <w:rsid w:val="00E73B5E"/>
    <w:rsid w:val="00E741CA"/>
    <w:rsid w:val="00E74F87"/>
    <w:rsid w:val="00E75A9E"/>
    <w:rsid w:val="00E76866"/>
    <w:rsid w:val="00E77C7C"/>
    <w:rsid w:val="00E80E70"/>
    <w:rsid w:val="00E81DE9"/>
    <w:rsid w:val="00E821BD"/>
    <w:rsid w:val="00E843C7"/>
    <w:rsid w:val="00E854BC"/>
    <w:rsid w:val="00E8632C"/>
    <w:rsid w:val="00E867C3"/>
    <w:rsid w:val="00E90EFD"/>
    <w:rsid w:val="00E92E07"/>
    <w:rsid w:val="00E932B8"/>
    <w:rsid w:val="00E94D82"/>
    <w:rsid w:val="00E95E0C"/>
    <w:rsid w:val="00E969D1"/>
    <w:rsid w:val="00E97F01"/>
    <w:rsid w:val="00EA0A63"/>
    <w:rsid w:val="00EA0B08"/>
    <w:rsid w:val="00EA177C"/>
    <w:rsid w:val="00EA2ACA"/>
    <w:rsid w:val="00EA395C"/>
    <w:rsid w:val="00EA43DB"/>
    <w:rsid w:val="00EA47B6"/>
    <w:rsid w:val="00EA510D"/>
    <w:rsid w:val="00EA566D"/>
    <w:rsid w:val="00EA5902"/>
    <w:rsid w:val="00EB0363"/>
    <w:rsid w:val="00EB05A2"/>
    <w:rsid w:val="00EB0899"/>
    <w:rsid w:val="00EB092A"/>
    <w:rsid w:val="00EB1861"/>
    <w:rsid w:val="00EB2FA4"/>
    <w:rsid w:val="00EB35C6"/>
    <w:rsid w:val="00EB3B78"/>
    <w:rsid w:val="00EB4E25"/>
    <w:rsid w:val="00EB5EDC"/>
    <w:rsid w:val="00EB6144"/>
    <w:rsid w:val="00EB7DCF"/>
    <w:rsid w:val="00EC0B15"/>
    <w:rsid w:val="00EC159A"/>
    <w:rsid w:val="00EC1ED2"/>
    <w:rsid w:val="00EC2E18"/>
    <w:rsid w:val="00EC4223"/>
    <w:rsid w:val="00EC5A69"/>
    <w:rsid w:val="00EC5CF8"/>
    <w:rsid w:val="00EC6A29"/>
    <w:rsid w:val="00EC6CCE"/>
    <w:rsid w:val="00ED007C"/>
    <w:rsid w:val="00ED091F"/>
    <w:rsid w:val="00ED09E6"/>
    <w:rsid w:val="00ED14D0"/>
    <w:rsid w:val="00ED15B1"/>
    <w:rsid w:val="00ED2F38"/>
    <w:rsid w:val="00ED39DD"/>
    <w:rsid w:val="00ED4ADA"/>
    <w:rsid w:val="00ED54B9"/>
    <w:rsid w:val="00ED57CD"/>
    <w:rsid w:val="00ED62D3"/>
    <w:rsid w:val="00ED6690"/>
    <w:rsid w:val="00ED7DE3"/>
    <w:rsid w:val="00EE08BE"/>
    <w:rsid w:val="00EE1ACF"/>
    <w:rsid w:val="00EE2422"/>
    <w:rsid w:val="00EE29FC"/>
    <w:rsid w:val="00EE2CC0"/>
    <w:rsid w:val="00EE5BDC"/>
    <w:rsid w:val="00EE6360"/>
    <w:rsid w:val="00EE686C"/>
    <w:rsid w:val="00EF096A"/>
    <w:rsid w:val="00EF1F2F"/>
    <w:rsid w:val="00EF2071"/>
    <w:rsid w:val="00EF2630"/>
    <w:rsid w:val="00EF3693"/>
    <w:rsid w:val="00EF3DF5"/>
    <w:rsid w:val="00EF48CA"/>
    <w:rsid w:val="00EF66E0"/>
    <w:rsid w:val="00EF7027"/>
    <w:rsid w:val="00F00062"/>
    <w:rsid w:val="00F009D8"/>
    <w:rsid w:val="00F00D17"/>
    <w:rsid w:val="00F036C3"/>
    <w:rsid w:val="00F04D09"/>
    <w:rsid w:val="00F052E2"/>
    <w:rsid w:val="00F05437"/>
    <w:rsid w:val="00F05D6D"/>
    <w:rsid w:val="00F109DC"/>
    <w:rsid w:val="00F12BA2"/>
    <w:rsid w:val="00F12EC1"/>
    <w:rsid w:val="00F1444C"/>
    <w:rsid w:val="00F14BEA"/>
    <w:rsid w:val="00F14E2F"/>
    <w:rsid w:val="00F14FF7"/>
    <w:rsid w:val="00F17882"/>
    <w:rsid w:val="00F21204"/>
    <w:rsid w:val="00F21A55"/>
    <w:rsid w:val="00F22811"/>
    <w:rsid w:val="00F233DB"/>
    <w:rsid w:val="00F237B7"/>
    <w:rsid w:val="00F24E6A"/>
    <w:rsid w:val="00F252C5"/>
    <w:rsid w:val="00F273C7"/>
    <w:rsid w:val="00F311CA"/>
    <w:rsid w:val="00F333E3"/>
    <w:rsid w:val="00F33AC7"/>
    <w:rsid w:val="00F33E83"/>
    <w:rsid w:val="00F34613"/>
    <w:rsid w:val="00F358F2"/>
    <w:rsid w:val="00F35D4A"/>
    <w:rsid w:val="00F35E51"/>
    <w:rsid w:val="00F35F93"/>
    <w:rsid w:val="00F37189"/>
    <w:rsid w:val="00F378E8"/>
    <w:rsid w:val="00F40188"/>
    <w:rsid w:val="00F40ECD"/>
    <w:rsid w:val="00F4139D"/>
    <w:rsid w:val="00F41E1F"/>
    <w:rsid w:val="00F42262"/>
    <w:rsid w:val="00F42B24"/>
    <w:rsid w:val="00F43AB0"/>
    <w:rsid w:val="00F43CB5"/>
    <w:rsid w:val="00F44BEE"/>
    <w:rsid w:val="00F460C6"/>
    <w:rsid w:val="00F46234"/>
    <w:rsid w:val="00F51166"/>
    <w:rsid w:val="00F519A4"/>
    <w:rsid w:val="00F52B0E"/>
    <w:rsid w:val="00F52B9B"/>
    <w:rsid w:val="00F53FB3"/>
    <w:rsid w:val="00F547EC"/>
    <w:rsid w:val="00F55476"/>
    <w:rsid w:val="00F55EB5"/>
    <w:rsid w:val="00F56037"/>
    <w:rsid w:val="00F56D6B"/>
    <w:rsid w:val="00F577F9"/>
    <w:rsid w:val="00F60453"/>
    <w:rsid w:val="00F62F46"/>
    <w:rsid w:val="00F63784"/>
    <w:rsid w:val="00F63B24"/>
    <w:rsid w:val="00F64DF4"/>
    <w:rsid w:val="00F6547D"/>
    <w:rsid w:val="00F655BE"/>
    <w:rsid w:val="00F668A9"/>
    <w:rsid w:val="00F6714A"/>
    <w:rsid w:val="00F67476"/>
    <w:rsid w:val="00F701BC"/>
    <w:rsid w:val="00F70203"/>
    <w:rsid w:val="00F70A9D"/>
    <w:rsid w:val="00F71704"/>
    <w:rsid w:val="00F71F60"/>
    <w:rsid w:val="00F7329C"/>
    <w:rsid w:val="00F738D3"/>
    <w:rsid w:val="00F74BCE"/>
    <w:rsid w:val="00F769F2"/>
    <w:rsid w:val="00F77E66"/>
    <w:rsid w:val="00F81010"/>
    <w:rsid w:val="00F82653"/>
    <w:rsid w:val="00F82AB8"/>
    <w:rsid w:val="00F82BEF"/>
    <w:rsid w:val="00F8317E"/>
    <w:rsid w:val="00F83BC1"/>
    <w:rsid w:val="00F8415A"/>
    <w:rsid w:val="00F84E77"/>
    <w:rsid w:val="00F84F70"/>
    <w:rsid w:val="00F86C2D"/>
    <w:rsid w:val="00F870BF"/>
    <w:rsid w:val="00F87386"/>
    <w:rsid w:val="00F9076D"/>
    <w:rsid w:val="00F91190"/>
    <w:rsid w:val="00F9172D"/>
    <w:rsid w:val="00F927FE"/>
    <w:rsid w:val="00F95565"/>
    <w:rsid w:val="00F96154"/>
    <w:rsid w:val="00FA0E0F"/>
    <w:rsid w:val="00FA2347"/>
    <w:rsid w:val="00FA2FED"/>
    <w:rsid w:val="00FA429A"/>
    <w:rsid w:val="00FA5C86"/>
    <w:rsid w:val="00FA7636"/>
    <w:rsid w:val="00FA7885"/>
    <w:rsid w:val="00FA7B76"/>
    <w:rsid w:val="00FB1379"/>
    <w:rsid w:val="00FB1B9D"/>
    <w:rsid w:val="00FB1FF3"/>
    <w:rsid w:val="00FB419B"/>
    <w:rsid w:val="00FB4AFC"/>
    <w:rsid w:val="00FB4D2A"/>
    <w:rsid w:val="00FB574E"/>
    <w:rsid w:val="00FB6C3F"/>
    <w:rsid w:val="00FC2144"/>
    <w:rsid w:val="00FC222C"/>
    <w:rsid w:val="00FC2BA5"/>
    <w:rsid w:val="00FC3142"/>
    <w:rsid w:val="00FC3449"/>
    <w:rsid w:val="00FC3F56"/>
    <w:rsid w:val="00FC42D8"/>
    <w:rsid w:val="00FC5EE9"/>
    <w:rsid w:val="00FC6A92"/>
    <w:rsid w:val="00FC7526"/>
    <w:rsid w:val="00FC7EA2"/>
    <w:rsid w:val="00FD030B"/>
    <w:rsid w:val="00FD159C"/>
    <w:rsid w:val="00FD1BE2"/>
    <w:rsid w:val="00FD294F"/>
    <w:rsid w:val="00FD2A92"/>
    <w:rsid w:val="00FD3817"/>
    <w:rsid w:val="00FD4702"/>
    <w:rsid w:val="00FD4D22"/>
    <w:rsid w:val="00FD5E2F"/>
    <w:rsid w:val="00FD6065"/>
    <w:rsid w:val="00FD67F0"/>
    <w:rsid w:val="00FD6D00"/>
    <w:rsid w:val="00FE01FA"/>
    <w:rsid w:val="00FE0A22"/>
    <w:rsid w:val="00FE0F20"/>
    <w:rsid w:val="00FE138E"/>
    <w:rsid w:val="00FE2A0D"/>
    <w:rsid w:val="00FE39DE"/>
    <w:rsid w:val="00FE429B"/>
    <w:rsid w:val="00FE528D"/>
    <w:rsid w:val="00FE65BE"/>
    <w:rsid w:val="00FE7230"/>
    <w:rsid w:val="00FF052B"/>
    <w:rsid w:val="00FF0AF1"/>
    <w:rsid w:val="00FF0BC6"/>
    <w:rsid w:val="00FF1C1C"/>
    <w:rsid w:val="00FF1D93"/>
    <w:rsid w:val="00FF3147"/>
    <w:rsid w:val="00FF5259"/>
    <w:rsid w:val="00FF5CCD"/>
    <w:rsid w:val="00FF5D36"/>
    <w:rsid w:val="00FF5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0B5D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1E3"/>
    <w:pPr>
      <w:spacing w:after="100" w:line="400" w:lineRule="exact"/>
      <w:jc w:val="both"/>
    </w:pPr>
    <w:rPr>
      <w:rFonts w:ascii="Century Schoolbook" w:hAnsi="Century Schoolbook"/>
      <w:sz w:val="27"/>
    </w:rPr>
  </w:style>
  <w:style w:type="paragraph" w:styleId="Heading1">
    <w:name w:val="heading 1"/>
    <w:basedOn w:val="Normal"/>
    <w:next w:val="Normal"/>
    <w:qFormat/>
    <w:rsid w:val="005E00EC"/>
    <w:pPr>
      <w:keepNext/>
      <w:spacing w:before="140" w:line="240" w:lineRule="atLeast"/>
      <w:jc w:val="center"/>
      <w:outlineLvl w:val="0"/>
    </w:pPr>
    <w:rPr>
      <w:b/>
      <w:smallCaps/>
    </w:rPr>
  </w:style>
  <w:style w:type="paragraph" w:styleId="Heading2">
    <w:name w:val="heading 2"/>
    <w:basedOn w:val="Normal"/>
    <w:next w:val="Normal"/>
    <w:qFormat/>
    <w:rsid w:val="005E00EC"/>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E00EC"/>
    <w:pPr>
      <w:keepNext/>
      <w:tabs>
        <w:tab w:val="left" w:pos="1584"/>
      </w:tabs>
      <w:spacing w:before="140" w:line="240" w:lineRule="atLeast"/>
      <w:ind w:left="1584" w:hanging="432"/>
      <w:jc w:val="left"/>
      <w:outlineLvl w:val="2"/>
    </w:pPr>
    <w:rPr>
      <w:i/>
    </w:rPr>
  </w:style>
  <w:style w:type="paragraph" w:styleId="Heading4">
    <w:name w:val="heading 4"/>
    <w:basedOn w:val="Normal"/>
    <w:rsid w:val="005E00EC"/>
    <w:pPr>
      <w:keepNext/>
      <w:tabs>
        <w:tab w:val="left" w:pos="2016"/>
      </w:tabs>
      <w:spacing w:before="140" w:line="240" w:lineRule="atLeast"/>
      <w:ind w:left="2016" w:hanging="432"/>
      <w:jc w:val="left"/>
      <w:outlineLvl w:val="3"/>
    </w:pPr>
    <w:rPr>
      <w:i/>
    </w:rPr>
  </w:style>
  <w:style w:type="paragraph" w:styleId="Heading5">
    <w:name w:val="heading 5"/>
    <w:basedOn w:val="Normal"/>
    <w:rsid w:val="005E00EC"/>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5E00EC"/>
    <w:pPr>
      <w:ind w:left="720"/>
    </w:pPr>
  </w:style>
  <w:style w:type="paragraph" w:styleId="Footer">
    <w:name w:val="footer"/>
    <w:basedOn w:val="Normal"/>
    <w:link w:val="FooterChar"/>
    <w:qFormat/>
    <w:rsid w:val="005E00EC"/>
    <w:pPr>
      <w:tabs>
        <w:tab w:val="center" w:pos="3960"/>
        <w:tab w:val="right" w:pos="10080"/>
      </w:tabs>
      <w:spacing w:after="0" w:line="240" w:lineRule="auto"/>
      <w:jc w:val="center"/>
    </w:pPr>
    <w:rPr>
      <w:sz w:val="22"/>
    </w:rPr>
  </w:style>
  <w:style w:type="paragraph" w:styleId="Header">
    <w:name w:val="header"/>
    <w:basedOn w:val="Normal"/>
    <w:qFormat/>
    <w:rsid w:val="005E00EC"/>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E00EC"/>
    <w:rPr>
      <w:rFonts w:ascii="Century Schoolbook" w:hAnsi="Century Schoolbook"/>
      <w:b/>
      <w:i w:val="0"/>
      <w:position w:val="4"/>
      <w:sz w:val="27"/>
      <w:vertAlign w:val="superscript"/>
    </w:rPr>
  </w:style>
  <w:style w:type="paragraph" w:styleId="FootnoteText">
    <w:name w:val="footnote text"/>
    <w:basedOn w:val="Normal"/>
    <w:link w:val="FootnoteTextChar"/>
    <w:rsid w:val="005E00EC"/>
    <w:pPr>
      <w:spacing w:line="300" w:lineRule="exact"/>
    </w:pPr>
  </w:style>
  <w:style w:type="paragraph" w:customStyle="1" w:styleId="Title1">
    <w:name w:val="Title1"/>
    <w:basedOn w:val="Normal"/>
    <w:rsid w:val="005E00EC"/>
    <w:pPr>
      <w:tabs>
        <w:tab w:val="left" w:pos="5760"/>
        <w:tab w:val="left" w:pos="6480"/>
      </w:tabs>
      <w:spacing w:line="240" w:lineRule="atLeast"/>
    </w:pPr>
  </w:style>
  <w:style w:type="paragraph" w:customStyle="1" w:styleId="Recommend">
    <w:name w:val="Recommend"/>
    <w:basedOn w:val="Normal"/>
    <w:rsid w:val="005E00EC"/>
  </w:style>
  <w:style w:type="paragraph" w:customStyle="1" w:styleId="Summary">
    <w:name w:val="Summary"/>
    <w:basedOn w:val="Normal"/>
    <w:rsid w:val="005E00EC"/>
    <w:pPr>
      <w:ind w:left="2160" w:hanging="2160"/>
    </w:pPr>
  </w:style>
  <w:style w:type="paragraph" w:customStyle="1" w:styleId="Text">
    <w:name w:val="Text"/>
    <w:basedOn w:val="Normal"/>
    <w:rsid w:val="005E00EC"/>
    <w:pPr>
      <w:tabs>
        <w:tab w:val="left" w:pos="720"/>
        <w:tab w:val="left" w:pos="1440"/>
        <w:tab w:val="left" w:pos="2160"/>
        <w:tab w:val="center" w:pos="4320"/>
      </w:tabs>
      <w:spacing w:line="480" w:lineRule="atLeast"/>
      <w:ind w:firstLine="540"/>
    </w:pPr>
  </w:style>
  <w:style w:type="paragraph" w:styleId="Date">
    <w:name w:val="Date"/>
    <w:basedOn w:val="Normal"/>
    <w:semiHidden/>
    <w:rsid w:val="005E00EC"/>
    <w:pPr>
      <w:jc w:val="right"/>
    </w:pPr>
  </w:style>
  <w:style w:type="character" w:styleId="PageNumber">
    <w:name w:val="page number"/>
    <w:basedOn w:val="DefaultParagraphFont"/>
    <w:rsid w:val="005E00EC"/>
  </w:style>
  <w:style w:type="paragraph" w:customStyle="1" w:styleId="subject">
    <w:name w:val="subject"/>
    <w:basedOn w:val="Normal"/>
    <w:rsid w:val="005E00EC"/>
    <w:pPr>
      <w:tabs>
        <w:tab w:val="left" w:pos="1008"/>
      </w:tabs>
      <w:ind w:left="990" w:hanging="990"/>
    </w:pPr>
    <w:rPr>
      <w:b/>
    </w:rPr>
  </w:style>
  <w:style w:type="paragraph" w:customStyle="1" w:styleId="Titles">
    <w:name w:val="Titles"/>
    <w:basedOn w:val="Normal"/>
    <w:rsid w:val="005E00EC"/>
    <w:pPr>
      <w:tabs>
        <w:tab w:val="left" w:pos="2160"/>
      </w:tabs>
      <w:ind w:left="2160" w:hanging="2160"/>
    </w:pPr>
    <w:rPr>
      <w:b/>
    </w:rPr>
  </w:style>
  <w:style w:type="paragraph" w:styleId="TOAHeading">
    <w:name w:val="toa heading"/>
    <w:basedOn w:val="Normal"/>
    <w:next w:val="Normal"/>
    <w:semiHidden/>
    <w:rsid w:val="005E00EC"/>
    <w:pPr>
      <w:spacing w:before="120"/>
    </w:pPr>
    <w:rPr>
      <w:b/>
    </w:rPr>
  </w:style>
  <w:style w:type="paragraph" w:styleId="TOC1">
    <w:name w:val="toc 1"/>
    <w:basedOn w:val="Normal"/>
    <w:next w:val="Normal"/>
    <w:autoRedefine/>
    <w:semiHidden/>
    <w:rsid w:val="005E00EC"/>
  </w:style>
  <w:style w:type="paragraph" w:styleId="TOC2">
    <w:name w:val="toc 2"/>
    <w:basedOn w:val="Normal"/>
    <w:next w:val="Normal"/>
    <w:autoRedefine/>
    <w:semiHidden/>
    <w:rsid w:val="005E00EC"/>
    <w:pPr>
      <w:ind w:left="259"/>
    </w:pPr>
  </w:style>
  <w:style w:type="paragraph" w:styleId="TOC3">
    <w:name w:val="toc 3"/>
    <w:basedOn w:val="Normal"/>
    <w:next w:val="Normal"/>
    <w:autoRedefine/>
    <w:semiHidden/>
    <w:rsid w:val="005E00EC"/>
    <w:pPr>
      <w:ind w:left="520"/>
    </w:pPr>
  </w:style>
  <w:style w:type="paragraph" w:styleId="TOC4">
    <w:name w:val="toc 4"/>
    <w:basedOn w:val="Normal"/>
    <w:next w:val="Normal"/>
    <w:autoRedefine/>
    <w:semiHidden/>
    <w:rsid w:val="005E00EC"/>
    <w:pPr>
      <w:ind w:left="780"/>
    </w:pPr>
  </w:style>
  <w:style w:type="paragraph" w:styleId="TOC5">
    <w:name w:val="toc 5"/>
    <w:basedOn w:val="Normal"/>
    <w:next w:val="Normal"/>
    <w:autoRedefine/>
    <w:semiHidden/>
    <w:rsid w:val="005E00EC"/>
    <w:pPr>
      <w:ind w:left="1040"/>
    </w:pPr>
  </w:style>
  <w:style w:type="paragraph" w:styleId="TOC6">
    <w:name w:val="toc 6"/>
    <w:basedOn w:val="Normal"/>
    <w:next w:val="Normal"/>
    <w:autoRedefine/>
    <w:semiHidden/>
    <w:rsid w:val="005E00EC"/>
    <w:pPr>
      <w:ind w:left="1300"/>
    </w:pPr>
  </w:style>
  <w:style w:type="paragraph" w:styleId="TOC7">
    <w:name w:val="toc 7"/>
    <w:basedOn w:val="Normal"/>
    <w:next w:val="Normal"/>
    <w:autoRedefine/>
    <w:semiHidden/>
    <w:rsid w:val="005E00EC"/>
    <w:pPr>
      <w:ind w:left="1560"/>
    </w:pPr>
  </w:style>
  <w:style w:type="paragraph" w:styleId="TOC8">
    <w:name w:val="toc 8"/>
    <w:basedOn w:val="Normal"/>
    <w:next w:val="Normal"/>
    <w:autoRedefine/>
    <w:semiHidden/>
    <w:rsid w:val="005E00EC"/>
    <w:pPr>
      <w:ind w:left="1820"/>
    </w:pPr>
  </w:style>
  <w:style w:type="paragraph" w:styleId="TOC9">
    <w:name w:val="toc 9"/>
    <w:basedOn w:val="Normal"/>
    <w:next w:val="Normal"/>
    <w:autoRedefine/>
    <w:semiHidden/>
    <w:rsid w:val="005E00EC"/>
    <w:pPr>
      <w:ind w:left="2080"/>
    </w:pPr>
  </w:style>
  <w:style w:type="paragraph" w:customStyle="1" w:styleId="Contents">
    <w:name w:val="Contents"/>
    <w:basedOn w:val="Normal"/>
    <w:rsid w:val="005E00EC"/>
    <w:pPr>
      <w:jc w:val="center"/>
    </w:pPr>
    <w:rPr>
      <w:b/>
      <w:spacing w:val="100"/>
    </w:rPr>
  </w:style>
  <w:style w:type="paragraph" w:styleId="ListParagraph">
    <w:name w:val="List Paragraph"/>
    <w:basedOn w:val="Normal"/>
    <w:uiPriority w:val="34"/>
    <w:qFormat/>
    <w:rsid w:val="00C74F19"/>
    <w:pPr>
      <w:ind w:left="720"/>
      <w:contextualSpacing/>
    </w:pPr>
  </w:style>
  <w:style w:type="character" w:styleId="CommentReference">
    <w:name w:val="annotation reference"/>
    <w:basedOn w:val="DefaultParagraphFont"/>
    <w:uiPriority w:val="99"/>
    <w:semiHidden/>
    <w:unhideWhenUsed/>
    <w:rsid w:val="005149C0"/>
    <w:rPr>
      <w:sz w:val="16"/>
      <w:szCs w:val="16"/>
    </w:rPr>
  </w:style>
  <w:style w:type="paragraph" w:styleId="CommentText">
    <w:name w:val="annotation text"/>
    <w:basedOn w:val="Normal"/>
    <w:link w:val="CommentTextChar"/>
    <w:uiPriority w:val="99"/>
    <w:semiHidden/>
    <w:unhideWhenUsed/>
    <w:rsid w:val="005149C0"/>
    <w:rPr>
      <w:sz w:val="20"/>
    </w:rPr>
  </w:style>
  <w:style w:type="character" w:customStyle="1" w:styleId="CommentTextChar">
    <w:name w:val="Comment Text Char"/>
    <w:basedOn w:val="DefaultParagraphFont"/>
    <w:link w:val="CommentText"/>
    <w:uiPriority w:val="99"/>
    <w:semiHidden/>
    <w:rsid w:val="005149C0"/>
  </w:style>
  <w:style w:type="paragraph" w:styleId="CommentSubject">
    <w:name w:val="annotation subject"/>
    <w:basedOn w:val="CommentText"/>
    <w:next w:val="CommentText"/>
    <w:link w:val="CommentSubjectChar"/>
    <w:uiPriority w:val="99"/>
    <w:semiHidden/>
    <w:unhideWhenUsed/>
    <w:rsid w:val="005149C0"/>
    <w:rPr>
      <w:b/>
      <w:bCs/>
    </w:rPr>
  </w:style>
  <w:style w:type="character" w:customStyle="1" w:styleId="CommentSubjectChar">
    <w:name w:val="Comment Subject Char"/>
    <w:basedOn w:val="CommentTextChar"/>
    <w:link w:val="CommentSubject"/>
    <w:uiPriority w:val="99"/>
    <w:semiHidden/>
    <w:rsid w:val="005149C0"/>
    <w:rPr>
      <w:b/>
      <w:bCs/>
    </w:rPr>
  </w:style>
  <w:style w:type="paragraph" w:styleId="BalloonText">
    <w:name w:val="Balloon Text"/>
    <w:basedOn w:val="Normal"/>
    <w:link w:val="BalloonTextChar"/>
    <w:uiPriority w:val="99"/>
    <w:semiHidden/>
    <w:unhideWhenUsed/>
    <w:rsid w:val="005149C0"/>
    <w:rPr>
      <w:rFonts w:ascii="Tahoma" w:hAnsi="Tahoma" w:cs="Tahoma"/>
      <w:sz w:val="16"/>
      <w:szCs w:val="16"/>
    </w:rPr>
  </w:style>
  <w:style w:type="character" w:customStyle="1" w:styleId="BalloonTextChar">
    <w:name w:val="Balloon Text Char"/>
    <w:basedOn w:val="DefaultParagraphFont"/>
    <w:link w:val="BalloonText"/>
    <w:uiPriority w:val="99"/>
    <w:semiHidden/>
    <w:rsid w:val="005149C0"/>
    <w:rPr>
      <w:rFonts w:ascii="Tahoma" w:hAnsi="Tahoma" w:cs="Tahoma"/>
      <w:sz w:val="16"/>
      <w:szCs w:val="16"/>
    </w:rPr>
  </w:style>
  <w:style w:type="paragraph" w:styleId="Revision">
    <w:name w:val="Revision"/>
    <w:hidden/>
    <w:uiPriority w:val="99"/>
    <w:semiHidden/>
    <w:rsid w:val="005149C0"/>
    <w:rPr>
      <w:sz w:val="26"/>
    </w:rPr>
  </w:style>
  <w:style w:type="character" w:customStyle="1" w:styleId="FooterChar">
    <w:name w:val="Footer Char"/>
    <w:basedOn w:val="DefaultParagraphFont"/>
    <w:link w:val="Footer"/>
    <w:rsid w:val="00523E68"/>
    <w:rPr>
      <w:rFonts w:ascii="Century Schoolbook" w:hAnsi="Century Schoolbook"/>
      <w:sz w:val="22"/>
    </w:rPr>
  </w:style>
  <w:style w:type="character" w:customStyle="1" w:styleId="FootnoteTextChar">
    <w:name w:val="Footnote Text Char"/>
    <w:basedOn w:val="DefaultParagraphFont"/>
    <w:link w:val="FootnoteText"/>
    <w:rsid w:val="00090997"/>
    <w:rPr>
      <w:rFonts w:ascii="Century Schoolbook" w:hAnsi="Century Schoolbook"/>
      <w:sz w:val="27"/>
    </w:rPr>
  </w:style>
  <w:style w:type="character" w:styleId="Hyperlink">
    <w:name w:val="Hyperlink"/>
    <w:basedOn w:val="DefaultParagraphFont"/>
    <w:uiPriority w:val="99"/>
    <w:unhideWhenUsed/>
    <w:rsid w:val="00A719C1"/>
    <w:rPr>
      <w:color w:val="0000FF" w:themeColor="hyperlink"/>
      <w:u w:val="single"/>
    </w:rPr>
  </w:style>
  <w:style w:type="character" w:styleId="UnresolvedMention">
    <w:name w:val="Unresolved Mention"/>
    <w:basedOn w:val="DefaultParagraphFont"/>
    <w:uiPriority w:val="99"/>
    <w:semiHidden/>
    <w:unhideWhenUsed/>
    <w:rsid w:val="00A719C1"/>
    <w:rPr>
      <w:color w:val="605E5C"/>
      <w:shd w:val="clear" w:color="auto" w:fill="E1DFDD"/>
    </w:rPr>
  </w:style>
  <w:style w:type="paragraph" w:customStyle="1" w:styleId="notetext">
    <w:name w:val="notetext"/>
    <w:basedOn w:val="Normal"/>
    <w:rsid w:val="00A00129"/>
    <w:pPr>
      <w:spacing w:before="100" w:beforeAutospacing="1" w:afterAutospacing="1"/>
    </w:pPr>
    <w:rPr>
      <w:sz w:val="24"/>
      <w:szCs w:val="24"/>
    </w:rPr>
  </w:style>
  <w:style w:type="character" w:styleId="FollowedHyperlink">
    <w:name w:val="FollowedHyperlink"/>
    <w:basedOn w:val="DefaultParagraphFont"/>
    <w:uiPriority w:val="99"/>
    <w:semiHidden/>
    <w:unhideWhenUsed/>
    <w:rsid w:val="00EB7DCF"/>
    <w:rPr>
      <w:color w:val="800080" w:themeColor="followedHyperlink"/>
      <w:u w:val="single"/>
    </w:rPr>
  </w:style>
  <w:style w:type="paragraph" w:styleId="BodyText">
    <w:name w:val="Body Text"/>
    <w:basedOn w:val="Normal"/>
    <w:link w:val="BodyTextChar"/>
    <w:qFormat/>
    <w:rsid w:val="005E00EC"/>
  </w:style>
  <w:style w:type="character" w:customStyle="1" w:styleId="BodyTextChar">
    <w:name w:val="Body Text Char"/>
    <w:basedOn w:val="DefaultParagraphFont"/>
    <w:link w:val="BodyText"/>
    <w:rsid w:val="005E00EC"/>
    <w:rPr>
      <w:rFonts w:ascii="Century Schoolbook" w:hAnsi="Century Schoolbook"/>
      <w:sz w:val="27"/>
    </w:rPr>
  </w:style>
  <w:style w:type="character" w:customStyle="1" w:styleId="NormalIndentChar">
    <w:name w:val="Normal Indent Char"/>
    <w:link w:val="NormalIndent"/>
    <w:rsid w:val="000F1464"/>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6239">
      <w:bodyDiv w:val="1"/>
      <w:marLeft w:val="0"/>
      <w:marRight w:val="0"/>
      <w:marTop w:val="0"/>
      <w:marBottom w:val="0"/>
      <w:divBdr>
        <w:top w:val="none" w:sz="0" w:space="0" w:color="auto"/>
        <w:left w:val="none" w:sz="0" w:space="0" w:color="auto"/>
        <w:bottom w:val="none" w:sz="0" w:space="0" w:color="auto"/>
        <w:right w:val="none" w:sz="0" w:space="0" w:color="auto"/>
      </w:divBdr>
    </w:div>
    <w:div w:id="30766910">
      <w:bodyDiv w:val="1"/>
      <w:marLeft w:val="0"/>
      <w:marRight w:val="0"/>
      <w:marTop w:val="0"/>
      <w:marBottom w:val="0"/>
      <w:divBdr>
        <w:top w:val="none" w:sz="0" w:space="0" w:color="auto"/>
        <w:left w:val="none" w:sz="0" w:space="0" w:color="auto"/>
        <w:bottom w:val="none" w:sz="0" w:space="0" w:color="auto"/>
        <w:right w:val="none" w:sz="0" w:space="0" w:color="auto"/>
      </w:divBdr>
    </w:div>
    <w:div w:id="85809364">
      <w:bodyDiv w:val="1"/>
      <w:marLeft w:val="0"/>
      <w:marRight w:val="0"/>
      <w:marTop w:val="0"/>
      <w:marBottom w:val="0"/>
      <w:divBdr>
        <w:top w:val="none" w:sz="0" w:space="0" w:color="auto"/>
        <w:left w:val="none" w:sz="0" w:space="0" w:color="auto"/>
        <w:bottom w:val="none" w:sz="0" w:space="0" w:color="auto"/>
        <w:right w:val="none" w:sz="0" w:space="0" w:color="auto"/>
      </w:divBdr>
    </w:div>
    <w:div w:id="89082500">
      <w:bodyDiv w:val="1"/>
      <w:marLeft w:val="0"/>
      <w:marRight w:val="0"/>
      <w:marTop w:val="0"/>
      <w:marBottom w:val="0"/>
      <w:divBdr>
        <w:top w:val="none" w:sz="0" w:space="0" w:color="auto"/>
        <w:left w:val="none" w:sz="0" w:space="0" w:color="auto"/>
        <w:bottom w:val="none" w:sz="0" w:space="0" w:color="auto"/>
        <w:right w:val="none" w:sz="0" w:space="0" w:color="auto"/>
      </w:divBdr>
    </w:div>
    <w:div w:id="97410526">
      <w:bodyDiv w:val="1"/>
      <w:marLeft w:val="0"/>
      <w:marRight w:val="0"/>
      <w:marTop w:val="0"/>
      <w:marBottom w:val="0"/>
      <w:divBdr>
        <w:top w:val="none" w:sz="0" w:space="0" w:color="auto"/>
        <w:left w:val="none" w:sz="0" w:space="0" w:color="auto"/>
        <w:bottom w:val="none" w:sz="0" w:space="0" w:color="auto"/>
        <w:right w:val="none" w:sz="0" w:space="0" w:color="auto"/>
      </w:divBdr>
    </w:div>
    <w:div w:id="97531356">
      <w:bodyDiv w:val="1"/>
      <w:marLeft w:val="0"/>
      <w:marRight w:val="0"/>
      <w:marTop w:val="0"/>
      <w:marBottom w:val="0"/>
      <w:divBdr>
        <w:top w:val="none" w:sz="0" w:space="0" w:color="auto"/>
        <w:left w:val="none" w:sz="0" w:space="0" w:color="auto"/>
        <w:bottom w:val="none" w:sz="0" w:space="0" w:color="auto"/>
        <w:right w:val="none" w:sz="0" w:space="0" w:color="auto"/>
      </w:divBdr>
    </w:div>
    <w:div w:id="144205804">
      <w:bodyDiv w:val="1"/>
      <w:marLeft w:val="0"/>
      <w:marRight w:val="0"/>
      <w:marTop w:val="0"/>
      <w:marBottom w:val="0"/>
      <w:divBdr>
        <w:top w:val="none" w:sz="0" w:space="0" w:color="auto"/>
        <w:left w:val="none" w:sz="0" w:space="0" w:color="auto"/>
        <w:bottom w:val="none" w:sz="0" w:space="0" w:color="auto"/>
        <w:right w:val="none" w:sz="0" w:space="0" w:color="auto"/>
      </w:divBdr>
    </w:div>
    <w:div w:id="149684427">
      <w:bodyDiv w:val="1"/>
      <w:marLeft w:val="0"/>
      <w:marRight w:val="0"/>
      <w:marTop w:val="0"/>
      <w:marBottom w:val="0"/>
      <w:divBdr>
        <w:top w:val="none" w:sz="0" w:space="0" w:color="auto"/>
        <w:left w:val="none" w:sz="0" w:space="0" w:color="auto"/>
        <w:bottom w:val="none" w:sz="0" w:space="0" w:color="auto"/>
        <w:right w:val="none" w:sz="0" w:space="0" w:color="auto"/>
      </w:divBdr>
    </w:div>
    <w:div w:id="173569200">
      <w:bodyDiv w:val="1"/>
      <w:marLeft w:val="0"/>
      <w:marRight w:val="0"/>
      <w:marTop w:val="0"/>
      <w:marBottom w:val="0"/>
      <w:divBdr>
        <w:top w:val="none" w:sz="0" w:space="0" w:color="auto"/>
        <w:left w:val="none" w:sz="0" w:space="0" w:color="auto"/>
        <w:bottom w:val="none" w:sz="0" w:space="0" w:color="auto"/>
        <w:right w:val="none" w:sz="0" w:space="0" w:color="auto"/>
      </w:divBdr>
    </w:div>
    <w:div w:id="239215333">
      <w:bodyDiv w:val="1"/>
      <w:marLeft w:val="0"/>
      <w:marRight w:val="0"/>
      <w:marTop w:val="0"/>
      <w:marBottom w:val="0"/>
      <w:divBdr>
        <w:top w:val="none" w:sz="0" w:space="0" w:color="auto"/>
        <w:left w:val="none" w:sz="0" w:space="0" w:color="auto"/>
        <w:bottom w:val="none" w:sz="0" w:space="0" w:color="auto"/>
        <w:right w:val="none" w:sz="0" w:space="0" w:color="auto"/>
      </w:divBdr>
    </w:div>
    <w:div w:id="307438829">
      <w:bodyDiv w:val="1"/>
      <w:marLeft w:val="0"/>
      <w:marRight w:val="0"/>
      <w:marTop w:val="0"/>
      <w:marBottom w:val="0"/>
      <w:divBdr>
        <w:top w:val="none" w:sz="0" w:space="0" w:color="auto"/>
        <w:left w:val="none" w:sz="0" w:space="0" w:color="auto"/>
        <w:bottom w:val="none" w:sz="0" w:space="0" w:color="auto"/>
        <w:right w:val="none" w:sz="0" w:space="0" w:color="auto"/>
      </w:divBdr>
    </w:div>
    <w:div w:id="362941864">
      <w:bodyDiv w:val="1"/>
      <w:marLeft w:val="0"/>
      <w:marRight w:val="0"/>
      <w:marTop w:val="0"/>
      <w:marBottom w:val="0"/>
      <w:divBdr>
        <w:top w:val="none" w:sz="0" w:space="0" w:color="auto"/>
        <w:left w:val="none" w:sz="0" w:space="0" w:color="auto"/>
        <w:bottom w:val="none" w:sz="0" w:space="0" w:color="auto"/>
        <w:right w:val="none" w:sz="0" w:space="0" w:color="auto"/>
      </w:divBdr>
    </w:div>
    <w:div w:id="376321188">
      <w:bodyDiv w:val="1"/>
      <w:marLeft w:val="0"/>
      <w:marRight w:val="0"/>
      <w:marTop w:val="0"/>
      <w:marBottom w:val="0"/>
      <w:divBdr>
        <w:top w:val="none" w:sz="0" w:space="0" w:color="auto"/>
        <w:left w:val="none" w:sz="0" w:space="0" w:color="auto"/>
        <w:bottom w:val="none" w:sz="0" w:space="0" w:color="auto"/>
        <w:right w:val="none" w:sz="0" w:space="0" w:color="auto"/>
      </w:divBdr>
    </w:div>
    <w:div w:id="377361256">
      <w:bodyDiv w:val="1"/>
      <w:marLeft w:val="0"/>
      <w:marRight w:val="0"/>
      <w:marTop w:val="0"/>
      <w:marBottom w:val="0"/>
      <w:divBdr>
        <w:top w:val="none" w:sz="0" w:space="0" w:color="auto"/>
        <w:left w:val="none" w:sz="0" w:space="0" w:color="auto"/>
        <w:bottom w:val="none" w:sz="0" w:space="0" w:color="auto"/>
        <w:right w:val="none" w:sz="0" w:space="0" w:color="auto"/>
      </w:divBdr>
    </w:div>
    <w:div w:id="433940886">
      <w:bodyDiv w:val="1"/>
      <w:marLeft w:val="0"/>
      <w:marRight w:val="0"/>
      <w:marTop w:val="0"/>
      <w:marBottom w:val="0"/>
      <w:divBdr>
        <w:top w:val="none" w:sz="0" w:space="0" w:color="auto"/>
        <w:left w:val="none" w:sz="0" w:space="0" w:color="auto"/>
        <w:bottom w:val="none" w:sz="0" w:space="0" w:color="auto"/>
        <w:right w:val="none" w:sz="0" w:space="0" w:color="auto"/>
      </w:divBdr>
    </w:div>
    <w:div w:id="461701967">
      <w:bodyDiv w:val="1"/>
      <w:marLeft w:val="0"/>
      <w:marRight w:val="0"/>
      <w:marTop w:val="0"/>
      <w:marBottom w:val="0"/>
      <w:divBdr>
        <w:top w:val="none" w:sz="0" w:space="0" w:color="auto"/>
        <w:left w:val="none" w:sz="0" w:space="0" w:color="auto"/>
        <w:bottom w:val="none" w:sz="0" w:space="0" w:color="auto"/>
        <w:right w:val="none" w:sz="0" w:space="0" w:color="auto"/>
      </w:divBdr>
    </w:div>
    <w:div w:id="479349261">
      <w:bodyDiv w:val="1"/>
      <w:marLeft w:val="0"/>
      <w:marRight w:val="0"/>
      <w:marTop w:val="0"/>
      <w:marBottom w:val="0"/>
      <w:divBdr>
        <w:top w:val="none" w:sz="0" w:space="0" w:color="auto"/>
        <w:left w:val="none" w:sz="0" w:space="0" w:color="auto"/>
        <w:bottom w:val="none" w:sz="0" w:space="0" w:color="auto"/>
        <w:right w:val="none" w:sz="0" w:space="0" w:color="auto"/>
      </w:divBdr>
    </w:div>
    <w:div w:id="481895230">
      <w:bodyDiv w:val="1"/>
      <w:marLeft w:val="0"/>
      <w:marRight w:val="0"/>
      <w:marTop w:val="0"/>
      <w:marBottom w:val="0"/>
      <w:divBdr>
        <w:top w:val="none" w:sz="0" w:space="0" w:color="auto"/>
        <w:left w:val="none" w:sz="0" w:space="0" w:color="auto"/>
        <w:bottom w:val="none" w:sz="0" w:space="0" w:color="auto"/>
        <w:right w:val="none" w:sz="0" w:space="0" w:color="auto"/>
      </w:divBdr>
    </w:div>
    <w:div w:id="494423181">
      <w:bodyDiv w:val="1"/>
      <w:marLeft w:val="0"/>
      <w:marRight w:val="0"/>
      <w:marTop w:val="0"/>
      <w:marBottom w:val="0"/>
      <w:divBdr>
        <w:top w:val="none" w:sz="0" w:space="0" w:color="auto"/>
        <w:left w:val="none" w:sz="0" w:space="0" w:color="auto"/>
        <w:bottom w:val="none" w:sz="0" w:space="0" w:color="auto"/>
        <w:right w:val="none" w:sz="0" w:space="0" w:color="auto"/>
      </w:divBdr>
    </w:div>
    <w:div w:id="510997776">
      <w:bodyDiv w:val="1"/>
      <w:marLeft w:val="0"/>
      <w:marRight w:val="0"/>
      <w:marTop w:val="0"/>
      <w:marBottom w:val="0"/>
      <w:divBdr>
        <w:top w:val="none" w:sz="0" w:space="0" w:color="auto"/>
        <w:left w:val="none" w:sz="0" w:space="0" w:color="auto"/>
        <w:bottom w:val="none" w:sz="0" w:space="0" w:color="auto"/>
        <w:right w:val="none" w:sz="0" w:space="0" w:color="auto"/>
      </w:divBdr>
    </w:div>
    <w:div w:id="524710213">
      <w:bodyDiv w:val="1"/>
      <w:marLeft w:val="0"/>
      <w:marRight w:val="0"/>
      <w:marTop w:val="0"/>
      <w:marBottom w:val="0"/>
      <w:divBdr>
        <w:top w:val="none" w:sz="0" w:space="0" w:color="auto"/>
        <w:left w:val="none" w:sz="0" w:space="0" w:color="auto"/>
        <w:bottom w:val="none" w:sz="0" w:space="0" w:color="auto"/>
        <w:right w:val="none" w:sz="0" w:space="0" w:color="auto"/>
      </w:divBdr>
    </w:div>
    <w:div w:id="525682895">
      <w:bodyDiv w:val="1"/>
      <w:marLeft w:val="0"/>
      <w:marRight w:val="0"/>
      <w:marTop w:val="0"/>
      <w:marBottom w:val="0"/>
      <w:divBdr>
        <w:top w:val="none" w:sz="0" w:space="0" w:color="auto"/>
        <w:left w:val="none" w:sz="0" w:space="0" w:color="auto"/>
        <w:bottom w:val="none" w:sz="0" w:space="0" w:color="auto"/>
        <w:right w:val="none" w:sz="0" w:space="0" w:color="auto"/>
      </w:divBdr>
    </w:div>
    <w:div w:id="571309183">
      <w:bodyDiv w:val="1"/>
      <w:marLeft w:val="0"/>
      <w:marRight w:val="0"/>
      <w:marTop w:val="0"/>
      <w:marBottom w:val="0"/>
      <w:divBdr>
        <w:top w:val="none" w:sz="0" w:space="0" w:color="auto"/>
        <w:left w:val="none" w:sz="0" w:space="0" w:color="auto"/>
        <w:bottom w:val="none" w:sz="0" w:space="0" w:color="auto"/>
        <w:right w:val="none" w:sz="0" w:space="0" w:color="auto"/>
      </w:divBdr>
    </w:div>
    <w:div w:id="626812604">
      <w:bodyDiv w:val="1"/>
      <w:marLeft w:val="0"/>
      <w:marRight w:val="0"/>
      <w:marTop w:val="0"/>
      <w:marBottom w:val="0"/>
      <w:divBdr>
        <w:top w:val="none" w:sz="0" w:space="0" w:color="auto"/>
        <w:left w:val="none" w:sz="0" w:space="0" w:color="auto"/>
        <w:bottom w:val="none" w:sz="0" w:space="0" w:color="auto"/>
        <w:right w:val="none" w:sz="0" w:space="0" w:color="auto"/>
      </w:divBdr>
    </w:div>
    <w:div w:id="672151563">
      <w:bodyDiv w:val="1"/>
      <w:marLeft w:val="0"/>
      <w:marRight w:val="0"/>
      <w:marTop w:val="0"/>
      <w:marBottom w:val="0"/>
      <w:divBdr>
        <w:top w:val="none" w:sz="0" w:space="0" w:color="auto"/>
        <w:left w:val="none" w:sz="0" w:space="0" w:color="auto"/>
        <w:bottom w:val="none" w:sz="0" w:space="0" w:color="auto"/>
        <w:right w:val="none" w:sz="0" w:space="0" w:color="auto"/>
      </w:divBdr>
    </w:div>
    <w:div w:id="727147096">
      <w:bodyDiv w:val="1"/>
      <w:marLeft w:val="0"/>
      <w:marRight w:val="0"/>
      <w:marTop w:val="0"/>
      <w:marBottom w:val="0"/>
      <w:divBdr>
        <w:top w:val="none" w:sz="0" w:space="0" w:color="auto"/>
        <w:left w:val="none" w:sz="0" w:space="0" w:color="auto"/>
        <w:bottom w:val="none" w:sz="0" w:space="0" w:color="auto"/>
        <w:right w:val="none" w:sz="0" w:space="0" w:color="auto"/>
      </w:divBdr>
    </w:div>
    <w:div w:id="736514580">
      <w:bodyDiv w:val="1"/>
      <w:marLeft w:val="0"/>
      <w:marRight w:val="0"/>
      <w:marTop w:val="0"/>
      <w:marBottom w:val="0"/>
      <w:divBdr>
        <w:top w:val="none" w:sz="0" w:space="0" w:color="auto"/>
        <w:left w:val="none" w:sz="0" w:space="0" w:color="auto"/>
        <w:bottom w:val="none" w:sz="0" w:space="0" w:color="auto"/>
        <w:right w:val="none" w:sz="0" w:space="0" w:color="auto"/>
      </w:divBdr>
    </w:div>
    <w:div w:id="753168343">
      <w:bodyDiv w:val="1"/>
      <w:marLeft w:val="0"/>
      <w:marRight w:val="0"/>
      <w:marTop w:val="0"/>
      <w:marBottom w:val="0"/>
      <w:divBdr>
        <w:top w:val="none" w:sz="0" w:space="0" w:color="auto"/>
        <w:left w:val="none" w:sz="0" w:space="0" w:color="auto"/>
        <w:bottom w:val="none" w:sz="0" w:space="0" w:color="auto"/>
        <w:right w:val="none" w:sz="0" w:space="0" w:color="auto"/>
      </w:divBdr>
    </w:div>
    <w:div w:id="803959943">
      <w:bodyDiv w:val="1"/>
      <w:marLeft w:val="0"/>
      <w:marRight w:val="0"/>
      <w:marTop w:val="0"/>
      <w:marBottom w:val="0"/>
      <w:divBdr>
        <w:top w:val="none" w:sz="0" w:space="0" w:color="auto"/>
        <w:left w:val="none" w:sz="0" w:space="0" w:color="auto"/>
        <w:bottom w:val="none" w:sz="0" w:space="0" w:color="auto"/>
        <w:right w:val="none" w:sz="0" w:space="0" w:color="auto"/>
      </w:divBdr>
    </w:div>
    <w:div w:id="829248598">
      <w:bodyDiv w:val="1"/>
      <w:marLeft w:val="0"/>
      <w:marRight w:val="0"/>
      <w:marTop w:val="0"/>
      <w:marBottom w:val="0"/>
      <w:divBdr>
        <w:top w:val="none" w:sz="0" w:space="0" w:color="auto"/>
        <w:left w:val="none" w:sz="0" w:space="0" w:color="auto"/>
        <w:bottom w:val="none" w:sz="0" w:space="0" w:color="auto"/>
        <w:right w:val="none" w:sz="0" w:space="0" w:color="auto"/>
      </w:divBdr>
    </w:div>
    <w:div w:id="845633483">
      <w:bodyDiv w:val="1"/>
      <w:marLeft w:val="0"/>
      <w:marRight w:val="0"/>
      <w:marTop w:val="0"/>
      <w:marBottom w:val="0"/>
      <w:divBdr>
        <w:top w:val="none" w:sz="0" w:space="0" w:color="auto"/>
        <w:left w:val="none" w:sz="0" w:space="0" w:color="auto"/>
        <w:bottom w:val="none" w:sz="0" w:space="0" w:color="auto"/>
        <w:right w:val="none" w:sz="0" w:space="0" w:color="auto"/>
      </w:divBdr>
      <w:divsChild>
        <w:div w:id="292295416">
          <w:marLeft w:val="0"/>
          <w:marRight w:val="0"/>
          <w:marTop w:val="0"/>
          <w:marBottom w:val="0"/>
          <w:divBdr>
            <w:top w:val="none" w:sz="0" w:space="0" w:color="auto"/>
            <w:left w:val="none" w:sz="0" w:space="0" w:color="auto"/>
            <w:bottom w:val="none" w:sz="0" w:space="0" w:color="auto"/>
            <w:right w:val="none" w:sz="0" w:space="0" w:color="auto"/>
          </w:divBdr>
        </w:div>
        <w:div w:id="1872380961">
          <w:marLeft w:val="0"/>
          <w:marRight w:val="0"/>
          <w:marTop w:val="240"/>
          <w:marBottom w:val="0"/>
          <w:divBdr>
            <w:top w:val="none" w:sz="0" w:space="0" w:color="auto"/>
            <w:left w:val="none" w:sz="0" w:space="0" w:color="auto"/>
            <w:bottom w:val="none" w:sz="0" w:space="0" w:color="auto"/>
            <w:right w:val="none" w:sz="0" w:space="0" w:color="auto"/>
          </w:divBdr>
          <w:divsChild>
            <w:div w:id="885800446">
              <w:marLeft w:val="0"/>
              <w:marRight w:val="0"/>
              <w:marTop w:val="0"/>
              <w:marBottom w:val="0"/>
              <w:divBdr>
                <w:top w:val="none" w:sz="0" w:space="0" w:color="auto"/>
                <w:left w:val="none" w:sz="0" w:space="0" w:color="auto"/>
                <w:bottom w:val="none" w:sz="0" w:space="0" w:color="auto"/>
                <w:right w:val="none" w:sz="0" w:space="0" w:color="auto"/>
              </w:divBdr>
              <w:divsChild>
                <w:div w:id="1302887571">
                  <w:marLeft w:val="0"/>
                  <w:marRight w:val="0"/>
                  <w:marTop w:val="0"/>
                  <w:marBottom w:val="0"/>
                  <w:divBdr>
                    <w:top w:val="none" w:sz="0" w:space="0" w:color="auto"/>
                    <w:left w:val="none" w:sz="0" w:space="0" w:color="auto"/>
                    <w:bottom w:val="none" w:sz="0" w:space="0" w:color="auto"/>
                    <w:right w:val="none" w:sz="0" w:space="0" w:color="auto"/>
                  </w:divBdr>
                </w:div>
              </w:divsChild>
            </w:div>
            <w:div w:id="1619678752">
              <w:marLeft w:val="0"/>
              <w:marRight w:val="0"/>
              <w:marTop w:val="240"/>
              <w:marBottom w:val="0"/>
              <w:divBdr>
                <w:top w:val="none" w:sz="0" w:space="0" w:color="auto"/>
                <w:left w:val="none" w:sz="0" w:space="0" w:color="auto"/>
                <w:bottom w:val="none" w:sz="0" w:space="0" w:color="auto"/>
                <w:right w:val="none" w:sz="0" w:space="0" w:color="auto"/>
              </w:divBdr>
              <w:divsChild>
                <w:div w:id="1709796005">
                  <w:marLeft w:val="0"/>
                  <w:marRight w:val="0"/>
                  <w:marTop w:val="0"/>
                  <w:marBottom w:val="0"/>
                  <w:divBdr>
                    <w:top w:val="none" w:sz="0" w:space="0" w:color="auto"/>
                    <w:left w:val="none" w:sz="0" w:space="0" w:color="auto"/>
                    <w:bottom w:val="none" w:sz="0" w:space="0" w:color="auto"/>
                    <w:right w:val="none" w:sz="0" w:space="0" w:color="auto"/>
                  </w:divBdr>
                  <w:divsChild>
                    <w:div w:id="138536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5062">
              <w:marLeft w:val="0"/>
              <w:marRight w:val="0"/>
              <w:marTop w:val="240"/>
              <w:marBottom w:val="0"/>
              <w:divBdr>
                <w:top w:val="none" w:sz="0" w:space="0" w:color="auto"/>
                <w:left w:val="none" w:sz="0" w:space="0" w:color="auto"/>
                <w:bottom w:val="none" w:sz="0" w:space="0" w:color="auto"/>
                <w:right w:val="none" w:sz="0" w:space="0" w:color="auto"/>
              </w:divBdr>
              <w:divsChild>
                <w:div w:id="1698043361">
                  <w:marLeft w:val="0"/>
                  <w:marRight w:val="0"/>
                  <w:marTop w:val="0"/>
                  <w:marBottom w:val="0"/>
                  <w:divBdr>
                    <w:top w:val="none" w:sz="0" w:space="0" w:color="auto"/>
                    <w:left w:val="none" w:sz="0" w:space="0" w:color="auto"/>
                    <w:bottom w:val="none" w:sz="0" w:space="0" w:color="auto"/>
                    <w:right w:val="none" w:sz="0" w:space="0" w:color="auto"/>
                  </w:divBdr>
                  <w:divsChild>
                    <w:div w:id="5402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108021">
      <w:bodyDiv w:val="1"/>
      <w:marLeft w:val="0"/>
      <w:marRight w:val="0"/>
      <w:marTop w:val="0"/>
      <w:marBottom w:val="0"/>
      <w:divBdr>
        <w:top w:val="none" w:sz="0" w:space="0" w:color="auto"/>
        <w:left w:val="none" w:sz="0" w:space="0" w:color="auto"/>
        <w:bottom w:val="none" w:sz="0" w:space="0" w:color="auto"/>
        <w:right w:val="none" w:sz="0" w:space="0" w:color="auto"/>
      </w:divBdr>
    </w:div>
    <w:div w:id="901448134">
      <w:bodyDiv w:val="1"/>
      <w:marLeft w:val="0"/>
      <w:marRight w:val="0"/>
      <w:marTop w:val="0"/>
      <w:marBottom w:val="0"/>
      <w:divBdr>
        <w:top w:val="none" w:sz="0" w:space="0" w:color="auto"/>
        <w:left w:val="none" w:sz="0" w:space="0" w:color="auto"/>
        <w:bottom w:val="none" w:sz="0" w:space="0" w:color="auto"/>
        <w:right w:val="none" w:sz="0" w:space="0" w:color="auto"/>
      </w:divBdr>
    </w:div>
    <w:div w:id="909001046">
      <w:bodyDiv w:val="1"/>
      <w:marLeft w:val="0"/>
      <w:marRight w:val="0"/>
      <w:marTop w:val="0"/>
      <w:marBottom w:val="0"/>
      <w:divBdr>
        <w:top w:val="none" w:sz="0" w:space="0" w:color="auto"/>
        <w:left w:val="none" w:sz="0" w:space="0" w:color="auto"/>
        <w:bottom w:val="none" w:sz="0" w:space="0" w:color="auto"/>
        <w:right w:val="none" w:sz="0" w:space="0" w:color="auto"/>
      </w:divBdr>
    </w:div>
    <w:div w:id="921719685">
      <w:bodyDiv w:val="1"/>
      <w:marLeft w:val="0"/>
      <w:marRight w:val="0"/>
      <w:marTop w:val="0"/>
      <w:marBottom w:val="0"/>
      <w:divBdr>
        <w:top w:val="none" w:sz="0" w:space="0" w:color="auto"/>
        <w:left w:val="none" w:sz="0" w:space="0" w:color="auto"/>
        <w:bottom w:val="none" w:sz="0" w:space="0" w:color="auto"/>
        <w:right w:val="none" w:sz="0" w:space="0" w:color="auto"/>
      </w:divBdr>
    </w:div>
    <w:div w:id="941842742">
      <w:bodyDiv w:val="1"/>
      <w:marLeft w:val="0"/>
      <w:marRight w:val="0"/>
      <w:marTop w:val="0"/>
      <w:marBottom w:val="0"/>
      <w:divBdr>
        <w:top w:val="none" w:sz="0" w:space="0" w:color="auto"/>
        <w:left w:val="none" w:sz="0" w:space="0" w:color="auto"/>
        <w:bottom w:val="none" w:sz="0" w:space="0" w:color="auto"/>
        <w:right w:val="none" w:sz="0" w:space="0" w:color="auto"/>
      </w:divBdr>
    </w:div>
    <w:div w:id="942541806">
      <w:bodyDiv w:val="1"/>
      <w:marLeft w:val="0"/>
      <w:marRight w:val="0"/>
      <w:marTop w:val="0"/>
      <w:marBottom w:val="0"/>
      <w:divBdr>
        <w:top w:val="none" w:sz="0" w:space="0" w:color="auto"/>
        <w:left w:val="none" w:sz="0" w:space="0" w:color="auto"/>
        <w:bottom w:val="none" w:sz="0" w:space="0" w:color="auto"/>
        <w:right w:val="none" w:sz="0" w:space="0" w:color="auto"/>
      </w:divBdr>
    </w:div>
    <w:div w:id="943657176">
      <w:bodyDiv w:val="1"/>
      <w:marLeft w:val="0"/>
      <w:marRight w:val="0"/>
      <w:marTop w:val="0"/>
      <w:marBottom w:val="0"/>
      <w:divBdr>
        <w:top w:val="none" w:sz="0" w:space="0" w:color="auto"/>
        <w:left w:val="none" w:sz="0" w:space="0" w:color="auto"/>
        <w:bottom w:val="none" w:sz="0" w:space="0" w:color="auto"/>
        <w:right w:val="none" w:sz="0" w:space="0" w:color="auto"/>
      </w:divBdr>
    </w:div>
    <w:div w:id="950015843">
      <w:bodyDiv w:val="1"/>
      <w:marLeft w:val="0"/>
      <w:marRight w:val="0"/>
      <w:marTop w:val="0"/>
      <w:marBottom w:val="0"/>
      <w:divBdr>
        <w:top w:val="none" w:sz="0" w:space="0" w:color="auto"/>
        <w:left w:val="none" w:sz="0" w:space="0" w:color="auto"/>
        <w:bottom w:val="none" w:sz="0" w:space="0" w:color="auto"/>
        <w:right w:val="none" w:sz="0" w:space="0" w:color="auto"/>
      </w:divBdr>
    </w:div>
    <w:div w:id="963855171">
      <w:bodyDiv w:val="1"/>
      <w:marLeft w:val="0"/>
      <w:marRight w:val="0"/>
      <w:marTop w:val="0"/>
      <w:marBottom w:val="0"/>
      <w:divBdr>
        <w:top w:val="none" w:sz="0" w:space="0" w:color="auto"/>
        <w:left w:val="none" w:sz="0" w:space="0" w:color="auto"/>
        <w:bottom w:val="none" w:sz="0" w:space="0" w:color="auto"/>
        <w:right w:val="none" w:sz="0" w:space="0" w:color="auto"/>
      </w:divBdr>
    </w:div>
    <w:div w:id="983120583">
      <w:bodyDiv w:val="1"/>
      <w:marLeft w:val="0"/>
      <w:marRight w:val="0"/>
      <w:marTop w:val="0"/>
      <w:marBottom w:val="0"/>
      <w:divBdr>
        <w:top w:val="none" w:sz="0" w:space="0" w:color="auto"/>
        <w:left w:val="none" w:sz="0" w:space="0" w:color="auto"/>
        <w:bottom w:val="none" w:sz="0" w:space="0" w:color="auto"/>
        <w:right w:val="none" w:sz="0" w:space="0" w:color="auto"/>
      </w:divBdr>
    </w:div>
    <w:div w:id="996345751">
      <w:bodyDiv w:val="1"/>
      <w:marLeft w:val="0"/>
      <w:marRight w:val="0"/>
      <w:marTop w:val="0"/>
      <w:marBottom w:val="0"/>
      <w:divBdr>
        <w:top w:val="none" w:sz="0" w:space="0" w:color="auto"/>
        <w:left w:val="none" w:sz="0" w:space="0" w:color="auto"/>
        <w:bottom w:val="none" w:sz="0" w:space="0" w:color="auto"/>
        <w:right w:val="none" w:sz="0" w:space="0" w:color="auto"/>
      </w:divBdr>
    </w:div>
    <w:div w:id="1013915655">
      <w:bodyDiv w:val="1"/>
      <w:marLeft w:val="0"/>
      <w:marRight w:val="0"/>
      <w:marTop w:val="0"/>
      <w:marBottom w:val="0"/>
      <w:divBdr>
        <w:top w:val="none" w:sz="0" w:space="0" w:color="auto"/>
        <w:left w:val="none" w:sz="0" w:space="0" w:color="auto"/>
        <w:bottom w:val="none" w:sz="0" w:space="0" w:color="auto"/>
        <w:right w:val="none" w:sz="0" w:space="0" w:color="auto"/>
      </w:divBdr>
    </w:div>
    <w:div w:id="1022165508">
      <w:bodyDiv w:val="1"/>
      <w:marLeft w:val="0"/>
      <w:marRight w:val="0"/>
      <w:marTop w:val="0"/>
      <w:marBottom w:val="0"/>
      <w:divBdr>
        <w:top w:val="none" w:sz="0" w:space="0" w:color="auto"/>
        <w:left w:val="none" w:sz="0" w:space="0" w:color="auto"/>
        <w:bottom w:val="none" w:sz="0" w:space="0" w:color="auto"/>
        <w:right w:val="none" w:sz="0" w:space="0" w:color="auto"/>
      </w:divBdr>
    </w:div>
    <w:div w:id="1033111798">
      <w:bodyDiv w:val="1"/>
      <w:marLeft w:val="0"/>
      <w:marRight w:val="0"/>
      <w:marTop w:val="0"/>
      <w:marBottom w:val="0"/>
      <w:divBdr>
        <w:top w:val="none" w:sz="0" w:space="0" w:color="auto"/>
        <w:left w:val="none" w:sz="0" w:space="0" w:color="auto"/>
        <w:bottom w:val="none" w:sz="0" w:space="0" w:color="auto"/>
        <w:right w:val="none" w:sz="0" w:space="0" w:color="auto"/>
      </w:divBdr>
      <w:divsChild>
        <w:div w:id="306059811">
          <w:marLeft w:val="0"/>
          <w:marRight w:val="0"/>
          <w:marTop w:val="0"/>
          <w:marBottom w:val="0"/>
          <w:divBdr>
            <w:top w:val="none" w:sz="0" w:space="0" w:color="auto"/>
            <w:left w:val="none" w:sz="0" w:space="0" w:color="auto"/>
            <w:bottom w:val="none" w:sz="0" w:space="0" w:color="auto"/>
            <w:right w:val="none" w:sz="0" w:space="0" w:color="auto"/>
          </w:divBdr>
          <w:divsChild>
            <w:div w:id="1903979735">
              <w:marLeft w:val="0"/>
              <w:marRight w:val="0"/>
              <w:marTop w:val="0"/>
              <w:marBottom w:val="0"/>
              <w:divBdr>
                <w:top w:val="none" w:sz="0" w:space="0" w:color="auto"/>
                <w:left w:val="none" w:sz="0" w:space="0" w:color="auto"/>
                <w:bottom w:val="none" w:sz="0" w:space="0" w:color="auto"/>
                <w:right w:val="none" w:sz="0" w:space="0" w:color="auto"/>
              </w:divBdr>
              <w:divsChild>
                <w:div w:id="17360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93491">
          <w:marLeft w:val="0"/>
          <w:marRight w:val="0"/>
          <w:marTop w:val="0"/>
          <w:marBottom w:val="0"/>
          <w:divBdr>
            <w:top w:val="none" w:sz="0" w:space="0" w:color="auto"/>
            <w:left w:val="none" w:sz="0" w:space="0" w:color="auto"/>
            <w:bottom w:val="none" w:sz="0" w:space="0" w:color="auto"/>
            <w:right w:val="none" w:sz="0" w:space="0" w:color="auto"/>
          </w:divBdr>
          <w:divsChild>
            <w:div w:id="8926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853657">
      <w:bodyDiv w:val="1"/>
      <w:marLeft w:val="0"/>
      <w:marRight w:val="0"/>
      <w:marTop w:val="0"/>
      <w:marBottom w:val="0"/>
      <w:divBdr>
        <w:top w:val="none" w:sz="0" w:space="0" w:color="auto"/>
        <w:left w:val="none" w:sz="0" w:space="0" w:color="auto"/>
        <w:bottom w:val="none" w:sz="0" w:space="0" w:color="auto"/>
        <w:right w:val="none" w:sz="0" w:space="0" w:color="auto"/>
      </w:divBdr>
    </w:div>
    <w:div w:id="1037243579">
      <w:bodyDiv w:val="1"/>
      <w:marLeft w:val="0"/>
      <w:marRight w:val="0"/>
      <w:marTop w:val="0"/>
      <w:marBottom w:val="0"/>
      <w:divBdr>
        <w:top w:val="none" w:sz="0" w:space="0" w:color="auto"/>
        <w:left w:val="none" w:sz="0" w:space="0" w:color="auto"/>
        <w:bottom w:val="none" w:sz="0" w:space="0" w:color="auto"/>
        <w:right w:val="none" w:sz="0" w:space="0" w:color="auto"/>
      </w:divBdr>
      <w:divsChild>
        <w:div w:id="1389574919">
          <w:marLeft w:val="0"/>
          <w:marRight w:val="0"/>
          <w:marTop w:val="0"/>
          <w:marBottom w:val="0"/>
          <w:divBdr>
            <w:top w:val="none" w:sz="0" w:space="0" w:color="auto"/>
            <w:left w:val="none" w:sz="0" w:space="0" w:color="auto"/>
            <w:bottom w:val="none" w:sz="0" w:space="0" w:color="auto"/>
            <w:right w:val="none" w:sz="0" w:space="0" w:color="auto"/>
          </w:divBdr>
          <w:divsChild>
            <w:div w:id="553926749">
              <w:marLeft w:val="0"/>
              <w:marRight w:val="0"/>
              <w:marTop w:val="0"/>
              <w:marBottom w:val="0"/>
              <w:divBdr>
                <w:top w:val="none" w:sz="0" w:space="0" w:color="auto"/>
                <w:left w:val="none" w:sz="0" w:space="0" w:color="auto"/>
                <w:bottom w:val="none" w:sz="0" w:space="0" w:color="auto"/>
                <w:right w:val="none" w:sz="0" w:space="0" w:color="auto"/>
              </w:divBdr>
              <w:divsChild>
                <w:div w:id="127502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89197">
          <w:marLeft w:val="0"/>
          <w:marRight w:val="0"/>
          <w:marTop w:val="0"/>
          <w:marBottom w:val="0"/>
          <w:divBdr>
            <w:top w:val="none" w:sz="0" w:space="0" w:color="auto"/>
            <w:left w:val="none" w:sz="0" w:space="0" w:color="auto"/>
            <w:bottom w:val="none" w:sz="0" w:space="0" w:color="auto"/>
            <w:right w:val="none" w:sz="0" w:space="0" w:color="auto"/>
          </w:divBdr>
          <w:divsChild>
            <w:div w:id="3370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100943">
      <w:bodyDiv w:val="1"/>
      <w:marLeft w:val="0"/>
      <w:marRight w:val="0"/>
      <w:marTop w:val="0"/>
      <w:marBottom w:val="0"/>
      <w:divBdr>
        <w:top w:val="none" w:sz="0" w:space="0" w:color="auto"/>
        <w:left w:val="none" w:sz="0" w:space="0" w:color="auto"/>
        <w:bottom w:val="none" w:sz="0" w:space="0" w:color="auto"/>
        <w:right w:val="none" w:sz="0" w:space="0" w:color="auto"/>
      </w:divBdr>
    </w:div>
    <w:div w:id="1066025919">
      <w:bodyDiv w:val="1"/>
      <w:marLeft w:val="0"/>
      <w:marRight w:val="0"/>
      <w:marTop w:val="0"/>
      <w:marBottom w:val="0"/>
      <w:divBdr>
        <w:top w:val="none" w:sz="0" w:space="0" w:color="auto"/>
        <w:left w:val="none" w:sz="0" w:space="0" w:color="auto"/>
        <w:bottom w:val="none" w:sz="0" w:space="0" w:color="auto"/>
        <w:right w:val="none" w:sz="0" w:space="0" w:color="auto"/>
      </w:divBdr>
    </w:div>
    <w:div w:id="1109352750">
      <w:bodyDiv w:val="1"/>
      <w:marLeft w:val="0"/>
      <w:marRight w:val="0"/>
      <w:marTop w:val="0"/>
      <w:marBottom w:val="0"/>
      <w:divBdr>
        <w:top w:val="none" w:sz="0" w:space="0" w:color="auto"/>
        <w:left w:val="none" w:sz="0" w:space="0" w:color="auto"/>
        <w:bottom w:val="none" w:sz="0" w:space="0" w:color="auto"/>
        <w:right w:val="none" w:sz="0" w:space="0" w:color="auto"/>
      </w:divBdr>
    </w:div>
    <w:div w:id="1122767526">
      <w:bodyDiv w:val="1"/>
      <w:marLeft w:val="0"/>
      <w:marRight w:val="0"/>
      <w:marTop w:val="0"/>
      <w:marBottom w:val="0"/>
      <w:divBdr>
        <w:top w:val="none" w:sz="0" w:space="0" w:color="auto"/>
        <w:left w:val="none" w:sz="0" w:space="0" w:color="auto"/>
        <w:bottom w:val="none" w:sz="0" w:space="0" w:color="auto"/>
        <w:right w:val="none" w:sz="0" w:space="0" w:color="auto"/>
      </w:divBdr>
    </w:div>
    <w:div w:id="1143812236">
      <w:bodyDiv w:val="1"/>
      <w:marLeft w:val="0"/>
      <w:marRight w:val="0"/>
      <w:marTop w:val="0"/>
      <w:marBottom w:val="0"/>
      <w:divBdr>
        <w:top w:val="none" w:sz="0" w:space="0" w:color="auto"/>
        <w:left w:val="none" w:sz="0" w:space="0" w:color="auto"/>
        <w:bottom w:val="none" w:sz="0" w:space="0" w:color="auto"/>
        <w:right w:val="none" w:sz="0" w:space="0" w:color="auto"/>
      </w:divBdr>
    </w:div>
    <w:div w:id="1144005215">
      <w:bodyDiv w:val="1"/>
      <w:marLeft w:val="0"/>
      <w:marRight w:val="0"/>
      <w:marTop w:val="0"/>
      <w:marBottom w:val="0"/>
      <w:divBdr>
        <w:top w:val="none" w:sz="0" w:space="0" w:color="auto"/>
        <w:left w:val="none" w:sz="0" w:space="0" w:color="auto"/>
        <w:bottom w:val="none" w:sz="0" w:space="0" w:color="auto"/>
        <w:right w:val="none" w:sz="0" w:space="0" w:color="auto"/>
      </w:divBdr>
    </w:div>
    <w:div w:id="1149634946">
      <w:bodyDiv w:val="1"/>
      <w:marLeft w:val="0"/>
      <w:marRight w:val="0"/>
      <w:marTop w:val="0"/>
      <w:marBottom w:val="0"/>
      <w:divBdr>
        <w:top w:val="none" w:sz="0" w:space="0" w:color="auto"/>
        <w:left w:val="none" w:sz="0" w:space="0" w:color="auto"/>
        <w:bottom w:val="none" w:sz="0" w:space="0" w:color="auto"/>
        <w:right w:val="none" w:sz="0" w:space="0" w:color="auto"/>
      </w:divBdr>
    </w:div>
    <w:div w:id="1159930455">
      <w:bodyDiv w:val="1"/>
      <w:marLeft w:val="0"/>
      <w:marRight w:val="0"/>
      <w:marTop w:val="0"/>
      <w:marBottom w:val="0"/>
      <w:divBdr>
        <w:top w:val="none" w:sz="0" w:space="0" w:color="auto"/>
        <w:left w:val="none" w:sz="0" w:space="0" w:color="auto"/>
        <w:bottom w:val="none" w:sz="0" w:space="0" w:color="auto"/>
        <w:right w:val="none" w:sz="0" w:space="0" w:color="auto"/>
      </w:divBdr>
    </w:div>
    <w:div w:id="1164473964">
      <w:bodyDiv w:val="1"/>
      <w:marLeft w:val="0"/>
      <w:marRight w:val="0"/>
      <w:marTop w:val="0"/>
      <w:marBottom w:val="0"/>
      <w:divBdr>
        <w:top w:val="none" w:sz="0" w:space="0" w:color="auto"/>
        <w:left w:val="none" w:sz="0" w:space="0" w:color="auto"/>
        <w:bottom w:val="none" w:sz="0" w:space="0" w:color="auto"/>
        <w:right w:val="none" w:sz="0" w:space="0" w:color="auto"/>
      </w:divBdr>
    </w:div>
    <w:div w:id="1172063162">
      <w:bodyDiv w:val="1"/>
      <w:marLeft w:val="0"/>
      <w:marRight w:val="0"/>
      <w:marTop w:val="0"/>
      <w:marBottom w:val="0"/>
      <w:divBdr>
        <w:top w:val="none" w:sz="0" w:space="0" w:color="auto"/>
        <w:left w:val="none" w:sz="0" w:space="0" w:color="auto"/>
        <w:bottom w:val="none" w:sz="0" w:space="0" w:color="auto"/>
        <w:right w:val="none" w:sz="0" w:space="0" w:color="auto"/>
      </w:divBdr>
    </w:div>
    <w:div w:id="1227841753">
      <w:bodyDiv w:val="1"/>
      <w:marLeft w:val="0"/>
      <w:marRight w:val="0"/>
      <w:marTop w:val="0"/>
      <w:marBottom w:val="0"/>
      <w:divBdr>
        <w:top w:val="none" w:sz="0" w:space="0" w:color="auto"/>
        <w:left w:val="none" w:sz="0" w:space="0" w:color="auto"/>
        <w:bottom w:val="none" w:sz="0" w:space="0" w:color="auto"/>
        <w:right w:val="none" w:sz="0" w:space="0" w:color="auto"/>
      </w:divBdr>
    </w:div>
    <w:div w:id="1242720795">
      <w:bodyDiv w:val="1"/>
      <w:marLeft w:val="0"/>
      <w:marRight w:val="0"/>
      <w:marTop w:val="0"/>
      <w:marBottom w:val="0"/>
      <w:divBdr>
        <w:top w:val="none" w:sz="0" w:space="0" w:color="auto"/>
        <w:left w:val="none" w:sz="0" w:space="0" w:color="auto"/>
        <w:bottom w:val="none" w:sz="0" w:space="0" w:color="auto"/>
        <w:right w:val="none" w:sz="0" w:space="0" w:color="auto"/>
      </w:divBdr>
    </w:div>
    <w:div w:id="1255699417">
      <w:bodyDiv w:val="1"/>
      <w:marLeft w:val="0"/>
      <w:marRight w:val="0"/>
      <w:marTop w:val="0"/>
      <w:marBottom w:val="0"/>
      <w:divBdr>
        <w:top w:val="none" w:sz="0" w:space="0" w:color="auto"/>
        <w:left w:val="none" w:sz="0" w:space="0" w:color="auto"/>
        <w:bottom w:val="none" w:sz="0" w:space="0" w:color="auto"/>
        <w:right w:val="none" w:sz="0" w:space="0" w:color="auto"/>
      </w:divBdr>
    </w:div>
    <w:div w:id="1286616644">
      <w:bodyDiv w:val="1"/>
      <w:marLeft w:val="0"/>
      <w:marRight w:val="0"/>
      <w:marTop w:val="0"/>
      <w:marBottom w:val="0"/>
      <w:divBdr>
        <w:top w:val="none" w:sz="0" w:space="0" w:color="auto"/>
        <w:left w:val="none" w:sz="0" w:space="0" w:color="auto"/>
        <w:bottom w:val="none" w:sz="0" w:space="0" w:color="auto"/>
        <w:right w:val="none" w:sz="0" w:space="0" w:color="auto"/>
      </w:divBdr>
    </w:div>
    <w:div w:id="1341662809">
      <w:bodyDiv w:val="1"/>
      <w:marLeft w:val="0"/>
      <w:marRight w:val="0"/>
      <w:marTop w:val="0"/>
      <w:marBottom w:val="0"/>
      <w:divBdr>
        <w:top w:val="none" w:sz="0" w:space="0" w:color="auto"/>
        <w:left w:val="none" w:sz="0" w:space="0" w:color="auto"/>
        <w:bottom w:val="none" w:sz="0" w:space="0" w:color="auto"/>
        <w:right w:val="none" w:sz="0" w:space="0" w:color="auto"/>
      </w:divBdr>
    </w:div>
    <w:div w:id="1344088238">
      <w:bodyDiv w:val="1"/>
      <w:marLeft w:val="0"/>
      <w:marRight w:val="0"/>
      <w:marTop w:val="0"/>
      <w:marBottom w:val="0"/>
      <w:divBdr>
        <w:top w:val="none" w:sz="0" w:space="0" w:color="auto"/>
        <w:left w:val="none" w:sz="0" w:space="0" w:color="auto"/>
        <w:bottom w:val="none" w:sz="0" w:space="0" w:color="auto"/>
        <w:right w:val="none" w:sz="0" w:space="0" w:color="auto"/>
      </w:divBdr>
    </w:div>
    <w:div w:id="1362821965">
      <w:bodyDiv w:val="1"/>
      <w:marLeft w:val="0"/>
      <w:marRight w:val="0"/>
      <w:marTop w:val="0"/>
      <w:marBottom w:val="0"/>
      <w:divBdr>
        <w:top w:val="none" w:sz="0" w:space="0" w:color="auto"/>
        <w:left w:val="none" w:sz="0" w:space="0" w:color="auto"/>
        <w:bottom w:val="none" w:sz="0" w:space="0" w:color="auto"/>
        <w:right w:val="none" w:sz="0" w:space="0" w:color="auto"/>
      </w:divBdr>
      <w:divsChild>
        <w:div w:id="2026904803">
          <w:marLeft w:val="0"/>
          <w:marRight w:val="0"/>
          <w:marTop w:val="0"/>
          <w:marBottom w:val="0"/>
          <w:divBdr>
            <w:top w:val="none" w:sz="0" w:space="0" w:color="auto"/>
            <w:left w:val="none" w:sz="0" w:space="0" w:color="auto"/>
            <w:bottom w:val="none" w:sz="0" w:space="0" w:color="auto"/>
            <w:right w:val="none" w:sz="0" w:space="0" w:color="auto"/>
          </w:divBdr>
          <w:divsChild>
            <w:div w:id="1373655496">
              <w:marLeft w:val="0"/>
              <w:marRight w:val="0"/>
              <w:marTop w:val="0"/>
              <w:marBottom w:val="0"/>
              <w:divBdr>
                <w:top w:val="none" w:sz="0" w:space="0" w:color="auto"/>
                <w:left w:val="none" w:sz="0" w:space="0" w:color="auto"/>
                <w:bottom w:val="none" w:sz="0" w:space="0" w:color="auto"/>
                <w:right w:val="none" w:sz="0" w:space="0" w:color="auto"/>
              </w:divBdr>
              <w:divsChild>
                <w:div w:id="16490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686953">
          <w:marLeft w:val="0"/>
          <w:marRight w:val="0"/>
          <w:marTop w:val="0"/>
          <w:marBottom w:val="0"/>
          <w:divBdr>
            <w:top w:val="none" w:sz="0" w:space="0" w:color="auto"/>
            <w:left w:val="none" w:sz="0" w:space="0" w:color="auto"/>
            <w:bottom w:val="none" w:sz="0" w:space="0" w:color="auto"/>
            <w:right w:val="none" w:sz="0" w:space="0" w:color="auto"/>
          </w:divBdr>
          <w:divsChild>
            <w:div w:id="113668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2249">
      <w:bodyDiv w:val="1"/>
      <w:marLeft w:val="0"/>
      <w:marRight w:val="0"/>
      <w:marTop w:val="0"/>
      <w:marBottom w:val="0"/>
      <w:divBdr>
        <w:top w:val="none" w:sz="0" w:space="0" w:color="auto"/>
        <w:left w:val="none" w:sz="0" w:space="0" w:color="auto"/>
        <w:bottom w:val="none" w:sz="0" w:space="0" w:color="auto"/>
        <w:right w:val="none" w:sz="0" w:space="0" w:color="auto"/>
      </w:divBdr>
    </w:div>
    <w:div w:id="1385980398">
      <w:bodyDiv w:val="1"/>
      <w:marLeft w:val="0"/>
      <w:marRight w:val="0"/>
      <w:marTop w:val="0"/>
      <w:marBottom w:val="0"/>
      <w:divBdr>
        <w:top w:val="none" w:sz="0" w:space="0" w:color="auto"/>
        <w:left w:val="none" w:sz="0" w:space="0" w:color="auto"/>
        <w:bottom w:val="none" w:sz="0" w:space="0" w:color="auto"/>
        <w:right w:val="none" w:sz="0" w:space="0" w:color="auto"/>
      </w:divBdr>
    </w:div>
    <w:div w:id="1408459485">
      <w:bodyDiv w:val="1"/>
      <w:marLeft w:val="0"/>
      <w:marRight w:val="0"/>
      <w:marTop w:val="0"/>
      <w:marBottom w:val="0"/>
      <w:divBdr>
        <w:top w:val="none" w:sz="0" w:space="0" w:color="auto"/>
        <w:left w:val="none" w:sz="0" w:space="0" w:color="auto"/>
        <w:bottom w:val="none" w:sz="0" w:space="0" w:color="auto"/>
        <w:right w:val="none" w:sz="0" w:space="0" w:color="auto"/>
      </w:divBdr>
    </w:div>
    <w:div w:id="1419211973">
      <w:bodyDiv w:val="1"/>
      <w:marLeft w:val="0"/>
      <w:marRight w:val="0"/>
      <w:marTop w:val="0"/>
      <w:marBottom w:val="0"/>
      <w:divBdr>
        <w:top w:val="none" w:sz="0" w:space="0" w:color="auto"/>
        <w:left w:val="none" w:sz="0" w:space="0" w:color="auto"/>
        <w:bottom w:val="none" w:sz="0" w:space="0" w:color="auto"/>
        <w:right w:val="none" w:sz="0" w:space="0" w:color="auto"/>
      </w:divBdr>
    </w:div>
    <w:div w:id="1422028221">
      <w:bodyDiv w:val="1"/>
      <w:marLeft w:val="0"/>
      <w:marRight w:val="0"/>
      <w:marTop w:val="0"/>
      <w:marBottom w:val="0"/>
      <w:divBdr>
        <w:top w:val="none" w:sz="0" w:space="0" w:color="auto"/>
        <w:left w:val="none" w:sz="0" w:space="0" w:color="auto"/>
        <w:bottom w:val="none" w:sz="0" w:space="0" w:color="auto"/>
        <w:right w:val="none" w:sz="0" w:space="0" w:color="auto"/>
      </w:divBdr>
      <w:divsChild>
        <w:div w:id="639381960">
          <w:marLeft w:val="0"/>
          <w:marRight w:val="0"/>
          <w:marTop w:val="0"/>
          <w:marBottom w:val="0"/>
          <w:divBdr>
            <w:top w:val="none" w:sz="0" w:space="0" w:color="auto"/>
            <w:left w:val="none" w:sz="0" w:space="0" w:color="auto"/>
            <w:bottom w:val="none" w:sz="0" w:space="0" w:color="auto"/>
            <w:right w:val="none" w:sz="0" w:space="0" w:color="auto"/>
          </w:divBdr>
          <w:divsChild>
            <w:div w:id="1973124332">
              <w:marLeft w:val="0"/>
              <w:marRight w:val="0"/>
              <w:marTop w:val="0"/>
              <w:marBottom w:val="0"/>
              <w:divBdr>
                <w:top w:val="none" w:sz="0" w:space="0" w:color="auto"/>
                <w:left w:val="none" w:sz="0" w:space="0" w:color="auto"/>
                <w:bottom w:val="none" w:sz="0" w:space="0" w:color="auto"/>
                <w:right w:val="none" w:sz="0" w:space="0" w:color="auto"/>
              </w:divBdr>
              <w:divsChild>
                <w:div w:id="13715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290273">
          <w:marLeft w:val="0"/>
          <w:marRight w:val="0"/>
          <w:marTop w:val="0"/>
          <w:marBottom w:val="0"/>
          <w:divBdr>
            <w:top w:val="none" w:sz="0" w:space="0" w:color="auto"/>
            <w:left w:val="none" w:sz="0" w:space="0" w:color="auto"/>
            <w:bottom w:val="none" w:sz="0" w:space="0" w:color="auto"/>
            <w:right w:val="none" w:sz="0" w:space="0" w:color="auto"/>
          </w:divBdr>
          <w:divsChild>
            <w:div w:id="1707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4323">
      <w:bodyDiv w:val="1"/>
      <w:marLeft w:val="0"/>
      <w:marRight w:val="0"/>
      <w:marTop w:val="0"/>
      <w:marBottom w:val="0"/>
      <w:divBdr>
        <w:top w:val="none" w:sz="0" w:space="0" w:color="auto"/>
        <w:left w:val="none" w:sz="0" w:space="0" w:color="auto"/>
        <w:bottom w:val="none" w:sz="0" w:space="0" w:color="auto"/>
        <w:right w:val="none" w:sz="0" w:space="0" w:color="auto"/>
      </w:divBdr>
      <w:divsChild>
        <w:div w:id="542138448">
          <w:marLeft w:val="0"/>
          <w:marRight w:val="0"/>
          <w:marTop w:val="0"/>
          <w:marBottom w:val="0"/>
          <w:divBdr>
            <w:top w:val="none" w:sz="0" w:space="0" w:color="auto"/>
            <w:left w:val="none" w:sz="0" w:space="0" w:color="auto"/>
            <w:bottom w:val="none" w:sz="0" w:space="0" w:color="auto"/>
            <w:right w:val="none" w:sz="0" w:space="0" w:color="auto"/>
          </w:divBdr>
        </w:div>
        <w:div w:id="1059747287">
          <w:marLeft w:val="0"/>
          <w:marRight w:val="0"/>
          <w:marTop w:val="0"/>
          <w:marBottom w:val="0"/>
          <w:divBdr>
            <w:top w:val="none" w:sz="0" w:space="0" w:color="auto"/>
            <w:left w:val="none" w:sz="0" w:space="0" w:color="auto"/>
            <w:bottom w:val="none" w:sz="0" w:space="0" w:color="auto"/>
            <w:right w:val="none" w:sz="0" w:space="0" w:color="auto"/>
          </w:divBdr>
        </w:div>
      </w:divsChild>
    </w:div>
    <w:div w:id="1436436346">
      <w:bodyDiv w:val="1"/>
      <w:marLeft w:val="0"/>
      <w:marRight w:val="0"/>
      <w:marTop w:val="0"/>
      <w:marBottom w:val="0"/>
      <w:divBdr>
        <w:top w:val="none" w:sz="0" w:space="0" w:color="auto"/>
        <w:left w:val="none" w:sz="0" w:space="0" w:color="auto"/>
        <w:bottom w:val="none" w:sz="0" w:space="0" w:color="auto"/>
        <w:right w:val="none" w:sz="0" w:space="0" w:color="auto"/>
      </w:divBdr>
    </w:div>
    <w:div w:id="1453010388">
      <w:bodyDiv w:val="1"/>
      <w:marLeft w:val="0"/>
      <w:marRight w:val="0"/>
      <w:marTop w:val="0"/>
      <w:marBottom w:val="0"/>
      <w:divBdr>
        <w:top w:val="none" w:sz="0" w:space="0" w:color="auto"/>
        <w:left w:val="none" w:sz="0" w:space="0" w:color="auto"/>
        <w:bottom w:val="none" w:sz="0" w:space="0" w:color="auto"/>
        <w:right w:val="none" w:sz="0" w:space="0" w:color="auto"/>
      </w:divBdr>
    </w:div>
    <w:div w:id="1503425405">
      <w:bodyDiv w:val="1"/>
      <w:marLeft w:val="0"/>
      <w:marRight w:val="0"/>
      <w:marTop w:val="0"/>
      <w:marBottom w:val="0"/>
      <w:divBdr>
        <w:top w:val="none" w:sz="0" w:space="0" w:color="auto"/>
        <w:left w:val="none" w:sz="0" w:space="0" w:color="auto"/>
        <w:bottom w:val="none" w:sz="0" w:space="0" w:color="auto"/>
        <w:right w:val="none" w:sz="0" w:space="0" w:color="auto"/>
      </w:divBdr>
      <w:divsChild>
        <w:div w:id="2144349820">
          <w:marLeft w:val="0"/>
          <w:marRight w:val="0"/>
          <w:marTop w:val="0"/>
          <w:marBottom w:val="0"/>
          <w:divBdr>
            <w:top w:val="none" w:sz="0" w:space="0" w:color="auto"/>
            <w:left w:val="none" w:sz="0" w:space="0" w:color="auto"/>
            <w:bottom w:val="none" w:sz="0" w:space="0" w:color="auto"/>
            <w:right w:val="none" w:sz="0" w:space="0" w:color="auto"/>
          </w:divBdr>
        </w:div>
        <w:div w:id="1695032909">
          <w:marLeft w:val="0"/>
          <w:marRight w:val="0"/>
          <w:marTop w:val="240"/>
          <w:marBottom w:val="0"/>
          <w:divBdr>
            <w:top w:val="none" w:sz="0" w:space="0" w:color="auto"/>
            <w:left w:val="none" w:sz="0" w:space="0" w:color="auto"/>
            <w:bottom w:val="none" w:sz="0" w:space="0" w:color="auto"/>
            <w:right w:val="none" w:sz="0" w:space="0" w:color="auto"/>
          </w:divBdr>
          <w:divsChild>
            <w:div w:id="231817380">
              <w:marLeft w:val="0"/>
              <w:marRight w:val="0"/>
              <w:marTop w:val="0"/>
              <w:marBottom w:val="0"/>
              <w:divBdr>
                <w:top w:val="none" w:sz="0" w:space="0" w:color="auto"/>
                <w:left w:val="none" w:sz="0" w:space="0" w:color="auto"/>
                <w:bottom w:val="none" w:sz="0" w:space="0" w:color="auto"/>
                <w:right w:val="none" w:sz="0" w:space="0" w:color="auto"/>
              </w:divBdr>
              <w:divsChild>
                <w:div w:id="1740902652">
                  <w:marLeft w:val="0"/>
                  <w:marRight w:val="0"/>
                  <w:marTop w:val="0"/>
                  <w:marBottom w:val="0"/>
                  <w:divBdr>
                    <w:top w:val="none" w:sz="0" w:space="0" w:color="auto"/>
                    <w:left w:val="none" w:sz="0" w:space="0" w:color="auto"/>
                    <w:bottom w:val="none" w:sz="0" w:space="0" w:color="auto"/>
                    <w:right w:val="none" w:sz="0" w:space="0" w:color="auto"/>
                  </w:divBdr>
                </w:div>
              </w:divsChild>
            </w:div>
            <w:div w:id="373849362">
              <w:marLeft w:val="0"/>
              <w:marRight w:val="0"/>
              <w:marTop w:val="240"/>
              <w:marBottom w:val="0"/>
              <w:divBdr>
                <w:top w:val="none" w:sz="0" w:space="0" w:color="auto"/>
                <w:left w:val="none" w:sz="0" w:space="0" w:color="auto"/>
                <w:bottom w:val="none" w:sz="0" w:space="0" w:color="auto"/>
                <w:right w:val="none" w:sz="0" w:space="0" w:color="auto"/>
              </w:divBdr>
              <w:divsChild>
                <w:div w:id="1007752327">
                  <w:marLeft w:val="0"/>
                  <w:marRight w:val="0"/>
                  <w:marTop w:val="0"/>
                  <w:marBottom w:val="0"/>
                  <w:divBdr>
                    <w:top w:val="none" w:sz="0" w:space="0" w:color="auto"/>
                    <w:left w:val="none" w:sz="0" w:space="0" w:color="auto"/>
                    <w:bottom w:val="none" w:sz="0" w:space="0" w:color="auto"/>
                    <w:right w:val="none" w:sz="0" w:space="0" w:color="auto"/>
                  </w:divBdr>
                  <w:divsChild>
                    <w:div w:id="199494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561230">
              <w:marLeft w:val="0"/>
              <w:marRight w:val="0"/>
              <w:marTop w:val="240"/>
              <w:marBottom w:val="0"/>
              <w:divBdr>
                <w:top w:val="none" w:sz="0" w:space="0" w:color="auto"/>
                <w:left w:val="none" w:sz="0" w:space="0" w:color="auto"/>
                <w:bottom w:val="none" w:sz="0" w:space="0" w:color="auto"/>
                <w:right w:val="none" w:sz="0" w:space="0" w:color="auto"/>
              </w:divBdr>
              <w:divsChild>
                <w:div w:id="25831785">
                  <w:marLeft w:val="0"/>
                  <w:marRight w:val="0"/>
                  <w:marTop w:val="0"/>
                  <w:marBottom w:val="0"/>
                  <w:divBdr>
                    <w:top w:val="none" w:sz="0" w:space="0" w:color="auto"/>
                    <w:left w:val="none" w:sz="0" w:space="0" w:color="auto"/>
                    <w:bottom w:val="none" w:sz="0" w:space="0" w:color="auto"/>
                    <w:right w:val="none" w:sz="0" w:space="0" w:color="auto"/>
                  </w:divBdr>
                  <w:divsChild>
                    <w:div w:id="133129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583020">
      <w:bodyDiv w:val="1"/>
      <w:marLeft w:val="0"/>
      <w:marRight w:val="0"/>
      <w:marTop w:val="0"/>
      <w:marBottom w:val="0"/>
      <w:divBdr>
        <w:top w:val="none" w:sz="0" w:space="0" w:color="auto"/>
        <w:left w:val="none" w:sz="0" w:space="0" w:color="auto"/>
        <w:bottom w:val="none" w:sz="0" w:space="0" w:color="auto"/>
        <w:right w:val="none" w:sz="0" w:space="0" w:color="auto"/>
      </w:divBdr>
    </w:div>
    <w:div w:id="1541548205">
      <w:bodyDiv w:val="1"/>
      <w:marLeft w:val="0"/>
      <w:marRight w:val="0"/>
      <w:marTop w:val="0"/>
      <w:marBottom w:val="0"/>
      <w:divBdr>
        <w:top w:val="none" w:sz="0" w:space="0" w:color="auto"/>
        <w:left w:val="none" w:sz="0" w:space="0" w:color="auto"/>
        <w:bottom w:val="none" w:sz="0" w:space="0" w:color="auto"/>
        <w:right w:val="none" w:sz="0" w:space="0" w:color="auto"/>
      </w:divBdr>
    </w:div>
    <w:div w:id="1564830937">
      <w:bodyDiv w:val="1"/>
      <w:marLeft w:val="0"/>
      <w:marRight w:val="0"/>
      <w:marTop w:val="0"/>
      <w:marBottom w:val="0"/>
      <w:divBdr>
        <w:top w:val="none" w:sz="0" w:space="0" w:color="auto"/>
        <w:left w:val="none" w:sz="0" w:space="0" w:color="auto"/>
        <w:bottom w:val="none" w:sz="0" w:space="0" w:color="auto"/>
        <w:right w:val="none" w:sz="0" w:space="0" w:color="auto"/>
      </w:divBdr>
    </w:div>
    <w:div w:id="1571382989">
      <w:bodyDiv w:val="1"/>
      <w:marLeft w:val="0"/>
      <w:marRight w:val="0"/>
      <w:marTop w:val="0"/>
      <w:marBottom w:val="0"/>
      <w:divBdr>
        <w:top w:val="none" w:sz="0" w:space="0" w:color="auto"/>
        <w:left w:val="none" w:sz="0" w:space="0" w:color="auto"/>
        <w:bottom w:val="none" w:sz="0" w:space="0" w:color="auto"/>
        <w:right w:val="none" w:sz="0" w:space="0" w:color="auto"/>
      </w:divBdr>
      <w:divsChild>
        <w:div w:id="2030721285">
          <w:marLeft w:val="0"/>
          <w:marRight w:val="0"/>
          <w:marTop w:val="0"/>
          <w:marBottom w:val="0"/>
          <w:divBdr>
            <w:top w:val="none" w:sz="0" w:space="0" w:color="auto"/>
            <w:left w:val="none" w:sz="0" w:space="0" w:color="auto"/>
            <w:bottom w:val="none" w:sz="0" w:space="0" w:color="auto"/>
            <w:right w:val="none" w:sz="0" w:space="0" w:color="auto"/>
          </w:divBdr>
          <w:divsChild>
            <w:div w:id="1421296858">
              <w:marLeft w:val="0"/>
              <w:marRight w:val="0"/>
              <w:marTop w:val="0"/>
              <w:marBottom w:val="0"/>
              <w:divBdr>
                <w:top w:val="none" w:sz="0" w:space="0" w:color="auto"/>
                <w:left w:val="none" w:sz="0" w:space="0" w:color="auto"/>
                <w:bottom w:val="none" w:sz="0" w:space="0" w:color="auto"/>
                <w:right w:val="none" w:sz="0" w:space="0" w:color="auto"/>
              </w:divBdr>
              <w:divsChild>
                <w:div w:id="11278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6912">
          <w:marLeft w:val="0"/>
          <w:marRight w:val="0"/>
          <w:marTop w:val="0"/>
          <w:marBottom w:val="0"/>
          <w:divBdr>
            <w:top w:val="none" w:sz="0" w:space="0" w:color="auto"/>
            <w:left w:val="none" w:sz="0" w:space="0" w:color="auto"/>
            <w:bottom w:val="none" w:sz="0" w:space="0" w:color="auto"/>
            <w:right w:val="none" w:sz="0" w:space="0" w:color="auto"/>
          </w:divBdr>
          <w:divsChild>
            <w:div w:id="65571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837954">
      <w:bodyDiv w:val="1"/>
      <w:marLeft w:val="0"/>
      <w:marRight w:val="0"/>
      <w:marTop w:val="0"/>
      <w:marBottom w:val="0"/>
      <w:divBdr>
        <w:top w:val="none" w:sz="0" w:space="0" w:color="auto"/>
        <w:left w:val="none" w:sz="0" w:space="0" w:color="auto"/>
        <w:bottom w:val="none" w:sz="0" w:space="0" w:color="auto"/>
        <w:right w:val="none" w:sz="0" w:space="0" w:color="auto"/>
      </w:divBdr>
    </w:div>
    <w:div w:id="1624388871">
      <w:bodyDiv w:val="1"/>
      <w:marLeft w:val="0"/>
      <w:marRight w:val="0"/>
      <w:marTop w:val="0"/>
      <w:marBottom w:val="0"/>
      <w:divBdr>
        <w:top w:val="none" w:sz="0" w:space="0" w:color="auto"/>
        <w:left w:val="none" w:sz="0" w:space="0" w:color="auto"/>
        <w:bottom w:val="none" w:sz="0" w:space="0" w:color="auto"/>
        <w:right w:val="none" w:sz="0" w:space="0" w:color="auto"/>
      </w:divBdr>
    </w:div>
    <w:div w:id="1635333572">
      <w:bodyDiv w:val="1"/>
      <w:marLeft w:val="0"/>
      <w:marRight w:val="0"/>
      <w:marTop w:val="0"/>
      <w:marBottom w:val="0"/>
      <w:divBdr>
        <w:top w:val="none" w:sz="0" w:space="0" w:color="auto"/>
        <w:left w:val="none" w:sz="0" w:space="0" w:color="auto"/>
        <w:bottom w:val="none" w:sz="0" w:space="0" w:color="auto"/>
        <w:right w:val="none" w:sz="0" w:space="0" w:color="auto"/>
      </w:divBdr>
    </w:div>
    <w:div w:id="1641838853">
      <w:bodyDiv w:val="1"/>
      <w:marLeft w:val="0"/>
      <w:marRight w:val="0"/>
      <w:marTop w:val="0"/>
      <w:marBottom w:val="0"/>
      <w:divBdr>
        <w:top w:val="none" w:sz="0" w:space="0" w:color="auto"/>
        <w:left w:val="none" w:sz="0" w:space="0" w:color="auto"/>
        <w:bottom w:val="none" w:sz="0" w:space="0" w:color="auto"/>
        <w:right w:val="none" w:sz="0" w:space="0" w:color="auto"/>
      </w:divBdr>
    </w:div>
    <w:div w:id="1672872753">
      <w:bodyDiv w:val="1"/>
      <w:marLeft w:val="0"/>
      <w:marRight w:val="0"/>
      <w:marTop w:val="0"/>
      <w:marBottom w:val="0"/>
      <w:divBdr>
        <w:top w:val="none" w:sz="0" w:space="0" w:color="auto"/>
        <w:left w:val="none" w:sz="0" w:space="0" w:color="auto"/>
        <w:bottom w:val="none" w:sz="0" w:space="0" w:color="auto"/>
        <w:right w:val="none" w:sz="0" w:space="0" w:color="auto"/>
      </w:divBdr>
    </w:div>
    <w:div w:id="1700353488">
      <w:bodyDiv w:val="1"/>
      <w:marLeft w:val="0"/>
      <w:marRight w:val="0"/>
      <w:marTop w:val="0"/>
      <w:marBottom w:val="0"/>
      <w:divBdr>
        <w:top w:val="none" w:sz="0" w:space="0" w:color="auto"/>
        <w:left w:val="none" w:sz="0" w:space="0" w:color="auto"/>
        <w:bottom w:val="none" w:sz="0" w:space="0" w:color="auto"/>
        <w:right w:val="none" w:sz="0" w:space="0" w:color="auto"/>
      </w:divBdr>
    </w:div>
    <w:div w:id="1701592634">
      <w:bodyDiv w:val="1"/>
      <w:marLeft w:val="0"/>
      <w:marRight w:val="0"/>
      <w:marTop w:val="0"/>
      <w:marBottom w:val="0"/>
      <w:divBdr>
        <w:top w:val="none" w:sz="0" w:space="0" w:color="auto"/>
        <w:left w:val="none" w:sz="0" w:space="0" w:color="auto"/>
        <w:bottom w:val="none" w:sz="0" w:space="0" w:color="auto"/>
        <w:right w:val="none" w:sz="0" w:space="0" w:color="auto"/>
      </w:divBdr>
    </w:div>
    <w:div w:id="1707633471">
      <w:bodyDiv w:val="1"/>
      <w:marLeft w:val="0"/>
      <w:marRight w:val="0"/>
      <w:marTop w:val="0"/>
      <w:marBottom w:val="0"/>
      <w:divBdr>
        <w:top w:val="none" w:sz="0" w:space="0" w:color="auto"/>
        <w:left w:val="none" w:sz="0" w:space="0" w:color="auto"/>
        <w:bottom w:val="none" w:sz="0" w:space="0" w:color="auto"/>
        <w:right w:val="none" w:sz="0" w:space="0" w:color="auto"/>
      </w:divBdr>
    </w:div>
    <w:div w:id="1739548356">
      <w:bodyDiv w:val="1"/>
      <w:marLeft w:val="0"/>
      <w:marRight w:val="0"/>
      <w:marTop w:val="0"/>
      <w:marBottom w:val="0"/>
      <w:divBdr>
        <w:top w:val="none" w:sz="0" w:space="0" w:color="auto"/>
        <w:left w:val="none" w:sz="0" w:space="0" w:color="auto"/>
        <w:bottom w:val="none" w:sz="0" w:space="0" w:color="auto"/>
        <w:right w:val="none" w:sz="0" w:space="0" w:color="auto"/>
      </w:divBdr>
    </w:div>
    <w:div w:id="1802068839">
      <w:bodyDiv w:val="1"/>
      <w:marLeft w:val="0"/>
      <w:marRight w:val="0"/>
      <w:marTop w:val="0"/>
      <w:marBottom w:val="0"/>
      <w:divBdr>
        <w:top w:val="none" w:sz="0" w:space="0" w:color="auto"/>
        <w:left w:val="none" w:sz="0" w:space="0" w:color="auto"/>
        <w:bottom w:val="none" w:sz="0" w:space="0" w:color="auto"/>
        <w:right w:val="none" w:sz="0" w:space="0" w:color="auto"/>
      </w:divBdr>
      <w:divsChild>
        <w:div w:id="640498106">
          <w:marLeft w:val="0"/>
          <w:marRight w:val="0"/>
          <w:marTop w:val="0"/>
          <w:marBottom w:val="0"/>
          <w:divBdr>
            <w:top w:val="none" w:sz="0" w:space="0" w:color="auto"/>
            <w:left w:val="none" w:sz="0" w:space="0" w:color="auto"/>
            <w:bottom w:val="none" w:sz="0" w:space="0" w:color="auto"/>
            <w:right w:val="none" w:sz="0" w:space="0" w:color="auto"/>
          </w:divBdr>
        </w:div>
        <w:div w:id="77560036">
          <w:marLeft w:val="0"/>
          <w:marRight w:val="0"/>
          <w:marTop w:val="0"/>
          <w:marBottom w:val="0"/>
          <w:divBdr>
            <w:top w:val="none" w:sz="0" w:space="0" w:color="auto"/>
            <w:left w:val="none" w:sz="0" w:space="0" w:color="auto"/>
            <w:bottom w:val="none" w:sz="0" w:space="0" w:color="auto"/>
            <w:right w:val="none" w:sz="0" w:space="0" w:color="auto"/>
          </w:divBdr>
        </w:div>
      </w:divsChild>
    </w:div>
    <w:div w:id="1827282888">
      <w:bodyDiv w:val="1"/>
      <w:marLeft w:val="0"/>
      <w:marRight w:val="0"/>
      <w:marTop w:val="0"/>
      <w:marBottom w:val="0"/>
      <w:divBdr>
        <w:top w:val="none" w:sz="0" w:space="0" w:color="auto"/>
        <w:left w:val="none" w:sz="0" w:space="0" w:color="auto"/>
        <w:bottom w:val="none" w:sz="0" w:space="0" w:color="auto"/>
        <w:right w:val="none" w:sz="0" w:space="0" w:color="auto"/>
      </w:divBdr>
      <w:divsChild>
        <w:div w:id="2091730946">
          <w:marLeft w:val="0"/>
          <w:marRight w:val="0"/>
          <w:marTop w:val="0"/>
          <w:marBottom w:val="0"/>
          <w:divBdr>
            <w:top w:val="none" w:sz="0" w:space="0" w:color="auto"/>
            <w:left w:val="none" w:sz="0" w:space="0" w:color="auto"/>
            <w:bottom w:val="none" w:sz="0" w:space="0" w:color="auto"/>
            <w:right w:val="none" w:sz="0" w:space="0" w:color="auto"/>
          </w:divBdr>
        </w:div>
        <w:div w:id="907571261">
          <w:marLeft w:val="0"/>
          <w:marRight w:val="0"/>
          <w:marTop w:val="0"/>
          <w:marBottom w:val="0"/>
          <w:divBdr>
            <w:top w:val="none" w:sz="0" w:space="0" w:color="auto"/>
            <w:left w:val="none" w:sz="0" w:space="0" w:color="auto"/>
            <w:bottom w:val="none" w:sz="0" w:space="0" w:color="auto"/>
            <w:right w:val="none" w:sz="0" w:space="0" w:color="auto"/>
          </w:divBdr>
        </w:div>
      </w:divsChild>
    </w:div>
    <w:div w:id="1849170238">
      <w:bodyDiv w:val="1"/>
      <w:marLeft w:val="0"/>
      <w:marRight w:val="0"/>
      <w:marTop w:val="0"/>
      <w:marBottom w:val="0"/>
      <w:divBdr>
        <w:top w:val="none" w:sz="0" w:space="0" w:color="auto"/>
        <w:left w:val="none" w:sz="0" w:space="0" w:color="auto"/>
        <w:bottom w:val="none" w:sz="0" w:space="0" w:color="auto"/>
        <w:right w:val="none" w:sz="0" w:space="0" w:color="auto"/>
      </w:divBdr>
    </w:div>
    <w:div w:id="1858692952">
      <w:bodyDiv w:val="1"/>
      <w:marLeft w:val="0"/>
      <w:marRight w:val="0"/>
      <w:marTop w:val="0"/>
      <w:marBottom w:val="0"/>
      <w:divBdr>
        <w:top w:val="none" w:sz="0" w:space="0" w:color="auto"/>
        <w:left w:val="none" w:sz="0" w:space="0" w:color="auto"/>
        <w:bottom w:val="none" w:sz="0" w:space="0" w:color="auto"/>
        <w:right w:val="none" w:sz="0" w:space="0" w:color="auto"/>
      </w:divBdr>
    </w:div>
    <w:div w:id="1861701857">
      <w:bodyDiv w:val="1"/>
      <w:marLeft w:val="0"/>
      <w:marRight w:val="0"/>
      <w:marTop w:val="0"/>
      <w:marBottom w:val="0"/>
      <w:divBdr>
        <w:top w:val="none" w:sz="0" w:space="0" w:color="auto"/>
        <w:left w:val="none" w:sz="0" w:space="0" w:color="auto"/>
        <w:bottom w:val="none" w:sz="0" w:space="0" w:color="auto"/>
        <w:right w:val="none" w:sz="0" w:space="0" w:color="auto"/>
      </w:divBdr>
    </w:div>
    <w:div w:id="1879974994">
      <w:bodyDiv w:val="1"/>
      <w:marLeft w:val="0"/>
      <w:marRight w:val="0"/>
      <w:marTop w:val="0"/>
      <w:marBottom w:val="0"/>
      <w:divBdr>
        <w:top w:val="none" w:sz="0" w:space="0" w:color="auto"/>
        <w:left w:val="none" w:sz="0" w:space="0" w:color="auto"/>
        <w:bottom w:val="none" w:sz="0" w:space="0" w:color="auto"/>
        <w:right w:val="none" w:sz="0" w:space="0" w:color="auto"/>
      </w:divBdr>
    </w:div>
    <w:div w:id="1915158536">
      <w:bodyDiv w:val="1"/>
      <w:marLeft w:val="0"/>
      <w:marRight w:val="0"/>
      <w:marTop w:val="0"/>
      <w:marBottom w:val="0"/>
      <w:divBdr>
        <w:top w:val="none" w:sz="0" w:space="0" w:color="auto"/>
        <w:left w:val="none" w:sz="0" w:space="0" w:color="auto"/>
        <w:bottom w:val="none" w:sz="0" w:space="0" w:color="auto"/>
        <w:right w:val="none" w:sz="0" w:space="0" w:color="auto"/>
      </w:divBdr>
    </w:div>
    <w:div w:id="1938444678">
      <w:bodyDiv w:val="1"/>
      <w:marLeft w:val="0"/>
      <w:marRight w:val="0"/>
      <w:marTop w:val="0"/>
      <w:marBottom w:val="0"/>
      <w:divBdr>
        <w:top w:val="none" w:sz="0" w:space="0" w:color="auto"/>
        <w:left w:val="none" w:sz="0" w:space="0" w:color="auto"/>
        <w:bottom w:val="none" w:sz="0" w:space="0" w:color="auto"/>
        <w:right w:val="none" w:sz="0" w:space="0" w:color="auto"/>
      </w:divBdr>
    </w:div>
    <w:div w:id="1969966544">
      <w:bodyDiv w:val="1"/>
      <w:marLeft w:val="0"/>
      <w:marRight w:val="0"/>
      <w:marTop w:val="0"/>
      <w:marBottom w:val="0"/>
      <w:divBdr>
        <w:top w:val="none" w:sz="0" w:space="0" w:color="auto"/>
        <w:left w:val="none" w:sz="0" w:space="0" w:color="auto"/>
        <w:bottom w:val="none" w:sz="0" w:space="0" w:color="auto"/>
        <w:right w:val="none" w:sz="0" w:space="0" w:color="auto"/>
      </w:divBdr>
    </w:div>
    <w:div w:id="1971937496">
      <w:bodyDiv w:val="1"/>
      <w:marLeft w:val="0"/>
      <w:marRight w:val="0"/>
      <w:marTop w:val="0"/>
      <w:marBottom w:val="0"/>
      <w:divBdr>
        <w:top w:val="none" w:sz="0" w:space="0" w:color="auto"/>
        <w:left w:val="none" w:sz="0" w:space="0" w:color="auto"/>
        <w:bottom w:val="none" w:sz="0" w:space="0" w:color="auto"/>
        <w:right w:val="none" w:sz="0" w:space="0" w:color="auto"/>
      </w:divBdr>
    </w:div>
    <w:div w:id="1974946473">
      <w:bodyDiv w:val="1"/>
      <w:marLeft w:val="0"/>
      <w:marRight w:val="0"/>
      <w:marTop w:val="0"/>
      <w:marBottom w:val="0"/>
      <w:divBdr>
        <w:top w:val="none" w:sz="0" w:space="0" w:color="auto"/>
        <w:left w:val="none" w:sz="0" w:space="0" w:color="auto"/>
        <w:bottom w:val="none" w:sz="0" w:space="0" w:color="auto"/>
        <w:right w:val="none" w:sz="0" w:space="0" w:color="auto"/>
      </w:divBdr>
    </w:div>
    <w:div w:id="1978221141">
      <w:bodyDiv w:val="1"/>
      <w:marLeft w:val="0"/>
      <w:marRight w:val="0"/>
      <w:marTop w:val="0"/>
      <w:marBottom w:val="0"/>
      <w:divBdr>
        <w:top w:val="none" w:sz="0" w:space="0" w:color="auto"/>
        <w:left w:val="none" w:sz="0" w:space="0" w:color="auto"/>
        <w:bottom w:val="none" w:sz="0" w:space="0" w:color="auto"/>
        <w:right w:val="none" w:sz="0" w:space="0" w:color="auto"/>
      </w:divBdr>
    </w:div>
    <w:div w:id="2015376060">
      <w:bodyDiv w:val="1"/>
      <w:marLeft w:val="0"/>
      <w:marRight w:val="0"/>
      <w:marTop w:val="0"/>
      <w:marBottom w:val="0"/>
      <w:divBdr>
        <w:top w:val="none" w:sz="0" w:space="0" w:color="auto"/>
        <w:left w:val="none" w:sz="0" w:space="0" w:color="auto"/>
        <w:bottom w:val="none" w:sz="0" w:space="0" w:color="auto"/>
        <w:right w:val="none" w:sz="0" w:space="0" w:color="auto"/>
      </w:divBdr>
    </w:div>
    <w:div w:id="2018574904">
      <w:bodyDiv w:val="1"/>
      <w:marLeft w:val="0"/>
      <w:marRight w:val="0"/>
      <w:marTop w:val="0"/>
      <w:marBottom w:val="0"/>
      <w:divBdr>
        <w:top w:val="none" w:sz="0" w:space="0" w:color="auto"/>
        <w:left w:val="none" w:sz="0" w:space="0" w:color="auto"/>
        <w:bottom w:val="none" w:sz="0" w:space="0" w:color="auto"/>
        <w:right w:val="none" w:sz="0" w:space="0" w:color="auto"/>
      </w:divBdr>
      <w:divsChild>
        <w:div w:id="1159809122">
          <w:marLeft w:val="0"/>
          <w:marRight w:val="0"/>
          <w:marTop w:val="0"/>
          <w:marBottom w:val="0"/>
          <w:divBdr>
            <w:top w:val="none" w:sz="0" w:space="0" w:color="auto"/>
            <w:left w:val="none" w:sz="0" w:space="0" w:color="auto"/>
            <w:bottom w:val="none" w:sz="0" w:space="0" w:color="auto"/>
            <w:right w:val="none" w:sz="0" w:space="0" w:color="auto"/>
          </w:divBdr>
          <w:divsChild>
            <w:div w:id="2095928401">
              <w:marLeft w:val="0"/>
              <w:marRight w:val="0"/>
              <w:marTop w:val="0"/>
              <w:marBottom w:val="0"/>
              <w:divBdr>
                <w:top w:val="none" w:sz="0" w:space="0" w:color="auto"/>
                <w:left w:val="none" w:sz="0" w:space="0" w:color="auto"/>
                <w:bottom w:val="none" w:sz="0" w:space="0" w:color="auto"/>
                <w:right w:val="none" w:sz="0" w:space="0" w:color="auto"/>
              </w:divBdr>
              <w:divsChild>
                <w:div w:id="7222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11223">
          <w:marLeft w:val="0"/>
          <w:marRight w:val="0"/>
          <w:marTop w:val="0"/>
          <w:marBottom w:val="0"/>
          <w:divBdr>
            <w:top w:val="none" w:sz="0" w:space="0" w:color="auto"/>
            <w:left w:val="none" w:sz="0" w:space="0" w:color="auto"/>
            <w:bottom w:val="none" w:sz="0" w:space="0" w:color="auto"/>
            <w:right w:val="none" w:sz="0" w:space="0" w:color="auto"/>
          </w:divBdr>
          <w:divsChild>
            <w:div w:id="176714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007029">
      <w:bodyDiv w:val="1"/>
      <w:marLeft w:val="0"/>
      <w:marRight w:val="0"/>
      <w:marTop w:val="0"/>
      <w:marBottom w:val="0"/>
      <w:divBdr>
        <w:top w:val="none" w:sz="0" w:space="0" w:color="auto"/>
        <w:left w:val="none" w:sz="0" w:space="0" w:color="auto"/>
        <w:bottom w:val="none" w:sz="0" w:space="0" w:color="auto"/>
        <w:right w:val="none" w:sz="0" w:space="0" w:color="auto"/>
      </w:divBdr>
    </w:div>
    <w:div w:id="213289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A6EAD-261E-4BBA-8588-BA9BA50E2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9099</Words>
  <Characters>49256</Characters>
  <Application>Microsoft Office Word</Application>
  <DocSecurity>0</DocSecurity>
  <Lines>410</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2020-05-01T18:56:00Z</dcterms:created>
  <dcterms:modified xsi:type="dcterms:W3CDTF">2020-05-01T19:12:00Z</dcterms:modified>
</cp:coreProperties>
</file>