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8981A" w14:textId="331EAD0A" w:rsidR="00E9547D" w:rsidRDefault="00E9547D" w:rsidP="0076610F">
      <w:pPr>
        <w:tabs>
          <w:tab w:val="left" w:pos="1440"/>
        </w:tabs>
        <w:spacing w:after="0"/>
        <w:jc w:val="center"/>
        <w:rPr>
          <w:caps/>
          <w:sz w:val="36"/>
        </w:rPr>
      </w:pPr>
      <w:bookmarkStart w:id="0" w:name="_GoBack"/>
      <w:bookmarkEnd w:id="0"/>
      <w:r>
        <w:rPr>
          <w:b/>
          <w:caps/>
          <w:sz w:val="36"/>
        </w:rPr>
        <w:t>IN THE SUPREME COURT OF CALIFORNIA</w:t>
      </w:r>
    </w:p>
    <w:p w14:paraId="1282C4A8" w14:textId="3DBF1688" w:rsidR="00E9547D" w:rsidRDefault="00E9547D" w:rsidP="0076610F">
      <w:pPr>
        <w:tabs>
          <w:tab w:val="left" w:pos="1440"/>
        </w:tabs>
        <w:spacing w:after="0"/>
        <w:jc w:val="center"/>
        <w:rPr>
          <w:caps/>
        </w:rPr>
      </w:pPr>
    </w:p>
    <w:p w14:paraId="66D02D68" w14:textId="18D95415" w:rsidR="00E9547D" w:rsidRDefault="00E9547D" w:rsidP="0076610F">
      <w:pPr>
        <w:tabs>
          <w:tab w:val="left" w:pos="1440"/>
        </w:tabs>
        <w:spacing w:after="0"/>
        <w:jc w:val="center"/>
        <w:rPr>
          <w:caps/>
        </w:rPr>
      </w:pPr>
      <w:r>
        <w:rPr>
          <w:caps/>
        </w:rPr>
        <w:t>BLACK SKY CAPITAL, LLC</w:t>
      </w:r>
      <w:r w:rsidR="008B30BA">
        <w:rPr>
          <w:caps/>
        </w:rPr>
        <w:t>,</w:t>
      </w:r>
    </w:p>
    <w:p w14:paraId="1ECB11CC" w14:textId="647B5B4E" w:rsidR="00E9547D" w:rsidRDefault="001A350A" w:rsidP="0076610F">
      <w:pPr>
        <w:tabs>
          <w:tab w:val="left" w:pos="1440"/>
        </w:tabs>
        <w:spacing w:after="0"/>
        <w:jc w:val="center"/>
        <w:rPr>
          <w:caps/>
        </w:rPr>
      </w:pPr>
      <w:r>
        <w:t>Plaintiff and Appellant</w:t>
      </w:r>
      <w:r w:rsidR="008B30BA">
        <w:t>,</w:t>
      </w:r>
    </w:p>
    <w:p w14:paraId="5F9836FE" w14:textId="153FFFB7" w:rsidR="00E9547D" w:rsidRDefault="001A350A" w:rsidP="0076610F">
      <w:pPr>
        <w:tabs>
          <w:tab w:val="left" w:pos="1440"/>
        </w:tabs>
        <w:spacing w:after="0"/>
        <w:jc w:val="center"/>
        <w:rPr>
          <w:caps/>
        </w:rPr>
      </w:pPr>
      <w:r>
        <w:t>v</w:t>
      </w:r>
      <w:r w:rsidR="00E9547D">
        <w:rPr>
          <w:caps/>
        </w:rPr>
        <w:t>.</w:t>
      </w:r>
    </w:p>
    <w:p w14:paraId="4E147D66" w14:textId="140929A6" w:rsidR="00E9547D" w:rsidRDefault="00E9547D" w:rsidP="0076610F">
      <w:pPr>
        <w:tabs>
          <w:tab w:val="left" w:pos="1440"/>
        </w:tabs>
        <w:spacing w:after="0"/>
        <w:jc w:val="center"/>
        <w:rPr>
          <w:caps/>
        </w:rPr>
      </w:pPr>
      <w:r>
        <w:rPr>
          <w:caps/>
        </w:rPr>
        <w:t xml:space="preserve">MICHAEL </w:t>
      </w:r>
      <w:r w:rsidR="008B30BA">
        <w:rPr>
          <w:caps/>
        </w:rPr>
        <w:t xml:space="preserve">A. </w:t>
      </w:r>
      <w:r>
        <w:rPr>
          <w:caps/>
        </w:rPr>
        <w:t xml:space="preserve">COBB </w:t>
      </w:r>
      <w:r w:rsidR="00D461EB">
        <w:t>et al</w:t>
      </w:r>
      <w:r>
        <w:rPr>
          <w:caps/>
        </w:rPr>
        <w:t>.</w:t>
      </w:r>
    </w:p>
    <w:p w14:paraId="25108AD1" w14:textId="70C6C200" w:rsidR="00E9547D" w:rsidRDefault="001A350A" w:rsidP="0076610F">
      <w:pPr>
        <w:tabs>
          <w:tab w:val="left" w:pos="1440"/>
        </w:tabs>
        <w:spacing w:after="0"/>
        <w:jc w:val="center"/>
        <w:rPr>
          <w:caps/>
        </w:rPr>
      </w:pPr>
      <w:r>
        <w:t>Defendants and Respondents</w:t>
      </w:r>
      <w:r w:rsidR="00D461EB">
        <w:t>.</w:t>
      </w:r>
    </w:p>
    <w:p w14:paraId="0D589DD5" w14:textId="1BAB9EB7" w:rsidR="00E9547D" w:rsidRDefault="00E9547D" w:rsidP="0076610F">
      <w:pPr>
        <w:tabs>
          <w:tab w:val="left" w:pos="1440"/>
        </w:tabs>
        <w:spacing w:after="0"/>
        <w:jc w:val="center"/>
        <w:rPr>
          <w:caps/>
        </w:rPr>
      </w:pPr>
    </w:p>
    <w:p w14:paraId="21F49E03" w14:textId="06CD6225" w:rsidR="00E9547D" w:rsidRDefault="00E9547D" w:rsidP="0076610F">
      <w:pPr>
        <w:tabs>
          <w:tab w:val="left" w:pos="1440"/>
        </w:tabs>
        <w:spacing w:after="0"/>
        <w:jc w:val="center"/>
        <w:rPr>
          <w:caps/>
        </w:rPr>
      </w:pPr>
      <w:r>
        <w:rPr>
          <w:caps/>
        </w:rPr>
        <w:t>S243294</w:t>
      </w:r>
    </w:p>
    <w:p w14:paraId="103AD27A" w14:textId="3BA94C2A" w:rsidR="00E9547D" w:rsidRDefault="00E9547D" w:rsidP="0076610F">
      <w:pPr>
        <w:tabs>
          <w:tab w:val="left" w:pos="1440"/>
        </w:tabs>
        <w:spacing w:after="0"/>
        <w:jc w:val="center"/>
        <w:rPr>
          <w:caps/>
        </w:rPr>
      </w:pPr>
    </w:p>
    <w:p w14:paraId="68DBC9C9" w14:textId="7260E84B" w:rsidR="00E9547D" w:rsidRDefault="001A350A" w:rsidP="0076610F">
      <w:pPr>
        <w:tabs>
          <w:tab w:val="left" w:pos="1440"/>
        </w:tabs>
        <w:spacing w:after="0"/>
        <w:jc w:val="center"/>
        <w:rPr>
          <w:caps/>
        </w:rPr>
      </w:pPr>
      <w:r>
        <w:t>Fourth Appellate District, Division Two</w:t>
      </w:r>
    </w:p>
    <w:p w14:paraId="6382E09C" w14:textId="38F0664C" w:rsidR="00E9547D" w:rsidRDefault="00E9547D" w:rsidP="0076610F">
      <w:pPr>
        <w:tabs>
          <w:tab w:val="left" w:pos="1440"/>
        </w:tabs>
        <w:spacing w:after="0"/>
        <w:jc w:val="center"/>
        <w:rPr>
          <w:caps/>
        </w:rPr>
      </w:pPr>
      <w:r>
        <w:rPr>
          <w:caps/>
        </w:rPr>
        <w:t>E064482</w:t>
      </w:r>
    </w:p>
    <w:p w14:paraId="7991459A" w14:textId="55281689" w:rsidR="00E9547D" w:rsidRDefault="00E9547D" w:rsidP="0076610F">
      <w:pPr>
        <w:tabs>
          <w:tab w:val="left" w:pos="1440"/>
        </w:tabs>
        <w:spacing w:after="0"/>
        <w:jc w:val="center"/>
        <w:rPr>
          <w:caps/>
        </w:rPr>
      </w:pPr>
    </w:p>
    <w:p w14:paraId="7DF56DB1" w14:textId="3BDA3504" w:rsidR="00E9547D" w:rsidRDefault="001A350A" w:rsidP="0076610F">
      <w:pPr>
        <w:tabs>
          <w:tab w:val="left" w:pos="1440"/>
        </w:tabs>
        <w:spacing w:after="0"/>
        <w:jc w:val="center"/>
        <w:rPr>
          <w:caps/>
        </w:rPr>
      </w:pPr>
      <w:r>
        <w:t>San Bernardino County Superior Court</w:t>
      </w:r>
    </w:p>
    <w:p w14:paraId="084E9F83" w14:textId="7575CB3D" w:rsidR="00E9547D" w:rsidRDefault="00E9547D" w:rsidP="0076610F">
      <w:pPr>
        <w:tabs>
          <w:tab w:val="left" w:pos="1440"/>
        </w:tabs>
        <w:spacing w:after="0"/>
        <w:jc w:val="center"/>
        <w:rPr>
          <w:caps/>
        </w:rPr>
      </w:pPr>
      <w:r>
        <w:rPr>
          <w:caps/>
        </w:rPr>
        <w:t>CIVDS1416584</w:t>
      </w:r>
    </w:p>
    <w:p w14:paraId="4302EA42" w14:textId="61E1ACA2" w:rsidR="00E9547D" w:rsidRDefault="00E9547D" w:rsidP="0076610F">
      <w:pPr>
        <w:pBdr>
          <w:bottom w:val="single" w:sz="4" w:space="1" w:color="auto"/>
        </w:pBdr>
        <w:tabs>
          <w:tab w:val="left" w:pos="1440"/>
        </w:tabs>
        <w:spacing w:after="0"/>
        <w:jc w:val="center"/>
        <w:rPr>
          <w:caps/>
        </w:rPr>
      </w:pPr>
    </w:p>
    <w:p w14:paraId="29A8A7B5" w14:textId="463690F6" w:rsidR="00E9547D" w:rsidRDefault="00E9547D" w:rsidP="0076610F">
      <w:pPr>
        <w:tabs>
          <w:tab w:val="left" w:pos="1440"/>
        </w:tabs>
        <w:spacing w:after="0"/>
        <w:jc w:val="center"/>
        <w:rPr>
          <w:caps/>
        </w:rPr>
      </w:pPr>
    </w:p>
    <w:p w14:paraId="217DB4B4" w14:textId="77777777" w:rsidR="003E50E4" w:rsidRPr="00A8115B" w:rsidRDefault="003E50E4" w:rsidP="003E50E4">
      <w:pPr>
        <w:tabs>
          <w:tab w:val="left" w:pos="1440"/>
        </w:tabs>
        <w:spacing w:after="0"/>
        <w:jc w:val="center"/>
        <w:rPr>
          <w:caps/>
        </w:rPr>
      </w:pPr>
      <w:r>
        <w:t>May 6</w:t>
      </w:r>
      <w:r w:rsidRPr="00A8115B">
        <w:t>, 2019</w:t>
      </w:r>
    </w:p>
    <w:p w14:paraId="6E8A29AA" w14:textId="77777777" w:rsidR="003E50E4" w:rsidRPr="00A8115B" w:rsidRDefault="003E50E4" w:rsidP="003E50E4">
      <w:pPr>
        <w:tabs>
          <w:tab w:val="left" w:pos="1440"/>
        </w:tabs>
        <w:spacing w:after="0"/>
        <w:jc w:val="center"/>
        <w:rPr>
          <w:caps/>
        </w:rPr>
      </w:pPr>
    </w:p>
    <w:p w14:paraId="189FF2A0" w14:textId="6EB592EB" w:rsidR="00E9547D" w:rsidRDefault="003E50E4" w:rsidP="0076610F">
      <w:pPr>
        <w:tabs>
          <w:tab w:val="left" w:pos="1440"/>
        </w:tabs>
        <w:spacing w:after="0"/>
        <w:jc w:val="left"/>
        <w:rPr>
          <w:caps/>
        </w:rPr>
      </w:pPr>
      <w:r w:rsidRPr="00A8115B">
        <w:t xml:space="preserve">Justice Liu authored the opinion of the court, in which </w:t>
      </w:r>
      <w:r>
        <w:t>Chief Justice Cantil-Sakauye and Justices Chin, Corrigan, Cuéllar, Kruger, and Groban concurred.</w:t>
      </w:r>
      <w:r>
        <w:rPr>
          <w:caps/>
        </w:rPr>
        <w:t xml:space="preserve"> </w:t>
      </w:r>
    </w:p>
    <w:p w14:paraId="121BAE57" w14:textId="4AFBFD92" w:rsidR="00E9547D" w:rsidRDefault="00E9547D" w:rsidP="0076610F">
      <w:pPr>
        <w:pBdr>
          <w:bottom w:val="single" w:sz="4" w:space="1" w:color="auto"/>
        </w:pBdr>
        <w:tabs>
          <w:tab w:val="left" w:pos="1440"/>
        </w:tabs>
        <w:spacing w:after="0"/>
        <w:jc w:val="left"/>
        <w:rPr>
          <w:caps/>
        </w:rPr>
      </w:pPr>
    </w:p>
    <w:p w14:paraId="403BAC32" w14:textId="77777777" w:rsidR="00E9547D" w:rsidRPr="0076610F" w:rsidRDefault="00E9547D" w:rsidP="0076610F">
      <w:pPr>
        <w:pBdr>
          <w:bottom w:val="single" w:sz="4" w:space="1" w:color="auto"/>
        </w:pBdr>
        <w:tabs>
          <w:tab w:val="left" w:pos="1440"/>
        </w:tabs>
        <w:spacing w:line="480" w:lineRule="atLeast"/>
        <w:jc w:val="left"/>
        <w:rPr>
          <w:caps/>
        </w:rPr>
      </w:pPr>
      <w:bookmarkStart w:id="1" w:name="Return"/>
      <w:bookmarkEnd w:id="1"/>
    </w:p>
    <w:p w14:paraId="71AF2B3B" w14:textId="77777777" w:rsidR="00E9547D" w:rsidRDefault="00E9547D">
      <w:pPr>
        <w:tabs>
          <w:tab w:val="left" w:pos="1440"/>
        </w:tabs>
        <w:spacing w:line="480" w:lineRule="atLeast"/>
        <w:jc w:val="center"/>
        <w:rPr>
          <w:b/>
          <w:caps/>
        </w:rPr>
        <w:sectPr w:rsidR="00E9547D" w:rsidSect="0076610F">
          <w:headerReference w:type="default" r:id="rId6"/>
          <w:footerReference w:type="default" r:id="rId7"/>
          <w:pgSz w:w="12240" w:h="15840"/>
          <w:pgMar w:top="1800" w:right="2160" w:bottom="1440" w:left="2160" w:header="720" w:footer="720" w:gutter="0"/>
          <w:cols w:space="720"/>
          <w:titlePg/>
          <w:docGrid w:linePitch="367"/>
        </w:sectPr>
      </w:pPr>
    </w:p>
    <w:p w14:paraId="0930EAED" w14:textId="249FF9B9" w:rsidR="00E9547D" w:rsidRPr="00FA600E" w:rsidRDefault="00E9547D" w:rsidP="00E9547D">
      <w:pPr>
        <w:tabs>
          <w:tab w:val="left" w:pos="1440"/>
        </w:tabs>
        <w:jc w:val="center"/>
        <w:rPr>
          <w:caps/>
        </w:rPr>
      </w:pPr>
      <w:r w:rsidRPr="00FA600E">
        <w:rPr>
          <w:caps/>
        </w:rPr>
        <w:lastRenderedPageBreak/>
        <w:t xml:space="preserve">BLACK SKY CAPITAL, LLC </w:t>
      </w:r>
      <w:r w:rsidR="00FA600E" w:rsidRPr="00FA600E">
        <w:t>v</w:t>
      </w:r>
      <w:r w:rsidRPr="00FA600E">
        <w:rPr>
          <w:caps/>
        </w:rPr>
        <w:t>. COBB</w:t>
      </w:r>
    </w:p>
    <w:p w14:paraId="5C99BA60" w14:textId="77777777" w:rsidR="00E9547D" w:rsidRPr="00FA600E" w:rsidRDefault="00E9547D" w:rsidP="00E9547D">
      <w:pPr>
        <w:tabs>
          <w:tab w:val="left" w:pos="1440"/>
        </w:tabs>
        <w:jc w:val="center"/>
        <w:rPr>
          <w:caps/>
        </w:rPr>
      </w:pPr>
      <w:r w:rsidRPr="00FA600E">
        <w:rPr>
          <w:caps/>
        </w:rPr>
        <w:t>S243294</w:t>
      </w:r>
    </w:p>
    <w:p w14:paraId="7C24842B" w14:textId="77777777" w:rsidR="00E9547D" w:rsidRDefault="00E9547D" w:rsidP="00E9547D">
      <w:pPr>
        <w:tabs>
          <w:tab w:val="left" w:pos="1440"/>
        </w:tabs>
        <w:jc w:val="center"/>
        <w:rPr>
          <w:b/>
          <w:caps/>
        </w:rPr>
      </w:pPr>
    </w:p>
    <w:p w14:paraId="775FD0FF" w14:textId="24A203A9" w:rsidR="00E9547D" w:rsidRDefault="00DF430D" w:rsidP="00E9547D">
      <w:pPr>
        <w:tabs>
          <w:tab w:val="left" w:pos="1440"/>
        </w:tabs>
        <w:jc w:val="center"/>
      </w:pPr>
      <w:r w:rsidRPr="00FA600E">
        <w:t xml:space="preserve">Opinion </w:t>
      </w:r>
      <w:r>
        <w:t>o</w:t>
      </w:r>
      <w:r w:rsidRPr="00FA600E">
        <w:t xml:space="preserve">f </w:t>
      </w:r>
      <w:r>
        <w:t>t</w:t>
      </w:r>
      <w:r w:rsidRPr="00FA600E">
        <w:t xml:space="preserve">he Court </w:t>
      </w:r>
      <w:r>
        <w:t>b</w:t>
      </w:r>
      <w:r w:rsidRPr="00FA600E">
        <w:t>y Liu, J.</w:t>
      </w:r>
    </w:p>
    <w:p w14:paraId="76733612" w14:textId="77777777" w:rsidR="00450A47" w:rsidRPr="00FA600E" w:rsidRDefault="00450A47" w:rsidP="00E9547D">
      <w:pPr>
        <w:tabs>
          <w:tab w:val="left" w:pos="1440"/>
        </w:tabs>
        <w:jc w:val="center"/>
        <w:rPr>
          <w:caps/>
        </w:rPr>
      </w:pPr>
    </w:p>
    <w:p w14:paraId="0D9FCA92" w14:textId="2D354BF8" w:rsidR="00E31C50" w:rsidRPr="00E9547D" w:rsidRDefault="00E31C50" w:rsidP="0076610F">
      <w:pPr>
        <w:ind w:firstLine="720"/>
      </w:pPr>
      <w:bookmarkStart w:id="2" w:name="mainstory"/>
      <w:bookmarkEnd w:id="2"/>
      <w:r w:rsidRPr="00E9547D">
        <w:t xml:space="preserve">Under California law, a creditor can recover a debt secured by a deed of trust on real property through a nonjudicial foreclosure action to sell the property at a public auction.  Code of Civil Procedure section 580d provides that a creditor cannot collect a deficiency judgment — that is, the difference between the amount of indebtedness and the </w:t>
      </w:r>
      <w:proofErr w:type="gramStart"/>
      <w:r w:rsidRPr="00E9547D">
        <w:t>fair market value</w:t>
      </w:r>
      <w:proofErr w:type="gramEnd"/>
      <w:r w:rsidRPr="00E9547D">
        <w:t xml:space="preserve"> of the property — if the property is sold for less than the amount of the outstanding debt.  (All undesignated statutory citations are to the Code of Civil Procedure.)  Here we consider this question:  Where a creditor holds two deeds of trust on the same property, can the creditor recover a deficiency judgment on a junior lien extinguished by a nonjudicial foreclosure on the senior lien?  The trial court applied section 580d to bar such a recovery; the Court of Appeal disagreed.  </w:t>
      </w:r>
      <w:r w:rsidR="00064FEE" w:rsidRPr="00E9547D">
        <w:t>W</w:t>
      </w:r>
      <w:r w:rsidRPr="00E9547D">
        <w:t>e affirm and hold that</w:t>
      </w:r>
      <w:r w:rsidR="00A92A25">
        <w:t xml:space="preserve"> under the circumstances here,</w:t>
      </w:r>
      <w:r w:rsidRPr="00E9547D">
        <w:t xml:space="preserve"> section 580d does not preclude a creditor holding two deeds of trust on the same property from recovering a deficiency judgment on the junior lien extinguished by a nonjudicial foreclosure sale on the senior</w:t>
      </w:r>
      <w:r w:rsidR="00B144D2" w:rsidRPr="00E9547D">
        <w:t>.</w:t>
      </w:r>
    </w:p>
    <w:p w14:paraId="5AD567F2" w14:textId="77777777" w:rsidR="00E31C50" w:rsidRPr="00E9547D" w:rsidRDefault="00E31C50" w:rsidP="0076610F">
      <w:pPr>
        <w:tabs>
          <w:tab w:val="left" w:pos="1440"/>
        </w:tabs>
        <w:jc w:val="center"/>
        <w:rPr>
          <w:b/>
        </w:rPr>
      </w:pPr>
      <w:r w:rsidRPr="00E9547D">
        <w:rPr>
          <w:b/>
        </w:rPr>
        <w:t>I.</w:t>
      </w:r>
    </w:p>
    <w:p w14:paraId="480191E5" w14:textId="71352F71" w:rsidR="00E31C50" w:rsidRPr="0076610F" w:rsidRDefault="00E31C50" w:rsidP="0076610F">
      <w:pPr>
        <w:ind w:firstLine="720"/>
      </w:pPr>
      <w:r w:rsidRPr="00E9547D">
        <w:t xml:space="preserve">On August 18, 2005, </w:t>
      </w:r>
      <w:r w:rsidR="00A719F9">
        <w:t xml:space="preserve">defendants </w:t>
      </w:r>
      <w:r w:rsidRPr="00E9547D">
        <w:t xml:space="preserve">Michael and Kathleen Cobb borrowed $10,299,250 from Citizens Business Bank by executing a promissory note secured by a deed of trust, also dated August 18, 2005, on a parcel of commercial property in Rancho Cucamonga.  </w:t>
      </w:r>
      <w:r w:rsidRPr="0076610F">
        <w:t xml:space="preserve">On September 13, 2007, the Cobbs </w:t>
      </w:r>
      <w:r w:rsidRPr="0076610F">
        <w:lastRenderedPageBreak/>
        <w:t xml:space="preserve">borrowed an additional $1.5 million from Citizens Business Bank by executing a second promissory note secured by a separate deed of trust, dated September 7, 2007, on the same property.  The second deed of trust said the lien “may be secondary and inferior to the lien securing payment of an existing obligation . . . to Citizens Business Bank described as:  First Deed of Trust dated August 18, 2005.”  On January 3, 2014, Citizens Business Bank sold both loans to </w:t>
      </w:r>
      <w:r w:rsidR="00A80357">
        <w:t xml:space="preserve">plaintiff </w:t>
      </w:r>
      <w:r w:rsidRPr="0076610F">
        <w:t>Black Sky Capital</w:t>
      </w:r>
      <w:r w:rsidR="00A80357">
        <w:t>, LLC</w:t>
      </w:r>
      <w:r w:rsidRPr="0076610F">
        <w:t xml:space="preserve"> (Black Sky).  On June 20, 2014, Black Sky sent the Cobbs a notice of default and election to sell the property under the first deed of trust.  Black Sky acquired the property at a public auction for $7.5 million on October 28, 2014.  On November 4, 2014, Black Sky filed a lawsuit to recover the amount still owed on the second deed of trust extinguished by the foreclosure sale.  Both parties moved for summary judgment.  </w:t>
      </w:r>
    </w:p>
    <w:p w14:paraId="7F46D601" w14:textId="089F2CCD" w:rsidR="00E31C50" w:rsidRPr="0076610F" w:rsidRDefault="00E31C50" w:rsidP="0076610F">
      <w:pPr>
        <w:ind w:firstLine="720"/>
      </w:pPr>
      <w:r w:rsidRPr="0076610F">
        <w:t xml:space="preserve">Applying </w:t>
      </w:r>
      <w:r w:rsidRPr="0076610F">
        <w:rPr>
          <w:i/>
        </w:rPr>
        <w:t xml:space="preserve">Simon v. Superior Court </w:t>
      </w:r>
      <w:r w:rsidRPr="0076610F">
        <w:t>(1992) 4 Cal.App.4th 63, 66 (</w:t>
      </w:r>
      <w:r w:rsidRPr="0076610F">
        <w:rPr>
          <w:i/>
        </w:rPr>
        <w:t>Simon</w:t>
      </w:r>
      <w:r w:rsidRPr="0076610F">
        <w:t>), which held that section 580d precludes a deficiency judgment for a junior lienholder who was also the foreclosing senior lienholder, the trial court concluded that section 580d bars the monetary judgment sought by Black Sky and granted the Cobbs’ motion for summary judgment</w:t>
      </w:r>
      <w:proofErr w:type="gramStart"/>
      <w:r w:rsidRPr="0076610F">
        <w:t xml:space="preserve">. </w:t>
      </w:r>
      <w:proofErr w:type="gramEnd"/>
      <w:r w:rsidRPr="0076610F">
        <w:t xml:space="preserve">On appeal, the Court of Appeal declined to follow </w:t>
      </w:r>
      <w:r w:rsidRPr="0076610F">
        <w:rPr>
          <w:i/>
        </w:rPr>
        <w:t>Simon</w:t>
      </w:r>
      <w:r w:rsidRPr="0076610F">
        <w:t xml:space="preserve"> </w:t>
      </w:r>
      <w:proofErr w:type="gramStart"/>
      <w:r w:rsidRPr="0076610F">
        <w:t>in light of</w:t>
      </w:r>
      <w:proofErr w:type="gramEnd"/>
      <w:r w:rsidRPr="0076610F">
        <w:t xml:space="preserve"> our decision in </w:t>
      </w:r>
      <w:r w:rsidRPr="0076610F">
        <w:rPr>
          <w:i/>
        </w:rPr>
        <w:t xml:space="preserve">Roseleaf Corp. v. </w:t>
      </w:r>
      <w:proofErr w:type="spellStart"/>
      <w:r w:rsidRPr="0076610F">
        <w:rPr>
          <w:i/>
        </w:rPr>
        <w:t>Chierighino</w:t>
      </w:r>
      <w:proofErr w:type="spellEnd"/>
      <w:r w:rsidRPr="0076610F">
        <w:t xml:space="preserve"> (1963) 59 Cal.2d 35, 43 (</w:t>
      </w:r>
      <w:r w:rsidRPr="0076610F">
        <w:rPr>
          <w:i/>
        </w:rPr>
        <w:t>Roseleaf</w:t>
      </w:r>
      <w:r w:rsidRPr="0076610F">
        <w:t xml:space="preserve">), which held that section 580d does not preclude a deficiency judgment for a </w:t>
      </w:r>
      <w:proofErr w:type="spellStart"/>
      <w:r w:rsidRPr="0076610F">
        <w:t>nonselling</w:t>
      </w:r>
      <w:proofErr w:type="spellEnd"/>
      <w:r w:rsidRPr="0076610F">
        <w:t xml:space="preserve"> junior lienholder.  (</w:t>
      </w:r>
      <w:r w:rsidRPr="0076610F">
        <w:rPr>
          <w:i/>
        </w:rPr>
        <w:t>Black Sky Capital, LLC v. Cobb</w:t>
      </w:r>
      <w:r w:rsidRPr="0076610F">
        <w:t xml:space="preserve"> (2017) 12 Cal.App.5th 887, 897 (</w:t>
      </w:r>
      <w:r w:rsidRPr="0076610F">
        <w:rPr>
          <w:i/>
        </w:rPr>
        <w:t>Black Sky</w:t>
      </w:r>
      <w:r w:rsidRPr="0076610F">
        <w:t>).)  The Court of Appeal observed that although the senior and junior lienholder are the same, “[a]</w:t>
      </w:r>
      <w:proofErr w:type="spellStart"/>
      <w:r w:rsidRPr="0076610F">
        <w:t>ny</w:t>
      </w:r>
      <w:proofErr w:type="spellEnd"/>
      <w:r w:rsidRPr="0076610F">
        <w:t xml:space="preserve"> debt owed on the junior note in this case has no relationship to the debt owed on the senior note, and by no contortion of the . . . definition [of a </w:t>
      </w:r>
      <w:r w:rsidRPr="0076610F">
        <w:lastRenderedPageBreak/>
        <w:t>deficiency judgment] can the unpaid balance on that note be deemed a deficiency with respect to the senior note, within the meaning of section 580d.”  (</w:t>
      </w:r>
      <w:r w:rsidRPr="0076610F">
        <w:rPr>
          <w:i/>
        </w:rPr>
        <w:t>Black Sky</w:t>
      </w:r>
      <w:r w:rsidRPr="0076610F">
        <w:t>, at p. 897.)  Rather, “[t]he unambiguous language in section 580d . . . indicate[s] that section 580d applies to a single deed of trust” and “does not apply to preclude Black Sky from suing for the balance due on the junior note in this case.”  (</w:t>
      </w:r>
      <w:r w:rsidRPr="0076610F">
        <w:rPr>
          <w:i/>
        </w:rPr>
        <w:t>Ibid.</w:t>
      </w:r>
      <w:r w:rsidRPr="0076610F">
        <w:t>)  The Court of Appeal reversed the trial court’s judgment and remanded for further proceedings.  (</w:t>
      </w:r>
      <w:r w:rsidRPr="0076610F">
        <w:rPr>
          <w:i/>
        </w:rPr>
        <w:t>Ibid.</w:t>
      </w:r>
      <w:r w:rsidRPr="0076610F">
        <w:t>)  We granted review.</w:t>
      </w:r>
    </w:p>
    <w:p w14:paraId="5B8CE012" w14:textId="77777777" w:rsidR="00E31C50" w:rsidRPr="00E9547D" w:rsidRDefault="00E31C50" w:rsidP="0076610F">
      <w:pPr>
        <w:tabs>
          <w:tab w:val="left" w:pos="0"/>
        </w:tabs>
        <w:jc w:val="center"/>
        <w:rPr>
          <w:b/>
        </w:rPr>
      </w:pPr>
      <w:r w:rsidRPr="0076610F">
        <w:rPr>
          <w:b/>
        </w:rPr>
        <w:t>II</w:t>
      </w:r>
      <w:r w:rsidRPr="00E9547D">
        <w:rPr>
          <w:b/>
        </w:rPr>
        <w:t>.</w:t>
      </w:r>
    </w:p>
    <w:p w14:paraId="4DEC82D8" w14:textId="4B568BD8" w:rsidR="00E31C50" w:rsidRPr="0076610F" w:rsidRDefault="00E31C50" w:rsidP="0076610F">
      <w:pPr>
        <w:ind w:firstLine="720"/>
      </w:pPr>
      <w:r w:rsidRPr="00E9547D">
        <w:t xml:space="preserve">“California has an elaborate and interrelated set of foreclosure and </w:t>
      </w:r>
      <w:proofErr w:type="spellStart"/>
      <w:r w:rsidRPr="00E9547D">
        <w:t>antideficiency</w:t>
      </w:r>
      <w:proofErr w:type="spellEnd"/>
      <w:r w:rsidRPr="00E9547D">
        <w:t xml:space="preserve"> statutes relating to the enforcement of obligations secured by interests in real property.  Most of these statutes were enacted as the result of ‘the Great Depression and the corresponding legislative abhorrence of the all too common foreclosures and forfeitures [which occurred] during that era for reasons beyond the control of the debtors.’ ”  (</w:t>
      </w:r>
      <w:r w:rsidRPr="00E9547D">
        <w:rPr>
          <w:i/>
        </w:rPr>
        <w:t>Alliance Mortgage Co. v. Rothwell</w:t>
      </w:r>
      <w:r w:rsidRPr="00E9547D">
        <w:t xml:space="preserve"> (1995) 10 Cal.4th 1226, 1236</w:t>
      </w:r>
      <w:r w:rsidRPr="0076610F">
        <w:t>.)  Under section 726, “there is only ‘one form of action’ for the recovery of any debt or the enforcement of any right secured by a mortgage or deed of trust”; “[t]hat action is foreclosure, which may be either judicial or nonjudicial.”  (</w:t>
      </w:r>
      <w:r w:rsidRPr="0076610F">
        <w:rPr>
          <w:i/>
        </w:rPr>
        <w:t>Alliance Mortgage</w:t>
      </w:r>
      <w:r w:rsidRPr="0076610F">
        <w:t>, at p. 1236.)  In a judicial foreclosure, a creditor may seek a deficiency judgment to recover “the difference between the amount of the indebtedness and the fair market value of the property” if the property is sold for less than the amount of the outstanding debt.  (</w:t>
      </w:r>
      <w:r w:rsidRPr="0076610F">
        <w:rPr>
          <w:i/>
        </w:rPr>
        <w:t>Ibid.</w:t>
      </w:r>
      <w:r w:rsidRPr="0076610F">
        <w:t>)  But the debtor has a statutory right of redemption, which provides “an opportunity to regain ownership of the property by paying the foreclosure sale price, for a period of time after foreclosure.”  (</w:t>
      </w:r>
      <w:r w:rsidRPr="0076610F">
        <w:rPr>
          <w:i/>
        </w:rPr>
        <w:t>Ibid.</w:t>
      </w:r>
      <w:r w:rsidRPr="0076610F">
        <w:t>)</w:t>
      </w:r>
      <w:r w:rsidR="00E91062" w:rsidRPr="0076610F">
        <w:t xml:space="preserve">  In a nonjudicial foreclosure, also known as a trustee’s sale</w:t>
      </w:r>
      <w:r w:rsidRPr="0076610F">
        <w:t xml:space="preserve">, the creditor exercises </w:t>
      </w:r>
      <w:r w:rsidRPr="0076610F">
        <w:lastRenderedPageBreak/>
        <w:t>the power of sale given by the deed of trust, and the debtor has no statutory right to redemption.  (</w:t>
      </w:r>
      <w:r w:rsidRPr="0076610F">
        <w:rPr>
          <w:i/>
        </w:rPr>
        <w:t>Ibid.</w:t>
      </w:r>
      <w:r w:rsidRPr="0076610F">
        <w:t>)  But under section 580d, “the creditor may not seek a deficiency judgment” after a nonjudicial foreclosure.  (</w:t>
      </w:r>
      <w:r w:rsidRPr="0076610F">
        <w:rPr>
          <w:i/>
        </w:rPr>
        <w:t>Alliance Mortgage</w:t>
      </w:r>
      <w:r w:rsidRPr="0076610F">
        <w:t>, at p. </w:t>
      </w:r>
      <w:r w:rsidR="005F75D0" w:rsidRPr="0076610F">
        <w:t>1236</w:t>
      </w:r>
      <w:r w:rsidRPr="0076610F">
        <w:t xml:space="preserve">.)  </w:t>
      </w:r>
    </w:p>
    <w:p w14:paraId="2E7215B2" w14:textId="71540446" w:rsidR="00E31C50" w:rsidRPr="0076610F" w:rsidRDefault="00E31C50" w:rsidP="0076610F">
      <w:pPr>
        <w:ind w:firstLine="720"/>
      </w:pPr>
      <w:r w:rsidRPr="0076610F">
        <w:t xml:space="preserve">In </w:t>
      </w:r>
      <w:r w:rsidRPr="0076610F">
        <w:rPr>
          <w:i/>
        </w:rPr>
        <w:t>Roseleaf</w:t>
      </w:r>
      <w:r w:rsidRPr="0076610F">
        <w:t xml:space="preserve">, we considered whether this provision bars recovery on a junior lien in a circumstance where that lien was held by a creditor different from the one holding a senior lien on the same property.  The senior lienholder in </w:t>
      </w:r>
      <w:r w:rsidRPr="0076610F">
        <w:rPr>
          <w:i/>
        </w:rPr>
        <w:t>Roseleaf</w:t>
      </w:r>
      <w:r w:rsidRPr="0076610F">
        <w:t xml:space="preserve"> initiated a nonjudicial foreclosure sale without any involvement of the junior lienholder</w:t>
      </w:r>
      <w:r w:rsidR="000C16CA" w:rsidRPr="0076610F">
        <w:t>.  A</w:t>
      </w:r>
      <w:r w:rsidRPr="0076610F">
        <w:t>fter the sale, the junior lienholder sued the debtor to recover the full amount unpaid on the second deed.  (</w:t>
      </w:r>
      <w:r w:rsidRPr="0076610F">
        <w:rPr>
          <w:i/>
        </w:rPr>
        <w:t>Roseleaf</w:t>
      </w:r>
      <w:r w:rsidRPr="0076610F">
        <w:t xml:space="preserve">, </w:t>
      </w:r>
      <w:r w:rsidRPr="0076610F">
        <w:rPr>
          <w:i/>
        </w:rPr>
        <w:t>supra</w:t>
      </w:r>
      <w:r w:rsidRPr="0076610F">
        <w:t>,</w:t>
      </w:r>
      <w:r w:rsidRPr="0076610F">
        <w:rPr>
          <w:i/>
        </w:rPr>
        <w:t xml:space="preserve"> </w:t>
      </w:r>
      <w:r w:rsidRPr="0076610F">
        <w:t xml:space="preserve">59 Cal.2d at p. 38.)  We observed that the </w:t>
      </w:r>
      <w:proofErr w:type="spellStart"/>
      <w:r w:rsidRPr="0076610F">
        <w:t>antideficiency</w:t>
      </w:r>
      <w:proofErr w:type="spellEnd"/>
      <w:r w:rsidRPr="0076610F">
        <w:t xml:space="preserve"> statutes’ fair</w:t>
      </w:r>
      <w:r w:rsidR="00D1540A">
        <w:t xml:space="preserve"> </w:t>
      </w:r>
      <w:r w:rsidRPr="0076610F">
        <w:t>value provisions “are designed to prevent creditors from buying in at their own sales at deflated prices and realizing double recoveries by holding debtors for large deficiencies.”  (</w:t>
      </w:r>
      <w:r w:rsidRPr="0076610F">
        <w:rPr>
          <w:i/>
        </w:rPr>
        <w:t>Id.</w:t>
      </w:r>
      <w:r w:rsidRPr="0076610F">
        <w:t xml:space="preserve"> at p. 40.)  We also observed that under these provisions, and even in their absence, “[s]</w:t>
      </w:r>
      <w:proofErr w:type="spellStart"/>
      <w:r w:rsidRPr="0076610F">
        <w:t>ome</w:t>
      </w:r>
      <w:proofErr w:type="spellEnd"/>
      <w:r w:rsidRPr="0076610F">
        <w:t xml:space="preserve"> courts have limited deficiency judgments to prevent double recoveries,” but “they have not limited such judgments when sought by </w:t>
      </w:r>
      <w:proofErr w:type="spellStart"/>
      <w:r w:rsidRPr="0076610F">
        <w:t>nonselling</w:t>
      </w:r>
      <w:proofErr w:type="spellEnd"/>
      <w:r w:rsidRPr="0076610F">
        <w:t xml:space="preserve"> junior lienors.”  (</w:t>
      </w:r>
      <w:r w:rsidRPr="0076610F">
        <w:rPr>
          <w:i/>
        </w:rPr>
        <w:t>Ibid.</w:t>
      </w:r>
      <w:r w:rsidRPr="0076610F">
        <w:t xml:space="preserve">)  The reason is that </w:t>
      </w:r>
      <w:r w:rsidRPr="0076610F">
        <w:rPr>
          <w:szCs w:val="26"/>
        </w:rPr>
        <w:t>“[t]</w:t>
      </w:r>
      <w:r w:rsidRPr="0076610F">
        <w:rPr>
          <w:color w:val="000000"/>
          <w:szCs w:val="26"/>
        </w:rPr>
        <w:t xml:space="preserve">he </w:t>
      </w:r>
      <w:proofErr w:type="gramStart"/>
      <w:r w:rsidRPr="0076610F">
        <w:rPr>
          <w:color w:val="000000"/>
          <w:szCs w:val="26"/>
        </w:rPr>
        <w:t>position</w:t>
      </w:r>
      <w:proofErr w:type="gramEnd"/>
      <w:r w:rsidRPr="0076610F">
        <w:rPr>
          <w:color w:val="000000"/>
          <w:szCs w:val="26"/>
        </w:rPr>
        <w:t xml:space="preserve"> of a junior lienor whose security is lost through a senior sale is different from that of a selling senior lienor.  A selling senior can make certain that the security brings an amount equal to his claim against the debtor or the </w:t>
      </w:r>
      <w:proofErr w:type="gramStart"/>
      <w:r w:rsidRPr="0076610F">
        <w:rPr>
          <w:color w:val="000000"/>
          <w:szCs w:val="26"/>
        </w:rPr>
        <w:t>fair market value</w:t>
      </w:r>
      <w:proofErr w:type="gramEnd"/>
      <w:r w:rsidRPr="0076610F">
        <w:rPr>
          <w:color w:val="000000"/>
          <w:szCs w:val="26"/>
        </w:rPr>
        <w:t xml:space="preserve">, whichever is less, simply by bidding in for that amount.  He need not invest any additional funds.  The junior lienor, however, is in no better position to protect himself than is the debtor.  Either would have to invest additional funds to redeem or buy in at the sale.  Equitable considerations favor placing this burden on the debtor, not only because it is his default that provokes the senior sale, but also because he has the benefit of his bargain with the </w:t>
      </w:r>
      <w:r w:rsidRPr="0076610F">
        <w:rPr>
          <w:color w:val="000000"/>
          <w:szCs w:val="26"/>
        </w:rPr>
        <w:lastRenderedPageBreak/>
        <w:t>junior lienor who, unlike the selling senior, might otherwise end up with nothing.”</w:t>
      </w:r>
      <w:r w:rsidRPr="0076610F">
        <w:rPr>
          <w:szCs w:val="26"/>
        </w:rPr>
        <w:t xml:space="preserve">  (</w:t>
      </w:r>
      <w:r w:rsidRPr="0076610F">
        <w:rPr>
          <w:i/>
          <w:szCs w:val="26"/>
        </w:rPr>
        <w:t>Id.</w:t>
      </w:r>
      <w:r w:rsidRPr="0076610F">
        <w:rPr>
          <w:szCs w:val="26"/>
        </w:rPr>
        <w:t xml:space="preserve"> at p. 41.)</w:t>
      </w:r>
    </w:p>
    <w:p w14:paraId="7A4BFF15" w14:textId="399C449E" w:rsidR="0085292E" w:rsidRPr="0076610F" w:rsidRDefault="00E31C50" w:rsidP="0076610F">
      <w:pPr>
        <w:ind w:firstLine="720"/>
        <w:rPr>
          <w:szCs w:val="26"/>
        </w:rPr>
      </w:pPr>
      <w:r w:rsidRPr="0076610F">
        <w:rPr>
          <w:szCs w:val="26"/>
        </w:rPr>
        <w:t xml:space="preserve">Section 580d, we </w:t>
      </w:r>
      <w:r w:rsidR="0085292E" w:rsidRPr="0076610F">
        <w:rPr>
          <w:szCs w:val="26"/>
        </w:rPr>
        <w:t>held</w:t>
      </w:r>
      <w:r w:rsidRPr="0076610F">
        <w:rPr>
          <w:szCs w:val="26"/>
        </w:rPr>
        <w:t>,</w:t>
      </w:r>
      <w:r w:rsidR="0085292E" w:rsidRPr="0076610F">
        <w:rPr>
          <w:szCs w:val="26"/>
        </w:rPr>
        <w:t xml:space="preserve"> “does not bar [the junior lienholder’s] action.”  (</w:t>
      </w:r>
      <w:r w:rsidR="0085292E" w:rsidRPr="0076610F">
        <w:rPr>
          <w:i/>
          <w:szCs w:val="26"/>
        </w:rPr>
        <w:t>Roseleaf</w:t>
      </w:r>
      <w:r w:rsidR="0085292E" w:rsidRPr="0076610F">
        <w:rPr>
          <w:szCs w:val="26"/>
        </w:rPr>
        <w:t xml:space="preserve">, </w:t>
      </w:r>
      <w:r w:rsidR="0085292E" w:rsidRPr="0076610F">
        <w:rPr>
          <w:i/>
          <w:szCs w:val="26"/>
        </w:rPr>
        <w:t>supra</w:t>
      </w:r>
      <w:r w:rsidR="0085292E" w:rsidRPr="0076610F">
        <w:rPr>
          <w:szCs w:val="26"/>
        </w:rPr>
        <w:t xml:space="preserve">, 59 Cal.2d at p. 43.)  </w:t>
      </w:r>
      <w:r w:rsidR="00A641A7" w:rsidRPr="0076610F">
        <w:rPr>
          <w:szCs w:val="26"/>
        </w:rPr>
        <w:t>At the time, t</w:t>
      </w:r>
      <w:r w:rsidR="0085292E" w:rsidRPr="0076610F">
        <w:rPr>
          <w:szCs w:val="26"/>
        </w:rPr>
        <w:t xml:space="preserve">he </w:t>
      </w:r>
      <w:r w:rsidR="00A641A7" w:rsidRPr="0076610F">
        <w:rPr>
          <w:szCs w:val="26"/>
        </w:rPr>
        <w:t xml:space="preserve">text of the </w:t>
      </w:r>
      <w:r w:rsidR="0085292E" w:rsidRPr="0076610F">
        <w:rPr>
          <w:szCs w:val="26"/>
        </w:rPr>
        <w:t>statute</w:t>
      </w:r>
      <w:r w:rsidR="00A641A7" w:rsidRPr="0076610F">
        <w:rPr>
          <w:szCs w:val="26"/>
        </w:rPr>
        <w:t xml:space="preserve"> </w:t>
      </w:r>
      <w:r w:rsidR="0085292E" w:rsidRPr="0076610F">
        <w:rPr>
          <w:szCs w:val="26"/>
        </w:rPr>
        <w:t>prohibited a deficiency judgment “</w:t>
      </w:r>
      <w:r w:rsidR="00A641A7" w:rsidRPr="0076610F">
        <w:rPr>
          <w:szCs w:val="26"/>
        </w:rPr>
        <w:t> ‘</w:t>
      </w:r>
      <w:r w:rsidR="0085292E" w:rsidRPr="0076610F">
        <w:rPr>
          <w:szCs w:val="26"/>
        </w:rPr>
        <w:t>upon a note secured by a deed of trust or mortgage upon real property hereafter executed in any case in which the real property has been sold by the mortgagee or trustee under power of sale contained in such mortgage or deed of trust.</w:t>
      </w:r>
      <w:r w:rsidR="00A641A7" w:rsidRPr="0076610F">
        <w:rPr>
          <w:szCs w:val="26"/>
        </w:rPr>
        <w:t>’ </w:t>
      </w:r>
      <w:r w:rsidR="0085292E" w:rsidRPr="0076610F">
        <w:rPr>
          <w:szCs w:val="26"/>
        </w:rPr>
        <w:t>”</w:t>
      </w:r>
      <w:r w:rsidR="00A641A7" w:rsidRPr="0076610F">
        <w:rPr>
          <w:szCs w:val="26"/>
        </w:rPr>
        <w:t xml:space="preserve">  (</w:t>
      </w:r>
      <w:r w:rsidR="00A641A7" w:rsidRPr="0076610F">
        <w:rPr>
          <w:i/>
          <w:szCs w:val="26"/>
        </w:rPr>
        <w:t>Ibid.</w:t>
      </w:r>
      <w:r w:rsidR="00A641A7" w:rsidRPr="0076610F">
        <w:rPr>
          <w:szCs w:val="26"/>
        </w:rPr>
        <w:t>)  “ ‘[S]</w:t>
      </w:r>
      <w:proofErr w:type="spellStart"/>
      <w:r w:rsidR="00A641A7" w:rsidRPr="0076610F">
        <w:rPr>
          <w:szCs w:val="26"/>
        </w:rPr>
        <w:t>uch</w:t>
      </w:r>
      <w:proofErr w:type="spellEnd"/>
      <w:r w:rsidR="00A641A7" w:rsidRPr="0076610F">
        <w:rPr>
          <w:szCs w:val="26"/>
        </w:rPr>
        <w:t xml:space="preserve"> mortgage or deed of trust,’ ” we said, “refers to the instrument securing the note sued upon.  </w:t>
      </w:r>
      <w:proofErr w:type="gramStart"/>
      <w:r w:rsidR="00A641A7" w:rsidRPr="0076610F">
        <w:rPr>
          <w:szCs w:val="26"/>
        </w:rPr>
        <w:t>Thus</w:t>
      </w:r>
      <w:proofErr w:type="gramEnd"/>
      <w:r w:rsidR="00A641A7" w:rsidRPr="0076610F">
        <w:rPr>
          <w:szCs w:val="26"/>
        </w:rPr>
        <w:t xml:space="preserve"> section 580d does not appear to extend to a junior lienor whose security has been sold out in a senior sale.”  (</w:t>
      </w:r>
      <w:r w:rsidR="00A641A7" w:rsidRPr="0076610F">
        <w:rPr>
          <w:i/>
          <w:szCs w:val="26"/>
        </w:rPr>
        <w:t>Ibid.</w:t>
      </w:r>
      <w:r w:rsidR="00A641A7" w:rsidRPr="0076610F">
        <w:rPr>
          <w:szCs w:val="26"/>
        </w:rPr>
        <w:t>)</w:t>
      </w:r>
    </w:p>
    <w:p w14:paraId="30204C4F" w14:textId="76FF87EA" w:rsidR="00E31C50" w:rsidRPr="0041261F" w:rsidRDefault="00A641A7" w:rsidP="0076610F">
      <w:pPr>
        <w:ind w:firstLine="720"/>
      </w:pPr>
      <w:r w:rsidRPr="0076610F">
        <w:rPr>
          <w:szCs w:val="26"/>
        </w:rPr>
        <w:t xml:space="preserve">We went on to explain that section 580d </w:t>
      </w:r>
      <w:r w:rsidR="00E31C50" w:rsidRPr="0076610F">
        <w:rPr>
          <w:szCs w:val="26"/>
        </w:rPr>
        <w:t>“was enacted to put judicial enforcement on a parity with private enforcement.”  (</w:t>
      </w:r>
      <w:r w:rsidRPr="0076610F">
        <w:rPr>
          <w:i/>
          <w:szCs w:val="26"/>
        </w:rPr>
        <w:t>Roseleaf</w:t>
      </w:r>
      <w:r w:rsidRPr="0076610F">
        <w:rPr>
          <w:szCs w:val="26"/>
        </w:rPr>
        <w:t xml:space="preserve">, </w:t>
      </w:r>
      <w:r w:rsidRPr="0076610F">
        <w:rPr>
          <w:i/>
          <w:szCs w:val="26"/>
        </w:rPr>
        <w:t>supra</w:t>
      </w:r>
      <w:r w:rsidRPr="0076610F">
        <w:rPr>
          <w:szCs w:val="26"/>
        </w:rPr>
        <w:t>, 59 Cal.2d at p. 43</w:t>
      </w:r>
      <w:r w:rsidR="00E31C50" w:rsidRPr="0076610F">
        <w:rPr>
          <w:szCs w:val="26"/>
        </w:rPr>
        <w:t>.)  Before the enactment of section 580d, a debtor had a statutory right to redemption under a judicial foreclosure but not under a trustee’s sale.  “The right to redeem, like proscription of a deficiency judgment, has the effect of making the security satisfy a realistic share of the debt.  [Citation.]  By choosing instead to bar a deficiency judgment after private sale, the Legislature achieved its purpose without denying the creditor his election of remedies.  If the creditor wishes a deficiency judgment, his sale is subject to statutory redemption rights.  If he wishes a sale resulting in nonredeemable title, he must forego the right to a deficiency judgment.  In either case the debtor is protected.</w:t>
      </w:r>
      <w:r w:rsidR="00064FEE" w:rsidRPr="0076610F">
        <w:rPr>
          <w:szCs w:val="26"/>
        </w:rPr>
        <w:t>”  (</w:t>
      </w:r>
      <w:r w:rsidR="003D7054">
        <w:rPr>
          <w:i/>
          <w:szCs w:val="26"/>
        </w:rPr>
        <w:t>Roseleaf</w:t>
      </w:r>
      <w:r w:rsidR="003D7054">
        <w:rPr>
          <w:szCs w:val="26"/>
        </w:rPr>
        <w:t>,</w:t>
      </w:r>
      <w:r w:rsidR="00064FEE" w:rsidRPr="0076610F">
        <w:rPr>
          <w:szCs w:val="26"/>
        </w:rPr>
        <w:t xml:space="preserve"> at pp. 43–44</w:t>
      </w:r>
      <w:r w:rsidR="00484A4F" w:rsidRPr="0041261F">
        <w:rPr>
          <w:szCs w:val="26"/>
        </w:rPr>
        <w:t>.</w:t>
      </w:r>
      <w:r w:rsidR="00064FEE" w:rsidRPr="0041261F">
        <w:rPr>
          <w:szCs w:val="26"/>
        </w:rPr>
        <w:t>)</w:t>
      </w:r>
    </w:p>
    <w:p w14:paraId="66F187C3" w14:textId="440FD18B" w:rsidR="001F37DD" w:rsidRPr="0066395E" w:rsidRDefault="00562448" w:rsidP="0076610F">
      <w:pPr>
        <w:ind w:firstLine="720"/>
        <w:rPr>
          <w:szCs w:val="26"/>
        </w:rPr>
      </w:pPr>
      <w:r>
        <w:rPr>
          <w:szCs w:val="26"/>
        </w:rPr>
        <w:t xml:space="preserve">We further explained: </w:t>
      </w:r>
      <w:r w:rsidR="00064FEE" w:rsidRPr="0041261F">
        <w:rPr>
          <w:szCs w:val="26"/>
        </w:rPr>
        <w:t xml:space="preserve"> </w:t>
      </w:r>
      <w:r w:rsidR="00A641A7" w:rsidRPr="00E9547D">
        <w:rPr>
          <w:szCs w:val="26"/>
        </w:rPr>
        <w:t>“T</w:t>
      </w:r>
      <w:r w:rsidR="00E31C50" w:rsidRPr="00E9547D">
        <w:rPr>
          <w:szCs w:val="26"/>
        </w:rPr>
        <w:t xml:space="preserve">he purpose of achieving a parity of remedies would not be served by applying section 580d </w:t>
      </w:r>
      <w:r w:rsidR="00E31C50" w:rsidRPr="00E9547D">
        <w:rPr>
          <w:szCs w:val="26"/>
        </w:rPr>
        <w:lastRenderedPageBreak/>
        <w:t xml:space="preserve">against a </w:t>
      </w:r>
      <w:proofErr w:type="spellStart"/>
      <w:r w:rsidR="00E31C50" w:rsidRPr="00E9547D">
        <w:rPr>
          <w:szCs w:val="26"/>
        </w:rPr>
        <w:t>nonselling</w:t>
      </w:r>
      <w:proofErr w:type="spellEnd"/>
      <w:r w:rsidR="00E31C50" w:rsidRPr="00E9547D">
        <w:rPr>
          <w:szCs w:val="26"/>
        </w:rPr>
        <w:t xml:space="preserve"> junior lienor.  Even without the section the junior has fewer rights after a senior private sale than after a senior judicial sale.  He may redeem from a senior judicial sale (Code Civ. Proc., § 701), or he may obtain a deficiency judgment.  [Citation</w:t>
      </w:r>
      <w:r w:rsidR="00AE0F58">
        <w:rPr>
          <w:szCs w:val="26"/>
        </w:rPr>
        <w:t>s</w:t>
      </w:r>
      <w:r w:rsidR="00E31C50" w:rsidRPr="00E9547D">
        <w:rPr>
          <w:szCs w:val="26"/>
        </w:rPr>
        <w:t>.]  After a senior private sale, the junior has no right to redeem.  This disparity of rights would be aggravated were he also denied a right to a deficiency judgment by section 580d.  There is no purpose in denying the junior his single remedy after a senior private sale while leaving him with two alternative remedies after a senior judicial sale.  The junior’s right to recover should not be controlled by the whim of the senior, and there is no reason to extend the language of section 580d to reach that result.”  (</w:t>
      </w:r>
      <w:r w:rsidR="00A641A7" w:rsidRPr="00E9547D">
        <w:rPr>
          <w:i/>
          <w:szCs w:val="26"/>
        </w:rPr>
        <w:t>Roseleaf</w:t>
      </w:r>
      <w:r w:rsidR="00A641A7" w:rsidRPr="00E9547D">
        <w:rPr>
          <w:szCs w:val="26"/>
        </w:rPr>
        <w:t xml:space="preserve">, </w:t>
      </w:r>
      <w:r w:rsidR="00A641A7" w:rsidRPr="00E9547D">
        <w:rPr>
          <w:i/>
          <w:szCs w:val="26"/>
        </w:rPr>
        <w:t>supra</w:t>
      </w:r>
      <w:r w:rsidR="00A641A7" w:rsidRPr="00E9547D">
        <w:rPr>
          <w:szCs w:val="26"/>
        </w:rPr>
        <w:t>, 59 Cal.2d at p. 44</w:t>
      </w:r>
      <w:r w:rsidR="001F37DD" w:rsidRPr="00E9547D">
        <w:rPr>
          <w:szCs w:val="26"/>
        </w:rPr>
        <w:t xml:space="preserve">; see </w:t>
      </w:r>
      <w:proofErr w:type="spellStart"/>
      <w:r w:rsidR="001F37DD" w:rsidRPr="0076610F">
        <w:rPr>
          <w:i/>
          <w:szCs w:val="26"/>
        </w:rPr>
        <w:t>Bargioni</w:t>
      </w:r>
      <w:proofErr w:type="spellEnd"/>
      <w:r w:rsidR="001F37DD" w:rsidRPr="0076610F">
        <w:rPr>
          <w:i/>
          <w:szCs w:val="26"/>
        </w:rPr>
        <w:t xml:space="preserve"> v. Hill</w:t>
      </w:r>
      <w:r w:rsidR="001F37DD" w:rsidRPr="0076610F">
        <w:rPr>
          <w:szCs w:val="26"/>
        </w:rPr>
        <w:t xml:space="preserve"> (1963) 59 Cal.2d 121, 122 [citing </w:t>
      </w:r>
      <w:r w:rsidR="001F37DD" w:rsidRPr="0076610F">
        <w:rPr>
          <w:i/>
          <w:szCs w:val="26"/>
        </w:rPr>
        <w:t>Roseleaf</w:t>
      </w:r>
      <w:r w:rsidR="001F37DD" w:rsidRPr="00197B81">
        <w:rPr>
          <w:szCs w:val="26"/>
        </w:rPr>
        <w:t>’s</w:t>
      </w:r>
      <w:r w:rsidR="001F37DD" w:rsidRPr="0076610F">
        <w:rPr>
          <w:szCs w:val="26"/>
        </w:rPr>
        <w:t xml:space="preserve"> holding that section 580d “bars recovery only on a note secured by a trust deed or mortgage that has been rendered valueless by a sale under a power of sale </w:t>
      </w:r>
      <w:r w:rsidR="001F37DD" w:rsidRPr="0076610F">
        <w:rPr>
          <w:i/>
          <w:szCs w:val="26"/>
        </w:rPr>
        <w:t>contained in the trust deed or mortgage securing the note sued upon</w:t>
      </w:r>
      <w:r w:rsidR="001F37DD" w:rsidRPr="0066395E">
        <w:rPr>
          <w:szCs w:val="26"/>
        </w:rPr>
        <w:t>” (italics added)].)</w:t>
      </w:r>
    </w:p>
    <w:p w14:paraId="1991E042" w14:textId="3DD62078" w:rsidR="00E31C50" w:rsidRPr="0066395E" w:rsidRDefault="00E31C50" w:rsidP="0076610F">
      <w:pPr>
        <w:ind w:firstLine="720"/>
      </w:pPr>
      <w:r w:rsidRPr="0066395E">
        <w:rPr>
          <w:szCs w:val="26"/>
        </w:rPr>
        <w:t xml:space="preserve">Does </w:t>
      </w:r>
      <w:r w:rsidR="00B159EE">
        <w:rPr>
          <w:szCs w:val="26"/>
        </w:rPr>
        <w:t xml:space="preserve">our construction of section 580d in </w:t>
      </w:r>
      <w:r w:rsidRPr="0066395E">
        <w:rPr>
          <w:i/>
          <w:szCs w:val="26"/>
        </w:rPr>
        <w:t>Roseleaf</w:t>
      </w:r>
      <w:r w:rsidRPr="0066395E">
        <w:rPr>
          <w:szCs w:val="26"/>
        </w:rPr>
        <w:t xml:space="preserve"> limit </w:t>
      </w:r>
      <w:r w:rsidR="00B159EE">
        <w:rPr>
          <w:szCs w:val="26"/>
        </w:rPr>
        <w:t xml:space="preserve">the application </w:t>
      </w:r>
      <w:r w:rsidRPr="0066395E">
        <w:rPr>
          <w:szCs w:val="26"/>
        </w:rPr>
        <w:t xml:space="preserve">of section 580d where, as here, the senior and junior lienholders are the same entity?  For two decades, the leading decision on this issue was </w:t>
      </w:r>
      <w:r w:rsidRPr="0066395E">
        <w:rPr>
          <w:i/>
          <w:szCs w:val="26"/>
        </w:rPr>
        <w:t>Simon</w:t>
      </w:r>
      <w:r w:rsidRPr="0066395E">
        <w:rPr>
          <w:szCs w:val="26"/>
        </w:rPr>
        <w:t xml:space="preserve">, </w:t>
      </w:r>
      <w:r w:rsidRPr="0066395E">
        <w:rPr>
          <w:i/>
          <w:szCs w:val="26"/>
        </w:rPr>
        <w:t>supra</w:t>
      </w:r>
      <w:r w:rsidRPr="0066395E">
        <w:rPr>
          <w:szCs w:val="26"/>
        </w:rPr>
        <w:t>, 4 Cal.App.4th 63.  The court there held that “where a creditor makes two successive loans secured by separate deeds of trust on the same real property and forecloses under its senior deed of trust’s power of sale, thereby eliminating the security for its junior deed of trust, section 580d . . . bars recovery of any ‘deficiency’ balance due on the obligation the junior deed of trust secured.”  (</w:t>
      </w:r>
      <w:r w:rsidRPr="0066395E">
        <w:rPr>
          <w:i/>
          <w:szCs w:val="26"/>
        </w:rPr>
        <w:t>Id.</w:t>
      </w:r>
      <w:r w:rsidRPr="0066395E">
        <w:rPr>
          <w:szCs w:val="26"/>
        </w:rPr>
        <w:t xml:space="preserve"> at p. 66.)  The court explained that allowing a senior lienholder to pursue a trustee’s sale, terminate the right of redemption, and obtain a deficiency judgment on a junior lien whose security the senior </w:t>
      </w:r>
      <w:r w:rsidRPr="0066395E">
        <w:rPr>
          <w:szCs w:val="26"/>
        </w:rPr>
        <w:lastRenderedPageBreak/>
        <w:t xml:space="preserve">lienholder made the choice to eliminate would not further the parity of remedies described in </w:t>
      </w:r>
      <w:r w:rsidRPr="0066395E">
        <w:rPr>
          <w:i/>
          <w:szCs w:val="26"/>
        </w:rPr>
        <w:t>Roseleaf</w:t>
      </w:r>
      <w:r w:rsidRPr="0066395E">
        <w:rPr>
          <w:szCs w:val="26"/>
        </w:rPr>
        <w:t>.  (</w:t>
      </w:r>
      <w:r w:rsidRPr="0066395E">
        <w:rPr>
          <w:i/>
          <w:szCs w:val="26"/>
        </w:rPr>
        <w:t>Simon</w:t>
      </w:r>
      <w:r w:rsidRPr="0066395E">
        <w:rPr>
          <w:szCs w:val="26"/>
        </w:rPr>
        <w:t>, at p. 77.)  Further, “[u]</w:t>
      </w:r>
      <w:proofErr w:type="spellStart"/>
      <w:r w:rsidRPr="0066395E">
        <w:rPr>
          <w:szCs w:val="26"/>
        </w:rPr>
        <w:t>nlike</w:t>
      </w:r>
      <w:proofErr w:type="spellEnd"/>
      <w:r w:rsidRPr="0066395E">
        <w:rPr>
          <w:szCs w:val="26"/>
        </w:rPr>
        <w:t xml:space="preserve"> [a situation involving] a true third party sold-out junior, [the] right to recover as a junior lienor which is also the purchasing senior lienor is obviously not controlled by the ‘whim of the senior.’  We will not sanction the creation of multiple trust deeds on the same property, securing loans represented by successive promissory notes from the same debtor, as a means of circumventing the provisions of section 580d.”  (</w:t>
      </w:r>
      <w:r w:rsidRPr="0066395E">
        <w:rPr>
          <w:i/>
          <w:szCs w:val="26"/>
        </w:rPr>
        <w:t>Ibid</w:t>
      </w:r>
      <w:r w:rsidRPr="0066395E">
        <w:rPr>
          <w:szCs w:val="26"/>
        </w:rPr>
        <w:t xml:space="preserve">.)  Finally, </w:t>
      </w:r>
      <w:r w:rsidRPr="0066395E">
        <w:rPr>
          <w:i/>
          <w:szCs w:val="26"/>
        </w:rPr>
        <w:t xml:space="preserve">Simon </w:t>
      </w:r>
      <w:r w:rsidRPr="0066395E">
        <w:rPr>
          <w:szCs w:val="26"/>
        </w:rPr>
        <w:t xml:space="preserve">noted that “[t]he </w:t>
      </w:r>
      <w:proofErr w:type="spellStart"/>
      <w:r w:rsidRPr="0066395E">
        <w:rPr>
          <w:szCs w:val="26"/>
        </w:rPr>
        <w:t>antideficiency</w:t>
      </w:r>
      <w:proofErr w:type="spellEnd"/>
      <w:r w:rsidRPr="0066395E">
        <w:rPr>
          <w:szCs w:val="26"/>
        </w:rPr>
        <w:t xml:space="preserve"> statutes are to be ‘liberally construed to effectuate the specific legislative purpose behind them. . . .  The courts have exhibited a very hospitable attitude toward the legislative policy underlying the anti-deficiency legislation and have given it a broad and liberal construction that often goes beyond the narrow bounds of the statutory language.’ ”  (</w:t>
      </w:r>
      <w:r w:rsidRPr="0066395E">
        <w:rPr>
          <w:i/>
          <w:szCs w:val="26"/>
        </w:rPr>
        <w:t>Id.</w:t>
      </w:r>
      <w:r w:rsidRPr="0066395E">
        <w:rPr>
          <w:szCs w:val="26"/>
        </w:rPr>
        <w:t xml:space="preserve"> at p. 78.)</w:t>
      </w:r>
    </w:p>
    <w:p w14:paraId="32F38B52" w14:textId="7FD925CC" w:rsidR="00E31C50" w:rsidRPr="0066395E" w:rsidRDefault="00E31C50" w:rsidP="0076610F">
      <w:pPr>
        <w:ind w:firstLine="720"/>
      </w:pPr>
      <w:r w:rsidRPr="0066395E">
        <w:rPr>
          <w:szCs w:val="26"/>
        </w:rPr>
        <w:t xml:space="preserve">Over the next 20 years, </w:t>
      </w:r>
      <w:proofErr w:type="gramStart"/>
      <w:r w:rsidRPr="0066395E">
        <w:rPr>
          <w:szCs w:val="26"/>
        </w:rPr>
        <w:t>several</w:t>
      </w:r>
      <w:proofErr w:type="gramEnd"/>
      <w:r w:rsidRPr="0066395E">
        <w:rPr>
          <w:szCs w:val="26"/>
        </w:rPr>
        <w:t xml:space="preserve"> </w:t>
      </w:r>
      <w:r w:rsidR="00562448">
        <w:rPr>
          <w:szCs w:val="26"/>
        </w:rPr>
        <w:t>C</w:t>
      </w:r>
      <w:r w:rsidRPr="0066395E">
        <w:rPr>
          <w:szCs w:val="26"/>
        </w:rPr>
        <w:t>ourts</w:t>
      </w:r>
      <w:r w:rsidR="001B3B83">
        <w:rPr>
          <w:szCs w:val="26"/>
        </w:rPr>
        <w:t xml:space="preserve"> </w:t>
      </w:r>
      <w:r w:rsidR="007751A5">
        <w:rPr>
          <w:szCs w:val="26"/>
        </w:rPr>
        <w:t xml:space="preserve">of </w:t>
      </w:r>
      <w:r w:rsidR="00562448">
        <w:rPr>
          <w:szCs w:val="26"/>
        </w:rPr>
        <w:t>A</w:t>
      </w:r>
      <w:r w:rsidR="007751A5">
        <w:rPr>
          <w:szCs w:val="26"/>
        </w:rPr>
        <w:t xml:space="preserve">ppeal </w:t>
      </w:r>
      <w:r w:rsidR="003061E1" w:rsidRPr="0066395E">
        <w:rPr>
          <w:szCs w:val="26"/>
        </w:rPr>
        <w:t>cited</w:t>
      </w:r>
      <w:r w:rsidRPr="0066395E">
        <w:rPr>
          <w:szCs w:val="26"/>
        </w:rPr>
        <w:t xml:space="preserve"> </w:t>
      </w:r>
      <w:r w:rsidRPr="0066395E">
        <w:rPr>
          <w:i/>
          <w:szCs w:val="26"/>
        </w:rPr>
        <w:t>Simon</w:t>
      </w:r>
      <w:r w:rsidR="003061E1" w:rsidRPr="0066395E">
        <w:rPr>
          <w:szCs w:val="26"/>
        </w:rPr>
        <w:t>’s</w:t>
      </w:r>
      <w:r w:rsidRPr="0066395E">
        <w:rPr>
          <w:szCs w:val="26"/>
        </w:rPr>
        <w:t xml:space="preserve"> </w:t>
      </w:r>
      <w:r w:rsidR="003061E1" w:rsidRPr="0066395E">
        <w:rPr>
          <w:szCs w:val="26"/>
        </w:rPr>
        <w:t>reasoning with approval</w:t>
      </w:r>
      <w:r w:rsidRPr="0066395E">
        <w:rPr>
          <w:szCs w:val="26"/>
        </w:rPr>
        <w:t xml:space="preserve">.  (See </w:t>
      </w:r>
      <w:r w:rsidRPr="0066395E">
        <w:rPr>
          <w:i/>
          <w:szCs w:val="26"/>
        </w:rPr>
        <w:t xml:space="preserve">Bank of America, N.A. v. Mitchell </w:t>
      </w:r>
      <w:r w:rsidRPr="0066395E">
        <w:rPr>
          <w:szCs w:val="26"/>
        </w:rPr>
        <w:t>(2012) 204 Cal.App.4th 1199, 1207;</w:t>
      </w:r>
      <w:r w:rsidRPr="0066395E">
        <w:rPr>
          <w:i/>
          <w:szCs w:val="26"/>
        </w:rPr>
        <w:t xml:space="preserve"> </w:t>
      </w:r>
      <w:proofErr w:type="spellStart"/>
      <w:r w:rsidRPr="0066395E">
        <w:rPr>
          <w:i/>
          <w:szCs w:val="26"/>
        </w:rPr>
        <w:t>Ostayan</w:t>
      </w:r>
      <w:proofErr w:type="spellEnd"/>
      <w:r w:rsidRPr="0066395E">
        <w:rPr>
          <w:i/>
          <w:szCs w:val="26"/>
        </w:rPr>
        <w:t xml:space="preserve"> v. Serrano Reconveyance Co.</w:t>
      </w:r>
      <w:r w:rsidRPr="0066395E">
        <w:rPr>
          <w:szCs w:val="26"/>
        </w:rPr>
        <w:t xml:space="preserve"> (2000) 77 Cal.App.4th 1411, 1422;</w:t>
      </w:r>
      <w:r w:rsidRPr="0066395E">
        <w:rPr>
          <w:i/>
          <w:szCs w:val="26"/>
        </w:rPr>
        <w:t xml:space="preserve"> Evans v. California Trailer Court, Inc.</w:t>
      </w:r>
      <w:r w:rsidRPr="0066395E">
        <w:rPr>
          <w:szCs w:val="26"/>
        </w:rPr>
        <w:t xml:space="preserve"> (1994)</w:t>
      </w:r>
      <w:r w:rsidR="00837D27" w:rsidRPr="0066395E">
        <w:rPr>
          <w:szCs w:val="26"/>
        </w:rPr>
        <w:t xml:space="preserve"> 28 Cal.App.4th 540, 552</w:t>
      </w:r>
      <w:r w:rsidRPr="0066395E">
        <w:rPr>
          <w:szCs w:val="26"/>
        </w:rPr>
        <w:t>.)</w:t>
      </w:r>
      <w:r w:rsidR="003061E1" w:rsidRPr="0066395E">
        <w:t xml:space="preserve">  </w:t>
      </w:r>
      <w:r w:rsidRPr="0066395E">
        <w:t xml:space="preserve">However, the </w:t>
      </w:r>
      <w:r w:rsidR="00562448">
        <w:t>C</w:t>
      </w:r>
      <w:r w:rsidRPr="0066395E">
        <w:t>ourt</w:t>
      </w:r>
      <w:r w:rsidR="007751A5">
        <w:t xml:space="preserve"> of </w:t>
      </w:r>
      <w:r w:rsidR="00562448">
        <w:t>A</w:t>
      </w:r>
      <w:r w:rsidR="007751A5">
        <w:t>ppeal</w:t>
      </w:r>
      <w:r w:rsidR="001B3B83">
        <w:t xml:space="preserve"> </w:t>
      </w:r>
      <w:r w:rsidRPr="0066395E">
        <w:t xml:space="preserve">in </w:t>
      </w:r>
      <w:proofErr w:type="spellStart"/>
      <w:r w:rsidRPr="0066395E">
        <w:rPr>
          <w:i/>
        </w:rPr>
        <w:t>Cadlerock</w:t>
      </w:r>
      <w:proofErr w:type="spellEnd"/>
      <w:r w:rsidRPr="0066395E">
        <w:rPr>
          <w:i/>
        </w:rPr>
        <w:t xml:space="preserve"> Joint Venture, L.P. v. </w:t>
      </w:r>
      <w:proofErr w:type="spellStart"/>
      <w:r w:rsidRPr="0066395E">
        <w:rPr>
          <w:i/>
        </w:rPr>
        <w:t>Lobel</w:t>
      </w:r>
      <w:proofErr w:type="spellEnd"/>
      <w:r w:rsidRPr="0066395E">
        <w:rPr>
          <w:i/>
        </w:rPr>
        <w:t xml:space="preserve"> </w:t>
      </w:r>
      <w:r w:rsidRPr="0066395E">
        <w:t>(2012) 206 Cal.App.4th 1531 (</w:t>
      </w:r>
      <w:proofErr w:type="spellStart"/>
      <w:r w:rsidRPr="0066395E">
        <w:rPr>
          <w:i/>
        </w:rPr>
        <w:t>Cadlerock</w:t>
      </w:r>
      <w:proofErr w:type="spellEnd"/>
      <w:r w:rsidRPr="0066395E">
        <w:t>) questioned this line of cases, observing that “[c]</w:t>
      </w:r>
      <w:proofErr w:type="spellStart"/>
      <w:r w:rsidRPr="0066395E">
        <w:t>onspicuously</w:t>
      </w:r>
      <w:proofErr w:type="spellEnd"/>
      <w:r w:rsidRPr="0066395E">
        <w:t xml:space="preserve"> absent from </w:t>
      </w:r>
      <w:r w:rsidRPr="0066395E">
        <w:rPr>
          <w:i/>
        </w:rPr>
        <w:t>Simon</w:t>
      </w:r>
      <w:r w:rsidRPr="0066395E">
        <w:t xml:space="preserve"> . . . is a close examination of the text of section 580d.”  (</w:t>
      </w:r>
      <w:proofErr w:type="spellStart"/>
      <w:r w:rsidR="006F5673">
        <w:rPr>
          <w:i/>
        </w:rPr>
        <w:t>Ca</w:t>
      </w:r>
      <w:r w:rsidR="00626DD7">
        <w:rPr>
          <w:i/>
        </w:rPr>
        <w:t>d</w:t>
      </w:r>
      <w:r w:rsidR="008B30BA">
        <w:rPr>
          <w:i/>
        </w:rPr>
        <w:t>lerock</w:t>
      </w:r>
      <w:proofErr w:type="spellEnd"/>
      <w:r w:rsidR="008B30BA">
        <w:t>,</w:t>
      </w:r>
      <w:r w:rsidRPr="0066395E">
        <w:t xml:space="preserve"> at p. 1548.)  According to </w:t>
      </w:r>
      <w:proofErr w:type="spellStart"/>
      <w:r w:rsidRPr="0066395E">
        <w:rPr>
          <w:i/>
        </w:rPr>
        <w:t>Cadlerock</w:t>
      </w:r>
      <w:proofErr w:type="spellEnd"/>
      <w:r w:rsidRPr="0066395E">
        <w:t>, “</w:t>
      </w:r>
      <w:r w:rsidRPr="0066395E">
        <w:rPr>
          <w:i/>
        </w:rPr>
        <w:t>Simon</w:t>
      </w:r>
      <w:r w:rsidRPr="0066395E">
        <w:t xml:space="preserve"> . . . and its progeny . . . created an equitable exception to the text of section 580d” by misreading </w:t>
      </w:r>
      <w:r w:rsidRPr="0066395E">
        <w:rPr>
          <w:i/>
        </w:rPr>
        <w:t>Roseleaf</w:t>
      </w:r>
      <w:r w:rsidRPr="0066395E">
        <w:t>’s equitable considerations into section 580d.  (</w:t>
      </w:r>
      <w:proofErr w:type="spellStart"/>
      <w:r w:rsidRPr="0066395E">
        <w:rPr>
          <w:i/>
        </w:rPr>
        <w:t>Cadlerock</w:t>
      </w:r>
      <w:proofErr w:type="spellEnd"/>
      <w:r w:rsidRPr="0066395E">
        <w:t>, at p. 1549.)  The court observed that although “[p]</w:t>
      </w:r>
      <w:proofErr w:type="spellStart"/>
      <w:r w:rsidRPr="0066395E">
        <w:t>erhaps</w:t>
      </w:r>
      <w:proofErr w:type="spellEnd"/>
      <w:r w:rsidRPr="0066395E">
        <w:t xml:space="preserve"> </w:t>
      </w:r>
      <w:r w:rsidRPr="0066395E">
        <w:rPr>
          <w:i/>
        </w:rPr>
        <w:t>Simon</w:t>
      </w:r>
      <w:r w:rsidRPr="0066395E">
        <w:t xml:space="preserve"> and its progeny have come to the right result under the one form of action rule, assuming that </w:t>
      </w:r>
      <w:r w:rsidRPr="0066395E">
        <w:lastRenderedPageBreak/>
        <w:t xml:space="preserve">it is a proper sanction for a violation of section 726 under these circumstances to bar the junior lienor from obtaining </w:t>
      </w:r>
      <w:r w:rsidRPr="009118B5">
        <w:rPr>
          <w:i/>
        </w:rPr>
        <w:t>any</w:t>
      </w:r>
      <w:r w:rsidRPr="0066395E">
        <w:t xml:space="preserve"> recovery,” the one form of action rule should not be “conflated [with] the analysis of section 580d.”  (</w:t>
      </w:r>
      <w:proofErr w:type="spellStart"/>
      <w:r w:rsidR="00491CB6">
        <w:rPr>
          <w:i/>
        </w:rPr>
        <w:t>Cadlerock</w:t>
      </w:r>
      <w:proofErr w:type="spellEnd"/>
      <w:r w:rsidR="00491CB6">
        <w:t>,</w:t>
      </w:r>
      <w:r w:rsidRPr="0066395E">
        <w:t xml:space="preserve"> at p. 1549.)  But unlike </w:t>
      </w:r>
      <w:r w:rsidRPr="0066395E">
        <w:rPr>
          <w:i/>
        </w:rPr>
        <w:t>Simon</w:t>
      </w:r>
      <w:r w:rsidRPr="0066395E">
        <w:t xml:space="preserve">, </w:t>
      </w:r>
      <w:proofErr w:type="spellStart"/>
      <w:r w:rsidRPr="0066395E">
        <w:rPr>
          <w:i/>
        </w:rPr>
        <w:t>Cadlerock</w:t>
      </w:r>
      <w:proofErr w:type="spellEnd"/>
      <w:r w:rsidRPr="0066395E">
        <w:t xml:space="preserve"> involved a creditor that issued two deeds of trust on the same real property and then assigned the junior lien to a different creditor before foreclosing on the senior lien.  </w:t>
      </w:r>
      <w:proofErr w:type="spellStart"/>
      <w:r w:rsidRPr="0066395E">
        <w:rPr>
          <w:i/>
        </w:rPr>
        <w:t>Cadlerock</w:t>
      </w:r>
      <w:r w:rsidRPr="0066395E">
        <w:t>’s</w:t>
      </w:r>
      <w:proofErr w:type="spellEnd"/>
      <w:r w:rsidRPr="0066395E">
        <w:t xml:space="preserve"> criticism of </w:t>
      </w:r>
      <w:r w:rsidRPr="0066395E">
        <w:rPr>
          <w:i/>
        </w:rPr>
        <w:t>Simon</w:t>
      </w:r>
      <w:r w:rsidRPr="0066395E">
        <w:t xml:space="preserve"> was therefore dicta, and the court acknowledged that </w:t>
      </w:r>
      <w:r w:rsidRPr="0066395E">
        <w:rPr>
          <w:i/>
        </w:rPr>
        <w:t>Simon</w:t>
      </w:r>
      <w:r w:rsidRPr="0066395E">
        <w:t xml:space="preserve"> and its progeny were distinguishable because “the junior lienor and senior lienor [in </w:t>
      </w:r>
      <w:proofErr w:type="spellStart"/>
      <w:r w:rsidRPr="0066395E">
        <w:rPr>
          <w:i/>
        </w:rPr>
        <w:t>Cadlerock</w:t>
      </w:r>
      <w:proofErr w:type="spellEnd"/>
      <w:r w:rsidRPr="0066395E">
        <w:t>] were different entities at the time of the senior trustee’s sale.”  (</w:t>
      </w:r>
      <w:proofErr w:type="spellStart"/>
      <w:r w:rsidRPr="0066395E">
        <w:rPr>
          <w:i/>
        </w:rPr>
        <w:t>Cadlerock</w:t>
      </w:r>
      <w:proofErr w:type="spellEnd"/>
      <w:r w:rsidRPr="0066395E">
        <w:t>, at p. 1546.)</w:t>
      </w:r>
    </w:p>
    <w:p w14:paraId="4434A600" w14:textId="5E542EDE" w:rsidR="00E31C50" w:rsidRPr="0066395E" w:rsidRDefault="00E31C50" w:rsidP="0076610F">
      <w:pPr>
        <w:ind w:firstLine="720"/>
      </w:pPr>
      <w:r w:rsidRPr="0066395E">
        <w:t xml:space="preserve">The Court of Appeal here found </w:t>
      </w:r>
      <w:proofErr w:type="spellStart"/>
      <w:r w:rsidRPr="0066395E">
        <w:rPr>
          <w:i/>
        </w:rPr>
        <w:t>Cadlerock</w:t>
      </w:r>
      <w:r w:rsidRPr="0066395E">
        <w:t>’s</w:t>
      </w:r>
      <w:proofErr w:type="spellEnd"/>
      <w:r w:rsidRPr="0066395E">
        <w:t xml:space="preserve"> criticism of </w:t>
      </w:r>
      <w:r w:rsidRPr="0066395E">
        <w:rPr>
          <w:i/>
        </w:rPr>
        <w:t>Simon</w:t>
      </w:r>
      <w:r w:rsidRPr="0066395E">
        <w:t xml:space="preserve"> persuasive and concluded that </w:t>
      </w:r>
      <w:r w:rsidRPr="0066395E">
        <w:rPr>
          <w:i/>
        </w:rPr>
        <w:t>Roseleaf</w:t>
      </w:r>
      <w:r w:rsidRPr="0066395E">
        <w:t xml:space="preserve"> </w:t>
      </w:r>
      <w:r w:rsidR="00F159B0">
        <w:t>“</w:t>
      </w:r>
      <w:r w:rsidRPr="0066395E">
        <w:t xml:space="preserve">cannot be read to support the rule created by </w:t>
      </w:r>
      <w:r w:rsidRPr="0066395E">
        <w:rPr>
          <w:i/>
        </w:rPr>
        <w:t>Simon</w:t>
      </w:r>
      <w:r w:rsidRPr="0066395E">
        <w:t>.”  (</w:t>
      </w:r>
      <w:r w:rsidRPr="0066395E">
        <w:rPr>
          <w:i/>
        </w:rPr>
        <w:t>Black Sky</w:t>
      </w:r>
      <w:r w:rsidRPr="0066395E">
        <w:t xml:space="preserve">, </w:t>
      </w:r>
      <w:r w:rsidRPr="0066395E">
        <w:rPr>
          <w:i/>
        </w:rPr>
        <w:t>supra</w:t>
      </w:r>
      <w:r w:rsidRPr="0066395E">
        <w:t>, 12 Cal.App.5th at p. 894.)  “</w:t>
      </w:r>
      <w:r w:rsidRPr="0066395E">
        <w:rPr>
          <w:i/>
        </w:rPr>
        <w:t>Roseleaf</w:t>
      </w:r>
      <w:r w:rsidRPr="0066395E">
        <w:t xml:space="preserve">’s holding that section 580d does </w:t>
      </w:r>
      <w:r w:rsidRPr="0066395E">
        <w:rPr>
          <w:i/>
        </w:rPr>
        <w:t>not</w:t>
      </w:r>
      <w:r w:rsidRPr="0066395E">
        <w:t xml:space="preserve"> apply to </w:t>
      </w:r>
      <w:proofErr w:type="spellStart"/>
      <w:r w:rsidRPr="0066395E">
        <w:t>nonselling</w:t>
      </w:r>
      <w:proofErr w:type="spellEnd"/>
      <w:r w:rsidRPr="0066395E">
        <w:t xml:space="preserve"> junior lienholders cannot be contorted into a rule that section 580d somehow </w:t>
      </w:r>
      <w:r w:rsidRPr="0066395E">
        <w:rPr>
          <w:i/>
        </w:rPr>
        <w:t>does</w:t>
      </w:r>
      <w:r w:rsidRPr="0066395E">
        <w:t xml:space="preserve"> apply to preclude a lienholder from seeking damages under the junior note if it, in its capacity as the senior lienholder, has exercised its right to conduct a private sale of the property rather than seeking a judicial foreclosure.”  (</w:t>
      </w:r>
      <w:r w:rsidRPr="0066395E">
        <w:rPr>
          <w:i/>
        </w:rPr>
        <w:t>Ibid.</w:t>
      </w:r>
      <w:r w:rsidRPr="0066395E">
        <w:t xml:space="preserve">)  “Section 580d simply does not . . . </w:t>
      </w:r>
      <w:r w:rsidR="008F739A">
        <w:t xml:space="preserve">, </w:t>
      </w:r>
      <w:r w:rsidRPr="0066395E">
        <w:t xml:space="preserve">by its express terms, encompass a lien that has not been foreclosed,” and to the extent that </w:t>
      </w:r>
      <w:r w:rsidRPr="0066395E">
        <w:rPr>
          <w:i/>
        </w:rPr>
        <w:t>Simon</w:t>
      </w:r>
      <w:r w:rsidRPr="0066395E">
        <w:t xml:space="preserve"> could be justified as preventing a bank from “issuing nearly simultaneous loans secured by the same property . . . to circumvent the </w:t>
      </w:r>
      <w:proofErr w:type="spellStart"/>
      <w:r w:rsidRPr="0066395E">
        <w:t>antideficiency</w:t>
      </w:r>
      <w:proofErr w:type="spellEnd"/>
      <w:r w:rsidRPr="0066395E">
        <w:t xml:space="preserve"> statutes,” that justification fails in this case where “the second loan was issued two years after the first, and the default did not occur until seven years later.”  (</w:t>
      </w:r>
      <w:r w:rsidRPr="0066395E">
        <w:rPr>
          <w:i/>
        </w:rPr>
        <w:t>Id.</w:t>
      </w:r>
      <w:r w:rsidRPr="0066395E">
        <w:t xml:space="preserve"> at p. 895.)  The Court of Appeal concluded that “Black Sky’s suit to enforce </w:t>
      </w:r>
      <w:r w:rsidRPr="0066395E">
        <w:lastRenderedPageBreak/>
        <w:t>the debt on the junior note is not barred by section 580d or by section 726.”  (</w:t>
      </w:r>
      <w:r w:rsidRPr="0066395E">
        <w:rPr>
          <w:i/>
        </w:rPr>
        <w:t>Id.</w:t>
      </w:r>
      <w:r w:rsidR="00625027" w:rsidRPr="0066395E">
        <w:t xml:space="preserve"> at p. 897</w:t>
      </w:r>
      <w:r w:rsidRPr="0066395E">
        <w:t>)</w:t>
      </w:r>
    </w:p>
    <w:p w14:paraId="32D12657" w14:textId="720C7F6C" w:rsidR="00E31C50" w:rsidRPr="0066395E" w:rsidRDefault="00E31C50" w:rsidP="0076610F">
      <w:pPr>
        <w:ind w:firstLine="720"/>
      </w:pPr>
      <w:r w:rsidRPr="0066395E">
        <w:t>The question here is whether section 580d bars a deficiency judgment on a junior lien held by a senior lienholder that sold the property comprising the security for both liens.  We do not consider whether section 726</w:t>
      </w:r>
      <w:r w:rsidR="00E50912" w:rsidRPr="0066395E">
        <w:t xml:space="preserve"> or any other statute</w:t>
      </w:r>
      <w:r w:rsidRPr="0066395E">
        <w:t xml:space="preserve"> bars </w:t>
      </w:r>
      <w:r w:rsidR="004E09B9">
        <w:t xml:space="preserve">or limits </w:t>
      </w:r>
      <w:r w:rsidRPr="0066395E">
        <w:t xml:space="preserve">such a deficiency judgment; </w:t>
      </w:r>
      <w:r w:rsidR="00E50912" w:rsidRPr="0066395E">
        <w:t xml:space="preserve">the </w:t>
      </w:r>
      <w:r w:rsidRPr="0066395E">
        <w:t>question before us</w:t>
      </w:r>
      <w:r w:rsidR="00E50912" w:rsidRPr="0066395E">
        <w:t xml:space="preserve"> concerns only section 580d</w:t>
      </w:r>
      <w:r w:rsidRPr="0066395E">
        <w:t>.</w:t>
      </w:r>
    </w:p>
    <w:p w14:paraId="755F49DE" w14:textId="77777777" w:rsidR="00E31C50" w:rsidRPr="0041261F" w:rsidRDefault="00E31C50" w:rsidP="0041261F">
      <w:pPr>
        <w:keepNext/>
        <w:tabs>
          <w:tab w:val="left" w:pos="0"/>
        </w:tabs>
        <w:jc w:val="center"/>
        <w:rPr>
          <w:b/>
        </w:rPr>
      </w:pPr>
      <w:r w:rsidRPr="0041261F">
        <w:rPr>
          <w:b/>
        </w:rPr>
        <w:t>III.</w:t>
      </w:r>
    </w:p>
    <w:p w14:paraId="0595D989" w14:textId="418EC4AA" w:rsidR="007772BD" w:rsidRPr="0041261F" w:rsidRDefault="00E31C50" w:rsidP="0041261F">
      <w:pPr>
        <w:tabs>
          <w:tab w:val="left" w:pos="1440"/>
        </w:tabs>
        <w:ind w:firstLine="720"/>
      </w:pPr>
      <w:r w:rsidRPr="0041261F">
        <w:t xml:space="preserve">Section 580d, subdivision (a) provides that “no deficiency shall be owed or collected, and no deficiency judgment shall be rendered for a deficiency on a note secured by a deed of trust or mortgage on real property or an estate for years therein executed in any case in which the real property or estate for years therein has been sold by the mortgagee or trustee under power of sale contained in the mortgage or deed of trust.”  Black Sky contends that section 580d does not apply because it is seeking a deficiency on the note secured by the September 7, 2007 deed of trust and no sale occurred under power of sale contained in </w:t>
      </w:r>
      <w:r w:rsidR="00DB3317" w:rsidRPr="0041261F">
        <w:t>that</w:t>
      </w:r>
      <w:r w:rsidR="007772BD" w:rsidRPr="0041261F">
        <w:t xml:space="preserve"> deed of trust.</w:t>
      </w:r>
    </w:p>
    <w:p w14:paraId="777DE555" w14:textId="39D00E46" w:rsidR="00DE0B80" w:rsidRPr="0041261F" w:rsidRDefault="007772BD" w:rsidP="0041261F">
      <w:pPr>
        <w:tabs>
          <w:tab w:val="left" w:pos="1440"/>
        </w:tabs>
        <w:ind w:firstLine="720"/>
      </w:pPr>
      <w:r w:rsidRPr="0041261F">
        <w:t>The plain language of section 580d</w:t>
      </w:r>
      <w:r w:rsidR="00B42F08">
        <w:t>, subdivision (a)</w:t>
      </w:r>
      <w:r w:rsidRPr="0041261F">
        <w:t xml:space="preserve"> bars a deficiency judgment on a note secured by a deed of trust on real property when the trustee has sold the property </w:t>
      </w:r>
      <w:r w:rsidR="00D21290" w:rsidRPr="0041261F">
        <w:t>“</w:t>
      </w:r>
      <w:r w:rsidRPr="0041261F">
        <w:t xml:space="preserve">under power of sale contained in </w:t>
      </w:r>
      <w:r w:rsidRPr="0041261F">
        <w:rPr>
          <w:i/>
        </w:rPr>
        <w:t>the</w:t>
      </w:r>
      <w:r w:rsidRPr="0041261F">
        <w:t xml:space="preserve"> . . . deed of trust.”</w:t>
      </w:r>
      <w:r w:rsidR="00A1613C" w:rsidRPr="0041261F">
        <w:t xml:space="preserve">  (Italics added.)</w:t>
      </w:r>
      <w:r w:rsidRPr="0041261F">
        <w:t xml:space="preserve">  The definite article in the phrase “the . . . deed of trust” </w:t>
      </w:r>
      <w:r w:rsidR="00D21290" w:rsidRPr="0041261F">
        <w:t xml:space="preserve">makes clear </w:t>
      </w:r>
      <w:r w:rsidRPr="0041261F">
        <w:t xml:space="preserve">that </w:t>
      </w:r>
      <w:r w:rsidR="00D21290" w:rsidRPr="0041261F">
        <w:t xml:space="preserve">the statute applies where sale of the property has occurred under </w:t>
      </w:r>
      <w:r w:rsidR="00D21290" w:rsidRPr="0041261F">
        <w:rPr>
          <w:i/>
        </w:rPr>
        <w:t>the deed of trust securing the note sued upon</w:t>
      </w:r>
      <w:r w:rsidR="00D21290" w:rsidRPr="0041261F">
        <w:t xml:space="preserve">, and not under some other deed of trust.  </w:t>
      </w:r>
      <w:r w:rsidR="00B42F08">
        <w:t>(</w:t>
      </w:r>
      <w:r w:rsidR="00B42F08">
        <w:rPr>
          <w:i/>
        </w:rPr>
        <w:t>Ibid.</w:t>
      </w:r>
      <w:r w:rsidR="00B42F08">
        <w:t xml:space="preserve">)  </w:t>
      </w:r>
      <w:r w:rsidR="009B7CBC" w:rsidRPr="0041261F">
        <w:t xml:space="preserve">We reached the same conclusion in </w:t>
      </w:r>
      <w:r w:rsidR="009B7CBC" w:rsidRPr="0041261F">
        <w:rPr>
          <w:i/>
        </w:rPr>
        <w:t>Roseleaf</w:t>
      </w:r>
      <w:r w:rsidR="009B7CBC" w:rsidRPr="0041261F">
        <w:t xml:space="preserve"> at a time when section 580d used the phrase “such . . . deed of trust” instead of “the . . . deed of trust”:  </w:t>
      </w:r>
      <w:r w:rsidR="009B7CBC" w:rsidRPr="0041261F">
        <w:lastRenderedPageBreak/>
        <w:t>The phrase</w:t>
      </w:r>
      <w:r w:rsidR="009B7CBC" w:rsidRPr="0041261F">
        <w:rPr>
          <w:szCs w:val="26"/>
        </w:rPr>
        <w:t xml:space="preserve"> </w:t>
      </w:r>
      <w:r w:rsidR="00D21290" w:rsidRPr="0041261F">
        <w:rPr>
          <w:szCs w:val="26"/>
        </w:rPr>
        <w:t>“refers to the instrument securing the note sued upon.</w:t>
      </w:r>
      <w:r w:rsidR="009B7CBC" w:rsidRPr="0041261F">
        <w:rPr>
          <w:szCs w:val="26"/>
        </w:rPr>
        <w:t>”  (</w:t>
      </w:r>
      <w:r w:rsidR="009B7CBC" w:rsidRPr="0041261F">
        <w:rPr>
          <w:i/>
          <w:szCs w:val="26"/>
        </w:rPr>
        <w:t>Roseleaf</w:t>
      </w:r>
      <w:r w:rsidR="009B7CBC" w:rsidRPr="0041261F">
        <w:rPr>
          <w:szCs w:val="26"/>
        </w:rPr>
        <w:t xml:space="preserve">, </w:t>
      </w:r>
      <w:r w:rsidR="009B7CBC" w:rsidRPr="0041261F">
        <w:rPr>
          <w:i/>
        </w:rPr>
        <w:t>supra</w:t>
      </w:r>
      <w:r w:rsidR="009B7CBC" w:rsidRPr="0041261F">
        <w:t>, 59 Cal.2d at p. 43.)</w:t>
      </w:r>
      <w:r w:rsidR="00DE0B80" w:rsidRPr="0041261F">
        <w:t xml:space="preserve">  </w:t>
      </w:r>
      <w:r w:rsidR="009B7CBC" w:rsidRPr="0041261F">
        <w:rPr>
          <w:i/>
        </w:rPr>
        <w:t>Roseleaf</w:t>
      </w:r>
      <w:r w:rsidR="009B7CBC" w:rsidRPr="0041261F">
        <w:t xml:space="preserve"> was not a case in which the senior and junior lienholders were the same entity.  But nothing in the text of section 580d indicates that </w:t>
      </w:r>
      <w:r w:rsidR="00A1613C" w:rsidRPr="0041261F">
        <w:t>the statute</w:t>
      </w:r>
      <w:r w:rsidR="009B7CBC" w:rsidRPr="0041261F">
        <w:t xml:space="preserve"> applies </w:t>
      </w:r>
      <w:r w:rsidR="00DE0B80" w:rsidRPr="0041261F">
        <w:t>where no sale has occurred under t</w:t>
      </w:r>
      <w:r w:rsidR="00A1613C" w:rsidRPr="0041261F">
        <w:t>he</w:t>
      </w:r>
      <w:r w:rsidR="00DE0B80" w:rsidRPr="0041261F">
        <w:t xml:space="preserve"> </w:t>
      </w:r>
      <w:r w:rsidR="00A1613C" w:rsidRPr="0041261F">
        <w:t xml:space="preserve">trust </w:t>
      </w:r>
      <w:r w:rsidR="00DE0B80" w:rsidRPr="0041261F">
        <w:t xml:space="preserve">deed </w:t>
      </w:r>
      <w:r w:rsidR="00A1613C" w:rsidRPr="0041261F">
        <w:t>securing a junior lien</w:t>
      </w:r>
      <w:r w:rsidR="00DE0B80" w:rsidRPr="0041261F">
        <w:t xml:space="preserve">, even if the </w:t>
      </w:r>
      <w:r w:rsidR="00A1613C" w:rsidRPr="0041261F">
        <w:t xml:space="preserve">lien </w:t>
      </w:r>
      <w:r w:rsidR="00DE0B80" w:rsidRPr="0041261F">
        <w:t>is held by a creditor who has foreclosed on a senior lien on the same property.</w:t>
      </w:r>
      <w:r w:rsidR="00A1613C" w:rsidRPr="0041261F">
        <w:t xml:space="preserve">  </w:t>
      </w:r>
    </w:p>
    <w:p w14:paraId="79C8D198" w14:textId="3FFBD0FF" w:rsidR="00826E50" w:rsidRPr="0066395E" w:rsidRDefault="00826E50" w:rsidP="0041261F">
      <w:pPr>
        <w:tabs>
          <w:tab w:val="left" w:pos="1440"/>
        </w:tabs>
        <w:ind w:firstLine="720"/>
      </w:pPr>
      <w:r w:rsidRPr="0041261F">
        <w:t xml:space="preserve">We </w:t>
      </w:r>
      <w:r w:rsidRPr="00E9547D">
        <w:t xml:space="preserve">have “consistently looked to the purposes of the statute and to the substance rather than the form of loan transactions in deciding the . . . applicability” of </w:t>
      </w:r>
      <w:proofErr w:type="spellStart"/>
      <w:r w:rsidRPr="00E9547D">
        <w:t>antideficiency</w:t>
      </w:r>
      <w:proofErr w:type="spellEnd"/>
      <w:r w:rsidRPr="00E9547D">
        <w:t xml:space="preserve"> statutes.  (</w:t>
      </w:r>
      <w:r w:rsidRPr="00E9547D">
        <w:rPr>
          <w:i/>
        </w:rPr>
        <w:t xml:space="preserve">Coker v. JPMorgan Chase Bank, N.A. </w:t>
      </w:r>
      <w:r w:rsidRPr="00E9547D">
        <w:t xml:space="preserve">(2016) 62 Cal.4th 667, 676; </w:t>
      </w:r>
      <w:r w:rsidRPr="00E9547D">
        <w:rPr>
          <w:i/>
        </w:rPr>
        <w:t>id</w:t>
      </w:r>
      <w:proofErr w:type="gramStart"/>
      <w:r w:rsidRPr="00E9547D">
        <w:rPr>
          <w:i/>
        </w:rPr>
        <w:t>.</w:t>
      </w:r>
      <w:r w:rsidRPr="00E9547D">
        <w:t xml:space="preserve"> </w:t>
      </w:r>
      <w:proofErr w:type="gramEnd"/>
      <w:r w:rsidRPr="00E9547D">
        <w:t xml:space="preserve">at pp. 676–681 [discussing our case law applying this approach].)  </w:t>
      </w:r>
      <w:r w:rsidR="00DE0B80" w:rsidRPr="00E9547D">
        <w:t xml:space="preserve">The Cobbs contend that </w:t>
      </w:r>
      <w:r w:rsidR="00A1613C" w:rsidRPr="0076610F">
        <w:t>allowing a junior lienholder to collect a deficiency judgment in this scenario would be at odds with the purpose of section 580d</w:t>
      </w:r>
      <w:r w:rsidR="00562448">
        <w:t xml:space="preserve"> insofar as</w:t>
      </w:r>
      <w:r w:rsidRPr="0066395E">
        <w:t xml:space="preserve"> a </w:t>
      </w:r>
      <w:r w:rsidR="007D614E" w:rsidRPr="0066395E">
        <w:t xml:space="preserve">creditor </w:t>
      </w:r>
      <w:r w:rsidR="00562448">
        <w:t>could</w:t>
      </w:r>
      <w:r w:rsidRPr="0066395E">
        <w:t xml:space="preserve"> structure what is functionally a single loan as two separate notes in order to</w:t>
      </w:r>
      <w:r w:rsidR="007D614E" w:rsidRPr="0066395E">
        <w:t xml:space="preserve"> recover under the junior note what it could not recover if </w:t>
      </w:r>
      <w:r w:rsidR="00427CE9" w:rsidRPr="0066395E">
        <w:t xml:space="preserve">it </w:t>
      </w:r>
      <w:r w:rsidR="007D614E" w:rsidRPr="0066395E">
        <w:t xml:space="preserve">had issued a single note on the same property.  </w:t>
      </w:r>
      <w:r w:rsidR="00562448">
        <w:t>I</w:t>
      </w:r>
      <w:r w:rsidRPr="0066395E">
        <w:t xml:space="preserve">n </w:t>
      </w:r>
      <w:r w:rsidRPr="0066395E">
        <w:rPr>
          <w:i/>
        </w:rPr>
        <w:t>Simon</w:t>
      </w:r>
      <w:r w:rsidRPr="0066395E">
        <w:t xml:space="preserve">, the junior and senior loans were issued just four days apart, </w:t>
      </w:r>
      <w:r w:rsidR="00562448">
        <w:t xml:space="preserve">and </w:t>
      </w:r>
      <w:r w:rsidRPr="0066395E">
        <w:t>the deeds of trust securing the loans were recorded on the same date.  (</w:t>
      </w:r>
      <w:r w:rsidRPr="0066395E">
        <w:rPr>
          <w:i/>
        </w:rPr>
        <w:t>Simon</w:t>
      </w:r>
      <w:r w:rsidRPr="0066395E">
        <w:t xml:space="preserve">, </w:t>
      </w:r>
      <w:r w:rsidRPr="0066395E">
        <w:rPr>
          <w:i/>
        </w:rPr>
        <w:t>supra</w:t>
      </w:r>
      <w:r w:rsidRPr="0066395E">
        <w:t>, 4 Cal.App.4th at p.</w:t>
      </w:r>
      <w:r w:rsidR="00562448">
        <w:t> </w:t>
      </w:r>
      <w:r w:rsidRPr="0066395E">
        <w:t xml:space="preserve">66.)  </w:t>
      </w:r>
      <w:r w:rsidRPr="0066395E">
        <w:rPr>
          <w:i/>
        </w:rPr>
        <w:t>Simon</w:t>
      </w:r>
      <w:r w:rsidRPr="0066395E">
        <w:t xml:space="preserve"> treated the two loans as one, distinguishing the lender from “a true third party sold-out junior.”  (</w:t>
      </w:r>
      <w:r w:rsidRPr="0066395E">
        <w:rPr>
          <w:i/>
        </w:rPr>
        <w:t>Id.</w:t>
      </w:r>
      <w:r w:rsidRPr="0066395E">
        <w:t xml:space="preserve"> at p. 77.)  </w:t>
      </w:r>
      <w:r w:rsidR="00562448">
        <w:t xml:space="preserve">It was in that context that </w:t>
      </w:r>
      <w:r w:rsidR="00562448">
        <w:rPr>
          <w:i/>
        </w:rPr>
        <w:t>Simon</w:t>
      </w:r>
      <w:r w:rsidR="00562448">
        <w:t xml:space="preserve"> said courts</w:t>
      </w:r>
      <w:r w:rsidRPr="0066395E">
        <w:t xml:space="preserve"> “will not sanction the creation of multiple trust deeds on the same property, securing loans represented by successive promissory notes from the same debtor, as a means of circumventing the provisions of section 580d.”  (</w:t>
      </w:r>
      <w:r w:rsidRPr="0066395E">
        <w:rPr>
          <w:i/>
        </w:rPr>
        <w:t>Ibid.</w:t>
      </w:r>
      <w:r w:rsidRPr="0066395E">
        <w:t>)</w:t>
      </w:r>
    </w:p>
    <w:p w14:paraId="2DE217C5" w14:textId="5B5226D3" w:rsidR="0009432E" w:rsidRPr="00E9547D" w:rsidRDefault="004755B2" w:rsidP="0041261F">
      <w:pPr>
        <w:tabs>
          <w:tab w:val="left" w:pos="1440"/>
        </w:tabs>
        <w:ind w:firstLine="720"/>
      </w:pPr>
      <w:r>
        <w:t>W</w:t>
      </w:r>
      <w:r w:rsidR="006928C0" w:rsidRPr="0066395E">
        <w:t xml:space="preserve">here there is evidence </w:t>
      </w:r>
      <w:r w:rsidR="00FA6402" w:rsidRPr="00E9547D">
        <w:t xml:space="preserve">of </w:t>
      </w:r>
      <w:proofErr w:type="gramStart"/>
      <w:r w:rsidR="00FA6402" w:rsidRPr="00E9547D">
        <w:t>gamesmanship</w:t>
      </w:r>
      <w:proofErr w:type="gramEnd"/>
      <w:r w:rsidR="00FA6402" w:rsidRPr="00E9547D">
        <w:t xml:space="preserve"> </w:t>
      </w:r>
      <w:r w:rsidR="006928C0" w:rsidRPr="00E9547D">
        <w:t xml:space="preserve">by the holder of senior and junior liens on the same property, </w:t>
      </w:r>
      <w:r w:rsidR="007014E6" w:rsidRPr="00E9547D">
        <w:t>a</w:t>
      </w:r>
      <w:r w:rsidR="006928C0" w:rsidRPr="00E9547D">
        <w:t xml:space="preserve"> </w:t>
      </w:r>
      <w:r w:rsidR="0009432E" w:rsidRPr="00E9547D">
        <w:t xml:space="preserve">substantial </w:t>
      </w:r>
      <w:r w:rsidR="006928C0" w:rsidRPr="00E9547D">
        <w:t xml:space="preserve">question </w:t>
      </w:r>
      <w:r w:rsidR="007014E6" w:rsidRPr="00E9547D">
        <w:t xml:space="preserve">would </w:t>
      </w:r>
      <w:r w:rsidR="006928C0" w:rsidRPr="00E9547D">
        <w:t xml:space="preserve">arise whether the two </w:t>
      </w:r>
      <w:r w:rsidR="00DB3317" w:rsidRPr="00E9547D">
        <w:t>liens</w:t>
      </w:r>
      <w:r w:rsidR="006928C0" w:rsidRPr="00E9547D">
        <w:t xml:space="preserve"> held by the </w:t>
      </w:r>
      <w:r w:rsidR="00AF3089" w:rsidRPr="00E9547D">
        <w:t xml:space="preserve">same </w:t>
      </w:r>
      <w:r w:rsidR="006928C0" w:rsidRPr="0076610F">
        <w:lastRenderedPageBreak/>
        <w:t xml:space="preserve">creditor should </w:t>
      </w:r>
      <w:r w:rsidR="007014E6" w:rsidRPr="0076610F">
        <w:t xml:space="preserve">— in substance, if not in form — </w:t>
      </w:r>
      <w:r w:rsidR="006928C0" w:rsidRPr="0076610F">
        <w:t xml:space="preserve">be treated as a single </w:t>
      </w:r>
      <w:r w:rsidR="00DB3317" w:rsidRPr="0041261F">
        <w:t>lien</w:t>
      </w:r>
      <w:r w:rsidR="006928C0" w:rsidRPr="0041261F">
        <w:t xml:space="preserve"> within the meaning of section 580d.</w:t>
      </w:r>
      <w:r w:rsidR="0009432E" w:rsidRPr="0041261F">
        <w:t xml:space="preserve">  (Cf. </w:t>
      </w:r>
      <w:r w:rsidR="0009432E" w:rsidRPr="0041261F">
        <w:rPr>
          <w:i/>
        </w:rPr>
        <w:t>Freedland v. Greco</w:t>
      </w:r>
      <w:r w:rsidR="0009432E" w:rsidRPr="00E9547D">
        <w:t xml:space="preserve"> (1955) 45 Cal.2d 462, 467 [“It is unreasonable to say the Legislature intended that section 580d could be circumvented by such a manifestly evasive device [where the creditor issued two notes, one secured by a deed of trust and another by a chattel mortgage, for the same obligation of $7,000].  In such a situation the legislative intent must have been that the two notes are, in legal contemplation and under section 580d, one, secured by a trust deed.”]; </w:t>
      </w:r>
      <w:r w:rsidR="0009432E" w:rsidRPr="00E9547D">
        <w:rPr>
          <w:i/>
        </w:rPr>
        <w:t>Simon</w:t>
      </w:r>
      <w:r w:rsidR="0009432E" w:rsidRPr="00E9547D">
        <w:t xml:space="preserve">, </w:t>
      </w:r>
      <w:r w:rsidR="0009432E" w:rsidRPr="00E9547D">
        <w:rPr>
          <w:i/>
        </w:rPr>
        <w:t>supra</w:t>
      </w:r>
      <w:r w:rsidR="0009432E" w:rsidRPr="00E9547D">
        <w:t>, 4 Cal.App.4th at p. 66.)</w:t>
      </w:r>
      <w:r w:rsidR="006928C0" w:rsidRPr="00E9547D">
        <w:t xml:space="preserve">  </w:t>
      </w:r>
      <w:bookmarkStart w:id="3" w:name="_Hlk535310714"/>
      <w:r w:rsidR="000B72A2" w:rsidRPr="00E9547D">
        <w:t xml:space="preserve">It </w:t>
      </w:r>
      <w:r w:rsidR="00B159EE">
        <w:t>is unclear</w:t>
      </w:r>
      <w:r w:rsidR="000B72A2" w:rsidRPr="00E9547D">
        <w:t xml:space="preserve"> that the Legislature, in enacting section 580d, </w:t>
      </w:r>
      <w:r w:rsidR="00A70F8E" w:rsidRPr="00E9547D">
        <w:t xml:space="preserve">intended to permit such </w:t>
      </w:r>
      <w:proofErr w:type="gramStart"/>
      <w:r w:rsidR="00A70F8E" w:rsidRPr="00E9547D">
        <w:t>gamesmanship</w:t>
      </w:r>
      <w:proofErr w:type="gramEnd"/>
      <w:r w:rsidR="00A70F8E" w:rsidRPr="00E9547D">
        <w:t xml:space="preserve"> to affect the amount of recovery under a junior lien.</w:t>
      </w:r>
      <w:r w:rsidR="00A70F8E" w:rsidRPr="00E9547D" w:rsidDel="00FA6402">
        <w:t xml:space="preserve"> </w:t>
      </w:r>
      <w:bookmarkEnd w:id="3"/>
    </w:p>
    <w:p w14:paraId="34019CF5" w14:textId="1E96C345" w:rsidR="00DB3317" w:rsidRPr="00E9547D" w:rsidRDefault="000B72A2" w:rsidP="0041261F">
      <w:pPr>
        <w:tabs>
          <w:tab w:val="left" w:pos="1440"/>
        </w:tabs>
        <w:ind w:firstLine="720"/>
        <w:rPr>
          <w:szCs w:val="26"/>
        </w:rPr>
      </w:pPr>
      <w:r w:rsidRPr="00E9547D">
        <w:t xml:space="preserve">But we </w:t>
      </w:r>
      <w:r w:rsidR="00AF3089" w:rsidRPr="00E9547D">
        <w:t xml:space="preserve">have no occasion here to </w:t>
      </w:r>
      <w:r w:rsidRPr="00E9547D">
        <w:t xml:space="preserve">decide the applicability of section 580d in </w:t>
      </w:r>
      <w:r w:rsidR="00EA4A58" w:rsidRPr="00E9547D">
        <w:t xml:space="preserve">these or other </w:t>
      </w:r>
      <w:proofErr w:type="gramStart"/>
      <w:r w:rsidR="00EA4A58" w:rsidRPr="00E9547D">
        <w:t>gamesmanship</w:t>
      </w:r>
      <w:proofErr w:type="gramEnd"/>
      <w:r w:rsidR="00EA4A58" w:rsidRPr="00E9547D">
        <w:t xml:space="preserve"> scenarios</w:t>
      </w:r>
      <w:r w:rsidR="00AF3089" w:rsidRPr="00E9547D">
        <w:t>.  T</w:t>
      </w:r>
      <w:r w:rsidR="005E0585" w:rsidRPr="00E9547D">
        <w:t>he</w:t>
      </w:r>
      <w:r w:rsidR="000C16CA" w:rsidRPr="00E9547D">
        <w:t xml:space="preserve"> Cobbs do not allege, and the</w:t>
      </w:r>
      <w:r w:rsidR="005E0585" w:rsidRPr="00E9547D">
        <w:t xml:space="preserve">re is no evidence </w:t>
      </w:r>
      <w:r w:rsidR="000C16CA" w:rsidRPr="00E9547D">
        <w:t xml:space="preserve">to suggest, </w:t>
      </w:r>
      <w:r w:rsidR="005E0585" w:rsidRPr="00E9547D">
        <w:t xml:space="preserve">that the two notes </w:t>
      </w:r>
      <w:r w:rsidR="000C16CA" w:rsidRPr="00E9547D">
        <w:t xml:space="preserve">in this case </w:t>
      </w:r>
      <w:r w:rsidR="005E0585" w:rsidRPr="00E9547D">
        <w:t>arose from intentional loan</w:t>
      </w:r>
      <w:r w:rsidR="007E2659">
        <w:t xml:space="preserve"> </w:t>
      </w:r>
      <w:r w:rsidR="005E0585" w:rsidRPr="00E9547D">
        <w:t>splitting</w:t>
      </w:r>
      <w:r w:rsidR="000C16CA" w:rsidRPr="00E9547D">
        <w:t>; they were executed in separate transactions more than two years apart</w:t>
      </w:r>
      <w:r w:rsidR="005E0585" w:rsidRPr="00E9547D">
        <w:t xml:space="preserve">.  </w:t>
      </w:r>
      <w:r w:rsidR="00B159EE">
        <w:t>And t</w:t>
      </w:r>
      <w:r w:rsidR="005F4A1A" w:rsidRPr="005F4A1A">
        <w:t>he bare assertion by the Cobbs</w:t>
      </w:r>
      <w:r w:rsidR="005F4A1A">
        <w:t xml:space="preserve"> </w:t>
      </w:r>
      <w:r w:rsidR="001C7A3D" w:rsidRPr="00E9547D">
        <w:t xml:space="preserve">that </w:t>
      </w:r>
      <w:r w:rsidR="005E0585" w:rsidRPr="00E9547D">
        <w:t>Black Sky’s purchase of the property for $7.5 million</w:t>
      </w:r>
      <w:r w:rsidR="001C7A3D" w:rsidRPr="00E9547D">
        <w:t xml:space="preserve"> at a public auction in October 2014 was “substantially less than the appraised value of the Subject Property as of August 1, 2013” </w:t>
      </w:r>
      <w:r w:rsidR="004755B2">
        <w:t xml:space="preserve">— with no evidence </w:t>
      </w:r>
      <w:r w:rsidR="002D1A51">
        <w:t xml:space="preserve">of </w:t>
      </w:r>
      <w:r w:rsidR="004755B2">
        <w:t xml:space="preserve">irregularity at the public auction or price stability between the appraisal and auction — </w:t>
      </w:r>
      <w:r w:rsidR="001C7A3D" w:rsidRPr="00E9547D">
        <w:t>is not enough to suggest that</w:t>
      </w:r>
      <w:r w:rsidR="004755B2">
        <w:t xml:space="preserve"> $7.5 million</w:t>
      </w:r>
      <w:r w:rsidR="001C7A3D" w:rsidRPr="00E9547D">
        <w:t xml:space="preserve"> </w:t>
      </w:r>
      <w:r w:rsidR="005E0585" w:rsidRPr="00E9547D">
        <w:t>was a lowball bid designed to “</w:t>
      </w:r>
      <w:r w:rsidR="005E0585" w:rsidRPr="00E9547D">
        <w:rPr>
          <w:color w:val="000000"/>
          <w:szCs w:val="26"/>
        </w:rPr>
        <w:t xml:space="preserve">effect an excessive recovery by obtaining a deficiency judgment” on the junior lien.  </w:t>
      </w:r>
      <w:r w:rsidR="005E0585" w:rsidRPr="00E9547D">
        <w:rPr>
          <w:szCs w:val="26"/>
        </w:rPr>
        <w:t>(</w:t>
      </w:r>
      <w:r w:rsidR="005E0585" w:rsidRPr="00E9547D">
        <w:rPr>
          <w:i/>
          <w:szCs w:val="26"/>
        </w:rPr>
        <w:t>Simon</w:t>
      </w:r>
      <w:r w:rsidR="005E0585" w:rsidRPr="00E9547D">
        <w:rPr>
          <w:szCs w:val="26"/>
        </w:rPr>
        <w:t>,</w:t>
      </w:r>
      <w:r w:rsidR="00837D27" w:rsidRPr="00E9547D">
        <w:rPr>
          <w:szCs w:val="26"/>
        </w:rPr>
        <w:t xml:space="preserve"> </w:t>
      </w:r>
      <w:r w:rsidR="00837D27" w:rsidRPr="00E9547D">
        <w:rPr>
          <w:i/>
          <w:szCs w:val="26"/>
        </w:rPr>
        <w:t>supra</w:t>
      </w:r>
      <w:r w:rsidR="00837D27" w:rsidRPr="00E9547D">
        <w:rPr>
          <w:szCs w:val="26"/>
        </w:rPr>
        <w:t>,</w:t>
      </w:r>
      <w:r w:rsidR="005E0585" w:rsidRPr="00E9547D">
        <w:rPr>
          <w:szCs w:val="26"/>
        </w:rPr>
        <w:t xml:space="preserve"> 4 Cal.App.4th at p. 78.)</w:t>
      </w:r>
      <w:r w:rsidR="00B159EE">
        <w:rPr>
          <w:szCs w:val="26"/>
        </w:rPr>
        <w:t xml:space="preserve">  Indeed, counsel for the Cobbs acknowledged at oral argument that the Cobbs have “never taken the position” that “anything untoward” occurred in the origination </w:t>
      </w:r>
      <w:r w:rsidR="006463D0">
        <w:rPr>
          <w:szCs w:val="26"/>
        </w:rPr>
        <w:t xml:space="preserve">of the loans </w:t>
      </w:r>
      <w:r w:rsidR="00B159EE">
        <w:rPr>
          <w:szCs w:val="26"/>
        </w:rPr>
        <w:t xml:space="preserve">or </w:t>
      </w:r>
      <w:r w:rsidR="006463D0">
        <w:rPr>
          <w:szCs w:val="26"/>
        </w:rPr>
        <w:t>the public auction</w:t>
      </w:r>
      <w:r w:rsidR="00B159EE">
        <w:rPr>
          <w:szCs w:val="26"/>
        </w:rPr>
        <w:t>.</w:t>
      </w:r>
    </w:p>
    <w:p w14:paraId="4C4342DE" w14:textId="18CDFEEB" w:rsidR="003926EE" w:rsidRPr="00E9547D" w:rsidRDefault="00AD1F9F" w:rsidP="0041261F">
      <w:pPr>
        <w:tabs>
          <w:tab w:val="left" w:pos="1440"/>
        </w:tabs>
        <w:ind w:firstLine="720"/>
      </w:pPr>
      <w:r w:rsidRPr="00E9547D">
        <w:rPr>
          <w:szCs w:val="26"/>
        </w:rPr>
        <w:lastRenderedPageBreak/>
        <w:t>To be sure, w</w:t>
      </w:r>
      <w:r w:rsidR="00AF6A58" w:rsidRPr="00E9547D">
        <w:rPr>
          <w:szCs w:val="26"/>
        </w:rPr>
        <w:t xml:space="preserve">hen a single creditor holds senior and junior liens on the same property, the right to recover on the junior lien “is obviously not controlled by the ‘whim of the senior.’ ”  </w:t>
      </w:r>
      <w:r w:rsidRPr="00E9547D">
        <w:rPr>
          <w:szCs w:val="26"/>
        </w:rPr>
        <w:t>(</w:t>
      </w:r>
      <w:r w:rsidRPr="00E9547D">
        <w:rPr>
          <w:i/>
          <w:szCs w:val="26"/>
        </w:rPr>
        <w:t>Simon</w:t>
      </w:r>
      <w:r w:rsidRPr="00E9547D">
        <w:rPr>
          <w:szCs w:val="26"/>
        </w:rPr>
        <w:t xml:space="preserve">, </w:t>
      </w:r>
      <w:r w:rsidR="00C42BE5" w:rsidRPr="0076610F">
        <w:rPr>
          <w:i/>
          <w:szCs w:val="26"/>
        </w:rPr>
        <w:t xml:space="preserve">supra, </w:t>
      </w:r>
      <w:r w:rsidR="00C42BE5" w:rsidRPr="0076610F">
        <w:rPr>
          <w:szCs w:val="26"/>
        </w:rPr>
        <w:t xml:space="preserve">4 Cal.App.4th </w:t>
      </w:r>
      <w:r w:rsidRPr="0076610F">
        <w:rPr>
          <w:szCs w:val="26"/>
        </w:rPr>
        <w:t xml:space="preserve">at p. 77, quoting </w:t>
      </w:r>
      <w:r w:rsidR="00AF6A58" w:rsidRPr="0076610F">
        <w:rPr>
          <w:i/>
          <w:szCs w:val="26"/>
        </w:rPr>
        <w:t>Roseleaf</w:t>
      </w:r>
      <w:r w:rsidR="00AF6A58" w:rsidRPr="0041261F">
        <w:rPr>
          <w:szCs w:val="26"/>
        </w:rPr>
        <w:t>,</w:t>
      </w:r>
      <w:r w:rsidR="00C42BE5" w:rsidRPr="0041261F">
        <w:rPr>
          <w:szCs w:val="26"/>
        </w:rPr>
        <w:t xml:space="preserve"> </w:t>
      </w:r>
      <w:r w:rsidR="00C42BE5" w:rsidRPr="0041261F">
        <w:rPr>
          <w:i/>
          <w:szCs w:val="26"/>
        </w:rPr>
        <w:t xml:space="preserve">supra, </w:t>
      </w:r>
      <w:r w:rsidR="00C42BE5" w:rsidRPr="0041261F">
        <w:rPr>
          <w:szCs w:val="26"/>
        </w:rPr>
        <w:t>59 Cal.2d</w:t>
      </w:r>
      <w:r w:rsidR="00AF6A58" w:rsidRPr="0041261F">
        <w:rPr>
          <w:szCs w:val="26"/>
        </w:rPr>
        <w:t xml:space="preserve"> at p. 44</w:t>
      </w:r>
      <w:r w:rsidR="00AF6A58" w:rsidRPr="00E9547D">
        <w:rPr>
          <w:szCs w:val="26"/>
        </w:rPr>
        <w:t>.)</w:t>
      </w:r>
      <w:r w:rsidRPr="00E9547D">
        <w:rPr>
          <w:szCs w:val="26"/>
        </w:rPr>
        <w:t xml:space="preserve">  But it does not follow that section 580d’s purpose of achieving parity of remedies between judicial and nonjudicial foreclosures would be served by interpreting the statute to categorically bar a deficiency judgment on the junior lien.  Where, as here, there is no </w:t>
      </w:r>
      <w:r w:rsidR="006463D0">
        <w:rPr>
          <w:szCs w:val="26"/>
        </w:rPr>
        <w:t>allegation</w:t>
      </w:r>
      <w:r w:rsidR="006463D0" w:rsidRPr="00E9547D">
        <w:rPr>
          <w:szCs w:val="26"/>
        </w:rPr>
        <w:t xml:space="preserve"> </w:t>
      </w:r>
      <w:r w:rsidRPr="00E9547D">
        <w:rPr>
          <w:szCs w:val="26"/>
        </w:rPr>
        <w:t xml:space="preserve">of </w:t>
      </w:r>
      <w:r w:rsidR="00AF3089" w:rsidRPr="00E9547D">
        <w:rPr>
          <w:szCs w:val="26"/>
        </w:rPr>
        <w:t>evasive loan</w:t>
      </w:r>
      <w:r w:rsidR="007E2659">
        <w:rPr>
          <w:szCs w:val="26"/>
        </w:rPr>
        <w:t xml:space="preserve"> </w:t>
      </w:r>
      <w:r w:rsidR="00AF3089" w:rsidRPr="00E9547D">
        <w:rPr>
          <w:szCs w:val="26"/>
        </w:rPr>
        <w:t>splitting</w:t>
      </w:r>
      <w:r w:rsidRPr="00E9547D">
        <w:rPr>
          <w:szCs w:val="26"/>
        </w:rPr>
        <w:t xml:space="preserve"> or recovery </w:t>
      </w:r>
      <w:proofErr w:type="gramStart"/>
      <w:r w:rsidRPr="00E9547D">
        <w:rPr>
          <w:szCs w:val="26"/>
        </w:rPr>
        <w:t>in excess of</w:t>
      </w:r>
      <w:proofErr w:type="gramEnd"/>
      <w:r w:rsidRPr="00E9547D">
        <w:rPr>
          <w:szCs w:val="26"/>
        </w:rPr>
        <w:t xml:space="preserve"> what a</w:t>
      </w:r>
      <w:r w:rsidR="00AF3089" w:rsidRPr="00E9547D">
        <w:rPr>
          <w:szCs w:val="26"/>
        </w:rPr>
        <w:t>ny</w:t>
      </w:r>
      <w:r w:rsidRPr="00E9547D">
        <w:rPr>
          <w:szCs w:val="26"/>
        </w:rPr>
        <w:t xml:space="preserve"> </w:t>
      </w:r>
      <w:r w:rsidR="00AF3089" w:rsidRPr="00E9547D">
        <w:rPr>
          <w:szCs w:val="26"/>
        </w:rPr>
        <w:t xml:space="preserve">junior lienholder would be able to recover, </w:t>
      </w:r>
      <w:r w:rsidR="000C16CA" w:rsidRPr="00E9547D">
        <w:rPr>
          <w:szCs w:val="26"/>
        </w:rPr>
        <w:t xml:space="preserve">we see no reason to depart from </w:t>
      </w:r>
      <w:r w:rsidR="00AF3089" w:rsidRPr="00E9547D">
        <w:rPr>
          <w:szCs w:val="26"/>
        </w:rPr>
        <w:t>a straightforward reading of section 580d</w:t>
      </w:r>
      <w:r w:rsidR="000C16CA" w:rsidRPr="00E9547D">
        <w:rPr>
          <w:szCs w:val="26"/>
        </w:rPr>
        <w:t xml:space="preserve">.  Because no sale occurred under the deed of </w:t>
      </w:r>
      <w:r w:rsidR="000C16CA" w:rsidRPr="0076610F">
        <w:rPr>
          <w:szCs w:val="26"/>
        </w:rPr>
        <w:t>trust securing the junior note in this case, section 580d does not</w:t>
      </w:r>
      <w:r w:rsidR="00AF3089" w:rsidRPr="0041261F">
        <w:rPr>
          <w:szCs w:val="26"/>
        </w:rPr>
        <w:t xml:space="preserve"> bar a deficiency judgment on the junior note.</w:t>
      </w:r>
      <w:r w:rsidR="00DB3317" w:rsidRPr="0041261F">
        <w:t xml:space="preserve">  </w:t>
      </w:r>
      <w:r w:rsidR="008462E5" w:rsidRPr="0041261F">
        <w:t>W</w:t>
      </w:r>
      <w:r w:rsidR="00837D27" w:rsidRPr="0041261F">
        <w:t xml:space="preserve">e disapprove </w:t>
      </w:r>
      <w:r w:rsidR="00794929" w:rsidRPr="0066395E">
        <w:rPr>
          <w:i/>
          <w:szCs w:val="26"/>
        </w:rPr>
        <w:t xml:space="preserve">Bank of America, N.A. v. </w:t>
      </w:r>
      <w:r w:rsidR="00837D27" w:rsidRPr="0041261F">
        <w:rPr>
          <w:i/>
          <w:szCs w:val="26"/>
        </w:rPr>
        <w:t>Mitchell</w:t>
      </w:r>
      <w:r w:rsidR="00794929">
        <w:rPr>
          <w:szCs w:val="26"/>
        </w:rPr>
        <w:t xml:space="preserve"> (2012)</w:t>
      </w:r>
      <w:r w:rsidR="00837D27" w:rsidRPr="00794929">
        <w:rPr>
          <w:szCs w:val="26"/>
        </w:rPr>
        <w:t xml:space="preserve"> </w:t>
      </w:r>
      <w:r w:rsidR="00837D27" w:rsidRPr="0041261F">
        <w:rPr>
          <w:szCs w:val="26"/>
        </w:rPr>
        <w:t>204 Cal.App.4th 1199</w:t>
      </w:r>
      <w:r w:rsidR="00C42BE5" w:rsidRPr="00E9547D">
        <w:rPr>
          <w:szCs w:val="26"/>
        </w:rPr>
        <w:t>;</w:t>
      </w:r>
      <w:r w:rsidR="00837D27" w:rsidRPr="00E9547D">
        <w:rPr>
          <w:szCs w:val="26"/>
        </w:rPr>
        <w:t xml:space="preserve"> </w:t>
      </w:r>
      <w:proofErr w:type="spellStart"/>
      <w:r w:rsidR="00837D27" w:rsidRPr="00E9547D">
        <w:rPr>
          <w:i/>
          <w:szCs w:val="26"/>
        </w:rPr>
        <w:t>Ostayan</w:t>
      </w:r>
      <w:proofErr w:type="spellEnd"/>
      <w:r w:rsidR="00794929" w:rsidRPr="0066395E">
        <w:rPr>
          <w:i/>
          <w:szCs w:val="26"/>
        </w:rPr>
        <w:t xml:space="preserve"> v. Serrano Reconveyance Co.</w:t>
      </w:r>
      <w:r w:rsidR="00794929" w:rsidRPr="0066395E">
        <w:rPr>
          <w:szCs w:val="26"/>
        </w:rPr>
        <w:t xml:space="preserve"> (2000)</w:t>
      </w:r>
      <w:r w:rsidR="00837D27" w:rsidRPr="00E9547D">
        <w:rPr>
          <w:szCs w:val="26"/>
        </w:rPr>
        <w:t xml:space="preserve"> 77 Cal.App.4th 1411</w:t>
      </w:r>
      <w:r w:rsidR="00C42BE5" w:rsidRPr="00E9547D">
        <w:rPr>
          <w:szCs w:val="26"/>
        </w:rPr>
        <w:t>;</w:t>
      </w:r>
      <w:r w:rsidR="00837D27" w:rsidRPr="00E9547D">
        <w:rPr>
          <w:i/>
          <w:szCs w:val="26"/>
        </w:rPr>
        <w:t xml:space="preserve"> Evans</w:t>
      </w:r>
      <w:r w:rsidR="00794929" w:rsidRPr="0066395E">
        <w:rPr>
          <w:i/>
          <w:szCs w:val="26"/>
        </w:rPr>
        <w:t xml:space="preserve"> v. California Trailer Court, Inc.</w:t>
      </w:r>
      <w:r w:rsidR="00794929" w:rsidRPr="0066395E">
        <w:rPr>
          <w:szCs w:val="26"/>
        </w:rPr>
        <w:t xml:space="preserve"> (1994)</w:t>
      </w:r>
      <w:r w:rsidR="00837D27" w:rsidRPr="00E9547D">
        <w:rPr>
          <w:szCs w:val="26"/>
        </w:rPr>
        <w:t xml:space="preserve"> 28 Cal.App.4th 540</w:t>
      </w:r>
      <w:r w:rsidR="00C42BE5" w:rsidRPr="00E9547D">
        <w:rPr>
          <w:szCs w:val="26"/>
        </w:rPr>
        <w:t>;</w:t>
      </w:r>
      <w:r w:rsidR="00837D27" w:rsidRPr="00E9547D">
        <w:rPr>
          <w:szCs w:val="26"/>
        </w:rPr>
        <w:t xml:space="preserve"> and </w:t>
      </w:r>
      <w:r w:rsidR="00837D27" w:rsidRPr="00E9547D">
        <w:rPr>
          <w:i/>
        </w:rPr>
        <w:t>Simon</w:t>
      </w:r>
      <w:r w:rsidR="00794929" w:rsidRPr="0076610F">
        <w:rPr>
          <w:i/>
        </w:rPr>
        <w:t xml:space="preserve"> v. Superior Court </w:t>
      </w:r>
      <w:r w:rsidR="00794929" w:rsidRPr="0076610F">
        <w:t>(1992)</w:t>
      </w:r>
      <w:r w:rsidR="00837D27" w:rsidRPr="00E9547D">
        <w:t xml:space="preserve"> 4 Cal.App.4th 63, to the extent they are inconsistent with </w:t>
      </w:r>
      <w:r w:rsidR="008462E5" w:rsidRPr="00E9547D">
        <w:t xml:space="preserve">this </w:t>
      </w:r>
      <w:r w:rsidR="00837D27" w:rsidRPr="00E9547D">
        <w:t>opinion.</w:t>
      </w:r>
    </w:p>
    <w:p w14:paraId="4B692526" w14:textId="77777777" w:rsidR="003926EE" w:rsidRPr="0041261F" w:rsidRDefault="003926EE" w:rsidP="0041261F">
      <w:pPr>
        <w:tabs>
          <w:tab w:val="left" w:pos="1440"/>
        </w:tabs>
        <w:jc w:val="center"/>
        <w:rPr>
          <w:b/>
          <w:smallCaps/>
        </w:rPr>
      </w:pPr>
      <w:r w:rsidRPr="0041261F">
        <w:rPr>
          <w:b/>
          <w:smallCaps/>
        </w:rPr>
        <w:t>Conclusion</w:t>
      </w:r>
    </w:p>
    <w:p w14:paraId="1BC30F3A" w14:textId="1FCC0ADE" w:rsidR="003926EE" w:rsidRPr="0041261F" w:rsidRDefault="003926EE" w:rsidP="0041261F">
      <w:pPr>
        <w:tabs>
          <w:tab w:val="left" w:pos="0"/>
        </w:tabs>
      </w:pPr>
      <w:r w:rsidRPr="0041261F">
        <w:tab/>
      </w:r>
      <w:r w:rsidR="00064FEE" w:rsidRPr="0041261F">
        <w:t>W</w:t>
      </w:r>
      <w:r w:rsidRPr="0041261F">
        <w:t>e affirm the judgment of the Court of Appeal.</w:t>
      </w:r>
    </w:p>
    <w:p w14:paraId="6DE6ECF4" w14:textId="6A6E2A3E" w:rsidR="00CC71AB" w:rsidRDefault="003926EE" w:rsidP="006318F0">
      <w:pPr>
        <w:spacing w:line="240" w:lineRule="auto"/>
        <w:ind w:left="4320" w:firstLine="720"/>
        <w:rPr>
          <w:b/>
        </w:rPr>
      </w:pPr>
      <w:r w:rsidRPr="00E9547D">
        <w:rPr>
          <w:b/>
        </w:rPr>
        <w:t>LIU, J.</w:t>
      </w:r>
    </w:p>
    <w:p w14:paraId="1F576C95" w14:textId="77ED64B8" w:rsidR="00794929" w:rsidRDefault="00794929" w:rsidP="006318F0">
      <w:pPr>
        <w:spacing w:line="240" w:lineRule="auto"/>
        <w:ind w:left="4320" w:firstLine="720"/>
        <w:rPr>
          <w:b/>
        </w:rPr>
      </w:pPr>
    </w:p>
    <w:p w14:paraId="693DE9D1" w14:textId="347BDA4F" w:rsidR="00ED2A9D" w:rsidRDefault="00794929" w:rsidP="006318F0">
      <w:pPr>
        <w:spacing w:line="240" w:lineRule="auto"/>
        <w:rPr>
          <w:b/>
        </w:rPr>
      </w:pPr>
      <w:r>
        <w:rPr>
          <w:b/>
        </w:rPr>
        <w:t xml:space="preserve">We </w:t>
      </w:r>
      <w:r w:rsidR="009118B5">
        <w:rPr>
          <w:b/>
        </w:rPr>
        <w:t>C</w:t>
      </w:r>
      <w:r>
        <w:rPr>
          <w:b/>
        </w:rPr>
        <w:t>oncur:</w:t>
      </w:r>
    </w:p>
    <w:p w14:paraId="3536319A" w14:textId="105725C6" w:rsidR="006318F0" w:rsidRPr="00146FD3" w:rsidRDefault="006318F0" w:rsidP="006318F0">
      <w:pPr>
        <w:spacing w:after="0" w:line="240" w:lineRule="auto"/>
        <w:rPr>
          <w:rFonts w:ascii="Calibri" w:hAnsi="Calibri"/>
          <w:b/>
          <w:sz w:val="22"/>
          <w:lang w:val="it-IT"/>
        </w:rPr>
      </w:pPr>
      <w:r w:rsidRPr="00146FD3">
        <w:rPr>
          <w:b/>
          <w:lang w:val="it-IT"/>
        </w:rPr>
        <w:t>CANTIL-SAKAUYE, C.</w:t>
      </w:r>
      <w:r w:rsidR="00AA424D">
        <w:rPr>
          <w:b/>
          <w:lang w:val="it-IT"/>
        </w:rPr>
        <w:t xml:space="preserve"> </w:t>
      </w:r>
      <w:r w:rsidRPr="00146FD3">
        <w:rPr>
          <w:b/>
          <w:lang w:val="it-IT"/>
        </w:rPr>
        <w:t>J.</w:t>
      </w:r>
    </w:p>
    <w:p w14:paraId="7B19C067" w14:textId="77777777" w:rsidR="006318F0" w:rsidRPr="00146FD3" w:rsidRDefault="006318F0" w:rsidP="006318F0">
      <w:pPr>
        <w:spacing w:after="0" w:line="240" w:lineRule="auto"/>
        <w:rPr>
          <w:b/>
          <w:lang w:val="it-IT"/>
        </w:rPr>
      </w:pPr>
      <w:r w:rsidRPr="00146FD3">
        <w:rPr>
          <w:b/>
          <w:lang w:val="it-IT"/>
        </w:rPr>
        <w:t>CHIN, J.</w:t>
      </w:r>
    </w:p>
    <w:p w14:paraId="25F718FE" w14:textId="77777777" w:rsidR="006318F0" w:rsidRPr="00146FD3" w:rsidRDefault="006318F0" w:rsidP="006318F0">
      <w:pPr>
        <w:spacing w:after="0" w:line="240" w:lineRule="auto"/>
        <w:rPr>
          <w:b/>
          <w:lang w:val="it-IT"/>
        </w:rPr>
      </w:pPr>
      <w:r w:rsidRPr="00146FD3">
        <w:rPr>
          <w:b/>
          <w:lang w:val="it-IT"/>
        </w:rPr>
        <w:t>CORRIGAN, J.</w:t>
      </w:r>
    </w:p>
    <w:p w14:paraId="13869F91" w14:textId="77777777" w:rsidR="006318F0" w:rsidRPr="00146FD3" w:rsidRDefault="006318F0" w:rsidP="006318F0">
      <w:pPr>
        <w:spacing w:after="0" w:line="240" w:lineRule="auto"/>
        <w:rPr>
          <w:b/>
          <w:lang w:val="it-IT"/>
        </w:rPr>
      </w:pPr>
      <w:r w:rsidRPr="00146FD3">
        <w:rPr>
          <w:b/>
          <w:lang w:val="it-IT"/>
        </w:rPr>
        <w:t>CUÉLLAR, J.</w:t>
      </w:r>
    </w:p>
    <w:p w14:paraId="3B90939E" w14:textId="6F822E5C" w:rsidR="00592F07" w:rsidRDefault="006318F0" w:rsidP="006318F0">
      <w:pPr>
        <w:spacing w:after="0" w:line="240" w:lineRule="auto"/>
        <w:jc w:val="left"/>
        <w:rPr>
          <w:b/>
          <w:lang w:val="it-IT"/>
        </w:rPr>
      </w:pPr>
      <w:r w:rsidRPr="00146FD3">
        <w:rPr>
          <w:b/>
          <w:lang w:val="it-IT"/>
        </w:rPr>
        <w:t>KRUGER, J.</w:t>
      </w:r>
    </w:p>
    <w:p w14:paraId="04593A41" w14:textId="77777777" w:rsidR="00AA424D" w:rsidRDefault="006318F0" w:rsidP="006318F0">
      <w:pPr>
        <w:spacing w:after="0" w:line="240" w:lineRule="auto"/>
        <w:jc w:val="left"/>
        <w:rPr>
          <w:b/>
        </w:rPr>
        <w:sectPr w:rsidR="00AA424D" w:rsidSect="0076610F">
          <w:footerReference w:type="first" r:id="rId8"/>
          <w:pgSz w:w="12240" w:h="15840"/>
          <w:pgMar w:top="1800" w:right="2160" w:bottom="1440" w:left="2160" w:header="720" w:footer="720" w:gutter="0"/>
          <w:pgNumType w:start="1"/>
          <w:cols w:space="720"/>
          <w:titlePg/>
          <w:docGrid w:linePitch="367"/>
        </w:sectPr>
      </w:pPr>
      <w:r>
        <w:rPr>
          <w:b/>
        </w:rPr>
        <w:t>GROBAN, J.</w:t>
      </w:r>
    </w:p>
    <w:p w14:paraId="1A2D2417" w14:textId="77777777" w:rsidR="00AA424D" w:rsidRPr="00AA424D" w:rsidRDefault="00AA424D" w:rsidP="00AA424D">
      <w:pPr>
        <w:spacing w:after="0" w:line="240" w:lineRule="auto"/>
        <w:jc w:val="left"/>
        <w:rPr>
          <w:rFonts w:ascii="Times New Roman" w:hAnsi="Times New Roman"/>
          <w:i/>
          <w:sz w:val="20"/>
        </w:rPr>
      </w:pPr>
      <w:r w:rsidRPr="00AA424D">
        <w:rPr>
          <w:rFonts w:ascii="Times New Roman" w:hAnsi="Times New Roman"/>
          <w:i/>
          <w:sz w:val="20"/>
        </w:rPr>
        <w:lastRenderedPageBreak/>
        <w:t>See next page for addresses and telephone numbers for counsel who argued in Supreme Court.</w:t>
      </w:r>
    </w:p>
    <w:p w14:paraId="50CE58DA" w14:textId="77777777" w:rsidR="00AA424D" w:rsidRPr="00AA424D" w:rsidRDefault="00AA424D" w:rsidP="00AA424D">
      <w:pPr>
        <w:spacing w:after="0" w:line="240" w:lineRule="auto"/>
        <w:jc w:val="left"/>
        <w:rPr>
          <w:rFonts w:ascii="Times New Roman" w:hAnsi="Times New Roman"/>
          <w:i/>
          <w:sz w:val="20"/>
        </w:rPr>
      </w:pPr>
    </w:p>
    <w:p w14:paraId="17337C83" w14:textId="77777777" w:rsidR="00AA424D" w:rsidRPr="00AA424D" w:rsidRDefault="00AA424D" w:rsidP="00AA424D">
      <w:pPr>
        <w:spacing w:after="0" w:line="240" w:lineRule="auto"/>
        <w:jc w:val="left"/>
        <w:rPr>
          <w:rFonts w:ascii="Times New Roman" w:hAnsi="Times New Roman"/>
          <w:bCs/>
          <w:i/>
          <w:sz w:val="20"/>
        </w:rPr>
      </w:pPr>
      <w:r w:rsidRPr="00AA424D">
        <w:rPr>
          <w:rFonts w:ascii="Times New Roman" w:hAnsi="Times New Roman"/>
          <w:b/>
          <w:sz w:val="20"/>
        </w:rPr>
        <w:t>Name of Opinion</w:t>
      </w:r>
      <w:r w:rsidRPr="00AA424D">
        <w:rPr>
          <w:rFonts w:ascii="Times New Roman" w:hAnsi="Times New Roman"/>
          <w:sz w:val="20"/>
        </w:rPr>
        <w:t xml:space="preserve"> Black Sky Capital, LLC v. Cobb</w:t>
      </w:r>
    </w:p>
    <w:p w14:paraId="2D3C74D9" w14:textId="77777777" w:rsidR="00AA424D" w:rsidRPr="00AA424D" w:rsidRDefault="00AA424D" w:rsidP="00AA424D">
      <w:pPr>
        <w:spacing w:after="0" w:line="240" w:lineRule="auto"/>
        <w:jc w:val="left"/>
        <w:rPr>
          <w:rFonts w:ascii="Times New Roman" w:hAnsi="Times New Roman"/>
          <w:b/>
          <w:sz w:val="20"/>
        </w:rPr>
      </w:pPr>
      <w:r w:rsidRPr="00AA424D">
        <w:rPr>
          <w:rFonts w:ascii="Times New Roman" w:hAnsi="Times New Roman"/>
          <w:b/>
          <w:sz w:val="20"/>
        </w:rPr>
        <w:t>__________________________________________________________________________________</w:t>
      </w:r>
    </w:p>
    <w:p w14:paraId="035B78B6" w14:textId="77777777" w:rsidR="00AA424D" w:rsidRPr="00AA424D" w:rsidRDefault="00AA424D" w:rsidP="00AA424D">
      <w:pPr>
        <w:spacing w:after="0" w:line="240" w:lineRule="auto"/>
        <w:jc w:val="left"/>
        <w:rPr>
          <w:rFonts w:ascii="Times New Roman" w:hAnsi="Times New Roman"/>
          <w:b/>
          <w:sz w:val="20"/>
        </w:rPr>
      </w:pPr>
    </w:p>
    <w:p w14:paraId="6732835B" w14:textId="77777777" w:rsidR="00AA424D" w:rsidRPr="00AA424D" w:rsidRDefault="00AA424D" w:rsidP="00AA424D">
      <w:pPr>
        <w:spacing w:after="0" w:line="240" w:lineRule="auto"/>
        <w:jc w:val="left"/>
        <w:rPr>
          <w:rFonts w:ascii="Times New Roman" w:hAnsi="Times New Roman"/>
          <w:bCs/>
          <w:sz w:val="20"/>
        </w:rPr>
      </w:pPr>
      <w:r w:rsidRPr="00AA424D">
        <w:rPr>
          <w:rFonts w:ascii="Times New Roman" w:hAnsi="Times New Roman"/>
          <w:b/>
          <w:sz w:val="20"/>
        </w:rPr>
        <w:t>Unpublished Opinion</w:t>
      </w:r>
    </w:p>
    <w:p w14:paraId="17E61E77" w14:textId="77777777" w:rsidR="00AA424D" w:rsidRPr="00AA424D" w:rsidRDefault="00AA424D" w:rsidP="00AA424D">
      <w:pPr>
        <w:spacing w:after="0" w:line="240" w:lineRule="auto"/>
        <w:jc w:val="left"/>
        <w:rPr>
          <w:rFonts w:ascii="Times New Roman" w:hAnsi="Times New Roman"/>
          <w:sz w:val="20"/>
        </w:rPr>
      </w:pPr>
      <w:r w:rsidRPr="00AA424D">
        <w:rPr>
          <w:rFonts w:ascii="Times New Roman" w:hAnsi="Times New Roman"/>
          <w:b/>
          <w:sz w:val="20"/>
        </w:rPr>
        <w:t>Original Appeal</w:t>
      </w:r>
    </w:p>
    <w:p w14:paraId="722B7DFD" w14:textId="77777777" w:rsidR="00AA424D" w:rsidRPr="00AA424D" w:rsidRDefault="00AA424D" w:rsidP="00AA424D">
      <w:pPr>
        <w:spacing w:after="0" w:line="240" w:lineRule="auto"/>
        <w:jc w:val="left"/>
        <w:rPr>
          <w:rFonts w:ascii="Times New Roman" w:hAnsi="Times New Roman"/>
          <w:b/>
          <w:sz w:val="20"/>
        </w:rPr>
      </w:pPr>
      <w:r w:rsidRPr="00AA424D">
        <w:rPr>
          <w:rFonts w:ascii="Times New Roman" w:hAnsi="Times New Roman"/>
          <w:b/>
          <w:sz w:val="20"/>
        </w:rPr>
        <w:t>Original Proceeding</w:t>
      </w:r>
    </w:p>
    <w:p w14:paraId="098D4D0C" w14:textId="77777777" w:rsidR="00AA424D" w:rsidRPr="00AA424D" w:rsidRDefault="00AA424D" w:rsidP="00AA424D">
      <w:pPr>
        <w:spacing w:after="0" w:line="240" w:lineRule="auto"/>
        <w:jc w:val="left"/>
        <w:rPr>
          <w:rFonts w:ascii="Times New Roman" w:hAnsi="Times New Roman"/>
          <w:sz w:val="20"/>
        </w:rPr>
      </w:pPr>
      <w:r w:rsidRPr="00AA424D">
        <w:rPr>
          <w:rFonts w:ascii="Times New Roman" w:hAnsi="Times New Roman"/>
          <w:b/>
          <w:sz w:val="20"/>
        </w:rPr>
        <w:t>Review Granted</w:t>
      </w:r>
      <w:r w:rsidRPr="00AA424D">
        <w:rPr>
          <w:rFonts w:ascii="Times New Roman" w:hAnsi="Times New Roman"/>
          <w:sz w:val="20"/>
        </w:rPr>
        <w:t xml:space="preserve"> XXX 12 Cal.App.5th 887</w:t>
      </w:r>
    </w:p>
    <w:p w14:paraId="0CD17BD6" w14:textId="77777777" w:rsidR="00AA424D" w:rsidRPr="00AA424D" w:rsidRDefault="00AA424D" w:rsidP="00AA424D">
      <w:pPr>
        <w:spacing w:after="0" w:line="240" w:lineRule="auto"/>
        <w:jc w:val="left"/>
        <w:rPr>
          <w:rFonts w:ascii="Times New Roman" w:hAnsi="Times New Roman"/>
          <w:b/>
          <w:sz w:val="20"/>
        </w:rPr>
      </w:pPr>
      <w:r w:rsidRPr="00AA424D">
        <w:rPr>
          <w:rFonts w:ascii="Times New Roman" w:hAnsi="Times New Roman"/>
          <w:b/>
          <w:sz w:val="20"/>
        </w:rPr>
        <w:t>Rehearing Granted</w:t>
      </w:r>
    </w:p>
    <w:p w14:paraId="5B88763D" w14:textId="77777777" w:rsidR="00AA424D" w:rsidRPr="00AA424D" w:rsidRDefault="00AA424D" w:rsidP="00AA424D">
      <w:pPr>
        <w:spacing w:after="0" w:line="240" w:lineRule="auto"/>
        <w:jc w:val="left"/>
        <w:rPr>
          <w:rFonts w:ascii="Times New Roman" w:hAnsi="Times New Roman"/>
          <w:b/>
          <w:sz w:val="20"/>
        </w:rPr>
      </w:pPr>
    </w:p>
    <w:p w14:paraId="1D2CF687" w14:textId="77777777" w:rsidR="00AA424D" w:rsidRPr="00AA424D" w:rsidRDefault="00AA424D" w:rsidP="00AA424D">
      <w:pPr>
        <w:spacing w:after="0" w:line="240" w:lineRule="auto"/>
        <w:jc w:val="left"/>
        <w:rPr>
          <w:rFonts w:ascii="Times New Roman" w:hAnsi="Times New Roman"/>
          <w:b/>
          <w:sz w:val="20"/>
        </w:rPr>
      </w:pPr>
      <w:r w:rsidRPr="00AA424D">
        <w:rPr>
          <w:rFonts w:ascii="Times New Roman" w:hAnsi="Times New Roman"/>
          <w:b/>
          <w:sz w:val="20"/>
        </w:rPr>
        <w:t>__________________________________________________________________________________</w:t>
      </w:r>
    </w:p>
    <w:p w14:paraId="60FA4FE4" w14:textId="77777777" w:rsidR="00AA424D" w:rsidRPr="00AA424D" w:rsidRDefault="00AA424D" w:rsidP="00AA424D">
      <w:pPr>
        <w:spacing w:after="0" w:line="240" w:lineRule="auto"/>
        <w:jc w:val="left"/>
        <w:rPr>
          <w:rFonts w:ascii="Times New Roman" w:hAnsi="Times New Roman"/>
          <w:b/>
          <w:sz w:val="20"/>
        </w:rPr>
      </w:pPr>
    </w:p>
    <w:p w14:paraId="7DD7B62A" w14:textId="77777777" w:rsidR="00AA424D" w:rsidRPr="00AA424D" w:rsidRDefault="00AA424D" w:rsidP="00AA424D">
      <w:pPr>
        <w:spacing w:after="0" w:line="240" w:lineRule="auto"/>
        <w:jc w:val="left"/>
        <w:rPr>
          <w:rFonts w:ascii="Times New Roman" w:hAnsi="Times New Roman"/>
          <w:bCs/>
          <w:sz w:val="20"/>
        </w:rPr>
      </w:pPr>
      <w:r w:rsidRPr="00AA424D">
        <w:rPr>
          <w:rFonts w:ascii="Times New Roman" w:hAnsi="Times New Roman"/>
          <w:b/>
          <w:sz w:val="20"/>
        </w:rPr>
        <w:t>Opinion No.</w:t>
      </w:r>
      <w:r w:rsidRPr="00AA424D">
        <w:rPr>
          <w:rFonts w:ascii="Times New Roman" w:hAnsi="Times New Roman"/>
          <w:sz w:val="20"/>
        </w:rPr>
        <w:t xml:space="preserve"> S243294</w:t>
      </w:r>
    </w:p>
    <w:p w14:paraId="57746F61" w14:textId="77777777" w:rsidR="00AA424D" w:rsidRPr="00AA424D" w:rsidRDefault="00AA424D" w:rsidP="00AA424D">
      <w:pPr>
        <w:spacing w:after="0" w:line="240" w:lineRule="auto"/>
        <w:jc w:val="left"/>
        <w:rPr>
          <w:rFonts w:ascii="Times New Roman" w:hAnsi="Times New Roman"/>
          <w:bCs/>
          <w:sz w:val="20"/>
        </w:rPr>
      </w:pPr>
      <w:r w:rsidRPr="00AA424D">
        <w:rPr>
          <w:rFonts w:ascii="Times New Roman" w:hAnsi="Times New Roman"/>
          <w:b/>
          <w:sz w:val="20"/>
        </w:rPr>
        <w:t>Date Filed:</w:t>
      </w:r>
      <w:r w:rsidRPr="00AA424D">
        <w:rPr>
          <w:rFonts w:ascii="Times New Roman" w:hAnsi="Times New Roman"/>
          <w:sz w:val="20"/>
        </w:rPr>
        <w:t xml:space="preserve"> May 6, 2019</w:t>
      </w:r>
    </w:p>
    <w:p w14:paraId="28E1BB79" w14:textId="77777777" w:rsidR="00AA424D" w:rsidRPr="00AA424D" w:rsidRDefault="00AA424D" w:rsidP="00AA424D">
      <w:pPr>
        <w:spacing w:after="0" w:line="240" w:lineRule="auto"/>
        <w:jc w:val="left"/>
        <w:rPr>
          <w:rFonts w:ascii="Times New Roman" w:hAnsi="Times New Roman"/>
          <w:b/>
          <w:sz w:val="20"/>
        </w:rPr>
      </w:pPr>
      <w:r w:rsidRPr="00AA424D">
        <w:rPr>
          <w:rFonts w:ascii="Times New Roman" w:hAnsi="Times New Roman"/>
          <w:b/>
          <w:sz w:val="20"/>
        </w:rPr>
        <w:t>__________________________________________________________________________________</w:t>
      </w:r>
    </w:p>
    <w:p w14:paraId="76E1E59F" w14:textId="77777777" w:rsidR="00AA424D" w:rsidRPr="00AA424D" w:rsidRDefault="00AA424D" w:rsidP="00AA424D">
      <w:pPr>
        <w:spacing w:after="0" w:line="240" w:lineRule="auto"/>
        <w:jc w:val="left"/>
        <w:rPr>
          <w:rFonts w:ascii="Times New Roman" w:hAnsi="Times New Roman"/>
          <w:b/>
          <w:sz w:val="20"/>
        </w:rPr>
      </w:pPr>
    </w:p>
    <w:p w14:paraId="53330EB4" w14:textId="77777777" w:rsidR="00AA424D" w:rsidRPr="00AA424D" w:rsidRDefault="00AA424D" w:rsidP="00AA424D">
      <w:pPr>
        <w:spacing w:after="0" w:line="240" w:lineRule="auto"/>
        <w:jc w:val="left"/>
        <w:rPr>
          <w:rFonts w:ascii="Times New Roman" w:hAnsi="Times New Roman"/>
          <w:bCs/>
          <w:sz w:val="20"/>
        </w:rPr>
      </w:pPr>
      <w:r w:rsidRPr="00AA424D">
        <w:rPr>
          <w:rFonts w:ascii="Times New Roman" w:hAnsi="Times New Roman"/>
          <w:b/>
          <w:sz w:val="20"/>
        </w:rPr>
        <w:t>Court:</w:t>
      </w:r>
      <w:r w:rsidRPr="00AA424D">
        <w:rPr>
          <w:rFonts w:ascii="Times New Roman" w:hAnsi="Times New Roman"/>
          <w:sz w:val="20"/>
        </w:rPr>
        <w:t xml:space="preserve"> Superior</w:t>
      </w:r>
    </w:p>
    <w:p w14:paraId="68C7F8AA" w14:textId="77777777" w:rsidR="00AA424D" w:rsidRPr="00AA424D" w:rsidRDefault="00AA424D" w:rsidP="00AA424D">
      <w:pPr>
        <w:spacing w:after="0" w:line="240" w:lineRule="auto"/>
        <w:jc w:val="left"/>
        <w:rPr>
          <w:rFonts w:ascii="Times New Roman" w:hAnsi="Times New Roman"/>
          <w:bCs/>
          <w:sz w:val="20"/>
        </w:rPr>
      </w:pPr>
      <w:r w:rsidRPr="00AA424D">
        <w:rPr>
          <w:rFonts w:ascii="Times New Roman" w:hAnsi="Times New Roman"/>
          <w:b/>
          <w:sz w:val="20"/>
        </w:rPr>
        <w:t>County:</w:t>
      </w:r>
      <w:r w:rsidRPr="00AA424D">
        <w:rPr>
          <w:rFonts w:ascii="Times New Roman" w:hAnsi="Times New Roman"/>
          <w:sz w:val="20"/>
        </w:rPr>
        <w:t xml:space="preserve"> San Bernardino</w:t>
      </w:r>
    </w:p>
    <w:p w14:paraId="5A9B7377" w14:textId="77777777" w:rsidR="00AA424D" w:rsidRPr="00AA424D" w:rsidRDefault="00AA424D" w:rsidP="00AA424D">
      <w:pPr>
        <w:spacing w:after="0" w:line="240" w:lineRule="auto"/>
        <w:ind w:left="720" w:hanging="720"/>
        <w:jc w:val="left"/>
        <w:rPr>
          <w:rFonts w:ascii="Times New Roman" w:hAnsi="Times New Roman"/>
          <w:bCs/>
          <w:sz w:val="20"/>
        </w:rPr>
      </w:pPr>
      <w:r w:rsidRPr="00AA424D">
        <w:rPr>
          <w:rFonts w:ascii="Times New Roman" w:hAnsi="Times New Roman"/>
          <w:b/>
          <w:sz w:val="20"/>
        </w:rPr>
        <w:t>Judge:</w:t>
      </w:r>
      <w:r w:rsidRPr="00AA424D">
        <w:rPr>
          <w:rFonts w:ascii="Times New Roman" w:hAnsi="Times New Roman"/>
          <w:sz w:val="20"/>
        </w:rPr>
        <w:t xml:space="preserve"> Bryan Foster</w:t>
      </w:r>
    </w:p>
    <w:p w14:paraId="18A970AD" w14:textId="77777777" w:rsidR="00AA424D" w:rsidRPr="00AA424D" w:rsidRDefault="00AA424D" w:rsidP="00AA424D">
      <w:pPr>
        <w:spacing w:after="0" w:line="240" w:lineRule="auto"/>
        <w:jc w:val="left"/>
        <w:rPr>
          <w:rFonts w:ascii="Times New Roman" w:hAnsi="Times New Roman"/>
          <w:b/>
          <w:sz w:val="20"/>
        </w:rPr>
      </w:pPr>
    </w:p>
    <w:p w14:paraId="37546B86" w14:textId="77777777" w:rsidR="00AA424D" w:rsidRPr="00AA424D" w:rsidRDefault="00AA424D" w:rsidP="00AA424D">
      <w:pPr>
        <w:spacing w:after="0" w:line="240" w:lineRule="auto"/>
        <w:jc w:val="left"/>
        <w:rPr>
          <w:rFonts w:ascii="Times New Roman" w:hAnsi="Times New Roman"/>
          <w:b/>
          <w:sz w:val="20"/>
        </w:rPr>
      </w:pPr>
      <w:r w:rsidRPr="00AA424D">
        <w:rPr>
          <w:rFonts w:ascii="Times New Roman" w:hAnsi="Times New Roman"/>
          <w:b/>
          <w:sz w:val="20"/>
        </w:rPr>
        <w:t>__________________________________________________________________________________</w:t>
      </w:r>
    </w:p>
    <w:p w14:paraId="3CADC2E1" w14:textId="77777777" w:rsidR="00AA424D" w:rsidRPr="00AA424D" w:rsidRDefault="00AA424D" w:rsidP="00AA424D">
      <w:pPr>
        <w:spacing w:after="0" w:line="240" w:lineRule="auto"/>
        <w:jc w:val="left"/>
        <w:rPr>
          <w:rFonts w:ascii="Times New Roman" w:hAnsi="Times New Roman"/>
          <w:b/>
          <w:sz w:val="20"/>
        </w:rPr>
      </w:pPr>
    </w:p>
    <w:p w14:paraId="711A0B5A" w14:textId="77777777" w:rsidR="00AA424D" w:rsidRPr="00AA424D" w:rsidRDefault="00AA424D" w:rsidP="00AA424D">
      <w:pPr>
        <w:spacing w:after="0" w:line="240" w:lineRule="auto"/>
        <w:jc w:val="left"/>
        <w:rPr>
          <w:rFonts w:ascii="Times New Roman" w:hAnsi="Times New Roman"/>
          <w:b/>
          <w:sz w:val="20"/>
        </w:rPr>
      </w:pPr>
      <w:r w:rsidRPr="00AA424D">
        <w:rPr>
          <w:rFonts w:ascii="Times New Roman" w:hAnsi="Times New Roman"/>
          <w:b/>
          <w:sz w:val="20"/>
        </w:rPr>
        <w:t>Counsel:</w:t>
      </w:r>
    </w:p>
    <w:p w14:paraId="0F325ED4" w14:textId="77777777" w:rsidR="00AA424D" w:rsidRPr="00AA424D" w:rsidRDefault="00AA424D" w:rsidP="00AA424D">
      <w:pPr>
        <w:spacing w:after="0" w:line="240" w:lineRule="auto"/>
        <w:jc w:val="left"/>
        <w:rPr>
          <w:rFonts w:ascii="Times New Roman" w:hAnsi="Times New Roman"/>
          <w:b/>
          <w:sz w:val="20"/>
        </w:rPr>
      </w:pPr>
    </w:p>
    <w:p w14:paraId="1A6CAA7C" w14:textId="77777777" w:rsidR="00AA424D" w:rsidRPr="00AA424D" w:rsidRDefault="00AA424D" w:rsidP="00AA424D">
      <w:pPr>
        <w:spacing w:after="0" w:line="240" w:lineRule="auto"/>
        <w:jc w:val="left"/>
        <w:rPr>
          <w:rFonts w:ascii="Times New Roman" w:hAnsi="Times New Roman"/>
          <w:sz w:val="20"/>
        </w:rPr>
      </w:pPr>
      <w:r w:rsidRPr="00AA424D">
        <w:rPr>
          <w:rFonts w:ascii="Times New Roman" w:hAnsi="Times New Roman"/>
          <w:sz w:val="20"/>
        </w:rPr>
        <w:t xml:space="preserve">Law Offices of Ronald Richards &amp; Associates, Ronald N. Richards; Wilson, </w:t>
      </w:r>
      <w:proofErr w:type="spellStart"/>
      <w:r w:rsidRPr="00AA424D">
        <w:rPr>
          <w:rFonts w:ascii="Times New Roman" w:hAnsi="Times New Roman"/>
          <w:sz w:val="20"/>
        </w:rPr>
        <w:t>Elser</w:t>
      </w:r>
      <w:proofErr w:type="spellEnd"/>
      <w:r w:rsidRPr="00AA424D">
        <w:rPr>
          <w:rFonts w:ascii="Times New Roman" w:hAnsi="Times New Roman"/>
          <w:sz w:val="20"/>
        </w:rPr>
        <w:t>, Moskowitz, Edelman &amp; Dicker, Robert Cooper; Law Offices of Geoffrey Long and Geoffrey S. Long for Plaintiff and Appellant.</w:t>
      </w:r>
    </w:p>
    <w:p w14:paraId="55D504C1" w14:textId="77777777" w:rsidR="00AA424D" w:rsidRPr="00AA424D" w:rsidRDefault="00AA424D" w:rsidP="00AA424D">
      <w:pPr>
        <w:spacing w:after="0" w:line="240" w:lineRule="auto"/>
        <w:jc w:val="left"/>
        <w:rPr>
          <w:rFonts w:ascii="Times New Roman" w:hAnsi="Times New Roman"/>
          <w:sz w:val="20"/>
        </w:rPr>
      </w:pPr>
    </w:p>
    <w:p w14:paraId="6824324F" w14:textId="77777777" w:rsidR="00AA424D" w:rsidRPr="00AA424D" w:rsidRDefault="00AA424D" w:rsidP="00AA424D">
      <w:pPr>
        <w:spacing w:after="0" w:line="240" w:lineRule="auto"/>
        <w:jc w:val="left"/>
        <w:rPr>
          <w:rFonts w:ascii="Times New Roman" w:hAnsi="Times New Roman"/>
          <w:sz w:val="20"/>
        </w:rPr>
      </w:pPr>
      <w:r w:rsidRPr="00AA424D">
        <w:rPr>
          <w:rFonts w:ascii="Times New Roman" w:hAnsi="Times New Roman"/>
          <w:sz w:val="20"/>
        </w:rPr>
        <w:t>Horvitz &amp; Levy, Jeremy B. Rosen and Eric S. Boorstin for D-Day Capital, LLC, as Amicus Curiae on behalf of Plaintiff and Appellant.</w:t>
      </w:r>
    </w:p>
    <w:p w14:paraId="4FAAE481" w14:textId="77777777" w:rsidR="00AA424D" w:rsidRPr="00AA424D" w:rsidRDefault="00AA424D" w:rsidP="00AA424D">
      <w:pPr>
        <w:spacing w:after="0" w:line="240" w:lineRule="auto"/>
        <w:jc w:val="left"/>
        <w:rPr>
          <w:rFonts w:ascii="Times New Roman" w:hAnsi="Times New Roman"/>
          <w:sz w:val="20"/>
        </w:rPr>
      </w:pPr>
    </w:p>
    <w:p w14:paraId="6A0D009A" w14:textId="77777777" w:rsidR="00AA424D" w:rsidRPr="00AA424D" w:rsidRDefault="00AA424D" w:rsidP="00AA424D">
      <w:pPr>
        <w:spacing w:after="0" w:line="240" w:lineRule="auto"/>
        <w:jc w:val="left"/>
        <w:rPr>
          <w:rFonts w:ascii="Times New Roman" w:hAnsi="Times New Roman"/>
          <w:sz w:val="20"/>
        </w:rPr>
      </w:pPr>
      <w:r w:rsidRPr="00AA424D">
        <w:rPr>
          <w:rFonts w:ascii="Times New Roman" w:hAnsi="Times New Roman"/>
          <w:sz w:val="20"/>
        </w:rPr>
        <w:t xml:space="preserve">Levitt Law, Scott L. Levitt; Lex Opus, Schiffer &amp; </w:t>
      </w:r>
      <w:proofErr w:type="spellStart"/>
      <w:r w:rsidRPr="00AA424D">
        <w:rPr>
          <w:rFonts w:ascii="Times New Roman" w:hAnsi="Times New Roman"/>
          <w:sz w:val="20"/>
        </w:rPr>
        <w:t>Buus</w:t>
      </w:r>
      <w:proofErr w:type="spellEnd"/>
      <w:r w:rsidRPr="00AA424D">
        <w:rPr>
          <w:rFonts w:ascii="Times New Roman" w:hAnsi="Times New Roman"/>
          <w:sz w:val="20"/>
        </w:rPr>
        <w:t xml:space="preserve">, Eric M. Schiffer and William L. </w:t>
      </w:r>
      <w:proofErr w:type="spellStart"/>
      <w:r w:rsidRPr="00AA424D">
        <w:rPr>
          <w:rFonts w:ascii="Times New Roman" w:hAnsi="Times New Roman"/>
          <w:sz w:val="20"/>
        </w:rPr>
        <w:t>Buus</w:t>
      </w:r>
      <w:proofErr w:type="spellEnd"/>
      <w:r w:rsidRPr="00AA424D">
        <w:rPr>
          <w:rFonts w:ascii="Times New Roman" w:hAnsi="Times New Roman"/>
          <w:sz w:val="20"/>
        </w:rPr>
        <w:t xml:space="preserve"> for Defendants and Respondents.</w:t>
      </w:r>
    </w:p>
    <w:p w14:paraId="0FDD08B0" w14:textId="77777777" w:rsidR="00AA424D" w:rsidRPr="00AA424D" w:rsidRDefault="00AA424D" w:rsidP="00AA424D">
      <w:pPr>
        <w:spacing w:after="0" w:line="240" w:lineRule="auto"/>
        <w:jc w:val="left"/>
        <w:rPr>
          <w:rFonts w:ascii="Times New Roman" w:hAnsi="Times New Roman"/>
          <w:b/>
          <w:sz w:val="20"/>
        </w:rPr>
      </w:pPr>
    </w:p>
    <w:p w14:paraId="2DA2FB44" w14:textId="77777777" w:rsidR="00AA424D" w:rsidRPr="00AA424D" w:rsidRDefault="00AA424D" w:rsidP="00AA424D">
      <w:pPr>
        <w:spacing w:after="0" w:line="240" w:lineRule="auto"/>
        <w:jc w:val="left"/>
        <w:rPr>
          <w:rFonts w:ascii="Times New Roman" w:hAnsi="Times New Roman"/>
          <w:sz w:val="20"/>
        </w:rPr>
      </w:pPr>
      <w:r w:rsidRPr="00AA424D">
        <w:rPr>
          <w:rFonts w:ascii="Times New Roman" w:hAnsi="Times New Roman"/>
          <w:sz w:val="20"/>
        </w:rPr>
        <w:t xml:space="preserve">Arthur D. Levy and Noah </w:t>
      </w:r>
      <w:proofErr w:type="spellStart"/>
      <w:r w:rsidRPr="00AA424D">
        <w:rPr>
          <w:rFonts w:ascii="Times New Roman" w:hAnsi="Times New Roman"/>
          <w:sz w:val="20"/>
        </w:rPr>
        <w:t>Zinner</w:t>
      </w:r>
      <w:proofErr w:type="spellEnd"/>
      <w:r w:rsidRPr="00AA424D">
        <w:rPr>
          <w:rFonts w:ascii="Times New Roman" w:hAnsi="Times New Roman"/>
          <w:sz w:val="20"/>
        </w:rPr>
        <w:t xml:space="preserve"> for Housing and Economic Rights Advocates as Amicus Curiae on behalf of Defendants and Respondents.</w:t>
      </w:r>
    </w:p>
    <w:p w14:paraId="608E2370" w14:textId="77777777" w:rsidR="00AA424D" w:rsidRPr="00AA424D" w:rsidRDefault="00AA424D" w:rsidP="00AA424D">
      <w:pPr>
        <w:spacing w:after="0" w:line="240" w:lineRule="auto"/>
        <w:jc w:val="left"/>
        <w:rPr>
          <w:rFonts w:ascii="Times New Roman" w:hAnsi="Times New Roman"/>
          <w:b/>
          <w:sz w:val="20"/>
        </w:rPr>
      </w:pPr>
    </w:p>
    <w:p w14:paraId="47F26152" w14:textId="77777777" w:rsidR="00AA424D" w:rsidRPr="00AA424D" w:rsidRDefault="00AA424D" w:rsidP="00AA424D">
      <w:pPr>
        <w:spacing w:after="0" w:line="240" w:lineRule="auto"/>
        <w:jc w:val="left"/>
        <w:rPr>
          <w:rFonts w:ascii="Times New Roman" w:hAnsi="Times New Roman"/>
          <w:sz w:val="26"/>
        </w:rPr>
      </w:pPr>
    </w:p>
    <w:p w14:paraId="388C5444" w14:textId="77777777" w:rsidR="00AA424D" w:rsidRPr="00AA424D" w:rsidRDefault="00AA424D" w:rsidP="00AA424D">
      <w:pPr>
        <w:spacing w:after="0" w:line="240" w:lineRule="auto"/>
        <w:jc w:val="left"/>
        <w:rPr>
          <w:rFonts w:ascii="Times New Roman" w:hAnsi="Times New Roman"/>
          <w:b/>
          <w:sz w:val="20"/>
        </w:rPr>
      </w:pPr>
    </w:p>
    <w:p w14:paraId="7A89877F" w14:textId="77777777" w:rsidR="00AA424D" w:rsidRPr="00AA424D" w:rsidRDefault="00AA424D" w:rsidP="00AA424D">
      <w:pPr>
        <w:spacing w:after="0" w:line="240" w:lineRule="auto"/>
        <w:jc w:val="left"/>
        <w:rPr>
          <w:rFonts w:ascii="Times New Roman" w:hAnsi="Times New Roman"/>
          <w:b/>
          <w:sz w:val="20"/>
        </w:rPr>
      </w:pPr>
    </w:p>
    <w:p w14:paraId="09200854" w14:textId="77777777" w:rsidR="00AA424D" w:rsidRPr="00AA424D" w:rsidRDefault="00AA424D" w:rsidP="00AA424D">
      <w:pPr>
        <w:spacing w:after="0" w:line="240" w:lineRule="auto"/>
        <w:jc w:val="left"/>
        <w:rPr>
          <w:rFonts w:ascii="Times New Roman" w:hAnsi="Times New Roman"/>
          <w:b/>
          <w:sz w:val="20"/>
        </w:rPr>
      </w:pPr>
      <w:r w:rsidRPr="00AA424D">
        <w:rPr>
          <w:rFonts w:ascii="Times New Roman" w:hAnsi="Times New Roman"/>
          <w:b/>
          <w:sz w:val="20"/>
        </w:rPr>
        <w:br w:type="page"/>
      </w:r>
    </w:p>
    <w:p w14:paraId="2CEC354A" w14:textId="77777777" w:rsidR="00AA424D" w:rsidRPr="00AA424D" w:rsidRDefault="00AA424D" w:rsidP="00AA424D">
      <w:pPr>
        <w:spacing w:after="0" w:line="240" w:lineRule="auto"/>
        <w:jc w:val="left"/>
        <w:rPr>
          <w:rFonts w:ascii="Times New Roman" w:hAnsi="Times New Roman"/>
          <w:b/>
          <w:sz w:val="20"/>
        </w:rPr>
      </w:pPr>
    </w:p>
    <w:p w14:paraId="7CC52940" w14:textId="77777777" w:rsidR="00AA424D" w:rsidRPr="00AA424D" w:rsidRDefault="00AA424D" w:rsidP="00AA424D">
      <w:pPr>
        <w:spacing w:after="0" w:line="240" w:lineRule="auto"/>
        <w:jc w:val="left"/>
        <w:rPr>
          <w:rFonts w:ascii="Times New Roman" w:hAnsi="Times New Roman"/>
          <w:b/>
          <w:sz w:val="20"/>
        </w:rPr>
      </w:pPr>
    </w:p>
    <w:p w14:paraId="32CC867E" w14:textId="77777777" w:rsidR="00AA424D" w:rsidRPr="00AA424D" w:rsidRDefault="00AA424D" w:rsidP="00AA424D">
      <w:pPr>
        <w:spacing w:after="0" w:line="240" w:lineRule="auto"/>
        <w:jc w:val="left"/>
        <w:rPr>
          <w:rFonts w:ascii="Times New Roman" w:hAnsi="Times New Roman"/>
          <w:b/>
          <w:sz w:val="20"/>
        </w:rPr>
      </w:pPr>
    </w:p>
    <w:p w14:paraId="6B506E8E" w14:textId="77777777" w:rsidR="00AA424D" w:rsidRPr="00AA424D" w:rsidRDefault="00AA424D" w:rsidP="00AA424D">
      <w:pPr>
        <w:spacing w:after="0" w:line="240" w:lineRule="auto"/>
        <w:jc w:val="left"/>
        <w:rPr>
          <w:rFonts w:ascii="Times New Roman" w:hAnsi="Times New Roman"/>
          <w:b/>
          <w:sz w:val="20"/>
        </w:rPr>
      </w:pPr>
      <w:r w:rsidRPr="00AA424D">
        <w:rPr>
          <w:rFonts w:ascii="Times New Roman" w:hAnsi="Times New Roman"/>
          <w:b/>
          <w:sz w:val="20"/>
        </w:rPr>
        <w:t>Counsel who argued in Supreme Court (not intended for publication with opinion):</w:t>
      </w:r>
    </w:p>
    <w:p w14:paraId="07AE352D" w14:textId="77777777" w:rsidR="00AA424D" w:rsidRPr="00AA424D" w:rsidRDefault="00AA424D" w:rsidP="00AA424D">
      <w:pPr>
        <w:spacing w:after="0" w:line="240" w:lineRule="auto"/>
        <w:jc w:val="left"/>
        <w:rPr>
          <w:rFonts w:ascii="Times New Roman" w:hAnsi="Times New Roman"/>
          <w:b/>
          <w:sz w:val="20"/>
        </w:rPr>
      </w:pPr>
    </w:p>
    <w:p w14:paraId="413AAEED" w14:textId="77777777" w:rsidR="00AA424D" w:rsidRPr="00AA424D" w:rsidRDefault="00AA424D" w:rsidP="00AA424D">
      <w:pPr>
        <w:spacing w:after="0" w:line="240" w:lineRule="auto"/>
        <w:jc w:val="left"/>
        <w:rPr>
          <w:rFonts w:ascii="Times New Roman" w:hAnsi="Times New Roman"/>
          <w:sz w:val="20"/>
        </w:rPr>
      </w:pPr>
      <w:r w:rsidRPr="00AA424D">
        <w:rPr>
          <w:rFonts w:ascii="Times New Roman" w:hAnsi="Times New Roman"/>
          <w:sz w:val="20"/>
        </w:rPr>
        <w:t>Ronald N. Richards</w:t>
      </w:r>
    </w:p>
    <w:p w14:paraId="0355A10E" w14:textId="77777777" w:rsidR="00AA424D" w:rsidRPr="00AA424D" w:rsidRDefault="00AA424D" w:rsidP="00AA424D">
      <w:pPr>
        <w:spacing w:after="0" w:line="240" w:lineRule="auto"/>
        <w:jc w:val="left"/>
        <w:rPr>
          <w:rFonts w:ascii="Times New Roman" w:hAnsi="Times New Roman"/>
          <w:sz w:val="20"/>
        </w:rPr>
      </w:pPr>
      <w:r w:rsidRPr="00AA424D">
        <w:rPr>
          <w:rFonts w:ascii="Times New Roman" w:hAnsi="Times New Roman"/>
          <w:sz w:val="20"/>
        </w:rPr>
        <w:t>Law Offices of Ronald Richards &amp; Associates</w:t>
      </w:r>
    </w:p>
    <w:p w14:paraId="0710393B" w14:textId="77777777" w:rsidR="00AA424D" w:rsidRPr="00AA424D" w:rsidRDefault="00AA424D" w:rsidP="00AA424D">
      <w:pPr>
        <w:spacing w:after="0" w:line="240" w:lineRule="auto"/>
        <w:jc w:val="left"/>
        <w:rPr>
          <w:rFonts w:ascii="Times New Roman" w:hAnsi="Times New Roman"/>
          <w:sz w:val="20"/>
        </w:rPr>
      </w:pPr>
      <w:r w:rsidRPr="00AA424D">
        <w:rPr>
          <w:rFonts w:ascii="Times New Roman" w:hAnsi="Times New Roman"/>
          <w:sz w:val="20"/>
        </w:rPr>
        <w:t>P.O. Box 11480</w:t>
      </w:r>
    </w:p>
    <w:p w14:paraId="1470472E" w14:textId="77777777" w:rsidR="00AA424D" w:rsidRPr="00AA424D" w:rsidRDefault="00AA424D" w:rsidP="00AA424D">
      <w:pPr>
        <w:spacing w:after="0" w:line="240" w:lineRule="auto"/>
        <w:jc w:val="left"/>
        <w:rPr>
          <w:rFonts w:ascii="Times New Roman" w:hAnsi="Times New Roman"/>
          <w:sz w:val="20"/>
        </w:rPr>
      </w:pPr>
      <w:r w:rsidRPr="00AA424D">
        <w:rPr>
          <w:rFonts w:ascii="Times New Roman" w:hAnsi="Times New Roman"/>
          <w:sz w:val="20"/>
        </w:rPr>
        <w:t>Beverly Hills, CA  90213</w:t>
      </w:r>
    </w:p>
    <w:p w14:paraId="326772C6" w14:textId="77777777" w:rsidR="00AA424D" w:rsidRPr="00AA424D" w:rsidRDefault="00AA424D" w:rsidP="00AA424D">
      <w:pPr>
        <w:spacing w:after="0" w:line="240" w:lineRule="auto"/>
        <w:jc w:val="left"/>
        <w:rPr>
          <w:rFonts w:ascii="Times New Roman" w:hAnsi="Times New Roman"/>
          <w:sz w:val="20"/>
        </w:rPr>
      </w:pPr>
      <w:r w:rsidRPr="00AA424D">
        <w:rPr>
          <w:rFonts w:ascii="Times New Roman" w:hAnsi="Times New Roman"/>
          <w:sz w:val="20"/>
        </w:rPr>
        <w:t>(310) 556-1001</w:t>
      </w:r>
    </w:p>
    <w:p w14:paraId="45AADF36" w14:textId="77777777" w:rsidR="00AA424D" w:rsidRPr="00AA424D" w:rsidRDefault="00AA424D" w:rsidP="00AA424D">
      <w:pPr>
        <w:spacing w:after="0" w:line="240" w:lineRule="auto"/>
        <w:jc w:val="left"/>
        <w:rPr>
          <w:rFonts w:ascii="Times New Roman" w:hAnsi="Times New Roman"/>
          <w:sz w:val="20"/>
        </w:rPr>
      </w:pPr>
    </w:p>
    <w:p w14:paraId="4741E6D2" w14:textId="77777777" w:rsidR="00AA424D" w:rsidRPr="00AA424D" w:rsidRDefault="00AA424D" w:rsidP="00AA424D">
      <w:pPr>
        <w:spacing w:after="0" w:line="240" w:lineRule="auto"/>
        <w:jc w:val="left"/>
        <w:rPr>
          <w:rFonts w:ascii="Times New Roman" w:hAnsi="Times New Roman"/>
          <w:sz w:val="20"/>
        </w:rPr>
      </w:pPr>
      <w:r w:rsidRPr="00AA424D">
        <w:rPr>
          <w:rFonts w:ascii="Times New Roman" w:hAnsi="Times New Roman"/>
          <w:sz w:val="20"/>
        </w:rPr>
        <w:t>Eric M. Schiffer</w:t>
      </w:r>
    </w:p>
    <w:p w14:paraId="4640D5B7" w14:textId="77777777" w:rsidR="00AA424D" w:rsidRPr="00AA424D" w:rsidRDefault="00AA424D" w:rsidP="00AA424D">
      <w:pPr>
        <w:spacing w:after="0" w:line="240" w:lineRule="auto"/>
        <w:jc w:val="left"/>
        <w:rPr>
          <w:rFonts w:ascii="Times New Roman" w:hAnsi="Times New Roman"/>
          <w:sz w:val="20"/>
        </w:rPr>
      </w:pPr>
      <w:r w:rsidRPr="00AA424D">
        <w:rPr>
          <w:rFonts w:ascii="Times New Roman" w:hAnsi="Times New Roman"/>
          <w:sz w:val="20"/>
        </w:rPr>
        <w:t xml:space="preserve">Schiffer &amp; </w:t>
      </w:r>
      <w:proofErr w:type="spellStart"/>
      <w:r w:rsidRPr="00AA424D">
        <w:rPr>
          <w:rFonts w:ascii="Times New Roman" w:hAnsi="Times New Roman"/>
          <w:sz w:val="20"/>
        </w:rPr>
        <w:t>Buus</w:t>
      </w:r>
      <w:proofErr w:type="spellEnd"/>
    </w:p>
    <w:p w14:paraId="405395A3" w14:textId="77777777" w:rsidR="00AA424D" w:rsidRPr="00AA424D" w:rsidRDefault="00AA424D" w:rsidP="00AA424D">
      <w:pPr>
        <w:spacing w:after="0" w:line="240" w:lineRule="auto"/>
        <w:jc w:val="left"/>
        <w:rPr>
          <w:rFonts w:ascii="Times New Roman" w:hAnsi="Times New Roman"/>
          <w:sz w:val="20"/>
        </w:rPr>
      </w:pPr>
      <w:r w:rsidRPr="00AA424D">
        <w:rPr>
          <w:rFonts w:ascii="Times New Roman" w:hAnsi="Times New Roman"/>
          <w:sz w:val="20"/>
        </w:rPr>
        <w:t>959 South Coast Drive, Suite 385</w:t>
      </w:r>
    </w:p>
    <w:p w14:paraId="61A064FB" w14:textId="77777777" w:rsidR="00AA424D" w:rsidRPr="00AA424D" w:rsidRDefault="00AA424D" w:rsidP="00AA424D">
      <w:pPr>
        <w:spacing w:after="0" w:line="240" w:lineRule="auto"/>
        <w:jc w:val="left"/>
        <w:rPr>
          <w:rFonts w:ascii="Times New Roman" w:hAnsi="Times New Roman"/>
          <w:sz w:val="20"/>
        </w:rPr>
      </w:pPr>
      <w:r w:rsidRPr="00AA424D">
        <w:rPr>
          <w:rFonts w:ascii="Times New Roman" w:hAnsi="Times New Roman"/>
          <w:sz w:val="20"/>
        </w:rPr>
        <w:t>Costa Mesa, CA  92626</w:t>
      </w:r>
    </w:p>
    <w:p w14:paraId="614ED80F" w14:textId="77777777" w:rsidR="00AA424D" w:rsidRPr="00AA424D" w:rsidRDefault="00AA424D" w:rsidP="00AA424D">
      <w:pPr>
        <w:spacing w:after="0" w:line="240" w:lineRule="auto"/>
        <w:jc w:val="left"/>
        <w:rPr>
          <w:rFonts w:ascii="Times New Roman" w:hAnsi="Times New Roman"/>
          <w:b/>
          <w:sz w:val="20"/>
        </w:rPr>
      </w:pPr>
      <w:r w:rsidRPr="00AA424D">
        <w:rPr>
          <w:rFonts w:ascii="Times New Roman" w:hAnsi="Times New Roman"/>
          <w:sz w:val="20"/>
        </w:rPr>
        <w:t>(949) 825-6140</w:t>
      </w:r>
    </w:p>
    <w:p w14:paraId="0807A697" w14:textId="77777777" w:rsidR="00AA424D" w:rsidRDefault="00AA424D" w:rsidP="006318F0">
      <w:pPr>
        <w:spacing w:after="0" w:line="240" w:lineRule="auto"/>
        <w:jc w:val="left"/>
        <w:rPr>
          <w:b/>
        </w:rPr>
      </w:pPr>
    </w:p>
    <w:sectPr w:rsidR="00AA424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017D9" w14:textId="77777777" w:rsidR="00B81711" w:rsidRDefault="00B81711">
      <w:r>
        <w:separator/>
      </w:r>
    </w:p>
  </w:endnote>
  <w:endnote w:type="continuationSeparator" w:id="0">
    <w:p w14:paraId="48D79424" w14:textId="77777777" w:rsidR="00B81711" w:rsidRDefault="00B8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C3A06" w14:textId="653C6DE1" w:rsidR="00837D27" w:rsidRDefault="00837D27">
    <w:pPr>
      <w:pStyle w:val="Footer"/>
    </w:pPr>
    <w:r>
      <w:fldChar w:fldCharType="begin"/>
    </w:r>
    <w:r>
      <w:instrText>PAGE</w:instrText>
    </w:r>
    <w:r>
      <w:fldChar w:fldCharType="separate"/>
    </w:r>
    <w:r w:rsidR="000C16CA">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F6D1C" w14:textId="77777777" w:rsidR="00E9547D" w:rsidRDefault="00E9547D">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8B06" w14:textId="77777777" w:rsidR="00F94142" w:rsidRDefault="00AA42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DD7ED" w14:textId="77777777" w:rsidR="00F94142" w:rsidRDefault="00AA42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35C45" w14:textId="77777777" w:rsidR="00F94142" w:rsidRDefault="00AA4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5CEAB" w14:textId="77777777" w:rsidR="00B81711" w:rsidRDefault="00B81711">
      <w:r>
        <w:separator/>
      </w:r>
    </w:p>
  </w:footnote>
  <w:footnote w:type="continuationSeparator" w:id="0">
    <w:p w14:paraId="2001801A" w14:textId="77777777" w:rsidR="00B81711" w:rsidRDefault="00B81711">
      <w:pPr>
        <w:rPr>
          <w:sz w:val="22"/>
        </w:rPr>
      </w:pPr>
      <w:r>
        <w:rPr>
          <w:sz w:val="22"/>
        </w:rPr>
        <w:continuationSeparator/>
      </w:r>
    </w:p>
    <w:p w14:paraId="749C2774" w14:textId="77777777" w:rsidR="00B81711" w:rsidRDefault="00B81711">
      <w:pPr>
        <w:rPr>
          <w:sz w:val="22"/>
        </w:rPr>
      </w:pPr>
    </w:p>
    <w:p w14:paraId="25A28E52" w14:textId="77777777" w:rsidR="00B81711" w:rsidRDefault="00B81711">
      <w:pPr>
        <w:rPr>
          <w:i/>
          <w:sz w:val="20"/>
        </w:rPr>
      </w:pPr>
      <w:r>
        <w:rPr>
          <w:i/>
          <w:sz w:val="20"/>
        </w:rPr>
        <w:t>(footnote continued from previous page)</w:t>
      </w:r>
    </w:p>
    <w:p w14:paraId="683A98F5" w14:textId="77777777" w:rsidR="00B81711" w:rsidRDefault="00B81711">
      <w:pPr>
        <w:rPr>
          <w:sz w:val="22"/>
        </w:rPr>
      </w:pPr>
    </w:p>
  </w:footnote>
  <w:footnote w:type="continuationNotice" w:id="1">
    <w:p w14:paraId="5B2ED0F4" w14:textId="77777777" w:rsidR="00B81711" w:rsidRDefault="00B81711">
      <w:pPr>
        <w:rPr>
          <w:i/>
          <w:sz w:val="22"/>
        </w:rPr>
      </w:pPr>
    </w:p>
    <w:p w14:paraId="2E130B57" w14:textId="77777777" w:rsidR="00B81711" w:rsidRDefault="00B81711">
      <w:pPr>
        <w:jc w:val="right"/>
        <w:rPr>
          <w:i/>
          <w:sz w:val="20"/>
        </w:rPr>
      </w:pPr>
      <w:r>
        <w:rPr>
          <w:i/>
          <w:sz w:val="20"/>
        </w:rPr>
        <w:t xml:space="preserve">(footnote </w:t>
      </w:r>
      <w:proofErr w:type="gramStart"/>
      <w:r>
        <w:rPr>
          <w:i/>
          <w:sz w:val="20"/>
        </w:rPr>
        <w:t>continued on</w:t>
      </w:r>
      <w:proofErr w:type="gramEnd"/>
      <w:r>
        <w:rPr>
          <w:i/>
          <w:sz w:val="20"/>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CDEC9" w14:textId="28076C33" w:rsidR="00E9547D" w:rsidRDefault="00E9547D">
    <w:pPr>
      <w:pStyle w:val="Header"/>
    </w:pPr>
    <w:r>
      <w:t>BLACK SKY CAPITAL, LLC v. COBB</w:t>
    </w:r>
  </w:p>
  <w:p w14:paraId="08C115C3" w14:textId="4C05909C" w:rsidR="00E9547D" w:rsidRDefault="00E9547D">
    <w:pPr>
      <w:pStyle w:val="Header"/>
    </w:pPr>
    <w:r>
      <w:t>Opinion of the Court by Liu, J.</w:t>
    </w:r>
  </w:p>
  <w:p w14:paraId="0C899DB2" w14:textId="77777777" w:rsidR="00E9547D" w:rsidRDefault="00E95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3A05A" w14:textId="77777777" w:rsidR="00F94142" w:rsidRDefault="00AA42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6600" w14:textId="77777777" w:rsidR="00F94142" w:rsidRDefault="00AA42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68724" w14:textId="77777777" w:rsidR="00F94142" w:rsidRDefault="00AA42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44E"/>
    <w:rsid w:val="00064FEE"/>
    <w:rsid w:val="00066A18"/>
    <w:rsid w:val="000808EE"/>
    <w:rsid w:val="0009432E"/>
    <w:rsid w:val="0009694A"/>
    <w:rsid w:val="000A5443"/>
    <w:rsid w:val="000B6A33"/>
    <w:rsid w:val="000B72A2"/>
    <w:rsid w:val="000C16CA"/>
    <w:rsid w:val="000E5C14"/>
    <w:rsid w:val="001048E5"/>
    <w:rsid w:val="00127794"/>
    <w:rsid w:val="00197B81"/>
    <w:rsid w:val="001A317A"/>
    <w:rsid w:val="001A350A"/>
    <w:rsid w:val="001B3B83"/>
    <w:rsid w:val="001C7A3D"/>
    <w:rsid w:val="001D0355"/>
    <w:rsid w:val="001D65D6"/>
    <w:rsid w:val="001E6768"/>
    <w:rsid w:val="001F37DD"/>
    <w:rsid w:val="00211EDA"/>
    <w:rsid w:val="0022796F"/>
    <w:rsid w:val="00253FEC"/>
    <w:rsid w:val="00262C14"/>
    <w:rsid w:val="002A091E"/>
    <w:rsid w:val="002D0242"/>
    <w:rsid w:val="002D1A51"/>
    <w:rsid w:val="002D4E42"/>
    <w:rsid w:val="003061E1"/>
    <w:rsid w:val="003926EE"/>
    <w:rsid w:val="003B4E0D"/>
    <w:rsid w:val="003C2B5F"/>
    <w:rsid w:val="003D7054"/>
    <w:rsid w:val="003E50E4"/>
    <w:rsid w:val="003E525C"/>
    <w:rsid w:val="00405478"/>
    <w:rsid w:val="0040622E"/>
    <w:rsid w:val="0041261F"/>
    <w:rsid w:val="00415A4E"/>
    <w:rsid w:val="00426973"/>
    <w:rsid w:val="00427CE9"/>
    <w:rsid w:val="00442AB4"/>
    <w:rsid w:val="00450A47"/>
    <w:rsid w:val="00452548"/>
    <w:rsid w:val="0046744E"/>
    <w:rsid w:val="00474911"/>
    <w:rsid w:val="004755B2"/>
    <w:rsid w:val="00484A4F"/>
    <w:rsid w:val="00491CB6"/>
    <w:rsid w:val="004921AB"/>
    <w:rsid w:val="004A5377"/>
    <w:rsid w:val="004D2DE7"/>
    <w:rsid w:val="004D58AA"/>
    <w:rsid w:val="004E09B9"/>
    <w:rsid w:val="004F7072"/>
    <w:rsid w:val="00505C40"/>
    <w:rsid w:val="00522B4A"/>
    <w:rsid w:val="0053722A"/>
    <w:rsid w:val="00555B1D"/>
    <w:rsid w:val="005573E7"/>
    <w:rsid w:val="00562448"/>
    <w:rsid w:val="00572B6A"/>
    <w:rsid w:val="00587FF4"/>
    <w:rsid w:val="00592F07"/>
    <w:rsid w:val="005B21CC"/>
    <w:rsid w:val="005C6307"/>
    <w:rsid w:val="005D0A5D"/>
    <w:rsid w:val="005D6322"/>
    <w:rsid w:val="005D7C88"/>
    <w:rsid w:val="005E0585"/>
    <w:rsid w:val="005E2A2B"/>
    <w:rsid w:val="005F4A1A"/>
    <w:rsid w:val="005F75D0"/>
    <w:rsid w:val="00607084"/>
    <w:rsid w:val="00625027"/>
    <w:rsid w:val="00626DD7"/>
    <w:rsid w:val="006318F0"/>
    <w:rsid w:val="006453AC"/>
    <w:rsid w:val="006463D0"/>
    <w:rsid w:val="0066395E"/>
    <w:rsid w:val="00686ED8"/>
    <w:rsid w:val="0069263A"/>
    <w:rsid w:val="006928C0"/>
    <w:rsid w:val="00697394"/>
    <w:rsid w:val="006C69CF"/>
    <w:rsid w:val="006E61FE"/>
    <w:rsid w:val="006E7C87"/>
    <w:rsid w:val="006F2B5A"/>
    <w:rsid w:val="006F5673"/>
    <w:rsid w:val="006F7AC8"/>
    <w:rsid w:val="007014E6"/>
    <w:rsid w:val="0072257A"/>
    <w:rsid w:val="00724B2E"/>
    <w:rsid w:val="00733D7A"/>
    <w:rsid w:val="0076610F"/>
    <w:rsid w:val="007751A5"/>
    <w:rsid w:val="0077571D"/>
    <w:rsid w:val="007772BD"/>
    <w:rsid w:val="00794929"/>
    <w:rsid w:val="007B4C54"/>
    <w:rsid w:val="007D614E"/>
    <w:rsid w:val="007E2659"/>
    <w:rsid w:val="007F6EFF"/>
    <w:rsid w:val="00822830"/>
    <w:rsid w:val="00826E50"/>
    <w:rsid w:val="00833E78"/>
    <w:rsid w:val="00837D27"/>
    <w:rsid w:val="00841DF7"/>
    <w:rsid w:val="00845405"/>
    <w:rsid w:val="008462E5"/>
    <w:rsid w:val="0085292E"/>
    <w:rsid w:val="00874E33"/>
    <w:rsid w:val="008A1757"/>
    <w:rsid w:val="008A20F6"/>
    <w:rsid w:val="008A34DF"/>
    <w:rsid w:val="008B30BA"/>
    <w:rsid w:val="008F05AA"/>
    <w:rsid w:val="008F739A"/>
    <w:rsid w:val="00900331"/>
    <w:rsid w:val="00900CE0"/>
    <w:rsid w:val="009118B5"/>
    <w:rsid w:val="00912E1F"/>
    <w:rsid w:val="00916CAD"/>
    <w:rsid w:val="009469CC"/>
    <w:rsid w:val="009620A8"/>
    <w:rsid w:val="009B7CBC"/>
    <w:rsid w:val="009E6130"/>
    <w:rsid w:val="00A102A5"/>
    <w:rsid w:val="00A12A88"/>
    <w:rsid w:val="00A1346C"/>
    <w:rsid w:val="00A1613C"/>
    <w:rsid w:val="00A451D8"/>
    <w:rsid w:val="00A55C0B"/>
    <w:rsid w:val="00A641A7"/>
    <w:rsid w:val="00A70651"/>
    <w:rsid w:val="00A70F8E"/>
    <w:rsid w:val="00A719F9"/>
    <w:rsid w:val="00A80357"/>
    <w:rsid w:val="00A8115B"/>
    <w:rsid w:val="00A92A25"/>
    <w:rsid w:val="00AA424D"/>
    <w:rsid w:val="00AB428E"/>
    <w:rsid w:val="00AB4E15"/>
    <w:rsid w:val="00AD1F9F"/>
    <w:rsid w:val="00AD3813"/>
    <w:rsid w:val="00AD525E"/>
    <w:rsid w:val="00AE0F58"/>
    <w:rsid w:val="00AF3089"/>
    <w:rsid w:val="00AF6A58"/>
    <w:rsid w:val="00B144D2"/>
    <w:rsid w:val="00B159EE"/>
    <w:rsid w:val="00B42F08"/>
    <w:rsid w:val="00B43C1F"/>
    <w:rsid w:val="00B460C4"/>
    <w:rsid w:val="00B51B67"/>
    <w:rsid w:val="00B67634"/>
    <w:rsid w:val="00B67C94"/>
    <w:rsid w:val="00B70621"/>
    <w:rsid w:val="00B73B69"/>
    <w:rsid w:val="00B81711"/>
    <w:rsid w:val="00B85EE2"/>
    <w:rsid w:val="00B9677B"/>
    <w:rsid w:val="00BB677A"/>
    <w:rsid w:val="00BD18CD"/>
    <w:rsid w:val="00BF7438"/>
    <w:rsid w:val="00C30F4A"/>
    <w:rsid w:val="00C42BE5"/>
    <w:rsid w:val="00CB652F"/>
    <w:rsid w:val="00CC71AB"/>
    <w:rsid w:val="00CE12B2"/>
    <w:rsid w:val="00D00C26"/>
    <w:rsid w:val="00D1540A"/>
    <w:rsid w:val="00D21290"/>
    <w:rsid w:val="00D461EB"/>
    <w:rsid w:val="00D81953"/>
    <w:rsid w:val="00D858EF"/>
    <w:rsid w:val="00DA7984"/>
    <w:rsid w:val="00DB2EE6"/>
    <w:rsid w:val="00DB3317"/>
    <w:rsid w:val="00DC38C2"/>
    <w:rsid w:val="00DD3946"/>
    <w:rsid w:val="00DE0B80"/>
    <w:rsid w:val="00DF430D"/>
    <w:rsid w:val="00DF5C58"/>
    <w:rsid w:val="00E146A7"/>
    <w:rsid w:val="00E26932"/>
    <w:rsid w:val="00E31C50"/>
    <w:rsid w:val="00E342BA"/>
    <w:rsid w:val="00E43F0A"/>
    <w:rsid w:val="00E50912"/>
    <w:rsid w:val="00E66B7C"/>
    <w:rsid w:val="00E82CF0"/>
    <w:rsid w:val="00E87D64"/>
    <w:rsid w:val="00E90D7F"/>
    <w:rsid w:val="00E91062"/>
    <w:rsid w:val="00E9547D"/>
    <w:rsid w:val="00EA4A58"/>
    <w:rsid w:val="00EC1ACB"/>
    <w:rsid w:val="00ED2A9D"/>
    <w:rsid w:val="00EE1857"/>
    <w:rsid w:val="00EF6590"/>
    <w:rsid w:val="00F159B0"/>
    <w:rsid w:val="00F37833"/>
    <w:rsid w:val="00F51C22"/>
    <w:rsid w:val="00F972BB"/>
    <w:rsid w:val="00FA600E"/>
    <w:rsid w:val="00FA6402"/>
    <w:rsid w:val="00FB2A20"/>
    <w:rsid w:val="00FC3CDB"/>
    <w:rsid w:val="00FE0C8C"/>
    <w:rsid w:val="00FE0DF7"/>
    <w:rsid w:val="00FE2ECD"/>
    <w:rsid w:val="00FF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7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47D"/>
    <w:pPr>
      <w:spacing w:after="100" w:line="400" w:lineRule="exact"/>
      <w:jc w:val="both"/>
    </w:pPr>
    <w:rPr>
      <w:rFonts w:ascii="Century Schoolbook" w:hAnsi="Century Schoolbook"/>
      <w:sz w:val="27"/>
    </w:rPr>
  </w:style>
  <w:style w:type="paragraph" w:styleId="Heading1">
    <w:name w:val="heading 1"/>
    <w:basedOn w:val="Normal"/>
    <w:next w:val="Normal"/>
    <w:qFormat/>
    <w:rsid w:val="00E9547D"/>
    <w:pPr>
      <w:keepNext/>
      <w:spacing w:before="140" w:line="240" w:lineRule="atLeast"/>
      <w:jc w:val="center"/>
      <w:outlineLvl w:val="0"/>
    </w:pPr>
    <w:rPr>
      <w:b/>
      <w:smallCaps/>
    </w:rPr>
  </w:style>
  <w:style w:type="paragraph" w:styleId="Heading2">
    <w:name w:val="heading 2"/>
    <w:basedOn w:val="Normal"/>
    <w:next w:val="Normal"/>
    <w:qFormat/>
    <w:rsid w:val="00E9547D"/>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E9547D"/>
    <w:pPr>
      <w:keepNext/>
      <w:tabs>
        <w:tab w:val="left" w:pos="1584"/>
      </w:tabs>
      <w:spacing w:before="140" w:line="240" w:lineRule="atLeast"/>
      <w:ind w:left="1584" w:hanging="432"/>
      <w:jc w:val="left"/>
      <w:outlineLvl w:val="2"/>
    </w:pPr>
    <w:rPr>
      <w:i/>
    </w:rPr>
  </w:style>
  <w:style w:type="paragraph" w:styleId="Heading4">
    <w:name w:val="heading 4"/>
    <w:basedOn w:val="Normal"/>
    <w:rsid w:val="00E9547D"/>
    <w:pPr>
      <w:keepNext/>
      <w:tabs>
        <w:tab w:val="left" w:pos="2016"/>
      </w:tabs>
      <w:spacing w:before="140" w:line="240" w:lineRule="atLeast"/>
      <w:ind w:left="2016" w:hanging="432"/>
      <w:jc w:val="left"/>
      <w:outlineLvl w:val="3"/>
    </w:pPr>
    <w:rPr>
      <w:i/>
    </w:rPr>
  </w:style>
  <w:style w:type="paragraph" w:styleId="Heading5">
    <w:name w:val="heading 5"/>
    <w:basedOn w:val="Normal"/>
    <w:rsid w:val="00E9547D"/>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E9547D"/>
    <w:pPr>
      <w:ind w:left="720"/>
    </w:pPr>
  </w:style>
  <w:style w:type="paragraph" w:styleId="Footer">
    <w:name w:val="footer"/>
    <w:basedOn w:val="Normal"/>
    <w:qFormat/>
    <w:rsid w:val="00E9547D"/>
    <w:pPr>
      <w:tabs>
        <w:tab w:val="center" w:pos="3960"/>
        <w:tab w:val="right" w:pos="10080"/>
      </w:tabs>
      <w:spacing w:after="0" w:line="240" w:lineRule="auto"/>
      <w:jc w:val="center"/>
    </w:pPr>
    <w:rPr>
      <w:sz w:val="22"/>
    </w:rPr>
  </w:style>
  <w:style w:type="paragraph" w:styleId="Header">
    <w:name w:val="header"/>
    <w:basedOn w:val="Normal"/>
    <w:qFormat/>
    <w:rsid w:val="00E9547D"/>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E9547D"/>
    <w:rPr>
      <w:rFonts w:ascii="Century Schoolbook" w:hAnsi="Century Schoolbook"/>
      <w:b/>
      <w:i w:val="0"/>
      <w:position w:val="4"/>
      <w:sz w:val="27"/>
      <w:vertAlign w:val="superscript"/>
    </w:rPr>
  </w:style>
  <w:style w:type="paragraph" w:styleId="FootnoteText">
    <w:name w:val="footnote text"/>
    <w:basedOn w:val="Normal"/>
    <w:rsid w:val="00E9547D"/>
    <w:pPr>
      <w:spacing w:line="300" w:lineRule="exact"/>
    </w:pPr>
  </w:style>
  <w:style w:type="paragraph" w:customStyle="1" w:styleId="Title1">
    <w:name w:val="Title1"/>
    <w:basedOn w:val="Normal"/>
    <w:rsid w:val="00E9547D"/>
    <w:pPr>
      <w:tabs>
        <w:tab w:val="left" w:pos="5760"/>
        <w:tab w:val="left" w:pos="6480"/>
      </w:tabs>
      <w:spacing w:line="240" w:lineRule="atLeast"/>
    </w:pPr>
  </w:style>
  <w:style w:type="paragraph" w:customStyle="1" w:styleId="Recommend">
    <w:name w:val="Recommend"/>
    <w:basedOn w:val="Normal"/>
    <w:rsid w:val="00E9547D"/>
  </w:style>
  <w:style w:type="paragraph" w:customStyle="1" w:styleId="Summary">
    <w:name w:val="Summary"/>
    <w:basedOn w:val="Normal"/>
    <w:rsid w:val="00E9547D"/>
    <w:pPr>
      <w:ind w:left="2160" w:hanging="2160"/>
    </w:pPr>
  </w:style>
  <w:style w:type="paragraph" w:customStyle="1" w:styleId="Text">
    <w:name w:val="Text"/>
    <w:basedOn w:val="Normal"/>
    <w:rsid w:val="00E9547D"/>
    <w:pPr>
      <w:tabs>
        <w:tab w:val="left" w:pos="720"/>
        <w:tab w:val="left" w:pos="1440"/>
        <w:tab w:val="left" w:pos="2160"/>
        <w:tab w:val="center" w:pos="4320"/>
      </w:tabs>
      <w:spacing w:line="480" w:lineRule="atLeast"/>
      <w:ind w:firstLine="540"/>
    </w:pPr>
  </w:style>
  <w:style w:type="paragraph" w:styleId="Date">
    <w:name w:val="Date"/>
    <w:basedOn w:val="Normal"/>
    <w:semiHidden/>
    <w:rsid w:val="00E9547D"/>
    <w:pPr>
      <w:jc w:val="right"/>
    </w:pPr>
  </w:style>
  <w:style w:type="character" w:styleId="PageNumber">
    <w:name w:val="page number"/>
    <w:basedOn w:val="DefaultParagraphFont"/>
    <w:rsid w:val="00E9547D"/>
  </w:style>
  <w:style w:type="paragraph" w:customStyle="1" w:styleId="subject">
    <w:name w:val="subject"/>
    <w:basedOn w:val="Normal"/>
    <w:rsid w:val="00E9547D"/>
    <w:pPr>
      <w:tabs>
        <w:tab w:val="left" w:pos="1008"/>
      </w:tabs>
      <w:ind w:left="990" w:hanging="990"/>
    </w:pPr>
    <w:rPr>
      <w:b/>
    </w:rPr>
  </w:style>
  <w:style w:type="paragraph" w:customStyle="1" w:styleId="Titles">
    <w:name w:val="Titles"/>
    <w:basedOn w:val="Normal"/>
    <w:rsid w:val="00E9547D"/>
    <w:pPr>
      <w:tabs>
        <w:tab w:val="left" w:pos="2160"/>
      </w:tabs>
      <w:ind w:left="2160" w:hanging="2160"/>
    </w:pPr>
    <w:rPr>
      <w:b/>
    </w:rPr>
  </w:style>
  <w:style w:type="paragraph" w:styleId="TOAHeading">
    <w:name w:val="toa heading"/>
    <w:basedOn w:val="Normal"/>
    <w:next w:val="Normal"/>
    <w:semiHidden/>
    <w:rsid w:val="00E9547D"/>
    <w:pPr>
      <w:spacing w:before="120"/>
    </w:pPr>
    <w:rPr>
      <w:b/>
    </w:rPr>
  </w:style>
  <w:style w:type="paragraph" w:styleId="TOC1">
    <w:name w:val="toc 1"/>
    <w:basedOn w:val="Normal"/>
    <w:next w:val="Normal"/>
    <w:autoRedefine/>
    <w:semiHidden/>
    <w:rsid w:val="00E9547D"/>
  </w:style>
  <w:style w:type="paragraph" w:styleId="TOC2">
    <w:name w:val="toc 2"/>
    <w:basedOn w:val="Normal"/>
    <w:next w:val="Normal"/>
    <w:autoRedefine/>
    <w:semiHidden/>
    <w:rsid w:val="00E9547D"/>
    <w:pPr>
      <w:ind w:left="259"/>
    </w:pPr>
  </w:style>
  <w:style w:type="paragraph" w:styleId="TOC3">
    <w:name w:val="toc 3"/>
    <w:basedOn w:val="Normal"/>
    <w:next w:val="Normal"/>
    <w:autoRedefine/>
    <w:semiHidden/>
    <w:rsid w:val="00E9547D"/>
    <w:pPr>
      <w:ind w:left="520"/>
    </w:pPr>
  </w:style>
  <w:style w:type="paragraph" w:styleId="TOC4">
    <w:name w:val="toc 4"/>
    <w:basedOn w:val="Normal"/>
    <w:next w:val="Normal"/>
    <w:autoRedefine/>
    <w:semiHidden/>
    <w:rsid w:val="00E9547D"/>
    <w:pPr>
      <w:ind w:left="780"/>
    </w:pPr>
  </w:style>
  <w:style w:type="paragraph" w:styleId="TOC5">
    <w:name w:val="toc 5"/>
    <w:basedOn w:val="Normal"/>
    <w:next w:val="Normal"/>
    <w:autoRedefine/>
    <w:semiHidden/>
    <w:rsid w:val="00E9547D"/>
    <w:pPr>
      <w:ind w:left="1040"/>
    </w:pPr>
  </w:style>
  <w:style w:type="paragraph" w:styleId="TOC6">
    <w:name w:val="toc 6"/>
    <w:basedOn w:val="Normal"/>
    <w:next w:val="Normal"/>
    <w:autoRedefine/>
    <w:semiHidden/>
    <w:rsid w:val="00E9547D"/>
    <w:pPr>
      <w:ind w:left="1300"/>
    </w:pPr>
  </w:style>
  <w:style w:type="paragraph" w:styleId="TOC7">
    <w:name w:val="toc 7"/>
    <w:basedOn w:val="Normal"/>
    <w:next w:val="Normal"/>
    <w:autoRedefine/>
    <w:semiHidden/>
    <w:rsid w:val="00E9547D"/>
    <w:pPr>
      <w:ind w:left="1560"/>
    </w:pPr>
  </w:style>
  <w:style w:type="paragraph" w:styleId="TOC8">
    <w:name w:val="toc 8"/>
    <w:basedOn w:val="Normal"/>
    <w:next w:val="Normal"/>
    <w:autoRedefine/>
    <w:semiHidden/>
    <w:rsid w:val="00E9547D"/>
    <w:pPr>
      <w:ind w:left="1820"/>
    </w:pPr>
  </w:style>
  <w:style w:type="paragraph" w:styleId="TOC9">
    <w:name w:val="toc 9"/>
    <w:basedOn w:val="Normal"/>
    <w:next w:val="Normal"/>
    <w:autoRedefine/>
    <w:semiHidden/>
    <w:rsid w:val="00E9547D"/>
    <w:pPr>
      <w:ind w:left="2080"/>
    </w:pPr>
  </w:style>
  <w:style w:type="paragraph" w:customStyle="1" w:styleId="Contents">
    <w:name w:val="Contents"/>
    <w:basedOn w:val="Normal"/>
    <w:rsid w:val="00E9547D"/>
    <w:pPr>
      <w:jc w:val="center"/>
    </w:pPr>
    <w:rPr>
      <w:b/>
      <w:spacing w:val="100"/>
    </w:rPr>
  </w:style>
  <w:style w:type="character" w:styleId="CommentReference">
    <w:name w:val="annotation reference"/>
    <w:basedOn w:val="DefaultParagraphFont"/>
    <w:uiPriority w:val="99"/>
    <w:semiHidden/>
    <w:unhideWhenUsed/>
    <w:rsid w:val="00E31C50"/>
    <w:rPr>
      <w:sz w:val="16"/>
      <w:szCs w:val="16"/>
    </w:rPr>
  </w:style>
  <w:style w:type="paragraph" w:styleId="CommentText">
    <w:name w:val="annotation text"/>
    <w:basedOn w:val="Normal"/>
    <w:link w:val="CommentTextChar"/>
    <w:uiPriority w:val="99"/>
    <w:unhideWhenUsed/>
    <w:rsid w:val="00E31C50"/>
    <w:rPr>
      <w:sz w:val="20"/>
    </w:rPr>
  </w:style>
  <w:style w:type="character" w:customStyle="1" w:styleId="CommentTextChar">
    <w:name w:val="Comment Text Char"/>
    <w:basedOn w:val="DefaultParagraphFont"/>
    <w:link w:val="CommentText"/>
    <w:uiPriority w:val="99"/>
    <w:rsid w:val="00E31C50"/>
  </w:style>
  <w:style w:type="paragraph" w:styleId="CommentSubject">
    <w:name w:val="annotation subject"/>
    <w:basedOn w:val="CommentText"/>
    <w:next w:val="CommentText"/>
    <w:link w:val="CommentSubjectChar"/>
    <w:uiPriority w:val="99"/>
    <w:semiHidden/>
    <w:unhideWhenUsed/>
    <w:rsid w:val="00E31C50"/>
    <w:rPr>
      <w:b/>
      <w:bCs/>
    </w:rPr>
  </w:style>
  <w:style w:type="character" w:customStyle="1" w:styleId="CommentSubjectChar">
    <w:name w:val="Comment Subject Char"/>
    <w:basedOn w:val="CommentTextChar"/>
    <w:link w:val="CommentSubject"/>
    <w:uiPriority w:val="99"/>
    <w:semiHidden/>
    <w:rsid w:val="00E31C50"/>
    <w:rPr>
      <w:b/>
      <w:bCs/>
    </w:rPr>
  </w:style>
  <w:style w:type="paragraph" w:styleId="BalloonText">
    <w:name w:val="Balloon Text"/>
    <w:basedOn w:val="Normal"/>
    <w:link w:val="BalloonTextChar"/>
    <w:uiPriority w:val="99"/>
    <w:semiHidden/>
    <w:unhideWhenUsed/>
    <w:rsid w:val="00E31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C50"/>
    <w:rPr>
      <w:rFonts w:ascii="Segoe UI" w:hAnsi="Segoe UI" w:cs="Segoe UI"/>
      <w:sz w:val="18"/>
      <w:szCs w:val="18"/>
    </w:rPr>
  </w:style>
  <w:style w:type="character" w:styleId="Hyperlink">
    <w:name w:val="Hyperlink"/>
    <w:basedOn w:val="DefaultParagraphFont"/>
    <w:uiPriority w:val="99"/>
    <w:semiHidden/>
    <w:unhideWhenUsed/>
    <w:rsid w:val="00A641A7"/>
    <w:rPr>
      <w:color w:val="0000FF"/>
      <w:u w:val="single"/>
    </w:rPr>
  </w:style>
  <w:style w:type="paragraph" w:styleId="BodyText">
    <w:name w:val="Body Text"/>
    <w:basedOn w:val="Normal"/>
    <w:link w:val="BodyTextChar"/>
    <w:qFormat/>
    <w:rsid w:val="00E9547D"/>
  </w:style>
  <w:style w:type="character" w:customStyle="1" w:styleId="BodyTextChar">
    <w:name w:val="Body Text Char"/>
    <w:basedOn w:val="DefaultParagraphFont"/>
    <w:link w:val="BodyText"/>
    <w:rsid w:val="00E9547D"/>
    <w:rPr>
      <w:rFonts w:ascii="Century Schoolbook" w:hAnsi="Century Schoolbook"/>
      <w:sz w:val="27"/>
    </w:rPr>
  </w:style>
  <w:style w:type="character" w:styleId="FollowedHyperlink">
    <w:name w:val="FollowedHyperlink"/>
    <w:basedOn w:val="DefaultParagraphFont"/>
    <w:uiPriority w:val="99"/>
    <w:semiHidden/>
    <w:unhideWhenUsed/>
    <w:rsid w:val="00B51B67"/>
    <w:rPr>
      <w:color w:val="800080" w:themeColor="followedHyperlink"/>
      <w:u w:val="single"/>
    </w:rPr>
  </w:style>
  <w:style w:type="paragraph" w:styleId="NormalWeb">
    <w:name w:val="Normal (Web)"/>
    <w:basedOn w:val="Normal"/>
    <w:uiPriority w:val="99"/>
    <w:unhideWhenUsed/>
    <w:rsid w:val="00A12A88"/>
    <w:pPr>
      <w:spacing w:before="100" w:beforeAutospacing="1" w:afterAutospacing="1" w:line="240" w:lineRule="auto"/>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733">
      <w:bodyDiv w:val="1"/>
      <w:marLeft w:val="0"/>
      <w:marRight w:val="0"/>
      <w:marTop w:val="0"/>
      <w:marBottom w:val="0"/>
      <w:divBdr>
        <w:top w:val="none" w:sz="0" w:space="0" w:color="auto"/>
        <w:left w:val="none" w:sz="0" w:space="0" w:color="auto"/>
        <w:bottom w:val="none" w:sz="0" w:space="0" w:color="auto"/>
        <w:right w:val="none" w:sz="0" w:space="0" w:color="auto"/>
      </w:divBdr>
      <w:divsChild>
        <w:div w:id="912810001">
          <w:marLeft w:val="0"/>
          <w:marRight w:val="0"/>
          <w:marTop w:val="0"/>
          <w:marBottom w:val="0"/>
          <w:divBdr>
            <w:top w:val="none" w:sz="0" w:space="0" w:color="auto"/>
            <w:left w:val="none" w:sz="0" w:space="0" w:color="auto"/>
            <w:bottom w:val="none" w:sz="0" w:space="0" w:color="auto"/>
            <w:right w:val="none" w:sz="0" w:space="0" w:color="auto"/>
          </w:divBdr>
          <w:divsChild>
            <w:div w:id="950863320">
              <w:marLeft w:val="0"/>
              <w:marRight w:val="0"/>
              <w:marTop w:val="0"/>
              <w:marBottom w:val="0"/>
              <w:divBdr>
                <w:top w:val="none" w:sz="0" w:space="0" w:color="auto"/>
                <w:left w:val="none" w:sz="0" w:space="0" w:color="auto"/>
                <w:bottom w:val="none" w:sz="0" w:space="0" w:color="auto"/>
                <w:right w:val="none" w:sz="0" w:space="0" w:color="auto"/>
              </w:divBdr>
              <w:divsChild>
                <w:div w:id="13033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1314">
      <w:bodyDiv w:val="1"/>
      <w:marLeft w:val="0"/>
      <w:marRight w:val="0"/>
      <w:marTop w:val="0"/>
      <w:marBottom w:val="0"/>
      <w:divBdr>
        <w:top w:val="none" w:sz="0" w:space="0" w:color="auto"/>
        <w:left w:val="none" w:sz="0" w:space="0" w:color="auto"/>
        <w:bottom w:val="none" w:sz="0" w:space="0" w:color="auto"/>
        <w:right w:val="none" w:sz="0" w:space="0" w:color="auto"/>
      </w:divBdr>
      <w:divsChild>
        <w:div w:id="331375496">
          <w:marLeft w:val="0"/>
          <w:marRight w:val="0"/>
          <w:marTop w:val="0"/>
          <w:marBottom w:val="0"/>
          <w:divBdr>
            <w:top w:val="none" w:sz="0" w:space="0" w:color="auto"/>
            <w:left w:val="none" w:sz="0" w:space="0" w:color="auto"/>
            <w:bottom w:val="none" w:sz="0" w:space="0" w:color="auto"/>
            <w:right w:val="none" w:sz="0" w:space="0" w:color="auto"/>
          </w:divBdr>
          <w:divsChild>
            <w:div w:id="2063822012">
              <w:marLeft w:val="0"/>
              <w:marRight w:val="0"/>
              <w:marTop w:val="0"/>
              <w:marBottom w:val="0"/>
              <w:divBdr>
                <w:top w:val="none" w:sz="0" w:space="0" w:color="auto"/>
                <w:left w:val="none" w:sz="0" w:space="0" w:color="auto"/>
                <w:bottom w:val="none" w:sz="0" w:space="0" w:color="auto"/>
                <w:right w:val="none" w:sz="0" w:space="0" w:color="auto"/>
              </w:divBdr>
              <w:divsChild>
                <w:div w:id="18520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9825">
      <w:bodyDiv w:val="1"/>
      <w:marLeft w:val="0"/>
      <w:marRight w:val="0"/>
      <w:marTop w:val="0"/>
      <w:marBottom w:val="0"/>
      <w:divBdr>
        <w:top w:val="none" w:sz="0" w:space="0" w:color="auto"/>
        <w:left w:val="none" w:sz="0" w:space="0" w:color="auto"/>
        <w:bottom w:val="none" w:sz="0" w:space="0" w:color="auto"/>
        <w:right w:val="none" w:sz="0" w:space="0" w:color="auto"/>
      </w:divBdr>
      <w:divsChild>
        <w:div w:id="1262227073">
          <w:marLeft w:val="0"/>
          <w:marRight w:val="0"/>
          <w:marTop w:val="0"/>
          <w:marBottom w:val="0"/>
          <w:divBdr>
            <w:top w:val="none" w:sz="0" w:space="0" w:color="auto"/>
            <w:left w:val="none" w:sz="0" w:space="0" w:color="auto"/>
            <w:bottom w:val="none" w:sz="0" w:space="0" w:color="auto"/>
            <w:right w:val="none" w:sz="0" w:space="0" w:color="auto"/>
          </w:divBdr>
          <w:divsChild>
            <w:div w:id="1408572557">
              <w:marLeft w:val="0"/>
              <w:marRight w:val="0"/>
              <w:marTop w:val="0"/>
              <w:marBottom w:val="0"/>
              <w:divBdr>
                <w:top w:val="none" w:sz="0" w:space="0" w:color="auto"/>
                <w:left w:val="none" w:sz="0" w:space="0" w:color="auto"/>
                <w:bottom w:val="none" w:sz="0" w:space="0" w:color="auto"/>
                <w:right w:val="none" w:sz="0" w:space="0" w:color="auto"/>
              </w:divBdr>
              <w:divsChild>
                <w:div w:id="8980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975046">
      <w:bodyDiv w:val="1"/>
      <w:marLeft w:val="0"/>
      <w:marRight w:val="0"/>
      <w:marTop w:val="0"/>
      <w:marBottom w:val="0"/>
      <w:divBdr>
        <w:top w:val="none" w:sz="0" w:space="0" w:color="auto"/>
        <w:left w:val="none" w:sz="0" w:space="0" w:color="auto"/>
        <w:bottom w:val="none" w:sz="0" w:space="0" w:color="auto"/>
        <w:right w:val="none" w:sz="0" w:space="0" w:color="auto"/>
      </w:divBdr>
    </w:div>
    <w:div w:id="462817101">
      <w:bodyDiv w:val="1"/>
      <w:marLeft w:val="0"/>
      <w:marRight w:val="0"/>
      <w:marTop w:val="0"/>
      <w:marBottom w:val="0"/>
      <w:divBdr>
        <w:top w:val="none" w:sz="0" w:space="0" w:color="auto"/>
        <w:left w:val="none" w:sz="0" w:space="0" w:color="auto"/>
        <w:bottom w:val="none" w:sz="0" w:space="0" w:color="auto"/>
        <w:right w:val="none" w:sz="0" w:space="0" w:color="auto"/>
      </w:divBdr>
    </w:div>
    <w:div w:id="525169730">
      <w:bodyDiv w:val="1"/>
      <w:marLeft w:val="0"/>
      <w:marRight w:val="0"/>
      <w:marTop w:val="0"/>
      <w:marBottom w:val="0"/>
      <w:divBdr>
        <w:top w:val="none" w:sz="0" w:space="0" w:color="auto"/>
        <w:left w:val="none" w:sz="0" w:space="0" w:color="auto"/>
        <w:bottom w:val="none" w:sz="0" w:space="0" w:color="auto"/>
        <w:right w:val="none" w:sz="0" w:space="0" w:color="auto"/>
      </w:divBdr>
    </w:div>
    <w:div w:id="587080749">
      <w:bodyDiv w:val="1"/>
      <w:marLeft w:val="0"/>
      <w:marRight w:val="0"/>
      <w:marTop w:val="0"/>
      <w:marBottom w:val="0"/>
      <w:divBdr>
        <w:top w:val="none" w:sz="0" w:space="0" w:color="auto"/>
        <w:left w:val="none" w:sz="0" w:space="0" w:color="auto"/>
        <w:bottom w:val="none" w:sz="0" w:space="0" w:color="auto"/>
        <w:right w:val="none" w:sz="0" w:space="0" w:color="auto"/>
      </w:divBdr>
    </w:div>
    <w:div w:id="769467930">
      <w:bodyDiv w:val="1"/>
      <w:marLeft w:val="0"/>
      <w:marRight w:val="0"/>
      <w:marTop w:val="0"/>
      <w:marBottom w:val="0"/>
      <w:divBdr>
        <w:top w:val="none" w:sz="0" w:space="0" w:color="auto"/>
        <w:left w:val="none" w:sz="0" w:space="0" w:color="auto"/>
        <w:bottom w:val="none" w:sz="0" w:space="0" w:color="auto"/>
        <w:right w:val="none" w:sz="0" w:space="0" w:color="auto"/>
      </w:divBdr>
    </w:div>
    <w:div w:id="773095042">
      <w:bodyDiv w:val="1"/>
      <w:marLeft w:val="0"/>
      <w:marRight w:val="0"/>
      <w:marTop w:val="0"/>
      <w:marBottom w:val="0"/>
      <w:divBdr>
        <w:top w:val="none" w:sz="0" w:space="0" w:color="auto"/>
        <w:left w:val="none" w:sz="0" w:space="0" w:color="auto"/>
        <w:bottom w:val="none" w:sz="0" w:space="0" w:color="auto"/>
        <w:right w:val="none" w:sz="0" w:space="0" w:color="auto"/>
      </w:divBdr>
    </w:div>
    <w:div w:id="1522473721">
      <w:bodyDiv w:val="1"/>
      <w:marLeft w:val="0"/>
      <w:marRight w:val="0"/>
      <w:marTop w:val="0"/>
      <w:marBottom w:val="0"/>
      <w:divBdr>
        <w:top w:val="none" w:sz="0" w:space="0" w:color="auto"/>
        <w:left w:val="none" w:sz="0" w:space="0" w:color="auto"/>
        <w:bottom w:val="none" w:sz="0" w:space="0" w:color="auto"/>
        <w:right w:val="none" w:sz="0" w:space="0" w:color="auto"/>
      </w:divBdr>
    </w:div>
    <w:div w:id="1613053844">
      <w:bodyDiv w:val="1"/>
      <w:marLeft w:val="0"/>
      <w:marRight w:val="0"/>
      <w:marTop w:val="0"/>
      <w:marBottom w:val="0"/>
      <w:divBdr>
        <w:top w:val="none" w:sz="0" w:space="0" w:color="auto"/>
        <w:left w:val="none" w:sz="0" w:space="0" w:color="auto"/>
        <w:bottom w:val="none" w:sz="0" w:space="0" w:color="auto"/>
        <w:right w:val="none" w:sz="0" w:space="0" w:color="auto"/>
      </w:divBdr>
    </w:div>
    <w:div w:id="1871187144">
      <w:bodyDiv w:val="1"/>
      <w:marLeft w:val="0"/>
      <w:marRight w:val="0"/>
      <w:marTop w:val="0"/>
      <w:marBottom w:val="0"/>
      <w:divBdr>
        <w:top w:val="none" w:sz="0" w:space="0" w:color="auto"/>
        <w:left w:val="none" w:sz="0" w:space="0" w:color="auto"/>
        <w:bottom w:val="none" w:sz="0" w:space="0" w:color="auto"/>
        <w:right w:val="none" w:sz="0" w:space="0" w:color="auto"/>
      </w:divBdr>
    </w:div>
    <w:div w:id="213779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3897</Words>
  <Characters>19699</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2019-05-03T20:53:00Z</cp:lastPrinted>
  <dcterms:created xsi:type="dcterms:W3CDTF">2019-05-03T20:59:00Z</dcterms:created>
  <dcterms:modified xsi:type="dcterms:W3CDTF">2019-05-03T20:59:00Z</dcterms:modified>
</cp:coreProperties>
</file>