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32" w:rsidRDefault="009917E6" w:rsidP="009917E6">
      <w:pPr>
        <w:tabs>
          <w:tab w:val="left" w:pos="1440"/>
          <w:tab w:val="left" w:pos="4680"/>
          <w:tab w:val="center" w:pos="7200"/>
        </w:tabs>
        <w:spacing w:after="0"/>
        <w:jc w:val="center"/>
        <w:rPr>
          <w:sz w:val="36"/>
        </w:rPr>
      </w:pPr>
      <w:r>
        <w:rPr>
          <w:b/>
          <w:sz w:val="36"/>
        </w:rPr>
        <w:t>IN THE SUPREME COURT OF CALIFORNIA</w:t>
      </w:r>
    </w:p>
    <w:p w:rsidR="009917E6" w:rsidRDefault="009917E6" w:rsidP="009917E6">
      <w:pPr>
        <w:tabs>
          <w:tab w:val="left" w:pos="1440"/>
          <w:tab w:val="left" w:pos="4680"/>
          <w:tab w:val="center" w:pos="7200"/>
        </w:tabs>
        <w:spacing w:after="0"/>
        <w:jc w:val="center"/>
      </w:pPr>
    </w:p>
    <w:p w:rsidR="009917E6" w:rsidRDefault="009917E6" w:rsidP="009917E6">
      <w:pPr>
        <w:tabs>
          <w:tab w:val="left" w:pos="1440"/>
          <w:tab w:val="left" w:pos="4680"/>
          <w:tab w:val="center" w:pos="7200"/>
        </w:tabs>
        <w:spacing w:after="0"/>
        <w:jc w:val="center"/>
      </w:pPr>
      <w:r>
        <w:t xml:space="preserve">EUGENE G. PLANTIER, as Trustee, </w:t>
      </w:r>
      <w:proofErr w:type="gramStart"/>
      <w:r>
        <w:t>etc.</w:t>
      </w:r>
      <w:proofErr w:type="gramEnd"/>
      <w:r>
        <w:t>, et al.,</w:t>
      </w:r>
    </w:p>
    <w:p w:rsidR="009917E6" w:rsidRDefault="009917E6" w:rsidP="009917E6">
      <w:pPr>
        <w:tabs>
          <w:tab w:val="left" w:pos="1440"/>
          <w:tab w:val="left" w:pos="4680"/>
          <w:tab w:val="center" w:pos="7200"/>
        </w:tabs>
        <w:spacing w:after="0"/>
        <w:jc w:val="center"/>
      </w:pPr>
      <w:r>
        <w:t>Plaintiffs and Appellants,</w:t>
      </w:r>
    </w:p>
    <w:p w:rsidR="009917E6" w:rsidRDefault="009917E6" w:rsidP="009917E6">
      <w:pPr>
        <w:tabs>
          <w:tab w:val="left" w:pos="1440"/>
          <w:tab w:val="left" w:pos="4680"/>
          <w:tab w:val="center" w:pos="7200"/>
        </w:tabs>
        <w:spacing w:after="0"/>
        <w:jc w:val="center"/>
      </w:pPr>
      <w:r>
        <w:t>v.</w:t>
      </w:r>
    </w:p>
    <w:p w:rsidR="009917E6" w:rsidRDefault="009917E6" w:rsidP="009917E6">
      <w:pPr>
        <w:tabs>
          <w:tab w:val="left" w:pos="1440"/>
          <w:tab w:val="left" w:pos="4680"/>
          <w:tab w:val="center" w:pos="7200"/>
        </w:tabs>
        <w:spacing w:after="0"/>
        <w:jc w:val="center"/>
      </w:pPr>
      <w:r>
        <w:t>RAMONA MUNICIPAL WATER DISTRICT,</w:t>
      </w:r>
    </w:p>
    <w:p w:rsidR="009917E6" w:rsidRDefault="009917E6" w:rsidP="009917E6">
      <w:pPr>
        <w:tabs>
          <w:tab w:val="left" w:pos="1440"/>
          <w:tab w:val="left" w:pos="4680"/>
          <w:tab w:val="center" w:pos="7200"/>
        </w:tabs>
        <w:spacing w:after="0"/>
        <w:jc w:val="center"/>
      </w:pPr>
      <w:r>
        <w:t>Defendant and Respondent.</w:t>
      </w:r>
    </w:p>
    <w:p w:rsidR="009917E6" w:rsidRDefault="009917E6" w:rsidP="009917E6">
      <w:pPr>
        <w:tabs>
          <w:tab w:val="left" w:pos="1440"/>
          <w:tab w:val="left" w:pos="4680"/>
          <w:tab w:val="center" w:pos="7200"/>
        </w:tabs>
        <w:spacing w:after="0"/>
        <w:jc w:val="center"/>
      </w:pPr>
    </w:p>
    <w:p w:rsidR="009917E6" w:rsidRDefault="009917E6" w:rsidP="009917E6">
      <w:pPr>
        <w:tabs>
          <w:tab w:val="left" w:pos="1440"/>
          <w:tab w:val="left" w:pos="4680"/>
          <w:tab w:val="center" w:pos="7200"/>
        </w:tabs>
        <w:spacing w:after="0"/>
        <w:jc w:val="center"/>
      </w:pPr>
      <w:r>
        <w:t>S243360</w:t>
      </w:r>
    </w:p>
    <w:p w:rsidR="009917E6" w:rsidRDefault="009917E6" w:rsidP="009917E6">
      <w:pPr>
        <w:tabs>
          <w:tab w:val="left" w:pos="1440"/>
          <w:tab w:val="left" w:pos="4680"/>
          <w:tab w:val="center" w:pos="7200"/>
        </w:tabs>
        <w:spacing w:after="0"/>
        <w:jc w:val="center"/>
      </w:pPr>
    </w:p>
    <w:p w:rsidR="00D9100F" w:rsidRDefault="009917E6" w:rsidP="003A5A38">
      <w:pPr>
        <w:tabs>
          <w:tab w:val="left" w:pos="1440"/>
          <w:tab w:val="left" w:pos="4680"/>
          <w:tab w:val="center" w:pos="7200"/>
        </w:tabs>
        <w:spacing w:after="0"/>
        <w:jc w:val="center"/>
      </w:pPr>
      <w:r>
        <w:t>Fourth Appellate District, Division One</w:t>
      </w:r>
    </w:p>
    <w:p w:rsidR="009917E6" w:rsidRDefault="009917E6" w:rsidP="009917E6">
      <w:pPr>
        <w:tabs>
          <w:tab w:val="left" w:pos="1440"/>
          <w:tab w:val="left" w:pos="4680"/>
          <w:tab w:val="center" w:pos="7200"/>
        </w:tabs>
        <w:spacing w:after="0"/>
        <w:jc w:val="center"/>
      </w:pPr>
      <w:r>
        <w:t>D069798</w:t>
      </w:r>
    </w:p>
    <w:p w:rsidR="009917E6" w:rsidRDefault="009917E6" w:rsidP="009917E6">
      <w:pPr>
        <w:tabs>
          <w:tab w:val="left" w:pos="1440"/>
          <w:tab w:val="left" w:pos="4680"/>
          <w:tab w:val="center" w:pos="7200"/>
        </w:tabs>
        <w:spacing w:after="0"/>
        <w:jc w:val="center"/>
      </w:pPr>
    </w:p>
    <w:p w:rsidR="009917E6" w:rsidRDefault="009917E6" w:rsidP="009917E6">
      <w:pPr>
        <w:tabs>
          <w:tab w:val="left" w:pos="1440"/>
          <w:tab w:val="left" w:pos="4680"/>
          <w:tab w:val="center" w:pos="7200"/>
        </w:tabs>
        <w:spacing w:after="0"/>
        <w:jc w:val="center"/>
      </w:pPr>
      <w:r>
        <w:t>San Diego County Superior Court</w:t>
      </w:r>
    </w:p>
    <w:p w:rsidR="009917E6" w:rsidRDefault="009917E6" w:rsidP="009917E6">
      <w:pPr>
        <w:tabs>
          <w:tab w:val="left" w:pos="1440"/>
          <w:tab w:val="left" w:pos="4680"/>
          <w:tab w:val="center" w:pos="7200"/>
        </w:tabs>
        <w:spacing w:after="0"/>
        <w:jc w:val="center"/>
      </w:pPr>
      <w:r>
        <w:t>37-2014-00083195-CU-BT-CTL</w:t>
      </w:r>
    </w:p>
    <w:p w:rsidR="009917E6" w:rsidRDefault="009917E6" w:rsidP="009917E6">
      <w:pPr>
        <w:pBdr>
          <w:bottom w:val="single" w:sz="4" w:space="1" w:color="auto"/>
        </w:pBdr>
        <w:tabs>
          <w:tab w:val="left" w:pos="1440"/>
          <w:tab w:val="left" w:pos="4680"/>
          <w:tab w:val="center" w:pos="7200"/>
        </w:tabs>
        <w:spacing w:after="0"/>
        <w:jc w:val="center"/>
      </w:pPr>
    </w:p>
    <w:p w:rsidR="009917E6" w:rsidRDefault="009917E6" w:rsidP="009917E6">
      <w:pPr>
        <w:tabs>
          <w:tab w:val="left" w:pos="1440"/>
          <w:tab w:val="left" w:pos="4680"/>
          <w:tab w:val="center" w:pos="7200"/>
        </w:tabs>
        <w:spacing w:after="0"/>
        <w:jc w:val="center"/>
      </w:pPr>
    </w:p>
    <w:p w:rsidR="004424B6" w:rsidRDefault="001867CC" w:rsidP="004424B6">
      <w:pPr>
        <w:tabs>
          <w:tab w:val="left" w:pos="1440"/>
          <w:tab w:val="left" w:pos="4680"/>
          <w:tab w:val="center" w:pos="7200"/>
        </w:tabs>
        <w:spacing w:after="0"/>
        <w:jc w:val="center"/>
      </w:pPr>
      <w:r>
        <w:t>May 30</w:t>
      </w:r>
      <w:r w:rsidR="004424B6">
        <w:t>, 2019</w:t>
      </w:r>
    </w:p>
    <w:p w:rsidR="004424B6" w:rsidRDefault="004424B6" w:rsidP="004424B6">
      <w:pPr>
        <w:tabs>
          <w:tab w:val="left" w:pos="1440"/>
          <w:tab w:val="left" w:pos="4680"/>
          <w:tab w:val="center" w:pos="7200"/>
        </w:tabs>
        <w:spacing w:after="0"/>
        <w:jc w:val="center"/>
      </w:pPr>
    </w:p>
    <w:p w:rsidR="004424B6" w:rsidRDefault="004424B6" w:rsidP="004424B6">
      <w:pPr>
        <w:tabs>
          <w:tab w:val="left" w:pos="1440"/>
          <w:tab w:val="left" w:pos="4680"/>
          <w:tab w:val="center" w:pos="7200"/>
        </w:tabs>
        <w:spacing w:after="0"/>
        <w:jc w:val="left"/>
      </w:pPr>
      <w:r>
        <w:t xml:space="preserve">Justice Corrigan authored the opinion of the court, in which </w:t>
      </w:r>
      <w:r w:rsidR="001867CC">
        <w:t>Chief Justice Cantil-Sakauye and Justices Chin, Liu, Cuéllar, Kruger, and Groban</w:t>
      </w:r>
      <w:r>
        <w:t xml:space="preserve"> concurred.</w:t>
      </w:r>
    </w:p>
    <w:p w:rsidR="009917E6" w:rsidRPr="009917E6" w:rsidRDefault="009917E6" w:rsidP="009917E6">
      <w:pPr>
        <w:pBdr>
          <w:bottom w:val="single" w:sz="4" w:space="1" w:color="auto"/>
        </w:pBdr>
        <w:tabs>
          <w:tab w:val="left" w:pos="1440"/>
          <w:tab w:val="left" w:pos="4680"/>
          <w:tab w:val="center" w:pos="7200"/>
        </w:tabs>
        <w:spacing w:line="480" w:lineRule="atLeast"/>
        <w:jc w:val="left"/>
      </w:pPr>
      <w:bookmarkStart w:id="0" w:name="Return"/>
      <w:bookmarkEnd w:id="0"/>
    </w:p>
    <w:p w:rsidR="009917E6" w:rsidRDefault="009917E6">
      <w:pPr>
        <w:tabs>
          <w:tab w:val="left" w:pos="1440"/>
          <w:tab w:val="left" w:pos="4680"/>
          <w:tab w:val="center" w:pos="7200"/>
        </w:tabs>
        <w:spacing w:line="480" w:lineRule="atLeast"/>
        <w:sectPr w:rsidR="009917E6" w:rsidSect="009917E6">
          <w:headerReference w:type="default" r:id="rId7"/>
          <w:footerReference w:type="default" r:id="rId8"/>
          <w:pgSz w:w="12240" w:h="15840"/>
          <w:pgMar w:top="1800" w:right="2160" w:bottom="1440" w:left="2160" w:header="720" w:footer="720" w:gutter="0"/>
          <w:cols w:space="720"/>
          <w:titlePg/>
          <w:docGrid w:linePitch="367"/>
        </w:sectPr>
      </w:pPr>
    </w:p>
    <w:p w:rsidR="009917E6" w:rsidRDefault="009917E6" w:rsidP="009917E6">
      <w:pPr>
        <w:tabs>
          <w:tab w:val="left" w:pos="1440"/>
          <w:tab w:val="left" w:pos="4680"/>
          <w:tab w:val="center" w:pos="7200"/>
        </w:tabs>
        <w:jc w:val="center"/>
      </w:pPr>
      <w:r>
        <w:lastRenderedPageBreak/>
        <w:t>PLANTIER</w:t>
      </w:r>
      <w:r w:rsidR="00DE0E71">
        <w:t xml:space="preserve"> </w:t>
      </w:r>
      <w:r>
        <w:t>v. RAMONA MUNICIPAL WATER DISTRICT</w:t>
      </w:r>
    </w:p>
    <w:p w:rsidR="009917E6" w:rsidRDefault="009917E6" w:rsidP="009917E6">
      <w:pPr>
        <w:tabs>
          <w:tab w:val="left" w:pos="1440"/>
          <w:tab w:val="left" w:pos="4680"/>
          <w:tab w:val="center" w:pos="7200"/>
        </w:tabs>
        <w:jc w:val="center"/>
      </w:pPr>
      <w:r>
        <w:t>S243360</w:t>
      </w:r>
    </w:p>
    <w:p w:rsidR="009917E6" w:rsidRDefault="009917E6" w:rsidP="009917E6">
      <w:pPr>
        <w:tabs>
          <w:tab w:val="left" w:pos="1440"/>
          <w:tab w:val="left" w:pos="4680"/>
          <w:tab w:val="center" w:pos="7200"/>
        </w:tabs>
        <w:jc w:val="center"/>
      </w:pPr>
    </w:p>
    <w:p w:rsidR="009917E6" w:rsidRDefault="009917E6" w:rsidP="009917E6">
      <w:pPr>
        <w:tabs>
          <w:tab w:val="left" w:pos="1440"/>
          <w:tab w:val="left" w:pos="4680"/>
          <w:tab w:val="center" w:pos="7200"/>
        </w:tabs>
        <w:jc w:val="center"/>
      </w:pPr>
      <w:r>
        <w:t>Opinion of the Court by Corrigan, J.</w:t>
      </w:r>
    </w:p>
    <w:p w:rsidR="009917E6" w:rsidRPr="009917E6" w:rsidRDefault="009917E6" w:rsidP="009917E6">
      <w:pPr>
        <w:tabs>
          <w:tab w:val="left" w:pos="1440"/>
          <w:tab w:val="left" w:pos="4680"/>
          <w:tab w:val="center" w:pos="7200"/>
        </w:tabs>
        <w:jc w:val="center"/>
      </w:pPr>
    </w:p>
    <w:p w:rsidR="00C347FB" w:rsidRPr="009917E6" w:rsidRDefault="00EE37AF" w:rsidP="00EF1A01">
      <w:pPr>
        <w:tabs>
          <w:tab w:val="left" w:pos="1440"/>
        </w:tabs>
        <w:ind w:firstLine="720"/>
      </w:pPr>
      <w:bookmarkStart w:id="1" w:name="mainstory"/>
      <w:bookmarkEnd w:id="1"/>
      <w:r w:rsidRPr="009917E6">
        <w:t xml:space="preserve">Before a local governmental agency may impose or increase certain property-related fees and charges, </w:t>
      </w:r>
      <w:r w:rsidR="004F569D">
        <w:t>it</w:t>
      </w:r>
      <w:r w:rsidR="00962C13" w:rsidRPr="009917E6">
        <w:t xml:space="preserve"> must </w:t>
      </w:r>
      <w:r w:rsidR="00DD2757">
        <w:t>notify</w:t>
      </w:r>
      <w:r w:rsidRPr="009917E6">
        <w:t xml:space="preserve"> affected property owners and hold a public hearing</w:t>
      </w:r>
      <w:r w:rsidR="00645179" w:rsidRPr="009917E6">
        <w:t xml:space="preserve">.  </w:t>
      </w:r>
      <w:r w:rsidR="00801498" w:rsidRPr="009917E6">
        <w:t>The</w:t>
      </w:r>
      <w:r w:rsidR="00645179" w:rsidRPr="009917E6">
        <w:t xml:space="preserve"> hearing requirement arises </w:t>
      </w:r>
      <w:r w:rsidR="00DD2757">
        <w:t>from</w:t>
      </w:r>
      <w:r w:rsidR="00645179" w:rsidRPr="009917E6">
        <w:t xml:space="preserve"> </w:t>
      </w:r>
      <w:r w:rsidR="00962C13" w:rsidRPr="009917E6">
        <w:t>article XIII D</w:t>
      </w:r>
      <w:r w:rsidR="00C073DF" w:rsidRPr="009917E6">
        <w:t>, section 6</w:t>
      </w:r>
      <w:r w:rsidR="00962C13" w:rsidRPr="009917E6">
        <w:t xml:space="preserve"> of the California Constitution</w:t>
      </w:r>
      <w:r w:rsidR="00D81C08" w:rsidRPr="009917E6">
        <w:t>,</w:t>
      </w:r>
      <w:r w:rsidR="00645179" w:rsidRPr="009917E6">
        <w:rPr>
          <w:rStyle w:val="FootnoteReference"/>
        </w:rPr>
        <w:footnoteReference w:id="2"/>
      </w:r>
      <w:r w:rsidR="00D81C08" w:rsidRPr="009917E6">
        <w:t xml:space="preserve"> </w:t>
      </w:r>
      <w:r w:rsidR="00645179" w:rsidRPr="009917E6">
        <w:t>which</w:t>
      </w:r>
      <w:r w:rsidR="00BC30A1" w:rsidRPr="009917E6">
        <w:t xml:space="preserve"> was added </w:t>
      </w:r>
      <w:r w:rsidR="00645179" w:rsidRPr="009917E6">
        <w:t>i</w:t>
      </w:r>
      <w:r w:rsidR="00BC30A1" w:rsidRPr="009917E6">
        <w:t>n 1996 by Proposition</w:t>
      </w:r>
      <w:r w:rsidR="0078296A">
        <w:t> </w:t>
      </w:r>
      <w:r w:rsidR="00BC30A1" w:rsidRPr="009917E6">
        <w:t>218</w:t>
      </w:r>
      <w:r w:rsidR="00153904" w:rsidRPr="009917E6">
        <w:t>.</w:t>
      </w:r>
      <w:r w:rsidR="00801498" w:rsidRPr="009917E6">
        <w:rPr>
          <w:rStyle w:val="FootnoteReference"/>
        </w:rPr>
        <w:footnoteReference w:id="3"/>
      </w:r>
      <w:r w:rsidR="0020519A" w:rsidRPr="009917E6">
        <w:t xml:space="preserve">  T</w:t>
      </w:r>
      <w:r w:rsidR="00801498" w:rsidRPr="009917E6">
        <w:t xml:space="preserve">he question </w:t>
      </w:r>
      <w:r w:rsidRPr="009917E6">
        <w:t xml:space="preserve">here </w:t>
      </w:r>
      <w:r w:rsidR="00017E7D">
        <w:t>is</w:t>
      </w:r>
      <w:r w:rsidR="00795242">
        <w:t xml:space="preserve"> a narrow one.  When</w:t>
      </w:r>
      <w:r w:rsidR="00234922">
        <w:t xml:space="preserve"> an agency considers increasing a property-related fee, must a fee payor </w:t>
      </w:r>
      <w:proofErr w:type="gramStart"/>
      <w:r w:rsidR="00234922">
        <w:t>challenging</w:t>
      </w:r>
      <w:proofErr w:type="gramEnd"/>
      <w:r w:rsidR="00234922">
        <w:t xml:space="preserve"> the </w:t>
      </w:r>
      <w:r w:rsidR="00234922" w:rsidRPr="00795242">
        <w:rPr>
          <w:i/>
        </w:rPr>
        <w:t>method</w:t>
      </w:r>
      <w:r w:rsidR="00234922">
        <w:t xml:space="preserve"> of fee </w:t>
      </w:r>
      <w:r w:rsidR="00795242">
        <w:t>allocation</w:t>
      </w:r>
      <w:r w:rsidR="00234922">
        <w:t xml:space="preserve"> first exhaust</w:t>
      </w:r>
      <w:r w:rsidR="00017E7D">
        <w:t xml:space="preserve"> “administrative remedies” by participating in a </w:t>
      </w:r>
      <w:r w:rsidR="00E322B0">
        <w:t>Proposition 218 hearing</w:t>
      </w:r>
      <w:r w:rsidR="00795242">
        <w:t xml:space="preserve"> that addresses only a proposed </w:t>
      </w:r>
      <w:r w:rsidR="00795242" w:rsidRPr="00795242">
        <w:rPr>
          <w:i/>
        </w:rPr>
        <w:t>rate</w:t>
      </w:r>
      <w:r w:rsidR="00795242">
        <w:t xml:space="preserve"> increase</w:t>
      </w:r>
      <w:r w:rsidR="00234922">
        <w:t>?  The answer is no.</w:t>
      </w:r>
      <w:r w:rsidR="00EF1A01">
        <w:t xml:space="preserve">  </w:t>
      </w:r>
      <w:r w:rsidR="00F30509">
        <w:t xml:space="preserve">Even if a Proposition 218 hearing could be considered an administrative remedy, </w:t>
      </w:r>
      <w:r w:rsidR="00EF1A01">
        <w:t xml:space="preserve">it would not provide an adequate remedy for a challenge to the method used to </w:t>
      </w:r>
      <w:r w:rsidR="00795242">
        <w:t>allocate</w:t>
      </w:r>
      <w:r w:rsidR="00EF1A01">
        <w:t xml:space="preserve"> the fee</w:t>
      </w:r>
      <w:r w:rsidR="00795242">
        <w:t xml:space="preserve"> burde</w:t>
      </w:r>
      <w:r w:rsidR="00E84BC1">
        <w:t>n in this case</w:t>
      </w:r>
      <w:r w:rsidR="00883D9E">
        <w:t>.</w:t>
      </w:r>
    </w:p>
    <w:p w:rsidR="00B96D1D" w:rsidRPr="009917E6" w:rsidRDefault="00B96D1D" w:rsidP="00444907">
      <w:pPr>
        <w:keepNext/>
        <w:tabs>
          <w:tab w:val="left" w:pos="1440"/>
        </w:tabs>
        <w:jc w:val="center"/>
      </w:pPr>
      <w:r w:rsidRPr="009917E6">
        <w:t>I.  BACKGROUND</w:t>
      </w:r>
    </w:p>
    <w:p w:rsidR="00962C13" w:rsidRPr="009917E6" w:rsidRDefault="00962C13" w:rsidP="009917E6">
      <w:pPr>
        <w:tabs>
          <w:tab w:val="left" w:pos="1440"/>
        </w:tabs>
        <w:ind w:firstLine="720"/>
      </w:pPr>
      <w:r w:rsidRPr="009917E6">
        <w:t xml:space="preserve">The </w:t>
      </w:r>
      <w:r w:rsidR="00D01BD4" w:rsidRPr="009917E6">
        <w:t xml:space="preserve">representative </w:t>
      </w:r>
      <w:r w:rsidRPr="009917E6">
        <w:t xml:space="preserve">plaintiffs in this </w:t>
      </w:r>
      <w:r w:rsidR="00D01BD4" w:rsidRPr="009917E6">
        <w:t xml:space="preserve">class </w:t>
      </w:r>
      <w:r w:rsidRPr="009917E6">
        <w:t>action are co</w:t>
      </w:r>
      <w:r w:rsidR="00DD00E1" w:rsidRPr="009917E6">
        <w:t>mmercial property owners seeking</w:t>
      </w:r>
      <w:r w:rsidR="00946782" w:rsidRPr="009917E6">
        <w:t xml:space="preserve"> to invalidate a wastewater service charge</w:t>
      </w:r>
      <w:r w:rsidRPr="009917E6">
        <w:t xml:space="preserve"> imposed by the Ramona Municipal Water District </w:t>
      </w:r>
      <w:r w:rsidRPr="009917E6">
        <w:lastRenderedPageBreak/>
        <w:t>(the District)</w:t>
      </w:r>
      <w:r w:rsidR="00FF7CB1">
        <w:t>.  T</w:t>
      </w:r>
      <w:r w:rsidR="00DE5399" w:rsidRPr="009917E6">
        <w:t xml:space="preserve">hey claim the </w:t>
      </w:r>
      <w:r w:rsidR="00711548" w:rsidRPr="009917E6">
        <w:t xml:space="preserve">District’s </w:t>
      </w:r>
      <w:r w:rsidR="00DE5399" w:rsidRPr="009917E6">
        <w:rPr>
          <w:i/>
        </w:rPr>
        <w:t xml:space="preserve">method </w:t>
      </w:r>
      <w:r w:rsidR="00DE5399" w:rsidRPr="009F04C9">
        <w:t xml:space="preserve">for calculating the charge </w:t>
      </w:r>
      <w:r w:rsidRPr="009917E6">
        <w:t xml:space="preserve">violates one of the substantive requirements of </w:t>
      </w:r>
      <w:r w:rsidR="00907AB8" w:rsidRPr="009917E6">
        <w:t>Proposition</w:t>
      </w:r>
      <w:r w:rsidR="0016565B">
        <w:t> </w:t>
      </w:r>
      <w:r w:rsidR="00907AB8" w:rsidRPr="009917E6">
        <w:t>218</w:t>
      </w:r>
      <w:r w:rsidRPr="009917E6">
        <w:t>.</w:t>
      </w:r>
      <w:r w:rsidR="00FF7CB1">
        <w:t xml:space="preserve">  </w:t>
      </w:r>
      <w:r w:rsidR="00131859" w:rsidRPr="009917E6">
        <w:t xml:space="preserve">The District contends the suit is barred because the plaintiffs </w:t>
      </w:r>
      <w:r w:rsidR="00345364">
        <w:t>failed to</w:t>
      </w:r>
      <w:r w:rsidR="00131859" w:rsidRPr="009917E6">
        <w:t xml:space="preserve"> </w:t>
      </w:r>
      <w:r w:rsidR="00363CAA" w:rsidRPr="009917E6">
        <w:t xml:space="preserve">exhaust </w:t>
      </w:r>
      <w:r w:rsidR="00131859" w:rsidRPr="009917E6">
        <w:t xml:space="preserve">administrative remedies by raising their challenge at public hearings </w:t>
      </w:r>
      <w:r w:rsidR="00345364">
        <w:t xml:space="preserve">on proposed increases to the </w:t>
      </w:r>
      <w:r w:rsidR="00345364">
        <w:rPr>
          <w:i/>
        </w:rPr>
        <w:t xml:space="preserve">rate </w:t>
      </w:r>
      <w:r w:rsidR="00345364">
        <w:t>charged for services</w:t>
      </w:r>
      <w:r w:rsidR="00131859" w:rsidRPr="009917E6">
        <w:t>.</w:t>
      </w:r>
      <w:r w:rsidR="00FF7CB1">
        <w:t xml:space="preserve">  </w:t>
      </w:r>
      <w:r w:rsidR="00345364">
        <w:t>T</w:t>
      </w:r>
      <w:r w:rsidR="006F5151" w:rsidRPr="009917E6">
        <w:t xml:space="preserve">he trial court agreed with the </w:t>
      </w:r>
      <w:proofErr w:type="gramStart"/>
      <w:r w:rsidR="006F5151" w:rsidRPr="009917E6">
        <w:t>District</w:t>
      </w:r>
      <w:proofErr w:type="gramEnd"/>
      <w:r w:rsidR="006F5151" w:rsidRPr="009917E6">
        <w:t xml:space="preserve"> but the Court of Appeal reversed and allow</w:t>
      </w:r>
      <w:r w:rsidR="00D91F7B" w:rsidRPr="009917E6">
        <w:t>ed the action to proceed.</w:t>
      </w:r>
    </w:p>
    <w:p w:rsidR="002768E5" w:rsidRPr="009917E6" w:rsidRDefault="002768E5" w:rsidP="009917E6">
      <w:pPr>
        <w:keepNext/>
        <w:tabs>
          <w:tab w:val="left" w:pos="1440"/>
        </w:tabs>
        <w:ind w:firstLine="720"/>
      </w:pPr>
      <w:r w:rsidRPr="009917E6">
        <w:t>A.</w:t>
      </w:r>
      <w:r w:rsidRPr="009917E6">
        <w:tab/>
      </w:r>
      <w:r w:rsidRPr="009917E6">
        <w:rPr>
          <w:i/>
        </w:rPr>
        <w:t>The District’</w:t>
      </w:r>
      <w:r w:rsidR="009778C1" w:rsidRPr="009917E6">
        <w:rPr>
          <w:i/>
        </w:rPr>
        <w:t>s Wastewater Service Charge</w:t>
      </w:r>
    </w:p>
    <w:p w:rsidR="00196385" w:rsidRPr="009917E6" w:rsidRDefault="002768E5" w:rsidP="009917E6">
      <w:pPr>
        <w:tabs>
          <w:tab w:val="left" w:pos="1440"/>
        </w:tabs>
        <w:ind w:firstLine="720"/>
      </w:pPr>
      <w:r w:rsidRPr="009917E6">
        <w:t>The District</w:t>
      </w:r>
      <w:r w:rsidR="008E4474" w:rsidRPr="009917E6">
        <w:t xml:space="preserve"> </w:t>
      </w:r>
      <w:r w:rsidR="00B41552" w:rsidRPr="009917E6">
        <w:t xml:space="preserve">provides water and wastewater (sewer) services </w:t>
      </w:r>
      <w:r w:rsidR="00AD4453" w:rsidRPr="009917E6">
        <w:t>to</w:t>
      </w:r>
      <w:r w:rsidR="00884678" w:rsidRPr="009917E6">
        <w:t xml:space="preserve"> </w:t>
      </w:r>
      <w:r w:rsidR="00B541A2" w:rsidRPr="009917E6">
        <w:t>businesses and residents in an unincorporated area of San Diego County.</w:t>
      </w:r>
      <w:r w:rsidR="00FF7CB1">
        <w:t xml:space="preserve">  </w:t>
      </w:r>
      <w:r w:rsidR="005E5DD2" w:rsidRPr="009917E6">
        <w:t>It operates two wastewater treatment plants</w:t>
      </w:r>
      <w:r w:rsidR="004C759D" w:rsidRPr="009917E6">
        <w:t xml:space="preserve"> that together serve</w:t>
      </w:r>
      <w:r w:rsidR="00884678" w:rsidRPr="009917E6">
        <w:t xml:space="preserve"> at least 6,891 parcels</w:t>
      </w:r>
      <w:r w:rsidR="005E5DD2" w:rsidRPr="009917E6">
        <w:t>.</w:t>
      </w:r>
    </w:p>
    <w:p w:rsidR="00F23B97" w:rsidRPr="009917E6" w:rsidRDefault="00CC6428" w:rsidP="008A66E7">
      <w:pPr>
        <w:tabs>
          <w:tab w:val="left" w:pos="1440"/>
        </w:tabs>
        <w:ind w:firstLine="720"/>
      </w:pPr>
      <w:r w:rsidRPr="009917E6">
        <w:t xml:space="preserve">The </w:t>
      </w:r>
      <w:r w:rsidR="002F2811" w:rsidRPr="009917E6">
        <w:t xml:space="preserve">District </w:t>
      </w:r>
      <w:r w:rsidR="008F783A" w:rsidRPr="009917E6">
        <w:t>is organized under th</w:t>
      </w:r>
      <w:r w:rsidR="00D12A30" w:rsidRPr="009917E6">
        <w:t xml:space="preserve">e Municipal Water District </w:t>
      </w:r>
      <w:r w:rsidR="003A5A38">
        <w:t>Law of 1911</w:t>
      </w:r>
      <w:r w:rsidR="008F783A" w:rsidRPr="009917E6">
        <w:t xml:space="preserve"> (Wat</w:t>
      </w:r>
      <w:proofErr w:type="gramStart"/>
      <w:r w:rsidR="008F783A" w:rsidRPr="009917E6">
        <w:t xml:space="preserve">. </w:t>
      </w:r>
      <w:proofErr w:type="gramEnd"/>
      <w:r w:rsidR="008F783A" w:rsidRPr="009917E6">
        <w:t>Code, § 7100</w:t>
      </w:r>
      <w:r w:rsidR="00F44CEB" w:rsidRPr="009917E6">
        <w:t>0</w:t>
      </w:r>
      <w:r w:rsidR="008F783A" w:rsidRPr="009917E6">
        <w:t xml:space="preserve"> et seq.)</w:t>
      </w:r>
      <w:r w:rsidR="00363CAA" w:rsidRPr="009917E6">
        <w:t xml:space="preserve"> and is authorized to</w:t>
      </w:r>
      <w:r w:rsidR="002F2811" w:rsidRPr="009917E6">
        <w:t xml:space="preserve"> set, revise, and collect charges f</w:t>
      </w:r>
      <w:r w:rsidR="00D12A30" w:rsidRPr="009917E6">
        <w:t>or services.  (Wat</w:t>
      </w:r>
      <w:proofErr w:type="gramStart"/>
      <w:r w:rsidR="00D12A30" w:rsidRPr="009917E6">
        <w:t xml:space="preserve">. </w:t>
      </w:r>
      <w:proofErr w:type="gramEnd"/>
      <w:r w:rsidR="002F2811" w:rsidRPr="009917E6">
        <w:t>Code, § 71670.)</w:t>
      </w:r>
      <w:r w:rsidR="00FF7CB1">
        <w:t xml:space="preserve">  </w:t>
      </w:r>
      <w:r w:rsidR="009B2177" w:rsidRPr="009917E6">
        <w:t>Under</w:t>
      </w:r>
      <w:r w:rsidRPr="009917E6">
        <w:t xml:space="preserve"> the District’s legis</w:t>
      </w:r>
      <w:r w:rsidR="009B2177" w:rsidRPr="009917E6">
        <w:t xml:space="preserve">lative code, </w:t>
      </w:r>
      <w:r w:rsidR="00312632">
        <w:t>sewer</w:t>
      </w:r>
      <w:r w:rsidR="009B2177" w:rsidRPr="009917E6">
        <w:t xml:space="preserve"> </w:t>
      </w:r>
      <w:r w:rsidRPr="009917E6">
        <w:t xml:space="preserve">charges are </w:t>
      </w:r>
      <w:r w:rsidR="009B2177" w:rsidRPr="009917E6">
        <w:t>based on a</w:t>
      </w:r>
      <w:r w:rsidR="0011019E" w:rsidRPr="009917E6">
        <w:t xml:space="preserve">n “Equivalent Dwelling Unit” (EDU) </w:t>
      </w:r>
      <w:r w:rsidR="00312632">
        <w:t>method</w:t>
      </w:r>
      <w:r w:rsidR="000005B3" w:rsidRPr="009917E6">
        <w:t>.</w:t>
      </w:r>
      <w:r w:rsidR="00FF7CB1">
        <w:t xml:space="preserve">  </w:t>
      </w:r>
      <w:r w:rsidR="00B34E78" w:rsidRPr="009917E6">
        <w:t xml:space="preserve">An EDU </w:t>
      </w:r>
      <w:r w:rsidR="003A46D7" w:rsidRPr="009917E6">
        <w:t xml:space="preserve">is a measure that equates to 200 gallons </w:t>
      </w:r>
      <w:r w:rsidR="009B2177" w:rsidRPr="009917E6">
        <w:t>of daily sewage</w:t>
      </w:r>
      <w:r w:rsidR="00B34E78" w:rsidRPr="009917E6">
        <w:t>.</w:t>
      </w:r>
      <w:r w:rsidR="00FF7CB1">
        <w:t xml:space="preserve">  </w:t>
      </w:r>
      <w:r w:rsidR="00AF3C98">
        <w:t xml:space="preserve">The EDU assignment method is used to allocate fees proportionally to different parcels that require greater or lesser services.  </w:t>
      </w:r>
      <w:r w:rsidR="00F23B97" w:rsidRPr="009917E6">
        <w:t>Most s</w:t>
      </w:r>
      <w:r w:rsidR="00D62BA4" w:rsidRPr="009917E6">
        <w:t xml:space="preserve">ingle-family homes are assigned one EDU, as is each dwelling unit </w:t>
      </w:r>
      <w:r w:rsidR="009B2177" w:rsidRPr="009917E6">
        <w:t>in a c</w:t>
      </w:r>
      <w:r w:rsidR="006F5151" w:rsidRPr="009917E6">
        <w:t>ondominium or townhouse</w:t>
      </w:r>
      <w:r w:rsidR="00D62BA4" w:rsidRPr="009917E6">
        <w:t>.</w:t>
      </w:r>
      <w:r w:rsidR="00FF7CB1">
        <w:t xml:space="preserve">  </w:t>
      </w:r>
      <w:r w:rsidR="009B2177" w:rsidRPr="009917E6">
        <w:t>C</w:t>
      </w:r>
      <w:r w:rsidR="009C4F2D" w:rsidRPr="009917E6">
        <w:t xml:space="preserve">ommercial parcels </w:t>
      </w:r>
      <w:r w:rsidR="009B2177" w:rsidRPr="009917E6">
        <w:t xml:space="preserve">are assigned EDUs by a schedule </w:t>
      </w:r>
      <w:r w:rsidR="009C4F2D" w:rsidRPr="009917E6">
        <w:t>containing over 20 catego</w:t>
      </w:r>
      <w:r w:rsidR="009B2177" w:rsidRPr="009917E6">
        <w:t>ries of commercial properties, like</w:t>
      </w:r>
      <w:r w:rsidR="009C4F2D" w:rsidRPr="009917E6">
        <w:t xml:space="preserve"> restaurants, hotels, and office buildings</w:t>
      </w:r>
      <w:r w:rsidR="00FF7CB1">
        <w:t xml:space="preserve">.  </w:t>
      </w:r>
      <w:r w:rsidR="00553549" w:rsidRPr="009917E6">
        <w:t xml:space="preserve">The EDU </w:t>
      </w:r>
      <w:r w:rsidR="00B34E78" w:rsidRPr="009917E6">
        <w:t xml:space="preserve">for commercial parcels is based upon factors </w:t>
      </w:r>
      <w:r w:rsidR="00084DEB" w:rsidRPr="009917E6">
        <w:t>that</w:t>
      </w:r>
      <w:r w:rsidR="00B34E78" w:rsidRPr="009917E6">
        <w:t xml:space="preserve"> differ depending upon the parcel’s use</w:t>
      </w:r>
      <w:r w:rsidR="00176EEB" w:rsidRPr="009917E6">
        <w:t>.  These factors i</w:t>
      </w:r>
      <w:r w:rsidR="008A66E7">
        <w:t>ncl</w:t>
      </w:r>
      <w:r w:rsidR="00176EEB" w:rsidRPr="009917E6">
        <w:t xml:space="preserve">ude the </w:t>
      </w:r>
      <w:r w:rsidR="00B34E78" w:rsidRPr="009917E6">
        <w:t>square footage of a restaurant or office b</w:t>
      </w:r>
      <w:r w:rsidR="00176EEB" w:rsidRPr="009917E6">
        <w:t xml:space="preserve">uilding, the number of beds in </w:t>
      </w:r>
      <w:r w:rsidR="00B34E78" w:rsidRPr="009917E6">
        <w:t>a hospital, and the number of guest rooms in a hotel</w:t>
      </w:r>
      <w:r w:rsidR="00B000D2" w:rsidRPr="009917E6">
        <w:t>.</w:t>
      </w:r>
    </w:p>
    <w:p w:rsidR="00146D9F" w:rsidRPr="009917E6" w:rsidRDefault="00EC4007" w:rsidP="009917E6">
      <w:pPr>
        <w:tabs>
          <w:tab w:val="left" w:pos="1440"/>
        </w:tabs>
        <w:ind w:firstLine="720"/>
      </w:pPr>
      <w:r w:rsidRPr="009917E6">
        <w:lastRenderedPageBreak/>
        <w:t>A parcel’s</w:t>
      </w:r>
      <w:r w:rsidR="003A6A94" w:rsidRPr="009917E6">
        <w:t xml:space="preserve"> annual </w:t>
      </w:r>
      <w:r w:rsidR="00A16B56">
        <w:t>sewer</w:t>
      </w:r>
      <w:r w:rsidR="003A6A94" w:rsidRPr="009917E6">
        <w:t xml:space="preserve"> charge is calculated by multiplying the parcel’s </w:t>
      </w:r>
      <w:r w:rsidRPr="009917E6">
        <w:t>assigne</w:t>
      </w:r>
      <w:r w:rsidR="005B71E4" w:rsidRPr="009917E6">
        <w:t>d EDUs by a “per-EDU”</w:t>
      </w:r>
      <w:r w:rsidRPr="009917E6">
        <w:t xml:space="preserve"> rate</w:t>
      </w:r>
      <w:r w:rsidR="004530EC" w:rsidRPr="009917E6">
        <w:t>.</w:t>
      </w:r>
      <w:r w:rsidR="005B71E4" w:rsidRPr="009917E6">
        <w:rPr>
          <w:rStyle w:val="FootnoteReference"/>
        </w:rPr>
        <w:footnoteReference w:id="4"/>
      </w:r>
      <w:r w:rsidR="00FF7CB1">
        <w:t xml:space="preserve">  </w:t>
      </w:r>
      <w:r w:rsidR="00F668FE" w:rsidRPr="009917E6">
        <w:t xml:space="preserve">Thus, the charge consists of two components: the number of </w:t>
      </w:r>
      <w:r w:rsidR="005B71E4" w:rsidRPr="009917E6">
        <w:t xml:space="preserve">assigned </w:t>
      </w:r>
      <w:r w:rsidR="00F668FE" w:rsidRPr="009917E6">
        <w:t>EDUs and the appl</w:t>
      </w:r>
      <w:r w:rsidR="00F2173A" w:rsidRPr="009917E6">
        <w:t>icable per-EDU</w:t>
      </w:r>
      <w:r w:rsidR="00A16B56">
        <w:t xml:space="preserve"> </w:t>
      </w:r>
      <w:r w:rsidR="00F2173A" w:rsidRPr="009917E6">
        <w:t xml:space="preserve">rate.  </w:t>
      </w:r>
      <w:r w:rsidR="004E38D7" w:rsidRPr="009917E6">
        <w:t xml:space="preserve">The </w:t>
      </w:r>
      <w:r w:rsidR="00A16B56">
        <w:t>sewer</w:t>
      </w:r>
      <w:r w:rsidR="004E38D7" w:rsidRPr="009917E6">
        <w:t xml:space="preserve"> charge </w:t>
      </w:r>
      <w:r w:rsidR="00F2173A" w:rsidRPr="009917E6">
        <w:t xml:space="preserve">typically </w:t>
      </w:r>
      <w:r w:rsidR="004E38D7" w:rsidRPr="009917E6">
        <w:t>appear</w:t>
      </w:r>
      <w:r w:rsidR="005E5DD2" w:rsidRPr="009917E6">
        <w:t>s</w:t>
      </w:r>
      <w:r w:rsidR="004E38D7" w:rsidRPr="009917E6">
        <w:t xml:space="preserve"> on</w:t>
      </w:r>
      <w:r w:rsidR="00146D9F" w:rsidRPr="009917E6">
        <w:t xml:space="preserve"> a</w:t>
      </w:r>
      <w:r w:rsidR="004E38D7" w:rsidRPr="009917E6">
        <w:t xml:space="preserve"> parcel’s property tax bill.</w:t>
      </w:r>
      <w:r w:rsidR="00AF3C98">
        <w:t xml:space="preserve">  The EDU assignment method</w:t>
      </w:r>
      <w:r w:rsidR="0054565B">
        <w:t xml:space="preserve"> treats properties individually based on each </w:t>
      </w:r>
      <w:r w:rsidR="000323A8">
        <w:t>parcel’s use.  It is</w:t>
      </w:r>
      <w:r w:rsidR="00AF3C98">
        <w:t xml:space="preserve"> different from the rate, which is the same for </w:t>
      </w:r>
      <w:r w:rsidR="005817E7">
        <w:t xml:space="preserve">all fee payors served by a </w:t>
      </w:r>
      <w:proofErr w:type="gramStart"/>
      <w:r w:rsidR="005817E7">
        <w:t>particular treatment</w:t>
      </w:r>
      <w:proofErr w:type="gramEnd"/>
      <w:r w:rsidR="005817E7">
        <w:t xml:space="preserve"> plant.  </w:t>
      </w:r>
      <w:proofErr w:type="gramStart"/>
      <w:r w:rsidR="005817E7">
        <w:t>Some</w:t>
      </w:r>
      <w:proofErr w:type="gramEnd"/>
      <w:r w:rsidR="005817E7">
        <w:t xml:space="preserve"> fee payors will have a larger sewer charge than other</w:t>
      </w:r>
      <w:r w:rsidR="00C57FE5">
        <w:t>s</w:t>
      </w:r>
      <w:r w:rsidR="005817E7">
        <w:t>.  This discrepancy is driven by the EDU assignment method, not by imposition of different rates.</w:t>
      </w:r>
    </w:p>
    <w:p w:rsidR="004B2424" w:rsidRPr="009917E6" w:rsidRDefault="004612D8" w:rsidP="009917E6">
      <w:pPr>
        <w:tabs>
          <w:tab w:val="left" w:pos="1440"/>
        </w:tabs>
        <w:ind w:firstLine="720"/>
      </w:pPr>
      <w:r w:rsidRPr="009917E6">
        <w:t>The</w:t>
      </w:r>
      <w:r w:rsidR="00511BD0" w:rsidRPr="009917E6">
        <w:t xml:space="preserve"> District reviews </w:t>
      </w:r>
      <w:r w:rsidRPr="009917E6">
        <w:t>its operations and maintenance costs annually</w:t>
      </w:r>
      <w:r w:rsidR="00FF7CB1">
        <w:t xml:space="preserve">.  </w:t>
      </w:r>
      <w:r w:rsidRPr="009917E6">
        <w:t xml:space="preserve">After review in </w:t>
      </w:r>
      <w:r w:rsidR="003A46D7" w:rsidRPr="009917E6">
        <w:t xml:space="preserve">2012, 2013, and 2014, </w:t>
      </w:r>
      <w:r w:rsidRPr="009917E6">
        <w:t>the District sought</w:t>
      </w:r>
      <w:r w:rsidR="00511BD0" w:rsidRPr="009917E6">
        <w:t xml:space="preserve"> to increase it</w:t>
      </w:r>
      <w:r w:rsidR="000023B2" w:rsidRPr="009917E6">
        <w:t xml:space="preserve">s </w:t>
      </w:r>
      <w:r w:rsidRPr="009917E6">
        <w:t>rates to cover</w:t>
      </w:r>
      <w:r w:rsidR="000023B2" w:rsidRPr="009917E6">
        <w:t xml:space="preserve"> c</w:t>
      </w:r>
      <w:r w:rsidR="00511BD0" w:rsidRPr="009917E6">
        <w:t>osts.</w:t>
      </w:r>
      <w:r w:rsidR="00FF7CB1">
        <w:t xml:space="preserve">  </w:t>
      </w:r>
      <w:r w:rsidRPr="009917E6">
        <w:t>T</w:t>
      </w:r>
      <w:r w:rsidR="00907AB8" w:rsidRPr="009917E6">
        <w:t>o comply with Proposition</w:t>
      </w:r>
      <w:r w:rsidR="008B12B6">
        <w:t> </w:t>
      </w:r>
      <w:r w:rsidR="00907AB8" w:rsidRPr="009917E6">
        <w:t>218</w:t>
      </w:r>
      <w:r w:rsidR="00A35242" w:rsidRPr="009917E6">
        <w:t xml:space="preserve">, the District mailed out notices </w:t>
      </w:r>
      <w:r w:rsidR="00D91F7B" w:rsidRPr="009917E6">
        <w:t>and</w:t>
      </w:r>
      <w:r w:rsidR="00A35242" w:rsidRPr="009917E6">
        <w:t xml:space="preserve"> held </w:t>
      </w:r>
      <w:r w:rsidR="008E1920" w:rsidRPr="009917E6">
        <w:t>what it describes as “Proposition</w:t>
      </w:r>
      <w:r w:rsidR="008B12B6">
        <w:t> </w:t>
      </w:r>
      <w:r w:rsidR="008E1920" w:rsidRPr="009917E6">
        <w:t>218</w:t>
      </w:r>
      <w:r w:rsidR="00A35242" w:rsidRPr="009917E6">
        <w:t xml:space="preserve"> hearings</w:t>
      </w:r>
      <w:r w:rsidRPr="009917E6">
        <w:t>.</w:t>
      </w:r>
      <w:r w:rsidR="008E1920" w:rsidRPr="009917E6">
        <w:t xml:space="preserve">” </w:t>
      </w:r>
    </w:p>
    <w:p w:rsidR="004B2424" w:rsidRPr="009917E6" w:rsidRDefault="009B63C2" w:rsidP="009917E6">
      <w:pPr>
        <w:tabs>
          <w:tab w:val="left" w:pos="1440"/>
        </w:tabs>
        <w:ind w:firstLine="720"/>
      </w:pPr>
      <w:r w:rsidRPr="009917E6">
        <w:t>In each of those years, property owners were notified of an intended rate increase</w:t>
      </w:r>
      <w:r w:rsidR="004B2424" w:rsidRPr="009917E6">
        <w:t>.</w:t>
      </w:r>
      <w:r w:rsidR="00FF7CB1">
        <w:t xml:space="preserve">  </w:t>
      </w:r>
      <w:r w:rsidRPr="009917E6">
        <w:t>T</w:t>
      </w:r>
      <w:r w:rsidR="000023B2" w:rsidRPr="009917E6">
        <w:t>he proposed changes</w:t>
      </w:r>
      <w:r w:rsidRPr="009917E6">
        <w:t xml:space="preserve"> involved only the </w:t>
      </w:r>
      <w:r w:rsidRPr="009917E6">
        <w:rPr>
          <w:i/>
        </w:rPr>
        <w:t>rate</w:t>
      </w:r>
      <w:r w:rsidRPr="009917E6">
        <w:t xml:space="preserve"> and not the </w:t>
      </w:r>
      <w:r w:rsidRPr="009917E6">
        <w:rPr>
          <w:i/>
        </w:rPr>
        <w:t>method</w:t>
      </w:r>
      <w:r w:rsidRPr="009917E6">
        <w:t xml:space="preserve"> of assigning EDUs to parcels.  The 2012 and 2013 notices made no mention of the EDU </w:t>
      </w:r>
      <w:r w:rsidR="00A16B56">
        <w:t xml:space="preserve">assignment </w:t>
      </w:r>
      <w:r w:rsidRPr="009917E6">
        <w:t>method.  The 2014 notice included a brief paragraph explaining the EDU system</w:t>
      </w:r>
      <w:r w:rsidR="00A16B56">
        <w:t xml:space="preserve"> </w:t>
      </w:r>
      <w:r w:rsidR="00D5152E" w:rsidRPr="009917E6">
        <w:t xml:space="preserve">but </w:t>
      </w:r>
      <w:r w:rsidRPr="009917E6">
        <w:t>g</w:t>
      </w:r>
      <w:r w:rsidR="007D4FA8" w:rsidRPr="009917E6">
        <w:t>ave no indication</w:t>
      </w:r>
      <w:r w:rsidR="00227797" w:rsidRPr="009917E6">
        <w:t xml:space="preserve"> </w:t>
      </w:r>
      <w:r w:rsidR="008C3C24" w:rsidRPr="009917E6">
        <w:t xml:space="preserve">the District was considering </w:t>
      </w:r>
      <w:r w:rsidRPr="009917E6">
        <w:t xml:space="preserve">any change in </w:t>
      </w:r>
      <w:r w:rsidR="00A16B56">
        <w:t>how EDUs are assigned</w:t>
      </w:r>
      <w:r w:rsidR="008C3C24" w:rsidRPr="009917E6">
        <w:t>.</w:t>
      </w:r>
    </w:p>
    <w:p w:rsidR="00DB10FC" w:rsidRPr="002D029E" w:rsidRDefault="00730616" w:rsidP="009917E6">
      <w:pPr>
        <w:tabs>
          <w:tab w:val="left" w:pos="1440"/>
        </w:tabs>
        <w:ind w:firstLine="720"/>
      </w:pPr>
      <w:r w:rsidRPr="009917E6">
        <w:t xml:space="preserve">All </w:t>
      </w:r>
      <w:r w:rsidR="00227797" w:rsidRPr="009917E6">
        <w:t>notices stated that “[a]</w:t>
      </w:r>
      <w:proofErr w:type="spellStart"/>
      <w:r w:rsidR="00227797" w:rsidRPr="009917E6">
        <w:t>ny</w:t>
      </w:r>
      <w:proofErr w:type="spellEnd"/>
      <w:r w:rsidR="00227797" w:rsidRPr="009917E6">
        <w:t xml:space="preserve"> property owner or</w:t>
      </w:r>
      <w:r w:rsidR="00F44CEB" w:rsidRPr="009917E6">
        <w:t xml:space="preserve"> any</w:t>
      </w:r>
      <w:r w:rsidR="00227797" w:rsidRPr="009917E6">
        <w:t xml:space="preserve"> tenant </w:t>
      </w:r>
      <w:proofErr w:type="gramStart"/>
      <w:r w:rsidR="00227797" w:rsidRPr="009917E6">
        <w:t>directly responsible</w:t>
      </w:r>
      <w:proofErr w:type="gramEnd"/>
      <w:r w:rsidR="00227797" w:rsidRPr="009917E6">
        <w:t xml:space="preserve"> for the payment of” </w:t>
      </w:r>
      <w:r w:rsidR="00C85B25">
        <w:t>sewer</w:t>
      </w:r>
      <w:r w:rsidR="00227797" w:rsidRPr="009917E6">
        <w:t xml:space="preserve"> fees could submit a written protest to the “proposed increases in the rates and fees</w:t>
      </w:r>
      <w:r w:rsidR="008D56AD">
        <w:t> </w:t>
      </w:r>
      <w:r w:rsidR="00227797" w:rsidRPr="009917E6">
        <w:t>. . . .”</w:t>
      </w:r>
      <w:r w:rsidR="00FF7CB1">
        <w:t xml:space="preserve">  </w:t>
      </w:r>
      <w:r w:rsidR="00227797" w:rsidRPr="009917E6">
        <w:t xml:space="preserve">The District informed property owners that its </w:t>
      </w:r>
      <w:r w:rsidR="003A5A38">
        <w:t>b</w:t>
      </w:r>
      <w:r w:rsidR="00227797" w:rsidRPr="009917E6">
        <w:t xml:space="preserve">oard </w:t>
      </w:r>
      <w:r w:rsidR="00227797" w:rsidRPr="009917E6">
        <w:lastRenderedPageBreak/>
        <w:t xml:space="preserve">of </w:t>
      </w:r>
      <w:r w:rsidR="003A5A38">
        <w:t>d</w:t>
      </w:r>
      <w:r w:rsidR="00227797" w:rsidRPr="009917E6">
        <w:t>irectors would “hear and consider</w:t>
      </w:r>
      <w:r w:rsidR="007D4FA8" w:rsidRPr="009917E6">
        <w:t>” all written and oral protests “</w:t>
      </w:r>
      <w:r w:rsidR="00227797" w:rsidRPr="009917E6">
        <w:t xml:space="preserve">to the proposed </w:t>
      </w:r>
      <w:r w:rsidR="00227797" w:rsidRPr="009917E6">
        <w:rPr>
          <w:i/>
        </w:rPr>
        <w:t>rate</w:t>
      </w:r>
      <w:r w:rsidR="00227797" w:rsidRPr="009917E6">
        <w:t xml:space="preserve"> increases</w:t>
      </w:r>
      <w:r w:rsidR="003C4157" w:rsidRPr="009917E6">
        <w:t>” a</w:t>
      </w:r>
      <w:r w:rsidRPr="009917E6">
        <w:t>t the scheduled public hearing.  (Italics added.)</w:t>
      </w:r>
      <w:r w:rsidR="00FF7CB1">
        <w:t xml:space="preserve">  </w:t>
      </w:r>
      <w:r w:rsidR="00E66FA1" w:rsidRPr="002D029E">
        <w:t>P</w:t>
      </w:r>
      <w:r w:rsidR="00820444" w:rsidRPr="002D029E">
        <w:t>roperty owners</w:t>
      </w:r>
      <w:r w:rsidRPr="002D029E">
        <w:t xml:space="preserve"> were </w:t>
      </w:r>
      <w:r w:rsidR="008D56AD" w:rsidRPr="002D029E">
        <w:t xml:space="preserve">told that the District would be authorized to impose the proposed rates unless it received protests from </w:t>
      </w:r>
      <w:proofErr w:type="gramStart"/>
      <w:r w:rsidR="008D56AD" w:rsidRPr="002D029E">
        <w:t xml:space="preserve">a </w:t>
      </w:r>
      <w:r w:rsidR="008D56AD" w:rsidRPr="00C57FE5">
        <w:t>majority</w:t>
      </w:r>
      <w:r w:rsidR="008D56AD" w:rsidRPr="002D029E">
        <w:t xml:space="preserve"> of</w:t>
      </w:r>
      <w:proofErr w:type="gramEnd"/>
      <w:r w:rsidR="008D56AD" w:rsidRPr="002D029E">
        <w:t xml:space="preserve"> affected </w:t>
      </w:r>
      <w:r w:rsidR="00C57FE5">
        <w:t>fee payors.</w:t>
      </w:r>
    </w:p>
    <w:p w:rsidR="00AF1145" w:rsidRPr="009917E6" w:rsidRDefault="005D7337" w:rsidP="00FF7CB1">
      <w:pPr>
        <w:tabs>
          <w:tab w:val="left" w:pos="1440"/>
        </w:tabs>
        <w:ind w:firstLine="720"/>
      </w:pPr>
      <w:r w:rsidRPr="009917E6">
        <w:t xml:space="preserve">The District received </w:t>
      </w:r>
      <w:r w:rsidR="00F0469A">
        <w:t>fewer</w:t>
      </w:r>
      <w:r w:rsidRPr="009917E6">
        <w:t xml:space="preserve"> than 15 written protests to proposed rate increases </w:t>
      </w:r>
      <w:r w:rsidR="003F156C" w:rsidRPr="009917E6">
        <w:t>in 2012, 2013, and 2014.</w:t>
      </w:r>
      <w:r w:rsidR="00FF7CB1">
        <w:t xml:space="preserve">  </w:t>
      </w:r>
      <w:r w:rsidRPr="009917E6">
        <w:t xml:space="preserve">None of the </w:t>
      </w:r>
      <w:r w:rsidR="003F156C" w:rsidRPr="009917E6">
        <w:t xml:space="preserve">written </w:t>
      </w:r>
      <w:r w:rsidRPr="009917E6">
        <w:t>protests</w:t>
      </w:r>
      <w:r w:rsidR="003F156C" w:rsidRPr="009917E6">
        <w:t xml:space="preserve"> challenged the EDU system for calculating a parcel’s </w:t>
      </w:r>
      <w:r w:rsidR="00F0469A">
        <w:t>sewer</w:t>
      </w:r>
      <w:r w:rsidR="003F156C" w:rsidRPr="009917E6">
        <w:t xml:space="preserve"> charge</w:t>
      </w:r>
      <w:r w:rsidR="009861A6" w:rsidRPr="009917E6">
        <w:t xml:space="preserve"> </w:t>
      </w:r>
      <w:r w:rsidR="00C57FE5">
        <w:t xml:space="preserve">(number of assigned EDUs x per-EDU rate) </w:t>
      </w:r>
      <w:r w:rsidR="009861A6" w:rsidRPr="009917E6">
        <w:t>or the method of allocating EDUs</w:t>
      </w:r>
      <w:r w:rsidR="003F156C" w:rsidRPr="009917E6">
        <w:t>.  The District adopted the proposed rate increases</w:t>
      </w:r>
      <w:r w:rsidR="00E66FA1" w:rsidRPr="009917E6">
        <w:t xml:space="preserve"> at the</w:t>
      </w:r>
      <w:r w:rsidR="0014226C" w:rsidRPr="009917E6">
        <w:t xml:space="preserve"> close of each public hearing</w:t>
      </w:r>
      <w:r w:rsidR="003F156C" w:rsidRPr="009917E6">
        <w:t>.</w:t>
      </w:r>
    </w:p>
    <w:p w:rsidR="00C23B7C" w:rsidRPr="009917E6" w:rsidRDefault="00C23B7C" w:rsidP="009917E6">
      <w:pPr>
        <w:keepNext/>
        <w:tabs>
          <w:tab w:val="left" w:pos="1440"/>
        </w:tabs>
        <w:ind w:left="1440" w:hanging="720"/>
        <w:rPr>
          <w:i/>
        </w:rPr>
      </w:pPr>
      <w:r w:rsidRPr="009917E6">
        <w:t>B.</w:t>
      </w:r>
      <w:r w:rsidR="00ED5048" w:rsidRPr="009917E6">
        <w:tab/>
      </w:r>
      <w:proofErr w:type="spellStart"/>
      <w:r w:rsidR="002F03E9" w:rsidRPr="009917E6">
        <w:rPr>
          <w:i/>
        </w:rPr>
        <w:t>Plantier’s</w:t>
      </w:r>
      <w:proofErr w:type="spellEnd"/>
      <w:r w:rsidR="002F03E9" w:rsidRPr="009917E6">
        <w:rPr>
          <w:i/>
        </w:rPr>
        <w:t xml:space="preserve"> O</w:t>
      </w:r>
      <w:r w:rsidR="00B13E07" w:rsidRPr="009917E6">
        <w:rPr>
          <w:i/>
        </w:rPr>
        <w:t>bjection</w:t>
      </w:r>
      <w:r w:rsidR="00073A3B">
        <w:rPr>
          <w:i/>
        </w:rPr>
        <w:t xml:space="preserve"> to the </w:t>
      </w:r>
      <w:r w:rsidR="00310253">
        <w:rPr>
          <w:i/>
        </w:rPr>
        <w:t xml:space="preserve">EDU </w:t>
      </w:r>
      <w:r w:rsidR="00C57FE5">
        <w:rPr>
          <w:i/>
        </w:rPr>
        <w:t xml:space="preserve">Assignment </w:t>
      </w:r>
      <w:r w:rsidR="00073A3B">
        <w:rPr>
          <w:i/>
        </w:rPr>
        <w:t>Method</w:t>
      </w:r>
    </w:p>
    <w:p w:rsidR="00C23B7C" w:rsidRPr="009917E6" w:rsidRDefault="00EC0B5A" w:rsidP="009917E6">
      <w:pPr>
        <w:tabs>
          <w:tab w:val="left" w:pos="1440"/>
        </w:tabs>
        <w:ind w:firstLine="720"/>
      </w:pPr>
      <w:r w:rsidRPr="009917E6">
        <w:t xml:space="preserve">Since 1998, </w:t>
      </w:r>
      <w:r w:rsidR="00995F2B" w:rsidRPr="009917E6">
        <w:t xml:space="preserve">Eugene </w:t>
      </w:r>
      <w:proofErr w:type="spellStart"/>
      <w:r w:rsidR="00995F2B" w:rsidRPr="009917E6">
        <w:t>Plantier</w:t>
      </w:r>
      <w:proofErr w:type="spellEnd"/>
      <w:r w:rsidR="0097790E" w:rsidRPr="009917E6">
        <w:t xml:space="preserve"> has owned a restaurant served by the District</w:t>
      </w:r>
      <w:r w:rsidR="00995F2B" w:rsidRPr="009917E6">
        <w:t>.</w:t>
      </w:r>
      <w:r w:rsidR="0097790E" w:rsidRPr="009917E6">
        <w:rPr>
          <w:rStyle w:val="FootnoteReference"/>
        </w:rPr>
        <w:footnoteReference w:id="5"/>
      </w:r>
      <w:r w:rsidR="00FF7CB1">
        <w:t xml:space="preserve">  </w:t>
      </w:r>
      <w:r w:rsidR="0060673A" w:rsidRPr="009917E6">
        <w:t xml:space="preserve">In </w:t>
      </w:r>
      <w:r w:rsidR="00D60299" w:rsidRPr="009917E6">
        <w:t>e</w:t>
      </w:r>
      <w:r w:rsidR="0060673A" w:rsidRPr="009917E6">
        <w:t xml:space="preserve">arly 2012, the District </w:t>
      </w:r>
      <w:r w:rsidR="00325B31">
        <w:t>concluded</w:t>
      </w:r>
      <w:r w:rsidR="0060673A" w:rsidRPr="009917E6">
        <w:t xml:space="preserve"> </w:t>
      </w:r>
      <w:r w:rsidR="004D63E1" w:rsidRPr="009917E6">
        <w:t xml:space="preserve">the restaurant </w:t>
      </w:r>
      <w:r w:rsidR="001419C8" w:rsidRPr="009917E6">
        <w:t>released signif</w:t>
      </w:r>
      <w:r w:rsidR="004D63E1" w:rsidRPr="009917E6">
        <w:t xml:space="preserve">icant </w:t>
      </w:r>
      <w:r w:rsidR="001419C8" w:rsidRPr="009917E6">
        <w:t xml:space="preserve">amounts of </w:t>
      </w:r>
      <w:r w:rsidR="004D63E1" w:rsidRPr="009917E6">
        <w:t xml:space="preserve">grease </w:t>
      </w:r>
      <w:r w:rsidR="00D60299" w:rsidRPr="009917E6">
        <w:t>into the sewer system.</w:t>
      </w:r>
      <w:r w:rsidR="00FF7CB1">
        <w:t xml:space="preserve"> </w:t>
      </w:r>
      <w:r w:rsidR="0060673A" w:rsidRPr="009917E6">
        <w:t xml:space="preserve"> I</w:t>
      </w:r>
      <w:r w:rsidR="004D63E1" w:rsidRPr="009917E6">
        <w:t xml:space="preserve">t also learned </w:t>
      </w:r>
      <w:r w:rsidR="00B46015" w:rsidRPr="009917E6">
        <w:t>i</w:t>
      </w:r>
      <w:r w:rsidR="0060673A" w:rsidRPr="009917E6">
        <w:t>t had</w:t>
      </w:r>
      <w:r w:rsidR="00B46015" w:rsidRPr="009917E6">
        <w:t xml:space="preserve"> assigned only 2.0</w:t>
      </w:r>
      <w:r w:rsidR="0060673A" w:rsidRPr="009917E6">
        <w:t xml:space="preserve"> EDUs to the parcel instead of the 6.8</w:t>
      </w:r>
      <w:r w:rsidR="00315FBD" w:rsidRPr="009917E6">
        <w:t>2</w:t>
      </w:r>
      <w:r w:rsidR="0060673A" w:rsidRPr="009917E6">
        <w:t xml:space="preserve"> EDUs</w:t>
      </w:r>
      <w:r w:rsidR="00B46015" w:rsidRPr="009917E6">
        <w:t xml:space="preserve"> it </w:t>
      </w:r>
      <w:r w:rsidR="00325B31">
        <w:t>deemed</w:t>
      </w:r>
      <w:r w:rsidR="0060673A" w:rsidRPr="009917E6">
        <w:t xml:space="preserve"> were more appropriate </w:t>
      </w:r>
      <w:r w:rsidR="00AF4A39" w:rsidRPr="009917E6">
        <w:t xml:space="preserve">based upon </w:t>
      </w:r>
      <w:r w:rsidR="0060673A" w:rsidRPr="009917E6">
        <w:t>the property’</w:t>
      </w:r>
      <w:r w:rsidR="00B46015" w:rsidRPr="009917E6">
        <w:t>s size and use.</w:t>
      </w:r>
      <w:r w:rsidR="00FF7CB1">
        <w:t xml:space="preserve">  </w:t>
      </w:r>
      <w:r w:rsidR="00B46015" w:rsidRPr="009917E6">
        <w:t xml:space="preserve">In June 2012, the District notified </w:t>
      </w:r>
      <w:proofErr w:type="spellStart"/>
      <w:r w:rsidR="00B46015" w:rsidRPr="009917E6">
        <w:t>Plantier</w:t>
      </w:r>
      <w:proofErr w:type="spellEnd"/>
      <w:r w:rsidR="00B46015" w:rsidRPr="009917E6">
        <w:t xml:space="preserve"> that the EDUs assigned to his property were being </w:t>
      </w:r>
      <w:r w:rsidR="00325B31">
        <w:t>changed</w:t>
      </w:r>
      <w:r w:rsidR="00B46015" w:rsidRPr="009917E6">
        <w:t xml:space="preserve"> from 2.0 to 6.8</w:t>
      </w:r>
      <w:r w:rsidR="00315FBD" w:rsidRPr="009917E6">
        <w:t>2</w:t>
      </w:r>
      <w:r w:rsidR="00325B31">
        <w:t>, resulting in a substantial fee increase</w:t>
      </w:r>
      <w:r w:rsidR="00315FBD" w:rsidRPr="009917E6">
        <w:t>.</w:t>
      </w:r>
    </w:p>
    <w:p w:rsidR="00826C8F" w:rsidRPr="009917E6" w:rsidRDefault="000E4239" w:rsidP="009917E6">
      <w:pPr>
        <w:tabs>
          <w:tab w:val="left" w:pos="1440"/>
        </w:tabs>
        <w:ind w:firstLine="720"/>
      </w:pPr>
      <w:proofErr w:type="spellStart"/>
      <w:r w:rsidRPr="009917E6">
        <w:t>Plantie</w:t>
      </w:r>
      <w:r w:rsidR="00AF4A39" w:rsidRPr="009917E6">
        <w:t>r</w:t>
      </w:r>
      <w:proofErr w:type="spellEnd"/>
      <w:r w:rsidR="00CB0B56" w:rsidRPr="009917E6">
        <w:t xml:space="preserve"> objected.</w:t>
      </w:r>
      <w:r w:rsidR="00FF7CB1">
        <w:t xml:space="preserve">  </w:t>
      </w:r>
      <w:r w:rsidR="00AF4A39" w:rsidRPr="009917E6">
        <w:t xml:space="preserve">In a </w:t>
      </w:r>
      <w:r w:rsidR="0040611D" w:rsidRPr="009917E6">
        <w:t>July 2012 letter t</w:t>
      </w:r>
      <w:r w:rsidR="001A121C" w:rsidRPr="009917E6">
        <w:t xml:space="preserve">o the District, his </w:t>
      </w:r>
      <w:r w:rsidR="00675110" w:rsidRPr="009917E6">
        <w:t>counsel urged that the assignment of EDUs based upon building square footage was “arbitrary and discriminatory.”</w:t>
      </w:r>
      <w:r w:rsidR="00FF7CB1">
        <w:t xml:space="preserve">  </w:t>
      </w:r>
      <w:r w:rsidR="00BD6284" w:rsidRPr="009917E6">
        <w:t xml:space="preserve">Counsel expressed the intention to “exhaust </w:t>
      </w:r>
      <w:r w:rsidR="00F44CEB" w:rsidRPr="009917E6">
        <w:t>[</w:t>
      </w:r>
      <w:proofErr w:type="spellStart"/>
      <w:r w:rsidR="00F44CEB" w:rsidRPr="009917E6">
        <w:t>Plantier’s</w:t>
      </w:r>
      <w:proofErr w:type="spellEnd"/>
      <w:r w:rsidR="00F44CEB" w:rsidRPr="009917E6">
        <w:t xml:space="preserve">] </w:t>
      </w:r>
      <w:r w:rsidR="00BD6284" w:rsidRPr="009917E6">
        <w:t>administrative remedies before proceeding to Judicial Review.”</w:t>
      </w:r>
      <w:r w:rsidR="00E16816">
        <w:t xml:space="preserve">  </w:t>
      </w:r>
      <w:r w:rsidR="007116B7" w:rsidRPr="009917E6">
        <w:t xml:space="preserve">In August 2012, </w:t>
      </w:r>
      <w:proofErr w:type="spellStart"/>
      <w:r w:rsidR="007116B7" w:rsidRPr="009917E6">
        <w:t>Plantier</w:t>
      </w:r>
      <w:proofErr w:type="spellEnd"/>
      <w:r w:rsidR="007116B7" w:rsidRPr="009917E6">
        <w:t xml:space="preserve"> met with the District’s general manager and questioned the practice of assigning EDUs based upon square </w:t>
      </w:r>
      <w:r w:rsidR="007116B7" w:rsidRPr="009917E6">
        <w:lastRenderedPageBreak/>
        <w:t>footage rather than actual water use.</w:t>
      </w:r>
      <w:r w:rsidR="00E16816">
        <w:t xml:space="preserve">  </w:t>
      </w:r>
      <w:proofErr w:type="spellStart"/>
      <w:r w:rsidR="008766A9">
        <w:t>Plantier’s</w:t>
      </w:r>
      <w:proofErr w:type="spellEnd"/>
      <w:r w:rsidR="008766A9">
        <w:t xml:space="preserve"> objection was placed on the bo</w:t>
      </w:r>
      <w:r w:rsidR="00CB7D82" w:rsidRPr="009917E6">
        <w:t>ard of directors</w:t>
      </w:r>
      <w:r w:rsidR="00725F26">
        <w:t xml:space="preserve"> meeting</w:t>
      </w:r>
      <w:r w:rsidR="008766A9">
        <w:t xml:space="preserve"> agenda.</w:t>
      </w:r>
    </w:p>
    <w:p w:rsidR="00C72892" w:rsidRPr="009917E6" w:rsidRDefault="000310BF" w:rsidP="009917E6">
      <w:pPr>
        <w:tabs>
          <w:tab w:val="left" w:pos="1440"/>
        </w:tabs>
        <w:ind w:firstLine="720"/>
      </w:pPr>
      <w:r w:rsidRPr="009917E6">
        <w:t>The bo</w:t>
      </w:r>
      <w:r w:rsidR="008766A9">
        <w:t>ar</w:t>
      </w:r>
      <w:r w:rsidRPr="009917E6">
        <w:t>d ultim</w:t>
      </w:r>
      <w:r w:rsidR="001A121C" w:rsidRPr="009917E6">
        <w:t>at</w:t>
      </w:r>
      <w:r w:rsidR="0008641B" w:rsidRPr="009917E6">
        <w:t>ely considered the matter in</w:t>
      </w:r>
      <w:r w:rsidR="001A121C" w:rsidRPr="009917E6">
        <w:t xml:space="preserve"> December 2012.</w:t>
      </w:r>
      <w:r w:rsidR="00B95282">
        <w:t xml:space="preserve">  </w:t>
      </w:r>
      <w:r w:rsidR="001A121C" w:rsidRPr="009917E6">
        <w:t>A consumer advocacy group wrote</w:t>
      </w:r>
      <w:r w:rsidR="0008641B" w:rsidRPr="009917E6">
        <w:t xml:space="preserve"> </w:t>
      </w:r>
      <w:r w:rsidR="00A84F9D" w:rsidRPr="009917E6">
        <w:t xml:space="preserve">to </w:t>
      </w:r>
      <w:r w:rsidR="0008641B" w:rsidRPr="009917E6">
        <w:t xml:space="preserve">the board on </w:t>
      </w:r>
      <w:proofErr w:type="spellStart"/>
      <w:r w:rsidR="0008641B" w:rsidRPr="009917E6">
        <w:t>Plantier’s</w:t>
      </w:r>
      <w:proofErr w:type="spellEnd"/>
      <w:r w:rsidR="0008641B" w:rsidRPr="009917E6">
        <w:t xml:space="preserve"> behalf urging </w:t>
      </w:r>
      <w:r w:rsidR="001A121C" w:rsidRPr="009917E6">
        <w:t xml:space="preserve">that the EDU-based </w:t>
      </w:r>
      <w:r w:rsidR="00A84F9D" w:rsidRPr="009917E6">
        <w:t xml:space="preserve">rate structure violates </w:t>
      </w:r>
      <w:r w:rsidR="00E7518B" w:rsidRPr="009917E6">
        <w:t xml:space="preserve">the proportionality requirement of </w:t>
      </w:r>
      <w:r w:rsidR="00907AB8" w:rsidRPr="009917E6">
        <w:t>Proposition 218</w:t>
      </w:r>
      <w:r w:rsidR="007B1A41" w:rsidRPr="009917E6">
        <w:t>,</w:t>
      </w:r>
      <w:r w:rsidR="004B1EEF" w:rsidRPr="009917E6">
        <w:t xml:space="preserve"> which specifies that a property-related fee or charge may not exceed the proportional cost of the service provided t</w:t>
      </w:r>
      <w:r w:rsidR="00A84F9D" w:rsidRPr="009917E6">
        <w:t>o the property.</w:t>
      </w:r>
      <w:r w:rsidR="00907AB8" w:rsidRPr="009917E6">
        <w:t xml:space="preserve">  (</w:t>
      </w:r>
      <w:r w:rsidR="003A5A38">
        <w:t xml:space="preserve">Art. XIII D, </w:t>
      </w:r>
      <w:r w:rsidR="00907AB8" w:rsidRPr="009917E6">
        <w:t xml:space="preserve">§ 6, </w:t>
      </w:r>
      <w:proofErr w:type="spellStart"/>
      <w:r w:rsidR="00907AB8" w:rsidRPr="009917E6">
        <w:t>subd</w:t>
      </w:r>
      <w:proofErr w:type="spellEnd"/>
      <w:proofErr w:type="gramStart"/>
      <w:r w:rsidR="00907AB8" w:rsidRPr="009917E6">
        <w:t xml:space="preserve">. </w:t>
      </w:r>
      <w:proofErr w:type="gramEnd"/>
      <w:r w:rsidR="00907AB8" w:rsidRPr="009917E6">
        <w:t>(b)(3).)</w:t>
      </w:r>
      <w:r w:rsidR="000C3382">
        <w:t xml:space="preserve">  </w:t>
      </w:r>
      <w:proofErr w:type="spellStart"/>
      <w:r w:rsidR="00EF1C88" w:rsidRPr="009917E6">
        <w:t>Plantier</w:t>
      </w:r>
      <w:proofErr w:type="spellEnd"/>
      <w:r w:rsidR="00EF1C88" w:rsidRPr="009917E6">
        <w:t xml:space="preserve"> and </w:t>
      </w:r>
      <w:r w:rsidR="004F5736" w:rsidRPr="009917E6">
        <w:t xml:space="preserve">advocacy group </w:t>
      </w:r>
      <w:r w:rsidR="00EF1C88" w:rsidRPr="009917E6">
        <w:t>representatives spoke at the</w:t>
      </w:r>
      <w:r w:rsidR="00826C8F" w:rsidRPr="009917E6">
        <w:t xml:space="preserve"> </w:t>
      </w:r>
      <w:r w:rsidR="004F5736" w:rsidRPr="009917E6">
        <w:t>meeting</w:t>
      </w:r>
      <w:r w:rsidR="000C3382">
        <w:t xml:space="preserve">.  </w:t>
      </w:r>
      <w:r w:rsidR="00EF1C88" w:rsidRPr="009917E6">
        <w:t>T</w:t>
      </w:r>
      <w:r w:rsidR="00656CA2" w:rsidRPr="009917E6">
        <w:t>he</w:t>
      </w:r>
      <w:r w:rsidR="00FF7691">
        <w:t xml:space="preserve"> </w:t>
      </w:r>
      <w:r w:rsidR="00D46C6B">
        <w:t>District</w:t>
      </w:r>
      <w:r w:rsidR="00826C8F" w:rsidRPr="009917E6">
        <w:t xml:space="preserve"> denied each of </w:t>
      </w:r>
      <w:proofErr w:type="spellStart"/>
      <w:r w:rsidR="00826C8F" w:rsidRPr="009917E6">
        <w:t>Plantier’s</w:t>
      </w:r>
      <w:proofErr w:type="spellEnd"/>
      <w:r w:rsidR="00826C8F" w:rsidRPr="009917E6">
        <w:t xml:space="preserve"> claims, including </w:t>
      </w:r>
      <w:r w:rsidR="00620DC8">
        <w:t>his objection to the EDU assignment method.</w:t>
      </w:r>
    </w:p>
    <w:p w:rsidR="00B80973" w:rsidRPr="009917E6" w:rsidRDefault="00826C8F" w:rsidP="009917E6">
      <w:pPr>
        <w:tabs>
          <w:tab w:val="left" w:pos="1440"/>
        </w:tabs>
        <w:ind w:firstLine="720"/>
      </w:pPr>
      <w:r w:rsidRPr="009917E6">
        <w:t xml:space="preserve">In November 2013, </w:t>
      </w:r>
      <w:proofErr w:type="spellStart"/>
      <w:r w:rsidR="0008641B" w:rsidRPr="009917E6">
        <w:t>Plantier</w:t>
      </w:r>
      <w:proofErr w:type="spellEnd"/>
      <w:r w:rsidR="0025123E">
        <w:t xml:space="preserve"> and two other </w:t>
      </w:r>
      <w:r w:rsidR="00AA774E">
        <w:t xml:space="preserve">commercial </w:t>
      </w:r>
      <w:r w:rsidR="0025123E">
        <w:t>property owners</w:t>
      </w:r>
      <w:r w:rsidR="0025123E" w:rsidRPr="009917E6">
        <w:rPr>
          <w:rStyle w:val="FootnoteReference"/>
        </w:rPr>
        <w:footnoteReference w:id="6"/>
      </w:r>
      <w:r w:rsidR="0025123E">
        <w:t xml:space="preserve"> </w:t>
      </w:r>
      <w:r w:rsidRPr="009917E6">
        <w:t>subm</w:t>
      </w:r>
      <w:r w:rsidR="00A93ED6" w:rsidRPr="009917E6">
        <w:t xml:space="preserve">itted an administrative claim </w:t>
      </w:r>
      <w:r w:rsidR="0025123E">
        <w:t xml:space="preserve">with the District </w:t>
      </w:r>
      <w:r w:rsidR="008F783A" w:rsidRPr="009917E6">
        <w:t xml:space="preserve">alleging </w:t>
      </w:r>
      <w:r w:rsidR="003158CD" w:rsidRPr="009917E6">
        <w:t xml:space="preserve">that the EDU </w:t>
      </w:r>
      <w:r w:rsidR="00926904">
        <w:t xml:space="preserve">assignment </w:t>
      </w:r>
      <w:r w:rsidR="003158CD" w:rsidRPr="009917E6">
        <w:t xml:space="preserve">method </w:t>
      </w:r>
      <w:r w:rsidR="00071A47" w:rsidRPr="009917E6">
        <w:t>violates Proposition</w:t>
      </w:r>
      <w:r w:rsidR="00032521">
        <w:t> </w:t>
      </w:r>
      <w:r w:rsidR="00071A47" w:rsidRPr="009917E6">
        <w:t>218</w:t>
      </w:r>
      <w:r w:rsidR="003158CD" w:rsidRPr="009917E6">
        <w:t>’s proportionality requirement</w:t>
      </w:r>
      <w:r w:rsidR="009D260F" w:rsidRPr="009917E6">
        <w:t>.</w:t>
      </w:r>
      <w:r w:rsidR="000C3382">
        <w:t xml:space="preserve">  </w:t>
      </w:r>
      <w:r w:rsidR="0083014A" w:rsidRPr="009917E6">
        <w:t>Th</w:t>
      </w:r>
      <w:r w:rsidR="00653D9B">
        <w:t>e</w:t>
      </w:r>
      <w:r w:rsidR="002C61BA">
        <w:t xml:space="preserve"> board</w:t>
      </w:r>
      <w:r w:rsidR="0083014A" w:rsidRPr="009917E6">
        <w:t xml:space="preserve"> rejected the claim.</w:t>
      </w:r>
    </w:p>
    <w:p w:rsidR="00CE5F69" w:rsidRPr="009917E6" w:rsidRDefault="002F03E9" w:rsidP="009917E6">
      <w:pPr>
        <w:keepNext/>
        <w:tabs>
          <w:tab w:val="left" w:pos="1440"/>
        </w:tabs>
        <w:ind w:firstLine="720"/>
        <w:rPr>
          <w:i/>
        </w:rPr>
      </w:pPr>
      <w:r w:rsidRPr="009917E6">
        <w:t>C.</w:t>
      </w:r>
      <w:r w:rsidRPr="009917E6">
        <w:tab/>
      </w:r>
      <w:r w:rsidRPr="009917E6">
        <w:rPr>
          <w:i/>
        </w:rPr>
        <w:t>Procedural History</w:t>
      </w:r>
    </w:p>
    <w:p w:rsidR="008236D0" w:rsidRPr="009917E6" w:rsidRDefault="00656CA2" w:rsidP="009917E6">
      <w:pPr>
        <w:tabs>
          <w:tab w:val="left" w:pos="1440"/>
        </w:tabs>
        <w:ind w:firstLine="720"/>
      </w:pPr>
      <w:r w:rsidRPr="009917E6">
        <w:t xml:space="preserve">Following </w:t>
      </w:r>
      <w:r w:rsidR="003A5A38">
        <w:t>the board’s</w:t>
      </w:r>
      <w:r w:rsidR="0026642E" w:rsidRPr="009917E6">
        <w:t xml:space="preserve"> </w:t>
      </w:r>
      <w:r w:rsidR="00E14B9E" w:rsidRPr="009917E6">
        <w:t>denial</w:t>
      </w:r>
      <w:r w:rsidR="0026642E" w:rsidRPr="009917E6">
        <w:t xml:space="preserve">, </w:t>
      </w:r>
      <w:proofErr w:type="spellStart"/>
      <w:r w:rsidR="0026642E" w:rsidRPr="009917E6">
        <w:t>P</w:t>
      </w:r>
      <w:r w:rsidR="00F84601" w:rsidRPr="009917E6">
        <w:t>lantier</w:t>
      </w:r>
      <w:proofErr w:type="spellEnd"/>
      <w:r w:rsidR="00E14B9E" w:rsidRPr="009917E6">
        <w:t xml:space="preserve"> and </w:t>
      </w:r>
      <w:r w:rsidR="00AA774E">
        <w:t xml:space="preserve">the two other commercial property owners (collectively, plaintiffs) </w:t>
      </w:r>
      <w:r w:rsidR="0026642E" w:rsidRPr="009917E6">
        <w:t>sued the District in</w:t>
      </w:r>
      <w:r w:rsidR="00E14B9E" w:rsidRPr="009917E6">
        <w:t xml:space="preserve"> </w:t>
      </w:r>
      <w:r w:rsidR="00C70936" w:rsidRPr="009917E6">
        <w:t xml:space="preserve">a </w:t>
      </w:r>
      <w:r w:rsidR="00E14B9E" w:rsidRPr="009917E6">
        <w:t>putative class action</w:t>
      </w:r>
      <w:r w:rsidR="004A2626" w:rsidRPr="009917E6">
        <w:t>.</w:t>
      </w:r>
      <w:r w:rsidR="000C3382">
        <w:t xml:space="preserve">  </w:t>
      </w:r>
      <w:r w:rsidR="0026642E" w:rsidRPr="009917E6">
        <w:t>P</w:t>
      </w:r>
      <w:r w:rsidR="00B674B3" w:rsidRPr="009917E6">
        <w:t>laintiffs allege the</w:t>
      </w:r>
      <w:r w:rsidR="00882E0C">
        <w:t xml:space="preserve"> </w:t>
      </w:r>
      <w:r w:rsidR="00B674B3" w:rsidRPr="009917E6">
        <w:t>EDU</w:t>
      </w:r>
      <w:r w:rsidR="00653D9B">
        <w:t xml:space="preserve"> assignment </w:t>
      </w:r>
      <w:r w:rsidR="0026642E" w:rsidRPr="009917E6">
        <w:t>method</w:t>
      </w:r>
      <w:r w:rsidR="00B674B3" w:rsidRPr="009917E6">
        <w:t xml:space="preserve"> violates </w:t>
      </w:r>
      <w:r w:rsidR="00071A47" w:rsidRPr="009917E6">
        <w:t>Proposition</w:t>
      </w:r>
      <w:r w:rsidR="00032521">
        <w:t> </w:t>
      </w:r>
      <w:r w:rsidR="00071A47" w:rsidRPr="009917E6">
        <w:t xml:space="preserve">218 </w:t>
      </w:r>
      <w:r w:rsidR="00B674B3" w:rsidRPr="009917E6">
        <w:t>because the charge “is imposed without regard to the proportional cost of providing a property with wastewater service.”</w:t>
      </w:r>
      <w:r w:rsidR="000C3382">
        <w:t xml:space="preserve">  </w:t>
      </w:r>
      <w:r w:rsidR="00367890" w:rsidRPr="009917E6">
        <w:t>They seek</w:t>
      </w:r>
      <w:r w:rsidR="00AD04EC" w:rsidRPr="009917E6">
        <w:t xml:space="preserve"> declara</w:t>
      </w:r>
      <w:r w:rsidR="00625395" w:rsidRPr="009917E6">
        <w:t xml:space="preserve">tory relief and a refund of </w:t>
      </w:r>
      <w:r w:rsidR="00367890" w:rsidRPr="009917E6">
        <w:t>unlawful</w:t>
      </w:r>
      <w:r w:rsidR="00625395" w:rsidRPr="009917E6">
        <w:t xml:space="preserve"> charges</w:t>
      </w:r>
      <w:r w:rsidR="00AD04EC" w:rsidRPr="009917E6">
        <w:t>.</w:t>
      </w:r>
      <w:r w:rsidR="000C3382">
        <w:t xml:space="preserve">  </w:t>
      </w:r>
      <w:r w:rsidR="00367890" w:rsidRPr="009917E6">
        <w:t>T</w:t>
      </w:r>
      <w:r w:rsidR="00DF157B" w:rsidRPr="009917E6">
        <w:t>he</w:t>
      </w:r>
      <w:r w:rsidR="00A179FA" w:rsidRPr="009917E6">
        <w:t xml:space="preserve"> trial</w:t>
      </w:r>
      <w:r w:rsidR="00DF157B" w:rsidRPr="009917E6">
        <w:t xml:space="preserve"> court certified </w:t>
      </w:r>
      <w:r w:rsidR="00DF157B" w:rsidRPr="009917E6">
        <w:lastRenderedPageBreak/>
        <w:t>a clas</w:t>
      </w:r>
      <w:r w:rsidR="00B564E9" w:rsidRPr="009917E6">
        <w:t>s consisting</w:t>
      </w:r>
      <w:r w:rsidR="00323033" w:rsidRPr="009917E6">
        <w:t xml:space="preserve"> of </w:t>
      </w:r>
      <w:r w:rsidR="00625395" w:rsidRPr="009917E6">
        <w:t>District customer</w:t>
      </w:r>
      <w:r w:rsidR="00CC45CF" w:rsidRPr="009917E6">
        <w:t xml:space="preserve">s who paid a </w:t>
      </w:r>
      <w:r w:rsidR="00511F60">
        <w:t>sewer</w:t>
      </w:r>
      <w:r w:rsidR="00CC45CF" w:rsidRPr="009917E6">
        <w:t xml:space="preserve"> </w:t>
      </w:r>
      <w:r w:rsidR="00625395" w:rsidRPr="009917E6">
        <w:t>charge on or after November</w:t>
      </w:r>
      <w:r w:rsidR="00032521">
        <w:t> </w:t>
      </w:r>
      <w:r w:rsidR="00625395" w:rsidRPr="009917E6">
        <w:t>22, 2012.</w:t>
      </w:r>
    </w:p>
    <w:p w:rsidR="008236D0" w:rsidRPr="009917E6" w:rsidRDefault="00CC45CF" w:rsidP="009917E6">
      <w:pPr>
        <w:tabs>
          <w:tab w:val="left" w:pos="1440"/>
        </w:tabs>
        <w:ind w:firstLine="720"/>
      </w:pPr>
      <w:r w:rsidRPr="009917E6">
        <w:t>T</w:t>
      </w:r>
      <w:r w:rsidR="00A02728" w:rsidRPr="009917E6">
        <w:t>he court</w:t>
      </w:r>
      <w:r w:rsidR="00DD1A81" w:rsidRPr="009917E6">
        <w:t xml:space="preserve"> </w:t>
      </w:r>
      <w:r w:rsidR="00882E0C">
        <w:t xml:space="preserve">bifurcated the bench trial.  The first phase addressed </w:t>
      </w:r>
      <w:r w:rsidR="00151CE8" w:rsidRPr="009917E6">
        <w:t>the</w:t>
      </w:r>
      <w:r w:rsidR="00A87C3A" w:rsidRPr="009917E6">
        <w:t xml:space="preserve"> potentially dispositive issue of whether </w:t>
      </w:r>
      <w:r w:rsidR="00DD1A81" w:rsidRPr="009917E6">
        <w:t xml:space="preserve">plaintiffs had exhausted </w:t>
      </w:r>
      <w:r w:rsidR="000236C0" w:rsidRPr="009917E6">
        <w:t xml:space="preserve">their </w:t>
      </w:r>
      <w:r w:rsidR="00151CE8" w:rsidRPr="009917E6">
        <w:t xml:space="preserve">available </w:t>
      </w:r>
      <w:r w:rsidR="000236C0" w:rsidRPr="009917E6">
        <w:t>administrative remedies</w:t>
      </w:r>
      <w:r w:rsidR="00151CE8" w:rsidRPr="009917E6">
        <w:t xml:space="preserve"> before </w:t>
      </w:r>
      <w:r w:rsidR="00882E0C">
        <w:t xml:space="preserve">suing.  </w:t>
      </w:r>
      <w:r w:rsidR="001F4456" w:rsidRPr="009917E6">
        <w:t>The Di</w:t>
      </w:r>
      <w:r w:rsidR="00727EF1" w:rsidRPr="009917E6">
        <w:t>strict conceded</w:t>
      </w:r>
      <w:r w:rsidR="001F4456" w:rsidRPr="009917E6">
        <w:t xml:space="preserve"> that </w:t>
      </w:r>
      <w:r w:rsidR="00727EF1" w:rsidRPr="009917E6">
        <w:t xml:space="preserve">the plaintiffs </w:t>
      </w:r>
      <w:r w:rsidR="00683CDB" w:rsidRPr="009917E6">
        <w:t xml:space="preserve">exhausted one remedy by submitting </w:t>
      </w:r>
      <w:r w:rsidR="00653D9B">
        <w:t>the</w:t>
      </w:r>
      <w:r w:rsidR="00001DDE">
        <w:t>ir</w:t>
      </w:r>
      <w:r w:rsidR="00653D9B">
        <w:t xml:space="preserve"> November 2013 claim</w:t>
      </w:r>
      <w:r w:rsidR="001F4456" w:rsidRPr="009917E6">
        <w:t>.</w:t>
      </w:r>
      <w:r w:rsidR="000C3382">
        <w:t xml:space="preserve">  </w:t>
      </w:r>
      <w:r w:rsidR="00882E0C">
        <w:t xml:space="preserve">The only remaining question was whether Proposition 218 </w:t>
      </w:r>
      <w:r w:rsidR="00683CDB" w:rsidRPr="009917E6">
        <w:t>imposes yet another exhaustion requirement that plaintiffs had not satisfied</w:t>
      </w:r>
      <w:r w:rsidR="001F4456" w:rsidRPr="009917E6">
        <w:t>.</w:t>
      </w:r>
    </w:p>
    <w:p w:rsidR="00BE660B" w:rsidRPr="009917E6" w:rsidRDefault="00A96E94" w:rsidP="009917E6">
      <w:pPr>
        <w:tabs>
          <w:tab w:val="left" w:pos="1440"/>
        </w:tabs>
        <w:ind w:firstLine="720"/>
      </w:pPr>
      <w:r w:rsidRPr="009917E6">
        <w:t>T</w:t>
      </w:r>
      <w:r w:rsidR="00A179FA" w:rsidRPr="009917E6">
        <w:t xml:space="preserve">he </w:t>
      </w:r>
      <w:r w:rsidRPr="009917E6">
        <w:t xml:space="preserve">trial </w:t>
      </w:r>
      <w:r w:rsidR="00A179FA" w:rsidRPr="009917E6">
        <w:t xml:space="preserve">court </w:t>
      </w:r>
      <w:r w:rsidR="00882E0C">
        <w:t xml:space="preserve">concluded that </w:t>
      </w:r>
      <w:r w:rsidR="008204FD" w:rsidRPr="009917E6">
        <w:t>Proposition 218 created</w:t>
      </w:r>
      <w:r w:rsidR="00A06563" w:rsidRPr="009917E6">
        <w:t xml:space="preserve"> an </w:t>
      </w:r>
      <w:r w:rsidR="00882E0C">
        <w:t>additional</w:t>
      </w:r>
      <w:r w:rsidR="00A06563" w:rsidRPr="009917E6">
        <w:t xml:space="preserve"> </w:t>
      </w:r>
      <w:r w:rsidR="00620DC8">
        <w:t xml:space="preserve">unexhausted </w:t>
      </w:r>
      <w:r w:rsidR="00A06563" w:rsidRPr="009917E6">
        <w:t>remedy.</w:t>
      </w:r>
      <w:r w:rsidR="005B4F01" w:rsidRPr="009917E6">
        <w:t xml:space="preserve"> </w:t>
      </w:r>
      <w:r w:rsidR="000C3382">
        <w:t xml:space="preserve"> </w:t>
      </w:r>
      <w:r w:rsidR="004E5023" w:rsidRPr="009917E6">
        <w:t>It</w:t>
      </w:r>
      <w:r w:rsidR="00BE660B" w:rsidRPr="009917E6">
        <w:t xml:space="preserve"> relied in part upon </w:t>
      </w:r>
      <w:proofErr w:type="spellStart"/>
      <w:r w:rsidR="00BE660B" w:rsidRPr="009917E6">
        <w:rPr>
          <w:i/>
        </w:rPr>
        <w:t>Wallich’s</w:t>
      </w:r>
      <w:proofErr w:type="spellEnd"/>
      <w:r w:rsidR="00BE660B" w:rsidRPr="009917E6">
        <w:rPr>
          <w:i/>
        </w:rPr>
        <w:t xml:space="preserve"> Ranch Co. v. Kern County</w:t>
      </w:r>
      <w:r w:rsidR="00F44CEB" w:rsidRPr="009917E6">
        <w:rPr>
          <w:i/>
        </w:rPr>
        <w:t xml:space="preserve"> Citrus Pest Control Dist.</w:t>
      </w:r>
      <w:r w:rsidR="00BE660B" w:rsidRPr="009917E6">
        <w:rPr>
          <w:i/>
        </w:rPr>
        <w:t xml:space="preserve"> </w:t>
      </w:r>
      <w:r w:rsidR="00BE660B" w:rsidRPr="009917E6">
        <w:t>(2001) 87 Cal.App.4th 878 (</w:t>
      </w:r>
      <w:proofErr w:type="spellStart"/>
      <w:r w:rsidR="00BE660B" w:rsidRPr="009917E6">
        <w:rPr>
          <w:i/>
        </w:rPr>
        <w:t>Wallich’s</w:t>
      </w:r>
      <w:proofErr w:type="spellEnd"/>
      <w:r w:rsidR="0066461E" w:rsidRPr="009917E6">
        <w:rPr>
          <w:i/>
        </w:rPr>
        <w:t xml:space="preserve"> Ranch</w:t>
      </w:r>
      <w:r w:rsidR="00BE660B" w:rsidRPr="009917E6">
        <w:t>).</w:t>
      </w:r>
      <w:r w:rsidR="000C3382">
        <w:t xml:space="preserve">  </w:t>
      </w:r>
      <w:r w:rsidR="00620DC8">
        <w:t xml:space="preserve">The </w:t>
      </w:r>
      <w:proofErr w:type="spellStart"/>
      <w:r w:rsidR="00620DC8">
        <w:rPr>
          <w:i/>
        </w:rPr>
        <w:t>Wallich’s</w:t>
      </w:r>
      <w:proofErr w:type="spellEnd"/>
      <w:r w:rsidR="00620DC8">
        <w:rPr>
          <w:i/>
        </w:rPr>
        <w:t xml:space="preserve"> Ranch </w:t>
      </w:r>
      <w:r w:rsidR="00620DC8">
        <w:t>court</w:t>
      </w:r>
      <w:r w:rsidR="00BE660B" w:rsidRPr="009917E6">
        <w:t xml:space="preserve"> </w:t>
      </w:r>
      <w:r w:rsidR="00F53836" w:rsidRPr="009917E6">
        <w:t xml:space="preserve">held that a </w:t>
      </w:r>
      <w:r w:rsidR="00E91B56" w:rsidRPr="009917E6">
        <w:t xml:space="preserve">party seeking to challenge </w:t>
      </w:r>
      <w:r w:rsidR="00F53836" w:rsidRPr="009917E6">
        <w:t xml:space="preserve">an assessment under the Citrus Pest District Control Law (Food &amp; </w:t>
      </w:r>
      <w:proofErr w:type="spellStart"/>
      <w:r w:rsidR="00F53836" w:rsidRPr="009917E6">
        <w:t>A</w:t>
      </w:r>
      <w:r w:rsidR="00F44CEB" w:rsidRPr="009917E6">
        <w:t>gr</w:t>
      </w:r>
      <w:proofErr w:type="spellEnd"/>
      <w:proofErr w:type="gramStart"/>
      <w:r w:rsidR="00F44CEB" w:rsidRPr="009917E6">
        <w:t xml:space="preserve">. </w:t>
      </w:r>
      <w:proofErr w:type="gramEnd"/>
      <w:r w:rsidR="00F44CEB" w:rsidRPr="009917E6">
        <w:t xml:space="preserve">Code, § 8401 et seq.; </w:t>
      </w:r>
      <w:r w:rsidR="000F03F4" w:rsidRPr="009917E6">
        <w:t xml:space="preserve">Pest Control Law) </w:t>
      </w:r>
      <w:r w:rsidR="00E91B56" w:rsidRPr="009917E6">
        <w:t xml:space="preserve">must first exhaust remedies by raising its </w:t>
      </w:r>
      <w:r w:rsidR="000F03F4" w:rsidRPr="009917E6">
        <w:t xml:space="preserve">challenge at the </w:t>
      </w:r>
      <w:r w:rsidR="00E91B56" w:rsidRPr="009917E6">
        <w:t xml:space="preserve">agency’s annual budget hearing, thus allowing the </w:t>
      </w:r>
      <w:r w:rsidR="001D53D3" w:rsidRPr="009917E6">
        <w:t xml:space="preserve">agency to </w:t>
      </w:r>
      <w:r w:rsidR="00E24AC1" w:rsidRPr="009917E6">
        <w:t xml:space="preserve">respond, </w:t>
      </w:r>
      <w:r w:rsidR="00E91B56" w:rsidRPr="009917E6">
        <w:t>formulate a resolution</w:t>
      </w:r>
      <w:r w:rsidR="00E24AC1" w:rsidRPr="009917E6">
        <w:t>,</w:t>
      </w:r>
      <w:r w:rsidR="001D53D3" w:rsidRPr="009917E6">
        <w:t xml:space="preserve"> and modify its budget </w:t>
      </w:r>
      <w:r w:rsidR="00E24AC1" w:rsidRPr="009917E6">
        <w:t>if necessary</w:t>
      </w:r>
      <w:r w:rsidR="00E91B56" w:rsidRPr="009917E6">
        <w:t>.  (</w:t>
      </w:r>
      <w:proofErr w:type="spellStart"/>
      <w:r w:rsidR="00E91B56" w:rsidRPr="009917E6">
        <w:rPr>
          <w:i/>
        </w:rPr>
        <w:t>Wallich’s</w:t>
      </w:r>
      <w:proofErr w:type="spellEnd"/>
      <w:r w:rsidR="0066461E" w:rsidRPr="009917E6">
        <w:rPr>
          <w:i/>
        </w:rPr>
        <w:t xml:space="preserve"> Ranch</w:t>
      </w:r>
      <w:r w:rsidR="00E91B56" w:rsidRPr="009917E6">
        <w:rPr>
          <w:i/>
        </w:rPr>
        <w:t xml:space="preserve">, </w:t>
      </w:r>
      <w:r w:rsidR="00E91B56" w:rsidRPr="009917E6">
        <w:t xml:space="preserve">at p. 885.)  </w:t>
      </w:r>
      <w:r w:rsidR="00E404B9" w:rsidRPr="009917E6">
        <w:t xml:space="preserve">The court here reasoned that </w:t>
      </w:r>
      <w:proofErr w:type="spellStart"/>
      <w:r w:rsidR="00E404B9" w:rsidRPr="009917E6">
        <w:rPr>
          <w:i/>
        </w:rPr>
        <w:t>Wallich’s</w:t>
      </w:r>
      <w:proofErr w:type="spellEnd"/>
      <w:r w:rsidR="00E404B9" w:rsidRPr="009917E6">
        <w:rPr>
          <w:i/>
        </w:rPr>
        <w:t xml:space="preserve"> Ranch</w:t>
      </w:r>
      <w:r w:rsidR="00047F0C" w:rsidRPr="009917E6">
        <w:t xml:space="preserve"> applies</w:t>
      </w:r>
      <w:r w:rsidR="00E404B9" w:rsidRPr="009917E6">
        <w:t xml:space="preserve"> because the Proposition</w:t>
      </w:r>
      <w:r w:rsidR="00556E77">
        <w:t> </w:t>
      </w:r>
      <w:r w:rsidR="00E404B9" w:rsidRPr="009917E6">
        <w:t>218 hearing procedure is inextricably inter</w:t>
      </w:r>
      <w:r w:rsidR="00DC3C9E" w:rsidRPr="009917E6">
        <w:t>t</w:t>
      </w:r>
      <w:r w:rsidR="00E404B9" w:rsidRPr="009917E6">
        <w:t>wined with the District’s annual budget process</w:t>
      </w:r>
      <w:r w:rsidR="00A65AD0">
        <w:t>, which reviews costs and determines the need for revisions in fees</w:t>
      </w:r>
      <w:r w:rsidR="00E404B9" w:rsidRPr="009917E6">
        <w:t>.</w:t>
      </w:r>
      <w:r w:rsidR="00E91B56" w:rsidRPr="009917E6">
        <w:t xml:space="preserve"> </w:t>
      </w:r>
      <w:r w:rsidR="000C3382">
        <w:t xml:space="preserve"> </w:t>
      </w:r>
      <w:r w:rsidR="00047F0C" w:rsidRPr="009917E6">
        <w:t>It n</w:t>
      </w:r>
      <w:r w:rsidR="00A2363A" w:rsidRPr="009917E6">
        <w:t xml:space="preserve">oted that </w:t>
      </w:r>
      <w:r w:rsidR="004C596A" w:rsidRPr="009917E6">
        <w:t>Proposition</w:t>
      </w:r>
      <w:r w:rsidR="00556E77">
        <w:t> </w:t>
      </w:r>
      <w:r w:rsidR="004C596A" w:rsidRPr="009917E6">
        <w:t>218</w:t>
      </w:r>
      <w:r w:rsidR="00A2363A" w:rsidRPr="009917E6">
        <w:t xml:space="preserve"> requires the local agency to </w:t>
      </w:r>
      <w:r w:rsidR="004C596A" w:rsidRPr="009917E6">
        <w:t>“</w:t>
      </w:r>
      <w:r w:rsidR="00A2363A" w:rsidRPr="009917E6">
        <w:t>consider all protests</w:t>
      </w:r>
      <w:r w:rsidR="004C596A" w:rsidRPr="009917E6">
        <w:t>”</w:t>
      </w:r>
      <w:r w:rsidR="003A5A38">
        <w:t xml:space="preserve"> (art. XIII D, § 6, </w:t>
      </w:r>
      <w:proofErr w:type="spellStart"/>
      <w:r w:rsidR="003A5A38">
        <w:t>subd</w:t>
      </w:r>
      <w:proofErr w:type="spellEnd"/>
      <w:proofErr w:type="gramStart"/>
      <w:r w:rsidR="003A5A38">
        <w:t xml:space="preserve">. </w:t>
      </w:r>
      <w:proofErr w:type="gramEnd"/>
      <w:r w:rsidR="003A5A38">
        <w:t>(a)(2))</w:t>
      </w:r>
      <w:r w:rsidR="004C596A" w:rsidRPr="009917E6">
        <w:t xml:space="preserve"> at the</w:t>
      </w:r>
      <w:r w:rsidR="00556E77">
        <w:t xml:space="preserve"> </w:t>
      </w:r>
      <w:r w:rsidR="004C596A" w:rsidRPr="009917E6">
        <w:t xml:space="preserve">public hearing </w:t>
      </w:r>
      <w:r w:rsidR="00A65AD0">
        <w:t xml:space="preserve">required before fees are increased but that the </w:t>
      </w:r>
      <w:r w:rsidR="004C596A" w:rsidRPr="009917E6">
        <w:t>agency obviously could not consider a protest that was never made.</w:t>
      </w:r>
    </w:p>
    <w:p w:rsidR="00AD0F7E" w:rsidRPr="009917E6" w:rsidRDefault="00C70936" w:rsidP="00840A58">
      <w:pPr>
        <w:tabs>
          <w:tab w:val="left" w:pos="1440"/>
        </w:tabs>
        <w:ind w:firstLine="720"/>
      </w:pPr>
      <w:r w:rsidRPr="009917E6">
        <w:t xml:space="preserve">It was undisputed </w:t>
      </w:r>
      <w:r w:rsidR="0080190B" w:rsidRPr="009917E6">
        <w:t>that none o</w:t>
      </w:r>
      <w:r w:rsidR="006E30BD" w:rsidRPr="009917E6">
        <w:t xml:space="preserve">f the representative plaintiffs </w:t>
      </w:r>
      <w:r w:rsidR="0080190B" w:rsidRPr="009917E6">
        <w:t>participated in the Proposition</w:t>
      </w:r>
      <w:r w:rsidR="00601ED3">
        <w:t> </w:t>
      </w:r>
      <w:r w:rsidR="0080190B" w:rsidRPr="009917E6">
        <w:t xml:space="preserve">218 </w:t>
      </w:r>
      <w:r w:rsidR="00A41A2F">
        <w:t xml:space="preserve">rate increase </w:t>
      </w:r>
      <w:r w:rsidR="0080190B" w:rsidRPr="009917E6">
        <w:lastRenderedPageBreak/>
        <w:t>hearings</w:t>
      </w:r>
      <w:r w:rsidR="006E30BD" w:rsidRPr="009917E6">
        <w:t xml:space="preserve"> </w:t>
      </w:r>
      <w:r w:rsidR="00050F2E" w:rsidRPr="009917E6">
        <w:t xml:space="preserve">by </w:t>
      </w:r>
      <w:r w:rsidR="006E30BD" w:rsidRPr="009917E6">
        <w:t>either sub</w:t>
      </w:r>
      <w:r w:rsidR="00050F2E" w:rsidRPr="009917E6">
        <w:t>mitting a written protest or</w:t>
      </w:r>
      <w:r w:rsidR="006E30BD" w:rsidRPr="009917E6">
        <w:t xml:space="preserve"> speaking </w:t>
      </w:r>
      <w:r w:rsidR="00050F2E" w:rsidRPr="009917E6">
        <w:t>at a hearing</w:t>
      </w:r>
      <w:r w:rsidR="0080190B" w:rsidRPr="009917E6">
        <w:t>.</w:t>
      </w:r>
      <w:r w:rsidR="003E46C6" w:rsidRPr="009917E6">
        <w:rPr>
          <w:rStyle w:val="FootnoteReference"/>
        </w:rPr>
        <w:footnoteReference w:id="7"/>
      </w:r>
      <w:r w:rsidR="000C3382">
        <w:t xml:space="preserve">  </w:t>
      </w:r>
      <w:r w:rsidR="0080190B" w:rsidRPr="009917E6">
        <w:t>It was also undisputed</w:t>
      </w:r>
      <w:r w:rsidR="00050F2E" w:rsidRPr="009917E6">
        <w:t xml:space="preserve"> </w:t>
      </w:r>
      <w:r w:rsidR="00A0235A" w:rsidRPr="009917E6">
        <w:t xml:space="preserve">that the District did not receive a single written or oral protest objecting to the EDU </w:t>
      </w:r>
      <w:r w:rsidR="00A41A2F">
        <w:t>a</w:t>
      </w:r>
      <w:r w:rsidR="000323A8">
        <w:t>ssignment</w:t>
      </w:r>
      <w:r w:rsidR="00A41A2F">
        <w:t xml:space="preserve"> method</w:t>
      </w:r>
      <w:r w:rsidR="00A0235A" w:rsidRPr="009917E6">
        <w:t xml:space="preserve"> </w:t>
      </w:r>
      <w:r w:rsidR="00A65AD0">
        <w:t>at the</w:t>
      </w:r>
      <w:r w:rsidR="00A0235A" w:rsidRPr="009917E6">
        <w:t xml:space="preserve"> hearings conducted in 2012, 2013, and 2014.</w:t>
      </w:r>
      <w:r w:rsidR="0080190B" w:rsidRPr="009917E6">
        <w:t xml:space="preserve"> </w:t>
      </w:r>
    </w:p>
    <w:p w:rsidR="008E7431" w:rsidRPr="009917E6" w:rsidRDefault="00AD0F7E" w:rsidP="009917E6">
      <w:pPr>
        <w:tabs>
          <w:tab w:val="left" w:pos="1440"/>
        </w:tabs>
        <w:ind w:firstLine="720"/>
      </w:pPr>
      <w:r w:rsidRPr="009917E6">
        <w:t xml:space="preserve"> </w:t>
      </w:r>
      <w:r w:rsidR="00B21D67" w:rsidRPr="009917E6">
        <w:t>Plaintiffs’ counsel urged that</w:t>
      </w:r>
      <w:r w:rsidR="00A65AD0">
        <w:t xml:space="preserve"> any </w:t>
      </w:r>
      <w:r w:rsidRPr="009917E6">
        <w:t>protest</w:t>
      </w:r>
      <w:r w:rsidR="00B21D67" w:rsidRPr="009917E6">
        <w:t xml:space="preserve"> at the</w:t>
      </w:r>
      <w:r w:rsidR="00A41A2F">
        <w:t>se</w:t>
      </w:r>
      <w:r w:rsidR="00B21D67" w:rsidRPr="009917E6">
        <w:t xml:space="preserve"> Proposition</w:t>
      </w:r>
      <w:r w:rsidR="002C3B77">
        <w:t xml:space="preserve"> </w:t>
      </w:r>
      <w:r w:rsidR="00B21D67" w:rsidRPr="009917E6">
        <w:t>218 hearings</w:t>
      </w:r>
      <w:r w:rsidR="00A65AD0">
        <w:t xml:space="preserve"> would have been futile</w:t>
      </w:r>
      <w:r w:rsidR="009A3047">
        <w:t xml:space="preserve">.  </w:t>
      </w:r>
      <w:r w:rsidR="009D4458" w:rsidRPr="009D4458">
        <w:t>Counsel cited the District’s repeated rejection of the EDU assignment challenge at various meetings and in response to plaintiffs’ administrative claim</w:t>
      </w:r>
      <w:r w:rsidR="00A24B53" w:rsidRPr="009917E6">
        <w:t>.</w:t>
      </w:r>
      <w:r w:rsidR="008975FB">
        <w:t xml:space="preserve">  </w:t>
      </w:r>
      <w:r w:rsidR="0066461E" w:rsidRPr="009917E6">
        <w:t>The trial court rejected the futility argument</w:t>
      </w:r>
      <w:r w:rsidR="00656B05" w:rsidRPr="009917E6">
        <w:t xml:space="preserve"> </w:t>
      </w:r>
      <w:r w:rsidR="009A3047">
        <w:t xml:space="preserve">because </w:t>
      </w:r>
      <w:r w:rsidR="00A24B53" w:rsidRPr="009917E6">
        <w:t xml:space="preserve">District witnesses </w:t>
      </w:r>
      <w:r w:rsidR="009170EE" w:rsidRPr="009917E6">
        <w:t>testified</w:t>
      </w:r>
      <w:r w:rsidR="0066461E" w:rsidRPr="009917E6">
        <w:t xml:space="preserve"> that any challenge to the EDU </w:t>
      </w:r>
      <w:r w:rsidR="00A41A2F">
        <w:t xml:space="preserve">assignment </w:t>
      </w:r>
      <w:r w:rsidR="0066461E" w:rsidRPr="009917E6">
        <w:t>method would have received careful consideration at the Proposition</w:t>
      </w:r>
      <w:r w:rsidR="002C3B77">
        <w:t> 2</w:t>
      </w:r>
      <w:r w:rsidR="00CA01A1" w:rsidRPr="009917E6">
        <w:t>18 hearings.</w:t>
      </w:r>
    </w:p>
    <w:p w:rsidR="000F3F73" w:rsidRPr="009917E6" w:rsidRDefault="008E7431" w:rsidP="006E1FCB">
      <w:pPr>
        <w:tabs>
          <w:tab w:val="left" w:pos="1440"/>
        </w:tabs>
        <w:ind w:firstLine="720"/>
      </w:pPr>
      <w:r w:rsidRPr="009917E6">
        <w:t xml:space="preserve"> </w:t>
      </w:r>
      <w:r w:rsidR="000A5006" w:rsidRPr="009917E6">
        <w:t>The Court of Appeal reversed</w:t>
      </w:r>
      <w:r w:rsidR="00EB3413" w:rsidRPr="009917E6">
        <w:t>, holding</w:t>
      </w:r>
      <w:r w:rsidR="00276E7F" w:rsidRPr="009917E6">
        <w:t xml:space="preserve"> that plaintiffs’ class action is not barred by their failure to </w:t>
      </w:r>
      <w:r w:rsidR="008E5CBD" w:rsidRPr="009917E6">
        <w:t xml:space="preserve">participate in </w:t>
      </w:r>
      <w:r w:rsidR="00276E7F" w:rsidRPr="009917E6">
        <w:t>the</w:t>
      </w:r>
      <w:r w:rsidR="000D2D1C" w:rsidRPr="009917E6">
        <w:t xml:space="preserve"> hearings</w:t>
      </w:r>
      <w:r w:rsidR="000A5006" w:rsidRPr="009917E6">
        <w:t>.</w:t>
      </w:r>
      <w:r w:rsidR="00E2081B">
        <w:t xml:space="preserve">  </w:t>
      </w:r>
      <w:r w:rsidR="00D60C1F" w:rsidRPr="009917E6">
        <w:t xml:space="preserve">The </w:t>
      </w:r>
      <w:r w:rsidR="00026E26" w:rsidRPr="009917E6">
        <w:t xml:space="preserve">appellate </w:t>
      </w:r>
      <w:r w:rsidR="003B5C35" w:rsidRPr="009917E6">
        <w:t>court</w:t>
      </w:r>
      <w:r w:rsidR="00D60C1F" w:rsidRPr="009917E6">
        <w:rPr>
          <w:i/>
        </w:rPr>
        <w:t xml:space="preserve"> </w:t>
      </w:r>
      <w:r w:rsidR="00276E7F" w:rsidRPr="009917E6">
        <w:t>reasoned</w:t>
      </w:r>
      <w:r w:rsidR="00857C93" w:rsidRPr="009917E6">
        <w:t xml:space="preserve"> that a challenge to a fee on the ground it violates one of the substantive requirements of </w:t>
      </w:r>
      <w:r w:rsidR="003A5A38">
        <w:t xml:space="preserve">article XIII D, </w:t>
      </w:r>
      <w:r w:rsidR="00857C93" w:rsidRPr="004C4C9D">
        <w:t>section</w:t>
      </w:r>
      <w:r w:rsidR="000853F3" w:rsidRPr="004C4C9D">
        <w:t> </w:t>
      </w:r>
      <w:r w:rsidR="00857C93" w:rsidRPr="004C4C9D">
        <w:t>6, subdivision</w:t>
      </w:r>
      <w:r w:rsidR="000853F3" w:rsidRPr="004C4C9D">
        <w:t> </w:t>
      </w:r>
      <w:r w:rsidR="00857C93" w:rsidRPr="004C4C9D">
        <w:t xml:space="preserve">(b) </w:t>
      </w:r>
      <w:r w:rsidR="00F45E36" w:rsidRPr="004C4C9D">
        <w:t>exceeds</w:t>
      </w:r>
      <w:r w:rsidR="00D60C1F" w:rsidRPr="004C4C9D">
        <w:t xml:space="preserve"> the </w:t>
      </w:r>
      <w:r w:rsidR="00857C93" w:rsidRPr="004C4C9D">
        <w:t xml:space="preserve">scope of </w:t>
      </w:r>
      <w:r w:rsidR="00F45E36" w:rsidRPr="004C4C9D">
        <w:t>a Proposition 218 hearing</w:t>
      </w:r>
      <w:r w:rsidR="00741BC8">
        <w:t xml:space="preserve"> limited to </w:t>
      </w:r>
      <w:r w:rsidR="00F45E36" w:rsidRPr="004C4C9D">
        <w:t xml:space="preserve">protests over whether a proposed fee should be imposed or increased.  </w:t>
      </w:r>
      <w:r w:rsidR="004C2416" w:rsidRPr="004C4C9D">
        <w:t xml:space="preserve">(See </w:t>
      </w:r>
      <w:r w:rsidR="003A5A38">
        <w:t xml:space="preserve">art. XIII D, </w:t>
      </w:r>
      <w:r w:rsidR="004C2416" w:rsidRPr="004C4C9D">
        <w:t xml:space="preserve">§ 6, </w:t>
      </w:r>
      <w:proofErr w:type="spellStart"/>
      <w:r w:rsidR="004C2416" w:rsidRPr="004C4C9D">
        <w:t>subd</w:t>
      </w:r>
      <w:proofErr w:type="spellEnd"/>
      <w:proofErr w:type="gramStart"/>
      <w:r w:rsidR="004C2416" w:rsidRPr="004C4C9D">
        <w:t xml:space="preserve">. </w:t>
      </w:r>
      <w:proofErr w:type="gramEnd"/>
      <w:r w:rsidR="004C2416" w:rsidRPr="004C4C9D">
        <w:t>(a).)  Further, e</w:t>
      </w:r>
      <w:r w:rsidR="00453843" w:rsidRPr="004C4C9D">
        <w:t>ven if</w:t>
      </w:r>
      <w:r w:rsidR="004C2416" w:rsidRPr="004C4C9D">
        <w:t xml:space="preserve"> plaintiffs’</w:t>
      </w:r>
      <w:r w:rsidR="00453843" w:rsidRPr="004C4C9D">
        <w:t xml:space="preserve"> challenge </w:t>
      </w:r>
      <w:r w:rsidR="004C2416" w:rsidRPr="004C4C9D">
        <w:t>did come within the scope of a hearing, any re</w:t>
      </w:r>
      <w:r w:rsidR="004C2416">
        <w:t xml:space="preserve">medy it afforded is inadequate. </w:t>
      </w:r>
      <w:r w:rsidR="00E2081B">
        <w:t xml:space="preserve"> </w:t>
      </w:r>
      <w:r w:rsidR="00276E7F" w:rsidRPr="009917E6">
        <w:t>According to the</w:t>
      </w:r>
      <w:r w:rsidR="00531E7E" w:rsidRPr="009917E6">
        <w:t xml:space="preserve"> appellate</w:t>
      </w:r>
      <w:r w:rsidR="00276E7F" w:rsidRPr="009917E6">
        <w:t xml:space="preserve"> court, </w:t>
      </w:r>
      <w:r w:rsidR="003B5C35" w:rsidRPr="009917E6">
        <w:t xml:space="preserve">it is implausible </w:t>
      </w:r>
      <w:r w:rsidR="000D2D1C" w:rsidRPr="009917E6">
        <w:t xml:space="preserve">that </w:t>
      </w:r>
      <w:proofErr w:type="gramStart"/>
      <w:r w:rsidR="00FA25FA" w:rsidRPr="009917E6">
        <w:t>a majority of</w:t>
      </w:r>
      <w:proofErr w:type="gramEnd"/>
      <w:r w:rsidR="00FA25FA" w:rsidRPr="009917E6">
        <w:t xml:space="preserve"> parcel owners would submit written protests</w:t>
      </w:r>
      <w:r w:rsidR="000D2D1C" w:rsidRPr="009917E6">
        <w:t xml:space="preserve"> under the circumstances presented here</w:t>
      </w:r>
      <w:r w:rsidR="00FA25FA" w:rsidRPr="009917E6">
        <w:t xml:space="preserve"> </w:t>
      </w:r>
      <w:r w:rsidR="004C2416">
        <w:t>to</w:t>
      </w:r>
      <w:r w:rsidR="003B5C35" w:rsidRPr="009917E6">
        <w:t xml:space="preserve"> trigger</w:t>
      </w:r>
      <w:r w:rsidR="003209ED" w:rsidRPr="009917E6">
        <w:t xml:space="preserve"> the majority </w:t>
      </w:r>
      <w:r w:rsidR="003209ED" w:rsidRPr="009917E6">
        <w:lastRenderedPageBreak/>
        <w:t xml:space="preserve">protest remedy of article XIII D, </w:t>
      </w:r>
      <w:r w:rsidR="003B5C35" w:rsidRPr="009917E6">
        <w:t>section</w:t>
      </w:r>
      <w:r w:rsidR="000853F3">
        <w:t> </w:t>
      </w:r>
      <w:r w:rsidR="003B5C35" w:rsidRPr="009917E6">
        <w:t>6</w:t>
      </w:r>
      <w:r w:rsidR="003209ED" w:rsidRPr="009917E6">
        <w:t>,</w:t>
      </w:r>
      <w:r w:rsidR="003B5C35" w:rsidRPr="009917E6">
        <w:t xml:space="preserve"> </w:t>
      </w:r>
      <w:r w:rsidR="004C2416">
        <w:t xml:space="preserve">and invalidate a proposed fee or fee increase.  </w:t>
      </w:r>
      <w:r w:rsidR="00531E7E" w:rsidRPr="009917E6">
        <w:t>Addressing P</w:t>
      </w:r>
      <w:r w:rsidR="00795291" w:rsidRPr="009917E6">
        <w:t>roposition</w:t>
      </w:r>
      <w:r w:rsidR="000853F3">
        <w:t> </w:t>
      </w:r>
      <w:r w:rsidR="00795291" w:rsidRPr="009917E6">
        <w:t>218’s requirement that an agency “ ‘consider all protests’ at the public meeting,” the court stated that “merely havi</w:t>
      </w:r>
      <w:r w:rsidR="00531E7E" w:rsidRPr="009917E6">
        <w:t>ng an agency consider a protest—</w:t>
      </w:r>
      <w:r w:rsidR="00795291" w:rsidRPr="009917E6">
        <w:t>without more</w:t>
      </w:r>
      <w:r w:rsidR="00531E7E" w:rsidRPr="009917E6">
        <w:t>—</w:t>
      </w:r>
      <w:r w:rsidR="00795291" w:rsidRPr="009917E6">
        <w:t>is insufficient to creat</w:t>
      </w:r>
      <w:r w:rsidR="00026E26" w:rsidRPr="009917E6">
        <w:t>e</w:t>
      </w:r>
      <w:r w:rsidR="00795291" w:rsidRPr="009917E6">
        <w:t xml:space="preserve"> a mandatory exhaustion requirement.</w:t>
      </w:r>
      <w:r w:rsidR="003846CE">
        <w:t xml:space="preserve">”  The Court of Appeal concluded that </w:t>
      </w:r>
      <w:proofErr w:type="spellStart"/>
      <w:r w:rsidR="003846CE">
        <w:rPr>
          <w:i/>
        </w:rPr>
        <w:t>Wallich’s</w:t>
      </w:r>
      <w:proofErr w:type="spellEnd"/>
      <w:r w:rsidR="003846CE">
        <w:rPr>
          <w:i/>
        </w:rPr>
        <w:t xml:space="preserve"> Ranch </w:t>
      </w:r>
      <w:r w:rsidR="003846CE">
        <w:t>is distinguishable</w:t>
      </w:r>
      <w:r w:rsidR="00AD30DF">
        <w:t>.</w:t>
      </w:r>
    </w:p>
    <w:p w:rsidR="00B96D1D" w:rsidRPr="009917E6" w:rsidRDefault="00B96D1D" w:rsidP="001D3DCF">
      <w:pPr>
        <w:tabs>
          <w:tab w:val="left" w:pos="1440"/>
        </w:tabs>
        <w:jc w:val="center"/>
      </w:pPr>
      <w:r w:rsidRPr="009917E6">
        <w:t>II.  DISCUSSION</w:t>
      </w:r>
    </w:p>
    <w:p w:rsidR="00012456" w:rsidRPr="009917E6" w:rsidRDefault="00670CA0" w:rsidP="009917E6">
      <w:pPr>
        <w:tabs>
          <w:tab w:val="left" w:pos="1440"/>
        </w:tabs>
        <w:ind w:firstLine="720"/>
      </w:pPr>
      <w:r w:rsidRPr="009917E6">
        <w:t>We granted review</w:t>
      </w:r>
      <w:r w:rsidR="00E60B3F" w:rsidRPr="009917E6">
        <w:t xml:space="preserve"> to resolve whether a fee payor </w:t>
      </w:r>
      <w:r w:rsidR="003B2ED5">
        <w:t>seeking t</w:t>
      </w:r>
      <w:r w:rsidR="005647F7">
        <w:t>o</w:t>
      </w:r>
      <w:r w:rsidR="003B2ED5">
        <w:t xml:space="preserve"> challenge an agency’s method of calculating a property-related fee </w:t>
      </w:r>
      <w:r w:rsidRPr="009917E6">
        <w:t xml:space="preserve">must </w:t>
      </w:r>
      <w:r w:rsidR="00CC01D9">
        <w:t xml:space="preserve">first </w:t>
      </w:r>
      <w:r w:rsidR="00C85888" w:rsidRPr="009917E6">
        <w:t>participate</w:t>
      </w:r>
      <w:r w:rsidRPr="009917E6">
        <w:t xml:space="preserve"> </w:t>
      </w:r>
      <w:r w:rsidR="00CC01D9">
        <w:t xml:space="preserve">in a </w:t>
      </w:r>
      <w:r w:rsidR="005126E9">
        <w:t xml:space="preserve">Proposition 218 </w:t>
      </w:r>
      <w:r w:rsidR="00CD7C1C">
        <w:t xml:space="preserve">public hearing </w:t>
      </w:r>
      <w:r w:rsidR="00CC01D9">
        <w:t xml:space="preserve">at which the agency considers a proposed </w:t>
      </w:r>
      <w:r w:rsidR="00902E94">
        <w:t>rate</w:t>
      </w:r>
      <w:r w:rsidR="00CC01D9">
        <w:t xml:space="preserve"> increase.  </w:t>
      </w:r>
      <w:r w:rsidR="0069646F">
        <w:t xml:space="preserve">Review is de novo.  </w:t>
      </w:r>
      <w:r w:rsidR="0096002C" w:rsidRPr="009917E6">
        <w:t>(</w:t>
      </w:r>
      <w:r w:rsidR="00953020">
        <w:t xml:space="preserve">See </w:t>
      </w:r>
      <w:r w:rsidR="00953020" w:rsidRPr="009917E6">
        <w:rPr>
          <w:i/>
        </w:rPr>
        <w:t xml:space="preserve">Greene v. Marin County Flood Control &amp; Water Conservation Dist. </w:t>
      </w:r>
      <w:r w:rsidR="00953020" w:rsidRPr="009917E6">
        <w:t>(2010) 49 Cal.4th 277, 287</w:t>
      </w:r>
      <w:r w:rsidR="00953020">
        <w:t xml:space="preserve">; </w:t>
      </w:r>
      <w:r w:rsidR="0096002C" w:rsidRPr="009917E6">
        <w:rPr>
          <w:i/>
        </w:rPr>
        <w:t xml:space="preserve">Citizens for Open Government v. City of Lodi </w:t>
      </w:r>
      <w:r w:rsidR="0096002C" w:rsidRPr="009917E6">
        <w:t xml:space="preserve">(2006) 144 Cal.App.4th </w:t>
      </w:r>
      <w:r w:rsidR="00846D9B" w:rsidRPr="009917E6">
        <w:t xml:space="preserve">865, </w:t>
      </w:r>
      <w:r w:rsidR="0096002C" w:rsidRPr="009917E6">
        <w:t>873</w:t>
      </w:r>
      <w:r w:rsidR="00D46C6B">
        <w:t>.</w:t>
      </w:r>
      <w:r w:rsidR="004A3A92" w:rsidRPr="009917E6">
        <w:t>)</w:t>
      </w:r>
    </w:p>
    <w:p w:rsidR="006134B5" w:rsidRPr="009917E6" w:rsidRDefault="006134B5" w:rsidP="009917E6">
      <w:pPr>
        <w:keepNext/>
        <w:tabs>
          <w:tab w:val="left" w:pos="1440"/>
        </w:tabs>
        <w:ind w:firstLine="720"/>
      </w:pPr>
      <w:r w:rsidRPr="009917E6">
        <w:t>A.</w:t>
      </w:r>
      <w:r w:rsidRPr="009917E6">
        <w:tab/>
      </w:r>
      <w:r w:rsidR="00531DBB" w:rsidRPr="009917E6">
        <w:rPr>
          <w:i/>
        </w:rPr>
        <w:t>Proposition</w:t>
      </w:r>
      <w:r w:rsidR="007A6905">
        <w:rPr>
          <w:i/>
        </w:rPr>
        <w:t> </w:t>
      </w:r>
      <w:r w:rsidR="00531DBB" w:rsidRPr="009917E6">
        <w:rPr>
          <w:i/>
        </w:rPr>
        <w:t>218</w:t>
      </w:r>
    </w:p>
    <w:p w:rsidR="00CF626E" w:rsidRPr="009917E6" w:rsidRDefault="00A007E9" w:rsidP="009917E6">
      <w:pPr>
        <w:tabs>
          <w:tab w:val="left" w:pos="1440"/>
        </w:tabs>
        <w:ind w:firstLine="720"/>
      </w:pPr>
      <w:r w:rsidRPr="009917E6">
        <w:t>Proposition</w:t>
      </w:r>
      <w:r w:rsidR="007A6905">
        <w:t> </w:t>
      </w:r>
      <w:r w:rsidRPr="009917E6">
        <w:t>218</w:t>
      </w:r>
      <w:r w:rsidR="00A74073">
        <w:t>, approved by voters in 1996,</w:t>
      </w:r>
      <w:r w:rsidRPr="009917E6">
        <w:t xml:space="preserve"> </w:t>
      </w:r>
      <w:r w:rsidR="006A37A7" w:rsidRPr="009917E6">
        <w:t>i</w:t>
      </w:r>
      <w:r w:rsidRPr="009917E6">
        <w:t xml:space="preserve">s one of a series of voter initiatives </w:t>
      </w:r>
      <w:r w:rsidR="001500FB">
        <w:t>restricting</w:t>
      </w:r>
      <w:r w:rsidR="006A37A7" w:rsidRPr="009917E6">
        <w:t xml:space="preserve"> the ability</w:t>
      </w:r>
      <w:r w:rsidRPr="009917E6">
        <w:t xml:space="preserve"> of state and local governments to impose taxes</w:t>
      </w:r>
      <w:r w:rsidR="0071344C" w:rsidRPr="009917E6">
        <w:t xml:space="preserve"> and fees</w:t>
      </w:r>
      <w:r w:rsidRPr="009917E6">
        <w:t>.  (</w:t>
      </w:r>
      <w:r w:rsidR="00153904" w:rsidRPr="009917E6">
        <w:rPr>
          <w:i/>
        </w:rPr>
        <w:t xml:space="preserve">Jacks v. City of Santa Barbara </w:t>
      </w:r>
      <w:r w:rsidR="00153904" w:rsidRPr="009917E6">
        <w:t xml:space="preserve">(2017) 3 Cal.5th 248, </w:t>
      </w:r>
      <w:r w:rsidR="0071344C" w:rsidRPr="009917E6">
        <w:t>258–260.</w:t>
      </w:r>
      <w:r w:rsidRPr="009917E6">
        <w:t xml:space="preserve">)  </w:t>
      </w:r>
      <w:r w:rsidR="0071344C" w:rsidRPr="009917E6">
        <w:t xml:space="preserve">The first of these measures was </w:t>
      </w:r>
      <w:r w:rsidR="006A37A7" w:rsidRPr="009917E6">
        <w:t>Proposition</w:t>
      </w:r>
      <w:r w:rsidR="007A6905">
        <w:t> 1</w:t>
      </w:r>
      <w:r w:rsidR="0071344C" w:rsidRPr="009917E6">
        <w:t>3,</w:t>
      </w:r>
      <w:r w:rsidR="00A74073">
        <w:t xml:space="preserve"> adopted in 1978, </w:t>
      </w:r>
      <w:r w:rsidR="001B4262">
        <w:t>which</w:t>
      </w:r>
      <w:r w:rsidR="0071344C" w:rsidRPr="009917E6">
        <w:t xml:space="preserve"> limited ad valorem</w:t>
      </w:r>
      <w:r w:rsidR="00180A7D">
        <w:rPr>
          <w:rStyle w:val="FootnoteReference"/>
        </w:rPr>
        <w:footnoteReference w:id="8"/>
      </w:r>
      <w:r w:rsidR="0071344C" w:rsidRPr="009917E6">
        <w:t xml:space="preserve"> property taxes to 1 percent of a property’s a</w:t>
      </w:r>
      <w:r w:rsidR="00E60B3F" w:rsidRPr="009917E6">
        <w:t>ssessed valuation and limited annual i</w:t>
      </w:r>
      <w:r w:rsidR="00E10DBC" w:rsidRPr="009917E6">
        <w:t xml:space="preserve">ncreases in </w:t>
      </w:r>
      <w:r w:rsidR="002564C0" w:rsidRPr="009917E6">
        <w:t xml:space="preserve">valuation to 2 percent </w:t>
      </w:r>
      <w:r w:rsidR="00455101">
        <w:t>without</w:t>
      </w:r>
      <w:r w:rsidR="000B4850" w:rsidRPr="009917E6">
        <w:t xml:space="preserve"> </w:t>
      </w:r>
      <w:r w:rsidR="00E10DBC" w:rsidRPr="009917E6">
        <w:t>a change in ownership.  (</w:t>
      </w:r>
      <w:r w:rsidR="00D46C6B">
        <w:rPr>
          <w:i/>
        </w:rPr>
        <w:t>Jacks v. City of Santa Barbara</w:t>
      </w:r>
      <w:r w:rsidR="00D46C6B">
        <w:t>,</w:t>
      </w:r>
      <w:r w:rsidR="00E10DBC" w:rsidRPr="009917E6">
        <w:t xml:space="preserve"> at p.</w:t>
      </w:r>
      <w:r w:rsidR="00E769D9">
        <w:t> </w:t>
      </w:r>
      <w:r w:rsidR="00E10DBC" w:rsidRPr="009917E6">
        <w:t xml:space="preserve">258; art. XIII A, §§ 1, 2.)  To prevent local governments </w:t>
      </w:r>
      <w:r w:rsidR="00E10DBC" w:rsidRPr="009917E6">
        <w:lastRenderedPageBreak/>
        <w:t xml:space="preserve">from increasing special taxes to offset </w:t>
      </w:r>
      <w:r w:rsidR="000B718C" w:rsidRPr="009917E6">
        <w:t>restrictions on ad</w:t>
      </w:r>
      <w:r w:rsidR="00AE580C" w:rsidRPr="009917E6">
        <w:t xml:space="preserve"> valorem property taxes,</w:t>
      </w:r>
      <w:r w:rsidR="00E10DBC" w:rsidRPr="009917E6">
        <w:t xml:space="preserve"> Proposition</w:t>
      </w:r>
      <w:r w:rsidR="00EB5825">
        <w:t> </w:t>
      </w:r>
      <w:r w:rsidR="00E10DBC" w:rsidRPr="009917E6">
        <w:t xml:space="preserve">13 prohibited counties, cities, and special districts from imposing special taxes </w:t>
      </w:r>
      <w:r w:rsidR="00AE580C" w:rsidRPr="009917E6">
        <w:t>without a two-thirds vote of the electorate.  (</w:t>
      </w:r>
      <w:r w:rsidR="00AE580C" w:rsidRPr="009917E6">
        <w:rPr>
          <w:i/>
        </w:rPr>
        <w:t>Jacks</w:t>
      </w:r>
      <w:r w:rsidR="00D1759A" w:rsidRPr="009917E6">
        <w:rPr>
          <w:i/>
        </w:rPr>
        <w:t xml:space="preserve"> v. City of Santa Barbara</w:t>
      </w:r>
      <w:r w:rsidR="00AE580C" w:rsidRPr="009917E6">
        <w:rPr>
          <w:i/>
        </w:rPr>
        <w:t xml:space="preserve">, </w:t>
      </w:r>
      <w:r w:rsidR="00AE580C" w:rsidRPr="009917E6">
        <w:t>at p. 258; art. XIII A, § 4.)</w:t>
      </w:r>
      <w:r w:rsidR="00512AD4" w:rsidRPr="009917E6">
        <w:t xml:space="preserve">  But local governments were able to circumvent Propositio</w:t>
      </w:r>
      <w:r w:rsidR="00EB1274" w:rsidRPr="009917E6">
        <w:t>n</w:t>
      </w:r>
      <w:r w:rsidR="00057CC1">
        <w:t> </w:t>
      </w:r>
      <w:r w:rsidR="00EB1274" w:rsidRPr="009917E6">
        <w:t>13’s limitations by relying on</w:t>
      </w:r>
      <w:r w:rsidR="00512AD4" w:rsidRPr="009917E6">
        <w:t xml:space="preserve"> </w:t>
      </w:r>
      <w:r w:rsidR="00512AD4" w:rsidRPr="009917E6">
        <w:rPr>
          <w:i/>
        </w:rPr>
        <w:t xml:space="preserve">Knox v. City of Orland </w:t>
      </w:r>
      <w:r w:rsidR="00512AD4" w:rsidRPr="009917E6">
        <w:t>(1992) 4 Cal.4th 132, 14</w:t>
      </w:r>
      <w:r w:rsidR="00512AD4" w:rsidRPr="004C4C9D">
        <w:t xml:space="preserve">1, </w:t>
      </w:r>
      <w:r w:rsidR="00911985" w:rsidRPr="004C4C9D">
        <w:t>which held a “s</w:t>
      </w:r>
      <w:r w:rsidR="00512AD4" w:rsidRPr="004C4C9D">
        <w:t>pecial assessment” was not a “special tax”</w:t>
      </w:r>
      <w:r w:rsidR="00E34165" w:rsidRPr="004C4C9D">
        <w:t xml:space="preserve"> within the meaning of Proposition</w:t>
      </w:r>
      <w:r w:rsidR="0084615B" w:rsidRPr="004C4C9D">
        <w:t> </w:t>
      </w:r>
      <w:r w:rsidR="00E34165" w:rsidRPr="004C4C9D">
        <w:t>13.</w:t>
      </w:r>
      <w:r w:rsidR="00512AD4" w:rsidRPr="004C4C9D">
        <w:t xml:space="preserve">  (See </w:t>
      </w:r>
      <w:r w:rsidR="00512AD4" w:rsidRPr="004C4C9D">
        <w:rPr>
          <w:i/>
        </w:rPr>
        <w:t>Apartment As</w:t>
      </w:r>
      <w:r w:rsidR="00512AD4" w:rsidRPr="009917E6">
        <w:rPr>
          <w:i/>
        </w:rPr>
        <w:t xml:space="preserve">sn. of Los Angeles County, Inc. v. City of Los Angeles </w:t>
      </w:r>
      <w:r w:rsidR="00512AD4" w:rsidRPr="009917E6">
        <w:t>(2001) 24 Cal.4th 830, 839.)</w:t>
      </w:r>
      <w:r w:rsidR="00CF626E" w:rsidRPr="009917E6">
        <w:t xml:space="preserve">  Consequently,</w:t>
      </w:r>
      <w:r w:rsidR="002564C0" w:rsidRPr="009917E6">
        <w:t xml:space="preserve"> without voter approval,</w:t>
      </w:r>
      <w:r w:rsidR="00CF626E" w:rsidRPr="009917E6">
        <w:t xml:space="preserve"> local go</w:t>
      </w:r>
      <w:r w:rsidR="000E4182" w:rsidRPr="009917E6">
        <w:t xml:space="preserve">vernments were able to increase rates for services </w:t>
      </w:r>
      <w:r w:rsidR="00F44CEB" w:rsidRPr="009917E6">
        <w:t xml:space="preserve">by labeling them fees, charges, or </w:t>
      </w:r>
      <w:r w:rsidR="000E4182" w:rsidRPr="009917E6">
        <w:t>assessments</w:t>
      </w:r>
      <w:r w:rsidR="00F44CEB" w:rsidRPr="009917E6">
        <w:t xml:space="preserve"> rather than taxes.</w:t>
      </w:r>
      <w:r w:rsidR="00FE4F40" w:rsidRPr="009917E6">
        <w:t xml:space="preserve">  (</w:t>
      </w:r>
      <w:r w:rsidR="00FE4F40" w:rsidRPr="009917E6">
        <w:rPr>
          <w:i/>
        </w:rPr>
        <w:t>Ibid.</w:t>
      </w:r>
      <w:r w:rsidR="00FE4F40" w:rsidRPr="009917E6">
        <w:t>)</w:t>
      </w:r>
    </w:p>
    <w:p w:rsidR="00325E32" w:rsidRDefault="00A74073" w:rsidP="009917E6">
      <w:pPr>
        <w:tabs>
          <w:tab w:val="left" w:pos="1440"/>
        </w:tabs>
        <w:ind w:firstLine="720"/>
      </w:pPr>
      <w:r>
        <w:t>T</w:t>
      </w:r>
      <w:r w:rsidR="00131972" w:rsidRPr="009917E6">
        <w:t>o address these and related concerns</w:t>
      </w:r>
      <w:r w:rsidR="00902E94">
        <w:t>,</w:t>
      </w:r>
      <w:r w:rsidR="00E64895" w:rsidRPr="009917E6">
        <w:t xml:space="preserve"> </w:t>
      </w:r>
      <w:r w:rsidR="00131972" w:rsidRPr="009917E6">
        <w:t>voters approved Proposition</w:t>
      </w:r>
      <w:r w:rsidR="00825A55">
        <w:t> </w:t>
      </w:r>
      <w:r w:rsidR="00131972" w:rsidRPr="009917E6">
        <w:t>218</w:t>
      </w:r>
      <w:r w:rsidR="001C2AF0" w:rsidRPr="009917E6">
        <w:t>, known as</w:t>
      </w:r>
      <w:r w:rsidR="00153904" w:rsidRPr="009917E6">
        <w:t xml:space="preserve"> the “</w:t>
      </w:r>
      <w:r w:rsidR="001C2AF0" w:rsidRPr="009917E6">
        <w:t>Right to Vote on Taxes Act</w:t>
      </w:r>
      <w:r w:rsidR="00452018">
        <w:t>,</w:t>
      </w:r>
      <w:r w:rsidR="00FB41A2" w:rsidRPr="009917E6">
        <w:t>”</w:t>
      </w:r>
      <w:r w:rsidR="00452018">
        <w:t xml:space="preserve"> which added</w:t>
      </w:r>
      <w:r w:rsidR="001C2AF0" w:rsidRPr="009917E6">
        <w:t xml:space="preserve"> </w:t>
      </w:r>
      <w:r w:rsidR="00452018" w:rsidRPr="009917E6">
        <w:t>articles XIII C and XIII D to the California Constitution.</w:t>
      </w:r>
      <w:r w:rsidR="001C2AF0" w:rsidRPr="009917E6">
        <w:t xml:space="preserve"> </w:t>
      </w:r>
      <w:r w:rsidR="00452018">
        <w:t xml:space="preserve"> </w:t>
      </w:r>
      <w:r w:rsidR="00153904" w:rsidRPr="009917E6">
        <w:t>(</w:t>
      </w:r>
      <w:r w:rsidR="00153904" w:rsidRPr="009917E6">
        <w:rPr>
          <w:i/>
        </w:rPr>
        <w:t>Jacks v. City of Santa Barbara</w:t>
      </w:r>
      <w:r w:rsidR="009B592A" w:rsidRPr="009917E6">
        <w:rPr>
          <w:i/>
        </w:rPr>
        <w:t>,</w:t>
      </w:r>
      <w:r w:rsidR="008E5A4C" w:rsidRPr="009917E6">
        <w:rPr>
          <w:i/>
        </w:rPr>
        <w:t xml:space="preserve"> </w:t>
      </w:r>
      <w:r w:rsidR="009B592A" w:rsidRPr="009917E6">
        <w:rPr>
          <w:i/>
        </w:rPr>
        <w:t xml:space="preserve">supra, </w:t>
      </w:r>
      <w:r w:rsidR="00153904" w:rsidRPr="009917E6">
        <w:t xml:space="preserve">3 Cal.5th </w:t>
      </w:r>
      <w:r w:rsidR="009B592A" w:rsidRPr="009917E6">
        <w:t>at p. </w:t>
      </w:r>
      <w:r w:rsidR="00153904" w:rsidRPr="009917E6">
        <w:t>259</w:t>
      </w:r>
      <w:r w:rsidR="001C2AF0" w:rsidRPr="009917E6">
        <w:t>.)</w:t>
      </w:r>
      <w:r w:rsidR="00452018">
        <w:t xml:space="preserve">  </w:t>
      </w:r>
      <w:r w:rsidR="001C2AF0" w:rsidRPr="009917E6">
        <w:t xml:space="preserve">Article XIII C </w:t>
      </w:r>
      <w:r w:rsidR="00102902" w:rsidRPr="009917E6">
        <w:t xml:space="preserve">concerns voter approval for </w:t>
      </w:r>
      <w:proofErr w:type="gramStart"/>
      <w:r w:rsidR="00102902" w:rsidRPr="009917E6">
        <w:t>many</w:t>
      </w:r>
      <w:proofErr w:type="gramEnd"/>
      <w:r w:rsidR="00102902" w:rsidRPr="009917E6">
        <w:t xml:space="preserve"> types of local taxes other than property taxes</w:t>
      </w:r>
      <w:r w:rsidR="00452018">
        <w:t>.  A</w:t>
      </w:r>
      <w:r w:rsidR="00102902" w:rsidRPr="009917E6">
        <w:t>rticle XIII D addresses property-</w:t>
      </w:r>
      <w:r w:rsidR="00E11AC8" w:rsidRPr="009917E6">
        <w:t xml:space="preserve">based taxes and </w:t>
      </w:r>
      <w:r w:rsidR="00102902" w:rsidRPr="009917E6">
        <w:t>fees.</w:t>
      </w:r>
      <w:r w:rsidR="00452018">
        <w:t xml:space="preserve">  </w:t>
      </w:r>
    </w:p>
    <w:p w:rsidR="00AA2E6E" w:rsidRPr="009917E6" w:rsidRDefault="00A3027C" w:rsidP="009917E6">
      <w:pPr>
        <w:tabs>
          <w:tab w:val="left" w:pos="1440"/>
        </w:tabs>
        <w:ind w:firstLine="720"/>
      </w:pPr>
      <w:r w:rsidRPr="009917E6">
        <w:t>Article XIII D allows</w:t>
      </w:r>
      <w:r w:rsidR="00102902" w:rsidRPr="009917E6">
        <w:t xml:space="preserve"> </w:t>
      </w:r>
      <w:r w:rsidR="00AA2E6E" w:rsidRPr="009917E6">
        <w:t>only four types of local property taxes:  (1) an ad valorem tax, (2) a special tax, (3) an assessment, and (4) </w:t>
      </w:r>
      <w:r w:rsidR="00E11AC8" w:rsidRPr="009917E6">
        <w:t>a property-related fee</w:t>
      </w:r>
      <w:r w:rsidR="00E63066" w:rsidRPr="009917E6">
        <w:t>.  (</w:t>
      </w:r>
      <w:r w:rsidR="00A74073">
        <w:t xml:space="preserve">Art. XIII D, </w:t>
      </w:r>
      <w:r w:rsidR="00AA2E6E" w:rsidRPr="009917E6">
        <w:t xml:space="preserve">§ 3, </w:t>
      </w:r>
      <w:proofErr w:type="spellStart"/>
      <w:r w:rsidR="00AA2E6E" w:rsidRPr="009917E6">
        <w:t>subd</w:t>
      </w:r>
      <w:proofErr w:type="spellEnd"/>
      <w:proofErr w:type="gramStart"/>
      <w:r w:rsidR="00AA2E6E" w:rsidRPr="009917E6">
        <w:t xml:space="preserve">. </w:t>
      </w:r>
      <w:proofErr w:type="gramEnd"/>
      <w:r w:rsidR="00AA2E6E" w:rsidRPr="009917E6">
        <w:t xml:space="preserve">(a).)  </w:t>
      </w:r>
      <w:r w:rsidRPr="009917E6">
        <w:t>Proposition</w:t>
      </w:r>
      <w:r w:rsidR="00825A55">
        <w:t> </w:t>
      </w:r>
      <w:r w:rsidRPr="009917E6">
        <w:t>218 supplements Proposition</w:t>
      </w:r>
      <w:r w:rsidR="00825A55">
        <w:t> </w:t>
      </w:r>
      <w:r w:rsidRPr="009917E6">
        <w:t>13’s limitations on ad valorem and special taxes by placing similar</w:t>
      </w:r>
      <w:r w:rsidR="00C617F5" w:rsidRPr="009917E6">
        <w:t xml:space="preserve"> restrictions on assessments and </w:t>
      </w:r>
      <w:r w:rsidRPr="009917E6">
        <w:t>property-related fee</w:t>
      </w:r>
      <w:r w:rsidR="002564C0" w:rsidRPr="009917E6">
        <w:t>s</w:t>
      </w:r>
      <w:r w:rsidRPr="009917E6">
        <w:t xml:space="preserve">.  </w:t>
      </w:r>
      <w:r w:rsidR="00AA2E6E" w:rsidRPr="009917E6">
        <w:t>(</w:t>
      </w:r>
      <w:r w:rsidR="009B592A" w:rsidRPr="009917E6">
        <w:rPr>
          <w:i/>
        </w:rPr>
        <w:t>Apartment Assn. of Los Angeles County, Inc. v. City of Los Angeles</w:t>
      </w:r>
      <w:r w:rsidR="00AA2E6E" w:rsidRPr="009917E6">
        <w:rPr>
          <w:i/>
        </w:rPr>
        <w:t xml:space="preserve">, supra, </w:t>
      </w:r>
      <w:r w:rsidR="00400505" w:rsidRPr="009917E6">
        <w:t xml:space="preserve">24 Cal.4th </w:t>
      </w:r>
      <w:r w:rsidR="00AA2E6E" w:rsidRPr="009917E6">
        <w:t>at p. 837.)</w:t>
      </w:r>
    </w:p>
    <w:p w:rsidR="00AA2E6E" w:rsidRPr="009917E6" w:rsidRDefault="009650C4" w:rsidP="009917E6">
      <w:pPr>
        <w:tabs>
          <w:tab w:val="left" w:pos="1440"/>
        </w:tabs>
        <w:ind w:firstLine="720"/>
      </w:pPr>
      <w:r w:rsidRPr="009917E6">
        <w:t xml:space="preserve">Article XIII D imposes </w:t>
      </w:r>
      <w:r w:rsidR="00452018">
        <w:t>distinct</w:t>
      </w:r>
      <w:r w:rsidRPr="009917E6">
        <w:t xml:space="preserve"> procedural and sub</w:t>
      </w:r>
      <w:r w:rsidR="00400505" w:rsidRPr="009917E6">
        <w:t>stantive limitations</w:t>
      </w:r>
      <w:r w:rsidRPr="009917E6">
        <w:t xml:space="preserve">.  (§§ 4, 6.)  </w:t>
      </w:r>
      <w:r w:rsidR="00400505" w:rsidRPr="009917E6">
        <w:t xml:space="preserve">The </w:t>
      </w:r>
      <w:r w:rsidR="00400505" w:rsidRPr="00DB5918">
        <w:rPr>
          <w:i/>
        </w:rPr>
        <w:t>procedures</w:t>
      </w:r>
      <w:r w:rsidR="00400505" w:rsidRPr="009917E6">
        <w:t xml:space="preserve"> </w:t>
      </w:r>
      <w:r w:rsidR="00325E32">
        <w:t xml:space="preserve">an agency must follow </w:t>
      </w:r>
      <w:r w:rsidR="00325E32">
        <w:lastRenderedPageBreak/>
        <w:t>before</w:t>
      </w:r>
      <w:r w:rsidR="00400505" w:rsidRPr="009917E6">
        <w:t xml:space="preserve"> “imposing or increasing any fee or charge” are </w:t>
      </w:r>
      <w:r w:rsidR="0097398B" w:rsidRPr="009917E6">
        <w:t>found</w:t>
      </w:r>
      <w:r w:rsidR="00400505" w:rsidRPr="009917E6">
        <w:t xml:space="preserve"> in s</w:t>
      </w:r>
      <w:r w:rsidR="008C4DF4" w:rsidRPr="009917E6">
        <w:t xml:space="preserve">ubdivision (a) </w:t>
      </w:r>
      <w:r w:rsidR="00E64895" w:rsidRPr="009917E6">
        <w:t xml:space="preserve">of </w:t>
      </w:r>
      <w:r w:rsidR="00A74073">
        <w:t xml:space="preserve">article XIII D, </w:t>
      </w:r>
      <w:r w:rsidR="00D15CEF" w:rsidRPr="009917E6">
        <w:t>section</w:t>
      </w:r>
      <w:r w:rsidR="00825A55">
        <w:t> </w:t>
      </w:r>
      <w:r w:rsidR="00D15CEF" w:rsidRPr="009917E6">
        <w:t>6</w:t>
      </w:r>
      <w:r w:rsidR="00400505" w:rsidRPr="009917E6">
        <w:t>.</w:t>
      </w:r>
      <w:r w:rsidR="004C4C9D" w:rsidRPr="004C4C9D">
        <w:rPr>
          <w:rStyle w:val="FootnoteReference"/>
        </w:rPr>
        <w:t xml:space="preserve"> </w:t>
      </w:r>
      <w:r w:rsidR="004C4C9D" w:rsidRPr="009917E6">
        <w:rPr>
          <w:rStyle w:val="FootnoteReference"/>
        </w:rPr>
        <w:footnoteReference w:id="9"/>
      </w:r>
      <w:r w:rsidR="00B06A60" w:rsidRPr="009917E6">
        <w:t xml:space="preserve">  An agency</w:t>
      </w:r>
      <w:r w:rsidR="00E1751B" w:rsidRPr="009917E6">
        <w:t xml:space="preserve"> seeking</w:t>
      </w:r>
      <w:r w:rsidR="005A3BF4" w:rsidRPr="009917E6">
        <w:t xml:space="preserve"> to impose or increase a</w:t>
      </w:r>
      <w:r w:rsidR="009B215B" w:rsidRPr="009917E6">
        <w:t xml:space="preserve"> </w:t>
      </w:r>
      <w:r w:rsidR="002E4BDF" w:rsidRPr="009917E6">
        <w:t xml:space="preserve">property-related </w:t>
      </w:r>
      <w:r w:rsidR="00E1751B" w:rsidRPr="009917E6">
        <w:t>fee</w:t>
      </w:r>
      <w:r w:rsidR="009B215B" w:rsidRPr="009917E6">
        <w:t xml:space="preserve"> must</w:t>
      </w:r>
      <w:r w:rsidR="00A41328">
        <w:t xml:space="preserve"> </w:t>
      </w:r>
      <w:r w:rsidR="0032064C">
        <w:t xml:space="preserve">hold a hearing and </w:t>
      </w:r>
      <w:r w:rsidR="00A41328">
        <w:t>send</w:t>
      </w:r>
      <w:r w:rsidR="006F03AD" w:rsidRPr="009917E6">
        <w:t xml:space="preserve"> </w:t>
      </w:r>
      <w:r w:rsidR="002E4BDF" w:rsidRPr="009917E6">
        <w:t>writt</w:t>
      </w:r>
      <w:r w:rsidR="00E1751B" w:rsidRPr="009917E6">
        <w:t>en notice</w:t>
      </w:r>
      <w:r w:rsidR="0097398B" w:rsidRPr="009917E6">
        <w:t xml:space="preserve"> </w:t>
      </w:r>
      <w:r w:rsidR="0032064C">
        <w:t xml:space="preserve">of the hearing </w:t>
      </w:r>
      <w:r w:rsidR="0097398B" w:rsidRPr="009917E6">
        <w:t xml:space="preserve">to the </w:t>
      </w:r>
      <w:r w:rsidR="002E4BDF" w:rsidRPr="009917E6">
        <w:t xml:space="preserve">owner of each </w:t>
      </w:r>
      <w:r w:rsidR="00691F12" w:rsidRPr="009917E6">
        <w:t>affected parcel</w:t>
      </w:r>
      <w:r w:rsidR="00F25C61" w:rsidRPr="009917E6">
        <w:t>.  (</w:t>
      </w:r>
      <w:r w:rsidR="001D066E">
        <w:t xml:space="preserve">Art. XIII D, </w:t>
      </w:r>
      <w:r w:rsidR="00F25C61" w:rsidRPr="009917E6">
        <w:t xml:space="preserve">§ 6, </w:t>
      </w:r>
      <w:proofErr w:type="spellStart"/>
      <w:r w:rsidR="00F25C61" w:rsidRPr="009917E6">
        <w:t>subd</w:t>
      </w:r>
      <w:proofErr w:type="spellEnd"/>
      <w:proofErr w:type="gramStart"/>
      <w:r w:rsidR="00F25C61" w:rsidRPr="009917E6">
        <w:t xml:space="preserve">. </w:t>
      </w:r>
      <w:proofErr w:type="gramEnd"/>
      <w:r w:rsidR="00F25C61" w:rsidRPr="009917E6">
        <w:t xml:space="preserve">(a)(1).)  The notice must specify the amount of </w:t>
      </w:r>
      <w:r w:rsidR="00F340C9">
        <w:t xml:space="preserve">the </w:t>
      </w:r>
      <w:r w:rsidR="00F25C61" w:rsidRPr="009917E6">
        <w:t xml:space="preserve">proposed </w:t>
      </w:r>
      <w:r w:rsidR="00691F12" w:rsidRPr="009917E6">
        <w:t>fee</w:t>
      </w:r>
      <w:r w:rsidR="00F25C61" w:rsidRPr="009917E6">
        <w:t xml:space="preserve">, </w:t>
      </w:r>
      <w:r w:rsidR="00537B41" w:rsidRPr="009917E6">
        <w:t xml:space="preserve">the basis </w:t>
      </w:r>
      <w:r w:rsidR="00A41328">
        <w:t>of calculation</w:t>
      </w:r>
      <w:r w:rsidR="00691F12" w:rsidRPr="009917E6">
        <w:t>, and the reason for the fee</w:t>
      </w:r>
      <w:r w:rsidR="002220D6">
        <w:t xml:space="preserve">.  It must note the </w:t>
      </w:r>
      <w:r w:rsidR="00537B41" w:rsidRPr="009917E6">
        <w:t xml:space="preserve">date, time, and location </w:t>
      </w:r>
      <w:r w:rsidR="00691F12" w:rsidRPr="009917E6">
        <w:t>of the public hearing.</w:t>
      </w:r>
      <w:r w:rsidR="00537B41" w:rsidRPr="009917E6">
        <w:t xml:space="preserve">  (</w:t>
      </w:r>
      <w:r w:rsidR="002220D6">
        <w:rPr>
          <w:i/>
        </w:rPr>
        <w:t>Ibid.</w:t>
      </w:r>
      <w:r w:rsidR="00537B41" w:rsidRPr="009917E6">
        <w:t>)</w:t>
      </w:r>
      <w:r w:rsidR="002220D6">
        <w:t xml:space="preserve">  </w:t>
      </w:r>
      <w:r w:rsidR="00E55263">
        <w:t>At that hearing, “</w:t>
      </w:r>
      <w:r w:rsidR="00537B41" w:rsidRPr="009917E6">
        <w:t xml:space="preserve">the agency shall </w:t>
      </w:r>
      <w:r w:rsidR="00537B41" w:rsidRPr="009917E6">
        <w:rPr>
          <w:i/>
        </w:rPr>
        <w:t>consider all protests</w:t>
      </w:r>
      <w:r w:rsidR="00537B41" w:rsidRPr="009917E6">
        <w:t xml:space="preserve"> against the proposed fee or charge.</w:t>
      </w:r>
      <w:r w:rsidR="00857008" w:rsidRPr="009917E6">
        <w:t>”</w:t>
      </w:r>
      <w:r w:rsidR="00537B41" w:rsidRPr="009917E6">
        <w:t xml:space="preserve">  </w:t>
      </w:r>
      <w:r w:rsidR="00381A23" w:rsidRPr="009917E6">
        <w:t>(</w:t>
      </w:r>
      <w:r w:rsidR="001D066E" w:rsidRPr="001D066E">
        <w:rPr>
          <w:i/>
        </w:rPr>
        <w:t>Id</w:t>
      </w:r>
      <w:r w:rsidR="001D066E">
        <w:t xml:space="preserve">., </w:t>
      </w:r>
      <w:r w:rsidR="00857008" w:rsidRPr="009917E6">
        <w:t xml:space="preserve">§ 6, </w:t>
      </w:r>
      <w:proofErr w:type="spellStart"/>
      <w:r w:rsidR="00857008" w:rsidRPr="009917E6">
        <w:t>subd</w:t>
      </w:r>
      <w:proofErr w:type="spellEnd"/>
      <w:r w:rsidR="00857008" w:rsidRPr="009917E6">
        <w:t xml:space="preserve">. (a)(2), italics added.)  In addition to </w:t>
      </w:r>
      <w:r w:rsidR="00E55263">
        <w:t xml:space="preserve">mandating </w:t>
      </w:r>
      <w:r w:rsidR="00E65919" w:rsidRPr="009917E6">
        <w:t xml:space="preserve">that </w:t>
      </w:r>
      <w:r w:rsidR="00857008" w:rsidRPr="009917E6">
        <w:t xml:space="preserve">the agency </w:t>
      </w:r>
      <w:r w:rsidR="00E65919" w:rsidRPr="009917E6">
        <w:t>“</w:t>
      </w:r>
      <w:proofErr w:type="gramStart"/>
      <w:r w:rsidR="00857008" w:rsidRPr="009917E6">
        <w:t>consider</w:t>
      </w:r>
      <w:proofErr w:type="gramEnd"/>
      <w:r w:rsidR="00E65919" w:rsidRPr="009917E6">
        <w:t>”</w:t>
      </w:r>
      <w:r w:rsidR="00857008" w:rsidRPr="009917E6">
        <w:t xml:space="preserve"> all protests, Proposition</w:t>
      </w:r>
      <w:r w:rsidR="00825A55">
        <w:t> </w:t>
      </w:r>
      <w:r w:rsidR="00857008" w:rsidRPr="009917E6">
        <w:t xml:space="preserve">218 </w:t>
      </w:r>
      <w:r w:rsidR="00C245B7" w:rsidRPr="009917E6">
        <w:t>establis</w:t>
      </w:r>
      <w:r w:rsidR="00E877EA" w:rsidRPr="009917E6">
        <w:t xml:space="preserve">hes a </w:t>
      </w:r>
      <w:r w:rsidR="00EB5825">
        <w:t xml:space="preserve">majority </w:t>
      </w:r>
      <w:r w:rsidR="00581EE0" w:rsidRPr="009917E6">
        <w:t xml:space="preserve">protest remedy.  </w:t>
      </w:r>
      <w:r w:rsidR="00D912CD" w:rsidRPr="009917E6">
        <w:t xml:space="preserve">“If </w:t>
      </w:r>
      <w:r w:rsidR="00D912CD" w:rsidRPr="009917E6">
        <w:rPr>
          <w:i/>
        </w:rPr>
        <w:t>written</w:t>
      </w:r>
      <w:r w:rsidR="00D912CD" w:rsidRPr="009917E6">
        <w:t xml:space="preserve"> protests against the proposed fee or charge are presented by a majority of owners of</w:t>
      </w:r>
      <w:r w:rsidR="00F44CEB" w:rsidRPr="009917E6">
        <w:t xml:space="preserve"> the</w:t>
      </w:r>
      <w:r w:rsidR="00D912CD" w:rsidRPr="009917E6">
        <w:t xml:space="preserve"> identified parcels, the agency shall not impose the fee or charge.”</w:t>
      </w:r>
      <w:r w:rsidR="00A60DC0" w:rsidRPr="009917E6">
        <w:t xml:space="preserve">  </w:t>
      </w:r>
      <w:r w:rsidR="00D912CD" w:rsidRPr="009917E6">
        <w:t>(</w:t>
      </w:r>
      <w:r w:rsidR="001D066E" w:rsidRPr="001D066E">
        <w:rPr>
          <w:i/>
        </w:rPr>
        <w:t>Ibid</w:t>
      </w:r>
      <w:r w:rsidR="001D066E">
        <w:t>.</w:t>
      </w:r>
      <w:r w:rsidR="00581EE0" w:rsidRPr="009917E6">
        <w:t>, italics added.</w:t>
      </w:r>
      <w:r w:rsidR="00C05EAA" w:rsidRPr="009917E6">
        <w:t>)</w:t>
      </w:r>
      <w:r w:rsidR="007D629C" w:rsidRPr="009917E6">
        <w:t xml:space="preserve">  Article XIII</w:t>
      </w:r>
      <w:r w:rsidR="00825A55">
        <w:t> </w:t>
      </w:r>
      <w:r w:rsidR="007D629C" w:rsidRPr="009917E6">
        <w:t xml:space="preserve">D does not define the term “protest” </w:t>
      </w:r>
      <w:r w:rsidR="00520D4C" w:rsidRPr="009917E6">
        <w:t>or explain what form a written protest must take</w:t>
      </w:r>
      <w:r w:rsidR="002220D6">
        <w:t>.</w:t>
      </w:r>
      <w:r w:rsidR="00E4719F" w:rsidRPr="009917E6">
        <w:rPr>
          <w:rStyle w:val="FootnoteReference"/>
        </w:rPr>
        <w:footnoteReference w:id="10"/>
      </w:r>
      <w:r w:rsidR="00E85F8C" w:rsidRPr="009917E6">
        <w:t xml:space="preserve">  </w:t>
      </w:r>
      <w:r w:rsidR="00D162E7">
        <w:t>Here</w:t>
      </w:r>
      <w:r w:rsidR="00E85F8C" w:rsidRPr="009917E6">
        <w:t>,</w:t>
      </w:r>
      <w:r w:rsidR="00825A55">
        <w:t xml:space="preserve"> well over 3,000</w:t>
      </w:r>
      <w:r w:rsidR="00573DA3" w:rsidRPr="009917E6">
        <w:t xml:space="preserve"> written protests would </w:t>
      </w:r>
      <w:r w:rsidR="00825A55">
        <w:t>have been</w:t>
      </w:r>
      <w:r w:rsidR="00573DA3" w:rsidRPr="009917E6">
        <w:t xml:space="preserve"> required to reject </w:t>
      </w:r>
      <w:r w:rsidR="00825A55">
        <w:t>a</w:t>
      </w:r>
      <w:r w:rsidR="00573DA3" w:rsidRPr="009917E6">
        <w:t xml:space="preserve"> </w:t>
      </w:r>
      <w:r w:rsidR="004E436D">
        <w:t>rate</w:t>
      </w:r>
      <w:r w:rsidR="00573DA3" w:rsidRPr="009917E6">
        <w:t xml:space="preserve"> increase.</w:t>
      </w:r>
    </w:p>
    <w:p w:rsidR="009B4BDD" w:rsidRPr="009917E6" w:rsidRDefault="00F340C9" w:rsidP="009917E6">
      <w:pPr>
        <w:tabs>
          <w:tab w:val="left" w:pos="1440"/>
        </w:tabs>
        <w:ind w:firstLine="720"/>
      </w:pPr>
      <w:r>
        <w:t>Even when an agency is generally authorized to impose or modify fees</w:t>
      </w:r>
      <w:r w:rsidR="00620DC8">
        <w:t xml:space="preserve">, </w:t>
      </w:r>
      <w:r>
        <w:t xml:space="preserve">so long as it complies with the notice and hearing </w:t>
      </w:r>
      <w:r>
        <w:lastRenderedPageBreak/>
        <w:t xml:space="preserve">requirements, Proposition 218 places other substantive limitations on the agency.  Those </w:t>
      </w:r>
      <w:r w:rsidR="009D3954" w:rsidRPr="00E55AF9">
        <w:rPr>
          <w:i/>
        </w:rPr>
        <w:t>substantive</w:t>
      </w:r>
      <w:r w:rsidR="009D3954" w:rsidRPr="009917E6">
        <w:t xml:space="preserve"> limitations on property-related fee</w:t>
      </w:r>
      <w:r w:rsidR="001913FC" w:rsidRPr="009917E6">
        <w:t>s</w:t>
      </w:r>
      <w:r w:rsidR="009D3954" w:rsidRPr="009917E6">
        <w:t xml:space="preserve"> </w:t>
      </w:r>
      <w:r w:rsidR="00210C4E" w:rsidRPr="009917E6">
        <w:t>appear in</w:t>
      </w:r>
      <w:r w:rsidR="009D3954" w:rsidRPr="009917E6">
        <w:t xml:space="preserve"> subdivision (b) of article XIII D, section</w:t>
      </w:r>
      <w:r w:rsidR="00825A55">
        <w:t> </w:t>
      </w:r>
      <w:r w:rsidR="009D3954" w:rsidRPr="009917E6">
        <w:t xml:space="preserve">6.  </w:t>
      </w:r>
      <w:r w:rsidR="00C74DEE">
        <w:t>Under these</w:t>
      </w:r>
      <w:r w:rsidR="00BB10A7" w:rsidRPr="009917E6">
        <w:t xml:space="preserve"> limitations: (1) r</w:t>
      </w:r>
      <w:r w:rsidR="009D3954" w:rsidRPr="009917E6">
        <w:t>ev</w:t>
      </w:r>
      <w:r w:rsidR="00BB10A7" w:rsidRPr="009917E6">
        <w:t>enues derived from the fee may not</w:t>
      </w:r>
      <w:r w:rsidR="009D3954" w:rsidRPr="009917E6">
        <w:t xml:space="preserve"> exceed the cost of providing the property-related service</w:t>
      </w:r>
      <w:r w:rsidR="00BB10A7" w:rsidRPr="009917E6">
        <w:t xml:space="preserve"> (</w:t>
      </w:r>
      <w:r w:rsidR="001D066E" w:rsidRPr="001D066E">
        <w:rPr>
          <w:i/>
        </w:rPr>
        <w:t>id</w:t>
      </w:r>
      <w:r w:rsidR="001D066E">
        <w:t xml:space="preserve">., </w:t>
      </w:r>
      <w:r w:rsidR="00BB10A7" w:rsidRPr="009917E6">
        <w:t xml:space="preserve">§ 6, </w:t>
      </w:r>
      <w:proofErr w:type="spellStart"/>
      <w:r w:rsidR="00BB10A7" w:rsidRPr="009917E6">
        <w:t>subd</w:t>
      </w:r>
      <w:proofErr w:type="spellEnd"/>
      <w:proofErr w:type="gramStart"/>
      <w:r w:rsidR="00BB10A7" w:rsidRPr="009917E6">
        <w:t xml:space="preserve">. </w:t>
      </w:r>
      <w:proofErr w:type="gramEnd"/>
      <w:r w:rsidR="00BB10A7" w:rsidRPr="009917E6">
        <w:t xml:space="preserve">(b)(1)); (2) those revenues </w:t>
      </w:r>
      <w:r w:rsidR="00002FAB" w:rsidRPr="009917E6">
        <w:t>may not</w:t>
      </w:r>
      <w:r w:rsidR="009D3954" w:rsidRPr="009917E6">
        <w:t xml:space="preserve"> be used for a</w:t>
      </w:r>
      <w:r w:rsidR="00C74DEE">
        <w:t>ny</w:t>
      </w:r>
      <w:r w:rsidR="009D3954" w:rsidRPr="009917E6">
        <w:t xml:space="preserve"> purpose other than the one for which the fee was imposed</w:t>
      </w:r>
      <w:r w:rsidR="00BB10A7" w:rsidRPr="009917E6">
        <w:t xml:space="preserve"> (</w:t>
      </w:r>
      <w:r w:rsidR="001D066E" w:rsidRPr="001D066E">
        <w:rPr>
          <w:i/>
        </w:rPr>
        <w:t>id</w:t>
      </w:r>
      <w:r w:rsidR="001D066E">
        <w:t xml:space="preserve">., </w:t>
      </w:r>
      <w:r w:rsidR="001913FC" w:rsidRPr="009917E6">
        <w:t xml:space="preserve">§ 6, </w:t>
      </w:r>
      <w:proofErr w:type="spellStart"/>
      <w:r w:rsidR="001913FC" w:rsidRPr="009917E6">
        <w:t>subd</w:t>
      </w:r>
      <w:proofErr w:type="spellEnd"/>
      <w:proofErr w:type="gramStart"/>
      <w:r w:rsidR="001913FC" w:rsidRPr="009917E6">
        <w:t xml:space="preserve">. </w:t>
      </w:r>
      <w:proofErr w:type="gramEnd"/>
      <w:r w:rsidR="001913FC" w:rsidRPr="009917E6">
        <w:t>(b)</w:t>
      </w:r>
      <w:r w:rsidR="00BB10A7" w:rsidRPr="009917E6">
        <w:t>(</w:t>
      </w:r>
      <w:r w:rsidR="001913FC" w:rsidRPr="009917E6">
        <w:t>2)</w:t>
      </w:r>
      <w:r w:rsidR="00BB10A7" w:rsidRPr="009917E6">
        <w:t xml:space="preserve">); </w:t>
      </w:r>
      <w:r w:rsidR="00663483" w:rsidRPr="009917E6">
        <w:t>(3) </w:t>
      </w:r>
      <w:r w:rsidR="00663483" w:rsidRPr="00F340C9">
        <w:rPr>
          <w:i/>
        </w:rPr>
        <w:t xml:space="preserve">the amount of the fee </w:t>
      </w:r>
      <w:r w:rsidR="00CC684B" w:rsidRPr="00F340C9">
        <w:rPr>
          <w:i/>
        </w:rPr>
        <w:t>“</w:t>
      </w:r>
      <w:r w:rsidR="006D10A6" w:rsidRPr="00F340C9">
        <w:rPr>
          <w:i/>
        </w:rPr>
        <w:t>shall not exceed the proportional</w:t>
      </w:r>
      <w:r w:rsidR="00663483" w:rsidRPr="00F340C9">
        <w:rPr>
          <w:i/>
        </w:rPr>
        <w:t xml:space="preserve"> cost of the service attributable to the parcel” </w:t>
      </w:r>
      <w:r w:rsidR="00663483" w:rsidRPr="00D46C6B">
        <w:t>(</w:t>
      </w:r>
      <w:r w:rsidR="001D066E" w:rsidRPr="001D066E">
        <w:rPr>
          <w:i/>
        </w:rPr>
        <w:t>id</w:t>
      </w:r>
      <w:r w:rsidR="001D066E">
        <w:t xml:space="preserve">., </w:t>
      </w:r>
      <w:r w:rsidR="00663483" w:rsidRPr="00D46C6B">
        <w:t xml:space="preserve">§ 6, </w:t>
      </w:r>
      <w:proofErr w:type="spellStart"/>
      <w:r w:rsidR="00663483" w:rsidRPr="00D46C6B">
        <w:t>subd</w:t>
      </w:r>
      <w:proofErr w:type="spellEnd"/>
      <w:proofErr w:type="gramStart"/>
      <w:r w:rsidR="00663483" w:rsidRPr="00D46C6B">
        <w:t xml:space="preserve">. </w:t>
      </w:r>
      <w:proofErr w:type="gramEnd"/>
      <w:r w:rsidR="00663483" w:rsidRPr="00D46C6B">
        <w:t>(b)(3)</w:t>
      </w:r>
      <w:r w:rsidR="00B749A2">
        <w:t>, italics added</w:t>
      </w:r>
      <w:r w:rsidR="006D10A6" w:rsidRPr="00D46C6B">
        <w:t>)</w:t>
      </w:r>
      <w:r w:rsidR="006D10A6" w:rsidRPr="009917E6">
        <w:t xml:space="preserve">; (4) a fee may not be imposed </w:t>
      </w:r>
      <w:r w:rsidR="001913FC" w:rsidRPr="009917E6">
        <w:t xml:space="preserve">for a service </w:t>
      </w:r>
      <w:r w:rsidR="00002FAB" w:rsidRPr="009917E6">
        <w:t>unless that service is</w:t>
      </w:r>
      <w:r w:rsidR="001913FC" w:rsidRPr="009917E6">
        <w:t xml:space="preserve"> available to the property owner</w:t>
      </w:r>
      <w:r w:rsidR="006D10A6" w:rsidRPr="009917E6">
        <w:t xml:space="preserve"> (</w:t>
      </w:r>
      <w:r w:rsidR="001D066E" w:rsidRPr="001D066E">
        <w:rPr>
          <w:i/>
        </w:rPr>
        <w:t>id</w:t>
      </w:r>
      <w:r w:rsidR="001D066E">
        <w:t xml:space="preserve">., </w:t>
      </w:r>
      <w:r w:rsidR="006D10A6" w:rsidRPr="009917E6">
        <w:t xml:space="preserve">§ 6, </w:t>
      </w:r>
      <w:proofErr w:type="spellStart"/>
      <w:r w:rsidR="006D10A6" w:rsidRPr="009917E6">
        <w:t>subd</w:t>
      </w:r>
      <w:proofErr w:type="spellEnd"/>
      <w:proofErr w:type="gramStart"/>
      <w:r w:rsidR="006D10A6" w:rsidRPr="009917E6">
        <w:t xml:space="preserve">. </w:t>
      </w:r>
      <w:proofErr w:type="gramEnd"/>
      <w:r w:rsidR="006D10A6" w:rsidRPr="009917E6">
        <w:t xml:space="preserve">(b)(4)); and (5) </w:t>
      </w:r>
      <w:r w:rsidR="001913FC" w:rsidRPr="009917E6">
        <w:t>a fee may not be imposed upon property owners for a general governmental serv</w:t>
      </w:r>
      <w:r w:rsidR="006D10A6" w:rsidRPr="009917E6">
        <w:t>ice, like</w:t>
      </w:r>
      <w:r w:rsidR="001913FC" w:rsidRPr="009917E6">
        <w:t xml:space="preserve"> fire protection, if the service is </w:t>
      </w:r>
      <w:r w:rsidR="00002FAB" w:rsidRPr="009917E6">
        <w:t xml:space="preserve">available to the </w:t>
      </w:r>
      <w:proofErr w:type="gramStart"/>
      <w:r w:rsidR="00002FAB" w:rsidRPr="009917E6">
        <w:t>general public</w:t>
      </w:r>
      <w:proofErr w:type="gramEnd"/>
      <w:r w:rsidR="00002FAB" w:rsidRPr="009917E6">
        <w:t xml:space="preserve"> in substantially the same manner as it is to property owners</w:t>
      </w:r>
      <w:r w:rsidR="006D10A6" w:rsidRPr="009917E6">
        <w:t xml:space="preserve"> (</w:t>
      </w:r>
      <w:r w:rsidR="001D066E" w:rsidRPr="001D066E">
        <w:rPr>
          <w:i/>
        </w:rPr>
        <w:t>id</w:t>
      </w:r>
      <w:r w:rsidR="001D066E">
        <w:t xml:space="preserve">., </w:t>
      </w:r>
      <w:r w:rsidR="001913FC" w:rsidRPr="009917E6">
        <w:t xml:space="preserve">§ 6, </w:t>
      </w:r>
      <w:proofErr w:type="spellStart"/>
      <w:r w:rsidR="001913FC" w:rsidRPr="009917E6">
        <w:t>subd</w:t>
      </w:r>
      <w:proofErr w:type="spellEnd"/>
      <w:r w:rsidR="001913FC" w:rsidRPr="009917E6">
        <w:t>. (b)(5))</w:t>
      </w:r>
      <w:r w:rsidR="006D10A6" w:rsidRPr="009917E6">
        <w:t>.</w:t>
      </w:r>
    </w:p>
    <w:p w:rsidR="006D10A6" w:rsidRPr="009917E6" w:rsidRDefault="00C74DEE" w:rsidP="009917E6">
      <w:pPr>
        <w:tabs>
          <w:tab w:val="left" w:pos="1440"/>
        </w:tabs>
        <w:ind w:firstLine="720"/>
        <w:rPr>
          <w:b/>
          <w:i/>
        </w:rPr>
      </w:pPr>
      <w:r>
        <w:t>P</w:t>
      </w:r>
      <w:r w:rsidR="000C3708" w:rsidRPr="009917E6">
        <w:t xml:space="preserve">laintiffs’ complaint </w:t>
      </w:r>
      <w:r>
        <w:t xml:space="preserve">here </w:t>
      </w:r>
      <w:r w:rsidR="000C3708" w:rsidRPr="009917E6">
        <w:t xml:space="preserve">turns on the </w:t>
      </w:r>
      <w:r>
        <w:t xml:space="preserve">substantive </w:t>
      </w:r>
      <w:r w:rsidR="000C3708" w:rsidRPr="009917E6">
        <w:t xml:space="preserve">proportionality requirement of </w:t>
      </w:r>
      <w:r w:rsidR="00423E6D">
        <w:t xml:space="preserve">article XIII D, </w:t>
      </w:r>
      <w:r w:rsidR="006D10A6" w:rsidRPr="009917E6">
        <w:t>section 6, subdivision (b)(3)</w:t>
      </w:r>
      <w:r w:rsidR="00F340C9">
        <w:t>, italicized above</w:t>
      </w:r>
      <w:r w:rsidR="009B4BDD" w:rsidRPr="009917E6">
        <w:t>.</w:t>
      </w:r>
      <w:r w:rsidR="003F74CE">
        <w:t xml:space="preserve">  </w:t>
      </w:r>
      <w:r w:rsidR="00AA2E4A" w:rsidRPr="009917E6">
        <w:t>The</w:t>
      </w:r>
      <w:r w:rsidR="009B4BDD" w:rsidRPr="009917E6">
        <w:t xml:space="preserve"> requirement </w:t>
      </w:r>
      <w:r w:rsidR="00DD63A3" w:rsidRPr="009917E6">
        <w:t>“ensures that the aggregate fee</w:t>
      </w:r>
      <w:r w:rsidR="00F44CEB" w:rsidRPr="009917E6">
        <w:t xml:space="preserve"> collected</w:t>
      </w:r>
      <w:r w:rsidR="00DD63A3" w:rsidRPr="009917E6">
        <w:t xml:space="preserve"> on all parcels is distributed among those parcels in proportion to the cost of service for each parcel.”  (</w:t>
      </w:r>
      <w:r w:rsidR="00DD63A3" w:rsidRPr="009917E6">
        <w:rPr>
          <w:i/>
        </w:rPr>
        <w:t xml:space="preserve">Morgan v. Imperial Irrigation Dist. </w:t>
      </w:r>
      <w:r w:rsidR="00DD63A3" w:rsidRPr="009917E6">
        <w:t xml:space="preserve">(2014) 223 Cal.App.4th 892, </w:t>
      </w:r>
      <w:r w:rsidR="0082343C" w:rsidRPr="009917E6">
        <w:t>90</w:t>
      </w:r>
      <w:r w:rsidR="00620DC8">
        <w:t>8.)</w:t>
      </w:r>
      <w:r w:rsidR="0025764B" w:rsidRPr="009917E6">
        <w:t xml:space="preserve">  </w:t>
      </w:r>
      <w:r w:rsidR="002F610A" w:rsidRPr="009917E6">
        <w:t>The proportionality requir</w:t>
      </w:r>
      <w:r w:rsidR="009A116D" w:rsidRPr="009917E6">
        <w:t xml:space="preserve">ement </w:t>
      </w:r>
      <w:r w:rsidR="0082343C" w:rsidRPr="009917E6">
        <w:t>concerns</w:t>
      </w:r>
      <w:r w:rsidR="00B91BCA" w:rsidRPr="009917E6">
        <w:t xml:space="preserve"> the </w:t>
      </w:r>
      <w:r w:rsidR="00B91BCA" w:rsidRPr="009917E6">
        <w:rPr>
          <w:i/>
        </w:rPr>
        <w:t>method</w:t>
      </w:r>
      <w:r w:rsidR="00B91BCA" w:rsidRPr="009917E6">
        <w:t xml:space="preserve"> used to allocate</w:t>
      </w:r>
      <w:r w:rsidR="0082343C" w:rsidRPr="009917E6">
        <w:t xml:space="preserve"> a property-related service’s aggregate cost among fee payors.  It is </w:t>
      </w:r>
      <w:r w:rsidR="001A16AA">
        <w:t>separate</w:t>
      </w:r>
      <w:r w:rsidR="000C3708" w:rsidRPr="009917E6">
        <w:t xml:space="preserve"> from an agency’s obligation </w:t>
      </w:r>
      <w:r w:rsidR="001A16AA">
        <w:t>not to collect</w:t>
      </w:r>
      <w:r w:rsidR="000C3708" w:rsidRPr="009917E6">
        <w:t xml:space="preserve"> more revenue</w:t>
      </w:r>
      <w:r w:rsidR="001A16AA">
        <w:t xml:space="preserve"> </w:t>
      </w:r>
      <w:r w:rsidR="000C3708" w:rsidRPr="009917E6">
        <w:t>than necessary to provide th</w:t>
      </w:r>
      <w:r w:rsidR="0082343C" w:rsidRPr="009917E6">
        <w:t xml:space="preserve">at </w:t>
      </w:r>
      <w:r w:rsidR="004530FF" w:rsidRPr="009917E6">
        <w:t>service to all identified</w:t>
      </w:r>
      <w:r w:rsidR="000C3708" w:rsidRPr="009917E6">
        <w:t xml:space="preserve"> parcels.  (See </w:t>
      </w:r>
      <w:r w:rsidR="00423E6D">
        <w:t xml:space="preserve">art. XIII D, </w:t>
      </w:r>
      <w:r w:rsidR="000C3708" w:rsidRPr="009917E6">
        <w:t xml:space="preserve">§ 6, </w:t>
      </w:r>
      <w:proofErr w:type="spellStart"/>
      <w:r w:rsidR="000C3708" w:rsidRPr="009917E6">
        <w:t>subd</w:t>
      </w:r>
      <w:proofErr w:type="spellEnd"/>
      <w:proofErr w:type="gramStart"/>
      <w:r w:rsidR="000C3708" w:rsidRPr="009917E6">
        <w:t xml:space="preserve">. </w:t>
      </w:r>
      <w:proofErr w:type="gramEnd"/>
      <w:r w:rsidR="000C3708" w:rsidRPr="009917E6">
        <w:t>(b)(1).)</w:t>
      </w:r>
      <w:r w:rsidR="00EF4630">
        <w:t xml:space="preserve">  Plaintiffs’ complaint here is that the EDU assignment method does not properly allocate costs among parcels served.</w:t>
      </w:r>
    </w:p>
    <w:p w:rsidR="006134B5" w:rsidRPr="009917E6" w:rsidRDefault="006134B5" w:rsidP="00730219">
      <w:pPr>
        <w:keepNext/>
        <w:tabs>
          <w:tab w:val="left" w:pos="1440"/>
        </w:tabs>
        <w:ind w:firstLine="720"/>
      </w:pPr>
      <w:r w:rsidRPr="009917E6">
        <w:lastRenderedPageBreak/>
        <w:t>B.</w:t>
      </w:r>
      <w:r w:rsidRPr="009917E6">
        <w:tab/>
      </w:r>
      <w:r w:rsidR="005C24D8" w:rsidRPr="009917E6">
        <w:rPr>
          <w:i/>
        </w:rPr>
        <w:t>E</w:t>
      </w:r>
      <w:r w:rsidRPr="009917E6">
        <w:rPr>
          <w:i/>
        </w:rPr>
        <w:t>xhaustion of Administrative Remedies</w:t>
      </w:r>
    </w:p>
    <w:p w:rsidR="00C43343" w:rsidRPr="009917E6" w:rsidRDefault="00F564DF" w:rsidP="00A63EA5">
      <w:pPr>
        <w:tabs>
          <w:tab w:val="left" w:pos="1440"/>
        </w:tabs>
        <w:ind w:firstLine="720"/>
      </w:pPr>
      <w:r w:rsidRPr="009917E6">
        <w:t xml:space="preserve">Generally, </w:t>
      </w:r>
      <w:r w:rsidR="00044259" w:rsidRPr="009917E6">
        <w:t>“</w:t>
      </w:r>
      <w:r w:rsidR="008536EA" w:rsidRPr="009917E6">
        <w:t>a party must exhaust administrative remedies before resorting to the courts.  [Citations.]  Under this rule, an administrative remedy is exhausted only upon ‘termination of all available, nonduplicative administrative review procedures.’</w:t>
      </w:r>
      <w:r w:rsidR="00A63EA5">
        <w:t> </w:t>
      </w:r>
      <w:r w:rsidR="008536EA" w:rsidRPr="009917E6">
        <w:t>”  (</w:t>
      </w:r>
      <w:r w:rsidR="008536EA" w:rsidRPr="009917E6">
        <w:rPr>
          <w:i/>
        </w:rPr>
        <w:t xml:space="preserve">Coachella Valley Mosquito &amp; Vector Control Dist. </w:t>
      </w:r>
      <w:r w:rsidR="00594234" w:rsidRPr="009917E6">
        <w:rPr>
          <w:i/>
        </w:rPr>
        <w:t xml:space="preserve">v. California Public Employment Relations Bd. </w:t>
      </w:r>
      <w:r w:rsidR="00594234" w:rsidRPr="009917E6">
        <w:t xml:space="preserve">(2005) 35 Cal.4th 1072, 1080; see </w:t>
      </w:r>
      <w:proofErr w:type="spellStart"/>
      <w:r w:rsidR="00594234" w:rsidRPr="009917E6">
        <w:rPr>
          <w:i/>
        </w:rPr>
        <w:t>Abelleira</w:t>
      </w:r>
      <w:proofErr w:type="spellEnd"/>
      <w:r w:rsidR="00594234" w:rsidRPr="009917E6">
        <w:rPr>
          <w:i/>
        </w:rPr>
        <w:t xml:space="preserve"> v. District Court of Appeal </w:t>
      </w:r>
      <w:r w:rsidR="00594234" w:rsidRPr="009917E6">
        <w:t xml:space="preserve">(1941) 17 Cal.2d 280, 292–293.)  “The rule ‘is not a matter of judicial </w:t>
      </w:r>
      <w:proofErr w:type="gramStart"/>
      <w:r w:rsidR="00594234" w:rsidRPr="009917E6">
        <w:t>discretion, but</w:t>
      </w:r>
      <w:proofErr w:type="gramEnd"/>
      <w:r w:rsidR="00594234" w:rsidRPr="009917E6">
        <w:t xml:space="preserve"> is a fundamental rule of procedure . . . binding upon all courts.’</w:t>
      </w:r>
      <w:r w:rsidR="001A1A65">
        <w:t> </w:t>
      </w:r>
      <w:r w:rsidR="00594234" w:rsidRPr="009917E6">
        <w:t>”  (</w:t>
      </w:r>
      <w:r w:rsidR="00594234" w:rsidRPr="009917E6">
        <w:rPr>
          <w:i/>
        </w:rPr>
        <w:t xml:space="preserve">Campbell v. Regents of University of California </w:t>
      </w:r>
      <w:r w:rsidR="00FD2CB6" w:rsidRPr="004F6CE9">
        <w:t>(</w:t>
      </w:r>
      <w:r w:rsidR="00594234" w:rsidRPr="009917E6">
        <w:t>2005) 35 Cal.4th 311, 321.)</w:t>
      </w:r>
    </w:p>
    <w:p w:rsidR="00A93C2A" w:rsidRPr="009917E6" w:rsidRDefault="00D71EC1" w:rsidP="009917E6">
      <w:pPr>
        <w:tabs>
          <w:tab w:val="left" w:pos="1440"/>
        </w:tabs>
        <w:ind w:firstLine="720"/>
      </w:pPr>
      <w:r w:rsidRPr="009917E6">
        <w:t xml:space="preserve">The </w:t>
      </w:r>
      <w:r w:rsidR="00E41581" w:rsidRPr="009917E6">
        <w:t>exhaustion doctrine</w:t>
      </w:r>
      <w:r w:rsidRPr="009917E6">
        <w:t xml:space="preserve"> </w:t>
      </w:r>
      <w:r w:rsidR="00D1251B" w:rsidRPr="009917E6">
        <w:t>is</w:t>
      </w:r>
      <w:r w:rsidR="00A92E4F" w:rsidRPr="009917E6">
        <w:t xml:space="preserve"> primarily</w:t>
      </w:r>
      <w:r w:rsidR="00D1251B" w:rsidRPr="009917E6">
        <w:t xml:space="preserve"> grounded on </w:t>
      </w:r>
      <w:r w:rsidRPr="009917E6">
        <w:t xml:space="preserve">policy </w:t>
      </w:r>
      <w:r w:rsidR="00D1251B" w:rsidRPr="009917E6">
        <w:t>co</w:t>
      </w:r>
      <w:r w:rsidRPr="009917E6">
        <w:t xml:space="preserve">ncerns </w:t>
      </w:r>
      <w:r w:rsidR="00A92E4F" w:rsidRPr="009917E6">
        <w:t>related to</w:t>
      </w:r>
      <w:r w:rsidRPr="009917E6">
        <w:t xml:space="preserve"> administrative autonomy and judicial efficiency.  (See </w:t>
      </w:r>
      <w:r w:rsidRPr="009917E6">
        <w:rPr>
          <w:i/>
        </w:rPr>
        <w:t xml:space="preserve">Farmers Ins. Exchange v. Superior Court </w:t>
      </w:r>
      <w:r w:rsidRPr="009917E6">
        <w:t>(1992) 2 Cal.4th 377, 391.)</w:t>
      </w:r>
      <w:r w:rsidR="00D1251B" w:rsidRPr="009917E6">
        <w:t xml:space="preserve">  </w:t>
      </w:r>
      <w:r w:rsidR="00A92E4F" w:rsidRPr="009917E6">
        <w:t>The doctrine favors administrative autonomy by allowing an agency to reach a final decision without interference from the courts.  (</w:t>
      </w:r>
      <w:r w:rsidR="00A92E4F" w:rsidRPr="009917E6">
        <w:rPr>
          <w:i/>
        </w:rPr>
        <w:t>Ibid.</w:t>
      </w:r>
      <w:r w:rsidR="00A92E4F" w:rsidRPr="009917E6">
        <w:t xml:space="preserve">)  </w:t>
      </w:r>
      <w:r w:rsidR="00FF78A4" w:rsidRPr="009917E6">
        <w:t>Unless circumstances warrant judicial</w:t>
      </w:r>
      <w:r w:rsidR="00123AB8" w:rsidRPr="009917E6">
        <w:t xml:space="preserve"> involvement,</w:t>
      </w:r>
      <w:r w:rsidR="00E34764" w:rsidRPr="009917E6">
        <w:t xml:space="preserve"> a</w:t>
      </w:r>
      <w:r w:rsidR="00A92E4F" w:rsidRPr="009917E6">
        <w:t>llowing a court to intervene before an agenc</w:t>
      </w:r>
      <w:r w:rsidR="00E34764" w:rsidRPr="009917E6">
        <w:t>y has fully resolved the matter would “constitute an interference with the jurisdiction of another tribunal.”  (</w:t>
      </w:r>
      <w:r w:rsidR="00E34764" w:rsidRPr="009917E6">
        <w:rPr>
          <w:i/>
        </w:rPr>
        <w:t xml:space="preserve">California Correctional Peace Officers Assn. v. State Personnel Bd. </w:t>
      </w:r>
      <w:r w:rsidR="00E34764" w:rsidRPr="009917E6">
        <w:t>(1995)</w:t>
      </w:r>
      <w:r w:rsidR="00E34764" w:rsidRPr="009917E6">
        <w:rPr>
          <w:i/>
        </w:rPr>
        <w:t xml:space="preserve"> </w:t>
      </w:r>
      <w:r w:rsidR="00E34764" w:rsidRPr="009917E6">
        <w:t xml:space="preserve">10 Cal.4th 1133, </w:t>
      </w:r>
      <w:r w:rsidR="00123AB8" w:rsidRPr="009917E6">
        <w:t>1151.)</w:t>
      </w:r>
      <w:r w:rsidR="001868EA" w:rsidRPr="009917E6">
        <w:t xml:space="preserve">  </w:t>
      </w:r>
      <w:r w:rsidR="00C51338" w:rsidRPr="009917E6">
        <w:t>I</w:t>
      </w:r>
      <w:r w:rsidR="006F1A6F" w:rsidRPr="009917E6">
        <w:t xml:space="preserve">f exhaustion were not required, </w:t>
      </w:r>
      <w:r w:rsidR="001868EA" w:rsidRPr="009917E6">
        <w:t>a litigant</w:t>
      </w:r>
      <w:r w:rsidR="006F1A6F" w:rsidRPr="009917E6">
        <w:t xml:space="preserve"> would ha</w:t>
      </w:r>
      <w:r w:rsidR="001868EA" w:rsidRPr="009917E6">
        <w:t>ve an incentive to avoid</w:t>
      </w:r>
      <w:r w:rsidR="00710BDD">
        <w:t xml:space="preserve"> securing</w:t>
      </w:r>
      <w:r w:rsidR="001868EA" w:rsidRPr="009917E6">
        <w:t xml:space="preserve"> an agency decision that might later be afforded deferenc</w:t>
      </w:r>
      <w:r w:rsidR="00B1376B">
        <w:t>e</w:t>
      </w:r>
      <w:r w:rsidR="001868EA" w:rsidRPr="009917E6">
        <w:t xml:space="preserve">.  (See </w:t>
      </w:r>
      <w:r w:rsidR="001868EA" w:rsidRPr="009917E6">
        <w:rPr>
          <w:i/>
        </w:rPr>
        <w:t xml:space="preserve">Tahoe Vista Concerned Citizens v. County of Placer </w:t>
      </w:r>
      <w:r w:rsidR="001868EA" w:rsidRPr="009917E6">
        <w:t>(2000) 81 Cal.App.4th 577, 594.)</w:t>
      </w:r>
      <w:r w:rsidR="006D102B" w:rsidRPr="009917E6">
        <w:t xml:space="preserve">  </w:t>
      </w:r>
      <w:r w:rsidR="00C73869" w:rsidRPr="009917E6">
        <w:t xml:space="preserve">Further, </w:t>
      </w:r>
      <w:r w:rsidR="00FF78A4" w:rsidRPr="009917E6">
        <w:t xml:space="preserve">creating an agency </w:t>
      </w:r>
      <w:r w:rsidR="00F564DF" w:rsidRPr="009917E6">
        <w:t xml:space="preserve">with </w:t>
      </w:r>
      <w:proofErr w:type="gramStart"/>
      <w:r w:rsidR="00F564DF" w:rsidRPr="009917E6">
        <w:t>particular</w:t>
      </w:r>
      <w:r w:rsidR="006D102B" w:rsidRPr="009917E6">
        <w:t xml:space="preserve"> expe</w:t>
      </w:r>
      <w:r w:rsidR="00F564DF" w:rsidRPr="009917E6">
        <w:t>rtise</w:t>
      </w:r>
      <w:proofErr w:type="gramEnd"/>
      <w:r w:rsidR="00F564DF" w:rsidRPr="009917E6">
        <w:t xml:space="preserve"> to administer a specific</w:t>
      </w:r>
      <w:r w:rsidR="006D102B" w:rsidRPr="009917E6">
        <w:t xml:space="preserve"> legislative scheme would be frustrated if a litigant could bypass the agency in the hope of seeking a </w:t>
      </w:r>
      <w:r w:rsidR="00710BDD">
        <w:t>different decision in court</w:t>
      </w:r>
      <w:r w:rsidR="006D102B" w:rsidRPr="009917E6">
        <w:t>.</w:t>
      </w:r>
    </w:p>
    <w:p w:rsidR="00BC22CB" w:rsidRDefault="00B07EA7" w:rsidP="00BC22CB">
      <w:pPr>
        <w:tabs>
          <w:tab w:val="left" w:pos="1440"/>
        </w:tabs>
        <w:ind w:firstLine="720"/>
      </w:pPr>
      <w:r>
        <w:lastRenderedPageBreak/>
        <w:t>As to judicial efficiency, the doctrine a</w:t>
      </w:r>
      <w:r w:rsidR="00EF1FEC" w:rsidRPr="009917E6">
        <w:t xml:space="preserve">llows </w:t>
      </w:r>
      <w:r>
        <w:t>an</w:t>
      </w:r>
      <w:r w:rsidR="00EF1FEC" w:rsidRPr="009917E6">
        <w:t xml:space="preserve"> administrative agency to provide relief without requiring</w:t>
      </w:r>
      <w:r w:rsidR="006B5072" w:rsidRPr="009917E6">
        <w:t xml:space="preserve"> resort to</w:t>
      </w:r>
      <w:r w:rsidR="00EF1FEC" w:rsidRPr="009917E6">
        <w:t xml:space="preserve"> </w:t>
      </w:r>
      <w:r>
        <w:t xml:space="preserve">costly </w:t>
      </w:r>
      <w:r w:rsidR="00EF1FEC" w:rsidRPr="009917E6">
        <w:t>litigation</w:t>
      </w:r>
      <w:r w:rsidR="006B5072" w:rsidRPr="009917E6">
        <w:t>.</w:t>
      </w:r>
      <w:r w:rsidR="00EF1FEC" w:rsidRPr="009917E6">
        <w:t xml:space="preserve">  (</w:t>
      </w:r>
      <w:r w:rsidR="00EF1FEC" w:rsidRPr="009917E6">
        <w:rPr>
          <w:i/>
        </w:rPr>
        <w:t xml:space="preserve">Sierra Club v. San Joaquin Local Agency Formation Com. </w:t>
      </w:r>
      <w:r w:rsidR="00EF1FEC" w:rsidRPr="009917E6">
        <w:t>(1999) 21 Cal.4th 489, 501.)</w:t>
      </w:r>
      <w:r w:rsidR="00F63E76" w:rsidRPr="009917E6">
        <w:t xml:space="preserve">  </w:t>
      </w:r>
      <w:r w:rsidR="00E9448C" w:rsidRPr="009917E6">
        <w:t>Even when an administrative remedy does not resolve all issues or provide complete relief, it still may reduce the scope of litigation.  (</w:t>
      </w:r>
      <w:r w:rsidR="008D55A0" w:rsidRPr="009917E6">
        <w:t xml:space="preserve">See </w:t>
      </w:r>
      <w:r w:rsidR="008D55A0" w:rsidRPr="009917E6">
        <w:rPr>
          <w:i/>
        </w:rPr>
        <w:t xml:space="preserve">Westlake Community Hosp. v. Superior Court </w:t>
      </w:r>
      <w:r w:rsidR="008D55A0" w:rsidRPr="009917E6">
        <w:t>(</w:t>
      </w:r>
      <w:r w:rsidR="00C51338" w:rsidRPr="009917E6">
        <w:t xml:space="preserve">1976) 17 Cal.3d 465, 476.) </w:t>
      </w:r>
      <w:r w:rsidR="003E092A" w:rsidRPr="009917E6">
        <w:t xml:space="preserve"> R</w:t>
      </w:r>
      <w:r w:rsidR="00FB6188" w:rsidRPr="009917E6">
        <w:t>equiring a party to pursue a</w:t>
      </w:r>
      <w:r w:rsidR="00C51338" w:rsidRPr="009917E6">
        <w:t xml:space="preserve">n available administrative remedy </w:t>
      </w:r>
      <w:r w:rsidR="00FD337B" w:rsidRPr="009917E6">
        <w:t xml:space="preserve">aids </w:t>
      </w:r>
      <w:r w:rsidR="00297B0D" w:rsidRPr="009917E6">
        <w:t>judicial review by allowing the agency to draw upon its ex</w:t>
      </w:r>
      <w:r w:rsidR="003C25CD" w:rsidRPr="009917E6">
        <w:t xml:space="preserve">pertise and develop a factual record for the court’s consideration.  </w:t>
      </w:r>
      <w:r w:rsidR="00297B0D" w:rsidRPr="009917E6">
        <w:t>(</w:t>
      </w:r>
      <w:r w:rsidR="00297B0D" w:rsidRPr="009917E6">
        <w:rPr>
          <w:i/>
        </w:rPr>
        <w:t>Sierra Club v</w:t>
      </w:r>
      <w:r w:rsidR="00F44CEB" w:rsidRPr="009917E6">
        <w:rPr>
          <w:i/>
        </w:rPr>
        <w:t>.</w:t>
      </w:r>
      <w:r w:rsidR="00297B0D" w:rsidRPr="009917E6">
        <w:rPr>
          <w:i/>
        </w:rPr>
        <w:t xml:space="preserve"> San Joaquin Local Agency Formation Com., </w:t>
      </w:r>
      <w:r w:rsidR="00297B0D" w:rsidRPr="009917E6">
        <w:t>at p. 501.)</w:t>
      </w:r>
    </w:p>
    <w:p w:rsidR="00CD7BFC" w:rsidRDefault="000C7766" w:rsidP="005A6DB0">
      <w:pPr>
        <w:tabs>
          <w:tab w:val="left" w:pos="1440"/>
        </w:tabs>
        <w:ind w:firstLine="720"/>
      </w:pPr>
      <w:r>
        <w:t xml:space="preserve">Here, </w:t>
      </w:r>
      <w:r w:rsidR="009572E9">
        <w:t>t</w:t>
      </w:r>
      <w:r>
        <w:t xml:space="preserve">he District </w:t>
      </w:r>
      <w:r w:rsidR="00B07EA7">
        <w:t>claims a</w:t>
      </w:r>
      <w:r w:rsidR="009572E9">
        <w:t xml:space="preserve"> Proposition 218 </w:t>
      </w:r>
      <w:r w:rsidR="00AF0680">
        <w:t xml:space="preserve">rate </w:t>
      </w:r>
      <w:r w:rsidR="009572E9">
        <w:t xml:space="preserve">hearing </w:t>
      </w:r>
      <w:r w:rsidR="00B07EA7">
        <w:t>is</w:t>
      </w:r>
      <w:r w:rsidR="009572E9">
        <w:t xml:space="preserve"> an “administrative remedy” </w:t>
      </w:r>
      <w:r w:rsidR="001A1A65">
        <w:t>plaintiffs were required to exhaust.</w:t>
      </w:r>
      <w:r w:rsidR="00B030C9">
        <w:t xml:space="preserve">  </w:t>
      </w:r>
      <w:r w:rsidR="00D173AB">
        <w:t>Before considering whether exhaustion is required under the</w:t>
      </w:r>
      <w:r w:rsidR="00B07EA7">
        <w:t xml:space="preserve">se </w:t>
      </w:r>
      <w:proofErr w:type="gramStart"/>
      <w:r w:rsidR="00B07EA7">
        <w:t xml:space="preserve">particular </w:t>
      </w:r>
      <w:r w:rsidR="00D173AB">
        <w:t>circumstance</w:t>
      </w:r>
      <w:r w:rsidR="00B07EA7">
        <w:t>s</w:t>
      </w:r>
      <w:proofErr w:type="gramEnd"/>
      <w:r w:rsidR="00B07EA7">
        <w:t>, we pause to narrow the inquiry.</w:t>
      </w:r>
      <w:r w:rsidR="00CD7BFC">
        <w:t xml:space="preserve">  </w:t>
      </w:r>
    </w:p>
    <w:p w:rsidR="006F1376" w:rsidRDefault="00CD7BFC" w:rsidP="005A6DB0">
      <w:pPr>
        <w:tabs>
          <w:tab w:val="left" w:pos="1440"/>
        </w:tabs>
        <w:ind w:firstLine="720"/>
      </w:pPr>
      <w:r>
        <w:t xml:space="preserve">We need not here formulate a general definition </w:t>
      </w:r>
      <w:r w:rsidR="003D53B3">
        <w:t xml:space="preserve">that a procedure must satisfy to constitute </w:t>
      </w:r>
      <w:r>
        <w:t xml:space="preserve">an “administrative remedy.”  Such a question may vary among agencies and legislative schemes.  For purposes of this analysis, we will assume that a Proposition 218 </w:t>
      </w:r>
      <w:r w:rsidR="003D53B3">
        <w:t xml:space="preserve">rate </w:t>
      </w:r>
      <w:r>
        <w:t xml:space="preserve">hearing is an “administrative remedy” because that is the way the parties and the courts below have framed the issue presented by this dispute.  We do not decide the broader question of </w:t>
      </w:r>
      <w:r w:rsidR="003D53B3">
        <w:t>whether, when, and</w:t>
      </w:r>
      <w:r>
        <w:t xml:space="preserve"> under what circumstances a public comment process may be considered an administrative remedy.  </w:t>
      </w:r>
      <w:r w:rsidR="001F7232" w:rsidRPr="001F7232">
        <w:t xml:space="preserve">We consider only </w:t>
      </w:r>
      <w:r w:rsidR="001F7232" w:rsidRPr="001F7232">
        <w:lastRenderedPageBreak/>
        <w:t>whether these Proposition 218 hearings were adequate to resolve plaintiffs’ substantive challenge</w:t>
      </w:r>
      <w:r>
        <w:t>.</w:t>
      </w:r>
      <w:r>
        <w:rPr>
          <w:rStyle w:val="FootnoteReference"/>
        </w:rPr>
        <w:footnoteReference w:id="11"/>
      </w:r>
    </w:p>
    <w:p w:rsidR="007728BC" w:rsidRDefault="007728BC" w:rsidP="00F16294">
      <w:pPr>
        <w:tabs>
          <w:tab w:val="left" w:pos="1440"/>
        </w:tabs>
        <w:ind w:firstLine="720"/>
      </w:pPr>
      <w:r>
        <w:t>Even when a procedure is considered an administrative remedy, a party may be excused from exhausting it if an exception applies</w:t>
      </w:r>
      <w:r w:rsidRPr="009917E6">
        <w:t>.  (</w:t>
      </w:r>
      <w:r w:rsidRPr="009917E6">
        <w:rPr>
          <w:i/>
        </w:rPr>
        <w:t>Campbell v. Regents of University of California, supra</w:t>
      </w:r>
      <w:r w:rsidRPr="009917E6">
        <w:t>, 35 Cal.4th at p. 322; see 1 Cal. Administrative Mandamus (</w:t>
      </w:r>
      <w:proofErr w:type="spellStart"/>
      <w:r w:rsidRPr="009917E6">
        <w:t>Cont.Ed.Bar</w:t>
      </w:r>
      <w:proofErr w:type="spellEnd"/>
      <w:r w:rsidRPr="009917E6">
        <w:t xml:space="preserve"> 2018) §§ 3.32–3.48, pp. 3</w:t>
      </w:r>
      <w:r w:rsidRPr="009917E6">
        <w:noBreakHyphen/>
        <w:t>24 to 3</w:t>
      </w:r>
      <w:r w:rsidRPr="009917E6">
        <w:noBreakHyphen/>
        <w:t xml:space="preserve">34.2 [listing exceptions].)  One </w:t>
      </w:r>
      <w:r>
        <w:t xml:space="preserve">recognized exception </w:t>
      </w:r>
      <w:r w:rsidR="003D53B3">
        <w:t>arises</w:t>
      </w:r>
      <w:r w:rsidRPr="009917E6">
        <w:t xml:space="preserve"> if the remedy is inadequate</w:t>
      </w:r>
      <w:r>
        <w:t xml:space="preserve"> to resolve a challenger’s dispute</w:t>
      </w:r>
      <w:r w:rsidRPr="009917E6">
        <w:t>.  (</w:t>
      </w:r>
      <w:r w:rsidRPr="009917E6">
        <w:rPr>
          <w:i/>
        </w:rPr>
        <w:t xml:space="preserve">Glendale City Employees’ Assn., Inc. v. City of Glendale </w:t>
      </w:r>
      <w:r w:rsidRPr="009917E6">
        <w:t>(1975) 15 Cal.3d 328, 342.)</w:t>
      </w:r>
    </w:p>
    <w:p w:rsidR="00F16294" w:rsidRPr="009917E6" w:rsidRDefault="00E16BE5" w:rsidP="000F5D8A">
      <w:pPr>
        <w:tabs>
          <w:tab w:val="left" w:pos="1440"/>
        </w:tabs>
        <w:ind w:firstLine="720"/>
      </w:pPr>
      <w:r>
        <w:t>As a general matter, a remedy is not adequate unless it “</w:t>
      </w:r>
      <w:r w:rsidR="00F16294" w:rsidRPr="009917E6">
        <w:t>establishes clearly defined machinery for the submission, evaluation and resolution of complaints by aggrieved parties.”  (</w:t>
      </w:r>
      <w:r w:rsidR="00F16294" w:rsidRPr="009917E6">
        <w:rPr>
          <w:i/>
        </w:rPr>
        <w:t xml:space="preserve">Rosenfield v. Malcolm </w:t>
      </w:r>
      <w:r w:rsidR="00F16294" w:rsidRPr="009917E6">
        <w:t>(1967) 65 Cal.2d 559, 566</w:t>
      </w:r>
      <w:r w:rsidR="00F16294">
        <w:t>.)</w:t>
      </w:r>
      <w:r w:rsidRPr="00E16BE5">
        <w:t xml:space="preserve"> </w:t>
      </w:r>
      <w:r>
        <w:t xml:space="preserve">  </w:t>
      </w:r>
      <w:r w:rsidR="00B1376B" w:rsidRPr="00B1376B">
        <w:rPr>
          <w:i/>
        </w:rPr>
        <w:t>C</w:t>
      </w:r>
      <w:r w:rsidRPr="009917E6">
        <w:rPr>
          <w:i/>
        </w:rPr>
        <w:t xml:space="preserve">ity of Coachella v. Riverside County Airport Land Use Com. </w:t>
      </w:r>
      <w:r w:rsidRPr="009917E6">
        <w:t>(1989) 210 Cal.App.3d 1277, 1287</w:t>
      </w:r>
      <w:r w:rsidR="00B1376B">
        <w:t xml:space="preserve"> held</w:t>
      </w:r>
      <w:r w:rsidRPr="009917E6">
        <w:t xml:space="preserve"> </w:t>
      </w:r>
      <w:r w:rsidR="00FF7691">
        <w:t xml:space="preserve">that </w:t>
      </w:r>
      <w:r w:rsidR="003D53B3">
        <w:t xml:space="preserve">a public hearing process </w:t>
      </w:r>
      <w:r w:rsidR="00B1376B">
        <w:t>did not</w:t>
      </w:r>
      <w:r w:rsidR="003D53B3">
        <w:t xml:space="preserve"> provide </w:t>
      </w:r>
      <w:r w:rsidRPr="009917E6">
        <w:t>an adequate</w:t>
      </w:r>
      <w:r w:rsidR="000F5D8A">
        <w:t xml:space="preserve"> </w:t>
      </w:r>
      <w:r w:rsidRPr="009917E6">
        <w:t>remedy because the agency was not required to “</w:t>
      </w:r>
      <w:r w:rsidRPr="009917E6">
        <w:rPr>
          <w:i/>
        </w:rPr>
        <w:t xml:space="preserve">do </w:t>
      </w:r>
      <w:r w:rsidRPr="009917E6">
        <w:t xml:space="preserve">anything in response to submissions or testimony received by </w:t>
      </w:r>
      <w:proofErr w:type="gramStart"/>
      <w:r w:rsidRPr="009917E6">
        <w:t>it</w:t>
      </w:r>
      <w:proofErr w:type="gramEnd"/>
      <w:r w:rsidRPr="009917E6">
        <w:t xml:space="preserve"> incident to those hearings.”  Similarly, in </w:t>
      </w:r>
      <w:r w:rsidRPr="009917E6">
        <w:rPr>
          <w:i/>
        </w:rPr>
        <w:t xml:space="preserve">City of Oakland v. Oakland Police &amp; Fire Retirement System </w:t>
      </w:r>
      <w:r w:rsidRPr="009917E6">
        <w:t xml:space="preserve">(2014) 224 Cal.App.4th 210, 237, a public hearing process without “clearly defined procedures” for the conduct of the hearing and “no standards for </w:t>
      </w:r>
      <w:proofErr w:type="spellStart"/>
      <w:r w:rsidRPr="009917E6">
        <w:t>decisionmaking</w:t>
      </w:r>
      <w:proofErr w:type="spellEnd"/>
      <w:r w:rsidRPr="009917E6">
        <w:t>” was determined to be inadequate as a remedy.</w:t>
      </w:r>
    </w:p>
    <w:p w:rsidR="00DB036F" w:rsidRPr="009917E6" w:rsidRDefault="005F662D" w:rsidP="001B72BE">
      <w:pPr>
        <w:tabs>
          <w:tab w:val="left" w:pos="1440"/>
        </w:tabs>
        <w:ind w:firstLine="720"/>
      </w:pPr>
      <w:r w:rsidRPr="009917E6">
        <w:lastRenderedPageBreak/>
        <w:t xml:space="preserve">The primary </w:t>
      </w:r>
      <w:r w:rsidR="00490CF0" w:rsidRPr="009917E6">
        <w:t xml:space="preserve">procedural </w:t>
      </w:r>
      <w:r w:rsidRPr="009917E6">
        <w:t xml:space="preserve">remedy afforded by </w:t>
      </w:r>
      <w:r w:rsidR="001D066E">
        <w:t xml:space="preserve">article XIII D, </w:t>
      </w:r>
      <w:r w:rsidRPr="009917E6">
        <w:t xml:space="preserve">section 6, subdivision (a) </w:t>
      </w:r>
      <w:r w:rsidR="003D53B3">
        <w:t xml:space="preserve">is that </w:t>
      </w:r>
      <w:proofErr w:type="gramStart"/>
      <w:r w:rsidR="0072116B" w:rsidRPr="009917E6">
        <w:t xml:space="preserve">a </w:t>
      </w:r>
      <w:r w:rsidR="0072116B" w:rsidRPr="000F5D8A">
        <w:rPr>
          <w:i/>
        </w:rPr>
        <w:t>majority</w:t>
      </w:r>
      <w:r w:rsidR="0072116B" w:rsidRPr="009917E6">
        <w:t xml:space="preserve"> of</w:t>
      </w:r>
      <w:proofErr w:type="gramEnd"/>
      <w:r w:rsidR="0072116B" w:rsidRPr="009917E6">
        <w:t xml:space="preserve"> fee payors </w:t>
      </w:r>
      <w:r w:rsidR="003D53B3">
        <w:t>may</w:t>
      </w:r>
      <w:r w:rsidR="0028721F" w:rsidRPr="009917E6">
        <w:t xml:space="preserve"> reject a new </w:t>
      </w:r>
      <w:r w:rsidR="0072116B" w:rsidRPr="009917E6">
        <w:t>or increased</w:t>
      </w:r>
      <w:r w:rsidR="0072116B" w:rsidRPr="003078EB">
        <w:t xml:space="preserve"> fee</w:t>
      </w:r>
      <w:r w:rsidR="000F5D8A" w:rsidRPr="003078EB">
        <w:t xml:space="preserve"> by submitting written protests</w:t>
      </w:r>
      <w:r w:rsidR="003D53B3">
        <w:t>.  (</w:t>
      </w:r>
      <w:r w:rsidR="001D066E">
        <w:t xml:space="preserve">Art. XIII D, </w:t>
      </w:r>
      <w:r w:rsidR="00653566" w:rsidRPr="009917E6">
        <w:t xml:space="preserve">§ 6, </w:t>
      </w:r>
      <w:proofErr w:type="spellStart"/>
      <w:r w:rsidR="00653566" w:rsidRPr="009917E6">
        <w:t>subd</w:t>
      </w:r>
      <w:proofErr w:type="spellEnd"/>
      <w:proofErr w:type="gramStart"/>
      <w:r w:rsidR="00653566" w:rsidRPr="009917E6">
        <w:t xml:space="preserve">. </w:t>
      </w:r>
      <w:proofErr w:type="gramEnd"/>
      <w:r w:rsidR="00653566" w:rsidRPr="009917E6">
        <w:t>(a)(2)</w:t>
      </w:r>
      <w:r w:rsidR="00390A15" w:rsidRPr="009917E6">
        <w:t>.)</w:t>
      </w:r>
      <w:r w:rsidR="00DB036F" w:rsidRPr="009917E6">
        <w:t xml:space="preserve">  But a single written protest would</w:t>
      </w:r>
      <w:r w:rsidR="00691B8D" w:rsidRPr="009917E6">
        <w:t xml:space="preserve"> seldom, if ever, determine whether a proposed fee would be rejected.  </w:t>
      </w:r>
      <w:r w:rsidR="00DB036F" w:rsidRPr="009917E6">
        <w:t>That i</w:t>
      </w:r>
      <w:r w:rsidR="00DE7C00" w:rsidRPr="009917E6">
        <w:t>s particularly true here</w:t>
      </w:r>
      <w:r w:rsidR="00076893" w:rsidRPr="009917E6">
        <w:t xml:space="preserve">, where </w:t>
      </w:r>
      <w:r w:rsidR="00DB036F" w:rsidRPr="009917E6">
        <w:t xml:space="preserve">thousands of individual property owners would have to </w:t>
      </w:r>
      <w:r w:rsidR="000F5D8A">
        <w:t>protest in writing to meet the rejection threshold.</w:t>
      </w:r>
    </w:p>
    <w:p w:rsidR="00511F60" w:rsidRDefault="00505289" w:rsidP="00FB594E">
      <w:pPr>
        <w:tabs>
          <w:tab w:val="left" w:pos="1440"/>
        </w:tabs>
        <w:ind w:firstLine="720"/>
      </w:pPr>
      <w:r w:rsidRPr="009917E6">
        <w:t>F</w:t>
      </w:r>
      <w:r w:rsidR="00B1376B">
        <w:t xml:space="preserve">urther, the District only gave notice that it sought to raise the rate for all parcels serviced.  It gave no notice that it was proposing to change the EDU assignment method.  Accordingly, whatever the result of the public hearings on </w:t>
      </w:r>
      <w:r w:rsidR="00B1376B">
        <w:rPr>
          <w:i/>
        </w:rPr>
        <w:t>rates</w:t>
      </w:r>
      <w:r w:rsidR="00B1376B">
        <w:t xml:space="preserve">, </w:t>
      </w:r>
      <w:r w:rsidR="00511F60">
        <w:t>the board</w:t>
      </w:r>
      <w:r w:rsidR="00064BAC">
        <w:t xml:space="preserve"> essentially</w:t>
      </w:r>
      <w:r w:rsidR="00511F60">
        <w:t xml:space="preserve"> would have been without authority to modify the </w:t>
      </w:r>
      <w:r w:rsidR="00511F60">
        <w:rPr>
          <w:i/>
        </w:rPr>
        <w:t>assignment method.</w:t>
      </w:r>
    </w:p>
    <w:p w:rsidR="00795E31" w:rsidRPr="009917E6" w:rsidRDefault="00511F60" w:rsidP="005E268E">
      <w:pPr>
        <w:tabs>
          <w:tab w:val="left" w:pos="1440"/>
        </w:tabs>
        <w:ind w:firstLine="720"/>
      </w:pPr>
      <w:r>
        <w:t>This is so because</w:t>
      </w:r>
      <w:r w:rsidR="005C1496">
        <w:t xml:space="preserve"> a </w:t>
      </w:r>
      <w:r w:rsidR="00795E31">
        <w:t>change to the method</w:t>
      </w:r>
      <w:r w:rsidR="005C1496">
        <w:t xml:space="preserve"> </w:t>
      </w:r>
      <w:r w:rsidR="00795E31">
        <w:t xml:space="preserve">for calculating a fee is considered an increase in the fee for purposes of Proposition 218 if it results in an increased amount being levied on </w:t>
      </w:r>
      <w:r w:rsidR="00795E31" w:rsidRPr="00285C88">
        <w:rPr>
          <w:i/>
        </w:rPr>
        <w:t xml:space="preserve">any </w:t>
      </w:r>
      <w:r w:rsidR="00795E31">
        <w:t xml:space="preserve">person or parcel.  (Gov. Code, § 53750, </w:t>
      </w:r>
      <w:proofErr w:type="spellStart"/>
      <w:r w:rsidR="00795E31">
        <w:t>subd</w:t>
      </w:r>
      <w:proofErr w:type="spellEnd"/>
      <w:proofErr w:type="gramStart"/>
      <w:r w:rsidR="00795E31">
        <w:t xml:space="preserve">. </w:t>
      </w:r>
      <w:proofErr w:type="gramEnd"/>
      <w:r w:rsidR="00795E31">
        <w:t xml:space="preserve">(h)(1)(B).)  A methodological change in the allocation of costs among fee payors will </w:t>
      </w:r>
      <w:r w:rsidR="00FB594E">
        <w:t>almost always</w:t>
      </w:r>
      <w:r w:rsidR="00795E31">
        <w:t xml:space="preserve"> result in </w:t>
      </w:r>
      <w:proofErr w:type="gramStart"/>
      <w:r w:rsidR="00795E31">
        <w:t>some</w:t>
      </w:r>
      <w:proofErr w:type="gramEnd"/>
      <w:r w:rsidR="00795E31">
        <w:t xml:space="preserve"> parcels paying a higher fee to offset those</w:t>
      </w:r>
      <w:r w:rsidR="00FB594E">
        <w:t xml:space="preserve"> that will now be required to </w:t>
      </w:r>
      <w:r w:rsidR="00795E31">
        <w:t xml:space="preserve">pay less.  </w:t>
      </w:r>
      <w:r w:rsidR="00FB594E">
        <w:t xml:space="preserve">If, instead of rejecting plaintiffs’ challenge, the agency determined it should change its EDU assignment method, it would have had to give notice of an intended change as Proposition 218 requires.  The notice here, </w:t>
      </w:r>
      <w:r w:rsidR="00795E31">
        <w:t xml:space="preserve">informing fee payors of a proposed </w:t>
      </w:r>
      <w:r w:rsidR="00795E31">
        <w:rPr>
          <w:i/>
        </w:rPr>
        <w:t xml:space="preserve">rate </w:t>
      </w:r>
      <w:r w:rsidR="00795E31">
        <w:t>increase</w:t>
      </w:r>
      <w:r w:rsidR="00FB594E">
        <w:t>, would not permit</w:t>
      </w:r>
      <w:r w:rsidR="00795E31">
        <w:t xml:space="preserve"> the agency to tinker with the </w:t>
      </w:r>
      <w:r w:rsidR="00795E31">
        <w:rPr>
          <w:i/>
        </w:rPr>
        <w:t xml:space="preserve">method </w:t>
      </w:r>
      <w:r w:rsidR="00795E31">
        <w:t xml:space="preserve">for calculating the fee, because a fee </w:t>
      </w:r>
      <w:proofErr w:type="gramStart"/>
      <w:r w:rsidR="00795E31">
        <w:t>increase</w:t>
      </w:r>
      <w:proofErr w:type="gramEnd"/>
      <w:r w:rsidR="00795E31">
        <w:t xml:space="preserve"> on certain fee payors resulting from a methodological change would be beyond the scope of the notic</w:t>
      </w:r>
      <w:r w:rsidR="005C1496">
        <w:t>e.</w:t>
      </w:r>
    </w:p>
    <w:p w:rsidR="00D204B4" w:rsidRPr="009917E6" w:rsidRDefault="00EF25CC" w:rsidP="00D204B4">
      <w:pPr>
        <w:tabs>
          <w:tab w:val="left" w:pos="1440"/>
        </w:tabs>
        <w:ind w:firstLine="720"/>
      </w:pPr>
      <w:r w:rsidRPr="009917E6">
        <w:lastRenderedPageBreak/>
        <w:t xml:space="preserve">Here, </w:t>
      </w:r>
      <w:r w:rsidR="00FB594E">
        <w:t>plaintiffs</w:t>
      </w:r>
      <w:r w:rsidRPr="009917E6">
        <w:t xml:space="preserve"> </w:t>
      </w:r>
      <w:r w:rsidR="00F00842">
        <w:t>objected to the sewer</w:t>
      </w:r>
      <w:r w:rsidR="00FE2C69" w:rsidRPr="009917E6">
        <w:t xml:space="preserve"> charge</w:t>
      </w:r>
      <w:r w:rsidR="00F00842">
        <w:t xml:space="preserve"> by</w:t>
      </w:r>
      <w:r w:rsidR="00FE2C69" w:rsidRPr="009917E6">
        <w:t xml:space="preserve"> urging that t</w:t>
      </w:r>
      <w:r w:rsidRPr="009917E6">
        <w:t>he EDU</w:t>
      </w:r>
      <w:r w:rsidR="00FB594E">
        <w:t xml:space="preserve"> </w:t>
      </w:r>
      <w:r w:rsidR="00EA72A7">
        <w:t>assignment</w:t>
      </w:r>
      <w:r w:rsidR="00FB594E">
        <w:t xml:space="preserve"> method</w:t>
      </w:r>
      <w:r w:rsidRPr="009917E6">
        <w:t xml:space="preserve"> itself violates Proposition 218’s proportionality requirement.  </w:t>
      </w:r>
      <w:r w:rsidR="00FB594E">
        <w:t>They</w:t>
      </w:r>
      <w:r w:rsidRPr="009917E6">
        <w:t xml:space="preserve"> fully </w:t>
      </w:r>
      <w:proofErr w:type="gramStart"/>
      <w:r w:rsidRPr="009917E6">
        <w:t>adjudicated</w:t>
      </w:r>
      <w:proofErr w:type="gramEnd"/>
      <w:r w:rsidRPr="009917E6">
        <w:t xml:space="preserve"> </w:t>
      </w:r>
      <w:r w:rsidR="00FB594E">
        <w:t>their</w:t>
      </w:r>
      <w:r w:rsidRPr="009917E6">
        <w:t xml:space="preserve"> challenge using the District’s own administrative procedures.</w:t>
      </w:r>
      <w:r w:rsidR="00F00842">
        <w:t xml:space="preserve">  </w:t>
      </w:r>
      <w:r w:rsidR="00FB594E">
        <w:t>They now seek judicial intervention to challenge the District’s rejection of their request for a ch</w:t>
      </w:r>
      <w:r w:rsidR="00511F60">
        <w:t>a</w:t>
      </w:r>
      <w:r w:rsidR="00FB594E">
        <w:t>nge</w:t>
      </w:r>
      <w:proofErr w:type="gramStart"/>
      <w:r w:rsidR="00FB594E">
        <w:t xml:space="preserve">. </w:t>
      </w:r>
      <w:proofErr w:type="gramEnd"/>
      <w:r w:rsidR="00511F60">
        <w:t xml:space="preserve">The noticed </w:t>
      </w:r>
      <w:r w:rsidR="00861DB1">
        <w:t>Proposition 218</w:t>
      </w:r>
      <w:r w:rsidR="00511F60">
        <w:t xml:space="preserve"> hearings did not </w:t>
      </w:r>
      <w:r w:rsidR="00A03093" w:rsidRPr="009917E6">
        <w:t xml:space="preserve">offer </w:t>
      </w:r>
      <w:r w:rsidR="00FB594E">
        <w:t xml:space="preserve">them the </w:t>
      </w:r>
      <w:r w:rsidR="00A03093" w:rsidRPr="009917E6">
        <w:t xml:space="preserve">possibility of any effective </w:t>
      </w:r>
      <w:r w:rsidR="00D75926" w:rsidRPr="009917E6">
        <w:t>r</w:t>
      </w:r>
      <w:r w:rsidR="00B658B8" w:rsidRPr="009917E6">
        <w:t>elief.</w:t>
      </w:r>
      <w:r w:rsidR="003034C3">
        <w:t xml:space="preserve">  </w:t>
      </w:r>
      <w:r w:rsidR="00B658B8" w:rsidRPr="009917E6">
        <w:t>I</w:t>
      </w:r>
      <w:r w:rsidR="00545493" w:rsidRPr="009917E6">
        <w:t xml:space="preserve">f </w:t>
      </w:r>
      <w:proofErr w:type="gramStart"/>
      <w:r w:rsidR="00545493" w:rsidRPr="009917E6">
        <w:t>a majority of</w:t>
      </w:r>
      <w:proofErr w:type="gramEnd"/>
      <w:r w:rsidR="00545493" w:rsidRPr="009917E6">
        <w:t xml:space="preserve"> property owners </w:t>
      </w:r>
      <w:r w:rsidR="000863EB" w:rsidRPr="009917E6">
        <w:t xml:space="preserve">had rejected </w:t>
      </w:r>
      <w:r w:rsidRPr="009917E6">
        <w:t xml:space="preserve">a proposed fee increase, the District would lose the authority </w:t>
      </w:r>
      <w:r w:rsidR="00545493" w:rsidRPr="009917E6">
        <w:t xml:space="preserve">to adopt the </w:t>
      </w:r>
      <w:r w:rsidR="00545493" w:rsidRPr="009917E6">
        <w:rPr>
          <w:i/>
        </w:rPr>
        <w:t>increase.</w:t>
      </w:r>
      <w:r w:rsidR="00545493" w:rsidRPr="009917E6">
        <w:t xml:space="preserve"> </w:t>
      </w:r>
      <w:r w:rsidR="002E017C" w:rsidRPr="009917E6">
        <w:t xml:space="preserve"> The existing</w:t>
      </w:r>
      <w:r w:rsidR="00545493" w:rsidRPr="009917E6">
        <w:t xml:space="preserve"> charge would </w:t>
      </w:r>
      <w:r w:rsidR="00CD53D0" w:rsidRPr="009917E6">
        <w:t xml:space="preserve">have </w:t>
      </w:r>
      <w:r w:rsidR="00545493" w:rsidRPr="009917E6">
        <w:t>r</w:t>
      </w:r>
      <w:r w:rsidR="00A21D8C" w:rsidRPr="009917E6">
        <w:t>emain</w:t>
      </w:r>
      <w:r w:rsidR="00CD53D0" w:rsidRPr="009917E6">
        <w:t>ed</w:t>
      </w:r>
      <w:r w:rsidR="00A21D8C" w:rsidRPr="009917E6">
        <w:t xml:space="preserve"> in place,</w:t>
      </w:r>
      <w:r w:rsidR="00CD53D0" w:rsidRPr="009917E6">
        <w:t xml:space="preserve"> with the same rate structure, </w:t>
      </w:r>
      <w:r w:rsidR="00A21D8C" w:rsidRPr="009917E6">
        <w:t xml:space="preserve">and </w:t>
      </w:r>
      <w:r w:rsidR="00FB594E">
        <w:t>plaintiffs’</w:t>
      </w:r>
      <w:r w:rsidR="00A21D8C" w:rsidRPr="009917E6">
        <w:t xml:space="preserve"> proportionality objection would </w:t>
      </w:r>
      <w:r w:rsidR="00F00954" w:rsidRPr="009917E6">
        <w:t xml:space="preserve">have </w:t>
      </w:r>
      <w:r w:rsidR="00A21D8C" w:rsidRPr="009917E6">
        <w:t>remain</w:t>
      </w:r>
      <w:r w:rsidR="00F00954" w:rsidRPr="009917E6">
        <w:t>ed</w:t>
      </w:r>
      <w:r w:rsidR="00A21D8C" w:rsidRPr="009917E6">
        <w:t xml:space="preserve"> unresolved.</w:t>
      </w:r>
    </w:p>
    <w:p w:rsidR="00845837" w:rsidRPr="009917E6" w:rsidRDefault="00CB3E8F" w:rsidP="009917E6">
      <w:pPr>
        <w:tabs>
          <w:tab w:val="left" w:pos="1440"/>
        </w:tabs>
        <w:ind w:firstLine="720"/>
      </w:pPr>
      <w:r w:rsidRPr="009917E6">
        <w:t>Even in the absence of a majority protest, the agency is still required to “consider all protests against the proposed fee or charge”</w:t>
      </w:r>
      <w:r w:rsidR="00B61FA7" w:rsidRPr="009917E6">
        <w:t xml:space="preserve"> at the public hearing.</w:t>
      </w:r>
      <w:r w:rsidR="005B001D" w:rsidRPr="009917E6">
        <w:t xml:space="preserve">  (</w:t>
      </w:r>
      <w:r w:rsidR="00064BAC">
        <w:t xml:space="preserve">Art. XIII D, </w:t>
      </w:r>
      <w:r w:rsidRPr="009917E6">
        <w:t xml:space="preserve">§ 6, </w:t>
      </w:r>
      <w:proofErr w:type="spellStart"/>
      <w:r w:rsidRPr="009917E6">
        <w:t>subd</w:t>
      </w:r>
      <w:proofErr w:type="spellEnd"/>
      <w:proofErr w:type="gramStart"/>
      <w:r w:rsidRPr="009917E6">
        <w:t xml:space="preserve">. </w:t>
      </w:r>
      <w:proofErr w:type="gramEnd"/>
      <w:r w:rsidRPr="009917E6">
        <w:t>(a)(2).)  There i</w:t>
      </w:r>
      <w:r w:rsidR="00B61FA7" w:rsidRPr="009917E6">
        <w:t>s some dispute over whether “consider[</w:t>
      </w:r>
      <w:proofErr w:type="spellStart"/>
      <w:r w:rsidR="00B61FA7" w:rsidRPr="009917E6">
        <w:t>ing</w:t>
      </w:r>
      <w:proofErr w:type="spellEnd"/>
      <w:r w:rsidR="00B61FA7" w:rsidRPr="009917E6">
        <w:t>]” all protests</w:t>
      </w:r>
      <w:r w:rsidRPr="009917E6">
        <w:t xml:space="preserve"> </w:t>
      </w:r>
      <w:proofErr w:type="gramStart"/>
      <w:r w:rsidRPr="009917E6">
        <w:t>is</w:t>
      </w:r>
      <w:proofErr w:type="gramEnd"/>
      <w:r w:rsidRPr="009917E6">
        <w:t xml:space="preserve"> a requirement separate from the majority protest procedure.  Plaintiffs and amicus curiae Howard Jarvis Taxpayers Association </w:t>
      </w:r>
      <w:r w:rsidR="00B61FA7" w:rsidRPr="009917E6">
        <w:t>urge that “consider” in this c</w:t>
      </w:r>
      <w:r w:rsidR="00AE4ED8" w:rsidRPr="009917E6">
        <w:t>ontext sim</w:t>
      </w:r>
      <w:r w:rsidR="00AC4380" w:rsidRPr="009917E6">
        <w:t xml:space="preserve">ply means to count all written </w:t>
      </w:r>
      <w:r w:rsidR="00B61FA7" w:rsidRPr="009917E6">
        <w:t>protests</w:t>
      </w:r>
      <w:r w:rsidR="00330F87" w:rsidRPr="009917E6">
        <w:t xml:space="preserve"> to see if a majority is achieved</w:t>
      </w:r>
      <w:r w:rsidR="00B61FA7" w:rsidRPr="009917E6">
        <w:t>.</w:t>
      </w:r>
      <w:r w:rsidR="000F30D9">
        <w:t xml:space="preserve"> </w:t>
      </w:r>
      <w:r w:rsidR="00330F87" w:rsidRPr="009917E6">
        <w:t xml:space="preserve"> Th</w:t>
      </w:r>
      <w:r w:rsidR="00F00842">
        <w:t>at</w:t>
      </w:r>
      <w:r w:rsidR="00330F87" w:rsidRPr="009917E6">
        <w:t xml:space="preserve"> </w:t>
      </w:r>
      <w:r w:rsidR="00BE5230" w:rsidRPr="009917E6">
        <w:t xml:space="preserve">contention is unpersuasive.  </w:t>
      </w:r>
      <w:r w:rsidR="00064BAC">
        <w:t>Article XIII D, s</w:t>
      </w:r>
      <w:r w:rsidR="006D54E7" w:rsidRPr="009917E6">
        <w:t>ectio</w:t>
      </w:r>
      <w:r w:rsidR="009213EA" w:rsidRPr="009917E6">
        <w:t>n 6, subdivision (a)</w:t>
      </w:r>
      <w:r w:rsidR="004D4175" w:rsidRPr="009917E6">
        <w:t>(2) provides that an</w:t>
      </w:r>
      <w:r w:rsidR="009213EA" w:rsidRPr="009917E6">
        <w:t xml:space="preserve"> agenc</w:t>
      </w:r>
      <w:r w:rsidR="00CC284C" w:rsidRPr="009917E6">
        <w:t>y may not impose a fee</w:t>
      </w:r>
      <w:r w:rsidR="009213EA" w:rsidRPr="009917E6">
        <w:t xml:space="preserve"> if </w:t>
      </w:r>
      <w:proofErr w:type="gramStart"/>
      <w:r w:rsidR="009213EA" w:rsidRPr="009917E6">
        <w:t>a majority of</w:t>
      </w:r>
      <w:proofErr w:type="gramEnd"/>
      <w:r w:rsidR="009213EA" w:rsidRPr="009917E6">
        <w:t xml:space="preserve"> owners present written protest</w:t>
      </w:r>
      <w:r w:rsidR="002D793A" w:rsidRPr="009917E6">
        <w:t>s</w:t>
      </w:r>
      <w:r w:rsidR="009213EA" w:rsidRPr="009917E6">
        <w:t xml:space="preserve">.  </w:t>
      </w:r>
      <w:r w:rsidR="00AC4380" w:rsidRPr="009917E6">
        <w:t xml:space="preserve">It follows that an </w:t>
      </w:r>
      <w:r w:rsidR="004D4175" w:rsidRPr="009917E6">
        <w:t>agency must co</w:t>
      </w:r>
      <w:r w:rsidR="00AF32DD" w:rsidRPr="009917E6">
        <w:t>unt all qualified protest votes</w:t>
      </w:r>
      <w:r w:rsidR="002D793A" w:rsidRPr="009917E6">
        <w:t xml:space="preserve"> it is required to receive</w:t>
      </w:r>
      <w:r w:rsidR="0064036A" w:rsidRPr="009917E6">
        <w:t>.</w:t>
      </w:r>
      <w:r w:rsidR="008C1BA5">
        <w:t xml:space="preserve">  </w:t>
      </w:r>
      <w:r w:rsidR="00895151" w:rsidRPr="009917E6">
        <w:t>Further,</w:t>
      </w:r>
      <w:r w:rsidR="0064036A" w:rsidRPr="009917E6">
        <w:t xml:space="preserve"> </w:t>
      </w:r>
      <w:r w:rsidR="002D793A" w:rsidRPr="009917E6">
        <w:t xml:space="preserve">although </w:t>
      </w:r>
      <w:r w:rsidR="00925AE7" w:rsidRPr="009917E6">
        <w:t xml:space="preserve">an agency </w:t>
      </w:r>
      <w:r w:rsidR="00895151" w:rsidRPr="009917E6">
        <w:t xml:space="preserve">is required </w:t>
      </w:r>
      <w:r w:rsidR="007A4196" w:rsidRPr="009917E6">
        <w:t xml:space="preserve">to count all </w:t>
      </w:r>
      <w:r w:rsidR="007A4196" w:rsidRPr="009917E6">
        <w:rPr>
          <w:i/>
        </w:rPr>
        <w:t xml:space="preserve">written </w:t>
      </w:r>
      <w:r w:rsidR="007A4196" w:rsidRPr="009917E6">
        <w:t xml:space="preserve">protests, </w:t>
      </w:r>
      <w:r w:rsidR="00895151" w:rsidRPr="009917E6">
        <w:t xml:space="preserve">it must “consider” </w:t>
      </w:r>
      <w:r w:rsidR="00895151" w:rsidRPr="009917E6">
        <w:rPr>
          <w:i/>
        </w:rPr>
        <w:t xml:space="preserve">all </w:t>
      </w:r>
      <w:r w:rsidR="00895151" w:rsidRPr="009917E6">
        <w:t>protests at the hearing, even th</w:t>
      </w:r>
      <w:r w:rsidR="00F00842">
        <w:t>ose</w:t>
      </w:r>
      <w:r w:rsidR="002D793A" w:rsidRPr="009917E6">
        <w:t xml:space="preserve"> </w:t>
      </w:r>
      <w:r w:rsidR="00F00842">
        <w:t>n</w:t>
      </w:r>
      <w:r w:rsidR="002D793A" w:rsidRPr="009917E6">
        <w:t xml:space="preserve">ot reduced to </w:t>
      </w:r>
      <w:r w:rsidR="00895151" w:rsidRPr="009917E6">
        <w:t>writing.  (</w:t>
      </w:r>
      <w:r w:rsidR="00064BAC" w:rsidRPr="00064BAC">
        <w:rPr>
          <w:i/>
        </w:rPr>
        <w:t>Ibid</w:t>
      </w:r>
      <w:r w:rsidR="00895151" w:rsidRPr="009917E6">
        <w:rPr>
          <w:i/>
        </w:rPr>
        <w:t>.</w:t>
      </w:r>
      <w:r w:rsidR="00895151" w:rsidRPr="009917E6">
        <w:t xml:space="preserve">)  </w:t>
      </w:r>
      <w:r w:rsidR="00606D2F" w:rsidRPr="009917E6">
        <w:t xml:space="preserve">Thus, to “consider” </w:t>
      </w:r>
      <w:r w:rsidR="00EB4DF8" w:rsidRPr="009917E6">
        <w:t xml:space="preserve">all </w:t>
      </w:r>
      <w:r w:rsidR="00606D2F" w:rsidRPr="009917E6">
        <w:t xml:space="preserve">protests must mean more than simply counting </w:t>
      </w:r>
      <w:r w:rsidR="00F506BE" w:rsidRPr="009917E6">
        <w:t xml:space="preserve">the number of </w:t>
      </w:r>
      <w:r w:rsidR="00606D2F" w:rsidRPr="009917E6">
        <w:t>written protests.</w:t>
      </w:r>
      <w:r w:rsidR="008C1BA5" w:rsidRPr="008C1BA5">
        <w:t xml:space="preserve"> </w:t>
      </w:r>
      <w:r w:rsidR="008C1BA5">
        <w:t xml:space="preserve"> </w:t>
      </w:r>
      <w:r w:rsidR="008C1BA5" w:rsidRPr="009917E6">
        <w:t xml:space="preserve">To interpret “consider all protests” as simply a vote-counting requirement would render </w:t>
      </w:r>
      <w:r w:rsidR="00064BAC">
        <w:t>that</w:t>
      </w:r>
      <w:r w:rsidR="008C1BA5" w:rsidRPr="009917E6">
        <w:t xml:space="preserve"> language redundant.  Interpretations that render statutory language </w:t>
      </w:r>
      <w:r w:rsidR="008C1BA5" w:rsidRPr="009917E6">
        <w:lastRenderedPageBreak/>
        <w:t>meaningless are to be avoided.  (</w:t>
      </w:r>
      <w:r w:rsidR="008C1BA5" w:rsidRPr="009917E6">
        <w:rPr>
          <w:i/>
        </w:rPr>
        <w:t xml:space="preserve">People v. Hudson </w:t>
      </w:r>
      <w:r w:rsidR="008C1BA5" w:rsidRPr="009917E6">
        <w:t xml:space="preserve">(2006) 38 Cal.4th 1002, 1010.)  </w:t>
      </w:r>
    </w:p>
    <w:p w:rsidR="00C84F37" w:rsidRPr="009917E6" w:rsidRDefault="00F506BE" w:rsidP="009917E6">
      <w:pPr>
        <w:tabs>
          <w:tab w:val="left" w:pos="1440"/>
        </w:tabs>
        <w:ind w:firstLine="720"/>
      </w:pPr>
      <w:r w:rsidRPr="009917E6">
        <w:t xml:space="preserve">To “consider” means to “think about carefully” </w:t>
      </w:r>
      <w:r w:rsidR="003B06E6" w:rsidRPr="009917E6">
        <w:t xml:space="preserve">or </w:t>
      </w:r>
      <w:r w:rsidRPr="009917E6">
        <w:t>to “take into account.”  (Webster</w:t>
      </w:r>
      <w:r w:rsidR="008E5A4C" w:rsidRPr="009917E6">
        <w:t>’</w:t>
      </w:r>
      <w:r w:rsidR="00B82907" w:rsidRPr="009917E6">
        <w:t>s 9th New Collegiate Dict. (1987</w:t>
      </w:r>
      <w:r w:rsidRPr="009917E6">
        <w:t xml:space="preserve">) pp. 279–280.)  </w:t>
      </w:r>
      <w:r w:rsidR="00D26016" w:rsidRPr="009917E6">
        <w:t>The</w:t>
      </w:r>
      <w:r w:rsidR="00AF41D0" w:rsidRPr="009917E6">
        <w:t xml:space="preserve"> requirement to “consider all protests”</w:t>
      </w:r>
      <w:r w:rsidR="00064BAC">
        <w:t xml:space="preserve"> (art. XIII D, § 6, </w:t>
      </w:r>
      <w:proofErr w:type="spellStart"/>
      <w:r w:rsidR="00064BAC">
        <w:t>subd</w:t>
      </w:r>
      <w:proofErr w:type="spellEnd"/>
      <w:proofErr w:type="gramStart"/>
      <w:r w:rsidR="00064BAC">
        <w:t xml:space="preserve">. </w:t>
      </w:r>
      <w:proofErr w:type="gramEnd"/>
      <w:r w:rsidR="00064BAC">
        <w:t>(a)(2))</w:t>
      </w:r>
      <w:r w:rsidR="00E7499A" w:rsidRPr="009917E6">
        <w:t xml:space="preserve"> at a</w:t>
      </w:r>
      <w:r w:rsidR="00AF41D0" w:rsidRPr="009917E6">
        <w:t xml:space="preserve"> Proposition 218 hearing </w:t>
      </w:r>
      <w:r w:rsidR="003B06E6" w:rsidRPr="009917E6">
        <w:t>compels an agency to not only receive written</w:t>
      </w:r>
      <w:r w:rsidR="00D26016" w:rsidRPr="009917E6">
        <w:t xml:space="preserve"> protests and hear oral ones</w:t>
      </w:r>
      <w:r w:rsidR="003B06E6" w:rsidRPr="009917E6">
        <w:t>, but</w:t>
      </w:r>
      <w:r w:rsidR="008E3C6A" w:rsidRPr="009917E6">
        <w:t xml:space="preserve"> to </w:t>
      </w:r>
      <w:r w:rsidR="00FA54AE" w:rsidRPr="009917E6">
        <w:t>take all</w:t>
      </w:r>
      <w:r w:rsidR="00E52092" w:rsidRPr="009917E6">
        <w:t xml:space="preserve"> protest</w:t>
      </w:r>
      <w:r w:rsidR="00FA54AE" w:rsidRPr="009917E6">
        <w:t>s</w:t>
      </w:r>
      <w:r w:rsidR="00E52092" w:rsidRPr="009917E6">
        <w:t xml:space="preserve"> into account </w:t>
      </w:r>
      <w:r w:rsidR="00FA54AE" w:rsidRPr="009917E6">
        <w:t xml:space="preserve">when deciding whether to approve the proposed fee, even </w:t>
      </w:r>
      <w:r w:rsidR="00D26016" w:rsidRPr="009917E6">
        <w:t>if the written protesters do not constitute a majority</w:t>
      </w:r>
      <w:r w:rsidR="00FA54AE" w:rsidRPr="009917E6">
        <w:t>.</w:t>
      </w:r>
      <w:r w:rsidR="003612B7" w:rsidRPr="009917E6">
        <w:t xml:space="preserve">  </w:t>
      </w:r>
      <w:r w:rsidR="00C84F37" w:rsidRPr="009917E6">
        <w:t>The question remains whether requiring an a</w:t>
      </w:r>
      <w:r w:rsidR="003612B7" w:rsidRPr="009917E6">
        <w:t>gency to “consider all protests</w:t>
      </w:r>
      <w:r w:rsidR="00C84F37" w:rsidRPr="009917E6">
        <w:t>”</w:t>
      </w:r>
      <w:r w:rsidR="00064BAC">
        <w:t xml:space="preserve"> (</w:t>
      </w:r>
      <w:r w:rsidR="00064BAC" w:rsidRPr="00064BAC">
        <w:rPr>
          <w:i/>
        </w:rPr>
        <w:t>ibid</w:t>
      </w:r>
      <w:r w:rsidR="00064BAC">
        <w:t>.)</w:t>
      </w:r>
      <w:r w:rsidR="003612B7" w:rsidRPr="009917E6">
        <w:t xml:space="preserve"> at a public hearing,</w:t>
      </w:r>
      <w:r w:rsidR="00C84F37" w:rsidRPr="009917E6">
        <w:t xml:space="preserve"> without more, constitutes an adequate administrative remedy</w:t>
      </w:r>
      <w:r w:rsidR="00D204B4">
        <w:t xml:space="preserve"> under the</w:t>
      </w:r>
      <w:r w:rsidR="00B2740F">
        <w:t xml:space="preserve"> </w:t>
      </w:r>
      <w:r w:rsidR="00D204B4">
        <w:t>circumstances</w:t>
      </w:r>
      <w:r w:rsidR="00B2740F">
        <w:t xml:space="preserve"> presented here.</w:t>
      </w:r>
    </w:p>
    <w:p w:rsidR="008C1BA5" w:rsidRDefault="00363B17" w:rsidP="007A5E0A">
      <w:pPr>
        <w:tabs>
          <w:tab w:val="left" w:pos="1440"/>
        </w:tabs>
        <w:ind w:firstLine="720"/>
      </w:pPr>
      <w:r>
        <w:t xml:space="preserve">While Proposition 218 </w:t>
      </w:r>
      <w:r w:rsidR="00196164">
        <w:t xml:space="preserve">arguably provides a framework to hear </w:t>
      </w:r>
      <w:r w:rsidR="00837E6E">
        <w:t xml:space="preserve">relevant </w:t>
      </w:r>
      <w:r w:rsidR="00203988">
        <w:t>challenges (</w:t>
      </w:r>
      <w:r w:rsidR="001A59CE">
        <w:t>s</w:t>
      </w:r>
      <w:r w:rsidR="00203988">
        <w:t xml:space="preserve">ee </w:t>
      </w:r>
      <w:r w:rsidR="00064BAC">
        <w:t xml:space="preserve">art. XIII D, </w:t>
      </w:r>
      <w:r w:rsidR="0035189B">
        <w:t xml:space="preserve">§ 6, </w:t>
      </w:r>
      <w:proofErr w:type="spellStart"/>
      <w:r w:rsidR="0035189B">
        <w:t>subd</w:t>
      </w:r>
      <w:proofErr w:type="spellEnd"/>
      <w:proofErr w:type="gramStart"/>
      <w:r w:rsidR="0035189B">
        <w:t xml:space="preserve">. </w:t>
      </w:r>
      <w:proofErr w:type="gramEnd"/>
      <w:r w:rsidR="0035189B">
        <w:t>(a)(2)</w:t>
      </w:r>
      <w:r w:rsidR="001A59CE">
        <w:t>), a</w:t>
      </w:r>
      <w:r w:rsidR="00C76117">
        <w:t xml:space="preserve"> fee payor has little control over when or even if its complaints may be heard.  Here, it was purely coincidental that the District held Proposition 218 </w:t>
      </w:r>
      <w:r w:rsidR="008C1BA5">
        <w:t xml:space="preserve">rate increase </w:t>
      </w:r>
      <w:r w:rsidR="00C76117">
        <w:t xml:space="preserve">hearings around the same time </w:t>
      </w:r>
      <w:r w:rsidR="008C1BA5">
        <w:t>plaintiffs</w:t>
      </w:r>
      <w:r w:rsidR="00C76117">
        <w:t xml:space="preserve"> pursued a proportionality challenge to the existing fee structure.</w:t>
      </w:r>
      <w:r w:rsidR="00316FB0">
        <w:t xml:space="preserve">  The District did so because </w:t>
      </w:r>
      <w:r w:rsidR="00064BAC">
        <w:t>of the conclusion</w:t>
      </w:r>
      <w:r w:rsidR="001F5D0B">
        <w:t xml:space="preserve"> it needed to increase its fees to cover costs.  If </w:t>
      </w:r>
      <w:r w:rsidR="00382141">
        <w:t>the District</w:t>
      </w:r>
      <w:r w:rsidR="001F5D0B">
        <w:t xml:space="preserve"> had chosen </w:t>
      </w:r>
      <w:r w:rsidR="001A59CE">
        <w:t xml:space="preserve">to delay increasing </w:t>
      </w:r>
      <w:r w:rsidR="005423CB">
        <w:t xml:space="preserve">its rates, </w:t>
      </w:r>
      <w:r w:rsidR="00382141">
        <w:t>there would have been no need for a Proposition 218 hearing</w:t>
      </w:r>
      <w:r w:rsidR="0002341A">
        <w:t xml:space="preserve">.  </w:t>
      </w:r>
      <w:r w:rsidR="001A59CE">
        <w:t>Alternatively, the District could have dispensed with a Proposition 218 hearing if it limited any fee increases to an adjustment for inflation in compliance with Government Code section 53</w:t>
      </w:r>
      <w:r w:rsidR="00D46C6B">
        <w:t>756</w:t>
      </w:r>
      <w:r w:rsidR="001A59CE">
        <w:t>.  In either case,</w:t>
      </w:r>
      <w:r w:rsidR="00011F60">
        <w:t xml:space="preserve"> </w:t>
      </w:r>
      <w:r w:rsidR="008C1BA5">
        <w:t>plaintiffs</w:t>
      </w:r>
      <w:r w:rsidR="00011F60">
        <w:t xml:space="preserve"> would have had no opportunity to have </w:t>
      </w:r>
      <w:r w:rsidR="008C1BA5">
        <w:t>their</w:t>
      </w:r>
      <w:r w:rsidR="00011F60">
        <w:t xml:space="preserve"> </w:t>
      </w:r>
      <w:r w:rsidR="00511F60">
        <w:t xml:space="preserve">methodology </w:t>
      </w:r>
      <w:r w:rsidR="001A59CE">
        <w:t>challenge heard</w:t>
      </w:r>
      <w:r w:rsidR="00525343">
        <w:t xml:space="preserve"> at a Proposition 218 hearing until </w:t>
      </w:r>
      <w:r w:rsidR="001A59CE">
        <w:t xml:space="preserve">the District ultimately decided to </w:t>
      </w:r>
      <w:r w:rsidR="008C1BA5">
        <w:t>make such a change and notice a hearing to consider</w:t>
      </w:r>
      <w:r w:rsidR="00511F60">
        <w:t xml:space="preserve"> it</w:t>
      </w:r>
      <w:r w:rsidR="008C1BA5">
        <w:t>.</w:t>
      </w:r>
    </w:p>
    <w:p w:rsidR="00270A64" w:rsidRDefault="007A5E0A" w:rsidP="007A5E0A">
      <w:pPr>
        <w:tabs>
          <w:tab w:val="left" w:pos="1440"/>
        </w:tabs>
        <w:ind w:firstLine="720"/>
      </w:pPr>
      <w:r>
        <w:lastRenderedPageBreak/>
        <w:t>Proposition 218 also provides a limited opportunity for an agency to evaluate protests.  The requirement that a local government “consider all protest</w:t>
      </w:r>
      <w:r w:rsidR="00D46C6B">
        <w:t>s</w:t>
      </w:r>
      <w:r>
        <w:t xml:space="preserve">” is </w:t>
      </w:r>
      <w:r w:rsidR="008F4EF6">
        <w:t>restricted</w:t>
      </w:r>
      <w:r>
        <w:t xml:space="preserve"> to considering protests “[a]t the public hearing.”  (</w:t>
      </w:r>
      <w:r w:rsidR="00064BAC">
        <w:t xml:space="preserve">Art. XIII D, </w:t>
      </w:r>
      <w:r>
        <w:t xml:space="preserve">§ 6, </w:t>
      </w:r>
      <w:proofErr w:type="spellStart"/>
      <w:r>
        <w:t>subd</w:t>
      </w:r>
      <w:proofErr w:type="spellEnd"/>
      <w:proofErr w:type="gramStart"/>
      <w:r>
        <w:t xml:space="preserve">. </w:t>
      </w:r>
      <w:proofErr w:type="gramEnd"/>
      <w:r>
        <w:t>(a)(2)</w:t>
      </w:r>
      <w:r w:rsidRPr="0035189B">
        <w:t>.</w:t>
      </w:r>
      <w:r>
        <w:t xml:space="preserve">)  While an agency may continue a hearing to allow additional time for consideration (see Gov. Code, § 53753, </w:t>
      </w:r>
      <w:proofErr w:type="spellStart"/>
      <w:r>
        <w:t>subd</w:t>
      </w:r>
      <w:proofErr w:type="spellEnd"/>
      <w:proofErr w:type="gramStart"/>
      <w:r>
        <w:t xml:space="preserve">. </w:t>
      </w:r>
      <w:proofErr w:type="gramEnd"/>
      <w:r>
        <w:t xml:space="preserve">(d)), nothing compels the agency to do so.  Further, nothing in Proposition 218 or the legislation implementing it defines what level of consideration must be given.  </w:t>
      </w:r>
      <w:r w:rsidR="000C27E2">
        <w:t xml:space="preserve">A hearing convened to consider protests to a </w:t>
      </w:r>
      <w:r w:rsidR="008F4EF6">
        <w:t>proposed rate increase</w:t>
      </w:r>
      <w:r w:rsidR="000C27E2">
        <w:t xml:space="preserve"> will generally be a poor forum for evaluation of an established </w:t>
      </w:r>
      <w:r w:rsidR="008F4EF6">
        <w:t>m</w:t>
      </w:r>
      <w:r w:rsidR="000C27E2">
        <w:t>ethod</w:t>
      </w:r>
      <w:r w:rsidR="008F4EF6">
        <w:t xml:space="preserve"> for allocating fees.</w:t>
      </w:r>
      <w:r w:rsidR="000C27E2">
        <w:t xml:space="preserve">  </w:t>
      </w:r>
      <w:r>
        <w:t xml:space="preserve">That is particularly true when </w:t>
      </w:r>
      <w:r w:rsidR="000C27E2">
        <w:t xml:space="preserve">an </w:t>
      </w:r>
      <w:r>
        <w:t>objection</w:t>
      </w:r>
      <w:r w:rsidR="000C27E2">
        <w:t xml:space="preserve"> to the method</w:t>
      </w:r>
      <w:r>
        <w:t xml:space="preserve"> is first raised at the hearing itself.  </w:t>
      </w:r>
    </w:p>
    <w:p w:rsidR="00331514" w:rsidRDefault="007A5E0A" w:rsidP="009D119D">
      <w:pPr>
        <w:tabs>
          <w:tab w:val="left" w:pos="1440"/>
        </w:tabs>
        <w:ind w:firstLine="720"/>
      </w:pPr>
      <w:r>
        <w:t>We note that p</w:t>
      </w:r>
      <w:r w:rsidR="00456129">
        <w:t xml:space="preserve">laintiffs’ </w:t>
      </w:r>
      <w:r w:rsidR="00875F2E">
        <w:t xml:space="preserve">complaint challenges the </w:t>
      </w:r>
      <w:r w:rsidR="00875F2E">
        <w:rPr>
          <w:i/>
        </w:rPr>
        <w:t xml:space="preserve">existing </w:t>
      </w:r>
      <w:r w:rsidR="00875F2E">
        <w:t xml:space="preserve">structure for allocating fees, not any </w:t>
      </w:r>
      <w:r w:rsidR="00875F2E">
        <w:rPr>
          <w:i/>
        </w:rPr>
        <w:t xml:space="preserve">proposed </w:t>
      </w:r>
      <w:r w:rsidR="00331514">
        <w:t>new fee or increased rate</w:t>
      </w:r>
      <w:r w:rsidR="00456129">
        <w:t>.</w:t>
      </w:r>
      <w:r w:rsidR="004A0D67">
        <w:t xml:space="preserve">  </w:t>
      </w:r>
      <w:r w:rsidR="003078EB">
        <w:t>T</w:t>
      </w:r>
      <w:r w:rsidR="00D51886">
        <w:t>h</w:t>
      </w:r>
      <w:r w:rsidR="00331514">
        <w:t xml:space="preserve">e purpose of the </w:t>
      </w:r>
      <w:r w:rsidR="004A0D67">
        <w:t xml:space="preserve">notice and hearing </w:t>
      </w:r>
      <w:r w:rsidR="00331514">
        <w:t xml:space="preserve">procedures in </w:t>
      </w:r>
      <w:r w:rsidR="00064BAC">
        <w:t xml:space="preserve">article XIII D, </w:t>
      </w:r>
      <w:r w:rsidR="00331514">
        <w:t xml:space="preserve">section 6, subdivision (a) </w:t>
      </w:r>
      <w:r w:rsidR="004A0D67">
        <w:t>is to provide property owners an opportunity to protest the “</w:t>
      </w:r>
      <w:r w:rsidR="004A0D67" w:rsidRPr="00105D82">
        <w:rPr>
          <w:i/>
        </w:rPr>
        <w:t>proposed</w:t>
      </w:r>
      <w:r w:rsidR="004A0D67">
        <w:rPr>
          <w:i/>
        </w:rPr>
        <w:t xml:space="preserve"> </w:t>
      </w:r>
      <w:r w:rsidR="004A0D67">
        <w:t>fee or charge.”</w:t>
      </w:r>
      <w:r w:rsidR="006E60EE">
        <w:t xml:space="preserve">  (</w:t>
      </w:r>
      <w:r w:rsidR="00064BAC">
        <w:t xml:space="preserve">Art. XIII D, </w:t>
      </w:r>
      <w:r w:rsidR="006E60EE">
        <w:t xml:space="preserve">§ 6, </w:t>
      </w:r>
      <w:proofErr w:type="spellStart"/>
      <w:r w:rsidR="006E60EE">
        <w:t>subd</w:t>
      </w:r>
      <w:proofErr w:type="spellEnd"/>
      <w:proofErr w:type="gramStart"/>
      <w:r w:rsidR="006E60EE">
        <w:t xml:space="preserve">. </w:t>
      </w:r>
      <w:proofErr w:type="gramEnd"/>
      <w:r w:rsidR="006E60EE">
        <w:t>(a)(1) &amp; (2)</w:t>
      </w:r>
      <w:r w:rsidR="00105D82">
        <w:t>, italics added.)</w:t>
      </w:r>
      <w:r w:rsidR="006E60EE">
        <w:t xml:space="preserve">  By contrast, the substantive requirements in section 6, subdivision (b)</w:t>
      </w:r>
      <w:r w:rsidR="00AD657D">
        <w:t xml:space="preserve"> govern </w:t>
      </w:r>
      <w:r w:rsidR="00AD657D">
        <w:rPr>
          <w:i/>
        </w:rPr>
        <w:t xml:space="preserve">existing </w:t>
      </w:r>
      <w:r w:rsidR="00AD657D">
        <w:t xml:space="preserve">as well as proposed fees.  </w:t>
      </w:r>
      <w:r w:rsidR="00511F60">
        <w:t xml:space="preserve">Section </w:t>
      </w:r>
      <w:r w:rsidR="00AD657D">
        <w:t>6, subd</w:t>
      </w:r>
      <w:r w:rsidR="00511F60">
        <w:t xml:space="preserve">ivision </w:t>
      </w:r>
      <w:r w:rsidR="00AD657D">
        <w:t xml:space="preserve">(b) </w:t>
      </w:r>
      <w:r w:rsidR="00511F60">
        <w:t>provides that an existing fee may not be “extended”</w:t>
      </w:r>
      <w:r w:rsidR="00AD657D">
        <w:t xml:space="preserve"> without </w:t>
      </w:r>
      <w:r w:rsidR="00042471">
        <w:t>complying with substantive requirements</w:t>
      </w:r>
      <w:r w:rsidR="00511F60">
        <w:t>.</w:t>
      </w:r>
      <w:r w:rsidR="00042471">
        <w:t xml:space="preserve">  </w:t>
      </w:r>
      <w:r w:rsidR="00C37572">
        <w:t>Thus, a</w:t>
      </w:r>
      <w:r w:rsidR="00D84A99">
        <w:t xml:space="preserve"> Proposition 218 </w:t>
      </w:r>
      <w:r w:rsidR="008F4EF6">
        <w:t xml:space="preserve">rate increase </w:t>
      </w:r>
      <w:r w:rsidR="00D84A99">
        <w:t xml:space="preserve">hearing is not a forum to protest </w:t>
      </w:r>
      <w:r w:rsidR="00C37572">
        <w:t>an</w:t>
      </w:r>
      <w:r w:rsidR="00D84A99">
        <w:t xml:space="preserve"> </w:t>
      </w:r>
      <w:r w:rsidR="00755737">
        <w:t>existing rate structure that will remain unchanged</w:t>
      </w:r>
      <w:r w:rsidR="008F4EF6">
        <w:t xml:space="preserve"> by the proposal</w:t>
      </w:r>
      <w:r w:rsidR="00755737">
        <w:t xml:space="preserve">.  The District suggests otherwise, arguing that </w:t>
      </w:r>
      <w:r w:rsidR="00D84A99">
        <w:t xml:space="preserve">the method for </w:t>
      </w:r>
      <w:r w:rsidR="008F4EF6">
        <w:t>allocating fees</w:t>
      </w:r>
      <w:r w:rsidR="00D84A99">
        <w:t xml:space="preserve"> is necessarily at issue </w:t>
      </w:r>
      <w:r w:rsidR="00AB74A7">
        <w:t xml:space="preserve">in a Proposition 218 </w:t>
      </w:r>
      <w:r w:rsidR="008F4EF6">
        <w:t xml:space="preserve">rate increase </w:t>
      </w:r>
      <w:r w:rsidR="00AB74A7">
        <w:t xml:space="preserve">hearing </w:t>
      </w:r>
      <w:r w:rsidR="00D84A99">
        <w:t xml:space="preserve">because </w:t>
      </w:r>
      <w:r w:rsidR="00AB74A7">
        <w:t>that method</w:t>
      </w:r>
      <w:r w:rsidR="00D84A99">
        <w:t xml:space="preserve"> will effectively be reenacted when </w:t>
      </w:r>
      <w:r w:rsidR="008F4EF6">
        <w:t>the propose</w:t>
      </w:r>
      <w:r w:rsidR="007D5AD4">
        <w:t>d</w:t>
      </w:r>
      <w:r w:rsidR="008F4EF6">
        <w:t xml:space="preserve"> rate increase is </w:t>
      </w:r>
      <w:r w:rsidR="00D84A99">
        <w:t>adopted</w:t>
      </w:r>
      <w:r w:rsidR="00C37572">
        <w:t xml:space="preserve">.  </w:t>
      </w:r>
      <w:r w:rsidR="008F4EF6">
        <w:t xml:space="preserve">That argument </w:t>
      </w:r>
      <w:r w:rsidR="00511F60">
        <w:t>misses the mark</w:t>
      </w:r>
      <w:r w:rsidR="008F4EF6">
        <w:t xml:space="preserve">.  In a hearing called  only to consider a rate increase, the existing allocation method </w:t>
      </w:r>
      <w:r w:rsidR="008F4EF6">
        <w:lastRenderedPageBreak/>
        <w:t xml:space="preserve">will be </w:t>
      </w:r>
      <w:r w:rsidR="00287AEC">
        <w:t xml:space="preserve">reenacted regardless of whether the </w:t>
      </w:r>
      <w:r w:rsidR="008F4EF6">
        <w:t>rate</w:t>
      </w:r>
      <w:r w:rsidR="00287AEC">
        <w:t xml:space="preserve"> increase is adopted or rejected.</w:t>
      </w:r>
      <w:r w:rsidR="00AB74A7">
        <w:t xml:space="preserve">  </w:t>
      </w:r>
      <w:r w:rsidR="003974DD">
        <w:t>T</w:t>
      </w:r>
      <w:r w:rsidR="009D119D">
        <w:t>herefore</w:t>
      </w:r>
      <w:r w:rsidR="003974DD">
        <w:t xml:space="preserve">, the District cannot </w:t>
      </w:r>
      <w:r w:rsidR="005E7196">
        <w:t xml:space="preserve">legitimately </w:t>
      </w:r>
      <w:r w:rsidR="003974DD">
        <w:t xml:space="preserve">claim </w:t>
      </w:r>
      <w:r w:rsidR="009D119D">
        <w:t xml:space="preserve">the </w:t>
      </w:r>
      <w:r w:rsidR="005E7196">
        <w:t>method for calculating the fee</w:t>
      </w:r>
      <w:r w:rsidR="009D119D">
        <w:t xml:space="preserve"> is part of what is being newly “proposed,” and thus subject to protest</w:t>
      </w:r>
      <w:r w:rsidR="005E7196">
        <w:t xml:space="preserve">, </w:t>
      </w:r>
      <w:r w:rsidR="009D119D">
        <w:t xml:space="preserve">because </w:t>
      </w:r>
      <w:r w:rsidR="005E7196">
        <w:t>that method</w:t>
      </w:r>
      <w:r w:rsidR="009D119D">
        <w:t xml:space="preserve"> will remain unchanged no matter the outcome</w:t>
      </w:r>
      <w:r w:rsidR="005E7196">
        <w:t xml:space="preserve"> of the hearing</w:t>
      </w:r>
      <w:r w:rsidR="001E5D59">
        <w:t>.</w:t>
      </w:r>
    </w:p>
    <w:p w:rsidR="00D204B4" w:rsidRPr="009917E6" w:rsidRDefault="00794003" w:rsidP="00187D6A">
      <w:pPr>
        <w:tabs>
          <w:tab w:val="left" w:pos="1440"/>
        </w:tabs>
        <w:ind w:firstLine="720"/>
      </w:pPr>
      <w:r>
        <w:t>Fundamentally,</w:t>
      </w:r>
      <w:r w:rsidR="00717B3A">
        <w:t xml:space="preserve"> the </w:t>
      </w:r>
      <w:r>
        <w:t>Proposition 218 hearing</w:t>
      </w:r>
      <w:r w:rsidR="00717B3A">
        <w:t>s</w:t>
      </w:r>
      <w:r w:rsidR="008B6BD1">
        <w:t xml:space="preserve"> </w:t>
      </w:r>
      <w:r w:rsidR="00717B3A">
        <w:t>held by the District were</w:t>
      </w:r>
      <w:r w:rsidR="008B6BD1">
        <w:t xml:space="preserve"> inadequate </w:t>
      </w:r>
      <w:r>
        <w:t xml:space="preserve">because </w:t>
      </w:r>
      <w:r w:rsidR="00717B3A">
        <w:t xml:space="preserve">they </w:t>
      </w:r>
      <w:r>
        <w:t>did not</w:t>
      </w:r>
      <w:r w:rsidR="008C6BFB">
        <w:t xml:space="preserve"> allow the District to re</w:t>
      </w:r>
      <w:r>
        <w:t xml:space="preserve">solve plaintiffs’ </w:t>
      </w:r>
      <w:proofErr w:type="gramStart"/>
      <w:r w:rsidR="00FA6D77">
        <w:t xml:space="preserve">particular </w:t>
      </w:r>
      <w:r>
        <w:t>dispute</w:t>
      </w:r>
      <w:proofErr w:type="gramEnd"/>
      <w:r>
        <w:t xml:space="preserve">.  </w:t>
      </w:r>
      <w:r w:rsidR="00D204B4" w:rsidRPr="009917E6">
        <w:t xml:space="preserve">Even if the District </w:t>
      </w:r>
      <w:r w:rsidR="00187D6A">
        <w:t xml:space="preserve">had considered </w:t>
      </w:r>
      <w:r w:rsidR="008C6BFB">
        <w:t xml:space="preserve">the substance of </w:t>
      </w:r>
      <w:r w:rsidR="004D6057">
        <w:t xml:space="preserve">plaintiffs’ </w:t>
      </w:r>
      <w:r w:rsidR="00187D6A">
        <w:t>proportionality objection and concluded it had merit, the District</w:t>
      </w:r>
      <w:r w:rsidR="00D204B4" w:rsidRPr="009917E6">
        <w:t xml:space="preserve"> would not have been able to address the matter in the context of the pending Proposition 218 hearing.</w:t>
      </w:r>
      <w:r w:rsidR="00D204B4">
        <w:t xml:space="preserve">  </w:t>
      </w:r>
      <w:r w:rsidR="00D204B4" w:rsidRPr="009917E6">
        <w:t xml:space="preserve">As the District acknowledges, if a valid </w:t>
      </w:r>
      <w:r w:rsidR="00187D6A">
        <w:t>methodological</w:t>
      </w:r>
      <w:r w:rsidR="00D204B4" w:rsidRPr="009917E6">
        <w:t xml:space="preserve"> challenge were raised, the most an agency could do is formulate a new fee proposal to resolve the challenge and initiate</w:t>
      </w:r>
      <w:r w:rsidR="004D6057">
        <w:t xml:space="preserve"> a</w:t>
      </w:r>
      <w:r w:rsidR="00D204B4" w:rsidRPr="009917E6">
        <w:t xml:space="preserve"> Proposition 218 hearin</w:t>
      </w:r>
      <w:r w:rsidR="008B6BD1">
        <w:t>g</w:t>
      </w:r>
      <w:r w:rsidR="004D6057">
        <w:t xml:space="preserve"> to consider </w:t>
      </w:r>
      <w:r w:rsidR="004D6057">
        <w:rPr>
          <w:i/>
        </w:rPr>
        <w:t xml:space="preserve">that </w:t>
      </w:r>
      <w:r w:rsidR="004D6057">
        <w:t>proposal</w:t>
      </w:r>
      <w:r w:rsidR="00D204B4" w:rsidRPr="009917E6">
        <w:t>.</w:t>
      </w:r>
      <w:r w:rsidR="00D204B4">
        <w:t xml:space="preserve">  </w:t>
      </w:r>
      <w:r w:rsidR="00D204B4" w:rsidRPr="009917E6">
        <w:t xml:space="preserve">It would be oddly burdensome to require an aggrieved party to participate in a Proposition 218 hearing simply to raise an objection that could only be addressed meaningfully in a separate public </w:t>
      </w:r>
      <w:r w:rsidR="008B6BD1">
        <w:t>hearing that is subject to its own notice requirements</w:t>
      </w:r>
      <w:r w:rsidR="00D204B4" w:rsidRPr="009917E6">
        <w:t>.</w:t>
      </w:r>
      <w:r w:rsidR="008B6BD1">
        <w:t xml:space="preserve">  </w:t>
      </w:r>
      <w:r w:rsidR="00187D6A">
        <w:t xml:space="preserve">Further, an </w:t>
      </w:r>
      <w:r w:rsidR="00D204B4" w:rsidRPr="009917E6">
        <w:t xml:space="preserve">aggrieved party has no power to compel an agency to </w:t>
      </w:r>
      <w:r w:rsidR="008B6BD1">
        <w:t xml:space="preserve">conduct a public hearing </w:t>
      </w:r>
      <w:r w:rsidR="00D204B4" w:rsidRPr="009917E6">
        <w:t>to change the method</w:t>
      </w:r>
      <w:r w:rsidR="008B6BD1">
        <w:t xml:space="preserve"> </w:t>
      </w:r>
      <w:r w:rsidR="00D204B4" w:rsidRPr="009917E6">
        <w:t xml:space="preserve">for imposing a fee.  Because nothing requires the agency to initiate a new Proposition 218 hearing, there is no guarantee a challenge would be addressed even if valid.  </w:t>
      </w:r>
    </w:p>
    <w:p w:rsidR="00427801" w:rsidRPr="009917E6" w:rsidRDefault="00384FCE" w:rsidP="009917E6">
      <w:pPr>
        <w:tabs>
          <w:tab w:val="left" w:pos="1440"/>
        </w:tabs>
        <w:ind w:firstLine="720"/>
      </w:pPr>
      <w:r w:rsidRPr="009917E6">
        <w:t xml:space="preserve">The District argues that </w:t>
      </w:r>
      <w:r w:rsidR="00E52092" w:rsidRPr="009917E6">
        <w:t xml:space="preserve">“consideration” necessarily entails </w:t>
      </w:r>
      <w:r w:rsidR="00FA54AE" w:rsidRPr="009917E6">
        <w:t>resol</w:t>
      </w:r>
      <w:r w:rsidR="00727233" w:rsidRPr="009917E6">
        <w:t xml:space="preserve">ving any protests, presumably because objections are impliedly either accepted or rejected </w:t>
      </w:r>
      <w:r w:rsidR="00FB3130" w:rsidRPr="009917E6">
        <w:t xml:space="preserve">when an agency’s board </w:t>
      </w:r>
      <w:r w:rsidR="00727233" w:rsidRPr="009917E6">
        <w:t>ultimately votes on a proposed fee</w:t>
      </w:r>
      <w:r w:rsidR="000F30D9">
        <w:t xml:space="preserve">.  </w:t>
      </w:r>
      <w:r w:rsidR="00C07969" w:rsidRPr="009917E6">
        <w:t xml:space="preserve">The contention </w:t>
      </w:r>
      <w:r w:rsidR="00A21F9C" w:rsidRPr="009917E6">
        <w:t>fails.  Adoption of a propose</w:t>
      </w:r>
      <w:r w:rsidR="00FB3130" w:rsidRPr="009917E6">
        <w:t>d</w:t>
      </w:r>
      <w:r w:rsidR="00A21F9C" w:rsidRPr="009917E6">
        <w:t xml:space="preserve"> fee increase does not resolve</w:t>
      </w:r>
      <w:r w:rsidR="007E5BED" w:rsidRPr="009917E6">
        <w:t xml:space="preserve"> a </w:t>
      </w:r>
      <w:r w:rsidR="008B6BD1">
        <w:t>proportionality</w:t>
      </w:r>
      <w:r w:rsidR="00A03BD5" w:rsidRPr="009917E6">
        <w:t xml:space="preserve"> challenge to a fee’s</w:t>
      </w:r>
      <w:r w:rsidR="00FC15B7" w:rsidRPr="009917E6">
        <w:t xml:space="preserve"> calculation because</w:t>
      </w:r>
      <w:r w:rsidR="00A03BD5" w:rsidRPr="009917E6">
        <w:t xml:space="preserve"> the </w:t>
      </w:r>
      <w:r w:rsidR="00A03BD5" w:rsidRPr="009917E6">
        <w:lastRenderedPageBreak/>
        <w:t>agency is not empowered to ch</w:t>
      </w:r>
      <w:r w:rsidR="00FC15B7" w:rsidRPr="009917E6">
        <w:t xml:space="preserve">ange the method </w:t>
      </w:r>
      <w:r w:rsidR="00281CD6" w:rsidRPr="009917E6">
        <w:t>by which a fee is calculated when considering whether to increase a preexisting fee.</w:t>
      </w:r>
      <w:r w:rsidR="004D6057">
        <w:t xml:space="preserve">  </w:t>
      </w:r>
      <w:r w:rsidR="00FD0DA4" w:rsidRPr="009917E6">
        <w:t>A</w:t>
      </w:r>
      <w:r w:rsidR="003E5B81" w:rsidRPr="009917E6">
        <w:t xml:space="preserve">n agency’s ultimate decision to adopt or reject </w:t>
      </w:r>
      <w:r w:rsidR="00E877EA" w:rsidRPr="009917E6">
        <w:t xml:space="preserve">a </w:t>
      </w:r>
      <w:r w:rsidR="00E614AB">
        <w:t>proposed rate increase</w:t>
      </w:r>
      <w:r w:rsidR="00FD0DA4" w:rsidRPr="009917E6">
        <w:t xml:space="preserve"> cannot </w:t>
      </w:r>
      <w:r w:rsidR="003E5B81" w:rsidRPr="009917E6">
        <w:t>be interpreted as a resolution of all issues presented to it.</w:t>
      </w:r>
    </w:p>
    <w:p w:rsidR="004D6057" w:rsidRDefault="00D32AD1" w:rsidP="009917E6">
      <w:pPr>
        <w:tabs>
          <w:tab w:val="left" w:pos="1440"/>
        </w:tabs>
        <w:ind w:firstLine="720"/>
      </w:pPr>
      <w:r w:rsidRPr="009917E6">
        <w:t xml:space="preserve">The District </w:t>
      </w:r>
      <w:r w:rsidR="00B8288E">
        <w:t>falls back</w:t>
      </w:r>
      <w:r w:rsidR="00427801" w:rsidRPr="009917E6">
        <w:t xml:space="preserve"> on the principle that</w:t>
      </w:r>
      <w:r w:rsidR="006840B9" w:rsidRPr="009917E6">
        <w:t xml:space="preserve"> exhaustion of remedies </w:t>
      </w:r>
      <w:r w:rsidR="00DB774E" w:rsidRPr="009917E6">
        <w:t>is required even if a</w:t>
      </w:r>
      <w:r w:rsidR="005D59F2" w:rsidRPr="009917E6">
        <w:t>n administrative</w:t>
      </w:r>
      <w:r w:rsidR="00DB774E" w:rsidRPr="009917E6">
        <w:t xml:space="preserve"> remedy</w:t>
      </w:r>
      <w:r w:rsidR="005D59F2" w:rsidRPr="009917E6">
        <w:t xml:space="preserve"> does not dispose of the entire dispute or afford the precise relief sought</w:t>
      </w:r>
      <w:r w:rsidR="00DB774E" w:rsidRPr="009917E6">
        <w:t>.</w:t>
      </w:r>
      <w:r w:rsidR="000F30D9">
        <w:t xml:space="preserve">  </w:t>
      </w:r>
      <w:r w:rsidR="00DB774E" w:rsidRPr="009917E6">
        <w:t>(See</w:t>
      </w:r>
      <w:r w:rsidR="003D65CE" w:rsidRPr="009917E6">
        <w:rPr>
          <w:i/>
        </w:rPr>
        <w:t xml:space="preserve"> Sierra Club v. San Joaquin Local Agency Formation Com., supra, </w:t>
      </w:r>
      <w:r w:rsidR="003D65CE" w:rsidRPr="009917E6">
        <w:t xml:space="preserve">21 Cal.4th </w:t>
      </w:r>
      <w:r w:rsidR="00A5615F" w:rsidRPr="009917E6">
        <w:t xml:space="preserve">at p. 501.) </w:t>
      </w:r>
      <w:r w:rsidR="00FD0DA4" w:rsidRPr="009917E6">
        <w:t xml:space="preserve"> When a party challenges</w:t>
      </w:r>
      <w:r w:rsidRPr="009917E6">
        <w:t xml:space="preserve"> the </w:t>
      </w:r>
      <w:r w:rsidR="002B258E">
        <w:t>method used to calculate a fee,</w:t>
      </w:r>
      <w:r w:rsidRPr="009917E6">
        <w:t xml:space="preserve"> </w:t>
      </w:r>
      <w:r w:rsidR="002B258E">
        <w:t>a</w:t>
      </w:r>
      <w:r w:rsidR="00A5615F" w:rsidRPr="009917E6">
        <w:t xml:space="preserve"> P</w:t>
      </w:r>
      <w:r w:rsidR="006D02CE" w:rsidRPr="009917E6">
        <w:t>rop</w:t>
      </w:r>
      <w:r w:rsidR="00A5615F" w:rsidRPr="009917E6">
        <w:t>osition 218</w:t>
      </w:r>
      <w:r w:rsidR="00E54E8F" w:rsidRPr="009917E6">
        <w:t xml:space="preserve"> </w:t>
      </w:r>
      <w:r w:rsidR="00DB774E" w:rsidRPr="009917E6">
        <w:t>hearing</w:t>
      </w:r>
      <w:r w:rsidRPr="009917E6">
        <w:t xml:space="preserve"> </w:t>
      </w:r>
      <w:r w:rsidR="002B258E">
        <w:t>limited to a proposed fee increase</w:t>
      </w:r>
      <w:r w:rsidRPr="009917E6">
        <w:t xml:space="preserve"> </w:t>
      </w:r>
      <w:r w:rsidR="00DE7161" w:rsidRPr="009917E6">
        <w:t xml:space="preserve">does not simply offer incomplete relief, it offers no </w:t>
      </w:r>
      <w:r w:rsidRPr="009917E6">
        <w:t>relief</w:t>
      </w:r>
      <w:r w:rsidR="00DE7161" w:rsidRPr="009917E6">
        <w:t xml:space="preserve"> at all</w:t>
      </w:r>
      <w:r w:rsidR="00E65E80" w:rsidRPr="009917E6">
        <w:t>.</w:t>
      </w:r>
      <w:r w:rsidR="005D59F2" w:rsidRPr="009917E6">
        <w:t xml:space="preserve">  Moreover, </w:t>
      </w:r>
      <w:r w:rsidR="00DE7161" w:rsidRPr="009917E6">
        <w:t xml:space="preserve">the purpose for applying </w:t>
      </w:r>
      <w:r w:rsidR="006323A4" w:rsidRPr="009917E6">
        <w:t>the e</w:t>
      </w:r>
      <w:r w:rsidR="005D59F2" w:rsidRPr="009917E6">
        <w:t xml:space="preserve">xhaustion rule </w:t>
      </w:r>
      <w:r w:rsidR="005F4C35" w:rsidRPr="009917E6">
        <w:t>even when complete relief is unavailable</w:t>
      </w:r>
      <w:r w:rsidR="005D59F2" w:rsidRPr="009917E6">
        <w:t xml:space="preserve"> </w:t>
      </w:r>
      <w:r w:rsidR="00DE7161" w:rsidRPr="009917E6">
        <w:t xml:space="preserve">is that </w:t>
      </w:r>
      <w:r w:rsidR="005D59F2" w:rsidRPr="009917E6">
        <w:t xml:space="preserve">exhaustion of remedies serves </w:t>
      </w:r>
      <w:r w:rsidR="00E54E8F" w:rsidRPr="009917E6">
        <w:t>to ensure administrative autonomy and promote</w:t>
      </w:r>
      <w:r w:rsidR="005D59F2" w:rsidRPr="009917E6">
        <w:t xml:space="preserve"> judicial efficiency. </w:t>
      </w:r>
      <w:r w:rsidR="00B0676B" w:rsidRPr="009917E6">
        <w:t xml:space="preserve"> (</w:t>
      </w:r>
      <w:r w:rsidR="00D46C6B">
        <w:rPr>
          <w:i/>
        </w:rPr>
        <w:t>Sierra Club v. San Joaquin Local Agency Formation Com</w:t>
      </w:r>
      <w:r w:rsidR="00D46C6B">
        <w:t>, at p</w:t>
      </w:r>
      <w:r w:rsidR="00423E6D">
        <w:t>.</w:t>
      </w:r>
      <w:r w:rsidR="00D46C6B">
        <w:t> 501</w:t>
      </w:r>
      <w:r w:rsidR="00B0676B" w:rsidRPr="009917E6">
        <w:rPr>
          <w:i/>
        </w:rPr>
        <w:t>.</w:t>
      </w:r>
      <w:r w:rsidR="00B0676B" w:rsidRPr="009917E6">
        <w:t xml:space="preserve">) </w:t>
      </w:r>
      <w:r w:rsidR="005D59F2" w:rsidRPr="009917E6">
        <w:t xml:space="preserve"> But </w:t>
      </w:r>
      <w:r w:rsidR="00914947" w:rsidRPr="009917E6">
        <w:t xml:space="preserve">the purposes of the exhaustion rule are not served </w:t>
      </w:r>
      <w:r w:rsidR="0095743F" w:rsidRPr="009917E6">
        <w:t xml:space="preserve">by the public hearing </w:t>
      </w:r>
      <w:r w:rsidR="00E54E8F" w:rsidRPr="009917E6">
        <w:t xml:space="preserve">here.  That process </w:t>
      </w:r>
      <w:r w:rsidR="00DA394F" w:rsidRPr="009917E6">
        <w:t xml:space="preserve">does not </w:t>
      </w:r>
      <w:r w:rsidR="00B82907" w:rsidRPr="009917E6">
        <w:t>narrow the scope of the</w:t>
      </w:r>
      <w:r w:rsidR="00DA394F" w:rsidRPr="009917E6">
        <w:t xml:space="preserve"> claims and relieve the burden on the courts.  It does not promote the development of a factual record for review.  </w:t>
      </w:r>
      <w:r w:rsidR="004D6057">
        <w:t>And, i</w:t>
      </w:r>
      <w:r w:rsidR="00461DBD" w:rsidRPr="009917E6">
        <w:t>t</w:t>
      </w:r>
      <w:r w:rsidR="00251B51" w:rsidRPr="009917E6">
        <w:t xml:space="preserve"> does not giv</w:t>
      </w:r>
      <w:r w:rsidR="00D13B45" w:rsidRPr="009917E6">
        <w:t>e the admi</w:t>
      </w:r>
      <w:r w:rsidR="006323A4" w:rsidRPr="009917E6">
        <w:t xml:space="preserve">nistrative agency a meaningful </w:t>
      </w:r>
      <w:r w:rsidR="00D13B45" w:rsidRPr="009917E6">
        <w:t xml:space="preserve">opportunity to apply its expertise because </w:t>
      </w:r>
      <w:r w:rsidR="00D66D63" w:rsidRPr="009917E6">
        <w:t xml:space="preserve">the agency will typically have no power to modify a proposed fee to address </w:t>
      </w:r>
      <w:r w:rsidR="00D13B45" w:rsidRPr="009917E6">
        <w:t xml:space="preserve">a </w:t>
      </w:r>
      <w:r w:rsidR="00D66D63" w:rsidRPr="009917E6">
        <w:t>valid</w:t>
      </w:r>
      <w:r w:rsidR="005071DF">
        <w:t xml:space="preserve"> methodological</w:t>
      </w:r>
      <w:r w:rsidR="00D13B45" w:rsidRPr="009917E6">
        <w:t xml:space="preserve"> challenge</w:t>
      </w:r>
      <w:r w:rsidR="00D66D63" w:rsidRPr="009917E6">
        <w:t xml:space="preserve">. </w:t>
      </w:r>
    </w:p>
    <w:p w:rsidR="00371793" w:rsidRDefault="00B76D3A" w:rsidP="009917E6">
      <w:pPr>
        <w:tabs>
          <w:tab w:val="left" w:pos="1440"/>
        </w:tabs>
        <w:ind w:firstLine="720"/>
      </w:pPr>
      <w:r>
        <w:t>For the reasons discussed above</w:t>
      </w:r>
      <w:r w:rsidR="007A7D5B">
        <w:t>,</w:t>
      </w:r>
      <w:r w:rsidR="00371793">
        <w:t xml:space="preserve"> a party may challenge the method used to calculate a fee without first having participated in a Proposition 218 hearing</w:t>
      </w:r>
      <w:r w:rsidR="004230FB">
        <w:t xml:space="preserve"> called to consider a rate increase.  Such a hearing</w:t>
      </w:r>
      <w:r w:rsidR="008B6BD1">
        <w:t xml:space="preserve"> does not provide an adequate remedy for a methodological challenge</w:t>
      </w:r>
      <w:r w:rsidR="008B6BD1" w:rsidRPr="008B6BD1">
        <w:t>.</w:t>
      </w:r>
      <w:r w:rsidR="00371793">
        <w:t xml:space="preserve">  </w:t>
      </w:r>
      <w:r w:rsidR="008B6BD1">
        <w:t>W</w:t>
      </w:r>
      <w:r w:rsidR="00FD5EB9">
        <w:t xml:space="preserve">e do not decide and express no view on the broader question of whether </w:t>
      </w:r>
      <w:r w:rsidR="008B6BD1">
        <w:t>a</w:t>
      </w:r>
      <w:r w:rsidR="00FD5EB9">
        <w:t xml:space="preserve"> </w:t>
      </w:r>
      <w:r w:rsidR="00FD5EB9">
        <w:lastRenderedPageBreak/>
        <w:t>Proposition 218 hearing could ever be considered an administrative remedy that must be exhausted before challenging the substantive propriety of a fee in court.</w:t>
      </w:r>
    </w:p>
    <w:p w:rsidR="00C06E67" w:rsidRPr="009917E6" w:rsidRDefault="00E65E80" w:rsidP="009917E6">
      <w:pPr>
        <w:tabs>
          <w:tab w:val="left" w:pos="1440"/>
        </w:tabs>
        <w:ind w:firstLine="720"/>
      </w:pPr>
      <w:r w:rsidRPr="009917E6">
        <w:t xml:space="preserve">Along with </w:t>
      </w:r>
      <w:r w:rsidR="004D3B81" w:rsidRPr="009917E6">
        <w:t xml:space="preserve">various </w:t>
      </w:r>
      <w:r w:rsidRPr="009917E6">
        <w:t xml:space="preserve">amici curiae, the District contends </w:t>
      </w:r>
      <w:r w:rsidR="004D3B81" w:rsidRPr="009917E6">
        <w:t>that allowing a party to sue witho</w:t>
      </w:r>
      <w:r w:rsidR="00C41BF3" w:rsidRPr="009917E6">
        <w:t xml:space="preserve">ut having first participated </w:t>
      </w:r>
      <w:r w:rsidR="004D3B81" w:rsidRPr="009917E6">
        <w:t>in the Propositi</w:t>
      </w:r>
      <w:r w:rsidR="00403865" w:rsidRPr="009917E6">
        <w:t>on 218 hearing process renders that process and</w:t>
      </w:r>
      <w:r w:rsidR="004D3B81" w:rsidRPr="009917E6">
        <w:t xml:space="preserve"> </w:t>
      </w:r>
      <w:r w:rsidRPr="009917E6">
        <w:t xml:space="preserve">the duty to consider all protests </w:t>
      </w:r>
      <w:r w:rsidR="00403865" w:rsidRPr="009917E6">
        <w:t>meaningless</w:t>
      </w:r>
      <w:r w:rsidRPr="009917E6">
        <w:t>.</w:t>
      </w:r>
      <w:r w:rsidR="000F30D9">
        <w:t xml:space="preserve">  T</w:t>
      </w:r>
      <w:r w:rsidR="00E968DE" w:rsidRPr="009917E6">
        <w:t>hat is not so.  Th</w:t>
      </w:r>
      <w:r w:rsidR="00014B66">
        <w:t>is</w:t>
      </w:r>
      <w:r w:rsidR="00E968DE" w:rsidRPr="009917E6">
        <w:t xml:space="preserve"> hearing process d</w:t>
      </w:r>
      <w:r w:rsidR="00014B66">
        <w:t xml:space="preserve">id </w:t>
      </w:r>
      <w:r w:rsidR="00E968DE" w:rsidRPr="009917E6">
        <w:t xml:space="preserve">what it is intended to </w:t>
      </w:r>
      <w:proofErr w:type="gramStart"/>
      <w:r w:rsidR="00E968DE" w:rsidRPr="009917E6">
        <w:t>do:</w:t>
      </w:r>
      <w:proofErr w:type="gramEnd"/>
      <w:r w:rsidR="00E968DE" w:rsidRPr="009917E6">
        <w:t xml:space="preserve"> </w:t>
      </w:r>
      <w:r w:rsidR="00B82907" w:rsidRPr="009917E6">
        <w:t xml:space="preserve"> </w:t>
      </w:r>
      <w:r w:rsidR="00E968DE" w:rsidRPr="009917E6">
        <w:t xml:space="preserve">give a majority of fee payors the chance to veto a </w:t>
      </w:r>
      <w:r w:rsidR="00E614AB">
        <w:t xml:space="preserve">rate increase </w:t>
      </w:r>
      <w:r w:rsidR="00E968DE" w:rsidRPr="009917E6">
        <w:t xml:space="preserve">and ensure the decisionmakers are aware of public opposition.  </w:t>
      </w:r>
      <w:r w:rsidR="00685547">
        <w:t>It wo</w:t>
      </w:r>
      <w:r w:rsidR="00E968DE" w:rsidRPr="009917E6">
        <w:t>uld be a meaningless exercise, however,</w:t>
      </w:r>
      <w:r w:rsidR="007566DA" w:rsidRPr="009917E6">
        <w:t xml:space="preserve"> </w:t>
      </w:r>
      <w:r w:rsidR="00685547">
        <w:t>to require</w:t>
      </w:r>
      <w:r w:rsidR="00606641" w:rsidRPr="009917E6">
        <w:t xml:space="preserve"> a party to raise a </w:t>
      </w:r>
      <w:r w:rsidR="00FD5EB9">
        <w:t>methodological</w:t>
      </w:r>
      <w:r w:rsidR="00606641" w:rsidRPr="009917E6">
        <w:t xml:space="preserve"> challenge </w:t>
      </w:r>
      <w:r w:rsidR="00685547">
        <w:t>at a hearing</w:t>
      </w:r>
      <w:r w:rsidR="00202500" w:rsidRPr="009917E6">
        <w:t xml:space="preserve"> where the agency has no obligation to </w:t>
      </w:r>
      <w:r w:rsidR="004530FF" w:rsidRPr="009917E6">
        <w:t xml:space="preserve">respond and cannot </w:t>
      </w:r>
      <w:r w:rsidR="00202500" w:rsidRPr="009917E6">
        <w:t>resolve the challenge.</w:t>
      </w:r>
    </w:p>
    <w:p w:rsidR="00617E73" w:rsidRPr="009917E6" w:rsidRDefault="00C6521E" w:rsidP="009917E6">
      <w:pPr>
        <w:tabs>
          <w:tab w:val="left" w:pos="1440"/>
        </w:tabs>
        <w:ind w:firstLine="720"/>
      </w:pPr>
      <w:r w:rsidRPr="009917E6">
        <w:t xml:space="preserve">As a final matter, it is necessary to address the import of </w:t>
      </w:r>
      <w:proofErr w:type="spellStart"/>
      <w:r w:rsidR="00DE59DF" w:rsidRPr="009917E6">
        <w:rPr>
          <w:i/>
        </w:rPr>
        <w:t>Wallich’s</w:t>
      </w:r>
      <w:proofErr w:type="spellEnd"/>
      <w:r w:rsidR="00DE59DF" w:rsidRPr="009917E6">
        <w:rPr>
          <w:i/>
        </w:rPr>
        <w:t xml:space="preserve"> Ranch, supra,</w:t>
      </w:r>
      <w:r w:rsidR="00DE59DF" w:rsidRPr="009917E6">
        <w:t xml:space="preserve"> 87 Cal.App.4th 878, the decision relied upon by the trial court and distinguished by the Court of Appeal.  </w:t>
      </w:r>
      <w:r w:rsidR="0069053C" w:rsidRPr="009917E6">
        <w:t xml:space="preserve">The District </w:t>
      </w:r>
      <w:r w:rsidR="00C75611" w:rsidRPr="009917E6">
        <w:t xml:space="preserve">cites </w:t>
      </w:r>
      <w:proofErr w:type="spellStart"/>
      <w:r w:rsidR="00C75611" w:rsidRPr="009917E6">
        <w:rPr>
          <w:i/>
        </w:rPr>
        <w:t>Wallich’s</w:t>
      </w:r>
      <w:proofErr w:type="spellEnd"/>
      <w:r w:rsidR="00C75611" w:rsidRPr="009917E6">
        <w:rPr>
          <w:i/>
        </w:rPr>
        <w:t xml:space="preserve"> Ranch </w:t>
      </w:r>
      <w:r w:rsidR="00C75611" w:rsidRPr="009917E6">
        <w:t xml:space="preserve">for the principle that </w:t>
      </w:r>
      <w:r w:rsidR="00B82907" w:rsidRPr="009917E6">
        <w:t xml:space="preserve">a </w:t>
      </w:r>
      <w:r w:rsidR="00793EA4" w:rsidRPr="009917E6">
        <w:t>“remedy exists if the law provides for notice, opportunity to protest and a hearing.”</w:t>
      </w:r>
      <w:r w:rsidR="0081085D">
        <w:t xml:space="preserve">  </w:t>
      </w:r>
      <w:proofErr w:type="spellStart"/>
      <w:r w:rsidR="0058510A" w:rsidRPr="009917E6">
        <w:rPr>
          <w:i/>
        </w:rPr>
        <w:t>Wallich’s</w:t>
      </w:r>
      <w:proofErr w:type="spellEnd"/>
      <w:r w:rsidR="0058510A" w:rsidRPr="009917E6">
        <w:rPr>
          <w:i/>
        </w:rPr>
        <w:t xml:space="preserve"> Ranch </w:t>
      </w:r>
      <w:r w:rsidR="008553EA" w:rsidRPr="009917E6">
        <w:t>does not stand</w:t>
      </w:r>
      <w:r w:rsidR="0058510A" w:rsidRPr="009917E6">
        <w:t xml:space="preserve"> for such a broad proposition</w:t>
      </w:r>
      <w:r w:rsidR="00A713F4" w:rsidRPr="009917E6">
        <w:t>.  But even if it could</w:t>
      </w:r>
      <w:r w:rsidR="0058510A" w:rsidRPr="009917E6">
        <w:t xml:space="preserve"> be interpreted to </w:t>
      </w:r>
      <w:r w:rsidR="0031003F" w:rsidRPr="009917E6">
        <w:t>describe a public comment procedure as a “remedy,” it does not establish that the mere opportunity to comment at</w:t>
      </w:r>
      <w:r w:rsidR="00B82907" w:rsidRPr="009917E6">
        <w:t xml:space="preserve"> a public hearing constitutes an</w:t>
      </w:r>
      <w:r w:rsidR="0031003F" w:rsidRPr="009917E6">
        <w:t xml:space="preserve"> </w:t>
      </w:r>
      <w:r w:rsidR="005471E9" w:rsidRPr="009917E6">
        <w:rPr>
          <w:i/>
        </w:rPr>
        <w:t>adequate</w:t>
      </w:r>
      <w:r w:rsidR="0031003F" w:rsidRPr="009917E6">
        <w:t xml:space="preserve"> remedy.</w:t>
      </w:r>
    </w:p>
    <w:p w:rsidR="00556A9C" w:rsidRPr="009917E6" w:rsidRDefault="006B3EDC" w:rsidP="009917E6">
      <w:pPr>
        <w:tabs>
          <w:tab w:val="left" w:pos="1440"/>
        </w:tabs>
        <w:ind w:firstLine="720"/>
      </w:pPr>
      <w:r w:rsidRPr="009917E6">
        <w:t xml:space="preserve">In </w:t>
      </w:r>
      <w:proofErr w:type="spellStart"/>
      <w:r w:rsidRPr="009917E6">
        <w:rPr>
          <w:i/>
        </w:rPr>
        <w:t>Wallich’s</w:t>
      </w:r>
      <w:proofErr w:type="spellEnd"/>
      <w:r w:rsidRPr="009917E6">
        <w:rPr>
          <w:i/>
        </w:rPr>
        <w:t xml:space="preserve"> Ranch, </w:t>
      </w:r>
      <w:r w:rsidRPr="009917E6">
        <w:t xml:space="preserve">the plaintiff brought an action against various agencies seeking a refund of assessments </w:t>
      </w:r>
      <w:r w:rsidR="009766B4" w:rsidRPr="009917E6">
        <w:t>imposed under the Pest Control Law.  (</w:t>
      </w:r>
      <w:proofErr w:type="spellStart"/>
      <w:r w:rsidR="009766B4" w:rsidRPr="009917E6">
        <w:rPr>
          <w:i/>
        </w:rPr>
        <w:t>Wallich’s</w:t>
      </w:r>
      <w:proofErr w:type="spellEnd"/>
      <w:r w:rsidR="009766B4" w:rsidRPr="009917E6">
        <w:rPr>
          <w:i/>
        </w:rPr>
        <w:t xml:space="preserve"> Ranch, supra, </w:t>
      </w:r>
      <w:r w:rsidR="009766B4" w:rsidRPr="009917E6">
        <w:t xml:space="preserve">87 Cal.App.4th at p. 880.)  Although the plaintiff raised a claim that the assessments violated Proposition 218, </w:t>
      </w:r>
      <w:r w:rsidR="008553EA" w:rsidRPr="009917E6">
        <w:t>the trial court concluded the assessments were not governed by its provisions.  (</w:t>
      </w:r>
      <w:r w:rsidR="008553EA" w:rsidRPr="009917E6">
        <w:rPr>
          <w:i/>
        </w:rPr>
        <w:t>Id.</w:t>
      </w:r>
      <w:r w:rsidR="008553EA" w:rsidRPr="009917E6">
        <w:t xml:space="preserve"> at p. 882.)  On appeal, the issue was limited to whether the plaintiff </w:t>
      </w:r>
      <w:r w:rsidR="008553EA" w:rsidRPr="009917E6">
        <w:lastRenderedPageBreak/>
        <w:t xml:space="preserve">had exhausted available remedies </w:t>
      </w:r>
      <w:r w:rsidR="008553EA" w:rsidRPr="00CB22DF">
        <w:rPr>
          <w:i/>
        </w:rPr>
        <w:t>under the Pest Control Law</w:t>
      </w:r>
      <w:r w:rsidR="008553EA" w:rsidRPr="009917E6">
        <w:t>.  (</w:t>
      </w:r>
      <w:r w:rsidR="008553EA" w:rsidRPr="009917E6">
        <w:rPr>
          <w:i/>
        </w:rPr>
        <w:t>Id.</w:t>
      </w:r>
      <w:r w:rsidR="008553EA" w:rsidRPr="009917E6">
        <w:t xml:space="preserve"> at pp. 883–885.)  The appellate court concluded the plaintiff was required to exhaust administrative remedies by participating in the public hearing process associated with the adoption of the agency’s annual budget.  (</w:t>
      </w:r>
      <w:r w:rsidR="008553EA" w:rsidRPr="009917E6">
        <w:rPr>
          <w:i/>
        </w:rPr>
        <w:t>Id.</w:t>
      </w:r>
      <w:r w:rsidR="00D10386" w:rsidRPr="009917E6">
        <w:t xml:space="preserve"> at p. 885.)  </w:t>
      </w:r>
      <w:r w:rsidR="00D73D41" w:rsidRPr="009917E6">
        <w:t>T</w:t>
      </w:r>
      <w:r w:rsidR="00556A9C" w:rsidRPr="009917E6">
        <w:t xml:space="preserve">he court in </w:t>
      </w:r>
      <w:proofErr w:type="spellStart"/>
      <w:r w:rsidR="00556A9C" w:rsidRPr="009917E6">
        <w:rPr>
          <w:i/>
        </w:rPr>
        <w:t>Wallich’s</w:t>
      </w:r>
      <w:proofErr w:type="spellEnd"/>
      <w:r w:rsidR="00556A9C" w:rsidRPr="009917E6">
        <w:rPr>
          <w:i/>
        </w:rPr>
        <w:t xml:space="preserve"> Ranch </w:t>
      </w:r>
      <w:r w:rsidR="00556A9C" w:rsidRPr="009917E6">
        <w:t xml:space="preserve">had no occasion to consider whether Proposition 218 imposes a </w:t>
      </w:r>
      <w:r w:rsidR="00DE50EE" w:rsidRPr="009917E6">
        <w:t>separate exhaustion requirement</w:t>
      </w:r>
      <w:r w:rsidR="00985F8B" w:rsidRPr="009917E6">
        <w:t>.</w:t>
      </w:r>
      <w:r w:rsidR="00C57C42" w:rsidRPr="009917E6">
        <w:rPr>
          <w:rStyle w:val="FootnoteReference"/>
        </w:rPr>
        <w:footnoteReference w:id="12"/>
      </w:r>
    </w:p>
    <w:p w:rsidR="000517FF" w:rsidRPr="009917E6" w:rsidRDefault="00AB6D83" w:rsidP="009917E6">
      <w:pPr>
        <w:tabs>
          <w:tab w:val="left" w:pos="1440"/>
        </w:tabs>
        <w:ind w:firstLine="720"/>
      </w:pPr>
      <w:r w:rsidRPr="009917E6">
        <w:t xml:space="preserve">Although the public hearing in </w:t>
      </w:r>
      <w:proofErr w:type="spellStart"/>
      <w:r w:rsidRPr="009917E6">
        <w:rPr>
          <w:i/>
        </w:rPr>
        <w:t>Wallich’s</w:t>
      </w:r>
      <w:proofErr w:type="spellEnd"/>
      <w:r w:rsidRPr="009917E6">
        <w:rPr>
          <w:i/>
        </w:rPr>
        <w:t xml:space="preserve"> Ranch </w:t>
      </w:r>
      <w:r w:rsidRPr="009917E6">
        <w:t xml:space="preserve">had </w:t>
      </w:r>
      <w:proofErr w:type="gramStart"/>
      <w:r w:rsidRPr="009917E6">
        <w:t>some</w:t>
      </w:r>
      <w:proofErr w:type="gramEnd"/>
      <w:r w:rsidRPr="009917E6">
        <w:t xml:space="preserve"> similarities to the Proposition 218 process, the decision is </w:t>
      </w:r>
      <w:r w:rsidR="00586909" w:rsidRPr="009917E6">
        <w:t>distinguishable.</w:t>
      </w:r>
      <w:r w:rsidR="001F7232" w:rsidRPr="001F7232">
        <w:rPr>
          <w:rStyle w:val="FootnoteReference"/>
        </w:rPr>
        <w:t xml:space="preserve"> </w:t>
      </w:r>
      <w:r w:rsidR="001F7232">
        <w:rPr>
          <w:rStyle w:val="FootnoteReference"/>
        </w:rPr>
        <w:footnoteReference w:id="13"/>
      </w:r>
      <w:r w:rsidR="00586909" w:rsidRPr="009917E6">
        <w:t xml:space="preserve">  </w:t>
      </w:r>
      <w:r w:rsidRPr="009917E6">
        <w:t>Under</w:t>
      </w:r>
      <w:r w:rsidR="002D5189" w:rsidRPr="009917E6">
        <w:t xml:space="preserve"> the Pest Control Law, an agency </w:t>
      </w:r>
      <w:r w:rsidRPr="009917E6">
        <w:t>must</w:t>
      </w:r>
      <w:r w:rsidR="002D5189" w:rsidRPr="009917E6">
        <w:t xml:space="preserve"> adopt a preliminary </w:t>
      </w:r>
      <w:r w:rsidR="00C57C42">
        <w:t xml:space="preserve">fiscal year </w:t>
      </w:r>
      <w:r w:rsidR="002D5189" w:rsidRPr="009917E6">
        <w:t>budget and hold a public hearing</w:t>
      </w:r>
      <w:r w:rsidR="00395A32">
        <w:t xml:space="preserve"> on that budget</w:t>
      </w:r>
      <w:r w:rsidR="002D5189" w:rsidRPr="009917E6">
        <w:t xml:space="preserve">.  (Food &amp; </w:t>
      </w:r>
      <w:proofErr w:type="spellStart"/>
      <w:r w:rsidR="002D5189" w:rsidRPr="009917E6">
        <w:t>Agr</w:t>
      </w:r>
      <w:proofErr w:type="spellEnd"/>
      <w:proofErr w:type="gramStart"/>
      <w:r w:rsidR="002D5189" w:rsidRPr="009917E6">
        <w:t xml:space="preserve">. </w:t>
      </w:r>
      <w:proofErr w:type="gramEnd"/>
      <w:r w:rsidR="002D5189" w:rsidRPr="009917E6">
        <w:t xml:space="preserve">Code, </w:t>
      </w:r>
      <w:r w:rsidR="00B82907" w:rsidRPr="009917E6">
        <w:t>§</w:t>
      </w:r>
      <w:r w:rsidR="002D5189" w:rsidRPr="009917E6">
        <w:t xml:space="preserve">§ 8559–8561.)  Any </w:t>
      </w:r>
      <w:r w:rsidRPr="009917E6">
        <w:t>owner of citrus acreage</w:t>
      </w:r>
      <w:r w:rsidR="00756662" w:rsidRPr="009917E6">
        <w:t xml:space="preserve"> subject to an assessment may </w:t>
      </w:r>
      <w:r w:rsidR="007F4A22">
        <w:t>protest in writing</w:t>
      </w:r>
      <w:r w:rsidR="00756662" w:rsidRPr="009917E6">
        <w:t>.  (</w:t>
      </w:r>
      <w:r w:rsidR="00064BAC" w:rsidRPr="00064BAC">
        <w:rPr>
          <w:i/>
        </w:rPr>
        <w:t>Id</w:t>
      </w:r>
      <w:r w:rsidR="00064BAC">
        <w:t>.</w:t>
      </w:r>
      <w:r w:rsidR="00756662" w:rsidRPr="009917E6">
        <w:t xml:space="preserve">, § 8564.)  At the hearing, the agency must “hear </w:t>
      </w:r>
      <w:r w:rsidR="00756662" w:rsidRPr="009917E6">
        <w:rPr>
          <w:i/>
        </w:rPr>
        <w:t xml:space="preserve">and pass upon </w:t>
      </w:r>
      <w:r w:rsidR="00756662" w:rsidRPr="009917E6">
        <w:t>all protests</w:t>
      </w:r>
      <w:r w:rsidR="00B82907" w:rsidRPr="009917E6">
        <w:t xml:space="preserve"> so made</w:t>
      </w:r>
      <w:r w:rsidR="00756662" w:rsidRPr="009917E6">
        <w:t xml:space="preserve"> and its decision shall be final and conclusive.”  (</w:t>
      </w:r>
      <w:r w:rsidR="00064BAC" w:rsidRPr="00064BAC">
        <w:rPr>
          <w:i/>
        </w:rPr>
        <w:t>Id</w:t>
      </w:r>
      <w:r w:rsidR="00064BAC">
        <w:t>.</w:t>
      </w:r>
      <w:r w:rsidR="00756662" w:rsidRPr="009917E6">
        <w:t>, § 8565, italics added.)</w:t>
      </w:r>
      <w:r w:rsidR="004F1B6D" w:rsidRPr="009917E6">
        <w:t xml:space="preserve">  The Pest Control Law gives the agency the authority to “make such changes in the proposed budget as it finds are proper and advisable.”  (</w:t>
      </w:r>
      <w:r w:rsidR="00064BAC" w:rsidRPr="00064BAC">
        <w:rPr>
          <w:i/>
        </w:rPr>
        <w:t>Id</w:t>
      </w:r>
      <w:r w:rsidR="00064BAC">
        <w:t>.</w:t>
      </w:r>
      <w:r w:rsidR="004F1B6D" w:rsidRPr="009917E6">
        <w:t>, § 8566.)</w:t>
      </w:r>
    </w:p>
    <w:p w:rsidR="00C57C42" w:rsidRDefault="00AB6D83" w:rsidP="00C57C42">
      <w:pPr>
        <w:tabs>
          <w:tab w:val="left" w:pos="1440"/>
        </w:tabs>
        <w:ind w:firstLine="720"/>
      </w:pPr>
      <w:r w:rsidRPr="009917E6">
        <w:lastRenderedPageBreak/>
        <w:t>T</w:t>
      </w:r>
      <w:r w:rsidR="004F1B6D" w:rsidRPr="009917E6">
        <w:t xml:space="preserve">he Pest Control Law not only requires the agency to rule upon any protests, it also </w:t>
      </w:r>
      <w:r w:rsidR="007F4A22">
        <w:t>gives</w:t>
      </w:r>
      <w:r w:rsidR="004F1B6D" w:rsidRPr="009917E6">
        <w:t xml:space="preserve"> the agency the </w:t>
      </w:r>
      <w:r w:rsidR="007F4A22">
        <w:t xml:space="preserve">authority to </w:t>
      </w:r>
      <w:r w:rsidR="004F1B6D" w:rsidRPr="009917E6">
        <w:t xml:space="preserve">adjust its budget and make any </w:t>
      </w:r>
      <w:r w:rsidRPr="009917E6">
        <w:t xml:space="preserve">necessary </w:t>
      </w:r>
      <w:r w:rsidR="004F1B6D" w:rsidRPr="009917E6">
        <w:t>change</w:t>
      </w:r>
      <w:r w:rsidRPr="009917E6">
        <w:t>s in response to protests</w:t>
      </w:r>
      <w:r w:rsidR="004F1B6D" w:rsidRPr="009917E6">
        <w:t>.  (</w:t>
      </w:r>
      <w:proofErr w:type="spellStart"/>
      <w:r w:rsidR="004F1B6D" w:rsidRPr="009917E6">
        <w:rPr>
          <w:i/>
        </w:rPr>
        <w:t>Wallich’s</w:t>
      </w:r>
      <w:proofErr w:type="spellEnd"/>
      <w:r w:rsidR="004F1B6D" w:rsidRPr="009917E6">
        <w:rPr>
          <w:i/>
        </w:rPr>
        <w:t xml:space="preserve"> Ranch, supra, </w:t>
      </w:r>
      <w:r w:rsidR="004F1B6D" w:rsidRPr="009917E6">
        <w:t>87 Cal.App.4th at p. 885.)</w:t>
      </w:r>
      <w:r w:rsidRPr="009917E6">
        <w:t xml:space="preserve">  By contrast,</w:t>
      </w:r>
      <w:r w:rsidR="008B199F">
        <w:t xml:space="preserve"> an agency seeking to increase </w:t>
      </w:r>
      <w:r w:rsidR="002317F4">
        <w:t xml:space="preserve">the rate at a </w:t>
      </w:r>
      <w:r w:rsidRPr="009917E6">
        <w:t>Proposition 218 hearing</w:t>
      </w:r>
      <w:r w:rsidR="00EC630E" w:rsidRPr="009917E6">
        <w:t xml:space="preserve"> </w:t>
      </w:r>
      <w:r w:rsidR="002317F4">
        <w:t xml:space="preserve">has no authority </w:t>
      </w:r>
      <w:r w:rsidR="00EC630E" w:rsidRPr="009917E6">
        <w:t xml:space="preserve">to resolve </w:t>
      </w:r>
      <w:r w:rsidR="007C398B">
        <w:t>methodological</w:t>
      </w:r>
      <w:r w:rsidR="00EC630E" w:rsidRPr="009917E6">
        <w:t xml:space="preserve"> challenges or to modify the fee structure</w:t>
      </w:r>
      <w:r w:rsidR="00945321">
        <w:t>.</w:t>
      </w:r>
      <w:r w:rsidR="00F86341">
        <w:t xml:space="preserve"> </w:t>
      </w:r>
    </w:p>
    <w:p w:rsidR="0010745B" w:rsidRDefault="00C57C42" w:rsidP="00C57C42">
      <w:pPr>
        <w:tabs>
          <w:tab w:val="left" w:pos="1440"/>
        </w:tabs>
        <w:ind w:firstLine="720"/>
      </w:pPr>
      <w:r>
        <w:t>In addition, the Pest Control Law affords a property owner an opportunity to be heard at least once a year, when an agency adopts its</w:t>
      </w:r>
      <w:r w:rsidR="00851299">
        <w:t xml:space="preserve"> fiscal year</w:t>
      </w:r>
      <w:r>
        <w:t xml:space="preserve"> budget.  </w:t>
      </w:r>
      <w:r w:rsidR="00B3538A">
        <w:t xml:space="preserve">(Food &amp; </w:t>
      </w:r>
      <w:proofErr w:type="spellStart"/>
      <w:r w:rsidR="00B3538A">
        <w:t>Agr</w:t>
      </w:r>
      <w:proofErr w:type="spellEnd"/>
      <w:proofErr w:type="gramStart"/>
      <w:r w:rsidR="00B3538A">
        <w:t xml:space="preserve">. </w:t>
      </w:r>
      <w:proofErr w:type="gramEnd"/>
      <w:r w:rsidR="00B3538A">
        <w:t xml:space="preserve">Code, § 8560.)  </w:t>
      </w:r>
      <w:r>
        <w:t xml:space="preserve">Proposition 218 </w:t>
      </w:r>
      <w:r w:rsidR="00851299">
        <w:t xml:space="preserve">offers no guarantee </w:t>
      </w:r>
      <w:r w:rsidR="007F4A22">
        <w:t xml:space="preserve">a fee payor like </w:t>
      </w:r>
      <w:proofErr w:type="spellStart"/>
      <w:r w:rsidR="007F4A22">
        <w:t>Plantier</w:t>
      </w:r>
      <w:proofErr w:type="spellEnd"/>
      <w:r w:rsidR="007F4A22">
        <w:t xml:space="preserve"> will be given an </w:t>
      </w:r>
      <w:r w:rsidR="00BB0A57">
        <w:t>opportunity to be heard</w:t>
      </w:r>
      <w:r w:rsidR="007F4A22">
        <w:t xml:space="preserve"> in that forum</w:t>
      </w:r>
      <w:r w:rsidR="00BB0A57">
        <w:t xml:space="preserve">.  </w:t>
      </w:r>
      <w:r w:rsidR="007F4A22">
        <w:t xml:space="preserve">It was purely serendipitous </w:t>
      </w:r>
      <w:r w:rsidR="00BB0A57">
        <w:t xml:space="preserve">that </w:t>
      </w:r>
      <w:r w:rsidR="00395A32">
        <w:t>plaintiffs</w:t>
      </w:r>
      <w:r w:rsidR="00BB0A57">
        <w:t xml:space="preserve"> </w:t>
      </w:r>
      <w:r w:rsidR="007F4A22">
        <w:t>brought</w:t>
      </w:r>
      <w:r w:rsidR="00BB0A57">
        <w:t xml:space="preserve"> </w:t>
      </w:r>
      <w:r w:rsidR="00395A32">
        <w:t>their</w:t>
      </w:r>
      <w:r w:rsidR="00BB0A57">
        <w:t xml:space="preserve"> proportionality challenge around the same time </w:t>
      </w:r>
      <w:r w:rsidR="00113787">
        <w:t xml:space="preserve">the District held Proposition 218 hearings to consider increasing its rates.  </w:t>
      </w:r>
    </w:p>
    <w:p w:rsidR="00395A32" w:rsidRPr="00A1675A" w:rsidRDefault="00395A32" w:rsidP="00C57C42">
      <w:pPr>
        <w:tabs>
          <w:tab w:val="left" w:pos="1440"/>
        </w:tabs>
        <w:ind w:firstLine="720"/>
      </w:pPr>
      <w:r>
        <w:t xml:space="preserve">Plaintiffs here seek judicial review of their claim that the method used to allocate fees among parcels violates a substantive limitation imposed by the state </w:t>
      </w:r>
      <w:r w:rsidR="00571865">
        <w:t>C</w:t>
      </w:r>
      <w:r>
        <w:t xml:space="preserve">onstitution.  It would serve no purpose and make little sense to require that, </w:t>
      </w:r>
      <w:proofErr w:type="gramStart"/>
      <w:r>
        <w:t>in order to</w:t>
      </w:r>
      <w:proofErr w:type="gramEnd"/>
      <w:r>
        <w:t xml:space="preserve"> do so, they must participate in a hearing convened to consider a different question </w:t>
      </w:r>
      <w:r w:rsidR="00C05BD0">
        <w:t xml:space="preserve">and </w:t>
      </w:r>
      <w:r>
        <w:t>at which the</w:t>
      </w:r>
      <w:r w:rsidR="00C05BD0">
        <w:t>y</w:t>
      </w:r>
      <w:r>
        <w:t xml:space="preserve"> could not s</w:t>
      </w:r>
      <w:r w:rsidR="00C05BD0">
        <w:t>ec</w:t>
      </w:r>
      <w:r>
        <w:t>ure relief.</w:t>
      </w:r>
    </w:p>
    <w:p w:rsidR="002E0D6A" w:rsidRPr="009917E6" w:rsidRDefault="00267882" w:rsidP="009917E6">
      <w:pPr>
        <w:tabs>
          <w:tab w:val="left" w:pos="1440"/>
        </w:tabs>
        <w:ind w:firstLine="720"/>
      </w:pPr>
      <w:r w:rsidRPr="009917E6">
        <w:t>Under appropriate circumstances, t</w:t>
      </w:r>
      <w:r w:rsidR="000517FF" w:rsidRPr="009917E6">
        <w:t xml:space="preserve">he exhaustion doctrine </w:t>
      </w:r>
      <w:r w:rsidR="00993FB7" w:rsidRPr="009917E6">
        <w:t xml:space="preserve">appropriately </w:t>
      </w:r>
      <w:r w:rsidR="00F4350F">
        <w:t>provides</w:t>
      </w:r>
      <w:r w:rsidR="000517FF" w:rsidRPr="009917E6">
        <w:t xml:space="preserve"> a </w:t>
      </w:r>
      <w:r w:rsidR="000C334E" w:rsidRPr="009917E6">
        <w:t xml:space="preserve">defensive </w:t>
      </w:r>
      <w:r w:rsidR="000517FF" w:rsidRPr="009917E6">
        <w:t xml:space="preserve">shield for administrative agencies </w:t>
      </w:r>
      <w:r w:rsidR="00993FB7" w:rsidRPr="009917E6">
        <w:t xml:space="preserve">to </w:t>
      </w:r>
      <w:r w:rsidR="00395A32">
        <w:t>insulate</w:t>
      </w:r>
      <w:r w:rsidR="00993FB7" w:rsidRPr="009917E6">
        <w:t xml:space="preserve"> their actions from judicial </w:t>
      </w:r>
      <w:r w:rsidR="00395A32">
        <w:t xml:space="preserve">intervention until </w:t>
      </w:r>
      <w:r w:rsidR="00993FB7" w:rsidRPr="009917E6">
        <w:t>a challenger</w:t>
      </w:r>
      <w:r w:rsidR="00395A32">
        <w:t xml:space="preserve"> gives</w:t>
      </w:r>
      <w:r w:rsidR="00F4350F">
        <w:t xml:space="preserve"> the agency </w:t>
      </w:r>
      <w:r w:rsidR="00993FB7" w:rsidRPr="009917E6">
        <w:t>an opportunity to resolve the dispute</w:t>
      </w:r>
      <w:r w:rsidR="00F4350F">
        <w:t xml:space="preserve"> in the first instance.</w:t>
      </w:r>
      <w:r w:rsidR="00993FB7" w:rsidRPr="009917E6">
        <w:t xml:space="preserve">  Here, however, the District seeks to strik</w:t>
      </w:r>
      <w:r w:rsidR="00897FE8" w:rsidRPr="009917E6">
        <w:t xml:space="preserve">e down claims </w:t>
      </w:r>
      <w:r w:rsidR="00F4350F">
        <w:t xml:space="preserve">not properly encompassed in </w:t>
      </w:r>
      <w:r w:rsidR="00E614AB">
        <w:t>the</w:t>
      </w:r>
      <w:r w:rsidR="00F4350F">
        <w:t xml:space="preserve"> </w:t>
      </w:r>
      <w:r w:rsidR="00993FB7" w:rsidRPr="009917E6">
        <w:t xml:space="preserve">Proposition 218 </w:t>
      </w:r>
      <w:r w:rsidR="003167B4">
        <w:t xml:space="preserve">rate increase </w:t>
      </w:r>
      <w:r w:rsidR="00993FB7" w:rsidRPr="009917E6">
        <w:t>hearing</w:t>
      </w:r>
      <w:r w:rsidR="00E614AB">
        <w:t>s</w:t>
      </w:r>
      <w:r w:rsidR="00993FB7" w:rsidRPr="009917E6">
        <w:t xml:space="preserve">.  In effect, it seeks to use </w:t>
      </w:r>
      <w:r w:rsidR="00993FB7" w:rsidRPr="009917E6">
        <w:lastRenderedPageBreak/>
        <w:t>the exhaustion</w:t>
      </w:r>
      <w:r w:rsidR="00897FE8" w:rsidRPr="009917E6">
        <w:t xml:space="preserve"> doctrine</w:t>
      </w:r>
      <w:r w:rsidR="000C334E" w:rsidRPr="009917E6">
        <w:t xml:space="preserve"> </w:t>
      </w:r>
      <w:r w:rsidR="00993FB7" w:rsidRPr="009917E6">
        <w:t xml:space="preserve">as a sword </w:t>
      </w:r>
      <w:r w:rsidR="00897FE8" w:rsidRPr="009917E6">
        <w:t xml:space="preserve">rather than </w:t>
      </w:r>
      <w:r w:rsidR="00993FB7" w:rsidRPr="009917E6">
        <w:t>a shield.  That it cannot do.</w:t>
      </w:r>
      <w:r w:rsidRPr="009917E6">
        <w:t xml:space="preserve"> </w:t>
      </w:r>
    </w:p>
    <w:p w:rsidR="00B96D1D" w:rsidRPr="009917E6" w:rsidRDefault="00B96D1D" w:rsidP="008E1781">
      <w:pPr>
        <w:keepNext/>
        <w:tabs>
          <w:tab w:val="left" w:pos="1440"/>
        </w:tabs>
        <w:jc w:val="center"/>
      </w:pPr>
      <w:r w:rsidRPr="009917E6">
        <w:t>III.  DISPOSITION</w:t>
      </w:r>
    </w:p>
    <w:p w:rsidR="00F077F9" w:rsidRPr="009917E6" w:rsidRDefault="00807FEF" w:rsidP="00E614AB">
      <w:pPr>
        <w:tabs>
          <w:tab w:val="left" w:pos="1440"/>
        </w:tabs>
        <w:ind w:firstLine="720"/>
      </w:pPr>
      <w:r>
        <w:t>The judgment of the Court of Appeal is affirmed</w:t>
      </w:r>
      <w:r w:rsidR="00FF6C75" w:rsidRPr="009917E6">
        <w:t>.</w:t>
      </w:r>
    </w:p>
    <w:p w:rsidR="00D46C6B" w:rsidRDefault="00F077F9" w:rsidP="00D46C6B">
      <w:pPr>
        <w:tabs>
          <w:tab w:val="right" w:pos="7200"/>
        </w:tabs>
      </w:pPr>
      <w:r w:rsidRPr="009917E6">
        <w:tab/>
      </w:r>
      <w:bookmarkStart w:id="2" w:name="_GoBack"/>
      <w:bookmarkEnd w:id="2"/>
    </w:p>
    <w:p w:rsidR="00D46C6B" w:rsidRPr="00D46C6B" w:rsidRDefault="00D46C6B" w:rsidP="00D46C6B">
      <w:pPr>
        <w:tabs>
          <w:tab w:val="right" w:pos="7200"/>
        </w:tabs>
        <w:rPr>
          <w:b/>
        </w:rPr>
      </w:pPr>
      <w:r>
        <w:rPr>
          <w:b/>
        </w:rPr>
        <w:tab/>
      </w:r>
      <w:r w:rsidRPr="00D46C6B">
        <w:rPr>
          <w:b/>
        </w:rPr>
        <w:t>CORRIGAN, J.</w:t>
      </w:r>
    </w:p>
    <w:p w:rsidR="00D46C6B" w:rsidRPr="00D46C6B" w:rsidRDefault="00D46C6B" w:rsidP="00D46C6B">
      <w:pPr>
        <w:tabs>
          <w:tab w:val="right" w:pos="7200"/>
        </w:tabs>
        <w:jc w:val="right"/>
        <w:rPr>
          <w:b/>
        </w:rPr>
      </w:pPr>
    </w:p>
    <w:p w:rsidR="00D46C6B" w:rsidRPr="00D46C6B" w:rsidRDefault="00D46C6B" w:rsidP="00D46C6B">
      <w:pPr>
        <w:tabs>
          <w:tab w:val="right" w:pos="7200"/>
        </w:tabs>
        <w:jc w:val="left"/>
        <w:rPr>
          <w:b/>
        </w:rPr>
      </w:pPr>
      <w:r w:rsidRPr="00D46C6B">
        <w:rPr>
          <w:b/>
        </w:rPr>
        <w:t>We Concur:</w:t>
      </w:r>
    </w:p>
    <w:p w:rsidR="001867CC" w:rsidRDefault="001867CC" w:rsidP="001867CC">
      <w:pPr>
        <w:spacing w:after="0" w:line="240" w:lineRule="auto"/>
        <w:rPr>
          <w:rFonts w:ascii="Times New Roman" w:hAnsi="Times New Roman"/>
          <w:b/>
          <w:sz w:val="26"/>
          <w:szCs w:val="26"/>
        </w:rPr>
      </w:pPr>
      <w:r>
        <w:rPr>
          <w:b/>
          <w:szCs w:val="26"/>
        </w:rPr>
        <w:t>CANTIL-SAKAUYE, C. J.</w:t>
      </w:r>
    </w:p>
    <w:p w:rsidR="001867CC" w:rsidRDefault="001867CC" w:rsidP="001867CC">
      <w:pPr>
        <w:spacing w:after="0" w:line="240" w:lineRule="auto"/>
        <w:rPr>
          <w:b/>
          <w:szCs w:val="26"/>
        </w:rPr>
      </w:pPr>
      <w:r>
        <w:rPr>
          <w:b/>
          <w:szCs w:val="26"/>
        </w:rPr>
        <w:t>CHIN, J.</w:t>
      </w:r>
    </w:p>
    <w:p w:rsidR="001867CC" w:rsidRDefault="001867CC" w:rsidP="001867CC">
      <w:pPr>
        <w:spacing w:after="0" w:line="240" w:lineRule="auto"/>
        <w:rPr>
          <w:b/>
          <w:szCs w:val="26"/>
        </w:rPr>
      </w:pPr>
      <w:r>
        <w:rPr>
          <w:b/>
          <w:szCs w:val="26"/>
        </w:rPr>
        <w:t>LIU, J.</w:t>
      </w:r>
    </w:p>
    <w:p w:rsidR="001867CC" w:rsidRDefault="001867CC" w:rsidP="001867CC">
      <w:pPr>
        <w:spacing w:after="0" w:line="240" w:lineRule="auto"/>
        <w:rPr>
          <w:b/>
          <w:szCs w:val="26"/>
        </w:rPr>
      </w:pPr>
      <w:r>
        <w:rPr>
          <w:b/>
          <w:szCs w:val="26"/>
        </w:rPr>
        <w:t>CUÉLLAR, J.</w:t>
      </w:r>
    </w:p>
    <w:p w:rsidR="001867CC" w:rsidRDefault="001867CC" w:rsidP="001867CC">
      <w:pPr>
        <w:spacing w:after="0" w:line="240" w:lineRule="auto"/>
        <w:rPr>
          <w:b/>
        </w:rPr>
      </w:pPr>
      <w:r>
        <w:rPr>
          <w:b/>
        </w:rPr>
        <w:t>KRUGER, J.</w:t>
      </w:r>
    </w:p>
    <w:p w:rsidR="001867CC" w:rsidRDefault="001867CC" w:rsidP="001867CC">
      <w:pPr>
        <w:spacing w:after="0" w:line="240" w:lineRule="auto"/>
        <w:rPr>
          <w:b/>
        </w:rPr>
      </w:pPr>
      <w:r>
        <w:rPr>
          <w:b/>
        </w:rPr>
        <w:t>GROBAN, J.</w:t>
      </w:r>
    </w:p>
    <w:p w:rsidR="00C77D77" w:rsidRDefault="00C77D77" w:rsidP="009917E6">
      <w:pPr>
        <w:tabs>
          <w:tab w:val="left" w:pos="1440"/>
          <w:tab w:val="left" w:pos="5040"/>
        </w:tabs>
        <w:rPr>
          <w:b/>
          <w:caps/>
        </w:rPr>
        <w:sectPr w:rsidR="00C77D77" w:rsidSect="003A5A38">
          <w:footerReference w:type="first" r:id="rId9"/>
          <w:pgSz w:w="12240" w:h="15840"/>
          <w:pgMar w:top="1800" w:right="2160" w:bottom="1440" w:left="2160" w:header="720" w:footer="720" w:gutter="0"/>
          <w:pgNumType w:start="1"/>
          <w:cols w:space="720"/>
          <w:titlePg/>
          <w:docGrid w:linePitch="367"/>
        </w:sectPr>
      </w:pPr>
    </w:p>
    <w:p w:rsidR="00C77D77" w:rsidRPr="00C77D77" w:rsidRDefault="00C77D77" w:rsidP="00C77D77">
      <w:pPr>
        <w:spacing w:after="0" w:line="240" w:lineRule="auto"/>
        <w:jc w:val="left"/>
        <w:rPr>
          <w:rFonts w:ascii="Times New Roman" w:hAnsi="Times New Roman"/>
          <w:i/>
          <w:sz w:val="20"/>
        </w:rPr>
      </w:pPr>
      <w:r w:rsidRPr="00C77D77">
        <w:rPr>
          <w:rFonts w:ascii="Times New Roman" w:hAnsi="Times New Roman"/>
          <w:i/>
          <w:sz w:val="20"/>
        </w:rPr>
        <w:lastRenderedPageBreak/>
        <w:t>See next page for addresses and telephone numbers for counsel who argued in Supreme Court.</w:t>
      </w:r>
    </w:p>
    <w:p w:rsidR="00C77D77" w:rsidRPr="00C77D77" w:rsidRDefault="00C77D77" w:rsidP="00C77D77">
      <w:pPr>
        <w:spacing w:after="0" w:line="240" w:lineRule="auto"/>
        <w:jc w:val="left"/>
        <w:rPr>
          <w:rFonts w:ascii="Times New Roman" w:hAnsi="Times New Roman"/>
          <w:i/>
          <w:sz w:val="20"/>
        </w:rPr>
      </w:pPr>
    </w:p>
    <w:p w:rsidR="00C77D77" w:rsidRPr="00C77D77" w:rsidRDefault="00C77D77" w:rsidP="00C77D77">
      <w:pPr>
        <w:spacing w:after="0" w:line="240" w:lineRule="auto"/>
        <w:jc w:val="left"/>
        <w:rPr>
          <w:rFonts w:ascii="Times New Roman" w:hAnsi="Times New Roman"/>
          <w:bCs/>
          <w:i/>
          <w:sz w:val="20"/>
        </w:rPr>
      </w:pPr>
      <w:r w:rsidRPr="00C77D77">
        <w:rPr>
          <w:rFonts w:ascii="Times New Roman" w:hAnsi="Times New Roman"/>
          <w:b/>
          <w:sz w:val="20"/>
        </w:rPr>
        <w:t>Name of Opinion</w:t>
      </w:r>
      <w:r w:rsidRPr="00C77D77">
        <w:rPr>
          <w:rFonts w:ascii="Times New Roman" w:hAnsi="Times New Roman"/>
          <w:sz w:val="20"/>
        </w:rPr>
        <w:t xml:space="preserve"> </w:t>
      </w:r>
      <w:proofErr w:type="spellStart"/>
      <w:r w:rsidRPr="00C77D77">
        <w:rPr>
          <w:rFonts w:ascii="Times New Roman" w:hAnsi="Times New Roman"/>
          <w:sz w:val="20"/>
        </w:rPr>
        <w:t>Plantier</w:t>
      </w:r>
      <w:proofErr w:type="spellEnd"/>
      <w:r w:rsidRPr="00C77D77">
        <w:rPr>
          <w:rFonts w:ascii="Times New Roman" w:hAnsi="Times New Roman"/>
          <w:sz w:val="20"/>
        </w:rPr>
        <w:t xml:space="preserve"> v. Ramona Municipal Water District</w:t>
      </w:r>
    </w:p>
    <w:p w:rsidR="00C77D77" w:rsidRPr="00C77D77" w:rsidRDefault="00C77D77" w:rsidP="00C77D77">
      <w:pPr>
        <w:spacing w:after="0" w:line="240" w:lineRule="auto"/>
        <w:jc w:val="left"/>
        <w:rPr>
          <w:rFonts w:ascii="Times New Roman" w:hAnsi="Times New Roman"/>
          <w:b/>
          <w:sz w:val="20"/>
        </w:rPr>
      </w:pPr>
      <w:r w:rsidRPr="00C77D77">
        <w:rPr>
          <w:rFonts w:ascii="Times New Roman" w:hAnsi="Times New Roman"/>
          <w:b/>
          <w:sz w:val="20"/>
        </w:rPr>
        <w:t>__________________________________________________________________________________</w:t>
      </w:r>
    </w:p>
    <w:p w:rsidR="00C77D77" w:rsidRPr="00C77D77" w:rsidRDefault="00C77D77" w:rsidP="00C77D77">
      <w:pPr>
        <w:spacing w:after="0" w:line="240" w:lineRule="auto"/>
        <w:jc w:val="left"/>
        <w:rPr>
          <w:rFonts w:ascii="Times New Roman" w:hAnsi="Times New Roman"/>
          <w:b/>
          <w:sz w:val="20"/>
        </w:rPr>
      </w:pPr>
    </w:p>
    <w:p w:rsidR="00C77D77" w:rsidRPr="00C77D77" w:rsidRDefault="00C77D77" w:rsidP="00C77D77">
      <w:pPr>
        <w:spacing w:after="0" w:line="240" w:lineRule="auto"/>
        <w:jc w:val="left"/>
        <w:rPr>
          <w:rFonts w:ascii="Times New Roman" w:hAnsi="Times New Roman"/>
          <w:bCs/>
          <w:sz w:val="20"/>
        </w:rPr>
      </w:pPr>
      <w:r w:rsidRPr="00C77D77">
        <w:rPr>
          <w:rFonts w:ascii="Times New Roman" w:hAnsi="Times New Roman"/>
          <w:b/>
          <w:sz w:val="20"/>
        </w:rPr>
        <w:t>Unpublished Opinion</w:t>
      </w: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b/>
          <w:sz w:val="20"/>
        </w:rPr>
        <w:t>Original Appeal</w:t>
      </w:r>
    </w:p>
    <w:p w:rsidR="00C77D77" w:rsidRPr="00C77D77" w:rsidRDefault="00C77D77" w:rsidP="00C77D77">
      <w:pPr>
        <w:spacing w:after="0" w:line="240" w:lineRule="auto"/>
        <w:jc w:val="left"/>
        <w:rPr>
          <w:rFonts w:ascii="Times New Roman" w:hAnsi="Times New Roman"/>
          <w:b/>
          <w:sz w:val="20"/>
        </w:rPr>
      </w:pPr>
      <w:r w:rsidRPr="00C77D77">
        <w:rPr>
          <w:rFonts w:ascii="Times New Roman" w:hAnsi="Times New Roman"/>
          <w:b/>
          <w:sz w:val="20"/>
        </w:rPr>
        <w:t>Original Proceeding</w:t>
      </w: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b/>
          <w:sz w:val="20"/>
        </w:rPr>
        <w:t>Review Granted</w:t>
      </w:r>
      <w:r w:rsidRPr="00C77D77">
        <w:rPr>
          <w:rFonts w:ascii="Times New Roman" w:hAnsi="Times New Roman"/>
          <w:sz w:val="20"/>
        </w:rPr>
        <w:t xml:space="preserve"> XXX 12 Cal.App.5th 856</w:t>
      </w:r>
    </w:p>
    <w:p w:rsidR="00C77D77" w:rsidRPr="00C77D77" w:rsidRDefault="00C77D77" w:rsidP="00C77D77">
      <w:pPr>
        <w:spacing w:after="0" w:line="240" w:lineRule="auto"/>
        <w:jc w:val="left"/>
        <w:rPr>
          <w:rFonts w:ascii="Times New Roman" w:hAnsi="Times New Roman"/>
          <w:b/>
          <w:sz w:val="20"/>
        </w:rPr>
      </w:pPr>
      <w:r w:rsidRPr="00C77D77">
        <w:rPr>
          <w:rFonts w:ascii="Times New Roman" w:hAnsi="Times New Roman"/>
          <w:b/>
          <w:sz w:val="20"/>
        </w:rPr>
        <w:t>Rehearing Granted</w:t>
      </w:r>
    </w:p>
    <w:p w:rsidR="00C77D77" w:rsidRPr="00C77D77" w:rsidRDefault="00C77D77" w:rsidP="00C77D77">
      <w:pPr>
        <w:spacing w:after="0" w:line="240" w:lineRule="auto"/>
        <w:jc w:val="left"/>
        <w:rPr>
          <w:rFonts w:ascii="Times New Roman" w:hAnsi="Times New Roman"/>
          <w:b/>
          <w:sz w:val="20"/>
        </w:rPr>
      </w:pPr>
    </w:p>
    <w:p w:rsidR="00C77D77" w:rsidRPr="00C77D77" w:rsidRDefault="00C77D77" w:rsidP="00C77D77">
      <w:pPr>
        <w:spacing w:after="0" w:line="240" w:lineRule="auto"/>
        <w:jc w:val="left"/>
        <w:rPr>
          <w:rFonts w:ascii="Times New Roman" w:hAnsi="Times New Roman"/>
          <w:b/>
          <w:sz w:val="20"/>
        </w:rPr>
      </w:pPr>
      <w:r w:rsidRPr="00C77D77">
        <w:rPr>
          <w:rFonts w:ascii="Times New Roman" w:hAnsi="Times New Roman"/>
          <w:b/>
          <w:sz w:val="20"/>
        </w:rPr>
        <w:t>__________________________________________________________________________________</w:t>
      </w:r>
    </w:p>
    <w:p w:rsidR="00C77D77" w:rsidRPr="00C77D77" w:rsidRDefault="00C77D77" w:rsidP="00C77D77">
      <w:pPr>
        <w:spacing w:after="0" w:line="240" w:lineRule="auto"/>
        <w:jc w:val="left"/>
        <w:rPr>
          <w:rFonts w:ascii="Times New Roman" w:hAnsi="Times New Roman"/>
          <w:b/>
          <w:sz w:val="20"/>
        </w:rPr>
      </w:pPr>
    </w:p>
    <w:p w:rsidR="00C77D77" w:rsidRPr="00C77D77" w:rsidRDefault="00C77D77" w:rsidP="00C77D77">
      <w:pPr>
        <w:spacing w:after="0" w:line="240" w:lineRule="auto"/>
        <w:jc w:val="left"/>
        <w:rPr>
          <w:rFonts w:ascii="Times New Roman" w:hAnsi="Times New Roman"/>
          <w:bCs/>
          <w:sz w:val="20"/>
        </w:rPr>
      </w:pPr>
      <w:r w:rsidRPr="00C77D77">
        <w:rPr>
          <w:rFonts w:ascii="Times New Roman" w:hAnsi="Times New Roman"/>
          <w:b/>
          <w:sz w:val="20"/>
        </w:rPr>
        <w:t>Opinion No.</w:t>
      </w:r>
      <w:r w:rsidRPr="00C77D77">
        <w:rPr>
          <w:rFonts w:ascii="Times New Roman" w:hAnsi="Times New Roman"/>
          <w:sz w:val="20"/>
        </w:rPr>
        <w:t xml:space="preserve"> S243360</w:t>
      </w:r>
    </w:p>
    <w:p w:rsidR="00C77D77" w:rsidRPr="00C77D77" w:rsidRDefault="00C77D77" w:rsidP="00C77D77">
      <w:pPr>
        <w:spacing w:after="0" w:line="240" w:lineRule="auto"/>
        <w:jc w:val="left"/>
        <w:rPr>
          <w:rFonts w:ascii="Times New Roman" w:hAnsi="Times New Roman"/>
          <w:bCs/>
          <w:sz w:val="20"/>
        </w:rPr>
      </w:pPr>
      <w:r w:rsidRPr="00C77D77">
        <w:rPr>
          <w:rFonts w:ascii="Times New Roman" w:hAnsi="Times New Roman"/>
          <w:b/>
          <w:sz w:val="20"/>
        </w:rPr>
        <w:t>Date Filed:</w:t>
      </w:r>
      <w:r w:rsidRPr="00C77D77">
        <w:rPr>
          <w:rFonts w:ascii="Times New Roman" w:hAnsi="Times New Roman"/>
          <w:sz w:val="20"/>
        </w:rPr>
        <w:t xml:space="preserve"> May 30, 2019</w:t>
      </w:r>
    </w:p>
    <w:p w:rsidR="00C77D77" w:rsidRPr="00C77D77" w:rsidRDefault="00C77D77" w:rsidP="00C77D77">
      <w:pPr>
        <w:spacing w:after="0" w:line="240" w:lineRule="auto"/>
        <w:jc w:val="left"/>
        <w:rPr>
          <w:rFonts w:ascii="Times New Roman" w:hAnsi="Times New Roman"/>
          <w:b/>
          <w:sz w:val="20"/>
        </w:rPr>
      </w:pPr>
      <w:r w:rsidRPr="00C77D77">
        <w:rPr>
          <w:rFonts w:ascii="Times New Roman" w:hAnsi="Times New Roman"/>
          <w:b/>
          <w:sz w:val="20"/>
        </w:rPr>
        <w:t>__________________________________________________________________________________</w:t>
      </w:r>
    </w:p>
    <w:p w:rsidR="00C77D77" w:rsidRPr="00C77D77" w:rsidRDefault="00C77D77" w:rsidP="00C77D77">
      <w:pPr>
        <w:spacing w:after="0" w:line="240" w:lineRule="auto"/>
        <w:jc w:val="left"/>
        <w:rPr>
          <w:rFonts w:ascii="Times New Roman" w:hAnsi="Times New Roman"/>
          <w:b/>
          <w:sz w:val="20"/>
        </w:rPr>
      </w:pPr>
    </w:p>
    <w:p w:rsidR="00C77D77" w:rsidRPr="00C77D77" w:rsidRDefault="00C77D77" w:rsidP="00C77D77">
      <w:pPr>
        <w:spacing w:after="0" w:line="240" w:lineRule="auto"/>
        <w:jc w:val="left"/>
        <w:rPr>
          <w:rFonts w:ascii="Times New Roman" w:hAnsi="Times New Roman"/>
          <w:bCs/>
          <w:sz w:val="20"/>
        </w:rPr>
      </w:pPr>
      <w:r w:rsidRPr="00C77D77">
        <w:rPr>
          <w:rFonts w:ascii="Times New Roman" w:hAnsi="Times New Roman"/>
          <w:b/>
          <w:sz w:val="20"/>
        </w:rPr>
        <w:t>Court:</w:t>
      </w:r>
      <w:r w:rsidRPr="00C77D77">
        <w:rPr>
          <w:rFonts w:ascii="Times New Roman" w:hAnsi="Times New Roman"/>
          <w:sz w:val="20"/>
        </w:rPr>
        <w:t xml:space="preserve"> Superior</w:t>
      </w:r>
    </w:p>
    <w:p w:rsidR="00C77D77" w:rsidRPr="00C77D77" w:rsidRDefault="00C77D77" w:rsidP="00C77D77">
      <w:pPr>
        <w:spacing w:after="0" w:line="240" w:lineRule="auto"/>
        <w:jc w:val="left"/>
        <w:rPr>
          <w:rFonts w:ascii="Times New Roman" w:hAnsi="Times New Roman"/>
          <w:bCs/>
          <w:sz w:val="20"/>
        </w:rPr>
      </w:pPr>
      <w:r w:rsidRPr="00C77D77">
        <w:rPr>
          <w:rFonts w:ascii="Times New Roman" w:hAnsi="Times New Roman"/>
          <w:b/>
          <w:sz w:val="20"/>
        </w:rPr>
        <w:t>County:</w:t>
      </w:r>
      <w:r w:rsidRPr="00C77D77">
        <w:rPr>
          <w:rFonts w:ascii="Times New Roman" w:hAnsi="Times New Roman"/>
          <w:sz w:val="20"/>
        </w:rPr>
        <w:t xml:space="preserve"> San Diego</w:t>
      </w:r>
    </w:p>
    <w:p w:rsidR="00C77D77" w:rsidRPr="00C77D77" w:rsidRDefault="00C77D77" w:rsidP="00C77D77">
      <w:pPr>
        <w:spacing w:after="0" w:line="240" w:lineRule="auto"/>
        <w:ind w:left="720" w:hanging="720"/>
        <w:jc w:val="left"/>
        <w:rPr>
          <w:rFonts w:ascii="Times New Roman" w:hAnsi="Times New Roman"/>
          <w:b/>
          <w:sz w:val="20"/>
        </w:rPr>
      </w:pPr>
      <w:r w:rsidRPr="00C77D77">
        <w:rPr>
          <w:rFonts w:ascii="Times New Roman" w:hAnsi="Times New Roman"/>
          <w:b/>
          <w:sz w:val="20"/>
        </w:rPr>
        <w:t>Judge:</w:t>
      </w:r>
      <w:r w:rsidRPr="00C77D77">
        <w:rPr>
          <w:rFonts w:ascii="Times New Roman" w:hAnsi="Times New Roman"/>
          <w:sz w:val="20"/>
        </w:rPr>
        <w:t xml:space="preserve"> Timothy B. Taylor</w:t>
      </w:r>
    </w:p>
    <w:p w:rsidR="00C77D77" w:rsidRPr="00C77D77" w:rsidRDefault="00C77D77" w:rsidP="00C77D77">
      <w:pPr>
        <w:spacing w:after="0" w:line="240" w:lineRule="auto"/>
        <w:jc w:val="left"/>
        <w:rPr>
          <w:rFonts w:ascii="Times New Roman" w:hAnsi="Times New Roman"/>
          <w:b/>
          <w:sz w:val="20"/>
        </w:rPr>
      </w:pPr>
      <w:r w:rsidRPr="00C77D77">
        <w:rPr>
          <w:rFonts w:ascii="Times New Roman" w:hAnsi="Times New Roman"/>
          <w:b/>
          <w:sz w:val="20"/>
        </w:rPr>
        <w:t>__________________________________________________________________________________</w:t>
      </w:r>
    </w:p>
    <w:p w:rsidR="00C77D77" w:rsidRPr="00C77D77" w:rsidRDefault="00C77D77" w:rsidP="00C77D77">
      <w:pPr>
        <w:spacing w:after="0" w:line="240" w:lineRule="auto"/>
        <w:jc w:val="left"/>
        <w:rPr>
          <w:rFonts w:ascii="Times New Roman" w:hAnsi="Times New Roman"/>
          <w:b/>
          <w:sz w:val="20"/>
        </w:rPr>
      </w:pPr>
    </w:p>
    <w:p w:rsidR="00C77D77" w:rsidRPr="00C77D77" w:rsidRDefault="00C77D77" w:rsidP="00C77D77">
      <w:pPr>
        <w:spacing w:after="0" w:line="240" w:lineRule="auto"/>
        <w:jc w:val="left"/>
        <w:rPr>
          <w:rFonts w:ascii="Times New Roman" w:hAnsi="Times New Roman"/>
          <w:b/>
          <w:sz w:val="20"/>
        </w:rPr>
      </w:pPr>
      <w:r w:rsidRPr="00C77D77">
        <w:rPr>
          <w:rFonts w:ascii="Times New Roman" w:hAnsi="Times New Roman"/>
          <w:b/>
          <w:sz w:val="20"/>
        </w:rPr>
        <w:t>Counsel:</w:t>
      </w:r>
    </w:p>
    <w:p w:rsidR="00C77D77" w:rsidRPr="00C77D77" w:rsidRDefault="00C77D77" w:rsidP="00C77D77">
      <w:pPr>
        <w:spacing w:after="0" w:line="240" w:lineRule="auto"/>
        <w:jc w:val="left"/>
        <w:rPr>
          <w:rFonts w:ascii="Times New Roman" w:hAnsi="Times New Roman"/>
          <w:b/>
          <w:sz w:val="20"/>
        </w:rPr>
      </w:pP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 xml:space="preserve">Patterson Law Group, James R. Patterson, Allison H. Goddard, Catherine S. Wicker; Carlson Lynch Sweet </w:t>
      </w:r>
      <w:proofErr w:type="spellStart"/>
      <w:r w:rsidRPr="00C77D77">
        <w:rPr>
          <w:rFonts w:ascii="Times New Roman" w:hAnsi="Times New Roman"/>
          <w:sz w:val="20"/>
        </w:rPr>
        <w:t>Kilpela</w:t>
      </w:r>
      <w:proofErr w:type="spellEnd"/>
      <w:r w:rsidRPr="00C77D77">
        <w:rPr>
          <w:rFonts w:ascii="Times New Roman" w:hAnsi="Times New Roman"/>
          <w:sz w:val="20"/>
        </w:rPr>
        <w:t xml:space="preserve"> &amp; Carpenter and Todd D. Carpenter for Plaintiffs and Appellants.</w:t>
      </w:r>
    </w:p>
    <w:p w:rsidR="00C77D77" w:rsidRPr="00C77D77" w:rsidRDefault="00C77D77" w:rsidP="00C77D77">
      <w:pPr>
        <w:spacing w:after="0" w:line="240" w:lineRule="auto"/>
        <w:jc w:val="left"/>
        <w:rPr>
          <w:rFonts w:ascii="Times New Roman" w:hAnsi="Times New Roman"/>
          <w:b/>
          <w:sz w:val="20"/>
        </w:rPr>
      </w:pP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 xml:space="preserve">Trevor A. Grimm, Jonathan M. </w:t>
      </w:r>
      <w:proofErr w:type="spellStart"/>
      <w:r w:rsidRPr="00C77D77">
        <w:rPr>
          <w:rFonts w:ascii="Times New Roman" w:hAnsi="Times New Roman"/>
          <w:sz w:val="20"/>
        </w:rPr>
        <w:t>Coupal</w:t>
      </w:r>
      <w:proofErr w:type="spellEnd"/>
      <w:r w:rsidRPr="00C77D77">
        <w:rPr>
          <w:rFonts w:ascii="Times New Roman" w:hAnsi="Times New Roman"/>
          <w:sz w:val="20"/>
        </w:rPr>
        <w:t xml:space="preserve">, Timothy A. </w:t>
      </w:r>
      <w:proofErr w:type="spellStart"/>
      <w:r w:rsidRPr="00C77D77">
        <w:rPr>
          <w:rFonts w:ascii="Times New Roman" w:hAnsi="Times New Roman"/>
          <w:sz w:val="20"/>
        </w:rPr>
        <w:t>Bittle</w:t>
      </w:r>
      <w:proofErr w:type="spellEnd"/>
      <w:r w:rsidRPr="00C77D77">
        <w:rPr>
          <w:rFonts w:ascii="Times New Roman" w:hAnsi="Times New Roman"/>
          <w:sz w:val="20"/>
        </w:rPr>
        <w:t xml:space="preserve"> and Laura E. Murray for Howard Jarvis Taxpayers Association as Amicus Curiae on behalf of Plaintiffs and Appellants.</w:t>
      </w:r>
    </w:p>
    <w:p w:rsidR="00C77D77" w:rsidRPr="00C77D77" w:rsidRDefault="00C77D77" w:rsidP="00C77D77">
      <w:pPr>
        <w:spacing w:after="0" w:line="240" w:lineRule="auto"/>
        <w:jc w:val="left"/>
        <w:rPr>
          <w:rFonts w:ascii="Times New Roman" w:hAnsi="Times New Roman"/>
          <w:sz w:val="20"/>
        </w:rPr>
      </w:pP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 xml:space="preserve">Procopio, Cory, Hargreaves &amp; </w:t>
      </w:r>
      <w:proofErr w:type="spellStart"/>
      <w:r w:rsidRPr="00C77D77">
        <w:rPr>
          <w:rFonts w:ascii="Times New Roman" w:hAnsi="Times New Roman"/>
          <w:sz w:val="20"/>
        </w:rPr>
        <w:t>Savitch</w:t>
      </w:r>
      <w:proofErr w:type="spellEnd"/>
      <w:r w:rsidRPr="00C77D77">
        <w:rPr>
          <w:rFonts w:ascii="Times New Roman" w:hAnsi="Times New Roman"/>
          <w:sz w:val="20"/>
        </w:rPr>
        <w:t>, Kendra J. Hall, Gregory V. Moser, John D. Alessio and Adriana R. Ochoa for Defendant and Respondent.</w:t>
      </w:r>
    </w:p>
    <w:p w:rsidR="00C77D77" w:rsidRPr="00C77D77" w:rsidRDefault="00C77D77" w:rsidP="00C77D77">
      <w:pPr>
        <w:spacing w:after="0" w:line="240" w:lineRule="auto"/>
        <w:jc w:val="left"/>
        <w:rPr>
          <w:rFonts w:ascii="Times New Roman" w:hAnsi="Times New Roman"/>
          <w:sz w:val="20"/>
        </w:rPr>
      </w:pP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 xml:space="preserve">Daniel S. </w:t>
      </w:r>
      <w:proofErr w:type="spellStart"/>
      <w:r w:rsidRPr="00C77D77">
        <w:rPr>
          <w:rFonts w:ascii="Times New Roman" w:hAnsi="Times New Roman"/>
          <w:sz w:val="20"/>
        </w:rPr>
        <w:t>Hentschke</w:t>
      </w:r>
      <w:proofErr w:type="spellEnd"/>
      <w:r w:rsidRPr="00C77D77">
        <w:rPr>
          <w:rFonts w:ascii="Times New Roman" w:hAnsi="Times New Roman"/>
          <w:sz w:val="20"/>
        </w:rPr>
        <w:t xml:space="preserve">; </w:t>
      </w:r>
      <w:proofErr w:type="spellStart"/>
      <w:r w:rsidRPr="00C77D77">
        <w:rPr>
          <w:rFonts w:ascii="Times New Roman" w:hAnsi="Times New Roman"/>
          <w:sz w:val="20"/>
        </w:rPr>
        <w:t>Colantuono</w:t>
      </w:r>
      <w:proofErr w:type="spellEnd"/>
      <w:r w:rsidRPr="00C77D77">
        <w:rPr>
          <w:rFonts w:ascii="Times New Roman" w:hAnsi="Times New Roman"/>
          <w:sz w:val="20"/>
        </w:rPr>
        <w:t xml:space="preserve">, Highsmith &amp; Whatley, Michael G. </w:t>
      </w:r>
      <w:proofErr w:type="spellStart"/>
      <w:r w:rsidRPr="00C77D77">
        <w:rPr>
          <w:rFonts w:ascii="Times New Roman" w:hAnsi="Times New Roman"/>
          <w:sz w:val="20"/>
        </w:rPr>
        <w:t>Colantuono</w:t>
      </w:r>
      <w:proofErr w:type="spellEnd"/>
      <w:r w:rsidRPr="00C77D77">
        <w:rPr>
          <w:rFonts w:ascii="Times New Roman" w:hAnsi="Times New Roman"/>
          <w:sz w:val="20"/>
        </w:rPr>
        <w:t xml:space="preserve"> and Eduardo Jansen for League of California Cities, California State Association of Counties, California Association of Sanitation Agencies, California Special Districts Association and Association of California Water Agencies as Amici Curiae on behalf of Defendant and Respondent.</w:t>
      </w:r>
    </w:p>
    <w:p w:rsidR="00C77D77" w:rsidRPr="00C77D77" w:rsidRDefault="00C77D77" w:rsidP="00C77D77">
      <w:pPr>
        <w:spacing w:after="0" w:line="240" w:lineRule="auto"/>
        <w:jc w:val="left"/>
        <w:rPr>
          <w:rFonts w:ascii="Times New Roman" w:hAnsi="Times New Roman"/>
          <w:b/>
          <w:sz w:val="20"/>
        </w:rPr>
      </w:pP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 xml:space="preserve">Mary R. Casey; Bertrand, Fox, Elliot, Osman &amp; </w:t>
      </w:r>
      <w:proofErr w:type="gramStart"/>
      <w:r w:rsidRPr="00C77D77">
        <w:rPr>
          <w:rFonts w:ascii="Times New Roman" w:hAnsi="Times New Roman"/>
          <w:sz w:val="20"/>
        </w:rPr>
        <w:t>Wenzel</w:t>
      </w:r>
      <w:proofErr w:type="gramEnd"/>
      <w:r w:rsidRPr="00C77D77">
        <w:rPr>
          <w:rFonts w:ascii="Times New Roman" w:hAnsi="Times New Roman"/>
          <w:sz w:val="20"/>
        </w:rPr>
        <w:t xml:space="preserve"> and Thomas F. Bertrand for Main Municipal Water District as Amicus Curiae on behalf of Defendant and Respondent.</w:t>
      </w:r>
    </w:p>
    <w:p w:rsidR="00C77D77" w:rsidRPr="00C77D77" w:rsidRDefault="00C77D77" w:rsidP="00C77D77">
      <w:pPr>
        <w:spacing w:after="0" w:line="240" w:lineRule="auto"/>
        <w:jc w:val="left"/>
        <w:rPr>
          <w:rFonts w:ascii="Times New Roman" w:hAnsi="Times New Roman"/>
          <w:sz w:val="20"/>
        </w:rPr>
      </w:pPr>
    </w:p>
    <w:p w:rsidR="00C77D77" w:rsidRPr="00C77D77" w:rsidRDefault="00C77D77" w:rsidP="00C77D77">
      <w:pPr>
        <w:spacing w:after="0" w:line="240" w:lineRule="auto"/>
        <w:jc w:val="left"/>
        <w:rPr>
          <w:rFonts w:ascii="Times New Roman" w:hAnsi="Times New Roman"/>
          <w:b/>
          <w:sz w:val="20"/>
        </w:rPr>
      </w:pPr>
    </w:p>
    <w:p w:rsidR="00C77D77" w:rsidRPr="00C77D77" w:rsidRDefault="00C77D77" w:rsidP="00C77D77">
      <w:pPr>
        <w:spacing w:after="0" w:line="240" w:lineRule="auto"/>
        <w:jc w:val="left"/>
        <w:rPr>
          <w:rFonts w:ascii="Times New Roman" w:hAnsi="Times New Roman"/>
          <w:b/>
          <w:sz w:val="20"/>
        </w:rPr>
      </w:pPr>
      <w:r w:rsidRPr="00C77D77">
        <w:rPr>
          <w:rFonts w:ascii="Times New Roman" w:hAnsi="Times New Roman"/>
          <w:b/>
          <w:sz w:val="20"/>
        </w:rPr>
        <w:br w:type="page"/>
      </w:r>
    </w:p>
    <w:p w:rsidR="00C77D77" w:rsidRPr="00C77D77" w:rsidRDefault="00C77D77" w:rsidP="00C77D77">
      <w:pPr>
        <w:spacing w:after="0" w:line="240" w:lineRule="auto"/>
        <w:jc w:val="left"/>
        <w:rPr>
          <w:rFonts w:ascii="Times New Roman" w:hAnsi="Times New Roman"/>
          <w:b/>
          <w:sz w:val="20"/>
        </w:rPr>
      </w:pPr>
    </w:p>
    <w:p w:rsidR="00C77D77" w:rsidRPr="00C77D77" w:rsidRDefault="00C77D77" w:rsidP="00C77D77">
      <w:pPr>
        <w:spacing w:after="0" w:line="240" w:lineRule="auto"/>
        <w:jc w:val="left"/>
        <w:rPr>
          <w:rFonts w:ascii="Times New Roman" w:hAnsi="Times New Roman"/>
          <w:b/>
          <w:sz w:val="20"/>
        </w:rPr>
      </w:pPr>
    </w:p>
    <w:p w:rsidR="00C77D77" w:rsidRPr="00C77D77" w:rsidRDefault="00C77D77" w:rsidP="00C77D77">
      <w:pPr>
        <w:spacing w:after="0" w:line="240" w:lineRule="auto"/>
        <w:jc w:val="left"/>
        <w:rPr>
          <w:rFonts w:ascii="Times New Roman" w:hAnsi="Times New Roman"/>
          <w:b/>
          <w:sz w:val="20"/>
        </w:rPr>
      </w:pPr>
    </w:p>
    <w:p w:rsidR="00C77D77" w:rsidRPr="00C77D77" w:rsidRDefault="00C77D77" w:rsidP="00C77D77">
      <w:pPr>
        <w:spacing w:after="0" w:line="240" w:lineRule="auto"/>
        <w:jc w:val="left"/>
        <w:rPr>
          <w:rFonts w:ascii="Times New Roman" w:hAnsi="Times New Roman"/>
          <w:b/>
          <w:sz w:val="20"/>
        </w:rPr>
      </w:pPr>
      <w:r w:rsidRPr="00C77D77">
        <w:rPr>
          <w:rFonts w:ascii="Times New Roman" w:hAnsi="Times New Roman"/>
          <w:b/>
          <w:sz w:val="20"/>
        </w:rPr>
        <w:t>Counsel who argued in Supreme Court (not intended for publication with opinion):</w:t>
      </w:r>
    </w:p>
    <w:p w:rsidR="00C77D77" w:rsidRPr="00C77D77" w:rsidRDefault="00C77D77" w:rsidP="00C77D77">
      <w:pPr>
        <w:spacing w:after="0" w:line="240" w:lineRule="auto"/>
        <w:jc w:val="left"/>
        <w:rPr>
          <w:rFonts w:ascii="Times New Roman" w:hAnsi="Times New Roman"/>
          <w:b/>
          <w:sz w:val="20"/>
        </w:rPr>
      </w:pP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Allison H. Goddard</w:t>
      </w: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Patterson Law Group</w:t>
      </w: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1350 Columbia Street, Suite 603</w:t>
      </w: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San Diego, CA  92101</w:t>
      </w: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(619) 756-6990</w:t>
      </w:r>
    </w:p>
    <w:p w:rsidR="00C77D77" w:rsidRPr="00C77D77" w:rsidRDefault="00C77D77" w:rsidP="00C77D77">
      <w:pPr>
        <w:spacing w:after="0" w:line="240" w:lineRule="auto"/>
        <w:jc w:val="left"/>
        <w:rPr>
          <w:rFonts w:ascii="Times New Roman" w:hAnsi="Times New Roman"/>
          <w:sz w:val="20"/>
        </w:rPr>
      </w:pP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Laura E. Murray</w:t>
      </w: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Howard Jarvis Taxpayers Foundation</w:t>
      </w: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921 Eleventh Street, Suite 1201</w:t>
      </w: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Sacramento, CA  95814</w:t>
      </w: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(916) 444-9950</w:t>
      </w:r>
    </w:p>
    <w:p w:rsidR="00C77D77" w:rsidRPr="00C77D77" w:rsidRDefault="00C77D77" w:rsidP="00C77D77">
      <w:pPr>
        <w:spacing w:after="0" w:line="240" w:lineRule="auto"/>
        <w:jc w:val="left"/>
        <w:rPr>
          <w:rFonts w:ascii="Times New Roman" w:hAnsi="Times New Roman"/>
          <w:sz w:val="20"/>
        </w:rPr>
      </w:pP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Kendra J. Hall</w:t>
      </w: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 xml:space="preserve">Procopio, Cory, Hargreaves &amp; </w:t>
      </w:r>
      <w:proofErr w:type="spellStart"/>
      <w:r w:rsidRPr="00C77D77">
        <w:rPr>
          <w:rFonts w:ascii="Times New Roman" w:hAnsi="Times New Roman"/>
          <w:sz w:val="20"/>
        </w:rPr>
        <w:t>Savitch</w:t>
      </w:r>
      <w:proofErr w:type="spellEnd"/>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525 B Street, Suite 2200</w:t>
      </w: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San Diego, CA  92101</w:t>
      </w:r>
    </w:p>
    <w:p w:rsidR="00C77D77" w:rsidRPr="00C77D77" w:rsidRDefault="00C77D77" w:rsidP="00C77D77">
      <w:pPr>
        <w:spacing w:after="0" w:line="240" w:lineRule="auto"/>
        <w:jc w:val="left"/>
        <w:rPr>
          <w:rFonts w:ascii="Times New Roman" w:hAnsi="Times New Roman"/>
          <w:sz w:val="20"/>
        </w:rPr>
      </w:pPr>
      <w:r w:rsidRPr="00C77D77">
        <w:rPr>
          <w:rFonts w:ascii="Times New Roman" w:hAnsi="Times New Roman"/>
          <w:sz w:val="20"/>
        </w:rPr>
        <w:t>(619) 238-1900</w:t>
      </w:r>
    </w:p>
    <w:p w:rsidR="00C77D77" w:rsidRPr="00C77D77" w:rsidRDefault="00C77D77" w:rsidP="00C77D77">
      <w:pPr>
        <w:spacing w:after="0" w:line="240" w:lineRule="auto"/>
        <w:jc w:val="left"/>
        <w:rPr>
          <w:rFonts w:ascii="Times New Roman" w:hAnsi="Times New Roman"/>
          <w:b/>
          <w:sz w:val="20"/>
        </w:rPr>
      </w:pPr>
    </w:p>
    <w:p w:rsidR="00F077F9" w:rsidRPr="009917E6" w:rsidRDefault="00F077F9" w:rsidP="009917E6">
      <w:pPr>
        <w:tabs>
          <w:tab w:val="left" w:pos="1440"/>
          <w:tab w:val="left" w:pos="5040"/>
        </w:tabs>
        <w:rPr>
          <w:b/>
          <w:caps/>
        </w:rPr>
      </w:pPr>
    </w:p>
    <w:sectPr w:rsidR="00F077F9" w:rsidRPr="009917E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ED5" w:rsidRDefault="003B2ED5">
      <w:r>
        <w:separator/>
      </w:r>
    </w:p>
  </w:endnote>
  <w:endnote w:type="continuationSeparator" w:id="0">
    <w:p w:rsidR="003B2ED5" w:rsidRDefault="003B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ED5" w:rsidRDefault="003B2ED5">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ED5" w:rsidRDefault="003B2ED5">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60A" w:rsidRDefault="009B19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60A" w:rsidRDefault="009B19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60A" w:rsidRDefault="009B1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ED5" w:rsidRDefault="003B2ED5">
      <w:r>
        <w:separator/>
      </w:r>
    </w:p>
  </w:footnote>
  <w:footnote w:type="continuationSeparator" w:id="0">
    <w:p w:rsidR="003B2ED5" w:rsidRDefault="003B2ED5">
      <w:pPr>
        <w:rPr>
          <w:sz w:val="22"/>
        </w:rPr>
      </w:pPr>
      <w:r>
        <w:continuationSeparator/>
      </w:r>
    </w:p>
  </w:footnote>
  <w:footnote w:type="continuationNotice" w:id="1">
    <w:p w:rsidR="003B2ED5" w:rsidRDefault="003B2ED5" w:rsidP="00F44CEB">
      <w:pPr>
        <w:rPr>
          <w:i/>
          <w:sz w:val="20"/>
        </w:rPr>
      </w:pPr>
    </w:p>
  </w:footnote>
  <w:footnote w:id="2">
    <w:p w:rsidR="003B2ED5" w:rsidRDefault="003B2ED5" w:rsidP="009917E6">
      <w:pPr>
        <w:pStyle w:val="FootnoteText"/>
      </w:pPr>
      <w:r>
        <w:rPr>
          <w:rStyle w:val="FootnoteReference"/>
        </w:rPr>
        <w:footnoteRef/>
      </w:r>
      <w:r>
        <w:t xml:space="preserve"> Unspecified references to </w:t>
      </w:r>
      <w:r w:rsidR="00DD2757">
        <w:t>“</w:t>
      </w:r>
      <w:r>
        <w:t>article</w:t>
      </w:r>
      <w:r w:rsidR="00DD2757">
        <w:t>”</w:t>
      </w:r>
      <w:r>
        <w:t xml:space="preserve"> refer to articles of the California Constitution.  </w:t>
      </w:r>
    </w:p>
  </w:footnote>
  <w:footnote w:id="3">
    <w:p w:rsidR="003B2ED5" w:rsidRPr="00B1773D" w:rsidRDefault="003B2ED5" w:rsidP="009917E6">
      <w:pPr>
        <w:pStyle w:val="FootnoteText"/>
      </w:pPr>
      <w:r>
        <w:rPr>
          <w:rStyle w:val="FootnoteReference"/>
        </w:rPr>
        <w:footnoteRef/>
      </w:r>
      <w:r>
        <w:t xml:space="preserve"> The terms “fee” and “charge” as used in Proposition</w:t>
      </w:r>
      <w:r w:rsidR="000474AC">
        <w:t> </w:t>
      </w:r>
      <w:r>
        <w:t>218 are synonymous</w:t>
      </w:r>
      <w:r w:rsidR="00DD2757">
        <w:t xml:space="preserve"> </w:t>
      </w:r>
      <w:r>
        <w:t>(</w:t>
      </w:r>
      <w:r>
        <w:rPr>
          <w:i/>
        </w:rPr>
        <w:t xml:space="preserve">Bighorn-Desert View Water Agency v. </w:t>
      </w:r>
      <w:proofErr w:type="spellStart"/>
      <w:r>
        <w:rPr>
          <w:i/>
        </w:rPr>
        <w:t>Verjil</w:t>
      </w:r>
      <w:proofErr w:type="spellEnd"/>
      <w:r>
        <w:rPr>
          <w:i/>
        </w:rPr>
        <w:t xml:space="preserve"> </w:t>
      </w:r>
      <w:r>
        <w:t>(2006) 39 Cal.4th 205, 214, fn. 4)</w:t>
      </w:r>
      <w:r w:rsidR="00DD2757">
        <w:t xml:space="preserve"> and are used</w:t>
      </w:r>
      <w:r>
        <w:t xml:space="preserve"> interchangeably throughout this opinion.</w:t>
      </w:r>
    </w:p>
  </w:footnote>
  <w:footnote w:id="4">
    <w:p w:rsidR="003B2ED5" w:rsidRDefault="003B2ED5" w:rsidP="009917E6">
      <w:pPr>
        <w:pStyle w:val="FootnoteText"/>
      </w:pPr>
      <w:r>
        <w:rPr>
          <w:rStyle w:val="FootnoteReference"/>
        </w:rPr>
        <w:footnoteRef/>
      </w:r>
      <w:r>
        <w:t xml:space="preserve"> A different rate is used for each of the District’s two treatment plants.</w:t>
      </w:r>
    </w:p>
  </w:footnote>
  <w:footnote w:id="5">
    <w:p w:rsidR="003B2ED5" w:rsidRDefault="003B2ED5" w:rsidP="009917E6">
      <w:pPr>
        <w:pStyle w:val="FootnoteText"/>
      </w:pPr>
      <w:r w:rsidRPr="00D22058">
        <w:rPr>
          <w:rStyle w:val="FootnoteReference"/>
        </w:rPr>
        <w:footnoteRef/>
      </w:r>
      <w:r w:rsidRPr="00D22058">
        <w:t xml:space="preserve"> Ownership of the property is currently held by a family trust.</w:t>
      </w:r>
    </w:p>
  </w:footnote>
  <w:footnote w:id="6">
    <w:p w:rsidR="0025123E" w:rsidRDefault="0025123E" w:rsidP="0025123E">
      <w:pPr>
        <w:pStyle w:val="FootnoteText"/>
      </w:pPr>
      <w:r>
        <w:rPr>
          <w:rStyle w:val="FootnoteReference"/>
        </w:rPr>
        <w:footnoteRef/>
      </w:r>
      <w:r>
        <w:t xml:space="preserve"> The other property owners are Progressive Properties Incorporated, which owns an office building, and Premium Development, LLC, which owns two different commercial entities.</w:t>
      </w:r>
    </w:p>
  </w:footnote>
  <w:footnote w:id="7">
    <w:p w:rsidR="003B2ED5" w:rsidRDefault="003B2ED5" w:rsidP="009917E6">
      <w:pPr>
        <w:pStyle w:val="FootnoteText"/>
      </w:pPr>
      <w:r>
        <w:rPr>
          <w:rStyle w:val="FootnoteReference"/>
        </w:rPr>
        <w:footnoteRef/>
      </w:r>
      <w:r>
        <w:t xml:space="preserve"> </w:t>
      </w:r>
      <w:r w:rsidRPr="00D22058">
        <w:t>As used in this opinion, “participation” in a Proposition</w:t>
      </w:r>
      <w:r>
        <w:t> </w:t>
      </w:r>
      <w:r w:rsidRPr="00D22058">
        <w:t>218 hearing refers to either submitting a written protest or speaking at the hearing.  Even under the District’s view that a Proposition</w:t>
      </w:r>
      <w:r>
        <w:t> </w:t>
      </w:r>
      <w:r w:rsidRPr="00D22058">
        <w:t xml:space="preserve">218 hearing is an administrative remedy that must be exhausted, </w:t>
      </w:r>
      <w:r w:rsidR="00741BC8">
        <w:t xml:space="preserve">neither </w:t>
      </w:r>
      <w:r w:rsidRPr="00D22058">
        <w:t xml:space="preserve">the District </w:t>
      </w:r>
      <w:r w:rsidR="00741BC8">
        <w:t>nor plaintiffs su</w:t>
      </w:r>
      <w:r w:rsidRPr="00D22058">
        <w:t>ggest that mere attendance at a hearing suffices</w:t>
      </w:r>
      <w:r w:rsidR="00620DC8">
        <w:t xml:space="preserve"> as participation</w:t>
      </w:r>
      <w:r w:rsidRPr="00D22058">
        <w:t>.</w:t>
      </w:r>
    </w:p>
  </w:footnote>
  <w:footnote w:id="8">
    <w:p w:rsidR="00180A7D" w:rsidRPr="004C4C9D" w:rsidRDefault="00180A7D">
      <w:pPr>
        <w:pStyle w:val="FootnoteText"/>
      </w:pPr>
      <w:r>
        <w:rPr>
          <w:rStyle w:val="FootnoteReference"/>
        </w:rPr>
        <w:footnoteRef/>
      </w:r>
      <w:r w:rsidRPr="004C4C9D">
        <w:t xml:space="preserve"> </w:t>
      </w:r>
      <w:r w:rsidR="00E7219B" w:rsidRPr="004C4C9D">
        <w:t>“</w:t>
      </w:r>
      <w:r w:rsidRPr="004C4C9D">
        <w:t xml:space="preserve">An ad valorem tax is </w:t>
      </w:r>
      <w:r w:rsidR="00D46C6B">
        <w:t>a</w:t>
      </w:r>
      <w:r w:rsidRPr="004C4C9D">
        <w:t xml:space="preserve"> tax levied on property in pr</w:t>
      </w:r>
      <w:r w:rsidR="00E7219B" w:rsidRPr="004C4C9D">
        <w:t>o</w:t>
      </w:r>
      <w:r w:rsidRPr="004C4C9D">
        <w:t>portion to its value</w:t>
      </w:r>
      <w:r w:rsidR="00E7219B" w:rsidRPr="004C4C9D">
        <w:t>, as determined by assessment or appraisal.”  (</w:t>
      </w:r>
      <w:r w:rsidR="00E7219B" w:rsidRPr="004C4C9D">
        <w:rPr>
          <w:i/>
        </w:rPr>
        <w:t xml:space="preserve">American Airlines, Inc. v. County of San Mateo </w:t>
      </w:r>
      <w:r w:rsidR="00E7219B" w:rsidRPr="004C4C9D">
        <w:t>(1996) 12 Cal.4th 1110, 1124.)</w:t>
      </w:r>
    </w:p>
  </w:footnote>
  <w:footnote w:id="9">
    <w:p w:rsidR="004C4C9D" w:rsidRDefault="004C4C9D" w:rsidP="004C4C9D">
      <w:pPr>
        <w:pStyle w:val="FootnoteText"/>
      </w:pPr>
      <w:r>
        <w:rPr>
          <w:rStyle w:val="FootnoteReference"/>
        </w:rPr>
        <w:footnoteRef/>
      </w:r>
      <w:r>
        <w:t xml:space="preserve"> Subdivision (c) of </w:t>
      </w:r>
      <w:r w:rsidR="001D066E">
        <w:t xml:space="preserve">article XIII D, </w:t>
      </w:r>
      <w:r>
        <w:t xml:space="preserve">section 6 </w:t>
      </w:r>
      <w:r w:rsidR="0032064C">
        <w:t>establishes a separate procedure applicable to certain property-related fees</w:t>
      </w:r>
      <w:r w:rsidR="00FA6D77">
        <w:t xml:space="preserve">. </w:t>
      </w:r>
      <w:r w:rsidR="0032064C">
        <w:t xml:space="preserve"> That procedure does not apply to fees for sewer, water, and refuse collection services.</w:t>
      </w:r>
    </w:p>
  </w:footnote>
  <w:footnote w:id="10">
    <w:p w:rsidR="003B2ED5" w:rsidRDefault="003B2ED5" w:rsidP="009917E6">
      <w:pPr>
        <w:pStyle w:val="FootnoteText"/>
      </w:pPr>
      <w:r>
        <w:rPr>
          <w:rStyle w:val="FootnoteReference"/>
        </w:rPr>
        <w:footnoteRef/>
      </w:r>
      <w:r>
        <w:t xml:space="preserve"> </w:t>
      </w:r>
      <w:r w:rsidRPr="00D22058">
        <w:t xml:space="preserve">The legislation implementing Proposition 218 does not provide any additional guidance concerning the required form or content of a written protest.  (See Gov. Code, §§ 53750–53756.)  However, that legislation does clarify that a written protest may be submitted by an </w:t>
      </w:r>
      <w:r w:rsidRPr="00D22058">
        <w:rPr>
          <w:i/>
        </w:rPr>
        <w:t>owner</w:t>
      </w:r>
      <w:r w:rsidRPr="00D22058">
        <w:t xml:space="preserve"> </w:t>
      </w:r>
      <w:r w:rsidRPr="002220D6">
        <w:rPr>
          <w:i/>
        </w:rPr>
        <w:t>or</w:t>
      </w:r>
      <w:r w:rsidRPr="00D22058">
        <w:t xml:space="preserve"> </w:t>
      </w:r>
      <w:r w:rsidRPr="00D22058">
        <w:rPr>
          <w:i/>
        </w:rPr>
        <w:t>tenant</w:t>
      </w:r>
      <w:r w:rsidRPr="00D22058">
        <w:t xml:space="preserve"> of an identified parcel </w:t>
      </w:r>
      <w:proofErr w:type="gramStart"/>
      <w:r w:rsidRPr="00D22058">
        <w:t>as long as</w:t>
      </w:r>
      <w:proofErr w:type="gramEnd"/>
      <w:r w:rsidRPr="00D22058">
        <w:t xml:space="preserve"> only one protest per parcel is counted in determining whether the majority protest threshold is met.  (Gov. Code, § 53755, </w:t>
      </w:r>
      <w:proofErr w:type="spellStart"/>
      <w:r w:rsidRPr="00D22058">
        <w:t>subd</w:t>
      </w:r>
      <w:proofErr w:type="spellEnd"/>
      <w:proofErr w:type="gramStart"/>
      <w:r w:rsidRPr="00D22058">
        <w:t xml:space="preserve">. </w:t>
      </w:r>
      <w:proofErr w:type="gramEnd"/>
      <w:r w:rsidRPr="00D22058">
        <w:t>(b).)</w:t>
      </w:r>
    </w:p>
  </w:footnote>
  <w:footnote w:id="11">
    <w:p w:rsidR="00CD7BFC" w:rsidRDefault="00CD7BFC">
      <w:pPr>
        <w:pStyle w:val="FootnoteText"/>
      </w:pPr>
      <w:r>
        <w:rPr>
          <w:rStyle w:val="FootnoteReference"/>
        </w:rPr>
        <w:footnoteRef/>
      </w:r>
      <w:r>
        <w:t xml:space="preserve"> This narrow analytical approach is driven in part by the unique procedure set forth in Proposition 218.  It should not be interpreted to suggest that every public meeting at which a local government adopts legislation constitutes an “administrative remedy.”</w:t>
      </w:r>
    </w:p>
  </w:footnote>
  <w:footnote w:id="12">
    <w:p w:rsidR="00C57C42" w:rsidRPr="00935710" w:rsidRDefault="00C57C42" w:rsidP="00C57C42">
      <w:pPr>
        <w:pStyle w:val="FootnoteText"/>
        <w:rPr>
          <w:i/>
        </w:rPr>
      </w:pPr>
      <w:r>
        <w:rPr>
          <w:rStyle w:val="FootnoteReference"/>
        </w:rPr>
        <w:footnoteRef/>
      </w:r>
      <w:r>
        <w:t xml:space="preserve"> In distinguishing </w:t>
      </w:r>
      <w:proofErr w:type="spellStart"/>
      <w:r>
        <w:rPr>
          <w:i/>
        </w:rPr>
        <w:t>Wallich’s</w:t>
      </w:r>
      <w:proofErr w:type="spellEnd"/>
      <w:r>
        <w:rPr>
          <w:i/>
        </w:rPr>
        <w:t xml:space="preserve"> Ranch, </w:t>
      </w:r>
      <w:r w:rsidRPr="00935710">
        <w:t>t</w:t>
      </w:r>
      <w:r>
        <w:t>he Court of Appeal noted that the plaintiffs here had exhausted the remedy afforded by the District’s own legislative code</w:t>
      </w:r>
      <w:r w:rsidR="008D5F23">
        <w:t xml:space="preserve">.  By contrast, </w:t>
      </w:r>
      <w:r w:rsidR="00CB22DF">
        <w:t xml:space="preserve">the </w:t>
      </w:r>
      <w:r>
        <w:t xml:space="preserve">plaintiff in </w:t>
      </w:r>
      <w:proofErr w:type="spellStart"/>
      <w:r>
        <w:rPr>
          <w:i/>
        </w:rPr>
        <w:t>Wallich’s</w:t>
      </w:r>
      <w:proofErr w:type="spellEnd"/>
      <w:r>
        <w:rPr>
          <w:i/>
        </w:rPr>
        <w:t xml:space="preserve"> Ranch</w:t>
      </w:r>
      <w:r>
        <w:t xml:space="preserve"> had not attempted to exhaust </w:t>
      </w:r>
      <w:r w:rsidRPr="00E614AB">
        <w:rPr>
          <w:i/>
        </w:rPr>
        <w:t>any</w:t>
      </w:r>
      <w:r>
        <w:t xml:space="preserve"> available administrative remedy.  To be clear, </w:t>
      </w:r>
      <w:r w:rsidR="008D5F23">
        <w:t>our</w:t>
      </w:r>
      <w:r>
        <w:t xml:space="preserve"> decision does not turn on plaintiffs’ exhaustion of administrative remedies set forth in the District’s legislative code.  A party must exhaust all available nonduplicative remedies.  (</w:t>
      </w:r>
      <w:r>
        <w:rPr>
          <w:i/>
        </w:rPr>
        <w:t xml:space="preserve">Coachella Valley Mosquito &amp; Vector Control Dist. v. California Public Employment Relations Bd., supra, </w:t>
      </w:r>
      <w:r>
        <w:t>35 Cal.4th at 1080.)</w:t>
      </w:r>
    </w:p>
  </w:footnote>
  <w:footnote w:id="13">
    <w:p w:rsidR="001F7232" w:rsidRPr="002A72C5" w:rsidRDefault="001F7232" w:rsidP="001F7232">
      <w:pPr>
        <w:pStyle w:val="FootnoteText"/>
      </w:pPr>
      <w:r>
        <w:rPr>
          <w:rStyle w:val="FootnoteReference"/>
        </w:rPr>
        <w:footnoteRef/>
      </w:r>
      <w:r>
        <w:t xml:space="preserve"> The propriety of the holding in </w:t>
      </w:r>
      <w:proofErr w:type="spellStart"/>
      <w:r>
        <w:rPr>
          <w:i/>
        </w:rPr>
        <w:t>Wallich’s</w:t>
      </w:r>
      <w:proofErr w:type="spellEnd"/>
      <w:r>
        <w:rPr>
          <w:i/>
        </w:rPr>
        <w:t xml:space="preserve"> Ranch </w:t>
      </w:r>
      <w:r>
        <w:t>is not before us.  We express no view on whether it was correctly decided.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ED5" w:rsidRDefault="003B2ED5">
    <w:pPr>
      <w:pStyle w:val="Header"/>
    </w:pPr>
    <w:r>
      <w:t>PLANTIER v. RAMONA MUNICIPAL WATER DISTRICT</w:t>
    </w:r>
  </w:p>
  <w:p w:rsidR="003B2ED5" w:rsidRDefault="003B2ED5">
    <w:pPr>
      <w:pStyle w:val="Header"/>
    </w:pPr>
    <w:r>
      <w:t>Opinion of the Court by Corrigan, J.</w:t>
    </w:r>
  </w:p>
  <w:p w:rsidR="003B2ED5" w:rsidRDefault="003B2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60A" w:rsidRDefault="009B1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60A" w:rsidRDefault="009B19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60A" w:rsidRDefault="009B1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79E"/>
    <w:multiLevelType w:val="hybridMultilevel"/>
    <w:tmpl w:val="3E406B9A"/>
    <w:lvl w:ilvl="0" w:tplc="207A72D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0B2E1D"/>
    <w:multiLevelType w:val="hybridMultilevel"/>
    <w:tmpl w:val="7A6ACCB2"/>
    <w:lvl w:ilvl="0" w:tplc="EDDE1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04A59"/>
    <w:multiLevelType w:val="hybridMultilevel"/>
    <w:tmpl w:val="448402D0"/>
    <w:lvl w:ilvl="0" w:tplc="A8FA08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D3ABC"/>
    <w:multiLevelType w:val="hybridMultilevel"/>
    <w:tmpl w:val="7FAC4908"/>
    <w:lvl w:ilvl="0" w:tplc="31702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106DD"/>
    <w:multiLevelType w:val="multilevel"/>
    <w:tmpl w:val="E6A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21B34"/>
    <w:multiLevelType w:val="hybridMultilevel"/>
    <w:tmpl w:val="29BECC4E"/>
    <w:lvl w:ilvl="0" w:tplc="9B9C1C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removePersonalInformation/>
  <w:removeDateAndTime/>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1D"/>
    <w:rsid w:val="000005B3"/>
    <w:rsid w:val="00001DDE"/>
    <w:rsid w:val="000023B2"/>
    <w:rsid w:val="00002FAB"/>
    <w:rsid w:val="00007BD3"/>
    <w:rsid w:val="0001102A"/>
    <w:rsid w:val="00011F60"/>
    <w:rsid w:val="00012456"/>
    <w:rsid w:val="00014B66"/>
    <w:rsid w:val="00014EF7"/>
    <w:rsid w:val="000152A3"/>
    <w:rsid w:val="00017E7D"/>
    <w:rsid w:val="00020385"/>
    <w:rsid w:val="00022054"/>
    <w:rsid w:val="00022BB7"/>
    <w:rsid w:val="0002341A"/>
    <w:rsid w:val="000236C0"/>
    <w:rsid w:val="0002506C"/>
    <w:rsid w:val="00025D29"/>
    <w:rsid w:val="00026852"/>
    <w:rsid w:val="00026E26"/>
    <w:rsid w:val="00027B07"/>
    <w:rsid w:val="00030EEB"/>
    <w:rsid w:val="000310BF"/>
    <w:rsid w:val="000310E0"/>
    <w:rsid w:val="000323A8"/>
    <w:rsid w:val="00032521"/>
    <w:rsid w:val="00034B43"/>
    <w:rsid w:val="00037A68"/>
    <w:rsid w:val="00040AB6"/>
    <w:rsid w:val="00040AEF"/>
    <w:rsid w:val="000417F3"/>
    <w:rsid w:val="00041AAB"/>
    <w:rsid w:val="00042471"/>
    <w:rsid w:val="00044259"/>
    <w:rsid w:val="000442EA"/>
    <w:rsid w:val="00044528"/>
    <w:rsid w:val="00044876"/>
    <w:rsid w:val="000465F7"/>
    <w:rsid w:val="00046D85"/>
    <w:rsid w:val="000474AC"/>
    <w:rsid w:val="00047F0C"/>
    <w:rsid w:val="00050288"/>
    <w:rsid w:val="00050B7A"/>
    <w:rsid w:val="00050F2E"/>
    <w:rsid w:val="00050F8E"/>
    <w:rsid w:val="000515B1"/>
    <w:rsid w:val="000517FF"/>
    <w:rsid w:val="000518A7"/>
    <w:rsid w:val="000519BF"/>
    <w:rsid w:val="00052762"/>
    <w:rsid w:val="00053D0D"/>
    <w:rsid w:val="0005761C"/>
    <w:rsid w:val="00057CC1"/>
    <w:rsid w:val="000622A0"/>
    <w:rsid w:val="000629D0"/>
    <w:rsid w:val="0006470A"/>
    <w:rsid w:val="00064BAC"/>
    <w:rsid w:val="00064F6E"/>
    <w:rsid w:val="000663B8"/>
    <w:rsid w:val="000669D5"/>
    <w:rsid w:val="00070630"/>
    <w:rsid w:val="000713F7"/>
    <w:rsid w:val="00071A47"/>
    <w:rsid w:val="00073A3B"/>
    <w:rsid w:val="0007438D"/>
    <w:rsid w:val="000759E0"/>
    <w:rsid w:val="00076893"/>
    <w:rsid w:val="00076FCB"/>
    <w:rsid w:val="0008060D"/>
    <w:rsid w:val="00082D7D"/>
    <w:rsid w:val="0008367E"/>
    <w:rsid w:val="0008491B"/>
    <w:rsid w:val="00084DEB"/>
    <w:rsid w:val="000853F3"/>
    <w:rsid w:val="000863EB"/>
    <w:rsid w:val="0008641B"/>
    <w:rsid w:val="00087CCF"/>
    <w:rsid w:val="000930F6"/>
    <w:rsid w:val="00093DBB"/>
    <w:rsid w:val="00095861"/>
    <w:rsid w:val="000961B2"/>
    <w:rsid w:val="00097140"/>
    <w:rsid w:val="000A2FE4"/>
    <w:rsid w:val="000A3A2A"/>
    <w:rsid w:val="000A3DAE"/>
    <w:rsid w:val="000A5006"/>
    <w:rsid w:val="000B1718"/>
    <w:rsid w:val="000B4850"/>
    <w:rsid w:val="000B6B3D"/>
    <w:rsid w:val="000B6E48"/>
    <w:rsid w:val="000B718C"/>
    <w:rsid w:val="000C0BDB"/>
    <w:rsid w:val="000C27E2"/>
    <w:rsid w:val="000C2E67"/>
    <w:rsid w:val="000C334E"/>
    <w:rsid w:val="000C3382"/>
    <w:rsid w:val="000C3708"/>
    <w:rsid w:val="000C4A1C"/>
    <w:rsid w:val="000C7324"/>
    <w:rsid w:val="000C7766"/>
    <w:rsid w:val="000D2D1C"/>
    <w:rsid w:val="000D4F9A"/>
    <w:rsid w:val="000D6ED5"/>
    <w:rsid w:val="000E0819"/>
    <w:rsid w:val="000E4182"/>
    <w:rsid w:val="000E4239"/>
    <w:rsid w:val="000E5C73"/>
    <w:rsid w:val="000E7B29"/>
    <w:rsid w:val="000F03F4"/>
    <w:rsid w:val="000F16DD"/>
    <w:rsid w:val="000F30D9"/>
    <w:rsid w:val="000F3F73"/>
    <w:rsid w:val="000F47B5"/>
    <w:rsid w:val="000F5D8A"/>
    <w:rsid w:val="000F7371"/>
    <w:rsid w:val="000F77DD"/>
    <w:rsid w:val="000F7825"/>
    <w:rsid w:val="000F7FB7"/>
    <w:rsid w:val="00100219"/>
    <w:rsid w:val="001008F0"/>
    <w:rsid w:val="00100AD8"/>
    <w:rsid w:val="0010287D"/>
    <w:rsid w:val="00102902"/>
    <w:rsid w:val="00104081"/>
    <w:rsid w:val="00105D82"/>
    <w:rsid w:val="0010745B"/>
    <w:rsid w:val="0011019E"/>
    <w:rsid w:val="00110D1C"/>
    <w:rsid w:val="00110FD1"/>
    <w:rsid w:val="00113787"/>
    <w:rsid w:val="00113B91"/>
    <w:rsid w:val="001146FA"/>
    <w:rsid w:val="00115D4A"/>
    <w:rsid w:val="00117917"/>
    <w:rsid w:val="0012164F"/>
    <w:rsid w:val="00121762"/>
    <w:rsid w:val="001229D7"/>
    <w:rsid w:val="00123AB8"/>
    <w:rsid w:val="001244A3"/>
    <w:rsid w:val="0013051B"/>
    <w:rsid w:val="00131573"/>
    <w:rsid w:val="00131859"/>
    <w:rsid w:val="00131972"/>
    <w:rsid w:val="00132915"/>
    <w:rsid w:val="00135FDD"/>
    <w:rsid w:val="00136C12"/>
    <w:rsid w:val="00137A88"/>
    <w:rsid w:val="00137DF8"/>
    <w:rsid w:val="001415CE"/>
    <w:rsid w:val="001416C2"/>
    <w:rsid w:val="001419C8"/>
    <w:rsid w:val="0014226C"/>
    <w:rsid w:val="00143447"/>
    <w:rsid w:val="00143EC6"/>
    <w:rsid w:val="001450B7"/>
    <w:rsid w:val="00145D52"/>
    <w:rsid w:val="00146495"/>
    <w:rsid w:val="00146D54"/>
    <w:rsid w:val="00146D9F"/>
    <w:rsid w:val="001500FB"/>
    <w:rsid w:val="00150E37"/>
    <w:rsid w:val="0015124E"/>
    <w:rsid w:val="001512F9"/>
    <w:rsid w:val="00151CE8"/>
    <w:rsid w:val="0015204F"/>
    <w:rsid w:val="001520B6"/>
    <w:rsid w:val="001527DC"/>
    <w:rsid w:val="00153800"/>
    <w:rsid w:val="00153904"/>
    <w:rsid w:val="00153E8F"/>
    <w:rsid w:val="00154BC3"/>
    <w:rsid w:val="001560C9"/>
    <w:rsid w:val="00161C4A"/>
    <w:rsid w:val="0016565B"/>
    <w:rsid w:val="00167AEC"/>
    <w:rsid w:val="00167CC0"/>
    <w:rsid w:val="001708FC"/>
    <w:rsid w:val="00171C38"/>
    <w:rsid w:val="00172F3D"/>
    <w:rsid w:val="001758F1"/>
    <w:rsid w:val="00175A1C"/>
    <w:rsid w:val="001765BB"/>
    <w:rsid w:val="00176C92"/>
    <w:rsid w:val="00176EEB"/>
    <w:rsid w:val="001779A5"/>
    <w:rsid w:val="00180A7D"/>
    <w:rsid w:val="00180C61"/>
    <w:rsid w:val="00181595"/>
    <w:rsid w:val="00182189"/>
    <w:rsid w:val="00183016"/>
    <w:rsid w:val="00183D0D"/>
    <w:rsid w:val="00184FDD"/>
    <w:rsid w:val="00185C73"/>
    <w:rsid w:val="0018638A"/>
    <w:rsid w:val="001867CC"/>
    <w:rsid w:val="001868EA"/>
    <w:rsid w:val="00187303"/>
    <w:rsid w:val="001877BD"/>
    <w:rsid w:val="00187B0B"/>
    <w:rsid w:val="00187B4C"/>
    <w:rsid w:val="00187D6A"/>
    <w:rsid w:val="00187ED7"/>
    <w:rsid w:val="001909BE"/>
    <w:rsid w:val="001913FC"/>
    <w:rsid w:val="0019262E"/>
    <w:rsid w:val="00192BF8"/>
    <w:rsid w:val="00196164"/>
    <w:rsid w:val="00196385"/>
    <w:rsid w:val="00197968"/>
    <w:rsid w:val="001A059C"/>
    <w:rsid w:val="001A121C"/>
    <w:rsid w:val="001A16AA"/>
    <w:rsid w:val="001A1A1C"/>
    <w:rsid w:val="001A1A65"/>
    <w:rsid w:val="001A4F05"/>
    <w:rsid w:val="001A59CE"/>
    <w:rsid w:val="001A7D36"/>
    <w:rsid w:val="001B0C6B"/>
    <w:rsid w:val="001B21BD"/>
    <w:rsid w:val="001B263A"/>
    <w:rsid w:val="001B4262"/>
    <w:rsid w:val="001B72BE"/>
    <w:rsid w:val="001C02E0"/>
    <w:rsid w:val="001C2AF0"/>
    <w:rsid w:val="001C5001"/>
    <w:rsid w:val="001C5938"/>
    <w:rsid w:val="001C7A50"/>
    <w:rsid w:val="001D002C"/>
    <w:rsid w:val="001D066E"/>
    <w:rsid w:val="001D069A"/>
    <w:rsid w:val="001D3DCF"/>
    <w:rsid w:val="001D4E97"/>
    <w:rsid w:val="001D53D3"/>
    <w:rsid w:val="001D586D"/>
    <w:rsid w:val="001D6D16"/>
    <w:rsid w:val="001E2A21"/>
    <w:rsid w:val="001E44FD"/>
    <w:rsid w:val="001E47DD"/>
    <w:rsid w:val="001E5D59"/>
    <w:rsid w:val="001F0857"/>
    <w:rsid w:val="001F0A89"/>
    <w:rsid w:val="001F1C3D"/>
    <w:rsid w:val="001F1CEE"/>
    <w:rsid w:val="001F3C96"/>
    <w:rsid w:val="001F3E0D"/>
    <w:rsid w:val="001F4456"/>
    <w:rsid w:val="001F47DB"/>
    <w:rsid w:val="001F4FFA"/>
    <w:rsid w:val="001F57E6"/>
    <w:rsid w:val="001F5D0B"/>
    <w:rsid w:val="001F7232"/>
    <w:rsid w:val="002022EF"/>
    <w:rsid w:val="00202500"/>
    <w:rsid w:val="00203591"/>
    <w:rsid w:val="00203988"/>
    <w:rsid w:val="0020519A"/>
    <w:rsid w:val="002052E6"/>
    <w:rsid w:val="002057F8"/>
    <w:rsid w:val="00205AE0"/>
    <w:rsid w:val="0020666F"/>
    <w:rsid w:val="002069EE"/>
    <w:rsid w:val="00210C4E"/>
    <w:rsid w:val="00211035"/>
    <w:rsid w:val="00211B84"/>
    <w:rsid w:val="0021263A"/>
    <w:rsid w:val="002128CB"/>
    <w:rsid w:val="00212C64"/>
    <w:rsid w:val="00214C17"/>
    <w:rsid w:val="00216514"/>
    <w:rsid w:val="00216965"/>
    <w:rsid w:val="00221464"/>
    <w:rsid w:val="002215BE"/>
    <w:rsid w:val="00221E11"/>
    <w:rsid w:val="002220D6"/>
    <w:rsid w:val="00223207"/>
    <w:rsid w:val="00223401"/>
    <w:rsid w:val="00223D6B"/>
    <w:rsid w:val="002244A2"/>
    <w:rsid w:val="00224CCE"/>
    <w:rsid w:val="00226A96"/>
    <w:rsid w:val="00226CCD"/>
    <w:rsid w:val="00227797"/>
    <w:rsid w:val="002317F4"/>
    <w:rsid w:val="002318C2"/>
    <w:rsid w:val="00232778"/>
    <w:rsid w:val="00234922"/>
    <w:rsid w:val="002352AE"/>
    <w:rsid w:val="00237C9F"/>
    <w:rsid w:val="00240C9E"/>
    <w:rsid w:val="00241A48"/>
    <w:rsid w:val="00242065"/>
    <w:rsid w:val="00243B6F"/>
    <w:rsid w:val="0025123E"/>
    <w:rsid w:val="00251B51"/>
    <w:rsid w:val="00251FEA"/>
    <w:rsid w:val="00255110"/>
    <w:rsid w:val="002564C0"/>
    <w:rsid w:val="0025764B"/>
    <w:rsid w:val="00257791"/>
    <w:rsid w:val="0026239B"/>
    <w:rsid w:val="00263DFE"/>
    <w:rsid w:val="00265630"/>
    <w:rsid w:val="0026642E"/>
    <w:rsid w:val="0026682E"/>
    <w:rsid w:val="00267030"/>
    <w:rsid w:val="00267882"/>
    <w:rsid w:val="00270A64"/>
    <w:rsid w:val="002719CE"/>
    <w:rsid w:val="00273E73"/>
    <w:rsid w:val="002768B3"/>
    <w:rsid w:val="002768E5"/>
    <w:rsid w:val="00276E7F"/>
    <w:rsid w:val="00277B73"/>
    <w:rsid w:val="002806D2"/>
    <w:rsid w:val="00280A01"/>
    <w:rsid w:val="0028143A"/>
    <w:rsid w:val="00281CD6"/>
    <w:rsid w:val="0028255A"/>
    <w:rsid w:val="00282C37"/>
    <w:rsid w:val="0028385A"/>
    <w:rsid w:val="00283930"/>
    <w:rsid w:val="00285C88"/>
    <w:rsid w:val="0028721F"/>
    <w:rsid w:val="00287AEC"/>
    <w:rsid w:val="00290136"/>
    <w:rsid w:val="002912EC"/>
    <w:rsid w:val="002924C6"/>
    <w:rsid w:val="00292A9B"/>
    <w:rsid w:val="0029464E"/>
    <w:rsid w:val="00294822"/>
    <w:rsid w:val="00294911"/>
    <w:rsid w:val="00294AB7"/>
    <w:rsid w:val="0029545E"/>
    <w:rsid w:val="00296950"/>
    <w:rsid w:val="002979D3"/>
    <w:rsid w:val="00297B0D"/>
    <w:rsid w:val="002A0D67"/>
    <w:rsid w:val="002A30AF"/>
    <w:rsid w:val="002A5AD3"/>
    <w:rsid w:val="002A72C5"/>
    <w:rsid w:val="002A7EAD"/>
    <w:rsid w:val="002B00EB"/>
    <w:rsid w:val="002B07D3"/>
    <w:rsid w:val="002B258E"/>
    <w:rsid w:val="002B28B4"/>
    <w:rsid w:val="002B2DA8"/>
    <w:rsid w:val="002B33CF"/>
    <w:rsid w:val="002B48A4"/>
    <w:rsid w:val="002B5424"/>
    <w:rsid w:val="002C1E8E"/>
    <w:rsid w:val="002C3B77"/>
    <w:rsid w:val="002C3F5F"/>
    <w:rsid w:val="002C61BA"/>
    <w:rsid w:val="002C7841"/>
    <w:rsid w:val="002D029E"/>
    <w:rsid w:val="002D336F"/>
    <w:rsid w:val="002D4C4D"/>
    <w:rsid w:val="002D5189"/>
    <w:rsid w:val="002D6B6C"/>
    <w:rsid w:val="002D701C"/>
    <w:rsid w:val="002D793A"/>
    <w:rsid w:val="002E017C"/>
    <w:rsid w:val="002E01D7"/>
    <w:rsid w:val="002E0D6A"/>
    <w:rsid w:val="002E3F28"/>
    <w:rsid w:val="002E4BDF"/>
    <w:rsid w:val="002F03E9"/>
    <w:rsid w:val="002F18A7"/>
    <w:rsid w:val="002F201A"/>
    <w:rsid w:val="002F2811"/>
    <w:rsid w:val="002F46FB"/>
    <w:rsid w:val="002F52E6"/>
    <w:rsid w:val="002F610A"/>
    <w:rsid w:val="002F6CE1"/>
    <w:rsid w:val="002F7666"/>
    <w:rsid w:val="003016E1"/>
    <w:rsid w:val="0030276A"/>
    <w:rsid w:val="003034C3"/>
    <w:rsid w:val="00304DAB"/>
    <w:rsid w:val="00305704"/>
    <w:rsid w:val="00307407"/>
    <w:rsid w:val="003078EB"/>
    <w:rsid w:val="0031003F"/>
    <w:rsid w:val="00310253"/>
    <w:rsid w:val="0031077C"/>
    <w:rsid w:val="00312632"/>
    <w:rsid w:val="003135F4"/>
    <w:rsid w:val="003158CD"/>
    <w:rsid w:val="00315FBD"/>
    <w:rsid w:val="00316277"/>
    <w:rsid w:val="003163CB"/>
    <w:rsid w:val="003167B4"/>
    <w:rsid w:val="00316FB0"/>
    <w:rsid w:val="0032064C"/>
    <w:rsid w:val="003209ED"/>
    <w:rsid w:val="003212F1"/>
    <w:rsid w:val="00322A8D"/>
    <w:rsid w:val="00323033"/>
    <w:rsid w:val="003246AB"/>
    <w:rsid w:val="00324A10"/>
    <w:rsid w:val="00325B31"/>
    <w:rsid w:val="00325E32"/>
    <w:rsid w:val="00326638"/>
    <w:rsid w:val="0032795F"/>
    <w:rsid w:val="00327C6D"/>
    <w:rsid w:val="0033034A"/>
    <w:rsid w:val="00330CDB"/>
    <w:rsid w:val="00330F87"/>
    <w:rsid w:val="00331514"/>
    <w:rsid w:val="003317DF"/>
    <w:rsid w:val="00331967"/>
    <w:rsid w:val="0033275A"/>
    <w:rsid w:val="003331B0"/>
    <w:rsid w:val="00333BF2"/>
    <w:rsid w:val="003356B4"/>
    <w:rsid w:val="003370A9"/>
    <w:rsid w:val="00341108"/>
    <w:rsid w:val="00343D85"/>
    <w:rsid w:val="0034513B"/>
    <w:rsid w:val="003451C5"/>
    <w:rsid w:val="0034533A"/>
    <w:rsid w:val="00345364"/>
    <w:rsid w:val="00347ED2"/>
    <w:rsid w:val="00350E1C"/>
    <w:rsid w:val="0035189B"/>
    <w:rsid w:val="00353E9F"/>
    <w:rsid w:val="0035720D"/>
    <w:rsid w:val="00357918"/>
    <w:rsid w:val="00357971"/>
    <w:rsid w:val="003612B7"/>
    <w:rsid w:val="00363376"/>
    <w:rsid w:val="00363B17"/>
    <w:rsid w:val="00363CAA"/>
    <w:rsid w:val="003659FB"/>
    <w:rsid w:val="00365E99"/>
    <w:rsid w:val="00367890"/>
    <w:rsid w:val="00371793"/>
    <w:rsid w:val="00373D08"/>
    <w:rsid w:val="003761D7"/>
    <w:rsid w:val="003771AC"/>
    <w:rsid w:val="003773FD"/>
    <w:rsid w:val="00381A23"/>
    <w:rsid w:val="00381FF4"/>
    <w:rsid w:val="00382141"/>
    <w:rsid w:val="00383329"/>
    <w:rsid w:val="003846CE"/>
    <w:rsid w:val="00384FCE"/>
    <w:rsid w:val="0038516E"/>
    <w:rsid w:val="00387F53"/>
    <w:rsid w:val="00390A15"/>
    <w:rsid w:val="00393108"/>
    <w:rsid w:val="00393DEB"/>
    <w:rsid w:val="00395A32"/>
    <w:rsid w:val="00396133"/>
    <w:rsid w:val="003974DD"/>
    <w:rsid w:val="003A19EB"/>
    <w:rsid w:val="003A2DD2"/>
    <w:rsid w:val="003A46D7"/>
    <w:rsid w:val="003A5A38"/>
    <w:rsid w:val="003A6A94"/>
    <w:rsid w:val="003B06E6"/>
    <w:rsid w:val="003B2A65"/>
    <w:rsid w:val="003B2ED5"/>
    <w:rsid w:val="003B417C"/>
    <w:rsid w:val="003B4AE9"/>
    <w:rsid w:val="003B5C35"/>
    <w:rsid w:val="003B5C79"/>
    <w:rsid w:val="003B7221"/>
    <w:rsid w:val="003B7302"/>
    <w:rsid w:val="003C05F0"/>
    <w:rsid w:val="003C25CD"/>
    <w:rsid w:val="003C4157"/>
    <w:rsid w:val="003C7728"/>
    <w:rsid w:val="003D03D0"/>
    <w:rsid w:val="003D1BE0"/>
    <w:rsid w:val="003D32DC"/>
    <w:rsid w:val="003D3B30"/>
    <w:rsid w:val="003D53B3"/>
    <w:rsid w:val="003D65CE"/>
    <w:rsid w:val="003D6672"/>
    <w:rsid w:val="003D6FC3"/>
    <w:rsid w:val="003E04E9"/>
    <w:rsid w:val="003E092A"/>
    <w:rsid w:val="003E1378"/>
    <w:rsid w:val="003E2E14"/>
    <w:rsid w:val="003E2EDF"/>
    <w:rsid w:val="003E46C6"/>
    <w:rsid w:val="003E5B81"/>
    <w:rsid w:val="003E6477"/>
    <w:rsid w:val="003F156C"/>
    <w:rsid w:val="003F16E8"/>
    <w:rsid w:val="003F25BB"/>
    <w:rsid w:val="003F2C5F"/>
    <w:rsid w:val="003F4FCA"/>
    <w:rsid w:val="003F74CE"/>
    <w:rsid w:val="0040017B"/>
    <w:rsid w:val="00400505"/>
    <w:rsid w:val="00401D2A"/>
    <w:rsid w:val="00402B23"/>
    <w:rsid w:val="00403865"/>
    <w:rsid w:val="00403FB8"/>
    <w:rsid w:val="00405329"/>
    <w:rsid w:val="004057DA"/>
    <w:rsid w:val="0040611D"/>
    <w:rsid w:val="00407706"/>
    <w:rsid w:val="00407BD6"/>
    <w:rsid w:val="00411534"/>
    <w:rsid w:val="00411BE5"/>
    <w:rsid w:val="004122A7"/>
    <w:rsid w:val="004203B7"/>
    <w:rsid w:val="00420505"/>
    <w:rsid w:val="00420D26"/>
    <w:rsid w:val="004230FB"/>
    <w:rsid w:val="00423241"/>
    <w:rsid w:val="00423E6D"/>
    <w:rsid w:val="004244D5"/>
    <w:rsid w:val="00424D10"/>
    <w:rsid w:val="00424D92"/>
    <w:rsid w:val="00427801"/>
    <w:rsid w:val="00427C1E"/>
    <w:rsid w:val="00430C68"/>
    <w:rsid w:val="004338A4"/>
    <w:rsid w:val="0043555B"/>
    <w:rsid w:val="00437F7F"/>
    <w:rsid w:val="004424B6"/>
    <w:rsid w:val="00443A9C"/>
    <w:rsid w:val="00443F8F"/>
    <w:rsid w:val="00444714"/>
    <w:rsid w:val="004448EA"/>
    <w:rsid w:val="00444907"/>
    <w:rsid w:val="00446504"/>
    <w:rsid w:val="004507F0"/>
    <w:rsid w:val="00450D0C"/>
    <w:rsid w:val="00452018"/>
    <w:rsid w:val="004521B8"/>
    <w:rsid w:val="0045274E"/>
    <w:rsid w:val="004530EC"/>
    <w:rsid w:val="004530FF"/>
    <w:rsid w:val="0045325A"/>
    <w:rsid w:val="00453843"/>
    <w:rsid w:val="00454940"/>
    <w:rsid w:val="00455101"/>
    <w:rsid w:val="004553EB"/>
    <w:rsid w:val="004558EA"/>
    <w:rsid w:val="004560A8"/>
    <w:rsid w:val="00456129"/>
    <w:rsid w:val="00457FA7"/>
    <w:rsid w:val="004612D8"/>
    <w:rsid w:val="00461DBD"/>
    <w:rsid w:val="004626C9"/>
    <w:rsid w:val="0046333E"/>
    <w:rsid w:val="00464113"/>
    <w:rsid w:val="0046529A"/>
    <w:rsid w:val="00466E52"/>
    <w:rsid w:val="0047239F"/>
    <w:rsid w:val="00475C69"/>
    <w:rsid w:val="00480163"/>
    <w:rsid w:val="00480AD4"/>
    <w:rsid w:val="00480C08"/>
    <w:rsid w:val="00481B29"/>
    <w:rsid w:val="00485527"/>
    <w:rsid w:val="00487435"/>
    <w:rsid w:val="0049036C"/>
    <w:rsid w:val="00490CF0"/>
    <w:rsid w:val="00491D7E"/>
    <w:rsid w:val="00494EE7"/>
    <w:rsid w:val="00494FFA"/>
    <w:rsid w:val="00495CBC"/>
    <w:rsid w:val="00496823"/>
    <w:rsid w:val="004A041D"/>
    <w:rsid w:val="004A0B71"/>
    <w:rsid w:val="004A0D67"/>
    <w:rsid w:val="004A0D82"/>
    <w:rsid w:val="004A2626"/>
    <w:rsid w:val="004A262B"/>
    <w:rsid w:val="004A3A92"/>
    <w:rsid w:val="004A4A6C"/>
    <w:rsid w:val="004A54A2"/>
    <w:rsid w:val="004A6B27"/>
    <w:rsid w:val="004A74A3"/>
    <w:rsid w:val="004A7852"/>
    <w:rsid w:val="004B1C7F"/>
    <w:rsid w:val="004B1EEF"/>
    <w:rsid w:val="004B2424"/>
    <w:rsid w:val="004B28B0"/>
    <w:rsid w:val="004B535F"/>
    <w:rsid w:val="004B74D1"/>
    <w:rsid w:val="004C0449"/>
    <w:rsid w:val="004C0BEB"/>
    <w:rsid w:val="004C15A0"/>
    <w:rsid w:val="004C2416"/>
    <w:rsid w:val="004C2CD1"/>
    <w:rsid w:val="004C4C30"/>
    <w:rsid w:val="004C4C9D"/>
    <w:rsid w:val="004C596A"/>
    <w:rsid w:val="004C759D"/>
    <w:rsid w:val="004D02B8"/>
    <w:rsid w:val="004D3B81"/>
    <w:rsid w:val="004D4175"/>
    <w:rsid w:val="004D44E0"/>
    <w:rsid w:val="004D59B2"/>
    <w:rsid w:val="004D6057"/>
    <w:rsid w:val="004D63E1"/>
    <w:rsid w:val="004E38D7"/>
    <w:rsid w:val="004E436D"/>
    <w:rsid w:val="004E4B5C"/>
    <w:rsid w:val="004E5023"/>
    <w:rsid w:val="004E5BE6"/>
    <w:rsid w:val="004E6641"/>
    <w:rsid w:val="004F0AA2"/>
    <w:rsid w:val="004F1B6D"/>
    <w:rsid w:val="004F28F7"/>
    <w:rsid w:val="004F4A63"/>
    <w:rsid w:val="004F569D"/>
    <w:rsid w:val="004F5736"/>
    <w:rsid w:val="004F6CE9"/>
    <w:rsid w:val="0050104C"/>
    <w:rsid w:val="00502BBE"/>
    <w:rsid w:val="00505289"/>
    <w:rsid w:val="005071DF"/>
    <w:rsid w:val="0050740C"/>
    <w:rsid w:val="00511BD0"/>
    <w:rsid w:val="00511F60"/>
    <w:rsid w:val="005126A5"/>
    <w:rsid w:val="005126E9"/>
    <w:rsid w:val="0051284C"/>
    <w:rsid w:val="00512AD4"/>
    <w:rsid w:val="00516299"/>
    <w:rsid w:val="005177C4"/>
    <w:rsid w:val="00520D4C"/>
    <w:rsid w:val="0052103D"/>
    <w:rsid w:val="00522C25"/>
    <w:rsid w:val="005249FB"/>
    <w:rsid w:val="00525343"/>
    <w:rsid w:val="005269A3"/>
    <w:rsid w:val="00527239"/>
    <w:rsid w:val="00530B3E"/>
    <w:rsid w:val="00531DBB"/>
    <w:rsid w:val="00531E7E"/>
    <w:rsid w:val="0053400D"/>
    <w:rsid w:val="005355D3"/>
    <w:rsid w:val="00537099"/>
    <w:rsid w:val="005379A7"/>
    <w:rsid w:val="00537B41"/>
    <w:rsid w:val="00540AB8"/>
    <w:rsid w:val="00541FDB"/>
    <w:rsid w:val="005423CB"/>
    <w:rsid w:val="00543F4F"/>
    <w:rsid w:val="00544822"/>
    <w:rsid w:val="00544988"/>
    <w:rsid w:val="00545493"/>
    <w:rsid w:val="0054565B"/>
    <w:rsid w:val="005471E9"/>
    <w:rsid w:val="00547C84"/>
    <w:rsid w:val="00550381"/>
    <w:rsid w:val="00550AFF"/>
    <w:rsid w:val="00550BDC"/>
    <w:rsid w:val="00553549"/>
    <w:rsid w:val="00553C71"/>
    <w:rsid w:val="0055523C"/>
    <w:rsid w:val="00556A9C"/>
    <w:rsid w:val="00556E77"/>
    <w:rsid w:val="00556F69"/>
    <w:rsid w:val="005600A5"/>
    <w:rsid w:val="005647F7"/>
    <w:rsid w:val="005659DA"/>
    <w:rsid w:val="00565DB8"/>
    <w:rsid w:val="005664E6"/>
    <w:rsid w:val="005703A2"/>
    <w:rsid w:val="00571865"/>
    <w:rsid w:val="0057230E"/>
    <w:rsid w:val="00572FD0"/>
    <w:rsid w:val="005733B1"/>
    <w:rsid w:val="00573DA3"/>
    <w:rsid w:val="005746F8"/>
    <w:rsid w:val="005759E8"/>
    <w:rsid w:val="0057671C"/>
    <w:rsid w:val="00577899"/>
    <w:rsid w:val="00580299"/>
    <w:rsid w:val="0058077F"/>
    <w:rsid w:val="00580A46"/>
    <w:rsid w:val="00580A4E"/>
    <w:rsid w:val="005817E7"/>
    <w:rsid w:val="00581A4D"/>
    <w:rsid w:val="00581EE0"/>
    <w:rsid w:val="00582F43"/>
    <w:rsid w:val="00583855"/>
    <w:rsid w:val="00584137"/>
    <w:rsid w:val="0058510A"/>
    <w:rsid w:val="005854B1"/>
    <w:rsid w:val="005857B8"/>
    <w:rsid w:val="00586909"/>
    <w:rsid w:val="00590363"/>
    <w:rsid w:val="00590DBE"/>
    <w:rsid w:val="0059116C"/>
    <w:rsid w:val="00591F4B"/>
    <w:rsid w:val="005920FB"/>
    <w:rsid w:val="00592200"/>
    <w:rsid w:val="00594234"/>
    <w:rsid w:val="005942BC"/>
    <w:rsid w:val="00594E85"/>
    <w:rsid w:val="005A05FC"/>
    <w:rsid w:val="005A09DF"/>
    <w:rsid w:val="005A0B2D"/>
    <w:rsid w:val="005A16E8"/>
    <w:rsid w:val="005A2178"/>
    <w:rsid w:val="005A239D"/>
    <w:rsid w:val="005A3244"/>
    <w:rsid w:val="005A3B9C"/>
    <w:rsid w:val="005A3BF4"/>
    <w:rsid w:val="005A46F3"/>
    <w:rsid w:val="005A4EE4"/>
    <w:rsid w:val="005A6DB0"/>
    <w:rsid w:val="005A7FFA"/>
    <w:rsid w:val="005B001D"/>
    <w:rsid w:val="005B10E9"/>
    <w:rsid w:val="005B1AF1"/>
    <w:rsid w:val="005B4F01"/>
    <w:rsid w:val="005B5336"/>
    <w:rsid w:val="005B56FF"/>
    <w:rsid w:val="005B71E4"/>
    <w:rsid w:val="005C1496"/>
    <w:rsid w:val="005C24CC"/>
    <w:rsid w:val="005C24D8"/>
    <w:rsid w:val="005C3452"/>
    <w:rsid w:val="005C4EC5"/>
    <w:rsid w:val="005D01D2"/>
    <w:rsid w:val="005D0C34"/>
    <w:rsid w:val="005D2964"/>
    <w:rsid w:val="005D3381"/>
    <w:rsid w:val="005D487E"/>
    <w:rsid w:val="005D59F2"/>
    <w:rsid w:val="005D723F"/>
    <w:rsid w:val="005D7337"/>
    <w:rsid w:val="005E0B14"/>
    <w:rsid w:val="005E2396"/>
    <w:rsid w:val="005E268E"/>
    <w:rsid w:val="005E3559"/>
    <w:rsid w:val="005E3B7D"/>
    <w:rsid w:val="005E4DFD"/>
    <w:rsid w:val="005E4E5D"/>
    <w:rsid w:val="005E59F3"/>
    <w:rsid w:val="005E5DD2"/>
    <w:rsid w:val="005E701E"/>
    <w:rsid w:val="005E7196"/>
    <w:rsid w:val="005F31DF"/>
    <w:rsid w:val="005F4C35"/>
    <w:rsid w:val="005F6093"/>
    <w:rsid w:val="005F662D"/>
    <w:rsid w:val="00601ED3"/>
    <w:rsid w:val="006025AD"/>
    <w:rsid w:val="006037AB"/>
    <w:rsid w:val="00604C07"/>
    <w:rsid w:val="006054FA"/>
    <w:rsid w:val="00606641"/>
    <w:rsid w:val="0060673A"/>
    <w:rsid w:val="00606D2F"/>
    <w:rsid w:val="0061304B"/>
    <w:rsid w:val="006134B5"/>
    <w:rsid w:val="0061360E"/>
    <w:rsid w:val="006146B8"/>
    <w:rsid w:val="00614843"/>
    <w:rsid w:val="00617322"/>
    <w:rsid w:val="00617C3F"/>
    <w:rsid w:val="00617E73"/>
    <w:rsid w:val="00620DB6"/>
    <w:rsid w:val="00620DC8"/>
    <w:rsid w:val="00620E62"/>
    <w:rsid w:val="0062156F"/>
    <w:rsid w:val="00622337"/>
    <w:rsid w:val="00625395"/>
    <w:rsid w:val="006259A3"/>
    <w:rsid w:val="0062645B"/>
    <w:rsid w:val="006301F8"/>
    <w:rsid w:val="006309A2"/>
    <w:rsid w:val="006323A4"/>
    <w:rsid w:val="00632416"/>
    <w:rsid w:val="00633D0D"/>
    <w:rsid w:val="006348A8"/>
    <w:rsid w:val="00635B44"/>
    <w:rsid w:val="0064036A"/>
    <w:rsid w:val="00640536"/>
    <w:rsid w:val="00640D04"/>
    <w:rsid w:val="006416AC"/>
    <w:rsid w:val="006426A2"/>
    <w:rsid w:val="00643023"/>
    <w:rsid w:val="00643309"/>
    <w:rsid w:val="0064417C"/>
    <w:rsid w:val="00645179"/>
    <w:rsid w:val="006505FA"/>
    <w:rsid w:val="0065114C"/>
    <w:rsid w:val="006512EC"/>
    <w:rsid w:val="00651674"/>
    <w:rsid w:val="0065203A"/>
    <w:rsid w:val="00652FBD"/>
    <w:rsid w:val="00653500"/>
    <w:rsid w:val="00653566"/>
    <w:rsid w:val="00653CB7"/>
    <w:rsid w:val="00653D9B"/>
    <w:rsid w:val="0065537A"/>
    <w:rsid w:val="00655590"/>
    <w:rsid w:val="00656071"/>
    <w:rsid w:val="006566C1"/>
    <w:rsid w:val="00656B05"/>
    <w:rsid w:val="00656CA2"/>
    <w:rsid w:val="00661472"/>
    <w:rsid w:val="0066191B"/>
    <w:rsid w:val="0066339F"/>
    <w:rsid w:val="00663483"/>
    <w:rsid w:val="00663C14"/>
    <w:rsid w:val="00663F6B"/>
    <w:rsid w:val="0066461E"/>
    <w:rsid w:val="0066644E"/>
    <w:rsid w:val="0066791E"/>
    <w:rsid w:val="00670CA0"/>
    <w:rsid w:val="006711E2"/>
    <w:rsid w:val="00672801"/>
    <w:rsid w:val="0067328D"/>
    <w:rsid w:val="0067373F"/>
    <w:rsid w:val="00675110"/>
    <w:rsid w:val="00681509"/>
    <w:rsid w:val="00681704"/>
    <w:rsid w:val="00683CDB"/>
    <w:rsid w:val="006840B9"/>
    <w:rsid w:val="00685547"/>
    <w:rsid w:val="00690455"/>
    <w:rsid w:val="0069053C"/>
    <w:rsid w:val="00691B8D"/>
    <w:rsid w:val="00691F12"/>
    <w:rsid w:val="00693E29"/>
    <w:rsid w:val="006951B8"/>
    <w:rsid w:val="006960B1"/>
    <w:rsid w:val="0069646F"/>
    <w:rsid w:val="00696FB8"/>
    <w:rsid w:val="006A37A7"/>
    <w:rsid w:val="006A3942"/>
    <w:rsid w:val="006B08B9"/>
    <w:rsid w:val="006B0BF7"/>
    <w:rsid w:val="006B11E9"/>
    <w:rsid w:val="006B1794"/>
    <w:rsid w:val="006B2039"/>
    <w:rsid w:val="006B3D38"/>
    <w:rsid w:val="006B3EDC"/>
    <w:rsid w:val="006B5072"/>
    <w:rsid w:val="006B722B"/>
    <w:rsid w:val="006B7506"/>
    <w:rsid w:val="006B7D28"/>
    <w:rsid w:val="006C217C"/>
    <w:rsid w:val="006C2648"/>
    <w:rsid w:val="006C4868"/>
    <w:rsid w:val="006C67C5"/>
    <w:rsid w:val="006C7DED"/>
    <w:rsid w:val="006D02CE"/>
    <w:rsid w:val="006D0D6E"/>
    <w:rsid w:val="006D102B"/>
    <w:rsid w:val="006D10A6"/>
    <w:rsid w:val="006D54E7"/>
    <w:rsid w:val="006D74BB"/>
    <w:rsid w:val="006E02DB"/>
    <w:rsid w:val="006E1FCB"/>
    <w:rsid w:val="006E2682"/>
    <w:rsid w:val="006E30BD"/>
    <w:rsid w:val="006E37CC"/>
    <w:rsid w:val="006E60EE"/>
    <w:rsid w:val="006F03AD"/>
    <w:rsid w:val="006F1376"/>
    <w:rsid w:val="006F14AC"/>
    <w:rsid w:val="006F1A6F"/>
    <w:rsid w:val="006F1FA9"/>
    <w:rsid w:val="006F296B"/>
    <w:rsid w:val="006F4905"/>
    <w:rsid w:val="006F5151"/>
    <w:rsid w:val="006F771E"/>
    <w:rsid w:val="006F7EC4"/>
    <w:rsid w:val="007009E6"/>
    <w:rsid w:val="007013A5"/>
    <w:rsid w:val="00703603"/>
    <w:rsid w:val="00703997"/>
    <w:rsid w:val="00703BFB"/>
    <w:rsid w:val="00703D4E"/>
    <w:rsid w:val="00704939"/>
    <w:rsid w:val="00705FEA"/>
    <w:rsid w:val="007061EF"/>
    <w:rsid w:val="00707266"/>
    <w:rsid w:val="007076A5"/>
    <w:rsid w:val="00707712"/>
    <w:rsid w:val="00710BDD"/>
    <w:rsid w:val="00711548"/>
    <w:rsid w:val="007116B7"/>
    <w:rsid w:val="00711D7A"/>
    <w:rsid w:val="0071337C"/>
    <w:rsid w:val="0071344C"/>
    <w:rsid w:val="00714EF6"/>
    <w:rsid w:val="007152C8"/>
    <w:rsid w:val="00717B3A"/>
    <w:rsid w:val="00720086"/>
    <w:rsid w:val="0072116B"/>
    <w:rsid w:val="00722482"/>
    <w:rsid w:val="007244F1"/>
    <w:rsid w:val="00724649"/>
    <w:rsid w:val="00725F26"/>
    <w:rsid w:val="00726941"/>
    <w:rsid w:val="00727233"/>
    <w:rsid w:val="00727B74"/>
    <w:rsid w:val="00727DC9"/>
    <w:rsid w:val="00727EF1"/>
    <w:rsid w:val="00730219"/>
    <w:rsid w:val="00730616"/>
    <w:rsid w:val="00730E0A"/>
    <w:rsid w:val="00733431"/>
    <w:rsid w:val="00736854"/>
    <w:rsid w:val="00741BC8"/>
    <w:rsid w:val="00742B9D"/>
    <w:rsid w:val="0074356A"/>
    <w:rsid w:val="0074386F"/>
    <w:rsid w:val="00743C17"/>
    <w:rsid w:val="00746372"/>
    <w:rsid w:val="00746D3C"/>
    <w:rsid w:val="00750B50"/>
    <w:rsid w:val="00751E10"/>
    <w:rsid w:val="0075413A"/>
    <w:rsid w:val="0075470D"/>
    <w:rsid w:val="00755084"/>
    <w:rsid w:val="007552E0"/>
    <w:rsid w:val="00755525"/>
    <w:rsid w:val="00755737"/>
    <w:rsid w:val="007561B3"/>
    <w:rsid w:val="0075638B"/>
    <w:rsid w:val="00756662"/>
    <w:rsid w:val="007566DA"/>
    <w:rsid w:val="00756E99"/>
    <w:rsid w:val="007570FC"/>
    <w:rsid w:val="00757A0A"/>
    <w:rsid w:val="00757A14"/>
    <w:rsid w:val="007607AE"/>
    <w:rsid w:val="00760FDF"/>
    <w:rsid w:val="00765AED"/>
    <w:rsid w:val="007678C5"/>
    <w:rsid w:val="0077037A"/>
    <w:rsid w:val="0077144C"/>
    <w:rsid w:val="0077271D"/>
    <w:rsid w:val="007728BC"/>
    <w:rsid w:val="00772F41"/>
    <w:rsid w:val="00776005"/>
    <w:rsid w:val="0078296A"/>
    <w:rsid w:val="00782B5A"/>
    <w:rsid w:val="00782BB8"/>
    <w:rsid w:val="00784858"/>
    <w:rsid w:val="00784E1C"/>
    <w:rsid w:val="00786158"/>
    <w:rsid w:val="00792D8F"/>
    <w:rsid w:val="00793EA4"/>
    <w:rsid w:val="00794003"/>
    <w:rsid w:val="00795242"/>
    <w:rsid w:val="00795291"/>
    <w:rsid w:val="007956C8"/>
    <w:rsid w:val="00795E31"/>
    <w:rsid w:val="007A2449"/>
    <w:rsid w:val="007A335C"/>
    <w:rsid w:val="007A4196"/>
    <w:rsid w:val="007A48B1"/>
    <w:rsid w:val="007A5E0A"/>
    <w:rsid w:val="007A6905"/>
    <w:rsid w:val="007A7D5B"/>
    <w:rsid w:val="007B050C"/>
    <w:rsid w:val="007B0BAB"/>
    <w:rsid w:val="007B1A41"/>
    <w:rsid w:val="007B3C60"/>
    <w:rsid w:val="007C013A"/>
    <w:rsid w:val="007C0D7B"/>
    <w:rsid w:val="007C33B4"/>
    <w:rsid w:val="007C3694"/>
    <w:rsid w:val="007C398B"/>
    <w:rsid w:val="007C3E04"/>
    <w:rsid w:val="007C443B"/>
    <w:rsid w:val="007D00CF"/>
    <w:rsid w:val="007D1DDE"/>
    <w:rsid w:val="007D2ED8"/>
    <w:rsid w:val="007D2FD6"/>
    <w:rsid w:val="007D341D"/>
    <w:rsid w:val="007D4FA8"/>
    <w:rsid w:val="007D5458"/>
    <w:rsid w:val="007D5AD4"/>
    <w:rsid w:val="007D629C"/>
    <w:rsid w:val="007E28FF"/>
    <w:rsid w:val="007E5786"/>
    <w:rsid w:val="007E5BED"/>
    <w:rsid w:val="007E5F76"/>
    <w:rsid w:val="007E6085"/>
    <w:rsid w:val="007E6771"/>
    <w:rsid w:val="007F06A3"/>
    <w:rsid w:val="007F142C"/>
    <w:rsid w:val="007F4A22"/>
    <w:rsid w:val="007F576D"/>
    <w:rsid w:val="00800728"/>
    <w:rsid w:val="00801498"/>
    <w:rsid w:val="0080184E"/>
    <w:rsid w:val="0080190B"/>
    <w:rsid w:val="00803644"/>
    <w:rsid w:val="00807FEF"/>
    <w:rsid w:val="00810664"/>
    <w:rsid w:val="0081085D"/>
    <w:rsid w:val="00810D3C"/>
    <w:rsid w:val="00810DA7"/>
    <w:rsid w:val="00810E90"/>
    <w:rsid w:val="00812EDE"/>
    <w:rsid w:val="008140CE"/>
    <w:rsid w:val="00815228"/>
    <w:rsid w:val="0081583E"/>
    <w:rsid w:val="00817B13"/>
    <w:rsid w:val="00820444"/>
    <w:rsid w:val="008204FD"/>
    <w:rsid w:val="0082128B"/>
    <w:rsid w:val="00821CED"/>
    <w:rsid w:val="0082343C"/>
    <w:rsid w:val="008236D0"/>
    <w:rsid w:val="008248FB"/>
    <w:rsid w:val="00824DDC"/>
    <w:rsid w:val="0082567D"/>
    <w:rsid w:val="00825A55"/>
    <w:rsid w:val="0082647B"/>
    <w:rsid w:val="00826C8F"/>
    <w:rsid w:val="00826FFD"/>
    <w:rsid w:val="0083014A"/>
    <w:rsid w:val="008324CD"/>
    <w:rsid w:val="00833A5B"/>
    <w:rsid w:val="008351C1"/>
    <w:rsid w:val="00835B3D"/>
    <w:rsid w:val="008370FF"/>
    <w:rsid w:val="00837E6E"/>
    <w:rsid w:val="00840296"/>
    <w:rsid w:val="00840808"/>
    <w:rsid w:val="00840A58"/>
    <w:rsid w:val="00841944"/>
    <w:rsid w:val="00845837"/>
    <w:rsid w:val="0084615B"/>
    <w:rsid w:val="00846D9B"/>
    <w:rsid w:val="00851299"/>
    <w:rsid w:val="00851D30"/>
    <w:rsid w:val="008536EA"/>
    <w:rsid w:val="008553EA"/>
    <w:rsid w:val="00855848"/>
    <w:rsid w:val="00855EA4"/>
    <w:rsid w:val="00857008"/>
    <w:rsid w:val="00857C93"/>
    <w:rsid w:val="008601B6"/>
    <w:rsid w:val="00861DB1"/>
    <w:rsid w:val="00865113"/>
    <w:rsid w:val="008675BF"/>
    <w:rsid w:val="00867C54"/>
    <w:rsid w:val="00870574"/>
    <w:rsid w:val="00870A58"/>
    <w:rsid w:val="008713F1"/>
    <w:rsid w:val="0087247A"/>
    <w:rsid w:val="00873DA7"/>
    <w:rsid w:val="00874100"/>
    <w:rsid w:val="008753F5"/>
    <w:rsid w:val="008754BC"/>
    <w:rsid w:val="008758BB"/>
    <w:rsid w:val="00875F2E"/>
    <w:rsid w:val="008766A9"/>
    <w:rsid w:val="00880200"/>
    <w:rsid w:val="0088198E"/>
    <w:rsid w:val="008820D8"/>
    <w:rsid w:val="00882E0C"/>
    <w:rsid w:val="00882E7D"/>
    <w:rsid w:val="00883328"/>
    <w:rsid w:val="00883D9E"/>
    <w:rsid w:val="00884678"/>
    <w:rsid w:val="00886253"/>
    <w:rsid w:val="00886445"/>
    <w:rsid w:val="00886FCE"/>
    <w:rsid w:val="00887079"/>
    <w:rsid w:val="00895151"/>
    <w:rsid w:val="00895A82"/>
    <w:rsid w:val="008975FB"/>
    <w:rsid w:val="00897FE8"/>
    <w:rsid w:val="008A14EB"/>
    <w:rsid w:val="008A3D59"/>
    <w:rsid w:val="008A5805"/>
    <w:rsid w:val="008A5E1A"/>
    <w:rsid w:val="008A6042"/>
    <w:rsid w:val="008A66AF"/>
    <w:rsid w:val="008A66E7"/>
    <w:rsid w:val="008B11B4"/>
    <w:rsid w:val="008B12B6"/>
    <w:rsid w:val="008B1943"/>
    <w:rsid w:val="008B1959"/>
    <w:rsid w:val="008B196A"/>
    <w:rsid w:val="008B199F"/>
    <w:rsid w:val="008B3F95"/>
    <w:rsid w:val="008B57DB"/>
    <w:rsid w:val="008B6BD1"/>
    <w:rsid w:val="008C1058"/>
    <w:rsid w:val="008C16B6"/>
    <w:rsid w:val="008C1BA5"/>
    <w:rsid w:val="008C3C24"/>
    <w:rsid w:val="008C3E2A"/>
    <w:rsid w:val="008C4BF4"/>
    <w:rsid w:val="008C4DF4"/>
    <w:rsid w:val="008C6BFB"/>
    <w:rsid w:val="008C7941"/>
    <w:rsid w:val="008D0FD3"/>
    <w:rsid w:val="008D1CE9"/>
    <w:rsid w:val="008D276D"/>
    <w:rsid w:val="008D536E"/>
    <w:rsid w:val="008D55A0"/>
    <w:rsid w:val="008D56AD"/>
    <w:rsid w:val="008D5B59"/>
    <w:rsid w:val="008D5F23"/>
    <w:rsid w:val="008D63AB"/>
    <w:rsid w:val="008D6739"/>
    <w:rsid w:val="008D7229"/>
    <w:rsid w:val="008D7D62"/>
    <w:rsid w:val="008E0DA9"/>
    <w:rsid w:val="008E163A"/>
    <w:rsid w:val="008E1781"/>
    <w:rsid w:val="008E1920"/>
    <w:rsid w:val="008E2A0A"/>
    <w:rsid w:val="008E392A"/>
    <w:rsid w:val="008E3C6A"/>
    <w:rsid w:val="008E4474"/>
    <w:rsid w:val="008E50EB"/>
    <w:rsid w:val="008E5A4C"/>
    <w:rsid w:val="008E5CBD"/>
    <w:rsid w:val="008E7431"/>
    <w:rsid w:val="008F0305"/>
    <w:rsid w:val="008F1456"/>
    <w:rsid w:val="008F3F5B"/>
    <w:rsid w:val="008F4EF6"/>
    <w:rsid w:val="008F5256"/>
    <w:rsid w:val="008F601B"/>
    <w:rsid w:val="008F6306"/>
    <w:rsid w:val="008F6363"/>
    <w:rsid w:val="008F783A"/>
    <w:rsid w:val="0090279F"/>
    <w:rsid w:val="00902E94"/>
    <w:rsid w:val="00903AFC"/>
    <w:rsid w:val="00905A5F"/>
    <w:rsid w:val="0090619E"/>
    <w:rsid w:val="0090689F"/>
    <w:rsid w:val="0090709E"/>
    <w:rsid w:val="00907AB8"/>
    <w:rsid w:val="00910E43"/>
    <w:rsid w:val="00910E6A"/>
    <w:rsid w:val="00910FE5"/>
    <w:rsid w:val="00911376"/>
    <w:rsid w:val="00911985"/>
    <w:rsid w:val="009134FB"/>
    <w:rsid w:val="00914691"/>
    <w:rsid w:val="00914947"/>
    <w:rsid w:val="00914D7A"/>
    <w:rsid w:val="00915000"/>
    <w:rsid w:val="0091641E"/>
    <w:rsid w:val="009170EE"/>
    <w:rsid w:val="00917537"/>
    <w:rsid w:val="00920093"/>
    <w:rsid w:val="009203E0"/>
    <w:rsid w:val="00920E39"/>
    <w:rsid w:val="009213EA"/>
    <w:rsid w:val="00923A2A"/>
    <w:rsid w:val="00923CD3"/>
    <w:rsid w:val="00925AE7"/>
    <w:rsid w:val="00925D8D"/>
    <w:rsid w:val="009265D9"/>
    <w:rsid w:val="00926904"/>
    <w:rsid w:val="0093239F"/>
    <w:rsid w:val="009323C1"/>
    <w:rsid w:val="00932D02"/>
    <w:rsid w:val="00934CB3"/>
    <w:rsid w:val="00935710"/>
    <w:rsid w:val="00941533"/>
    <w:rsid w:val="00945321"/>
    <w:rsid w:val="009465FA"/>
    <w:rsid w:val="00946782"/>
    <w:rsid w:val="00947DD2"/>
    <w:rsid w:val="00950131"/>
    <w:rsid w:val="00950193"/>
    <w:rsid w:val="00951A42"/>
    <w:rsid w:val="00953020"/>
    <w:rsid w:val="009550F6"/>
    <w:rsid w:val="009572E9"/>
    <w:rsid w:val="0095743F"/>
    <w:rsid w:val="0095774B"/>
    <w:rsid w:val="0096002C"/>
    <w:rsid w:val="009609D6"/>
    <w:rsid w:val="00962C13"/>
    <w:rsid w:val="00962C96"/>
    <w:rsid w:val="009633F9"/>
    <w:rsid w:val="009650C4"/>
    <w:rsid w:val="00965342"/>
    <w:rsid w:val="009654A6"/>
    <w:rsid w:val="009670F9"/>
    <w:rsid w:val="0096799D"/>
    <w:rsid w:val="0097398B"/>
    <w:rsid w:val="0097425E"/>
    <w:rsid w:val="0097496B"/>
    <w:rsid w:val="00974F4E"/>
    <w:rsid w:val="00975A5A"/>
    <w:rsid w:val="009766B4"/>
    <w:rsid w:val="009778C1"/>
    <w:rsid w:val="0097790E"/>
    <w:rsid w:val="00980FDB"/>
    <w:rsid w:val="00982743"/>
    <w:rsid w:val="00985F8B"/>
    <w:rsid w:val="009861A6"/>
    <w:rsid w:val="009879AB"/>
    <w:rsid w:val="00987B48"/>
    <w:rsid w:val="00990341"/>
    <w:rsid w:val="00991260"/>
    <w:rsid w:val="009917E6"/>
    <w:rsid w:val="009919BA"/>
    <w:rsid w:val="00991E04"/>
    <w:rsid w:val="00991F90"/>
    <w:rsid w:val="00993FB7"/>
    <w:rsid w:val="00994EE3"/>
    <w:rsid w:val="0099594E"/>
    <w:rsid w:val="00995F2B"/>
    <w:rsid w:val="00996891"/>
    <w:rsid w:val="00997F99"/>
    <w:rsid w:val="009A116D"/>
    <w:rsid w:val="009A3047"/>
    <w:rsid w:val="009A3C17"/>
    <w:rsid w:val="009A7092"/>
    <w:rsid w:val="009B103D"/>
    <w:rsid w:val="009B164D"/>
    <w:rsid w:val="009B194C"/>
    <w:rsid w:val="009B215B"/>
    <w:rsid w:val="009B2177"/>
    <w:rsid w:val="009B3151"/>
    <w:rsid w:val="009B357C"/>
    <w:rsid w:val="009B36A1"/>
    <w:rsid w:val="009B41EA"/>
    <w:rsid w:val="009B455B"/>
    <w:rsid w:val="009B4BDD"/>
    <w:rsid w:val="009B592A"/>
    <w:rsid w:val="009B63C2"/>
    <w:rsid w:val="009B6B28"/>
    <w:rsid w:val="009C11C0"/>
    <w:rsid w:val="009C4364"/>
    <w:rsid w:val="009C4F2D"/>
    <w:rsid w:val="009C5B9F"/>
    <w:rsid w:val="009C7F6F"/>
    <w:rsid w:val="009D053E"/>
    <w:rsid w:val="009D119D"/>
    <w:rsid w:val="009D17F3"/>
    <w:rsid w:val="009D2483"/>
    <w:rsid w:val="009D260F"/>
    <w:rsid w:val="009D3954"/>
    <w:rsid w:val="009D412C"/>
    <w:rsid w:val="009D4458"/>
    <w:rsid w:val="009D4CBB"/>
    <w:rsid w:val="009D5D32"/>
    <w:rsid w:val="009E1DEC"/>
    <w:rsid w:val="009E388F"/>
    <w:rsid w:val="009E3D5E"/>
    <w:rsid w:val="009E59BC"/>
    <w:rsid w:val="009E7A36"/>
    <w:rsid w:val="009F04C9"/>
    <w:rsid w:val="009F07DB"/>
    <w:rsid w:val="009F0D97"/>
    <w:rsid w:val="009F276F"/>
    <w:rsid w:val="009F3609"/>
    <w:rsid w:val="009F3892"/>
    <w:rsid w:val="009F3C5D"/>
    <w:rsid w:val="009F6A2F"/>
    <w:rsid w:val="00A007E9"/>
    <w:rsid w:val="00A0085A"/>
    <w:rsid w:val="00A01161"/>
    <w:rsid w:val="00A0235A"/>
    <w:rsid w:val="00A02728"/>
    <w:rsid w:val="00A03093"/>
    <w:rsid w:val="00A0321F"/>
    <w:rsid w:val="00A03BD5"/>
    <w:rsid w:val="00A05282"/>
    <w:rsid w:val="00A06563"/>
    <w:rsid w:val="00A07F59"/>
    <w:rsid w:val="00A10A23"/>
    <w:rsid w:val="00A11BA9"/>
    <w:rsid w:val="00A144BB"/>
    <w:rsid w:val="00A1520A"/>
    <w:rsid w:val="00A1675A"/>
    <w:rsid w:val="00A16B56"/>
    <w:rsid w:val="00A179FA"/>
    <w:rsid w:val="00A20625"/>
    <w:rsid w:val="00A21D8C"/>
    <w:rsid w:val="00A21F9C"/>
    <w:rsid w:val="00A22A96"/>
    <w:rsid w:val="00A2363A"/>
    <w:rsid w:val="00A2455B"/>
    <w:rsid w:val="00A24B53"/>
    <w:rsid w:val="00A27689"/>
    <w:rsid w:val="00A30086"/>
    <w:rsid w:val="00A3027C"/>
    <w:rsid w:val="00A30F39"/>
    <w:rsid w:val="00A35242"/>
    <w:rsid w:val="00A35CC3"/>
    <w:rsid w:val="00A364AA"/>
    <w:rsid w:val="00A366DE"/>
    <w:rsid w:val="00A40DF1"/>
    <w:rsid w:val="00A41328"/>
    <w:rsid w:val="00A41A2F"/>
    <w:rsid w:val="00A42DF5"/>
    <w:rsid w:val="00A43EED"/>
    <w:rsid w:val="00A44B9A"/>
    <w:rsid w:val="00A52AF3"/>
    <w:rsid w:val="00A5615F"/>
    <w:rsid w:val="00A57F07"/>
    <w:rsid w:val="00A60DC0"/>
    <w:rsid w:val="00A63EA5"/>
    <w:rsid w:val="00A64005"/>
    <w:rsid w:val="00A65AD0"/>
    <w:rsid w:val="00A65E86"/>
    <w:rsid w:val="00A65EDF"/>
    <w:rsid w:val="00A666C2"/>
    <w:rsid w:val="00A67210"/>
    <w:rsid w:val="00A70568"/>
    <w:rsid w:val="00A70ED7"/>
    <w:rsid w:val="00A713F4"/>
    <w:rsid w:val="00A71B34"/>
    <w:rsid w:val="00A72A5E"/>
    <w:rsid w:val="00A74073"/>
    <w:rsid w:val="00A762B5"/>
    <w:rsid w:val="00A77920"/>
    <w:rsid w:val="00A8024E"/>
    <w:rsid w:val="00A81220"/>
    <w:rsid w:val="00A812F5"/>
    <w:rsid w:val="00A83103"/>
    <w:rsid w:val="00A842A9"/>
    <w:rsid w:val="00A84F9D"/>
    <w:rsid w:val="00A875F4"/>
    <w:rsid w:val="00A87B69"/>
    <w:rsid w:val="00A87C3A"/>
    <w:rsid w:val="00A90F21"/>
    <w:rsid w:val="00A92994"/>
    <w:rsid w:val="00A92E4F"/>
    <w:rsid w:val="00A933D8"/>
    <w:rsid w:val="00A93C2A"/>
    <w:rsid w:val="00A93ED6"/>
    <w:rsid w:val="00A942D8"/>
    <w:rsid w:val="00A9431D"/>
    <w:rsid w:val="00A96691"/>
    <w:rsid w:val="00A96E94"/>
    <w:rsid w:val="00AA0360"/>
    <w:rsid w:val="00AA1E01"/>
    <w:rsid w:val="00AA2E4A"/>
    <w:rsid w:val="00AA2E6E"/>
    <w:rsid w:val="00AA5F15"/>
    <w:rsid w:val="00AA774E"/>
    <w:rsid w:val="00AB1285"/>
    <w:rsid w:val="00AB4441"/>
    <w:rsid w:val="00AB4709"/>
    <w:rsid w:val="00AB66AB"/>
    <w:rsid w:val="00AB6D83"/>
    <w:rsid w:val="00AB74A7"/>
    <w:rsid w:val="00AC15F1"/>
    <w:rsid w:val="00AC1640"/>
    <w:rsid w:val="00AC2B5F"/>
    <w:rsid w:val="00AC4380"/>
    <w:rsid w:val="00AC53FB"/>
    <w:rsid w:val="00AC5F48"/>
    <w:rsid w:val="00AD04EC"/>
    <w:rsid w:val="00AD0F7E"/>
    <w:rsid w:val="00AD1DBC"/>
    <w:rsid w:val="00AD30DF"/>
    <w:rsid w:val="00AD4310"/>
    <w:rsid w:val="00AD4453"/>
    <w:rsid w:val="00AD44B5"/>
    <w:rsid w:val="00AD4E55"/>
    <w:rsid w:val="00AD55B2"/>
    <w:rsid w:val="00AD657D"/>
    <w:rsid w:val="00AD6E17"/>
    <w:rsid w:val="00AD768F"/>
    <w:rsid w:val="00AE3C73"/>
    <w:rsid w:val="00AE4BE3"/>
    <w:rsid w:val="00AE4ED8"/>
    <w:rsid w:val="00AE4FDD"/>
    <w:rsid w:val="00AE580C"/>
    <w:rsid w:val="00AF00A4"/>
    <w:rsid w:val="00AF0680"/>
    <w:rsid w:val="00AF1145"/>
    <w:rsid w:val="00AF17CF"/>
    <w:rsid w:val="00AF201A"/>
    <w:rsid w:val="00AF2A01"/>
    <w:rsid w:val="00AF32DD"/>
    <w:rsid w:val="00AF35AA"/>
    <w:rsid w:val="00AF3C98"/>
    <w:rsid w:val="00AF41D0"/>
    <w:rsid w:val="00AF45BA"/>
    <w:rsid w:val="00AF4A39"/>
    <w:rsid w:val="00AF5D79"/>
    <w:rsid w:val="00B000D2"/>
    <w:rsid w:val="00B0051F"/>
    <w:rsid w:val="00B02DF0"/>
    <w:rsid w:val="00B030C9"/>
    <w:rsid w:val="00B0605D"/>
    <w:rsid w:val="00B0676B"/>
    <w:rsid w:val="00B06A60"/>
    <w:rsid w:val="00B07EA7"/>
    <w:rsid w:val="00B108DF"/>
    <w:rsid w:val="00B10A35"/>
    <w:rsid w:val="00B11A30"/>
    <w:rsid w:val="00B1376B"/>
    <w:rsid w:val="00B13E07"/>
    <w:rsid w:val="00B1773D"/>
    <w:rsid w:val="00B178FB"/>
    <w:rsid w:val="00B21D33"/>
    <w:rsid w:val="00B21D67"/>
    <w:rsid w:val="00B230E2"/>
    <w:rsid w:val="00B23B25"/>
    <w:rsid w:val="00B240F4"/>
    <w:rsid w:val="00B26A80"/>
    <w:rsid w:val="00B2740F"/>
    <w:rsid w:val="00B279BC"/>
    <w:rsid w:val="00B30605"/>
    <w:rsid w:val="00B328E6"/>
    <w:rsid w:val="00B32C8D"/>
    <w:rsid w:val="00B33A45"/>
    <w:rsid w:val="00B34C8A"/>
    <w:rsid w:val="00B34E78"/>
    <w:rsid w:val="00B3538A"/>
    <w:rsid w:val="00B35DBE"/>
    <w:rsid w:val="00B35EDF"/>
    <w:rsid w:val="00B41552"/>
    <w:rsid w:val="00B44C43"/>
    <w:rsid w:val="00B45106"/>
    <w:rsid w:val="00B46015"/>
    <w:rsid w:val="00B46709"/>
    <w:rsid w:val="00B50EE1"/>
    <w:rsid w:val="00B520AA"/>
    <w:rsid w:val="00B52B5F"/>
    <w:rsid w:val="00B52CB7"/>
    <w:rsid w:val="00B541A2"/>
    <w:rsid w:val="00B55BE7"/>
    <w:rsid w:val="00B564E9"/>
    <w:rsid w:val="00B56FBA"/>
    <w:rsid w:val="00B605A5"/>
    <w:rsid w:val="00B60A7B"/>
    <w:rsid w:val="00B61FA7"/>
    <w:rsid w:val="00B630D9"/>
    <w:rsid w:val="00B658B8"/>
    <w:rsid w:val="00B674B3"/>
    <w:rsid w:val="00B70A67"/>
    <w:rsid w:val="00B70BFB"/>
    <w:rsid w:val="00B72671"/>
    <w:rsid w:val="00B72987"/>
    <w:rsid w:val="00B73F34"/>
    <w:rsid w:val="00B749A2"/>
    <w:rsid w:val="00B76D3A"/>
    <w:rsid w:val="00B7751F"/>
    <w:rsid w:val="00B77C4B"/>
    <w:rsid w:val="00B80675"/>
    <w:rsid w:val="00B80973"/>
    <w:rsid w:val="00B8215C"/>
    <w:rsid w:val="00B8288E"/>
    <w:rsid w:val="00B82894"/>
    <w:rsid w:val="00B82907"/>
    <w:rsid w:val="00B83268"/>
    <w:rsid w:val="00B842CB"/>
    <w:rsid w:val="00B848FF"/>
    <w:rsid w:val="00B87EAE"/>
    <w:rsid w:val="00B905AE"/>
    <w:rsid w:val="00B91493"/>
    <w:rsid w:val="00B91BCA"/>
    <w:rsid w:val="00B928A1"/>
    <w:rsid w:val="00B93E0B"/>
    <w:rsid w:val="00B94318"/>
    <w:rsid w:val="00B95282"/>
    <w:rsid w:val="00B96CBA"/>
    <w:rsid w:val="00B96D1D"/>
    <w:rsid w:val="00B96E30"/>
    <w:rsid w:val="00B979D2"/>
    <w:rsid w:val="00BA0630"/>
    <w:rsid w:val="00BA11C6"/>
    <w:rsid w:val="00BA25C9"/>
    <w:rsid w:val="00BA3712"/>
    <w:rsid w:val="00BA3922"/>
    <w:rsid w:val="00BA3D34"/>
    <w:rsid w:val="00BA5A59"/>
    <w:rsid w:val="00BB0A57"/>
    <w:rsid w:val="00BB10A7"/>
    <w:rsid w:val="00BB1FEB"/>
    <w:rsid w:val="00BB41BD"/>
    <w:rsid w:val="00BC01DA"/>
    <w:rsid w:val="00BC0857"/>
    <w:rsid w:val="00BC1430"/>
    <w:rsid w:val="00BC22CB"/>
    <w:rsid w:val="00BC2941"/>
    <w:rsid w:val="00BC30A1"/>
    <w:rsid w:val="00BD1D3C"/>
    <w:rsid w:val="00BD2B95"/>
    <w:rsid w:val="00BD4DC3"/>
    <w:rsid w:val="00BD52D8"/>
    <w:rsid w:val="00BD5F26"/>
    <w:rsid w:val="00BD6284"/>
    <w:rsid w:val="00BE5230"/>
    <w:rsid w:val="00BE660B"/>
    <w:rsid w:val="00BE665B"/>
    <w:rsid w:val="00BE6F49"/>
    <w:rsid w:val="00BF1C55"/>
    <w:rsid w:val="00BF67ED"/>
    <w:rsid w:val="00C00990"/>
    <w:rsid w:val="00C01B34"/>
    <w:rsid w:val="00C02F18"/>
    <w:rsid w:val="00C04973"/>
    <w:rsid w:val="00C05BD0"/>
    <w:rsid w:val="00C05EAA"/>
    <w:rsid w:val="00C06E67"/>
    <w:rsid w:val="00C073DF"/>
    <w:rsid w:val="00C07969"/>
    <w:rsid w:val="00C10675"/>
    <w:rsid w:val="00C14796"/>
    <w:rsid w:val="00C1484A"/>
    <w:rsid w:val="00C153AF"/>
    <w:rsid w:val="00C168F1"/>
    <w:rsid w:val="00C1736F"/>
    <w:rsid w:val="00C17485"/>
    <w:rsid w:val="00C214A2"/>
    <w:rsid w:val="00C21B13"/>
    <w:rsid w:val="00C23B7C"/>
    <w:rsid w:val="00C23C92"/>
    <w:rsid w:val="00C24558"/>
    <w:rsid w:val="00C245B7"/>
    <w:rsid w:val="00C324F5"/>
    <w:rsid w:val="00C3410A"/>
    <w:rsid w:val="00C347FB"/>
    <w:rsid w:val="00C34D50"/>
    <w:rsid w:val="00C35D36"/>
    <w:rsid w:val="00C360FF"/>
    <w:rsid w:val="00C36AEB"/>
    <w:rsid w:val="00C37572"/>
    <w:rsid w:val="00C41BF3"/>
    <w:rsid w:val="00C43343"/>
    <w:rsid w:val="00C434D1"/>
    <w:rsid w:val="00C51338"/>
    <w:rsid w:val="00C51A3D"/>
    <w:rsid w:val="00C51B74"/>
    <w:rsid w:val="00C52EED"/>
    <w:rsid w:val="00C53027"/>
    <w:rsid w:val="00C53ED5"/>
    <w:rsid w:val="00C57C42"/>
    <w:rsid w:val="00C57FE5"/>
    <w:rsid w:val="00C617F5"/>
    <w:rsid w:val="00C63CE1"/>
    <w:rsid w:val="00C644DA"/>
    <w:rsid w:val="00C6521E"/>
    <w:rsid w:val="00C6566D"/>
    <w:rsid w:val="00C667D2"/>
    <w:rsid w:val="00C66DB0"/>
    <w:rsid w:val="00C672C0"/>
    <w:rsid w:val="00C67467"/>
    <w:rsid w:val="00C70936"/>
    <w:rsid w:val="00C71749"/>
    <w:rsid w:val="00C72892"/>
    <w:rsid w:val="00C729CB"/>
    <w:rsid w:val="00C73869"/>
    <w:rsid w:val="00C74A25"/>
    <w:rsid w:val="00C74DEE"/>
    <w:rsid w:val="00C75611"/>
    <w:rsid w:val="00C76117"/>
    <w:rsid w:val="00C77718"/>
    <w:rsid w:val="00C77D77"/>
    <w:rsid w:val="00C8068E"/>
    <w:rsid w:val="00C84F37"/>
    <w:rsid w:val="00C85888"/>
    <w:rsid w:val="00C85B25"/>
    <w:rsid w:val="00C8634B"/>
    <w:rsid w:val="00C911FF"/>
    <w:rsid w:val="00C91996"/>
    <w:rsid w:val="00C9674D"/>
    <w:rsid w:val="00C9758B"/>
    <w:rsid w:val="00C97D50"/>
    <w:rsid w:val="00CA01A1"/>
    <w:rsid w:val="00CA54B8"/>
    <w:rsid w:val="00CA6FD7"/>
    <w:rsid w:val="00CA70CA"/>
    <w:rsid w:val="00CB0B56"/>
    <w:rsid w:val="00CB0CAB"/>
    <w:rsid w:val="00CB1C6B"/>
    <w:rsid w:val="00CB222D"/>
    <w:rsid w:val="00CB22DF"/>
    <w:rsid w:val="00CB2ACB"/>
    <w:rsid w:val="00CB3E8F"/>
    <w:rsid w:val="00CB449E"/>
    <w:rsid w:val="00CB4E7D"/>
    <w:rsid w:val="00CB5732"/>
    <w:rsid w:val="00CB5C84"/>
    <w:rsid w:val="00CB6470"/>
    <w:rsid w:val="00CB7369"/>
    <w:rsid w:val="00CB7D79"/>
    <w:rsid w:val="00CB7D82"/>
    <w:rsid w:val="00CC01D9"/>
    <w:rsid w:val="00CC0CDF"/>
    <w:rsid w:val="00CC21A2"/>
    <w:rsid w:val="00CC284C"/>
    <w:rsid w:val="00CC3540"/>
    <w:rsid w:val="00CC45CF"/>
    <w:rsid w:val="00CC59AE"/>
    <w:rsid w:val="00CC6428"/>
    <w:rsid w:val="00CC684B"/>
    <w:rsid w:val="00CD0F65"/>
    <w:rsid w:val="00CD22D2"/>
    <w:rsid w:val="00CD3538"/>
    <w:rsid w:val="00CD37B2"/>
    <w:rsid w:val="00CD53D0"/>
    <w:rsid w:val="00CD58AE"/>
    <w:rsid w:val="00CD66DB"/>
    <w:rsid w:val="00CD6ABD"/>
    <w:rsid w:val="00CD789F"/>
    <w:rsid w:val="00CD7BFC"/>
    <w:rsid w:val="00CD7C1C"/>
    <w:rsid w:val="00CE4573"/>
    <w:rsid w:val="00CE5F69"/>
    <w:rsid w:val="00CE737F"/>
    <w:rsid w:val="00CF0680"/>
    <w:rsid w:val="00CF07DC"/>
    <w:rsid w:val="00CF1069"/>
    <w:rsid w:val="00CF1B3F"/>
    <w:rsid w:val="00CF3B9E"/>
    <w:rsid w:val="00CF4D74"/>
    <w:rsid w:val="00CF61EB"/>
    <w:rsid w:val="00CF626E"/>
    <w:rsid w:val="00D00280"/>
    <w:rsid w:val="00D01BD4"/>
    <w:rsid w:val="00D03113"/>
    <w:rsid w:val="00D040CB"/>
    <w:rsid w:val="00D05313"/>
    <w:rsid w:val="00D05DED"/>
    <w:rsid w:val="00D05EDA"/>
    <w:rsid w:val="00D06171"/>
    <w:rsid w:val="00D07819"/>
    <w:rsid w:val="00D079C5"/>
    <w:rsid w:val="00D100DB"/>
    <w:rsid w:val="00D100E7"/>
    <w:rsid w:val="00D10386"/>
    <w:rsid w:val="00D12277"/>
    <w:rsid w:val="00D1251B"/>
    <w:rsid w:val="00D12A30"/>
    <w:rsid w:val="00D12B71"/>
    <w:rsid w:val="00D13B45"/>
    <w:rsid w:val="00D142A1"/>
    <w:rsid w:val="00D1451F"/>
    <w:rsid w:val="00D151E8"/>
    <w:rsid w:val="00D15CEF"/>
    <w:rsid w:val="00D15D6D"/>
    <w:rsid w:val="00D15DE5"/>
    <w:rsid w:val="00D16188"/>
    <w:rsid w:val="00D162E7"/>
    <w:rsid w:val="00D173AB"/>
    <w:rsid w:val="00D1759A"/>
    <w:rsid w:val="00D204B4"/>
    <w:rsid w:val="00D22058"/>
    <w:rsid w:val="00D22E57"/>
    <w:rsid w:val="00D240AD"/>
    <w:rsid w:val="00D254B8"/>
    <w:rsid w:val="00D26016"/>
    <w:rsid w:val="00D304AF"/>
    <w:rsid w:val="00D30D42"/>
    <w:rsid w:val="00D312DB"/>
    <w:rsid w:val="00D317C7"/>
    <w:rsid w:val="00D31E46"/>
    <w:rsid w:val="00D32787"/>
    <w:rsid w:val="00D32AD1"/>
    <w:rsid w:val="00D32BC3"/>
    <w:rsid w:val="00D358A6"/>
    <w:rsid w:val="00D40380"/>
    <w:rsid w:val="00D40518"/>
    <w:rsid w:val="00D413A6"/>
    <w:rsid w:val="00D41A2A"/>
    <w:rsid w:val="00D43877"/>
    <w:rsid w:val="00D453EE"/>
    <w:rsid w:val="00D46C6B"/>
    <w:rsid w:val="00D47668"/>
    <w:rsid w:val="00D4778D"/>
    <w:rsid w:val="00D47DDC"/>
    <w:rsid w:val="00D5152E"/>
    <w:rsid w:val="00D51886"/>
    <w:rsid w:val="00D51D4F"/>
    <w:rsid w:val="00D52BCE"/>
    <w:rsid w:val="00D5449B"/>
    <w:rsid w:val="00D60299"/>
    <w:rsid w:val="00D605FB"/>
    <w:rsid w:val="00D60C1F"/>
    <w:rsid w:val="00D62BA4"/>
    <w:rsid w:val="00D6301B"/>
    <w:rsid w:val="00D64B2F"/>
    <w:rsid w:val="00D66D63"/>
    <w:rsid w:val="00D67E08"/>
    <w:rsid w:val="00D71EC1"/>
    <w:rsid w:val="00D73AFA"/>
    <w:rsid w:val="00D73D41"/>
    <w:rsid w:val="00D756F7"/>
    <w:rsid w:val="00D75926"/>
    <w:rsid w:val="00D81C08"/>
    <w:rsid w:val="00D83B22"/>
    <w:rsid w:val="00D84A99"/>
    <w:rsid w:val="00D87329"/>
    <w:rsid w:val="00D8738D"/>
    <w:rsid w:val="00D90B20"/>
    <w:rsid w:val="00D90F5C"/>
    <w:rsid w:val="00D9100F"/>
    <w:rsid w:val="00D912CD"/>
    <w:rsid w:val="00D91F7B"/>
    <w:rsid w:val="00D92E4C"/>
    <w:rsid w:val="00D93E3E"/>
    <w:rsid w:val="00D94C75"/>
    <w:rsid w:val="00D96710"/>
    <w:rsid w:val="00D968BF"/>
    <w:rsid w:val="00D96C66"/>
    <w:rsid w:val="00D97074"/>
    <w:rsid w:val="00D979BC"/>
    <w:rsid w:val="00DA0BD8"/>
    <w:rsid w:val="00DA394F"/>
    <w:rsid w:val="00DA593B"/>
    <w:rsid w:val="00DB036F"/>
    <w:rsid w:val="00DB10FC"/>
    <w:rsid w:val="00DB244F"/>
    <w:rsid w:val="00DB5918"/>
    <w:rsid w:val="00DB5C59"/>
    <w:rsid w:val="00DB663D"/>
    <w:rsid w:val="00DB774E"/>
    <w:rsid w:val="00DB7DC3"/>
    <w:rsid w:val="00DC1A59"/>
    <w:rsid w:val="00DC1F10"/>
    <w:rsid w:val="00DC2766"/>
    <w:rsid w:val="00DC3841"/>
    <w:rsid w:val="00DC3C9E"/>
    <w:rsid w:val="00DC4586"/>
    <w:rsid w:val="00DC4617"/>
    <w:rsid w:val="00DC590C"/>
    <w:rsid w:val="00DC5C23"/>
    <w:rsid w:val="00DD00E1"/>
    <w:rsid w:val="00DD0A69"/>
    <w:rsid w:val="00DD14E8"/>
    <w:rsid w:val="00DD1A81"/>
    <w:rsid w:val="00DD2757"/>
    <w:rsid w:val="00DD312C"/>
    <w:rsid w:val="00DD63A3"/>
    <w:rsid w:val="00DE057C"/>
    <w:rsid w:val="00DE0E71"/>
    <w:rsid w:val="00DE1509"/>
    <w:rsid w:val="00DE1AAF"/>
    <w:rsid w:val="00DE2E37"/>
    <w:rsid w:val="00DE34B8"/>
    <w:rsid w:val="00DE3B32"/>
    <w:rsid w:val="00DE4778"/>
    <w:rsid w:val="00DE50EE"/>
    <w:rsid w:val="00DE5399"/>
    <w:rsid w:val="00DE59DF"/>
    <w:rsid w:val="00DE7161"/>
    <w:rsid w:val="00DE773E"/>
    <w:rsid w:val="00DE7C00"/>
    <w:rsid w:val="00DF157B"/>
    <w:rsid w:val="00DF1B0E"/>
    <w:rsid w:val="00DF2ACC"/>
    <w:rsid w:val="00DF3DE5"/>
    <w:rsid w:val="00DF468A"/>
    <w:rsid w:val="00DF7F5A"/>
    <w:rsid w:val="00E00525"/>
    <w:rsid w:val="00E0295F"/>
    <w:rsid w:val="00E039D7"/>
    <w:rsid w:val="00E04DE2"/>
    <w:rsid w:val="00E0589F"/>
    <w:rsid w:val="00E05B7F"/>
    <w:rsid w:val="00E108BF"/>
    <w:rsid w:val="00E10DBC"/>
    <w:rsid w:val="00E11AC8"/>
    <w:rsid w:val="00E12652"/>
    <w:rsid w:val="00E12A65"/>
    <w:rsid w:val="00E14B9E"/>
    <w:rsid w:val="00E15214"/>
    <w:rsid w:val="00E16816"/>
    <w:rsid w:val="00E16BE5"/>
    <w:rsid w:val="00E17500"/>
    <w:rsid w:val="00E1751B"/>
    <w:rsid w:val="00E2081B"/>
    <w:rsid w:val="00E20D65"/>
    <w:rsid w:val="00E214C6"/>
    <w:rsid w:val="00E21B60"/>
    <w:rsid w:val="00E225EB"/>
    <w:rsid w:val="00E24AC1"/>
    <w:rsid w:val="00E24B94"/>
    <w:rsid w:val="00E25FB4"/>
    <w:rsid w:val="00E273F1"/>
    <w:rsid w:val="00E322B0"/>
    <w:rsid w:val="00E329CE"/>
    <w:rsid w:val="00E34165"/>
    <w:rsid w:val="00E34764"/>
    <w:rsid w:val="00E350A4"/>
    <w:rsid w:val="00E36194"/>
    <w:rsid w:val="00E3690E"/>
    <w:rsid w:val="00E36B57"/>
    <w:rsid w:val="00E371EB"/>
    <w:rsid w:val="00E376E9"/>
    <w:rsid w:val="00E37E0F"/>
    <w:rsid w:val="00E404B9"/>
    <w:rsid w:val="00E4085D"/>
    <w:rsid w:val="00E41581"/>
    <w:rsid w:val="00E43088"/>
    <w:rsid w:val="00E44255"/>
    <w:rsid w:val="00E44D1A"/>
    <w:rsid w:val="00E44E82"/>
    <w:rsid w:val="00E46228"/>
    <w:rsid w:val="00E4719F"/>
    <w:rsid w:val="00E47EFC"/>
    <w:rsid w:val="00E50B9B"/>
    <w:rsid w:val="00E51792"/>
    <w:rsid w:val="00E5208F"/>
    <w:rsid w:val="00E52092"/>
    <w:rsid w:val="00E54E8F"/>
    <w:rsid w:val="00E55263"/>
    <w:rsid w:val="00E55AF9"/>
    <w:rsid w:val="00E55F54"/>
    <w:rsid w:val="00E56ADF"/>
    <w:rsid w:val="00E57CC3"/>
    <w:rsid w:val="00E6089C"/>
    <w:rsid w:val="00E60B3F"/>
    <w:rsid w:val="00E60BA4"/>
    <w:rsid w:val="00E614AB"/>
    <w:rsid w:val="00E62548"/>
    <w:rsid w:val="00E62A07"/>
    <w:rsid w:val="00E63066"/>
    <w:rsid w:val="00E64895"/>
    <w:rsid w:val="00E64E57"/>
    <w:rsid w:val="00E65919"/>
    <w:rsid w:val="00E65E80"/>
    <w:rsid w:val="00E66FA1"/>
    <w:rsid w:val="00E675E9"/>
    <w:rsid w:val="00E7115F"/>
    <w:rsid w:val="00E7219B"/>
    <w:rsid w:val="00E72CED"/>
    <w:rsid w:val="00E734E8"/>
    <w:rsid w:val="00E7499A"/>
    <w:rsid w:val="00E7518B"/>
    <w:rsid w:val="00E769D9"/>
    <w:rsid w:val="00E772CE"/>
    <w:rsid w:val="00E773F1"/>
    <w:rsid w:val="00E81295"/>
    <w:rsid w:val="00E83834"/>
    <w:rsid w:val="00E83944"/>
    <w:rsid w:val="00E83E79"/>
    <w:rsid w:val="00E84BC1"/>
    <w:rsid w:val="00E8532D"/>
    <w:rsid w:val="00E85A33"/>
    <w:rsid w:val="00E85F8C"/>
    <w:rsid w:val="00E8665B"/>
    <w:rsid w:val="00E877EA"/>
    <w:rsid w:val="00E91B56"/>
    <w:rsid w:val="00E928CB"/>
    <w:rsid w:val="00E9448C"/>
    <w:rsid w:val="00E95014"/>
    <w:rsid w:val="00E968DE"/>
    <w:rsid w:val="00EA0C5C"/>
    <w:rsid w:val="00EA1A3F"/>
    <w:rsid w:val="00EA33F8"/>
    <w:rsid w:val="00EA38B8"/>
    <w:rsid w:val="00EA6719"/>
    <w:rsid w:val="00EA72A7"/>
    <w:rsid w:val="00EB1274"/>
    <w:rsid w:val="00EB3413"/>
    <w:rsid w:val="00EB3E91"/>
    <w:rsid w:val="00EB4DF8"/>
    <w:rsid w:val="00EB518A"/>
    <w:rsid w:val="00EB5825"/>
    <w:rsid w:val="00EC04C0"/>
    <w:rsid w:val="00EC0B5A"/>
    <w:rsid w:val="00EC0D75"/>
    <w:rsid w:val="00EC104A"/>
    <w:rsid w:val="00EC2AD4"/>
    <w:rsid w:val="00EC3A38"/>
    <w:rsid w:val="00EC4007"/>
    <w:rsid w:val="00EC630E"/>
    <w:rsid w:val="00ED3038"/>
    <w:rsid w:val="00ED3DEE"/>
    <w:rsid w:val="00ED4B4F"/>
    <w:rsid w:val="00ED5048"/>
    <w:rsid w:val="00ED5631"/>
    <w:rsid w:val="00ED683F"/>
    <w:rsid w:val="00ED6F6C"/>
    <w:rsid w:val="00ED7089"/>
    <w:rsid w:val="00EE057A"/>
    <w:rsid w:val="00EE0EE7"/>
    <w:rsid w:val="00EE198B"/>
    <w:rsid w:val="00EE2617"/>
    <w:rsid w:val="00EE35ED"/>
    <w:rsid w:val="00EE37AF"/>
    <w:rsid w:val="00EE4364"/>
    <w:rsid w:val="00EE7B65"/>
    <w:rsid w:val="00EF04FA"/>
    <w:rsid w:val="00EF0767"/>
    <w:rsid w:val="00EF0B13"/>
    <w:rsid w:val="00EF0BD7"/>
    <w:rsid w:val="00EF10AC"/>
    <w:rsid w:val="00EF1A01"/>
    <w:rsid w:val="00EF1C88"/>
    <w:rsid w:val="00EF1FEC"/>
    <w:rsid w:val="00EF25CC"/>
    <w:rsid w:val="00EF27B4"/>
    <w:rsid w:val="00EF3984"/>
    <w:rsid w:val="00EF4630"/>
    <w:rsid w:val="00EF6362"/>
    <w:rsid w:val="00EF751C"/>
    <w:rsid w:val="00F00842"/>
    <w:rsid w:val="00F00954"/>
    <w:rsid w:val="00F01C8C"/>
    <w:rsid w:val="00F0469A"/>
    <w:rsid w:val="00F07778"/>
    <w:rsid w:val="00F077F9"/>
    <w:rsid w:val="00F10943"/>
    <w:rsid w:val="00F11F45"/>
    <w:rsid w:val="00F13B2F"/>
    <w:rsid w:val="00F1450A"/>
    <w:rsid w:val="00F14D7B"/>
    <w:rsid w:val="00F15343"/>
    <w:rsid w:val="00F16131"/>
    <w:rsid w:val="00F16294"/>
    <w:rsid w:val="00F21447"/>
    <w:rsid w:val="00F2173A"/>
    <w:rsid w:val="00F23B97"/>
    <w:rsid w:val="00F25C61"/>
    <w:rsid w:val="00F26C66"/>
    <w:rsid w:val="00F2746D"/>
    <w:rsid w:val="00F303A0"/>
    <w:rsid w:val="00F30509"/>
    <w:rsid w:val="00F30C0E"/>
    <w:rsid w:val="00F30D2B"/>
    <w:rsid w:val="00F340C9"/>
    <w:rsid w:val="00F36BF1"/>
    <w:rsid w:val="00F36CD1"/>
    <w:rsid w:val="00F3775B"/>
    <w:rsid w:val="00F413E7"/>
    <w:rsid w:val="00F41663"/>
    <w:rsid w:val="00F42CA8"/>
    <w:rsid w:val="00F4350F"/>
    <w:rsid w:val="00F44CEB"/>
    <w:rsid w:val="00F4574A"/>
    <w:rsid w:val="00F45E36"/>
    <w:rsid w:val="00F4613C"/>
    <w:rsid w:val="00F47852"/>
    <w:rsid w:val="00F506BE"/>
    <w:rsid w:val="00F51225"/>
    <w:rsid w:val="00F51A88"/>
    <w:rsid w:val="00F5282C"/>
    <w:rsid w:val="00F53836"/>
    <w:rsid w:val="00F54B54"/>
    <w:rsid w:val="00F564DF"/>
    <w:rsid w:val="00F62D02"/>
    <w:rsid w:val="00F63E76"/>
    <w:rsid w:val="00F65184"/>
    <w:rsid w:val="00F668FE"/>
    <w:rsid w:val="00F72139"/>
    <w:rsid w:val="00F73185"/>
    <w:rsid w:val="00F734B1"/>
    <w:rsid w:val="00F769EE"/>
    <w:rsid w:val="00F76B50"/>
    <w:rsid w:val="00F830FE"/>
    <w:rsid w:val="00F84601"/>
    <w:rsid w:val="00F84C1B"/>
    <w:rsid w:val="00F85130"/>
    <w:rsid w:val="00F85E5E"/>
    <w:rsid w:val="00F86341"/>
    <w:rsid w:val="00F913D5"/>
    <w:rsid w:val="00FA1280"/>
    <w:rsid w:val="00FA12E1"/>
    <w:rsid w:val="00FA1965"/>
    <w:rsid w:val="00FA258C"/>
    <w:rsid w:val="00FA25FA"/>
    <w:rsid w:val="00FA4998"/>
    <w:rsid w:val="00FA49CC"/>
    <w:rsid w:val="00FA54AE"/>
    <w:rsid w:val="00FA6D77"/>
    <w:rsid w:val="00FA7600"/>
    <w:rsid w:val="00FA7E3B"/>
    <w:rsid w:val="00FB0EB0"/>
    <w:rsid w:val="00FB134E"/>
    <w:rsid w:val="00FB13A1"/>
    <w:rsid w:val="00FB198B"/>
    <w:rsid w:val="00FB262C"/>
    <w:rsid w:val="00FB3069"/>
    <w:rsid w:val="00FB3130"/>
    <w:rsid w:val="00FB394E"/>
    <w:rsid w:val="00FB41A2"/>
    <w:rsid w:val="00FB4AE6"/>
    <w:rsid w:val="00FB56CA"/>
    <w:rsid w:val="00FB594E"/>
    <w:rsid w:val="00FB6188"/>
    <w:rsid w:val="00FC0079"/>
    <w:rsid w:val="00FC15B7"/>
    <w:rsid w:val="00FC25D1"/>
    <w:rsid w:val="00FC3020"/>
    <w:rsid w:val="00FC4848"/>
    <w:rsid w:val="00FC52FE"/>
    <w:rsid w:val="00FD0DA4"/>
    <w:rsid w:val="00FD14CA"/>
    <w:rsid w:val="00FD1743"/>
    <w:rsid w:val="00FD28D5"/>
    <w:rsid w:val="00FD2CB6"/>
    <w:rsid w:val="00FD337B"/>
    <w:rsid w:val="00FD56DF"/>
    <w:rsid w:val="00FD5EB9"/>
    <w:rsid w:val="00FD7942"/>
    <w:rsid w:val="00FD7FA7"/>
    <w:rsid w:val="00FE017D"/>
    <w:rsid w:val="00FE2C69"/>
    <w:rsid w:val="00FE2E26"/>
    <w:rsid w:val="00FE4920"/>
    <w:rsid w:val="00FE4F40"/>
    <w:rsid w:val="00FE5A53"/>
    <w:rsid w:val="00FE6473"/>
    <w:rsid w:val="00FF09E1"/>
    <w:rsid w:val="00FF5795"/>
    <w:rsid w:val="00FF6A00"/>
    <w:rsid w:val="00FF6C75"/>
    <w:rsid w:val="00FF73DC"/>
    <w:rsid w:val="00FF7691"/>
    <w:rsid w:val="00FF78A4"/>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7E6"/>
    <w:pPr>
      <w:spacing w:after="100" w:line="400" w:lineRule="exact"/>
      <w:jc w:val="both"/>
    </w:pPr>
    <w:rPr>
      <w:rFonts w:ascii="Century Schoolbook" w:hAnsi="Century Schoolbook"/>
      <w:sz w:val="27"/>
    </w:rPr>
  </w:style>
  <w:style w:type="paragraph" w:styleId="Heading1">
    <w:name w:val="heading 1"/>
    <w:basedOn w:val="Normal"/>
    <w:next w:val="Normal"/>
    <w:qFormat/>
    <w:rsid w:val="009917E6"/>
    <w:pPr>
      <w:keepNext/>
      <w:spacing w:before="140" w:line="240" w:lineRule="atLeast"/>
      <w:jc w:val="center"/>
      <w:outlineLvl w:val="0"/>
    </w:pPr>
    <w:rPr>
      <w:b/>
      <w:smallCaps/>
    </w:rPr>
  </w:style>
  <w:style w:type="paragraph" w:styleId="Heading2">
    <w:name w:val="heading 2"/>
    <w:basedOn w:val="Normal"/>
    <w:next w:val="Normal"/>
    <w:qFormat/>
    <w:rsid w:val="009917E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9917E6"/>
    <w:pPr>
      <w:keepNext/>
      <w:tabs>
        <w:tab w:val="left" w:pos="1584"/>
      </w:tabs>
      <w:spacing w:before="140" w:line="240" w:lineRule="atLeast"/>
      <w:ind w:left="1584" w:hanging="432"/>
      <w:jc w:val="left"/>
      <w:outlineLvl w:val="2"/>
    </w:pPr>
    <w:rPr>
      <w:i/>
    </w:rPr>
  </w:style>
  <w:style w:type="paragraph" w:styleId="Heading4">
    <w:name w:val="heading 4"/>
    <w:basedOn w:val="Normal"/>
    <w:rsid w:val="009917E6"/>
    <w:pPr>
      <w:keepNext/>
      <w:tabs>
        <w:tab w:val="left" w:pos="2016"/>
      </w:tabs>
      <w:spacing w:before="140" w:line="240" w:lineRule="atLeast"/>
      <w:ind w:left="2016" w:hanging="432"/>
      <w:jc w:val="left"/>
      <w:outlineLvl w:val="3"/>
    </w:pPr>
    <w:rPr>
      <w:i/>
    </w:rPr>
  </w:style>
  <w:style w:type="paragraph" w:styleId="Heading5">
    <w:name w:val="heading 5"/>
    <w:basedOn w:val="Normal"/>
    <w:rsid w:val="009917E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917E6"/>
    <w:pPr>
      <w:ind w:left="720"/>
    </w:pPr>
  </w:style>
  <w:style w:type="paragraph" w:styleId="Footer">
    <w:name w:val="footer"/>
    <w:basedOn w:val="Normal"/>
    <w:qFormat/>
    <w:rsid w:val="009917E6"/>
    <w:pPr>
      <w:tabs>
        <w:tab w:val="center" w:pos="3960"/>
        <w:tab w:val="right" w:pos="10080"/>
      </w:tabs>
      <w:spacing w:after="0" w:line="240" w:lineRule="auto"/>
      <w:jc w:val="center"/>
    </w:pPr>
    <w:rPr>
      <w:sz w:val="22"/>
    </w:rPr>
  </w:style>
  <w:style w:type="paragraph" w:styleId="Header">
    <w:name w:val="header"/>
    <w:basedOn w:val="Normal"/>
    <w:qFormat/>
    <w:rsid w:val="009917E6"/>
    <w:pPr>
      <w:tabs>
        <w:tab w:val="center" w:pos="3960"/>
        <w:tab w:val="right" w:pos="10080"/>
      </w:tabs>
      <w:spacing w:after="80" w:line="240" w:lineRule="auto"/>
      <w:jc w:val="center"/>
    </w:pPr>
    <w:rPr>
      <w:sz w:val="22"/>
    </w:rPr>
  </w:style>
  <w:style w:type="character" w:styleId="FootnoteReference">
    <w:name w:val="footnote reference"/>
    <w:rsid w:val="009917E6"/>
    <w:rPr>
      <w:rFonts w:ascii="Century Schoolbook" w:hAnsi="Century Schoolbook"/>
      <w:b/>
      <w:i w:val="0"/>
      <w:position w:val="4"/>
      <w:sz w:val="27"/>
      <w:vertAlign w:val="superscript"/>
    </w:rPr>
  </w:style>
  <w:style w:type="paragraph" w:styleId="FootnoteText">
    <w:name w:val="footnote text"/>
    <w:basedOn w:val="Normal"/>
    <w:rsid w:val="009917E6"/>
    <w:pPr>
      <w:spacing w:line="300" w:lineRule="exact"/>
    </w:pPr>
  </w:style>
  <w:style w:type="paragraph" w:customStyle="1" w:styleId="Title1">
    <w:name w:val="Title1"/>
    <w:basedOn w:val="Normal"/>
    <w:rsid w:val="009917E6"/>
    <w:pPr>
      <w:tabs>
        <w:tab w:val="left" w:pos="5760"/>
        <w:tab w:val="left" w:pos="6480"/>
      </w:tabs>
      <w:spacing w:line="240" w:lineRule="atLeast"/>
    </w:pPr>
  </w:style>
  <w:style w:type="paragraph" w:customStyle="1" w:styleId="Recommend">
    <w:name w:val="Recommend"/>
    <w:basedOn w:val="Normal"/>
    <w:rsid w:val="009917E6"/>
  </w:style>
  <w:style w:type="paragraph" w:customStyle="1" w:styleId="Summary">
    <w:name w:val="Summary"/>
    <w:basedOn w:val="Normal"/>
    <w:rsid w:val="009917E6"/>
    <w:pPr>
      <w:ind w:left="2160" w:hanging="2160"/>
    </w:pPr>
  </w:style>
  <w:style w:type="paragraph" w:customStyle="1" w:styleId="Text">
    <w:name w:val="Text"/>
    <w:basedOn w:val="Normal"/>
    <w:rsid w:val="009917E6"/>
    <w:pPr>
      <w:tabs>
        <w:tab w:val="left" w:pos="720"/>
        <w:tab w:val="left" w:pos="1440"/>
        <w:tab w:val="left" w:pos="2160"/>
        <w:tab w:val="center" w:pos="4320"/>
      </w:tabs>
      <w:spacing w:line="480" w:lineRule="atLeast"/>
      <w:ind w:firstLine="540"/>
    </w:pPr>
  </w:style>
  <w:style w:type="paragraph" w:styleId="Date">
    <w:name w:val="Date"/>
    <w:basedOn w:val="Normal"/>
    <w:semiHidden/>
    <w:rsid w:val="009917E6"/>
    <w:pPr>
      <w:jc w:val="right"/>
    </w:pPr>
  </w:style>
  <w:style w:type="character" w:styleId="PageNumber">
    <w:name w:val="page number"/>
    <w:semiHidden/>
    <w:rsid w:val="009917E6"/>
  </w:style>
  <w:style w:type="paragraph" w:customStyle="1" w:styleId="subject">
    <w:name w:val="subject"/>
    <w:basedOn w:val="Normal"/>
    <w:rsid w:val="009917E6"/>
    <w:pPr>
      <w:tabs>
        <w:tab w:val="left" w:pos="1008"/>
      </w:tabs>
      <w:ind w:left="990" w:hanging="990"/>
    </w:pPr>
    <w:rPr>
      <w:b/>
    </w:rPr>
  </w:style>
  <w:style w:type="paragraph" w:customStyle="1" w:styleId="Titles">
    <w:name w:val="Titles"/>
    <w:basedOn w:val="Normal"/>
    <w:rsid w:val="009917E6"/>
    <w:pPr>
      <w:tabs>
        <w:tab w:val="left" w:pos="2160"/>
      </w:tabs>
      <w:ind w:left="2160" w:hanging="2160"/>
    </w:pPr>
    <w:rPr>
      <w:b/>
    </w:rPr>
  </w:style>
  <w:style w:type="paragraph" w:styleId="TOAHeading">
    <w:name w:val="toa heading"/>
    <w:basedOn w:val="Normal"/>
    <w:next w:val="Normal"/>
    <w:semiHidden/>
    <w:rsid w:val="009917E6"/>
    <w:pPr>
      <w:spacing w:before="120"/>
    </w:pPr>
    <w:rPr>
      <w:b/>
    </w:rPr>
  </w:style>
  <w:style w:type="paragraph" w:styleId="TOC1">
    <w:name w:val="toc 1"/>
    <w:basedOn w:val="Normal"/>
    <w:next w:val="Normal"/>
    <w:autoRedefine/>
    <w:semiHidden/>
    <w:rsid w:val="009917E6"/>
  </w:style>
  <w:style w:type="paragraph" w:styleId="TOC2">
    <w:name w:val="toc 2"/>
    <w:basedOn w:val="Normal"/>
    <w:next w:val="Normal"/>
    <w:autoRedefine/>
    <w:semiHidden/>
    <w:rsid w:val="009917E6"/>
    <w:pPr>
      <w:ind w:left="259"/>
    </w:pPr>
  </w:style>
  <w:style w:type="paragraph" w:styleId="TOC3">
    <w:name w:val="toc 3"/>
    <w:basedOn w:val="Normal"/>
    <w:next w:val="Normal"/>
    <w:autoRedefine/>
    <w:semiHidden/>
    <w:rsid w:val="009917E6"/>
    <w:pPr>
      <w:ind w:left="520"/>
    </w:pPr>
  </w:style>
  <w:style w:type="paragraph" w:styleId="TOC4">
    <w:name w:val="toc 4"/>
    <w:basedOn w:val="Normal"/>
    <w:next w:val="Normal"/>
    <w:autoRedefine/>
    <w:semiHidden/>
    <w:rsid w:val="009917E6"/>
    <w:pPr>
      <w:ind w:left="780"/>
    </w:pPr>
  </w:style>
  <w:style w:type="paragraph" w:styleId="TOC5">
    <w:name w:val="toc 5"/>
    <w:basedOn w:val="Normal"/>
    <w:next w:val="Normal"/>
    <w:autoRedefine/>
    <w:semiHidden/>
    <w:rsid w:val="009917E6"/>
    <w:pPr>
      <w:ind w:left="1040"/>
    </w:pPr>
  </w:style>
  <w:style w:type="paragraph" w:styleId="TOC6">
    <w:name w:val="toc 6"/>
    <w:basedOn w:val="Normal"/>
    <w:next w:val="Normal"/>
    <w:autoRedefine/>
    <w:semiHidden/>
    <w:rsid w:val="009917E6"/>
    <w:pPr>
      <w:ind w:left="1300"/>
    </w:pPr>
  </w:style>
  <w:style w:type="paragraph" w:styleId="TOC7">
    <w:name w:val="toc 7"/>
    <w:basedOn w:val="Normal"/>
    <w:next w:val="Normal"/>
    <w:autoRedefine/>
    <w:semiHidden/>
    <w:rsid w:val="009917E6"/>
    <w:pPr>
      <w:ind w:left="1560"/>
    </w:pPr>
  </w:style>
  <w:style w:type="paragraph" w:styleId="TOC8">
    <w:name w:val="toc 8"/>
    <w:basedOn w:val="Normal"/>
    <w:next w:val="Normal"/>
    <w:autoRedefine/>
    <w:semiHidden/>
    <w:rsid w:val="009917E6"/>
    <w:pPr>
      <w:ind w:left="1820"/>
    </w:pPr>
  </w:style>
  <w:style w:type="paragraph" w:styleId="TOC9">
    <w:name w:val="toc 9"/>
    <w:basedOn w:val="Normal"/>
    <w:next w:val="Normal"/>
    <w:autoRedefine/>
    <w:semiHidden/>
    <w:rsid w:val="009917E6"/>
    <w:pPr>
      <w:ind w:left="2080"/>
    </w:pPr>
  </w:style>
  <w:style w:type="paragraph" w:customStyle="1" w:styleId="Contents">
    <w:name w:val="Contents"/>
    <w:basedOn w:val="Normal"/>
    <w:rsid w:val="009917E6"/>
    <w:pPr>
      <w:jc w:val="center"/>
    </w:pPr>
    <w:rPr>
      <w:b/>
      <w:spacing w:val="100"/>
    </w:rPr>
  </w:style>
  <w:style w:type="paragraph" w:styleId="ListParagraph">
    <w:name w:val="List Paragraph"/>
    <w:basedOn w:val="Normal"/>
    <w:uiPriority w:val="34"/>
    <w:qFormat/>
    <w:rsid w:val="00B96D1D"/>
    <w:pPr>
      <w:ind w:left="720"/>
      <w:contextualSpacing/>
    </w:pPr>
  </w:style>
  <w:style w:type="character" w:customStyle="1" w:styleId="cosearchterm">
    <w:name w:val="co_searchterm"/>
    <w:basedOn w:val="DefaultParagraphFont"/>
    <w:rsid w:val="00EA1A3F"/>
  </w:style>
  <w:style w:type="character" w:customStyle="1" w:styleId="costarpage">
    <w:name w:val="co_starpage"/>
    <w:basedOn w:val="DefaultParagraphFont"/>
    <w:rsid w:val="00EA1A3F"/>
  </w:style>
  <w:style w:type="character" w:customStyle="1" w:styleId="ssrfcpassagedeactivated">
    <w:name w:val="ss_rfcpassage_deactivated"/>
    <w:basedOn w:val="DefaultParagraphFont"/>
    <w:rsid w:val="002B2DA8"/>
  </w:style>
  <w:style w:type="character" w:styleId="Hyperlink">
    <w:name w:val="Hyperlink"/>
    <w:uiPriority w:val="99"/>
    <w:unhideWhenUsed/>
    <w:rsid w:val="002B2DA8"/>
    <w:rPr>
      <w:color w:val="0000FF"/>
      <w:u w:val="single"/>
    </w:rPr>
  </w:style>
  <w:style w:type="character" w:customStyle="1" w:styleId="ssit">
    <w:name w:val="ss_it"/>
    <w:basedOn w:val="DefaultParagraphFont"/>
    <w:rsid w:val="002B2DA8"/>
  </w:style>
  <w:style w:type="character" w:customStyle="1" w:styleId="sssh">
    <w:name w:val="ss_sh"/>
    <w:basedOn w:val="DefaultParagraphFont"/>
    <w:rsid w:val="002B2DA8"/>
  </w:style>
  <w:style w:type="character" w:customStyle="1" w:styleId="ub">
    <w:name w:val="u_b"/>
    <w:basedOn w:val="DefaultParagraphFont"/>
    <w:rsid w:val="00C06E67"/>
  </w:style>
  <w:style w:type="character" w:customStyle="1" w:styleId="df">
    <w:name w:val="d_f"/>
    <w:basedOn w:val="DefaultParagraphFont"/>
    <w:rsid w:val="00C06E67"/>
  </w:style>
  <w:style w:type="character" w:customStyle="1" w:styleId="un">
    <w:name w:val="u_n"/>
    <w:basedOn w:val="DefaultParagraphFont"/>
    <w:rsid w:val="00C06E67"/>
  </w:style>
  <w:style w:type="character" w:customStyle="1" w:styleId="c4z2avtcy">
    <w:name w:val="c4_z2avtcy"/>
    <w:basedOn w:val="DefaultParagraphFont"/>
    <w:rsid w:val="00C06E67"/>
  </w:style>
  <w:style w:type="paragraph" w:customStyle="1" w:styleId="yiv6012475935ydpf4598e51msonormal">
    <w:name w:val="yiv6012475935ydpf4598e51msonormal"/>
    <w:basedOn w:val="Normal"/>
    <w:rsid w:val="00C06E67"/>
    <w:pPr>
      <w:spacing w:before="100" w:beforeAutospacing="1" w:afterAutospacing="1"/>
    </w:pPr>
    <w:rPr>
      <w:sz w:val="24"/>
      <w:szCs w:val="24"/>
    </w:rPr>
  </w:style>
  <w:style w:type="paragraph" w:styleId="BodyText">
    <w:name w:val="Body Text"/>
    <w:basedOn w:val="Normal"/>
    <w:link w:val="BodyTextChar"/>
    <w:qFormat/>
    <w:rsid w:val="009917E6"/>
  </w:style>
  <w:style w:type="character" w:customStyle="1" w:styleId="BodyTextChar">
    <w:name w:val="Body Text Char"/>
    <w:link w:val="BodyText"/>
    <w:rsid w:val="009917E6"/>
    <w:rPr>
      <w:rFonts w:ascii="Century Schoolbook" w:hAnsi="Century Schoolbook"/>
      <w:sz w:val="27"/>
    </w:rPr>
  </w:style>
  <w:style w:type="character" w:styleId="UnresolvedMention">
    <w:name w:val="Unresolved Mention"/>
    <w:basedOn w:val="DefaultParagraphFont"/>
    <w:uiPriority w:val="99"/>
    <w:semiHidden/>
    <w:unhideWhenUsed/>
    <w:rsid w:val="00D05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79162">
      <w:bodyDiv w:val="1"/>
      <w:marLeft w:val="0"/>
      <w:marRight w:val="0"/>
      <w:marTop w:val="0"/>
      <w:marBottom w:val="0"/>
      <w:divBdr>
        <w:top w:val="none" w:sz="0" w:space="0" w:color="auto"/>
        <w:left w:val="none" w:sz="0" w:space="0" w:color="auto"/>
        <w:bottom w:val="none" w:sz="0" w:space="0" w:color="auto"/>
        <w:right w:val="none" w:sz="0" w:space="0" w:color="auto"/>
      </w:divBdr>
    </w:div>
    <w:div w:id="1741902321">
      <w:bodyDiv w:val="1"/>
      <w:marLeft w:val="0"/>
      <w:marRight w:val="0"/>
      <w:marTop w:val="0"/>
      <w:marBottom w:val="0"/>
      <w:divBdr>
        <w:top w:val="none" w:sz="0" w:space="0" w:color="auto"/>
        <w:left w:val="none" w:sz="0" w:space="0" w:color="auto"/>
        <w:bottom w:val="none" w:sz="0" w:space="0" w:color="auto"/>
        <w:right w:val="none" w:sz="0" w:space="0" w:color="auto"/>
      </w:divBdr>
    </w:div>
    <w:div w:id="2074035502">
      <w:bodyDiv w:val="1"/>
      <w:marLeft w:val="0"/>
      <w:marRight w:val="0"/>
      <w:marTop w:val="0"/>
      <w:marBottom w:val="0"/>
      <w:divBdr>
        <w:top w:val="none" w:sz="0" w:space="0" w:color="auto"/>
        <w:left w:val="none" w:sz="0" w:space="0" w:color="auto"/>
        <w:bottom w:val="none" w:sz="0" w:space="0" w:color="auto"/>
        <w:right w:val="none" w:sz="0" w:space="0" w:color="auto"/>
      </w:divBdr>
    </w:div>
    <w:div w:id="2085762532">
      <w:bodyDiv w:val="1"/>
      <w:marLeft w:val="0"/>
      <w:marRight w:val="0"/>
      <w:marTop w:val="0"/>
      <w:marBottom w:val="0"/>
      <w:divBdr>
        <w:top w:val="none" w:sz="0" w:space="0" w:color="auto"/>
        <w:left w:val="none" w:sz="0" w:space="0" w:color="auto"/>
        <w:bottom w:val="none" w:sz="0" w:space="0" w:color="auto"/>
        <w:right w:val="none" w:sz="0" w:space="0" w:color="auto"/>
      </w:divBdr>
      <w:divsChild>
        <w:div w:id="111291866">
          <w:marLeft w:val="0"/>
          <w:marRight w:val="120"/>
          <w:marTop w:val="0"/>
          <w:marBottom w:val="0"/>
          <w:divBdr>
            <w:top w:val="none" w:sz="0" w:space="0" w:color="auto"/>
            <w:left w:val="none" w:sz="0" w:space="0" w:color="auto"/>
            <w:bottom w:val="none" w:sz="0" w:space="0" w:color="auto"/>
            <w:right w:val="none" w:sz="0" w:space="0" w:color="auto"/>
          </w:divBdr>
          <w:divsChild>
            <w:div w:id="1289043725">
              <w:marLeft w:val="0"/>
              <w:marRight w:val="0"/>
              <w:marTop w:val="0"/>
              <w:marBottom w:val="0"/>
              <w:divBdr>
                <w:top w:val="none" w:sz="0" w:space="0" w:color="auto"/>
                <w:left w:val="none" w:sz="0" w:space="0" w:color="auto"/>
                <w:bottom w:val="none" w:sz="0" w:space="0" w:color="auto"/>
                <w:right w:val="none" w:sz="0" w:space="0" w:color="auto"/>
              </w:divBdr>
            </w:div>
            <w:div w:id="1721631888">
              <w:marLeft w:val="0"/>
              <w:marRight w:val="0"/>
              <w:marTop w:val="0"/>
              <w:marBottom w:val="0"/>
              <w:divBdr>
                <w:top w:val="none" w:sz="0" w:space="0" w:color="auto"/>
                <w:left w:val="none" w:sz="0" w:space="0" w:color="auto"/>
                <w:bottom w:val="none" w:sz="0" w:space="0" w:color="auto"/>
                <w:right w:val="none" w:sz="0" w:space="0" w:color="auto"/>
              </w:divBdr>
            </w:div>
          </w:divsChild>
        </w:div>
        <w:div w:id="418676263">
          <w:marLeft w:val="120"/>
          <w:marRight w:val="120"/>
          <w:marTop w:val="0"/>
          <w:marBottom w:val="0"/>
          <w:divBdr>
            <w:top w:val="none" w:sz="0" w:space="0" w:color="auto"/>
            <w:left w:val="none" w:sz="0" w:space="0" w:color="auto"/>
            <w:bottom w:val="none" w:sz="0" w:space="0" w:color="auto"/>
            <w:right w:val="none" w:sz="0" w:space="0" w:color="auto"/>
          </w:divBdr>
        </w:div>
        <w:div w:id="1836258505">
          <w:marLeft w:val="0"/>
          <w:marRight w:val="0"/>
          <w:marTop w:val="0"/>
          <w:marBottom w:val="0"/>
          <w:divBdr>
            <w:top w:val="none" w:sz="0" w:space="0" w:color="auto"/>
            <w:left w:val="none" w:sz="0" w:space="0" w:color="auto"/>
            <w:bottom w:val="none" w:sz="0" w:space="0" w:color="auto"/>
            <w:right w:val="none" w:sz="0" w:space="0" w:color="auto"/>
          </w:divBdr>
          <w:divsChild>
            <w:div w:id="121463447">
              <w:marLeft w:val="0"/>
              <w:marRight w:val="0"/>
              <w:marTop w:val="0"/>
              <w:marBottom w:val="0"/>
              <w:divBdr>
                <w:top w:val="none" w:sz="0" w:space="0" w:color="auto"/>
                <w:left w:val="none" w:sz="0" w:space="0" w:color="auto"/>
                <w:bottom w:val="none" w:sz="0" w:space="0" w:color="auto"/>
                <w:right w:val="none" w:sz="0" w:space="0" w:color="auto"/>
              </w:divBdr>
              <w:divsChild>
                <w:div w:id="1328047311">
                  <w:marLeft w:val="0"/>
                  <w:marRight w:val="0"/>
                  <w:marTop w:val="0"/>
                  <w:marBottom w:val="0"/>
                  <w:divBdr>
                    <w:top w:val="none" w:sz="0" w:space="0" w:color="auto"/>
                    <w:left w:val="none" w:sz="0" w:space="0" w:color="auto"/>
                    <w:bottom w:val="none" w:sz="0" w:space="0" w:color="auto"/>
                    <w:right w:val="none" w:sz="0" w:space="0" w:color="auto"/>
                  </w:divBdr>
                  <w:divsChild>
                    <w:div w:id="1860465147">
                      <w:marLeft w:val="0"/>
                      <w:marRight w:val="0"/>
                      <w:marTop w:val="0"/>
                      <w:marBottom w:val="0"/>
                      <w:divBdr>
                        <w:top w:val="none" w:sz="0" w:space="0" w:color="auto"/>
                        <w:left w:val="none" w:sz="0" w:space="0" w:color="auto"/>
                        <w:bottom w:val="none" w:sz="0" w:space="0" w:color="auto"/>
                        <w:right w:val="none" w:sz="0" w:space="0" w:color="auto"/>
                      </w:divBdr>
                      <w:divsChild>
                        <w:div w:id="298917846">
                          <w:marLeft w:val="0"/>
                          <w:marRight w:val="0"/>
                          <w:marTop w:val="0"/>
                          <w:marBottom w:val="0"/>
                          <w:divBdr>
                            <w:top w:val="none" w:sz="0" w:space="0" w:color="auto"/>
                            <w:left w:val="none" w:sz="0" w:space="0" w:color="auto"/>
                            <w:bottom w:val="none" w:sz="0" w:space="0" w:color="auto"/>
                            <w:right w:val="none" w:sz="0" w:space="0" w:color="auto"/>
                          </w:divBdr>
                          <w:divsChild>
                            <w:div w:id="1046876855">
                              <w:marLeft w:val="0"/>
                              <w:marRight w:val="0"/>
                              <w:marTop w:val="0"/>
                              <w:marBottom w:val="0"/>
                              <w:divBdr>
                                <w:top w:val="none" w:sz="0" w:space="0" w:color="auto"/>
                                <w:left w:val="none" w:sz="0" w:space="0" w:color="auto"/>
                                <w:bottom w:val="none" w:sz="0" w:space="0" w:color="auto"/>
                                <w:right w:val="none" w:sz="0" w:space="0" w:color="auto"/>
                              </w:divBdr>
                              <w:divsChild>
                                <w:div w:id="333076041">
                                  <w:marLeft w:val="0"/>
                                  <w:marRight w:val="0"/>
                                  <w:marTop w:val="0"/>
                                  <w:marBottom w:val="0"/>
                                  <w:divBdr>
                                    <w:top w:val="none" w:sz="0" w:space="0" w:color="auto"/>
                                    <w:left w:val="none" w:sz="0" w:space="0" w:color="auto"/>
                                    <w:bottom w:val="none" w:sz="0" w:space="0" w:color="auto"/>
                                    <w:right w:val="none" w:sz="0" w:space="0" w:color="auto"/>
                                  </w:divBdr>
                                  <w:divsChild>
                                    <w:div w:id="13626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0177">
              <w:marLeft w:val="-120"/>
              <w:marRight w:val="-300"/>
              <w:marTop w:val="0"/>
              <w:marBottom w:val="0"/>
              <w:divBdr>
                <w:top w:val="none" w:sz="0" w:space="0" w:color="auto"/>
                <w:left w:val="none" w:sz="0" w:space="0" w:color="auto"/>
                <w:bottom w:val="none" w:sz="0" w:space="0" w:color="auto"/>
                <w:right w:val="none" w:sz="0" w:space="0" w:color="auto"/>
              </w:divBdr>
              <w:divsChild>
                <w:div w:id="399600755">
                  <w:marLeft w:val="0"/>
                  <w:marRight w:val="0"/>
                  <w:marTop w:val="0"/>
                  <w:marBottom w:val="0"/>
                  <w:divBdr>
                    <w:top w:val="none" w:sz="0" w:space="0" w:color="auto"/>
                    <w:left w:val="none" w:sz="0" w:space="0" w:color="auto"/>
                    <w:bottom w:val="none" w:sz="0" w:space="0" w:color="auto"/>
                    <w:right w:val="none" w:sz="0" w:space="0" w:color="auto"/>
                  </w:divBdr>
                  <w:divsChild>
                    <w:div w:id="39177803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6285</Words>
  <Characters>33985</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2019-05-29T16:28:00Z</cp:lastPrinted>
  <dcterms:created xsi:type="dcterms:W3CDTF">2019-05-29T16:42:00Z</dcterms:created>
  <dcterms:modified xsi:type="dcterms:W3CDTF">2019-05-29T19:36:00Z</dcterms:modified>
</cp:coreProperties>
</file>