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F3B50" w:rsidP="007436D0">
      <w:pPr>
        <w:spacing w:after="0"/>
        <w:jc w:val="center"/>
        <w:rPr>
          <w:sz w:val="36"/>
        </w:rPr>
      </w:pPr>
      <w:bookmarkStart w:id="0" w:name="_GoBack"/>
      <w:bookmarkEnd w:id="0"/>
      <w:r>
        <w:rPr>
          <w:b/>
          <w:sz w:val="36"/>
        </w:rPr>
        <w:t>IN THE SUPREME COURT OF CALIFORNIA</w:t>
      </w:r>
    </w:p>
    <w:p w:rsidR="007436D0" w:rsidP="007436D0">
      <w:pPr>
        <w:spacing w:after="0"/>
        <w:jc w:val="center"/>
      </w:pPr>
    </w:p>
    <w:p w:rsidR="007436D0" w:rsidP="007436D0">
      <w:pPr>
        <w:spacing w:after="0"/>
        <w:jc w:val="center"/>
      </w:pPr>
      <w:r>
        <w:t>ASSOCIATION FOR LOS ANGELES</w:t>
      </w:r>
      <w:r w:rsidR="009F0682">
        <w:t xml:space="preserve"> DEPUTY SHERIF</w:t>
      </w:r>
      <w:r w:rsidR="00CF4AEA">
        <w:t>F</w:t>
      </w:r>
      <w:r w:rsidR="009F0682">
        <w:t>S</w:t>
      </w:r>
      <w:r w:rsidR="00CF4AEA">
        <w:t>,</w:t>
      </w:r>
    </w:p>
    <w:p w:rsidR="007436D0" w:rsidP="007436D0">
      <w:pPr>
        <w:spacing w:after="0"/>
        <w:jc w:val="center"/>
      </w:pPr>
      <w:r>
        <w:t>Petitioner</w:t>
      </w:r>
      <w:r>
        <w:t>,</w:t>
      </w:r>
    </w:p>
    <w:p w:rsidR="007436D0" w:rsidP="007436D0">
      <w:pPr>
        <w:spacing w:after="0"/>
        <w:jc w:val="center"/>
      </w:pPr>
      <w:r>
        <w:t>v.</w:t>
      </w:r>
    </w:p>
    <w:p w:rsidR="007436D0" w:rsidP="007436D0">
      <w:pPr>
        <w:spacing w:after="0"/>
        <w:jc w:val="center"/>
      </w:pPr>
      <w:r>
        <w:t xml:space="preserve">THE </w:t>
      </w:r>
      <w:r>
        <w:t>SUPERIOR COURT OF LOS ANGELES</w:t>
      </w:r>
      <w:r w:rsidR="00896DF5">
        <w:t xml:space="preserve"> COUNTY</w:t>
      </w:r>
      <w:r w:rsidR="00CF4AEA">
        <w:t>,</w:t>
      </w:r>
    </w:p>
    <w:p w:rsidR="002C7984" w:rsidP="002C7984">
      <w:pPr>
        <w:spacing w:after="0"/>
        <w:jc w:val="center"/>
      </w:pPr>
      <w:r>
        <w:t>Respondent;</w:t>
      </w:r>
    </w:p>
    <w:p w:rsidR="002C7984" w:rsidP="007436D0">
      <w:pPr>
        <w:spacing w:after="0"/>
        <w:jc w:val="center"/>
      </w:pPr>
      <w:r>
        <w:t>LOS ANGELES COUNTY SHERIFF’S DEPARTMENT et al.</w:t>
      </w:r>
      <w:r w:rsidR="00CF4AEA">
        <w:t>,</w:t>
      </w:r>
      <w:r>
        <w:br/>
        <w:t>Real Parties in Interest.</w:t>
      </w:r>
    </w:p>
    <w:p w:rsidR="007436D0" w:rsidP="008764CA">
      <w:pPr>
        <w:spacing w:after="0"/>
        <w:jc w:val="right"/>
      </w:pPr>
    </w:p>
    <w:p w:rsidR="007436D0" w:rsidP="007436D0">
      <w:pPr>
        <w:spacing w:after="0"/>
        <w:jc w:val="center"/>
      </w:pPr>
      <w:r>
        <w:t>S243855</w:t>
      </w:r>
    </w:p>
    <w:p w:rsidR="007436D0" w:rsidP="007436D0">
      <w:pPr>
        <w:spacing w:after="0"/>
        <w:jc w:val="center"/>
      </w:pPr>
    </w:p>
    <w:p w:rsidR="007436D0" w:rsidP="007436D0">
      <w:pPr>
        <w:spacing w:after="0"/>
        <w:jc w:val="center"/>
      </w:pPr>
      <w:r>
        <w:t>Second Appellate District, Division Eight</w:t>
      </w:r>
    </w:p>
    <w:p w:rsidR="007436D0" w:rsidP="007436D0">
      <w:pPr>
        <w:spacing w:after="0"/>
        <w:jc w:val="center"/>
      </w:pPr>
      <w:r>
        <w:t>B280676</w:t>
      </w:r>
    </w:p>
    <w:p w:rsidR="007436D0" w:rsidP="007436D0">
      <w:pPr>
        <w:spacing w:after="0"/>
        <w:jc w:val="center"/>
      </w:pPr>
    </w:p>
    <w:p w:rsidR="007436D0" w:rsidP="007436D0">
      <w:pPr>
        <w:spacing w:after="0"/>
        <w:jc w:val="center"/>
      </w:pPr>
      <w:r>
        <w:t>Los Angeles County Superior Court</w:t>
      </w:r>
      <w:r>
        <w:br/>
        <w:t>BS166063</w:t>
      </w:r>
    </w:p>
    <w:p w:rsidR="007436D0" w:rsidP="007436D0">
      <w:pPr>
        <w:pBdr>
          <w:bottom w:val="single" w:sz="4" w:space="1" w:color="auto"/>
        </w:pBdr>
        <w:spacing w:after="0"/>
        <w:jc w:val="center"/>
      </w:pPr>
    </w:p>
    <w:p w:rsidR="007436D0" w:rsidP="007436D0">
      <w:pPr>
        <w:spacing w:after="0"/>
        <w:jc w:val="center"/>
      </w:pPr>
    </w:p>
    <w:p w:rsidR="007436D0" w:rsidP="007436D0">
      <w:pPr>
        <w:spacing w:after="0"/>
        <w:jc w:val="center"/>
      </w:pPr>
      <w:r>
        <w:t>August 26,</w:t>
      </w:r>
      <w:r>
        <w:t xml:space="preserve"> 2019</w:t>
      </w:r>
    </w:p>
    <w:p w:rsidR="007436D0" w:rsidP="007436D0">
      <w:pPr>
        <w:spacing w:after="0"/>
        <w:jc w:val="center"/>
      </w:pPr>
    </w:p>
    <w:p w:rsidR="007436D0" w:rsidP="007436D0">
      <w:pPr>
        <w:spacing w:after="0"/>
        <w:jc w:val="left"/>
      </w:pPr>
      <w:r>
        <w:t xml:space="preserve">Chief Justice Cantil-Sakauye </w:t>
      </w:r>
      <w:r w:rsidR="002C7984">
        <w:t>authored</w:t>
      </w:r>
      <w:r>
        <w:t xml:space="preserve"> the opinion of the </w:t>
      </w:r>
      <w:r w:rsidR="00CF4AEA">
        <w:t>Court,</w:t>
      </w:r>
      <w:r>
        <w:t xml:space="preserve"> in which Justices </w:t>
      </w:r>
      <w:r w:rsidR="00111A20">
        <w:t xml:space="preserve">Chin, </w:t>
      </w:r>
      <w:r w:rsidR="00C66BA6">
        <w:t xml:space="preserve">Corrigan, </w:t>
      </w:r>
      <w:r w:rsidR="00FE59A4">
        <w:t xml:space="preserve">Liu, Cuéllar, Kruger </w:t>
      </w:r>
      <w:r>
        <w:t xml:space="preserve">and </w:t>
      </w:r>
      <w:r w:rsidR="004A4E7A">
        <w:t xml:space="preserve">Groban </w:t>
      </w:r>
      <w:r>
        <w:t>concurred.</w:t>
      </w:r>
    </w:p>
    <w:p w:rsidR="007436D0" w:rsidRPr="007436D0" w:rsidP="007436D0">
      <w:pPr>
        <w:pBdr>
          <w:bottom w:val="single" w:sz="4" w:space="1" w:color="auto"/>
        </w:pBdr>
        <w:jc w:val="left"/>
      </w:pPr>
      <w:bookmarkStart w:id="1" w:name="Return"/>
      <w:bookmarkEnd w:id="1"/>
    </w:p>
    <w:p w:rsidR="007436D0" w:rsidP="009F3B50">
      <w:pPr>
        <w:jc w:val="center"/>
        <w:sectPr w:rsidSect="007436D0">
          <w:headerReference w:type="default" r:id="rId5"/>
          <w:footerReference w:type="default" r:id="rId6"/>
          <w:pgSz w:w="12240" w:h="15840"/>
          <w:pgMar w:top="1800" w:right="2160" w:bottom="1440" w:left="2160" w:header="720" w:footer="720" w:gutter="0"/>
          <w:cols w:space="720"/>
          <w:titlePg/>
          <w:docGrid w:linePitch="367"/>
        </w:sectPr>
      </w:pPr>
    </w:p>
    <w:p w:rsidR="007436D0" w:rsidP="007436D0">
      <w:pPr>
        <w:jc w:val="center"/>
      </w:pPr>
      <w:r>
        <w:t>ASSOCIATION F</w:t>
      </w:r>
      <w:r w:rsidR="00896DF5">
        <w:t xml:space="preserve">OR LOS ANGELES DEPUTY SHERIFFS </w:t>
      </w:r>
      <w:r>
        <w:t xml:space="preserve">v. </w:t>
      </w:r>
      <w:r>
        <w:br/>
        <w:t>SUPERIOR COURT</w:t>
      </w:r>
    </w:p>
    <w:p w:rsidR="007436D0" w:rsidP="007436D0">
      <w:pPr>
        <w:jc w:val="center"/>
      </w:pPr>
      <w:r>
        <w:t>S243855</w:t>
      </w:r>
    </w:p>
    <w:p w:rsidR="007436D0" w:rsidP="007436D0">
      <w:pPr>
        <w:jc w:val="center"/>
      </w:pPr>
    </w:p>
    <w:p w:rsidR="007436D0" w:rsidP="007436D0">
      <w:pPr>
        <w:jc w:val="center"/>
      </w:pPr>
      <w:r>
        <w:t>Opinion of the Court by Cantil-Sakauye, C.</w:t>
      </w:r>
      <w:r w:rsidR="00BF2292">
        <w:t> </w:t>
      </w:r>
      <w:r>
        <w:t>J.</w:t>
      </w:r>
    </w:p>
    <w:p w:rsidR="009F3B50" w:rsidRPr="007436D0" w:rsidP="007436D0"/>
    <w:p w:rsidR="00BA6D10" w:rsidRPr="007436D0" w:rsidP="007436D0">
      <w:pPr>
        <w:pStyle w:val="ListParagraph"/>
        <w:tabs>
          <w:tab w:val="left" w:pos="1440"/>
        </w:tabs>
        <w:ind w:left="0" w:firstLine="720"/>
      </w:pPr>
      <w:bookmarkStart w:id="2" w:name="mainstory"/>
      <w:bookmarkEnd w:id="2"/>
      <w:r w:rsidRPr="007436D0">
        <w:t>This case con</w:t>
      </w:r>
      <w:r w:rsidRPr="007436D0" w:rsidR="00D06424">
        <w:t>cerns the relationship between</w:t>
      </w:r>
      <w:r w:rsidRPr="007436D0">
        <w:t xml:space="preserve"> prosecutors</w:t>
      </w:r>
      <w:r w:rsidRPr="007436D0" w:rsidR="00D06424">
        <w:t>’</w:t>
      </w:r>
      <w:r w:rsidRPr="007436D0">
        <w:t xml:space="preserve"> constitutional duty to disclose information to criminal defendants and a statutory scheme that restricts prosecutors’ access to some of that information.  </w:t>
      </w:r>
    </w:p>
    <w:p w:rsidR="00764B16" w:rsidRPr="007436D0" w:rsidP="007436D0">
      <w:pPr>
        <w:pStyle w:val="ListParagraph"/>
        <w:tabs>
          <w:tab w:val="left" w:pos="1440"/>
        </w:tabs>
        <w:ind w:left="0" w:firstLine="720"/>
      </w:pPr>
      <w:r w:rsidRPr="007436D0">
        <w:t>A prosecutor in a criminal case must disclose to the defense certain evidence that is favorable to the accused.  (</w:t>
      </w:r>
      <w:r w:rsidRPr="007436D0">
        <w:rPr>
          <w:i/>
        </w:rPr>
        <w:t xml:space="preserve">Brady v. Maryland </w:t>
      </w:r>
      <w:r w:rsidRPr="007436D0">
        <w:t>(1963) 373 U.S. 83 (</w:t>
      </w:r>
      <w:r w:rsidRPr="007436D0">
        <w:rPr>
          <w:i/>
        </w:rPr>
        <w:t>Brady</w:t>
      </w:r>
      <w:r w:rsidRPr="007436D0">
        <w:t>).)  This duty sometimes requires disclosure of evidence that will impeach a law enforcement officer’s testimony.  (</w:t>
      </w:r>
      <w:r w:rsidRPr="007436D0">
        <w:rPr>
          <w:i/>
        </w:rPr>
        <w:t>Giglio v. United States</w:t>
      </w:r>
      <w:r w:rsidRPr="007436D0">
        <w:t xml:space="preserve"> (1972) 405 U.S. 150, 154-155 (</w:t>
      </w:r>
      <w:r w:rsidRPr="007436D0">
        <w:rPr>
          <w:i/>
        </w:rPr>
        <w:t>Giglio</w:t>
      </w:r>
      <w:r w:rsidRPr="007436D0">
        <w:t>).)  Such disclosure may be required even if the prosecutor is not personally aware that the evidence exists</w:t>
      </w:r>
      <w:r w:rsidRPr="007436D0">
        <w:t xml:space="preserve">.  </w:t>
      </w:r>
      <w:r w:rsidRPr="007436D0">
        <w:t>(</w:t>
      </w:r>
      <w:r w:rsidRPr="007436D0">
        <w:rPr>
          <w:i/>
        </w:rPr>
        <w:t xml:space="preserve">Kyles v. Whitley </w:t>
      </w:r>
      <w:r w:rsidRPr="007436D0">
        <w:t>(1995) 514 U.S. 419, 437 (</w:t>
      </w:r>
      <w:r w:rsidRPr="007436D0">
        <w:rPr>
          <w:i/>
        </w:rPr>
        <w:t>Kyles</w:t>
      </w:r>
      <w:r w:rsidRPr="007436D0">
        <w:t>).)</w:t>
      </w:r>
      <w:r w:rsidRPr="007436D0" w:rsidR="000D7EE3">
        <w:t xml:space="preserve">  Because the duty to disclose </w:t>
      </w:r>
      <w:r w:rsidRPr="007436D0" w:rsidR="00FE5923">
        <w:t xml:space="preserve">may sweep more broadly than the prosecutor’s personal knowledge, </w:t>
      </w:r>
      <w:r w:rsidRPr="007436D0" w:rsidR="000D7EE3">
        <w:t xml:space="preserve">the duty carries with it an obligation to </w:t>
      </w:r>
      <w:r w:rsidRPr="007436D0">
        <w:t>“learn of any favorable evidence known to the others acting on the government’s behalf in the case, including the police.”  (</w:t>
      </w:r>
      <w:r w:rsidRPr="007436D0">
        <w:rPr>
          <w:i/>
        </w:rPr>
        <w:t>Ibid.</w:t>
      </w:r>
      <w:r w:rsidRPr="007436D0">
        <w:t xml:space="preserve">)  </w:t>
      </w:r>
    </w:p>
    <w:p w:rsidR="00AE6BF4" w:rsidRPr="007436D0" w:rsidP="007436D0">
      <w:pPr>
        <w:pStyle w:val="ListParagraph"/>
        <w:tabs>
          <w:tab w:val="left" w:pos="1440"/>
        </w:tabs>
        <w:ind w:left="0" w:firstLine="720"/>
      </w:pPr>
      <w:r w:rsidRPr="007436D0">
        <w:t xml:space="preserve">The so-called </w:t>
      </w:r>
      <w:r w:rsidRPr="007436D0">
        <w:rPr>
          <w:i/>
        </w:rPr>
        <w:t>Pitchess</w:t>
      </w:r>
      <w:r w:rsidRPr="007436D0">
        <w:t xml:space="preserve"> statutes, however, restrict a prosecutor’s ability to learn of and disclose certain information regarding law enforcement officers.</w:t>
      </w:r>
      <w:r w:rsidRPr="007436D0" w:rsidR="005C446A">
        <w:t xml:space="preserve">  (See </w:t>
      </w:r>
      <w:r w:rsidRPr="007436D0" w:rsidR="005C446A">
        <w:rPr>
          <w:i/>
        </w:rPr>
        <w:t xml:space="preserve">Pitchess v. Superior Court </w:t>
      </w:r>
      <w:r w:rsidRPr="007436D0" w:rsidR="005C446A">
        <w:t>(1974) 11 Cal.3d 531</w:t>
      </w:r>
      <w:r w:rsidRPr="007436D0" w:rsidR="00D06424">
        <w:t xml:space="preserve">; see also </w:t>
      </w:r>
      <w:r w:rsidRPr="007436D0" w:rsidR="00D06424">
        <w:rPr>
          <w:i/>
        </w:rPr>
        <w:t xml:space="preserve">Johnson v. Superior Court </w:t>
      </w:r>
      <w:r w:rsidRPr="007436D0" w:rsidR="00D06424">
        <w:t>(2015) 61 Cal.4th 696, 712-714 (</w:t>
      </w:r>
      <w:r w:rsidRPr="007436D0" w:rsidR="00D06424">
        <w:rPr>
          <w:i/>
        </w:rPr>
        <w:t>Johnson</w:t>
      </w:r>
      <w:r w:rsidRPr="007436D0" w:rsidR="00D06424">
        <w:t>).)</w:t>
      </w:r>
      <w:r w:rsidRPr="007436D0" w:rsidR="00D32ABB">
        <w:t xml:space="preserve">  </w:t>
      </w:r>
      <w:r w:rsidRPr="007436D0" w:rsidR="005C446A">
        <w:t>Most notably, Penal Code section 832.7 renders confidential certain personnel records and records of citizen</w:t>
      </w:r>
      <w:r w:rsidRPr="007436D0" w:rsidR="00D32ABB">
        <w:t>s’</w:t>
      </w:r>
      <w:r w:rsidRPr="007436D0" w:rsidR="005C446A">
        <w:t xml:space="preserve"> complaints, as well as </w:t>
      </w:r>
      <w:r w:rsidRPr="007436D0" w:rsidR="005C446A">
        <w:t xml:space="preserve">information </w:t>
      </w:r>
      <w:r w:rsidRPr="007436D0" w:rsidR="006929E1">
        <w:t>“</w:t>
      </w:r>
      <w:r w:rsidRPr="007436D0" w:rsidR="005C446A">
        <w:t>obtained from</w:t>
      </w:r>
      <w:r w:rsidRPr="007436D0" w:rsidR="006929E1">
        <w:t>”</w:t>
      </w:r>
      <w:r w:rsidRPr="007436D0" w:rsidR="005C446A">
        <w:t xml:space="preserve"> those records.  (Pen. Code, § 832.7</w:t>
      </w:r>
      <w:r w:rsidRPr="007436D0">
        <w:t xml:space="preserve">, subd. (a) (section 832.7(a)).)  Upon a motion showing good cause, </w:t>
      </w:r>
      <w:r w:rsidR="002F34D8">
        <w:t>a litigant</w:t>
      </w:r>
      <w:r w:rsidRPr="007436D0">
        <w:t xml:space="preserve"> </w:t>
      </w:r>
      <w:r w:rsidRPr="007436D0" w:rsidR="0096282C">
        <w:t>may obtain a court’</w:t>
      </w:r>
      <w:r w:rsidRPr="007436D0" w:rsidR="003F6872">
        <w:t>s in camera inspection of the</w:t>
      </w:r>
      <w:r w:rsidRPr="007436D0" w:rsidR="006929E1">
        <w:t xml:space="preserve"> confidential information</w:t>
      </w:r>
      <w:r w:rsidRPr="007436D0" w:rsidR="0096282C">
        <w:t xml:space="preserve"> and, possibly, </w:t>
      </w:r>
      <w:r w:rsidRPr="007436D0" w:rsidR="006A345B">
        <w:t>win</w:t>
      </w:r>
      <w:r w:rsidRPr="007436D0" w:rsidR="0056162C">
        <w:t xml:space="preserve"> </w:t>
      </w:r>
      <w:r w:rsidRPr="007436D0" w:rsidR="0096282C">
        <w:t xml:space="preserve">the </w:t>
      </w:r>
      <w:r w:rsidRPr="007436D0" w:rsidR="006929E1">
        <w:t xml:space="preserve">information’s </w:t>
      </w:r>
      <w:r w:rsidRPr="007436D0" w:rsidR="0096282C">
        <w:t>disclosure.  But the less reason there is to believe that an officer has engaged in misconduct, the harder it is to</w:t>
      </w:r>
      <w:r w:rsidRPr="007436D0" w:rsidR="00110945">
        <w:t xml:space="preserve"> show good cause</w:t>
      </w:r>
      <w:r w:rsidRPr="007436D0" w:rsidR="00AC02A3">
        <w:t xml:space="preserve">.  </w:t>
      </w:r>
    </w:p>
    <w:p w:rsidR="00AE6BF4" w:rsidRPr="007436D0" w:rsidP="007436D0">
      <w:pPr>
        <w:pStyle w:val="ListParagraph"/>
        <w:tabs>
          <w:tab w:val="left" w:pos="1440"/>
        </w:tabs>
        <w:ind w:left="0" w:firstLine="720"/>
      </w:pPr>
      <w:r w:rsidRPr="007436D0">
        <w:t xml:space="preserve">In part to address this </w:t>
      </w:r>
      <w:r w:rsidRPr="007436D0" w:rsidR="005332AC">
        <w:t>issue</w:t>
      </w:r>
      <w:r w:rsidRPr="007436D0">
        <w:t xml:space="preserve">, some law enforcement agencies have created so-called </w:t>
      </w:r>
      <w:r w:rsidRPr="007436D0">
        <w:rPr>
          <w:i/>
        </w:rPr>
        <w:t>Brady</w:t>
      </w:r>
      <w:r w:rsidRPr="007436D0" w:rsidR="00851417">
        <w:t xml:space="preserve"> lists</w:t>
      </w:r>
      <w:r w:rsidRPr="007436D0" w:rsidR="005F3F59">
        <w:t xml:space="preserve">.  </w:t>
      </w:r>
      <w:r w:rsidRPr="007436D0" w:rsidR="003F6872">
        <w:t xml:space="preserve">These lists </w:t>
      </w:r>
      <w:r w:rsidR="00B54F0C">
        <w:t>enumerate</w:t>
      </w:r>
      <w:r w:rsidRPr="007436D0" w:rsidR="003F6872">
        <w:t xml:space="preserve"> officers </w:t>
      </w:r>
      <w:r w:rsidR="004D3EE9">
        <w:t xml:space="preserve">whom the agencies have identified as having potential exculpatory or impeachment information </w:t>
      </w:r>
      <w:r w:rsidRPr="007436D0" w:rsidR="006B480A">
        <w:t>in their personnel files — evidence which</w:t>
      </w:r>
      <w:r w:rsidRPr="007436D0" w:rsidR="00D145B5">
        <w:t xml:space="preserve"> </w:t>
      </w:r>
      <w:r w:rsidRPr="007436D0" w:rsidR="006B480A">
        <w:t xml:space="preserve">may need to </w:t>
      </w:r>
      <w:r w:rsidRPr="007436D0" w:rsidR="00E54690">
        <w:t xml:space="preserve">be </w:t>
      </w:r>
      <w:r w:rsidRPr="007436D0" w:rsidR="003F6872">
        <w:t>d</w:t>
      </w:r>
      <w:r w:rsidRPr="007436D0" w:rsidR="008F7BD6">
        <w:t>isclose</w:t>
      </w:r>
      <w:r w:rsidRPr="007436D0" w:rsidR="00E54690">
        <w:t>d</w:t>
      </w:r>
      <w:r w:rsidRPr="007436D0" w:rsidR="008F7BD6">
        <w:t xml:space="preserve"> to the defens</w:t>
      </w:r>
      <w:r w:rsidRPr="007436D0" w:rsidR="00D145B5">
        <w:t xml:space="preserve">e </w:t>
      </w:r>
      <w:r w:rsidRPr="007436D0" w:rsidR="008F7BD6">
        <w:t xml:space="preserve">under </w:t>
      </w:r>
      <w:r w:rsidRPr="007436D0" w:rsidR="008F7BD6">
        <w:rPr>
          <w:i/>
        </w:rPr>
        <w:t xml:space="preserve">Brady </w:t>
      </w:r>
      <w:r w:rsidRPr="007436D0" w:rsidR="008F7BD6">
        <w:t xml:space="preserve">and its progeny.  (See </w:t>
      </w:r>
      <w:r w:rsidRPr="007436D0" w:rsidR="008F7BD6">
        <w:rPr>
          <w:i/>
        </w:rPr>
        <w:t>Brady</w:t>
      </w:r>
      <w:r w:rsidRPr="007436D0" w:rsidR="008F7BD6">
        <w:t xml:space="preserve">, </w:t>
      </w:r>
      <w:r w:rsidRPr="007436D0" w:rsidR="008F7BD6">
        <w:rPr>
          <w:i/>
        </w:rPr>
        <w:t>supra</w:t>
      </w:r>
      <w:r w:rsidRPr="007436D0" w:rsidR="008F7BD6">
        <w:t xml:space="preserve">, 373 U.S. at p. 87.)  </w:t>
      </w:r>
      <w:r w:rsidRPr="007436D0" w:rsidR="00AC02A3">
        <w:t xml:space="preserve">Disclosure of the fact that an officer is on </w:t>
      </w:r>
      <w:r w:rsidR="00624672">
        <w:t>a</w:t>
      </w:r>
      <w:r w:rsidRPr="007436D0" w:rsidR="00AC02A3">
        <w:t xml:space="preserve"> </w:t>
      </w:r>
      <w:r w:rsidRPr="007436D0" w:rsidR="00AC02A3">
        <w:rPr>
          <w:i/>
        </w:rPr>
        <w:t>Brady</w:t>
      </w:r>
      <w:r w:rsidRPr="007436D0" w:rsidR="00AC02A3">
        <w:t xml:space="preserve"> list both signals that it may be appropriate to file </w:t>
      </w:r>
      <w:r w:rsidRPr="007436D0" w:rsidR="00E86C37">
        <w:t xml:space="preserve">a </w:t>
      </w:r>
      <w:r w:rsidRPr="007436D0" w:rsidR="00531FD3">
        <w:t>motion seeking</w:t>
      </w:r>
      <w:r w:rsidRPr="007436D0" w:rsidR="00AC02A3">
        <w:t xml:space="preserve"> in camera inspection and helps to establish good cause for that inspection.  </w:t>
      </w:r>
      <w:r w:rsidR="00896DF5">
        <w:t>W</w:t>
      </w:r>
      <w:r w:rsidRPr="007436D0" w:rsidR="003F6872">
        <w:t xml:space="preserve">e </w:t>
      </w:r>
      <w:r w:rsidR="00896DF5">
        <w:t xml:space="preserve">recently </w:t>
      </w:r>
      <w:r w:rsidRPr="007436D0" w:rsidR="003F6872">
        <w:t xml:space="preserve">described </w:t>
      </w:r>
      <w:r w:rsidR="00444F13">
        <w:t>this</w:t>
      </w:r>
      <w:r w:rsidR="00752458">
        <w:t xml:space="preserve"> </w:t>
      </w:r>
      <w:r w:rsidR="00752458">
        <w:rPr>
          <w:i/>
        </w:rPr>
        <w:t>Brady</w:t>
      </w:r>
      <w:r w:rsidR="00752458">
        <w:t>-</w:t>
      </w:r>
      <w:r w:rsidR="009529AA">
        <w:t>alert</w:t>
      </w:r>
      <w:r w:rsidRPr="007436D0" w:rsidR="003F6872">
        <w:t xml:space="preserve"> practice as “laudabl[e].”  (</w:t>
      </w:r>
      <w:r w:rsidRPr="007436D0" w:rsidR="003F6872">
        <w:rPr>
          <w:i/>
        </w:rPr>
        <w:t>Johnson</w:t>
      </w:r>
      <w:r w:rsidRPr="007436D0" w:rsidR="003F6872">
        <w:t xml:space="preserve">, </w:t>
      </w:r>
      <w:r w:rsidRPr="007436D0" w:rsidR="003F6872">
        <w:rPr>
          <w:i/>
        </w:rPr>
        <w:t>supra</w:t>
      </w:r>
      <w:r w:rsidR="002C7984">
        <w:t>,</w:t>
      </w:r>
      <w:r w:rsidRPr="007436D0" w:rsidR="003F6872">
        <w:t xml:space="preserve"> 61 Cal.4th at p.</w:t>
      </w:r>
      <w:r w:rsidR="00CF4AEA">
        <w:t> </w:t>
      </w:r>
      <w:r w:rsidRPr="007436D0" w:rsidR="003F6872">
        <w:t xml:space="preserve">721.) </w:t>
      </w:r>
    </w:p>
    <w:p w:rsidR="00B15138" w:rsidRPr="00896DF5" w:rsidP="00FF7749">
      <w:pPr>
        <w:pStyle w:val="ListParagraph"/>
        <w:tabs>
          <w:tab w:val="left" w:pos="1440"/>
        </w:tabs>
        <w:ind w:left="0" w:firstLine="720"/>
      </w:pPr>
      <w:bookmarkStart w:id="3" w:name="_Hlk16509054"/>
      <w:r w:rsidRPr="007436D0">
        <w:t>P</w:t>
      </w:r>
      <w:r w:rsidRPr="007436D0" w:rsidR="003F6872">
        <w:t>etitioner in this case is</w:t>
      </w:r>
      <w:r w:rsidRPr="007436D0" w:rsidR="00194E2C">
        <w:t xml:space="preserve"> the Association for Los Angeles Deputy Sheriffs</w:t>
      </w:r>
      <w:r w:rsidRPr="007436D0" w:rsidR="00221305">
        <w:t xml:space="preserve">.  </w:t>
      </w:r>
      <w:r w:rsidRPr="007436D0" w:rsidR="00194E2C">
        <w:t xml:space="preserve">The Association obtained a preliminary injunction preventing the </w:t>
      </w:r>
      <w:r w:rsidRPr="007436D0" w:rsidR="00221305">
        <w:t xml:space="preserve">Los Angeles County Sheriff’s Department </w:t>
      </w:r>
      <w:r w:rsidRPr="007436D0" w:rsidR="00194E2C">
        <w:t>from disclosing</w:t>
      </w:r>
      <w:r w:rsidRPr="007436D0" w:rsidR="004218F1">
        <w:t xml:space="preserve"> </w:t>
      </w:r>
      <w:r w:rsidRPr="007436D0" w:rsidR="00194E2C">
        <w:t>th</w:t>
      </w:r>
      <w:r w:rsidRPr="007436D0" w:rsidR="0057659C">
        <w:t xml:space="preserve">e identity of deputies on the </w:t>
      </w:r>
      <w:r w:rsidRPr="007436D0" w:rsidR="00221305">
        <w:t xml:space="preserve">Department’s </w:t>
      </w:r>
      <w:r w:rsidRPr="007436D0" w:rsidR="00221305">
        <w:rPr>
          <w:i/>
        </w:rPr>
        <w:t xml:space="preserve">Brady </w:t>
      </w:r>
      <w:r w:rsidRPr="007436D0" w:rsidR="00194E2C">
        <w:t>list</w:t>
      </w:r>
      <w:r w:rsidRPr="007436D0" w:rsidR="00211F37">
        <w:t>.</w:t>
      </w:r>
      <w:r w:rsidRPr="007436D0" w:rsidR="00C122C1">
        <w:t xml:space="preserve">  The injunction included an exception</w:t>
      </w:r>
      <w:r w:rsidRPr="007436D0" w:rsidR="00C15503">
        <w:t>,</w:t>
      </w:r>
      <w:r w:rsidRPr="007436D0" w:rsidR="00C122C1">
        <w:t xml:space="preserve"> </w:t>
      </w:r>
      <w:r w:rsidRPr="007436D0" w:rsidR="0057659C">
        <w:t>permitting</w:t>
      </w:r>
      <w:r w:rsidRPr="007436D0" w:rsidR="00C122C1">
        <w:t xml:space="preserve"> disclosure </w:t>
      </w:r>
      <w:r w:rsidRPr="007436D0" w:rsidR="00665F63">
        <w:t xml:space="preserve">to prosecutors when a deputy </w:t>
      </w:r>
      <w:r w:rsidRPr="007436D0" w:rsidR="00D7489B">
        <w:t>is</w:t>
      </w:r>
      <w:r w:rsidRPr="007436D0" w:rsidR="00665F63">
        <w:t xml:space="preserve"> a potential witness in a pending prosecution.  </w:t>
      </w:r>
      <w:r w:rsidRPr="007436D0" w:rsidR="00D6665A">
        <w:t xml:space="preserve">The Court of Appeal </w:t>
      </w:r>
      <w:r w:rsidRPr="007436D0" w:rsidR="00A91285">
        <w:t xml:space="preserve">held that </w:t>
      </w:r>
      <w:r w:rsidRPr="007436D0" w:rsidR="002C118F">
        <w:t>the</w:t>
      </w:r>
      <w:r w:rsidRPr="007436D0" w:rsidR="00A91285">
        <w:t xml:space="preserve"> exception </w:t>
      </w:r>
      <w:r w:rsidRPr="007436D0" w:rsidR="00952007">
        <w:t>i</w:t>
      </w:r>
      <w:r w:rsidRPr="007436D0" w:rsidR="00A91285">
        <w:t>s impermissible</w:t>
      </w:r>
      <w:r w:rsidRPr="007436D0" w:rsidR="007510F8">
        <w:t xml:space="preserve"> under the </w:t>
      </w:r>
      <w:r w:rsidRPr="007436D0" w:rsidR="007510F8">
        <w:rPr>
          <w:i/>
        </w:rPr>
        <w:t xml:space="preserve">Pitchess </w:t>
      </w:r>
      <w:r w:rsidRPr="007436D0" w:rsidR="007510F8">
        <w:t>statutes</w:t>
      </w:r>
      <w:r w:rsidRPr="007436D0" w:rsidR="004B28E2">
        <w:t xml:space="preserve">.  </w:t>
      </w:r>
      <w:r w:rsidRPr="007436D0">
        <w:t xml:space="preserve">We granted review to decide the following question:  “When a law enforcement agency creates an internal </w:t>
      </w:r>
      <w:r w:rsidRPr="007436D0">
        <w:rPr>
          <w:i/>
        </w:rPr>
        <w:t>Brady</w:t>
      </w:r>
      <w:r w:rsidRPr="007436D0">
        <w:t xml:space="preserve"> list [citation], and a peace officer on that list is a potential witness in a pending criminal prosecution, may the agency disclose to the prosecution (a) the name and identifying number of the officer and (b) that the officer may have relevant exonerating or impeaching material in </w:t>
      </w:r>
      <w:r w:rsidR="005116B7">
        <w:t>[that officer’s]</w:t>
      </w:r>
      <w:r w:rsidRPr="007436D0">
        <w:t xml:space="preserve"> confidential personnel file</w:t>
      </w:r>
      <w:r w:rsidR="00C14E8A">
        <w:t> . . .</w:t>
      </w:r>
      <w:r w:rsidR="003848CA">
        <w:t> </w:t>
      </w:r>
      <w:r w:rsidRPr="007436D0">
        <w:t xml:space="preserve">?”  </w:t>
      </w:r>
      <w:r w:rsidR="00896DF5">
        <w:t xml:space="preserve">We </w:t>
      </w:r>
      <w:r w:rsidR="00444F13">
        <w:t>conclude</w:t>
      </w:r>
      <w:r w:rsidR="00896DF5">
        <w:t xml:space="preserve"> that </w:t>
      </w:r>
      <w:r w:rsidR="00FF7749">
        <w:t xml:space="preserve">the </w:t>
      </w:r>
      <w:r w:rsidR="00FF7749">
        <w:rPr>
          <w:i/>
        </w:rPr>
        <w:t>Pitchess</w:t>
      </w:r>
      <w:r w:rsidR="00FF7749">
        <w:t xml:space="preserve"> statutes </w:t>
      </w:r>
      <w:r w:rsidR="008B27F8">
        <w:t>permit</w:t>
      </w:r>
      <w:r w:rsidR="00FF7749">
        <w:t xml:space="preserve"> such disclosure.</w:t>
      </w:r>
    </w:p>
    <w:p w:rsidR="00681794" w:rsidRPr="007436D0" w:rsidP="007436D0">
      <w:pPr>
        <w:pStyle w:val="Heading1"/>
      </w:pPr>
      <w:bookmarkStart w:id="4" w:name="_Toc405367379"/>
      <w:bookmarkStart w:id="5" w:name="_Toc430379677"/>
      <w:bookmarkStart w:id="6" w:name="_Toc491684312"/>
      <w:bookmarkStart w:id="7" w:name="_Toc487629674"/>
      <w:bookmarkEnd w:id="3"/>
      <w:r w:rsidRPr="007436D0">
        <w:t xml:space="preserve">I.  </w:t>
      </w:r>
      <w:r w:rsidRPr="007436D0" w:rsidR="006776B0">
        <w:t>Factual and Procedural History</w:t>
      </w:r>
    </w:p>
    <w:p w:rsidR="0057704F" w:rsidRPr="007436D0" w:rsidP="007436D0">
      <w:pPr>
        <w:pStyle w:val="Heading2"/>
      </w:pPr>
      <w:bookmarkStart w:id="8" w:name="_Toc405367380"/>
      <w:bookmarkStart w:id="9" w:name="_Toc430379678"/>
      <w:bookmarkEnd w:id="4"/>
      <w:bookmarkEnd w:id="5"/>
      <w:bookmarkEnd w:id="6"/>
      <w:bookmarkEnd w:id="7"/>
      <w:r w:rsidRPr="007436D0">
        <w:t xml:space="preserve">A.  </w:t>
      </w:r>
      <w:r w:rsidRPr="007436D0" w:rsidR="00DC04B6">
        <w:t xml:space="preserve">The </w:t>
      </w:r>
      <w:r w:rsidRPr="007436D0">
        <w:rPr>
          <w:i/>
        </w:rPr>
        <w:t>Brady</w:t>
      </w:r>
      <w:r w:rsidRPr="007436D0">
        <w:t xml:space="preserve"> List</w:t>
      </w:r>
    </w:p>
    <w:p w:rsidR="00B80DEF" w:rsidRPr="007436D0" w:rsidP="007436D0">
      <w:pPr>
        <w:tabs>
          <w:tab w:val="left" w:pos="1440"/>
        </w:tabs>
        <w:ind w:firstLine="720"/>
      </w:pPr>
      <w:r w:rsidRPr="007436D0">
        <w:t xml:space="preserve">In late 2016, the Association </w:t>
      </w:r>
      <w:r w:rsidRPr="007436D0" w:rsidR="00725716">
        <w:t>counted among its members</w:t>
      </w:r>
      <w:r w:rsidRPr="007436D0" w:rsidR="00FE79EC">
        <w:t xml:space="preserve"> </w:t>
      </w:r>
      <w:r w:rsidRPr="007436D0" w:rsidR="00AB07A2">
        <w:t xml:space="preserve">approximately </w:t>
      </w:r>
      <w:r w:rsidRPr="007436D0" w:rsidR="00FE79EC">
        <w:t>7,800 deputy sheriffs.</w:t>
      </w:r>
      <w:r w:rsidR="00752458">
        <w:t xml:space="preserve">  </w:t>
      </w:r>
      <w:r w:rsidRPr="007436D0" w:rsidR="0031774D">
        <w:t xml:space="preserve">The </w:t>
      </w:r>
      <w:r w:rsidRPr="007436D0" w:rsidR="00110945">
        <w:t xml:space="preserve">Department sent </w:t>
      </w:r>
      <w:r w:rsidRPr="007436D0" w:rsidR="00D93A10">
        <w:t xml:space="preserve">a letter to </w:t>
      </w:r>
      <w:r w:rsidRPr="007436D0" w:rsidR="003D1865">
        <w:t xml:space="preserve">roughly </w:t>
      </w:r>
      <w:r w:rsidRPr="007436D0" w:rsidR="00D93A10">
        <w:t xml:space="preserve">300 </w:t>
      </w:r>
      <w:r w:rsidRPr="007436D0" w:rsidR="0031774D">
        <w:t xml:space="preserve">of those </w:t>
      </w:r>
      <w:r w:rsidRPr="007436D0" w:rsidR="00D93A10">
        <w:t xml:space="preserve">deputies, informing them that </w:t>
      </w:r>
      <w:r w:rsidRPr="007436D0" w:rsidR="000535AC">
        <w:t>a</w:t>
      </w:r>
      <w:r w:rsidRPr="007436D0" w:rsidR="00D93A10">
        <w:t xml:space="preserve"> review of “individual employees’ personnel records” </w:t>
      </w:r>
      <w:r w:rsidRPr="007436D0" w:rsidR="001B7959">
        <w:t xml:space="preserve">had </w:t>
      </w:r>
      <w:r w:rsidRPr="007436D0" w:rsidR="00D93A10">
        <w:t>“identified potential exculpatory or</w:t>
      </w:r>
      <w:r w:rsidRPr="007436D0" w:rsidR="00203B76">
        <w:t> </w:t>
      </w:r>
      <w:r w:rsidRPr="007436D0" w:rsidR="00D93A10">
        <w:t>impeachment info</w:t>
      </w:r>
      <w:r w:rsidR="00752458">
        <w:t>rmation in your personnel file</w:t>
      </w:r>
      <w:r w:rsidRPr="007436D0" w:rsidR="00D93A10">
        <w:t>.</w:t>
      </w:r>
      <w:r w:rsidR="00752458">
        <w:t xml:space="preserve">”  </w:t>
      </w:r>
      <w:r w:rsidRPr="007436D0" w:rsidR="00D93A10">
        <w:t>Among other things, the letter served to “remind” deputies “about the existence of this material.</w:t>
      </w:r>
      <w:r w:rsidRPr="007436D0" w:rsidR="001B7959">
        <w:t xml:space="preserve">” </w:t>
      </w:r>
    </w:p>
    <w:p w:rsidR="00531FD3" w:rsidRPr="007436D0" w:rsidP="007436D0">
      <w:pPr>
        <w:tabs>
          <w:tab w:val="left" w:pos="1440"/>
        </w:tabs>
        <w:ind w:firstLine="720"/>
      </w:pPr>
      <w:r w:rsidRPr="007436D0">
        <w:t xml:space="preserve">According to the letter, “[e]xamples of performance deficiencies” that qualify as potential </w:t>
      </w:r>
      <w:r w:rsidRPr="007436D0">
        <w:rPr>
          <w:i/>
        </w:rPr>
        <w:t>Brady</w:t>
      </w:r>
      <w:r w:rsidRPr="007436D0">
        <w:t xml:space="preserve"> material “include, but are not limited to, founded administrative investigations involving violations of” any of nearly a dozen sections of the </w:t>
      </w:r>
      <w:r w:rsidRPr="007436D0" w:rsidR="006D6BFB">
        <w:t xml:space="preserve">Department’s </w:t>
      </w:r>
      <w:r w:rsidRPr="007436D0">
        <w:t>Manual of Policy and Procedures.</w:t>
      </w:r>
      <w:r w:rsidR="00752458">
        <w:t xml:space="preserve">  </w:t>
      </w:r>
      <w:r w:rsidRPr="007436D0">
        <w:t xml:space="preserve">Those sections concern: </w:t>
      </w:r>
      <w:r w:rsidRPr="007436D0" w:rsidR="001B7959">
        <w:t xml:space="preserve">(1) </w:t>
      </w:r>
      <w:r w:rsidRPr="007436D0">
        <w:t>“Immoral Conduct”; (</w:t>
      </w:r>
      <w:r w:rsidRPr="007436D0" w:rsidR="001B7959">
        <w:t>2</w:t>
      </w:r>
      <w:r w:rsidRPr="007436D0">
        <w:t>) “Bribes, Rewards, Loans, Gifts, Favors”; (</w:t>
      </w:r>
      <w:r w:rsidRPr="007436D0" w:rsidR="001B7959">
        <w:t>3</w:t>
      </w:r>
      <w:r w:rsidRPr="007436D0">
        <w:t>) “Misappropriation of Property”; (</w:t>
      </w:r>
      <w:r w:rsidRPr="007436D0" w:rsidR="001B7959">
        <w:t>4</w:t>
      </w:r>
      <w:r w:rsidRPr="007436D0">
        <w:t>)</w:t>
      </w:r>
      <w:r w:rsidR="00332222">
        <w:t> </w:t>
      </w:r>
      <w:r w:rsidRPr="007436D0">
        <w:t>“Tampering with Evidence”; (</w:t>
      </w:r>
      <w:r w:rsidRPr="007436D0" w:rsidR="001B7959">
        <w:t>5</w:t>
      </w:r>
      <w:r w:rsidRPr="007436D0">
        <w:t>) “False Statements”; (</w:t>
      </w:r>
      <w:r w:rsidRPr="007436D0" w:rsidR="001B7959">
        <w:t>6</w:t>
      </w:r>
      <w:r w:rsidRPr="007436D0">
        <w:t>)</w:t>
      </w:r>
      <w:r w:rsidR="00332222">
        <w:t> </w:t>
      </w:r>
      <w:r w:rsidRPr="007436D0">
        <w:t>“Failure to make Statements and/or Making False Statements During Departmental Internal Investigations”; (</w:t>
      </w:r>
      <w:r w:rsidRPr="007436D0" w:rsidR="001B7959">
        <w:t>7</w:t>
      </w:r>
      <w:r w:rsidRPr="007436D0">
        <w:t>) “Obstructing an Investigation/Influencing a Witness”; (</w:t>
      </w:r>
      <w:r w:rsidRPr="007436D0" w:rsidR="001B7959">
        <w:t>8</w:t>
      </w:r>
      <w:r w:rsidRPr="007436D0">
        <w:t>)</w:t>
      </w:r>
      <w:r w:rsidR="00332222">
        <w:t> </w:t>
      </w:r>
      <w:r w:rsidRPr="007436D0">
        <w:t>“False Information in Records”; (</w:t>
      </w:r>
      <w:r w:rsidRPr="007436D0" w:rsidR="001B7959">
        <w:t>9</w:t>
      </w:r>
      <w:r w:rsidRPr="007436D0">
        <w:t>) “Policy of Equality – Discriminatory Harassment”</w:t>
      </w:r>
      <w:r w:rsidRPr="007436D0" w:rsidR="001B7959">
        <w:t>; (10</w:t>
      </w:r>
      <w:r w:rsidRPr="007436D0">
        <w:t>) “Unreasonable Force”; and (</w:t>
      </w:r>
      <w:r w:rsidRPr="007436D0" w:rsidR="001B7959">
        <w:t>11</w:t>
      </w:r>
      <w:r w:rsidR="00752458">
        <w:t xml:space="preserve">) “Family Violence.”  </w:t>
      </w:r>
      <w:r w:rsidRPr="007436D0" w:rsidR="0080678E">
        <w:t xml:space="preserve">Notwithstanding the letter’s claim that such violations were mere “[e]xamples of performance deficiencies” that might justify inclusion on the </w:t>
      </w:r>
      <w:r w:rsidRPr="007436D0" w:rsidR="0080678E">
        <w:rPr>
          <w:i/>
        </w:rPr>
        <w:t xml:space="preserve">Brady </w:t>
      </w:r>
      <w:r w:rsidRPr="007436D0" w:rsidR="0080678E">
        <w:t xml:space="preserve">list, other materials in the record suggest that the letter was only sent to deputies understood to have violated at least one of those </w:t>
      </w:r>
      <w:r w:rsidR="0002688E">
        <w:t xml:space="preserve">enumerated </w:t>
      </w:r>
      <w:r w:rsidR="00752458">
        <w:t>policies.</w:t>
      </w:r>
    </w:p>
    <w:p w:rsidR="001B7959" w:rsidRPr="007436D0" w:rsidP="007436D0">
      <w:pPr>
        <w:tabs>
          <w:tab w:val="left" w:pos="1440"/>
        </w:tabs>
        <w:ind w:firstLine="720"/>
      </w:pPr>
      <w:r w:rsidRPr="007436D0">
        <w:t xml:space="preserve">The letter further advised deputies that, “in order to comply with our constitutional obligations,” the Department is “required to provide the names of employees with potential exculpatory or impeachment material in their personnel file to the District Attorney and other prosecutorial agencies where the employee </w:t>
      </w:r>
      <w:r w:rsidRPr="007436D0" w:rsidR="00701921">
        <w:t>m</w:t>
      </w:r>
      <w:r w:rsidRPr="007436D0">
        <w:t xml:space="preserve">ay be called as a witness.” </w:t>
      </w:r>
      <w:r w:rsidRPr="007436D0" w:rsidR="0080678E">
        <w:t>Later correspondence indicated that the deputy’s employee</w:t>
      </w:r>
      <w:r w:rsidR="00752458">
        <w:t xml:space="preserve"> number might also be provided</w:t>
      </w:r>
      <w:r w:rsidR="00332222">
        <w:t xml:space="preserve">.  </w:t>
      </w:r>
      <w:r w:rsidRPr="007436D0" w:rsidR="0080678E">
        <w:t>Consistent with that later correspondence, however, t</w:t>
      </w:r>
      <w:r w:rsidRPr="007436D0">
        <w:t xml:space="preserve">he </w:t>
      </w:r>
      <w:r w:rsidRPr="007436D0" w:rsidR="009973AD">
        <w:t xml:space="preserve">initial </w:t>
      </w:r>
      <w:r w:rsidRPr="007436D0">
        <w:t>letter stressed</w:t>
      </w:r>
      <w:r w:rsidRPr="007436D0" w:rsidR="0080678E">
        <w:t xml:space="preserve"> </w:t>
      </w:r>
      <w:r w:rsidRPr="007436D0">
        <w:t>that “no portion of an investigation or contents of your file will be turned over to either the prosecution or th</w:t>
      </w:r>
      <w:r w:rsidR="00752458">
        <w:t xml:space="preserve">e defense absent a court order.”  </w:t>
      </w:r>
      <w:r w:rsidRPr="007436D0" w:rsidR="00B82CA8">
        <w:t xml:space="preserve">Deputies were also afforded an opportunity to object to their inclusion on the </w:t>
      </w:r>
      <w:r w:rsidRPr="007436D0" w:rsidR="00B82CA8">
        <w:rPr>
          <w:i/>
        </w:rPr>
        <w:t>Brady</w:t>
      </w:r>
      <w:r w:rsidRPr="007436D0" w:rsidR="00B82CA8">
        <w:t xml:space="preserve"> list, by informing the </w:t>
      </w:r>
      <w:r w:rsidRPr="007436D0" w:rsidR="004D6CAB">
        <w:t>D</w:t>
      </w:r>
      <w:r w:rsidRPr="007436D0" w:rsidR="00B82CA8">
        <w:t xml:space="preserve">epartment that “the deputy did not have a founded administrative investigation finding on one of the above policy violations” or that “any such founded investigation had been overturned in a settlement agreement or pursuant to an appeal.” </w:t>
      </w:r>
    </w:p>
    <w:p w:rsidR="00A6259F" w:rsidRPr="007436D0" w:rsidP="007436D0">
      <w:pPr>
        <w:pStyle w:val="Heading2"/>
        <w:rPr>
          <w:b w:val="0"/>
        </w:rPr>
      </w:pPr>
      <w:bookmarkStart w:id="10" w:name="_Toc491684313"/>
      <w:bookmarkStart w:id="11" w:name="_Toc487629675"/>
      <w:r w:rsidRPr="007436D0">
        <w:t>B</w:t>
      </w:r>
      <w:r w:rsidRPr="007436D0">
        <w:t xml:space="preserve">.  </w:t>
      </w:r>
      <w:bookmarkEnd w:id="8"/>
      <w:bookmarkEnd w:id="9"/>
      <w:bookmarkEnd w:id="10"/>
      <w:bookmarkEnd w:id="11"/>
      <w:r w:rsidRPr="007436D0" w:rsidR="00FE7093">
        <w:t>Trial Court</w:t>
      </w:r>
    </w:p>
    <w:p w:rsidR="00032888" w:rsidRPr="007436D0" w:rsidP="007436D0">
      <w:pPr>
        <w:tabs>
          <w:tab w:val="left" w:pos="1440"/>
        </w:tabs>
        <w:ind w:firstLine="720"/>
      </w:pPr>
      <w:r w:rsidRPr="007436D0">
        <w:t>As relevant here, t</w:t>
      </w:r>
      <w:r w:rsidRPr="007436D0" w:rsidR="00F16EE7">
        <w:t xml:space="preserve">he </w:t>
      </w:r>
      <w:r w:rsidRPr="007436D0" w:rsidR="00A369DC">
        <w:t>Association</w:t>
      </w:r>
      <w:r w:rsidRPr="007436D0" w:rsidR="00F16EE7">
        <w:t xml:space="preserve"> filed a petition for writ of </w:t>
      </w:r>
      <w:r w:rsidRPr="007436D0">
        <w:t xml:space="preserve">mandate and a complaint seeking preliminary and permanent injunctive relief. </w:t>
      </w:r>
      <w:r w:rsidRPr="007436D0" w:rsidR="00A369DC">
        <w:t>It</w:t>
      </w:r>
      <w:r w:rsidRPr="007436D0">
        <w:t xml:space="preserve"> so</w:t>
      </w:r>
      <w:r w:rsidR="00752458">
        <w:t xml:space="preserve">ught to prevent the Department </w:t>
      </w:r>
      <w:r w:rsidRPr="007436D0">
        <w:t xml:space="preserve">from disclosing the </w:t>
      </w:r>
      <w:r w:rsidRPr="007436D0" w:rsidR="00701921">
        <w:t>identity</w:t>
      </w:r>
      <w:r w:rsidRPr="007436D0">
        <w:t xml:space="preserve"> of </w:t>
      </w:r>
      <w:r w:rsidRPr="007436D0" w:rsidR="00800B46">
        <w:t>deputies</w:t>
      </w:r>
      <w:r w:rsidRPr="007436D0">
        <w:t xml:space="preserve"> on the </w:t>
      </w:r>
      <w:r w:rsidRPr="007436D0">
        <w:rPr>
          <w:i/>
        </w:rPr>
        <w:t>Brady</w:t>
      </w:r>
      <w:r w:rsidRPr="007436D0">
        <w:t xml:space="preserve"> list absent compliance with </w:t>
      </w:r>
      <w:r w:rsidRPr="007436D0">
        <w:rPr>
          <w:i/>
        </w:rPr>
        <w:t>Pitchess</w:t>
      </w:r>
      <w:r w:rsidR="00752458">
        <w:t xml:space="preserve"> procedures</w:t>
      </w:r>
      <w:r w:rsidRPr="007436D0" w:rsidR="00DB1A15">
        <w:t xml:space="preserve">.  </w:t>
      </w:r>
      <w:r w:rsidRPr="007436D0" w:rsidR="00800B46">
        <w:t xml:space="preserve">The </w:t>
      </w:r>
      <w:r w:rsidRPr="007436D0" w:rsidR="00DB1A15">
        <w:t>Department</w:t>
      </w:r>
      <w:r w:rsidRPr="007436D0" w:rsidR="00800B46">
        <w:t xml:space="preserve"> agreed </w:t>
      </w:r>
      <w:r w:rsidRPr="007436D0" w:rsidR="00701921">
        <w:t>to postpone disclosure until</w:t>
      </w:r>
      <w:r w:rsidRPr="007436D0">
        <w:t xml:space="preserve"> the court ruled on the request for a preliminary injunc</w:t>
      </w:r>
      <w:r w:rsidRPr="007436D0" w:rsidR="001C1511">
        <w:t xml:space="preserve">tion.  </w:t>
      </w:r>
      <w:r w:rsidRPr="007436D0" w:rsidR="007315B5">
        <w:t>(</w:t>
      </w:r>
      <w:r w:rsidRPr="007436D0" w:rsidR="007315B5">
        <w:rPr>
          <w:i/>
        </w:rPr>
        <w:t xml:space="preserve">Association for Los Angeles Deputy Sheriffs v. Superior Court </w:t>
      </w:r>
      <w:r w:rsidRPr="007436D0" w:rsidR="007315B5">
        <w:t>(</w:t>
      </w:r>
      <w:r w:rsidRPr="007436D0" w:rsidR="0042441C">
        <w:t>2017) 13</w:t>
      </w:r>
      <w:r w:rsidR="00BF2292">
        <w:t> </w:t>
      </w:r>
      <w:r w:rsidRPr="007436D0" w:rsidR="0042441C">
        <w:t>Cal.App.5th 413, 421 (</w:t>
      </w:r>
      <w:r w:rsidR="001F2934">
        <w:rPr>
          <w:i/>
        </w:rPr>
        <w:t>Deputy Sheriffs</w:t>
      </w:r>
      <w:r w:rsidRPr="007436D0" w:rsidR="0042441C">
        <w:t>).)</w:t>
      </w:r>
      <w:r>
        <w:rPr>
          <w:rStyle w:val="FootnoteReference"/>
        </w:rPr>
        <w:footnoteReference w:id="3"/>
      </w:r>
    </w:p>
    <w:p w:rsidR="00D32AD8" w:rsidRPr="007436D0" w:rsidP="007436D0">
      <w:pPr>
        <w:tabs>
          <w:tab w:val="left" w:pos="1440"/>
        </w:tabs>
        <w:ind w:firstLine="720"/>
      </w:pPr>
      <w:r w:rsidRPr="007436D0">
        <w:t>The trial court granted the request in part.  It agre</w:t>
      </w:r>
      <w:r w:rsidRPr="007436D0" w:rsidR="00DB1A15">
        <w:t xml:space="preserve">ed with the </w:t>
      </w:r>
      <w:r w:rsidRPr="007436D0" w:rsidR="00A369DC">
        <w:t>Association</w:t>
      </w:r>
      <w:r w:rsidRPr="007436D0" w:rsidR="00DB1A15">
        <w:t xml:space="preserve"> that </w:t>
      </w:r>
      <w:r w:rsidRPr="007436D0" w:rsidR="00B00DE6">
        <w:t xml:space="preserve">the identity of </w:t>
      </w:r>
      <w:r w:rsidRPr="007436D0" w:rsidR="007670F0">
        <w:t xml:space="preserve">peace </w:t>
      </w:r>
      <w:r w:rsidRPr="007436D0" w:rsidR="00B00DE6">
        <w:t xml:space="preserve">officers on the </w:t>
      </w:r>
      <w:r w:rsidRPr="007436D0" w:rsidR="00B00DE6">
        <w:rPr>
          <w:i/>
        </w:rPr>
        <w:t>Brady</w:t>
      </w:r>
      <w:r w:rsidRPr="007436D0" w:rsidR="00B00DE6">
        <w:t xml:space="preserve"> list was confidential</w:t>
      </w:r>
      <w:r w:rsidRPr="007436D0" w:rsidR="007670F0">
        <w:t xml:space="preserve"> under the </w:t>
      </w:r>
      <w:r w:rsidRPr="007436D0" w:rsidR="007670F0">
        <w:rPr>
          <w:i/>
        </w:rPr>
        <w:t>Pitchess</w:t>
      </w:r>
      <w:r w:rsidRPr="007436D0" w:rsidR="007670F0">
        <w:t xml:space="preserve"> statutes</w:t>
      </w:r>
      <w:r w:rsidRPr="007436D0" w:rsidR="00B00DE6">
        <w:t xml:space="preserve"> </w:t>
      </w:r>
      <w:r w:rsidRPr="007436D0" w:rsidR="00345D50">
        <w:t>because</w:t>
      </w:r>
      <w:r w:rsidRPr="007436D0" w:rsidR="00B00DE6">
        <w:t xml:space="preserve"> the list linked officers to </w:t>
      </w:r>
      <w:r w:rsidR="005F231F">
        <w:t>disciplinary action</w:t>
      </w:r>
      <w:r w:rsidRPr="007436D0" w:rsidR="00350C94">
        <w:t xml:space="preserve"> reflected in their personnel records</w:t>
      </w:r>
      <w:r w:rsidR="00752458">
        <w:t xml:space="preserve">.  </w:t>
      </w:r>
      <w:r w:rsidRPr="007436D0" w:rsidR="007670F0">
        <w:t>The court</w:t>
      </w:r>
      <w:r w:rsidRPr="007436D0" w:rsidR="00B00DE6">
        <w:t xml:space="preserve"> further agreed that </w:t>
      </w:r>
      <w:r w:rsidRPr="007436D0" w:rsidR="00B00DE6">
        <w:rPr>
          <w:i/>
        </w:rPr>
        <w:t>Brady</w:t>
      </w:r>
      <w:r w:rsidRPr="007436D0" w:rsidR="00B00DE6">
        <w:t xml:space="preserve"> did not authorize disclosure of the list</w:t>
      </w:r>
      <w:r w:rsidRPr="007436D0" w:rsidR="00D3615C">
        <w:t xml:space="preserve"> at the Department’s discretion, un</w:t>
      </w:r>
      <w:r w:rsidR="00752458">
        <w:t xml:space="preserve">connected to any criminal case.  </w:t>
      </w:r>
      <w:r w:rsidRPr="007436D0" w:rsidR="007670F0">
        <w:t xml:space="preserve">Over the </w:t>
      </w:r>
      <w:r w:rsidRPr="007436D0" w:rsidR="00A369DC">
        <w:t>Association’s</w:t>
      </w:r>
      <w:r w:rsidRPr="007436D0" w:rsidR="007670F0">
        <w:t xml:space="preserve"> objection, however, the court </w:t>
      </w:r>
      <w:r w:rsidRPr="007436D0" w:rsidR="001B5383">
        <w:t>ruled</w:t>
      </w:r>
      <w:r w:rsidRPr="007436D0" w:rsidR="007670F0">
        <w:t xml:space="preserve"> that the Department was </w:t>
      </w:r>
      <w:r w:rsidRPr="007436D0" w:rsidR="00F13E66">
        <w:t>“</w:t>
      </w:r>
      <w:r w:rsidRPr="007436D0" w:rsidR="007670F0">
        <w:rPr>
          <w:i/>
        </w:rPr>
        <w:t>not</w:t>
      </w:r>
      <w:r w:rsidRPr="007436D0" w:rsidR="00F13E66">
        <w:t xml:space="preserve"> . . . </w:t>
      </w:r>
      <w:r w:rsidRPr="007436D0" w:rsidR="007670F0">
        <w:t>enjoined from disclosing the fact that an individual Deputy Sheriff is listed on the Sheriff’s Department’s ‘Brady List’ when a criminal prosecution is pending and the Deputy Sheriff at issue is involved in the pending prose</w:t>
      </w:r>
      <w:r w:rsidR="00752458">
        <w:t xml:space="preserve">cution as a potential witness.”  </w:t>
      </w:r>
    </w:p>
    <w:p w:rsidR="004B7B40" w:rsidRPr="007436D0" w:rsidP="007436D0">
      <w:pPr>
        <w:pStyle w:val="Heading2"/>
      </w:pPr>
      <w:r w:rsidRPr="007436D0">
        <w:t>C</w:t>
      </w:r>
      <w:r w:rsidRPr="007436D0" w:rsidR="00FE7093">
        <w:t>.  Court of Appeal</w:t>
      </w:r>
      <w:r w:rsidRPr="007436D0" w:rsidR="00C75266">
        <w:t xml:space="preserve"> </w:t>
      </w:r>
    </w:p>
    <w:p w:rsidR="00871EA9" w:rsidRPr="007436D0" w:rsidP="007436D0">
      <w:pPr>
        <w:tabs>
          <w:tab w:val="left" w:pos="1440"/>
        </w:tabs>
        <w:ind w:firstLine="720"/>
      </w:pPr>
      <w:r w:rsidRPr="007436D0">
        <w:t xml:space="preserve">The </w:t>
      </w:r>
      <w:r w:rsidRPr="007436D0" w:rsidR="00A369DC">
        <w:t>Association</w:t>
      </w:r>
      <w:r w:rsidRPr="007436D0">
        <w:t xml:space="preserve"> petitioned the Court of Appeal for a writ of mandate and requested an im</w:t>
      </w:r>
      <w:r w:rsidR="00752458">
        <w:t xml:space="preserve">mediate stay.  </w:t>
      </w:r>
      <w:r w:rsidRPr="007436D0">
        <w:t>The</w:t>
      </w:r>
      <w:r w:rsidRPr="007436D0" w:rsidR="00C53BCB">
        <w:t xml:space="preserve"> court granted the stay request, </w:t>
      </w:r>
      <w:r w:rsidRPr="007436D0">
        <w:t xml:space="preserve">effectively expanding the trial court’s injunction to </w:t>
      </w:r>
      <w:r w:rsidRPr="007436D0" w:rsidR="00C53BCB">
        <w:t xml:space="preserve">prevent disclosure </w:t>
      </w:r>
      <w:r w:rsidRPr="007436D0" w:rsidR="00ED046C">
        <w:t xml:space="preserve">of officer </w:t>
      </w:r>
      <w:r w:rsidRPr="007436D0" w:rsidR="00B15893">
        <w:t>identities</w:t>
      </w:r>
      <w:r w:rsidRPr="007436D0" w:rsidR="00ED046C">
        <w:t xml:space="preserve"> </w:t>
      </w:r>
      <w:r w:rsidRPr="007436D0" w:rsidR="00C53BCB">
        <w:t xml:space="preserve">(outside of the </w:t>
      </w:r>
      <w:r w:rsidRPr="007436D0" w:rsidR="00C53BCB">
        <w:rPr>
          <w:i/>
        </w:rPr>
        <w:t>Pitchess</w:t>
      </w:r>
      <w:r w:rsidRPr="007436D0" w:rsidR="00C53BCB">
        <w:t xml:space="preserve"> process) without regard to whe</w:t>
      </w:r>
      <w:r w:rsidR="00752458">
        <w:t xml:space="preserve">ther a prosecution was pending.  </w:t>
      </w:r>
      <w:r w:rsidRPr="007436D0">
        <w:t xml:space="preserve">After issuing an order to show cause, a divided panel </w:t>
      </w:r>
      <w:r w:rsidRPr="007436D0" w:rsidR="00ED046C">
        <w:t xml:space="preserve">of the Court of Appeal </w:t>
      </w:r>
      <w:r w:rsidRPr="007436D0">
        <w:t>granted the writ petition in pertinent part.</w:t>
      </w:r>
      <w:r w:rsidRPr="007436D0" w:rsidR="00197E36">
        <w:t xml:space="preserve">  </w:t>
      </w:r>
      <w:r w:rsidRPr="007436D0" w:rsidR="0012281F">
        <w:t>(</w:t>
      </w:r>
      <w:r w:rsidR="00121F34">
        <w:rPr>
          <w:i/>
        </w:rPr>
        <w:t>Deputy Sheriffs</w:t>
      </w:r>
      <w:r w:rsidRPr="007436D0" w:rsidR="0012281F">
        <w:t xml:space="preserve">, </w:t>
      </w:r>
      <w:r w:rsidRPr="007436D0" w:rsidR="0012281F">
        <w:rPr>
          <w:i/>
        </w:rPr>
        <w:t>supra</w:t>
      </w:r>
      <w:r w:rsidRPr="007436D0" w:rsidR="0012281F">
        <w:t>, 13 Cal.App.5th at p.</w:t>
      </w:r>
      <w:r w:rsidR="00481F16">
        <w:t> </w:t>
      </w:r>
      <w:r w:rsidRPr="007436D0" w:rsidR="00B00ECD">
        <w:t>448.)</w:t>
      </w:r>
    </w:p>
    <w:p w:rsidR="00D74ED9" w:rsidRPr="007436D0" w:rsidP="007436D0">
      <w:pPr>
        <w:tabs>
          <w:tab w:val="left" w:pos="1440"/>
        </w:tabs>
        <w:ind w:firstLine="720"/>
      </w:pPr>
      <w:r w:rsidRPr="007436D0">
        <w:t xml:space="preserve">The Court of Appeal observed that </w:t>
      </w:r>
      <w:r w:rsidRPr="007436D0" w:rsidR="001B5383">
        <w:t xml:space="preserve">the </w:t>
      </w:r>
      <w:r w:rsidRPr="007436D0" w:rsidR="001B5383">
        <w:rPr>
          <w:i/>
        </w:rPr>
        <w:t>Pitchess</w:t>
      </w:r>
      <w:r w:rsidRPr="007436D0" w:rsidR="001B5383">
        <w:t xml:space="preserve"> statutes make</w:t>
      </w:r>
      <w:r w:rsidRPr="007436D0">
        <w:t xml:space="preserve"> confidential </w:t>
      </w:r>
      <w:r w:rsidRPr="007436D0" w:rsidR="00D7528E">
        <w:t xml:space="preserve">certain </w:t>
      </w:r>
      <w:r w:rsidRPr="007436D0">
        <w:t xml:space="preserve">personnel records and information obtained from those records.  </w:t>
      </w:r>
      <w:r w:rsidRPr="007436D0" w:rsidR="00B00ECD">
        <w:t>(</w:t>
      </w:r>
      <w:r w:rsidR="00121F34">
        <w:rPr>
          <w:i/>
        </w:rPr>
        <w:t>Deputy Sheriffs</w:t>
      </w:r>
      <w:r w:rsidRPr="007436D0" w:rsidR="00B00ECD">
        <w:t xml:space="preserve">, </w:t>
      </w:r>
      <w:r w:rsidRPr="007436D0" w:rsidR="00B00ECD">
        <w:rPr>
          <w:i/>
        </w:rPr>
        <w:t>supra</w:t>
      </w:r>
      <w:r w:rsidRPr="007436D0" w:rsidR="00B00ECD">
        <w:t xml:space="preserve">, 13 Cal.App.5th at p. </w:t>
      </w:r>
      <w:r w:rsidRPr="007436D0" w:rsidR="00A70728">
        <w:t xml:space="preserve">433.)  </w:t>
      </w:r>
      <w:r w:rsidRPr="007436D0" w:rsidR="00350C94">
        <w:t xml:space="preserve">Echoing the trial court, the Court of Appeal </w:t>
      </w:r>
      <w:r w:rsidRPr="007436D0" w:rsidR="001118CC">
        <w:t>reasoned</w:t>
      </w:r>
      <w:r w:rsidRPr="007436D0" w:rsidR="00350C94">
        <w:t xml:space="preserve"> </w:t>
      </w:r>
      <w:r w:rsidRPr="007436D0">
        <w:t>that “[n]otifying an outside agency, even a prosecutor’s office, that a deputy has an administratively founded allegation of misconduct</w:t>
      </w:r>
      <w:r w:rsidR="00121F34">
        <w:t xml:space="preserve"> . . . </w:t>
      </w:r>
      <w:r w:rsidRPr="007436D0">
        <w:t>cannot be characterized as anything other than disclosing information obtained from the peace officer’s personnel file.”</w:t>
      </w:r>
      <w:r w:rsidRPr="007436D0" w:rsidR="00D93952">
        <w:t xml:space="preserve">  (</w:t>
      </w:r>
      <w:r w:rsidRPr="007436D0" w:rsidR="00D93952">
        <w:rPr>
          <w:i/>
        </w:rPr>
        <w:t>Id.</w:t>
      </w:r>
      <w:r w:rsidRPr="007436D0" w:rsidR="00D93952">
        <w:t xml:space="preserve">, at p. 435.)  </w:t>
      </w:r>
      <w:r w:rsidRPr="007436D0" w:rsidR="008219D5">
        <w:t xml:space="preserve">The appellate court </w:t>
      </w:r>
      <w:r w:rsidRPr="007436D0" w:rsidR="001B5383">
        <w:t xml:space="preserve">did not agree, </w:t>
      </w:r>
      <w:r w:rsidRPr="007436D0" w:rsidR="008219D5">
        <w:t xml:space="preserve">however, that </w:t>
      </w:r>
      <w:r w:rsidRPr="007436D0" w:rsidR="003A450E">
        <w:t xml:space="preserve">disclosure could be made whenever an officer on the </w:t>
      </w:r>
      <w:r w:rsidRPr="007436D0" w:rsidR="003A450E">
        <w:rPr>
          <w:i/>
        </w:rPr>
        <w:t xml:space="preserve">Brady </w:t>
      </w:r>
      <w:r w:rsidRPr="007436D0" w:rsidR="003A450E">
        <w:t>list was a potent</w:t>
      </w:r>
      <w:r w:rsidRPr="007436D0" w:rsidR="001118CC">
        <w:t xml:space="preserve">ial witness in a pending case.  </w:t>
      </w:r>
      <w:r w:rsidRPr="007436D0" w:rsidR="00426152">
        <w:t xml:space="preserve">The </w:t>
      </w:r>
      <w:r w:rsidRPr="007436D0" w:rsidR="00960F7B">
        <w:t xml:space="preserve">court </w:t>
      </w:r>
      <w:r w:rsidRPr="007436D0" w:rsidR="00426152">
        <w:t xml:space="preserve">thus ordered the trial court “to strike from the injunction any language” </w:t>
      </w:r>
      <w:r w:rsidRPr="007436D0" w:rsidR="009E02CE">
        <w:t>permitting</w:t>
      </w:r>
      <w:r w:rsidRPr="007436D0" w:rsidR="00426152">
        <w:t xml:space="preserve"> disclosure of “the identity of any individual deputy on the . . . </w:t>
      </w:r>
      <w:r w:rsidRPr="007436D0" w:rsidR="00426152">
        <w:rPr>
          <w:i/>
        </w:rPr>
        <w:t>Brady</w:t>
      </w:r>
      <w:r w:rsidRPr="007436D0" w:rsidR="00426152">
        <w:t xml:space="preserve"> list to any individual or entity outside the [Department], even if the deputy is a witness in a pending criminal prosecution, absent a properly filed, heard, and granted </w:t>
      </w:r>
      <w:r w:rsidRPr="007436D0" w:rsidR="00426152">
        <w:rPr>
          <w:i/>
        </w:rPr>
        <w:t>Pitchess</w:t>
      </w:r>
      <w:r w:rsidRPr="007436D0" w:rsidR="00426152">
        <w:t xml:space="preserve"> motion, accompanied by a corresponding court order.”  </w:t>
      </w:r>
      <w:r w:rsidRPr="007436D0" w:rsidR="0067536B">
        <w:t>(</w:t>
      </w:r>
      <w:r w:rsidRPr="007436D0" w:rsidR="0067536B">
        <w:rPr>
          <w:i/>
        </w:rPr>
        <w:t>Id.</w:t>
      </w:r>
      <w:r w:rsidRPr="007436D0" w:rsidR="0067536B">
        <w:t>, at p. 448.)</w:t>
      </w:r>
    </w:p>
    <w:p w:rsidR="000E4AEA" w:rsidRPr="007436D0" w:rsidP="007436D0">
      <w:pPr>
        <w:tabs>
          <w:tab w:val="left" w:pos="1440"/>
        </w:tabs>
        <w:ind w:firstLine="720"/>
      </w:pPr>
      <w:r w:rsidRPr="007436D0">
        <w:t xml:space="preserve">Justice Grimes dissented in pertinent part.  She </w:t>
      </w:r>
      <w:r w:rsidR="0014595B">
        <w:t xml:space="preserve">concluded </w:t>
      </w:r>
      <w:r w:rsidRPr="007436D0" w:rsidR="003A450E">
        <w:t xml:space="preserve">that a </w:t>
      </w:r>
      <w:r w:rsidRPr="007436D0" w:rsidR="003A450E">
        <w:rPr>
          <w:i/>
        </w:rPr>
        <w:t>Pitchess</w:t>
      </w:r>
      <w:r w:rsidRPr="007436D0" w:rsidR="003A450E">
        <w:t xml:space="preserve"> motion is not “required to transfer, between members of the prosecution team, the identities of officers involved in a pending prosecution who may have </w:t>
      </w:r>
      <w:r w:rsidRPr="007436D0" w:rsidR="003A450E">
        <w:rPr>
          <w:i/>
        </w:rPr>
        <w:t>Brady</w:t>
      </w:r>
      <w:r w:rsidRPr="007436D0" w:rsidR="003A450E">
        <w:t xml:space="preserve"> materials in their personnel records.”</w:t>
      </w:r>
      <w:r w:rsidRPr="007436D0" w:rsidR="0067536B">
        <w:t xml:space="preserve">  (</w:t>
      </w:r>
      <w:r w:rsidR="00121F34">
        <w:rPr>
          <w:i/>
        </w:rPr>
        <w:t>Deputy Sheriffs</w:t>
      </w:r>
      <w:r w:rsidRPr="007436D0" w:rsidR="0067536B">
        <w:t xml:space="preserve">, </w:t>
      </w:r>
      <w:r w:rsidRPr="007436D0" w:rsidR="0067536B">
        <w:rPr>
          <w:i/>
        </w:rPr>
        <w:t>supra</w:t>
      </w:r>
      <w:r w:rsidRPr="007436D0" w:rsidR="0067536B">
        <w:t>, 13</w:t>
      </w:r>
      <w:r w:rsidR="00A14000">
        <w:t> </w:t>
      </w:r>
      <w:r w:rsidRPr="007436D0" w:rsidR="0067536B">
        <w:t>Cal.App.5th at p.</w:t>
      </w:r>
      <w:r w:rsidRPr="007436D0" w:rsidR="006C7115">
        <w:t xml:space="preserve"> 449</w:t>
      </w:r>
      <w:r w:rsidRPr="007436D0" w:rsidR="006D11DA">
        <w:t xml:space="preserve"> (conc. &amp; </w:t>
      </w:r>
      <w:r w:rsidRPr="007436D0" w:rsidR="00374151">
        <w:t>dis. opn. of Grimes, J.</w:t>
      </w:r>
      <w:r w:rsidRPr="007436D0" w:rsidR="006C7115">
        <w:t>)</w:t>
      </w:r>
      <w:r w:rsidRPr="007436D0" w:rsidR="00374151">
        <w:t>.)</w:t>
      </w:r>
      <w:r w:rsidRPr="007436D0" w:rsidR="003A450E">
        <w:t xml:space="preserve">  </w:t>
      </w:r>
    </w:p>
    <w:p w:rsidR="00D32AD8" w:rsidRPr="007436D0" w:rsidP="007436D0">
      <w:pPr>
        <w:pStyle w:val="Heading2"/>
      </w:pPr>
      <w:r w:rsidRPr="007436D0">
        <w:t xml:space="preserve">D.  </w:t>
      </w:r>
      <w:r w:rsidRPr="007436D0" w:rsidR="00552BDA">
        <w:t>Enactment of Senate Bill 1421</w:t>
      </w:r>
    </w:p>
    <w:p w:rsidR="00047DDB" w:rsidRPr="007436D0" w:rsidP="007436D0">
      <w:pPr>
        <w:ind w:firstLine="720"/>
      </w:pPr>
      <w:r w:rsidRPr="007436D0">
        <w:t>We granted</w:t>
      </w:r>
      <w:r w:rsidRPr="007436D0" w:rsidR="00031C76">
        <w:t xml:space="preserve"> </w:t>
      </w:r>
      <w:r w:rsidRPr="007436D0">
        <w:t xml:space="preserve">review.  </w:t>
      </w:r>
      <w:r w:rsidRPr="007436D0" w:rsidR="00CC4C56">
        <w:t>Wh</w:t>
      </w:r>
      <w:r w:rsidRPr="007436D0" w:rsidR="00D80BC0">
        <w:t>ile</w:t>
      </w:r>
      <w:r w:rsidRPr="007436D0" w:rsidR="00D32AD8">
        <w:t xml:space="preserve"> this</w:t>
      </w:r>
      <w:r w:rsidRPr="007436D0" w:rsidR="0003499D">
        <w:t xml:space="preserve"> </w:t>
      </w:r>
      <w:r w:rsidRPr="007436D0" w:rsidR="00197E36">
        <w:t>matter</w:t>
      </w:r>
      <w:r w:rsidRPr="007436D0" w:rsidR="0003499D">
        <w:t xml:space="preserve"> was pending before us, Senate Bil</w:t>
      </w:r>
      <w:r w:rsidRPr="007436D0" w:rsidR="00203B76">
        <w:t>l </w:t>
      </w:r>
      <w:r w:rsidR="00121F34">
        <w:t xml:space="preserve">No. </w:t>
      </w:r>
      <w:r w:rsidRPr="007436D0" w:rsidR="0003499D">
        <w:t xml:space="preserve">1421 </w:t>
      </w:r>
      <w:r w:rsidR="00121F34">
        <w:t xml:space="preserve">(2017-2018 Reg. Sess.) (Senate Bill 1421) </w:t>
      </w:r>
      <w:r w:rsidRPr="007436D0" w:rsidR="0003499D">
        <w:t xml:space="preserve">amended </w:t>
      </w:r>
      <w:r w:rsidRPr="007436D0" w:rsidR="00552BDA">
        <w:t xml:space="preserve">one of the statutes relevant to the </w:t>
      </w:r>
      <w:r w:rsidRPr="007436D0" w:rsidR="004F7997">
        <w:t>question</w:t>
      </w:r>
      <w:r w:rsidRPr="007436D0" w:rsidR="00552BDA">
        <w:t xml:space="preserve"> presented.  </w:t>
      </w:r>
      <w:r w:rsidRPr="007436D0" w:rsidR="00703D32">
        <w:t>(See</w:t>
      </w:r>
      <w:r w:rsidRPr="007436D0" w:rsidR="00B15893">
        <w:t xml:space="preserve"> Stats. 2018, c</w:t>
      </w:r>
      <w:r w:rsidRPr="007436D0" w:rsidR="00CC4C56">
        <w:t>h</w:t>
      </w:r>
      <w:r w:rsidRPr="007436D0" w:rsidR="00B15893">
        <w:t xml:space="preserve">. 988, § 2, eff. Jan. 1, 2019; </w:t>
      </w:r>
      <w:r w:rsidRPr="007436D0" w:rsidR="00076AE9">
        <w:t>see also § 832.7(a).</w:t>
      </w:r>
      <w:r w:rsidRPr="007436D0" w:rsidR="00703D32">
        <w:t>)  We obtained supplemental briefing regarding the significance</w:t>
      </w:r>
      <w:r w:rsidRPr="007436D0" w:rsidR="00846229">
        <w:t xml:space="preserve"> </w:t>
      </w:r>
      <w:r w:rsidRPr="007436D0" w:rsidR="00703D32">
        <w:t xml:space="preserve">of </w:t>
      </w:r>
      <w:r w:rsidRPr="007436D0" w:rsidR="00091A08">
        <w:t xml:space="preserve">the </w:t>
      </w:r>
      <w:r w:rsidRPr="007436D0" w:rsidR="00703D32">
        <w:t>enactment</w:t>
      </w:r>
      <w:r w:rsidRPr="007436D0" w:rsidR="00EB7369">
        <w:t>.</w:t>
      </w:r>
    </w:p>
    <w:p w:rsidR="00B87D89" w:rsidRPr="007436D0" w:rsidP="007436D0">
      <w:pPr>
        <w:pStyle w:val="Heading1"/>
      </w:pPr>
      <w:r w:rsidRPr="007436D0">
        <w:t xml:space="preserve">II.  </w:t>
      </w:r>
      <w:r w:rsidRPr="007436D0" w:rsidR="0003499D">
        <w:rPr>
          <w:i/>
        </w:rPr>
        <w:t>Brady</w:t>
      </w:r>
      <w:r w:rsidRPr="007436D0" w:rsidR="00E13F3E">
        <w:t xml:space="preserve"> and</w:t>
      </w:r>
      <w:r w:rsidRPr="007436D0" w:rsidR="0003499D">
        <w:t xml:space="preserve"> </w:t>
      </w:r>
      <w:r w:rsidRPr="007436D0" w:rsidR="0003499D">
        <w:rPr>
          <w:i/>
        </w:rPr>
        <w:t>Pitchess</w:t>
      </w:r>
      <w:r w:rsidRPr="007436D0" w:rsidR="00E13F3E">
        <w:t xml:space="preserve"> </w:t>
      </w:r>
    </w:p>
    <w:p w:rsidR="00B87D89" w:rsidRPr="007436D0" w:rsidP="007436D0">
      <w:pPr>
        <w:ind w:firstLine="720"/>
      </w:pPr>
      <w:r w:rsidRPr="007436D0">
        <w:t xml:space="preserve">We begin by describing </w:t>
      </w:r>
      <w:r w:rsidRPr="007436D0">
        <w:rPr>
          <w:i/>
        </w:rPr>
        <w:t>Brady</w:t>
      </w:r>
      <w:r w:rsidRPr="007436D0">
        <w:t xml:space="preserve"> and </w:t>
      </w:r>
      <w:r w:rsidRPr="007436D0">
        <w:rPr>
          <w:i/>
        </w:rPr>
        <w:t>Pitchess</w:t>
      </w:r>
      <w:r w:rsidRPr="007436D0">
        <w:t>, as an understanding of each is necessary to understanding the relationship between them.</w:t>
      </w:r>
      <w:r w:rsidRPr="007436D0" w:rsidR="007B6454">
        <w:t xml:space="preserve">  (See, e.g., </w:t>
      </w:r>
      <w:r w:rsidRPr="007436D0" w:rsidR="007B6454">
        <w:rPr>
          <w:i/>
        </w:rPr>
        <w:t xml:space="preserve">City of Los Angeles v. Superior Court </w:t>
      </w:r>
      <w:r w:rsidRPr="007436D0" w:rsidR="007B6454">
        <w:t>(2002) 29 Cal.4th 1, 7-10</w:t>
      </w:r>
      <w:r w:rsidRPr="007436D0" w:rsidR="00631ED7">
        <w:t xml:space="preserve"> (</w:t>
      </w:r>
      <w:r w:rsidRPr="007436D0" w:rsidR="00631ED7">
        <w:rPr>
          <w:i/>
        </w:rPr>
        <w:t>City of Los Angeles</w:t>
      </w:r>
      <w:r w:rsidRPr="007436D0" w:rsidR="00631ED7">
        <w:t>)</w:t>
      </w:r>
      <w:r w:rsidRPr="007436D0" w:rsidR="007B6454">
        <w:t>.)</w:t>
      </w:r>
    </w:p>
    <w:p w:rsidR="0003499D" w:rsidRPr="007436D0" w:rsidP="007436D0">
      <w:pPr>
        <w:pStyle w:val="Heading2"/>
        <w:rPr>
          <w:b w:val="0"/>
          <w:i/>
        </w:rPr>
      </w:pPr>
      <w:r w:rsidRPr="007436D0">
        <w:t xml:space="preserve">A.  </w:t>
      </w:r>
      <w:r w:rsidRPr="007436D0">
        <w:rPr>
          <w:i/>
        </w:rPr>
        <w:t xml:space="preserve">Brady </w:t>
      </w:r>
    </w:p>
    <w:p w:rsidR="00986E87" w:rsidRPr="007436D0" w:rsidP="007436D0">
      <w:pPr>
        <w:ind w:firstLine="720"/>
      </w:pPr>
      <w:r w:rsidRPr="007436D0">
        <w:t xml:space="preserve">The Fourteenth Amendment to the federal Constitution prohibits </w:t>
      </w:r>
      <w:r w:rsidRPr="007436D0" w:rsidR="008E20F5">
        <w:t>s</w:t>
      </w:r>
      <w:r w:rsidRPr="007436D0">
        <w:t>tates from denying any person due process of law.  (U.S. Const., 14th Amend.)  This guarantee of due process affords criminal defendants the right to a fair trial, “impos[ing] on States certain duties consistent with their sovereign obligation to ensure ‘that “justice shall be done.” ’ ”  (</w:t>
      </w:r>
      <w:r w:rsidRPr="007436D0">
        <w:rPr>
          <w:i/>
        </w:rPr>
        <w:t>Cone v. Bell</w:t>
      </w:r>
      <w:r w:rsidRPr="007436D0">
        <w:t xml:space="preserve"> (2009) 556 U.S. 449, 451.)</w:t>
      </w:r>
      <w:r w:rsidRPr="007436D0" w:rsidR="00701B0F">
        <w:t xml:space="preserve">  </w:t>
      </w:r>
    </w:p>
    <w:p w:rsidR="004329B0" w:rsidRPr="007436D0" w:rsidP="007436D0">
      <w:pPr>
        <w:ind w:firstLine="720"/>
      </w:pPr>
      <w:r w:rsidRPr="007436D0">
        <w:t xml:space="preserve">Prosecutors, as </w:t>
      </w:r>
      <w:r w:rsidRPr="007436D0" w:rsidR="0012433D">
        <w:t xml:space="preserve">agents of </w:t>
      </w:r>
      <w:r w:rsidRPr="007436D0" w:rsidR="00A8610B">
        <w:t xml:space="preserve">the </w:t>
      </w:r>
      <w:r w:rsidRPr="007436D0" w:rsidR="00282B61">
        <w:t>sovereign</w:t>
      </w:r>
      <w:r w:rsidRPr="007436D0" w:rsidR="00986E87">
        <w:t xml:space="preserve">, </w:t>
      </w:r>
      <w:r w:rsidRPr="007436D0" w:rsidR="009035E7">
        <w:t>must honor these obligations</w:t>
      </w:r>
      <w:r w:rsidRPr="007436D0" w:rsidR="00CB69BF">
        <w:t xml:space="preserve">.  </w:t>
      </w:r>
      <w:r w:rsidRPr="007436D0" w:rsidR="001F5D02">
        <w:t xml:space="preserve">(See </w:t>
      </w:r>
      <w:r w:rsidRPr="007436D0" w:rsidR="001F5D02">
        <w:rPr>
          <w:i/>
        </w:rPr>
        <w:t>Kyles</w:t>
      </w:r>
      <w:r w:rsidRPr="007436D0" w:rsidR="001F5D02">
        <w:t xml:space="preserve">, </w:t>
      </w:r>
      <w:r w:rsidRPr="007436D0" w:rsidR="00B301B4">
        <w:rPr>
          <w:i/>
        </w:rPr>
        <w:t>supra</w:t>
      </w:r>
      <w:r w:rsidRPr="007436D0" w:rsidR="00B301B4">
        <w:t xml:space="preserve">, 514 U.S. </w:t>
      </w:r>
      <w:r w:rsidRPr="007436D0" w:rsidR="001F5D02">
        <w:t xml:space="preserve">at p. </w:t>
      </w:r>
      <w:r w:rsidRPr="007436D0" w:rsidR="00C900D1">
        <w:t xml:space="preserve">438; </w:t>
      </w:r>
      <w:r w:rsidRPr="007436D0" w:rsidR="001F5D02">
        <w:rPr>
          <w:i/>
        </w:rPr>
        <w:t>Mooney v. Holohan</w:t>
      </w:r>
      <w:r w:rsidRPr="007436D0" w:rsidR="001F5D02">
        <w:t xml:space="preserve"> (1935) 294 U.S. 103, 112-113 (</w:t>
      </w:r>
      <w:r w:rsidRPr="00121F34" w:rsidR="001F5D02">
        <w:rPr>
          <w:i/>
        </w:rPr>
        <w:t>per curiam</w:t>
      </w:r>
      <w:r w:rsidRPr="007436D0" w:rsidR="001F5D02">
        <w:t>)</w:t>
      </w:r>
      <w:r w:rsidRPr="007436D0" w:rsidR="007059DB">
        <w:t>.)</w:t>
      </w:r>
      <w:r w:rsidRPr="007436D0" w:rsidR="00CB69BF">
        <w:t xml:space="preserve">  A prosecutor must </w:t>
      </w:r>
      <w:r w:rsidRPr="007436D0">
        <w:t xml:space="preserve">refrain from using evidence that </w:t>
      </w:r>
      <w:r w:rsidR="00DE385A">
        <w:t>the prosecutor</w:t>
      </w:r>
      <w:r w:rsidRPr="007436D0" w:rsidR="00CB69BF">
        <w:t xml:space="preserve"> </w:t>
      </w:r>
      <w:r w:rsidRPr="007436D0">
        <w:t>knows to be false.  (</w:t>
      </w:r>
      <w:r w:rsidRPr="007436D0">
        <w:rPr>
          <w:i/>
        </w:rPr>
        <w:t>Mooney</w:t>
      </w:r>
      <w:r w:rsidRPr="007436D0" w:rsidR="00CB69BF">
        <w:t xml:space="preserve">, at pp. </w:t>
      </w:r>
      <w:r w:rsidRPr="007436D0">
        <w:t xml:space="preserve">112-113; see also </w:t>
      </w:r>
      <w:r w:rsidRPr="007436D0">
        <w:rPr>
          <w:i/>
        </w:rPr>
        <w:t xml:space="preserve">Pyle v. State of Kansas </w:t>
      </w:r>
      <w:r w:rsidRPr="007436D0">
        <w:t xml:space="preserve">(1942) 317 U.S. 213, 216.)  </w:t>
      </w:r>
      <w:r w:rsidRPr="007436D0" w:rsidR="000A6E60">
        <w:t>A prosecutor</w:t>
      </w:r>
      <w:r w:rsidRPr="007436D0" w:rsidR="00CB69BF">
        <w:t xml:space="preserve"> </w:t>
      </w:r>
      <w:r w:rsidRPr="007436D0" w:rsidR="002B7A74">
        <w:t>must</w:t>
      </w:r>
      <w:r w:rsidRPr="007436D0" w:rsidR="00D72B8D">
        <w:t xml:space="preserve"> </w:t>
      </w:r>
      <w:r w:rsidRPr="007436D0">
        <w:t>correct false evidence “when it appears.”  (</w:t>
      </w:r>
      <w:r w:rsidRPr="007436D0">
        <w:rPr>
          <w:i/>
        </w:rPr>
        <w:t xml:space="preserve">Napue v. </w:t>
      </w:r>
      <w:r w:rsidR="00121F34">
        <w:rPr>
          <w:i/>
        </w:rPr>
        <w:t>Illinois</w:t>
      </w:r>
      <w:r w:rsidRPr="007436D0">
        <w:t xml:space="preserve"> (1959) 360 U.S. 264, 269.)  And, under </w:t>
      </w:r>
      <w:r w:rsidRPr="007436D0">
        <w:rPr>
          <w:i/>
        </w:rPr>
        <w:t>Brady</w:t>
      </w:r>
      <w:r w:rsidRPr="007436D0">
        <w:t xml:space="preserve">, </w:t>
      </w:r>
      <w:r w:rsidRPr="007436D0" w:rsidR="000A6E60">
        <w:t>a prosecutor</w:t>
      </w:r>
      <w:r w:rsidRPr="007436D0" w:rsidR="00CB69BF">
        <w:t xml:space="preserve"> </w:t>
      </w:r>
      <w:r w:rsidRPr="007436D0">
        <w:t>must disclose to the defense evidence that is “favorable to [the] accused” and “material either to guilt or to punishment.”  (</w:t>
      </w:r>
      <w:r w:rsidRPr="007436D0">
        <w:rPr>
          <w:i/>
        </w:rPr>
        <w:t>Brady</w:t>
      </w:r>
      <w:r w:rsidRPr="007436D0">
        <w:t xml:space="preserve">, </w:t>
      </w:r>
      <w:r w:rsidRPr="007436D0">
        <w:rPr>
          <w:i/>
        </w:rPr>
        <w:t>supra</w:t>
      </w:r>
      <w:r w:rsidRPr="007436D0">
        <w:t xml:space="preserve">, 373 U.S. at p. 87.)  </w:t>
      </w:r>
    </w:p>
    <w:p w:rsidR="009D300B" w:rsidP="00DF17BB">
      <w:pPr>
        <w:ind w:firstLine="720"/>
      </w:pPr>
      <w:r w:rsidRPr="007436D0">
        <w:t xml:space="preserve">“For </w:t>
      </w:r>
      <w:r w:rsidRPr="007436D0">
        <w:rPr>
          <w:i/>
        </w:rPr>
        <w:t>Brady</w:t>
      </w:r>
      <w:r w:rsidRPr="007436D0">
        <w:t xml:space="preserve"> purposes, evidence is favorable if it helps the defense or hurts the prosecution, as by impeaching a prosecution witness.”  (</w:t>
      </w:r>
      <w:r w:rsidRPr="007436D0">
        <w:rPr>
          <w:i/>
        </w:rPr>
        <w:t>People v. Zambrano</w:t>
      </w:r>
      <w:r w:rsidRPr="007436D0">
        <w:t xml:space="preserve"> (2007) 41 Cal.4th 1082, 1132</w:t>
      </w:r>
      <w:r w:rsidRPr="007436D0" w:rsidR="00642879">
        <w:t>; see also</w:t>
      </w:r>
      <w:r w:rsidRPr="007436D0" w:rsidR="008E75C9">
        <w:t xml:space="preserve"> </w:t>
      </w:r>
      <w:r w:rsidRPr="007436D0" w:rsidR="00642879">
        <w:rPr>
          <w:i/>
        </w:rPr>
        <w:t>United States v. Bagley</w:t>
      </w:r>
      <w:r w:rsidRPr="007436D0" w:rsidR="00642879">
        <w:t xml:space="preserve"> (1985) 473 U.S. 667</w:t>
      </w:r>
      <w:r w:rsidRPr="007436D0" w:rsidR="00F31387">
        <w:t xml:space="preserve">, 676; </w:t>
      </w:r>
      <w:r w:rsidRPr="007436D0" w:rsidR="00F31387">
        <w:rPr>
          <w:i/>
        </w:rPr>
        <w:t>Giglio</w:t>
      </w:r>
      <w:r w:rsidRPr="007436D0" w:rsidR="00F31387">
        <w:t xml:space="preserve">, </w:t>
      </w:r>
      <w:r w:rsidRPr="007436D0" w:rsidR="00F31387">
        <w:rPr>
          <w:i/>
        </w:rPr>
        <w:t>supra</w:t>
      </w:r>
      <w:r w:rsidRPr="007436D0" w:rsidR="00F31387">
        <w:t>, 405 U.S. at pp. 154-155</w:t>
      </w:r>
      <w:r w:rsidRPr="007436D0" w:rsidR="0032610C">
        <w:t>.)</w:t>
      </w:r>
      <w:r w:rsidRPr="007436D0" w:rsidR="00A73694">
        <w:t xml:space="preserve">  </w:t>
      </w:r>
      <w:r w:rsidRPr="007436D0" w:rsidR="004373E1">
        <w:t>Evidence is material</w:t>
      </w:r>
      <w:r w:rsidRPr="007436D0" w:rsidR="00A73694">
        <w:t xml:space="preserve"> </w:t>
      </w:r>
      <w:r w:rsidRPr="007436D0" w:rsidR="00160A4C">
        <w:t>“</w:t>
      </w:r>
      <w:r w:rsidRPr="007436D0" w:rsidR="00866417">
        <w:t> </w:t>
      </w:r>
      <w:r w:rsidRPr="007436D0" w:rsidR="00160A4C">
        <w:t>‘</w:t>
      </w:r>
      <w:r w:rsidRPr="007436D0" w:rsidR="00004900">
        <w:t xml:space="preserve">if </w:t>
      </w:r>
      <w:r w:rsidRPr="007436D0" w:rsidR="00160A4C">
        <w:t xml:space="preserve">there is a reasonable probability </w:t>
      </w:r>
      <w:r w:rsidRPr="007436D0" w:rsidR="00C24484">
        <w:t>that, had the evidence been disclosed to the defense, the result of the proceeding would have been different.’</w:t>
      </w:r>
      <w:r w:rsidRPr="007436D0" w:rsidR="00BF15BB">
        <w:t xml:space="preserve"> </w:t>
      </w:r>
      <w:r w:rsidRPr="007436D0" w:rsidR="00C24484">
        <w:t>”  (</w:t>
      </w:r>
      <w:r w:rsidRPr="007436D0" w:rsidR="00C24484">
        <w:rPr>
          <w:i/>
        </w:rPr>
        <w:t>Kyles</w:t>
      </w:r>
      <w:r w:rsidRPr="007436D0" w:rsidR="00C24484">
        <w:t xml:space="preserve">, </w:t>
      </w:r>
      <w:r w:rsidRPr="007436D0" w:rsidR="00C24484">
        <w:rPr>
          <w:i/>
        </w:rPr>
        <w:t>supra</w:t>
      </w:r>
      <w:r w:rsidRPr="007436D0" w:rsidR="00B301B4">
        <w:t>,</w:t>
      </w:r>
      <w:r w:rsidRPr="007436D0" w:rsidR="00C24484">
        <w:t xml:space="preserve"> 514 U.S. at </w:t>
      </w:r>
      <w:r w:rsidR="00121F34">
        <w:t>p</w:t>
      </w:r>
      <w:r w:rsidRPr="007436D0" w:rsidR="00C24484">
        <w:t>p. 433</w:t>
      </w:r>
      <w:r w:rsidR="00121F34">
        <w:t>-434</w:t>
      </w:r>
      <w:r w:rsidRPr="007436D0" w:rsidR="00D902CE">
        <w:t>.</w:t>
      </w:r>
      <w:r w:rsidRPr="007436D0" w:rsidR="001D6572">
        <w:t>)</w:t>
      </w:r>
      <w:r w:rsidRPr="007436D0" w:rsidR="004061D6">
        <w:t xml:space="preserve">  Evaluating materiality requires consideration of the collective significance of the undisclosed evidence (</w:t>
      </w:r>
      <w:r w:rsidRPr="007436D0" w:rsidR="004061D6">
        <w:rPr>
          <w:i/>
        </w:rPr>
        <w:t>Kyles</w:t>
      </w:r>
      <w:r w:rsidRPr="007436D0" w:rsidR="004061D6">
        <w:t>, at p.</w:t>
      </w:r>
      <w:r w:rsidR="00A14000">
        <w:t> </w:t>
      </w:r>
      <w:r w:rsidRPr="007436D0" w:rsidR="004061D6">
        <w:t>436), as well as</w:t>
      </w:r>
      <w:r w:rsidRPr="007436D0" w:rsidR="00800960">
        <w:t xml:space="preserve"> </w:t>
      </w:r>
      <w:r w:rsidRPr="007436D0" w:rsidR="004061D6">
        <w:t>“the effect of the nondisclosure on defense investigations and trial strategies” (</w:t>
      </w:r>
      <w:r w:rsidRPr="007436D0" w:rsidR="004061D6">
        <w:rPr>
          <w:i/>
        </w:rPr>
        <w:t>Zambrano</w:t>
      </w:r>
      <w:r w:rsidRPr="007436D0" w:rsidR="004061D6">
        <w:t>, at p. 1</w:t>
      </w:r>
      <w:r w:rsidR="00121F34">
        <w:t>13</w:t>
      </w:r>
      <w:r w:rsidRPr="007436D0" w:rsidR="004061D6">
        <w:t xml:space="preserve">2).  (See also </w:t>
      </w:r>
      <w:r w:rsidRPr="007436D0" w:rsidR="004061D6">
        <w:rPr>
          <w:i/>
        </w:rPr>
        <w:t>Kyles</w:t>
      </w:r>
      <w:r w:rsidRPr="007436D0" w:rsidR="004061D6">
        <w:t xml:space="preserve">, at p. 439; </w:t>
      </w:r>
      <w:r w:rsidRPr="007436D0" w:rsidR="004061D6">
        <w:rPr>
          <w:i/>
        </w:rPr>
        <w:t>Bagley</w:t>
      </w:r>
      <w:r w:rsidRPr="007436D0" w:rsidR="004061D6">
        <w:t>, at p. 701 (dis. opn. of Marshall, J.).)</w:t>
      </w:r>
      <w:r w:rsidRPr="007436D0" w:rsidR="00800960">
        <w:t xml:space="preserve">  </w:t>
      </w:r>
      <w:r w:rsidRPr="007436D0" w:rsidR="0014197A">
        <w:t>“A reasonable probability does not mean that the defendant ‘would more likely than not have received a different verdict with the evidence,’ only that the likelihood of a different result is great enough to ‘undermine[] confidence in the outcome of the trial.’ ”  (</w:t>
      </w:r>
      <w:r w:rsidRPr="007436D0" w:rsidR="0014197A">
        <w:rPr>
          <w:i/>
        </w:rPr>
        <w:t>Smith v. Cain</w:t>
      </w:r>
      <w:r w:rsidRPr="007436D0" w:rsidR="0014197A">
        <w:t xml:space="preserve"> (2012) 565 U.S. 73, 75.)</w:t>
      </w:r>
      <w:r w:rsidRPr="007436D0" w:rsidR="00823B37">
        <w:t xml:space="preserve">  </w:t>
      </w:r>
    </w:p>
    <w:p w:rsidR="00C046ED" w:rsidRPr="007436D0" w:rsidP="00DF17BB">
      <w:pPr>
        <w:ind w:firstLine="720"/>
      </w:pPr>
      <w:r w:rsidRPr="007436D0">
        <w:t xml:space="preserve">This </w:t>
      </w:r>
      <w:r w:rsidR="00B742DA">
        <w:t xml:space="preserve">materiality </w:t>
      </w:r>
      <w:r w:rsidRPr="007436D0">
        <w:t xml:space="preserve">standard applies both </w:t>
      </w:r>
      <w:r w:rsidRPr="007436D0" w:rsidR="00014146">
        <w:t xml:space="preserve">after judgment, </w:t>
      </w:r>
      <w:r w:rsidRPr="007436D0" w:rsidR="0028613A">
        <w:t>when evaluating</w:t>
      </w:r>
      <w:r w:rsidRPr="007436D0" w:rsidR="009B61D9">
        <w:t xml:space="preserve"> whether </w:t>
      </w:r>
      <w:r w:rsidRPr="007436D0" w:rsidR="009B61D9">
        <w:rPr>
          <w:i/>
        </w:rPr>
        <w:t>Brady</w:t>
      </w:r>
      <w:r w:rsidRPr="007436D0" w:rsidR="009B61D9">
        <w:t xml:space="preserve"> </w:t>
      </w:r>
      <w:r w:rsidRPr="007436D0" w:rsidR="00F4656B">
        <w:t>was violated</w:t>
      </w:r>
      <w:r w:rsidRPr="007436D0" w:rsidR="009B61D9">
        <w:t>, and before</w:t>
      </w:r>
      <w:r w:rsidRPr="007436D0" w:rsidR="00F4656B">
        <w:t xml:space="preserve"> judgment</w:t>
      </w:r>
      <w:r w:rsidRPr="007436D0" w:rsidR="009B61D9">
        <w:t xml:space="preserve">, when </w:t>
      </w:r>
      <w:r w:rsidRPr="007436D0" w:rsidR="0028613A">
        <w:t xml:space="preserve">evaluating </w:t>
      </w:r>
      <w:r w:rsidRPr="007436D0" w:rsidR="009B61D9">
        <w:t xml:space="preserve">whether </w:t>
      </w:r>
      <w:r w:rsidRPr="007436D0" w:rsidR="001A5BB3">
        <w:t xml:space="preserve">evidence </w:t>
      </w:r>
      <w:r w:rsidRPr="007436D0" w:rsidR="00653867">
        <w:t xml:space="preserve">favorable to the defense </w:t>
      </w:r>
      <w:r w:rsidRPr="007436D0" w:rsidR="001A5BB3">
        <w:t xml:space="preserve">must be disclosed.  (See </w:t>
      </w:r>
      <w:r w:rsidRPr="007436D0" w:rsidR="001A5BB3">
        <w:rPr>
          <w:i/>
        </w:rPr>
        <w:t>Kyle</w:t>
      </w:r>
      <w:r w:rsidRPr="007436D0" w:rsidR="00653867">
        <w:rPr>
          <w:i/>
        </w:rPr>
        <w:t>s</w:t>
      </w:r>
      <w:r w:rsidRPr="007436D0" w:rsidR="00653867">
        <w:t xml:space="preserve">, </w:t>
      </w:r>
      <w:r w:rsidRPr="00B742DA" w:rsidR="00B742DA">
        <w:rPr>
          <w:i/>
        </w:rPr>
        <w:t>supra</w:t>
      </w:r>
      <w:r w:rsidR="00B742DA">
        <w:t xml:space="preserve">, 514 U.S. </w:t>
      </w:r>
      <w:r w:rsidRPr="00B742DA" w:rsidR="00653867">
        <w:t>at</w:t>
      </w:r>
      <w:r w:rsidRPr="007436D0" w:rsidR="00653867">
        <w:t xml:space="preserve"> p</w:t>
      </w:r>
      <w:r w:rsidRPr="007436D0" w:rsidR="00D95140">
        <w:t>p</w:t>
      </w:r>
      <w:r w:rsidRPr="007436D0" w:rsidR="00653867">
        <w:t>.</w:t>
      </w:r>
      <w:r w:rsidR="00BF2292">
        <w:t> </w:t>
      </w:r>
      <w:r w:rsidRPr="007436D0" w:rsidR="00D95140">
        <w:t xml:space="preserve">437-438; </w:t>
      </w:r>
      <w:r w:rsidRPr="007436D0" w:rsidR="00653867">
        <w:rPr>
          <w:i/>
        </w:rPr>
        <w:t>United States v. Agurs</w:t>
      </w:r>
      <w:r w:rsidRPr="007436D0" w:rsidR="00653867">
        <w:t xml:space="preserve"> (1976) 427 U.S. 97, 10</w:t>
      </w:r>
      <w:r w:rsidRPr="007436D0" w:rsidR="00400353">
        <w:t>8</w:t>
      </w:r>
      <w:r w:rsidRPr="007436D0" w:rsidR="00D95140">
        <w:t>.)</w:t>
      </w:r>
      <w:r w:rsidR="009A1315">
        <w:t xml:space="preserve">  Because it may be difficult </w:t>
      </w:r>
      <w:r w:rsidR="000F36D8">
        <w:t xml:space="preserve">to know before </w:t>
      </w:r>
      <w:r w:rsidR="00B742DA">
        <w:t>judgment</w:t>
      </w:r>
      <w:r w:rsidR="000F36D8">
        <w:t xml:space="preserve"> </w:t>
      </w:r>
      <w:r w:rsidR="00121BBB">
        <w:t xml:space="preserve">what evidence will </w:t>
      </w:r>
      <w:r w:rsidR="00B742DA">
        <w:t xml:space="preserve">ultimately </w:t>
      </w:r>
      <w:r w:rsidR="00121BBB">
        <w:t xml:space="preserve">prove material, “the prudent prosecutor will resolve doubtful </w:t>
      </w:r>
      <w:r w:rsidR="005C54FA">
        <w:t>[</w:t>
      </w:r>
      <w:r w:rsidRPr="005C54FA" w:rsidR="005C54FA">
        <w:rPr>
          <w:i/>
        </w:rPr>
        <w:t>Brady</w:t>
      </w:r>
      <w:r w:rsidR="005C54FA">
        <w:t xml:space="preserve">] </w:t>
      </w:r>
      <w:r w:rsidR="00121BBB">
        <w:t>questions in favor of disclosure.”</w:t>
      </w:r>
      <w:r w:rsidR="000A1DC1">
        <w:t xml:space="preserve">  (</w:t>
      </w:r>
      <w:r w:rsidR="000A1DC1">
        <w:rPr>
          <w:i/>
        </w:rPr>
        <w:t>Agurs</w:t>
      </w:r>
      <w:r w:rsidR="000A1DC1">
        <w:t xml:space="preserve">, at p. 108; see also </w:t>
      </w:r>
      <w:r w:rsidR="000A1DC1">
        <w:rPr>
          <w:i/>
        </w:rPr>
        <w:t>Kyles</w:t>
      </w:r>
      <w:r w:rsidR="000A1DC1">
        <w:t>, at pp. 438-439.)</w:t>
      </w:r>
      <w:r w:rsidR="00060A3C">
        <w:t xml:space="preserve">  Statutory and ethical obligations may require </w:t>
      </w:r>
      <w:r w:rsidR="00297BBC">
        <w:t>even more</w:t>
      </w:r>
      <w:r w:rsidR="009D300B">
        <w:t xml:space="preserve">.  </w:t>
      </w:r>
      <w:r w:rsidR="00F37B6E">
        <w:t>(See</w:t>
      </w:r>
      <w:r w:rsidR="009D300B">
        <w:t xml:space="preserve">, e.g., </w:t>
      </w:r>
      <w:r w:rsidRPr="007436D0">
        <w:t xml:space="preserve">Pen. Code, § 1054.1, subds. (d)-(e) [statutory </w:t>
      </w:r>
      <w:r w:rsidRPr="007436D0" w:rsidR="006C66A4">
        <w:t xml:space="preserve">disclosure </w:t>
      </w:r>
      <w:r w:rsidRPr="007436D0">
        <w:t>obligation]; Rules</w:t>
      </w:r>
      <w:r w:rsidR="00121F34">
        <w:t xml:space="preserve"> </w:t>
      </w:r>
      <w:r w:rsidRPr="007436D0">
        <w:t>Prof. Cond</w:t>
      </w:r>
      <w:r w:rsidR="00121F34">
        <w:t>uct,</w:t>
      </w:r>
      <w:r w:rsidRPr="007436D0">
        <w:t xml:space="preserve"> </w:t>
      </w:r>
      <w:r w:rsidR="00121F34">
        <w:t>rule 3.8(d)</w:t>
      </w:r>
      <w:r w:rsidRPr="007436D0">
        <w:t xml:space="preserve"> &amp; c</w:t>
      </w:r>
      <w:r w:rsidR="00121F34">
        <w:t>om</w:t>
      </w:r>
      <w:r w:rsidRPr="007436D0">
        <w:t>.</w:t>
      </w:r>
      <w:r w:rsidR="00BF2292">
        <w:t> </w:t>
      </w:r>
      <w:r w:rsidR="00121F34">
        <w:t>[3]</w:t>
      </w:r>
      <w:r w:rsidRPr="007436D0">
        <w:t xml:space="preserve"> [ethical </w:t>
      </w:r>
      <w:r w:rsidRPr="007436D0" w:rsidR="006C66A4">
        <w:t xml:space="preserve">disclosure </w:t>
      </w:r>
      <w:r w:rsidRPr="007436D0">
        <w:t>obligation].)</w:t>
      </w:r>
    </w:p>
    <w:p w:rsidR="0003499D" w:rsidRPr="007436D0" w:rsidP="007436D0">
      <w:pPr>
        <w:pStyle w:val="Heading2"/>
      </w:pPr>
      <w:r w:rsidRPr="007436D0">
        <w:t xml:space="preserve">B.  </w:t>
      </w:r>
      <w:r w:rsidRPr="007436D0">
        <w:rPr>
          <w:i/>
        </w:rPr>
        <w:t>Pitchess</w:t>
      </w:r>
      <w:r w:rsidRPr="007436D0">
        <w:t xml:space="preserve"> </w:t>
      </w:r>
    </w:p>
    <w:p w:rsidR="00BF5FD5" w:rsidRPr="007436D0" w:rsidP="007436D0">
      <w:pPr>
        <w:tabs>
          <w:tab w:val="left" w:pos="1440"/>
        </w:tabs>
        <w:ind w:firstLine="720"/>
      </w:pPr>
      <w:r w:rsidRPr="007436D0">
        <w:t xml:space="preserve">Without </w:t>
      </w:r>
      <w:r w:rsidRPr="007436D0" w:rsidR="009410C9">
        <w:t>relying on</w:t>
      </w:r>
      <w:r w:rsidRPr="007436D0">
        <w:t xml:space="preserve"> </w:t>
      </w:r>
      <w:r w:rsidRPr="007436D0">
        <w:rPr>
          <w:i/>
        </w:rPr>
        <w:t>Brady</w:t>
      </w:r>
      <w:r w:rsidRPr="007436D0">
        <w:t xml:space="preserve">, </w:t>
      </w:r>
      <w:r w:rsidRPr="007436D0" w:rsidR="0049651C">
        <w:t xml:space="preserve">our decision in </w:t>
      </w:r>
      <w:r w:rsidRPr="007436D0" w:rsidR="0049651C">
        <w:rPr>
          <w:i/>
        </w:rPr>
        <w:t xml:space="preserve">Pitchess </w:t>
      </w:r>
      <w:r w:rsidRPr="007436D0">
        <w:t>“recognized that a criminal defendant may, in some circumstances, compel the discovery of evidence in the arresting law enforcement officer’s personnel file that is relevant to the defendant’s ability to defend against a criminal charge.”</w:t>
      </w:r>
      <w:r w:rsidRPr="007436D0" w:rsidR="009410C9">
        <w:t xml:space="preserve">  </w:t>
      </w:r>
      <w:r w:rsidRPr="007436D0">
        <w:t>(</w:t>
      </w:r>
      <w:r w:rsidRPr="007436D0">
        <w:rPr>
          <w:i/>
        </w:rPr>
        <w:t>People v. Mooc</w:t>
      </w:r>
      <w:r w:rsidRPr="007436D0">
        <w:t xml:space="preserve"> (2001) 26 Cal.4th 1216, 1219</w:t>
      </w:r>
      <w:r w:rsidRPr="007436D0" w:rsidR="00290F8F">
        <w:t xml:space="preserve"> (</w:t>
      </w:r>
      <w:r w:rsidRPr="007436D0" w:rsidR="00290F8F">
        <w:rPr>
          <w:i/>
        </w:rPr>
        <w:t>Mooc</w:t>
      </w:r>
      <w:r w:rsidRPr="007436D0" w:rsidR="00290F8F">
        <w:t>)</w:t>
      </w:r>
      <w:r w:rsidRPr="007436D0">
        <w:t>.)</w:t>
      </w:r>
      <w:r w:rsidRPr="007436D0" w:rsidR="0049651C">
        <w:t xml:space="preserve">  “In 1978, the Legislature codified the right</w:t>
      </w:r>
      <w:r w:rsidRPr="007436D0" w:rsidR="005D25BE">
        <w:t>” and defined “</w:t>
      </w:r>
      <w:r w:rsidRPr="007436D0" w:rsidR="0049651C">
        <w:t xml:space="preserve">which officer records are subject to </w:t>
      </w:r>
      <w:r w:rsidRPr="007436D0" w:rsidR="0049651C">
        <w:rPr>
          <w:i/>
        </w:rPr>
        <w:t>Pitchess</w:t>
      </w:r>
      <w:r w:rsidRPr="007436D0" w:rsidR="0049651C">
        <w:t xml:space="preserve"> discovery.”  (</w:t>
      </w:r>
      <w:r w:rsidRPr="007436D0" w:rsidR="0049651C">
        <w:rPr>
          <w:i/>
        </w:rPr>
        <w:t>Galindo v. Superior Court</w:t>
      </w:r>
      <w:r w:rsidRPr="007436D0" w:rsidR="0049651C">
        <w:t xml:space="preserve"> (2010) 50 Cal.4th 5.)  “The statutory scheme is set forth in Evidence Code sections 1043 through 1047 and Penal Code sections 832.5, 832.7, and 832.8.”  (</w:t>
      </w:r>
      <w:r w:rsidRPr="007436D0" w:rsidR="0049651C">
        <w:rPr>
          <w:i/>
        </w:rPr>
        <w:t>Mooc</w:t>
      </w:r>
      <w:r w:rsidRPr="007436D0" w:rsidR="0049651C">
        <w:t>, at p</w:t>
      </w:r>
      <w:r w:rsidR="00BF2292">
        <w:t>. </w:t>
      </w:r>
      <w:r w:rsidRPr="007436D0" w:rsidR="0049651C">
        <w:t>1226.)</w:t>
      </w:r>
      <w:r w:rsidRPr="007436D0" w:rsidR="00344800">
        <w:t xml:space="preserve">  These </w:t>
      </w:r>
      <w:r w:rsidRPr="007436D0" w:rsidR="00344800">
        <w:rPr>
          <w:i/>
        </w:rPr>
        <w:t>Pitchess</w:t>
      </w:r>
      <w:r w:rsidRPr="007436D0" w:rsidR="00344800">
        <w:t xml:space="preserve"> statutes “reflect[] the Legislature’s attempt to balance a litigant’s discovery interest with an officer’s confidentiality interest.”  (</w:t>
      </w:r>
      <w:r w:rsidRPr="007436D0" w:rsidR="00344800">
        <w:rPr>
          <w:i/>
        </w:rPr>
        <w:t>Riverside County Sheriff’s Dept. v. Stiglitz</w:t>
      </w:r>
      <w:r w:rsidRPr="007436D0" w:rsidR="00344800">
        <w:t xml:space="preserve"> (2014) 60</w:t>
      </w:r>
      <w:r w:rsidR="00A14000">
        <w:t> </w:t>
      </w:r>
      <w:r w:rsidRPr="007436D0" w:rsidR="00344800">
        <w:t>Cal.4th 624, 639 (</w:t>
      </w:r>
      <w:r w:rsidRPr="007436D0" w:rsidR="00344800">
        <w:rPr>
          <w:i/>
        </w:rPr>
        <w:t>Stiglitz</w:t>
      </w:r>
      <w:r w:rsidRPr="007436D0" w:rsidR="00344800">
        <w:t>).)</w:t>
      </w:r>
      <w:r w:rsidRPr="007436D0" w:rsidR="006316CF">
        <w:t xml:space="preserve">  </w:t>
      </w:r>
    </w:p>
    <w:p w:rsidR="0094481C" w:rsidRPr="007436D0" w:rsidP="007436D0">
      <w:pPr>
        <w:tabs>
          <w:tab w:val="left" w:pos="1440"/>
        </w:tabs>
        <w:ind w:firstLine="720"/>
      </w:pPr>
      <w:r>
        <w:t>The</w:t>
      </w:r>
      <w:r w:rsidRPr="007436D0" w:rsidR="00D7528E">
        <w:t xml:space="preserve"> threshold question under the </w:t>
      </w:r>
      <w:r w:rsidRPr="007436D0" w:rsidR="00D7528E">
        <w:rPr>
          <w:i/>
        </w:rPr>
        <w:t>Pitchess</w:t>
      </w:r>
      <w:r w:rsidRPr="007436D0" w:rsidR="00D7528E">
        <w:t xml:space="preserve"> statutes is whether the information </w:t>
      </w:r>
      <w:r w:rsidRPr="007436D0" w:rsidR="0018133E">
        <w:t>requested</w:t>
      </w:r>
      <w:r w:rsidRPr="007436D0" w:rsidR="00D7528E">
        <w:t xml:space="preserve"> is confidential.  </w:t>
      </w:r>
      <w:r w:rsidRPr="007436D0" w:rsidR="00195661">
        <w:t>(See Pen. Code, §</w:t>
      </w:r>
      <w:r w:rsidRPr="007436D0" w:rsidR="00B16DD8">
        <w:t> 832.7</w:t>
      </w:r>
      <w:r w:rsidRPr="007436D0" w:rsidR="00BF5FD5">
        <w:t xml:space="preserve">, subds. </w:t>
      </w:r>
      <w:r w:rsidRPr="007436D0" w:rsidR="00B16DD8">
        <w:t>(a)-(b).</w:t>
      </w:r>
      <w:r w:rsidRPr="007436D0" w:rsidR="00195661">
        <w:t xml:space="preserve">)  If </w:t>
      </w:r>
      <w:r w:rsidRPr="007436D0" w:rsidR="001B5383">
        <w:t xml:space="preserve">it is, the information may </w:t>
      </w:r>
      <w:r w:rsidRPr="007436D0" w:rsidR="00B16DD8">
        <w:t xml:space="preserve">generally be disclosed only </w:t>
      </w:r>
      <w:r w:rsidRPr="007436D0" w:rsidR="00BF5FD5">
        <w:t xml:space="preserve">“by discovery pursuant to” Evidence Code sections 1043, 1045, and 1046.  (§ 832.7(a); see </w:t>
      </w:r>
      <w:r w:rsidRPr="007436D0" w:rsidR="00BF5FD5">
        <w:rPr>
          <w:i/>
        </w:rPr>
        <w:t>Johnson</w:t>
      </w:r>
      <w:r w:rsidRPr="007436D0" w:rsidR="00BF5FD5">
        <w:t xml:space="preserve">, </w:t>
      </w:r>
      <w:r w:rsidRPr="007436D0" w:rsidR="00BF5FD5">
        <w:rPr>
          <w:i/>
        </w:rPr>
        <w:t>supra</w:t>
      </w:r>
      <w:r w:rsidRPr="007436D0" w:rsidR="00BF5FD5">
        <w:t>, 61 Cal.4th at p. 712, fn. 2</w:t>
      </w:r>
      <w:r w:rsidRPr="007436D0" w:rsidR="009E02CE">
        <w:t xml:space="preserve">.)  </w:t>
      </w:r>
      <w:r w:rsidRPr="007436D0" w:rsidR="00076AE9">
        <w:t xml:space="preserve">Requests for disclosure are ordinarily made in criminal cases but may also arise in connection with civil </w:t>
      </w:r>
      <w:r w:rsidRPr="007436D0">
        <w:t xml:space="preserve">or quasi-criminal </w:t>
      </w:r>
      <w:r w:rsidRPr="007436D0" w:rsidR="00076AE9">
        <w:t>proceedings.  (See §</w:t>
      </w:r>
      <w:r w:rsidRPr="007436D0">
        <w:t xml:space="preserve"> 832.7(a); see also, e.g., </w:t>
      </w:r>
      <w:r w:rsidRPr="007436D0">
        <w:rPr>
          <w:i/>
        </w:rPr>
        <w:t>Stiglitz</w:t>
      </w:r>
      <w:r w:rsidRPr="007436D0" w:rsidR="00290F8F">
        <w:t xml:space="preserve">, </w:t>
      </w:r>
      <w:r w:rsidRPr="007436D0" w:rsidR="00290F8F">
        <w:rPr>
          <w:i/>
        </w:rPr>
        <w:t>supra</w:t>
      </w:r>
      <w:r w:rsidRPr="007436D0" w:rsidR="00290F8F">
        <w:t xml:space="preserve">, </w:t>
      </w:r>
      <w:r w:rsidRPr="007436D0">
        <w:t xml:space="preserve">60 Cal.4th </w:t>
      </w:r>
      <w:r w:rsidRPr="007436D0" w:rsidR="00290F8F">
        <w:t>at p.</w:t>
      </w:r>
      <w:r w:rsidR="00A14000">
        <w:t> </w:t>
      </w:r>
      <w:r w:rsidRPr="007436D0">
        <w:t>628</w:t>
      </w:r>
      <w:r w:rsidRPr="007436D0" w:rsidR="009E7FF7">
        <w:t xml:space="preserve"> [appeal of employee discipline]</w:t>
      </w:r>
      <w:r w:rsidRPr="007436D0">
        <w:t xml:space="preserve">; </w:t>
      </w:r>
      <w:r w:rsidRPr="007436D0">
        <w:rPr>
          <w:i/>
        </w:rPr>
        <w:t>City of San Jose v. Superior Court</w:t>
      </w:r>
      <w:r w:rsidRPr="007436D0">
        <w:t xml:space="preserve"> (1993) 5 Cal.4th 47, 53</w:t>
      </w:r>
      <w:r w:rsidR="00484918">
        <w:t xml:space="preserve"> (</w:t>
      </w:r>
      <w:r w:rsidR="00484918">
        <w:rPr>
          <w:i/>
        </w:rPr>
        <w:t>City of San Jose</w:t>
      </w:r>
      <w:r w:rsidR="00484918">
        <w:t>)</w:t>
      </w:r>
      <w:r w:rsidRPr="007436D0" w:rsidR="009E7FF7">
        <w:t xml:space="preserve"> [juvenile wardship proceeding]</w:t>
      </w:r>
      <w:r w:rsidRPr="007436D0">
        <w:t xml:space="preserve">.) </w:t>
      </w:r>
    </w:p>
    <w:p w:rsidR="008C32B7" w:rsidRPr="007436D0" w:rsidP="007436D0">
      <w:pPr>
        <w:tabs>
          <w:tab w:val="left" w:pos="1440"/>
        </w:tabs>
        <w:ind w:firstLine="720"/>
      </w:pPr>
      <w:r w:rsidRPr="007436D0">
        <w:t xml:space="preserve">A party seeking disclosure </w:t>
      </w:r>
      <w:r w:rsidRPr="007436D0" w:rsidR="009E7FF7">
        <w:t xml:space="preserve">under the </w:t>
      </w:r>
      <w:r w:rsidRPr="007436D0" w:rsidR="009E7FF7">
        <w:rPr>
          <w:i/>
        </w:rPr>
        <w:t>Pitchess</w:t>
      </w:r>
      <w:r w:rsidRPr="007436D0" w:rsidR="009E7FF7">
        <w:t xml:space="preserve"> statutes must file a</w:t>
      </w:r>
      <w:r w:rsidRPr="007436D0" w:rsidR="008B47A1">
        <w:t xml:space="preserve"> written motion and give notice to the agency with custody and control of the records.  (Evid. Code, § 1043, subd. (a).)  Among other things, the motion must identify the officer </w:t>
      </w:r>
      <w:r w:rsidRPr="007436D0" w:rsidR="00031621">
        <w:t xml:space="preserve">or officers </w:t>
      </w:r>
      <w:r w:rsidRPr="007436D0" w:rsidR="009E02CE">
        <w:t xml:space="preserve">at issue </w:t>
      </w:r>
      <w:r w:rsidRPr="007436D0" w:rsidR="008B47A1">
        <w:t>(</w:t>
      </w:r>
      <w:r w:rsidRPr="007436D0" w:rsidR="008B47A1">
        <w:rPr>
          <w:i/>
        </w:rPr>
        <w:t>id.</w:t>
      </w:r>
      <w:r w:rsidRPr="007436D0" w:rsidR="008B47A1">
        <w:t>, § 1043, subd. (b)(1))</w:t>
      </w:r>
      <w:r w:rsidRPr="007436D0" w:rsidR="009E02CE">
        <w:t xml:space="preserve">; </w:t>
      </w:r>
      <w:r w:rsidRPr="007436D0" w:rsidR="00EC7313">
        <w:t>describe</w:t>
      </w:r>
      <w:r w:rsidRPr="007436D0" w:rsidR="008B47A1">
        <w:t xml:space="preserve"> </w:t>
      </w:r>
      <w:r w:rsidRPr="007436D0" w:rsidR="00EC7313">
        <w:t>“</w:t>
      </w:r>
      <w:r w:rsidRPr="007436D0" w:rsidR="008B47A1">
        <w:t>the type of records or information”</w:t>
      </w:r>
      <w:r w:rsidRPr="007436D0" w:rsidR="00EC7313">
        <w:t xml:space="preserve"> desired</w:t>
      </w:r>
      <w:r w:rsidRPr="007436D0" w:rsidR="008B47A1">
        <w:t xml:space="preserve"> (</w:t>
      </w:r>
      <w:r w:rsidRPr="007436D0" w:rsidR="008B47A1">
        <w:rPr>
          <w:i/>
        </w:rPr>
        <w:t>id.</w:t>
      </w:r>
      <w:r w:rsidRPr="007436D0" w:rsidR="008B47A1">
        <w:t>, §</w:t>
      </w:r>
      <w:r w:rsidRPr="007436D0" w:rsidR="00EC7313">
        <w:t> 1043, subd. (b)(2</w:t>
      </w:r>
      <w:r w:rsidRPr="007436D0" w:rsidR="008B47A1">
        <w:t>))</w:t>
      </w:r>
      <w:r w:rsidRPr="007436D0" w:rsidR="00EC7313">
        <w:t xml:space="preserve">; </w:t>
      </w:r>
      <w:r w:rsidRPr="007436D0" w:rsidR="00031621">
        <w:t>and, by affidavit, show “</w:t>
      </w:r>
      <w:r w:rsidRPr="007436D0" w:rsidR="00EC7313">
        <w:t xml:space="preserve">good cause for the </w:t>
      </w:r>
      <w:r w:rsidRPr="007436D0" w:rsidR="00142B8A">
        <w:t>discovery or disclosure sought</w:t>
      </w:r>
      <w:r w:rsidRPr="007436D0">
        <w:t>” (</w:t>
      </w:r>
      <w:r w:rsidRPr="007436D0">
        <w:rPr>
          <w:i/>
        </w:rPr>
        <w:t>id.</w:t>
      </w:r>
      <w:r w:rsidRPr="007436D0">
        <w:t>, § 1043, subd. (b)(3)).</w:t>
      </w:r>
      <w:r>
        <w:rPr>
          <w:rStyle w:val="FootnoteReference"/>
        </w:rPr>
        <w:footnoteReference w:id="4"/>
      </w:r>
    </w:p>
    <w:p w:rsidR="00413D24" w:rsidRPr="007436D0" w:rsidP="007436D0">
      <w:pPr>
        <w:tabs>
          <w:tab w:val="left" w:pos="1440"/>
        </w:tabs>
        <w:ind w:firstLine="720"/>
      </w:pPr>
      <w:r w:rsidRPr="007436D0">
        <w:t>Th</w:t>
      </w:r>
      <w:r w:rsidRPr="007436D0" w:rsidR="00DC5012">
        <w:t>is</w:t>
      </w:r>
      <w:r w:rsidRPr="007436D0">
        <w:t xml:space="preserve"> “good cause” requirement has two components.  First, the movant must </w:t>
      </w:r>
      <w:r w:rsidRPr="007436D0" w:rsidR="00F06396">
        <w:t>set forth</w:t>
      </w:r>
      <w:r w:rsidRPr="007436D0">
        <w:t xml:space="preserve"> “the materiality” of the </w:t>
      </w:r>
      <w:r w:rsidRPr="007436D0" w:rsidR="00F06396">
        <w:t>information</w:t>
      </w:r>
      <w:r w:rsidRPr="007436D0">
        <w:t xml:space="preserve"> sought “to the subject matter involved in the pending litigation.”  (Evid. Code, § 1043, subd. (b)(3).)</w:t>
      </w:r>
      <w:r w:rsidRPr="007436D0" w:rsidR="00F06396">
        <w:t xml:space="preserve">  </w:t>
      </w:r>
      <w:r w:rsidRPr="007436D0" w:rsidR="00872FAC">
        <w:t xml:space="preserve">The function of this </w:t>
      </w:r>
      <w:r w:rsidRPr="007436D0" w:rsidR="007502FD">
        <w:t xml:space="preserve">requirement </w:t>
      </w:r>
      <w:r w:rsidRPr="007436D0" w:rsidR="00872FAC">
        <w:t xml:space="preserve">is to </w:t>
      </w:r>
      <w:r w:rsidRPr="007436D0" w:rsidR="007502FD">
        <w:t>“</w:t>
      </w:r>
      <w:r w:rsidRPr="007436D0" w:rsidR="00872FAC">
        <w:t>exclude[]</w:t>
      </w:r>
      <w:r w:rsidRPr="007436D0" w:rsidR="007502FD">
        <w:t xml:space="preserve"> requests for officer information that are irrelevant to the pending charges.”  (</w:t>
      </w:r>
      <w:r w:rsidRPr="007436D0" w:rsidR="007502FD">
        <w:rPr>
          <w:i/>
        </w:rPr>
        <w:t xml:space="preserve">Warrick v. Superior Court </w:t>
      </w:r>
      <w:r w:rsidRPr="007436D0" w:rsidR="007502FD">
        <w:t>(2005) 35 Cal.4th 1011, 1021.)</w:t>
      </w:r>
      <w:r w:rsidRPr="007436D0" w:rsidR="00CD59C6">
        <w:t xml:space="preserve">  </w:t>
      </w:r>
      <w:r w:rsidRPr="007436D0" w:rsidR="00473DEB">
        <w:t xml:space="preserve"> </w:t>
      </w:r>
      <w:r w:rsidRPr="007436D0">
        <w:t>If the movant shows that the request is “relevant to the pending charges, and explains how, the materiality requirement will be met.”  (</w:t>
      </w:r>
      <w:r w:rsidRPr="007436D0">
        <w:rPr>
          <w:i/>
        </w:rPr>
        <w:t>Johnson</w:t>
      </w:r>
      <w:r w:rsidRPr="007436D0">
        <w:t xml:space="preserve">, </w:t>
      </w:r>
      <w:r w:rsidRPr="007436D0">
        <w:rPr>
          <w:i/>
        </w:rPr>
        <w:t>supra</w:t>
      </w:r>
      <w:r w:rsidRPr="007436D0">
        <w:t>, 61 Cal.4th at p.</w:t>
      </w:r>
      <w:r w:rsidR="00BF2292">
        <w:t> </w:t>
      </w:r>
      <w:r w:rsidRPr="007436D0">
        <w:t xml:space="preserve">721; see also </w:t>
      </w:r>
      <w:r w:rsidRPr="007436D0">
        <w:rPr>
          <w:i/>
        </w:rPr>
        <w:t xml:space="preserve">Richardson v. Superior Court </w:t>
      </w:r>
      <w:r w:rsidRPr="007436D0">
        <w:t>(2008) 43 Cal.4th 1040, 1048-1049 [“The materiality standard is met if evidence of prior complaints is admissible or may lead to admissible evidence”].)</w:t>
      </w:r>
      <w:r w:rsidRPr="007436D0" w:rsidR="00995445">
        <w:t xml:space="preserve">  </w:t>
      </w:r>
      <w:r w:rsidRPr="007436D0" w:rsidR="000A2F0D">
        <w:t>I</w:t>
      </w:r>
      <w:r w:rsidRPr="007436D0">
        <w:t xml:space="preserve">f information is “material” within the meaning of </w:t>
      </w:r>
      <w:r w:rsidRPr="007436D0">
        <w:rPr>
          <w:i/>
        </w:rPr>
        <w:t>Brady</w:t>
      </w:r>
      <w:r w:rsidRPr="007436D0">
        <w:t xml:space="preserve">, it is necessarily material “to the subject matter involved in” a criminal prosecution.  (Evid. Code, § 1043, subd. (b)(3); see </w:t>
      </w:r>
      <w:r w:rsidRPr="007436D0">
        <w:rPr>
          <w:i/>
        </w:rPr>
        <w:t>City of Los Angeles</w:t>
      </w:r>
      <w:r w:rsidRPr="007436D0">
        <w:t xml:space="preserve">, </w:t>
      </w:r>
      <w:r w:rsidRPr="007436D0">
        <w:rPr>
          <w:i/>
        </w:rPr>
        <w:t>supra</w:t>
      </w:r>
      <w:r w:rsidRPr="007436D0">
        <w:t xml:space="preserve">, 29 Cal.4th </w:t>
      </w:r>
      <w:r w:rsidR="002958BF">
        <w:t>at p.</w:t>
      </w:r>
      <w:r w:rsidRPr="007436D0">
        <w:t xml:space="preserve"> 10.)  </w:t>
      </w:r>
    </w:p>
    <w:p w:rsidR="0016556A" w:rsidRPr="007436D0" w:rsidP="007436D0">
      <w:pPr>
        <w:tabs>
          <w:tab w:val="left" w:pos="1440"/>
        </w:tabs>
        <w:ind w:firstLine="720"/>
      </w:pPr>
      <w:r w:rsidRPr="007436D0">
        <w:t xml:space="preserve">Second, the </w:t>
      </w:r>
      <w:r w:rsidRPr="007436D0">
        <w:t>“good cause” requirement obliges the movant to</w:t>
      </w:r>
      <w:r w:rsidRPr="007436D0">
        <w:t xml:space="preserve"> </w:t>
      </w:r>
      <w:r w:rsidRPr="007436D0" w:rsidR="00F90F19">
        <w:t>articulate “a ‘reasonable belief’ that the agency has the type of information sought.”  (</w:t>
      </w:r>
      <w:r w:rsidRPr="007436D0" w:rsidR="00F90F19">
        <w:rPr>
          <w:i/>
        </w:rPr>
        <w:t>City of Santa Cruz</w:t>
      </w:r>
      <w:r w:rsidRPr="007436D0" w:rsidR="00F90F19">
        <w:t xml:space="preserve">, </w:t>
      </w:r>
      <w:r w:rsidRPr="007436D0" w:rsidR="00F90F19">
        <w:rPr>
          <w:i/>
        </w:rPr>
        <w:t>supra</w:t>
      </w:r>
      <w:r w:rsidRPr="007436D0" w:rsidR="00F90F19">
        <w:t xml:space="preserve">, </w:t>
      </w:r>
      <w:r w:rsidRPr="007436D0" w:rsidR="00AF372C">
        <w:t>49 Cal.3d at p. 84; see also Evid. Code, § 1043, subd. (b)(3)</w:t>
      </w:r>
      <w:r w:rsidR="00C60DF1">
        <w:t xml:space="preserve">.)  </w:t>
      </w:r>
      <w:r w:rsidRPr="007436D0" w:rsidR="003E172E">
        <w:t xml:space="preserve">This </w:t>
      </w:r>
      <w:r w:rsidRPr="007436D0" w:rsidR="00AF372C">
        <w:t>b</w:t>
      </w:r>
      <w:r w:rsidRPr="007436D0" w:rsidR="003E172E">
        <w:t>elief “may be based on a rational inference” (</w:t>
      </w:r>
      <w:r w:rsidRPr="007436D0" w:rsidR="003E172E">
        <w:rPr>
          <w:i/>
        </w:rPr>
        <w:t>Johnson</w:t>
      </w:r>
      <w:r w:rsidRPr="007436D0" w:rsidR="003E172E">
        <w:t xml:space="preserve">, </w:t>
      </w:r>
      <w:r w:rsidRPr="007436D0" w:rsidR="003E172E">
        <w:rPr>
          <w:i/>
        </w:rPr>
        <w:t>supra</w:t>
      </w:r>
      <w:r w:rsidRPr="007436D0" w:rsidR="003E172E">
        <w:t>, 61</w:t>
      </w:r>
      <w:r w:rsidR="00BF2292">
        <w:t> </w:t>
      </w:r>
      <w:r w:rsidRPr="007436D0" w:rsidR="003E172E">
        <w:t>Cal.4th</w:t>
      </w:r>
      <w:r w:rsidRPr="007436D0" w:rsidR="001D057E">
        <w:t xml:space="preserve"> at p.</w:t>
      </w:r>
      <w:r w:rsidR="00A14000">
        <w:t> </w:t>
      </w:r>
      <w:r w:rsidRPr="007436D0" w:rsidR="001D057E">
        <w:t>721); for example, that because officers allegedly used excessive force in a pending case, “other complaints of excessive force ‘may have been filed’ ”</w:t>
      </w:r>
      <w:r w:rsidRPr="007436D0" w:rsidR="00E60717">
        <w:t xml:space="preserve"> </w:t>
      </w:r>
      <w:r w:rsidRPr="007436D0" w:rsidR="001D057E">
        <w:t>(</w:t>
      </w:r>
      <w:r w:rsidRPr="007436D0" w:rsidR="001D057E">
        <w:rPr>
          <w:i/>
        </w:rPr>
        <w:t>City of Santa Cruz</w:t>
      </w:r>
      <w:r w:rsidRPr="007436D0" w:rsidR="00E60717">
        <w:t>, at p.</w:t>
      </w:r>
      <w:r w:rsidRPr="007436D0" w:rsidR="00752652">
        <w:t> </w:t>
      </w:r>
      <w:r w:rsidRPr="007436D0" w:rsidR="00E60717">
        <w:t xml:space="preserve">90; see also </w:t>
      </w:r>
      <w:r w:rsidRPr="007436D0" w:rsidR="00E60717">
        <w:rPr>
          <w:i/>
        </w:rPr>
        <w:t>id.</w:t>
      </w:r>
      <w:r w:rsidRPr="007436D0" w:rsidR="00E60717">
        <w:t xml:space="preserve">, at p. 93, fn. 9).  </w:t>
      </w:r>
      <w:r w:rsidRPr="007436D0" w:rsidR="001D057E">
        <w:t>Certainly, a movant is not required “ ‘to allege with particularity the very information</w:t>
      </w:r>
      <w:r w:rsidR="007D6039">
        <w:t>’ ” sought.</w:t>
      </w:r>
      <w:r w:rsidRPr="007436D0" w:rsidR="001D057E">
        <w:t xml:space="preserve">  (</w:t>
      </w:r>
      <w:r w:rsidRPr="007436D0" w:rsidR="001D057E">
        <w:rPr>
          <w:i/>
        </w:rPr>
        <w:t>Johnson</w:t>
      </w:r>
      <w:r w:rsidRPr="007436D0" w:rsidR="001D057E">
        <w:t xml:space="preserve">, at p. 721, quoting </w:t>
      </w:r>
      <w:r w:rsidRPr="007436D0" w:rsidR="001D057E">
        <w:rPr>
          <w:i/>
        </w:rPr>
        <w:t>Memro</w:t>
      </w:r>
      <w:r w:rsidRPr="007436D0" w:rsidR="001D057E">
        <w:t xml:space="preserve">, </w:t>
      </w:r>
      <w:r w:rsidRPr="007436D0" w:rsidR="001D057E">
        <w:rPr>
          <w:i/>
        </w:rPr>
        <w:t>supra</w:t>
      </w:r>
      <w:r w:rsidRPr="007436D0" w:rsidR="00E60717">
        <w:t>, 38 Cal.3d at p. 684.)</w:t>
      </w:r>
      <w:r w:rsidRPr="007436D0" w:rsidR="00F2211E">
        <w:t xml:space="preserve">  </w:t>
      </w:r>
      <w:r w:rsidRPr="007436D0" w:rsidR="001667D0">
        <w:t xml:space="preserve">At the least, the requisite “reasonable belief” exists when </w:t>
      </w:r>
      <w:r w:rsidRPr="007436D0" w:rsidR="00181AE2">
        <w:t xml:space="preserve">a movant </w:t>
      </w:r>
      <w:r w:rsidRPr="007436D0" w:rsidR="00A74D82">
        <w:t xml:space="preserve">declares that the </w:t>
      </w:r>
      <w:r w:rsidRPr="007436D0" w:rsidR="003B31B4">
        <w:t xml:space="preserve">agency from which the movant seeks records has placed </w:t>
      </w:r>
      <w:r w:rsidRPr="007436D0" w:rsidR="004F51F4">
        <w:t xml:space="preserve">the </w:t>
      </w:r>
      <w:r w:rsidRPr="007436D0" w:rsidR="003B31B4">
        <w:t xml:space="preserve">officer </w:t>
      </w:r>
      <w:r w:rsidRPr="007436D0" w:rsidR="004F51F4">
        <w:t xml:space="preserve">at issue </w:t>
      </w:r>
      <w:r w:rsidRPr="007436D0" w:rsidR="003B31B4">
        <w:t xml:space="preserve">on a </w:t>
      </w:r>
      <w:r w:rsidRPr="007436D0" w:rsidR="003B31B4">
        <w:rPr>
          <w:i/>
        </w:rPr>
        <w:t>Brady</w:t>
      </w:r>
      <w:r w:rsidRPr="007436D0" w:rsidR="003B31B4">
        <w:t xml:space="preserve"> list.  (See </w:t>
      </w:r>
      <w:r w:rsidRPr="007436D0" w:rsidR="004F51F4">
        <w:rPr>
          <w:i/>
        </w:rPr>
        <w:t>ibid</w:t>
      </w:r>
      <w:r w:rsidRPr="007436D0" w:rsidR="004F51F4">
        <w:t xml:space="preserve">.)  </w:t>
      </w:r>
    </w:p>
    <w:p w:rsidR="002C42C9" w:rsidRPr="007436D0" w:rsidP="007436D0">
      <w:pPr>
        <w:tabs>
          <w:tab w:val="left" w:pos="1440"/>
        </w:tabs>
        <w:ind w:firstLine="720"/>
      </w:pPr>
      <w:r w:rsidRPr="007436D0">
        <w:t xml:space="preserve">The function of the “good cause” requirement at this stage of the </w:t>
      </w:r>
      <w:r w:rsidRPr="007436D0">
        <w:rPr>
          <w:i/>
        </w:rPr>
        <w:t>Pitchess</w:t>
      </w:r>
      <w:r w:rsidRPr="007436D0">
        <w:t xml:space="preserve"> process is not to determine whether documents will be disclosed to the movant; it is to determine whether </w:t>
      </w:r>
      <w:r w:rsidRPr="007436D0" w:rsidR="00DE5A72">
        <w:t>information</w:t>
      </w:r>
      <w:r w:rsidRPr="007436D0">
        <w:t xml:space="preserve"> will be </w:t>
      </w:r>
      <w:r w:rsidRPr="007436D0" w:rsidR="00DE5A72">
        <w:t>reviewed</w:t>
      </w:r>
      <w:r w:rsidRPr="007436D0">
        <w:t xml:space="preserve"> in camera.  Accordingly, the burden imposed by the requirement “is not high</w:t>
      </w:r>
      <w:r w:rsidRPr="007436D0" w:rsidR="005A5B6E">
        <w:t>.</w:t>
      </w:r>
      <w:r w:rsidRPr="007436D0">
        <w:t>”</w:t>
      </w:r>
      <w:r w:rsidRPr="007436D0" w:rsidR="005A5B6E">
        <w:t xml:space="preserve">  </w:t>
      </w:r>
      <w:r w:rsidRPr="007436D0">
        <w:t>(</w:t>
      </w:r>
      <w:r w:rsidRPr="007436D0">
        <w:rPr>
          <w:i/>
        </w:rPr>
        <w:t>Johnson</w:t>
      </w:r>
      <w:r w:rsidRPr="007436D0">
        <w:t xml:space="preserve">, </w:t>
      </w:r>
      <w:r w:rsidRPr="007436D0">
        <w:rPr>
          <w:i/>
        </w:rPr>
        <w:t>supra</w:t>
      </w:r>
      <w:r w:rsidRPr="007436D0">
        <w:t>, 61 Cal.4th at p. 720</w:t>
      </w:r>
      <w:r w:rsidRPr="007436D0" w:rsidR="004D5679">
        <w:t xml:space="preserve">; see </w:t>
      </w:r>
      <w:r w:rsidRPr="007436D0" w:rsidR="004D5679">
        <w:rPr>
          <w:i/>
        </w:rPr>
        <w:t>City of Santa Cruz</w:t>
      </w:r>
      <w:r w:rsidRPr="007436D0" w:rsidR="004D5679">
        <w:t xml:space="preserve">, </w:t>
      </w:r>
      <w:r w:rsidRPr="007436D0" w:rsidR="004D5679">
        <w:rPr>
          <w:i/>
        </w:rPr>
        <w:t>supra</w:t>
      </w:r>
      <w:r w:rsidRPr="007436D0" w:rsidR="004D5679">
        <w:t>, 49</w:t>
      </w:r>
      <w:r w:rsidR="00A14000">
        <w:t> </w:t>
      </w:r>
      <w:r w:rsidRPr="007436D0" w:rsidR="004D5679">
        <w:t>Cal.3d at p.</w:t>
      </w:r>
      <w:r w:rsidR="00A14000">
        <w:t> </w:t>
      </w:r>
      <w:r w:rsidRPr="007436D0" w:rsidR="004D5679">
        <w:t xml:space="preserve">84 [requirement is designed to </w:t>
      </w:r>
      <w:r w:rsidRPr="007436D0">
        <w:t>ensure “the production for inspection of all potentially relevant documents</w:t>
      </w:r>
      <w:r w:rsidRPr="007436D0" w:rsidR="004D5679">
        <w:t>”].)</w:t>
      </w:r>
    </w:p>
    <w:p w:rsidR="004953CE" w:rsidRPr="007436D0" w:rsidP="007436D0">
      <w:pPr>
        <w:tabs>
          <w:tab w:val="left" w:pos="1440"/>
        </w:tabs>
        <w:ind w:firstLine="720"/>
      </w:pPr>
      <w:r w:rsidRPr="007436D0">
        <w:t xml:space="preserve"> </w:t>
      </w:r>
      <w:r w:rsidRPr="007436D0" w:rsidR="005A5B6E">
        <w:t xml:space="preserve">When </w:t>
      </w:r>
      <w:r w:rsidRPr="007436D0" w:rsidR="007435D0">
        <w:t>a court determines that a movant has made a showing sufficient to justify in camera inspection, “the custodian of records should bring to court all documents ‘potentially relevant’ to the . . . motion.”  (</w:t>
      </w:r>
      <w:r w:rsidRPr="007436D0" w:rsidR="007435D0">
        <w:rPr>
          <w:i/>
        </w:rPr>
        <w:t>Mooc</w:t>
      </w:r>
      <w:r w:rsidRPr="007436D0" w:rsidR="007435D0">
        <w:t xml:space="preserve">, </w:t>
      </w:r>
      <w:r w:rsidRPr="007436D0" w:rsidR="007435D0">
        <w:rPr>
          <w:i/>
        </w:rPr>
        <w:t>supra</w:t>
      </w:r>
      <w:r w:rsidRPr="007436D0" w:rsidR="007435D0">
        <w:t>, 26</w:t>
      </w:r>
      <w:r w:rsidR="00BF2292">
        <w:t> </w:t>
      </w:r>
      <w:r w:rsidRPr="007436D0" w:rsidR="007435D0">
        <w:t>Cal.4th at p.</w:t>
      </w:r>
      <w:r w:rsidR="00A14000">
        <w:t> </w:t>
      </w:r>
      <w:r w:rsidRPr="007436D0" w:rsidR="007435D0">
        <w:t xml:space="preserve">1226.)  “[I]f the custodian has any doubt whether a particular document is relevant, </w:t>
      </w:r>
      <w:r w:rsidR="00107143">
        <w:t>[the custodian]</w:t>
      </w:r>
      <w:r w:rsidRPr="007436D0" w:rsidR="007435D0">
        <w:t xml:space="preserve"> should present it to the trial court.”  (</w:t>
      </w:r>
      <w:r w:rsidRPr="007436D0" w:rsidR="007435D0">
        <w:rPr>
          <w:i/>
        </w:rPr>
        <w:t>Id.</w:t>
      </w:r>
      <w:r w:rsidRPr="007436D0" w:rsidR="007435D0">
        <w:t xml:space="preserve">, at p. 1229.)  The court must </w:t>
      </w:r>
      <w:r w:rsidRPr="007436D0" w:rsidR="005D25BE">
        <w:t xml:space="preserve">examine those documents </w:t>
      </w:r>
      <w:r w:rsidRPr="007436D0" w:rsidR="007435D0">
        <w:t xml:space="preserve">“in conformity with </w:t>
      </w:r>
      <w:r w:rsidR="00E361FD">
        <w:t xml:space="preserve">[Evidence Code] </w:t>
      </w:r>
      <w:r w:rsidRPr="007436D0" w:rsidR="007435D0">
        <w:t>section 915 (i.e., out of the presence of all persons except the person authorized to claim the privilege and such other</w:t>
      </w:r>
      <w:r w:rsidR="00B209BA">
        <w:t xml:space="preserve">[s </w:t>
      </w:r>
      <w:r w:rsidR="00D8445E">
        <w:t>as that person]</w:t>
      </w:r>
      <w:r w:rsidRPr="007436D0" w:rsidR="007435D0">
        <w:t xml:space="preserve"> is willing to have present).”  (</w:t>
      </w:r>
      <w:r w:rsidRPr="007436D0" w:rsidR="007435D0">
        <w:rPr>
          <w:i/>
        </w:rPr>
        <w:t>City of Santa Cruz</w:t>
      </w:r>
      <w:r w:rsidRPr="007436D0" w:rsidR="007435D0">
        <w:t xml:space="preserve">, </w:t>
      </w:r>
      <w:r w:rsidRPr="007436D0" w:rsidR="007435D0">
        <w:rPr>
          <w:i/>
        </w:rPr>
        <w:t>supra</w:t>
      </w:r>
      <w:r w:rsidRPr="007436D0" w:rsidR="007435D0">
        <w:t>, 49 Cal.3d at p.</w:t>
      </w:r>
      <w:r w:rsidR="00A14000">
        <w:t> </w:t>
      </w:r>
      <w:r w:rsidRPr="007436D0" w:rsidR="007435D0">
        <w:t>83; see Evid. Code, §§ 915, 1045, subd. (b).)</w:t>
      </w:r>
      <w:r w:rsidRPr="007436D0" w:rsidR="00406E51">
        <w:t xml:space="preserve">  To facilitate appellate review</w:t>
      </w:r>
      <w:r w:rsidRPr="007436D0" w:rsidR="0029077A">
        <w:t>, the court should</w:t>
      </w:r>
      <w:r w:rsidRPr="007436D0" w:rsidR="00406E51">
        <w:t xml:space="preserve"> </w:t>
      </w:r>
      <w:r w:rsidRPr="007436D0" w:rsidR="0029077A">
        <w:t xml:space="preserve">make a </w:t>
      </w:r>
      <w:r w:rsidRPr="007436D0" w:rsidR="00406E51">
        <w:t xml:space="preserve">record of </w:t>
      </w:r>
      <w:r w:rsidRPr="007436D0" w:rsidR="00DE5A72">
        <w:t xml:space="preserve">what it has </w:t>
      </w:r>
      <w:r w:rsidRPr="007436D0" w:rsidR="009B16DA">
        <w:t>examined</w:t>
      </w:r>
      <w:r w:rsidRPr="007436D0" w:rsidR="00406E51">
        <w:t xml:space="preserve">.  (See </w:t>
      </w:r>
      <w:r w:rsidRPr="007436D0" w:rsidR="00406E51">
        <w:rPr>
          <w:i/>
        </w:rPr>
        <w:t>People v. Townsel</w:t>
      </w:r>
      <w:r w:rsidRPr="007436D0" w:rsidR="00406E51">
        <w:t xml:space="preserve"> (2016) 63 Cal.4th 25, 69; see also </w:t>
      </w:r>
      <w:r w:rsidRPr="007436D0" w:rsidR="00406E51">
        <w:rPr>
          <w:i/>
        </w:rPr>
        <w:t>Mooc</w:t>
      </w:r>
      <w:r w:rsidRPr="007436D0" w:rsidR="00406E51">
        <w:t>, at p. 1229</w:t>
      </w:r>
      <w:r w:rsidRPr="007436D0" w:rsidR="00DE5A72">
        <w:t>-1230</w:t>
      </w:r>
      <w:r w:rsidRPr="007436D0" w:rsidR="007B6454">
        <w:t xml:space="preserve">; see </w:t>
      </w:r>
      <w:r w:rsidRPr="007436D0" w:rsidR="00332180">
        <w:t>g</w:t>
      </w:r>
      <w:r w:rsidRPr="007436D0" w:rsidR="007B6454">
        <w:t xml:space="preserve">enerally </w:t>
      </w:r>
      <w:r w:rsidRPr="007436D0" w:rsidR="007B6454">
        <w:rPr>
          <w:i/>
        </w:rPr>
        <w:t>People v. Gaines</w:t>
      </w:r>
      <w:r w:rsidRPr="007436D0" w:rsidR="007B6454">
        <w:t xml:space="preserve"> (2009) 46 Cal.4th 172</w:t>
      </w:r>
      <w:r w:rsidRPr="007436D0" w:rsidR="00332180">
        <w:t xml:space="preserve">.)  </w:t>
      </w:r>
      <w:r w:rsidRPr="007436D0" w:rsidR="00612706">
        <w:t>Questioning</w:t>
      </w:r>
      <w:r w:rsidRPr="007436D0" w:rsidR="00DE5A72">
        <w:t xml:space="preserve"> the custodian of records under oath regarding </w:t>
      </w:r>
      <w:r w:rsidRPr="007436D0" w:rsidR="00612706">
        <w:t>which</w:t>
      </w:r>
      <w:r w:rsidRPr="007436D0" w:rsidR="00DE5A72">
        <w:t xml:space="preserve"> </w:t>
      </w:r>
      <w:r w:rsidRPr="007436D0" w:rsidR="00612706">
        <w:t>documents</w:t>
      </w:r>
      <w:r w:rsidRPr="007436D0" w:rsidR="00DE5A72">
        <w:t xml:space="preserve"> </w:t>
      </w:r>
      <w:r w:rsidRPr="007436D0" w:rsidR="00612706">
        <w:t xml:space="preserve">were </w:t>
      </w:r>
      <w:r w:rsidRPr="007436D0" w:rsidR="00DE5A72">
        <w:t xml:space="preserve">produced helps </w:t>
      </w:r>
      <w:r w:rsidRPr="007436D0" w:rsidR="007B6454">
        <w:t xml:space="preserve">both to facilitate appellate review and </w:t>
      </w:r>
      <w:r w:rsidRPr="007436D0" w:rsidR="00DE5A72">
        <w:t xml:space="preserve">to ensure that information is not withheld </w:t>
      </w:r>
      <w:r w:rsidRPr="007436D0" w:rsidR="007C5378">
        <w:t xml:space="preserve">from the movant </w:t>
      </w:r>
      <w:r w:rsidRPr="007436D0" w:rsidR="00DE5A72">
        <w:t xml:space="preserve">improperly.  (See </w:t>
      </w:r>
      <w:r w:rsidRPr="007436D0" w:rsidR="00DE5A72">
        <w:rPr>
          <w:i/>
        </w:rPr>
        <w:t>Mooc</w:t>
      </w:r>
      <w:r w:rsidRPr="007436D0" w:rsidR="00DE5A72">
        <w:t>, at p. 1229 &amp; fn. 4.)</w:t>
      </w:r>
    </w:p>
    <w:p w:rsidR="008B1B45" w:rsidRPr="007436D0" w:rsidP="007436D0">
      <w:pPr>
        <w:tabs>
          <w:tab w:val="left" w:pos="1440"/>
        </w:tabs>
        <w:ind w:firstLine="720"/>
      </w:pPr>
      <w:r w:rsidRPr="007436D0">
        <w:t xml:space="preserve">After conducting in camera review, a court has discretion regarding which documents, if any, it </w:t>
      </w:r>
      <w:r w:rsidRPr="007436D0" w:rsidR="008742E2">
        <w:t>will</w:t>
      </w:r>
      <w:r w:rsidRPr="007436D0">
        <w:t xml:space="preserve"> </w:t>
      </w:r>
      <w:r w:rsidRPr="007436D0" w:rsidR="00752652">
        <w:t>disclose</w:t>
      </w:r>
      <w:r w:rsidRPr="007436D0">
        <w:t xml:space="preserve"> to a movant.  (See, e.g., </w:t>
      </w:r>
      <w:r w:rsidRPr="007436D0">
        <w:rPr>
          <w:i/>
        </w:rPr>
        <w:t>People v. Myles</w:t>
      </w:r>
      <w:r w:rsidRPr="007436D0">
        <w:t xml:space="preserve"> (2012) 53 Cal.4th 1181, 1209.)  Evidence Code section 1045 guides the exercise of that discretion, requiring the court to “exclude from disclosure” certain information (</w:t>
      </w:r>
      <w:r w:rsidRPr="007436D0">
        <w:rPr>
          <w:i/>
        </w:rPr>
        <w:t>id.</w:t>
      </w:r>
      <w:r w:rsidRPr="007436D0">
        <w:t xml:space="preserve">, § 1045, subd. (b)(1)-(3)) and to “consider” whether </w:t>
      </w:r>
      <w:r w:rsidRPr="007436D0" w:rsidR="00615501">
        <w:t>the movant could obtain certain</w:t>
      </w:r>
      <w:r w:rsidRPr="007436D0">
        <w:t xml:space="preserve"> other information without disclosure of individual personnel records (</w:t>
      </w:r>
      <w:r w:rsidRPr="007436D0">
        <w:rPr>
          <w:i/>
        </w:rPr>
        <w:t>id.</w:t>
      </w:r>
      <w:r w:rsidRPr="007436D0">
        <w:t>, § 1045, subd. (c)</w:t>
      </w:r>
      <w:r w:rsidRPr="007436D0" w:rsidR="00752652">
        <w:t>)</w:t>
      </w:r>
      <w:r w:rsidRPr="007436D0">
        <w:t xml:space="preserve">.  </w:t>
      </w:r>
      <w:r w:rsidRPr="007436D0" w:rsidR="00F43CF0">
        <w:t>(See also Evid. Code, § 1047</w:t>
      </w:r>
      <w:r w:rsidR="00E361FD">
        <w:t>;</w:t>
      </w:r>
      <w:r w:rsidRPr="007436D0" w:rsidR="00F43CF0">
        <w:t xml:space="preserve"> </w:t>
      </w:r>
      <w:r w:rsidRPr="007436D0" w:rsidR="00F43CF0">
        <w:rPr>
          <w:i/>
        </w:rPr>
        <w:t>Stiglitz</w:t>
      </w:r>
      <w:r w:rsidRPr="007436D0" w:rsidR="00F43CF0">
        <w:t xml:space="preserve">, </w:t>
      </w:r>
      <w:r w:rsidRPr="007436D0" w:rsidR="00F43CF0">
        <w:rPr>
          <w:i/>
        </w:rPr>
        <w:t>supra</w:t>
      </w:r>
      <w:r w:rsidRPr="007436D0" w:rsidR="00F43CF0">
        <w:t xml:space="preserve">, 60 Cal.4th at </w:t>
      </w:r>
      <w:r w:rsidRPr="007436D0" w:rsidR="00217DE8">
        <w:t>p</w:t>
      </w:r>
      <w:r w:rsidRPr="007436D0" w:rsidR="00F43CF0">
        <w:t>p.</w:t>
      </w:r>
      <w:r w:rsidRPr="007436D0" w:rsidR="00752652">
        <w:t> </w:t>
      </w:r>
      <w:r w:rsidRPr="007436D0" w:rsidR="00F43CF0">
        <w:t>641-642.)  N</w:t>
      </w:r>
      <w:r w:rsidRPr="007436D0">
        <w:t xml:space="preserve">otwithstanding these provisions, </w:t>
      </w:r>
      <w:r w:rsidRPr="007436D0" w:rsidR="00615501">
        <w:t xml:space="preserve">however, </w:t>
      </w:r>
      <w:r w:rsidRPr="007436D0" w:rsidR="000E227A">
        <w:t xml:space="preserve">the court </w:t>
      </w:r>
      <w:r w:rsidRPr="007436D0" w:rsidR="005756A1">
        <w:t xml:space="preserve">must </w:t>
      </w:r>
      <w:r w:rsidRPr="007436D0">
        <w:t xml:space="preserve">disclose information that is </w:t>
      </w:r>
      <w:r w:rsidRPr="007436D0" w:rsidR="00615622">
        <w:t xml:space="preserve">favorable to the defense and </w:t>
      </w:r>
      <w:r w:rsidRPr="007436D0">
        <w:t xml:space="preserve">“material” within the meaning of </w:t>
      </w:r>
      <w:r w:rsidRPr="007436D0">
        <w:rPr>
          <w:i/>
        </w:rPr>
        <w:t>Brady</w:t>
      </w:r>
      <w:r w:rsidRPr="007436D0">
        <w:t>.  (</w:t>
      </w:r>
      <w:r w:rsidRPr="007436D0" w:rsidR="005756A1">
        <w:rPr>
          <w:i/>
        </w:rPr>
        <w:t>Johnson</w:t>
      </w:r>
      <w:r w:rsidRPr="007436D0" w:rsidR="005756A1">
        <w:t xml:space="preserve">, </w:t>
      </w:r>
      <w:r w:rsidRPr="007436D0" w:rsidR="005756A1">
        <w:rPr>
          <w:i/>
        </w:rPr>
        <w:t>supra</w:t>
      </w:r>
      <w:r w:rsidRPr="007436D0" w:rsidR="005756A1">
        <w:t xml:space="preserve">, </w:t>
      </w:r>
      <w:r w:rsidRPr="007436D0" w:rsidR="00A91B32">
        <w:t xml:space="preserve">61 Cal.4th at p. </w:t>
      </w:r>
      <w:r w:rsidRPr="007436D0" w:rsidR="003213B4">
        <w:t>720</w:t>
      </w:r>
      <w:r w:rsidRPr="007436D0" w:rsidR="000B4E14">
        <w:t>.)</w:t>
      </w:r>
    </w:p>
    <w:p w:rsidR="00DF17BB" w:rsidRPr="007436D0" w:rsidP="00DF17BB">
      <w:pPr>
        <w:tabs>
          <w:tab w:val="left" w:pos="1440"/>
        </w:tabs>
        <w:ind w:firstLine="720"/>
      </w:pPr>
      <w:r w:rsidRPr="007436D0">
        <w:t xml:space="preserve">Finally, </w:t>
      </w:r>
      <w:r w:rsidRPr="007436D0" w:rsidR="00EA4164">
        <w:t xml:space="preserve">the </w:t>
      </w:r>
      <w:r w:rsidRPr="007436D0" w:rsidR="00EA4164">
        <w:rPr>
          <w:i/>
        </w:rPr>
        <w:t>Pitchess</w:t>
      </w:r>
      <w:r w:rsidRPr="007436D0" w:rsidR="00EA4164">
        <w:t xml:space="preserve"> statutes protect information that is disclosed to a movant from further dissemination.  </w:t>
      </w:r>
      <w:r w:rsidRPr="007436D0" w:rsidR="00D149D5">
        <w:t xml:space="preserve">“The court shall, in any case or proceeding permitting the disclosure or discovery of any peace or custodial officer records requested pursuant to </w:t>
      </w:r>
      <w:r w:rsidR="00E361FD">
        <w:t xml:space="preserve">[Evidence Code] </w:t>
      </w:r>
      <w:r w:rsidRPr="007436D0" w:rsidR="00D149D5">
        <w:t xml:space="preserve">Section 1043, order that the records disclosed or discovered may not be used for any purpose other than a court proceeding pursuant to applicable law.”  (Evid. Code, § 1045, subd. (e); see generally </w:t>
      </w:r>
      <w:r w:rsidRPr="007436D0" w:rsidR="00D149D5">
        <w:rPr>
          <w:i/>
        </w:rPr>
        <w:t xml:space="preserve">Chambers v. Superior Court </w:t>
      </w:r>
      <w:r w:rsidRPr="007436D0" w:rsidR="00D149D5">
        <w:t>(2007) 42</w:t>
      </w:r>
      <w:r w:rsidR="00A14000">
        <w:t> </w:t>
      </w:r>
      <w:r w:rsidRPr="007436D0" w:rsidR="00D149D5">
        <w:t xml:space="preserve">Cal.4th 673; </w:t>
      </w:r>
      <w:r w:rsidRPr="007436D0" w:rsidR="00D149D5">
        <w:rPr>
          <w:i/>
        </w:rPr>
        <w:t xml:space="preserve">Alford v. Superior Court </w:t>
      </w:r>
      <w:r w:rsidRPr="007436D0" w:rsidR="00D149D5">
        <w:t>(2003) 29 Cal.4th 1033.)</w:t>
      </w:r>
      <w:r w:rsidR="00C60DF1">
        <w:t xml:space="preserve">  </w:t>
      </w:r>
      <w:r w:rsidRPr="007436D0" w:rsidR="00D149D5">
        <w:t xml:space="preserve">Upon a proper motion by the custodian or the officer at issue, the court may also “make any order which justice requires to protect the officer or agency from unnecessary annoyance, embarrassment or oppression.”  (Evid. Code, § 1045, subd. (d).)  </w:t>
      </w:r>
    </w:p>
    <w:p w:rsidR="00B91531" w:rsidRPr="007436D0" w:rsidP="007436D0">
      <w:pPr>
        <w:pStyle w:val="Heading1"/>
      </w:pPr>
      <w:r w:rsidRPr="007436D0">
        <w:t xml:space="preserve">III.  </w:t>
      </w:r>
      <w:r w:rsidRPr="007436D0" w:rsidR="009C7B5D">
        <w:t>Analysis</w:t>
      </w:r>
    </w:p>
    <w:p w:rsidR="00A14000" w:rsidRPr="00444F13" w:rsidP="00927F26">
      <w:pPr>
        <w:tabs>
          <w:tab w:val="left" w:pos="1440"/>
        </w:tabs>
        <w:ind w:firstLine="720"/>
      </w:pPr>
      <w:r>
        <w:t xml:space="preserve">Familiar principles of statutory interpretation guide our </w:t>
      </w:r>
      <w:r w:rsidR="000C3B81">
        <w:t>analysis</w:t>
      </w:r>
      <w:r>
        <w:t xml:space="preserve"> of the </w:t>
      </w:r>
      <w:r>
        <w:rPr>
          <w:i/>
        </w:rPr>
        <w:t>Pitchess</w:t>
      </w:r>
      <w:r>
        <w:t xml:space="preserve"> statutes.  (</w:t>
      </w:r>
      <w:r w:rsidRPr="007436D0">
        <w:t>See, e</w:t>
      </w:r>
      <w:r w:rsidR="00E361FD">
        <w:t>.</w:t>
      </w:r>
      <w:r w:rsidRPr="007436D0">
        <w:t xml:space="preserve">g., </w:t>
      </w:r>
      <w:r w:rsidRPr="007436D0">
        <w:rPr>
          <w:i/>
        </w:rPr>
        <w:t>People v. Castillolopez</w:t>
      </w:r>
      <w:r w:rsidRPr="007436D0">
        <w:t xml:space="preserve"> (2016) 63 Cal.4th 322, 329 [describing those principles].)</w:t>
      </w:r>
      <w:r w:rsidR="000C3B81">
        <w:t xml:space="preserve">  In particular, we bear </w:t>
      </w:r>
      <w:r w:rsidRPr="007436D0" w:rsidR="000C3B81">
        <w:t>in mind</w:t>
      </w:r>
      <w:r w:rsidR="000C3B81">
        <w:t xml:space="preserve"> </w:t>
      </w:r>
      <w:r w:rsidRPr="007436D0" w:rsidR="000C3B81">
        <w:t xml:space="preserve">that the </w:t>
      </w:r>
      <w:r w:rsidRPr="007436D0" w:rsidR="000C3B81">
        <w:rPr>
          <w:i/>
        </w:rPr>
        <w:t xml:space="preserve">Pitchess </w:t>
      </w:r>
      <w:r w:rsidRPr="007436D0" w:rsidR="000C3B81">
        <w:t xml:space="preserve">statutes “must be viewed against the larger background of the prosecution’s” </w:t>
      </w:r>
      <w:r w:rsidRPr="007436D0" w:rsidR="000C3B81">
        <w:rPr>
          <w:i/>
        </w:rPr>
        <w:t>Brady</w:t>
      </w:r>
      <w:r w:rsidRPr="007436D0" w:rsidR="000C3B81">
        <w:t xml:space="preserve"> obligation “so as not to infringe the defendant’s right to a fair trial.”  (</w:t>
      </w:r>
      <w:r w:rsidRPr="007436D0" w:rsidR="000C3B81">
        <w:rPr>
          <w:i/>
        </w:rPr>
        <w:t>Mooc</w:t>
      </w:r>
      <w:r w:rsidRPr="007436D0" w:rsidR="000C3B81">
        <w:t xml:space="preserve">, </w:t>
      </w:r>
      <w:r w:rsidRPr="007436D0" w:rsidR="000C3B81">
        <w:rPr>
          <w:i/>
        </w:rPr>
        <w:t>supra</w:t>
      </w:r>
      <w:r w:rsidRPr="007436D0" w:rsidR="000C3B81">
        <w:t>, 26 Cal.4th at p.</w:t>
      </w:r>
      <w:r w:rsidR="000C3B81">
        <w:t> </w:t>
      </w:r>
      <w:r w:rsidR="00DF17BB">
        <w:t xml:space="preserve">1225.)  </w:t>
      </w:r>
      <w:r w:rsidR="00B665CE">
        <w:t>As discussed below, the</w:t>
      </w:r>
      <w:r>
        <w:t xml:space="preserve">se principles point toward </w:t>
      </w:r>
      <w:r w:rsidR="00927F26">
        <w:t>two</w:t>
      </w:r>
      <w:r>
        <w:t xml:space="preserve"> </w:t>
      </w:r>
      <w:r w:rsidR="009A686B">
        <w:t xml:space="preserve">main </w:t>
      </w:r>
      <w:r>
        <w:t>conclusion</w:t>
      </w:r>
      <w:r w:rsidR="00EC2904">
        <w:t>s</w:t>
      </w:r>
      <w:r w:rsidR="00927F26">
        <w:t xml:space="preserve">.  First, </w:t>
      </w:r>
      <w:r w:rsidRPr="007436D0" w:rsidR="004A097B">
        <w:t>t</w:t>
      </w:r>
      <w:r w:rsidRPr="007436D0" w:rsidR="00822133">
        <w:t xml:space="preserve">he Department’s </w:t>
      </w:r>
      <w:r w:rsidRPr="007436D0" w:rsidR="00822133">
        <w:rPr>
          <w:i/>
        </w:rPr>
        <w:t>Brady</w:t>
      </w:r>
      <w:r w:rsidRPr="007436D0" w:rsidR="00822133">
        <w:t xml:space="preserve"> list is confidential to the extent it was derived from confidential recor</w:t>
      </w:r>
      <w:r w:rsidR="0026086F">
        <w:t>ds</w:t>
      </w:r>
      <w:r w:rsidR="00927F26">
        <w:t xml:space="preserve">.  </w:t>
      </w:r>
      <w:r w:rsidR="009A686B">
        <w:t>S</w:t>
      </w:r>
      <w:r w:rsidR="00927F26">
        <w:t xml:space="preserve">econd, </w:t>
      </w:r>
      <w:r w:rsidR="00842607">
        <w:t xml:space="preserve">the Department does not violate that confidentiality by sharing with prosecutors the identity of potential witnesses on </w:t>
      </w:r>
      <w:r w:rsidR="00927F26">
        <w:t xml:space="preserve">the </w:t>
      </w:r>
      <w:r w:rsidR="00927F26">
        <w:rPr>
          <w:i/>
        </w:rPr>
        <w:t>Brady</w:t>
      </w:r>
      <w:r w:rsidR="00927F26">
        <w:t xml:space="preserve"> list.</w:t>
      </w:r>
      <w:r w:rsidR="00842607">
        <w:t xml:space="preserve"> </w:t>
      </w:r>
      <w:r w:rsidR="00927F26">
        <w:t xml:space="preserve"> </w:t>
      </w:r>
    </w:p>
    <w:p w:rsidR="001B1237" w:rsidP="00C67B0F">
      <w:pPr>
        <w:pStyle w:val="Heading2"/>
        <w:keepLines/>
        <w:numPr>
          <w:ilvl w:val="0"/>
          <w:numId w:val="1"/>
        </w:numPr>
        <w:ind w:left="1094" w:hanging="374"/>
      </w:pPr>
      <w:r w:rsidRPr="007436D0">
        <w:t xml:space="preserve">The Department’s </w:t>
      </w:r>
      <w:r w:rsidRPr="007436D0">
        <w:rPr>
          <w:i/>
        </w:rPr>
        <w:t>Brady</w:t>
      </w:r>
      <w:r w:rsidRPr="007436D0">
        <w:t xml:space="preserve"> </w:t>
      </w:r>
      <w:r w:rsidRPr="007436D0" w:rsidR="00690408">
        <w:t xml:space="preserve">List </w:t>
      </w:r>
      <w:r w:rsidR="00E361FD">
        <w:t>I</w:t>
      </w:r>
      <w:r w:rsidRPr="007436D0" w:rsidR="00690408">
        <w:t>s Confidential to the Extent That</w:t>
      </w:r>
      <w:r w:rsidRPr="007436D0" w:rsidR="00DC461D">
        <w:t xml:space="preserve"> Officers Were Included on </w:t>
      </w:r>
      <w:r w:rsidRPr="007436D0" w:rsidR="0039406F">
        <w:t>the List</w:t>
      </w:r>
      <w:r w:rsidRPr="007436D0" w:rsidR="00DC461D">
        <w:t xml:space="preserve"> </w:t>
      </w:r>
      <w:r w:rsidRPr="007436D0" w:rsidR="00196795">
        <w:t>Because of</w:t>
      </w:r>
      <w:r w:rsidRPr="007436D0" w:rsidR="00370658">
        <w:t xml:space="preserve"> </w:t>
      </w:r>
      <w:r w:rsidRPr="007436D0" w:rsidR="00DC461D">
        <w:t xml:space="preserve">Information Obtained from </w:t>
      </w:r>
      <w:r w:rsidRPr="007436D0" w:rsidR="00370658">
        <w:t xml:space="preserve">Confidential Records </w:t>
      </w:r>
    </w:p>
    <w:p w:rsidR="00B665CE" w:rsidRPr="00B665CE" w:rsidP="00B665CE">
      <w:pPr>
        <w:ind w:firstLine="720"/>
      </w:pPr>
      <w:r w:rsidRPr="00B665CE">
        <w:t xml:space="preserve">To the extent the Department placed officers on the </w:t>
      </w:r>
      <w:r w:rsidRPr="00DD27A5">
        <w:rPr>
          <w:i/>
        </w:rPr>
        <w:t>Brady</w:t>
      </w:r>
      <w:r w:rsidRPr="00B665CE">
        <w:t xml:space="preserve"> list based on information found in confidential records, the identities of those officers were “obtained from” the records and are thus also confidential.  (§ 832.7(a).)  Under legislation enacted while this litigation was pending, however, certain records related to officer misconduct are not confidential.  (See Pen. Code, § 832.7, subd. (b) (section 832.7(b)</w:t>
      </w:r>
      <w:r w:rsidR="004822F7">
        <w:t>)</w:t>
      </w:r>
      <w:r w:rsidRPr="00B665CE">
        <w:t>.)  Because such records are not confidential, information “obtained from” those records is also not confidential.  (§ 832.7(a).)</w:t>
      </w:r>
      <w:r w:rsidR="00D76217">
        <w:t xml:space="preserve">  W</w:t>
      </w:r>
      <w:r w:rsidR="00DD27A5">
        <w:t xml:space="preserve">ith one </w:t>
      </w:r>
      <w:r w:rsidR="0063678F">
        <w:t xml:space="preserve">possible </w:t>
      </w:r>
      <w:r w:rsidR="00DD27A5">
        <w:t>exception</w:t>
      </w:r>
      <w:r w:rsidR="0063678F">
        <w:t xml:space="preserve"> not relevant here (see </w:t>
      </w:r>
      <w:r w:rsidR="0063678F">
        <w:rPr>
          <w:i/>
        </w:rPr>
        <w:t>id.</w:t>
      </w:r>
      <w:r w:rsidR="0063678F">
        <w:t xml:space="preserve">, </w:t>
      </w:r>
      <w:r w:rsidRPr="00B665CE" w:rsidR="0063678F">
        <w:t>§</w:t>
      </w:r>
      <w:r w:rsidR="0063678F">
        <w:t> 832.7, subd. (b)(8))</w:t>
      </w:r>
      <w:r w:rsidR="00DD27A5">
        <w:t>, t</w:t>
      </w:r>
      <w:r w:rsidRPr="00B665CE">
        <w:t xml:space="preserve">he </w:t>
      </w:r>
      <w:r w:rsidRPr="00B665CE">
        <w:rPr>
          <w:i/>
        </w:rPr>
        <w:t>Pitchess</w:t>
      </w:r>
      <w:r w:rsidRPr="00B665CE">
        <w:t xml:space="preserve"> statutes do not prevent the Department from disclosing </w:t>
      </w:r>
      <w:r>
        <w:t xml:space="preserve">— to anyone — </w:t>
      </w:r>
      <w:r w:rsidRPr="00B665CE">
        <w:t xml:space="preserve">the </w:t>
      </w:r>
      <w:r w:rsidR="00742A59">
        <w:t>identity</w:t>
      </w:r>
      <w:r w:rsidRPr="00B665CE">
        <w:t xml:space="preserve"> of officers whose records contain that nonconfidential information.  </w:t>
      </w:r>
    </w:p>
    <w:p w:rsidR="00617683" w:rsidRPr="007436D0" w:rsidP="007436D0">
      <w:pPr>
        <w:pStyle w:val="Heading3"/>
      </w:pPr>
      <w:r w:rsidRPr="007436D0">
        <w:t>1.</w:t>
      </w:r>
      <w:r w:rsidRPr="007436D0" w:rsidR="0067265F">
        <w:tab/>
        <w:t>S</w:t>
      </w:r>
      <w:r w:rsidRPr="007436D0" w:rsidR="00263A5B">
        <w:t>ection 832.7(a)</w:t>
      </w:r>
      <w:r w:rsidRPr="007436D0" w:rsidR="00E24192">
        <w:t xml:space="preserve"> </w:t>
      </w:r>
      <w:r w:rsidRPr="007436D0" w:rsidR="00093229">
        <w:t>c</w:t>
      </w:r>
      <w:r w:rsidRPr="007436D0" w:rsidR="00E24192">
        <w:t>reate</w:t>
      </w:r>
      <w:r w:rsidRPr="007436D0" w:rsidR="00263A5B">
        <w:t>s</w:t>
      </w:r>
      <w:r w:rsidRPr="007436D0" w:rsidR="00E24192">
        <w:t xml:space="preserve"> </w:t>
      </w:r>
      <w:r w:rsidRPr="007436D0" w:rsidR="00093229">
        <w:t>t</w:t>
      </w:r>
      <w:r w:rsidRPr="007436D0" w:rsidR="00E24192">
        <w:t xml:space="preserve">hree </w:t>
      </w:r>
      <w:r w:rsidRPr="007436D0" w:rsidR="00093229">
        <w:t>c</w:t>
      </w:r>
      <w:r w:rsidRPr="007436D0" w:rsidR="00E24192">
        <w:t xml:space="preserve">ategories of </w:t>
      </w:r>
      <w:r w:rsidRPr="007436D0" w:rsidR="00093229">
        <w:t>c</w:t>
      </w:r>
      <w:r w:rsidRPr="007436D0" w:rsidR="00E24192">
        <w:t xml:space="preserve">onfidential </w:t>
      </w:r>
      <w:r w:rsidRPr="007436D0" w:rsidR="00093229">
        <w:t>i</w:t>
      </w:r>
      <w:r w:rsidRPr="007436D0" w:rsidR="00E24192">
        <w:t>nformation</w:t>
      </w:r>
    </w:p>
    <w:p w:rsidR="00FD40C4" w:rsidRPr="007436D0" w:rsidP="007436D0">
      <w:pPr>
        <w:tabs>
          <w:tab w:val="left" w:pos="1440"/>
        </w:tabs>
        <w:ind w:firstLine="720"/>
      </w:pPr>
      <w:r w:rsidRPr="007436D0">
        <w:t>In pertinent part, s</w:t>
      </w:r>
      <w:r w:rsidRPr="007436D0" w:rsidR="003C63CC">
        <w:t xml:space="preserve">ection 832.7(a) </w:t>
      </w:r>
      <w:r w:rsidRPr="007436D0" w:rsidR="00DB3C22">
        <w:t>instructs that</w:t>
      </w:r>
      <w:r w:rsidRPr="007436D0" w:rsidR="00D43401">
        <w:t xml:space="preserve">, “[e]xcept as provided in subdivision (b), </w:t>
      </w:r>
      <w:r w:rsidRPr="007436D0" w:rsidR="00DB3C22">
        <w:t xml:space="preserve">the personnel records of peace officers and custodial officers and records maintained by any state or local agency pursuant to </w:t>
      </w:r>
      <w:r w:rsidR="00E361FD">
        <w:t xml:space="preserve">[Penal Code] </w:t>
      </w:r>
      <w:r w:rsidRPr="007436D0" w:rsidR="00DB3C22">
        <w:t xml:space="preserve">Section 832.5, or information obtained from these records, </w:t>
      </w:r>
      <w:r w:rsidRPr="007436D0" w:rsidR="00DB3C22">
        <w:rPr>
          <w:i/>
        </w:rPr>
        <w:t>are confidential</w:t>
      </w:r>
      <w:r w:rsidRPr="007436D0" w:rsidR="00DB3C22">
        <w:t xml:space="preserve"> and shall not be disclosed in any criminal or civil proceeding except by discovery pursuant to Sections 1043 and 1046 of the Evidence Code.</w:t>
      </w:r>
      <w:r w:rsidRPr="007436D0" w:rsidR="006A3C4B">
        <w:t xml:space="preserve">”  </w:t>
      </w:r>
      <w:r w:rsidRPr="007436D0" w:rsidR="0038783F">
        <w:t>(</w:t>
      </w:r>
      <w:r w:rsidRPr="007436D0" w:rsidR="00285A65">
        <w:t>Italics added</w:t>
      </w:r>
      <w:r w:rsidRPr="007436D0" w:rsidR="00F01500">
        <w:t xml:space="preserve">.)  </w:t>
      </w:r>
      <w:r w:rsidRPr="007436D0" w:rsidR="00C66CE8">
        <w:t>This provision does not merely restrict disclosure in criminal and civil proceedings;</w:t>
      </w:r>
      <w:r w:rsidRPr="007436D0" w:rsidR="00A77E72">
        <w:t xml:space="preserve"> it creates a generally applicable condition of confidentiality and recognizes an exception </w:t>
      </w:r>
      <w:r w:rsidRPr="007436D0" w:rsidR="00D06B86">
        <w:t xml:space="preserve">for “discovery pursuant to” </w:t>
      </w:r>
      <w:r w:rsidRPr="007436D0" w:rsidR="004B43FE">
        <w:t xml:space="preserve">certain </w:t>
      </w:r>
      <w:r w:rsidRPr="007436D0" w:rsidR="00D06B86">
        <w:t xml:space="preserve">portions of the </w:t>
      </w:r>
      <w:r w:rsidRPr="007436D0" w:rsidR="004B43FE">
        <w:t>E</w:t>
      </w:r>
      <w:r w:rsidRPr="007436D0" w:rsidR="00D06B86">
        <w:t xml:space="preserve">vidence </w:t>
      </w:r>
      <w:r w:rsidRPr="007436D0" w:rsidR="004B43FE">
        <w:t>C</w:t>
      </w:r>
      <w:r w:rsidRPr="007436D0" w:rsidR="00D06B86">
        <w:t>ode.</w:t>
      </w:r>
      <w:r w:rsidRPr="007436D0" w:rsidR="00F01500">
        <w:t xml:space="preserve">  (</w:t>
      </w:r>
      <w:r w:rsidRPr="007436D0" w:rsidR="00F01500">
        <w:rPr>
          <w:i/>
        </w:rPr>
        <w:t>Ibid.</w:t>
      </w:r>
      <w:r w:rsidRPr="007436D0" w:rsidR="00F01500">
        <w:t xml:space="preserve">; see </w:t>
      </w:r>
      <w:r w:rsidRPr="007436D0" w:rsidR="00A56401">
        <w:rPr>
          <w:i/>
        </w:rPr>
        <w:t>Copley Press, Inc. v. Superior Court</w:t>
      </w:r>
      <w:r w:rsidRPr="007436D0" w:rsidR="00A56401">
        <w:t xml:space="preserve"> (2006) 39 Cal.4th 1272, </w:t>
      </w:r>
      <w:r w:rsidRPr="007436D0" w:rsidR="00CF5FA6">
        <w:t>1285</w:t>
      </w:r>
      <w:r w:rsidRPr="007436D0" w:rsidR="00767211">
        <w:t>-1286</w:t>
      </w:r>
      <w:r w:rsidRPr="007436D0" w:rsidR="00CF5FA6">
        <w:t xml:space="preserve"> (</w:t>
      </w:r>
      <w:r w:rsidRPr="007436D0" w:rsidR="00CF5FA6">
        <w:rPr>
          <w:i/>
        </w:rPr>
        <w:t>Copley Press</w:t>
      </w:r>
      <w:r w:rsidRPr="007436D0" w:rsidR="00CF5FA6">
        <w:t>).)</w:t>
      </w:r>
      <w:r w:rsidR="00B665CE">
        <w:t xml:space="preserve"> </w:t>
      </w:r>
    </w:p>
    <w:p w:rsidR="00F25F08" w:rsidRPr="007436D0" w:rsidP="00E361FD">
      <w:pPr>
        <w:tabs>
          <w:tab w:val="left" w:pos="1440"/>
        </w:tabs>
        <w:ind w:firstLine="720"/>
      </w:pPr>
      <w:r w:rsidRPr="007436D0">
        <w:t>Absent an exception, t</w:t>
      </w:r>
      <w:r w:rsidRPr="007436D0" w:rsidR="00574D26">
        <w:t xml:space="preserve">he </w:t>
      </w:r>
      <w:r w:rsidRPr="007436D0" w:rsidR="00AF31FD">
        <w:t xml:space="preserve">confidentiality afforded by section 832.7(a) extends to three categories of information.  </w:t>
      </w:r>
      <w:r w:rsidRPr="007436D0" w:rsidR="002C3B80">
        <w:t xml:space="preserve">(See </w:t>
      </w:r>
      <w:r w:rsidRPr="007436D0" w:rsidR="002C3B80">
        <w:rPr>
          <w:i/>
        </w:rPr>
        <w:t>Copley Press</w:t>
      </w:r>
      <w:r w:rsidRPr="007436D0" w:rsidR="002C3B80">
        <w:t xml:space="preserve">, </w:t>
      </w:r>
      <w:r w:rsidRPr="007436D0" w:rsidR="002C3B80">
        <w:rPr>
          <w:i/>
        </w:rPr>
        <w:t>supra</w:t>
      </w:r>
      <w:r w:rsidRPr="007436D0" w:rsidR="002C3B80">
        <w:t xml:space="preserve">, 39 Cal.4th at p. </w:t>
      </w:r>
      <w:r w:rsidRPr="007436D0" w:rsidR="004452DF">
        <w:t>1284.)</w:t>
      </w:r>
      <w:r w:rsidRPr="007436D0" w:rsidR="00C53009">
        <w:t xml:space="preserve">  First,</w:t>
      </w:r>
      <w:r w:rsidRPr="007436D0" w:rsidR="006C66C1">
        <w:t xml:space="preserve"> it </w:t>
      </w:r>
      <w:r w:rsidRPr="007436D0" w:rsidR="005F25C0">
        <w:t>reaches</w:t>
      </w:r>
      <w:r w:rsidRPr="007436D0" w:rsidR="006C66C1">
        <w:t xml:space="preserve"> </w:t>
      </w:r>
      <w:r w:rsidRPr="007436D0" w:rsidR="00DE139A">
        <w:t>“personnel records of peace officers and custodial officers.”  (§ 832.7(a).)</w:t>
      </w:r>
      <w:r w:rsidRPr="007436D0">
        <w:t xml:space="preserve">  Among other things, this category </w:t>
      </w:r>
      <w:r w:rsidRPr="007436D0" w:rsidR="003C3894">
        <w:t xml:space="preserve">shields certain records </w:t>
      </w:r>
      <w:r w:rsidRPr="007436D0" w:rsidR="00115ECA">
        <w:t xml:space="preserve">that relate to </w:t>
      </w:r>
      <w:r w:rsidRPr="007436D0" w:rsidR="003C3894">
        <w:t xml:space="preserve">“[e]mployee . . . discipline” </w:t>
      </w:r>
      <w:r w:rsidR="00E361FD">
        <w:t xml:space="preserve">(Pen. Code, § 832.8, subd. (a)(4)) </w:t>
      </w:r>
      <w:r w:rsidRPr="007436D0" w:rsidR="00115ECA">
        <w:t>or</w:t>
      </w:r>
      <w:r w:rsidRPr="007436D0" w:rsidR="003C3894">
        <w:t xml:space="preserve"> certain “[c]omplaints, or investigations of complaints, . . . pertaining to the manner in which </w:t>
      </w:r>
      <w:r w:rsidRPr="007436D0" w:rsidR="006647BC">
        <w:t>[the employee]</w:t>
      </w:r>
      <w:r w:rsidRPr="007436D0" w:rsidR="003C3894">
        <w:t xml:space="preserve"> performed </w:t>
      </w:r>
      <w:r w:rsidR="00C66611">
        <w:t>[the employee’s]</w:t>
      </w:r>
      <w:r w:rsidRPr="007436D0" w:rsidR="003C3894">
        <w:t xml:space="preserve"> duties”</w:t>
      </w:r>
      <w:r w:rsidR="00E361FD">
        <w:t xml:space="preserve"> (</w:t>
      </w:r>
      <w:r w:rsidR="00E361FD">
        <w:rPr>
          <w:i/>
        </w:rPr>
        <w:t>id.</w:t>
      </w:r>
      <w:r w:rsidR="00E361FD">
        <w:t>, § 832.8, subd. (a)(5)).  (</w:t>
      </w:r>
      <w:r w:rsidR="00A11730">
        <w:t>S</w:t>
      </w:r>
      <w:r w:rsidRPr="007436D0" w:rsidR="003C3894">
        <w:t xml:space="preserve">ee also </w:t>
      </w:r>
      <w:r w:rsidRPr="007436D0" w:rsidR="00164AB0">
        <w:rPr>
          <w:i/>
        </w:rPr>
        <w:t xml:space="preserve">Long Beach Police Officers Assn. v. City of Long Beach </w:t>
      </w:r>
      <w:r w:rsidRPr="007436D0" w:rsidR="00164AB0">
        <w:t>(2014) 59</w:t>
      </w:r>
      <w:r w:rsidR="00A14000">
        <w:t> </w:t>
      </w:r>
      <w:r w:rsidRPr="007436D0" w:rsidR="00164AB0">
        <w:t>Cal.4th 59, 71-72</w:t>
      </w:r>
      <w:r w:rsidRPr="007436D0" w:rsidR="001D6BB4">
        <w:t xml:space="preserve"> (</w:t>
      </w:r>
      <w:r w:rsidRPr="007436D0" w:rsidR="001D6BB4">
        <w:rPr>
          <w:i/>
        </w:rPr>
        <w:t>Long Beach</w:t>
      </w:r>
      <w:r w:rsidRPr="007436D0" w:rsidR="001D6BB4">
        <w:t>)</w:t>
      </w:r>
      <w:r w:rsidRPr="007436D0" w:rsidR="00164AB0">
        <w:t xml:space="preserve">; </w:t>
      </w:r>
      <w:r w:rsidRPr="007436D0" w:rsidR="003C3894">
        <w:rPr>
          <w:i/>
        </w:rPr>
        <w:t xml:space="preserve">Commission on Peace Officer Standards &amp; Training v. Superior Court </w:t>
      </w:r>
      <w:r w:rsidRPr="007436D0" w:rsidR="003C3894">
        <w:t>(2007) 42</w:t>
      </w:r>
      <w:r w:rsidR="00BF2292">
        <w:t> </w:t>
      </w:r>
      <w:r w:rsidRPr="007436D0" w:rsidR="003C3894">
        <w:t>Cal.4th 278, 291 (</w:t>
      </w:r>
      <w:r w:rsidRPr="007436D0" w:rsidR="003C3894">
        <w:rPr>
          <w:i/>
        </w:rPr>
        <w:t>Commission on</w:t>
      </w:r>
      <w:r w:rsidRPr="007436D0" w:rsidR="003C3894">
        <w:t xml:space="preserve"> </w:t>
      </w:r>
      <w:r w:rsidRPr="007436D0" w:rsidR="003C3894">
        <w:rPr>
          <w:i/>
        </w:rPr>
        <w:t>POST</w:t>
      </w:r>
      <w:r w:rsidRPr="007436D0" w:rsidR="003C3894">
        <w:t>).)</w:t>
      </w:r>
    </w:p>
    <w:p w:rsidR="00227B68" w:rsidRPr="007436D0" w:rsidP="007436D0">
      <w:pPr>
        <w:tabs>
          <w:tab w:val="left" w:pos="1440"/>
        </w:tabs>
        <w:ind w:firstLine="720"/>
      </w:pPr>
      <w:r w:rsidRPr="007436D0">
        <w:t xml:space="preserve">The second category of confidential information </w:t>
      </w:r>
      <w:r w:rsidRPr="007436D0" w:rsidR="00AC68CD">
        <w:t>encompasses</w:t>
      </w:r>
      <w:r w:rsidRPr="007436D0">
        <w:t xml:space="preserve"> “records maintained by any state or local agency pursuant to </w:t>
      </w:r>
      <w:r w:rsidR="00A11730">
        <w:t xml:space="preserve">[Penal Code] </w:t>
      </w:r>
      <w:r w:rsidRPr="007436D0">
        <w:t>Section 832.5.</w:t>
      </w:r>
      <w:r w:rsidRPr="007436D0" w:rsidR="00313A28">
        <w:t>”  (§ 832.7(a).)</w:t>
      </w:r>
      <w:r w:rsidRPr="007436D0" w:rsidR="00AB3459">
        <w:t xml:space="preserve">  Section 832.5 </w:t>
      </w:r>
      <w:r w:rsidRPr="007436D0" w:rsidR="00075B8A">
        <w:t xml:space="preserve">“requires </w:t>
      </w:r>
      <w:r w:rsidRPr="007436D0">
        <w:t>‘[e]ach department or agency in [California] that employs peace officers</w:t>
      </w:r>
      <w:r w:rsidRPr="007436D0" w:rsidR="006F1FB1">
        <w:t xml:space="preserve"> [to] establish a procedure to investigate complaints by members of the public against the personnel of these departments or agencies</w:t>
      </w:r>
      <w:r w:rsidR="00915E23">
        <w:t> </w:t>
      </w:r>
      <w:r w:rsidRPr="007436D0" w:rsidR="006F1FB1">
        <w:t>. . . .’ ”  (</w:t>
      </w:r>
      <w:r w:rsidRPr="007436D0" w:rsidR="006F1FB1">
        <w:rPr>
          <w:i/>
        </w:rPr>
        <w:t>Copley Press</w:t>
      </w:r>
      <w:r w:rsidRPr="007436D0" w:rsidR="006F1FB1">
        <w:t xml:space="preserve">, </w:t>
      </w:r>
      <w:r w:rsidRPr="007436D0" w:rsidR="006F1FB1">
        <w:rPr>
          <w:i/>
        </w:rPr>
        <w:t>supra</w:t>
      </w:r>
      <w:r w:rsidRPr="007436D0" w:rsidR="006F1FB1">
        <w:t>, 39</w:t>
      </w:r>
      <w:r w:rsidR="00BF2292">
        <w:t> </w:t>
      </w:r>
      <w:r w:rsidRPr="007436D0" w:rsidR="006F1FB1">
        <w:t xml:space="preserve">Cal.4th at p. </w:t>
      </w:r>
      <w:r w:rsidRPr="007436D0" w:rsidR="00CA5325">
        <w:t>1283, quoting Pen. Code, § 832.5, subd. (a)(1).)  Such “[c]omplaints and any reports or findings relating”</w:t>
      </w:r>
      <w:r w:rsidRPr="007436D0" w:rsidR="00760388">
        <w:t xml:space="preserve"> to them “shall be retained for a period of at least five years,”</w:t>
      </w:r>
      <w:r w:rsidRPr="007436D0" w:rsidR="00C16EBA">
        <w:t xml:space="preserve"> and</w:t>
      </w:r>
      <w:r w:rsidRPr="007436D0" w:rsidR="00CB30A7">
        <w:t xml:space="preserve"> must generally be</w:t>
      </w:r>
      <w:r w:rsidRPr="007436D0" w:rsidR="00C16EBA">
        <w:t xml:space="preserve"> “maintained </w:t>
      </w:r>
      <w:r w:rsidRPr="007436D0" w:rsidR="00760388">
        <w:t xml:space="preserve">either in the peace or custodial </w:t>
      </w:r>
      <w:r w:rsidRPr="007436D0" w:rsidR="00C16EBA">
        <w:t>officer</w:t>
      </w:r>
      <w:r w:rsidRPr="007436D0" w:rsidR="00A4254C">
        <w:t>’</w:t>
      </w:r>
      <w:r w:rsidRPr="007436D0" w:rsidR="00C16EBA">
        <w:t>s general personnel file or in a separate file.”</w:t>
      </w:r>
      <w:r w:rsidRPr="007436D0" w:rsidR="00A4254C">
        <w:t xml:space="preserve">  (Pen. Code, § 832.5, subd. (b)</w:t>
      </w:r>
      <w:r w:rsidRPr="007436D0" w:rsidR="006A3BFB">
        <w:t xml:space="preserve">; see also </w:t>
      </w:r>
      <w:r w:rsidRPr="007436D0" w:rsidR="006A3BFB">
        <w:rPr>
          <w:i/>
        </w:rPr>
        <w:t>id.</w:t>
      </w:r>
      <w:r w:rsidRPr="007436D0" w:rsidR="006A3BFB">
        <w:t>, § 832.5, subd</w:t>
      </w:r>
      <w:r w:rsidRPr="007436D0" w:rsidR="002C33E0">
        <w:t>s</w:t>
      </w:r>
      <w:r w:rsidRPr="007436D0" w:rsidR="006A3BFB">
        <w:t>. (c)</w:t>
      </w:r>
      <w:r w:rsidRPr="007436D0" w:rsidR="002C33E0">
        <w:t xml:space="preserve">, (d)(1).)  </w:t>
      </w:r>
    </w:p>
    <w:p w:rsidR="00E24192" w:rsidRPr="007436D0" w:rsidP="007436D0">
      <w:pPr>
        <w:tabs>
          <w:tab w:val="left" w:pos="1440"/>
        </w:tabs>
        <w:ind w:firstLine="720"/>
      </w:pPr>
      <w:r w:rsidRPr="007436D0">
        <w:t>The third and final category of confidential information is “information obtained from” the prior two types of records.  (§ 832.7(a)</w:t>
      </w:r>
      <w:r w:rsidRPr="007436D0" w:rsidR="00894D1D">
        <w:t xml:space="preserve">; </w:t>
      </w:r>
      <w:r w:rsidRPr="007436D0" w:rsidR="00ED63A5">
        <w:t xml:space="preserve">see </w:t>
      </w:r>
      <w:r w:rsidRPr="007436D0" w:rsidR="00894D1D">
        <w:rPr>
          <w:i/>
        </w:rPr>
        <w:t>Commission on POST</w:t>
      </w:r>
      <w:r w:rsidRPr="007436D0" w:rsidR="00894D1D">
        <w:t xml:space="preserve">, </w:t>
      </w:r>
      <w:r w:rsidRPr="007436D0" w:rsidR="00894D1D">
        <w:rPr>
          <w:i/>
        </w:rPr>
        <w:t>supra</w:t>
      </w:r>
      <w:r w:rsidRPr="007436D0" w:rsidR="00894D1D">
        <w:t>, 42 Cal.4th at p.</w:t>
      </w:r>
      <w:r w:rsidR="00A14000">
        <w:t> </w:t>
      </w:r>
      <w:r w:rsidRPr="007436D0" w:rsidR="00894D1D">
        <w:t>289.)</w:t>
      </w:r>
      <w:r w:rsidRPr="007436D0" w:rsidR="00ED63A5">
        <w:t xml:space="preserve">  “In its ordinary sense, to obtain information means to come into possession of it.</w:t>
      </w:r>
      <w:r w:rsidRPr="007436D0" w:rsidR="00531CEA">
        <w:t>”  (</w:t>
      </w:r>
      <w:r w:rsidRPr="007436D0" w:rsidR="00531CEA">
        <w:rPr>
          <w:i/>
        </w:rPr>
        <w:t xml:space="preserve">International Federation of Professional &amp; Technical Engineers, Local 21, AFL-CIO v. Superior Court </w:t>
      </w:r>
      <w:r w:rsidRPr="007436D0" w:rsidR="00531CEA">
        <w:t>(2007) 42 Cal.4th 319, 344</w:t>
      </w:r>
      <w:r w:rsidRPr="007436D0" w:rsidR="00005AAD">
        <w:t>, italics removed.</w:t>
      </w:r>
      <w:r w:rsidRPr="007436D0" w:rsidR="00531CEA">
        <w:t>)</w:t>
      </w:r>
      <w:r w:rsidRPr="007436D0" w:rsidR="00B22901">
        <w:t xml:space="preserve">  Thus, </w:t>
      </w:r>
      <w:r w:rsidRPr="007436D0" w:rsidR="00D079FF">
        <w:t>the phrase “information obtained from” certain records (§ 832.7(a)) “is most reasonably read to encompass information that was acquired from” those records (</w:t>
      </w:r>
      <w:r w:rsidRPr="007436D0" w:rsidR="00D079FF">
        <w:rPr>
          <w:i/>
        </w:rPr>
        <w:t>Int</w:t>
      </w:r>
      <w:r w:rsidR="00606171">
        <w:rPr>
          <w:i/>
        </w:rPr>
        <w:t>ernat.</w:t>
      </w:r>
      <w:r w:rsidRPr="007436D0" w:rsidR="00D079FF">
        <w:rPr>
          <w:i/>
        </w:rPr>
        <w:t xml:space="preserve"> Federation</w:t>
      </w:r>
      <w:r w:rsidRPr="007436D0" w:rsidR="00D079FF">
        <w:t>, at p. 344)</w:t>
      </w:r>
      <w:r w:rsidRPr="007436D0">
        <w:t xml:space="preserve">.    </w:t>
      </w:r>
    </w:p>
    <w:p w:rsidR="00E24192" w:rsidRPr="007436D0" w:rsidP="007436D0">
      <w:pPr>
        <w:pStyle w:val="Heading3"/>
      </w:pPr>
      <w:r w:rsidRPr="007436D0">
        <w:t>2.</w:t>
      </w:r>
      <w:r w:rsidRPr="007436D0">
        <w:tab/>
        <w:t xml:space="preserve">Senate Bill 1421 </w:t>
      </w:r>
      <w:r w:rsidRPr="007436D0" w:rsidR="00093229">
        <w:t>e</w:t>
      </w:r>
      <w:r w:rsidRPr="007436D0" w:rsidR="002141E7">
        <w:t xml:space="preserve">xcludes </w:t>
      </w:r>
      <w:r w:rsidRPr="007436D0" w:rsidR="00093229">
        <w:t>c</w:t>
      </w:r>
      <w:r w:rsidRPr="007436D0" w:rsidR="002141E7">
        <w:t xml:space="preserve">ertain </w:t>
      </w:r>
      <w:r w:rsidRPr="007436D0" w:rsidR="00093229">
        <w:t>i</w:t>
      </w:r>
      <w:r w:rsidRPr="007436D0" w:rsidR="002141E7">
        <w:t xml:space="preserve">nformation from </w:t>
      </w:r>
      <w:r w:rsidRPr="007436D0" w:rsidR="00093229">
        <w:t>s</w:t>
      </w:r>
      <w:r w:rsidRPr="007436D0" w:rsidR="002141E7">
        <w:t>ection 832.7(a)’s</w:t>
      </w:r>
      <w:r w:rsidRPr="007436D0" w:rsidR="00DE21AD">
        <w:t xml:space="preserve"> </w:t>
      </w:r>
      <w:r w:rsidRPr="007436D0" w:rsidR="00093229">
        <w:t>p</w:t>
      </w:r>
      <w:r w:rsidRPr="007436D0" w:rsidR="00DE21AD">
        <w:t xml:space="preserve">rovision of </w:t>
      </w:r>
      <w:r w:rsidRPr="007436D0" w:rsidR="00093229">
        <w:t>c</w:t>
      </w:r>
      <w:r w:rsidRPr="007436D0" w:rsidR="00DE21AD">
        <w:t>onfidentiality</w:t>
      </w:r>
      <w:r w:rsidRPr="007436D0" w:rsidR="002141E7">
        <w:t xml:space="preserve"> </w:t>
      </w:r>
    </w:p>
    <w:p w:rsidR="000248EE" w:rsidRPr="007436D0" w:rsidP="007436D0">
      <w:pPr>
        <w:tabs>
          <w:tab w:val="left" w:pos="1440"/>
        </w:tabs>
        <w:ind w:firstLine="720"/>
      </w:pPr>
      <w:r w:rsidRPr="007436D0">
        <w:t xml:space="preserve">Senate Bill 1421 amended </w:t>
      </w:r>
      <w:r w:rsidR="00606171">
        <w:t xml:space="preserve">Penal Code </w:t>
      </w:r>
      <w:r w:rsidRPr="007436D0">
        <w:t>section 832.7.</w:t>
      </w:r>
      <w:r w:rsidRPr="007436D0" w:rsidR="0012303A">
        <w:t xml:space="preserve">  The plain text of the </w:t>
      </w:r>
      <w:r w:rsidRPr="007436D0" w:rsidR="005F162F">
        <w:t xml:space="preserve">amended statute excludes certain information from the confidentiality afforded by section 832.7(a).  </w:t>
      </w:r>
      <w:r w:rsidRPr="007436D0" w:rsidR="009F6AF6">
        <w:t xml:space="preserve">As amended, subdivision (a) applies “[e]xcept as provided in subdivision (b).”  </w:t>
      </w:r>
      <w:r w:rsidRPr="007436D0" w:rsidR="00C53ACD">
        <w:t>S</w:t>
      </w:r>
      <w:r w:rsidRPr="007436D0" w:rsidR="009F6AF6">
        <w:t xml:space="preserve">ubdivision (b) declares </w:t>
      </w:r>
      <w:r w:rsidRPr="007436D0" w:rsidR="00C53ACD">
        <w:t xml:space="preserve">in turn </w:t>
      </w:r>
      <w:r w:rsidRPr="007436D0" w:rsidR="009F6AF6">
        <w:t xml:space="preserve">that, “[n]otwithstanding . . . any other law,” </w:t>
      </w:r>
      <w:r w:rsidRPr="007436D0" w:rsidR="000C693E">
        <w:t xml:space="preserve">certain “peace officer or custodial officer personnel records and records maintained by any state or local agency </w:t>
      </w:r>
      <w:r w:rsidRPr="007436D0" w:rsidR="000C693E">
        <w:rPr>
          <w:i/>
        </w:rPr>
        <w:t>shall not be confidential</w:t>
      </w:r>
      <w:r w:rsidRPr="007436D0" w:rsidR="000C693E">
        <w:t xml:space="preserve"> and shall be made available for public inspection pursuant to the California Public Records Act.</w:t>
      </w:r>
      <w:r w:rsidR="00606171">
        <w:t>”</w:t>
      </w:r>
      <w:r w:rsidRPr="007436D0" w:rsidR="000C693E">
        <w:t xml:space="preserve">  (Pen. Code, § 832.7, subd. (b)(1), italics added.)</w:t>
      </w:r>
      <w:r w:rsidRPr="007436D0" w:rsidR="00AB4E3C">
        <w:t xml:space="preserve">  </w:t>
      </w:r>
      <w:r w:rsidRPr="007436D0">
        <w:t xml:space="preserve">It follows that if </w:t>
      </w:r>
      <w:r w:rsidRPr="007436D0" w:rsidR="00A6476E">
        <w:t xml:space="preserve">subdivision (b) </w:t>
      </w:r>
      <w:r w:rsidRPr="007436D0" w:rsidR="00761147">
        <w:t>deems</w:t>
      </w:r>
      <w:r w:rsidRPr="007436D0" w:rsidR="00A6476E">
        <w:t xml:space="preserve"> records “not . . . confidential,”</w:t>
      </w:r>
      <w:r w:rsidRPr="007436D0" w:rsidR="009847B1">
        <w:t xml:space="preserve"> they are not “confidential” under subdivision (a).  </w:t>
      </w:r>
      <w:r w:rsidRPr="007436D0" w:rsidR="003D61B4">
        <w:t>And</w:t>
      </w:r>
      <w:r w:rsidRPr="007436D0" w:rsidR="006D1B49">
        <w:t xml:space="preserve"> </w:t>
      </w:r>
      <w:r w:rsidRPr="007436D0">
        <w:t>if records are “not .</w:t>
      </w:r>
      <w:r w:rsidRPr="007436D0" w:rsidR="003D61B4">
        <w:t> </w:t>
      </w:r>
      <w:r w:rsidRPr="007436D0">
        <w:t>.</w:t>
      </w:r>
      <w:r w:rsidRPr="007436D0" w:rsidR="003D61B4">
        <w:t> </w:t>
      </w:r>
      <w:r w:rsidRPr="007436D0">
        <w:t>.</w:t>
      </w:r>
      <w:r w:rsidRPr="007436D0" w:rsidR="003D61B4">
        <w:t xml:space="preserve"> </w:t>
      </w:r>
      <w:r w:rsidRPr="007436D0">
        <w:t xml:space="preserve">confidential” </w:t>
      </w:r>
      <w:r w:rsidRPr="007436D0" w:rsidR="007450AD">
        <w:t>because of</w:t>
      </w:r>
      <w:r w:rsidRPr="007436D0" w:rsidR="0001520B">
        <w:t xml:space="preserve"> </w:t>
      </w:r>
      <w:r w:rsidRPr="007436D0">
        <w:t xml:space="preserve">subdivision (b), it would be nonsensical to conclude that </w:t>
      </w:r>
      <w:r w:rsidRPr="007436D0" w:rsidR="007450AD">
        <w:t>subdivision (a) render</w:t>
      </w:r>
      <w:r w:rsidRPr="007436D0" w:rsidR="00C942B8">
        <w:t>s</w:t>
      </w:r>
      <w:r w:rsidRPr="007436D0" w:rsidR="007450AD">
        <w:t xml:space="preserve"> </w:t>
      </w:r>
      <w:r w:rsidRPr="007436D0">
        <w:t>“information obtained from</w:t>
      </w:r>
      <w:r w:rsidR="00606171">
        <w:t>”</w:t>
      </w:r>
      <w:r w:rsidRPr="007436D0">
        <w:t xml:space="preserve"> those</w:t>
      </w:r>
      <w:r w:rsidR="009D5C20">
        <w:t xml:space="preserve"> nonconfidential </w:t>
      </w:r>
      <w:r w:rsidRPr="007436D0">
        <w:t>records</w:t>
      </w:r>
      <w:r w:rsidR="009D5C20">
        <w:t xml:space="preserve"> </w:t>
      </w:r>
      <w:r w:rsidRPr="007436D0">
        <w:t>“confidential</w:t>
      </w:r>
      <w:r w:rsidRPr="007436D0" w:rsidR="007450AD">
        <w:t>.</w:t>
      </w:r>
      <w:r w:rsidRPr="007436D0">
        <w:t>”</w:t>
      </w:r>
      <w:r w:rsidRPr="007436D0" w:rsidR="003C73CA">
        <w:t xml:space="preserve">  </w:t>
      </w:r>
      <w:r w:rsidRPr="007436D0">
        <w:t>Thus, if subdivision (b) deems a record nonconfidential, the record, or information obtained from it, is not confidential</w:t>
      </w:r>
      <w:r w:rsidRPr="007436D0" w:rsidR="00AB6DBB">
        <w:t>.</w:t>
      </w:r>
    </w:p>
    <w:p w:rsidR="00917072" w:rsidRPr="008C545F" w:rsidP="007436D0">
      <w:pPr>
        <w:tabs>
          <w:tab w:val="left" w:pos="1440"/>
        </w:tabs>
        <w:ind w:firstLine="720"/>
      </w:pPr>
      <w:r w:rsidRPr="007436D0">
        <w:t xml:space="preserve">Senate Bill 1421 </w:t>
      </w:r>
      <w:r w:rsidRPr="007436D0" w:rsidR="0089795D">
        <w:t>deems</w:t>
      </w:r>
      <w:r w:rsidRPr="007436D0">
        <w:t xml:space="preserve"> </w:t>
      </w:r>
      <w:r w:rsidRPr="007436D0" w:rsidR="00856393">
        <w:t>three</w:t>
      </w:r>
      <w:r w:rsidRPr="007436D0">
        <w:t xml:space="preserve"> types of records nonconfidential.  </w:t>
      </w:r>
      <w:r w:rsidRPr="007436D0" w:rsidR="00856393">
        <w:t xml:space="preserve">First, </w:t>
      </w:r>
      <w:r w:rsidRPr="007436D0" w:rsidR="00A84147">
        <w:t xml:space="preserve">records </w:t>
      </w:r>
      <w:r w:rsidRPr="007436D0">
        <w:t>“relating to the report, investigation, or findings” of an incident in which an officer (i)</w:t>
      </w:r>
      <w:r w:rsidR="00A14000">
        <w:t> </w:t>
      </w:r>
      <w:r w:rsidRPr="007436D0">
        <w:t>discharged a firearm at a person or (ii)</w:t>
      </w:r>
      <w:r w:rsidR="00A14000">
        <w:t> </w:t>
      </w:r>
      <w:r w:rsidRPr="007436D0">
        <w:t>used force against a person resulting in death or great bodily injury.  (</w:t>
      </w:r>
      <w:r w:rsidRPr="007436D0" w:rsidR="006647BC">
        <w:t>Pen. Code,</w:t>
      </w:r>
      <w:r w:rsidRPr="007436D0" w:rsidR="006647BC">
        <w:rPr>
          <w:i/>
        </w:rPr>
        <w:t xml:space="preserve"> </w:t>
      </w:r>
      <w:r w:rsidRPr="007436D0">
        <w:t xml:space="preserve">§ 832.7, subd. (b)(1)(A).)  </w:t>
      </w:r>
      <w:r w:rsidRPr="007436D0" w:rsidR="00856393">
        <w:t>Second,</w:t>
      </w:r>
      <w:r w:rsidRPr="007436D0">
        <w:t xml:space="preserve"> records “relating to an incident in which a sustained finding was made by any law enforcement agency or oversight agency” that an officer “engaged in sexual assault involving a member of the public.”  (</w:t>
      </w:r>
      <w:r w:rsidRPr="007436D0">
        <w:rPr>
          <w:i/>
        </w:rPr>
        <w:t>Id.</w:t>
      </w:r>
      <w:r w:rsidRPr="007436D0">
        <w:t>, § 832.7, subd. (b)(1)(B)</w:t>
      </w:r>
      <w:r w:rsidR="00606171">
        <w:t>(i)</w:t>
      </w:r>
      <w:r w:rsidRPr="007436D0">
        <w:t>.)  And</w:t>
      </w:r>
      <w:r w:rsidRPr="007436D0" w:rsidR="00856393">
        <w:t xml:space="preserve"> third, </w:t>
      </w:r>
      <w:r w:rsidRPr="007436D0">
        <w:t>“[a]ny record relating to an incident in which a sustained finding was made by any law enforcement agency or oversight agency of dishonesty by a peace officer or custodial officer directly relating to the reporting, investigation, or prosecution of a crime, or directly relating to the reporting of, or investigation of misconduct by, another peace officer or custodial officer, including, but not limited to, any sustained finding of perjury, false statements, filing false reports, destruction, falsifying, or concealing of evidence.”  (</w:t>
      </w:r>
      <w:r w:rsidRPr="007436D0">
        <w:rPr>
          <w:i/>
        </w:rPr>
        <w:t>Id.</w:t>
      </w:r>
      <w:r w:rsidRPr="007436D0">
        <w:t>, § 832.7, subd. (b)(1)(C)</w:t>
      </w:r>
      <w:r w:rsidRPr="007436D0" w:rsidR="007F7117">
        <w:t xml:space="preserve">; see also </w:t>
      </w:r>
      <w:r w:rsidRPr="007436D0" w:rsidR="007F7117">
        <w:rPr>
          <w:i/>
        </w:rPr>
        <w:t>id.</w:t>
      </w:r>
      <w:r w:rsidRPr="007436D0" w:rsidR="007F7117">
        <w:t>, § 832.7, subd. (b)(</w:t>
      </w:r>
      <w:r w:rsidRPr="007436D0" w:rsidR="0031018A">
        <w:t>2)</w:t>
      </w:r>
      <w:r w:rsidRPr="007436D0" w:rsidR="00A5526C">
        <w:t>-(4).</w:t>
      </w:r>
      <w:r w:rsidRPr="007436D0" w:rsidR="0031018A">
        <w:t>)</w:t>
      </w:r>
      <w:r w:rsidR="009D3DDF">
        <w:t xml:space="preserve">  </w:t>
      </w:r>
      <w:r w:rsidR="008C545F">
        <w:t>A</w:t>
      </w:r>
      <w:r w:rsidR="001A6053">
        <w:t>ny portion of a</w:t>
      </w:r>
      <w:r w:rsidR="008C545F">
        <w:t xml:space="preserve"> </w:t>
      </w:r>
      <w:r w:rsidR="008C545F">
        <w:rPr>
          <w:i/>
        </w:rPr>
        <w:t>Brady</w:t>
      </w:r>
      <w:r w:rsidR="008C545F">
        <w:t xml:space="preserve"> list </w:t>
      </w:r>
      <w:r w:rsidR="00BC11D5">
        <w:t xml:space="preserve">based on </w:t>
      </w:r>
      <w:r w:rsidR="00D36CA0">
        <w:t xml:space="preserve">these types of records is not confidential, and section 832.7(a) does not restrict dissemination of such </w:t>
      </w:r>
      <w:r w:rsidR="001A6053">
        <w:t>information</w:t>
      </w:r>
      <w:r w:rsidR="00D36CA0">
        <w:t xml:space="preserve">. </w:t>
      </w:r>
      <w:r w:rsidR="00BC11D5">
        <w:t xml:space="preserve"> </w:t>
      </w:r>
    </w:p>
    <w:p w:rsidR="00DE040B" w:rsidRPr="007436D0" w:rsidP="007436D0">
      <w:pPr>
        <w:tabs>
          <w:tab w:val="left" w:pos="1440"/>
        </w:tabs>
        <w:ind w:firstLine="720"/>
      </w:pPr>
      <w:r w:rsidRPr="007436D0">
        <w:t xml:space="preserve">It is true that </w:t>
      </w:r>
      <w:r w:rsidRPr="007436D0" w:rsidR="009859A2">
        <w:t xml:space="preserve">Senate Bill 1421 </w:t>
      </w:r>
      <w:r w:rsidRPr="007436D0" w:rsidR="00D17380">
        <w:t>does not “affect the discovery or disclosure of information contained in a peace or custodial officer’s personnel file pursuant to Section 1043 of the Evidence Code.”  (Pen. Code, § 832.7, subd. (g).)  Nor does it “</w:t>
      </w:r>
      <w:r w:rsidRPr="007436D0" w:rsidR="00227218">
        <w:t xml:space="preserve">supersede or affect the criminal discovery process outlined in Chapter 10 (commencing with </w:t>
      </w:r>
      <w:r w:rsidR="00606171">
        <w:t xml:space="preserve">[Evidence Code] </w:t>
      </w:r>
      <w:r w:rsidRPr="007436D0" w:rsidR="00227218">
        <w:t xml:space="preserve">Section 1054) of Title 6 of Part 2, or the admissibility of personnel records pursuant to subdivision (a), which codifies the court decision in </w:t>
      </w:r>
      <w:r w:rsidRPr="007436D0" w:rsidR="00227218">
        <w:rPr>
          <w:i/>
        </w:rPr>
        <w:t>Pitchess v. Superior Court</w:t>
      </w:r>
      <w:r w:rsidRPr="007436D0" w:rsidR="00227218">
        <w:t xml:space="preserve"> (1974) 11 Cal.3d 531.”  (</w:t>
      </w:r>
      <w:r w:rsidRPr="00606171" w:rsidR="00606171">
        <w:rPr>
          <w:i/>
        </w:rPr>
        <w:t>Id.</w:t>
      </w:r>
      <w:r w:rsidR="00606171">
        <w:t xml:space="preserve">, </w:t>
      </w:r>
      <w:r w:rsidRPr="007436D0" w:rsidR="005E10EC">
        <w:t>§ 832.7, subd. (h).)</w:t>
      </w:r>
      <w:r w:rsidRPr="007436D0">
        <w:t xml:space="preserve">  But these provisions are beside the point.  </w:t>
      </w:r>
      <w:r w:rsidRPr="007436D0" w:rsidR="00F15EEE">
        <w:t xml:space="preserve">It may be </w:t>
      </w:r>
      <w:r w:rsidRPr="007436D0" w:rsidR="00863465">
        <w:t>that Senate Bill 1421 does not expand the set of information</w:t>
      </w:r>
      <w:r w:rsidRPr="007436D0" w:rsidR="00B63558">
        <w:t xml:space="preserve"> </w:t>
      </w:r>
      <w:r w:rsidRPr="007436D0" w:rsidR="00643342">
        <w:t>that</w:t>
      </w:r>
      <w:r w:rsidRPr="007436D0" w:rsidR="006902B4">
        <w:t xml:space="preserve"> </w:t>
      </w:r>
      <w:r w:rsidRPr="007436D0" w:rsidR="00B63558">
        <w:t>a criminal defendant</w:t>
      </w:r>
      <w:r w:rsidRPr="007436D0" w:rsidR="006902B4">
        <w:t xml:space="preserve"> is entitled</w:t>
      </w:r>
      <w:r w:rsidRPr="007436D0">
        <w:t xml:space="preserve"> to receive through the </w:t>
      </w:r>
      <w:r w:rsidRPr="007436D0">
        <w:rPr>
          <w:i/>
        </w:rPr>
        <w:t>Pitchess</w:t>
      </w:r>
      <w:r w:rsidRPr="007436D0">
        <w:t xml:space="preserve"> process</w:t>
      </w:r>
      <w:r w:rsidRPr="007436D0" w:rsidR="00AC521B">
        <w:t>, an issue on which we need take no position here.</w:t>
      </w:r>
      <w:r w:rsidRPr="007436D0" w:rsidR="0016747B">
        <w:t xml:space="preserve">  </w:t>
      </w:r>
      <w:r w:rsidRPr="007436D0" w:rsidR="00AC521B">
        <w:t xml:space="preserve">For present purposes, it is enough to say that even if Senate Bill 1421 </w:t>
      </w:r>
      <w:r w:rsidRPr="007436D0" w:rsidR="005E3BD0">
        <w:t>does</w:t>
      </w:r>
      <w:r w:rsidRPr="007436D0" w:rsidR="00AC521B">
        <w:t xml:space="preserve"> not </w:t>
      </w:r>
      <w:r w:rsidRPr="007436D0" w:rsidR="003543B4">
        <w:t xml:space="preserve">increase the amount of information that a defendant can </w:t>
      </w:r>
      <w:r w:rsidRPr="007436D0" w:rsidR="003543B4">
        <w:rPr>
          <w:i/>
        </w:rPr>
        <w:t>compel</w:t>
      </w:r>
      <w:r w:rsidRPr="007436D0" w:rsidR="003543B4">
        <w:t xml:space="preserve"> an agency to disclose, </w:t>
      </w:r>
      <w:r w:rsidRPr="007436D0" w:rsidR="00CE4EAD">
        <w:t xml:space="preserve">the </w:t>
      </w:r>
      <w:r w:rsidR="00606171">
        <w:t>b</w:t>
      </w:r>
      <w:r w:rsidRPr="007436D0" w:rsidR="00CE4EAD">
        <w:t>ill, by making certain records nonconfidential, reduce</w:t>
      </w:r>
      <w:r w:rsidRPr="007436D0" w:rsidR="003759BF">
        <w:t>s</w:t>
      </w:r>
      <w:r w:rsidRPr="007436D0" w:rsidR="00CE4EAD">
        <w:t xml:space="preserve"> the amount of information that agencies are </w:t>
      </w:r>
      <w:r w:rsidRPr="007436D0" w:rsidR="00CE4EAD">
        <w:rPr>
          <w:i/>
        </w:rPr>
        <w:t>forbidden</w:t>
      </w:r>
      <w:r w:rsidRPr="007436D0" w:rsidR="00CE4EAD">
        <w:t xml:space="preserve"> from disclosing </w:t>
      </w:r>
      <w:r w:rsidRPr="007436D0" w:rsidR="003759BF">
        <w:t>voluntarily</w:t>
      </w:r>
      <w:r w:rsidRPr="007436D0" w:rsidR="00CE4EAD">
        <w:t>.</w:t>
      </w:r>
    </w:p>
    <w:p w:rsidR="007D01FF" w:rsidRPr="007436D0" w:rsidP="007436D0">
      <w:pPr>
        <w:tabs>
          <w:tab w:val="left" w:pos="1440"/>
        </w:tabs>
        <w:ind w:firstLine="720"/>
      </w:pPr>
      <w:r w:rsidRPr="007436D0">
        <w:t>We do not suggest</w:t>
      </w:r>
      <w:r w:rsidRPr="007436D0" w:rsidR="00620710">
        <w:t xml:space="preserve"> that </w:t>
      </w:r>
      <w:r w:rsidRPr="007436D0" w:rsidR="00534C18">
        <w:t xml:space="preserve">nonconfidential </w:t>
      </w:r>
      <w:r w:rsidRPr="007436D0" w:rsidR="00620710">
        <w:t xml:space="preserve">records must be fully disclosed, at any time, </w:t>
      </w:r>
      <w:r w:rsidRPr="007436D0">
        <w:t>under</w:t>
      </w:r>
      <w:r w:rsidRPr="007436D0" w:rsidR="00C64465">
        <w:t xml:space="preserve"> </w:t>
      </w:r>
      <w:r w:rsidR="00606171">
        <w:t>the California Public Records Act</w:t>
      </w:r>
      <w:r w:rsidRPr="007436D0" w:rsidR="00620710">
        <w:t xml:space="preserve">.  </w:t>
      </w:r>
      <w:r w:rsidRPr="007436D0" w:rsidR="00E813C1">
        <w:t xml:space="preserve">As amended, </w:t>
      </w:r>
      <w:r w:rsidR="00606171">
        <w:t xml:space="preserve">Penal Code </w:t>
      </w:r>
      <w:r w:rsidRPr="007436D0" w:rsidR="00E813C1">
        <w:t>section 832.7</w:t>
      </w:r>
      <w:r w:rsidRPr="007436D0" w:rsidR="00EE667F">
        <w:t xml:space="preserve"> contemplates that</w:t>
      </w:r>
      <w:r w:rsidRPr="007436D0" w:rsidR="000B6A75">
        <w:t xml:space="preserve"> it may be appropriate for an agency to redact records (</w:t>
      </w:r>
      <w:r w:rsidRPr="00606171" w:rsidR="00606171">
        <w:rPr>
          <w:i/>
        </w:rPr>
        <w:t>id.</w:t>
      </w:r>
      <w:r w:rsidR="00606171">
        <w:t xml:space="preserve">, </w:t>
      </w:r>
      <w:r w:rsidRPr="007436D0" w:rsidR="000B6A75">
        <w:t xml:space="preserve">§ 832.7, subd. (b)(5)-(6)) or to delay disclosure </w:t>
      </w:r>
      <w:r w:rsidRPr="007436D0" w:rsidR="00E813C1">
        <w:t xml:space="preserve">of records </w:t>
      </w:r>
      <w:r w:rsidRPr="007436D0" w:rsidR="000B6A75">
        <w:t>to avoid interference with certain investigations or enforcement proceedings (</w:t>
      </w:r>
      <w:r w:rsidRPr="00606171" w:rsidR="00606171">
        <w:rPr>
          <w:i/>
        </w:rPr>
        <w:t>id.</w:t>
      </w:r>
      <w:r w:rsidR="00606171">
        <w:t xml:space="preserve"> </w:t>
      </w:r>
      <w:r w:rsidRPr="007436D0" w:rsidR="000B6A75">
        <w:t>§ 832.7, subd. (b)(7)).</w:t>
      </w:r>
      <w:r w:rsidRPr="007436D0" w:rsidR="001D3088">
        <w:t xml:space="preserve">  </w:t>
      </w:r>
      <w:r w:rsidRPr="007436D0" w:rsidR="00B047EF">
        <w:t xml:space="preserve">Moreover, </w:t>
      </w:r>
      <w:r w:rsidRPr="007436D0" w:rsidR="00EE667F">
        <w:t xml:space="preserve">separate and apart from any confidentiality, </w:t>
      </w:r>
      <w:r w:rsidR="00606171">
        <w:t xml:space="preserve">Penal Code </w:t>
      </w:r>
      <w:r w:rsidRPr="007436D0" w:rsidR="00EE667F">
        <w:t>section 832.7, subdivision (b)(8) instructs that “[a] record of a civilian complaint, or the investigations, findings, or dispositions of that complaint, shall not be released pursuant to this section if the complaint is frivolous, as defined in Section 128.5 of the Code of Civil Procedure, or if the complaint is unfounded.”</w:t>
      </w:r>
      <w:r w:rsidRPr="007436D0" w:rsidR="00B047EF">
        <w:t xml:space="preserve">  Thus, our conclusion that records described in section 832.7(b) are not “confidential” </w:t>
      </w:r>
      <w:r w:rsidRPr="007436D0" w:rsidR="007948D8">
        <w:t xml:space="preserve">(§ 832.7(a)) </w:t>
      </w:r>
      <w:r w:rsidRPr="007436D0" w:rsidR="00B047EF">
        <w:t xml:space="preserve">does not mean that they are </w:t>
      </w:r>
      <w:r w:rsidRPr="007436D0" w:rsidR="000F4A2B">
        <w:t>invariably open for public inspection</w:t>
      </w:r>
      <w:r w:rsidRPr="007436D0" w:rsidR="00D9025F">
        <w:t xml:space="preserve"> over the agency’s objection</w:t>
      </w:r>
      <w:r w:rsidRPr="007436D0" w:rsidR="000F4A2B">
        <w:t>.</w:t>
      </w:r>
      <w:r>
        <w:rPr>
          <w:rStyle w:val="FootnoteReference"/>
        </w:rPr>
        <w:footnoteReference w:id="5"/>
      </w:r>
      <w:r w:rsidRPr="007436D0" w:rsidR="00EE667F">
        <w:t xml:space="preserve">  </w:t>
      </w:r>
    </w:p>
    <w:p w:rsidR="006C158C" w:rsidRPr="007436D0" w:rsidP="007436D0">
      <w:pPr>
        <w:tabs>
          <w:tab w:val="left" w:pos="1440"/>
        </w:tabs>
        <w:ind w:firstLine="720"/>
      </w:pPr>
      <w:r w:rsidRPr="007436D0">
        <w:t>With this revised statutory scheme in mind, we turn to the question</w:t>
      </w:r>
      <w:r w:rsidRPr="007436D0" w:rsidR="00175BCA">
        <w:t xml:space="preserve"> </w:t>
      </w:r>
      <w:r w:rsidRPr="007436D0">
        <w:t>whether the</w:t>
      </w:r>
      <w:r w:rsidRPr="007436D0" w:rsidR="00175BCA">
        <w:t xml:space="preserve"> Department’s</w:t>
      </w:r>
      <w:r w:rsidRPr="007436D0">
        <w:t xml:space="preserve"> </w:t>
      </w:r>
      <w:r w:rsidRPr="007436D0">
        <w:rPr>
          <w:i/>
        </w:rPr>
        <w:t>Brady</w:t>
      </w:r>
      <w:r w:rsidRPr="007436D0">
        <w:t xml:space="preserve"> list is confidential.</w:t>
      </w:r>
    </w:p>
    <w:p w:rsidR="00FA4869" w:rsidRPr="007436D0" w:rsidP="007436D0">
      <w:pPr>
        <w:pStyle w:val="Heading3"/>
        <w:rPr>
          <w:i w:val="0"/>
        </w:rPr>
      </w:pPr>
      <w:r w:rsidRPr="007436D0">
        <w:t>3.</w:t>
      </w:r>
      <w:r w:rsidRPr="007436D0" w:rsidR="0067265F">
        <w:tab/>
      </w:r>
      <w:r w:rsidRPr="007436D0" w:rsidR="002D3F26">
        <w:t xml:space="preserve">The </w:t>
      </w:r>
      <w:r w:rsidRPr="007436D0" w:rsidR="00093229">
        <w:t>r</w:t>
      </w:r>
      <w:r w:rsidRPr="007436D0" w:rsidR="002D3F26">
        <w:t xml:space="preserve">ecord </w:t>
      </w:r>
      <w:r w:rsidRPr="007436D0" w:rsidR="00093229">
        <w:t>d</w:t>
      </w:r>
      <w:r w:rsidRPr="007436D0" w:rsidR="002D3F26">
        <w:t xml:space="preserve">oes </w:t>
      </w:r>
      <w:r w:rsidRPr="007436D0" w:rsidR="00093229">
        <w:t>n</w:t>
      </w:r>
      <w:r w:rsidRPr="007436D0" w:rsidR="002D3F26">
        <w:t xml:space="preserve">ot </w:t>
      </w:r>
      <w:r w:rsidRPr="007436D0" w:rsidR="00093229">
        <w:t>s</w:t>
      </w:r>
      <w:r w:rsidRPr="007436D0" w:rsidR="00070690">
        <w:t xml:space="preserve">upport a </w:t>
      </w:r>
      <w:r w:rsidRPr="007436D0" w:rsidR="00093229">
        <w:t>c</w:t>
      </w:r>
      <w:r w:rsidRPr="007436D0" w:rsidR="00070690">
        <w:t xml:space="preserve">onclusion </w:t>
      </w:r>
      <w:r w:rsidRPr="007436D0" w:rsidR="00093229">
        <w:t>t</w:t>
      </w:r>
      <w:r w:rsidRPr="007436D0" w:rsidR="00070690">
        <w:t xml:space="preserve">hat the </w:t>
      </w:r>
      <w:r w:rsidRPr="007436D0" w:rsidR="00070690">
        <w:rPr>
          <w:i w:val="0"/>
        </w:rPr>
        <w:t xml:space="preserve">Brady </w:t>
      </w:r>
      <w:r w:rsidRPr="007436D0" w:rsidR="00093229">
        <w:t>l</w:t>
      </w:r>
      <w:r w:rsidRPr="007436D0" w:rsidR="00070690">
        <w:t xml:space="preserve">ist </w:t>
      </w:r>
      <w:r w:rsidRPr="007436D0" w:rsidR="008851A5">
        <w:t>i</w:t>
      </w:r>
      <w:r w:rsidRPr="007436D0" w:rsidR="00070690">
        <w:t xml:space="preserve">s </w:t>
      </w:r>
      <w:r w:rsidRPr="007436D0" w:rsidR="00093229">
        <w:t>n</w:t>
      </w:r>
      <w:r w:rsidRPr="007436D0" w:rsidR="00070690">
        <w:t xml:space="preserve">onconfidential </w:t>
      </w:r>
    </w:p>
    <w:p w:rsidR="00FA4869" w:rsidRPr="007436D0" w:rsidP="007436D0">
      <w:pPr>
        <w:tabs>
          <w:tab w:val="left" w:pos="1440"/>
        </w:tabs>
        <w:ind w:firstLine="720"/>
      </w:pPr>
      <w:r w:rsidRPr="007436D0">
        <w:t xml:space="preserve">Putting subdivision (b) </w:t>
      </w:r>
      <w:r w:rsidR="008E4DED">
        <w:t>a</w:t>
      </w:r>
      <w:r w:rsidRPr="007436D0">
        <w:t>side, t</w:t>
      </w:r>
      <w:r w:rsidRPr="007436D0">
        <w:t xml:space="preserve">here is no serious question that the Department reviewed “the personnel records of peace officers” when creating the </w:t>
      </w:r>
      <w:r w:rsidRPr="007436D0">
        <w:rPr>
          <w:i/>
        </w:rPr>
        <w:t>Brady</w:t>
      </w:r>
      <w:r w:rsidRPr="007436D0">
        <w:t xml:space="preserve"> list.  (§ 832.7(a).)  The parties do not dispute that the deputies included on the list are “peace officers.”  (</w:t>
      </w:r>
      <w:r w:rsidRPr="007436D0">
        <w:rPr>
          <w:i/>
        </w:rPr>
        <w:t>Ibid.</w:t>
      </w:r>
      <w:r w:rsidRPr="007436D0">
        <w:t>)  Nor is there any doubt that the Department created its list by reviewing “the personnel records of” those officers.  (</w:t>
      </w:r>
      <w:r w:rsidRPr="007436D0">
        <w:rPr>
          <w:i/>
        </w:rPr>
        <w:t>Ibid.</w:t>
      </w:r>
      <w:r w:rsidRPr="007436D0">
        <w:t>)  The Department’s initial letter to deputies explained that they were being contacted because a review of “personnel records” “identified potential exculpatory or impeachment inform</w:t>
      </w:r>
      <w:r w:rsidR="00177D40">
        <w:t xml:space="preserve">ation in your personnel file.”  </w:t>
      </w:r>
      <w:r w:rsidRPr="007436D0">
        <w:t>Later correspondence clarified that deputies were contacted “due to a prior FOUNDED allegation of misconduct involving the Manual of Policies and Procedures (MPP), i.e.[,] a sustained finding that reflects moral turpi</w:t>
      </w:r>
      <w:r w:rsidR="00177D40">
        <w:t xml:space="preserve">tude, untruthfulness, or bias.”  </w:t>
      </w:r>
      <w:r w:rsidRPr="007436D0">
        <w:t>This phrasing appears to refer to the statutory definition of “</w:t>
      </w:r>
      <w:r w:rsidR="00310838">
        <w:t> </w:t>
      </w:r>
      <w:r w:rsidRPr="007436D0">
        <w:t>‘[s]ustained,’ ” which “means a final determination . . .</w:t>
      </w:r>
      <w:r w:rsidRPr="007436D0" w:rsidR="003C4FB8">
        <w:t> </w:t>
      </w:r>
      <w:r w:rsidRPr="007436D0">
        <w:t xml:space="preserve">, following an investigation . . . that the actions of the peace officer or custodial officer were found to violate law or department policy.”  (Pen. Code, § 832.8, subd. (b); see also </w:t>
      </w:r>
      <w:r w:rsidRPr="007436D0">
        <w:rPr>
          <w:i/>
        </w:rPr>
        <w:t>id.</w:t>
      </w:r>
      <w:r w:rsidRPr="007436D0">
        <w:t xml:space="preserve">, § 832.8, subd. (c) [“ ‘Unfounded’ means that an investigation clearly establishes that the allegation is not true”].)  Given this record, we have no reason to doubt that the Department </w:t>
      </w:r>
      <w:r w:rsidRPr="007436D0" w:rsidR="00CC59F9">
        <w:t xml:space="preserve">created the </w:t>
      </w:r>
      <w:r w:rsidRPr="007436D0" w:rsidR="00CC59F9">
        <w:rPr>
          <w:i/>
        </w:rPr>
        <w:t>Brady</w:t>
      </w:r>
      <w:r w:rsidRPr="007436D0" w:rsidR="00CC59F9">
        <w:t xml:space="preserve"> list by reviewing, at the least, personnel records “</w:t>
      </w:r>
      <w:r w:rsidRPr="007436D0">
        <w:t>relating to . . .</w:t>
      </w:r>
      <w:r w:rsidR="00606171">
        <w:t xml:space="preserve"> [¶] . . . </w:t>
      </w:r>
      <w:r w:rsidRPr="007436D0">
        <w:t>[e]mployee . . . discipline.”  (</w:t>
      </w:r>
      <w:r w:rsidRPr="007436D0">
        <w:rPr>
          <w:i/>
        </w:rPr>
        <w:t>Id.</w:t>
      </w:r>
      <w:r w:rsidRPr="007436D0">
        <w:t>, § 832.8, subd. (a)(4)</w:t>
      </w:r>
      <w:r w:rsidRPr="007436D0" w:rsidR="00563FC1">
        <w:t xml:space="preserve"> [defining personnel records]</w:t>
      </w:r>
      <w:r w:rsidRPr="007436D0">
        <w:t xml:space="preserve">.)  </w:t>
      </w:r>
    </w:p>
    <w:p w:rsidR="00FA4869" w:rsidRPr="007436D0" w:rsidP="007436D0">
      <w:pPr>
        <w:tabs>
          <w:tab w:val="left" w:pos="1440"/>
        </w:tabs>
        <w:ind w:firstLine="720"/>
      </w:pPr>
      <w:r w:rsidRPr="007436D0">
        <w:t xml:space="preserve">This conclusion entails another:  The identities of officers on the </w:t>
      </w:r>
      <w:r w:rsidRPr="007436D0">
        <w:rPr>
          <w:i/>
        </w:rPr>
        <w:t xml:space="preserve">Brady </w:t>
      </w:r>
      <w:r w:rsidRPr="007436D0">
        <w:t>list constitute “information obtained from” “the personnel records of peace officers.” (§ 832.7(a)</w:t>
      </w:r>
      <w:r w:rsidRPr="007436D0" w:rsidR="00E716B8">
        <w:t xml:space="preserve">.)  </w:t>
      </w:r>
      <w:r w:rsidRPr="007436D0" w:rsidR="00C94D65">
        <w:t>T</w:t>
      </w:r>
      <w:r w:rsidRPr="007436D0">
        <w:t xml:space="preserve">he </w:t>
      </w:r>
      <w:r w:rsidRPr="007436D0">
        <w:rPr>
          <w:i/>
        </w:rPr>
        <w:t>Brady</w:t>
      </w:r>
      <w:r w:rsidRPr="007436D0">
        <w:t xml:space="preserve"> list is a catalog of officers with a particular kind of discipline-related information in their personnel file.</w:t>
      </w:r>
      <w:r w:rsidRPr="007436D0" w:rsidR="0006428A">
        <w:t xml:space="preserve">  </w:t>
      </w:r>
      <w:r w:rsidRPr="007436D0" w:rsidR="00B54316">
        <w:t>I</w:t>
      </w:r>
      <w:r w:rsidRPr="007436D0" w:rsidR="002729F3">
        <w:t xml:space="preserve">t was </w:t>
      </w:r>
      <w:r w:rsidRPr="007436D0" w:rsidR="007948D8">
        <w:t xml:space="preserve">derived from information in </w:t>
      </w:r>
      <w:r w:rsidRPr="007436D0" w:rsidR="002729F3">
        <w:t>those files.</w:t>
      </w:r>
      <w:r w:rsidRPr="007436D0" w:rsidR="000943A6">
        <w:t xml:space="preserve">  </w:t>
      </w:r>
      <w:r w:rsidRPr="007436D0">
        <w:t xml:space="preserve">It follows that, barring the applicability of an exception, the </w:t>
      </w:r>
      <w:r w:rsidRPr="007436D0">
        <w:rPr>
          <w:i/>
        </w:rPr>
        <w:t>Pitchess</w:t>
      </w:r>
      <w:r w:rsidRPr="007436D0">
        <w:t xml:space="preserve"> statutes render confidential the </w:t>
      </w:r>
      <w:r w:rsidRPr="007436D0" w:rsidR="00B00F2E">
        <w:t xml:space="preserve">identities </w:t>
      </w:r>
      <w:r w:rsidRPr="007436D0">
        <w:t xml:space="preserve">of officers on the </w:t>
      </w:r>
      <w:r w:rsidRPr="007436D0">
        <w:rPr>
          <w:i/>
        </w:rPr>
        <w:t>Brady</w:t>
      </w:r>
      <w:r w:rsidRPr="007436D0">
        <w:t xml:space="preserve"> list.  To hold otherwise would mean</w:t>
      </w:r>
      <w:r w:rsidRPr="007436D0" w:rsidR="004C4DFF">
        <w:t xml:space="preserve"> that</w:t>
      </w:r>
      <w:r w:rsidRPr="007436D0">
        <w:t xml:space="preserve"> </w:t>
      </w:r>
      <w:r w:rsidR="00732F08">
        <w:t>section 832.7(a) affords</w:t>
      </w:r>
      <w:r w:rsidRPr="007436D0">
        <w:t xml:space="preserve"> </w:t>
      </w:r>
      <w:r w:rsidR="004B540D">
        <w:t>the</w:t>
      </w:r>
      <w:r w:rsidRPr="007436D0">
        <w:t xml:space="preserve"> </w:t>
      </w:r>
      <w:r w:rsidRPr="007436D0">
        <w:rPr>
          <w:i/>
        </w:rPr>
        <w:t>Brady</w:t>
      </w:r>
      <w:r w:rsidRPr="007436D0">
        <w:t xml:space="preserve"> list no protection at all.</w:t>
      </w:r>
      <w:r w:rsidRPr="007436D0" w:rsidR="00F1041A">
        <w:t xml:space="preserve">  </w:t>
      </w:r>
      <w:r w:rsidRPr="007436D0">
        <w:t xml:space="preserve">  </w:t>
      </w:r>
    </w:p>
    <w:p w:rsidR="00B00F2E" w:rsidRPr="007436D0" w:rsidP="007436D0">
      <w:pPr>
        <w:tabs>
          <w:tab w:val="left" w:pos="1440"/>
        </w:tabs>
        <w:ind w:firstLine="720"/>
      </w:pPr>
      <w:r w:rsidRPr="007436D0">
        <w:t>An</w:t>
      </w:r>
      <w:r w:rsidRPr="00606171">
        <w:t xml:space="preserve"> amicus</w:t>
      </w:r>
      <w:r w:rsidRPr="00606171" w:rsidR="00D17D51">
        <w:t xml:space="preserve"> curiae</w:t>
      </w:r>
      <w:r w:rsidRPr="00606171">
        <w:t xml:space="preserve"> brief </w:t>
      </w:r>
      <w:r w:rsidRPr="00606171" w:rsidR="006F1D23">
        <w:t>contends</w:t>
      </w:r>
      <w:r w:rsidRPr="00606171">
        <w:t xml:space="preserve"> that </w:t>
      </w:r>
      <w:r w:rsidRPr="00606171" w:rsidR="00E310C1">
        <w:t>the phrase “informa</w:t>
      </w:r>
      <w:r w:rsidRPr="007436D0" w:rsidR="00E310C1">
        <w:t>tion obtained from</w:t>
      </w:r>
      <w:r w:rsidRPr="007436D0" w:rsidR="00BF0BEA">
        <w:t xml:space="preserve"> these records” (§ 832.7(a)) “could reasonably be interpreted to refer only to information in the records, and not to the mere fact that certain information may exist</w:t>
      </w:r>
      <w:r w:rsidRPr="007436D0" w:rsidR="00046E59">
        <w:t>.</w:t>
      </w:r>
      <w:r w:rsidRPr="007436D0" w:rsidR="001A2D20">
        <w:t>”</w:t>
      </w:r>
      <w:r w:rsidRPr="007436D0" w:rsidR="00046E59">
        <w:t xml:space="preserve"> </w:t>
      </w:r>
      <w:r w:rsidRPr="007436D0" w:rsidR="00570554">
        <w:t>Thus, the</w:t>
      </w:r>
      <w:r w:rsidRPr="007436D0" w:rsidR="00AC7154">
        <w:t xml:space="preserve"> argument continues, the</w:t>
      </w:r>
      <w:r w:rsidRPr="007436D0" w:rsidR="00570554">
        <w:t xml:space="preserve"> Department’s </w:t>
      </w:r>
      <w:r w:rsidRPr="007436D0" w:rsidR="00AC7154">
        <w:t xml:space="preserve">“generic” notification that “ ‘there may be </w:t>
      </w:r>
      <w:r w:rsidRPr="007436D0" w:rsidR="00AC7154">
        <w:rPr>
          <w:i/>
        </w:rPr>
        <w:t>Brady</w:t>
      </w:r>
      <w:r w:rsidRPr="007436D0" w:rsidR="00AC7154">
        <w:t xml:space="preserve"> material in the officer’s personnel records</w:t>
      </w:r>
      <w:r w:rsidR="00D66800">
        <w:t xml:space="preserve">,’ ” </w:t>
      </w:r>
      <w:r w:rsidRPr="007436D0" w:rsidR="00A80550">
        <w:t xml:space="preserve">is not a disclosure of “information obtained from” the records (§ 832.7(a)).  </w:t>
      </w:r>
    </w:p>
    <w:p w:rsidR="004870A1" w:rsidRPr="007436D0" w:rsidP="00174FBB">
      <w:pPr>
        <w:tabs>
          <w:tab w:val="left" w:pos="0"/>
        </w:tabs>
        <w:ind w:firstLine="720"/>
      </w:pPr>
      <w:r w:rsidRPr="007436D0">
        <w:t xml:space="preserve">We </w:t>
      </w:r>
      <w:r w:rsidRPr="007436D0" w:rsidR="006F1D23">
        <w:t>disagree</w:t>
      </w:r>
      <w:r w:rsidRPr="007436D0">
        <w:t xml:space="preserve">.  </w:t>
      </w:r>
      <w:r w:rsidR="00B01504">
        <w:t xml:space="preserve">Based on </w:t>
      </w:r>
      <w:r w:rsidR="00174FBB">
        <w:t xml:space="preserve">the Department’s </w:t>
      </w:r>
      <w:r w:rsidR="00DB6B25">
        <w:t>explanation of</w:t>
      </w:r>
      <w:r w:rsidR="00174FBB">
        <w:t xml:space="preserve"> how the </w:t>
      </w:r>
      <w:r w:rsidRPr="00EB0854" w:rsidR="00EB0854">
        <w:rPr>
          <w:i/>
        </w:rPr>
        <w:t>Brady</w:t>
      </w:r>
      <w:r w:rsidR="00EB0854">
        <w:t xml:space="preserve"> </w:t>
      </w:r>
      <w:r w:rsidR="00174FBB">
        <w:t>list at issue in this case was assembled</w:t>
      </w:r>
      <w:r w:rsidR="001F4551">
        <w:t xml:space="preserve"> (see </w:t>
      </w:r>
      <w:r w:rsidRPr="001F4551" w:rsidR="001F4551">
        <w:rPr>
          <w:i/>
        </w:rPr>
        <w:t>ante</w:t>
      </w:r>
      <w:r w:rsidR="001F4551">
        <w:t>, pt. I.A)</w:t>
      </w:r>
      <w:r w:rsidR="00174FBB">
        <w:t>, t</w:t>
      </w:r>
      <w:r w:rsidRPr="007436D0">
        <w:t xml:space="preserve">he Department’s </w:t>
      </w:r>
      <w:r w:rsidRPr="007436D0" w:rsidR="004D3809">
        <w:t xml:space="preserve">disclosure that there “may” be </w:t>
      </w:r>
      <w:r w:rsidRPr="007436D0" w:rsidR="004D3809">
        <w:rPr>
          <w:i/>
        </w:rPr>
        <w:t>Brady</w:t>
      </w:r>
      <w:r w:rsidRPr="007436D0" w:rsidR="004D3809">
        <w:t xml:space="preserve"> material in </w:t>
      </w:r>
      <w:r w:rsidR="004C5354">
        <w:t xml:space="preserve">an officer’s </w:t>
      </w:r>
      <w:r w:rsidRPr="007436D0" w:rsidR="004D3809">
        <w:t xml:space="preserve">personnel records is, in effect, a disclosure that </w:t>
      </w:r>
      <w:r w:rsidR="004C5354">
        <w:t>the</w:t>
      </w:r>
      <w:r w:rsidR="00D66800">
        <w:t xml:space="preserve"> officer </w:t>
      </w:r>
      <w:r w:rsidRPr="00182AB6" w:rsidR="00D66800">
        <w:rPr>
          <w:i/>
        </w:rPr>
        <w:t>has</w:t>
      </w:r>
      <w:r w:rsidR="00D66800">
        <w:t xml:space="preserve"> been found to have </w:t>
      </w:r>
      <w:r w:rsidRPr="007436D0" w:rsidR="00622B5C">
        <w:t>committed misconduct.  This is not a “generic” disclosure merely because the misconduct could have been one of several kinds</w:t>
      </w:r>
      <w:r w:rsidR="00E61E7F">
        <w:t xml:space="preserve"> of misconduct</w:t>
      </w:r>
      <w:r w:rsidRPr="007436D0">
        <w:t xml:space="preserve">, nor because evidence of the misconduct might not be “material” within the meaning of </w:t>
      </w:r>
      <w:r w:rsidRPr="007436D0">
        <w:rPr>
          <w:i/>
        </w:rPr>
        <w:t>Brady</w:t>
      </w:r>
      <w:r w:rsidRPr="007436D0">
        <w:t xml:space="preserve"> in a particular </w:t>
      </w:r>
      <w:r w:rsidRPr="007436D0" w:rsidR="001F2910">
        <w:t>case</w:t>
      </w:r>
      <w:r w:rsidRPr="007436D0">
        <w:t xml:space="preserve">.  </w:t>
      </w:r>
      <w:r w:rsidRPr="007436D0" w:rsidR="00027C28">
        <w:t xml:space="preserve">(Cf. </w:t>
      </w:r>
      <w:r w:rsidRPr="007436D0" w:rsidR="00027C28">
        <w:rPr>
          <w:i/>
        </w:rPr>
        <w:t>Copley Press</w:t>
      </w:r>
      <w:r w:rsidRPr="007436D0" w:rsidR="00027C28">
        <w:t xml:space="preserve">, </w:t>
      </w:r>
      <w:r w:rsidRPr="007436D0" w:rsidR="00027C28">
        <w:rPr>
          <w:i/>
        </w:rPr>
        <w:t>supra</w:t>
      </w:r>
      <w:r w:rsidRPr="007436D0" w:rsidR="00027C28">
        <w:t>¸ 39</w:t>
      </w:r>
      <w:r w:rsidRPr="007436D0" w:rsidR="00203B76">
        <w:t> </w:t>
      </w:r>
      <w:r w:rsidRPr="007436D0" w:rsidR="00027C28">
        <w:t>Cal.4th at p.</w:t>
      </w:r>
      <w:r w:rsidR="00A14000">
        <w:t> </w:t>
      </w:r>
      <w:r w:rsidRPr="007436D0" w:rsidR="00027C28">
        <w:t>1297 [</w:t>
      </w:r>
      <w:r w:rsidR="00FF4B2E">
        <w:t>s</w:t>
      </w:r>
      <w:r w:rsidR="007021B6">
        <w:t>ection 832.7(a) “</w:t>
      </w:r>
      <w:r w:rsidRPr="007436D0" w:rsidR="00027C28">
        <w:t xml:space="preserve">is designed to protect, among other things, ‘the identity of officers’ subject to complaints”].)  </w:t>
      </w:r>
    </w:p>
    <w:p w:rsidR="00AB1076" w:rsidRPr="007436D0" w:rsidP="007436D0">
      <w:pPr>
        <w:tabs>
          <w:tab w:val="left" w:pos="1440"/>
        </w:tabs>
        <w:ind w:firstLine="720"/>
      </w:pPr>
      <w:r w:rsidRPr="007436D0">
        <w:t>Moreover,</w:t>
      </w:r>
      <w:r w:rsidRPr="007436D0" w:rsidR="002E2434">
        <w:t xml:space="preserve"> information is no less “obtained from” confidential records merely because it is </w:t>
      </w:r>
      <w:r w:rsidRPr="007436D0" w:rsidR="00682CB4">
        <w:t xml:space="preserve">abstracted before it is disclosed.  </w:t>
      </w:r>
      <w:r w:rsidRPr="007436D0" w:rsidR="00650FE9">
        <w:t xml:space="preserve">As relevant here, </w:t>
      </w:r>
      <w:r w:rsidR="007021B6">
        <w:t xml:space="preserve">Penal Code </w:t>
      </w:r>
      <w:r w:rsidRPr="007436D0" w:rsidR="00386347">
        <w:t>Section 832.7, subdivision</w:t>
      </w:r>
      <w:r w:rsidR="007021B6">
        <w:t xml:space="preserve"> </w:t>
      </w:r>
      <w:r w:rsidRPr="007436D0" w:rsidR="00F26E4B">
        <w:t>(d)</w:t>
      </w:r>
      <w:r w:rsidR="007021B6">
        <w:t xml:space="preserve"> </w:t>
      </w:r>
      <w:r w:rsidRPr="007436D0" w:rsidR="00F26E4B">
        <w:t>instructs that, “notwithstanding” the confidentiality created by subdivision (a), “</w:t>
      </w:r>
      <w:r w:rsidRPr="007436D0" w:rsidR="001F7DF2">
        <w:t>a department or agency that employs peace or custodial officers may disseminate data regarding the number, type, or disposition of complaints (sustained, not sustained, exonerated, or unfounded) made against its officers if that information is in a form which does not identify the individuals involved.”  (</w:t>
      </w:r>
      <w:r w:rsidRPr="007021B6" w:rsidR="007021B6">
        <w:rPr>
          <w:i/>
        </w:rPr>
        <w:t>Id.</w:t>
      </w:r>
      <w:r w:rsidR="007021B6">
        <w:t xml:space="preserve">, </w:t>
      </w:r>
      <w:r w:rsidRPr="007436D0" w:rsidR="001F7DF2">
        <w:t xml:space="preserve">§ 832.7, subd. (d).)  </w:t>
      </w:r>
      <w:r w:rsidRPr="007436D0" w:rsidR="00010FE7">
        <w:t xml:space="preserve">This </w:t>
      </w:r>
      <w:r w:rsidRPr="007436D0" w:rsidR="00AB2694">
        <w:t xml:space="preserve">exception </w:t>
      </w:r>
      <w:r w:rsidRPr="007436D0" w:rsidR="00010FE7">
        <w:t xml:space="preserve">would be unnecessary if providing </w:t>
      </w:r>
      <w:r w:rsidRPr="007436D0" w:rsidR="00E84D9D">
        <w:t xml:space="preserve">information </w:t>
      </w:r>
      <w:r w:rsidRPr="007436D0" w:rsidR="00E84D9D">
        <w:rPr>
          <w:i/>
        </w:rPr>
        <w:t>about</w:t>
      </w:r>
      <w:r w:rsidRPr="007436D0" w:rsidR="00E84D9D">
        <w:t xml:space="preserve"> </w:t>
      </w:r>
      <w:r w:rsidRPr="007436D0" w:rsidR="00C11521">
        <w:t xml:space="preserve">confidential </w:t>
      </w:r>
      <w:r w:rsidRPr="007436D0" w:rsidR="00E84D9D">
        <w:t xml:space="preserve">records categorically fell outside </w:t>
      </w:r>
      <w:r w:rsidRPr="007436D0" w:rsidR="00C11521">
        <w:t xml:space="preserve">of the “information obtained from” provision.  (§ 832.7(a).)  </w:t>
      </w:r>
    </w:p>
    <w:p w:rsidR="003019FE" w:rsidRPr="007436D0" w:rsidP="007436D0">
      <w:pPr>
        <w:tabs>
          <w:tab w:val="left" w:pos="1440"/>
        </w:tabs>
        <w:ind w:firstLine="720"/>
      </w:pPr>
      <w:r w:rsidRPr="007436D0">
        <w:t>In light of</w:t>
      </w:r>
      <w:r w:rsidRPr="007436D0" w:rsidR="00044BB6">
        <w:t xml:space="preserve"> Senate Bill 1421, however, </w:t>
      </w:r>
      <w:r w:rsidRPr="007436D0" w:rsidR="00C74F34">
        <w:t xml:space="preserve">some of the records reviewed by the Department may not be confidential.  </w:t>
      </w:r>
      <w:r w:rsidRPr="007436D0" w:rsidR="009830E6">
        <w:t>(See, e.</w:t>
      </w:r>
      <w:r w:rsidR="00D66800">
        <w:t xml:space="preserve">g., </w:t>
      </w:r>
      <w:r w:rsidR="007021B6">
        <w:t xml:space="preserve">Pen. Code, </w:t>
      </w:r>
      <w:r w:rsidR="00D66800">
        <w:t xml:space="preserve">§ 832.7, subd. (b)(1)(C).)  </w:t>
      </w:r>
      <w:r w:rsidRPr="007436D0" w:rsidR="009830E6">
        <w:t xml:space="preserve">If the records </w:t>
      </w:r>
      <w:r w:rsidRPr="007436D0" w:rsidR="002A4E04">
        <w:t xml:space="preserve">are not confidential, then information </w:t>
      </w:r>
      <w:r w:rsidRPr="007436D0" w:rsidR="005A39F0">
        <w:t>“</w:t>
      </w:r>
      <w:r w:rsidRPr="007436D0" w:rsidR="002A4E04">
        <w:t>obtained from</w:t>
      </w:r>
      <w:r w:rsidRPr="007436D0" w:rsidR="005A39F0">
        <w:t>”</w:t>
      </w:r>
      <w:r w:rsidRPr="007436D0" w:rsidR="002A4E04">
        <w:t xml:space="preserve"> those records </w:t>
      </w:r>
      <w:r w:rsidRPr="007436D0" w:rsidR="00CC065D">
        <w:t>is</w:t>
      </w:r>
      <w:r w:rsidRPr="007436D0" w:rsidR="002A4E04">
        <w:t xml:space="preserve"> also no</w:t>
      </w:r>
      <w:r w:rsidRPr="007436D0" w:rsidR="00057AE3">
        <w:t xml:space="preserve">t </w:t>
      </w:r>
      <w:r w:rsidRPr="007436D0" w:rsidR="002A4E04">
        <w:t>confidential.</w:t>
      </w:r>
      <w:r w:rsidRPr="007436D0" w:rsidR="008B2570">
        <w:t xml:space="preserve">  </w:t>
      </w:r>
      <w:r w:rsidRPr="007436D0" w:rsidR="002252B0">
        <w:t xml:space="preserve">The record </w:t>
      </w:r>
      <w:r w:rsidRPr="007436D0" w:rsidR="005B2183">
        <w:t xml:space="preserve">on appeal </w:t>
      </w:r>
      <w:r w:rsidRPr="007436D0" w:rsidR="002252B0">
        <w:t>in this case</w:t>
      </w:r>
      <w:r w:rsidRPr="007436D0" w:rsidR="00497A96">
        <w:t xml:space="preserve"> </w:t>
      </w:r>
      <w:r w:rsidRPr="007436D0" w:rsidR="002252B0">
        <w:t>was not developed with Senate Bill 1421 in mind.</w:t>
      </w:r>
      <w:r w:rsidRPr="007436D0" w:rsidR="00A365CA">
        <w:t xml:space="preserve">  Given the many </w:t>
      </w:r>
      <w:r w:rsidRPr="007436D0" w:rsidR="00694940">
        <w:t xml:space="preserve">grounds that may have given rise to a deputy’s inclusion on the </w:t>
      </w:r>
      <w:r w:rsidRPr="007436D0" w:rsidR="00694940">
        <w:rPr>
          <w:i/>
        </w:rPr>
        <w:t>Brady</w:t>
      </w:r>
      <w:r w:rsidRPr="007436D0" w:rsidR="00694940">
        <w:t xml:space="preserve"> list</w:t>
      </w:r>
      <w:r w:rsidRPr="007436D0" w:rsidR="00347EA1">
        <w:t xml:space="preserve">, </w:t>
      </w:r>
      <w:r w:rsidRPr="007436D0" w:rsidR="00DF5DD3">
        <w:t>we cannot say that the list was derived entirely from records rendered nonconfidential by Senate Bill 1421</w:t>
      </w:r>
      <w:r w:rsidRPr="007436D0" w:rsidR="00925EA7">
        <w:t>.</w:t>
      </w:r>
      <w:r>
        <w:rPr>
          <w:rStyle w:val="FootnoteReference"/>
        </w:rPr>
        <w:footnoteReference w:id="6"/>
      </w:r>
      <w:r w:rsidRPr="007436D0" w:rsidR="009D1195">
        <w:t xml:space="preserve">  </w:t>
      </w:r>
    </w:p>
    <w:p w:rsidR="009034F1" w:rsidRPr="007436D0" w:rsidP="007436D0">
      <w:pPr>
        <w:tabs>
          <w:tab w:val="left" w:pos="1440"/>
        </w:tabs>
        <w:ind w:firstLine="720"/>
      </w:pPr>
      <w:r w:rsidRPr="007436D0">
        <w:t xml:space="preserve">Nor can we say </w:t>
      </w:r>
      <w:r w:rsidRPr="007436D0" w:rsidR="00967979">
        <w:t xml:space="preserve">that a </w:t>
      </w:r>
      <w:r w:rsidRPr="007436D0" w:rsidR="00967979">
        <w:rPr>
          <w:i/>
        </w:rPr>
        <w:t>Brady</w:t>
      </w:r>
      <w:r w:rsidRPr="007436D0" w:rsidR="00967979">
        <w:t xml:space="preserve"> list that includes both confidential and nonconfidential information </w:t>
      </w:r>
      <w:r w:rsidRPr="007436D0" w:rsidR="001E50AA">
        <w:t>melds into a single</w:t>
      </w:r>
      <w:r w:rsidRPr="007436D0" w:rsidR="00925EA7">
        <w:t>,</w:t>
      </w:r>
      <w:r w:rsidRPr="007436D0" w:rsidR="001E50AA">
        <w:t xml:space="preserve"> nonconfidential whole.</w:t>
      </w:r>
      <w:r w:rsidRPr="007436D0" w:rsidR="00925EA7">
        <w:t xml:space="preserve">  It is true that when a </w:t>
      </w:r>
      <w:r w:rsidRPr="007436D0" w:rsidR="00925EA7">
        <w:rPr>
          <w:i/>
        </w:rPr>
        <w:t>Brady</w:t>
      </w:r>
      <w:r w:rsidRPr="007436D0" w:rsidR="00925EA7">
        <w:t xml:space="preserve"> list includes both confidential information and nonconfidential information, an officer’s presence on the list does not necessarily communicate confidential information about that officer.  </w:t>
      </w:r>
      <w:r w:rsidRPr="007436D0" w:rsidR="00AD7262">
        <w:t xml:space="preserve">In such a situation, one cannot infer from the officer’s presence on the list </w:t>
      </w:r>
      <w:r w:rsidRPr="007436D0" w:rsidR="00042C6A">
        <w:t>that there is impeachment information in the officer’s confidential record</w:t>
      </w:r>
      <w:r w:rsidRPr="007436D0" w:rsidR="00E70163">
        <w:t>s</w:t>
      </w:r>
      <w:r w:rsidRPr="007436D0" w:rsidR="009D3A37">
        <w:t>.  (Cf.</w:t>
      </w:r>
      <w:r w:rsidRPr="007436D0" w:rsidR="009D3A37">
        <w:rPr>
          <w:i/>
        </w:rPr>
        <w:t xml:space="preserve"> </w:t>
      </w:r>
      <w:r w:rsidRPr="007436D0" w:rsidR="00A43CD8">
        <w:rPr>
          <w:i/>
        </w:rPr>
        <w:t>Long Beach</w:t>
      </w:r>
      <w:r w:rsidRPr="007436D0" w:rsidR="00A43CD8">
        <w:t xml:space="preserve">, </w:t>
      </w:r>
      <w:r w:rsidRPr="007436D0" w:rsidR="00A43CD8">
        <w:rPr>
          <w:i/>
        </w:rPr>
        <w:t>supra</w:t>
      </w:r>
      <w:r w:rsidRPr="007436D0" w:rsidR="00A43CD8">
        <w:t>, 59</w:t>
      </w:r>
      <w:r w:rsidR="00BF2292">
        <w:t> </w:t>
      </w:r>
      <w:r w:rsidRPr="007436D0" w:rsidR="00A43CD8">
        <w:t>Cal.4th at p.</w:t>
      </w:r>
      <w:r w:rsidR="00A14000">
        <w:t> 7</w:t>
      </w:r>
      <w:r w:rsidRPr="007436D0" w:rsidR="00A43CD8">
        <w:t xml:space="preserve">3 [“disclosing the names of officers involved in various shootings” was permissible, as it “would not imply that those shootings resulted in disciplinary action against the officers, and it would not link those names to any confidential personnel matters or other protected information”]; </w:t>
      </w:r>
      <w:r w:rsidRPr="007436D0" w:rsidR="009D3A37">
        <w:rPr>
          <w:i/>
        </w:rPr>
        <w:t>Commission on POST</w:t>
      </w:r>
      <w:r w:rsidRPr="007436D0" w:rsidR="009D3A37">
        <w:t xml:space="preserve">, </w:t>
      </w:r>
      <w:r w:rsidRPr="007436D0" w:rsidR="009D3A37">
        <w:rPr>
          <w:i/>
        </w:rPr>
        <w:t>supra</w:t>
      </w:r>
      <w:r w:rsidRPr="007436D0" w:rsidR="009D3A37">
        <w:t>, 42 Cal.4th at p. 29</w:t>
      </w:r>
      <w:r w:rsidR="007021B6">
        <w:t>9</w:t>
      </w:r>
      <w:r w:rsidRPr="007436D0" w:rsidR="009D3A37">
        <w:t xml:space="preserve"> [names and employment dates of officers not confidential, in part because that information “does not involve the identification of an individual as the officer involved in an incident that was the subject of a complaint or disciplinary investigation”]</w:t>
      </w:r>
      <w:r w:rsidRPr="007436D0" w:rsidR="00A43CD8">
        <w:t xml:space="preserve">.)  But this argument reflects too narrow a view of the confidentiality afforded by </w:t>
      </w:r>
      <w:r w:rsidRPr="007436D0" w:rsidR="00971CA5">
        <w:t xml:space="preserve">the </w:t>
      </w:r>
      <w:r w:rsidRPr="007436D0" w:rsidR="00971CA5">
        <w:rPr>
          <w:i/>
        </w:rPr>
        <w:t>Pitchess</w:t>
      </w:r>
      <w:r w:rsidRPr="007436D0" w:rsidR="00971CA5">
        <w:t xml:space="preserve"> statutes.  </w:t>
      </w:r>
      <w:r w:rsidRPr="007436D0" w:rsidR="001A07E3">
        <w:t>W</w:t>
      </w:r>
      <w:r w:rsidRPr="007436D0" w:rsidR="00901BA9">
        <w:t xml:space="preserve">hen a </w:t>
      </w:r>
      <w:r w:rsidRPr="007436D0" w:rsidR="00901BA9">
        <w:rPr>
          <w:i/>
        </w:rPr>
        <w:t>Brady</w:t>
      </w:r>
      <w:r w:rsidRPr="007436D0" w:rsidR="00901BA9">
        <w:t xml:space="preserve"> list is created based on review of confidential records, </w:t>
      </w:r>
      <w:r w:rsidRPr="007436D0" w:rsidR="00A01324">
        <w:t>information is still unambiguously “obtained from” those records.  (§ 832.7(a).)</w:t>
      </w:r>
      <w:r w:rsidRPr="007436D0" w:rsidR="00AD3F87">
        <w:t xml:space="preserve">  </w:t>
      </w:r>
      <w:r w:rsidRPr="007436D0" w:rsidR="00180365">
        <w:t>It would be odd indeed to conclude that the Legislature intended to sacrifice the confidentiality of</w:t>
      </w:r>
      <w:r w:rsidRPr="007436D0" w:rsidR="00380D3F">
        <w:t xml:space="preserve"> one officer’s records merely because the officer was listed alongside others whose </w:t>
      </w:r>
      <w:r w:rsidRPr="007436D0" w:rsidR="009062C7">
        <w:t xml:space="preserve">records were not </w:t>
      </w:r>
      <w:r w:rsidRPr="007436D0" w:rsidR="00E70163">
        <w:t>confidential</w:t>
      </w:r>
      <w:r w:rsidRPr="007436D0" w:rsidR="00380D3F">
        <w:t>.</w:t>
      </w:r>
    </w:p>
    <w:p w:rsidR="00B7283B" w:rsidRPr="007436D0" w:rsidP="007436D0">
      <w:pPr>
        <w:tabs>
          <w:tab w:val="left" w:pos="1440"/>
        </w:tabs>
        <w:ind w:firstLine="720"/>
      </w:pPr>
      <w:r w:rsidRPr="007436D0">
        <w:t xml:space="preserve">Further, </w:t>
      </w:r>
      <w:r w:rsidRPr="007436D0" w:rsidR="00380D3F">
        <w:t>because th</w:t>
      </w:r>
      <w:r w:rsidRPr="007436D0" w:rsidR="0058426E">
        <w:t>is</w:t>
      </w:r>
      <w:r w:rsidRPr="007436D0" w:rsidR="00380D3F">
        <w:t xml:space="preserve"> argument focuses on whether </w:t>
      </w:r>
      <w:r w:rsidRPr="007436D0" w:rsidR="0058426E">
        <w:t>someone</w:t>
      </w:r>
      <w:r w:rsidRPr="007436D0">
        <w:t xml:space="preserve"> can infer information about confidential records from the fact that an officer is on the </w:t>
      </w:r>
      <w:r w:rsidRPr="007436D0">
        <w:rPr>
          <w:i/>
        </w:rPr>
        <w:t>Brady</w:t>
      </w:r>
      <w:r w:rsidRPr="007436D0">
        <w:t xml:space="preserve"> list, it </w:t>
      </w:r>
      <w:r w:rsidR="00AC5026">
        <w:t>appears to</w:t>
      </w:r>
      <w:r w:rsidRPr="007436D0">
        <w:t xml:space="preserve"> </w:t>
      </w:r>
      <w:r w:rsidR="00683134">
        <w:t xml:space="preserve">require </w:t>
      </w:r>
      <w:r w:rsidRPr="007436D0">
        <w:t xml:space="preserve">one of two </w:t>
      </w:r>
      <w:r w:rsidR="0088459E">
        <w:t xml:space="preserve">dubious </w:t>
      </w:r>
      <w:r w:rsidR="00683134">
        <w:t>approaches</w:t>
      </w:r>
      <w:r w:rsidRPr="007436D0" w:rsidR="007E73DF">
        <w:t xml:space="preserve">.  It could be that </w:t>
      </w:r>
      <w:r w:rsidRPr="007436D0" w:rsidR="0065591D">
        <w:t xml:space="preserve">disclosure </w:t>
      </w:r>
      <w:r w:rsidRPr="007436D0" w:rsidR="00CA0667">
        <w:t xml:space="preserve">of the fact that an officer is on </w:t>
      </w:r>
      <w:r w:rsidRPr="007436D0" w:rsidR="007E73DF">
        <w:t xml:space="preserve">the </w:t>
      </w:r>
      <w:r w:rsidRPr="007436D0" w:rsidR="007E73DF">
        <w:rPr>
          <w:i/>
        </w:rPr>
        <w:t>Brady</w:t>
      </w:r>
      <w:r w:rsidRPr="007436D0" w:rsidR="007E73DF">
        <w:t xml:space="preserve"> list is permissible so long as the list is not based </w:t>
      </w:r>
      <w:r w:rsidRPr="007436D0" w:rsidR="00531356">
        <w:t xml:space="preserve">entirely </w:t>
      </w:r>
      <w:r w:rsidRPr="007436D0" w:rsidR="007E73DF">
        <w:t xml:space="preserve">on confidential information.  That, after all, would be enough to sever the </w:t>
      </w:r>
      <w:r w:rsidRPr="007436D0" w:rsidR="006A15AA">
        <w:t xml:space="preserve">inference that if an officer is on the list, there must be </w:t>
      </w:r>
      <w:r w:rsidRPr="007436D0" w:rsidR="0071205E">
        <w:t xml:space="preserve">evidence of </w:t>
      </w:r>
      <w:r w:rsidRPr="007436D0" w:rsidR="006A15AA">
        <w:t xml:space="preserve">discipline in </w:t>
      </w:r>
      <w:r w:rsidR="00FA7E6D">
        <w:t>the officer’s</w:t>
      </w:r>
      <w:r w:rsidRPr="007436D0" w:rsidR="006A15AA">
        <w:t xml:space="preserve"> </w:t>
      </w:r>
      <w:r w:rsidRPr="007436D0" w:rsidR="00462775">
        <w:t>confidential</w:t>
      </w:r>
      <w:r w:rsidRPr="007436D0" w:rsidR="006A15AA">
        <w:t xml:space="preserve"> file.  But if that is correct, then a </w:t>
      </w:r>
      <w:r w:rsidRPr="007436D0" w:rsidR="006A15AA">
        <w:rPr>
          <w:i/>
        </w:rPr>
        <w:t>Brady</w:t>
      </w:r>
      <w:r w:rsidRPr="007436D0" w:rsidR="006A15AA">
        <w:t xml:space="preserve"> list may be created based on </w:t>
      </w:r>
      <w:r w:rsidRPr="007436D0" w:rsidR="00531356">
        <w:t>almost</w:t>
      </w:r>
      <w:r w:rsidR="007021B6">
        <w:t xml:space="preserve"> </w:t>
      </w:r>
      <w:r w:rsidRPr="007436D0" w:rsidR="006A15AA">
        <w:t xml:space="preserve">entirely confidential information, plus one officer whose misconduct is </w:t>
      </w:r>
      <w:r w:rsidRPr="007436D0" w:rsidR="00C97ADE">
        <w:t>not confidential</w:t>
      </w:r>
      <w:r w:rsidRPr="007436D0" w:rsidR="006A15AA">
        <w:t>.  We doubt the Legislature intended that result.</w:t>
      </w:r>
      <w:r w:rsidRPr="007436D0" w:rsidR="00212BF6">
        <w:t xml:space="preserve">  </w:t>
      </w:r>
      <w:r w:rsidRPr="007436D0" w:rsidR="00486B74">
        <w:t xml:space="preserve">Alternatively, </w:t>
      </w:r>
      <w:r w:rsidRPr="007436D0" w:rsidR="00531356">
        <w:t xml:space="preserve">it might be necessary to determine whether there is a sufficient mix of confidential and nonconfidential information </w:t>
      </w:r>
      <w:r w:rsidRPr="007436D0" w:rsidR="0097118F">
        <w:t xml:space="preserve">such </w:t>
      </w:r>
      <w:r w:rsidRPr="007436D0" w:rsidR="00531356">
        <w:t xml:space="preserve">that it is genuinely unclear on what basis an officer was included on the </w:t>
      </w:r>
      <w:r w:rsidRPr="007436D0" w:rsidR="00531356">
        <w:rPr>
          <w:i/>
        </w:rPr>
        <w:t>Brady</w:t>
      </w:r>
      <w:r w:rsidRPr="007436D0" w:rsidR="00531356">
        <w:t xml:space="preserve"> list.  But that line seems </w:t>
      </w:r>
      <w:r w:rsidR="000743AE">
        <w:t>challenging</w:t>
      </w:r>
      <w:r w:rsidRPr="007436D0" w:rsidR="0097118F">
        <w:t xml:space="preserve"> to administer</w:t>
      </w:r>
      <w:r w:rsidRPr="007436D0" w:rsidR="001C3A1F">
        <w:t xml:space="preserve"> — </w:t>
      </w:r>
      <w:r w:rsidRPr="007436D0" w:rsidR="000A01A4">
        <w:t xml:space="preserve">and, again, unmoored from the statutory text, which concerns “information obtained from” </w:t>
      </w:r>
      <w:r w:rsidRPr="007436D0" w:rsidR="0097118F">
        <w:t xml:space="preserve">confidential </w:t>
      </w:r>
      <w:r w:rsidRPr="007436D0" w:rsidR="000A01A4">
        <w:t>records.</w:t>
      </w:r>
      <w:r w:rsidRPr="007436D0">
        <w:t xml:space="preserve">  </w:t>
      </w:r>
    </w:p>
    <w:p w:rsidR="0063550C" w:rsidRPr="007436D0" w:rsidP="007436D0">
      <w:pPr>
        <w:tabs>
          <w:tab w:val="left" w:pos="1440"/>
        </w:tabs>
        <w:ind w:firstLine="720"/>
      </w:pPr>
      <w:r w:rsidRPr="007436D0">
        <w:t xml:space="preserve"> Because we cannot say that the </w:t>
      </w:r>
      <w:r w:rsidRPr="007436D0">
        <w:rPr>
          <w:i/>
        </w:rPr>
        <w:t>Brady</w:t>
      </w:r>
      <w:r w:rsidRPr="007436D0">
        <w:t xml:space="preserve"> list </w:t>
      </w:r>
      <w:r w:rsidRPr="007436D0" w:rsidR="00D32417">
        <w:t xml:space="preserve">at issue </w:t>
      </w:r>
      <w:r w:rsidRPr="007436D0" w:rsidR="00F56196">
        <w:t xml:space="preserve">in this case </w:t>
      </w:r>
      <w:r w:rsidRPr="007436D0">
        <w:t xml:space="preserve">is entirely nonconfidential, and because partial nonconfidentiality </w:t>
      </w:r>
      <w:r w:rsidRPr="007436D0" w:rsidR="00927CE1">
        <w:t>would</w:t>
      </w:r>
      <w:r w:rsidRPr="007436D0">
        <w:t xml:space="preserve"> not strip the remainder of the list of its confidential status, we next consider whether the Department may disclose confidential information on </w:t>
      </w:r>
      <w:r w:rsidRPr="007436D0" w:rsidR="00D32417">
        <w:t>its</w:t>
      </w:r>
      <w:r w:rsidRPr="007436D0">
        <w:t xml:space="preserve"> </w:t>
      </w:r>
      <w:r w:rsidRPr="007436D0">
        <w:rPr>
          <w:i/>
        </w:rPr>
        <w:t>Brady</w:t>
      </w:r>
      <w:r w:rsidRPr="007436D0">
        <w:t xml:space="preserve"> list to prosecutors.</w:t>
      </w:r>
      <w:r w:rsidRPr="007436D0" w:rsidR="00E94945">
        <w:t xml:space="preserve"> </w:t>
      </w:r>
      <w:r w:rsidRPr="007436D0" w:rsidR="002D201A">
        <w:t xml:space="preserve">  </w:t>
      </w:r>
      <w:r w:rsidRPr="007436D0" w:rsidR="005C666E">
        <w:t xml:space="preserve">  </w:t>
      </w:r>
      <w:r w:rsidRPr="007436D0" w:rsidR="00E00159">
        <w:t xml:space="preserve">  </w:t>
      </w:r>
      <w:r w:rsidRPr="007436D0" w:rsidR="00E94945">
        <w:t xml:space="preserve"> </w:t>
      </w:r>
      <w:r w:rsidRPr="007436D0" w:rsidR="00D71596">
        <w:t xml:space="preserve">  </w:t>
      </w:r>
    </w:p>
    <w:p w:rsidR="00741715" w:rsidP="00741715">
      <w:pPr>
        <w:pStyle w:val="Heading2"/>
        <w:numPr>
          <w:ilvl w:val="0"/>
          <w:numId w:val="1"/>
        </w:numPr>
      </w:pPr>
      <w:r w:rsidRPr="007B6A0B">
        <w:t xml:space="preserve">The Department </w:t>
      </w:r>
      <w:r w:rsidRPr="007B6A0B" w:rsidR="00A876D0">
        <w:t xml:space="preserve">May Share </w:t>
      </w:r>
      <w:r w:rsidRPr="007B6A0B" w:rsidR="007B6A0B">
        <w:t xml:space="preserve">Even </w:t>
      </w:r>
      <w:r w:rsidRPr="007B6A0B">
        <w:t xml:space="preserve">Confidential </w:t>
      </w:r>
      <w:r w:rsidRPr="007B6A0B" w:rsidR="00A97D37">
        <w:t xml:space="preserve">Portions of </w:t>
      </w:r>
      <w:r w:rsidR="007021B6">
        <w:t>I</w:t>
      </w:r>
      <w:r w:rsidR="007B6A0B">
        <w:t>ts</w:t>
      </w:r>
      <w:r w:rsidRPr="007B6A0B" w:rsidR="00A97D37">
        <w:t xml:space="preserve"> </w:t>
      </w:r>
      <w:r w:rsidRPr="007B6A0B" w:rsidR="00A97D37">
        <w:rPr>
          <w:i/>
        </w:rPr>
        <w:t>Brady</w:t>
      </w:r>
      <w:r w:rsidRPr="007B6A0B" w:rsidR="00A97D37">
        <w:t xml:space="preserve"> List</w:t>
      </w:r>
      <w:r w:rsidRPr="007B6A0B">
        <w:t xml:space="preserve"> with </w:t>
      </w:r>
      <w:r w:rsidRPr="007B6A0B" w:rsidR="00987D2C">
        <w:t>Prosecutors</w:t>
      </w:r>
      <w:r w:rsidRPr="007B6A0B">
        <w:t xml:space="preserve"> </w:t>
      </w:r>
    </w:p>
    <w:p w:rsidR="00741715" w:rsidRPr="004B76B8" w:rsidP="00F978EF">
      <w:pPr>
        <w:ind w:firstLine="720"/>
      </w:pPr>
      <w:r>
        <w:t xml:space="preserve">Our conclusion that portions of the Department’s </w:t>
      </w:r>
      <w:r>
        <w:rPr>
          <w:i/>
        </w:rPr>
        <w:t>Brady</w:t>
      </w:r>
      <w:r>
        <w:t xml:space="preserve"> list may be confidential raises </w:t>
      </w:r>
      <w:r w:rsidR="00F978EF">
        <w:t xml:space="preserve">the further question whether sharing </w:t>
      </w:r>
      <w:r w:rsidR="00CA3E55">
        <w:t xml:space="preserve">alerts based on </w:t>
      </w:r>
      <w:r w:rsidR="00F978EF">
        <w:t xml:space="preserve">such information with prosecutors would be a violation of confidentiality.  We conclude </w:t>
      </w:r>
      <w:r w:rsidR="00B76F2E">
        <w:t xml:space="preserve">that </w:t>
      </w:r>
      <w:r w:rsidR="00F978EF">
        <w:t xml:space="preserve">the confidentiality created by the </w:t>
      </w:r>
      <w:r w:rsidRPr="00F978EF" w:rsidR="00F978EF">
        <w:rPr>
          <w:i/>
        </w:rPr>
        <w:t xml:space="preserve">Pitchess </w:t>
      </w:r>
      <w:r w:rsidR="00F978EF">
        <w:t xml:space="preserve">statutes </w:t>
      </w:r>
      <w:r w:rsidRPr="00F978EF" w:rsidR="00D00259">
        <w:t>does</w:t>
      </w:r>
      <w:r w:rsidRPr="004B76B8" w:rsidR="00D00259">
        <w:t xml:space="preserve"> not forbid the l</w:t>
      </w:r>
      <w:r w:rsidRPr="004B76B8" w:rsidR="00B76F2E">
        <w:t>imited disclosure to prosecutors at issue in this case</w:t>
      </w:r>
      <w:r w:rsidRPr="004B76B8" w:rsidR="00D00259">
        <w:t>.</w:t>
      </w:r>
    </w:p>
    <w:p w:rsidR="00BC1A17" w:rsidRPr="004B76B8" w:rsidP="00BC1A17">
      <w:pPr>
        <w:pStyle w:val="Heading3"/>
        <w:rPr>
          <w:i w:val="0"/>
        </w:rPr>
      </w:pPr>
      <w:r w:rsidRPr="004B76B8">
        <w:t>1.</w:t>
      </w:r>
      <w:r w:rsidRPr="004B76B8">
        <w:tab/>
      </w:r>
      <w:r w:rsidRPr="004B76B8" w:rsidR="007B6A0B">
        <w:t xml:space="preserve">Section 832.7(a) </w:t>
      </w:r>
      <w:r w:rsidRPr="004B76B8" w:rsidR="00741715">
        <w:t xml:space="preserve">permits the Department to share </w:t>
      </w:r>
      <w:r w:rsidRPr="004B76B8" w:rsidR="00741715">
        <w:rPr>
          <w:i w:val="0"/>
        </w:rPr>
        <w:t>Brady</w:t>
      </w:r>
      <w:r w:rsidRPr="004B76B8" w:rsidR="00741715">
        <w:t xml:space="preserve"> alerts with prosecutors</w:t>
      </w:r>
    </w:p>
    <w:p w:rsidR="00BC1A17" w:rsidP="00A876D0">
      <w:r w:rsidRPr="004B76B8">
        <w:tab/>
        <w:t>As noted, section 832.7(a) instructs that certain information is “confidential and shall not be disclosed in any criminal or civil proceeding except by discovery</w:t>
      </w:r>
      <w:r>
        <w:t xml:space="preserve"> pursuant to Sections 1043 and 1046 of the Evidence Code.”  We made clear in </w:t>
      </w:r>
      <w:r>
        <w:rPr>
          <w:i/>
        </w:rPr>
        <w:t>Copley</w:t>
      </w:r>
      <w:r>
        <w:t xml:space="preserve"> </w:t>
      </w:r>
      <w:r>
        <w:rPr>
          <w:i/>
        </w:rPr>
        <w:t>Press</w:t>
      </w:r>
      <w:r>
        <w:t xml:space="preserve"> that it is the condition of confidentiality that restricts information sharing</w:t>
      </w:r>
      <w:r w:rsidR="005E59B5">
        <w:t xml:space="preserve">, not the “shall not be disclosed” </w:t>
      </w:r>
      <w:r w:rsidR="00537471">
        <w:t>provision</w:t>
      </w:r>
      <w:r w:rsidR="005E59B5">
        <w:t xml:space="preserve">.  (See </w:t>
      </w:r>
      <w:r w:rsidR="005E59B5">
        <w:rPr>
          <w:i/>
        </w:rPr>
        <w:t>Copley Press</w:t>
      </w:r>
      <w:r w:rsidR="005E59B5">
        <w:t xml:space="preserve">, </w:t>
      </w:r>
      <w:r w:rsidR="005E59B5">
        <w:rPr>
          <w:i/>
        </w:rPr>
        <w:t>supra</w:t>
      </w:r>
      <w:r w:rsidR="005E59B5">
        <w:t xml:space="preserve">, </w:t>
      </w:r>
      <w:r w:rsidR="00F978EF">
        <w:t>39 Cal.4th at p. 1285</w:t>
      </w:r>
      <w:r w:rsidR="00C56E2C">
        <w:t xml:space="preserve">; see also </w:t>
      </w:r>
      <w:r w:rsidR="00C56E2C">
        <w:rPr>
          <w:i/>
        </w:rPr>
        <w:t>Johnson</w:t>
      </w:r>
      <w:r w:rsidR="00C56E2C">
        <w:t xml:space="preserve">, </w:t>
      </w:r>
      <w:r w:rsidR="00636355">
        <w:rPr>
          <w:i/>
        </w:rPr>
        <w:t>supra</w:t>
      </w:r>
      <w:r w:rsidR="00636355">
        <w:t xml:space="preserve">, 61 Cal.4th at pp. 713-714.)  </w:t>
      </w:r>
      <w:r w:rsidR="005E59B5">
        <w:t>Regardless, any limitation on “disclos</w:t>
      </w:r>
      <w:r w:rsidR="00910768">
        <w:t>[</w:t>
      </w:r>
      <w:r w:rsidR="005E59B5">
        <w:t>ure</w:t>
      </w:r>
      <w:r w:rsidR="00910768">
        <w:t>]</w:t>
      </w:r>
      <w:r w:rsidR="005E59B5">
        <w:t xml:space="preserve">” </w:t>
      </w:r>
      <w:r w:rsidR="006371A2">
        <w:t>raises</w:t>
      </w:r>
      <w:r w:rsidR="005E59B5">
        <w:t xml:space="preserve"> essentially the same question as </w:t>
      </w:r>
      <w:r w:rsidR="006371A2">
        <w:t>deeming information</w:t>
      </w:r>
      <w:r w:rsidR="009C0367">
        <w:t xml:space="preserve"> “confidential”</w:t>
      </w:r>
      <w:r w:rsidR="007021B6">
        <w:t xml:space="preserve"> (§ 832.7(a))</w:t>
      </w:r>
      <w:r w:rsidR="009C0367">
        <w:t>:  With whom</w:t>
      </w:r>
      <w:r w:rsidR="003329B2">
        <w:t>, if anyone,</w:t>
      </w:r>
      <w:r w:rsidR="009C0367">
        <w:t xml:space="preserve"> </w:t>
      </w:r>
      <w:r w:rsidR="00550757">
        <w:t>may</w:t>
      </w:r>
      <w:r w:rsidR="009C0367">
        <w:t xml:space="preserve"> </w:t>
      </w:r>
      <w:r w:rsidR="00872C9E">
        <w:t xml:space="preserve">the Department share </w:t>
      </w:r>
      <w:r w:rsidR="00F978EF">
        <w:t xml:space="preserve">confidential </w:t>
      </w:r>
      <w:r w:rsidR="00872C9E">
        <w:t>information</w:t>
      </w:r>
      <w:r w:rsidR="006852BB">
        <w:t>?</w:t>
      </w:r>
      <w:r w:rsidR="00F32BE5">
        <w:t xml:space="preserve">  </w:t>
      </w:r>
    </w:p>
    <w:p w:rsidR="00B41DE6" w:rsidP="00001B53">
      <w:pPr>
        <w:ind w:firstLine="720"/>
      </w:pPr>
      <w:r>
        <w:t xml:space="preserve">The statutory text alone provides no clear answer to this question.  “In common usage, confidentiality is not limited to complete anonymity or secrecy.  A statement can be made ‘in confidence’ even if the speaker knows </w:t>
      </w:r>
      <w:r w:rsidRPr="007436D0">
        <w:t>the communication will be shared with limited others, as long as the speaker expects that the information will not be published indiscriminately</w:t>
      </w:r>
      <w:r>
        <w:t>.”  (</w:t>
      </w:r>
      <w:r>
        <w:rPr>
          <w:i/>
        </w:rPr>
        <w:t>Department of Justice v. Landano</w:t>
      </w:r>
      <w:r>
        <w:t xml:space="preserve"> (1993) 508</w:t>
      </w:r>
      <w:r w:rsidR="00BF2292">
        <w:t> </w:t>
      </w:r>
      <w:r>
        <w:t>U.S. 165, 173</w:t>
      </w:r>
      <w:r w:rsidR="00D02B4D">
        <w:t xml:space="preserve">; </w:t>
      </w:r>
      <w:r w:rsidR="003A47B0">
        <w:t>see</w:t>
      </w:r>
      <w:r w:rsidR="00186B2D">
        <w:t xml:space="preserve"> also</w:t>
      </w:r>
      <w:r w:rsidR="003A47B0">
        <w:t xml:space="preserve"> </w:t>
      </w:r>
      <w:r w:rsidR="00D02B4D">
        <w:rPr>
          <w:i/>
        </w:rPr>
        <w:t>Food Marketing Institute v. Argus Leader Media</w:t>
      </w:r>
      <w:r w:rsidR="00D02B4D">
        <w:t xml:space="preserve"> (2019) </w:t>
      </w:r>
      <w:r w:rsidR="007021B6">
        <w:t xml:space="preserve">588 U.S. ___ [2019 WL 2570624] </w:t>
      </w:r>
      <w:r w:rsidR="00D02B4D">
        <w:t>[</w:t>
      </w:r>
      <w:r w:rsidR="00186B2D">
        <w:t>part III.A]</w:t>
      </w:r>
      <w:r w:rsidR="00BD3A9C">
        <w:t>.)</w:t>
      </w:r>
      <w:r w:rsidR="006061C3">
        <w:t xml:space="preserve">  So, for example, it is hard to </w:t>
      </w:r>
      <w:r w:rsidR="00930837">
        <w:t xml:space="preserve">imagine that the term “confidential” would </w:t>
      </w:r>
      <w:r w:rsidR="00EB069C">
        <w:t xml:space="preserve">categorically </w:t>
      </w:r>
      <w:r w:rsidR="00930837">
        <w:t xml:space="preserve">forbid one employee of a custodian of records, tasked with maintaining personnel files, from </w:t>
      </w:r>
      <w:r w:rsidR="00091334">
        <w:t xml:space="preserve">sharing those records with another </w:t>
      </w:r>
      <w:r w:rsidR="00EB069C">
        <w:t xml:space="preserve">employee assigned to the same task.  </w:t>
      </w:r>
      <w:r w:rsidR="0034305B">
        <w:t>Put differently, d</w:t>
      </w:r>
      <w:r>
        <w:t>eeming information “confidential” creates insiders (with whom information may be shared) and outsiders (with whom sharing information might be an impermissible disclosure).</w:t>
      </w:r>
      <w:r w:rsidR="00EB069C">
        <w:t xml:space="preserve">  </w:t>
      </w:r>
      <w:r w:rsidR="00025078">
        <w:t>Th</w:t>
      </w:r>
      <w:r w:rsidR="00163877">
        <w:t xml:space="preserve">e </w:t>
      </w:r>
      <w:r w:rsidR="0076480B">
        <w:t xml:space="preserve">text of the </w:t>
      </w:r>
      <w:r w:rsidRPr="0076480B" w:rsidR="0076480B">
        <w:rPr>
          <w:i/>
        </w:rPr>
        <w:t xml:space="preserve">Pitchess </w:t>
      </w:r>
      <w:r w:rsidR="0076480B">
        <w:t xml:space="preserve">statutes </w:t>
      </w:r>
      <w:r w:rsidRPr="0076480B" w:rsidR="00163877">
        <w:t>does</w:t>
      </w:r>
      <w:r w:rsidR="00163877">
        <w:t xml:space="preserve"> not </w:t>
      </w:r>
      <w:r w:rsidR="00442EDB">
        <w:t xml:space="preserve">clearly indicate that </w:t>
      </w:r>
      <w:r w:rsidR="00DB5466">
        <w:t>prosecutors are outsiders</w:t>
      </w:r>
      <w:r w:rsidR="0076480B">
        <w:t>,</w:t>
      </w:r>
      <w:r w:rsidR="00DB5466">
        <w:t xml:space="preserve"> forbidden from receiving</w:t>
      </w:r>
      <w:r w:rsidR="00685488">
        <w:t xml:space="preserve"> confidential</w:t>
      </w:r>
      <w:r w:rsidR="00DB5466">
        <w:t xml:space="preserve"> </w:t>
      </w:r>
      <w:r w:rsidR="00DB5466">
        <w:rPr>
          <w:i/>
        </w:rPr>
        <w:t>Brady</w:t>
      </w:r>
      <w:r w:rsidR="00DB5466">
        <w:t xml:space="preserve"> alerts</w:t>
      </w:r>
      <w:r w:rsidR="00685488">
        <w:t>.</w:t>
      </w:r>
      <w:r>
        <w:rPr>
          <w:rStyle w:val="FootnoteReference"/>
        </w:rPr>
        <w:footnoteReference w:id="7"/>
      </w:r>
      <w:r w:rsidR="00D34E3F">
        <w:t xml:space="preserve">  </w:t>
      </w:r>
    </w:p>
    <w:p w:rsidR="003F453D" w:rsidP="003F453D">
      <w:pPr>
        <w:ind w:firstLine="720"/>
      </w:pPr>
      <w:r>
        <w:t>V</w:t>
      </w:r>
      <w:r w:rsidR="00685488">
        <w:t xml:space="preserve">iewing the </w:t>
      </w:r>
      <w:r w:rsidR="00685488">
        <w:rPr>
          <w:i/>
        </w:rPr>
        <w:t>Pitchess</w:t>
      </w:r>
      <w:r w:rsidR="00685488">
        <w:t xml:space="preserve"> statutes “against the larger background of the prosecution’s </w:t>
      </w:r>
      <w:r w:rsidR="007021B6">
        <w:t>[</w:t>
      </w:r>
      <w:r w:rsidR="00685488">
        <w:rPr>
          <w:i/>
        </w:rPr>
        <w:t>Brady</w:t>
      </w:r>
      <w:r w:rsidR="007021B6">
        <w:t>]</w:t>
      </w:r>
      <w:r w:rsidR="00685488">
        <w:t xml:space="preserve"> obligation” </w:t>
      </w:r>
      <w:r w:rsidRPr="007436D0" w:rsidR="00685488">
        <w:t>(</w:t>
      </w:r>
      <w:r w:rsidRPr="007436D0" w:rsidR="00685488">
        <w:rPr>
          <w:i/>
        </w:rPr>
        <w:t>Mooc</w:t>
      </w:r>
      <w:r w:rsidRPr="007436D0" w:rsidR="00685488">
        <w:t xml:space="preserve">, </w:t>
      </w:r>
      <w:r w:rsidRPr="007436D0" w:rsidR="00685488">
        <w:rPr>
          <w:i/>
        </w:rPr>
        <w:t>supra</w:t>
      </w:r>
      <w:r w:rsidRPr="007436D0" w:rsidR="00685488">
        <w:t>, 26 Cal.4th at p.</w:t>
      </w:r>
      <w:r w:rsidR="00685488">
        <w:t xml:space="preserve"> 1225), we </w:t>
      </w:r>
      <w:r>
        <w:t xml:space="preserve">instead </w:t>
      </w:r>
      <w:r w:rsidR="00685488">
        <w:t xml:space="preserve">conclude that the Department may provide prosecutors with the </w:t>
      </w:r>
      <w:r w:rsidR="00685488">
        <w:rPr>
          <w:i/>
        </w:rPr>
        <w:t>Brady</w:t>
      </w:r>
      <w:r w:rsidR="00685488">
        <w:t xml:space="preserve"> alerts at issue </w:t>
      </w:r>
      <w:r w:rsidR="00D84173">
        <w:t>here</w:t>
      </w:r>
      <w:r w:rsidR="00685488">
        <w:t xml:space="preserve"> without violating confidentiality.</w:t>
      </w:r>
      <w:r>
        <w:t xml:space="preserve">  </w:t>
      </w:r>
    </w:p>
    <w:p w:rsidR="003F453D" w:rsidP="003F453D">
      <w:pPr>
        <w:tabs>
          <w:tab w:val="left" w:pos="1440"/>
        </w:tabs>
        <w:ind w:firstLine="720"/>
      </w:pPr>
      <w:r w:rsidRPr="007436D0">
        <w:t xml:space="preserve">There can be no serious doubt that confidential personnel records may contain </w:t>
      </w:r>
      <w:r w:rsidRPr="007436D0">
        <w:rPr>
          <w:i/>
        </w:rPr>
        <w:t xml:space="preserve">Brady </w:t>
      </w:r>
      <w:r w:rsidRPr="007436D0">
        <w:t xml:space="preserve">material.  An officer may provide important testimony in a criminal prosecution.  Confidential personnel records may cast doubt on that officer’s veracity.  Such records can constitute material impeachment evidence.  (See, e.g., </w:t>
      </w:r>
      <w:r w:rsidRPr="007436D0">
        <w:rPr>
          <w:i/>
        </w:rPr>
        <w:t>Giglio</w:t>
      </w:r>
      <w:r w:rsidRPr="007436D0">
        <w:t xml:space="preserve">¸ </w:t>
      </w:r>
      <w:r w:rsidRPr="007436D0">
        <w:rPr>
          <w:i/>
        </w:rPr>
        <w:t>supra</w:t>
      </w:r>
      <w:r w:rsidRPr="007436D0">
        <w:t>, 407 U.S. at pp. 154-155.)</w:t>
      </w:r>
      <w:r w:rsidR="00266CD4">
        <w:t xml:space="preserve">  These are not close questions.  </w:t>
      </w:r>
      <w:r>
        <w:t xml:space="preserve"> </w:t>
      </w:r>
    </w:p>
    <w:p w:rsidR="006C3BEE" w:rsidP="00E77C74">
      <w:pPr>
        <w:ind w:firstLine="720"/>
      </w:pPr>
      <w:r>
        <w:t xml:space="preserve">Because confidential records may contain </w:t>
      </w:r>
      <w:r>
        <w:rPr>
          <w:i/>
        </w:rPr>
        <w:t>Brady</w:t>
      </w:r>
      <w:r>
        <w:t xml:space="preserve"> material, construing the </w:t>
      </w:r>
      <w:r>
        <w:rPr>
          <w:i/>
        </w:rPr>
        <w:t>Pitchess</w:t>
      </w:r>
      <w:r>
        <w:t xml:space="preserve"> statutes to permit </w:t>
      </w:r>
      <w:r>
        <w:rPr>
          <w:i/>
        </w:rPr>
        <w:t>Brady</w:t>
      </w:r>
      <w:r>
        <w:t xml:space="preserve"> alerts best </w:t>
      </w:r>
      <w:r w:rsidR="00CE7A29">
        <w:t>“</w:t>
      </w:r>
      <w:r>
        <w:t>harmonize</w:t>
      </w:r>
      <w:r w:rsidR="00CE7A29">
        <w:t>[s]”</w:t>
      </w:r>
      <w:r>
        <w:t xml:space="preserve"> </w:t>
      </w:r>
      <w:r>
        <w:rPr>
          <w:i/>
        </w:rPr>
        <w:t>Brady</w:t>
      </w:r>
      <w:r>
        <w:t xml:space="preserve"> and </w:t>
      </w:r>
      <w:r>
        <w:rPr>
          <w:i/>
        </w:rPr>
        <w:t>Pitchess</w:t>
      </w:r>
      <w:r>
        <w:t>.</w:t>
      </w:r>
      <w:r w:rsidR="00CE7A29">
        <w:t xml:space="preserve">  </w:t>
      </w:r>
      <w:r w:rsidRPr="007436D0" w:rsidR="00CE7A29">
        <w:t>(</w:t>
      </w:r>
      <w:r w:rsidR="007021B6">
        <w:rPr>
          <w:i/>
        </w:rPr>
        <w:t>Deputy Sheriffs</w:t>
      </w:r>
      <w:r w:rsidRPr="007436D0" w:rsidR="00CE7A29">
        <w:t xml:space="preserve">, </w:t>
      </w:r>
      <w:r w:rsidRPr="007436D0" w:rsidR="00CE7A29">
        <w:rPr>
          <w:i/>
        </w:rPr>
        <w:t>supra</w:t>
      </w:r>
      <w:r w:rsidRPr="007436D0" w:rsidR="00CE7A29">
        <w:t>, 13</w:t>
      </w:r>
      <w:r w:rsidR="00CE7A29">
        <w:t> </w:t>
      </w:r>
      <w:r w:rsidRPr="007436D0" w:rsidR="00CE7A29">
        <w:t>Cal.App.5th at p. 4</w:t>
      </w:r>
      <w:r w:rsidR="00CB7794">
        <w:t>50</w:t>
      </w:r>
      <w:r w:rsidRPr="007436D0" w:rsidR="00CE7A29">
        <w:t xml:space="preserve"> (conc. &amp; dis. opn. of Grimes, J.).)</w:t>
      </w:r>
      <w:r w:rsidR="008E3E16">
        <w:t xml:space="preserve">  </w:t>
      </w:r>
      <w:r w:rsidR="008E3E16">
        <w:rPr>
          <w:i/>
        </w:rPr>
        <w:t>Brady</w:t>
      </w:r>
      <w:r w:rsidR="008E3E16">
        <w:t xml:space="preserve"> imposes on prosecutors “a duty to learn of any favorable evidence known to the others acting on the government’s behalf in [a] case, including the police.”  (</w:t>
      </w:r>
      <w:r w:rsidR="008E3E16">
        <w:rPr>
          <w:i/>
        </w:rPr>
        <w:t>Kyles</w:t>
      </w:r>
      <w:r w:rsidR="008E3E16">
        <w:t xml:space="preserve">, </w:t>
      </w:r>
      <w:r w:rsidR="008E3E16">
        <w:rPr>
          <w:i/>
        </w:rPr>
        <w:t>supra</w:t>
      </w:r>
      <w:r w:rsidR="008E3E16">
        <w:t>, 514 U.S. at p</w:t>
      </w:r>
      <w:r w:rsidR="00616A31">
        <w:t>. </w:t>
      </w:r>
      <w:r w:rsidR="008E3E16">
        <w:t xml:space="preserve">437.)  </w:t>
      </w:r>
      <w:r w:rsidR="00793297">
        <w:t>Prosecutors are</w:t>
      </w:r>
      <w:r w:rsidR="0076480B">
        <w:t xml:space="preserve"> deemed constructively aware of</w:t>
      </w:r>
      <w:r w:rsidR="00793297">
        <w:t xml:space="preserve"> </w:t>
      </w:r>
      <w:r w:rsidR="00793297">
        <w:rPr>
          <w:i/>
        </w:rPr>
        <w:t>Brady</w:t>
      </w:r>
      <w:r w:rsidR="00793297">
        <w:t xml:space="preserve"> material known to anyone on the prosecution team</w:t>
      </w:r>
      <w:r w:rsidR="0076480B">
        <w:t xml:space="preserve"> and must share that information with the defense.  (See </w:t>
      </w:r>
      <w:r w:rsidR="0076480B">
        <w:rPr>
          <w:i/>
        </w:rPr>
        <w:t>In re Brown</w:t>
      </w:r>
      <w:r w:rsidR="0076480B">
        <w:t xml:space="preserve"> (1998) 17 Cal</w:t>
      </w:r>
      <w:r w:rsidR="00332C65">
        <w:t xml:space="preserve">.4th 873, 879.)  </w:t>
      </w:r>
      <w:r>
        <w:t xml:space="preserve">In this context, construing the </w:t>
      </w:r>
      <w:r w:rsidRPr="00FA21AF">
        <w:rPr>
          <w:i/>
        </w:rPr>
        <w:t>Pitchess</w:t>
      </w:r>
      <w:r>
        <w:t xml:space="preserve"> statutes to cut off the flow of information from law enforcement personnel to prosecutors would be anathema to </w:t>
      </w:r>
      <w:r>
        <w:rPr>
          <w:i/>
        </w:rPr>
        <w:t>Brady</w:t>
      </w:r>
      <w:r>
        <w:t xml:space="preserve"> compliance. </w:t>
      </w:r>
    </w:p>
    <w:p w:rsidR="00EF36BD" w:rsidP="00E4323A">
      <w:pPr>
        <w:ind w:firstLine="720"/>
      </w:pPr>
      <w:r>
        <w:t xml:space="preserve">Indeed, </w:t>
      </w:r>
      <w:r w:rsidR="009300A2">
        <w:t xml:space="preserve">to interpret “confidential” as </w:t>
      </w:r>
      <w:r w:rsidR="00BB5C2E">
        <w:t>forbidding</w:t>
      </w:r>
      <w:r w:rsidR="009300A2">
        <w:t xml:space="preserve"> the sharing of information with prosecutors would do more than </w:t>
      </w:r>
      <w:r w:rsidR="00BB5C2E">
        <w:t>forbid</w:t>
      </w:r>
      <w:r w:rsidR="009300A2">
        <w:t xml:space="preserve"> the formal </w:t>
      </w:r>
      <w:r w:rsidR="009300A2">
        <w:rPr>
          <w:i/>
        </w:rPr>
        <w:t>Brady</w:t>
      </w:r>
      <w:r w:rsidR="00257AD8">
        <w:rPr>
          <w:i/>
        </w:rPr>
        <w:t>-</w:t>
      </w:r>
      <w:r w:rsidR="009300A2">
        <w:t>list-and-alert practice at issue here.</w:t>
      </w:r>
      <w:r w:rsidR="00D412C9">
        <w:t xml:space="preserve">  </w:t>
      </w:r>
      <w:r w:rsidR="00A846F9">
        <w:t>E</w:t>
      </w:r>
      <w:r w:rsidR="00D412C9">
        <w:t xml:space="preserve">ven without </w:t>
      </w:r>
      <w:r w:rsidR="00134214">
        <w:t>formal procedures</w:t>
      </w:r>
      <w:r w:rsidR="00D412C9">
        <w:t xml:space="preserve">, </w:t>
      </w:r>
      <w:r w:rsidR="002B7C20">
        <w:t xml:space="preserve">conscientious </w:t>
      </w:r>
      <w:r w:rsidR="00D412C9">
        <w:t xml:space="preserve">prosecutors </w:t>
      </w:r>
      <w:r w:rsidR="00064D8D">
        <w:t xml:space="preserve">have conferred with law enforcement agencies </w:t>
      </w:r>
      <w:r w:rsidR="00D6471E">
        <w:t xml:space="preserve">to </w:t>
      </w:r>
      <w:r w:rsidR="00783D2B">
        <w:t>identify</w:t>
      </w:r>
      <w:r w:rsidR="00612238">
        <w:t xml:space="preserve"> confidential files </w:t>
      </w:r>
      <w:r w:rsidR="00783D2B">
        <w:t xml:space="preserve">that </w:t>
      </w:r>
      <w:r w:rsidR="00612238">
        <w:t xml:space="preserve">may contain </w:t>
      </w:r>
      <w:r w:rsidR="00986665">
        <w:t xml:space="preserve">impeachment </w:t>
      </w:r>
      <w:r w:rsidR="00612238">
        <w:t>material</w:t>
      </w:r>
      <w:r w:rsidR="00986665">
        <w:t>.  (</w:t>
      </w:r>
      <w:r w:rsidR="00571461">
        <w:t xml:space="preserve">See, e.g., </w:t>
      </w:r>
      <w:r w:rsidR="00571461">
        <w:rPr>
          <w:i/>
        </w:rPr>
        <w:t>Johnson</w:t>
      </w:r>
      <w:r w:rsidR="00571461">
        <w:t xml:space="preserve">, </w:t>
      </w:r>
      <w:r w:rsidR="00571461">
        <w:rPr>
          <w:i/>
        </w:rPr>
        <w:t>supra</w:t>
      </w:r>
      <w:r w:rsidR="00571461">
        <w:t>, 61 Cal.4th at p.</w:t>
      </w:r>
      <w:r w:rsidR="002B7C20">
        <w:t> </w:t>
      </w:r>
      <w:r w:rsidR="00571461">
        <w:t xml:space="preserve">707 [agency created </w:t>
      </w:r>
      <w:r w:rsidR="00571461">
        <w:rPr>
          <w:i/>
        </w:rPr>
        <w:t>Brady</w:t>
      </w:r>
      <w:r w:rsidR="00571461">
        <w:t xml:space="preserve"> list </w:t>
      </w:r>
      <w:r w:rsidR="00986665">
        <w:t>in the face of</w:t>
      </w:r>
      <w:r w:rsidR="00571461">
        <w:t xml:space="preserve"> “ ‘unnecessary paperwork and personnel costs’ ” caused by “ ‘[r]epetitive requests by the District Attorney that the [Police] Department check employee personnel files of Department employees who may be witnesses”].)</w:t>
      </w:r>
      <w:r w:rsidR="00B070B6">
        <w:t xml:space="preserve">  If “confidential” prevents </w:t>
      </w:r>
      <w:r w:rsidR="00142F19">
        <w:t xml:space="preserve">formal procedures for </w:t>
      </w:r>
      <w:r w:rsidR="00B070B6">
        <w:t>sharing information with prosecutors, it prevents informal tips a</w:t>
      </w:r>
      <w:r w:rsidR="00FC2A43">
        <w:t>s</w:t>
      </w:r>
      <w:r w:rsidR="00B070B6">
        <w:t xml:space="preserve"> well.   </w:t>
      </w:r>
      <w:r w:rsidR="00DA7928">
        <w:t xml:space="preserve"> </w:t>
      </w:r>
      <w:r w:rsidR="00D75E48">
        <w:t xml:space="preserve">  </w:t>
      </w:r>
      <w:r w:rsidR="00571461">
        <w:t xml:space="preserve">    </w:t>
      </w:r>
    </w:p>
    <w:p w:rsidR="00C07428" w:rsidP="000131E1">
      <w:pPr>
        <w:ind w:firstLine="720"/>
      </w:pPr>
      <w:r>
        <w:t xml:space="preserve">Of course, no one suggests that the </w:t>
      </w:r>
      <w:r>
        <w:rPr>
          <w:i/>
        </w:rPr>
        <w:t>Pitchess</w:t>
      </w:r>
      <w:r>
        <w:t xml:space="preserve"> statutes completely prevent prosecutors from accessing confidential personnel records.  Section 832.7(a) </w:t>
      </w:r>
      <w:r w:rsidR="00B77ADE">
        <w:t>includes an exception</w:t>
      </w:r>
      <w:r>
        <w:t xml:space="preserve"> for “investigations . . . concerning the conduct of peace officers or custodial officers . . . conducted by . . . a district attorney’s office, or the Attorney General’s office.”  And prosecutors may file </w:t>
      </w:r>
      <w:r>
        <w:rPr>
          <w:i/>
        </w:rPr>
        <w:t>Pitchess</w:t>
      </w:r>
      <w:r>
        <w:t xml:space="preserve"> motions as appropriate</w:t>
      </w:r>
      <w:r w:rsidR="00B77ADE">
        <w:t xml:space="preserve">.  </w:t>
      </w:r>
      <w:r>
        <w:t xml:space="preserve">But the “investigations” </w:t>
      </w:r>
      <w:r w:rsidR="00072C5C">
        <w:t xml:space="preserve">exception </w:t>
      </w:r>
      <w:r>
        <w:t>(</w:t>
      </w:r>
      <w:r w:rsidR="00072C5C">
        <w:t xml:space="preserve">§ 832.7(a)) does not apply merely because </w:t>
      </w:r>
      <w:r w:rsidR="00D66A59">
        <w:t xml:space="preserve">“[a] police officer” is </w:t>
      </w:r>
      <w:r w:rsidR="0095208B">
        <w:t>“a witness in a criminal case” (</w:t>
      </w:r>
      <w:r w:rsidR="0095208B">
        <w:rPr>
          <w:i/>
        </w:rPr>
        <w:t>Johnson</w:t>
      </w:r>
      <w:r w:rsidR="0095208B">
        <w:t xml:space="preserve">, </w:t>
      </w:r>
      <w:r w:rsidR="0095208B">
        <w:rPr>
          <w:i/>
        </w:rPr>
        <w:t>supra</w:t>
      </w:r>
      <w:r w:rsidR="0095208B">
        <w:t>, 61</w:t>
      </w:r>
      <w:r w:rsidR="00BF2292">
        <w:t> </w:t>
      </w:r>
      <w:r w:rsidR="0095208B">
        <w:t>Cal.4th at p.</w:t>
      </w:r>
      <w:r w:rsidR="00BD4438">
        <w:t> 714).  A</w:t>
      </w:r>
      <w:r>
        <w:t xml:space="preserve">nd although </w:t>
      </w:r>
      <w:r w:rsidRPr="00556178">
        <w:t xml:space="preserve">the </w:t>
      </w:r>
      <w:r w:rsidRPr="00556178" w:rsidR="00A22C13">
        <w:t xml:space="preserve">showing </w:t>
      </w:r>
      <w:r w:rsidRPr="00556178" w:rsidR="00D84173">
        <w:t>required</w:t>
      </w:r>
      <w:r w:rsidRPr="00556178" w:rsidR="00A22C13">
        <w:t xml:space="preserve"> for a </w:t>
      </w:r>
      <w:r w:rsidRPr="00556178" w:rsidR="00A22C13">
        <w:rPr>
          <w:i/>
        </w:rPr>
        <w:t>Pitchess</w:t>
      </w:r>
      <w:r w:rsidRPr="00556178" w:rsidR="00A22C13">
        <w:t xml:space="preserve"> motion to trigger in camera review “is not high”</w:t>
      </w:r>
      <w:r w:rsidRPr="00556178" w:rsidR="00BD4438">
        <w:t xml:space="preserve"> (</w:t>
      </w:r>
      <w:r w:rsidRPr="00556178" w:rsidR="00BD4438">
        <w:rPr>
          <w:i/>
        </w:rPr>
        <w:t>Johnson</w:t>
      </w:r>
      <w:r w:rsidRPr="00556178" w:rsidR="00BD4438">
        <w:t xml:space="preserve">, at p. </w:t>
      </w:r>
      <w:r w:rsidRPr="00556178" w:rsidR="00556178">
        <w:t xml:space="preserve">720), </w:t>
      </w:r>
      <w:r w:rsidRPr="00556178" w:rsidR="00A22C13">
        <w:t xml:space="preserve">neither is </w:t>
      </w:r>
      <w:r w:rsidR="0053782F">
        <w:t xml:space="preserve">it </w:t>
      </w:r>
      <w:r w:rsidRPr="00556178" w:rsidR="00A22C13">
        <w:t>imaginary.</w:t>
      </w:r>
      <w:r w:rsidR="000131E1">
        <w:t xml:space="preserve">  Without </w:t>
      </w:r>
      <w:r w:rsidR="000131E1">
        <w:rPr>
          <w:i/>
        </w:rPr>
        <w:t>Brady</w:t>
      </w:r>
      <w:r w:rsidR="000131E1">
        <w:t xml:space="preserve"> alerts, prosecutors may be unaware that a </w:t>
      </w:r>
      <w:r w:rsidR="000131E1">
        <w:rPr>
          <w:i/>
        </w:rPr>
        <w:t>Pitchess</w:t>
      </w:r>
      <w:r w:rsidR="000131E1">
        <w:t xml:space="preserve"> motion should be filed — and such a motion, if filed, may not succeed.  </w:t>
      </w:r>
      <w:r w:rsidR="00A22C13">
        <w:t xml:space="preserve">Thus, interpreting the </w:t>
      </w:r>
      <w:r w:rsidR="00A22C13">
        <w:rPr>
          <w:i/>
        </w:rPr>
        <w:t>Pitchess</w:t>
      </w:r>
      <w:r w:rsidR="00A22C13">
        <w:t xml:space="preserve"> statutes to prohibit </w:t>
      </w:r>
      <w:r w:rsidR="00A22C13">
        <w:rPr>
          <w:i/>
        </w:rPr>
        <w:t>Brady</w:t>
      </w:r>
      <w:r w:rsidR="00A22C13">
        <w:t xml:space="preserve"> </w:t>
      </w:r>
      <w:r w:rsidR="00CB5D99">
        <w:t xml:space="preserve">alerts </w:t>
      </w:r>
      <w:r w:rsidR="00E74586">
        <w:t>would pose</w:t>
      </w:r>
      <w:r w:rsidR="00A22C13">
        <w:t xml:space="preserve"> a</w:t>
      </w:r>
      <w:r w:rsidR="00194808">
        <w:t xml:space="preserve"> substantial </w:t>
      </w:r>
      <w:r w:rsidR="00FD28DD">
        <w:t xml:space="preserve">threat to </w:t>
      </w:r>
      <w:r w:rsidR="00FD28DD">
        <w:rPr>
          <w:i/>
        </w:rPr>
        <w:t xml:space="preserve">Brady </w:t>
      </w:r>
      <w:r w:rsidR="00FD28DD">
        <w:t>compliance</w:t>
      </w:r>
      <w:r w:rsidR="00A22C13">
        <w:t>.</w:t>
      </w:r>
      <w:r>
        <w:t xml:space="preserve">  </w:t>
      </w:r>
    </w:p>
    <w:p w:rsidR="004C035A" w:rsidRPr="004C035A" w:rsidP="004C035A">
      <w:pPr>
        <w:ind w:firstLine="720"/>
      </w:pPr>
      <w:r>
        <w:t xml:space="preserve">It would also </w:t>
      </w:r>
      <w:r w:rsidRPr="004C035A">
        <w:t xml:space="preserve">put deputies in a precarious position.  The Fourteenth Amendment underlying </w:t>
      </w:r>
      <w:r w:rsidRPr="004C035A">
        <w:rPr>
          <w:i/>
        </w:rPr>
        <w:t>Brady</w:t>
      </w:r>
      <w:r w:rsidRPr="004C035A">
        <w:t xml:space="preserve"> imposes obligations on states and their agents</w:t>
      </w:r>
      <w:r w:rsidR="000A1F60">
        <w:t xml:space="preserve"> — </w:t>
      </w:r>
      <w:r w:rsidRPr="004C035A">
        <w:t xml:space="preserve">not just, derivatively, on prosecutors.  </w:t>
      </w:r>
      <w:r w:rsidRPr="00DC7D8F">
        <w:t xml:space="preserve">Law enforcement personnel are </w:t>
      </w:r>
      <w:r>
        <w:t xml:space="preserve">required </w:t>
      </w:r>
      <w:r w:rsidRPr="00DC7D8F">
        <w:t>to share</w:t>
      </w:r>
      <w:r w:rsidRPr="004C035A">
        <w:t xml:space="preserve"> </w:t>
      </w:r>
      <w:r w:rsidRPr="004C035A">
        <w:rPr>
          <w:i/>
        </w:rPr>
        <w:t>Brady</w:t>
      </w:r>
      <w:r w:rsidRPr="004C035A">
        <w:t xml:space="preserve"> material with the prosecution.  (See, e.g., </w:t>
      </w:r>
      <w:r w:rsidRPr="004C035A">
        <w:rPr>
          <w:i/>
        </w:rPr>
        <w:t>Carrillo v. County of Los Angeles</w:t>
      </w:r>
      <w:r w:rsidRPr="004C035A">
        <w:t xml:space="preserve"> (9th Cir. 2015) 798 F.3d 1210, 1219-1223 &amp; fn. 12.)  </w:t>
      </w:r>
      <w:r w:rsidRPr="004C035A">
        <w:t xml:space="preserve">The harder it is for prosecutors to access that material, the greater the need for </w:t>
      </w:r>
      <w:r w:rsidR="00E10940">
        <w:t>deputies</w:t>
      </w:r>
      <w:r w:rsidRPr="004C035A">
        <w:t xml:space="preserve"> to volunteer it.  </w:t>
      </w:r>
    </w:p>
    <w:p w:rsidR="00B96160" w:rsidP="00F46906">
      <w:pPr>
        <w:ind w:firstLine="720"/>
      </w:pPr>
      <w:r w:rsidRPr="004C035A">
        <w:t xml:space="preserve">The Association’s contrary </w:t>
      </w:r>
      <w:r w:rsidR="00EC4B2A">
        <w:t>view</w:t>
      </w:r>
      <w:r w:rsidRPr="004C035A">
        <w:t xml:space="preserve"> that “</w:t>
      </w:r>
      <w:r w:rsidRPr="004C035A">
        <w:rPr>
          <w:i/>
        </w:rPr>
        <w:t>Brady</w:t>
      </w:r>
      <w:r w:rsidRPr="004C035A">
        <w:t xml:space="preserve"> relates only to the prosecutor”</w:t>
      </w:r>
      <w:r w:rsidR="0002363A">
        <w:t xml:space="preserve"> and that “</w:t>
      </w:r>
      <w:r w:rsidR="0002363A">
        <w:rPr>
          <w:i/>
        </w:rPr>
        <w:t>Brady</w:t>
      </w:r>
      <w:r w:rsidR="0002363A">
        <w:t xml:space="preserve"> . . . does not impose obligations on law enforcement” </w:t>
      </w:r>
      <w:r w:rsidRPr="004C035A">
        <w:t xml:space="preserve">is distressing and wrong.  The prosecution may bear ultimate responsibility for ensuring that necessary disclosures are made </w:t>
      </w:r>
      <w:r w:rsidR="00EB5A7C">
        <w:t xml:space="preserve">to the defense </w:t>
      </w:r>
      <w:r w:rsidRPr="004C035A">
        <w:t xml:space="preserve">(see </w:t>
      </w:r>
      <w:r w:rsidRPr="004C035A">
        <w:rPr>
          <w:i/>
        </w:rPr>
        <w:t>In re Brown</w:t>
      </w:r>
      <w:r w:rsidRPr="004C035A">
        <w:t xml:space="preserve">, </w:t>
      </w:r>
      <w:r w:rsidRPr="004C035A">
        <w:rPr>
          <w:i/>
        </w:rPr>
        <w:t>supra</w:t>
      </w:r>
      <w:r w:rsidRPr="004C035A">
        <w:t xml:space="preserve">, 17 Cal.4th at p. 881), but </w:t>
      </w:r>
      <w:r w:rsidR="000E7FE6">
        <w:t>that does not mean</w:t>
      </w:r>
      <w:r w:rsidRPr="004C035A">
        <w:t xml:space="preserve"> law enforcement personnel </w:t>
      </w:r>
      <w:r w:rsidR="00BE564F">
        <w:t>have no role to play</w:t>
      </w:r>
      <w:r w:rsidRPr="004C035A">
        <w:t>.</w:t>
      </w:r>
      <w:r w:rsidR="00AA2BC0">
        <w:t xml:space="preserve">  This is not to </w:t>
      </w:r>
      <w:r w:rsidR="00883A0E">
        <w:t xml:space="preserve">imply </w:t>
      </w:r>
      <w:r w:rsidR="00AA2BC0">
        <w:t xml:space="preserve">that </w:t>
      </w:r>
      <w:r w:rsidR="00AA2BC0">
        <w:rPr>
          <w:i/>
        </w:rPr>
        <w:t>Brady</w:t>
      </w:r>
      <w:r w:rsidR="00AA2BC0">
        <w:t xml:space="preserve"> alerts are a constitutionally </w:t>
      </w:r>
      <w:r w:rsidR="00515C45">
        <w:t xml:space="preserve">required means of ensuring </w:t>
      </w:r>
      <w:r w:rsidR="00515C45">
        <w:rPr>
          <w:i/>
        </w:rPr>
        <w:t>Brady</w:t>
      </w:r>
      <w:r w:rsidR="00515C45">
        <w:t xml:space="preserve"> compliance</w:t>
      </w:r>
      <w:r w:rsidR="000E1C51">
        <w:t>; o</w:t>
      </w:r>
      <w:r w:rsidR="00515C45">
        <w:t xml:space="preserve">nly that disclosure of </w:t>
      </w:r>
      <w:r w:rsidR="00515C45">
        <w:rPr>
          <w:i/>
        </w:rPr>
        <w:t>Brady</w:t>
      </w:r>
      <w:r w:rsidR="00515C45">
        <w:t xml:space="preserve"> material is required</w:t>
      </w:r>
      <w:r w:rsidR="000E7FE6">
        <w:t xml:space="preserve">, </w:t>
      </w:r>
      <w:r w:rsidR="00515C45">
        <w:t xml:space="preserve">and that </w:t>
      </w:r>
      <w:r w:rsidR="00515C45">
        <w:rPr>
          <w:i/>
        </w:rPr>
        <w:t>Brady</w:t>
      </w:r>
      <w:r w:rsidR="00515C45">
        <w:t xml:space="preserve"> alerts help to ensure satisfaction </w:t>
      </w:r>
      <w:r w:rsidR="001B17C7">
        <w:t>of that requirement</w:t>
      </w:r>
      <w:r w:rsidR="00F46906">
        <w:t xml:space="preserve">.  </w:t>
      </w:r>
    </w:p>
    <w:p w:rsidR="00A22C13" w:rsidRPr="007436D0" w:rsidP="00A22C13">
      <w:pPr>
        <w:ind w:firstLine="720"/>
      </w:pPr>
      <w:r>
        <w:t xml:space="preserve">The Association </w:t>
      </w:r>
      <w:r w:rsidR="00B96160">
        <w:t xml:space="preserve">further </w:t>
      </w:r>
      <w:r>
        <w:t xml:space="preserve">disputes that confidential personnel records </w:t>
      </w:r>
      <w:r w:rsidR="00FF3192">
        <w:t xml:space="preserve">may </w:t>
      </w:r>
      <w:r>
        <w:t xml:space="preserve">contain </w:t>
      </w:r>
      <w:r>
        <w:rPr>
          <w:i/>
        </w:rPr>
        <w:t xml:space="preserve">Brady </w:t>
      </w:r>
      <w:r>
        <w:t xml:space="preserve">material.  </w:t>
      </w:r>
      <w:r w:rsidRPr="007436D0">
        <w:t xml:space="preserve">It argues that “when a law enforcement agency maintains information about a peace officer in </w:t>
      </w:r>
      <w:r w:rsidR="00E62E03">
        <w:t>[the officer’s]</w:t>
      </w:r>
      <w:r w:rsidRPr="007436D0">
        <w:t xml:space="preserve"> personnel file, it is acting in an administrative, not an investigative, capacity, and such information is not within the purview of the prosecutor’s duty under </w:t>
      </w:r>
      <w:r w:rsidRPr="007436D0">
        <w:rPr>
          <w:i/>
        </w:rPr>
        <w:t>Brady</w:t>
      </w:r>
      <w:r w:rsidRPr="007436D0">
        <w:t xml:space="preserve">.” </w:t>
      </w:r>
    </w:p>
    <w:p w:rsidR="00A22C13" w:rsidRPr="007436D0" w:rsidP="00A22C13">
      <w:pPr>
        <w:tabs>
          <w:tab w:val="left" w:pos="1440"/>
        </w:tabs>
        <w:ind w:firstLine="720"/>
      </w:pPr>
      <w:r w:rsidRPr="007436D0">
        <w:t xml:space="preserve">This argument rests on a logical error.  To be sure, although the federal Constitution imposes a duty on states to afford defendants a fair trial, a prosecutor is not responsible for disclosing all information known to any part of a state.  Instead, </w:t>
      </w:r>
      <w:r w:rsidR="009E2405">
        <w:t xml:space="preserve">if an “agency . . . has no connection to the investigation or prosecution of the criminal charge against the defendant,” </w:t>
      </w:r>
      <w:r w:rsidR="00CE71AF">
        <w:t xml:space="preserve">the agency is </w:t>
      </w:r>
      <w:r w:rsidR="00CD6060">
        <w:t>not part of “the prosecution team,” and “the prosecutor does not have the duty to search for or to disclose” “information possessed by [that] agency.”</w:t>
      </w:r>
      <w:r w:rsidR="00540588">
        <w:t xml:space="preserve">  </w:t>
      </w:r>
      <w:r w:rsidRPr="007436D0">
        <w:t>(</w:t>
      </w:r>
      <w:r w:rsidRPr="007436D0">
        <w:rPr>
          <w:i/>
        </w:rPr>
        <w:t>In re Steele</w:t>
      </w:r>
      <w:r w:rsidRPr="007436D0">
        <w:t xml:space="preserve"> (2004) 32</w:t>
      </w:r>
      <w:r w:rsidR="00BF2292">
        <w:t> </w:t>
      </w:r>
      <w:r w:rsidRPr="007436D0">
        <w:t>Cal.4th 682, 697.)  But it does not follow that information in an officer’s confidential personnel file categorically falls outside</w:t>
      </w:r>
      <w:r w:rsidR="0019516E">
        <w:t xml:space="preserve"> t</w:t>
      </w:r>
      <w:r w:rsidRPr="007436D0">
        <w:t xml:space="preserve">he </w:t>
      </w:r>
      <w:r w:rsidRPr="007436D0">
        <w:rPr>
          <w:i/>
        </w:rPr>
        <w:t>Brady</w:t>
      </w:r>
      <w:r w:rsidRPr="007436D0">
        <w:t xml:space="preserve"> duty to disclose.  Even if one assumes that a law enforcement agency is not a member of the prosecution team when acting in its capacity as a custodian of records</w:t>
      </w:r>
      <w:r w:rsidR="00540588">
        <w:t xml:space="preserve"> — </w:t>
      </w:r>
      <w:r w:rsidR="000B1642">
        <w:t xml:space="preserve">a proposition </w:t>
      </w:r>
      <w:r w:rsidR="000B1642">
        <w:rPr>
          <w:i/>
        </w:rPr>
        <w:t xml:space="preserve">Steele </w:t>
      </w:r>
      <w:r w:rsidR="000B1642">
        <w:t xml:space="preserve">does not establish — </w:t>
      </w:r>
      <w:r w:rsidRPr="007436D0">
        <w:t xml:space="preserve">it may be that others, who clearly are on the prosecution team, are aware of the existence and content of those records.  A prosecutor, for example, may know from a prior </w:t>
      </w:r>
      <w:r w:rsidRPr="007436D0">
        <w:rPr>
          <w:i/>
        </w:rPr>
        <w:t>Pitchess</w:t>
      </w:r>
      <w:r w:rsidRPr="007436D0">
        <w:t xml:space="preserve"> motion that a confidential file contains </w:t>
      </w:r>
      <w:r w:rsidRPr="007436D0">
        <w:rPr>
          <w:i/>
        </w:rPr>
        <w:t>Brady</w:t>
      </w:r>
      <w:r w:rsidRPr="007436D0">
        <w:t xml:space="preserve"> information regarding an officer involved in a pending prosecution.  Moreover, the correspondence sent to deputies in this case served to “remind” them about information in their records, reflecting the fact that an officer will often (if not always) be aware of </w:t>
      </w:r>
      <w:r w:rsidR="008E1415">
        <w:t xml:space="preserve">the </w:t>
      </w:r>
      <w:r w:rsidRPr="007436D0">
        <w:t xml:space="preserve">contents of </w:t>
      </w:r>
      <w:r w:rsidR="0089411A">
        <w:t>the officer’s</w:t>
      </w:r>
      <w:r w:rsidRPr="007436D0">
        <w:t xml:space="preserve"> own confidential file.  Thus, even assuming that custodians are not necessarily part of the prosecution team, it </w:t>
      </w:r>
      <w:r w:rsidR="003F729C">
        <w:t>does not follow</w:t>
      </w:r>
      <w:r w:rsidRPr="007436D0">
        <w:t xml:space="preserve"> that confidential personnel records are categorically unknown to the members of that team.</w:t>
      </w:r>
      <w:r>
        <w:rPr>
          <w:rStyle w:val="FootnoteReference"/>
        </w:rPr>
        <w:footnoteReference w:id="8"/>
      </w:r>
      <w:r w:rsidRPr="007436D0">
        <w:t xml:space="preserve">  </w:t>
      </w:r>
    </w:p>
    <w:p w:rsidR="00A22C13" w:rsidRPr="007436D0" w:rsidP="00A22C13">
      <w:pPr>
        <w:tabs>
          <w:tab w:val="left" w:pos="1440"/>
        </w:tabs>
        <w:ind w:firstLine="720"/>
      </w:pPr>
      <w:r w:rsidRPr="007436D0">
        <w:t xml:space="preserve">The Association also suggests that confidential records fall outside the </w:t>
      </w:r>
      <w:r w:rsidRPr="007436D0">
        <w:rPr>
          <w:i/>
        </w:rPr>
        <w:t>Brady</w:t>
      </w:r>
      <w:r w:rsidRPr="007436D0">
        <w:t xml:space="preserve"> duty to disclose because that duty extends only “to information </w:t>
      </w:r>
      <w:r w:rsidRPr="007436D0">
        <w:rPr>
          <w:i/>
        </w:rPr>
        <w:t>obtained during</w:t>
      </w:r>
      <w:r w:rsidRPr="007436D0">
        <w:t xml:space="preserve"> an investigation about a criminal matter against a defendant.”</w:t>
      </w:r>
      <w:r>
        <w:t xml:space="preserve">  </w:t>
      </w:r>
      <w:r w:rsidRPr="007436D0">
        <w:t xml:space="preserve">(Italics added.)  This, too, is mistaken.  What matters for </w:t>
      </w:r>
      <w:r w:rsidRPr="007436D0">
        <w:rPr>
          <w:i/>
        </w:rPr>
        <w:t>Brady</w:t>
      </w:r>
      <w:r w:rsidRPr="007436D0">
        <w:t xml:space="preserve"> purposes is what the prosecution team knows, not </w:t>
      </w:r>
      <w:r w:rsidR="00BE564F">
        <w:t>how</w:t>
      </w:r>
      <w:r w:rsidRPr="007436D0">
        <w:t xml:space="preserve"> the prosecution team knows it.   Suppose, for example, that a prosecutor is personally aware </w:t>
      </w:r>
      <w:r w:rsidR="00B93FDE">
        <w:t>(</w:t>
      </w:r>
      <w:r w:rsidR="0093230B">
        <w:t xml:space="preserve">based on </w:t>
      </w:r>
      <w:r w:rsidR="00B93FDE">
        <w:t xml:space="preserve">an earlier case) </w:t>
      </w:r>
      <w:r w:rsidRPr="007436D0">
        <w:t xml:space="preserve">that a </w:t>
      </w:r>
      <w:r w:rsidR="00D46BE3">
        <w:t>key</w:t>
      </w:r>
      <w:r w:rsidRPr="007436D0">
        <w:t xml:space="preserve"> witness in a pending prosecution is a habitual liar who has been repeatedly convicted of perjury.  To say that the prosecutor need not disclose that information </w:t>
      </w:r>
      <w:r w:rsidR="007B39AF">
        <w:t>merely because it was not</w:t>
      </w:r>
      <w:r w:rsidRPr="007436D0">
        <w:t xml:space="preserve"> “obtained during” investigation of the defendant’s case </w:t>
      </w:r>
      <w:r w:rsidR="007B39AF">
        <w:t>would be</w:t>
      </w:r>
      <w:r w:rsidRPr="007436D0">
        <w:t xml:space="preserve"> irreconcilable with the right to a fair trial underlying </w:t>
      </w:r>
      <w:r w:rsidRPr="007436D0">
        <w:rPr>
          <w:i/>
        </w:rPr>
        <w:t>Brady</w:t>
      </w:r>
      <w:r w:rsidRPr="007436D0">
        <w:t>; it would “cast[] the prosecutor in the role of an architect of a proceeding that does not comport with standards of justice.”  (</w:t>
      </w:r>
      <w:r w:rsidRPr="007436D0">
        <w:rPr>
          <w:i/>
        </w:rPr>
        <w:t>Brady</w:t>
      </w:r>
      <w:r w:rsidRPr="007436D0">
        <w:t xml:space="preserve">, </w:t>
      </w:r>
      <w:r w:rsidRPr="007436D0">
        <w:rPr>
          <w:i/>
        </w:rPr>
        <w:t>supra</w:t>
      </w:r>
      <w:r w:rsidRPr="007436D0">
        <w:t xml:space="preserve">, 373 U.S. at p. 88; cf. </w:t>
      </w:r>
      <w:r w:rsidRPr="007436D0">
        <w:rPr>
          <w:i/>
        </w:rPr>
        <w:t>City of San Jose</w:t>
      </w:r>
      <w:r w:rsidRPr="007436D0">
        <w:t xml:space="preserve">, </w:t>
      </w:r>
      <w:r w:rsidRPr="007436D0">
        <w:rPr>
          <w:i/>
        </w:rPr>
        <w:t>supra</w:t>
      </w:r>
      <w:r w:rsidRPr="007436D0">
        <w:t>, 5</w:t>
      </w:r>
      <w:r w:rsidR="00BF2292">
        <w:t> </w:t>
      </w:r>
      <w:r w:rsidRPr="007436D0">
        <w:t>Cal.4th at p.</w:t>
      </w:r>
      <w:r w:rsidR="00BF2292">
        <w:t> </w:t>
      </w:r>
      <w:r w:rsidRPr="007436D0">
        <w:t xml:space="preserve">57 [noting People’s concession that </w:t>
      </w:r>
      <w:r w:rsidRPr="007436D0">
        <w:rPr>
          <w:i/>
        </w:rPr>
        <w:t>Brady</w:t>
      </w:r>
      <w:r w:rsidRPr="007436D0">
        <w:t xml:space="preserve"> required disclosure, to defendants charged with battery on police officers, of the fact that an officer had been disciplined pursuant to a complaint of excessive force].)  </w:t>
      </w:r>
    </w:p>
    <w:p w:rsidR="00BC1A17" w:rsidRPr="00F102F7" w:rsidP="00C03F0D">
      <w:pPr>
        <w:tabs>
          <w:tab w:val="left" w:pos="1440"/>
        </w:tabs>
        <w:ind w:firstLine="720"/>
      </w:pPr>
      <w:r>
        <w:t>To be clear, we do not suggest that</w:t>
      </w:r>
      <w:r w:rsidR="000623FB">
        <w:t xml:space="preserve"> permitting</w:t>
      </w:r>
      <w:r>
        <w:t xml:space="preserve"> </w:t>
      </w:r>
      <w:r>
        <w:rPr>
          <w:i/>
        </w:rPr>
        <w:t>Brady</w:t>
      </w:r>
      <w:r>
        <w:t xml:space="preserve"> alerts </w:t>
      </w:r>
      <w:r w:rsidR="000623FB">
        <w:t xml:space="preserve">completely resolves </w:t>
      </w:r>
      <w:r>
        <w:t xml:space="preserve">the tension between </w:t>
      </w:r>
      <w:r>
        <w:rPr>
          <w:i/>
        </w:rPr>
        <w:t>Brady</w:t>
      </w:r>
      <w:r>
        <w:t xml:space="preserve"> and the </w:t>
      </w:r>
      <w:r>
        <w:rPr>
          <w:i/>
        </w:rPr>
        <w:t>Pitchess</w:t>
      </w:r>
      <w:r>
        <w:t xml:space="preserve"> </w:t>
      </w:r>
      <w:r w:rsidR="003F729C">
        <w:t>statutes</w:t>
      </w:r>
      <w:r>
        <w:t xml:space="preserve">.  Not all departments maintain </w:t>
      </w:r>
      <w:r>
        <w:rPr>
          <w:i/>
        </w:rPr>
        <w:t>Brady</w:t>
      </w:r>
      <w:r>
        <w:t xml:space="preserve"> lists.  And nothing guarantees that a </w:t>
      </w:r>
      <w:r>
        <w:rPr>
          <w:i/>
        </w:rPr>
        <w:t>Brady</w:t>
      </w:r>
      <w:r>
        <w:t xml:space="preserve"> list will reflect all information that </w:t>
      </w:r>
      <w:r w:rsidR="007878D1">
        <w:t>might</w:t>
      </w:r>
      <w:r>
        <w:t xml:space="preserve"> prove “material” </w:t>
      </w:r>
      <w:r w:rsidR="00340828">
        <w:t xml:space="preserve">in </w:t>
      </w:r>
      <w:r w:rsidR="00EB6C63">
        <w:t>each</w:t>
      </w:r>
      <w:r w:rsidR="00340828">
        <w:t xml:space="preserve"> particular case.  </w:t>
      </w:r>
      <w:r>
        <w:t>(</w:t>
      </w:r>
      <w:r w:rsidR="000D087E">
        <w:rPr>
          <w:i/>
        </w:rPr>
        <w:t>Brady</w:t>
      </w:r>
      <w:r w:rsidR="000D087E">
        <w:t xml:space="preserve">, </w:t>
      </w:r>
      <w:r w:rsidR="000D087E">
        <w:rPr>
          <w:i/>
        </w:rPr>
        <w:t>supra</w:t>
      </w:r>
      <w:r w:rsidR="000D087E">
        <w:t xml:space="preserve">, 373 U.S. at p. </w:t>
      </w:r>
      <w:r w:rsidR="00B83344">
        <w:t>87</w:t>
      </w:r>
      <w:r w:rsidR="003D5DBF">
        <w:t xml:space="preserve">; see </w:t>
      </w:r>
      <w:r w:rsidR="003D5DBF">
        <w:rPr>
          <w:i/>
        </w:rPr>
        <w:t>ante</w:t>
      </w:r>
      <w:r w:rsidR="003D5DBF">
        <w:t>, pt</w:t>
      </w:r>
      <w:r w:rsidR="00B778F7">
        <w:t>.</w:t>
      </w:r>
      <w:r w:rsidR="003D5DBF">
        <w:t xml:space="preserve"> I.A.)  </w:t>
      </w:r>
      <w:r w:rsidR="004622AC">
        <w:t xml:space="preserve">But </w:t>
      </w:r>
      <w:r w:rsidR="0011500A">
        <w:t xml:space="preserve">when a department </w:t>
      </w:r>
      <w:r w:rsidRPr="004622AC" w:rsidR="004622AC">
        <w:t>seeks</w:t>
      </w:r>
      <w:r w:rsidR="004622AC">
        <w:rPr>
          <w:i/>
        </w:rPr>
        <w:t xml:space="preserve"> </w:t>
      </w:r>
      <w:r w:rsidR="00AF32E2">
        <w:t xml:space="preserve">to transmit </w:t>
      </w:r>
      <w:r w:rsidR="00802F0E">
        <w:t xml:space="preserve">a </w:t>
      </w:r>
      <w:r w:rsidR="00802F0E">
        <w:rPr>
          <w:i/>
        </w:rPr>
        <w:t>Brady</w:t>
      </w:r>
      <w:r w:rsidR="00802F0E">
        <w:t xml:space="preserve"> alert</w:t>
      </w:r>
      <w:r w:rsidR="004622AC">
        <w:t xml:space="preserve"> to prosecutors</w:t>
      </w:r>
      <w:r w:rsidR="00802F0E">
        <w:t xml:space="preserve">, </w:t>
      </w:r>
      <w:r w:rsidR="004622AC">
        <w:t xml:space="preserve">allowing the department </w:t>
      </w:r>
      <w:r w:rsidR="00802F0E">
        <w:t xml:space="preserve">to do so </w:t>
      </w:r>
      <w:r w:rsidR="00625F66">
        <w:t>mitigates</w:t>
      </w:r>
      <w:r w:rsidR="00802F0E">
        <w:t xml:space="preserve"> the risk of a constitutional violation.  </w:t>
      </w:r>
      <w:r w:rsidR="00675EDD">
        <w:t xml:space="preserve">With </w:t>
      </w:r>
      <w:r w:rsidR="00675EDD">
        <w:rPr>
          <w:i/>
        </w:rPr>
        <w:t>Brady</w:t>
      </w:r>
      <w:r w:rsidR="00675EDD">
        <w:t xml:space="preserve"> in mind</w:t>
      </w:r>
      <w:r>
        <w:t xml:space="preserve"> </w:t>
      </w:r>
      <w:r w:rsidRPr="007436D0">
        <w:t>(</w:t>
      </w:r>
      <w:r w:rsidR="00675EDD">
        <w:t xml:space="preserve">see </w:t>
      </w:r>
      <w:r w:rsidRPr="007436D0">
        <w:rPr>
          <w:i/>
        </w:rPr>
        <w:t>Mooc</w:t>
      </w:r>
      <w:r w:rsidRPr="007436D0">
        <w:t xml:space="preserve">, </w:t>
      </w:r>
      <w:r w:rsidRPr="007436D0">
        <w:rPr>
          <w:i/>
        </w:rPr>
        <w:t>supra</w:t>
      </w:r>
      <w:r w:rsidRPr="007436D0">
        <w:t>, 26 Cal.4th at p.</w:t>
      </w:r>
      <w:r>
        <w:t> 1225), the term “confidential” (</w:t>
      </w:r>
      <w:r w:rsidR="00273E1E">
        <w:t>§ </w:t>
      </w:r>
      <w:r>
        <w:t xml:space="preserve">832.7(a)) </w:t>
      </w:r>
      <w:r w:rsidR="00375793">
        <w:t xml:space="preserve">must </w:t>
      </w:r>
      <w:r>
        <w:t>be understood to permit such alerts.</w:t>
      </w:r>
      <w:r>
        <w:rPr>
          <w:rStyle w:val="FootnoteReference"/>
        </w:rPr>
        <w:footnoteReference w:id="9"/>
      </w:r>
      <w:r>
        <w:t xml:space="preserve"> </w:t>
      </w:r>
    </w:p>
    <w:p w:rsidR="00BC1A17" w:rsidP="00BC1A17">
      <w:pPr>
        <w:pStyle w:val="Heading3"/>
      </w:pPr>
      <w:r w:rsidRPr="00211423">
        <w:t>2.</w:t>
      </w:r>
      <w:r w:rsidRPr="00211423">
        <w:tab/>
      </w:r>
      <w:r w:rsidRPr="00211423">
        <w:rPr>
          <w:i w:val="0"/>
        </w:rPr>
        <w:t>Johnson</w:t>
      </w:r>
      <w:r w:rsidRPr="00211423">
        <w:t xml:space="preserve"> </w:t>
      </w:r>
      <w:r w:rsidRPr="00211423" w:rsidR="00211423">
        <w:t>does not</w:t>
      </w:r>
      <w:r w:rsidRPr="00211423">
        <w:t xml:space="preserve"> require</w:t>
      </w:r>
      <w:r w:rsidRPr="00211423" w:rsidR="00211423">
        <w:t xml:space="preserve"> a</w:t>
      </w:r>
      <w:r w:rsidRPr="00211423">
        <w:t xml:space="preserve"> contrary </w:t>
      </w:r>
      <w:r w:rsidR="00211423">
        <w:t>conclusion</w:t>
      </w:r>
    </w:p>
    <w:p w:rsidR="00BC1A17" w:rsidP="00211423">
      <w:pPr>
        <w:ind w:firstLine="720"/>
      </w:pPr>
      <w:r>
        <w:t xml:space="preserve">The Court of Appeal relied on our decision in </w:t>
      </w:r>
      <w:r>
        <w:rPr>
          <w:i/>
        </w:rPr>
        <w:t>Johnson</w:t>
      </w:r>
      <w:r w:rsidR="003F729C">
        <w:t xml:space="preserve"> </w:t>
      </w:r>
      <w:r>
        <w:t>to reach a contrary conclusion.  We decline to extend that decision to this context.</w:t>
      </w:r>
    </w:p>
    <w:p w:rsidR="00D358B6" w:rsidP="008077E0">
      <w:pPr>
        <w:ind w:firstLine="720"/>
      </w:pPr>
      <w:r>
        <w:t xml:space="preserve">In </w:t>
      </w:r>
      <w:r>
        <w:rPr>
          <w:i/>
        </w:rPr>
        <w:t>Johnson</w:t>
      </w:r>
      <w:r>
        <w:t>, we rejected the view that prosecutors “may always review the</w:t>
      </w:r>
      <w:r>
        <w:t xml:space="preserve"> </w:t>
      </w:r>
      <w:r>
        <w:t xml:space="preserve">confidential personnel records of police officers who are witnesses in a criminal case to determine whether the records contain </w:t>
      </w:r>
      <w:r>
        <w:rPr>
          <w:i/>
        </w:rPr>
        <w:t>Brady</w:t>
      </w:r>
      <w:r>
        <w:t xml:space="preserve"> material.”  (</w:t>
      </w:r>
      <w:r>
        <w:rPr>
          <w:i/>
        </w:rPr>
        <w:t>Johnson</w:t>
      </w:r>
      <w:r>
        <w:t xml:space="preserve">, </w:t>
      </w:r>
      <w:r>
        <w:rPr>
          <w:i/>
        </w:rPr>
        <w:t>supra</w:t>
      </w:r>
      <w:r>
        <w:t>, 61 Cal.4th</w:t>
      </w:r>
      <w:r w:rsidR="00D90F6F">
        <w:t xml:space="preserve"> at p. 712.)  </w:t>
      </w:r>
      <w:r>
        <w:t xml:space="preserve">Most notably, we reasoned: “[Section 832.7(a)] states that police officer personnel records are ‘confidential.’  It permits disclosure by use of the </w:t>
      </w:r>
      <w:r w:rsidRPr="00D358B6">
        <w:rPr>
          <w:i/>
        </w:rPr>
        <w:t>Pitchess</w:t>
      </w:r>
      <w:r>
        <w:t xml:space="preserve"> procedures but otherwise provides only one exception to the confidentiality requirement — the exception for investigations. This exception indicates that the Legislature considered the range of situations in which prosecutorial need justifies direct access to peace officer personnel records, and it decided that those situations should be limited to ‘investigations or proceedings concerning the conduct of peace officers or custodial officers’ [citation], and does not extend to this context.”  (</w:t>
      </w:r>
      <w:r>
        <w:rPr>
          <w:i/>
        </w:rPr>
        <w:t>Johnson</w:t>
      </w:r>
      <w:r>
        <w:t>, at pp. 713-714.)</w:t>
      </w:r>
    </w:p>
    <w:p w:rsidR="00D90F6F" w:rsidP="00D90F6F">
      <w:pPr>
        <w:ind w:firstLine="720"/>
      </w:pPr>
      <w:r>
        <w:t>W</w:t>
      </w:r>
      <w:r w:rsidR="008077E0">
        <w:t xml:space="preserve">e acknowledge </w:t>
      </w:r>
      <w:r w:rsidR="00EB4F88">
        <w:t>the</w:t>
      </w:r>
      <w:r w:rsidR="008077E0">
        <w:t xml:space="preserve"> argument that this analysis applies to </w:t>
      </w:r>
      <w:r w:rsidR="008077E0">
        <w:rPr>
          <w:i/>
        </w:rPr>
        <w:t>Brady</w:t>
      </w:r>
      <w:r w:rsidR="008077E0">
        <w:t xml:space="preserve"> alerts.  </w:t>
      </w:r>
      <w:r w:rsidR="008077E0">
        <w:rPr>
          <w:i/>
        </w:rPr>
        <w:t>Brady</w:t>
      </w:r>
      <w:r w:rsidR="008077E0">
        <w:t xml:space="preserve"> alerts communicate information obtained from confidential records. </w:t>
      </w:r>
      <w:r w:rsidR="0000281B">
        <w:t xml:space="preserve"> </w:t>
      </w:r>
      <w:r w:rsidR="00DB7758">
        <w:t>T</w:t>
      </w:r>
      <w:r w:rsidR="008077E0">
        <w:t xml:space="preserve">hat information, like the underlying records, is “confidential.” </w:t>
      </w:r>
      <w:r w:rsidR="00F720CA">
        <w:t xml:space="preserve">  (§ </w:t>
      </w:r>
      <w:r w:rsidR="008077E0">
        <w:t xml:space="preserve">832.7(a).)   </w:t>
      </w:r>
      <w:r w:rsidR="00DB7758">
        <w:t xml:space="preserve">And nothing in section 832.7(a) — including the investigations exception — explicitly declares </w:t>
      </w:r>
      <w:r w:rsidR="009E7E32">
        <w:t>that different kinds</w:t>
      </w:r>
      <w:r w:rsidR="00DB7758">
        <w:t xml:space="preserve"> of confidential information should be treated differently.</w:t>
      </w:r>
      <w:r>
        <w:t xml:space="preserve">  (See also </w:t>
      </w:r>
      <w:r>
        <w:rPr>
          <w:i/>
        </w:rPr>
        <w:t>Johnson</w:t>
      </w:r>
      <w:r>
        <w:t xml:space="preserve">, </w:t>
      </w:r>
      <w:r>
        <w:rPr>
          <w:i/>
        </w:rPr>
        <w:t>supra</w:t>
      </w:r>
      <w:r>
        <w:t xml:space="preserve">, 61 Cal.4th at p. 714 [“prosecutors, as well as defendants, must comply with the </w:t>
      </w:r>
      <w:r>
        <w:rPr>
          <w:i/>
        </w:rPr>
        <w:t>Pitchess</w:t>
      </w:r>
      <w:r>
        <w:t xml:space="preserve"> procedures if they seek information from confidential personnel records”].) </w:t>
      </w:r>
    </w:p>
    <w:p w:rsidR="0067094E" w:rsidP="00AB24B5">
      <w:pPr>
        <w:ind w:firstLine="720"/>
      </w:pPr>
      <w:r>
        <w:t xml:space="preserve">That said, there is no question that our decision in </w:t>
      </w:r>
      <w:r>
        <w:rPr>
          <w:i/>
        </w:rPr>
        <w:t>Johnson</w:t>
      </w:r>
      <w:r>
        <w:t xml:space="preserve"> was based on an understanding that </w:t>
      </w:r>
      <w:r>
        <w:rPr>
          <w:i/>
        </w:rPr>
        <w:t>Brady</w:t>
      </w:r>
      <w:r>
        <w:t xml:space="preserve"> alerts were permissible. </w:t>
      </w:r>
      <w:r w:rsidR="000B38CC">
        <w:t xml:space="preserve">We viewed </w:t>
      </w:r>
      <w:r w:rsidR="000B38CC">
        <w:rPr>
          <w:i/>
        </w:rPr>
        <w:t>Brady</w:t>
      </w:r>
      <w:r w:rsidR="000B38CC">
        <w:t xml:space="preserve"> alerts as so “laudabl[e]” (</w:t>
      </w:r>
      <w:r w:rsidR="005B10E0">
        <w:rPr>
          <w:i/>
        </w:rPr>
        <w:t>Johnson</w:t>
      </w:r>
      <w:r w:rsidR="005B10E0">
        <w:t xml:space="preserve">, </w:t>
      </w:r>
      <w:r w:rsidR="005B10E0">
        <w:rPr>
          <w:i/>
        </w:rPr>
        <w:t>supra</w:t>
      </w:r>
      <w:r w:rsidR="005B10E0">
        <w:t xml:space="preserve">, 61 Cal.4th at </w:t>
      </w:r>
      <w:r w:rsidR="000B38CC">
        <w:t xml:space="preserve">p. 721) that we attached to our opinion the </w:t>
      </w:r>
      <w:r w:rsidR="00FA0CFC">
        <w:t>order</w:t>
      </w:r>
      <w:r w:rsidR="000B38CC">
        <w:t xml:space="preserve"> “establish</w:t>
      </w:r>
      <w:r w:rsidR="007370AC">
        <w:t>[ing]</w:t>
      </w:r>
      <w:r w:rsidR="000B38CC">
        <w:t xml:space="preserve"> department procedures for </w:t>
      </w:r>
      <w:r w:rsidR="000B38CC">
        <w:rPr>
          <w:i/>
        </w:rPr>
        <w:t>Brady</w:t>
      </w:r>
      <w:r w:rsidR="000B38CC">
        <w:t xml:space="preserve"> disclosure of materials in employee personnel files” (</w:t>
      </w:r>
      <w:r w:rsidR="000B38CC">
        <w:rPr>
          <w:i/>
        </w:rPr>
        <w:t>id.</w:t>
      </w:r>
      <w:r w:rsidR="000B38CC">
        <w:t xml:space="preserve">, at pp. 706-707).  </w:t>
      </w:r>
      <w:r w:rsidR="00965DE4">
        <w:t>Moreover,</w:t>
      </w:r>
      <w:r w:rsidR="000B38CC">
        <w:t xml:space="preserve"> when </w:t>
      </w:r>
      <w:r w:rsidR="00B622B7">
        <w:t>construing</w:t>
      </w:r>
      <w:r>
        <w:t xml:space="preserve"> section 832.7(a), we </w:t>
      </w:r>
      <w:r w:rsidR="00103ECC">
        <w:t>reasoned</w:t>
      </w:r>
      <w:r w:rsidR="009E7E32">
        <w:t xml:space="preserve"> that </w:t>
      </w:r>
      <w:r w:rsidR="003E1316">
        <w:t>“</w:t>
      </w:r>
      <w:r w:rsidRPr="00DB7758">
        <w:t>permitting prosecutors routine access to personnel records is not n</w:t>
      </w:r>
      <w:r w:rsidR="003E1316">
        <w:t xml:space="preserve">ecessary to protect defendants’ </w:t>
      </w:r>
      <w:r w:rsidRPr="00DB7758">
        <w:t>due process right</w:t>
      </w:r>
      <w:r w:rsidR="00B778F7">
        <w:t>s</w:t>
      </w:r>
      <w:r w:rsidRPr="00DB7758">
        <w:t xml:space="preserve"> to obtain po</w:t>
      </w:r>
      <w:r w:rsidR="003E1316">
        <w:t>tentially exculpatory evidence</w:t>
      </w:r>
      <w:r w:rsidR="006E58CA">
        <w:t>,</w:t>
      </w:r>
      <w:r w:rsidR="003E1316">
        <w:t>”</w:t>
      </w:r>
      <w:r w:rsidR="008F26CB">
        <w:t xml:space="preserve"> </w:t>
      </w:r>
      <w:r w:rsidR="00D470A3">
        <w:t>relying</w:t>
      </w:r>
      <w:r w:rsidR="00996E4C">
        <w:t xml:space="preserve"> on </w:t>
      </w:r>
      <w:r w:rsidR="008F26CB">
        <w:t xml:space="preserve">our </w:t>
      </w:r>
      <w:r w:rsidR="00D470A3">
        <w:t xml:space="preserve">later </w:t>
      </w:r>
      <w:r w:rsidR="008F26CB">
        <w:t xml:space="preserve">discussion of </w:t>
      </w:r>
      <w:r w:rsidR="008F26CB">
        <w:rPr>
          <w:i/>
        </w:rPr>
        <w:t>Brady</w:t>
      </w:r>
      <w:r w:rsidR="008F26CB">
        <w:t xml:space="preserve"> alerts.  </w:t>
      </w:r>
      <w:r w:rsidR="003E1316">
        <w:t>(</w:t>
      </w:r>
      <w:r w:rsidR="003E1316">
        <w:rPr>
          <w:i/>
        </w:rPr>
        <w:t>Johnson</w:t>
      </w:r>
      <w:r w:rsidR="003E1316">
        <w:t>, at p.</w:t>
      </w:r>
      <w:r w:rsidR="00BF2292">
        <w:t> </w:t>
      </w:r>
      <w:r w:rsidR="003E1316">
        <w:t>71</w:t>
      </w:r>
      <w:r w:rsidR="00B02FA3">
        <w:t xml:space="preserve">4; see also </w:t>
      </w:r>
      <w:r w:rsidR="00B02FA3">
        <w:rPr>
          <w:i/>
        </w:rPr>
        <w:t>ibid.</w:t>
      </w:r>
      <w:r w:rsidR="00D470A3">
        <w:t xml:space="preserve"> </w:t>
      </w:r>
      <w:r w:rsidR="00B02FA3">
        <w:t>[</w:t>
      </w:r>
      <w:r w:rsidR="00D470A3">
        <w:t xml:space="preserve">“as discussed </w:t>
      </w:r>
      <w:r w:rsidR="00D470A3">
        <w:rPr>
          <w:i/>
        </w:rPr>
        <w:t>post</w:t>
      </w:r>
      <w:r w:rsidR="00D470A3">
        <w:t>”]</w:t>
      </w:r>
      <w:r w:rsidR="003E1316">
        <w:t>.)</w:t>
      </w:r>
      <w:r w:rsidR="00A04BB0">
        <w:t xml:space="preserve">  </w:t>
      </w:r>
      <w:r w:rsidR="009E7E32">
        <w:t>T</w:t>
      </w:r>
      <w:r w:rsidR="000B38CC">
        <w:t xml:space="preserve">o </w:t>
      </w:r>
      <w:r w:rsidR="0000584E">
        <w:t xml:space="preserve">now </w:t>
      </w:r>
      <w:r w:rsidR="000B38CC">
        <w:t xml:space="preserve">hold that </w:t>
      </w:r>
      <w:r w:rsidR="000B38CC">
        <w:rPr>
          <w:i/>
        </w:rPr>
        <w:t>Johnson</w:t>
      </w:r>
      <w:r w:rsidR="000B38CC">
        <w:t xml:space="preserve">’s interpretation of “confidential” forbids </w:t>
      </w:r>
      <w:r w:rsidR="000B38CC">
        <w:rPr>
          <w:i/>
        </w:rPr>
        <w:t>Brady</w:t>
      </w:r>
      <w:r w:rsidR="000B38CC">
        <w:t xml:space="preserve"> alerts would be to read </w:t>
      </w:r>
      <w:r w:rsidR="0002522A">
        <w:t>our</w:t>
      </w:r>
      <w:r w:rsidR="000B38CC">
        <w:t xml:space="preserve"> opinion as </w:t>
      </w:r>
      <w:r w:rsidR="009E7E32">
        <w:t>announcing an interpretation that</w:t>
      </w:r>
      <w:r w:rsidR="009B2387">
        <w:t xml:space="preserve"> both</w:t>
      </w:r>
      <w:r w:rsidR="009E7E32">
        <w:t>: (i) </w:t>
      </w:r>
      <w:r w:rsidR="000B38CC">
        <w:t>depends</w:t>
      </w:r>
      <w:r w:rsidR="00BE3CB5">
        <w:t xml:space="preserve"> </w:t>
      </w:r>
      <w:r w:rsidR="000B38CC">
        <w:t xml:space="preserve">on the </w:t>
      </w:r>
      <w:r w:rsidR="009F1FD1">
        <w:t>legality</w:t>
      </w:r>
      <w:r w:rsidR="000B38CC">
        <w:t xml:space="preserve"> of </w:t>
      </w:r>
      <w:r w:rsidR="000B38CC">
        <w:rPr>
          <w:i/>
        </w:rPr>
        <w:t>Brady</w:t>
      </w:r>
      <w:r w:rsidR="000B38CC">
        <w:t xml:space="preserve"> alerts; and </w:t>
      </w:r>
      <w:r w:rsidR="009E7E32">
        <w:t>yet (ii)</w:t>
      </w:r>
      <w:r w:rsidR="00833FAB">
        <w:t> </w:t>
      </w:r>
      <w:r w:rsidR="009E7E32">
        <w:t>implies that such alerts are unlawful</w:t>
      </w:r>
      <w:r w:rsidR="005B10E0">
        <w:t>.</w:t>
      </w:r>
      <w:r w:rsidR="00113C75">
        <w:t xml:space="preserve">  Precedent cannot compel a result </w:t>
      </w:r>
      <w:r w:rsidR="000E787E">
        <w:t>if</w:t>
      </w:r>
      <w:r w:rsidR="00113C75">
        <w:t xml:space="preserve"> it points toward </w:t>
      </w:r>
      <w:r w:rsidR="00044D16">
        <w:t xml:space="preserve">a </w:t>
      </w:r>
      <w:r w:rsidR="000E787E">
        <w:t>self-defeating</w:t>
      </w:r>
      <w:r w:rsidR="00113C75">
        <w:t xml:space="preserve"> conclusion.  </w:t>
      </w:r>
    </w:p>
    <w:p w:rsidR="00C56E2C" w:rsidP="006924EF">
      <w:pPr>
        <w:ind w:firstLine="720"/>
      </w:pPr>
      <w:r>
        <w:t xml:space="preserve">Nor is </w:t>
      </w:r>
      <w:r w:rsidR="00647105">
        <w:t xml:space="preserve">the </w:t>
      </w:r>
      <w:r>
        <w:t xml:space="preserve">relationship between the term </w:t>
      </w:r>
      <w:r w:rsidR="00E16F49">
        <w:t>“</w:t>
      </w:r>
      <w:r>
        <w:t>confidential</w:t>
      </w:r>
      <w:r w:rsidR="00E16F49">
        <w:t>”</w:t>
      </w:r>
      <w:r w:rsidR="00EF037A">
        <w:t xml:space="preserve"> </w:t>
      </w:r>
      <w:r>
        <w:t xml:space="preserve">and the investigations exception </w:t>
      </w:r>
      <w:r w:rsidR="00617F77">
        <w:t>beyond debate</w:t>
      </w:r>
      <w:r w:rsidR="00957139">
        <w:t>.</w:t>
      </w:r>
      <w:r w:rsidR="00FA611E">
        <w:t xml:space="preserve">  (</w:t>
      </w:r>
      <w:r w:rsidRPr="00636355" w:rsidR="00FA611E">
        <w:rPr>
          <w:i/>
        </w:rPr>
        <w:t>Johnson</w:t>
      </w:r>
      <w:r w:rsidRPr="00636355" w:rsidR="00FA611E">
        <w:t xml:space="preserve">, </w:t>
      </w:r>
      <w:r w:rsidRPr="00636355" w:rsidR="00FA611E">
        <w:rPr>
          <w:i/>
        </w:rPr>
        <w:t>supra</w:t>
      </w:r>
      <w:r w:rsidRPr="00636355" w:rsidR="00FA611E">
        <w:t>, 61 Cal.4th at p. 714.)</w:t>
      </w:r>
      <w:r w:rsidR="00387644">
        <w:t xml:space="preserve">  </w:t>
      </w:r>
      <w:r w:rsidR="00D64F1D">
        <w:rPr>
          <w:i/>
        </w:rPr>
        <w:t>Johnson</w:t>
      </w:r>
      <w:r w:rsidR="00D64F1D">
        <w:t xml:space="preserve"> </w:t>
      </w:r>
      <w:r w:rsidR="00C23297">
        <w:t xml:space="preserve">inferred that because </w:t>
      </w:r>
      <w:r w:rsidR="00F50BF5">
        <w:t>there is an</w:t>
      </w:r>
      <w:r w:rsidR="00971336">
        <w:t xml:space="preserve"> exception to confidentiality for investigations,</w:t>
      </w:r>
      <w:r w:rsidR="00447978">
        <w:t xml:space="preserve"> </w:t>
      </w:r>
      <w:r w:rsidR="00971336">
        <w:t xml:space="preserve">the </w:t>
      </w:r>
      <w:r w:rsidR="00BA1329">
        <w:rPr>
          <w:i/>
        </w:rPr>
        <w:t>Pitchess</w:t>
      </w:r>
      <w:r w:rsidR="00BA1329">
        <w:t xml:space="preserve"> </w:t>
      </w:r>
      <w:r w:rsidR="00A975D8">
        <w:t xml:space="preserve">statutes otherwise limit </w:t>
      </w:r>
      <w:r w:rsidR="0007279C">
        <w:t xml:space="preserve">investigators’ (specifically, </w:t>
      </w:r>
      <w:r w:rsidR="00A975D8">
        <w:t>prosecutors’</w:t>
      </w:r>
      <w:r w:rsidR="0007279C">
        <w:t>)</w:t>
      </w:r>
      <w:r w:rsidR="00A975D8">
        <w:t xml:space="preserve"> access to “confidential” information.  </w:t>
      </w:r>
      <w:r w:rsidR="00EB5A09">
        <w:t xml:space="preserve">(See </w:t>
      </w:r>
      <w:r w:rsidR="00EB5A09">
        <w:rPr>
          <w:i/>
        </w:rPr>
        <w:t>id.</w:t>
      </w:r>
      <w:r w:rsidR="00EB5A09">
        <w:t>, at pp.</w:t>
      </w:r>
      <w:r w:rsidR="0004378A">
        <w:t> </w:t>
      </w:r>
      <w:r w:rsidR="00EB5A09">
        <w:t>713-714.)  But a</w:t>
      </w:r>
      <w:r w:rsidRPr="00636355" w:rsidR="00A54640">
        <w:t xml:space="preserve">n exception </w:t>
      </w:r>
      <w:r w:rsidR="0023567B">
        <w:t>aimed at</w:t>
      </w:r>
      <w:r w:rsidRPr="00636355" w:rsidR="00A54640">
        <w:t xml:space="preserve"> </w:t>
      </w:r>
      <w:r w:rsidRPr="00636355" w:rsidR="00A54640">
        <w:rPr>
          <w:i/>
        </w:rPr>
        <w:t>investigations</w:t>
      </w:r>
      <w:r w:rsidRPr="00636355" w:rsidR="00A54640">
        <w:t xml:space="preserve"> need not imply </w:t>
      </w:r>
      <w:r w:rsidR="00EB5A09">
        <w:t xml:space="preserve">anything </w:t>
      </w:r>
      <w:r w:rsidR="00B16C38">
        <w:t xml:space="preserve">about </w:t>
      </w:r>
      <w:r w:rsidR="00EB5C6E">
        <w:t>whether</w:t>
      </w:r>
      <w:r w:rsidRPr="00636355" w:rsidR="00A54640">
        <w:t xml:space="preserve"> </w:t>
      </w:r>
      <w:r w:rsidRPr="00636355" w:rsidR="00A54640">
        <w:rPr>
          <w:i/>
        </w:rPr>
        <w:t>investigators</w:t>
      </w:r>
      <w:r w:rsidR="00EB5C6E">
        <w:t xml:space="preserve"> can </w:t>
      </w:r>
      <w:r w:rsidR="00F5395B">
        <w:t>view confidential material</w:t>
      </w:r>
      <w:r w:rsidR="00585823">
        <w:t xml:space="preserve">; </w:t>
      </w:r>
      <w:r w:rsidR="00D51EC6">
        <w:t xml:space="preserve">for example, </w:t>
      </w:r>
      <w:r w:rsidR="00533630">
        <w:t>the exception</w:t>
      </w:r>
      <w:r w:rsidR="00585823">
        <w:t xml:space="preserve"> </w:t>
      </w:r>
      <w:r w:rsidR="00B2329F">
        <w:t>could</w:t>
      </w:r>
      <w:r w:rsidR="00D51EC6">
        <w:t xml:space="preserve"> </w:t>
      </w:r>
      <w:r w:rsidR="00553C3B">
        <w:t>concern</w:t>
      </w:r>
      <w:r w:rsidR="00B2329F">
        <w:t xml:space="preserve"> prosecutors</w:t>
      </w:r>
      <w:r w:rsidR="006924EF">
        <w:t xml:space="preserve">’ ability to share information with others </w:t>
      </w:r>
      <w:r w:rsidR="002D1B52">
        <w:t>when an investigation is ongoing</w:t>
      </w:r>
      <w:r w:rsidR="00B2329F">
        <w:t xml:space="preserve">.  </w:t>
      </w:r>
      <w:r w:rsidR="003043ED">
        <w:t xml:space="preserve">Moreover, </w:t>
      </w:r>
      <w:r w:rsidR="004E0AC7">
        <w:t xml:space="preserve">even </w:t>
      </w:r>
      <w:r w:rsidRPr="00636355" w:rsidR="003A5FE1">
        <w:t xml:space="preserve">if the </w:t>
      </w:r>
      <w:r w:rsidR="003043ED">
        <w:t xml:space="preserve">investigations </w:t>
      </w:r>
      <w:r w:rsidRPr="00636355" w:rsidR="003A5FE1">
        <w:t xml:space="preserve">exception </w:t>
      </w:r>
      <w:r w:rsidR="00820A6C">
        <w:t xml:space="preserve">does </w:t>
      </w:r>
      <w:r w:rsidR="00143971">
        <w:t>imply</w:t>
      </w:r>
      <w:r w:rsidR="00416D8B">
        <w:t xml:space="preserve"> that prosecutors </w:t>
      </w:r>
      <w:r w:rsidR="001F19B1">
        <w:t>lack</w:t>
      </w:r>
      <w:r w:rsidR="00416D8B">
        <w:t xml:space="preserve"> unlimited access to confidential records </w:t>
      </w:r>
      <w:r w:rsidR="001F19B1">
        <w:t xml:space="preserve">during ordinary criminal cases, </w:t>
      </w:r>
      <w:r w:rsidRPr="00636355" w:rsidR="003A5FE1">
        <w:t xml:space="preserve">the exception could be </w:t>
      </w:r>
      <w:r w:rsidR="000961D3">
        <w:t>understood</w:t>
      </w:r>
      <w:r w:rsidRPr="00636355" w:rsidR="003A5FE1">
        <w:t xml:space="preserve"> to set a floor on prosecutorial access, rather than</w:t>
      </w:r>
      <w:r w:rsidR="000A0751">
        <w:t xml:space="preserve">, as in </w:t>
      </w:r>
      <w:r w:rsidR="000A0751">
        <w:rPr>
          <w:i/>
        </w:rPr>
        <w:t>Johnson</w:t>
      </w:r>
      <w:r w:rsidR="000A0751">
        <w:t>,</w:t>
      </w:r>
      <w:r w:rsidRPr="00636355" w:rsidR="003A5FE1">
        <w:t xml:space="preserve"> a ceiling.</w:t>
      </w:r>
      <w:r w:rsidR="00606639">
        <w:t xml:space="preserve">  We need not embrace </w:t>
      </w:r>
      <w:r w:rsidR="00C41D4B">
        <w:t xml:space="preserve">either of </w:t>
      </w:r>
      <w:r w:rsidR="00606639">
        <w:t xml:space="preserve">these interpretations to </w:t>
      </w:r>
      <w:r w:rsidR="00C74771">
        <w:t xml:space="preserve">conclude that </w:t>
      </w:r>
      <w:r w:rsidR="0033606B">
        <w:rPr>
          <w:i/>
        </w:rPr>
        <w:t>Johnson</w:t>
      </w:r>
      <w:r w:rsidR="0033606B">
        <w:t xml:space="preserve">’s </w:t>
      </w:r>
      <w:r w:rsidR="00D4335F">
        <w:t>approach is not compelled by the statutory text</w:t>
      </w:r>
      <w:r w:rsidR="005A6B81">
        <w:t xml:space="preserve"> — </w:t>
      </w:r>
      <w:r w:rsidR="00D4335F">
        <w:t xml:space="preserve">and should not be reflexively extended </w:t>
      </w:r>
      <w:r w:rsidR="000176E8">
        <w:t xml:space="preserve">without </w:t>
      </w:r>
      <w:r w:rsidR="00DC7022">
        <w:t>considering</w:t>
      </w:r>
      <w:r w:rsidR="005A6B81">
        <w:t xml:space="preserve"> “defendants’ due process rights.”  (</w:t>
      </w:r>
      <w:r w:rsidRPr="00636355" w:rsidR="005A6B81">
        <w:rPr>
          <w:i/>
        </w:rPr>
        <w:t>Johnson</w:t>
      </w:r>
      <w:r w:rsidRPr="00636355" w:rsidR="005A6B81">
        <w:t>, at p. 714.)</w:t>
      </w:r>
      <w:r w:rsidR="005A6B81">
        <w:t xml:space="preserve">  </w:t>
      </w:r>
    </w:p>
    <w:p w:rsidR="00594EC0" w:rsidP="00207AA3">
      <w:pPr>
        <w:ind w:firstLine="720"/>
      </w:pPr>
      <w:r>
        <w:t>In any event</w:t>
      </w:r>
      <w:r w:rsidR="00636355">
        <w:t>, even if</w:t>
      </w:r>
      <w:r w:rsidR="00A04BB0">
        <w:t xml:space="preserve"> </w:t>
      </w:r>
      <w:r w:rsidR="00C56E2C">
        <w:t xml:space="preserve">the investigations exception </w:t>
      </w:r>
      <w:r w:rsidR="00780CE3">
        <w:t xml:space="preserve">is the only </w:t>
      </w:r>
      <w:r w:rsidR="00207AA3">
        <w:t xml:space="preserve">basis on which </w:t>
      </w:r>
      <w:r w:rsidR="00C56E2C">
        <w:t>prosecutors</w:t>
      </w:r>
      <w:r w:rsidR="00780CE3">
        <w:t xml:space="preserve"> may</w:t>
      </w:r>
      <w:r w:rsidR="00C56E2C">
        <w:t xml:space="preserve"> direct</w:t>
      </w:r>
      <w:r w:rsidR="00780CE3">
        <w:t>ly</w:t>
      </w:r>
      <w:r w:rsidR="00C56E2C">
        <w:t xml:space="preserve"> access underlying </w:t>
      </w:r>
      <w:r w:rsidR="00E32B61">
        <w:t xml:space="preserve">confidential </w:t>
      </w:r>
      <w:r w:rsidR="00C56E2C">
        <w:t>records</w:t>
      </w:r>
      <w:r w:rsidR="00470A4B">
        <w:t xml:space="preserve"> </w:t>
      </w:r>
      <w:r w:rsidR="00014FA9">
        <w:t xml:space="preserve">without a </w:t>
      </w:r>
      <w:r w:rsidR="00014FA9">
        <w:rPr>
          <w:i/>
        </w:rPr>
        <w:t xml:space="preserve">Pitchess </w:t>
      </w:r>
      <w:r w:rsidR="00014FA9">
        <w:t>motion</w:t>
      </w:r>
      <w:r w:rsidR="00C56E2C">
        <w:t xml:space="preserve">, it does not follow that </w:t>
      </w:r>
      <w:r w:rsidR="003E0D88">
        <w:t>the Department</w:t>
      </w:r>
      <w:r w:rsidR="00470A4B">
        <w:t xml:space="preserve"> </w:t>
      </w:r>
      <w:r w:rsidR="002D1B52">
        <w:t>is forbidden to</w:t>
      </w:r>
      <w:r w:rsidR="00470A4B">
        <w:t xml:space="preserve"> </w:t>
      </w:r>
      <w:r w:rsidR="003E0D88">
        <w:t xml:space="preserve">transmit </w:t>
      </w:r>
      <w:r w:rsidR="00470A4B">
        <w:t>the</w:t>
      </w:r>
      <w:r w:rsidR="00C56E2C">
        <w:t xml:space="preserve"> </w:t>
      </w:r>
      <w:r w:rsidR="00C56E2C">
        <w:rPr>
          <w:i/>
        </w:rPr>
        <w:t>Brady</w:t>
      </w:r>
      <w:r w:rsidR="00C56E2C">
        <w:t xml:space="preserve"> alerts at issue in this case.</w:t>
      </w:r>
      <w:r w:rsidR="00A04BB0">
        <w:t xml:space="preserve">  </w:t>
      </w:r>
      <w:r w:rsidR="00636355">
        <w:t xml:space="preserve">The </w:t>
      </w:r>
      <w:r w:rsidR="00636355">
        <w:rPr>
          <w:i/>
        </w:rPr>
        <w:t>Pitchess</w:t>
      </w:r>
      <w:r w:rsidR="00636355">
        <w:t xml:space="preserve"> statutes </w:t>
      </w:r>
      <w:r w:rsidR="000A0751">
        <w:t>reflect</w:t>
      </w:r>
      <w:r w:rsidR="00636355">
        <w:t xml:space="preserve"> a balance between “a litigant’</w:t>
      </w:r>
      <w:r w:rsidRPr="007436D0" w:rsidR="00636355">
        <w:t>s discovery interest</w:t>
      </w:r>
      <w:r w:rsidR="00636355">
        <w:t>” and “</w:t>
      </w:r>
      <w:r w:rsidRPr="007436D0" w:rsidR="00636355">
        <w:t>an officer’s confidentiality interest.”  (</w:t>
      </w:r>
      <w:r w:rsidR="00B36C4C">
        <w:rPr>
          <w:i/>
        </w:rPr>
        <w:t>Stiglitz</w:t>
      </w:r>
      <w:r w:rsidR="00B36C4C">
        <w:t>,</w:t>
      </w:r>
      <w:r w:rsidRPr="007436D0" w:rsidR="00636355">
        <w:t xml:space="preserve"> </w:t>
      </w:r>
      <w:r w:rsidRPr="00B36C4C" w:rsidR="00B36C4C">
        <w:rPr>
          <w:i/>
        </w:rPr>
        <w:t>supra</w:t>
      </w:r>
      <w:r w:rsidR="00B36C4C">
        <w:t xml:space="preserve">, </w:t>
      </w:r>
      <w:r w:rsidRPr="007436D0" w:rsidR="00636355">
        <w:t>60</w:t>
      </w:r>
      <w:r w:rsidR="00636355">
        <w:t> </w:t>
      </w:r>
      <w:r w:rsidRPr="007436D0" w:rsidR="00636355">
        <w:t xml:space="preserve">Cal.4th </w:t>
      </w:r>
      <w:r w:rsidR="00B36C4C">
        <w:t xml:space="preserve">at p. 639.)  Although the statutes </w:t>
      </w:r>
      <w:r w:rsidR="007167AD">
        <w:t xml:space="preserve">may </w:t>
      </w:r>
      <w:r w:rsidR="00B36C4C">
        <w:t xml:space="preserve">shield the fact that an officer has been disciplined from </w:t>
      </w:r>
      <w:r w:rsidR="00631B2F">
        <w:t xml:space="preserve">disclosure to </w:t>
      </w:r>
      <w:r w:rsidR="00B36C4C">
        <w:t>the public at larg</w:t>
      </w:r>
      <w:r w:rsidR="005B37A9">
        <w:t>e</w:t>
      </w:r>
      <w:r w:rsidR="00B36C4C">
        <w:t xml:space="preserve">, the mere fact of discipline, disclosed merely to prosecutors, raises less significant privacy </w:t>
      </w:r>
      <w:r w:rsidR="001117E8">
        <w:t>concerns</w:t>
      </w:r>
      <w:r w:rsidR="00B36C4C">
        <w:t xml:space="preserve"> than the underlying records at issue in </w:t>
      </w:r>
      <w:r w:rsidR="00B36C4C">
        <w:rPr>
          <w:i/>
        </w:rPr>
        <w:t>Johnson</w:t>
      </w:r>
      <w:r w:rsidR="00A04BB0">
        <w:t>.</w:t>
      </w:r>
      <w:r w:rsidR="00A71E01">
        <w:t xml:space="preserve"> </w:t>
      </w:r>
    </w:p>
    <w:p w:rsidR="00FE53FD" w:rsidP="00FE53FD">
      <w:pPr>
        <w:ind w:firstLine="720"/>
      </w:pPr>
      <w:r>
        <w:t xml:space="preserve">For these reasons, we decline to extend </w:t>
      </w:r>
      <w:r>
        <w:rPr>
          <w:i/>
        </w:rPr>
        <w:t>Johnson</w:t>
      </w:r>
      <w:r>
        <w:t xml:space="preserve">’s conclusion regarding “direct access to peace officer personnel records” to forbid the </w:t>
      </w:r>
      <w:r>
        <w:rPr>
          <w:i/>
        </w:rPr>
        <w:t>Brady</w:t>
      </w:r>
      <w:r>
        <w:t xml:space="preserve"> alerts at issue here</w:t>
      </w:r>
      <w:r>
        <w:t xml:space="preserve">.  </w:t>
      </w:r>
      <w:r>
        <w:t>(</w:t>
      </w:r>
      <w:r>
        <w:rPr>
          <w:i/>
        </w:rPr>
        <w:t>Johnson</w:t>
      </w:r>
      <w:r>
        <w:t xml:space="preserve">, </w:t>
      </w:r>
      <w:r>
        <w:rPr>
          <w:i/>
        </w:rPr>
        <w:t>supra</w:t>
      </w:r>
      <w:r>
        <w:t>, 61 Cal.4th at p. 713.</w:t>
      </w:r>
      <w:r w:rsidR="00605A48">
        <w:t>)</w:t>
      </w:r>
      <w:r w:rsidR="00594EC0">
        <w:t xml:space="preserve">  The Department may </w:t>
      </w:r>
      <w:r w:rsidR="003E0D88">
        <w:t>share</w:t>
      </w:r>
      <w:r w:rsidR="00594EC0">
        <w:t xml:space="preserve"> this limited information, for the limited purpose of ensuring </w:t>
      </w:r>
      <w:r w:rsidR="00594EC0">
        <w:rPr>
          <w:i/>
        </w:rPr>
        <w:t>Brady</w:t>
      </w:r>
      <w:r w:rsidR="00594EC0">
        <w:t xml:space="preserve"> compliance, </w:t>
      </w:r>
      <w:r w:rsidR="003E0D88">
        <w:t>with</w:t>
      </w:r>
      <w:r w:rsidR="00594EC0">
        <w:t xml:space="preserve"> the limited </w:t>
      </w:r>
      <w:r w:rsidR="00635A1D">
        <w:t xml:space="preserve">class of </w:t>
      </w:r>
      <w:r w:rsidR="00594EC0">
        <w:t xml:space="preserve">persons (i.e., prosecutors) </w:t>
      </w:r>
      <w:r w:rsidR="000778BE">
        <w:t>with</w:t>
      </w:r>
      <w:r w:rsidR="00D66328">
        <w:t xml:space="preserve"> </w:t>
      </w:r>
      <w:r w:rsidR="004C2EA9">
        <w:t xml:space="preserve">a </w:t>
      </w:r>
      <w:r w:rsidR="00D66328">
        <w:t>particularized need to know.</w:t>
      </w:r>
      <w:r w:rsidR="0014440B">
        <w:t xml:space="preserve">  (See </w:t>
      </w:r>
      <w:r w:rsidRPr="00BE48F6" w:rsidR="0014440B">
        <w:rPr>
          <w:i/>
        </w:rPr>
        <w:t>ante</w:t>
      </w:r>
      <w:r w:rsidR="0014440B">
        <w:t xml:space="preserve">, </w:t>
      </w:r>
      <w:r w:rsidR="00BE48F6">
        <w:t>p</w:t>
      </w:r>
      <w:r w:rsidR="0014440B">
        <w:t>t</w:t>
      </w:r>
      <w:r w:rsidR="00B778F7">
        <w:t>.</w:t>
      </w:r>
      <w:r w:rsidR="0014440B">
        <w:t xml:space="preserve"> III.A.)</w:t>
      </w:r>
      <w:r w:rsidR="00D66328">
        <w:t xml:space="preserve">  </w:t>
      </w:r>
    </w:p>
    <w:p w:rsidR="00DA7F80" w:rsidRPr="007436D0" w:rsidP="00DA7F80">
      <w:pPr>
        <w:pStyle w:val="Heading1"/>
      </w:pPr>
      <w:r>
        <w:t>IV</w:t>
      </w:r>
      <w:r w:rsidRPr="007436D0">
        <w:t xml:space="preserve">. </w:t>
      </w:r>
      <w:r w:rsidR="00605A48">
        <w:t xml:space="preserve"> </w:t>
      </w:r>
      <w:r w:rsidR="002D6D95">
        <w:t>Conclusion</w:t>
      </w:r>
      <w:r w:rsidR="003D2F4E">
        <w:t xml:space="preserve"> and Disposition</w:t>
      </w:r>
    </w:p>
    <w:p w:rsidR="00B36C4C" w:rsidP="00A0405F">
      <w:pPr>
        <w:tabs>
          <w:tab w:val="left" w:pos="1440"/>
        </w:tabs>
        <w:ind w:firstLine="720"/>
      </w:pPr>
      <w:r>
        <w:t xml:space="preserve">The question presented in this case concerns whether the Department may share confidential </w:t>
      </w:r>
      <w:r w:rsidRPr="00A32CF5">
        <w:rPr>
          <w:i/>
        </w:rPr>
        <w:t xml:space="preserve">Brady </w:t>
      </w:r>
      <w:r>
        <w:t xml:space="preserve">alerts with prosecutors.  We do not </w:t>
      </w:r>
      <w:r w:rsidR="00D1723B">
        <w:t>address</w:t>
      </w:r>
      <w:r>
        <w:t xml:space="preserve"> whether it would violate confidentiality for a prosecutor to share an alert with the defense.  </w:t>
      </w:r>
      <w:r w:rsidR="00D1723B">
        <w:t xml:space="preserve">(See </w:t>
      </w:r>
      <w:r w:rsidRPr="007436D0" w:rsidR="00D1723B">
        <w:rPr>
          <w:i/>
        </w:rPr>
        <w:t>Johnson</w:t>
      </w:r>
      <w:r w:rsidRPr="007436D0" w:rsidR="00D1723B">
        <w:t xml:space="preserve">, </w:t>
      </w:r>
      <w:r w:rsidRPr="007436D0" w:rsidR="00D1723B">
        <w:rPr>
          <w:i/>
        </w:rPr>
        <w:t>supra</w:t>
      </w:r>
      <w:r w:rsidRPr="007436D0" w:rsidR="00D1723B">
        <w:t>, 61</w:t>
      </w:r>
      <w:r w:rsidR="00D1723B">
        <w:t> </w:t>
      </w:r>
      <w:r w:rsidRPr="007436D0" w:rsidR="00D1723B">
        <w:t>Cal.4th at p.</w:t>
      </w:r>
      <w:r w:rsidR="00D1723B">
        <w:t> </w:t>
      </w:r>
      <w:r w:rsidRPr="007436D0" w:rsidR="00D1723B">
        <w:t>72</w:t>
      </w:r>
      <w:r w:rsidR="00D1723B">
        <w:t xml:space="preserve">2.)  </w:t>
      </w:r>
      <w:r w:rsidR="00587348">
        <w:t>And</w:t>
      </w:r>
      <w:r>
        <w:t xml:space="preserve"> because this case concerns only </w:t>
      </w:r>
      <w:r>
        <w:rPr>
          <w:i/>
        </w:rPr>
        <w:t>Brady</w:t>
      </w:r>
      <w:r>
        <w:t xml:space="preserve"> alerts, it provides no occasion to revisit whether prosecutors may directly access </w:t>
      </w:r>
      <w:r w:rsidR="008117BD">
        <w:t>underlying</w:t>
      </w:r>
      <w:r>
        <w:t xml:space="preserve"> records</w:t>
      </w:r>
      <w:r w:rsidR="00283975">
        <w:t>, or perhaps a subset of those records.  (See</w:t>
      </w:r>
      <w:r w:rsidR="00BF6C79">
        <w:t xml:space="preserve"> Pen. Code, § 832.8, subd. </w:t>
      </w:r>
      <w:r w:rsidR="00033E64">
        <w:t xml:space="preserve">(a)(4) [“discipline”], (5).)  </w:t>
      </w:r>
      <w:r>
        <w:t xml:space="preserve">To </w:t>
      </w:r>
      <w:r w:rsidR="00C32F2D">
        <w:t>resolve</w:t>
      </w:r>
      <w:r>
        <w:t xml:space="preserve"> the question presented, it is enough to </w:t>
      </w:r>
      <w:r w:rsidR="00AE22EB">
        <w:t>hold</w:t>
      </w:r>
      <w:r>
        <w:t xml:space="preserve"> that</w:t>
      </w:r>
      <w:r w:rsidR="00B778F7">
        <w:t xml:space="preserve"> the</w:t>
      </w:r>
      <w:r>
        <w:t xml:space="preserve"> Department does not violate section 832.7(a) by sharing with prosecutors </w:t>
      </w:r>
      <w:r w:rsidR="00A0405F">
        <w:t xml:space="preserve">the fact that an officer, who is a potential witness in a pending criminal prosecution, </w:t>
      </w:r>
      <w:r>
        <w:t xml:space="preserve">may have relevant exonerating or impeaching material in </w:t>
      </w:r>
      <w:r w:rsidR="00191B99">
        <w:t>that officer’s</w:t>
      </w:r>
      <w:r>
        <w:t xml:space="preserve"> confidential personnel file.  </w:t>
      </w:r>
    </w:p>
    <w:p w:rsidR="00DA7F80" w:rsidP="00BF2292">
      <w:pPr>
        <w:tabs>
          <w:tab w:val="left" w:pos="1440"/>
        </w:tabs>
        <w:ind w:firstLine="720"/>
      </w:pPr>
      <w:r>
        <w:t xml:space="preserve">We reverse the </w:t>
      </w:r>
      <w:r w:rsidR="007C2C74">
        <w:t>judgment</w:t>
      </w:r>
      <w:r>
        <w:t xml:space="preserve"> of the Court of Appeal and remand the matter for further proceedings consistent with this opinion.  </w:t>
      </w:r>
    </w:p>
    <w:p w:rsidR="00DA7F80" w:rsidP="00DA7F80">
      <w:pPr>
        <w:tabs>
          <w:tab w:val="right" w:pos="7740"/>
        </w:tabs>
        <w:rPr>
          <w:b/>
          <w:szCs w:val="26"/>
        </w:rPr>
      </w:pPr>
      <w:r>
        <w:rPr>
          <w:b/>
          <w:szCs w:val="26"/>
        </w:rPr>
        <w:tab/>
      </w:r>
      <w:r w:rsidRPr="007436D0">
        <w:rPr>
          <w:b/>
          <w:szCs w:val="26"/>
        </w:rPr>
        <w:t>CANTIL-SAKAUYE, C</w:t>
      </w:r>
      <w:r>
        <w:rPr>
          <w:b/>
          <w:szCs w:val="26"/>
        </w:rPr>
        <w:t>.</w:t>
      </w:r>
      <w:r w:rsidR="00BF2292">
        <w:rPr>
          <w:b/>
          <w:szCs w:val="26"/>
        </w:rPr>
        <w:t> </w:t>
      </w:r>
      <w:r>
        <w:rPr>
          <w:b/>
          <w:szCs w:val="26"/>
        </w:rPr>
        <w:t>J.</w:t>
      </w:r>
    </w:p>
    <w:p w:rsidR="0070564A" w:rsidP="00DA7F80">
      <w:pPr>
        <w:tabs>
          <w:tab w:val="right" w:pos="7740"/>
        </w:tabs>
        <w:rPr>
          <w:b/>
          <w:szCs w:val="26"/>
        </w:rPr>
      </w:pPr>
    </w:p>
    <w:p w:rsidR="000C31BB" w:rsidP="00F720CA">
      <w:pPr>
        <w:tabs>
          <w:tab w:val="right" w:pos="7740"/>
        </w:tabs>
        <w:rPr>
          <w:b/>
          <w:szCs w:val="26"/>
        </w:rPr>
      </w:pPr>
      <w:r>
        <w:rPr>
          <w:b/>
          <w:szCs w:val="26"/>
        </w:rPr>
        <w:t>W</w:t>
      </w:r>
      <w:r w:rsidR="00BF2292">
        <w:rPr>
          <w:b/>
          <w:szCs w:val="26"/>
        </w:rPr>
        <w:t>e</w:t>
      </w:r>
      <w:r>
        <w:rPr>
          <w:b/>
          <w:szCs w:val="26"/>
        </w:rPr>
        <w:t xml:space="preserve"> C</w:t>
      </w:r>
      <w:r w:rsidR="00BF2292">
        <w:rPr>
          <w:b/>
          <w:szCs w:val="26"/>
        </w:rPr>
        <w:t>oncur</w:t>
      </w:r>
      <w:r>
        <w:rPr>
          <w:b/>
          <w:szCs w:val="26"/>
        </w:rPr>
        <w:t>:</w:t>
      </w:r>
    </w:p>
    <w:p w:rsidR="00616A31" w:rsidP="00616A31">
      <w:pPr>
        <w:tabs>
          <w:tab w:val="right" w:pos="7740"/>
        </w:tabs>
        <w:jc w:val="left"/>
        <w:rPr>
          <w:b/>
          <w:szCs w:val="26"/>
        </w:rPr>
      </w:pPr>
      <w:r>
        <w:rPr>
          <w:b/>
          <w:szCs w:val="26"/>
        </w:rPr>
        <w:t>CHIN, J.</w:t>
      </w:r>
      <w:r>
        <w:rPr>
          <w:b/>
          <w:szCs w:val="26"/>
        </w:rPr>
        <w:br/>
        <w:t>CORRIGAN, J.</w:t>
      </w:r>
      <w:r>
        <w:rPr>
          <w:b/>
          <w:szCs w:val="26"/>
        </w:rPr>
        <w:br/>
        <w:t>LIU, J.</w:t>
      </w:r>
      <w:r>
        <w:rPr>
          <w:b/>
          <w:szCs w:val="26"/>
        </w:rPr>
        <w:br/>
        <w:t>CUÉLLAR, J.</w:t>
      </w:r>
      <w:r>
        <w:rPr>
          <w:b/>
          <w:szCs w:val="26"/>
        </w:rPr>
        <w:br/>
        <w:t>KRUGER, J.</w:t>
      </w:r>
      <w:r>
        <w:rPr>
          <w:b/>
          <w:szCs w:val="26"/>
        </w:rPr>
        <w:br/>
        <w:t>GROBAN, J.</w:t>
      </w:r>
    </w:p>
    <w:p w:rsidR="006201C9" w:rsidP="00616A31">
      <w:pPr>
        <w:tabs>
          <w:tab w:val="right" w:pos="7740"/>
        </w:tabs>
        <w:jc w:val="left"/>
        <w:rPr>
          <w:b/>
          <w:szCs w:val="26"/>
        </w:rPr>
        <w:sectPr w:rsidSect="002667E6">
          <w:footerReference w:type="default" r:id="rId7"/>
          <w:headerReference w:type="first" r:id="rId8"/>
          <w:footerReference w:type="first" r:id="rId9"/>
          <w:footnotePr>
            <w:numRestart w:val="eachSect"/>
          </w:footnotePr>
          <w:pgSz w:w="12240" w:h="15840"/>
          <w:pgMar w:top="1800" w:right="2160" w:bottom="1440" w:left="2160" w:header="720" w:footer="720" w:gutter="0"/>
          <w:pgNumType w:start="1"/>
          <w:cols w:space="720"/>
          <w:titlePg/>
          <w:docGrid w:linePitch="367"/>
        </w:sectPr>
      </w:pPr>
    </w:p>
    <w:p w:rsidR="006201C9" w:rsidRPr="006201C9" w:rsidP="006201C9">
      <w:pPr>
        <w:spacing w:after="0" w:line="240" w:lineRule="auto"/>
        <w:jc w:val="left"/>
        <w:rPr>
          <w:rFonts w:ascii="Times New Roman" w:hAnsi="Times New Roman"/>
          <w:i/>
          <w:sz w:val="20"/>
        </w:rPr>
      </w:pPr>
      <w:r w:rsidRPr="006201C9">
        <w:rPr>
          <w:rFonts w:ascii="Times New Roman" w:hAnsi="Times New Roman"/>
          <w:i/>
          <w:sz w:val="20"/>
        </w:rPr>
        <w:t>See last page for addresses and telephone numbers for counsel who argued in Supreme Court.</w:t>
      </w:r>
    </w:p>
    <w:p w:rsidR="006201C9" w:rsidRPr="006201C9" w:rsidP="006201C9">
      <w:pPr>
        <w:spacing w:after="0" w:line="240" w:lineRule="auto"/>
        <w:jc w:val="left"/>
        <w:rPr>
          <w:rFonts w:ascii="Times New Roman" w:hAnsi="Times New Roman"/>
          <w:i/>
          <w:sz w:val="20"/>
        </w:rPr>
      </w:pPr>
    </w:p>
    <w:p w:rsidR="006201C9" w:rsidRPr="006201C9" w:rsidP="006201C9">
      <w:pPr>
        <w:spacing w:after="0" w:line="240" w:lineRule="auto"/>
        <w:jc w:val="left"/>
        <w:rPr>
          <w:rFonts w:ascii="Times New Roman" w:hAnsi="Times New Roman"/>
          <w:bCs/>
          <w:i/>
          <w:sz w:val="20"/>
        </w:rPr>
      </w:pPr>
      <w:r w:rsidRPr="006201C9">
        <w:rPr>
          <w:rFonts w:ascii="Times New Roman" w:hAnsi="Times New Roman"/>
          <w:b/>
          <w:sz w:val="20"/>
        </w:rPr>
        <w:t>Name of Opinion</w:t>
      </w:r>
      <w:r w:rsidRPr="006201C9">
        <w:rPr>
          <w:rFonts w:ascii="Times New Roman" w:hAnsi="Times New Roman"/>
          <w:sz w:val="20"/>
        </w:rPr>
        <w:t xml:space="preserve"> Association for Los Angeles Deputy Sheriffs v. Superior Court</w:t>
      </w: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__________________________________________________________________________________</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Cs/>
          <w:sz w:val="20"/>
        </w:rPr>
      </w:pPr>
      <w:r w:rsidRPr="006201C9">
        <w:rPr>
          <w:rFonts w:ascii="Times New Roman" w:hAnsi="Times New Roman"/>
          <w:b/>
          <w:sz w:val="20"/>
        </w:rPr>
        <w:t>Unpublished Opinion</w:t>
      </w:r>
    </w:p>
    <w:p w:rsidR="006201C9" w:rsidRPr="006201C9" w:rsidP="006201C9">
      <w:pPr>
        <w:spacing w:after="0" w:line="240" w:lineRule="auto"/>
        <w:jc w:val="left"/>
        <w:rPr>
          <w:rFonts w:ascii="Times New Roman" w:hAnsi="Times New Roman"/>
          <w:sz w:val="20"/>
        </w:rPr>
      </w:pPr>
      <w:r w:rsidRPr="006201C9">
        <w:rPr>
          <w:rFonts w:ascii="Times New Roman" w:hAnsi="Times New Roman"/>
          <w:b/>
          <w:sz w:val="20"/>
        </w:rPr>
        <w:t>Original Appeal</w:t>
      </w: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Original Proceeding</w:t>
      </w:r>
    </w:p>
    <w:p w:rsidR="006201C9" w:rsidRPr="006201C9" w:rsidP="006201C9">
      <w:pPr>
        <w:spacing w:after="0" w:line="240" w:lineRule="auto"/>
        <w:jc w:val="left"/>
        <w:rPr>
          <w:rFonts w:ascii="Times New Roman" w:hAnsi="Times New Roman"/>
          <w:sz w:val="20"/>
        </w:rPr>
      </w:pPr>
      <w:r w:rsidRPr="006201C9">
        <w:rPr>
          <w:rFonts w:ascii="Times New Roman" w:hAnsi="Times New Roman"/>
          <w:b/>
          <w:sz w:val="20"/>
        </w:rPr>
        <w:t>Review Granted</w:t>
      </w:r>
      <w:r w:rsidRPr="006201C9">
        <w:rPr>
          <w:rFonts w:ascii="Times New Roman" w:hAnsi="Times New Roman"/>
          <w:sz w:val="20"/>
        </w:rPr>
        <w:t xml:space="preserve"> XXX 13 Cal.App.5th 413</w:t>
      </w: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Rehearing Granted</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__________________________________________________________________________________</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Cs/>
          <w:sz w:val="20"/>
        </w:rPr>
      </w:pPr>
      <w:r w:rsidRPr="006201C9">
        <w:rPr>
          <w:rFonts w:ascii="Times New Roman" w:hAnsi="Times New Roman"/>
          <w:b/>
          <w:sz w:val="20"/>
        </w:rPr>
        <w:t>Opinion No.</w:t>
      </w:r>
      <w:r w:rsidRPr="006201C9">
        <w:rPr>
          <w:rFonts w:ascii="Times New Roman" w:hAnsi="Times New Roman"/>
          <w:sz w:val="20"/>
        </w:rPr>
        <w:t xml:space="preserve"> S243855</w:t>
      </w:r>
    </w:p>
    <w:p w:rsidR="006201C9" w:rsidRPr="006201C9" w:rsidP="006201C9">
      <w:pPr>
        <w:spacing w:after="0" w:line="240" w:lineRule="auto"/>
        <w:jc w:val="left"/>
        <w:rPr>
          <w:rFonts w:ascii="Times New Roman" w:hAnsi="Times New Roman"/>
          <w:bCs/>
          <w:sz w:val="20"/>
        </w:rPr>
      </w:pPr>
      <w:r w:rsidRPr="006201C9">
        <w:rPr>
          <w:rFonts w:ascii="Times New Roman" w:hAnsi="Times New Roman"/>
          <w:b/>
          <w:sz w:val="20"/>
        </w:rPr>
        <w:t>Date Filed:</w:t>
      </w:r>
      <w:r w:rsidRPr="006201C9">
        <w:rPr>
          <w:rFonts w:ascii="Times New Roman" w:hAnsi="Times New Roman"/>
          <w:sz w:val="20"/>
        </w:rPr>
        <w:t xml:space="preserve"> August 26, 2019</w:t>
      </w: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__________________________________________________________________________________</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Cs/>
          <w:sz w:val="20"/>
        </w:rPr>
      </w:pPr>
      <w:r w:rsidRPr="006201C9">
        <w:rPr>
          <w:rFonts w:ascii="Times New Roman" w:hAnsi="Times New Roman"/>
          <w:b/>
          <w:sz w:val="20"/>
        </w:rPr>
        <w:t>Court:</w:t>
      </w:r>
      <w:r w:rsidRPr="006201C9">
        <w:rPr>
          <w:rFonts w:ascii="Times New Roman" w:hAnsi="Times New Roman"/>
          <w:sz w:val="20"/>
        </w:rPr>
        <w:t xml:space="preserve"> Superior</w:t>
      </w:r>
    </w:p>
    <w:p w:rsidR="006201C9" w:rsidRPr="006201C9" w:rsidP="006201C9">
      <w:pPr>
        <w:spacing w:after="0" w:line="240" w:lineRule="auto"/>
        <w:jc w:val="left"/>
        <w:rPr>
          <w:rFonts w:ascii="Times New Roman" w:hAnsi="Times New Roman"/>
          <w:bCs/>
          <w:sz w:val="20"/>
        </w:rPr>
      </w:pPr>
      <w:r w:rsidRPr="006201C9">
        <w:rPr>
          <w:rFonts w:ascii="Times New Roman" w:hAnsi="Times New Roman"/>
          <w:b/>
          <w:sz w:val="20"/>
        </w:rPr>
        <w:t>County:</w:t>
      </w:r>
      <w:r w:rsidRPr="006201C9">
        <w:rPr>
          <w:rFonts w:ascii="Times New Roman" w:hAnsi="Times New Roman"/>
          <w:sz w:val="20"/>
        </w:rPr>
        <w:t xml:space="preserve"> Los Angeles</w:t>
      </w:r>
    </w:p>
    <w:p w:rsidR="006201C9" w:rsidRPr="006201C9" w:rsidP="006201C9">
      <w:pPr>
        <w:spacing w:after="0" w:line="240" w:lineRule="auto"/>
        <w:ind w:left="720" w:hanging="720"/>
        <w:jc w:val="left"/>
        <w:rPr>
          <w:rFonts w:ascii="Times New Roman" w:hAnsi="Times New Roman"/>
          <w:bCs/>
          <w:sz w:val="20"/>
        </w:rPr>
      </w:pPr>
      <w:r w:rsidRPr="006201C9">
        <w:rPr>
          <w:rFonts w:ascii="Times New Roman" w:hAnsi="Times New Roman"/>
          <w:b/>
          <w:sz w:val="20"/>
        </w:rPr>
        <w:t>Judge:</w:t>
      </w:r>
      <w:r w:rsidRPr="006201C9">
        <w:rPr>
          <w:rFonts w:ascii="Times New Roman" w:hAnsi="Times New Roman"/>
          <w:sz w:val="20"/>
        </w:rPr>
        <w:t xml:space="preserve"> James C. Chalfant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__________________________________________________________________________________</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Counsel:</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Benedon &amp; Serlin, Douglas G. Benedon, Judith E. Posner; Green &amp; Shinee, Richard A. Shinee; The Gibbons Firm, Elizabeth J. Gibbons and Emily B. Suhr for Petitioner.</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Stone Busailah, Michael P. Stone, Muna Busailah and Robert Rabe for Riverside Sheriffs’ Association, Los Angeles Police Protective League, Southern California Alliance of Law Enforcement and Los Angeles School Police Association as Amici Curiae on behalf of Petitioner.</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Mastagni Holstedt, David P. Mastagni, David E. Mastagni, Isaac S. Stevens; Berry Wilkinson Law Group and Alison Berry Wilkinson for Peace Officers Research Associaiton and the PORAC Legal Defense Fund as Amici Curiae on behalf of Petitioner.</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Frederick Bennett for Respondent.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Liebert Cassidy Whitmore, Geoffrey S. Sheldon, Alex Y. Wong and James E. Oldendorph, Jr., for Real Parties in Interest.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Bartkiewicz, Kronick &amp; Shanahan and Jennifer T. Buckman for League of California Cities as Amicus Curiae on behalf of Real Parties in Interest.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Mark Zahner; Michael D. Schwartz, Chief Assistant District Attorney (Ventura); Jerry P. Coleman, Special Assistant District Attorney (San Francisco); and Albert C. Locher, Retired Assistant District Attorney (Sacramento) for California District Attorneys Association</w:t>
      </w:r>
      <w:r w:rsidRPr="006201C9">
        <w:rPr>
          <w:rFonts w:ascii="Times New Roman" w:hAnsi="Times New Roman"/>
          <w:b/>
          <w:sz w:val="20"/>
        </w:rPr>
        <w:t xml:space="preserve"> </w:t>
      </w:r>
      <w:r w:rsidRPr="006201C9">
        <w:rPr>
          <w:rFonts w:ascii="Times New Roman" w:hAnsi="Times New Roman"/>
          <w:sz w:val="20"/>
        </w:rPr>
        <w:t>as Amicus Curiae on behalf of Real Parties in Interest.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Peter J. Eliasberg, Melanie R.P. Ochoa; Bird, Marella, Boxer, Wolpert, Nessim, Drooks, Lincenberg &amp; Rhow, Benjamin N. Gluck, Naeun Rim and Nithin Kumar for ACLU of Southern California, ACLU of Northern California, ACLU of San Diego and Imperial Counties and Dignity and Power Now as Amici Curiae on behalf of Real Parties in Interest.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Page 2 – S243855 – counsel continued</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Counsel:</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Hilary Potashner, Federal Public Defender, and Alyssa D. Bell, Deputy Federal Public Defender, for the Office of the Federal Defender of Los Angeles</w:t>
      </w:r>
      <w:r w:rsidRPr="006201C9">
        <w:rPr>
          <w:rFonts w:ascii="Times New Roman" w:hAnsi="Times New Roman"/>
          <w:b/>
          <w:sz w:val="20"/>
        </w:rPr>
        <w:t xml:space="preserve"> </w:t>
      </w:r>
      <w:r w:rsidRPr="006201C9">
        <w:rPr>
          <w:rFonts w:ascii="Times New Roman" w:hAnsi="Times New Roman"/>
          <w:sz w:val="20"/>
        </w:rPr>
        <w:t>as Amicus Curiae on behalf of Real Parties in Interest.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Steven Harmon, Public Defender (Riverside) and Laura Arnold, Deputy Public Defender</w:t>
      </w:r>
      <w:r w:rsidRPr="006201C9">
        <w:rPr>
          <w:rFonts w:ascii="Times New Roman" w:hAnsi="Times New Roman"/>
          <w:b/>
          <w:sz w:val="20"/>
        </w:rPr>
        <w:t xml:space="preserve">, </w:t>
      </w:r>
      <w:r w:rsidRPr="006201C9">
        <w:rPr>
          <w:rFonts w:ascii="Times New Roman" w:hAnsi="Times New Roman"/>
          <w:sz w:val="20"/>
        </w:rPr>
        <w:t>for California Public Defenders Association and Law Offices of the Public Defender for the County of Riverside as Amici Curiae on behalf of Real Parties in Interest.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Jonathan Abel for Professor Jody D. Armour, Professor W. David Ball, Professor Lara Bazelon, Professor Samantha Buckingham, Dean Erwin Chemerinsky, Professor Gabriel “Jack” Chin, Professor Beth A. Colgan, Professor Sharon Dolovich, Professor Ingrid Eagly, Associate Dean Carrie Hemple, Professor Alex Kreit, Professor Máximo Langer, Professor Laurie Levenson, Associate Dean Justin Levitt, Professor Eric J. Miller, Professor Samuel Pillsbury, Dean L. Song Richardson, Professor Heidi Rummel, Professor Jonathan Simon, Professor Kelly Strader, Professor Katie Tinto, Professor Sherod Thaxton, Professor Ronald Tyler, Professor Rachel E. VanLandingham, Professor Robert Weisberg and Professor Kate Weisburd as Amici Curiae on behalf of Real Parties in Interest.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Alicia Virani and Stephen K. Dunkle for California Attorneys for Criminal Justice</w:t>
      </w:r>
      <w:r w:rsidRPr="006201C9">
        <w:rPr>
          <w:rFonts w:ascii="Times New Roman" w:hAnsi="Times New Roman"/>
          <w:b/>
          <w:sz w:val="20"/>
        </w:rPr>
        <w:t xml:space="preserve"> </w:t>
      </w:r>
      <w:r w:rsidRPr="006201C9">
        <w:rPr>
          <w:rFonts w:ascii="Times New Roman" w:hAnsi="Times New Roman"/>
          <w:sz w:val="20"/>
        </w:rPr>
        <w:t>as Amicus</w:t>
      </w:r>
      <w:r w:rsidRPr="006201C9">
        <w:rPr>
          <w:rFonts w:ascii="Times New Roman" w:hAnsi="Times New Roman"/>
          <w:b/>
          <w:sz w:val="20"/>
        </w:rPr>
        <w:t xml:space="preserve"> </w:t>
      </w:r>
      <w:r w:rsidRPr="006201C9">
        <w:rPr>
          <w:rFonts w:ascii="Times New Roman" w:hAnsi="Times New Roman"/>
          <w:sz w:val="20"/>
        </w:rPr>
        <w:t>Curiae on behalf of Real Parties in Interest.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George Gascón, District Attorney (San Francisco) and Allison G. Macbeth, Assistant District Attorney, for San Francisco District Attorney as Amicus</w:t>
      </w:r>
      <w:r w:rsidRPr="006201C9">
        <w:rPr>
          <w:rFonts w:ascii="Times New Roman" w:hAnsi="Times New Roman"/>
          <w:b/>
          <w:sz w:val="20"/>
        </w:rPr>
        <w:t xml:space="preserve"> </w:t>
      </w:r>
      <w:r w:rsidRPr="006201C9">
        <w:rPr>
          <w:rFonts w:ascii="Times New Roman" w:hAnsi="Times New Roman"/>
          <w:sz w:val="20"/>
        </w:rPr>
        <w:t>Curiae on behalf of Real Parties in Interest.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Xavier Becerra, Attorney General, Edward C. DuMont, State Solicitor General, Aimee Feinberg, Deputy State Solicitor General, Peter D. Halloran and J. Michael Chamberlain, Deputy Attorneys General, for Attorney General as Amicus Curiae on behalf of Real Parties in Interest.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Dennis J. Herrera, City Attorney (San Francisco) and Jeremy M. Goldman, Co-Chief of Appellate Litigation for City and County of San Francisco, by and through the San Francisco Police Department as Amici Curiae on behalf of Real Parties in Interest.</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Jeff Adachi, Public Defender (San Francisco), Matt Gonzalez, Chief Attorney, and Dorothy Bishoff, Deputy Public Defender, for San Francisco Public Defender’s Office as Amicus Curiae on behalf of Real Parties in Interest.</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br w:type="page"/>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b/>
          <w:sz w:val="20"/>
        </w:rPr>
      </w:pPr>
      <w:r w:rsidRPr="006201C9">
        <w:rPr>
          <w:rFonts w:ascii="Times New Roman" w:hAnsi="Times New Roman"/>
          <w:b/>
          <w:sz w:val="20"/>
        </w:rPr>
        <w:t>Counsel who argued in Supreme Court (not intended for publication with opinion):</w:t>
      </w:r>
    </w:p>
    <w:p w:rsidR="006201C9" w:rsidRPr="006201C9" w:rsidP="006201C9">
      <w:pPr>
        <w:spacing w:after="0" w:line="240" w:lineRule="auto"/>
        <w:jc w:val="left"/>
        <w:rPr>
          <w:rFonts w:ascii="Times New Roman" w:hAnsi="Times New Roman"/>
          <w:b/>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Judith E. Posner</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Benedon &amp; Serlin</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22708 Mariano Street</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Woodland Hills, CA  91367-6128</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(818) 340-1950</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Geoffrey S. Sheldon</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Liebert Cassidy Whitmore</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6033 West Century Boulevard, 5th Floor</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Los Angeles, CA  90045</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(310) 981-2000</w:t>
      </w:r>
    </w:p>
    <w:p w:rsidR="006201C9" w:rsidRPr="006201C9" w:rsidP="006201C9">
      <w:pPr>
        <w:spacing w:after="0" w:line="240" w:lineRule="auto"/>
        <w:jc w:val="left"/>
        <w:rPr>
          <w:rFonts w:ascii="Times New Roman" w:hAnsi="Times New Roman"/>
          <w:sz w:val="20"/>
        </w:rPr>
      </w:pP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Aimee Feinberg</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Deputy State Solicitor General</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1300 I Street, Suite 125</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Sacramento, CA  94244-2550</w:t>
      </w:r>
    </w:p>
    <w:p w:rsidR="006201C9" w:rsidRPr="006201C9" w:rsidP="006201C9">
      <w:pPr>
        <w:spacing w:after="0" w:line="240" w:lineRule="auto"/>
        <w:jc w:val="left"/>
        <w:rPr>
          <w:rFonts w:ascii="Times New Roman" w:hAnsi="Times New Roman"/>
          <w:sz w:val="20"/>
        </w:rPr>
      </w:pPr>
      <w:r w:rsidRPr="006201C9">
        <w:rPr>
          <w:rFonts w:ascii="Times New Roman" w:hAnsi="Times New Roman"/>
          <w:sz w:val="20"/>
        </w:rPr>
        <w:t>(916) 210-6003</w:t>
      </w:r>
    </w:p>
    <w:p w:rsidR="006201C9" w:rsidRPr="006201C9" w:rsidP="006201C9">
      <w:pPr>
        <w:spacing w:after="0" w:line="240" w:lineRule="auto"/>
        <w:jc w:val="left"/>
        <w:rPr>
          <w:rFonts w:ascii="Times New Roman" w:hAnsi="Times New Roman"/>
          <w:sz w:val="20"/>
        </w:rPr>
      </w:pPr>
    </w:p>
    <w:p w:rsidR="006201C9" w:rsidP="00616A31">
      <w:pPr>
        <w:tabs>
          <w:tab w:val="right" w:pos="7740"/>
        </w:tabs>
        <w:jc w:val="left"/>
        <w:rPr>
          <w:b/>
          <w:szCs w:val="26"/>
        </w:rPr>
      </w:pPr>
    </w:p>
    <w:sectPr w:rsidSect="0025329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1B6">
    <w:pPr>
      <w:pStyle w:val="Footer"/>
    </w:pPr>
    <w:r>
      <w:fldChar w:fldCharType="begin"/>
    </w:r>
    <w:r>
      <w:instrText>PAGE</w:instrText>
    </w:r>
    <w:r>
      <w:fldChar w:fldCharType="separate"/>
    </w:r>
    <w:r>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1B6">
    <w:pPr>
      <w:pStyle w:val="Footer"/>
    </w:pPr>
    <w:sdt>
      <w:sdtPr>
        <w:id w:val="-1872302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1B6" w:rsidP="00DF17BB">
    <w:pPr>
      <w:pStyle w:val="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C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C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415F">
      <w:r>
        <w:separator/>
      </w:r>
    </w:p>
  </w:footnote>
  <w:footnote w:type="continuationSeparator" w:id="1">
    <w:p w:rsidR="000C415F">
      <w:pPr>
        <w:rPr>
          <w:sz w:val="22"/>
        </w:rPr>
      </w:pPr>
      <w:r>
        <w:continuationSeparator/>
      </w:r>
    </w:p>
  </w:footnote>
  <w:footnote w:type="continuationNotice" w:id="2">
    <w:p w:rsidR="000C415F" w:rsidP="00F443B0">
      <w:pPr>
        <w:rPr>
          <w:i/>
          <w:sz w:val="20"/>
        </w:rPr>
      </w:pPr>
    </w:p>
  </w:footnote>
  <w:footnote w:id="3">
    <w:p w:rsidR="007021B6" w:rsidP="007436D0">
      <w:pPr>
        <w:pStyle w:val="FootnoteText"/>
      </w:pPr>
      <w:r>
        <w:rPr>
          <w:rStyle w:val="FootnoteReference"/>
        </w:rPr>
        <w:footnoteRef/>
      </w:r>
      <w:r>
        <w:t xml:space="preserve"> </w:t>
      </w:r>
      <w:r>
        <w:tab/>
        <w:t xml:space="preserve">The Association sought relief against several other individuals or entities, including then-Sheriff Jim McDonnell and the County of Los Angeles.  For ease of reference, and because these real parties in interest are similarly situated, we refer to the Department throughout. </w:t>
      </w:r>
    </w:p>
  </w:footnote>
  <w:footnote w:id="4">
    <w:p w:rsidR="007021B6" w:rsidP="007436D0">
      <w:pPr>
        <w:pStyle w:val="FootnoteText"/>
      </w:pPr>
      <w:r>
        <w:rPr>
          <w:rStyle w:val="FootnoteReference"/>
        </w:rPr>
        <w:footnoteRef/>
      </w:r>
      <w:r>
        <w:t xml:space="preserve"> </w:t>
      </w:r>
      <w:r>
        <w:tab/>
      </w:r>
      <w:r w:rsidRPr="00F06396">
        <w:t xml:space="preserve">The affidavit may be executed by an attorney based on information and belief; personal knowledge is not required.  (See </w:t>
      </w:r>
      <w:r w:rsidRPr="00F06396">
        <w:rPr>
          <w:i/>
        </w:rPr>
        <w:t xml:space="preserve">Garcia v. Superior Court </w:t>
      </w:r>
      <w:r w:rsidRPr="00F06396">
        <w:t xml:space="preserve">(2007) 42 Cal.4th 63, 74; see also </w:t>
      </w:r>
      <w:r w:rsidRPr="00F06396">
        <w:rPr>
          <w:i/>
        </w:rPr>
        <w:t xml:space="preserve">City of Santa Cruz v. Municipal Court </w:t>
      </w:r>
      <w:r w:rsidRPr="00F06396">
        <w:t>(1989) 49 Cal.3d 73, 86</w:t>
      </w:r>
      <w:r>
        <w:t xml:space="preserve"> (</w:t>
      </w:r>
      <w:r>
        <w:rPr>
          <w:i/>
        </w:rPr>
        <w:t>City of Santa Cruz</w:t>
      </w:r>
      <w:r>
        <w:t>)</w:t>
      </w:r>
      <w:r w:rsidRPr="00F06396">
        <w:t xml:space="preserve">; </w:t>
      </w:r>
      <w:r w:rsidRPr="00F06396">
        <w:rPr>
          <w:i/>
        </w:rPr>
        <w:t>People v. Memro</w:t>
      </w:r>
      <w:r w:rsidRPr="00F06396">
        <w:t xml:space="preserve"> (1985) 38 Cal.3d 658, 676</w:t>
      </w:r>
      <w:r>
        <w:t xml:space="preserve"> (</w:t>
      </w:r>
      <w:r>
        <w:rPr>
          <w:i/>
        </w:rPr>
        <w:t>Memro</w:t>
      </w:r>
      <w:r>
        <w:t>)</w:t>
      </w:r>
      <w:r w:rsidRPr="00F06396">
        <w:t>.)</w:t>
      </w:r>
    </w:p>
  </w:footnote>
  <w:footnote w:id="5">
    <w:p w:rsidR="007021B6" w:rsidP="007436D0">
      <w:pPr>
        <w:pStyle w:val="FootnoteText"/>
      </w:pPr>
      <w:r>
        <w:rPr>
          <w:rStyle w:val="FootnoteReference"/>
        </w:rPr>
        <w:footnoteRef/>
      </w:r>
      <w:r>
        <w:t xml:space="preserve"> </w:t>
      </w:r>
      <w:r>
        <w:tab/>
        <w:t xml:space="preserve">We express no view </w:t>
      </w:r>
      <w:r w:rsidR="009E78EB">
        <w:t>regarding</w:t>
      </w:r>
      <w:r>
        <w:t xml:space="preserve"> whether an agency “release[s]” records concerning frivolous or unfounded civilian complaints “pursuant to this section” when it shares them only with a prosecutor’s office.  (Pen. Code, § 832.7, subd. (b)(8).) </w:t>
      </w:r>
    </w:p>
  </w:footnote>
  <w:footnote w:id="6">
    <w:p w:rsidR="007021B6" w:rsidRPr="007E0D13" w:rsidP="00D66800">
      <w:pPr>
        <w:pStyle w:val="FootnoteText"/>
      </w:pPr>
      <w:r>
        <w:rPr>
          <w:rStyle w:val="FootnoteReference"/>
        </w:rPr>
        <w:footnoteRef/>
      </w:r>
      <w:r>
        <w:t xml:space="preserve"> </w:t>
      </w:r>
      <w:r>
        <w:tab/>
        <w:t xml:space="preserve">We express no view concerning whether Senate Bill 1421 affects the confidentiality of records that existed before the legislation’s effective date. </w:t>
      </w:r>
    </w:p>
  </w:footnote>
  <w:footnote w:id="7">
    <w:p w:rsidR="007021B6">
      <w:pPr>
        <w:pStyle w:val="FootnoteText"/>
      </w:pPr>
      <w:r>
        <w:rPr>
          <w:rStyle w:val="FootnoteReference"/>
        </w:rPr>
        <w:footnoteRef/>
      </w:r>
      <w:r>
        <w:t xml:space="preserve"> </w:t>
      </w:r>
      <w:r>
        <w:tab/>
        <w:t xml:space="preserve">If anything, the recent amendment to section 832.7(a) tends to indicate that the condition of confidentiality is meant to shield information from the public’s eyes — not from the eyes of government officials who may need that information to satisfy a constitutional obligation.  (See Pen. Code, § 832.7, subd. (b)(1) [certain records “shall not be confidential and shall be made available for public inspection pursuant to the California Public Records Act”]; cf. </w:t>
      </w:r>
      <w:r>
        <w:rPr>
          <w:i/>
        </w:rPr>
        <w:t>Copley Press</w:t>
      </w:r>
      <w:r>
        <w:t xml:space="preserve">, </w:t>
      </w:r>
      <w:r>
        <w:rPr>
          <w:i/>
        </w:rPr>
        <w:t>supra</w:t>
      </w:r>
      <w:r>
        <w:t>, 39 Cal.4th at p. 1285 [Pen. Code, § 832.7, subds. (c)-(d), “specify circumstances under which information may be released to the general public and the scope of information that may be released”].)</w:t>
      </w:r>
    </w:p>
  </w:footnote>
  <w:footnote w:id="8">
    <w:p w:rsidR="007021B6" w:rsidRPr="00D777FC" w:rsidP="00A22C13">
      <w:pPr>
        <w:pStyle w:val="FootnoteText"/>
      </w:pPr>
      <w:r>
        <w:rPr>
          <w:rStyle w:val="FootnoteReference"/>
        </w:rPr>
        <w:footnoteRef/>
      </w:r>
      <w:r>
        <w:t xml:space="preserve"> </w:t>
      </w:r>
      <w:r>
        <w:tab/>
        <w:t xml:space="preserve">We </w:t>
      </w:r>
      <w:r w:rsidR="006F76E2">
        <w:t>need</w:t>
      </w:r>
      <w:r>
        <w:t xml:space="preserve"> not hold that all information known to officers is necessarily within the scope of the </w:t>
      </w:r>
      <w:r>
        <w:rPr>
          <w:i/>
        </w:rPr>
        <w:t>Brady</w:t>
      </w:r>
      <w:r>
        <w:t xml:space="preserve"> duty.  For now, i</w:t>
      </w:r>
      <w:r w:rsidRPr="00A22C13">
        <w:t>t is enough to say that records connected to officers</w:t>
      </w:r>
      <w:r w:rsidR="00C049DC">
        <w:t>’</w:t>
      </w:r>
      <w:r>
        <w:t xml:space="preserve"> discipline</w:t>
      </w:r>
      <w:r w:rsidRPr="00A22C13">
        <w:t xml:space="preserve"> cannot be categorically excluded from </w:t>
      </w:r>
      <w:r w:rsidR="0084625E">
        <w:t>that</w:t>
      </w:r>
      <w:r w:rsidRPr="00A22C13">
        <w:rPr>
          <w:i/>
        </w:rPr>
        <w:t xml:space="preserve"> </w:t>
      </w:r>
      <w:r w:rsidRPr="00A22C13">
        <w:t>duty.</w:t>
      </w:r>
    </w:p>
  </w:footnote>
  <w:footnote w:id="9">
    <w:p w:rsidR="00A74D83" w:rsidRPr="001B4976" w:rsidP="00A74D83">
      <w:pPr>
        <w:pStyle w:val="FootnoteText"/>
        <w:rPr>
          <w:i/>
        </w:rPr>
      </w:pPr>
      <w:r>
        <w:rPr>
          <w:rStyle w:val="FootnoteReference"/>
        </w:rPr>
        <w:footnoteRef/>
      </w:r>
      <w:r>
        <w:t xml:space="preserve"> </w:t>
      </w:r>
      <w:r>
        <w:tab/>
      </w:r>
      <w:r w:rsidR="0006460A">
        <w:t xml:space="preserve">To permit </w:t>
      </w:r>
      <w:r w:rsidR="0006460A">
        <w:rPr>
          <w:i/>
        </w:rPr>
        <w:t xml:space="preserve">Brady </w:t>
      </w:r>
      <w:r w:rsidR="0006460A">
        <w:t xml:space="preserve">alerts is not to require </w:t>
      </w:r>
      <w:r w:rsidR="00062DFB">
        <w:t xml:space="preserve">that </w:t>
      </w:r>
      <w:r w:rsidR="00062DFB">
        <w:rPr>
          <w:i/>
        </w:rPr>
        <w:t xml:space="preserve">Pitchess </w:t>
      </w:r>
      <w:r w:rsidR="00062DFB">
        <w:t>motion</w:t>
      </w:r>
      <w:r w:rsidR="00243C09">
        <w:t>s</w:t>
      </w:r>
      <w:r w:rsidR="00062DFB">
        <w:t xml:space="preserve"> be supported by such alert</w:t>
      </w:r>
      <w:r w:rsidR="00243C09">
        <w:t>s</w:t>
      </w:r>
      <w:r w:rsidR="00B63697">
        <w:t>;</w:t>
      </w:r>
      <w:r w:rsidR="00EF5727">
        <w:t xml:space="preserve"> </w:t>
      </w:r>
      <w:r>
        <w:t xml:space="preserve">there may be good cause for in camera inspection even if </w:t>
      </w:r>
      <w:r w:rsidR="00D6119E">
        <w:t>officers have</w:t>
      </w:r>
      <w:r>
        <w:t xml:space="preserve"> been omitted from a </w:t>
      </w:r>
      <w:r>
        <w:rPr>
          <w:i/>
        </w:rPr>
        <w:t>Brady</w:t>
      </w:r>
      <w:r>
        <w:t xml:space="preserve"> list maintained by </w:t>
      </w:r>
      <w:r w:rsidR="00E57BD5">
        <w:t>their</w:t>
      </w:r>
      <w:r>
        <w:t xml:space="preserve"> department.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1B6">
    <w:pPr>
      <w:pStyle w:val="Header"/>
    </w:pPr>
    <w:r>
      <w:t xml:space="preserve">ASSOCIATION FOR LOS ANGELES DEPUTY SHERIFFS v. </w:t>
    </w:r>
    <w:r>
      <w:br/>
      <w:t>SUPERIOR COURT</w:t>
    </w:r>
  </w:p>
  <w:p w:rsidR="007021B6">
    <w:pPr>
      <w:pStyle w:val="Header"/>
    </w:pPr>
    <w:r>
      <w:t>Opinion of the Court by Cantil-Sakauye, C. J.</w:t>
    </w:r>
  </w:p>
  <w:p w:rsidR="007021B6" w:rsidP="00211423">
    <w:pPr>
      <w:pStyle w:val="Header"/>
      <w:tabs>
        <w:tab w:val="left" w:pos="4320"/>
        <w:tab w:val="clear" w:pos="10080"/>
      </w:tabs>
      <w:jc w:val="lef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1B6" w:rsidRPr="00BF2292" w:rsidP="00BF2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C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C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416BE"/>
    <w:multiLevelType w:val="hybridMultilevel"/>
    <w:tmpl w:val="C0DC6CA4"/>
    <w:lvl w:ilvl="0">
      <w:start w:val="1"/>
      <w:numFmt w:val="upperLetter"/>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215840"/>
    <w:multiLevelType w:val="hybridMultilevel"/>
    <w:tmpl w:val="E6B688A6"/>
    <w:lvl w:ilvl="0">
      <w:start w:val="3"/>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C6172C7"/>
    <w:multiLevelType w:val="hybridMultilevel"/>
    <w:tmpl w:val="C0DC6CA4"/>
    <w:lvl w:ilvl="0">
      <w:start w:val="1"/>
      <w:numFmt w:val="upperLetter"/>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6625ED"/>
    <w:multiLevelType w:val="hybridMultilevel"/>
    <w:tmpl w:val="C0DC6CA4"/>
    <w:lvl w:ilvl="0">
      <w:start w:val="1"/>
      <w:numFmt w:val="upperLetter"/>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80E53BC"/>
    <w:multiLevelType w:val="hybridMultilevel"/>
    <w:tmpl w:val="4F04AA5A"/>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1FC5FF9"/>
    <w:multiLevelType w:val="hybridMultilevel"/>
    <w:tmpl w:val="CAF810FE"/>
    <w:lvl w:ilvl="0">
      <w:start w:val="32"/>
      <w:numFmt w:val="bullet"/>
      <w:lvlText w:val="—"/>
      <w:lvlJc w:val="left"/>
      <w:pPr>
        <w:ind w:left="720" w:hanging="360"/>
      </w:pPr>
      <w:rPr>
        <w:rFonts w:ascii="Century Schoolbook" w:eastAsia="Times New Roman" w:hAnsi="Century Schoolbook"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2D960AB"/>
    <w:multiLevelType w:val="hybridMultilevel"/>
    <w:tmpl w:val="0ED4424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68D505F"/>
    <w:multiLevelType w:val="hybridMultilevel"/>
    <w:tmpl w:val="A58A4CDE"/>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D784038"/>
    <w:multiLevelType w:val="hybridMultilevel"/>
    <w:tmpl w:val="CCAA5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597B1485"/>
    <w:multiLevelType w:val="hybridMultilevel"/>
    <w:tmpl w:val="3B605026"/>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07E7F7D"/>
    <w:multiLevelType w:val="hybridMultilevel"/>
    <w:tmpl w:val="B224C1E0"/>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923379F"/>
    <w:multiLevelType w:val="hybridMultilevel"/>
    <w:tmpl w:val="05946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10"/>
  </w:num>
  <w:num w:numId="8">
    <w:abstractNumId w:val="8"/>
  </w:num>
  <w:num w:numId="9">
    <w:abstractNumId w:val="2"/>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6D0"/>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436D0"/>
    <w:pPr>
      <w:keepNext/>
      <w:spacing w:before="140" w:line="240" w:lineRule="atLeast"/>
      <w:jc w:val="center"/>
      <w:outlineLvl w:val="0"/>
    </w:pPr>
    <w:rPr>
      <w:b/>
      <w:smallCaps/>
    </w:rPr>
  </w:style>
  <w:style w:type="paragraph" w:styleId="Heading2">
    <w:name w:val="heading 2"/>
    <w:basedOn w:val="Normal"/>
    <w:next w:val="Normal"/>
    <w:link w:val="Heading2Char"/>
    <w:qFormat/>
    <w:rsid w:val="007436D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436D0"/>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7436D0"/>
    <w:pPr>
      <w:keepNext/>
      <w:tabs>
        <w:tab w:val="left" w:pos="2016"/>
      </w:tabs>
      <w:spacing w:before="140" w:line="240" w:lineRule="atLeast"/>
      <w:ind w:left="2016" w:hanging="432"/>
      <w:jc w:val="left"/>
      <w:outlineLvl w:val="3"/>
    </w:pPr>
    <w:rPr>
      <w:i/>
    </w:rPr>
  </w:style>
  <w:style w:type="paragraph" w:styleId="Heading5">
    <w:name w:val="heading 5"/>
    <w:basedOn w:val="Normal"/>
    <w:rsid w:val="007436D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436D0"/>
    <w:pPr>
      <w:ind w:left="720"/>
    </w:pPr>
  </w:style>
  <w:style w:type="paragraph" w:styleId="Footer">
    <w:name w:val="footer"/>
    <w:basedOn w:val="Normal"/>
    <w:link w:val="FooterChar"/>
    <w:qFormat/>
    <w:rsid w:val="007436D0"/>
    <w:pPr>
      <w:tabs>
        <w:tab w:val="center" w:pos="3960"/>
        <w:tab w:val="right" w:pos="10080"/>
      </w:tabs>
      <w:spacing w:after="0" w:line="240" w:lineRule="auto"/>
      <w:jc w:val="center"/>
    </w:pPr>
    <w:rPr>
      <w:sz w:val="22"/>
    </w:rPr>
  </w:style>
  <w:style w:type="paragraph" w:styleId="Header">
    <w:name w:val="header"/>
    <w:basedOn w:val="Normal"/>
    <w:link w:val="HeaderChar"/>
    <w:qFormat/>
    <w:rsid w:val="007436D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436D0"/>
    <w:rPr>
      <w:rFonts w:ascii="Century Schoolbook" w:hAnsi="Century Schoolbook"/>
      <w:b/>
      <w:i w:val="0"/>
      <w:position w:val="4"/>
      <w:sz w:val="27"/>
      <w:vertAlign w:val="superscript"/>
    </w:rPr>
  </w:style>
  <w:style w:type="paragraph" w:styleId="FootnoteText">
    <w:name w:val="footnote text"/>
    <w:basedOn w:val="Normal"/>
    <w:link w:val="FootnoteTextChar"/>
    <w:rsid w:val="007436D0"/>
    <w:pPr>
      <w:spacing w:line="300" w:lineRule="exact"/>
    </w:pPr>
  </w:style>
  <w:style w:type="paragraph" w:customStyle="1" w:styleId="Title1">
    <w:name w:val="Title1"/>
    <w:basedOn w:val="Normal"/>
    <w:rsid w:val="007436D0"/>
    <w:pPr>
      <w:tabs>
        <w:tab w:val="left" w:pos="5760"/>
        <w:tab w:val="left" w:pos="6480"/>
      </w:tabs>
      <w:spacing w:line="240" w:lineRule="atLeast"/>
    </w:pPr>
  </w:style>
  <w:style w:type="paragraph" w:customStyle="1" w:styleId="Recommend">
    <w:name w:val="Recommend"/>
    <w:basedOn w:val="Normal"/>
    <w:rsid w:val="007436D0"/>
  </w:style>
  <w:style w:type="paragraph" w:customStyle="1" w:styleId="Summary">
    <w:name w:val="Summary"/>
    <w:basedOn w:val="Normal"/>
    <w:rsid w:val="007436D0"/>
    <w:pPr>
      <w:ind w:left="2160" w:hanging="2160"/>
    </w:pPr>
  </w:style>
  <w:style w:type="paragraph" w:customStyle="1" w:styleId="Text">
    <w:name w:val="Text"/>
    <w:basedOn w:val="Normal"/>
    <w:rsid w:val="007436D0"/>
    <w:pPr>
      <w:tabs>
        <w:tab w:val="left" w:pos="720"/>
        <w:tab w:val="left" w:pos="1440"/>
        <w:tab w:val="left" w:pos="2160"/>
        <w:tab w:val="center" w:pos="4320"/>
      </w:tabs>
      <w:spacing w:line="480" w:lineRule="atLeast"/>
      <w:ind w:firstLine="540"/>
    </w:pPr>
  </w:style>
  <w:style w:type="paragraph" w:styleId="Date">
    <w:name w:val="Date"/>
    <w:basedOn w:val="Normal"/>
    <w:semiHidden/>
    <w:rsid w:val="007436D0"/>
    <w:pPr>
      <w:jc w:val="right"/>
    </w:pPr>
  </w:style>
  <w:style w:type="character" w:styleId="PageNumber">
    <w:name w:val="page number"/>
    <w:basedOn w:val="DefaultParagraphFont"/>
    <w:rsid w:val="007436D0"/>
  </w:style>
  <w:style w:type="paragraph" w:customStyle="1" w:styleId="subject">
    <w:name w:val="subject"/>
    <w:basedOn w:val="Normal"/>
    <w:rsid w:val="007436D0"/>
    <w:pPr>
      <w:tabs>
        <w:tab w:val="left" w:pos="1008"/>
      </w:tabs>
      <w:ind w:left="990" w:hanging="990"/>
    </w:pPr>
    <w:rPr>
      <w:b/>
    </w:rPr>
  </w:style>
  <w:style w:type="paragraph" w:customStyle="1" w:styleId="Titles">
    <w:name w:val="Titles"/>
    <w:basedOn w:val="Normal"/>
    <w:rsid w:val="007436D0"/>
    <w:pPr>
      <w:tabs>
        <w:tab w:val="left" w:pos="2160"/>
      </w:tabs>
      <w:ind w:left="2160" w:hanging="2160"/>
    </w:pPr>
    <w:rPr>
      <w:b/>
    </w:rPr>
  </w:style>
  <w:style w:type="paragraph" w:styleId="TOAHeading">
    <w:name w:val="toa heading"/>
    <w:basedOn w:val="Normal"/>
    <w:next w:val="Normal"/>
    <w:semiHidden/>
    <w:rsid w:val="007436D0"/>
    <w:pPr>
      <w:spacing w:before="120"/>
    </w:pPr>
    <w:rPr>
      <w:b/>
    </w:rPr>
  </w:style>
  <w:style w:type="paragraph" w:styleId="TOC1">
    <w:name w:val="toc 1"/>
    <w:basedOn w:val="Normal"/>
    <w:next w:val="Normal"/>
    <w:autoRedefine/>
    <w:semiHidden/>
    <w:rsid w:val="007436D0"/>
  </w:style>
  <w:style w:type="paragraph" w:styleId="TOC2">
    <w:name w:val="toc 2"/>
    <w:basedOn w:val="Normal"/>
    <w:next w:val="Normal"/>
    <w:autoRedefine/>
    <w:semiHidden/>
    <w:rsid w:val="007436D0"/>
    <w:pPr>
      <w:ind w:left="259"/>
    </w:pPr>
  </w:style>
  <w:style w:type="paragraph" w:styleId="TOC3">
    <w:name w:val="toc 3"/>
    <w:basedOn w:val="Normal"/>
    <w:next w:val="Normal"/>
    <w:autoRedefine/>
    <w:semiHidden/>
    <w:rsid w:val="007436D0"/>
    <w:pPr>
      <w:ind w:left="520"/>
    </w:pPr>
  </w:style>
  <w:style w:type="paragraph" w:styleId="TOC4">
    <w:name w:val="toc 4"/>
    <w:basedOn w:val="Normal"/>
    <w:next w:val="Normal"/>
    <w:autoRedefine/>
    <w:semiHidden/>
    <w:rsid w:val="007436D0"/>
    <w:pPr>
      <w:ind w:left="780"/>
    </w:pPr>
  </w:style>
  <w:style w:type="paragraph" w:styleId="TOC5">
    <w:name w:val="toc 5"/>
    <w:basedOn w:val="Normal"/>
    <w:next w:val="Normal"/>
    <w:autoRedefine/>
    <w:semiHidden/>
    <w:rsid w:val="007436D0"/>
    <w:pPr>
      <w:ind w:left="1040"/>
    </w:pPr>
  </w:style>
  <w:style w:type="paragraph" w:styleId="TOC6">
    <w:name w:val="toc 6"/>
    <w:basedOn w:val="Normal"/>
    <w:next w:val="Normal"/>
    <w:autoRedefine/>
    <w:semiHidden/>
    <w:rsid w:val="007436D0"/>
    <w:pPr>
      <w:ind w:left="1300"/>
    </w:pPr>
  </w:style>
  <w:style w:type="paragraph" w:styleId="TOC7">
    <w:name w:val="toc 7"/>
    <w:basedOn w:val="Normal"/>
    <w:next w:val="Normal"/>
    <w:autoRedefine/>
    <w:semiHidden/>
    <w:rsid w:val="007436D0"/>
    <w:pPr>
      <w:ind w:left="1560"/>
    </w:pPr>
  </w:style>
  <w:style w:type="paragraph" w:styleId="TOC8">
    <w:name w:val="toc 8"/>
    <w:basedOn w:val="Normal"/>
    <w:next w:val="Normal"/>
    <w:autoRedefine/>
    <w:semiHidden/>
    <w:rsid w:val="007436D0"/>
    <w:pPr>
      <w:ind w:left="1820"/>
    </w:pPr>
  </w:style>
  <w:style w:type="paragraph" w:styleId="TOC9">
    <w:name w:val="toc 9"/>
    <w:basedOn w:val="Normal"/>
    <w:next w:val="Normal"/>
    <w:autoRedefine/>
    <w:semiHidden/>
    <w:rsid w:val="007436D0"/>
    <w:pPr>
      <w:ind w:left="2080"/>
    </w:pPr>
  </w:style>
  <w:style w:type="paragraph" w:customStyle="1" w:styleId="Contents">
    <w:name w:val="Contents"/>
    <w:basedOn w:val="Normal"/>
    <w:rsid w:val="007436D0"/>
    <w:pPr>
      <w:jc w:val="center"/>
    </w:pPr>
    <w:rPr>
      <w:b/>
      <w:spacing w:val="100"/>
    </w:rPr>
  </w:style>
  <w:style w:type="character" w:styleId="CommentReference">
    <w:name w:val="annotation reference"/>
    <w:basedOn w:val="DefaultParagraphFont"/>
    <w:uiPriority w:val="99"/>
    <w:semiHidden/>
    <w:unhideWhenUsed/>
    <w:rsid w:val="005E5CA4"/>
    <w:rPr>
      <w:sz w:val="16"/>
      <w:szCs w:val="16"/>
    </w:rPr>
  </w:style>
  <w:style w:type="paragraph" w:styleId="CommentText">
    <w:name w:val="annotation text"/>
    <w:basedOn w:val="Normal"/>
    <w:link w:val="CommentTextChar"/>
    <w:uiPriority w:val="99"/>
    <w:unhideWhenUsed/>
    <w:rsid w:val="005E5CA4"/>
    <w:rPr>
      <w:sz w:val="20"/>
    </w:rPr>
  </w:style>
  <w:style w:type="character" w:customStyle="1" w:styleId="CommentTextChar">
    <w:name w:val="Comment Text Char"/>
    <w:basedOn w:val="DefaultParagraphFont"/>
    <w:link w:val="CommentText"/>
    <w:uiPriority w:val="99"/>
    <w:rsid w:val="005E5CA4"/>
  </w:style>
  <w:style w:type="paragraph" w:styleId="BalloonText">
    <w:name w:val="Balloon Text"/>
    <w:basedOn w:val="Normal"/>
    <w:link w:val="BalloonTextChar"/>
    <w:uiPriority w:val="99"/>
    <w:semiHidden/>
    <w:unhideWhenUsed/>
    <w:rsid w:val="005E5CA4"/>
    <w:rPr>
      <w:rFonts w:ascii="Tahoma" w:hAnsi="Tahoma" w:cs="Tahoma"/>
      <w:sz w:val="16"/>
      <w:szCs w:val="16"/>
    </w:rPr>
  </w:style>
  <w:style w:type="character" w:customStyle="1" w:styleId="BalloonTextChar">
    <w:name w:val="Balloon Text Char"/>
    <w:basedOn w:val="DefaultParagraphFont"/>
    <w:link w:val="BalloonText"/>
    <w:uiPriority w:val="99"/>
    <w:semiHidden/>
    <w:rsid w:val="005E5CA4"/>
    <w:rPr>
      <w:rFonts w:ascii="Tahoma" w:hAnsi="Tahoma" w:cs="Tahoma"/>
      <w:sz w:val="16"/>
      <w:szCs w:val="16"/>
    </w:rPr>
  </w:style>
  <w:style w:type="character" w:customStyle="1" w:styleId="Heading1Char">
    <w:name w:val="Heading 1 Char"/>
    <w:basedOn w:val="DefaultParagraphFont"/>
    <w:link w:val="Heading1"/>
    <w:rsid w:val="00A6259F"/>
    <w:rPr>
      <w:rFonts w:ascii="Century Schoolbook" w:hAnsi="Century Schoolbook"/>
      <w:b/>
      <w:smallCaps/>
      <w:sz w:val="27"/>
    </w:rPr>
  </w:style>
  <w:style w:type="character" w:customStyle="1" w:styleId="Heading2Char">
    <w:name w:val="Heading 2 Char"/>
    <w:basedOn w:val="DefaultParagraphFont"/>
    <w:link w:val="Heading2"/>
    <w:rsid w:val="00A6259F"/>
    <w:rPr>
      <w:rFonts w:ascii="Century Schoolbook" w:hAnsi="Century Schoolbook"/>
      <w:b/>
      <w:sz w:val="27"/>
    </w:rPr>
  </w:style>
  <w:style w:type="character" w:customStyle="1" w:styleId="Heading3Char">
    <w:name w:val="Heading 3 Char"/>
    <w:basedOn w:val="DefaultParagraphFont"/>
    <w:link w:val="Heading3"/>
    <w:rsid w:val="00A6259F"/>
    <w:rPr>
      <w:rFonts w:ascii="Century Schoolbook" w:hAnsi="Century Schoolbook"/>
      <w:i/>
      <w:sz w:val="27"/>
    </w:rPr>
  </w:style>
  <w:style w:type="character" w:customStyle="1" w:styleId="Heading4Char">
    <w:name w:val="Heading 4 Char"/>
    <w:basedOn w:val="DefaultParagraphFont"/>
    <w:link w:val="Heading4"/>
    <w:rsid w:val="00061206"/>
    <w:rPr>
      <w:rFonts w:ascii="Century Schoolbook" w:hAnsi="Century Schoolbook"/>
      <w:i/>
      <w:sz w:val="27"/>
    </w:rPr>
  </w:style>
  <w:style w:type="character" w:customStyle="1" w:styleId="FootnoteTextChar">
    <w:name w:val="Footnote Text Char"/>
    <w:basedOn w:val="DefaultParagraphFont"/>
    <w:link w:val="FootnoteText"/>
    <w:rsid w:val="00A6259F"/>
    <w:rPr>
      <w:rFonts w:ascii="Century Schoolbook" w:hAnsi="Century Schoolbook"/>
      <w:sz w:val="27"/>
    </w:rPr>
  </w:style>
  <w:style w:type="paragraph" w:styleId="ListParagraph">
    <w:name w:val="List Paragraph"/>
    <w:basedOn w:val="Normal"/>
    <w:uiPriority w:val="34"/>
    <w:qFormat/>
    <w:rsid w:val="00891A34"/>
    <w:pPr>
      <w:ind w:left="720"/>
      <w:contextualSpacing/>
    </w:pPr>
  </w:style>
  <w:style w:type="character" w:customStyle="1" w:styleId="cosearchterm">
    <w:name w:val="co_searchterm"/>
    <w:basedOn w:val="DefaultParagraphFont"/>
    <w:rsid w:val="00075DE0"/>
  </w:style>
  <w:style w:type="character" w:styleId="Emphasis">
    <w:name w:val="Emphasis"/>
    <w:basedOn w:val="DefaultParagraphFont"/>
    <w:uiPriority w:val="20"/>
    <w:qFormat/>
    <w:rsid w:val="00740C35"/>
    <w:rPr>
      <w:i/>
      <w:iCs/>
    </w:rPr>
  </w:style>
  <w:style w:type="character" w:customStyle="1" w:styleId="costarpage">
    <w:name w:val="co_starpage"/>
    <w:basedOn w:val="DefaultParagraphFont"/>
    <w:rsid w:val="00112634"/>
  </w:style>
  <w:style w:type="character" w:customStyle="1" w:styleId="cohl">
    <w:name w:val="co_hl"/>
    <w:basedOn w:val="DefaultParagraphFont"/>
    <w:rsid w:val="00703C58"/>
  </w:style>
  <w:style w:type="character" w:styleId="Hyperlink">
    <w:name w:val="Hyperlink"/>
    <w:basedOn w:val="DefaultParagraphFont"/>
    <w:uiPriority w:val="99"/>
    <w:unhideWhenUsed/>
    <w:rsid w:val="00926D68"/>
    <w:rPr>
      <w:color w:val="0000FF" w:themeColor="hyperlink"/>
      <w:u w:val="single"/>
    </w:rPr>
  </w:style>
  <w:style w:type="character" w:customStyle="1" w:styleId="UnresolvedMention1">
    <w:name w:val="Unresolved Mention1"/>
    <w:basedOn w:val="DefaultParagraphFont"/>
    <w:uiPriority w:val="99"/>
    <w:semiHidden/>
    <w:unhideWhenUsed/>
    <w:rsid w:val="00926D68"/>
    <w:rPr>
      <w:color w:val="808080"/>
      <w:shd w:val="clear" w:color="auto" w:fill="E6E6E6"/>
    </w:rPr>
  </w:style>
  <w:style w:type="character" w:styleId="FollowedHyperlink">
    <w:name w:val="FollowedHyperlink"/>
    <w:basedOn w:val="DefaultParagraphFont"/>
    <w:uiPriority w:val="99"/>
    <w:semiHidden/>
    <w:unhideWhenUsed/>
    <w:rsid w:val="0020247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E02CE"/>
    <w:rPr>
      <w:b/>
      <w:bCs/>
    </w:rPr>
  </w:style>
  <w:style w:type="character" w:customStyle="1" w:styleId="CommentSubjectChar">
    <w:name w:val="Comment Subject Char"/>
    <w:basedOn w:val="CommentTextChar"/>
    <w:link w:val="CommentSubject"/>
    <w:uiPriority w:val="99"/>
    <w:semiHidden/>
    <w:rsid w:val="009E02CE"/>
    <w:rPr>
      <w:b/>
      <w:bCs/>
    </w:rPr>
  </w:style>
  <w:style w:type="paragraph" w:styleId="NormalWeb">
    <w:name w:val="Normal (Web)"/>
    <w:basedOn w:val="Normal"/>
    <w:uiPriority w:val="99"/>
    <w:semiHidden/>
    <w:unhideWhenUsed/>
    <w:rsid w:val="004E580C"/>
    <w:pPr>
      <w:spacing w:before="100" w:beforeAutospacing="1" w:afterAutospacing="1"/>
    </w:pPr>
    <w:rPr>
      <w:sz w:val="24"/>
      <w:szCs w:val="24"/>
    </w:rPr>
  </w:style>
  <w:style w:type="paragraph" w:styleId="BodyText">
    <w:name w:val="Body Text"/>
    <w:basedOn w:val="Normal"/>
    <w:link w:val="BodyTextChar"/>
    <w:qFormat/>
    <w:rsid w:val="007436D0"/>
  </w:style>
  <w:style w:type="character" w:customStyle="1" w:styleId="BodyTextChar">
    <w:name w:val="Body Text Char"/>
    <w:basedOn w:val="DefaultParagraphFont"/>
    <w:link w:val="BodyText"/>
    <w:rsid w:val="007436D0"/>
    <w:rPr>
      <w:rFonts w:ascii="Century Schoolbook" w:hAnsi="Century Schoolbook"/>
      <w:sz w:val="27"/>
    </w:rPr>
  </w:style>
  <w:style w:type="character" w:customStyle="1" w:styleId="FooterChar">
    <w:name w:val="Footer Char"/>
    <w:basedOn w:val="DefaultParagraphFont"/>
    <w:link w:val="Footer"/>
    <w:uiPriority w:val="99"/>
    <w:rsid w:val="00A14000"/>
    <w:rPr>
      <w:rFonts w:ascii="Century Schoolbook" w:hAnsi="Century Schoolbook"/>
      <w:sz w:val="22"/>
    </w:rPr>
  </w:style>
  <w:style w:type="character" w:customStyle="1" w:styleId="HeaderChar">
    <w:name w:val="Header Char"/>
    <w:basedOn w:val="DefaultParagraphFont"/>
    <w:link w:val="Header"/>
    <w:rsid w:val="00F06130"/>
    <w:rPr>
      <w:rFonts w:ascii="Century Schoolbook" w:hAnsi="Century Schoolbook"/>
      <w:sz w:val="22"/>
    </w:rPr>
  </w:style>
  <w:style w:type="character" w:customStyle="1" w:styleId="apple-converted-space">
    <w:name w:val="apple-converted-space"/>
    <w:basedOn w:val="DefaultParagraphFont"/>
    <w:rsid w:val="00EB4120"/>
  </w:style>
  <w:style w:type="character" w:customStyle="1" w:styleId="coconcept2327">
    <w:name w:val="co_concept_23_27"/>
    <w:basedOn w:val="DefaultParagraphFont"/>
    <w:rsid w:val="00B3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9000</Words>
  <Characters>51300</Characters>
  <Application>Microsoft Office Word</Application>
  <DocSecurity>0</DocSecurity>
  <Lines>427</Lines>
  <Paragraphs>120</Paragraphs>
  <ScaleCrop>false</ScaleCrop>
  <Company/>
  <LinksUpToDate>false</LinksUpToDate>
  <CharactersWithSpaces>60180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2019-08-26T16:54:27Z</dcterms:created>
  <dcterms:modified xsi:type="dcterms:W3CDTF">2019-08-26T16:54:27Z</dcterms:modified>
</cp:coreProperties>
</file>